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8" w:lineRule="exact"/>
      </w:pPr>
      <w:r>
        <w:rPr>
          <w:position w:val="-336"/>
        </w:rPr>
        <w:drawing>
          <wp:inline distT="0" distB="0" distL="0" distR="0">
            <wp:extent cx="7561580" cy="106857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97"/>
                    <a:stretch>
                      <a:fillRect/>
                    </a:stretch>
                  </pic:blipFill>
                  <pic:spPr>
                    <a:xfrm>
                      <a:off x="0" y="0"/>
                      <a:ext cx="7562088" cy="10685805"/>
                    </a:xfrm>
                    <a:prstGeom prst="rect">
                      <a:avLst/>
                    </a:prstGeom>
                  </pic:spPr>
                </pic:pic>
              </a:graphicData>
            </a:graphic>
          </wp:inline>
        </w:drawing>
      </w:r>
    </w:p>
    <w:p>
      <w:pPr>
        <w:spacing w:line="16828" w:lineRule="exact"/>
        <w:sectPr>
          <w:headerReference r:id="rId5" w:type="default"/>
          <w:footerReference r:id="rId6" w:type="default"/>
          <w:pgSz w:w="11909" w:h="16841"/>
          <w:pgMar w:top="1" w:right="0" w:bottom="1" w:left="0" w:header="0" w:footer="0" w:gutter="0"/>
          <w:cols w:space="720" w:num="1"/>
        </w:sectPr>
      </w:pPr>
    </w:p>
    <w:p>
      <w:pPr>
        <w:spacing w:line="16828" w:lineRule="exact"/>
      </w:pPr>
    </w:p>
    <w:p>
      <w:pPr>
        <w:pStyle w:val="2"/>
        <w:spacing w:line="247" w:lineRule="auto"/>
        <w:rPr>
          <w:sz w:val="21"/>
        </w:r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98" w:line="219" w:lineRule="auto"/>
        <w:ind w:left="3067"/>
        <w:rPr>
          <w:rFonts w:ascii="黑体" w:hAnsi="黑体" w:eastAsia="黑体" w:cs="黑体"/>
          <w:sz w:val="30"/>
          <w:szCs w:val="30"/>
        </w:rPr>
      </w:pPr>
      <w:r>
        <w:rPr>
          <w:rFonts w:ascii="黑体" w:hAnsi="黑体" w:eastAsia="黑体" w:cs="黑体"/>
          <w:spacing w:val="-3"/>
          <w:sz w:val="30"/>
          <w:szCs w:val="30"/>
        </w:rPr>
        <w:t>一、建设项目基本情况</w:t>
      </w:r>
    </w:p>
    <w:p>
      <w:pPr>
        <w:spacing w:before="25"/>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6"/>
        <w:gridCol w:w="908"/>
        <w:gridCol w:w="1205"/>
        <w:gridCol w:w="1943"/>
        <w:gridCol w:w="266"/>
        <w:gridCol w:w="26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106" w:type="dxa"/>
            <w:vAlign w:val="top"/>
          </w:tcPr>
          <w:p>
            <w:pPr>
              <w:pStyle w:val="6"/>
              <w:spacing w:before="81" w:line="220" w:lineRule="auto"/>
              <w:ind w:left="340"/>
              <w:rPr>
                <w:sz w:val="24"/>
                <w:szCs w:val="24"/>
              </w:rPr>
            </w:pPr>
            <w:r>
              <w:rPr>
                <w:spacing w:val="-2"/>
                <w:sz w:val="24"/>
                <w:szCs w:val="24"/>
              </w:rPr>
              <w:t>建设项目名称</w:t>
            </w:r>
          </w:p>
        </w:tc>
        <w:tc>
          <w:tcPr>
            <w:tcW w:w="6991" w:type="dxa"/>
            <w:gridSpan w:val="5"/>
            <w:vAlign w:val="top"/>
          </w:tcPr>
          <w:p>
            <w:pPr>
              <w:pStyle w:val="6"/>
              <w:spacing w:before="81" w:line="220" w:lineRule="auto"/>
              <w:ind w:left="2541"/>
              <w:rPr>
                <w:sz w:val="24"/>
                <w:szCs w:val="24"/>
              </w:rPr>
            </w:pPr>
            <w:r>
              <w:rPr>
                <w:spacing w:val="-5"/>
                <w:sz w:val="24"/>
                <w:szCs w:val="24"/>
              </w:rPr>
              <w:t>凤探</w:t>
            </w:r>
            <w:r>
              <w:rPr>
                <w:spacing w:val="-25"/>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井钻井工程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106" w:type="dxa"/>
            <w:vAlign w:val="top"/>
          </w:tcPr>
          <w:p>
            <w:pPr>
              <w:pStyle w:val="6"/>
              <w:spacing w:before="71" w:line="220" w:lineRule="auto"/>
              <w:ind w:left="581"/>
              <w:rPr>
                <w:sz w:val="24"/>
                <w:szCs w:val="24"/>
              </w:rPr>
            </w:pPr>
            <w:r>
              <w:rPr>
                <w:spacing w:val="-3"/>
                <w:sz w:val="24"/>
                <w:szCs w:val="24"/>
              </w:rPr>
              <w:t>项目代码</w:t>
            </w:r>
          </w:p>
        </w:tc>
        <w:tc>
          <w:tcPr>
            <w:tcW w:w="6991" w:type="dxa"/>
            <w:gridSpan w:val="5"/>
            <w:vAlign w:val="top"/>
          </w:tcPr>
          <w:p>
            <w:pPr>
              <w:spacing w:before="113" w:line="186" w:lineRule="auto"/>
              <w:ind w:left="214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2310-511702-04-01-798238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106" w:type="dxa"/>
            <w:vAlign w:val="top"/>
          </w:tcPr>
          <w:p>
            <w:pPr>
              <w:pStyle w:val="6"/>
              <w:spacing w:before="72" w:line="220" w:lineRule="auto"/>
              <w:ind w:left="220"/>
              <w:rPr>
                <w:sz w:val="24"/>
                <w:szCs w:val="24"/>
              </w:rPr>
            </w:pPr>
            <w:r>
              <w:rPr>
                <w:spacing w:val="-2"/>
                <w:sz w:val="24"/>
                <w:szCs w:val="24"/>
              </w:rPr>
              <w:t>建设单位联系人</w:t>
            </w:r>
          </w:p>
        </w:tc>
        <w:tc>
          <w:tcPr>
            <w:tcW w:w="2113" w:type="dxa"/>
            <w:gridSpan w:val="2"/>
            <w:vAlign w:val="top"/>
          </w:tcPr>
          <w:p>
            <w:pPr>
              <w:pStyle w:val="6"/>
              <w:spacing w:before="71" w:line="220" w:lineRule="auto"/>
              <w:ind w:left="698"/>
              <w:rPr>
                <w:sz w:val="24"/>
                <w:szCs w:val="24"/>
              </w:rPr>
            </w:pPr>
            <w:r>
              <w:rPr>
                <w:spacing w:val="-2"/>
                <w:sz w:val="24"/>
                <w:szCs w:val="24"/>
              </w:rPr>
              <w:t>黄明洋</w:t>
            </w:r>
          </w:p>
        </w:tc>
        <w:tc>
          <w:tcPr>
            <w:tcW w:w="2209" w:type="dxa"/>
            <w:gridSpan w:val="2"/>
            <w:vAlign w:val="top"/>
          </w:tcPr>
          <w:p>
            <w:pPr>
              <w:pStyle w:val="6"/>
              <w:spacing w:before="71" w:line="221" w:lineRule="auto"/>
              <w:ind w:left="625"/>
              <w:rPr>
                <w:sz w:val="24"/>
                <w:szCs w:val="24"/>
              </w:rPr>
            </w:pPr>
            <w:r>
              <w:rPr>
                <w:spacing w:val="-2"/>
                <w:sz w:val="24"/>
                <w:szCs w:val="24"/>
              </w:rPr>
              <w:t>联系方式</w:t>
            </w:r>
          </w:p>
        </w:tc>
        <w:tc>
          <w:tcPr>
            <w:tcW w:w="2669" w:type="dxa"/>
            <w:vAlign w:val="top"/>
          </w:tcPr>
          <w:p>
            <w:pPr>
              <w:spacing w:before="113" w:line="186" w:lineRule="auto"/>
              <w:ind w:left="69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19982810100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106" w:type="dxa"/>
            <w:vAlign w:val="top"/>
          </w:tcPr>
          <w:p>
            <w:pPr>
              <w:pStyle w:val="6"/>
              <w:spacing w:before="78" w:line="221" w:lineRule="auto"/>
              <w:ind w:left="580"/>
              <w:rPr>
                <w:sz w:val="24"/>
                <w:szCs w:val="24"/>
              </w:rPr>
            </w:pPr>
            <w:r>
              <w:rPr>
                <w:spacing w:val="-3"/>
                <w:sz w:val="24"/>
                <w:szCs w:val="24"/>
              </w:rPr>
              <w:t>建设地点</w:t>
            </w:r>
          </w:p>
        </w:tc>
        <w:tc>
          <w:tcPr>
            <w:tcW w:w="6991" w:type="dxa"/>
            <w:gridSpan w:val="5"/>
            <w:vAlign w:val="top"/>
          </w:tcPr>
          <w:p>
            <w:pPr>
              <w:pStyle w:val="6"/>
              <w:spacing w:before="78" w:line="219" w:lineRule="auto"/>
              <w:ind w:left="1483"/>
              <w:rPr>
                <w:sz w:val="24"/>
                <w:szCs w:val="24"/>
              </w:rPr>
            </w:pPr>
            <w:r>
              <w:rPr>
                <w:spacing w:val="-3"/>
                <w:sz w:val="24"/>
                <w:szCs w:val="24"/>
              </w:rPr>
              <w:t>四川省达州市通川区江陵镇和平村</w:t>
            </w:r>
            <w:r>
              <w:rPr>
                <w:spacing w:val="-27"/>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106" w:type="dxa"/>
            <w:vAlign w:val="top"/>
          </w:tcPr>
          <w:p>
            <w:pPr>
              <w:pStyle w:val="6"/>
              <w:spacing w:before="73" w:line="186" w:lineRule="auto"/>
              <w:ind w:left="577"/>
              <w:rPr>
                <w:sz w:val="24"/>
                <w:szCs w:val="24"/>
              </w:rPr>
            </w:pPr>
            <w:r>
              <w:rPr>
                <w:spacing w:val="-2"/>
                <w:sz w:val="24"/>
                <w:szCs w:val="24"/>
              </w:rPr>
              <w:t>地理坐标</w:t>
            </w:r>
          </w:p>
        </w:tc>
        <w:tc>
          <w:tcPr>
            <w:tcW w:w="6991" w:type="dxa"/>
            <w:gridSpan w:val="5"/>
            <w:vAlign w:val="top"/>
          </w:tcPr>
          <w:p>
            <w:pPr>
              <w:pStyle w:val="6"/>
              <w:spacing w:before="73" w:line="186" w:lineRule="auto"/>
              <w:ind w:left="506"/>
              <w:rPr>
                <w:sz w:val="24"/>
                <w:szCs w:val="24"/>
              </w:rPr>
            </w:pPr>
            <w:r>
              <w:rPr>
                <w:spacing w:val="-7"/>
                <w:sz w:val="24"/>
                <w:szCs w:val="24"/>
              </w:rPr>
              <w:t>（</w:t>
            </w:r>
            <w:r>
              <w:rPr>
                <w:spacing w:val="28"/>
                <w:sz w:val="24"/>
                <w:szCs w:val="24"/>
              </w:rPr>
              <w:t xml:space="preserve"> </w:t>
            </w:r>
            <w:r>
              <w:rPr>
                <w:rFonts w:ascii="Times New Roman" w:hAnsi="Times New Roman" w:eastAsia="Times New Roman" w:cs="Times New Roman"/>
                <w:spacing w:val="-7"/>
                <w:sz w:val="24"/>
                <w:szCs w:val="24"/>
              </w:rPr>
              <w:t xml:space="preserve">107  </w:t>
            </w:r>
            <w:r>
              <w:rPr>
                <w:spacing w:val="-7"/>
                <w:sz w:val="24"/>
                <w:szCs w:val="24"/>
              </w:rPr>
              <w:t>度</w:t>
            </w:r>
            <w:r>
              <w:rPr>
                <w:spacing w:val="29"/>
                <w:sz w:val="24"/>
                <w:szCs w:val="24"/>
              </w:rPr>
              <w:t xml:space="preserve"> </w:t>
            </w:r>
            <w:r>
              <w:rPr>
                <w:rFonts w:ascii="Times New Roman" w:hAnsi="Times New Roman" w:eastAsia="Times New Roman" w:cs="Times New Roman"/>
                <w:spacing w:val="-7"/>
                <w:sz w:val="24"/>
                <w:szCs w:val="24"/>
              </w:rPr>
              <w:t xml:space="preserve">14  </w:t>
            </w:r>
            <w:r>
              <w:rPr>
                <w:spacing w:val="-7"/>
                <w:sz w:val="24"/>
                <w:szCs w:val="24"/>
              </w:rPr>
              <w:t>分</w:t>
            </w:r>
            <w:r>
              <w:rPr>
                <w:spacing w:val="28"/>
                <w:sz w:val="24"/>
                <w:szCs w:val="24"/>
              </w:rPr>
              <w:t xml:space="preserve"> </w:t>
            </w:r>
            <w:r>
              <w:rPr>
                <w:rFonts w:ascii="Times New Roman" w:hAnsi="Times New Roman" w:eastAsia="Times New Roman" w:cs="Times New Roman"/>
                <w:spacing w:val="-7"/>
                <w:sz w:val="24"/>
                <w:szCs w:val="24"/>
              </w:rPr>
              <w:t>16.806</w:t>
            </w:r>
            <w:r>
              <w:rPr>
                <w:rFonts w:ascii="Times New Roman" w:hAnsi="Times New Roman" w:eastAsia="Times New Roman" w:cs="Times New Roman"/>
                <w:spacing w:val="4"/>
                <w:sz w:val="24"/>
                <w:szCs w:val="24"/>
              </w:rPr>
              <w:t xml:space="preserve">  </w:t>
            </w:r>
            <w:r>
              <w:rPr>
                <w:spacing w:val="-7"/>
                <w:sz w:val="24"/>
                <w:szCs w:val="24"/>
              </w:rPr>
              <w:t xml:space="preserve">秒，  </w:t>
            </w:r>
            <w:r>
              <w:rPr>
                <w:rFonts w:ascii="Times New Roman" w:hAnsi="Times New Roman" w:eastAsia="Times New Roman" w:cs="Times New Roman"/>
                <w:spacing w:val="-7"/>
                <w:sz w:val="24"/>
                <w:szCs w:val="24"/>
              </w:rPr>
              <w:t xml:space="preserve">31  </w:t>
            </w:r>
            <w:r>
              <w:rPr>
                <w:spacing w:val="-7"/>
                <w:sz w:val="24"/>
                <w:szCs w:val="24"/>
              </w:rPr>
              <w:t>度</w:t>
            </w:r>
            <w:r>
              <w:rPr>
                <w:spacing w:val="5"/>
                <w:sz w:val="24"/>
                <w:szCs w:val="24"/>
              </w:rPr>
              <w:t xml:space="preserve"> </w:t>
            </w:r>
            <w:r>
              <w:rPr>
                <w:rFonts w:ascii="Times New Roman" w:hAnsi="Times New Roman" w:eastAsia="Times New Roman" w:cs="Times New Roman"/>
                <w:spacing w:val="-7"/>
                <w:sz w:val="24"/>
                <w:szCs w:val="24"/>
              </w:rPr>
              <w:t>26</w:t>
            </w:r>
            <w:r>
              <w:rPr>
                <w:rFonts w:ascii="Times New Roman" w:hAnsi="Times New Roman" w:eastAsia="Times New Roman" w:cs="Times New Roman"/>
                <w:spacing w:val="6"/>
                <w:sz w:val="24"/>
                <w:szCs w:val="24"/>
              </w:rPr>
              <w:t xml:space="preserve">  </w:t>
            </w:r>
            <w:r>
              <w:rPr>
                <w:spacing w:val="-7"/>
                <w:sz w:val="24"/>
                <w:szCs w:val="24"/>
              </w:rPr>
              <w:t>分</w:t>
            </w:r>
            <w:r>
              <w:rPr>
                <w:spacing w:val="11"/>
                <w:sz w:val="24"/>
                <w:szCs w:val="24"/>
              </w:rPr>
              <w:t xml:space="preserve"> </w:t>
            </w:r>
            <w:r>
              <w:rPr>
                <w:rFonts w:ascii="Times New Roman" w:hAnsi="Times New Roman" w:eastAsia="Times New Roman" w:cs="Times New Roman"/>
                <w:spacing w:val="-7"/>
                <w:sz w:val="24"/>
                <w:szCs w:val="24"/>
              </w:rPr>
              <w:t>39.83</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4"/>
                <w:sz w:val="24"/>
                <w:szCs w:val="24"/>
              </w:rPr>
              <w:t xml:space="preserve">  </w:t>
            </w:r>
            <w:r>
              <w:rPr>
                <w:spacing w:val="-8"/>
                <w:sz w:val="24"/>
                <w:szCs w:val="24"/>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2106" w:type="dxa"/>
            <w:vAlign w:val="top"/>
          </w:tcPr>
          <w:p>
            <w:pPr>
              <w:spacing w:line="333" w:lineRule="auto"/>
              <w:rPr>
                <w:rFonts w:ascii="Arial"/>
                <w:sz w:val="21"/>
              </w:rPr>
            </w:pPr>
          </w:p>
          <w:p>
            <w:pPr>
              <w:pStyle w:val="6"/>
              <w:spacing w:before="78"/>
              <w:ind w:left="580"/>
              <w:rPr>
                <w:sz w:val="24"/>
                <w:szCs w:val="24"/>
              </w:rPr>
            </w:pPr>
            <w:r>
              <w:rPr>
                <w:spacing w:val="-3"/>
                <w:sz w:val="24"/>
                <w:szCs w:val="24"/>
              </w:rPr>
              <w:t>建设项目</w:t>
            </w:r>
          </w:p>
          <w:p>
            <w:pPr>
              <w:pStyle w:val="6"/>
              <w:spacing w:line="219" w:lineRule="auto"/>
              <w:ind w:left="581"/>
              <w:rPr>
                <w:sz w:val="24"/>
                <w:szCs w:val="24"/>
              </w:rPr>
            </w:pPr>
            <w:r>
              <w:rPr>
                <w:spacing w:val="-3"/>
                <w:sz w:val="24"/>
                <w:szCs w:val="24"/>
              </w:rPr>
              <w:t>行业类别</w:t>
            </w:r>
          </w:p>
        </w:tc>
        <w:tc>
          <w:tcPr>
            <w:tcW w:w="2113" w:type="dxa"/>
            <w:gridSpan w:val="2"/>
            <w:vAlign w:val="top"/>
          </w:tcPr>
          <w:p>
            <w:pPr>
              <w:pStyle w:val="6"/>
              <w:spacing w:before="102" w:line="233" w:lineRule="auto"/>
              <w:ind w:left="6" w:right="7" w:firstLine="23"/>
              <w:jc w:val="both"/>
              <w:rPr>
                <w:sz w:val="24"/>
                <w:szCs w:val="24"/>
              </w:rPr>
            </w:pPr>
            <w:r>
              <w:rPr>
                <w:spacing w:val="-10"/>
                <w:sz w:val="24"/>
                <w:szCs w:val="24"/>
              </w:rPr>
              <w:t>四十六、专业技术服</w:t>
            </w:r>
            <w:r>
              <w:rPr>
                <w:sz w:val="24"/>
                <w:szCs w:val="24"/>
              </w:rPr>
              <w:t xml:space="preserve"> </w:t>
            </w:r>
            <w:r>
              <w:rPr>
                <w:spacing w:val="-1"/>
                <w:sz w:val="24"/>
                <w:szCs w:val="24"/>
              </w:rPr>
              <w:t>务业</w:t>
            </w:r>
            <w:r>
              <w:rPr>
                <w:spacing w:val="-50"/>
                <w:sz w:val="24"/>
                <w:szCs w:val="24"/>
              </w:rPr>
              <w:t xml:space="preserve"> </w:t>
            </w:r>
            <w:r>
              <w:rPr>
                <w:rFonts w:ascii="Times New Roman" w:hAnsi="Times New Roman" w:eastAsia="Times New Roman" w:cs="Times New Roman"/>
                <w:spacing w:val="-1"/>
                <w:sz w:val="24"/>
                <w:szCs w:val="24"/>
              </w:rPr>
              <w:t>99</w:t>
            </w:r>
            <w:r>
              <w:rPr>
                <w:rFonts w:ascii="Times New Roman" w:hAnsi="Times New Roman" w:eastAsia="Times New Roman" w:cs="Times New Roman"/>
                <w:spacing w:val="21"/>
                <w:w w:val="101"/>
                <w:sz w:val="24"/>
                <w:szCs w:val="24"/>
              </w:rPr>
              <w:t xml:space="preserve"> </w:t>
            </w:r>
            <w:r>
              <w:rPr>
                <w:spacing w:val="-1"/>
                <w:sz w:val="24"/>
                <w:szCs w:val="24"/>
              </w:rPr>
              <w:t>陆地矿产资</w:t>
            </w:r>
            <w:r>
              <w:rPr>
                <w:sz w:val="24"/>
                <w:szCs w:val="24"/>
              </w:rPr>
              <w:t xml:space="preserve"> </w:t>
            </w:r>
            <w:r>
              <w:rPr>
                <w:spacing w:val="-10"/>
                <w:sz w:val="24"/>
                <w:szCs w:val="24"/>
              </w:rPr>
              <w:t>源地质勘查（含油气</w:t>
            </w:r>
          </w:p>
          <w:p>
            <w:pPr>
              <w:pStyle w:val="6"/>
              <w:spacing w:before="24" w:line="185" w:lineRule="auto"/>
              <w:ind w:left="469"/>
              <w:rPr>
                <w:sz w:val="24"/>
                <w:szCs w:val="24"/>
              </w:rPr>
            </w:pPr>
            <w:r>
              <w:rPr>
                <w:spacing w:val="-6"/>
                <w:sz w:val="24"/>
                <w:szCs w:val="24"/>
              </w:rPr>
              <w:t>资源勘探）</w:t>
            </w:r>
          </w:p>
        </w:tc>
        <w:tc>
          <w:tcPr>
            <w:tcW w:w="1943" w:type="dxa"/>
            <w:vAlign w:val="top"/>
          </w:tcPr>
          <w:p>
            <w:pPr>
              <w:spacing w:line="333" w:lineRule="auto"/>
              <w:rPr>
                <w:rFonts w:ascii="Arial"/>
                <w:sz w:val="21"/>
              </w:rPr>
            </w:pPr>
          </w:p>
          <w:p>
            <w:pPr>
              <w:pStyle w:val="6"/>
              <w:spacing w:before="78" w:line="237" w:lineRule="auto"/>
              <w:ind w:left="13"/>
              <w:rPr>
                <w:sz w:val="24"/>
                <w:szCs w:val="24"/>
              </w:rPr>
            </w:pPr>
            <w:r>
              <w:rPr>
                <w:spacing w:val="-14"/>
                <w:sz w:val="24"/>
                <w:szCs w:val="24"/>
              </w:rPr>
              <w:t>用地（用海）面积</w:t>
            </w:r>
            <w:r>
              <w:rPr>
                <w:spacing w:val="3"/>
                <w:sz w:val="24"/>
                <w:szCs w:val="24"/>
              </w:rPr>
              <w:t xml:space="preserve">  </w:t>
            </w:r>
            <w:r>
              <w:rPr>
                <w:spacing w:val="-19"/>
                <w:sz w:val="24"/>
                <w:szCs w:val="24"/>
              </w:rPr>
              <w:t>（</w:t>
            </w:r>
            <w:r>
              <w:rPr>
                <w:rFonts w:ascii="Times New Roman" w:hAnsi="Times New Roman" w:eastAsia="Times New Roman" w:cs="Times New Roman"/>
                <w:spacing w:val="-19"/>
                <w:sz w:val="24"/>
                <w:szCs w:val="24"/>
              </w:rPr>
              <w:t>m</w:t>
            </w:r>
            <w:r>
              <w:rPr>
                <w:rFonts w:ascii="Times New Roman" w:hAnsi="Times New Roman" w:eastAsia="Times New Roman" w:cs="Times New Roman"/>
                <w:spacing w:val="-19"/>
                <w:position w:val="8"/>
                <w:sz w:val="16"/>
                <w:szCs w:val="16"/>
              </w:rPr>
              <w:t>2</w:t>
            </w:r>
            <w:r>
              <w:rPr>
                <w:spacing w:val="-19"/>
                <w:sz w:val="24"/>
                <w:szCs w:val="24"/>
              </w:rPr>
              <w:t>）</w:t>
            </w:r>
            <w:r>
              <w:rPr>
                <w:rFonts w:ascii="Times New Roman" w:hAnsi="Times New Roman" w:eastAsia="Times New Roman" w:cs="Times New Roman"/>
                <w:spacing w:val="-19"/>
                <w:sz w:val="24"/>
                <w:szCs w:val="24"/>
              </w:rPr>
              <w:t>/</w:t>
            </w:r>
            <w:r>
              <w:rPr>
                <w:spacing w:val="-19"/>
                <w:sz w:val="24"/>
                <w:szCs w:val="24"/>
              </w:rPr>
              <w:t>长度（</w:t>
            </w:r>
            <w:r>
              <w:rPr>
                <w:rFonts w:ascii="Times New Roman" w:hAnsi="Times New Roman" w:eastAsia="Times New Roman" w:cs="Times New Roman"/>
                <w:spacing w:val="-2"/>
                <w:sz w:val="24"/>
                <w:szCs w:val="24"/>
              </w:rPr>
              <w:t>km</w:t>
            </w:r>
            <w:r>
              <w:rPr>
                <w:spacing w:val="-2"/>
                <w:sz w:val="24"/>
                <w:szCs w:val="24"/>
              </w:rPr>
              <w:t>）</w:t>
            </w:r>
          </w:p>
        </w:tc>
        <w:tc>
          <w:tcPr>
            <w:tcW w:w="2935" w:type="dxa"/>
            <w:gridSpan w:val="2"/>
            <w:vAlign w:val="top"/>
          </w:tcPr>
          <w:p>
            <w:pPr>
              <w:spacing w:line="244" w:lineRule="auto"/>
              <w:rPr>
                <w:rFonts w:ascii="Arial"/>
                <w:sz w:val="21"/>
              </w:rPr>
            </w:pPr>
          </w:p>
          <w:p>
            <w:pPr>
              <w:spacing w:line="244" w:lineRule="auto"/>
              <w:rPr>
                <w:rFonts w:ascii="Arial"/>
                <w:sz w:val="21"/>
              </w:rPr>
            </w:pPr>
          </w:p>
          <w:p>
            <w:pPr>
              <w:pStyle w:val="6"/>
              <w:spacing w:before="78" w:line="233" w:lineRule="auto"/>
              <w:ind w:left="449"/>
              <w:rPr>
                <w:rFonts w:ascii="Times New Roman" w:hAnsi="Times New Roman" w:eastAsia="Times New Roman" w:cs="Times New Roman"/>
                <w:sz w:val="16"/>
                <w:szCs w:val="16"/>
              </w:rPr>
            </w:pPr>
            <w:r>
              <w:rPr>
                <w:spacing w:val="-14"/>
                <w:sz w:val="24"/>
                <w:szCs w:val="24"/>
              </w:rPr>
              <w:t>临时占地：</w:t>
            </w:r>
            <w:r>
              <w:rPr>
                <w:spacing w:val="25"/>
                <w:sz w:val="24"/>
                <w:szCs w:val="24"/>
              </w:rPr>
              <w:t xml:space="preserve"> </w:t>
            </w:r>
            <w:r>
              <w:rPr>
                <w:rFonts w:ascii="Times New Roman" w:hAnsi="Times New Roman" w:eastAsia="Times New Roman" w:cs="Times New Roman"/>
                <w:spacing w:val="-14"/>
                <w:sz w:val="24"/>
                <w:szCs w:val="24"/>
              </w:rPr>
              <w:t>24261m</w:t>
            </w:r>
            <w:r>
              <w:rPr>
                <w:rFonts w:ascii="Times New Roman" w:hAnsi="Times New Roman" w:eastAsia="Times New Roman" w:cs="Times New Roman"/>
                <w:spacing w:val="-14"/>
                <w:position w:val="8"/>
                <w:sz w:val="16"/>
                <w:szCs w:val="16"/>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2106" w:type="dxa"/>
            <w:vAlign w:val="top"/>
          </w:tcPr>
          <w:p>
            <w:pPr>
              <w:spacing w:line="468" w:lineRule="auto"/>
              <w:rPr>
                <w:rFonts w:ascii="Arial"/>
                <w:sz w:val="21"/>
              </w:rPr>
            </w:pPr>
          </w:p>
          <w:p>
            <w:pPr>
              <w:pStyle w:val="6"/>
              <w:spacing w:before="78" w:line="220" w:lineRule="auto"/>
              <w:ind w:left="580"/>
              <w:rPr>
                <w:sz w:val="24"/>
                <w:szCs w:val="24"/>
              </w:rPr>
            </w:pPr>
            <w:r>
              <w:rPr>
                <w:spacing w:val="-3"/>
                <w:sz w:val="24"/>
                <w:szCs w:val="24"/>
              </w:rPr>
              <w:t>建设性质</w:t>
            </w:r>
          </w:p>
        </w:tc>
        <w:tc>
          <w:tcPr>
            <w:tcW w:w="2113" w:type="dxa"/>
            <w:gridSpan w:val="2"/>
            <w:vAlign w:val="top"/>
          </w:tcPr>
          <w:p>
            <w:pPr>
              <w:pStyle w:val="6"/>
              <w:spacing w:before="83" w:line="220" w:lineRule="auto"/>
              <w:ind w:left="17"/>
              <w:rPr>
                <w:sz w:val="24"/>
                <w:szCs w:val="24"/>
              </w:rPr>
            </w:pPr>
            <w:r>
              <w:rPr>
                <w:rFonts w:ascii="MS Gothic" w:hAnsi="MS Gothic" w:eastAsia="MS Gothic" w:cs="MS Gothic"/>
                <w:spacing w:val="-5"/>
                <w:sz w:val="24"/>
                <w:szCs w:val="24"/>
              </w:rPr>
              <w:t>☑</w:t>
            </w:r>
            <w:r>
              <w:rPr>
                <w:spacing w:val="-5"/>
                <w:sz w:val="24"/>
                <w:szCs w:val="24"/>
              </w:rPr>
              <w:t>新建（迁建）</w:t>
            </w:r>
          </w:p>
          <w:p>
            <w:pPr>
              <w:pStyle w:val="6"/>
              <w:spacing w:before="26" w:line="233" w:lineRule="auto"/>
              <w:ind w:left="15"/>
              <w:rPr>
                <w:sz w:val="24"/>
                <w:szCs w:val="24"/>
              </w:rPr>
            </w:pPr>
            <w:r>
              <w:rPr>
                <w:rFonts w:ascii="Times New Roman" w:hAnsi="Times New Roman" w:eastAsia="Times New Roman" w:cs="Times New Roman"/>
                <w:spacing w:val="-6"/>
                <w:sz w:val="24"/>
                <w:szCs w:val="24"/>
              </w:rPr>
              <w:t>□</w:t>
            </w:r>
            <w:r>
              <w:rPr>
                <w:spacing w:val="-6"/>
                <w:sz w:val="24"/>
                <w:szCs w:val="24"/>
              </w:rPr>
              <w:t>改建</w:t>
            </w:r>
          </w:p>
          <w:p>
            <w:pPr>
              <w:pStyle w:val="6"/>
              <w:spacing w:before="6" w:line="234" w:lineRule="auto"/>
              <w:ind w:left="15"/>
              <w:rPr>
                <w:sz w:val="24"/>
                <w:szCs w:val="24"/>
              </w:rPr>
            </w:pPr>
            <w:r>
              <w:rPr>
                <w:rFonts w:ascii="Times New Roman" w:hAnsi="Times New Roman" w:eastAsia="Times New Roman" w:cs="Times New Roman"/>
                <w:spacing w:val="-6"/>
                <w:sz w:val="24"/>
                <w:szCs w:val="24"/>
              </w:rPr>
              <w:t>□</w:t>
            </w:r>
            <w:r>
              <w:rPr>
                <w:spacing w:val="-6"/>
                <w:sz w:val="24"/>
                <w:szCs w:val="24"/>
              </w:rPr>
              <w:t>扩建</w:t>
            </w:r>
          </w:p>
          <w:p>
            <w:pPr>
              <w:pStyle w:val="6"/>
              <w:spacing w:before="8" w:line="190" w:lineRule="auto"/>
              <w:ind w:left="15"/>
              <w:rPr>
                <w:sz w:val="24"/>
                <w:szCs w:val="24"/>
              </w:rPr>
            </w:pPr>
            <w:r>
              <w:rPr>
                <w:rFonts w:ascii="Times New Roman" w:hAnsi="Times New Roman" w:eastAsia="Times New Roman" w:cs="Times New Roman"/>
                <w:spacing w:val="-4"/>
                <w:sz w:val="24"/>
                <w:szCs w:val="24"/>
              </w:rPr>
              <w:t>□</w:t>
            </w:r>
            <w:r>
              <w:rPr>
                <w:spacing w:val="-4"/>
                <w:sz w:val="24"/>
                <w:szCs w:val="24"/>
              </w:rPr>
              <w:t>技术改造</w:t>
            </w:r>
          </w:p>
        </w:tc>
        <w:tc>
          <w:tcPr>
            <w:tcW w:w="1943" w:type="dxa"/>
            <w:vAlign w:val="top"/>
          </w:tcPr>
          <w:p>
            <w:pPr>
              <w:spacing w:line="315" w:lineRule="auto"/>
              <w:rPr>
                <w:rFonts w:ascii="Arial"/>
                <w:sz w:val="21"/>
              </w:rPr>
            </w:pPr>
          </w:p>
          <w:p>
            <w:pPr>
              <w:pStyle w:val="6"/>
              <w:spacing w:before="78" w:line="238" w:lineRule="auto"/>
              <w:ind w:left="495"/>
              <w:rPr>
                <w:sz w:val="24"/>
                <w:szCs w:val="24"/>
              </w:rPr>
            </w:pPr>
            <w:r>
              <w:rPr>
                <w:spacing w:val="-3"/>
                <w:sz w:val="24"/>
                <w:szCs w:val="24"/>
              </w:rPr>
              <w:t>建设项目</w:t>
            </w:r>
          </w:p>
          <w:p>
            <w:pPr>
              <w:pStyle w:val="6"/>
              <w:spacing w:line="219" w:lineRule="auto"/>
              <w:ind w:left="523"/>
              <w:rPr>
                <w:sz w:val="24"/>
                <w:szCs w:val="24"/>
              </w:rPr>
            </w:pPr>
            <w:r>
              <w:rPr>
                <w:spacing w:val="-8"/>
                <w:sz w:val="24"/>
                <w:szCs w:val="24"/>
              </w:rPr>
              <w:t>申报情形</w:t>
            </w:r>
          </w:p>
        </w:tc>
        <w:tc>
          <w:tcPr>
            <w:tcW w:w="2935" w:type="dxa"/>
            <w:gridSpan w:val="2"/>
            <w:vAlign w:val="top"/>
          </w:tcPr>
          <w:p>
            <w:pPr>
              <w:pStyle w:val="6"/>
              <w:spacing w:before="82" w:line="220" w:lineRule="auto"/>
              <w:ind w:left="15"/>
              <w:rPr>
                <w:sz w:val="24"/>
                <w:szCs w:val="24"/>
              </w:rPr>
            </w:pPr>
            <w:r>
              <w:rPr>
                <w:rFonts w:ascii="MS Gothic" w:hAnsi="MS Gothic" w:eastAsia="MS Gothic" w:cs="MS Gothic"/>
                <w:spacing w:val="-3"/>
                <w:sz w:val="24"/>
                <w:szCs w:val="24"/>
              </w:rPr>
              <w:t>☑</w:t>
            </w:r>
            <w:r>
              <w:rPr>
                <w:spacing w:val="-3"/>
                <w:sz w:val="24"/>
                <w:szCs w:val="24"/>
              </w:rPr>
              <w:t>首次申报项目</w:t>
            </w:r>
          </w:p>
          <w:p>
            <w:pPr>
              <w:pStyle w:val="6"/>
              <w:spacing w:before="27" w:line="233" w:lineRule="auto"/>
              <w:ind w:left="14"/>
              <w:rPr>
                <w:sz w:val="24"/>
                <w:szCs w:val="24"/>
              </w:rPr>
            </w:pPr>
            <w:r>
              <w:rPr>
                <w:rFonts w:ascii="Times New Roman" w:hAnsi="Times New Roman" w:eastAsia="Times New Roman" w:cs="Times New Roman"/>
                <w:spacing w:val="-2"/>
                <w:sz w:val="24"/>
                <w:szCs w:val="24"/>
              </w:rPr>
              <w:t>□</w:t>
            </w:r>
            <w:r>
              <w:rPr>
                <w:spacing w:val="-2"/>
                <w:sz w:val="24"/>
                <w:szCs w:val="24"/>
              </w:rPr>
              <w:t>不予批准后再次申报项目</w:t>
            </w:r>
          </w:p>
          <w:p>
            <w:pPr>
              <w:pStyle w:val="6"/>
              <w:spacing w:before="6" w:line="233" w:lineRule="auto"/>
              <w:ind w:left="14"/>
              <w:rPr>
                <w:sz w:val="24"/>
                <w:szCs w:val="24"/>
              </w:rPr>
            </w:pPr>
            <w:r>
              <w:rPr>
                <w:rFonts w:ascii="Times New Roman" w:hAnsi="Times New Roman" w:eastAsia="Times New Roman" w:cs="Times New Roman"/>
                <w:spacing w:val="-2"/>
                <w:sz w:val="24"/>
                <w:szCs w:val="24"/>
              </w:rPr>
              <w:t>□</w:t>
            </w:r>
            <w:r>
              <w:rPr>
                <w:spacing w:val="-2"/>
                <w:sz w:val="24"/>
                <w:szCs w:val="24"/>
              </w:rPr>
              <w:t>超五年重新审核项目</w:t>
            </w:r>
          </w:p>
          <w:p>
            <w:pPr>
              <w:pStyle w:val="6"/>
              <w:spacing w:before="8" w:line="190" w:lineRule="auto"/>
              <w:ind w:left="14"/>
              <w:rPr>
                <w:sz w:val="24"/>
                <w:szCs w:val="24"/>
              </w:rPr>
            </w:pPr>
            <w:r>
              <w:rPr>
                <w:rFonts w:ascii="Times New Roman" w:hAnsi="Times New Roman" w:eastAsia="Times New Roman" w:cs="Times New Roman"/>
                <w:spacing w:val="-2"/>
                <w:sz w:val="24"/>
                <w:szCs w:val="24"/>
              </w:rPr>
              <w:t>□</w:t>
            </w:r>
            <w:r>
              <w:rPr>
                <w:spacing w:val="-2"/>
                <w:sz w:val="24"/>
                <w:szCs w:val="24"/>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2106" w:type="dxa"/>
            <w:vAlign w:val="top"/>
          </w:tcPr>
          <w:p>
            <w:pPr>
              <w:pStyle w:val="6"/>
              <w:spacing w:before="145" w:line="229" w:lineRule="auto"/>
              <w:ind w:left="28" w:firstLine="154"/>
              <w:rPr>
                <w:sz w:val="24"/>
                <w:szCs w:val="24"/>
              </w:rPr>
            </w:pPr>
            <w:r>
              <w:rPr>
                <w:spacing w:val="-8"/>
                <w:sz w:val="24"/>
                <w:szCs w:val="24"/>
              </w:rPr>
              <w:t>项目审批（核准</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 xml:space="preserve">     </w:t>
            </w:r>
            <w:r>
              <w:rPr>
                <w:spacing w:val="-10"/>
                <w:sz w:val="24"/>
                <w:szCs w:val="24"/>
              </w:rPr>
              <w:t>备案）部门（选填）</w:t>
            </w:r>
          </w:p>
        </w:tc>
        <w:tc>
          <w:tcPr>
            <w:tcW w:w="2113" w:type="dxa"/>
            <w:gridSpan w:val="2"/>
            <w:vAlign w:val="top"/>
          </w:tcPr>
          <w:p>
            <w:pPr>
              <w:pStyle w:val="6"/>
              <w:spacing w:before="144" w:line="230" w:lineRule="auto"/>
              <w:ind w:left="942" w:right="98" w:hanging="843"/>
              <w:rPr>
                <w:sz w:val="24"/>
                <w:szCs w:val="24"/>
              </w:rPr>
            </w:pPr>
            <w:r>
              <w:rPr>
                <w:spacing w:val="-2"/>
                <w:sz w:val="24"/>
                <w:szCs w:val="24"/>
              </w:rPr>
              <w:t>通川区发展和改革</w:t>
            </w:r>
            <w:r>
              <w:rPr>
                <w:spacing w:val="5"/>
                <w:sz w:val="24"/>
                <w:szCs w:val="24"/>
              </w:rPr>
              <w:t xml:space="preserve"> </w:t>
            </w:r>
            <w:r>
              <w:rPr>
                <w:sz w:val="24"/>
                <w:szCs w:val="24"/>
              </w:rPr>
              <w:t>局</w:t>
            </w:r>
          </w:p>
        </w:tc>
        <w:tc>
          <w:tcPr>
            <w:tcW w:w="1943" w:type="dxa"/>
            <w:vAlign w:val="top"/>
          </w:tcPr>
          <w:p>
            <w:pPr>
              <w:pStyle w:val="6"/>
              <w:spacing w:before="146" w:line="229" w:lineRule="auto"/>
              <w:ind w:left="10" w:firstLine="87"/>
              <w:rPr>
                <w:sz w:val="24"/>
                <w:szCs w:val="24"/>
              </w:rPr>
            </w:pPr>
            <w:r>
              <w:rPr>
                <w:spacing w:val="-12"/>
                <w:sz w:val="24"/>
                <w:szCs w:val="24"/>
              </w:rPr>
              <w:t>项目审批（核准</w:t>
            </w:r>
            <w:r>
              <w:rPr>
                <w:rFonts w:ascii="Times New Roman" w:hAnsi="Times New Roman" w:eastAsia="Times New Roman" w:cs="Times New Roman"/>
                <w:spacing w:val="-12"/>
                <w:sz w:val="24"/>
                <w:szCs w:val="24"/>
              </w:rPr>
              <w:t>/</w:t>
            </w:r>
            <w:r>
              <w:rPr>
                <w:rFonts w:ascii="Times New Roman" w:hAnsi="Times New Roman" w:eastAsia="Times New Roman" w:cs="Times New Roman"/>
                <w:sz w:val="24"/>
                <w:szCs w:val="24"/>
              </w:rPr>
              <w:t xml:space="preserve">    </w:t>
            </w:r>
            <w:r>
              <w:rPr>
                <w:spacing w:val="-26"/>
                <w:sz w:val="24"/>
                <w:szCs w:val="24"/>
              </w:rPr>
              <w:t>备案）文号（选填）</w:t>
            </w:r>
          </w:p>
        </w:tc>
        <w:tc>
          <w:tcPr>
            <w:tcW w:w="2935" w:type="dxa"/>
            <w:gridSpan w:val="2"/>
            <w:vAlign w:val="top"/>
          </w:tcPr>
          <w:p>
            <w:pPr>
              <w:spacing w:line="272" w:lineRule="auto"/>
              <w:rPr>
                <w:rFonts w:ascii="Arial"/>
                <w:sz w:val="21"/>
              </w:rPr>
            </w:pPr>
          </w:p>
          <w:p>
            <w:pPr>
              <w:spacing w:before="69" w:line="186" w:lineRule="auto"/>
              <w:ind w:left="11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2310-511702-04-01-798238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106" w:type="dxa"/>
            <w:vAlign w:val="top"/>
          </w:tcPr>
          <w:p>
            <w:pPr>
              <w:pStyle w:val="6"/>
              <w:spacing w:before="93" w:line="212" w:lineRule="auto"/>
              <w:ind w:left="224"/>
              <w:rPr>
                <w:sz w:val="24"/>
                <w:szCs w:val="24"/>
              </w:rPr>
            </w:pPr>
            <w:r>
              <w:rPr>
                <w:spacing w:val="-4"/>
                <w:sz w:val="24"/>
                <w:szCs w:val="24"/>
              </w:rPr>
              <w:t>总投资（万元）</w:t>
            </w:r>
          </w:p>
        </w:tc>
        <w:tc>
          <w:tcPr>
            <w:tcW w:w="2113" w:type="dxa"/>
            <w:gridSpan w:val="2"/>
            <w:vAlign w:val="top"/>
          </w:tcPr>
          <w:p>
            <w:pPr>
              <w:spacing w:before="137" w:line="186" w:lineRule="auto"/>
              <w:ind w:left="8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w:t>
            </w:r>
          </w:p>
        </w:tc>
        <w:tc>
          <w:tcPr>
            <w:tcW w:w="1943" w:type="dxa"/>
            <w:vAlign w:val="top"/>
          </w:tcPr>
          <w:p>
            <w:pPr>
              <w:pStyle w:val="6"/>
              <w:spacing w:before="93" w:line="212" w:lineRule="auto"/>
              <w:ind w:left="17"/>
              <w:rPr>
                <w:sz w:val="24"/>
                <w:szCs w:val="24"/>
              </w:rPr>
            </w:pPr>
            <w:r>
              <w:rPr>
                <w:spacing w:val="-3"/>
                <w:sz w:val="24"/>
                <w:szCs w:val="24"/>
              </w:rPr>
              <w:t>环保投资（万元）</w:t>
            </w:r>
          </w:p>
        </w:tc>
        <w:tc>
          <w:tcPr>
            <w:tcW w:w="2935" w:type="dxa"/>
            <w:gridSpan w:val="2"/>
            <w:vAlign w:val="top"/>
          </w:tcPr>
          <w:p>
            <w:pPr>
              <w:spacing w:before="137" w:line="186" w:lineRule="auto"/>
              <w:ind w:left="128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106" w:type="dxa"/>
            <w:vAlign w:val="top"/>
          </w:tcPr>
          <w:p>
            <w:pPr>
              <w:pStyle w:val="6"/>
              <w:spacing w:before="95" w:line="217" w:lineRule="auto"/>
              <w:jc w:val="right"/>
              <w:rPr>
                <w:sz w:val="24"/>
                <w:szCs w:val="24"/>
              </w:rPr>
            </w:pPr>
            <w:r>
              <w:rPr>
                <w:spacing w:val="-5"/>
                <w:sz w:val="24"/>
                <w:szCs w:val="24"/>
              </w:rPr>
              <w:t>环保投资占比（</w:t>
            </w:r>
            <w:r>
              <w:rPr>
                <w:rFonts w:ascii="Times New Roman" w:hAnsi="Times New Roman" w:eastAsia="Times New Roman" w:cs="Times New Roman"/>
                <w:spacing w:val="-5"/>
                <w:sz w:val="24"/>
                <w:szCs w:val="24"/>
              </w:rPr>
              <w:t>%</w:t>
            </w:r>
            <w:r>
              <w:rPr>
                <w:spacing w:val="-5"/>
                <w:sz w:val="24"/>
                <w:szCs w:val="24"/>
              </w:rPr>
              <w:t>）</w:t>
            </w:r>
          </w:p>
        </w:tc>
        <w:tc>
          <w:tcPr>
            <w:tcW w:w="2113" w:type="dxa"/>
            <w:gridSpan w:val="2"/>
            <w:vAlign w:val="top"/>
          </w:tcPr>
          <w:p>
            <w:pPr>
              <w:spacing w:before="137" w:line="186" w:lineRule="auto"/>
              <w:ind w:left="90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943" w:type="dxa"/>
            <w:vAlign w:val="top"/>
          </w:tcPr>
          <w:p>
            <w:pPr>
              <w:pStyle w:val="6"/>
              <w:spacing w:before="95" w:line="217" w:lineRule="auto"/>
              <w:ind w:left="491"/>
              <w:rPr>
                <w:sz w:val="24"/>
                <w:szCs w:val="24"/>
              </w:rPr>
            </w:pPr>
            <w:r>
              <w:rPr>
                <w:spacing w:val="-2"/>
                <w:sz w:val="24"/>
                <w:szCs w:val="24"/>
              </w:rPr>
              <w:t>施工工期</w:t>
            </w:r>
          </w:p>
        </w:tc>
        <w:tc>
          <w:tcPr>
            <w:tcW w:w="2935" w:type="dxa"/>
            <w:gridSpan w:val="2"/>
            <w:vAlign w:val="top"/>
          </w:tcPr>
          <w:p>
            <w:pPr>
              <w:pStyle w:val="6"/>
              <w:spacing w:before="95" w:line="217" w:lineRule="auto"/>
              <w:ind w:left="1138"/>
              <w:rPr>
                <w:sz w:val="24"/>
                <w:szCs w:val="24"/>
              </w:rPr>
            </w:pPr>
            <w:r>
              <w:rPr>
                <w:rFonts w:ascii="Times New Roman" w:hAnsi="Times New Roman" w:eastAsia="Times New Roman" w:cs="Times New Roman"/>
                <w:spacing w:val="-5"/>
                <w:sz w:val="24"/>
                <w:szCs w:val="24"/>
              </w:rPr>
              <w:t>7</w:t>
            </w:r>
            <w:r>
              <w:rPr>
                <w:rFonts w:ascii="Times New Roman" w:hAnsi="Times New Roman" w:eastAsia="Times New Roman" w:cs="Times New Roman"/>
                <w:spacing w:val="9"/>
                <w:sz w:val="24"/>
                <w:szCs w:val="24"/>
              </w:rPr>
              <w:t xml:space="preserve"> </w:t>
            </w:r>
            <w:r>
              <w:rPr>
                <w:spacing w:val="-5"/>
                <w:sz w:val="24"/>
                <w:szCs w:val="2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2106" w:type="dxa"/>
            <w:vAlign w:val="top"/>
          </w:tcPr>
          <w:p>
            <w:pPr>
              <w:pStyle w:val="6"/>
              <w:spacing w:before="313" w:line="220" w:lineRule="auto"/>
              <w:ind w:left="341"/>
              <w:rPr>
                <w:sz w:val="24"/>
                <w:szCs w:val="24"/>
              </w:rPr>
            </w:pPr>
            <w:r>
              <w:rPr>
                <w:spacing w:val="-2"/>
                <w:sz w:val="24"/>
                <w:szCs w:val="24"/>
              </w:rPr>
              <w:t>是否开工建设</w:t>
            </w:r>
          </w:p>
        </w:tc>
        <w:tc>
          <w:tcPr>
            <w:tcW w:w="6991" w:type="dxa"/>
            <w:gridSpan w:val="5"/>
            <w:vAlign w:val="top"/>
          </w:tcPr>
          <w:p>
            <w:pPr>
              <w:pStyle w:val="6"/>
              <w:spacing w:before="157" w:line="220" w:lineRule="auto"/>
              <w:ind w:left="122"/>
              <w:rPr>
                <w:sz w:val="24"/>
                <w:szCs w:val="24"/>
              </w:rPr>
            </w:pPr>
            <w:r>
              <w:rPr>
                <w:rFonts w:ascii="MS Gothic" w:hAnsi="MS Gothic" w:eastAsia="MS Gothic" w:cs="MS Gothic"/>
                <w:spacing w:val="-9"/>
                <w:sz w:val="24"/>
                <w:szCs w:val="24"/>
              </w:rPr>
              <w:t>☑</w:t>
            </w:r>
            <w:r>
              <w:rPr>
                <w:spacing w:val="-9"/>
                <w:sz w:val="24"/>
                <w:szCs w:val="24"/>
              </w:rPr>
              <w:t>否</w:t>
            </w:r>
          </w:p>
          <w:p>
            <w:pPr>
              <w:pStyle w:val="6"/>
              <w:spacing w:before="25" w:line="237" w:lineRule="auto"/>
              <w:ind w:left="106"/>
              <w:rPr>
                <w:sz w:val="24"/>
                <w:szCs w:val="24"/>
              </w:rPr>
            </w:pPr>
            <w:r>
              <w:rPr>
                <w:rFonts w:ascii="Times New Roman" w:hAnsi="Times New Roman" w:eastAsia="Times New Roman" w:cs="Times New Roman"/>
                <w:spacing w:val="-36"/>
                <w:sz w:val="24"/>
                <w:szCs w:val="24"/>
              </w:rPr>
              <w:t>□</w:t>
            </w:r>
            <w:r>
              <w:rPr>
                <w:spacing w:val="-36"/>
                <w:sz w:val="24"/>
                <w:szCs w:val="24"/>
              </w:rPr>
              <w:t>是：</w:t>
            </w:r>
            <w:r>
              <w:rPr>
                <w:spacing w:val="-31"/>
                <w:sz w:val="24"/>
                <w:szCs w:val="24"/>
              </w:rPr>
              <w:t xml:space="preserve"> </w:t>
            </w:r>
            <w:r>
              <w:rPr>
                <w:sz w:val="24"/>
                <w:szCs w:val="24"/>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10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218" w:lineRule="auto"/>
              <w:ind w:left="98"/>
              <w:rPr>
                <w:sz w:val="24"/>
                <w:szCs w:val="24"/>
              </w:rPr>
            </w:pPr>
            <w:r>
              <w:rPr>
                <w:spacing w:val="-2"/>
                <w:sz w:val="24"/>
                <w:szCs w:val="24"/>
              </w:rPr>
              <w:t>专项评价设置情况</w:t>
            </w:r>
          </w:p>
        </w:tc>
        <w:tc>
          <w:tcPr>
            <w:tcW w:w="908" w:type="dxa"/>
            <w:vAlign w:val="top"/>
          </w:tcPr>
          <w:p>
            <w:pPr>
              <w:pStyle w:val="6"/>
              <w:spacing w:before="67" w:line="219" w:lineRule="auto"/>
              <w:ind w:left="55"/>
              <w:rPr>
                <w:sz w:val="21"/>
                <w:szCs w:val="21"/>
              </w:rPr>
            </w:pPr>
            <w:r>
              <w:rPr>
                <w:spacing w:val="-2"/>
                <w:sz w:val="21"/>
                <w:szCs w:val="21"/>
              </w:rPr>
              <w:t>专项评价</w:t>
            </w:r>
          </w:p>
          <w:p>
            <w:pPr>
              <w:pStyle w:val="6"/>
              <w:spacing w:before="24" w:line="178" w:lineRule="auto"/>
              <w:ind w:left="175"/>
              <w:rPr>
                <w:sz w:val="21"/>
                <w:szCs w:val="21"/>
              </w:rPr>
            </w:pPr>
            <w:r>
              <w:rPr>
                <w:spacing w:val="-5"/>
                <w:sz w:val="21"/>
                <w:szCs w:val="21"/>
              </w:rPr>
              <w:t>的类别</w:t>
            </w:r>
          </w:p>
        </w:tc>
        <w:tc>
          <w:tcPr>
            <w:tcW w:w="6083" w:type="dxa"/>
            <w:gridSpan w:val="4"/>
            <w:vAlign w:val="top"/>
          </w:tcPr>
          <w:p>
            <w:pPr>
              <w:pStyle w:val="6"/>
              <w:spacing w:before="203" w:line="222" w:lineRule="auto"/>
              <w:ind w:left="2626"/>
              <w:rPr>
                <w:sz w:val="21"/>
                <w:szCs w:val="21"/>
              </w:rPr>
            </w:pPr>
            <w:r>
              <w:rPr>
                <w:spacing w:val="-3"/>
                <w:sz w:val="21"/>
                <w:szCs w:val="21"/>
              </w:rPr>
              <w:t>设置理由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106" w:type="dxa"/>
            <w:vMerge w:val="continue"/>
            <w:tcBorders>
              <w:top w:val="nil"/>
              <w:bottom w:val="nil"/>
            </w:tcBorders>
            <w:vAlign w:val="top"/>
          </w:tcPr>
          <w:p>
            <w:pPr>
              <w:rPr>
                <w:rFonts w:ascii="Arial"/>
                <w:sz w:val="21"/>
              </w:rPr>
            </w:pPr>
          </w:p>
        </w:tc>
        <w:tc>
          <w:tcPr>
            <w:tcW w:w="908" w:type="dxa"/>
            <w:vAlign w:val="top"/>
          </w:tcPr>
          <w:p>
            <w:pPr>
              <w:pStyle w:val="6"/>
              <w:spacing w:before="199" w:line="221" w:lineRule="auto"/>
              <w:ind w:left="157"/>
              <w:rPr>
                <w:sz w:val="21"/>
                <w:szCs w:val="21"/>
              </w:rPr>
            </w:pPr>
            <w:r>
              <w:rPr>
                <w:spacing w:val="-2"/>
                <w:sz w:val="21"/>
                <w:szCs w:val="21"/>
              </w:rPr>
              <w:t>地表水</w:t>
            </w:r>
          </w:p>
        </w:tc>
        <w:tc>
          <w:tcPr>
            <w:tcW w:w="6083" w:type="dxa"/>
            <w:gridSpan w:val="4"/>
            <w:vAlign w:val="top"/>
          </w:tcPr>
          <w:p>
            <w:pPr>
              <w:pStyle w:val="6"/>
              <w:spacing w:before="64" w:line="210" w:lineRule="auto"/>
              <w:ind w:left="110" w:right="21" w:hanging="84"/>
              <w:rPr>
                <w:sz w:val="21"/>
                <w:szCs w:val="21"/>
              </w:rPr>
            </w:pPr>
            <w:r>
              <w:rPr>
                <w:spacing w:val="-2"/>
                <w:sz w:val="21"/>
                <w:szCs w:val="21"/>
              </w:rPr>
              <w:t>本项目不属于《建设项目环境影响报告表编制技术指南》（</w:t>
            </w:r>
            <w:r>
              <w:rPr>
                <w:spacing w:val="-3"/>
                <w:sz w:val="21"/>
                <w:szCs w:val="21"/>
              </w:rPr>
              <w:t>生态影</w:t>
            </w:r>
            <w:r>
              <w:rPr>
                <w:sz w:val="21"/>
                <w:szCs w:val="21"/>
              </w:rPr>
              <w:t xml:space="preserve"> </w:t>
            </w:r>
            <w:r>
              <w:rPr>
                <w:spacing w:val="-9"/>
                <w:sz w:val="21"/>
                <w:szCs w:val="21"/>
              </w:rPr>
              <w:t>响类</w:t>
            </w:r>
            <w:r>
              <w:rPr>
                <w:sz w:val="21"/>
                <w:szCs w:val="21"/>
              </w:rPr>
              <w:t>）</w:t>
            </w:r>
            <w:r>
              <w:rPr>
                <w:spacing w:val="24"/>
                <w:sz w:val="21"/>
                <w:szCs w:val="21"/>
              </w:rPr>
              <w:t xml:space="preserve"> </w:t>
            </w:r>
            <w:r>
              <w:rPr>
                <w:sz w:val="21"/>
                <w:szCs w:val="21"/>
              </w:rPr>
              <w:t>（</w:t>
            </w:r>
            <w:r>
              <w:rPr>
                <w:spacing w:val="-9"/>
                <w:sz w:val="21"/>
                <w:szCs w:val="21"/>
              </w:rPr>
              <w:t>试行） 中地表水专章内项目，因此不设置地</w:t>
            </w:r>
            <w:r>
              <w:rPr>
                <w:spacing w:val="-10"/>
                <w:sz w:val="21"/>
                <w:szCs w:val="21"/>
              </w:rPr>
              <w:t>表水专章。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2106" w:type="dxa"/>
            <w:vMerge w:val="continue"/>
            <w:tcBorders>
              <w:top w:val="nil"/>
              <w:bottom w:val="nil"/>
            </w:tcBorders>
            <w:vAlign w:val="top"/>
          </w:tcPr>
          <w:p>
            <w:pPr>
              <w:rPr>
                <w:rFonts w:ascii="Arial"/>
                <w:sz w:val="21"/>
              </w:rPr>
            </w:pPr>
          </w:p>
        </w:tc>
        <w:tc>
          <w:tcPr>
            <w:tcW w:w="908"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8" w:line="221" w:lineRule="auto"/>
              <w:ind w:left="157"/>
              <w:rPr>
                <w:sz w:val="21"/>
                <w:szCs w:val="21"/>
              </w:rPr>
            </w:pPr>
            <w:r>
              <w:rPr>
                <w:spacing w:val="-2"/>
                <w:sz w:val="21"/>
                <w:szCs w:val="21"/>
              </w:rPr>
              <w:t>地下水</w:t>
            </w:r>
          </w:p>
        </w:tc>
        <w:tc>
          <w:tcPr>
            <w:tcW w:w="6083" w:type="dxa"/>
            <w:gridSpan w:val="4"/>
            <w:vAlign w:val="top"/>
          </w:tcPr>
          <w:p>
            <w:pPr>
              <w:pStyle w:val="6"/>
              <w:spacing w:before="62" w:line="236" w:lineRule="auto"/>
              <w:ind w:left="24" w:right="13" w:firstLine="1"/>
              <w:jc w:val="both"/>
              <w:rPr>
                <w:sz w:val="21"/>
                <w:szCs w:val="21"/>
              </w:rPr>
            </w:pPr>
            <w:r>
              <w:rPr>
                <w:spacing w:val="-2"/>
                <w:sz w:val="21"/>
                <w:szCs w:val="21"/>
              </w:rPr>
              <w:t>拟建项目为专业技术服务业类项目中的陆地矿产资源地质勘查</w:t>
            </w:r>
            <w:r>
              <w:rPr>
                <w:spacing w:val="-3"/>
                <w:sz w:val="21"/>
                <w:szCs w:val="21"/>
              </w:rPr>
              <w:t>（含</w:t>
            </w:r>
            <w:r>
              <w:rPr>
                <w:sz w:val="21"/>
                <w:szCs w:val="21"/>
              </w:rPr>
              <w:t xml:space="preserve"> </w:t>
            </w:r>
            <w:r>
              <w:rPr>
                <w:spacing w:val="-4"/>
                <w:sz w:val="21"/>
                <w:szCs w:val="21"/>
              </w:rPr>
              <w:t>油气资源勘探</w:t>
            </w:r>
            <w:r>
              <w:rPr>
                <w:spacing w:val="-10"/>
                <w:sz w:val="21"/>
                <w:szCs w:val="21"/>
              </w:rPr>
              <w:t>）</w:t>
            </w:r>
            <w:r>
              <w:rPr>
                <w:spacing w:val="-36"/>
                <w:sz w:val="21"/>
                <w:szCs w:val="21"/>
              </w:rPr>
              <w:t xml:space="preserve"> </w:t>
            </w:r>
            <w:r>
              <w:rPr>
                <w:spacing w:val="-10"/>
                <w:sz w:val="21"/>
                <w:szCs w:val="21"/>
              </w:rPr>
              <w:t>；</w:t>
            </w:r>
            <w:r>
              <w:rPr>
                <w:spacing w:val="-4"/>
                <w:sz w:val="21"/>
                <w:szCs w:val="21"/>
              </w:rPr>
              <w:t>二氧化碳地质封存，根据《建设项目环境影响报</w:t>
            </w:r>
            <w:r>
              <w:rPr>
                <w:sz w:val="21"/>
                <w:szCs w:val="21"/>
              </w:rPr>
              <w:t xml:space="preserve"> </w:t>
            </w:r>
            <w:r>
              <w:rPr>
                <w:spacing w:val="-9"/>
                <w:sz w:val="21"/>
                <w:szCs w:val="21"/>
              </w:rPr>
              <w:t>告表编制技术指南》（生态影响类</w:t>
            </w:r>
            <w:r>
              <w:rPr>
                <w:spacing w:val="2"/>
                <w:sz w:val="21"/>
                <w:szCs w:val="21"/>
              </w:rPr>
              <w:t>）</w:t>
            </w:r>
            <w:r>
              <w:rPr>
                <w:spacing w:val="9"/>
                <w:sz w:val="21"/>
                <w:szCs w:val="21"/>
              </w:rPr>
              <w:t xml:space="preserve"> </w:t>
            </w:r>
            <w:r>
              <w:rPr>
                <w:spacing w:val="2"/>
                <w:sz w:val="21"/>
                <w:szCs w:val="21"/>
              </w:rPr>
              <w:t>（</w:t>
            </w:r>
            <w:r>
              <w:rPr>
                <w:spacing w:val="-9"/>
                <w:sz w:val="21"/>
                <w:szCs w:val="21"/>
              </w:rPr>
              <w:t>试行）</w:t>
            </w:r>
            <w:r>
              <w:rPr>
                <w:spacing w:val="-32"/>
                <w:sz w:val="21"/>
                <w:szCs w:val="21"/>
              </w:rPr>
              <w:t xml:space="preserve"> </w:t>
            </w:r>
            <w:r>
              <w:rPr>
                <w:spacing w:val="-9"/>
                <w:sz w:val="21"/>
                <w:szCs w:val="21"/>
              </w:rPr>
              <w:t>不设置地下水专题，</w:t>
            </w:r>
            <w:r>
              <w:rPr>
                <w:sz w:val="21"/>
                <w:szCs w:val="21"/>
              </w:rPr>
              <w:t xml:space="preserve"> </w:t>
            </w:r>
            <w:r>
              <w:rPr>
                <w:spacing w:val="-2"/>
                <w:sz w:val="21"/>
                <w:szCs w:val="21"/>
              </w:rPr>
              <w:t>但本项目环境影响与“陆地石油和天然气开采业”中钻井工程的环</w:t>
            </w:r>
            <w:r>
              <w:rPr>
                <w:sz w:val="21"/>
                <w:szCs w:val="21"/>
              </w:rPr>
              <w:t xml:space="preserve"> </w:t>
            </w:r>
            <w:r>
              <w:rPr>
                <w:spacing w:val="-5"/>
                <w:sz w:val="21"/>
                <w:szCs w:val="21"/>
              </w:rPr>
              <w:t>境影响情况相似，为更好管控其造成的环境影响，</w:t>
            </w:r>
            <w:r>
              <w:rPr>
                <w:spacing w:val="-19"/>
                <w:sz w:val="21"/>
                <w:szCs w:val="21"/>
              </w:rPr>
              <w:t xml:space="preserve"> </w:t>
            </w:r>
            <w:r>
              <w:rPr>
                <w:spacing w:val="-5"/>
                <w:sz w:val="21"/>
                <w:szCs w:val="21"/>
              </w:rPr>
              <w:t>因此本次专项评</w:t>
            </w:r>
            <w:r>
              <w:rPr>
                <w:sz w:val="21"/>
                <w:szCs w:val="21"/>
              </w:rPr>
              <w:t xml:space="preserve"> </w:t>
            </w:r>
            <w:r>
              <w:rPr>
                <w:spacing w:val="-5"/>
                <w:sz w:val="21"/>
                <w:szCs w:val="21"/>
              </w:rPr>
              <w:t>价设置参照“石油和天然气开采”进行设置，</w:t>
            </w:r>
            <w:r>
              <w:rPr>
                <w:spacing w:val="-19"/>
                <w:sz w:val="21"/>
                <w:szCs w:val="21"/>
              </w:rPr>
              <w:t xml:space="preserve"> </w:t>
            </w:r>
            <w:r>
              <w:rPr>
                <w:spacing w:val="-5"/>
                <w:sz w:val="21"/>
                <w:szCs w:val="21"/>
              </w:rPr>
              <w:t>即本次环评设置地下</w:t>
            </w:r>
          </w:p>
          <w:p>
            <w:pPr>
              <w:pStyle w:val="6"/>
              <w:spacing w:before="22" w:line="191" w:lineRule="auto"/>
              <w:ind w:left="1993"/>
              <w:rPr>
                <w:sz w:val="21"/>
                <w:szCs w:val="21"/>
              </w:rPr>
            </w:pPr>
            <w:r>
              <w:rPr>
                <w:spacing w:val="-1"/>
                <w:sz w:val="21"/>
                <w:szCs w:val="21"/>
              </w:rPr>
              <w:t>水环境影响专项评价。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2106" w:type="dxa"/>
            <w:vMerge w:val="continue"/>
            <w:tcBorders>
              <w:top w:val="nil"/>
              <w:bottom w:val="nil"/>
            </w:tcBorders>
            <w:vAlign w:val="top"/>
          </w:tcPr>
          <w:p>
            <w:pPr>
              <w:rPr>
                <w:rFonts w:ascii="Arial"/>
                <w:sz w:val="21"/>
              </w:rPr>
            </w:pPr>
          </w:p>
        </w:tc>
        <w:tc>
          <w:tcPr>
            <w:tcW w:w="908" w:type="dxa"/>
            <w:vAlign w:val="top"/>
          </w:tcPr>
          <w:p>
            <w:pPr>
              <w:spacing w:line="251" w:lineRule="auto"/>
              <w:rPr>
                <w:rFonts w:ascii="Arial"/>
                <w:sz w:val="21"/>
              </w:rPr>
            </w:pPr>
          </w:p>
          <w:p>
            <w:pPr>
              <w:pStyle w:val="6"/>
              <w:spacing w:before="68" w:line="226" w:lineRule="auto"/>
              <w:ind w:left="265"/>
              <w:rPr>
                <w:sz w:val="21"/>
                <w:szCs w:val="21"/>
              </w:rPr>
            </w:pPr>
            <w:r>
              <w:rPr>
                <w:spacing w:val="-2"/>
                <w:sz w:val="21"/>
                <w:szCs w:val="21"/>
              </w:rPr>
              <w:t>生态</w:t>
            </w:r>
          </w:p>
        </w:tc>
        <w:tc>
          <w:tcPr>
            <w:tcW w:w="6083" w:type="dxa"/>
            <w:gridSpan w:val="4"/>
            <w:vAlign w:val="top"/>
          </w:tcPr>
          <w:p>
            <w:pPr>
              <w:pStyle w:val="6"/>
              <w:spacing w:before="50" w:line="219" w:lineRule="auto"/>
              <w:ind w:left="25"/>
              <w:rPr>
                <w:sz w:val="21"/>
                <w:szCs w:val="21"/>
              </w:rPr>
            </w:pPr>
            <w:r>
              <w:rPr>
                <w:spacing w:val="-5"/>
                <w:sz w:val="21"/>
                <w:szCs w:val="21"/>
              </w:rPr>
              <w:t>根据《建设项目环境影响报告表编制技术指南》（生态影响类</w:t>
            </w:r>
            <w:r>
              <w:rPr>
                <w:spacing w:val="-57"/>
                <w:w w:val="95"/>
                <w:sz w:val="21"/>
                <w:szCs w:val="21"/>
              </w:rPr>
              <w:t>）（</w:t>
            </w:r>
            <w:r>
              <w:rPr>
                <w:spacing w:val="-5"/>
                <w:sz w:val="21"/>
                <w:szCs w:val="21"/>
              </w:rPr>
              <w:t>试</w:t>
            </w:r>
          </w:p>
          <w:p>
            <w:pPr>
              <w:pStyle w:val="6"/>
              <w:spacing w:before="21" w:line="217" w:lineRule="auto"/>
              <w:ind w:left="730" w:right="30" w:hanging="701"/>
              <w:rPr>
                <w:sz w:val="21"/>
                <w:szCs w:val="21"/>
              </w:rPr>
            </w:pPr>
            <w:r>
              <w:rPr>
                <w:spacing w:val="-4"/>
                <w:sz w:val="21"/>
                <w:szCs w:val="21"/>
              </w:rPr>
              <w:t>行</w:t>
            </w:r>
            <w:r>
              <w:rPr>
                <w:spacing w:val="17"/>
                <w:sz w:val="21"/>
                <w:szCs w:val="21"/>
              </w:rPr>
              <w:t>），</w:t>
            </w:r>
            <w:r>
              <w:rPr>
                <w:spacing w:val="-4"/>
                <w:sz w:val="21"/>
                <w:szCs w:val="21"/>
              </w:rPr>
              <w:t>本项目不涉及《建设项目环境影响评价分类管理名录》中针</w:t>
            </w:r>
            <w:r>
              <w:rPr>
                <w:spacing w:val="1"/>
                <w:sz w:val="21"/>
                <w:szCs w:val="21"/>
              </w:rPr>
              <w:t xml:space="preserve"> </w:t>
            </w:r>
            <w:r>
              <w:rPr>
                <w:spacing w:val="-1"/>
                <w:sz w:val="21"/>
                <w:szCs w:val="21"/>
              </w:rPr>
              <w:t>对该类项目所列的敏感区。因此不设置生态专章。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2106" w:type="dxa"/>
            <w:vMerge w:val="continue"/>
            <w:tcBorders>
              <w:top w:val="nil"/>
              <w:bottom w:val="nil"/>
            </w:tcBorders>
            <w:vAlign w:val="top"/>
          </w:tcPr>
          <w:p>
            <w:pPr>
              <w:rPr>
                <w:rFonts w:ascii="Arial"/>
                <w:sz w:val="21"/>
              </w:rPr>
            </w:pPr>
          </w:p>
        </w:tc>
        <w:tc>
          <w:tcPr>
            <w:tcW w:w="908" w:type="dxa"/>
            <w:vAlign w:val="top"/>
          </w:tcPr>
          <w:p>
            <w:pPr>
              <w:spacing w:line="250" w:lineRule="auto"/>
              <w:rPr>
                <w:rFonts w:ascii="Arial"/>
                <w:sz w:val="21"/>
              </w:rPr>
            </w:pPr>
          </w:p>
          <w:p>
            <w:pPr>
              <w:pStyle w:val="6"/>
              <w:spacing w:before="68" w:line="221" w:lineRule="auto"/>
              <w:ind w:left="266"/>
              <w:rPr>
                <w:sz w:val="21"/>
                <w:szCs w:val="21"/>
              </w:rPr>
            </w:pPr>
            <w:r>
              <w:rPr>
                <w:spacing w:val="-3"/>
                <w:sz w:val="21"/>
                <w:szCs w:val="21"/>
              </w:rPr>
              <w:t>大气</w:t>
            </w:r>
          </w:p>
        </w:tc>
        <w:tc>
          <w:tcPr>
            <w:tcW w:w="6083" w:type="dxa"/>
            <w:gridSpan w:val="4"/>
            <w:vAlign w:val="top"/>
          </w:tcPr>
          <w:p>
            <w:pPr>
              <w:pStyle w:val="6"/>
              <w:spacing w:before="48" w:line="220" w:lineRule="auto"/>
              <w:jc w:val="right"/>
              <w:rPr>
                <w:sz w:val="21"/>
                <w:szCs w:val="21"/>
              </w:rPr>
            </w:pPr>
            <w:r>
              <w:rPr>
                <w:spacing w:val="-7"/>
                <w:sz w:val="21"/>
                <w:szCs w:val="21"/>
              </w:rPr>
              <w:t>本项目不属于油气、液化码头、 干散货（含煤炭</w:t>
            </w:r>
            <w:r>
              <w:rPr>
                <w:spacing w:val="-8"/>
                <w:sz w:val="21"/>
                <w:szCs w:val="21"/>
              </w:rPr>
              <w:t>、</w:t>
            </w:r>
            <w:r>
              <w:rPr>
                <w:spacing w:val="-32"/>
                <w:sz w:val="21"/>
                <w:szCs w:val="21"/>
              </w:rPr>
              <w:t xml:space="preserve"> </w:t>
            </w:r>
            <w:r>
              <w:rPr>
                <w:spacing w:val="-8"/>
                <w:sz w:val="21"/>
                <w:szCs w:val="21"/>
              </w:rPr>
              <w:t>矿石）、件杂、</w:t>
            </w:r>
          </w:p>
          <w:p>
            <w:pPr>
              <w:pStyle w:val="6"/>
              <w:spacing w:before="20" w:line="219" w:lineRule="auto"/>
              <w:ind w:left="2308" w:right="21" w:hanging="2273"/>
              <w:rPr>
                <w:sz w:val="21"/>
                <w:szCs w:val="21"/>
              </w:rPr>
            </w:pPr>
            <w:r>
              <w:rPr>
                <w:spacing w:val="-5"/>
                <w:sz w:val="21"/>
                <w:szCs w:val="21"/>
              </w:rPr>
              <w:t>多用途、通用码头：</w:t>
            </w:r>
            <w:r>
              <w:rPr>
                <w:spacing w:val="-30"/>
                <w:sz w:val="21"/>
                <w:szCs w:val="21"/>
              </w:rPr>
              <w:t xml:space="preserve"> </w:t>
            </w:r>
            <w:r>
              <w:rPr>
                <w:spacing w:val="-5"/>
                <w:sz w:val="21"/>
                <w:szCs w:val="21"/>
              </w:rPr>
              <w:t>涉及粉尘、挥发性有机物排放的项目，因此不</w:t>
            </w:r>
            <w:r>
              <w:rPr>
                <w:sz w:val="21"/>
                <w:szCs w:val="21"/>
              </w:rPr>
              <w:t xml:space="preserve"> </w:t>
            </w:r>
            <w:r>
              <w:rPr>
                <w:spacing w:val="-2"/>
                <w:sz w:val="21"/>
                <w:szCs w:val="21"/>
              </w:rPr>
              <w:t>设置大气专章。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106" w:type="dxa"/>
            <w:vMerge w:val="continue"/>
            <w:tcBorders>
              <w:top w:val="nil"/>
              <w:bottom w:val="nil"/>
            </w:tcBorders>
            <w:vAlign w:val="top"/>
          </w:tcPr>
          <w:p>
            <w:pPr>
              <w:rPr>
                <w:rFonts w:ascii="Arial"/>
                <w:sz w:val="21"/>
              </w:rPr>
            </w:pPr>
          </w:p>
        </w:tc>
        <w:tc>
          <w:tcPr>
            <w:tcW w:w="908" w:type="dxa"/>
            <w:vAlign w:val="top"/>
          </w:tcPr>
          <w:p>
            <w:pPr>
              <w:pStyle w:val="6"/>
              <w:spacing w:before="178" w:line="221" w:lineRule="auto"/>
              <w:ind w:left="273"/>
              <w:rPr>
                <w:sz w:val="21"/>
                <w:szCs w:val="21"/>
              </w:rPr>
            </w:pPr>
            <w:r>
              <w:rPr>
                <w:spacing w:val="-4"/>
                <w:sz w:val="21"/>
                <w:szCs w:val="21"/>
              </w:rPr>
              <w:t>噪声</w:t>
            </w:r>
          </w:p>
        </w:tc>
        <w:tc>
          <w:tcPr>
            <w:tcW w:w="6083" w:type="dxa"/>
            <w:gridSpan w:val="4"/>
            <w:vAlign w:val="top"/>
          </w:tcPr>
          <w:p>
            <w:pPr>
              <w:pStyle w:val="6"/>
              <w:spacing w:before="41" w:line="220" w:lineRule="auto"/>
              <w:ind w:left="2097" w:right="42" w:hanging="2071"/>
              <w:rPr>
                <w:sz w:val="21"/>
                <w:szCs w:val="21"/>
              </w:rPr>
            </w:pPr>
            <w:r>
              <w:rPr>
                <w:spacing w:val="-3"/>
                <w:sz w:val="21"/>
                <w:szCs w:val="21"/>
              </w:rPr>
              <w:t>本项目不属于公路、铁路、机场等交通运输业、城市道路项目，因</w:t>
            </w:r>
            <w:r>
              <w:rPr>
                <w:spacing w:val="4"/>
                <w:sz w:val="21"/>
                <w:szCs w:val="21"/>
              </w:rPr>
              <w:t xml:space="preserve"> </w:t>
            </w:r>
            <w:r>
              <w:rPr>
                <w:spacing w:val="-1"/>
                <w:sz w:val="21"/>
                <w:szCs w:val="21"/>
              </w:rPr>
              <w:t>此不涉及噪声专章。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2106" w:type="dxa"/>
            <w:vMerge w:val="continue"/>
            <w:tcBorders>
              <w:top w:val="nil"/>
            </w:tcBorders>
            <w:vAlign w:val="top"/>
          </w:tcPr>
          <w:p>
            <w:pPr>
              <w:rPr>
                <w:rFonts w:ascii="Arial"/>
                <w:sz w:val="21"/>
              </w:rPr>
            </w:pPr>
          </w:p>
        </w:tc>
        <w:tc>
          <w:tcPr>
            <w:tcW w:w="908" w:type="dxa"/>
            <w:vAlign w:val="top"/>
          </w:tcPr>
          <w:p>
            <w:pPr>
              <w:spacing w:line="243" w:lineRule="auto"/>
              <w:rPr>
                <w:rFonts w:ascii="Arial"/>
                <w:sz w:val="21"/>
              </w:rPr>
            </w:pPr>
          </w:p>
          <w:p>
            <w:pPr>
              <w:pStyle w:val="6"/>
              <w:spacing w:before="68" w:line="221" w:lineRule="auto"/>
              <w:ind w:left="54"/>
              <w:rPr>
                <w:sz w:val="21"/>
                <w:szCs w:val="21"/>
              </w:rPr>
            </w:pPr>
            <w:r>
              <w:rPr>
                <w:spacing w:val="-2"/>
                <w:sz w:val="21"/>
                <w:szCs w:val="21"/>
              </w:rPr>
              <w:t>环境风险</w:t>
            </w:r>
          </w:p>
        </w:tc>
        <w:tc>
          <w:tcPr>
            <w:tcW w:w="6083" w:type="dxa"/>
            <w:gridSpan w:val="4"/>
            <w:vAlign w:val="top"/>
          </w:tcPr>
          <w:p>
            <w:pPr>
              <w:pStyle w:val="6"/>
              <w:spacing w:before="40" w:line="229" w:lineRule="auto"/>
              <w:ind w:left="28" w:right="21" w:hanging="3"/>
              <w:jc w:val="both"/>
              <w:rPr>
                <w:sz w:val="21"/>
                <w:szCs w:val="21"/>
              </w:rPr>
            </w:pPr>
            <w:r>
              <w:rPr>
                <w:spacing w:val="-2"/>
                <w:sz w:val="21"/>
                <w:szCs w:val="21"/>
              </w:rPr>
              <w:t>拟建项目为专业技术服务业类项目中的陆地矿产资源地质勘查</w:t>
            </w:r>
            <w:r>
              <w:rPr>
                <w:spacing w:val="-3"/>
                <w:sz w:val="21"/>
                <w:szCs w:val="21"/>
              </w:rPr>
              <w:t>（含</w:t>
            </w:r>
            <w:r>
              <w:rPr>
                <w:sz w:val="21"/>
                <w:szCs w:val="21"/>
              </w:rPr>
              <w:t xml:space="preserve"> </w:t>
            </w:r>
            <w:r>
              <w:rPr>
                <w:spacing w:val="-4"/>
                <w:sz w:val="21"/>
                <w:szCs w:val="21"/>
              </w:rPr>
              <w:t>油气资源勘探</w:t>
            </w:r>
            <w:r>
              <w:rPr>
                <w:spacing w:val="-13"/>
                <w:sz w:val="21"/>
                <w:szCs w:val="21"/>
              </w:rPr>
              <w:t>）</w:t>
            </w:r>
            <w:r>
              <w:rPr>
                <w:spacing w:val="-35"/>
                <w:sz w:val="21"/>
                <w:szCs w:val="21"/>
              </w:rPr>
              <w:t xml:space="preserve"> </w:t>
            </w:r>
            <w:r>
              <w:rPr>
                <w:spacing w:val="-13"/>
                <w:sz w:val="21"/>
                <w:szCs w:val="21"/>
              </w:rPr>
              <w:t>；</w:t>
            </w:r>
            <w:r>
              <w:rPr>
                <w:spacing w:val="-4"/>
                <w:sz w:val="21"/>
                <w:szCs w:val="21"/>
              </w:rPr>
              <w:t>二氧化碳地质封存，根据《建设项目环境影响报</w:t>
            </w:r>
            <w:r>
              <w:rPr>
                <w:sz w:val="21"/>
                <w:szCs w:val="21"/>
              </w:rPr>
              <w:t xml:space="preserve"> </w:t>
            </w:r>
            <w:r>
              <w:rPr>
                <w:spacing w:val="-8"/>
                <w:sz w:val="21"/>
                <w:szCs w:val="21"/>
              </w:rPr>
              <w:t>告表编制技术指南》（生态影响类</w:t>
            </w:r>
            <w:r>
              <w:rPr>
                <w:sz w:val="21"/>
                <w:szCs w:val="21"/>
              </w:rPr>
              <w:t>）</w:t>
            </w:r>
            <w:r>
              <w:rPr>
                <w:spacing w:val="-10"/>
                <w:sz w:val="21"/>
                <w:szCs w:val="21"/>
              </w:rPr>
              <w:t xml:space="preserve"> </w:t>
            </w:r>
            <w:r>
              <w:rPr>
                <w:sz w:val="21"/>
                <w:szCs w:val="21"/>
              </w:rPr>
              <w:t>（</w:t>
            </w:r>
            <w:r>
              <w:rPr>
                <w:spacing w:val="-8"/>
                <w:sz w:val="21"/>
                <w:szCs w:val="21"/>
              </w:rPr>
              <w:t>试行）</w:t>
            </w:r>
            <w:r>
              <w:rPr>
                <w:spacing w:val="-42"/>
                <w:sz w:val="21"/>
                <w:szCs w:val="21"/>
              </w:rPr>
              <w:t xml:space="preserve"> </w:t>
            </w:r>
            <w:r>
              <w:rPr>
                <w:spacing w:val="-8"/>
                <w:sz w:val="21"/>
                <w:szCs w:val="21"/>
              </w:rPr>
              <w:t>不设置</w:t>
            </w:r>
            <w:r>
              <w:rPr>
                <w:spacing w:val="-9"/>
                <w:sz w:val="21"/>
                <w:szCs w:val="21"/>
              </w:rPr>
              <w:t>专题，但本项</w:t>
            </w:r>
          </w:p>
        </w:tc>
      </w:tr>
    </w:tbl>
    <w:p>
      <w:pPr>
        <w:pStyle w:val="2"/>
        <w:rPr>
          <w:sz w:val="21"/>
        </w:rPr>
      </w:pPr>
    </w:p>
    <w:p>
      <w:pPr>
        <w:rPr>
          <w:sz w:val="21"/>
          <w:szCs w:val="21"/>
        </w:rPr>
        <w:sectPr>
          <w:footerReference r:id="rId7" w:type="default"/>
          <w:pgSz w:w="11907" w:h="16839"/>
          <w:pgMar w:top="400" w:right="1402" w:bottom="1181" w:left="1402"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1675"/>
        <w:gridCol w:w="907"/>
        <w:gridCol w:w="6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2116" w:type="dxa"/>
            <w:gridSpan w:val="2"/>
            <w:vAlign w:val="top"/>
          </w:tcPr>
          <w:p>
            <w:pPr>
              <w:rPr>
                <w:rFonts w:ascii="Arial"/>
                <w:sz w:val="21"/>
              </w:rPr>
            </w:pPr>
          </w:p>
        </w:tc>
        <w:tc>
          <w:tcPr>
            <w:tcW w:w="907" w:type="dxa"/>
            <w:vAlign w:val="top"/>
          </w:tcPr>
          <w:p>
            <w:pPr>
              <w:rPr>
                <w:rFonts w:ascii="Arial"/>
                <w:sz w:val="21"/>
              </w:rPr>
            </w:pPr>
          </w:p>
        </w:tc>
        <w:tc>
          <w:tcPr>
            <w:tcW w:w="6074" w:type="dxa"/>
            <w:vAlign w:val="top"/>
          </w:tcPr>
          <w:p>
            <w:pPr>
              <w:pStyle w:val="6"/>
              <w:spacing w:before="60" w:line="229" w:lineRule="auto"/>
              <w:ind w:left="16" w:firstLine="39"/>
              <w:jc w:val="both"/>
              <w:rPr>
                <w:sz w:val="21"/>
                <w:szCs w:val="21"/>
              </w:rPr>
            </w:pPr>
            <w:r>
              <w:rPr>
                <w:spacing w:val="-6"/>
                <w:sz w:val="21"/>
                <w:szCs w:val="21"/>
              </w:rPr>
              <w:t xml:space="preserve">目环境影响与“石油和天然气开采业”中钻井工程的环境影响情况 </w:t>
            </w:r>
            <w:r>
              <w:rPr>
                <w:spacing w:val="-11"/>
                <w:sz w:val="21"/>
                <w:szCs w:val="21"/>
              </w:rPr>
              <w:t xml:space="preserve">相似， 为更好管控其环境风险， 因此本次专项评价设置参照“陆地 </w:t>
            </w:r>
            <w:r>
              <w:rPr>
                <w:spacing w:val="-8"/>
                <w:sz w:val="21"/>
                <w:szCs w:val="21"/>
              </w:rPr>
              <w:t>石油和天然气开采”进行设置，即本次环评设置</w:t>
            </w:r>
            <w:r>
              <w:rPr>
                <w:spacing w:val="-9"/>
                <w:sz w:val="21"/>
                <w:szCs w:val="21"/>
              </w:rPr>
              <w:t>环境风险专项评价。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2116" w:type="dxa"/>
            <w:gridSpan w:val="2"/>
            <w:vAlign w:val="top"/>
          </w:tcPr>
          <w:p>
            <w:pPr>
              <w:spacing w:line="464" w:lineRule="auto"/>
              <w:rPr>
                <w:rFonts w:ascii="Arial"/>
                <w:sz w:val="21"/>
              </w:rPr>
            </w:pPr>
          </w:p>
          <w:p>
            <w:pPr>
              <w:pStyle w:val="6"/>
              <w:spacing w:before="78" w:line="220" w:lineRule="auto"/>
              <w:ind w:left="578"/>
              <w:rPr>
                <w:sz w:val="24"/>
                <w:szCs w:val="24"/>
              </w:rPr>
            </w:pPr>
            <w:r>
              <w:rPr>
                <w:spacing w:val="-2"/>
                <w:sz w:val="24"/>
                <w:szCs w:val="24"/>
              </w:rPr>
              <w:t>规划情况</w:t>
            </w:r>
          </w:p>
        </w:tc>
        <w:tc>
          <w:tcPr>
            <w:tcW w:w="6981" w:type="dxa"/>
            <w:gridSpan w:val="2"/>
            <w:vAlign w:val="top"/>
          </w:tcPr>
          <w:p>
            <w:pPr>
              <w:pStyle w:val="6"/>
              <w:spacing w:before="62" w:line="220" w:lineRule="auto"/>
              <w:ind w:left="8"/>
              <w:rPr>
                <w:sz w:val="24"/>
                <w:szCs w:val="24"/>
              </w:rPr>
            </w:pPr>
            <w:r>
              <w:rPr>
                <w:spacing w:val="-1"/>
                <w:sz w:val="24"/>
                <w:szCs w:val="24"/>
              </w:rPr>
              <w:t>规划名称：《四川省矿产资源总体规划（</w:t>
            </w:r>
            <w:r>
              <w:rPr>
                <w:rFonts w:ascii="Times New Roman" w:hAnsi="Times New Roman" w:eastAsia="Times New Roman" w:cs="Times New Roman"/>
                <w:spacing w:val="-1"/>
                <w:sz w:val="24"/>
                <w:szCs w:val="24"/>
              </w:rPr>
              <w:t xml:space="preserve">2021-2025 </w:t>
            </w:r>
            <w:r>
              <w:rPr>
                <w:spacing w:val="-1"/>
                <w:sz w:val="24"/>
                <w:szCs w:val="24"/>
              </w:rPr>
              <w:t>年）》</w:t>
            </w:r>
          </w:p>
          <w:p>
            <w:pPr>
              <w:pStyle w:val="6"/>
              <w:spacing w:before="71" w:line="219" w:lineRule="auto"/>
              <w:ind w:left="19"/>
              <w:rPr>
                <w:sz w:val="24"/>
                <w:szCs w:val="24"/>
              </w:rPr>
            </w:pPr>
            <w:r>
              <w:rPr>
                <w:spacing w:val="-2"/>
                <w:sz w:val="24"/>
                <w:szCs w:val="24"/>
              </w:rPr>
              <w:t>审批机关：自然资源部</w:t>
            </w:r>
          </w:p>
          <w:p>
            <w:pPr>
              <w:pStyle w:val="6"/>
              <w:spacing w:before="76" w:line="245" w:lineRule="auto"/>
              <w:ind w:left="7" w:right="17" w:firstLine="12"/>
              <w:rPr>
                <w:sz w:val="24"/>
                <w:szCs w:val="24"/>
              </w:rPr>
            </w:pPr>
            <w:r>
              <w:rPr>
                <w:spacing w:val="-7"/>
                <w:sz w:val="24"/>
                <w:szCs w:val="24"/>
              </w:rPr>
              <w:t>审批文件名称及文号：</w:t>
            </w:r>
            <w:r>
              <w:rPr>
                <w:spacing w:val="61"/>
                <w:sz w:val="24"/>
                <w:szCs w:val="24"/>
              </w:rPr>
              <w:t xml:space="preserve"> </w:t>
            </w:r>
            <w:r>
              <w:rPr>
                <w:spacing w:val="-7"/>
                <w:sz w:val="24"/>
                <w:szCs w:val="24"/>
              </w:rPr>
              <w:t>《自然资源部办公厅关于四川省矿产资源总</w:t>
            </w:r>
            <w:r>
              <w:rPr>
                <w:sz w:val="24"/>
                <w:szCs w:val="24"/>
              </w:rPr>
              <w:t xml:space="preserve"> </w:t>
            </w:r>
            <w:r>
              <w:rPr>
                <w:spacing w:val="-1"/>
                <w:sz w:val="24"/>
                <w:szCs w:val="24"/>
              </w:rPr>
              <w:t>体规划（</w:t>
            </w:r>
            <w:r>
              <w:rPr>
                <w:rFonts w:ascii="Times New Roman" w:hAnsi="Times New Roman" w:eastAsia="Times New Roman" w:cs="Times New Roman"/>
                <w:spacing w:val="-1"/>
                <w:sz w:val="24"/>
                <w:szCs w:val="24"/>
              </w:rPr>
              <w:t xml:space="preserve">2021-2025 </w:t>
            </w:r>
            <w:r>
              <w:rPr>
                <w:spacing w:val="-1"/>
                <w:sz w:val="24"/>
                <w:szCs w:val="24"/>
              </w:rPr>
              <w:t>年）的复函》（自然资办函</w:t>
            </w:r>
            <w:r>
              <w:rPr>
                <w:rFonts w:ascii="Times New Roman" w:hAnsi="Times New Roman" w:eastAsia="Times New Roman" w:cs="Times New Roman"/>
                <w:spacing w:val="-1"/>
                <w:sz w:val="24"/>
                <w:szCs w:val="24"/>
              </w:rPr>
              <w:t>[2022]1506</w:t>
            </w:r>
            <w:r>
              <w:rPr>
                <w:rFonts w:ascii="Times New Roman" w:hAnsi="Times New Roman" w:eastAsia="Times New Roman" w:cs="Times New Roman"/>
                <w:spacing w:val="27"/>
                <w:sz w:val="24"/>
                <w:szCs w:val="24"/>
              </w:rPr>
              <w:t xml:space="preserve"> </w:t>
            </w:r>
            <w:r>
              <w:rPr>
                <w:spacing w:val="-1"/>
                <w:sz w:val="24"/>
                <w:szCs w:val="2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9" w:hRule="atLeast"/>
        </w:trPr>
        <w:tc>
          <w:tcPr>
            <w:tcW w:w="2116" w:type="dxa"/>
            <w:gridSpan w:val="2"/>
            <w:vAlign w:val="top"/>
          </w:tcPr>
          <w:p>
            <w:pPr>
              <w:spacing w:line="400" w:lineRule="auto"/>
              <w:rPr>
                <w:rFonts w:ascii="Arial"/>
                <w:sz w:val="21"/>
              </w:rPr>
            </w:pPr>
          </w:p>
          <w:p>
            <w:pPr>
              <w:pStyle w:val="6"/>
              <w:spacing w:before="78" w:line="468" w:lineRule="exact"/>
              <w:ind w:left="338"/>
              <w:rPr>
                <w:sz w:val="24"/>
                <w:szCs w:val="24"/>
              </w:rPr>
            </w:pPr>
            <w:r>
              <w:rPr>
                <w:spacing w:val="-2"/>
                <w:position w:val="17"/>
                <w:sz w:val="24"/>
                <w:szCs w:val="24"/>
              </w:rPr>
              <w:t>规划环境影响</w:t>
            </w:r>
          </w:p>
          <w:p>
            <w:pPr>
              <w:pStyle w:val="6"/>
              <w:spacing w:line="218" w:lineRule="auto"/>
              <w:ind w:left="576"/>
              <w:rPr>
                <w:sz w:val="24"/>
                <w:szCs w:val="24"/>
              </w:rPr>
            </w:pPr>
            <w:r>
              <w:rPr>
                <w:spacing w:val="-2"/>
                <w:sz w:val="24"/>
                <w:szCs w:val="24"/>
              </w:rPr>
              <w:t>评价情况</w:t>
            </w:r>
          </w:p>
        </w:tc>
        <w:tc>
          <w:tcPr>
            <w:tcW w:w="6981" w:type="dxa"/>
            <w:gridSpan w:val="2"/>
            <w:vAlign w:val="top"/>
          </w:tcPr>
          <w:p>
            <w:pPr>
              <w:pStyle w:val="6"/>
              <w:spacing w:before="52" w:line="247" w:lineRule="auto"/>
              <w:ind w:left="5" w:right="34" w:firstLine="2"/>
              <w:rPr>
                <w:sz w:val="24"/>
                <w:szCs w:val="24"/>
              </w:rPr>
            </w:pPr>
            <w:r>
              <w:rPr>
                <w:spacing w:val="-10"/>
                <w:sz w:val="24"/>
                <w:szCs w:val="24"/>
              </w:rPr>
              <w:t>规划环评名称：  《四川省矿产资源总体规划（</w:t>
            </w:r>
            <w:r>
              <w:rPr>
                <w:rFonts w:ascii="Times New Roman" w:hAnsi="Times New Roman" w:eastAsia="Times New Roman" w:cs="Times New Roman"/>
                <w:spacing w:val="-10"/>
                <w:sz w:val="24"/>
                <w:szCs w:val="24"/>
              </w:rPr>
              <w:t>2021-2025</w:t>
            </w:r>
            <w:r>
              <w:rPr>
                <w:spacing w:val="-10"/>
                <w:sz w:val="24"/>
                <w:szCs w:val="24"/>
              </w:rPr>
              <w:t>）环境影响</w:t>
            </w:r>
            <w:r>
              <w:rPr>
                <w:spacing w:val="12"/>
                <w:sz w:val="24"/>
                <w:szCs w:val="24"/>
              </w:rPr>
              <w:t xml:space="preserve"> </w:t>
            </w:r>
            <w:r>
              <w:rPr>
                <w:spacing w:val="-4"/>
                <w:sz w:val="24"/>
                <w:szCs w:val="24"/>
              </w:rPr>
              <w:t>报告书》</w:t>
            </w:r>
          </w:p>
          <w:p>
            <w:pPr>
              <w:pStyle w:val="6"/>
              <w:spacing w:before="73" w:line="219" w:lineRule="auto"/>
              <w:ind w:left="19"/>
              <w:rPr>
                <w:sz w:val="24"/>
                <w:szCs w:val="24"/>
              </w:rPr>
            </w:pPr>
            <w:r>
              <w:rPr>
                <w:spacing w:val="-2"/>
                <w:sz w:val="24"/>
                <w:szCs w:val="24"/>
              </w:rPr>
              <w:t>审批机关：生态环境部</w:t>
            </w:r>
          </w:p>
          <w:p>
            <w:pPr>
              <w:pStyle w:val="6"/>
              <w:spacing w:before="72" w:line="247" w:lineRule="auto"/>
              <w:ind w:left="7" w:firstLine="12"/>
              <w:rPr>
                <w:sz w:val="24"/>
                <w:szCs w:val="24"/>
              </w:rPr>
            </w:pPr>
            <w:r>
              <w:rPr>
                <w:spacing w:val="-9"/>
                <w:sz w:val="24"/>
                <w:szCs w:val="24"/>
              </w:rPr>
              <w:t>审查文件名称及文号：《关于四川省矿产资源总体规划（</w:t>
            </w:r>
            <w:r>
              <w:rPr>
                <w:rFonts w:ascii="Times New Roman" w:hAnsi="Times New Roman" w:eastAsia="Times New Roman" w:cs="Times New Roman"/>
                <w:spacing w:val="-10"/>
                <w:sz w:val="24"/>
                <w:szCs w:val="24"/>
              </w:rPr>
              <w:t>2021-2025</w:t>
            </w:r>
            <w:r>
              <w:rPr>
                <w:spacing w:val="-10"/>
                <w:sz w:val="24"/>
                <w:szCs w:val="24"/>
              </w:rPr>
              <w:t>）</w:t>
            </w:r>
            <w:r>
              <w:rPr>
                <w:sz w:val="24"/>
                <w:szCs w:val="24"/>
              </w:rPr>
              <w:t xml:space="preserve"> </w:t>
            </w:r>
            <w:r>
              <w:rPr>
                <w:spacing w:val="-4"/>
                <w:sz w:val="24"/>
                <w:szCs w:val="24"/>
              </w:rPr>
              <w:t>环境影响报告书的审查意见》（环审〔</w:t>
            </w:r>
            <w:r>
              <w:rPr>
                <w:rFonts w:ascii="Times New Roman" w:hAnsi="Times New Roman" w:eastAsia="Times New Roman" w:cs="Times New Roman"/>
                <w:spacing w:val="-4"/>
                <w:sz w:val="24"/>
                <w:szCs w:val="24"/>
              </w:rPr>
              <w:t>2022</w:t>
            </w:r>
            <w:r>
              <w:rPr>
                <w:spacing w:val="-4"/>
                <w:sz w:val="24"/>
                <w:szCs w:val="24"/>
              </w:rPr>
              <w:t>〕</w:t>
            </w:r>
            <w:r>
              <w:rPr>
                <w:rFonts w:ascii="Times New Roman" w:hAnsi="Times New Roman" w:eastAsia="Times New Roman" w:cs="Times New Roman"/>
                <w:spacing w:val="-4"/>
                <w:sz w:val="24"/>
                <w:szCs w:val="24"/>
              </w:rPr>
              <w:t>105</w:t>
            </w:r>
            <w:r>
              <w:rPr>
                <w:rFonts w:ascii="Times New Roman" w:hAnsi="Times New Roman" w:eastAsia="Times New Roman" w:cs="Times New Roman"/>
                <w:spacing w:val="32"/>
                <w:w w:val="101"/>
                <w:sz w:val="24"/>
                <w:szCs w:val="24"/>
              </w:rPr>
              <w:t xml:space="preserve"> </w:t>
            </w:r>
            <w:r>
              <w:rPr>
                <w:spacing w:val="-4"/>
                <w:sz w:val="24"/>
                <w:szCs w:val="2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2" w:hRule="atLeast"/>
        </w:trPr>
        <w:tc>
          <w:tcPr>
            <w:tcW w:w="441" w:type="dxa"/>
            <w:textDirection w:val="tbRlV"/>
            <w:vAlign w:val="top"/>
          </w:tcPr>
          <w:p>
            <w:pPr>
              <w:pStyle w:val="6"/>
              <w:spacing w:before="97" w:line="207" w:lineRule="auto"/>
              <w:ind w:left="2409"/>
              <w:rPr>
                <w:sz w:val="24"/>
                <w:szCs w:val="24"/>
              </w:rPr>
            </w:pPr>
            <w:r>
              <w:rPr>
                <w:sz w:val="24"/>
                <w:szCs w:val="24"/>
              </w:rPr>
              <w:t>规</w:t>
            </w:r>
            <w:r>
              <w:rPr>
                <w:spacing w:val="-51"/>
                <w:sz w:val="24"/>
                <w:szCs w:val="24"/>
              </w:rPr>
              <w:t xml:space="preserve"> </w:t>
            </w:r>
            <w:r>
              <w:rPr>
                <w:sz w:val="24"/>
                <w:szCs w:val="24"/>
              </w:rPr>
              <w:t>划</w:t>
            </w:r>
            <w:r>
              <w:rPr>
                <w:spacing w:val="-48"/>
                <w:sz w:val="24"/>
                <w:szCs w:val="24"/>
              </w:rPr>
              <w:t xml:space="preserve"> </w:t>
            </w:r>
            <w:r>
              <w:rPr>
                <w:sz w:val="24"/>
                <w:szCs w:val="24"/>
              </w:rPr>
              <w:t>及</w:t>
            </w:r>
            <w:r>
              <w:rPr>
                <w:spacing w:val="-48"/>
                <w:sz w:val="24"/>
                <w:szCs w:val="24"/>
              </w:rPr>
              <w:t xml:space="preserve"> </w:t>
            </w:r>
            <w:r>
              <w:rPr>
                <w:sz w:val="24"/>
                <w:szCs w:val="24"/>
              </w:rPr>
              <w:t>规</w:t>
            </w:r>
            <w:r>
              <w:rPr>
                <w:spacing w:val="-51"/>
                <w:sz w:val="24"/>
                <w:szCs w:val="24"/>
              </w:rPr>
              <w:t xml:space="preserve"> </w:t>
            </w:r>
            <w:r>
              <w:rPr>
                <w:sz w:val="24"/>
                <w:szCs w:val="24"/>
              </w:rPr>
              <w:t>划</w:t>
            </w:r>
            <w:r>
              <w:rPr>
                <w:spacing w:val="-48"/>
                <w:sz w:val="24"/>
                <w:szCs w:val="24"/>
              </w:rPr>
              <w:t xml:space="preserve"> </w:t>
            </w:r>
            <w:r>
              <w:rPr>
                <w:sz w:val="24"/>
                <w:szCs w:val="24"/>
              </w:rPr>
              <w:t>环</w:t>
            </w:r>
            <w:r>
              <w:rPr>
                <w:spacing w:val="-48"/>
                <w:sz w:val="24"/>
                <w:szCs w:val="24"/>
              </w:rPr>
              <w:t xml:space="preserve"> </w:t>
            </w:r>
            <w:r>
              <w:rPr>
                <w:sz w:val="24"/>
                <w:szCs w:val="24"/>
              </w:rPr>
              <w:t>境</w:t>
            </w:r>
            <w:r>
              <w:rPr>
                <w:spacing w:val="-48"/>
                <w:sz w:val="24"/>
                <w:szCs w:val="24"/>
              </w:rPr>
              <w:t xml:space="preserve"> </w:t>
            </w:r>
            <w:r>
              <w:rPr>
                <w:sz w:val="24"/>
                <w:szCs w:val="24"/>
              </w:rPr>
              <w:t>影</w:t>
            </w:r>
            <w:r>
              <w:rPr>
                <w:spacing w:val="-50"/>
                <w:sz w:val="24"/>
                <w:szCs w:val="24"/>
              </w:rPr>
              <w:t xml:space="preserve"> </w:t>
            </w:r>
            <w:r>
              <w:rPr>
                <w:sz w:val="24"/>
                <w:szCs w:val="24"/>
              </w:rPr>
              <w:t>响</w:t>
            </w:r>
            <w:r>
              <w:rPr>
                <w:spacing w:val="-48"/>
                <w:sz w:val="24"/>
                <w:szCs w:val="24"/>
              </w:rPr>
              <w:t xml:space="preserve"> </w:t>
            </w:r>
            <w:r>
              <w:rPr>
                <w:sz w:val="24"/>
                <w:szCs w:val="24"/>
              </w:rPr>
              <w:t>评</w:t>
            </w:r>
            <w:r>
              <w:rPr>
                <w:spacing w:val="-48"/>
                <w:sz w:val="24"/>
                <w:szCs w:val="24"/>
              </w:rPr>
              <w:t xml:space="preserve"> </w:t>
            </w:r>
            <w:r>
              <w:rPr>
                <w:sz w:val="24"/>
                <w:szCs w:val="24"/>
              </w:rPr>
              <w:t>价</w:t>
            </w:r>
            <w:r>
              <w:rPr>
                <w:spacing w:val="-51"/>
                <w:sz w:val="24"/>
                <w:szCs w:val="24"/>
              </w:rPr>
              <w:t xml:space="preserve"> </w:t>
            </w:r>
            <w:r>
              <w:rPr>
                <w:sz w:val="24"/>
                <w:szCs w:val="24"/>
              </w:rPr>
              <w:t>符</w:t>
            </w:r>
            <w:r>
              <w:rPr>
                <w:spacing w:val="-48"/>
                <w:sz w:val="24"/>
                <w:szCs w:val="24"/>
              </w:rPr>
              <w:t xml:space="preserve"> </w:t>
            </w:r>
            <w:r>
              <w:rPr>
                <w:sz w:val="24"/>
                <w:szCs w:val="24"/>
              </w:rPr>
              <w:t>合</w:t>
            </w:r>
            <w:r>
              <w:rPr>
                <w:spacing w:val="-48"/>
                <w:sz w:val="24"/>
                <w:szCs w:val="24"/>
              </w:rPr>
              <w:t xml:space="preserve"> </w:t>
            </w:r>
            <w:r>
              <w:rPr>
                <w:sz w:val="24"/>
                <w:szCs w:val="24"/>
              </w:rPr>
              <w:t>性</w:t>
            </w:r>
            <w:r>
              <w:rPr>
                <w:spacing w:val="-50"/>
                <w:sz w:val="24"/>
                <w:szCs w:val="24"/>
              </w:rPr>
              <w:t xml:space="preserve"> </w:t>
            </w:r>
            <w:r>
              <w:rPr>
                <w:sz w:val="24"/>
                <w:szCs w:val="24"/>
              </w:rPr>
              <w:t>分</w:t>
            </w:r>
            <w:r>
              <w:rPr>
                <w:spacing w:val="-48"/>
                <w:sz w:val="24"/>
                <w:szCs w:val="24"/>
              </w:rPr>
              <w:t xml:space="preserve"> </w:t>
            </w:r>
            <w:r>
              <w:rPr>
                <w:sz w:val="24"/>
                <w:szCs w:val="24"/>
              </w:rPr>
              <w:t>析</w:t>
            </w:r>
          </w:p>
        </w:tc>
        <w:tc>
          <w:tcPr>
            <w:tcW w:w="8656" w:type="dxa"/>
            <w:gridSpan w:val="3"/>
            <w:vAlign w:val="top"/>
          </w:tcPr>
          <w:p>
            <w:pPr>
              <w:pStyle w:val="6"/>
              <w:spacing w:before="244" w:line="218" w:lineRule="auto"/>
              <w:ind w:left="28"/>
              <w:rPr>
                <w:sz w:val="24"/>
                <w:szCs w:val="24"/>
              </w:rPr>
            </w:pPr>
            <w:r>
              <w:rPr>
                <w:rFonts w:ascii="Times New Roman" w:hAnsi="Times New Roman" w:eastAsia="Times New Roman" w:cs="Times New Roman"/>
                <w:b/>
                <w:bCs/>
                <w:spacing w:val="-1"/>
                <w:sz w:val="24"/>
                <w:szCs w:val="24"/>
              </w:rPr>
              <w:t xml:space="preserve">1.1 </w:t>
            </w:r>
            <w:r>
              <w:rPr>
                <w:spacing w:val="-1"/>
                <w:sz w:val="24"/>
                <w:szCs w:val="24"/>
                <w14:textOutline w14:w="4354" w14:cap="flat" w14:cmpd="sng">
                  <w14:solidFill>
                    <w14:srgbClr w14:val="000000"/>
                  </w14:solidFill>
                  <w14:prstDash w14:val="solid"/>
                  <w14:miter w14:val="10"/>
                </w14:textOutline>
              </w:rPr>
              <w:t>规划及规划环境影响评价符合性分析</w:t>
            </w:r>
          </w:p>
          <w:p>
            <w:pPr>
              <w:pStyle w:val="6"/>
              <w:spacing w:before="229" w:line="220" w:lineRule="auto"/>
              <w:ind w:left="28"/>
              <w:rPr>
                <w:sz w:val="24"/>
                <w:szCs w:val="24"/>
              </w:rPr>
            </w:pPr>
            <w:r>
              <w:rPr>
                <w:rFonts w:ascii="Times New Roman" w:hAnsi="Times New Roman" w:eastAsia="Times New Roman" w:cs="Times New Roman"/>
                <w:b/>
                <w:bCs/>
                <w:sz w:val="24"/>
                <w:szCs w:val="24"/>
              </w:rPr>
              <w:t>1.1.1</w:t>
            </w:r>
            <w:r>
              <w:rPr>
                <w:sz w:val="24"/>
                <w:szCs w:val="24"/>
                <w14:textOutline w14:w="4354" w14:cap="flat" w14:cmpd="sng">
                  <w14:solidFill>
                    <w14:srgbClr w14:val="000000"/>
                  </w14:solidFill>
                  <w14:prstDash w14:val="solid"/>
                  <w14:miter w14:val="10"/>
                </w14:textOutline>
              </w:rPr>
              <w:t>《四川省矿产资源总体规划（</w:t>
            </w:r>
            <w:r>
              <w:rPr>
                <w:rFonts w:ascii="Times New Roman" w:hAnsi="Times New Roman" w:eastAsia="Times New Roman" w:cs="Times New Roman"/>
                <w:b/>
                <w:bCs/>
                <w:sz w:val="24"/>
                <w:szCs w:val="24"/>
              </w:rPr>
              <w:t>2021-2025</w:t>
            </w:r>
            <w:r>
              <w:rPr>
                <w:sz w:val="24"/>
                <w:szCs w:val="24"/>
                <w14:textOutline w14:w="4354" w14:cap="flat" w14:cmpd="sng">
                  <w14:solidFill>
                    <w14:srgbClr w14:val="000000"/>
                  </w14:solidFill>
                  <w14:prstDash w14:val="solid"/>
                  <w14:miter w14:val="10"/>
                </w14:textOutline>
              </w:rPr>
              <w:t>）》符合性分析</w:t>
            </w:r>
          </w:p>
          <w:p>
            <w:pPr>
              <w:pStyle w:val="6"/>
              <w:spacing w:before="202" w:line="369" w:lineRule="auto"/>
              <w:ind w:left="28" w:firstLine="469"/>
              <w:jc w:val="both"/>
              <w:rPr>
                <w:sz w:val="24"/>
                <w:szCs w:val="24"/>
              </w:rPr>
            </w:pPr>
            <w:r>
              <w:rPr>
                <w:spacing w:val="-5"/>
                <w:sz w:val="24"/>
                <w:szCs w:val="24"/>
              </w:rPr>
              <w:t>根据四川省自然资源厅于</w:t>
            </w:r>
            <w:r>
              <w:rPr>
                <w:spacing w:val="-28"/>
                <w:sz w:val="24"/>
                <w:szCs w:val="24"/>
              </w:rPr>
              <w:t xml:space="preserve"> </w:t>
            </w:r>
            <w:r>
              <w:rPr>
                <w:rFonts w:ascii="Times New Roman" w:hAnsi="Times New Roman" w:eastAsia="Times New Roman" w:cs="Times New Roman"/>
                <w:spacing w:val="-5"/>
                <w:sz w:val="24"/>
                <w:szCs w:val="24"/>
              </w:rPr>
              <w:t>2023</w:t>
            </w:r>
            <w:r>
              <w:rPr>
                <w:rFonts w:ascii="Times New Roman" w:hAnsi="Times New Roman" w:eastAsia="Times New Roman" w:cs="Times New Roman"/>
                <w:spacing w:val="27"/>
                <w:sz w:val="24"/>
                <w:szCs w:val="24"/>
              </w:rPr>
              <w:t xml:space="preserve"> </w:t>
            </w:r>
            <w:r>
              <w:rPr>
                <w:spacing w:val="-5"/>
                <w:sz w:val="24"/>
                <w:szCs w:val="24"/>
              </w:rPr>
              <w:t>年</w:t>
            </w:r>
            <w:r>
              <w:rPr>
                <w:spacing w:val="-39"/>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1"/>
                <w:sz w:val="24"/>
                <w:szCs w:val="24"/>
              </w:rPr>
              <w:t xml:space="preserve"> </w:t>
            </w:r>
            <w:r>
              <w:rPr>
                <w:spacing w:val="-5"/>
                <w:sz w:val="24"/>
                <w:szCs w:val="24"/>
              </w:rPr>
              <w:t>月</w:t>
            </w:r>
            <w:r>
              <w:rPr>
                <w:spacing w:val="-29"/>
                <w:sz w:val="24"/>
                <w:szCs w:val="24"/>
              </w:rPr>
              <w:t xml:space="preserve"> </w:t>
            </w:r>
            <w:r>
              <w:rPr>
                <w:rFonts w:ascii="Times New Roman" w:hAnsi="Times New Roman" w:eastAsia="Times New Roman" w:cs="Times New Roman"/>
                <w:spacing w:val="-5"/>
                <w:sz w:val="24"/>
                <w:szCs w:val="24"/>
              </w:rPr>
              <w:t xml:space="preserve">8  </w:t>
            </w:r>
            <w:r>
              <w:rPr>
                <w:spacing w:val="-5"/>
                <w:sz w:val="24"/>
                <w:szCs w:val="24"/>
              </w:rPr>
              <w:t xml:space="preserve">日发布的《四川省矿产资源总体规划 </w:t>
            </w:r>
            <w:r>
              <w:rPr>
                <w:spacing w:val="-13"/>
                <w:sz w:val="24"/>
                <w:szCs w:val="24"/>
              </w:rPr>
              <w:t>（</w:t>
            </w:r>
            <w:r>
              <w:rPr>
                <w:rFonts w:ascii="Times New Roman" w:hAnsi="Times New Roman" w:eastAsia="Times New Roman" w:cs="Times New Roman"/>
                <w:spacing w:val="-13"/>
                <w:sz w:val="24"/>
                <w:szCs w:val="24"/>
              </w:rPr>
              <w:t xml:space="preserve">2021-2025 </w:t>
            </w:r>
            <w:r>
              <w:rPr>
                <w:spacing w:val="-13"/>
                <w:sz w:val="24"/>
                <w:szCs w:val="24"/>
              </w:rPr>
              <w:t>年</w:t>
            </w:r>
            <w:r>
              <w:rPr>
                <w:sz w:val="24"/>
                <w:szCs w:val="24"/>
              </w:rPr>
              <w:t>）</w:t>
            </w:r>
            <w:r>
              <w:rPr>
                <w:spacing w:val="-15"/>
                <w:sz w:val="24"/>
                <w:szCs w:val="24"/>
              </w:rPr>
              <w:t xml:space="preserve"> </w:t>
            </w:r>
            <w:r>
              <w:rPr>
                <w:sz w:val="24"/>
                <w:szCs w:val="24"/>
              </w:rPr>
              <w:t>（</w:t>
            </w:r>
            <w:r>
              <w:rPr>
                <w:spacing w:val="-13"/>
                <w:sz w:val="24"/>
                <w:szCs w:val="24"/>
              </w:rPr>
              <w:t>公开版）</w:t>
            </w:r>
            <w:r>
              <w:rPr>
                <w:spacing w:val="-34"/>
                <w:sz w:val="24"/>
                <w:szCs w:val="24"/>
              </w:rPr>
              <w:t xml:space="preserve"> </w:t>
            </w:r>
            <w:r>
              <w:rPr>
                <w:spacing w:val="-13"/>
                <w:sz w:val="24"/>
                <w:szCs w:val="24"/>
              </w:rPr>
              <w:t>》“川东北能源建材勘查开发区。</w:t>
            </w:r>
            <w:r>
              <w:rPr>
                <w:spacing w:val="50"/>
                <w:sz w:val="24"/>
                <w:szCs w:val="24"/>
              </w:rPr>
              <w:t xml:space="preserve"> </w:t>
            </w:r>
            <w:r>
              <w:rPr>
                <w:spacing w:val="-13"/>
                <w:sz w:val="24"/>
                <w:szCs w:val="24"/>
              </w:rPr>
              <w:t>……重点加强达州、</w:t>
            </w:r>
          </w:p>
          <w:p>
            <w:pPr>
              <w:pStyle w:val="6"/>
              <w:spacing w:line="219" w:lineRule="auto"/>
              <w:ind w:left="21"/>
              <w:rPr>
                <w:sz w:val="24"/>
                <w:szCs w:val="24"/>
              </w:rPr>
            </w:pPr>
            <w:r>
              <w:rPr>
                <w:spacing w:val="2"/>
                <w:sz w:val="24"/>
                <w:szCs w:val="24"/>
              </w:rPr>
              <w:t>广元、广安、巴中地区天然气、页岩油、致密气勘探开发。”</w:t>
            </w:r>
          </w:p>
          <w:p>
            <w:pPr>
              <w:pStyle w:val="6"/>
              <w:spacing w:before="194" w:line="220" w:lineRule="auto"/>
              <w:ind w:left="503"/>
              <w:rPr>
                <w:sz w:val="24"/>
                <w:szCs w:val="24"/>
              </w:rPr>
            </w:pPr>
            <w:r>
              <w:rPr>
                <w:spacing w:val="-1"/>
                <w:sz w:val="24"/>
                <w:szCs w:val="24"/>
                <w14:textOutline w14:w="4354" w14:cap="flat" w14:cmpd="sng">
                  <w14:solidFill>
                    <w14:srgbClr w14:val="000000"/>
                  </w14:solidFill>
                  <w14:prstDash w14:val="solid"/>
                  <w14:miter w14:val="10"/>
                </w14:textOutline>
              </w:rPr>
              <w:t>矿产勘查方向：</w:t>
            </w:r>
          </w:p>
          <w:p>
            <w:pPr>
              <w:pStyle w:val="6"/>
              <w:spacing w:before="196" w:line="369" w:lineRule="auto"/>
              <w:ind w:left="21" w:right="13" w:firstLine="483"/>
              <w:rPr>
                <w:sz w:val="24"/>
                <w:szCs w:val="24"/>
              </w:rPr>
            </w:pPr>
            <w:r>
              <w:rPr>
                <w:spacing w:val="-1"/>
                <w:sz w:val="24"/>
                <w:szCs w:val="24"/>
                <w14:textOutline w14:w="4354" w14:cap="flat" w14:cmpd="sng">
                  <w14:solidFill>
                    <w14:srgbClr w14:val="000000"/>
                  </w14:solidFill>
                  <w14:prstDash w14:val="solid"/>
                  <w14:miter w14:val="10"/>
                </w14:textOutline>
              </w:rPr>
              <w:t>重点勘查矿种</w:t>
            </w:r>
            <w:r>
              <w:rPr>
                <w:spacing w:val="-1"/>
                <w:sz w:val="24"/>
                <w:szCs w:val="24"/>
              </w:rPr>
              <w:t>：成都平原重点勘查天然气、页岩气、地热、矿泉水、优质玄武</w:t>
            </w:r>
            <w:r>
              <w:rPr>
                <w:spacing w:val="3"/>
                <w:sz w:val="24"/>
                <w:szCs w:val="24"/>
              </w:rPr>
              <w:t xml:space="preserve"> </w:t>
            </w:r>
            <w:r>
              <w:rPr>
                <w:spacing w:val="-1"/>
                <w:sz w:val="24"/>
                <w:szCs w:val="24"/>
              </w:rPr>
              <w:t>岩；川东北重点勘查天然气、页岩油、天然沥青、煤层气、</w:t>
            </w:r>
            <w:r>
              <w:rPr>
                <w:spacing w:val="-2"/>
                <w:sz w:val="24"/>
                <w:szCs w:val="24"/>
              </w:rPr>
              <w:t>钒、铼、地热、钾盐、</w:t>
            </w:r>
            <w:r>
              <w:rPr>
                <w:sz w:val="24"/>
                <w:szCs w:val="24"/>
              </w:rPr>
              <w:t xml:space="preserve"> </w:t>
            </w:r>
            <w:r>
              <w:rPr>
                <w:spacing w:val="-4"/>
                <w:sz w:val="24"/>
                <w:szCs w:val="24"/>
              </w:rPr>
              <w:t>石墨； 川南重点勘查天然气、页岩气、煤层气；攀西地区重点勘</w:t>
            </w:r>
            <w:r>
              <w:rPr>
                <w:spacing w:val="-5"/>
                <w:sz w:val="24"/>
                <w:szCs w:val="24"/>
              </w:rPr>
              <w:t>查钒钛磁铁矿（共</w:t>
            </w:r>
            <w:r>
              <w:rPr>
                <w:sz w:val="24"/>
                <w:szCs w:val="24"/>
              </w:rPr>
              <w:t xml:space="preserve"> </w:t>
            </w:r>
            <w:r>
              <w:rPr>
                <w:spacing w:val="-4"/>
                <w:sz w:val="24"/>
                <w:szCs w:val="24"/>
              </w:rPr>
              <w:t>伴生钴、镍、钪、镓、锗等） 、铅、锌、铜、铌、钽、锆、稀土、优质玄武岩、萤</w:t>
            </w:r>
            <w:r>
              <w:rPr>
                <w:spacing w:val="2"/>
                <w:sz w:val="24"/>
                <w:szCs w:val="24"/>
              </w:rPr>
              <w:t xml:space="preserve"> </w:t>
            </w:r>
            <w:r>
              <w:rPr>
                <w:spacing w:val="-3"/>
                <w:sz w:val="24"/>
                <w:szCs w:val="24"/>
              </w:rPr>
              <w:t>石；</w:t>
            </w:r>
            <w:r>
              <w:rPr>
                <w:spacing w:val="-23"/>
                <w:sz w:val="24"/>
                <w:szCs w:val="24"/>
              </w:rPr>
              <w:t xml:space="preserve"> </w:t>
            </w:r>
            <w:r>
              <w:rPr>
                <w:spacing w:val="-3"/>
                <w:sz w:val="24"/>
                <w:szCs w:val="24"/>
              </w:rPr>
              <w:t>川西北重点勘查地热、锡、岩金、银、</w:t>
            </w:r>
            <w:r>
              <w:rPr>
                <w:spacing w:val="-4"/>
                <w:sz w:val="24"/>
                <w:szCs w:val="24"/>
              </w:rPr>
              <w:t>铜、锂、铌、铍、钽。财政投资勘查项</w:t>
            </w:r>
            <w:r>
              <w:rPr>
                <w:sz w:val="24"/>
                <w:szCs w:val="24"/>
              </w:rPr>
              <w:t xml:space="preserve"> </w:t>
            </w:r>
            <w:r>
              <w:rPr>
                <w:spacing w:val="-16"/>
                <w:sz w:val="24"/>
                <w:szCs w:val="24"/>
              </w:rPr>
              <w:t>目向重点勘查矿种倾斜，</w:t>
            </w:r>
            <w:r>
              <w:rPr>
                <w:spacing w:val="67"/>
                <w:sz w:val="24"/>
                <w:szCs w:val="24"/>
              </w:rPr>
              <w:t xml:space="preserve"> </w:t>
            </w:r>
            <w:r>
              <w:rPr>
                <w:spacing w:val="-16"/>
                <w:sz w:val="24"/>
                <w:szCs w:val="24"/>
              </w:rPr>
              <w:t>鼓励探矿权投放，</w:t>
            </w:r>
            <w:r>
              <w:rPr>
                <w:spacing w:val="58"/>
                <w:sz w:val="24"/>
                <w:szCs w:val="24"/>
              </w:rPr>
              <w:t xml:space="preserve"> </w:t>
            </w:r>
            <w:r>
              <w:rPr>
                <w:spacing w:val="-16"/>
                <w:sz w:val="24"/>
                <w:szCs w:val="24"/>
              </w:rPr>
              <w:t>积极引导各类社会资金投入，</w:t>
            </w:r>
            <w:r>
              <w:rPr>
                <w:spacing w:val="63"/>
                <w:sz w:val="24"/>
                <w:szCs w:val="24"/>
              </w:rPr>
              <w:t xml:space="preserve"> </w:t>
            </w:r>
            <w:r>
              <w:rPr>
                <w:spacing w:val="-16"/>
                <w:sz w:val="24"/>
                <w:szCs w:val="24"/>
              </w:rPr>
              <w:t>争取实现</w:t>
            </w:r>
          </w:p>
          <w:p>
            <w:pPr>
              <w:pStyle w:val="6"/>
              <w:spacing w:before="1" w:line="219" w:lineRule="auto"/>
              <w:ind w:left="21"/>
              <w:rPr>
                <w:sz w:val="24"/>
                <w:szCs w:val="24"/>
              </w:rPr>
            </w:pPr>
            <w:r>
              <w:rPr>
                <w:spacing w:val="-8"/>
                <w:sz w:val="24"/>
                <w:szCs w:val="24"/>
              </w:rPr>
              <w:t>找矿突破。</w:t>
            </w:r>
          </w:p>
          <w:p>
            <w:pPr>
              <w:pStyle w:val="6"/>
              <w:spacing w:before="196" w:line="369" w:lineRule="auto"/>
              <w:ind w:left="21" w:right="18" w:firstLine="499"/>
              <w:rPr>
                <w:sz w:val="24"/>
                <w:szCs w:val="24"/>
              </w:rPr>
            </w:pPr>
            <w:r>
              <w:rPr>
                <w:spacing w:val="-2"/>
                <w:sz w:val="24"/>
                <w:szCs w:val="24"/>
                <w14:textOutline w14:w="4354" w14:cap="flat" w14:cmpd="sng">
                  <w14:solidFill>
                    <w14:srgbClr w14:val="000000"/>
                  </w14:solidFill>
                  <w14:prstDash w14:val="solid"/>
                  <w14:miter w14:val="10"/>
                </w14:textOutline>
              </w:rPr>
              <w:t>限制勘查矿种</w:t>
            </w:r>
            <w:r>
              <w:rPr>
                <w:spacing w:val="-2"/>
                <w:sz w:val="24"/>
                <w:szCs w:val="24"/>
              </w:rPr>
              <w:t>：限制勘查硫铁矿、芒硝、盐矿等产能过剩矿产。限制勘查矿种</w:t>
            </w:r>
            <w:r>
              <w:rPr>
                <w:spacing w:val="18"/>
                <w:sz w:val="24"/>
                <w:szCs w:val="24"/>
              </w:rPr>
              <w:t xml:space="preserve"> </w:t>
            </w:r>
            <w:r>
              <w:rPr>
                <w:spacing w:val="6"/>
                <w:sz w:val="24"/>
                <w:szCs w:val="24"/>
              </w:rPr>
              <w:t>应严格控制探矿权投放，确需新设的必须严格论证资源供需形势和资源环境承载</w:t>
            </w:r>
          </w:p>
          <w:p>
            <w:pPr>
              <w:pStyle w:val="6"/>
              <w:spacing w:before="1" w:line="219" w:lineRule="auto"/>
              <w:ind w:left="25"/>
              <w:rPr>
                <w:sz w:val="24"/>
                <w:szCs w:val="24"/>
              </w:rPr>
            </w:pPr>
            <w:r>
              <w:rPr>
                <w:spacing w:val="-12"/>
                <w:sz w:val="24"/>
                <w:szCs w:val="24"/>
              </w:rPr>
              <w:t>力。</w:t>
            </w:r>
          </w:p>
          <w:p>
            <w:pPr>
              <w:pStyle w:val="6"/>
              <w:spacing w:before="194" w:line="480" w:lineRule="exact"/>
              <w:ind w:right="24"/>
              <w:jc w:val="right"/>
              <w:rPr>
                <w:sz w:val="24"/>
                <w:szCs w:val="24"/>
              </w:rPr>
            </w:pPr>
            <w:r>
              <w:rPr>
                <w:spacing w:val="-1"/>
                <w:position w:val="18"/>
                <w:sz w:val="24"/>
                <w:szCs w:val="24"/>
                <w14:textOutline w14:w="4354" w14:cap="flat" w14:cmpd="sng">
                  <w14:solidFill>
                    <w14:srgbClr w14:val="000000"/>
                  </w14:solidFill>
                  <w14:prstDash w14:val="solid"/>
                  <w14:miter w14:val="10"/>
                </w14:textOutline>
              </w:rPr>
              <w:t>禁止勘查矿种</w:t>
            </w:r>
            <w:r>
              <w:rPr>
                <w:spacing w:val="-1"/>
                <w:position w:val="18"/>
                <w:sz w:val="24"/>
                <w:szCs w:val="24"/>
              </w:rPr>
              <w:t>：禁止勘查湿地泥炭、石棉等矿产。禁止勘查矿种原</w:t>
            </w:r>
            <w:r>
              <w:rPr>
                <w:spacing w:val="-2"/>
                <w:position w:val="18"/>
                <w:sz w:val="24"/>
                <w:szCs w:val="24"/>
              </w:rPr>
              <w:t>则上不新设</w:t>
            </w:r>
          </w:p>
          <w:p>
            <w:pPr>
              <w:pStyle w:val="6"/>
              <w:spacing w:before="1" w:line="219" w:lineRule="auto"/>
              <w:ind w:left="20"/>
              <w:rPr>
                <w:sz w:val="24"/>
                <w:szCs w:val="24"/>
              </w:rPr>
            </w:pPr>
            <w:r>
              <w:rPr>
                <w:spacing w:val="-7"/>
                <w:sz w:val="24"/>
                <w:szCs w:val="24"/>
              </w:rPr>
              <w:t>探矿权。</w:t>
            </w:r>
          </w:p>
          <w:p>
            <w:pPr>
              <w:pStyle w:val="6"/>
              <w:spacing w:before="195" w:line="479" w:lineRule="exact"/>
              <w:ind w:right="12"/>
              <w:jc w:val="right"/>
              <w:rPr>
                <w:sz w:val="24"/>
                <w:szCs w:val="24"/>
              </w:rPr>
            </w:pPr>
            <w:r>
              <w:rPr>
                <w:spacing w:val="-11"/>
                <w:position w:val="18"/>
                <w:sz w:val="24"/>
                <w:szCs w:val="24"/>
              </w:rPr>
              <w:t>本项目为天然气勘探项目，</w:t>
            </w:r>
            <w:r>
              <w:rPr>
                <w:spacing w:val="62"/>
                <w:position w:val="18"/>
                <w:sz w:val="24"/>
                <w:szCs w:val="24"/>
              </w:rPr>
              <w:t xml:space="preserve"> </w:t>
            </w:r>
            <w:r>
              <w:rPr>
                <w:spacing w:val="-11"/>
                <w:position w:val="18"/>
                <w:sz w:val="24"/>
                <w:szCs w:val="24"/>
              </w:rPr>
              <w:t>项目位于四川省达州</w:t>
            </w:r>
            <w:r>
              <w:rPr>
                <w:spacing w:val="-12"/>
                <w:position w:val="18"/>
                <w:sz w:val="24"/>
                <w:szCs w:val="24"/>
              </w:rPr>
              <w:t>市通川区，</w:t>
            </w:r>
            <w:r>
              <w:rPr>
                <w:spacing w:val="60"/>
                <w:position w:val="18"/>
                <w:sz w:val="24"/>
                <w:szCs w:val="24"/>
              </w:rPr>
              <w:t xml:space="preserve"> </w:t>
            </w:r>
            <w:r>
              <w:rPr>
                <w:spacing w:val="-12"/>
                <w:position w:val="18"/>
                <w:sz w:val="24"/>
                <w:szCs w:val="24"/>
              </w:rPr>
              <w:t>属于川东北区。因</w:t>
            </w:r>
          </w:p>
          <w:p>
            <w:pPr>
              <w:pStyle w:val="6"/>
              <w:spacing w:before="1" w:line="218" w:lineRule="auto"/>
              <w:ind w:left="22"/>
              <w:rPr>
                <w:sz w:val="24"/>
                <w:szCs w:val="24"/>
              </w:rPr>
            </w:pPr>
            <w:r>
              <w:rPr>
                <w:spacing w:val="-3"/>
                <w:sz w:val="24"/>
                <w:szCs w:val="24"/>
              </w:rPr>
              <w:t>此，本项目与该文件要求相符。</w:t>
            </w:r>
          </w:p>
        </w:tc>
      </w:tr>
    </w:tbl>
    <w:p>
      <w:pPr>
        <w:pStyle w:val="2"/>
        <w:rPr>
          <w:sz w:val="21"/>
        </w:rPr>
      </w:pPr>
    </w:p>
    <w:p>
      <w:pPr>
        <w:rPr>
          <w:sz w:val="21"/>
          <w:szCs w:val="21"/>
        </w:rPr>
        <w:sectPr>
          <w:footerReference r:id="rId8" w:type="default"/>
          <w:pgSz w:w="11907" w:h="16839"/>
          <w:pgMar w:top="400" w:right="1402" w:bottom="1180" w:left="1402"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5534"/>
        <w:gridCol w:w="2366"/>
        <w:gridCol w:w="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4" w:hRule="atLeast"/>
        </w:trPr>
        <w:tc>
          <w:tcPr>
            <w:tcW w:w="463" w:type="dxa"/>
            <w:vMerge w:val="restart"/>
            <w:tcBorders>
              <w:bottom w:val="nil"/>
            </w:tcBorders>
            <w:vAlign w:val="top"/>
          </w:tcPr>
          <w:p>
            <w:pPr>
              <w:rPr>
                <w:rFonts w:ascii="Arial"/>
                <w:sz w:val="21"/>
              </w:rPr>
            </w:pPr>
          </w:p>
        </w:tc>
        <w:tc>
          <w:tcPr>
            <w:tcW w:w="8634" w:type="dxa"/>
            <w:gridSpan w:val="3"/>
            <w:vAlign w:val="top"/>
          </w:tcPr>
          <w:p>
            <w:pPr>
              <w:pStyle w:val="6"/>
              <w:spacing w:before="230" w:line="218" w:lineRule="auto"/>
              <w:ind w:left="6"/>
              <w:rPr>
                <w:sz w:val="24"/>
                <w:szCs w:val="24"/>
              </w:rPr>
            </w:pPr>
            <w:r>
              <w:rPr>
                <w:rFonts w:ascii="Times New Roman" w:hAnsi="Times New Roman" w:eastAsia="Times New Roman" w:cs="Times New Roman"/>
                <w:b/>
                <w:bCs/>
                <w:spacing w:val="-1"/>
                <w:sz w:val="24"/>
                <w:szCs w:val="24"/>
              </w:rPr>
              <w:t xml:space="preserve">1.1.2 </w:t>
            </w:r>
            <w:r>
              <w:rPr>
                <w:spacing w:val="-1"/>
                <w:sz w:val="24"/>
                <w:szCs w:val="24"/>
                <w14:textOutline w14:w="4354" w14:cap="flat" w14:cmpd="sng">
                  <w14:solidFill>
                    <w14:srgbClr w14:val="000000"/>
                  </w14:solidFill>
                  <w14:prstDash w14:val="solid"/>
                  <w14:miter w14:val="10"/>
                </w14:textOutline>
              </w:rPr>
              <w:t>规划环境影响评价符合性分析</w:t>
            </w:r>
          </w:p>
          <w:p>
            <w:pPr>
              <w:pStyle w:val="6"/>
              <w:spacing w:before="204" w:line="369" w:lineRule="auto"/>
              <w:ind w:left="10" w:right="14" w:firstLine="465"/>
              <w:jc w:val="both"/>
              <w:rPr>
                <w:sz w:val="24"/>
                <w:szCs w:val="24"/>
              </w:rPr>
            </w:pPr>
            <w:r>
              <w:rPr>
                <w:rFonts w:ascii="Times New Roman" w:hAnsi="Times New Roman" w:eastAsia="Times New Roman" w:cs="Times New Roman"/>
                <w:spacing w:val="-2"/>
                <w:sz w:val="24"/>
                <w:szCs w:val="24"/>
              </w:rPr>
              <w:t>2022</w:t>
            </w:r>
            <w:r>
              <w:rPr>
                <w:rFonts w:ascii="Times New Roman" w:hAnsi="Times New Roman" w:eastAsia="Times New Roman" w:cs="Times New Roman"/>
                <w:spacing w:val="31"/>
                <w:w w:val="101"/>
                <w:sz w:val="24"/>
                <w:szCs w:val="24"/>
              </w:rPr>
              <w:t xml:space="preserve"> </w:t>
            </w:r>
            <w:r>
              <w:rPr>
                <w:spacing w:val="-2"/>
                <w:sz w:val="24"/>
                <w:szCs w:val="24"/>
              </w:rPr>
              <w:t>年</w:t>
            </w:r>
            <w:r>
              <w:rPr>
                <w:spacing w:val="-30"/>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37"/>
                <w:sz w:val="24"/>
                <w:szCs w:val="24"/>
              </w:rPr>
              <w:t xml:space="preserve"> </w:t>
            </w:r>
            <w:r>
              <w:rPr>
                <w:spacing w:val="-2"/>
                <w:sz w:val="24"/>
                <w:szCs w:val="24"/>
              </w:rPr>
              <w:t>月生态环境部以“环审〔</w:t>
            </w:r>
            <w:r>
              <w:rPr>
                <w:rFonts w:ascii="Times New Roman" w:hAnsi="Times New Roman" w:eastAsia="Times New Roman" w:cs="Times New Roman"/>
                <w:spacing w:val="-2"/>
                <w:sz w:val="24"/>
                <w:szCs w:val="24"/>
              </w:rPr>
              <w:t>2022</w:t>
            </w:r>
            <w:r>
              <w:rPr>
                <w:spacing w:val="-2"/>
                <w:sz w:val="24"/>
                <w:szCs w:val="24"/>
              </w:rPr>
              <w:t>〕</w:t>
            </w:r>
            <w:r>
              <w:rPr>
                <w:rFonts w:ascii="Times New Roman" w:hAnsi="Times New Roman" w:eastAsia="Times New Roman" w:cs="Times New Roman"/>
                <w:spacing w:val="-2"/>
                <w:sz w:val="24"/>
                <w:szCs w:val="24"/>
              </w:rPr>
              <w:t>105</w:t>
            </w:r>
            <w:r>
              <w:rPr>
                <w:rFonts w:ascii="Times New Roman" w:hAnsi="Times New Roman" w:eastAsia="Times New Roman" w:cs="Times New Roman"/>
                <w:spacing w:val="37"/>
                <w:sz w:val="24"/>
                <w:szCs w:val="24"/>
              </w:rPr>
              <w:t xml:space="preserve"> </w:t>
            </w:r>
            <w:r>
              <w:rPr>
                <w:spacing w:val="-2"/>
                <w:sz w:val="24"/>
                <w:szCs w:val="24"/>
              </w:rPr>
              <w:t>号</w:t>
            </w:r>
            <w:r>
              <w:rPr>
                <w:spacing w:val="-88"/>
                <w:sz w:val="24"/>
                <w:szCs w:val="24"/>
              </w:rPr>
              <w:t xml:space="preserve"> </w:t>
            </w:r>
            <w:r>
              <w:rPr>
                <w:spacing w:val="-2"/>
                <w:sz w:val="24"/>
                <w:szCs w:val="24"/>
              </w:rPr>
              <w:t>”出具了《关</w:t>
            </w:r>
            <w:r>
              <w:rPr>
                <w:spacing w:val="-3"/>
                <w:sz w:val="24"/>
                <w:szCs w:val="24"/>
              </w:rPr>
              <w:t>于</w:t>
            </w:r>
            <w:r>
              <w:rPr>
                <w:rFonts w:ascii="Times New Roman" w:hAnsi="Times New Roman" w:eastAsia="Times New Roman" w:cs="Times New Roman"/>
                <w:spacing w:val="-3"/>
                <w:sz w:val="24"/>
                <w:szCs w:val="24"/>
              </w:rPr>
              <w:t>&lt;</w:t>
            </w:r>
            <w:r>
              <w:rPr>
                <w:spacing w:val="-3"/>
                <w:sz w:val="24"/>
                <w:szCs w:val="24"/>
              </w:rPr>
              <w:t>四川省矿产</w:t>
            </w:r>
            <w:r>
              <w:rPr>
                <w:sz w:val="24"/>
                <w:szCs w:val="24"/>
              </w:rPr>
              <w:t xml:space="preserve"> </w:t>
            </w:r>
            <w:r>
              <w:rPr>
                <w:spacing w:val="-1"/>
                <w:sz w:val="24"/>
                <w:szCs w:val="24"/>
              </w:rPr>
              <w:t>资源总体规划（</w:t>
            </w:r>
            <w:r>
              <w:rPr>
                <w:rFonts w:ascii="Times New Roman" w:hAnsi="Times New Roman" w:eastAsia="Times New Roman" w:cs="Times New Roman"/>
                <w:spacing w:val="-1"/>
                <w:sz w:val="24"/>
                <w:szCs w:val="24"/>
              </w:rPr>
              <w:t>2021-2025</w:t>
            </w:r>
            <w:r>
              <w:rPr>
                <w:spacing w:val="-1"/>
                <w:sz w:val="24"/>
                <w:szCs w:val="24"/>
              </w:rPr>
              <w:t>）环境影响报告书</w:t>
            </w:r>
            <w:r>
              <w:rPr>
                <w:rFonts w:ascii="Times New Roman" w:hAnsi="Times New Roman" w:eastAsia="Times New Roman" w:cs="Times New Roman"/>
                <w:spacing w:val="-1"/>
                <w:sz w:val="24"/>
                <w:szCs w:val="24"/>
              </w:rPr>
              <w:t>&gt;</w:t>
            </w:r>
            <w:r>
              <w:rPr>
                <w:spacing w:val="-1"/>
                <w:sz w:val="24"/>
                <w:szCs w:val="24"/>
              </w:rPr>
              <w:t>的审查意见》。项目与《四川省矿产</w:t>
            </w:r>
          </w:p>
          <w:p>
            <w:pPr>
              <w:pStyle w:val="6"/>
              <w:spacing w:line="218" w:lineRule="auto"/>
              <w:ind w:left="10"/>
              <w:rPr>
                <w:sz w:val="24"/>
                <w:szCs w:val="24"/>
              </w:rPr>
            </w:pPr>
            <w:r>
              <w:rPr>
                <w:spacing w:val="-2"/>
                <w:sz w:val="24"/>
                <w:szCs w:val="24"/>
              </w:rPr>
              <w:t>资源总体规划（</w:t>
            </w:r>
            <w:r>
              <w:rPr>
                <w:rFonts w:ascii="Times New Roman" w:hAnsi="Times New Roman" w:eastAsia="Times New Roman" w:cs="Times New Roman"/>
                <w:spacing w:val="-2"/>
                <w:sz w:val="24"/>
                <w:szCs w:val="24"/>
              </w:rPr>
              <w:t>2021-2025</w:t>
            </w:r>
            <w:r>
              <w:rPr>
                <w:spacing w:val="-2"/>
                <w:sz w:val="24"/>
                <w:szCs w:val="24"/>
              </w:rPr>
              <w:t xml:space="preserve">）环境影响报告书》及审查意见的合性分析见表 </w:t>
            </w:r>
            <w:r>
              <w:rPr>
                <w:rFonts w:ascii="Times New Roman" w:hAnsi="Times New Roman" w:eastAsia="Times New Roman" w:cs="Times New Roman"/>
                <w:spacing w:val="-2"/>
                <w:sz w:val="24"/>
                <w:szCs w:val="24"/>
              </w:rPr>
              <w:t>1.1-2</w:t>
            </w:r>
            <w:r>
              <w:rPr>
                <w:spacing w:val="-2"/>
                <w:sz w:val="24"/>
                <w:szCs w:val="24"/>
              </w:rPr>
              <w:t>。</w:t>
            </w:r>
          </w:p>
          <w:p>
            <w:pPr>
              <w:pStyle w:val="6"/>
              <w:spacing w:before="196" w:line="480" w:lineRule="exact"/>
              <w:rPr>
                <w:sz w:val="24"/>
                <w:szCs w:val="24"/>
              </w:rPr>
            </w:pPr>
            <w:r>
              <w:rPr>
                <w:spacing w:val="-1"/>
                <w:position w:val="18"/>
                <w:sz w:val="24"/>
                <w:szCs w:val="24"/>
                <w14:textOutline w14:w="4354" w14:cap="flat" w14:cmpd="sng">
                  <w14:solidFill>
                    <w14:srgbClr w14:val="000000"/>
                  </w14:solidFill>
                  <w14:prstDash w14:val="solid"/>
                  <w14:miter w14:val="10"/>
                </w14:textOutline>
              </w:rPr>
              <w:t>表</w:t>
            </w:r>
            <w:r>
              <w:rPr>
                <w:spacing w:val="-29"/>
                <w:position w:val="18"/>
                <w:sz w:val="24"/>
                <w:szCs w:val="24"/>
              </w:rPr>
              <w:t xml:space="preserve"> </w:t>
            </w:r>
            <w:r>
              <w:rPr>
                <w:rFonts w:ascii="Times New Roman" w:hAnsi="Times New Roman" w:eastAsia="Times New Roman" w:cs="Times New Roman"/>
                <w:b/>
                <w:bCs/>
                <w:spacing w:val="-1"/>
                <w:position w:val="18"/>
                <w:sz w:val="24"/>
                <w:szCs w:val="24"/>
              </w:rPr>
              <w:t xml:space="preserve">1.1-2 </w:t>
            </w:r>
            <w:r>
              <w:rPr>
                <w:spacing w:val="-1"/>
                <w:position w:val="18"/>
                <w:sz w:val="24"/>
                <w:szCs w:val="24"/>
                <w14:textOutline w14:w="4354" w14:cap="flat" w14:cmpd="sng">
                  <w14:solidFill>
                    <w14:srgbClr w14:val="000000"/>
                  </w14:solidFill>
                  <w14:prstDash w14:val="solid"/>
                  <w14:miter w14:val="10"/>
                </w14:textOutline>
              </w:rPr>
              <w:t>与《四川省矿产资源总体规划（</w:t>
            </w:r>
            <w:r>
              <w:rPr>
                <w:rFonts w:ascii="Times New Roman" w:hAnsi="Times New Roman" w:eastAsia="Times New Roman" w:cs="Times New Roman"/>
                <w:b/>
                <w:bCs/>
                <w:spacing w:val="-1"/>
                <w:position w:val="18"/>
                <w:sz w:val="24"/>
                <w:szCs w:val="24"/>
              </w:rPr>
              <w:t>2021-2025</w:t>
            </w:r>
            <w:r>
              <w:rPr>
                <w:spacing w:val="-1"/>
                <w:position w:val="18"/>
                <w:sz w:val="24"/>
                <w:szCs w:val="24"/>
                <w14:textOutline w14:w="4354" w14:cap="flat" w14:cmpd="sng">
                  <w14:solidFill>
                    <w14:srgbClr w14:val="000000"/>
                  </w14:solidFill>
                  <w14:prstDash w14:val="solid"/>
                  <w14:miter w14:val="10"/>
                </w14:textOutline>
              </w:rPr>
              <w:t>）环境影响报告书》及审查意见</w:t>
            </w:r>
          </w:p>
          <w:p>
            <w:pPr>
              <w:pStyle w:val="6"/>
              <w:spacing w:line="219" w:lineRule="auto"/>
              <w:ind w:left="3590"/>
              <w:rPr>
                <w:sz w:val="24"/>
                <w:szCs w:val="24"/>
              </w:rPr>
            </w:pPr>
            <w:r>
              <w:rPr>
                <w:spacing w:val="-2"/>
                <w:sz w:val="24"/>
                <w:szCs w:val="24"/>
                <w14:textOutline w14:w="4354" w14:cap="flat" w14:cmpd="sng">
                  <w14:solidFill>
                    <w14:srgbClr w14:val="000000"/>
                  </w14:solidFill>
                  <w14:prstDash w14:val="solid"/>
                  <w14:miter w14:val="10"/>
                </w14:textOutline>
              </w:rPr>
              <w:t>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3" w:type="dxa"/>
            <w:vMerge w:val="continue"/>
            <w:tcBorders>
              <w:top w:val="nil"/>
              <w:bottom w:val="nil"/>
            </w:tcBorders>
            <w:vAlign w:val="top"/>
          </w:tcPr>
          <w:p>
            <w:pPr>
              <w:rPr>
                <w:rFonts w:ascii="Arial"/>
                <w:sz w:val="21"/>
              </w:rPr>
            </w:pPr>
          </w:p>
        </w:tc>
        <w:tc>
          <w:tcPr>
            <w:tcW w:w="5534" w:type="dxa"/>
            <w:vAlign w:val="top"/>
          </w:tcPr>
          <w:p>
            <w:pPr>
              <w:pStyle w:val="6"/>
              <w:spacing w:before="167" w:line="221" w:lineRule="auto"/>
              <w:ind w:left="2351"/>
              <w:rPr>
                <w:sz w:val="21"/>
                <w:szCs w:val="21"/>
              </w:rPr>
            </w:pPr>
            <w:r>
              <w:rPr>
                <w:spacing w:val="-2"/>
                <w:sz w:val="21"/>
                <w:szCs w:val="21"/>
              </w:rPr>
              <w:t>相关要求</w:t>
            </w:r>
          </w:p>
        </w:tc>
        <w:tc>
          <w:tcPr>
            <w:tcW w:w="2366" w:type="dxa"/>
            <w:vAlign w:val="top"/>
          </w:tcPr>
          <w:p>
            <w:pPr>
              <w:pStyle w:val="6"/>
              <w:spacing w:before="167" w:line="220" w:lineRule="auto"/>
              <w:ind w:left="663"/>
              <w:rPr>
                <w:sz w:val="21"/>
                <w:szCs w:val="21"/>
              </w:rPr>
            </w:pPr>
            <w:r>
              <w:rPr>
                <w:spacing w:val="-2"/>
                <w:sz w:val="21"/>
                <w:szCs w:val="21"/>
              </w:rPr>
              <w:t>本项目情况</w:t>
            </w:r>
          </w:p>
        </w:tc>
        <w:tc>
          <w:tcPr>
            <w:tcW w:w="734" w:type="dxa"/>
            <w:vAlign w:val="top"/>
          </w:tcPr>
          <w:p>
            <w:pPr>
              <w:pStyle w:val="6"/>
              <w:spacing w:before="30" w:line="221" w:lineRule="auto"/>
              <w:ind w:left="151"/>
              <w:rPr>
                <w:sz w:val="21"/>
                <w:szCs w:val="21"/>
              </w:rPr>
            </w:pPr>
            <w:r>
              <w:rPr>
                <w:spacing w:val="-2"/>
                <w:sz w:val="21"/>
                <w:szCs w:val="21"/>
              </w:rPr>
              <w:t>符合</w:t>
            </w:r>
          </w:p>
          <w:p>
            <w:pPr>
              <w:pStyle w:val="6"/>
              <w:spacing w:before="23" w:line="206" w:lineRule="auto"/>
              <w:ind w:left="257"/>
              <w:rPr>
                <w:sz w:val="21"/>
                <w:szCs w:val="21"/>
              </w:rPr>
            </w:pPr>
            <w:r>
              <w:rPr>
                <w:sz w:val="21"/>
                <w:szCs w:val="21"/>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1" w:hRule="atLeast"/>
        </w:trPr>
        <w:tc>
          <w:tcPr>
            <w:tcW w:w="463" w:type="dxa"/>
            <w:vMerge w:val="continue"/>
            <w:tcBorders>
              <w:top w:val="nil"/>
              <w:bottom w:val="nil"/>
            </w:tcBorders>
            <w:vAlign w:val="top"/>
          </w:tcPr>
          <w:p>
            <w:pPr>
              <w:rPr>
                <w:rFonts w:ascii="Arial"/>
                <w:sz w:val="21"/>
              </w:rPr>
            </w:pPr>
          </w:p>
        </w:tc>
        <w:tc>
          <w:tcPr>
            <w:tcW w:w="5534" w:type="dxa"/>
            <w:vAlign w:val="top"/>
          </w:tcPr>
          <w:p>
            <w:pPr>
              <w:pStyle w:val="6"/>
              <w:spacing w:before="42" w:line="238" w:lineRule="auto"/>
              <w:ind w:left="113" w:right="62" w:firstLine="35"/>
              <w:jc w:val="both"/>
              <w:rPr>
                <w:sz w:val="21"/>
                <w:szCs w:val="21"/>
              </w:rPr>
            </w:pPr>
            <w:r>
              <w:rPr>
                <w:spacing w:val="-4"/>
                <w:sz w:val="21"/>
                <w:szCs w:val="21"/>
              </w:rPr>
              <w:t>坚持生态优先，</w:t>
            </w:r>
            <w:r>
              <w:rPr>
                <w:spacing w:val="-20"/>
                <w:sz w:val="21"/>
                <w:szCs w:val="21"/>
              </w:rPr>
              <w:t xml:space="preserve"> </w:t>
            </w:r>
            <w:r>
              <w:rPr>
                <w:spacing w:val="-4"/>
                <w:sz w:val="21"/>
                <w:szCs w:val="21"/>
              </w:rPr>
              <w:t xml:space="preserve">绿色发展。坚持以习近平生态文明思想为 </w:t>
            </w:r>
            <w:r>
              <w:rPr>
                <w:spacing w:val="-11"/>
                <w:sz w:val="21"/>
                <w:szCs w:val="21"/>
              </w:rPr>
              <w:t>指导，</w:t>
            </w:r>
            <w:r>
              <w:rPr>
                <w:spacing w:val="-28"/>
                <w:sz w:val="21"/>
                <w:szCs w:val="21"/>
              </w:rPr>
              <w:t xml:space="preserve"> </w:t>
            </w:r>
            <w:r>
              <w:rPr>
                <w:spacing w:val="-11"/>
                <w:sz w:val="21"/>
                <w:szCs w:val="21"/>
              </w:rPr>
              <w:t>严格落实《中华人民共和国长江保护法</w:t>
            </w:r>
            <w:r>
              <w:rPr>
                <w:spacing w:val="-12"/>
                <w:sz w:val="21"/>
                <w:szCs w:val="21"/>
              </w:rPr>
              <w:t>》，</w:t>
            </w:r>
            <w:r>
              <w:rPr>
                <w:spacing w:val="-40"/>
                <w:sz w:val="21"/>
                <w:szCs w:val="21"/>
              </w:rPr>
              <w:t xml:space="preserve"> </w:t>
            </w:r>
            <w:r>
              <w:rPr>
                <w:spacing w:val="-12"/>
                <w:sz w:val="21"/>
                <w:szCs w:val="21"/>
              </w:rPr>
              <w:t>按照“共</w:t>
            </w:r>
            <w:r>
              <w:rPr>
                <w:sz w:val="21"/>
                <w:szCs w:val="21"/>
              </w:rPr>
              <w:t xml:space="preserve"> 抓大保护、不搞大开发”的要求，立足于生态系统稳定和 </w:t>
            </w:r>
            <w:r>
              <w:rPr>
                <w:spacing w:val="-3"/>
                <w:sz w:val="21"/>
                <w:szCs w:val="21"/>
              </w:rPr>
              <w:t>生态环境质量改善， 处理好生态环境保护</w:t>
            </w:r>
            <w:r>
              <w:rPr>
                <w:spacing w:val="-4"/>
                <w:sz w:val="21"/>
                <w:szCs w:val="21"/>
              </w:rPr>
              <w:t xml:space="preserve">与矿产资源开发 </w:t>
            </w:r>
            <w:r>
              <w:rPr>
                <w:spacing w:val="-3"/>
                <w:sz w:val="21"/>
                <w:szCs w:val="21"/>
              </w:rPr>
              <w:t>的关系，合理控制矿产资源开发规模与强度，</w:t>
            </w:r>
            <w:r>
              <w:rPr>
                <w:spacing w:val="-11"/>
                <w:sz w:val="21"/>
                <w:szCs w:val="21"/>
              </w:rPr>
              <w:t xml:space="preserve"> </w:t>
            </w:r>
            <w:r>
              <w:rPr>
                <w:spacing w:val="-3"/>
                <w:sz w:val="21"/>
                <w:szCs w:val="21"/>
              </w:rPr>
              <w:t>不得占用依 法应当禁止开发的区域，</w:t>
            </w:r>
            <w:r>
              <w:rPr>
                <w:spacing w:val="-11"/>
                <w:sz w:val="21"/>
                <w:szCs w:val="21"/>
              </w:rPr>
              <w:t xml:space="preserve"> </w:t>
            </w:r>
            <w:r>
              <w:rPr>
                <w:spacing w:val="-3"/>
                <w:sz w:val="21"/>
                <w:szCs w:val="21"/>
              </w:rPr>
              <w:t xml:space="preserve">优先避让生态环境敏感区域。结 </w:t>
            </w:r>
            <w:r>
              <w:rPr>
                <w:sz w:val="21"/>
                <w:szCs w:val="21"/>
              </w:rPr>
              <w:t xml:space="preserve">合“十三五”未完成指标任务和“十四五”新要求，进一 步强化《规划》的生态环境保护总体要求，将细化后的绿 色开发、生态修复等相关目标、指标作为《规划》实施的 硬约束。《规划》应严格执行国家矿产资源合理开发利用 “三率”（开采回采率、选矿回收率、综合利用率）相关 </w:t>
            </w:r>
            <w:r>
              <w:rPr>
                <w:spacing w:val="-3"/>
                <w:sz w:val="21"/>
                <w:szCs w:val="21"/>
              </w:rPr>
              <w:t>要求， 推动提升天然气、钒钛磁铁矿、锂</w:t>
            </w:r>
            <w:r>
              <w:rPr>
                <w:spacing w:val="-4"/>
                <w:sz w:val="21"/>
                <w:szCs w:val="21"/>
              </w:rPr>
              <w:t xml:space="preserve">矿、稀土开发利 </w:t>
            </w:r>
            <w:r>
              <w:rPr>
                <w:sz w:val="21"/>
                <w:szCs w:val="21"/>
              </w:rPr>
              <w:t>用水平，确保天然气回收率不低于</w:t>
            </w:r>
            <w:r>
              <w:rPr>
                <w:spacing w:val="-34"/>
                <w:sz w:val="21"/>
                <w:szCs w:val="21"/>
              </w:rPr>
              <w:t xml:space="preserve"> </w:t>
            </w:r>
            <w:r>
              <w:rPr>
                <w:rFonts w:ascii="Times New Roman" w:hAnsi="Times New Roman" w:eastAsia="Times New Roman" w:cs="Times New Roman"/>
                <w:sz w:val="21"/>
                <w:szCs w:val="21"/>
              </w:rPr>
              <w:t>96%</w:t>
            </w:r>
            <w:r>
              <w:rPr>
                <w:sz w:val="21"/>
                <w:szCs w:val="21"/>
              </w:rPr>
              <w:t xml:space="preserve">，钒钛磁铁矿共伴 </w:t>
            </w:r>
            <w:r>
              <w:rPr>
                <w:spacing w:val="-4"/>
                <w:sz w:val="21"/>
                <w:szCs w:val="21"/>
              </w:rPr>
              <w:t>生钒、钛、铬综合利用率分别达到</w:t>
            </w:r>
            <w:r>
              <w:rPr>
                <w:spacing w:val="-37"/>
                <w:sz w:val="21"/>
                <w:szCs w:val="21"/>
              </w:rPr>
              <w:t xml:space="preserve"> </w:t>
            </w:r>
            <w:r>
              <w:rPr>
                <w:rFonts w:ascii="Times New Roman" w:hAnsi="Times New Roman" w:eastAsia="Times New Roman" w:cs="Times New Roman"/>
                <w:spacing w:val="-4"/>
                <w:sz w:val="21"/>
                <w:szCs w:val="21"/>
              </w:rPr>
              <w:t>64%</w:t>
            </w:r>
            <w:r>
              <w:rPr>
                <w:rFonts w:ascii="Times New Roman" w:hAnsi="Times New Roman" w:eastAsia="Times New Roman" w:cs="Times New Roman"/>
                <w:spacing w:val="-30"/>
                <w:sz w:val="21"/>
                <w:szCs w:val="21"/>
              </w:rPr>
              <w:t xml:space="preserve"> </w:t>
            </w:r>
            <w:r>
              <w:rPr>
                <w:spacing w:val="-4"/>
                <w:sz w:val="21"/>
                <w:szCs w:val="21"/>
              </w:rPr>
              <w:t>、</w:t>
            </w:r>
            <w:r>
              <w:rPr>
                <w:rFonts w:ascii="Times New Roman" w:hAnsi="Times New Roman" w:eastAsia="Times New Roman" w:cs="Times New Roman"/>
                <w:spacing w:val="-4"/>
                <w:sz w:val="21"/>
                <w:szCs w:val="21"/>
              </w:rPr>
              <w:t>12%</w:t>
            </w:r>
            <w:r>
              <w:rPr>
                <w:rFonts w:ascii="Times New Roman" w:hAnsi="Times New Roman" w:eastAsia="Times New Roman" w:cs="Times New Roman"/>
                <w:spacing w:val="-30"/>
                <w:sz w:val="21"/>
                <w:szCs w:val="21"/>
              </w:rPr>
              <w:t xml:space="preserve"> </w:t>
            </w:r>
            <w:r>
              <w:rPr>
                <w:spacing w:val="-4"/>
                <w:sz w:val="21"/>
                <w:szCs w:val="21"/>
              </w:rPr>
              <w:t>、</w:t>
            </w:r>
            <w:r>
              <w:rPr>
                <w:rFonts w:ascii="Times New Roman" w:hAnsi="Times New Roman" w:eastAsia="Times New Roman" w:cs="Times New Roman"/>
                <w:spacing w:val="-4"/>
                <w:sz w:val="21"/>
                <w:szCs w:val="21"/>
              </w:rPr>
              <w:t>64%</w:t>
            </w:r>
            <w:r>
              <w:rPr>
                <w:spacing w:val="-4"/>
                <w:sz w:val="21"/>
                <w:szCs w:val="21"/>
              </w:rPr>
              <w:t>以上，</w:t>
            </w:r>
            <w:r>
              <w:rPr>
                <w:sz w:val="21"/>
                <w:szCs w:val="21"/>
              </w:rPr>
              <w:t xml:space="preserve"> 锂矿共伴生钮、银矿产综合利用率不低于</w:t>
            </w:r>
            <w:r>
              <w:rPr>
                <w:spacing w:val="-28"/>
                <w:sz w:val="21"/>
                <w:szCs w:val="21"/>
              </w:rPr>
              <w:t xml:space="preserve"> </w:t>
            </w:r>
            <w:r>
              <w:rPr>
                <w:rFonts w:ascii="Times New Roman" w:hAnsi="Times New Roman" w:eastAsia="Times New Roman" w:cs="Times New Roman"/>
                <w:sz w:val="21"/>
                <w:szCs w:val="21"/>
              </w:rPr>
              <w:t>15</w:t>
            </w:r>
            <w:r>
              <w:rPr>
                <w:rFonts w:ascii="Times New Roman" w:hAnsi="Times New Roman" w:eastAsia="Times New Roman" w:cs="Times New Roman"/>
                <w:spacing w:val="-1"/>
                <w:sz w:val="21"/>
                <w:szCs w:val="21"/>
              </w:rPr>
              <w:t>%</w:t>
            </w:r>
            <w:r>
              <w:rPr>
                <w:spacing w:val="-1"/>
                <w:sz w:val="21"/>
                <w:szCs w:val="21"/>
              </w:rPr>
              <w:t>，稀土矿开</w:t>
            </w:r>
            <w:r>
              <w:rPr>
                <w:sz w:val="21"/>
                <w:szCs w:val="21"/>
              </w:rPr>
              <w:t xml:space="preserve"> 采回采率不低于</w:t>
            </w:r>
            <w:r>
              <w:rPr>
                <w:spacing w:val="-34"/>
                <w:sz w:val="21"/>
                <w:szCs w:val="21"/>
              </w:rPr>
              <w:t xml:space="preserve"> </w:t>
            </w:r>
            <w:r>
              <w:rPr>
                <w:rFonts w:ascii="Times New Roman" w:hAnsi="Times New Roman" w:eastAsia="Times New Roman" w:cs="Times New Roman"/>
                <w:sz w:val="21"/>
                <w:szCs w:val="21"/>
              </w:rPr>
              <w:t>67%</w:t>
            </w:r>
            <w:r>
              <w:rPr>
                <w:sz w:val="21"/>
                <w:szCs w:val="21"/>
              </w:rPr>
              <w:t xml:space="preserve">。合理确定布局、规模、结构和开发 </w:t>
            </w:r>
            <w:r>
              <w:rPr>
                <w:spacing w:val="-3"/>
                <w:sz w:val="21"/>
                <w:szCs w:val="21"/>
              </w:rPr>
              <w:t>时序， 加快结构调整和转型升级，采取严</w:t>
            </w:r>
            <w:r>
              <w:rPr>
                <w:spacing w:val="-4"/>
                <w:sz w:val="21"/>
                <w:szCs w:val="21"/>
              </w:rPr>
              <w:t xml:space="preserve">格的生态保护和 </w:t>
            </w:r>
            <w:r>
              <w:rPr>
                <w:spacing w:val="-3"/>
                <w:sz w:val="21"/>
                <w:szCs w:val="21"/>
              </w:rPr>
              <w:t>修复措施，</w:t>
            </w:r>
            <w:r>
              <w:rPr>
                <w:spacing w:val="-11"/>
                <w:sz w:val="21"/>
                <w:szCs w:val="21"/>
              </w:rPr>
              <w:t xml:space="preserve"> </w:t>
            </w:r>
            <w:r>
              <w:rPr>
                <w:spacing w:val="-3"/>
                <w:sz w:val="21"/>
                <w:szCs w:val="21"/>
              </w:rPr>
              <w:t xml:space="preserve">确保优化后的《规划》符合绿色发展要求，推 </w:t>
            </w:r>
            <w:r>
              <w:rPr>
                <w:spacing w:val="1"/>
                <w:sz w:val="21"/>
                <w:szCs w:val="21"/>
              </w:rPr>
              <w:t>动生态环境保护与矿产资源开发目标同步实现，助力筑牢</w:t>
            </w:r>
          </w:p>
          <w:p>
            <w:pPr>
              <w:pStyle w:val="6"/>
              <w:spacing w:before="22" w:line="204" w:lineRule="auto"/>
              <w:ind w:left="1300"/>
              <w:rPr>
                <w:sz w:val="21"/>
                <w:szCs w:val="21"/>
              </w:rPr>
            </w:pPr>
            <w:r>
              <w:rPr>
                <w:spacing w:val="-2"/>
                <w:sz w:val="21"/>
                <w:szCs w:val="21"/>
              </w:rPr>
              <w:t>长江、黄河上游重要生态屏障。</w:t>
            </w:r>
          </w:p>
        </w:tc>
        <w:tc>
          <w:tcPr>
            <w:tcW w:w="2366"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8" w:line="230" w:lineRule="auto"/>
              <w:ind w:left="350" w:right="127" w:hanging="208"/>
              <w:rPr>
                <w:sz w:val="21"/>
                <w:szCs w:val="21"/>
              </w:rPr>
            </w:pPr>
            <w:r>
              <w:rPr>
                <w:spacing w:val="-1"/>
                <w:sz w:val="21"/>
                <w:szCs w:val="21"/>
              </w:rPr>
              <w:t>项目符合各项与长江有</w:t>
            </w:r>
            <w:r>
              <w:rPr>
                <w:sz w:val="21"/>
                <w:szCs w:val="21"/>
              </w:rPr>
              <w:t xml:space="preserve"> </w:t>
            </w:r>
            <w:r>
              <w:rPr>
                <w:spacing w:val="-1"/>
                <w:sz w:val="21"/>
                <w:szCs w:val="21"/>
              </w:rPr>
              <w:t>关环境保护政策。</w:t>
            </w:r>
          </w:p>
          <w:p>
            <w:pPr>
              <w:pStyle w:val="6"/>
              <w:spacing w:before="23" w:line="237" w:lineRule="auto"/>
              <w:ind w:left="139" w:right="127"/>
              <w:rPr>
                <w:sz w:val="21"/>
                <w:szCs w:val="21"/>
              </w:rPr>
            </w:pPr>
            <w:r>
              <w:rPr>
                <w:spacing w:val="-1"/>
                <w:sz w:val="21"/>
                <w:szCs w:val="21"/>
              </w:rPr>
              <w:t>本项目各单项建设内容</w:t>
            </w:r>
            <w:r>
              <w:rPr>
                <w:spacing w:val="2"/>
                <w:sz w:val="21"/>
                <w:szCs w:val="21"/>
              </w:rPr>
              <w:t xml:space="preserve"> </w:t>
            </w:r>
            <w:r>
              <w:rPr>
                <w:spacing w:val="-1"/>
                <w:sz w:val="21"/>
                <w:szCs w:val="21"/>
              </w:rPr>
              <w:t>均不在四川省生态保护</w:t>
            </w:r>
            <w:r>
              <w:rPr>
                <w:spacing w:val="3"/>
                <w:sz w:val="21"/>
                <w:szCs w:val="21"/>
              </w:rPr>
              <w:t xml:space="preserve"> </w:t>
            </w:r>
            <w:r>
              <w:rPr>
                <w:spacing w:val="-11"/>
                <w:sz w:val="21"/>
                <w:szCs w:val="21"/>
              </w:rPr>
              <w:t>红线范围之内， 同时，</w:t>
            </w:r>
            <w:r>
              <w:rPr>
                <w:spacing w:val="9"/>
                <w:sz w:val="21"/>
                <w:szCs w:val="21"/>
              </w:rPr>
              <w:t xml:space="preserve"> </w:t>
            </w:r>
            <w:r>
              <w:rPr>
                <w:spacing w:val="-1"/>
                <w:sz w:val="21"/>
                <w:szCs w:val="21"/>
              </w:rPr>
              <w:t>本项目占地不涉及自然</w:t>
            </w:r>
            <w:r>
              <w:rPr>
                <w:spacing w:val="3"/>
                <w:sz w:val="21"/>
                <w:szCs w:val="21"/>
              </w:rPr>
              <w:t xml:space="preserve"> </w:t>
            </w:r>
            <w:r>
              <w:rPr>
                <w:spacing w:val="-1"/>
                <w:sz w:val="21"/>
                <w:szCs w:val="21"/>
              </w:rPr>
              <w:t>保护区、森林公园、风</w:t>
            </w:r>
            <w:r>
              <w:rPr>
                <w:spacing w:val="3"/>
                <w:sz w:val="21"/>
                <w:szCs w:val="21"/>
              </w:rPr>
              <w:t xml:space="preserve"> </w:t>
            </w:r>
            <w:r>
              <w:rPr>
                <w:spacing w:val="-1"/>
                <w:sz w:val="21"/>
                <w:szCs w:val="21"/>
              </w:rPr>
              <w:t>景名胜区、地质公园、</w:t>
            </w:r>
            <w:r>
              <w:rPr>
                <w:spacing w:val="3"/>
                <w:sz w:val="21"/>
                <w:szCs w:val="21"/>
              </w:rPr>
              <w:t xml:space="preserve"> </w:t>
            </w:r>
            <w:r>
              <w:rPr>
                <w:spacing w:val="-1"/>
                <w:sz w:val="21"/>
                <w:szCs w:val="21"/>
              </w:rPr>
              <w:t>饮用水水源保护区、湿</w:t>
            </w:r>
            <w:r>
              <w:rPr>
                <w:spacing w:val="3"/>
                <w:sz w:val="21"/>
                <w:szCs w:val="21"/>
              </w:rPr>
              <w:t xml:space="preserve"> </w:t>
            </w:r>
            <w:r>
              <w:rPr>
                <w:spacing w:val="-1"/>
                <w:sz w:val="21"/>
                <w:szCs w:val="21"/>
              </w:rPr>
              <w:t>地公园、水产种质资源</w:t>
            </w:r>
            <w:r>
              <w:rPr>
                <w:spacing w:val="3"/>
                <w:sz w:val="21"/>
                <w:szCs w:val="21"/>
              </w:rPr>
              <w:t xml:space="preserve"> </w:t>
            </w:r>
            <w:r>
              <w:rPr>
                <w:spacing w:val="-1"/>
                <w:sz w:val="21"/>
                <w:szCs w:val="21"/>
              </w:rPr>
              <w:t>保护区等各类自然保护</w:t>
            </w:r>
          </w:p>
          <w:p>
            <w:pPr>
              <w:pStyle w:val="6"/>
              <w:spacing w:before="22" w:line="230" w:lineRule="auto"/>
              <w:ind w:left="979"/>
              <w:rPr>
                <w:sz w:val="21"/>
                <w:szCs w:val="21"/>
              </w:rPr>
            </w:pPr>
            <w:r>
              <w:rPr>
                <w:spacing w:val="-10"/>
                <w:sz w:val="21"/>
                <w:szCs w:val="21"/>
              </w:rPr>
              <w:t>地。</w:t>
            </w:r>
          </w:p>
        </w:tc>
        <w:tc>
          <w:tcPr>
            <w:tcW w:w="73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9" w:line="221" w:lineRule="auto"/>
              <w:ind w:left="151"/>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3" w:hRule="atLeast"/>
        </w:trPr>
        <w:tc>
          <w:tcPr>
            <w:tcW w:w="463" w:type="dxa"/>
            <w:vMerge w:val="continue"/>
            <w:tcBorders>
              <w:top w:val="nil"/>
              <w:bottom w:val="nil"/>
            </w:tcBorders>
            <w:vAlign w:val="top"/>
          </w:tcPr>
          <w:p>
            <w:pPr>
              <w:rPr>
                <w:rFonts w:ascii="Arial"/>
                <w:sz w:val="21"/>
              </w:rPr>
            </w:pPr>
          </w:p>
        </w:tc>
        <w:tc>
          <w:tcPr>
            <w:tcW w:w="5534" w:type="dxa"/>
            <w:vAlign w:val="top"/>
          </w:tcPr>
          <w:p>
            <w:pPr>
              <w:pStyle w:val="6"/>
              <w:spacing w:before="33" w:line="220" w:lineRule="auto"/>
              <w:ind w:left="145"/>
              <w:rPr>
                <w:sz w:val="21"/>
                <w:szCs w:val="21"/>
              </w:rPr>
            </w:pPr>
            <w:r>
              <w:rPr>
                <w:spacing w:val="-4"/>
                <w:sz w:val="21"/>
                <w:szCs w:val="21"/>
              </w:rPr>
              <w:t>严格保护生态空间，</w:t>
            </w:r>
            <w:r>
              <w:rPr>
                <w:spacing w:val="-9"/>
                <w:sz w:val="21"/>
                <w:szCs w:val="21"/>
              </w:rPr>
              <w:t xml:space="preserve"> </w:t>
            </w:r>
            <w:r>
              <w:rPr>
                <w:spacing w:val="-4"/>
                <w:sz w:val="21"/>
                <w:szCs w:val="21"/>
              </w:rPr>
              <w:t>优化《规划》布局。将生态保护红线</w:t>
            </w:r>
          </w:p>
          <w:p>
            <w:pPr>
              <w:pStyle w:val="6"/>
              <w:spacing w:before="23" w:line="221" w:lineRule="auto"/>
              <w:ind w:left="145"/>
              <w:rPr>
                <w:sz w:val="21"/>
                <w:szCs w:val="21"/>
              </w:rPr>
            </w:pPr>
            <w:r>
              <w:rPr>
                <w:sz w:val="21"/>
                <w:szCs w:val="21"/>
              </w:rPr>
              <w:t>作为保障和维护区域生态安全的底线，进一步优</w:t>
            </w:r>
            <w:r>
              <w:rPr>
                <w:spacing w:val="-1"/>
                <w:sz w:val="21"/>
                <w:szCs w:val="21"/>
              </w:rPr>
              <w:t>化矿业权</w:t>
            </w:r>
          </w:p>
          <w:p>
            <w:pPr>
              <w:pStyle w:val="6"/>
              <w:spacing w:before="20" w:line="220" w:lineRule="auto"/>
              <w:ind w:left="148"/>
              <w:rPr>
                <w:sz w:val="21"/>
                <w:szCs w:val="21"/>
              </w:rPr>
            </w:pPr>
            <w:r>
              <w:rPr>
                <w:sz w:val="21"/>
                <w:szCs w:val="21"/>
              </w:rPr>
              <w:t>设置和空间布局，依法依规对生态空间实施</w:t>
            </w:r>
            <w:r>
              <w:rPr>
                <w:spacing w:val="-1"/>
                <w:sz w:val="21"/>
                <w:szCs w:val="21"/>
              </w:rPr>
              <w:t>严格保护。针</w:t>
            </w:r>
          </w:p>
          <w:p>
            <w:pPr>
              <w:pStyle w:val="6"/>
              <w:spacing w:before="23" w:line="221" w:lineRule="auto"/>
              <w:ind w:left="564"/>
              <w:rPr>
                <w:sz w:val="21"/>
                <w:szCs w:val="21"/>
              </w:rPr>
            </w:pPr>
            <w:r>
              <w:rPr>
                <w:spacing w:val="-1"/>
                <w:sz w:val="21"/>
                <w:szCs w:val="21"/>
              </w:rPr>
              <w:t>对与生态保护红线存在空间重叠的勘查规划区块</w:t>
            </w:r>
          </w:p>
          <w:p>
            <w:pPr>
              <w:pStyle w:val="6"/>
              <w:spacing w:before="20" w:line="217" w:lineRule="auto"/>
              <w:ind w:left="447"/>
              <w:rPr>
                <w:sz w:val="21"/>
                <w:szCs w:val="21"/>
              </w:rPr>
            </w:pPr>
            <w:r>
              <w:rPr>
                <w:rFonts w:ascii="Times New Roman" w:hAnsi="Times New Roman" w:eastAsia="Times New Roman" w:cs="Times New Roman"/>
                <w:sz w:val="21"/>
                <w:szCs w:val="21"/>
              </w:rPr>
              <w:t>KQ51000000040</w:t>
            </w:r>
            <w:r>
              <w:rPr>
                <w:sz w:val="21"/>
                <w:szCs w:val="21"/>
              </w:rPr>
              <w:t>、开采规划区块</w:t>
            </w:r>
            <w:r>
              <w:rPr>
                <w:spacing w:val="-44"/>
                <w:sz w:val="21"/>
                <w:szCs w:val="21"/>
              </w:rPr>
              <w:t xml:space="preserve"> </w:t>
            </w:r>
            <w:r>
              <w:rPr>
                <w:rFonts w:ascii="Times New Roman" w:hAnsi="Times New Roman" w:eastAsia="Times New Roman" w:cs="Times New Roman"/>
                <w:sz w:val="21"/>
                <w:szCs w:val="21"/>
              </w:rPr>
              <w:t>CQ51</w:t>
            </w:r>
            <w:r>
              <w:rPr>
                <w:rFonts w:ascii="Times New Roman" w:hAnsi="Times New Roman" w:eastAsia="Times New Roman" w:cs="Times New Roman"/>
                <w:spacing w:val="-1"/>
                <w:sz w:val="21"/>
                <w:szCs w:val="21"/>
              </w:rPr>
              <w:t>000000004</w:t>
            </w:r>
            <w:r>
              <w:rPr>
                <w:spacing w:val="-1"/>
                <w:sz w:val="21"/>
                <w:szCs w:val="21"/>
              </w:rPr>
              <w:t>、</w:t>
            </w:r>
          </w:p>
          <w:p>
            <w:pPr>
              <w:pStyle w:val="6"/>
              <w:spacing w:before="20" w:line="238" w:lineRule="auto"/>
              <w:ind w:left="106" w:right="25" w:firstLine="23"/>
              <w:rPr>
                <w:sz w:val="21"/>
                <w:szCs w:val="21"/>
              </w:rPr>
            </w:pPr>
            <w:r>
              <w:rPr>
                <w:rFonts w:ascii="Times New Roman" w:hAnsi="Times New Roman" w:eastAsia="Times New Roman" w:cs="Times New Roman"/>
                <w:spacing w:val="-3"/>
                <w:sz w:val="21"/>
                <w:szCs w:val="21"/>
              </w:rPr>
              <w:t xml:space="preserve">CQ51000000025 </w:t>
            </w:r>
            <w:r>
              <w:rPr>
                <w:spacing w:val="-3"/>
                <w:sz w:val="21"/>
                <w:szCs w:val="21"/>
              </w:rPr>
              <w:t>等，</w:t>
            </w:r>
            <w:r>
              <w:rPr>
                <w:spacing w:val="-12"/>
                <w:sz w:val="21"/>
                <w:szCs w:val="21"/>
              </w:rPr>
              <w:t xml:space="preserve"> </w:t>
            </w:r>
            <w:r>
              <w:rPr>
                <w:spacing w:val="-3"/>
                <w:sz w:val="21"/>
                <w:szCs w:val="21"/>
              </w:rPr>
              <w:t>进一步优化布局，确保满足生态保护</w:t>
            </w:r>
            <w:r>
              <w:rPr>
                <w:sz w:val="21"/>
                <w:szCs w:val="21"/>
              </w:rPr>
              <w:t xml:space="preserve">  红线管控要求。针对与自然保护区、饮用水水源保护区、</w:t>
            </w:r>
            <w:r>
              <w:rPr>
                <w:spacing w:val="2"/>
                <w:sz w:val="21"/>
                <w:szCs w:val="21"/>
              </w:rPr>
              <w:t xml:space="preserve">  </w:t>
            </w:r>
            <w:r>
              <w:rPr>
                <w:spacing w:val="1"/>
                <w:sz w:val="21"/>
                <w:szCs w:val="21"/>
              </w:rPr>
              <w:t>森林公园、湿地公园、风景名胜区等存在空间局部重叠的</w:t>
            </w:r>
            <w:r>
              <w:rPr>
                <w:spacing w:val="5"/>
                <w:sz w:val="21"/>
                <w:szCs w:val="21"/>
              </w:rPr>
              <w:t xml:space="preserve">  </w:t>
            </w:r>
            <w:r>
              <w:rPr>
                <w:rFonts w:ascii="Times New Roman" w:hAnsi="Times New Roman" w:eastAsia="Times New Roman" w:cs="Times New Roman"/>
                <w:sz w:val="21"/>
                <w:szCs w:val="21"/>
              </w:rPr>
              <w:t xml:space="preserve">KQ51000000005 </w:t>
            </w:r>
            <w:r>
              <w:rPr>
                <w:sz w:val="21"/>
                <w:szCs w:val="21"/>
              </w:rPr>
              <w:t>等</w:t>
            </w:r>
            <w:r>
              <w:rPr>
                <w:spacing w:val="-42"/>
                <w:sz w:val="21"/>
                <w:szCs w:val="21"/>
              </w:rPr>
              <w:t xml:space="preserve"> </w:t>
            </w:r>
            <w:r>
              <w:rPr>
                <w:rFonts w:ascii="Times New Roman" w:hAnsi="Times New Roman" w:eastAsia="Times New Roman" w:cs="Times New Roman"/>
                <w:sz w:val="21"/>
                <w:szCs w:val="21"/>
              </w:rPr>
              <w:t xml:space="preserve">5 </w:t>
            </w:r>
            <w:r>
              <w:rPr>
                <w:sz w:val="21"/>
                <w:szCs w:val="21"/>
              </w:rPr>
              <w:t>个勘查规</w:t>
            </w:r>
            <w:r>
              <w:rPr>
                <w:spacing w:val="-1"/>
                <w:sz w:val="21"/>
                <w:szCs w:val="21"/>
              </w:rPr>
              <w:t>划区块、</w:t>
            </w:r>
            <w:r>
              <w:rPr>
                <w:rFonts w:ascii="Times New Roman" w:hAnsi="Times New Roman" w:eastAsia="Times New Roman" w:cs="Times New Roman"/>
                <w:spacing w:val="-1"/>
                <w:sz w:val="21"/>
                <w:szCs w:val="21"/>
              </w:rPr>
              <w:t xml:space="preserve">CQ51000000004 </w:t>
            </w:r>
            <w:r>
              <w:rPr>
                <w:spacing w:val="-1"/>
                <w:sz w:val="21"/>
                <w:szCs w:val="21"/>
              </w:rPr>
              <w:t xml:space="preserve">等 </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18"/>
                <w:sz w:val="21"/>
                <w:szCs w:val="21"/>
              </w:rPr>
              <w:t xml:space="preserve"> </w:t>
            </w:r>
            <w:r>
              <w:rPr>
                <w:spacing w:val="-4"/>
                <w:sz w:val="21"/>
                <w:szCs w:val="21"/>
              </w:rPr>
              <w:t>个开采规划区块、</w:t>
            </w:r>
            <w:r>
              <w:rPr>
                <w:rFonts w:ascii="Times New Roman" w:hAnsi="Times New Roman" w:eastAsia="Times New Roman" w:cs="Times New Roman"/>
                <w:spacing w:val="-4"/>
                <w:sz w:val="21"/>
                <w:szCs w:val="21"/>
              </w:rPr>
              <w:t>KZ51000000002</w:t>
            </w:r>
            <w:r>
              <w:rPr>
                <w:rFonts w:ascii="Times New Roman" w:hAnsi="Times New Roman" w:eastAsia="Times New Roman" w:cs="Times New Roman"/>
                <w:spacing w:val="-16"/>
                <w:sz w:val="21"/>
                <w:szCs w:val="21"/>
              </w:rPr>
              <w:t xml:space="preserve"> </w:t>
            </w:r>
            <w:r>
              <w:rPr>
                <w:spacing w:val="-4"/>
                <w:sz w:val="21"/>
                <w:szCs w:val="21"/>
              </w:rPr>
              <w:t>等</w:t>
            </w:r>
            <w:r>
              <w:rPr>
                <w:rFonts w:ascii="Times New Roman" w:hAnsi="Times New Roman" w:eastAsia="Times New Roman" w:cs="Times New Roman"/>
                <w:spacing w:val="-4"/>
                <w:sz w:val="21"/>
                <w:szCs w:val="21"/>
              </w:rPr>
              <w:t>9</w:t>
            </w:r>
            <w:r>
              <w:rPr>
                <w:rFonts w:ascii="Times New Roman" w:hAnsi="Times New Roman" w:eastAsia="Times New Roman" w:cs="Times New Roman"/>
                <w:spacing w:val="-21"/>
                <w:sz w:val="21"/>
                <w:szCs w:val="21"/>
              </w:rPr>
              <w:t xml:space="preserve"> </w:t>
            </w:r>
            <w:r>
              <w:rPr>
                <w:spacing w:val="-4"/>
                <w:sz w:val="21"/>
                <w:szCs w:val="21"/>
              </w:rPr>
              <w:t>个规划重点勘查区、</w:t>
            </w:r>
            <w:r>
              <w:rPr>
                <w:sz w:val="21"/>
                <w:szCs w:val="21"/>
              </w:rPr>
              <w:t xml:space="preserve"> </w:t>
            </w:r>
            <w:r>
              <w:rPr>
                <w:rFonts w:ascii="Times New Roman" w:hAnsi="Times New Roman" w:eastAsia="Times New Roman" w:cs="Times New Roman"/>
                <w:spacing w:val="-2"/>
                <w:sz w:val="21"/>
                <w:szCs w:val="21"/>
              </w:rPr>
              <w:t xml:space="preserve">CZ51000000001 </w:t>
            </w:r>
            <w:r>
              <w:rPr>
                <w:spacing w:val="-2"/>
                <w:sz w:val="21"/>
                <w:szCs w:val="21"/>
              </w:rPr>
              <w:t>等</w:t>
            </w:r>
            <w:r>
              <w:rPr>
                <w:spacing w:val="-34"/>
                <w:sz w:val="21"/>
                <w:szCs w:val="21"/>
              </w:rPr>
              <w:t xml:space="preserve"> </w:t>
            </w:r>
            <w:r>
              <w:rPr>
                <w:rFonts w:ascii="Times New Roman" w:hAnsi="Times New Roman" w:eastAsia="Times New Roman" w:cs="Times New Roman"/>
                <w:spacing w:val="-2"/>
                <w:sz w:val="21"/>
                <w:szCs w:val="21"/>
              </w:rPr>
              <w:t xml:space="preserve">4 </w:t>
            </w:r>
            <w:r>
              <w:rPr>
                <w:spacing w:val="-2"/>
                <w:sz w:val="21"/>
                <w:szCs w:val="21"/>
              </w:rPr>
              <w:t>个重点开采区、</w:t>
            </w:r>
            <w:r>
              <w:rPr>
                <w:spacing w:val="-32"/>
                <w:sz w:val="21"/>
                <w:szCs w:val="21"/>
              </w:rPr>
              <w:t xml:space="preserve"> </w:t>
            </w:r>
            <w:r>
              <w:rPr>
                <w:rFonts w:ascii="Times New Roman" w:hAnsi="Times New Roman" w:eastAsia="Times New Roman" w:cs="Times New Roman"/>
                <w:spacing w:val="-2"/>
                <w:sz w:val="21"/>
                <w:szCs w:val="21"/>
              </w:rPr>
              <w:t xml:space="preserve">GK51000000001 </w:t>
            </w:r>
            <w:r>
              <w:rPr>
                <w:spacing w:val="-2"/>
                <w:sz w:val="21"/>
                <w:szCs w:val="21"/>
              </w:rPr>
              <w:t>等</w:t>
            </w:r>
            <w:r>
              <w:rPr>
                <w:spacing w:val="-44"/>
                <w:sz w:val="21"/>
                <w:szCs w:val="21"/>
              </w:rPr>
              <w:t xml:space="preserve"> </w:t>
            </w:r>
            <w:r>
              <w:rPr>
                <w:rFonts w:ascii="Times New Roman" w:hAnsi="Times New Roman" w:eastAsia="Times New Roman" w:cs="Times New Roman"/>
                <w:spacing w:val="-2"/>
                <w:sz w:val="21"/>
                <w:szCs w:val="21"/>
              </w:rPr>
              <w:t xml:space="preserve">7   </w:t>
            </w:r>
            <w:r>
              <w:rPr>
                <w:spacing w:val="-1"/>
                <w:sz w:val="21"/>
                <w:szCs w:val="21"/>
              </w:rPr>
              <w:t>个国家规划矿区、</w:t>
            </w:r>
            <w:r>
              <w:rPr>
                <w:rFonts w:ascii="Times New Roman" w:hAnsi="Times New Roman" w:eastAsia="Times New Roman" w:cs="Times New Roman"/>
                <w:spacing w:val="-1"/>
                <w:sz w:val="21"/>
                <w:szCs w:val="21"/>
              </w:rPr>
              <w:t xml:space="preserve">NY51000000001 </w:t>
            </w:r>
            <w:r>
              <w:rPr>
                <w:spacing w:val="-1"/>
                <w:sz w:val="21"/>
                <w:szCs w:val="21"/>
              </w:rPr>
              <w:t>等</w:t>
            </w:r>
            <w:r>
              <w:rPr>
                <w:spacing w:val="-37"/>
                <w:sz w:val="21"/>
                <w:szCs w:val="21"/>
              </w:rPr>
              <w:t xml:space="preserve"> </w:t>
            </w:r>
            <w:r>
              <w:rPr>
                <w:rFonts w:ascii="Times New Roman" w:hAnsi="Times New Roman" w:eastAsia="Times New Roman" w:cs="Times New Roman"/>
                <w:spacing w:val="-1"/>
                <w:sz w:val="21"/>
                <w:szCs w:val="21"/>
              </w:rPr>
              <w:t xml:space="preserve">8 </w:t>
            </w:r>
            <w:r>
              <w:rPr>
                <w:spacing w:val="-1"/>
                <w:sz w:val="21"/>
                <w:szCs w:val="21"/>
              </w:rPr>
              <w:t>个能源资源基地、</w:t>
            </w:r>
            <w:r>
              <w:rPr>
                <w:sz w:val="21"/>
                <w:szCs w:val="21"/>
              </w:rPr>
              <w:t xml:space="preserve">  </w:t>
            </w:r>
            <w:r>
              <w:rPr>
                <w:rFonts w:ascii="Times New Roman" w:hAnsi="Times New Roman" w:eastAsia="Times New Roman" w:cs="Times New Roman"/>
                <w:sz w:val="21"/>
                <w:szCs w:val="21"/>
              </w:rPr>
              <w:t>ZB</w:t>
            </w:r>
            <w:r>
              <w:rPr>
                <w:rFonts w:ascii="Times New Roman" w:hAnsi="Times New Roman" w:eastAsia="Times New Roman" w:cs="Times New Roman"/>
                <w:spacing w:val="1"/>
                <w:sz w:val="21"/>
                <w:szCs w:val="21"/>
              </w:rPr>
              <w:t xml:space="preserve">51000000002 </w:t>
            </w:r>
            <w:r>
              <w:rPr>
                <w:spacing w:val="1"/>
                <w:sz w:val="21"/>
                <w:szCs w:val="21"/>
              </w:rPr>
              <w:t>等</w:t>
            </w:r>
            <w:r>
              <w:rPr>
                <w:spacing w:val="-44"/>
                <w:sz w:val="21"/>
                <w:szCs w:val="21"/>
              </w:rPr>
              <w:t xml:space="preserve"> </w:t>
            </w:r>
            <w:r>
              <w:rPr>
                <w:rFonts w:ascii="Times New Roman" w:hAnsi="Times New Roman" w:eastAsia="Times New Roman" w:cs="Times New Roman"/>
                <w:spacing w:val="1"/>
                <w:sz w:val="21"/>
                <w:szCs w:val="21"/>
              </w:rPr>
              <w:t xml:space="preserve">3 </w:t>
            </w:r>
            <w:r>
              <w:rPr>
                <w:spacing w:val="1"/>
                <w:sz w:val="21"/>
                <w:szCs w:val="21"/>
              </w:rPr>
              <w:t>个战略性矿产储备</w:t>
            </w:r>
            <w:r>
              <w:rPr>
                <w:sz w:val="21"/>
                <w:szCs w:val="21"/>
              </w:rPr>
              <w:t xml:space="preserve">区，进一步优化布  </w:t>
            </w:r>
            <w:r>
              <w:rPr>
                <w:spacing w:val="1"/>
                <w:sz w:val="21"/>
                <w:szCs w:val="21"/>
              </w:rPr>
              <w:t>局，确保满足相关生态环境敏感区管控要求。落实《报告</w:t>
            </w:r>
            <w:r>
              <w:rPr>
                <w:spacing w:val="5"/>
                <w:sz w:val="21"/>
                <w:szCs w:val="21"/>
              </w:rPr>
              <w:t xml:space="preserve">  </w:t>
            </w:r>
            <w:r>
              <w:rPr>
                <w:spacing w:val="-4"/>
                <w:sz w:val="21"/>
                <w:szCs w:val="21"/>
              </w:rPr>
              <w:t>书》提出的位于一般生态空间的</w:t>
            </w:r>
            <w:r>
              <w:rPr>
                <w:rFonts w:ascii="Times New Roman" w:hAnsi="Times New Roman" w:eastAsia="Times New Roman" w:cs="Times New Roman"/>
                <w:spacing w:val="-4"/>
                <w:sz w:val="21"/>
                <w:szCs w:val="21"/>
              </w:rPr>
              <w:t xml:space="preserve">22 </w:t>
            </w:r>
            <w:r>
              <w:rPr>
                <w:spacing w:val="-4"/>
                <w:sz w:val="21"/>
                <w:szCs w:val="21"/>
              </w:rPr>
              <w:t>个已设采</w:t>
            </w:r>
            <w:r>
              <w:rPr>
                <w:spacing w:val="-5"/>
                <w:sz w:val="21"/>
                <w:szCs w:val="21"/>
              </w:rPr>
              <w:t>矿权保留区块、</w:t>
            </w:r>
            <w:r>
              <w:rPr>
                <w:sz w:val="21"/>
                <w:szCs w:val="21"/>
              </w:rPr>
              <w:t xml:space="preserve"> </w:t>
            </w:r>
            <w:r>
              <w:rPr>
                <w:rFonts w:ascii="Times New Roman" w:hAnsi="Times New Roman" w:eastAsia="Times New Roman" w:cs="Times New Roman"/>
                <w:spacing w:val="-7"/>
                <w:sz w:val="21"/>
                <w:szCs w:val="21"/>
              </w:rPr>
              <w:t xml:space="preserve">34 </w:t>
            </w:r>
            <w:r>
              <w:rPr>
                <w:spacing w:val="-7"/>
                <w:sz w:val="21"/>
                <w:szCs w:val="21"/>
              </w:rPr>
              <w:t>个勘查规划区块的管控要求， 进一步优化布局，</w:t>
            </w:r>
            <w:r>
              <w:rPr>
                <w:spacing w:val="-5"/>
                <w:sz w:val="21"/>
                <w:szCs w:val="21"/>
              </w:rPr>
              <w:t xml:space="preserve"> </w:t>
            </w:r>
            <w:r>
              <w:rPr>
                <w:spacing w:val="-7"/>
                <w:sz w:val="21"/>
                <w:szCs w:val="21"/>
              </w:rPr>
              <w:t>依法依</w:t>
            </w:r>
          </w:p>
          <w:p>
            <w:pPr>
              <w:pStyle w:val="6"/>
              <w:spacing w:before="23" w:line="203" w:lineRule="auto"/>
              <w:ind w:left="354"/>
              <w:rPr>
                <w:sz w:val="21"/>
                <w:szCs w:val="21"/>
              </w:rPr>
            </w:pPr>
            <w:r>
              <w:rPr>
                <w:spacing w:val="-1"/>
                <w:sz w:val="21"/>
                <w:szCs w:val="21"/>
              </w:rPr>
              <w:t>规妥善处置，严格控制采矿、探矿活动范围和强度。</w:t>
            </w:r>
          </w:p>
        </w:tc>
        <w:tc>
          <w:tcPr>
            <w:tcW w:w="2366" w:type="dxa"/>
            <w:vAlign w:val="top"/>
          </w:tcPr>
          <w:p>
            <w:pPr>
              <w:spacing w:line="253" w:lineRule="auto"/>
              <w:rPr>
                <w:rFonts w:ascii="Arial"/>
                <w:sz w:val="21"/>
              </w:rPr>
            </w:pPr>
          </w:p>
          <w:p>
            <w:pPr>
              <w:spacing w:line="254" w:lineRule="auto"/>
              <w:rPr>
                <w:rFonts w:ascii="Arial"/>
                <w:sz w:val="21"/>
              </w:rPr>
            </w:pPr>
          </w:p>
          <w:p>
            <w:pPr>
              <w:pStyle w:val="6"/>
              <w:spacing w:before="69" w:line="238" w:lineRule="auto"/>
              <w:ind w:left="114" w:right="103" w:firstLine="25"/>
              <w:jc w:val="both"/>
              <w:rPr>
                <w:sz w:val="21"/>
                <w:szCs w:val="21"/>
              </w:rPr>
            </w:pPr>
            <w:r>
              <w:rPr>
                <w:spacing w:val="-1"/>
                <w:sz w:val="21"/>
                <w:szCs w:val="21"/>
              </w:rPr>
              <w:t>本项目各单项建设内容</w:t>
            </w:r>
            <w:r>
              <w:rPr>
                <w:spacing w:val="2"/>
                <w:sz w:val="21"/>
                <w:szCs w:val="21"/>
              </w:rPr>
              <w:t xml:space="preserve"> </w:t>
            </w:r>
            <w:r>
              <w:rPr>
                <w:spacing w:val="1"/>
                <w:sz w:val="21"/>
                <w:szCs w:val="21"/>
              </w:rPr>
              <w:t>均不在四川省生态保护</w:t>
            </w:r>
            <w:r>
              <w:rPr>
                <w:spacing w:val="8"/>
                <w:sz w:val="21"/>
                <w:szCs w:val="21"/>
              </w:rPr>
              <w:t xml:space="preserve"> </w:t>
            </w:r>
            <w:r>
              <w:rPr>
                <w:spacing w:val="-16"/>
                <w:sz w:val="21"/>
                <w:szCs w:val="21"/>
              </w:rPr>
              <w:t>红线范围之内，符合《关</w:t>
            </w:r>
            <w:r>
              <w:rPr>
                <w:spacing w:val="8"/>
                <w:sz w:val="21"/>
                <w:szCs w:val="21"/>
              </w:rPr>
              <w:t xml:space="preserve"> </w:t>
            </w:r>
            <w:r>
              <w:rPr>
                <w:spacing w:val="1"/>
                <w:sz w:val="21"/>
                <w:szCs w:val="21"/>
              </w:rPr>
              <w:t>于印发四川省生态保护</w:t>
            </w:r>
            <w:r>
              <w:rPr>
                <w:spacing w:val="8"/>
                <w:sz w:val="21"/>
                <w:szCs w:val="21"/>
              </w:rPr>
              <w:t xml:space="preserve"> </w:t>
            </w:r>
            <w:r>
              <w:rPr>
                <w:spacing w:val="1"/>
                <w:sz w:val="21"/>
                <w:szCs w:val="21"/>
              </w:rPr>
              <w:t>红线方案的通知》（川</w:t>
            </w:r>
            <w:r>
              <w:rPr>
                <w:spacing w:val="8"/>
                <w:sz w:val="21"/>
                <w:szCs w:val="21"/>
              </w:rPr>
              <w:t xml:space="preserve"> </w:t>
            </w:r>
            <w:r>
              <w:rPr>
                <w:spacing w:val="-2"/>
                <w:sz w:val="21"/>
                <w:szCs w:val="21"/>
              </w:rPr>
              <w:t>府发〔</w:t>
            </w:r>
            <w:r>
              <w:rPr>
                <w:rFonts w:ascii="Times New Roman" w:hAnsi="Times New Roman" w:eastAsia="Times New Roman" w:cs="Times New Roman"/>
                <w:spacing w:val="-2"/>
                <w:sz w:val="21"/>
                <w:szCs w:val="21"/>
              </w:rPr>
              <w:t>2018</w:t>
            </w:r>
            <w:r>
              <w:rPr>
                <w:spacing w:val="-2"/>
                <w:sz w:val="21"/>
                <w:szCs w:val="21"/>
              </w:rPr>
              <w:t>〕</w:t>
            </w:r>
            <w:r>
              <w:rPr>
                <w:rFonts w:ascii="Times New Roman" w:hAnsi="Times New Roman" w:eastAsia="Times New Roman" w:cs="Times New Roman"/>
                <w:spacing w:val="-2"/>
                <w:sz w:val="21"/>
                <w:szCs w:val="21"/>
              </w:rPr>
              <w:t>24</w:t>
            </w:r>
            <w:r>
              <w:rPr>
                <w:rFonts w:ascii="Times New Roman" w:hAnsi="Times New Roman" w:eastAsia="Times New Roman" w:cs="Times New Roman"/>
                <w:spacing w:val="15"/>
                <w:sz w:val="21"/>
                <w:szCs w:val="21"/>
              </w:rPr>
              <w:t xml:space="preserve"> </w:t>
            </w:r>
            <w:r>
              <w:rPr>
                <w:spacing w:val="-2"/>
                <w:sz w:val="21"/>
                <w:szCs w:val="21"/>
              </w:rPr>
              <w:t>号）的</w:t>
            </w:r>
            <w:r>
              <w:rPr>
                <w:sz w:val="21"/>
                <w:szCs w:val="21"/>
              </w:rPr>
              <w:t xml:space="preserve"> </w:t>
            </w:r>
            <w:r>
              <w:rPr>
                <w:spacing w:val="1"/>
                <w:sz w:val="21"/>
                <w:szCs w:val="21"/>
              </w:rPr>
              <w:t>相关要求。同时，本项</w:t>
            </w:r>
            <w:r>
              <w:rPr>
                <w:spacing w:val="8"/>
                <w:sz w:val="21"/>
                <w:szCs w:val="21"/>
              </w:rPr>
              <w:t xml:space="preserve"> </w:t>
            </w:r>
            <w:r>
              <w:rPr>
                <w:spacing w:val="1"/>
                <w:sz w:val="21"/>
                <w:szCs w:val="21"/>
              </w:rPr>
              <w:t>目占地不涉及自然保护</w:t>
            </w:r>
            <w:r>
              <w:rPr>
                <w:spacing w:val="8"/>
                <w:sz w:val="21"/>
                <w:szCs w:val="21"/>
              </w:rPr>
              <w:t xml:space="preserve"> </w:t>
            </w:r>
            <w:r>
              <w:rPr>
                <w:spacing w:val="1"/>
                <w:sz w:val="21"/>
                <w:szCs w:val="21"/>
              </w:rPr>
              <w:t>区、森林公园、风景名</w:t>
            </w:r>
            <w:r>
              <w:rPr>
                <w:spacing w:val="8"/>
                <w:sz w:val="21"/>
                <w:szCs w:val="21"/>
              </w:rPr>
              <w:t xml:space="preserve"> </w:t>
            </w:r>
            <w:r>
              <w:rPr>
                <w:spacing w:val="1"/>
                <w:sz w:val="21"/>
                <w:szCs w:val="21"/>
              </w:rPr>
              <w:t>胜区、地质公园、饮用</w:t>
            </w:r>
            <w:r>
              <w:rPr>
                <w:spacing w:val="8"/>
                <w:sz w:val="21"/>
                <w:szCs w:val="21"/>
              </w:rPr>
              <w:t xml:space="preserve"> </w:t>
            </w:r>
            <w:r>
              <w:rPr>
                <w:spacing w:val="1"/>
                <w:sz w:val="21"/>
                <w:szCs w:val="21"/>
              </w:rPr>
              <w:t>水水源保护区、湿地公</w:t>
            </w:r>
            <w:r>
              <w:rPr>
                <w:spacing w:val="8"/>
                <w:sz w:val="21"/>
                <w:szCs w:val="21"/>
              </w:rPr>
              <w:t xml:space="preserve"> </w:t>
            </w:r>
            <w:r>
              <w:rPr>
                <w:spacing w:val="1"/>
                <w:sz w:val="21"/>
                <w:szCs w:val="21"/>
              </w:rPr>
              <w:t>园、水产种质资源保护</w:t>
            </w:r>
            <w:r>
              <w:rPr>
                <w:spacing w:val="8"/>
                <w:sz w:val="21"/>
                <w:szCs w:val="21"/>
              </w:rPr>
              <w:t xml:space="preserve"> </w:t>
            </w:r>
            <w:r>
              <w:rPr>
                <w:spacing w:val="2"/>
                <w:sz w:val="21"/>
                <w:szCs w:val="21"/>
              </w:rPr>
              <w:t>区等各类自然保护地。</w:t>
            </w:r>
          </w:p>
        </w:tc>
        <w:tc>
          <w:tcPr>
            <w:tcW w:w="73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9" w:line="221" w:lineRule="auto"/>
              <w:ind w:left="151"/>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3" w:type="dxa"/>
            <w:vMerge w:val="continue"/>
            <w:tcBorders>
              <w:top w:val="nil"/>
            </w:tcBorders>
            <w:vAlign w:val="top"/>
          </w:tcPr>
          <w:p>
            <w:pPr>
              <w:rPr>
                <w:rFonts w:ascii="Arial"/>
                <w:sz w:val="21"/>
              </w:rPr>
            </w:pPr>
          </w:p>
        </w:tc>
        <w:tc>
          <w:tcPr>
            <w:tcW w:w="5534" w:type="dxa"/>
            <w:vAlign w:val="top"/>
          </w:tcPr>
          <w:p>
            <w:pPr>
              <w:pStyle w:val="6"/>
              <w:spacing w:before="70" w:line="221" w:lineRule="auto"/>
              <w:ind w:left="145"/>
              <w:rPr>
                <w:sz w:val="21"/>
                <w:szCs w:val="21"/>
              </w:rPr>
            </w:pPr>
            <w:r>
              <w:rPr>
                <w:spacing w:val="-4"/>
                <w:sz w:val="21"/>
                <w:szCs w:val="21"/>
              </w:rPr>
              <w:t>严格环境准入，</w:t>
            </w:r>
            <w:r>
              <w:rPr>
                <w:spacing w:val="-9"/>
                <w:sz w:val="21"/>
                <w:szCs w:val="21"/>
              </w:rPr>
              <w:t xml:space="preserve"> </w:t>
            </w:r>
            <w:r>
              <w:rPr>
                <w:spacing w:val="-4"/>
                <w:sz w:val="21"/>
                <w:szCs w:val="21"/>
              </w:rPr>
              <w:t>保护区域生态功能。按照四川省生态环境</w:t>
            </w:r>
          </w:p>
        </w:tc>
        <w:tc>
          <w:tcPr>
            <w:tcW w:w="2366" w:type="dxa"/>
            <w:vAlign w:val="top"/>
          </w:tcPr>
          <w:p>
            <w:pPr>
              <w:pStyle w:val="6"/>
              <w:spacing w:before="71" w:line="220" w:lineRule="auto"/>
              <w:ind w:left="140"/>
              <w:rPr>
                <w:sz w:val="21"/>
                <w:szCs w:val="21"/>
              </w:rPr>
            </w:pPr>
            <w:r>
              <w:rPr>
                <w:spacing w:val="-1"/>
                <w:sz w:val="21"/>
                <w:szCs w:val="21"/>
              </w:rPr>
              <w:t>本项目位于达州市通川</w:t>
            </w:r>
          </w:p>
        </w:tc>
        <w:tc>
          <w:tcPr>
            <w:tcW w:w="734" w:type="dxa"/>
            <w:vAlign w:val="top"/>
          </w:tcPr>
          <w:p>
            <w:pPr>
              <w:pStyle w:val="6"/>
              <w:spacing w:before="70" w:line="221" w:lineRule="auto"/>
              <w:ind w:left="151"/>
              <w:rPr>
                <w:sz w:val="21"/>
                <w:szCs w:val="21"/>
              </w:rPr>
            </w:pPr>
            <w:r>
              <w:rPr>
                <w:spacing w:val="-2"/>
                <w:sz w:val="21"/>
                <w:szCs w:val="21"/>
              </w:rPr>
              <w:t>符合</w:t>
            </w:r>
          </w:p>
        </w:tc>
      </w:tr>
    </w:tbl>
    <w:p>
      <w:pPr>
        <w:pStyle w:val="2"/>
        <w:rPr>
          <w:sz w:val="21"/>
        </w:rPr>
      </w:pPr>
    </w:p>
    <w:p>
      <w:pPr>
        <w:rPr>
          <w:sz w:val="21"/>
          <w:szCs w:val="21"/>
        </w:rPr>
        <w:sectPr>
          <w:footerReference r:id="rId9" w:type="default"/>
          <w:pgSz w:w="11907" w:h="16839"/>
          <w:pgMar w:top="400" w:right="1402" w:bottom="1180" w:left="1402" w:header="0" w:footer="920" w:gutter="0"/>
          <w:cols w:space="720" w:num="1"/>
        </w:sectPr>
      </w:pPr>
    </w:p>
    <w:p>
      <w:pPr>
        <w:spacing w:before="13"/>
      </w:pPr>
      <w:r>
        <w:pict>
          <v:rect id="_x0000_s1026" o:spid="_x0000_s1026" o:spt="1" style="position:absolute;left:0pt;margin-left:93pt;margin-top:761.1pt;height:0.5pt;width:42.4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22"/>
        <w:gridCol w:w="77"/>
        <w:gridCol w:w="769"/>
        <w:gridCol w:w="4688"/>
        <w:gridCol w:w="1173"/>
        <w:gridCol w:w="1193"/>
        <w:gridCol w:w="74"/>
        <w:gridCol w:w="6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6" w:hRule="atLeast"/>
        </w:trPr>
        <w:tc>
          <w:tcPr>
            <w:tcW w:w="441" w:type="dxa"/>
            <w:vMerge w:val="restart"/>
            <w:tcBorders>
              <w:bottom w:val="nil"/>
            </w:tcBorders>
            <w:vAlign w:val="top"/>
          </w:tcPr>
          <w:p>
            <w:pPr>
              <w:rPr>
                <w:rFonts w:ascii="Arial"/>
                <w:sz w:val="21"/>
              </w:rPr>
            </w:pPr>
          </w:p>
        </w:tc>
        <w:tc>
          <w:tcPr>
            <w:tcW w:w="99" w:type="dxa"/>
            <w:gridSpan w:val="2"/>
            <w:tcBorders>
              <w:right w:val="nil"/>
            </w:tcBorders>
            <w:vAlign w:val="top"/>
          </w:tcPr>
          <w:p>
            <w:pPr>
              <w:rPr>
                <w:rFonts w:ascii="Arial"/>
                <w:sz w:val="21"/>
              </w:rPr>
            </w:pPr>
            <w:r>
              <w:pict>
                <v:rect id="_x0000_s1027" o:spid="_x0000_s1027" o:spt="1" style="position:absolute;left:0pt;margin-left:0.75pt;margin-top:1.8pt;height:122.55pt;width:0.5pt;mso-position-horizontal-relative:page;mso-position-vertical-relative:page;z-index:251664384;mso-width-relative:page;mso-height-relative:page;" fillcolor="#000000" filled="t" stroked="f" coordsize="21600,21600">
                  <v:path/>
                  <v:fill on="t" focussize="0,0"/>
                  <v:stroke on="f"/>
                  <v:imagedata o:title=""/>
                  <o:lock v:ext="edit"/>
                </v:rect>
              </w:pict>
            </w:r>
          </w:p>
        </w:tc>
        <w:tc>
          <w:tcPr>
            <w:tcW w:w="5457" w:type="dxa"/>
            <w:gridSpan w:val="2"/>
            <w:tcBorders>
              <w:left w:val="nil"/>
            </w:tcBorders>
            <w:vAlign w:val="top"/>
          </w:tcPr>
          <w:p>
            <w:pPr>
              <w:pStyle w:val="6"/>
              <w:spacing w:before="60" w:line="237" w:lineRule="auto"/>
              <w:ind w:left="70" w:right="135" w:firstLine="2"/>
              <w:rPr>
                <w:sz w:val="21"/>
                <w:szCs w:val="21"/>
              </w:rPr>
            </w:pPr>
            <w:r>
              <w:rPr>
                <w:spacing w:val="-4"/>
                <w:sz w:val="21"/>
                <w:szCs w:val="21"/>
              </w:rPr>
              <w:t>分区管控方案、生态环境保护规划等新要求，</w:t>
            </w:r>
            <w:r>
              <w:rPr>
                <w:spacing w:val="-5"/>
                <w:sz w:val="21"/>
                <w:szCs w:val="21"/>
              </w:rPr>
              <w:t xml:space="preserve"> 与一般生态</w:t>
            </w:r>
            <w:r>
              <w:rPr>
                <w:sz w:val="21"/>
                <w:szCs w:val="21"/>
              </w:rPr>
              <w:t xml:space="preserve"> </w:t>
            </w:r>
            <w:r>
              <w:rPr>
                <w:spacing w:val="-1"/>
                <w:sz w:val="21"/>
                <w:szCs w:val="21"/>
              </w:rPr>
              <w:t>空间存在空间重叠的勘查规划区块、开采规划区块，应按</w:t>
            </w:r>
            <w:r>
              <w:rPr>
                <w:spacing w:val="10"/>
                <w:sz w:val="21"/>
                <w:szCs w:val="21"/>
              </w:rPr>
              <w:t xml:space="preserve"> </w:t>
            </w:r>
            <w:r>
              <w:rPr>
                <w:sz w:val="21"/>
                <w:szCs w:val="21"/>
              </w:rPr>
              <w:t>照一般生态空间管控要求，严格控制勘查、开采活</w:t>
            </w:r>
            <w:r>
              <w:rPr>
                <w:spacing w:val="-1"/>
                <w:sz w:val="21"/>
                <w:szCs w:val="21"/>
              </w:rPr>
              <w:t>动范围</w:t>
            </w:r>
            <w:r>
              <w:rPr>
                <w:sz w:val="21"/>
                <w:szCs w:val="21"/>
              </w:rPr>
              <w:t xml:space="preserve"> 和强度，严格落实绿色勘查、绿色开采及矿山生态</w:t>
            </w:r>
            <w:r>
              <w:rPr>
                <w:spacing w:val="-1"/>
                <w:sz w:val="21"/>
                <w:szCs w:val="21"/>
              </w:rPr>
              <w:t>保护修</w:t>
            </w:r>
            <w:r>
              <w:rPr>
                <w:sz w:val="21"/>
                <w:szCs w:val="21"/>
              </w:rPr>
              <w:t xml:space="preserve"> </w:t>
            </w:r>
            <w:r>
              <w:rPr>
                <w:spacing w:val="-2"/>
                <w:sz w:val="21"/>
                <w:szCs w:val="21"/>
              </w:rPr>
              <w:t>复相关要求，确保生态系统结构稳定和生态功能不退化。</w:t>
            </w:r>
            <w:r>
              <w:rPr>
                <w:spacing w:val="16"/>
                <w:sz w:val="21"/>
                <w:szCs w:val="21"/>
              </w:rPr>
              <w:t xml:space="preserve"> </w:t>
            </w:r>
            <w:r>
              <w:rPr>
                <w:sz w:val="21"/>
                <w:szCs w:val="21"/>
              </w:rPr>
              <w:t>严格控制涉及生物多样性保护优先区域、国家重点</w:t>
            </w:r>
            <w:r>
              <w:rPr>
                <w:spacing w:val="-1"/>
                <w:sz w:val="21"/>
                <w:szCs w:val="21"/>
              </w:rPr>
              <w:t>生态功</w:t>
            </w:r>
            <w:r>
              <w:rPr>
                <w:sz w:val="21"/>
                <w:szCs w:val="21"/>
              </w:rPr>
              <w:t xml:space="preserve"> 能区、水土流失重点防治区等具有重要生态功能的</w:t>
            </w:r>
            <w:r>
              <w:rPr>
                <w:spacing w:val="-1"/>
                <w:sz w:val="21"/>
                <w:szCs w:val="21"/>
              </w:rPr>
              <w:t>区域矿</w:t>
            </w:r>
            <w:r>
              <w:rPr>
                <w:sz w:val="21"/>
                <w:szCs w:val="21"/>
              </w:rPr>
              <w:t xml:space="preserve"> 产开采活动，并采取严格有针对性</w:t>
            </w:r>
            <w:r>
              <w:rPr>
                <w:rFonts w:hint="eastAsia"/>
                <w:sz w:val="21"/>
                <w:szCs w:val="21"/>
                <w:lang w:val="en-US" w:eastAsia="zh-CN"/>
              </w:rPr>
              <w:t>地</w:t>
            </w:r>
            <w:r>
              <w:rPr>
                <w:sz w:val="21"/>
                <w:szCs w:val="21"/>
              </w:rPr>
              <w:t>保护措施，防</w:t>
            </w:r>
            <w:r>
              <w:rPr>
                <w:spacing w:val="-1"/>
                <w:sz w:val="21"/>
                <w:szCs w:val="21"/>
              </w:rPr>
              <w:t>止对区</w:t>
            </w:r>
          </w:p>
          <w:p>
            <w:pPr>
              <w:pStyle w:val="6"/>
              <w:spacing w:before="23" w:line="207" w:lineRule="auto"/>
              <w:ind w:left="1436"/>
              <w:rPr>
                <w:sz w:val="21"/>
                <w:szCs w:val="21"/>
              </w:rPr>
            </w:pPr>
            <w:r>
              <w:rPr>
                <w:spacing w:val="-1"/>
                <w:sz w:val="21"/>
                <w:szCs w:val="21"/>
              </w:rPr>
              <w:t>域生态功能产生不良影响。</w:t>
            </w:r>
          </w:p>
        </w:tc>
        <w:tc>
          <w:tcPr>
            <w:tcW w:w="2366" w:type="dxa"/>
            <w:gridSpan w:val="2"/>
            <w:vAlign w:val="top"/>
          </w:tcPr>
          <w:p>
            <w:pPr>
              <w:pStyle w:val="6"/>
              <w:spacing w:before="60" w:line="233" w:lineRule="auto"/>
              <w:ind w:left="138" w:right="127" w:firstLine="16"/>
              <w:jc w:val="both"/>
              <w:rPr>
                <w:sz w:val="21"/>
                <w:szCs w:val="21"/>
              </w:rPr>
            </w:pPr>
            <w:r>
              <w:rPr>
                <w:spacing w:val="-3"/>
                <w:sz w:val="21"/>
                <w:szCs w:val="21"/>
              </w:rPr>
              <w:t>区环境综合管控单元一</w:t>
            </w:r>
            <w:r>
              <w:rPr>
                <w:spacing w:val="7"/>
                <w:sz w:val="21"/>
                <w:szCs w:val="21"/>
              </w:rPr>
              <w:t xml:space="preserve"> </w:t>
            </w:r>
            <w:r>
              <w:rPr>
                <w:spacing w:val="-1"/>
                <w:sz w:val="21"/>
                <w:szCs w:val="21"/>
              </w:rPr>
              <w:t>般管控单元，本项目符</w:t>
            </w:r>
            <w:r>
              <w:rPr>
                <w:spacing w:val="4"/>
                <w:sz w:val="21"/>
                <w:szCs w:val="21"/>
              </w:rPr>
              <w:t xml:space="preserve"> </w:t>
            </w:r>
            <w:r>
              <w:rPr>
                <w:spacing w:val="-1"/>
                <w:sz w:val="21"/>
                <w:szCs w:val="21"/>
              </w:rPr>
              <w:t>合达州市及通川区生态</w:t>
            </w:r>
          </w:p>
          <w:p>
            <w:pPr>
              <w:pStyle w:val="6"/>
              <w:spacing w:before="20" w:line="221" w:lineRule="auto"/>
              <w:ind w:left="453"/>
              <w:rPr>
                <w:sz w:val="21"/>
                <w:szCs w:val="21"/>
              </w:rPr>
            </w:pPr>
            <w:r>
              <w:rPr>
                <w:spacing w:val="-3"/>
                <w:sz w:val="21"/>
                <w:szCs w:val="21"/>
              </w:rPr>
              <w:t>环境管控要求。</w:t>
            </w:r>
          </w:p>
        </w:tc>
        <w:tc>
          <w:tcPr>
            <w:tcW w:w="73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441" w:type="dxa"/>
            <w:vMerge w:val="continue"/>
            <w:tcBorders>
              <w:top w:val="nil"/>
              <w:bottom w:val="nil"/>
            </w:tcBorders>
            <w:vAlign w:val="top"/>
          </w:tcPr>
          <w:p>
            <w:pPr>
              <w:rPr>
                <w:rFonts w:ascii="Arial"/>
                <w:sz w:val="21"/>
              </w:rPr>
            </w:pPr>
          </w:p>
        </w:tc>
        <w:tc>
          <w:tcPr>
            <w:tcW w:w="99" w:type="dxa"/>
            <w:gridSpan w:val="2"/>
            <w:tcBorders>
              <w:right w:val="nil"/>
            </w:tcBorders>
            <w:vAlign w:val="top"/>
          </w:tcPr>
          <w:p>
            <w:pPr>
              <w:rPr>
                <w:rFonts w:ascii="Arial"/>
                <w:sz w:val="21"/>
              </w:rPr>
            </w:pPr>
            <w:r>
              <w:pict>
                <v:rect id="_x0000_s1028" o:spid="_x0000_s1028" o:spt="1" style="position:absolute;left:0pt;margin-left:0.75pt;margin-top:0.25pt;height:122.7pt;width:0.5pt;mso-position-horizontal-relative:page;mso-position-vertical-relative:page;z-index:251663360;mso-width-relative:page;mso-height-relative:page;" fillcolor="#000000" filled="t" stroked="f" coordsize="21600,21600">
                  <v:path/>
                  <v:fill on="t" focussize="0,0"/>
                  <v:stroke on="f"/>
                  <v:imagedata o:title=""/>
                  <o:lock v:ext="edit"/>
                </v:rect>
              </w:pict>
            </w:r>
          </w:p>
        </w:tc>
        <w:tc>
          <w:tcPr>
            <w:tcW w:w="5457" w:type="dxa"/>
            <w:gridSpan w:val="2"/>
            <w:tcBorders>
              <w:left w:val="nil"/>
            </w:tcBorders>
            <w:vAlign w:val="top"/>
          </w:tcPr>
          <w:p>
            <w:pPr>
              <w:pStyle w:val="6"/>
              <w:spacing w:before="32" w:line="237" w:lineRule="auto"/>
              <w:ind w:left="37" w:right="99" w:firstLine="32"/>
              <w:rPr>
                <w:sz w:val="21"/>
                <w:szCs w:val="21"/>
              </w:rPr>
            </w:pPr>
            <w:r>
              <w:rPr>
                <w:sz w:val="21"/>
                <w:szCs w:val="21"/>
              </w:rPr>
              <w:t>加强生态环境保护监测和预警。结合生态保护、饮</w:t>
            </w:r>
            <w:r>
              <w:rPr>
                <w:spacing w:val="-1"/>
                <w:sz w:val="21"/>
                <w:szCs w:val="21"/>
              </w:rPr>
              <w:t>用水水</w:t>
            </w:r>
            <w:r>
              <w:rPr>
                <w:sz w:val="21"/>
                <w:szCs w:val="21"/>
              </w:rPr>
              <w:t xml:space="preserve"> </w:t>
            </w:r>
            <w:r>
              <w:rPr>
                <w:spacing w:val="1"/>
                <w:sz w:val="21"/>
                <w:szCs w:val="21"/>
              </w:rPr>
              <w:t>源保护区及水环境功能区水质保护及改善要求、土壤污染</w:t>
            </w:r>
            <w:r>
              <w:rPr>
                <w:spacing w:val="5"/>
                <w:sz w:val="21"/>
                <w:szCs w:val="21"/>
              </w:rPr>
              <w:t xml:space="preserve"> </w:t>
            </w:r>
            <w:r>
              <w:rPr>
                <w:spacing w:val="-1"/>
                <w:sz w:val="21"/>
                <w:szCs w:val="21"/>
              </w:rPr>
              <w:t xml:space="preserve">防治目标等，推进重点矿区建立生态、地表水、地下水、 </w:t>
            </w:r>
            <w:r>
              <w:rPr>
                <w:spacing w:val="-3"/>
                <w:sz w:val="21"/>
                <w:szCs w:val="21"/>
              </w:rPr>
              <w:t>土壤等环境要素的长期监测监控体系，在用尾矿库</w:t>
            </w:r>
            <w:r>
              <w:rPr>
                <w:spacing w:val="-28"/>
                <w:sz w:val="21"/>
                <w:szCs w:val="21"/>
              </w:rPr>
              <w:t xml:space="preserve"> </w:t>
            </w:r>
            <w:r>
              <w:rPr>
                <w:rFonts w:ascii="Times New Roman" w:hAnsi="Times New Roman" w:eastAsia="Times New Roman" w:cs="Times New Roman"/>
                <w:spacing w:val="-3"/>
                <w:sz w:val="21"/>
                <w:szCs w:val="21"/>
              </w:rPr>
              <w:t>100%</w:t>
            </w:r>
            <w:r>
              <w:rPr>
                <w:spacing w:val="-3"/>
                <w:sz w:val="21"/>
                <w:szCs w:val="21"/>
              </w:rPr>
              <w:t>安</w:t>
            </w:r>
            <w:r>
              <w:rPr>
                <w:sz w:val="21"/>
                <w:szCs w:val="21"/>
              </w:rPr>
              <w:t xml:space="preserve"> </w:t>
            </w:r>
            <w:r>
              <w:rPr>
                <w:spacing w:val="1"/>
                <w:sz w:val="21"/>
                <w:szCs w:val="21"/>
              </w:rPr>
              <w:t>装在线监测装置，明确责任主体、强化资金保障。组织开</w:t>
            </w:r>
            <w:r>
              <w:rPr>
                <w:spacing w:val="5"/>
                <w:sz w:val="21"/>
                <w:szCs w:val="21"/>
              </w:rPr>
              <w:t xml:space="preserve"> </w:t>
            </w:r>
            <w:r>
              <w:rPr>
                <w:spacing w:val="-3"/>
                <w:sz w:val="21"/>
                <w:szCs w:val="21"/>
              </w:rPr>
              <w:t>展主要矿种集中开采区域生态修复效果评估， 并根据监测</w:t>
            </w:r>
            <w:r>
              <w:rPr>
                <w:spacing w:val="3"/>
                <w:sz w:val="21"/>
                <w:szCs w:val="21"/>
              </w:rPr>
              <w:t xml:space="preserve"> </w:t>
            </w:r>
            <w:r>
              <w:rPr>
                <w:spacing w:val="1"/>
                <w:sz w:val="21"/>
                <w:szCs w:val="21"/>
              </w:rPr>
              <w:t>和评估结果增加或优化必要的保护措施。针对地表水环境</w:t>
            </w:r>
            <w:r>
              <w:rPr>
                <w:spacing w:val="5"/>
                <w:sz w:val="21"/>
                <w:szCs w:val="21"/>
              </w:rPr>
              <w:t xml:space="preserve"> </w:t>
            </w:r>
            <w:r>
              <w:rPr>
                <w:spacing w:val="1"/>
                <w:sz w:val="21"/>
                <w:szCs w:val="21"/>
              </w:rPr>
              <w:t>及土壤环境累积影响、地下水环境质量下降、生态退化等</w:t>
            </w:r>
          </w:p>
          <w:p>
            <w:pPr>
              <w:pStyle w:val="6"/>
              <w:spacing w:before="20" w:line="208" w:lineRule="auto"/>
              <w:ind w:left="1648"/>
              <w:rPr>
                <w:sz w:val="21"/>
                <w:szCs w:val="21"/>
              </w:rPr>
            </w:pPr>
            <w:r>
              <w:rPr>
                <w:spacing w:val="-11"/>
                <w:sz w:val="21"/>
                <w:szCs w:val="21"/>
              </w:rPr>
              <w:t>情形， 建立预警机制。</w:t>
            </w:r>
          </w:p>
        </w:tc>
        <w:tc>
          <w:tcPr>
            <w:tcW w:w="2366" w:type="dxa"/>
            <w:gridSpan w:val="2"/>
            <w:vAlign w:val="top"/>
          </w:tcPr>
          <w:p>
            <w:pPr>
              <w:spacing w:line="372" w:lineRule="auto"/>
              <w:rPr>
                <w:rFonts w:ascii="Arial"/>
                <w:sz w:val="21"/>
              </w:rPr>
            </w:pPr>
          </w:p>
          <w:p>
            <w:pPr>
              <w:pStyle w:val="6"/>
              <w:spacing w:before="68" w:line="235" w:lineRule="auto"/>
              <w:ind w:left="139" w:right="127"/>
              <w:rPr>
                <w:sz w:val="21"/>
                <w:szCs w:val="21"/>
              </w:rPr>
            </w:pPr>
            <w:r>
              <w:rPr>
                <w:spacing w:val="-1"/>
                <w:sz w:val="21"/>
                <w:szCs w:val="21"/>
              </w:rPr>
              <w:t>本项目按照导则要求，</w:t>
            </w:r>
            <w:r>
              <w:rPr>
                <w:spacing w:val="2"/>
                <w:sz w:val="21"/>
                <w:szCs w:val="21"/>
              </w:rPr>
              <w:t xml:space="preserve"> </w:t>
            </w:r>
            <w:r>
              <w:rPr>
                <w:spacing w:val="-1"/>
                <w:sz w:val="21"/>
                <w:szCs w:val="21"/>
              </w:rPr>
              <w:t>制定了相应的跟踪监测</w:t>
            </w:r>
            <w:r>
              <w:rPr>
                <w:spacing w:val="3"/>
                <w:sz w:val="21"/>
                <w:szCs w:val="21"/>
              </w:rPr>
              <w:t xml:space="preserve"> </w:t>
            </w:r>
            <w:r>
              <w:rPr>
                <w:spacing w:val="-11"/>
                <w:sz w:val="21"/>
                <w:szCs w:val="21"/>
              </w:rPr>
              <w:t>计划， 并要求建设单位</w:t>
            </w:r>
            <w:r>
              <w:rPr>
                <w:spacing w:val="9"/>
                <w:sz w:val="21"/>
                <w:szCs w:val="21"/>
              </w:rPr>
              <w:t xml:space="preserve"> </w:t>
            </w:r>
            <w:r>
              <w:rPr>
                <w:spacing w:val="-1"/>
                <w:sz w:val="21"/>
                <w:szCs w:val="21"/>
              </w:rPr>
              <w:t>根据风险影响评价结论</w:t>
            </w:r>
            <w:r>
              <w:rPr>
                <w:spacing w:val="3"/>
                <w:sz w:val="21"/>
                <w:szCs w:val="21"/>
              </w:rPr>
              <w:t xml:space="preserve"> </w:t>
            </w:r>
            <w:r>
              <w:rPr>
                <w:spacing w:val="-1"/>
                <w:sz w:val="21"/>
                <w:szCs w:val="21"/>
              </w:rPr>
              <w:t>制定相应的环境风险应</w:t>
            </w:r>
          </w:p>
          <w:p>
            <w:pPr>
              <w:pStyle w:val="6"/>
              <w:spacing w:before="22" w:line="221" w:lineRule="auto"/>
              <w:ind w:left="774"/>
              <w:rPr>
                <w:sz w:val="21"/>
                <w:szCs w:val="21"/>
              </w:rPr>
            </w:pPr>
            <w:r>
              <w:rPr>
                <w:spacing w:val="-3"/>
                <w:sz w:val="21"/>
                <w:szCs w:val="21"/>
              </w:rPr>
              <w:t>急预案。</w:t>
            </w:r>
          </w:p>
        </w:tc>
        <w:tc>
          <w:tcPr>
            <w:tcW w:w="734" w:type="dxa"/>
            <w:gridSpan w:val="2"/>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8" w:line="221" w:lineRule="auto"/>
              <w:ind w:left="151"/>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1" w:hRule="atLeast"/>
        </w:trPr>
        <w:tc>
          <w:tcPr>
            <w:tcW w:w="441" w:type="dxa"/>
            <w:vMerge w:val="continue"/>
            <w:tcBorders>
              <w:top w:val="nil"/>
            </w:tcBorders>
            <w:vAlign w:val="top"/>
          </w:tcPr>
          <w:p>
            <w:pPr>
              <w:rPr>
                <w:rFonts w:ascii="Arial"/>
                <w:sz w:val="21"/>
              </w:rPr>
            </w:pPr>
          </w:p>
        </w:tc>
        <w:tc>
          <w:tcPr>
            <w:tcW w:w="8656" w:type="dxa"/>
            <w:gridSpan w:val="8"/>
            <w:vAlign w:val="top"/>
          </w:tcPr>
          <w:p>
            <w:pPr>
              <w:pStyle w:val="6"/>
              <w:spacing w:before="179" w:line="480" w:lineRule="exact"/>
              <w:ind w:right="26"/>
              <w:jc w:val="right"/>
              <w:rPr>
                <w:sz w:val="24"/>
                <w:szCs w:val="24"/>
              </w:rPr>
            </w:pPr>
            <w:r>
              <w:rPr>
                <w:spacing w:val="-6"/>
                <w:position w:val="18"/>
                <w:sz w:val="24"/>
                <w:szCs w:val="24"/>
              </w:rPr>
              <w:t>综上所述， 项目建设与《四川省矿产资源总体规划（</w:t>
            </w:r>
            <w:r>
              <w:rPr>
                <w:rFonts w:ascii="Times New Roman" w:hAnsi="Times New Roman" w:eastAsia="Times New Roman" w:cs="Times New Roman"/>
                <w:spacing w:val="-6"/>
                <w:position w:val="18"/>
                <w:sz w:val="24"/>
                <w:szCs w:val="24"/>
              </w:rPr>
              <w:t>2021-2025</w:t>
            </w:r>
            <w:r>
              <w:rPr>
                <w:spacing w:val="-6"/>
                <w:position w:val="18"/>
                <w:sz w:val="24"/>
                <w:szCs w:val="24"/>
              </w:rPr>
              <w:t>）》及其规</w:t>
            </w:r>
            <w:r>
              <w:rPr>
                <w:spacing w:val="-7"/>
                <w:position w:val="18"/>
                <w:sz w:val="24"/>
                <w:szCs w:val="24"/>
              </w:rPr>
              <w:t>划环</w:t>
            </w:r>
          </w:p>
          <w:p>
            <w:pPr>
              <w:pStyle w:val="6"/>
              <w:spacing w:line="219" w:lineRule="auto"/>
              <w:ind w:left="20"/>
              <w:rPr>
                <w:sz w:val="24"/>
                <w:szCs w:val="24"/>
              </w:rPr>
            </w:pPr>
            <w:r>
              <w:rPr>
                <w:spacing w:val="-7"/>
                <w:sz w:val="24"/>
                <w:szCs w:val="24"/>
              </w:rPr>
              <w:t>评相符合。</w:t>
            </w:r>
          </w:p>
          <w:p>
            <w:pPr>
              <w:pStyle w:val="6"/>
              <w:spacing w:before="225" w:line="219" w:lineRule="auto"/>
              <w:ind w:left="28"/>
              <w:rPr>
                <w:sz w:val="24"/>
                <w:szCs w:val="24"/>
              </w:rPr>
            </w:pPr>
            <w:r>
              <w:rPr>
                <w:rFonts w:ascii="Times New Roman" w:hAnsi="Times New Roman" w:eastAsia="Times New Roman" w:cs="Times New Roman"/>
                <w:b/>
                <w:bCs/>
                <w:sz w:val="24"/>
                <w:szCs w:val="24"/>
              </w:rPr>
              <w:t xml:space="preserve">1.1.3 </w:t>
            </w:r>
            <w:r>
              <w:rPr>
                <w:sz w:val="24"/>
                <w:szCs w:val="24"/>
                <w14:textOutline w14:w="4354" w14:cap="flat" w14:cmpd="sng">
                  <w14:solidFill>
                    <w14:srgbClr w14:val="000000"/>
                  </w14:solidFill>
                  <w14:prstDash w14:val="solid"/>
                  <w14:miter w14:val="10"/>
                </w14:textOutline>
              </w:rPr>
              <w:t>与《达州市矿产资源总体规划（</w:t>
            </w:r>
            <w:r>
              <w:rPr>
                <w:rFonts w:ascii="Times New Roman" w:hAnsi="Times New Roman" w:eastAsia="Times New Roman" w:cs="Times New Roman"/>
                <w:b/>
                <w:bCs/>
                <w:sz w:val="24"/>
                <w:szCs w:val="24"/>
              </w:rPr>
              <w:t>2021-2025</w:t>
            </w:r>
            <w:r>
              <w:rPr>
                <w:sz w:val="24"/>
                <w:szCs w:val="24"/>
                <w14:textOutline w14:w="4354" w14:cap="flat" w14:cmpd="sng">
                  <w14:solidFill>
                    <w14:srgbClr w14:val="000000"/>
                  </w14:solidFill>
                  <w14:prstDash w14:val="solid"/>
                  <w14:miter w14:val="10"/>
                </w14:textOutline>
              </w:rPr>
              <w:t>）》符合性分析</w:t>
            </w:r>
          </w:p>
          <w:p>
            <w:pPr>
              <w:pStyle w:val="6"/>
              <w:spacing w:before="202" w:line="480" w:lineRule="exact"/>
              <w:ind w:right="14"/>
              <w:jc w:val="right"/>
              <w:rPr>
                <w:sz w:val="24"/>
                <w:szCs w:val="24"/>
              </w:rPr>
            </w:pPr>
            <w:r>
              <w:rPr>
                <w:spacing w:val="-2"/>
                <w:position w:val="18"/>
                <w:sz w:val="24"/>
                <w:szCs w:val="24"/>
              </w:rPr>
              <w:t xml:space="preserve">根据达州市人民政府于 </w:t>
            </w:r>
            <w:r>
              <w:rPr>
                <w:rFonts w:ascii="Times New Roman" w:hAnsi="Times New Roman" w:eastAsia="Times New Roman" w:cs="Times New Roman"/>
                <w:spacing w:val="-2"/>
                <w:position w:val="18"/>
                <w:sz w:val="24"/>
                <w:szCs w:val="24"/>
              </w:rPr>
              <w:t xml:space="preserve">2023  </w:t>
            </w:r>
            <w:r>
              <w:rPr>
                <w:spacing w:val="-2"/>
                <w:position w:val="18"/>
                <w:sz w:val="24"/>
                <w:szCs w:val="24"/>
              </w:rPr>
              <w:t xml:space="preserve">年 </w:t>
            </w:r>
            <w:r>
              <w:rPr>
                <w:rFonts w:ascii="Times New Roman" w:hAnsi="Times New Roman" w:eastAsia="Times New Roman" w:cs="Times New Roman"/>
                <w:spacing w:val="-2"/>
                <w:position w:val="18"/>
                <w:sz w:val="24"/>
                <w:szCs w:val="24"/>
              </w:rPr>
              <w:t xml:space="preserve">6  </w:t>
            </w:r>
            <w:r>
              <w:rPr>
                <w:spacing w:val="-2"/>
                <w:position w:val="18"/>
                <w:sz w:val="24"/>
                <w:szCs w:val="24"/>
              </w:rPr>
              <w:t xml:space="preserve">月 </w:t>
            </w:r>
            <w:r>
              <w:rPr>
                <w:rFonts w:ascii="Times New Roman" w:hAnsi="Times New Roman" w:eastAsia="Times New Roman" w:cs="Times New Roman"/>
                <w:spacing w:val="-2"/>
                <w:position w:val="18"/>
                <w:sz w:val="24"/>
                <w:szCs w:val="24"/>
              </w:rPr>
              <w:t xml:space="preserve">8   </w:t>
            </w:r>
            <w:r>
              <w:rPr>
                <w:spacing w:val="-2"/>
                <w:position w:val="18"/>
                <w:sz w:val="24"/>
                <w:szCs w:val="24"/>
              </w:rPr>
              <w:t>日发布的《达州市矿产资源总体规划</w:t>
            </w:r>
          </w:p>
          <w:p>
            <w:pPr>
              <w:pStyle w:val="6"/>
              <w:spacing w:before="1" w:line="218" w:lineRule="auto"/>
              <w:ind w:left="28"/>
              <w:rPr>
                <w:sz w:val="24"/>
                <w:szCs w:val="24"/>
              </w:rPr>
            </w:pPr>
            <w:r>
              <w:rPr>
                <w:spacing w:val="-2"/>
                <w:sz w:val="24"/>
                <w:szCs w:val="24"/>
              </w:rPr>
              <w:t>（</w:t>
            </w:r>
            <w:r>
              <w:rPr>
                <w:rFonts w:ascii="Times New Roman" w:hAnsi="Times New Roman" w:eastAsia="Times New Roman" w:cs="Times New Roman"/>
                <w:spacing w:val="-2"/>
                <w:sz w:val="24"/>
                <w:szCs w:val="24"/>
              </w:rPr>
              <w:t xml:space="preserve">2021-2025 </w:t>
            </w:r>
            <w:r>
              <w:rPr>
                <w:spacing w:val="-2"/>
                <w:sz w:val="24"/>
                <w:szCs w:val="24"/>
              </w:rPr>
              <w:t>年</w:t>
            </w:r>
            <w:r>
              <w:rPr>
                <w:spacing w:val="-1"/>
                <w:sz w:val="24"/>
                <w:szCs w:val="24"/>
              </w:rPr>
              <w:t>）（</w:t>
            </w:r>
            <w:r>
              <w:rPr>
                <w:spacing w:val="-2"/>
                <w:sz w:val="24"/>
                <w:szCs w:val="24"/>
              </w:rPr>
              <w:t>公开版）》第三章 矿产勘查开发与保护布局：</w:t>
            </w:r>
          </w:p>
          <w:p>
            <w:pPr>
              <w:pStyle w:val="6"/>
              <w:spacing w:before="195" w:line="481" w:lineRule="exact"/>
              <w:ind w:right="25"/>
              <w:jc w:val="right"/>
              <w:rPr>
                <w:sz w:val="24"/>
                <w:szCs w:val="24"/>
              </w:rPr>
            </w:pPr>
            <w:r>
              <w:rPr>
                <w:spacing w:val="-1"/>
                <w:position w:val="18"/>
                <w:sz w:val="24"/>
                <w:szCs w:val="24"/>
                <w14:textOutline w14:w="4354" w14:cap="flat" w14:cmpd="sng">
                  <w14:solidFill>
                    <w14:srgbClr w14:val="000000"/>
                  </w14:solidFill>
                  <w14:prstDash w14:val="solid"/>
                  <w14:miter w14:val="10"/>
                </w14:textOutline>
              </w:rPr>
              <w:t>重点勘查矿种</w:t>
            </w:r>
            <w:r>
              <w:rPr>
                <w:spacing w:val="-1"/>
                <w:position w:val="18"/>
                <w:sz w:val="24"/>
                <w:szCs w:val="24"/>
              </w:rPr>
              <w:t>：钾盐、页岩气、煤层气、地热、矿泉水、辉绿</w:t>
            </w:r>
            <w:r>
              <w:rPr>
                <w:spacing w:val="-2"/>
                <w:position w:val="18"/>
                <w:sz w:val="24"/>
                <w:szCs w:val="24"/>
              </w:rPr>
              <w:t>岩等矿产。积极</w:t>
            </w:r>
          </w:p>
          <w:p>
            <w:pPr>
              <w:pStyle w:val="6"/>
              <w:spacing w:before="1" w:line="218" w:lineRule="auto"/>
              <w:ind w:left="26"/>
              <w:rPr>
                <w:sz w:val="24"/>
                <w:szCs w:val="24"/>
              </w:rPr>
            </w:pPr>
            <w:r>
              <w:rPr>
                <w:spacing w:val="-2"/>
                <w:sz w:val="24"/>
                <w:szCs w:val="24"/>
              </w:rPr>
              <w:t>争取财政投资勘查项目，同时引导各类社会资金投入，争取实现找矿突破。</w:t>
            </w:r>
          </w:p>
          <w:p>
            <w:pPr>
              <w:pStyle w:val="6"/>
              <w:spacing w:before="195" w:line="480" w:lineRule="exact"/>
              <w:ind w:right="12"/>
              <w:jc w:val="right"/>
              <w:rPr>
                <w:sz w:val="24"/>
                <w:szCs w:val="24"/>
              </w:rPr>
            </w:pPr>
            <w:r>
              <w:rPr>
                <w:spacing w:val="-7"/>
                <w:position w:val="18"/>
                <w:sz w:val="24"/>
                <w:szCs w:val="24"/>
                <w14:textOutline w14:w="4354" w14:cap="flat" w14:cmpd="sng">
                  <w14:solidFill>
                    <w14:srgbClr w14:val="000000"/>
                  </w14:solidFill>
                  <w14:prstDash w14:val="solid"/>
                  <w14:miter w14:val="10"/>
                </w14:textOutline>
              </w:rPr>
              <w:t>限制勘查矿种</w:t>
            </w:r>
            <w:r>
              <w:rPr>
                <w:spacing w:val="-7"/>
                <w:position w:val="18"/>
                <w:sz w:val="24"/>
                <w:szCs w:val="24"/>
              </w:rPr>
              <w:t>：硫铁矿、盐矿等矿产。严格控制探矿权投放，</w:t>
            </w:r>
            <w:r>
              <w:rPr>
                <w:spacing w:val="74"/>
                <w:position w:val="18"/>
                <w:sz w:val="24"/>
                <w:szCs w:val="24"/>
              </w:rPr>
              <w:t xml:space="preserve"> </w:t>
            </w:r>
            <w:r>
              <w:rPr>
                <w:spacing w:val="-7"/>
                <w:position w:val="18"/>
                <w:sz w:val="24"/>
                <w:szCs w:val="24"/>
              </w:rPr>
              <w:t>确需新设的必须</w:t>
            </w:r>
          </w:p>
          <w:p>
            <w:pPr>
              <w:pStyle w:val="6"/>
              <w:spacing w:before="1" w:line="218" w:lineRule="auto"/>
              <w:ind w:left="22"/>
              <w:rPr>
                <w:sz w:val="24"/>
                <w:szCs w:val="24"/>
              </w:rPr>
            </w:pPr>
            <w:r>
              <w:rPr>
                <w:spacing w:val="-2"/>
                <w:sz w:val="24"/>
                <w:szCs w:val="24"/>
              </w:rPr>
              <w:t>严格论证资源供需形势和资源环境承载力。</w:t>
            </w:r>
          </w:p>
          <w:p>
            <w:pPr>
              <w:pStyle w:val="6"/>
              <w:spacing w:before="196" w:line="480" w:lineRule="exact"/>
              <w:ind w:right="15"/>
              <w:jc w:val="right"/>
              <w:rPr>
                <w:sz w:val="24"/>
                <w:szCs w:val="24"/>
              </w:rPr>
            </w:pPr>
            <w:r>
              <w:rPr>
                <w:spacing w:val="-12"/>
                <w:position w:val="18"/>
                <w:sz w:val="24"/>
                <w:szCs w:val="24"/>
              </w:rPr>
              <w:t>本项目为天然气勘探项目，</w:t>
            </w:r>
            <w:r>
              <w:rPr>
                <w:spacing w:val="79"/>
                <w:position w:val="18"/>
                <w:sz w:val="24"/>
                <w:szCs w:val="24"/>
              </w:rPr>
              <w:t xml:space="preserve"> </w:t>
            </w:r>
            <w:r>
              <w:rPr>
                <w:spacing w:val="-12"/>
                <w:position w:val="18"/>
                <w:sz w:val="24"/>
                <w:szCs w:val="24"/>
              </w:rPr>
              <w:t>不属于限制勘察矿种，</w:t>
            </w:r>
            <w:r>
              <w:rPr>
                <w:spacing w:val="60"/>
                <w:position w:val="18"/>
                <w:sz w:val="24"/>
                <w:szCs w:val="24"/>
              </w:rPr>
              <w:t xml:space="preserve"> </w:t>
            </w:r>
            <w:r>
              <w:rPr>
                <w:spacing w:val="-12"/>
                <w:position w:val="18"/>
                <w:sz w:val="24"/>
                <w:szCs w:val="24"/>
              </w:rPr>
              <w:t>符合《达州市矿产资源总体</w:t>
            </w:r>
          </w:p>
          <w:p>
            <w:pPr>
              <w:pStyle w:val="6"/>
              <w:spacing w:before="1" w:line="220" w:lineRule="auto"/>
              <w:ind w:left="22"/>
              <w:rPr>
                <w:sz w:val="24"/>
                <w:szCs w:val="24"/>
              </w:rPr>
            </w:pPr>
            <w:r>
              <w:rPr>
                <w:spacing w:val="-3"/>
                <w:sz w:val="24"/>
                <w:szCs w:val="24"/>
              </w:rPr>
              <w:t>规划（</w:t>
            </w:r>
            <w:r>
              <w:rPr>
                <w:rFonts w:ascii="Times New Roman" w:hAnsi="Times New Roman" w:eastAsia="Times New Roman" w:cs="Times New Roman"/>
                <w:spacing w:val="-3"/>
                <w:sz w:val="24"/>
                <w:szCs w:val="24"/>
              </w:rPr>
              <w:t>2021-2025</w:t>
            </w:r>
            <w:r>
              <w:rPr>
                <w:spacing w:val="-3"/>
                <w:sz w:val="24"/>
                <w:szCs w:val="24"/>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1" w:hRule="atLeast"/>
        </w:trPr>
        <w:tc>
          <w:tcPr>
            <w:tcW w:w="441" w:type="dxa"/>
            <w:vMerge w:val="restart"/>
            <w:tcBorders>
              <w:bottom w:val="nil"/>
            </w:tcBorders>
            <w:textDirection w:val="tbRlV"/>
            <w:vAlign w:val="top"/>
          </w:tcPr>
          <w:p>
            <w:pPr>
              <w:pStyle w:val="6"/>
              <w:spacing w:before="97" w:line="208" w:lineRule="auto"/>
              <w:ind w:left="721"/>
              <w:rPr>
                <w:sz w:val="24"/>
                <w:szCs w:val="24"/>
              </w:rPr>
            </w:pPr>
            <w:r>
              <w:rPr>
                <w:spacing w:val="20"/>
                <w:w w:val="117"/>
                <w:sz w:val="24"/>
                <w:szCs w:val="24"/>
              </w:rPr>
              <w:t>其他符合性分析</w:t>
            </w:r>
          </w:p>
        </w:tc>
        <w:tc>
          <w:tcPr>
            <w:tcW w:w="8656" w:type="dxa"/>
            <w:gridSpan w:val="8"/>
            <w:vAlign w:val="top"/>
          </w:tcPr>
          <w:p>
            <w:pPr>
              <w:pStyle w:val="6"/>
              <w:spacing w:before="197" w:line="220" w:lineRule="auto"/>
              <w:ind w:left="510"/>
              <w:rPr>
                <w:sz w:val="24"/>
                <w:szCs w:val="24"/>
              </w:rPr>
            </w:pPr>
            <w:r>
              <w:rPr>
                <w:rFonts w:ascii="Times New Roman" w:hAnsi="Times New Roman" w:eastAsia="Times New Roman" w:cs="Times New Roman"/>
                <w:b/>
                <w:bCs/>
                <w:spacing w:val="-4"/>
                <w:sz w:val="24"/>
                <w:szCs w:val="24"/>
              </w:rPr>
              <w:t>1.2</w:t>
            </w:r>
            <w:r>
              <w:rPr>
                <w:rFonts w:ascii="Times New Roman" w:hAnsi="Times New Roman" w:eastAsia="Times New Roman" w:cs="Times New Roman"/>
                <w:b/>
                <w:bCs/>
                <w:spacing w:val="20"/>
                <w:sz w:val="24"/>
                <w:szCs w:val="24"/>
              </w:rPr>
              <w:t xml:space="preserve"> </w:t>
            </w:r>
            <w:r>
              <w:rPr>
                <w:spacing w:val="-4"/>
                <w:sz w:val="24"/>
                <w:szCs w:val="24"/>
                <w14:textOutline w14:w="4354" w14:cap="flat" w14:cmpd="sng">
                  <w14:solidFill>
                    <w14:srgbClr w14:val="000000"/>
                  </w14:solidFill>
                  <w14:prstDash w14:val="solid"/>
                  <w14:miter w14:val="10"/>
                </w14:textOutline>
              </w:rPr>
              <w:t>与</w:t>
            </w:r>
            <w:r>
              <w:rPr>
                <w:rFonts w:ascii="Times New Roman" w:hAnsi="Times New Roman" w:eastAsia="Times New Roman" w:cs="Times New Roman"/>
                <w:b/>
                <w:bCs/>
                <w:spacing w:val="-4"/>
                <w:sz w:val="24"/>
                <w:szCs w:val="24"/>
              </w:rPr>
              <w:t>“</w:t>
            </w:r>
            <w:r>
              <w:rPr>
                <w:spacing w:val="-4"/>
                <w:sz w:val="24"/>
                <w:szCs w:val="24"/>
                <w14:textOutline w14:w="4354" w14:cap="flat" w14:cmpd="sng">
                  <w14:solidFill>
                    <w14:srgbClr w14:val="000000"/>
                  </w14:solidFill>
                  <w14:prstDash w14:val="solid"/>
                  <w14:miter w14:val="10"/>
                </w14:textOutline>
              </w:rPr>
              <w:t>三线一单</w:t>
            </w:r>
            <w:r>
              <w:rPr>
                <w:rFonts w:ascii="Times New Roman" w:hAnsi="Times New Roman" w:eastAsia="Times New Roman" w:cs="Times New Roman"/>
                <w:b/>
                <w:bCs/>
                <w:spacing w:val="-4"/>
                <w:sz w:val="24"/>
                <w:szCs w:val="24"/>
              </w:rPr>
              <w:t>”</w:t>
            </w:r>
            <w:r>
              <w:rPr>
                <w:rFonts w:ascii="Times New Roman" w:hAnsi="Times New Roman" w:eastAsia="Times New Roman" w:cs="Times New Roman"/>
                <w:b/>
                <w:bCs/>
                <w:spacing w:val="-31"/>
                <w:sz w:val="24"/>
                <w:szCs w:val="24"/>
              </w:rPr>
              <w:t xml:space="preserve"> </w:t>
            </w:r>
            <w:r>
              <w:rPr>
                <w:spacing w:val="-4"/>
                <w:sz w:val="24"/>
                <w:szCs w:val="24"/>
                <w14:textOutline w14:w="4354" w14:cap="flat" w14:cmpd="sng">
                  <w14:solidFill>
                    <w14:srgbClr w14:val="000000"/>
                  </w14:solidFill>
                  <w14:prstDash w14:val="solid"/>
                  <w14:miter w14:val="10"/>
                </w14:textOutline>
              </w:rPr>
              <w:t>的符合性</w:t>
            </w:r>
          </w:p>
          <w:p>
            <w:pPr>
              <w:pStyle w:val="6"/>
              <w:spacing w:before="195" w:line="369" w:lineRule="auto"/>
              <w:ind w:left="22" w:firstLine="475"/>
              <w:jc w:val="both"/>
              <w:rPr>
                <w:sz w:val="24"/>
                <w:szCs w:val="24"/>
              </w:rPr>
            </w:pPr>
            <w:r>
              <w:rPr>
                <w:spacing w:val="-2"/>
                <w:sz w:val="24"/>
                <w:szCs w:val="24"/>
              </w:rPr>
              <w:t>根据《达州市人民政府关于落实生态保护红线、环境</w:t>
            </w:r>
            <w:r>
              <w:rPr>
                <w:spacing w:val="-3"/>
                <w:sz w:val="24"/>
                <w:szCs w:val="24"/>
              </w:rPr>
              <w:t>质量底线、资源利用上线</w:t>
            </w:r>
            <w:r>
              <w:rPr>
                <w:sz w:val="24"/>
                <w:szCs w:val="24"/>
              </w:rPr>
              <w:t xml:space="preserve"> </w:t>
            </w:r>
            <w:r>
              <w:rPr>
                <w:spacing w:val="-8"/>
                <w:sz w:val="24"/>
                <w:szCs w:val="24"/>
              </w:rPr>
              <w:t>制定生态环境准入清单实施生态环境分区管控的通知》（达市府发〔</w:t>
            </w:r>
            <w:r>
              <w:rPr>
                <w:rFonts w:ascii="Times New Roman" w:hAnsi="Times New Roman" w:eastAsia="Times New Roman" w:cs="Times New Roman"/>
                <w:spacing w:val="-8"/>
                <w:sz w:val="24"/>
                <w:szCs w:val="24"/>
              </w:rPr>
              <w:t>2021</w:t>
            </w:r>
            <w:r>
              <w:rPr>
                <w:spacing w:val="-8"/>
                <w:sz w:val="24"/>
                <w:szCs w:val="24"/>
              </w:rPr>
              <w:t>〕</w:t>
            </w:r>
            <w:r>
              <w:rPr>
                <w:rFonts w:ascii="Times New Roman" w:hAnsi="Times New Roman" w:eastAsia="Times New Roman" w:cs="Times New Roman"/>
                <w:spacing w:val="-8"/>
                <w:sz w:val="24"/>
                <w:szCs w:val="24"/>
              </w:rPr>
              <w:t>17</w:t>
            </w:r>
            <w:r>
              <w:rPr>
                <w:rFonts w:ascii="Times New Roman" w:hAnsi="Times New Roman" w:eastAsia="Times New Roman" w:cs="Times New Roman"/>
                <w:spacing w:val="15"/>
                <w:sz w:val="24"/>
                <w:szCs w:val="24"/>
              </w:rPr>
              <w:t xml:space="preserve"> </w:t>
            </w:r>
            <w:r>
              <w:rPr>
                <w:spacing w:val="-8"/>
                <w:sz w:val="24"/>
                <w:szCs w:val="24"/>
              </w:rPr>
              <w:t>号</w:t>
            </w:r>
            <w:r>
              <w:rPr>
                <w:spacing w:val="-12"/>
                <w:sz w:val="24"/>
                <w:szCs w:val="24"/>
              </w:rPr>
              <w:t>），</w:t>
            </w:r>
          </w:p>
          <w:p>
            <w:pPr>
              <w:pStyle w:val="6"/>
              <w:spacing w:before="1" w:line="218" w:lineRule="auto"/>
              <w:ind w:left="22"/>
              <w:rPr>
                <w:sz w:val="24"/>
                <w:szCs w:val="24"/>
              </w:rPr>
            </w:pPr>
            <w:r>
              <w:rPr>
                <w:spacing w:val="-3"/>
                <w:sz w:val="24"/>
                <w:szCs w:val="24"/>
              </w:rPr>
              <w:t>本项目位于一般管控单元。达州市总体生态环境分区管控方案符合性分析如下表。</w:t>
            </w:r>
          </w:p>
          <w:p>
            <w:pPr>
              <w:pStyle w:val="6"/>
              <w:spacing w:before="195" w:line="219" w:lineRule="auto"/>
              <w:ind w:left="1280"/>
              <w:rPr>
                <w:sz w:val="24"/>
                <w:szCs w:val="24"/>
              </w:rPr>
            </w:pPr>
            <w:r>
              <w:rPr>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z w:val="24"/>
                <w:szCs w:val="24"/>
              </w:rPr>
              <w:t xml:space="preserve">1.2-1    </w:t>
            </w:r>
            <w:r>
              <w:rPr>
                <w:sz w:val="24"/>
                <w:szCs w:val="24"/>
                <w14:textOutline w14:w="4354" w14:cap="flat" w14:cmpd="sng">
                  <w14:solidFill>
                    <w14:srgbClr w14:val="000000"/>
                  </w14:solidFill>
                  <w14:prstDash w14:val="solid"/>
                  <w14:miter w14:val="10"/>
                </w14:textOutline>
              </w:rPr>
              <w:t>与达州市及通川区生态环境</w:t>
            </w:r>
            <w:r>
              <w:rPr>
                <w:spacing w:val="-1"/>
                <w:sz w:val="24"/>
                <w:szCs w:val="24"/>
                <w14:textOutline w14:w="4354" w14:cap="flat" w14:cmpd="sng">
                  <w14:solidFill>
                    <w14:srgbClr w14:val="000000"/>
                  </w14:solidFill>
                  <w14:prstDash w14:val="solid"/>
                  <w14:miter w14:val="10"/>
                </w14:textOutline>
              </w:rPr>
              <w:t>管控要求符合性分析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1" w:type="dxa"/>
            <w:vMerge w:val="continue"/>
            <w:tcBorders>
              <w:top w:val="nil"/>
              <w:bottom w:val="nil"/>
            </w:tcBorders>
            <w:textDirection w:val="tbRlV"/>
            <w:vAlign w:val="top"/>
          </w:tcPr>
          <w:p>
            <w:pPr>
              <w:rPr>
                <w:rFonts w:ascii="Arial"/>
                <w:sz w:val="21"/>
              </w:rPr>
            </w:pPr>
          </w:p>
        </w:tc>
        <w:tc>
          <w:tcPr>
            <w:tcW w:w="99" w:type="dxa"/>
            <w:gridSpan w:val="2"/>
            <w:tcBorders>
              <w:right w:val="nil"/>
            </w:tcBorders>
            <w:vAlign w:val="top"/>
          </w:tcPr>
          <w:p>
            <w:pPr>
              <w:rPr>
                <w:rFonts w:ascii="Arial"/>
                <w:sz w:val="21"/>
              </w:rPr>
            </w:pPr>
            <w:r>
              <w:pict>
                <v:rect id="_x0000_s1029" o:spid="_x0000_s1029" o:spt="1" style="position:absolute;left:0pt;margin-left:0.75pt;margin-top:0.45pt;height:27.25pt;width:0.5pt;mso-position-horizontal-relative:page;mso-position-vertical-relative:page;z-index:251662336;mso-width-relative:page;mso-height-relative:page;" fillcolor="#000000" filled="t" stroked="f" coordsize="21600,21600">
                  <v:path/>
                  <v:fill on="t" focussize="0,0"/>
                  <v:stroke on="f"/>
                  <v:imagedata o:title=""/>
                  <o:lock v:ext="edit"/>
                </v:rect>
              </w:pict>
            </w:r>
          </w:p>
        </w:tc>
        <w:tc>
          <w:tcPr>
            <w:tcW w:w="769" w:type="dxa"/>
            <w:tcBorders>
              <w:left w:val="nil"/>
            </w:tcBorders>
            <w:vAlign w:val="top"/>
          </w:tcPr>
          <w:p>
            <w:pPr>
              <w:pStyle w:val="6"/>
              <w:spacing w:before="34" w:line="241" w:lineRule="auto"/>
              <w:ind w:left="145"/>
              <w:rPr>
                <w:sz w:val="21"/>
                <w:szCs w:val="21"/>
              </w:rPr>
            </w:pPr>
            <w:r>
              <w:rPr>
                <w:spacing w:val="-3"/>
                <w:sz w:val="21"/>
                <w:szCs w:val="21"/>
              </w:rPr>
              <w:t>行政</w:t>
            </w:r>
          </w:p>
          <w:p>
            <w:pPr>
              <w:pStyle w:val="6"/>
              <w:spacing w:before="1" w:line="202" w:lineRule="auto"/>
              <w:ind w:left="158"/>
              <w:rPr>
                <w:sz w:val="21"/>
                <w:szCs w:val="21"/>
              </w:rPr>
            </w:pPr>
            <w:r>
              <w:rPr>
                <w:spacing w:val="-6"/>
                <w:sz w:val="21"/>
                <w:szCs w:val="21"/>
              </w:rPr>
              <w:t>区划</w:t>
            </w:r>
          </w:p>
        </w:tc>
        <w:tc>
          <w:tcPr>
            <w:tcW w:w="5861" w:type="dxa"/>
            <w:gridSpan w:val="2"/>
            <w:vAlign w:val="top"/>
          </w:tcPr>
          <w:p>
            <w:pPr>
              <w:pStyle w:val="6"/>
              <w:spacing w:before="170" w:line="221" w:lineRule="auto"/>
              <w:ind w:left="832"/>
              <w:rPr>
                <w:sz w:val="21"/>
                <w:szCs w:val="21"/>
              </w:rPr>
            </w:pPr>
            <w:r>
              <w:rPr>
                <w:spacing w:val="-1"/>
                <w:sz w:val="21"/>
                <w:szCs w:val="21"/>
              </w:rPr>
              <w:t>全市及各县（市、区）总体生态环境管控要求</w:t>
            </w:r>
          </w:p>
        </w:tc>
        <w:tc>
          <w:tcPr>
            <w:tcW w:w="1267" w:type="dxa"/>
            <w:gridSpan w:val="2"/>
            <w:vAlign w:val="top"/>
          </w:tcPr>
          <w:p>
            <w:pPr>
              <w:pStyle w:val="6"/>
              <w:spacing w:before="171" w:line="220" w:lineRule="auto"/>
              <w:ind w:left="116"/>
              <w:rPr>
                <w:sz w:val="21"/>
                <w:szCs w:val="21"/>
              </w:rPr>
            </w:pPr>
            <w:r>
              <w:rPr>
                <w:spacing w:val="-2"/>
                <w:sz w:val="21"/>
                <w:szCs w:val="21"/>
              </w:rPr>
              <w:t>本项目情况</w:t>
            </w:r>
          </w:p>
        </w:tc>
        <w:tc>
          <w:tcPr>
            <w:tcW w:w="660" w:type="dxa"/>
            <w:vAlign w:val="top"/>
          </w:tcPr>
          <w:p>
            <w:pPr>
              <w:pStyle w:val="6"/>
              <w:spacing w:before="33" w:line="222" w:lineRule="auto"/>
              <w:ind w:left="219" w:right="126" w:hanging="104"/>
              <w:rPr>
                <w:sz w:val="21"/>
                <w:szCs w:val="21"/>
              </w:rPr>
            </w:pPr>
            <w:r>
              <w:rPr>
                <w:spacing w:val="-4"/>
                <w:sz w:val="21"/>
                <w:szCs w:val="21"/>
              </w:rPr>
              <w:t>符合</w:t>
            </w:r>
            <w:r>
              <w:rPr>
                <w:sz w:val="21"/>
                <w:szCs w:val="21"/>
              </w:rPr>
              <w:t xml:space="preserve">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41" w:type="dxa"/>
            <w:vMerge w:val="continue"/>
            <w:tcBorders>
              <w:top w:val="nil"/>
            </w:tcBorders>
            <w:textDirection w:val="tbRlV"/>
            <w:vAlign w:val="top"/>
          </w:tcPr>
          <w:p>
            <w:pPr>
              <w:rPr>
                <w:rFonts w:ascii="Arial"/>
                <w:sz w:val="21"/>
              </w:rPr>
            </w:pPr>
          </w:p>
        </w:tc>
        <w:tc>
          <w:tcPr>
            <w:tcW w:w="22" w:type="dxa"/>
            <w:vAlign w:val="top"/>
          </w:tcPr>
          <w:p>
            <w:pPr>
              <w:rPr>
                <w:rFonts w:ascii="Arial"/>
                <w:sz w:val="21"/>
              </w:rPr>
            </w:pPr>
          </w:p>
        </w:tc>
        <w:tc>
          <w:tcPr>
            <w:tcW w:w="846" w:type="dxa"/>
            <w:gridSpan w:val="2"/>
            <w:tcBorders>
              <w:left w:val="single" w:color="000000" w:sz="8" w:space="0"/>
            </w:tcBorders>
            <w:vAlign w:val="top"/>
          </w:tcPr>
          <w:p>
            <w:pPr>
              <w:pStyle w:val="6"/>
              <w:spacing w:before="171" w:line="220" w:lineRule="auto"/>
              <w:ind w:left="103"/>
              <w:rPr>
                <w:sz w:val="21"/>
                <w:szCs w:val="21"/>
              </w:rPr>
            </w:pPr>
            <w:r>
              <w:rPr>
                <w:spacing w:val="-1"/>
                <w:sz w:val="21"/>
                <w:szCs w:val="21"/>
              </w:rPr>
              <w:t>达州市</w:t>
            </w:r>
          </w:p>
        </w:tc>
        <w:tc>
          <w:tcPr>
            <w:tcW w:w="5861" w:type="dxa"/>
            <w:gridSpan w:val="2"/>
            <w:vAlign w:val="top"/>
          </w:tcPr>
          <w:p>
            <w:pPr>
              <w:pStyle w:val="6"/>
              <w:spacing w:before="36" w:line="221" w:lineRule="auto"/>
              <w:ind w:left="126"/>
              <w:rPr>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9"/>
                <w:sz w:val="21"/>
                <w:szCs w:val="21"/>
              </w:rPr>
              <w:t xml:space="preserve"> </w:t>
            </w:r>
            <w:r>
              <w:rPr>
                <w:spacing w:val="-3"/>
                <w:sz w:val="21"/>
                <w:szCs w:val="21"/>
              </w:rPr>
              <w:t>．对钢铁行业提出严格资源环境绩效水平要求；</w:t>
            </w:r>
          </w:p>
          <w:p>
            <w:pPr>
              <w:pStyle w:val="6"/>
              <w:tabs>
                <w:tab w:val="left" w:pos="106"/>
              </w:tabs>
              <w:spacing w:before="20" w:line="209" w:lineRule="auto"/>
              <w:ind w:left="1"/>
              <w:rPr>
                <w:sz w:val="21"/>
                <w:szCs w:val="21"/>
              </w:rPr>
            </w:pPr>
            <w:r>
              <w:rPr>
                <w:rFonts w:ascii="Times New Roman" w:hAnsi="Times New Roman" w:eastAsia="Times New Roman" w:cs="Times New Roman"/>
                <w:sz w:val="21"/>
                <w:szCs w:val="21"/>
                <w:u w:val="single" w:color="auto"/>
              </w:rPr>
              <w:tab/>
            </w:r>
            <w:r>
              <w:rPr>
                <w:rFonts w:ascii="Times New Roman" w:hAnsi="Times New Roman" w:eastAsia="Times New Roman" w:cs="Times New Roman"/>
                <w:spacing w:val="-6"/>
                <w:sz w:val="21"/>
                <w:szCs w:val="21"/>
                <w:u w:val="single" w:color="auto"/>
              </w:rPr>
              <w:t>2</w:t>
            </w:r>
            <w:r>
              <w:rPr>
                <w:rFonts w:ascii="Times New Roman" w:hAnsi="Times New Roman" w:eastAsia="Times New Roman" w:cs="Times New Roman"/>
                <w:spacing w:val="-25"/>
                <w:sz w:val="21"/>
                <w:szCs w:val="21"/>
                <w:u w:val="single" w:color="auto"/>
              </w:rPr>
              <w:t xml:space="preserve"> </w:t>
            </w:r>
            <w:r>
              <w:rPr>
                <w:spacing w:val="-6"/>
                <w:sz w:val="21"/>
                <w:szCs w:val="21"/>
                <w:u w:val="single" w:color="auto"/>
              </w:rPr>
              <w:t xml:space="preserve">．高污染企业限期退城入园；                              </w:t>
            </w:r>
          </w:p>
        </w:tc>
        <w:tc>
          <w:tcPr>
            <w:tcW w:w="1267" w:type="dxa"/>
            <w:gridSpan w:val="2"/>
            <w:vAlign w:val="top"/>
          </w:tcPr>
          <w:p>
            <w:pPr>
              <w:pStyle w:val="6"/>
              <w:tabs>
                <w:tab w:val="left" w:pos="116"/>
              </w:tabs>
              <w:spacing w:before="36" w:line="224" w:lineRule="auto"/>
              <w:ind w:left="4" w:firstLine="112"/>
              <w:rPr>
                <w:sz w:val="21"/>
                <w:szCs w:val="21"/>
              </w:rPr>
            </w:pPr>
            <w:r>
              <w:rPr>
                <w:spacing w:val="-2"/>
                <w:sz w:val="21"/>
                <w:szCs w:val="21"/>
              </w:rPr>
              <w:t>本项目为天</w:t>
            </w:r>
            <w:r>
              <w:rPr>
                <w:spacing w:val="1"/>
                <w:sz w:val="21"/>
                <w:szCs w:val="21"/>
              </w:rPr>
              <w:t xml:space="preserve">  </w:t>
            </w:r>
            <w:r>
              <w:rPr>
                <w:sz w:val="21"/>
                <w:szCs w:val="21"/>
                <w:u w:val="single" w:color="auto"/>
              </w:rPr>
              <w:tab/>
            </w:r>
            <w:r>
              <w:rPr>
                <w:spacing w:val="-2"/>
                <w:sz w:val="21"/>
                <w:szCs w:val="21"/>
                <w:u w:val="single" w:color="auto"/>
              </w:rPr>
              <w:t xml:space="preserve">然气勘探项 </w:t>
            </w:r>
          </w:p>
        </w:tc>
        <w:tc>
          <w:tcPr>
            <w:tcW w:w="660" w:type="dxa"/>
            <w:vAlign w:val="top"/>
          </w:tcPr>
          <w:p>
            <w:pPr>
              <w:pStyle w:val="6"/>
              <w:spacing w:before="171" w:line="221" w:lineRule="auto"/>
              <w:ind w:left="115"/>
              <w:rPr>
                <w:sz w:val="21"/>
                <w:szCs w:val="21"/>
              </w:rPr>
            </w:pPr>
            <w:r>
              <w:pict>
                <v:shape id="_x0000_s1030" o:spid="_x0000_s1030" style="position:absolute;left:0pt;margin-left:0.45pt;margin-top:27.25pt;height:0.5pt;width:31.35pt;mso-position-horizontal-relative:page;mso-position-vertical-relative:page;z-index:251661312;mso-width-relative:page;mso-height-relative:page;" fillcolor="#000000" filled="t" stroked="f" coordsize="627,10" path="m0,9l626,9,626,0,0,0,0,9xe">
                  <v:fill on="t" focussize="0,0"/>
                  <v:stroke on="f"/>
                  <v:imagedata o:title=""/>
                  <o:lock v:ext="edit"/>
                </v:shape>
              </w:pict>
            </w:r>
            <w:r>
              <w:rPr>
                <w:spacing w:val="-2"/>
                <w:sz w:val="21"/>
                <w:szCs w:val="21"/>
              </w:rPr>
              <w:t>符合</w:t>
            </w:r>
          </w:p>
        </w:tc>
      </w:tr>
    </w:tbl>
    <w:p>
      <w:pPr>
        <w:pStyle w:val="2"/>
        <w:rPr>
          <w:sz w:val="21"/>
        </w:rPr>
      </w:pPr>
    </w:p>
    <w:p>
      <w:pPr>
        <w:rPr>
          <w:sz w:val="21"/>
          <w:szCs w:val="21"/>
        </w:rPr>
        <w:sectPr>
          <w:footerReference r:id="rId10" w:type="default"/>
          <w:pgSz w:w="11907" w:h="16839"/>
          <w:pgMar w:top="400" w:right="1402" w:bottom="1180" w:left="1402"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847"/>
        <w:gridCol w:w="5861"/>
        <w:gridCol w:w="1267"/>
        <w:gridCol w:w="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463" w:type="dxa"/>
            <w:vMerge w:val="restart"/>
            <w:tcBorders>
              <w:bottom w:val="nil"/>
            </w:tcBorders>
            <w:vAlign w:val="top"/>
          </w:tcPr>
          <w:p>
            <w:pPr>
              <w:rPr>
                <w:rFonts w:ascii="Arial"/>
                <w:sz w:val="21"/>
              </w:rPr>
            </w:pPr>
          </w:p>
        </w:tc>
        <w:tc>
          <w:tcPr>
            <w:tcW w:w="847" w:type="dxa"/>
            <w:vAlign w:val="top"/>
          </w:tcPr>
          <w:p>
            <w:pPr>
              <w:rPr>
                <w:rFonts w:ascii="Arial"/>
                <w:sz w:val="21"/>
              </w:rPr>
            </w:pPr>
          </w:p>
        </w:tc>
        <w:tc>
          <w:tcPr>
            <w:tcW w:w="5861" w:type="dxa"/>
            <w:vAlign w:val="top"/>
          </w:tcPr>
          <w:p>
            <w:pPr>
              <w:pStyle w:val="6"/>
              <w:spacing w:before="60" w:line="230" w:lineRule="auto"/>
              <w:ind w:left="111" w:right="186" w:hanging="2"/>
              <w:rPr>
                <w:sz w:val="21"/>
                <w:szCs w:val="21"/>
              </w:rPr>
            </w:pPr>
            <w:r>
              <w:rPr>
                <w:rFonts w:ascii="Times New Roman" w:hAnsi="Times New Roman" w:eastAsia="Times New Roman" w:cs="Times New Roman"/>
                <w:spacing w:val="-1"/>
                <w:sz w:val="21"/>
                <w:szCs w:val="21"/>
              </w:rPr>
              <w:t>3</w:t>
            </w:r>
            <w:r>
              <w:rPr>
                <w:rFonts w:ascii="Times New Roman" w:hAnsi="Times New Roman" w:eastAsia="Times New Roman" w:cs="Times New Roman"/>
                <w:spacing w:val="-25"/>
                <w:sz w:val="21"/>
                <w:szCs w:val="21"/>
              </w:rPr>
              <w:t xml:space="preserve"> </w:t>
            </w:r>
            <w:r>
              <w:rPr>
                <w:spacing w:val="-1"/>
                <w:sz w:val="21"/>
                <w:szCs w:val="21"/>
              </w:rPr>
              <w:t>．普光气田开发污染防治和环境管理等方面</w:t>
            </w:r>
            <w:r>
              <w:rPr>
                <w:spacing w:val="-2"/>
                <w:sz w:val="21"/>
                <w:szCs w:val="21"/>
              </w:rPr>
              <w:t>要达到国内先进</w:t>
            </w:r>
            <w:r>
              <w:rPr>
                <w:sz w:val="21"/>
                <w:szCs w:val="21"/>
              </w:rPr>
              <w:t xml:space="preserve"> </w:t>
            </w:r>
            <w:r>
              <w:rPr>
                <w:spacing w:val="-13"/>
                <w:sz w:val="21"/>
                <w:szCs w:val="21"/>
              </w:rPr>
              <w:t>水平；</w:t>
            </w:r>
          </w:p>
          <w:p>
            <w:pPr>
              <w:pStyle w:val="6"/>
              <w:spacing w:before="22" w:line="221" w:lineRule="auto"/>
              <w:ind w:left="104"/>
              <w:rPr>
                <w:sz w:val="21"/>
                <w:szCs w:val="21"/>
              </w:rPr>
            </w:pPr>
            <w:r>
              <w:rPr>
                <w:rFonts w:ascii="Times New Roman" w:hAnsi="Times New Roman" w:eastAsia="Times New Roman" w:cs="Times New Roman"/>
                <w:spacing w:val="-1"/>
                <w:sz w:val="21"/>
                <w:szCs w:val="21"/>
              </w:rPr>
              <w:t>4</w:t>
            </w:r>
            <w:r>
              <w:rPr>
                <w:rFonts w:ascii="Times New Roman" w:hAnsi="Times New Roman" w:eastAsia="Times New Roman" w:cs="Times New Roman"/>
                <w:spacing w:val="-25"/>
                <w:sz w:val="21"/>
                <w:szCs w:val="21"/>
              </w:rPr>
              <w:t xml:space="preserve"> </w:t>
            </w:r>
            <w:r>
              <w:rPr>
                <w:spacing w:val="-1"/>
                <w:sz w:val="21"/>
                <w:szCs w:val="21"/>
              </w:rPr>
              <w:t>．引进项目应符合园区规划环评和区域产业准入清单要求；</w:t>
            </w:r>
          </w:p>
          <w:p>
            <w:pPr>
              <w:pStyle w:val="6"/>
              <w:spacing w:before="20" w:line="231" w:lineRule="auto"/>
              <w:ind w:left="110" w:right="126" w:firstLine="1"/>
              <w:rPr>
                <w:sz w:val="21"/>
                <w:szCs w:val="21"/>
              </w:rPr>
            </w:pPr>
            <w:r>
              <w:rPr>
                <w:rFonts w:ascii="Times New Roman" w:hAnsi="Times New Roman" w:eastAsia="Times New Roman" w:cs="Times New Roman"/>
                <w:spacing w:val="-2"/>
                <w:sz w:val="21"/>
                <w:szCs w:val="21"/>
              </w:rPr>
              <w:t>5</w:t>
            </w:r>
            <w:r>
              <w:rPr>
                <w:rFonts w:ascii="Times New Roman" w:hAnsi="Times New Roman" w:eastAsia="Times New Roman" w:cs="Times New Roman"/>
                <w:spacing w:val="-23"/>
                <w:sz w:val="21"/>
                <w:szCs w:val="21"/>
              </w:rPr>
              <w:t xml:space="preserve"> </w:t>
            </w:r>
            <w:r>
              <w:rPr>
                <w:spacing w:val="-2"/>
                <w:sz w:val="21"/>
                <w:szCs w:val="21"/>
              </w:rPr>
              <w:t>．长江干支流岸线</w:t>
            </w:r>
            <w:r>
              <w:rPr>
                <w:spacing w:val="-30"/>
                <w:sz w:val="21"/>
                <w:szCs w:val="21"/>
              </w:rPr>
              <w:t xml:space="preserve"> </w:t>
            </w:r>
            <w:r>
              <w:rPr>
                <w:rFonts w:ascii="Times New Roman" w:hAnsi="Times New Roman" w:eastAsia="Times New Roman" w:cs="Times New Roman"/>
                <w:spacing w:val="-2"/>
                <w:sz w:val="21"/>
                <w:szCs w:val="21"/>
              </w:rPr>
              <w:t xml:space="preserve">1km </w:t>
            </w:r>
            <w:r>
              <w:rPr>
                <w:spacing w:val="-2"/>
                <w:sz w:val="21"/>
                <w:szCs w:val="21"/>
              </w:rPr>
              <w:t>范围内，不得新建、扩建化工园区和</w:t>
            </w:r>
            <w:r>
              <w:rPr>
                <w:sz w:val="21"/>
                <w:szCs w:val="21"/>
              </w:rPr>
              <w:t xml:space="preserve"> </w:t>
            </w:r>
            <w:r>
              <w:rPr>
                <w:spacing w:val="-7"/>
                <w:sz w:val="21"/>
                <w:szCs w:val="21"/>
              </w:rPr>
              <w:t>化工项目；</w:t>
            </w:r>
          </w:p>
          <w:p>
            <w:pPr>
              <w:pStyle w:val="6"/>
              <w:spacing w:before="18" w:line="221" w:lineRule="auto"/>
              <w:ind w:left="110"/>
              <w:rPr>
                <w:sz w:val="21"/>
                <w:szCs w:val="21"/>
              </w:rPr>
            </w:pPr>
            <w:r>
              <w:rPr>
                <w:rFonts w:ascii="Times New Roman" w:hAnsi="Times New Roman" w:eastAsia="Times New Roman" w:cs="Times New Roman"/>
                <w:spacing w:val="-3"/>
                <w:sz w:val="21"/>
                <w:szCs w:val="21"/>
              </w:rPr>
              <w:t>6</w:t>
            </w:r>
            <w:r>
              <w:rPr>
                <w:rFonts w:ascii="Times New Roman" w:hAnsi="Times New Roman" w:eastAsia="Times New Roman" w:cs="Times New Roman"/>
                <w:spacing w:val="-22"/>
                <w:sz w:val="21"/>
                <w:szCs w:val="21"/>
              </w:rPr>
              <w:t xml:space="preserve"> </w:t>
            </w:r>
            <w:r>
              <w:rPr>
                <w:spacing w:val="-3"/>
                <w:sz w:val="21"/>
                <w:szCs w:val="21"/>
              </w:rPr>
              <w:t>．严控产业转移环境准入；</w:t>
            </w:r>
          </w:p>
          <w:p>
            <w:pPr>
              <w:pStyle w:val="6"/>
              <w:spacing w:before="24" w:line="228" w:lineRule="auto"/>
              <w:ind w:left="109" w:right="102" w:hanging="1"/>
              <w:jc w:val="both"/>
              <w:rPr>
                <w:sz w:val="21"/>
                <w:szCs w:val="21"/>
              </w:rPr>
            </w:pPr>
            <w:r>
              <w:rPr>
                <w:rFonts w:ascii="Times New Roman" w:hAnsi="Times New Roman" w:eastAsia="Times New Roman" w:cs="Times New Roman"/>
                <w:spacing w:val="-1"/>
                <w:sz w:val="21"/>
                <w:szCs w:val="21"/>
              </w:rPr>
              <w:t>7</w:t>
            </w:r>
            <w:r>
              <w:rPr>
                <w:rFonts w:ascii="Times New Roman" w:hAnsi="Times New Roman" w:eastAsia="Times New Roman" w:cs="Times New Roman"/>
                <w:spacing w:val="-24"/>
                <w:sz w:val="21"/>
                <w:szCs w:val="21"/>
              </w:rPr>
              <w:t xml:space="preserve"> </w:t>
            </w:r>
            <w:r>
              <w:rPr>
                <w:spacing w:val="-1"/>
                <w:sz w:val="21"/>
                <w:szCs w:val="21"/>
              </w:rPr>
              <w:t>．造纸等产业污染治理和环境管理应达到国内</w:t>
            </w:r>
            <w:r>
              <w:rPr>
                <w:spacing w:val="-2"/>
                <w:sz w:val="21"/>
                <w:szCs w:val="21"/>
              </w:rPr>
              <w:t xml:space="preserve">先进水平。优 </w:t>
            </w:r>
            <w:r>
              <w:rPr>
                <w:spacing w:val="-1"/>
                <w:sz w:val="21"/>
                <w:szCs w:val="21"/>
              </w:rPr>
              <w:t>化制浆造纸产业布局，提升行业清洁生产水平，推动制浆造纸</w:t>
            </w:r>
            <w:r>
              <w:rPr>
                <w:sz w:val="21"/>
                <w:szCs w:val="21"/>
              </w:rPr>
              <w:t xml:space="preserve"> </w:t>
            </w:r>
            <w:r>
              <w:rPr>
                <w:spacing w:val="-2"/>
                <w:sz w:val="21"/>
                <w:szCs w:val="21"/>
              </w:rPr>
              <w:t>工业向节能、环保、绿色方向发展。</w:t>
            </w:r>
          </w:p>
        </w:tc>
        <w:tc>
          <w:tcPr>
            <w:tcW w:w="1267" w:type="dxa"/>
            <w:vAlign w:val="top"/>
          </w:tcPr>
          <w:p>
            <w:pPr>
              <w:pStyle w:val="6"/>
              <w:spacing w:before="58" w:line="236" w:lineRule="auto"/>
              <w:ind w:left="113" w:right="101" w:firstLine="42"/>
              <w:jc w:val="both"/>
              <w:rPr>
                <w:sz w:val="21"/>
                <w:szCs w:val="21"/>
              </w:rPr>
            </w:pPr>
            <w:r>
              <w:rPr>
                <w:spacing w:val="-9"/>
                <w:sz w:val="21"/>
                <w:szCs w:val="21"/>
              </w:rPr>
              <w:t>目，不属于</w:t>
            </w:r>
            <w:r>
              <w:rPr>
                <w:sz w:val="21"/>
                <w:szCs w:val="21"/>
              </w:rPr>
              <w:t xml:space="preserve"> </w:t>
            </w:r>
            <w:r>
              <w:rPr>
                <w:spacing w:val="-1"/>
                <w:sz w:val="21"/>
                <w:szCs w:val="21"/>
              </w:rPr>
              <w:t>钢铁、化工</w:t>
            </w:r>
            <w:r>
              <w:rPr>
                <w:spacing w:val="1"/>
                <w:sz w:val="21"/>
                <w:szCs w:val="21"/>
              </w:rPr>
              <w:t xml:space="preserve"> </w:t>
            </w:r>
            <w:r>
              <w:rPr>
                <w:spacing w:val="-1"/>
                <w:sz w:val="21"/>
                <w:szCs w:val="21"/>
              </w:rPr>
              <w:t>和高污染项</w:t>
            </w:r>
            <w:r>
              <w:rPr>
                <w:spacing w:val="1"/>
                <w:sz w:val="21"/>
                <w:szCs w:val="21"/>
              </w:rPr>
              <w:t xml:space="preserve"> </w:t>
            </w:r>
            <w:r>
              <w:rPr>
                <w:spacing w:val="-17"/>
                <w:sz w:val="21"/>
                <w:szCs w:val="21"/>
              </w:rPr>
              <w:t>目。</w:t>
            </w:r>
            <w:r>
              <w:rPr>
                <w:spacing w:val="-24"/>
                <w:sz w:val="21"/>
                <w:szCs w:val="21"/>
              </w:rPr>
              <w:t xml:space="preserve"> </w:t>
            </w:r>
            <w:r>
              <w:rPr>
                <w:spacing w:val="-17"/>
                <w:sz w:val="21"/>
                <w:szCs w:val="21"/>
              </w:rPr>
              <w:t>项目不</w:t>
            </w:r>
            <w:r>
              <w:rPr>
                <w:sz w:val="21"/>
                <w:szCs w:val="21"/>
              </w:rPr>
              <w:t xml:space="preserve"> </w:t>
            </w:r>
            <w:r>
              <w:rPr>
                <w:spacing w:val="-1"/>
                <w:sz w:val="21"/>
                <w:szCs w:val="21"/>
              </w:rPr>
              <w:t>在长江干支</w:t>
            </w:r>
          </w:p>
          <w:p>
            <w:pPr>
              <w:pStyle w:val="6"/>
              <w:spacing w:before="20" w:line="231" w:lineRule="auto"/>
              <w:ind w:left="342" w:right="178" w:hanging="150"/>
              <w:rPr>
                <w:sz w:val="21"/>
                <w:szCs w:val="21"/>
              </w:rPr>
            </w:pPr>
            <w:r>
              <w:rPr>
                <w:spacing w:val="-9"/>
                <w:sz w:val="21"/>
                <w:szCs w:val="21"/>
              </w:rPr>
              <w:t>流</w:t>
            </w:r>
            <w:r>
              <w:rPr>
                <w:spacing w:val="-27"/>
                <w:sz w:val="21"/>
                <w:szCs w:val="21"/>
              </w:rPr>
              <w:t xml:space="preserve"> </w:t>
            </w:r>
            <w:r>
              <w:rPr>
                <w:rFonts w:ascii="Times New Roman" w:hAnsi="Times New Roman" w:eastAsia="Times New Roman" w:cs="Times New Roman"/>
                <w:spacing w:val="-9"/>
                <w:sz w:val="21"/>
                <w:szCs w:val="21"/>
              </w:rPr>
              <w:t>1km</w:t>
            </w:r>
            <w:r>
              <w:rPr>
                <w:rFonts w:ascii="Times New Roman" w:hAnsi="Times New Roman" w:eastAsia="Times New Roman" w:cs="Times New Roman"/>
                <w:spacing w:val="11"/>
                <w:sz w:val="21"/>
                <w:szCs w:val="21"/>
              </w:rPr>
              <w:t xml:space="preserve"> </w:t>
            </w:r>
            <w:r>
              <w:rPr>
                <w:spacing w:val="-9"/>
                <w:sz w:val="21"/>
                <w:szCs w:val="21"/>
              </w:rPr>
              <w:t>范</w:t>
            </w:r>
            <w:r>
              <w:rPr>
                <w:sz w:val="21"/>
                <w:szCs w:val="21"/>
              </w:rPr>
              <w:t xml:space="preserve"> </w:t>
            </w:r>
            <w:r>
              <w:rPr>
                <w:spacing w:val="-9"/>
                <w:sz w:val="21"/>
                <w:szCs w:val="21"/>
              </w:rPr>
              <w:t>围内。</w:t>
            </w:r>
          </w:p>
        </w:tc>
        <w:tc>
          <w:tcPr>
            <w:tcW w:w="6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3" w:hRule="atLeast"/>
        </w:trPr>
        <w:tc>
          <w:tcPr>
            <w:tcW w:w="463" w:type="dxa"/>
            <w:vMerge w:val="continue"/>
            <w:tcBorders>
              <w:top w:val="nil"/>
              <w:bottom w:val="nil"/>
            </w:tcBorders>
            <w:vAlign w:val="top"/>
          </w:tcPr>
          <w:p>
            <w:pPr>
              <w:rPr>
                <w:rFonts w:ascii="Arial"/>
                <w:sz w:val="21"/>
              </w:rPr>
            </w:pPr>
          </w:p>
        </w:tc>
        <w:tc>
          <w:tcPr>
            <w:tcW w:w="84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1" w:lineRule="auto"/>
              <w:ind w:left="111"/>
              <w:rPr>
                <w:sz w:val="21"/>
                <w:szCs w:val="21"/>
              </w:rPr>
            </w:pPr>
            <w:r>
              <w:rPr>
                <w:spacing w:val="-2"/>
                <w:sz w:val="21"/>
                <w:szCs w:val="21"/>
              </w:rPr>
              <w:t>通川区</w:t>
            </w:r>
          </w:p>
        </w:tc>
        <w:tc>
          <w:tcPr>
            <w:tcW w:w="5861" w:type="dxa"/>
            <w:vAlign w:val="top"/>
          </w:tcPr>
          <w:p>
            <w:pPr>
              <w:pStyle w:val="6"/>
              <w:spacing w:before="30" w:line="232" w:lineRule="auto"/>
              <w:ind w:left="108" w:right="91" w:firstLine="17"/>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3"/>
                <w:sz w:val="21"/>
                <w:szCs w:val="21"/>
              </w:rPr>
              <w:t xml:space="preserve"> </w:t>
            </w:r>
            <w:r>
              <w:rPr>
                <w:spacing w:val="-13"/>
                <w:sz w:val="21"/>
                <w:szCs w:val="21"/>
              </w:rPr>
              <w:t>．调整农作物种植结构，加强农业氨污染控制，大力发展节水农</w:t>
            </w:r>
            <w:r>
              <w:rPr>
                <w:sz w:val="21"/>
                <w:szCs w:val="21"/>
              </w:rPr>
              <w:t xml:space="preserve"> </w:t>
            </w:r>
            <w:r>
              <w:rPr>
                <w:spacing w:val="-18"/>
                <w:sz w:val="21"/>
                <w:szCs w:val="21"/>
              </w:rPr>
              <w:t>业；</w:t>
            </w:r>
          </w:p>
          <w:p>
            <w:pPr>
              <w:pStyle w:val="6"/>
              <w:spacing w:before="17" w:line="233" w:lineRule="auto"/>
              <w:ind w:left="108" w:right="109" w:hanging="3"/>
              <w:jc w:val="both"/>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7"/>
                <w:sz w:val="21"/>
                <w:szCs w:val="21"/>
              </w:rPr>
              <w:t xml:space="preserve"> </w:t>
            </w:r>
            <w:r>
              <w:rPr>
                <w:spacing w:val="-2"/>
                <w:sz w:val="21"/>
                <w:szCs w:val="21"/>
              </w:rPr>
              <w:t xml:space="preserve">．加强建筑工程日常监管，对重点环节采取遮盖、洒水、封 </w:t>
            </w:r>
            <w:r>
              <w:rPr>
                <w:spacing w:val="-1"/>
                <w:sz w:val="21"/>
                <w:szCs w:val="21"/>
              </w:rPr>
              <w:t>闭等措施控制扬尘排放。提高道路硬化率，减</w:t>
            </w:r>
            <w:r>
              <w:rPr>
                <w:spacing w:val="-2"/>
                <w:sz w:val="21"/>
                <w:szCs w:val="21"/>
              </w:rPr>
              <w:t>少道路起尘源。</w:t>
            </w:r>
            <w:r>
              <w:rPr>
                <w:sz w:val="21"/>
                <w:szCs w:val="21"/>
              </w:rPr>
              <w:t xml:space="preserve"> </w:t>
            </w:r>
            <w:r>
              <w:rPr>
                <w:spacing w:val="-2"/>
                <w:sz w:val="21"/>
                <w:szCs w:val="21"/>
              </w:rPr>
              <w:t>推动非道路移动机械达标排放示范企业建设；</w:t>
            </w:r>
          </w:p>
          <w:p>
            <w:pPr>
              <w:pStyle w:val="6"/>
              <w:spacing w:before="24" w:line="233" w:lineRule="auto"/>
              <w:ind w:left="109" w:right="87"/>
              <w:jc w:val="both"/>
              <w:rPr>
                <w:sz w:val="21"/>
                <w:szCs w:val="21"/>
              </w:rPr>
            </w:pPr>
            <w:r>
              <w:rPr>
                <w:rFonts w:ascii="Times New Roman" w:hAnsi="Times New Roman" w:eastAsia="Times New Roman" w:cs="Times New Roman"/>
                <w:spacing w:val="-6"/>
                <w:sz w:val="21"/>
                <w:szCs w:val="21"/>
              </w:rPr>
              <w:t>3</w:t>
            </w:r>
            <w:r>
              <w:rPr>
                <w:rFonts w:ascii="Times New Roman" w:hAnsi="Times New Roman" w:eastAsia="Times New Roman" w:cs="Times New Roman"/>
                <w:spacing w:val="-25"/>
                <w:sz w:val="21"/>
                <w:szCs w:val="21"/>
              </w:rPr>
              <w:t xml:space="preserve"> </w:t>
            </w:r>
            <w:r>
              <w:rPr>
                <w:spacing w:val="-6"/>
                <w:sz w:val="21"/>
                <w:szCs w:val="21"/>
              </w:rPr>
              <w:t>．优化调整产业布局， 以</w:t>
            </w:r>
            <w:r>
              <w:rPr>
                <w:spacing w:val="-48"/>
                <w:sz w:val="21"/>
                <w:szCs w:val="21"/>
              </w:rPr>
              <w:t xml:space="preserve"> </w:t>
            </w:r>
            <w:r>
              <w:rPr>
                <w:rFonts w:ascii="Times New Roman" w:hAnsi="Times New Roman" w:eastAsia="Times New Roman" w:cs="Times New Roman"/>
                <w:spacing w:val="-6"/>
                <w:sz w:val="21"/>
                <w:szCs w:val="21"/>
              </w:rPr>
              <w:t>PM</w:t>
            </w:r>
            <w:r>
              <w:rPr>
                <w:rFonts w:ascii="Times New Roman" w:hAnsi="Times New Roman" w:eastAsia="Times New Roman" w:cs="Times New Roman"/>
                <w:spacing w:val="-6"/>
                <w:position w:val="-1"/>
                <w:sz w:val="13"/>
                <w:szCs w:val="13"/>
              </w:rPr>
              <w:t>2.5</w:t>
            </w:r>
            <w:r>
              <w:rPr>
                <w:rFonts w:ascii="Times New Roman" w:hAnsi="Times New Roman" w:eastAsia="Times New Roman" w:cs="Times New Roman"/>
                <w:spacing w:val="13"/>
                <w:position w:val="-1"/>
                <w:sz w:val="13"/>
                <w:szCs w:val="13"/>
              </w:rPr>
              <w:t xml:space="preserve"> </w:t>
            </w:r>
            <w:r>
              <w:rPr>
                <w:spacing w:val="-6"/>
                <w:sz w:val="21"/>
                <w:szCs w:val="21"/>
              </w:rPr>
              <w:t>和臭氧污染协同控制为重</w:t>
            </w:r>
            <w:r>
              <w:rPr>
                <w:spacing w:val="-7"/>
                <w:sz w:val="21"/>
                <w:szCs w:val="21"/>
              </w:rPr>
              <w:t>点，</w:t>
            </w:r>
            <w:r>
              <w:rPr>
                <w:sz w:val="21"/>
                <w:szCs w:val="21"/>
              </w:rPr>
              <w:t xml:space="preserve"> </w:t>
            </w:r>
            <w:r>
              <w:rPr>
                <w:spacing w:val="-1"/>
                <w:sz w:val="21"/>
                <w:szCs w:val="21"/>
              </w:rPr>
              <w:t>全面开展</w:t>
            </w:r>
            <w:r>
              <w:rPr>
                <w:spacing w:val="-50"/>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治理，实施移动源整治，持续推进空气质量精</w:t>
            </w:r>
            <w:r>
              <w:rPr>
                <w:sz w:val="21"/>
                <w:szCs w:val="21"/>
              </w:rPr>
              <w:t xml:space="preserve"> </w:t>
            </w:r>
            <w:r>
              <w:rPr>
                <w:spacing w:val="-6"/>
                <w:sz w:val="21"/>
                <w:szCs w:val="21"/>
              </w:rPr>
              <w:t>细化管理；</w:t>
            </w:r>
          </w:p>
          <w:p>
            <w:pPr>
              <w:pStyle w:val="6"/>
              <w:spacing w:before="21" w:line="231" w:lineRule="auto"/>
              <w:ind w:left="108" w:right="102" w:hanging="4"/>
              <w:jc w:val="both"/>
              <w:rPr>
                <w:sz w:val="21"/>
                <w:szCs w:val="21"/>
              </w:rPr>
            </w:pPr>
            <w:r>
              <w:rPr>
                <w:rFonts w:ascii="Times New Roman" w:hAnsi="Times New Roman" w:eastAsia="Times New Roman" w:cs="Times New Roman"/>
                <w:spacing w:val="-1"/>
                <w:sz w:val="21"/>
                <w:szCs w:val="21"/>
              </w:rPr>
              <w:t>4</w:t>
            </w:r>
            <w:r>
              <w:rPr>
                <w:rFonts w:ascii="Times New Roman" w:hAnsi="Times New Roman" w:eastAsia="Times New Roman" w:cs="Times New Roman"/>
                <w:spacing w:val="-24"/>
                <w:sz w:val="21"/>
                <w:szCs w:val="21"/>
              </w:rPr>
              <w:t xml:space="preserve"> </w:t>
            </w:r>
            <w:r>
              <w:rPr>
                <w:spacing w:val="-1"/>
                <w:sz w:val="21"/>
                <w:szCs w:val="21"/>
              </w:rPr>
              <w:t>．建立健全农业节水体系，推广使用节水灌溉技术，探索</w:t>
            </w:r>
            <w:r>
              <w:rPr>
                <w:spacing w:val="-2"/>
                <w:sz w:val="21"/>
                <w:szCs w:val="21"/>
              </w:rPr>
              <w:t xml:space="preserve">乡 </w:t>
            </w:r>
            <w:r>
              <w:rPr>
                <w:spacing w:val="-1"/>
                <w:sz w:val="21"/>
                <w:szCs w:val="21"/>
              </w:rPr>
              <w:t>镇、农村生活污染水资源化还田利用。大力整治沿河畜禽养殖</w:t>
            </w:r>
            <w:r>
              <w:rPr>
                <w:sz w:val="21"/>
                <w:szCs w:val="21"/>
              </w:rPr>
              <w:t xml:space="preserve"> </w:t>
            </w:r>
            <w:r>
              <w:rPr>
                <w:spacing w:val="-1"/>
                <w:sz w:val="21"/>
                <w:szCs w:val="21"/>
              </w:rPr>
              <w:t>污染整治，实现畜禽粪污减量化排放、无害化处理和资源化利</w:t>
            </w:r>
            <w:r>
              <w:rPr>
                <w:sz w:val="21"/>
                <w:szCs w:val="21"/>
              </w:rPr>
              <w:t xml:space="preserve"> </w:t>
            </w:r>
            <w:r>
              <w:rPr>
                <w:spacing w:val="-4"/>
                <w:sz w:val="21"/>
                <w:szCs w:val="21"/>
              </w:rPr>
              <w:t>用。</w:t>
            </w:r>
          </w:p>
        </w:tc>
        <w:tc>
          <w:tcPr>
            <w:tcW w:w="126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35" w:lineRule="auto"/>
              <w:ind w:left="113" w:right="101" w:firstLine="1"/>
              <w:jc w:val="both"/>
              <w:rPr>
                <w:sz w:val="21"/>
                <w:szCs w:val="21"/>
              </w:rPr>
            </w:pPr>
            <w:r>
              <w:rPr>
                <w:spacing w:val="-2"/>
                <w:sz w:val="21"/>
                <w:szCs w:val="21"/>
              </w:rPr>
              <w:t>本项目为天</w:t>
            </w:r>
            <w:r>
              <w:rPr>
                <w:spacing w:val="3"/>
                <w:sz w:val="21"/>
                <w:szCs w:val="21"/>
              </w:rPr>
              <w:t xml:space="preserve"> </w:t>
            </w:r>
            <w:r>
              <w:rPr>
                <w:spacing w:val="-1"/>
                <w:sz w:val="21"/>
                <w:szCs w:val="21"/>
              </w:rPr>
              <w:t>然气勘探项</w:t>
            </w:r>
            <w:r>
              <w:rPr>
                <w:sz w:val="21"/>
                <w:szCs w:val="21"/>
              </w:rPr>
              <w:t xml:space="preserve"> </w:t>
            </w:r>
            <w:r>
              <w:rPr>
                <w:spacing w:val="-18"/>
                <w:sz w:val="21"/>
                <w:szCs w:val="21"/>
              </w:rPr>
              <w:t>目；</w:t>
            </w:r>
            <w:r>
              <w:rPr>
                <w:spacing w:val="-20"/>
                <w:sz w:val="21"/>
                <w:szCs w:val="21"/>
              </w:rPr>
              <w:t xml:space="preserve"> </w:t>
            </w:r>
            <w:r>
              <w:rPr>
                <w:spacing w:val="-18"/>
                <w:sz w:val="21"/>
                <w:szCs w:val="21"/>
              </w:rPr>
              <w:t>施工期</w:t>
            </w:r>
            <w:r>
              <w:rPr>
                <w:sz w:val="21"/>
                <w:szCs w:val="21"/>
              </w:rPr>
              <w:t xml:space="preserve"> </w:t>
            </w:r>
            <w:r>
              <w:rPr>
                <w:spacing w:val="-1"/>
                <w:sz w:val="21"/>
                <w:szCs w:val="21"/>
              </w:rPr>
              <w:t>扬尘经合理</w:t>
            </w:r>
          </w:p>
          <w:p>
            <w:pPr>
              <w:pStyle w:val="6"/>
              <w:spacing w:before="19" w:line="231" w:lineRule="auto"/>
              <w:ind w:left="219" w:right="101" w:hanging="101"/>
              <w:rPr>
                <w:sz w:val="21"/>
                <w:szCs w:val="21"/>
              </w:rPr>
            </w:pPr>
            <w:r>
              <w:rPr>
                <w:spacing w:val="-2"/>
                <w:sz w:val="21"/>
                <w:szCs w:val="21"/>
              </w:rPr>
              <w:t>处理后排放</w:t>
            </w:r>
            <w:r>
              <w:rPr>
                <w:sz w:val="21"/>
                <w:szCs w:val="21"/>
              </w:rPr>
              <w:t xml:space="preserve"> </w:t>
            </w:r>
            <w:r>
              <w:rPr>
                <w:spacing w:val="-2"/>
                <w:sz w:val="21"/>
                <w:szCs w:val="21"/>
              </w:rPr>
              <w:t>量较小。</w:t>
            </w:r>
          </w:p>
        </w:tc>
        <w:tc>
          <w:tcPr>
            <w:tcW w:w="65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1" w:lineRule="auto"/>
              <w:ind w:left="114"/>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7" w:hRule="atLeast"/>
        </w:trPr>
        <w:tc>
          <w:tcPr>
            <w:tcW w:w="463" w:type="dxa"/>
            <w:vMerge w:val="continue"/>
            <w:tcBorders>
              <w:top w:val="nil"/>
            </w:tcBorders>
            <w:vAlign w:val="top"/>
          </w:tcPr>
          <w:p>
            <w:pPr>
              <w:rPr>
                <w:rFonts w:ascii="Arial"/>
                <w:sz w:val="21"/>
              </w:rPr>
            </w:pPr>
          </w:p>
        </w:tc>
        <w:tc>
          <w:tcPr>
            <w:tcW w:w="8634" w:type="dxa"/>
            <w:gridSpan w:val="4"/>
            <w:vAlign w:val="top"/>
          </w:tcPr>
          <w:p>
            <w:pPr>
              <w:pStyle w:val="6"/>
              <w:spacing w:before="180" w:line="369" w:lineRule="auto"/>
              <w:ind w:right="12" w:firstLine="483"/>
              <w:jc w:val="both"/>
              <w:rPr>
                <w:sz w:val="24"/>
                <w:szCs w:val="24"/>
              </w:rPr>
            </w:pPr>
            <w:r>
              <w:rPr>
                <w:spacing w:val="-4"/>
                <w:sz w:val="24"/>
                <w:szCs w:val="24"/>
              </w:rPr>
              <w:t>综上分析， 拟建项目符合《达州市人民政府关于落实生态</w:t>
            </w:r>
            <w:r>
              <w:rPr>
                <w:spacing w:val="-5"/>
                <w:sz w:val="24"/>
                <w:szCs w:val="24"/>
              </w:rPr>
              <w:t>保护红线、环境质量</w:t>
            </w:r>
            <w:r>
              <w:rPr>
                <w:sz w:val="24"/>
                <w:szCs w:val="24"/>
              </w:rPr>
              <w:t xml:space="preserve"> </w:t>
            </w:r>
            <w:r>
              <w:rPr>
                <w:spacing w:val="-1"/>
                <w:sz w:val="24"/>
                <w:szCs w:val="24"/>
              </w:rPr>
              <w:t>底线、资源利用上线制定生态环境准入清单实施生态环境分区管控的通知</w:t>
            </w:r>
            <w:r>
              <w:rPr>
                <w:spacing w:val="-2"/>
                <w:sz w:val="24"/>
                <w:szCs w:val="24"/>
              </w:rPr>
              <w:t>》（达市</w:t>
            </w:r>
          </w:p>
          <w:p>
            <w:pPr>
              <w:pStyle w:val="6"/>
              <w:spacing w:before="1" w:line="218" w:lineRule="auto"/>
              <w:rPr>
                <w:sz w:val="24"/>
                <w:szCs w:val="24"/>
              </w:rPr>
            </w:pPr>
            <w:r>
              <w:rPr>
                <w:spacing w:val="-3"/>
                <w:sz w:val="24"/>
                <w:szCs w:val="24"/>
              </w:rPr>
              <w:t>府发〔</w:t>
            </w:r>
            <w:r>
              <w:rPr>
                <w:rFonts w:ascii="Times New Roman" w:hAnsi="Times New Roman" w:eastAsia="Times New Roman" w:cs="Times New Roman"/>
                <w:spacing w:val="-3"/>
                <w:sz w:val="24"/>
                <w:szCs w:val="24"/>
              </w:rPr>
              <w:t>2021</w:t>
            </w:r>
            <w:r>
              <w:rPr>
                <w:spacing w:val="-3"/>
                <w:sz w:val="24"/>
                <w:szCs w:val="24"/>
              </w:rPr>
              <w:t>〕</w:t>
            </w:r>
            <w:r>
              <w:rPr>
                <w:rFonts w:ascii="Times New Roman" w:hAnsi="Times New Roman" w:eastAsia="Times New Roman" w:cs="Times New Roman"/>
                <w:spacing w:val="-3"/>
                <w:sz w:val="24"/>
                <w:szCs w:val="24"/>
              </w:rPr>
              <w:t>17</w:t>
            </w:r>
            <w:r>
              <w:rPr>
                <w:rFonts w:ascii="Times New Roman" w:hAnsi="Times New Roman" w:eastAsia="Times New Roman" w:cs="Times New Roman"/>
                <w:spacing w:val="27"/>
                <w:w w:val="101"/>
                <w:sz w:val="24"/>
                <w:szCs w:val="24"/>
              </w:rPr>
              <w:t xml:space="preserve"> </w:t>
            </w:r>
            <w:r>
              <w:rPr>
                <w:spacing w:val="-3"/>
                <w:sz w:val="24"/>
                <w:szCs w:val="24"/>
              </w:rPr>
              <w:t>号）总体生态环境管控要求。</w:t>
            </w:r>
          </w:p>
          <w:p>
            <w:pPr>
              <w:pStyle w:val="6"/>
              <w:spacing w:before="196" w:line="369" w:lineRule="auto"/>
              <w:ind w:right="15" w:firstLine="481"/>
              <w:jc w:val="both"/>
              <w:rPr>
                <w:sz w:val="24"/>
                <w:szCs w:val="24"/>
              </w:rPr>
            </w:pPr>
            <w:r>
              <w:rPr>
                <w:spacing w:val="-1"/>
                <w:sz w:val="24"/>
                <w:szCs w:val="24"/>
              </w:rPr>
              <w:t>根据四川省政务网三线一单系统查询获取的《四川省“三线一单”符合性分析</w:t>
            </w:r>
            <w:r>
              <w:rPr>
                <w:spacing w:val="4"/>
                <w:sz w:val="24"/>
                <w:szCs w:val="24"/>
              </w:rPr>
              <w:t xml:space="preserve"> </w:t>
            </w:r>
            <w:r>
              <w:rPr>
                <w:spacing w:val="-6"/>
                <w:sz w:val="24"/>
                <w:szCs w:val="24"/>
              </w:rPr>
              <w:t>报告》及图件，</w:t>
            </w:r>
            <w:r>
              <w:rPr>
                <w:spacing w:val="58"/>
                <w:sz w:val="24"/>
                <w:szCs w:val="24"/>
              </w:rPr>
              <w:t xml:space="preserve"> </w:t>
            </w:r>
            <w:r>
              <w:rPr>
                <w:spacing w:val="-6"/>
                <w:sz w:val="24"/>
                <w:szCs w:val="24"/>
              </w:rPr>
              <w:t>本项目位于达州市通川区环境综合管控单元一般管控单元（管控单</w:t>
            </w:r>
            <w:r>
              <w:rPr>
                <w:sz w:val="24"/>
                <w:szCs w:val="24"/>
              </w:rPr>
              <w:t xml:space="preserve"> 元名称：通川区一般管控单元，管控单元编号：</w:t>
            </w:r>
            <w:r>
              <w:rPr>
                <w:rFonts w:ascii="Times New Roman" w:hAnsi="Times New Roman" w:eastAsia="Times New Roman" w:cs="Times New Roman"/>
                <w:sz w:val="24"/>
                <w:szCs w:val="24"/>
              </w:rPr>
              <w:t>ZH51170230001</w:t>
            </w:r>
            <w:r>
              <w:rPr>
                <w:sz w:val="24"/>
                <w:szCs w:val="24"/>
              </w:rPr>
              <w:t>）项目与管控单元</w:t>
            </w:r>
          </w:p>
          <w:p>
            <w:pPr>
              <w:pStyle w:val="6"/>
              <w:spacing w:line="216" w:lineRule="auto"/>
              <w:ind w:left="1"/>
              <w:rPr>
                <w:sz w:val="24"/>
                <w:szCs w:val="24"/>
              </w:rPr>
            </w:pPr>
            <w:r>
              <w:rPr>
                <w:spacing w:val="-2"/>
                <w:sz w:val="24"/>
                <w:szCs w:val="24"/>
              </w:rPr>
              <w:t>相对位置如下图所示</w:t>
            </w:r>
            <w:r>
              <w:rPr>
                <w:spacing w:val="-1"/>
                <w:sz w:val="24"/>
                <w:szCs w:val="24"/>
              </w:rPr>
              <w:t>：（</w:t>
            </w:r>
            <w:r>
              <w:rPr>
                <w:spacing w:val="-2"/>
                <w:sz w:val="24"/>
                <w:szCs w:val="24"/>
              </w:rPr>
              <w:t>图中</w:t>
            </w:r>
            <w:r>
              <w:rPr>
                <w:rFonts w:ascii="Arial" w:hAnsi="Arial" w:eastAsia="Arial" w:cs="Arial"/>
                <w:spacing w:val="-2"/>
                <w:sz w:val="28"/>
                <w:szCs w:val="28"/>
              </w:rPr>
              <w:t>▼</w:t>
            </w:r>
            <w:r>
              <w:rPr>
                <w:spacing w:val="-2"/>
                <w:sz w:val="24"/>
                <w:szCs w:val="24"/>
              </w:rPr>
              <w:t>表示项目位置）。</w:t>
            </w:r>
          </w:p>
          <w:p>
            <w:pPr>
              <w:spacing w:line="4080" w:lineRule="exact"/>
              <w:ind w:firstLine="901"/>
            </w:pPr>
            <w:r>
              <w:rPr>
                <w:position w:val="-81"/>
              </w:rPr>
              <w:drawing>
                <wp:inline distT="0" distB="0" distL="0" distR="0">
                  <wp:extent cx="4316730" cy="25908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8"/>
                          <a:stretch>
                            <a:fillRect/>
                          </a:stretch>
                        </pic:blipFill>
                        <pic:spPr>
                          <a:xfrm>
                            <a:off x="0" y="0"/>
                            <a:ext cx="4317364" cy="2590800"/>
                          </a:xfrm>
                          <a:prstGeom prst="rect">
                            <a:avLst/>
                          </a:prstGeom>
                        </pic:spPr>
                      </pic:pic>
                    </a:graphicData>
                  </a:graphic>
                </wp:inline>
              </w:drawing>
            </w:r>
          </w:p>
          <w:p>
            <w:pPr>
              <w:pStyle w:val="6"/>
              <w:spacing w:before="179" w:line="220" w:lineRule="auto"/>
              <w:ind w:left="1825"/>
              <w:rPr>
                <w:sz w:val="24"/>
                <w:szCs w:val="24"/>
              </w:rPr>
            </w:pPr>
            <w:r>
              <w:rPr>
                <w:spacing w:val="-2"/>
                <w:sz w:val="24"/>
                <w:szCs w:val="24"/>
                <w14:textOutline w14:w="4354" w14:cap="flat" w14:cmpd="sng">
                  <w14:solidFill>
                    <w14:srgbClr w14:val="000000"/>
                  </w14:solidFill>
                  <w14:prstDash w14:val="solid"/>
                  <w14:miter w14:val="10"/>
                </w14:textOutline>
              </w:rPr>
              <w:t>图</w:t>
            </w:r>
            <w:r>
              <w:rPr>
                <w:spacing w:val="-29"/>
                <w:sz w:val="24"/>
                <w:szCs w:val="24"/>
              </w:rPr>
              <w:t xml:space="preserve"> </w:t>
            </w:r>
            <w:r>
              <w:rPr>
                <w:rFonts w:ascii="Times New Roman" w:hAnsi="Times New Roman" w:eastAsia="Times New Roman" w:cs="Times New Roman"/>
                <w:b/>
                <w:bCs/>
                <w:spacing w:val="-2"/>
                <w:sz w:val="24"/>
                <w:szCs w:val="24"/>
              </w:rPr>
              <w:t xml:space="preserve">1.2-1  </w:t>
            </w:r>
            <w:r>
              <w:rPr>
                <w:spacing w:val="-2"/>
                <w:sz w:val="24"/>
                <w:szCs w:val="24"/>
                <w14:textOutline w14:w="4354" w14:cap="flat" w14:cmpd="sng">
                  <w14:solidFill>
                    <w14:srgbClr w14:val="000000"/>
                  </w14:solidFill>
                  <w14:prstDash w14:val="solid"/>
                  <w14:miter w14:val="10"/>
                </w14:textOutline>
              </w:rPr>
              <w:t>项目与环境综合管控单元的位置关系图</w:t>
            </w:r>
          </w:p>
        </w:tc>
      </w:tr>
    </w:tbl>
    <w:p>
      <w:pPr>
        <w:pStyle w:val="2"/>
        <w:rPr>
          <w:sz w:val="21"/>
        </w:rPr>
      </w:pPr>
    </w:p>
    <w:p>
      <w:pPr>
        <w:rPr>
          <w:sz w:val="21"/>
          <w:szCs w:val="21"/>
        </w:rPr>
        <w:sectPr>
          <w:footerReference r:id="rId11" w:type="default"/>
          <w:pgSz w:w="11907" w:h="16839"/>
          <w:pgMar w:top="400" w:right="1402" w:bottom="1178" w:left="1402"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5"/>
        <w:gridCol w:w="856"/>
        <w:gridCol w:w="293"/>
        <w:gridCol w:w="3076"/>
        <w:gridCol w:w="1274"/>
        <w:gridCol w:w="139"/>
        <w:gridCol w:w="1135"/>
        <w:gridCol w:w="144"/>
        <w:gridCol w:w="2125"/>
        <w:gridCol w:w="99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468" w:type="dxa"/>
            <w:vMerge w:val="restart"/>
            <w:tcBorders>
              <w:bottom w:val="nil"/>
            </w:tcBorders>
            <w:textDirection w:val="tbRlV"/>
            <w:vAlign w:val="top"/>
          </w:tcPr>
          <w:p>
            <w:pPr>
              <w:pStyle w:val="6"/>
              <w:spacing w:before="122" w:line="208" w:lineRule="auto"/>
              <w:ind w:left="3442"/>
              <w:rPr>
                <w:sz w:val="24"/>
                <w:szCs w:val="24"/>
              </w:rPr>
            </w:pPr>
            <w:r>
              <w:rPr>
                <w:sz w:val="24"/>
                <w:szCs w:val="24"/>
              </w:rPr>
              <w:t>其</w:t>
            </w:r>
            <w:r>
              <w:rPr>
                <w:spacing w:val="-48"/>
                <w:sz w:val="24"/>
                <w:szCs w:val="24"/>
              </w:rPr>
              <w:t xml:space="preserve"> </w:t>
            </w:r>
            <w:r>
              <w:rPr>
                <w:sz w:val="24"/>
                <w:szCs w:val="24"/>
              </w:rPr>
              <w:t>他</w:t>
            </w:r>
            <w:r>
              <w:rPr>
                <w:spacing w:val="-51"/>
                <w:sz w:val="24"/>
                <w:szCs w:val="24"/>
              </w:rPr>
              <w:t xml:space="preserve"> </w:t>
            </w:r>
            <w:r>
              <w:rPr>
                <w:sz w:val="24"/>
                <w:szCs w:val="24"/>
              </w:rPr>
              <w:t>符</w:t>
            </w:r>
            <w:r>
              <w:rPr>
                <w:spacing w:val="-48"/>
                <w:sz w:val="24"/>
                <w:szCs w:val="24"/>
              </w:rPr>
              <w:t xml:space="preserve"> </w:t>
            </w:r>
            <w:r>
              <w:rPr>
                <w:sz w:val="24"/>
                <w:szCs w:val="24"/>
              </w:rPr>
              <w:t>合</w:t>
            </w:r>
            <w:r>
              <w:rPr>
                <w:spacing w:val="-48"/>
                <w:sz w:val="24"/>
                <w:szCs w:val="24"/>
              </w:rPr>
              <w:t xml:space="preserve"> </w:t>
            </w:r>
            <w:r>
              <w:rPr>
                <w:sz w:val="24"/>
                <w:szCs w:val="24"/>
              </w:rPr>
              <w:t>性</w:t>
            </w:r>
            <w:r>
              <w:rPr>
                <w:spacing w:val="-51"/>
                <w:sz w:val="24"/>
                <w:szCs w:val="24"/>
              </w:rPr>
              <w:t xml:space="preserve"> </w:t>
            </w:r>
            <w:r>
              <w:rPr>
                <w:sz w:val="24"/>
                <w:szCs w:val="24"/>
              </w:rPr>
              <w:t>分</w:t>
            </w:r>
            <w:r>
              <w:rPr>
                <w:spacing w:val="-48"/>
                <w:sz w:val="24"/>
                <w:szCs w:val="24"/>
              </w:rPr>
              <w:t xml:space="preserve"> </w:t>
            </w:r>
            <w:r>
              <w:rPr>
                <w:sz w:val="24"/>
                <w:szCs w:val="24"/>
              </w:rPr>
              <w:t>析</w:t>
            </w:r>
          </w:p>
        </w:tc>
        <w:tc>
          <w:tcPr>
            <w:tcW w:w="13556" w:type="dxa"/>
            <w:gridSpan w:val="12"/>
            <w:vAlign w:val="top"/>
          </w:tcPr>
          <w:p>
            <w:pPr>
              <w:pStyle w:val="6"/>
              <w:spacing w:before="198" w:line="219" w:lineRule="auto"/>
              <w:ind w:left="479"/>
              <w:rPr>
                <w:sz w:val="24"/>
                <w:szCs w:val="24"/>
              </w:rPr>
            </w:pPr>
            <w:r>
              <w:rPr>
                <w:spacing w:val="-3"/>
                <w:sz w:val="24"/>
                <w:szCs w:val="24"/>
              </w:rPr>
              <w:t>根据查询结果，本项目主要涉及的管控单元见下表：</w:t>
            </w:r>
          </w:p>
          <w:p>
            <w:pPr>
              <w:pStyle w:val="6"/>
              <w:spacing w:before="195" w:line="219" w:lineRule="auto"/>
              <w:ind w:left="4442"/>
              <w:rPr>
                <w:sz w:val="24"/>
                <w:szCs w:val="24"/>
              </w:rPr>
            </w:pPr>
            <w:r>
              <w:rPr>
                <w:spacing w:val="-1"/>
                <w:sz w:val="24"/>
                <w:szCs w:val="24"/>
                <w14:textOutline w14:w="4354" w14:cap="flat" w14:cmpd="sng">
                  <w14:solidFill>
                    <w14:srgbClr w14:val="000000"/>
                  </w14:solidFill>
                  <w14:prstDash w14:val="solid"/>
                  <w14:miter w14:val="10"/>
                </w14:textOutline>
              </w:rPr>
              <w:t>表</w:t>
            </w:r>
            <w:r>
              <w:rPr>
                <w:spacing w:val="-30"/>
                <w:sz w:val="24"/>
                <w:szCs w:val="24"/>
              </w:rPr>
              <w:t xml:space="preserve"> </w:t>
            </w:r>
            <w:r>
              <w:rPr>
                <w:rFonts w:ascii="Times New Roman" w:hAnsi="Times New Roman" w:eastAsia="Times New Roman" w:cs="Times New Roman"/>
                <w:b/>
                <w:bCs/>
                <w:spacing w:val="-1"/>
                <w:sz w:val="24"/>
                <w:szCs w:val="24"/>
              </w:rPr>
              <w:t xml:space="preserve">1.2-2    </w:t>
            </w:r>
            <w:r>
              <w:rPr>
                <w:spacing w:val="-1"/>
                <w:sz w:val="24"/>
                <w:szCs w:val="24"/>
                <w14:textOutline w14:w="4354" w14:cap="flat" w14:cmpd="sng">
                  <w14:solidFill>
                    <w14:srgbClr w14:val="000000"/>
                  </w14:solidFill>
                  <w14:prstDash w14:val="solid"/>
                  <w14:miter w14:val="10"/>
                </w14:textOutline>
              </w:rPr>
              <w:t>本项目主要涉及的管控单元一览表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68" w:type="dxa"/>
            <w:vMerge w:val="continue"/>
            <w:tcBorders>
              <w:top w:val="nil"/>
              <w:bottom w:val="nil"/>
            </w:tcBorders>
            <w:textDirection w:val="tbRlV"/>
            <w:vAlign w:val="top"/>
          </w:tcPr>
          <w:p>
            <w:pPr>
              <w:rPr>
                <w:rFonts w:ascii="Arial"/>
                <w:sz w:val="21"/>
              </w:rPr>
            </w:pPr>
          </w:p>
        </w:tc>
        <w:tc>
          <w:tcPr>
            <w:tcW w:w="2001" w:type="dxa"/>
            <w:gridSpan w:val="2"/>
            <w:vAlign w:val="top"/>
          </w:tcPr>
          <w:p>
            <w:pPr>
              <w:pStyle w:val="6"/>
              <w:spacing w:before="48" w:line="221" w:lineRule="auto"/>
              <w:ind w:left="164"/>
              <w:rPr>
                <w:sz w:val="21"/>
                <w:szCs w:val="21"/>
              </w:rPr>
            </w:pPr>
            <w:r>
              <w:rPr>
                <w:spacing w:val="-1"/>
                <w:sz w:val="21"/>
                <w:szCs w:val="21"/>
              </w:rPr>
              <w:t>环境管控单元编码</w:t>
            </w:r>
          </w:p>
        </w:tc>
        <w:tc>
          <w:tcPr>
            <w:tcW w:w="3369" w:type="dxa"/>
            <w:gridSpan w:val="2"/>
            <w:vAlign w:val="top"/>
          </w:tcPr>
          <w:p>
            <w:pPr>
              <w:pStyle w:val="6"/>
              <w:spacing w:before="48" w:line="221" w:lineRule="auto"/>
              <w:ind w:left="849"/>
              <w:rPr>
                <w:sz w:val="21"/>
                <w:szCs w:val="21"/>
              </w:rPr>
            </w:pPr>
            <w:r>
              <w:rPr>
                <w:spacing w:val="-1"/>
                <w:sz w:val="21"/>
                <w:szCs w:val="21"/>
              </w:rPr>
              <w:t>环境管控单元名称</w:t>
            </w:r>
          </w:p>
        </w:tc>
        <w:tc>
          <w:tcPr>
            <w:tcW w:w="1274" w:type="dxa"/>
            <w:vAlign w:val="top"/>
          </w:tcPr>
          <w:p>
            <w:pPr>
              <w:pStyle w:val="6"/>
              <w:spacing w:before="48" w:line="220" w:lineRule="auto"/>
              <w:ind w:right="11"/>
              <w:jc w:val="right"/>
              <w:rPr>
                <w:sz w:val="21"/>
                <w:szCs w:val="21"/>
              </w:rPr>
            </w:pPr>
            <w:r>
              <w:rPr>
                <w:spacing w:val="-20"/>
                <w:sz w:val="21"/>
                <w:szCs w:val="21"/>
              </w:rPr>
              <w:t>所属市（州）</w:t>
            </w:r>
          </w:p>
        </w:tc>
        <w:tc>
          <w:tcPr>
            <w:tcW w:w="1418" w:type="dxa"/>
            <w:gridSpan w:val="3"/>
            <w:vAlign w:val="top"/>
          </w:tcPr>
          <w:p>
            <w:pPr>
              <w:pStyle w:val="6"/>
              <w:spacing w:before="49" w:line="221" w:lineRule="auto"/>
              <w:ind w:left="293"/>
              <w:rPr>
                <w:sz w:val="21"/>
                <w:szCs w:val="21"/>
              </w:rPr>
            </w:pPr>
            <w:r>
              <w:rPr>
                <w:spacing w:val="-2"/>
                <w:sz w:val="21"/>
                <w:szCs w:val="21"/>
              </w:rPr>
              <w:t>所属区县</w:t>
            </w:r>
          </w:p>
        </w:tc>
        <w:tc>
          <w:tcPr>
            <w:tcW w:w="2125" w:type="dxa"/>
            <w:vAlign w:val="top"/>
          </w:tcPr>
          <w:p>
            <w:pPr>
              <w:pStyle w:val="6"/>
              <w:spacing w:before="48" w:line="221" w:lineRule="auto"/>
              <w:ind w:left="440"/>
              <w:rPr>
                <w:sz w:val="21"/>
                <w:szCs w:val="21"/>
              </w:rPr>
            </w:pPr>
            <w:r>
              <w:rPr>
                <w:spacing w:val="-2"/>
                <w:sz w:val="21"/>
                <w:szCs w:val="21"/>
              </w:rPr>
              <w:t>准入清单类型</w:t>
            </w:r>
          </w:p>
        </w:tc>
        <w:tc>
          <w:tcPr>
            <w:tcW w:w="3369" w:type="dxa"/>
            <w:gridSpan w:val="3"/>
            <w:vAlign w:val="top"/>
          </w:tcPr>
          <w:p>
            <w:pPr>
              <w:pStyle w:val="6"/>
              <w:spacing w:before="48" w:line="221" w:lineRule="auto"/>
              <w:ind w:left="1264"/>
              <w:rPr>
                <w:sz w:val="21"/>
                <w:szCs w:val="21"/>
              </w:rPr>
            </w:pPr>
            <w:r>
              <w:rPr>
                <w:spacing w:val="-3"/>
                <w:sz w:val="21"/>
                <w:szCs w:val="21"/>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68" w:type="dxa"/>
            <w:vMerge w:val="continue"/>
            <w:tcBorders>
              <w:top w:val="nil"/>
              <w:bottom w:val="nil"/>
            </w:tcBorders>
            <w:textDirection w:val="tbRlV"/>
            <w:vAlign w:val="top"/>
          </w:tcPr>
          <w:p>
            <w:pPr>
              <w:rPr>
                <w:rFonts w:ascii="Arial"/>
                <w:sz w:val="21"/>
              </w:rPr>
            </w:pPr>
          </w:p>
        </w:tc>
        <w:tc>
          <w:tcPr>
            <w:tcW w:w="2001" w:type="dxa"/>
            <w:gridSpan w:val="2"/>
            <w:vAlign w:val="top"/>
          </w:tcPr>
          <w:p>
            <w:pPr>
              <w:spacing w:before="8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ZH51170230001</w:t>
            </w:r>
          </w:p>
        </w:tc>
        <w:tc>
          <w:tcPr>
            <w:tcW w:w="3369" w:type="dxa"/>
            <w:gridSpan w:val="2"/>
            <w:vAlign w:val="top"/>
          </w:tcPr>
          <w:p>
            <w:pPr>
              <w:pStyle w:val="6"/>
              <w:spacing w:before="49" w:line="221" w:lineRule="auto"/>
              <w:ind w:left="743"/>
              <w:rPr>
                <w:sz w:val="21"/>
                <w:szCs w:val="21"/>
              </w:rPr>
            </w:pPr>
            <w:r>
              <w:rPr>
                <w:spacing w:val="-1"/>
                <w:sz w:val="21"/>
                <w:szCs w:val="21"/>
              </w:rPr>
              <w:t>通川区一般管控单元</w:t>
            </w:r>
          </w:p>
        </w:tc>
        <w:tc>
          <w:tcPr>
            <w:tcW w:w="1274" w:type="dxa"/>
            <w:vAlign w:val="top"/>
          </w:tcPr>
          <w:p>
            <w:pPr>
              <w:pStyle w:val="6"/>
              <w:spacing w:before="49" w:line="220" w:lineRule="auto"/>
              <w:ind w:left="326"/>
              <w:rPr>
                <w:sz w:val="21"/>
                <w:szCs w:val="21"/>
              </w:rPr>
            </w:pPr>
            <w:r>
              <w:rPr>
                <w:spacing w:val="-1"/>
                <w:sz w:val="21"/>
                <w:szCs w:val="21"/>
              </w:rPr>
              <w:t>达州市</w:t>
            </w:r>
          </w:p>
        </w:tc>
        <w:tc>
          <w:tcPr>
            <w:tcW w:w="1418" w:type="dxa"/>
            <w:gridSpan w:val="3"/>
            <w:vAlign w:val="top"/>
          </w:tcPr>
          <w:p>
            <w:pPr>
              <w:pStyle w:val="6"/>
              <w:spacing w:before="49" w:line="221" w:lineRule="auto"/>
              <w:ind w:left="399"/>
              <w:rPr>
                <w:sz w:val="21"/>
                <w:szCs w:val="21"/>
              </w:rPr>
            </w:pPr>
            <w:r>
              <w:rPr>
                <w:spacing w:val="-2"/>
                <w:sz w:val="21"/>
                <w:szCs w:val="21"/>
              </w:rPr>
              <w:t>通川区</w:t>
            </w:r>
          </w:p>
        </w:tc>
        <w:tc>
          <w:tcPr>
            <w:tcW w:w="2125" w:type="dxa"/>
            <w:vAlign w:val="top"/>
          </w:tcPr>
          <w:p>
            <w:pPr>
              <w:pStyle w:val="6"/>
              <w:spacing w:before="49" w:line="221" w:lineRule="auto"/>
              <w:ind w:left="438"/>
              <w:rPr>
                <w:sz w:val="21"/>
                <w:szCs w:val="21"/>
              </w:rPr>
            </w:pPr>
            <w:r>
              <w:rPr>
                <w:spacing w:val="-1"/>
                <w:sz w:val="21"/>
                <w:szCs w:val="21"/>
              </w:rPr>
              <w:t>环境管控单元</w:t>
            </w:r>
          </w:p>
        </w:tc>
        <w:tc>
          <w:tcPr>
            <w:tcW w:w="3369" w:type="dxa"/>
            <w:gridSpan w:val="3"/>
            <w:vAlign w:val="top"/>
          </w:tcPr>
          <w:p>
            <w:pPr>
              <w:pStyle w:val="6"/>
              <w:spacing w:before="49" w:line="221" w:lineRule="auto"/>
              <w:ind w:left="207"/>
              <w:rPr>
                <w:sz w:val="21"/>
                <w:szCs w:val="21"/>
              </w:rPr>
            </w:pPr>
            <w:r>
              <w:rPr>
                <w:spacing w:val="-1"/>
                <w:sz w:val="21"/>
                <w:szCs w:val="21"/>
              </w:rPr>
              <w:t>环境综合管控单元一般管控单元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68" w:type="dxa"/>
            <w:vMerge w:val="continue"/>
            <w:tcBorders>
              <w:top w:val="nil"/>
              <w:bottom w:val="nil"/>
            </w:tcBorders>
            <w:textDirection w:val="tbRlV"/>
            <w:vAlign w:val="top"/>
          </w:tcPr>
          <w:p>
            <w:pPr>
              <w:rPr>
                <w:rFonts w:ascii="Arial"/>
                <w:sz w:val="21"/>
              </w:rPr>
            </w:pPr>
          </w:p>
        </w:tc>
        <w:tc>
          <w:tcPr>
            <w:tcW w:w="2001" w:type="dxa"/>
            <w:gridSpan w:val="2"/>
            <w:vAlign w:val="top"/>
          </w:tcPr>
          <w:p>
            <w:pPr>
              <w:spacing w:before="88" w:line="187" w:lineRule="auto"/>
              <w:ind w:left="1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YS5117023210001</w:t>
            </w:r>
          </w:p>
        </w:tc>
        <w:tc>
          <w:tcPr>
            <w:tcW w:w="3369" w:type="dxa"/>
            <w:gridSpan w:val="2"/>
            <w:vAlign w:val="top"/>
          </w:tcPr>
          <w:p>
            <w:pPr>
              <w:pStyle w:val="6"/>
              <w:spacing w:before="49" w:line="221" w:lineRule="auto"/>
              <w:ind w:left="427"/>
              <w:rPr>
                <w:sz w:val="21"/>
                <w:szCs w:val="21"/>
              </w:rPr>
            </w:pPr>
            <w:r>
              <w:rPr>
                <w:spacing w:val="-1"/>
                <w:sz w:val="21"/>
                <w:szCs w:val="21"/>
              </w:rPr>
              <w:t>渠江通川区排马梯控制单元</w:t>
            </w:r>
          </w:p>
        </w:tc>
        <w:tc>
          <w:tcPr>
            <w:tcW w:w="1274" w:type="dxa"/>
            <w:vAlign w:val="top"/>
          </w:tcPr>
          <w:p>
            <w:pPr>
              <w:pStyle w:val="6"/>
              <w:spacing w:before="50" w:line="220" w:lineRule="auto"/>
              <w:ind w:left="326"/>
              <w:rPr>
                <w:sz w:val="21"/>
                <w:szCs w:val="21"/>
              </w:rPr>
            </w:pPr>
            <w:r>
              <w:rPr>
                <w:spacing w:val="-1"/>
                <w:sz w:val="21"/>
                <w:szCs w:val="21"/>
              </w:rPr>
              <w:t>达州市</w:t>
            </w:r>
          </w:p>
        </w:tc>
        <w:tc>
          <w:tcPr>
            <w:tcW w:w="1418" w:type="dxa"/>
            <w:gridSpan w:val="3"/>
            <w:vAlign w:val="top"/>
          </w:tcPr>
          <w:p>
            <w:pPr>
              <w:pStyle w:val="6"/>
              <w:spacing w:before="49" w:line="221" w:lineRule="auto"/>
              <w:ind w:left="399"/>
              <w:rPr>
                <w:sz w:val="21"/>
                <w:szCs w:val="21"/>
              </w:rPr>
            </w:pPr>
            <w:r>
              <w:rPr>
                <w:spacing w:val="-2"/>
                <w:sz w:val="21"/>
                <w:szCs w:val="21"/>
              </w:rPr>
              <w:t>通川区</w:t>
            </w:r>
          </w:p>
        </w:tc>
        <w:tc>
          <w:tcPr>
            <w:tcW w:w="2125" w:type="dxa"/>
            <w:vAlign w:val="top"/>
          </w:tcPr>
          <w:p>
            <w:pPr>
              <w:pStyle w:val="6"/>
              <w:spacing w:before="49" w:line="221" w:lineRule="auto"/>
              <w:ind w:left="335"/>
              <w:rPr>
                <w:sz w:val="21"/>
                <w:szCs w:val="21"/>
              </w:rPr>
            </w:pPr>
            <w:r>
              <w:rPr>
                <w:spacing w:val="-2"/>
                <w:sz w:val="21"/>
                <w:szCs w:val="21"/>
              </w:rPr>
              <w:t>水环境管控分区</w:t>
            </w:r>
          </w:p>
        </w:tc>
        <w:tc>
          <w:tcPr>
            <w:tcW w:w="3369" w:type="dxa"/>
            <w:gridSpan w:val="3"/>
            <w:vAlign w:val="top"/>
          </w:tcPr>
          <w:p>
            <w:pPr>
              <w:pStyle w:val="6"/>
              <w:spacing w:before="49" w:line="221" w:lineRule="auto"/>
              <w:ind w:left="840"/>
              <w:rPr>
                <w:sz w:val="21"/>
                <w:szCs w:val="21"/>
              </w:rPr>
            </w:pPr>
            <w:r>
              <w:rPr>
                <w:spacing w:val="-1"/>
                <w:sz w:val="21"/>
                <w:szCs w:val="21"/>
              </w:rPr>
              <w:t>水环境一般管控区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8" w:type="dxa"/>
            <w:vMerge w:val="continue"/>
            <w:tcBorders>
              <w:top w:val="nil"/>
              <w:bottom w:val="nil"/>
            </w:tcBorders>
            <w:textDirection w:val="tbRlV"/>
            <w:vAlign w:val="top"/>
          </w:tcPr>
          <w:p>
            <w:pPr>
              <w:rPr>
                <w:rFonts w:ascii="Arial"/>
                <w:sz w:val="21"/>
              </w:rPr>
            </w:pPr>
          </w:p>
        </w:tc>
        <w:tc>
          <w:tcPr>
            <w:tcW w:w="2001" w:type="dxa"/>
            <w:gridSpan w:val="2"/>
            <w:vAlign w:val="top"/>
          </w:tcPr>
          <w:p>
            <w:pPr>
              <w:spacing w:before="91" w:line="187" w:lineRule="auto"/>
              <w:ind w:left="1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YS5117023310001</w:t>
            </w:r>
          </w:p>
        </w:tc>
        <w:tc>
          <w:tcPr>
            <w:tcW w:w="3369" w:type="dxa"/>
            <w:gridSpan w:val="2"/>
            <w:vAlign w:val="top"/>
          </w:tcPr>
          <w:p>
            <w:pPr>
              <w:pStyle w:val="6"/>
              <w:spacing w:before="52" w:line="221" w:lineRule="auto"/>
              <w:ind w:left="426"/>
              <w:rPr>
                <w:sz w:val="21"/>
                <w:szCs w:val="21"/>
              </w:rPr>
            </w:pPr>
            <w:r>
              <w:rPr>
                <w:spacing w:val="-1"/>
                <w:sz w:val="21"/>
                <w:szCs w:val="21"/>
              </w:rPr>
              <w:t>通川区大气环境一般管控区</w:t>
            </w:r>
          </w:p>
        </w:tc>
        <w:tc>
          <w:tcPr>
            <w:tcW w:w="1274" w:type="dxa"/>
            <w:vAlign w:val="top"/>
          </w:tcPr>
          <w:p>
            <w:pPr>
              <w:pStyle w:val="6"/>
              <w:spacing w:before="53" w:line="220" w:lineRule="auto"/>
              <w:ind w:left="326"/>
              <w:rPr>
                <w:sz w:val="21"/>
                <w:szCs w:val="21"/>
              </w:rPr>
            </w:pPr>
            <w:r>
              <w:rPr>
                <w:spacing w:val="-1"/>
                <w:sz w:val="21"/>
                <w:szCs w:val="21"/>
              </w:rPr>
              <w:t>达州市</w:t>
            </w:r>
          </w:p>
        </w:tc>
        <w:tc>
          <w:tcPr>
            <w:tcW w:w="1418" w:type="dxa"/>
            <w:gridSpan w:val="3"/>
            <w:vAlign w:val="top"/>
          </w:tcPr>
          <w:p>
            <w:pPr>
              <w:pStyle w:val="6"/>
              <w:spacing w:before="52" w:line="221" w:lineRule="auto"/>
              <w:ind w:left="399"/>
              <w:rPr>
                <w:sz w:val="21"/>
                <w:szCs w:val="21"/>
              </w:rPr>
            </w:pPr>
            <w:r>
              <w:rPr>
                <w:spacing w:val="-2"/>
                <w:sz w:val="21"/>
                <w:szCs w:val="21"/>
              </w:rPr>
              <w:t>通川区</w:t>
            </w:r>
          </w:p>
        </w:tc>
        <w:tc>
          <w:tcPr>
            <w:tcW w:w="2125" w:type="dxa"/>
            <w:vAlign w:val="top"/>
          </w:tcPr>
          <w:p>
            <w:pPr>
              <w:pStyle w:val="6"/>
              <w:spacing w:before="52" w:line="221" w:lineRule="auto"/>
              <w:ind w:left="232"/>
              <w:rPr>
                <w:sz w:val="21"/>
                <w:szCs w:val="21"/>
              </w:rPr>
            </w:pPr>
            <w:r>
              <w:rPr>
                <w:spacing w:val="-1"/>
                <w:sz w:val="21"/>
                <w:szCs w:val="21"/>
              </w:rPr>
              <w:t>大气环境管控分区</w:t>
            </w:r>
          </w:p>
        </w:tc>
        <w:tc>
          <w:tcPr>
            <w:tcW w:w="3369" w:type="dxa"/>
            <w:gridSpan w:val="3"/>
            <w:vAlign w:val="top"/>
          </w:tcPr>
          <w:p>
            <w:pPr>
              <w:pStyle w:val="6"/>
              <w:spacing w:before="52" w:line="221" w:lineRule="auto"/>
              <w:ind w:left="735"/>
              <w:rPr>
                <w:sz w:val="21"/>
                <w:szCs w:val="21"/>
              </w:rPr>
            </w:pPr>
            <w:r>
              <w:rPr>
                <w:spacing w:val="-1"/>
                <w:sz w:val="21"/>
                <w:szCs w:val="21"/>
              </w:rPr>
              <w:t>大气环境一般管控区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68" w:type="dxa"/>
            <w:vMerge w:val="continue"/>
            <w:tcBorders>
              <w:top w:val="nil"/>
              <w:bottom w:val="nil"/>
            </w:tcBorders>
            <w:textDirection w:val="tbRlV"/>
            <w:vAlign w:val="top"/>
          </w:tcPr>
          <w:p>
            <w:pPr>
              <w:rPr>
                <w:rFonts w:ascii="Arial"/>
                <w:sz w:val="21"/>
              </w:rPr>
            </w:pPr>
          </w:p>
        </w:tc>
        <w:tc>
          <w:tcPr>
            <w:tcW w:w="13556" w:type="dxa"/>
            <w:gridSpan w:val="12"/>
            <w:vAlign w:val="top"/>
          </w:tcPr>
          <w:p>
            <w:pPr>
              <w:pStyle w:val="6"/>
              <w:spacing w:before="179" w:line="220" w:lineRule="auto"/>
              <w:ind w:left="3658"/>
              <w:rPr>
                <w:sz w:val="24"/>
                <w:szCs w:val="24"/>
              </w:rPr>
            </w:pPr>
            <w:r>
              <w:rPr>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z w:val="24"/>
                <w:szCs w:val="24"/>
              </w:rPr>
              <w:t xml:space="preserve">1.2-3  </w:t>
            </w:r>
            <w:r>
              <w:rPr>
                <w:sz w:val="24"/>
                <w:szCs w:val="24"/>
                <w14:textOutline w14:w="4354" w14:cap="flat" w14:cmpd="sng">
                  <w14:solidFill>
                    <w14:srgbClr w14:val="000000"/>
                  </w14:solidFill>
                  <w14:prstDash w14:val="solid"/>
                  <w14:miter w14:val="10"/>
                </w14:textOutline>
              </w:rPr>
              <w:t>建设项目与“三线一单”管控</w:t>
            </w:r>
            <w:r>
              <w:rPr>
                <w:spacing w:val="-1"/>
                <w:sz w:val="24"/>
                <w:szCs w:val="24"/>
                <w14:textOutline w14:w="4354" w14:cap="flat" w14:cmpd="sng">
                  <w14:solidFill>
                    <w14:srgbClr w14:val="000000"/>
                  </w14:solidFill>
                  <w14:prstDash w14:val="solid"/>
                  <w14:miter w14:val="10"/>
                </w14:textOutline>
              </w:rPr>
              <w:t>要求的符合性分析表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468" w:type="dxa"/>
            <w:vMerge w:val="continue"/>
            <w:tcBorders>
              <w:top w:val="nil"/>
              <w:bottom w:val="nil"/>
            </w:tcBorders>
            <w:textDirection w:val="tbRlV"/>
            <w:vAlign w:val="top"/>
          </w:tcPr>
          <w:p>
            <w:pPr>
              <w:rPr>
                <w:rFonts w:ascii="Arial"/>
                <w:sz w:val="21"/>
              </w:rPr>
            </w:pPr>
          </w:p>
        </w:tc>
        <w:tc>
          <w:tcPr>
            <w:tcW w:w="1145" w:type="dxa"/>
            <w:vAlign w:val="top"/>
          </w:tcPr>
          <w:p>
            <w:pPr>
              <w:pStyle w:val="6"/>
              <w:spacing w:before="73" w:line="246" w:lineRule="auto"/>
              <w:ind w:left="155" w:right="150" w:hanging="1"/>
              <w:rPr>
                <w:sz w:val="21"/>
                <w:szCs w:val="21"/>
              </w:rPr>
            </w:pPr>
            <w:r>
              <w:rPr>
                <w:spacing w:val="-2"/>
                <w:sz w:val="21"/>
                <w:szCs w:val="21"/>
              </w:rPr>
              <w:t>环境管控</w:t>
            </w:r>
            <w:r>
              <w:rPr>
                <w:spacing w:val="1"/>
                <w:sz w:val="21"/>
                <w:szCs w:val="21"/>
              </w:rPr>
              <w:t xml:space="preserve"> </w:t>
            </w:r>
            <w:r>
              <w:rPr>
                <w:spacing w:val="-2"/>
                <w:sz w:val="21"/>
                <w:szCs w:val="21"/>
              </w:rPr>
              <w:t>单元编码</w:t>
            </w:r>
          </w:p>
        </w:tc>
        <w:tc>
          <w:tcPr>
            <w:tcW w:w="1149" w:type="dxa"/>
            <w:gridSpan w:val="2"/>
            <w:vAlign w:val="top"/>
          </w:tcPr>
          <w:p>
            <w:pPr>
              <w:pStyle w:val="6"/>
              <w:spacing w:before="91" w:line="230" w:lineRule="auto"/>
              <w:ind w:left="158" w:right="152" w:hanging="1"/>
              <w:rPr>
                <w:sz w:val="21"/>
                <w:szCs w:val="21"/>
              </w:rPr>
            </w:pPr>
            <w:r>
              <w:rPr>
                <w:spacing w:val="-2"/>
                <w:sz w:val="21"/>
                <w:szCs w:val="21"/>
              </w:rPr>
              <w:t>环境管控</w:t>
            </w:r>
            <w:r>
              <w:rPr>
                <w:spacing w:val="1"/>
                <w:sz w:val="21"/>
                <w:szCs w:val="21"/>
              </w:rPr>
              <w:t xml:space="preserve"> </w:t>
            </w:r>
            <w:r>
              <w:rPr>
                <w:spacing w:val="-2"/>
                <w:sz w:val="21"/>
                <w:szCs w:val="21"/>
              </w:rPr>
              <w:t>单元名称</w:t>
            </w:r>
          </w:p>
        </w:tc>
        <w:tc>
          <w:tcPr>
            <w:tcW w:w="4489" w:type="dxa"/>
            <w:gridSpan w:val="3"/>
            <w:vAlign w:val="top"/>
          </w:tcPr>
          <w:p>
            <w:pPr>
              <w:pStyle w:val="6"/>
              <w:spacing w:before="228" w:line="220" w:lineRule="auto"/>
              <w:ind w:left="1407"/>
              <w:rPr>
                <w:sz w:val="21"/>
                <w:szCs w:val="21"/>
              </w:rPr>
            </w:pPr>
            <w:r>
              <w:rPr>
                <w:spacing w:val="-1"/>
                <w:sz w:val="21"/>
                <w:szCs w:val="21"/>
              </w:rPr>
              <w:t>达州市普适性清单</w:t>
            </w:r>
          </w:p>
        </w:tc>
        <w:tc>
          <w:tcPr>
            <w:tcW w:w="1135" w:type="dxa"/>
            <w:vAlign w:val="top"/>
          </w:tcPr>
          <w:p>
            <w:pPr>
              <w:pStyle w:val="6"/>
              <w:spacing w:before="228" w:line="221" w:lineRule="auto"/>
              <w:ind w:left="159"/>
              <w:rPr>
                <w:sz w:val="21"/>
                <w:szCs w:val="21"/>
              </w:rPr>
            </w:pPr>
            <w:r>
              <w:rPr>
                <w:spacing w:val="-3"/>
                <w:sz w:val="21"/>
                <w:szCs w:val="21"/>
              </w:rPr>
              <w:t>管控类别</w:t>
            </w:r>
          </w:p>
        </w:tc>
        <w:tc>
          <w:tcPr>
            <w:tcW w:w="3262" w:type="dxa"/>
            <w:gridSpan w:val="3"/>
            <w:vAlign w:val="top"/>
          </w:tcPr>
          <w:p>
            <w:pPr>
              <w:pStyle w:val="6"/>
              <w:spacing w:before="228" w:line="221" w:lineRule="auto"/>
              <w:ind w:left="800"/>
              <w:rPr>
                <w:sz w:val="21"/>
                <w:szCs w:val="21"/>
              </w:rPr>
            </w:pPr>
            <w:r>
              <w:rPr>
                <w:spacing w:val="-1"/>
                <w:sz w:val="21"/>
                <w:szCs w:val="21"/>
              </w:rPr>
              <w:t>单元特性管控要求</w:t>
            </w:r>
          </w:p>
        </w:tc>
        <w:tc>
          <w:tcPr>
            <w:tcW w:w="1649" w:type="dxa"/>
            <w:vAlign w:val="top"/>
          </w:tcPr>
          <w:p>
            <w:pPr>
              <w:pStyle w:val="6"/>
              <w:spacing w:before="228" w:line="220" w:lineRule="auto"/>
              <w:ind w:left="518"/>
              <w:rPr>
                <w:sz w:val="21"/>
                <w:szCs w:val="21"/>
              </w:rPr>
            </w:pPr>
            <w:r>
              <w:rPr>
                <w:spacing w:val="-2"/>
                <w:sz w:val="21"/>
                <w:szCs w:val="21"/>
              </w:rPr>
              <w:t>本项目</w:t>
            </w:r>
          </w:p>
        </w:tc>
        <w:tc>
          <w:tcPr>
            <w:tcW w:w="727" w:type="dxa"/>
            <w:vAlign w:val="top"/>
          </w:tcPr>
          <w:p>
            <w:pPr>
              <w:pStyle w:val="6"/>
              <w:spacing w:before="92" w:line="238" w:lineRule="auto"/>
              <w:ind w:left="152"/>
              <w:rPr>
                <w:sz w:val="21"/>
                <w:szCs w:val="21"/>
              </w:rPr>
            </w:pPr>
            <w:r>
              <w:rPr>
                <w:spacing w:val="-2"/>
                <w:sz w:val="21"/>
                <w:szCs w:val="21"/>
              </w:rPr>
              <w:t>符合</w:t>
            </w:r>
          </w:p>
          <w:p>
            <w:pPr>
              <w:pStyle w:val="6"/>
              <w:spacing w:line="222" w:lineRule="auto"/>
              <w:ind w:left="256"/>
              <w:rPr>
                <w:sz w:val="21"/>
                <w:szCs w:val="21"/>
              </w:rPr>
            </w:pPr>
            <w:r>
              <w:rPr>
                <w:sz w:val="21"/>
                <w:szCs w:val="21"/>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5" w:hRule="atLeast"/>
        </w:trPr>
        <w:tc>
          <w:tcPr>
            <w:tcW w:w="468" w:type="dxa"/>
            <w:vMerge w:val="continue"/>
            <w:tcBorders>
              <w:top w:val="nil"/>
            </w:tcBorders>
            <w:textDirection w:val="tbRlV"/>
            <w:vAlign w:val="top"/>
          </w:tcPr>
          <w:p>
            <w:pPr>
              <w:rPr>
                <w:rFonts w:ascii="Arial"/>
                <w:sz w:val="21"/>
              </w:rPr>
            </w:pPr>
          </w:p>
        </w:tc>
        <w:tc>
          <w:tcPr>
            <w:tcW w:w="114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0" w:line="233" w:lineRule="auto"/>
              <w:ind w:left="207" w:right="203" w:firstLine="11"/>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ZH5117 </w:t>
            </w:r>
            <w:r>
              <w:rPr>
                <w:rFonts w:ascii="Times New Roman" w:hAnsi="Times New Roman" w:eastAsia="Times New Roman" w:cs="Times New Roman"/>
                <w:spacing w:val="-1"/>
                <w:sz w:val="21"/>
                <w:szCs w:val="21"/>
              </w:rPr>
              <w:t>0230001</w:t>
            </w:r>
          </w:p>
        </w:tc>
        <w:tc>
          <w:tcPr>
            <w:tcW w:w="1149" w:type="dxa"/>
            <w:gridSpan w:val="2"/>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57"/>
              <w:rPr>
                <w:sz w:val="21"/>
                <w:szCs w:val="21"/>
              </w:rPr>
            </w:pPr>
            <w:r>
              <w:rPr>
                <w:spacing w:val="1"/>
                <w:sz w:val="21"/>
                <w:szCs w:val="21"/>
              </w:rPr>
              <w:t>通川区一</w:t>
            </w:r>
          </w:p>
          <w:p>
            <w:pPr>
              <w:pStyle w:val="6"/>
              <w:spacing w:before="19" w:line="221" w:lineRule="auto"/>
              <w:ind w:left="156"/>
              <w:rPr>
                <w:sz w:val="21"/>
                <w:szCs w:val="21"/>
              </w:rPr>
            </w:pPr>
            <w:r>
              <w:rPr>
                <w:spacing w:val="-1"/>
                <w:sz w:val="21"/>
                <w:szCs w:val="21"/>
              </w:rPr>
              <w:t>般管控单</w:t>
            </w:r>
          </w:p>
          <w:p>
            <w:pPr>
              <w:pStyle w:val="6"/>
              <w:spacing w:before="23" w:line="221" w:lineRule="auto"/>
              <w:ind w:left="473"/>
              <w:rPr>
                <w:sz w:val="21"/>
                <w:szCs w:val="21"/>
              </w:rPr>
            </w:pPr>
            <w:r>
              <w:rPr>
                <w:sz w:val="21"/>
                <w:szCs w:val="21"/>
              </w:rPr>
              <w:t>元</w:t>
            </w:r>
          </w:p>
        </w:tc>
        <w:tc>
          <w:tcPr>
            <w:tcW w:w="4489" w:type="dxa"/>
            <w:gridSpan w:val="3"/>
            <w:vAlign w:val="top"/>
          </w:tcPr>
          <w:p>
            <w:pPr>
              <w:pStyle w:val="6"/>
              <w:spacing w:before="72" w:line="220" w:lineRule="auto"/>
              <w:ind w:left="118"/>
              <w:rPr>
                <w:sz w:val="21"/>
                <w:szCs w:val="21"/>
              </w:rPr>
            </w:pPr>
            <w:r>
              <w:rPr>
                <w:spacing w:val="-7"/>
                <w:sz w:val="21"/>
                <w:szCs w:val="21"/>
                <w14:textOutline w14:w="3831" w14:cap="flat" w14:cmpd="sng">
                  <w14:solidFill>
                    <w14:srgbClr w14:val="000000"/>
                  </w14:solidFill>
                  <w14:prstDash w14:val="solid"/>
                  <w14:miter w14:val="10"/>
                </w14:textOutline>
              </w:rPr>
              <w:t>空间布局约束：</w:t>
            </w:r>
          </w:p>
          <w:p>
            <w:pPr>
              <w:pStyle w:val="6"/>
              <w:spacing w:before="61" w:line="221" w:lineRule="auto"/>
              <w:ind w:left="112"/>
              <w:rPr>
                <w:sz w:val="21"/>
                <w:szCs w:val="21"/>
              </w:rPr>
            </w:pPr>
            <w:r>
              <w:rPr>
                <w:spacing w:val="-1"/>
                <w:sz w:val="21"/>
                <w:szCs w:val="21"/>
              </w:rPr>
              <w:t>禁止开发建设活动的要求</w:t>
            </w:r>
          </w:p>
          <w:p>
            <w:pPr>
              <w:pStyle w:val="6"/>
              <w:spacing w:before="20" w:line="231" w:lineRule="auto"/>
              <w:ind w:left="114" w:right="104" w:hanging="2"/>
              <w:rPr>
                <w:sz w:val="21"/>
                <w:szCs w:val="21"/>
              </w:rPr>
            </w:pPr>
            <w:r>
              <w:rPr>
                <w:rFonts w:ascii="Times New Roman" w:hAnsi="Times New Roman" w:eastAsia="Times New Roman" w:cs="Times New Roman"/>
                <w:spacing w:val="-2"/>
                <w:sz w:val="21"/>
                <w:szCs w:val="21"/>
              </w:rPr>
              <w:t>-</w:t>
            </w:r>
            <w:r>
              <w:rPr>
                <w:spacing w:val="-2"/>
                <w:sz w:val="21"/>
                <w:szCs w:val="21"/>
              </w:rPr>
              <w:t>禁止在长江干支流</w:t>
            </w:r>
            <w:r>
              <w:rPr>
                <w:spacing w:val="-28"/>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3"/>
                <w:sz w:val="21"/>
                <w:szCs w:val="21"/>
              </w:rPr>
              <w:t xml:space="preserve"> </w:t>
            </w:r>
            <w:r>
              <w:rPr>
                <w:spacing w:val="-2"/>
                <w:sz w:val="21"/>
                <w:szCs w:val="21"/>
              </w:rPr>
              <w:t>公里范围内新建、扩建化</w:t>
            </w:r>
            <w:r>
              <w:rPr>
                <w:sz w:val="21"/>
                <w:szCs w:val="21"/>
              </w:rPr>
              <w:t xml:space="preserve"> </w:t>
            </w:r>
            <w:r>
              <w:rPr>
                <w:spacing w:val="-3"/>
                <w:sz w:val="21"/>
                <w:szCs w:val="21"/>
              </w:rPr>
              <w:t>工园区和化工项目。</w:t>
            </w:r>
          </w:p>
          <w:p>
            <w:pPr>
              <w:pStyle w:val="6"/>
              <w:spacing w:before="19" w:line="230" w:lineRule="auto"/>
              <w:ind w:left="112" w:right="105"/>
              <w:rPr>
                <w:sz w:val="21"/>
                <w:szCs w:val="21"/>
              </w:rPr>
            </w:pPr>
            <w:r>
              <w:rPr>
                <w:rFonts w:ascii="Times New Roman" w:hAnsi="Times New Roman" w:eastAsia="Times New Roman" w:cs="Times New Roman"/>
                <w:spacing w:val="-1"/>
                <w:sz w:val="21"/>
                <w:szCs w:val="21"/>
              </w:rPr>
              <w:t>-</w:t>
            </w:r>
            <w:r>
              <w:rPr>
                <w:spacing w:val="-1"/>
                <w:sz w:val="21"/>
                <w:szCs w:val="21"/>
              </w:rPr>
              <w:t>禁止在法律法规规定的禁采区内新建矿山；禁</w:t>
            </w:r>
            <w:r>
              <w:rPr>
                <w:spacing w:val="16"/>
                <w:sz w:val="21"/>
                <w:szCs w:val="21"/>
              </w:rPr>
              <w:t xml:space="preserve"> </w:t>
            </w:r>
            <w:r>
              <w:rPr>
                <w:spacing w:val="-1"/>
                <w:sz w:val="21"/>
                <w:szCs w:val="21"/>
              </w:rPr>
              <w:t>止土法采、选、冶严重污染环境的矿产资源。</w:t>
            </w:r>
          </w:p>
          <w:p>
            <w:pPr>
              <w:pStyle w:val="6"/>
              <w:spacing w:before="22" w:line="233" w:lineRule="auto"/>
              <w:ind w:left="114" w:right="105" w:hanging="2"/>
              <w:rPr>
                <w:sz w:val="21"/>
                <w:szCs w:val="21"/>
              </w:rPr>
            </w:pPr>
            <w:r>
              <w:rPr>
                <w:rFonts w:ascii="Times New Roman" w:hAnsi="Times New Roman" w:eastAsia="Times New Roman" w:cs="Times New Roman"/>
                <w:spacing w:val="-1"/>
                <w:sz w:val="21"/>
                <w:szCs w:val="21"/>
              </w:rPr>
              <w:t>-</w:t>
            </w:r>
            <w:r>
              <w:rPr>
                <w:spacing w:val="-1"/>
                <w:sz w:val="21"/>
                <w:szCs w:val="21"/>
              </w:rPr>
              <w:t>涉及永久基本农田的区域，除法律规定的重点</w:t>
            </w:r>
            <w:r>
              <w:rPr>
                <w:spacing w:val="16"/>
                <w:sz w:val="21"/>
                <w:szCs w:val="21"/>
              </w:rPr>
              <w:t xml:space="preserve"> </w:t>
            </w:r>
            <w:r>
              <w:rPr>
                <w:spacing w:val="-6"/>
                <w:sz w:val="21"/>
                <w:szCs w:val="21"/>
              </w:rPr>
              <w:t xml:space="preserve">建设项目选址确实无法避让外， 其他任何建设 </w:t>
            </w:r>
            <w:r>
              <w:rPr>
                <w:spacing w:val="-5"/>
                <w:sz w:val="21"/>
                <w:szCs w:val="21"/>
              </w:rPr>
              <w:t>不得占用。</w:t>
            </w:r>
          </w:p>
          <w:p>
            <w:pPr>
              <w:pStyle w:val="6"/>
              <w:spacing w:before="19" w:line="231" w:lineRule="auto"/>
              <w:ind w:left="112" w:right="136"/>
              <w:rPr>
                <w:sz w:val="21"/>
                <w:szCs w:val="21"/>
              </w:rPr>
            </w:pPr>
            <w:r>
              <w:rPr>
                <w:rFonts w:ascii="Times New Roman" w:hAnsi="Times New Roman" w:eastAsia="Times New Roman" w:cs="Times New Roman"/>
                <w:spacing w:val="-2"/>
                <w:sz w:val="21"/>
                <w:szCs w:val="21"/>
              </w:rPr>
              <w:t>-</w:t>
            </w:r>
            <w:r>
              <w:rPr>
                <w:spacing w:val="-2"/>
                <w:sz w:val="21"/>
                <w:szCs w:val="21"/>
              </w:rPr>
              <w:t>禁止在长江流域河湖管理范围内倾倒、填埋、</w:t>
            </w:r>
            <w:r>
              <w:rPr>
                <w:spacing w:val="6"/>
                <w:sz w:val="21"/>
                <w:szCs w:val="21"/>
              </w:rPr>
              <w:t xml:space="preserve"> </w:t>
            </w:r>
            <w:r>
              <w:rPr>
                <w:spacing w:val="-2"/>
                <w:sz w:val="21"/>
                <w:szCs w:val="21"/>
              </w:rPr>
              <w:t>堆放、弃置、处理固体废物。</w:t>
            </w:r>
          </w:p>
          <w:p>
            <w:pPr>
              <w:pStyle w:val="6"/>
              <w:spacing w:before="21" w:line="221" w:lineRule="auto"/>
              <w:ind w:left="126"/>
              <w:rPr>
                <w:sz w:val="21"/>
                <w:szCs w:val="21"/>
              </w:rPr>
            </w:pPr>
            <w:r>
              <w:rPr>
                <w:spacing w:val="-2"/>
                <w:sz w:val="21"/>
                <w:szCs w:val="21"/>
              </w:rPr>
              <w:t>限制开发建设活动的要求</w:t>
            </w:r>
          </w:p>
          <w:p>
            <w:pPr>
              <w:pStyle w:val="6"/>
              <w:spacing w:before="21" w:line="221" w:lineRule="auto"/>
              <w:ind w:left="112"/>
              <w:rPr>
                <w:sz w:val="21"/>
                <w:szCs w:val="21"/>
              </w:rPr>
            </w:pPr>
            <w:r>
              <w:rPr>
                <w:rFonts w:ascii="Times New Roman" w:hAnsi="Times New Roman" w:eastAsia="Times New Roman" w:cs="Times New Roman"/>
                <w:spacing w:val="-1"/>
                <w:sz w:val="21"/>
                <w:szCs w:val="21"/>
              </w:rPr>
              <w:t>-</w:t>
            </w:r>
            <w:r>
              <w:rPr>
                <w:spacing w:val="-1"/>
                <w:sz w:val="21"/>
                <w:szCs w:val="21"/>
              </w:rPr>
              <w:t>按照相关要求严控水泥新增产能。</w:t>
            </w:r>
          </w:p>
          <w:p>
            <w:pPr>
              <w:pStyle w:val="6"/>
              <w:spacing w:before="20" w:line="236" w:lineRule="auto"/>
              <w:ind w:left="112" w:right="28" w:firstLine="1"/>
              <w:rPr>
                <w:sz w:val="21"/>
                <w:szCs w:val="21"/>
              </w:rPr>
            </w:pPr>
            <w:r>
              <w:rPr>
                <w:spacing w:val="-1"/>
                <w:sz w:val="21"/>
                <w:szCs w:val="21"/>
              </w:rPr>
              <w:t>涉及法定保护地，严格按照国家及地方法律法</w:t>
            </w:r>
            <w:r>
              <w:rPr>
                <w:spacing w:val="7"/>
                <w:sz w:val="21"/>
                <w:szCs w:val="21"/>
              </w:rPr>
              <w:t xml:space="preserve">  </w:t>
            </w:r>
            <w:r>
              <w:rPr>
                <w:spacing w:val="-4"/>
                <w:sz w:val="21"/>
                <w:szCs w:val="21"/>
              </w:rPr>
              <w:t>规、管理办法等相关要求进行控制。配套旅游、</w:t>
            </w:r>
            <w:r>
              <w:rPr>
                <w:spacing w:val="16"/>
                <w:sz w:val="21"/>
                <w:szCs w:val="21"/>
              </w:rPr>
              <w:t xml:space="preserve"> </w:t>
            </w:r>
            <w:r>
              <w:rPr>
                <w:spacing w:val="-1"/>
                <w:sz w:val="21"/>
                <w:szCs w:val="21"/>
              </w:rPr>
              <w:t>基础设施等建设项目，在符合规划和相关保护</w:t>
            </w:r>
            <w:r>
              <w:rPr>
                <w:spacing w:val="8"/>
                <w:sz w:val="21"/>
                <w:szCs w:val="21"/>
              </w:rPr>
              <w:t xml:space="preserve">  </w:t>
            </w:r>
            <w:r>
              <w:rPr>
                <w:spacing w:val="-5"/>
                <w:sz w:val="21"/>
                <w:szCs w:val="21"/>
              </w:rPr>
              <w:t>要求的前提下，</w:t>
            </w:r>
            <w:r>
              <w:rPr>
                <w:spacing w:val="-9"/>
                <w:sz w:val="21"/>
                <w:szCs w:val="21"/>
              </w:rPr>
              <w:t xml:space="preserve"> </w:t>
            </w:r>
            <w:r>
              <w:rPr>
                <w:spacing w:val="-5"/>
                <w:sz w:val="21"/>
                <w:szCs w:val="21"/>
              </w:rPr>
              <w:t>应实施生态避让、减缓影响及</w:t>
            </w:r>
            <w:r>
              <w:rPr>
                <w:sz w:val="21"/>
                <w:szCs w:val="21"/>
              </w:rPr>
              <w:t xml:space="preserve">  </w:t>
            </w:r>
            <w:r>
              <w:rPr>
                <w:spacing w:val="-3"/>
                <w:sz w:val="21"/>
                <w:szCs w:val="21"/>
              </w:rPr>
              <w:t>生态恢复措施。</w:t>
            </w:r>
          </w:p>
          <w:p>
            <w:pPr>
              <w:pStyle w:val="6"/>
              <w:spacing w:before="21" w:line="221" w:lineRule="auto"/>
              <w:ind w:left="113"/>
              <w:rPr>
                <w:sz w:val="21"/>
                <w:szCs w:val="21"/>
              </w:rPr>
            </w:pPr>
            <w:r>
              <w:rPr>
                <w:spacing w:val="-1"/>
                <w:sz w:val="21"/>
                <w:szCs w:val="21"/>
              </w:rPr>
              <w:t>按照相关要求严控水泥新增产能。</w:t>
            </w:r>
          </w:p>
          <w:p>
            <w:pPr>
              <w:pStyle w:val="6"/>
              <w:spacing w:before="21" w:line="209" w:lineRule="auto"/>
              <w:ind w:left="112"/>
              <w:rPr>
                <w:sz w:val="21"/>
                <w:szCs w:val="21"/>
              </w:rPr>
            </w:pPr>
            <w:r>
              <w:rPr>
                <w:spacing w:val="-1"/>
                <w:sz w:val="21"/>
                <w:szCs w:val="21"/>
              </w:rPr>
              <w:t>禁止在长江干流岸线三公里范围内和重要支流</w:t>
            </w:r>
          </w:p>
        </w:tc>
        <w:tc>
          <w:tcPr>
            <w:tcW w:w="113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9" w:line="229" w:lineRule="auto"/>
              <w:ind w:left="363" w:right="140" w:hanging="202"/>
              <w:rPr>
                <w:sz w:val="21"/>
                <w:szCs w:val="21"/>
              </w:rPr>
            </w:pPr>
            <w:r>
              <w:rPr>
                <w:spacing w:val="-4"/>
                <w:sz w:val="21"/>
                <w:szCs w:val="21"/>
              </w:rPr>
              <w:t>空间约束</w:t>
            </w:r>
            <w:r>
              <w:rPr>
                <w:spacing w:val="2"/>
                <w:sz w:val="21"/>
                <w:szCs w:val="21"/>
              </w:rPr>
              <w:t xml:space="preserve"> </w:t>
            </w:r>
            <w:r>
              <w:rPr>
                <w:spacing w:val="-2"/>
                <w:sz w:val="21"/>
                <w:szCs w:val="21"/>
              </w:rPr>
              <w:t>布局</w:t>
            </w:r>
          </w:p>
        </w:tc>
        <w:tc>
          <w:tcPr>
            <w:tcW w:w="3262" w:type="dxa"/>
            <w:gridSpan w:val="3"/>
            <w:vAlign w:val="top"/>
          </w:tcPr>
          <w:p>
            <w:pPr>
              <w:pStyle w:val="6"/>
              <w:spacing w:before="108" w:line="221" w:lineRule="auto"/>
              <w:ind w:left="114"/>
              <w:rPr>
                <w:sz w:val="21"/>
                <w:szCs w:val="21"/>
              </w:rPr>
            </w:pPr>
            <w:r>
              <w:rPr>
                <w:spacing w:val="-1"/>
                <w:sz w:val="21"/>
                <w:szCs w:val="21"/>
              </w:rPr>
              <w:t>禁止开发建设活动的要求</w:t>
            </w:r>
          </w:p>
          <w:p>
            <w:pPr>
              <w:pStyle w:val="6"/>
              <w:spacing w:before="61" w:line="230" w:lineRule="auto"/>
              <w:ind w:left="115"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59" w:line="221" w:lineRule="auto"/>
              <w:ind w:left="129"/>
              <w:rPr>
                <w:sz w:val="21"/>
                <w:szCs w:val="21"/>
              </w:rPr>
            </w:pPr>
            <w:r>
              <w:rPr>
                <w:spacing w:val="-2"/>
                <w:sz w:val="21"/>
                <w:szCs w:val="21"/>
              </w:rPr>
              <w:t>限制开发建设活动的要求</w:t>
            </w:r>
          </w:p>
          <w:p>
            <w:pPr>
              <w:pStyle w:val="6"/>
              <w:spacing w:before="60" w:line="231" w:lineRule="auto"/>
              <w:ind w:left="115"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0" w:line="221" w:lineRule="auto"/>
              <w:ind w:left="122"/>
              <w:rPr>
                <w:sz w:val="21"/>
                <w:szCs w:val="21"/>
              </w:rPr>
            </w:pPr>
            <w:r>
              <w:rPr>
                <w:spacing w:val="-2"/>
                <w:sz w:val="21"/>
                <w:szCs w:val="21"/>
              </w:rPr>
              <w:t>允许开发建设活动的要求</w:t>
            </w:r>
          </w:p>
          <w:p>
            <w:pPr>
              <w:pStyle w:val="6"/>
              <w:spacing w:before="61" w:line="231" w:lineRule="auto"/>
              <w:ind w:left="115" w:right="205" w:firstLine="2"/>
              <w:rPr>
                <w:sz w:val="21"/>
                <w:szCs w:val="21"/>
              </w:rPr>
            </w:pPr>
            <w:r>
              <w:rPr>
                <w:spacing w:val="-1"/>
                <w:sz w:val="21"/>
                <w:szCs w:val="21"/>
              </w:rPr>
              <w:t>不符合空间布局要求活动的退出</w:t>
            </w:r>
            <w:r>
              <w:rPr>
                <w:spacing w:val="6"/>
                <w:sz w:val="21"/>
                <w:szCs w:val="21"/>
              </w:rPr>
              <w:t xml:space="preserve"> </w:t>
            </w:r>
            <w:r>
              <w:rPr>
                <w:spacing w:val="-2"/>
                <w:sz w:val="21"/>
                <w:szCs w:val="21"/>
              </w:rPr>
              <w:t>要求</w:t>
            </w:r>
          </w:p>
          <w:p>
            <w:pPr>
              <w:pStyle w:val="6"/>
              <w:spacing w:before="54" w:line="238" w:lineRule="auto"/>
              <w:ind w:left="114" w:right="8" w:firstLine="15"/>
              <w:jc w:val="both"/>
              <w:rPr>
                <w:sz w:val="21"/>
                <w:szCs w:val="21"/>
              </w:rPr>
            </w:pPr>
            <w:r>
              <w:rPr>
                <w:spacing w:val="-9"/>
                <w:sz w:val="21"/>
                <w:szCs w:val="21"/>
              </w:rPr>
              <w:t>区外企业：位于城镇空间外的工业</w:t>
            </w:r>
            <w:r>
              <w:rPr>
                <w:spacing w:val="6"/>
                <w:sz w:val="21"/>
                <w:szCs w:val="21"/>
              </w:rPr>
              <w:t xml:space="preserve">  </w:t>
            </w:r>
            <w:r>
              <w:rPr>
                <w:spacing w:val="-8"/>
                <w:sz w:val="21"/>
                <w:szCs w:val="21"/>
              </w:rPr>
              <w:t>园区外工业企业：具有合法手续的</w:t>
            </w:r>
            <w:r>
              <w:rPr>
                <w:spacing w:val="6"/>
                <w:sz w:val="21"/>
                <w:szCs w:val="21"/>
              </w:rPr>
              <w:t xml:space="preserve">  </w:t>
            </w:r>
            <w:r>
              <w:rPr>
                <w:spacing w:val="-7"/>
                <w:sz w:val="21"/>
                <w:szCs w:val="21"/>
              </w:rPr>
              <w:t>企业，且污染物排放及环境风险满</w:t>
            </w:r>
            <w:r>
              <w:rPr>
                <w:sz w:val="21"/>
                <w:szCs w:val="21"/>
              </w:rPr>
              <w:t xml:space="preserve">  </w:t>
            </w:r>
            <w:r>
              <w:rPr>
                <w:spacing w:val="-7"/>
                <w:sz w:val="21"/>
                <w:szCs w:val="21"/>
              </w:rPr>
              <w:t>足管理要求的企业，</w:t>
            </w:r>
            <w:r>
              <w:rPr>
                <w:spacing w:val="-18"/>
                <w:sz w:val="21"/>
                <w:szCs w:val="21"/>
              </w:rPr>
              <w:t xml:space="preserve"> </w:t>
            </w:r>
            <w:r>
              <w:rPr>
                <w:spacing w:val="-7"/>
                <w:sz w:val="21"/>
                <w:szCs w:val="21"/>
              </w:rPr>
              <w:t>可继续保留，</w:t>
            </w:r>
            <w:r>
              <w:rPr>
                <w:sz w:val="21"/>
                <w:szCs w:val="21"/>
              </w:rPr>
              <w:t xml:space="preserve"> </w:t>
            </w:r>
            <w:r>
              <w:rPr>
                <w:spacing w:val="-8"/>
                <w:sz w:val="21"/>
                <w:szCs w:val="21"/>
              </w:rPr>
              <w:t>要求污染物排放只降不增，并进一</w:t>
            </w:r>
            <w:r>
              <w:rPr>
                <w:spacing w:val="6"/>
                <w:sz w:val="21"/>
                <w:szCs w:val="21"/>
              </w:rPr>
              <w:t xml:space="preserve">  </w:t>
            </w:r>
            <w:r>
              <w:rPr>
                <w:spacing w:val="-15"/>
                <w:sz w:val="21"/>
                <w:szCs w:val="21"/>
              </w:rPr>
              <w:t>步加强日常环保监管；严控新（扩）</w:t>
            </w:r>
            <w:r>
              <w:rPr>
                <w:spacing w:val="12"/>
                <w:sz w:val="21"/>
                <w:szCs w:val="21"/>
              </w:rPr>
              <w:t xml:space="preserve"> </w:t>
            </w:r>
            <w:r>
              <w:rPr>
                <w:spacing w:val="-8"/>
                <w:sz w:val="21"/>
                <w:szCs w:val="21"/>
              </w:rPr>
              <w:t>建水泥厂、危废焚烧、陶瓷厂等以</w:t>
            </w:r>
            <w:r>
              <w:rPr>
                <w:spacing w:val="6"/>
                <w:sz w:val="21"/>
                <w:szCs w:val="21"/>
              </w:rPr>
              <w:t xml:space="preserve">  </w:t>
            </w:r>
            <w:r>
              <w:rPr>
                <w:spacing w:val="-8"/>
                <w:sz w:val="21"/>
                <w:szCs w:val="21"/>
              </w:rPr>
              <w:t>大气污染为主的企业；不具备合法</w:t>
            </w:r>
            <w:r>
              <w:rPr>
                <w:spacing w:val="6"/>
                <w:sz w:val="21"/>
                <w:szCs w:val="21"/>
              </w:rPr>
              <w:t xml:space="preserve">  </w:t>
            </w:r>
            <w:r>
              <w:rPr>
                <w:spacing w:val="-8"/>
                <w:sz w:val="21"/>
                <w:szCs w:val="21"/>
              </w:rPr>
              <w:t>手续，或污染物排放超标、环境风</w:t>
            </w:r>
            <w:r>
              <w:rPr>
                <w:spacing w:val="6"/>
                <w:sz w:val="21"/>
                <w:szCs w:val="21"/>
              </w:rPr>
              <w:t xml:space="preserve">  </w:t>
            </w:r>
            <w:r>
              <w:rPr>
                <w:spacing w:val="-8"/>
                <w:sz w:val="21"/>
                <w:szCs w:val="21"/>
              </w:rPr>
              <w:t>险不可控的企业，限期进行整改提</w:t>
            </w:r>
          </w:p>
        </w:tc>
        <w:tc>
          <w:tcPr>
            <w:tcW w:w="164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8" w:line="238" w:lineRule="auto"/>
              <w:ind w:left="117" w:right="95" w:firstLine="86"/>
              <w:jc w:val="right"/>
              <w:rPr>
                <w:sz w:val="21"/>
                <w:szCs w:val="21"/>
              </w:rPr>
            </w:pPr>
            <w:r>
              <w:rPr>
                <w:spacing w:val="-2"/>
                <w:sz w:val="21"/>
                <w:szCs w:val="21"/>
              </w:rPr>
              <w:t>本项目属于陆</w:t>
            </w:r>
            <w:r>
              <w:rPr>
                <w:spacing w:val="2"/>
                <w:sz w:val="21"/>
                <w:szCs w:val="21"/>
              </w:rPr>
              <w:t xml:space="preserve">  </w:t>
            </w:r>
            <w:r>
              <w:rPr>
                <w:spacing w:val="12"/>
                <w:sz w:val="21"/>
                <w:szCs w:val="21"/>
              </w:rPr>
              <w:t xml:space="preserve">地矿产资源地 </w:t>
            </w:r>
            <w:r>
              <w:rPr>
                <w:spacing w:val="-7"/>
                <w:sz w:val="21"/>
                <w:szCs w:val="21"/>
              </w:rPr>
              <w:t>质勘查，不属于</w:t>
            </w:r>
            <w:r>
              <w:rPr>
                <w:spacing w:val="4"/>
                <w:sz w:val="21"/>
                <w:szCs w:val="21"/>
              </w:rPr>
              <w:t xml:space="preserve"> </w:t>
            </w:r>
            <w:r>
              <w:rPr>
                <w:spacing w:val="-7"/>
                <w:sz w:val="21"/>
                <w:szCs w:val="21"/>
              </w:rPr>
              <w:t>上述项目，本项</w:t>
            </w:r>
            <w:r>
              <w:rPr>
                <w:spacing w:val="4"/>
                <w:sz w:val="21"/>
                <w:szCs w:val="21"/>
              </w:rPr>
              <w:t xml:space="preserve"> </w:t>
            </w:r>
            <w:r>
              <w:rPr>
                <w:spacing w:val="12"/>
                <w:sz w:val="21"/>
                <w:szCs w:val="21"/>
              </w:rPr>
              <w:t xml:space="preserve">目不可避免临 时占用部分基 </w:t>
            </w:r>
            <w:r>
              <w:rPr>
                <w:spacing w:val="-7"/>
                <w:sz w:val="21"/>
                <w:szCs w:val="21"/>
              </w:rPr>
              <w:t>本农田，建设单</w:t>
            </w:r>
            <w:r>
              <w:rPr>
                <w:spacing w:val="4"/>
                <w:sz w:val="21"/>
                <w:szCs w:val="21"/>
              </w:rPr>
              <w:t xml:space="preserve"> </w:t>
            </w:r>
            <w:r>
              <w:rPr>
                <w:spacing w:val="12"/>
                <w:sz w:val="21"/>
                <w:szCs w:val="21"/>
              </w:rPr>
              <w:t xml:space="preserve">位严格按照法 律法规办理相 </w:t>
            </w:r>
            <w:r>
              <w:rPr>
                <w:spacing w:val="-7"/>
                <w:sz w:val="21"/>
                <w:szCs w:val="21"/>
              </w:rPr>
              <w:t>关手续，完工后</w:t>
            </w:r>
            <w:r>
              <w:rPr>
                <w:spacing w:val="4"/>
                <w:sz w:val="21"/>
                <w:szCs w:val="21"/>
              </w:rPr>
              <w:t xml:space="preserve"> </w:t>
            </w:r>
            <w:r>
              <w:rPr>
                <w:spacing w:val="12"/>
                <w:sz w:val="21"/>
                <w:szCs w:val="21"/>
              </w:rPr>
              <w:t xml:space="preserve">进行复垦并恢 </w:t>
            </w:r>
            <w:r>
              <w:rPr>
                <w:spacing w:val="-7"/>
                <w:sz w:val="21"/>
                <w:szCs w:val="21"/>
              </w:rPr>
              <w:t>复原种植条件。</w:t>
            </w:r>
          </w:p>
        </w:tc>
        <w:tc>
          <w:tcPr>
            <w:tcW w:w="72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9" w:line="221" w:lineRule="auto"/>
              <w:ind w:left="152"/>
              <w:rPr>
                <w:sz w:val="21"/>
                <w:szCs w:val="21"/>
              </w:rPr>
            </w:pPr>
            <w:r>
              <w:rPr>
                <w:spacing w:val="-2"/>
                <w:sz w:val="21"/>
                <w:szCs w:val="21"/>
              </w:rPr>
              <w:t>符合</w:t>
            </w:r>
          </w:p>
        </w:tc>
      </w:tr>
    </w:tbl>
    <w:p>
      <w:pPr>
        <w:pStyle w:val="2"/>
        <w:rPr>
          <w:sz w:val="21"/>
        </w:rPr>
      </w:pPr>
    </w:p>
    <w:p>
      <w:pPr>
        <w:rPr>
          <w:sz w:val="21"/>
          <w:szCs w:val="21"/>
        </w:rPr>
        <w:sectPr>
          <w:footerReference r:id="rId12" w:type="default"/>
          <w:pgSz w:w="16839" w:h="11907"/>
          <w:pgMar w:top="400" w:right="1411" w:bottom="1180" w:left="1396"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4"/>
        <w:gridCol w:w="1149"/>
        <w:gridCol w:w="4489"/>
        <w:gridCol w:w="1135"/>
        <w:gridCol w:w="326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4" w:hRule="atLeast"/>
        </w:trPr>
        <w:tc>
          <w:tcPr>
            <w:tcW w:w="468" w:type="dxa"/>
            <w:vMerge w:val="restart"/>
            <w:tcBorders>
              <w:bottom w:val="nil"/>
            </w:tcBorders>
            <w:vAlign w:val="top"/>
          </w:tcPr>
          <w:p>
            <w:pPr>
              <w:rPr>
                <w:rFonts w:ascii="Arial"/>
                <w:sz w:val="21"/>
              </w:rPr>
            </w:pPr>
          </w:p>
        </w:tc>
        <w:tc>
          <w:tcPr>
            <w:tcW w:w="1144" w:type="dxa"/>
            <w:vMerge w:val="restart"/>
            <w:tcBorders>
              <w:bottom w:val="nil"/>
            </w:tcBorders>
            <w:vAlign w:val="top"/>
          </w:tcPr>
          <w:p>
            <w:pPr>
              <w:rPr>
                <w:rFonts w:ascii="Arial"/>
                <w:sz w:val="21"/>
              </w:rPr>
            </w:pPr>
          </w:p>
        </w:tc>
        <w:tc>
          <w:tcPr>
            <w:tcW w:w="1149" w:type="dxa"/>
            <w:vMerge w:val="restart"/>
            <w:tcBorders>
              <w:bottom w:val="nil"/>
            </w:tcBorders>
            <w:vAlign w:val="top"/>
          </w:tcPr>
          <w:p>
            <w:pPr>
              <w:rPr>
                <w:rFonts w:ascii="Arial"/>
                <w:sz w:val="21"/>
              </w:rPr>
            </w:pPr>
          </w:p>
        </w:tc>
        <w:tc>
          <w:tcPr>
            <w:tcW w:w="4489" w:type="dxa"/>
            <w:vAlign w:val="top"/>
          </w:tcPr>
          <w:p>
            <w:pPr>
              <w:pStyle w:val="6"/>
              <w:spacing w:before="61" w:line="233" w:lineRule="auto"/>
              <w:ind w:left="111" w:right="173" w:firstLine="1"/>
              <w:rPr>
                <w:sz w:val="21"/>
                <w:szCs w:val="21"/>
              </w:rPr>
            </w:pPr>
            <w:r>
              <w:rPr>
                <w:spacing w:val="-3"/>
                <w:sz w:val="21"/>
                <w:szCs w:val="21"/>
              </w:rPr>
              <w:t>岸线一公里范围内新建、改建、扩建尾矿库；</w:t>
            </w:r>
            <w:r>
              <w:rPr>
                <w:spacing w:val="6"/>
                <w:sz w:val="21"/>
                <w:szCs w:val="21"/>
              </w:rPr>
              <w:t xml:space="preserve"> </w:t>
            </w:r>
            <w:r>
              <w:rPr>
                <w:spacing w:val="-1"/>
                <w:sz w:val="21"/>
                <w:szCs w:val="21"/>
              </w:rPr>
              <w:t>但是以提升安全、生态环境保护水平为目的的</w:t>
            </w:r>
            <w:r>
              <w:rPr>
                <w:spacing w:val="17"/>
                <w:sz w:val="21"/>
                <w:szCs w:val="21"/>
              </w:rPr>
              <w:t xml:space="preserve"> </w:t>
            </w:r>
            <w:r>
              <w:rPr>
                <w:spacing w:val="-4"/>
                <w:sz w:val="21"/>
                <w:szCs w:val="21"/>
              </w:rPr>
              <w:t>改建除外。</w:t>
            </w:r>
          </w:p>
          <w:p>
            <w:pPr>
              <w:pStyle w:val="6"/>
              <w:spacing w:before="20" w:line="220" w:lineRule="auto"/>
              <w:ind w:left="116"/>
              <w:rPr>
                <w:sz w:val="21"/>
                <w:szCs w:val="21"/>
              </w:rPr>
            </w:pPr>
            <w:r>
              <w:rPr>
                <w:spacing w:val="-1"/>
                <w:sz w:val="21"/>
                <w:szCs w:val="21"/>
              </w:rPr>
              <w:t>不符合空间布局要求活动的退出要求</w:t>
            </w:r>
          </w:p>
          <w:p>
            <w:pPr>
              <w:pStyle w:val="6"/>
              <w:spacing w:before="23" w:line="229" w:lineRule="auto"/>
              <w:ind w:left="113" w:right="173"/>
              <w:rPr>
                <w:sz w:val="21"/>
                <w:szCs w:val="21"/>
              </w:rPr>
            </w:pPr>
            <w:r>
              <w:rPr>
                <w:spacing w:val="-6"/>
                <w:sz w:val="21"/>
                <w:szCs w:val="21"/>
              </w:rPr>
              <w:t>针对现有水泥企业， 强化污染治理和污染物减</w:t>
            </w:r>
            <w:r>
              <w:rPr>
                <w:spacing w:val="17"/>
                <w:sz w:val="21"/>
                <w:szCs w:val="21"/>
              </w:rPr>
              <w:t xml:space="preserve"> </w:t>
            </w:r>
            <w:r>
              <w:rPr>
                <w:spacing w:val="-1"/>
                <w:sz w:val="21"/>
                <w:szCs w:val="21"/>
              </w:rPr>
              <w:t>排，依法依规整治或搬迁。</w:t>
            </w:r>
          </w:p>
          <w:p>
            <w:pPr>
              <w:pStyle w:val="6"/>
              <w:spacing w:before="23" w:line="221" w:lineRule="auto"/>
              <w:ind w:left="113"/>
              <w:rPr>
                <w:sz w:val="21"/>
                <w:szCs w:val="21"/>
              </w:rPr>
            </w:pPr>
            <w:r>
              <w:rPr>
                <w:spacing w:val="-1"/>
                <w:sz w:val="21"/>
                <w:szCs w:val="21"/>
              </w:rPr>
              <w:t>全面取缔禁养区内规模化畜禽养殖场。</w:t>
            </w:r>
          </w:p>
          <w:p>
            <w:pPr>
              <w:pStyle w:val="6"/>
              <w:spacing w:before="20" w:line="231" w:lineRule="auto"/>
              <w:ind w:left="113" w:right="123" w:hanging="4"/>
              <w:rPr>
                <w:sz w:val="21"/>
                <w:szCs w:val="21"/>
              </w:rPr>
            </w:pPr>
            <w:r>
              <w:rPr>
                <w:rFonts w:ascii="Times New Roman" w:hAnsi="Times New Roman" w:eastAsia="Times New Roman" w:cs="Times New Roman"/>
                <w:sz w:val="21"/>
                <w:szCs w:val="21"/>
              </w:rPr>
              <w:t xml:space="preserve">2025 </w:t>
            </w:r>
            <w:r>
              <w:rPr>
                <w:sz w:val="21"/>
                <w:szCs w:val="21"/>
              </w:rPr>
              <w:t>年基本完成全域内“散乱污”企业</w:t>
            </w:r>
            <w:r>
              <w:rPr>
                <w:spacing w:val="-1"/>
                <w:sz w:val="21"/>
                <w:szCs w:val="21"/>
              </w:rPr>
              <w:t>整治工</w:t>
            </w:r>
            <w:r>
              <w:rPr>
                <w:sz w:val="21"/>
                <w:szCs w:val="21"/>
              </w:rPr>
              <w:t xml:space="preserve"> </w:t>
            </w:r>
            <w:r>
              <w:rPr>
                <w:spacing w:val="-10"/>
                <w:sz w:val="21"/>
                <w:szCs w:val="21"/>
              </w:rPr>
              <w:t>作。</w:t>
            </w:r>
          </w:p>
          <w:p>
            <w:pPr>
              <w:pStyle w:val="6"/>
              <w:spacing w:before="19" w:line="233" w:lineRule="auto"/>
              <w:ind w:left="116" w:right="173" w:hanging="4"/>
              <w:jc w:val="both"/>
              <w:rPr>
                <w:sz w:val="21"/>
                <w:szCs w:val="21"/>
              </w:rPr>
            </w:pPr>
            <w:r>
              <w:rPr>
                <w:spacing w:val="-1"/>
                <w:sz w:val="21"/>
                <w:szCs w:val="21"/>
              </w:rPr>
              <w:t>在全市范围深入开展集中整治“散乱污”工业</w:t>
            </w:r>
            <w:r>
              <w:rPr>
                <w:spacing w:val="17"/>
                <w:sz w:val="21"/>
                <w:szCs w:val="21"/>
              </w:rPr>
              <w:t xml:space="preserve"> </w:t>
            </w:r>
            <w:r>
              <w:rPr>
                <w:spacing w:val="-10"/>
                <w:sz w:val="21"/>
                <w:szCs w:val="21"/>
              </w:rPr>
              <w:t>企业， 对不符合产业政策和规划布局的， 一律</w:t>
            </w:r>
            <w:r>
              <w:rPr>
                <w:spacing w:val="2"/>
                <w:sz w:val="21"/>
                <w:szCs w:val="21"/>
              </w:rPr>
              <w:t xml:space="preserve"> </w:t>
            </w:r>
            <w:r>
              <w:rPr>
                <w:spacing w:val="-3"/>
                <w:sz w:val="21"/>
                <w:szCs w:val="21"/>
              </w:rPr>
              <w:t>责令停产、限期搬迁或关停；</w:t>
            </w:r>
          </w:p>
          <w:p>
            <w:pPr>
              <w:pStyle w:val="6"/>
              <w:spacing w:before="23" w:line="206" w:lineRule="auto"/>
              <w:ind w:left="113"/>
              <w:rPr>
                <w:sz w:val="21"/>
                <w:szCs w:val="21"/>
              </w:rPr>
            </w:pPr>
            <w:r>
              <w:rPr>
                <w:spacing w:val="-8"/>
                <w:sz w:val="21"/>
                <w:szCs w:val="21"/>
              </w:rPr>
              <w:t>其他空间布局约束要求： 暂无</w:t>
            </w:r>
          </w:p>
        </w:tc>
        <w:tc>
          <w:tcPr>
            <w:tcW w:w="1135" w:type="dxa"/>
            <w:vAlign w:val="top"/>
          </w:tcPr>
          <w:p>
            <w:pPr>
              <w:rPr>
                <w:rFonts w:ascii="Arial"/>
                <w:sz w:val="21"/>
              </w:rPr>
            </w:pPr>
          </w:p>
        </w:tc>
        <w:tc>
          <w:tcPr>
            <w:tcW w:w="3263" w:type="dxa"/>
            <w:vAlign w:val="top"/>
          </w:tcPr>
          <w:p>
            <w:pPr>
              <w:pStyle w:val="6"/>
              <w:spacing w:before="62" w:line="236" w:lineRule="auto"/>
              <w:ind w:left="114" w:right="97" w:firstLine="2"/>
              <w:rPr>
                <w:sz w:val="21"/>
                <w:szCs w:val="21"/>
              </w:rPr>
            </w:pPr>
            <w:r>
              <w:rPr>
                <w:spacing w:val="-11"/>
                <w:sz w:val="21"/>
                <w:szCs w:val="21"/>
              </w:rPr>
              <w:t>升，</w:t>
            </w:r>
            <w:r>
              <w:rPr>
                <w:spacing w:val="-48"/>
                <w:sz w:val="21"/>
                <w:szCs w:val="21"/>
              </w:rPr>
              <w:t xml:space="preserve"> </w:t>
            </w:r>
            <w:r>
              <w:rPr>
                <w:spacing w:val="-11"/>
                <w:sz w:val="21"/>
                <w:szCs w:val="21"/>
              </w:rPr>
              <w:t>通过环保、安全、工艺装备升</w:t>
            </w:r>
            <w:r>
              <w:rPr>
                <w:sz w:val="21"/>
                <w:szCs w:val="21"/>
              </w:rPr>
              <w:t xml:space="preserve"> </w:t>
            </w:r>
            <w:r>
              <w:rPr>
                <w:spacing w:val="-1"/>
                <w:sz w:val="21"/>
                <w:szCs w:val="21"/>
              </w:rPr>
              <w:t>级等落实整改措施并达到相关标</w:t>
            </w:r>
            <w:r>
              <w:rPr>
                <w:spacing w:val="5"/>
                <w:sz w:val="21"/>
                <w:szCs w:val="21"/>
              </w:rPr>
              <w:t xml:space="preserve">  </w:t>
            </w:r>
            <w:r>
              <w:rPr>
                <w:spacing w:val="-7"/>
                <w:sz w:val="21"/>
                <w:szCs w:val="21"/>
              </w:rPr>
              <w:t>准实现合法生产，整改后仍不能达</w:t>
            </w:r>
            <w:r>
              <w:rPr>
                <w:sz w:val="21"/>
                <w:szCs w:val="21"/>
              </w:rPr>
              <w:t xml:space="preserve"> </w:t>
            </w:r>
            <w:r>
              <w:rPr>
                <w:spacing w:val="-7"/>
                <w:sz w:val="21"/>
                <w:szCs w:val="21"/>
              </w:rPr>
              <w:t>到要求的，属地政府应按相关要求</w:t>
            </w:r>
            <w:r>
              <w:rPr>
                <w:sz w:val="21"/>
                <w:szCs w:val="21"/>
              </w:rPr>
              <w:t xml:space="preserve"> </w:t>
            </w:r>
            <w:r>
              <w:rPr>
                <w:spacing w:val="-1"/>
                <w:sz w:val="21"/>
                <w:szCs w:val="21"/>
              </w:rPr>
              <w:t>责令关停并退出同达州市一般管</w:t>
            </w:r>
            <w:r>
              <w:rPr>
                <w:spacing w:val="5"/>
                <w:sz w:val="21"/>
                <w:szCs w:val="21"/>
              </w:rPr>
              <w:t xml:space="preserve">  </w:t>
            </w:r>
            <w:r>
              <w:rPr>
                <w:spacing w:val="-1"/>
                <w:sz w:val="21"/>
                <w:szCs w:val="21"/>
              </w:rPr>
              <w:t>控单元总体准入要求</w:t>
            </w:r>
          </w:p>
          <w:p>
            <w:pPr>
              <w:pStyle w:val="6"/>
              <w:spacing w:before="60" w:line="220" w:lineRule="auto"/>
              <w:ind w:left="116"/>
              <w:rPr>
                <w:sz w:val="21"/>
                <w:szCs w:val="21"/>
              </w:rPr>
            </w:pPr>
            <w:r>
              <w:rPr>
                <w:spacing w:val="-1"/>
                <w:sz w:val="21"/>
                <w:szCs w:val="21"/>
              </w:rPr>
              <w:t>其他空间布局约束要求</w:t>
            </w:r>
          </w:p>
        </w:tc>
        <w:tc>
          <w:tcPr>
            <w:tcW w:w="1649" w:type="dxa"/>
            <w:vAlign w:val="top"/>
          </w:tcPr>
          <w:p>
            <w:pPr>
              <w:rPr>
                <w:rFonts w:ascii="Arial"/>
                <w:sz w:val="21"/>
              </w:rPr>
            </w:pPr>
          </w:p>
        </w:tc>
        <w:tc>
          <w:tcPr>
            <w:tcW w:w="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1" w:hRule="atLeast"/>
        </w:trPr>
        <w:tc>
          <w:tcPr>
            <w:tcW w:w="468" w:type="dxa"/>
            <w:vMerge w:val="continue"/>
            <w:tcBorders>
              <w:top w:val="nil"/>
            </w:tcBorders>
            <w:vAlign w:val="top"/>
          </w:tcPr>
          <w:p>
            <w:pPr>
              <w:rPr>
                <w:rFonts w:ascii="Arial"/>
                <w:sz w:val="21"/>
              </w:rPr>
            </w:pPr>
          </w:p>
        </w:tc>
        <w:tc>
          <w:tcPr>
            <w:tcW w:w="1144" w:type="dxa"/>
            <w:vMerge w:val="continue"/>
            <w:tcBorders>
              <w:top w:val="nil"/>
            </w:tcBorders>
            <w:vAlign w:val="top"/>
          </w:tcPr>
          <w:p>
            <w:pPr>
              <w:rPr>
                <w:rFonts w:ascii="Arial"/>
                <w:sz w:val="21"/>
              </w:rPr>
            </w:pPr>
          </w:p>
        </w:tc>
        <w:tc>
          <w:tcPr>
            <w:tcW w:w="1149" w:type="dxa"/>
            <w:vMerge w:val="continue"/>
            <w:tcBorders>
              <w:top w:val="nil"/>
            </w:tcBorders>
            <w:vAlign w:val="top"/>
          </w:tcPr>
          <w:p>
            <w:pPr>
              <w:rPr>
                <w:rFonts w:ascii="Arial"/>
                <w:sz w:val="21"/>
              </w:rPr>
            </w:pPr>
          </w:p>
        </w:tc>
        <w:tc>
          <w:tcPr>
            <w:tcW w:w="4489" w:type="dxa"/>
            <w:vAlign w:val="top"/>
          </w:tcPr>
          <w:p>
            <w:pPr>
              <w:pStyle w:val="6"/>
              <w:spacing w:before="72" w:line="221" w:lineRule="auto"/>
              <w:ind w:left="114"/>
              <w:rPr>
                <w:sz w:val="21"/>
                <w:szCs w:val="21"/>
              </w:rPr>
            </w:pPr>
            <w:r>
              <w:rPr>
                <w:spacing w:val="-6"/>
                <w:sz w:val="21"/>
                <w:szCs w:val="21"/>
                <w14:textOutline w14:w="3831" w14:cap="flat" w14:cmpd="sng">
                  <w14:solidFill>
                    <w14:srgbClr w14:val="000000"/>
                  </w14:solidFill>
                  <w14:prstDash w14:val="solid"/>
                  <w14:miter w14:val="10"/>
                </w14:textOutline>
              </w:rPr>
              <w:t>污染物排放管控：</w:t>
            </w:r>
          </w:p>
          <w:p>
            <w:pPr>
              <w:pStyle w:val="6"/>
              <w:spacing w:before="61" w:line="312" w:lineRule="exact"/>
              <w:ind w:left="120"/>
              <w:rPr>
                <w:sz w:val="21"/>
                <w:szCs w:val="21"/>
              </w:rPr>
            </w:pPr>
            <w:r>
              <w:rPr>
                <w:spacing w:val="-2"/>
                <w:position w:val="7"/>
                <w:sz w:val="21"/>
                <w:szCs w:val="21"/>
              </w:rPr>
              <w:t>允许排放量要求</w:t>
            </w:r>
          </w:p>
          <w:p>
            <w:pPr>
              <w:pStyle w:val="6"/>
              <w:spacing w:line="221" w:lineRule="auto"/>
              <w:ind w:left="119"/>
              <w:rPr>
                <w:sz w:val="21"/>
                <w:szCs w:val="21"/>
              </w:rPr>
            </w:pPr>
            <w:r>
              <w:rPr>
                <w:spacing w:val="-4"/>
                <w:sz w:val="21"/>
                <w:szCs w:val="21"/>
              </w:rPr>
              <w:t>暂无</w:t>
            </w:r>
          </w:p>
          <w:p>
            <w:pPr>
              <w:pStyle w:val="6"/>
              <w:spacing w:before="59" w:line="221" w:lineRule="auto"/>
              <w:ind w:left="114"/>
              <w:rPr>
                <w:sz w:val="21"/>
                <w:szCs w:val="21"/>
              </w:rPr>
            </w:pPr>
            <w:r>
              <w:rPr>
                <w:spacing w:val="-1"/>
                <w:sz w:val="21"/>
                <w:szCs w:val="21"/>
              </w:rPr>
              <w:t>现有源提标升级改造</w:t>
            </w:r>
          </w:p>
          <w:p>
            <w:pPr>
              <w:pStyle w:val="6"/>
              <w:spacing w:before="59" w:line="234" w:lineRule="auto"/>
              <w:ind w:left="112" w:right="173"/>
              <w:jc w:val="both"/>
              <w:rPr>
                <w:sz w:val="21"/>
                <w:szCs w:val="21"/>
              </w:rPr>
            </w:pPr>
            <w:r>
              <w:rPr>
                <w:spacing w:val="-1"/>
                <w:sz w:val="21"/>
                <w:szCs w:val="21"/>
              </w:rPr>
              <w:t>加快现有乡镇污水处理设施升级改造，按要求</w:t>
            </w:r>
            <w:r>
              <w:rPr>
                <w:spacing w:val="16"/>
                <w:sz w:val="21"/>
                <w:szCs w:val="21"/>
              </w:rPr>
              <w:t xml:space="preserve"> </w:t>
            </w:r>
            <w:r>
              <w:rPr>
                <w:spacing w:val="-1"/>
                <w:sz w:val="21"/>
                <w:szCs w:val="21"/>
              </w:rPr>
              <w:t>达《城镇污水处理厂污染物排放标准》一级</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7"/>
                <w:sz w:val="21"/>
                <w:szCs w:val="21"/>
              </w:rPr>
              <w:t xml:space="preserve">  </w:t>
            </w:r>
            <w:r>
              <w:rPr>
                <w:spacing w:val="-4"/>
                <w:sz w:val="21"/>
                <w:szCs w:val="21"/>
              </w:rPr>
              <w:t>标后排放。</w:t>
            </w:r>
          </w:p>
          <w:p>
            <w:pPr>
              <w:pStyle w:val="6"/>
              <w:spacing w:before="63" w:line="229" w:lineRule="auto"/>
              <w:ind w:left="114" w:right="173" w:hanging="2"/>
              <w:rPr>
                <w:sz w:val="21"/>
                <w:szCs w:val="21"/>
              </w:rPr>
            </w:pPr>
            <w:r>
              <w:rPr>
                <w:spacing w:val="-6"/>
                <w:sz w:val="21"/>
                <w:szCs w:val="21"/>
              </w:rPr>
              <w:t>在矿产资源开发活动集中区域， 废水执行重金</w:t>
            </w:r>
            <w:r>
              <w:rPr>
                <w:spacing w:val="18"/>
                <w:sz w:val="21"/>
                <w:szCs w:val="21"/>
              </w:rPr>
              <w:t xml:space="preserve"> </w:t>
            </w:r>
            <w:r>
              <w:rPr>
                <w:spacing w:val="-2"/>
                <w:sz w:val="21"/>
                <w:szCs w:val="21"/>
              </w:rPr>
              <w:t>属污染物排放特别限值。</w:t>
            </w:r>
          </w:p>
          <w:p>
            <w:pPr>
              <w:pStyle w:val="6"/>
              <w:spacing w:before="61" w:line="231" w:lineRule="auto"/>
              <w:ind w:left="112" w:right="173" w:firstLine="2"/>
              <w:rPr>
                <w:sz w:val="21"/>
                <w:szCs w:val="21"/>
              </w:rPr>
            </w:pPr>
            <w:r>
              <w:rPr>
                <w:spacing w:val="-1"/>
                <w:sz w:val="21"/>
                <w:szCs w:val="21"/>
              </w:rPr>
              <w:t>火电、水泥等行业按相关要求推进大气污染物</w:t>
            </w:r>
            <w:r>
              <w:rPr>
                <w:spacing w:val="14"/>
                <w:sz w:val="21"/>
                <w:szCs w:val="21"/>
              </w:rPr>
              <w:t xml:space="preserve"> </w:t>
            </w:r>
            <w:r>
              <w:rPr>
                <w:spacing w:val="-1"/>
                <w:sz w:val="21"/>
                <w:szCs w:val="21"/>
              </w:rPr>
              <w:t>超低排放和深度治理。</w:t>
            </w:r>
          </w:p>
          <w:p>
            <w:pPr>
              <w:pStyle w:val="6"/>
              <w:spacing w:before="59" w:line="234" w:lineRule="auto"/>
              <w:ind w:left="113" w:right="173"/>
              <w:jc w:val="both"/>
              <w:rPr>
                <w:sz w:val="21"/>
                <w:szCs w:val="21"/>
              </w:rPr>
            </w:pPr>
            <w:r>
              <w:rPr>
                <w:spacing w:val="-5"/>
                <w:sz w:val="21"/>
                <w:szCs w:val="21"/>
              </w:rPr>
              <w:t>砖瓦行业实施脱硫、除尘升级改造，</w:t>
            </w:r>
            <w:r>
              <w:rPr>
                <w:spacing w:val="-9"/>
                <w:sz w:val="21"/>
                <w:szCs w:val="21"/>
              </w:rPr>
              <w:t xml:space="preserve"> </w:t>
            </w:r>
            <w:r>
              <w:rPr>
                <w:spacing w:val="-5"/>
                <w:sz w:val="21"/>
                <w:szCs w:val="21"/>
              </w:rPr>
              <w:t>污染物排</w:t>
            </w:r>
            <w:r>
              <w:rPr>
                <w:sz w:val="21"/>
                <w:szCs w:val="21"/>
              </w:rPr>
              <w:t xml:space="preserve"> </w:t>
            </w:r>
            <w:r>
              <w:rPr>
                <w:spacing w:val="-1"/>
                <w:sz w:val="21"/>
                <w:szCs w:val="21"/>
              </w:rPr>
              <w:t>放达到《砖瓦工业大气污染物排放标准》相关</w:t>
            </w:r>
            <w:r>
              <w:rPr>
                <w:spacing w:val="16"/>
                <w:sz w:val="21"/>
                <w:szCs w:val="21"/>
              </w:rPr>
              <w:t xml:space="preserve"> </w:t>
            </w:r>
            <w:r>
              <w:rPr>
                <w:spacing w:val="-8"/>
                <w:sz w:val="21"/>
                <w:szCs w:val="21"/>
              </w:rPr>
              <w:t>要求。</w:t>
            </w:r>
          </w:p>
          <w:p>
            <w:pPr>
              <w:pStyle w:val="6"/>
              <w:spacing w:before="60" w:line="221" w:lineRule="auto"/>
              <w:ind w:left="113"/>
              <w:rPr>
                <w:sz w:val="21"/>
                <w:szCs w:val="21"/>
              </w:rPr>
            </w:pPr>
            <w:r>
              <w:rPr>
                <w:spacing w:val="-1"/>
                <w:sz w:val="21"/>
                <w:szCs w:val="21"/>
              </w:rPr>
              <w:t>其他污染物排放管控要求</w:t>
            </w:r>
          </w:p>
          <w:p>
            <w:pPr>
              <w:pStyle w:val="6"/>
              <w:spacing w:before="62" w:line="229" w:lineRule="auto"/>
              <w:ind w:left="115" w:right="173" w:hanging="2"/>
              <w:rPr>
                <w:sz w:val="21"/>
                <w:szCs w:val="21"/>
              </w:rPr>
            </w:pPr>
            <w:r>
              <w:rPr>
                <w:spacing w:val="-1"/>
                <w:sz w:val="21"/>
                <w:szCs w:val="21"/>
              </w:rPr>
              <w:t>新增源等量或倍量替代：上一年度水环境质量</w:t>
            </w:r>
            <w:r>
              <w:rPr>
                <w:spacing w:val="15"/>
                <w:sz w:val="21"/>
                <w:szCs w:val="21"/>
              </w:rPr>
              <w:t xml:space="preserve"> </w:t>
            </w:r>
            <w:r>
              <w:rPr>
                <w:spacing w:val="-5"/>
                <w:sz w:val="21"/>
                <w:szCs w:val="21"/>
              </w:rPr>
              <w:t>未完成目标的，</w:t>
            </w:r>
            <w:r>
              <w:rPr>
                <w:spacing w:val="-13"/>
                <w:sz w:val="21"/>
                <w:szCs w:val="21"/>
              </w:rPr>
              <w:t xml:space="preserve"> </w:t>
            </w:r>
            <w:r>
              <w:rPr>
                <w:spacing w:val="-5"/>
                <w:sz w:val="21"/>
                <w:szCs w:val="21"/>
              </w:rPr>
              <w:t>新建排放水污染的建设项目按</w:t>
            </w:r>
            <w:r>
              <w:rPr>
                <w:sz w:val="21"/>
                <w:szCs w:val="21"/>
              </w:rPr>
              <w:t xml:space="preserve"> </w:t>
            </w:r>
            <w:r>
              <w:rPr>
                <w:spacing w:val="-1"/>
                <w:sz w:val="21"/>
                <w:szCs w:val="21"/>
              </w:rPr>
              <w:t>照总量管控要求进行倍量削减替代。上一年度</w:t>
            </w:r>
          </w:p>
        </w:tc>
        <w:tc>
          <w:tcPr>
            <w:tcW w:w="1135"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29" w:lineRule="auto"/>
              <w:ind w:left="258" w:right="139" w:hanging="101"/>
              <w:rPr>
                <w:sz w:val="21"/>
                <w:szCs w:val="21"/>
              </w:rPr>
            </w:pPr>
            <w:r>
              <w:rPr>
                <w:spacing w:val="-2"/>
                <w:sz w:val="21"/>
                <w:szCs w:val="21"/>
              </w:rPr>
              <w:t>污染物排</w:t>
            </w:r>
            <w:r>
              <w:rPr>
                <w:sz w:val="21"/>
                <w:szCs w:val="21"/>
              </w:rPr>
              <w:t xml:space="preserve"> </w:t>
            </w:r>
            <w:r>
              <w:rPr>
                <w:spacing w:val="-2"/>
                <w:sz w:val="21"/>
                <w:szCs w:val="21"/>
              </w:rPr>
              <w:t>放管控</w:t>
            </w:r>
          </w:p>
        </w:tc>
        <w:tc>
          <w:tcPr>
            <w:tcW w:w="3263" w:type="dxa"/>
            <w:vAlign w:val="top"/>
          </w:tcPr>
          <w:p>
            <w:pPr>
              <w:spacing w:line="272" w:lineRule="auto"/>
              <w:rPr>
                <w:rFonts w:ascii="Arial"/>
                <w:sz w:val="21"/>
              </w:rPr>
            </w:pPr>
          </w:p>
          <w:p>
            <w:pPr>
              <w:spacing w:line="273" w:lineRule="auto"/>
              <w:rPr>
                <w:rFonts w:ascii="Arial"/>
                <w:sz w:val="21"/>
              </w:rPr>
            </w:pPr>
          </w:p>
          <w:p>
            <w:pPr>
              <w:pStyle w:val="6"/>
              <w:spacing w:before="68" w:line="221" w:lineRule="auto"/>
              <w:ind w:left="117"/>
              <w:rPr>
                <w:sz w:val="21"/>
                <w:szCs w:val="21"/>
              </w:rPr>
            </w:pPr>
            <w:r>
              <w:rPr>
                <w:spacing w:val="-1"/>
                <w:sz w:val="21"/>
                <w:szCs w:val="21"/>
              </w:rPr>
              <w:t>现有源提标升级改造</w:t>
            </w:r>
          </w:p>
          <w:p>
            <w:pPr>
              <w:pStyle w:val="6"/>
              <w:spacing w:before="61" w:line="230"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1" w:line="221" w:lineRule="auto"/>
              <w:ind w:left="116"/>
              <w:rPr>
                <w:sz w:val="21"/>
                <w:szCs w:val="21"/>
              </w:rPr>
            </w:pPr>
            <w:r>
              <w:rPr>
                <w:spacing w:val="-1"/>
                <w:sz w:val="21"/>
                <w:szCs w:val="21"/>
              </w:rPr>
              <w:t>新增源等量或倍量替代</w:t>
            </w:r>
          </w:p>
          <w:p>
            <w:pPr>
              <w:pStyle w:val="6"/>
              <w:spacing w:before="61" w:line="233" w:lineRule="auto"/>
              <w:ind w:left="117" w:right="97" w:hanging="2"/>
              <w:rPr>
                <w:sz w:val="21"/>
                <w:szCs w:val="21"/>
              </w:rPr>
            </w:pPr>
            <w:r>
              <w:rPr>
                <w:spacing w:val="-1"/>
                <w:sz w:val="21"/>
                <w:szCs w:val="21"/>
              </w:rPr>
              <w:t>通川区全域属于四川省大气污染</w:t>
            </w:r>
            <w:r>
              <w:rPr>
                <w:spacing w:val="4"/>
                <w:sz w:val="21"/>
                <w:szCs w:val="21"/>
              </w:rPr>
              <w:t xml:space="preserve">  </w:t>
            </w:r>
            <w:r>
              <w:rPr>
                <w:spacing w:val="-8"/>
                <w:sz w:val="21"/>
                <w:szCs w:val="21"/>
              </w:rPr>
              <w:t>防治重点区域，执行大气污染物特</w:t>
            </w:r>
            <w:r>
              <w:rPr>
                <w:spacing w:val="11"/>
                <w:sz w:val="21"/>
                <w:szCs w:val="21"/>
              </w:rPr>
              <w:t xml:space="preserve"> </w:t>
            </w:r>
            <w:r>
              <w:rPr>
                <w:spacing w:val="-2"/>
                <w:sz w:val="21"/>
                <w:szCs w:val="21"/>
              </w:rPr>
              <w:t>别排放限值</w:t>
            </w:r>
          </w:p>
          <w:p>
            <w:pPr>
              <w:pStyle w:val="6"/>
              <w:spacing w:before="61" w:line="221" w:lineRule="auto"/>
              <w:ind w:left="116"/>
              <w:rPr>
                <w:sz w:val="21"/>
                <w:szCs w:val="21"/>
              </w:rPr>
            </w:pPr>
            <w:r>
              <w:rPr>
                <w:spacing w:val="-1"/>
                <w:sz w:val="21"/>
                <w:szCs w:val="21"/>
              </w:rPr>
              <w:t>新增源排放标准限值</w:t>
            </w:r>
          </w:p>
          <w:p>
            <w:pPr>
              <w:pStyle w:val="6"/>
              <w:spacing w:before="61" w:line="230"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2" w:line="221" w:lineRule="auto"/>
              <w:ind w:left="117"/>
              <w:rPr>
                <w:sz w:val="21"/>
                <w:szCs w:val="21"/>
              </w:rPr>
            </w:pPr>
            <w:r>
              <w:rPr>
                <w:spacing w:val="-1"/>
                <w:sz w:val="21"/>
                <w:szCs w:val="21"/>
              </w:rPr>
              <w:t>污染物排放绩效水平准入要求</w:t>
            </w:r>
          </w:p>
          <w:p>
            <w:pPr>
              <w:pStyle w:val="6"/>
              <w:spacing w:before="61" w:line="230"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0" w:line="221" w:lineRule="auto"/>
              <w:ind w:left="116"/>
              <w:rPr>
                <w:sz w:val="21"/>
                <w:szCs w:val="21"/>
              </w:rPr>
            </w:pPr>
            <w:r>
              <w:rPr>
                <w:spacing w:val="-1"/>
                <w:sz w:val="21"/>
                <w:szCs w:val="21"/>
              </w:rPr>
              <w:t>其他污染物排放管控要求</w:t>
            </w:r>
          </w:p>
        </w:tc>
        <w:tc>
          <w:tcPr>
            <w:tcW w:w="1649" w:type="dxa"/>
            <w:vAlign w:val="top"/>
          </w:tcPr>
          <w:p>
            <w:pPr>
              <w:pStyle w:val="6"/>
              <w:spacing w:before="106" w:line="239" w:lineRule="auto"/>
              <w:ind w:left="116" w:right="100" w:firstLine="87"/>
              <w:jc w:val="both"/>
              <w:rPr>
                <w:sz w:val="21"/>
                <w:szCs w:val="21"/>
              </w:rPr>
            </w:pPr>
            <w:r>
              <w:rPr>
                <w:spacing w:val="-2"/>
                <w:sz w:val="21"/>
                <w:szCs w:val="21"/>
              </w:rPr>
              <w:t>本项目废水经</w:t>
            </w:r>
            <w:r>
              <w:rPr>
                <w:spacing w:val="2"/>
                <w:sz w:val="21"/>
                <w:szCs w:val="21"/>
              </w:rPr>
              <w:t xml:space="preserve">  </w:t>
            </w:r>
            <w:r>
              <w:rPr>
                <w:spacing w:val="11"/>
                <w:sz w:val="21"/>
                <w:szCs w:val="21"/>
              </w:rPr>
              <w:t xml:space="preserve">应急池收集后 拟由罐车拉运 至四川瑞利生 物科技有限公 司处理后达标 </w:t>
            </w:r>
            <w:r>
              <w:rPr>
                <w:spacing w:val="-7"/>
                <w:sz w:val="21"/>
                <w:szCs w:val="21"/>
              </w:rPr>
              <w:t>排放，项目采用</w:t>
            </w:r>
            <w:r>
              <w:rPr>
                <w:spacing w:val="5"/>
                <w:sz w:val="21"/>
                <w:szCs w:val="21"/>
              </w:rPr>
              <w:t xml:space="preserve"> </w:t>
            </w:r>
            <w:r>
              <w:rPr>
                <w:spacing w:val="-7"/>
                <w:sz w:val="21"/>
                <w:szCs w:val="21"/>
              </w:rPr>
              <w:t>网电钻井，柴油</w:t>
            </w:r>
            <w:r>
              <w:rPr>
                <w:spacing w:val="5"/>
                <w:sz w:val="21"/>
                <w:szCs w:val="21"/>
              </w:rPr>
              <w:t xml:space="preserve"> </w:t>
            </w:r>
            <w:r>
              <w:rPr>
                <w:spacing w:val="11"/>
                <w:sz w:val="21"/>
                <w:szCs w:val="21"/>
              </w:rPr>
              <w:t xml:space="preserve">发电机使用时 </w:t>
            </w:r>
            <w:r>
              <w:rPr>
                <w:spacing w:val="-7"/>
                <w:sz w:val="21"/>
                <w:szCs w:val="21"/>
              </w:rPr>
              <w:t>间短，废气产生</w:t>
            </w:r>
            <w:r>
              <w:rPr>
                <w:spacing w:val="5"/>
                <w:sz w:val="21"/>
                <w:szCs w:val="21"/>
              </w:rPr>
              <w:t xml:space="preserve"> </w:t>
            </w:r>
            <w:r>
              <w:rPr>
                <w:spacing w:val="-7"/>
                <w:sz w:val="21"/>
                <w:szCs w:val="21"/>
              </w:rPr>
              <w:t>量较小，放喷废</w:t>
            </w:r>
            <w:r>
              <w:rPr>
                <w:spacing w:val="5"/>
                <w:sz w:val="21"/>
                <w:szCs w:val="21"/>
              </w:rPr>
              <w:t xml:space="preserve"> </w:t>
            </w:r>
            <w:r>
              <w:rPr>
                <w:spacing w:val="-7"/>
                <w:sz w:val="21"/>
                <w:szCs w:val="21"/>
              </w:rPr>
              <w:t>气排放量小，对</w:t>
            </w:r>
            <w:r>
              <w:rPr>
                <w:spacing w:val="5"/>
                <w:sz w:val="21"/>
                <w:szCs w:val="21"/>
              </w:rPr>
              <w:t xml:space="preserve"> </w:t>
            </w:r>
            <w:r>
              <w:rPr>
                <w:spacing w:val="11"/>
                <w:sz w:val="21"/>
                <w:szCs w:val="21"/>
              </w:rPr>
              <w:t xml:space="preserve">外环境影响较 </w:t>
            </w:r>
            <w:r>
              <w:rPr>
                <w:spacing w:val="-8"/>
                <w:sz w:val="21"/>
                <w:szCs w:val="21"/>
              </w:rPr>
              <w:t>小，</w:t>
            </w:r>
            <w:r>
              <w:rPr>
                <w:spacing w:val="23"/>
                <w:sz w:val="21"/>
                <w:szCs w:val="21"/>
              </w:rPr>
              <w:t xml:space="preserve"> </w:t>
            </w:r>
            <w:r>
              <w:rPr>
                <w:spacing w:val="-8"/>
                <w:sz w:val="21"/>
                <w:szCs w:val="21"/>
              </w:rPr>
              <w:t>岩屑按照</w:t>
            </w:r>
            <w:r>
              <w:rPr>
                <w:sz w:val="21"/>
                <w:szCs w:val="21"/>
              </w:rPr>
              <w:t xml:space="preserve">  </w:t>
            </w:r>
            <w:r>
              <w:rPr>
                <w:spacing w:val="11"/>
                <w:sz w:val="21"/>
                <w:szCs w:val="21"/>
              </w:rPr>
              <w:t xml:space="preserve">《达州市生态 环境局办公室 关于进一步加 强固体废物污 </w:t>
            </w:r>
            <w:r>
              <w:rPr>
                <w:spacing w:val="13"/>
                <w:sz w:val="21"/>
                <w:szCs w:val="21"/>
              </w:rPr>
              <w:t>染防治工作的</w:t>
            </w:r>
          </w:p>
        </w:tc>
        <w:tc>
          <w:tcPr>
            <w:tcW w:w="72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1" w:lineRule="auto"/>
              <w:ind w:left="152"/>
              <w:rPr>
                <w:sz w:val="21"/>
                <w:szCs w:val="21"/>
              </w:rPr>
            </w:pPr>
            <w:r>
              <w:rPr>
                <w:spacing w:val="-2"/>
                <w:sz w:val="21"/>
                <w:szCs w:val="21"/>
              </w:rPr>
              <w:t>符合</w:t>
            </w:r>
          </w:p>
        </w:tc>
      </w:tr>
    </w:tbl>
    <w:p>
      <w:pPr>
        <w:pStyle w:val="2"/>
        <w:rPr>
          <w:sz w:val="21"/>
        </w:rPr>
      </w:pPr>
    </w:p>
    <w:p>
      <w:pPr>
        <w:rPr>
          <w:sz w:val="21"/>
          <w:szCs w:val="21"/>
        </w:rPr>
        <w:sectPr>
          <w:footerReference r:id="rId13" w:type="default"/>
          <w:pgSz w:w="16839" w:h="11907"/>
          <w:pgMar w:top="400" w:right="1411" w:bottom="1178" w:left="1396"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4"/>
        <w:gridCol w:w="1149"/>
        <w:gridCol w:w="4489"/>
        <w:gridCol w:w="1135"/>
        <w:gridCol w:w="326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1" w:hRule="atLeast"/>
        </w:trPr>
        <w:tc>
          <w:tcPr>
            <w:tcW w:w="468" w:type="dxa"/>
            <w:vAlign w:val="top"/>
          </w:tcPr>
          <w:p>
            <w:pPr>
              <w:rPr>
                <w:rFonts w:ascii="Arial"/>
                <w:sz w:val="21"/>
              </w:rPr>
            </w:pPr>
          </w:p>
        </w:tc>
        <w:tc>
          <w:tcPr>
            <w:tcW w:w="1144" w:type="dxa"/>
            <w:vAlign w:val="top"/>
          </w:tcPr>
          <w:p>
            <w:pPr>
              <w:rPr>
                <w:rFonts w:ascii="Arial"/>
                <w:sz w:val="21"/>
              </w:rPr>
            </w:pPr>
          </w:p>
        </w:tc>
        <w:tc>
          <w:tcPr>
            <w:tcW w:w="1149" w:type="dxa"/>
            <w:vAlign w:val="top"/>
          </w:tcPr>
          <w:p>
            <w:pPr>
              <w:rPr>
                <w:rFonts w:ascii="Arial"/>
                <w:sz w:val="21"/>
              </w:rPr>
            </w:pPr>
          </w:p>
        </w:tc>
        <w:tc>
          <w:tcPr>
            <w:tcW w:w="4489" w:type="dxa"/>
            <w:vAlign w:val="top"/>
          </w:tcPr>
          <w:p>
            <w:pPr>
              <w:pStyle w:val="6"/>
              <w:spacing w:before="61" w:line="236" w:lineRule="auto"/>
              <w:ind w:left="113" w:right="173" w:firstLine="6"/>
              <w:jc w:val="both"/>
              <w:rPr>
                <w:sz w:val="21"/>
                <w:szCs w:val="21"/>
              </w:rPr>
            </w:pPr>
            <w:r>
              <w:rPr>
                <w:spacing w:val="-5"/>
                <w:sz w:val="21"/>
                <w:szCs w:val="21"/>
              </w:rPr>
              <w:t>空气质量年平均浓度不达标的城市，</w:t>
            </w:r>
            <w:r>
              <w:rPr>
                <w:spacing w:val="-16"/>
                <w:sz w:val="21"/>
                <w:szCs w:val="21"/>
              </w:rPr>
              <w:t xml:space="preserve"> </w:t>
            </w:r>
            <w:r>
              <w:rPr>
                <w:spacing w:val="-5"/>
                <w:sz w:val="21"/>
                <w:szCs w:val="21"/>
              </w:rPr>
              <w:t>建设项目</w:t>
            </w:r>
            <w:r>
              <w:rPr>
                <w:sz w:val="21"/>
                <w:szCs w:val="21"/>
              </w:rPr>
              <w:t xml:space="preserve"> </w:t>
            </w:r>
            <w:r>
              <w:rPr>
                <w:spacing w:val="-1"/>
                <w:sz w:val="21"/>
                <w:szCs w:val="21"/>
              </w:rPr>
              <w:t>新增相关污染物按照总量管控要求进行倍量削</w:t>
            </w:r>
            <w:r>
              <w:rPr>
                <w:spacing w:val="16"/>
                <w:sz w:val="21"/>
                <w:szCs w:val="21"/>
              </w:rPr>
              <w:t xml:space="preserve"> </w:t>
            </w:r>
            <w:r>
              <w:rPr>
                <w:spacing w:val="-1"/>
                <w:sz w:val="21"/>
                <w:szCs w:val="21"/>
              </w:rPr>
              <w:t>减替代。大气环境重点管控区内，新增大气污</w:t>
            </w:r>
            <w:r>
              <w:rPr>
                <w:spacing w:val="16"/>
                <w:sz w:val="21"/>
                <w:szCs w:val="21"/>
              </w:rPr>
              <w:t xml:space="preserve"> </w:t>
            </w:r>
            <w:r>
              <w:rPr>
                <w:spacing w:val="-1"/>
                <w:sz w:val="21"/>
                <w:szCs w:val="21"/>
              </w:rPr>
              <w:t>染物排放的建设项目实施总量削减替代。污染</w:t>
            </w:r>
            <w:r>
              <w:rPr>
                <w:spacing w:val="16"/>
                <w:sz w:val="21"/>
                <w:szCs w:val="21"/>
              </w:rPr>
              <w:t xml:space="preserve"> </w:t>
            </w:r>
            <w:r>
              <w:rPr>
                <w:spacing w:val="-1"/>
                <w:sz w:val="21"/>
                <w:szCs w:val="21"/>
              </w:rPr>
              <w:t>物排放绩效水平准入要求：屠宰项目必须配套</w:t>
            </w:r>
            <w:r>
              <w:rPr>
                <w:spacing w:val="16"/>
                <w:sz w:val="21"/>
                <w:szCs w:val="21"/>
              </w:rPr>
              <w:t xml:space="preserve"> </w:t>
            </w:r>
            <w:r>
              <w:rPr>
                <w:spacing w:val="-2"/>
                <w:sz w:val="21"/>
                <w:szCs w:val="21"/>
              </w:rPr>
              <w:t>污水处理设施或进入城市污水管网。</w:t>
            </w:r>
          </w:p>
          <w:p>
            <w:pPr>
              <w:pStyle w:val="6"/>
              <w:spacing w:before="60" w:line="231" w:lineRule="auto"/>
              <w:ind w:left="115" w:right="173"/>
              <w:rPr>
                <w:sz w:val="21"/>
                <w:szCs w:val="21"/>
              </w:rPr>
            </w:pPr>
            <w:r>
              <w:rPr>
                <w:spacing w:val="-1"/>
                <w:sz w:val="21"/>
                <w:szCs w:val="21"/>
              </w:rPr>
              <w:t>大气环境重点管控区内加强“高架源”污染治</w:t>
            </w:r>
            <w:r>
              <w:rPr>
                <w:spacing w:val="13"/>
                <w:sz w:val="21"/>
                <w:szCs w:val="21"/>
              </w:rPr>
              <w:t xml:space="preserve"> </w:t>
            </w:r>
            <w:r>
              <w:rPr>
                <w:spacing w:val="-6"/>
                <w:sz w:val="21"/>
                <w:szCs w:val="21"/>
              </w:rPr>
              <w:t>理，深化施工扬尘监管，</w:t>
            </w:r>
            <w:r>
              <w:rPr>
                <w:spacing w:val="-8"/>
                <w:sz w:val="21"/>
                <w:szCs w:val="21"/>
              </w:rPr>
              <w:t xml:space="preserve"> </w:t>
            </w:r>
            <w:r>
              <w:rPr>
                <w:spacing w:val="-6"/>
                <w:sz w:val="21"/>
                <w:szCs w:val="21"/>
              </w:rPr>
              <w:t>严格落实“六必须、</w:t>
            </w:r>
          </w:p>
          <w:p>
            <w:pPr>
              <w:pStyle w:val="6"/>
              <w:spacing w:before="20" w:line="235" w:lineRule="auto"/>
              <w:ind w:left="112" w:right="29" w:firstLine="2"/>
              <w:rPr>
                <w:sz w:val="21"/>
                <w:szCs w:val="21"/>
              </w:rPr>
            </w:pPr>
            <w:r>
              <w:rPr>
                <w:spacing w:val="-10"/>
                <w:sz w:val="21"/>
                <w:szCs w:val="21"/>
              </w:rPr>
              <w:t>六不准”管控要求， 强化道路施工管控，</w:t>
            </w:r>
            <w:r>
              <w:rPr>
                <w:spacing w:val="-6"/>
                <w:sz w:val="21"/>
                <w:szCs w:val="21"/>
              </w:rPr>
              <w:t xml:space="preserve"> </w:t>
            </w:r>
            <w:r>
              <w:rPr>
                <w:spacing w:val="-10"/>
                <w:sz w:val="21"/>
                <w:szCs w:val="21"/>
              </w:rPr>
              <w:t>提高</w:t>
            </w:r>
            <w:r>
              <w:rPr>
                <w:sz w:val="21"/>
                <w:szCs w:val="21"/>
              </w:rPr>
              <w:t xml:space="preserve">  </w:t>
            </w:r>
            <w:r>
              <w:rPr>
                <w:spacing w:val="-4"/>
                <w:sz w:val="21"/>
                <w:szCs w:val="21"/>
              </w:rPr>
              <w:t>道路清扫机械化和精细化作业水平。</w:t>
            </w:r>
            <w:r>
              <w:rPr>
                <w:spacing w:val="-23"/>
                <w:sz w:val="21"/>
                <w:szCs w:val="21"/>
              </w:rPr>
              <w:t xml:space="preserve"> </w:t>
            </w:r>
            <w:r>
              <w:rPr>
                <w:rFonts w:ascii="Times New Roman" w:hAnsi="Times New Roman" w:eastAsia="Times New Roman" w:cs="Times New Roman"/>
                <w:spacing w:val="-4"/>
                <w:sz w:val="21"/>
                <w:szCs w:val="21"/>
              </w:rPr>
              <w:t>-</w:t>
            </w:r>
            <w:r>
              <w:rPr>
                <w:spacing w:val="-4"/>
                <w:sz w:val="21"/>
                <w:szCs w:val="21"/>
              </w:rPr>
              <w:t>至</w:t>
            </w:r>
            <w:r>
              <w:rPr>
                <w:rFonts w:ascii="Times New Roman" w:hAnsi="Times New Roman" w:eastAsia="Times New Roman" w:cs="Times New Roman"/>
                <w:spacing w:val="-4"/>
                <w:sz w:val="21"/>
                <w:szCs w:val="21"/>
              </w:rPr>
              <w:t>2022</w:t>
            </w:r>
            <w:r>
              <w:rPr>
                <w:spacing w:val="-4"/>
                <w:sz w:val="21"/>
                <w:szCs w:val="21"/>
              </w:rPr>
              <w:t xml:space="preserve">年 </w:t>
            </w:r>
            <w:r>
              <w:rPr>
                <w:spacing w:val="-5"/>
                <w:sz w:val="21"/>
                <w:szCs w:val="21"/>
              </w:rPr>
              <w:t>底，基本实现乡镇污水处理设施全覆盖，</w:t>
            </w:r>
            <w:r>
              <w:rPr>
                <w:spacing w:val="-8"/>
                <w:sz w:val="21"/>
                <w:szCs w:val="21"/>
              </w:rPr>
              <w:t xml:space="preserve"> </w:t>
            </w:r>
            <w:r>
              <w:rPr>
                <w:spacing w:val="-5"/>
                <w:sz w:val="21"/>
                <w:szCs w:val="21"/>
              </w:rPr>
              <w:t>配套</w:t>
            </w:r>
            <w:r>
              <w:rPr>
                <w:sz w:val="21"/>
                <w:szCs w:val="21"/>
              </w:rPr>
              <w:t xml:space="preserve">  </w:t>
            </w:r>
            <w:r>
              <w:rPr>
                <w:spacing w:val="-6"/>
                <w:sz w:val="21"/>
                <w:szCs w:val="21"/>
              </w:rPr>
              <w:t>建设污水收集管网， 乡镇污水处理率达到</w:t>
            </w:r>
            <w:r>
              <w:rPr>
                <w:rFonts w:ascii="Times New Roman" w:hAnsi="Times New Roman" w:eastAsia="Times New Roman" w:cs="Times New Roman"/>
                <w:spacing w:val="-6"/>
                <w:sz w:val="21"/>
                <w:szCs w:val="21"/>
              </w:rPr>
              <w:t>65%</w:t>
            </w:r>
            <w:r>
              <w:rPr>
                <w:spacing w:val="-6"/>
                <w:sz w:val="21"/>
                <w:szCs w:val="21"/>
              </w:rPr>
              <w:t>。</w:t>
            </w:r>
          </w:p>
          <w:p>
            <w:pPr>
              <w:pStyle w:val="6"/>
              <w:spacing w:before="62" w:line="234" w:lineRule="auto"/>
              <w:ind w:left="113" w:right="99"/>
              <w:rPr>
                <w:sz w:val="21"/>
                <w:szCs w:val="21"/>
              </w:rPr>
            </w:pPr>
            <w:r>
              <w:rPr>
                <w:rFonts w:ascii="Times New Roman" w:hAnsi="Times New Roman" w:eastAsia="Times New Roman" w:cs="Times New Roman"/>
                <w:spacing w:val="-1"/>
                <w:sz w:val="21"/>
                <w:szCs w:val="21"/>
              </w:rPr>
              <w:t>-</w:t>
            </w:r>
            <w:r>
              <w:rPr>
                <w:spacing w:val="-1"/>
                <w:sz w:val="21"/>
                <w:szCs w:val="21"/>
              </w:rPr>
              <w:t>到</w:t>
            </w:r>
            <w:r>
              <w:rPr>
                <w:rFonts w:ascii="Times New Roman" w:hAnsi="Times New Roman" w:eastAsia="Times New Roman" w:cs="Times New Roman"/>
                <w:spacing w:val="-1"/>
                <w:sz w:val="21"/>
                <w:szCs w:val="21"/>
              </w:rPr>
              <w:t>2023</w:t>
            </w:r>
            <w:r>
              <w:rPr>
                <w:spacing w:val="-1"/>
                <w:sz w:val="21"/>
                <w:szCs w:val="21"/>
              </w:rPr>
              <w:t>年底，力争全市生活垃圾焚烧处理能力</w:t>
            </w:r>
            <w:r>
              <w:rPr>
                <w:spacing w:val="18"/>
                <w:sz w:val="21"/>
                <w:szCs w:val="21"/>
              </w:rPr>
              <w:t xml:space="preserve"> </w:t>
            </w:r>
            <w:r>
              <w:rPr>
                <w:spacing w:val="-9"/>
                <w:sz w:val="21"/>
                <w:szCs w:val="21"/>
              </w:rPr>
              <w:t>占比达</w:t>
            </w:r>
            <w:r>
              <w:rPr>
                <w:rFonts w:ascii="Times New Roman" w:hAnsi="Times New Roman" w:eastAsia="Times New Roman" w:cs="Times New Roman"/>
                <w:spacing w:val="-9"/>
                <w:sz w:val="21"/>
                <w:szCs w:val="21"/>
              </w:rPr>
              <w:t>60%</w:t>
            </w:r>
            <w:r>
              <w:rPr>
                <w:spacing w:val="-9"/>
                <w:sz w:val="21"/>
                <w:szCs w:val="21"/>
              </w:rPr>
              <w:t>以上，</w:t>
            </w:r>
            <w:r>
              <w:rPr>
                <w:spacing w:val="-12"/>
                <w:sz w:val="21"/>
                <w:szCs w:val="21"/>
              </w:rPr>
              <w:t xml:space="preserve"> </w:t>
            </w:r>
            <w:r>
              <w:rPr>
                <w:spacing w:val="-9"/>
                <w:sz w:val="21"/>
                <w:szCs w:val="21"/>
              </w:rPr>
              <w:t>各县（市）生活垃圾无害化处</w:t>
            </w:r>
            <w:r>
              <w:rPr>
                <w:sz w:val="21"/>
                <w:szCs w:val="21"/>
              </w:rPr>
              <w:t xml:space="preserve"> </w:t>
            </w:r>
            <w:r>
              <w:rPr>
                <w:spacing w:val="-5"/>
                <w:sz w:val="21"/>
                <w:szCs w:val="21"/>
              </w:rPr>
              <w:t>理率保持</w:t>
            </w:r>
            <w:r>
              <w:rPr>
                <w:rFonts w:ascii="Times New Roman" w:hAnsi="Times New Roman" w:eastAsia="Times New Roman" w:cs="Times New Roman"/>
                <w:spacing w:val="-5"/>
                <w:sz w:val="21"/>
                <w:szCs w:val="21"/>
              </w:rPr>
              <w:t>95%</w:t>
            </w:r>
            <w:r>
              <w:rPr>
                <w:spacing w:val="-5"/>
                <w:sz w:val="21"/>
                <w:szCs w:val="21"/>
              </w:rPr>
              <w:t>以上，乡镇及行政村生活垃圾收转</w:t>
            </w:r>
            <w:r>
              <w:rPr>
                <w:spacing w:val="5"/>
                <w:sz w:val="21"/>
                <w:szCs w:val="21"/>
              </w:rPr>
              <w:t xml:space="preserve"> </w:t>
            </w:r>
            <w:r>
              <w:rPr>
                <w:spacing w:val="-2"/>
                <w:sz w:val="21"/>
                <w:szCs w:val="21"/>
              </w:rPr>
              <w:t>运处置体系基本实现全覆盖。</w:t>
            </w:r>
          </w:p>
          <w:p>
            <w:pPr>
              <w:pStyle w:val="6"/>
              <w:spacing w:before="63" w:line="233" w:lineRule="auto"/>
              <w:ind w:left="112" w:right="148" w:firstLine="1"/>
              <w:rPr>
                <w:sz w:val="21"/>
                <w:szCs w:val="21"/>
              </w:rPr>
            </w:pPr>
            <w:r>
              <w:rPr>
                <w:rFonts w:ascii="Times New Roman" w:hAnsi="Times New Roman" w:eastAsia="Times New Roman" w:cs="Times New Roman"/>
                <w:spacing w:val="-4"/>
                <w:sz w:val="21"/>
                <w:szCs w:val="21"/>
              </w:rPr>
              <w:t>-</w:t>
            </w:r>
            <w:r>
              <w:rPr>
                <w:spacing w:val="-4"/>
                <w:sz w:val="21"/>
                <w:szCs w:val="21"/>
              </w:rPr>
              <w:t>到</w:t>
            </w:r>
            <w:r>
              <w:rPr>
                <w:rFonts w:ascii="Times New Roman" w:hAnsi="Times New Roman" w:eastAsia="Times New Roman" w:cs="Times New Roman"/>
                <w:spacing w:val="-4"/>
                <w:sz w:val="21"/>
                <w:szCs w:val="21"/>
              </w:rPr>
              <w:t>2025</w:t>
            </w:r>
            <w:r>
              <w:rPr>
                <w:spacing w:val="-4"/>
                <w:sz w:val="21"/>
                <w:szCs w:val="21"/>
              </w:rPr>
              <w:t>年，</w:t>
            </w:r>
            <w:r>
              <w:rPr>
                <w:spacing w:val="-23"/>
                <w:sz w:val="21"/>
                <w:szCs w:val="21"/>
              </w:rPr>
              <w:t xml:space="preserve"> </w:t>
            </w:r>
            <w:r>
              <w:rPr>
                <w:spacing w:val="-4"/>
                <w:sz w:val="21"/>
                <w:szCs w:val="21"/>
              </w:rPr>
              <w:t>农药包装废弃物回收率达</w:t>
            </w:r>
            <w:r>
              <w:rPr>
                <w:rFonts w:ascii="Times New Roman" w:hAnsi="Times New Roman" w:eastAsia="Times New Roman" w:cs="Times New Roman"/>
                <w:spacing w:val="-4"/>
                <w:sz w:val="21"/>
                <w:szCs w:val="21"/>
              </w:rPr>
              <w:t>80%</w:t>
            </w:r>
            <w:r>
              <w:rPr>
                <w:spacing w:val="-4"/>
                <w:sz w:val="21"/>
                <w:szCs w:val="21"/>
              </w:rPr>
              <w:t>；粮</w:t>
            </w:r>
            <w:r>
              <w:rPr>
                <w:sz w:val="21"/>
                <w:szCs w:val="21"/>
              </w:rPr>
              <w:t xml:space="preserve"> </w:t>
            </w:r>
            <w:r>
              <w:rPr>
                <w:spacing w:val="-1"/>
                <w:sz w:val="21"/>
                <w:szCs w:val="21"/>
              </w:rPr>
              <w:t>油绿色高质高效示范区、茶叶主产区和现代农</w:t>
            </w:r>
            <w:r>
              <w:rPr>
                <w:spacing w:val="17"/>
                <w:sz w:val="21"/>
                <w:szCs w:val="21"/>
              </w:rPr>
              <w:t xml:space="preserve"> </w:t>
            </w:r>
            <w:r>
              <w:rPr>
                <w:spacing w:val="-1"/>
                <w:sz w:val="21"/>
                <w:szCs w:val="21"/>
              </w:rPr>
              <w:t>业园区农药包装废弃物回收率</w:t>
            </w:r>
            <w:r>
              <w:rPr>
                <w:rFonts w:ascii="Times New Roman" w:hAnsi="Times New Roman" w:eastAsia="Times New Roman" w:cs="Times New Roman"/>
                <w:spacing w:val="-1"/>
                <w:sz w:val="21"/>
                <w:szCs w:val="21"/>
              </w:rPr>
              <w:t>100%</w:t>
            </w:r>
            <w:r>
              <w:rPr>
                <w:spacing w:val="-1"/>
                <w:sz w:val="21"/>
                <w:szCs w:val="21"/>
              </w:rPr>
              <w:t>。</w:t>
            </w:r>
          </w:p>
          <w:p>
            <w:pPr>
              <w:pStyle w:val="6"/>
              <w:spacing w:before="65" w:line="234" w:lineRule="auto"/>
              <w:ind w:left="112" w:right="99" w:firstLine="1"/>
              <w:rPr>
                <w:sz w:val="21"/>
                <w:szCs w:val="21"/>
              </w:rPr>
            </w:pPr>
            <w:r>
              <w:rPr>
                <w:rFonts w:ascii="Times New Roman" w:hAnsi="Times New Roman" w:eastAsia="Times New Roman" w:cs="Times New Roman"/>
                <w:spacing w:val="-4"/>
                <w:sz w:val="21"/>
                <w:szCs w:val="21"/>
              </w:rPr>
              <w:t>-</w:t>
            </w:r>
            <w:r>
              <w:rPr>
                <w:spacing w:val="-4"/>
                <w:sz w:val="21"/>
                <w:szCs w:val="21"/>
              </w:rPr>
              <w:t>到</w:t>
            </w:r>
            <w:r>
              <w:rPr>
                <w:rFonts w:ascii="Times New Roman" w:hAnsi="Times New Roman" w:eastAsia="Times New Roman" w:cs="Times New Roman"/>
                <w:spacing w:val="-4"/>
                <w:sz w:val="21"/>
                <w:szCs w:val="21"/>
              </w:rPr>
              <w:t>2025</w:t>
            </w:r>
            <w:r>
              <w:rPr>
                <w:spacing w:val="-4"/>
                <w:sz w:val="21"/>
                <w:szCs w:val="21"/>
              </w:rPr>
              <w:t>年，</w:t>
            </w:r>
            <w:r>
              <w:rPr>
                <w:spacing w:val="-18"/>
                <w:sz w:val="21"/>
                <w:szCs w:val="21"/>
              </w:rPr>
              <w:t xml:space="preserve"> </w:t>
            </w:r>
            <w:r>
              <w:rPr>
                <w:spacing w:val="-4"/>
                <w:sz w:val="21"/>
                <w:szCs w:val="21"/>
              </w:rPr>
              <w:t>全国主要农作物化肥、农药利用率</w:t>
            </w:r>
            <w:r>
              <w:rPr>
                <w:sz w:val="21"/>
                <w:szCs w:val="21"/>
              </w:rPr>
              <w:t xml:space="preserve"> </w:t>
            </w:r>
            <w:r>
              <w:rPr>
                <w:spacing w:val="-1"/>
                <w:sz w:val="21"/>
                <w:szCs w:val="21"/>
              </w:rPr>
              <w:t>达</w:t>
            </w:r>
            <w:r>
              <w:rPr>
                <w:rFonts w:ascii="Times New Roman" w:hAnsi="Times New Roman" w:eastAsia="Times New Roman" w:cs="Times New Roman"/>
                <w:spacing w:val="-1"/>
                <w:sz w:val="21"/>
                <w:szCs w:val="21"/>
              </w:rPr>
              <w:t>43%</w:t>
            </w:r>
            <w:r>
              <w:rPr>
                <w:spacing w:val="-1"/>
                <w:sz w:val="21"/>
                <w:szCs w:val="21"/>
              </w:rPr>
              <w:t>，测土配方施肥技术推广覆盖率保持在</w:t>
            </w:r>
            <w:r>
              <w:rPr>
                <w:spacing w:val="8"/>
                <w:sz w:val="21"/>
                <w:szCs w:val="21"/>
              </w:rPr>
              <w:t xml:space="preserve">  </w:t>
            </w:r>
            <w:r>
              <w:rPr>
                <w:rFonts w:ascii="Times New Roman" w:hAnsi="Times New Roman" w:eastAsia="Times New Roman" w:cs="Times New Roman"/>
                <w:spacing w:val="-5"/>
                <w:sz w:val="21"/>
                <w:szCs w:val="21"/>
              </w:rPr>
              <w:t>90%</w:t>
            </w:r>
            <w:r>
              <w:rPr>
                <w:spacing w:val="-5"/>
                <w:sz w:val="21"/>
                <w:szCs w:val="21"/>
              </w:rPr>
              <w:t>以上，控制农村面源污染，采取灌排分离等</w:t>
            </w:r>
            <w:r>
              <w:rPr>
                <w:spacing w:val="6"/>
                <w:sz w:val="21"/>
                <w:szCs w:val="21"/>
              </w:rPr>
              <w:t xml:space="preserve"> </w:t>
            </w:r>
            <w:r>
              <w:rPr>
                <w:spacing w:val="-2"/>
                <w:sz w:val="21"/>
                <w:szCs w:val="21"/>
              </w:rPr>
              <w:t>措施控制农田氮磷流失。</w:t>
            </w:r>
          </w:p>
          <w:p>
            <w:pPr>
              <w:pStyle w:val="6"/>
              <w:spacing w:before="60" w:line="231" w:lineRule="auto"/>
              <w:ind w:left="128" w:right="121" w:hanging="15"/>
              <w:rPr>
                <w:sz w:val="21"/>
                <w:szCs w:val="21"/>
              </w:rPr>
            </w:pPr>
            <w:r>
              <w:rPr>
                <w:rFonts w:ascii="Times New Roman" w:hAnsi="Times New Roman" w:eastAsia="Times New Roman" w:cs="Times New Roman"/>
                <w:spacing w:val="-5"/>
                <w:sz w:val="21"/>
                <w:szCs w:val="21"/>
              </w:rPr>
              <w:t>-</w:t>
            </w:r>
            <w:r>
              <w:rPr>
                <w:spacing w:val="-5"/>
                <w:sz w:val="21"/>
                <w:szCs w:val="21"/>
              </w:rPr>
              <w:t>到</w:t>
            </w:r>
            <w:r>
              <w:rPr>
                <w:rFonts w:ascii="Times New Roman" w:hAnsi="Times New Roman" w:eastAsia="Times New Roman" w:cs="Times New Roman"/>
                <w:spacing w:val="-5"/>
                <w:sz w:val="21"/>
                <w:szCs w:val="21"/>
              </w:rPr>
              <w:t>2025</w:t>
            </w:r>
            <w:r>
              <w:rPr>
                <w:spacing w:val="-5"/>
                <w:sz w:val="21"/>
                <w:szCs w:val="21"/>
              </w:rPr>
              <w:t>年，</w:t>
            </w:r>
            <w:r>
              <w:rPr>
                <w:spacing w:val="-12"/>
                <w:sz w:val="21"/>
                <w:szCs w:val="21"/>
              </w:rPr>
              <w:t xml:space="preserve"> </w:t>
            </w:r>
            <w:r>
              <w:rPr>
                <w:spacing w:val="-5"/>
                <w:sz w:val="21"/>
                <w:szCs w:val="21"/>
              </w:rPr>
              <w:t>新、改扩建规模化畜禽养殖场（小</w:t>
            </w:r>
            <w:r>
              <w:rPr>
                <w:sz w:val="21"/>
                <w:szCs w:val="21"/>
              </w:rPr>
              <w:t xml:space="preserve"> </w:t>
            </w:r>
            <w:r>
              <w:rPr>
                <w:spacing w:val="-3"/>
                <w:sz w:val="21"/>
                <w:szCs w:val="21"/>
              </w:rPr>
              <w:t>区）要实施雨污分流、粪便污水资源化利用；</w:t>
            </w:r>
          </w:p>
          <w:p>
            <w:pPr>
              <w:pStyle w:val="6"/>
              <w:spacing w:before="23" w:line="236" w:lineRule="auto"/>
              <w:ind w:left="112" w:right="101" w:firstLine="1"/>
              <w:rPr>
                <w:sz w:val="21"/>
                <w:szCs w:val="21"/>
              </w:rPr>
            </w:pPr>
            <w:r>
              <w:rPr>
                <w:spacing w:val="-1"/>
                <w:sz w:val="21"/>
                <w:szCs w:val="21"/>
              </w:rPr>
              <w:t xml:space="preserve">规模化畜禽养殖场（小区）粪污处理设施装备 </w:t>
            </w:r>
            <w:r>
              <w:rPr>
                <w:spacing w:val="-3"/>
                <w:sz w:val="21"/>
                <w:szCs w:val="21"/>
              </w:rPr>
              <w:t>配套率达到</w:t>
            </w:r>
            <w:r>
              <w:rPr>
                <w:rFonts w:ascii="Times New Roman" w:hAnsi="Times New Roman" w:eastAsia="Times New Roman" w:cs="Times New Roman"/>
                <w:spacing w:val="-3"/>
                <w:sz w:val="21"/>
                <w:szCs w:val="21"/>
              </w:rPr>
              <w:t>95%</w:t>
            </w:r>
            <w:r>
              <w:rPr>
                <w:spacing w:val="-3"/>
                <w:sz w:val="21"/>
                <w:szCs w:val="21"/>
              </w:rPr>
              <w:t>以上，粪污综合利用率达到</w:t>
            </w:r>
            <w:r>
              <w:rPr>
                <w:rFonts w:ascii="Times New Roman" w:hAnsi="Times New Roman" w:eastAsia="Times New Roman" w:cs="Times New Roman"/>
                <w:spacing w:val="-3"/>
                <w:sz w:val="21"/>
                <w:szCs w:val="21"/>
              </w:rPr>
              <w:t>8</w:t>
            </w:r>
            <w:r>
              <w:rPr>
                <w:rFonts w:ascii="Times New Roman" w:hAnsi="Times New Roman" w:eastAsia="Times New Roman" w:cs="Times New Roman"/>
                <w:spacing w:val="-4"/>
                <w:sz w:val="21"/>
                <w:szCs w:val="21"/>
              </w:rPr>
              <w:t>0%</w:t>
            </w:r>
            <w:r>
              <w:rPr>
                <w:rFonts w:ascii="Times New Roman" w:hAnsi="Times New Roman" w:eastAsia="Times New Roman" w:cs="Times New Roman"/>
                <w:sz w:val="21"/>
                <w:szCs w:val="21"/>
              </w:rPr>
              <w:t xml:space="preserve"> </w:t>
            </w:r>
            <w:r>
              <w:rPr>
                <w:spacing w:val="-6"/>
                <w:sz w:val="21"/>
                <w:szCs w:val="21"/>
              </w:rPr>
              <w:t xml:space="preserve">以上， 大型规模养殖场粪污处理设施装备配套 </w:t>
            </w:r>
            <w:r>
              <w:rPr>
                <w:spacing w:val="-3"/>
                <w:sz w:val="21"/>
                <w:szCs w:val="21"/>
              </w:rPr>
              <w:t>率达到</w:t>
            </w:r>
            <w:r>
              <w:rPr>
                <w:rFonts w:ascii="Times New Roman" w:hAnsi="Times New Roman" w:eastAsia="Times New Roman" w:cs="Times New Roman"/>
                <w:spacing w:val="-3"/>
                <w:sz w:val="21"/>
                <w:szCs w:val="21"/>
              </w:rPr>
              <w:t>100%</w:t>
            </w:r>
            <w:r>
              <w:rPr>
                <w:spacing w:val="-3"/>
                <w:sz w:val="21"/>
                <w:szCs w:val="21"/>
              </w:rPr>
              <w:t>，畜禽粪污基本实现资源化利用；</w:t>
            </w:r>
            <w:r>
              <w:rPr>
                <w:spacing w:val="12"/>
                <w:sz w:val="21"/>
                <w:szCs w:val="21"/>
              </w:rPr>
              <w:t xml:space="preserve"> </w:t>
            </w:r>
            <w:r>
              <w:rPr>
                <w:spacing w:val="-1"/>
                <w:sz w:val="21"/>
                <w:szCs w:val="21"/>
              </w:rPr>
              <w:t>散养密集区要实行畜禽粪便污水分户收集、集 中处理利用。</w:t>
            </w:r>
          </w:p>
          <w:p>
            <w:pPr>
              <w:pStyle w:val="6"/>
              <w:spacing w:before="62" w:line="221" w:lineRule="auto"/>
              <w:ind w:right="14"/>
              <w:jc w:val="right"/>
              <w:rPr>
                <w:sz w:val="21"/>
                <w:szCs w:val="21"/>
              </w:rPr>
            </w:pPr>
            <w:r>
              <w:rPr>
                <w:rFonts w:ascii="Times New Roman" w:hAnsi="Times New Roman" w:eastAsia="Times New Roman" w:cs="Times New Roman"/>
                <w:spacing w:val="-4"/>
                <w:sz w:val="21"/>
                <w:szCs w:val="21"/>
              </w:rPr>
              <w:t>-</w:t>
            </w:r>
            <w:r>
              <w:rPr>
                <w:spacing w:val="-4"/>
                <w:sz w:val="21"/>
                <w:szCs w:val="21"/>
              </w:rPr>
              <w:t>到</w:t>
            </w:r>
            <w:r>
              <w:rPr>
                <w:rFonts w:ascii="Times New Roman" w:hAnsi="Times New Roman" w:eastAsia="Times New Roman" w:cs="Times New Roman"/>
                <w:spacing w:val="-4"/>
                <w:sz w:val="21"/>
                <w:szCs w:val="21"/>
              </w:rPr>
              <w:t>2025</w:t>
            </w:r>
            <w:r>
              <w:rPr>
                <w:spacing w:val="-4"/>
                <w:sz w:val="21"/>
                <w:szCs w:val="21"/>
              </w:rPr>
              <w:t>年，废旧农膜回收利用率达到</w:t>
            </w:r>
            <w:r>
              <w:rPr>
                <w:rFonts w:ascii="Times New Roman" w:hAnsi="Times New Roman" w:eastAsia="Times New Roman" w:cs="Times New Roman"/>
                <w:spacing w:val="-4"/>
                <w:sz w:val="21"/>
                <w:szCs w:val="21"/>
              </w:rPr>
              <w:t>85%</w:t>
            </w:r>
            <w:r>
              <w:rPr>
                <w:spacing w:val="-4"/>
                <w:sz w:val="21"/>
                <w:szCs w:val="21"/>
              </w:rPr>
              <w:t>以上。</w:t>
            </w:r>
          </w:p>
        </w:tc>
        <w:tc>
          <w:tcPr>
            <w:tcW w:w="1135" w:type="dxa"/>
            <w:vAlign w:val="top"/>
          </w:tcPr>
          <w:p>
            <w:pPr>
              <w:rPr>
                <w:rFonts w:ascii="Arial"/>
                <w:sz w:val="21"/>
              </w:rPr>
            </w:pPr>
          </w:p>
        </w:tc>
        <w:tc>
          <w:tcPr>
            <w:tcW w:w="3263" w:type="dxa"/>
            <w:vAlign w:val="top"/>
          </w:tcPr>
          <w:p>
            <w:pPr>
              <w:rPr>
                <w:rFonts w:ascii="Arial"/>
                <w:sz w:val="21"/>
              </w:rPr>
            </w:pPr>
          </w:p>
        </w:tc>
        <w:tc>
          <w:tcPr>
            <w:tcW w:w="1649" w:type="dxa"/>
            <w:vAlign w:val="top"/>
          </w:tcPr>
          <w:p>
            <w:pPr>
              <w:pStyle w:val="6"/>
              <w:spacing w:before="50" w:line="239" w:lineRule="auto"/>
              <w:ind w:left="115" w:right="95"/>
              <w:rPr>
                <w:sz w:val="21"/>
                <w:szCs w:val="21"/>
              </w:rPr>
            </w:pPr>
            <w:r>
              <w:rPr>
                <w:spacing w:val="-7"/>
                <w:sz w:val="21"/>
                <w:szCs w:val="21"/>
              </w:rPr>
              <w:t>通知》（达市环</w:t>
            </w:r>
            <w:r>
              <w:rPr>
                <w:spacing w:val="5"/>
                <w:sz w:val="21"/>
                <w:szCs w:val="21"/>
              </w:rPr>
              <w:t xml:space="preserve"> </w:t>
            </w:r>
            <w:r>
              <w:rPr>
                <w:spacing w:val="-5"/>
                <w:sz w:val="21"/>
                <w:szCs w:val="21"/>
              </w:rPr>
              <w:t>办发〔</w:t>
            </w:r>
            <w:r>
              <w:rPr>
                <w:rFonts w:ascii="Times New Roman" w:hAnsi="Times New Roman" w:eastAsia="Times New Roman" w:cs="Times New Roman"/>
                <w:spacing w:val="-5"/>
                <w:sz w:val="21"/>
                <w:szCs w:val="21"/>
              </w:rPr>
              <w:t>2021</w:t>
            </w:r>
            <w:r>
              <w:rPr>
                <w:spacing w:val="-5"/>
                <w:sz w:val="21"/>
                <w:szCs w:val="21"/>
              </w:rPr>
              <w:t>〕</w:t>
            </w:r>
            <w:r>
              <w:rPr>
                <w:rFonts w:ascii="Times New Roman" w:hAnsi="Times New Roman" w:eastAsia="Times New Roman" w:cs="Times New Roman"/>
                <w:spacing w:val="-5"/>
                <w:sz w:val="21"/>
                <w:szCs w:val="21"/>
              </w:rPr>
              <w:t>24</w:t>
            </w:r>
            <w:r>
              <w:rPr>
                <w:rFonts w:ascii="Times New Roman" w:hAnsi="Times New Roman" w:eastAsia="Times New Roman" w:cs="Times New Roman"/>
                <w:spacing w:val="7"/>
                <w:sz w:val="21"/>
                <w:szCs w:val="21"/>
              </w:rPr>
              <w:t xml:space="preserve"> </w:t>
            </w:r>
            <w:r>
              <w:rPr>
                <w:spacing w:val="-6"/>
                <w:sz w:val="21"/>
                <w:szCs w:val="21"/>
              </w:rPr>
              <w:t>号）要求交给依</w:t>
            </w:r>
            <w:r>
              <w:rPr>
                <w:sz w:val="21"/>
                <w:szCs w:val="21"/>
              </w:rPr>
              <w:t xml:space="preserve"> </w:t>
            </w:r>
            <w:r>
              <w:rPr>
                <w:spacing w:val="12"/>
                <w:sz w:val="21"/>
                <w:szCs w:val="21"/>
              </w:rPr>
              <w:t xml:space="preserve">法取得生态环 境部门关于利 用和处置相关 工业固体废物 </w:t>
            </w:r>
            <w:r>
              <w:rPr>
                <w:spacing w:val="-6"/>
                <w:sz w:val="21"/>
                <w:szCs w:val="21"/>
              </w:rPr>
              <w:t>项目环评批复、</w:t>
            </w:r>
            <w:r>
              <w:rPr>
                <w:spacing w:val="3"/>
                <w:sz w:val="21"/>
                <w:szCs w:val="21"/>
              </w:rPr>
              <w:t xml:space="preserve"> </w:t>
            </w:r>
            <w:r>
              <w:rPr>
                <w:spacing w:val="12"/>
                <w:sz w:val="21"/>
                <w:szCs w:val="21"/>
              </w:rPr>
              <w:t xml:space="preserve">具有处理处置 相应固体废物 能力并配套建 设有废气、废 </w:t>
            </w:r>
            <w:r>
              <w:rPr>
                <w:spacing w:val="-7"/>
                <w:sz w:val="21"/>
                <w:szCs w:val="21"/>
              </w:rPr>
              <w:t>水、固废等污染</w:t>
            </w:r>
            <w:r>
              <w:rPr>
                <w:spacing w:val="5"/>
                <w:sz w:val="21"/>
                <w:szCs w:val="21"/>
              </w:rPr>
              <w:t xml:space="preserve"> </w:t>
            </w:r>
            <w:r>
              <w:rPr>
                <w:spacing w:val="12"/>
                <w:sz w:val="21"/>
                <w:szCs w:val="21"/>
              </w:rPr>
              <w:t xml:space="preserve">物治理设施的 单位进行资源 </w:t>
            </w:r>
            <w:r>
              <w:rPr>
                <w:spacing w:val="-6"/>
                <w:sz w:val="21"/>
                <w:szCs w:val="21"/>
              </w:rPr>
              <w:t>化利用；本项目</w:t>
            </w:r>
            <w:r>
              <w:rPr>
                <w:sz w:val="21"/>
                <w:szCs w:val="21"/>
              </w:rPr>
              <w:t xml:space="preserve"> </w:t>
            </w:r>
            <w:r>
              <w:rPr>
                <w:spacing w:val="-6"/>
                <w:sz w:val="21"/>
                <w:szCs w:val="21"/>
              </w:rPr>
              <w:t>施工时间较短，</w:t>
            </w:r>
            <w:r>
              <w:rPr>
                <w:spacing w:val="3"/>
                <w:sz w:val="21"/>
                <w:szCs w:val="21"/>
              </w:rPr>
              <w:t xml:space="preserve"> </w:t>
            </w:r>
            <w:r>
              <w:rPr>
                <w:spacing w:val="12"/>
                <w:sz w:val="21"/>
                <w:szCs w:val="21"/>
              </w:rPr>
              <w:t xml:space="preserve">噪声随施工结 </w:t>
            </w:r>
            <w:r>
              <w:rPr>
                <w:spacing w:val="-6"/>
                <w:sz w:val="21"/>
                <w:szCs w:val="21"/>
              </w:rPr>
              <w:t>束而结束，对外</w:t>
            </w:r>
            <w:r>
              <w:rPr>
                <w:sz w:val="21"/>
                <w:szCs w:val="21"/>
              </w:rPr>
              <w:t xml:space="preserve"> </w:t>
            </w:r>
            <w:r>
              <w:rPr>
                <w:spacing w:val="-6"/>
                <w:sz w:val="21"/>
                <w:szCs w:val="21"/>
              </w:rPr>
              <w:t>环境影响较小。</w:t>
            </w:r>
          </w:p>
          <w:p>
            <w:pPr>
              <w:pStyle w:val="6"/>
              <w:spacing w:before="20" w:line="233" w:lineRule="auto"/>
              <w:ind w:left="204" w:right="100" w:hanging="85"/>
              <w:jc w:val="right"/>
              <w:rPr>
                <w:sz w:val="21"/>
                <w:szCs w:val="21"/>
              </w:rPr>
            </w:pPr>
            <w:r>
              <w:rPr>
                <w:spacing w:val="-7"/>
                <w:sz w:val="21"/>
                <w:szCs w:val="21"/>
              </w:rPr>
              <w:t>综上所述，本项</w:t>
            </w:r>
            <w:r>
              <w:rPr>
                <w:spacing w:val="2"/>
                <w:sz w:val="21"/>
                <w:szCs w:val="21"/>
              </w:rPr>
              <w:t xml:space="preserve"> </w:t>
            </w:r>
            <w:r>
              <w:rPr>
                <w:spacing w:val="-2"/>
                <w:sz w:val="21"/>
                <w:szCs w:val="21"/>
              </w:rPr>
              <w:t>目各污染因素</w:t>
            </w:r>
            <w:r>
              <w:rPr>
                <w:spacing w:val="2"/>
                <w:sz w:val="21"/>
                <w:szCs w:val="21"/>
              </w:rPr>
              <w:t xml:space="preserve">  </w:t>
            </w:r>
            <w:r>
              <w:rPr>
                <w:spacing w:val="-2"/>
                <w:sz w:val="21"/>
                <w:szCs w:val="21"/>
              </w:rPr>
              <w:t>均得到有效处</w:t>
            </w:r>
          </w:p>
          <w:p>
            <w:pPr>
              <w:pStyle w:val="6"/>
              <w:spacing w:before="22" w:line="230" w:lineRule="auto"/>
              <w:ind w:left="305" w:right="99" w:hanging="191"/>
              <w:rPr>
                <w:sz w:val="21"/>
                <w:szCs w:val="21"/>
              </w:rPr>
            </w:pPr>
            <w:r>
              <w:rPr>
                <w:spacing w:val="-13"/>
                <w:sz w:val="21"/>
                <w:szCs w:val="21"/>
              </w:rPr>
              <w:t>置，</w:t>
            </w:r>
            <w:r>
              <w:rPr>
                <w:spacing w:val="-56"/>
                <w:sz w:val="21"/>
                <w:szCs w:val="21"/>
              </w:rPr>
              <w:t xml:space="preserve"> </w:t>
            </w:r>
            <w:r>
              <w:rPr>
                <w:spacing w:val="-13"/>
                <w:sz w:val="21"/>
                <w:szCs w:val="21"/>
              </w:rPr>
              <w:t>符合污染物</w:t>
            </w:r>
            <w:r>
              <w:rPr>
                <w:sz w:val="21"/>
                <w:szCs w:val="21"/>
              </w:rPr>
              <w:t xml:space="preserve"> </w:t>
            </w:r>
            <w:r>
              <w:rPr>
                <w:spacing w:val="-4"/>
                <w:sz w:val="21"/>
                <w:szCs w:val="21"/>
              </w:rPr>
              <w:t>控制要求。</w:t>
            </w:r>
          </w:p>
        </w:tc>
        <w:tc>
          <w:tcPr>
            <w:tcW w:w="727" w:type="dxa"/>
            <w:vAlign w:val="top"/>
          </w:tcPr>
          <w:p>
            <w:pPr>
              <w:rPr>
                <w:rFonts w:ascii="Arial"/>
                <w:sz w:val="21"/>
              </w:rPr>
            </w:pPr>
          </w:p>
        </w:tc>
      </w:tr>
    </w:tbl>
    <w:p>
      <w:pPr>
        <w:pStyle w:val="2"/>
        <w:rPr>
          <w:sz w:val="21"/>
        </w:rPr>
      </w:pPr>
    </w:p>
    <w:p>
      <w:pPr>
        <w:rPr>
          <w:sz w:val="21"/>
          <w:szCs w:val="21"/>
        </w:rPr>
        <w:sectPr>
          <w:footerReference r:id="rId14" w:type="default"/>
          <w:pgSz w:w="16839" w:h="11907"/>
          <w:pgMar w:top="400" w:right="1411" w:bottom="1180" w:left="1396"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4"/>
        <w:gridCol w:w="1149"/>
        <w:gridCol w:w="4489"/>
        <w:gridCol w:w="1135"/>
        <w:gridCol w:w="326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9" w:hRule="atLeast"/>
        </w:trPr>
        <w:tc>
          <w:tcPr>
            <w:tcW w:w="468" w:type="dxa"/>
            <w:vAlign w:val="top"/>
          </w:tcPr>
          <w:p>
            <w:pPr>
              <w:rPr>
                <w:rFonts w:ascii="Arial"/>
                <w:sz w:val="21"/>
              </w:rPr>
            </w:pPr>
          </w:p>
        </w:tc>
        <w:tc>
          <w:tcPr>
            <w:tcW w:w="1144" w:type="dxa"/>
            <w:vAlign w:val="top"/>
          </w:tcPr>
          <w:p>
            <w:pPr>
              <w:rPr>
                <w:rFonts w:ascii="Arial"/>
                <w:sz w:val="21"/>
              </w:rPr>
            </w:pPr>
          </w:p>
        </w:tc>
        <w:tc>
          <w:tcPr>
            <w:tcW w:w="1149" w:type="dxa"/>
            <w:vAlign w:val="top"/>
          </w:tcPr>
          <w:p>
            <w:pPr>
              <w:rPr>
                <w:rFonts w:ascii="Arial"/>
                <w:sz w:val="21"/>
              </w:rPr>
            </w:pPr>
          </w:p>
        </w:tc>
        <w:tc>
          <w:tcPr>
            <w:tcW w:w="4489" w:type="dxa"/>
            <w:vAlign w:val="top"/>
          </w:tcPr>
          <w:p>
            <w:pPr>
              <w:pStyle w:val="6"/>
              <w:spacing w:before="101" w:line="221" w:lineRule="auto"/>
              <w:ind w:left="113"/>
              <w:rPr>
                <w:sz w:val="21"/>
                <w:szCs w:val="21"/>
              </w:rPr>
            </w:pPr>
            <w:r>
              <w:rPr>
                <w:spacing w:val="-7"/>
                <w:sz w:val="21"/>
                <w:szCs w:val="21"/>
                <w14:textOutline w14:w="3831" w14:cap="flat" w14:cmpd="sng">
                  <w14:solidFill>
                    <w14:srgbClr w14:val="000000"/>
                  </w14:solidFill>
                  <w14:prstDash w14:val="solid"/>
                  <w14:miter w14:val="10"/>
                </w14:textOutline>
              </w:rPr>
              <w:t>环境风险防控：</w:t>
            </w:r>
          </w:p>
          <w:p>
            <w:pPr>
              <w:pStyle w:val="6"/>
              <w:spacing w:before="60" w:line="221" w:lineRule="auto"/>
              <w:ind w:left="113"/>
              <w:rPr>
                <w:sz w:val="21"/>
                <w:szCs w:val="21"/>
              </w:rPr>
            </w:pPr>
            <w:r>
              <w:rPr>
                <w:spacing w:val="-1"/>
                <w:sz w:val="21"/>
                <w:szCs w:val="21"/>
              </w:rPr>
              <w:t>联防联控要求</w:t>
            </w:r>
          </w:p>
          <w:p>
            <w:pPr>
              <w:pStyle w:val="6"/>
              <w:spacing w:before="59" w:line="237" w:lineRule="auto"/>
              <w:ind w:left="113" w:right="43" w:firstLine="5"/>
              <w:rPr>
                <w:sz w:val="21"/>
                <w:szCs w:val="21"/>
              </w:rPr>
            </w:pPr>
            <w:r>
              <w:rPr>
                <w:spacing w:val="-5"/>
                <w:sz w:val="21"/>
                <w:szCs w:val="21"/>
              </w:rPr>
              <w:t>强化区域联防联控，</w:t>
            </w:r>
            <w:r>
              <w:rPr>
                <w:spacing w:val="-14"/>
                <w:sz w:val="21"/>
                <w:szCs w:val="21"/>
              </w:rPr>
              <w:t xml:space="preserve"> </w:t>
            </w:r>
            <w:r>
              <w:rPr>
                <w:spacing w:val="-5"/>
                <w:sz w:val="21"/>
                <w:szCs w:val="21"/>
              </w:rPr>
              <w:t>严格落实《关于建立跨省</w:t>
            </w:r>
            <w:r>
              <w:rPr>
                <w:sz w:val="21"/>
                <w:szCs w:val="21"/>
              </w:rPr>
              <w:t xml:space="preserve">  </w:t>
            </w:r>
            <w:r>
              <w:rPr>
                <w:spacing w:val="-1"/>
                <w:sz w:val="21"/>
                <w:szCs w:val="21"/>
              </w:rPr>
              <w:t>流域上下游突发水污染事件联防联控机制的指</w:t>
            </w:r>
            <w:r>
              <w:rPr>
                <w:spacing w:val="8"/>
                <w:sz w:val="21"/>
                <w:szCs w:val="21"/>
              </w:rPr>
              <w:t xml:space="preserve">  </w:t>
            </w:r>
            <w:r>
              <w:rPr>
                <w:spacing w:val="-9"/>
                <w:sz w:val="21"/>
                <w:szCs w:val="21"/>
              </w:rPr>
              <w:t>导意见》； 定期召开区域大气环境形式分析会，</w:t>
            </w:r>
            <w:r>
              <w:rPr>
                <w:spacing w:val="9"/>
                <w:sz w:val="21"/>
                <w:szCs w:val="21"/>
              </w:rPr>
              <w:t xml:space="preserve"> </w:t>
            </w:r>
            <w:r>
              <w:rPr>
                <w:spacing w:val="-1"/>
                <w:sz w:val="21"/>
                <w:szCs w:val="21"/>
              </w:rPr>
              <w:t>强化信息共享和联动合作，实行环境规划，标</w:t>
            </w:r>
            <w:r>
              <w:rPr>
                <w:spacing w:val="3"/>
                <w:sz w:val="21"/>
                <w:szCs w:val="21"/>
              </w:rPr>
              <w:t xml:space="preserve">  </w:t>
            </w:r>
            <w:r>
              <w:rPr>
                <w:spacing w:val="-9"/>
                <w:sz w:val="21"/>
                <w:szCs w:val="21"/>
              </w:rPr>
              <w:t>准，环评，</w:t>
            </w:r>
            <w:r>
              <w:rPr>
                <w:spacing w:val="-12"/>
                <w:sz w:val="21"/>
                <w:szCs w:val="21"/>
              </w:rPr>
              <w:t xml:space="preserve"> </w:t>
            </w:r>
            <w:r>
              <w:rPr>
                <w:spacing w:val="-9"/>
                <w:sz w:val="21"/>
                <w:szCs w:val="21"/>
              </w:rPr>
              <w:t>执法，信息公开“六统一”，</w:t>
            </w:r>
            <w:r>
              <w:rPr>
                <w:spacing w:val="-22"/>
                <w:sz w:val="21"/>
                <w:szCs w:val="21"/>
              </w:rPr>
              <w:t xml:space="preserve"> </w:t>
            </w:r>
            <w:r>
              <w:rPr>
                <w:spacing w:val="-9"/>
                <w:sz w:val="21"/>
                <w:szCs w:val="21"/>
              </w:rPr>
              <w:t>协力</w:t>
            </w:r>
            <w:r>
              <w:rPr>
                <w:sz w:val="21"/>
                <w:szCs w:val="21"/>
              </w:rPr>
              <w:t xml:space="preserve">  </w:t>
            </w:r>
            <w:r>
              <w:rPr>
                <w:spacing w:val="-5"/>
                <w:sz w:val="21"/>
                <w:szCs w:val="21"/>
              </w:rPr>
              <w:t>推进大气污染源头防控，</w:t>
            </w:r>
            <w:r>
              <w:rPr>
                <w:spacing w:val="-9"/>
                <w:sz w:val="21"/>
                <w:szCs w:val="21"/>
              </w:rPr>
              <w:t xml:space="preserve"> </w:t>
            </w:r>
            <w:r>
              <w:rPr>
                <w:spacing w:val="-5"/>
                <w:sz w:val="21"/>
                <w:szCs w:val="21"/>
              </w:rPr>
              <w:t>加强川东北区域大气</w:t>
            </w:r>
            <w:r>
              <w:rPr>
                <w:sz w:val="21"/>
                <w:szCs w:val="21"/>
              </w:rPr>
              <w:t xml:space="preserve">  </w:t>
            </w:r>
            <w:r>
              <w:rPr>
                <w:spacing w:val="-1"/>
                <w:sz w:val="21"/>
                <w:szCs w:val="21"/>
              </w:rPr>
              <w:t>污染防治合作</w:t>
            </w:r>
          </w:p>
          <w:p>
            <w:pPr>
              <w:pStyle w:val="6"/>
              <w:spacing w:before="61" w:line="221" w:lineRule="auto"/>
              <w:ind w:left="113"/>
              <w:rPr>
                <w:sz w:val="21"/>
                <w:szCs w:val="21"/>
              </w:rPr>
            </w:pPr>
            <w:r>
              <w:rPr>
                <w:spacing w:val="-1"/>
                <w:sz w:val="21"/>
                <w:szCs w:val="21"/>
              </w:rPr>
              <w:t>其他环境风险防控要求</w:t>
            </w:r>
          </w:p>
          <w:p>
            <w:pPr>
              <w:pStyle w:val="6"/>
              <w:spacing w:before="59" w:line="234" w:lineRule="auto"/>
              <w:ind w:left="113" w:right="173" w:firstLine="3"/>
              <w:rPr>
                <w:sz w:val="21"/>
                <w:szCs w:val="21"/>
              </w:rPr>
            </w:pPr>
            <w:r>
              <w:rPr>
                <w:spacing w:val="-3"/>
                <w:sz w:val="21"/>
                <w:szCs w:val="21"/>
              </w:rPr>
              <w:t>企业环境风险防控要求：工业企业退出用地，</w:t>
            </w:r>
            <w:r>
              <w:rPr>
                <w:spacing w:val="5"/>
                <w:sz w:val="21"/>
                <w:szCs w:val="21"/>
              </w:rPr>
              <w:t xml:space="preserve"> </w:t>
            </w:r>
            <w:r>
              <w:rPr>
                <w:spacing w:val="-1"/>
                <w:sz w:val="21"/>
                <w:szCs w:val="21"/>
              </w:rPr>
              <w:t>须经评估、修复满足相应用地功能后，方可改</w:t>
            </w:r>
            <w:r>
              <w:rPr>
                <w:spacing w:val="16"/>
                <w:sz w:val="21"/>
                <w:szCs w:val="21"/>
              </w:rPr>
              <w:t xml:space="preserve"> </w:t>
            </w:r>
            <w:r>
              <w:rPr>
                <w:spacing w:val="-2"/>
                <w:sz w:val="21"/>
                <w:szCs w:val="21"/>
              </w:rPr>
              <w:t>变用途。</w:t>
            </w:r>
          </w:p>
          <w:p>
            <w:pPr>
              <w:pStyle w:val="6"/>
              <w:spacing w:before="60" w:line="238" w:lineRule="auto"/>
              <w:ind w:left="112" w:right="11"/>
              <w:jc w:val="both"/>
              <w:rPr>
                <w:sz w:val="21"/>
                <w:szCs w:val="21"/>
              </w:rPr>
            </w:pPr>
            <w:r>
              <w:rPr>
                <w:spacing w:val="-2"/>
                <w:sz w:val="21"/>
                <w:szCs w:val="21"/>
              </w:rPr>
              <w:t xml:space="preserve">加强“散乱污”企业环境风险防控。对拟收回  </w:t>
            </w:r>
            <w:r>
              <w:rPr>
                <w:spacing w:val="-3"/>
                <w:sz w:val="21"/>
                <w:szCs w:val="21"/>
              </w:rPr>
              <w:t>土地使用权的有色金属矿采选、有色金属冶</w:t>
            </w:r>
            <w:r>
              <w:rPr>
                <w:spacing w:val="-4"/>
                <w:sz w:val="21"/>
                <w:szCs w:val="21"/>
              </w:rPr>
              <w:t>炼、</w:t>
            </w:r>
            <w:r>
              <w:rPr>
                <w:sz w:val="21"/>
                <w:szCs w:val="21"/>
              </w:rPr>
              <w:t xml:space="preserve"> </w:t>
            </w:r>
            <w:r>
              <w:rPr>
                <w:spacing w:val="-7"/>
                <w:sz w:val="21"/>
                <w:szCs w:val="21"/>
              </w:rPr>
              <w:t>石油加工、化工、焦化、电镀、制革、天然（页</w:t>
            </w:r>
            <w:r>
              <w:rPr>
                <w:spacing w:val="3"/>
                <w:sz w:val="21"/>
                <w:szCs w:val="21"/>
              </w:rPr>
              <w:t xml:space="preserve">  </w:t>
            </w:r>
            <w:r>
              <w:rPr>
                <w:spacing w:val="-2"/>
                <w:sz w:val="21"/>
                <w:szCs w:val="21"/>
              </w:rPr>
              <w:t xml:space="preserve">岩）气开采、铅蓄电池、汽车制造、农药、危  </w:t>
            </w:r>
            <w:r>
              <w:rPr>
                <w:spacing w:val="-6"/>
                <w:sz w:val="21"/>
                <w:szCs w:val="21"/>
              </w:rPr>
              <w:t xml:space="preserve">废处置、电子拆解等行业企业用地， 以及用途  </w:t>
            </w:r>
            <w:r>
              <w:rPr>
                <w:spacing w:val="-2"/>
                <w:sz w:val="21"/>
                <w:szCs w:val="21"/>
              </w:rPr>
              <w:t xml:space="preserve">拟变更为居住和商业、学校、医疗、养老机构  等公共设施的上述企业用地，以及由重度污染  农用地转为的城镇建设用地，开展土壤环境状  况调查评估。用地环境风险防控要求：严禁将  </w:t>
            </w:r>
            <w:r>
              <w:rPr>
                <w:spacing w:val="-3"/>
                <w:sz w:val="21"/>
                <w:szCs w:val="21"/>
              </w:rPr>
              <w:t>城镇生活垃圾、污泥、工业废物直接用作肥料，</w:t>
            </w:r>
            <w:r>
              <w:rPr>
                <w:spacing w:val="12"/>
                <w:sz w:val="21"/>
                <w:szCs w:val="21"/>
              </w:rPr>
              <w:t xml:space="preserve"> </w:t>
            </w:r>
            <w:r>
              <w:rPr>
                <w:spacing w:val="-2"/>
                <w:sz w:val="21"/>
                <w:szCs w:val="21"/>
              </w:rPr>
              <w:t xml:space="preserve">禁止处理不达标的污泥进入耕地；禁止在农用  </w:t>
            </w:r>
            <w:r>
              <w:rPr>
                <w:spacing w:val="-12"/>
                <w:sz w:val="21"/>
                <w:szCs w:val="21"/>
              </w:rPr>
              <w:t>地排放、倾倒、使用污泥、清淤底泥、尾矿（渣）</w:t>
            </w:r>
            <w:r>
              <w:rPr>
                <w:spacing w:val="3"/>
                <w:sz w:val="21"/>
                <w:szCs w:val="21"/>
              </w:rPr>
              <w:t xml:space="preserve"> </w:t>
            </w:r>
            <w:r>
              <w:rPr>
                <w:spacing w:val="-2"/>
                <w:sz w:val="21"/>
                <w:szCs w:val="21"/>
              </w:rPr>
              <w:t>等可能对土壤造成污染的固体废物。</w:t>
            </w:r>
          </w:p>
          <w:p>
            <w:pPr>
              <w:pStyle w:val="6"/>
              <w:spacing w:before="59" w:line="235" w:lineRule="auto"/>
              <w:ind w:left="112" w:right="173" w:firstLine="5"/>
              <w:rPr>
                <w:sz w:val="21"/>
                <w:szCs w:val="21"/>
              </w:rPr>
            </w:pPr>
            <w:r>
              <w:rPr>
                <w:spacing w:val="-5"/>
                <w:sz w:val="21"/>
                <w:szCs w:val="21"/>
              </w:rPr>
              <w:t>定期对单元内尾矿库进行风险巡查，</w:t>
            </w:r>
            <w:r>
              <w:rPr>
                <w:spacing w:val="-14"/>
                <w:sz w:val="21"/>
                <w:szCs w:val="21"/>
              </w:rPr>
              <w:t xml:space="preserve"> </w:t>
            </w:r>
            <w:r>
              <w:rPr>
                <w:spacing w:val="-5"/>
                <w:sz w:val="21"/>
                <w:szCs w:val="21"/>
              </w:rPr>
              <w:t>建立监测</w:t>
            </w:r>
            <w:r>
              <w:rPr>
                <w:sz w:val="21"/>
                <w:szCs w:val="21"/>
              </w:rPr>
              <w:t xml:space="preserve"> </w:t>
            </w:r>
            <w:r>
              <w:rPr>
                <w:spacing w:val="-1"/>
                <w:sz w:val="21"/>
                <w:szCs w:val="21"/>
              </w:rPr>
              <w:t>系统和环境风险应急预案；完善各尾矿库渗滤</w:t>
            </w:r>
            <w:r>
              <w:rPr>
                <w:spacing w:val="17"/>
                <w:sz w:val="21"/>
                <w:szCs w:val="21"/>
              </w:rPr>
              <w:t xml:space="preserve"> </w:t>
            </w:r>
            <w:r>
              <w:rPr>
                <w:spacing w:val="-1"/>
                <w:sz w:val="21"/>
                <w:szCs w:val="21"/>
              </w:rPr>
              <w:t>液收集、处理、回用系统，杜绝事故排放；尾</w:t>
            </w:r>
            <w:r>
              <w:rPr>
                <w:spacing w:val="8"/>
                <w:sz w:val="21"/>
                <w:szCs w:val="21"/>
              </w:rPr>
              <w:t xml:space="preserve"> </w:t>
            </w:r>
            <w:r>
              <w:rPr>
                <w:spacing w:val="-1"/>
                <w:sz w:val="21"/>
                <w:szCs w:val="21"/>
              </w:rPr>
              <w:t>矿库闭矿后因地制宜进行植被恢复和综合利</w:t>
            </w:r>
          </w:p>
          <w:p>
            <w:pPr>
              <w:pStyle w:val="6"/>
              <w:spacing w:before="23" w:line="222" w:lineRule="auto"/>
              <w:ind w:left="114"/>
              <w:rPr>
                <w:sz w:val="21"/>
                <w:szCs w:val="21"/>
              </w:rPr>
            </w:pPr>
            <w:r>
              <w:rPr>
                <w:spacing w:val="-10"/>
                <w:sz w:val="21"/>
                <w:szCs w:val="21"/>
              </w:rPr>
              <w:t>用。</w:t>
            </w:r>
          </w:p>
        </w:tc>
        <w:tc>
          <w:tcPr>
            <w:tcW w:w="113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30" w:lineRule="auto"/>
              <w:ind w:left="377" w:right="139" w:hanging="222"/>
              <w:rPr>
                <w:sz w:val="21"/>
                <w:szCs w:val="21"/>
              </w:rPr>
            </w:pPr>
            <w:r>
              <w:rPr>
                <w:spacing w:val="-2"/>
                <w:sz w:val="21"/>
                <w:szCs w:val="21"/>
              </w:rPr>
              <w:t>环境风险</w:t>
            </w:r>
            <w:r>
              <w:rPr>
                <w:spacing w:val="1"/>
                <w:sz w:val="21"/>
                <w:szCs w:val="21"/>
              </w:rPr>
              <w:t xml:space="preserve"> </w:t>
            </w:r>
            <w:r>
              <w:rPr>
                <w:spacing w:val="-5"/>
                <w:sz w:val="21"/>
                <w:szCs w:val="21"/>
              </w:rPr>
              <w:t>防控</w:t>
            </w:r>
          </w:p>
        </w:tc>
        <w:tc>
          <w:tcPr>
            <w:tcW w:w="326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8" w:line="221" w:lineRule="auto"/>
              <w:ind w:left="116"/>
              <w:rPr>
                <w:sz w:val="21"/>
                <w:szCs w:val="21"/>
              </w:rPr>
            </w:pPr>
            <w:r>
              <w:rPr>
                <w:spacing w:val="-1"/>
                <w:sz w:val="21"/>
                <w:szCs w:val="21"/>
              </w:rPr>
              <w:t>严格管控类农用地管控要求</w:t>
            </w:r>
          </w:p>
          <w:p>
            <w:pPr>
              <w:pStyle w:val="6"/>
              <w:spacing w:before="62" w:line="231"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58" w:line="221" w:lineRule="auto"/>
              <w:ind w:left="119"/>
              <w:rPr>
                <w:sz w:val="21"/>
                <w:szCs w:val="21"/>
              </w:rPr>
            </w:pPr>
            <w:r>
              <w:rPr>
                <w:spacing w:val="-1"/>
                <w:sz w:val="21"/>
                <w:szCs w:val="21"/>
              </w:rPr>
              <w:t>安全利用类农用地管控要求</w:t>
            </w:r>
          </w:p>
          <w:p>
            <w:pPr>
              <w:pStyle w:val="6"/>
              <w:spacing w:before="61" w:line="230"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1" w:line="221" w:lineRule="auto"/>
              <w:ind w:left="117"/>
              <w:rPr>
                <w:sz w:val="21"/>
                <w:szCs w:val="21"/>
              </w:rPr>
            </w:pPr>
            <w:r>
              <w:rPr>
                <w:spacing w:val="-1"/>
                <w:sz w:val="21"/>
                <w:szCs w:val="21"/>
              </w:rPr>
              <w:t>污染地块管控要求</w:t>
            </w:r>
          </w:p>
          <w:p>
            <w:pPr>
              <w:pStyle w:val="6"/>
              <w:spacing w:before="62" w:line="230"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0" w:line="221" w:lineRule="auto"/>
              <w:ind w:left="132"/>
              <w:rPr>
                <w:sz w:val="21"/>
                <w:szCs w:val="21"/>
              </w:rPr>
            </w:pPr>
            <w:r>
              <w:rPr>
                <w:spacing w:val="-3"/>
                <w:sz w:val="21"/>
                <w:szCs w:val="21"/>
              </w:rPr>
              <w:t>园区环境风险防控要求</w:t>
            </w:r>
          </w:p>
          <w:p>
            <w:pPr>
              <w:pStyle w:val="6"/>
              <w:spacing w:before="61" w:line="231"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60" w:line="312" w:lineRule="exact"/>
              <w:ind w:left="119"/>
              <w:rPr>
                <w:sz w:val="21"/>
                <w:szCs w:val="21"/>
              </w:rPr>
            </w:pPr>
            <w:r>
              <w:rPr>
                <w:spacing w:val="-1"/>
                <w:position w:val="7"/>
                <w:sz w:val="21"/>
                <w:szCs w:val="21"/>
              </w:rPr>
              <w:t>企业环境风险防控要求</w:t>
            </w:r>
          </w:p>
          <w:p>
            <w:pPr>
              <w:pStyle w:val="6"/>
              <w:spacing w:line="221" w:lineRule="auto"/>
              <w:ind w:left="116"/>
              <w:rPr>
                <w:sz w:val="21"/>
                <w:szCs w:val="21"/>
              </w:rPr>
            </w:pPr>
            <w:r>
              <w:rPr>
                <w:spacing w:val="-1"/>
                <w:sz w:val="21"/>
                <w:szCs w:val="21"/>
              </w:rPr>
              <w:t>其他环境风险防控要求</w:t>
            </w:r>
          </w:p>
        </w:tc>
        <w:tc>
          <w:tcPr>
            <w:tcW w:w="16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9" w:line="230" w:lineRule="auto"/>
              <w:ind w:left="120" w:right="111" w:firstLine="85"/>
              <w:rPr>
                <w:sz w:val="21"/>
                <w:szCs w:val="21"/>
              </w:rPr>
            </w:pPr>
            <w:r>
              <w:rPr>
                <w:spacing w:val="-3"/>
                <w:sz w:val="21"/>
                <w:szCs w:val="21"/>
              </w:rPr>
              <w:t xml:space="preserve">落实本评价相 </w:t>
            </w:r>
            <w:r>
              <w:rPr>
                <w:spacing w:val="-9"/>
                <w:sz w:val="21"/>
                <w:szCs w:val="21"/>
              </w:rPr>
              <w:t>关风险措施后，</w:t>
            </w:r>
          </w:p>
          <w:p>
            <w:pPr>
              <w:pStyle w:val="6"/>
              <w:spacing w:before="19" w:line="231" w:lineRule="auto"/>
              <w:ind w:left="423" w:right="186" w:hanging="219"/>
              <w:rPr>
                <w:sz w:val="21"/>
                <w:szCs w:val="21"/>
              </w:rPr>
            </w:pPr>
            <w:r>
              <w:rPr>
                <w:spacing w:val="-2"/>
                <w:sz w:val="21"/>
                <w:szCs w:val="21"/>
              </w:rPr>
              <w:t>本项目环境风</w:t>
            </w:r>
            <w:r>
              <w:rPr>
                <w:spacing w:val="4"/>
                <w:sz w:val="21"/>
                <w:szCs w:val="21"/>
              </w:rPr>
              <w:t xml:space="preserve"> </w:t>
            </w:r>
            <w:r>
              <w:rPr>
                <w:spacing w:val="-5"/>
                <w:sz w:val="21"/>
                <w:szCs w:val="21"/>
              </w:rPr>
              <w:t>险可控。</w:t>
            </w:r>
          </w:p>
        </w:tc>
        <w:tc>
          <w:tcPr>
            <w:tcW w:w="7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1" w:lineRule="auto"/>
              <w:ind w:left="152"/>
              <w:rPr>
                <w:sz w:val="21"/>
                <w:szCs w:val="21"/>
              </w:rPr>
            </w:pPr>
            <w:r>
              <w:rPr>
                <w:spacing w:val="-2"/>
                <w:sz w:val="21"/>
                <w:szCs w:val="21"/>
              </w:rPr>
              <w:t>符合</w:t>
            </w:r>
          </w:p>
        </w:tc>
      </w:tr>
    </w:tbl>
    <w:p>
      <w:pPr>
        <w:pStyle w:val="2"/>
        <w:rPr>
          <w:sz w:val="21"/>
        </w:rPr>
      </w:pPr>
    </w:p>
    <w:p>
      <w:pPr>
        <w:rPr>
          <w:sz w:val="21"/>
          <w:szCs w:val="21"/>
        </w:rPr>
        <w:sectPr>
          <w:footerReference r:id="rId15" w:type="default"/>
          <w:pgSz w:w="16839" w:h="11907"/>
          <w:pgMar w:top="400" w:right="1411" w:bottom="1180" w:left="1396"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4"/>
        <w:gridCol w:w="1149"/>
        <w:gridCol w:w="4489"/>
        <w:gridCol w:w="1135"/>
        <w:gridCol w:w="326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468" w:type="dxa"/>
            <w:vMerge w:val="restart"/>
            <w:tcBorders>
              <w:bottom w:val="nil"/>
            </w:tcBorders>
            <w:vAlign w:val="top"/>
          </w:tcPr>
          <w:p>
            <w:pPr>
              <w:rPr>
                <w:rFonts w:ascii="Arial"/>
                <w:sz w:val="21"/>
              </w:rPr>
            </w:pPr>
          </w:p>
        </w:tc>
        <w:tc>
          <w:tcPr>
            <w:tcW w:w="1144" w:type="dxa"/>
            <w:vMerge w:val="restart"/>
            <w:tcBorders>
              <w:bottom w:val="nil"/>
            </w:tcBorders>
            <w:vAlign w:val="top"/>
          </w:tcPr>
          <w:p>
            <w:pPr>
              <w:rPr>
                <w:rFonts w:ascii="Arial"/>
                <w:sz w:val="21"/>
              </w:rPr>
            </w:pPr>
          </w:p>
        </w:tc>
        <w:tc>
          <w:tcPr>
            <w:tcW w:w="1149" w:type="dxa"/>
            <w:vMerge w:val="restart"/>
            <w:tcBorders>
              <w:bottom w:val="nil"/>
            </w:tcBorders>
            <w:vAlign w:val="top"/>
          </w:tcPr>
          <w:p>
            <w:pPr>
              <w:rPr>
                <w:rFonts w:ascii="Arial"/>
                <w:sz w:val="21"/>
              </w:rPr>
            </w:pPr>
          </w:p>
        </w:tc>
        <w:tc>
          <w:tcPr>
            <w:tcW w:w="4489" w:type="dxa"/>
            <w:vAlign w:val="top"/>
          </w:tcPr>
          <w:p>
            <w:pPr>
              <w:pStyle w:val="6"/>
              <w:spacing w:before="61" w:line="229" w:lineRule="auto"/>
              <w:ind w:left="113" w:right="173"/>
              <w:rPr>
                <w:sz w:val="21"/>
                <w:szCs w:val="21"/>
              </w:rPr>
            </w:pPr>
            <w:r>
              <w:rPr>
                <w:spacing w:val="-1"/>
                <w:sz w:val="21"/>
                <w:szCs w:val="21"/>
              </w:rPr>
              <w:t>规范排土场、渣场等整治。禁止处理不达标的</w:t>
            </w:r>
            <w:r>
              <w:rPr>
                <w:spacing w:val="15"/>
                <w:sz w:val="21"/>
                <w:szCs w:val="21"/>
              </w:rPr>
              <w:t xml:space="preserve"> </w:t>
            </w:r>
            <w:r>
              <w:rPr>
                <w:spacing w:val="-4"/>
                <w:sz w:val="21"/>
                <w:szCs w:val="21"/>
              </w:rPr>
              <w:t>污泥进入耕地。</w:t>
            </w:r>
          </w:p>
          <w:p>
            <w:pPr>
              <w:pStyle w:val="6"/>
              <w:spacing w:before="60" w:line="231" w:lineRule="auto"/>
              <w:ind w:left="113" w:right="182"/>
              <w:rPr>
                <w:sz w:val="21"/>
                <w:szCs w:val="21"/>
              </w:rPr>
            </w:pPr>
            <w:r>
              <w:rPr>
                <w:spacing w:val="-5"/>
                <w:sz w:val="21"/>
                <w:szCs w:val="21"/>
              </w:rPr>
              <w:t>严格控制林地、</w:t>
            </w:r>
            <w:r>
              <w:rPr>
                <w:spacing w:val="-19"/>
                <w:sz w:val="21"/>
                <w:szCs w:val="21"/>
              </w:rPr>
              <w:t xml:space="preserve"> </w:t>
            </w:r>
            <w:r>
              <w:rPr>
                <w:spacing w:val="-5"/>
                <w:sz w:val="21"/>
                <w:szCs w:val="21"/>
              </w:rPr>
              <w:t>草地、园地的农药使用量，禁</w:t>
            </w:r>
            <w:r>
              <w:rPr>
                <w:sz w:val="21"/>
                <w:szCs w:val="21"/>
              </w:rPr>
              <w:t xml:space="preserve"> </w:t>
            </w:r>
            <w:r>
              <w:rPr>
                <w:spacing w:val="-1"/>
                <w:sz w:val="21"/>
                <w:szCs w:val="21"/>
              </w:rPr>
              <w:t>止使用高毒、高残留农药。</w:t>
            </w:r>
          </w:p>
          <w:p>
            <w:pPr>
              <w:pStyle w:val="6"/>
              <w:spacing w:before="60" w:line="231" w:lineRule="auto"/>
              <w:ind w:left="136" w:right="101" w:hanging="18"/>
              <w:rPr>
                <w:sz w:val="21"/>
                <w:szCs w:val="21"/>
              </w:rPr>
            </w:pPr>
            <w:r>
              <w:rPr>
                <w:spacing w:val="-5"/>
                <w:sz w:val="21"/>
                <w:szCs w:val="21"/>
              </w:rPr>
              <w:t>到</w:t>
            </w:r>
            <w:r>
              <w:rPr>
                <w:rFonts w:ascii="Times New Roman" w:hAnsi="Times New Roman" w:eastAsia="Times New Roman" w:cs="Times New Roman"/>
                <w:spacing w:val="-5"/>
                <w:sz w:val="21"/>
                <w:szCs w:val="21"/>
              </w:rPr>
              <w:t>2030</w:t>
            </w:r>
            <w:r>
              <w:rPr>
                <w:spacing w:val="-5"/>
                <w:sz w:val="21"/>
                <w:szCs w:val="21"/>
              </w:rPr>
              <w:t>年，全市受污染耕地安全利用率达到</w:t>
            </w:r>
            <w:r>
              <w:rPr>
                <w:rFonts w:ascii="Times New Roman" w:hAnsi="Times New Roman" w:eastAsia="Times New Roman" w:cs="Times New Roman"/>
                <w:spacing w:val="-5"/>
                <w:sz w:val="21"/>
                <w:szCs w:val="21"/>
              </w:rPr>
              <w:t>95%</w:t>
            </w:r>
            <w:r>
              <w:rPr>
                <w:rFonts w:ascii="Times New Roman" w:hAnsi="Times New Roman" w:eastAsia="Times New Roman" w:cs="Times New Roman"/>
                <w:spacing w:val="8"/>
                <w:sz w:val="21"/>
                <w:szCs w:val="21"/>
              </w:rPr>
              <w:t xml:space="preserve"> </w:t>
            </w:r>
            <w:r>
              <w:rPr>
                <w:spacing w:val="-7"/>
                <w:sz w:val="21"/>
                <w:szCs w:val="21"/>
              </w:rPr>
              <w:t>以上， 污染地块安全利用率达到</w:t>
            </w:r>
            <w:r>
              <w:rPr>
                <w:rFonts w:ascii="Times New Roman" w:hAnsi="Times New Roman" w:eastAsia="Times New Roman" w:cs="Times New Roman"/>
                <w:spacing w:val="-7"/>
                <w:sz w:val="21"/>
                <w:szCs w:val="21"/>
              </w:rPr>
              <w:t>95%</w:t>
            </w:r>
            <w:r>
              <w:rPr>
                <w:spacing w:val="-7"/>
                <w:sz w:val="21"/>
                <w:szCs w:val="21"/>
              </w:rPr>
              <w:t>以上。</w:t>
            </w:r>
          </w:p>
        </w:tc>
        <w:tc>
          <w:tcPr>
            <w:tcW w:w="1135" w:type="dxa"/>
            <w:vAlign w:val="top"/>
          </w:tcPr>
          <w:p>
            <w:pPr>
              <w:rPr>
                <w:rFonts w:ascii="Arial"/>
                <w:sz w:val="21"/>
              </w:rPr>
            </w:pPr>
          </w:p>
        </w:tc>
        <w:tc>
          <w:tcPr>
            <w:tcW w:w="3263" w:type="dxa"/>
            <w:vAlign w:val="top"/>
          </w:tcPr>
          <w:p>
            <w:pPr>
              <w:rPr>
                <w:rFonts w:ascii="Arial"/>
                <w:sz w:val="21"/>
              </w:rPr>
            </w:pPr>
          </w:p>
        </w:tc>
        <w:tc>
          <w:tcPr>
            <w:tcW w:w="1649" w:type="dxa"/>
            <w:vAlign w:val="top"/>
          </w:tcPr>
          <w:p>
            <w:pPr>
              <w:rPr>
                <w:rFonts w:ascii="Arial"/>
                <w:sz w:val="21"/>
              </w:rPr>
            </w:pPr>
          </w:p>
        </w:tc>
        <w:tc>
          <w:tcPr>
            <w:tcW w:w="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3" w:hRule="atLeast"/>
        </w:trPr>
        <w:tc>
          <w:tcPr>
            <w:tcW w:w="468" w:type="dxa"/>
            <w:vMerge w:val="continue"/>
            <w:tcBorders>
              <w:top w:val="nil"/>
            </w:tcBorders>
            <w:vAlign w:val="top"/>
          </w:tcPr>
          <w:p>
            <w:pPr>
              <w:rPr>
                <w:rFonts w:ascii="Arial"/>
                <w:sz w:val="21"/>
              </w:rPr>
            </w:pPr>
          </w:p>
        </w:tc>
        <w:tc>
          <w:tcPr>
            <w:tcW w:w="1144" w:type="dxa"/>
            <w:vMerge w:val="continue"/>
            <w:tcBorders>
              <w:top w:val="nil"/>
            </w:tcBorders>
            <w:vAlign w:val="top"/>
          </w:tcPr>
          <w:p>
            <w:pPr>
              <w:rPr>
                <w:rFonts w:ascii="Arial"/>
                <w:sz w:val="21"/>
              </w:rPr>
            </w:pPr>
          </w:p>
        </w:tc>
        <w:tc>
          <w:tcPr>
            <w:tcW w:w="1149" w:type="dxa"/>
            <w:vMerge w:val="continue"/>
            <w:tcBorders>
              <w:top w:val="nil"/>
            </w:tcBorders>
            <w:vAlign w:val="top"/>
          </w:tcPr>
          <w:p>
            <w:pPr>
              <w:rPr>
                <w:rFonts w:ascii="Arial"/>
                <w:sz w:val="21"/>
              </w:rPr>
            </w:pPr>
          </w:p>
        </w:tc>
        <w:tc>
          <w:tcPr>
            <w:tcW w:w="4489" w:type="dxa"/>
            <w:vAlign w:val="top"/>
          </w:tcPr>
          <w:p>
            <w:pPr>
              <w:pStyle w:val="6"/>
              <w:spacing w:before="71" w:line="221" w:lineRule="auto"/>
              <w:ind w:left="122"/>
              <w:rPr>
                <w:sz w:val="21"/>
                <w:szCs w:val="21"/>
              </w:rPr>
            </w:pPr>
            <w:r>
              <w:rPr>
                <w:spacing w:val="-3"/>
                <w:sz w:val="21"/>
                <w:szCs w:val="21"/>
                <w14:textOutline w14:w="3831" w14:cap="flat" w14:cmpd="sng">
                  <w14:solidFill>
                    <w14:srgbClr w14:val="000000"/>
                  </w14:solidFill>
                  <w14:prstDash w14:val="solid"/>
                  <w14:miter w14:val="10"/>
                </w14:textOutline>
              </w:rPr>
              <w:t>资源开发利用效率要求：</w:t>
            </w:r>
          </w:p>
          <w:p>
            <w:pPr>
              <w:pStyle w:val="6"/>
              <w:spacing w:before="60" w:line="221" w:lineRule="auto"/>
              <w:ind w:left="115"/>
              <w:rPr>
                <w:sz w:val="21"/>
                <w:szCs w:val="21"/>
              </w:rPr>
            </w:pPr>
            <w:r>
              <w:rPr>
                <w:spacing w:val="-1"/>
                <w:sz w:val="21"/>
                <w:szCs w:val="21"/>
              </w:rPr>
              <w:t>水资源利用总量要求</w:t>
            </w:r>
          </w:p>
          <w:p>
            <w:pPr>
              <w:pStyle w:val="6"/>
              <w:spacing w:before="61" w:line="231" w:lineRule="auto"/>
              <w:ind w:left="136" w:right="226" w:hanging="18"/>
              <w:rPr>
                <w:sz w:val="21"/>
                <w:szCs w:val="21"/>
              </w:rPr>
            </w:pPr>
            <w:r>
              <w:rPr>
                <w:spacing w:val="-4"/>
                <w:sz w:val="21"/>
                <w:szCs w:val="21"/>
              </w:rPr>
              <w:t>到</w:t>
            </w:r>
            <w:r>
              <w:rPr>
                <w:rFonts w:ascii="Times New Roman" w:hAnsi="Times New Roman" w:eastAsia="Times New Roman" w:cs="Times New Roman"/>
                <w:spacing w:val="-4"/>
                <w:sz w:val="21"/>
                <w:szCs w:val="21"/>
              </w:rPr>
              <w:t>2025</w:t>
            </w:r>
            <w:r>
              <w:rPr>
                <w:spacing w:val="-4"/>
                <w:sz w:val="21"/>
                <w:szCs w:val="21"/>
              </w:rPr>
              <w:t>年，</w:t>
            </w:r>
            <w:r>
              <w:rPr>
                <w:spacing w:val="-19"/>
                <w:sz w:val="21"/>
                <w:szCs w:val="21"/>
              </w:rPr>
              <w:t xml:space="preserve"> </w:t>
            </w:r>
            <w:r>
              <w:rPr>
                <w:spacing w:val="-4"/>
                <w:sz w:val="21"/>
                <w:szCs w:val="21"/>
              </w:rPr>
              <w:t>农田灌溉水有效利用系数达到</w:t>
            </w:r>
            <w:r>
              <w:rPr>
                <w:rFonts w:ascii="Times New Roman" w:hAnsi="Times New Roman" w:eastAsia="Times New Roman" w:cs="Times New Roman"/>
                <w:spacing w:val="-4"/>
                <w:sz w:val="21"/>
                <w:szCs w:val="21"/>
              </w:rPr>
              <w:t>0.57</w:t>
            </w:r>
            <w:r>
              <w:rPr>
                <w:rFonts w:ascii="Times New Roman" w:hAnsi="Times New Roman" w:eastAsia="Times New Roman" w:cs="Times New Roman"/>
                <w:sz w:val="21"/>
                <w:szCs w:val="21"/>
              </w:rPr>
              <w:t xml:space="preserve"> </w:t>
            </w:r>
            <w:r>
              <w:rPr>
                <w:spacing w:val="-14"/>
                <w:sz w:val="21"/>
                <w:szCs w:val="21"/>
              </w:rPr>
              <w:t>以上。</w:t>
            </w:r>
          </w:p>
          <w:p>
            <w:pPr>
              <w:pStyle w:val="6"/>
              <w:spacing w:before="57" w:line="220" w:lineRule="auto"/>
              <w:ind w:left="113"/>
              <w:rPr>
                <w:sz w:val="21"/>
                <w:szCs w:val="21"/>
              </w:rPr>
            </w:pPr>
            <w:r>
              <w:rPr>
                <w:spacing w:val="-1"/>
                <w:sz w:val="21"/>
                <w:szCs w:val="21"/>
              </w:rPr>
              <w:t>地下水开采要求</w:t>
            </w:r>
          </w:p>
          <w:p>
            <w:pPr>
              <w:pStyle w:val="6"/>
              <w:spacing w:before="63" w:line="221" w:lineRule="auto"/>
              <w:ind w:left="136"/>
              <w:rPr>
                <w:sz w:val="21"/>
                <w:szCs w:val="21"/>
              </w:rPr>
            </w:pPr>
            <w:r>
              <w:rPr>
                <w:spacing w:val="-4"/>
                <w:sz w:val="21"/>
                <w:szCs w:val="21"/>
              </w:rPr>
              <w:t>以省市下发指标为准</w:t>
            </w:r>
          </w:p>
          <w:p>
            <w:pPr>
              <w:pStyle w:val="6"/>
              <w:spacing w:before="61" w:line="221" w:lineRule="auto"/>
              <w:ind w:left="121"/>
              <w:rPr>
                <w:sz w:val="21"/>
                <w:szCs w:val="21"/>
              </w:rPr>
            </w:pPr>
            <w:r>
              <w:rPr>
                <w:spacing w:val="-2"/>
                <w:sz w:val="21"/>
                <w:szCs w:val="21"/>
              </w:rPr>
              <w:t>能源利用总量及效率要求</w:t>
            </w:r>
          </w:p>
          <w:p>
            <w:pPr>
              <w:pStyle w:val="6"/>
              <w:spacing w:before="62" w:line="233" w:lineRule="auto"/>
              <w:ind w:left="113" w:right="173"/>
              <w:jc w:val="both"/>
              <w:rPr>
                <w:sz w:val="21"/>
                <w:szCs w:val="21"/>
              </w:rPr>
            </w:pPr>
            <w:r>
              <w:rPr>
                <w:spacing w:val="-1"/>
                <w:sz w:val="21"/>
                <w:szCs w:val="21"/>
              </w:rPr>
              <w:t>推进清洁能源的推广使用，全面推进散煤清洁</w:t>
            </w:r>
            <w:r>
              <w:rPr>
                <w:spacing w:val="16"/>
                <w:sz w:val="21"/>
                <w:szCs w:val="21"/>
              </w:rPr>
              <w:t xml:space="preserve"> </w:t>
            </w:r>
            <w:r>
              <w:rPr>
                <w:spacing w:val="-1"/>
                <w:sz w:val="21"/>
                <w:szCs w:val="21"/>
              </w:rPr>
              <w:t>化整治；禁止新建每小时</w:t>
            </w:r>
            <w:r>
              <w:rPr>
                <w:rFonts w:ascii="Times New Roman" w:hAnsi="Times New Roman" w:eastAsia="Times New Roman" w:cs="Times New Roman"/>
                <w:spacing w:val="-1"/>
                <w:sz w:val="21"/>
                <w:szCs w:val="21"/>
              </w:rPr>
              <w:t>10</w:t>
            </w:r>
            <w:r>
              <w:rPr>
                <w:spacing w:val="-1"/>
                <w:sz w:val="21"/>
                <w:szCs w:val="21"/>
              </w:rPr>
              <w:t>蒸吨以下的燃煤锅</w:t>
            </w:r>
            <w:r>
              <w:rPr>
                <w:spacing w:val="14"/>
                <w:sz w:val="21"/>
                <w:szCs w:val="21"/>
              </w:rPr>
              <w:t xml:space="preserve"> </w:t>
            </w:r>
            <w:r>
              <w:rPr>
                <w:spacing w:val="-3"/>
                <w:sz w:val="21"/>
                <w:szCs w:val="21"/>
              </w:rPr>
              <w:t>炉及其他燃煤设施。</w:t>
            </w:r>
          </w:p>
          <w:p>
            <w:pPr>
              <w:pStyle w:val="6"/>
              <w:spacing w:before="60" w:line="230" w:lineRule="auto"/>
              <w:ind w:left="113" w:right="175"/>
              <w:rPr>
                <w:sz w:val="21"/>
                <w:szCs w:val="21"/>
              </w:rPr>
            </w:pPr>
            <w:r>
              <w:rPr>
                <w:spacing w:val="-4"/>
                <w:sz w:val="21"/>
                <w:szCs w:val="21"/>
              </w:rPr>
              <w:t>禁止焚烧秸秆和垃圾，到</w:t>
            </w:r>
            <w:r>
              <w:rPr>
                <w:rFonts w:ascii="Times New Roman" w:hAnsi="Times New Roman" w:eastAsia="Times New Roman" w:cs="Times New Roman"/>
                <w:spacing w:val="-4"/>
                <w:sz w:val="21"/>
                <w:szCs w:val="21"/>
              </w:rPr>
              <w:t>2025</w:t>
            </w:r>
            <w:r>
              <w:rPr>
                <w:spacing w:val="-4"/>
                <w:sz w:val="21"/>
                <w:szCs w:val="21"/>
              </w:rPr>
              <w:t>年底，</w:t>
            </w:r>
            <w:r>
              <w:rPr>
                <w:spacing w:val="-23"/>
                <w:sz w:val="21"/>
                <w:szCs w:val="21"/>
              </w:rPr>
              <w:t xml:space="preserve"> </w:t>
            </w:r>
            <w:r>
              <w:rPr>
                <w:spacing w:val="-4"/>
                <w:sz w:val="21"/>
                <w:szCs w:val="21"/>
              </w:rPr>
              <w:t>秸秆综合</w:t>
            </w:r>
            <w:r>
              <w:rPr>
                <w:sz w:val="21"/>
                <w:szCs w:val="21"/>
              </w:rPr>
              <w:t xml:space="preserve"> </w:t>
            </w:r>
            <w:r>
              <w:rPr>
                <w:spacing w:val="-1"/>
                <w:sz w:val="21"/>
                <w:szCs w:val="21"/>
              </w:rPr>
              <w:t>利用率达到</w:t>
            </w:r>
            <w:r>
              <w:rPr>
                <w:rFonts w:ascii="Times New Roman" w:hAnsi="Times New Roman" w:eastAsia="Times New Roman" w:cs="Times New Roman"/>
                <w:spacing w:val="-1"/>
                <w:sz w:val="21"/>
                <w:szCs w:val="21"/>
              </w:rPr>
              <w:t>86%</w:t>
            </w:r>
            <w:r>
              <w:rPr>
                <w:spacing w:val="-1"/>
                <w:sz w:val="21"/>
                <w:szCs w:val="21"/>
              </w:rPr>
              <w:t>以上。</w:t>
            </w:r>
          </w:p>
          <w:p>
            <w:pPr>
              <w:pStyle w:val="6"/>
              <w:spacing w:before="63" w:line="221" w:lineRule="auto"/>
              <w:ind w:left="113"/>
              <w:rPr>
                <w:sz w:val="21"/>
                <w:szCs w:val="21"/>
              </w:rPr>
            </w:pPr>
            <w:r>
              <w:rPr>
                <w:spacing w:val="-1"/>
                <w:sz w:val="21"/>
                <w:szCs w:val="21"/>
              </w:rPr>
              <w:t>禁燃区要求</w:t>
            </w:r>
          </w:p>
          <w:p>
            <w:pPr>
              <w:pStyle w:val="6"/>
              <w:spacing w:before="63" w:line="236" w:lineRule="auto"/>
              <w:ind w:left="113" w:right="10"/>
              <w:rPr>
                <w:sz w:val="21"/>
                <w:szCs w:val="21"/>
              </w:rPr>
            </w:pPr>
            <w:r>
              <w:rPr>
                <w:rFonts w:ascii="Times New Roman" w:hAnsi="Times New Roman" w:eastAsia="Times New Roman" w:cs="Times New Roman"/>
                <w:spacing w:val="-1"/>
                <w:sz w:val="21"/>
                <w:szCs w:val="21"/>
              </w:rPr>
              <w:t>-</w:t>
            </w:r>
            <w:r>
              <w:rPr>
                <w:spacing w:val="-1"/>
                <w:sz w:val="21"/>
                <w:szCs w:val="21"/>
              </w:rPr>
              <w:t>高污染燃料禁燃区内禁止燃用的燃料为《高污</w:t>
            </w:r>
            <w:r>
              <w:rPr>
                <w:spacing w:val="8"/>
                <w:sz w:val="21"/>
                <w:szCs w:val="21"/>
              </w:rPr>
              <w:t xml:space="preserve">  </w:t>
            </w:r>
            <w:r>
              <w:rPr>
                <w:spacing w:val="-4"/>
                <w:sz w:val="21"/>
                <w:szCs w:val="21"/>
              </w:rPr>
              <w:t>染燃料目录》（</w:t>
            </w:r>
            <w:r>
              <w:rPr>
                <w:rFonts w:ascii="Times New Roman" w:hAnsi="Times New Roman" w:eastAsia="Times New Roman" w:cs="Times New Roman"/>
                <w:spacing w:val="-4"/>
                <w:sz w:val="21"/>
                <w:szCs w:val="21"/>
              </w:rPr>
              <w:t>2017</w:t>
            </w:r>
            <w:r>
              <w:rPr>
                <w:spacing w:val="-4"/>
                <w:sz w:val="21"/>
                <w:szCs w:val="21"/>
              </w:rPr>
              <w:t>）中</w:t>
            </w:r>
            <w:r>
              <w:rPr>
                <w:rFonts w:ascii="Times New Roman" w:hAnsi="Times New Roman" w:eastAsia="Times New Roman" w:cs="Times New Roman"/>
                <w:spacing w:val="-4"/>
                <w:sz w:val="21"/>
                <w:szCs w:val="21"/>
              </w:rPr>
              <w:t>III</w:t>
            </w:r>
            <w:r>
              <w:rPr>
                <w:spacing w:val="-4"/>
                <w:sz w:val="21"/>
                <w:szCs w:val="21"/>
              </w:rPr>
              <w:t>类（严格）</w:t>
            </w:r>
            <w:r>
              <w:rPr>
                <w:spacing w:val="-32"/>
                <w:sz w:val="21"/>
                <w:szCs w:val="21"/>
              </w:rPr>
              <w:t xml:space="preserve"> </w:t>
            </w:r>
            <w:r>
              <w:rPr>
                <w:spacing w:val="-4"/>
                <w:sz w:val="21"/>
                <w:szCs w:val="21"/>
              </w:rPr>
              <w:t xml:space="preserve">燃料组  </w:t>
            </w:r>
            <w:r>
              <w:rPr>
                <w:spacing w:val="-8"/>
                <w:sz w:val="21"/>
                <w:szCs w:val="21"/>
              </w:rPr>
              <w:t>合，包括</w:t>
            </w:r>
            <w:r>
              <w:rPr>
                <w:spacing w:val="-11"/>
                <w:sz w:val="21"/>
                <w:szCs w:val="21"/>
              </w:rPr>
              <w:t>：</w:t>
            </w:r>
            <w:r>
              <w:rPr>
                <w:spacing w:val="-30"/>
                <w:sz w:val="21"/>
                <w:szCs w:val="21"/>
              </w:rPr>
              <w:t xml:space="preserve"> </w:t>
            </w:r>
            <w:r>
              <w:rPr>
                <w:spacing w:val="-11"/>
                <w:sz w:val="21"/>
                <w:szCs w:val="21"/>
              </w:rPr>
              <w:t>（</w:t>
            </w:r>
            <w:r>
              <w:rPr>
                <w:spacing w:val="-8"/>
                <w:sz w:val="21"/>
                <w:szCs w:val="21"/>
              </w:rPr>
              <w:t>一）煤炭及其制品</w:t>
            </w:r>
            <w:r>
              <w:rPr>
                <w:spacing w:val="-11"/>
                <w:sz w:val="21"/>
                <w:szCs w:val="21"/>
              </w:rPr>
              <w:t>；（</w:t>
            </w:r>
            <w:r>
              <w:rPr>
                <w:spacing w:val="-8"/>
                <w:sz w:val="21"/>
                <w:szCs w:val="21"/>
              </w:rPr>
              <w:t>二）</w:t>
            </w:r>
            <w:r>
              <w:rPr>
                <w:spacing w:val="-23"/>
                <w:sz w:val="21"/>
                <w:szCs w:val="21"/>
              </w:rPr>
              <w:t xml:space="preserve"> </w:t>
            </w:r>
            <w:r>
              <w:rPr>
                <w:spacing w:val="-8"/>
                <w:sz w:val="21"/>
                <w:szCs w:val="21"/>
              </w:rPr>
              <w:t xml:space="preserve">石油  </w:t>
            </w:r>
            <w:r>
              <w:rPr>
                <w:spacing w:val="-13"/>
                <w:sz w:val="21"/>
                <w:szCs w:val="21"/>
              </w:rPr>
              <w:t>焦、油页岩、原油、重油、渣油、煤焦油</w:t>
            </w:r>
            <w:r>
              <w:rPr>
                <w:spacing w:val="-1"/>
                <w:sz w:val="21"/>
                <w:szCs w:val="21"/>
              </w:rPr>
              <w:t>；（</w:t>
            </w:r>
            <w:r>
              <w:rPr>
                <w:spacing w:val="-13"/>
                <w:sz w:val="21"/>
                <w:szCs w:val="21"/>
              </w:rPr>
              <w:t>三）</w:t>
            </w:r>
            <w:r>
              <w:rPr>
                <w:spacing w:val="1"/>
                <w:sz w:val="21"/>
                <w:szCs w:val="21"/>
              </w:rPr>
              <w:t xml:space="preserve"> </w:t>
            </w:r>
            <w:r>
              <w:rPr>
                <w:spacing w:val="-2"/>
                <w:sz w:val="21"/>
                <w:szCs w:val="21"/>
              </w:rPr>
              <w:t>非专用锅炉或未配置高效除尘设施的专用锅炉  燃用的生物质成型燃料。</w:t>
            </w:r>
          </w:p>
          <w:p>
            <w:pPr>
              <w:pStyle w:val="6"/>
              <w:spacing w:before="59" w:line="231" w:lineRule="auto"/>
              <w:ind w:left="115" w:right="27" w:hanging="2"/>
              <w:rPr>
                <w:sz w:val="21"/>
                <w:szCs w:val="21"/>
              </w:rPr>
            </w:pPr>
            <w:r>
              <w:rPr>
                <w:rFonts w:ascii="Times New Roman" w:hAnsi="Times New Roman" w:eastAsia="Times New Roman" w:cs="Times New Roman"/>
                <w:spacing w:val="-1"/>
                <w:sz w:val="21"/>
                <w:szCs w:val="21"/>
              </w:rPr>
              <w:t>-</w:t>
            </w:r>
            <w:r>
              <w:rPr>
                <w:spacing w:val="-1"/>
                <w:sz w:val="21"/>
                <w:szCs w:val="21"/>
              </w:rPr>
              <w:t xml:space="preserve">禁燃区内禁止销售、燃用高污染燃料；禁止新 </w:t>
            </w:r>
            <w:r>
              <w:rPr>
                <w:spacing w:val="-4"/>
                <w:sz w:val="21"/>
                <w:szCs w:val="21"/>
              </w:rPr>
              <w:t>建、改建、扩建燃用高污染燃料的设施和设备。</w:t>
            </w:r>
          </w:p>
          <w:p>
            <w:pPr>
              <w:pStyle w:val="6"/>
              <w:spacing w:before="63" w:line="233" w:lineRule="auto"/>
              <w:ind w:left="113" w:right="104"/>
              <w:rPr>
                <w:sz w:val="21"/>
                <w:szCs w:val="21"/>
              </w:rPr>
            </w:pPr>
            <w:r>
              <w:rPr>
                <w:rFonts w:ascii="Times New Roman" w:hAnsi="Times New Roman" w:eastAsia="Times New Roman" w:cs="Times New Roman"/>
                <w:spacing w:val="-1"/>
                <w:sz w:val="21"/>
                <w:szCs w:val="21"/>
              </w:rPr>
              <w:t>-</w:t>
            </w:r>
            <w:r>
              <w:rPr>
                <w:spacing w:val="-1"/>
                <w:sz w:val="21"/>
                <w:szCs w:val="21"/>
              </w:rPr>
              <w:t>禁燃区内已建成的高污染燃料燃用设施由辖区</w:t>
            </w:r>
            <w:r>
              <w:rPr>
                <w:spacing w:val="16"/>
                <w:sz w:val="21"/>
                <w:szCs w:val="21"/>
              </w:rPr>
              <w:t xml:space="preserve"> </w:t>
            </w:r>
            <w:r>
              <w:rPr>
                <w:spacing w:val="-1"/>
                <w:sz w:val="21"/>
                <w:szCs w:val="21"/>
              </w:rPr>
              <w:t>人民政府制定限期改造计划，改用天然气、岩 气、液化石油气、电或其他清洁能源。</w:t>
            </w:r>
          </w:p>
        </w:tc>
        <w:tc>
          <w:tcPr>
            <w:tcW w:w="113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9" w:lineRule="auto"/>
              <w:ind w:left="156" w:right="139" w:firstLine="8"/>
              <w:rPr>
                <w:sz w:val="21"/>
                <w:szCs w:val="21"/>
              </w:rPr>
            </w:pPr>
            <w:r>
              <w:rPr>
                <w:spacing w:val="-4"/>
                <w:sz w:val="21"/>
                <w:szCs w:val="21"/>
              </w:rPr>
              <w:t>资源开发</w:t>
            </w:r>
            <w:r>
              <w:rPr>
                <w:sz w:val="21"/>
                <w:szCs w:val="21"/>
              </w:rPr>
              <w:t xml:space="preserve"> </w:t>
            </w:r>
            <w:r>
              <w:rPr>
                <w:spacing w:val="-2"/>
                <w:sz w:val="21"/>
                <w:szCs w:val="21"/>
              </w:rPr>
              <w:t>利用效率</w:t>
            </w:r>
          </w:p>
        </w:tc>
        <w:tc>
          <w:tcPr>
            <w:tcW w:w="326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8" w:line="221" w:lineRule="auto"/>
              <w:ind w:left="118"/>
              <w:rPr>
                <w:sz w:val="21"/>
                <w:szCs w:val="21"/>
              </w:rPr>
            </w:pPr>
            <w:r>
              <w:rPr>
                <w:spacing w:val="-1"/>
                <w:sz w:val="21"/>
                <w:szCs w:val="21"/>
              </w:rPr>
              <w:t>水资源利用效率要求</w:t>
            </w:r>
          </w:p>
          <w:p>
            <w:pPr>
              <w:pStyle w:val="6"/>
              <w:spacing w:before="61" w:line="230"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59" w:line="220" w:lineRule="auto"/>
              <w:ind w:left="115"/>
              <w:rPr>
                <w:sz w:val="21"/>
                <w:szCs w:val="21"/>
              </w:rPr>
            </w:pPr>
            <w:r>
              <w:rPr>
                <w:spacing w:val="-1"/>
                <w:sz w:val="21"/>
                <w:szCs w:val="21"/>
              </w:rPr>
              <w:t>地下水开采要求</w:t>
            </w:r>
          </w:p>
          <w:p>
            <w:pPr>
              <w:pStyle w:val="6"/>
              <w:spacing w:before="62" w:line="231"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59" w:line="221" w:lineRule="auto"/>
              <w:ind w:left="123"/>
              <w:rPr>
                <w:sz w:val="21"/>
                <w:szCs w:val="21"/>
              </w:rPr>
            </w:pPr>
            <w:r>
              <w:rPr>
                <w:spacing w:val="-2"/>
                <w:sz w:val="21"/>
                <w:szCs w:val="21"/>
              </w:rPr>
              <w:t>能源利用效率要求</w:t>
            </w:r>
          </w:p>
          <w:p>
            <w:pPr>
              <w:pStyle w:val="6"/>
              <w:spacing w:before="62" w:line="231" w:lineRule="auto"/>
              <w:ind w:left="116" w:right="205" w:firstLine="19"/>
              <w:rPr>
                <w:sz w:val="21"/>
                <w:szCs w:val="21"/>
              </w:rPr>
            </w:pPr>
            <w:r>
              <w:rPr>
                <w:spacing w:val="-2"/>
                <w:sz w:val="21"/>
                <w:szCs w:val="21"/>
              </w:rPr>
              <w:t>同达州市一般管控单元总体准入</w:t>
            </w:r>
            <w:r>
              <w:rPr>
                <w:spacing w:val="3"/>
                <w:sz w:val="21"/>
                <w:szCs w:val="21"/>
              </w:rPr>
              <w:t xml:space="preserve"> </w:t>
            </w:r>
            <w:r>
              <w:rPr>
                <w:spacing w:val="-2"/>
                <w:sz w:val="21"/>
                <w:szCs w:val="21"/>
              </w:rPr>
              <w:t>要求</w:t>
            </w:r>
          </w:p>
          <w:p>
            <w:pPr>
              <w:pStyle w:val="6"/>
              <w:spacing w:before="59" w:line="221" w:lineRule="auto"/>
              <w:ind w:left="116"/>
              <w:rPr>
                <w:sz w:val="21"/>
                <w:szCs w:val="21"/>
              </w:rPr>
            </w:pPr>
            <w:r>
              <w:rPr>
                <w:spacing w:val="-1"/>
                <w:sz w:val="21"/>
                <w:szCs w:val="21"/>
              </w:rPr>
              <w:t>其他资源利用效率要求</w:t>
            </w:r>
          </w:p>
        </w:tc>
        <w:tc>
          <w:tcPr>
            <w:tcW w:w="164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35" w:lineRule="auto"/>
              <w:ind w:left="116" w:right="99" w:firstLine="87"/>
              <w:jc w:val="both"/>
              <w:rPr>
                <w:sz w:val="21"/>
                <w:szCs w:val="21"/>
              </w:rPr>
            </w:pPr>
            <w:r>
              <w:rPr>
                <w:spacing w:val="-2"/>
                <w:sz w:val="21"/>
                <w:szCs w:val="21"/>
              </w:rPr>
              <w:t>本项目不涉及</w:t>
            </w:r>
            <w:r>
              <w:rPr>
                <w:spacing w:val="2"/>
                <w:sz w:val="21"/>
                <w:szCs w:val="21"/>
              </w:rPr>
              <w:t xml:space="preserve">  </w:t>
            </w:r>
            <w:r>
              <w:rPr>
                <w:spacing w:val="-7"/>
                <w:sz w:val="21"/>
                <w:szCs w:val="21"/>
              </w:rPr>
              <w:t>地下水开采，废</w:t>
            </w:r>
            <w:r>
              <w:rPr>
                <w:spacing w:val="5"/>
                <w:sz w:val="21"/>
                <w:szCs w:val="21"/>
              </w:rPr>
              <w:t xml:space="preserve"> </w:t>
            </w:r>
            <w:r>
              <w:rPr>
                <w:spacing w:val="-13"/>
                <w:sz w:val="21"/>
                <w:szCs w:val="21"/>
              </w:rPr>
              <w:t>水循环使用，</w:t>
            </w:r>
            <w:r>
              <w:rPr>
                <w:spacing w:val="-57"/>
                <w:sz w:val="21"/>
                <w:szCs w:val="21"/>
              </w:rPr>
              <w:t xml:space="preserve"> </w:t>
            </w:r>
            <w:r>
              <w:rPr>
                <w:spacing w:val="-13"/>
                <w:sz w:val="21"/>
                <w:szCs w:val="21"/>
              </w:rPr>
              <w:t>符</w:t>
            </w:r>
            <w:r>
              <w:rPr>
                <w:sz w:val="21"/>
                <w:szCs w:val="21"/>
              </w:rPr>
              <w:t xml:space="preserve"> </w:t>
            </w:r>
            <w:r>
              <w:rPr>
                <w:spacing w:val="13"/>
                <w:sz w:val="21"/>
                <w:szCs w:val="21"/>
              </w:rPr>
              <w:t>合资源开发。</w:t>
            </w:r>
          </w:p>
        </w:tc>
        <w:tc>
          <w:tcPr>
            <w:tcW w:w="72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8" w:line="221" w:lineRule="auto"/>
              <w:ind w:left="152"/>
              <w:rPr>
                <w:sz w:val="21"/>
                <w:szCs w:val="21"/>
              </w:rPr>
            </w:pPr>
            <w:r>
              <w:rPr>
                <w:spacing w:val="-2"/>
                <w:sz w:val="21"/>
                <w:szCs w:val="21"/>
              </w:rPr>
              <w:t>符合</w:t>
            </w:r>
          </w:p>
        </w:tc>
      </w:tr>
    </w:tbl>
    <w:p>
      <w:pPr>
        <w:pStyle w:val="2"/>
        <w:rPr>
          <w:sz w:val="21"/>
        </w:rPr>
      </w:pPr>
    </w:p>
    <w:p>
      <w:pPr>
        <w:rPr>
          <w:sz w:val="21"/>
          <w:szCs w:val="21"/>
        </w:rPr>
        <w:sectPr>
          <w:footerReference r:id="rId16" w:type="default"/>
          <w:pgSz w:w="16839" w:h="11907"/>
          <w:pgMar w:top="400" w:right="1411" w:bottom="1181" w:left="1396"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4"/>
        <w:gridCol w:w="1149"/>
        <w:gridCol w:w="4489"/>
        <w:gridCol w:w="1135"/>
        <w:gridCol w:w="326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8" w:type="dxa"/>
            <w:vMerge w:val="restart"/>
            <w:tcBorders>
              <w:bottom w:val="nil"/>
            </w:tcBorders>
            <w:vAlign w:val="top"/>
          </w:tcPr>
          <w:p>
            <w:pPr>
              <w:rPr>
                <w:rFonts w:ascii="Arial"/>
                <w:sz w:val="21"/>
              </w:rPr>
            </w:pPr>
          </w:p>
        </w:tc>
        <w:tc>
          <w:tcPr>
            <w:tcW w:w="1144" w:type="dxa"/>
            <w:vAlign w:val="top"/>
          </w:tcPr>
          <w:p>
            <w:pPr>
              <w:rPr>
                <w:rFonts w:ascii="Arial"/>
                <w:sz w:val="21"/>
              </w:rPr>
            </w:pPr>
          </w:p>
        </w:tc>
        <w:tc>
          <w:tcPr>
            <w:tcW w:w="1149" w:type="dxa"/>
            <w:vAlign w:val="top"/>
          </w:tcPr>
          <w:p>
            <w:pPr>
              <w:rPr>
                <w:rFonts w:ascii="Arial"/>
                <w:sz w:val="21"/>
              </w:rPr>
            </w:pPr>
          </w:p>
        </w:tc>
        <w:tc>
          <w:tcPr>
            <w:tcW w:w="4489" w:type="dxa"/>
            <w:vAlign w:val="top"/>
          </w:tcPr>
          <w:p>
            <w:pPr>
              <w:pStyle w:val="6"/>
              <w:spacing w:before="60" w:line="221" w:lineRule="auto"/>
              <w:ind w:left="113"/>
              <w:rPr>
                <w:sz w:val="21"/>
                <w:szCs w:val="21"/>
              </w:rPr>
            </w:pPr>
            <w:r>
              <w:rPr>
                <w:spacing w:val="-8"/>
                <w:sz w:val="21"/>
                <w:szCs w:val="21"/>
              </w:rPr>
              <w:t>其他资源利用效率要求： 暂无</w:t>
            </w:r>
          </w:p>
        </w:tc>
        <w:tc>
          <w:tcPr>
            <w:tcW w:w="1135" w:type="dxa"/>
            <w:vAlign w:val="top"/>
          </w:tcPr>
          <w:p>
            <w:pPr>
              <w:rPr>
                <w:rFonts w:ascii="Arial"/>
                <w:sz w:val="21"/>
              </w:rPr>
            </w:pPr>
          </w:p>
        </w:tc>
        <w:tc>
          <w:tcPr>
            <w:tcW w:w="3263" w:type="dxa"/>
            <w:vAlign w:val="top"/>
          </w:tcPr>
          <w:p>
            <w:pPr>
              <w:rPr>
                <w:rFonts w:ascii="Arial"/>
                <w:sz w:val="21"/>
              </w:rPr>
            </w:pPr>
          </w:p>
        </w:tc>
        <w:tc>
          <w:tcPr>
            <w:tcW w:w="1649" w:type="dxa"/>
            <w:vAlign w:val="top"/>
          </w:tcPr>
          <w:p>
            <w:pPr>
              <w:rPr>
                <w:rFonts w:ascii="Arial"/>
                <w:sz w:val="21"/>
              </w:rPr>
            </w:pPr>
          </w:p>
        </w:tc>
        <w:tc>
          <w:tcPr>
            <w:tcW w:w="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468" w:type="dxa"/>
            <w:vMerge w:val="continue"/>
            <w:tcBorders>
              <w:top w:val="nil"/>
              <w:bottom w:val="nil"/>
            </w:tcBorders>
            <w:vAlign w:val="top"/>
          </w:tcPr>
          <w:p>
            <w:pPr>
              <w:rPr>
                <w:rFonts w:ascii="Arial"/>
                <w:sz w:val="21"/>
              </w:rPr>
            </w:pPr>
          </w:p>
        </w:tc>
        <w:tc>
          <w:tcPr>
            <w:tcW w:w="1144"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0" w:line="233" w:lineRule="auto"/>
              <w:ind w:left="151" w:right="149" w:firstLine="21"/>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YS51170 </w:t>
            </w:r>
            <w:r>
              <w:rPr>
                <w:rFonts w:ascii="Times New Roman" w:hAnsi="Times New Roman" w:eastAsia="Times New Roman" w:cs="Times New Roman"/>
                <w:spacing w:val="-1"/>
                <w:sz w:val="21"/>
                <w:szCs w:val="21"/>
              </w:rPr>
              <w:t>23210001</w:t>
            </w:r>
          </w:p>
        </w:tc>
        <w:tc>
          <w:tcPr>
            <w:tcW w:w="114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33" w:lineRule="auto"/>
              <w:ind w:left="157" w:right="151" w:firstLine="1"/>
              <w:jc w:val="both"/>
              <w:rPr>
                <w:sz w:val="21"/>
                <w:szCs w:val="21"/>
              </w:rPr>
            </w:pPr>
            <w:r>
              <w:rPr>
                <w:spacing w:val="-2"/>
                <w:sz w:val="21"/>
                <w:szCs w:val="21"/>
              </w:rPr>
              <w:t>渠江通川</w:t>
            </w:r>
            <w:r>
              <w:rPr>
                <w:sz w:val="21"/>
                <w:szCs w:val="21"/>
              </w:rPr>
              <w:t xml:space="preserve"> </w:t>
            </w:r>
            <w:r>
              <w:rPr>
                <w:spacing w:val="-2"/>
                <w:sz w:val="21"/>
                <w:szCs w:val="21"/>
              </w:rPr>
              <w:t>区排马梯</w:t>
            </w:r>
            <w:r>
              <w:rPr>
                <w:spacing w:val="2"/>
                <w:sz w:val="21"/>
                <w:szCs w:val="21"/>
              </w:rPr>
              <w:t xml:space="preserve"> </w:t>
            </w:r>
            <w:r>
              <w:rPr>
                <w:spacing w:val="-2"/>
                <w:sz w:val="21"/>
                <w:szCs w:val="21"/>
              </w:rPr>
              <w:t>控制单元</w:t>
            </w:r>
          </w:p>
        </w:tc>
        <w:tc>
          <w:tcPr>
            <w:tcW w:w="448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9" w:line="220" w:lineRule="auto"/>
              <w:ind w:left="119"/>
              <w:rPr>
                <w:sz w:val="21"/>
                <w:szCs w:val="21"/>
              </w:rPr>
            </w:pPr>
            <w:r>
              <w:rPr>
                <w:spacing w:val="-7"/>
                <w:sz w:val="21"/>
                <w:szCs w:val="21"/>
                <w14:textOutline w14:w="3831" w14:cap="flat" w14:cmpd="sng">
                  <w14:solidFill>
                    <w14:srgbClr w14:val="000000"/>
                  </w14:solidFill>
                  <w14:prstDash w14:val="solid"/>
                  <w14:miter w14:val="10"/>
                </w14:textOutline>
              </w:rPr>
              <w:t>空间布局约束：</w:t>
            </w:r>
          </w:p>
          <w:p>
            <w:pPr>
              <w:pStyle w:val="6"/>
              <w:spacing w:before="61" w:line="221" w:lineRule="auto"/>
              <w:ind w:left="113"/>
              <w:rPr>
                <w:sz w:val="21"/>
                <w:szCs w:val="21"/>
              </w:rPr>
            </w:pPr>
            <w:r>
              <w:rPr>
                <w:spacing w:val="-1"/>
                <w:sz w:val="21"/>
                <w:szCs w:val="21"/>
              </w:rPr>
              <w:t>禁止开发建设活动的要求：暂无</w:t>
            </w:r>
          </w:p>
          <w:p>
            <w:pPr>
              <w:pStyle w:val="6"/>
              <w:spacing w:before="62" w:line="221" w:lineRule="auto"/>
              <w:ind w:left="127"/>
              <w:rPr>
                <w:sz w:val="21"/>
                <w:szCs w:val="21"/>
              </w:rPr>
            </w:pPr>
            <w:r>
              <w:rPr>
                <w:spacing w:val="-2"/>
                <w:sz w:val="21"/>
                <w:szCs w:val="21"/>
              </w:rPr>
              <w:t>限制开发建设活动的要求：暂无</w:t>
            </w:r>
          </w:p>
          <w:p>
            <w:pPr>
              <w:pStyle w:val="6"/>
              <w:spacing w:before="60" w:line="220" w:lineRule="auto"/>
              <w:ind w:left="116"/>
              <w:rPr>
                <w:sz w:val="21"/>
                <w:szCs w:val="21"/>
              </w:rPr>
            </w:pPr>
            <w:r>
              <w:rPr>
                <w:spacing w:val="-1"/>
                <w:sz w:val="21"/>
                <w:szCs w:val="21"/>
              </w:rPr>
              <w:t>不符合空间布局要求活动的退出要求：暂无</w:t>
            </w:r>
          </w:p>
          <w:p>
            <w:pPr>
              <w:pStyle w:val="6"/>
              <w:spacing w:before="61" w:line="220" w:lineRule="auto"/>
              <w:ind w:left="113"/>
              <w:rPr>
                <w:sz w:val="21"/>
                <w:szCs w:val="21"/>
              </w:rPr>
            </w:pPr>
            <w:r>
              <w:rPr>
                <w:spacing w:val="-8"/>
                <w:sz w:val="21"/>
                <w:szCs w:val="21"/>
              </w:rPr>
              <w:t>其他空间布局约束要求： 暂无</w:t>
            </w:r>
          </w:p>
          <w:p>
            <w:pPr>
              <w:pStyle w:val="6"/>
              <w:spacing w:before="61" w:line="221" w:lineRule="auto"/>
              <w:ind w:left="114"/>
              <w:rPr>
                <w:sz w:val="21"/>
                <w:szCs w:val="21"/>
              </w:rPr>
            </w:pPr>
            <w:r>
              <w:rPr>
                <w:spacing w:val="-6"/>
                <w:sz w:val="21"/>
                <w:szCs w:val="21"/>
                <w14:textOutline w14:w="3831" w14:cap="flat" w14:cmpd="sng">
                  <w14:solidFill>
                    <w14:srgbClr w14:val="000000"/>
                  </w14:solidFill>
                  <w14:prstDash w14:val="solid"/>
                  <w14:miter w14:val="10"/>
                </w14:textOutline>
              </w:rPr>
              <w:t>污染物排放管控：</w:t>
            </w:r>
          </w:p>
          <w:p>
            <w:pPr>
              <w:pStyle w:val="6"/>
              <w:spacing w:before="60" w:line="221" w:lineRule="auto"/>
              <w:ind w:left="120"/>
              <w:rPr>
                <w:sz w:val="21"/>
                <w:szCs w:val="21"/>
              </w:rPr>
            </w:pPr>
            <w:r>
              <w:rPr>
                <w:spacing w:val="-2"/>
                <w:sz w:val="21"/>
                <w:szCs w:val="21"/>
              </w:rPr>
              <w:t>允许排放量要求：暂无</w:t>
            </w:r>
          </w:p>
          <w:p>
            <w:pPr>
              <w:pStyle w:val="6"/>
              <w:spacing w:before="61" w:line="221" w:lineRule="auto"/>
              <w:ind w:left="114"/>
              <w:rPr>
                <w:sz w:val="21"/>
                <w:szCs w:val="21"/>
              </w:rPr>
            </w:pPr>
            <w:r>
              <w:rPr>
                <w:spacing w:val="-9"/>
                <w:sz w:val="21"/>
                <w:szCs w:val="21"/>
              </w:rPr>
              <w:t>现有源提标升级改： 暂无</w:t>
            </w:r>
          </w:p>
          <w:p>
            <w:pPr>
              <w:pStyle w:val="6"/>
              <w:spacing w:before="63" w:line="221" w:lineRule="auto"/>
              <w:ind w:left="113"/>
              <w:rPr>
                <w:sz w:val="21"/>
                <w:szCs w:val="21"/>
              </w:rPr>
            </w:pPr>
            <w:r>
              <w:rPr>
                <w:spacing w:val="-1"/>
                <w:sz w:val="21"/>
                <w:szCs w:val="21"/>
              </w:rPr>
              <w:t>其他污染物排放管控要求：暂无</w:t>
            </w:r>
          </w:p>
          <w:p>
            <w:pPr>
              <w:pStyle w:val="6"/>
              <w:spacing w:before="61" w:line="221" w:lineRule="auto"/>
              <w:ind w:left="113"/>
              <w:rPr>
                <w:sz w:val="21"/>
                <w:szCs w:val="21"/>
              </w:rPr>
            </w:pPr>
            <w:r>
              <w:rPr>
                <w:spacing w:val="-7"/>
                <w:sz w:val="21"/>
                <w:szCs w:val="21"/>
                <w14:textOutline w14:w="3831" w14:cap="flat" w14:cmpd="sng">
                  <w14:solidFill>
                    <w14:srgbClr w14:val="000000"/>
                  </w14:solidFill>
                  <w14:prstDash w14:val="solid"/>
                  <w14:miter w14:val="10"/>
                </w14:textOutline>
              </w:rPr>
              <w:t>环境风险防控：</w:t>
            </w:r>
          </w:p>
          <w:p>
            <w:pPr>
              <w:pStyle w:val="6"/>
              <w:spacing w:before="61" w:line="221" w:lineRule="auto"/>
              <w:ind w:left="113"/>
              <w:rPr>
                <w:sz w:val="21"/>
                <w:szCs w:val="21"/>
              </w:rPr>
            </w:pPr>
            <w:r>
              <w:rPr>
                <w:spacing w:val="-11"/>
                <w:sz w:val="21"/>
                <w:szCs w:val="21"/>
              </w:rPr>
              <w:t>联防联控要求： 暂无</w:t>
            </w:r>
          </w:p>
          <w:p>
            <w:pPr>
              <w:pStyle w:val="6"/>
              <w:spacing w:before="61" w:line="221" w:lineRule="auto"/>
              <w:ind w:left="113"/>
              <w:rPr>
                <w:sz w:val="21"/>
                <w:szCs w:val="21"/>
              </w:rPr>
            </w:pPr>
            <w:r>
              <w:rPr>
                <w:spacing w:val="-8"/>
                <w:sz w:val="21"/>
                <w:szCs w:val="21"/>
              </w:rPr>
              <w:t>其他环境风险防控要求： 暂无</w:t>
            </w:r>
          </w:p>
          <w:p>
            <w:pPr>
              <w:pStyle w:val="6"/>
              <w:spacing w:before="60" w:line="221" w:lineRule="auto"/>
              <w:ind w:left="122"/>
              <w:rPr>
                <w:sz w:val="21"/>
                <w:szCs w:val="21"/>
              </w:rPr>
            </w:pPr>
            <w:r>
              <w:rPr>
                <w:spacing w:val="-3"/>
                <w:sz w:val="21"/>
                <w:szCs w:val="21"/>
                <w14:textOutline w14:w="3831" w14:cap="flat" w14:cmpd="sng">
                  <w14:solidFill>
                    <w14:srgbClr w14:val="000000"/>
                  </w14:solidFill>
                  <w14:prstDash w14:val="solid"/>
                  <w14:miter w14:val="10"/>
                </w14:textOutline>
              </w:rPr>
              <w:t>资源开发利用效率要求：</w:t>
            </w:r>
          </w:p>
          <w:p>
            <w:pPr>
              <w:pStyle w:val="6"/>
              <w:spacing w:before="60" w:line="221" w:lineRule="auto"/>
              <w:ind w:left="115"/>
              <w:rPr>
                <w:sz w:val="21"/>
                <w:szCs w:val="21"/>
              </w:rPr>
            </w:pPr>
            <w:r>
              <w:rPr>
                <w:spacing w:val="-1"/>
                <w:sz w:val="21"/>
                <w:szCs w:val="21"/>
              </w:rPr>
              <w:t>水资源利用总量要求：暂无</w:t>
            </w:r>
          </w:p>
          <w:p>
            <w:pPr>
              <w:pStyle w:val="6"/>
              <w:spacing w:before="61" w:line="220" w:lineRule="auto"/>
              <w:ind w:left="113"/>
              <w:rPr>
                <w:sz w:val="21"/>
                <w:szCs w:val="21"/>
              </w:rPr>
            </w:pPr>
            <w:r>
              <w:rPr>
                <w:spacing w:val="-1"/>
                <w:sz w:val="21"/>
                <w:szCs w:val="21"/>
              </w:rPr>
              <w:t>地下水开采要求：暂无</w:t>
            </w:r>
          </w:p>
          <w:p>
            <w:pPr>
              <w:pStyle w:val="6"/>
              <w:spacing w:before="64" w:line="221" w:lineRule="auto"/>
              <w:ind w:left="121"/>
              <w:rPr>
                <w:sz w:val="21"/>
                <w:szCs w:val="21"/>
              </w:rPr>
            </w:pPr>
            <w:r>
              <w:rPr>
                <w:spacing w:val="-2"/>
                <w:sz w:val="21"/>
                <w:szCs w:val="21"/>
              </w:rPr>
              <w:t>能源利用总量及效率要求：暂无</w:t>
            </w:r>
          </w:p>
          <w:p>
            <w:pPr>
              <w:pStyle w:val="6"/>
              <w:spacing w:before="61" w:line="221" w:lineRule="auto"/>
              <w:ind w:left="113"/>
              <w:rPr>
                <w:sz w:val="21"/>
                <w:szCs w:val="21"/>
              </w:rPr>
            </w:pPr>
            <w:r>
              <w:rPr>
                <w:spacing w:val="-1"/>
                <w:sz w:val="21"/>
                <w:szCs w:val="21"/>
              </w:rPr>
              <w:t>禁燃区要求：暂无</w:t>
            </w:r>
          </w:p>
          <w:p>
            <w:pPr>
              <w:pStyle w:val="6"/>
              <w:spacing w:before="60" w:line="221" w:lineRule="auto"/>
              <w:ind w:left="113"/>
              <w:rPr>
                <w:sz w:val="21"/>
                <w:szCs w:val="21"/>
              </w:rPr>
            </w:pPr>
            <w:r>
              <w:rPr>
                <w:spacing w:val="-1"/>
                <w:sz w:val="21"/>
                <w:szCs w:val="21"/>
              </w:rPr>
              <w:t>其他资源利用效率要求：暂无</w:t>
            </w:r>
          </w:p>
        </w:tc>
        <w:tc>
          <w:tcPr>
            <w:tcW w:w="1135" w:type="dxa"/>
            <w:vAlign w:val="top"/>
          </w:tcPr>
          <w:p>
            <w:pPr>
              <w:spacing w:line="312" w:lineRule="auto"/>
              <w:rPr>
                <w:rFonts w:ascii="Arial"/>
                <w:sz w:val="21"/>
              </w:rPr>
            </w:pPr>
          </w:p>
          <w:p>
            <w:pPr>
              <w:spacing w:line="313" w:lineRule="auto"/>
              <w:rPr>
                <w:rFonts w:ascii="Arial"/>
                <w:sz w:val="21"/>
              </w:rPr>
            </w:pPr>
          </w:p>
          <w:p>
            <w:pPr>
              <w:pStyle w:val="6"/>
              <w:spacing w:before="69" w:line="229" w:lineRule="auto"/>
              <w:ind w:left="369" w:right="139" w:hanging="207"/>
              <w:rPr>
                <w:sz w:val="21"/>
                <w:szCs w:val="21"/>
              </w:rPr>
            </w:pPr>
            <w:r>
              <w:rPr>
                <w:spacing w:val="-4"/>
                <w:sz w:val="21"/>
                <w:szCs w:val="21"/>
              </w:rPr>
              <w:t>空间布局</w:t>
            </w:r>
            <w:r>
              <w:rPr>
                <w:spacing w:val="2"/>
                <w:sz w:val="21"/>
                <w:szCs w:val="21"/>
              </w:rPr>
              <w:t xml:space="preserve"> </w:t>
            </w:r>
            <w:r>
              <w:rPr>
                <w:spacing w:val="-3"/>
                <w:sz w:val="21"/>
                <w:szCs w:val="21"/>
              </w:rPr>
              <w:t>约束</w:t>
            </w:r>
          </w:p>
        </w:tc>
        <w:tc>
          <w:tcPr>
            <w:tcW w:w="3263" w:type="dxa"/>
            <w:vAlign w:val="top"/>
          </w:tcPr>
          <w:p>
            <w:pPr>
              <w:pStyle w:val="6"/>
              <w:spacing w:before="72" w:line="310" w:lineRule="exact"/>
              <w:ind w:left="115"/>
              <w:rPr>
                <w:sz w:val="21"/>
                <w:szCs w:val="21"/>
              </w:rPr>
            </w:pPr>
            <w:r>
              <w:rPr>
                <w:spacing w:val="-1"/>
                <w:position w:val="7"/>
                <w:sz w:val="21"/>
                <w:szCs w:val="21"/>
              </w:rPr>
              <w:t>禁止开发建设活动的要求</w:t>
            </w:r>
          </w:p>
          <w:p>
            <w:pPr>
              <w:pStyle w:val="6"/>
              <w:spacing w:line="221" w:lineRule="auto"/>
              <w:ind w:left="130"/>
              <w:rPr>
                <w:sz w:val="21"/>
                <w:szCs w:val="21"/>
              </w:rPr>
            </w:pPr>
            <w:r>
              <w:rPr>
                <w:spacing w:val="-2"/>
                <w:sz w:val="21"/>
                <w:szCs w:val="21"/>
              </w:rPr>
              <w:t>限制开发建设活动的要求</w:t>
            </w:r>
          </w:p>
          <w:p>
            <w:pPr>
              <w:pStyle w:val="6"/>
              <w:spacing w:before="62" w:line="221" w:lineRule="auto"/>
              <w:ind w:left="123"/>
              <w:rPr>
                <w:sz w:val="21"/>
                <w:szCs w:val="21"/>
              </w:rPr>
            </w:pPr>
            <w:r>
              <w:rPr>
                <w:spacing w:val="-2"/>
                <w:sz w:val="21"/>
                <w:szCs w:val="21"/>
              </w:rPr>
              <w:t>允许开发建设活动的要求</w:t>
            </w:r>
          </w:p>
          <w:p>
            <w:pPr>
              <w:pStyle w:val="6"/>
              <w:spacing w:before="61" w:line="230" w:lineRule="auto"/>
              <w:ind w:left="116" w:right="205" w:firstLine="2"/>
              <w:rPr>
                <w:sz w:val="21"/>
                <w:szCs w:val="21"/>
              </w:rPr>
            </w:pPr>
            <w:r>
              <w:rPr>
                <w:spacing w:val="-1"/>
                <w:sz w:val="21"/>
                <w:szCs w:val="21"/>
              </w:rPr>
              <w:t>不符合空间布局要求活动的退出</w:t>
            </w:r>
            <w:r>
              <w:rPr>
                <w:spacing w:val="6"/>
                <w:sz w:val="21"/>
                <w:szCs w:val="21"/>
              </w:rPr>
              <w:t xml:space="preserve"> </w:t>
            </w:r>
            <w:r>
              <w:rPr>
                <w:spacing w:val="-2"/>
                <w:sz w:val="21"/>
                <w:szCs w:val="21"/>
              </w:rPr>
              <w:t>要求</w:t>
            </w:r>
          </w:p>
          <w:p>
            <w:pPr>
              <w:pStyle w:val="6"/>
              <w:spacing w:before="59" w:line="220" w:lineRule="auto"/>
              <w:ind w:left="116"/>
              <w:rPr>
                <w:sz w:val="21"/>
                <w:szCs w:val="21"/>
              </w:rPr>
            </w:pPr>
            <w:r>
              <w:rPr>
                <w:spacing w:val="-1"/>
                <w:sz w:val="21"/>
                <w:szCs w:val="21"/>
              </w:rPr>
              <w:t>其他空间布局约束要求</w:t>
            </w:r>
          </w:p>
        </w:tc>
        <w:tc>
          <w:tcPr>
            <w:tcW w:w="164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0"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468" w:type="dxa"/>
            <w:vMerge w:val="continue"/>
            <w:tcBorders>
              <w:top w:val="nil"/>
              <w:bottom w:val="nil"/>
            </w:tcBorders>
            <w:vAlign w:val="top"/>
          </w:tcPr>
          <w:p>
            <w:pPr>
              <w:rPr>
                <w:rFonts w:ascii="Arial"/>
                <w:sz w:val="21"/>
              </w:rPr>
            </w:pPr>
          </w:p>
        </w:tc>
        <w:tc>
          <w:tcPr>
            <w:tcW w:w="1144" w:type="dxa"/>
            <w:vMerge w:val="continue"/>
            <w:tcBorders>
              <w:top w:val="nil"/>
              <w:bottom w:val="nil"/>
            </w:tcBorders>
            <w:vAlign w:val="top"/>
          </w:tcPr>
          <w:p>
            <w:pPr>
              <w:rPr>
                <w:rFonts w:ascii="Arial"/>
                <w:sz w:val="21"/>
              </w:rPr>
            </w:pPr>
          </w:p>
        </w:tc>
        <w:tc>
          <w:tcPr>
            <w:tcW w:w="1149" w:type="dxa"/>
            <w:vMerge w:val="continue"/>
            <w:tcBorders>
              <w:top w:val="nil"/>
              <w:bottom w:val="nil"/>
            </w:tcBorders>
            <w:vAlign w:val="top"/>
          </w:tcPr>
          <w:p>
            <w:pPr>
              <w:rPr>
                <w:rFonts w:ascii="Arial"/>
                <w:sz w:val="21"/>
              </w:rPr>
            </w:pPr>
          </w:p>
        </w:tc>
        <w:tc>
          <w:tcPr>
            <w:tcW w:w="4489" w:type="dxa"/>
            <w:vMerge w:val="continue"/>
            <w:tcBorders>
              <w:top w:val="nil"/>
              <w:bottom w:val="nil"/>
            </w:tcBorders>
            <w:vAlign w:val="top"/>
          </w:tcPr>
          <w:p>
            <w:pPr>
              <w:rPr>
                <w:rFonts w:ascii="Arial"/>
                <w:sz w:val="21"/>
              </w:rPr>
            </w:pPr>
          </w:p>
        </w:tc>
        <w:tc>
          <w:tcPr>
            <w:tcW w:w="1135" w:type="dxa"/>
            <w:vAlign w:val="top"/>
          </w:tcPr>
          <w:p>
            <w:pPr>
              <w:spacing w:line="312" w:lineRule="auto"/>
              <w:rPr>
                <w:rFonts w:ascii="Arial"/>
                <w:sz w:val="21"/>
              </w:rPr>
            </w:pPr>
          </w:p>
          <w:p>
            <w:pPr>
              <w:spacing w:line="313" w:lineRule="auto"/>
              <w:rPr>
                <w:rFonts w:ascii="Arial"/>
                <w:sz w:val="21"/>
              </w:rPr>
            </w:pPr>
          </w:p>
          <w:p>
            <w:pPr>
              <w:pStyle w:val="6"/>
              <w:spacing w:before="68" w:line="229" w:lineRule="auto"/>
              <w:ind w:left="258" w:right="139" w:hanging="101"/>
              <w:rPr>
                <w:sz w:val="21"/>
                <w:szCs w:val="21"/>
              </w:rPr>
            </w:pPr>
            <w:r>
              <w:rPr>
                <w:spacing w:val="-2"/>
                <w:sz w:val="21"/>
                <w:szCs w:val="21"/>
              </w:rPr>
              <w:t>污染物排</w:t>
            </w:r>
            <w:r>
              <w:rPr>
                <w:sz w:val="21"/>
                <w:szCs w:val="21"/>
              </w:rPr>
              <w:t xml:space="preserve"> </w:t>
            </w:r>
            <w:r>
              <w:rPr>
                <w:spacing w:val="-2"/>
                <w:sz w:val="21"/>
                <w:szCs w:val="21"/>
              </w:rPr>
              <w:t>放管控</w:t>
            </w:r>
          </w:p>
        </w:tc>
        <w:tc>
          <w:tcPr>
            <w:tcW w:w="3263" w:type="dxa"/>
            <w:vAlign w:val="top"/>
          </w:tcPr>
          <w:p>
            <w:pPr>
              <w:pStyle w:val="6"/>
              <w:spacing w:before="71" w:line="221" w:lineRule="auto"/>
              <w:ind w:left="115"/>
              <w:rPr>
                <w:sz w:val="21"/>
                <w:szCs w:val="21"/>
              </w:rPr>
            </w:pPr>
            <w:r>
              <w:rPr>
                <w:spacing w:val="-1"/>
                <w:sz w:val="21"/>
                <w:szCs w:val="21"/>
              </w:rPr>
              <w:t>城镇污水污染控制措施要求</w:t>
            </w:r>
          </w:p>
          <w:p>
            <w:pPr>
              <w:pStyle w:val="6"/>
              <w:spacing w:before="61" w:line="221" w:lineRule="auto"/>
              <w:ind w:left="118"/>
              <w:rPr>
                <w:sz w:val="21"/>
                <w:szCs w:val="21"/>
              </w:rPr>
            </w:pPr>
            <w:r>
              <w:rPr>
                <w:spacing w:val="-1"/>
                <w:sz w:val="21"/>
                <w:szCs w:val="21"/>
              </w:rPr>
              <w:t>工业废水污染控制措施要求</w:t>
            </w:r>
          </w:p>
          <w:p>
            <w:pPr>
              <w:pStyle w:val="6"/>
              <w:spacing w:before="60" w:line="221" w:lineRule="auto"/>
              <w:ind w:left="115"/>
              <w:rPr>
                <w:sz w:val="21"/>
                <w:szCs w:val="21"/>
              </w:rPr>
            </w:pPr>
            <w:r>
              <w:rPr>
                <w:spacing w:val="-1"/>
                <w:sz w:val="21"/>
                <w:szCs w:val="21"/>
              </w:rPr>
              <w:t>农业面源水污染控制措施要求</w:t>
            </w:r>
          </w:p>
          <w:p>
            <w:pPr>
              <w:pStyle w:val="6"/>
              <w:spacing w:before="60" w:line="221" w:lineRule="auto"/>
              <w:ind w:left="115"/>
              <w:rPr>
                <w:sz w:val="21"/>
                <w:szCs w:val="21"/>
              </w:rPr>
            </w:pPr>
            <w:r>
              <w:rPr>
                <w:spacing w:val="-1"/>
                <w:sz w:val="21"/>
                <w:szCs w:val="21"/>
              </w:rPr>
              <w:t>船舶港口水污染控制措施要求</w:t>
            </w:r>
          </w:p>
          <w:p>
            <w:pPr>
              <w:pStyle w:val="6"/>
              <w:spacing w:before="61" w:line="230" w:lineRule="auto"/>
              <w:ind w:left="115" w:right="205"/>
              <w:rPr>
                <w:sz w:val="21"/>
                <w:szCs w:val="21"/>
              </w:rPr>
            </w:pPr>
            <w:r>
              <w:rPr>
                <w:spacing w:val="-1"/>
                <w:sz w:val="21"/>
                <w:szCs w:val="21"/>
              </w:rPr>
              <w:t>饮用水水源和其它特殊水体保护</w:t>
            </w:r>
            <w:r>
              <w:rPr>
                <w:spacing w:val="9"/>
                <w:sz w:val="21"/>
                <w:szCs w:val="21"/>
              </w:rPr>
              <w:t xml:space="preserve"> </w:t>
            </w:r>
            <w:r>
              <w:rPr>
                <w:spacing w:val="-2"/>
                <w:sz w:val="21"/>
                <w:szCs w:val="21"/>
              </w:rPr>
              <w:t>要求</w:t>
            </w:r>
          </w:p>
        </w:tc>
        <w:tc>
          <w:tcPr>
            <w:tcW w:w="164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0"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9"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8" w:type="dxa"/>
            <w:vMerge w:val="continue"/>
            <w:tcBorders>
              <w:top w:val="nil"/>
              <w:bottom w:val="nil"/>
            </w:tcBorders>
            <w:vAlign w:val="top"/>
          </w:tcPr>
          <w:p>
            <w:pPr>
              <w:rPr>
                <w:rFonts w:ascii="Arial"/>
                <w:sz w:val="21"/>
              </w:rPr>
            </w:pPr>
          </w:p>
        </w:tc>
        <w:tc>
          <w:tcPr>
            <w:tcW w:w="1144" w:type="dxa"/>
            <w:vMerge w:val="continue"/>
            <w:tcBorders>
              <w:top w:val="nil"/>
              <w:bottom w:val="nil"/>
            </w:tcBorders>
            <w:vAlign w:val="top"/>
          </w:tcPr>
          <w:p>
            <w:pPr>
              <w:rPr>
                <w:rFonts w:ascii="Arial"/>
                <w:sz w:val="21"/>
              </w:rPr>
            </w:pPr>
          </w:p>
        </w:tc>
        <w:tc>
          <w:tcPr>
            <w:tcW w:w="1149" w:type="dxa"/>
            <w:vMerge w:val="continue"/>
            <w:tcBorders>
              <w:top w:val="nil"/>
              <w:bottom w:val="nil"/>
            </w:tcBorders>
            <w:vAlign w:val="top"/>
          </w:tcPr>
          <w:p>
            <w:pPr>
              <w:rPr>
                <w:rFonts w:ascii="Arial"/>
                <w:sz w:val="21"/>
              </w:rPr>
            </w:pPr>
          </w:p>
        </w:tc>
        <w:tc>
          <w:tcPr>
            <w:tcW w:w="4489" w:type="dxa"/>
            <w:vMerge w:val="continue"/>
            <w:tcBorders>
              <w:top w:val="nil"/>
              <w:bottom w:val="nil"/>
            </w:tcBorders>
            <w:vAlign w:val="top"/>
          </w:tcPr>
          <w:p>
            <w:pPr>
              <w:rPr>
                <w:rFonts w:ascii="Arial"/>
                <w:sz w:val="21"/>
              </w:rPr>
            </w:pPr>
          </w:p>
        </w:tc>
        <w:tc>
          <w:tcPr>
            <w:tcW w:w="1135" w:type="dxa"/>
            <w:vAlign w:val="top"/>
          </w:tcPr>
          <w:p>
            <w:pPr>
              <w:pStyle w:val="6"/>
              <w:spacing w:before="73" w:line="230" w:lineRule="auto"/>
              <w:ind w:left="377" w:right="139" w:hanging="222"/>
              <w:rPr>
                <w:sz w:val="21"/>
                <w:szCs w:val="21"/>
              </w:rPr>
            </w:pPr>
            <w:r>
              <w:rPr>
                <w:spacing w:val="-2"/>
                <w:sz w:val="21"/>
                <w:szCs w:val="21"/>
              </w:rPr>
              <w:t>环境风险</w:t>
            </w:r>
            <w:r>
              <w:rPr>
                <w:spacing w:val="1"/>
                <w:sz w:val="21"/>
                <w:szCs w:val="21"/>
              </w:rPr>
              <w:t xml:space="preserve"> </w:t>
            </w:r>
            <w:r>
              <w:rPr>
                <w:spacing w:val="-5"/>
                <w:sz w:val="21"/>
                <w:szCs w:val="21"/>
              </w:rPr>
              <w:t>防控</w:t>
            </w:r>
          </w:p>
        </w:tc>
        <w:tc>
          <w:tcPr>
            <w:tcW w:w="3263" w:type="dxa"/>
            <w:vAlign w:val="top"/>
          </w:tcPr>
          <w:p>
            <w:pPr>
              <w:spacing w:before="245" w:line="233" w:lineRule="auto"/>
              <w:ind w:left="1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49" w:type="dxa"/>
            <w:vAlign w:val="top"/>
          </w:tcPr>
          <w:p>
            <w:pPr>
              <w:spacing w:before="245"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pStyle w:val="6"/>
              <w:spacing w:before="207"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468" w:type="dxa"/>
            <w:vMerge w:val="continue"/>
            <w:tcBorders>
              <w:top w:val="nil"/>
              <w:bottom w:val="nil"/>
            </w:tcBorders>
            <w:vAlign w:val="top"/>
          </w:tcPr>
          <w:p>
            <w:pPr>
              <w:rPr>
                <w:rFonts w:ascii="Arial"/>
                <w:sz w:val="21"/>
              </w:rPr>
            </w:pPr>
          </w:p>
        </w:tc>
        <w:tc>
          <w:tcPr>
            <w:tcW w:w="1144" w:type="dxa"/>
            <w:vMerge w:val="continue"/>
            <w:tcBorders>
              <w:top w:val="nil"/>
            </w:tcBorders>
            <w:vAlign w:val="top"/>
          </w:tcPr>
          <w:p>
            <w:pPr>
              <w:rPr>
                <w:rFonts w:ascii="Arial"/>
                <w:sz w:val="21"/>
              </w:rPr>
            </w:pPr>
          </w:p>
        </w:tc>
        <w:tc>
          <w:tcPr>
            <w:tcW w:w="1149" w:type="dxa"/>
            <w:vMerge w:val="continue"/>
            <w:tcBorders>
              <w:top w:val="nil"/>
            </w:tcBorders>
            <w:vAlign w:val="top"/>
          </w:tcPr>
          <w:p>
            <w:pPr>
              <w:rPr>
                <w:rFonts w:ascii="Arial"/>
                <w:sz w:val="21"/>
              </w:rPr>
            </w:pPr>
          </w:p>
        </w:tc>
        <w:tc>
          <w:tcPr>
            <w:tcW w:w="4489" w:type="dxa"/>
            <w:vMerge w:val="continue"/>
            <w:tcBorders>
              <w:top w:val="nil"/>
              <w:bottom w:val="nil"/>
            </w:tcBorders>
            <w:vAlign w:val="top"/>
          </w:tcPr>
          <w:p>
            <w:pPr>
              <w:rPr>
                <w:rFonts w:ascii="Arial"/>
                <w:sz w:val="21"/>
              </w:rPr>
            </w:pPr>
          </w:p>
        </w:tc>
        <w:tc>
          <w:tcPr>
            <w:tcW w:w="1135" w:type="dxa"/>
            <w:vAlign w:val="top"/>
          </w:tcPr>
          <w:p>
            <w:pPr>
              <w:pStyle w:val="6"/>
              <w:spacing w:before="74" w:line="221" w:lineRule="auto"/>
              <w:ind w:left="164"/>
              <w:rPr>
                <w:sz w:val="21"/>
                <w:szCs w:val="21"/>
              </w:rPr>
            </w:pPr>
            <w:r>
              <w:rPr>
                <w:spacing w:val="-4"/>
                <w:sz w:val="21"/>
                <w:szCs w:val="21"/>
              </w:rPr>
              <w:t>资源开发</w:t>
            </w:r>
          </w:p>
          <w:p>
            <w:pPr>
              <w:pStyle w:val="6"/>
              <w:spacing w:before="19" w:line="221" w:lineRule="auto"/>
              <w:ind w:left="156"/>
              <w:rPr>
                <w:sz w:val="21"/>
                <w:szCs w:val="21"/>
              </w:rPr>
            </w:pPr>
            <w:r>
              <w:rPr>
                <w:spacing w:val="-2"/>
                <w:sz w:val="21"/>
                <w:szCs w:val="21"/>
              </w:rPr>
              <w:t>利用效率</w:t>
            </w:r>
          </w:p>
          <w:p>
            <w:pPr>
              <w:pStyle w:val="6"/>
              <w:spacing w:before="22" w:line="222" w:lineRule="auto"/>
              <w:ind w:left="365"/>
              <w:rPr>
                <w:sz w:val="21"/>
                <w:szCs w:val="21"/>
              </w:rPr>
            </w:pPr>
            <w:r>
              <w:rPr>
                <w:spacing w:val="-2"/>
                <w:sz w:val="21"/>
                <w:szCs w:val="21"/>
              </w:rPr>
              <w:t>要求</w:t>
            </w:r>
          </w:p>
        </w:tc>
        <w:tc>
          <w:tcPr>
            <w:tcW w:w="3263" w:type="dxa"/>
            <w:vAlign w:val="top"/>
          </w:tcPr>
          <w:p>
            <w:pPr>
              <w:spacing w:line="320" w:lineRule="auto"/>
              <w:rPr>
                <w:rFonts w:ascii="Arial"/>
                <w:sz w:val="21"/>
              </w:rPr>
            </w:pPr>
          </w:p>
          <w:p>
            <w:pPr>
              <w:spacing w:before="61" w:line="233" w:lineRule="auto"/>
              <w:ind w:left="1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49" w:type="dxa"/>
            <w:vAlign w:val="top"/>
          </w:tcPr>
          <w:p>
            <w:pPr>
              <w:spacing w:line="320" w:lineRule="auto"/>
              <w:rPr>
                <w:rFonts w:ascii="Arial"/>
                <w:sz w:val="21"/>
              </w:rPr>
            </w:pPr>
          </w:p>
          <w:p>
            <w:pPr>
              <w:spacing w:before="61"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spacing w:line="277"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468" w:type="dxa"/>
            <w:vMerge w:val="continue"/>
            <w:tcBorders>
              <w:top w:val="nil"/>
              <w:bottom w:val="nil"/>
            </w:tcBorders>
            <w:vAlign w:val="top"/>
          </w:tcPr>
          <w:p>
            <w:pPr>
              <w:rPr>
                <w:rFonts w:ascii="Arial"/>
                <w:sz w:val="21"/>
              </w:rPr>
            </w:pPr>
          </w:p>
        </w:tc>
        <w:tc>
          <w:tcPr>
            <w:tcW w:w="1144"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1" w:line="233" w:lineRule="auto"/>
              <w:ind w:left="151" w:right="149" w:firstLine="21"/>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YS51170 </w:t>
            </w:r>
            <w:r>
              <w:rPr>
                <w:rFonts w:ascii="Times New Roman" w:hAnsi="Times New Roman" w:eastAsia="Times New Roman" w:cs="Times New Roman"/>
                <w:spacing w:val="-1"/>
                <w:sz w:val="21"/>
                <w:szCs w:val="21"/>
              </w:rPr>
              <w:t>23310001</w:t>
            </w:r>
          </w:p>
        </w:tc>
        <w:tc>
          <w:tcPr>
            <w:tcW w:w="1149" w:type="dxa"/>
            <w:vMerge w:val="restart"/>
            <w:tcBorders>
              <w:bottom w:val="nil"/>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9" w:line="232" w:lineRule="auto"/>
              <w:ind w:left="157" w:right="151"/>
              <w:jc w:val="both"/>
              <w:rPr>
                <w:sz w:val="21"/>
                <w:szCs w:val="21"/>
              </w:rPr>
            </w:pPr>
            <w:r>
              <w:rPr>
                <w:spacing w:val="-2"/>
                <w:sz w:val="21"/>
                <w:szCs w:val="21"/>
              </w:rPr>
              <w:t>通川区大</w:t>
            </w:r>
            <w:r>
              <w:rPr>
                <w:spacing w:val="1"/>
                <w:sz w:val="21"/>
                <w:szCs w:val="21"/>
              </w:rPr>
              <w:t xml:space="preserve"> </w:t>
            </w:r>
            <w:r>
              <w:rPr>
                <w:spacing w:val="-2"/>
                <w:sz w:val="21"/>
                <w:szCs w:val="21"/>
              </w:rPr>
              <w:t>气环境一</w:t>
            </w:r>
            <w:r>
              <w:rPr>
                <w:spacing w:val="2"/>
                <w:sz w:val="21"/>
                <w:szCs w:val="21"/>
              </w:rPr>
              <w:t xml:space="preserve"> </w:t>
            </w:r>
            <w:r>
              <w:rPr>
                <w:spacing w:val="-2"/>
                <w:sz w:val="21"/>
                <w:szCs w:val="21"/>
              </w:rPr>
              <w:t>般管控区</w:t>
            </w:r>
          </w:p>
        </w:tc>
        <w:tc>
          <w:tcPr>
            <w:tcW w:w="4489" w:type="dxa"/>
            <w:vMerge w:val="continue"/>
            <w:tcBorders>
              <w:top w:val="nil"/>
              <w:bottom w:val="nil"/>
            </w:tcBorders>
            <w:vAlign w:val="top"/>
          </w:tcPr>
          <w:p>
            <w:pPr>
              <w:rPr>
                <w:rFonts w:ascii="Arial"/>
                <w:sz w:val="21"/>
              </w:rPr>
            </w:pPr>
          </w:p>
        </w:tc>
        <w:tc>
          <w:tcPr>
            <w:tcW w:w="1135" w:type="dxa"/>
            <w:vAlign w:val="top"/>
          </w:tcPr>
          <w:p>
            <w:pPr>
              <w:spacing w:line="312" w:lineRule="auto"/>
              <w:rPr>
                <w:rFonts w:ascii="Arial"/>
                <w:sz w:val="21"/>
              </w:rPr>
            </w:pPr>
          </w:p>
          <w:p>
            <w:pPr>
              <w:spacing w:line="313" w:lineRule="auto"/>
              <w:rPr>
                <w:rFonts w:ascii="Arial"/>
                <w:sz w:val="21"/>
              </w:rPr>
            </w:pPr>
          </w:p>
          <w:p>
            <w:pPr>
              <w:pStyle w:val="6"/>
              <w:spacing w:before="68" w:line="231" w:lineRule="auto"/>
              <w:ind w:left="369" w:right="139" w:hanging="207"/>
              <w:rPr>
                <w:sz w:val="21"/>
                <w:szCs w:val="21"/>
              </w:rPr>
            </w:pPr>
            <w:r>
              <w:rPr>
                <w:spacing w:val="-4"/>
                <w:sz w:val="21"/>
                <w:szCs w:val="21"/>
              </w:rPr>
              <w:t>空间布局</w:t>
            </w:r>
            <w:r>
              <w:rPr>
                <w:spacing w:val="2"/>
                <w:sz w:val="21"/>
                <w:szCs w:val="21"/>
              </w:rPr>
              <w:t xml:space="preserve"> </w:t>
            </w:r>
            <w:r>
              <w:rPr>
                <w:spacing w:val="-3"/>
                <w:sz w:val="21"/>
                <w:szCs w:val="21"/>
              </w:rPr>
              <w:t>约束</w:t>
            </w:r>
          </w:p>
        </w:tc>
        <w:tc>
          <w:tcPr>
            <w:tcW w:w="3263" w:type="dxa"/>
            <w:vAlign w:val="top"/>
          </w:tcPr>
          <w:p>
            <w:pPr>
              <w:pStyle w:val="6"/>
              <w:spacing w:before="74" w:line="312" w:lineRule="exact"/>
              <w:ind w:left="115"/>
              <w:rPr>
                <w:sz w:val="21"/>
                <w:szCs w:val="21"/>
              </w:rPr>
            </w:pPr>
            <w:r>
              <w:rPr>
                <w:spacing w:val="-1"/>
                <w:position w:val="7"/>
                <w:sz w:val="21"/>
                <w:szCs w:val="21"/>
              </w:rPr>
              <w:t>禁止开发建设活动的要求</w:t>
            </w:r>
          </w:p>
          <w:p>
            <w:pPr>
              <w:pStyle w:val="6"/>
              <w:spacing w:line="221" w:lineRule="auto"/>
              <w:ind w:left="130"/>
              <w:rPr>
                <w:sz w:val="21"/>
                <w:szCs w:val="21"/>
              </w:rPr>
            </w:pPr>
            <w:r>
              <w:rPr>
                <w:spacing w:val="-2"/>
                <w:sz w:val="21"/>
                <w:szCs w:val="21"/>
              </w:rPr>
              <w:t>限制开发建设活动的要求</w:t>
            </w:r>
          </w:p>
          <w:p>
            <w:pPr>
              <w:pStyle w:val="6"/>
              <w:spacing w:before="59" w:line="221" w:lineRule="auto"/>
              <w:ind w:left="123"/>
              <w:rPr>
                <w:sz w:val="21"/>
                <w:szCs w:val="21"/>
              </w:rPr>
            </w:pPr>
            <w:r>
              <w:rPr>
                <w:spacing w:val="-2"/>
                <w:sz w:val="21"/>
                <w:szCs w:val="21"/>
              </w:rPr>
              <w:t>允许开发建设活动的要求</w:t>
            </w:r>
          </w:p>
          <w:p>
            <w:pPr>
              <w:pStyle w:val="6"/>
              <w:spacing w:before="61" w:line="231" w:lineRule="auto"/>
              <w:ind w:left="116" w:right="205" w:firstLine="2"/>
              <w:rPr>
                <w:sz w:val="21"/>
                <w:szCs w:val="21"/>
              </w:rPr>
            </w:pPr>
            <w:r>
              <w:rPr>
                <w:spacing w:val="-1"/>
                <w:sz w:val="21"/>
                <w:szCs w:val="21"/>
              </w:rPr>
              <w:t>不符合空间布局要求活动的退出</w:t>
            </w:r>
            <w:r>
              <w:rPr>
                <w:spacing w:val="6"/>
                <w:sz w:val="21"/>
                <w:szCs w:val="21"/>
              </w:rPr>
              <w:t xml:space="preserve"> </w:t>
            </w:r>
            <w:r>
              <w:rPr>
                <w:spacing w:val="-2"/>
                <w:sz w:val="21"/>
                <w:szCs w:val="21"/>
              </w:rPr>
              <w:t>要求</w:t>
            </w:r>
          </w:p>
          <w:p>
            <w:pPr>
              <w:pStyle w:val="6"/>
              <w:spacing w:before="59" w:line="220" w:lineRule="auto"/>
              <w:ind w:left="116"/>
              <w:rPr>
                <w:sz w:val="21"/>
                <w:szCs w:val="21"/>
              </w:rPr>
            </w:pPr>
            <w:r>
              <w:rPr>
                <w:spacing w:val="-1"/>
                <w:sz w:val="21"/>
                <w:szCs w:val="21"/>
              </w:rPr>
              <w:t>其他空间布局约束要求</w:t>
            </w:r>
          </w:p>
        </w:tc>
        <w:tc>
          <w:tcPr>
            <w:tcW w:w="164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1"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468" w:type="dxa"/>
            <w:vMerge w:val="continue"/>
            <w:tcBorders>
              <w:top w:val="nil"/>
            </w:tcBorders>
            <w:vAlign w:val="top"/>
          </w:tcPr>
          <w:p>
            <w:pPr>
              <w:rPr>
                <w:rFonts w:ascii="Arial"/>
                <w:sz w:val="21"/>
              </w:rPr>
            </w:pPr>
          </w:p>
        </w:tc>
        <w:tc>
          <w:tcPr>
            <w:tcW w:w="1144" w:type="dxa"/>
            <w:vMerge w:val="continue"/>
            <w:tcBorders>
              <w:top w:val="nil"/>
            </w:tcBorders>
            <w:vAlign w:val="top"/>
          </w:tcPr>
          <w:p>
            <w:pPr>
              <w:rPr>
                <w:rFonts w:ascii="Arial"/>
                <w:sz w:val="21"/>
              </w:rPr>
            </w:pPr>
          </w:p>
        </w:tc>
        <w:tc>
          <w:tcPr>
            <w:tcW w:w="1149" w:type="dxa"/>
            <w:vMerge w:val="continue"/>
            <w:tcBorders>
              <w:top w:val="nil"/>
            </w:tcBorders>
            <w:vAlign w:val="top"/>
          </w:tcPr>
          <w:p>
            <w:pPr>
              <w:rPr>
                <w:rFonts w:ascii="Arial"/>
                <w:sz w:val="21"/>
              </w:rPr>
            </w:pPr>
          </w:p>
        </w:tc>
        <w:tc>
          <w:tcPr>
            <w:tcW w:w="4489" w:type="dxa"/>
            <w:vMerge w:val="continue"/>
            <w:tcBorders>
              <w:top w:val="nil"/>
            </w:tcBorders>
            <w:vAlign w:val="top"/>
          </w:tcPr>
          <w:p>
            <w:pPr>
              <w:rPr>
                <w:rFonts w:ascii="Arial"/>
                <w:sz w:val="21"/>
              </w:rPr>
            </w:pPr>
          </w:p>
        </w:tc>
        <w:tc>
          <w:tcPr>
            <w:tcW w:w="1135" w:type="dxa"/>
            <w:vAlign w:val="top"/>
          </w:tcPr>
          <w:p>
            <w:pPr>
              <w:spacing w:line="395" w:lineRule="auto"/>
              <w:rPr>
                <w:rFonts w:ascii="Arial"/>
                <w:sz w:val="21"/>
              </w:rPr>
            </w:pPr>
          </w:p>
          <w:p>
            <w:pPr>
              <w:pStyle w:val="6"/>
              <w:spacing w:before="68" w:line="229" w:lineRule="auto"/>
              <w:ind w:left="258" w:right="139" w:hanging="101"/>
              <w:rPr>
                <w:sz w:val="21"/>
                <w:szCs w:val="21"/>
              </w:rPr>
            </w:pPr>
            <w:r>
              <w:rPr>
                <w:spacing w:val="-2"/>
                <w:sz w:val="21"/>
                <w:szCs w:val="21"/>
              </w:rPr>
              <w:t>污染物排</w:t>
            </w:r>
            <w:r>
              <w:rPr>
                <w:sz w:val="21"/>
                <w:szCs w:val="21"/>
              </w:rPr>
              <w:t xml:space="preserve"> </w:t>
            </w:r>
            <w:r>
              <w:rPr>
                <w:spacing w:val="-2"/>
                <w:sz w:val="21"/>
                <w:szCs w:val="21"/>
              </w:rPr>
              <w:t>放管控</w:t>
            </w:r>
          </w:p>
        </w:tc>
        <w:tc>
          <w:tcPr>
            <w:tcW w:w="3263" w:type="dxa"/>
            <w:vAlign w:val="top"/>
          </w:tcPr>
          <w:p>
            <w:pPr>
              <w:pStyle w:val="6"/>
              <w:spacing w:before="172" w:line="234" w:lineRule="auto"/>
              <w:ind w:left="116" w:right="97" w:firstLine="1"/>
              <w:rPr>
                <w:sz w:val="21"/>
                <w:szCs w:val="21"/>
              </w:rPr>
            </w:pPr>
            <w:r>
              <w:rPr>
                <w:spacing w:val="-8"/>
                <w:sz w:val="21"/>
                <w:szCs w:val="21"/>
              </w:rPr>
              <w:t>大气环境质量执行标准：《环境空</w:t>
            </w:r>
            <w:r>
              <w:rPr>
                <w:spacing w:val="11"/>
                <w:sz w:val="21"/>
                <w:szCs w:val="21"/>
              </w:rPr>
              <w:t xml:space="preserve"> </w:t>
            </w:r>
            <w:r>
              <w:rPr>
                <w:spacing w:val="-1"/>
                <w:sz w:val="21"/>
                <w:szCs w:val="21"/>
              </w:rPr>
              <w:t>气质量标准》（</w:t>
            </w:r>
            <w:r>
              <w:rPr>
                <w:rFonts w:ascii="Times New Roman" w:hAnsi="Times New Roman" w:eastAsia="Times New Roman" w:cs="Times New Roman"/>
                <w:spacing w:val="-1"/>
                <w:sz w:val="21"/>
                <w:szCs w:val="21"/>
              </w:rPr>
              <w:t>GB3095-2012</w:t>
            </w:r>
            <w:r>
              <w:rPr>
                <w:spacing w:val="-20"/>
                <w:sz w:val="21"/>
                <w:szCs w:val="21"/>
              </w:rPr>
              <w:t>）：</w:t>
            </w:r>
            <w:r>
              <w:rPr>
                <w:sz w:val="21"/>
                <w:szCs w:val="21"/>
              </w:rPr>
              <w:t xml:space="preserve"> </w:t>
            </w:r>
            <w:r>
              <w:rPr>
                <w:spacing w:val="-2"/>
                <w:sz w:val="21"/>
                <w:szCs w:val="21"/>
              </w:rPr>
              <w:t>二级</w:t>
            </w:r>
          </w:p>
          <w:p>
            <w:pPr>
              <w:pStyle w:val="6"/>
              <w:spacing w:before="59" w:line="234" w:lineRule="auto"/>
              <w:ind w:left="131"/>
              <w:rPr>
                <w:sz w:val="21"/>
                <w:szCs w:val="21"/>
              </w:rPr>
            </w:pPr>
            <w:r>
              <w:rPr>
                <w:spacing w:val="-2"/>
                <w:sz w:val="21"/>
                <w:szCs w:val="21"/>
              </w:rPr>
              <w:t>区域大气污染物削减</w:t>
            </w:r>
            <w:r>
              <w:rPr>
                <w:rFonts w:ascii="Times New Roman" w:hAnsi="Times New Roman" w:eastAsia="Times New Roman" w:cs="Times New Roman"/>
                <w:spacing w:val="-2"/>
                <w:sz w:val="21"/>
                <w:szCs w:val="21"/>
              </w:rPr>
              <w:t>/</w:t>
            </w:r>
            <w:r>
              <w:rPr>
                <w:spacing w:val="-2"/>
                <w:sz w:val="21"/>
                <w:szCs w:val="21"/>
              </w:rPr>
              <w:t>替代要求</w:t>
            </w:r>
          </w:p>
        </w:tc>
        <w:tc>
          <w:tcPr>
            <w:tcW w:w="1649" w:type="dxa"/>
            <w:vAlign w:val="top"/>
          </w:tcPr>
          <w:p>
            <w:pPr>
              <w:pStyle w:val="6"/>
              <w:spacing w:before="75" w:line="233" w:lineRule="auto"/>
              <w:ind w:left="116" w:right="99" w:firstLine="87"/>
              <w:jc w:val="both"/>
              <w:rPr>
                <w:sz w:val="21"/>
                <w:szCs w:val="21"/>
              </w:rPr>
            </w:pPr>
            <w:r>
              <w:rPr>
                <w:spacing w:val="-2"/>
                <w:sz w:val="21"/>
                <w:szCs w:val="21"/>
              </w:rPr>
              <w:t>本项目区域环</w:t>
            </w:r>
            <w:r>
              <w:rPr>
                <w:spacing w:val="2"/>
                <w:sz w:val="21"/>
                <w:szCs w:val="21"/>
              </w:rPr>
              <w:t xml:space="preserve">  </w:t>
            </w:r>
            <w:r>
              <w:rPr>
                <w:spacing w:val="11"/>
                <w:sz w:val="21"/>
                <w:szCs w:val="21"/>
              </w:rPr>
              <w:t xml:space="preserve">境空气满足标 </w:t>
            </w:r>
            <w:r>
              <w:rPr>
                <w:spacing w:val="-13"/>
                <w:sz w:val="21"/>
                <w:szCs w:val="21"/>
              </w:rPr>
              <w:t>准；</w:t>
            </w:r>
            <w:r>
              <w:rPr>
                <w:spacing w:val="-58"/>
                <w:sz w:val="21"/>
                <w:szCs w:val="21"/>
              </w:rPr>
              <w:t xml:space="preserve"> </w:t>
            </w:r>
            <w:r>
              <w:rPr>
                <w:spacing w:val="-13"/>
                <w:sz w:val="21"/>
                <w:szCs w:val="21"/>
              </w:rPr>
              <w:t>本项目无营</w:t>
            </w:r>
            <w:r>
              <w:rPr>
                <w:sz w:val="21"/>
                <w:szCs w:val="21"/>
              </w:rPr>
              <w:t xml:space="preserve"> </w:t>
            </w:r>
            <w:r>
              <w:rPr>
                <w:spacing w:val="-7"/>
                <w:sz w:val="21"/>
                <w:szCs w:val="21"/>
              </w:rPr>
              <w:t>运期，不排放大</w:t>
            </w:r>
            <w:r>
              <w:rPr>
                <w:spacing w:val="5"/>
                <w:sz w:val="21"/>
                <w:szCs w:val="21"/>
              </w:rPr>
              <w:t xml:space="preserve"> </w:t>
            </w:r>
            <w:r>
              <w:rPr>
                <w:spacing w:val="-7"/>
                <w:sz w:val="21"/>
                <w:szCs w:val="21"/>
              </w:rPr>
              <w:t>气污染物；施工</w:t>
            </w:r>
          </w:p>
        </w:tc>
        <w:tc>
          <w:tcPr>
            <w:tcW w:w="727" w:type="dxa"/>
            <w:vAlign w:val="top"/>
          </w:tcPr>
          <w:p>
            <w:pPr>
              <w:spacing w:line="264" w:lineRule="auto"/>
              <w:rPr>
                <w:rFonts w:ascii="Arial"/>
                <w:sz w:val="21"/>
              </w:rPr>
            </w:pPr>
          </w:p>
          <w:p>
            <w:pPr>
              <w:spacing w:line="265" w:lineRule="auto"/>
              <w:rPr>
                <w:rFonts w:ascii="Arial"/>
                <w:sz w:val="21"/>
              </w:rPr>
            </w:pPr>
          </w:p>
          <w:p>
            <w:pPr>
              <w:pStyle w:val="6"/>
              <w:spacing w:before="69" w:line="221" w:lineRule="auto"/>
              <w:ind w:left="152"/>
              <w:rPr>
                <w:sz w:val="21"/>
                <w:szCs w:val="21"/>
              </w:rPr>
            </w:pPr>
            <w:r>
              <w:rPr>
                <w:spacing w:val="-2"/>
                <w:sz w:val="21"/>
                <w:szCs w:val="21"/>
              </w:rPr>
              <w:t>符合</w:t>
            </w:r>
          </w:p>
        </w:tc>
      </w:tr>
    </w:tbl>
    <w:p>
      <w:pPr>
        <w:pStyle w:val="2"/>
        <w:rPr>
          <w:sz w:val="21"/>
        </w:rPr>
      </w:pPr>
    </w:p>
    <w:p>
      <w:pPr>
        <w:rPr>
          <w:sz w:val="21"/>
          <w:szCs w:val="21"/>
        </w:rPr>
        <w:sectPr>
          <w:footerReference r:id="rId17" w:type="default"/>
          <w:pgSz w:w="16839" w:h="11907"/>
          <w:pgMar w:top="400" w:right="1411" w:bottom="1181" w:left="1396" w:header="0" w:footer="920" w:gutter="0"/>
          <w:cols w:space="720" w:num="1"/>
        </w:sectPr>
      </w:pPr>
    </w:p>
    <w:p>
      <w:pPr>
        <w:spacing w:before="13"/>
      </w:pPr>
    </w:p>
    <w:p>
      <w:pPr>
        <w:spacing w:before="13"/>
      </w:pPr>
    </w:p>
    <w:p>
      <w:pPr>
        <w:spacing w:before="13"/>
      </w:pPr>
    </w:p>
    <w:p>
      <w:pPr>
        <w:spacing w:before="13"/>
      </w:pPr>
    </w:p>
    <w:tbl>
      <w:tblPr>
        <w:tblStyle w:val="5"/>
        <w:tblW w:w="14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144"/>
        <w:gridCol w:w="1149"/>
        <w:gridCol w:w="4489"/>
        <w:gridCol w:w="1135"/>
        <w:gridCol w:w="3263"/>
        <w:gridCol w:w="1649"/>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6" w:hRule="atLeast"/>
        </w:trPr>
        <w:tc>
          <w:tcPr>
            <w:tcW w:w="468" w:type="dxa"/>
            <w:vMerge w:val="restart"/>
            <w:tcBorders>
              <w:bottom w:val="nil"/>
            </w:tcBorders>
            <w:vAlign w:val="top"/>
          </w:tcPr>
          <w:p>
            <w:pPr>
              <w:rPr>
                <w:rFonts w:ascii="Arial"/>
                <w:sz w:val="21"/>
              </w:rPr>
            </w:pPr>
          </w:p>
        </w:tc>
        <w:tc>
          <w:tcPr>
            <w:tcW w:w="1144" w:type="dxa"/>
            <w:vMerge w:val="restart"/>
            <w:tcBorders>
              <w:bottom w:val="nil"/>
            </w:tcBorders>
            <w:vAlign w:val="top"/>
          </w:tcPr>
          <w:p>
            <w:pPr>
              <w:rPr>
                <w:rFonts w:ascii="Arial"/>
                <w:sz w:val="21"/>
              </w:rPr>
            </w:pPr>
          </w:p>
        </w:tc>
        <w:tc>
          <w:tcPr>
            <w:tcW w:w="1149" w:type="dxa"/>
            <w:vMerge w:val="restart"/>
            <w:tcBorders>
              <w:bottom w:val="nil"/>
            </w:tcBorders>
            <w:vAlign w:val="top"/>
          </w:tcPr>
          <w:p>
            <w:pPr>
              <w:rPr>
                <w:rFonts w:ascii="Arial"/>
                <w:sz w:val="21"/>
              </w:rPr>
            </w:pPr>
          </w:p>
        </w:tc>
        <w:tc>
          <w:tcPr>
            <w:tcW w:w="4489" w:type="dxa"/>
            <w:vMerge w:val="restart"/>
            <w:tcBorders>
              <w:bottom w:val="nil"/>
            </w:tcBorders>
            <w:vAlign w:val="top"/>
          </w:tcPr>
          <w:p>
            <w:pPr>
              <w:rPr>
                <w:rFonts w:ascii="Arial"/>
                <w:sz w:val="21"/>
              </w:rPr>
            </w:pPr>
          </w:p>
        </w:tc>
        <w:tc>
          <w:tcPr>
            <w:tcW w:w="1135" w:type="dxa"/>
            <w:vAlign w:val="top"/>
          </w:tcPr>
          <w:p>
            <w:pPr>
              <w:rPr>
                <w:rFonts w:ascii="Arial"/>
                <w:sz w:val="21"/>
              </w:rPr>
            </w:pPr>
          </w:p>
        </w:tc>
        <w:tc>
          <w:tcPr>
            <w:tcW w:w="3263" w:type="dxa"/>
            <w:vAlign w:val="top"/>
          </w:tcPr>
          <w:p>
            <w:pPr>
              <w:pStyle w:val="6"/>
              <w:spacing w:before="61" w:line="230" w:lineRule="auto"/>
              <w:ind w:left="116" w:right="205"/>
              <w:rPr>
                <w:sz w:val="21"/>
                <w:szCs w:val="21"/>
              </w:rPr>
            </w:pPr>
            <w:r>
              <w:rPr>
                <w:spacing w:val="-1"/>
                <w:sz w:val="21"/>
                <w:szCs w:val="21"/>
              </w:rPr>
              <w:t>燃煤和其他能源大气污染控制要</w:t>
            </w:r>
            <w:r>
              <w:rPr>
                <w:spacing w:val="9"/>
                <w:sz w:val="21"/>
                <w:szCs w:val="21"/>
              </w:rPr>
              <w:t xml:space="preserve"> </w:t>
            </w:r>
            <w:r>
              <w:rPr>
                <w:sz w:val="21"/>
                <w:szCs w:val="21"/>
              </w:rPr>
              <w:t>求</w:t>
            </w:r>
          </w:p>
          <w:p>
            <w:pPr>
              <w:pStyle w:val="6"/>
              <w:spacing w:before="59" w:line="221" w:lineRule="auto"/>
              <w:ind w:left="118"/>
              <w:rPr>
                <w:sz w:val="21"/>
                <w:szCs w:val="21"/>
              </w:rPr>
            </w:pPr>
            <w:r>
              <w:rPr>
                <w:spacing w:val="-1"/>
                <w:sz w:val="21"/>
                <w:szCs w:val="21"/>
              </w:rPr>
              <w:t>工业废气污染控制要求</w:t>
            </w:r>
          </w:p>
          <w:p>
            <w:pPr>
              <w:pStyle w:val="6"/>
              <w:spacing w:before="62" w:line="248" w:lineRule="auto"/>
              <w:ind w:left="114" w:right="627"/>
              <w:rPr>
                <w:sz w:val="21"/>
                <w:szCs w:val="21"/>
              </w:rPr>
            </w:pPr>
            <w:r>
              <w:rPr>
                <w:spacing w:val="-1"/>
                <w:sz w:val="21"/>
                <w:szCs w:val="21"/>
              </w:rPr>
              <w:t>机动车船大气污染控制要求</w:t>
            </w:r>
            <w:r>
              <w:rPr>
                <w:spacing w:val="6"/>
                <w:sz w:val="21"/>
                <w:szCs w:val="21"/>
              </w:rPr>
              <w:t xml:space="preserve"> </w:t>
            </w:r>
            <w:r>
              <w:rPr>
                <w:spacing w:val="-1"/>
                <w:sz w:val="21"/>
                <w:szCs w:val="21"/>
              </w:rPr>
              <w:t>扬尘污染控制要求</w:t>
            </w:r>
          </w:p>
          <w:p>
            <w:pPr>
              <w:pStyle w:val="6"/>
              <w:spacing w:before="60" w:line="230" w:lineRule="auto"/>
              <w:ind w:left="115" w:right="205"/>
              <w:rPr>
                <w:sz w:val="21"/>
                <w:szCs w:val="21"/>
              </w:rPr>
            </w:pPr>
            <w:r>
              <w:rPr>
                <w:spacing w:val="-1"/>
                <w:sz w:val="21"/>
                <w:szCs w:val="21"/>
              </w:rPr>
              <w:t>农业生产经营活动大气污染控制</w:t>
            </w:r>
            <w:r>
              <w:rPr>
                <w:spacing w:val="9"/>
                <w:sz w:val="21"/>
                <w:szCs w:val="21"/>
              </w:rPr>
              <w:t xml:space="preserve"> </w:t>
            </w:r>
            <w:r>
              <w:rPr>
                <w:spacing w:val="-2"/>
                <w:sz w:val="21"/>
                <w:szCs w:val="21"/>
              </w:rPr>
              <w:t>要求</w:t>
            </w:r>
          </w:p>
          <w:p>
            <w:pPr>
              <w:pStyle w:val="6"/>
              <w:spacing w:before="62" w:line="221" w:lineRule="auto"/>
              <w:ind w:left="116"/>
              <w:rPr>
                <w:sz w:val="21"/>
                <w:szCs w:val="21"/>
              </w:rPr>
            </w:pPr>
            <w:r>
              <w:rPr>
                <w:spacing w:val="-1"/>
                <w:sz w:val="21"/>
                <w:szCs w:val="21"/>
              </w:rPr>
              <w:t>重点行业企业专项治理要求</w:t>
            </w:r>
          </w:p>
          <w:p>
            <w:pPr>
              <w:pStyle w:val="6"/>
              <w:spacing w:before="60" w:line="221" w:lineRule="auto"/>
              <w:ind w:left="116"/>
              <w:rPr>
                <w:sz w:val="21"/>
                <w:szCs w:val="21"/>
              </w:rPr>
            </w:pPr>
            <w:r>
              <w:rPr>
                <w:spacing w:val="-1"/>
                <w:sz w:val="21"/>
                <w:szCs w:val="21"/>
              </w:rPr>
              <w:t>其他大气污染物排放管控要求</w:t>
            </w:r>
          </w:p>
        </w:tc>
        <w:tc>
          <w:tcPr>
            <w:tcW w:w="1649" w:type="dxa"/>
            <w:vAlign w:val="top"/>
          </w:tcPr>
          <w:p>
            <w:pPr>
              <w:pStyle w:val="6"/>
              <w:spacing w:before="60" w:line="221" w:lineRule="auto"/>
              <w:ind w:left="206"/>
              <w:rPr>
                <w:sz w:val="21"/>
                <w:szCs w:val="21"/>
              </w:rPr>
            </w:pPr>
            <w:r>
              <w:rPr>
                <w:spacing w:val="-2"/>
                <w:sz w:val="21"/>
                <w:szCs w:val="21"/>
              </w:rPr>
              <w:t>期废气排放满</w:t>
            </w:r>
          </w:p>
          <w:p>
            <w:pPr>
              <w:pStyle w:val="6"/>
              <w:spacing w:before="20" w:line="231" w:lineRule="auto"/>
              <w:ind w:left="414" w:right="186" w:hanging="207"/>
              <w:rPr>
                <w:sz w:val="21"/>
                <w:szCs w:val="21"/>
              </w:rPr>
            </w:pPr>
            <w:r>
              <w:rPr>
                <w:spacing w:val="-2"/>
                <w:sz w:val="21"/>
                <w:szCs w:val="21"/>
              </w:rPr>
              <w:t>足国家相关标</w:t>
            </w:r>
            <w:r>
              <w:rPr>
                <w:spacing w:val="1"/>
                <w:sz w:val="21"/>
                <w:szCs w:val="21"/>
              </w:rPr>
              <w:t xml:space="preserve"> </w:t>
            </w:r>
            <w:r>
              <w:rPr>
                <w:spacing w:val="-2"/>
                <w:sz w:val="21"/>
                <w:szCs w:val="21"/>
              </w:rPr>
              <w:t>准要求。</w:t>
            </w:r>
          </w:p>
        </w:tc>
        <w:tc>
          <w:tcPr>
            <w:tcW w:w="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8" w:type="dxa"/>
            <w:vMerge w:val="continue"/>
            <w:tcBorders>
              <w:top w:val="nil"/>
              <w:bottom w:val="nil"/>
            </w:tcBorders>
            <w:vAlign w:val="top"/>
          </w:tcPr>
          <w:p>
            <w:pPr>
              <w:rPr>
                <w:rFonts w:ascii="Arial"/>
                <w:sz w:val="21"/>
              </w:rPr>
            </w:pPr>
          </w:p>
        </w:tc>
        <w:tc>
          <w:tcPr>
            <w:tcW w:w="1144" w:type="dxa"/>
            <w:vMerge w:val="continue"/>
            <w:tcBorders>
              <w:top w:val="nil"/>
              <w:bottom w:val="nil"/>
            </w:tcBorders>
            <w:vAlign w:val="top"/>
          </w:tcPr>
          <w:p>
            <w:pPr>
              <w:rPr>
                <w:rFonts w:ascii="Arial"/>
                <w:sz w:val="21"/>
              </w:rPr>
            </w:pPr>
          </w:p>
        </w:tc>
        <w:tc>
          <w:tcPr>
            <w:tcW w:w="1149" w:type="dxa"/>
            <w:vMerge w:val="continue"/>
            <w:tcBorders>
              <w:top w:val="nil"/>
              <w:bottom w:val="nil"/>
            </w:tcBorders>
            <w:vAlign w:val="top"/>
          </w:tcPr>
          <w:p>
            <w:pPr>
              <w:rPr>
                <w:rFonts w:ascii="Arial"/>
                <w:sz w:val="21"/>
              </w:rPr>
            </w:pPr>
          </w:p>
        </w:tc>
        <w:tc>
          <w:tcPr>
            <w:tcW w:w="4489" w:type="dxa"/>
            <w:vMerge w:val="continue"/>
            <w:tcBorders>
              <w:top w:val="nil"/>
              <w:bottom w:val="nil"/>
            </w:tcBorders>
            <w:vAlign w:val="top"/>
          </w:tcPr>
          <w:p>
            <w:pPr>
              <w:rPr>
                <w:rFonts w:ascii="Arial"/>
                <w:sz w:val="21"/>
              </w:rPr>
            </w:pPr>
          </w:p>
        </w:tc>
        <w:tc>
          <w:tcPr>
            <w:tcW w:w="1135" w:type="dxa"/>
            <w:vAlign w:val="top"/>
          </w:tcPr>
          <w:p>
            <w:pPr>
              <w:pStyle w:val="6"/>
              <w:spacing w:before="71" w:line="230" w:lineRule="auto"/>
              <w:ind w:left="377" w:right="139" w:hanging="222"/>
              <w:rPr>
                <w:sz w:val="21"/>
                <w:szCs w:val="21"/>
              </w:rPr>
            </w:pPr>
            <w:r>
              <w:rPr>
                <w:spacing w:val="-2"/>
                <w:sz w:val="21"/>
                <w:szCs w:val="21"/>
              </w:rPr>
              <w:t>环境风险</w:t>
            </w:r>
            <w:r>
              <w:rPr>
                <w:spacing w:val="1"/>
                <w:sz w:val="21"/>
                <w:szCs w:val="21"/>
              </w:rPr>
              <w:t xml:space="preserve"> </w:t>
            </w:r>
            <w:r>
              <w:rPr>
                <w:spacing w:val="-5"/>
                <w:sz w:val="21"/>
                <w:szCs w:val="21"/>
              </w:rPr>
              <w:t>防控</w:t>
            </w:r>
          </w:p>
        </w:tc>
        <w:tc>
          <w:tcPr>
            <w:tcW w:w="3263" w:type="dxa"/>
            <w:vAlign w:val="top"/>
          </w:tcPr>
          <w:p>
            <w:pPr>
              <w:spacing w:before="243" w:line="233" w:lineRule="auto"/>
              <w:ind w:left="1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49" w:type="dxa"/>
            <w:vAlign w:val="top"/>
          </w:tcPr>
          <w:p>
            <w:pPr>
              <w:spacing w:before="243"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pStyle w:val="6"/>
              <w:spacing w:before="20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468" w:type="dxa"/>
            <w:vMerge w:val="continue"/>
            <w:tcBorders>
              <w:top w:val="nil"/>
              <w:bottom w:val="nil"/>
            </w:tcBorders>
            <w:vAlign w:val="top"/>
          </w:tcPr>
          <w:p>
            <w:pPr>
              <w:rPr>
                <w:rFonts w:ascii="Arial"/>
                <w:sz w:val="21"/>
              </w:rPr>
            </w:pPr>
          </w:p>
        </w:tc>
        <w:tc>
          <w:tcPr>
            <w:tcW w:w="1144" w:type="dxa"/>
            <w:vMerge w:val="continue"/>
            <w:tcBorders>
              <w:top w:val="nil"/>
            </w:tcBorders>
            <w:vAlign w:val="top"/>
          </w:tcPr>
          <w:p>
            <w:pPr>
              <w:rPr>
                <w:rFonts w:ascii="Arial"/>
                <w:sz w:val="21"/>
              </w:rPr>
            </w:pPr>
          </w:p>
        </w:tc>
        <w:tc>
          <w:tcPr>
            <w:tcW w:w="1149" w:type="dxa"/>
            <w:vMerge w:val="continue"/>
            <w:tcBorders>
              <w:top w:val="nil"/>
            </w:tcBorders>
            <w:vAlign w:val="top"/>
          </w:tcPr>
          <w:p>
            <w:pPr>
              <w:rPr>
                <w:rFonts w:ascii="Arial"/>
                <w:sz w:val="21"/>
              </w:rPr>
            </w:pPr>
          </w:p>
        </w:tc>
        <w:tc>
          <w:tcPr>
            <w:tcW w:w="4489" w:type="dxa"/>
            <w:vMerge w:val="continue"/>
            <w:tcBorders>
              <w:top w:val="nil"/>
            </w:tcBorders>
            <w:vAlign w:val="top"/>
          </w:tcPr>
          <w:p>
            <w:pPr>
              <w:rPr>
                <w:rFonts w:ascii="Arial"/>
                <w:sz w:val="21"/>
              </w:rPr>
            </w:pPr>
          </w:p>
        </w:tc>
        <w:tc>
          <w:tcPr>
            <w:tcW w:w="1135" w:type="dxa"/>
            <w:vAlign w:val="top"/>
          </w:tcPr>
          <w:p>
            <w:pPr>
              <w:pStyle w:val="6"/>
              <w:spacing w:before="72" w:line="221" w:lineRule="auto"/>
              <w:ind w:left="164"/>
              <w:rPr>
                <w:sz w:val="21"/>
                <w:szCs w:val="21"/>
              </w:rPr>
            </w:pPr>
            <w:r>
              <w:rPr>
                <w:spacing w:val="-4"/>
                <w:sz w:val="21"/>
                <w:szCs w:val="21"/>
              </w:rPr>
              <w:t>资源开发</w:t>
            </w:r>
          </w:p>
          <w:p>
            <w:pPr>
              <w:pStyle w:val="6"/>
              <w:spacing w:before="21" w:line="221" w:lineRule="auto"/>
              <w:ind w:left="156"/>
              <w:rPr>
                <w:sz w:val="21"/>
                <w:szCs w:val="21"/>
              </w:rPr>
            </w:pPr>
            <w:r>
              <w:rPr>
                <w:spacing w:val="-2"/>
                <w:sz w:val="21"/>
                <w:szCs w:val="21"/>
              </w:rPr>
              <w:t>利用效率</w:t>
            </w:r>
          </w:p>
          <w:p>
            <w:pPr>
              <w:pStyle w:val="6"/>
              <w:spacing w:before="20" w:line="222" w:lineRule="auto"/>
              <w:ind w:left="365"/>
              <w:rPr>
                <w:sz w:val="21"/>
                <w:szCs w:val="21"/>
              </w:rPr>
            </w:pPr>
            <w:r>
              <w:rPr>
                <w:spacing w:val="-2"/>
                <w:sz w:val="21"/>
                <w:szCs w:val="21"/>
              </w:rPr>
              <w:t>要求</w:t>
            </w:r>
          </w:p>
        </w:tc>
        <w:tc>
          <w:tcPr>
            <w:tcW w:w="3263" w:type="dxa"/>
            <w:vAlign w:val="top"/>
          </w:tcPr>
          <w:p>
            <w:pPr>
              <w:spacing w:line="319" w:lineRule="auto"/>
              <w:rPr>
                <w:rFonts w:ascii="Arial"/>
                <w:sz w:val="21"/>
              </w:rPr>
            </w:pPr>
          </w:p>
          <w:p>
            <w:pPr>
              <w:spacing w:before="60" w:line="233" w:lineRule="auto"/>
              <w:ind w:left="1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49" w:type="dxa"/>
            <w:vAlign w:val="top"/>
          </w:tcPr>
          <w:p>
            <w:pPr>
              <w:spacing w:line="319" w:lineRule="auto"/>
              <w:rPr>
                <w:rFonts w:ascii="Arial"/>
                <w:sz w:val="21"/>
              </w:rPr>
            </w:pPr>
          </w:p>
          <w:p>
            <w:pPr>
              <w:spacing w:before="60" w:line="233"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7" w:type="dxa"/>
            <w:vAlign w:val="top"/>
          </w:tcPr>
          <w:p>
            <w:pPr>
              <w:spacing w:line="275" w:lineRule="auto"/>
              <w:rPr>
                <w:rFonts w:ascii="Arial"/>
                <w:sz w:val="21"/>
              </w:rPr>
            </w:pPr>
          </w:p>
          <w:p>
            <w:pPr>
              <w:pStyle w:val="6"/>
              <w:spacing w:before="69"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0" w:hRule="atLeast"/>
        </w:trPr>
        <w:tc>
          <w:tcPr>
            <w:tcW w:w="468" w:type="dxa"/>
            <w:vMerge w:val="continue"/>
            <w:tcBorders>
              <w:top w:val="nil"/>
            </w:tcBorders>
            <w:vAlign w:val="top"/>
          </w:tcPr>
          <w:p>
            <w:pPr>
              <w:rPr>
                <w:rFonts w:ascii="Arial"/>
                <w:sz w:val="21"/>
              </w:rPr>
            </w:pPr>
          </w:p>
        </w:tc>
        <w:tc>
          <w:tcPr>
            <w:tcW w:w="13556" w:type="dxa"/>
            <w:gridSpan w:val="7"/>
            <w:vAlign w:val="top"/>
          </w:tcPr>
          <w:p>
            <w:pPr>
              <w:pStyle w:val="6"/>
              <w:spacing w:before="180" w:line="480" w:lineRule="exact"/>
              <w:ind w:right="25"/>
              <w:jc w:val="right"/>
              <w:rPr>
                <w:sz w:val="24"/>
                <w:szCs w:val="24"/>
              </w:rPr>
            </w:pPr>
            <w:r>
              <w:rPr>
                <w:spacing w:val="2"/>
                <w:position w:val="18"/>
                <w:sz w:val="24"/>
                <w:szCs w:val="24"/>
              </w:rPr>
              <w:t>综上所述，本项目空间布局约束、污染物排放管控、环境风险</w:t>
            </w:r>
            <w:r>
              <w:rPr>
                <w:spacing w:val="1"/>
                <w:position w:val="18"/>
                <w:sz w:val="24"/>
                <w:szCs w:val="24"/>
              </w:rPr>
              <w:t>防控、资源开发要求均满足达州市普适性清单管控要求、单元</w:t>
            </w:r>
          </w:p>
          <w:p>
            <w:pPr>
              <w:pStyle w:val="6"/>
              <w:spacing w:before="1" w:line="218" w:lineRule="auto"/>
              <w:rPr>
                <w:sz w:val="24"/>
                <w:szCs w:val="24"/>
              </w:rPr>
            </w:pPr>
            <w:r>
              <w:rPr>
                <w:spacing w:val="-2"/>
                <w:sz w:val="24"/>
                <w:szCs w:val="24"/>
              </w:rPr>
              <w:t>特性管控要求，本项目符合“三线一单”的要求。</w:t>
            </w:r>
          </w:p>
        </w:tc>
      </w:tr>
    </w:tbl>
    <w:p>
      <w:pPr>
        <w:pStyle w:val="2"/>
        <w:rPr>
          <w:sz w:val="21"/>
        </w:rPr>
      </w:pPr>
    </w:p>
    <w:p>
      <w:pPr>
        <w:rPr>
          <w:sz w:val="21"/>
          <w:szCs w:val="21"/>
        </w:rPr>
        <w:sectPr>
          <w:footerReference r:id="rId18" w:type="default"/>
          <w:pgSz w:w="16839" w:h="11907"/>
          <w:pgMar w:top="400" w:right="1411" w:bottom="1181" w:left="1396"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
        <w:gridCol w:w="8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4" w:hRule="atLeast"/>
        </w:trPr>
        <w:tc>
          <w:tcPr>
            <w:tcW w:w="448" w:type="dxa"/>
            <w:textDirection w:val="tbRlV"/>
            <w:vAlign w:val="top"/>
          </w:tcPr>
          <w:p>
            <w:pPr>
              <w:pStyle w:val="6"/>
              <w:spacing w:before="102" w:line="208" w:lineRule="auto"/>
              <w:ind w:left="5792"/>
              <w:rPr>
                <w:sz w:val="24"/>
                <w:szCs w:val="24"/>
              </w:rPr>
            </w:pPr>
            <w:r>
              <w:rPr>
                <w:spacing w:val="20"/>
                <w:w w:val="117"/>
                <w:sz w:val="24"/>
                <w:szCs w:val="24"/>
              </w:rPr>
              <w:t>其他符合性分析</w:t>
            </w:r>
          </w:p>
        </w:tc>
        <w:tc>
          <w:tcPr>
            <w:tcW w:w="8649" w:type="dxa"/>
            <w:vAlign w:val="top"/>
          </w:tcPr>
          <w:p>
            <w:pPr>
              <w:pStyle w:val="6"/>
              <w:spacing w:before="246" w:line="220" w:lineRule="auto"/>
              <w:ind w:left="26"/>
              <w:rPr>
                <w:sz w:val="24"/>
                <w:szCs w:val="24"/>
              </w:rPr>
            </w:pPr>
            <w:r>
              <w:rPr>
                <w:rFonts w:ascii="Times New Roman" w:hAnsi="Times New Roman" w:eastAsia="Times New Roman" w:cs="Times New Roman"/>
                <w:b/>
                <w:bCs/>
                <w:spacing w:val="-1"/>
                <w:sz w:val="24"/>
                <w:szCs w:val="24"/>
              </w:rPr>
              <w:t xml:space="preserve">1.3 </w:t>
            </w:r>
            <w:r>
              <w:rPr>
                <w:spacing w:val="-1"/>
                <w:sz w:val="24"/>
                <w:szCs w:val="24"/>
                <w14:textOutline w14:w="4354" w14:cap="flat" w14:cmpd="sng">
                  <w14:solidFill>
                    <w14:srgbClr w14:val="000000"/>
                  </w14:solidFill>
                  <w14:prstDash w14:val="solid"/>
                  <w14:miter w14:val="10"/>
                </w14:textOutline>
              </w:rPr>
              <w:t>与相关规划符合性分析</w:t>
            </w:r>
          </w:p>
          <w:p>
            <w:pPr>
              <w:pStyle w:val="6"/>
              <w:spacing w:before="225" w:line="220" w:lineRule="auto"/>
              <w:ind w:left="26"/>
              <w:rPr>
                <w:sz w:val="24"/>
                <w:szCs w:val="24"/>
              </w:rPr>
            </w:pPr>
            <w:r>
              <w:rPr>
                <w:rFonts w:ascii="Times New Roman" w:hAnsi="Times New Roman" w:eastAsia="Times New Roman" w:cs="Times New Roman"/>
                <w:b/>
                <w:bCs/>
                <w:sz w:val="24"/>
                <w:szCs w:val="24"/>
              </w:rPr>
              <w:t>1.3.1</w:t>
            </w:r>
            <w:r>
              <w:rPr>
                <w:sz w:val="24"/>
                <w:szCs w:val="24"/>
                <w14:textOutline w14:w="4354" w14:cap="flat" w14:cmpd="sng">
                  <w14:solidFill>
                    <w14:srgbClr w14:val="000000"/>
                  </w14:solidFill>
                  <w14:prstDash w14:val="solid"/>
                  <w14:miter w14:val="10"/>
                </w14:textOutline>
              </w:rPr>
              <w:t>《四川省“十四五”能源发展规划</w:t>
            </w:r>
            <w:r>
              <w:rPr>
                <w:spacing w:val="-1"/>
                <w:sz w:val="24"/>
                <w:szCs w:val="24"/>
                <w14:textOutline w14:w="4354" w14:cap="flat" w14:cmpd="sng">
                  <w14:solidFill>
                    <w14:srgbClr w14:val="000000"/>
                  </w14:solidFill>
                  <w14:prstDash w14:val="solid"/>
                  <w14:miter w14:val="10"/>
                </w14:textOutline>
              </w:rPr>
              <w:t>》符合性分析</w:t>
            </w:r>
          </w:p>
          <w:p>
            <w:pPr>
              <w:pStyle w:val="6"/>
              <w:spacing w:before="204" w:line="369" w:lineRule="auto"/>
              <w:ind w:left="18" w:right="13" w:firstLine="480"/>
              <w:rPr>
                <w:sz w:val="24"/>
                <w:szCs w:val="24"/>
              </w:rPr>
            </w:pPr>
            <w:r>
              <w:rPr>
                <w:spacing w:val="-7"/>
                <w:sz w:val="24"/>
                <w:szCs w:val="24"/>
              </w:rPr>
              <w:t>根据《四川省“十四五”能源发展规划》第五章：</w:t>
            </w:r>
            <w:r>
              <w:rPr>
                <w:spacing w:val="85"/>
                <w:sz w:val="24"/>
                <w:szCs w:val="24"/>
              </w:rPr>
              <w:t xml:space="preserve"> </w:t>
            </w:r>
            <w:r>
              <w:rPr>
                <w:spacing w:val="-7"/>
                <w:sz w:val="24"/>
                <w:szCs w:val="24"/>
              </w:rPr>
              <w:t>“加快天然气勘探开发利用</w:t>
            </w:r>
            <w:r>
              <w:rPr>
                <w:sz w:val="24"/>
                <w:szCs w:val="24"/>
              </w:rPr>
              <w:t xml:space="preserve"> </w:t>
            </w:r>
            <w:r>
              <w:rPr>
                <w:rFonts w:ascii="Times New Roman" w:hAnsi="Times New Roman" w:eastAsia="Times New Roman" w:cs="Times New Roman"/>
                <w:spacing w:val="-9"/>
                <w:sz w:val="24"/>
                <w:szCs w:val="24"/>
              </w:rPr>
              <w:t>-</w:t>
            </w:r>
            <w:r>
              <w:rPr>
                <w:spacing w:val="-9"/>
                <w:sz w:val="24"/>
                <w:szCs w:val="24"/>
              </w:rPr>
              <w:t>建设千亿立方米级产能基地：</w:t>
            </w:r>
            <w:r>
              <w:rPr>
                <w:spacing w:val="50"/>
                <w:sz w:val="24"/>
                <w:szCs w:val="24"/>
              </w:rPr>
              <w:t xml:space="preserve"> </w:t>
            </w:r>
            <w:r>
              <w:rPr>
                <w:spacing w:val="-9"/>
                <w:sz w:val="24"/>
                <w:szCs w:val="24"/>
              </w:rPr>
              <w:t>大力推进天然气（页岩气）</w:t>
            </w:r>
            <w:r>
              <w:rPr>
                <w:spacing w:val="-70"/>
                <w:sz w:val="24"/>
                <w:szCs w:val="24"/>
              </w:rPr>
              <w:t xml:space="preserve"> </w:t>
            </w:r>
            <w:r>
              <w:rPr>
                <w:spacing w:val="-9"/>
                <w:sz w:val="24"/>
                <w:szCs w:val="24"/>
              </w:rPr>
              <w:t>勘探开发，实施国家天然</w:t>
            </w:r>
            <w:r>
              <w:rPr>
                <w:sz w:val="24"/>
                <w:szCs w:val="24"/>
              </w:rPr>
              <w:t xml:space="preserve"> </w:t>
            </w:r>
            <w:r>
              <w:rPr>
                <w:spacing w:val="-9"/>
                <w:sz w:val="24"/>
                <w:szCs w:val="24"/>
              </w:rPr>
              <w:t>气（页岩气） 千亿立方米级产能基地建设行动方案，</w:t>
            </w:r>
            <w:r>
              <w:rPr>
                <w:spacing w:val="62"/>
                <w:sz w:val="24"/>
                <w:szCs w:val="24"/>
              </w:rPr>
              <w:t xml:space="preserve"> </w:t>
            </w:r>
            <w:r>
              <w:rPr>
                <w:spacing w:val="-9"/>
                <w:sz w:val="24"/>
                <w:szCs w:val="24"/>
              </w:rPr>
              <w:t>建成全国最大的现代化天然气</w:t>
            </w:r>
            <w:r>
              <w:rPr>
                <w:sz w:val="24"/>
                <w:szCs w:val="24"/>
              </w:rPr>
              <w:t xml:space="preserve"> </w:t>
            </w:r>
            <w:r>
              <w:rPr>
                <w:spacing w:val="-4"/>
                <w:sz w:val="24"/>
                <w:szCs w:val="24"/>
              </w:rPr>
              <w:t>（页岩气） 生产基地。加大德阳—安岳古裂陷周缘、川中下古生界—震旦系</w:t>
            </w:r>
            <w:r>
              <w:rPr>
                <w:spacing w:val="-5"/>
                <w:sz w:val="24"/>
                <w:szCs w:val="24"/>
              </w:rPr>
              <w:t>、下二</w:t>
            </w:r>
            <w:r>
              <w:rPr>
                <w:sz w:val="24"/>
                <w:szCs w:val="24"/>
              </w:rPr>
              <w:t xml:space="preserve"> </w:t>
            </w:r>
            <w:r>
              <w:rPr>
                <w:spacing w:val="-1"/>
                <w:sz w:val="24"/>
                <w:szCs w:val="24"/>
              </w:rPr>
              <w:t>叠统、川西雷口坡组、川南五峰组—龙马溪组层系勘探力度。加快川中下古生界—</w:t>
            </w:r>
            <w:r>
              <w:rPr>
                <w:spacing w:val="6"/>
                <w:sz w:val="24"/>
                <w:szCs w:val="24"/>
              </w:rPr>
              <w:t xml:space="preserve"> </w:t>
            </w:r>
            <w:r>
              <w:rPr>
                <w:spacing w:val="-1"/>
                <w:sz w:val="24"/>
                <w:szCs w:val="24"/>
              </w:rPr>
              <w:t>震旦系气藏、川西和川中致密气藏、川东北高含硫气田、川西</w:t>
            </w:r>
            <w:r>
              <w:rPr>
                <w:spacing w:val="-2"/>
                <w:sz w:val="24"/>
                <w:szCs w:val="24"/>
              </w:rPr>
              <w:t>致密气田以及长宁、</w:t>
            </w:r>
            <w:r>
              <w:rPr>
                <w:sz w:val="24"/>
                <w:szCs w:val="24"/>
              </w:rPr>
              <w:t xml:space="preserve"> </w:t>
            </w:r>
            <w:r>
              <w:rPr>
                <w:spacing w:val="-1"/>
                <w:sz w:val="24"/>
                <w:szCs w:val="24"/>
              </w:rPr>
              <w:t xml:space="preserve">威远、泸州等区块产能建设，稳定主产区产量，开发接续区块。到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66"/>
                <w:sz w:val="24"/>
                <w:szCs w:val="24"/>
              </w:rPr>
              <w:t xml:space="preserve"> </w:t>
            </w:r>
            <w:r>
              <w:rPr>
                <w:spacing w:val="-1"/>
                <w:sz w:val="24"/>
                <w:szCs w:val="24"/>
              </w:rPr>
              <w:t>年，天然</w:t>
            </w:r>
          </w:p>
          <w:p>
            <w:pPr>
              <w:pStyle w:val="6"/>
              <w:spacing w:line="219" w:lineRule="auto"/>
              <w:ind w:left="20"/>
              <w:rPr>
                <w:sz w:val="24"/>
                <w:szCs w:val="24"/>
              </w:rPr>
            </w:pPr>
            <w:r>
              <w:rPr>
                <w:spacing w:val="4"/>
                <w:sz w:val="24"/>
                <w:szCs w:val="24"/>
              </w:rPr>
              <w:t>气（页岩气）年产量达到</w:t>
            </w:r>
            <w:r>
              <w:rPr>
                <w:spacing w:val="-35"/>
                <w:sz w:val="24"/>
                <w:szCs w:val="24"/>
              </w:rPr>
              <w:t xml:space="preserve"> </w:t>
            </w:r>
            <w:r>
              <w:rPr>
                <w:rFonts w:ascii="Times New Roman" w:hAnsi="Times New Roman" w:eastAsia="Times New Roman" w:cs="Times New Roman"/>
                <w:spacing w:val="4"/>
                <w:sz w:val="24"/>
                <w:szCs w:val="24"/>
              </w:rPr>
              <w:t xml:space="preserve">630 </w:t>
            </w:r>
            <w:r>
              <w:rPr>
                <w:spacing w:val="4"/>
                <w:sz w:val="24"/>
                <w:szCs w:val="24"/>
              </w:rPr>
              <w:t>亿立方米。”</w:t>
            </w:r>
          </w:p>
          <w:p>
            <w:pPr>
              <w:pStyle w:val="6"/>
              <w:spacing w:before="195" w:line="480" w:lineRule="exact"/>
              <w:ind w:right="16"/>
              <w:jc w:val="right"/>
              <w:rPr>
                <w:sz w:val="24"/>
                <w:szCs w:val="24"/>
              </w:rPr>
            </w:pPr>
            <w:r>
              <w:rPr>
                <w:spacing w:val="-11"/>
                <w:position w:val="18"/>
                <w:sz w:val="24"/>
                <w:szCs w:val="24"/>
              </w:rPr>
              <w:t>本项目属于天然气勘探项目，</w:t>
            </w:r>
            <w:r>
              <w:rPr>
                <w:spacing w:val="52"/>
                <w:position w:val="18"/>
                <w:sz w:val="24"/>
                <w:szCs w:val="24"/>
              </w:rPr>
              <w:t xml:space="preserve"> </w:t>
            </w:r>
            <w:r>
              <w:rPr>
                <w:spacing w:val="-11"/>
                <w:position w:val="18"/>
                <w:sz w:val="24"/>
                <w:szCs w:val="24"/>
              </w:rPr>
              <w:t>属于川东北气田，</w:t>
            </w:r>
            <w:r>
              <w:rPr>
                <w:spacing w:val="55"/>
                <w:position w:val="18"/>
                <w:sz w:val="24"/>
                <w:szCs w:val="24"/>
              </w:rPr>
              <w:t xml:space="preserve"> </w:t>
            </w:r>
            <w:r>
              <w:rPr>
                <w:spacing w:val="-11"/>
                <w:position w:val="18"/>
                <w:sz w:val="24"/>
                <w:szCs w:val="24"/>
              </w:rPr>
              <w:t>项目建成后</w:t>
            </w:r>
            <w:r>
              <w:rPr>
                <w:spacing w:val="-12"/>
                <w:position w:val="18"/>
                <w:sz w:val="24"/>
                <w:szCs w:val="24"/>
              </w:rPr>
              <w:t>有利于加快川东北</w:t>
            </w:r>
          </w:p>
          <w:p>
            <w:pPr>
              <w:pStyle w:val="6"/>
              <w:spacing w:before="1" w:line="218" w:lineRule="auto"/>
              <w:ind w:left="24"/>
              <w:rPr>
                <w:sz w:val="24"/>
                <w:szCs w:val="24"/>
              </w:rPr>
            </w:pPr>
            <w:r>
              <w:rPr>
                <w:spacing w:val="-2"/>
                <w:sz w:val="24"/>
                <w:szCs w:val="24"/>
              </w:rPr>
              <w:t>天然气建设。因此，本项目符合《四川省“十四五”能源发展规划》。</w:t>
            </w:r>
          </w:p>
          <w:p>
            <w:pPr>
              <w:pStyle w:val="6"/>
              <w:spacing w:before="228" w:line="219" w:lineRule="auto"/>
              <w:ind w:left="26"/>
              <w:rPr>
                <w:sz w:val="24"/>
                <w:szCs w:val="24"/>
              </w:rPr>
            </w:pPr>
            <w:r>
              <w:rPr>
                <w:rFonts w:ascii="Times New Roman" w:hAnsi="Times New Roman" w:eastAsia="Times New Roman" w:cs="Times New Roman"/>
                <w:b/>
                <w:bCs/>
                <w:sz w:val="24"/>
                <w:szCs w:val="24"/>
              </w:rPr>
              <w:t xml:space="preserve">1.3.2 </w:t>
            </w:r>
            <w:r>
              <w:rPr>
                <w:sz w:val="24"/>
                <w:szCs w:val="24"/>
                <w14:textOutline w14:w="4354" w14:cap="flat" w14:cmpd="sng">
                  <w14:solidFill>
                    <w14:srgbClr w14:val="000000"/>
                  </w14:solidFill>
                  <w14:prstDash w14:val="solid"/>
                  <w14:miter w14:val="10"/>
                </w14:textOutline>
              </w:rPr>
              <w:t>与《达州市“十四五”生态环境保护规划》符合性分析</w:t>
            </w:r>
          </w:p>
          <w:p>
            <w:pPr>
              <w:pStyle w:val="6"/>
              <w:spacing w:before="205" w:line="369" w:lineRule="auto"/>
              <w:ind w:left="20" w:right="14" w:firstLine="478"/>
              <w:jc w:val="both"/>
              <w:rPr>
                <w:sz w:val="24"/>
                <w:szCs w:val="24"/>
              </w:rPr>
            </w:pPr>
            <w:r>
              <w:rPr>
                <w:spacing w:val="-4"/>
                <w:sz w:val="24"/>
                <w:szCs w:val="24"/>
              </w:rPr>
              <w:t>根据《达州市“十四五”生态环境保护规划》“第</w:t>
            </w:r>
            <w:r>
              <w:rPr>
                <w:spacing w:val="-5"/>
                <w:sz w:val="24"/>
                <w:szCs w:val="24"/>
              </w:rPr>
              <w:t>一节推进结构优化调整， 建</w:t>
            </w:r>
            <w:r>
              <w:rPr>
                <w:sz w:val="24"/>
                <w:szCs w:val="24"/>
              </w:rPr>
              <w:t xml:space="preserve"> </w:t>
            </w:r>
            <w:r>
              <w:rPr>
                <w:spacing w:val="-1"/>
                <w:sz w:val="24"/>
                <w:szCs w:val="24"/>
              </w:rPr>
              <w:t>设川渝陕绿色转型发展示范区（一）统筹绿色发展空间布局。落实国土空间开发保</w:t>
            </w:r>
            <w:r>
              <w:rPr>
                <w:spacing w:val="3"/>
                <w:sz w:val="24"/>
                <w:szCs w:val="24"/>
              </w:rPr>
              <w:t xml:space="preserve"> </w:t>
            </w:r>
            <w:r>
              <w:rPr>
                <w:spacing w:val="-6"/>
                <w:sz w:val="24"/>
                <w:szCs w:val="24"/>
              </w:rPr>
              <w:t>护格局。以达川区、通川区、大竹县为重点开发区域，加快推进中心城市发展，</w:t>
            </w:r>
            <w:r>
              <w:rPr>
                <w:spacing w:val="61"/>
                <w:sz w:val="24"/>
                <w:szCs w:val="24"/>
              </w:rPr>
              <w:t xml:space="preserve"> </w:t>
            </w:r>
            <w:r>
              <w:rPr>
                <w:spacing w:val="-6"/>
                <w:sz w:val="24"/>
                <w:szCs w:val="24"/>
              </w:rPr>
              <w:t>优</w:t>
            </w:r>
            <w:r>
              <w:rPr>
                <w:sz w:val="24"/>
                <w:szCs w:val="24"/>
              </w:rPr>
              <w:t xml:space="preserve"> </w:t>
            </w:r>
            <w:r>
              <w:rPr>
                <w:spacing w:val="-11"/>
                <w:sz w:val="24"/>
                <w:szCs w:val="24"/>
              </w:rPr>
              <w:t>化城市空间布局，</w:t>
            </w:r>
            <w:r>
              <w:rPr>
                <w:spacing w:val="67"/>
                <w:sz w:val="24"/>
                <w:szCs w:val="24"/>
              </w:rPr>
              <w:t xml:space="preserve"> </w:t>
            </w:r>
            <w:r>
              <w:rPr>
                <w:spacing w:val="-11"/>
                <w:sz w:val="24"/>
                <w:szCs w:val="24"/>
              </w:rPr>
              <w:t>重点发展清洁能源、天然气化工、农产品加工业，</w:t>
            </w:r>
            <w:r>
              <w:rPr>
                <w:spacing w:val="56"/>
                <w:sz w:val="24"/>
                <w:szCs w:val="24"/>
              </w:rPr>
              <w:t xml:space="preserve"> </w:t>
            </w:r>
            <w:r>
              <w:rPr>
                <w:spacing w:val="-11"/>
                <w:sz w:val="24"/>
                <w:szCs w:val="24"/>
              </w:rPr>
              <w:t>加强生态环境</w:t>
            </w:r>
            <w:r>
              <w:rPr>
                <w:sz w:val="24"/>
                <w:szCs w:val="24"/>
              </w:rPr>
              <w:t xml:space="preserve"> </w:t>
            </w:r>
            <w:r>
              <w:rPr>
                <w:spacing w:val="-12"/>
                <w:sz w:val="24"/>
                <w:szCs w:val="24"/>
              </w:rPr>
              <w:t>保护和流域综合整治。</w:t>
            </w:r>
            <w:r>
              <w:rPr>
                <w:spacing w:val="71"/>
                <w:sz w:val="24"/>
                <w:szCs w:val="24"/>
              </w:rPr>
              <w:t xml:space="preserve"> </w:t>
            </w:r>
            <w:r>
              <w:rPr>
                <w:spacing w:val="-12"/>
                <w:sz w:val="24"/>
                <w:szCs w:val="24"/>
              </w:rPr>
              <w:t>……</w:t>
            </w:r>
            <w:r>
              <w:rPr>
                <w:spacing w:val="-91"/>
                <w:sz w:val="24"/>
                <w:szCs w:val="24"/>
              </w:rPr>
              <w:t xml:space="preserve"> </w:t>
            </w:r>
            <w:r>
              <w:rPr>
                <w:spacing w:val="-12"/>
                <w:sz w:val="24"/>
                <w:szCs w:val="24"/>
              </w:rPr>
              <w:t>，加强重点生态工程建设，</w:t>
            </w:r>
            <w:r>
              <w:rPr>
                <w:spacing w:val="59"/>
                <w:sz w:val="24"/>
                <w:szCs w:val="24"/>
              </w:rPr>
              <w:t xml:space="preserve"> </w:t>
            </w:r>
            <w:r>
              <w:rPr>
                <w:spacing w:val="-12"/>
                <w:sz w:val="24"/>
                <w:szCs w:val="24"/>
              </w:rPr>
              <w:t>提高水源涵养、水土保持和</w:t>
            </w:r>
          </w:p>
          <w:p>
            <w:pPr>
              <w:pStyle w:val="6"/>
              <w:spacing w:before="1" w:line="219" w:lineRule="auto"/>
              <w:ind w:left="21"/>
              <w:rPr>
                <w:sz w:val="24"/>
                <w:szCs w:val="24"/>
              </w:rPr>
            </w:pPr>
            <w:r>
              <w:rPr>
                <w:spacing w:val="3"/>
                <w:sz w:val="24"/>
                <w:szCs w:val="24"/>
              </w:rPr>
              <w:t>生物多样性保护等生态功能，合理开发旅游文化资源，发展生态旅游。”</w:t>
            </w:r>
          </w:p>
          <w:p>
            <w:pPr>
              <w:pStyle w:val="6"/>
              <w:spacing w:before="194" w:line="480" w:lineRule="exact"/>
              <w:jc w:val="right"/>
              <w:rPr>
                <w:sz w:val="24"/>
                <w:szCs w:val="24"/>
              </w:rPr>
            </w:pPr>
            <w:r>
              <w:rPr>
                <w:spacing w:val="-15"/>
                <w:position w:val="18"/>
                <w:sz w:val="24"/>
                <w:szCs w:val="24"/>
              </w:rPr>
              <w:t>本项目为天</w:t>
            </w:r>
            <w:r>
              <w:rPr>
                <w:spacing w:val="-14"/>
                <w:position w:val="18"/>
                <w:sz w:val="24"/>
                <w:szCs w:val="24"/>
              </w:rPr>
              <w:t>然气资源勘探项目， 项目位于四川省达州市通川区江陵镇</w:t>
            </w:r>
            <w:r>
              <w:rPr>
                <w:spacing w:val="-15"/>
                <w:position w:val="18"/>
                <w:sz w:val="24"/>
                <w:szCs w:val="24"/>
              </w:rPr>
              <w:t>， 符合《</w:t>
            </w:r>
            <w:r>
              <w:rPr>
                <w:spacing w:val="-10"/>
                <w:position w:val="18"/>
                <w:sz w:val="24"/>
                <w:szCs w:val="24"/>
              </w:rPr>
              <w:t>达</w:t>
            </w:r>
          </w:p>
          <w:p>
            <w:pPr>
              <w:pStyle w:val="6"/>
              <w:spacing w:before="1" w:line="218" w:lineRule="auto"/>
              <w:ind w:left="20"/>
              <w:rPr>
                <w:sz w:val="24"/>
                <w:szCs w:val="24"/>
              </w:rPr>
            </w:pPr>
            <w:r>
              <w:rPr>
                <w:spacing w:val="-3"/>
                <w:sz w:val="24"/>
                <w:szCs w:val="24"/>
              </w:rPr>
              <w:t>州市“十四五”生态环境保护规划》要求。</w:t>
            </w:r>
          </w:p>
          <w:p>
            <w:pPr>
              <w:pStyle w:val="6"/>
              <w:spacing w:before="229" w:line="220" w:lineRule="auto"/>
              <w:ind w:left="26"/>
              <w:rPr>
                <w:sz w:val="24"/>
                <w:szCs w:val="24"/>
              </w:rPr>
            </w:pPr>
            <w:r>
              <w:rPr>
                <w:rFonts w:ascii="Times New Roman" w:hAnsi="Times New Roman" w:eastAsia="Times New Roman" w:cs="Times New Roman"/>
                <w:b/>
                <w:bCs/>
                <w:spacing w:val="-1"/>
                <w:sz w:val="24"/>
                <w:szCs w:val="24"/>
              </w:rPr>
              <w:t xml:space="preserve">1.3.4 </w:t>
            </w:r>
            <w:r>
              <w:rPr>
                <w:spacing w:val="-1"/>
                <w:sz w:val="24"/>
                <w:szCs w:val="24"/>
                <w14:textOutline w14:w="4354" w14:cap="flat" w14:cmpd="sng">
                  <w14:solidFill>
                    <w14:srgbClr w14:val="000000"/>
                  </w14:solidFill>
                  <w14:prstDash w14:val="solid"/>
                  <w14:miter w14:val="10"/>
                </w14:textOutline>
              </w:rPr>
              <w:t>与城乡规划的符合性</w:t>
            </w:r>
          </w:p>
          <w:p>
            <w:pPr>
              <w:pStyle w:val="6"/>
              <w:spacing w:before="204" w:line="369" w:lineRule="auto"/>
              <w:ind w:left="18" w:right="14" w:firstLine="481"/>
              <w:rPr>
                <w:sz w:val="24"/>
                <w:szCs w:val="24"/>
              </w:rPr>
            </w:pPr>
            <w:r>
              <w:rPr>
                <w:spacing w:val="-3"/>
                <w:sz w:val="24"/>
                <w:szCs w:val="24"/>
              </w:rPr>
              <w:t>本工程位于四川省达州市通川区江陵镇和平村</w:t>
            </w:r>
            <w:r>
              <w:rPr>
                <w:spacing w:val="-19"/>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组，项目区域属于农村地区，</w:t>
            </w:r>
            <w:r>
              <w:rPr>
                <w:sz w:val="24"/>
                <w:szCs w:val="24"/>
              </w:rPr>
              <w:t xml:space="preserve"> </w:t>
            </w:r>
            <w:r>
              <w:rPr>
                <w:spacing w:val="-5"/>
                <w:sz w:val="24"/>
                <w:szCs w:val="24"/>
              </w:rPr>
              <w:t xml:space="preserve">根据达州市通川区自然资源局出具的《关于凤探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 xml:space="preserve"> </w:t>
            </w:r>
            <w:r>
              <w:rPr>
                <w:spacing w:val="-6"/>
                <w:sz w:val="24"/>
                <w:szCs w:val="24"/>
              </w:rPr>
              <w:t>井规划选址意见的回函》， 项目</w:t>
            </w:r>
            <w:r>
              <w:rPr>
                <w:sz w:val="24"/>
                <w:szCs w:val="24"/>
              </w:rPr>
              <w:t xml:space="preserve"> </w:t>
            </w:r>
            <w:r>
              <w:rPr>
                <w:spacing w:val="-12"/>
                <w:sz w:val="24"/>
                <w:szCs w:val="24"/>
              </w:rPr>
              <w:t>选址不在江陵镇场镇规划建设用地范围内，</w:t>
            </w:r>
            <w:r>
              <w:rPr>
                <w:spacing w:val="61"/>
                <w:sz w:val="24"/>
                <w:szCs w:val="24"/>
              </w:rPr>
              <w:t xml:space="preserve"> </w:t>
            </w:r>
            <w:r>
              <w:rPr>
                <w:spacing w:val="-12"/>
                <w:sz w:val="24"/>
                <w:szCs w:val="24"/>
              </w:rPr>
              <w:t>本项目建设将占用永久基本农田，</w:t>
            </w:r>
            <w:r>
              <w:rPr>
                <w:spacing w:val="97"/>
                <w:sz w:val="24"/>
                <w:szCs w:val="24"/>
              </w:rPr>
              <w:t xml:space="preserve"> </w:t>
            </w:r>
            <w:r>
              <w:rPr>
                <w:spacing w:val="-12"/>
                <w:sz w:val="24"/>
                <w:szCs w:val="24"/>
              </w:rPr>
              <w:t>目前</w:t>
            </w:r>
            <w:r>
              <w:rPr>
                <w:sz w:val="24"/>
                <w:szCs w:val="24"/>
              </w:rPr>
              <w:t xml:space="preserve"> </w:t>
            </w:r>
            <w:r>
              <w:rPr>
                <w:spacing w:val="-11"/>
                <w:sz w:val="24"/>
                <w:szCs w:val="24"/>
              </w:rPr>
              <w:t>建设单位正在办理相关用地手续及基本农田复垦方案，</w:t>
            </w:r>
            <w:r>
              <w:rPr>
                <w:spacing w:val="53"/>
                <w:sz w:val="24"/>
                <w:szCs w:val="24"/>
              </w:rPr>
              <w:t xml:space="preserve"> </w:t>
            </w:r>
            <w:r>
              <w:rPr>
                <w:spacing w:val="-11"/>
                <w:sz w:val="24"/>
                <w:szCs w:val="24"/>
              </w:rPr>
              <w:t>做到占补平衡，</w:t>
            </w:r>
            <w:r>
              <w:rPr>
                <w:spacing w:val="69"/>
                <w:sz w:val="24"/>
                <w:szCs w:val="24"/>
              </w:rPr>
              <w:t xml:space="preserve"> </w:t>
            </w:r>
            <w:r>
              <w:rPr>
                <w:spacing w:val="-11"/>
                <w:sz w:val="24"/>
                <w:szCs w:val="24"/>
              </w:rPr>
              <w:t>因此项目实</w:t>
            </w:r>
          </w:p>
          <w:p>
            <w:pPr>
              <w:pStyle w:val="6"/>
              <w:spacing w:line="219" w:lineRule="auto"/>
              <w:ind w:left="18"/>
              <w:rPr>
                <w:sz w:val="24"/>
                <w:szCs w:val="24"/>
              </w:rPr>
            </w:pPr>
            <w:r>
              <w:rPr>
                <w:spacing w:val="-5"/>
                <w:sz w:val="24"/>
                <w:szCs w:val="24"/>
              </w:rPr>
              <w:t>施不影响城乡建设。</w:t>
            </w:r>
          </w:p>
          <w:p>
            <w:pPr>
              <w:pStyle w:val="6"/>
              <w:spacing w:before="225" w:line="220" w:lineRule="auto"/>
              <w:ind w:left="26"/>
              <w:rPr>
                <w:sz w:val="24"/>
                <w:szCs w:val="24"/>
              </w:rPr>
            </w:pPr>
            <w:r>
              <w:rPr>
                <w:rFonts w:ascii="Times New Roman" w:hAnsi="Times New Roman" w:eastAsia="Times New Roman" w:cs="Times New Roman"/>
                <w:b/>
                <w:bCs/>
                <w:spacing w:val="-1"/>
                <w:sz w:val="24"/>
                <w:szCs w:val="24"/>
              </w:rPr>
              <w:t xml:space="preserve">1.3.5 </w:t>
            </w:r>
            <w:r>
              <w:rPr>
                <w:spacing w:val="-1"/>
                <w:sz w:val="24"/>
                <w:szCs w:val="24"/>
                <w14:textOutline w14:w="4354" w14:cap="flat" w14:cmpd="sng">
                  <w14:solidFill>
                    <w14:srgbClr w14:val="000000"/>
                  </w14:solidFill>
                  <w14:prstDash w14:val="solid"/>
                  <w14:miter w14:val="10"/>
                </w14:textOutline>
              </w:rPr>
              <w:t>与“三区三线”符合性分析</w:t>
            </w:r>
          </w:p>
        </w:tc>
      </w:tr>
    </w:tbl>
    <w:p>
      <w:pPr>
        <w:pStyle w:val="2"/>
        <w:rPr>
          <w:sz w:val="21"/>
        </w:rPr>
      </w:pPr>
    </w:p>
    <w:p>
      <w:pPr>
        <w:rPr>
          <w:sz w:val="21"/>
          <w:szCs w:val="21"/>
        </w:rPr>
        <w:sectPr>
          <w:footerReference r:id="rId19"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731"/>
        <w:gridCol w:w="3603"/>
        <w:gridCol w:w="3580"/>
        <w:gridCol w:w="7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4" w:hRule="atLeast"/>
        </w:trPr>
        <w:tc>
          <w:tcPr>
            <w:tcW w:w="468" w:type="dxa"/>
            <w:vMerge w:val="restart"/>
            <w:tcBorders>
              <w:bottom w:val="nil"/>
            </w:tcBorders>
            <w:vAlign w:val="top"/>
          </w:tcPr>
          <w:p>
            <w:pPr>
              <w:rPr>
                <w:rFonts w:ascii="Arial"/>
                <w:sz w:val="21"/>
              </w:rPr>
            </w:pPr>
          </w:p>
        </w:tc>
        <w:tc>
          <w:tcPr>
            <w:tcW w:w="8629" w:type="dxa"/>
            <w:gridSpan w:val="4"/>
            <w:vAlign w:val="top"/>
          </w:tcPr>
          <w:p>
            <w:pPr>
              <w:pStyle w:val="6"/>
              <w:spacing w:before="199" w:line="480" w:lineRule="exact"/>
              <w:ind w:right="10"/>
              <w:jc w:val="right"/>
              <w:rPr>
                <w:sz w:val="24"/>
                <w:szCs w:val="24"/>
              </w:rPr>
            </w:pPr>
            <w:r>
              <w:rPr>
                <w:spacing w:val="-6"/>
                <w:position w:val="18"/>
                <w:sz w:val="24"/>
                <w:szCs w:val="24"/>
              </w:rPr>
              <w:t>“三区三线”是根据城镇空间、农业空间、生态空间三种类型的空间，</w:t>
            </w:r>
            <w:r>
              <w:rPr>
                <w:spacing w:val="73"/>
                <w:position w:val="18"/>
                <w:sz w:val="24"/>
                <w:szCs w:val="24"/>
              </w:rPr>
              <w:t xml:space="preserve"> </w:t>
            </w:r>
            <w:r>
              <w:rPr>
                <w:spacing w:val="-6"/>
                <w:position w:val="18"/>
                <w:sz w:val="24"/>
                <w:szCs w:val="24"/>
              </w:rPr>
              <w:t>分别对</w:t>
            </w:r>
          </w:p>
          <w:p>
            <w:pPr>
              <w:pStyle w:val="6"/>
              <w:spacing w:before="1" w:line="218" w:lineRule="auto"/>
              <w:rPr>
                <w:sz w:val="24"/>
                <w:szCs w:val="24"/>
              </w:rPr>
            </w:pPr>
            <w:r>
              <w:rPr>
                <w:spacing w:val="-1"/>
                <w:sz w:val="24"/>
                <w:szCs w:val="24"/>
              </w:rPr>
              <w:t>应划定的城镇开发边界、永久基本农田保护红线、生</w:t>
            </w:r>
            <w:r>
              <w:rPr>
                <w:spacing w:val="-2"/>
                <w:sz w:val="24"/>
                <w:szCs w:val="24"/>
              </w:rPr>
              <w:t>态保护红线三条控制线。</w:t>
            </w:r>
          </w:p>
          <w:p>
            <w:pPr>
              <w:pStyle w:val="6"/>
              <w:spacing w:before="196" w:line="369" w:lineRule="auto"/>
              <w:ind w:right="14" w:firstLine="479"/>
              <w:rPr>
                <w:sz w:val="24"/>
                <w:szCs w:val="24"/>
              </w:rPr>
            </w:pPr>
            <w:r>
              <w:rPr>
                <w:spacing w:val="-1"/>
                <w:sz w:val="24"/>
                <w:szCs w:val="24"/>
              </w:rPr>
              <w:t>本项目位于四川省达州市通川区江陵镇，占用的土</w:t>
            </w:r>
            <w:r>
              <w:rPr>
                <w:spacing w:val="-2"/>
                <w:sz w:val="24"/>
                <w:szCs w:val="24"/>
              </w:rPr>
              <w:t>地类型主要为水田、旱地、</w:t>
            </w:r>
            <w:r>
              <w:rPr>
                <w:sz w:val="24"/>
                <w:szCs w:val="24"/>
              </w:rPr>
              <w:t xml:space="preserve"> </w:t>
            </w:r>
            <w:r>
              <w:rPr>
                <w:spacing w:val="-4"/>
                <w:sz w:val="24"/>
                <w:szCs w:val="24"/>
              </w:rPr>
              <w:t>林地、农村道路等，</w:t>
            </w:r>
            <w:r>
              <w:rPr>
                <w:spacing w:val="-9"/>
                <w:sz w:val="24"/>
                <w:szCs w:val="24"/>
              </w:rPr>
              <w:t xml:space="preserve"> </w:t>
            </w:r>
            <w:r>
              <w:rPr>
                <w:spacing w:val="-4"/>
                <w:sz w:val="24"/>
                <w:szCs w:val="24"/>
              </w:rPr>
              <w:t>项目临时占地涉及永久基本农田但不涉及自然保护区、风景名</w:t>
            </w:r>
          </w:p>
          <w:p>
            <w:pPr>
              <w:pStyle w:val="6"/>
              <w:spacing w:line="219" w:lineRule="auto"/>
              <w:rPr>
                <w:sz w:val="24"/>
                <w:szCs w:val="24"/>
              </w:rPr>
            </w:pPr>
            <w:r>
              <w:rPr>
                <w:spacing w:val="-1"/>
                <w:sz w:val="24"/>
                <w:szCs w:val="24"/>
              </w:rPr>
              <w:t>胜区、生态保护红线等环境敏感区域。同时项目选址避开了</w:t>
            </w:r>
            <w:r>
              <w:rPr>
                <w:spacing w:val="-2"/>
                <w:sz w:val="24"/>
                <w:szCs w:val="24"/>
              </w:rPr>
              <w:t>所在镇街规划区等。</w:t>
            </w:r>
          </w:p>
          <w:p>
            <w:pPr>
              <w:pStyle w:val="6"/>
              <w:spacing w:before="314" w:line="220" w:lineRule="auto"/>
              <w:ind w:left="6"/>
              <w:rPr>
                <w:sz w:val="24"/>
                <w:szCs w:val="24"/>
              </w:rPr>
            </w:pPr>
            <w:r>
              <w:rPr>
                <w:rFonts w:ascii="Times New Roman" w:hAnsi="Times New Roman" w:eastAsia="Times New Roman" w:cs="Times New Roman"/>
                <w:b/>
                <w:bCs/>
                <w:spacing w:val="-1"/>
                <w:sz w:val="24"/>
                <w:szCs w:val="24"/>
              </w:rPr>
              <w:t xml:space="preserve">1.4 </w:t>
            </w:r>
            <w:r>
              <w:rPr>
                <w:spacing w:val="-1"/>
                <w:sz w:val="24"/>
                <w:szCs w:val="24"/>
                <w14:textOutline w14:w="4354" w14:cap="flat" w14:cmpd="sng">
                  <w14:solidFill>
                    <w14:srgbClr w14:val="000000"/>
                  </w14:solidFill>
                  <w14:prstDash w14:val="solid"/>
                  <w14:miter w14:val="10"/>
                </w14:textOutline>
              </w:rPr>
              <w:t>与相关政策符合性分析</w:t>
            </w:r>
          </w:p>
          <w:p>
            <w:pPr>
              <w:pStyle w:val="6"/>
              <w:spacing w:before="225" w:line="220" w:lineRule="auto"/>
              <w:ind w:left="6"/>
              <w:rPr>
                <w:sz w:val="24"/>
                <w:szCs w:val="24"/>
              </w:rPr>
            </w:pPr>
            <w:r>
              <w:rPr>
                <w:rFonts w:ascii="Times New Roman" w:hAnsi="Times New Roman" w:eastAsia="Times New Roman" w:cs="Times New Roman"/>
                <w:b/>
                <w:bCs/>
                <w:spacing w:val="-1"/>
                <w:sz w:val="24"/>
                <w:szCs w:val="24"/>
              </w:rPr>
              <w:t xml:space="preserve">1.4.1 </w:t>
            </w:r>
            <w:r>
              <w:rPr>
                <w:spacing w:val="-1"/>
                <w:sz w:val="24"/>
                <w:szCs w:val="24"/>
                <w14:textOutline w14:w="4354" w14:cap="flat" w14:cmpd="sng">
                  <w14:solidFill>
                    <w14:srgbClr w14:val="000000"/>
                  </w14:solidFill>
                  <w14:prstDash w14:val="solid"/>
                  <w14:miter w14:val="10"/>
                </w14:textOutline>
              </w:rPr>
              <w:t>产业政策符合性分析</w:t>
            </w:r>
          </w:p>
          <w:p>
            <w:pPr>
              <w:pStyle w:val="6"/>
              <w:spacing w:before="203" w:line="369" w:lineRule="auto"/>
              <w:ind w:left="45" w:right="14" w:firstLine="437"/>
              <w:jc w:val="both"/>
              <w:rPr>
                <w:sz w:val="24"/>
                <w:szCs w:val="24"/>
              </w:rPr>
            </w:pPr>
            <w:r>
              <w:rPr>
                <w:spacing w:val="-5"/>
                <w:sz w:val="24"/>
                <w:szCs w:val="24"/>
              </w:rPr>
              <w:t>项目属于陆地矿产资源地质勘查（油气资源勘探</w:t>
            </w:r>
            <w:r>
              <w:rPr>
                <w:spacing w:val="-18"/>
                <w:sz w:val="24"/>
                <w:szCs w:val="24"/>
              </w:rPr>
              <w:t>）</w:t>
            </w:r>
            <w:r>
              <w:rPr>
                <w:spacing w:val="40"/>
                <w:sz w:val="24"/>
                <w:szCs w:val="24"/>
              </w:rPr>
              <w:t xml:space="preserve"> </w:t>
            </w:r>
            <w:r>
              <w:rPr>
                <w:spacing w:val="-18"/>
                <w:sz w:val="24"/>
                <w:szCs w:val="24"/>
              </w:rPr>
              <w:t>，</w:t>
            </w:r>
            <w:r>
              <w:rPr>
                <w:spacing w:val="-5"/>
                <w:sz w:val="24"/>
                <w:szCs w:val="24"/>
              </w:rPr>
              <w:t>根据《产业结构调整指导</w:t>
            </w:r>
            <w:r>
              <w:rPr>
                <w:sz w:val="24"/>
                <w:szCs w:val="24"/>
              </w:rPr>
              <w:t xml:space="preserve"> </w:t>
            </w:r>
            <w:r>
              <w:rPr>
                <w:spacing w:val="-10"/>
                <w:sz w:val="24"/>
                <w:szCs w:val="24"/>
              </w:rPr>
              <w:t>目录（</w:t>
            </w:r>
            <w:r>
              <w:rPr>
                <w:rFonts w:ascii="Times New Roman" w:hAnsi="Times New Roman" w:eastAsia="Times New Roman" w:cs="Times New Roman"/>
                <w:spacing w:val="-10"/>
                <w:sz w:val="24"/>
                <w:szCs w:val="24"/>
              </w:rPr>
              <w:t xml:space="preserve">2019 </w:t>
            </w:r>
            <w:r>
              <w:rPr>
                <w:spacing w:val="-10"/>
                <w:sz w:val="24"/>
                <w:szCs w:val="24"/>
              </w:rPr>
              <w:t>年本）</w:t>
            </w:r>
            <w:r>
              <w:rPr>
                <w:spacing w:val="-42"/>
                <w:sz w:val="24"/>
                <w:szCs w:val="24"/>
              </w:rPr>
              <w:t xml:space="preserve"> </w:t>
            </w:r>
            <w:r>
              <w:rPr>
                <w:spacing w:val="-10"/>
                <w:sz w:val="24"/>
                <w:szCs w:val="24"/>
              </w:rPr>
              <w:t>》的有关规定，</w:t>
            </w:r>
            <w:r>
              <w:rPr>
                <w:spacing w:val="57"/>
                <w:sz w:val="24"/>
                <w:szCs w:val="24"/>
              </w:rPr>
              <w:t xml:space="preserve"> </w:t>
            </w:r>
            <w:r>
              <w:rPr>
                <w:spacing w:val="-10"/>
                <w:sz w:val="24"/>
                <w:szCs w:val="24"/>
              </w:rPr>
              <w:t>项目属于第一类“鼓励类”第七条“石油类</w:t>
            </w:r>
            <w:r>
              <w:rPr>
                <w:spacing w:val="-11"/>
                <w:sz w:val="24"/>
                <w:szCs w:val="24"/>
              </w:rPr>
              <w:t>、天</w:t>
            </w:r>
          </w:p>
          <w:p>
            <w:pPr>
              <w:pStyle w:val="6"/>
              <w:spacing w:before="1" w:line="218" w:lineRule="auto"/>
              <w:rPr>
                <w:sz w:val="24"/>
                <w:szCs w:val="24"/>
              </w:rPr>
            </w:pPr>
            <w:r>
              <w:rPr>
                <w:spacing w:val="-1"/>
                <w:sz w:val="24"/>
                <w:szCs w:val="24"/>
              </w:rPr>
              <w:t>然气”第一款“常规石油、天然气探勘与开采”，因此，符合</w:t>
            </w:r>
            <w:r>
              <w:rPr>
                <w:spacing w:val="-2"/>
                <w:sz w:val="24"/>
                <w:szCs w:val="24"/>
              </w:rPr>
              <w:t>国家有关产业政策。</w:t>
            </w:r>
          </w:p>
          <w:p>
            <w:pPr>
              <w:pStyle w:val="6"/>
              <w:spacing w:before="228" w:line="219" w:lineRule="auto"/>
              <w:ind w:left="6"/>
              <w:rPr>
                <w:sz w:val="24"/>
                <w:szCs w:val="24"/>
              </w:rPr>
            </w:pPr>
            <w:r>
              <w:rPr>
                <w:rFonts w:ascii="Times New Roman" w:hAnsi="Times New Roman" w:eastAsia="Times New Roman" w:cs="Times New Roman"/>
                <w:b/>
                <w:bCs/>
                <w:sz w:val="24"/>
                <w:szCs w:val="24"/>
              </w:rPr>
              <w:t xml:space="preserve">1.4.2 </w:t>
            </w:r>
            <w:r>
              <w:rPr>
                <w:sz w:val="24"/>
                <w:szCs w:val="24"/>
                <w14:textOutline w14:w="4354" w14:cap="flat" w14:cmpd="sng">
                  <w14:solidFill>
                    <w14:srgbClr w14:val="000000"/>
                  </w14:solidFill>
                  <w14:prstDash w14:val="solid"/>
                  <w14:miter w14:val="10"/>
                </w14:textOutline>
              </w:rPr>
              <w:t>与《石油天然气开采业污染防治技术政策》的符合性分析</w:t>
            </w:r>
          </w:p>
          <w:p>
            <w:pPr>
              <w:pStyle w:val="6"/>
              <w:spacing w:before="203" w:line="480" w:lineRule="exact"/>
              <w:ind w:right="5"/>
              <w:jc w:val="right"/>
              <w:rPr>
                <w:sz w:val="24"/>
                <w:szCs w:val="24"/>
              </w:rPr>
            </w:pPr>
            <w:r>
              <w:rPr>
                <w:spacing w:val="-1"/>
                <w:position w:val="18"/>
                <w:sz w:val="24"/>
                <w:szCs w:val="24"/>
              </w:rPr>
              <w:t xml:space="preserve">本项目与《石油天然气开采业污染防治技术政策》（国家环保部公告 </w:t>
            </w:r>
            <w:r>
              <w:rPr>
                <w:rFonts w:ascii="Times New Roman" w:hAnsi="Times New Roman" w:eastAsia="Times New Roman" w:cs="Times New Roman"/>
                <w:spacing w:val="-1"/>
                <w:position w:val="18"/>
                <w:sz w:val="24"/>
                <w:szCs w:val="24"/>
              </w:rPr>
              <w:t>2012</w:t>
            </w:r>
            <w:r>
              <w:rPr>
                <w:rFonts w:ascii="Times New Roman" w:hAnsi="Times New Roman" w:eastAsia="Times New Roman" w:cs="Times New Roman"/>
                <w:spacing w:val="72"/>
                <w:position w:val="18"/>
                <w:sz w:val="24"/>
                <w:szCs w:val="24"/>
              </w:rPr>
              <w:t xml:space="preserve"> </w:t>
            </w:r>
            <w:r>
              <w:rPr>
                <w:spacing w:val="-1"/>
                <w:position w:val="18"/>
                <w:sz w:val="24"/>
                <w:szCs w:val="24"/>
              </w:rPr>
              <w:t>年</w:t>
            </w:r>
          </w:p>
          <w:p>
            <w:pPr>
              <w:pStyle w:val="6"/>
              <w:spacing w:before="1" w:line="219" w:lineRule="auto"/>
              <w:rPr>
                <w:sz w:val="24"/>
                <w:szCs w:val="24"/>
              </w:rPr>
            </w:pPr>
            <w:r>
              <w:rPr>
                <w:spacing w:val="-6"/>
                <w:sz w:val="24"/>
                <w:szCs w:val="24"/>
              </w:rPr>
              <w:t>第</w:t>
            </w:r>
            <w:r>
              <w:rPr>
                <w:spacing w:val="-32"/>
                <w:sz w:val="24"/>
                <w:szCs w:val="24"/>
              </w:rPr>
              <w:t xml:space="preserve"> </w:t>
            </w:r>
            <w:r>
              <w:rPr>
                <w:rFonts w:ascii="Times New Roman" w:hAnsi="Times New Roman" w:eastAsia="Times New Roman" w:cs="Times New Roman"/>
                <w:spacing w:val="-6"/>
                <w:sz w:val="24"/>
                <w:szCs w:val="24"/>
              </w:rPr>
              <w:t>18</w:t>
            </w:r>
            <w:r>
              <w:rPr>
                <w:rFonts w:ascii="Times New Roman" w:hAnsi="Times New Roman" w:eastAsia="Times New Roman" w:cs="Times New Roman"/>
                <w:spacing w:val="15"/>
                <w:sz w:val="24"/>
                <w:szCs w:val="24"/>
              </w:rPr>
              <w:t xml:space="preserve"> </w:t>
            </w:r>
            <w:r>
              <w:rPr>
                <w:spacing w:val="-6"/>
                <w:sz w:val="24"/>
                <w:szCs w:val="24"/>
              </w:rPr>
              <w:t>号）对比分析详见下表。</w:t>
            </w:r>
          </w:p>
          <w:p>
            <w:pPr>
              <w:pStyle w:val="6"/>
              <w:spacing w:before="194" w:line="219" w:lineRule="auto"/>
              <w:ind w:left="893"/>
              <w:rPr>
                <w:sz w:val="24"/>
                <w:szCs w:val="24"/>
              </w:rPr>
            </w:pPr>
            <w:r>
              <w:rPr>
                <w:sz w:val="24"/>
                <w:szCs w:val="24"/>
                <w14:textOutline w14:w="4354" w14:cap="flat" w14:cmpd="sng">
                  <w14:solidFill>
                    <w14:srgbClr w14:val="000000"/>
                  </w14:solidFill>
                  <w14:prstDash w14:val="solid"/>
                  <w14:miter w14:val="10"/>
                </w14:textOutline>
              </w:rPr>
              <w:t>表</w:t>
            </w:r>
            <w:r>
              <w:rPr>
                <w:spacing w:val="-42"/>
                <w:sz w:val="24"/>
                <w:szCs w:val="24"/>
              </w:rPr>
              <w:t xml:space="preserve"> </w:t>
            </w:r>
            <w:r>
              <w:rPr>
                <w:rFonts w:ascii="Times New Roman" w:hAnsi="Times New Roman" w:eastAsia="Times New Roman" w:cs="Times New Roman"/>
                <w:b/>
                <w:bCs/>
                <w:sz w:val="24"/>
                <w:szCs w:val="24"/>
              </w:rPr>
              <w:t xml:space="preserve">1.4-1    </w:t>
            </w:r>
            <w:r>
              <w:rPr>
                <w:sz w:val="24"/>
                <w:szCs w:val="24"/>
                <w14:textOutline w14:w="4354" w14:cap="flat" w14:cmpd="sng">
                  <w14:solidFill>
                    <w14:srgbClr w14:val="000000"/>
                  </w14:solidFill>
                  <w14:prstDash w14:val="solid"/>
                  <w14:miter w14:val="10"/>
                </w14:textOutline>
              </w:rPr>
              <w:t>与《石油天然气开采业污染防治技术政策》</w:t>
            </w:r>
            <w:r>
              <w:rPr>
                <w:spacing w:val="-1"/>
                <w:sz w:val="24"/>
                <w:szCs w:val="24"/>
                <w14:textOutline w14:w="4354" w14:cap="flat" w14:cmpd="sng">
                  <w14:solidFill>
                    <w14:srgbClr w14:val="000000"/>
                  </w14:solidFill>
                  <w14:prstDash w14:val="solid"/>
                  <w14:miter w14:val="10"/>
                </w14:textOutline>
              </w:rPr>
              <w:t>对比分析表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8" w:type="dxa"/>
            <w:vMerge w:val="continue"/>
            <w:tcBorders>
              <w:top w:val="nil"/>
              <w:bottom w:val="nil"/>
            </w:tcBorders>
            <w:vAlign w:val="top"/>
          </w:tcPr>
          <w:p>
            <w:pPr>
              <w:rPr>
                <w:rFonts w:ascii="Arial"/>
                <w:sz w:val="21"/>
              </w:rPr>
            </w:pPr>
          </w:p>
        </w:tc>
        <w:tc>
          <w:tcPr>
            <w:tcW w:w="731" w:type="dxa"/>
            <w:vAlign w:val="top"/>
          </w:tcPr>
          <w:p>
            <w:pPr>
              <w:pStyle w:val="6"/>
              <w:spacing w:before="168" w:line="222" w:lineRule="auto"/>
              <w:ind w:left="158"/>
              <w:rPr>
                <w:sz w:val="21"/>
                <w:szCs w:val="21"/>
              </w:rPr>
            </w:pPr>
            <w:r>
              <w:rPr>
                <w:spacing w:val="-2"/>
                <w:sz w:val="21"/>
                <w:szCs w:val="21"/>
              </w:rPr>
              <w:t>序号</w:t>
            </w:r>
          </w:p>
        </w:tc>
        <w:tc>
          <w:tcPr>
            <w:tcW w:w="3603" w:type="dxa"/>
            <w:vAlign w:val="top"/>
          </w:tcPr>
          <w:p>
            <w:pPr>
              <w:pStyle w:val="6"/>
              <w:spacing w:before="168" w:line="221" w:lineRule="auto"/>
              <w:ind w:left="1176"/>
              <w:rPr>
                <w:sz w:val="21"/>
                <w:szCs w:val="21"/>
              </w:rPr>
            </w:pPr>
            <w:r>
              <w:rPr>
                <w:spacing w:val="-1"/>
                <w:sz w:val="21"/>
                <w:szCs w:val="21"/>
              </w:rPr>
              <w:t>技术政策要求</w:t>
            </w:r>
          </w:p>
        </w:tc>
        <w:tc>
          <w:tcPr>
            <w:tcW w:w="3580" w:type="dxa"/>
            <w:vAlign w:val="top"/>
          </w:tcPr>
          <w:p>
            <w:pPr>
              <w:pStyle w:val="6"/>
              <w:spacing w:before="168" w:line="220" w:lineRule="auto"/>
              <w:ind w:left="1272"/>
              <w:rPr>
                <w:sz w:val="21"/>
                <w:szCs w:val="21"/>
              </w:rPr>
            </w:pPr>
            <w:r>
              <w:rPr>
                <w:spacing w:val="-2"/>
                <w:sz w:val="21"/>
                <w:szCs w:val="21"/>
              </w:rPr>
              <w:t>本工程内容</w:t>
            </w:r>
          </w:p>
        </w:tc>
        <w:tc>
          <w:tcPr>
            <w:tcW w:w="715" w:type="dxa"/>
            <w:vAlign w:val="top"/>
          </w:tcPr>
          <w:p>
            <w:pPr>
              <w:pStyle w:val="6"/>
              <w:spacing w:before="31" w:line="241" w:lineRule="auto"/>
              <w:ind w:left="144"/>
              <w:rPr>
                <w:sz w:val="21"/>
                <w:szCs w:val="21"/>
              </w:rPr>
            </w:pPr>
            <w:r>
              <w:rPr>
                <w:spacing w:val="-2"/>
                <w:sz w:val="21"/>
                <w:szCs w:val="21"/>
              </w:rPr>
              <w:t>符合</w:t>
            </w:r>
          </w:p>
          <w:p>
            <w:pPr>
              <w:pStyle w:val="6"/>
              <w:spacing w:line="205" w:lineRule="auto"/>
              <w:ind w:left="248"/>
              <w:rPr>
                <w:sz w:val="21"/>
                <w:szCs w:val="21"/>
              </w:rPr>
            </w:pPr>
            <w:r>
              <w:rPr>
                <w:sz w:val="21"/>
                <w:szCs w:val="21"/>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 w:type="dxa"/>
            <w:vMerge w:val="continue"/>
            <w:tcBorders>
              <w:top w:val="nil"/>
              <w:bottom w:val="nil"/>
            </w:tcBorders>
            <w:vAlign w:val="top"/>
          </w:tcPr>
          <w:p>
            <w:pPr>
              <w:rPr>
                <w:rFonts w:ascii="Arial"/>
                <w:sz w:val="21"/>
              </w:rPr>
            </w:pPr>
          </w:p>
        </w:tc>
        <w:tc>
          <w:tcPr>
            <w:tcW w:w="731" w:type="dxa"/>
            <w:vAlign w:val="top"/>
          </w:tcPr>
          <w:p>
            <w:pPr>
              <w:pStyle w:val="6"/>
              <w:spacing w:before="145" w:line="162" w:lineRule="exact"/>
              <w:ind w:left="265"/>
              <w:rPr>
                <w:sz w:val="21"/>
                <w:szCs w:val="21"/>
              </w:rPr>
            </w:pPr>
            <w:r>
              <w:rPr>
                <w:position w:val="-4"/>
                <w:sz w:val="21"/>
                <w:szCs w:val="21"/>
              </w:rPr>
              <w:t>一</w:t>
            </w:r>
          </w:p>
        </w:tc>
        <w:tc>
          <w:tcPr>
            <w:tcW w:w="7898" w:type="dxa"/>
            <w:gridSpan w:val="3"/>
            <w:vAlign w:val="top"/>
          </w:tcPr>
          <w:p>
            <w:pPr>
              <w:pStyle w:val="6"/>
              <w:spacing w:before="65" w:line="221" w:lineRule="auto"/>
              <w:ind w:left="3523"/>
              <w:rPr>
                <w:sz w:val="21"/>
                <w:szCs w:val="21"/>
              </w:rPr>
            </w:pPr>
            <w:r>
              <w:rPr>
                <w:spacing w:val="-2"/>
                <w:sz w:val="21"/>
                <w:szCs w:val="21"/>
              </w:rPr>
              <w:t>清洁生产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8" w:type="dxa"/>
            <w:vMerge w:val="continue"/>
            <w:tcBorders>
              <w:top w:val="nil"/>
              <w:bottom w:val="nil"/>
            </w:tcBorders>
            <w:vAlign w:val="top"/>
          </w:tcPr>
          <w:p>
            <w:pPr>
              <w:rPr>
                <w:rFonts w:ascii="Arial"/>
                <w:sz w:val="21"/>
              </w:rPr>
            </w:pPr>
          </w:p>
        </w:tc>
        <w:tc>
          <w:tcPr>
            <w:tcW w:w="731" w:type="dxa"/>
            <w:vAlign w:val="top"/>
          </w:tcPr>
          <w:p>
            <w:pPr>
              <w:spacing w:line="283" w:lineRule="auto"/>
              <w:rPr>
                <w:rFonts w:ascii="Arial"/>
                <w:sz w:val="21"/>
              </w:rPr>
            </w:pPr>
          </w:p>
          <w:p>
            <w:pPr>
              <w:spacing w:before="60" w:line="187" w:lineRule="auto"/>
              <w:ind w:left="33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603" w:type="dxa"/>
            <w:vAlign w:val="top"/>
          </w:tcPr>
          <w:p>
            <w:pPr>
              <w:pStyle w:val="6"/>
              <w:spacing w:before="31" w:line="229" w:lineRule="auto"/>
              <w:ind w:left="113" w:right="28" w:firstLine="13"/>
              <w:rPr>
                <w:sz w:val="21"/>
                <w:szCs w:val="21"/>
              </w:rPr>
            </w:pPr>
            <w:r>
              <w:rPr>
                <w:spacing w:val="-9"/>
                <w:sz w:val="21"/>
                <w:szCs w:val="21"/>
              </w:rPr>
              <w:t>油气田建设应总体规划，</w:t>
            </w:r>
            <w:r>
              <w:rPr>
                <w:spacing w:val="-17"/>
                <w:sz w:val="21"/>
                <w:szCs w:val="21"/>
              </w:rPr>
              <w:t xml:space="preserve"> </w:t>
            </w:r>
            <w:r>
              <w:rPr>
                <w:spacing w:val="-9"/>
                <w:sz w:val="21"/>
                <w:szCs w:val="21"/>
              </w:rPr>
              <w:t>优化布局，</w:t>
            </w:r>
            <w:r>
              <w:rPr>
                <w:sz w:val="21"/>
                <w:szCs w:val="21"/>
              </w:rPr>
              <w:t xml:space="preserve">  </w:t>
            </w:r>
            <w:r>
              <w:rPr>
                <w:spacing w:val="-6"/>
                <w:sz w:val="21"/>
                <w:szCs w:val="21"/>
              </w:rPr>
              <w:t>整体开发，</w:t>
            </w:r>
            <w:r>
              <w:rPr>
                <w:spacing w:val="-14"/>
                <w:sz w:val="21"/>
                <w:szCs w:val="21"/>
              </w:rPr>
              <w:t xml:space="preserve"> </w:t>
            </w:r>
            <w:r>
              <w:rPr>
                <w:spacing w:val="-6"/>
                <w:sz w:val="21"/>
                <w:szCs w:val="21"/>
              </w:rPr>
              <w:t>减少占地和油气损失，实</w:t>
            </w:r>
            <w:r>
              <w:rPr>
                <w:sz w:val="21"/>
                <w:szCs w:val="21"/>
              </w:rPr>
              <w:t xml:space="preserve">  </w:t>
            </w:r>
            <w:r>
              <w:rPr>
                <w:spacing w:val="-7"/>
                <w:sz w:val="21"/>
                <w:szCs w:val="21"/>
              </w:rPr>
              <w:t>现油气和废物的集中收集、处理处置。</w:t>
            </w:r>
          </w:p>
        </w:tc>
        <w:tc>
          <w:tcPr>
            <w:tcW w:w="3580" w:type="dxa"/>
            <w:vAlign w:val="top"/>
          </w:tcPr>
          <w:p>
            <w:pPr>
              <w:pStyle w:val="6"/>
              <w:spacing w:before="33" w:line="220" w:lineRule="auto"/>
              <w:ind w:left="115"/>
              <w:rPr>
                <w:sz w:val="21"/>
                <w:szCs w:val="21"/>
              </w:rPr>
            </w:pPr>
            <w:r>
              <w:rPr>
                <w:spacing w:val="-1"/>
                <w:sz w:val="21"/>
                <w:szCs w:val="21"/>
              </w:rPr>
              <w:t>本项目属于陆地天然气勘探项目，占</w:t>
            </w:r>
          </w:p>
          <w:p>
            <w:pPr>
              <w:pStyle w:val="6"/>
              <w:spacing w:before="22" w:line="223" w:lineRule="auto"/>
              <w:ind w:left="956" w:right="103" w:hanging="842"/>
              <w:rPr>
                <w:sz w:val="21"/>
                <w:szCs w:val="21"/>
              </w:rPr>
            </w:pPr>
            <w:r>
              <w:rPr>
                <w:spacing w:val="-1"/>
                <w:sz w:val="21"/>
                <w:szCs w:val="21"/>
              </w:rPr>
              <w:t>地较少，废水收集外运处理，废物收</w:t>
            </w:r>
            <w:r>
              <w:rPr>
                <w:spacing w:val="12"/>
                <w:sz w:val="21"/>
                <w:szCs w:val="21"/>
              </w:rPr>
              <w:t xml:space="preserve"> </w:t>
            </w:r>
            <w:r>
              <w:rPr>
                <w:spacing w:val="-1"/>
                <w:sz w:val="21"/>
                <w:szCs w:val="21"/>
              </w:rPr>
              <w:t>集集中外委处置。</w:t>
            </w:r>
          </w:p>
        </w:tc>
        <w:tc>
          <w:tcPr>
            <w:tcW w:w="715" w:type="dxa"/>
            <w:vAlign w:val="top"/>
          </w:tcPr>
          <w:p>
            <w:pPr>
              <w:pStyle w:val="6"/>
              <w:spacing w:before="306" w:line="221" w:lineRule="auto"/>
              <w:ind w:left="144"/>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Merge w:val="continue"/>
            <w:tcBorders>
              <w:top w:val="nil"/>
              <w:bottom w:val="nil"/>
            </w:tcBorders>
            <w:vAlign w:val="top"/>
          </w:tcPr>
          <w:p>
            <w:pPr>
              <w:rPr>
                <w:rFonts w:ascii="Arial"/>
                <w:sz w:val="21"/>
              </w:rPr>
            </w:pPr>
          </w:p>
        </w:tc>
        <w:tc>
          <w:tcPr>
            <w:tcW w:w="731" w:type="dxa"/>
            <w:vAlign w:val="top"/>
          </w:tcPr>
          <w:p>
            <w:pPr>
              <w:spacing w:line="416" w:lineRule="auto"/>
              <w:rPr>
                <w:rFonts w:ascii="Arial"/>
                <w:sz w:val="21"/>
              </w:rPr>
            </w:pPr>
          </w:p>
          <w:p>
            <w:pPr>
              <w:spacing w:before="6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603" w:type="dxa"/>
            <w:vAlign w:val="top"/>
          </w:tcPr>
          <w:p>
            <w:pPr>
              <w:pStyle w:val="6"/>
              <w:spacing w:before="32" w:line="233" w:lineRule="auto"/>
              <w:ind w:left="124" w:right="116" w:firstLine="3"/>
              <w:jc w:val="both"/>
              <w:rPr>
                <w:sz w:val="21"/>
                <w:szCs w:val="21"/>
              </w:rPr>
            </w:pPr>
            <w:r>
              <w:rPr>
                <w:spacing w:val="-1"/>
                <w:sz w:val="21"/>
                <w:szCs w:val="21"/>
              </w:rPr>
              <w:t>油气田开发不得使用含有国际公约禁</w:t>
            </w:r>
            <w:r>
              <w:rPr>
                <w:spacing w:val="8"/>
                <w:sz w:val="21"/>
                <w:szCs w:val="21"/>
              </w:rPr>
              <w:t xml:space="preserve"> </w:t>
            </w:r>
            <w:r>
              <w:rPr>
                <w:spacing w:val="-1"/>
                <w:sz w:val="21"/>
                <w:szCs w:val="21"/>
              </w:rPr>
              <w:t>用化学物质的油气田化学剂，逐步淘</w:t>
            </w:r>
            <w:r>
              <w:rPr>
                <w:spacing w:val="12"/>
                <w:sz w:val="21"/>
                <w:szCs w:val="21"/>
              </w:rPr>
              <w:t xml:space="preserve"> </w:t>
            </w:r>
            <w:r>
              <w:rPr>
                <w:spacing w:val="-1"/>
                <w:sz w:val="21"/>
                <w:szCs w:val="21"/>
              </w:rPr>
              <w:t>汰微毒及以上油气田化学剂，鼓励使</w:t>
            </w:r>
          </w:p>
          <w:p>
            <w:pPr>
              <w:pStyle w:val="6"/>
              <w:spacing w:before="21" w:line="206" w:lineRule="auto"/>
              <w:ind w:left="757"/>
              <w:rPr>
                <w:sz w:val="21"/>
                <w:szCs w:val="21"/>
              </w:rPr>
            </w:pPr>
            <w:r>
              <w:rPr>
                <w:spacing w:val="-1"/>
                <w:sz w:val="21"/>
                <w:szCs w:val="21"/>
              </w:rPr>
              <w:t>用无毒油气田化学剂。</w:t>
            </w:r>
          </w:p>
        </w:tc>
        <w:tc>
          <w:tcPr>
            <w:tcW w:w="3580" w:type="dxa"/>
            <w:vAlign w:val="top"/>
          </w:tcPr>
          <w:p>
            <w:pPr>
              <w:pStyle w:val="6"/>
              <w:spacing w:before="33" w:line="233" w:lineRule="auto"/>
              <w:ind w:left="115" w:right="103"/>
              <w:jc w:val="both"/>
              <w:rPr>
                <w:sz w:val="21"/>
                <w:szCs w:val="21"/>
              </w:rPr>
            </w:pPr>
            <w:r>
              <w:rPr>
                <w:spacing w:val="-1"/>
                <w:sz w:val="21"/>
                <w:szCs w:val="21"/>
              </w:rPr>
              <w:t>本项目无国际公约禁用化学物质，主</w:t>
            </w:r>
            <w:r>
              <w:rPr>
                <w:sz w:val="21"/>
                <w:szCs w:val="21"/>
              </w:rPr>
              <w:t xml:space="preserve"> </w:t>
            </w:r>
            <w:r>
              <w:rPr>
                <w:spacing w:val="-1"/>
                <w:sz w:val="21"/>
                <w:szCs w:val="21"/>
              </w:rPr>
              <w:t>要使用化学物质为防塌润滑剂、聚丙</w:t>
            </w:r>
            <w:r>
              <w:rPr>
                <w:spacing w:val="11"/>
                <w:sz w:val="21"/>
                <w:szCs w:val="21"/>
              </w:rPr>
              <w:t xml:space="preserve"> </w:t>
            </w:r>
            <w:r>
              <w:rPr>
                <w:spacing w:val="-1"/>
                <w:sz w:val="21"/>
                <w:szCs w:val="21"/>
              </w:rPr>
              <w:t>烯酰胺钾盐、重晶石粉等，钻井液不</w:t>
            </w:r>
          </w:p>
          <w:p>
            <w:pPr>
              <w:pStyle w:val="6"/>
              <w:spacing w:before="20" w:line="206" w:lineRule="auto"/>
              <w:ind w:left="959"/>
              <w:rPr>
                <w:sz w:val="21"/>
                <w:szCs w:val="21"/>
              </w:rPr>
            </w:pPr>
            <w:r>
              <w:rPr>
                <w:spacing w:val="-1"/>
                <w:sz w:val="21"/>
                <w:szCs w:val="21"/>
              </w:rPr>
              <w:t>属于钾聚磺体系。</w:t>
            </w:r>
          </w:p>
        </w:tc>
        <w:tc>
          <w:tcPr>
            <w:tcW w:w="715" w:type="dxa"/>
            <w:vAlign w:val="top"/>
          </w:tcPr>
          <w:p>
            <w:pPr>
              <w:spacing w:line="370" w:lineRule="auto"/>
              <w:rPr>
                <w:rFonts w:ascii="Arial"/>
                <w:sz w:val="21"/>
              </w:rPr>
            </w:pPr>
          </w:p>
          <w:p>
            <w:pPr>
              <w:pStyle w:val="6"/>
              <w:spacing w:before="68" w:line="221" w:lineRule="auto"/>
              <w:ind w:left="144"/>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68" w:type="dxa"/>
            <w:vMerge w:val="continue"/>
            <w:tcBorders>
              <w:top w:val="nil"/>
              <w:bottom w:val="nil"/>
            </w:tcBorders>
            <w:vAlign w:val="top"/>
          </w:tcPr>
          <w:p>
            <w:pPr>
              <w:rPr>
                <w:rFonts w:ascii="Arial"/>
                <w:sz w:val="21"/>
              </w:rPr>
            </w:pPr>
          </w:p>
        </w:tc>
        <w:tc>
          <w:tcPr>
            <w:tcW w:w="731" w:type="dxa"/>
            <w:vAlign w:val="top"/>
          </w:tcPr>
          <w:p>
            <w:pPr>
              <w:spacing w:line="281" w:lineRule="auto"/>
              <w:rPr>
                <w:rFonts w:ascii="Arial"/>
                <w:sz w:val="21"/>
              </w:rPr>
            </w:pPr>
          </w:p>
          <w:p>
            <w:pPr>
              <w:spacing w:before="6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603" w:type="dxa"/>
            <w:vAlign w:val="top"/>
          </w:tcPr>
          <w:p>
            <w:pPr>
              <w:pStyle w:val="6"/>
              <w:spacing w:before="32" w:line="221" w:lineRule="auto"/>
              <w:ind w:left="123"/>
              <w:rPr>
                <w:sz w:val="21"/>
                <w:szCs w:val="21"/>
              </w:rPr>
            </w:pPr>
            <w:r>
              <w:rPr>
                <w:spacing w:val="-7"/>
                <w:sz w:val="21"/>
                <w:szCs w:val="21"/>
              </w:rPr>
              <w:t>在油气勘探过程中， 宜使用环保型炸</w:t>
            </w:r>
          </w:p>
          <w:p>
            <w:pPr>
              <w:pStyle w:val="6"/>
              <w:spacing w:before="20" w:line="222" w:lineRule="auto"/>
              <w:ind w:left="556" w:right="116" w:hanging="430"/>
              <w:rPr>
                <w:sz w:val="21"/>
                <w:szCs w:val="21"/>
              </w:rPr>
            </w:pPr>
            <w:r>
              <w:rPr>
                <w:spacing w:val="-6"/>
                <w:sz w:val="21"/>
                <w:szCs w:val="21"/>
              </w:rPr>
              <w:t>药和可控震源，</w:t>
            </w:r>
            <w:r>
              <w:rPr>
                <w:spacing w:val="-16"/>
                <w:sz w:val="21"/>
                <w:szCs w:val="21"/>
              </w:rPr>
              <w:t xml:space="preserve"> </w:t>
            </w:r>
            <w:r>
              <w:rPr>
                <w:spacing w:val="-6"/>
                <w:sz w:val="21"/>
                <w:szCs w:val="21"/>
              </w:rPr>
              <w:t>应采取防渗等措施预</w:t>
            </w:r>
            <w:r>
              <w:rPr>
                <w:sz w:val="21"/>
                <w:szCs w:val="21"/>
              </w:rPr>
              <w:t xml:space="preserve"> </w:t>
            </w:r>
            <w:r>
              <w:rPr>
                <w:spacing w:val="-2"/>
                <w:sz w:val="21"/>
                <w:szCs w:val="21"/>
              </w:rPr>
              <w:t>防燃料泄漏对环境的污染。</w:t>
            </w:r>
          </w:p>
        </w:tc>
        <w:tc>
          <w:tcPr>
            <w:tcW w:w="3580" w:type="dxa"/>
            <w:vAlign w:val="top"/>
          </w:tcPr>
          <w:p>
            <w:pPr>
              <w:pStyle w:val="6"/>
              <w:spacing w:before="31" w:line="228" w:lineRule="auto"/>
              <w:ind w:left="115" w:right="103"/>
              <w:jc w:val="both"/>
              <w:rPr>
                <w:sz w:val="21"/>
                <w:szCs w:val="21"/>
              </w:rPr>
            </w:pPr>
            <w:r>
              <w:rPr>
                <w:spacing w:val="-1"/>
                <w:sz w:val="21"/>
                <w:szCs w:val="21"/>
              </w:rPr>
              <w:t>本项目无需炸药，油罐区设置地面硬</w:t>
            </w:r>
            <w:r>
              <w:rPr>
                <w:spacing w:val="11"/>
                <w:sz w:val="21"/>
                <w:szCs w:val="21"/>
              </w:rPr>
              <w:t xml:space="preserve"> </w:t>
            </w:r>
            <w:r>
              <w:rPr>
                <w:spacing w:val="-7"/>
                <w:sz w:val="21"/>
                <w:szCs w:val="21"/>
              </w:rPr>
              <w:t>化防渗、围堰， 井场场内建设排水沟</w:t>
            </w:r>
            <w:r>
              <w:rPr>
                <w:spacing w:val="9"/>
                <w:sz w:val="21"/>
                <w:szCs w:val="21"/>
              </w:rPr>
              <w:t xml:space="preserve"> </w:t>
            </w:r>
            <w:r>
              <w:rPr>
                <w:sz w:val="21"/>
                <w:szCs w:val="21"/>
              </w:rPr>
              <w:t>及</w:t>
            </w:r>
            <w:r>
              <w:rPr>
                <w:spacing w:val="-36"/>
                <w:sz w:val="21"/>
                <w:szCs w:val="21"/>
              </w:rPr>
              <w:t xml:space="preserve"> </w:t>
            </w:r>
            <w:r>
              <w:rPr>
                <w:rFonts w:ascii="Times New Roman" w:hAnsi="Times New Roman" w:eastAsia="Times New Roman" w:cs="Times New Roman"/>
                <w:sz w:val="21"/>
                <w:szCs w:val="21"/>
              </w:rPr>
              <w:t xml:space="preserve">4 </w:t>
            </w:r>
            <w:r>
              <w:rPr>
                <w:sz w:val="21"/>
                <w:szCs w:val="21"/>
              </w:rPr>
              <w:t>个隔油池，</w:t>
            </w:r>
            <w:r>
              <w:rPr>
                <w:spacing w:val="-21"/>
                <w:sz w:val="21"/>
                <w:szCs w:val="21"/>
              </w:rPr>
              <w:t xml:space="preserve"> </w:t>
            </w:r>
            <w:r>
              <w:rPr>
                <w:sz w:val="21"/>
                <w:szCs w:val="21"/>
              </w:rPr>
              <w:t>可预防柴油泄漏。</w:t>
            </w:r>
          </w:p>
        </w:tc>
        <w:tc>
          <w:tcPr>
            <w:tcW w:w="715" w:type="dxa"/>
            <w:vAlign w:val="top"/>
          </w:tcPr>
          <w:p>
            <w:pPr>
              <w:pStyle w:val="6"/>
              <w:spacing w:before="304" w:line="221" w:lineRule="auto"/>
              <w:ind w:left="144"/>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Merge w:val="continue"/>
            <w:tcBorders>
              <w:top w:val="nil"/>
              <w:bottom w:val="nil"/>
            </w:tcBorders>
            <w:vAlign w:val="top"/>
          </w:tcPr>
          <w:p>
            <w:pPr>
              <w:rPr>
                <w:rFonts w:ascii="Arial"/>
                <w:sz w:val="21"/>
              </w:rPr>
            </w:pPr>
          </w:p>
        </w:tc>
        <w:tc>
          <w:tcPr>
            <w:tcW w:w="731" w:type="dxa"/>
            <w:vAlign w:val="top"/>
          </w:tcPr>
          <w:p>
            <w:pPr>
              <w:spacing w:line="420" w:lineRule="auto"/>
              <w:rPr>
                <w:rFonts w:ascii="Arial"/>
                <w:sz w:val="21"/>
              </w:rPr>
            </w:pPr>
          </w:p>
          <w:p>
            <w:pPr>
              <w:spacing w:before="6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603" w:type="dxa"/>
            <w:vAlign w:val="top"/>
          </w:tcPr>
          <w:p>
            <w:pPr>
              <w:pStyle w:val="6"/>
              <w:spacing w:before="34" w:line="233" w:lineRule="auto"/>
              <w:ind w:left="116" w:right="106" w:firstLine="6"/>
              <w:rPr>
                <w:sz w:val="21"/>
                <w:szCs w:val="21"/>
              </w:rPr>
            </w:pPr>
            <w:r>
              <w:rPr>
                <w:spacing w:val="-6"/>
                <w:sz w:val="21"/>
                <w:szCs w:val="21"/>
              </w:rPr>
              <w:t>在钻井过程中，</w:t>
            </w:r>
            <w:r>
              <w:rPr>
                <w:spacing w:val="-13"/>
                <w:sz w:val="21"/>
                <w:szCs w:val="21"/>
              </w:rPr>
              <w:t xml:space="preserve"> </w:t>
            </w:r>
            <w:r>
              <w:rPr>
                <w:spacing w:val="-6"/>
                <w:sz w:val="21"/>
                <w:szCs w:val="21"/>
              </w:rPr>
              <w:t>鼓励采用环境友好的</w:t>
            </w:r>
            <w:r>
              <w:rPr>
                <w:sz w:val="21"/>
                <w:szCs w:val="21"/>
              </w:rPr>
              <w:t xml:space="preserve"> </w:t>
            </w:r>
            <w:r>
              <w:rPr>
                <w:spacing w:val="-3"/>
                <w:sz w:val="21"/>
                <w:szCs w:val="21"/>
              </w:rPr>
              <w:t>钻井液体系；配备完善的固控设备，</w:t>
            </w:r>
            <w:r>
              <w:rPr>
                <w:spacing w:val="3"/>
                <w:sz w:val="21"/>
                <w:szCs w:val="21"/>
              </w:rPr>
              <w:t xml:space="preserve"> </w:t>
            </w:r>
            <w:r>
              <w:rPr>
                <w:spacing w:val="-1"/>
                <w:sz w:val="21"/>
                <w:szCs w:val="21"/>
              </w:rPr>
              <w:t>钻井液循环率达到</w:t>
            </w:r>
            <w:r>
              <w:rPr>
                <w:spacing w:val="-40"/>
                <w:sz w:val="21"/>
                <w:szCs w:val="21"/>
              </w:rPr>
              <w:t xml:space="preserve"> </w:t>
            </w:r>
            <w:r>
              <w:rPr>
                <w:rFonts w:ascii="Times New Roman" w:hAnsi="Times New Roman" w:eastAsia="Times New Roman" w:cs="Times New Roman"/>
                <w:spacing w:val="-1"/>
                <w:sz w:val="21"/>
                <w:szCs w:val="21"/>
              </w:rPr>
              <w:t>95%</w:t>
            </w:r>
            <w:r>
              <w:rPr>
                <w:spacing w:val="-1"/>
                <w:sz w:val="21"/>
                <w:szCs w:val="21"/>
              </w:rPr>
              <w:t>以上；钻井过</w:t>
            </w:r>
          </w:p>
          <w:p>
            <w:pPr>
              <w:pStyle w:val="6"/>
              <w:spacing w:before="22" w:line="204" w:lineRule="auto"/>
              <w:ind w:left="754"/>
              <w:rPr>
                <w:sz w:val="21"/>
                <w:szCs w:val="21"/>
              </w:rPr>
            </w:pPr>
            <w:r>
              <w:rPr>
                <w:spacing w:val="-1"/>
                <w:sz w:val="21"/>
                <w:szCs w:val="21"/>
              </w:rPr>
              <w:t>程产生的废水应回用。</w:t>
            </w:r>
          </w:p>
        </w:tc>
        <w:tc>
          <w:tcPr>
            <w:tcW w:w="3580" w:type="dxa"/>
            <w:vAlign w:val="top"/>
          </w:tcPr>
          <w:p>
            <w:pPr>
              <w:pStyle w:val="6"/>
              <w:spacing w:before="308" w:line="229" w:lineRule="auto"/>
              <w:ind w:left="115" w:right="26" w:hanging="1"/>
              <w:rPr>
                <w:sz w:val="21"/>
                <w:szCs w:val="21"/>
              </w:rPr>
            </w:pPr>
            <w:r>
              <w:rPr>
                <w:spacing w:val="-6"/>
                <w:sz w:val="21"/>
                <w:szCs w:val="21"/>
              </w:rPr>
              <w:t>拟建项目固控设备完善，</w:t>
            </w:r>
            <w:r>
              <w:rPr>
                <w:spacing w:val="-15"/>
                <w:sz w:val="21"/>
                <w:szCs w:val="21"/>
              </w:rPr>
              <w:t xml:space="preserve"> </w:t>
            </w:r>
            <w:r>
              <w:rPr>
                <w:spacing w:val="-6"/>
                <w:sz w:val="21"/>
                <w:szCs w:val="21"/>
              </w:rPr>
              <w:t xml:space="preserve">钻井液循环 </w:t>
            </w:r>
            <w:r>
              <w:rPr>
                <w:spacing w:val="-9"/>
                <w:sz w:val="21"/>
                <w:szCs w:val="21"/>
              </w:rPr>
              <w:t>率达到</w:t>
            </w:r>
            <w:r>
              <w:rPr>
                <w:spacing w:val="-47"/>
                <w:sz w:val="21"/>
                <w:szCs w:val="21"/>
              </w:rPr>
              <w:t xml:space="preserve"> </w:t>
            </w:r>
            <w:r>
              <w:rPr>
                <w:rFonts w:ascii="Times New Roman" w:hAnsi="Times New Roman" w:eastAsia="Times New Roman" w:cs="Times New Roman"/>
                <w:spacing w:val="-9"/>
                <w:sz w:val="21"/>
                <w:szCs w:val="21"/>
              </w:rPr>
              <w:t>95%</w:t>
            </w:r>
            <w:r>
              <w:rPr>
                <w:spacing w:val="-9"/>
                <w:sz w:val="21"/>
                <w:szCs w:val="21"/>
              </w:rPr>
              <w:t>以上，钻井废水处理回用。</w:t>
            </w:r>
          </w:p>
        </w:tc>
        <w:tc>
          <w:tcPr>
            <w:tcW w:w="715" w:type="dxa"/>
            <w:vAlign w:val="top"/>
          </w:tcPr>
          <w:p>
            <w:pPr>
              <w:spacing w:line="373" w:lineRule="auto"/>
              <w:rPr>
                <w:rFonts w:ascii="Arial"/>
                <w:sz w:val="21"/>
              </w:rPr>
            </w:pPr>
          </w:p>
          <w:p>
            <w:pPr>
              <w:pStyle w:val="6"/>
              <w:spacing w:before="68" w:line="221" w:lineRule="auto"/>
              <w:ind w:left="144"/>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468" w:type="dxa"/>
            <w:vMerge w:val="continue"/>
            <w:tcBorders>
              <w:top w:val="nil"/>
              <w:bottom w:val="nil"/>
            </w:tcBorders>
            <w:vAlign w:val="top"/>
          </w:tcPr>
          <w:p>
            <w:pPr>
              <w:rPr>
                <w:rFonts w:ascii="Arial"/>
                <w:sz w:val="21"/>
              </w:rPr>
            </w:pPr>
          </w:p>
        </w:tc>
        <w:tc>
          <w:tcPr>
            <w:tcW w:w="731"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60" w:line="184"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603" w:type="dxa"/>
            <w:vAlign w:val="top"/>
          </w:tcPr>
          <w:p>
            <w:pPr>
              <w:pStyle w:val="6"/>
              <w:spacing w:before="35" w:line="221" w:lineRule="auto"/>
              <w:ind w:left="123"/>
              <w:rPr>
                <w:sz w:val="21"/>
                <w:szCs w:val="21"/>
              </w:rPr>
            </w:pPr>
            <w:r>
              <w:rPr>
                <w:spacing w:val="-6"/>
                <w:sz w:val="21"/>
                <w:szCs w:val="21"/>
              </w:rPr>
              <w:t>在井下作业过程中，</w:t>
            </w:r>
            <w:r>
              <w:rPr>
                <w:spacing w:val="-13"/>
                <w:sz w:val="21"/>
                <w:szCs w:val="21"/>
              </w:rPr>
              <w:t xml:space="preserve"> </w:t>
            </w:r>
            <w:r>
              <w:rPr>
                <w:spacing w:val="-6"/>
                <w:sz w:val="21"/>
                <w:szCs w:val="21"/>
              </w:rPr>
              <w:t>酸化液和压裂液</w:t>
            </w:r>
          </w:p>
          <w:p>
            <w:pPr>
              <w:pStyle w:val="6"/>
              <w:spacing w:before="21" w:line="221" w:lineRule="auto"/>
              <w:ind w:left="128"/>
              <w:rPr>
                <w:sz w:val="21"/>
                <w:szCs w:val="21"/>
              </w:rPr>
            </w:pPr>
            <w:r>
              <w:rPr>
                <w:spacing w:val="-1"/>
                <w:sz w:val="21"/>
                <w:szCs w:val="21"/>
              </w:rPr>
              <w:t>宜集中配制，酸化残液、压裂残液和</w:t>
            </w:r>
          </w:p>
          <w:p>
            <w:pPr>
              <w:pStyle w:val="6"/>
              <w:spacing w:before="19" w:line="221" w:lineRule="auto"/>
              <w:ind w:left="230"/>
              <w:rPr>
                <w:sz w:val="21"/>
                <w:szCs w:val="21"/>
              </w:rPr>
            </w:pPr>
            <w:r>
              <w:rPr>
                <w:spacing w:val="-1"/>
                <w:sz w:val="21"/>
                <w:szCs w:val="21"/>
              </w:rPr>
              <w:t>返排液应回收利用或进行无害化处</w:t>
            </w:r>
          </w:p>
          <w:p>
            <w:pPr>
              <w:pStyle w:val="6"/>
              <w:spacing w:before="22" w:line="221" w:lineRule="auto"/>
              <w:ind w:left="333"/>
              <w:rPr>
                <w:sz w:val="21"/>
                <w:szCs w:val="21"/>
              </w:rPr>
            </w:pPr>
            <w:r>
              <w:rPr>
                <w:spacing w:val="-1"/>
                <w:sz w:val="21"/>
                <w:szCs w:val="21"/>
              </w:rPr>
              <w:t>置，压裂放喷返排入罐率应达到</w:t>
            </w:r>
          </w:p>
          <w:p>
            <w:pPr>
              <w:pStyle w:val="6"/>
              <w:spacing w:before="20" w:line="221" w:lineRule="auto"/>
              <w:ind w:left="128"/>
              <w:rPr>
                <w:sz w:val="21"/>
                <w:szCs w:val="21"/>
              </w:rPr>
            </w:pPr>
            <w:r>
              <w:rPr>
                <w:rFonts w:ascii="Times New Roman" w:hAnsi="Times New Roman" w:eastAsia="Times New Roman" w:cs="Times New Roman"/>
                <w:spacing w:val="-2"/>
                <w:sz w:val="21"/>
                <w:szCs w:val="21"/>
              </w:rPr>
              <w:t>100%</w:t>
            </w:r>
            <w:r>
              <w:rPr>
                <w:spacing w:val="-2"/>
                <w:sz w:val="21"/>
                <w:szCs w:val="21"/>
              </w:rPr>
              <w:t>。酸化、压裂作业和试油（气）</w:t>
            </w:r>
          </w:p>
          <w:p>
            <w:pPr>
              <w:pStyle w:val="6"/>
              <w:spacing w:before="21" w:line="222" w:lineRule="auto"/>
              <w:ind w:left="966" w:right="128" w:hanging="841"/>
              <w:rPr>
                <w:sz w:val="21"/>
                <w:szCs w:val="21"/>
              </w:rPr>
            </w:pPr>
            <w:r>
              <w:rPr>
                <w:spacing w:val="-1"/>
                <w:sz w:val="21"/>
                <w:szCs w:val="21"/>
              </w:rPr>
              <w:t>过程应采取防喷、地面管线防刺、防</w:t>
            </w:r>
            <w:r>
              <w:rPr>
                <w:sz w:val="21"/>
                <w:szCs w:val="21"/>
              </w:rPr>
              <w:t xml:space="preserve"> </w:t>
            </w:r>
            <w:r>
              <w:rPr>
                <w:spacing w:val="-1"/>
                <w:sz w:val="21"/>
                <w:szCs w:val="21"/>
              </w:rPr>
              <w:t>漏、防溢等措施。</w:t>
            </w:r>
          </w:p>
        </w:tc>
        <w:tc>
          <w:tcPr>
            <w:tcW w:w="3580" w:type="dxa"/>
            <w:vAlign w:val="top"/>
          </w:tcPr>
          <w:p>
            <w:pPr>
              <w:spacing w:line="374" w:lineRule="auto"/>
              <w:rPr>
                <w:rFonts w:ascii="Arial"/>
                <w:sz w:val="21"/>
              </w:rPr>
            </w:pPr>
          </w:p>
          <w:p>
            <w:pPr>
              <w:pStyle w:val="6"/>
              <w:spacing w:before="68" w:line="230" w:lineRule="auto"/>
              <w:ind w:left="115" w:right="103"/>
              <w:rPr>
                <w:sz w:val="21"/>
                <w:szCs w:val="21"/>
              </w:rPr>
            </w:pPr>
            <w:r>
              <w:rPr>
                <w:spacing w:val="-4"/>
                <w:sz w:val="21"/>
                <w:szCs w:val="21"/>
              </w:rPr>
              <w:t>本项目酸化液运输到现场集中配置，</w:t>
            </w:r>
            <w:r>
              <w:rPr>
                <w:spacing w:val="11"/>
                <w:sz w:val="21"/>
                <w:szCs w:val="21"/>
              </w:rPr>
              <w:t xml:space="preserve"> </w:t>
            </w:r>
            <w:r>
              <w:rPr>
                <w:spacing w:val="-1"/>
                <w:sz w:val="21"/>
                <w:szCs w:val="21"/>
              </w:rPr>
              <w:t>测试放喷作业时通过放喷分离器分离</w:t>
            </w:r>
          </w:p>
          <w:p>
            <w:pPr>
              <w:pStyle w:val="6"/>
              <w:spacing w:before="21" w:line="220" w:lineRule="auto"/>
              <w:ind w:left="116"/>
              <w:rPr>
                <w:sz w:val="21"/>
                <w:szCs w:val="21"/>
              </w:rPr>
            </w:pPr>
            <w:r>
              <w:rPr>
                <w:spacing w:val="-2"/>
                <w:sz w:val="21"/>
                <w:szCs w:val="21"/>
              </w:rPr>
              <w:t>后全部收集在集酸池，采取了防漏、</w:t>
            </w:r>
          </w:p>
          <w:p>
            <w:pPr>
              <w:pStyle w:val="6"/>
              <w:spacing w:before="20" w:line="221" w:lineRule="auto"/>
              <w:ind w:left="548"/>
              <w:rPr>
                <w:sz w:val="21"/>
                <w:szCs w:val="21"/>
              </w:rPr>
            </w:pPr>
            <w:r>
              <w:rPr>
                <w:spacing w:val="-9"/>
                <w:sz w:val="21"/>
                <w:szCs w:val="21"/>
              </w:rPr>
              <w:t>防溢措施，</w:t>
            </w:r>
            <w:r>
              <w:rPr>
                <w:spacing w:val="-16"/>
                <w:sz w:val="21"/>
                <w:szCs w:val="21"/>
              </w:rPr>
              <w:t xml:space="preserve"> </w:t>
            </w:r>
            <w:r>
              <w:rPr>
                <w:spacing w:val="-9"/>
                <w:sz w:val="21"/>
                <w:szCs w:val="21"/>
              </w:rPr>
              <w:t>全部外运处理。</w:t>
            </w:r>
          </w:p>
        </w:tc>
        <w:tc>
          <w:tcPr>
            <w:tcW w:w="715"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144"/>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468" w:type="dxa"/>
            <w:vMerge w:val="continue"/>
            <w:tcBorders>
              <w:top w:val="nil"/>
            </w:tcBorders>
            <w:vAlign w:val="top"/>
          </w:tcPr>
          <w:p>
            <w:pPr>
              <w:rPr>
                <w:rFonts w:ascii="Arial"/>
                <w:sz w:val="21"/>
              </w:rPr>
            </w:pPr>
          </w:p>
        </w:tc>
        <w:tc>
          <w:tcPr>
            <w:tcW w:w="731" w:type="dxa"/>
            <w:vAlign w:val="top"/>
          </w:tcPr>
          <w:p>
            <w:pPr>
              <w:pStyle w:val="6"/>
              <w:spacing w:before="107" w:line="179" w:lineRule="auto"/>
              <w:ind w:left="265"/>
              <w:rPr>
                <w:sz w:val="21"/>
                <w:szCs w:val="21"/>
              </w:rPr>
            </w:pPr>
            <w:r>
              <w:rPr>
                <w:sz w:val="21"/>
                <w:szCs w:val="21"/>
              </w:rPr>
              <w:t>二</w:t>
            </w:r>
          </w:p>
        </w:tc>
        <w:tc>
          <w:tcPr>
            <w:tcW w:w="7898" w:type="dxa"/>
            <w:gridSpan w:val="3"/>
            <w:vAlign w:val="top"/>
          </w:tcPr>
          <w:p>
            <w:pPr>
              <w:pStyle w:val="6"/>
              <w:spacing w:before="69" w:line="221" w:lineRule="auto"/>
              <w:ind w:left="3524"/>
              <w:rPr>
                <w:sz w:val="21"/>
                <w:szCs w:val="21"/>
              </w:rPr>
            </w:pPr>
            <w:r>
              <w:rPr>
                <w:spacing w:val="-2"/>
                <w:sz w:val="21"/>
                <w:szCs w:val="21"/>
              </w:rPr>
              <w:t>生态保护</w:t>
            </w:r>
          </w:p>
        </w:tc>
      </w:tr>
    </w:tbl>
    <w:p>
      <w:pPr>
        <w:pStyle w:val="2"/>
        <w:spacing w:line="237" w:lineRule="exact"/>
        <w:rPr>
          <w:sz w:val="20"/>
        </w:rPr>
      </w:pPr>
    </w:p>
    <w:p>
      <w:pPr>
        <w:spacing w:line="237" w:lineRule="exact"/>
        <w:rPr>
          <w:sz w:val="20"/>
          <w:szCs w:val="20"/>
        </w:rPr>
        <w:sectPr>
          <w:footerReference r:id="rId20"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732"/>
        <w:gridCol w:w="3603"/>
        <w:gridCol w:w="3580"/>
        <w:gridCol w:w="688"/>
        <w:gridCol w:w="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0" w:hRule="atLeast"/>
        </w:trPr>
        <w:tc>
          <w:tcPr>
            <w:tcW w:w="468" w:type="dxa"/>
            <w:vMerge w:val="restart"/>
            <w:tcBorders>
              <w:bottom w:val="nil"/>
            </w:tcBorders>
            <w:vAlign w:val="top"/>
          </w:tcPr>
          <w:p>
            <w:pPr>
              <w:rPr>
                <w:rFonts w:ascii="Arial"/>
                <w:sz w:val="21"/>
              </w:rPr>
            </w:pPr>
          </w:p>
        </w:tc>
        <w:tc>
          <w:tcPr>
            <w:tcW w:w="732" w:type="dxa"/>
            <w:vAlign w:val="top"/>
          </w:tcPr>
          <w:p>
            <w:pPr>
              <w:spacing w:line="358" w:lineRule="auto"/>
              <w:rPr>
                <w:rFonts w:ascii="Arial"/>
                <w:sz w:val="21"/>
              </w:rPr>
            </w:pPr>
          </w:p>
          <w:p>
            <w:pPr>
              <w:spacing w:line="358" w:lineRule="auto"/>
              <w:rPr>
                <w:rFonts w:ascii="Arial"/>
                <w:sz w:val="21"/>
              </w:rPr>
            </w:pPr>
          </w:p>
          <w:p>
            <w:pPr>
              <w:spacing w:before="61" w:line="187" w:lineRule="auto"/>
              <w:ind w:left="33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603" w:type="dxa"/>
            <w:vAlign w:val="top"/>
          </w:tcPr>
          <w:p>
            <w:pPr>
              <w:pStyle w:val="6"/>
              <w:spacing w:before="58" w:line="236" w:lineRule="auto"/>
              <w:ind w:left="117" w:right="107" w:firstLine="4"/>
              <w:rPr>
                <w:sz w:val="21"/>
                <w:szCs w:val="21"/>
              </w:rPr>
            </w:pPr>
            <w:r>
              <w:rPr>
                <w:spacing w:val="-10"/>
                <w:sz w:val="21"/>
                <w:szCs w:val="21"/>
              </w:rPr>
              <w:t>在开发过程中， 伴生气应回收利用，</w:t>
            </w:r>
            <w:r>
              <w:rPr>
                <w:spacing w:val="14"/>
                <w:sz w:val="21"/>
                <w:szCs w:val="21"/>
              </w:rPr>
              <w:t xml:space="preserve"> </w:t>
            </w:r>
            <w:r>
              <w:rPr>
                <w:spacing w:val="-7"/>
                <w:sz w:val="21"/>
                <w:szCs w:val="21"/>
              </w:rPr>
              <w:t>减少温室气体排放， 不具备回收利用</w:t>
            </w:r>
            <w:r>
              <w:rPr>
                <w:spacing w:val="15"/>
                <w:sz w:val="21"/>
                <w:szCs w:val="21"/>
              </w:rPr>
              <w:t xml:space="preserve"> </w:t>
            </w:r>
            <w:r>
              <w:rPr>
                <w:sz w:val="21"/>
                <w:szCs w:val="21"/>
              </w:rPr>
              <w:t>条件的，应充分燃烧，伴生气回收利</w:t>
            </w:r>
            <w:r>
              <w:rPr>
                <w:spacing w:val="1"/>
                <w:sz w:val="21"/>
                <w:szCs w:val="21"/>
              </w:rPr>
              <w:t xml:space="preserve"> </w:t>
            </w:r>
            <w:r>
              <w:rPr>
                <w:spacing w:val="-2"/>
                <w:sz w:val="21"/>
                <w:szCs w:val="21"/>
              </w:rPr>
              <w:t>用率应达到</w:t>
            </w:r>
            <w:r>
              <w:rPr>
                <w:spacing w:val="-25"/>
                <w:sz w:val="21"/>
                <w:szCs w:val="21"/>
              </w:rPr>
              <w:t xml:space="preserve"> </w:t>
            </w:r>
            <w:r>
              <w:rPr>
                <w:rFonts w:ascii="Times New Roman" w:hAnsi="Times New Roman" w:eastAsia="Times New Roman" w:cs="Times New Roman"/>
                <w:spacing w:val="-2"/>
                <w:sz w:val="21"/>
                <w:szCs w:val="21"/>
              </w:rPr>
              <w:t>80%</w:t>
            </w:r>
            <w:r>
              <w:rPr>
                <w:spacing w:val="-2"/>
                <w:sz w:val="21"/>
                <w:szCs w:val="21"/>
              </w:rPr>
              <w:t>以上；站场放空天然</w:t>
            </w:r>
            <w:r>
              <w:rPr>
                <w:sz w:val="21"/>
                <w:szCs w:val="21"/>
              </w:rPr>
              <w:t xml:space="preserve"> 气应充分燃烧。燃烧放空设施应避开</w:t>
            </w:r>
          </w:p>
          <w:p>
            <w:pPr>
              <w:pStyle w:val="6"/>
              <w:spacing w:before="21" w:line="209" w:lineRule="auto"/>
              <w:ind w:left="1178"/>
              <w:rPr>
                <w:sz w:val="21"/>
                <w:szCs w:val="21"/>
              </w:rPr>
            </w:pPr>
            <w:r>
              <w:rPr>
                <w:spacing w:val="-2"/>
                <w:sz w:val="21"/>
                <w:szCs w:val="21"/>
              </w:rPr>
              <w:t>鸟类迁徙通道</w:t>
            </w:r>
          </w:p>
        </w:tc>
        <w:tc>
          <w:tcPr>
            <w:tcW w:w="3580" w:type="dxa"/>
            <w:vAlign w:val="top"/>
          </w:tcPr>
          <w:p>
            <w:pPr>
              <w:spacing w:line="397" w:lineRule="auto"/>
              <w:rPr>
                <w:rFonts w:ascii="Arial"/>
                <w:sz w:val="21"/>
              </w:rPr>
            </w:pPr>
          </w:p>
          <w:p>
            <w:pPr>
              <w:pStyle w:val="6"/>
              <w:spacing w:before="69" w:line="221" w:lineRule="auto"/>
              <w:ind w:left="113"/>
              <w:rPr>
                <w:sz w:val="21"/>
                <w:szCs w:val="21"/>
              </w:rPr>
            </w:pPr>
            <w:r>
              <w:rPr>
                <w:spacing w:val="-1"/>
                <w:sz w:val="21"/>
                <w:szCs w:val="21"/>
              </w:rPr>
              <w:t>放喷过程中不具备利用条件的，在燃</w:t>
            </w:r>
          </w:p>
          <w:p>
            <w:pPr>
              <w:pStyle w:val="6"/>
              <w:spacing w:before="22" w:line="220" w:lineRule="auto"/>
              <w:ind w:left="112"/>
              <w:rPr>
                <w:sz w:val="21"/>
                <w:szCs w:val="21"/>
              </w:rPr>
            </w:pPr>
            <w:r>
              <w:rPr>
                <w:spacing w:val="-1"/>
                <w:sz w:val="21"/>
                <w:szCs w:val="21"/>
              </w:rPr>
              <w:t>烧池进行充分燃烧。燃烧池不位于鸟</w:t>
            </w:r>
          </w:p>
          <w:p>
            <w:pPr>
              <w:pStyle w:val="6"/>
              <w:spacing w:before="20" w:line="221" w:lineRule="auto"/>
              <w:ind w:left="1165"/>
              <w:rPr>
                <w:sz w:val="21"/>
                <w:szCs w:val="21"/>
              </w:rPr>
            </w:pPr>
            <w:r>
              <w:rPr>
                <w:spacing w:val="-1"/>
                <w:sz w:val="21"/>
                <w:szCs w:val="21"/>
              </w:rPr>
              <w:t>类迁徙通道上</w:t>
            </w:r>
          </w:p>
        </w:tc>
        <w:tc>
          <w:tcPr>
            <w:tcW w:w="688" w:type="dxa"/>
            <w:tcBorders>
              <w:right w:val="single" w:color="000000" w:sz="8" w:space="0"/>
            </w:tcBorders>
            <w:vAlign w:val="top"/>
          </w:tcPr>
          <w:p>
            <w:pPr>
              <w:spacing w:line="334" w:lineRule="auto"/>
              <w:rPr>
                <w:rFonts w:ascii="Arial"/>
                <w:sz w:val="21"/>
              </w:rPr>
            </w:pPr>
          </w:p>
          <w:p>
            <w:pPr>
              <w:spacing w:line="335" w:lineRule="auto"/>
              <w:rPr>
                <w:rFonts w:ascii="Arial"/>
                <w:sz w:val="21"/>
              </w:rPr>
            </w:pPr>
          </w:p>
          <w:p>
            <w:pPr>
              <w:pStyle w:val="6"/>
              <w:spacing w:before="69"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 w:type="dxa"/>
            <w:vMerge w:val="continue"/>
            <w:tcBorders>
              <w:top w:val="nil"/>
              <w:bottom w:val="nil"/>
            </w:tcBorders>
            <w:vAlign w:val="top"/>
          </w:tcPr>
          <w:p>
            <w:pPr>
              <w:rPr>
                <w:rFonts w:ascii="Arial"/>
                <w:sz w:val="21"/>
              </w:rPr>
            </w:pPr>
          </w:p>
        </w:tc>
        <w:tc>
          <w:tcPr>
            <w:tcW w:w="732" w:type="dxa"/>
            <w:vAlign w:val="top"/>
          </w:tcPr>
          <w:p>
            <w:pPr>
              <w:pStyle w:val="6"/>
              <w:spacing w:before="63" w:line="238" w:lineRule="auto"/>
              <w:ind w:left="262"/>
              <w:rPr>
                <w:sz w:val="21"/>
                <w:szCs w:val="21"/>
              </w:rPr>
            </w:pPr>
            <w:r>
              <w:rPr>
                <w:sz w:val="21"/>
                <w:szCs w:val="21"/>
              </w:rPr>
              <w:t>三</w:t>
            </w:r>
          </w:p>
        </w:tc>
        <w:tc>
          <w:tcPr>
            <w:tcW w:w="7871" w:type="dxa"/>
            <w:gridSpan w:val="3"/>
            <w:tcBorders>
              <w:right w:val="single" w:color="000000" w:sz="8" w:space="0"/>
            </w:tcBorders>
            <w:vAlign w:val="top"/>
          </w:tcPr>
          <w:p>
            <w:pPr>
              <w:pStyle w:val="6"/>
              <w:spacing w:before="64" w:line="221" w:lineRule="auto"/>
              <w:ind w:left="3523"/>
              <w:rPr>
                <w:sz w:val="21"/>
                <w:szCs w:val="21"/>
              </w:rPr>
            </w:pPr>
            <w:r>
              <w:rPr>
                <w:spacing w:val="-2"/>
                <w:sz w:val="21"/>
                <w:szCs w:val="21"/>
              </w:rPr>
              <w:t>污染治理</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1" w:line="187" w:lineRule="auto"/>
              <w:ind w:left="33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603" w:type="dxa"/>
            <w:vAlign w:val="top"/>
          </w:tcPr>
          <w:p>
            <w:pPr>
              <w:pStyle w:val="6"/>
              <w:spacing w:before="30" w:line="236" w:lineRule="auto"/>
              <w:ind w:left="123" w:right="29" w:hanging="13"/>
              <w:jc w:val="both"/>
              <w:rPr>
                <w:sz w:val="21"/>
                <w:szCs w:val="21"/>
              </w:rPr>
            </w:pPr>
            <w:r>
              <w:rPr>
                <w:spacing w:val="-7"/>
                <w:sz w:val="21"/>
                <w:szCs w:val="21"/>
              </w:rPr>
              <w:t>在钻井和井下作业过程中，鼓励污油、</w:t>
            </w:r>
            <w:r>
              <w:rPr>
                <w:spacing w:val="6"/>
                <w:sz w:val="21"/>
                <w:szCs w:val="21"/>
              </w:rPr>
              <w:t xml:space="preserve"> </w:t>
            </w:r>
            <w:r>
              <w:rPr>
                <w:spacing w:val="-1"/>
                <w:sz w:val="21"/>
                <w:szCs w:val="21"/>
              </w:rPr>
              <w:t>污水进入生产流程循环利用，未进入</w:t>
            </w:r>
            <w:r>
              <w:rPr>
                <w:spacing w:val="5"/>
                <w:sz w:val="21"/>
                <w:szCs w:val="21"/>
              </w:rPr>
              <w:t xml:space="preserve">  </w:t>
            </w:r>
            <w:r>
              <w:rPr>
                <w:spacing w:val="-1"/>
                <w:sz w:val="21"/>
                <w:szCs w:val="21"/>
              </w:rPr>
              <w:t>生产流程的污油、污水应采用固液分</w:t>
            </w:r>
            <w:r>
              <w:rPr>
                <w:spacing w:val="5"/>
                <w:sz w:val="21"/>
                <w:szCs w:val="21"/>
              </w:rPr>
              <w:t xml:space="preserve">  </w:t>
            </w:r>
            <w:r>
              <w:rPr>
                <w:spacing w:val="-1"/>
                <w:sz w:val="21"/>
                <w:szCs w:val="21"/>
              </w:rPr>
              <w:t>离、废水处理一体化装置等处理后达</w:t>
            </w:r>
            <w:r>
              <w:rPr>
                <w:spacing w:val="5"/>
                <w:sz w:val="21"/>
                <w:szCs w:val="21"/>
              </w:rPr>
              <w:t xml:space="preserve">  </w:t>
            </w:r>
            <w:r>
              <w:rPr>
                <w:spacing w:val="-1"/>
                <w:sz w:val="21"/>
                <w:szCs w:val="21"/>
              </w:rPr>
              <w:t>标外排。在油气开发过程中，未回注</w:t>
            </w:r>
            <w:r>
              <w:rPr>
                <w:spacing w:val="5"/>
                <w:sz w:val="21"/>
                <w:szCs w:val="21"/>
              </w:rPr>
              <w:t xml:space="preserve">  </w:t>
            </w:r>
            <w:r>
              <w:rPr>
                <w:spacing w:val="-1"/>
                <w:sz w:val="21"/>
                <w:szCs w:val="21"/>
              </w:rPr>
              <w:t>的油气田采出水宜采用混凝气浮和生</w:t>
            </w:r>
          </w:p>
          <w:p>
            <w:pPr>
              <w:pStyle w:val="6"/>
              <w:spacing w:before="23" w:line="206" w:lineRule="auto"/>
              <w:ind w:left="755"/>
              <w:rPr>
                <w:sz w:val="21"/>
                <w:szCs w:val="21"/>
              </w:rPr>
            </w:pPr>
            <w:r>
              <w:rPr>
                <w:spacing w:val="-1"/>
                <w:sz w:val="21"/>
                <w:szCs w:val="21"/>
              </w:rPr>
              <w:t>化处理相结合的方式。</w:t>
            </w:r>
          </w:p>
        </w:tc>
        <w:tc>
          <w:tcPr>
            <w:tcW w:w="3580" w:type="dxa"/>
            <w:vAlign w:val="top"/>
          </w:tcPr>
          <w:p>
            <w:pPr>
              <w:pStyle w:val="6"/>
              <w:spacing w:before="163" w:line="236" w:lineRule="auto"/>
              <w:ind w:left="113" w:right="104"/>
              <w:jc w:val="both"/>
              <w:rPr>
                <w:sz w:val="21"/>
                <w:szCs w:val="21"/>
              </w:rPr>
            </w:pPr>
            <w:r>
              <w:rPr>
                <w:spacing w:val="-1"/>
                <w:sz w:val="21"/>
                <w:szCs w:val="21"/>
              </w:rPr>
              <w:t>钻井过程中产生的废水经过处理后尽</w:t>
            </w:r>
            <w:r>
              <w:rPr>
                <w:spacing w:val="12"/>
                <w:sz w:val="21"/>
                <w:szCs w:val="21"/>
              </w:rPr>
              <w:t xml:space="preserve"> </w:t>
            </w:r>
            <w:r>
              <w:rPr>
                <w:spacing w:val="-1"/>
                <w:sz w:val="21"/>
                <w:szCs w:val="21"/>
              </w:rPr>
              <w:t>量重复利用。本项目不能利用的废水</w:t>
            </w:r>
            <w:r>
              <w:rPr>
                <w:spacing w:val="12"/>
                <w:sz w:val="21"/>
                <w:szCs w:val="21"/>
              </w:rPr>
              <w:t xml:space="preserve"> </w:t>
            </w:r>
            <w:r>
              <w:rPr>
                <w:spacing w:val="-1"/>
                <w:sz w:val="21"/>
                <w:szCs w:val="21"/>
              </w:rPr>
              <w:t>收集后，外运四川瑞利生物科技有限</w:t>
            </w:r>
            <w:r>
              <w:rPr>
                <w:spacing w:val="12"/>
                <w:sz w:val="21"/>
                <w:szCs w:val="21"/>
              </w:rPr>
              <w:t xml:space="preserve"> </w:t>
            </w:r>
            <w:r>
              <w:rPr>
                <w:spacing w:val="-1"/>
                <w:sz w:val="21"/>
                <w:szCs w:val="21"/>
              </w:rPr>
              <w:t>公司污水处理厂处理。生活污水经环</w:t>
            </w:r>
            <w:r>
              <w:rPr>
                <w:spacing w:val="12"/>
                <w:sz w:val="21"/>
                <w:szCs w:val="21"/>
              </w:rPr>
              <w:t xml:space="preserve"> </w:t>
            </w:r>
            <w:r>
              <w:rPr>
                <w:spacing w:val="-1"/>
                <w:sz w:val="21"/>
                <w:szCs w:val="21"/>
              </w:rPr>
              <w:t>保厕所处理后通过罐车拉运至江陵镇</w:t>
            </w:r>
          </w:p>
          <w:p>
            <w:pPr>
              <w:pStyle w:val="6"/>
              <w:spacing w:before="22" w:line="221" w:lineRule="auto"/>
              <w:ind w:left="958"/>
              <w:rPr>
                <w:sz w:val="21"/>
                <w:szCs w:val="21"/>
              </w:rPr>
            </w:pPr>
            <w:r>
              <w:rPr>
                <w:spacing w:val="-1"/>
                <w:sz w:val="21"/>
                <w:szCs w:val="21"/>
              </w:rPr>
              <w:t>污水处理厂处理。</w:t>
            </w:r>
          </w:p>
        </w:tc>
        <w:tc>
          <w:tcPr>
            <w:tcW w:w="688" w:type="dxa"/>
            <w:tcBorders>
              <w:right w:val="single" w:color="000000" w:sz="8"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8"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282" w:lineRule="auto"/>
              <w:rPr>
                <w:rFonts w:ascii="Arial"/>
                <w:sz w:val="21"/>
              </w:rPr>
            </w:pPr>
          </w:p>
          <w:p>
            <w:pPr>
              <w:spacing w:before="60" w:line="187" w:lineRule="auto"/>
              <w:ind w:left="31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603" w:type="dxa"/>
            <w:vAlign w:val="top"/>
          </w:tcPr>
          <w:p>
            <w:pPr>
              <w:pStyle w:val="6"/>
              <w:spacing w:before="31" w:line="229" w:lineRule="auto"/>
              <w:ind w:left="117" w:right="29" w:firstLine="23"/>
              <w:jc w:val="both"/>
              <w:rPr>
                <w:sz w:val="21"/>
                <w:szCs w:val="21"/>
              </w:rPr>
            </w:pPr>
            <w:r>
              <w:rPr>
                <w:spacing w:val="-2"/>
                <w:sz w:val="21"/>
                <w:szCs w:val="21"/>
              </w:rPr>
              <w:t>固体废物收集、贮存、处理处置设施</w:t>
            </w:r>
            <w:r>
              <w:rPr>
                <w:spacing w:val="4"/>
                <w:sz w:val="21"/>
                <w:szCs w:val="21"/>
              </w:rPr>
              <w:t xml:space="preserve">  </w:t>
            </w:r>
            <w:r>
              <w:rPr>
                <w:sz w:val="21"/>
                <w:szCs w:val="21"/>
              </w:rPr>
              <w:t xml:space="preserve">应按照标准要求采取防渗措施。试油  </w:t>
            </w:r>
            <w:r>
              <w:rPr>
                <w:spacing w:val="-7"/>
                <w:sz w:val="21"/>
                <w:szCs w:val="21"/>
              </w:rPr>
              <w:t>（气）后应立即封闭废弃钻井液贮池。</w:t>
            </w:r>
          </w:p>
        </w:tc>
        <w:tc>
          <w:tcPr>
            <w:tcW w:w="3580" w:type="dxa"/>
            <w:vAlign w:val="top"/>
          </w:tcPr>
          <w:p>
            <w:pPr>
              <w:pStyle w:val="6"/>
              <w:spacing w:before="31" w:line="221" w:lineRule="auto"/>
              <w:ind w:left="219"/>
              <w:rPr>
                <w:sz w:val="21"/>
                <w:szCs w:val="21"/>
              </w:rPr>
            </w:pPr>
            <w:r>
              <w:rPr>
                <w:spacing w:val="-1"/>
                <w:sz w:val="21"/>
                <w:szCs w:val="21"/>
              </w:rPr>
              <w:t>钻井过程中按相关要求进行固废收</w:t>
            </w:r>
          </w:p>
          <w:p>
            <w:pPr>
              <w:pStyle w:val="6"/>
              <w:spacing w:before="22" w:line="223" w:lineRule="auto"/>
              <w:ind w:left="323" w:right="104" w:hanging="210"/>
              <w:rPr>
                <w:sz w:val="21"/>
                <w:szCs w:val="21"/>
              </w:rPr>
            </w:pPr>
            <w:r>
              <w:rPr>
                <w:spacing w:val="-1"/>
                <w:sz w:val="21"/>
                <w:szCs w:val="21"/>
              </w:rPr>
              <w:t>集、贮存和处理。完井后对清洁生产</w:t>
            </w:r>
            <w:r>
              <w:rPr>
                <w:spacing w:val="12"/>
                <w:sz w:val="21"/>
                <w:szCs w:val="21"/>
              </w:rPr>
              <w:t xml:space="preserve"> </w:t>
            </w:r>
            <w:r>
              <w:rPr>
                <w:spacing w:val="-2"/>
                <w:sz w:val="21"/>
                <w:szCs w:val="21"/>
              </w:rPr>
              <w:t>操作平台、应急池清理后封闭。</w:t>
            </w:r>
          </w:p>
        </w:tc>
        <w:tc>
          <w:tcPr>
            <w:tcW w:w="688" w:type="dxa"/>
            <w:tcBorders>
              <w:right w:val="single" w:color="000000" w:sz="8" w:space="0"/>
            </w:tcBorders>
            <w:vAlign w:val="top"/>
          </w:tcPr>
          <w:p>
            <w:pPr>
              <w:pStyle w:val="6"/>
              <w:spacing w:before="305"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6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603" w:type="dxa"/>
            <w:vAlign w:val="top"/>
          </w:tcPr>
          <w:p>
            <w:pPr>
              <w:pStyle w:val="6"/>
              <w:spacing w:before="33" w:line="236" w:lineRule="auto"/>
              <w:ind w:left="123" w:right="117"/>
              <w:jc w:val="both"/>
              <w:rPr>
                <w:sz w:val="21"/>
                <w:szCs w:val="21"/>
              </w:rPr>
            </w:pPr>
            <w:r>
              <w:rPr>
                <w:spacing w:val="-1"/>
                <w:sz w:val="21"/>
                <w:szCs w:val="21"/>
              </w:rPr>
              <w:t>应回收落地原油，以及原油处理、废</w:t>
            </w:r>
            <w:r>
              <w:rPr>
                <w:spacing w:val="1"/>
                <w:sz w:val="21"/>
                <w:szCs w:val="21"/>
              </w:rPr>
              <w:t xml:space="preserve"> </w:t>
            </w:r>
            <w:r>
              <w:rPr>
                <w:spacing w:val="-6"/>
                <w:sz w:val="21"/>
                <w:szCs w:val="21"/>
              </w:rPr>
              <w:t>水处理产生的油泥（砂）</w:t>
            </w:r>
            <w:r>
              <w:rPr>
                <w:spacing w:val="-13"/>
                <w:sz w:val="21"/>
                <w:szCs w:val="21"/>
              </w:rPr>
              <w:t xml:space="preserve"> </w:t>
            </w:r>
            <w:r>
              <w:rPr>
                <w:spacing w:val="-6"/>
                <w:sz w:val="21"/>
                <w:szCs w:val="21"/>
              </w:rPr>
              <w:t>等中的油类</w:t>
            </w:r>
            <w:r>
              <w:rPr>
                <w:sz w:val="21"/>
                <w:szCs w:val="21"/>
              </w:rPr>
              <w:t xml:space="preserve"> </w:t>
            </w:r>
            <w:r>
              <w:rPr>
                <w:spacing w:val="-7"/>
                <w:sz w:val="21"/>
                <w:szCs w:val="21"/>
              </w:rPr>
              <w:t>物质， 含油污泥资源化利用率应达到</w:t>
            </w:r>
            <w:r>
              <w:rPr>
                <w:spacing w:val="10"/>
                <w:sz w:val="21"/>
                <w:szCs w:val="21"/>
              </w:rPr>
              <w:t xml:space="preserve"> </w:t>
            </w:r>
            <w:r>
              <w:rPr>
                <w:rFonts w:ascii="Times New Roman" w:hAnsi="Times New Roman" w:eastAsia="Times New Roman" w:cs="Times New Roman"/>
                <w:spacing w:val="-6"/>
                <w:sz w:val="21"/>
                <w:szCs w:val="21"/>
              </w:rPr>
              <w:t>90%</w:t>
            </w:r>
            <w:r>
              <w:rPr>
                <w:spacing w:val="-6"/>
                <w:sz w:val="21"/>
                <w:szCs w:val="21"/>
              </w:rPr>
              <w:t>以上，</w:t>
            </w:r>
            <w:r>
              <w:rPr>
                <w:spacing w:val="-11"/>
                <w:sz w:val="21"/>
                <w:szCs w:val="21"/>
              </w:rPr>
              <w:t xml:space="preserve"> </w:t>
            </w:r>
            <w:r>
              <w:rPr>
                <w:spacing w:val="-6"/>
                <w:sz w:val="21"/>
                <w:szCs w:val="21"/>
              </w:rPr>
              <w:t>残余固体废物应按照《国</w:t>
            </w:r>
            <w:r>
              <w:rPr>
                <w:sz w:val="21"/>
                <w:szCs w:val="21"/>
              </w:rPr>
              <w:t xml:space="preserve"> </w:t>
            </w:r>
            <w:r>
              <w:rPr>
                <w:spacing w:val="-1"/>
                <w:sz w:val="21"/>
                <w:szCs w:val="21"/>
              </w:rPr>
              <w:t>家危险废物名录》和危险废物鉴别标</w:t>
            </w:r>
            <w:r>
              <w:rPr>
                <w:spacing w:val="12"/>
                <w:sz w:val="21"/>
                <w:szCs w:val="21"/>
              </w:rPr>
              <w:t xml:space="preserve"> </w:t>
            </w:r>
            <w:r>
              <w:rPr>
                <w:spacing w:val="-1"/>
                <w:sz w:val="21"/>
                <w:szCs w:val="21"/>
              </w:rPr>
              <w:t>准识别，根据识别结果资源化利用或</w:t>
            </w:r>
          </w:p>
          <w:p>
            <w:pPr>
              <w:pStyle w:val="6"/>
              <w:spacing w:before="22" w:line="205" w:lineRule="auto"/>
              <w:ind w:left="1176"/>
              <w:rPr>
                <w:sz w:val="21"/>
                <w:szCs w:val="21"/>
              </w:rPr>
            </w:pPr>
            <w:r>
              <w:rPr>
                <w:spacing w:val="-2"/>
                <w:sz w:val="21"/>
                <w:szCs w:val="21"/>
              </w:rPr>
              <w:t>无害化处置。</w:t>
            </w:r>
          </w:p>
        </w:tc>
        <w:tc>
          <w:tcPr>
            <w:tcW w:w="3580" w:type="dxa"/>
            <w:vAlign w:val="top"/>
          </w:tcPr>
          <w:p>
            <w:pPr>
              <w:spacing w:line="370" w:lineRule="auto"/>
              <w:rPr>
                <w:rFonts w:ascii="Arial"/>
                <w:sz w:val="21"/>
              </w:rPr>
            </w:pPr>
          </w:p>
          <w:p>
            <w:pPr>
              <w:pStyle w:val="6"/>
              <w:spacing w:before="68" w:line="233" w:lineRule="auto"/>
              <w:ind w:left="116" w:right="104"/>
              <w:rPr>
                <w:sz w:val="21"/>
                <w:szCs w:val="21"/>
              </w:rPr>
            </w:pPr>
            <w:r>
              <w:rPr>
                <w:spacing w:val="-1"/>
                <w:sz w:val="21"/>
                <w:szCs w:val="21"/>
              </w:rPr>
              <w:t>不涉及原油，本工程在井口及易产生</w:t>
            </w:r>
            <w:r>
              <w:rPr>
                <w:spacing w:val="8"/>
                <w:sz w:val="21"/>
                <w:szCs w:val="21"/>
              </w:rPr>
              <w:t xml:space="preserve"> </w:t>
            </w:r>
            <w:r>
              <w:rPr>
                <w:spacing w:val="-4"/>
                <w:sz w:val="21"/>
                <w:szCs w:val="21"/>
              </w:rPr>
              <w:t>油污的生产设施底部进行防渗处理，</w:t>
            </w:r>
            <w:r>
              <w:rPr>
                <w:spacing w:val="9"/>
                <w:sz w:val="21"/>
                <w:szCs w:val="21"/>
              </w:rPr>
              <w:t xml:space="preserve"> </w:t>
            </w:r>
            <w:r>
              <w:rPr>
                <w:spacing w:val="-1"/>
                <w:sz w:val="21"/>
                <w:szCs w:val="21"/>
              </w:rPr>
              <w:t>收集可能产生的全部废油，然后由井</w:t>
            </w:r>
          </w:p>
          <w:p>
            <w:pPr>
              <w:pStyle w:val="6"/>
              <w:spacing w:before="19" w:line="221" w:lineRule="auto"/>
              <w:ind w:left="550"/>
              <w:rPr>
                <w:sz w:val="21"/>
                <w:szCs w:val="21"/>
              </w:rPr>
            </w:pPr>
            <w:r>
              <w:rPr>
                <w:spacing w:val="-2"/>
                <w:sz w:val="21"/>
                <w:szCs w:val="21"/>
              </w:rPr>
              <w:t>队回收交有资质单位处置。</w:t>
            </w:r>
          </w:p>
        </w:tc>
        <w:tc>
          <w:tcPr>
            <w:tcW w:w="688" w:type="dxa"/>
            <w:tcBorders>
              <w:right w:val="single" w:color="000000" w:sz="8"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9"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8" w:type="dxa"/>
            <w:vMerge w:val="continue"/>
            <w:tcBorders>
              <w:top w:val="nil"/>
              <w:bottom w:val="nil"/>
            </w:tcBorders>
            <w:vAlign w:val="top"/>
          </w:tcPr>
          <w:p>
            <w:pPr>
              <w:rPr>
                <w:rFonts w:ascii="Arial"/>
                <w:sz w:val="21"/>
              </w:rPr>
            </w:pPr>
          </w:p>
        </w:tc>
        <w:tc>
          <w:tcPr>
            <w:tcW w:w="732" w:type="dxa"/>
            <w:vAlign w:val="top"/>
          </w:tcPr>
          <w:p>
            <w:pPr>
              <w:spacing w:before="2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603" w:type="dxa"/>
            <w:vAlign w:val="top"/>
          </w:tcPr>
          <w:p>
            <w:pPr>
              <w:pStyle w:val="6"/>
              <w:spacing w:before="31" w:line="223" w:lineRule="auto"/>
              <w:ind w:left="966" w:right="117" w:hanging="844"/>
              <w:rPr>
                <w:sz w:val="21"/>
                <w:szCs w:val="21"/>
              </w:rPr>
            </w:pPr>
            <w:r>
              <w:rPr>
                <w:spacing w:val="-1"/>
                <w:sz w:val="21"/>
                <w:szCs w:val="21"/>
              </w:rPr>
              <w:t>对受到油污染的土壤宜采取生物或物</w:t>
            </w:r>
            <w:r>
              <w:rPr>
                <w:spacing w:val="12"/>
                <w:sz w:val="21"/>
                <w:szCs w:val="21"/>
              </w:rPr>
              <w:t xml:space="preserve"> </w:t>
            </w:r>
            <w:r>
              <w:rPr>
                <w:spacing w:val="-1"/>
                <w:sz w:val="21"/>
                <w:szCs w:val="21"/>
              </w:rPr>
              <w:t>化方法进行修复。</w:t>
            </w:r>
          </w:p>
        </w:tc>
        <w:tc>
          <w:tcPr>
            <w:tcW w:w="3580" w:type="dxa"/>
            <w:vAlign w:val="top"/>
          </w:tcPr>
          <w:p>
            <w:pPr>
              <w:pStyle w:val="6"/>
              <w:spacing w:before="31" w:line="223" w:lineRule="auto"/>
              <w:ind w:left="114" w:right="27" w:firstLine="2"/>
              <w:rPr>
                <w:sz w:val="21"/>
                <w:szCs w:val="21"/>
              </w:rPr>
            </w:pPr>
            <w:r>
              <w:rPr>
                <w:spacing w:val="-6"/>
                <w:sz w:val="21"/>
                <w:szCs w:val="21"/>
              </w:rPr>
              <w:t>不涉及原油，少量废油，</w:t>
            </w:r>
            <w:r>
              <w:rPr>
                <w:spacing w:val="-19"/>
                <w:sz w:val="21"/>
                <w:szCs w:val="21"/>
              </w:rPr>
              <w:t xml:space="preserve"> </w:t>
            </w:r>
            <w:r>
              <w:rPr>
                <w:spacing w:val="-6"/>
                <w:sz w:val="21"/>
                <w:szCs w:val="21"/>
              </w:rPr>
              <w:t xml:space="preserve">通过采取防 </w:t>
            </w:r>
            <w:r>
              <w:rPr>
                <w:spacing w:val="-9"/>
                <w:sz w:val="21"/>
                <w:szCs w:val="21"/>
              </w:rPr>
              <w:t>渗措施，总体不会造成土壤的油污染。</w:t>
            </w:r>
          </w:p>
        </w:tc>
        <w:tc>
          <w:tcPr>
            <w:tcW w:w="688" w:type="dxa"/>
            <w:tcBorders>
              <w:right w:val="single" w:color="000000" w:sz="8" w:space="0"/>
            </w:tcBorders>
            <w:vAlign w:val="top"/>
          </w:tcPr>
          <w:p>
            <w:pPr>
              <w:pStyle w:val="6"/>
              <w:spacing w:before="168"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 w:type="dxa"/>
            <w:vMerge w:val="continue"/>
            <w:tcBorders>
              <w:top w:val="nil"/>
              <w:bottom w:val="nil"/>
            </w:tcBorders>
            <w:vAlign w:val="top"/>
          </w:tcPr>
          <w:p>
            <w:pPr>
              <w:rPr>
                <w:rFonts w:ascii="Arial"/>
                <w:sz w:val="21"/>
              </w:rPr>
            </w:pPr>
          </w:p>
        </w:tc>
        <w:tc>
          <w:tcPr>
            <w:tcW w:w="732" w:type="dxa"/>
            <w:vAlign w:val="top"/>
          </w:tcPr>
          <w:p>
            <w:pPr>
              <w:pStyle w:val="6"/>
              <w:spacing w:before="69" w:line="223" w:lineRule="auto"/>
              <w:ind w:left="282"/>
              <w:rPr>
                <w:sz w:val="21"/>
                <w:szCs w:val="21"/>
              </w:rPr>
            </w:pPr>
            <w:r>
              <w:rPr>
                <w:sz w:val="21"/>
                <w:szCs w:val="21"/>
              </w:rPr>
              <w:t>四</w:t>
            </w:r>
          </w:p>
        </w:tc>
        <w:tc>
          <w:tcPr>
            <w:tcW w:w="7871" w:type="dxa"/>
            <w:gridSpan w:val="3"/>
            <w:tcBorders>
              <w:right w:val="single" w:color="000000" w:sz="8" w:space="0"/>
            </w:tcBorders>
            <w:vAlign w:val="top"/>
          </w:tcPr>
          <w:p>
            <w:pPr>
              <w:pStyle w:val="6"/>
              <w:spacing w:before="68" w:line="221" w:lineRule="auto"/>
              <w:ind w:left="2996"/>
              <w:rPr>
                <w:sz w:val="21"/>
                <w:szCs w:val="21"/>
              </w:rPr>
            </w:pPr>
            <w:r>
              <w:rPr>
                <w:spacing w:val="-1"/>
                <w:sz w:val="21"/>
                <w:szCs w:val="21"/>
              </w:rPr>
              <w:t>运行风险和环境管理</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283" w:lineRule="auto"/>
              <w:rPr>
                <w:rFonts w:ascii="Arial"/>
                <w:sz w:val="21"/>
              </w:rPr>
            </w:pPr>
          </w:p>
          <w:p>
            <w:pPr>
              <w:spacing w:before="61" w:line="187" w:lineRule="auto"/>
              <w:ind w:left="33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603" w:type="dxa"/>
            <w:vAlign w:val="top"/>
          </w:tcPr>
          <w:p>
            <w:pPr>
              <w:pStyle w:val="6"/>
              <w:spacing w:before="32" w:line="221" w:lineRule="auto"/>
              <w:ind w:left="232"/>
              <w:rPr>
                <w:sz w:val="21"/>
                <w:szCs w:val="21"/>
              </w:rPr>
            </w:pPr>
            <w:r>
              <w:rPr>
                <w:spacing w:val="-1"/>
                <w:sz w:val="21"/>
                <w:szCs w:val="21"/>
              </w:rPr>
              <w:t>油气田企业应制定环境保护管理规</w:t>
            </w:r>
          </w:p>
          <w:p>
            <w:pPr>
              <w:pStyle w:val="6"/>
              <w:spacing w:before="23" w:line="222" w:lineRule="auto"/>
              <w:ind w:left="1387" w:right="117" w:hanging="1259"/>
              <w:rPr>
                <w:sz w:val="21"/>
                <w:szCs w:val="21"/>
              </w:rPr>
            </w:pPr>
            <w:r>
              <w:rPr>
                <w:spacing w:val="-1"/>
                <w:sz w:val="21"/>
                <w:szCs w:val="21"/>
              </w:rPr>
              <w:t>定，建立并运行健康、安全与环境管</w:t>
            </w:r>
            <w:r>
              <w:rPr>
                <w:spacing w:val="6"/>
                <w:sz w:val="21"/>
                <w:szCs w:val="21"/>
              </w:rPr>
              <w:t xml:space="preserve"> </w:t>
            </w:r>
            <w:r>
              <w:rPr>
                <w:spacing w:val="-2"/>
                <w:sz w:val="21"/>
                <w:szCs w:val="21"/>
              </w:rPr>
              <w:t>理体系。</w:t>
            </w:r>
          </w:p>
        </w:tc>
        <w:tc>
          <w:tcPr>
            <w:tcW w:w="3580" w:type="dxa"/>
            <w:vAlign w:val="top"/>
          </w:tcPr>
          <w:p>
            <w:pPr>
              <w:pStyle w:val="6"/>
              <w:spacing w:before="32" w:line="221" w:lineRule="auto"/>
              <w:ind w:left="116"/>
              <w:rPr>
                <w:sz w:val="21"/>
                <w:szCs w:val="21"/>
              </w:rPr>
            </w:pPr>
            <w:r>
              <w:rPr>
                <w:spacing w:val="-1"/>
                <w:sz w:val="21"/>
                <w:szCs w:val="21"/>
              </w:rPr>
              <w:t>建设单位制定有完善的环境保护管理</w:t>
            </w:r>
          </w:p>
          <w:p>
            <w:pPr>
              <w:pStyle w:val="6"/>
              <w:spacing w:before="22" w:line="221" w:lineRule="auto"/>
              <w:ind w:left="114"/>
              <w:rPr>
                <w:sz w:val="21"/>
                <w:szCs w:val="21"/>
              </w:rPr>
            </w:pPr>
            <w:r>
              <w:rPr>
                <w:spacing w:val="-7"/>
                <w:sz w:val="21"/>
                <w:szCs w:val="21"/>
              </w:rPr>
              <w:t>规定， 并建立运行健康的环境管理体</w:t>
            </w:r>
          </w:p>
          <w:p>
            <w:pPr>
              <w:pStyle w:val="6"/>
              <w:spacing w:before="20" w:line="206" w:lineRule="auto"/>
              <w:ind w:left="1694"/>
              <w:rPr>
                <w:sz w:val="21"/>
                <w:szCs w:val="21"/>
              </w:rPr>
            </w:pPr>
            <w:r>
              <w:rPr>
                <w:sz w:val="21"/>
                <w:szCs w:val="21"/>
              </w:rPr>
              <w:t>系</w:t>
            </w:r>
          </w:p>
        </w:tc>
        <w:tc>
          <w:tcPr>
            <w:tcW w:w="688" w:type="dxa"/>
            <w:tcBorders>
              <w:right w:val="single" w:color="000000" w:sz="8" w:space="0"/>
            </w:tcBorders>
            <w:vAlign w:val="top"/>
          </w:tcPr>
          <w:p>
            <w:pPr>
              <w:pStyle w:val="6"/>
              <w:spacing w:before="306"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281" w:lineRule="auto"/>
              <w:rPr>
                <w:rFonts w:ascii="Arial"/>
                <w:sz w:val="21"/>
              </w:rPr>
            </w:pPr>
          </w:p>
          <w:p>
            <w:pPr>
              <w:spacing w:before="60" w:line="187" w:lineRule="auto"/>
              <w:ind w:left="31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603" w:type="dxa"/>
            <w:vAlign w:val="top"/>
          </w:tcPr>
          <w:p>
            <w:pPr>
              <w:pStyle w:val="6"/>
              <w:spacing w:before="34" w:line="221" w:lineRule="auto"/>
              <w:ind w:left="123"/>
              <w:rPr>
                <w:sz w:val="21"/>
                <w:szCs w:val="21"/>
              </w:rPr>
            </w:pPr>
            <w:r>
              <w:rPr>
                <w:spacing w:val="-1"/>
                <w:sz w:val="21"/>
                <w:szCs w:val="21"/>
              </w:rPr>
              <w:t>加强油气田建设、开发过程的环境监</w:t>
            </w:r>
          </w:p>
          <w:p>
            <w:pPr>
              <w:pStyle w:val="6"/>
              <w:spacing w:before="19" w:line="222" w:lineRule="auto"/>
              <w:ind w:left="1279" w:right="117" w:hanging="1152"/>
              <w:rPr>
                <w:sz w:val="21"/>
                <w:szCs w:val="21"/>
              </w:rPr>
            </w:pPr>
            <w:r>
              <w:rPr>
                <w:spacing w:val="-1"/>
                <w:sz w:val="21"/>
                <w:szCs w:val="21"/>
              </w:rPr>
              <w:t>督管理。油气田建设过程应开展工程</w:t>
            </w:r>
            <w:r>
              <w:rPr>
                <w:spacing w:val="7"/>
                <w:sz w:val="21"/>
                <w:szCs w:val="21"/>
              </w:rPr>
              <w:t xml:space="preserve"> </w:t>
            </w:r>
            <w:r>
              <w:rPr>
                <w:spacing w:val="-5"/>
                <w:sz w:val="21"/>
                <w:szCs w:val="21"/>
              </w:rPr>
              <w:t>环境监理。</w:t>
            </w:r>
          </w:p>
        </w:tc>
        <w:tc>
          <w:tcPr>
            <w:tcW w:w="3580" w:type="dxa"/>
            <w:vAlign w:val="top"/>
          </w:tcPr>
          <w:p>
            <w:pPr>
              <w:pStyle w:val="6"/>
              <w:spacing w:before="304" w:line="220" w:lineRule="auto"/>
              <w:ind w:left="431"/>
              <w:rPr>
                <w:sz w:val="21"/>
                <w:szCs w:val="21"/>
              </w:rPr>
            </w:pPr>
            <w:r>
              <w:rPr>
                <w:spacing w:val="-2"/>
                <w:sz w:val="21"/>
                <w:szCs w:val="21"/>
              </w:rPr>
              <w:t>本项目制定有环境监理计划。</w:t>
            </w:r>
          </w:p>
        </w:tc>
        <w:tc>
          <w:tcPr>
            <w:tcW w:w="688" w:type="dxa"/>
            <w:tcBorders>
              <w:right w:val="single" w:color="000000" w:sz="8" w:space="0"/>
            </w:tcBorders>
            <w:vAlign w:val="top"/>
          </w:tcPr>
          <w:p>
            <w:pPr>
              <w:pStyle w:val="6"/>
              <w:spacing w:before="304"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284" w:lineRule="auto"/>
              <w:rPr>
                <w:rFonts w:ascii="Arial"/>
                <w:sz w:val="21"/>
              </w:rPr>
            </w:pPr>
          </w:p>
          <w:p>
            <w:pPr>
              <w:spacing w:before="6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603" w:type="dxa"/>
            <w:vAlign w:val="top"/>
          </w:tcPr>
          <w:p>
            <w:pPr>
              <w:pStyle w:val="6"/>
              <w:spacing w:before="34" w:line="221" w:lineRule="auto"/>
              <w:ind w:left="122"/>
              <w:rPr>
                <w:sz w:val="21"/>
                <w:szCs w:val="21"/>
              </w:rPr>
            </w:pPr>
            <w:r>
              <w:rPr>
                <w:spacing w:val="-7"/>
                <w:sz w:val="21"/>
                <w:szCs w:val="21"/>
              </w:rPr>
              <w:t>在开发过程中， 企业应加强油气井套</w:t>
            </w:r>
          </w:p>
          <w:p>
            <w:pPr>
              <w:pStyle w:val="6"/>
              <w:spacing w:before="21" w:line="222" w:lineRule="auto"/>
              <w:ind w:left="1385" w:right="117" w:hanging="1257"/>
              <w:rPr>
                <w:sz w:val="21"/>
                <w:szCs w:val="21"/>
              </w:rPr>
            </w:pPr>
            <w:r>
              <w:rPr>
                <w:spacing w:val="-1"/>
                <w:sz w:val="21"/>
                <w:szCs w:val="21"/>
              </w:rPr>
              <w:t>管的检测和维护，防止油气泄漏污染</w:t>
            </w:r>
            <w:r>
              <w:rPr>
                <w:spacing w:val="6"/>
                <w:sz w:val="21"/>
                <w:szCs w:val="21"/>
              </w:rPr>
              <w:t xml:space="preserve"> </w:t>
            </w:r>
            <w:r>
              <w:rPr>
                <w:spacing w:val="-2"/>
                <w:sz w:val="21"/>
                <w:szCs w:val="21"/>
              </w:rPr>
              <w:t>地下水。</w:t>
            </w:r>
          </w:p>
        </w:tc>
        <w:tc>
          <w:tcPr>
            <w:tcW w:w="3580" w:type="dxa"/>
            <w:vAlign w:val="top"/>
          </w:tcPr>
          <w:p>
            <w:pPr>
              <w:pStyle w:val="6"/>
              <w:spacing w:before="34" w:line="220" w:lineRule="auto"/>
              <w:ind w:left="114"/>
              <w:rPr>
                <w:sz w:val="21"/>
                <w:szCs w:val="21"/>
              </w:rPr>
            </w:pPr>
            <w:r>
              <w:rPr>
                <w:spacing w:val="-1"/>
                <w:sz w:val="21"/>
                <w:szCs w:val="21"/>
              </w:rPr>
              <w:t>本项目制定有完善的套管监测维护计</w:t>
            </w:r>
          </w:p>
          <w:p>
            <w:pPr>
              <w:pStyle w:val="6"/>
              <w:spacing w:before="23" w:line="222" w:lineRule="auto"/>
              <w:ind w:left="1586" w:right="104" w:hanging="1474"/>
              <w:rPr>
                <w:sz w:val="21"/>
                <w:szCs w:val="21"/>
              </w:rPr>
            </w:pPr>
            <w:r>
              <w:rPr>
                <w:spacing w:val="-7"/>
                <w:sz w:val="21"/>
                <w:szCs w:val="21"/>
              </w:rPr>
              <w:t>划和制度， 防止天然气泄漏污染地下</w:t>
            </w:r>
            <w:r>
              <w:rPr>
                <w:spacing w:val="10"/>
                <w:sz w:val="21"/>
                <w:szCs w:val="21"/>
              </w:rPr>
              <w:t xml:space="preserve"> </w:t>
            </w:r>
            <w:r>
              <w:rPr>
                <w:spacing w:val="-10"/>
                <w:sz w:val="21"/>
                <w:szCs w:val="21"/>
              </w:rPr>
              <w:t>水。</w:t>
            </w:r>
          </w:p>
        </w:tc>
        <w:tc>
          <w:tcPr>
            <w:tcW w:w="688" w:type="dxa"/>
            <w:tcBorders>
              <w:right w:val="single" w:color="000000" w:sz="8" w:space="0"/>
            </w:tcBorders>
            <w:vAlign w:val="top"/>
          </w:tcPr>
          <w:p>
            <w:pPr>
              <w:pStyle w:val="6"/>
              <w:spacing w:before="307"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418" w:lineRule="auto"/>
              <w:rPr>
                <w:rFonts w:ascii="Arial"/>
                <w:sz w:val="21"/>
              </w:rPr>
            </w:pPr>
          </w:p>
          <w:p>
            <w:pPr>
              <w:spacing w:before="6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603" w:type="dxa"/>
            <w:vAlign w:val="top"/>
          </w:tcPr>
          <w:p>
            <w:pPr>
              <w:pStyle w:val="6"/>
              <w:spacing w:before="34" w:line="233" w:lineRule="auto"/>
              <w:ind w:left="124" w:right="117" w:firstLine="2"/>
              <w:jc w:val="both"/>
              <w:rPr>
                <w:sz w:val="21"/>
                <w:szCs w:val="21"/>
              </w:rPr>
            </w:pPr>
            <w:r>
              <w:rPr>
                <w:spacing w:val="-1"/>
                <w:sz w:val="21"/>
                <w:szCs w:val="21"/>
              </w:rPr>
              <w:t>油气田企业应建立环境保护人员培训</w:t>
            </w:r>
            <w:r>
              <w:rPr>
                <w:spacing w:val="8"/>
                <w:sz w:val="21"/>
                <w:szCs w:val="21"/>
              </w:rPr>
              <w:t xml:space="preserve"> </w:t>
            </w:r>
            <w:r>
              <w:rPr>
                <w:spacing w:val="-8"/>
                <w:sz w:val="21"/>
                <w:szCs w:val="21"/>
              </w:rPr>
              <w:t>制度， 环境监测人员、统计人员、污</w:t>
            </w:r>
            <w:r>
              <w:rPr>
                <w:spacing w:val="15"/>
                <w:sz w:val="21"/>
                <w:szCs w:val="21"/>
              </w:rPr>
              <w:t xml:space="preserve"> </w:t>
            </w:r>
            <w:r>
              <w:rPr>
                <w:spacing w:val="-1"/>
                <w:sz w:val="21"/>
                <w:szCs w:val="21"/>
              </w:rPr>
              <w:t>染治理设施操作人员应经培训合格后</w:t>
            </w:r>
          </w:p>
          <w:p>
            <w:pPr>
              <w:pStyle w:val="6"/>
              <w:spacing w:before="20" w:line="205" w:lineRule="auto"/>
              <w:ind w:left="1491"/>
              <w:rPr>
                <w:sz w:val="21"/>
                <w:szCs w:val="21"/>
              </w:rPr>
            </w:pPr>
            <w:r>
              <w:rPr>
                <w:spacing w:val="-9"/>
                <w:sz w:val="21"/>
                <w:szCs w:val="21"/>
              </w:rPr>
              <w:t>上岗。</w:t>
            </w:r>
          </w:p>
        </w:tc>
        <w:tc>
          <w:tcPr>
            <w:tcW w:w="3580" w:type="dxa"/>
            <w:vAlign w:val="top"/>
          </w:tcPr>
          <w:p>
            <w:pPr>
              <w:pStyle w:val="6"/>
              <w:spacing w:before="170" w:line="221" w:lineRule="auto"/>
              <w:ind w:left="221"/>
              <w:rPr>
                <w:sz w:val="21"/>
                <w:szCs w:val="21"/>
              </w:rPr>
            </w:pPr>
            <w:r>
              <w:rPr>
                <w:spacing w:val="-1"/>
                <w:sz w:val="21"/>
                <w:szCs w:val="21"/>
              </w:rPr>
              <w:t>建设单位设置有专门的环境管理部</w:t>
            </w:r>
          </w:p>
          <w:p>
            <w:pPr>
              <w:pStyle w:val="6"/>
              <w:spacing w:before="20" w:line="231" w:lineRule="auto"/>
              <w:ind w:left="1271" w:right="104" w:hanging="1134"/>
              <w:rPr>
                <w:sz w:val="21"/>
                <w:szCs w:val="21"/>
              </w:rPr>
            </w:pPr>
            <w:r>
              <w:rPr>
                <w:spacing w:val="-2"/>
                <w:sz w:val="21"/>
                <w:szCs w:val="21"/>
              </w:rPr>
              <w:t>门，并制定有完善的环境管理制度和</w:t>
            </w:r>
            <w:r>
              <w:rPr>
                <w:spacing w:val="4"/>
                <w:sz w:val="21"/>
                <w:szCs w:val="21"/>
              </w:rPr>
              <w:t xml:space="preserve"> </w:t>
            </w:r>
            <w:r>
              <w:rPr>
                <w:spacing w:val="-5"/>
                <w:sz w:val="21"/>
                <w:szCs w:val="21"/>
              </w:rPr>
              <w:t>培训制度。</w:t>
            </w:r>
          </w:p>
        </w:tc>
        <w:tc>
          <w:tcPr>
            <w:tcW w:w="688" w:type="dxa"/>
            <w:tcBorders>
              <w:right w:val="single" w:color="000000" w:sz="8" w:space="0"/>
            </w:tcBorders>
            <w:vAlign w:val="top"/>
          </w:tcPr>
          <w:p>
            <w:pPr>
              <w:spacing w:line="371" w:lineRule="auto"/>
              <w:rPr>
                <w:rFonts w:ascii="Arial"/>
                <w:sz w:val="21"/>
              </w:rPr>
            </w:pPr>
          </w:p>
          <w:p>
            <w:pPr>
              <w:pStyle w:val="6"/>
              <w:spacing w:before="68"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468" w:type="dxa"/>
            <w:vMerge w:val="continue"/>
            <w:tcBorders>
              <w:top w:val="nil"/>
              <w:bottom w:val="nil"/>
            </w:tcBorders>
            <w:vAlign w:val="top"/>
          </w:tcPr>
          <w:p>
            <w:pPr>
              <w:rPr>
                <w:rFonts w:ascii="Arial"/>
                <w:sz w:val="21"/>
              </w:rPr>
            </w:pPr>
          </w:p>
        </w:tc>
        <w:tc>
          <w:tcPr>
            <w:tcW w:w="732" w:type="dxa"/>
            <w:vAlign w:val="top"/>
          </w:tcPr>
          <w:p>
            <w:pPr>
              <w:spacing w:line="346" w:lineRule="auto"/>
              <w:rPr>
                <w:rFonts w:ascii="Arial"/>
                <w:sz w:val="21"/>
              </w:rPr>
            </w:pPr>
          </w:p>
          <w:p>
            <w:pPr>
              <w:spacing w:line="347" w:lineRule="auto"/>
              <w:rPr>
                <w:rFonts w:ascii="Arial"/>
                <w:sz w:val="21"/>
              </w:rPr>
            </w:pPr>
          </w:p>
          <w:p>
            <w:pPr>
              <w:spacing w:before="61" w:line="184"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603" w:type="dxa"/>
            <w:vAlign w:val="top"/>
          </w:tcPr>
          <w:p>
            <w:pPr>
              <w:pStyle w:val="6"/>
              <w:spacing w:before="34" w:line="236" w:lineRule="auto"/>
              <w:ind w:left="123" w:right="117" w:firstLine="3"/>
              <w:jc w:val="both"/>
              <w:rPr>
                <w:sz w:val="21"/>
                <w:szCs w:val="21"/>
              </w:rPr>
            </w:pPr>
            <w:r>
              <w:rPr>
                <w:spacing w:val="-1"/>
                <w:sz w:val="21"/>
                <w:szCs w:val="21"/>
              </w:rPr>
              <w:t>油气田企业应对开发过程进行环境风</w:t>
            </w:r>
            <w:r>
              <w:rPr>
                <w:spacing w:val="9"/>
                <w:sz w:val="21"/>
                <w:szCs w:val="21"/>
              </w:rPr>
              <w:t xml:space="preserve"> </w:t>
            </w:r>
            <w:r>
              <w:rPr>
                <w:spacing w:val="-1"/>
                <w:sz w:val="21"/>
                <w:szCs w:val="21"/>
              </w:rPr>
              <w:t>险因素识别，制定突发环境事件应急</w:t>
            </w:r>
            <w:r>
              <w:rPr>
                <w:spacing w:val="12"/>
                <w:sz w:val="21"/>
                <w:szCs w:val="21"/>
              </w:rPr>
              <w:t xml:space="preserve"> </w:t>
            </w:r>
            <w:r>
              <w:rPr>
                <w:spacing w:val="-1"/>
                <w:sz w:val="21"/>
                <w:szCs w:val="21"/>
              </w:rPr>
              <w:t>预案并定期进行演练。应开展特征污</w:t>
            </w:r>
            <w:r>
              <w:rPr>
                <w:spacing w:val="12"/>
                <w:sz w:val="21"/>
                <w:szCs w:val="21"/>
              </w:rPr>
              <w:t xml:space="preserve"> </w:t>
            </w:r>
            <w:r>
              <w:rPr>
                <w:spacing w:val="-6"/>
                <w:sz w:val="21"/>
                <w:szCs w:val="21"/>
              </w:rPr>
              <w:t>染物监测工作，</w:t>
            </w:r>
            <w:r>
              <w:rPr>
                <w:spacing w:val="-13"/>
                <w:sz w:val="21"/>
                <w:szCs w:val="21"/>
              </w:rPr>
              <w:t xml:space="preserve"> </w:t>
            </w:r>
            <w:r>
              <w:rPr>
                <w:spacing w:val="-6"/>
                <w:sz w:val="21"/>
                <w:szCs w:val="21"/>
              </w:rPr>
              <w:t>采取环境风险防范和</w:t>
            </w:r>
            <w:r>
              <w:rPr>
                <w:sz w:val="21"/>
                <w:szCs w:val="21"/>
              </w:rPr>
              <w:t xml:space="preserve"> </w:t>
            </w:r>
            <w:r>
              <w:rPr>
                <w:spacing w:val="-7"/>
                <w:sz w:val="21"/>
                <w:szCs w:val="21"/>
              </w:rPr>
              <w:t>应急措施， 防止发生由突发性油气泄</w:t>
            </w:r>
          </w:p>
          <w:p>
            <w:pPr>
              <w:pStyle w:val="6"/>
              <w:spacing w:before="19" w:line="205" w:lineRule="auto"/>
              <w:ind w:left="859"/>
              <w:rPr>
                <w:sz w:val="21"/>
                <w:szCs w:val="21"/>
              </w:rPr>
            </w:pPr>
            <w:r>
              <w:rPr>
                <w:spacing w:val="-3"/>
                <w:sz w:val="21"/>
                <w:szCs w:val="21"/>
              </w:rPr>
              <w:t>漏产生的环境事故。</w:t>
            </w:r>
          </w:p>
        </w:tc>
        <w:tc>
          <w:tcPr>
            <w:tcW w:w="3580" w:type="dxa"/>
            <w:vAlign w:val="top"/>
          </w:tcPr>
          <w:p>
            <w:pPr>
              <w:pStyle w:val="6"/>
              <w:spacing w:before="308" w:line="219" w:lineRule="auto"/>
              <w:ind w:left="112"/>
              <w:rPr>
                <w:sz w:val="21"/>
                <w:szCs w:val="21"/>
              </w:rPr>
            </w:pPr>
            <w:r>
              <w:rPr>
                <w:spacing w:val="-7"/>
                <w:sz w:val="21"/>
                <w:szCs w:val="21"/>
              </w:rPr>
              <w:t>评价进行了环境风险专项评价， 提出</w:t>
            </w:r>
          </w:p>
          <w:p>
            <w:pPr>
              <w:pStyle w:val="6"/>
              <w:spacing w:before="22" w:line="221" w:lineRule="auto"/>
              <w:ind w:left="116"/>
              <w:rPr>
                <w:sz w:val="21"/>
                <w:szCs w:val="21"/>
              </w:rPr>
            </w:pPr>
            <w:r>
              <w:rPr>
                <w:spacing w:val="-1"/>
                <w:sz w:val="21"/>
                <w:szCs w:val="21"/>
              </w:rPr>
              <w:t>设置突发环境事件应急预案，并定期</w:t>
            </w:r>
          </w:p>
          <w:p>
            <w:pPr>
              <w:pStyle w:val="6"/>
              <w:spacing w:before="22" w:line="230" w:lineRule="auto"/>
              <w:ind w:left="534" w:right="104" w:hanging="421"/>
              <w:rPr>
                <w:sz w:val="21"/>
                <w:szCs w:val="21"/>
              </w:rPr>
            </w:pPr>
            <w:r>
              <w:rPr>
                <w:spacing w:val="-1"/>
                <w:sz w:val="21"/>
                <w:szCs w:val="21"/>
              </w:rPr>
              <w:t>举行演练。在井场周边设置有事故监</w:t>
            </w:r>
            <w:r>
              <w:rPr>
                <w:spacing w:val="12"/>
                <w:sz w:val="21"/>
                <w:szCs w:val="21"/>
              </w:rPr>
              <w:t xml:space="preserve"> </w:t>
            </w:r>
            <w:r>
              <w:rPr>
                <w:spacing w:val="-9"/>
                <w:sz w:val="21"/>
                <w:szCs w:val="21"/>
              </w:rPr>
              <w:t>测点， 实时监测危险因子。</w:t>
            </w:r>
          </w:p>
        </w:tc>
        <w:tc>
          <w:tcPr>
            <w:tcW w:w="688" w:type="dxa"/>
            <w:tcBorders>
              <w:right w:val="single" w:color="000000" w:sz="8" w:space="0"/>
            </w:tcBorders>
            <w:vAlign w:val="top"/>
          </w:tcPr>
          <w:p>
            <w:pPr>
              <w:spacing w:line="322" w:lineRule="auto"/>
              <w:rPr>
                <w:rFonts w:ascii="Arial"/>
                <w:sz w:val="21"/>
              </w:rPr>
            </w:pPr>
          </w:p>
          <w:p>
            <w:pPr>
              <w:spacing w:line="322" w:lineRule="auto"/>
              <w:rPr>
                <w:rFonts w:ascii="Arial"/>
                <w:sz w:val="21"/>
              </w:rPr>
            </w:pPr>
          </w:p>
          <w:p>
            <w:pPr>
              <w:pStyle w:val="6"/>
              <w:spacing w:before="68" w:line="221" w:lineRule="auto"/>
              <w:ind w:left="143"/>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68" w:type="dxa"/>
            <w:vMerge w:val="continue"/>
            <w:tcBorders>
              <w:top w:val="nil"/>
            </w:tcBorders>
            <w:vAlign w:val="top"/>
          </w:tcPr>
          <w:p>
            <w:pPr>
              <w:rPr>
                <w:rFonts w:ascii="Arial"/>
                <w:sz w:val="21"/>
              </w:rPr>
            </w:pPr>
          </w:p>
        </w:tc>
        <w:tc>
          <w:tcPr>
            <w:tcW w:w="8629" w:type="dxa"/>
            <w:gridSpan w:val="5"/>
            <w:vAlign w:val="top"/>
          </w:tcPr>
          <w:p>
            <w:pPr>
              <w:pStyle w:val="6"/>
              <w:spacing w:before="183" w:line="480" w:lineRule="exact"/>
              <w:ind w:right="15"/>
              <w:jc w:val="right"/>
              <w:rPr>
                <w:sz w:val="24"/>
                <w:szCs w:val="24"/>
              </w:rPr>
            </w:pPr>
            <w:r>
              <w:rPr>
                <w:spacing w:val="-1"/>
                <w:position w:val="18"/>
                <w:sz w:val="24"/>
                <w:szCs w:val="24"/>
              </w:rPr>
              <w:t>通过将本项目内容与《石油天然气开采业污染防治技术政策》中清洁生产、生</w:t>
            </w:r>
          </w:p>
          <w:p>
            <w:pPr>
              <w:pStyle w:val="6"/>
              <w:spacing w:before="1" w:line="218" w:lineRule="auto"/>
              <w:rPr>
                <w:sz w:val="24"/>
                <w:szCs w:val="24"/>
              </w:rPr>
            </w:pPr>
            <w:r>
              <w:rPr>
                <w:spacing w:val="-6"/>
                <w:sz w:val="24"/>
                <w:szCs w:val="24"/>
              </w:rPr>
              <w:t>态保护、污染治理、运行风险和环境管理内容进行对比分析，</w:t>
            </w:r>
            <w:r>
              <w:rPr>
                <w:spacing w:val="59"/>
                <w:sz w:val="24"/>
                <w:szCs w:val="24"/>
              </w:rPr>
              <w:t xml:space="preserve"> </w:t>
            </w:r>
            <w:r>
              <w:rPr>
                <w:spacing w:val="-6"/>
                <w:sz w:val="24"/>
                <w:szCs w:val="24"/>
              </w:rPr>
              <w:t>本项目建设符合《石</w:t>
            </w:r>
          </w:p>
        </w:tc>
      </w:tr>
    </w:tbl>
    <w:p>
      <w:pPr>
        <w:pStyle w:val="2"/>
        <w:rPr>
          <w:sz w:val="21"/>
        </w:rPr>
      </w:pPr>
    </w:p>
    <w:p>
      <w:pPr>
        <w:rPr>
          <w:sz w:val="21"/>
          <w:szCs w:val="21"/>
        </w:rPr>
        <w:sectPr>
          <w:footerReference r:id="rId21"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
        <w:gridCol w:w="8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7" w:hRule="atLeast"/>
        </w:trPr>
        <w:tc>
          <w:tcPr>
            <w:tcW w:w="448" w:type="dxa"/>
            <w:vAlign w:val="top"/>
          </w:tcPr>
          <w:p>
            <w:pPr>
              <w:rPr>
                <w:rFonts w:ascii="Arial"/>
                <w:sz w:val="21"/>
              </w:rPr>
            </w:pPr>
          </w:p>
        </w:tc>
        <w:tc>
          <w:tcPr>
            <w:tcW w:w="8649" w:type="dxa"/>
            <w:vAlign w:val="top"/>
          </w:tcPr>
          <w:p>
            <w:pPr>
              <w:pStyle w:val="6"/>
              <w:spacing w:before="198" w:line="219" w:lineRule="auto"/>
              <w:ind w:left="23"/>
              <w:rPr>
                <w:sz w:val="24"/>
                <w:szCs w:val="24"/>
              </w:rPr>
            </w:pPr>
            <w:r>
              <w:rPr>
                <w:spacing w:val="-3"/>
                <w:sz w:val="24"/>
                <w:szCs w:val="24"/>
              </w:rPr>
              <w:t>油天然气开采业污染防治技术政策》要求。</w:t>
            </w:r>
          </w:p>
          <w:p>
            <w:pPr>
              <w:pStyle w:val="6"/>
              <w:spacing w:before="227" w:line="520" w:lineRule="exact"/>
              <w:ind w:left="26"/>
              <w:rPr>
                <w:sz w:val="24"/>
                <w:szCs w:val="24"/>
              </w:rPr>
            </w:pPr>
            <w:r>
              <w:rPr>
                <w:rFonts w:ascii="Times New Roman" w:hAnsi="Times New Roman" w:eastAsia="Times New Roman" w:cs="Times New Roman"/>
                <w:b/>
                <w:bCs/>
                <w:spacing w:val="-3"/>
                <w:position w:val="21"/>
                <w:sz w:val="24"/>
                <w:szCs w:val="24"/>
              </w:rPr>
              <w:t>1.4.3</w:t>
            </w:r>
            <w:r>
              <w:rPr>
                <w:rFonts w:ascii="Times New Roman" w:hAnsi="Times New Roman" w:eastAsia="Times New Roman" w:cs="Times New Roman"/>
                <w:b/>
                <w:bCs/>
                <w:spacing w:val="16"/>
                <w:position w:val="21"/>
                <w:sz w:val="24"/>
                <w:szCs w:val="24"/>
              </w:rPr>
              <w:t xml:space="preserve"> </w:t>
            </w:r>
            <w:r>
              <w:rPr>
                <w:spacing w:val="-3"/>
                <w:position w:val="21"/>
                <w:sz w:val="24"/>
                <w:szCs w:val="24"/>
                <w14:textOutline w14:w="4354" w14:cap="flat" w14:cmpd="sng">
                  <w14:solidFill>
                    <w14:srgbClr w14:val="000000"/>
                  </w14:solidFill>
                  <w14:prstDash w14:val="solid"/>
                  <w14:miter w14:val="10"/>
                </w14:textOutline>
              </w:rPr>
              <w:t>与《关于进一步加强石油天然气行业环境影响评价管理的通知》（环办环评函</w:t>
            </w:r>
          </w:p>
          <w:p>
            <w:pPr>
              <w:pStyle w:val="6"/>
              <w:spacing w:line="218" w:lineRule="auto"/>
              <w:ind w:left="35"/>
              <w:rPr>
                <w:sz w:val="24"/>
                <w:szCs w:val="24"/>
              </w:rPr>
            </w:pPr>
            <w:r>
              <w:rPr>
                <w:rFonts w:ascii="Times New Roman" w:hAnsi="Times New Roman" w:eastAsia="Times New Roman" w:cs="Times New Roman"/>
                <w:b/>
                <w:bCs/>
                <w:spacing w:val="-2"/>
                <w:sz w:val="24"/>
                <w:szCs w:val="24"/>
              </w:rPr>
              <w:t xml:space="preserve">[2019]910 </w:t>
            </w:r>
            <w:r>
              <w:rPr>
                <w:spacing w:val="-2"/>
                <w:sz w:val="24"/>
                <w:szCs w:val="24"/>
                <w14:textOutline w14:w="4354" w14:cap="flat" w14:cmpd="sng">
                  <w14:solidFill>
                    <w14:srgbClr w14:val="000000"/>
                  </w14:solidFill>
                  <w14:prstDash w14:val="solid"/>
                  <w14:miter w14:val="10"/>
                </w14:textOutline>
              </w:rPr>
              <w:t>号）符合性</w:t>
            </w:r>
          </w:p>
          <w:p>
            <w:pPr>
              <w:pStyle w:val="6"/>
              <w:spacing w:before="203" w:line="220" w:lineRule="auto"/>
              <w:ind w:left="508"/>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）环评形式符合性</w:t>
            </w:r>
          </w:p>
          <w:p>
            <w:pPr>
              <w:pStyle w:val="6"/>
              <w:spacing w:before="197" w:line="369" w:lineRule="auto"/>
              <w:ind w:left="20" w:right="13" w:firstLine="478"/>
              <w:rPr>
                <w:sz w:val="24"/>
                <w:szCs w:val="24"/>
              </w:rPr>
            </w:pPr>
            <w:r>
              <w:rPr>
                <w:spacing w:val="-1"/>
                <w:sz w:val="24"/>
                <w:szCs w:val="24"/>
              </w:rPr>
              <w:t>根据《关于进一步加强石油天然气行业环境影响评价管理的</w:t>
            </w:r>
            <w:r>
              <w:rPr>
                <w:spacing w:val="-2"/>
                <w:sz w:val="24"/>
                <w:szCs w:val="24"/>
              </w:rPr>
              <w:t>通知》（环办环评</w:t>
            </w:r>
            <w:r>
              <w:rPr>
                <w:sz w:val="24"/>
                <w:szCs w:val="24"/>
              </w:rPr>
              <w:t xml:space="preserve"> 函</w:t>
            </w:r>
            <w:r>
              <w:rPr>
                <w:rFonts w:ascii="Times New Roman" w:hAnsi="Times New Roman" w:eastAsia="Times New Roman" w:cs="Times New Roman"/>
                <w:sz w:val="24"/>
                <w:szCs w:val="24"/>
              </w:rPr>
              <w:t xml:space="preserve">[2019]910  </w:t>
            </w:r>
            <w:r>
              <w:rPr>
                <w:sz w:val="24"/>
                <w:szCs w:val="24"/>
              </w:rPr>
              <w:t>号</w:t>
            </w:r>
            <w:r>
              <w:rPr>
                <w:spacing w:val="2"/>
                <w:sz w:val="24"/>
                <w:szCs w:val="24"/>
              </w:rPr>
              <w:t>），</w:t>
            </w:r>
            <w:r>
              <w:rPr>
                <w:spacing w:val="-79"/>
                <w:sz w:val="24"/>
                <w:szCs w:val="24"/>
              </w:rPr>
              <w:t xml:space="preserve"> </w:t>
            </w:r>
            <w:r>
              <w:rPr>
                <w:sz w:val="24"/>
                <w:szCs w:val="24"/>
              </w:rPr>
              <w:t>“（四）油气开采项目（含新开发和滚动开发项目）原则</w:t>
            </w:r>
            <w:r>
              <w:rPr>
                <w:spacing w:val="-1"/>
                <w:sz w:val="24"/>
                <w:szCs w:val="24"/>
              </w:rPr>
              <w:t>上应</w:t>
            </w:r>
            <w:r>
              <w:rPr>
                <w:sz w:val="24"/>
                <w:szCs w:val="24"/>
              </w:rPr>
              <w:t xml:space="preserve"> </w:t>
            </w:r>
            <w:r>
              <w:rPr>
                <w:spacing w:val="-5"/>
                <w:sz w:val="24"/>
                <w:szCs w:val="24"/>
              </w:rPr>
              <w:t>当以区块为单位开展环评（以下简称区块环评</w:t>
            </w:r>
            <w:r>
              <w:rPr>
                <w:spacing w:val="-12"/>
                <w:sz w:val="24"/>
                <w:szCs w:val="24"/>
              </w:rPr>
              <w:t>）</w:t>
            </w:r>
            <w:r>
              <w:rPr>
                <w:spacing w:val="41"/>
                <w:sz w:val="24"/>
                <w:szCs w:val="24"/>
              </w:rPr>
              <w:t xml:space="preserve"> </w:t>
            </w:r>
            <w:r>
              <w:rPr>
                <w:spacing w:val="-12"/>
                <w:sz w:val="24"/>
                <w:szCs w:val="24"/>
              </w:rPr>
              <w:t>，</w:t>
            </w:r>
            <w:r>
              <w:rPr>
                <w:spacing w:val="-5"/>
                <w:sz w:val="24"/>
                <w:szCs w:val="24"/>
              </w:rPr>
              <w:t>一般包括区块内拟建的新井、加</w:t>
            </w:r>
            <w:r>
              <w:rPr>
                <w:sz w:val="24"/>
                <w:szCs w:val="24"/>
              </w:rPr>
              <w:t xml:space="preserve"> </w:t>
            </w:r>
            <w:r>
              <w:rPr>
                <w:spacing w:val="-1"/>
                <w:sz w:val="24"/>
                <w:szCs w:val="24"/>
              </w:rPr>
              <w:t>密井、调整井、站场、设备、管道和电缆及其更换工程、</w:t>
            </w:r>
            <w:r>
              <w:rPr>
                <w:spacing w:val="-2"/>
                <w:sz w:val="24"/>
                <w:szCs w:val="24"/>
              </w:rPr>
              <w:t>弃置工程及配套工程等。</w:t>
            </w:r>
            <w:r>
              <w:rPr>
                <w:sz w:val="24"/>
                <w:szCs w:val="24"/>
              </w:rPr>
              <w:t xml:space="preserve"> </w:t>
            </w:r>
            <w:r>
              <w:rPr>
                <w:spacing w:val="-8"/>
                <w:sz w:val="24"/>
                <w:szCs w:val="24"/>
              </w:rPr>
              <w:t>（五）</w:t>
            </w:r>
            <w:r>
              <w:rPr>
                <w:spacing w:val="-32"/>
                <w:sz w:val="24"/>
                <w:szCs w:val="24"/>
              </w:rPr>
              <w:t xml:space="preserve"> </w:t>
            </w:r>
            <w:r>
              <w:rPr>
                <w:spacing w:val="-8"/>
                <w:sz w:val="24"/>
                <w:szCs w:val="24"/>
              </w:rPr>
              <w:t>未确定产能建设规模的陆地油气开采新区块，</w:t>
            </w:r>
            <w:r>
              <w:rPr>
                <w:spacing w:val="54"/>
                <w:sz w:val="24"/>
                <w:szCs w:val="24"/>
              </w:rPr>
              <w:t xml:space="preserve"> </w:t>
            </w:r>
            <w:r>
              <w:rPr>
                <w:spacing w:val="-8"/>
                <w:sz w:val="24"/>
                <w:szCs w:val="24"/>
              </w:rPr>
              <w:t>建设探</w:t>
            </w:r>
            <w:r>
              <w:rPr>
                <w:spacing w:val="-9"/>
                <w:sz w:val="24"/>
                <w:szCs w:val="24"/>
              </w:rPr>
              <w:t>井应当依法编制环境影</w:t>
            </w:r>
            <w:r>
              <w:rPr>
                <w:sz w:val="24"/>
                <w:szCs w:val="24"/>
              </w:rPr>
              <w:t xml:space="preserve"> </w:t>
            </w:r>
            <w:r>
              <w:rPr>
                <w:spacing w:val="-4"/>
                <w:sz w:val="24"/>
                <w:szCs w:val="24"/>
              </w:rPr>
              <w:t>响报告表。勘探井转为生产井的，可以纳入区块环评。自</w:t>
            </w:r>
            <w:r>
              <w:rPr>
                <w:spacing w:val="-38"/>
                <w:sz w:val="24"/>
                <w:szCs w:val="24"/>
              </w:rPr>
              <w:t xml:space="preserve"> </w:t>
            </w:r>
            <w:r>
              <w:rPr>
                <w:rFonts w:ascii="Times New Roman" w:hAnsi="Times New Roman" w:eastAsia="Times New Roman" w:cs="Times New Roman"/>
                <w:spacing w:val="-4"/>
                <w:sz w:val="24"/>
                <w:szCs w:val="24"/>
              </w:rPr>
              <w:t>2021</w:t>
            </w:r>
            <w:r>
              <w:rPr>
                <w:rFonts w:ascii="Times New Roman" w:hAnsi="Times New Roman" w:eastAsia="Times New Roman" w:cs="Times New Roman"/>
                <w:spacing w:val="28"/>
                <w:sz w:val="24"/>
                <w:szCs w:val="24"/>
              </w:rPr>
              <w:t xml:space="preserve"> </w:t>
            </w:r>
            <w:r>
              <w:rPr>
                <w:spacing w:val="-4"/>
                <w:sz w:val="24"/>
                <w:szCs w:val="24"/>
              </w:rPr>
              <w:t xml:space="preserve">年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9"/>
                <w:sz w:val="24"/>
                <w:szCs w:val="24"/>
              </w:rPr>
              <w:t xml:space="preserve"> </w:t>
            </w:r>
            <w:r>
              <w:rPr>
                <w:spacing w:val="-4"/>
                <w:sz w:val="24"/>
                <w:szCs w:val="24"/>
              </w:rPr>
              <w:t xml:space="preserve">月 </w:t>
            </w:r>
            <w:r>
              <w:rPr>
                <w:rFonts w:ascii="Times New Roman" w:hAnsi="Times New Roman" w:eastAsia="Times New Roman" w:cs="Times New Roman"/>
                <w:spacing w:val="-5"/>
                <w:sz w:val="24"/>
                <w:szCs w:val="24"/>
              </w:rPr>
              <w:t xml:space="preserve">1  </w:t>
            </w:r>
            <w:r>
              <w:rPr>
                <w:spacing w:val="-5"/>
                <w:sz w:val="24"/>
                <w:szCs w:val="24"/>
              </w:rPr>
              <w:t>日起，原</w:t>
            </w:r>
            <w:r>
              <w:rPr>
                <w:sz w:val="24"/>
                <w:szCs w:val="24"/>
              </w:rPr>
              <w:t xml:space="preserve"> </w:t>
            </w:r>
            <w:r>
              <w:rPr>
                <w:spacing w:val="-11"/>
                <w:sz w:val="24"/>
                <w:szCs w:val="24"/>
              </w:rPr>
              <w:t>则上不以单井形式开展环评。过渡期间，</w:t>
            </w:r>
            <w:r>
              <w:rPr>
                <w:spacing w:val="69"/>
                <w:sz w:val="24"/>
                <w:szCs w:val="24"/>
              </w:rPr>
              <w:t xml:space="preserve"> </w:t>
            </w:r>
            <w:r>
              <w:rPr>
                <w:spacing w:val="-11"/>
                <w:sz w:val="24"/>
                <w:szCs w:val="24"/>
              </w:rPr>
              <w:t>项目建设单位可以根据实际情况，</w:t>
            </w:r>
            <w:r>
              <w:rPr>
                <w:spacing w:val="54"/>
                <w:sz w:val="24"/>
                <w:szCs w:val="24"/>
              </w:rPr>
              <w:t xml:space="preserve"> </w:t>
            </w:r>
            <w:r>
              <w:rPr>
                <w:spacing w:val="-11"/>
                <w:sz w:val="24"/>
                <w:szCs w:val="24"/>
              </w:rPr>
              <w:t>报批区</w:t>
            </w:r>
          </w:p>
          <w:p>
            <w:pPr>
              <w:pStyle w:val="6"/>
              <w:spacing w:line="220" w:lineRule="auto"/>
              <w:ind w:left="19"/>
              <w:rPr>
                <w:sz w:val="24"/>
                <w:szCs w:val="24"/>
              </w:rPr>
            </w:pPr>
            <w:r>
              <w:rPr>
                <w:spacing w:val="11"/>
                <w:sz w:val="24"/>
                <w:szCs w:val="24"/>
              </w:rPr>
              <w:t>块环评或单井环评。”</w:t>
            </w:r>
          </w:p>
          <w:p>
            <w:pPr>
              <w:pStyle w:val="6"/>
              <w:spacing w:before="195" w:line="369" w:lineRule="auto"/>
              <w:ind w:left="19" w:right="14" w:firstLine="479"/>
              <w:rPr>
                <w:sz w:val="24"/>
                <w:szCs w:val="24"/>
              </w:rPr>
            </w:pPr>
            <w:r>
              <w:rPr>
                <w:spacing w:val="-11"/>
                <w:sz w:val="24"/>
                <w:szCs w:val="24"/>
              </w:rPr>
              <w:t>根据生态环境部对《通知》的问答中明确：</w:t>
            </w:r>
            <w:r>
              <w:rPr>
                <w:spacing w:val="58"/>
                <w:sz w:val="24"/>
                <w:szCs w:val="24"/>
              </w:rPr>
              <w:t xml:space="preserve"> </w:t>
            </w:r>
            <w:r>
              <w:rPr>
                <w:spacing w:val="-11"/>
                <w:sz w:val="24"/>
                <w:szCs w:val="24"/>
              </w:rPr>
              <w:t>对尚</w:t>
            </w:r>
            <w:r>
              <w:rPr>
                <w:spacing w:val="-12"/>
                <w:sz w:val="24"/>
                <w:szCs w:val="24"/>
              </w:rPr>
              <w:t>未确定产能建设规模的，</w:t>
            </w:r>
            <w:r>
              <w:rPr>
                <w:spacing w:val="58"/>
                <w:sz w:val="24"/>
                <w:szCs w:val="24"/>
              </w:rPr>
              <w:t xml:space="preserve"> </w:t>
            </w:r>
            <w:r>
              <w:rPr>
                <w:spacing w:val="-12"/>
                <w:sz w:val="24"/>
                <w:szCs w:val="24"/>
              </w:rPr>
              <w:t>勘探</w:t>
            </w:r>
            <w:r>
              <w:rPr>
                <w:sz w:val="24"/>
                <w:szCs w:val="24"/>
              </w:rPr>
              <w:t xml:space="preserve"> </w:t>
            </w:r>
            <w:r>
              <w:rPr>
                <w:spacing w:val="-6"/>
                <w:sz w:val="24"/>
                <w:szCs w:val="24"/>
              </w:rPr>
              <w:t>井或勘探工程仍按照既定要求开展环评。确定产能建设规模后，</w:t>
            </w:r>
            <w:r>
              <w:rPr>
                <w:spacing w:val="63"/>
                <w:sz w:val="24"/>
                <w:szCs w:val="24"/>
              </w:rPr>
              <w:t xml:space="preserve"> </w:t>
            </w:r>
            <w:r>
              <w:rPr>
                <w:spacing w:val="-6"/>
                <w:sz w:val="24"/>
                <w:szCs w:val="24"/>
              </w:rPr>
              <w:t>原则上不得以勘探</w:t>
            </w:r>
          </w:p>
          <w:p>
            <w:pPr>
              <w:pStyle w:val="6"/>
              <w:spacing w:line="220" w:lineRule="auto"/>
              <w:ind w:left="22"/>
              <w:rPr>
                <w:sz w:val="24"/>
                <w:szCs w:val="24"/>
              </w:rPr>
            </w:pPr>
            <w:r>
              <w:rPr>
                <w:spacing w:val="-3"/>
                <w:sz w:val="24"/>
                <w:szCs w:val="24"/>
              </w:rPr>
              <w:t>名义继续开展单井环评，避免单井的重复环评。</w:t>
            </w:r>
          </w:p>
          <w:p>
            <w:pPr>
              <w:pStyle w:val="6"/>
              <w:spacing w:before="195" w:line="369" w:lineRule="auto"/>
              <w:ind w:left="19" w:firstLine="478"/>
              <w:rPr>
                <w:sz w:val="24"/>
                <w:szCs w:val="24"/>
              </w:rPr>
            </w:pPr>
            <w:r>
              <w:rPr>
                <w:spacing w:val="-5"/>
                <w:sz w:val="24"/>
                <w:szCs w:val="24"/>
              </w:rPr>
              <w:t>本工程区域已取得《四川省四川盆地东北平昌</w:t>
            </w:r>
            <w:r>
              <w:rPr>
                <w:rFonts w:ascii="Times New Roman" w:hAnsi="Times New Roman" w:eastAsia="Times New Roman" w:cs="Times New Roman"/>
                <w:spacing w:val="-5"/>
                <w:sz w:val="24"/>
                <w:szCs w:val="24"/>
              </w:rPr>
              <w:t>-</w:t>
            </w:r>
            <w:r>
              <w:rPr>
                <w:spacing w:val="-5"/>
                <w:sz w:val="24"/>
                <w:szCs w:val="24"/>
              </w:rPr>
              <w:t>万源地区油气勘查》探矿许可证</w:t>
            </w:r>
            <w:r>
              <w:rPr>
                <w:spacing w:val="17"/>
                <w:sz w:val="24"/>
                <w:szCs w:val="24"/>
              </w:rPr>
              <w:t xml:space="preserve"> </w:t>
            </w:r>
            <w:r>
              <w:rPr>
                <w:sz w:val="24"/>
                <w:szCs w:val="24"/>
              </w:rPr>
              <w:t>（证号：</w:t>
            </w:r>
            <w:r>
              <w:rPr>
                <w:rFonts w:ascii="Times New Roman" w:hAnsi="Times New Roman" w:eastAsia="Times New Roman" w:cs="Times New Roman"/>
                <w:sz w:val="24"/>
                <w:szCs w:val="24"/>
              </w:rPr>
              <w:t>T1000002022111018001272</w:t>
            </w:r>
            <w:r>
              <w:rPr>
                <w:spacing w:val="9"/>
                <w:sz w:val="24"/>
                <w:szCs w:val="24"/>
              </w:rPr>
              <w:t>），</w:t>
            </w:r>
            <w:r>
              <w:rPr>
                <w:sz w:val="24"/>
                <w:szCs w:val="24"/>
              </w:rPr>
              <w:t>勘察地理位置：四川省达</w:t>
            </w:r>
            <w:r>
              <w:rPr>
                <w:spacing w:val="-1"/>
                <w:sz w:val="24"/>
                <w:szCs w:val="24"/>
              </w:rPr>
              <w:t>州市达川区、通</w:t>
            </w:r>
            <w:r>
              <w:rPr>
                <w:sz w:val="24"/>
                <w:szCs w:val="24"/>
              </w:rPr>
              <w:t xml:space="preserve"> </w:t>
            </w:r>
            <w:r>
              <w:rPr>
                <w:spacing w:val="-12"/>
                <w:sz w:val="24"/>
                <w:szCs w:val="24"/>
              </w:rPr>
              <w:t>川区、万源市、宣汉县，</w:t>
            </w:r>
            <w:r>
              <w:rPr>
                <w:spacing w:val="67"/>
                <w:sz w:val="24"/>
                <w:szCs w:val="24"/>
              </w:rPr>
              <w:t xml:space="preserve"> </w:t>
            </w:r>
            <w:r>
              <w:rPr>
                <w:spacing w:val="-12"/>
                <w:sz w:val="24"/>
                <w:szCs w:val="24"/>
              </w:rPr>
              <w:t>巴中市巴州区、平昌县、通江县。项目位于达州市通川区，</w:t>
            </w:r>
            <w:r>
              <w:rPr>
                <w:sz w:val="24"/>
                <w:szCs w:val="24"/>
              </w:rPr>
              <w:t xml:space="preserve"> </w:t>
            </w:r>
            <w:r>
              <w:rPr>
                <w:spacing w:val="-7"/>
                <w:sz w:val="24"/>
                <w:szCs w:val="24"/>
              </w:rPr>
              <w:t>位于未确定产能建设规模的陆地油气开采区块，</w:t>
            </w:r>
            <w:r>
              <w:rPr>
                <w:spacing w:val="51"/>
                <w:sz w:val="24"/>
                <w:szCs w:val="24"/>
              </w:rPr>
              <w:t xml:space="preserve"> </w:t>
            </w:r>
            <w:r>
              <w:rPr>
                <w:spacing w:val="-7"/>
                <w:sz w:val="24"/>
                <w:szCs w:val="24"/>
              </w:rPr>
              <w:t>故本工程不属于新区块开发和滚动</w:t>
            </w:r>
          </w:p>
          <w:p>
            <w:pPr>
              <w:pStyle w:val="6"/>
              <w:spacing w:before="1" w:line="219" w:lineRule="auto"/>
              <w:ind w:left="20"/>
              <w:rPr>
                <w:sz w:val="24"/>
                <w:szCs w:val="24"/>
              </w:rPr>
            </w:pPr>
            <w:r>
              <w:rPr>
                <w:spacing w:val="-5"/>
                <w:sz w:val="24"/>
                <w:szCs w:val="24"/>
              </w:rPr>
              <w:t>开发项目，属于新建勘探井项目。</w:t>
            </w:r>
          </w:p>
          <w:p>
            <w:pPr>
              <w:pStyle w:val="6"/>
              <w:spacing w:before="196" w:line="369" w:lineRule="auto"/>
              <w:ind w:left="18" w:right="15" w:firstLine="480"/>
              <w:rPr>
                <w:sz w:val="24"/>
                <w:szCs w:val="24"/>
              </w:rPr>
            </w:pPr>
            <w:r>
              <w:rPr>
                <w:spacing w:val="-6"/>
                <w:sz w:val="24"/>
                <w:szCs w:val="24"/>
              </w:rPr>
              <w:t>拟建项目在完成测井、录井、井下资料收集后，</w:t>
            </w:r>
            <w:r>
              <w:rPr>
                <w:spacing w:val="56"/>
                <w:sz w:val="24"/>
                <w:szCs w:val="24"/>
              </w:rPr>
              <w:t xml:space="preserve"> </w:t>
            </w:r>
            <w:r>
              <w:rPr>
                <w:spacing w:val="-6"/>
                <w:sz w:val="24"/>
                <w:szCs w:val="24"/>
              </w:rPr>
              <w:t>根据试气作业结果若</w:t>
            </w:r>
            <w:r>
              <w:rPr>
                <w:spacing w:val="-7"/>
                <w:sz w:val="24"/>
                <w:szCs w:val="24"/>
              </w:rPr>
              <w:t>有工业开</w:t>
            </w:r>
            <w:r>
              <w:rPr>
                <w:sz w:val="24"/>
                <w:szCs w:val="24"/>
              </w:rPr>
              <w:t xml:space="preserve"> </w:t>
            </w:r>
            <w:r>
              <w:rPr>
                <w:spacing w:val="-13"/>
                <w:sz w:val="24"/>
                <w:szCs w:val="24"/>
              </w:rPr>
              <w:t>采价值， 则进行开发设计（另行开展环评</w:t>
            </w:r>
            <w:r>
              <w:rPr>
                <w:spacing w:val="-22"/>
                <w:sz w:val="24"/>
                <w:szCs w:val="24"/>
              </w:rPr>
              <w:t>）</w:t>
            </w:r>
            <w:r>
              <w:rPr>
                <w:spacing w:val="42"/>
                <w:sz w:val="24"/>
                <w:szCs w:val="24"/>
              </w:rPr>
              <w:t xml:space="preserve"> </w:t>
            </w:r>
            <w:r>
              <w:rPr>
                <w:spacing w:val="-22"/>
                <w:sz w:val="24"/>
                <w:szCs w:val="24"/>
              </w:rPr>
              <w:t>；</w:t>
            </w:r>
            <w:r>
              <w:rPr>
                <w:spacing w:val="-13"/>
                <w:sz w:val="24"/>
                <w:szCs w:val="24"/>
              </w:rPr>
              <w:t>若该井无工业开采价值，</w:t>
            </w:r>
            <w:r>
              <w:rPr>
                <w:spacing w:val="63"/>
                <w:sz w:val="24"/>
                <w:szCs w:val="24"/>
              </w:rPr>
              <w:t xml:space="preserve"> </w:t>
            </w:r>
            <w:r>
              <w:rPr>
                <w:spacing w:val="-13"/>
                <w:sz w:val="24"/>
                <w:szCs w:val="24"/>
              </w:rPr>
              <w:t>则进行封井</w:t>
            </w:r>
            <w:r>
              <w:rPr>
                <w:sz w:val="24"/>
                <w:szCs w:val="24"/>
              </w:rPr>
              <w:t xml:space="preserve"> </w:t>
            </w:r>
            <w:r>
              <w:rPr>
                <w:spacing w:val="-9"/>
                <w:sz w:val="24"/>
                <w:szCs w:val="24"/>
              </w:rPr>
              <w:t>作业， 全井段注入水泥封井。故本工程不属于新区块开发和滚动开发项目，</w:t>
            </w:r>
            <w:r>
              <w:rPr>
                <w:spacing w:val="62"/>
                <w:sz w:val="24"/>
                <w:szCs w:val="24"/>
              </w:rPr>
              <w:t xml:space="preserve"> </w:t>
            </w:r>
            <w:r>
              <w:rPr>
                <w:spacing w:val="-9"/>
                <w:sz w:val="24"/>
                <w:szCs w:val="24"/>
              </w:rPr>
              <w:t>属于未</w:t>
            </w:r>
            <w:r>
              <w:rPr>
                <w:sz w:val="24"/>
                <w:szCs w:val="24"/>
              </w:rPr>
              <w:t xml:space="preserve"> </w:t>
            </w:r>
            <w:r>
              <w:rPr>
                <w:spacing w:val="-11"/>
                <w:sz w:val="24"/>
                <w:szCs w:val="24"/>
              </w:rPr>
              <w:t>确定产能建设规模的陆地油气开采新区块，</w:t>
            </w:r>
            <w:r>
              <w:rPr>
                <w:spacing w:val="68"/>
                <w:sz w:val="24"/>
                <w:szCs w:val="24"/>
              </w:rPr>
              <w:t xml:space="preserve"> </w:t>
            </w:r>
            <w:r>
              <w:rPr>
                <w:spacing w:val="-11"/>
                <w:sz w:val="24"/>
                <w:szCs w:val="24"/>
              </w:rPr>
              <w:t>建设勘探井项目。因此，</w:t>
            </w:r>
            <w:r>
              <w:rPr>
                <w:spacing w:val="57"/>
                <w:sz w:val="24"/>
                <w:szCs w:val="24"/>
              </w:rPr>
              <w:t xml:space="preserve"> </w:t>
            </w:r>
            <w:r>
              <w:rPr>
                <w:spacing w:val="-11"/>
                <w:sz w:val="24"/>
                <w:szCs w:val="24"/>
              </w:rPr>
              <w:t>本工程可以以</w:t>
            </w:r>
          </w:p>
          <w:p>
            <w:pPr>
              <w:pStyle w:val="6"/>
              <w:spacing w:before="1" w:line="220" w:lineRule="auto"/>
              <w:ind w:left="21"/>
              <w:rPr>
                <w:sz w:val="24"/>
                <w:szCs w:val="24"/>
              </w:rPr>
            </w:pPr>
            <w:r>
              <w:rPr>
                <w:spacing w:val="-5"/>
                <w:sz w:val="24"/>
                <w:szCs w:val="24"/>
              </w:rPr>
              <w:t>单井形式开展环评。</w:t>
            </w:r>
          </w:p>
          <w:p>
            <w:pPr>
              <w:pStyle w:val="6"/>
              <w:spacing w:before="193" w:line="220" w:lineRule="auto"/>
              <w:ind w:left="508"/>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）强化生态环境保护措施符合性</w:t>
            </w:r>
          </w:p>
          <w:p>
            <w:pPr>
              <w:pStyle w:val="6"/>
              <w:spacing w:before="194" w:line="220" w:lineRule="auto"/>
              <w:ind w:left="499"/>
              <w:rPr>
                <w:sz w:val="24"/>
                <w:szCs w:val="24"/>
              </w:rPr>
            </w:pPr>
            <w:r>
              <w:rPr>
                <w:spacing w:val="-3"/>
                <w:sz w:val="24"/>
                <w:szCs w:val="24"/>
              </w:rPr>
              <w:t>根据《通知》相关要求完善生态环境保护措施，具体如下：</w:t>
            </w:r>
          </w:p>
          <w:p>
            <w:pPr>
              <w:pStyle w:val="6"/>
              <w:spacing w:before="195" w:line="218" w:lineRule="auto"/>
              <w:ind w:left="1679"/>
              <w:rPr>
                <w:sz w:val="24"/>
                <w:szCs w:val="24"/>
              </w:rPr>
            </w:pPr>
            <w:r>
              <w:rPr>
                <w:spacing w:val="-3"/>
                <w:sz w:val="24"/>
                <w:szCs w:val="24"/>
                <w14:textOutline w14:w="4354" w14:cap="flat" w14:cmpd="sng">
                  <w14:solidFill>
                    <w14:srgbClr w14:val="000000"/>
                  </w14:solidFill>
                  <w14:prstDash w14:val="solid"/>
                  <w14:miter w14:val="10"/>
                </w14:textOutline>
              </w:rPr>
              <w:t>表</w:t>
            </w:r>
            <w:r>
              <w:rPr>
                <w:spacing w:val="-31"/>
                <w:sz w:val="24"/>
                <w:szCs w:val="24"/>
              </w:rPr>
              <w:t xml:space="preserve"> </w:t>
            </w:r>
            <w:r>
              <w:rPr>
                <w:rFonts w:ascii="Times New Roman" w:hAnsi="Times New Roman" w:eastAsia="Times New Roman" w:cs="Times New Roman"/>
                <w:b/>
                <w:bCs/>
                <w:spacing w:val="-3"/>
                <w:sz w:val="24"/>
                <w:szCs w:val="24"/>
              </w:rPr>
              <w:t>1.4-2</w:t>
            </w:r>
            <w:r>
              <w:rPr>
                <w:rFonts w:ascii="Times New Roman" w:hAnsi="Times New Roman" w:eastAsia="Times New Roman" w:cs="Times New Roman"/>
                <w:b/>
                <w:bCs/>
                <w:spacing w:val="14"/>
                <w:sz w:val="24"/>
                <w:szCs w:val="24"/>
              </w:rPr>
              <w:t xml:space="preserve"> </w:t>
            </w:r>
            <w:r>
              <w:rPr>
                <w:spacing w:val="-3"/>
                <w:sz w:val="24"/>
                <w:szCs w:val="24"/>
                <w14:textOutline w14:w="4354" w14:cap="flat" w14:cmpd="sng">
                  <w14:solidFill>
                    <w14:srgbClr w14:val="000000"/>
                  </w14:solidFill>
                  <w14:prstDash w14:val="solid"/>
                  <w14:miter w14:val="10"/>
                </w14:textOutline>
              </w:rPr>
              <w:t>与“环办环评函</w:t>
            </w:r>
            <w:r>
              <w:rPr>
                <w:rFonts w:ascii="Times New Roman" w:hAnsi="Times New Roman" w:eastAsia="Times New Roman" w:cs="Times New Roman"/>
                <w:b/>
                <w:bCs/>
                <w:spacing w:val="-3"/>
                <w:sz w:val="24"/>
                <w:szCs w:val="24"/>
              </w:rPr>
              <w:t>[2019]910</w:t>
            </w:r>
            <w:r>
              <w:rPr>
                <w:rFonts w:ascii="Times New Roman" w:hAnsi="Times New Roman" w:eastAsia="Times New Roman" w:cs="Times New Roman"/>
                <w:b/>
                <w:bCs/>
                <w:spacing w:val="15"/>
                <w:sz w:val="24"/>
                <w:szCs w:val="24"/>
              </w:rPr>
              <w:t xml:space="preserve"> </w:t>
            </w:r>
            <w:r>
              <w:rPr>
                <w:spacing w:val="-3"/>
                <w:sz w:val="24"/>
                <w:szCs w:val="24"/>
                <w14:textOutline w14:w="4354" w14:cap="flat" w14:cmpd="sng">
                  <w14:solidFill>
                    <w14:srgbClr w14:val="000000"/>
                  </w14:solidFill>
                  <w14:prstDash w14:val="solid"/>
                  <w14:miter w14:val="10"/>
                </w14:textOutline>
              </w:rPr>
              <w:t>号</w:t>
            </w:r>
            <w:r>
              <w:rPr>
                <w:spacing w:val="-86"/>
                <w:sz w:val="24"/>
                <w:szCs w:val="24"/>
              </w:rPr>
              <w:t xml:space="preserve"> </w:t>
            </w:r>
            <w:r>
              <w:rPr>
                <w:spacing w:val="-3"/>
                <w:sz w:val="24"/>
                <w:szCs w:val="24"/>
                <w14:textOutline w14:w="4354" w14:cap="flat" w14:cmpd="sng">
                  <w14:solidFill>
                    <w14:srgbClr w14:val="000000"/>
                  </w14:solidFill>
                  <w14:prstDash w14:val="solid"/>
                  <w14:miter w14:val="10"/>
                </w14:textOutline>
              </w:rPr>
              <w:t>”符合性分析</w:t>
            </w:r>
          </w:p>
        </w:tc>
      </w:tr>
    </w:tbl>
    <w:p>
      <w:pPr>
        <w:pStyle w:val="2"/>
        <w:rPr>
          <w:sz w:val="21"/>
        </w:rPr>
      </w:pPr>
    </w:p>
    <w:p>
      <w:pPr>
        <w:rPr>
          <w:sz w:val="21"/>
          <w:szCs w:val="21"/>
        </w:rPr>
        <w:sectPr>
          <w:footerReference r:id="rId22"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427"/>
        <w:gridCol w:w="4793"/>
        <w:gridCol w:w="2651"/>
        <w:gridCol w:w="732"/>
        <w:gridCol w:w="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68" w:type="dxa"/>
            <w:vMerge w:val="restart"/>
            <w:tcBorders>
              <w:bottom w:val="nil"/>
            </w:tcBorders>
            <w:vAlign w:val="top"/>
          </w:tcPr>
          <w:p>
            <w:pPr>
              <w:rPr>
                <w:rFonts w:ascii="Arial"/>
                <w:sz w:val="21"/>
              </w:rPr>
            </w:pPr>
          </w:p>
        </w:tc>
        <w:tc>
          <w:tcPr>
            <w:tcW w:w="427" w:type="dxa"/>
            <w:textDirection w:val="tbRlV"/>
            <w:vAlign w:val="top"/>
          </w:tcPr>
          <w:p>
            <w:pPr>
              <w:pStyle w:val="6"/>
              <w:spacing w:before="107" w:line="211" w:lineRule="auto"/>
              <w:ind w:left="60"/>
              <w:rPr>
                <w:sz w:val="21"/>
                <w:szCs w:val="21"/>
              </w:rPr>
            </w:pPr>
            <w:r>
              <w:rPr>
                <w:spacing w:val="31"/>
                <w:sz w:val="21"/>
                <w:szCs w:val="21"/>
              </w:rPr>
              <w:t>序号</w:t>
            </w:r>
          </w:p>
        </w:tc>
        <w:tc>
          <w:tcPr>
            <w:tcW w:w="4793" w:type="dxa"/>
            <w:vAlign w:val="top"/>
          </w:tcPr>
          <w:p>
            <w:pPr>
              <w:pStyle w:val="6"/>
              <w:spacing w:before="197" w:line="221" w:lineRule="auto"/>
              <w:ind w:left="1773"/>
              <w:rPr>
                <w:sz w:val="21"/>
                <w:szCs w:val="21"/>
              </w:rPr>
            </w:pPr>
            <w:r>
              <w:rPr>
                <w:spacing w:val="-1"/>
                <w:sz w:val="21"/>
                <w:szCs w:val="21"/>
              </w:rPr>
              <w:t>技术政策要求</w:t>
            </w:r>
          </w:p>
        </w:tc>
        <w:tc>
          <w:tcPr>
            <w:tcW w:w="2651" w:type="dxa"/>
            <w:vAlign w:val="top"/>
          </w:tcPr>
          <w:p>
            <w:pPr>
              <w:pStyle w:val="6"/>
              <w:spacing w:before="197" w:line="220" w:lineRule="auto"/>
              <w:ind w:left="806"/>
              <w:rPr>
                <w:sz w:val="21"/>
                <w:szCs w:val="21"/>
              </w:rPr>
            </w:pPr>
            <w:r>
              <w:rPr>
                <w:spacing w:val="-2"/>
                <w:sz w:val="21"/>
                <w:szCs w:val="21"/>
              </w:rPr>
              <w:t>本工程内容</w:t>
            </w:r>
          </w:p>
        </w:tc>
        <w:tc>
          <w:tcPr>
            <w:tcW w:w="732" w:type="dxa"/>
            <w:tcBorders>
              <w:right w:val="single" w:color="000000" w:sz="8" w:space="0"/>
            </w:tcBorders>
            <w:vAlign w:val="top"/>
          </w:tcPr>
          <w:p>
            <w:pPr>
              <w:pStyle w:val="6"/>
              <w:spacing w:before="61" w:line="224" w:lineRule="auto"/>
              <w:ind w:left="269" w:right="141" w:hanging="104"/>
              <w:rPr>
                <w:sz w:val="21"/>
                <w:szCs w:val="21"/>
              </w:rPr>
            </w:pPr>
            <w:r>
              <w:rPr>
                <w:spacing w:val="-4"/>
                <w:sz w:val="21"/>
                <w:szCs w:val="21"/>
              </w:rPr>
              <w:t>符合</w:t>
            </w:r>
            <w:r>
              <w:rPr>
                <w:sz w:val="21"/>
                <w:szCs w:val="21"/>
              </w:rPr>
              <w:t xml:space="preserve"> 性</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 w:type="dxa"/>
            <w:vMerge w:val="continue"/>
            <w:tcBorders>
              <w:top w:val="nil"/>
              <w:bottom w:val="nil"/>
            </w:tcBorders>
            <w:vAlign w:val="top"/>
          </w:tcPr>
          <w:p>
            <w:pPr>
              <w:rPr>
                <w:rFonts w:ascii="Arial"/>
                <w:sz w:val="21"/>
              </w:rPr>
            </w:pPr>
          </w:p>
        </w:tc>
        <w:tc>
          <w:tcPr>
            <w:tcW w:w="8603" w:type="dxa"/>
            <w:gridSpan w:val="4"/>
            <w:tcBorders>
              <w:right w:val="single" w:color="000000" w:sz="8" w:space="0"/>
            </w:tcBorders>
            <w:vAlign w:val="top"/>
          </w:tcPr>
          <w:p>
            <w:pPr>
              <w:pStyle w:val="6"/>
              <w:spacing w:before="62" w:line="221" w:lineRule="auto"/>
              <w:ind w:left="2941"/>
              <w:rPr>
                <w:sz w:val="21"/>
                <w:szCs w:val="21"/>
              </w:rPr>
            </w:pPr>
            <w:r>
              <w:rPr>
                <w:spacing w:val="-1"/>
                <w:sz w:val="21"/>
                <w:szCs w:val="21"/>
              </w:rPr>
              <w:t>深化项目环评“放管服”改革</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3" w:hRule="atLeast"/>
        </w:trPr>
        <w:tc>
          <w:tcPr>
            <w:tcW w:w="468" w:type="dxa"/>
            <w:vMerge w:val="continue"/>
            <w:tcBorders>
              <w:top w:val="nil"/>
              <w:bottom w:val="nil"/>
            </w:tcBorders>
            <w:vAlign w:val="top"/>
          </w:tcPr>
          <w:p>
            <w:pPr>
              <w:rPr>
                <w:rFonts w:ascii="Arial"/>
                <w:sz w:val="21"/>
              </w:rPr>
            </w:pPr>
          </w:p>
        </w:tc>
        <w:tc>
          <w:tcPr>
            <w:tcW w:w="42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793" w:type="dxa"/>
            <w:vAlign w:val="top"/>
          </w:tcPr>
          <w:p>
            <w:pPr>
              <w:pStyle w:val="6"/>
              <w:spacing w:before="34" w:line="238" w:lineRule="auto"/>
              <w:ind w:left="110" w:right="99" w:firstLine="4"/>
              <w:jc w:val="both"/>
              <w:rPr>
                <w:sz w:val="21"/>
                <w:szCs w:val="21"/>
              </w:rPr>
            </w:pPr>
            <w:r>
              <w:rPr>
                <w:spacing w:val="-3"/>
                <w:sz w:val="21"/>
                <w:szCs w:val="21"/>
              </w:rPr>
              <w:t>未确定产能建设规模的陆地油气开采新区块，建设</w:t>
            </w:r>
            <w:r>
              <w:rPr>
                <w:spacing w:val="18"/>
                <w:sz w:val="21"/>
                <w:szCs w:val="21"/>
              </w:rPr>
              <w:t xml:space="preserve"> </w:t>
            </w:r>
            <w:r>
              <w:rPr>
                <w:spacing w:val="-2"/>
                <w:sz w:val="21"/>
                <w:szCs w:val="21"/>
              </w:rPr>
              <w:t>勘探井应当依法编制环境影响报告表。海洋油气勘</w:t>
            </w:r>
            <w:r>
              <w:rPr>
                <w:sz w:val="21"/>
                <w:szCs w:val="21"/>
              </w:rPr>
              <w:t xml:space="preserve"> </w:t>
            </w:r>
            <w:r>
              <w:rPr>
                <w:spacing w:val="-2"/>
                <w:sz w:val="21"/>
                <w:szCs w:val="21"/>
              </w:rPr>
              <w:t>探工程应当填报环境影响登记表并进行备案。确定</w:t>
            </w:r>
            <w:r>
              <w:rPr>
                <w:sz w:val="21"/>
                <w:szCs w:val="21"/>
              </w:rPr>
              <w:t xml:space="preserve"> </w:t>
            </w:r>
            <w:r>
              <w:rPr>
                <w:spacing w:val="-2"/>
                <w:sz w:val="21"/>
                <w:szCs w:val="21"/>
              </w:rPr>
              <w:t>产能建设规模后，原则上不得以勘探名义继续开展</w:t>
            </w:r>
            <w:r>
              <w:rPr>
                <w:sz w:val="21"/>
                <w:szCs w:val="21"/>
              </w:rPr>
              <w:t xml:space="preserve"> </w:t>
            </w:r>
            <w:r>
              <w:rPr>
                <w:spacing w:val="-2"/>
                <w:sz w:val="21"/>
                <w:szCs w:val="21"/>
              </w:rPr>
              <w:t>单井环评。勘探井转为生产井的，可以纳入区</w:t>
            </w:r>
            <w:r>
              <w:rPr>
                <w:spacing w:val="-3"/>
                <w:sz w:val="21"/>
                <w:szCs w:val="21"/>
              </w:rPr>
              <w:t>块环</w:t>
            </w:r>
            <w:r>
              <w:rPr>
                <w:sz w:val="21"/>
                <w:szCs w:val="21"/>
              </w:rPr>
              <w:t xml:space="preserve"> </w:t>
            </w:r>
            <w:r>
              <w:rPr>
                <w:spacing w:val="-2"/>
                <w:sz w:val="21"/>
                <w:szCs w:val="21"/>
              </w:rPr>
              <w:t>评。油气开采项目（含新开发和滚动开发项目）原</w:t>
            </w:r>
            <w:r>
              <w:rPr>
                <w:sz w:val="21"/>
                <w:szCs w:val="21"/>
              </w:rPr>
              <w:t xml:space="preserve"> </w:t>
            </w:r>
            <w:r>
              <w:rPr>
                <w:spacing w:val="-2"/>
                <w:sz w:val="21"/>
                <w:szCs w:val="21"/>
              </w:rPr>
              <w:t>则上应当以区块为单位开展环评（以下简称区块环</w:t>
            </w:r>
            <w:r>
              <w:rPr>
                <w:sz w:val="21"/>
                <w:szCs w:val="21"/>
              </w:rPr>
              <w:t xml:space="preserve"> </w:t>
            </w:r>
            <w:r>
              <w:rPr>
                <w:spacing w:val="-5"/>
                <w:sz w:val="21"/>
                <w:szCs w:val="21"/>
              </w:rPr>
              <w:t>评</w:t>
            </w:r>
            <w:r>
              <w:rPr>
                <w:spacing w:val="-9"/>
                <w:sz w:val="21"/>
                <w:szCs w:val="21"/>
              </w:rPr>
              <w:t>）</w:t>
            </w:r>
            <w:r>
              <w:rPr>
                <w:spacing w:val="-33"/>
                <w:sz w:val="21"/>
                <w:szCs w:val="21"/>
              </w:rPr>
              <w:t xml:space="preserve"> </w:t>
            </w:r>
            <w:r>
              <w:rPr>
                <w:spacing w:val="-9"/>
                <w:sz w:val="21"/>
                <w:szCs w:val="21"/>
              </w:rPr>
              <w:t>，</w:t>
            </w:r>
            <w:r>
              <w:rPr>
                <w:spacing w:val="-5"/>
                <w:sz w:val="21"/>
                <w:szCs w:val="21"/>
              </w:rPr>
              <w:t>一般包括区块内拟建的新井、加密井、调整</w:t>
            </w:r>
            <w:r>
              <w:rPr>
                <w:sz w:val="21"/>
                <w:szCs w:val="21"/>
              </w:rPr>
              <w:t xml:space="preserve"> </w:t>
            </w:r>
            <w:r>
              <w:rPr>
                <w:spacing w:val="-2"/>
                <w:sz w:val="21"/>
                <w:szCs w:val="21"/>
              </w:rPr>
              <w:t>井、站场、设备、管道和电缆及其更换工程、弃置</w:t>
            </w:r>
            <w:r>
              <w:rPr>
                <w:sz w:val="21"/>
                <w:szCs w:val="21"/>
              </w:rPr>
              <w:t xml:space="preserve"> </w:t>
            </w:r>
            <w:r>
              <w:rPr>
                <w:spacing w:val="-2"/>
                <w:sz w:val="21"/>
                <w:szCs w:val="21"/>
              </w:rPr>
              <w:t>工程及配套工程等。项目环评应当深入评价项目建</w:t>
            </w:r>
            <w:r>
              <w:rPr>
                <w:sz w:val="21"/>
                <w:szCs w:val="21"/>
              </w:rPr>
              <w:t xml:space="preserve"> </w:t>
            </w:r>
            <w:r>
              <w:rPr>
                <w:spacing w:val="-2"/>
                <w:sz w:val="21"/>
                <w:szCs w:val="21"/>
              </w:rPr>
              <w:t>设、运营带来的环境影响和环境风险，提出有</w:t>
            </w:r>
            <w:r>
              <w:rPr>
                <w:spacing w:val="-3"/>
                <w:sz w:val="21"/>
                <w:szCs w:val="21"/>
              </w:rPr>
              <w:t>效的</w:t>
            </w:r>
            <w:r>
              <w:rPr>
                <w:sz w:val="21"/>
                <w:szCs w:val="21"/>
              </w:rPr>
              <w:t xml:space="preserve"> </w:t>
            </w:r>
            <w:r>
              <w:rPr>
                <w:spacing w:val="-2"/>
                <w:sz w:val="21"/>
                <w:szCs w:val="21"/>
              </w:rPr>
              <w:t>生态环境保护和环境风险防范措施。滚动开发区块</w:t>
            </w:r>
            <w:r>
              <w:rPr>
                <w:sz w:val="21"/>
                <w:szCs w:val="21"/>
              </w:rPr>
              <w:t xml:space="preserve"> </w:t>
            </w:r>
            <w:r>
              <w:rPr>
                <w:spacing w:val="3"/>
                <w:sz w:val="21"/>
                <w:szCs w:val="21"/>
              </w:rPr>
              <w:t xml:space="preserve">产能建设项目环评文件中还应对现有工程环境影 </w:t>
            </w:r>
            <w:r>
              <w:rPr>
                <w:spacing w:val="-2"/>
                <w:sz w:val="21"/>
                <w:szCs w:val="21"/>
              </w:rPr>
              <w:t>响进行回顾性评价，对存在的生态环境问题和环境</w:t>
            </w:r>
            <w:r>
              <w:rPr>
                <w:sz w:val="21"/>
                <w:szCs w:val="21"/>
              </w:rPr>
              <w:t xml:space="preserve"> </w:t>
            </w:r>
            <w:r>
              <w:rPr>
                <w:spacing w:val="-2"/>
                <w:sz w:val="21"/>
                <w:szCs w:val="21"/>
              </w:rPr>
              <w:t>风险隐患提出有效防治措施。依托其他防治设施的</w:t>
            </w:r>
            <w:r>
              <w:rPr>
                <w:sz w:val="21"/>
                <w:szCs w:val="21"/>
              </w:rPr>
              <w:t xml:space="preserve"> </w:t>
            </w:r>
            <w:r>
              <w:rPr>
                <w:spacing w:val="-2"/>
                <w:sz w:val="21"/>
                <w:szCs w:val="21"/>
              </w:rPr>
              <w:t>或者委托第三方处置的，应当论证其可行性和有效</w:t>
            </w:r>
          </w:p>
          <w:p>
            <w:pPr>
              <w:pStyle w:val="6"/>
              <w:spacing w:before="20" w:line="208" w:lineRule="auto"/>
              <w:ind w:left="2195"/>
              <w:rPr>
                <w:sz w:val="21"/>
                <w:szCs w:val="21"/>
              </w:rPr>
            </w:pPr>
            <w:r>
              <w:rPr>
                <w:spacing w:val="-10"/>
                <w:sz w:val="21"/>
                <w:szCs w:val="21"/>
              </w:rPr>
              <w:t>性。</w:t>
            </w:r>
          </w:p>
        </w:tc>
        <w:tc>
          <w:tcPr>
            <w:tcW w:w="2651" w:type="dxa"/>
            <w:vAlign w:val="top"/>
          </w:tcPr>
          <w:p>
            <w:pPr>
              <w:spacing w:line="251" w:lineRule="auto"/>
              <w:rPr>
                <w:rFonts w:ascii="Arial"/>
                <w:sz w:val="21"/>
              </w:rPr>
            </w:pPr>
          </w:p>
          <w:p>
            <w:pPr>
              <w:spacing w:line="251" w:lineRule="auto"/>
              <w:rPr>
                <w:rFonts w:ascii="Arial"/>
                <w:sz w:val="21"/>
              </w:rPr>
            </w:pPr>
          </w:p>
          <w:p>
            <w:pPr>
              <w:pStyle w:val="6"/>
              <w:spacing w:before="68" w:line="238" w:lineRule="auto"/>
              <w:ind w:left="112" w:right="100" w:firstLine="2"/>
              <w:jc w:val="both"/>
              <w:rPr>
                <w:sz w:val="21"/>
                <w:szCs w:val="21"/>
              </w:rPr>
            </w:pPr>
            <w:r>
              <w:rPr>
                <w:spacing w:val="-8"/>
                <w:sz w:val="21"/>
                <w:szCs w:val="21"/>
              </w:rPr>
              <w:t>本项目为勘探井。位于四川</w:t>
            </w:r>
            <w:r>
              <w:rPr>
                <w:spacing w:val="4"/>
                <w:sz w:val="21"/>
                <w:szCs w:val="21"/>
              </w:rPr>
              <w:t xml:space="preserve"> </w:t>
            </w:r>
            <w:r>
              <w:rPr>
                <w:spacing w:val="1"/>
                <w:sz w:val="21"/>
                <w:szCs w:val="21"/>
              </w:rPr>
              <w:t>省四川盆地东北平昌</w:t>
            </w:r>
            <w:r>
              <w:rPr>
                <w:rFonts w:ascii="Times New Roman" w:hAnsi="Times New Roman" w:eastAsia="Times New Roman" w:cs="Times New Roman"/>
                <w:spacing w:val="1"/>
                <w:sz w:val="21"/>
                <w:szCs w:val="21"/>
              </w:rPr>
              <w:t>-</w:t>
            </w:r>
            <w:r>
              <w:rPr>
                <w:spacing w:val="1"/>
                <w:sz w:val="21"/>
                <w:szCs w:val="21"/>
              </w:rPr>
              <w:t>万源</w:t>
            </w:r>
            <w:r>
              <w:rPr>
                <w:spacing w:val="10"/>
                <w:sz w:val="21"/>
                <w:szCs w:val="21"/>
              </w:rPr>
              <w:t xml:space="preserve"> </w:t>
            </w:r>
            <w:r>
              <w:rPr>
                <w:spacing w:val="-8"/>
                <w:sz w:val="21"/>
                <w:szCs w:val="21"/>
              </w:rPr>
              <w:t>地区油气勘查区域内，未确</w:t>
            </w:r>
            <w:r>
              <w:rPr>
                <w:spacing w:val="7"/>
                <w:sz w:val="21"/>
                <w:szCs w:val="21"/>
              </w:rPr>
              <w:t xml:space="preserve"> </w:t>
            </w:r>
            <w:r>
              <w:rPr>
                <w:spacing w:val="-8"/>
                <w:sz w:val="21"/>
                <w:szCs w:val="21"/>
              </w:rPr>
              <w:t>定产能建设规模，建设勘探</w:t>
            </w:r>
            <w:r>
              <w:rPr>
                <w:spacing w:val="7"/>
                <w:sz w:val="21"/>
                <w:szCs w:val="21"/>
              </w:rPr>
              <w:t xml:space="preserve"> </w:t>
            </w:r>
            <w:r>
              <w:rPr>
                <w:spacing w:val="5"/>
                <w:sz w:val="21"/>
                <w:szCs w:val="21"/>
              </w:rPr>
              <w:t>井应当依法编制环境影响</w:t>
            </w:r>
            <w:r>
              <w:rPr>
                <w:spacing w:val="3"/>
                <w:sz w:val="21"/>
                <w:szCs w:val="21"/>
              </w:rPr>
              <w:t xml:space="preserve"> </w:t>
            </w:r>
            <w:r>
              <w:rPr>
                <w:spacing w:val="-13"/>
                <w:sz w:val="21"/>
                <w:szCs w:val="21"/>
              </w:rPr>
              <w:t>报告表。通过工程分析，</w:t>
            </w:r>
            <w:r>
              <w:rPr>
                <w:spacing w:val="-39"/>
                <w:sz w:val="21"/>
                <w:szCs w:val="21"/>
              </w:rPr>
              <w:t xml:space="preserve"> </w:t>
            </w:r>
            <w:r>
              <w:rPr>
                <w:spacing w:val="-13"/>
                <w:sz w:val="21"/>
                <w:szCs w:val="21"/>
              </w:rPr>
              <w:t>本</w:t>
            </w:r>
            <w:r>
              <w:rPr>
                <w:sz w:val="21"/>
                <w:szCs w:val="21"/>
              </w:rPr>
              <w:t xml:space="preserve"> </w:t>
            </w:r>
            <w:r>
              <w:rPr>
                <w:spacing w:val="5"/>
                <w:sz w:val="21"/>
                <w:szCs w:val="21"/>
              </w:rPr>
              <w:t>次评价提出了有效的生态</w:t>
            </w:r>
            <w:r>
              <w:rPr>
                <w:spacing w:val="3"/>
                <w:sz w:val="21"/>
                <w:szCs w:val="21"/>
              </w:rPr>
              <w:t xml:space="preserve"> </w:t>
            </w:r>
            <w:r>
              <w:rPr>
                <w:spacing w:val="5"/>
                <w:sz w:val="21"/>
                <w:szCs w:val="21"/>
              </w:rPr>
              <w:t>环境保护和环境风险防范</w:t>
            </w:r>
            <w:r>
              <w:rPr>
                <w:spacing w:val="3"/>
                <w:sz w:val="21"/>
                <w:szCs w:val="21"/>
              </w:rPr>
              <w:t xml:space="preserve"> </w:t>
            </w:r>
            <w:r>
              <w:rPr>
                <w:spacing w:val="-8"/>
                <w:sz w:val="21"/>
                <w:szCs w:val="21"/>
              </w:rPr>
              <w:t>措施。充分论证了钻井废水</w:t>
            </w:r>
            <w:r>
              <w:rPr>
                <w:spacing w:val="7"/>
                <w:sz w:val="21"/>
                <w:szCs w:val="21"/>
              </w:rPr>
              <w:t xml:space="preserve"> </w:t>
            </w:r>
            <w:r>
              <w:rPr>
                <w:spacing w:val="-8"/>
                <w:sz w:val="21"/>
                <w:szCs w:val="21"/>
              </w:rPr>
              <w:t>及钻井岩屑、泥浆等依托第</w:t>
            </w:r>
            <w:r>
              <w:rPr>
                <w:spacing w:val="6"/>
                <w:sz w:val="21"/>
                <w:szCs w:val="21"/>
              </w:rPr>
              <w:t xml:space="preserve"> </w:t>
            </w:r>
            <w:r>
              <w:rPr>
                <w:spacing w:val="-8"/>
                <w:sz w:val="21"/>
                <w:szCs w:val="21"/>
              </w:rPr>
              <w:t>三方处置的可行性。提出有</w:t>
            </w:r>
            <w:r>
              <w:rPr>
                <w:spacing w:val="7"/>
                <w:sz w:val="21"/>
                <w:szCs w:val="21"/>
              </w:rPr>
              <w:t xml:space="preserve"> </w:t>
            </w:r>
            <w:r>
              <w:rPr>
                <w:spacing w:val="5"/>
                <w:sz w:val="21"/>
                <w:szCs w:val="21"/>
              </w:rPr>
              <w:t>效的生态环境保护和环境</w:t>
            </w:r>
          </w:p>
          <w:p>
            <w:pPr>
              <w:pStyle w:val="6"/>
              <w:spacing w:before="19" w:line="221" w:lineRule="auto"/>
              <w:ind w:left="597"/>
              <w:rPr>
                <w:sz w:val="21"/>
                <w:szCs w:val="21"/>
              </w:rPr>
            </w:pPr>
            <w:r>
              <w:rPr>
                <w:spacing w:val="-1"/>
                <w:sz w:val="21"/>
                <w:szCs w:val="21"/>
              </w:rPr>
              <w:t>风险防范措施。</w:t>
            </w:r>
          </w:p>
        </w:tc>
        <w:tc>
          <w:tcPr>
            <w:tcW w:w="732" w:type="dxa"/>
            <w:tcBorders>
              <w:right w:val="single" w:color="000000" w:sz="8" w:space="0"/>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21" w:lineRule="auto"/>
              <w:ind w:left="165"/>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 w:type="dxa"/>
            <w:vMerge w:val="continue"/>
            <w:tcBorders>
              <w:top w:val="nil"/>
              <w:bottom w:val="nil"/>
            </w:tcBorders>
            <w:vAlign w:val="top"/>
          </w:tcPr>
          <w:p>
            <w:pPr>
              <w:rPr>
                <w:rFonts w:ascii="Arial"/>
                <w:sz w:val="21"/>
              </w:rPr>
            </w:pPr>
          </w:p>
        </w:tc>
        <w:tc>
          <w:tcPr>
            <w:tcW w:w="8603" w:type="dxa"/>
            <w:gridSpan w:val="4"/>
            <w:tcBorders>
              <w:right w:val="single" w:color="000000" w:sz="8" w:space="0"/>
            </w:tcBorders>
            <w:vAlign w:val="top"/>
          </w:tcPr>
          <w:p>
            <w:pPr>
              <w:pStyle w:val="6"/>
              <w:spacing w:before="65" w:line="221" w:lineRule="auto"/>
              <w:ind w:left="3260"/>
              <w:rPr>
                <w:sz w:val="21"/>
                <w:szCs w:val="21"/>
              </w:rPr>
            </w:pPr>
            <w:r>
              <w:rPr>
                <w:spacing w:val="-1"/>
                <w:sz w:val="21"/>
                <w:szCs w:val="21"/>
              </w:rPr>
              <w:t>强化生态环境保护措施</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68" w:type="dxa"/>
            <w:vMerge w:val="continue"/>
            <w:tcBorders>
              <w:top w:val="nil"/>
              <w:bottom w:val="nil"/>
            </w:tcBorders>
            <w:vAlign w:val="top"/>
          </w:tcPr>
          <w:p>
            <w:pPr>
              <w:rPr>
                <w:rFonts w:ascii="Arial"/>
                <w:sz w:val="21"/>
              </w:rPr>
            </w:pPr>
          </w:p>
        </w:tc>
        <w:tc>
          <w:tcPr>
            <w:tcW w:w="427"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793" w:type="dxa"/>
            <w:vAlign w:val="top"/>
          </w:tcPr>
          <w:p>
            <w:pPr>
              <w:spacing w:line="320" w:lineRule="auto"/>
              <w:rPr>
                <w:rFonts w:ascii="Arial"/>
                <w:sz w:val="21"/>
              </w:rPr>
            </w:pPr>
          </w:p>
          <w:p>
            <w:pPr>
              <w:spacing w:line="321" w:lineRule="auto"/>
              <w:rPr>
                <w:rFonts w:ascii="Arial"/>
                <w:sz w:val="21"/>
              </w:rPr>
            </w:pPr>
          </w:p>
          <w:p>
            <w:pPr>
              <w:pStyle w:val="6"/>
              <w:spacing w:before="68" w:line="220" w:lineRule="auto"/>
              <w:ind w:left="113"/>
              <w:rPr>
                <w:sz w:val="21"/>
                <w:szCs w:val="21"/>
              </w:rPr>
            </w:pPr>
            <w:r>
              <w:rPr>
                <w:spacing w:val="-1"/>
                <w:sz w:val="21"/>
                <w:szCs w:val="21"/>
              </w:rPr>
              <w:t>涉及向地表水体排放污染物的陆地油气开采项目，</w:t>
            </w:r>
          </w:p>
          <w:p>
            <w:pPr>
              <w:pStyle w:val="6"/>
              <w:spacing w:before="20" w:line="231" w:lineRule="auto"/>
              <w:ind w:left="1249" w:right="100" w:hanging="1138"/>
              <w:rPr>
                <w:sz w:val="21"/>
                <w:szCs w:val="21"/>
              </w:rPr>
            </w:pPr>
            <w:r>
              <w:rPr>
                <w:spacing w:val="-2"/>
                <w:sz w:val="21"/>
                <w:szCs w:val="21"/>
              </w:rPr>
              <w:t>应当符合国家和地方污染物排放标准，满足重点污</w:t>
            </w:r>
            <w:r>
              <w:rPr>
                <w:sz w:val="21"/>
                <w:szCs w:val="21"/>
              </w:rPr>
              <w:t xml:space="preserve"> </w:t>
            </w:r>
            <w:r>
              <w:rPr>
                <w:spacing w:val="-3"/>
                <w:sz w:val="21"/>
                <w:szCs w:val="21"/>
              </w:rPr>
              <w:t>染物排放总量控制要求。</w:t>
            </w:r>
          </w:p>
        </w:tc>
        <w:tc>
          <w:tcPr>
            <w:tcW w:w="2651" w:type="dxa"/>
            <w:vAlign w:val="top"/>
          </w:tcPr>
          <w:p>
            <w:pPr>
              <w:pStyle w:val="6"/>
              <w:spacing w:before="30" w:line="237" w:lineRule="auto"/>
              <w:ind w:left="115" w:right="100" w:firstLine="61"/>
              <w:jc w:val="both"/>
              <w:rPr>
                <w:sz w:val="21"/>
                <w:szCs w:val="21"/>
              </w:rPr>
            </w:pPr>
            <w:r>
              <w:rPr>
                <w:spacing w:val="-1"/>
                <w:sz w:val="21"/>
                <w:szCs w:val="21"/>
              </w:rPr>
              <w:t>钻井过程中产生的废水经</w:t>
            </w:r>
            <w:r>
              <w:rPr>
                <w:spacing w:val="5"/>
                <w:sz w:val="21"/>
                <w:szCs w:val="21"/>
              </w:rPr>
              <w:t xml:space="preserve"> </w:t>
            </w:r>
            <w:r>
              <w:rPr>
                <w:spacing w:val="-8"/>
                <w:sz w:val="21"/>
                <w:szCs w:val="21"/>
              </w:rPr>
              <w:t>过处理后重复利用，不能利</w:t>
            </w:r>
            <w:r>
              <w:rPr>
                <w:spacing w:val="4"/>
                <w:sz w:val="21"/>
                <w:szCs w:val="21"/>
              </w:rPr>
              <w:t xml:space="preserve"> </w:t>
            </w:r>
            <w:r>
              <w:rPr>
                <w:spacing w:val="-8"/>
                <w:sz w:val="21"/>
                <w:szCs w:val="21"/>
              </w:rPr>
              <w:t>用的废水收集后，外运四川</w:t>
            </w:r>
            <w:r>
              <w:rPr>
                <w:spacing w:val="4"/>
                <w:sz w:val="21"/>
                <w:szCs w:val="21"/>
              </w:rPr>
              <w:t xml:space="preserve"> </w:t>
            </w:r>
            <w:r>
              <w:rPr>
                <w:spacing w:val="5"/>
                <w:sz w:val="21"/>
                <w:szCs w:val="21"/>
              </w:rPr>
              <w:t>瑞利生物科技有限公司污</w:t>
            </w:r>
            <w:r>
              <w:rPr>
                <w:spacing w:val="1"/>
                <w:sz w:val="21"/>
                <w:szCs w:val="21"/>
              </w:rPr>
              <w:t xml:space="preserve"> </w:t>
            </w:r>
            <w:r>
              <w:rPr>
                <w:spacing w:val="-8"/>
                <w:sz w:val="21"/>
                <w:szCs w:val="21"/>
              </w:rPr>
              <w:t>水处理厂处理。生活污水经</w:t>
            </w:r>
            <w:r>
              <w:rPr>
                <w:spacing w:val="4"/>
                <w:sz w:val="21"/>
                <w:szCs w:val="21"/>
              </w:rPr>
              <w:t xml:space="preserve"> </w:t>
            </w:r>
            <w:r>
              <w:rPr>
                <w:spacing w:val="5"/>
                <w:sz w:val="21"/>
                <w:szCs w:val="21"/>
              </w:rPr>
              <w:t>环保厕所处理后通过罐车</w:t>
            </w:r>
            <w:r>
              <w:rPr>
                <w:spacing w:val="1"/>
                <w:sz w:val="21"/>
                <w:szCs w:val="21"/>
              </w:rPr>
              <w:t xml:space="preserve"> </w:t>
            </w:r>
            <w:r>
              <w:rPr>
                <w:spacing w:val="5"/>
                <w:sz w:val="21"/>
                <w:szCs w:val="21"/>
              </w:rPr>
              <w:t>拉运至江陵镇污水处理厂</w:t>
            </w:r>
          </w:p>
          <w:p>
            <w:pPr>
              <w:pStyle w:val="6"/>
              <w:spacing w:before="21" w:line="206" w:lineRule="auto"/>
              <w:ind w:left="1021"/>
              <w:rPr>
                <w:sz w:val="21"/>
                <w:szCs w:val="21"/>
              </w:rPr>
            </w:pPr>
            <w:r>
              <w:rPr>
                <w:spacing w:val="-4"/>
                <w:sz w:val="21"/>
                <w:szCs w:val="21"/>
              </w:rPr>
              <w:t>处理。</w:t>
            </w:r>
          </w:p>
        </w:tc>
        <w:tc>
          <w:tcPr>
            <w:tcW w:w="732" w:type="dxa"/>
            <w:tcBorders>
              <w:right w:val="single" w:color="000000" w:sz="8" w:space="0"/>
            </w:tcBorders>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8" w:line="221" w:lineRule="auto"/>
              <w:ind w:left="165"/>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68" w:type="dxa"/>
            <w:vMerge w:val="continue"/>
            <w:tcBorders>
              <w:top w:val="nil"/>
              <w:bottom w:val="nil"/>
            </w:tcBorders>
            <w:vAlign w:val="top"/>
          </w:tcPr>
          <w:p>
            <w:pPr>
              <w:rPr>
                <w:rFonts w:ascii="Arial"/>
                <w:sz w:val="21"/>
              </w:rPr>
            </w:pPr>
          </w:p>
        </w:tc>
        <w:tc>
          <w:tcPr>
            <w:tcW w:w="427" w:type="dxa"/>
            <w:vAlign w:val="top"/>
          </w:tcPr>
          <w:p>
            <w:pPr>
              <w:spacing w:line="281"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793" w:type="dxa"/>
            <w:vAlign w:val="top"/>
          </w:tcPr>
          <w:p>
            <w:pPr>
              <w:pStyle w:val="6"/>
              <w:spacing w:before="31" w:line="228" w:lineRule="auto"/>
              <w:ind w:left="111" w:right="92" w:firstLine="1"/>
              <w:jc w:val="both"/>
              <w:rPr>
                <w:sz w:val="21"/>
                <w:szCs w:val="21"/>
              </w:rPr>
            </w:pPr>
            <w:r>
              <w:rPr>
                <w:spacing w:val="-3"/>
                <w:sz w:val="21"/>
                <w:szCs w:val="21"/>
              </w:rPr>
              <w:t>涉及废水回注的，应当论证回注的环境可行性，采</w:t>
            </w:r>
            <w:r>
              <w:rPr>
                <w:spacing w:val="17"/>
                <w:sz w:val="21"/>
                <w:szCs w:val="21"/>
              </w:rPr>
              <w:t xml:space="preserve"> </w:t>
            </w:r>
            <w:r>
              <w:rPr>
                <w:spacing w:val="-2"/>
                <w:sz w:val="21"/>
                <w:szCs w:val="21"/>
              </w:rPr>
              <w:t>取切实可行的地下水污染防治和监控措施，不得回</w:t>
            </w:r>
            <w:r>
              <w:rPr>
                <w:sz w:val="21"/>
                <w:szCs w:val="21"/>
              </w:rPr>
              <w:t xml:space="preserve"> </w:t>
            </w:r>
            <w:r>
              <w:rPr>
                <w:spacing w:val="-2"/>
                <w:sz w:val="21"/>
                <w:szCs w:val="21"/>
              </w:rPr>
              <w:t>注与油气开采无关的废水，严禁造成地下水污染。</w:t>
            </w:r>
          </w:p>
        </w:tc>
        <w:tc>
          <w:tcPr>
            <w:tcW w:w="2651" w:type="dxa"/>
            <w:vAlign w:val="top"/>
          </w:tcPr>
          <w:p>
            <w:pPr>
              <w:pStyle w:val="6"/>
              <w:spacing w:before="304" w:line="220" w:lineRule="auto"/>
              <w:ind w:left="386"/>
              <w:rPr>
                <w:sz w:val="21"/>
                <w:szCs w:val="21"/>
              </w:rPr>
            </w:pPr>
            <w:r>
              <w:rPr>
                <w:spacing w:val="-3"/>
                <w:sz w:val="21"/>
                <w:szCs w:val="21"/>
              </w:rPr>
              <w:t>本项目不涉及回注。</w:t>
            </w:r>
          </w:p>
        </w:tc>
        <w:tc>
          <w:tcPr>
            <w:tcW w:w="732" w:type="dxa"/>
            <w:tcBorders>
              <w:right w:val="single" w:color="000000" w:sz="8" w:space="0"/>
            </w:tcBorders>
            <w:vAlign w:val="top"/>
          </w:tcPr>
          <w:p>
            <w:pPr>
              <w:pStyle w:val="6"/>
              <w:spacing w:before="304" w:line="221" w:lineRule="auto"/>
              <w:ind w:left="165"/>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Merge w:val="continue"/>
            <w:tcBorders>
              <w:top w:val="nil"/>
              <w:bottom w:val="nil"/>
            </w:tcBorders>
            <w:vAlign w:val="top"/>
          </w:tcPr>
          <w:p>
            <w:pPr>
              <w:rPr>
                <w:rFonts w:ascii="Arial"/>
                <w:sz w:val="21"/>
              </w:rPr>
            </w:pPr>
          </w:p>
        </w:tc>
        <w:tc>
          <w:tcPr>
            <w:tcW w:w="427" w:type="dxa"/>
            <w:vAlign w:val="top"/>
          </w:tcPr>
          <w:p>
            <w:pPr>
              <w:spacing w:line="419" w:lineRule="auto"/>
              <w:rPr>
                <w:rFonts w:ascii="Arial"/>
                <w:sz w:val="21"/>
              </w:rPr>
            </w:pPr>
          </w:p>
          <w:p>
            <w:pPr>
              <w:spacing w:before="6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793" w:type="dxa"/>
            <w:vAlign w:val="top"/>
          </w:tcPr>
          <w:p>
            <w:pPr>
              <w:pStyle w:val="6"/>
              <w:spacing w:before="34" w:line="233" w:lineRule="auto"/>
              <w:ind w:left="111" w:right="100" w:firstLine="3"/>
              <w:rPr>
                <w:sz w:val="21"/>
                <w:szCs w:val="21"/>
              </w:rPr>
            </w:pPr>
            <w:r>
              <w:rPr>
                <w:spacing w:val="-3"/>
                <w:sz w:val="21"/>
                <w:szCs w:val="21"/>
              </w:rPr>
              <w:t>油气开采产生的废弃油基泥浆、含油钻屑及其他固</w:t>
            </w:r>
            <w:r>
              <w:rPr>
                <w:spacing w:val="18"/>
                <w:sz w:val="21"/>
                <w:szCs w:val="21"/>
              </w:rPr>
              <w:t xml:space="preserve"> </w:t>
            </w:r>
            <w:r>
              <w:rPr>
                <w:spacing w:val="-2"/>
                <w:sz w:val="21"/>
                <w:szCs w:val="21"/>
              </w:rPr>
              <w:t>体废物，应当遵循减量化、资源化、无害化原则，</w:t>
            </w:r>
            <w:r>
              <w:rPr>
                <w:sz w:val="21"/>
                <w:szCs w:val="21"/>
              </w:rPr>
              <w:t xml:space="preserve"> </w:t>
            </w:r>
            <w:r>
              <w:rPr>
                <w:spacing w:val="3"/>
                <w:sz w:val="21"/>
                <w:szCs w:val="21"/>
              </w:rPr>
              <w:t>按照国家和地方有关固体废物的管理规定进行处</w:t>
            </w:r>
          </w:p>
          <w:p>
            <w:pPr>
              <w:pStyle w:val="6"/>
              <w:spacing w:before="22" w:line="204" w:lineRule="auto"/>
              <w:ind w:left="2191"/>
              <w:rPr>
                <w:sz w:val="21"/>
                <w:szCs w:val="21"/>
              </w:rPr>
            </w:pPr>
            <w:r>
              <w:rPr>
                <w:spacing w:val="-9"/>
                <w:sz w:val="21"/>
                <w:szCs w:val="21"/>
              </w:rPr>
              <w:t>置。</w:t>
            </w:r>
          </w:p>
        </w:tc>
        <w:tc>
          <w:tcPr>
            <w:tcW w:w="2651" w:type="dxa"/>
            <w:vAlign w:val="top"/>
          </w:tcPr>
          <w:p>
            <w:pPr>
              <w:pStyle w:val="6"/>
              <w:spacing w:before="34" w:line="233" w:lineRule="auto"/>
              <w:ind w:left="176" w:right="163" w:firstLine="4"/>
              <w:jc w:val="both"/>
              <w:rPr>
                <w:sz w:val="21"/>
                <w:szCs w:val="21"/>
              </w:rPr>
            </w:pPr>
            <w:r>
              <w:rPr>
                <w:spacing w:val="-1"/>
                <w:sz w:val="21"/>
                <w:szCs w:val="21"/>
              </w:rPr>
              <w:t>油基岩屑收集至清洁生产</w:t>
            </w:r>
            <w:r>
              <w:rPr>
                <w:spacing w:val="2"/>
                <w:sz w:val="21"/>
                <w:szCs w:val="21"/>
              </w:rPr>
              <w:t xml:space="preserve"> </w:t>
            </w:r>
            <w:r>
              <w:rPr>
                <w:spacing w:val="-1"/>
                <w:sz w:val="21"/>
                <w:szCs w:val="21"/>
              </w:rPr>
              <w:t>操作平台内，用密封罐暂</w:t>
            </w:r>
            <w:r>
              <w:rPr>
                <w:spacing w:val="6"/>
                <w:sz w:val="21"/>
                <w:szCs w:val="21"/>
              </w:rPr>
              <w:t xml:space="preserve"> </w:t>
            </w:r>
            <w:r>
              <w:rPr>
                <w:spacing w:val="-1"/>
                <w:sz w:val="21"/>
                <w:szCs w:val="21"/>
              </w:rPr>
              <w:t>存，交由危废资质单位处</w:t>
            </w:r>
          </w:p>
          <w:p>
            <w:pPr>
              <w:pStyle w:val="6"/>
              <w:spacing w:before="22" w:line="204" w:lineRule="auto"/>
              <w:ind w:left="1120"/>
              <w:rPr>
                <w:sz w:val="21"/>
                <w:szCs w:val="21"/>
              </w:rPr>
            </w:pPr>
            <w:r>
              <w:rPr>
                <w:spacing w:val="-9"/>
                <w:sz w:val="21"/>
                <w:szCs w:val="21"/>
              </w:rPr>
              <w:t>置。</w:t>
            </w:r>
          </w:p>
        </w:tc>
        <w:tc>
          <w:tcPr>
            <w:tcW w:w="732" w:type="dxa"/>
            <w:tcBorders>
              <w:right w:val="single" w:color="000000" w:sz="8" w:space="0"/>
            </w:tcBorders>
            <w:vAlign w:val="top"/>
          </w:tcPr>
          <w:p>
            <w:pPr>
              <w:spacing w:line="373" w:lineRule="auto"/>
              <w:rPr>
                <w:rFonts w:ascii="Arial"/>
                <w:sz w:val="21"/>
              </w:rPr>
            </w:pPr>
          </w:p>
          <w:p>
            <w:pPr>
              <w:pStyle w:val="6"/>
              <w:spacing w:before="68" w:line="221" w:lineRule="auto"/>
              <w:ind w:left="165"/>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468" w:type="dxa"/>
            <w:vMerge w:val="continue"/>
            <w:tcBorders>
              <w:top w:val="nil"/>
              <w:bottom w:val="nil"/>
            </w:tcBorders>
            <w:vAlign w:val="top"/>
          </w:tcPr>
          <w:p>
            <w:pPr>
              <w:rPr>
                <w:rFonts w:ascii="Arial"/>
                <w:sz w:val="21"/>
              </w:rPr>
            </w:pPr>
          </w:p>
        </w:tc>
        <w:tc>
          <w:tcPr>
            <w:tcW w:w="42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1" w:line="187" w:lineRule="auto"/>
              <w:ind w:left="15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793" w:type="dxa"/>
            <w:vAlign w:val="top"/>
          </w:tcPr>
          <w:p>
            <w:pPr>
              <w:pStyle w:val="6"/>
              <w:spacing w:before="40" w:line="236" w:lineRule="auto"/>
              <w:ind w:left="111" w:right="100" w:firstLine="94"/>
              <w:jc w:val="both"/>
              <w:rPr>
                <w:sz w:val="21"/>
                <w:szCs w:val="21"/>
              </w:rPr>
            </w:pPr>
            <w:r>
              <w:rPr>
                <w:spacing w:val="-1"/>
                <w:sz w:val="21"/>
                <w:szCs w:val="21"/>
              </w:rPr>
              <w:t>陆地油气开采项目的建设单位应当对挥发性有机</w:t>
            </w:r>
            <w:r>
              <w:rPr>
                <w:spacing w:val="2"/>
                <w:sz w:val="21"/>
                <w:szCs w:val="21"/>
              </w:rPr>
              <w:t xml:space="preserve">  </w:t>
            </w:r>
            <w:r>
              <w:rPr>
                <w:spacing w:val="-2"/>
                <w:sz w:val="21"/>
                <w:szCs w:val="21"/>
              </w:rPr>
              <w:t>物液体储存和装载损失、废水液面逸散、设</w:t>
            </w:r>
            <w:r>
              <w:rPr>
                <w:spacing w:val="-3"/>
                <w:sz w:val="21"/>
                <w:szCs w:val="21"/>
              </w:rPr>
              <w:t>备与管</w:t>
            </w:r>
            <w:r>
              <w:rPr>
                <w:sz w:val="21"/>
                <w:szCs w:val="21"/>
              </w:rPr>
              <w:t xml:space="preserve"> </w:t>
            </w:r>
            <w:r>
              <w:rPr>
                <w:spacing w:val="-2"/>
                <w:sz w:val="21"/>
                <w:szCs w:val="21"/>
              </w:rPr>
              <w:t>线组件泄漏、非正常工况等挥发性有机物无组织排</w:t>
            </w:r>
            <w:r>
              <w:rPr>
                <w:sz w:val="21"/>
                <w:szCs w:val="21"/>
              </w:rPr>
              <w:t xml:space="preserve"> </w:t>
            </w:r>
            <w:r>
              <w:rPr>
                <w:spacing w:val="-2"/>
                <w:sz w:val="21"/>
                <w:szCs w:val="21"/>
              </w:rPr>
              <w:t>放源进行有效管控，通过采取设备密闭、废</w:t>
            </w:r>
            <w:r>
              <w:rPr>
                <w:spacing w:val="-3"/>
                <w:sz w:val="21"/>
                <w:szCs w:val="21"/>
              </w:rPr>
              <w:t>气有效</w:t>
            </w:r>
            <w:r>
              <w:rPr>
                <w:sz w:val="21"/>
                <w:szCs w:val="21"/>
              </w:rPr>
              <w:t xml:space="preserve"> </w:t>
            </w:r>
            <w:r>
              <w:rPr>
                <w:spacing w:val="-2"/>
                <w:sz w:val="21"/>
                <w:szCs w:val="21"/>
              </w:rPr>
              <w:t>收集及配套高效末端处理设施等措施，有效控制挥</w:t>
            </w:r>
            <w:r>
              <w:rPr>
                <w:sz w:val="21"/>
                <w:szCs w:val="21"/>
              </w:rPr>
              <w:t xml:space="preserve"> </w:t>
            </w:r>
            <w:r>
              <w:rPr>
                <w:spacing w:val="-2"/>
                <w:sz w:val="21"/>
                <w:szCs w:val="21"/>
              </w:rPr>
              <w:t>发性有机物和恶臭气体无组织排放。涉及高含硫天</w:t>
            </w:r>
            <w:r>
              <w:rPr>
                <w:sz w:val="21"/>
                <w:szCs w:val="21"/>
              </w:rPr>
              <w:t xml:space="preserve"> </w:t>
            </w:r>
            <w:r>
              <w:rPr>
                <w:spacing w:val="-2"/>
                <w:sz w:val="21"/>
                <w:szCs w:val="21"/>
              </w:rPr>
              <w:t>然气开采的，应当强化钻井、输送、净化等环节环</w:t>
            </w:r>
          </w:p>
          <w:p>
            <w:pPr>
              <w:pStyle w:val="6"/>
              <w:spacing w:before="23" w:line="203" w:lineRule="auto"/>
              <w:ind w:left="1561"/>
              <w:rPr>
                <w:sz w:val="21"/>
                <w:szCs w:val="21"/>
              </w:rPr>
            </w:pPr>
            <w:r>
              <w:rPr>
                <w:spacing w:val="-1"/>
                <w:sz w:val="21"/>
                <w:szCs w:val="21"/>
              </w:rPr>
              <w:t>境风险防范措施。</w:t>
            </w:r>
          </w:p>
        </w:tc>
        <w:tc>
          <w:tcPr>
            <w:tcW w:w="2651" w:type="dxa"/>
            <w:vAlign w:val="top"/>
          </w:tcPr>
          <w:p>
            <w:pPr>
              <w:spacing w:line="372" w:lineRule="auto"/>
              <w:rPr>
                <w:rFonts w:ascii="Arial"/>
                <w:sz w:val="21"/>
              </w:rPr>
            </w:pPr>
          </w:p>
          <w:p>
            <w:pPr>
              <w:pStyle w:val="6"/>
              <w:spacing w:before="68" w:line="235" w:lineRule="auto"/>
              <w:ind w:left="114" w:right="100" w:firstLine="63"/>
              <w:jc w:val="both"/>
              <w:rPr>
                <w:sz w:val="21"/>
                <w:szCs w:val="21"/>
              </w:rPr>
            </w:pPr>
            <w:r>
              <w:rPr>
                <w:spacing w:val="-1"/>
                <w:sz w:val="21"/>
                <w:szCs w:val="21"/>
              </w:rPr>
              <w:t>本项目无挥发性有机物无</w:t>
            </w:r>
            <w:r>
              <w:rPr>
                <w:spacing w:val="4"/>
                <w:sz w:val="21"/>
                <w:szCs w:val="21"/>
              </w:rPr>
              <w:t xml:space="preserve"> </w:t>
            </w:r>
            <w:r>
              <w:rPr>
                <w:spacing w:val="-8"/>
                <w:sz w:val="21"/>
                <w:szCs w:val="21"/>
              </w:rPr>
              <w:t>组织排放源，本次环评进行</w:t>
            </w:r>
            <w:r>
              <w:rPr>
                <w:spacing w:val="5"/>
                <w:sz w:val="21"/>
                <w:szCs w:val="21"/>
              </w:rPr>
              <w:t xml:space="preserve"> </w:t>
            </w:r>
            <w:r>
              <w:rPr>
                <w:spacing w:val="-8"/>
                <w:sz w:val="21"/>
                <w:szCs w:val="21"/>
              </w:rPr>
              <w:t>环境风险专项评价，对钻井</w:t>
            </w:r>
            <w:r>
              <w:rPr>
                <w:spacing w:val="5"/>
                <w:sz w:val="21"/>
                <w:szCs w:val="21"/>
              </w:rPr>
              <w:t xml:space="preserve"> 期间环境风险提出了防范</w:t>
            </w:r>
          </w:p>
          <w:p>
            <w:pPr>
              <w:pStyle w:val="6"/>
              <w:spacing w:before="22" w:line="221" w:lineRule="auto"/>
              <w:ind w:left="491"/>
              <w:rPr>
                <w:sz w:val="21"/>
                <w:szCs w:val="21"/>
              </w:rPr>
            </w:pPr>
            <w:r>
              <w:rPr>
                <w:spacing w:val="-1"/>
                <w:sz w:val="21"/>
                <w:szCs w:val="21"/>
              </w:rPr>
              <w:t>措施和应急措施。</w:t>
            </w:r>
          </w:p>
        </w:tc>
        <w:tc>
          <w:tcPr>
            <w:tcW w:w="732" w:type="dxa"/>
            <w:tcBorders>
              <w:right w:val="single" w:color="000000" w:sz="8" w:space="0"/>
            </w:tcBorders>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8" w:line="221" w:lineRule="auto"/>
              <w:ind w:left="165"/>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468" w:type="dxa"/>
            <w:vMerge w:val="continue"/>
            <w:tcBorders>
              <w:top w:val="nil"/>
            </w:tcBorders>
            <w:vAlign w:val="top"/>
          </w:tcPr>
          <w:p>
            <w:pPr>
              <w:rPr>
                <w:rFonts w:ascii="Arial"/>
                <w:sz w:val="21"/>
              </w:rPr>
            </w:pPr>
          </w:p>
        </w:tc>
        <w:tc>
          <w:tcPr>
            <w:tcW w:w="427" w:type="dxa"/>
            <w:vAlign w:val="top"/>
          </w:tcPr>
          <w:p>
            <w:pPr>
              <w:spacing w:line="346" w:lineRule="auto"/>
              <w:rPr>
                <w:rFonts w:ascii="Arial"/>
                <w:sz w:val="21"/>
              </w:rPr>
            </w:pPr>
          </w:p>
          <w:p>
            <w:pPr>
              <w:spacing w:line="347" w:lineRule="auto"/>
              <w:rPr>
                <w:rFonts w:ascii="Arial"/>
                <w:sz w:val="21"/>
              </w:rPr>
            </w:pPr>
          </w:p>
          <w:p>
            <w:pPr>
              <w:spacing w:before="60" w:line="184" w:lineRule="auto"/>
              <w:ind w:left="16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793" w:type="dxa"/>
            <w:vAlign w:val="top"/>
          </w:tcPr>
          <w:p>
            <w:pPr>
              <w:pStyle w:val="6"/>
              <w:spacing w:before="38" w:line="234" w:lineRule="auto"/>
              <w:ind w:left="110" w:right="100"/>
              <w:jc w:val="both"/>
              <w:rPr>
                <w:sz w:val="21"/>
                <w:szCs w:val="21"/>
              </w:rPr>
            </w:pPr>
            <w:r>
              <w:rPr>
                <w:spacing w:val="-2"/>
                <w:sz w:val="21"/>
                <w:szCs w:val="21"/>
              </w:rPr>
              <w:t>施工期应当尽量减少施工占地、缩短施工时间、选</w:t>
            </w:r>
            <w:r>
              <w:rPr>
                <w:sz w:val="21"/>
                <w:szCs w:val="21"/>
              </w:rPr>
              <w:t xml:space="preserve"> </w:t>
            </w:r>
            <w:r>
              <w:rPr>
                <w:spacing w:val="-2"/>
                <w:sz w:val="21"/>
                <w:szCs w:val="21"/>
              </w:rPr>
              <w:t>择合理施工方式、落实环境敏感区管控要求以及其</w:t>
            </w:r>
            <w:r>
              <w:rPr>
                <w:sz w:val="21"/>
                <w:szCs w:val="21"/>
              </w:rPr>
              <w:t xml:space="preserve"> </w:t>
            </w:r>
            <w:r>
              <w:rPr>
                <w:spacing w:val="-2"/>
                <w:sz w:val="21"/>
                <w:szCs w:val="21"/>
              </w:rPr>
              <w:t>他生态环境保护措施，降低生态环境影响。</w:t>
            </w:r>
            <w:r>
              <w:rPr>
                <w:spacing w:val="-3"/>
                <w:sz w:val="21"/>
                <w:szCs w:val="21"/>
              </w:rPr>
              <w:t>钻井和</w:t>
            </w:r>
            <w:r>
              <w:rPr>
                <w:sz w:val="21"/>
                <w:szCs w:val="21"/>
              </w:rPr>
              <w:t xml:space="preserve"> </w:t>
            </w:r>
            <w:r>
              <w:rPr>
                <w:spacing w:val="-5"/>
                <w:sz w:val="21"/>
                <w:szCs w:val="21"/>
              </w:rPr>
              <w:t>压裂设备应当优先使用网电、高标准清洁燃油，</w:t>
            </w:r>
            <w:r>
              <w:rPr>
                <w:spacing w:val="-40"/>
                <w:sz w:val="21"/>
                <w:szCs w:val="21"/>
              </w:rPr>
              <w:t xml:space="preserve"> </w:t>
            </w:r>
            <w:r>
              <w:rPr>
                <w:spacing w:val="-5"/>
                <w:sz w:val="21"/>
                <w:szCs w:val="21"/>
              </w:rPr>
              <w:t>减</w:t>
            </w:r>
            <w:r>
              <w:rPr>
                <w:sz w:val="21"/>
                <w:szCs w:val="21"/>
              </w:rPr>
              <w:t xml:space="preserve"> </w:t>
            </w:r>
            <w:r>
              <w:rPr>
                <w:spacing w:val="-2"/>
                <w:sz w:val="21"/>
                <w:szCs w:val="21"/>
              </w:rPr>
              <w:t>少废气排放。选用低噪声设备，避免噪声扰民。施</w:t>
            </w:r>
            <w:r>
              <w:rPr>
                <w:sz w:val="21"/>
                <w:szCs w:val="21"/>
              </w:rPr>
              <w:t xml:space="preserve"> </w:t>
            </w:r>
            <w:r>
              <w:rPr>
                <w:spacing w:val="-1"/>
                <w:sz w:val="21"/>
                <w:szCs w:val="21"/>
              </w:rPr>
              <w:t>工结束后，</w:t>
            </w:r>
            <w:r>
              <w:rPr>
                <w:spacing w:val="-4"/>
                <w:sz w:val="21"/>
                <w:szCs w:val="21"/>
              </w:rPr>
              <w:t xml:space="preserve"> </w:t>
            </w:r>
            <w:r>
              <w:rPr>
                <w:spacing w:val="-1"/>
                <w:sz w:val="21"/>
                <w:szCs w:val="21"/>
              </w:rPr>
              <w:t>应当及时落实环评提出的生态保护措</w:t>
            </w:r>
          </w:p>
        </w:tc>
        <w:tc>
          <w:tcPr>
            <w:tcW w:w="2651" w:type="dxa"/>
            <w:vAlign w:val="top"/>
          </w:tcPr>
          <w:p>
            <w:pPr>
              <w:pStyle w:val="6"/>
              <w:spacing w:before="38" w:line="234" w:lineRule="auto"/>
              <w:ind w:left="113" w:right="48" w:firstLine="64"/>
              <w:jc w:val="both"/>
              <w:rPr>
                <w:sz w:val="21"/>
                <w:szCs w:val="21"/>
              </w:rPr>
            </w:pPr>
            <w:r>
              <w:rPr>
                <w:spacing w:val="-1"/>
                <w:sz w:val="21"/>
                <w:szCs w:val="21"/>
              </w:rPr>
              <w:t>本项目施工布置要求减少</w:t>
            </w:r>
            <w:r>
              <w:rPr>
                <w:spacing w:val="2"/>
                <w:sz w:val="21"/>
                <w:szCs w:val="21"/>
              </w:rPr>
              <w:t xml:space="preserve">  </w:t>
            </w:r>
            <w:r>
              <w:rPr>
                <w:spacing w:val="-3"/>
                <w:sz w:val="21"/>
                <w:szCs w:val="21"/>
              </w:rPr>
              <w:t>施工占地、缩短施工时间、</w:t>
            </w:r>
            <w:r>
              <w:rPr>
                <w:sz w:val="21"/>
                <w:szCs w:val="21"/>
              </w:rPr>
              <w:t xml:space="preserve"> </w:t>
            </w:r>
            <w:r>
              <w:rPr>
                <w:spacing w:val="-8"/>
                <w:sz w:val="21"/>
                <w:szCs w:val="21"/>
              </w:rPr>
              <w:t>选择合理施工方式等，钻井</w:t>
            </w:r>
            <w:r>
              <w:rPr>
                <w:spacing w:val="6"/>
                <w:sz w:val="21"/>
                <w:szCs w:val="21"/>
              </w:rPr>
              <w:t xml:space="preserve"> </w:t>
            </w:r>
            <w:r>
              <w:rPr>
                <w:spacing w:val="5"/>
                <w:sz w:val="21"/>
                <w:szCs w:val="21"/>
              </w:rPr>
              <w:t>设备采用轻质环保型柴油</w:t>
            </w:r>
            <w:r>
              <w:rPr>
                <w:spacing w:val="1"/>
                <w:sz w:val="21"/>
                <w:szCs w:val="21"/>
              </w:rPr>
              <w:t xml:space="preserve">  </w:t>
            </w:r>
            <w:r>
              <w:rPr>
                <w:spacing w:val="-19"/>
                <w:sz w:val="21"/>
                <w:szCs w:val="21"/>
              </w:rPr>
              <w:t>成品；</w:t>
            </w:r>
            <w:r>
              <w:rPr>
                <w:spacing w:val="-37"/>
                <w:sz w:val="21"/>
                <w:szCs w:val="21"/>
              </w:rPr>
              <w:t xml:space="preserve"> </w:t>
            </w:r>
            <w:r>
              <w:rPr>
                <w:spacing w:val="-19"/>
                <w:sz w:val="21"/>
                <w:szCs w:val="21"/>
              </w:rPr>
              <w:t>选用低噪声设备，</w:t>
            </w:r>
            <w:r>
              <w:rPr>
                <w:spacing w:val="-35"/>
                <w:sz w:val="21"/>
                <w:szCs w:val="21"/>
              </w:rPr>
              <w:t xml:space="preserve"> </w:t>
            </w:r>
            <w:r>
              <w:rPr>
                <w:spacing w:val="-19"/>
                <w:sz w:val="21"/>
                <w:szCs w:val="21"/>
              </w:rPr>
              <w:t>并</w:t>
            </w:r>
            <w:r>
              <w:rPr>
                <w:sz w:val="21"/>
                <w:szCs w:val="21"/>
              </w:rPr>
              <w:t xml:space="preserve"> </w:t>
            </w:r>
            <w:r>
              <w:rPr>
                <w:spacing w:val="-7"/>
                <w:sz w:val="21"/>
                <w:szCs w:val="21"/>
              </w:rPr>
              <w:t>提出避免噪声扰民方案；提</w:t>
            </w:r>
          </w:p>
        </w:tc>
        <w:tc>
          <w:tcPr>
            <w:tcW w:w="732" w:type="dxa"/>
            <w:tcBorders>
              <w:right w:val="single" w:color="000000" w:sz="8" w:space="0"/>
            </w:tcBorders>
            <w:vAlign w:val="top"/>
          </w:tcPr>
          <w:p>
            <w:pPr>
              <w:spacing w:line="321" w:lineRule="auto"/>
              <w:rPr>
                <w:rFonts w:ascii="Arial"/>
                <w:sz w:val="21"/>
              </w:rPr>
            </w:pPr>
          </w:p>
          <w:p>
            <w:pPr>
              <w:spacing w:line="322" w:lineRule="auto"/>
              <w:rPr>
                <w:rFonts w:ascii="Arial"/>
                <w:sz w:val="21"/>
              </w:rPr>
            </w:pPr>
          </w:p>
          <w:p>
            <w:pPr>
              <w:pStyle w:val="6"/>
              <w:spacing w:before="68" w:line="221" w:lineRule="auto"/>
              <w:ind w:left="165"/>
              <w:rPr>
                <w:sz w:val="21"/>
                <w:szCs w:val="21"/>
              </w:rPr>
            </w:pPr>
            <w:r>
              <w:rPr>
                <w:spacing w:val="-2"/>
                <w:sz w:val="21"/>
                <w:szCs w:val="21"/>
              </w:rPr>
              <w:t>符合</w:t>
            </w:r>
          </w:p>
        </w:tc>
        <w:tc>
          <w:tcPr>
            <w:tcW w:w="26" w:type="dxa"/>
            <w:vAlign w:val="top"/>
          </w:tcPr>
          <w:p>
            <w:pPr>
              <w:rPr>
                <w:rFonts w:ascii="Arial"/>
                <w:sz w:val="21"/>
              </w:rPr>
            </w:pPr>
          </w:p>
        </w:tc>
      </w:tr>
    </w:tbl>
    <w:p>
      <w:pPr>
        <w:pStyle w:val="2"/>
        <w:rPr>
          <w:sz w:val="21"/>
        </w:rPr>
      </w:pPr>
    </w:p>
    <w:p>
      <w:pPr>
        <w:rPr>
          <w:sz w:val="21"/>
          <w:szCs w:val="21"/>
        </w:rPr>
        <w:sectPr>
          <w:footerReference r:id="rId23"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427"/>
        <w:gridCol w:w="4793"/>
        <w:gridCol w:w="2651"/>
        <w:gridCol w:w="7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68" w:type="dxa"/>
            <w:vMerge w:val="restart"/>
            <w:tcBorders>
              <w:bottom w:val="nil"/>
            </w:tcBorders>
            <w:vAlign w:val="top"/>
          </w:tcPr>
          <w:p>
            <w:pPr>
              <w:rPr>
                <w:rFonts w:ascii="Arial"/>
                <w:sz w:val="21"/>
              </w:rPr>
            </w:pPr>
          </w:p>
        </w:tc>
        <w:tc>
          <w:tcPr>
            <w:tcW w:w="427" w:type="dxa"/>
            <w:vAlign w:val="top"/>
          </w:tcPr>
          <w:p>
            <w:pPr>
              <w:rPr>
                <w:rFonts w:ascii="Arial"/>
                <w:sz w:val="21"/>
              </w:rPr>
            </w:pPr>
          </w:p>
        </w:tc>
        <w:tc>
          <w:tcPr>
            <w:tcW w:w="4793" w:type="dxa"/>
            <w:vAlign w:val="top"/>
          </w:tcPr>
          <w:p>
            <w:pPr>
              <w:pStyle w:val="6"/>
              <w:spacing w:before="61" w:line="223" w:lineRule="auto"/>
              <w:ind w:left="2191"/>
              <w:rPr>
                <w:sz w:val="21"/>
                <w:szCs w:val="21"/>
              </w:rPr>
            </w:pPr>
            <w:r>
              <w:rPr>
                <w:spacing w:val="-10"/>
                <w:sz w:val="21"/>
                <w:szCs w:val="21"/>
              </w:rPr>
              <w:t>施。</w:t>
            </w:r>
          </w:p>
        </w:tc>
        <w:tc>
          <w:tcPr>
            <w:tcW w:w="2651" w:type="dxa"/>
            <w:vAlign w:val="top"/>
          </w:tcPr>
          <w:p>
            <w:pPr>
              <w:pStyle w:val="6"/>
              <w:spacing w:before="61" w:line="224" w:lineRule="auto"/>
              <w:ind w:left="195" w:right="163"/>
              <w:rPr>
                <w:sz w:val="21"/>
                <w:szCs w:val="21"/>
              </w:rPr>
            </w:pPr>
            <w:r>
              <w:rPr>
                <w:spacing w:val="-3"/>
                <w:sz w:val="21"/>
                <w:szCs w:val="21"/>
              </w:rPr>
              <w:t>出施工结束后落实环评提</w:t>
            </w:r>
            <w:r>
              <w:rPr>
                <w:spacing w:val="9"/>
                <w:sz w:val="21"/>
                <w:szCs w:val="21"/>
              </w:rPr>
              <w:t xml:space="preserve"> </w:t>
            </w:r>
            <w:r>
              <w:rPr>
                <w:spacing w:val="-4"/>
                <w:sz w:val="21"/>
                <w:szCs w:val="21"/>
              </w:rPr>
              <w:t>出的生态保护措施方案。</w:t>
            </w:r>
          </w:p>
        </w:tc>
        <w:tc>
          <w:tcPr>
            <w:tcW w:w="75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468" w:type="dxa"/>
            <w:vMerge w:val="continue"/>
            <w:tcBorders>
              <w:top w:val="nil"/>
              <w:bottom w:val="nil"/>
            </w:tcBorders>
            <w:vAlign w:val="top"/>
          </w:tcPr>
          <w:p>
            <w:pPr>
              <w:rPr>
                <w:rFonts w:ascii="Arial"/>
                <w:sz w:val="21"/>
              </w:rPr>
            </w:pPr>
          </w:p>
        </w:tc>
        <w:tc>
          <w:tcPr>
            <w:tcW w:w="8629" w:type="dxa"/>
            <w:gridSpan w:val="4"/>
            <w:vAlign w:val="top"/>
          </w:tcPr>
          <w:p>
            <w:pPr>
              <w:pStyle w:val="6"/>
              <w:spacing w:before="62" w:line="221" w:lineRule="auto"/>
              <w:ind w:left="3466"/>
              <w:rPr>
                <w:sz w:val="21"/>
                <w:szCs w:val="21"/>
              </w:rPr>
            </w:pPr>
            <w:r>
              <w:rPr>
                <w:spacing w:val="-1"/>
                <w:sz w:val="21"/>
                <w:szCs w:val="21"/>
              </w:rPr>
              <w:t>加强事中事后监管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68" w:type="dxa"/>
            <w:vMerge w:val="continue"/>
            <w:tcBorders>
              <w:top w:val="nil"/>
              <w:bottom w:val="nil"/>
            </w:tcBorders>
            <w:vAlign w:val="top"/>
          </w:tcPr>
          <w:p>
            <w:pPr>
              <w:rPr>
                <w:rFonts w:ascii="Arial"/>
                <w:sz w:val="21"/>
              </w:rPr>
            </w:pPr>
          </w:p>
        </w:tc>
        <w:tc>
          <w:tcPr>
            <w:tcW w:w="427" w:type="dxa"/>
            <w:vAlign w:val="top"/>
          </w:tcPr>
          <w:p>
            <w:pPr>
              <w:spacing w:line="342" w:lineRule="auto"/>
              <w:rPr>
                <w:rFonts w:ascii="Arial"/>
                <w:sz w:val="21"/>
              </w:rPr>
            </w:pPr>
          </w:p>
          <w:p>
            <w:pPr>
              <w:spacing w:line="343" w:lineRule="auto"/>
              <w:rPr>
                <w:rFonts w:ascii="Arial"/>
                <w:sz w:val="21"/>
              </w:rPr>
            </w:pPr>
          </w:p>
          <w:p>
            <w:pPr>
              <w:spacing w:before="60" w:line="187" w:lineRule="auto"/>
              <w:ind w:left="16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793" w:type="dxa"/>
            <w:vAlign w:val="top"/>
          </w:tcPr>
          <w:p>
            <w:pPr>
              <w:pStyle w:val="6"/>
              <w:spacing w:before="28" w:line="236" w:lineRule="auto"/>
              <w:ind w:left="113" w:right="100" w:firstLine="1"/>
              <w:jc w:val="both"/>
              <w:rPr>
                <w:sz w:val="21"/>
                <w:szCs w:val="21"/>
              </w:rPr>
            </w:pPr>
            <w:r>
              <w:rPr>
                <w:spacing w:val="-3"/>
                <w:sz w:val="21"/>
                <w:szCs w:val="21"/>
              </w:rPr>
              <w:t>油气企业应当切实落实生态环境保护主体责任，进</w:t>
            </w:r>
            <w:r>
              <w:rPr>
                <w:spacing w:val="18"/>
                <w:sz w:val="21"/>
                <w:szCs w:val="21"/>
              </w:rPr>
              <w:t xml:space="preserve"> </w:t>
            </w:r>
            <w:r>
              <w:rPr>
                <w:spacing w:val="-2"/>
                <w:sz w:val="21"/>
                <w:szCs w:val="21"/>
              </w:rPr>
              <w:t>一步健全生态环境保护管理体系和制度，充</w:t>
            </w:r>
            <w:r>
              <w:rPr>
                <w:spacing w:val="-3"/>
                <w:sz w:val="21"/>
                <w:szCs w:val="21"/>
              </w:rPr>
              <w:t>分发挥</w:t>
            </w:r>
            <w:r>
              <w:rPr>
                <w:sz w:val="21"/>
                <w:szCs w:val="21"/>
              </w:rPr>
              <w:t xml:space="preserve"> </w:t>
            </w:r>
            <w:r>
              <w:rPr>
                <w:spacing w:val="-2"/>
                <w:sz w:val="21"/>
                <w:szCs w:val="21"/>
              </w:rPr>
              <w:t>企业内部生态环境保护部门作用，健全健康</w:t>
            </w:r>
            <w:r>
              <w:rPr>
                <w:spacing w:val="-3"/>
                <w:sz w:val="21"/>
                <w:szCs w:val="21"/>
              </w:rPr>
              <w:t>、安全</w:t>
            </w:r>
            <w:r>
              <w:rPr>
                <w:sz w:val="21"/>
                <w:szCs w:val="21"/>
              </w:rPr>
              <w:t xml:space="preserve"> </w:t>
            </w:r>
            <w:r>
              <w:rPr>
                <w:spacing w:val="-6"/>
                <w:sz w:val="21"/>
                <w:szCs w:val="21"/>
              </w:rPr>
              <w:t>与环境（</w:t>
            </w:r>
            <w:r>
              <w:rPr>
                <w:rFonts w:ascii="Times New Roman" w:hAnsi="Times New Roman" w:eastAsia="Times New Roman" w:cs="Times New Roman"/>
                <w:spacing w:val="-6"/>
                <w:sz w:val="21"/>
                <w:szCs w:val="21"/>
              </w:rPr>
              <w:t>HSE</w:t>
            </w:r>
            <w:r>
              <w:rPr>
                <w:spacing w:val="-6"/>
                <w:sz w:val="21"/>
                <w:szCs w:val="21"/>
              </w:rPr>
              <w:t>）管理体系，加强督促检查， 推动所</w:t>
            </w:r>
            <w:r>
              <w:rPr>
                <w:spacing w:val="15"/>
                <w:sz w:val="21"/>
                <w:szCs w:val="21"/>
              </w:rPr>
              <w:t xml:space="preserve"> </w:t>
            </w:r>
            <w:r>
              <w:rPr>
                <w:spacing w:val="-2"/>
                <w:sz w:val="21"/>
                <w:szCs w:val="21"/>
              </w:rPr>
              <w:t>属油气田落实规划、建设、运营、退役等环</w:t>
            </w:r>
            <w:r>
              <w:rPr>
                <w:spacing w:val="-3"/>
                <w:sz w:val="21"/>
                <w:szCs w:val="21"/>
              </w:rPr>
              <w:t>节生态</w:t>
            </w:r>
          </w:p>
          <w:p>
            <w:pPr>
              <w:pStyle w:val="6"/>
              <w:spacing w:before="19" w:line="209" w:lineRule="auto"/>
              <w:ind w:left="1666"/>
              <w:rPr>
                <w:sz w:val="21"/>
                <w:szCs w:val="21"/>
              </w:rPr>
            </w:pPr>
            <w:r>
              <w:rPr>
                <w:spacing w:val="-3"/>
                <w:sz w:val="21"/>
                <w:szCs w:val="21"/>
              </w:rPr>
              <w:t>环境保护措施。</w:t>
            </w:r>
          </w:p>
        </w:tc>
        <w:tc>
          <w:tcPr>
            <w:tcW w:w="2651" w:type="dxa"/>
            <w:vAlign w:val="top"/>
          </w:tcPr>
          <w:p>
            <w:pPr>
              <w:pStyle w:val="6"/>
              <w:spacing w:before="301" w:line="235" w:lineRule="auto"/>
              <w:ind w:left="113" w:right="48" w:firstLine="65"/>
              <w:jc w:val="both"/>
              <w:rPr>
                <w:sz w:val="21"/>
                <w:szCs w:val="21"/>
              </w:rPr>
            </w:pPr>
            <w:r>
              <w:rPr>
                <w:spacing w:val="-1"/>
                <w:sz w:val="21"/>
                <w:szCs w:val="21"/>
              </w:rPr>
              <w:t>建设单位建立有完善的生</w:t>
            </w:r>
            <w:r>
              <w:rPr>
                <w:spacing w:val="1"/>
                <w:sz w:val="21"/>
                <w:szCs w:val="21"/>
              </w:rPr>
              <w:t xml:space="preserve">  </w:t>
            </w:r>
            <w:r>
              <w:rPr>
                <w:spacing w:val="5"/>
                <w:sz w:val="21"/>
                <w:szCs w:val="21"/>
              </w:rPr>
              <w:t>态环境保护管理体系和制</w:t>
            </w:r>
            <w:r>
              <w:rPr>
                <w:spacing w:val="1"/>
                <w:sz w:val="21"/>
                <w:szCs w:val="21"/>
              </w:rPr>
              <w:t xml:space="preserve">  </w:t>
            </w:r>
            <w:r>
              <w:rPr>
                <w:spacing w:val="-8"/>
                <w:sz w:val="21"/>
                <w:szCs w:val="21"/>
              </w:rPr>
              <w:t>度，规范钻井过程中各项工</w:t>
            </w:r>
            <w:r>
              <w:rPr>
                <w:spacing w:val="6"/>
                <w:sz w:val="21"/>
                <w:szCs w:val="21"/>
              </w:rPr>
              <w:t xml:space="preserve"> </w:t>
            </w:r>
            <w:r>
              <w:rPr>
                <w:spacing w:val="-3"/>
                <w:sz w:val="21"/>
                <w:szCs w:val="21"/>
              </w:rPr>
              <w:t>程的环境保护责任和措施。</w:t>
            </w:r>
          </w:p>
        </w:tc>
        <w:tc>
          <w:tcPr>
            <w:tcW w:w="758" w:type="dxa"/>
            <w:vAlign w:val="top"/>
          </w:tcPr>
          <w:p>
            <w:pPr>
              <w:spacing w:line="318" w:lineRule="auto"/>
              <w:rPr>
                <w:rFonts w:ascii="Arial"/>
                <w:sz w:val="21"/>
              </w:rPr>
            </w:pPr>
          </w:p>
          <w:p>
            <w:pPr>
              <w:spacing w:line="318" w:lineRule="auto"/>
              <w:rPr>
                <w:rFonts w:ascii="Arial"/>
                <w:sz w:val="21"/>
              </w:rPr>
            </w:pPr>
          </w:p>
          <w:p>
            <w:pPr>
              <w:pStyle w:val="6"/>
              <w:spacing w:before="68" w:line="221" w:lineRule="auto"/>
              <w:ind w:left="16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Merge w:val="continue"/>
            <w:tcBorders>
              <w:top w:val="nil"/>
              <w:bottom w:val="nil"/>
            </w:tcBorders>
            <w:vAlign w:val="top"/>
          </w:tcPr>
          <w:p>
            <w:pPr>
              <w:rPr>
                <w:rFonts w:ascii="Arial"/>
                <w:sz w:val="21"/>
              </w:rPr>
            </w:pPr>
          </w:p>
        </w:tc>
        <w:tc>
          <w:tcPr>
            <w:tcW w:w="427" w:type="dxa"/>
            <w:vAlign w:val="top"/>
          </w:tcPr>
          <w:p>
            <w:pPr>
              <w:spacing w:line="417" w:lineRule="auto"/>
              <w:rPr>
                <w:rFonts w:ascii="Arial"/>
                <w:sz w:val="21"/>
              </w:rPr>
            </w:pPr>
          </w:p>
          <w:p>
            <w:pPr>
              <w:spacing w:before="60" w:line="184" w:lineRule="auto"/>
              <w:ind w:left="16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793" w:type="dxa"/>
            <w:vAlign w:val="top"/>
          </w:tcPr>
          <w:p>
            <w:pPr>
              <w:pStyle w:val="6"/>
              <w:spacing w:before="30" w:line="233" w:lineRule="auto"/>
              <w:ind w:left="112" w:right="25" w:firstLine="2"/>
              <w:jc w:val="both"/>
              <w:rPr>
                <w:sz w:val="21"/>
                <w:szCs w:val="21"/>
              </w:rPr>
            </w:pPr>
            <w:r>
              <w:rPr>
                <w:spacing w:val="-3"/>
                <w:sz w:val="21"/>
                <w:szCs w:val="21"/>
              </w:rPr>
              <w:t xml:space="preserve">油气企业应按照企事业单位环境信息公开办法、环 境影响评价公众参与办法等有关要求，主动公开油 </w:t>
            </w:r>
            <w:r>
              <w:rPr>
                <w:spacing w:val="-8"/>
                <w:sz w:val="21"/>
                <w:szCs w:val="21"/>
              </w:rPr>
              <w:t>气开采项目环境信息，保障公众的知情权、参与权、</w:t>
            </w:r>
          </w:p>
          <w:p>
            <w:pPr>
              <w:pStyle w:val="6"/>
              <w:spacing w:before="21" w:line="208" w:lineRule="auto"/>
              <w:ind w:left="1560"/>
              <w:rPr>
                <w:sz w:val="21"/>
                <w:szCs w:val="21"/>
              </w:rPr>
            </w:pPr>
            <w:r>
              <w:rPr>
                <w:spacing w:val="-1"/>
                <w:sz w:val="21"/>
                <w:szCs w:val="21"/>
              </w:rPr>
              <w:t>表达权和监督权。</w:t>
            </w:r>
          </w:p>
        </w:tc>
        <w:tc>
          <w:tcPr>
            <w:tcW w:w="2651" w:type="dxa"/>
            <w:vAlign w:val="top"/>
          </w:tcPr>
          <w:p>
            <w:pPr>
              <w:pStyle w:val="6"/>
              <w:spacing w:before="167" w:line="220" w:lineRule="auto"/>
              <w:ind w:left="177"/>
              <w:rPr>
                <w:sz w:val="21"/>
                <w:szCs w:val="21"/>
              </w:rPr>
            </w:pPr>
            <w:r>
              <w:rPr>
                <w:spacing w:val="-1"/>
                <w:sz w:val="21"/>
                <w:szCs w:val="21"/>
              </w:rPr>
              <w:t>本项目按照要求进行环境</w:t>
            </w:r>
          </w:p>
          <w:p>
            <w:pPr>
              <w:pStyle w:val="6"/>
              <w:spacing w:before="20" w:line="231" w:lineRule="auto"/>
              <w:ind w:left="1016" w:right="163" w:hanging="840"/>
              <w:rPr>
                <w:sz w:val="21"/>
                <w:szCs w:val="21"/>
              </w:rPr>
            </w:pPr>
            <w:r>
              <w:rPr>
                <w:spacing w:val="-1"/>
                <w:sz w:val="21"/>
                <w:szCs w:val="21"/>
              </w:rPr>
              <w:t>影响评价及环境信息公开</w:t>
            </w:r>
            <w:r>
              <w:rPr>
                <w:spacing w:val="5"/>
                <w:sz w:val="21"/>
                <w:szCs w:val="21"/>
              </w:rPr>
              <w:t xml:space="preserve"> </w:t>
            </w:r>
            <w:r>
              <w:rPr>
                <w:spacing w:val="-8"/>
                <w:sz w:val="21"/>
                <w:szCs w:val="21"/>
              </w:rPr>
              <w:t>事宜。</w:t>
            </w:r>
          </w:p>
        </w:tc>
        <w:tc>
          <w:tcPr>
            <w:tcW w:w="758" w:type="dxa"/>
            <w:vAlign w:val="top"/>
          </w:tcPr>
          <w:p>
            <w:pPr>
              <w:spacing w:line="367" w:lineRule="auto"/>
              <w:rPr>
                <w:rFonts w:ascii="Arial"/>
                <w:sz w:val="21"/>
              </w:rPr>
            </w:pPr>
          </w:p>
          <w:p>
            <w:pPr>
              <w:pStyle w:val="6"/>
              <w:spacing w:before="69" w:line="221" w:lineRule="auto"/>
              <w:ind w:left="16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6" w:hRule="atLeast"/>
        </w:trPr>
        <w:tc>
          <w:tcPr>
            <w:tcW w:w="468" w:type="dxa"/>
            <w:vMerge w:val="continue"/>
            <w:tcBorders>
              <w:top w:val="nil"/>
            </w:tcBorders>
            <w:vAlign w:val="top"/>
          </w:tcPr>
          <w:p>
            <w:pPr>
              <w:rPr>
                <w:rFonts w:ascii="Arial"/>
                <w:sz w:val="21"/>
              </w:rPr>
            </w:pPr>
          </w:p>
        </w:tc>
        <w:tc>
          <w:tcPr>
            <w:tcW w:w="8629" w:type="dxa"/>
            <w:gridSpan w:val="4"/>
            <w:vAlign w:val="top"/>
          </w:tcPr>
          <w:p>
            <w:pPr>
              <w:pStyle w:val="6"/>
              <w:spacing w:before="179" w:line="480" w:lineRule="exact"/>
              <w:ind w:right="17"/>
              <w:jc w:val="right"/>
              <w:rPr>
                <w:sz w:val="24"/>
                <w:szCs w:val="24"/>
              </w:rPr>
            </w:pPr>
            <w:r>
              <w:rPr>
                <w:spacing w:val="-5"/>
                <w:position w:val="18"/>
                <w:sz w:val="24"/>
                <w:szCs w:val="24"/>
              </w:rPr>
              <w:t>综上分析， 本项目符合《关于进一步加强石油天然气行业环境影响评价管理的</w:t>
            </w:r>
          </w:p>
          <w:p>
            <w:pPr>
              <w:pStyle w:val="6"/>
              <w:spacing w:before="1" w:line="220" w:lineRule="auto"/>
              <w:rPr>
                <w:sz w:val="24"/>
                <w:szCs w:val="24"/>
              </w:rPr>
            </w:pPr>
            <w:r>
              <w:rPr>
                <w:spacing w:val="-7"/>
                <w:sz w:val="24"/>
                <w:szCs w:val="24"/>
              </w:rPr>
              <w:t>通知》要求。</w:t>
            </w:r>
          </w:p>
          <w:p>
            <w:pPr>
              <w:pStyle w:val="6"/>
              <w:spacing w:before="226" w:line="518" w:lineRule="exact"/>
              <w:ind w:left="6"/>
              <w:rPr>
                <w:sz w:val="24"/>
                <w:szCs w:val="24"/>
              </w:rPr>
            </w:pPr>
            <w:r>
              <w:rPr>
                <w:rFonts w:ascii="Times New Roman" w:hAnsi="Times New Roman" w:eastAsia="Times New Roman" w:cs="Times New Roman"/>
                <w:b/>
                <w:bCs/>
                <w:spacing w:val="11"/>
                <w:position w:val="21"/>
                <w:sz w:val="24"/>
                <w:szCs w:val="24"/>
              </w:rPr>
              <w:t>1.4.4</w:t>
            </w:r>
            <w:r>
              <w:rPr>
                <w:spacing w:val="11"/>
                <w:position w:val="21"/>
                <w:sz w:val="24"/>
                <w:szCs w:val="24"/>
                <w14:textOutline w14:w="4354" w14:cap="flat" w14:cmpd="sng">
                  <w14:solidFill>
                    <w14:srgbClr w14:val="000000"/>
                  </w14:solidFill>
                  <w14:prstDash w14:val="solid"/>
                  <w14:miter w14:val="10"/>
                </w14:textOutline>
              </w:rPr>
              <w:t>《陆上石油天然气开采水基钻井废弃物处理处置及资源化利用技术规范》</w:t>
            </w:r>
          </w:p>
          <w:p>
            <w:pPr>
              <w:pStyle w:val="6"/>
              <w:spacing w:line="219" w:lineRule="auto"/>
              <w:ind w:left="6"/>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SY/T7466-2020</w:t>
            </w:r>
            <w:r>
              <w:rPr>
                <w:spacing w:val="-1"/>
                <w:sz w:val="24"/>
                <w:szCs w:val="24"/>
                <w14:textOutline w14:w="4354" w14:cap="flat" w14:cmpd="sng">
                  <w14:solidFill>
                    <w14:srgbClr w14:val="000000"/>
                  </w14:solidFill>
                  <w14:prstDash w14:val="solid"/>
                  <w14:miter w14:val="10"/>
                </w14:textOutline>
              </w:rPr>
              <w:t>）符合性分析</w:t>
            </w:r>
          </w:p>
          <w:p>
            <w:pPr>
              <w:pStyle w:val="6"/>
              <w:spacing w:before="203" w:line="369" w:lineRule="auto"/>
              <w:ind w:right="15" w:firstLine="479"/>
              <w:rPr>
                <w:sz w:val="24"/>
                <w:szCs w:val="24"/>
              </w:rPr>
            </w:pPr>
            <w:r>
              <w:rPr>
                <w:spacing w:val="3"/>
                <w:sz w:val="24"/>
                <w:szCs w:val="24"/>
              </w:rPr>
              <w:t>根据规范要求“</w:t>
            </w:r>
            <w:r>
              <w:rPr>
                <w:spacing w:val="-85"/>
                <w:sz w:val="24"/>
                <w:szCs w:val="24"/>
              </w:rPr>
              <w:t xml:space="preserve"> </w:t>
            </w:r>
            <w:r>
              <w:rPr>
                <w:spacing w:val="3"/>
                <w:sz w:val="24"/>
                <w:szCs w:val="24"/>
              </w:rPr>
              <w:t>固液分离后产生的固体废物含水率</w:t>
            </w:r>
            <w:r>
              <w:rPr>
                <w:spacing w:val="2"/>
                <w:sz w:val="24"/>
                <w:szCs w:val="24"/>
              </w:rPr>
              <w:t xml:space="preserve">宜不大于 </w:t>
            </w:r>
            <w:r>
              <w:rPr>
                <w:rFonts w:ascii="Times New Roman" w:hAnsi="Times New Roman" w:eastAsia="Times New Roman" w:cs="Times New Roman"/>
                <w:spacing w:val="2"/>
                <w:sz w:val="24"/>
                <w:szCs w:val="24"/>
              </w:rPr>
              <w:t>60%</w:t>
            </w:r>
            <w:r>
              <w:rPr>
                <w:spacing w:val="2"/>
                <w:sz w:val="24"/>
                <w:szCs w:val="24"/>
              </w:rPr>
              <w:t>且不呈流动</w:t>
            </w:r>
            <w:r>
              <w:rPr>
                <w:sz w:val="24"/>
                <w:szCs w:val="24"/>
              </w:rPr>
              <w:t xml:space="preserve"> </w:t>
            </w:r>
            <w:r>
              <w:rPr>
                <w:spacing w:val="-6"/>
                <w:sz w:val="24"/>
                <w:szCs w:val="24"/>
              </w:rPr>
              <w:t>态。固液分离产生的固体废物应首先考虑资源化利用，</w:t>
            </w:r>
            <w:r>
              <w:rPr>
                <w:spacing w:val="61"/>
                <w:sz w:val="24"/>
                <w:szCs w:val="24"/>
              </w:rPr>
              <w:t xml:space="preserve"> </w:t>
            </w:r>
            <w:r>
              <w:rPr>
                <w:spacing w:val="-6"/>
                <w:sz w:val="24"/>
                <w:szCs w:val="24"/>
              </w:rPr>
              <w:t>不能资源化利用的应进行安</w:t>
            </w:r>
            <w:r>
              <w:rPr>
                <w:sz w:val="24"/>
                <w:szCs w:val="24"/>
              </w:rPr>
              <w:t xml:space="preserve"> </w:t>
            </w:r>
            <w:r>
              <w:rPr>
                <w:spacing w:val="-6"/>
                <w:sz w:val="24"/>
                <w:szCs w:val="24"/>
              </w:rPr>
              <w:t>全处置。处理过程中产生的污水优先考虑井场就地回用，</w:t>
            </w:r>
            <w:r>
              <w:rPr>
                <w:spacing w:val="61"/>
                <w:sz w:val="24"/>
                <w:szCs w:val="24"/>
              </w:rPr>
              <w:t xml:space="preserve"> </w:t>
            </w:r>
            <w:r>
              <w:rPr>
                <w:spacing w:val="-6"/>
                <w:sz w:val="24"/>
                <w:szCs w:val="24"/>
              </w:rPr>
              <w:t>包括但不限于设备清洗用</w:t>
            </w:r>
            <w:r>
              <w:rPr>
                <w:sz w:val="24"/>
                <w:szCs w:val="24"/>
              </w:rPr>
              <w:t xml:space="preserve"> </w:t>
            </w:r>
            <w:r>
              <w:rPr>
                <w:spacing w:val="-1"/>
                <w:sz w:val="24"/>
                <w:szCs w:val="24"/>
              </w:rPr>
              <w:t>水等。无法回用的废水（包括无法回用的污水、无</w:t>
            </w:r>
            <w:r>
              <w:rPr>
                <w:spacing w:val="-2"/>
                <w:sz w:val="24"/>
                <w:szCs w:val="24"/>
              </w:rPr>
              <w:t>法回收配浆的废钻井液等</w:t>
            </w:r>
            <w:r>
              <w:rPr>
                <w:spacing w:val="1"/>
                <w:sz w:val="24"/>
                <w:szCs w:val="24"/>
              </w:rPr>
              <w:t>），</w:t>
            </w:r>
            <w:r>
              <w:rPr>
                <w:spacing w:val="-2"/>
                <w:sz w:val="24"/>
                <w:szCs w:val="24"/>
              </w:rPr>
              <w:t>可</w:t>
            </w:r>
          </w:p>
          <w:p>
            <w:pPr>
              <w:pStyle w:val="6"/>
              <w:spacing w:before="1" w:line="219" w:lineRule="auto"/>
              <w:ind w:left="1"/>
              <w:rPr>
                <w:sz w:val="24"/>
                <w:szCs w:val="24"/>
              </w:rPr>
            </w:pPr>
            <w:r>
              <w:rPr>
                <w:spacing w:val="-1"/>
                <w:sz w:val="24"/>
                <w:szCs w:val="24"/>
              </w:rPr>
              <w:t>拉运至污水集中处理站进行处理或进入回注处理站</w:t>
            </w:r>
            <w:r>
              <w:rPr>
                <w:spacing w:val="-75"/>
                <w:sz w:val="24"/>
                <w:szCs w:val="24"/>
              </w:rPr>
              <w:t xml:space="preserve"> </w:t>
            </w:r>
            <w:r>
              <w:rPr>
                <w:spacing w:val="-1"/>
                <w:sz w:val="24"/>
                <w:szCs w:val="24"/>
              </w:rPr>
              <w:t>”。</w:t>
            </w:r>
          </w:p>
          <w:p>
            <w:pPr>
              <w:pStyle w:val="6"/>
              <w:spacing w:before="195" w:line="480" w:lineRule="exact"/>
              <w:ind w:left="480"/>
              <w:rPr>
                <w:sz w:val="24"/>
                <w:szCs w:val="24"/>
              </w:rPr>
            </w:pPr>
            <w:r>
              <w:rPr>
                <w:spacing w:val="-4"/>
                <w:position w:val="18"/>
                <w:sz w:val="24"/>
                <w:szCs w:val="24"/>
                <w14:textOutline w14:w="4354" w14:cap="flat" w14:cmpd="sng">
                  <w14:solidFill>
                    <w14:srgbClr w14:val="000000"/>
                  </w14:solidFill>
                  <w14:prstDash w14:val="solid"/>
                  <w14:miter w14:val="10"/>
                </w14:textOutline>
              </w:rPr>
              <w:t>液相资源化利用要求</w:t>
            </w:r>
            <w:r>
              <w:rPr>
                <w:spacing w:val="-4"/>
                <w:position w:val="18"/>
                <w:sz w:val="24"/>
                <w:szCs w:val="24"/>
              </w:rPr>
              <w:t>：“</w:t>
            </w:r>
            <w:r>
              <w:rPr>
                <w:spacing w:val="-82"/>
                <w:position w:val="18"/>
                <w:sz w:val="24"/>
                <w:szCs w:val="24"/>
              </w:rPr>
              <w:t xml:space="preserve"> </w:t>
            </w:r>
            <w:r>
              <w:rPr>
                <w:spacing w:val="-4"/>
                <w:position w:val="18"/>
                <w:sz w:val="24"/>
                <w:szCs w:val="24"/>
              </w:rPr>
              <w:t>固液分离技术分离后的液相相关指标达到井队钻井液</w:t>
            </w:r>
          </w:p>
          <w:p>
            <w:pPr>
              <w:pStyle w:val="6"/>
              <w:spacing w:before="1" w:line="218" w:lineRule="auto"/>
              <w:jc w:val="right"/>
              <w:rPr>
                <w:sz w:val="24"/>
                <w:szCs w:val="24"/>
              </w:rPr>
            </w:pPr>
            <w:r>
              <w:rPr>
                <w:spacing w:val="-15"/>
                <w:sz w:val="24"/>
                <w:szCs w:val="24"/>
              </w:rPr>
              <w:t>配浆要求， 宜首先考虑钻井液配浆。无法回用配浆的液相，</w:t>
            </w:r>
            <w:r>
              <w:rPr>
                <w:spacing w:val="39"/>
                <w:sz w:val="24"/>
                <w:szCs w:val="24"/>
              </w:rPr>
              <w:t xml:space="preserve"> </w:t>
            </w:r>
            <w:r>
              <w:rPr>
                <w:spacing w:val="-15"/>
                <w:sz w:val="24"/>
                <w:szCs w:val="24"/>
              </w:rPr>
              <w:t>作为设备清洗用水等</w:t>
            </w:r>
            <w:r>
              <w:rPr>
                <w:spacing w:val="-86"/>
                <w:sz w:val="24"/>
                <w:szCs w:val="24"/>
              </w:rPr>
              <w:t xml:space="preserve"> </w:t>
            </w:r>
            <w:r>
              <w:rPr>
                <w:spacing w:val="-15"/>
                <w:sz w:val="24"/>
                <w:szCs w:val="24"/>
              </w:rPr>
              <w:t>”。</w:t>
            </w:r>
          </w:p>
          <w:p>
            <w:pPr>
              <w:pStyle w:val="6"/>
              <w:spacing w:before="198" w:line="369" w:lineRule="auto"/>
              <w:ind w:firstLine="501"/>
              <w:rPr>
                <w:sz w:val="24"/>
                <w:szCs w:val="24"/>
              </w:rPr>
            </w:pPr>
            <w:r>
              <w:rPr>
                <w:spacing w:val="-3"/>
                <w:sz w:val="24"/>
                <w:szCs w:val="24"/>
                <w14:textOutline w14:w="4354" w14:cap="flat" w14:cmpd="sng">
                  <w14:solidFill>
                    <w14:srgbClr w14:val="000000"/>
                  </w14:solidFill>
                  <w14:prstDash w14:val="solid"/>
                  <w14:miter w14:val="10"/>
                </w14:textOutline>
              </w:rPr>
              <w:t>固相资源化利用要求</w:t>
            </w:r>
            <w:r>
              <w:rPr>
                <w:spacing w:val="-3"/>
                <w:sz w:val="24"/>
                <w:szCs w:val="24"/>
              </w:rPr>
              <w:t>：“清水钻进、空气钻或达到环保要求的水基钻井液产生</w:t>
            </w:r>
            <w:r>
              <w:rPr>
                <w:spacing w:val="5"/>
                <w:sz w:val="24"/>
                <w:szCs w:val="24"/>
              </w:rPr>
              <w:t xml:space="preserve"> </w:t>
            </w:r>
            <w:r>
              <w:rPr>
                <w:spacing w:val="-10"/>
                <w:sz w:val="24"/>
                <w:szCs w:val="24"/>
              </w:rPr>
              <w:t>的废弃物， 宜物理固液分离后制备铺路基土用于铺垫井场，</w:t>
            </w:r>
            <w:r>
              <w:rPr>
                <w:spacing w:val="52"/>
                <w:sz w:val="24"/>
                <w:szCs w:val="24"/>
              </w:rPr>
              <w:t xml:space="preserve"> </w:t>
            </w:r>
            <w:r>
              <w:rPr>
                <w:spacing w:val="-10"/>
                <w:sz w:val="24"/>
                <w:szCs w:val="24"/>
              </w:rPr>
              <w:t>或作为免烧砖骨料等产</w:t>
            </w:r>
            <w:r>
              <w:rPr>
                <w:sz w:val="24"/>
                <w:szCs w:val="24"/>
              </w:rPr>
              <w:t xml:space="preserve"> </w:t>
            </w:r>
            <w:r>
              <w:rPr>
                <w:spacing w:val="-8"/>
                <w:sz w:val="24"/>
                <w:szCs w:val="24"/>
              </w:rPr>
              <w:t>品；聚合物钻井液、聚磺钻井液废弃物等其他体系的水基钻井废弃物，</w:t>
            </w:r>
            <w:r>
              <w:rPr>
                <w:spacing w:val="91"/>
                <w:sz w:val="24"/>
                <w:szCs w:val="24"/>
              </w:rPr>
              <w:t xml:space="preserve"> </w:t>
            </w:r>
            <w:r>
              <w:rPr>
                <w:spacing w:val="-8"/>
                <w:sz w:val="24"/>
                <w:szCs w:val="24"/>
              </w:rPr>
              <w:t>固液分离处</w:t>
            </w:r>
            <w:r>
              <w:rPr>
                <w:sz w:val="24"/>
                <w:szCs w:val="24"/>
              </w:rPr>
              <w:t xml:space="preserve"> </w:t>
            </w:r>
            <w:r>
              <w:rPr>
                <w:spacing w:val="-2"/>
                <w:sz w:val="24"/>
                <w:szCs w:val="24"/>
              </w:rPr>
              <w:t>理或无害化处理后宜制备免烧砖、免烧砌块、免烧陶粒、烧结砖等产品</w:t>
            </w:r>
            <w:r>
              <w:rPr>
                <w:spacing w:val="-3"/>
                <w:sz w:val="24"/>
                <w:szCs w:val="24"/>
              </w:rPr>
              <w:t>。水基钻井</w:t>
            </w:r>
            <w:r>
              <w:rPr>
                <w:sz w:val="24"/>
                <w:szCs w:val="24"/>
              </w:rPr>
              <w:t xml:space="preserve"> </w:t>
            </w:r>
            <w:r>
              <w:rPr>
                <w:spacing w:val="-7"/>
                <w:sz w:val="24"/>
                <w:szCs w:val="24"/>
              </w:rPr>
              <w:t>废弃物经固液分离后，</w:t>
            </w:r>
            <w:r>
              <w:rPr>
                <w:spacing w:val="54"/>
                <w:sz w:val="24"/>
                <w:szCs w:val="24"/>
              </w:rPr>
              <w:t xml:space="preserve"> </w:t>
            </w:r>
            <w:r>
              <w:rPr>
                <w:spacing w:val="-7"/>
                <w:sz w:val="24"/>
                <w:szCs w:val="24"/>
              </w:rPr>
              <w:t>可作为水泥窑协同处置的原料。其协同处置过程的技术要求</w:t>
            </w:r>
            <w:r>
              <w:rPr>
                <w:sz w:val="24"/>
                <w:szCs w:val="24"/>
              </w:rPr>
              <w:t xml:space="preserve"> </w:t>
            </w:r>
            <w:r>
              <w:rPr>
                <w:spacing w:val="-2"/>
                <w:sz w:val="24"/>
                <w:szCs w:val="24"/>
              </w:rPr>
              <w:t>和污染控制要求，应符合《水泥窑协同处置固体废物技术规范》（</w:t>
            </w:r>
            <w:r>
              <w:rPr>
                <w:rFonts w:ascii="Times New Roman" w:hAnsi="Times New Roman" w:eastAsia="Times New Roman" w:cs="Times New Roman"/>
                <w:spacing w:val="-2"/>
                <w:sz w:val="24"/>
                <w:szCs w:val="24"/>
              </w:rPr>
              <w:t>GB30760-2014</w:t>
            </w:r>
            <w:r>
              <w:rPr>
                <w:spacing w:val="-2"/>
                <w:sz w:val="24"/>
                <w:szCs w:val="24"/>
              </w:rPr>
              <w:t>）</w:t>
            </w:r>
          </w:p>
          <w:p>
            <w:pPr>
              <w:pStyle w:val="6"/>
              <w:spacing w:line="219" w:lineRule="auto"/>
              <w:ind w:left="2"/>
              <w:rPr>
                <w:sz w:val="24"/>
                <w:szCs w:val="24"/>
              </w:rPr>
            </w:pPr>
            <w:r>
              <w:rPr>
                <w:spacing w:val="-4"/>
                <w:sz w:val="24"/>
                <w:szCs w:val="24"/>
              </w:rPr>
              <w:t>等要求</w:t>
            </w:r>
            <w:r>
              <w:rPr>
                <w:spacing w:val="-85"/>
                <w:sz w:val="24"/>
                <w:szCs w:val="24"/>
              </w:rPr>
              <w:t xml:space="preserve"> </w:t>
            </w:r>
            <w:r>
              <w:rPr>
                <w:spacing w:val="-4"/>
                <w:sz w:val="24"/>
                <w:szCs w:val="24"/>
              </w:rPr>
              <w:t>”。</w:t>
            </w:r>
          </w:p>
          <w:p>
            <w:pPr>
              <w:pStyle w:val="6"/>
              <w:spacing w:before="196" w:line="369" w:lineRule="auto"/>
              <w:ind w:right="13" w:firstLine="481"/>
              <w:rPr>
                <w:sz w:val="24"/>
                <w:szCs w:val="24"/>
              </w:rPr>
            </w:pPr>
            <w:r>
              <w:rPr>
                <w:spacing w:val="-1"/>
                <w:sz w:val="24"/>
                <w:szCs w:val="24"/>
              </w:rPr>
              <w:t>本项目设置清洁化操作平台收集处理钻井固废，通过离心分离机及压滤机</w:t>
            </w:r>
            <w:r>
              <w:rPr>
                <w:spacing w:val="-2"/>
                <w:sz w:val="24"/>
                <w:szCs w:val="24"/>
              </w:rPr>
              <w:t>对固</w:t>
            </w:r>
            <w:r>
              <w:rPr>
                <w:sz w:val="24"/>
                <w:szCs w:val="24"/>
              </w:rPr>
              <w:t xml:space="preserve"> </w:t>
            </w:r>
            <w:r>
              <w:rPr>
                <w:spacing w:val="-9"/>
                <w:sz w:val="24"/>
                <w:szCs w:val="24"/>
              </w:rPr>
              <w:t>废进行脱水、固化，</w:t>
            </w:r>
            <w:r>
              <w:rPr>
                <w:spacing w:val="62"/>
                <w:sz w:val="24"/>
                <w:szCs w:val="24"/>
              </w:rPr>
              <w:t xml:space="preserve"> </w:t>
            </w:r>
            <w:r>
              <w:rPr>
                <w:spacing w:val="-9"/>
                <w:sz w:val="24"/>
                <w:szCs w:val="24"/>
              </w:rPr>
              <w:t>分离出的废水经预处理后回用钻井， 不能回用的废水运至四川</w:t>
            </w:r>
          </w:p>
          <w:p>
            <w:pPr>
              <w:pStyle w:val="6"/>
              <w:spacing w:before="1" w:line="218" w:lineRule="auto"/>
              <w:rPr>
                <w:sz w:val="24"/>
                <w:szCs w:val="24"/>
              </w:rPr>
            </w:pPr>
            <w:r>
              <w:rPr>
                <w:spacing w:val="6"/>
                <w:sz w:val="24"/>
                <w:szCs w:val="24"/>
              </w:rPr>
              <w:t>瑞利生物科技有限公司污水处理厂处理。脱水后水基钻井废弃物含水</w:t>
            </w:r>
            <w:r>
              <w:rPr>
                <w:spacing w:val="5"/>
                <w:sz w:val="24"/>
                <w:szCs w:val="24"/>
              </w:rPr>
              <w:t>率可控制在</w:t>
            </w:r>
          </w:p>
        </w:tc>
      </w:tr>
    </w:tbl>
    <w:p>
      <w:pPr>
        <w:pStyle w:val="2"/>
        <w:rPr>
          <w:sz w:val="21"/>
        </w:rPr>
      </w:pPr>
    </w:p>
    <w:p>
      <w:pPr>
        <w:rPr>
          <w:sz w:val="21"/>
          <w:szCs w:val="21"/>
        </w:rPr>
        <w:sectPr>
          <w:footerReference r:id="rId24"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4496"/>
        <w:gridCol w:w="3306"/>
        <w:gridCol w:w="8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3" w:hRule="atLeast"/>
        </w:trPr>
        <w:tc>
          <w:tcPr>
            <w:tcW w:w="467" w:type="dxa"/>
            <w:vMerge w:val="restart"/>
            <w:tcBorders>
              <w:bottom w:val="nil"/>
            </w:tcBorders>
            <w:vAlign w:val="top"/>
          </w:tcPr>
          <w:p>
            <w:pPr>
              <w:rPr>
                <w:rFonts w:ascii="Arial"/>
                <w:sz w:val="21"/>
              </w:rPr>
            </w:pPr>
          </w:p>
        </w:tc>
        <w:tc>
          <w:tcPr>
            <w:tcW w:w="8630" w:type="dxa"/>
            <w:gridSpan w:val="3"/>
            <w:vAlign w:val="top"/>
          </w:tcPr>
          <w:p>
            <w:pPr>
              <w:pStyle w:val="6"/>
              <w:spacing w:before="200" w:line="369" w:lineRule="auto"/>
              <w:ind w:left="5" w:right="14" w:hanging="4"/>
              <w:jc w:val="both"/>
              <w:rPr>
                <w:sz w:val="24"/>
                <w:szCs w:val="24"/>
              </w:rPr>
            </w:pPr>
            <w:r>
              <w:rPr>
                <w:rFonts w:ascii="Times New Roman" w:hAnsi="Times New Roman" w:eastAsia="Times New Roman" w:cs="Times New Roman"/>
                <w:sz w:val="24"/>
                <w:szCs w:val="24"/>
              </w:rPr>
              <w:t>60%</w:t>
            </w:r>
            <w:r>
              <w:rPr>
                <w:sz w:val="24"/>
                <w:szCs w:val="24"/>
              </w:rPr>
              <w:t xml:space="preserve">以下，然后交给依法取得生态环境部门环评批复、具有处理处置相应固体废物 </w:t>
            </w:r>
            <w:r>
              <w:rPr>
                <w:spacing w:val="-1"/>
                <w:sz w:val="24"/>
                <w:szCs w:val="24"/>
              </w:rPr>
              <w:t>能力并配套建设有废气、废水、固废等污染物治理设施的砖厂处置，最终作为</w:t>
            </w:r>
            <w:r>
              <w:rPr>
                <w:spacing w:val="-2"/>
                <w:sz w:val="24"/>
                <w:szCs w:val="24"/>
              </w:rPr>
              <w:t>水泥</w:t>
            </w:r>
            <w:r>
              <w:rPr>
                <w:sz w:val="24"/>
                <w:szCs w:val="24"/>
              </w:rPr>
              <w:t xml:space="preserve"> </w:t>
            </w:r>
            <w:r>
              <w:rPr>
                <w:spacing w:val="-1"/>
                <w:sz w:val="24"/>
                <w:szCs w:val="24"/>
              </w:rPr>
              <w:t>窑协同处置的原料或烧结砖。符合《陆上石油天然气开</w:t>
            </w:r>
            <w:r>
              <w:rPr>
                <w:spacing w:val="-2"/>
                <w:sz w:val="24"/>
                <w:szCs w:val="24"/>
              </w:rPr>
              <w:t>采水基钻井废弃物处理处置</w:t>
            </w:r>
          </w:p>
          <w:p>
            <w:pPr>
              <w:pStyle w:val="6"/>
              <w:spacing w:line="219" w:lineRule="auto"/>
              <w:rPr>
                <w:sz w:val="24"/>
                <w:szCs w:val="24"/>
              </w:rPr>
            </w:pPr>
            <w:r>
              <w:rPr>
                <w:spacing w:val="-1"/>
                <w:sz w:val="24"/>
                <w:szCs w:val="24"/>
              </w:rPr>
              <w:t>及资源化利用技术规范》（</w:t>
            </w:r>
            <w:r>
              <w:rPr>
                <w:rFonts w:ascii="Times New Roman" w:hAnsi="Times New Roman" w:eastAsia="Times New Roman" w:cs="Times New Roman"/>
                <w:spacing w:val="-1"/>
                <w:sz w:val="24"/>
                <w:szCs w:val="24"/>
              </w:rPr>
              <w:t>SY/T 7466</w:t>
            </w:r>
            <w:r>
              <w:rPr>
                <w:rFonts w:ascii="Times New Roman" w:hAnsi="Times New Roman" w:eastAsia="Times New Roman" w:cs="Times New Roman"/>
                <w:spacing w:val="-2"/>
                <w:sz w:val="24"/>
                <w:szCs w:val="24"/>
              </w:rPr>
              <w:t>-2020</w:t>
            </w:r>
            <w:r>
              <w:rPr>
                <w:spacing w:val="-2"/>
                <w:sz w:val="24"/>
                <w:szCs w:val="24"/>
              </w:rPr>
              <w:t>）相关要求。</w:t>
            </w:r>
          </w:p>
          <w:p>
            <w:pPr>
              <w:pStyle w:val="6"/>
              <w:spacing w:before="225" w:line="219" w:lineRule="auto"/>
              <w:ind w:left="7"/>
              <w:rPr>
                <w:sz w:val="24"/>
                <w:szCs w:val="24"/>
              </w:rPr>
            </w:pPr>
            <w:r>
              <w:rPr>
                <w:rFonts w:ascii="Times New Roman" w:hAnsi="Times New Roman" w:eastAsia="Times New Roman" w:cs="Times New Roman"/>
                <w:b/>
                <w:bCs/>
                <w:sz w:val="24"/>
                <w:szCs w:val="24"/>
              </w:rPr>
              <w:t>1.4.5</w:t>
            </w:r>
            <w:r>
              <w:rPr>
                <w:sz w:val="24"/>
                <w:szCs w:val="24"/>
                <w14:textOutline w14:w="4354" w14:cap="flat" w14:cmpd="sng">
                  <w14:solidFill>
                    <w14:srgbClr w14:val="000000"/>
                  </w14:solidFill>
                  <w14:prstDash w14:val="solid"/>
                  <w14:miter w14:val="10"/>
                </w14:textOutline>
              </w:rPr>
              <w:t>《地下水管理条例》（国务院令</w:t>
            </w:r>
            <w:r>
              <w:rPr>
                <w:sz w:val="24"/>
                <w:szCs w:val="24"/>
              </w:rPr>
              <w:t xml:space="preserve"> </w:t>
            </w:r>
            <w:r>
              <w:rPr>
                <w:sz w:val="24"/>
                <w:szCs w:val="24"/>
                <w14:textOutline w14:w="4354" w14:cap="flat" w14:cmpd="sng">
                  <w14:solidFill>
                    <w14:srgbClr w14:val="000000"/>
                  </w14:solidFill>
                  <w14:prstDash w14:val="solid"/>
                  <w14:miter w14:val="10"/>
                </w14:textOutline>
              </w:rPr>
              <w:t>第</w:t>
            </w:r>
            <w:r>
              <w:rPr>
                <w:spacing w:val="-50"/>
                <w:sz w:val="24"/>
                <w:szCs w:val="24"/>
              </w:rPr>
              <w:t xml:space="preserve"> </w:t>
            </w:r>
            <w:r>
              <w:rPr>
                <w:rFonts w:ascii="Times New Roman" w:hAnsi="Times New Roman" w:eastAsia="Times New Roman" w:cs="Times New Roman"/>
                <w:b/>
                <w:bCs/>
                <w:sz w:val="24"/>
                <w:szCs w:val="24"/>
              </w:rPr>
              <w:t xml:space="preserve">748 </w:t>
            </w:r>
            <w:r>
              <w:rPr>
                <w:sz w:val="24"/>
                <w:szCs w:val="24"/>
                <w14:textOutline w14:w="4354" w14:cap="flat" w14:cmpd="sng">
                  <w14:solidFill>
                    <w14:srgbClr w14:val="000000"/>
                  </w14:solidFill>
                  <w14:prstDash w14:val="solid"/>
                  <w14:miter w14:val="10"/>
                </w14:textOutline>
              </w:rPr>
              <w:t>号</w:t>
            </w:r>
            <w:r>
              <w:rPr>
                <w:spacing w:val="-1"/>
                <w:sz w:val="24"/>
                <w:szCs w:val="24"/>
                <w14:textOutline w14:w="4354" w14:cap="flat" w14:cmpd="sng">
                  <w14:solidFill>
                    <w14:srgbClr w14:val="000000"/>
                  </w14:solidFill>
                  <w14:prstDash w14:val="solid"/>
                  <w14:miter w14:val="10"/>
                </w14:textOutline>
              </w:rPr>
              <w:t>）符合性分析</w:t>
            </w:r>
          </w:p>
          <w:p>
            <w:pPr>
              <w:pStyle w:val="6"/>
              <w:spacing w:before="202" w:line="480" w:lineRule="exact"/>
              <w:ind w:right="16"/>
              <w:jc w:val="right"/>
              <w:rPr>
                <w:sz w:val="24"/>
                <w:szCs w:val="24"/>
              </w:rPr>
            </w:pPr>
            <w:r>
              <w:rPr>
                <w:spacing w:val="-1"/>
                <w:position w:val="18"/>
                <w:sz w:val="24"/>
                <w:szCs w:val="24"/>
              </w:rPr>
              <w:t xml:space="preserve">本项目与《地下水管理条例》（国务院令 第 </w:t>
            </w:r>
            <w:r>
              <w:rPr>
                <w:rFonts w:ascii="Times New Roman" w:hAnsi="Times New Roman" w:eastAsia="Times New Roman" w:cs="Times New Roman"/>
                <w:spacing w:val="-1"/>
                <w:position w:val="18"/>
                <w:sz w:val="24"/>
                <w:szCs w:val="24"/>
              </w:rPr>
              <w:t xml:space="preserve">748  </w:t>
            </w:r>
            <w:r>
              <w:rPr>
                <w:spacing w:val="-1"/>
                <w:position w:val="18"/>
                <w:sz w:val="24"/>
                <w:szCs w:val="24"/>
              </w:rPr>
              <w:t>号）相关要求符合性分析见</w:t>
            </w:r>
          </w:p>
          <w:p>
            <w:pPr>
              <w:pStyle w:val="6"/>
              <w:spacing w:before="1" w:line="220" w:lineRule="auto"/>
              <w:ind w:left="7"/>
              <w:rPr>
                <w:sz w:val="24"/>
                <w:szCs w:val="24"/>
              </w:rPr>
            </w:pPr>
            <w:r>
              <w:rPr>
                <w:spacing w:val="-16"/>
                <w:sz w:val="24"/>
                <w:szCs w:val="24"/>
              </w:rPr>
              <w:t>下表：</w:t>
            </w:r>
          </w:p>
          <w:p>
            <w:pPr>
              <w:pStyle w:val="6"/>
              <w:spacing w:before="192" w:line="220" w:lineRule="auto"/>
              <w:ind w:left="1979"/>
              <w:rPr>
                <w:sz w:val="24"/>
                <w:szCs w:val="24"/>
              </w:rPr>
            </w:pPr>
            <w:r>
              <w:rPr>
                <w:spacing w:val="-1"/>
                <w:sz w:val="24"/>
                <w:szCs w:val="24"/>
                <w14:textOutline w14:w="4354" w14:cap="flat" w14:cmpd="sng">
                  <w14:solidFill>
                    <w14:srgbClr w14:val="000000"/>
                  </w14:solidFill>
                  <w14:prstDash w14:val="solid"/>
                  <w14:miter w14:val="10"/>
                </w14:textOutline>
              </w:rPr>
              <w:t>表</w:t>
            </w:r>
            <w:r>
              <w:rPr>
                <w:spacing w:val="-29"/>
                <w:sz w:val="24"/>
                <w:szCs w:val="24"/>
              </w:rPr>
              <w:t xml:space="preserve"> </w:t>
            </w:r>
            <w:r>
              <w:rPr>
                <w:rFonts w:ascii="Times New Roman" w:hAnsi="Times New Roman" w:eastAsia="Times New Roman" w:cs="Times New Roman"/>
                <w:b/>
                <w:bCs/>
                <w:spacing w:val="-1"/>
                <w:sz w:val="24"/>
                <w:szCs w:val="24"/>
              </w:rPr>
              <w:t xml:space="preserve">1.4-3    </w:t>
            </w:r>
            <w:r>
              <w:rPr>
                <w:spacing w:val="-1"/>
                <w:sz w:val="24"/>
                <w:szCs w:val="24"/>
                <w14:textOutline w14:w="4354" w14:cap="flat" w14:cmpd="sng">
                  <w14:solidFill>
                    <w14:srgbClr w14:val="000000"/>
                  </w14:solidFill>
                  <w14:prstDash w14:val="solid"/>
                  <w14:miter w14:val="10"/>
                </w14:textOutline>
              </w:rPr>
              <w:t>《地下水管理条例》符合性分析表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67" w:type="dxa"/>
            <w:vMerge w:val="continue"/>
            <w:tcBorders>
              <w:top w:val="nil"/>
              <w:bottom w:val="nil"/>
            </w:tcBorders>
            <w:vAlign w:val="top"/>
          </w:tcPr>
          <w:p>
            <w:pPr>
              <w:rPr>
                <w:rFonts w:ascii="Arial"/>
                <w:sz w:val="21"/>
              </w:rPr>
            </w:pPr>
          </w:p>
        </w:tc>
        <w:tc>
          <w:tcPr>
            <w:tcW w:w="4496" w:type="dxa"/>
            <w:vAlign w:val="top"/>
          </w:tcPr>
          <w:p>
            <w:pPr>
              <w:pStyle w:val="6"/>
              <w:spacing w:before="169" w:line="221" w:lineRule="auto"/>
              <w:ind w:left="1828"/>
              <w:rPr>
                <w:sz w:val="21"/>
                <w:szCs w:val="21"/>
              </w:rPr>
            </w:pPr>
            <w:r>
              <w:rPr>
                <w:spacing w:val="-2"/>
                <w:sz w:val="21"/>
                <w:szCs w:val="21"/>
              </w:rPr>
              <w:t>相关要求</w:t>
            </w:r>
          </w:p>
        </w:tc>
        <w:tc>
          <w:tcPr>
            <w:tcW w:w="3306" w:type="dxa"/>
            <w:vAlign w:val="top"/>
          </w:tcPr>
          <w:p>
            <w:pPr>
              <w:pStyle w:val="6"/>
              <w:spacing w:before="169" w:line="221" w:lineRule="auto"/>
              <w:ind w:left="1236"/>
              <w:rPr>
                <w:sz w:val="21"/>
                <w:szCs w:val="21"/>
              </w:rPr>
            </w:pPr>
            <w:r>
              <w:rPr>
                <w:spacing w:val="-3"/>
                <w:sz w:val="21"/>
                <w:szCs w:val="21"/>
              </w:rPr>
              <w:t>项目情况</w:t>
            </w:r>
          </w:p>
        </w:tc>
        <w:tc>
          <w:tcPr>
            <w:tcW w:w="828" w:type="dxa"/>
            <w:vAlign w:val="top"/>
          </w:tcPr>
          <w:p>
            <w:pPr>
              <w:pStyle w:val="6"/>
              <w:spacing w:before="31" w:line="241" w:lineRule="auto"/>
              <w:ind w:left="199"/>
              <w:rPr>
                <w:sz w:val="21"/>
                <w:szCs w:val="21"/>
              </w:rPr>
            </w:pPr>
            <w:r>
              <w:rPr>
                <w:spacing w:val="-2"/>
                <w:sz w:val="21"/>
                <w:szCs w:val="21"/>
              </w:rPr>
              <w:t>符合</w:t>
            </w:r>
          </w:p>
          <w:p>
            <w:pPr>
              <w:pStyle w:val="6"/>
              <w:spacing w:before="1" w:line="205" w:lineRule="auto"/>
              <w:ind w:left="303"/>
              <w:rPr>
                <w:sz w:val="21"/>
                <w:szCs w:val="21"/>
              </w:rPr>
            </w:pPr>
            <w:r>
              <w:rPr>
                <w:sz w:val="21"/>
                <w:szCs w:val="21"/>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467" w:type="dxa"/>
            <w:vMerge w:val="continue"/>
            <w:tcBorders>
              <w:top w:val="nil"/>
              <w:bottom w:val="nil"/>
            </w:tcBorders>
            <w:vAlign w:val="top"/>
          </w:tcPr>
          <w:p>
            <w:pPr>
              <w:rPr>
                <w:rFonts w:ascii="Arial"/>
                <w:sz w:val="21"/>
              </w:rPr>
            </w:pPr>
          </w:p>
        </w:tc>
        <w:tc>
          <w:tcPr>
            <w:tcW w:w="4496" w:type="dxa"/>
            <w:vAlign w:val="top"/>
          </w:tcPr>
          <w:p>
            <w:pPr>
              <w:pStyle w:val="6"/>
              <w:spacing w:before="34" w:line="233" w:lineRule="auto"/>
              <w:ind w:left="144" w:right="148" w:firstLine="1"/>
              <w:jc w:val="both"/>
              <w:rPr>
                <w:sz w:val="21"/>
                <w:szCs w:val="21"/>
              </w:rPr>
            </w:pPr>
            <w:r>
              <w:rPr>
                <w:spacing w:val="-1"/>
                <w:sz w:val="21"/>
                <w:szCs w:val="21"/>
              </w:rPr>
              <w:t>禁止下列污染或者可能污染地下水的行为：利</w:t>
            </w:r>
            <w:r>
              <w:rPr>
                <w:sz w:val="21"/>
                <w:szCs w:val="21"/>
              </w:rPr>
              <w:t xml:space="preserve"> </w:t>
            </w:r>
            <w:r>
              <w:rPr>
                <w:spacing w:val="-1"/>
                <w:sz w:val="21"/>
                <w:szCs w:val="21"/>
              </w:rPr>
              <w:t>用渗井、渗坑、裂隙、溶洞以及私设暗管等逃</w:t>
            </w:r>
            <w:r>
              <w:rPr>
                <w:spacing w:val="17"/>
                <w:sz w:val="21"/>
                <w:szCs w:val="21"/>
              </w:rPr>
              <w:t xml:space="preserve"> </w:t>
            </w:r>
            <w:r>
              <w:rPr>
                <w:spacing w:val="-1"/>
                <w:sz w:val="21"/>
                <w:szCs w:val="21"/>
              </w:rPr>
              <w:t>避监管的方式排放水污染物；利用岩层孔隙、</w:t>
            </w:r>
          </w:p>
          <w:p>
            <w:pPr>
              <w:pStyle w:val="6"/>
              <w:spacing w:before="19" w:line="221" w:lineRule="auto"/>
              <w:ind w:right="5"/>
              <w:jc w:val="right"/>
              <w:rPr>
                <w:sz w:val="21"/>
                <w:szCs w:val="21"/>
              </w:rPr>
            </w:pPr>
            <w:r>
              <w:rPr>
                <w:spacing w:val="-2"/>
                <w:sz w:val="21"/>
                <w:szCs w:val="21"/>
              </w:rPr>
              <w:t>裂隙、溶洞、废弃矿坑等贮存石化原料及产品、</w:t>
            </w:r>
          </w:p>
          <w:p>
            <w:pPr>
              <w:pStyle w:val="6"/>
              <w:spacing w:before="22" w:line="221" w:lineRule="auto"/>
              <w:ind w:left="145"/>
              <w:rPr>
                <w:sz w:val="21"/>
                <w:szCs w:val="21"/>
              </w:rPr>
            </w:pPr>
            <w:r>
              <w:rPr>
                <w:spacing w:val="-1"/>
                <w:sz w:val="21"/>
                <w:szCs w:val="21"/>
              </w:rPr>
              <w:t>农药、危险废物、城镇污水处理设施产生的污</w:t>
            </w:r>
          </w:p>
          <w:p>
            <w:pPr>
              <w:pStyle w:val="6"/>
              <w:spacing w:before="19" w:line="221" w:lineRule="auto"/>
              <w:ind w:left="147"/>
              <w:rPr>
                <w:sz w:val="21"/>
                <w:szCs w:val="21"/>
              </w:rPr>
            </w:pPr>
            <w:r>
              <w:rPr>
                <w:spacing w:val="-1"/>
                <w:sz w:val="21"/>
                <w:szCs w:val="21"/>
              </w:rPr>
              <w:t>泥和处理后的污泥或者其他有毒有害物质；利</w:t>
            </w:r>
          </w:p>
          <w:p>
            <w:pPr>
              <w:pStyle w:val="6"/>
              <w:spacing w:before="20" w:line="221" w:lineRule="auto"/>
              <w:ind w:left="147"/>
              <w:rPr>
                <w:sz w:val="21"/>
                <w:szCs w:val="21"/>
              </w:rPr>
            </w:pPr>
            <w:r>
              <w:rPr>
                <w:spacing w:val="-1"/>
                <w:sz w:val="21"/>
                <w:szCs w:val="21"/>
              </w:rPr>
              <w:t>用无防渗漏措施的沟渠、坑塘等输送或者贮存</w:t>
            </w:r>
          </w:p>
          <w:p>
            <w:pPr>
              <w:pStyle w:val="6"/>
              <w:spacing w:before="22" w:line="221" w:lineRule="auto"/>
              <w:ind w:left="145"/>
              <w:rPr>
                <w:sz w:val="21"/>
                <w:szCs w:val="21"/>
              </w:rPr>
            </w:pPr>
            <w:r>
              <w:rPr>
                <w:spacing w:val="-1"/>
                <w:sz w:val="21"/>
                <w:szCs w:val="21"/>
              </w:rPr>
              <w:t>含有毒污染物的废水、含病原体的污水和其他</w:t>
            </w:r>
          </w:p>
          <w:p>
            <w:pPr>
              <w:pStyle w:val="6"/>
              <w:spacing w:before="20" w:line="221" w:lineRule="auto"/>
              <w:ind w:left="144"/>
              <w:rPr>
                <w:sz w:val="21"/>
                <w:szCs w:val="21"/>
              </w:rPr>
            </w:pPr>
            <w:r>
              <w:rPr>
                <w:spacing w:val="-1"/>
                <w:sz w:val="21"/>
                <w:szCs w:val="21"/>
              </w:rPr>
              <w:t>废弃物；法律、法规禁止的其他污染或者可能</w:t>
            </w:r>
          </w:p>
          <w:p>
            <w:pPr>
              <w:pStyle w:val="6"/>
              <w:spacing w:before="23" w:line="205" w:lineRule="auto"/>
              <w:ind w:left="1304"/>
              <w:rPr>
                <w:sz w:val="21"/>
                <w:szCs w:val="21"/>
              </w:rPr>
            </w:pPr>
            <w:r>
              <w:rPr>
                <w:spacing w:val="-3"/>
                <w:sz w:val="21"/>
                <w:szCs w:val="21"/>
              </w:rPr>
              <w:t>污染地下水的行为。</w:t>
            </w:r>
          </w:p>
        </w:tc>
        <w:tc>
          <w:tcPr>
            <w:tcW w:w="3306" w:type="dxa"/>
            <w:vAlign w:val="top"/>
          </w:tcPr>
          <w:p>
            <w:pPr>
              <w:pStyle w:val="6"/>
              <w:spacing w:before="170" w:line="237" w:lineRule="auto"/>
              <w:ind w:left="107" w:right="28" w:firstLine="75"/>
              <w:jc w:val="both"/>
              <w:rPr>
                <w:sz w:val="21"/>
                <w:szCs w:val="21"/>
              </w:rPr>
            </w:pPr>
            <w:r>
              <w:rPr>
                <w:spacing w:val="-1"/>
                <w:sz w:val="21"/>
                <w:szCs w:val="21"/>
              </w:rPr>
              <w:t>本项目生产废水外运合规污水处</w:t>
            </w:r>
            <w:r>
              <w:rPr>
                <w:spacing w:val="4"/>
                <w:sz w:val="21"/>
                <w:szCs w:val="21"/>
              </w:rPr>
              <w:t xml:space="preserve">  </w:t>
            </w:r>
            <w:r>
              <w:rPr>
                <w:spacing w:val="-5"/>
                <w:sz w:val="21"/>
                <w:szCs w:val="21"/>
              </w:rPr>
              <w:t xml:space="preserve">理厂处理，生活污水经环保厕所处 </w:t>
            </w:r>
            <w:r>
              <w:rPr>
                <w:spacing w:val="5"/>
                <w:sz w:val="21"/>
                <w:szCs w:val="21"/>
              </w:rPr>
              <w:t>理后通过罐车拉运至附近乡镇污</w:t>
            </w:r>
            <w:r>
              <w:rPr>
                <w:sz w:val="21"/>
                <w:szCs w:val="21"/>
              </w:rPr>
              <w:t xml:space="preserve">  </w:t>
            </w:r>
            <w:r>
              <w:rPr>
                <w:spacing w:val="-5"/>
                <w:sz w:val="21"/>
                <w:szCs w:val="21"/>
              </w:rPr>
              <w:t xml:space="preserve">水处理站处理。设置危险废物储存 </w:t>
            </w:r>
            <w:r>
              <w:rPr>
                <w:spacing w:val="-16"/>
                <w:sz w:val="21"/>
                <w:szCs w:val="21"/>
              </w:rPr>
              <w:t>区，</w:t>
            </w:r>
            <w:r>
              <w:rPr>
                <w:spacing w:val="-45"/>
                <w:sz w:val="21"/>
                <w:szCs w:val="21"/>
              </w:rPr>
              <w:t xml:space="preserve"> </w:t>
            </w:r>
            <w:r>
              <w:rPr>
                <w:spacing w:val="-16"/>
                <w:sz w:val="21"/>
                <w:szCs w:val="21"/>
              </w:rPr>
              <w:t>并采取“六防”（防风、防雨、</w:t>
            </w:r>
            <w:r>
              <w:rPr>
                <w:sz w:val="21"/>
                <w:szCs w:val="21"/>
              </w:rPr>
              <w:t xml:space="preserve"> </w:t>
            </w:r>
            <w:r>
              <w:rPr>
                <w:spacing w:val="-1"/>
                <w:sz w:val="21"/>
                <w:szCs w:val="21"/>
              </w:rPr>
              <w:t>防晒、防渗、防漏、防腐）措施。</w:t>
            </w:r>
            <w:r>
              <w:rPr>
                <w:spacing w:val="8"/>
                <w:sz w:val="21"/>
                <w:szCs w:val="21"/>
              </w:rPr>
              <w:t xml:space="preserve"> </w:t>
            </w:r>
            <w:r>
              <w:rPr>
                <w:spacing w:val="-5"/>
                <w:sz w:val="21"/>
                <w:szCs w:val="21"/>
              </w:rPr>
              <w:t xml:space="preserve">项目采取分区防渗措施。不涉及相 </w:t>
            </w:r>
            <w:r>
              <w:rPr>
                <w:spacing w:val="5"/>
                <w:sz w:val="21"/>
                <w:szCs w:val="21"/>
              </w:rPr>
              <w:t>关禁止污染或者可能污染地下水</w:t>
            </w:r>
          </w:p>
          <w:p>
            <w:pPr>
              <w:pStyle w:val="6"/>
              <w:spacing w:before="20" w:line="221" w:lineRule="auto"/>
              <w:ind w:left="1250"/>
              <w:rPr>
                <w:sz w:val="21"/>
                <w:szCs w:val="21"/>
              </w:rPr>
            </w:pPr>
            <w:r>
              <w:rPr>
                <w:spacing w:val="-6"/>
                <w:sz w:val="21"/>
                <w:szCs w:val="21"/>
              </w:rPr>
              <w:t>的行为。</w:t>
            </w:r>
          </w:p>
        </w:tc>
        <w:tc>
          <w:tcPr>
            <w:tcW w:w="828"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9" w:line="221" w:lineRule="auto"/>
              <w:ind w:left="19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467" w:type="dxa"/>
            <w:vMerge w:val="continue"/>
            <w:tcBorders>
              <w:top w:val="nil"/>
              <w:bottom w:val="nil"/>
            </w:tcBorders>
            <w:vAlign w:val="top"/>
          </w:tcPr>
          <w:p>
            <w:pPr>
              <w:rPr>
                <w:rFonts w:ascii="Arial"/>
                <w:sz w:val="21"/>
              </w:rPr>
            </w:pPr>
          </w:p>
        </w:tc>
        <w:tc>
          <w:tcPr>
            <w:tcW w:w="4496" w:type="dxa"/>
            <w:vAlign w:val="top"/>
          </w:tcPr>
          <w:p>
            <w:pPr>
              <w:pStyle w:val="6"/>
              <w:spacing w:before="35" w:line="235" w:lineRule="auto"/>
              <w:ind w:left="144" w:right="148" w:firstLine="5"/>
              <w:jc w:val="both"/>
              <w:rPr>
                <w:sz w:val="21"/>
                <w:szCs w:val="21"/>
              </w:rPr>
            </w:pPr>
            <w:r>
              <w:rPr>
                <w:spacing w:val="-1"/>
                <w:sz w:val="21"/>
                <w:szCs w:val="21"/>
              </w:rPr>
              <w:t>兴建地下工程设施或者进行地下勘探、采矿等</w:t>
            </w:r>
            <w:r>
              <w:rPr>
                <w:spacing w:val="11"/>
                <w:sz w:val="21"/>
                <w:szCs w:val="21"/>
              </w:rPr>
              <w:t xml:space="preserve"> </w:t>
            </w:r>
            <w:r>
              <w:rPr>
                <w:spacing w:val="-9"/>
                <w:sz w:val="21"/>
                <w:szCs w:val="21"/>
              </w:rPr>
              <w:t>活动， 依法编制的环境影响评价文件中，</w:t>
            </w:r>
            <w:r>
              <w:rPr>
                <w:spacing w:val="-22"/>
                <w:sz w:val="21"/>
                <w:szCs w:val="21"/>
              </w:rPr>
              <w:t xml:space="preserve"> </w:t>
            </w:r>
            <w:r>
              <w:rPr>
                <w:spacing w:val="-10"/>
                <w:sz w:val="21"/>
                <w:szCs w:val="21"/>
              </w:rPr>
              <w:t>应当</w:t>
            </w:r>
            <w:r>
              <w:rPr>
                <w:sz w:val="21"/>
                <w:szCs w:val="21"/>
              </w:rPr>
              <w:t xml:space="preserve"> </w:t>
            </w:r>
            <w:r>
              <w:rPr>
                <w:spacing w:val="-1"/>
                <w:sz w:val="21"/>
                <w:szCs w:val="21"/>
              </w:rPr>
              <w:t>包括地下水污染防治的内容，并采取防护性措</w:t>
            </w:r>
            <w:r>
              <w:rPr>
                <w:spacing w:val="17"/>
                <w:sz w:val="21"/>
                <w:szCs w:val="21"/>
              </w:rPr>
              <w:t xml:space="preserve"> </w:t>
            </w:r>
            <w:r>
              <w:rPr>
                <w:spacing w:val="-1"/>
                <w:sz w:val="21"/>
                <w:szCs w:val="21"/>
              </w:rPr>
              <w:t>施；化学品生产企业以及工业集聚区、矿山开</w:t>
            </w:r>
            <w:r>
              <w:rPr>
                <w:spacing w:val="17"/>
                <w:sz w:val="21"/>
                <w:szCs w:val="21"/>
              </w:rPr>
              <w:t xml:space="preserve"> </w:t>
            </w:r>
            <w:r>
              <w:rPr>
                <w:spacing w:val="-1"/>
                <w:sz w:val="21"/>
                <w:szCs w:val="21"/>
              </w:rPr>
              <w:t>采区、尾矿库、危险废物处置场、垃圾填埋场</w:t>
            </w:r>
          </w:p>
          <w:p>
            <w:pPr>
              <w:pStyle w:val="6"/>
              <w:spacing w:before="23" w:line="220" w:lineRule="auto"/>
              <w:ind w:right="5"/>
              <w:jc w:val="right"/>
              <w:rPr>
                <w:sz w:val="21"/>
                <w:szCs w:val="21"/>
              </w:rPr>
            </w:pPr>
            <w:r>
              <w:rPr>
                <w:spacing w:val="-2"/>
                <w:sz w:val="21"/>
                <w:szCs w:val="21"/>
              </w:rPr>
              <w:t>等的运营、管理单位，应当采取防渗漏等措施，</w:t>
            </w:r>
          </w:p>
          <w:p>
            <w:pPr>
              <w:pStyle w:val="6"/>
              <w:spacing w:before="20" w:line="207" w:lineRule="auto"/>
              <w:ind w:left="570"/>
              <w:rPr>
                <w:sz w:val="21"/>
                <w:szCs w:val="21"/>
              </w:rPr>
            </w:pPr>
            <w:r>
              <w:rPr>
                <w:spacing w:val="-2"/>
                <w:sz w:val="21"/>
                <w:szCs w:val="21"/>
              </w:rPr>
              <w:t>并建设地下水水质监测井进行监测。</w:t>
            </w:r>
          </w:p>
        </w:tc>
        <w:tc>
          <w:tcPr>
            <w:tcW w:w="3306" w:type="dxa"/>
            <w:vAlign w:val="top"/>
          </w:tcPr>
          <w:p>
            <w:pPr>
              <w:spacing w:line="373" w:lineRule="auto"/>
              <w:rPr>
                <w:rFonts w:ascii="Arial"/>
                <w:sz w:val="21"/>
              </w:rPr>
            </w:pPr>
          </w:p>
          <w:p>
            <w:pPr>
              <w:pStyle w:val="6"/>
              <w:spacing w:before="68" w:line="233" w:lineRule="auto"/>
              <w:ind w:left="104" w:right="103"/>
              <w:jc w:val="both"/>
              <w:rPr>
                <w:sz w:val="21"/>
                <w:szCs w:val="21"/>
              </w:rPr>
            </w:pPr>
            <w:r>
              <w:rPr>
                <w:spacing w:val="-4"/>
                <w:sz w:val="21"/>
                <w:szCs w:val="21"/>
              </w:rPr>
              <w:t>本项目属于天然气勘探，环评提出</w:t>
            </w:r>
            <w:r>
              <w:rPr>
                <w:spacing w:val="1"/>
                <w:sz w:val="21"/>
                <w:szCs w:val="21"/>
              </w:rPr>
              <w:t xml:space="preserve"> </w:t>
            </w:r>
            <w:r>
              <w:rPr>
                <w:spacing w:val="-4"/>
                <w:sz w:val="21"/>
                <w:szCs w:val="21"/>
              </w:rPr>
              <w:t>相应的源头控制、分区防渗等地下</w:t>
            </w:r>
            <w:r>
              <w:rPr>
                <w:spacing w:val="2"/>
                <w:sz w:val="21"/>
                <w:szCs w:val="21"/>
              </w:rPr>
              <w:t xml:space="preserve"> </w:t>
            </w:r>
            <w:r>
              <w:rPr>
                <w:spacing w:val="-4"/>
                <w:sz w:val="21"/>
                <w:szCs w:val="21"/>
              </w:rPr>
              <w:t>水污染防治措施。提出了跟踪监测</w:t>
            </w:r>
          </w:p>
          <w:p>
            <w:pPr>
              <w:pStyle w:val="6"/>
              <w:spacing w:before="19" w:line="221" w:lineRule="auto"/>
              <w:ind w:left="604"/>
              <w:rPr>
                <w:sz w:val="21"/>
                <w:szCs w:val="21"/>
              </w:rPr>
            </w:pPr>
            <w:r>
              <w:rPr>
                <w:spacing w:val="-1"/>
                <w:sz w:val="21"/>
                <w:szCs w:val="21"/>
              </w:rPr>
              <w:t>计划。符合相关要求。</w:t>
            </w:r>
          </w:p>
        </w:tc>
        <w:tc>
          <w:tcPr>
            <w:tcW w:w="82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21" w:lineRule="auto"/>
              <w:ind w:left="19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467" w:type="dxa"/>
            <w:vMerge w:val="continue"/>
            <w:tcBorders>
              <w:top w:val="nil"/>
              <w:bottom w:val="nil"/>
            </w:tcBorders>
            <w:vAlign w:val="top"/>
          </w:tcPr>
          <w:p>
            <w:pPr>
              <w:rPr>
                <w:rFonts w:ascii="Arial"/>
                <w:sz w:val="21"/>
              </w:rPr>
            </w:pPr>
          </w:p>
        </w:tc>
        <w:tc>
          <w:tcPr>
            <w:tcW w:w="4496"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21" w:lineRule="auto"/>
              <w:ind w:left="144"/>
              <w:rPr>
                <w:sz w:val="21"/>
                <w:szCs w:val="21"/>
              </w:rPr>
            </w:pPr>
            <w:r>
              <w:rPr>
                <w:spacing w:val="-1"/>
                <w:sz w:val="21"/>
                <w:szCs w:val="21"/>
              </w:rPr>
              <w:t>在泉域保护范围以及岩溶强发育、存在较多落</w:t>
            </w:r>
          </w:p>
          <w:p>
            <w:pPr>
              <w:pStyle w:val="6"/>
              <w:spacing w:before="23" w:line="229" w:lineRule="auto"/>
              <w:ind w:left="462" w:right="179" w:hanging="314"/>
              <w:rPr>
                <w:sz w:val="21"/>
                <w:szCs w:val="21"/>
              </w:rPr>
            </w:pPr>
            <w:r>
              <w:rPr>
                <w:spacing w:val="-2"/>
                <w:sz w:val="21"/>
                <w:szCs w:val="21"/>
              </w:rPr>
              <w:t>水洞和岩溶漏斗的区域内，不得新建、改建、</w:t>
            </w:r>
            <w:r>
              <w:rPr>
                <w:spacing w:val="2"/>
                <w:sz w:val="21"/>
                <w:szCs w:val="21"/>
              </w:rPr>
              <w:t xml:space="preserve"> </w:t>
            </w:r>
            <w:r>
              <w:rPr>
                <w:spacing w:val="-1"/>
                <w:sz w:val="21"/>
                <w:szCs w:val="21"/>
              </w:rPr>
              <w:t>扩建可能造成地下水污染的建设项目。</w:t>
            </w:r>
          </w:p>
        </w:tc>
        <w:tc>
          <w:tcPr>
            <w:tcW w:w="3306" w:type="dxa"/>
            <w:vAlign w:val="top"/>
          </w:tcPr>
          <w:p>
            <w:pPr>
              <w:pStyle w:val="6"/>
              <w:spacing w:before="36" w:line="237" w:lineRule="auto"/>
              <w:ind w:left="104" w:right="100" w:firstLine="75"/>
              <w:jc w:val="both"/>
              <w:rPr>
                <w:sz w:val="21"/>
                <w:szCs w:val="21"/>
              </w:rPr>
            </w:pPr>
            <w:r>
              <w:rPr>
                <w:spacing w:val="-1"/>
                <w:sz w:val="21"/>
                <w:szCs w:val="21"/>
              </w:rPr>
              <w:t xml:space="preserve">评价区地下水类型主要为构造裂 </w:t>
            </w:r>
            <w:r>
              <w:rPr>
                <w:spacing w:val="-14"/>
                <w:sz w:val="21"/>
                <w:szCs w:val="21"/>
              </w:rPr>
              <w:t>隙水， 受地质构造作用影响，</w:t>
            </w:r>
            <w:r>
              <w:rPr>
                <w:spacing w:val="-44"/>
                <w:sz w:val="21"/>
                <w:szCs w:val="21"/>
              </w:rPr>
              <w:t xml:space="preserve"> </w:t>
            </w:r>
            <w:r>
              <w:rPr>
                <w:spacing w:val="-14"/>
                <w:sz w:val="21"/>
                <w:szCs w:val="21"/>
              </w:rPr>
              <w:t>地下</w:t>
            </w:r>
            <w:r>
              <w:rPr>
                <w:sz w:val="21"/>
                <w:szCs w:val="21"/>
              </w:rPr>
              <w:t xml:space="preserve"> </w:t>
            </w:r>
            <w:r>
              <w:rPr>
                <w:spacing w:val="-4"/>
                <w:sz w:val="21"/>
                <w:szCs w:val="21"/>
              </w:rPr>
              <w:t>水主要赋存于砂岩隙中。本项目地</w:t>
            </w:r>
            <w:r>
              <w:rPr>
                <w:spacing w:val="2"/>
                <w:sz w:val="21"/>
                <w:szCs w:val="21"/>
              </w:rPr>
              <w:t xml:space="preserve"> </w:t>
            </w:r>
            <w:r>
              <w:rPr>
                <w:spacing w:val="4"/>
                <w:sz w:val="21"/>
                <w:szCs w:val="21"/>
              </w:rPr>
              <w:t xml:space="preserve">下水评价范围内无地下水集中式 </w:t>
            </w:r>
            <w:r>
              <w:rPr>
                <w:spacing w:val="-4"/>
                <w:sz w:val="21"/>
                <w:szCs w:val="21"/>
              </w:rPr>
              <w:t>饮用水水源保护区分布，当地居民</w:t>
            </w:r>
            <w:r>
              <w:rPr>
                <w:spacing w:val="2"/>
                <w:sz w:val="21"/>
                <w:szCs w:val="21"/>
              </w:rPr>
              <w:t xml:space="preserve"> </w:t>
            </w:r>
            <w:r>
              <w:rPr>
                <w:spacing w:val="-4"/>
                <w:sz w:val="21"/>
                <w:szCs w:val="21"/>
              </w:rPr>
              <w:t>生活用水来自分散性农户水井。项</w:t>
            </w:r>
            <w:r>
              <w:rPr>
                <w:spacing w:val="4"/>
                <w:sz w:val="21"/>
                <w:szCs w:val="21"/>
              </w:rPr>
              <w:t xml:space="preserve"> </w:t>
            </w:r>
            <w:r>
              <w:rPr>
                <w:spacing w:val="-4"/>
                <w:sz w:val="21"/>
                <w:szCs w:val="21"/>
              </w:rPr>
              <w:t>目区、评价区域不涉及泉域保护范</w:t>
            </w:r>
            <w:r>
              <w:rPr>
                <w:spacing w:val="2"/>
                <w:sz w:val="21"/>
                <w:szCs w:val="21"/>
              </w:rPr>
              <w:t xml:space="preserve"> </w:t>
            </w:r>
            <w:r>
              <w:rPr>
                <w:spacing w:val="-8"/>
                <w:sz w:val="21"/>
                <w:szCs w:val="21"/>
              </w:rPr>
              <w:t>围，</w:t>
            </w:r>
            <w:r>
              <w:rPr>
                <w:spacing w:val="-43"/>
                <w:sz w:val="21"/>
                <w:szCs w:val="21"/>
              </w:rPr>
              <w:t xml:space="preserve"> </w:t>
            </w:r>
            <w:r>
              <w:rPr>
                <w:spacing w:val="-8"/>
                <w:sz w:val="21"/>
                <w:szCs w:val="21"/>
              </w:rPr>
              <w:t>不属于岩溶强发育、存在较多</w:t>
            </w:r>
            <w:r>
              <w:rPr>
                <w:sz w:val="21"/>
                <w:szCs w:val="21"/>
              </w:rPr>
              <w:t xml:space="preserve"> </w:t>
            </w:r>
            <w:r>
              <w:rPr>
                <w:spacing w:val="-4"/>
                <w:sz w:val="21"/>
                <w:szCs w:val="21"/>
              </w:rPr>
              <w:t>落水洞和岩溶漏斗的区域。项目选</w:t>
            </w:r>
          </w:p>
          <w:p>
            <w:pPr>
              <w:pStyle w:val="6"/>
              <w:spacing w:before="20" w:line="206" w:lineRule="auto"/>
              <w:ind w:left="1025"/>
              <w:rPr>
                <w:sz w:val="21"/>
                <w:szCs w:val="21"/>
              </w:rPr>
            </w:pPr>
            <w:r>
              <w:rPr>
                <w:spacing w:val="-1"/>
                <w:sz w:val="21"/>
                <w:szCs w:val="21"/>
              </w:rPr>
              <w:t>址符合要求。</w:t>
            </w:r>
          </w:p>
        </w:tc>
        <w:tc>
          <w:tcPr>
            <w:tcW w:w="828"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8" w:line="221" w:lineRule="auto"/>
              <w:ind w:left="19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467" w:type="dxa"/>
            <w:vMerge w:val="continue"/>
            <w:tcBorders>
              <w:top w:val="nil"/>
            </w:tcBorders>
            <w:vAlign w:val="top"/>
          </w:tcPr>
          <w:p>
            <w:pPr>
              <w:rPr>
                <w:rFonts w:ascii="Arial"/>
                <w:sz w:val="21"/>
              </w:rPr>
            </w:pPr>
          </w:p>
        </w:tc>
        <w:tc>
          <w:tcPr>
            <w:tcW w:w="8630" w:type="dxa"/>
            <w:gridSpan w:val="3"/>
            <w:vAlign w:val="top"/>
          </w:tcPr>
          <w:p>
            <w:pPr>
              <w:pStyle w:val="6"/>
              <w:spacing w:before="182" w:line="219" w:lineRule="auto"/>
              <w:jc w:val="right"/>
              <w:rPr>
                <w:sz w:val="24"/>
                <w:szCs w:val="24"/>
              </w:rPr>
            </w:pPr>
            <w:r>
              <w:rPr>
                <w:spacing w:val="-6"/>
                <w:sz w:val="24"/>
                <w:szCs w:val="24"/>
              </w:rPr>
              <w:t>综上，本项目建设符合《地下水管理条例》（国务院令 第</w:t>
            </w:r>
            <w:r>
              <w:rPr>
                <w:spacing w:val="-52"/>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7"/>
                <w:sz w:val="24"/>
                <w:szCs w:val="24"/>
              </w:rPr>
              <w:t>48</w:t>
            </w:r>
            <w:r>
              <w:rPr>
                <w:rFonts w:ascii="Times New Roman" w:hAnsi="Times New Roman" w:eastAsia="Times New Roman" w:cs="Times New Roman"/>
                <w:spacing w:val="15"/>
                <w:sz w:val="24"/>
                <w:szCs w:val="24"/>
              </w:rPr>
              <w:t xml:space="preserve"> </w:t>
            </w:r>
            <w:r>
              <w:rPr>
                <w:spacing w:val="-7"/>
                <w:sz w:val="24"/>
                <w:szCs w:val="24"/>
              </w:rPr>
              <w:t>号）</w:t>
            </w:r>
            <w:r>
              <w:rPr>
                <w:spacing w:val="-58"/>
                <w:sz w:val="24"/>
                <w:szCs w:val="24"/>
              </w:rPr>
              <w:t xml:space="preserve"> </w:t>
            </w:r>
            <w:r>
              <w:rPr>
                <w:spacing w:val="-7"/>
                <w:sz w:val="24"/>
                <w:szCs w:val="24"/>
              </w:rPr>
              <w:t>相关要求。</w:t>
            </w:r>
          </w:p>
          <w:p>
            <w:pPr>
              <w:pStyle w:val="6"/>
              <w:spacing w:before="243" w:line="219" w:lineRule="auto"/>
              <w:ind w:left="7"/>
              <w:rPr>
                <w:sz w:val="24"/>
                <w:szCs w:val="24"/>
              </w:rPr>
            </w:pPr>
            <w:r>
              <w:rPr>
                <w:rFonts w:ascii="Times New Roman" w:hAnsi="Times New Roman" w:eastAsia="Times New Roman" w:cs="Times New Roman"/>
                <w:b/>
                <w:bCs/>
                <w:sz w:val="24"/>
                <w:szCs w:val="24"/>
              </w:rPr>
              <w:t xml:space="preserve">1.5 </w:t>
            </w:r>
            <w:r>
              <w:rPr>
                <w:sz w:val="24"/>
                <w:szCs w:val="24"/>
                <w14:textOutline w14:w="4354" w14:cap="flat" w14:cmpd="sng">
                  <w14:solidFill>
                    <w14:srgbClr w14:val="000000"/>
                  </w14:solidFill>
                  <w14:prstDash w14:val="solid"/>
                  <w14:miter w14:val="10"/>
                </w14:textOutline>
              </w:rPr>
              <w:t>与临时用地及基本农田相关文件的符合性分析</w:t>
            </w:r>
          </w:p>
          <w:p>
            <w:pPr>
              <w:pStyle w:val="6"/>
              <w:spacing w:before="195" w:line="480" w:lineRule="exact"/>
              <w:ind w:right="28"/>
              <w:jc w:val="right"/>
              <w:rPr>
                <w:sz w:val="24"/>
                <w:szCs w:val="24"/>
              </w:rPr>
            </w:pPr>
            <w:r>
              <w:rPr>
                <w:spacing w:val="-1"/>
                <w:position w:val="18"/>
                <w:sz w:val="24"/>
                <w:szCs w:val="24"/>
              </w:rPr>
              <w:t xml:space="preserve">本项目总用地面积为 </w:t>
            </w:r>
            <w:r>
              <w:rPr>
                <w:rFonts w:ascii="Times New Roman" w:hAnsi="Times New Roman" w:eastAsia="Times New Roman" w:cs="Times New Roman"/>
                <w:spacing w:val="-1"/>
                <w:position w:val="18"/>
                <w:sz w:val="24"/>
                <w:szCs w:val="24"/>
              </w:rPr>
              <w:t>2.4261hm</w:t>
            </w:r>
            <w:r>
              <w:rPr>
                <w:rFonts w:ascii="Times New Roman" w:hAnsi="Times New Roman" w:eastAsia="Times New Roman" w:cs="Times New Roman"/>
                <w:spacing w:val="-1"/>
                <w:position w:val="27"/>
                <w:sz w:val="16"/>
                <w:szCs w:val="16"/>
              </w:rPr>
              <w:t>2</w:t>
            </w:r>
            <w:r>
              <w:rPr>
                <w:rFonts w:ascii="Times New Roman" w:hAnsi="Times New Roman" w:eastAsia="Times New Roman" w:cs="Times New Roman"/>
                <w:spacing w:val="-10"/>
                <w:position w:val="27"/>
                <w:sz w:val="16"/>
                <w:szCs w:val="16"/>
              </w:rPr>
              <w:t xml:space="preserve"> </w:t>
            </w:r>
            <w:r>
              <w:rPr>
                <w:spacing w:val="-1"/>
                <w:position w:val="18"/>
                <w:sz w:val="24"/>
                <w:szCs w:val="24"/>
              </w:rPr>
              <w:t>，均属于临时用地，其中项目临时</w:t>
            </w:r>
            <w:r>
              <w:rPr>
                <w:spacing w:val="-2"/>
                <w:position w:val="18"/>
                <w:sz w:val="24"/>
                <w:szCs w:val="24"/>
              </w:rPr>
              <w:t>占用基本农</w:t>
            </w:r>
          </w:p>
          <w:p>
            <w:pPr>
              <w:pStyle w:val="6"/>
              <w:spacing w:line="228" w:lineRule="auto"/>
              <w:ind w:left="29"/>
              <w:rPr>
                <w:sz w:val="24"/>
                <w:szCs w:val="24"/>
              </w:rPr>
            </w:pPr>
            <w:r>
              <w:rPr>
                <w:spacing w:val="-4"/>
                <w:sz w:val="24"/>
                <w:szCs w:val="24"/>
              </w:rPr>
              <w:t>田约</w:t>
            </w:r>
            <w:r>
              <w:rPr>
                <w:spacing w:val="-43"/>
                <w:sz w:val="24"/>
                <w:szCs w:val="24"/>
              </w:rPr>
              <w:t xml:space="preserve"> </w:t>
            </w:r>
            <w:r>
              <w:rPr>
                <w:rFonts w:ascii="Times New Roman" w:hAnsi="Times New Roman" w:eastAsia="Times New Roman" w:cs="Times New Roman"/>
                <w:spacing w:val="-4"/>
                <w:sz w:val="24"/>
                <w:szCs w:val="24"/>
              </w:rPr>
              <w:t>2.3411hm</w:t>
            </w:r>
            <w:r>
              <w:rPr>
                <w:rFonts w:ascii="Times New Roman" w:hAnsi="Times New Roman" w:eastAsia="Times New Roman" w:cs="Times New Roman"/>
                <w:spacing w:val="-4"/>
                <w:position w:val="9"/>
                <w:sz w:val="16"/>
                <w:szCs w:val="16"/>
              </w:rPr>
              <w:t xml:space="preserve">2 </w:t>
            </w:r>
            <w:r>
              <w:rPr>
                <w:spacing w:val="-4"/>
                <w:sz w:val="24"/>
                <w:szCs w:val="24"/>
              </w:rPr>
              <w:t>。项目与各项临时用地及基本农田用地文件符合性分析见下表：</w:t>
            </w:r>
          </w:p>
        </w:tc>
      </w:tr>
    </w:tbl>
    <w:p>
      <w:pPr>
        <w:pStyle w:val="2"/>
        <w:rPr>
          <w:sz w:val="21"/>
        </w:rPr>
      </w:pPr>
    </w:p>
    <w:p>
      <w:pPr>
        <w:rPr>
          <w:sz w:val="21"/>
          <w:szCs w:val="21"/>
        </w:rPr>
        <w:sectPr>
          <w:footerReference r:id="rId25"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801"/>
        <w:gridCol w:w="3733"/>
        <w:gridCol w:w="3069"/>
        <w:gridCol w:w="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468" w:type="dxa"/>
            <w:vMerge w:val="restart"/>
            <w:tcBorders>
              <w:bottom w:val="nil"/>
            </w:tcBorders>
            <w:vAlign w:val="top"/>
          </w:tcPr>
          <w:p>
            <w:pPr>
              <w:rPr>
                <w:rFonts w:ascii="Arial"/>
                <w:sz w:val="21"/>
              </w:rPr>
            </w:pPr>
          </w:p>
        </w:tc>
        <w:tc>
          <w:tcPr>
            <w:tcW w:w="8629" w:type="dxa"/>
            <w:gridSpan w:val="4"/>
            <w:vAlign w:val="top"/>
          </w:tcPr>
          <w:p>
            <w:pPr>
              <w:pStyle w:val="6"/>
              <w:spacing w:before="198" w:line="219" w:lineRule="auto"/>
              <w:ind w:left="1858"/>
              <w:rPr>
                <w:sz w:val="24"/>
                <w:szCs w:val="24"/>
              </w:rPr>
            </w:pPr>
            <w:r>
              <w:rPr>
                <w:spacing w:val="-1"/>
                <w:sz w:val="24"/>
                <w:szCs w:val="24"/>
                <w14:textOutline w14:w="4354" w14:cap="flat" w14:cmpd="sng">
                  <w14:solidFill>
                    <w14:srgbClr w14:val="000000"/>
                  </w14:solidFill>
                  <w14:prstDash w14:val="solid"/>
                  <w14:miter w14:val="10"/>
                </w14:textOutline>
              </w:rPr>
              <w:t>表</w:t>
            </w:r>
            <w:r>
              <w:rPr>
                <w:spacing w:val="-29"/>
                <w:sz w:val="24"/>
                <w:szCs w:val="24"/>
              </w:rPr>
              <w:t xml:space="preserve"> </w:t>
            </w:r>
            <w:r>
              <w:rPr>
                <w:rFonts w:ascii="Times New Roman" w:hAnsi="Times New Roman" w:eastAsia="Times New Roman" w:cs="Times New Roman"/>
                <w:b/>
                <w:bCs/>
                <w:spacing w:val="-1"/>
                <w:sz w:val="24"/>
                <w:szCs w:val="24"/>
              </w:rPr>
              <w:t xml:space="preserve">1.5-1    </w:t>
            </w:r>
            <w:r>
              <w:rPr>
                <w:spacing w:val="-1"/>
                <w:sz w:val="24"/>
                <w:szCs w:val="24"/>
                <w14:textOutline w14:w="4354" w14:cap="flat" w14:cmpd="sng">
                  <w14:solidFill>
                    <w14:srgbClr w14:val="000000"/>
                  </w14:solidFill>
                  <w14:prstDash w14:val="solid"/>
                  <w14:miter w14:val="10"/>
                </w14:textOutline>
              </w:rPr>
              <w:t>项目与基本农田相关文件符合性分析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68" w:type="dxa"/>
            <w:vMerge w:val="continue"/>
            <w:tcBorders>
              <w:top w:val="nil"/>
              <w:bottom w:val="nil"/>
            </w:tcBorders>
            <w:vAlign w:val="top"/>
          </w:tcPr>
          <w:p>
            <w:pPr>
              <w:rPr>
                <w:rFonts w:ascii="Arial"/>
                <w:sz w:val="21"/>
              </w:rPr>
            </w:pPr>
          </w:p>
        </w:tc>
        <w:tc>
          <w:tcPr>
            <w:tcW w:w="1801" w:type="dxa"/>
            <w:vAlign w:val="top"/>
          </w:tcPr>
          <w:p>
            <w:pPr>
              <w:pStyle w:val="6"/>
              <w:spacing w:before="63" w:line="223" w:lineRule="auto"/>
              <w:ind w:left="694"/>
              <w:rPr>
                <w:sz w:val="21"/>
                <w:szCs w:val="21"/>
              </w:rPr>
            </w:pPr>
            <w:r>
              <w:rPr>
                <w:spacing w:val="-3"/>
                <w:sz w:val="21"/>
                <w:szCs w:val="21"/>
              </w:rPr>
              <w:t>名称</w:t>
            </w:r>
          </w:p>
        </w:tc>
        <w:tc>
          <w:tcPr>
            <w:tcW w:w="3733" w:type="dxa"/>
            <w:vAlign w:val="top"/>
          </w:tcPr>
          <w:p>
            <w:pPr>
              <w:pStyle w:val="6"/>
              <w:spacing w:before="63" w:line="221" w:lineRule="auto"/>
              <w:ind w:left="1684"/>
              <w:rPr>
                <w:sz w:val="21"/>
                <w:szCs w:val="21"/>
              </w:rPr>
            </w:pPr>
            <w:r>
              <w:rPr>
                <w:spacing w:val="-8"/>
                <w:sz w:val="21"/>
                <w:szCs w:val="21"/>
              </w:rPr>
              <w:t>内容</w:t>
            </w:r>
          </w:p>
        </w:tc>
        <w:tc>
          <w:tcPr>
            <w:tcW w:w="3069" w:type="dxa"/>
            <w:tcBorders>
              <w:right w:val="single" w:color="000000" w:sz="8" w:space="0"/>
            </w:tcBorders>
            <w:vAlign w:val="top"/>
          </w:tcPr>
          <w:p>
            <w:pPr>
              <w:pStyle w:val="6"/>
              <w:spacing w:before="63" w:line="221" w:lineRule="auto"/>
              <w:ind w:left="1227"/>
              <w:rPr>
                <w:sz w:val="21"/>
                <w:szCs w:val="21"/>
              </w:rPr>
            </w:pPr>
            <w:r>
              <w:rPr>
                <w:spacing w:val="-2"/>
                <w:sz w:val="21"/>
                <w:szCs w:val="21"/>
              </w:rPr>
              <w:t>符合性</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1" w:hRule="atLeast"/>
        </w:trPr>
        <w:tc>
          <w:tcPr>
            <w:tcW w:w="468" w:type="dxa"/>
            <w:vMerge w:val="continue"/>
            <w:tcBorders>
              <w:top w:val="nil"/>
              <w:bottom w:val="nil"/>
            </w:tcBorders>
            <w:vAlign w:val="top"/>
          </w:tcPr>
          <w:p>
            <w:pPr>
              <w:rPr>
                <w:rFonts w:ascii="Arial"/>
                <w:sz w:val="21"/>
              </w:rPr>
            </w:pPr>
          </w:p>
        </w:tc>
        <w:tc>
          <w:tcPr>
            <w:tcW w:w="1801"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8" w:line="231" w:lineRule="auto"/>
              <w:ind w:left="112" w:right="234"/>
              <w:rPr>
                <w:sz w:val="21"/>
                <w:szCs w:val="21"/>
              </w:rPr>
            </w:pPr>
            <w:r>
              <w:rPr>
                <w:spacing w:val="-4"/>
                <w:sz w:val="21"/>
                <w:szCs w:val="21"/>
              </w:rPr>
              <w:t>《基本农田保护</w:t>
            </w:r>
            <w:r>
              <w:rPr>
                <w:spacing w:val="5"/>
                <w:sz w:val="21"/>
                <w:szCs w:val="21"/>
              </w:rPr>
              <w:t xml:space="preserve"> </w:t>
            </w:r>
            <w:r>
              <w:rPr>
                <w:spacing w:val="-4"/>
                <w:sz w:val="21"/>
                <w:szCs w:val="21"/>
              </w:rPr>
              <w:t>条例》</w:t>
            </w:r>
          </w:p>
        </w:tc>
        <w:tc>
          <w:tcPr>
            <w:tcW w:w="3733" w:type="dxa"/>
            <w:vAlign w:val="top"/>
          </w:tcPr>
          <w:p>
            <w:pPr>
              <w:pStyle w:val="6"/>
              <w:spacing w:before="38" w:line="236" w:lineRule="auto"/>
              <w:ind w:left="109" w:right="102" w:firstLine="20"/>
              <w:rPr>
                <w:sz w:val="21"/>
                <w:szCs w:val="21"/>
              </w:rPr>
            </w:pPr>
            <w:r>
              <w:rPr>
                <w:spacing w:val="-5"/>
                <w:sz w:val="21"/>
                <w:szCs w:val="21"/>
              </w:rPr>
              <w:t>中第十五条提到，基本农田保护区经依</w:t>
            </w:r>
            <w:r>
              <w:rPr>
                <w:spacing w:val="7"/>
                <w:sz w:val="21"/>
                <w:szCs w:val="21"/>
              </w:rPr>
              <w:t xml:space="preserve"> </w:t>
            </w:r>
            <w:r>
              <w:rPr>
                <w:spacing w:val="-4"/>
                <w:sz w:val="21"/>
                <w:szCs w:val="21"/>
              </w:rPr>
              <w:t>法划定后，任何单位和个人不得改变或</w:t>
            </w:r>
            <w:r>
              <w:rPr>
                <w:spacing w:val="11"/>
                <w:sz w:val="21"/>
                <w:szCs w:val="21"/>
              </w:rPr>
              <w:t xml:space="preserve"> </w:t>
            </w:r>
            <w:r>
              <w:rPr>
                <w:spacing w:val="-4"/>
                <w:sz w:val="21"/>
                <w:szCs w:val="21"/>
              </w:rPr>
              <w:t>者占用。国家能源、交通、水利、军事</w:t>
            </w:r>
            <w:r>
              <w:rPr>
                <w:spacing w:val="10"/>
                <w:sz w:val="21"/>
                <w:szCs w:val="21"/>
              </w:rPr>
              <w:t xml:space="preserve"> </w:t>
            </w:r>
            <w:r>
              <w:rPr>
                <w:spacing w:val="-2"/>
                <w:sz w:val="21"/>
                <w:szCs w:val="21"/>
              </w:rPr>
              <w:t xml:space="preserve">设施等重点建设项目选址确实无法避  </w:t>
            </w:r>
            <w:r>
              <w:rPr>
                <w:spacing w:val="-4"/>
                <w:sz w:val="21"/>
                <w:szCs w:val="21"/>
              </w:rPr>
              <w:t>开基本农田，需要占用基本农田，涉及</w:t>
            </w:r>
            <w:r>
              <w:rPr>
                <w:spacing w:val="11"/>
                <w:sz w:val="21"/>
                <w:szCs w:val="21"/>
              </w:rPr>
              <w:t xml:space="preserve"> </w:t>
            </w:r>
            <w:r>
              <w:rPr>
                <w:spacing w:val="-4"/>
                <w:sz w:val="21"/>
                <w:szCs w:val="21"/>
              </w:rPr>
              <w:t>农用地转用或者征收土地的，必须经国</w:t>
            </w:r>
            <w:r>
              <w:rPr>
                <w:spacing w:val="13"/>
                <w:sz w:val="21"/>
                <w:szCs w:val="21"/>
              </w:rPr>
              <w:t xml:space="preserve"> </w:t>
            </w:r>
            <w:r>
              <w:rPr>
                <w:spacing w:val="-4"/>
                <w:sz w:val="21"/>
                <w:szCs w:val="21"/>
              </w:rPr>
              <w:t>务院批准。占用基本农田的单位应当按</w:t>
            </w:r>
            <w:r>
              <w:rPr>
                <w:spacing w:val="11"/>
                <w:sz w:val="21"/>
                <w:szCs w:val="21"/>
              </w:rPr>
              <w:t xml:space="preserve"> </w:t>
            </w:r>
            <w:r>
              <w:rPr>
                <w:spacing w:val="-4"/>
                <w:sz w:val="21"/>
                <w:szCs w:val="21"/>
              </w:rPr>
              <w:t>照县级以上地方人民政府的要求，将所</w:t>
            </w:r>
            <w:r>
              <w:rPr>
                <w:spacing w:val="13"/>
                <w:sz w:val="21"/>
                <w:szCs w:val="21"/>
              </w:rPr>
              <w:t xml:space="preserve"> </w:t>
            </w:r>
            <w:r>
              <w:rPr>
                <w:spacing w:val="-2"/>
                <w:sz w:val="21"/>
                <w:szCs w:val="21"/>
              </w:rPr>
              <w:t xml:space="preserve">占用基本农田耕作层的土壤用于新开  </w:t>
            </w:r>
            <w:r>
              <w:rPr>
                <w:spacing w:val="-4"/>
                <w:sz w:val="21"/>
                <w:szCs w:val="21"/>
              </w:rPr>
              <w:t>垦耕地、劣质地或者其他耕地的土壤改</w:t>
            </w:r>
            <w:r>
              <w:rPr>
                <w:spacing w:val="10"/>
                <w:sz w:val="21"/>
                <w:szCs w:val="21"/>
              </w:rPr>
              <w:t xml:space="preserve"> </w:t>
            </w:r>
            <w:r>
              <w:rPr>
                <w:spacing w:val="-10"/>
                <w:sz w:val="21"/>
                <w:szCs w:val="21"/>
              </w:rPr>
              <w:t>良。</w:t>
            </w:r>
          </w:p>
        </w:tc>
        <w:tc>
          <w:tcPr>
            <w:tcW w:w="3069" w:type="dxa"/>
            <w:tcBorders>
              <w:right w:val="single" w:color="000000" w:sz="8" w:space="0"/>
            </w:tcBorders>
            <w:vAlign w:val="top"/>
          </w:tcPr>
          <w:p>
            <w:pPr>
              <w:pStyle w:val="6"/>
              <w:spacing w:before="307" w:line="237" w:lineRule="auto"/>
              <w:ind w:left="115" w:right="56"/>
              <w:rPr>
                <w:sz w:val="21"/>
                <w:szCs w:val="21"/>
              </w:rPr>
            </w:pPr>
            <w:r>
              <w:rPr>
                <w:spacing w:val="-7"/>
                <w:sz w:val="21"/>
                <w:szCs w:val="21"/>
              </w:rPr>
              <w:t>本项目为天然气井勘探工程，项</w:t>
            </w:r>
            <w:r>
              <w:rPr>
                <w:spacing w:val="6"/>
                <w:sz w:val="21"/>
                <w:szCs w:val="21"/>
              </w:rPr>
              <w:t xml:space="preserve"> </w:t>
            </w:r>
            <w:r>
              <w:rPr>
                <w:spacing w:val="-7"/>
                <w:sz w:val="21"/>
                <w:szCs w:val="21"/>
              </w:rPr>
              <w:t>目临时占用永久基本农田，评价</w:t>
            </w:r>
            <w:r>
              <w:rPr>
                <w:spacing w:val="6"/>
                <w:sz w:val="21"/>
                <w:szCs w:val="21"/>
              </w:rPr>
              <w:t xml:space="preserve"> </w:t>
            </w:r>
            <w:r>
              <w:rPr>
                <w:spacing w:val="-1"/>
                <w:sz w:val="21"/>
                <w:szCs w:val="21"/>
              </w:rPr>
              <w:t>要求建设单位需在取得相关部</w:t>
            </w:r>
            <w:r>
              <w:rPr>
                <w:spacing w:val="3"/>
                <w:sz w:val="21"/>
                <w:szCs w:val="21"/>
              </w:rPr>
              <w:t xml:space="preserve">  </w:t>
            </w:r>
            <w:r>
              <w:rPr>
                <w:spacing w:val="-11"/>
                <w:sz w:val="21"/>
                <w:szCs w:val="21"/>
              </w:rPr>
              <w:t>分审批手续后， 方可开工建设；</w:t>
            </w:r>
            <w:r>
              <w:rPr>
                <w:spacing w:val="2"/>
                <w:sz w:val="21"/>
                <w:szCs w:val="21"/>
              </w:rPr>
              <w:t xml:space="preserve"> </w:t>
            </w:r>
            <w:r>
              <w:rPr>
                <w:spacing w:val="-7"/>
                <w:sz w:val="21"/>
                <w:szCs w:val="21"/>
              </w:rPr>
              <w:t>项目占地均为临时占地，临时占</w:t>
            </w:r>
            <w:r>
              <w:rPr>
                <w:spacing w:val="6"/>
                <w:sz w:val="21"/>
                <w:szCs w:val="21"/>
              </w:rPr>
              <w:t xml:space="preserve"> </w:t>
            </w:r>
            <w:r>
              <w:rPr>
                <w:spacing w:val="-7"/>
                <w:sz w:val="21"/>
                <w:szCs w:val="21"/>
              </w:rPr>
              <w:t>用改变了土地性质，本项目在施</w:t>
            </w:r>
            <w:r>
              <w:rPr>
                <w:spacing w:val="6"/>
                <w:sz w:val="21"/>
                <w:szCs w:val="21"/>
              </w:rPr>
              <w:t xml:space="preserve"> </w:t>
            </w:r>
            <w:r>
              <w:rPr>
                <w:spacing w:val="-7"/>
                <w:sz w:val="21"/>
                <w:szCs w:val="21"/>
              </w:rPr>
              <w:t>工结束后，立即对原有占地进行</w:t>
            </w:r>
            <w:r>
              <w:rPr>
                <w:spacing w:val="6"/>
                <w:sz w:val="21"/>
                <w:szCs w:val="21"/>
              </w:rPr>
              <w:t xml:space="preserve"> </w:t>
            </w:r>
            <w:r>
              <w:rPr>
                <w:spacing w:val="-7"/>
                <w:sz w:val="21"/>
                <w:szCs w:val="21"/>
              </w:rPr>
              <w:t>恢复。故项目取得临时用地手续</w:t>
            </w:r>
            <w:r>
              <w:rPr>
                <w:spacing w:val="6"/>
                <w:sz w:val="21"/>
                <w:szCs w:val="21"/>
              </w:rPr>
              <w:t xml:space="preserve"> </w:t>
            </w:r>
            <w:r>
              <w:rPr>
                <w:spacing w:val="-1"/>
                <w:sz w:val="21"/>
                <w:szCs w:val="21"/>
              </w:rPr>
              <w:t>后符合左列相关政策要求。</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3" w:hRule="atLeast"/>
        </w:trPr>
        <w:tc>
          <w:tcPr>
            <w:tcW w:w="468" w:type="dxa"/>
            <w:vMerge w:val="continue"/>
            <w:tcBorders>
              <w:top w:val="nil"/>
              <w:bottom w:val="nil"/>
            </w:tcBorders>
            <w:vAlign w:val="top"/>
          </w:tcPr>
          <w:p>
            <w:pPr>
              <w:rPr>
                <w:rFonts w:ascii="Arial"/>
                <w:sz w:val="21"/>
              </w:rPr>
            </w:pPr>
          </w:p>
        </w:tc>
        <w:tc>
          <w:tcPr>
            <w:tcW w:w="18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8" w:line="237" w:lineRule="auto"/>
              <w:ind w:left="112" w:right="106"/>
              <w:rPr>
                <w:sz w:val="21"/>
                <w:szCs w:val="21"/>
              </w:rPr>
            </w:pPr>
            <w:r>
              <w:rPr>
                <w:spacing w:val="-1"/>
                <w:sz w:val="21"/>
                <w:szCs w:val="21"/>
              </w:rPr>
              <w:t>《关于做好占用</w:t>
            </w:r>
            <w:r>
              <w:rPr>
                <w:sz w:val="21"/>
                <w:szCs w:val="21"/>
              </w:rPr>
              <w:t xml:space="preserve">  </w:t>
            </w:r>
            <w:r>
              <w:rPr>
                <w:spacing w:val="-1"/>
                <w:sz w:val="21"/>
                <w:szCs w:val="21"/>
              </w:rPr>
              <w:t>永久基本农田重</w:t>
            </w:r>
            <w:r>
              <w:rPr>
                <w:sz w:val="21"/>
                <w:szCs w:val="21"/>
              </w:rPr>
              <w:t xml:space="preserve">  </w:t>
            </w:r>
            <w:r>
              <w:rPr>
                <w:spacing w:val="-1"/>
                <w:sz w:val="21"/>
                <w:szCs w:val="21"/>
              </w:rPr>
              <w:t>大建设项目用地</w:t>
            </w:r>
            <w:r>
              <w:rPr>
                <w:sz w:val="21"/>
                <w:szCs w:val="21"/>
              </w:rPr>
              <w:t xml:space="preserve">  </w:t>
            </w:r>
            <w:r>
              <w:rPr>
                <w:spacing w:val="-13"/>
                <w:sz w:val="21"/>
                <w:szCs w:val="21"/>
              </w:rPr>
              <w:t>预审的通知》（自</w:t>
            </w:r>
            <w:r>
              <w:rPr>
                <w:sz w:val="21"/>
                <w:szCs w:val="21"/>
              </w:rPr>
              <w:t xml:space="preserve"> </w:t>
            </w:r>
            <w:r>
              <w:rPr>
                <w:spacing w:val="-1"/>
                <w:sz w:val="21"/>
                <w:szCs w:val="21"/>
              </w:rPr>
              <w:t>然资规（</w:t>
            </w:r>
            <w:r>
              <w:rPr>
                <w:rFonts w:ascii="Times New Roman" w:hAnsi="Times New Roman" w:eastAsia="Times New Roman" w:cs="Times New Roman"/>
                <w:spacing w:val="-1"/>
                <w:sz w:val="21"/>
                <w:szCs w:val="21"/>
              </w:rPr>
              <w:t>2018</w:t>
            </w:r>
            <w:r>
              <w:rPr>
                <w:spacing w:val="-1"/>
                <w:sz w:val="21"/>
                <w:szCs w:val="21"/>
              </w:rPr>
              <w:t>）</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1"/>
                <w:sz w:val="21"/>
                <w:szCs w:val="21"/>
              </w:rPr>
              <w:t xml:space="preserve"> </w:t>
            </w:r>
            <w:r>
              <w:rPr>
                <w:spacing w:val="-6"/>
                <w:sz w:val="21"/>
                <w:szCs w:val="21"/>
              </w:rPr>
              <w:t>号）</w:t>
            </w:r>
          </w:p>
        </w:tc>
        <w:tc>
          <w:tcPr>
            <w:tcW w:w="3733" w:type="dxa"/>
            <w:vAlign w:val="top"/>
          </w:tcPr>
          <w:p>
            <w:pPr>
              <w:pStyle w:val="6"/>
              <w:spacing w:before="31" w:line="235" w:lineRule="auto"/>
              <w:ind w:left="109" w:right="169" w:firstLine="2"/>
              <w:rPr>
                <w:sz w:val="21"/>
                <w:szCs w:val="21"/>
              </w:rPr>
            </w:pPr>
            <w:r>
              <w:rPr>
                <w:spacing w:val="-1"/>
                <w:sz w:val="21"/>
                <w:szCs w:val="21"/>
              </w:rPr>
              <w:t>六类项目经批准可以占用永久基本农</w:t>
            </w:r>
            <w:r>
              <w:rPr>
                <w:spacing w:val="5"/>
                <w:sz w:val="21"/>
                <w:szCs w:val="21"/>
              </w:rPr>
              <w:t xml:space="preserve">  </w:t>
            </w:r>
            <w:r>
              <w:rPr>
                <w:spacing w:val="-11"/>
                <w:sz w:val="21"/>
                <w:szCs w:val="21"/>
              </w:rPr>
              <w:t xml:space="preserve">田中： </w:t>
            </w:r>
            <w:r>
              <w:rPr>
                <w:rFonts w:ascii="Times New Roman" w:hAnsi="Times New Roman" w:eastAsia="Times New Roman" w:cs="Times New Roman"/>
                <w:spacing w:val="-11"/>
                <w:sz w:val="21"/>
                <w:szCs w:val="21"/>
              </w:rPr>
              <w:t>“</w:t>
            </w:r>
            <w:r>
              <w:rPr>
                <w:spacing w:val="-11"/>
                <w:sz w:val="21"/>
                <w:szCs w:val="21"/>
              </w:rPr>
              <w:t>其他能源项目，</w:t>
            </w:r>
            <w:r>
              <w:rPr>
                <w:spacing w:val="-17"/>
                <w:sz w:val="21"/>
                <w:szCs w:val="21"/>
              </w:rPr>
              <w:t xml:space="preserve"> </w:t>
            </w:r>
            <w:r>
              <w:rPr>
                <w:spacing w:val="-11"/>
                <w:sz w:val="21"/>
                <w:szCs w:val="21"/>
              </w:rPr>
              <w:t>包括国家级规</w:t>
            </w:r>
            <w:r>
              <w:rPr>
                <w:sz w:val="21"/>
                <w:szCs w:val="21"/>
              </w:rPr>
              <w:t xml:space="preserve"> </w:t>
            </w:r>
            <w:r>
              <w:rPr>
                <w:spacing w:val="-1"/>
                <w:sz w:val="21"/>
                <w:szCs w:val="21"/>
              </w:rPr>
              <w:t>划明确的且符合国家产业政策的能源</w:t>
            </w:r>
            <w:r>
              <w:rPr>
                <w:spacing w:val="6"/>
                <w:sz w:val="21"/>
                <w:szCs w:val="21"/>
              </w:rPr>
              <w:t xml:space="preserve">  </w:t>
            </w:r>
            <w:r>
              <w:rPr>
                <w:spacing w:val="-4"/>
                <w:sz w:val="21"/>
                <w:szCs w:val="21"/>
              </w:rPr>
              <w:t>开采、油气管线、水电、核电项目</w:t>
            </w:r>
            <w:r>
              <w:rPr>
                <w:rFonts w:ascii="Times New Roman" w:hAnsi="Times New Roman" w:eastAsia="Times New Roman" w:cs="Times New Roman"/>
                <w:spacing w:val="-4"/>
                <w:sz w:val="21"/>
                <w:szCs w:val="21"/>
              </w:rPr>
              <w:t>”</w:t>
            </w:r>
            <w:r>
              <w:rPr>
                <w:spacing w:val="-4"/>
                <w:sz w:val="21"/>
                <w:szCs w:val="21"/>
              </w:rPr>
              <w:t>；</w:t>
            </w:r>
          </w:p>
          <w:p>
            <w:pPr>
              <w:pStyle w:val="6"/>
              <w:spacing w:before="21" w:line="229" w:lineRule="auto"/>
              <w:ind w:left="117" w:right="104" w:firstLine="16"/>
              <w:rPr>
                <w:sz w:val="21"/>
                <w:szCs w:val="21"/>
              </w:rPr>
            </w:pPr>
            <w:r>
              <w:rPr>
                <w:spacing w:val="-5"/>
                <w:sz w:val="21"/>
                <w:szCs w:val="21"/>
              </w:rPr>
              <w:t>以及自然资源部印发《两部关于加强和</w:t>
            </w:r>
            <w:r>
              <w:rPr>
                <w:spacing w:val="3"/>
                <w:sz w:val="21"/>
                <w:szCs w:val="21"/>
              </w:rPr>
              <w:t xml:space="preserve"> </w:t>
            </w:r>
            <w:r>
              <w:rPr>
                <w:spacing w:val="-1"/>
                <w:sz w:val="21"/>
                <w:szCs w:val="21"/>
              </w:rPr>
              <w:t>改进永久基本农田保护工作的通知》</w:t>
            </w:r>
          </w:p>
          <w:p>
            <w:pPr>
              <w:pStyle w:val="6"/>
              <w:spacing w:before="25" w:line="236" w:lineRule="auto"/>
              <w:ind w:left="62" w:right="46" w:firstLine="54"/>
              <w:rPr>
                <w:rFonts w:ascii="Times New Roman" w:hAnsi="Times New Roman" w:eastAsia="Times New Roman" w:cs="Times New Roman"/>
                <w:sz w:val="21"/>
                <w:szCs w:val="21"/>
              </w:rPr>
            </w:pPr>
            <w:r>
              <w:rPr>
                <w:spacing w:val="-9"/>
                <w:sz w:val="21"/>
                <w:szCs w:val="21"/>
              </w:rPr>
              <w:t>（自然资规〔</w:t>
            </w:r>
            <w:r>
              <w:rPr>
                <w:rFonts w:ascii="Times New Roman" w:hAnsi="Times New Roman" w:eastAsia="Times New Roman" w:cs="Times New Roman"/>
                <w:spacing w:val="-9"/>
                <w:sz w:val="21"/>
                <w:szCs w:val="21"/>
              </w:rPr>
              <w:t>2019</w:t>
            </w:r>
            <w:r>
              <w:rPr>
                <w:spacing w:val="-9"/>
                <w:sz w:val="21"/>
                <w:szCs w:val="21"/>
              </w:rPr>
              <w:t>〕</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16"/>
                <w:w w:val="101"/>
                <w:sz w:val="21"/>
                <w:szCs w:val="21"/>
              </w:rPr>
              <w:t xml:space="preserve"> </w:t>
            </w:r>
            <w:r>
              <w:rPr>
                <w:spacing w:val="-9"/>
                <w:sz w:val="21"/>
                <w:szCs w:val="21"/>
              </w:rPr>
              <w:t>号）中相关规定，</w:t>
            </w:r>
            <w:r>
              <w:rPr>
                <w:sz w:val="21"/>
                <w:szCs w:val="21"/>
              </w:rPr>
              <w:t xml:space="preserve"> </w:t>
            </w:r>
            <w:r>
              <w:rPr>
                <w:rFonts w:ascii="Times New Roman" w:hAnsi="Times New Roman" w:eastAsia="Times New Roman" w:cs="Times New Roman"/>
                <w:spacing w:val="2"/>
                <w:sz w:val="21"/>
                <w:szCs w:val="21"/>
              </w:rPr>
              <w:t>“</w:t>
            </w:r>
            <w:r>
              <w:rPr>
                <w:spacing w:val="2"/>
                <w:sz w:val="21"/>
                <w:szCs w:val="21"/>
              </w:rPr>
              <w:t>矿业权申请人依法申请战略性矿产探</w:t>
            </w:r>
            <w:r>
              <w:rPr>
                <w:spacing w:val="3"/>
                <w:sz w:val="21"/>
                <w:szCs w:val="21"/>
              </w:rPr>
              <w:t xml:space="preserve">  </w:t>
            </w:r>
            <w:r>
              <w:rPr>
                <w:spacing w:val="-10"/>
                <w:sz w:val="21"/>
                <w:szCs w:val="21"/>
              </w:rPr>
              <w:t>矿权， 开展地质勘查需临时用地的，</w:t>
            </w:r>
            <w:r>
              <w:rPr>
                <w:spacing w:val="-41"/>
                <w:sz w:val="21"/>
                <w:szCs w:val="21"/>
              </w:rPr>
              <w:t xml:space="preserve"> </w:t>
            </w:r>
            <w:r>
              <w:rPr>
                <w:spacing w:val="-10"/>
                <w:sz w:val="21"/>
                <w:szCs w:val="21"/>
              </w:rPr>
              <w:t>应</w:t>
            </w:r>
            <w:r>
              <w:rPr>
                <w:sz w:val="21"/>
                <w:szCs w:val="21"/>
              </w:rPr>
              <w:t xml:space="preserve"> </w:t>
            </w:r>
            <w:r>
              <w:rPr>
                <w:spacing w:val="-1"/>
                <w:sz w:val="21"/>
                <w:szCs w:val="21"/>
              </w:rPr>
              <w:t>依法办理临时用地审批手续。石油、天</w:t>
            </w:r>
            <w:r>
              <w:rPr>
                <w:spacing w:val="9"/>
                <w:sz w:val="21"/>
                <w:szCs w:val="21"/>
              </w:rPr>
              <w:t xml:space="preserve"> </w:t>
            </w:r>
            <w:r>
              <w:rPr>
                <w:spacing w:val="-1"/>
                <w:sz w:val="21"/>
                <w:szCs w:val="21"/>
              </w:rPr>
              <w:t>然气、页岩气、煤层气等油气战略性矿</w:t>
            </w:r>
            <w:r>
              <w:rPr>
                <w:spacing w:val="6"/>
                <w:sz w:val="21"/>
                <w:szCs w:val="21"/>
              </w:rPr>
              <w:t xml:space="preserve"> </w:t>
            </w:r>
            <w:r>
              <w:rPr>
                <w:spacing w:val="-1"/>
                <w:sz w:val="21"/>
                <w:szCs w:val="21"/>
              </w:rPr>
              <w:t>产的地质勘查，经批准可临时占用永久</w:t>
            </w:r>
            <w:r>
              <w:rPr>
                <w:spacing w:val="6"/>
                <w:sz w:val="21"/>
                <w:szCs w:val="21"/>
              </w:rPr>
              <w:t xml:space="preserve"> </w:t>
            </w:r>
            <w:r>
              <w:rPr>
                <w:spacing w:val="-1"/>
                <w:sz w:val="21"/>
                <w:szCs w:val="21"/>
              </w:rPr>
              <w:t>基本农田布设探井。在试采和取得采矿</w:t>
            </w:r>
            <w:r>
              <w:rPr>
                <w:spacing w:val="6"/>
                <w:sz w:val="21"/>
                <w:szCs w:val="21"/>
              </w:rPr>
              <w:t xml:space="preserve"> </w:t>
            </w:r>
            <w:r>
              <w:rPr>
                <w:spacing w:val="-1"/>
                <w:sz w:val="21"/>
                <w:szCs w:val="21"/>
              </w:rPr>
              <w:t>权后转为开采井的，可直接依法办理农</w:t>
            </w:r>
            <w:r>
              <w:rPr>
                <w:spacing w:val="6"/>
                <w:sz w:val="21"/>
                <w:szCs w:val="21"/>
              </w:rPr>
              <w:t xml:space="preserve"> </w:t>
            </w:r>
            <w:r>
              <w:rPr>
                <w:spacing w:val="-1"/>
                <w:sz w:val="21"/>
                <w:szCs w:val="21"/>
              </w:rPr>
              <w:t>用地转用和土地征收审批手续，按规定</w:t>
            </w:r>
            <w:r>
              <w:rPr>
                <w:spacing w:val="9"/>
                <w:sz w:val="21"/>
                <w:szCs w:val="21"/>
              </w:rPr>
              <w:t xml:space="preserve"> </w:t>
            </w:r>
            <w:r>
              <w:rPr>
                <w:spacing w:val="1"/>
                <w:sz w:val="21"/>
                <w:szCs w:val="21"/>
              </w:rPr>
              <w:t>补划永久基本农田。</w:t>
            </w:r>
            <w:r>
              <w:rPr>
                <w:spacing w:val="-28"/>
                <w:sz w:val="21"/>
                <w:szCs w:val="21"/>
              </w:rPr>
              <w:t xml:space="preserve"> </w:t>
            </w:r>
            <w:r>
              <w:rPr>
                <w:rFonts w:ascii="Times New Roman" w:hAnsi="Times New Roman" w:eastAsia="Times New Roman" w:cs="Times New Roman"/>
                <w:spacing w:val="1"/>
                <w:sz w:val="21"/>
                <w:szCs w:val="21"/>
              </w:rPr>
              <w:t>”</w:t>
            </w:r>
          </w:p>
        </w:tc>
        <w:tc>
          <w:tcPr>
            <w:tcW w:w="3069" w:type="dxa"/>
            <w:tcBorders>
              <w:right w:val="single" w:color="000000" w:sz="8"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9" w:line="237" w:lineRule="auto"/>
              <w:ind w:left="115" w:right="56"/>
              <w:rPr>
                <w:sz w:val="21"/>
                <w:szCs w:val="21"/>
              </w:rPr>
            </w:pPr>
            <w:r>
              <w:rPr>
                <w:spacing w:val="-7"/>
                <w:sz w:val="21"/>
                <w:szCs w:val="21"/>
              </w:rPr>
              <w:t>本项目为天然气井勘探工程，项</w:t>
            </w:r>
            <w:r>
              <w:rPr>
                <w:spacing w:val="6"/>
                <w:sz w:val="21"/>
                <w:szCs w:val="21"/>
              </w:rPr>
              <w:t xml:space="preserve"> </w:t>
            </w:r>
            <w:r>
              <w:rPr>
                <w:spacing w:val="-7"/>
                <w:sz w:val="21"/>
                <w:szCs w:val="21"/>
              </w:rPr>
              <w:t>目临时占用永久基本农田，评价</w:t>
            </w:r>
            <w:r>
              <w:rPr>
                <w:spacing w:val="6"/>
                <w:sz w:val="21"/>
                <w:szCs w:val="21"/>
              </w:rPr>
              <w:t xml:space="preserve"> </w:t>
            </w:r>
            <w:r>
              <w:rPr>
                <w:spacing w:val="-1"/>
                <w:sz w:val="21"/>
                <w:szCs w:val="21"/>
              </w:rPr>
              <w:t>要求建设单位需在取得相关部</w:t>
            </w:r>
            <w:r>
              <w:rPr>
                <w:spacing w:val="3"/>
                <w:sz w:val="21"/>
                <w:szCs w:val="21"/>
              </w:rPr>
              <w:t xml:space="preserve">  </w:t>
            </w:r>
            <w:r>
              <w:rPr>
                <w:spacing w:val="-11"/>
                <w:sz w:val="21"/>
                <w:szCs w:val="21"/>
              </w:rPr>
              <w:t>分审批手续后， 方可开工建设；</w:t>
            </w:r>
            <w:r>
              <w:rPr>
                <w:spacing w:val="2"/>
                <w:sz w:val="21"/>
                <w:szCs w:val="21"/>
              </w:rPr>
              <w:t xml:space="preserve"> </w:t>
            </w:r>
            <w:r>
              <w:rPr>
                <w:spacing w:val="-1"/>
                <w:sz w:val="21"/>
                <w:szCs w:val="21"/>
              </w:rPr>
              <w:t>故项目取得临时用地手续后符</w:t>
            </w:r>
            <w:r>
              <w:rPr>
                <w:spacing w:val="3"/>
                <w:sz w:val="21"/>
                <w:szCs w:val="21"/>
              </w:rPr>
              <w:t xml:space="preserve">  </w:t>
            </w:r>
            <w:r>
              <w:rPr>
                <w:spacing w:val="-1"/>
                <w:sz w:val="21"/>
                <w:szCs w:val="21"/>
              </w:rPr>
              <w:t>合左列相关政策要求。</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68" w:type="dxa"/>
            <w:vMerge w:val="continue"/>
            <w:tcBorders>
              <w:top w:val="nil"/>
              <w:bottom w:val="nil"/>
            </w:tcBorders>
            <w:vAlign w:val="top"/>
          </w:tcPr>
          <w:p>
            <w:pPr>
              <w:rPr>
                <w:rFonts w:ascii="Arial"/>
                <w:sz w:val="21"/>
              </w:rPr>
            </w:pPr>
          </w:p>
        </w:tc>
        <w:tc>
          <w:tcPr>
            <w:tcW w:w="1801" w:type="dxa"/>
            <w:vAlign w:val="top"/>
          </w:tcPr>
          <w:p>
            <w:pPr>
              <w:pStyle w:val="6"/>
              <w:spacing w:before="30" w:line="234" w:lineRule="auto"/>
              <w:ind w:left="112" w:right="78" w:firstLine="5"/>
              <w:jc w:val="both"/>
              <w:rPr>
                <w:sz w:val="21"/>
                <w:szCs w:val="21"/>
              </w:rPr>
            </w:pPr>
            <w:r>
              <w:rPr>
                <w:spacing w:val="-1"/>
                <w:sz w:val="21"/>
                <w:szCs w:val="21"/>
              </w:rPr>
              <w:t>《自然资源部 农</w:t>
            </w:r>
            <w:r>
              <w:rPr>
                <w:sz w:val="21"/>
                <w:szCs w:val="21"/>
              </w:rPr>
              <w:t xml:space="preserve"> </w:t>
            </w:r>
            <w:r>
              <w:rPr>
                <w:spacing w:val="6"/>
                <w:sz w:val="21"/>
                <w:szCs w:val="21"/>
              </w:rPr>
              <w:t xml:space="preserve">业农村部关于加 强和改进永久保 护农田保护工作 </w:t>
            </w:r>
            <w:r>
              <w:rPr>
                <w:spacing w:val="-13"/>
                <w:sz w:val="21"/>
                <w:szCs w:val="21"/>
              </w:rPr>
              <w:t>的通知》（自然资</w:t>
            </w:r>
            <w:r>
              <w:rPr>
                <w:sz w:val="21"/>
                <w:szCs w:val="21"/>
              </w:rPr>
              <w:t xml:space="preserve"> </w:t>
            </w:r>
            <w:r>
              <w:rPr>
                <w:spacing w:val="-4"/>
                <w:sz w:val="21"/>
                <w:szCs w:val="21"/>
              </w:rPr>
              <w:t>规〔</w:t>
            </w:r>
            <w:r>
              <w:rPr>
                <w:rFonts w:ascii="Times New Roman" w:hAnsi="Times New Roman" w:eastAsia="Times New Roman" w:cs="Times New Roman"/>
                <w:spacing w:val="-4"/>
                <w:sz w:val="21"/>
                <w:szCs w:val="21"/>
              </w:rPr>
              <w:t>2019</w:t>
            </w:r>
            <w:r>
              <w:rPr>
                <w:spacing w:val="-4"/>
                <w:sz w:val="21"/>
                <w:szCs w:val="21"/>
              </w:rPr>
              <w:t>〕</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17"/>
                <w:sz w:val="21"/>
                <w:szCs w:val="21"/>
              </w:rPr>
              <w:t xml:space="preserve"> </w:t>
            </w:r>
            <w:r>
              <w:rPr>
                <w:spacing w:val="-4"/>
                <w:sz w:val="21"/>
                <w:szCs w:val="21"/>
              </w:rPr>
              <w:t>号）</w:t>
            </w:r>
          </w:p>
        </w:tc>
        <w:tc>
          <w:tcPr>
            <w:tcW w:w="3733" w:type="dxa"/>
            <w:vAlign w:val="top"/>
          </w:tcPr>
          <w:p>
            <w:pPr>
              <w:spacing w:line="369" w:lineRule="auto"/>
              <w:rPr>
                <w:rFonts w:ascii="Arial"/>
                <w:sz w:val="21"/>
              </w:rPr>
            </w:pPr>
          </w:p>
          <w:p>
            <w:pPr>
              <w:pStyle w:val="6"/>
              <w:spacing w:before="68" w:line="233" w:lineRule="auto"/>
              <w:ind w:left="111" w:right="83" w:firstLine="25"/>
              <w:jc w:val="both"/>
              <w:rPr>
                <w:sz w:val="21"/>
                <w:szCs w:val="21"/>
              </w:rPr>
            </w:pPr>
            <w:r>
              <w:rPr>
                <w:spacing w:val="-1"/>
                <w:sz w:val="21"/>
                <w:szCs w:val="21"/>
              </w:rPr>
              <w:t>第八条 石油、天然气、页岩气、煤层</w:t>
            </w:r>
            <w:r>
              <w:rPr>
                <w:spacing w:val="11"/>
                <w:sz w:val="21"/>
                <w:szCs w:val="21"/>
              </w:rPr>
              <w:t xml:space="preserve"> </w:t>
            </w:r>
            <w:r>
              <w:rPr>
                <w:spacing w:val="-4"/>
                <w:sz w:val="21"/>
                <w:szCs w:val="21"/>
              </w:rPr>
              <w:t>气等油气战略性矿产的地质勘查，经批</w:t>
            </w:r>
            <w:r>
              <w:rPr>
                <w:spacing w:val="11"/>
                <w:sz w:val="21"/>
                <w:szCs w:val="21"/>
              </w:rPr>
              <w:t xml:space="preserve"> </w:t>
            </w:r>
            <w:r>
              <w:rPr>
                <w:spacing w:val="-3"/>
                <w:sz w:val="21"/>
                <w:szCs w:val="21"/>
              </w:rPr>
              <w:t>准可临时占用永久基本农田布设探井。</w:t>
            </w:r>
          </w:p>
        </w:tc>
        <w:tc>
          <w:tcPr>
            <w:tcW w:w="3069" w:type="dxa"/>
            <w:tcBorders>
              <w:right w:val="single" w:color="000000" w:sz="8" w:space="0"/>
            </w:tcBorders>
            <w:vAlign w:val="top"/>
          </w:tcPr>
          <w:p>
            <w:pPr>
              <w:pStyle w:val="6"/>
              <w:spacing w:before="30" w:line="235" w:lineRule="auto"/>
              <w:ind w:left="116" w:right="56" w:hanging="1"/>
              <w:jc w:val="both"/>
              <w:rPr>
                <w:sz w:val="21"/>
                <w:szCs w:val="21"/>
              </w:rPr>
            </w:pPr>
            <w:r>
              <w:rPr>
                <w:spacing w:val="-7"/>
                <w:sz w:val="21"/>
                <w:szCs w:val="21"/>
              </w:rPr>
              <w:t>本项目为天然气井勘探工程，项</w:t>
            </w:r>
            <w:r>
              <w:rPr>
                <w:spacing w:val="6"/>
                <w:sz w:val="21"/>
                <w:szCs w:val="21"/>
              </w:rPr>
              <w:t xml:space="preserve"> </w:t>
            </w:r>
            <w:r>
              <w:rPr>
                <w:spacing w:val="-7"/>
                <w:sz w:val="21"/>
                <w:szCs w:val="21"/>
              </w:rPr>
              <w:t>目临时占用永久基本农田，评价</w:t>
            </w:r>
            <w:r>
              <w:rPr>
                <w:spacing w:val="5"/>
                <w:sz w:val="21"/>
                <w:szCs w:val="21"/>
              </w:rPr>
              <w:t xml:space="preserve"> </w:t>
            </w:r>
            <w:r>
              <w:rPr>
                <w:spacing w:val="4"/>
                <w:sz w:val="21"/>
                <w:szCs w:val="21"/>
              </w:rPr>
              <w:t>要求建设单位需在取得相关部</w:t>
            </w:r>
            <w:r>
              <w:rPr>
                <w:spacing w:val="1"/>
                <w:sz w:val="21"/>
                <w:szCs w:val="21"/>
              </w:rPr>
              <w:t xml:space="preserve">  </w:t>
            </w:r>
            <w:r>
              <w:rPr>
                <w:spacing w:val="-11"/>
                <w:sz w:val="21"/>
                <w:szCs w:val="21"/>
              </w:rPr>
              <w:t>分审批手续后， 方可开工建设；</w:t>
            </w:r>
          </w:p>
          <w:p>
            <w:pPr>
              <w:pStyle w:val="6"/>
              <w:spacing w:before="22" w:line="222" w:lineRule="auto"/>
              <w:ind w:left="491" w:right="153" w:hanging="311"/>
              <w:rPr>
                <w:sz w:val="21"/>
                <w:szCs w:val="21"/>
              </w:rPr>
            </w:pPr>
            <w:r>
              <w:rPr>
                <w:spacing w:val="-1"/>
                <w:sz w:val="21"/>
                <w:szCs w:val="21"/>
              </w:rPr>
              <w:t>故项目取得临时用地手续后符</w:t>
            </w:r>
            <w:r>
              <w:rPr>
                <w:spacing w:val="4"/>
                <w:sz w:val="21"/>
                <w:szCs w:val="21"/>
              </w:rPr>
              <w:t xml:space="preserve"> </w:t>
            </w:r>
            <w:r>
              <w:rPr>
                <w:spacing w:val="-1"/>
                <w:sz w:val="21"/>
                <w:szCs w:val="21"/>
              </w:rPr>
              <w:t>合左列相关政策要求。</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3" w:hRule="atLeast"/>
        </w:trPr>
        <w:tc>
          <w:tcPr>
            <w:tcW w:w="468" w:type="dxa"/>
            <w:vMerge w:val="continue"/>
            <w:tcBorders>
              <w:top w:val="nil"/>
            </w:tcBorders>
            <w:vAlign w:val="top"/>
          </w:tcPr>
          <w:p>
            <w:pPr>
              <w:rPr>
                <w:rFonts w:ascii="Arial"/>
                <w:sz w:val="21"/>
              </w:rPr>
            </w:pPr>
          </w:p>
        </w:tc>
        <w:tc>
          <w:tcPr>
            <w:tcW w:w="1801"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8" w:line="236" w:lineRule="auto"/>
              <w:ind w:left="116" w:right="106" w:firstLine="51"/>
              <w:jc w:val="both"/>
              <w:rPr>
                <w:rFonts w:ascii="Times New Roman" w:hAnsi="Times New Roman" w:eastAsia="Times New Roman" w:cs="Times New Roman"/>
                <w:sz w:val="21"/>
                <w:szCs w:val="21"/>
              </w:rPr>
            </w:pPr>
            <w:r>
              <w:rPr>
                <w:spacing w:val="-1"/>
                <w:sz w:val="21"/>
                <w:szCs w:val="21"/>
              </w:rPr>
              <w:t>《自然资源部关</w:t>
            </w:r>
            <w:r>
              <w:rPr>
                <w:sz w:val="21"/>
                <w:szCs w:val="21"/>
              </w:rPr>
              <w:t xml:space="preserve"> </w:t>
            </w:r>
            <w:r>
              <w:rPr>
                <w:spacing w:val="6"/>
                <w:sz w:val="21"/>
                <w:szCs w:val="21"/>
              </w:rPr>
              <w:t>于规范临时用地</w:t>
            </w:r>
            <w:r>
              <w:rPr>
                <w:spacing w:val="2"/>
                <w:sz w:val="21"/>
                <w:szCs w:val="21"/>
              </w:rPr>
              <w:t xml:space="preserve"> </w:t>
            </w:r>
            <w:r>
              <w:rPr>
                <w:spacing w:val="-14"/>
                <w:sz w:val="21"/>
                <w:szCs w:val="21"/>
              </w:rPr>
              <w:t>管理的通知》（自</w:t>
            </w:r>
            <w:r>
              <w:rPr>
                <w:spacing w:val="4"/>
                <w:sz w:val="21"/>
                <w:szCs w:val="21"/>
              </w:rPr>
              <w:t xml:space="preserve"> </w:t>
            </w:r>
            <w:r>
              <w:rPr>
                <w:spacing w:val="-1"/>
                <w:sz w:val="21"/>
                <w:szCs w:val="21"/>
              </w:rPr>
              <w:t>然资规〔</w:t>
            </w:r>
            <w:r>
              <w:rPr>
                <w:rFonts w:ascii="Times New Roman" w:hAnsi="Times New Roman" w:eastAsia="Times New Roman" w:cs="Times New Roman"/>
                <w:spacing w:val="-1"/>
                <w:sz w:val="21"/>
                <w:szCs w:val="21"/>
              </w:rPr>
              <w:t>2021</w:t>
            </w:r>
            <w:r>
              <w:rPr>
                <w:spacing w:val="-1"/>
                <w:sz w:val="21"/>
                <w:szCs w:val="21"/>
              </w:rPr>
              <w:t>〕</w:t>
            </w:r>
            <w:r>
              <w:rPr>
                <w:rFonts w:ascii="Times New Roman" w:hAnsi="Times New Roman" w:eastAsia="Times New Roman" w:cs="Times New Roman"/>
                <w:spacing w:val="-1"/>
                <w:sz w:val="21"/>
                <w:szCs w:val="21"/>
              </w:rPr>
              <w:t>2</w:t>
            </w:r>
          </w:p>
          <w:p>
            <w:pPr>
              <w:pStyle w:val="6"/>
              <w:spacing w:before="18" w:line="222" w:lineRule="auto"/>
              <w:ind w:left="697"/>
              <w:rPr>
                <w:sz w:val="21"/>
                <w:szCs w:val="21"/>
              </w:rPr>
            </w:pPr>
            <w:r>
              <w:rPr>
                <w:spacing w:val="-7"/>
                <w:sz w:val="21"/>
                <w:szCs w:val="21"/>
              </w:rPr>
              <w:t>号）</w:t>
            </w:r>
          </w:p>
        </w:tc>
        <w:tc>
          <w:tcPr>
            <w:tcW w:w="3733" w:type="dxa"/>
            <w:vAlign w:val="top"/>
          </w:tcPr>
          <w:p>
            <w:pPr>
              <w:pStyle w:val="6"/>
              <w:spacing w:before="35" w:line="238" w:lineRule="auto"/>
              <w:ind w:left="108" w:right="27" w:firstLine="6"/>
              <w:rPr>
                <w:sz w:val="21"/>
                <w:szCs w:val="21"/>
              </w:rPr>
            </w:pPr>
            <w:r>
              <w:rPr>
                <w:spacing w:val="-6"/>
                <w:sz w:val="21"/>
                <w:szCs w:val="21"/>
              </w:rPr>
              <w:t>界定临时用地使用范围</w:t>
            </w:r>
            <w:r>
              <w:rPr>
                <w:spacing w:val="2"/>
                <w:sz w:val="21"/>
                <w:szCs w:val="21"/>
              </w:rPr>
              <w:t>：</w:t>
            </w:r>
            <w:r>
              <w:rPr>
                <w:spacing w:val="-84"/>
                <w:sz w:val="21"/>
                <w:szCs w:val="21"/>
              </w:rPr>
              <w:t xml:space="preserve"> </w:t>
            </w:r>
            <w:r>
              <w:rPr>
                <w:spacing w:val="2"/>
                <w:sz w:val="21"/>
                <w:szCs w:val="21"/>
              </w:rPr>
              <w:t>（</w:t>
            </w:r>
            <w:r>
              <w:rPr>
                <w:spacing w:val="-6"/>
                <w:sz w:val="21"/>
                <w:szCs w:val="21"/>
              </w:rPr>
              <w:t xml:space="preserve">二）矿产资 </w:t>
            </w:r>
            <w:r>
              <w:rPr>
                <w:spacing w:val="-4"/>
                <w:sz w:val="21"/>
                <w:szCs w:val="21"/>
              </w:rPr>
              <w:t xml:space="preserve">源勘查、工程地质勘查、水文地质勘查 </w:t>
            </w:r>
            <w:r>
              <w:rPr>
                <w:spacing w:val="-7"/>
                <w:sz w:val="21"/>
                <w:szCs w:val="21"/>
              </w:rPr>
              <w:t>等，</w:t>
            </w:r>
            <w:r>
              <w:rPr>
                <w:spacing w:val="-44"/>
                <w:sz w:val="21"/>
                <w:szCs w:val="21"/>
              </w:rPr>
              <w:t xml:space="preserve"> </w:t>
            </w:r>
            <w:r>
              <w:rPr>
                <w:spacing w:val="-7"/>
                <w:sz w:val="21"/>
                <w:szCs w:val="21"/>
              </w:rPr>
              <w:t xml:space="preserve">在勘查期间临时生活用房、临时工 </w:t>
            </w:r>
            <w:r>
              <w:rPr>
                <w:spacing w:val="-11"/>
                <w:sz w:val="21"/>
                <w:szCs w:val="21"/>
              </w:rPr>
              <w:t>棚、勘查作业及其辅助工程、施工便道、</w:t>
            </w:r>
            <w:r>
              <w:rPr>
                <w:spacing w:val="8"/>
                <w:sz w:val="21"/>
                <w:szCs w:val="21"/>
              </w:rPr>
              <w:t xml:space="preserve"> </w:t>
            </w:r>
            <w:r>
              <w:rPr>
                <w:spacing w:val="-4"/>
                <w:sz w:val="21"/>
                <w:szCs w:val="21"/>
              </w:rPr>
              <w:t xml:space="preserve">运输便道等使用的土地，包括油气资源 </w:t>
            </w:r>
            <w:r>
              <w:rPr>
                <w:spacing w:val="-11"/>
                <w:sz w:val="21"/>
                <w:szCs w:val="21"/>
              </w:rPr>
              <w:t>勘查中钻井井场、配套管线、电力设施、</w:t>
            </w:r>
            <w:r>
              <w:rPr>
                <w:spacing w:val="8"/>
                <w:sz w:val="21"/>
                <w:szCs w:val="21"/>
              </w:rPr>
              <w:t xml:space="preserve"> </w:t>
            </w:r>
            <w:r>
              <w:rPr>
                <w:spacing w:val="-1"/>
                <w:sz w:val="21"/>
                <w:szCs w:val="21"/>
              </w:rPr>
              <w:t>进场道路等钻井及配套设施使用的土</w:t>
            </w:r>
            <w:r>
              <w:rPr>
                <w:spacing w:val="4"/>
                <w:sz w:val="21"/>
                <w:szCs w:val="21"/>
              </w:rPr>
              <w:t xml:space="preserve">   </w:t>
            </w:r>
            <w:r>
              <w:rPr>
                <w:spacing w:val="-9"/>
                <w:sz w:val="21"/>
                <w:szCs w:val="21"/>
              </w:rPr>
              <w:t>地。</w:t>
            </w:r>
          </w:p>
          <w:p>
            <w:pPr>
              <w:pStyle w:val="6"/>
              <w:spacing w:before="10" w:line="235" w:lineRule="auto"/>
              <w:ind w:left="110" w:right="102" w:firstLine="11"/>
              <w:rPr>
                <w:sz w:val="21"/>
                <w:szCs w:val="21"/>
              </w:rPr>
            </w:pPr>
            <w:r>
              <w:rPr>
                <w:spacing w:val="-4"/>
                <w:sz w:val="21"/>
                <w:szCs w:val="21"/>
              </w:rPr>
              <w:t>临时用地选址要求和使用期限：建设项</w:t>
            </w:r>
            <w:r>
              <w:rPr>
                <w:sz w:val="21"/>
                <w:szCs w:val="21"/>
              </w:rPr>
              <w:t xml:space="preserve"> </w:t>
            </w:r>
            <w:r>
              <w:rPr>
                <w:spacing w:val="-4"/>
                <w:sz w:val="21"/>
                <w:szCs w:val="21"/>
              </w:rPr>
              <w:t>目施工、地质勘查使用临时用地时应坚</w:t>
            </w:r>
            <w:r>
              <w:rPr>
                <w:spacing w:val="10"/>
                <w:sz w:val="21"/>
                <w:szCs w:val="21"/>
              </w:rPr>
              <w:t xml:space="preserve"> </w:t>
            </w:r>
            <w:r>
              <w:rPr>
                <w:spacing w:val="-2"/>
                <w:sz w:val="21"/>
                <w:szCs w:val="21"/>
              </w:rPr>
              <w:t>持</w:t>
            </w:r>
            <w:r>
              <w:rPr>
                <w:rFonts w:ascii="Times New Roman" w:hAnsi="Times New Roman" w:eastAsia="Times New Roman" w:cs="Times New Roman"/>
                <w:spacing w:val="-2"/>
                <w:sz w:val="21"/>
                <w:szCs w:val="21"/>
              </w:rPr>
              <w:t>“</w:t>
            </w:r>
            <w:r>
              <w:rPr>
                <w:spacing w:val="-2"/>
                <w:sz w:val="21"/>
                <w:szCs w:val="21"/>
              </w:rPr>
              <w:t xml:space="preserve">用多少、批多少、占多少、恢复多 </w:t>
            </w:r>
            <w:r>
              <w:rPr>
                <w:spacing w:val="-3"/>
                <w:sz w:val="21"/>
                <w:szCs w:val="21"/>
              </w:rPr>
              <w:t>少</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2"/>
                <w:sz w:val="21"/>
                <w:szCs w:val="21"/>
              </w:rPr>
              <w:t xml:space="preserve"> </w:t>
            </w:r>
            <w:r>
              <w:rPr>
                <w:spacing w:val="-3"/>
                <w:sz w:val="21"/>
                <w:szCs w:val="21"/>
              </w:rPr>
              <w:t xml:space="preserve">，尽量不占或者少占耕地。临时用 </w:t>
            </w:r>
            <w:r>
              <w:rPr>
                <w:spacing w:val="-4"/>
                <w:sz w:val="21"/>
                <w:szCs w:val="21"/>
              </w:rPr>
              <w:t>地确需占用永久基本农田的，必须能够</w:t>
            </w:r>
            <w:r>
              <w:rPr>
                <w:spacing w:val="12"/>
                <w:sz w:val="21"/>
                <w:szCs w:val="21"/>
              </w:rPr>
              <w:t xml:space="preserve"> </w:t>
            </w:r>
            <w:r>
              <w:rPr>
                <w:spacing w:val="-4"/>
                <w:sz w:val="21"/>
                <w:szCs w:val="21"/>
              </w:rPr>
              <w:t>恢复原种植条件，并符合《自然资源部</w:t>
            </w:r>
            <w:r>
              <w:rPr>
                <w:spacing w:val="10"/>
                <w:sz w:val="21"/>
                <w:szCs w:val="21"/>
              </w:rPr>
              <w:t xml:space="preserve"> </w:t>
            </w:r>
            <w:r>
              <w:rPr>
                <w:spacing w:val="-1"/>
                <w:sz w:val="21"/>
                <w:szCs w:val="21"/>
              </w:rPr>
              <w:t>农业农村部关于加强和改进永久基本</w:t>
            </w:r>
          </w:p>
        </w:tc>
        <w:tc>
          <w:tcPr>
            <w:tcW w:w="3069" w:type="dxa"/>
            <w:tcBorders>
              <w:right w:val="single" w:color="000000" w:sz="8" w:space="0"/>
            </w:tcBorders>
            <w:vAlign w:val="top"/>
          </w:tcPr>
          <w:p>
            <w:pPr>
              <w:pStyle w:val="6"/>
              <w:spacing w:before="35" w:line="234" w:lineRule="auto"/>
              <w:ind w:left="114" w:right="38"/>
              <w:jc w:val="both"/>
              <w:rPr>
                <w:sz w:val="21"/>
                <w:szCs w:val="21"/>
              </w:rPr>
            </w:pPr>
            <w:r>
              <w:rPr>
                <w:spacing w:val="-3"/>
                <w:sz w:val="21"/>
                <w:szCs w:val="21"/>
              </w:rPr>
              <w:t>本项目用地为天然气勘察项目，</w:t>
            </w:r>
            <w:r>
              <w:rPr>
                <w:spacing w:val="3"/>
                <w:sz w:val="21"/>
                <w:szCs w:val="21"/>
              </w:rPr>
              <w:t xml:space="preserve"> </w:t>
            </w:r>
            <w:r>
              <w:rPr>
                <w:spacing w:val="4"/>
                <w:sz w:val="21"/>
                <w:szCs w:val="21"/>
              </w:rPr>
              <w:t>项目用地为油气资源勘查中钻</w:t>
            </w:r>
            <w:r>
              <w:rPr>
                <w:spacing w:val="2"/>
                <w:sz w:val="21"/>
                <w:szCs w:val="21"/>
              </w:rPr>
              <w:t xml:space="preserve">  </w:t>
            </w:r>
            <w:r>
              <w:rPr>
                <w:spacing w:val="-3"/>
                <w:sz w:val="21"/>
                <w:szCs w:val="21"/>
              </w:rPr>
              <w:t>井井场、配套管线、电力设施、</w:t>
            </w:r>
            <w:r>
              <w:rPr>
                <w:spacing w:val="4"/>
                <w:sz w:val="21"/>
                <w:szCs w:val="21"/>
              </w:rPr>
              <w:t xml:space="preserve"> 进场道路等钻井及配套设施使</w:t>
            </w:r>
          </w:p>
          <w:p>
            <w:pPr>
              <w:pStyle w:val="6"/>
              <w:spacing w:before="22" w:line="230" w:lineRule="auto"/>
              <w:ind w:left="492" w:right="90" w:hanging="376"/>
              <w:rPr>
                <w:sz w:val="21"/>
                <w:szCs w:val="21"/>
              </w:rPr>
            </w:pPr>
            <w:r>
              <w:rPr>
                <w:spacing w:val="-7"/>
                <w:sz w:val="21"/>
                <w:szCs w:val="21"/>
              </w:rPr>
              <w:t>用的土地，符合界定临时用地使</w:t>
            </w:r>
            <w:r>
              <w:rPr>
                <w:spacing w:val="6"/>
                <w:sz w:val="21"/>
                <w:szCs w:val="21"/>
              </w:rPr>
              <w:t xml:space="preserve"> </w:t>
            </w:r>
            <w:r>
              <w:rPr>
                <w:spacing w:val="-1"/>
                <w:sz w:val="21"/>
                <w:szCs w:val="21"/>
              </w:rPr>
              <w:t>用范围中的相关要求。</w:t>
            </w:r>
          </w:p>
          <w:p>
            <w:pPr>
              <w:pStyle w:val="6"/>
              <w:spacing w:before="21" w:line="236" w:lineRule="auto"/>
              <w:ind w:left="114" w:right="38" w:firstLine="4"/>
              <w:jc w:val="both"/>
              <w:rPr>
                <w:sz w:val="21"/>
                <w:szCs w:val="21"/>
              </w:rPr>
            </w:pPr>
            <w:r>
              <w:rPr>
                <w:spacing w:val="-7"/>
                <w:sz w:val="21"/>
                <w:szCs w:val="21"/>
              </w:rPr>
              <w:t>项目临时占用永久基本农田，项</w:t>
            </w:r>
            <w:r>
              <w:rPr>
                <w:spacing w:val="4"/>
                <w:sz w:val="21"/>
                <w:szCs w:val="21"/>
              </w:rPr>
              <w:t xml:space="preserve"> </w:t>
            </w:r>
            <w:r>
              <w:rPr>
                <w:spacing w:val="-7"/>
                <w:sz w:val="21"/>
                <w:szCs w:val="21"/>
              </w:rPr>
              <w:t>目施工结束后即封井，并及时按</w:t>
            </w:r>
            <w:r>
              <w:rPr>
                <w:spacing w:val="8"/>
                <w:sz w:val="21"/>
                <w:szCs w:val="21"/>
              </w:rPr>
              <w:t xml:space="preserve"> </w:t>
            </w:r>
            <w:r>
              <w:rPr>
                <w:spacing w:val="4"/>
                <w:sz w:val="21"/>
                <w:szCs w:val="21"/>
              </w:rPr>
              <w:t>照编制的临时用地土地复垦方</w:t>
            </w:r>
            <w:r>
              <w:rPr>
                <w:spacing w:val="2"/>
                <w:sz w:val="21"/>
                <w:szCs w:val="21"/>
              </w:rPr>
              <w:t xml:space="preserve">  </w:t>
            </w:r>
            <w:r>
              <w:rPr>
                <w:spacing w:val="-3"/>
                <w:sz w:val="21"/>
                <w:szCs w:val="21"/>
              </w:rPr>
              <w:t>案及批复对临时占地进行复垦。</w:t>
            </w:r>
            <w:r>
              <w:rPr>
                <w:spacing w:val="5"/>
                <w:sz w:val="21"/>
                <w:szCs w:val="21"/>
              </w:rPr>
              <w:t xml:space="preserve"> </w:t>
            </w:r>
            <w:r>
              <w:rPr>
                <w:spacing w:val="-7"/>
                <w:sz w:val="21"/>
                <w:szCs w:val="21"/>
              </w:rPr>
              <w:t>项目施工期约为</w:t>
            </w:r>
            <w:r>
              <w:rPr>
                <w:spacing w:val="-38"/>
                <w:sz w:val="21"/>
                <w:szCs w:val="21"/>
              </w:rPr>
              <w:t xml:space="preserve"> </w:t>
            </w:r>
            <w:r>
              <w:rPr>
                <w:rFonts w:ascii="Times New Roman" w:hAnsi="Times New Roman" w:eastAsia="Times New Roman" w:cs="Times New Roman"/>
                <w:spacing w:val="-7"/>
                <w:sz w:val="21"/>
                <w:szCs w:val="21"/>
              </w:rPr>
              <w:t xml:space="preserve">7 </w:t>
            </w:r>
            <w:r>
              <w:rPr>
                <w:spacing w:val="-7"/>
                <w:sz w:val="21"/>
                <w:szCs w:val="21"/>
              </w:rPr>
              <w:t>个月，即临时</w:t>
            </w:r>
            <w:r>
              <w:rPr>
                <w:sz w:val="21"/>
                <w:szCs w:val="21"/>
              </w:rPr>
              <w:t xml:space="preserve"> </w:t>
            </w:r>
            <w:r>
              <w:rPr>
                <w:spacing w:val="-7"/>
                <w:sz w:val="21"/>
                <w:szCs w:val="21"/>
              </w:rPr>
              <w:t>用地使用期限为</w:t>
            </w:r>
            <w:r>
              <w:rPr>
                <w:spacing w:val="-38"/>
                <w:sz w:val="21"/>
                <w:szCs w:val="21"/>
              </w:rPr>
              <w:t xml:space="preserve"> </w:t>
            </w:r>
            <w:r>
              <w:rPr>
                <w:rFonts w:ascii="Times New Roman" w:hAnsi="Times New Roman" w:eastAsia="Times New Roman" w:cs="Times New Roman"/>
                <w:spacing w:val="-7"/>
                <w:sz w:val="21"/>
                <w:szCs w:val="21"/>
              </w:rPr>
              <w:t xml:space="preserve">7 </w:t>
            </w:r>
            <w:r>
              <w:rPr>
                <w:spacing w:val="-7"/>
                <w:sz w:val="21"/>
                <w:szCs w:val="21"/>
              </w:rPr>
              <w:t>个月，符合临</w:t>
            </w:r>
            <w:r>
              <w:rPr>
                <w:sz w:val="21"/>
                <w:szCs w:val="21"/>
              </w:rPr>
              <w:t xml:space="preserve"> </w:t>
            </w:r>
            <w:r>
              <w:rPr>
                <w:spacing w:val="4"/>
                <w:sz w:val="21"/>
                <w:szCs w:val="21"/>
              </w:rPr>
              <w:t>时用地使用期限一般不超过两</w:t>
            </w:r>
            <w:r>
              <w:rPr>
                <w:spacing w:val="2"/>
                <w:sz w:val="21"/>
                <w:szCs w:val="21"/>
              </w:rPr>
              <w:t xml:space="preserve">  </w:t>
            </w:r>
            <w:r>
              <w:rPr>
                <w:spacing w:val="-7"/>
                <w:sz w:val="21"/>
                <w:szCs w:val="21"/>
              </w:rPr>
              <w:t>年的要求。评价要求建设单位需</w:t>
            </w:r>
            <w:r>
              <w:rPr>
                <w:spacing w:val="8"/>
                <w:sz w:val="21"/>
                <w:szCs w:val="21"/>
              </w:rPr>
              <w:t xml:space="preserve"> </w:t>
            </w:r>
            <w:r>
              <w:rPr>
                <w:spacing w:val="-6"/>
                <w:sz w:val="21"/>
                <w:szCs w:val="21"/>
              </w:rPr>
              <w:t>在取得相关部分审批手续后，方</w:t>
            </w:r>
          </w:p>
        </w:tc>
        <w:tc>
          <w:tcPr>
            <w:tcW w:w="26" w:type="dxa"/>
            <w:vAlign w:val="top"/>
          </w:tcPr>
          <w:p>
            <w:pPr>
              <w:rPr>
                <w:rFonts w:ascii="Arial"/>
                <w:sz w:val="21"/>
              </w:rPr>
            </w:pPr>
          </w:p>
        </w:tc>
      </w:tr>
    </w:tbl>
    <w:p>
      <w:pPr>
        <w:pStyle w:val="2"/>
        <w:rPr>
          <w:sz w:val="21"/>
        </w:rPr>
      </w:pPr>
    </w:p>
    <w:p>
      <w:pPr>
        <w:rPr>
          <w:sz w:val="21"/>
          <w:szCs w:val="21"/>
        </w:rPr>
        <w:sectPr>
          <w:footerReference r:id="rId26" w:type="default"/>
          <w:pgSz w:w="11907" w:h="16839"/>
          <w:pgMar w:top="400" w:right="1406" w:bottom="1180"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801"/>
        <w:gridCol w:w="3733"/>
        <w:gridCol w:w="3069"/>
        <w:gridCol w:w="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8" w:hRule="atLeast"/>
        </w:trPr>
        <w:tc>
          <w:tcPr>
            <w:tcW w:w="468" w:type="dxa"/>
            <w:vMerge w:val="restart"/>
            <w:tcBorders>
              <w:bottom w:val="nil"/>
            </w:tcBorders>
            <w:vAlign w:val="top"/>
          </w:tcPr>
          <w:p>
            <w:pPr>
              <w:rPr>
                <w:rFonts w:ascii="Arial"/>
                <w:sz w:val="21"/>
              </w:rPr>
            </w:pPr>
          </w:p>
        </w:tc>
        <w:tc>
          <w:tcPr>
            <w:tcW w:w="1801" w:type="dxa"/>
            <w:vAlign w:val="top"/>
          </w:tcPr>
          <w:p>
            <w:pPr>
              <w:rPr>
                <w:rFonts w:ascii="Arial"/>
                <w:sz w:val="21"/>
              </w:rPr>
            </w:pPr>
          </w:p>
        </w:tc>
        <w:tc>
          <w:tcPr>
            <w:tcW w:w="3733" w:type="dxa"/>
            <w:vAlign w:val="top"/>
          </w:tcPr>
          <w:p>
            <w:pPr>
              <w:pStyle w:val="6"/>
              <w:spacing w:before="61" w:line="221" w:lineRule="auto"/>
              <w:ind w:left="110"/>
              <w:rPr>
                <w:sz w:val="21"/>
                <w:szCs w:val="21"/>
              </w:rPr>
            </w:pPr>
            <w:r>
              <w:rPr>
                <w:spacing w:val="-1"/>
                <w:sz w:val="21"/>
                <w:szCs w:val="21"/>
              </w:rPr>
              <w:t>农田保护工作的通知》（自然资规</w:t>
            </w:r>
          </w:p>
          <w:p>
            <w:pPr>
              <w:pStyle w:val="6"/>
              <w:spacing w:before="19" w:line="238" w:lineRule="auto"/>
              <w:ind w:left="109" w:right="29" w:firstLine="25"/>
              <w:rPr>
                <w:sz w:val="21"/>
                <w:szCs w:val="21"/>
              </w:rPr>
            </w:pPr>
            <w:r>
              <w:rPr>
                <w:spacing w:val="-9"/>
                <w:sz w:val="21"/>
                <w:szCs w:val="21"/>
              </w:rPr>
              <w:t>〔</w:t>
            </w:r>
            <w:r>
              <w:rPr>
                <w:rFonts w:ascii="Times New Roman" w:hAnsi="Times New Roman" w:eastAsia="Times New Roman" w:cs="Times New Roman"/>
                <w:spacing w:val="-9"/>
                <w:sz w:val="21"/>
                <w:szCs w:val="21"/>
              </w:rPr>
              <w:t>2019</w:t>
            </w:r>
            <w:r>
              <w:rPr>
                <w:spacing w:val="-9"/>
                <w:sz w:val="21"/>
                <w:szCs w:val="21"/>
              </w:rPr>
              <w:t>〕</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15"/>
                <w:sz w:val="21"/>
                <w:szCs w:val="21"/>
              </w:rPr>
              <w:t xml:space="preserve"> </w:t>
            </w:r>
            <w:r>
              <w:rPr>
                <w:spacing w:val="-9"/>
                <w:sz w:val="21"/>
                <w:szCs w:val="21"/>
              </w:rPr>
              <w:t>号）中申请条件、土壤剥离、</w:t>
            </w:r>
            <w:r>
              <w:rPr>
                <w:sz w:val="21"/>
                <w:szCs w:val="21"/>
              </w:rPr>
              <w:t xml:space="preserve"> </w:t>
            </w:r>
            <w:r>
              <w:rPr>
                <w:spacing w:val="-4"/>
                <w:sz w:val="21"/>
                <w:szCs w:val="21"/>
              </w:rPr>
              <w:t xml:space="preserve">复垦验收等有关规定。临时用地使用期 限一般不超过两年。建设周期较长的能 源、交通、水利等基础设施建设项目施 </w:t>
            </w:r>
            <w:r>
              <w:rPr>
                <w:spacing w:val="-1"/>
                <w:sz w:val="21"/>
                <w:szCs w:val="21"/>
              </w:rPr>
              <w:t>工使用的临时用地，期限不超过四年。</w:t>
            </w:r>
            <w:r>
              <w:rPr>
                <w:spacing w:val="14"/>
                <w:sz w:val="21"/>
                <w:szCs w:val="21"/>
              </w:rPr>
              <w:t xml:space="preserve"> </w:t>
            </w:r>
            <w:r>
              <w:rPr>
                <w:spacing w:val="-7"/>
                <w:sz w:val="21"/>
                <w:szCs w:val="21"/>
              </w:rPr>
              <w:t>临时用地使用期限， 从批准之日起算</w:t>
            </w:r>
            <w:r>
              <w:rPr>
                <w:spacing w:val="3"/>
                <w:sz w:val="21"/>
                <w:szCs w:val="21"/>
              </w:rPr>
              <w:t xml:space="preserve">   </w:t>
            </w:r>
            <w:r>
              <w:rPr>
                <w:spacing w:val="-4"/>
                <w:sz w:val="21"/>
                <w:szCs w:val="21"/>
              </w:rPr>
              <w:t xml:space="preserve">规范临时用地审批：油气资源探采合一 </w:t>
            </w:r>
            <w:r>
              <w:rPr>
                <w:spacing w:val="-1"/>
                <w:sz w:val="21"/>
                <w:szCs w:val="21"/>
              </w:rPr>
              <w:t>开发涉及的钻井及配套设施建设用地，</w:t>
            </w:r>
            <w:r>
              <w:rPr>
                <w:spacing w:val="13"/>
                <w:sz w:val="21"/>
                <w:szCs w:val="21"/>
              </w:rPr>
              <w:t xml:space="preserve"> </w:t>
            </w:r>
            <w:r>
              <w:rPr>
                <w:spacing w:val="-4"/>
                <w:sz w:val="21"/>
                <w:szCs w:val="21"/>
              </w:rPr>
              <w:t xml:space="preserve">可先以临时用地方式批准使用，勘探结 束转入生产使用的，办理建设用地审批 </w:t>
            </w:r>
            <w:r>
              <w:rPr>
                <w:spacing w:val="-14"/>
                <w:sz w:val="21"/>
                <w:szCs w:val="21"/>
              </w:rPr>
              <w:t>手续； 不转入生产的，</w:t>
            </w:r>
            <w:r>
              <w:rPr>
                <w:spacing w:val="-12"/>
                <w:sz w:val="21"/>
                <w:szCs w:val="21"/>
              </w:rPr>
              <w:t xml:space="preserve"> </w:t>
            </w:r>
            <w:r>
              <w:rPr>
                <w:spacing w:val="-14"/>
                <w:sz w:val="21"/>
                <w:szCs w:val="21"/>
              </w:rPr>
              <w:t xml:space="preserve">油气企业应当完 </w:t>
            </w:r>
            <w:r>
              <w:rPr>
                <w:spacing w:val="-2"/>
                <w:sz w:val="21"/>
                <w:szCs w:val="21"/>
              </w:rPr>
              <w:t>成土地复垦，按期归还。</w:t>
            </w:r>
          </w:p>
          <w:p>
            <w:pPr>
              <w:pStyle w:val="6"/>
              <w:spacing w:before="19" w:line="237" w:lineRule="auto"/>
              <w:ind w:left="111" w:right="102"/>
              <w:rPr>
                <w:sz w:val="21"/>
                <w:szCs w:val="21"/>
              </w:rPr>
            </w:pPr>
            <w:r>
              <w:rPr>
                <w:spacing w:val="-4"/>
                <w:sz w:val="21"/>
                <w:szCs w:val="21"/>
              </w:rPr>
              <w:t>落实临时用地恢复责任：临时用地使用</w:t>
            </w:r>
            <w:r>
              <w:rPr>
                <w:spacing w:val="8"/>
                <w:sz w:val="21"/>
                <w:szCs w:val="21"/>
              </w:rPr>
              <w:t xml:space="preserve"> </w:t>
            </w:r>
            <w:r>
              <w:rPr>
                <w:spacing w:val="-4"/>
                <w:sz w:val="21"/>
                <w:szCs w:val="21"/>
              </w:rPr>
              <w:t>人应当按照批准的用途使用土地，不得</w:t>
            </w:r>
            <w:r>
              <w:rPr>
                <w:spacing w:val="11"/>
                <w:sz w:val="21"/>
                <w:szCs w:val="21"/>
              </w:rPr>
              <w:t xml:space="preserve"> </w:t>
            </w:r>
            <w:r>
              <w:rPr>
                <w:spacing w:val="-4"/>
                <w:sz w:val="21"/>
                <w:szCs w:val="21"/>
              </w:rPr>
              <w:t>转让、出租、抵押临时用地。临时用地</w:t>
            </w:r>
            <w:r>
              <w:rPr>
                <w:spacing w:val="9"/>
                <w:sz w:val="21"/>
                <w:szCs w:val="21"/>
              </w:rPr>
              <w:t xml:space="preserve"> </w:t>
            </w:r>
            <w:r>
              <w:rPr>
                <w:spacing w:val="-2"/>
                <w:sz w:val="21"/>
                <w:szCs w:val="21"/>
              </w:rPr>
              <w:t xml:space="preserve">使用人应当自临时用地期满之日起一  </w:t>
            </w:r>
            <w:r>
              <w:rPr>
                <w:spacing w:val="-8"/>
                <w:sz w:val="21"/>
                <w:szCs w:val="21"/>
              </w:rPr>
              <w:t>年内完成土地复垦，</w:t>
            </w:r>
            <w:r>
              <w:rPr>
                <w:spacing w:val="-28"/>
                <w:sz w:val="21"/>
                <w:szCs w:val="21"/>
              </w:rPr>
              <w:t xml:space="preserve"> </w:t>
            </w:r>
            <w:r>
              <w:rPr>
                <w:spacing w:val="-8"/>
                <w:sz w:val="21"/>
                <w:szCs w:val="21"/>
              </w:rPr>
              <w:t>因气候、灾害等不</w:t>
            </w:r>
            <w:r>
              <w:rPr>
                <w:sz w:val="21"/>
                <w:szCs w:val="21"/>
              </w:rPr>
              <w:t xml:space="preserve"> </w:t>
            </w:r>
            <w:r>
              <w:rPr>
                <w:spacing w:val="-4"/>
                <w:sz w:val="21"/>
                <w:szCs w:val="21"/>
              </w:rPr>
              <w:t>可抗力因素影响复垦的，经批准可以适</w:t>
            </w:r>
            <w:r>
              <w:rPr>
                <w:spacing w:val="9"/>
                <w:sz w:val="21"/>
                <w:szCs w:val="21"/>
              </w:rPr>
              <w:t xml:space="preserve"> </w:t>
            </w:r>
            <w:r>
              <w:rPr>
                <w:spacing w:val="-1"/>
                <w:sz w:val="21"/>
                <w:szCs w:val="21"/>
              </w:rPr>
              <w:t>当延长复垦期限。</w:t>
            </w:r>
          </w:p>
          <w:p>
            <w:pPr>
              <w:pStyle w:val="6"/>
              <w:spacing w:before="18" w:line="235" w:lineRule="auto"/>
              <w:ind w:left="109" w:right="101" w:firstLine="1"/>
              <w:jc w:val="both"/>
              <w:rPr>
                <w:sz w:val="21"/>
                <w:szCs w:val="21"/>
              </w:rPr>
            </w:pPr>
            <w:r>
              <w:rPr>
                <w:spacing w:val="-6"/>
                <w:sz w:val="21"/>
                <w:szCs w:val="21"/>
              </w:rPr>
              <w:t>严格落实临时用地恢复责任，</w:t>
            </w:r>
            <w:r>
              <w:rPr>
                <w:spacing w:val="-59"/>
                <w:sz w:val="21"/>
                <w:szCs w:val="21"/>
              </w:rPr>
              <w:t xml:space="preserve"> </w:t>
            </w:r>
            <w:r>
              <w:rPr>
                <w:spacing w:val="-6"/>
                <w:sz w:val="21"/>
                <w:szCs w:val="21"/>
              </w:rPr>
              <w:t>临时用地</w:t>
            </w:r>
            <w:r>
              <w:rPr>
                <w:sz w:val="21"/>
                <w:szCs w:val="21"/>
              </w:rPr>
              <w:t xml:space="preserve"> </w:t>
            </w:r>
            <w:r>
              <w:rPr>
                <w:spacing w:val="-8"/>
                <w:sz w:val="21"/>
                <w:szCs w:val="21"/>
              </w:rPr>
              <w:t>期满后应当拆除临时建（构）</w:t>
            </w:r>
            <w:r>
              <w:rPr>
                <w:spacing w:val="-27"/>
                <w:sz w:val="21"/>
                <w:szCs w:val="21"/>
              </w:rPr>
              <w:t xml:space="preserve"> </w:t>
            </w:r>
            <w:r>
              <w:rPr>
                <w:spacing w:val="-8"/>
                <w:sz w:val="21"/>
                <w:szCs w:val="21"/>
              </w:rPr>
              <w:t>筑物，使</w:t>
            </w:r>
            <w:r>
              <w:rPr>
                <w:sz w:val="21"/>
                <w:szCs w:val="21"/>
              </w:rPr>
              <w:t xml:space="preserve"> </w:t>
            </w:r>
            <w:r>
              <w:rPr>
                <w:spacing w:val="-4"/>
                <w:sz w:val="21"/>
                <w:szCs w:val="21"/>
              </w:rPr>
              <w:t>用耕地的应当复垦为耕地，确保耕地面</w:t>
            </w:r>
            <w:r>
              <w:rPr>
                <w:spacing w:val="13"/>
                <w:sz w:val="21"/>
                <w:szCs w:val="21"/>
              </w:rPr>
              <w:t xml:space="preserve"> </w:t>
            </w:r>
            <w:r>
              <w:rPr>
                <w:spacing w:val="-7"/>
                <w:sz w:val="21"/>
                <w:szCs w:val="21"/>
              </w:rPr>
              <w:t>积不减少、质量不降低；</w:t>
            </w:r>
            <w:r>
              <w:rPr>
                <w:spacing w:val="-44"/>
                <w:sz w:val="21"/>
                <w:szCs w:val="21"/>
              </w:rPr>
              <w:t xml:space="preserve"> </w:t>
            </w:r>
            <w:r>
              <w:rPr>
                <w:spacing w:val="-7"/>
                <w:sz w:val="21"/>
                <w:szCs w:val="21"/>
              </w:rPr>
              <w:t>使用耕地以外</w:t>
            </w:r>
            <w:r>
              <w:rPr>
                <w:sz w:val="21"/>
                <w:szCs w:val="21"/>
              </w:rPr>
              <w:t xml:space="preserve"> </w:t>
            </w:r>
            <w:r>
              <w:rPr>
                <w:spacing w:val="-4"/>
                <w:sz w:val="21"/>
                <w:szCs w:val="21"/>
              </w:rPr>
              <w:t>的其他农用地的应当恢复为农用地；使</w:t>
            </w:r>
            <w:r>
              <w:rPr>
                <w:spacing w:val="13"/>
                <w:sz w:val="21"/>
                <w:szCs w:val="21"/>
              </w:rPr>
              <w:t xml:space="preserve"> </w:t>
            </w:r>
            <w:r>
              <w:rPr>
                <w:spacing w:val="-4"/>
                <w:sz w:val="21"/>
                <w:szCs w:val="21"/>
              </w:rPr>
              <w:t>用未利用地的，对于符合条件的鼓励复</w:t>
            </w:r>
            <w:r>
              <w:rPr>
                <w:spacing w:val="10"/>
                <w:sz w:val="21"/>
                <w:szCs w:val="21"/>
              </w:rPr>
              <w:t xml:space="preserve"> </w:t>
            </w:r>
            <w:r>
              <w:rPr>
                <w:spacing w:val="-4"/>
                <w:sz w:val="21"/>
                <w:szCs w:val="21"/>
              </w:rPr>
              <w:t>垦为耕地。</w:t>
            </w:r>
          </w:p>
        </w:tc>
        <w:tc>
          <w:tcPr>
            <w:tcW w:w="3069" w:type="dxa"/>
            <w:tcBorders>
              <w:right w:val="single" w:color="000000" w:sz="8" w:space="0"/>
            </w:tcBorders>
            <w:vAlign w:val="top"/>
          </w:tcPr>
          <w:p>
            <w:pPr>
              <w:pStyle w:val="6"/>
              <w:spacing w:before="60" w:line="221" w:lineRule="auto"/>
              <w:ind w:left="116"/>
              <w:rPr>
                <w:sz w:val="21"/>
                <w:szCs w:val="21"/>
              </w:rPr>
            </w:pPr>
            <w:r>
              <w:rPr>
                <w:spacing w:val="-7"/>
                <w:sz w:val="21"/>
                <w:szCs w:val="21"/>
              </w:rPr>
              <w:t>可开工建设。同时建设单位应编</w:t>
            </w:r>
          </w:p>
          <w:p>
            <w:pPr>
              <w:pStyle w:val="6"/>
              <w:spacing w:before="20" w:line="221" w:lineRule="auto"/>
              <w:ind w:left="115"/>
              <w:rPr>
                <w:sz w:val="21"/>
                <w:szCs w:val="21"/>
              </w:rPr>
            </w:pPr>
            <w:r>
              <w:rPr>
                <w:spacing w:val="-7"/>
                <w:sz w:val="21"/>
                <w:szCs w:val="21"/>
              </w:rPr>
              <w:t>制临时用地土地复垦方案，并取</w:t>
            </w:r>
          </w:p>
          <w:p>
            <w:pPr>
              <w:pStyle w:val="6"/>
              <w:spacing w:before="22" w:line="221" w:lineRule="auto"/>
              <w:ind w:left="281"/>
              <w:rPr>
                <w:sz w:val="21"/>
                <w:szCs w:val="21"/>
              </w:rPr>
            </w:pPr>
            <w:r>
              <w:rPr>
                <w:spacing w:val="-1"/>
                <w:sz w:val="21"/>
                <w:szCs w:val="21"/>
              </w:rPr>
              <w:t>得自然资源主管部门的批复</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468" w:type="dxa"/>
            <w:vMerge w:val="continue"/>
            <w:tcBorders>
              <w:top w:val="nil"/>
              <w:bottom w:val="nil"/>
            </w:tcBorders>
            <w:vAlign w:val="top"/>
          </w:tcPr>
          <w:p>
            <w:pPr>
              <w:rPr>
                <w:rFonts w:ascii="Arial"/>
                <w:sz w:val="21"/>
              </w:rPr>
            </w:pPr>
          </w:p>
        </w:tc>
        <w:tc>
          <w:tcPr>
            <w:tcW w:w="1801" w:type="dxa"/>
            <w:vAlign w:val="top"/>
          </w:tcPr>
          <w:p>
            <w:pPr>
              <w:spacing w:line="253" w:lineRule="auto"/>
              <w:rPr>
                <w:rFonts w:ascii="Arial"/>
                <w:sz w:val="21"/>
              </w:rPr>
            </w:pPr>
          </w:p>
          <w:p>
            <w:pPr>
              <w:spacing w:line="253" w:lineRule="auto"/>
              <w:rPr>
                <w:rFonts w:ascii="Arial"/>
                <w:sz w:val="21"/>
              </w:rPr>
            </w:pPr>
          </w:p>
          <w:p>
            <w:pPr>
              <w:pStyle w:val="6"/>
              <w:spacing w:before="69" w:line="236" w:lineRule="auto"/>
              <w:ind w:left="115" w:right="111" w:firstLine="52"/>
              <w:jc w:val="both"/>
              <w:rPr>
                <w:sz w:val="21"/>
                <w:szCs w:val="21"/>
              </w:rPr>
            </w:pPr>
            <w:r>
              <w:rPr>
                <w:spacing w:val="-1"/>
                <w:sz w:val="21"/>
                <w:szCs w:val="21"/>
              </w:rPr>
              <w:t>《四川省自然资</w:t>
            </w:r>
            <w:r>
              <w:rPr>
                <w:sz w:val="21"/>
                <w:szCs w:val="21"/>
              </w:rPr>
              <w:t xml:space="preserve"> </w:t>
            </w:r>
            <w:r>
              <w:rPr>
                <w:spacing w:val="-5"/>
                <w:sz w:val="21"/>
                <w:szCs w:val="21"/>
              </w:rPr>
              <w:t>源厅</w:t>
            </w:r>
            <w:r>
              <w:rPr>
                <w:spacing w:val="28"/>
                <w:sz w:val="21"/>
                <w:szCs w:val="21"/>
              </w:rPr>
              <w:t xml:space="preserve"> </w:t>
            </w:r>
            <w:r>
              <w:rPr>
                <w:spacing w:val="-5"/>
                <w:sz w:val="21"/>
                <w:szCs w:val="21"/>
              </w:rPr>
              <w:t>四川省农业</w:t>
            </w:r>
            <w:r>
              <w:rPr>
                <w:sz w:val="21"/>
                <w:szCs w:val="21"/>
              </w:rPr>
              <w:t xml:space="preserve"> </w:t>
            </w:r>
            <w:r>
              <w:rPr>
                <w:spacing w:val="6"/>
                <w:sz w:val="21"/>
                <w:szCs w:val="21"/>
              </w:rPr>
              <w:t>农村厅关于严格</w:t>
            </w:r>
            <w:r>
              <w:rPr>
                <w:spacing w:val="3"/>
                <w:sz w:val="21"/>
                <w:szCs w:val="21"/>
              </w:rPr>
              <w:t xml:space="preserve"> </w:t>
            </w:r>
            <w:r>
              <w:rPr>
                <w:spacing w:val="6"/>
                <w:sz w:val="21"/>
                <w:szCs w:val="21"/>
              </w:rPr>
              <w:t>规范永久基本农</w:t>
            </w:r>
            <w:r>
              <w:rPr>
                <w:spacing w:val="3"/>
                <w:sz w:val="21"/>
                <w:szCs w:val="21"/>
              </w:rPr>
              <w:t xml:space="preserve"> </w:t>
            </w:r>
            <w:r>
              <w:rPr>
                <w:spacing w:val="6"/>
                <w:sz w:val="21"/>
                <w:szCs w:val="21"/>
              </w:rPr>
              <w:t>田占用调整和补</w:t>
            </w:r>
            <w:r>
              <w:rPr>
                <w:spacing w:val="3"/>
                <w:sz w:val="21"/>
                <w:szCs w:val="21"/>
              </w:rPr>
              <w:t xml:space="preserve"> </w:t>
            </w:r>
            <w:r>
              <w:rPr>
                <w:spacing w:val="6"/>
                <w:sz w:val="21"/>
                <w:szCs w:val="21"/>
              </w:rPr>
              <w:t>划管理的通知》</w:t>
            </w:r>
          </w:p>
          <w:p>
            <w:pPr>
              <w:pStyle w:val="6"/>
              <w:spacing w:before="23" w:line="230" w:lineRule="auto"/>
              <w:ind w:left="217" w:right="205" w:firstLine="61"/>
              <w:rPr>
                <w:sz w:val="21"/>
                <w:szCs w:val="21"/>
              </w:rPr>
            </w:pPr>
            <w:r>
              <w:rPr>
                <w:spacing w:val="-2"/>
                <w:sz w:val="21"/>
                <w:szCs w:val="21"/>
              </w:rPr>
              <w:t>（川自然资规</w:t>
            </w:r>
            <w:r>
              <w:rPr>
                <w:sz w:val="21"/>
                <w:szCs w:val="21"/>
              </w:rPr>
              <w:t xml:space="preserve"> </w:t>
            </w:r>
            <w:r>
              <w:rPr>
                <w:spacing w:val="-7"/>
                <w:sz w:val="21"/>
                <w:szCs w:val="21"/>
              </w:rPr>
              <w:t>〔</w:t>
            </w:r>
            <w:r>
              <w:rPr>
                <w:rFonts w:ascii="Times New Roman" w:hAnsi="Times New Roman" w:eastAsia="Times New Roman" w:cs="Times New Roman"/>
                <w:spacing w:val="-7"/>
                <w:sz w:val="21"/>
                <w:szCs w:val="21"/>
              </w:rPr>
              <w:t>2021</w:t>
            </w:r>
            <w:r>
              <w:rPr>
                <w:spacing w:val="-7"/>
                <w:sz w:val="21"/>
                <w:szCs w:val="21"/>
              </w:rPr>
              <w:t>〕</w:t>
            </w:r>
            <w:r>
              <w:rPr>
                <w:rFonts w:ascii="Times New Roman" w:hAnsi="Times New Roman" w:eastAsia="Times New Roman" w:cs="Times New Roman"/>
                <w:spacing w:val="-7"/>
                <w:sz w:val="21"/>
                <w:szCs w:val="21"/>
              </w:rPr>
              <w:t>2</w:t>
            </w:r>
            <w:r>
              <w:rPr>
                <w:rFonts w:ascii="Times New Roman" w:hAnsi="Times New Roman" w:eastAsia="Times New Roman" w:cs="Times New Roman"/>
                <w:spacing w:val="18"/>
                <w:sz w:val="21"/>
                <w:szCs w:val="21"/>
              </w:rPr>
              <w:t xml:space="preserve"> </w:t>
            </w:r>
            <w:r>
              <w:rPr>
                <w:spacing w:val="-7"/>
                <w:sz w:val="21"/>
                <w:szCs w:val="21"/>
              </w:rPr>
              <w:t>号）</w:t>
            </w:r>
          </w:p>
        </w:tc>
        <w:tc>
          <w:tcPr>
            <w:tcW w:w="3733" w:type="dxa"/>
            <w:vAlign w:val="top"/>
          </w:tcPr>
          <w:p>
            <w:pPr>
              <w:spacing w:line="252" w:lineRule="auto"/>
              <w:rPr>
                <w:rFonts w:ascii="Arial"/>
                <w:sz w:val="21"/>
              </w:rPr>
            </w:pPr>
          </w:p>
          <w:p>
            <w:pPr>
              <w:spacing w:line="253" w:lineRule="auto"/>
              <w:rPr>
                <w:rFonts w:ascii="Arial"/>
                <w:sz w:val="21"/>
              </w:rPr>
            </w:pPr>
          </w:p>
          <w:p>
            <w:pPr>
              <w:pStyle w:val="6"/>
              <w:spacing w:before="68" w:line="237" w:lineRule="auto"/>
              <w:ind w:left="110" w:right="104"/>
              <w:rPr>
                <w:sz w:val="21"/>
                <w:szCs w:val="21"/>
              </w:rPr>
            </w:pPr>
            <w:r>
              <w:rPr>
                <w:spacing w:val="-1"/>
                <w:sz w:val="21"/>
                <w:szCs w:val="21"/>
              </w:rPr>
              <w:t>严格限定临时用地和设施农业用地占</w:t>
            </w:r>
            <w:r>
              <w:rPr>
                <w:spacing w:val="5"/>
                <w:sz w:val="21"/>
                <w:szCs w:val="21"/>
              </w:rPr>
              <w:t xml:space="preserve">  </w:t>
            </w:r>
            <w:r>
              <w:rPr>
                <w:spacing w:val="-4"/>
                <w:sz w:val="21"/>
                <w:szCs w:val="21"/>
              </w:rPr>
              <w:t>用永久基本农田条件。临时用地和设施</w:t>
            </w:r>
            <w:r>
              <w:rPr>
                <w:spacing w:val="10"/>
                <w:sz w:val="21"/>
                <w:szCs w:val="21"/>
              </w:rPr>
              <w:t xml:space="preserve"> </w:t>
            </w:r>
            <w:r>
              <w:rPr>
                <w:spacing w:val="-1"/>
                <w:sz w:val="21"/>
                <w:szCs w:val="21"/>
              </w:rPr>
              <w:t>农业用地原则上不得占用永久基本农</w:t>
            </w:r>
            <w:r>
              <w:rPr>
                <w:spacing w:val="6"/>
                <w:sz w:val="21"/>
                <w:szCs w:val="21"/>
              </w:rPr>
              <w:t xml:space="preserve">  </w:t>
            </w:r>
            <w:r>
              <w:rPr>
                <w:spacing w:val="-4"/>
                <w:sz w:val="21"/>
                <w:szCs w:val="21"/>
              </w:rPr>
              <w:t>田。建设项目施工和地质勘查需要临时</w:t>
            </w:r>
            <w:r>
              <w:rPr>
                <w:spacing w:val="10"/>
                <w:sz w:val="21"/>
                <w:szCs w:val="21"/>
              </w:rPr>
              <w:t xml:space="preserve"> </w:t>
            </w:r>
            <w:r>
              <w:rPr>
                <w:spacing w:val="-4"/>
                <w:sz w:val="21"/>
                <w:szCs w:val="21"/>
              </w:rPr>
              <w:t>用地、选址确实难以避让永久基本农田</w:t>
            </w:r>
            <w:r>
              <w:rPr>
                <w:spacing w:val="10"/>
                <w:sz w:val="21"/>
                <w:szCs w:val="21"/>
              </w:rPr>
              <w:t xml:space="preserve"> </w:t>
            </w:r>
            <w:r>
              <w:rPr>
                <w:spacing w:val="-1"/>
                <w:sz w:val="21"/>
                <w:szCs w:val="21"/>
              </w:rPr>
              <w:t>的，按照自然资规〔</w:t>
            </w:r>
            <w:r>
              <w:rPr>
                <w:rFonts w:ascii="Times New Roman" w:hAnsi="Times New Roman" w:eastAsia="Times New Roman" w:cs="Times New Roman"/>
                <w:spacing w:val="-1"/>
                <w:sz w:val="21"/>
                <w:szCs w:val="21"/>
              </w:rPr>
              <w:t>2019</w:t>
            </w:r>
            <w:r>
              <w:rPr>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13"/>
                <w:w w:val="101"/>
                <w:sz w:val="21"/>
                <w:szCs w:val="21"/>
              </w:rPr>
              <w:t xml:space="preserve"> </w:t>
            </w:r>
            <w:r>
              <w:rPr>
                <w:spacing w:val="-1"/>
                <w:sz w:val="21"/>
                <w:szCs w:val="21"/>
              </w:rPr>
              <w:t>号文件规</w:t>
            </w:r>
            <w:r>
              <w:rPr>
                <w:sz w:val="21"/>
                <w:szCs w:val="21"/>
              </w:rPr>
              <w:t xml:space="preserve"> </w:t>
            </w:r>
            <w:r>
              <w:rPr>
                <w:spacing w:val="-4"/>
                <w:sz w:val="21"/>
                <w:szCs w:val="21"/>
              </w:rPr>
              <w:t>定执行。设施农业用地使用永久基本农</w:t>
            </w:r>
            <w:r>
              <w:rPr>
                <w:spacing w:val="10"/>
                <w:sz w:val="21"/>
                <w:szCs w:val="21"/>
              </w:rPr>
              <w:t xml:space="preserve"> </w:t>
            </w:r>
            <w:r>
              <w:rPr>
                <w:spacing w:val="-2"/>
                <w:sz w:val="21"/>
                <w:szCs w:val="21"/>
              </w:rPr>
              <w:t>田严格按照国家和省有关规定执行。</w:t>
            </w:r>
          </w:p>
        </w:tc>
        <w:tc>
          <w:tcPr>
            <w:tcW w:w="3069" w:type="dxa"/>
            <w:tcBorders>
              <w:right w:val="single" w:color="000000" w:sz="8" w:space="0"/>
            </w:tcBorders>
            <w:vAlign w:val="top"/>
          </w:tcPr>
          <w:p>
            <w:pPr>
              <w:pStyle w:val="6"/>
              <w:spacing w:before="28" w:line="238" w:lineRule="auto"/>
              <w:ind w:left="114" w:right="90" w:firstLine="1"/>
              <w:jc w:val="both"/>
              <w:rPr>
                <w:sz w:val="21"/>
                <w:szCs w:val="21"/>
              </w:rPr>
            </w:pPr>
            <w:r>
              <w:rPr>
                <w:spacing w:val="-7"/>
                <w:sz w:val="21"/>
                <w:szCs w:val="21"/>
              </w:rPr>
              <w:t>本项目为天然气勘探井工程，项</w:t>
            </w:r>
            <w:r>
              <w:rPr>
                <w:spacing w:val="6"/>
                <w:sz w:val="21"/>
                <w:szCs w:val="21"/>
              </w:rPr>
              <w:t xml:space="preserve"> </w:t>
            </w:r>
            <w:r>
              <w:rPr>
                <w:spacing w:val="-7"/>
                <w:sz w:val="21"/>
                <w:szCs w:val="21"/>
              </w:rPr>
              <w:t>目占地均为临时占地，项目选址</w:t>
            </w:r>
            <w:r>
              <w:rPr>
                <w:spacing w:val="8"/>
                <w:sz w:val="21"/>
                <w:szCs w:val="21"/>
              </w:rPr>
              <w:t xml:space="preserve"> </w:t>
            </w:r>
            <w:r>
              <w:rPr>
                <w:spacing w:val="-7"/>
                <w:sz w:val="21"/>
                <w:szCs w:val="21"/>
              </w:rPr>
              <w:t>难以避让永久基本农田。评价要</w:t>
            </w:r>
            <w:r>
              <w:rPr>
                <w:spacing w:val="8"/>
                <w:sz w:val="21"/>
                <w:szCs w:val="21"/>
              </w:rPr>
              <w:t xml:space="preserve"> </w:t>
            </w:r>
            <w:r>
              <w:rPr>
                <w:spacing w:val="4"/>
                <w:sz w:val="21"/>
                <w:szCs w:val="21"/>
              </w:rPr>
              <w:t>求建设单位需在取得相关部分</w:t>
            </w:r>
            <w:r>
              <w:rPr>
                <w:spacing w:val="5"/>
                <w:sz w:val="21"/>
                <w:szCs w:val="21"/>
              </w:rPr>
              <w:t xml:space="preserve"> </w:t>
            </w:r>
            <w:r>
              <w:rPr>
                <w:spacing w:val="-7"/>
                <w:sz w:val="21"/>
                <w:szCs w:val="21"/>
              </w:rPr>
              <w:t>审批手续后，方可开工建设。同</w:t>
            </w:r>
            <w:r>
              <w:rPr>
                <w:spacing w:val="8"/>
                <w:sz w:val="21"/>
                <w:szCs w:val="21"/>
              </w:rPr>
              <w:t xml:space="preserve"> </w:t>
            </w:r>
            <w:r>
              <w:rPr>
                <w:spacing w:val="4"/>
                <w:sz w:val="21"/>
                <w:szCs w:val="21"/>
              </w:rPr>
              <w:t>时评价要求建设单位应编制临</w:t>
            </w:r>
            <w:r>
              <w:rPr>
                <w:spacing w:val="6"/>
                <w:sz w:val="21"/>
                <w:szCs w:val="21"/>
              </w:rPr>
              <w:t xml:space="preserve"> </w:t>
            </w:r>
            <w:r>
              <w:rPr>
                <w:spacing w:val="-7"/>
                <w:sz w:val="21"/>
                <w:szCs w:val="21"/>
              </w:rPr>
              <w:t>时用地土地复垦方案，并取得自</w:t>
            </w:r>
            <w:r>
              <w:rPr>
                <w:spacing w:val="8"/>
                <w:sz w:val="21"/>
                <w:szCs w:val="21"/>
              </w:rPr>
              <w:t xml:space="preserve"> </w:t>
            </w:r>
            <w:r>
              <w:rPr>
                <w:spacing w:val="-7"/>
                <w:sz w:val="21"/>
                <w:szCs w:val="21"/>
              </w:rPr>
              <w:t>然资源主管部门的批复，在施工</w:t>
            </w:r>
            <w:r>
              <w:rPr>
                <w:spacing w:val="8"/>
                <w:sz w:val="21"/>
                <w:szCs w:val="21"/>
              </w:rPr>
              <w:t xml:space="preserve"> </w:t>
            </w:r>
            <w:r>
              <w:rPr>
                <w:spacing w:val="4"/>
                <w:sz w:val="21"/>
                <w:szCs w:val="21"/>
              </w:rPr>
              <w:t>结束后按照土地复垦方案及批</w:t>
            </w:r>
            <w:r>
              <w:rPr>
                <w:spacing w:val="5"/>
                <w:sz w:val="21"/>
                <w:szCs w:val="21"/>
              </w:rPr>
              <w:t xml:space="preserve"> </w:t>
            </w:r>
            <w:r>
              <w:rPr>
                <w:spacing w:val="-7"/>
                <w:sz w:val="21"/>
                <w:szCs w:val="21"/>
              </w:rPr>
              <w:t>复的要求进行复垦，按照数量不</w:t>
            </w:r>
            <w:r>
              <w:rPr>
                <w:spacing w:val="8"/>
                <w:sz w:val="21"/>
                <w:szCs w:val="21"/>
              </w:rPr>
              <w:t xml:space="preserve"> </w:t>
            </w:r>
            <w:r>
              <w:rPr>
                <w:spacing w:val="-7"/>
                <w:sz w:val="21"/>
                <w:szCs w:val="21"/>
              </w:rPr>
              <w:t>减、质量不降原则落实永久基本</w:t>
            </w:r>
          </w:p>
          <w:p>
            <w:pPr>
              <w:pStyle w:val="6"/>
              <w:spacing w:before="21" w:line="206" w:lineRule="auto"/>
              <w:ind w:left="806"/>
              <w:rPr>
                <w:sz w:val="21"/>
                <w:szCs w:val="21"/>
              </w:rPr>
            </w:pPr>
            <w:r>
              <w:rPr>
                <w:spacing w:val="-1"/>
                <w:sz w:val="21"/>
                <w:szCs w:val="21"/>
              </w:rPr>
              <w:t>农田补划任务。</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468" w:type="dxa"/>
            <w:vMerge w:val="continue"/>
            <w:tcBorders>
              <w:top w:val="nil"/>
            </w:tcBorders>
            <w:vAlign w:val="top"/>
          </w:tcPr>
          <w:p>
            <w:pPr>
              <w:rPr>
                <w:rFonts w:ascii="Arial"/>
                <w:sz w:val="21"/>
              </w:rPr>
            </w:pPr>
          </w:p>
        </w:tc>
        <w:tc>
          <w:tcPr>
            <w:tcW w:w="1801"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9" w:line="235" w:lineRule="auto"/>
              <w:ind w:left="111" w:right="106" w:firstLine="56"/>
              <w:jc w:val="both"/>
              <w:rPr>
                <w:rFonts w:ascii="Times New Roman" w:hAnsi="Times New Roman" w:eastAsia="Times New Roman" w:cs="Times New Roman"/>
                <w:sz w:val="21"/>
                <w:szCs w:val="21"/>
              </w:rPr>
            </w:pPr>
            <w:r>
              <w:rPr>
                <w:spacing w:val="-1"/>
                <w:sz w:val="21"/>
                <w:szCs w:val="21"/>
              </w:rPr>
              <w:t>《关于严格耕地</w:t>
            </w:r>
            <w:r>
              <w:rPr>
                <w:sz w:val="21"/>
                <w:szCs w:val="21"/>
              </w:rPr>
              <w:t xml:space="preserve"> </w:t>
            </w:r>
            <w:r>
              <w:rPr>
                <w:spacing w:val="7"/>
                <w:sz w:val="21"/>
                <w:szCs w:val="21"/>
              </w:rPr>
              <w:t>用途管制有关问</w:t>
            </w:r>
            <w:r>
              <w:rPr>
                <w:sz w:val="21"/>
                <w:szCs w:val="21"/>
              </w:rPr>
              <w:t xml:space="preserve"> </w:t>
            </w:r>
            <w:r>
              <w:rPr>
                <w:spacing w:val="-13"/>
                <w:sz w:val="21"/>
                <w:szCs w:val="21"/>
              </w:rPr>
              <w:t>题的通知》（自然</w:t>
            </w:r>
            <w:r>
              <w:rPr>
                <w:spacing w:val="1"/>
                <w:sz w:val="21"/>
                <w:szCs w:val="21"/>
              </w:rPr>
              <w:t xml:space="preserve"> </w:t>
            </w:r>
            <w:r>
              <w:rPr>
                <w:sz w:val="21"/>
                <w:szCs w:val="21"/>
              </w:rPr>
              <w:t>资发〔</w:t>
            </w:r>
            <w:r>
              <w:rPr>
                <w:rFonts w:ascii="Times New Roman" w:hAnsi="Times New Roman" w:eastAsia="Times New Roman" w:cs="Times New Roman"/>
                <w:sz w:val="21"/>
                <w:szCs w:val="21"/>
              </w:rPr>
              <w:t>2021</w:t>
            </w:r>
            <w:r>
              <w:rPr>
                <w:sz w:val="21"/>
                <w:szCs w:val="21"/>
              </w:rPr>
              <w:t>〕</w:t>
            </w:r>
            <w:r>
              <w:rPr>
                <w:rFonts w:ascii="Times New Roman" w:hAnsi="Times New Roman" w:eastAsia="Times New Roman" w:cs="Times New Roman"/>
                <w:sz w:val="21"/>
                <w:szCs w:val="21"/>
              </w:rPr>
              <w:t>166</w:t>
            </w:r>
          </w:p>
          <w:p>
            <w:pPr>
              <w:pStyle w:val="6"/>
              <w:spacing w:before="21" w:line="222" w:lineRule="auto"/>
              <w:ind w:left="697"/>
              <w:rPr>
                <w:sz w:val="21"/>
                <w:szCs w:val="21"/>
              </w:rPr>
            </w:pPr>
            <w:r>
              <w:rPr>
                <w:spacing w:val="-7"/>
                <w:sz w:val="21"/>
                <w:szCs w:val="21"/>
              </w:rPr>
              <w:t>号）</w:t>
            </w:r>
          </w:p>
        </w:tc>
        <w:tc>
          <w:tcPr>
            <w:tcW w:w="3733" w:type="dxa"/>
            <w:vAlign w:val="top"/>
          </w:tcPr>
          <w:p>
            <w:pPr>
              <w:spacing w:line="375" w:lineRule="auto"/>
              <w:rPr>
                <w:rFonts w:ascii="Arial"/>
                <w:sz w:val="21"/>
              </w:rPr>
            </w:pPr>
          </w:p>
          <w:p>
            <w:pPr>
              <w:pStyle w:val="6"/>
              <w:spacing w:before="68" w:line="237" w:lineRule="auto"/>
              <w:ind w:left="109" w:right="102" w:firstLine="23"/>
              <w:rPr>
                <w:sz w:val="21"/>
                <w:szCs w:val="21"/>
              </w:rPr>
            </w:pPr>
            <w:r>
              <w:rPr>
                <w:spacing w:val="-5"/>
                <w:sz w:val="21"/>
                <w:szCs w:val="21"/>
              </w:rPr>
              <w:t>已划定的永久基本农田，任何单位和个</w:t>
            </w:r>
            <w:r>
              <w:rPr>
                <w:spacing w:val="4"/>
                <w:sz w:val="21"/>
                <w:szCs w:val="21"/>
              </w:rPr>
              <w:t xml:space="preserve"> </w:t>
            </w:r>
            <w:r>
              <w:rPr>
                <w:spacing w:val="-4"/>
                <w:sz w:val="21"/>
                <w:szCs w:val="21"/>
              </w:rPr>
              <w:t>人不得擅自占用或者改变用途。非农业</w:t>
            </w:r>
            <w:r>
              <w:rPr>
                <w:spacing w:val="13"/>
                <w:sz w:val="21"/>
                <w:szCs w:val="21"/>
              </w:rPr>
              <w:t xml:space="preserve"> </w:t>
            </w:r>
            <w:r>
              <w:rPr>
                <w:spacing w:val="-2"/>
                <w:sz w:val="21"/>
                <w:szCs w:val="21"/>
              </w:rPr>
              <w:t>建设不得</w:t>
            </w:r>
            <w:r>
              <w:rPr>
                <w:rFonts w:ascii="Times New Roman" w:hAnsi="Times New Roman" w:eastAsia="Times New Roman" w:cs="Times New Roman"/>
                <w:spacing w:val="-2"/>
                <w:sz w:val="21"/>
                <w:szCs w:val="21"/>
              </w:rPr>
              <w:t>“</w:t>
            </w:r>
            <w:r>
              <w:rPr>
                <w:spacing w:val="-2"/>
                <w:sz w:val="21"/>
                <w:szCs w:val="21"/>
              </w:rPr>
              <w:t>未批先建</w:t>
            </w:r>
            <w:r>
              <w:rPr>
                <w:rFonts w:ascii="Times New Roman" w:hAnsi="Times New Roman" w:eastAsia="Times New Roman" w:cs="Times New Roman"/>
                <w:spacing w:val="-2"/>
                <w:sz w:val="21"/>
                <w:szCs w:val="21"/>
              </w:rPr>
              <w:t>”</w:t>
            </w:r>
            <w:r>
              <w:rPr>
                <w:spacing w:val="-2"/>
                <w:sz w:val="21"/>
                <w:szCs w:val="21"/>
              </w:rPr>
              <w:t>。能源、交通、水</w:t>
            </w:r>
            <w:r>
              <w:rPr>
                <w:spacing w:val="2"/>
                <w:sz w:val="21"/>
                <w:szCs w:val="21"/>
              </w:rPr>
              <w:t xml:space="preserve"> </w:t>
            </w:r>
            <w:r>
              <w:rPr>
                <w:spacing w:val="-4"/>
                <w:sz w:val="21"/>
                <w:szCs w:val="21"/>
              </w:rPr>
              <w:t>利、军事设施等重大建设项目选址确实</w:t>
            </w:r>
            <w:r>
              <w:rPr>
                <w:spacing w:val="10"/>
                <w:sz w:val="21"/>
                <w:szCs w:val="21"/>
              </w:rPr>
              <w:t xml:space="preserve"> </w:t>
            </w:r>
            <w:r>
              <w:rPr>
                <w:spacing w:val="-2"/>
                <w:sz w:val="21"/>
                <w:szCs w:val="21"/>
              </w:rPr>
              <w:t xml:space="preserve">难以避让永久基本农田的，经依法批  </w:t>
            </w:r>
            <w:r>
              <w:rPr>
                <w:spacing w:val="-10"/>
                <w:sz w:val="21"/>
                <w:szCs w:val="21"/>
              </w:rPr>
              <w:t>准，</w:t>
            </w:r>
            <w:r>
              <w:rPr>
                <w:spacing w:val="-50"/>
                <w:sz w:val="21"/>
                <w:szCs w:val="21"/>
              </w:rPr>
              <w:t xml:space="preserve"> </w:t>
            </w:r>
            <w:r>
              <w:rPr>
                <w:spacing w:val="-10"/>
                <w:sz w:val="21"/>
                <w:szCs w:val="21"/>
              </w:rPr>
              <w:t>应在落实耕地占补平衡基础上，</w:t>
            </w:r>
            <w:r>
              <w:rPr>
                <w:spacing w:val="-48"/>
                <w:sz w:val="21"/>
                <w:szCs w:val="21"/>
              </w:rPr>
              <w:t xml:space="preserve"> </w:t>
            </w:r>
            <w:r>
              <w:rPr>
                <w:spacing w:val="-10"/>
                <w:sz w:val="21"/>
                <w:szCs w:val="21"/>
              </w:rPr>
              <w:t>按</w:t>
            </w:r>
            <w:r>
              <w:rPr>
                <w:sz w:val="21"/>
                <w:szCs w:val="21"/>
              </w:rPr>
              <w:t xml:space="preserve"> </w:t>
            </w:r>
            <w:r>
              <w:rPr>
                <w:spacing w:val="-7"/>
                <w:sz w:val="21"/>
                <w:szCs w:val="21"/>
              </w:rPr>
              <w:t>照数量不减、质量不降原则，</w:t>
            </w:r>
            <w:r>
              <w:rPr>
                <w:spacing w:val="-43"/>
                <w:sz w:val="21"/>
                <w:szCs w:val="21"/>
              </w:rPr>
              <w:t xml:space="preserve"> </w:t>
            </w:r>
            <w:r>
              <w:rPr>
                <w:spacing w:val="-7"/>
                <w:sz w:val="21"/>
                <w:szCs w:val="21"/>
              </w:rPr>
              <w:t>在可以长</w:t>
            </w:r>
            <w:r>
              <w:rPr>
                <w:sz w:val="21"/>
                <w:szCs w:val="21"/>
              </w:rPr>
              <w:t xml:space="preserve"> </w:t>
            </w:r>
            <w:r>
              <w:rPr>
                <w:spacing w:val="-2"/>
                <w:sz w:val="21"/>
                <w:szCs w:val="21"/>
              </w:rPr>
              <w:t xml:space="preserve">期稳定利用的耕地上落实永久基本农  </w:t>
            </w:r>
            <w:r>
              <w:rPr>
                <w:spacing w:val="-1"/>
                <w:sz w:val="21"/>
                <w:szCs w:val="21"/>
              </w:rPr>
              <w:t>田补划任务</w:t>
            </w:r>
          </w:p>
        </w:tc>
        <w:tc>
          <w:tcPr>
            <w:tcW w:w="3069" w:type="dxa"/>
            <w:tcBorders>
              <w:right w:val="single" w:color="000000" w:sz="8" w:space="0"/>
            </w:tcBorders>
            <w:vAlign w:val="top"/>
          </w:tcPr>
          <w:p>
            <w:pPr>
              <w:pStyle w:val="6"/>
              <w:spacing w:before="28" w:line="238" w:lineRule="auto"/>
              <w:ind w:left="114" w:right="38" w:firstLine="1"/>
              <w:rPr>
                <w:sz w:val="21"/>
                <w:szCs w:val="21"/>
              </w:rPr>
            </w:pPr>
            <w:r>
              <w:rPr>
                <w:spacing w:val="-7"/>
                <w:sz w:val="21"/>
                <w:szCs w:val="21"/>
              </w:rPr>
              <w:t>本项目为天然气勘探项目，属规</w:t>
            </w:r>
            <w:r>
              <w:rPr>
                <w:spacing w:val="6"/>
                <w:sz w:val="21"/>
                <w:szCs w:val="21"/>
              </w:rPr>
              <w:t xml:space="preserve"> </w:t>
            </w:r>
            <w:r>
              <w:rPr>
                <w:spacing w:val="-7"/>
                <w:sz w:val="21"/>
                <w:szCs w:val="21"/>
              </w:rPr>
              <w:t>定的能源重大建设项目，项目选</w:t>
            </w:r>
            <w:r>
              <w:rPr>
                <w:spacing w:val="8"/>
                <w:sz w:val="21"/>
                <w:szCs w:val="21"/>
              </w:rPr>
              <w:t xml:space="preserve"> </w:t>
            </w:r>
            <w:r>
              <w:rPr>
                <w:spacing w:val="-7"/>
                <w:sz w:val="21"/>
                <w:szCs w:val="21"/>
              </w:rPr>
              <w:t>址难以避让永久基本农田。评价</w:t>
            </w:r>
            <w:r>
              <w:rPr>
                <w:spacing w:val="8"/>
                <w:sz w:val="21"/>
                <w:szCs w:val="21"/>
              </w:rPr>
              <w:t xml:space="preserve"> </w:t>
            </w:r>
            <w:r>
              <w:rPr>
                <w:spacing w:val="-2"/>
                <w:sz w:val="21"/>
                <w:szCs w:val="21"/>
              </w:rPr>
              <w:t xml:space="preserve">要求建设单位需在取得相关部  </w:t>
            </w:r>
            <w:r>
              <w:rPr>
                <w:spacing w:val="-9"/>
                <w:sz w:val="21"/>
                <w:szCs w:val="21"/>
              </w:rPr>
              <w:t>分审批手续后，</w:t>
            </w:r>
            <w:r>
              <w:rPr>
                <w:spacing w:val="-16"/>
                <w:sz w:val="21"/>
                <w:szCs w:val="21"/>
              </w:rPr>
              <w:t xml:space="preserve"> </w:t>
            </w:r>
            <w:r>
              <w:rPr>
                <w:spacing w:val="-9"/>
                <w:sz w:val="21"/>
                <w:szCs w:val="21"/>
              </w:rPr>
              <w:t>方可开工建设。</w:t>
            </w:r>
            <w:r>
              <w:rPr>
                <w:sz w:val="21"/>
                <w:szCs w:val="21"/>
              </w:rPr>
              <w:t xml:space="preserve"> </w:t>
            </w:r>
            <w:r>
              <w:rPr>
                <w:spacing w:val="-2"/>
                <w:sz w:val="21"/>
                <w:szCs w:val="21"/>
              </w:rPr>
              <w:t xml:space="preserve">同时评价要求建设单位应编制  </w:t>
            </w:r>
            <w:r>
              <w:rPr>
                <w:spacing w:val="-7"/>
                <w:sz w:val="21"/>
                <w:szCs w:val="21"/>
              </w:rPr>
              <w:t>临时用地土地复垦方案，并取得</w:t>
            </w:r>
            <w:r>
              <w:rPr>
                <w:spacing w:val="8"/>
                <w:sz w:val="21"/>
                <w:szCs w:val="21"/>
              </w:rPr>
              <w:t xml:space="preserve"> </w:t>
            </w:r>
            <w:r>
              <w:rPr>
                <w:spacing w:val="-7"/>
                <w:sz w:val="21"/>
                <w:szCs w:val="21"/>
              </w:rPr>
              <w:t>自然资源主管部门的批复，在施</w:t>
            </w:r>
            <w:r>
              <w:rPr>
                <w:spacing w:val="8"/>
                <w:sz w:val="21"/>
                <w:szCs w:val="21"/>
              </w:rPr>
              <w:t xml:space="preserve"> </w:t>
            </w:r>
            <w:r>
              <w:rPr>
                <w:spacing w:val="-2"/>
                <w:sz w:val="21"/>
                <w:szCs w:val="21"/>
              </w:rPr>
              <w:t xml:space="preserve">工结束后按照土地复垦方案及  </w:t>
            </w:r>
            <w:r>
              <w:rPr>
                <w:spacing w:val="-7"/>
                <w:sz w:val="21"/>
                <w:szCs w:val="21"/>
              </w:rPr>
              <w:t>批复的要求进行复垦，按照数量</w:t>
            </w:r>
            <w:r>
              <w:rPr>
                <w:spacing w:val="8"/>
                <w:sz w:val="21"/>
                <w:szCs w:val="21"/>
              </w:rPr>
              <w:t xml:space="preserve"> </w:t>
            </w:r>
            <w:r>
              <w:rPr>
                <w:spacing w:val="-7"/>
                <w:sz w:val="21"/>
                <w:szCs w:val="21"/>
              </w:rPr>
              <w:t>不减、质量不降原则落实永久基</w:t>
            </w:r>
            <w:r>
              <w:rPr>
                <w:spacing w:val="8"/>
                <w:sz w:val="21"/>
                <w:szCs w:val="21"/>
              </w:rPr>
              <w:t xml:space="preserve"> </w:t>
            </w:r>
            <w:r>
              <w:rPr>
                <w:spacing w:val="-1"/>
                <w:sz w:val="21"/>
                <w:szCs w:val="21"/>
              </w:rPr>
              <w:t>本农田补划任务。</w:t>
            </w:r>
          </w:p>
        </w:tc>
        <w:tc>
          <w:tcPr>
            <w:tcW w:w="26" w:type="dxa"/>
            <w:vAlign w:val="top"/>
          </w:tcPr>
          <w:p>
            <w:pPr>
              <w:rPr>
                <w:rFonts w:ascii="Arial"/>
                <w:sz w:val="21"/>
              </w:rPr>
            </w:pPr>
          </w:p>
        </w:tc>
      </w:tr>
    </w:tbl>
    <w:p>
      <w:pPr>
        <w:pStyle w:val="2"/>
        <w:rPr>
          <w:sz w:val="21"/>
        </w:rPr>
      </w:pPr>
    </w:p>
    <w:p>
      <w:pPr>
        <w:rPr>
          <w:sz w:val="21"/>
          <w:szCs w:val="21"/>
        </w:rPr>
        <w:sectPr>
          <w:footerReference r:id="rId27" w:type="default"/>
          <w:pgSz w:w="11907" w:h="16839"/>
          <w:pgMar w:top="400" w:right="1406" w:bottom="1181"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1801"/>
        <w:gridCol w:w="3733"/>
        <w:gridCol w:w="3069"/>
        <w:gridCol w:w="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5" w:hRule="atLeast"/>
        </w:trPr>
        <w:tc>
          <w:tcPr>
            <w:tcW w:w="468" w:type="dxa"/>
            <w:vMerge w:val="restart"/>
            <w:tcBorders>
              <w:bottom w:val="nil"/>
            </w:tcBorders>
            <w:vAlign w:val="top"/>
          </w:tcPr>
          <w:p>
            <w:pPr>
              <w:rPr>
                <w:rFonts w:ascii="Arial"/>
                <w:sz w:val="21"/>
              </w:rPr>
            </w:pPr>
          </w:p>
        </w:tc>
        <w:tc>
          <w:tcPr>
            <w:tcW w:w="1801"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221" w:lineRule="auto"/>
              <w:ind w:left="167"/>
              <w:rPr>
                <w:sz w:val="21"/>
                <w:szCs w:val="21"/>
              </w:rPr>
            </w:pPr>
            <w:r>
              <w:rPr>
                <w:spacing w:val="-2"/>
                <w:sz w:val="21"/>
                <w:szCs w:val="21"/>
              </w:rPr>
              <w:t>《四川省自然资</w:t>
            </w:r>
          </w:p>
          <w:p>
            <w:pPr>
              <w:pStyle w:val="6"/>
              <w:spacing w:before="19" w:line="221" w:lineRule="auto"/>
              <w:ind w:left="165"/>
              <w:rPr>
                <w:sz w:val="21"/>
                <w:szCs w:val="21"/>
              </w:rPr>
            </w:pPr>
            <w:r>
              <w:rPr>
                <w:spacing w:val="-1"/>
                <w:sz w:val="21"/>
                <w:szCs w:val="21"/>
              </w:rPr>
              <w:t>源厅关于进一步</w:t>
            </w:r>
          </w:p>
          <w:p>
            <w:pPr>
              <w:pStyle w:val="6"/>
              <w:spacing w:before="22" w:line="221" w:lineRule="auto"/>
              <w:ind w:left="186"/>
              <w:rPr>
                <w:sz w:val="21"/>
                <w:szCs w:val="21"/>
              </w:rPr>
            </w:pPr>
            <w:r>
              <w:rPr>
                <w:spacing w:val="-4"/>
                <w:sz w:val="21"/>
                <w:szCs w:val="21"/>
              </w:rPr>
              <w:t>明确临时用地管</w:t>
            </w:r>
          </w:p>
          <w:p>
            <w:pPr>
              <w:pStyle w:val="6"/>
              <w:spacing w:before="20" w:line="221" w:lineRule="auto"/>
              <w:ind w:left="168"/>
              <w:rPr>
                <w:sz w:val="21"/>
                <w:szCs w:val="21"/>
              </w:rPr>
            </w:pPr>
            <w:r>
              <w:rPr>
                <w:spacing w:val="-2"/>
                <w:sz w:val="21"/>
                <w:szCs w:val="21"/>
              </w:rPr>
              <w:t>理有关事项的通</w:t>
            </w:r>
          </w:p>
          <w:p>
            <w:pPr>
              <w:pStyle w:val="6"/>
              <w:spacing w:before="21" w:line="221" w:lineRule="auto"/>
              <w:ind w:left="115"/>
              <w:rPr>
                <w:sz w:val="21"/>
                <w:szCs w:val="21"/>
              </w:rPr>
            </w:pPr>
            <w:r>
              <w:rPr>
                <w:spacing w:val="-14"/>
                <w:sz w:val="21"/>
                <w:szCs w:val="21"/>
              </w:rPr>
              <w:t>知》（川自然资规</w:t>
            </w:r>
          </w:p>
          <w:p>
            <w:pPr>
              <w:pStyle w:val="6"/>
              <w:spacing w:before="20" w:line="222" w:lineRule="auto"/>
              <w:ind w:left="217"/>
              <w:rPr>
                <w:sz w:val="21"/>
                <w:szCs w:val="21"/>
              </w:rPr>
            </w:pPr>
            <w:r>
              <w:rPr>
                <w:spacing w:val="-5"/>
                <w:sz w:val="21"/>
                <w:szCs w:val="21"/>
              </w:rPr>
              <w:t>〔</w:t>
            </w:r>
            <w:r>
              <w:rPr>
                <w:rFonts w:ascii="Times New Roman" w:hAnsi="Times New Roman" w:eastAsia="Times New Roman" w:cs="Times New Roman"/>
                <w:spacing w:val="-5"/>
                <w:sz w:val="21"/>
                <w:szCs w:val="21"/>
              </w:rPr>
              <w:t>2022</w:t>
            </w:r>
            <w:r>
              <w:rPr>
                <w:spacing w:val="-5"/>
                <w:sz w:val="21"/>
                <w:szCs w:val="21"/>
              </w:rPr>
              <w:t>〕</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12"/>
                <w:sz w:val="21"/>
                <w:szCs w:val="21"/>
              </w:rPr>
              <w:t xml:space="preserve"> </w:t>
            </w:r>
            <w:r>
              <w:rPr>
                <w:spacing w:val="-5"/>
                <w:sz w:val="21"/>
                <w:szCs w:val="21"/>
              </w:rPr>
              <w:t>号）</w:t>
            </w:r>
          </w:p>
        </w:tc>
        <w:tc>
          <w:tcPr>
            <w:tcW w:w="3733" w:type="dxa"/>
            <w:vAlign w:val="top"/>
          </w:tcPr>
          <w:p>
            <w:pPr>
              <w:pStyle w:val="6"/>
              <w:spacing w:before="62" w:line="236" w:lineRule="auto"/>
              <w:ind w:left="108" w:right="102"/>
              <w:rPr>
                <w:sz w:val="21"/>
                <w:szCs w:val="21"/>
              </w:rPr>
            </w:pPr>
            <w:r>
              <w:rPr>
                <w:spacing w:val="-4"/>
                <w:sz w:val="21"/>
                <w:szCs w:val="21"/>
              </w:rPr>
              <w:t>进一步规范临时用地审批。临时用地审</w:t>
            </w:r>
            <w:r>
              <w:rPr>
                <w:spacing w:val="14"/>
                <w:sz w:val="21"/>
                <w:szCs w:val="21"/>
              </w:rPr>
              <w:t xml:space="preserve"> </w:t>
            </w:r>
            <w:r>
              <w:rPr>
                <w:spacing w:val="-4"/>
                <w:sz w:val="21"/>
                <w:szCs w:val="21"/>
              </w:rPr>
              <w:t>批权不得下放或委托相关部门行使。涉</w:t>
            </w:r>
            <w:r>
              <w:rPr>
                <w:spacing w:val="13"/>
                <w:sz w:val="21"/>
                <w:szCs w:val="21"/>
              </w:rPr>
              <w:t xml:space="preserve"> </w:t>
            </w:r>
            <w:r>
              <w:rPr>
                <w:spacing w:val="-2"/>
                <w:sz w:val="21"/>
                <w:szCs w:val="21"/>
              </w:rPr>
              <w:t xml:space="preserve">及占用耕地和永久基本农田的临时用  地，由市级自然资源主管部门负责审  </w:t>
            </w:r>
            <w:r>
              <w:rPr>
                <w:spacing w:val="-4"/>
                <w:sz w:val="21"/>
                <w:szCs w:val="21"/>
              </w:rPr>
              <w:t>批，不涉及的由县级自然资源主管部门</w:t>
            </w:r>
            <w:r>
              <w:rPr>
                <w:spacing w:val="11"/>
                <w:sz w:val="21"/>
                <w:szCs w:val="21"/>
              </w:rPr>
              <w:t xml:space="preserve"> </w:t>
            </w:r>
            <w:r>
              <w:rPr>
                <w:spacing w:val="-4"/>
                <w:sz w:val="21"/>
                <w:szCs w:val="21"/>
              </w:rPr>
              <w:t>负责审批。</w:t>
            </w:r>
          </w:p>
          <w:p>
            <w:pPr>
              <w:pStyle w:val="6"/>
              <w:spacing w:before="20" w:line="236" w:lineRule="auto"/>
              <w:ind w:left="109" w:right="102" w:hanging="1"/>
              <w:rPr>
                <w:sz w:val="21"/>
                <w:szCs w:val="21"/>
              </w:rPr>
            </w:pPr>
            <w:r>
              <w:rPr>
                <w:spacing w:val="-4"/>
                <w:sz w:val="21"/>
                <w:szCs w:val="21"/>
              </w:rPr>
              <w:t>进一步落实临时用地恢复责任。县级自</w:t>
            </w:r>
            <w:r>
              <w:rPr>
                <w:spacing w:val="14"/>
                <w:sz w:val="21"/>
                <w:szCs w:val="21"/>
              </w:rPr>
              <w:t xml:space="preserve"> </w:t>
            </w:r>
            <w:r>
              <w:rPr>
                <w:spacing w:val="-2"/>
                <w:sz w:val="21"/>
                <w:szCs w:val="21"/>
              </w:rPr>
              <w:t xml:space="preserve">然资源主管部门负责审查临时用地土  </w:t>
            </w:r>
            <w:r>
              <w:rPr>
                <w:spacing w:val="-4"/>
                <w:sz w:val="21"/>
                <w:szCs w:val="21"/>
              </w:rPr>
              <w:t>地复垦方案，并在土地复垦义务人完成</w:t>
            </w:r>
            <w:r>
              <w:rPr>
                <w:spacing w:val="10"/>
                <w:sz w:val="21"/>
                <w:szCs w:val="21"/>
              </w:rPr>
              <w:t xml:space="preserve"> </w:t>
            </w:r>
            <w:r>
              <w:rPr>
                <w:spacing w:val="-4"/>
                <w:sz w:val="21"/>
                <w:szCs w:val="21"/>
              </w:rPr>
              <w:t>复垦工作后，会同农业农村等相关部门</w:t>
            </w:r>
            <w:r>
              <w:rPr>
                <w:spacing w:val="10"/>
                <w:sz w:val="21"/>
                <w:szCs w:val="21"/>
              </w:rPr>
              <w:t xml:space="preserve"> </w:t>
            </w:r>
            <w:r>
              <w:rPr>
                <w:spacing w:val="-3"/>
                <w:sz w:val="21"/>
                <w:szCs w:val="21"/>
              </w:rPr>
              <w:t>开展复垦验收。</w:t>
            </w:r>
          </w:p>
          <w:p>
            <w:pPr>
              <w:pStyle w:val="6"/>
              <w:spacing w:before="20" w:line="220" w:lineRule="auto"/>
              <w:ind w:left="108"/>
              <w:rPr>
                <w:sz w:val="21"/>
                <w:szCs w:val="21"/>
              </w:rPr>
            </w:pPr>
            <w:r>
              <w:rPr>
                <w:spacing w:val="-2"/>
                <w:sz w:val="21"/>
                <w:szCs w:val="21"/>
              </w:rPr>
              <w:t>进一步强化永久基本农田特殊保护。</w:t>
            </w:r>
          </w:p>
          <w:p>
            <w:pPr>
              <w:pStyle w:val="6"/>
              <w:spacing w:before="24" w:line="236" w:lineRule="auto"/>
              <w:ind w:left="110" w:right="82" w:firstLine="5"/>
              <w:rPr>
                <w:sz w:val="21"/>
                <w:szCs w:val="21"/>
              </w:rPr>
            </w:pPr>
            <w:r>
              <w:rPr>
                <w:spacing w:val="-4"/>
                <w:sz w:val="21"/>
                <w:szCs w:val="21"/>
              </w:rPr>
              <w:t>市、县级自然资源主管部门要严格耕地</w:t>
            </w:r>
            <w:r>
              <w:rPr>
                <w:spacing w:val="4"/>
                <w:sz w:val="21"/>
                <w:szCs w:val="21"/>
              </w:rPr>
              <w:t xml:space="preserve"> </w:t>
            </w:r>
            <w:r>
              <w:rPr>
                <w:spacing w:val="-4"/>
                <w:sz w:val="21"/>
                <w:szCs w:val="21"/>
              </w:rPr>
              <w:t>用途管制，临时用地应尽量不占或少占</w:t>
            </w:r>
            <w:r>
              <w:rPr>
                <w:spacing w:val="10"/>
                <w:sz w:val="21"/>
                <w:szCs w:val="21"/>
              </w:rPr>
              <w:t xml:space="preserve"> </w:t>
            </w:r>
            <w:r>
              <w:rPr>
                <w:spacing w:val="-9"/>
                <w:sz w:val="21"/>
                <w:szCs w:val="21"/>
              </w:rPr>
              <w:t>耕地， 原则上不占用永久基本农田。确</w:t>
            </w:r>
            <w:r>
              <w:rPr>
                <w:sz w:val="21"/>
                <w:szCs w:val="21"/>
              </w:rPr>
              <w:t xml:space="preserve"> </w:t>
            </w:r>
            <w:r>
              <w:rPr>
                <w:spacing w:val="-4"/>
                <w:sz w:val="21"/>
                <w:szCs w:val="21"/>
              </w:rPr>
              <w:t>需占用永久基本农田的，县级自然资源</w:t>
            </w:r>
            <w:r>
              <w:rPr>
                <w:spacing w:val="10"/>
                <w:sz w:val="21"/>
                <w:szCs w:val="21"/>
              </w:rPr>
              <w:t xml:space="preserve"> </w:t>
            </w:r>
            <w:r>
              <w:rPr>
                <w:spacing w:val="-4"/>
                <w:sz w:val="21"/>
                <w:szCs w:val="21"/>
              </w:rPr>
              <w:t>主管部门应在前期选址阶段，实地核实</w:t>
            </w:r>
            <w:r>
              <w:rPr>
                <w:spacing w:val="12"/>
                <w:sz w:val="21"/>
                <w:szCs w:val="21"/>
              </w:rPr>
              <w:t xml:space="preserve"> </w:t>
            </w:r>
            <w:r>
              <w:rPr>
                <w:spacing w:val="-3"/>
                <w:sz w:val="21"/>
                <w:szCs w:val="21"/>
              </w:rPr>
              <w:t>永久基本农田地块的空间位置、地类、</w:t>
            </w:r>
            <w:r>
              <w:rPr>
                <w:spacing w:val="14"/>
                <w:sz w:val="21"/>
                <w:szCs w:val="21"/>
              </w:rPr>
              <w:t xml:space="preserve"> </w:t>
            </w:r>
            <w:r>
              <w:rPr>
                <w:spacing w:val="-4"/>
                <w:sz w:val="21"/>
                <w:szCs w:val="21"/>
              </w:rPr>
              <w:t>面积、质量状况、利用现状等，组织编</w:t>
            </w:r>
            <w:r>
              <w:rPr>
                <w:spacing w:val="9"/>
                <w:sz w:val="21"/>
                <w:szCs w:val="21"/>
              </w:rPr>
              <w:t xml:space="preserve"> </w:t>
            </w:r>
            <w:r>
              <w:rPr>
                <w:spacing w:val="-4"/>
                <w:sz w:val="21"/>
                <w:szCs w:val="21"/>
              </w:rPr>
              <w:t>制临时用地踏勘报告，并对占用永久基</w:t>
            </w:r>
            <w:r>
              <w:rPr>
                <w:spacing w:val="10"/>
                <w:sz w:val="21"/>
                <w:szCs w:val="21"/>
              </w:rPr>
              <w:t xml:space="preserve"> </w:t>
            </w:r>
            <w:r>
              <w:rPr>
                <w:spacing w:val="-1"/>
                <w:sz w:val="21"/>
                <w:szCs w:val="21"/>
              </w:rPr>
              <w:t xml:space="preserve">本农田的必要性和合理性进行严格论  </w:t>
            </w:r>
            <w:r>
              <w:rPr>
                <w:spacing w:val="-2"/>
                <w:sz w:val="21"/>
                <w:szCs w:val="21"/>
              </w:rPr>
              <w:t>证，报市级自然资源主管部门审查。</w:t>
            </w:r>
          </w:p>
        </w:tc>
        <w:tc>
          <w:tcPr>
            <w:tcW w:w="3069" w:type="dxa"/>
            <w:tcBorders>
              <w:right w:val="single" w:color="000000" w:sz="8" w:space="0"/>
            </w:tcBorders>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8" w:line="238" w:lineRule="auto"/>
              <w:ind w:left="114" w:right="90" w:firstLine="4"/>
              <w:rPr>
                <w:sz w:val="21"/>
                <w:szCs w:val="21"/>
              </w:rPr>
            </w:pPr>
            <w:r>
              <w:rPr>
                <w:spacing w:val="-7"/>
                <w:sz w:val="21"/>
                <w:szCs w:val="21"/>
              </w:rPr>
              <w:t>项目为天然气勘探项目，项目选</w:t>
            </w:r>
            <w:r>
              <w:rPr>
                <w:spacing w:val="4"/>
                <w:sz w:val="21"/>
                <w:szCs w:val="21"/>
              </w:rPr>
              <w:t xml:space="preserve"> </w:t>
            </w:r>
            <w:r>
              <w:rPr>
                <w:spacing w:val="-7"/>
                <w:sz w:val="21"/>
                <w:szCs w:val="21"/>
              </w:rPr>
              <w:t>址无法避让永久基本农田。项目</w:t>
            </w:r>
            <w:r>
              <w:rPr>
                <w:spacing w:val="8"/>
                <w:sz w:val="21"/>
                <w:szCs w:val="21"/>
              </w:rPr>
              <w:t xml:space="preserve"> </w:t>
            </w:r>
            <w:r>
              <w:rPr>
                <w:spacing w:val="-7"/>
                <w:sz w:val="21"/>
                <w:szCs w:val="21"/>
              </w:rPr>
              <w:t>临时占用永久基本农田，评价要</w:t>
            </w:r>
            <w:r>
              <w:rPr>
                <w:spacing w:val="8"/>
                <w:sz w:val="21"/>
                <w:szCs w:val="21"/>
              </w:rPr>
              <w:t xml:space="preserve"> </w:t>
            </w:r>
            <w:r>
              <w:rPr>
                <w:spacing w:val="-1"/>
                <w:sz w:val="21"/>
                <w:szCs w:val="21"/>
              </w:rPr>
              <w:t>求建设单位应在取得遂宁市自</w:t>
            </w:r>
            <w:r>
              <w:rPr>
                <w:spacing w:val="4"/>
                <w:sz w:val="21"/>
                <w:szCs w:val="21"/>
              </w:rPr>
              <w:t xml:space="preserve">  </w:t>
            </w:r>
            <w:r>
              <w:rPr>
                <w:spacing w:val="-1"/>
                <w:sz w:val="21"/>
                <w:szCs w:val="21"/>
              </w:rPr>
              <w:t>然资源主管部门同意临时占用</w:t>
            </w:r>
            <w:r>
              <w:rPr>
                <w:spacing w:val="4"/>
                <w:sz w:val="21"/>
                <w:szCs w:val="21"/>
              </w:rPr>
              <w:t xml:space="preserve">  </w:t>
            </w:r>
            <w:r>
              <w:rPr>
                <w:spacing w:val="-1"/>
                <w:sz w:val="21"/>
                <w:szCs w:val="21"/>
              </w:rPr>
              <w:t>永久基本农田的批复文件后方</w:t>
            </w:r>
            <w:r>
              <w:rPr>
                <w:spacing w:val="4"/>
                <w:sz w:val="21"/>
                <w:szCs w:val="21"/>
              </w:rPr>
              <w:t xml:space="preserve">  </w:t>
            </w:r>
            <w:r>
              <w:rPr>
                <w:spacing w:val="-7"/>
                <w:sz w:val="21"/>
                <w:szCs w:val="21"/>
              </w:rPr>
              <w:t>可开工建设。同时评价要求建设</w:t>
            </w:r>
            <w:r>
              <w:rPr>
                <w:spacing w:val="8"/>
                <w:sz w:val="21"/>
                <w:szCs w:val="21"/>
              </w:rPr>
              <w:t xml:space="preserve"> </w:t>
            </w:r>
            <w:r>
              <w:rPr>
                <w:spacing w:val="-1"/>
                <w:sz w:val="21"/>
                <w:szCs w:val="21"/>
              </w:rPr>
              <w:t>单位应编制临时用地土地复垦</w:t>
            </w:r>
            <w:r>
              <w:rPr>
                <w:spacing w:val="4"/>
                <w:sz w:val="21"/>
                <w:szCs w:val="21"/>
              </w:rPr>
              <w:t xml:space="preserve">  </w:t>
            </w:r>
            <w:r>
              <w:rPr>
                <w:spacing w:val="-7"/>
                <w:sz w:val="21"/>
                <w:szCs w:val="21"/>
              </w:rPr>
              <w:t>方案，并取得自然资源主管部门</w:t>
            </w:r>
            <w:r>
              <w:rPr>
                <w:spacing w:val="8"/>
                <w:sz w:val="21"/>
                <w:szCs w:val="21"/>
              </w:rPr>
              <w:t xml:space="preserve"> </w:t>
            </w:r>
            <w:r>
              <w:rPr>
                <w:spacing w:val="-7"/>
                <w:sz w:val="21"/>
                <w:szCs w:val="21"/>
              </w:rPr>
              <w:t>的批复，在施工结束后按照土地</w:t>
            </w:r>
            <w:r>
              <w:rPr>
                <w:spacing w:val="8"/>
                <w:sz w:val="21"/>
                <w:szCs w:val="21"/>
              </w:rPr>
              <w:t xml:space="preserve"> </w:t>
            </w:r>
            <w:r>
              <w:rPr>
                <w:spacing w:val="-1"/>
                <w:sz w:val="21"/>
                <w:szCs w:val="21"/>
              </w:rPr>
              <w:t>复垦方案及批复的要求进行复</w:t>
            </w:r>
            <w:r>
              <w:rPr>
                <w:spacing w:val="4"/>
                <w:sz w:val="21"/>
                <w:szCs w:val="21"/>
              </w:rPr>
              <w:t xml:space="preserve">  </w:t>
            </w:r>
            <w:r>
              <w:rPr>
                <w:spacing w:val="-7"/>
                <w:sz w:val="21"/>
                <w:szCs w:val="21"/>
              </w:rPr>
              <w:t>垦。评价要求项目建设单位配合</w:t>
            </w:r>
            <w:r>
              <w:rPr>
                <w:spacing w:val="8"/>
                <w:sz w:val="21"/>
                <w:szCs w:val="21"/>
              </w:rPr>
              <w:t xml:space="preserve"> </w:t>
            </w:r>
            <w:r>
              <w:rPr>
                <w:spacing w:val="-7"/>
                <w:sz w:val="21"/>
                <w:szCs w:val="21"/>
              </w:rPr>
              <w:t>区级、县级自然资源主管部门编</w:t>
            </w:r>
            <w:r>
              <w:rPr>
                <w:spacing w:val="8"/>
                <w:sz w:val="21"/>
                <w:szCs w:val="21"/>
              </w:rPr>
              <w:t xml:space="preserve"> </w:t>
            </w:r>
            <w:r>
              <w:rPr>
                <w:spacing w:val="-7"/>
                <w:sz w:val="21"/>
                <w:szCs w:val="21"/>
              </w:rPr>
              <w:t>制临时用地踏勘报告，并报市级</w:t>
            </w:r>
            <w:r>
              <w:rPr>
                <w:spacing w:val="8"/>
                <w:sz w:val="21"/>
                <w:szCs w:val="21"/>
              </w:rPr>
              <w:t xml:space="preserve"> </w:t>
            </w:r>
            <w:r>
              <w:rPr>
                <w:spacing w:val="-1"/>
                <w:sz w:val="21"/>
                <w:szCs w:val="21"/>
              </w:rPr>
              <w:t>自然资源主管部门审查。</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468" w:type="dxa"/>
            <w:vMerge w:val="continue"/>
            <w:tcBorders>
              <w:top w:val="nil"/>
              <w:bottom w:val="nil"/>
            </w:tcBorders>
            <w:vAlign w:val="top"/>
          </w:tcPr>
          <w:p>
            <w:pPr>
              <w:rPr>
                <w:rFonts w:ascii="Arial"/>
                <w:sz w:val="21"/>
              </w:rPr>
            </w:pPr>
          </w:p>
        </w:tc>
        <w:tc>
          <w:tcPr>
            <w:tcW w:w="1801"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9" w:line="235" w:lineRule="auto"/>
              <w:ind w:left="113" w:right="106" w:firstLine="54"/>
              <w:jc w:val="both"/>
              <w:rPr>
                <w:sz w:val="21"/>
                <w:szCs w:val="21"/>
              </w:rPr>
            </w:pPr>
            <w:r>
              <w:rPr>
                <w:spacing w:val="-1"/>
                <w:sz w:val="21"/>
                <w:szCs w:val="21"/>
              </w:rPr>
              <w:t>《自然资源部办</w:t>
            </w:r>
            <w:r>
              <w:rPr>
                <w:sz w:val="21"/>
                <w:szCs w:val="21"/>
              </w:rPr>
              <w:t xml:space="preserve"> </w:t>
            </w:r>
            <w:r>
              <w:rPr>
                <w:spacing w:val="6"/>
                <w:sz w:val="21"/>
                <w:szCs w:val="21"/>
              </w:rPr>
              <w:t>公厅关于加强临</w:t>
            </w:r>
            <w:r>
              <w:rPr>
                <w:spacing w:val="5"/>
                <w:sz w:val="21"/>
                <w:szCs w:val="21"/>
              </w:rPr>
              <w:t xml:space="preserve"> </w:t>
            </w:r>
            <w:r>
              <w:rPr>
                <w:spacing w:val="6"/>
                <w:sz w:val="21"/>
                <w:szCs w:val="21"/>
              </w:rPr>
              <w:t>时用地监管有关</w:t>
            </w:r>
            <w:r>
              <w:rPr>
                <w:spacing w:val="5"/>
                <w:sz w:val="21"/>
                <w:szCs w:val="21"/>
              </w:rPr>
              <w:t xml:space="preserve"> </w:t>
            </w:r>
            <w:r>
              <w:rPr>
                <w:spacing w:val="-14"/>
                <w:sz w:val="21"/>
                <w:szCs w:val="21"/>
              </w:rPr>
              <w:t>工作的通知》（自</w:t>
            </w:r>
          </w:p>
          <w:p>
            <w:pPr>
              <w:pStyle w:val="6"/>
              <w:spacing w:before="18" w:line="229" w:lineRule="auto"/>
              <w:ind w:left="185" w:right="188" w:firstLine="298"/>
              <w:rPr>
                <w:sz w:val="21"/>
                <w:szCs w:val="21"/>
              </w:rPr>
            </w:pPr>
            <w:r>
              <w:rPr>
                <w:spacing w:val="-2"/>
                <w:sz w:val="21"/>
                <w:szCs w:val="21"/>
              </w:rPr>
              <w:t xml:space="preserve">然资办函   </w:t>
            </w:r>
            <w:r>
              <w:rPr>
                <w:rFonts w:ascii="Times New Roman" w:hAnsi="Times New Roman" w:eastAsia="Times New Roman" w:cs="Times New Roman"/>
                <w:spacing w:val="-4"/>
                <w:sz w:val="21"/>
                <w:szCs w:val="21"/>
              </w:rPr>
              <w:t>[2023]1280</w:t>
            </w:r>
            <w:r>
              <w:rPr>
                <w:rFonts w:ascii="Times New Roman" w:hAnsi="Times New Roman" w:eastAsia="Times New Roman" w:cs="Times New Roman"/>
                <w:spacing w:val="17"/>
                <w:sz w:val="21"/>
                <w:szCs w:val="21"/>
              </w:rPr>
              <w:t xml:space="preserve"> </w:t>
            </w:r>
            <w:r>
              <w:rPr>
                <w:spacing w:val="-4"/>
                <w:sz w:val="21"/>
                <w:szCs w:val="21"/>
              </w:rPr>
              <w:t>号）</w:t>
            </w:r>
          </w:p>
        </w:tc>
        <w:tc>
          <w:tcPr>
            <w:tcW w:w="3733" w:type="dxa"/>
            <w:vAlign w:val="top"/>
          </w:tcPr>
          <w:p>
            <w:pPr>
              <w:pStyle w:val="6"/>
              <w:spacing w:before="27" w:line="239" w:lineRule="auto"/>
              <w:ind w:left="110" w:right="99" w:firstLine="8"/>
              <w:rPr>
                <w:sz w:val="21"/>
                <w:szCs w:val="21"/>
              </w:rPr>
            </w:pPr>
            <w:r>
              <w:rPr>
                <w:spacing w:val="-4"/>
                <w:sz w:val="21"/>
                <w:szCs w:val="21"/>
              </w:rPr>
              <w:t>能源基础设施建设中，油气探采合一开</w:t>
            </w:r>
            <w:r>
              <w:rPr>
                <w:spacing w:val="1"/>
                <w:sz w:val="21"/>
                <w:szCs w:val="21"/>
              </w:rPr>
              <w:t xml:space="preserve"> </w:t>
            </w:r>
            <w:r>
              <w:rPr>
                <w:sz w:val="21"/>
                <w:szCs w:val="21"/>
              </w:rPr>
              <w:t>发涉及的钻井及配套设施依据</w:t>
            </w:r>
            <w:r>
              <w:rPr>
                <w:rFonts w:ascii="Times New Roman" w:hAnsi="Times New Roman" w:eastAsia="Times New Roman" w:cs="Times New Roman"/>
                <w:sz w:val="21"/>
                <w:szCs w:val="21"/>
              </w:rPr>
              <w:t>2</w:t>
            </w:r>
            <w:r>
              <w:rPr>
                <w:rFonts w:ascii="Times New Roman" w:hAnsi="Times New Roman" w:eastAsia="Times New Roman" w:cs="Times New Roman"/>
                <w:spacing w:val="-3"/>
                <w:sz w:val="21"/>
                <w:szCs w:val="21"/>
              </w:rPr>
              <w:t xml:space="preserve"> </w:t>
            </w:r>
            <w:r>
              <w:rPr>
                <w:sz w:val="21"/>
                <w:szCs w:val="21"/>
              </w:rPr>
              <w:t xml:space="preserve">号文件 </w:t>
            </w:r>
            <w:r>
              <w:rPr>
                <w:spacing w:val="-2"/>
                <w:sz w:val="21"/>
                <w:szCs w:val="21"/>
              </w:rPr>
              <w:t xml:space="preserve">审批的临时用地，使用期限不超过四  </w:t>
            </w:r>
            <w:r>
              <w:rPr>
                <w:spacing w:val="-4"/>
                <w:sz w:val="21"/>
                <w:szCs w:val="21"/>
              </w:rPr>
              <w:t>年。油气企业在勘探结束转入开采的，</w:t>
            </w:r>
            <w:r>
              <w:rPr>
                <w:spacing w:val="15"/>
                <w:sz w:val="21"/>
                <w:szCs w:val="21"/>
              </w:rPr>
              <w:t xml:space="preserve"> </w:t>
            </w:r>
            <w:r>
              <w:rPr>
                <w:spacing w:val="-4"/>
                <w:sz w:val="21"/>
                <w:szCs w:val="21"/>
              </w:rPr>
              <w:t>应及时办理建设用地审批手续。建设用</w:t>
            </w:r>
            <w:r>
              <w:rPr>
                <w:spacing w:val="12"/>
                <w:sz w:val="21"/>
                <w:szCs w:val="21"/>
              </w:rPr>
              <w:t xml:space="preserve"> </w:t>
            </w:r>
            <w:r>
              <w:rPr>
                <w:spacing w:val="-4"/>
                <w:sz w:val="21"/>
                <w:szCs w:val="21"/>
              </w:rPr>
              <w:t>地经依法批准后，不再进行土地复垦，</w:t>
            </w:r>
            <w:r>
              <w:rPr>
                <w:spacing w:val="15"/>
                <w:sz w:val="21"/>
                <w:szCs w:val="21"/>
              </w:rPr>
              <w:t xml:space="preserve"> </w:t>
            </w:r>
            <w:r>
              <w:rPr>
                <w:spacing w:val="-4"/>
                <w:sz w:val="21"/>
                <w:szCs w:val="21"/>
              </w:rPr>
              <w:t>相关土地复垦费用退回。未在规定期限</w:t>
            </w:r>
            <w:r>
              <w:rPr>
                <w:spacing w:val="10"/>
                <w:sz w:val="21"/>
                <w:szCs w:val="21"/>
              </w:rPr>
              <w:t xml:space="preserve"> </w:t>
            </w:r>
            <w:r>
              <w:rPr>
                <w:spacing w:val="-4"/>
                <w:sz w:val="21"/>
                <w:szCs w:val="21"/>
              </w:rPr>
              <w:t>内办理建设用地手续的，按违法用地处</w:t>
            </w:r>
            <w:r>
              <w:rPr>
                <w:spacing w:val="10"/>
                <w:sz w:val="21"/>
                <w:szCs w:val="21"/>
              </w:rPr>
              <w:t xml:space="preserve"> </w:t>
            </w:r>
            <w:r>
              <w:rPr>
                <w:spacing w:val="-10"/>
                <w:sz w:val="21"/>
                <w:szCs w:val="21"/>
              </w:rPr>
              <w:t>理。</w:t>
            </w:r>
          </w:p>
          <w:p>
            <w:pPr>
              <w:pStyle w:val="6"/>
              <w:spacing w:before="9" w:line="234" w:lineRule="auto"/>
              <w:ind w:left="109" w:right="104"/>
              <w:rPr>
                <w:sz w:val="21"/>
                <w:szCs w:val="21"/>
              </w:rPr>
            </w:pPr>
            <w:r>
              <w:rPr>
                <w:spacing w:val="-1"/>
                <w:sz w:val="21"/>
                <w:szCs w:val="21"/>
              </w:rPr>
              <w:t>对于占用耕地以外其他地类的临时用</w:t>
            </w:r>
            <w:r>
              <w:rPr>
                <w:spacing w:val="6"/>
                <w:sz w:val="21"/>
                <w:szCs w:val="21"/>
              </w:rPr>
              <w:t xml:space="preserve">  </w:t>
            </w:r>
            <w:r>
              <w:rPr>
                <w:spacing w:val="-7"/>
                <w:sz w:val="21"/>
                <w:szCs w:val="21"/>
              </w:rPr>
              <w:t>地，</w:t>
            </w:r>
            <w:r>
              <w:rPr>
                <w:spacing w:val="-44"/>
                <w:sz w:val="21"/>
                <w:szCs w:val="21"/>
              </w:rPr>
              <w:t xml:space="preserve"> </w:t>
            </w:r>
            <w:r>
              <w:rPr>
                <w:spacing w:val="-7"/>
                <w:sz w:val="21"/>
                <w:szCs w:val="21"/>
              </w:rPr>
              <w:t>在规定的使用期限内，在不改变用</w:t>
            </w:r>
            <w:r>
              <w:rPr>
                <w:sz w:val="21"/>
                <w:szCs w:val="21"/>
              </w:rPr>
              <w:t xml:space="preserve"> </w:t>
            </w:r>
            <w:r>
              <w:rPr>
                <w:spacing w:val="-4"/>
                <w:sz w:val="21"/>
                <w:szCs w:val="21"/>
              </w:rPr>
              <w:t>途和范围的前提下，经临时用地原审批</w:t>
            </w:r>
            <w:r>
              <w:rPr>
                <w:spacing w:val="10"/>
                <w:sz w:val="21"/>
                <w:szCs w:val="21"/>
              </w:rPr>
              <w:t xml:space="preserve"> </w:t>
            </w:r>
            <w:r>
              <w:rPr>
                <w:spacing w:val="-4"/>
                <w:sz w:val="21"/>
                <w:szCs w:val="21"/>
              </w:rPr>
              <w:t>机关批准，可以确定给其他建设作为临</w:t>
            </w:r>
            <w:r>
              <w:rPr>
                <w:spacing w:val="10"/>
                <w:sz w:val="21"/>
                <w:szCs w:val="21"/>
              </w:rPr>
              <w:t xml:space="preserve"> </w:t>
            </w:r>
            <w:r>
              <w:rPr>
                <w:spacing w:val="-4"/>
                <w:sz w:val="21"/>
                <w:szCs w:val="21"/>
              </w:rPr>
              <w:t>时用地使用，但必须确保土地复垦义务</w:t>
            </w:r>
            <w:r>
              <w:rPr>
                <w:spacing w:val="10"/>
                <w:sz w:val="21"/>
                <w:szCs w:val="21"/>
              </w:rPr>
              <w:t xml:space="preserve"> </w:t>
            </w:r>
            <w:r>
              <w:rPr>
                <w:spacing w:val="-4"/>
                <w:sz w:val="21"/>
                <w:szCs w:val="21"/>
              </w:rPr>
              <w:t>履行到位。</w:t>
            </w:r>
          </w:p>
        </w:tc>
        <w:tc>
          <w:tcPr>
            <w:tcW w:w="3069" w:type="dxa"/>
            <w:tcBorders>
              <w:right w:val="single" w:color="000000" w:sz="8" w:space="0"/>
            </w:tcBorders>
            <w:vAlign w:val="top"/>
          </w:tcPr>
          <w:p>
            <w:pPr>
              <w:spacing w:line="318" w:lineRule="auto"/>
              <w:rPr>
                <w:rFonts w:ascii="Arial"/>
                <w:sz w:val="21"/>
              </w:rPr>
            </w:pPr>
          </w:p>
          <w:p>
            <w:pPr>
              <w:spacing w:line="318" w:lineRule="auto"/>
              <w:rPr>
                <w:rFonts w:ascii="Arial"/>
                <w:sz w:val="21"/>
              </w:rPr>
            </w:pPr>
          </w:p>
          <w:p>
            <w:pPr>
              <w:pStyle w:val="6"/>
              <w:spacing w:before="68" w:line="238" w:lineRule="auto"/>
              <w:ind w:left="114" w:right="56" w:firstLine="4"/>
              <w:rPr>
                <w:sz w:val="21"/>
                <w:szCs w:val="21"/>
              </w:rPr>
            </w:pPr>
            <w:r>
              <w:rPr>
                <w:spacing w:val="-7"/>
                <w:sz w:val="21"/>
                <w:szCs w:val="21"/>
              </w:rPr>
              <w:t>项目为天然气勘探项目，建设单</w:t>
            </w:r>
            <w:r>
              <w:rPr>
                <w:spacing w:val="4"/>
                <w:sz w:val="21"/>
                <w:szCs w:val="21"/>
              </w:rPr>
              <w:t xml:space="preserve"> </w:t>
            </w:r>
            <w:r>
              <w:rPr>
                <w:spacing w:val="-4"/>
                <w:sz w:val="21"/>
                <w:szCs w:val="21"/>
              </w:rPr>
              <w:t>位正在积极办理临时用地手续；</w:t>
            </w:r>
            <w:r>
              <w:rPr>
                <w:sz w:val="21"/>
                <w:szCs w:val="21"/>
              </w:rPr>
              <w:t xml:space="preserve"> </w:t>
            </w:r>
            <w:r>
              <w:rPr>
                <w:spacing w:val="-1"/>
                <w:sz w:val="21"/>
                <w:szCs w:val="21"/>
              </w:rPr>
              <w:t>评价要求建设单位应在取得临</w:t>
            </w:r>
            <w:r>
              <w:rPr>
                <w:spacing w:val="4"/>
                <w:sz w:val="21"/>
                <w:szCs w:val="21"/>
              </w:rPr>
              <w:t xml:space="preserve">  </w:t>
            </w:r>
            <w:r>
              <w:rPr>
                <w:spacing w:val="-1"/>
                <w:sz w:val="21"/>
                <w:szCs w:val="21"/>
              </w:rPr>
              <w:t>时用地批复文件后方可开工建</w:t>
            </w:r>
            <w:r>
              <w:rPr>
                <w:spacing w:val="4"/>
                <w:sz w:val="21"/>
                <w:szCs w:val="21"/>
              </w:rPr>
              <w:t xml:space="preserve">  </w:t>
            </w:r>
            <w:r>
              <w:rPr>
                <w:spacing w:val="-10"/>
                <w:sz w:val="21"/>
                <w:szCs w:val="21"/>
              </w:rPr>
              <w:t>设，</w:t>
            </w:r>
            <w:r>
              <w:rPr>
                <w:spacing w:val="-55"/>
                <w:sz w:val="21"/>
                <w:szCs w:val="21"/>
              </w:rPr>
              <w:t xml:space="preserve"> </w:t>
            </w:r>
            <w:r>
              <w:rPr>
                <w:spacing w:val="-10"/>
                <w:sz w:val="21"/>
                <w:szCs w:val="21"/>
              </w:rPr>
              <w:t>并积极配合区级、县级自然</w:t>
            </w:r>
            <w:r>
              <w:rPr>
                <w:sz w:val="21"/>
                <w:szCs w:val="21"/>
              </w:rPr>
              <w:t xml:space="preserve"> </w:t>
            </w:r>
            <w:r>
              <w:rPr>
                <w:spacing w:val="-1"/>
                <w:sz w:val="21"/>
                <w:szCs w:val="21"/>
              </w:rPr>
              <w:t>资源主管部门编制临时用地踏</w:t>
            </w:r>
            <w:r>
              <w:rPr>
                <w:spacing w:val="4"/>
                <w:sz w:val="21"/>
                <w:szCs w:val="21"/>
              </w:rPr>
              <w:t xml:space="preserve">  </w:t>
            </w:r>
            <w:r>
              <w:rPr>
                <w:spacing w:val="-7"/>
                <w:sz w:val="21"/>
                <w:szCs w:val="21"/>
              </w:rPr>
              <w:t>勘报告，并报市级自然资源主管</w:t>
            </w:r>
            <w:r>
              <w:rPr>
                <w:spacing w:val="8"/>
                <w:sz w:val="21"/>
                <w:szCs w:val="21"/>
              </w:rPr>
              <w:t xml:space="preserve"> </w:t>
            </w:r>
            <w:r>
              <w:rPr>
                <w:spacing w:val="-7"/>
                <w:sz w:val="21"/>
                <w:szCs w:val="21"/>
              </w:rPr>
              <w:t>部门审查；在施工结束后按照土</w:t>
            </w:r>
            <w:r>
              <w:rPr>
                <w:spacing w:val="8"/>
                <w:sz w:val="21"/>
                <w:szCs w:val="21"/>
              </w:rPr>
              <w:t xml:space="preserve"> </w:t>
            </w:r>
            <w:r>
              <w:rPr>
                <w:spacing w:val="-1"/>
                <w:sz w:val="21"/>
                <w:szCs w:val="21"/>
              </w:rPr>
              <w:t>地复垦方案及批复的要求进行</w:t>
            </w:r>
            <w:r>
              <w:rPr>
                <w:spacing w:val="4"/>
                <w:sz w:val="21"/>
                <w:szCs w:val="21"/>
              </w:rPr>
              <w:t xml:space="preserve">  </w:t>
            </w:r>
            <w:r>
              <w:rPr>
                <w:spacing w:val="-24"/>
                <w:sz w:val="21"/>
                <w:szCs w:val="21"/>
              </w:rPr>
              <w:t>复垦。</w:t>
            </w:r>
            <w:r>
              <w:rPr>
                <w:spacing w:val="-16"/>
                <w:sz w:val="21"/>
                <w:szCs w:val="21"/>
              </w:rPr>
              <w:t xml:space="preserve"> </w:t>
            </w:r>
            <w:r>
              <w:rPr>
                <w:spacing w:val="-24"/>
                <w:sz w:val="21"/>
                <w:szCs w:val="21"/>
              </w:rPr>
              <w:t>。</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2" w:hRule="atLeast"/>
        </w:trPr>
        <w:tc>
          <w:tcPr>
            <w:tcW w:w="468" w:type="dxa"/>
            <w:vMerge w:val="continue"/>
            <w:tcBorders>
              <w:top w:val="nil"/>
            </w:tcBorders>
            <w:vAlign w:val="top"/>
          </w:tcPr>
          <w:p>
            <w:pPr>
              <w:rPr>
                <w:rFonts w:ascii="Arial"/>
                <w:sz w:val="21"/>
              </w:rPr>
            </w:pPr>
          </w:p>
        </w:tc>
        <w:tc>
          <w:tcPr>
            <w:tcW w:w="1801" w:type="dxa"/>
            <w:vAlign w:val="top"/>
          </w:tcPr>
          <w:p>
            <w:pPr>
              <w:spacing w:line="295" w:lineRule="auto"/>
              <w:rPr>
                <w:rFonts w:ascii="Arial"/>
                <w:sz w:val="21"/>
              </w:rPr>
            </w:pPr>
            <w:r>
              <w:pict>
                <v:rect id="_x0000_s1031" o:spid="_x0000_s1031" o:spt="1" style="position:absolute;left:0pt;margin-left:0.15pt;margin-top:190.55pt;height:0.5pt;width:89.65pt;mso-position-horizontal-relative:page;mso-position-vertical-relative:page;z-index:251684864;mso-width-relative:page;mso-height-relative:page;" fillcolor="#000000" filled="t" stroked="f" coordsize="21600,21600">
                  <v:path/>
                  <v:fill on="t" focussize="0,0"/>
                  <v:stroke on="f"/>
                  <v:imagedata o:title=""/>
                  <o:lock v:ext="edit"/>
                </v:rect>
              </w:pict>
            </w: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8" w:line="235" w:lineRule="auto"/>
              <w:ind w:left="128" w:right="106" w:firstLine="39"/>
              <w:jc w:val="both"/>
              <w:rPr>
                <w:sz w:val="21"/>
                <w:szCs w:val="21"/>
              </w:rPr>
            </w:pPr>
            <w:r>
              <w:rPr>
                <w:spacing w:val="-1"/>
                <w:sz w:val="21"/>
                <w:szCs w:val="21"/>
              </w:rPr>
              <w:t>《自然资源部关</w:t>
            </w:r>
            <w:r>
              <w:rPr>
                <w:sz w:val="21"/>
                <w:szCs w:val="21"/>
              </w:rPr>
              <w:t xml:space="preserve"> </w:t>
            </w:r>
            <w:r>
              <w:rPr>
                <w:spacing w:val="4"/>
                <w:sz w:val="21"/>
                <w:szCs w:val="21"/>
              </w:rPr>
              <w:t xml:space="preserve">于进一步做好用 地用海要素保障 </w:t>
            </w:r>
            <w:r>
              <w:rPr>
                <w:spacing w:val="-15"/>
                <w:sz w:val="21"/>
                <w:szCs w:val="21"/>
              </w:rPr>
              <w:t>的通知》（自然资</w:t>
            </w:r>
            <w:r>
              <w:rPr>
                <w:sz w:val="21"/>
                <w:szCs w:val="21"/>
              </w:rPr>
              <w:t xml:space="preserve"> </w:t>
            </w:r>
            <w:r>
              <w:rPr>
                <w:spacing w:val="3"/>
                <w:sz w:val="21"/>
                <w:szCs w:val="21"/>
              </w:rPr>
              <w:t>发</w:t>
            </w:r>
            <w:r>
              <w:rPr>
                <w:rFonts w:ascii="Times New Roman" w:hAnsi="Times New Roman" w:eastAsia="Times New Roman" w:cs="Times New Roman"/>
                <w:spacing w:val="3"/>
                <w:sz w:val="21"/>
                <w:szCs w:val="21"/>
              </w:rPr>
              <w:t xml:space="preserve">[2023]89 </w:t>
            </w:r>
            <w:r>
              <w:rPr>
                <w:spacing w:val="3"/>
                <w:sz w:val="21"/>
                <w:szCs w:val="21"/>
              </w:rPr>
              <w:t>号）</w:t>
            </w:r>
          </w:p>
        </w:tc>
        <w:tc>
          <w:tcPr>
            <w:tcW w:w="3733" w:type="dxa"/>
            <w:vAlign w:val="top"/>
          </w:tcPr>
          <w:p>
            <w:pPr>
              <w:pStyle w:val="6"/>
              <w:spacing w:before="33" w:line="221" w:lineRule="auto"/>
              <w:ind w:left="113"/>
              <w:rPr>
                <w:sz w:val="21"/>
                <w:szCs w:val="21"/>
              </w:rPr>
            </w:pPr>
            <w:r>
              <w:rPr>
                <w:spacing w:val="-6"/>
                <w:sz w:val="21"/>
                <w:szCs w:val="21"/>
              </w:rPr>
              <w:t>二、</w:t>
            </w:r>
            <w:r>
              <w:rPr>
                <w:spacing w:val="-30"/>
                <w:sz w:val="21"/>
                <w:szCs w:val="21"/>
              </w:rPr>
              <w:t xml:space="preserve"> </w:t>
            </w:r>
            <w:r>
              <w:rPr>
                <w:spacing w:val="-6"/>
                <w:sz w:val="21"/>
                <w:szCs w:val="21"/>
              </w:rPr>
              <w:t>优化建设用地审查报批要求</w:t>
            </w:r>
          </w:p>
          <w:p>
            <w:pPr>
              <w:pStyle w:val="6"/>
              <w:spacing w:before="17" w:line="238" w:lineRule="auto"/>
              <w:ind w:left="108" w:right="104" w:hanging="2"/>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0"/>
                <w:sz w:val="21"/>
                <w:szCs w:val="21"/>
              </w:rPr>
              <w:t xml:space="preserve"> </w:t>
            </w:r>
            <w:r>
              <w:rPr>
                <w:spacing w:val="-2"/>
                <w:sz w:val="21"/>
                <w:szCs w:val="21"/>
              </w:rPr>
              <w:t>、缩小用地预审范围。以下情形不需</w:t>
            </w:r>
            <w:r>
              <w:rPr>
                <w:sz w:val="21"/>
                <w:szCs w:val="21"/>
              </w:rPr>
              <w:t xml:space="preserve"> </w:t>
            </w:r>
            <w:r>
              <w:rPr>
                <w:spacing w:val="-4"/>
                <w:sz w:val="21"/>
                <w:szCs w:val="21"/>
              </w:rPr>
              <w:t>申请办理用地预审，直接申请办理农用</w:t>
            </w:r>
            <w:r>
              <w:rPr>
                <w:spacing w:val="10"/>
                <w:sz w:val="21"/>
                <w:szCs w:val="21"/>
              </w:rPr>
              <w:t xml:space="preserve"> </w:t>
            </w:r>
            <w:r>
              <w:rPr>
                <w:spacing w:val="-4"/>
                <w:sz w:val="21"/>
                <w:szCs w:val="21"/>
              </w:rPr>
              <w:t>地转用和土地征收</w:t>
            </w:r>
            <w:r>
              <w:rPr>
                <w:spacing w:val="-11"/>
                <w:sz w:val="21"/>
                <w:szCs w:val="21"/>
              </w:rPr>
              <w:t>：</w:t>
            </w:r>
            <w:r>
              <w:rPr>
                <w:spacing w:val="-28"/>
                <w:sz w:val="21"/>
                <w:szCs w:val="21"/>
              </w:rPr>
              <w:t xml:space="preserve"> </w:t>
            </w:r>
            <w:r>
              <w:rPr>
                <w:spacing w:val="-11"/>
                <w:sz w:val="21"/>
                <w:szCs w:val="21"/>
              </w:rPr>
              <w:t>（</w:t>
            </w:r>
            <w:r>
              <w:rPr>
                <w:rFonts w:ascii="Times New Roman" w:hAnsi="Times New Roman" w:eastAsia="Times New Roman" w:cs="Times New Roman"/>
                <w:spacing w:val="-4"/>
                <w:sz w:val="21"/>
                <w:szCs w:val="21"/>
              </w:rPr>
              <w:t>1</w:t>
            </w:r>
            <w:r>
              <w:rPr>
                <w:spacing w:val="-4"/>
                <w:sz w:val="21"/>
                <w:szCs w:val="21"/>
              </w:rPr>
              <w:t>）国土空间规</w:t>
            </w:r>
            <w:r>
              <w:rPr>
                <w:sz w:val="21"/>
                <w:szCs w:val="21"/>
              </w:rPr>
              <w:t xml:space="preserve"> </w:t>
            </w:r>
            <w:r>
              <w:rPr>
                <w:spacing w:val="-4"/>
                <w:sz w:val="21"/>
                <w:szCs w:val="21"/>
              </w:rPr>
              <w:t>划确定的城市和村庄、集镇建设用地范</w:t>
            </w:r>
            <w:r>
              <w:rPr>
                <w:spacing w:val="10"/>
                <w:sz w:val="21"/>
                <w:szCs w:val="21"/>
              </w:rPr>
              <w:t xml:space="preserve"> </w:t>
            </w:r>
            <w:r>
              <w:rPr>
                <w:sz w:val="21"/>
                <w:szCs w:val="21"/>
              </w:rPr>
              <w:t>围内的建设项目用地</w:t>
            </w:r>
            <w:r>
              <w:rPr>
                <w:spacing w:val="-23"/>
                <w:sz w:val="21"/>
                <w:szCs w:val="21"/>
              </w:rPr>
              <w:t>；（</w:t>
            </w:r>
            <w:r>
              <w:rPr>
                <w:rFonts w:ascii="Times New Roman" w:hAnsi="Times New Roman" w:eastAsia="Times New Roman" w:cs="Times New Roman"/>
                <w:sz w:val="21"/>
                <w:szCs w:val="21"/>
              </w:rPr>
              <w:t>2</w:t>
            </w:r>
            <w:r>
              <w:rPr>
                <w:sz w:val="21"/>
                <w:szCs w:val="21"/>
              </w:rPr>
              <w:t>）油气类</w:t>
            </w:r>
            <w:r>
              <w:rPr>
                <w:rFonts w:ascii="Times New Roman" w:hAnsi="Times New Roman" w:eastAsia="Times New Roman" w:cs="Times New Roman"/>
                <w:sz w:val="21"/>
                <w:szCs w:val="21"/>
              </w:rPr>
              <w:t>“</w:t>
            </w:r>
            <w:r>
              <w:rPr>
                <w:sz w:val="21"/>
                <w:szCs w:val="21"/>
              </w:rPr>
              <w:t>探</w:t>
            </w:r>
            <w:r>
              <w:rPr>
                <w:spacing w:val="1"/>
                <w:sz w:val="21"/>
                <w:szCs w:val="21"/>
              </w:rPr>
              <w:t xml:space="preserve"> </w:t>
            </w:r>
            <w:r>
              <w:rPr>
                <w:spacing w:val="-1"/>
                <w:sz w:val="21"/>
                <w:szCs w:val="21"/>
              </w:rPr>
              <w:t>采合一</w:t>
            </w:r>
            <w:r>
              <w:rPr>
                <w:rFonts w:ascii="Times New Roman" w:hAnsi="Times New Roman" w:eastAsia="Times New Roman" w:cs="Times New Roman"/>
                <w:spacing w:val="-1"/>
                <w:sz w:val="21"/>
                <w:szCs w:val="21"/>
              </w:rPr>
              <w:t>”</w:t>
            </w:r>
            <w:r>
              <w:rPr>
                <w:spacing w:val="-1"/>
                <w:sz w:val="21"/>
                <w:szCs w:val="21"/>
              </w:rPr>
              <w:t>和</w:t>
            </w:r>
            <w:r>
              <w:rPr>
                <w:rFonts w:ascii="Times New Roman" w:hAnsi="Times New Roman" w:eastAsia="Times New Roman" w:cs="Times New Roman"/>
                <w:spacing w:val="-1"/>
                <w:sz w:val="21"/>
                <w:szCs w:val="21"/>
              </w:rPr>
              <w:t>“</w:t>
            </w:r>
            <w:r>
              <w:rPr>
                <w:spacing w:val="-1"/>
                <w:sz w:val="21"/>
                <w:szCs w:val="21"/>
              </w:rPr>
              <w:t>探转采</w:t>
            </w:r>
            <w:r>
              <w:rPr>
                <w:rFonts w:ascii="Times New Roman" w:hAnsi="Times New Roman" w:eastAsia="Times New Roman" w:cs="Times New Roman"/>
                <w:spacing w:val="-1"/>
                <w:sz w:val="21"/>
                <w:szCs w:val="21"/>
              </w:rPr>
              <w:t>”</w:t>
            </w:r>
            <w:r>
              <w:rPr>
                <w:spacing w:val="-1"/>
                <w:sz w:val="21"/>
                <w:szCs w:val="21"/>
              </w:rPr>
              <w:t>钻井及其配套设施</w:t>
            </w:r>
            <w:r>
              <w:rPr>
                <w:spacing w:val="7"/>
                <w:sz w:val="21"/>
                <w:szCs w:val="21"/>
              </w:rPr>
              <w:t xml:space="preserve">  </w:t>
            </w:r>
            <w:r>
              <w:rPr>
                <w:spacing w:val="-4"/>
                <w:sz w:val="21"/>
                <w:szCs w:val="21"/>
              </w:rPr>
              <w:t>建设用地</w:t>
            </w:r>
            <w:r>
              <w:rPr>
                <w:spacing w:val="-11"/>
                <w:sz w:val="21"/>
                <w:szCs w:val="21"/>
              </w:rPr>
              <w:t>；</w:t>
            </w:r>
            <w:r>
              <w:rPr>
                <w:spacing w:val="-28"/>
                <w:sz w:val="21"/>
                <w:szCs w:val="21"/>
              </w:rPr>
              <w:t xml:space="preserve"> </w:t>
            </w:r>
            <w:r>
              <w:rPr>
                <w:spacing w:val="-11"/>
                <w:sz w:val="21"/>
                <w:szCs w:val="21"/>
              </w:rPr>
              <w:t>（</w:t>
            </w:r>
            <w:r>
              <w:rPr>
                <w:rFonts w:ascii="Times New Roman" w:hAnsi="Times New Roman" w:eastAsia="Times New Roman" w:cs="Times New Roman"/>
                <w:spacing w:val="-4"/>
                <w:sz w:val="21"/>
                <w:szCs w:val="21"/>
              </w:rPr>
              <w:t>3</w:t>
            </w:r>
            <w:r>
              <w:rPr>
                <w:spacing w:val="-4"/>
                <w:sz w:val="21"/>
                <w:szCs w:val="21"/>
              </w:rPr>
              <w:t>）具备直接出让采矿权</w:t>
            </w:r>
            <w:r>
              <w:rPr>
                <w:sz w:val="21"/>
                <w:szCs w:val="21"/>
              </w:rPr>
              <w:t xml:space="preserve"> </w:t>
            </w:r>
            <w:r>
              <w:rPr>
                <w:spacing w:val="-4"/>
                <w:sz w:val="21"/>
                <w:szCs w:val="21"/>
              </w:rPr>
              <w:t>条件、能够明确具体用地范围的采矿用</w:t>
            </w:r>
            <w:r>
              <w:rPr>
                <w:spacing w:val="10"/>
                <w:sz w:val="21"/>
                <w:szCs w:val="21"/>
              </w:rPr>
              <w:t xml:space="preserve"> </w:t>
            </w:r>
            <w:r>
              <w:rPr>
                <w:spacing w:val="-9"/>
                <w:sz w:val="21"/>
                <w:szCs w:val="21"/>
              </w:rPr>
              <w:t>地</w:t>
            </w:r>
            <w:r>
              <w:rPr>
                <w:spacing w:val="-14"/>
                <w:sz w:val="21"/>
                <w:szCs w:val="21"/>
              </w:rPr>
              <w:t>；</w:t>
            </w:r>
            <w:r>
              <w:rPr>
                <w:spacing w:val="-47"/>
                <w:sz w:val="21"/>
                <w:szCs w:val="21"/>
              </w:rPr>
              <w:t xml:space="preserve"> </w:t>
            </w:r>
            <w:r>
              <w:rPr>
                <w:spacing w:val="-14"/>
                <w:sz w:val="21"/>
                <w:szCs w:val="21"/>
              </w:rPr>
              <w:t>（</w:t>
            </w:r>
            <w:r>
              <w:rPr>
                <w:rFonts w:ascii="Times New Roman" w:hAnsi="Times New Roman" w:eastAsia="Times New Roman" w:cs="Times New Roman"/>
                <w:spacing w:val="-9"/>
                <w:sz w:val="21"/>
                <w:szCs w:val="21"/>
              </w:rPr>
              <w:t>4</w:t>
            </w:r>
            <w:r>
              <w:rPr>
                <w:spacing w:val="-9"/>
                <w:sz w:val="21"/>
                <w:szCs w:val="21"/>
              </w:rPr>
              <w:t>）露天煤矿接续用地</w:t>
            </w:r>
            <w:r>
              <w:rPr>
                <w:spacing w:val="-14"/>
                <w:sz w:val="21"/>
                <w:szCs w:val="21"/>
              </w:rPr>
              <w:t>；</w:t>
            </w:r>
            <w:r>
              <w:rPr>
                <w:spacing w:val="-46"/>
                <w:sz w:val="21"/>
                <w:szCs w:val="21"/>
              </w:rPr>
              <w:t xml:space="preserve"> </w:t>
            </w:r>
            <w:r>
              <w:rPr>
                <w:spacing w:val="-14"/>
                <w:sz w:val="21"/>
                <w:szCs w:val="21"/>
              </w:rPr>
              <w:t>（</w:t>
            </w:r>
            <w:r>
              <w:rPr>
                <w:rFonts w:ascii="Times New Roman" w:hAnsi="Times New Roman" w:eastAsia="Times New Roman" w:cs="Times New Roman"/>
                <w:spacing w:val="-9"/>
                <w:sz w:val="21"/>
                <w:szCs w:val="21"/>
              </w:rPr>
              <w:t>5</w:t>
            </w:r>
            <w:r>
              <w:rPr>
                <w:spacing w:val="-9"/>
                <w:sz w:val="21"/>
                <w:szCs w:val="21"/>
              </w:rPr>
              <w:t>）水</w:t>
            </w:r>
            <w:r>
              <w:rPr>
                <w:sz w:val="21"/>
                <w:szCs w:val="21"/>
              </w:rPr>
              <w:t xml:space="preserve"> </w:t>
            </w:r>
            <w:r>
              <w:rPr>
                <w:spacing w:val="-2"/>
                <w:sz w:val="21"/>
                <w:szCs w:val="21"/>
              </w:rPr>
              <w:t>利水电项目涉及的淹没区用地。</w:t>
            </w:r>
          </w:p>
          <w:p>
            <w:pPr>
              <w:pStyle w:val="6"/>
              <w:tabs>
                <w:tab w:val="left" w:pos="111"/>
              </w:tabs>
              <w:spacing w:before="21" w:line="229" w:lineRule="auto"/>
              <w:ind w:left="1" w:right="1" w:firstLine="109"/>
              <w:rPr>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25"/>
                <w:sz w:val="21"/>
                <w:szCs w:val="21"/>
              </w:rPr>
              <w:t xml:space="preserve"> </w:t>
            </w:r>
            <w:r>
              <w:rPr>
                <w:spacing w:val="-2"/>
                <w:sz w:val="21"/>
                <w:szCs w:val="21"/>
              </w:rPr>
              <w:t>、简化建设项目用地预审审查。涉及</w:t>
            </w:r>
            <w:r>
              <w:rPr>
                <w:sz w:val="21"/>
                <w:szCs w:val="21"/>
              </w:rPr>
              <w:t xml:space="preserve">  </w:t>
            </w:r>
            <w:r>
              <w:rPr>
                <w:spacing w:val="3"/>
                <w:sz w:val="21"/>
                <w:szCs w:val="21"/>
              </w:rPr>
              <w:t>规划土地用途调整的，重点审查是否符</w:t>
            </w:r>
            <w:r>
              <w:rPr>
                <w:sz w:val="21"/>
                <w:szCs w:val="21"/>
              </w:rPr>
              <w:t xml:space="preserve">  </w:t>
            </w:r>
            <w:r>
              <w:rPr>
                <w:sz w:val="21"/>
                <w:szCs w:val="21"/>
                <w:u w:val="single" w:color="auto"/>
              </w:rPr>
              <w:tab/>
            </w:r>
            <w:r>
              <w:rPr>
                <w:spacing w:val="-4"/>
                <w:sz w:val="21"/>
                <w:szCs w:val="21"/>
                <w:u w:val="single" w:color="auto"/>
              </w:rPr>
              <w:t>合允许调整的情形，规划土地用途调整</w:t>
            </w:r>
            <w:r>
              <w:rPr>
                <w:spacing w:val="9"/>
                <w:sz w:val="21"/>
                <w:szCs w:val="21"/>
                <w:u w:val="single" w:color="auto"/>
              </w:rPr>
              <w:t xml:space="preserve"> </w:t>
            </w:r>
          </w:p>
        </w:tc>
        <w:tc>
          <w:tcPr>
            <w:tcW w:w="3069" w:type="dxa"/>
            <w:vAlign w:val="top"/>
          </w:tcPr>
          <w:p>
            <w:pPr>
              <w:pStyle w:val="6"/>
              <w:spacing w:before="35" w:line="233" w:lineRule="auto"/>
              <w:ind w:left="116" w:right="98" w:firstLine="1"/>
              <w:rPr>
                <w:sz w:val="21"/>
                <w:szCs w:val="21"/>
              </w:rPr>
            </w:pPr>
            <w:r>
              <w:rPr>
                <w:spacing w:val="-1"/>
                <w:sz w:val="21"/>
                <w:szCs w:val="21"/>
              </w:rPr>
              <w:t>项目为油气类的天然气勘探项</w:t>
            </w:r>
            <w:r>
              <w:rPr>
                <w:spacing w:val="2"/>
                <w:sz w:val="21"/>
                <w:szCs w:val="21"/>
              </w:rPr>
              <w:t xml:space="preserve">  </w:t>
            </w:r>
            <w:r>
              <w:rPr>
                <w:spacing w:val="-7"/>
                <w:sz w:val="21"/>
                <w:szCs w:val="21"/>
              </w:rPr>
              <w:t>目，建设单位正在积极办理临时</w:t>
            </w:r>
            <w:r>
              <w:rPr>
                <w:spacing w:val="5"/>
                <w:sz w:val="21"/>
                <w:szCs w:val="21"/>
              </w:rPr>
              <w:t xml:space="preserve"> </w:t>
            </w:r>
            <w:r>
              <w:rPr>
                <w:spacing w:val="-7"/>
                <w:sz w:val="21"/>
                <w:szCs w:val="21"/>
              </w:rPr>
              <w:t>用地手续；</w:t>
            </w:r>
          </w:p>
          <w:p>
            <w:pPr>
              <w:pStyle w:val="6"/>
              <w:spacing w:before="15" w:line="238" w:lineRule="auto"/>
              <w:ind w:left="114" w:right="62" w:firstLine="4"/>
              <w:rPr>
                <w:sz w:val="21"/>
                <w:szCs w:val="21"/>
              </w:rPr>
            </w:pPr>
            <w:r>
              <w:rPr>
                <w:spacing w:val="-1"/>
                <w:sz w:val="21"/>
                <w:szCs w:val="21"/>
              </w:rPr>
              <w:t>项目选址难以避让永久基本农</w:t>
            </w:r>
            <w:r>
              <w:rPr>
                <w:spacing w:val="2"/>
                <w:sz w:val="21"/>
                <w:szCs w:val="21"/>
              </w:rPr>
              <w:t xml:space="preserve">  </w:t>
            </w:r>
            <w:r>
              <w:rPr>
                <w:spacing w:val="-7"/>
                <w:sz w:val="21"/>
                <w:szCs w:val="21"/>
              </w:rPr>
              <w:t>田。评价要求建设单位需在取得</w:t>
            </w:r>
            <w:r>
              <w:rPr>
                <w:spacing w:val="8"/>
                <w:sz w:val="21"/>
                <w:szCs w:val="21"/>
              </w:rPr>
              <w:t xml:space="preserve"> </w:t>
            </w:r>
            <w:r>
              <w:rPr>
                <w:spacing w:val="-7"/>
                <w:sz w:val="21"/>
                <w:szCs w:val="21"/>
              </w:rPr>
              <w:t>相关部分审批手续后，方可开工</w:t>
            </w:r>
            <w:r>
              <w:rPr>
                <w:spacing w:val="8"/>
                <w:sz w:val="21"/>
                <w:szCs w:val="21"/>
              </w:rPr>
              <w:t xml:space="preserve"> </w:t>
            </w:r>
            <w:r>
              <w:rPr>
                <w:spacing w:val="-7"/>
                <w:sz w:val="21"/>
                <w:szCs w:val="21"/>
              </w:rPr>
              <w:t>建设。同时评价要求建设单位应</w:t>
            </w:r>
            <w:r>
              <w:rPr>
                <w:spacing w:val="8"/>
                <w:sz w:val="21"/>
                <w:szCs w:val="21"/>
              </w:rPr>
              <w:t xml:space="preserve"> </w:t>
            </w:r>
            <w:r>
              <w:rPr>
                <w:spacing w:val="-7"/>
                <w:sz w:val="21"/>
                <w:szCs w:val="21"/>
              </w:rPr>
              <w:t>编制临时用地土地复垦方案，并</w:t>
            </w:r>
            <w:r>
              <w:rPr>
                <w:spacing w:val="8"/>
                <w:sz w:val="21"/>
                <w:szCs w:val="21"/>
              </w:rPr>
              <w:t xml:space="preserve"> </w:t>
            </w:r>
            <w:r>
              <w:rPr>
                <w:spacing w:val="-4"/>
                <w:sz w:val="21"/>
                <w:szCs w:val="21"/>
              </w:rPr>
              <w:t>取得自然资源主管部门的批复，</w:t>
            </w:r>
            <w:r>
              <w:rPr>
                <w:spacing w:val="2"/>
                <w:sz w:val="21"/>
                <w:szCs w:val="21"/>
              </w:rPr>
              <w:t xml:space="preserve"> </w:t>
            </w:r>
            <w:r>
              <w:rPr>
                <w:spacing w:val="-1"/>
                <w:sz w:val="21"/>
                <w:szCs w:val="21"/>
              </w:rPr>
              <w:t>在施工结束后按照土地复垦方</w:t>
            </w:r>
            <w:r>
              <w:rPr>
                <w:spacing w:val="4"/>
                <w:sz w:val="21"/>
                <w:szCs w:val="21"/>
              </w:rPr>
              <w:t xml:space="preserve">  </w:t>
            </w:r>
            <w:r>
              <w:rPr>
                <w:spacing w:val="-7"/>
                <w:sz w:val="21"/>
                <w:szCs w:val="21"/>
              </w:rPr>
              <w:t>案及批复的要求进行复垦，按照</w:t>
            </w:r>
            <w:r>
              <w:rPr>
                <w:spacing w:val="8"/>
                <w:sz w:val="21"/>
                <w:szCs w:val="21"/>
              </w:rPr>
              <w:t xml:space="preserve"> </w:t>
            </w:r>
            <w:r>
              <w:rPr>
                <w:spacing w:val="-7"/>
                <w:sz w:val="21"/>
                <w:szCs w:val="21"/>
              </w:rPr>
              <w:t>数量不减、质量不降原则落实永</w:t>
            </w:r>
            <w:r>
              <w:rPr>
                <w:spacing w:val="8"/>
                <w:sz w:val="21"/>
                <w:szCs w:val="21"/>
              </w:rPr>
              <w:t xml:space="preserve"> </w:t>
            </w:r>
            <w:r>
              <w:rPr>
                <w:spacing w:val="-7"/>
                <w:sz w:val="21"/>
                <w:szCs w:val="21"/>
              </w:rPr>
              <w:t>久基本农田补划任务；补划方案</w:t>
            </w:r>
          </w:p>
          <w:p>
            <w:pPr>
              <w:pStyle w:val="6"/>
              <w:tabs>
                <w:tab w:val="left" w:pos="113"/>
              </w:tabs>
              <w:spacing w:before="20" w:line="209" w:lineRule="auto"/>
              <w:ind w:left="3"/>
              <w:rPr>
                <w:sz w:val="21"/>
                <w:szCs w:val="21"/>
              </w:rPr>
            </w:pPr>
            <w:r>
              <w:rPr>
                <w:sz w:val="21"/>
                <w:szCs w:val="21"/>
                <w:u w:val="single" w:color="auto"/>
              </w:rPr>
              <w:tab/>
            </w:r>
            <w:r>
              <w:rPr>
                <w:spacing w:val="-11"/>
                <w:sz w:val="21"/>
                <w:szCs w:val="21"/>
                <w:u w:val="single" w:color="auto"/>
              </w:rPr>
              <w:t>在后续“探转采”阶段，</w:t>
            </w:r>
            <w:r>
              <w:rPr>
                <w:spacing w:val="-37"/>
                <w:sz w:val="21"/>
                <w:szCs w:val="21"/>
                <w:u w:val="single" w:color="auto"/>
              </w:rPr>
              <w:t xml:space="preserve"> </w:t>
            </w:r>
            <w:r>
              <w:rPr>
                <w:spacing w:val="-11"/>
                <w:sz w:val="21"/>
                <w:szCs w:val="21"/>
                <w:u w:val="single" w:color="auto"/>
              </w:rPr>
              <w:t xml:space="preserve">办理农 </w:t>
            </w:r>
          </w:p>
        </w:tc>
        <w:tc>
          <w:tcPr>
            <w:tcW w:w="26" w:type="dxa"/>
            <w:vAlign w:val="top"/>
          </w:tcPr>
          <w:p>
            <w:pPr>
              <w:rPr>
                <w:rFonts w:ascii="Arial"/>
                <w:sz w:val="21"/>
              </w:rPr>
            </w:pPr>
          </w:p>
        </w:tc>
      </w:tr>
    </w:tbl>
    <w:p>
      <w:pPr>
        <w:pStyle w:val="2"/>
        <w:rPr>
          <w:sz w:val="21"/>
        </w:rPr>
      </w:pPr>
    </w:p>
    <w:p>
      <w:pPr>
        <w:rPr>
          <w:sz w:val="21"/>
          <w:szCs w:val="21"/>
        </w:rPr>
        <w:sectPr>
          <w:footerReference r:id="rId28" w:type="default"/>
          <w:pgSz w:w="11907" w:h="16839"/>
          <w:pgMar w:top="400" w:right="1406" w:bottom="1180"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880"/>
        <w:gridCol w:w="921"/>
        <w:gridCol w:w="3733"/>
        <w:gridCol w:w="290"/>
        <w:gridCol w:w="2068"/>
        <w:gridCol w:w="710"/>
        <w:gridCol w:w="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9" w:hRule="atLeast"/>
        </w:trPr>
        <w:tc>
          <w:tcPr>
            <w:tcW w:w="468" w:type="dxa"/>
            <w:vMerge w:val="restart"/>
            <w:tcBorders>
              <w:bottom w:val="nil"/>
            </w:tcBorders>
            <w:vAlign w:val="top"/>
          </w:tcPr>
          <w:p>
            <w:pPr>
              <w:rPr>
                <w:rFonts w:ascii="Arial"/>
                <w:sz w:val="21"/>
              </w:rPr>
            </w:pPr>
          </w:p>
        </w:tc>
        <w:tc>
          <w:tcPr>
            <w:tcW w:w="1801" w:type="dxa"/>
            <w:gridSpan w:val="2"/>
            <w:vAlign w:val="top"/>
          </w:tcPr>
          <w:p>
            <w:pPr>
              <w:rPr>
                <w:rFonts w:ascii="Arial"/>
                <w:sz w:val="21"/>
              </w:rPr>
            </w:pPr>
          </w:p>
        </w:tc>
        <w:tc>
          <w:tcPr>
            <w:tcW w:w="3733" w:type="dxa"/>
            <w:vAlign w:val="top"/>
          </w:tcPr>
          <w:p>
            <w:pPr>
              <w:pStyle w:val="6"/>
              <w:spacing w:before="64" w:line="236" w:lineRule="auto"/>
              <w:ind w:left="108" w:right="104" w:firstLine="2"/>
              <w:rPr>
                <w:sz w:val="21"/>
                <w:szCs w:val="21"/>
              </w:rPr>
            </w:pPr>
            <w:r>
              <w:rPr>
                <w:spacing w:val="-1"/>
                <w:sz w:val="21"/>
                <w:szCs w:val="21"/>
              </w:rPr>
              <w:t>方案在办理农用地转用和土地征收阶</w:t>
            </w:r>
            <w:r>
              <w:rPr>
                <w:spacing w:val="5"/>
                <w:sz w:val="21"/>
                <w:szCs w:val="21"/>
              </w:rPr>
              <w:t xml:space="preserve">  </w:t>
            </w:r>
            <w:r>
              <w:rPr>
                <w:spacing w:val="-7"/>
                <w:sz w:val="21"/>
                <w:szCs w:val="21"/>
              </w:rPr>
              <w:t>段提交；涉及占用永久基本农田的，</w:t>
            </w:r>
            <w:r>
              <w:rPr>
                <w:spacing w:val="-43"/>
                <w:sz w:val="21"/>
                <w:szCs w:val="21"/>
              </w:rPr>
              <w:t xml:space="preserve"> </w:t>
            </w:r>
            <w:r>
              <w:rPr>
                <w:spacing w:val="-7"/>
                <w:sz w:val="21"/>
                <w:szCs w:val="21"/>
              </w:rPr>
              <w:t>重</w:t>
            </w:r>
            <w:r>
              <w:rPr>
                <w:sz w:val="21"/>
                <w:szCs w:val="21"/>
              </w:rPr>
              <w:t xml:space="preserve"> </w:t>
            </w:r>
            <w:r>
              <w:rPr>
                <w:spacing w:val="-1"/>
                <w:sz w:val="21"/>
                <w:szCs w:val="21"/>
              </w:rPr>
              <w:t>点审查是否符合允许占用的情形以及</w:t>
            </w:r>
            <w:r>
              <w:rPr>
                <w:spacing w:val="6"/>
                <w:sz w:val="21"/>
                <w:szCs w:val="21"/>
              </w:rPr>
              <w:t xml:space="preserve">  </w:t>
            </w:r>
            <w:r>
              <w:rPr>
                <w:spacing w:val="-4"/>
                <w:sz w:val="21"/>
                <w:szCs w:val="21"/>
              </w:rPr>
              <w:t>避让的可能性，补划方案在办理农用地</w:t>
            </w:r>
            <w:r>
              <w:rPr>
                <w:spacing w:val="11"/>
                <w:sz w:val="21"/>
                <w:szCs w:val="21"/>
              </w:rPr>
              <w:t xml:space="preserve"> </w:t>
            </w:r>
            <w:r>
              <w:rPr>
                <w:spacing w:val="-4"/>
                <w:sz w:val="21"/>
                <w:szCs w:val="21"/>
              </w:rPr>
              <w:t>转用和土地征收阶段提交；涉及占用生</w:t>
            </w:r>
            <w:r>
              <w:rPr>
                <w:spacing w:val="12"/>
                <w:sz w:val="21"/>
                <w:szCs w:val="21"/>
              </w:rPr>
              <w:t xml:space="preserve"> </w:t>
            </w:r>
            <w:r>
              <w:rPr>
                <w:spacing w:val="-4"/>
                <w:sz w:val="21"/>
                <w:szCs w:val="21"/>
              </w:rPr>
              <w:t>态保护红线的，重点审查是否属于允许</w:t>
            </w:r>
            <w:r>
              <w:rPr>
                <w:spacing w:val="11"/>
                <w:sz w:val="21"/>
                <w:szCs w:val="21"/>
              </w:rPr>
              <w:t xml:space="preserve"> </w:t>
            </w:r>
            <w:r>
              <w:rPr>
                <w:spacing w:val="-1"/>
                <w:sz w:val="21"/>
                <w:szCs w:val="21"/>
              </w:rPr>
              <w:t>有限人为活动之外的国家重大项目范</w:t>
            </w:r>
            <w:r>
              <w:rPr>
                <w:spacing w:val="6"/>
                <w:sz w:val="21"/>
                <w:szCs w:val="21"/>
              </w:rPr>
              <w:t xml:space="preserve">  </w:t>
            </w:r>
            <w:r>
              <w:rPr>
                <w:spacing w:val="-4"/>
                <w:sz w:val="21"/>
                <w:szCs w:val="21"/>
              </w:rPr>
              <w:t>围，在办理农用地转用和土地征收阶段</w:t>
            </w:r>
            <w:r>
              <w:rPr>
                <w:spacing w:val="12"/>
                <w:sz w:val="21"/>
                <w:szCs w:val="21"/>
              </w:rPr>
              <w:t xml:space="preserve"> </w:t>
            </w:r>
            <w:r>
              <w:rPr>
                <w:spacing w:val="-1"/>
                <w:sz w:val="21"/>
                <w:szCs w:val="21"/>
              </w:rPr>
              <w:t>提交省级人民政府出具的不可避让论</w:t>
            </w:r>
            <w:r>
              <w:rPr>
                <w:spacing w:val="6"/>
                <w:sz w:val="21"/>
                <w:szCs w:val="21"/>
              </w:rPr>
              <w:t xml:space="preserve">  </w:t>
            </w:r>
            <w:r>
              <w:rPr>
                <w:spacing w:val="-1"/>
                <w:sz w:val="21"/>
                <w:szCs w:val="21"/>
              </w:rPr>
              <w:t>证意见。</w:t>
            </w:r>
          </w:p>
        </w:tc>
        <w:tc>
          <w:tcPr>
            <w:tcW w:w="3068" w:type="dxa"/>
            <w:gridSpan w:val="3"/>
            <w:tcBorders>
              <w:right w:val="single" w:color="000000" w:sz="8" w:space="0"/>
            </w:tcBorders>
            <w:vAlign w:val="top"/>
          </w:tcPr>
          <w:p>
            <w:pPr>
              <w:pStyle w:val="6"/>
              <w:spacing w:before="60" w:line="221" w:lineRule="auto"/>
              <w:ind w:left="116"/>
              <w:rPr>
                <w:sz w:val="21"/>
                <w:szCs w:val="21"/>
              </w:rPr>
            </w:pPr>
            <w:r>
              <w:rPr>
                <w:spacing w:val="-2"/>
                <w:sz w:val="21"/>
                <w:szCs w:val="21"/>
              </w:rPr>
              <w:t>用地转用和土地征收时提交。</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trPr>
        <w:tc>
          <w:tcPr>
            <w:tcW w:w="468" w:type="dxa"/>
            <w:vMerge w:val="continue"/>
            <w:tcBorders>
              <w:top w:val="nil"/>
              <w:bottom w:val="nil"/>
            </w:tcBorders>
            <w:vAlign w:val="top"/>
          </w:tcPr>
          <w:p>
            <w:pPr>
              <w:rPr>
                <w:rFonts w:ascii="Arial"/>
                <w:sz w:val="21"/>
              </w:rPr>
            </w:pPr>
          </w:p>
        </w:tc>
        <w:tc>
          <w:tcPr>
            <w:tcW w:w="8629" w:type="dxa"/>
            <w:gridSpan w:val="7"/>
            <w:vAlign w:val="top"/>
          </w:tcPr>
          <w:p>
            <w:pPr>
              <w:pStyle w:val="6"/>
              <w:spacing w:before="226" w:line="220" w:lineRule="auto"/>
              <w:ind w:left="6"/>
              <w:rPr>
                <w:sz w:val="24"/>
                <w:szCs w:val="24"/>
              </w:rPr>
            </w:pPr>
            <w:r>
              <w:rPr>
                <w:rFonts w:ascii="Times New Roman" w:hAnsi="Times New Roman" w:eastAsia="Times New Roman" w:cs="Times New Roman"/>
                <w:b/>
                <w:bCs/>
                <w:spacing w:val="-1"/>
                <w:sz w:val="24"/>
                <w:szCs w:val="24"/>
              </w:rPr>
              <w:t xml:space="preserve">1.6 </w:t>
            </w:r>
            <w:r>
              <w:rPr>
                <w:spacing w:val="-1"/>
                <w:sz w:val="24"/>
                <w:szCs w:val="24"/>
                <w14:textOutline w14:w="4354" w14:cap="flat" w14:cmpd="sng">
                  <w14:solidFill>
                    <w14:srgbClr w14:val="000000"/>
                  </w14:solidFill>
                  <w14:prstDash w14:val="solid"/>
                  <w14:miter w14:val="10"/>
                </w14:textOutline>
              </w:rPr>
              <w:t>与长江有关环境保护政策符合性分析</w:t>
            </w:r>
          </w:p>
          <w:p>
            <w:pPr>
              <w:pStyle w:val="6"/>
              <w:spacing w:before="225" w:line="220" w:lineRule="auto"/>
              <w:ind w:left="6"/>
              <w:rPr>
                <w:sz w:val="24"/>
                <w:szCs w:val="24"/>
              </w:rPr>
            </w:pPr>
            <w:r>
              <w:rPr>
                <w:rFonts w:ascii="Times New Roman" w:hAnsi="Times New Roman" w:eastAsia="Times New Roman" w:cs="Times New Roman"/>
                <w:b/>
                <w:bCs/>
                <w:sz w:val="24"/>
                <w:szCs w:val="24"/>
              </w:rPr>
              <w:t>1.6.1</w:t>
            </w:r>
            <w:r>
              <w:rPr>
                <w:sz w:val="24"/>
                <w:szCs w:val="24"/>
                <w14:textOutline w14:w="4354" w14:cap="flat" w14:cmpd="sng">
                  <w14:solidFill>
                    <w14:srgbClr w14:val="000000"/>
                  </w14:solidFill>
                  <w14:prstDash w14:val="solid"/>
                  <w14:miter w14:val="10"/>
                </w14:textOutline>
              </w:rPr>
              <w:t>《中华人民共和国长江保护法》符合性分析</w:t>
            </w:r>
          </w:p>
          <w:p>
            <w:pPr>
              <w:pStyle w:val="6"/>
              <w:spacing w:before="201" w:line="219" w:lineRule="auto"/>
              <w:ind w:left="480"/>
              <w:rPr>
                <w:sz w:val="24"/>
                <w:szCs w:val="24"/>
              </w:rPr>
            </w:pPr>
            <w:r>
              <w:rPr>
                <w:spacing w:val="-2"/>
                <w:sz w:val="24"/>
                <w:szCs w:val="24"/>
              </w:rPr>
              <w:t>本项目与《中华人民共和国长江保护法》相关要求符合性分析如下：</w:t>
            </w:r>
          </w:p>
          <w:p>
            <w:pPr>
              <w:pStyle w:val="6"/>
              <w:spacing w:before="195" w:line="220" w:lineRule="auto"/>
              <w:ind w:left="1376"/>
              <w:rPr>
                <w:sz w:val="24"/>
                <w:szCs w:val="24"/>
              </w:rPr>
            </w:pPr>
            <w:r>
              <w:rPr>
                <w:spacing w:val="-1"/>
                <w:sz w:val="24"/>
                <w:szCs w:val="24"/>
                <w14:textOutline w14:w="4354" w14:cap="flat" w14:cmpd="sng">
                  <w14:solidFill>
                    <w14:srgbClr w14:val="000000"/>
                  </w14:solidFill>
                  <w14:prstDash w14:val="solid"/>
                  <w14:miter w14:val="10"/>
                </w14:textOutline>
              </w:rPr>
              <w:t>表</w:t>
            </w:r>
            <w:r>
              <w:rPr>
                <w:spacing w:val="-26"/>
                <w:sz w:val="24"/>
                <w:szCs w:val="24"/>
              </w:rPr>
              <w:t xml:space="preserve"> </w:t>
            </w:r>
            <w:r>
              <w:rPr>
                <w:rFonts w:ascii="Times New Roman" w:hAnsi="Times New Roman" w:eastAsia="Times New Roman" w:cs="Times New Roman"/>
                <w:b/>
                <w:bCs/>
                <w:spacing w:val="-1"/>
                <w:sz w:val="24"/>
                <w:szCs w:val="24"/>
              </w:rPr>
              <w:t xml:space="preserve">1.6-1    </w:t>
            </w:r>
            <w:r>
              <w:rPr>
                <w:spacing w:val="-1"/>
                <w:sz w:val="24"/>
                <w:szCs w:val="24"/>
                <w14:textOutline w14:w="4354" w14:cap="flat" w14:cmpd="sng">
                  <w14:solidFill>
                    <w14:srgbClr w14:val="000000"/>
                  </w14:solidFill>
                  <w14:prstDash w14:val="solid"/>
                  <w14:miter w14:val="10"/>
                </w14:textOutline>
              </w:rPr>
              <w:t>与《中华人民共和国长江保护法》符合性分析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168" w:line="222" w:lineRule="auto"/>
              <w:ind w:left="232"/>
              <w:rPr>
                <w:sz w:val="21"/>
                <w:szCs w:val="21"/>
              </w:rPr>
            </w:pPr>
            <w:r>
              <w:rPr>
                <w:spacing w:val="-2"/>
                <w:sz w:val="21"/>
                <w:szCs w:val="21"/>
              </w:rPr>
              <w:t>序号</w:t>
            </w:r>
          </w:p>
        </w:tc>
        <w:tc>
          <w:tcPr>
            <w:tcW w:w="4944" w:type="dxa"/>
            <w:gridSpan w:val="3"/>
            <w:vAlign w:val="top"/>
          </w:tcPr>
          <w:p>
            <w:pPr>
              <w:pStyle w:val="6"/>
              <w:spacing w:before="168" w:line="221" w:lineRule="auto"/>
              <w:ind w:left="1743"/>
              <w:rPr>
                <w:sz w:val="21"/>
                <w:szCs w:val="21"/>
              </w:rPr>
            </w:pPr>
            <w:r>
              <w:rPr>
                <w:spacing w:val="-1"/>
                <w:sz w:val="21"/>
                <w:szCs w:val="21"/>
              </w:rPr>
              <w:t>长江保护法要求</w:t>
            </w:r>
          </w:p>
        </w:tc>
        <w:tc>
          <w:tcPr>
            <w:tcW w:w="2068" w:type="dxa"/>
            <w:vAlign w:val="top"/>
          </w:tcPr>
          <w:p>
            <w:pPr>
              <w:pStyle w:val="6"/>
              <w:spacing w:before="168" w:line="220" w:lineRule="auto"/>
              <w:ind w:left="517"/>
              <w:rPr>
                <w:sz w:val="21"/>
                <w:szCs w:val="21"/>
              </w:rPr>
            </w:pPr>
            <w:r>
              <w:rPr>
                <w:spacing w:val="-2"/>
                <w:sz w:val="21"/>
                <w:szCs w:val="21"/>
              </w:rPr>
              <w:t>本项目情况</w:t>
            </w:r>
          </w:p>
        </w:tc>
        <w:tc>
          <w:tcPr>
            <w:tcW w:w="710" w:type="dxa"/>
            <w:tcBorders>
              <w:right w:val="single" w:color="000000" w:sz="8" w:space="0"/>
            </w:tcBorders>
            <w:vAlign w:val="top"/>
          </w:tcPr>
          <w:p>
            <w:pPr>
              <w:pStyle w:val="6"/>
              <w:spacing w:before="33" w:line="221" w:lineRule="auto"/>
              <w:ind w:left="154"/>
              <w:rPr>
                <w:sz w:val="21"/>
                <w:szCs w:val="21"/>
              </w:rPr>
            </w:pPr>
            <w:r>
              <w:rPr>
                <w:spacing w:val="-2"/>
                <w:sz w:val="21"/>
                <w:szCs w:val="21"/>
              </w:rPr>
              <w:t>符合</w:t>
            </w:r>
          </w:p>
          <w:p>
            <w:pPr>
              <w:pStyle w:val="6"/>
              <w:spacing w:before="20" w:line="208" w:lineRule="auto"/>
              <w:ind w:left="260"/>
              <w:rPr>
                <w:sz w:val="21"/>
                <w:szCs w:val="21"/>
              </w:rPr>
            </w:pPr>
            <w:r>
              <w:rPr>
                <w:sz w:val="21"/>
                <w:szCs w:val="21"/>
              </w:rPr>
              <w:t>性</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64" w:line="233" w:lineRule="auto"/>
              <w:ind w:left="134"/>
              <w:rPr>
                <w:sz w:val="21"/>
                <w:szCs w:val="21"/>
              </w:rPr>
            </w:pPr>
            <w:r>
              <w:rPr>
                <w:spacing w:val="-6"/>
                <w:sz w:val="21"/>
                <w:szCs w:val="21"/>
              </w:rPr>
              <w:t>（二）</w:t>
            </w:r>
          </w:p>
        </w:tc>
        <w:tc>
          <w:tcPr>
            <w:tcW w:w="7722" w:type="dxa"/>
            <w:gridSpan w:val="5"/>
            <w:tcBorders>
              <w:right w:val="single" w:color="000000" w:sz="8" w:space="0"/>
            </w:tcBorders>
            <w:vAlign w:val="top"/>
          </w:tcPr>
          <w:p>
            <w:pPr>
              <w:pStyle w:val="6"/>
              <w:spacing w:before="64" w:line="221" w:lineRule="auto"/>
              <w:ind w:left="3341"/>
              <w:rPr>
                <w:sz w:val="21"/>
                <w:szCs w:val="21"/>
              </w:rPr>
            </w:pPr>
            <w:r>
              <w:rPr>
                <w:spacing w:val="-2"/>
                <w:sz w:val="21"/>
                <w:szCs w:val="21"/>
              </w:rPr>
              <w:t>规划与管控</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68" w:type="dxa"/>
            <w:vMerge w:val="continue"/>
            <w:tcBorders>
              <w:top w:val="nil"/>
              <w:bottom w:val="nil"/>
            </w:tcBorders>
            <w:vAlign w:val="top"/>
          </w:tcPr>
          <w:p>
            <w:pPr>
              <w:rPr>
                <w:rFonts w:ascii="Arial"/>
                <w:sz w:val="21"/>
              </w:rPr>
            </w:pPr>
          </w:p>
        </w:tc>
        <w:tc>
          <w:tcPr>
            <w:tcW w:w="880" w:type="dxa"/>
            <w:vAlign w:val="top"/>
          </w:tcPr>
          <w:p>
            <w:pPr>
              <w:spacing w:line="320" w:lineRule="auto"/>
              <w:rPr>
                <w:rFonts w:ascii="Arial"/>
                <w:sz w:val="21"/>
              </w:rPr>
            </w:pPr>
          </w:p>
          <w:p>
            <w:pPr>
              <w:spacing w:line="320" w:lineRule="auto"/>
              <w:rPr>
                <w:rFonts w:ascii="Arial"/>
                <w:sz w:val="21"/>
              </w:rPr>
            </w:pPr>
          </w:p>
          <w:p>
            <w:pPr>
              <w:pStyle w:val="6"/>
              <w:spacing w:before="68" w:line="222" w:lineRule="auto"/>
              <w:ind w:left="131"/>
              <w:rPr>
                <w:sz w:val="21"/>
                <w:szCs w:val="21"/>
              </w:rPr>
            </w:pPr>
            <w:r>
              <w:rPr>
                <w:sz w:val="21"/>
                <w:szCs w:val="21"/>
              </w:rPr>
              <w:t>二十一</w:t>
            </w:r>
          </w:p>
        </w:tc>
        <w:tc>
          <w:tcPr>
            <w:tcW w:w="4944" w:type="dxa"/>
            <w:gridSpan w:val="3"/>
            <w:vAlign w:val="top"/>
          </w:tcPr>
          <w:p>
            <w:pPr>
              <w:pStyle w:val="6"/>
              <w:spacing w:before="34" w:line="235" w:lineRule="auto"/>
              <w:ind w:left="112" w:right="101" w:firstLine="72"/>
              <w:jc w:val="both"/>
              <w:rPr>
                <w:sz w:val="21"/>
                <w:szCs w:val="21"/>
              </w:rPr>
            </w:pPr>
            <w:r>
              <w:rPr>
                <w:spacing w:val="-1"/>
                <w:sz w:val="21"/>
                <w:szCs w:val="21"/>
              </w:rPr>
              <w:t>国务院生态环境主管部门根据水环境质量改</w:t>
            </w:r>
            <w:r>
              <w:rPr>
                <w:spacing w:val="-2"/>
                <w:sz w:val="21"/>
                <w:szCs w:val="21"/>
              </w:rPr>
              <w:t>善目标</w:t>
            </w:r>
            <w:r>
              <w:rPr>
                <w:sz w:val="21"/>
                <w:szCs w:val="21"/>
              </w:rPr>
              <w:t xml:space="preserve"> </w:t>
            </w:r>
            <w:r>
              <w:rPr>
                <w:spacing w:val="-5"/>
                <w:sz w:val="21"/>
                <w:szCs w:val="21"/>
              </w:rPr>
              <w:t>和水污染防治要求，确定长江流域各省级行政区域重</w:t>
            </w:r>
            <w:r>
              <w:rPr>
                <w:spacing w:val="8"/>
                <w:sz w:val="21"/>
                <w:szCs w:val="21"/>
              </w:rPr>
              <w:t xml:space="preserve"> </w:t>
            </w:r>
            <w:r>
              <w:rPr>
                <w:spacing w:val="-5"/>
                <w:sz w:val="21"/>
                <w:szCs w:val="21"/>
              </w:rPr>
              <w:t>点污染物排放总量控制指标。长江流域水质超标的水</w:t>
            </w:r>
            <w:r>
              <w:rPr>
                <w:spacing w:val="8"/>
                <w:sz w:val="21"/>
                <w:szCs w:val="21"/>
              </w:rPr>
              <w:t xml:space="preserve"> </w:t>
            </w:r>
            <w:r>
              <w:rPr>
                <w:spacing w:val="2"/>
                <w:sz w:val="21"/>
                <w:szCs w:val="21"/>
              </w:rPr>
              <w:t>功能区，应当实施更严格的污染物排放总量削减要</w:t>
            </w:r>
            <w:r>
              <w:rPr>
                <w:spacing w:val="4"/>
                <w:sz w:val="21"/>
                <w:szCs w:val="21"/>
              </w:rPr>
              <w:t xml:space="preserve"> </w:t>
            </w:r>
            <w:r>
              <w:rPr>
                <w:spacing w:val="-5"/>
                <w:sz w:val="21"/>
                <w:szCs w:val="21"/>
              </w:rPr>
              <w:t>求。企业事业单位应当按照要求，采取污染物排放总</w:t>
            </w:r>
          </w:p>
          <w:p>
            <w:pPr>
              <w:pStyle w:val="6"/>
              <w:spacing w:before="23" w:line="205" w:lineRule="auto"/>
              <w:ind w:left="1847"/>
              <w:rPr>
                <w:sz w:val="21"/>
                <w:szCs w:val="21"/>
              </w:rPr>
            </w:pPr>
            <w:r>
              <w:rPr>
                <w:spacing w:val="-1"/>
                <w:sz w:val="21"/>
                <w:szCs w:val="21"/>
              </w:rPr>
              <w:t>量控制措施。</w:t>
            </w:r>
          </w:p>
        </w:tc>
        <w:tc>
          <w:tcPr>
            <w:tcW w:w="2068" w:type="dxa"/>
            <w:vAlign w:val="top"/>
          </w:tcPr>
          <w:p>
            <w:pPr>
              <w:spacing w:line="253" w:lineRule="auto"/>
              <w:rPr>
                <w:rFonts w:ascii="Arial"/>
                <w:sz w:val="21"/>
              </w:rPr>
            </w:pPr>
          </w:p>
          <w:p>
            <w:pPr>
              <w:spacing w:line="253" w:lineRule="auto"/>
              <w:rPr>
                <w:rFonts w:ascii="Arial"/>
                <w:sz w:val="21"/>
              </w:rPr>
            </w:pPr>
          </w:p>
          <w:p>
            <w:pPr>
              <w:pStyle w:val="6"/>
              <w:spacing w:before="68" w:line="230" w:lineRule="auto"/>
              <w:ind w:left="306" w:right="186" w:hanging="104"/>
              <w:rPr>
                <w:sz w:val="21"/>
                <w:szCs w:val="21"/>
              </w:rPr>
            </w:pPr>
            <w:r>
              <w:rPr>
                <w:spacing w:val="-1"/>
                <w:sz w:val="21"/>
                <w:szCs w:val="21"/>
              </w:rPr>
              <w:t>本项目不涉及重点</w:t>
            </w:r>
            <w:r>
              <w:rPr>
                <w:sz w:val="21"/>
                <w:szCs w:val="21"/>
              </w:rPr>
              <w:t xml:space="preserve"> </w:t>
            </w:r>
            <w:r>
              <w:rPr>
                <w:spacing w:val="-4"/>
                <w:sz w:val="21"/>
                <w:szCs w:val="21"/>
              </w:rPr>
              <w:t>污染物的排放。</w:t>
            </w:r>
          </w:p>
        </w:tc>
        <w:tc>
          <w:tcPr>
            <w:tcW w:w="710" w:type="dxa"/>
            <w:tcBorders>
              <w:right w:val="single" w:color="000000" w:sz="8" w:space="0"/>
            </w:tcBorders>
            <w:vAlign w:val="top"/>
          </w:tcPr>
          <w:p>
            <w:pPr>
              <w:spacing w:line="320" w:lineRule="auto"/>
              <w:rPr>
                <w:rFonts w:ascii="Arial"/>
                <w:sz w:val="21"/>
              </w:rPr>
            </w:pPr>
          </w:p>
          <w:p>
            <w:pPr>
              <w:spacing w:line="320" w:lineRule="auto"/>
              <w:rPr>
                <w:rFonts w:ascii="Arial"/>
                <w:sz w:val="21"/>
              </w:rPr>
            </w:pPr>
          </w:p>
          <w:p>
            <w:pPr>
              <w:pStyle w:val="6"/>
              <w:spacing w:before="68"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Merge w:val="continue"/>
            <w:tcBorders>
              <w:top w:val="nil"/>
              <w:bottom w:val="nil"/>
            </w:tcBorders>
            <w:vAlign w:val="top"/>
          </w:tcPr>
          <w:p>
            <w:pPr>
              <w:rPr>
                <w:rFonts w:ascii="Arial"/>
                <w:sz w:val="21"/>
              </w:rPr>
            </w:pPr>
          </w:p>
        </w:tc>
        <w:tc>
          <w:tcPr>
            <w:tcW w:w="880" w:type="dxa"/>
            <w:vAlign w:val="top"/>
          </w:tcPr>
          <w:p>
            <w:pPr>
              <w:spacing w:line="372" w:lineRule="auto"/>
              <w:rPr>
                <w:rFonts w:ascii="Arial"/>
                <w:sz w:val="21"/>
              </w:rPr>
            </w:pPr>
          </w:p>
          <w:p>
            <w:pPr>
              <w:pStyle w:val="6"/>
              <w:spacing w:before="68" w:line="222" w:lineRule="auto"/>
              <w:ind w:left="131"/>
              <w:rPr>
                <w:sz w:val="21"/>
                <w:szCs w:val="21"/>
              </w:rPr>
            </w:pPr>
            <w:r>
              <w:rPr>
                <w:spacing w:val="-3"/>
                <w:sz w:val="21"/>
                <w:szCs w:val="21"/>
              </w:rPr>
              <w:t>二十二</w:t>
            </w:r>
          </w:p>
        </w:tc>
        <w:tc>
          <w:tcPr>
            <w:tcW w:w="4944" w:type="dxa"/>
            <w:gridSpan w:val="3"/>
            <w:vAlign w:val="top"/>
          </w:tcPr>
          <w:p>
            <w:pPr>
              <w:pStyle w:val="6"/>
              <w:spacing w:before="34" w:line="233" w:lineRule="auto"/>
              <w:ind w:left="111" w:right="101" w:firstLine="53"/>
              <w:jc w:val="both"/>
              <w:rPr>
                <w:sz w:val="21"/>
                <w:szCs w:val="21"/>
              </w:rPr>
            </w:pPr>
            <w:r>
              <w:rPr>
                <w:spacing w:val="-1"/>
                <w:sz w:val="21"/>
                <w:szCs w:val="21"/>
              </w:rPr>
              <w:t>长江流域产业结构和布局应当与长江流域生态系统</w:t>
            </w:r>
            <w:r>
              <w:rPr>
                <w:spacing w:val="17"/>
                <w:sz w:val="21"/>
                <w:szCs w:val="21"/>
              </w:rPr>
              <w:t xml:space="preserve"> </w:t>
            </w:r>
            <w:r>
              <w:rPr>
                <w:spacing w:val="-5"/>
                <w:sz w:val="21"/>
                <w:szCs w:val="21"/>
              </w:rPr>
              <w:t>和资源环境承载能力相适应。禁止在长江流域重点生</w:t>
            </w:r>
            <w:r>
              <w:rPr>
                <w:spacing w:val="9"/>
                <w:sz w:val="21"/>
                <w:szCs w:val="21"/>
              </w:rPr>
              <w:t xml:space="preserve"> </w:t>
            </w:r>
            <w:r>
              <w:rPr>
                <w:spacing w:val="-5"/>
                <w:sz w:val="21"/>
                <w:szCs w:val="21"/>
              </w:rPr>
              <w:t>态功能区布局对生态系统有严重影响的产业。禁止重</w:t>
            </w:r>
          </w:p>
          <w:p>
            <w:pPr>
              <w:pStyle w:val="6"/>
              <w:spacing w:before="20" w:line="205" w:lineRule="auto"/>
              <w:ind w:left="797"/>
              <w:rPr>
                <w:sz w:val="21"/>
                <w:szCs w:val="21"/>
              </w:rPr>
            </w:pPr>
            <w:r>
              <w:rPr>
                <w:spacing w:val="-2"/>
                <w:sz w:val="21"/>
                <w:szCs w:val="21"/>
              </w:rPr>
              <w:t>污染企业和项目向长江中上游转移。</w:t>
            </w:r>
          </w:p>
        </w:tc>
        <w:tc>
          <w:tcPr>
            <w:tcW w:w="2068" w:type="dxa"/>
            <w:vAlign w:val="top"/>
          </w:tcPr>
          <w:p>
            <w:pPr>
              <w:pStyle w:val="6"/>
              <w:spacing w:before="32" w:line="234" w:lineRule="auto"/>
              <w:ind w:left="114" w:right="100" w:firstLine="88"/>
              <w:jc w:val="both"/>
              <w:rPr>
                <w:sz w:val="21"/>
                <w:szCs w:val="21"/>
              </w:rPr>
            </w:pPr>
            <w:r>
              <w:rPr>
                <w:spacing w:val="-1"/>
                <w:sz w:val="21"/>
                <w:szCs w:val="21"/>
              </w:rPr>
              <w:t>本项目不属于对生</w:t>
            </w:r>
            <w:r>
              <w:rPr>
                <w:sz w:val="21"/>
                <w:szCs w:val="21"/>
              </w:rPr>
              <w:t xml:space="preserve">  </w:t>
            </w:r>
            <w:r>
              <w:rPr>
                <w:spacing w:val="9"/>
                <w:sz w:val="21"/>
                <w:szCs w:val="21"/>
              </w:rPr>
              <w:t xml:space="preserve">态有严重影响的产 </w:t>
            </w:r>
            <w:r>
              <w:rPr>
                <w:spacing w:val="-10"/>
                <w:sz w:val="21"/>
                <w:szCs w:val="21"/>
              </w:rPr>
              <w:t>业，</w:t>
            </w:r>
            <w:r>
              <w:rPr>
                <w:spacing w:val="-58"/>
                <w:sz w:val="21"/>
                <w:szCs w:val="21"/>
              </w:rPr>
              <w:t xml:space="preserve"> </w:t>
            </w:r>
            <w:r>
              <w:rPr>
                <w:spacing w:val="-10"/>
                <w:sz w:val="21"/>
                <w:szCs w:val="21"/>
              </w:rPr>
              <w:t>不属于重污染企</w:t>
            </w:r>
          </w:p>
          <w:p>
            <w:pPr>
              <w:pStyle w:val="6"/>
              <w:spacing w:before="19" w:line="205" w:lineRule="auto"/>
              <w:ind w:left="829"/>
              <w:rPr>
                <w:sz w:val="21"/>
                <w:szCs w:val="21"/>
              </w:rPr>
            </w:pPr>
            <w:r>
              <w:rPr>
                <w:spacing w:val="-10"/>
                <w:sz w:val="21"/>
                <w:szCs w:val="21"/>
              </w:rPr>
              <w:t>业。</w:t>
            </w:r>
          </w:p>
        </w:tc>
        <w:tc>
          <w:tcPr>
            <w:tcW w:w="710" w:type="dxa"/>
            <w:tcBorders>
              <w:right w:val="single" w:color="000000" w:sz="8" w:space="0"/>
            </w:tcBorders>
            <w:vAlign w:val="top"/>
          </w:tcPr>
          <w:p>
            <w:pPr>
              <w:spacing w:line="371" w:lineRule="auto"/>
              <w:rPr>
                <w:rFonts w:ascii="Arial"/>
                <w:sz w:val="21"/>
              </w:rPr>
            </w:pPr>
          </w:p>
          <w:p>
            <w:pPr>
              <w:pStyle w:val="6"/>
              <w:spacing w:before="68"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306" w:line="222" w:lineRule="auto"/>
              <w:ind w:left="131"/>
              <w:rPr>
                <w:sz w:val="21"/>
                <w:szCs w:val="21"/>
              </w:rPr>
            </w:pPr>
            <w:r>
              <w:rPr>
                <w:spacing w:val="-2"/>
                <w:sz w:val="21"/>
                <w:szCs w:val="21"/>
              </w:rPr>
              <w:t>二十三</w:t>
            </w:r>
          </w:p>
        </w:tc>
        <w:tc>
          <w:tcPr>
            <w:tcW w:w="4944" w:type="dxa"/>
            <w:gridSpan w:val="3"/>
            <w:vAlign w:val="top"/>
          </w:tcPr>
          <w:p>
            <w:pPr>
              <w:pStyle w:val="6"/>
              <w:spacing w:before="34" w:line="221" w:lineRule="auto"/>
              <w:ind w:left="163"/>
              <w:rPr>
                <w:sz w:val="21"/>
                <w:szCs w:val="21"/>
              </w:rPr>
            </w:pPr>
            <w:r>
              <w:rPr>
                <w:sz w:val="21"/>
                <w:szCs w:val="21"/>
              </w:rPr>
              <w:t>对长江流域已建小水电工程，不符合生态保</w:t>
            </w:r>
            <w:r>
              <w:rPr>
                <w:spacing w:val="-1"/>
                <w:sz w:val="21"/>
                <w:szCs w:val="21"/>
              </w:rPr>
              <w:t>护要求</w:t>
            </w:r>
          </w:p>
          <w:p>
            <w:pPr>
              <w:pStyle w:val="6"/>
              <w:spacing w:before="19" w:line="223" w:lineRule="auto"/>
              <w:ind w:left="1638" w:right="101" w:hanging="1509"/>
              <w:rPr>
                <w:sz w:val="21"/>
                <w:szCs w:val="21"/>
              </w:rPr>
            </w:pPr>
            <w:r>
              <w:rPr>
                <w:spacing w:val="-6"/>
                <w:sz w:val="21"/>
                <w:szCs w:val="21"/>
              </w:rPr>
              <w:t>的，县级以上地方人民政府应当组织分类整改或者采</w:t>
            </w:r>
            <w:r>
              <w:rPr>
                <w:spacing w:val="15"/>
                <w:sz w:val="21"/>
                <w:szCs w:val="21"/>
              </w:rPr>
              <w:t xml:space="preserve"> </w:t>
            </w:r>
            <w:r>
              <w:rPr>
                <w:spacing w:val="-1"/>
                <w:sz w:val="21"/>
                <w:szCs w:val="21"/>
              </w:rPr>
              <w:t>取措施逐步退出。</w:t>
            </w:r>
          </w:p>
        </w:tc>
        <w:tc>
          <w:tcPr>
            <w:tcW w:w="2068" w:type="dxa"/>
            <w:vAlign w:val="top"/>
          </w:tcPr>
          <w:p>
            <w:pPr>
              <w:pStyle w:val="6"/>
              <w:spacing w:before="169" w:line="231" w:lineRule="auto"/>
              <w:ind w:left="645" w:right="186" w:hanging="443"/>
              <w:rPr>
                <w:sz w:val="21"/>
                <w:szCs w:val="21"/>
              </w:rPr>
            </w:pPr>
            <w:r>
              <w:rPr>
                <w:spacing w:val="-1"/>
                <w:sz w:val="21"/>
                <w:szCs w:val="21"/>
              </w:rPr>
              <w:t>本项目不属于小水</w:t>
            </w:r>
            <w:r>
              <w:rPr>
                <w:sz w:val="21"/>
                <w:szCs w:val="21"/>
              </w:rPr>
              <w:t xml:space="preserve"> </w:t>
            </w:r>
            <w:r>
              <w:rPr>
                <w:spacing w:val="-8"/>
                <w:sz w:val="21"/>
                <w:szCs w:val="21"/>
              </w:rPr>
              <w:t>电工程。</w:t>
            </w:r>
          </w:p>
        </w:tc>
        <w:tc>
          <w:tcPr>
            <w:tcW w:w="710" w:type="dxa"/>
            <w:tcBorders>
              <w:right w:val="single" w:color="000000" w:sz="8" w:space="0"/>
            </w:tcBorders>
            <w:vAlign w:val="top"/>
          </w:tcPr>
          <w:p>
            <w:pPr>
              <w:pStyle w:val="6"/>
              <w:spacing w:before="305"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68" w:type="dxa"/>
            <w:vMerge w:val="continue"/>
            <w:tcBorders>
              <w:top w:val="nil"/>
              <w:bottom w:val="nil"/>
            </w:tcBorders>
            <w:vAlign w:val="top"/>
          </w:tcPr>
          <w:p>
            <w:pPr>
              <w:rPr>
                <w:rFonts w:ascii="Arial"/>
                <w:sz w:val="21"/>
              </w:rPr>
            </w:pPr>
          </w:p>
        </w:tc>
        <w:tc>
          <w:tcPr>
            <w:tcW w:w="880" w:type="dxa"/>
            <w:vAlign w:val="top"/>
          </w:tcPr>
          <w:p>
            <w:pPr>
              <w:spacing w:line="321" w:lineRule="auto"/>
              <w:rPr>
                <w:rFonts w:ascii="Arial"/>
                <w:sz w:val="21"/>
              </w:rPr>
            </w:pPr>
          </w:p>
          <w:p>
            <w:pPr>
              <w:spacing w:line="321" w:lineRule="auto"/>
              <w:rPr>
                <w:rFonts w:ascii="Arial"/>
                <w:sz w:val="21"/>
              </w:rPr>
            </w:pPr>
          </w:p>
          <w:p>
            <w:pPr>
              <w:pStyle w:val="6"/>
              <w:spacing w:before="68" w:line="222" w:lineRule="auto"/>
              <w:ind w:left="131"/>
              <w:rPr>
                <w:sz w:val="21"/>
                <w:szCs w:val="21"/>
              </w:rPr>
            </w:pPr>
            <w:r>
              <w:rPr>
                <w:spacing w:val="-2"/>
                <w:sz w:val="21"/>
                <w:szCs w:val="21"/>
              </w:rPr>
              <w:t>二十六</w:t>
            </w:r>
          </w:p>
        </w:tc>
        <w:tc>
          <w:tcPr>
            <w:tcW w:w="4944" w:type="dxa"/>
            <w:gridSpan w:val="3"/>
            <w:vAlign w:val="top"/>
          </w:tcPr>
          <w:p>
            <w:pPr>
              <w:pStyle w:val="6"/>
              <w:spacing w:before="33" w:line="233" w:lineRule="auto"/>
              <w:ind w:left="111" w:right="101"/>
              <w:jc w:val="both"/>
              <w:rPr>
                <w:sz w:val="21"/>
                <w:szCs w:val="21"/>
              </w:rPr>
            </w:pPr>
            <w:r>
              <w:rPr>
                <w:spacing w:val="-5"/>
                <w:sz w:val="21"/>
                <w:szCs w:val="21"/>
              </w:rPr>
              <w:t>禁止在长江干支流岸线一公里范围内新建、扩建化工</w:t>
            </w:r>
            <w:r>
              <w:rPr>
                <w:spacing w:val="9"/>
                <w:sz w:val="21"/>
                <w:szCs w:val="21"/>
              </w:rPr>
              <w:t xml:space="preserve"> </w:t>
            </w:r>
            <w:r>
              <w:rPr>
                <w:spacing w:val="-5"/>
                <w:sz w:val="21"/>
                <w:szCs w:val="21"/>
              </w:rPr>
              <w:t>园区和化工项目。禁止在长江干流岸线三公里范围内</w:t>
            </w:r>
            <w:r>
              <w:rPr>
                <w:spacing w:val="8"/>
                <w:sz w:val="21"/>
                <w:szCs w:val="21"/>
              </w:rPr>
              <w:t xml:space="preserve"> </w:t>
            </w:r>
            <w:r>
              <w:rPr>
                <w:spacing w:val="-5"/>
                <w:sz w:val="21"/>
                <w:szCs w:val="21"/>
              </w:rPr>
              <w:t>和重要支流岸线一公里范围内新建、改建、扩建尾矿</w:t>
            </w:r>
          </w:p>
          <w:p>
            <w:pPr>
              <w:pStyle w:val="6"/>
              <w:spacing w:before="22" w:line="221" w:lineRule="auto"/>
              <w:ind w:left="2268"/>
              <w:rPr>
                <w:sz w:val="21"/>
                <w:szCs w:val="21"/>
              </w:rPr>
            </w:pPr>
            <w:r>
              <w:rPr>
                <w:spacing w:val="-15"/>
                <w:sz w:val="21"/>
                <w:szCs w:val="21"/>
              </w:rPr>
              <w:t>库；</w:t>
            </w:r>
          </w:p>
          <w:p>
            <w:pPr>
              <w:pStyle w:val="6"/>
              <w:spacing w:before="20" w:line="222" w:lineRule="auto"/>
              <w:ind w:left="2271" w:right="101" w:hanging="2161"/>
              <w:rPr>
                <w:sz w:val="21"/>
                <w:szCs w:val="21"/>
              </w:rPr>
            </w:pPr>
            <w:r>
              <w:rPr>
                <w:spacing w:val="-5"/>
                <w:sz w:val="21"/>
                <w:szCs w:val="21"/>
              </w:rPr>
              <w:t>但是以提升安全、生态环境保护水平为目的的改建除</w:t>
            </w:r>
            <w:r>
              <w:rPr>
                <w:spacing w:val="11"/>
                <w:sz w:val="21"/>
                <w:szCs w:val="21"/>
              </w:rPr>
              <w:t xml:space="preserve"> </w:t>
            </w:r>
            <w:r>
              <w:rPr>
                <w:spacing w:val="-6"/>
                <w:sz w:val="21"/>
                <w:szCs w:val="21"/>
              </w:rPr>
              <w:t>外。</w:t>
            </w:r>
          </w:p>
        </w:tc>
        <w:tc>
          <w:tcPr>
            <w:tcW w:w="2068" w:type="dxa"/>
            <w:vAlign w:val="top"/>
          </w:tcPr>
          <w:p>
            <w:pPr>
              <w:spacing w:line="252" w:lineRule="auto"/>
              <w:rPr>
                <w:rFonts w:ascii="Arial"/>
                <w:sz w:val="21"/>
              </w:rPr>
            </w:pPr>
          </w:p>
          <w:p>
            <w:pPr>
              <w:spacing w:line="253" w:lineRule="auto"/>
              <w:rPr>
                <w:rFonts w:ascii="Arial"/>
                <w:sz w:val="21"/>
              </w:rPr>
            </w:pPr>
          </w:p>
          <w:p>
            <w:pPr>
              <w:pStyle w:val="6"/>
              <w:spacing w:before="68" w:line="231" w:lineRule="auto"/>
              <w:ind w:left="118" w:right="95" w:firstLine="83"/>
              <w:rPr>
                <w:sz w:val="21"/>
                <w:szCs w:val="21"/>
              </w:rPr>
            </w:pPr>
            <w:r>
              <w:rPr>
                <w:spacing w:val="-1"/>
                <w:sz w:val="21"/>
                <w:szCs w:val="21"/>
              </w:rPr>
              <w:t>本项目不属于化工</w:t>
            </w:r>
            <w:r>
              <w:rPr>
                <w:sz w:val="21"/>
                <w:szCs w:val="21"/>
              </w:rPr>
              <w:t xml:space="preserve">  </w:t>
            </w:r>
            <w:r>
              <w:rPr>
                <w:spacing w:val="-5"/>
                <w:sz w:val="21"/>
                <w:szCs w:val="21"/>
              </w:rPr>
              <w:t>项目和尾矿库项目。</w:t>
            </w:r>
          </w:p>
        </w:tc>
        <w:tc>
          <w:tcPr>
            <w:tcW w:w="710" w:type="dxa"/>
            <w:tcBorders>
              <w:right w:val="single" w:color="000000" w:sz="8" w:space="0"/>
            </w:tcBorders>
            <w:vAlign w:val="top"/>
          </w:tcPr>
          <w:p>
            <w:pPr>
              <w:spacing w:line="320" w:lineRule="auto"/>
              <w:rPr>
                <w:rFonts w:ascii="Arial"/>
                <w:sz w:val="21"/>
              </w:rPr>
            </w:pPr>
          </w:p>
          <w:p>
            <w:pPr>
              <w:spacing w:line="321" w:lineRule="auto"/>
              <w:rPr>
                <w:rFonts w:ascii="Arial"/>
                <w:sz w:val="21"/>
              </w:rPr>
            </w:pPr>
          </w:p>
          <w:p>
            <w:pPr>
              <w:pStyle w:val="6"/>
              <w:spacing w:before="68"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307" w:line="222" w:lineRule="auto"/>
              <w:ind w:left="131"/>
              <w:rPr>
                <w:sz w:val="21"/>
                <w:szCs w:val="21"/>
              </w:rPr>
            </w:pPr>
            <w:r>
              <w:rPr>
                <w:spacing w:val="-2"/>
                <w:sz w:val="21"/>
                <w:szCs w:val="21"/>
              </w:rPr>
              <w:t>二十七</w:t>
            </w:r>
          </w:p>
        </w:tc>
        <w:tc>
          <w:tcPr>
            <w:tcW w:w="4944" w:type="dxa"/>
            <w:gridSpan w:val="3"/>
            <w:vAlign w:val="top"/>
          </w:tcPr>
          <w:p>
            <w:pPr>
              <w:pStyle w:val="6"/>
              <w:spacing w:before="33" w:line="221" w:lineRule="auto"/>
              <w:ind w:left="112"/>
              <w:rPr>
                <w:sz w:val="21"/>
                <w:szCs w:val="21"/>
              </w:rPr>
            </w:pPr>
            <w:r>
              <w:rPr>
                <w:spacing w:val="-5"/>
                <w:sz w:val="21"/>
                <w:szCs w:val="21"/>
              </w:rPr>
              <w:t>严格限制在长江流域生态保护红线、自然保护地、水</w:t>
            </w:r>
          </w:p>
          <w:p>
            <w:pPr>
              <w:pStyle w:val="6"/>
              <w:spacing w:before="23" w:line="222" w:lineRule="auto"/>
              <w:ind w:left="392" w:right="101" w:hanging="279"/>
              <w:rPr>
                <w:sz w:val="21"/>
                <w:szCs w:val="21"/>
              </w:rPr>
            </w:pPr>
            <w:r>
              <w:rPr>
                <w:spacing w:val="-5"/>
                <w:sz w:val="21"/>
                <w:szCs w:val="21"/>
              </w:rPr>
              <w:t>生生物重要栖息地水域实施航道整治工程；确需整治</w:t>
            </w:r>
            <w:r>
              <w:rPr>
                <w:spacing w:val="7"/>
                <w:sz w:val="21"/>
                <w:szCs w:val="21"/>
              </w:rPr>
              <w:t xml:space="preserve"> </w:t>
            </w:r>
            <w:r>
              <w:rPr>
                <w:spacing w:val="-2"/>
                <w:sz w:val="21"/>
                <w:szCs w:val="21"/>
              </w:rPr>
              <w:t>的，应当经科学论证，并依法办理相关手续。</w:t>
            </w:r>
          </w:p>
        </w:tc>
        <w:tc>
          <w:tcPr>
            <w:tcW w:w="2068" w:type="dxa"/>
            <w:vAlign w:val="top"/>
          </w:tcPr>
          <w:p>
            <w:pPr>
              <w:pStyle w:val="6"/>
              <w:spacing w:before="170" w:line="230" w:lineRule="auto"/>
              <w:ind w:left="516" w:right="186" w:hanging="314"/>
              <w:rPr>
                <w:sz w:val="21"/>
                <w:szCs w:val="21"/>
              </w:rPr>
            </w:pPr>
            <w:r>
              <w:rPr>
                <w:spacing w:val="-1"/>
                <w:sz w:val="21"/>
                <w:szCs w:val="21"/>
              </w:rPr>
              <w:t>本项目不属于航道</w:t>
            </w:r>
            <w:r>
              <w:rPr>
                <w:sz w:val="21"/>
                <w:szCs w:val="21"/>
              </w:rPr>
              <w:t xml:space="preserve"> </w:t>
            </w:r>
            <w:r>
              <w:rPr>
                <w:spacing w:val="-5"/>
                <w:sz w:val="21"/>
                <w:szCs w:val="21"/>
              </w:rPr>
              <w:t>整治工程。</w:t>
            </w:r>
          </w:p>
        </w:tc>
        <w:tc>
          <w:tcPr>
            <w:tcW w:w="710" w:type="dxa"/>
            <w:tcBorders>
              <w:right w:val="single" w:color="000000" w:sz="8" w:space="0"/>
            </w:tcBorders>
            <w:vAlign w:val="top"/>
          </w:tcPr>
          <w:p>
            <w:pPr>
              <w:pStyle w:val="6"/>
              <w:spacing w:before="306"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67" w:line="233" w:lineRule="auto"/>
              <w:ind w:left="134"/>
              <w:rPr>
                <w:sz w:val="21"/>
                <w:szCs w:val="21"/>
              </w:rPr>
            </w:pPr>
            <w:r>
              <w:rPr>
                <w:spacing w:val="-6"/>
                <w:sz w:val="21"/>
                <w:szCs w:val="21"/>
              </w:rPr>
              <w:t>（三）</w:t>
            </w:r>
          </w:p>
        </w:tc>
        <w:tc>
          <w:tcPr>
            <w:tcW w:w="7722" w:type="dxa"/>
            <w:gridSpan w:val="5"/>
            <w:tcBorders>
              <w:right w:val="single" w:color="000000" w:sz="8" w:space="0"/>
            </w:tcBorders>
            <w:vAlign w:val="top"/>
          </w:tcPr>
          <w:p>
            <w:pPr>
              <w:pStyle w:val="6"/>
              <w:spacing w:before="68" w:line="221" w:lineRule="auto"/>
              <w:ind w:left="3455"/>
              <w:rPr>
                <w:sz w:val="21"/>
                <w:szCs w:val="21"/>
              </w:rPr>
            </w:pPr>
            <w:r>
              <w:rPr>
                <w:spacing w:val="-4"/>
                <w:sz w:val="21"/>
                <w:szCs w:val="21"/>
              </w:rPr>
              <w:t>资源保护</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168" w:line="222" w:lineRule="auto"/>
              <w:ind w:left="128"/>
              <w:rPr>
                <w:sz w:val="21"/>
                <w:szCs w:val="21"/>
              </w:rPr>
            </w:pPr>
            <w:r>
              <w:rPr>
                <w:spacing w:val="-2"/>
                <w:sz w:val="21"/>
                <w:szCs w:val="21"/>
              </w:rPr>
              <w:t>三十四</w:t>
            </w:r>
          </w:p>
        </w:tc>
        <w:tc>
          <w:tcPr>
            <w:tcW w:w="4944" w:type="dxa"/>
            <w:gridSpan w:val="3"/>
            <w:vAlign w:val="top"/>
          </w:tcPr>
          <w:p>
            <w:pPr>
              <w:pStyle w:val="6"/>
              <w:spacing w:before="33" w:line="220" w:lineRule="auto"/>
              <w:jc w:val="right"/>
              <w:rPr>
                <w:sz w:val="21"/>
                <w:szCs w:val="21"/>
              </w:rPr>
            </w:pPr>
            <w:r>
              <w:rPr>
                <w:spacing w:val="-3"/>
                <w:sz w:val="21"/>
                <w:szCs w:val="21"/>
              </w:rPr>
              <w:t>长江流域省级人民政府组织划定饮用水水源保护区，</w:t>
            </w:r>
          </w:p>
          <w:p>
            <w:pPr>
              <w:pStyle w:val="6"/>
              <w:spacing w:before="20" w:line="206" w:lineRule="auto"/>
              <w:ind w:left="584"/>
              <w:rPr>
                <w:sz w:val="21"/>
                <w:szCs w:val="21"/>
              </w:rPr>
            </w:pPr>
            <w:r>
              <w:rPr>
                <w:spacing w:val="-2"/>
                <w:sz w:val="21"/>
                <w:szCs w:val="21"/>
              </w:rPr>
              <w:t>加强饮用水水源保护，保障饮用水安全。</w:t>
            </w:r>
          </w:p>
        </w:tc>
        <w:tc>
          <w:tcPr>
            <w:tcW w:w="2068" w:type="dxa"/>
            <w:vAlign w:val="top"/>
          </w:tcPr>
          <w:p>
            <w:pPr>
              <w:pStyle w:val="6"/>
              <w:spacing w:before="33" w:line="222" w:lineRule="auto"/>
              <w:ind w:left="201" w:right="186"/>
              <w:rPr>
                <w:sz w:val="21"/>
                <w:szCs w:val="21"/>
              </w:rPr>
            </w:pPr>
            <w:r>
              <w:rPr>
                <w:spacing w:val="-1"/>
                <w:sz w:val="21"/>
                <w:szCs w:val="21"/>
              </w:rPr>
              <w:t>本项目周边不涉及</w:t>
            </w:r>
            <w:r>
              <w:rPr>
                <w:sz w:val="21"/>
                <w:szCs w:val="21"/>
              </w:rPr>
              <w:t xml:space="preserve"> </w:t>
            </w:r>
            <w:r>
              <w:rPr>
                <w:spacing w:val="-5"/>
                <w:sz w:val="21"/>
                <w:szCs w:val="21"/>
              </w:rPr>
              <w:t>饮用水源保护区。</w:t>
            </w:r>
          </w:p>
        </w:tc>
        <w:tc>
          <w:tcPr>
            <w:tcW w:w="710" w:type="dxa"/>
            <w:tcBorders>
              <w:right w:val="single" w:color="000000" w:sz="8" w:space="0"/>
            </w:tcBorders>
            <w:vAlign w:val="top"/>
          </w:tcPr>
          <w:p>
            <w:pPr>
              <w:pStyle w:val="6"/>
              <w:spacing w:before="167"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68" w:type="dxa"/>
            <w:vMerge w:val="continue"/>
            <w:tcBorders>
              <w:top w:val="nil"/>
              <w:bottom w:val="nil"/>
            </w:tcBorders>
            <w:vAlign w:val="top"/>
          </w:tcPr>
          <w:p>
            <w:pPr>
              <w:rPr>
                <w:rFonts w:ascii="Arial"/>
                <w:sz w:val="21"/>
              </w:rPr>
            </w:pPr>
          </w:p>
        </w:tc>
        <w:tc>
          <w:tcPr>
            <w:tcW w:w="880" w:type="dxa"/>
            <w:vAlign w:val="top"/>
          </w:tcPr>
          <w:p>
            <w:pPr>
              <w:pStyle w:val="6"/>
              <w:spacing w:before="305" w:line="221" w:lineRule="auto"/>
              <w:ind w:left="128"/>
              <w:rPr>
                <w:sz w:val="21"/>
                <w:szCs w:val="21"/>
              </w:rPr>
            </w:pPr>
            <w:r>
              <w:rPr>
                <w:spacing w:val="-2"/>
                <w:sz w:val="21"/>
                <w:szCs w:val="21"/>
              </w:rPr>
              <w:t>三十八</w:t>
            </w:r>
          </w:p>
        </w:tc>
        <w:tc>
          <w:tcPr>
            <w:tcW w:w="4944" w:type="dxa"/>
            <w:gridSpan w:val="3"/>
            <w:vAlign w:val="top"/>
          </w:tcPr>
          <w:p>
            <w:pPr>
              <w:pStyle w:val="6"/>
              <w:spacing w:before="33" w:line="221" w:lineRule="auto"/>
              <w:ind w:left="113"/>
              <w:rPr>
                <w:sz w:val="21"/>
                <w:szCs w:val="21"/>
              </w:rPr>
            </w:pPr>
            <w:r>
              <w:rPr>
                <w:spacing w:val="-5"/>
                <w:sz w:val="21"/>
                <w:szCs w:val="21"/>
              </w:rPr>
              <w:t>完善规划和建设项目水资源论证制度；加强对高耗水</w:t>
            </w:r>
          </w:p>
          <w:p>
            <w:pPr>
              <w:pStyle w:val="6"/>
              <w:spacing w:before="19" w:line="222" w:lineRule="auto"/>
              <w:ind w:left="1849" w:right="110" w:hanging="1734"/>
              <w:rPr>
                <w:sz w:val="21"/>
                <w:szCs w:val="21"/>
              </w:rPr>
            </w:pPr>
            <w:r>
              <w:rPr>
                <w:spacing w:val="-5"/>
                <w:sz w:val="21"/>
                <w:szCs w:val="21"/>
              </w:rPr>
              <w:t>行业、重点用水单位的用水定额管理，严格</w:t>
            </w:r>
            <w:r>
              <w:rPr>
                <w:spacing w:val="-6"/>
                <w:sz w:val="21"/>
                <w:szCs w:val="21"/>
              </w:rPr>
              <w:t>控制高耗</w:t>
            </w:r>
            <w:r>
              <w:rPr>
                <w:sz w:val="21"/>
                <w:szCs w:val="21"/>
              </w:rPr>
              <w:t xml:space="preserve"> </w:t>
            </w:r>
            <w:r>
              <w:rPr>
                <w:spacing w:val="-2"/>
                <w:sz w:val="21"/>
                <w:szCs w:val="21"/>
              </w:rPr>
              <w:t>水项目建设。</w:t>
            </w:r>
          </w:p>
        </w:tc>
        <w:tc>
          <w:tcPr>
            <w:tcW w:w="2068" w:type="dxa"/>
            <w:vAlign w:val="top"/>
          </w:tcPr>
          <w:p>
            <w:pPr>
              <w:pStyle w:val="6"/>
              <w:spacing w:before="172" w:line="229" w:lineRule="auto"/>
              <w:ind w:left="623" w:right="186" w:hanging="421"/>
              <w:rPr>
                <w:sz w:val="21"/>
                <w:szCs w:val="21"/>
              </w:rPr>
            </w:pPr>
            <w:r>
              <w:rPr>
                <w:spacing w:val="-1"/>
                <w:sz w:val="21"/>
                <w:szCs w:val="21"/>
              </w:rPr>
              <w:t>本项目不属于高耗</w:t>
            </w:r>
            <w:r>
              <w:rPr>
                <w:sz w:val="21"/>
                <w:szCs w:val="21"/>
              </w:rPr>
              <w:t xml:space="preserve"> </w:t>
            </w:r>
            <w:r>
              <w:rPr>
                <w:spacing w:val="-2"/>
                <w:sz w:val="21"/>
                <w:szCs w:val="21"/>
              </w:rPr>
              <w:t>水项目。</w:t>
            </w:r>
          </w:p>
        </w:tc>
        <w:tc>
          <w:tcPr>
            <w:tcW w:w="710" w:type="dxa"/>
            <w:tcBorders>
              <w:right w:val="single" w:color="000000" w:sz="8" w:space="0"/>
            </w:tcBorders>
            <w:vAlign w:val="top"/>
          </w:tcPr>
          <w:p>
            <w:pPr>
              <w:pStyle w:val="6"/>
              <w:spacing w:before="304" w:line="221" w:lineRule="auto"/>
              <w:ind w:left="154"/>
              <w:rPr>
                <w:sz w:val="21"/>
                <w:szCs w:val="21"/>
              </w:rPr>
            </w:pPr>
            <w:r>
              <w:rPr>
                <w:spacing w:val="-2"/>
                <w:sz w:val="21"/>
                <w:szCs w:val="21"/>
              </w:rPr>
              <w:t>符合</w:t>
            </w:r>
          </w:p>
        </w:tc>
        <w:tc>
          <w:tcPr>
            <w:tcW w:w="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8" w:type="dxa"/>
            <w:vMerge w:val="continue"/>
            <w:tcBorders>
              <w:top w:val="nil"/>
            </w:tcBorders>
            <w:vAlign w:val="top"/>
          </w:tcPr>
          <w:p>
            <w:pPr>
              <w:rPr>
                <w:rFonts w:ascii="Arial"/>
                <w:sz w:val="21"/>
              </w:rPr>
            </w:pPr>
          </w:p>
        </w:tc>
        <w:tc>
          <w:tcPr>
            <w:tcW w:w="880" w:type="dxa"/>
            <w:vAlign w:val="top"/>
          </w:tcPr>
          <w:p>
            <w:pPr>
              <w:pStyle w:val="6"/>
              <w:spacing w:before="70" w:line="222" w:lineRule="auto"/>
              <w:ind w:left="147"/>
              <w:rPr>
                <w:sz w:val="21"/>
                <w:szCs w:val="21"/>
              </w:rPr>
            </w:pPr>
            <w:r>
              <w:rPr>
                <w:spacing w:val="-6"/>
                <w:sz w:val="21"/>
                <w:szCs w:val="21"/>
              </w:rPr>
              <w:t>四十二</w:t>
            </w:r>
          </w:p>
        </w:tc>
        <w:tc>
          <w:tcPr>
            <w:tcW w:w="4944" w:type="dxa"/>
            <w:gridSpan w:val="3"/>
            <w:vAlign w:val="top"/>
          </w:tcPr>
          <w:p>
            <w:pPr>
              <w:pStyle w:val="6"/>
              <w:spacing w:before="70" w:line="221" w:lineRule="auto"/>
              <w:ind w:left="111"/>
              <w:rPr>
                <w:sz w:val="21"/>
                <w:szCs w:val="21"/>
              </w:rPr>
            </w:pPr>
            <w:r>
              <w:rPr>
                <w:spacing w:val="-5"/>
                <w:sz w:val="21"/>
                <w:szCs w:val="21"/>
              </w:rPr>
              <w:t>禁止在长江流域开放水域养殖、投放外来物种或者其</w:t>
            </w:r>
          </w:p>
        </w:tc>
        <w:tc>
          <w:tcPr>
            <w:tcW w:w="2068" w:type="dxa"/>
            <w:vAlign w:val="top"/>
          </w:tcPr>
          <w:p>
            <w:pPr>
              <w:pStyle w:val="6"/>
              <w:spacing w:before="70" w:line="220" w:lineRule="auto"/>
              <w:ind w:left="202"/>
              <w:rPr>
                <w:sz w:val="21"/>
                <w:szCs w:val="21"/>
              </w:rPr>
            </w:pPr>
            <w:r>
              <w:rPr>
                <w:spacing w:val="-1"/>
                <w:sz w:val="21"/>
                <w:szCs w:val="21"/>
              </w:rPr>
              <w:t>本项目不属于养殖</w:t>
            </w:r>
          </w:p>
        </w:tc>
        <w:tc>
          <w:tcPr>
            <w:tcW w:w="710" w:type="dxa"/>
            <w:tcBorders>
              <w:right w:val="single" w:color="000000" w:sz="8" w:space="0"/>
            </w:tcBorders>
            <w:vAlign w:val="top"/>
          </w:tcPr>
          <w:p>
            <w:pPr>
              <w:pStyle w:val="6"/>
              <w:spacing w:before="70" w:line="221" w:lineRule="auto"/>
              <w:ind w:left="154"/>
              <w:rPr>
                <w:sz w:val="21"/>
                <w:szCs w:val="21"/>
              </w:rPr>
            </w:pPr>
            <w:r>
              <w:rPr>
                <w:spacing w:val="-2"/>
                <w:sz w:val="21"/>
                <w:szCs w:val="21"/>
              </w:rPr>
              <w:t>符合</w:t>
            </w:r>
          </w:p>
        </w:tc>
        <w:tc>
          <w:tcPr>
            <w:tcW w:w="27" w:type="dxa"/>
            <w:vAlign w:val="top"/>
          </w:tcPr>
          <w:p>
            <w:pPr>
              <w:rPr>
                <w:rFonts w:ascii="Arial"/>
                <w:sz w:val="21"/>
              </w:rPr>
            </w:pPr>
          </w:p>
        </w:tc>
      </w:tr>
    </w:tbl>
    <w:p>
      <w:pPr>
        <w:pStyle w:val="2"/>
        <w:rPr>
          <w:sz w:val="21"/>
        </w:rPr>
      </w:pPr>
    </w:p>
    <w:p>
      <w:pPr>
        <w:rPr>
          <w:sz w:val="21"/>
          <w:szCs w:val="21"/>
        </w:rPr>
        <w:sectPr>
          <w:footerReference r:id="rId29" w:type="default"/>
          <w:pgSz w:w="11907" w:h="16839"/>
          <w:pgMar w:top="400" w:right="1406" w:bottom="1180"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898"/>
        <w:gridCol w:w="4934"/>
        <w:gridCol w:w="2064"/>
        <w:gridCol w:w="708"/>
        <w:gridCol w:w="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7" w:type="dxa"/>
            <w:vMerge w:val="restart"/>
            <w:tcBorders>
              <w:bottom w:val="nil"/>
            </w:tcBorders>
            <w:vAlign w:val="top"/>
          </w:tcPr>
          <w:p>
            <w:pPr>
              <w:rPr>
                <w:rFonts w:ascii="Arial"/>
                <w:sz w:val="21"/>
              </w:rPr>
            </w:pPr>
          </w:p>
        </w:tc>
        <w:tc>
          <w:tcPr>
            <w:tcW w:w="898" w:type="dxa"/>
            <w:vAlign w:val="top"/>
          </w:tcPr>
          <w:p>
            <w:pPr>
              <w:rPr>
                <w:rFonts w:ascii="Arial"/>
                <w:sz w:val="21"/>
              </w:rPr>
            </w:pPr>
          </w:p>
        </w:tc>
        <w:tc>
          <w:tcPr>
            <w:tcW w:w="4934" w:type="dxa"/>
            <w:vAlign w:val="top"/>
          </w:tcPr>
          <w:p>
            <w:pPr>
              <w:pStyle w:val="6"/>
              <w:spacing w:before="60" w:line="220" w:lineRule="auto"/>
              <w:ind w:left="1305"/>
              <w:rPr>
                <w:sz w:val="21"/>
                <w:szCs w:val="21"/>
              </w:rPr>
            </w:pPr>
            <w:r>
              <w:rPr>
                <w:spacing w:val="-2"/>
                <w:sz w:val="21"/>
                <w:szCs w:val="21"/>
              </w:rPr>
              <w:t>他非本地物种种质资源。</w:t>
            </w:r>
          </w:p>
        </w:tc>
        <w:tc>
          <w:tcPr>
            <w:tcW w:w="2064" w:type="dxa"/>
            <w:vAlign w:val="top"/>
          </w:tcPr>
          <w:p>
            <w:pPr>
              <w:pStyle w:val="6"/>
              <w:spacing w:before="60" w:line="221" w:lineRule="auto"/>
              <w:ind w:left="614"/>
              <w:rPr>
                <w:sz w:val="21"/>
                <w:szCs w:val="21"/>
              </w:rPr>
            </w:pPr>
            <w:r>
              <w:rPr>
                <w:spacing w:val="-2"/>
                <w:sz w:val="21"/>
                <w:szCs w:val="21"/>
              </w:rPr>
              <w:t>类项目。</w:t>
            </w:r>
          </w:p>
        </w:tc>
        <w:tc>
          <w:tcPr>
            <w:tcW w:w="734" w:type="dxa"/>
            <w:gridSpan w:val="2"/>
            <w:vAlign w:val="top"/>
          </w:tcPr>
          <w:p>
            <w:pPr>
              <w:rPr>
                <w:rFonts w:ascii="Arial"/>
                <w:sz w:val="21"/>
              </w:rPr>
            </w:pPr>
            <w:r>
              <w:pict>
                <v:rect id="_x0000_s1032" o:spid="_x0000_s1032" o:spt="1" style="position:absolute;left:0pt;margin-left:35.35pt;margin-top:1.75pt;height:16.95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7" w:type="dxa"/>
            <w:vMerge w:val="continue"/>
            <w:tcBorders>
              <w:top w:val="nil"/>
              <w:bottom w:val="nil"/>
            </w:tcBorders>
            <w:vAlign w:val="top"/>
          </w:tcPr>
          <w:p>
            <w:pPr>
              <w:rPr>
                <w:rFonts w:ascii="Arial"/>
                <w:sz w:val="21"/>
              </w:rPr>
            </w:pPr>
          </w:p>
        </w:tc>
        <w:tc>
          <w:tcPr>
            <w:tcW w:w="898" w:type="dxa"/>
            <w:vAlign w:val="top"/>
          </w:tcPr>
          <w:p>
            <w:pPr>
              <w:pStyle w:val="6"/>
              <w:spacing w:before="66" w:line="223" w:lineRule="auto"/>
              <w:ind w:left="135"/>
              <w:rPr>
                <w:sz w:val="21"/>
                <w:szCs w:val="21"/>
              </w:rPr>
            </w:pPr>
            <w:r>
              <w:rPr>
                <w:spacing w:val="-6"/>
                <w:sz w:val="21"/>
                <w:szCs w:val="21"/>
              </w:rPr>
              <w:t>（四）</w:t>
            </w:r>
          </w:p>
        </w:tc>
        <w:tc>
          <w:tcPr>
            <w:tcW w:w="7706" w:type="dxa"/>
            <w:gridSpan w:val="3"/>
            <w:tcBorders>
              <w:right w:val="single" w:color="000000" w:sz="8" w:space="0"/>
            </w:tcBorders>
            <w:vAlign w:val="top"/>
          </w:tcPr>
          <w:p>
            <w:pPr>
              <w:pStyle w:val="6"/>
              <w:spacing w:before="65" w:line="221" w:lineRule="auto"/>
              <w:ind w:left="3326"/>
              <w:rPr>
                <w:sz w:val="21"/>
                <w:szCs w:val="21"/>
              </w:rPr>
            </w:pPr>
            <w:r>
              <w:rPr>
                <w:spacing w:val="-2"/>
                <w:sz w:val="21"/>
                <w:szCs w:val="21"/>
              </w:rPr>
              <w:t>水污染防治</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7" w:type="dxa"/>
            <w:vMerge w:val="continue"/>
            <w:tcBorders>
              <w:top w:val="nil"/>
              <w:bottom w:val="nil"/>
            </w:tcBorders>
            <w:vAlign w:val="top"/>
          </w:tcPr>
          <w:p>
            <w:pPr>
              <w:rPr>
                <w:rFonts w:ascii="Arial"/>
                <w:sz w:val="21"/>
              </w:rPr>
            </w:pPr>
          </w:p>
        </w:tc>
        <w:tc>
          <w:tcPr>
            <w:tcW w:w="898" w:type="dxa"/>
            <w:vAlign w:val="top"/>
          </w:tcPr>
          <w:p>
            <w:pPr>
              <w:pStyle w:val="6"/>
              <w:spacing w:before="304" w:line="222" w:lineRule="auto"/>
              <w:ind w:left="148"/>
              <w:rPr>
                <w:sz w:val="21"/>
                <w:szCs w:val="21"/>
              </w:rPr>
            </w:pPr>
            <w:r>
              <w:rPr>
                <w:spacing w:val="-6"/>
                <w:sz w:val="21"/>
                <w:szCs w:val="21"/>
              </w:rPr>
              <w:t>四十九</w:t>
            </w:r>
          </w:p>
        </w:tc>
        <w:tc>
          <w:tcPr>
            <w:tcW w:w="4934" w:type="dxa"/>
            <w:vAlign w:val="top"/>
          </w:tcPr>
          <w:p>
            <w:pPr>
              <w:pStyle w:val="6"/>
              <w:spacing w:before="31" w:line="229" w:lineRule="auto"/>
              <w:ind w:left="94" w:right="39"/>
              <w:jc w:val="both"/>
              <w:rPr>
                <w:sz w:val="21"/>
                <w:szCs w:val="21"/>
              </w:rPr>
            </w:pPr>
            <w:r>
              <w:rPr>
                <w:spacing w:val="-2"/>
                <w:sz w:val="21"/>
                <w:szCs w:val="21"/>
              </w:rPr>
              <w:t>禁止在长江流域河湖管理范围内倾倒、填埋、堆放、</w:t>
            </w:r>
            <w:r>
              <w:rPr>
                <w:spacing w:val="9"/>
                <w:sz w:val="21"/>
                <w:szCs w:val="21"/>
              </w:rPr>
              <w:t xml:space="preserve"> </w:t>
            </w:r>
            <w:r>
              <w:rPr>
                <w:spacing w:val="-5"/>
                <w:sz w:val="21"/>
                <w:szCs w:val="21"/>
              </w:rPr>
              <w:t xml:space="preserve">弃置、处理固体废物。长江流域县级以上地方人民政 </w:t>
            </w:r>
            <w:r>
              <w:rPr>
                <w:spacing w:val="-2"/>
                <w:sz w:val="21"/>
                <w:szCs w:val="21"/>
              </w:rPr>
              <w:t>府应当加强对固体废物非法转移和倾倒的联防联控。</w:t>
            </w:r>
          </w:p>
        </w:tc>
        <w:tc>
          <w:tcPr>
            <w:tcW w:w="2064" w:type="dxa"/>
            <w:vAlign w:val="top"/>
          </w:tcPr>
          <w:p>
            <w:pPr>
              <w:pStyle w:val="6"/>
              <w:spacing w:before="31" w:line="229" w:lineRule="auto"/>
              <w:ind w:left="106" w:right="98" w:firstLine="88"/>
              <w:jc w:val="both"/>
              <w:rPr>
                <w:sz w:val="21"/>
                <w:szCs w:val="21"/>
              </w:rPr>
            </w:pPr>
            <w:r>
              <w:rPr>
                <w:spacing w:val="-1"/>
                <w:sz w:val="21"/>
                <w:szCs w:val="21"/>
              </w:rPr>
              <w:t>本项目产生的固体</w:t>
            </w:r>
            <w:r>
              <w:rPr>
                <w:sz w:val="21"/>
                <w:szCs w:val="21"/>
              </w:rPr>
              <w:t xml:space="preserve">  </w:t>
            </w:r>
            <w:r>
              <w:rPr>
                <w:spacing w:val="10"/>
                <w:sz w:val="21"/>
                <w:szCs w:val="21"/>
              </w:rPr>
              <w:t>废物均得到有效处</w:t>
            </w:r>
            <w:r>
              <w:rPr>
                <w:sz w:val="21"/>
                <w:szCs w:val="21"/>
              </w:rPr>
              <w:t xml:space="preserve">  </w:t>
            </w:r>
            <w:r>
              <w:rPr>
                <w:spacing w:val="-5"/>
                <w:sz w:val="21"/>
                <w:szCs w:val="21"/>
              </w:rPr>
              <w:t>置，满足环保要求。</w:t>
            </w:r>
          </w:p>
        </w:tc>
        <w:tc>
          <w:tcPr>
            <w:tcW w:w="734" w:type="dxa"/>
            <w:gridSpan w:val="2"/>
            <w:vAlign w:val="top"/>
          </w:tcPr>
          <w:p>
            <w:pPr>
              <w:rPr>
                <w:rFonts w:ascii="Arial"/>
                <w:sz w:val="21"/>
              </w:rPr>
            </w:pPr>
            <w:r>
              <w:pict>
                <v:rect id="_x0000_s1033" o:spid="_x0000_s1033" o:spt="1" style="position:absolute;left:0pt;margin-left:35.35pt;margin-top:0.25pt;height:40.95pt;width:0.5pt;mso-position-horizontal-relative:page;mso-position-vertical-relative:page;z-index:251685888;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7" w:type="dxa"/>
            <w:vMerge w:val="continue"/>
            <w:tcBorders>
              <w:top w:val="nil"/>
              <w:bottom w:val="nil"/>
            </w:tcBorders>
            <w:vAlign w:val="top"/>
          </w:tcPr>
          <w:p>
            <w:pPr>
              <w:rPr>
                <w:rFonts w:ascii="Arial"/>
                <w:sz w:val="21"/>
              </w:rPr>
            </w:pPr>
          </w:p>
        </w:tc>
        <w:tc>
          <w:tcPr>
            <w:tcW w:w="898" w:type="dxa"/>
            <w:vAlign w:val="top"/>
          </w:tcPr>
          <w:p>
            <w:pPr>
              <w:spacing w:line="368" w:lineRule="auto"/>
              <w:rPr>
                <w:rFonts w:ascii="Arial"/>
                <w:sz w:val="21"/>
              </w:rPr>
            </w:pPr>
          </w:p>
          <w:p>
            <w:pPr>
              <w:pStyle w:val="6"/>
              <w:spacing w:before="68" w:line="222" w:lineRule="auto"/>
              <w:ind w:left="132"/>
              <w:rPr>
                <w:sz w:val="21"/>
                <w:szCs w:val="21"/>
              </w:rPr>
            </w:pPr>
            <w:r>
              <w:rPr>
                <w:sz w:val="21"/>
                <w:szCs w:val="21"/>
              </w:rPr>
              <w:t>五十一</w:t>
            </w:r>
          </w:p>
        </w:tc>
        <w:tc>
          <w:tcPr>
            <w:tcW w:w="4934" w:type="dxa"/>
            <w:vAlign w:val="top"/>
          </w:tcPr>
          <w:p>
            <w:pPr>
              <w:pStyle w:val="6"/>
              <w:spacing w:before="28" w:line="232" w:lineRule="auto"/>
              <w:ind w:left="94" w:right="38" w:firstLine="53"/>
              <w:jc w:val="both"/>
              <w:rPr>
                <w:sz w:val="21"/>
                <w:szCs w:val="21"/>
              </w:rPr>
            </w:pPr>
            <w:r>
              <w:rPr>
                <w:spacing w:val="-1"/>
                <w:sz w:val="21"/>
                <w:szCs w:val="21"/>
              </w:rPr>
              <w:t>禁止在长江流域水上运输剧毒化学品和国家规定禁</w:t>
            </w:r>
            <w:r>
              <w:rPr>
                <w:spacing w:val="9"/>
                <w:sz w:val="21"/>
                <w:szCs w:val="21"/>
              </w:rPr>
              <w:t xml:space="preserve">  </w:t>
            </w:r>
            <w:r>
              <w:rPr>
                <w:spacing w:val="-5"/>
                <w:sz w:val="21"/>
                <w:szCs w:val="21"/>
              </w:rPr>
              <w:t xml:space="preserve">止通过内河运输的其他危险化学品。长江流域县级以 </w:t>
            </w:r>
            <w:r>
              <w:rPr>
                <w:spacing w:val="2"/>
                <w:sz w:val="21"/>
                <w:szCs w:val="21"/>
              </w:rPr>
              <w:t>上地方人民政府交通运输主管部门会同本级人民政</w:t>
            </w:r>
            <w:r>
              <w:rPr>
                <w:spacing w:val="3"/>
                <w:sz w:val="21"/>
                <w:szCs w:val="21"/>
              </w:rPr>
              <w:t xml:space="preserve">  </w:t>
            </w:r>
            <w:r>
              <w:rPr>
                <w:spacing w:val="-2"/>
                <w:sz w:val="21"/>
                <w:szCs w:val="21"/>
              </w:rPr>
              <w:t>府有关部门加强对长江流域危险化学品运输的管控。</w:t>
            </w:r>
          </w:p>
        </w:tc>
        <w:tc>
          <w:tcPr>
            <w:tcW w:w="2064" w:type="dxa"/>
            <w:vAlign w:val="top"/>
          </w:tcPr>
          <w:p>
            <w:pPr>
              <w:pStyle w:val="6"/>
              <w:spacing w:before="29" w:line="231" w:lineRule="auto"/>
              <w:ind w:left="109" w:right="115" w:firstLine="86"/>
              <w:rPr>
                <w:sz w:val="21"/>
                <w:szCs w:val="21"/>
              </w:rPr>
            </w:pPr>
            <w:r>
              <w:rPr>
                <w:spacing w:val="-2"/>
                <w:sz w:val="21"/>
                <w:szCs w:val="21"/>
              </w:rPr>
              <w:t xml:space="preserve">本项目不涉及剧毒 </w:t>
            </w:r>
            <w:r>
              <w:rPr>
                <w:spacing w:val="-7"/>
                <w:sz w:val="21"/>
                <w:szCs w:val="21"/>
              </w:rPr>
              <w:t>化学品使用和运输，</w:t>
            </w:r>
          </w:p>
          <w:p>
            <w:pPr>
              <w:pStyle w:val="6"/>
              <w:spacing w:before="19" w:line="224" w:lineRule="auto"/>
              <w:ind w:left="297" w:right="189" w:hanging="99"/>
              <w:rPr>
                <w:sz w:val="21"/>
                <w:szCs w:val="21"/>
              </w:rPr>
            </w:pPr>
            <w:r>
              <w:rPr>
                <w:spacing w:val="-2"/>
                <w:sz w:val="21"/>
                <w:szCs w:val="21"/>
              </w:rPr>
              <w:t>不会对长江流域水</w:t>
            </w:r>
            <w:r>
              <w:rPr>
                <w:spacing w:val="5"/>
                <w:sz w:val="21"/>
                <w:szCs w:val="21"/>
              </w:rPr>
              <w:t xml:space="preserve"> </w:t>
            </w:r>
            <w:r>
              <w:rPr>
                <w:spacing w:val="-1"/>
                <w:sz w:val="21"/>
                <w:szCs w:val="21"/>
              </w:rPr>
              <w:t>环境产生影响。</w:t>
            </w:r>
          </w:p>
        </w:tc>
        <w:tc>
          <w:tcPr>
            <w:tcW w:w="708" w:type="dxa"/>
            <w:tcBorders>
              <w:right w:val="single" w:color="000000" w:sz="8" w:space="0"/>
            </w:tcBorders>
            <w:vAlign w:val="top"/>
          </w:tcPr>
          <w:p>
            <w:pPr>
              <w:spacing w:line="367" w:lineRule="auto"/>
              <w:rPr>
                <w:rFonts w:ascii="Arial"/>
                <w:sz w:val="21"/>
              </w:rPr>
            </w:pPr>
          </w:p>
          <w:p>
            <w:pPr>
              <w:pStyle w:val="6"/>
              <w:spacing w:before="68" w:line="221" w:lineRule="auto"/>
              <w:ind w:left="151"/>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7" w:type="dxa"/>
            <w:vMerge w:val="continue"/>
            <w:tcBorders>
              <w:top w:val="nil"/>
              <w:bottom w:val="nil"/>
            </w:tcBorders>
            <w:vAlign w:val="top"/>
          </w:tcPr>
          <w:p>
            <w:pPr>
              <w:rPr>
                <w:rFonts w:ascii="Arial"/>
                <w:sz w:val="21"/>
              </w:rPr>
            </w:pPr>
          </w:p>
        </w:tc>
        <w:tc>
          <w:tcPr>
            <w:tcW w:w="898" w:type="dxa"/>
            <w:vAlign w:val="top"/>
          </w:tcPr>
          <w:p>
            <w:pPr>
              <w:pStyle w:val="6"/>
              <w:spacing w:before="64" w:line="231" w:lineRule="auto"/>
              <w:ind w:left="135"/>
              <w:rPr>
                <w:sz w:val="21"/>
                <w:szCs w:val="21"/>
              </w:rPr>
            </w:pPr>
            <w:r>
              <w:rPr>
                <w:spacing w:val="-6"/>
                <w:sz w:val="21"/>
                <w:szCs w:val="21"/>
              </w:rPr>
              <w:t>（五）</w:t>
            </w:r>
          </w:p>
        </w:tc>
        <w:tc>
          <w:tcPr>
            <w:tcW w:w="7706" w:type="dxa"/>
            <w:gridSpan w:val="3"/>
            <w:tcBorders>
              <w:right w:val="single" w:color="000000" w:sz="8" w:space="0"/>
            </w:tcBorders>
            <w:vAlign w:val="top"/>
          </w:tcPr>
          <w:p>
            <w:pPr>
              <w:pStyle w:val="6"/>
              <w:spacing w:before="63" w:line="221" w:lineRule="auto"/>
              <w:ind w:left="3222"/>
              <w:rPr>
                <w:sz w:val="21"/>
                <w:szCs w:val="21"/>
              </w:rPr>
            </w:pPr>
            <w:r>
              <w:rPr>
                <w:spacing w:val="-2"/>
                <w:sz w:val="21"/>
                <w:szCs w:val="21"/>
              </w:rPr>
              <w:t>生态环境修复</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7" w:type="dxa"/>
            <w:vMerge w:val="continue"/>
            <w:tcBorders>
              <w:top w:val="nil"/>
              <w:bottom w:val="nil"/>
            </w:tcBorders>
            <w:vAlign w:val="top"/>
          </w:tcPr>
          <w:p>
            <w:pPr>
              <w:rPr>
                <w:rFonts w:ascii="Arial"/>
                <w:sz w:val="21"/>
              </w:rPr>
            </w:pPr>
          </w:p>
        </w:tc>
        <w:tc>
          <w:tcPr>
            <w:tcW w:w="898" w:type="dxa"/>
            <w:vAlign w:val="top"/>
          </w:tcPr>
          <w:p>
            <w:pPr>
              <w:spacing w:line="368" w:lineRule="auto"/>
              <w:rPr>
                <w:rFonts w:ascii="Arial"/>
                <w:sz w:val="21"/>
              </w:rPr>
            </w:pPr>
          </w:p>
          <w:p>
            <w:pPr>
              <w:pStyle w:val="6"/>
              <w:spacing w:before="68" w:line="222" w:lineRule="auto"/>
              <w:ind w:left="130"/>
              <w:rPr>
                <w:sz w:val="21"/>
                <w:szCs w:val="21"/>
              </w:rPr>
            </w:pPr>
            <w:r>
              <w:rPr>
                <w:spacing w:val="1"/>
                <w:sz w:val="21"/>
                <w:szCs w:val="21"/>
              </w:rPr>
              <w:t>六十一</w:t>
            </w:r>
          </w:p>
        </w:tc>
        <w:tc>
          <w:tcPr>
            <w:tcW w:w="4934" w:type="dxa"/>
            <w:vAlign w:val="top"/>
          </w:tcPr>
          <w:p>
            <w:pPr>
              <w:pStyle w:val="6"/>
              <w:spacing w:before="31" w:line="220" w:lineRule="auto"/>
              <w:ind w:left="94"/>
              <w:rPr>
                <w:sz w:val="21"/>
                <w:szCs w:val="21"/>
              </w:rPr>
            </w:pPr>
            <w:r>
              <w:rPr>
                <w:spacing w:val="-5"/>
                <w:sz w:val="21"/>
                <w:szCs w:val="21"/>
              </w:rPr>
              <w:t>禁止在长江流域水土流失严重、生态脆弱的区域开展</w:t>
            </w:r>
          </w:p>
          <w:p>
            <w:pPr>
              <w:pStyle w:val="6"/>
              <w:spacing w:before="20" w:line="221" w:lineRule="auto"/>
              <w:ind w:left="96"/>
              <w:rPr>
                <w:sz w:val="21"/>
                <w:szCs w:val="21"/>
              </w:rPr>
            </w:pPr>
            <w:r>
              <w:rPr>
                <w:spacing w:val="-5"/>
                <w:sz w:val="21"/>
                <w:szCs w:val="21"/>
              </w:rPr>
              <w:t>可能造成水土流失的生产建设活动。确因国家发展战</w:t>
            </w:r>
          </w:p>
          <w:p>
            <w:pPr>
              <w:pStyle w:val="6"/>
              <w:spacing w:before="23" w:line="223" w:lineRule="auto"/>
              <w:ind w:left="1729" w:right="108" w:hanging="1625"/>
              <w:rPr>
                <w:sz w:val="21"/>
                <w:szCs w:val="21"/>
              </w:rPr>
            </w:pPr>
            <w:r>
              <w:rPr>
                <w:spacing w:val="-5"/>
                <w:sz w:val="21"/>
                <w:szCs w:val="21"/>
              </w:rPr>
              <w:t>略和国计民生需要建设的，应当经科学论证，并依法</w:t>
            </w:r>
            <w:r>
              <w:rPr>
                <w:sz w:val="21"/>
                <w:szCs w:val="21"/>
              </w:rPr>
              <w:t xml:space="preserve"> </w:t>
            </w:r>
            <w:r>
              <w:rPr>
                <w:spacing w:val="-4"/>
                <w:sz w:val="21"/>
                <w:szCs w:val="21"/>
              </w:rPr>
              <w:t>办理审批手续。</w:t>
            </w:r>
          </w:p>
        </w:tc>
        <w:tc>
          <w:tcPr>
            <w:tcW w:w="2064" w:type="dxa"/>
            <w:vAlign w:val="top"/>
          </w:tcPr>
          <w:p>
            <w:pPr>
              <w:pStyle w:val="6"/>
              <w:spacing w:before="167" w:line="220" w:lineRule="auto"/>
              <w:ind w:left="195"/>
              <w:rPr>
                <w:sz w:val="21"/>
                <w:szCs w:val="21"/>
              </w:rPr>
            </w:pPr>
            <w:r>
              <w:rPr>
                <w:spacing w:val="-1"/>
                <w:sz w:val="21"/>
                <w:szCs w:val="21"/>
              </w:rPr>
              <w:t>本项目属于天然气</w:t>
            </w:r>
          </w:p>
          <w:p>
            <w:pPr>
              <w:pStyle w:val="6"/>
              <w:spacing w:before="20" w:line="231" w:lineRule="auto"/>
              <w:ind w:left="297" w:right="103" w:hanging="190"/>
              <w:rPr>
                <w:sz w:val="21"/>
                <w:szCs w:val="21"/>
              </w:rPr>
            </w:pPr>
            <w:r>
              <w:rPr>
                <w:spacing w:val="-5"/>
                <w:sz w:val="21"/>
                <w:szCs w:val="21"/>
              </w:rPr>
              <w:t>勘探项目，正在办理</w:t>
            </w:r>
            <w:r>
              <w:rPr>
                <w:spacing w:val="1"/>
                <w:sz w:val="21"/>
                <w:szCs w:val="21"/>
              </w:rPr>
              <w:t xml:space="preserve"> </w:t>
            </w:r>
            <w:r>
              <w:rPr>
                <w:spacing w:val="-3"/>
                <w:sz w:val="21"/>
                <w:szCs w:val="21"/>
              </w:rPr>
              <w:t>相关用地手续。</w:t>
            </w:r>
          </w:p>
        </w:tc>
        <w:tc>
          <w:tcPr>
            <w:tcW w:w="708" w:type="dxa"/>
            <w:tcBorders>
              <w:right w:val="single" w:color="000000" w:sz="8" w:space="0"/>
            </w:tcBorders>
            <w:vAlign w:val="top"/>
          </w:tcPr>
          <w:p>
            <w:pPr>
              <w:spacing w:line="368" w:lineRule="auto"/>
              <w:rPr>
                <w:rFonts w:ascii="Arial"/>
                <w:sz w:val="21"/>
              </w:rPr>
            </w:pPr>
          </w:p>
          <w:p>
            <w:pPr>
              <w:pStyle w:val="6"/>
              <w:spacing w:before="68" w:line="221" w:lineRule="auto"/>
              <w:ind w:left="151"/>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67" w:type="dxa"/>
            <w:vMerge w:val="continue"/>
            <w:tcBorders>
              <w:top w:val="nil"/>
              <w:bottom w:val="nil"/>
            </w:tcBorders>
            <w:vAlign w:val="top"/>
          </w:tcPr>
          <w:p>
            <w:pPr>
              <w:rPr>
                <w:rFonts w:ascii="Arial"/>
                <w:sz w:val="21"/>
              </w:rPr>
            </w:pPr>
          </w:p>
        </w:tc>
        <w:tc>
          <w:tcPr>
            <w:tcW w:w="898" w:type="dxa"/>
            <w:vAlign w:val="top"/>
          </w:tcPr>
          <w:p>
            <w:pPr>
              <w:pStyle w:val="6"/>
              <w:spacing w:before="65" w:line="225" w:lineRule="auto"/>
              <w:ind w:left="135"/>
              <w:rPr>
                <w:sz w:val="21"/>
                <w:szCs w:val="21"/>
              </w:rPr>
            </w:pPr>
            <w:r>
              <w:rPr>
                <w:spacing w:val="-6"/>
                <w:sz w:val="21"/>
                <w:szCs w:val="21"/>
              </w:rPr>
              <w:t>（六）</w:t>
            </w:r>
          </w:p>
        </w:tc>
        <w:tc>
          <w:tcPr>
            <w:tcW w:w="7706" w:type="dxa"/>
            <w:gridSpan w:val="3"/>
            <w:tcBorders>
              <w:right w:val="single" w:color="000000" w:sz="8" w:space="0"/>
            </w:tcBorders>
            <w:vAlign w:val="top"/>
          </w:tcPr>
          <w:p>
            <w:pPr>
              <w:pStyle w:val="6"/>
              <w:spacing w:before="65" w:line="221" w:lineRule="auto"/>
              <w:ind w:left="3430"/>
              <w:rPr>
                <w:sz w:val="21"/>
                <w:szCs w:val="21"/>
              </w:rPr>
            </w:pPr>
            <w:r>
              <w:rPr>
                <w:spacing w:val="-2"/>
                <w:sz w:val="21"/>
                <w:szCs w:val="21"/>
              </w:rPr>
              <w:t>绿色发展</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67" w:type="dxa"/>
            <w:vMerge w:val="continue"/>
            <w:tcBorders>
              <w:top w:val="nil"/>
              <w:bottom w:val="nil"/>
            </w:tcBorders>
            <w:vAlign w:val="top"/>
          </w:tcPr>
          <w:p>
            <w:pPr>
              <w:rPr>
                <w:rFonts w:ascii="Arial"/>
                <w:sz w:val="21"/>
              </w:rPr>
            </w:pPr>
          </w:p>
        </w:tc>
        <w:tc>
          <w:tcPr>
            <w:tcW w:w="898" w:type="dxa"/>
            <w:vAlign w:val="top"/>
          </w:tcPr>
          <w:p>
            <w:pPr>
              <w:spacing w:line="320" w:lineRule="auto"/>
              <w:rPr>
                <w:rFonts w:ascii="Arial"/>
                <w:sz w:val="21"/>
              </w:rPr>
            </w:pPr>
          </w:p>
          <w:p>
            <w:pPr>
              <w:spacing w:line="320" w:lineRule="auto"/>
              <w:rPr>
                <w:rFonts w:ascii="Arial"/>
                <w:sz w:val="21"/>
              </w:rPr>
            </w:pPr>
          </w:p>
          <w:p>
            <w:pPr>
              <w:pStyle w:val="6"/>
              <w:spacing w:before="69" w:line="222" w:lineRule="auto"/>
              <w:ind w:left="130"/>
              <w:rPr>
                <w:sz w:val="21"/>
                <w:szCs w:val="21"/>
              </w:rPr>
            </w:pPr>
            <w:r>
              <w:rPr>
                <w:spacing w:val="-2"/>
                <w:sz w:val="21"/>
                <w:szCs w:val="21"/>
              </w:rPr>
              <w:t>六十六</w:t>
            </w:r>
          </w:p>
        </w:tc>
        <w:tc>
          <w:tcPr>
            <w:tcW w:w="4934" w:type="dxa"/>
            <w:vAlign w:val="top"/>
          </w:tcPr>
          <w:p>
            <w:pPr>
              <w:pStyle w:val="6"/>
              <w:spacing w:before="29" w:line="236" w:lineRule="auto"/>
              <w:ind w:left="94" w:right="38" w:firstLine="54"/>
              <w:jc w:val="both"/>
              <w:rPr>
                <w:sz w:val="21"/>
                <w:szCs w:val="21"/>
              </w:rPr>
            </w:pPr>
            <w:r>
              <w:rPr>
                <w:spacing w:val="-1"/>
                <w:sz w:val="21"/>
                <w:szCs w:val="21"/>
              </w:rPr>
              <w:t>长江流域县级以上地方人民政府应当推动钢铁、石</w:t>
            </w:r>
            <w:r>
              <w:rPr>
                <w:spacing w:val="3"/>
                <w:sz w:val="21"/>
                <w:szCs w:val="21"/>
              </w:rPr>
              <w:t xml:space="preserve">  </w:t>
            </w:r>
            <w:r>
              <w:rPr>
                <w:spacing w:val="-2"/>
                <w:sz w:val="21"/>
                <w:szCs w:val="21"/>
              </w:rPr>
              <w:t>油、化工、有色金属、建材、船舶等产业升级改造，</w:t>
            </w:r>
            <w:r>
              <w:rPr>
                <w:spacing w:val="10"/>
                <w:sz w:val="21"/>
                <w:szCs w:val="21"/>
              </w:rPr>
              <w:t xml:space="preserve"> </w:t>
            </w:r>
            <w:r>
              <w:rPr>
                <w:spacing w:val="-5"/>
                <w:sz w:val="21"/>
                <w:szCs w:val="21"/>
              </w:rPr>
              <w:t>提升技术装备水平；</w:t>
            </w:r>
            <w:r>
              <w:rPr>
                <w:spacing w:val="-22"/>
                <w:sz w:val="21"/>
                <w:szCs w:val="21"/>
              </w:rPr>
              <w:t xml:space="preserve"> </w:t>
            </w:r>
            <w:r>
              <w:rPr>
                <w:spacing w:val="-5"/>
                <w:sz w:val="21"/>
                <w:szCs w:val="21"/>
              </w:rPr>
              <w:t>推动造纸、制革、电镀</w:t>
            </w:r>
            <w:r>
              <w:rPr>
                <w:spacing w:val="-6"/>
                <w:sz w:val="21"/>
                <w:szCs w:val="21"/>
              </w:rPr>
              <w:t>、印染、</w:t>
            </w:r>
            <w:r>
              <w:rPr>
                <w:sz w:val="21"/>
                <w:szCs w:val="21"/>
              </w:rPr>
              <w:t xml:space="preserve"> </w:t>
            </w:r>
            <w:r>
              <w:rPr>
                <w:spacing w:val="-5"/>
                <w:sz w:val="21"/>
                <w:szCs w:val="21"/>
              </w:rPr>
              <w:t>有色金属、农药、氮肥、焦化、原料药制造等企业实 施清洁化改造。企业应当通过技术创新减少资源消耗</w:t>
            </w:r>
          </w:p>
          <w:p>
            <w:pPr>
              <w:pStyle w:val="6"/>
              <w:spacing w:before="20" w:line="207" w:lineRule="auto"/>
              <w:ind w:left="1726"/>
              <w:rPr>
                <w:sz w:val="21"/>
                <w:szCs w:val="21"/>
              </w:rPr>
            </w:pPr>
            <w:r>
              <w:rPr>
                <w:spacing w:val="-3"/>
                <w:sz w:val="21"/>
                <w:szCs w:val="21"/>
              </w:rPr>
              <w:t>和污染物排放。</w:t>
            </w:r>
          </w:p>
        </w:tc>
        <w:tc>
          <w:tcPr>
            <w:tcW w:w="2064" w:type="dxa"/>
            <w:vAlign w:val="top"/>
          </w:tcPr>
          <w:p>
            <w:pPr>
              <w:spacing w:line="368" w:lineRule="auto"/>
              <w:rPr>
                <w:rFonts w:ascii="Arial"/>
                <w:sz w:val="21"/>
              </w:rPr>
            </w:pPr>
          </w:p>
          <w:p>
            <w:pPr>
              <w:pStyle w:val="6"/>
              <w:spacing w:before="68" w:line="220" w:lineRule="auto"/>
              <w:ind w:left="109"/>
              <w:rPr>
                <w:sz w:val="21"/>
                <w:szCs w:val="21"/>
              </w:rPr>
            </w:pPr>
            <w:r>
              <w:rPr>
                <w:spacing w:val="-1"/>
                <w:sz w:val="21"/>
                <w:szCs w:val="21"/>
              </w:rPr>
              <w:t>本项目不属于钢铁、</w:t>
            </w:r>
          </w:p>
          <w:p>
            <w:pPr>
              <w:pStyle w:val="6"/>
              <w:spacing w:before="23" w:line="230" w:lineRule="auto"/>
              <w:ind w:left="721" w:right="103" w:hanging="612"/>
              <w:rPr>
                <w:sz w:val="21"/>
                <w:szCs w:val="21"/>
              </w:rPr>
            </w:pPr>
            <w:r>
              <w:rPr>
                <w:spacing w:val="-5"/>
                <w:sz w:val="21"/>
                <w:szCs w:val="21"/>
              </w:rPr>
              <w:t>石油、化工等高耗能</w:t>
            </w:r>
            <w:r>
              <w:rPr>
                <w:sz w:val="21"/>
                <w:szCs w:val="21"/>
              </w:rPr>
              <w:t xml:space="preserve"> </w:t>
            </w:r>
            <w:r>
              <w:rPr>
                <w:spacing w:val="-9"/>
                <w:sz w:val="21"/>
                <w:szCs w:val="21"/>
              </w:rPr>
              <w:t>项目。</w:t>
            </w:r>
          </w:p>
        </w:tc>
        <w:tc>
          <w:tcPr>
            <w:tcW w:w="708" w:type="dxa"/>
            <w:tcBorders>
              <w:right w:val="single" w:color="000000" w:sz="8" w:space="0"/>
            </w:tcBorders>
            <w:vAlign w:val="top"/>
          </w:tcPr>
          <w:p>
            <w:pPr>
              <w:spacing w:line="320" w:lineRule="auto"/>
              <w:rPr>
                <w:rFonts w:ascii="Arial"/>
                <w:sz w:val="21"/>
              </w:rPr>
            </w:pPr>
          </w:p>
          <w:p>
            <w:pPr>
              <w:spacing w:line="320" w:lineRule="auto"/>
              <w:rPr>
                <w:rFonts w:ascii="Arial"/>
                <w:sz w:val="21"/>
              </w:rPr>
            </w:pPr>
          </w:p>
          <w:p>
            <w:pPr>
              <w:pStyle w:val="6"/>
              <w:spacing w:before="68" w:line="221" w:lineRule="auto"/>
              <w:ind w:left="151"/>
              <w:rPr>
                <w:sz w:val="21"/>
                <w:szCs w:val="21"/>
              </w:rPr>
            </w:pPr>
            <w:r>
              <w:rPr>
                <w:spacing w:val="-2"/>
                <w:sz w:val="21"/>
                <w:szCs w:val="21"/>
              </w:rPr>
              <w:t>符合</w:t>
            </w:r>
          </w:p>
        </w:tc>
        <w:tc>
          <w:tcPr>
            <w:tcW w:w="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8" w:hRule="atLeast"/>
        </w:trPr>
        <w:tc>
          <w:tcPr>
            <w:tcW w:w="467" w:type="dxa"/>
            <w:vMerge w:val="continue"/>
            <w:tcBorders>
              <w:top w:val="nil"/>
            </w:tcBorders>
            <w:vAlign w:val="top"/>
          </w:tcPr>
          <w:p>
            <w:pPr>
              <w:rPr>
                <w:rFonts w:ascii="Arial"/>
                <w:sz w:val="21"/>
              </w:rPr>
            </w:pPr>
          </w:p>
        </w:tc>
        <w:tc>
          <w:tcPr>
            <w:tcW w:w="8630" w:type="dxa"/>
            <w:gridSpan w:val="5"/>
            <w:vAlign w:val="top"/>
          </w:tcPr>
          <w:p>
            <w:pPr>
              <w:pStyle w:val="6"/>
              <w:spacing w:before="214" w:line="518" w:lineRule="exact"/>
              <w:jc w:val="right"/>
              <w:rPr>
                <w:sz w:val="24"/>
                <w:szCs w:val="24"/>
              </w:rPr>
            </w:pPr>
            <w:r>
              <w:rPr>
                <w:rFonts w:ascii="Times New Roman" w:hAnsi="Times New Roman" w:eastAsia="Times New Roman" w:cs="Times New Roman"/>
                <w:b/>
                <w:bCs/>
                <w:spacing w:val="-8"/>
                <w:position w:val="21"/>
                <w:sz w:val="24"/>
                <w:szCs w:val="24"/>
              </w:rPr>
              <w:t>1.6.2</w:t>
            </w:r>
            <w:r>
              <w:rPr>
                <w:rFonts w:ascii="Times New Roman" w:hAnsi="Times New Roman" w:eastAsia="Times New Roman" w:cs="Times New Roman"/>
                <w:b/>
                <w:bCs/>
                <w:spacing w:val="13"/>
                <w:position w:val="21"/>
                <w:sz w:val="24"/>
                <w:szCs w:val="24"/>
              </w:rPr>
              <w:t xml:space="preserve"> </w:t>
            </w:r>
            <w:r>
              <w:rPr>
                <w:spacing w:val="-8"/>
                <w:position w:val="21"/>
                <w:sz w:val="24"/>
                <w:szCs w:val="24"/>
                <w14:textOutline w14:w="4354" w14:cap="flat" w14:cmpd="sng">
                  <w14:solidFill>
                    <w14:srgbClr w14:val="000000"/>
                  </w14:solidFill>
                  <w14:prstDash w14:val="solid"/>
                  <w14:miter w14:val="10"/>
                </w14:textOutline>
              </w:rPr>
              <w:t>与《四川省、重庆市长江经济带发展负面清单实施细则（试行</w:t>
            </w:r>
            <w:r>
              <w:rPr>
                <w:spacing w:val="-9"/>
                <w:position w:val="21"/>
                <w:sz w:val="24"/>
                <w:szCs w:val="24"/>
                <w14:textOutline w14:w="4354" w14:cap="flat" w14:cmpd="sng">
                  <w14:solidFill>
                    <w14:srgbClr w14:val="000000"/>
                  </w14:solidFill>
                  <w14:prstDash w14:val="solid"/>
                  <w14:miter w14:val="10"/>
                </w14:textOutline>
              </w:rPr>
              <w:t>，</w:t>
            </w:r>
            <w:r>
              <w:rPr>
                <w:spacing w:val="-9"/>
                <w:position w:val="21"/>
                <w:sz w:val="24"/>
                <w:szCs w:val="24"/>
              </w:rPr>
              <w:t xml:space="preserve"> </w:t>
            </w:r>
            <w:r>
              <w:rPr>
                <w:rFonts w:ascii="Times New Roman" w:hAnsi="Times New Roman" w:eastAsia="Times New Roman" w:cs="Times New Roman"/>
                <w:b/>
                <w:bCs/>
                <w:spacing w:val="-9"/>
                <w:position w:val="21"/>
                <w:sz w:val="24"/>
                <w:szCs w:val="24"/>
              </w:rPr>
              <w:t xml:space="preserve">2022 </w:t>
            </w:r>
            <w:r>
              <w:rPr>
                <w:spacing w:val="-9"/>
                <w:position w:val="21"/>
                <w:sz w:val="24"/>
                <w:szCs w:val="24"/>
                <w14:textOutline w14:w="4354" w14:cap="flat" w14:cmpd="sng">
                  <w14:solidFill>
                    <w14:srgbClr w14:val="000000"/>
                  </w14:solidFill>
                  <w14:prstDash w14:val="solid"/>
                  <w14:miter w14:val="10"/>
                </w14:textOutline>
              </w:rPr>
              <w:t>年版）</w:t>
            </w:r>
            <w:r>
              <w:rPr>
                <w:spacing w:val="-42"/>
                <w:position w:val="21"/>
                <w:sz w:val="24"/>
                <w:szCs w:val="24"/>
              </w:rPr>
              <w:t xml:space="preserve"> </w:t>
            </w:r>
            <w:r>
              <w:rPr>
                <w:spacing w:val="-9"/>
                <w:position w:val="21"/>
                <w:sz w:val="24"/>
                <w:szCs w:val="24"/>
                <w14:textOutline w14:w="4354" w14:cap="flat" w14:cmpd="sng">
                  <w14:solidFill>
                    <w14:srgbClr w14:val="000000"/>
                  </w14:solidFill>
                  <w14:prstDash w14:val="solid"/>
                  <w14:miter w14:val="10"/>
                </w14:textOutline>
              </w:rPr>
              <w:t>》</w:t>
            </w:r>
          </w:p>
          <w:p>
            <w:pPr>
              <w:pStyle w:val="6"/>
              <w:spacing w:line="219" w:lineRule="auto"/>
              <w:ind w:left="7"/>
              <w:rPr>
                <w:sz w:val="24"/>
                <w:szCs w:val="24"/>
              </w:rPr>
            </w:pPr>
            <w:r>
              <w:rPr>
                <w:spacing w:val="-4"/>
                <w:sz w:val="24"/>
                <w:szCs w:val="24"/>
                <w14:textOutline w14:w="4354" w14:cap="flat" w14:cmpd="sng">
                  <w14:solidFill>
                    <w14:srgbClr w14:val="000000"/>
                  </w14:solidFill>
                  <w14:prstDash w14:val="solid"/>
                  <w14:miter w14:val="10"/>
                </w14:textOutline>
              </w:rPr>
              <w:t>（长江办（</w:t>
            </w:r>
            <w:r>
              <w:rPr>
                <w:rFonts w:ascii="Times New Roman" w:hAnsi="Times New Roman" w:eastAsia="Times New Roman" w:cs="Times New Roman"/>
                <w:b/>
                <w:bCs/>
                <w:spacing w:val="-4"/>
                <w:sz w:val="24"/>
                <w:szCs w:val="24"/>
              </w:rPr>
              <w:t>2022</w:t>
            </w: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17</w:t>
            </w:r>
            <w:r>
              <w:rPr>
                <w:rFonts w:ascii="Times New Roman" w:hAnsi="Times New Roman" w:eastAsia="Times New Roman" w:cs="Times New Roman"/>
                <w:b/>
                <w:bCs/>
                <w:spacing w:val="31"/>
                <w:w w:val="101"/>
                <w:sz w:val="24"/>
                <w:szCs w:val="24"/>
              </w:rPr>
              <w:t xml:space="preserve"> </w:t>
            </w:r>
            <w:r>
              <w:rPr>
                <w:spacing w:val="-4"/>
                <w:sz w:val="24"/>
                <w:szCs w:val="24"/>
                <w14:textOutline w14:w="4354" w14:cap="flat" w14:cmpd="sng">
                  <w14:solidFill>
                    <w14:srgbClr w14:val="000000"/>
                  </w14:solidFill>
                  <w14:prstDash w14:val="solid"/>
                  <w14:miter w14:val="10"/>
                </w14:textOutline>
              </w:rPr>
              <w:t>号）符合性分析</w:t>
            </w:r>
          </w:p>
          <w:p>
            <w:pPr>
              <w:pStyle w:val="6"/>
              <w:spacing w:before="203" w:line="369" w:lineRule="auto"/>
              <w:ind w:firstLine="479"/>
              <w:jc w:val="both"/>
              <w:rPr>
                <w:sz w:val="24"/>
                <w:szCs w:val="24"/>
              </w:rPr>
            </w:pPr>
            <w:r>
              <w:rPr>
                <w:spacing w:val="-7"/>
                <w:sz w:val="24"/>
                <w:szCs w:val="24"/>
              </w:rPr>
              <w:t>项目位于四川省达州市通川区江陵镇和平村</w:t>
            </w:r>
            <w:r>
              <w:rPr>
                <w:spacing w:val="-14"/>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组，</w:t>
            </w:r>
            <w:r>
              <w:rPr>
                <w:spacing w:val="-41"/>
                <w:sz w:val="24"/>
                <w:szCs w:val="24"/>
              </w:rPr>
              <w:t xml:space="preserve"> </w:t>
            </w:r>
            <w:r>
              <w:rPr>
                <w:spacing w:val="-7"/>
                <w:sz w:val="24"/>
                <w:szCs w:val="24"/>
              </w:rPr>
              <w:t>不在自然保护区、市级以上</w:t>
            </w:r>
            <w:r>
              <w:rPr>
                <w:sz w:val="24"/>
                <w:szCs w:val="24"/>
              </w:rPr>
              <w:t xml:space="preserve">  </w:t>
            </w:r>
            <w:r>
              <w:rPr>
                <w:spacing w:val="-8"/>
                <w:sz w:val="24"/>
                <w:szCs w:val="24"/>
              </w:rPr>
              <w:t>森林公园、饮用水源一级及二级保护区、生态红线等范围内，</w:t>
            </w:r>
            <w:r>
              <w:rPr>
                <w:spacing w:val="54"/>
                <w:sz w:val="24"/>
                <w:szCs w:val="24"/>
              </w:rPr>
              <w:t xml:space="preserve"> </w:t>
            </w:r>
            <w:r>
              <w:rPr>
                <w:spacing w:val="-8"/>
                <w:sz w:val="24"/>
                <w:szCs w:val="24"/>
              </w:rPr>
              <w:t>且钻井过程</w:t>
            </w:r>
            <w:r>
              <w:rPr>
                <w:spacing w:val="-9"/>
                <w:sz w:val="24"/>
                <w:szCs w:val="24"/>
              </w:rPr>
              <w:t>中产生的</w:t>
            </w:r>
            <w:r>
              <w:rPr>
                <w:sz w:val="24"/>
                <w:szCs w:val="24"/>
              </w:rPr>
              <w:t xml:space="preserve">  </w:t>
            </w:r>
            <w:r>
              <w:rPr>
                <w:spacing w:val="-9"/>
                <w:sz w:val="24"/>
                <w:szCs w:val="24"/>
              </w:rPr>
              <w:t>废水委托四川瑞利生物科技有限公司或其他有资质单</w:t>
            </w:r>
            <w:r>
              <w:rPr>
                <w:spacing w:val="-10"/>
                <w:sz w:val="24"/>
                <w:szCs w:val="24"/>
              </w:rPr>
              <w:t>位处理， 不属于长江办（</w:t>
            </w:r>
            <w:r>
              <w:rPr>
                <w:rFonts w:ascii="Times New Roman" w:hAnsi="Times New Roman" w:eastAsia="Times New Roman" w:cs="Times New Roman"/>
                <w:spacing w:val="-10"/>
                <w:sz w:val="24"/>
                <w:szCs w:val="24"/>
              </w:rPr>
              <w:t>2022</w:t>
            </w:r>
            <w:r>
              <w:rPr>
                <w:spacing w:val="-10"/>
                <w:sz w:val="24"/>
                <w:szCs w:val="24"/>
              </w:rPr>
              <w:t>）</w:t>
            </w:r>
          </w:p>
          <w:p>
            <w:pPr>
              <w:pStyle w:val="6"/>
              <w:spacing w:line="219" w:lineRule="auto"/>
              <w:ind w:left="19"/>
              <w:rPr>
                <w:sz w:val="24"/>
                <w:szCs w:val="24"/>
              </w:rPr>
            </w:pPr>
            <w:r>
              <w:rPr>
                <w:rFonts w:ascii="Times New Roman" w:hAnsi="Times New Roman" w:eastAsia="Times New Roman" w:cs="Times New Roman"/>
                <w:spacing w:val="-4"/>
                <w:sz w:val="24"/>
                <w:szCs w:val="24"/>
              </w:rPr>
              <w:t>17</w:t>
            </w:r>
            <w:r>
              <w:rPr>
                <w:rFonts w:ascii="Times New Roman" w:hAnsi="Times New Roman" w:eastAsia="Times New Roman" w:cs="Times New Roman"/>
                <w:spacing w:val="14"/>
                <w:sz w:val="24"/>
                <w:szCs w:val="24"/>
              </w:rPr>
              <w:t xml:space="preserve"> </w:t>
            </w:r>
            <w:r>
              <w:rPr>
                <w:spacing w:val="-4"/>
                <w:sz w:val="24"/>
                <w:szCs w:val="24"/>
              </w:rPr>
              <w:t>号文件中有关条款禁止建设类项目，符合相关要求。</w:t>
            </w:r>
          </w:p>
          <w:p>
            <w:pPr>
              <w:pStyle w:val="6"/>
              <w:spacing w:before="228" w:line="521" w:lineRule="exact"/>
              <w:ind w:left="7"/>
              <w:rPr>
                <w:rFonts w:ascii="Times New Roman" w:hAnsi="Times New Roman" w:eastAsia="Times New Roman" w:cs="Times New Roman"/>
                <w:sz w:val="24"/>
                <w:szCs w:val="24"/>
              </w:rPr>
            </w:pPr>
            <w:r>
              <w:rPr>
                <w:rFonts w:ascii="Times New Roman" w:hAnsi="Times New Roman" w:eastAsia="Times New Roman" w:cs="Times New Roman"/>
                <w:b/>
                <w:bCs/>
                <w:spacing w:val="-1"/>
                <w:position w:val="21"/>
                <w:sz w:val="24"/>
                <w:szCs w:val="24"/>
              </w:rPr>
              <w:t xml:space="preserve">1.6.3 </w:t>
            </w:r>
            <w:r>
              <w:rPr>
                <w:spacing w:val="-1"/>
                <w:position w:val="21"/>
                <w:sz w:val="24"/>
                <w:szCs w:val="24"/>
                <w14:textOutline w14:w="4354" w14:cap="flat" w14:cmpd="sng">
                  <w14:solidFill>
                    <w14:srgbClr w14:val="000000"/>
                  </w14:solidFill>
                  <w14:prstDash w14:val="solid"/>
                  <w14:miter w14:val="10"/>
                </w14:textOutline>
              </w:rPr>
              <w:t>与《长江经济带发展负面清单指南（试行，</w:t>
            </w:r>
            <w:r>
              <w:rPr>
                <w:rFonts w:ascii="Times New Roman" w:hAnsi="Times New Roman" w:eastAsia="Times New Roman" w:cs="Times New Roman"/>
                <w:b/>
                <w:bCs/>
                <w:spacing w:val="-1"/>
                <w:position w:val="21"/>
                <w:sz w:val="24"/>
                <w:szCs w:val="24"/>
              </w:rPr>
              <w:t xml:space="preserve">2022 </w:t>
            </w:r>
            <w:r>
              <w:rPr>
                <w:spacing w:val="-1"/>
                <w:position w:val="21"/>
                <w:sz w:val="24"/>
                <w:szCs w:val="24"/>
                <w14:textOutline w14:w="4354" w14:cap="flat" w14:cmpd="sng">
                  <w14:solidFill>
                    <w14:srgbClr w14:val="000000"/>
                  </w14:solidFill>
                  <w14:prstDash w14:val="solid"/>
                  <w14:miter w14:val="10"/>
                </w14:textOutline>
              </w:rPr>
              <w:t>年版）》（长江办〔</w:t>
            </w:r>
            <w:r>
              <w:rPr>
                <w:rFonts w:ascii="Times New Roman" w:hAnsi="Times New Roman" w:eastAsia="Times New Roman" w:cs="Times New Roman"/>
                <w:b/>
                <w:bCs/>
                <w:spacing w:val="-1"/>
                <w:position w:val="21"/>
                <w:sz w:val="24"/>
                <w:szCs w:val="24"/>
              </w:rPr>
              <w:t>2022</w:t>
            </w:r>
            <w:r>
              <w:rPr>
                <w:spacing w:val="-1"/>
                <w:position w:val="2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position w:val="21"/>
                <w:sz w:val="24"/>
                <w:szCs w:val="24"/>
              </w:rPr>
              <w:t>7</w:t>
            </w:r>
          </w:p>
          <w:p>
            <w:pPr>
              <w:pStyle w:val="6"/>
              <w:spacing w:line="219" w:lineRule="auto"/>
              <w:ind w:left="6"/>
              <w:rPr>
                <w:sz w:val="24"/>
                <w:szCs w:val="24"/>
              </w:rPr>
            </w:pPr>
            <w:r>
              <w:rPr>
                <w:spacing w:val="-2"/>
                <w:sz w:val="24"/>
                <w:szCs w:val="24"/>
                <w14:textOutline w14:w="4354" w14:cap="flat" w14:cmpd="sng">
                  <w14:solidFill>
                    <w14:srgbClr w14:val="000000"/>
                  </w14:solidFill>
                  <w14:prstDash w14:val="solid"/>
                  <w14:miter w14:val="10"/>
                </w14:textOutline>
              </w:rPr>
              <w:t>号）符合性分析</w:t>
            </w:r>
          </w:p>
          <w:p>
            <w:pPr>
              <w:pStyle w:val="6"/>
              <w:spacing w:before="204" w:line="369" w:lineRule="auto"/>
              <w:ind w:left="1" w:right="15" w:firstLine="483"/>
              <w:jc w:val="both"/>
              <w:rPr>
                <w:sz w:val="24"/>
                <w:szCs w:val="24"/>
              </w:rPr>
            </w:pPr>
            <w:r>
              <w:rPr>
                <w:spacing w:val="-4"/>
                <w:sz w:val="24"/>
                <w:szCs w:val="24"/>
              </w:rPr>
              <w:t>项目位于四川省达州市通川区江陵镇和平村</w:t>
            </w:r>
            <w:r>
              <w:rPr>
                <w:spacing w:val="-31"/>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组，</w:t>
            </w:r>
            <w:r>
              <w:rPr>
                <w:spacing w:val="-38"/>
                <w:sz w:val="24"/>
                <w:szCs w:val="24"/>
              </w:rPr>
              <w:t xml:space="preserve"> </w:t>
            </w:r>
            <w:r>
              <w:rPr>
                <w:spacing w:val="-4"/>
                <w:sz w:val="24"/>
                <w:szCs w:val="24"/>
              </w:rPr>
              <w:t>不在自</w:t>
            </w:r>
            <w:r>
              <w:rPr>
                <w:spacing w:val="-5"/>
                <w:sz w:val="24"/>
                <w:szCs w:val="24"/>
              </w:rPr>
              <w:t>然保护区、风景名胜</w:t>
            </w:r>
            <w:r>
              <w:rPr>
                <w:sz w:val="24"/>
                <w:szCs w:val="24"/>
              </w:rPr>
              <w:t xml:space="preserve"> </w:t>
            </w:r>
            <w:r>
              <w:rPr>
                <w:spacing w:val="-5"/>
                <w:sz w:val="24"/>
                <w:szCs w:val="24"/>
              </w:rPr>
              <w:t>区、饮用水源一级及二级保护区、国家湿地公园岸</w:t>
            </w:r>
            <w:r>
              <w:rPr>
                <w:spacing w:val="-6"/>
                <w:sz w:val="24"/>
                <w:szCs w:val="24"/>
              </w:rPr>
              <w:t>线及河段、</w:t>
            </w:r>
            <w:r>
              <w:rPr>
                <w:spacing w:val="41"/>
                <w:sz w:val="24"/>
                <w:szCs w:val="24"/>
              </w:rPr>
              <w:t xml:space="preserve"> </w:t>
            </w:r>
            <w:r>
              <w:rPr>
                <w:spacing w:val="-6"/>
                <w:sz w:val="24"/>
                <w:szCs w:val="24"/>
              </w:rPr>
              <w:t>一江一口两湖七河和</w:t>
            </w:r>
            <w:r>
              <w:rPr>
                <w:sz w:val="24"/>
                <w:szCs w:val="24"/>
              </w:rPr>
              <w:t xml:space="preserve"> </w:t>
            </w:r>
            <w:r>
              <w:rPr>
                <w:rFonts w:ascii="Times New Roman" w:hAnsi="Times New Roman" w:eastAsia="Times New Roman" w:cs="Times New Roman"/>
                <w:spacing w:val="-1"/>
                <w:sz w:val="24"/>
                <w:szCs w:val="24"/>
              </w:rPr>
              <w:t>332</w:t>
            </w:r>
            <w:r>
              <w:rPr>
                <w:rFonts w:ascii="Times New Roman" w:hAnsi="Times New Roman" w:eastAsia="Times New Roman" w:cs="Times New Roman"/>
                <w:spacing w:val="62"/>
                <w:sz w:val="24"/>
                <w:szCs w:val="24"/>
              </w:rPr>
              <w:t xml:space="preserve"> </w:t>
            </w:r>
            <w:r>
              <w:rPr>
                <w:spacing w:val="-1"/>
                <w:sz w:val="24"/>
                <w:szCs w:val="24"/>
              </w:rPr>
              <w:t>个水生生物保护区、生态红线等范围内，且钻井过程中产生的废水委托四川瑞</w:t>
            </w:r>
            <w:r>
              <w:rPr>
                <w:sz w:val="24"/>
                <w:szCs w:val="24"/>
              </w:rPr>
              <w:t xml:space="preserve"> </w:t>
            </w:r>
            <w:r>
              <w:rPr>
                <w:spacing w:val="-1"/>
                <w:sz w:val="24"/>
                <w:szCs w:val="24"/>
              </w:rPr>
              <w:t>利生物科技有限公司或其他有资质单位处理，不属于长江办〔</w:t>
            </w:r>
            <w:r>
              <w:rPr>
                <w:rFonts w:ascii="Times New Roman" w:hAnsi="Times New Roman" w:eastAsia="Times New Roman" w:cs="Times New Roman"/>
                <w:spacing w:val="-1"/>
                <w:sz w:val="24"/>
                <w:szCs w:val="24"/>
              </w:rPr>
              <w:t>2022</w:t>
            </w:r>
            <w:r>
              <w:rPr>
                <w:spacing w:val="-1"/>
                <w:sz w:val="24"/>
                <w:szCs w:val="24"/>
              </w:rPr>
              <w:t>〕</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64"/>
                <w:sz w:val="24"/>
                <w:szCs w:val="24"/>
              </w:rPr>
              <w:t xml:space="preserve"> </w:t>
            </w:r>
            <w:r>
              <w:rPr>
                <w:spacing w:val="-1"/>
                <w:sz w:val="24"/>
                <w:szCs w:val="24"/>
              </w:rPr>
              <w:t>号文件中有</w:t>
            </w:r>
          </w:p>
          <w:p>
            <w:pPr>
              <w:pStyle w:val="6"/>
              <w:spacing w:line="219" w:lineRule="auto"/>
              <w:ind w:left="4"/>
              <w:rPr>
                <w:sz w:val="24"/>
                <w:szCs w:val="24"/>
              </w:rPr>
            </w:pPr>
            <w:r>
              <w:rPr>
                <w:spacing w:val="-3"/>
                <w:sz w:val="24"/>
                <w:szCs w:val="24"/>
              </w:rPr>
              <w:t>关条款禁止建设类项目，符合相关要求。</w:t>
            </w:r>
          </w:p>
        </w:tc>
      </w:tr>
    </w:tbl>
    <w:p>
      <w:pPr>
        <w:pStyle w:val="2"/>
        <w:rPr>
          <w:sz w:val="21"/>
        </w:rPr>
      </w:pPr>
    </w:p>
    <w:p>
      <w:pPr>
        <w:rPr>
          <w:sz w:val="21"/>
          <w:szCs w:val="21"/>
        </w:rPr>
        <w:sectPr>
          <w:footerReference r:id="rId30" w:type="default"/>
          <w:pgSz w:w="11907" w:h="16839"/>
          <w:pgMar w:top="400" w:right="1406" w:bottom="1180" w:left="1397" w:header="0" w:footer="920" w:gutter="0"/>
          <w:cols w:space="720" w:num="1"/>
        </w:sectPr>
      </w:pPr>
    </w:p>
    <w:p>
      <w:pPr>
        <w:spacing w:before="13"/>
      </w:pPr>
    </w:p>
    <w:p>
      <w:pPr>
        <w:spacing w:before="13"/>
      </w:pPr>
    </w:p>
    <w:p>
      <w:pPr>
        <w:spacing w:before="13"/>
      </w:pPr>
    </w:p>
    <w:p>
      <w:pPr>
        <w:spacing w:before="13"/>
      </w:pPr>
    </w:p>
    <w:tbl>
      <w:tblPr>
        <w:tblStyle w:val="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
        <w:gridCol w:w="8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7" w:hRule="atLeast"/>
        </w:trPr>
        <w:tc>
          <w:tcPr>
            <w:tcW w:w="448" w:type="dxa"/>
            <w:vAlign w:val="top"/>
          </w:tcPr>
          <w:p>
            <w:pPr>
              <w:rPr>
                <w:rFonts w:ascii="Arial"/>
                <w:sz w:val="21"/>
              </w:rPr>
            </w:pPr>
          </w:p>
        </w:tc>
        <w:tc>
          <w:tcPr>
            <w:tcW w:w="8649" w:type="dxa"/>
            <w:vAlign w:val="top"/>
          </w:tcPr>
          <w:p>
            <w:pPr>
              <w:rPr>
                <w:rFonts w:ascii="Arial"/>
                <w:sz w:val="21"/>
              </w:rPr>
            </w:pPr>
          </w:p>
        </w:tc>
      </w:tr>
    </w:tbl>
    <w:p>
      <w:pPr>
        <w:pStyle w:val="2"/>
        <w:rPr>
          <w:sz w:val="21"/>
        </w:rPr>
      </w:pPr>
    </w:p>
    <w:p>
      <w:pPr>
        <w:rPr>
          <w:sz w:val="21"/>
          <w:szCs w:val="21"/>
        </w:rPr>
        <w:sectPr>
          <w:footerReference r:id="rId31" w:type="default"/>
          <w:pgSz w:w="11907" w:h="16839"/>
          <w:pgMar w:top="400" w:right="1406" w:bottom="1180" w:left="1397" w:header="0" w:footer="920" w:gutter="0"/>
          <w:cols w:space="720" w:num="1"/>
        </w:sectPr>
      </w:pPr>
    </w:p>
    <w:p>
      <w:pPr>
        <w:pStyle w:val="2"/>
        <w:spacing w:line="247" w:lineRule="auto"/>
        <w:rPr>
          <w:sz w:val="21"/>
        </w:r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98" w:line="219" w:lineRule="auto"/>
        <w:ind w:left="3768"/>
        <w:rPr>
          <w:rFonts w:ascii="黑体" w:hAnsi="黑体" w:eastAsia="黑体" w:cs="黑体"/>
          <w:sz w:val="30"/>
          <w:szCs w:val="30"/>
        </w:rPr>
      </w:pPr>
      <w:r>
        <w:rPr>
          <w:rFonts w:ascii="黑体" w:hAnsi="黑体" w:eastAsia="黑体" w:cs="黑体"/>
          <w:spacing w:val="-3"/>
          <w:sz w:val="30"/>
          <w:szCs w:val="30"/>
        </w:rPr>
        <w:t>二、建设内容</w:t>
      </w:r>
    </w:p>
    <w:p>
      <w:pPr>
        <w:spacing w:before="25"/>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3" w:hRule="atLeast"/>
        </w:trPr>
        <w:tc>
          <w:tcPr>
            <w:tcW w:w="465" w:type="dxa"/>
            <w:tcBorders>
              <w:bottom w:val="single" w:color="000000" w:sz="2" w:space="0"/>
              <w:right w:val="single" w:color="000000" w:sz="2" w:space="0"/>
            </w:tcBorders>
            <w:textDirection w:val="tbRlV"/>
            <w:vAlign w:val="top"/>
          </w:tcPr>
          <w:p>
            <w:pPr>
              <w:pStyle w:val="6"/>
              <w:spacing w:before="111" w:line="211" w:lineRule="auto"/>
              <w:ind w:left="40"/>
              <w:rPr>
                <w:sz w:val="24"/>
                <w:szCs w:val="24"/>
              </w:rPr>
            </w:pPr>
            <w:r>
              <w:rPr>
                <w:spacing w:val="53"/>
                <w:sz w:val="24"/>
                <w:szCs w:val="24"/>
              </w:rPr>
              <w:t>地理位置</w:t>
            </w:r>
          </w:p>
        </w:tc>
        <w:tc>
          <w:tcPr>
            <w:tcW w:w="8826" w:type="dxa"/>
            <w:tcBorders>
              <w:left w:val="single" w:color="000000" w:sz="2" w:space="0"/>
              <w:bottom w:val="single" w:color="000000" w:sz="2" w:space="0"/>
            </w:tcBorders>
            <w:vAlign w:val="top"/>
          </w:tcPr>
          <w:p>
            <w:pPr>
              <w:spacing w:line="246" w:lineRule="auto"/>
              <w:rPr>
                <w:rFonts w:ascii="Arial"/>
                <w:sz w:val="21"/>
              </w:rPr>
            </w:pPr>
          </w:p>
          <w:p>
            <w:pPr>
              <w:pStyle w:val="6"/>
              <w:spacing w:before="78" w:line="480" w:lineRule="exact"/>
              <w:ind w:left="589"/>
              <w:rPr>
                <w:sz w:val="24"/>
                <w:szCs w:val="24"/>
              </w:rPr>
            </w:pPr>
            <w:r>
              <w:rPr>
                <w:spacing w:val="-6"/>
                <w:position w:val="18"/>
                <w:sz w:val="24"/>
                <w:szCs w:val="24"/>
              </w:rPr>
              <w:t xml:space="preserve">项目位于四川省达州市通川区江陵镇和平村 </w:t>
            </w:r>
            <w:r>
              <w:rPr>
                <w:rFonts w:ascii="Times New Roman" w:hAnsi="Times New Roman" w:eastAsia="Times New Roman" w:cs="Times New Roman"/>
                <w:spacing w:val="-6"/>
                <w:position w:val="18"/>
                <w:sz w:val="24"/>
                <w:szCs w:val="24"/>
              </w:rPr>
              <w:t>1</w:t>
            </w:r>
            <w:r>
              <w:rPr>
                <w:rFonts w:ascii="Times New Roman" w:hAnsi="Times New Roman" w:eastAsia="Times New Roman" w:cs="Times New Roman"/>
                <w:spacing w:val="22"/>
                <w:w w:val="101"/>
                <w:position w:val="18"/>
                <w:sz w:val="24"/>
                <w:szCs w:val="24"/>
              </w:rPr>
              <w:t xml:space="preserve"> </w:t>
            </w:r>
            <w:r>
              <w:rPr>
                <w:spacing w:val="-6"/>
                <w:position w:val="18"/>
                <w:sz w:val="24"/>
                <w:szCs w:val="24"/>
              </w:rPr>
              <w:t>组，</w:t>
            </w:r>
            <w:r>
              <w:rPr>
                <w:spacing w:val="-31"/>
                <w:position w:val="18"/>
                <w:sz w:val="24"/>
                <w:szCs w:val="24"/>
              </w:rPr>
              <w:t xml:space="preserve"> </w:t>
            </w:r>
            <w:r>
              <w:rPr>
                <w:spacing w:val="-6"/>
                <w:position w:val="18"/>
                <w:sz w:val="24"/>
                <w:szCs w:val="24"/>
              </w:rPr>
              <w:t>距</w:t>
            </w:r>
            <w:r>
              <w:rPr>
                <w:spacing w:val="-7"/>
                <w:position w:val="18"/>
                <w:sz w:val="24"/>
                <w:szCs w:val="24"/>
              </w:rPr>
              <w:t xml:space="preserve">江陵镇约 </w:t>
            </w:r>
            <w:r>
              <w:rPr>
                <w:rFonts w:ascii="Times New Roman" w:hAnsi="Times New Roman" w:eastAsia="Times New Roman" w:cs="Times New Roman"/>
                <w:spacing w:val="-7"/>
                <w:position w:val="18"/>
                <w:sz w:val="24"/>
                <w:szCs w:val="24"/>
              </w:rPr>
              <w:t>1.6km</w:t>
            </w:r>
            <w:r>
              <w:rPr>
                <w:rFonts w:ascii="Times New Roman" w:hAnsi="Times New Roman" w:eastAsia="Times New Roman" w:cs="Times New Roman"/>
                <w:spacing w:val="-30"/>
                <w:position w:val="18"/>
                <w:sz w:val="24"/>
                <w:szCs w:val="24"/>
              </w:rPr>
              <w:t xml:space="preserve"> </w:t>
            </w:r>
            <w:r>
              <w:rPr>
                <w:spacing w:val="-7"/>
                <w:position w:val="18"/>
                <w:sz w:val="24"/>
                <w:szCs w:val="24"/>
              </w:rPr>
              <w:t>，通川城</w:t>
            </w:r>
          </w:p>
          <w:p>
            <w:pPr>
              <w:pStyle w:val="6"/>
              <w:spacing w:before="1" w:line="218" w:lineRule="auto"/>
              <w:ind w:left="123"/>
              <w:rPr>
                <w:sz w:val="24"/>
                <w:szCs w:val="24"/>
              </w:rPr>
            </w:pPr>
            <w:r>
              <w:rPr>
                <w:spacing w:val="-5"/>
                <w:sz w:val="24"/>
                <w:szCs w:val="24"/>
              </w:rPr>
              <w:t>区</w:t>
            </w:r>
            <w:r>
              <w:rPr>
                <w:spacing w:val="-43"/>
                <w:sz w:val="24"/>
                <w:szCs w:val="24"/>
              </w:rPr>
              <w:t xml:space="preserve"> </w:t>
            </w:r>
            <w:r>
              <w:rPr>
                <w:rFonts w:ascii="Times New Roman" w:hAnsi="Times New Roman" w:eastAsia="Times New Roman" w:cs="Times New Roman"/>
                <w:spacing w:val="-5"/>
                <w:sz w:val="24"/>
                <w:szCs w:val="24"/>
              </w:rPr>
              <w:t>50km</w:t>
            </w:r>
            <w:r>
              <w:rPr>
                <w:spacing w:val="-5"/>
                <w:sz w:val="24"/>
                <w:szCs w:val="24"/>
              </w:rPr>
              <w:t xml:space="preserve">。拟建项目地理位置图见附图 </w:t>
            </w:r>
            <w:r>
              <w:rPr>
                <w:rFonts w:ascii="Times New Roman" w:hAnsi="Times New Roman" w:eastAsia="Times New Roman" w:cs="Times New Roman"/>
                <w:spacing w:val="-5"/>
                <w:sz w:val="24"/>
                <w:szCs w:val="24"/>
              </w:rPr>
              <w:t>1</w:t>
            </w:r>
            <w:r>
              <w:rPr>
                <w:spacing w:val="-5"/>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6" w:hRule="atLeast"/>
        </w:trPr>
        <w:tc>
          <w:tcPr>
            <w:tcW w:w="465" w:type="dxa"/>
            <w:tcBorders>
              <w:top w:val="single" w:color="000000" w:sz="2" w:space="0"/>
              <w:right w:val="single" w:color="000000" w:sz="2" w:space="0"/>
            </w:tcBorders>
            <w:textDirection w:val="tbRlV"/>
            <w:vAlign w:val="top"/>
          </w:tcPr>
          <w:p>
            <w:pPr>
              <w:pStyle w:val="6"/>
              <w:spacing w:before="111" w:line="209" w:lineRule="auto"/>
              <w:ind w:left="4773"/>
              <w:rPr>
                <w:sz w:val="24"/>
                <w:szCs w:val="24"/>
              </w:rPr>
            </w:pPr>
            <w:r>
              <w:rPr>
                <w:sz w:val="24"/>
                <w:szCs w:val="24"/>
              </w:rPr>
              <w:t>项</w:t>
            </w:r>
            <w:r>
              <w:rPr>
                <w:spacing w:val="-48"/>
                <w:sz w:val="24"/>
                <w:szCs w:val="24"/>
              </w:rPr>
              <w:t xml:space="preserve"> </w:t>
            </w:r>
            <w:r>
              <w:rPr>
                <w:sz w:val="24"/>
                <w:szCs w:val="24"/>
              </w:rPr>
              <w:t>目</w:t>
            </w:r>
            <w:r>
              <w:rPr>
                <w:spacing w:val="-51"/>
                <w:sz w:val="24"/>
                <w:szCs w:val="24"/>
              </w:rPr>
              <w:t xml:space="preserve"> </w:t>
            </w:r>
            <w:r>
              <w:rPr>
                <w:sz w:val="24"/>
                <w:szCs w:val="24"/>
              </w:rPr>
              <w:t>组</w:t>
            </w:r>
            <w:r>
              <w:rPr>
                <w:spacing w:val="-48"/>
                <w:sz w:val="24"/>
                <w:szCs w:val="24"/>
              </w:rPr>
              <w:t xml:space="preserve"> </w:t>
            </w:r>
            <w:r>
              <w:rPr>
                <w:sz w:val="24"/>
                <w:szCs w:val="24"/>
              </w:rPr>
              <w:t>成</w:t>
            </w:r>
            <w:r>
              <w:rPr>
                <w:spacing w:val="-48"/>
                <w:sz w:val="24"/>
                <w:szCs w:val="24"/>
              </w:rPr>
              <w:t xml:space="preserve"> </w:t>
            </w:r>
            <w:r>
              <w:rPr>
                <w:sz w:val="24"/>
                <w:szCs w:val="24"/>
              </w:rPr>
              <w:t>及</w:t>
            </w:r>
            <w:r>
              <w:rPr>
                <w:spacing w:val="-51"/>
                <w:sz w:val="24"/>
                <w:szCs w:val="24"/>
              </w:rPr>
              <w:t xml:space="preserve"> </w:t>
            </w:r>
            <w:r>
              <w:rPr>
                <w:sz w:val="24"/>
                <w:szCs w:val="24"/>
              </w:rPr>
              <w:t>规</w:t>
            </w:r>
            <w:r>
              <w:rPr>
                <w:spacing w:val="-48"/>
                <w:sz w:val="24"/>
                <w:szCs w:val="24"/>
              </w:rPr>
              <w:t xml:space="preserve"> </w:t>
            </w:r>
            <w:r>
              <w:rPr>
                <w:sz w:val="24"/>
                <w:szCs w:val="24"/>
              </w:rPr>
              <w:t>模</w:t>
            </w:r>
          </w:p>
        </w:tc>
        <w:tc>
          <w:tcPr>
            <w:tcW w:w="8826" w:type="dxa"/>
            <w:tcBorders>
              <w:top w:val="single" w:color="000000" w:sz="2" w:space="0"/>
              <w:left w:val="single" w:color="000000" w:sz="2" w:space="0"/>
            </w:tcBorders>
            <w:vAlign w:val="top"/>
          </w:tcPr>
          <w:p>
            <w:pPr>
              <w:pStyle w:val="6"/>
              <w:spacing w:before="229" w:line="220" w:lineRule="auto"/>
              <w:ind w:left="102"/>
              <w:rPr>
                <w:sz w:val="24"/>
                <w:szCs w:val="24"/>
              </w:rPr>
            </w:pPr>
            <w:r>
              <w:rPr>
                <w:rFonts w:ascii="Times New Roman" w:hAnsi="Times New Roman" w:eastAsia="Times New Roman" w:cs="Times New Roman"/>
                <w:b/>
                <w:bCs/>
                <w:spacing w:val="-3"/>
                <w:sz w:val="24"/>
                <w:szCs w:val="24"/>
              </w:rPr>
              <w:t>2.1</w:t>
            </w:r>
            <w:r>
              <w:rPr>
                <w:rFonts w:ascii="Times New Roman" w:hAnsi="Times New Roman" w:eastAsia="Times New Roman" w:cs="Times New Roman"/>
                <w:b/>
                <w:bCs/>
                <w:spacing w:val="35"/>
                <w:w w:val="101"/>
                <w:sz w:val="24"/>
                <w:szCs w:val="24"/>
              </w:rPr>
              <w:t xml:space="preserve"> </w:t>
            </w:r>
            <w:r>
              <w:rPr>
                <w:spacing w:val="-3"/>
                <w:sz w:val="24"/>
                <w:szCs w:val="24"/>
                <w14:textOutline w14:w="4354" w14:cap="flat" w14:cmpd="sng">
                  <w14:solidFill>
                    <w14:srgbClr w14:val="000000"/>
                  </w14:solidFill>
                  <w14:prstDash w14:val="solid"/>
                  <w14:miter w14:val="10"/>
                </w14:textOutline>
              </w:rPr>
              <w:t>区块概况及项目由来</w:t>
            </w:r>
          </w:p>
          <w:p>
            <w:pPr>
              <w:pStyle w:val="6"/>
              <w:spacing w:before="225" w:line="220" w:lineRule="auto"/>
              <w:ind w:left="102"/>
              <w:rPr>
                <w:sz w:val="24"/>
                <w:szCs w:val="24"/>
              </w:rPr>
            </w:pPr>
            <w:r>
              <w:rPr>
                <w:rFonts w:ascii="Times New Roman" w:hAnsi="Times New Roman" w:eastAsia="Times New Roman" w:cs="Times New Roman"/>
                <w:b/>
                <w:bCs/>
                <w:spacing w:val="-3"/>
                <w:sz w:val="24"/>
                <w:szCs w:val="24"/>
              </w:rPr>
              <w:t>2.1.1</w:t>
            </w:r>
            <w:r>
              <w:rPr>
                <w:rFonts w:ascii="Times New Roman" w:hAnsi="Times New Roman" w:eastAsia="Times New Roman" w:cs="Times New Roman"/>
                <w:b/>
                <w:bCs/>
                <w:spacing w:val="32"/>
                <w:w w:val="101"/>
                <w:sz w:val="24"/>
                <w:szCs w:val="24"/>
              </w:rPr>
              <w:t xml:space="preserve"> </w:t>
            </w:r>
            <w:r>
              <w:rPr>
                <w:spacing w:val="-3"/>
                <w:sz w:val="24"/>
                <w:szCs w:val="24"/>
                <w14:textOutline w14:w="4354" w14:cap="flat" w14:cmpd="sng">
                  <w14:solidFill>
                    <w14:srgbClr w14:val="000000"/>
                  </w14:solidFill>
                  <w14:prstDash w14:val="solid"/>
                  <w14:miter w14:val="10"/>
                </w14:textOutline>
              </w:rPr>
              <w:t>区块勘探概况</w:t>
            </w:r>
          </w:p>
          <w:p>
            <w:pPr>
              <w:pStyle w:val="6"/>
              <w:spacing w:before="204" w:line="369" w:lineRule="auto"/>
              <w:ind w:left="103" w:right="102" w:firstLine="483"/>
              <w:rPr>
                <w:sz w:val="24"/>
                <w:szCs w:val="24"/>
              </w:rPr>
            </w:pPr>
            <w:r>
              <w:rPr>
                <w:spacing w:val="-4"/>
                <w:sz w:val="24"/>
                <w:szCs w:val="24"/>
              </w:rPr>
              <w:t>本次拟建的凤探</w:t>
            </w:r>
            <w:r>
              <w:rPr>
                <w:spacing w:val="-31"/>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井位于四川省达州市通川</w:t>
            </w:r>
            <w:r>
              <w:rPr>
                <w:spacing w:val="-5"/>
                <w:sz w:val="24"/>
                <w:szCs w:val="24"/>
              </w:rPr>
              <w:t>区江陵镇和平村</w:t>
            </w:r>
            <w:r>
              <w:rPr>
                <w:spacing w:val="-32"/>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组，</w:t>
            </w:r>
            <w:r>
              <w:rPr>
                <w:spacing w:val="-52"/>
                <w:sz w:val="24"/>
                <w:szCs w:val="24"/>
              </w:rPr>
              <w:t xml:space="preserve"> </w:t>
            </w:r>
            <w:r>
              <w:rPr>
                <w:spacing w:val="-5"/>
                <w:sz w:val="24"/>
                <w:szCs w:val="24"/>
              </w:rPr>
              <w:t>属于川渝探</w:t>
            </w:r>
            <w:r>
              <w:rPr>
                <w:sz w:val="24"/>
                <w:szCs w:val="24"/>
              </w:rPr>
              <w:t xml:space="preserve"> </w:t>
            </w:r>
            <w:r>
              <w:rPr>
                <w:spacing w:val="-6"/>
                <w:sz w:val="24"/>
                <w:szCs w:val="24"/>
              </w:rPr>
              <w:t>区平昌</w:t>
            </w:r>
            <w:r>
              <w:rPr>
                <w:rFonts w:ascii="Times New Roman" w:hAnsi="Times New Roman" w:eastAsia="Times New Roman" w:cs="Times New Roman"/>
                <w:spacing w:val="-6"/>
                <w:sz w:val="24"/>
                <w:szCs w:val="24"/>
              </w:rPr>
              <w:t>-</w:t>
            </w:r>
            <w:r>
              <w:rPr>
                <w:spacing w:val="-6"/>
                <w:sz w:val="24"/>
                <w:szCs w:val="24"/>
              </w:rPr>
              <w:t>万源勘探项目。所在区域的探矿权属中国石油天然气股份有限公司</w:t>
            </w:r>
            <w:r>
              <w:rPr>
                <w:spacing w:val="-7"/>
                <w:sz w:val="24"/>
                <w:szCs w:val="24"/>
              </w:rPr>
              <w:t>所有， 勘</w:t>
            </w:r>
            <w:r>
              <w:rPr>
                <w:sz w:val="24"/>
                <w:szCs w:val="24"/>
              </w:rPr>
              <w:t xml:space="preserve"> </w:t>
            </w:r>
            <w:r>
              <w:rPr>
                <w:spacing w:val="22"/>
                <w:sz w:val="24"/>
                <w:szCs w:val="24"/>
              </w:rPr>
              <w:t>查项目名称为“四川省四川盆地东北平昌</w:t>
            </w:r>
            <w:r>
              <w:rPr>
                <w:rFonts w:ascii="Times New Roman" w:hAnsi="Times New Roman" w:eastAsia="Times New Roman" w:cs="Times New Roman"/>
                <w:spacing w:val="22"/>
                <w:sz w:val="24"/>
                <w:szCs w:val="24"/>
              </w:rPr>
              <w:t>-</w:t>
            </w:r>
            <w:r>
              <w:rPr>
                <w:rFonts w:ascii="Times New Roman" w:hAnsi="Times New Roman" w:eastAsia="Times New Roman" w:cs="Times New Roman"/>
                <w:spacing w:val="-6"/>
                <w:sz w:val="24"/>
                <w:szCs w:val="24"/>
              </w:rPr>
              <w:t xml:space="preserve"> </w:t>
            </w:r>
            <w:r>
              <w:rPr>
                <w:spacing w:val="22"/>
                <w:sz w:val="24"/>
                <w:szCs w:val="24"/>
              </w:rPr>
              <w:t>万源地区油气勘查”，</w:t>
            </w:r>
            <w:r>
              <w:rPr>
                <w:spacing w:val="-57"/>
                <w:sz w:val="24"/>
                <w:szCs w:val="24"/>
              </w:rPr>
              <w:t xml:space="preserve"> </w:t>
            </w:r>
            <w:r>
              <w:rPr>
                <w:spacing w:val="22"/>
                <w:sz w:val="24"/>
                <w:szCs w:val="24"/>
              </w:rPr>
              <w:t>许可证号</w:t>
            </w:r>
            <w:r>
              <w:rPr>
                <w:sz w:val="24"/>
                <w:szCs w:val="24"/>
              </w:rPr>
              <w:t xml:space="preserve"> </w:t>
            </w:r>
            <w:r>
              <w:rPr>
                <w:rFonts w:ascii="Times New Roman" w:hAnsi="Times New Roman" w:eastAsia="Times New Roman" w:cs="Times New Roman"/>
                <w:spacing w:val="-6"/>
                <w:sz w:val="24"/>
                <w:szCs w:val="24"/>
              </w:rPr>
              <w:t>T1000002022111018001272</w:t>
            </w:r>
            <w:r>
              <w:rPr>
                <w:spacing w:val="-6"/>
                <w:sz w:val="24"/>
                <w:szCs w:val="24"/>
              </w:rPr>
              <w:t>，有效期</w:t>
            </w:r>
            <w:r>
              <w:rPr>
                <w:spacing w:val="-46"/>
                <w:sz w:val="24"/>
                <w:szCs w:val="24"/>
              </w:rPr>
              <w:t xml:space="preserve"> </w:t>
            </w:r>
            <w:r>
              <w:rPr>
                <w:rFonts w:ascii="Times New Roman" w:hAnsi="Times New Roman" w:eastAsia="Times New Roman" w:cs="Times New Roman"/>
                <w:spacing w:val="-6"/>
                <w:sz w:val="24"/>
                <w:szCs w:val="24"/>
              </w:rPr>
              <w:t xml:space="preserve">2022 </w:t>
            </w:r>
            <w:r>
              <w:rPr>
                <w:spacing w:val="-6"/>
                <w:sz w:val="24"/>
                <w:szCs w:val="24"/>
              </w:rPr>
              <w:t>年</w:t>
            </w:r>
            <w:r>
              <w:rPr>
                <w:spacing w:val="-48"/>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sz w:val="24"/>
                <w:szCs w:val="24"/>
              </w:rPr>
              <w:t xml:space="preserve"> </w:t>
            </w:r>
            <w:r>
              <w:rPr>
                <w:spacing w:val="-6"/>
                <w:sz w:val="24"/>
                <w:szCs w:val="24"/>
              </w:rPr>
              <w:t>月</w:t>
            </w:r>
            <w:r>
              <w:rPr>
                <w:spacing w:val="-32"/>
                <w:sz w:val="24"/>
                <w:szCs w:val="24"/>
              </w:rPr>
              <w:t xml:space="preserve"> </w:t>
            </w:r>
            <w:r>
              <w:rPr>
                <w:rFonts w:ascii="Times New Roman" w:hAnsi="Times New Roman" w:eastAsia="Times New Roman" w:cs="Times New Roman"/>
                <w:spacing w:val="-6"/>
                <w:sz w:val="24"/>
                <w:szCs w:val="24"/>
              </w:rPr>
              <w:t xml:space="preserve">10  </w:t>
            </w:r>
            <w:r>
              <w:rPr>
                <w:spacing w:val="-6"/>
                <w:sz w:val="24"/>
                <w:szCs w:val="24"/>
              </w:rPr>
              <w:t>日至</w:t>
            </w:r>
            <w:r>
              <w:rPr>
                <w:spacing w:val="-55"/>
                <w:sz w:val="24"/>
                <w:szCs w:val="24"/>
              </w:rPr>
              <w:t xml:space="preserve"> </w:t>
            </w:r>
            <w:r>
              <w:rPr>
                <w:rFonts w:ascii="Times New Roman" w:hAnsi="Times New Roman" w:eastAsia="Times New Roman" w:cs="Times New Roman"/>
                <w:spacing w:val="-6"/>
                <w:sz w:val="24"/>
                <w:szCs w:val="24"/>
              </w:rPr>
              <w:t xml:space="preserve">2027 </w:t>
            </w:r>
            <w:r>
              <w:rPr>
                <w:spacing w:val="-6"/>
                <w:sz w:val="24"/>
                <w:szCs w:val="24"/>
              </w:rPr>
              <w:t>年</w:t>
            </w:r>
            <w:r>
              <w:rPr>
                <w:spacing w:val="-48"/>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sz w:val="24"/>
                <w:szCs w:val="24"/>
              </w:rPr>
              <w:t xml:space="preserve"> </w:t>
            </w:r>
            <w:r>
              <w:rPr>
                <w:spacing w:val="-6"/>
                <w:sz w:val="24"/>
                <w:szCs w:val="24"/>
              </w:rPr>
              <w:t>月</w:t>
            </w:r>
            <w:r>
              <w:rPr>
                <w:spacing w:val="-50"/>
                <w:sz w:val="24"/>
                <w:szCs w:val="24"/>
              </w:rPr>
              <w:t xml:space="preserve"> </w:t>
            </w:r>
            <w:r>
              <w:rPr>
                <w:rFonts w:ascii="Times New Roman" w:hAnsi="Times New Roman" w:eastAsia="Times New Roman" w:cs="Times New Roman"/>
                <w:spacing w:val="-6"/>
                <w:sz w:val="24"/>
                <w:szCs w:val="24"/>
              </w:rPr>
              <w:t xml:space="preserve">9  </w:t>
            </w:r>
            <w:r>
              <w:rPr>
                <w:spacing w:val="-6"/>
                <w:sz w:val="24"/>
                <w:szCs w:val="24"/>
              </w:rPr>
              <w:t>日，</w:t>
            </w:r>
            <w:r>
              <w:rPr>
                <w:spacing w:val="-67"/>
                <w:sz w:val="24"/>
                <w:szCs w:val="24"/>
              </w:rPr>
              <w:t xml:space="preserve"> </w:t>
            </w:r>
            <w:r>
              <w:rPr>
                <w:spacing w:val="-6"/>
                <w:sz w:val="24"/>
                <w:szCs w:val="24"/>
              </w:rPr>
              <w:t>探矿权</w:t>
            </w:r>
            <w:r>
              <w:rPr>
                <w:sz w:val="24"/>
                <w:szCs w:val="24"/>
              </w:rPr>
              <w:t xml:space="preserve"> </w:t>
            </w:r>
            <w:r>
              <w:rPr>
                <w:spacing w:val="-5"/>
                <w:sz w:val="24"/>
                <w:szCs w:val="24"/>
              </w:rPr>
              <w:t>面积</w:t>
            </w:r>
            <w:r>
              <w:rPr>
                <w:spacing w:val="-56"/>
                <w:sz w:val="24"/>
                <w:szCs w:val="24"/>
              </w:rPr>
              <w:t xml:space="preserve"> </w:t>
            </w:r>
            <w:r>
              <w:rPr>
                <w:rFonts w:ascii="Times New Roman" w:hAnsi="Times New Roman" w:eastAsia="Times New Roman" w:cs="Times New Roman"/>
                <w:spacing w:val="-5"/>
                <w:sz w:val="24"/>
                <w:szCs w:val="24"/>
              </w:rPr>
              <w:t>4628.2602km</w:t>
            </w:r>
            <w:r>
              <w:rPr>
                <w:rFonts w:ascii="Times New Roman" w:hAnsi="Times New Roman" w:eastAsia="Times New Roman" w:cs="Times New Roman"/>
                <w:spacing w:val="-5"/>
                <w:position w:val="9"/>
                <w:sz w:val="16"/>
                <w:szCs w:val="16"/>
              </w:rPr>
              <w:t>2</w:t>
            </w:r>
            <w:r>
              <w:rPr>
                <w:spacing w:val="-5"/>
                <w:sz w:val="24"/>
                <w:szCs w:val="24"/>
              </w:rPr>
              <w:t>。涉及勘查区域为四川省达州市达川区、通川</w:t>
            </w:r>
            <w:r>
              <w:rPr>
                <w:spacing w:val="-6"/>
                <w:sz w:val="24"/>
                <w:szCs w:val="24"/>
              </w:rPr>
              <w:t>区、</w:t>
            </w:r>
            <w:r>
              <w:rPr>
                <w:spacing w:val="36"/>
                <w:sz w:val="24"/>
                <w:szCs w:val="24"/>
              </w:rPr>
              <w:t xml:space="preserve"> </w:t>
            </w:r>
            <w:r>
              <w:rPr>
                <w:spacing w:val="-6"/>
                <w:sz w:val="24"/>
                <w:szCs w:val="24"/>
              </w:rPr>
              <w:t>万源市、宣汉</w:t>
            </w:r>
            <w:r>
              <w:rPr>
                <w:sz w:val="24"/>
                <w:szCs w:val="24"/>
              </w:rPr>
              <w:t xml:space="preserve"> </w:t>
            </w:r>
            <w:r>
              <w:rPr>
                <w:spacing w:val="-3"/>
                <w:sz w:val="24"/>
                <w:szCs w:val="24"/>
              </w:rPr>
              <w:t xml:space="preserve">县，巴中市巴州区、平昌县、通江县。项目区块内前期已经部署平安 </w:t>
            </w:r>
            <w:r>
              <w:rPr>
                <w:rFonts w:ascii="Times New Roman" w:hAnsi="Times New Roman" w:eastAsia="Times New Roman" w:cs="Times New Roman"/>
                <w:spacing w:val="-3"/>
                <w:sz w:val="24"/>
                <w:szCs w:val="24"/>
              </w:rPr>
              <w:t>1</w:t>
            </w:r>
            <w:r>
              <w:rPr>
                <w:spacing w:val="-3"/>
                <w:sz w:val="24"/>
                <w:szCs w:val="24"/>
              </w:rPr>
              <w:t>、平页</w:t>
            </w:r>
            <w:r>
              <w:rPr>
                <w:spacing w:val="5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4"/>
                <w:sz w:val="24"/>
                <w:szCs w:val="24"/>
              </w:rPr>
              <w:t xml:space="preserve"> </w:t>
            </w:r>
            <w:r>
              <w:rPr>
                <w:spacing w:val="-3"/>
                <w:sz w:val="24"/>
                <w:szCs w:val="24"/>
              </w:rPr>
              <w:t>、</w:t>
            </w:r>
            <w:r>
              <w:rPr>
                <w:sz w:val="24"/>
                <w:szCs w:val="24"/>
              </w:rPr>
              <w:t xml:space="preserve"> </w:t>
            </w:r>
            <w:r>
              <w:rPr>
                <w:spacing w:val="-6"/>
                <w:sz w:val="24"/>
                <w:szCs w:val="24"/>
              </w:rPr>
              <w:t>龙岗</w:t>
            </w:r>
            <w:r>
              <w:rPr>
                <w:spacing w:val="-57"/>
                <w:sz w:val="24"/>
                <w:szCs w:val="24"/>
              </w:rPr>
              <w:t xml:space="preserve"> </w:t>
            </w:r>
            <w:r>
              <w:rPr>
                <w:rFonts w:ascii="Times New Roman" w:hAnsi="Times New Roman" w:eastAsia="Times New Roman" w:cs="Times New Roman"/>
                <w:spacing w:val="-6"/>
                <w:sz w:val="24"/>
                <w:szCs w:val="24"/>
              </w:rPr>
              <w:t>42</w:t>
            </w:r>
            <w:r>
              <w:rPr>
                <w:spacing w:val="-6"/>
                <w:sz w:val="24"/>
                <w:szCs w:val="24"/>
              </w:rPr>
              <w:t>、营浅</w:t>
            </w:r>
            <w:r>
              <w:rPr>
                <w:spacing w:val="-55"/>
                <w:sz w:val="24"/>
                <w:szCs w:val="24"/>
              </w:rPr>
              <w:t xml:space="preserve"> </w:t>
            </w:r>
            <w:r>
              <w:rPr>
                <w:rFonts w:ascii="Times New Roman" w:hAnsi="Times New Roman" w:eastAsia="Times New Roman" w:cs="Times New Roman"/>
                <w:spacing w:val="-6"/>
                <w:sz w:val="24"/>
                <w:szCs w:val="24"/>
              </w:rPr>
              <w:t>2</w:t>
            </w:r>
            <w:r>
              <w:rPr>
                <w:spacing w:val="-6"/>
                <w:sz w:val="24"/>
                <w:szCs w:val="24"/>
              </w:rPr>
              <w:t>、庆龙</w:t>
            </w:r>
            <w:r>
              <w:rPr>
                <w:spacing w:val="-34"/>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34"/>
                <w:sz w:val="24"/>
                <w:szCs w:val="24"/>
              </w:rPr>
              <w:t xml:space="preserve"> </w:t>
            </w:r>
            <w:r>
              <w:rPr>
                <w:spacing w:val="-6"/>
                <w:sz w:val="24"/>
                <w:szCs w:val="24"/>
              </w:rPr>
              <w:t>、龙岗</w:t>
            </w:r>
            <w:r>
              <w:rPr>
                <w:spacing w:val="-32"/>
                <w:sz w:val="24"/>
                <w:szCs w:val="24"/>
              </w:rPr>
              <w:t xml:space="preserve"> </w:t>
            </w:r>
            <w:r>
              <w:rPr>
                <w:rFonts w:ascii="Times New Roman" w:hAnsi="Times New Roman" w:eastAsia="Times New Roman" w:cs="Times New Roman"/>
                <w:spacing w:val="-6"/>
                <w:sz w:val="24"/>
                <w:szCs w:val="24"/>
              </w:rPr>
              <w:t xml:space="preserve">1 </w:t>
            </w:r>
            <w:r>
              <w:rPr>
                <w:spacing w:val="-6"/>
                <w:sz w:val="24"/>
                <w:szCs w:val="24"/>
              </w:rPr>
              <w:t>井、龙岗</w:t>
            </w:r>
            <w:r>
              <w:rPr>
                <w:spacing w:val="-32"/>
                <w:sz w:val="24"/>
                <w:szCs w:val="24"/>
              </w:rPr>
              <w:t xml:space="preserve"> </w:t>
            </w:r>
            <w:r>
              <w:rPr>
                <w:rFonts w:ascii="Times New Roman" w:hAnsi="Times New Roman" w:eastAsia="Times New Roman" w:cs="Times New Roman"/>
                <w:spacing w:val="-6"/>
                <w:sz w:val="24"/>
                <w:szCs w:val="24"/>
              </w:rPr>
              <w:t xml:space="preserve">18 </w:t>
            </w:r>
            <w:r>
              <w:rPr>
                <w:spacing w:val="-6"/>
                <w:sz w:val="24"/>
                <w:szCs w:val="24"/>
              </w:rPr>
              <w:t>井、龙岗</w:t>
            </w:r>
            <w:r>
              <w:rPr>
                <w:spacing w:val="-55"/>
                <w:sz w:val="24"/>
                <w:szCs w:val="24"/>
              </w:rPr>
              <w:t xml:space="preserve"> </w:t>
            </w:r>
            <w:r>
              <w:rPr>
                <w:rFonts w:ascii="Times New Roman" w:hAnsi="Times New Roman" w:eastAsia="Times New Roman" w:cs="Times New Roman"/>
                <w:spacing w:val="-6"/>
                <w:sz w:val="24"/>
                <w:szCs w:val="24"/>
              </w:rPr>
              <w:t xml:space="preserve">26 </w:t>
            </w:r>
            <w:r>
              <w:rPr>
                <w:spacing w:val="-6"/>
                <w:sz w:val="24"/>
                <w:szCs w:val="24"/>
              </w:rPr>
              <w:t>井、水深</w:t>
            </w:r>
            <w:r>
              <w:rPr>
                <w:spacing w:val="-31"/>
                <w:sz w:val="24"/>
                <w:szCs w:val="24"/>
              </w:rPr>
              <w:t xml:space="preserve"> </w:t>
            </w:r>
            <w:r>
              <w:rPr>
                <w:rFonts w:ascii="Times New Roman" w:hAnsi="Times New Roman" w:eastAsia="Times New Roman" w:cs="Times New Roman"/>
                <w:spacing w:val="-6"/>
                <w:sz w:val="24"/>
                <w:szCs w:val="24"/>
              </w:rPr>
              <w:t>1</w:t>
            </w:r>
            <w:r>
              <w:rPr>
                <w:spacing w:val="-6"/>
                <w:sz w:val="24"/>
                <w:szCs w:val="24"/>
              </w:rPr>
              <w:t>、龙会</w:t>
            </w:r>
            <w:r>
              <w:rPr>
                <w:spacing w:val="-50"/>
                <w:sz w:val="24"/>
                <w:szCs w:val="24"/>
              </w:rPr>
              <w:t xml:space="preserve"> </w:t>
            </w:r>
            <w:r>
              <w:rPr>
                <w:rFonts w:ascii="Times New Roman" w:hAnsi="Times New Roman" w:eastAsia="Times New Roman" w:cs="Times New Roman"/>
                <w:spacing w:val="-6"/>
                <w:sz w:val="24"/>
                <w:szCs w:val="24"/>
              </w:rPr>
              <w:t>3</w:t>
            </w:r>
            <w:r>
              <w:rPr>
                <w:spacing w:val="-6"/>
                <w:sz w:val="24"/>
                <w:szCs w:val="24"/>
              </w:rPr>
              <w:t>、大</w:t>
            </w:r>
          </w:p>
          <w:p>
            <w:pPr>
              <w:pStyle w:val="6"/>
              <w:spacing w:line="219" w:lineRule="auto"/>
              <w:ind w:left="135"/>
              <w:rPr>
                <w:sz w:val="24"/>
                <w:szCs w:val="24"/>
              </w:rPr>
            </w:pPr>
            <w:r>
              <w:rPr>
                <w:spacing w:val="-20"/>
                <w:sz w:val="24"/>
                <w:szCs w:val="24"/>
              </w:rPr>
              <w:t>田</w:t>
            </w:r>
            <w:r>
              <w:rPr>
                <w:spacing w:val="-31"/>
                <w:sz w:val="24"/>
                <w:szCs w:val="24"/>
              </w:rPr>
              <w:t xml:space="preserve"> </w:t>
            </w:r>
            <w:r>
              <w:rPr>
                <w:rFonts w:ascii="Times New Roman" w:hAnsi="Times New Roman" w:eastAsia="Times New Roman" w:cs="Times New Roman"/>
                <w:spacing w:val="-20"/>
                <w:sz w:val="24"/>
                <w:szCs w:val="24"/>
              </w:rPr>
              <w:t>1</w:t>
            </w:r>
            <w:r>
              <w:rPr>
                <w:rFonts w:ascii="Times New Roman" w:hAnsi="Times New Roman" w:eastAsia="Times New Roman" w:cs="Times New Roman"/>
                <w:spacing w:val="12"/>
                <w:sz w:val="24"/>
                <w:szCs w:val="24"/>
              </w:rPr>
              <w:t xml:space="preserve"> </w:t>
            </w:r>
            <w:r>
              <w:rPr>
                <w:spacing w:val="-20"/>
                <w:sz w:val="24"/>
                <w:szCs w:val="24"/>
              </w:rPr>
              <w:t>等井。</w:t>
            </w:r>
          </w:p>
          <w:p>
            <w:pPr>
              <w:pStyle w:val="6"/>
              <w:spacing w:before="227" w:line="220" w:lineRule="auto"/>
              <w:ind w:left="102"/>
              <w:rPr>
                <w:sz w:val="24"/>
                <w:szCs w:val="24"/>
              </w:rPr>
            </w:pPr>
            <w:r>
              <w:rPr>
                <w:rFonts w:ascii="Times New Roman" w:hAnsi="Times New Roman" w:eastAsia="Times New Roman" w:cs="Times New Roman"/>
                <w:b/>
                <w:bCs/>
                <w:spacing w:val="-2"/>
                <w:sz w:val="24"/>
                <w:szCs w:val="24"/>
              </w:rPr>
              <w:t>2.1.2</w:t>
            </w:r>
            <w:r>
              <w:rPr>
                <w:rFonts w:ascii="Times New Roman" w:hAnsi="Times New Roman" w:eastAsia="Times New Roman" w:cs="Times New Roman"/>
                <w:b/>
                <w:bCs/>
                <w:spacing w:val="15"/>
                <w:sz w:val="24"/>
                <w:szCs w:val="24"/>
              </w:rPr>
              <w:t xml:space="preserve"> </w:t>
            </w:r>
            <w:r>
              <w:rPr>
                <w:spacing w:val="-2"/>
                <w:sz w:val="24"/>
                <w:szCs w:val="24"/>
                <w14:textOutline w14:w="4354" w14:cap="flat" w14:cmpd="sng">
                  <w14:solidFill>
                    <w14:srgbClr w14:val="000000"/>
                  </w14:solidFill>
                  <w14:prstDash w14:val="solid"/>
                  <w14:miter w14:val="10"/>
                </w14:textOutline>
              </w:rPr>
              <w:t>项目由来</w:t>
            </w:r>
          </w:p>
          <w:p>
            <w:pPr>
              <w:pStyle w:val="6"/>
              <w:spacing w:before="204" w:line="369" w:lineRule="auto"/>
              <w:ind w:left="101" w:right="101" w:firstLine="484"/>
              <w:rPr>
                <w:sz w:val="24"/>
                <w:szCs w:val="24"/>
              </w:rPr>
            </w:pPr>
            <w:r>
              <w:rPr>
                <w:spacing w:val="10"/>
                <w:sz w:val="24"/>
                <w:szCs w:val="24"/>
              </w:rPr>
              <w:t>研究表明，石炭系黄龙组沉积时期平昌</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3"/>
                <w:sz w:val="24"/>
                <w:szCs w:val="24"/>
              </w:rPr>
              <w:t xml:space="preserve"> </w:t>
            </w:r>
            <w:r>
              <w:rPr>
                <w:spacing w:val="10"/>
                <w:sz w:val="24"/>
                <w:szCs w:val="24"/>
              </w:rPr>
              <w:t>巴</w:t>
            </w:r>
            <w:r>
              <w:rPr>
                <w:spacing w:val="9"/>
                <w:sz w:val="24"/>
                <w:szCs w:val="24"/>
              </w:rPr>
              <w:t>中地区发育颗粒滩沉积，面积达</w:t>
            </w:r>
            <w:r>
              <w:rPr>
                <w:sz w:val="24"/>
                <w:szCs w:val="24"/>
              </w:rPr>
              <w:t xml:space="preserve"> </w:t>
            </w:r>
            <w:r>
              <w:rPr>
                <w:rFonts w:ascii="Times New Roman" w:hAnsi="Times New Roman" w:eastAsia="Times New Roman" w:cs="Times New Roman"/>
                <w:spacing w:val="-3"/>
                <w:sz w:val="24"/>
                <w:szCs w:val="24"/>
              </w:rPr>
              <w:t>2860km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3"/>
                <w:position w:val="9"/>
                <w:sz w:val="16"/>
                <w:szCs w:val="16"/>
              </w:rPr>
              <w:t xml:space="preserve"> </w:t>
            </w:r>
            <w:r>
              <w:rPr>
                <w:spacing w:val="-3"/>
                <w:sz w:val="24"/>
                <w:szCs w:val="24"/>
              </w:rPr>
              <w:t xml:space="preserve">，厚度 </w:t>
            </w:r>
            <w:r>
              <w:rPr>
                <w:rFonts w:ascii="Times New Roman" w:hAnsi="Times New Roman" w:eastAsia="Times New Roman" w:cs="Times New Roman"/>
                <w:spacing w:val="-3"/>
                <w:sz w:val="24"/>
                <w:szCs w:val="24"/>
              </w:rPr>
              <w:t>30</w:t>
            </w:r>
            <w:r>
              <w:rPr>
                <w:spacing w:val="-3"/>
                <w:sz w:val="24"/>
                <w:szCs w:val="24"/>
              </w:rPr>
              <w:t>～</w:t>
            </w:r>
            <w:r>
              <w:rPr>
                <w:rFonts w:ascii="Times New Roman" w:hAnsi="Times New Roman" w:eastAsia="Times New Roman" w:cs="Times New Roman"/>
                <w:spacing w:val="-3"/>
                <w:sz w:val="24"/>
                <w:szCs w:val="24"/>
              </w:rPr>
              <w:t>60m</w:t>
            </w:r>
            <w:r>
              <w:rPr>
                <w:spacing w:val="-3"/>
                <w:sz w:val="24"/>
                <w:szCs w:val="24"/>
              </w:rPr>
              <w:t xml:space="preserve">，资源量 </w:t>
            </w:r>
            <w:r>
              <w:rPr>
                <w:rFonts w:ascii="Times New Roman" w:hAnsi="Times New Roman" w:eastAsia="Times New Roman" w:cs="Times New Roman"/>
                <w:spacing w:val="-3"/>
                <w:sz w:val="24"/>
                <w:szCs w:val="24"/>
              </w:rPr>
              <w:t>0.86</w:t>
            </w:r>
            <w:r>
              <w:rPr>
                <w:spacing w:val="-3"/>
                <w:sz w:val="24"/>
                <w:szCs w:val="24"/>
              </w:rPr>
              <w:t>～</w:t>
            </w:r>
            <w:r>
              <w:rPr>
                <w:rFonts w:ascii="Times New Roman" w:hAnsi="Times New Roman" w:eastAsia="Times New Roman" w:cs="Times New Roman"/>
                <w:spacing w:val="-3"/>
                <w:sz w:val="24"/>
                <w:szCs w:val="24"/>
              </w:rPr>
              <w:t>1.14</w:t>
            </w:r>
            <w:r>
              <w:rPr>
                <w:rFonts w:ascii="Times New Roman" w:hAnsi="Times New Roman" w:eastAsia="Times New Roman" w:cs="Times New Roman"/>
                <w:spacing w:val="35"/>
                <w:sz w:val="24"/>
                <w:szCs w:val="24"/>
              </w:rPr>
              <w:t xml:space="preserve"> </w:t>
            </w:r>
            <w:r>
              <w:rPr>
                <w:spacing w:val="-3"/>
                <w:sz w:val="24"/>
                <w:szCs w:val="24"/>
              </w:rPr>
              <w:t>万亿方，勘探潜力大。平昌－巴中地</w:t>
            </w:r>
            <w:r>
              <w:rPr>
                <w:sz w:val="24"/>
                <w:szCs w:val="24"/>
              </w:rPr>
              <w:t xml:space="preserve"> </w:t>
            </w:r>
            <w:r>
              <w:rPr>
                <w:spacing w:val="-11"/>
                <w:sz w:val="24"/>
                <w:szCs w:val="24"/>
              </w:rPr>
              <w:t>区目前钻遇石炭系的探井较少，</w:t>
            </w:r>
            <w:r>
              <w:rPr>
                <w:spacing w:val="55"/>
                <w:sz w:val="24"/>
                <w:szCs w:val="24"/>
              </w:rPr>
              <w:t xml:space="preserve"> </w:t>
            </w:r>
            <w:r>
              <w:rPr>
                <w:spacing w:val="-11"/>
                <w:sz w:val="24"/>
                <w:szCs w:val="24"/>
              </w:rPr>
              <w:t>勘探程度低，</w:t>
            </w:r>
            <w:r>
              <w:rPr>
                <w:spacing w:val="77"/>
                <w:sz w:val="24"/>
                <w:szCs w:val="24"/>
              </w:rPr>
              <w:t xml:space="preserve"> </w:t>
            </w:r>
            <w:r>
              <w:rPr>
                <w:spacing w:val="-11"/>
                <w:sz w:val="24"/>
                <w:szCs w:val="24"/>
              </w:rPr>
              <w:t>同时飞仙关组、雷口坡组</w:t>
            </w:r>
            <w:r>
              <w:rPr>
                <w:spacing w:val="-12"/>
                <w:sz w:val="24"/>
                <w:szCs w:val="24"/>
              </w:rPr>
              <w:t>等多套有利</w:t>
            </w:r>
            <w:r>
              <w:rPr>
                <w:sz w:val="24"/>
                <w:szCs w:val="24"/>
              </w:rPr>
              <w:t xml:space="preserve"> </w:t>
            </w:r>
            <w:r>
              <w:rPr>
                <w:spacing w:val="-1"/>
                <w:sz w:val="24"/>
                <w:szCs w:val="24"/>
              </w:rPr>
              <w:t>储层在本区叠置发育。大庆油田有限责任公司为探索平昌－巴中地区石炭系黄龙组</w:t>
            </w:r>
            <w:r>
              <w:rPr>
                <w:spacing w:val="6"/>
                <w:sz w:val="24"/>
                <w:szCs w:val="24"/>
              </w:rPr>
              <w:t xml:space="preserve"> </w:t>
            </w:r>
            <w:r>
              <w:rPr>
                <w:spacing w:val="-10"/>
                <w:sz w:val="24"/>
                <w:szCs w:val="24"/>
              </w:rPr>
              <w:t>大型构造－地层圈闭，</w:t>
            </w:r>
            <w:r>
              <w:rPr>
                <w:spacing w:val="54"/>
                <w:sz w:val="24"/>
                <w:szCs w:val="24"/>
              </w:rPr>
              <w:t xml:space="preserve"> </w:t>
            </w:r>
            <w:r>
              <w:rPr>
                <w:spacing w:val="-10"/>
                <w:sz w:val="24"/>
                <w:szCs w:val="24"/>
              </w:rPr>
              <w:t>兼探三叠系飞仙关组和雷口</w:t>
            </w:r>
            <w:r>
              <w:rPr>
                <w:spacing w:val="-11"/>
                <w:sz w:val="24"/>
                <w:szCs w:val="24"/>
              </w:rPr>
              <w:t>坡组储层发育情况及含气性，</w:t>
            </w:r>
            <w:r>
              <w:rPr>
                <w:spacing w:val="50"/>
                <w:sz w:val="24"/>
                <w:szCs w:val="24"/>
              </w:rPr>
              <w:t xml:space="preserve"> </w:t>
            </w:r>
            <w:r>
              <w:rPr>
                <w:spacing w:val="-11"/>
                <w:sz w:val="24"/>
                <w:szCs w:val="24"/>
              </w:rPr>
              <w:t>在</w:t>
            </w:r>
            <w:r>
              <w:rPr>
                <w:sz w:val="24"/>
                <w:szCs w:val="24"/>
              </w:rPr>
              <w:t xml:space="preserve"> </w:t>
            </w:r>
            <w:r>
              <w:rPr>
                <w:spacing w:val="-3"/>
                <w:sz w:val="24"/>
                <w:szCs w:val="24"/>
              </w:rPr>
              <w:t>四川省达州市通川区江陵镇和平村</w:t>
            </w:r>
            <w:r>
              <w:rPr>
                <w:spacing w:val="-26"/>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组部署风险探井凤探</w:t>
            </w:r>
            <w:r>
              <w:rPr>
                <w:spacing w:val="-31"/>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井，井别为风险探井，</w:t>
            </w:r>
          </w:p>
          <w:p>
            <w:pPr>
              <w:pStyle w:val="6"/>
              <w:spacing w:line="220" w:lineRule="auto"/>
              <w:ind w:left="106"/>
              <w:rPr>
                <w:sz w:val="24"/>
                <w:szCs w:val="24"/>
              </w:rPr>
            </w:pPr>
            <w:r>
              <w:rPr>
                <w:spacing w:val="-7"/>
                <w:sz w:val="24"/>
                <w:szCs w:val="24"/>
              </w:rPr>
              <w:t>井型为直井。</w:t>
            </w:r>
          </w:p>
          <w:p>
            <w:pPr>
              <w:pStyle w:val="6"/>
              <w:spacing w:before="196" w:line="369" w:lineRule="auto"/>
              <w:ind w:left="106" w:firstLine="476"/>
              <w:rPr>
                <w:sz w:val="24"/>
                <w:szCs w:val="24"/>
              </w:rPr>
            </w:pPr>
            <w:r>
              <w:rPr>
                <w:spacing w:val="-3"/>
                <w:sz w:val="24"/>
                <w:szCs w:val="24"/>
              </w:rPr>
              <w:t>根据《中华人民共和国环境保护法》</w:t>
            </w:r>
            <w:r>
              <w:rPr>
                <w:rFonts w:hint="eastAsia"/>
                <w:spacing w:val="-3"/>
                <w:sz w:val="24"/>
                <w:szCs w:val="24"/>
              </w:rPr>
              <w:t>《中华人民共和国环境影响评价法》</w:t>
            </w:r>
            <w:r>
              <w:rPr>
                <w:spacing w:val="-4"/>
                <w:sz w:val="24"/>
                <w:szCs w:val="24"/>
              </w:rPr>
              <w:t>《建设项目环境保护管理条例》（国务院第</w:t>
            </w:r>
            <w:r>
              <w:rPr>
                <w:spacing w:val="-32"/>
                <w:sz w:val="24"/>
                <w:szCs w:val="24"/>
              </w:rPr>
              <w:t xml:space="preserve"> </w:t>
            </w:r>
            <w:r>
              <w:rPr>
                <w:rFonts w:ascii="Times New Roman" w:hAnsi="Times New Roman" w:eastAsia="Times New Roman" w:cs="Times New Roman"/>
                <w:spacing w:val="-4"/>
                <w:sz w:val="24"/>
                <w:szCs w:val="24"/>
              </w:rPr>
              <w:t>682</w:t>
            </w:r>
            <w:r>
              <w:rPr>
                <w:rFonts w:ascii="Times New Roman" w:hAnsi="Times New Roman" w:eastAsia="Times New Roman" w:cs="Times New Roman"/>
                <w:spacing w:val="15"/>
                <w:w w:val="101"/>
                <w:sz w:val="24"/>
                <w:szCs w:val="24"/>
              </w:rPr>
              <w:t xml:space="preserve"> </w:t>
            </w:r>
            <w:r>
              <w:rPr>
                <w:spacing w:val="-4"/>
                <w:sz w:val="24"/>
                <w:szCs w:val="24"/>
              </w:rPr>
              <w:t>号令）等有关法律、法规的要求，</w:t>
            </w:r>
            <w:r>
              <w:rPr>
                <w:sz w:val="24"/>
                <w:szCs w:val="24"/>
              </w:rPr>
              <w:t xml:space="preserve">  </w:t>
            </w:r>
            <w:r>
              <w:rPr>
                <w:spacing w:val="-2"/>
                <w:sz w:val="24"/>
                <w:szCs w:val="24"/>
              </w:rPr>
              <w:t>建设项目应执行环境影响评价制度。对照《建设项目环境影响评价分类管理名录》</w:t>
            </w:r>
            <w:r>
              <w:rPr>
                <w:spacing w:val="6"/>
                <w:sz w:val="24"/>
                <w:szCs w:val="24"/>
              </w:rPr>
              <w:t xml:space="preserve">  </w:t>
            </w:r>
            <w:r>
              <w:rPr>
                <w:spacing w:val="-3"/>
                <w:sz w:val="24"/>
                <w:szCs w:val="24"/>
              </w:rPr>
              <w:t>（部令第</w:t>
            </w:r>
            <w:r>
              <w:rPr>
                <w:spacing w:val="-32"/>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4"/>
                <w:sz w:val="24"/>
                <w:szCs w:val="24"/>
              </w:rPr>
              <w:t xml:space="preserve"> </w:t>
            </w:r>
            <w:r>
              <w:rPr>
                <w:spacing w:val="-3"/>
                <w:sz w:val="24"/>
                <w:szCs w:val="24"/>
              </w:rPr>
              <w:t>号</w:t>
            </w:r>
            <w:r>
              <w:rPr>
                <w:spacing w:val="-2"/>
                <w:sz w:val="24"/>
                <w:szCs w:val="24"/>
              </w:rPr>
              <w:t>），</w:t>
            </w:r>
            <w:r>
              <w:rPr>
                <w:spacing w:val="-3"/>
                <w:sz w:val="24"/>
                <w:szCs w:val="24"/>
              </w:rPr>
              <w:t>本项目属于（部令第</w:t>
            </w:r>
            <w:r>
              <w:rPr>
                <w:spacing w:val="-31"/>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4"/>
                <w:sz w:val="24"/>
                <w:szCs w:val="24"/>
              </w:rPr>
              <w:t xml:space="preserve"> </w:t>
            </w:r>
            <w:r>
              <w:rPr>
                <w:spacing w:val="-3"/>
                <w:sz w:val="24"/>
                <w:szCs w:val="24"/>
              </w:rPr>
              <w:t>号）</w:t>
            </w:r>
            <w:r>
              <w:rPr>
                <w:spacing w:val="-29"/>
                <w:sz w:val="24"/>
                <w:szCs w:val="24"/>
              </w:rPr>
              <w:t xml:space="preserve"> </w:t>
            </w:r>
            <w:r>
              <w:rPr>
                <w:spacing w:val="-3"/>
                <w:sz w:val="24"/>
                <w:szCs w:val="24"/>
              </w:rPr>
              <w:t>中第四十六项“专业技术服务业”</w:t>
            </w:r>
            <w:r>
              <w:rPr>
                <w:sz w:val="24"/>
                <w:szCs w:val="24"/>
              </w:rPr>
              <w:t xml:space="preserve"> 中“</w:t>
            </w:r>
            <w:r>
              <w:rPr>
                <w:rFonts w:ascii="Times New Roman" w:hAnsi="Times New Roman" w:eastAsia="Times New Roman" w:cs="Times New Roman"/>
                <w:sz w:val="24"/>
                <w:szCs w:val="24"/>
              </w:rPr>
              <w:t xml:space="preserve">99  </w:t>
            </w:r>
            <w:r>
              <w:rPr>
                <w:sz w:val="24"/>
                <w:szCs w:val="24"/>
              </w:rPr>
              <w:t>陆地矿产资源地质勘查（含油气资源勘探</w:t>
            </w:r>
            <w:r>
              <w:rPr>
                <w:spacing w:val="18"/>
                <w:sz w:val="24"/>
                <w:szCs w:val="24"/>
              </w:rPr>
              <w:t>）；</w:t>
            </w:r>
            <w:r>
              <w:rPr>
                <w:sz w:val="24"/>
                <w:szCs w:val="24"/>
              </w:rPr>
              <w:t>二氧化碳地质封存”中“全</w:t>
            </w:r>
          </w:p>
          <w:p>
            <w:pPr>
              <w:pStyle w:val="6"/>
              <w:spacing w:line="218" w:lineRule="auto"/>
              <w:ind w:left="108"/>
              <w:rPr>
                <w:sz w:val="24"/>
                <w:szCs w:val="24"/>
              </w:rPr>
            </w:pPr>
            <w:r>
              <w:rPr>
                <w:spacing w:val="-10"/>
                <w:sz w:val="24"/>
                <w:szCs w:val="24"/>
              </w:rPr>
              <w:t>部”类范畴， 判定本工程应编制环境影响报告表。受建设方委托，</w:t>
            </w:r>
            <w:r>
              <w:rPr>
                <w:spacing w:val="57"/>
                <w:sz w:val="24"/>
                <w:szCs w:val="24"/>
              </w:rPr>
              <w:t xml:space="preserve"> </w:t>
            </w:r>
            <w:r>
              <w:rPr>
                <w:spacing w:val="-10"/>
                <w:sz w:val="24"/>
                <w:szCs w:val="24"/>
              </w:rPr>
              <w:t>我公司承</w:t>
            </w:r>
            <w:r>
              <w:rPr>
                <w:spacing w:val="-11"/>
                <w:sz w:val="24"/>
                <w:szCs w:val="24"/>
              </w:rPr>
              <w:t>担了本</w:t>
            </w:r>
          </w:p>
        </w:tc>
      </w:tr>
    </w:tbl>
    <w:p>
      <w:pPr>
        <w:pStyle w:val="2"/>
        <w:rPr>
          <w:sz w:val="21"/>
        </w:rPr>
      </w:pPr>
    </w:p>
    <w:p>
      <w:pPr>
        <w:rPr>
          <w:sz w:val="21"/>
          <w:szCs w:val="21"/>
        </w:rPr>
        <w:sectPr>
          <w:footerReference r:id="rId32"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5" w:right="36" w:firstLine="4"/>
              <w:rPr>
                <w:sz w:val="24"/>
                <w:szCs w:val="24"/>
              </w:rPr>
            </w:pPr>
            <w:r>
              <w:rPr>
                <w:spacing w:val="-6"/>
                <w:sz w:val="24"/>
                <w:szCs w:val="24"/>
              </w:rPr>
              <w:t>项目的钻井环境影响评价工作（后期采气工程、地面集输工程由建设单位另行委托，</w:t>
            </w:r>
            <w:r>
              <w:rPr>
                <w:spacing w:val="10"/>
                <w:sz w:val="24"/>
                <w:szCs w:val="24"/>
              </w:rPr>
              <w:t xml:space="preserve"> </w:t>
            </w:r>
            <w:r>
              <w:rPr>
                <w:spacing w:val="-9"/>
                <w:sz w:val="24"/>
                <w:szCs w:val="24"/>
              </w:rPr>
              <w:t>不属于本次评价范围） 。接受委托后，</w:t>
            </w:r>
            <w:r>
              <w:rPr>
                <w:spacing w:val="60"/>
                <w:sz w:val="24"/>
                <w:szCs w:val="24"/>
              </w:rPr>
              <w:t xml:space="preserve"> </w:t>
            </w:r>
            <w:r>
              <w:rPr>
                <w:spacing w:val="-9"/>
                <w:sz w:val="24"/>
                <w:szCs w:val="24"/>
              </w:rPr>
              <w:t>我公司及时组织评价人员在建设单位的配合</w:t>
            </w:r>
            <w:r>
              <w:rPr>
                <w:sz w:val="24"/>
                <w:szCs w:val="24"/>
              </w:rPr>
              <w:t xml:space="preserve"> </w:t>
            </w:r>
            <w:r>
              <w:rPr>
                <w:spacing w:val="-2"/>
                <w:sz w:val="24"/>
                <w:szCs w:val="24"/>
              </w:rPr>
              <w:t xml:space="preserve">协助下立即开展了现场调查、资料收集等工作，在掌握了充分的资料数据基础上， </w:t>
            </w:r>
            <w:r>
              <w:rPr>
                <w:spacing w:val="-5"/>
                <w:sz w:val="24"/>
                <w:szCs w:val="24"/>
              </w:rPr>
              <w:t>对有关环境现状和可能产生的环境影响进行分析以</w:t>
            </w:r>
            <w:r>
              <w:rPr>
                <w:spacing w:val="-6"/>
                <w:sz w:val="24"/>
                <w:szCs w:val="24"/>
              </w:rPr>
              <w:t>后，</w:t>
            </w:r>
            <w:r>
              <w:rPr>
                <w:spacing w:val="41"/>
                <w:sz w:val="24"/>
                <w:szCs w:val="24"/>
              </w:rPr>
              <w:t xml:space="preserve"> </w:t>
            </w:r>
            <w:r>
              <w:rPr>
                <w:spacing w:val="-6"/>
                <w:sz w:val="24"/>
                <w:szCs w:val="24"/>
              </w:rPr>
              <w:t>按照国家建设项目环境影响</w:t>
            </w:r>
          </w:p>
          <w:p>
            <w:pPr>
              <w:pStyle w:val="6"/>
              <w:spacing w:line="218" w:lineRule="auto"/>
              <w:ind w:left="105"/>
              <w:rPr>
                <w:sz w:val="24"/>
                <w:szCs w:val="24"/>
              </w:rPr>
            </w:pPr>
            <w:r>
              <w:rPr>
                <w:spacing w:val="-2"/>
                <w:sz w:val="24"/>
                <w:szCs w:val="24"/>
              </w:rPr>
              <w:t>评价的有关技术规范要求编制了《凤探</w:t>
            </w:r>
            <w:r>
              <w:rPr>
                <w:spacing w:val="-31"/>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井钻井工程环境影响报</w:t>
            </w:r>
            <w:r>
              <w:rPr>
                <w:spacing w:val="-3"/>
                <w:sz w:val="24"/>
                <w:szCs w:val="24"/>
              </w:rPr>
              <w:t>告表》。</w:t>
            </w:r>
          </w:p>
          <w:p>
            <w:pPr>
              <w:pStyle w:val="6"/>
              <w:spacing w:before="244" w:line="219" w:lineRule="auto"/>
              <w:ind w:left="102"/>
              <w:rPr>
                <w:sz w:val="24"/>
                <w:szCs w:val="24"/>
              </w:rPr>
            </w:pPr>
            <w:r>
              <w:rPr>
                <w:rFonts w:ascii="Times New Roman" w:hAnsi="Times New Roman" w:eastAsia="Times New Roman" w:cs="Times New Roman"/>
                <w:b/>
                <w:bCs/>
                <w:sz w:val="24"/>
                <w:szCs w:val="24"/>
              </w:rPr>
              <w:t xml:space="preserve">2.2 </w:t>
            </w:r>
            <w:r>
              <w:rPr>
                <w:sz w:val="24"/>
                <w:szCs w:val="24"/>
                <w14:textOutline w14:w="4354" w14:cap="flat" w14:cmpd="sng">
                  <w14:solidFill>
                    <w14:srgbClr w14:val="000000"/>
                  </w14:solidFill>
                  <w14:prstDash w14:val="solid"/>
                  <w14:miter w14:val="10"/>
                </w14:textOutline>
              </w:rPr>
              <w:t>项目基本情况</w:t>
            </w:r>
          </w:p>
          <w:p>
            <w:pPr>
              <w:pStyle w:val="6"/>
              <w:spacing w:before="195" w:line="220" w:lineRule="auto"/>
              <w:ind w:left="588"/>
              <w:rPr>
                <w:sz w:val="24"/>
                <w:szCs w:val="24"/>
              </w:rPr>
            </w:pPr>
            <w:r>
              <w:rPr>
                <w:spacing w:val="-14"/>
                <w:sz w:val="24"/>
                <w:szCs w:val="24"/>
              </w:rPr>
              <w:t>工程名称：</w:t>
            </w:r>
            <w:r>
              <w:rPr>
                <w:spacing w:val="36"/>
                <w:sz w:val="24"/>
                <w:szCs w:val="24"/>
              </w:rPr>
              <w:t xml:space="preserve"> </w:t>
            </w:r>
            <w:r>
              <w:rPr>
                <w:spacing w:val="-14"/>
                <w:sz w:val="24"/>
                <w:szCs w:val="24"/>
              </w:rPr>
              <w:t>凤探</w:t>
            </w:r>
            <w:r>
              <w:rPr>
                <w:spacing w:val="-31"/>
                <w:sz w:val="24"/>
                <w:szCs w:val="24"/>
              </w:rPr>
              <w:t xml:space="preserve"> </w:t>
            </w:r>
            <w:r>
              <w:rPr>
                <w:rFonts w:ascii="Times New Roman" w:hAnsi="Times New Roman" w:eastAsia="Times New Roman" w:cs="Times New Roman"/>
                <w:spacing w:val="-14"/>
                <w:sz w:val="24"/>
                <w:szCs w:val="24"/>
              </w:rPr>
              <w:t xml:space="preserve">1 </w:t>
            </w:r>
            <w:r>
              <w:rPr>
                <w:spacing w:val="-14"/>
                <w:sz w:val="24"/>
                <w:szCs w:val="24"/>
              </w:rPr>
              <w:t>井钻井工程</w:t>
            </w:r>
          </w:p>
          <w:p>
            <w:pPr>
              <w:pStyle w:val="6"/>
              <w:spacing w:before="193" w:line="220" w:lineRule="auto"/>
              <w:ind w:left="588"/>
              <w:rPr>
                <w:sz w:val="24"/>
                <w:szCs w:val="24"/>
              </w:rPr>
            </w:pPr>
            <w:r>
              <w:rPr>
                <w:spacing w:val="-11"/>
                <w:sz w:val="24"/>
                <w:szCs w:val="24"/>
              </w:rPr>
              <w:t>建设单位：</w:t>
            </w:r>
            <w:r>
              <w:rPr>
                <w:spacing w:val="32"/>
                <w:sz w:val="24"/>
                <w:szCs w:val="24"/>
              </w:rPr>
              <w:t xml:space="preserve"> </w:t>
            </w:r>
            <w:r>
              <w:rPr>
                <w:spacing w:val="-11"/>
                <w:sz w:val="24"/>
                <w:szCs w:val="24"/>
              </w:rPr>
              <w:t>大庆油田有限责任公司</w:t>
            </w:r>
          </w:p>
          <w:p>
            <w:pPr>
              <w:pStyle w:val="6"/>
              <w:spacing w:before="195" w:line="220" w:lineRule="auto"/>
              <w:ind w:left="588"/>
              <w:rPr>
                <w:sz w:val="24"/>
                <w:szCs w:val="24"/>
              </w:rPr>
            </w:pPr>
            <w:r>
              <w:rPr>
                <w:spacing w:val="-2"/>
                <w:sz w:val="24"/>
                <w:szCs w:val="24"/>
              </w:rPr>
              <w:t>建设性质：新建</w:t>
            </w:r>
          </w:p>
          <w:p>
            <w:pPr>
              <w:pStyle w:val="6"/>
              <w:spacing w:before="193" w:line="219" w:lineRule="auto"/>
              <w:ind w:left="588"/>
              <w:rPr>
                <w:sz w:val="24"/>
                <w:szCs w:val="24"/>
              </w:rPr>
            </w:pPr>
            <w:r>
              <w:rPr>
                <w:spacing w:val="-10"/>
                <w:sz w:val="24"/>
                <w:szCs w:val="24"/>
              </w:rPr>
              <w:t>工程地址：</w:t>
            </w:r>
            <w:r>
              <w:rPr>
                <w:spacing w:val="58"/>
                <w:sz w:val="24"/>
                <w:szCs w:val="24"/>
              </w:rPr>
              <w:t xml:space="preserve"> </w:t>
            </w:r>
            <w:r>
              <w:rPr>
                <w:spacing w:val="-10"/>
                <w:sz w:val="24"/>
                <w:szCs w:val="24"/>
              </w:rPr>
              <w:t>四川省达州市通川区江陵镇和平村</w:t>
            </w:r>
            <w:r>
              <w:rPr>
                <w:spacing w:val="-31"/>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3"/>
                <w:sz w:val="24"/>
                <w:szCs w:val="24"/>
              </w:rPr>
              <w:t xml:space="preserve"> </w:t>
            </w:r>
            <w:r>
              <w:rPr>
                <w:spacing w:val="-10"/>
                <w:sz w:val="24"/>
                <w:szCs w:val="24"/>
              </w:rPr>
              <w:t>组</w:t>
            </w:r>
          </w:p>
          <w:p>
            <w:pPr>
              <w:pStyle w:val="6"/>
              <w:spacing w:before="195" w:line="220" w:lineRule="auto"/>
              <w:ind w:left="585"/>
              <w:rPr>
                <w:sz w:val="24"/>
                <w:szCs w:val="24"/>
              </w:rPr>
            </w:pPr>
            <w:r>
              <w:rPr>
                <w:spacing w:val="-2"/>
                <w:sz w:val="24"/>
                <w:szCs w:val="24"/>
              </w:rPr>
              <w:t>井口坐标：东经：</w:t>
            </w:r>
            <w:r>
              <w:rPr>
                <w:rFonts w:ascii="Times New Roman" w:hAnsi="Times New Roman" w:eastAsia="Times New Roman" w:cs="Times New Roman"/>
                <w:spacing w:val="-2"/>
                <w:sz w:val="24"/>
                <w:szCs w:val="24"/>
              </w:rPr>
              <w:t xml:space="preserve">107 </w:t>
            </w:r>
            <w:r>
              <w:rPr>
                <w:spacing w:val="-2"/>
                <w:sz w:val="24"/>
                <w:szCs w:val="24"/>
              </w:rPr>
              <w:t>度</w:t>
            </w:r>
            <w:r>
              <w:rPr>
                <w:spacing w:val="-31"/>
                <w:sz w:val="24"/>
                <w:szCs w:val="24"/>
              </w:rPr>
              <w:t xml:space="preserve"> </w:t>
            </w:r>
            <w:r>
              <w:rPr>
                <w:rFonts w:ascii="Times New Roman" w:hAnsi="Times New Roman" w:eastAsia="Times New Roman" w:cs="Times New Roman"/>
                <w:spacing w:val="-2"/>
                <w:sz w:val="24"/>
                <w:szCs w:val="24"/>
              </w:rPr>
              <w:t xml:space="preserve">14 </w:t>
            </w:r>
            <w:r>
              <w:rPr>
                <w:spacing w:val="-2"/>
                <w:sz w:val="24"/>
                <w:szCs w:val="24"/>
              </w:rPr>
              <w:t>分</w:t>
            </w:r>
            <w:r>
              <w:rPr>
                <w:spacing w:val="-32"/>
                <w:sz w:val="24"/>
                <w:szCs w:val="24"/>
              </w:rPr>
              <w:t xml:space="preserve"> </w:t>
            </w:r>
            <w:r>
              <w:rPr>
                <w:rFonts w:ascii="Times New Roman" w:hAnsi="Times New Roman" w:eastAsia="Times New Roman" w:cs="Times New Roman"/>
                <w:spacing w:val="-2"/>
                <w:sz w:val="24"/>
                <w:szCs w:val="24"/>
              </w:rPr>
              <w:t xml:space="preserve">16.806 </w:t>
            </w:r>
            <w:r>
              <w:rPr>
                <w:spacing w:val="-2"/>
                <w:sz w:val="24"/>
                <w:szCs w:val="24"/>
              </w:rPr>
              <w:t>秒；北纬：</w:t>
            </w:r>
            <w:r>
              <w:rPr>
                <w:rFonts w:ascii="Times New Roman" w:hAnsi="Times New Roman" w:eastAsia="Times New Roman" w:cs="Times New Roman"/>
                <w:spacing w:val="-2"/>
                <w:sz w:val="24"/>
                <w:szCs w:val="24"/>
              </w:rPr>
              <w:t xml:space="preserve">31 </w:t>
            </w:r>
            <w:r>
              <w:rPr>
                <w:spacing w:val="-2"/>
                <w:sz w:val="24"/>
                <w:szCs w:val="24"/>
              </w:rPr>
              <w:t>度</w:t>
            </w:r>
            <w:r>
              <w:rPr>
                <w:spacing w:val="-55"/>
                <w:sz w:val="24"/>
                <w:szCs w:val="24"/>
              </w:rPr>
              <w:t xml:space="preserve"> </w:t>
            </w:r>
            <w:r>
              <w:rPr>
                <w:rFonts w:ascii="Times New Roman" w:hAnsi="Times New Roman" w:eastAsia="Times New Roman" w:cs="Times New Roman"/>
                <w:spacing w:val="-2"/>
                <w:sz w:val="24"/>
                <w:szCs w:val="24"/>
              </w:rPr>
              <w:t xml:space="preserve">26 </w:t>
            </w:r>
            <w:r>
              <w:rPr>
                <w:spacing w:val="-2"/>
                <w:sz w:val="24"/>
                <w:szCs w:val="24"/>
              </w:rPr>
              <w:t>分</w:t>
            </w:r>
            <w:r>
              <w:rPr>
                <w:spacing w:val="-50"/>
                <w:sz w:val="24"/>
                <w:szCs w:val="24"/>
              </w:rPr>
              <w:t xml:space="preserve"> </w:t>
            </w:r>
            <w:r>
              <w:rPr>
                <w:rFonts w:ascii="Times New Roman" w:hAnsi="Times New Roman" w:eastAsia="Times New Roman" w:cs="Times New Roman"/>
                <w:spacing w:val="-2"/>
                <w:sz w:val="24"/>
                <w:szCs w:val="24"/>
              </w:rPr>
              <w:t>39.838</w:t>
            </w:r>
            <w:r>
              <w:rPr>
                <w:rFonts w:ascii="Times New Roman" w:hAnsi="Times New Roman" w:eastAsia="Times New Roman" w:cs="Times New Roman"/>
                <w:spacing w:val="9"/>
                <w:sz w:val="24"/>
                <w:szCs w:val="24"/>
              </w:rPr>
              <w:t xml:space="preserve"> </w:t>
            </w:r>
            <w:r>
              <w:rPr>
                <w:spacing w:val="-2"/>
                <w:sz w:val="24"/>
                <w:szCs w:val="24"/>
              </w:rPr>
              <w:t>秒；</w:t>
            </w:r>
          </w:p>
          <w:p>
            <w:pPr>
              <w:pStyle w:val="6"/>
              <w:spacing w:before="195" w:line="220" w:lineRule="auto"/>
              <w:ind w:left="585"/>
              <w:rPr>
                <w:sz w:val="24"/>
                <w:szCs w:val="24"/>
              </w:rPr>
            </w:pPr>
            <w:r>
              <w:rPr>
                <w:spacing w:val="-17"/>
                <w:sz w:val="24"/>
                <w:szCs w:val="24"/>
              </w:rPr>
              <w:t>井别： 风险探井</w:t>
            </w:r>
          </w:p>
          <w:p>
            <w:pPr>
              <w:pStyle w:val="6"/>
              <w:spacing w:before="194" w:line="220" w:lineRule="auto"/>
              <w:ind w:left="585"/>
              <w:rPr>
                <w:sz w:val="24"/>
                <w:szCs w:val="24"/>
              </w:rPr>
            </w:pPr>
            <w:r>
              <w:rPr>
                <w:spacing w:val="-27"/>
                <w:sz w:val="24"/>
                <w:szCs w:val="24"/>
              </w:rPr>
              <w:t>井型：</w:t>
            </w:r>
            <w:r>
              <w:rPr>
                <w:spacing w:val="4"/>
                <w:sz w:val="24"/>
                <w:szCs w:val="24"/>
              </w:rPr>
              <w:t xml:space="preserve"> </w:t>
            </w:r>
            <w:r>
              <w:rPr>
                <w:spacing w:val="-27"/>
                <w:sz w:val="24"/>
                <w:szCs w:val="24"/>
              </w:rPr>
              <w:t>直井</w:t>
            </w:r>
          </w:p>
          <w:p>
            <w:pPr>
              <w:pStyle w:val="6"/>
              <w:spacing w:before="194" w:line="220" w:lineRule="auto"/>
              <w:ind w:left="585"/>
              <w:rPr>
                <w:rFonts w:ascii="Times New Roman" w:hAnsi="Times New Roman" w:eastAsia="Times New Roman" w:cs="Times New Roman"/>
                <w:sz w:val="24"/>
                <w:szCs w:val="24"/>
              </w:rPr>
            </w:pPr>
            <w:r>
              <w:rPr>
                <w:spacing w:val="-2"/>
                <w:sz w:val="24"/>
                <w:szCs w:val="24"/>
              </w:rPr>
              <w:t>井深：设计井深</w:t>
            </w:r>
            <w:r>
              <w:rPr>
                <w:spacing w:val="-44"/>
                <w:sz w:val="24"/>
                <w:szCs w:val="24"/>
              </w:rPr>
              <w:t xml:space="preserve"> </w:t>
            </w:r>
            <w:r>
              <w:rPr>
                <w:rFonts w:ascii="Times New Roman" w:hAnsi="Times New Roman" w:eastAsia="Times New Roman" w:cs="Times New Roman"/>
                <w:spacing w:val="-2"/>
                <w:sz w:val="24"/>
                <w:szCs w:val="24"/>
              </w:rPr>
              <w:t>7230m</w:t>
            </w:r>
          </w:p>
          <w:p>
            <w:pPr>
              <w:pStyle w:val="6"/>
              <w:spacing w:before="193" w:line="220" w:lineRule="auto"/>
              <w:ind w:left="588"/>
              <w:rPr>
                <w:sz w:val="24"/>
                <w:szCs w:val="24"/>
              </w:rPr>
            </w:pPr>
            <w:r>
              <w:rPr>
                <w:spacing w:val="-7"/>
                <w:sz w:val="24"/>
                <w:szCs w:val="24"/>
              </w:rPr>
              <w:t>构造位置：</w:t>
            </w:r>
            <w:r>
              <w:rPr>
                <w:spacing w:val="57"/>
                <w:sz w:val="24"/>
                <w:szCs w:val="24"/>
              </w:rPr>
              <w:t xml:space="preserve"> </w:t>
            </w:r>
            <w:r>
              <w:rPr>
                <w:spacing w:val="-7"/>
                <w:sz w:val="24"/>
                <w:szCs w:val="24"/>
              </w:rPr>
              <w:t>四川盆地川北低缓构造带华蓥山西侧平昌低缓构造</w:t>
            </w:r>
          </w:p>
          <w:p>
            <w:pPr>
              <w:pStyle w:val="6"/>
              <w:spacing w:before="194" w:line="220" w:lineRule="auto"/>
              <w:ind w:left="631"/>
              <w:rPr>
                <w:sz w:val="24"/>
                <w:szCs w:val="24"/>
              </w:rPr>
            </w:pPr>
            <w:r>
              <w:rPr>
                <w:spacing w:val="-6"/>
                <w:sz w:val="24"/>
                <w:szCs w:val="24"/>
              </w:rPr>
              <w:t>目的层位： 主探石炭系黄龙组，兼探飞仙关组、雷口坡组（雷四</w:t>
            </w:r>
            <w:r>
              <w:rPr>
                <w:spacing w:val="-44"/>
                <w:sz w:val="24"/>
                <w:szCs w:val="24"/>
              </w:rPr>
              <w:t xml:space="preserve"> </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13"/>
                <w:w w:val="101"/>
                <w:position w:val="9"/>
                <w:sz w:val="16"/>
                <w:szCs w:val="16"/>
              </w:rPr>
              <w:t xml:space="preserve"> </w:t>
            </w:r>
            <w:r>
              <w:rPr>
                <w:spacing w:val="-6"/>
                <w:sz w:val="24"/>
                <w:szCs w:val="24"/>
              </w:rPr>
              <w:t>亚段）。</w:t>
            </w:r>
          </w:p>
          <w:p>
            <w:pPr>
              <w:pStyle w:val="6"/>
              <w:spacing w:before="195" w:line="480" w:lineRule="exact"/>
              <w:ind w:left="585"/>
              <w:rPr>
                <w:sz w:val="24"/>
                <w:szCs w:val="24"/>
              </w:rPr>
            </w:pPr>
            <w:r>
              <w:rPr>
                <w:spacing w:val="-7"/>
                <w:position w:val="18"/>
                <w:sz w:val="24"/>
                <w:szCs w:val="24"/>
              </w:rPr>
              <w:t>钻探目的： 探索平昌</w:t>
            </w:r>
            <w:r>
              <w:rPr>
                <w:rFonts w:ascii="Times New Roman" w:hAnsi="Times New Roman" w:eastAsia="Times New Roman" w:cs="Times New Roman"/>
                <w:spacing w:val="-7"/>
                <w:position w:val="18"/>
                <w:sz w:val="24"/>
                <w:szCs w:val="24"/>
              </w:rPr>
              <w:t>-</w:t>
            </w:r>
            <w:r>
              <w:rPr>
                <w:rFonts w:ascii="Times New Roman" w:hAnsi="Times New Roman" w:eastAsia="Times New Roman" w:cs="Times New Roman"/>
                <w:spacing w:val="-26"/>
                <w:position w:val="18"/>
                <w:sz w:val="24"/>
                <w:szCs w:val="24"/>
              </w:rPr>
              <w:t xml:space="preserve"> </w:t>
            </w:r>
            <w:r>
              <w:rPr>
                <w:spacing w:val="-7"/>
                <w:position w:val="18"/>
                <w:sz w:val="24"/>
                <w:szCs w:val="24"/>
              </w:rPr>
              <w:t>巴中地区黄龙组地层圈</w:t>
            </w:r>
            <w:r>
              <w:rPr>
                <w:spacing w:val="-8"/>
                <w:position w:val="18"/>
                <w:sz w:val="24"/>
                <w:szCs w:val="24"/>
              </w:rPr>
              <w:t>闭，兼探飞仙关组前积滩、雷口坡</w:t>
            </w:r>
          </w:p>
          <w:p>
            <w:pPr>
              <w:pStyle w:val="6"/>
              <w:spacing w:before="1" w:line="219" w:lineRule="auto"/>
              <w:ind w:left="108"/>
              <w:rPr>
                <w:sz w:val="24"/>
                <w:szCs w:val="24"/>
              </w:rPr>
            </w:pPr>
            <w:r>
              <w:rPr>
                <w:spacing w:val="-5"/>
                <w:sz w:val="24"/>
                <w:szCs w:val="24"/>
              </w:rPr>
              <w:t>组雷四</w:t>
            </w:r>
            <w:r>
              <w:rPr>
                <w:spacing w:val="-46"/>
                <w:sz w:val="24"/>
                <w:szCs w:val="24"/>
              </w:rPr>
              <w:t xml:space="preserve"> </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30"/>
                <w:position w:val="8"/>
                <w:sz w:val="16"/>
                <w:szCs w:val="16"/>
              </w:rPr>
              <w:t xml:space="preserve"> </w:t>
            </w:r>
            <w:r>
              <w:rPr>
                <w:spacing w:val="-5"/>
                <w:sz w:val="24"/>
                <w:szCs w:val="24"/>
              </w:rPr>
              <w:t>台内滩含气性。</w:t>
            </w:r>
          </w:p>
          <w:p>
            <w:pPr>
              <w:pStyle w:val="6"/>
              <w:spacing w:before="194" w:line="220" w:lineRule="auto"/>
              <w:ind w:left="587"/>
              <w:rPr>
                <w:sz w:val="24"/>
                <w:szCs w:val="24"/>
              </w:rPr>
            </w:pPr>
            <w:r>
              <w:rPr>
                <w:spacing w:val="-21"/>
                <w:sz w:val="24"/>
                <w:szCs w:val="24"/>
              </w:rPr>
              <w:t>完钻层位：</w:t>
            </w:r>
            <w:r>
              <w:rPr>
                <w:spacing w:val="41"/>
                <w:sz w:val="24"/>
                <w:szCs w:val="24"/>
              </w:rPr>
              <w:t xml:space="preserve"> </w:t>
            </w:r>
            <w:r>
              <w:rPr>
                <w:spacing w:val="-21"/>
                <w:sz w:val="24"/>
                <w:szCs w:val="24"/>
              </w:rPr>
              <w:t>志留系</w:t>
            </w:r>
          </w:p>
          <w:p>
            <w:pPr>
              <w:pStyle w:val="6"/>
              <w:spacing w:before="195" w:line="369" w:lineRule="auto"/>
              <w:ind w:left="107" w:right="103" w:firstLine="479"/>
              <w:rPr>
                <w:sz w:val="24"/>
                <w:szCs w:val="24"/>
              </w:rPr>
            </w:pPr>
            <w:r>
              <w:rPr>
                <w:spacing w:val="-6"/>
                <w:sz w:val="24"/>
                <w:szCs w:val="24"/>
              </w:rPr>
              <w:t>完钻原则： 钻穿石炭系底界</w:t>
            </w:r>
            <w:r>
              <w:rPr>
                <w:spacing w:val="-48"/>
                <w:sz w:val="24"/>
                <w:szCs w:val="24"/>
              </w:rPr>
              <w:t xml:space="preserve"> </w:t>
            </w:r>
            <w:r>
              <w:rPr>
                <w:rFonts w:ascii="Times New Roman" w:hAnsi="Times New Roman" w:eastAsia="Times New Roman" w:cs="Times New Roman"/>
                <w:spacing w:val="-6"/>
                <w:sz w:val="24"/>
                <w:szCs w:val="24"/>
              </w:rPr>
              <w:t xml:space="preserve">50m </w:t>
            </w:r>
            <w:r>
              <w:rPr>
                <w:spacing w:val="-6"/>
                <w:sz w:val="24"/>
                <w:szCs w:val="24"/>
              </w:rPr>
              <w:t>完钻；若未获可</w:t>
            </w:r>
            <w:r>
              <w:rPr>
                <w:spacing w:val="-7"/>
                <w:sz w:val="24"/>
                <w:szCs w:val="24"/>
              </w:rPr>
              <w:t>开发利用工业气流则封井封场</w:t>
            </w:r>
            <w:r>
              <w:rPr>
                <w:sz w:val="24"/>
                <w:szCs w:val="24"/>
              </w:rPr>
              <w:t xml:space="preserve"> </w:t>
            </w:r>
            <w:r>
              <w:rPr>
                <w:spacing w:val="-9"/>
                <w:sz w:val="24"/>
                <w:szCs w:val="24"/>
              </w:rPr>
              <w:t>完井处置， 若在目的层测试过程中获良好气层显示，</w:t>
            </w:r>
            <w:r>
              <w:rPr>
                <w:spacing w:val="56"/>
                <w:sz w:val="24"/>
                <w:szCs w:val="24"/>
              </w:rPr>
              <w:t xml:space="preserve"> </w:t>
            </w:r>
            <w:r>
              <w:rPr>
                <w:spacing w:val="-9"/>
                <w:sz w:val="24"/>
                <w:szCs w:val="24"/>
              </w:rPr>
              <w:t>则转为开发井另行立项和开发</w:t>
            </w:r>
          </w:p>
          <w:p>
            <w:pPr>
              <w:pStyle w:val="6"/>
              <w:spacing w:before="1" w:line="219" w:lineRule="auto"/>
              <w:ind w:left="106"/>
              <w:rPr>
                <w:sz w:val="24"/>
                <w:szCs w:val="24"/>
              </w:rPr>
            </w:pPr>
            <w:r>
              <w:rPr>
                <w:spacing w:val="-4"/>
                <w:sz w:val="24"/>
                <w:szCs w:val="24"/>
              </w:rPr>
              <w:t>利用，并完善后续环保手续。</w:t>
            </w:r>
          </w:p>
          <w:p>
            <w:pPr>
              <w:pStyle w:val="6"/>
              <w:spacing w:before="194" w:line="220" w:lineRule="auto"/>
              <w:ind w:left="587"/>
              <w:rPr>
                <w:sz w:val="24"/>
                <w:szCs w:val="24"/>
              </w:rPr>
            </w:pPr>
            <w:r>
              <w:rPr>
                <w:spacing w:val="-2"/>
                <w:sz w:val="24"/>
                <w:szCs w:val="24"/>
              </w:rPr>
              <w:t>完井方法：套管完井</w:t>
            </w:r>
          </w:p>
          <w:p>
            <w:pPr>
              <w:pStyle w:val="6"/>
              <w:spacing w:before="196" w:line="369" w:lineRule="auto"/>
              <w:ind w:left="109" w:right="101" w:firstLine="476"/>
              <w:rPr>
                <w:sz w:val="24"/>
                <w:szCs w:val="24"/>
              </w:rPr>
            </w:pPr>
            <w:r>
              <w:rPr>
                <w:spacing w:val="-10"/>
                <w:sz w:val="24"/>
                <w:szCs w:val="24"/>
              </w:rPr>
              <w:t>钻井及泥浆体系：</w:t>
            </w:r>
            <w:r>
              <w:rPr>
                <w:spacing w:val="77"/>
                <w:sz w:val="24"/>
                <w:szCs w:val="24"/>
              </w:rPr>
              <w:t xml:space="preserve"> </w:t>
            </w:r>
            <w:r>
              <w:rPr>
                <w:spacing w:val="-10"/>
                <w:sz w:val="24"/>
                <w:szCs w:val="24"/>
              </w:rPr>
              <w:t>采用</w:t>
            </w:r>
            <w:r>
              <w:rPr>
                <w:spacing w:val="-50"/>
                <w:sz w:val="24"/>
                <w:szCs w:val="24"/>
              </w:rPr>
              <w:t xml:space="preserve"> </w:t>
            </w:r>
            <w:r>
              <w:rPr>
                <w:rFonts w:ascii="Times New Roman" w:hAnsi="Times New Roman" w:eastAsia="Times New Roman" w:cs="Times New Roman"/>
                <w:spacing w:val="-10"/>
                <w:sz w:val="24"/>
                <w:szCs w:val="24"/>
              </w:rPr>
              <w:t>ZJ80D</w:t>
            </w:r>
            <w:r>
              <w:rPr>
                <w:rFonts w:ascii="Times New Roman" w:hAnsi="Times New Roman" w:eastAsia="Times New Roman" w:cs="Times New Roman"/>
                <w:spacing w:val="16"/>
                <w:w w:val="101"/>
                <w:sz w:val="24"/>
                <w:szCs w:val="24"/>
              </w:rPr>
              <w:t xml:space="preserve"> </w:t>
            </w:r>
            <w:r>
              <w:rPr>
                <w:spacing w:val="-10"/>
                <w:sz w:val="24"/>
                <w:szCs w:val="24"/>
              </w:rPr>
              <w:t>钻机， 一开段（</w:t>
            </w:r>
            <w:r>
              <w:rPr>
                <w:rFonts w:ascii="Times New Roman" w:hAnsi="Times New Roman" w:eastAsia="Times New Roman" w:cs="Times New Roman"/>
                <w:spacing w:val="-10"/>
                <w:sz w:val="24"/>
                <w:szCs w:val="24"/>
              </w:rPr>
              <w:t>0-50m</w:t>
            </w:r>
            <w:r>
              <w:rPr>
                <w:spacing w:val="-10"/>
                <w:sz w:val="24"/>
                <w:szCs w:val="24"/>
              </w:rPr>
              <w:t>）采用清水钻井液钻进，</w:t>
            </w:r>
            <w:r>
              <w:rPr>
                <w:sz w:val="24"/>
                <w:szCs w:val="24"/>
              </w:rPr>
              <w:t xml:space="preserve"> </w:t>
            </w:r>
            <w:r>
              <w:rPr>
                <w:spacing w:val="-5"/>
                <w:sz w:val="24"/>
                <w:szCs w:val="24"/>
              </w:rPr>
              <w:t>二开段（</w:t>
            </w:r>
            <w:r>
              <w:rPr>
                <w:rFonts w:ascii="Times New Roman" w:hAnsi="Times New Roman" w:eastAsia="Times New Roman" w:cs="Times New Roman"/>
                <w:spacing w:val="-5"/>
                <w:sz w:val="24"/>
                <w:szCs w:val="24"/>
              </w:rPr>
              <w:t>50</w:t>
            </w:r>
            <w:r>
              <w:rPr>
                <w:spacing w:val="-5"/>
                <w:sz w:val="24"/>
                <w:szCs w:val="24"/>
              </w:rPr>
              <w:t>～</w:t>
            </w:r>
            <w:r>
              <w:rPr>
                <w:rFonts w:ascii="Times New Roman" w:hAnsi="Times New Roman" w:eastAsia="Times New Roman" w:cs="Times New Roman"/>
                <w:spacing w:val="-5"/>
                <w:sz w:val="24"/>
                <w:szCs w:val="24"/>
              </w:rPr>
              <w:t>800m</w:t>
            </w:r>
            <w:r>
              <w:rPr>
                <w:spacing w:val="-5"/>
                <w:sz w:val="24"/>
                <w:szCs w:val="24"/>
              </w:rPr>
              <w:t>）采用</w:t>
            </w:r>
            <w:r>
              <w:rPr>
                <w:spacing w:val="-55"/>
                <w:sz w:val="24"/>
                <w:szCs w:val="24"/>
              </w:rPr>
              <w:t xml:space="preserve"> </w:t>
            </w:r>
            <w:r>
              <w:rPr>
                <w:rFonts w:ascii="Times New Roman" w:hAnsi="Times New Roman" w:eastAsia="Times New Roman" w:cs="Times New Roman"/>
                <w:spacing w:val="-5"/>
                <w:sz w:val="24"/>
                <w:szCs w:val="24"/>
              </w:rPr>
              <w:t>KCl</w:t>
            </w:r>
            <w:r>
              <w:rPr>
                <w:rFonts w:ascii="Times New Roman" w:hAnsi="Times New Roman" w:eastAsia="Times New Roman" w:cs="Times New Roman"/>
                <w:spacing w:val="20"/>
                <w:sz w:val="24"/>
                <w:szCs w:val="24"/>
              </w:rPr>
              <w:t xml:space="preserve"> </w:t>
            </w:r>
            <w:r>
              <w:rPr>
                <w:spacing w:val="-5"/>
                <w:sz w:val="24"/>
                <w:szCs w:val="24"/>
              </w:rPr>
              <w:t>聚合物钻井液钻进</w:t>
            </w:r>
            <w:r>
              <w:rPr>
                <w:spacing w:val="-6"/>
                <w:sz w:val="24"/>
                <w:szCs w:val="24"/>
              </w:rPr>
              <w:t>， 三开段（</w:t>
            </w:r>
            <w:r>
              <w:rPr>
                <w:rFonts w:ascii="Times New Roman" w:hAnsi="Times New Roman" w:eastAsia="Times New Roman" w:cs="Times New Roman"/>
                <w:spacing w:val="-6"/>
                <w:sz w:val="24"/>
                <w:szCs w:val="24"/>
              </w:rPr>
              <w:t>800~3990m</w:t>
            </w:r>
            <w:r>
              <w:rPr>
                <w:spacing w:val="-6"/>
                <w:sz w:val="24"/>
                <w:szCs w:val="24"/>
              </w:rPr>
              <w:t>）和四开段</w:t>
            </w:r>
            <w:r>
              <w:rPr>
                <w:sz w:val="24"/>
                <w:szCs w:val="24"/>
              </w:rPr>
              <w:t xml:space="preserve"> </w:t>
            </w:r>
            <w:r>
              <w:rPr>
                <w:spacing w:val="-4"/>
                <w:sz w:val="24"/>
                <w:szCs w:val="24"/>
              </w:rPr>
              <w:t>（</w:t>
            </w:r>
            <w:r>
              <w:rPr>
                <w:rFonts w:ascii="Times New Roman" w:hAnsi="Times New Roman" w:eastAsia="Times New Roman" w:cs="Times New Roman"/>
                <w:spacing w:val="-4"/>
                <w:sz w:val="24"/>
                <w:szCs w:val="24"/>
              </w:rPr>
              <w:t>3990~6800m</w:t>
            </w:r>
            <w:r>
              <w:rPr>
                <w:spacing w:val="-4"/>
                <w:sz w:val="24"/>
                <w:szCs w:val="24"/>
              </w:rPr>
              <w:t>）采用有机盐聚合物钻井液钻进， 五开段（</w:t>
            </w:r>
            <w:r>
              <w:rPr>
                <w:rFonts w:ascii="Times New Roman" w:hAnsi="Times New Roman" w:eastAsia="Times New Roman" w:cs="Times New Roman"/>
                <w:spacing w:val="-4"/>
                <w:sz w:val="24"/>
                <w:szCs w:val="24"/>
              </w:rPr>
              <w:t>6800</w:t>
            </w:r>
            <w:r>
              <w:rPr>
                <w:spacing w:val="-4"/>
                <w:sz w:val="24"/>
                <w:szCs w:val="24"/>
              </w:rPr>
              <w:t>～</w:t>
            </w:r>
            <w:r>
              <w:rPr>
                <w:rFonts w:ascii="Times New Roman" w:hAnsi="Times New Roman" w:eastAsia="Times New Roman" w:cs="Times New Roman"/>
                <w:spacing w:val="-4"/>
                <w:sz w:val="24"/>
                <w:szCs w:val="24"/>
              </w:rPr>
              <w:t>7135m</w:t>
            </w:r>
            <w:r>
              <w:rPr>
                <w:spacing w:val="-4"/>
                <w:sz w:val="24"/>
                <w:szCs w:val="24"/>
              </w:rPr>
              <w:t>）采用环保</w:t>
            </w:r>
          </w:p>
          <w:p>
            <w:pPr>
              <w:pStyle w:val="6"/>
              <w:spacing w:before="1" w:line="219" w:lineRule="auto"/>
              <w:ind w:left="113"/>
              <w:rPr>
                <w:sz w:val="24"/>
                <w:szCs w:val="24"/>
              </w:rPr>
            </w:pPr>
            <w:r>
              <w:rPr>
                <w:spacing w:val="-1"/>
                <w:sz w:val="24"/>
                <w:szCs w:val="24"/>
              </w:rPr>
              <w:t>型去磺化钻井液钻进，六开段（</w:t>
            </w:r>
            <w:r>
              <w:rPr>
                <w:rFonts w:ascii="Times New Roman" w:hAnsi="Times New Roman" w:eastAsia="Times New Roman" w:cs="Times New Roman"/>
                <w:spacing w:val="-1"/>
                <w:sz w:val="24"/>
                <w:szCs w:val="24"/>
              </w:rPr>
              <w:t>7135~72</w:t>
            </w:r>
            <w:r>
              <w:rPr>
                <w:rFonts w:ascii="Times New Roman" w:hAnsi="Times New Roman" w:eastAsia="Times New Roman" w:cs="Times New Roman"/>
                <w:spacing w:val="-2"/>
                <w:sz w:val="24"/>
                <w:szCs w:val="24"/>
              </w:rPr>
              <w:t>30m</w:t>
            </w:r>
            <w:r>
              <w:rPr>
                <w:spacing w:val="-2"/>
                <w:sz w:val="24"/>
                <w:szCs w:val="24"/>
              </w:rPr>
              <w:t>）使用油基钻井液钻进。</w:t>
            </w:r>
          </w:p>
          <w:p>
            <w:pPr>
              <w:pStyle w:val="6"/>
              <w:spacing w:before="194" w:line="228" w:lineRule="auto"/>
              <w:ind w:left="588"/>
              <w:rPr>
                <w:sz w:val="24"/>
                <w:szCs w:val="24"/>
              </w:rPr>
            </w:pPr>
            <w:r>
              <w:rPr>
                <w:spacing w:val="-7"/>
                <w:sz w:val="24"/>
                <w:szCs w:val="24"/>
              </w:rPr>
              <w:t>工程投资：</w:t>
            </w:r>
            <w:r>
              <w:rPr>
                <w:spacing w:val="43"/>
                <w:sz w:val="24"/>
                <w:szCs w:val="24"/>
              </w:rPr>
              <w:t xml:space="preserve"> </w:t>
            </w:r>
            <w:r>
              <w:rPr>
                <w:rFonts w:ascii="Times New Roman" w:hAnsi="Times New Roman" w:eastAsia="Times New Roman" w:cs="Times New Roman"/>
                <w:spacing w:val="-7"/>
                <w:sz w:val="24"/>
                <w:szCs w:val="24"/>
              </w:rPr>
              <w:t>9000</w:t>
            </w:r>
            <w:r>
              <w:rPr>
                <w:rFonts w:ascii="Times New Roman" w:hAnsi="Times New Roman" w:eastAsia="Times New Roman" w:cs="Times New Roman"/>
                <w:spacing w:val="16"/>
                <w:sz w:val="24"/>
                <w:szCs w:val="24"/>
              </w:rPr>
              <w:t xml:space="preserve"> </w:t>
            </w:r>
            <w:r>
              <w:rPr>
                <w:spacing w:val="-7"/>
                <w:sz w:val="24"/>
                <w:szCs w:val="24"/>
              </w:rPr>
              <w:t>万元，环保投资</w:t>
            </w:r>
            <w:r>
              <w:rPr>
                <w:spacing w:val="-55"/>
                <w:sz w:val="24"/>
                <w:szCs w:val="24"/>
              </w:rPr>
              <w:t xml:space="preserve"> </w:t>
            </w:r>
            <w:r>
              <w:rPr>
                <w:rFonts w:ascii="Times New Roman" w:hAnsi="Times New Roman" w:eastAsia="Times New Roman" w:cs="Times New Roman"/>
                <w:spacing w:val="-7"/>
                <w:sz w:val="24"/>
                <w:szCs w:val="24"/>
              </w:rPr>
              <w:t>216</w:t>
            </w:r>
            <w:r>
              <w:rPr>
                <w:rFonts w:ascii="Times New Roman" w:hAnsi="Times New Roman" w:eastAsia="Times New Roman" w:cs="Times New Roman"/>
                <w:spacing w:val="15"/>
                <w:sz w:val="24"/>
                <w:szCs w:val="24"/>
              </w:rPr>
              <w:t xml:space="preserve"> </w:t>
            </w:r>
            <w:r>
              <w:rPr>
                <w:spacing w:val="-7"/>
                <w:sz w:val="24"/>
                <w:szCs w:val="24"/>
              </w:rPr>
              <w:t>万元，占总投资</w:t>
            </w:r>
            <w:r>
              <w:rPr>
                <w:spacing w:val="-55"/>
                <w:sz w:val="24"/>
                <w:szCs w:val="24"/>
              </w:rPr>
              <w:t xml:space="preserve"> </w:t>
            </w:r>
            <w:r>
              <w:rPr>
                <w:rFonts w:ascii="Times New Roman" w:hAnsi="Times New Roman" w:eastAsia="Times New Roman" w:cs="Times New Roman"/>
                <w:spacing w:val="-7"/>
                <w:sz w:val="24"/>
                <w:szCs w:val="24"/>
              </w:rPr>
              <w:t>2.4%</w:t>
            </w:r>
            <w:r>
              <w:rPr>
                <w:spacing w:val="-7"/>
                <w:sz w:val="24"/>
                <w:szCs w:val="24"/>
              </w:rPr>
              <w:t>。</w:t>
            </w:r>
          </w:p>
        </w:tc>
      </w:tr>
    </w:tbl>
    <w:p>
      <w:pPr>
        <w:pStyle w:val="2"/>
        <w:rPr>
          <w:sz w:val="21"/>
        </w:rPr>
      </w:pPr>
    </w:p>
    <w:p>
      <w:pPr>
        <w:rPr>
          <w:sz w:val="21"/>
          <w:szCs w:val="21"/>
        </w:rPr>
        <w:sectPr>
          <w:footerReference r:id="rId33"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63" w:hRule="atLeast"/>
        </w:trPr>
        <w:tc>
          <w:tcPr>
            <w:tcW w:w="9291" w:type="dxa"/>
            <w:vAlign w:val="top"/>
          </w:tcPr>
          <w:p>
            <w:pPr>
              <w:pStyle w:val="6"/>
              <w:spacing w:before="230" w:line="220" w:lineRule="auto"/>
              <w:ind w:left="562"/>
              <w:rPr>
                <w:sz w:val="24"/>
                <w:szCs w:val="24"/>
              </w:rPr>
            </w:pPr>
            <w:r>
              <w:pict>
                <v:rect id="_x0000_s1034" o:spid="_x0000_s1034" o:spt="1" style="position:absolute;left:0pt;margin-left:22.75pt;margin-top:0.95pt;height:692.5pt;width:0.5pt;mso-position-horizontal-relative:page;mso-position-vertical-relative:page;z-index:251687936;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pacing w:val="-3"/>
                <w:sz w:val="24"/>
                <w:szCs w:val="24"/>
              </w:rPr>
              <w:t>2.3</w:t>
            </w:r>
            <w:r>
              <w:rPr>
                <w:rFonts w:ascii="Times New Roman" w:hAnsi="Times New Roman" w:eastAsia="Times New Roman" w:cs="Times New Roman"/>
                <w:b/>
                <w:bCs/>
                <w:spacing w:val="18"/>
                <w:w w:val="101"/>
                <w:sz w:val="24"/>
                <w:szCs w:val="24"/>
              </w:rPr>
              <w:t xml:space="preserve"> </w:t>
            </w:r>
            <w:r>
              <w:rPr>
                <w:spacing w:val="-3"/>
                <w:sz w:val="24"/>
                <w:szCs w:val="24"/>
                <w14:textOutline w14:w="4354" w14:cap="flat" w14:cmpd="sng">
                  <w14:solidFill>
                    <w14:srgbClr w14:val="000000"/>
                  </w14:solidFill>
                  <w14:prstDash w14:val="solid"/>
                  <w14:miter w14:val="10"/>
                </w14:textOutline>
              </w:rPr>
              <w:t>项目组成</w:t>
            </w:r>
          </w:p>
          <w:p>
            <w:pPr>
              <w:pStyle w:val="6"/>
              <w:spacing w:before="195" w:line="369" w:lineRule="auto"/>
              <w:ind w:left="566" w:right="100" w:firstLine="480"/>
              <w:jc w:val="both"/>
              <w:rPr>
                <w:sz w:val="24"/>
                <w:szCs w:val="24"/>
              </w:rPr>
            </w:pPr>
            <w:r>
              <w:rPr>
                <w:spacing w:val="-1"/>
                <w:sz w:val="24"/>
                <w:szCs w:val="24"/>
              </w:rPr>
              <w:t>本建设内容包括钻前、钻井和完井测试。钻前工程包括新建井场及道路、清洁</w:t>
            </w:r>
            <w:r>
              <w:rPr>
                <w:spacing w:val="1"/>
                <w:sz w:val="24"/>
                <w:szCs w:val="24"/>
              </w:rPr>
              <w:t xml:space="preserve"> </w:t>
            </w:r>
            <w:r>
              <w:rPr>
                <w:spacing w:val="-6"/>
                <w:sz w:val="24"/>
                <w:szCs w:val="24"/>
              </w:rPr>
              <w:t>生产操作平台，</w:t>
            </w:r>
            <w:r>
              <w:rPr>
                <w:spacing w:val="60"/>
                <w:sz w:val="24"/>
                <w:szCs w:val="24"/>
              </w:rPr>
              <w:t xml:space="preserve"> </w:t>
            </w:r>
            <w:r>
              <w:rPr>
                <w:spacing w:val="-6"/>
                <w:sz w:val="24"/>
                <w:szCs w:val="24"/>
              </w:rPr>
              <w:t>新建应急池、燃烧池主体工程以及钻井办公、生活区活动板房、钻</w:t>
            </w:r>
            <w:r>
              <w:rPr>
                <w:sz w:val="24"/>
                <w:szCs w:val="24"/>
              </w:rPr>
              <w:t xml:space="preserve"> </w:t>
            </w:r>
            <w:r>
              <w:rPr>
                <w:spacing w:val="-11"/>
                <w:sz w:val="24"/>
                <w:szCs w:val="24"/>
              </w:rPr>
              <w:t>井设备基础，</w:t>
            </w:r>
            <w:r>
              <w:rPr>
                <w:spacing w:val="63"/>
                <w:sz w:val="24"/>
                <w:szCs w:val="24"/>
              </w:rPr>
              <w:t xml:space="preserve"> </w:t>
            </w:r>
            <w:r>
              <w:rPr>
                <w:spacing w:val="-11"/>
                <w:sz w:val="24"/>
                <w:szCs w:val="24"/>
              </w:rPr>
              <w:t>给排水、供配电等辅助工程；</w:t>
            </w:r>
            <w:r>
              <w:rPr>
                <w:spacing w:val="58"/>
                <w:sz w:val="24"/>
                <w:szCs w:val="24"/>
              </w:rPr>
              <w:t xml:space="preserve"> </w:t>
            </w:r>
            <w:r>
              <w:rPr>
                <w:spacing w:val="-11"/>
                <w:sz w:val="24"/>
                <w:szCs w:val="24"/>
              </w:rPr>
              <w:t>钻井工程主要包括利用钻前工程构筑的</w:t>
            </w:r>
            <w:r>
              <w:rPr>
                <w:sz w:val="24"/>
                <w:szCs w:val="24"/>
              </w:rPr>
              <w:t xml:space="preserve"> </w:t>
            </w:r>
            <w:r>
              <w:rPr>
                <w:spacing w:val="-6"/>
                <w:sz w:val="24"/>
                <w:szCs w:val="24"/>
              </w:rPr>
              <w:t>井场以及设备基础进行钻进、套管固井作业；</w:t>
            </w:r>
            <w:r>
              <w:rPr>
                <w:spacing w:val="62"/>
                <w:sz w:val="24"/>
                <w:szCs w:val="24"/>
              </w:rPr>
              <w:t xml:space="preserve"> </w:t>
            </w:r>
            <w:r>
              <w:rPr>
                <w:spacing w:val="-6"/>
                <w:sz w:val="24"/>
                <w:szCs w:val="24"/>
              </w:rPr>
              <w:t>完井测试主要包括洗井作业、酸化作</w:t>
            </w:r>
          </w:p>
          <w:p>
            <w:pPr>
              <w:pStyle w:val="6"/>
              <w:spacing w:before="1" w:line="218" w:lineRule="auto"/>
              <w:ind w:left="565"/>
              <w:rPr>
                <w:sz w:val="24"/>
                <w:szCs w:val="24"/>
              </w:rPr>
            </w:pPr>
            <w:r>
              <w:rPr>
                <w:spacing w:val="-1"/>
                <w:sz w:val="24"/>
                <w:szCs w:val="24"/>
              </w:rPr>
              <w:t>业、放喷测试。本项目组成及主要环境影响</w:t>
            </w:r>
            <w:r>
              <w:rPr>
                <w:spacing w:val="-2"/>
                <w:sz w:val="24"/>
                <w:szCs w:val="24"/>
              </w:rPr>
              <w:t>见下表。</w:t>
            </w:r>
          </w:p>
          <w:p>
            <w:pPr>
              <w:pStyle w:val="6"/>
              <w:spacing w:before="195" w:line="220" w:lineRule="auto"/>
              <w:ind w:left="3116"/>
              <w:rPr>
                <w:sz w:val="24"/>
                <w:szCs w:val="24"/>
              </w:rPr>
            </w:pPr>
            <w:r>
              <w:rPr>
                <w:spacing w:val="-1"/>
                <w:sz w:val="24"/>
                <w:szCs w:val="24"/>
                <w14:textOutline w14:w="4354" w14:cap="flat" w14:cmpd="sng">
                  <w14:solidFill>
                    <w14:srgbClr w14:val="000000"/>
                  </w14:solidFill>
                  <w14:prstDash w14:val="solid"/>
                  <w14:miter w14:val="10"/>
                </w14:textOutline>
              </w:rPr>
              <w:t>表</w:t>
            </w:r>
            <w:r>
              <w:rPr>
                <w:spacing w:val="-40"/>
                <w:sz w:val="24"/>
                <w:szCs w:val="24"/>
              </w:rPr>
              <w:t xml:space="preserve"> </w:t>
            </w:r>
            <w:r>
              <w:rPr>
                <w:rFonts w:ascii="Times New Roman" w:hAnsi="Times New Roman" w:eastAsia="Times New Roman" w:cs="Times New Roman"/>
                <w:b/>
                <w:bCs/>
                <w:spacing w:val="-1"/>
                <w:sz w:val="24"/>
                <w:szCs w:val="24"/>
              </w:rPr>
              <w:t xml:space="preserve">2.3-1 </w:t>
            </w:r>
            <w:r>
              <w:rPr>
                <w:spacing w:val="-1"/>
                <w:sz w:val="24"/>
                <w:szCs w:val="24"/>
                <w14:textOutline w14:w="4354" w14:cap="flat" w14:cmpd="sng">
                  <w14:solidFill>
                    <w14:srgbClr w14:val="000000"/>
                  </w14:solidFill>
                  <w14:prstDash w14:val="solid"/>
                  <w14:miter w14:val="10"/>
                </w14:textOutline>
              </w:rPr>
              <w:t>项目组成及主要环境影响</w:t>
            </w:r>
          </w:p>
          <w:p>
            <w:pPr>
              <w:spacing w:line="15"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1477"/>
              <w:gridCol w:w="4777"/>
              <w:gridCol w:w="18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44" w:type="dxa"/>
                  <w:textDirection w:val="tbRlV"/>
                  <w:vAlign w:val="top"/>
                </w:tcPr>
                <w:p>
                  <w:pPr>
                    <w:pStyle w:val="6"/>
                    <w:spacing w:before="164" w:line="212" w:lineRule="auto"/>
                    <w:ind w:left="34"/>
                    <w:rPr>
                      <w:sz w:val="21"/>
                      <w:szCs w:val="21"/>
                    </w:rPr>
                  </w:pPr>
                  <w:r>
                    <w:rPr>
                      <w:spacing w:val="1"/>
                      <w:sz w:val="21"/>
                      <w:szCs w:val="21"/>
                    </w:rPr>
                    <w:t>名</w:t>
                  </w:r>
                  <w:r>
                    <w:rPr>
                      <w:spacing w:val="-43"/>
                      <w:sz w:val="21"/>
                      <w:szCs w:val="21"/>
                    </w:rPr>
                    <w:t xml:space="preserve"> </w:t>
                  </w:r>
                  <w:r>
                    <w:rPr>
                      <w:spacing w:val="1"/>
                      <w:sz w:val="21"/>
                      <w:szCs w:val="21"/>
                    </w:rPr>
                    <w:t>称</w:t>
                  </w:r>
                </w:p>
              </w:tc>
              <w:tc>
                <w:tcPr>
                  <w:tcW w:w="1477" w:type="dxa"/>
                  <w:vAlign w:val="top"/>
                </w:tcPr>
                <w:p>
                  <w:pPr>
                    <w:pStyle w:val="6"/>
                    <w:spacing w:before="170" w:line="221" w:lineRule="auto"/>
                    <w:ind w:left="325"/>
                    <w:rPr>
                      <w:sz w:val="21"/>
                      <w:szCs w:val="21"/>
                    </w:rPr>
                  </w:pPr>
                  <w:r>
                    <w:rPr>
                      <w:spacing w:val="-2"/>
                      <w:sz w:val="21"/>
                      <w:szCs w:val="21"/>
                    </w:rPr>
                    <w:t>建设内容</w:t>
                  </w:r>
                </w:p>
              </w:tc>
              <w:tc>
                <w:tcPr>
                  <w:tcW w:w="4777" w:type="dxa"/>
                  <w:vAlign w:val="top"/>
                </w:tcPr>
                <w:p>
                  <w:pPr>
                    <w:pStyle w:val="6"/>
                    <w:spacing w:before="170" w:line="221" w:lineRule="auto"/>
                    <w:ind w:left="1978"/>
                    <w:rPr>
                      <w:sz w:val="21"/>
                      <w:szCs w:val="21"/>
                    </w:rPr>
                  </w:pPr>
                  <w:r>
                    <w:rPr>
                      <w:spacing w:val="-2"/>
                      <w:sz w:val="21"/>
                      <w:szCs w:val="21"/>
                    </w:rPr>
                    <w:t>建设规模</w:t>
                  </w:r>
                </w:p>
              </w:tc>
              <w:tc>
                <w:tcPr>
                  <w:tcW w:w="1814" w:type="dxa"/>
                  <w:vAlign w:val="top"/>
                </w:tcPr>
                <w:p>
                  <w:pPr>
                    <w:pStyle w:val="6"/>
                    <w:spacing w:before="34" w:line="224" w:lineRule="auto"/>
                    <w:ind w:left="701" w:right="167" w:hanging="524"/>
                    <w:rPr>
                      <w:sz w:val="21"/>
                      <w:szCs w:val="21"/>
                    </w:rPr>
                  </w:pPr>
                  <w:r>
                    <w:rPr>
                      <w:spacing w:val="-1"/>
                      <w:sz w:val="21"/>
                      <w:szCs w:val="21"/>
                    </w:rPr>
                    <w:t>可能产生的环境</w:t>
                  </w:r>
                  <w:r>
                    <w:rPr>
                      <w:sz w:val="21"/>
                      <w:szCs w:val="21"/>
                    </w:rPr>
                    <w:t xml:space="preserve"> </w:t>
                  </w:r>
                  <w:r>
                    <w:rPr>
                      <w:spacing w:val="-3"/>
                      <w:sz w:val="21"/>
                      <w:szCs w:val="21"/>
                    </w:rPr>
                    <w:t>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544" w:type="dxa"/>
                  <w:vMerge w:val="restart"/>
                  <w:tcBorders>
                    <w:bottom w:val="nil"/>
                  </w:tcBorders>
                  <w:textDirection w:val="tbRlV"/>
                  <w:vAlign w:val="top"/>
                </w:tcPr>
                <w:p>
                  <w:pPr>
                    <w:pStyle w:val="6"/>
                    <w:spacing w:before="165" w:line="210" w:lineRule="auto"/>
                    <w:ind w:left="2768"/>
                    <w:rPr>
                      <w:sz w:val="21"/>
                      <w:szCs w:val="21"/>
                    </w:rPr>
                  </w:pPr>
                  <w:r>
                    <w:rPr>
                      <w:spacing w:val="1"/>
                      <w:sz w:val="21"/>
                      <w:szCs w:val="21"/>
                    </w:rPr>
                    <w:t>主</w:t>
                  </w:r>
                  <w:r>
                    <w:rPr>
                      <w:spacing w:val="-43"/>
                      <w:sz w:val="21"/>
                      <w:szCs w:val="21"/>
                    </w:rPr>
                    <w:t xml:space="preserve"> </w:t>
                  </w:r>
                  <w:r>
                    <w:rPr>
                      <w:spacing w:val="1"/>
                      <w:sz w:val="21"/>
                      <w:szCs w:val="21"/>
                    </w:rPr>
                    <w:t>体</w:t>
                  </w:r>
                  <w:r>
                    <w:rPr>
                      <w:spacing w:val="-45"/>
                      <w:sz w:val="21"/>
                      <w:szCs w:val="21"/>
                    </w:rPr>
                    <w:t xml:space="preserve"> </w:t>
                  </w:r>
                  <w:r>
                    <w:rPr>
                      <w:spacing w:val="1"/>
                      <w:sz w:val="21"/>
                      <w:szCs w:val="21"/>
                    </w:rPr>
                    <w:t>工</w:t>
                  </w:r>
                  <w:r>
                    <w:rPr>
                      <w:spacing w:val="-43"/>
                      <w:sz w:val="21"/>
                      <w:szCs w:val="21"/>
                    </w:rPr>
                    <w:t xml:space="preserve"> </w:t>
                  </w:r>
                  <w:r>
                    <w:rPr>
                      <w:spacing w:val="1"/>
                      <w:sz w:val="21"/>
                      <w:szCs w:val="21"/>
                    </w:rPr>
                    <w:t>程</w:t>
                  </w:r>
                </w:p>
              </w:tc>
              <w:tc>
                <w:tcPr>
                  <w:tcW w:w="1477" w:type="dxa"/>
                  <w:vAlign w:val="top"/>
                </w:tcPr>
                <w:p>
                  <w:pPr>
                    <w:spacing w:line="320" w:lineRule="auto"/>
                    <w:rPr>
                      <w:rFonts w:ascii="Arial"/>
                      <w:sz w:val="21"/>
                    </w:rPr>
                  </w:pPr>
                </w:p>
                <w:p>
                  <w:pPr>
                    <w:spacing w:line="320" w:lineRule="auto"/>
                    <w:rPr>
                      <w:rFonts w:ascii="Arial"/>
                      <w:sz w:val="21"/>
                    </w:rPr>
                  </w:pPr>
                </w:p>
                <w:p>
                  <w:pPr>
                    <w:pStyle w:val="6"/>
                    <w:spacing w:before="68" w:line="221" w:lineRule="auto"/>
                    <w:ind w:left="323"/>
                    <w:rPr>
                      <w:sz w:val="21"/>
                      <w:szCs w:val="21"/>
                    </w:rPr>
                  </w:pPr>
                  <w:r>
                    <w:rPr>
                      <w:spacing w:val="-2"/>
                      <w:sz w:val="21"/>
                      <w:szCs w:val="21"/>
                    </w:rPr>
                    <w:t>钻前工程</w:t>
                  </w:r>
                </w:p>
              </w:tc>
              <w:tc>
                <w:tcPr>
                  <w:tcW w:w="4777" w:type="dxa"/>
                  <w:vAlign w:val="top"/>
                </w:tcPr>
                <w:p>
                  <w:pPr>
                    <w:pStyle w:val="6"/>
                    <w:spacing w:before="27" w:line="236" w:lineRule="auto"/>
                    <w:ind w:left="114" w:right="98" w:firstLine="1"/>
                    <w:jc w:val="both"/>
                    <w:rPr>
                      <w:sz w:val="21"/>
                      <w:szCs w:val="21"/>
                    </w:rPr>
                  </w:pPr>
                  <w:r>
                    <w:rPr>
                      <w:spacing w:val="-2"/>
                      <w:sz w:val="21"/>
                      <w:szCs w:val="21"/>
                    </w:rPr>
                    <w:t>新建</w:t>
                  </w:r>
                  <w:r>
                    <w:rPr>
                      <w:spacing w:val="-27"/>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座井场</w:t>
                  </w:r>
                  <w:r>
                    <w:rPr>
                      <w:spacing w:val="-43"/>
                      <w:sz w:val="21"/>
                      <w:szCs w:val="21"/>
                    </w:rPr>
                    <w:t xml:space="preserve"> </w:t>
                  </w:r>
                  <w:r>
                    <w:rPr>
                      <w:rFonts w:ascii="Times New Roman" w:hAnsi="Times New Roman" w:eastAsia="Times New Roman" w:cs="Times New Roman"/>
                      <w:spacing w:val="-2"/>
                      <w:sz w:val="21"/>
                      <w:szCs w:val="21"/>
                    </w:rPr>
                    <w:t>6325m</w:t>
                  </w:r>
                  <w:r>
                    <w:rPr>
                      <w:rFonts w:ascii="Times New Roman" w:hAnsi="Times New Roman" w:eastAsia="Times New Roman" w:cs="Times New Roman"/>
                      <w:spacing w:val="-2"/>
                      <w:position w:val="6"/>
                      <w:sz w:val="13"/>
                      <w:szCs w:val="13"/>
                    </w:rPr>
                    <w:t>2</w:t>
                  </w:r>
                  <w:r>
                    <w:rPr>
                      <w:spacing w:val="-2"/>
                      <w:sz w:val="21"/>
                      <w:szCs w:val="21"/>
                    </w:rPr>
                    <w:t>（</w:t>
                  </w:r>
                  <w:r>
                    <w:rPr>
                      <w:rFonts w:ascii="Times New Roman" w:hAnsi="Times New Roman" w:eastAsia="Times New Roman" w:cs="Times New Roman"/>
                      <w:spacing w:val="-2"/>
                      <w:sz w:val="21"/>
                      <w:szCs w:val="21"/>
                    </w:rPr>
                    <w:t>115m×5</w:t>
                  </w:r>
                  <w:r>
                    <w:rPr>
                      <w:rFonts w:ascii="Times New Roman" w:hAnsi="Times New Roman" w:eastAsia="Times New Roman" w:cs="Times New Roman"/>
                      <w:spacing w:val="-3"/>
                      <w:sz w:val="21"/>
                      <w:szCs w:val="21"/>
                    </w:rPr>
                    <w:t>5m</w:t>
                  </w:r>
                  <w:r>
                    <w:rPr>
                      <w:spacing w:val="-15"/>
                      <w:sz w:val="21"/>
                      <w:szCs w:val="21"/>
                    </w:rPr>
                    <w:t>），</w:t>
                  </w:r>
                  <w:r>
                    <w:rPr>
                      <w:spacing w:val="-3"/>
                      <w:sz w:val="21"/>
                      <w:szCs w:val="21"/>
                    </w:rPr>
                    <w:t>新建场内道</w:t>
                  </w:r>
                  <w:r>
                    <w:rPr>
                      <w:sz w:val="21"/>
                      <w:szCs w:val="21"/>
                    </w:rPr>
                    <w:t xml:space="preserve"> 路</w:t>
                  </w:r>
                  <w:r>
                    <w:rPr>
                      <w:spacing w:val="-24"/>
                      <w:sz w:val="21"/>
                      <w:szCs w:val="21"/>
                    </w:rPr>
                    <w:t xml:space="preserve"> </w:t>
                  </w:r>
                  <w:r>
                    <w:rPr>
                      <w:rFonts w:ascii="Times New Roman" w:hAnsi="Times New Roman" w:eastAsia="Times New Roman" w:cs="Times New Roman"/>
                      <w:sz w:val="21"/>
                      <w:szCs w:val="21"/>
                    </w:rPr>
                    <w:t>110m</w:t>
                  </w:r>
                  <w:r>
                    <w:rPr>
                      <w:sz w:val="21"/>
                      <w:szCs w:val="21"/>
                    </w:rPr>
                    <w:t>，维修道路</w:t>
                  </w:r>
                  <w:r>
                    <w:rPr>
                      <w:spacing w:val="-44"/>
                      <w:sz w:val="21"/>
                      <w:szCs w:val="21"/>
                    </w:rPr>
                    <w:t xml:space="preserve"> </w:t>
                  </w:r>
                  <w:r>
                    <w:rPr>
                      <w:rFonts w:ascii="Times New Roman" w:hAnsi="Times New Roman" w:eastAsia="Times New Roman" w:cs="Times New Roman"/>
                      <w:sz w:val="21"/>
                      <w:szCs w:val="21"/>
                    </w:rPr>
                    <w:t>9.4km</w:t>
                  </w:r>
                  <w:r>
                    <w:rPr>
                      <w:sz w:val="21"/>
                      <w:szCs w:val="21"/>
                    </w:rPr>
                    <w:t xml:space="preserve">。新建清洁生产操作平 </w:t>
                  </w:r>
                  <w:r>
                    <w:rPr>
                      <w:spacing w:val="-14"/>
                      <w:sz w:val="21"/>
                      <w:szCs w:val="21"/>
                    </w:rPr>
                    <w:t>台</w:t>
                  </w:r>
                  <w:r>
                    <w:rPr>
                      <w:spacing w:val="-23"/>
                      <w:sz w:val="21"/>
                      <w:szCs w:val="21"/>
                    </w:rPr>
                    <w:t xml:space="preserve"> </w:t>
                  </w:r>
                  <w:r>
                    <w:rPr>
                      <w:rFonts w:ascii="Times New Roman" w:hAnsi="Times New Roman" w:eastAsia="Times New Roman" w:cs="Times New Roman"/>
                      <w:spacing w:val="-14"/>
                      <w:sz w:val="21"/>
                      <w:szCs w:val="21"/>
                    </w:rPr>
                    <w:t>1</w:t>
                  </w:r>
                  <w:r>
                    <w:rPr>
                      <w:rFonts w:ascii="Times New Roman" w:hAnsi="Times New Roman" w:eastAsia="Times New Roman" w:cs="Times New Roman"/>
                      <w:spacing w:val="10"/>
                      <w:sz w:val="21"/>
                      <w:szCs w:val="21"/>
                    </w:rPr>
                    <w:t xml:space="preserve"> </w:t>
                  </w:r>
                  <w:r>
                    <w:rPr>
                      <w:spacing w:val="-14"/>
                      <w:sz w:val="21"/>
                      <w:szCs w:val="21"/>
                    </w:rPr>
                    <w:t>座（</w:t>
                  </w:r>
                  <w:r>
                    <w:rPr>
                      <w:rFonts w:ascii="Times New Roman" w:hAnsi="Times New Roman" w:eastAsia="Times New Roman" w:cs="Times New Roman"/>
                      <w:spacing w:val="-14"/>
                      <w:sz w:val="21"/>
                      <w:szCs w:val="21"/>
                    </w:rPr>
                    <w:t>450m</w:t>
                  </w:r>
                  <w:r>
                    <w:rPr>
                      <w:rFonts w:ascii="Times New Roman" w:hAnsi="Times New Roman" w:eastAsia="Times New Roman" w:cs="Times New Roman"/>
                      <w:spacing w:val="-7"/>
                      <w:position w:val="6"/>
                      <w:sz w:val="13"/>
                      <w:szCs w:val="13"/>
                    </w:rPr>
                    <w:t>2</w:t>
                  </w:r>
                  <w:r>
                    <w:rPr>
                      <w:spacing w:val="-7"/>
                      <w:sz w:val="21"/>
                      <w:szCs w:val="21"/>
                    </w:rPr>
                    <w:t>，含岩屑堆放区</w:t>
                  </w:r>
                  <w:r>
                    <w:rPr>
                      <w:spacing w:val="-27"/>
                      <w:sz w:val="21"/>
                      <w:szCs w:val="21"/>
                    </w:rPr>
                    <w:t xml:space="preserve"> </w:t>
                  </w:r>
                  <w:r>
                    <w:rPr>
                      <w:rFonts w:ascii="Times New Roman" w:hAnsi="Times New Roman" w:eastAsia="Times New Roman" w:cs="Times New Roman"/>
                      <w:spacing w:val="-7"/>
                      <w:sz w:val="21"/>
                      <w:szCs w:val="21"/>
                    </w:rPr>
                    <w:t>150m</w:t>
                  </w:r>
                  <w:r>
                    <w:rPr>
                      <w:rFonts w:ascii="Times New Roman" w:hAnsi="Times New Roman" w:eastAsia="Times New Roman" w:cs="Times New Roman"/>
                      <w:spacing w:val="-7"/>
                      <w:position w:val="6"/>
                      <w:sz w:val="13"/>
                      <w:szCs w:val="13"/>
                    </w:rPr>
                    <w:t>2</w:t>
                  </w:r>
                  <w:r>
                    <w:rPr>
                      <w:spacing w:val="-53"/>
                      <w:w w:val="96"/>
                      <w:sz w:val="21"/>
                      <w:szCs w:val="21"/>
                    </w:rPr>
                    <w:t>），</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10"/>
                      <w:sz w:val="21"/>
                      <w:szCs w:val="21"/>
                    </w:rPr>
                    <w:t xml:space="preserve"> </w:t>
                  </w:r>
                  <w:r>
                    <w:rPr>
                      <w:spacing w:val="-5"/>
                      <w:sz w:val="21"/>
                      <w:szCs w:val="21"/>
                    </w:rPr>
                    <w:t>座</w:t>
                  </w:r>
                  <w:r>
                    <w:rPr>
                      <w:spacing w:val="-45"/>
                      <w:sz w:val="21"/>
                      <w:szCs w:val="21"/>
                    </w:rPr>
                    <w:t xml:space="preserve"> </w:t>
                  </w:r>
                  <w:r>
                    <w:rPr>
                      <w:rFonts w:ascii="Times New Roman" w:hAnsi="Times New Roman" w:eastAsia="Times New Roman" w:cs="Times New Roman"/>
                      <w:spacing w:val="-5"/>
                      <w:sz w:val="21"/>
                      <w:szCs w:val="21"/>
                    </w:rPr>
                    <w:t>500m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position w:val="6"/>
                      <w:sz w:val="13"/>
                      <w:szCs w:val="13"/>
                    </w:rPr>
                    <w:t xml:space="preserve"> </w:t>
                  </w:r>
                  <w:r>
                    <w:rPr>
                      <w:spacing w:val="-4"/>
                      <w:sz w:val="21"/>
                      <w:szCs w:val="21"/>
                    </w:rPr>
                    <w:t>应急池，</w:t>
                  </w:r>
                  <w:r>
                    <w:rPr>
                      <w:rFonts w:ascii="Times New Roman" w:hAnsi="Times New Roman" w:eastAsia="Times New Roman" w:cs="Times New Roman"/>
                      <w:spacing w:val="-4"/>
                      <w:sz w:val="21"/>
                      <w:szCs w:val="21"/>
                    </w:rPr>
                    <w:t xml:space="preserve">2 </w:t>
                  </w:r>
                  <w:r>
                    <w:rPr>
                      <w:spacing w:val="-4"/>
                      <w:sz w:val="21"/>
                      <w:szCs w:val="21"/>
                    </w:rPr>
                    <w:t>座</w:t>
                  </w:r>
                  <w:r>
                    <w:rPr>
                      <w:spacing w:val="-35"/>
                      <w:sz w:val="21"/>
                      <w:szCs w:val="21"/>
                    </w:rPr>
                    <w:t xml:space="preserve"> </w:t>
                  </w:r>
                  <w:r>
                    <w:rPr>
                      <w:rFonts w:ascii="Times New Roman" w:hAnsi="Times New Roman" w:eastAsia="Times New Roman" w:cs="Times New Roman"/>
                      <w:spacing w:val="-4"/>
                      <w:sz w:val="21"/>
                      <w:szCs w:val="21"/>
                    </w:rPr>
                    <w:t xml:space="preserve">A </w:t>
                  </w:r>
                  <w:r>
                    <w:rPr>
                      <w:spacing w:val="-4"/>
                      <w:sz w:val="21"/>
                      <w:szCs w:val="21"/>
                    </w:rPr>
                    <w:t>类燃烧池，油罐基础</w:t>
                  </w:r>
                  <w:r>
                    <w:rPr>
                      <w:spacing w:val="-27"/>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套，水罐基</w:t>
                  </w:r>
                  <w:r>
                    <w:rPr>
                      <w:sz w:val="21"/>
                      <w:szCs w:val="21"/>
                    </w:rPr>
                    <w:t xml:space="preserve"> </w:t>
                  </w:r>
                  <w:r>
                    <w:rPr>
                      <w:spacing w:val="-5"/>
                      <w:sz w:val="21"/>
                      <w:szCs w:val="21"/>
                    </w:rPr>
                    <w:t>础</w:t>
                  </w:r>
                  <w:r>
                    <w:rPr>
                      <w:spacing w:val="-20"/>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套，新建井队临时板房生活区</w:t>
                  </w:r>
                  <w:r>
                    <w:rPr>
                      <w:spacing w:val="-28"/>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套及钻井设备</w:t>
                  </w:r>
                </w:p>
                <w:p>
                  <w:pPr>
                    <w:pStyle w:val="6"/>
                    <w:spacing w:before="23" w:line="208" w:lineRule="auto"/>
                    <w:ind w:left="713"/>
                    <w:rPr>
                      <w:sz w:val="21"/>
                      <w:szCs w:val="21"/>
                    </w:rPr>
                  </w:pPr>
                  <w:r>
                    <w:rPr>
                      <w:spacing w:val="-1"/>
                      <w:sz w:val="21"/>
                      <w:szCs w:val="21"/>
                    </w:rPr>
                    <w:t>基础、给排水、供配电等辅助工程。</w:t>
                  </w:r>
                </w:p>
              </w:tc>
              <w:tc>
                <w:tcPr>
                  <w:tcW w:w="1814" w:type="dxa"/>
                  <w:vAlign w:val="top"/>
                </w:tcPr>
                <w:p>
                  <w:pPr>
                    <w:pStyle w:val="6"/>
                    <w:spacing w:before="32" w:line="234" w:lineRule="auto"/>
                    <w:ind w:left="115" w:right="105" w:firstLine="11"/>
                    <w:jc w:val="both"/>
                    <w:rPr>
                      <w:sz w:val="21"/>
                      <w:szCs w:val="21"/>
                    </w:rPr>
                  </w:pPr>
                  <w:r>
                    <w:rPr>
                      <w:spacing w:val="-13"/>
                      <w:sz w:val="21"/>
                      <w:szCs w:val="21"/>
                    </w:rPr>
                    <w:t>临时占地，改变土</w:t>
                  </w:r>
                  <w:r>
                    <w:rPr>
                      <w:sz w:val="21"/>
                      <w:szCs w:val="21"/>
                    </w:rPr>
                    <w:t xml:space="preserve"> </w:t>
                  </w:r>
                  <w:r>
                    <w:rPr>
                      <w:spacing w:val="-12"/>
                      <w:sz w:val="21"/>
                      <w:szCs w:val="21"/>
                    </w:rPr>
                    <w:t>地利用现状，破坏</w:t>
                  </w:r>
                  <w:r>
                    <w:rPr>
                      <w:spacing w:val="3"/>
                      <w:sz w:val="21"/>
                      <w:szCs w:val="21"/>
                    </w:rPr>
                    <w:t xml:space="preserve"> </w:t>
                  </w:r>
                  <w:r>
                    <w:rPr>
                      <w:spacing w:val="-12"/>
                      <w:sz w:val="21"/>
                      <w:szCs w:val="21"/>
                    </w:rPr>
                    <w:t>植被，改变自然地</w:t>
                  </w:r>
                  <w:r>
                    <w:rPr>
                      <w:spacing w:val="3"/>
                      <w:sz w:val="21"/>
                      <w:szCs w:val="21"/>
                    </w:rPr>
                    <w:t xml:space="preserve"> </w:t>
                  </w:r>
                  <w:r>
                    <w:rPr>
                      <w:spacing w:val="-12"/>
                      <w:sz w:val="21"/>
                      <w:szCs w:val="21"/>
                    </w:rPr>
                    <w:t>形地貌，可能导致</w:t>
                  </w:r>
                  <w:r>
                    <w:rPr>
                      <w:spacing w:val="3"/>
                      <w:sz w:val="21"/>
                      <w:szCs w:val="21"/>
                    </w:rPr>
                    <w:t xml:space="preserve"> </w:t>
                  </w:r>
                  <w:r>
                    <w:rPr>
                      <w:spacing w:val="-12"/>
                      <w:sz w:val="21"/>
                      <w:szCs w:val="21"/>
                    </w:rPr>
                    <w:t>水土流失，施工扬</w:t>
                  </w:r>
                  <w:r>
                    <w:rPr>
                      <w:spacing w:val="3"/>
                      <w:sz w:val="21"/>
                      <w:szCs w:val="21"/>
                    </w:rPr>
                    <w:t xml:space="preserve"> </w:t>
                  </w:r>
                  <w:r>
                    <w:rPr>
                      <w:spacing w:val="7"/>
                      <w:sz w:val="21"/>
                      <w:szCs w:val="21"/>
                    </w:rPr>
                    <w:t>尘、噪声、固废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544" w:type="dxa"/>
                  <w:vMerge w:val="continue"/>
                  <w:tcBorders>
                    <w:top w:val="nil"/>
                    <w:bottom w:val="nil"/>
                  </w:tcBorders>
                  <w:textDirection w:val="tbRlV"/>
                  <w:vAlign w:val="top"/>
                </w:tcPr>
                <w:p>
                  <w:pPr>
                    <w:rPr>
                      <w:rFonts w:ascii="Arial"/>
                      <w:sz w:val="21"/>
                    </w:rPr>
                  </w:pPr>
                </w:p>
              </w:tc>
              <w:tc>
                <w:tcPr>
                  <w:tcW w:w="147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8" w:line="221" w:lineRule="auto"/>
                    <w:ind w:left="323"/>
                    <w:rPr>
                      <w:sz w:val="21"/>
                      <w:szCs w:val="21"/>
                    </w:rPr>
                  </w:pPr>
                  <w:r>
                    <w:rPr>
                      <w:spacing w:val="-2"/>
                      <w:sz w:val="21"/>
                      <w:szCs w:val="21"/>
                    </w:rPr>
                    <w:t>钻井工程</w:t>
                  </w:r>
                </w:p>
              </w:tc>
              <w:tc>
                <w:tcPr>
                  <w:tcW w:w="4777" w:type="dxa"/>
                  <w:vAlign w:val="top"/>
                </w:tcPr>
                <w:p>
                  <w:pPr>
                    <w:pStyle w:val="6"/>
                    <w:spacing w:before="33" w:line="237" w:lineRule="auto"/>
                    <w:ind w:left="111" w:right="10" w:firstLine="8"/>
                    <w:jc w:val="both"/>
                    <w:rPr>
                      <w:sz w:val="21"/>
                      <w:szCs w:val="21"/>
                    </w:rPr>
                  </w:pPr>
                  <w:r>
                    <w:rPr>
                      <w:spacing w:val="-4"/>
                      <w:sz w:val="21"/>
                      <w:szCs w:val="21"/>
                    </w:rPr>
                    <w:t>设计井深</w:t>
                  </w:r>
                  <w:r>
                    <w:rPr>
                      <w:spacing w:val="-42"/>
                      <w:sz w:val="21"/>
                      <w:szCs w:val="21"/>
                    </w:rPr>
                    <w:t xml:space="preserve"> </w:t>
                  </w:r>
                  <w:r>
                    <w:rPr>
                      <w:rFonts w:ascii="Times New Roman" w:hAnsi="Times New Roman" w:eastAsia="Times New Roman" w:cs="Times New Roman"/>
                      <w:spacing w:val="-4"/>
                      <w:sz w:val="21"/>
                      <w:szCs w:val="21"/>
                    </w:rPr>
                    <w:t>7230m</w:t>
                  </w:r>
                  <w:r>
                    <w:rPr>
                      <w:spacing w:val="-4"/>
                      <w:sz w:val="21"/>
                      <w:szCs w:val="21"/>
                    </w:rPr>
                    <w:t>；井型为直井， 钻至志留系完钻。</w:t>
                  </w:r>
                  <w:r>
                    <w:rPr>
                      <w:sz w:val="21"/>
                      <w:szCs w:val="21"/>
                    </w:rPr>
                    <w:t xml:space="preserve"> </w:t>
                  </w:r>
                  <w:r>
                    <w:rPr>
                      <w:spacing w:val="-3"/>
                      <w:sz w:val="21"/>
                      <w:szCs w:val="21"/>
                    </w:rPr>
                    <w:t>钻井工程主要包括钻进、钻进辅助作业、固井和完</w:t>
                  </w:r>
                  <w:r>
                    <w:rPr>
                      <w:spacing w:val="2"/>
                      <w:sz w:val="21"/>
                      <w:szCs w:val="21"/>
                    </w:rPr>
                    <w:t xml:space="preserve">  </w:t>
                  </w:r>
                  <w:r>
                    <w:rPr>
                      <w:spacing w:val="-3"/>
                      <w:sz w:val="21"/>
                      <w:szCs w:val="21"/>
                    </w:rPr>
                    <w:t>井等过程。采用“六开”钻井工艺，并分段采用套</w:t>
                  </w:r>
                  <w:r>
                    <w:rPr>
                      <w:spacing w:val="2"/>
                      <w:sz w:val="21"/>
                      <w:szCs w:val="21"/>
                    </w:rPr>
                    <w:t xml:space="preserve">  </w:t>
                  </w:r>
                  <w:r>
                    <w:rPr>
                      <w:spacing w:val="-6"/>
                      <w:sz w:val="21"/>
                      <w:szCs w:val="21"/>
                    </w:rPr>
                    <w:t>管进行固井。采用</w:t>
                  </w:r>
                  <w:r>
                    <w:rPr>
                      <w:spacing w:val="-50"/>
                      <w:sz w:val="21"/>
                      <w:szCs w:val="21"/>
                    </w:rPr>
                    <w:t xml:space="preserve"> </w:t>
                  </w:r>
                  <w:r>
                    <w:rPr>
                      <w:rFonts w:ascii="Times New Roman" w:hAnsi="Times New Roman" w:eastAsia="Times New Roman" w:cs="Times New Roman"/>
                      <w:spacing w:val="-6"/>
                      <w:sz w:val="21"/>
                      <w:szCs w:val="21"/>
                    </w:rPr>
                    <w:t>ZJ80D</w:t>
                  </w:r>
                  <w:r>
                    <w:rPr>
                      <w:rFonts w:ascii="Times New Roman" w:hAnsi="Times New Roman" w:eastAsia="Times New Roman" w:cs="Times New Roman"/>
                      <w:spacing w:val="14"/>
                      <w:sz w:val="21"/>
                      <w:szCs w:val="21"/>
                    </w:rPr>
                    <w:t xml:space="preserve"> </w:t>
                  </w:r>
                  <w:r>
                    <w:rPr>
                      <w:spacing w:val="-6"/>
                      <w:sz w:val="21"/>
                      <w:szCs w:val="21"/>
                    </w:rPr>
                    <w:t>型钻机，一开段（</w:t>
                  </w:r>
                  <w:r>
                    <w:rPr>
                      <w:rFonts w:ascii="Times New Roman" w:hAnsi="Times New Roman" w:eastAsia="Times New Roman" w:cs="Times New Roman"/>
                      <w:spacing w:val="-6"/>
                      <w:sz w:val="21"/>
                      <w:szCs w:val="21"/>
                    </w:rPr>
                    <w:t>0-50m</w:t>
                  </w:r>
                  <w:r>
                    <w:rPr>
                      <w:spacing w:val="-6"/>
                      <w:sz w:val="21"/>
                      <w:szCs w:val="21"/>
                    </w:rPr>
                    <w:t>）</w:t>
                  </w:r>
                  <w:r>
                    <w:rPr>
                      <w:sz w:val="21"/>
                      <w:szCs w:val="21"/>
                    </w:rPr>
                    <w:t xml:space="preserve"> </w:t>
                  </w:r>
                  <w:r>
                    <w:rPr>
                      <w:spacing w:val="2"/>
                      <w:sz w:val="21"/>
                      <w:szCs w:val="21"/>
                    </w:rPr>
                    <w:t>采用清水钻井液钻进，二开段（</w:t>
                  </w:r>
                  <w:r>
                    <w:rPr>
                      <w:rFonts w:ascii="Times New Roman" w:hAnsi="Times New Roman" w:eastAsia="Times New Roman" w:cs="Times New Roman"/>
                      <w:spacing w:val="2"/>
                      <w:sz w:val="21"/>
                      <w:szCs w:val="21"/>
                    </w:rPr>
                    <w:t>50</w:t>
                  </w:r>
                  <w:r>
                    <w:rPr>
                      <w:spacing w:val="2"/>
                      <w:sz w:val="21"/>
                      <w:szCs w:val="21"/>
                    </w:rPr>
                    <w:t>～</w:t>
                  </w:r>
                  <w:r>
                    <w:rPr>
                      <w:rFonts w:ascii="Times New Roman" w:hAnsi="Times New Roman" w:eastAsia="Times New Roman" w:cs="Times New Roman"/>
                      <w:spacing w:val="2"/>
                      <w:sz w:val="21"/>
                      <w:szCs w:val="21"/>
                    </w:rPr>
                    <w:t>800</w:t>
                  </w:r>
                  <w:r>
                    <w:rPr>
                      <w:rFonts w:ascii="Times New Roman" w:hAnsi="Times New Roman" w:eastAsia="Times New Roman" w:cs="Times New Roman"/>
                      <w:spacing w:val="1"/>
                      <w:sz w:val="21"/>
                      <w:szCs w:val="21"/>
                    </w:rPr>
                    <w:t>m</w:t>
                  </w:r>
                  <w:r>
                    <w:rPr>
                      <w:spacing w:val="1"/>
                      <w:sz w:val="21"/>
                      <w:szCs w:val="21"/>
                    </w:rPr>
                    <w:t>）采用</w:t>
                  </w:r>
                  <w:r>
                    <w:rPr>
                      <w:sz w:val="21"/>
                      <w:szCs w:val="21"/>
                    </w:rPr>
                    <w:t xml:space="preserve">  </w:t>
                  </w:r>
                  <w:r>
                    <w:rPr>
                      <w:rFonts w:ascii="Times New Roman" w:hAnsi="Times New Roman" w:eastAsia="Times New Roman" w:cs="Times New Roman"/>
                      <w:spacing w:val="-2"/>
                      <w:sz w:val="21"/>
                      <w:szCs w:val="21"/>
                    </w:rPr>
                    <w:t>KCl</w:t>
                  </w:r>
                  <w:r>
                    <w:rPr>
                      <w:rFonts w:ascii="Times New Roman" w:hAnsi="Times New Roman" w:eastAsia="Times New Roman" w:cs="Times New Roman"/>
                      <w:spacing w:val="33"/>
                      <w:sz w:val="21"/>
                      <w:szCs w:val="21"/>
                    </w:rPr>
                    <w:t xml:space="preserve"> </w:t>
                  </w:r>
                  <w:r>
                    <w:rPr>
                      <w:spacing w:val="-2"/>
                      <w:sz w:val="21"/>
                      <w:szCs w:val="21"/>
                    </w:rPr>
                    <w:t>聚合物钻井液钻进，三开段（</w:t>
                  </w:r>
                  <w:r>
                    <w:rPr>
                      <w:rFonts w:ascii="Times New Roman" w:hAnsi="Times New Roman" w:eastAsia="Times New Roman" w:cs="Times New Roman"/>
                      <w:spacing w:val="-2"/>
                      <w:sz w:val="21"/>
                      <w:szCs w:val="21"/>
                    </w:rPr>
                    <w:t>800~3990m</w:t>
                  </w:r>
                  <w:r>
                    <w:rPr>
                      <w:spacing w:val="-2"/>
                      <w:sz w:val="21"/>
                      <w:szCs w:val="21"/>
                    </w:rPr>
                    <w:t>）和</w:t>
                  </w:r>
                  <w:r>
                    <w:rPr>
                      <w:sz w:val="21"/>
                      <w:szCs w:val="21"/>
                    </w:rPr>
                    <w:t xml:space="preserve">  </w:t>
                  </w:r>
                  <w:r>
                    <w:rPr>
                      <w:spacing w:val="1"/>
                      <w:sz w:val="21"/>
                      <w:szCs w:val="21"/>
                    </w:rPr>
                    <w:t>四开段（</w:t>
                  </w:r>
                  <w:r>
                    <w:rPr>
                      <w:rFonts w:ascii="Times New Roman" w:hAnsi="Times New Roman" w:eastAsia="Times New Roman" w:cs="Times New Roman"/>
                      <w:spacing w:val="1"/>
                      <w:sz w:val="21"/>
                      <w:szCs w:val="21"/>
                    </w:rPr>
                    <w:t>3990~6800m</w:t>
                  </w:r>
                  <w:r>
                    <w:rPr>
                      <w:spacing w:val="1"/>
                      <w:sz w:val="21"/>
                      <w:szCs w:val="21"/>
                    </w:rPr>
                    <w:t>）采用有机盐聚合物钻井液</w:t>
                  </w:r>
                  <w:r>
                    <w:rPr>
                      <w:spacing w:val="6"/>
                      <w:sz w:val="21"/>
                      <w:szCs w:val="21"/>
                    </w:rPr>
                    <w:t xml:space="preserve">  </w:t>
                  </w:r>
                  <w:r>
                    <w:rPr>
                      <w:spacing w:val="-5"/>
                      <w:sz w:val="21"/>
                      <w:szCs w:val="21"/>
                    </w:rPr>
                    <w:t>钻进， 五开段（</w:t>
                  </w:r>
                  <w:r>
                    <w:rPr>
                      <w:rFonts w:ascii="Times New Roman" w:hAnsi="Times New Roman" w:eastAsia="Times New Roman" w:cs="Times New Roman"/>
                      <w:spacing w:val="-5"/>
                      <w:sz w:val="21"/>
                      <w:szCs w:val="21"/>
                    </w:rPr>
                    <w:t>6800</w:t>
                  </w:r>
                  <w:r>
                    <w:rPr>
                      <w:spacing w:val="-5"/>
                      <w:sz w:val="21"/>
                      <w:szCs w:val="21"/>
                    </w:rPr>
                    <w:t>～</w:t>
                  </w:r>
                  <w:r>
                    <w:rPr>
                      <w:rFonts w:ascii="Times New Roman" w:hAnsi="Times New Roman" w:eastAsia="Times New Roman" w:cs="Times New Roman"/>
                      <w:spacing w:val="-5"/>
                      <w:sz w:val="21"/>
                      <w:szCs w:val="21"/>
                    </w:rPr>
                    <w:t>7135m</w:t>
                  </w:r>
                  <w:r>
                    <w:rPr>
                      <w:spacing w:val="-5"/>
                      <w:sz w:val="21"/>
                      <w:szCs w:val="21"/>
                    </w:rPr>
                    <w:t>）采用环保型去磺化</w:t>
                  </w:r>
                  <w:r>
                    <w:rPr>
                      <w:spacing w:val="9"/>
                      <w:sz w:val="21"/>
                      <w:szCs w:val="21"/>
                    </w:rPr>
                    <w:t xml:space="preserve">  </w:t>
                  </w:r>
                  <w:r>
                    <w:rPr>
                      <w:spacing w:val="1"/>
                      <w:sz w:val="21"/>
                      <w:szCs w:val="21"/>
                    </w:rPr>
                    <w:t>钻井液钻进，六开段（</w:t>
                  </w:r>
                  <w:r>
                    <w:rPr>
                      <w:rFonts w:ascii="Times New Roman" w:hAnsi="Times New Roman" w:eastAsia="Times New Roman" w:cs="Times New Roman"/>
                      <w:spacing w:val="1"/>
                      <w:sz w:val="21"/>
                      <w:szCs w:val="21"/>
                    </w:rPr>
                    <w:t>7135~7230m</w:t>
                  </w:r>
                  <w:r>
                    <w:rPr>
                      <w:spacing w:val="1"/>
                      <w:sz w:val="21"/>
                      <w:szCs w:val="21"/>
                    </w:rPr>
                    <w:t>）使用油基钻</w:t>
                  </w:r>
                </w:p>
                <w:p>
                  <w:pPr>
                    <w:pStyle w:val="6"/>
                    <w:spacing w:before="22" w:line="208" w:lineRule="auto"/>
                    <w:ind w:left="1870"/>
                    <w:rPr>
                      <w:sz w:val="21"/>
                      <w:szCs w:val="21"/>
                    </w:rPr>
                  </w:pPr>
                  <w:r>
                    <w:rPr>
                      <w:spacing w:val="-2"/>
                      <w:sz w:val="21"/>
                      <w:szCs w:val="21"/>
                    </w:rPr>
                    <w:t>井液钻进。</w:t>
                  </w:r>
                </w:p>
              </w:tc>
              <w:tc>
                <w:tcPr>
                  <w:tcW w:w="1814" w:type="dxa"/>
                  <w:vAlign w:val="top"/>
                </w:tcPr>
                <w:p>
                  <w:pPr>
                    <w:spacing w:line="319" w:lineRule="auto"/>
                    <w:rPr>
                      <w:rFonts w:ascii="Arial"/>
                      <w:sz w:val="21"/>
                    </w:rPr>
                  </w:pPr>
                </w:p>
                <w:p>
                  <w:pPr>
                    <w:spacing w:line="319" w:lineRule="auto"/>
                    <w:rPr>
                      <w:rFonts w:ascii="Arial"/>
                      <w:sz w:val="21"/>
                    </w:rPr>
                  </w:pPr>
                </w:p>
                <w:p>
                  <w:pPr>
                    <w:pStyle w:val="6"/>
                    <w:spacing w:before="68" w:line="221" w:lineRule="auto"/>
                    <w:ind w:left="176"/>
                    <w:rPr>
                      <w:sz w:val="21"/>
                      <w:szCs w:val="21"/>
                    </w:rPr>
                  </w:pPr>
                  <w:r>
                    <w:rPr>
                      <w:spacing w:val="-1"/>
                      <w:sz w:val="21"/>
                      <w:szCs w:val="21"/>
                    </w:rPr>
                    <w:t>作业废水及员工</w:t>
                  </w:r>
                </w:p>
                <w:p>
                  <w:pPr>
                    <w:pStyle w:val="6"/>
                    <w:spacing w:before="22" w:line="221" w:lineRule="auto"/>
                    <w:ind w:left="117"/>
                    <w:rPr>
                      <w:sz w:val="21"/>
                      <w:szCs w:val="21"/>
                    </w:rPr>
                  </w:pPr>
                  <w:r>
                    <w:rPr>
                      <w:spacing w:val="-12"/>
                      <w:sz w:val="21"/>
                      <w:szCs w:val="21"/>
                    </w:rPr>
                    <w:t>生活污水；岩屑及</w:t>
                  </w:r>
                </w:p>
                <w:p>
                  <w:pPr>
                    <w:pStyle w:val="6"/>
                    <w:spacing w:before="19" w:line="221" w:lineRule="auto"/>
                    <w:ind w:left="114"/>
                    <w:rPr>
                      <w:sz w:val="21"/>
                      <w:szCs w:val="21"/>
                    </w:rPr>
                  </w:pPr>
                  <w:r>
                    <w:rPr>
                      <w:spacing w:val="-12"/>
                      <w:sz w:val="21"/>
                      <w:szCs w:val="21"/>
                    </w:rPr>
                    <w:t>废泥浆、员工生活</w:t>
                  </w:r>
                </w:p>
                <w:p>
                  <w:pPr>
                    <w:pStyle w:val="6"/>
                    <w:spacing w:before="23" w:line="221" w:lineRule="auto"/>
                    <w:ind w:left="117"/>
                    <w:rPr>
                      <w:sz w:val="21"/>
                      <w:szCs w:val="21"/>
                    </w:rPr>
                  </w:pPr>
                  <w:r>
                    <w:rPr>
                      <w:spacing w:val="-12"/>
                      <w:sz w:val="21"/>
                      <w:szCs w:val="21"/>
                    </w:rPr>
                    <w:t>垃圾；钻井设备噪</w:t>
                  </w:r>
                </w:p>
                <w:p>
                  <w:pPr>
                    <w:pStyle w:val="6"/>
                    <w:spacing w:before="19" w:line="221" w:lineRule="auto"/>
                    <w:ind w:left="811"/>
                    <w:rPr>
                      <w:sz w:val="21"/>
                      <w:szCs w:val="21"/>
                    </w:rPr>
                  </w:pPr>
                  <w:r>
                    <w:rPr>
                      <w:sz w:val="21"/>
                      <w:szCs w:val="21"/>
                    </w:rPr>
                    <w:t>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544" w:type="dxa"/>
                  <w:vMerge w:val="continue"/>
                  <w:tcBorders>
                    <w:top w:val="nil"/>
                    <w:bottom w:val="nil"/>
                  </w:tcBorders>
                  <w:textDirection w:val="tbRlV"/>
                  <w:vAlign w:val="top"/>
                </w:tcPr>
                <w:p>
                  <w:pPr>
                    <w:rPr>
                      <w:rFonts w:ascii="Arial"/>
                      <w:sz w:val="21"/>
                    </w:rPr>
                  </w:pPr>
                </w:p>
              </w:tc>
              <w:tc>
                <w:tcPr>
                  <w:tcW w:w="1477" w:type="dxa"/>
                  <w:vAlign w:val="top"/>
                </w:tcPr>
                <w:p>
                  <w:pPr>
                    <w:pStyle w:val="6"/>
                    <w:spacing w:before="304" w:line="233" w:lineRule="auto"/>
                    <w:ind w:left="114" w:right="103"/>
                    <w:jc w:val="both"/>
                    <w:rPr>
                      <w:sz w:val="21"/>
                      <w:szCs w:val="21"/>
                    </w:rPr>
                  </w:pPr>
                  <w:r>
                    <w:rPr>
                      <w:spacing w:val="-1"/>
                      <w:sz w:val="21"/>
                      <w:szCs w:val="21"/>
                    </w:rPr>
                    <w:t>钻井过程中测</w:t>
                  </w:r>
                  <w:r>
                    <w:rPr>
                      <w:sz w:val="21"/>
                      <w:szCs w:val="21"/>
                    </w:rPr>
                    <w:t xml:space="preserve"> </w:t>
                  </w:r>
                  <w:r>
                    <w:rPr>
                      <w:spacing w:val="-14"/>
                      <w:sz w:val="21"/>
                      <w:szCs w:val="21"/>
                    </w:rPr>
                    <w:t>井、取心、</w:t>
                  </w:r>
                  <w:r>
                    <w:rPr>
                      <w:spacing w:val="-28"/>
                      <w:sz w:val="21"/>
                      <w:szCs w:val="21"/>
                    </w:rPr>
                    <w:t xml:space="preserve"> </w:t>
                  </w:r>
                  <w:r>
                    <w:rPr>
                      <w:spacing w:val="-14"/>
                      <w:sz w:val="21"/>
                      <w:szCs w:val="21"/>
                    </w:rPr>
                    <w:t>录</w:t>
                  </w:r>
                  <w:r>
                    <w:rPr>
                      <w:sz w:val="21"/>
                      <w:szCs w:val="21"/>
                    </w:rPr>
                    <w:t xml:space="preserve"> </w:t>
                  </w:r>
                  <w:r>
                    <w:rPr>
                      <w:spacing w:val="-1"/>
                      <w:sz w:val="21"/>
                      <w:szCs w:val="21"/>
                    </w:rPr>
                    <w:t>井、中途测试</w:t>
                  </w:r>
                </w:p>
              </w:tc>
              <w:tc>
                <w:tcPr>
                  <w:tcW w:w="4777" w:type="dxa"/>
                  <w:vAlign w:val="top"/>
                </w:tcPr>
                <w:p>
                  <w:pPr>
                    <w:pStyle w:val="6"/>
                    <w:spacing w:before="302" w:line="221" w:lineRule="auto"/>
                    <w:ind w:left="116"/>
                    <w:rPr>
                      <w:sz w:val="21"/>
                      <w:szCs w:val="21"/>
                    </w:rPr>
                  </w:pPr>
                  <w:r>
                    <w:rPr>
                      <w:spacing w:val="-1"/>
                      <w:sz w:val="21"/>
                      <w:szCs w:val="21"/>
                    </w:rPr>
                    <w:t>测井、取心、录井主要就是取样分析地质等情况。</w:t>
                  </w:r>
                </w:p>
                <w:p>
                  <w:pPr>
                    <w:pStyle w:val="6"/>
                    <w:spacing w:before="19" w:line="231" w:lineRule="auto"/>
                    <w:ind w:left="1557" w:right="100" w:hanging="1443"/>
                    <w:rPr>
                      <w:sz w:val="21"/>
                      <w:szCs w:val="21"/>
                    </w:rPr>
                  </w:pPr>
                  <w:r>
                    <w:rPr>
                      <w:spacing w:val="-3"/>
                      <w:sz w:val="21"/>
                      <w:szCs w:val="21"/>
                    </w:rPr>
                    <w:t>对可能的油、气层进行的中途测试。中途测试方法</w:t>
                  </w:r>
                  <w:r>
                    <w:rPr>
                      <w:spacing w:val="1"/>
                      <w:sz w:val="21"/>
                      <w:szCs w:val="21"/>
                    </w:rPr>
                    <w:t xml:space="preserve"> </w:t>
                  </w:r>
                  <w:r>
                    <w:rPr>
                      <w:spacing w:val="-1"/>
                      <w:sz w:val="21"/>
                      <w:szCs w:val="21"/>
                    </w:rPr>
                    <w:t>为钻杆工具中测。</w:t>
                  </w:r>
                </w:p>
              </w:tc>
              <w:tc>
                <w:tcPr>
                  <w:tcW w:w="1814" w:type="dxa"/>
                  <w:vAlign w:val="top"/>
                </w:tcPr>
                <w:p>
                  <w:pPr>
                    <w:pStyle w:val="6"/>
                    <w:spacing w:before="27" w:line="234" w:lineRule="auto"/>
                    <w:ind w:left="116" w:right="105"/>
                    <w:jc w:val="both"/>
                    <w:rPr>
                      <w:sz w:val="21"/>
                      <w:szCs w:val="21"/>
                    </w:rPr>
                  </w:pPr>
                  <w:r>
                    <w:rPr>
                      <w:spacing w:val="-12"/>
                      <w:sz w:val="21"/>
                      <w:szCs w:val="21"/>
                    </w:rPr>
                    <w:t>测井、取心、录井</w:t>
                  </w:r>
                  <w:r>
                    <w:rPr>
                      <w:spacing w:val="1"/>
                      <w:sz w:val="21"/>
                      <w:szCs w:val="21"/>
                    </w:rPr>
                    <w:t xml:space="preserve"> </w:t>
                  </w:r>
                  <w:r>
                    <w:rPr>
                      <w:spacing w:val="7"/>
                      <w:sz w:val="21"/>
                      <w:szCs w:val="21"/>
                    </w:rPr>
                    <w:t>过程基本不涉及</w:t>
                  </w:r>
                  <w:r>
                    <w:rPr>
                      <w:spacing w:val="4"/>
                      <w:sz w:val="21"/>
                      <w:szCs w:val="21"/>
                    </w:rPr>
                    <w:t xml:space="preserve"> </w:t>
                  </w:r>
                  <w:r>
                    <w:rPr>
                      <w:spacing w:val="-12"/>
                      <w:sz w:val="21"/>
                      <w:szCs w:val="21"/>
                    </w:rPr>
                    <w:t>污染物，中途测试</w:t>
                  </w:r>
                  <w:r>
                    <w:rPr>
                      <w:spacing w:val="2"/>
                      <w:sz w:val="21"/>
                      <w:szCs w:val="21"/>
                    </w:rPr>
                    <w:t xml:space="preserve"> </w:t>
                  </w:r>
                  <w:r>
                    <w:rPr>
                      <w:spacing w:val="7"/>
                      <w:sz w:val="21"/>
                      <w:szCs w:val="21"/>
                    </w:rPr>
                    <w:t>产生放喷燃烧废</w:t>
                  </w:r>
                  <w:r>
                    <w:rPr>
                      <w:spacing w:val="4"/>
                      <w:sz w:val="21"/>
                      <w:szCs w:val="21"/>
                    </w:rPr>
                    <w:t xml:space="preserve"> </w:t>
                  </w:r>
                  <w:r>
                    <w:rPr>
                      <w:spacing w:val="-12"/>
                      <w:sz w:val="21"/>
                      <w:szCs w:val="21"/>
                    </w:rPr>
                    <w:t>气、放喷气流噪声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44" w:type="dxa"/>
                  <w:vMerge w:val="continue"/>
                  <w:tcBorders>
                    <w:top w:val="nil"/>
                  </w:tcBorders>
                  <w:textDirection w:val="tbRlV"/>
                  <w:vAlign w:val="top"/>
                </w:tcPr>
                <w:p>
                  <w:pPr>
                    <w:rPr>
                      <w:rFonts w:ascii="Arial"/>
                      <w:sz w:val="21"/>
                    </w:rPr>
                  </w:pPr>
                </w:p>
              </w:tc>
              <w:tc>
                <w:tcPr>
                  <w:tcW w:w="1477" w:type="dxa"/>
                  <w:vAlign w:val="top"/>
                </w:tcPr>
                <w:p>
                  <w:pPr>
                    <w:pStyle w:val="6"/>
                    <w:spacing w:before="299" w:line="221" w:lineRule="auto"/>
                    <w:ind w:left="324"/>
                    <w:rPr>
                      <w:sz w:val="21"/>
                      <w:szCs w:val="21"/>
                    </w:rPr>
                  </w:pPr>
                  <w:r>
                    <w:rPr>
                      <w:spacing w:val="-2"/>
                      <w:sz w:val="21"/>
                      <w:szCs w:val="21"/>
                    </w:rPr>
                    <w:t>完井测试</w:t>
                  </w:r>
                </w:p>
              </w:tc>
              <w:tc>
                <w:tcPr>
                  <w:tcW w:w="4777" w:type="dxa"/>
                  <w:vAlign w:val="top"/>
                </w:tcPr>
                <w:p>
                  <w:pPr>
                    <w:pStyle w:val="6"/>
                    <w:spacing w:before="300" w:line="221" w:lineRule="auto"/>
                    <w:ind w:left="401"/>
                    <w:rPr>
                      <w:sz w:val="21"/>
                      <w:szCs w:val="21"/>
                    </w:rPr>
                  </w:pPr>
                  <w:r>
                    <w:rPr>
                      <w:spacing w:val="-1"/>
                      <w:sz w:val="21"/>
                      <w:szCs w:val="21"/>
                    </w:rPr>
                    <w:t>主要包括洗井作业、酸化作业、放喷测试。</w:t>
                  </w:r>
                </w:p>
              </w:tc>
              <w:tc>
                <w:tcPr>
                  <w:tcW w:w="1814" w:type="dxa"/>
                  <w:vAlign w:val="top"/>
                </w:tcPr>
                <w:p>
                  <w:pPr>
                    <w:pStyle w:val="6"/>
                    <w:spacing w:before="28" w:line="229" w:lineRule="auto"/>
                    <w:ind w:left="114" w:right="105" w:firstLine="1"/>
                    <w:jc w:val="both"/>
                    <w:rPr>
                      <w:sz w:val="21"/>
                      <w:szCs w:val="21"/>
                    </w:rPr>
                  </w:pPr>
                  <w:r>
                    <w:rPr>
                      <w:spacing w:val="-12"/>
                      <w:sz w:val="21"/>
                      <w:szCs w:val="21"/>
                    </w:rPr>
                    <w:t>测试产生废气、放</w:t>
                  </w:r>
                  <w:r>
                    <w:rPr>
                      <w:spacing w:val="2"/>
                      <w:sz w:val="21"/>
                      <w:szCs w:val="21"/>
                    </w:rPr>
                    <w:t xml:space="preserve"> </w:t>
                  </w:r>
                  <w:r>
                    <w:rPr>
                      <w:spacing w:val="-12"/>
                      <w:sz w:val="21"/>
                      <w:szCs w:val="21"/>
                    </w:rPr>
                    <w:t>喷气流噪声，洗井</w:t>
                  </w:r>
                  <w:r>
                    <w:rPr>
                      <w:spacing w:val="3"/>
                      <w:sz w:val="21"/>
                      <w:szCs w:val="21"/>
                    </w:rPr>
                    <w:t xml:space="preserve"> </w:t>
                  </w:r>
                  <w:r>
                    <w:rPr>
                      <w:spacing w:val="-12"/>
                      <w:sz w:val="21"/>
                      <w:szCs w:val="21"/>
                    </w:rPr>
                    <w:t>废水、酸化废水等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544" w:type="dxa"/>
                  <w:vMerge w:val="restart"/>
                  <w:tcBorders>
                    <w:bottom w:val="nil"/>
                  </w:tcBorders>
                  <w:textDirection w:val="tbRlV"/>
                  <w:vAlign w:val="top"/>
                </w:tcPr>
                <w:p>
                  <w:pPr>
                    <w:pStyle w:val="6"/>
                    <w:spacing w:before="165" w:line="210" w:lineRule="auto"/>
                    <w:ind w:left="857"/>
                    <w:rPr>
                      <w:sz w:val="21"/>
                      <w:szCs w:val="21"/>
                    </w:rPr>
                  </w:pPr>
                  <w:r>
                    <w:rPr>
                      <w:spacing w:val="1"/>
                      <w:sz w:val="21"/>
                      <w:szCs w:val="21"/>
                    </w:rPr>
                    <w:t>辅</w:t>
                  </w:r>
                  <w:r>
                    <w:rPr>
                      <w:spacing w:val="-42"/>
                      <w:sz w:val="21"/>
                      <w:szCs w:val="21"/>
                    </w:rPr>
                    <w:t xml:space="preserve"> </w:t>
                  </w:r>
                  <w:r>
                    <w:rPr>
                      <w:spacing w:val="1"/>
                      <w:sz w:val="21"/>
                      <w:szCs w:val="21"/>
                    </w:rPr>
                    <w:t>助</w:t>
                  </w:r>
                  <w:r>
                    <w:rPr>
                      <w:spacing w:val="-45"/>
                      <w:sz w:val="21"/>
                      <w:szCs w:val="21"/>
                    </w:rPr>
                    <w:t xml:space="preserve"> </w:t>
                  </w:r>
                  <w:r>
                    <w:rPr>
                      <w:spacing w:val="1"/>
                      <w:sz w:val="21"/>
                      <w:szCs w:val="21"/>
                    </w:rPr>
                    <w:t>工</w:t>
                  </w:r>
                  <w:r>
                    <w:rPr>
                      <w:spacing w:val="-43"/>
                      <w:sz w:val="21"/>
                      <w:szCs w:val="21"/>
                    </w:rPr>
                    <w:t xml:space="preserve"> </w:t>
                  </w:r>
                  <w:r>
                    <w:rPr>
                      <w:spacing w:val="1"/>
                      <w:sz w:val="21"/>
                      <w:szCs w:val="21"/>
                    </w:rPr>
                    <w:t>程</w:t>
                  </w:r>
                </w:p>
              </w:tc>
              <w:tc>
                <w:tcPr>
                  <w:tcW w:w="1477" w:type="dxa"/>
                  <w:vAlign w:val="top"/>
                </w:tcPr>
                <w:p>
                  <w:pPr>
                    <w:spacing w:line="368" w:lineRule="auto"/>
                    <w:rPr>
                      <w:rFonts w:ascii="Arial"/>
                      <w:sz w:val="21"/>
                    </w:rPr>
                  </w:pPr>
                </w:p>
                <w:p>
                  <w:pPr>
                    <w:pStyle w:val="6"/>
                    <w:spacing w:before="68" w:line="231" w:lineRule="auto"/>
                    <w:ind w:left="111" w:right="10" w:firstLine="3"/>
                    <w:rPr>
                      <w:sz w:val="21"/>
                      <w:szCs w:val="21"/>
                    </w:rPr>
                  </w:pPr>
                  <w:r>
                    <w:rPr>
                      <w:spacing w:val="-1"/>
                      <w:sz w:val="21"/>
                      <w:szCs w:val="21"/>
                    </w:rPr>
                    <w:t>清洁生产操作</w:t>
                  </w:r>
                  <w:r>
                    <w:rPr>
                      <w:sz w:val="21"/>
                      <w:szCs w:val="21"/>
                    </w:rPr>
                    <w:t xml:space="preserve">  </w:t>
                  </w:r>
                  <w:r>
                    <w:rPr>
                      <w:spacing w:val="-4"/>
                      <w:sz w:val="21"/>
                      <w:szCs w:val="21"/>
                    </w:rPr>
                    <w:t>平台（</w:t>
                  </w:r>
                  <w:r>
                    <w:rPr>
                      <w:rFonts w:ascii="Times New Roman" w:hAnsi="Times New Roman" w:eastAsia="Times New Roman" w:cs="Times New Roman"/>
                      <w:spacing w:val="-4"/>
                      <w:sz w:val="21"/>
                      <w:szCs w:val="21"/>
                    </w:rPr>
                    <w:t>450m</w:t>
                  </w:r>
                  <w:r>
                    <w:rPr>
                      <w:rFonts w:ascii="Times New Roman" w:hAnsi="Times New Roman" w:eastAsia="Times New Roman" w:cs="Times New Roman"/>
                      <w:spacing w:val="-4"/>
                      <w:position w:val="6"/>
                      <w:sz w:val="13"/>
                      <w:szCs w:val="13"/>
                    </w:rPr>
                    <w:t>2</w:t>
                  </w:r>
                  <w:r>
                    <w:rPr>
                      <w:spacing w:val="-4"/>
                      <w:sz w:val="21"/>
                      <w:szCs w:val="21"/>
                    </w:rPr>
                    <w:t>）</w:t>
                  </w:r>
                </w:p>
              </w:tc>
              <w:tc>
                <w:tcPr>
                  <w:tcW w:w="4777" w:type="dxa"/>
                  <w:vAlign w:val="top"/>
                </w:tcPr>
                <w:p>
                  <w:pPr>
                    <w:pStyle w:val="6"/>
                    <w:spacing w:before="32" w:line="238" w:lineRule="auto"/>
                    <w:ind w:left="136" w:right="98" w:hanging="21"/>
                    <w:jc w:val="both"/>
                    <w:rPr>
                      <w:sz w:val="21"/>
                      <w:szCs w:val="21"/>
                    </w:rPr>
                  </w:pPr>
                  <w:r>
                    <w:rPr>
                      <w:spacing w:val="-3"/>
                      <w:sz w:val="21"/>
                      <w:szCs w:val="21"/>
                    </w:rPr>
                    <w:t>位于井场外东侧，主要包括岩屑堆放区和废水处理</w:t>
                  </w:r>
                  <w:r>
                    <w:rPr>
                      <w:spacing w:val="2"/>
                      <w:sz w:val="21"/>
                      <w:szCs w:val="21"/>
                    </w:rPr>
                    <w:t xml:space="preserve"> </w:t>
                  </w:r>
                  <w:r>
                    <w:rPr>
                      <w:sz w:val="21"/>
                      <w:szCs w:val="21"/>
                    </w:rPr>
                    <w:t>区等。其中废水处理区面积</w:t>
                  </w:r>
                  <w:r>
                    <w:rPr>
                      <w:spacing w:val="-44"/>
                      <w:sz w:val="21"/>
                      <w:szCs w:val="21"/>
                    </w:rPr>
                    <w:t xml:space="preserve"> </w:t>
                  </w:r>
                  <w:r>
                    <w:rPr>
                      <w:rFonts w:ascii="Times New Roman" w:hAnsi="Times New Roman" w:eastAsia="Times New Roman" w:cs="Times New Roman"/>
                      <w:sz w:val="21"/>
                      <w:szCs w:val="21"/>
                    </w:rPr>
                    <w:t>300m</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9"/>
                      <w:position w:val="6"/>
                      <w:sz w:val="13"/>
                      <w:szCs w:val="13"/>
                    </w:rPr>
                    <w:t xml:space="preserve"> </w:t>
                  </w:r>
                  <w:r>
                    <w:rPr>
                      <w:sz w:val="21"/>
                      <w:szCs w:val="21"/>
                    </w:rPr>
                    <w:t>，设</w:t>
                  </w:r>
                  <w:r>
                    <w:rPr>
                      <w:spacing w:val="-51"/>
                      <w:sz w:val="21"/>
                      <w:szCs w:val="21"/>
                    </w:rPr>
                    <w:t xml:space="preserve"> </w:t>
                  </w:r>
                  <w:r>
                    <w:rPr>
                      <w:rFonts w:ascii="Times New Roman" w:hAnsi="Times New Roman" w:eastAsia="Times New Roman" w:cs="Times New Roman"/>
                      <w:sz w:val="21"/>
                      <w:szCs w:val="21"/>
                    </w:rPr>
                    <w:t xml:space="preserve">4 </w:t>
                  </w:r>
                  <w:r>
                    <w:rPr>
                      <w:sz w:val="21"/>
                      <w:szCs w:val="21"/>
                    </w:rPr>
                    <w:t>个</w:t>
                  </w:r>
                  <w:r>
                    <w:rPr>
                      <w:spacing w:val="-49"/>
                      <w:sz w:val="21"/>
                      <w:szCs w:val="21"/>
                    </w:rPr>
                    <w:t xml:space="preserve"> </w:t>
                  </w:r>
                  <w:r>
                    <w:rPr>
                      <w:rFonts w:ascii="Times New Roman" w:hAnsi="Times New Roman" w:eastAsia="Times New Roman" w:cs="Times New Roman"/>
                      <w:spacing w:val="-1"/>
                      <w:sz w:val="21"/>
                      <w:szCs w:val="21"/>
                    </w:rPr>
                    <w:t>40m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position w:val="6"/>
                      <w:sz w:val="13"/>
                      <w:szCs w:val="13"/>
                    </w:rPr>
                    <w:t xml:space="preserve">   </w:t>
                  </w:r>
                  <w:r>
                    <w:rPr>
                      <w:spacing w:val="-5"/>
                      <w:sz w:val="21"/>
                      <w:szCs w:val="21"/>
                    </w:rPr>
                    <w:t>废水罐（包括</w:t>
                  </w:r>
                  <w:r>
                    <w:rPr>
                      <w:spacing w:val="-28"/>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个隔油罐、</w:t>
                  </w:r>
                  <w:r>
                    <w:rPr>
                      <w:rFonts w:ascii="Times New Roman" w:hAnsi="Times New Roman" w:eastAsia="Times New Roman" w:cs="Times New Roman"/>
                      <w:spacing w:val="-5"/>
                      <w:sz w:val="21"/>
                      <w:szCs w:val="21"/>
                    </w:rPr>
                    <w:t xml:space="preserve">2 </w:t>
                  </w:r>
                  <w:r>
                    <w:rPr>
                      <w:spacing w:val="-5"/>
                      <w:sz w:val="21"/>
                      <w:szCs w:val="21"/>
                    </w:rPr>
                    <w:t xml:space="preserve">个沉淀罐、 </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6"/>
                      <w:sz w:val="21"/>
                      <w:szCs w:val="21"/>
                    </w:rPr>
                    <w:t xml:space="preserve"> </w:t>
                  </w:r>
                  <w:r>
                    <w:rPr>
                      <w:spacing w:val="-6"/>
                      <w:sz w:val="21"/>
                      <w:szCs w:val="21"/>
                    </w:rPr>
                    <w:t>个回用</w:t>
                  </w:r>
                  <w:r>
                    <w:rPr>
                      <w:sz w:val="21"/>
                      <w:szCs w:val="21"/>
                    </w:rPr>
                    <w:t xml:space="preserve"> </w:t>
                  </w:r>
                  <w:r>
                    <w:rPr>
                      <w:spacing w:val="-5"/>
                      <w:sz w:val="21"/>
                      <w:szCs w:val="21"/>
                    </w:rPr>
                    <w:t>罐</w:t>
                  </w:r>
                  <w:r>
                    <w:rPr>
                      <w:spacing w:val="-8"/>
                      <w:sz w:val="21"/>
                      <w:szCs w:val="21"/>
                    </w:rPr>
                    <w:t>）</w:t>
                  </w:r>
                  <w:r>
                    <w:rPr>
                      <w:spacing w:val="-16"/>
                      <w:sz w:val="21"/>
                      <w:szCs w:val="21"/>
                    </w:rPr>
                    <w:t xml:space="preserve"> </w:t>
                  </w:r>
                  <w:r>
                    <w:rPr>
                      <w:spacing w:val="-8"/>
                      <w:sz w:val="21"/>
                      <w:szCs w:val="21"/>
                    </w:rPr>
                    <w:t>；</w:t>
                  </w:r>
                  <w:r>
                    <w:rPr>
                      <w:spacing w:val="-5"/>
                      <w:sz w:val="21"/>
                      <w:szCs w:val="21"/>
                    </w:rPr>
                    <w:t>岩屑堆放区</w:t>
                  </w:r>
                  <w:r>
                    <w:rPr>
                      <w:spacing w:val="-27"/>
                      <w:sz w:val="21"/>
                      <w:szCs w:val="21"/>
                    </w:rPr>
                    <w:t xml:space="preserve"> </w:t>
                  </w:r>
                  <w:r>
                    <w:rPr>
                      <w:rFonts w:ascii="Times New Roman" w:hAnsi="Times New Roman" w:eastAsia="Times New Roman" w:cs="Times New Roman"/>
                      <w:spacing w:val="-5"/>
                      <w:sz w:val="21"/>
                      <w:szCs w:val="21"/>
                    </w:rPr>
                    <w:t>150m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0"/>
                      <w:position w:val="6"/>
                      <w:sz w:val="13"/>
                      <w:szCs w:val="13"/>
                    </w:rPr>
                    <w:t xml:space="preserve"> </w:t>
                  </w:r>
                  <w:r>
                    <w:rPr>
                      <w:spacing w:val="-5"/>
                      <w:sz w:val="21"/>
                      <w:szCs w:val="21"/>
                    </w:rPr>
                    <w:t>，设有</w:t>
                  </w:r>
                  <w:r>
                    <w:rPr>
                      <w:spacing w:val="-48"/>
                      <w:sz w:val="21"/>
                      <w:szCs w:val="21"/>
                    </w:rPr>
                    <w:t xml:space="preserve"> </w:t>
                  </w:r>
                  <w:r>
                    <w:rPr>
                      <w:rFonts w:ascii="Times New Roman" w:hAnsi="Times New Roman" w:eastAsia="Times New Roman" w:cs="Times New Roman"/>
                      <w:spacing w:val="-5"/>
                      <w:sz w:val="21"/>
                      <w:szCs w:val="21"/>
                    </w:rPr>
                    <w:t xml:space="preserve">4 </w:t>
                  </w:r>
                  <w:r>
                    <w:rPr>
                      <w:spacing w:val="-5"/>
                      <w:sz w:val="21"/>
                      <w:szCs w:val="21"/>
                    </w:rPr>
                    <w:t>个</w:t>
                  </w:r>
                  <w:r>
                    <w:rPr>
                      <w:spacing w:val="-49"/>
                      <w:sz w:val="21"/>
                      <w:szCs w:val="21"/>
                    </w:rPr>
                    <w:t xml:space="preserve"> </w:t>
                  </w:r>
                  <w:r>
                    <w:rPr>
                      <w:rFonts w:ascii="Times New Roman" w:hAnsi="Times New Roman" w:eastAsia="Times New Roman" w:cs="Times New Roman"/>
                      <w:spacing w:val="-5"/>
                      <w:sz w:val="21"/>
                      <w:szCs w:val="21"/>
                    </w:rPr>
                    <w:t>40m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w w:val="102"/>
                      <w:position w:val="6"/>
                      <w:sz w:val="13"/>
                      <w:szCs w:val="13"/>
                    </w:rPr>
                    <w:t xml:space="preserve"> </w:t>
                  </w:r>
                  <w:r>
                    <w:rPr>
                      <w:spacing w:val="-5"/>
                      <w:sz w:val="21"/>
                      <w:szCs w:val="21"/>
                    </w:rPr>
                    <w:t>岩屑收</w:t>
                  </w:r>
                </w:p>
                <w:p>
                  <w:pPr>
                    <w:pStyle w:val="6"/>
                    <w:spacing w:before="5" w:line="209" w:lineRule="auto"/>
                    <w:ind w:left="1976"/>
                    <w:rPr>
                      <w:sz w:val="21"/>
                      <w:szCs w:val="21"/>
                    </w:rPr>
                  </w:pPr>
                  <w:r>
                    <w:rPr>
                      <w:spacing w:val="-2"/>
                      <w:sz w:val="21"/>
                      <w:szCs w:val="21"/>
                    </w:rPr>
                    <w:t>集罐）。</w:t>
                  </w:r>
                </w:p>
              </w:tc>
              <w:tc>
                <w:tcPr>
                  <w:tcW w:w="1814" w:type="dxa"/>
                  <w:vAlign w:val="top"/>
                </w:tcPr>
                <w:p>
                  <w:pPr>
                    <w:pStyle w:val="6"/>
                    <w:spacing w:before="32" w:line="221" w:lineRule="auto"/>
                    <w:ind w:left="176"/>
                    <w:rPr>
                      <w:sz w:val="21"/>
                      <w:szCs w:val="21"/>
                    </w:rPr>
                  </w:pPr>
                  <w:r>
                    <w:rPr>
                      <w:spacing w:val="-1"/>
                      <w:sz w:val="21"/>
                      <w:szCs w:val="21"/>
                    </w:rPr>
                    <w:t>若处置不当或者</w:t>
                  </w:r>
                </w:p>
                <w:p>
                  <w:pPr>
                    <w:pStyle w:val="6"/>
                    <w:spacing w:before="18" w:line="221" w:lineRule="auto"/>
                    <w:ind w:left="119"/>
                    <w:rPr>
                      <w:sz w:val="21"/>
                      <w:szCs w:val="21"/>
                    </w:rPr>
                  </w:pPr>
                  <w:r>
                    <w:rPr>
                      <w:spacing w:val="-11"/>
                      <w:sz w:val="21"/>
                      <w:szCs w:val="21"/>
                    </w:rPr>
                    <w:t>发生泄漏现象，导</w:t>
                  </w:r>
                </w:p>
                <w:p>
                  <w:pPr>
                    <w:pStyle w:val="6"/>
                    <w:spacing w:before="22" w:line="221" w:lineRule="auto"/>
                    <w:ind w:left="115"/>
                    <w:rPr>
                      <w:sz w:val="21"/>
                      <w:szCs w:val="21"/>
                    </w:rPr>
                  </w:pPr>
                  <w:r>
                    <w:rPr>
                      <w:spacing w:val="-12"/>
                      <w:sz w:val="21"/>
                      <w:szCs w:val="21"/>
                    </w:rPr>
                    <w:t>致土壤、植被破坏</w:t>
                  </w:r>
                </w:p>
                <w:p>
                  <w:pPr>
                    <w:pStyle w:val="6"/>
                    <w:spacing w:before="19" w:line="221" w:lineRule="auto"/>
                    <w:ind w:left="139"/>
                    <w:rPr>
                      <w:sz w:val="21"/>
                      <w:szCs w:val="21"/>
                    </w:rPr>
                  </w:pPr>
                  <w:r>
                    <w:rPr>
                      <w:spacing w:val="-15"/>
                      <w:sz w:val="21"/>
                      <w:szCs w:val="21"/>
                    </w:rPr>
                    <w:t>以及地下水、地表</w:t>
                  </w:r>
                </w:p>
                <w:p>
                  <w:pPr>
                    <w:pStyle w:val="6"/>
                    <w:spacing w:before="21" w:line="209" w:lineRule="auto"/>
                    <w:ind w:left="495"/>
                    <w:rPr>
                      <w:sz w:val="21"/>
                      <w:szCs w:val="21"/>
                    </w:rPr>
                  </w:pPr>
                  <w:r>
                    <w:rPr>
                      <w:spacing w:val="-2"/>
                      <w:sz w:val="21"/>
                      <w:szCs w:val="21"/>
                    </w:rPr>
                    <w:t>水等污染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4" w:type="dxa"/>
                  <w:vMerge w:val="continue"/>
                  <w:tcBorders>
                    <w:top w:val="nil"/>
                    <w:bottom w:val="nil"/>
                  </w:tcBorders>
                  <w:textDirection w:val="tbRlV"/>
                  <w:vAlign w:val="top"/>
                </w:tcPr>
                <w:p>
                  <w:pPr>
                    <w:rPr>
                      <w:rFonts w:ascii="Arial"/>
                      <w:sz w:val="21"/>
                    </w:rPr>
                  </w:pPr>
                </w:p>
              </w:tc>
              <w:tc>
                <w:tcPr>
                  <w:tcW w:w="1477" w:type="dxa"/>
                  <w:vAlign w:val="top"/>
                </w:tcPr>
                <w:p>
                  <w:pPr>
                    <w:pStyle w:val="6"/>
                    <w:spacing w:before="166" w:line="221" w:lineRule="auto"/>
                    <w:ind w:left="116"/>
                    <w:rPr>
                      <w:sz w:val="21"/>
                      <w:szCs w:val="21"/>
                    </w:rPr>
                  </w:pPr>
                  <w:r>
                    <w:rPr>
                      <w:spacing w:val="-2"/>
                      <w:sz w:val="21"/>
                      <w:szCs w:val="21"/>
                    </w:rPr>
                    <w:t>泥浆循环系统</w:t>
                  </w:r>
                </w:p>
              </w:tc>
              <w:tc>
                <w:tcPr>
                  <w:tcW w:w="4777" w:type="dxa"/>
                  <w:vAlign w:val="top"/>
                </w:tcPr>
                <w:p>
                  <w:pPr>
                    <w:pStyle w:val="6"/>
                    <w:spacing w:before="29" w:line="224" w:lineRule="auto"/>
                    <w:ind w:left="1242" w:right="24" w:hanging="1127"/>
                    <w:rPr>
                      <w:sz w:val="21"/>
                      <w:szCs w:val="21"/>
                    </w:rPr>
                  </w:pPr>
                  <w:r>
                    <w:rPr>
                      <w:spacing w:val="-8"/>
                      <w:sz w:val="21"/>
                      <w:szCs w:val="21"/>
                    </w:rPr>
                    <w:t>位于井场南侧，</w:t>
                  </w:r>
                  <w:r>
                    <w:rPr>
                      <w:spacing w:val="-24"/>
                      <w:sz w:val="21"/>
                      <w:szCs w:val="21"/>
                    </w:rPr>
                    <w:t xml:space="preserve"> </w:t>
                  </w:r>
                  <w:r>
                    <w:rPr>
                      <w:spacing w:val="-8"/>
                      <w:sz w:val="21"/>
                      <w:szCs w:val="21"/>
                    </w:rPr>
                    <w:t>由含</w:t>
                  </w:r>
                  <w:r>
                    <w:rPr>
                      <w:spacing w:val="-43"/>
                      <w:sz w:val="21"/>
                      <w:szCs w:val="21"/>
                    </w:rPr>
                    <w:t xml:space="preserve"> </w:t>
                  </w:r>
                  <w:r>
                    <w:rPr>
                      <w:rFonts w:ascii="Times New Roman" w:hAnsi="Times New Roman" w:eastAsia="Times New Roman" w:cs="Times New Roman"/>
                      <w:spacing w:val="-8"/>
                      <w:sz w:val="21"/>
                      <w:szCs w:val="21"/>
                    </w:rPr>
                    <w:t xml:space="preserve">6 </w:t>
                  </w:r>
                  <w:r>
                    <w:rPr>
                      <w:spacing w:val="-8"/>
                      <w:sz w:val="21"/>
                      <w:szCs w:val="21"/>
                    </w:rPr>
                    <w:t>个</w:t>
                  </w:r>
                  <w:r>
                    <w:rPr>
                      <w:spacing w:val="-49"/>
                      <w:sz w:val="21"/>
                      <w:szCs w:val="21"/>
                    </w:rPr>
                    <w:t xml:space="preserve"> </w:t>
                  </w:r>
                  <w:r>
                    <w:rPr>
                      <w:rFonts w:ascii="Times New Roman" w:hAnsi="Times New Roman" w:eastAsia="Times New Roman" w:cs="Times New Roman"/>
                      <w:spacing w:val="-8"/>
                      <w:sz w:val="21"/>
                      <w:szCs w:val="21"/>
                    </w:rPr>
                    <w:t>40m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13"/>
                      <w:w w:val="102"/>
                      <w:position w:val="6"/>
                      <w:sz w:val="13"/>
                      <w:szCs w:val="13"/>
                    </w:rPr>
                    <w:t xml:space="preserve"> </w:t>
                  </w:r>
                  <w:r>
                    <w:rPr>
                      <w:spacing w:val="-8"/>
                      <w:sz w:val="21"/>
                      <w:szCs w:val="21"/>
                    </w:rPr>
                    <w:t>泥浆循环罐、振动、</w:t>
                  </w:r>
                  <w:r>
                    <w:rPr>
                      <w:sz w:val="21"/>
                      <w:szCs w:val="21"/>
                    </w:rPr>
                    <w:t xml:space="preserve"> </w:t>
                  </w:r>
                  <w:r>
                    <w:rPr>
                      <w:spacing w:val="-1"/>
                      <w:sz w:val="21"/>
                      <w:szCs w:val="21"/>
                    </w:rPr>
                    <w:t>离心机等设备设施组成。</w:t>
                  </w:r>
                </w:p>
              </w:tc>
              <w:tc>
                <w:tcPr>
                  <w:tcW w:w="1814" w:type="dxa"/>
                  <w:vAlign w:val="top"/>
                </w:tcPr>
                <w:p>
                  <w:pPr>
                    <w:pStyle w:val="6"/>
                    <w:spacing w:before="29" w:line="224" w:lineRule="auto"/>
                    <w:ind w:left="178" w:right="167" w:hanging="1"/>
                    <w:rPr>
                      <w:sz w:val="21"/>
                      <w:szCs w:val="21"/>
                    </w:rPr>
                  </w:pPr>
                  <w:r>
                    <w:rPr>
                      <w:spacing w:val="-1"/>
                      <w:sz w:val="21"/>
                      <w:szCs w:val="21"/>
                    </w:rPr>
                    <w:t>泥浆跑冒滴漏污</w:t>
                  </w:r>
                  <w:r>
                    <w:rPr>
                      <w:sz w:val="21"/>
                      <w:szCs w:val="21"/>
                    </w:rPr>
                    <w:t xml:space="preserve"> </w:t>
                  </w:r>
                  <w:r>
                    <w:rPr>
                      <w:spacing w:val="-2"/>
                      <w:sz w:val="21"/>
                      <w:szCs w:val="21"/>
                    </w:rPr>
                    <w:t>染土壤、地下水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44" w:type="dxa"/>
                  <w:vMerge w:val="continue"/>
                  <w:tcBorders>
                    <w:top w:val="nil"/>
                  </w:tcBorders>
                  <w:textDirection w:val="tbRlV"/>
                  <w:vAlign w:val="top"/>
                </w:tcPr>
                <w:p>
                  <w:pPr>
                    <w:rPr>
                      <w:rFonts w:ascii="Arial"/>
                      <w:sz w:val="21"/>
                    </w:rPr>
                  </w:pPr>
                </w:p>
              </w:tc>
              <w:tc>
                <w:tcPr>
                  <w:tcW w:w="1477" w:type="dxa"/>
                  <w:vAlign w:val="top"/>
                </w:tcPr>
                <w:p>
                  <w:pPr>
                    <w:pStyle w:val="6"/>
                    <w:spacing w:before="168" w:line="229" w:lineRule="auto"/>
                    <w:ind w:left="539" w:right="103" w:hanging="424"/>
                    <w:rPr>
                      <w:sz w:val="21"/>
                      <w:szCs w:val="21"/>
                    </w:rPr>
                  </w:pPr>
                  <w:r>
                    <w:rPr>
                      <w:spacing w:val="-2"/>
                      <w:sz w:val="21"/>
                      <w:szCs w:val="21"/>
                    </w:rPr>
                    <w:t>燃烧池及放喷</w:t>
                  </w:r>
                  <w:r>
                    <w:rPr>
                      <w:spacing w:val="4"/>
                      <w:sz w:val="21"/>
                      <w:szCs w:val="21"/>
                    </w:rPr>
                    <w:t xml:space="preserve"> </w:t>
                  </w:r>
                  <w:r>
                    <w:rPr>
                      <w:spacing w:val="-3"/>
                      <w:sz w:val="21"/>
                      <w:szCs w:val="21"/>
                    </w:rPr>
                    <w:t>管线</w:t>
                  </w:r>
                </w:p>
              </w:tc>
              <w:tc>
                <w:tcPr>
                  <w:tcW w:w="4777" w:type="dxa"/>
                  <w:vAlign w:val="top"/>
                </w:tcPr>
                <w:p>
                  <w:pPr>
                    <w:pStyle w:val="6"/>
                    <w:spacing w:before="30" w:line="220" w:lineRule="auto"/>
                    <w:ind w:left="165"/>
                    <w:rPr>
                      <w:sz w:val="21"/>
                      <w:szCs w:val="21"/>
                    </w:rPr>
                  </w:pPr>
                  <w:r>
                    <w:rPr>
                      <w:spacing w:val="-4"/>
                      <w:sz w:val="21"/>
                      <w:szCs w:val="21"/>
                    </w:rPr>
                    <w:t>共设</w:t>
                  </w:r>
                  <w:r>
                    <w:rPr>
                      <w:spacing w:val="-47"/>
                      <w:sz w:val="21"/>
                      <w:szCs w:val="21"/>
                    </w:rPr>
                    <w:t xml:space="preserve"> </w:t>
                  </w:r>
                  <w:r>
                    <w:rPr>
                      <w:rFonts w:ascii="Times New Roman" w:hAnsi="Times New Roman" w:eastAsia="Times New Roman" w:cs="Times New Roman"/>
                      <w:spacing w:val="-4"/>
                      <w:sz w:val="21"/>
                      <w:szCs w:val="21"/>
                    </w:rPr>
                    <w:t xml:space="preserve">A </w:t>
                  </w:r>
                  <w:r>
                    <w:rPr>
                      <w:spacing w:val="-4"/>
                      <w:sz w:val="21"/>
                      <w:szCs w:val="21"/>
                    </w:rPr>
                    <w:t>类燃烧池</w:t>
                  </w:r>
                  <w:r>
                    <w:rPr>
                      <w:spacing w:val="-50"/>
                      <w:sz w:val="21"/>
                      <w:szCs w:val="21"/>
                    </w:rPr>
                    <w:t xml:space="preserve"> </w:t>
                  </w:r>
                  <w:r>
                    <w:rPr>
                      <w:rFonts w:ascii="Times New Roman" w:hAnsi="Times New Roman" w:eastAsia="Times New Roman" w:cs="Times New Roman"/>
                      <w:spacing w:val="-4"/>
                      <w:sz w:val="21"/>
                      <w:szCs w:val="21"/>
                    </w:rPr>
                    <w:t xml:space="preserve">2 </w:t>
                  </w:r>
                  <w:r>
                    <w:rPr>
                      <w:spacing w:val="-4"/>
                      <w:sz w:val="21"/>
                      <w:szCs w:val="21"/>
                    </w:rPr>
                    <w:t>座，</w:t>
                  </w:r>
                  <w:r>
                    <w:rPr>
                      <w:spacing w:val="-26"/>
                      <w:sz w:val="21"/>
                      <w:szCs w:val="21"/>
                    </w:rPr>
                    <w:t xml:space="preserve"> </w:t>
                  </w:r>
                  <w:r>
                    <w:rPr>
                      <w:spacing w:val="-4"/>
                      <w:sz w:val="21"/>
                      <w:szCs w:val="21"/>
                    </w:rPr>
                    <w:t>其中主燃烧池位于井口西</w:t>
                  </w:r>
                </w:p>
                <w:p>
                  <w:pPr>
                    <w:pStyle w:val="6"/>
                    <w:spacing w:before="22" w:line="224" w:lineRule="auto"/>
                    <w:ind w:left="471" w:right="101" w:hanging="353"/>
                    <w:rPr>
                      <w:sz w:val="21"/>
                      <w:szCs w:val="21"/>
                    </w:rPr>
                  </w:pPr>
                  <w:r>
                    <w:rPr>
                      <w:spacing w:val="-3"/>
                      <w:sz w:val="21"/>
                      <w:szCs w:val="21"/>
                    </w:rPr>
                    <w:t>南侧，副燃烧池位于井口南侧，放喷管线长</w:t>
                  </w:r>
                  <w:r>
                    <w:rPr>
                      <w:spacing w:val="-4"/>
                      <w:sz w:val="21"/>
                      <w:szCs w:val="21"/>
                    </w:rPr>
                    <w:t>度分别</w:t>
                  </w:r>
                  <w:r>
                    <w:rPr>
                      <w:sz w:val="21"/>
                      <w:szCs w:val="21"/>
                    </w:rPr>
                    <w:t xml:space="preserve"> </w:t>
                  </w:r>
                  <w:r>
                    <w:rPr>
                      <w:spacing w:val="-3"/>
                      <w:sz w:val="21"/>
                      <w:szCs w:val="21"/>
                    </w:rPr>
                    <w:t>为</w:t>
                  </w:r>
                  <w:r>
                    <w:rPr>
                      <w:spacing w:val="-21"/>
                      <w:sz w:val="21"/>
                      <w:szCs w:val="21"/>
                    </w:rPr>
                    <w:t xml:space="preserve"> </w:t>
                  </w:r>
                  <w:r>
                    <w:rPr>
                      <w:rFonts w:ascii="Times New Roman" w:hAnsi="Times New Roman" w:eastAsia="Times New Roman" w:cs="Times New Roman"/>
                      <w:spacing w:val="-3"/>
                      <w:sz w:val="21"/>
                      <w:szCs w:val="21"/>
                    </w:rPr>
                    <w:t>170m</w:t>
                  </w:r>
                  <w:r>
                    <w:rPr>
                      <w:spacing w:val="-3"/>
                      <w:sz w:val="21"/>
                      <w:szCs w:val="21"/>
                    </w:rPr>
                    <w:t>、</w:t>
                  </w:r>
                  <w:r>
                    <w:rPr>
                      <w:rFonts w:ascii="Times New Roman" w:hAnsi="Times New Roman" w:eastAsia="Times New Roman" w:cs="Times New Roman"/>
                      <w:spacing w:val="-3"/>
                      <w:sz w:val="21"/>
                      <w:szCs w:val="21"/>
                    </w:rPr>
                    <w:t>125m</w:t>
                  </w:r>
                  <w:r>
                    <w:rPr>
                      <w:spacing w:val="-3"/>
                      <w:sz w:val="21"/>
                      <w:szCs w:val="21"/>
                    </w:rPr>
                    <w:t>，各配</w:t>
                  </w:r>
                  <w:r>
                    <w:rPr>
                      <w:spacing w:val="-28"/>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座</w:t>
                  </w:r>
                  <w:r>
                    <w:rPr>
                      <w:spacing w:val="-47"/>
                      <w:sz w:val="21"/>
                      <w:szCs w:val="21"/>
                    </w:rPr>
                    <w:t xml:space="preserve"> </w:t>
                  </w:r>
                  <w:r>
                    <w:rPr>
                      <w:rFonts w:ascii="Times New Roman" w:hAnsi="Times New Roman" w:eastAsia="Times New Roman" w:cs="Times New Roman"/>
                      <w:spacing w:val="-3"/>
                      <w:sz w:val="21"/>
                      <w:szCs w:val="21"/>
                    </w:rPr>
                    <w:t>20m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9"/>
                      <w:w w:val="102"/>
                      <w:position w:val="6"/>
                      <w:sz w:val="13"/>
                      <w:szCs w:val="13"/>
                    </w:rPr>
                    <w:t xml:space="preserve"> </w:t>
                  </w:r>
                  <w:r>
                    <w:rPr>
                      <w:spacing w:val="-3"/>
                      <w:sz w:val="21"/>
                      <w:szCs w:val="21"/>
                    </w:rPr>
                    <w:t>集酸池。</w:t>
                  </w:r>
                </w:p>
              </w:tc>
              <w:tc>
                <w:tcPr>
                  <w:tcW w:w="1814" w:type="dxa"/>
                  <w:vAlign w:val="top"/>
                </w:tcPr>
                <w:p>
                  <w:pPr>
                    <w:pStyle w:val="6"/>
                    <w:spacing w:before="30" w:line="221" w:lineRule="auto"/>
                    <w:ind w:left="127"/>
                    <w:rPr>
                      <w:sz w:val="21"/>
                      <w:szCs w:val="21"/>
                    </w:rPr>
                  </w:pPr>
                  <w:r>
                    <w:rPr>
                      <w:spacing w:val="-13"/>
                      <w:sz w:val="21"/>
                      <w:szCs w:val="21"/>
                    </w:rPr>
                    <w:t>临时占用土地，放</w:t>
                  </w:r>
                </w:p>
                <w:p>
                  <w:pPr>
                    <w:pStyle w:val="6"/>
                    <w:spacing w:before="22" w:line="220" w:lineRule="auto"/>
                    <w:ind w:left="123"/>
                    <w:rPr>
                      <w:sz w:val="21"/>
                      <w:szCs w:val="21"/>
                    </w:rPr>
                  </w:pPr>
                  <w:r>
                    <w:rPr>
                      <w:spacing w:val="-13"/>
                      <w:sz w:val="21"/>
                      <w:szCs w:val="21"/>
                    </w:rPr>
                    <w:t>喷废气、燃烧热辐</w:t>
                  </w:r>
                </w:p>
                <w:p>
                  <w:pPr>
                    <w:pStyle w:val="6"/>
                    <w:spacing w:before="21" w:line="209" w:lineRule="auto"/>
                    <w:ind w:left="807"/>
                    <w:rPr>
                      <w:sz w:val="21"/>
                      <w:szCs w:val="21"/>
                    </w:rPr>
                  </w:pPr>
                  <w:r>
                    <w:rPr>
                      <w:sz w:val="21"/>
                      <w:szCs w:val="21"/>
                    </w:rPr>
                    <w:t>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544" w:type="dxa"/>
                  <w:tcBorders>
                    <w:bottom w:val="nil"/>
                  </w:tcBorders>
                  <w:textDirection w:val="tbRlV"/>
                  <w:vAlign w:val="top"/>
                </w:tcPr>
                <w:p>
                  <w:pPr>
                    <w:pStyle w:val="6"/>
                    <w:spacing w:before="164" w:line="209" w:lineRule="auto"/>
                    <w:ind w:left="30"/>
                    <w:rPr>
                      <w:sz w:val="21"/>
                      <w:szCs w:val="21"/>
                    </w:rPr>
                  </w:pPr>
                  <w:r>
                    <w:rPr>
                      <w:spacing w:val="31"/>
                      <w:sz w:val="21"/>
                      <w:szCs w:val="21"/>
                    </w:rPr>
                    <w:t>公用</w:t>
                  </w:r>
                </w:p>
              </w:tc>
              <w:tc>
                <w:tcPr>
                  <w:tcW w:w="1477" w:type="dxa"/>
                  <w:tcBorders>
                    <w:bottom w:val="nil"/>
                  </w:tcBorders>
                  <w:vAlign w:val="top"/>
                </w:tcPr>
                <w:p>
                  <w:pPr>
                    <w:pStyle w:val="6"/>
                    <w:spacing w:before="166" w:line="221" w:lineRule="auto"/>
                    <w:ind w:left="535"/>
                    <w:rPr>
                      <w:sz w:val="21"/>
                      <w:szCs w:val="21"/>
                    </w:rPr>
                  </w:pPr>
                  <w:r>
                    <w:rPr>
                      <w:spacing w:val="-2"/>
                      <w:sz w:val="21"/>
                      <w:szCs w:val="21"/>
                    </w:rPr>
                    <w:t>给水</w:t>
                  </w:r>
                </w:p>
              </w:tc>
              <w:tc>
                <w:tcPr>
                  <w:tcW w:w="4777" w:type="dxa"/>
                  <w:tcBorders>
                    <w:bottom w:val="nil"/>
                  </w:tcBorders>
                  <w:vAlign w:val="top"/>
                </w:tcPr>
                <w:p>
                  <w:pPr>
                    <w:pStyle w:val="6"/>
                    <w:spacing w:before="31" w:line="217" w:lineRule="auto"/>
                    <w:ind w:left="118" w:right="86" w:hanging="1"/>
                    <w:rPr>
                      <w:sz w:val="21"/>
                      <w:szCs w:val="21"/>
                    </w:rPr>
                  </w:pPr>
                  <w:r>
                    <w:rPr>
                      <w:spacing w:val="-7"/>
                      <w:sz w:val="21"/>
                      <w:szCs w:val="21"/>
                    </w:rPr>
                    <w:t>生产用水：</w:t>
                  </w:r>
                  <w:r>
                    <w:rPr>
                      <w:spacing w:val="-4"/>
                      <w:sz w:val="21"/>
                      <w:szCs w:val="21"/>
                    </w:rPr>
                    <w:t xml:space="preserve"> </w:t>
                  </w:r>
                  <w:r>
                    <w:rPr>
                      <w:spacing w:val="-7"/>
                      <w:sz w:val="21"/>
                      <w:szCs w:val="21"/>
                    </w:rPr>
                    <w:t>采用清洁化生产处理水作为生产用水，</w:t>
                  </w:r>
                  <w:r>
                    <w:rPr>
                      <w:sz w:val="21"/>
                      <w:szCs w:val="21"/>
                    </w:rPr>
                    <w:t xml:space="preserve"> </w:t>
                  </w:r>
                  <w:r>
                    <w:rPr>
                      <w:spacing w:val="-1"/>
                      <w:sz w:val="21"/>
                      <w:szCs w:val="21"/>
                    </w:rPr>
                    <w:t>不足部分采用罐车从当地自来水厂拉运；</w:t>
                  </w:r>
                </w:p>
              </w:tc>
              <w:tc>
                <w:tcPr>
                  <w:tcW w:w="1814" w:type="dxa"/>
                  <w:tcBorders>
                    <w:bottom w:val="nil"/>
                  </w:tcBorders>
                  <w:vAlign w:val="top"/>
                </w:tcPr>
                <w:p>
                  <w:pPr>
                    <w:spacing w:before="202" w:line="233" w:lineRule="auto"/>
                    <w:ind w:left="8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88" w:lineRule="auto"/>
              <w:rPr>
                <w:rFonts w:ascii="Arial"/>
                <w:sz w:val="2"/>
              </w:rPr>
            </w:pPr>
          </w:p>
        </w:tc>
      </w:tr>
    </w:tbl>
    <w:p>
      <w:pPr>
        <w:pStyle w:val="2"/>
        <w:rPr>
          <w:sz w:val="21"/>
        </w:rPr>
      </w:pPr>
    </w:p>
    <w:p>
      <w:pPr>
        <w:rPr>
          <w:sz w:val="21"/>
          <w:szCs w:val="21"/>
        </w:rPr>
        <w:sectPr>
          <w:footerReference r:id="rId34"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539"/>
        <w:gridCol w:w="565"/>
        <w:gridCol w:w="910"/>
        <w:gridCol w:w="4772"/>
        <w:gridCol w:w="180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76" w:type="dxa"/>
            <w:vMerge w:val="restart"/>
            <w:tcBorders>
              <w:top w:val="single" w:color="000000" w:sz="6" w:space="0"/>
              <w:left w:val="single" w:color="000000" w:sz="6" w:space="0"/>
              <w:bottom w:val="nil"/>
            </w:tcBorders>
            <w:vAlign w:val="top"/>
          </w:tcPr>
          <w:p>
            <w:pPr>
              <w:rPr>
                <w:rFonts w:ascii="Arial"/>
                <w:sz w:val="21"/>
              </w:rPr>
            </w:pPr>
            <w:r>
              <w:pict>
                <v:rect id="_x0000_s1035" o:spid="_x0000_s1035" o:spt="1" style="position:absolute;left:0pt;margin-left:22.75pt;margin-top:0.95pt;height:691.45pt;width:0.5pt;mso-position-horizontal-relative:page;mso-position-vertical-relative:page;z-index:251688960;mso-width-relative:page;mso-height-relative:page;" fillcolor="#000000" filled="t" stroked="f" coordsize="21600,21600">
                  <v:path/>
                  <v:fill on="t" focussize="0,0"/>
                  <v:stroke on="f"/>
                  <v:imagedata o:title=""/>
                  <o:lock v:ext="edit"/>
                </v:rect>
              </w:pict>
            </w:r>
          </w:p>
        </w:tc>
        <w:tc>
          <w:tcPr>
            <w:tcW w:w="539" w:type="dxa"/>
            <w:vMerge w:val="restart"/>
            <w:tcBorders>
              <w:top w:val="single" w:color="000000" w:sz="6" w:space="0"/>
              <w:bottom w:val="nil"/>
            </w:tcBorders>
            <w:textDirection w:val="tbRlV"/>
            <w:vAlign w:val="top"/>
          </w:tcPr>
          <w:p>
            <w:pPr>
              <w:pStyle w:val="6"/>
              <w:spacing w:before="169" w:line="210" w:lineRule="auto"/>
              <w:ind w:left="43"/>
              <w:rPr>
                <w:sz w:val="21"/>
                <w:szCs w:val="21"/>
              </w:rPr>
            </w:pPr>
            <w:r>
              <w:rPr>
                <w:spacing w:val="1"/>
                <w:sz w:val="21"/>
                <w:szCs w:val="21"/>
              </w:rPr>
              <w:t>工</w:t>
            </w:r>
            <w:r>
              <w:rPr>
                <w:spacing w:val="-43"/>
                <w:sz w:val="21"/>
                <w:szCs w:val="21"/>
              </w:rPr>
              <w:t xml:space="preserve"> </w:t>
            </w:r>
            <w:r>
              <w:rPr>
                <w:spacing w:val="1"/>
                <w:sz w:val="21"/>
                <w:szCs w:val="21"/>
              </w:rPr>
              <w:t>程</w:t>
            </w:r>
          </w:p>
        </w:tc>
        <w:tc>
          <w:tcPr>
            <w:tcW w:w="1475" w:type="dxa"/>
            <w:gridSpan w:val="2"/>
            <w:tcBorders>
              <w:top w:val="single" w:color="000000" w:sz="6" w:space="0"/>
            </w:tcBorders>
            <w:vAlign w:val="top"/>
          </w:tcPr>
          <w:p>
            <w:pPr>
              <w:rPr>
                <w:rFonts w:ascii="Arial"/>
                <w:sz w:val="21"/>
              </w:rPr>
            </w:pPr>
          </w:p>
        </w:tc>
        <w:tc>
          <w:tcPr>
            <w:tcW w:w="4772" w:type="dxa"/>
            <w:tcBorders>
              <w:top w:val="single" w:color="000000" w:sz="6" w:space="0"/>
            </w:tcBorders>
            <w:vAlign w:val="top"/>
          </w:tcPr>
          <w:p>
            <w:pPr>
              <w:pStyle w:val="6"/>
              <w:spacing w:before="43" w:line="221" w:lineRule="auto"/>
              <w:ind w:left="115"/>
              <w:rPr>
                <w:sz w:val="21"/>
                <w:szCs w:val="21"/>
              </w:rPr>
            </w:pPr>
            <w:r>
              <w:rPr>
                <w:spacing w:val="-7"/>
                <w:sz w:val="21"/>
                <w:szCs w:val="21"/>
              </w:rPr>
              <w:t>生活用水： 车辆拉运桶装水至场地。</w:t>
            </w:r>
          </w:p>
        </w:tc>
        <w:tc>
          <w:tcPr>
            <w:tcW w:w="1807" w:type="dxa"/>
            <w:tcBorders>
              <w:top w:val="single" w:color="000000" w:sz="6" w:space="0"/>
            </w:tcBorders>
            <w:vAlign w:val="top"/>
          </w:tcPr>
          <w:p>
            <w:pPr>
              <w:rPr>
                <w:rFonts w:ascii="Arial"/>
                <w:sz w:val="21"/>
              </w:rPr>
            </w:pP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8" w:line="221" w:lineRule="auto"/>
              <w:ind w:left="530"/>
              <w:rPr>
                <w:sz w:val="21"/>
                <w:szCs w:val="21"/>
              </w:rPr>
            </w:pPr>
            <w:r>
              <w:rPr>
                <w:spacing w:val="-2"/>
                <w:sz w:val="21"/>
                <w:szCs w:val="21"/>
              </w:rPr>
              <w:t>排水</w:t>
            </w:r>
          </w:p>
        </w:tc>
        <w:tc>
          <w:tcPr>
            <w:tcW w:w="4772" w:type="dxa"/>
            <w:vAlign w:val="top"/>
          </w:tcPr>
          <w:p>
            <w:pPr>
              <w:pStyle w:val="6"/>
              <w:spacing w:before="30" w:line="220" w:lineRule="auto"/>
              <w:ind w:left="112"/>
              <w:rPr>
                <w:sz w:val="21"/>
                <w:szCs w:val="21"/>
              </w:rPr>
            </w:pPr>
            <w:r>
              <w:rPr>
                <w:spacing w:val="-1"/>
                <w:sz w:val="21"/>
                <w:szCs w:val="21"/>
              </w:rPr>
              <w:t>场外雨水：通过排水沟排入附近冲沟；</w:t>
            </w:r>
          </w:p>
          <w:p>
            <w:pPr>
              <w:pStyle w:val="6"/>
              <w:spacing w:before="25" w:line="231" w:lineRule="auto"/>
              <w:ind w:left="112" w:right="67"/>
              <w:rPr>
                <w:sz w:val="21"/>
                <w:szCs w:val="21"/>
              </w:rPr>
            </w:pPr>
            <w:r>
              <w:rPr>
                <w:spacing w:val="-7"/>
                <w:sz w:val="21"/>
                <w:szCs w:val="21"/>
              </w:rPr>
              <w:t>场内雨水：</w:t>
            </w:r>
            <w:r>
              <w:rPr>
                <w:spacing w:val="-16"/>
                <w:sz w:val="21"/>
                <w:szCs w:val="21"/>
              </w:rPr>
              <w:t xml:space="preserve"> </w:t>
            </w:r>
            <w:r>
              <w:rPr>
                <w:spacing w:val="-7"/>
                <w:sz w:val="21"/>
                <w:szCs w:val="21"/>
              </w:rPr>
              <w:t>采取清污分流排水，场内地面水汇入井</w:t>
            </w:r>
            <w:r>
              <w:rPr>
                <w:sz w:val="21"/>
                <w:szCs w:val="21"/>
              </w:rPr>
              <w:t xml:space="preserve"> </w:t>
            </w:r>
            <w:r>
              <w:rPr>
                <w:spacing w:val="-1"/>
                <w:sz w:val="21"/>
                <w:szCs w:val="21"/>
              </w:rPr>
              <w:t>场四周清水沟，并通过井场四角的</w:t>
            </w:r>
            <w:r>
              <w:rPr>
                <w:spacing w:val="-47"/>
                <w:sz w:val="21"/>
                <w:szCs w:val="21"/>
              </w:rPr>
              <w:t xml:space="preserve"> </w:t>
            </w:r>
            <w:r>
              <w:rPr>
                <w:rFonts w:ascii="Times New Roman" w:hAnsi="Times New Roman" w:eastAsia="Times New Roman" w:cs="Times New Roman"/>
                <w:spacing w:val="-1"/>
                <w:sz w:val="21"/>
                <w:szCs w:val="21"/>
              </w:rPr>
              <w:t xml:space="preserve">4 </w:t>
            </w:r>
            <w:r>
              <w:rPr>
                <w:spacing w:val="-1"/>
                <w:sz w:val="21"/>
                <w:szCs w:val="21"/>
              </w:rPr>
              <w:t>座</w:t>
            </w:r>
            <w:r>
              <w:rPr>
                <w:spacing w:val="-5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4"/>
                <w:w w:val="101"/>
                <w:sz w:val="21"/>
                <w:szCs w:val="21"/>
              </w:rPr>
              <w:t xml:space="preserve"> </w:t>
            </w:r>
            <w:r>
              <w:rPr>
                <w:spacing w:val="-1"/>
                <w:sz w:val="21"/>
                <w:szCs w:val="21"/>
              </w:rPr>
              <w:t>型隔油</w:t>
            </w:r>
            <w:r>
              <w:rPr>
                <w:sz w:val="21"/>
                <w:szCs w:val="21"/>
              </w:rPr>
              <w:t xml:space="preserve">  </w:t>
            </w:r>
            <w:r>
              <w:rPr>
                <w:spacing w:val="-5"/>
                <w:sz w:val="21"/>
                <w:szCs w:val="21"/>
              </w:rPr>
              <w:t>池（有效容积</w:t>
            </w:r>
            <w:r>
              <w:rPr>
                <w:spacing w:val="-45"/>
                <w:sz w:val="21"/>
                <w:szCs w:val="21"/>
              </w:rPr>
              <w:t xml:space="preserve"> </w:t>
            </w:r>
            <w:r>
              <w:rPr>
                <w:rFonts w:ascii="Times New Roman" w:hAnsi="Times New Roman" w:eastAsia="Times New Roman" w:cs="Times New Roman"/>
                <w:spacing w:val="-5"/>
                <w:sz w:val="21"/>
                <w:szCs w:val="21"/>
              </w:rPr>
              <w:t>4.5m</w:t>
            </w:r>
            <w:r>
              <w:rPr>
                <w:rFonts w:ascii="Times New Roman" w:hAnsi="Times New Roman" w:eastAsia="Times New Roman" w:cs="Times New Roman"/>
                <w:spacing w:val="-5"/>
                <w:position w:val="6"/>
                <w:sz w:val="13"/>
                <w:szCs w:val="13"/>
              </w:rPr>
              <w:t xml:space="preserve">3 </w:t>
            </w:r>
            <w:r>
              <w:rPr>
                <w:spacing w:val="-5"/>
                <w:sz w:val="21"/>
                <w:szCs w:val="21"/>
              </w:rPr>
              <w:t>）经油水分离后油品回收，</w:t>
            </w:r>
            <w:r>
              <w:rPr>
                <w:spacing w:val="-20"/>
                <w:sz w:val="21"/>
                <w:szCs w:val="21"/>
              </w:rPr>
              <w:t xml:space="preserve"> </w:t>
            </w:r>
            <w:r>
              <w:rPr>
                <w:spacing w:val="-5"/>
                <w:sz w:val="21"/>
                <w:szCs w:val="21"/>
              </w:rPr>
              <w:t>分</w:t>
            </w:r>
            <w:r>
              <w:rPr>
                <w:sz w:val="21"/>
                <w:szCs w:val="21"/>
              </w:rPr>
              <w:t xml:space="preserve"> </w:t>
            </w:r>
            <w:r>
              <w:rPr>
                <w:spacing w:val="-2"/>
                <w:sz w:val="21"/>
                <w:szCs w:val="21"/>
              </w:rPr>
              <w:t>离后废水泵入清洁生产操作平台废水罐处理回用。</w:t>
            </w:r>
          </w:p>
        </w:tc>
        <w:tc>
          <w:tcPr>
            <w:tcW w:w="180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9" w:line="231" w:lineRule="auto"/>
              <w:ind w:left="501" w:right="95" w:hanging="382"/>
              <w:rPr>
                <w:sz w:val="21"/>
                <w:szCs w:val="21"/>
              </w:rPr>
            </w:pPr>
            <w:r>
              <w:rPr>
                <w:spacing w:val="-12"/>
                <w:sz w:val="21"/>
                <w:szCs w:val="21"/>
              </w:rPr>
              <w:t>渗漏污染土壤、地</w:t>
            </w:r>
            <w:r>
              <w:rPr>
                <w:spacing w:val="2"/>
                <w:sz w:val="21"/>
                <w:szCs w:val="21"/>
              </w:rPr>
              <w:t xml:space="preserve"> </w:t>
            </w:r>
            <w:r>
              <w:rPr>
                <w:spacing w:val="-3"/>
                <w:sz w:val="21"/>
                <w:szCs w:val="21"/>
              </w:rPr>
              <w:t>下水环境</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Merge w:val="continue"/>
            <w:tcBorders>
              <w:top w:val="nil"/>
              <w:bottom w:val="nil"/>
            </w:tcBorders>
            <w:vAlign w:val="top"/>
          </w:tcPr>
          <w:p>
            <w:pPr>
              <w:rPr>
                <w:rFonts w:ascii="Arial"/>
                <w:sz w:val="21"/>
              </w:rPr>
            </w:pPr>
          </w:p>
        </w:tc>
        <w:tc>
          <w:tcPr>
            <w:tcW w:w="4772" w:type="dxa"/>
            <w:vAlign w:val="top"/>
          </w:tcPr>
          <w:p>
            <w:pPr>
              <w:pStyle w:val="6"/>
              <w:spacing w:before="31" w:line="223" w:lineRule="auto"/>
              <w:ind w:left="113" w:right="96"/>
              <w:rPr>
                <w:sz w:val="21"/>
                <w:szCs w:val="21"/>
              </w:rPr>
            </w:pPr>
            <w:r>
              <w:rPr>
                <w:spacing w:val="-3"/>
                <w:sz w:val="21"/>
                <w:szCs w:val="21"/>
              </w:rPr>
              <w:t>钻井废水、试气废水经现场预处理后拟交由四川瑞</w:t>
            </w:r>
            <w:r>
              <w:rPr>
                <w:spacing w:val="2"/>
                <w:sz w:val="21"/>
                <w:szCs w:val="21"/>
              </w:rPr>
              <w:t xml:space="preserve"> </w:t>
            </w:r>
            <w:r>
              <w:rPr>
                <w:spacing w:val="-1"/>
                <w:sz w:val="21"/>
                <w:szCs w:val="21"/>
              </w:rPr>
              <w:t>利生物科技有限公司处理后排放。</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Merge w:val="continue"/>
            <w:tcBorders>
              <w:top w:val="nil"/>
            </w:tcBorders>
            <w:vAlign w:val="top"/>
          </w:tcPr>
          <w:p>
            <w:pPr>
              <w:rPr>
                <w:rFonts w:ascii="Arial"/>
                <w:sz w:val="21"/>
              </w:rPr>
            </w:pPr>
          </w:p>
        </w:tc>
        <w:tc>
          <w:tcPr>
            <w:tcW w:w="4772" w:type="dxa"/>
            <w:vAlign w:val="top"/>
          </w:tcPr>
          <w:p>
            <w:pPr>
              <w:pStyle w:val="6"/>
              <w:spacing w:before="30" w:line="228" w:lineRule="auto"/>
              <w:ind w:left="116" w:right="95" w:hanging="1"/>
              <w:rPr>
                <w:sz w:val="21"/>
                <w:szCs w:val="21"/>
              </w:rPr>
            </w:pPr>
            <w:r>
              <w:rPr>
                <w:spacing w:val="-1"/>
                <w:sz w:val="21"/>
                <w:szCs w:val="21"/>
              </w:rPr>
              <w:t>生活污水经旱厕收集后由罐车拉运至江陵镇污水</w:t>
            </w:r>
            <w:r>
              <w:rPr>
                <w:spacing w:val="7"/>
                <w:sz w:val="21"/>
                <w:szCs w:val="21"/>
              </w:rPr>
              <w:t xml:space="preserve">  </w:t>
            </w:r>
            <w:r>
              <w:rPr>
                <w:spacing w:val="-4"/>
                <w:sz w:val="21"/>
                <w:szCs w:val="21"/>
              </w:rPr>
              <w:t>处理厂处理后排放。厨房废水隔油</w:t>
            </w:r>
            <w:r>
              <w:rPr>
                <w:spacing w:val="-28"/>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座处理后同生</w:t>
            </w:r>
            <w:r>
              <w:rPr>
                <w:sz w:val="21"/>
                <w:szCs w:val="21"/>
              </w:rPr>
              <w:t xml:space="preserve"> </w:t>
            </w:r>
            <w:r>
              <w:rPr>
                <w:spacing w:val="-1"/>
                <w:sz w:val="21"/>
                <w:szCs w:val="21"/>
              </w:rPr>
              <w:t>活污水统一外运处置。</w:t>
            </w:r>
          </w:p>
        </w:tc>
        <w:tc>
          <w:tcPr>
            <w:tcW w:w="1807" w:type="dxa"/>
            <w:vMerge w:val="continue"/>
            <w:tcBorders>
              <w:top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306" w:line="220" w:lineRule="auto"/>
              <w:ind w:left="530"/>
              <w:rPr>
                <w:sz w:val="21"/>
                <w:szCs w:val="21"/>
              </w:rPr>
            </w:pPr>
            <w:r>
              <w:rPr>
                <w:spacing w:val="-2"/>
                <w:sz w:val="21"/>
                <w:szCs w:val="21"/>
              </w:rPr>
              <w:t>供电</w:t>
            </w:r>
          </w:p>
        </w:tc>
        <w:tc>
          <w:tcPr>
            <w:tcW w:w="4772" w:type="dxa"/>
            <w:vAlign w:val="top"/>
          </w:tcPr>
          <w:p>
            <w:pPr>
              <w:pStyle w:val="6"/>
              <w:spacing w:before="33" w:line="220" w:lineRule="auto"/>
              <w:ind w:left="112"/>
              <w:rPr>
                <w:sz w:val="21"/>
                <w:szCs w:val="21"/>
              </w:rPr>
            </w:pPr>
            <w:r>
              <w:rPr>
                <w:spacing w:val="-5"/>
                <w:sz w:val="21"/>
                <w:szCs w:val="21"/>
              </w:rPr>
              <w:t>采用周边</w:t>
            </w:r>
            <w:r>
              <w:rPr>
                <w:spacing w:val="-27"/>
                <w:sz w:val="21"/>
                <w:szCs w:val="21"/>
              </w:rPr>
              <w:t xml:space="preserve"> </w:t>
            </w:r>
            <w:r>
              <w:rPr>
                <w:rFonts w:ascii="Times New Roman" w:hAnsi="Times New Roman" w:eastAsia="Times New Roman" w:cs="Times New Roman"/>
                <w:spacing w:val="-5"/>
                <w:sz w:val="21"/>
                <w:szCs w:val="21"/>
              </w:rPr>
              <w:t>10kV</w:t>
            </w:r>
            <w:r>
              <w:rPr>
                <w:rFonts w:ascii="Times New Roman" w:hAnsi="Times New Roman" w:eastAsia="Times New Roman" w:cs="Times New Roman"/>
                <w:spacing w:val="16"/>
                <w:sz w:val="21"/>
                <w:szCs w:val="21"/>
              </w:rPr>
              <w:t xml:space="preserve"> </w:t>
            </w:r>
            <w:r>
              <w:rPr>
                <w:spacing w:val="-5"/>
                <w:sz w:val="21"/>
                <w:szCs w:val="21"/>
              </w:rPr>
              <w:t>高压电网供电，</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22"/>
                <w:w w:val="101"/>
                <w:sz w:val="21"/>
                <w:szCs w:val="21"/>
              </w:rPr>
              <w:t xml:space="preserve"> </w:t>
            </w:r>
            <w:r>
              <w:rPr>
                <w:spacing w:val="-5"/>
                <w:sz w:val="21"/>
                <w:szCs w:val="21"/>
              </w:rPr>
              <w:t>台</w:t>
            </w:r>
            <w:r>
              <w:rPr>
                <w:spacing w:val="-49"/>
                <w:sz w:val="21"/>
                <w:szCs w:val="21"/>
              </w:rPr>
              <w:t xml:space="preserve"> </w:t>
            </w:r>
            <w:r>
              <w:rPr>
                <w:rFonts w:ascii="Times New Roman" w:hAnsi="Times New Roman" w:eastAsia="Times New Roman" w:cs="Times New Roman"/>
                <w:spacing w:val="-5"/>
                <w:sz w:val="21"/>
                <w:szCs w:val="21"/>
              </w:rPr>
              <w:t>4000kV</w:t>
            </w:r>
            <w:r>
              <w:rPr>
                <w:rFonts w:ascii="Times New Roman" w:hAnsi="Times New Roman" w:eastAsia="Times New Roman" w:cs="Times New Roman"/>
                <w:spacing w:val="-6"/>
                <w:sz w:val="21"/>
                <w:szCs w:val="21"/>
              </w:rPr>
              <w:t>A</w:t>
            </w:r>
            <w:r>
              <w:rPr>
                <w:rFonts w:ascii="Times New Roman" w:hAnsi="Times New Roman" w:eastAsia="Times New Roman" w:cs="Times New Roman"/>
                <w:spacing w:val="34"/>
                <w:sz w:val="21"/>
                <w:szCs w:val="21"/>
              </w:rPr>
              <w:t xml:space="preserve"> </w:t>
            </w:r>
            <w:r>
              <w:rPr>
                <w:spacing w:val="-6"/>
                <w:sz w:val="21"/>
                <w:szCs w:val="21"/>
              </w:rPr>
              <w:t>电力</w:t>
            </w:r>
          </w:p>
          <w:p>
            <w:pPr>
              <w:pStyle w:val="6"/>
              <w:spacing w:before="23" w:line="222" w:lineRule="auto"/>
              <w:ind w:left="409" w:right="95" w:hanging="296"/>
              <w:rPr>
                <w:sz w:val="21"/>
                <w:szCs w:val="21"/>
              </w:rPr>
            </w:pPr>
            <w:r>
              <w:rPr>
                <w:spacing w:val="-7"/>
                <w:sz w:val="21"/>
                <w:szCs w:val="21"/>
              </w:rPr>
              <w:t>变压器。其他周边</w:t>
            </w:r>
            <w:r>
              <w:rPr>
                <w:spacing w:val="-46"/>
                <w:sz w:val="21"/>
                <w:szCs w:val="21"/>
              </w:rPr>
              <w:t xml:space="preserve"> </w:t>
            </w:r>
            <w:r>
              <w:rPr>
                <w:rFonts w:ascii="Times New Roman" w:hAnsi="Times New Roman" w:eastAsia="Times New Roman" w:cs="Times New Roman"/>
                <w:spacing w:val="-7"/>
                <w:sz w:val="21"/>
                <w:szCs w:val="21"/>
              </w:rPr>
              <w:t>220kv</w:t>
            </w:r>
            <w:r>
              <w:rPr>
                <w:rFonts w:ascii="Times New Roman" w:hAnsi="Times New Roman" w:eastAsia="Times New Roman" w:cs="Times New Roman"/>
                <w:spacing w:val="33"/>
                <w:w w:val="101"/>
                <w:sz w:val="21"/>
                <w:szCs w:val="21"/>
              </w:rPr>
              <w:t xml:space="preserve"> </w:t>
            </w:r>
            <w:r>
              <w:rPr>
                <w:spacing w:val="-7"/>
                <w:sz w:val="21"/>
                <w:szCs w:val="21"/>
              </w:rPr>
              <w:t>电线供电，备用</w:t>
            </w:r>
            <w:r>
              <w:rPr>
                <w:spacing w:val="-55"/>
                <w:sz w:val="21"/>
                <w:szCs w:val="21"/>
              </w:rPr>
              <w:t xml:space="preserve"> </w:t>
            </w:r>
            <w:r>
              <w:rPr>
                <w:rFonts w:ascii="Times New Roman" w:hAnsi="Times New Roman" w:eastAsia="Times New Roman" w:cs="Times New Roman"/>
                <w:spacing w:val="-7"/>
                <w:sz w:val="21"/>
                <w:szCs w:val="21"/>
              </w:rPr>
              <w:t>N1310kW</w:t>
            </w:r>
            <w:r>
              <w:rPr>
                <w:rFonts w:ascii="Times New Roman" w:hAnsi="Times New Roman" w:eastAsia="Times New Roman" w:cs="Times New Roman"/>
                <w:sz w:val="21"/>
                <w:szCs w:val="21"/>
              </w:rPr>
              <w:t xml:space="preserve"> </w:t>
            </w:r>
            <w:r>
              <w:rPr>
                <w:spacing w:val="-7"/>
                <w:sz w:val="21"/>
                <w:szCs w:val="21"/>
              </w:rPr>
              <w:t>功率发电机</w:t>
            </w:r>
            <w:r>
              <w:rPr>
                <w:spacing w:val="-41"/>
                <w:sz w:val="21"/>
                <w:szCs w:val="21"/>
              </w:rPr>
              <w:t xml:space="preserve"> </w:t>
            </w:r>
            <w:r>
              <w:rPr>
                <w:rFonts w:ascii="Times New Roman" w:hAnsi="Times New Roman" w:eastAsia="Times New Roman" w:cs="Times New Roman"/>
                <w:spacing w:val="-7"/>
                <w:sz w:val="21"/>
                <w:szCs w:val="21"/>
              </w:rPr>
              <w:t>4</w:t>
            </w:r>
            <w:r>
              <w:rPr>
                <w:rFonts w:ascii="Times New Roman" w:hAnsi="Times New Roman" w:eastAsia="Times New Roman" w:cs="Times New Roman"/>
                <w:spacing w:val="25"/>
                <w:w w:val="101"/>
                <w:sz w:val="21"/>
                <w:szCs w:val="21"/>
              </w:rPr>
              <w:t xml:space="preserve"> </w:t>
            </w:r>
            <w:r>
              <w:rPr>
                <w:spacing w:val="-7"/>
                <w:sz w:val="21"/>
                <w:szCs w:val="21"/>
              </w:rPr>
              <w:t>台，</w:t>
            </w:r>
            <w:r>
              <w:rPr>
                <w:spacing w:val="-46"/>
                <w:sz w:val="21"/>
                <w:szCs w:val="21"/>
              </w:rPr>
              <w:t xml:space="preserve"> </w:t>
            </w:r>
            <w:r>
              <w:rPr>
                <w:rFonts w:ascii="Times New Roman" w:hAnsi="Times New Roman" w:eastAsia="Times New Roman" w:cs="Times New Roman"/>
                <w:spacing w:val="-7"/>
                <w:sz w:val="21"/>
                <w:szCs w:val="21"/>
              </w:rPr>
              <w:t>N400kW</w:t>
            </w:r>
            <w:r>
              <w:rPr>
                <w:rFonts w:ascii="Times New Roman" w:hAnsi="Times New Roman" w:eastAsia="Times New Roman" w:cs="Times New Roman"/>
                <w:spacing w:val="12"/>
                <w:sz w:val="21"/>
                <w:szCs w:val="21"/>
              </w:rPr>
              <w:t xml:space="preserve"> </w:t>
            </w:r>
            <w:r>
              <w:rPr>
                <w:spacing w:val="-7"/>
                <w:sz w:val="21"/>
                <w:szCs w:val="21"/>
              </w:rPr>
              <w:t>发电机组</w:t>
            </w:r>
            <w:r>
              <w:rPr>
                <w:spacing w:val="-48"/>
                <w:sz w:val="21"/>
                <w:szCs w:val="21"/>
              </w:rPr>
              <w:t xml:space="preserve"> </w:t>
            </w:r>
            <w:r>
              <w:rPr>
                <w:rFonts w:ascii="Times New Roman" w:hAnsi="Times New Roman" w:eastAsia="Times New Roman" w:cs="Times New Roman"/>
                <w:spacing w:val="-7"/>
                <w:sz w:val="21"/>
                <w:szCs w:val="21"/>
              </w:rPr>
              <w:t>2</w:t>
            </w:r>
            <w:r>
              <w:rPr>
                <w:rFonts w:ascii="Times New Roman" w:hAnsi="Times New Roman" w:eastAsia="Times New Roman" w:cs="Times New Roman"/>
                <w:spacing w:val="25"/>
                <w:sz w:val="21"/>
                <w:szCs w:val="21"/>
              </w:rPr>
              <w:t xml:space="preserve"> </w:t>
            </w:r>
            <w:r>
              <w:rPr>
                <w:spacing w:val="-7"/>
                <w:sz w:val="21"/>
                <w:szCs w:val="21"/>
              </w:rPr>
              <w:t>台。</w:t>
            </w:r>
          </w:p>
        </w:tc>
        <w:tc>
          <w:tcPr>
            <w:tcW w:w="1807" w:type="dxa"/>
            <w:vAlign w:val="top"/>
          </w:tcPr>
          <w:p>
            <w:pPr>
              <w:pStyle w:val="6"/>
              <w:spacing w:before="307" w:line="221" w:lineRule="auto"/>
              <w:ind w:left="714"/>
              <w:rPr>
                <w:sz w:val="21"/>
                <w:szCs w:val="21"/>
              </w:rPr>
            </w:pPr>
            <w:r>
              <w:rPr>
                <w:spacing w:val="-4"/>
                <w:sz w:val="21"/>
                <w:szCs w:val="21"/>
              </w:rPr>
              <w:t>噪声</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171" w:line="221" w:lineRule="auto"/>
              <w:ind w:left="426"/>
              <w:rPr>
                <w:sz w:val="21"/>
                <w:szCs w:val="21"/>
              </w:rPr>
            </w:pPr>
            <w:r>
              <w:rPr>
                <w:spacing w:val="-2"/>
                <w:sz w:val="21"/>
                <w:szCs w:val="21"/>
              </w:rPr>
              <w:t>生活区</w:t>
            </w:r>
          </w:p>
        </w:tc>
        <w:tc>
          <w:tcPr>
            <w:tcW w:w="4772" w:type="dxa"/>
            <w:vAlign w:val="top"/>
          </w:tcPr>
          <w:p>
            <w:pPr>
              <w:pStyle w:val="6"/>
              <w:spacing w:before="33" w:line="222" w:lineRule="auto"/>
              <w:ind w:left="780" w:right="146" w:hanging="617"/>
              <w:rPr>
                <w:sz w:val="21"/>
                <w:szCs w:val="21"/>
              </w:rPr>
            </w:pPr>
            <w:r>
              <w:rPr>
                <w:spacing w:val="-6"/>
                <w:sz w:val="21"/>
                <w:szCs w:val="21"/>
              </w:rPr>
              <w:t>生活区位于井场北侧，设置</w:t>
            </w:r>
            <w:r>
              <w:rPr>
                <w:spacing w:val="-35"/>
                <w:sz w:val="21"/>
                <w:szCs w:val="21"/>
              </w:rPr>
              <w:t xml:space="preserve"> </w:t>
            </w:r>
            <w:r>
              <w:rPr>
                <w:rFonts w:ascii="Times New Roman" w:hAnsi="Times New Roman" w:eastAsia="Times New Roman" w:cs="Times New Roman"/>
                <w:spacing w:val="-6"/>
                <w:sz w:val="21"/>
                <w:szCs w:val="21"/>
              </w:rPr>
              <w:t>42</w:t>
            </w:r>
            <w:r>
              <w:rPr>
                <w:rFonts w:ascii="Times New Roman" w:hAnsi="Times New Roman" w:eastAsia="Times New Roman" w:cs="Times New Roman"/>
                <w:spacing w:val="14"/>
                <w:w w:val="101"/>
                <w:sz w:val="21"/>
                <w:szCs w:val="21"/>
              </w:rPr>
              <w:t xml:space="preserve"> </w:t>
            </w:r>
            <w:r>
              <w:rPr>
                <w:spacing w:val="-6"/>
                <w:sz w:val="21"/>
                <w:szCs w:val="21"/>
              </w:rPr>
              <w:t xml:space="preserve">幢活动板房， </w:t>
            </w:r>
            <w:r>
              <w:rPr>
                <w:rFonts w:ascii="Times New Roman" w:hAnsi="Times New Roman" w:eastAsia="Times New Roman" w:cs="Times New Roman"/>
                <w:spacing w:val="-6"/>
                <w:sz w:val="21"/>
                <w:szCs w:val="21"/>
              </w:rPr>
              <w:t xml:space="preserve">1 </w:t>
            </w:r>
            <w:r>
              <w:rPr>
                <w:spacing w:val="-6"/>
                <w:sz w:val="21"/>
                <w:szCs w:val="21"/>
              </w:rPr>
              <w:t>座</w:t>
            </w:r>
            <w:r>
              <w:rPr>
                <w:sz w:val="21"/>
                <w:szCs w:val="21"/>
              </w:rPr>
              <w:t xml:space="preserve"> </w:t>
            </w:r>
            <w:r>
              <w:rPr>
                <w:spacing w:val="-1"/>
                <w:sz w:val="21"/>
                <w:szCs w:val="21"/>
              </w:rPr>
              <w:t>环保厕所等，占地面积约</w:t>
            </w:r>
            <w:r>
              <w:rPr>
                <w:spacing w:val="-38"/>
                <w:sz w:val="21"/>
                <w:szCs w:val="21"/>
              </w:rPr>
              <w:t xml:space="preserve"> </w:t>
            </w:r>
            <w:r>
              <w:rPr>
                <w:rFonts w:ascii="Times New Roman" w:hAnsi="Times New Roman" w:eastAsia="Times New Roman" w:cs="Times New Roman"/>
                <w:spacing w:val="-1"/>
                <w:sz w:val="21"/>
                <w:szCs w:val="21"/>
              </w:rPr>
              <w:t>2280m</w:t>
            </w:r>
            <w:r>
              <w:rPr>
                <w:rFonts w:ascii="Times New Roman" w:hAnsi="Times New Roman" w:eastAsia="Times New Roman" w:cs="Times New Roman"/>
                <w:spacing w:val="-1"/>
                <w:position w:val="6"/>
                <w:sz w:val="13"/>
                <w:szCs w:val="13"/>
              </w:rPr>
              <w:t>2</w:t>
            </w:r>
            <w:r>
              <w:rPr>
                <w:spacing w:val="-1"/>
                <w:sz w:val="21"/>
                <w:szCs w:val="21"/>
              </w:rPr>
              <w:t>。</w:t>
            </w:r>
          </w:p>
        </w:tc>
        <w:tc>
          <w:tcPr>
            <w:tcW w:w="1807" w:type="dxa"/>
            <w:vMerge w:val="restart"/>
            <w:tcBorders>
              <w:bottom w:val="nil"/>
            </w:tcBorders>
            <w:vAlign w:val="top"/>
          </w:tcPr>
          <w:p>
            <w:pPr>
              <w:pStyle w:val="6"/>
              <w:spacing w:before="209" w:line="230" w:lineRule="auto"/>
              <w:ind w:left="706" w:right="158" w:hanging="526"/>
              <w:rPr>
                <w:sz w:val="21"/>
                <w:szCs w:val="21"/>
              </w:rPr>
            </w:pPr>
            <w:r>
              <w:rPr>
                <w:spacing w:val="-1"/>
                <w:sz w:val="21"/>
                <w:szCs w:val="21"/>
              </w:rPr>
              <w:t>生活污水和生活</w:t>
            </w:r>
            <w:r>
              <w:rPr>
                <w:sz w:val="21"/>
                <w:szCs w:val="21"/>
              </w:rPr>
              <w:t xml:space="preserve"> </w:t>
            </w:r>
            <w:r>
              <w:rPr>
                <w:spacing w:val="-2"/>
                <w:sz w:val="21"/>
                <w:szCs w:val="21"/>
              </w:rPr>
              <w:t>垃圾</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69" w:line="221" w:lineRule="auto"/>
              <w:ind w:left="530"/>
              <w:rPr>
                <w:sz w:val="21"/>
                <w:szCs w:val="21"/>
              </w:rPr>
            </w:pPr>
            <w:r>
              <w:rPr>
                <w:spacing w:val="-2"/>
                <w:sz w:val="21"/>
                <w:szCs w:val="21"/>
              </w:rPr>
              <w:t>厕所</w:t>
            </w:r>
          </w:p>
        </w:tc>
        <w:tc>
          <w:tcPr>
            <w:tcW w:w="4772" w:type="dxa"/>
            <w:vAlign w:val="top"/>
          </w:tcPr>
          <w:p>
            <w:pPr>
              <w:pStyle w:val="6"/>
              <w:spacing w:before="69" w:line="221" w:lineRule="auto"/>
              <w:ind w:left="839"/>
              <w:rPr>
                <w:sz w:val="21"/>
                <w:szCs w:val="21"/>
              </w:rPr>
            </w:pPr>
            <w:r>
              <w:rPr>
                <w:rFonts w:ascii="Times New Roman" w:hAnsi="Times New Roman" w:eastAsia="Times New Roman" w:cs="Times New Roman"/>
                <w:spacing w:val="-11"/>
                <w:sz w:val="21"/>
                <w:szCs w:val="21"/>
              </w:rPr>
              <w:t>2</w:t>
            </w:r>
            <w:r>
              <w:rPr>
                <w:rFonts w:ascii="Times New Roman" w:hAnsi="Times New Roman" w:eastAsia="Times New Roman" w:cs="Times New Roman"/>
                <w:spacing w:val="23"/>
                <w:sz w:val="21"/>
                <w:szCs w:val="21"/>
              </w:rPr>
              <w:t xml:space="preserve"> </w:t>
            </w:r>
            <w:r>
              <w:rPr>
                <w:spacing w:val="-11"/>
                <w:sz w:val="21"/>
                <w:szCs w:val="21"/>
              </w:rPr>
              <w:t>座，</w:t>
            </w:r>
            <w:r>
              <w:rPr>
                <w:spacing w:val="-25"/>
                <w:sz w:val="21"/>
                <w:szCs w:val="21"/>
              </w:rPr>
              <w:t xml:space="preserve"> </w:t>
            </w:r>
            <w:r>
              <w:rPr>
                <w:spacing w:val="-11"/>
                <w:sz w:val="21"/>
                <w:szCs w:val="21"/>
              </w:rPr>
              <w:t>生活区</w:t>
            </w:r>
            <w:r>
              <w:rPr>
                <w:spacing w:val="-28"/>
                <w:sz w:val="21"/>
                <w:szCs w:val="21"/>
              </w:rPr>
              <w:t xml:space="preserve"> </w:t>
            </w:r>
            <w:r>
              <w:rPr>
                <w:rFonts w:ascii="Times New Roman" w:hAnsi="Times New Roman" w:eastAsia="Times New Roman" w:cs="Times New Roman"/>
                <w:spacing w:val="-11"/>
                <w:sz w:val="21"/>
                <w:szCs w:val="21"/>
              </w:rPr>
              <w:t xml:space="preserve">1 </w:t>
            </w:r>
            <w:r>
              <w:rPr>
                <w:spacing w:val="-11"/>
                <w:sz w:val="21"/>
                <w:szCs w:val="21"/>
              </w:rPr>
              <w:t>座，井场外</w:t>
            </w:r>
            <w:r>
              <w:rPr>
                <w:spacing w:val="-27"/>
                <w:sz w:val="21"/>
                <w:szCs w:val="21"/>
              </w:rPr>
              <w:t xml:space="preserve"> </w:t>
            </w:r>
            <w:r>
              <w:rPr>
                <w:rFonts w:ascii="Times New Roman" w:hAnsi="Times New Roman" w:eastAsia="Times New Roman" w:cs="Times New Roman"/>
                <w:spacing w:val="-11"/>
                <w:sz w:val="21"/>
                <w:szCs w:val="21"/>
              </w:rPr>
              <w:t>1</w:t>
            </w:r>
            <w:r>
              <w:rPr>
                <w:rFonts w:ascii="Times New Roman" w:hAnsi="Times New Roman" w:eastAsia="Times New Roman" w:cs="Times New Roman"/>
                <w:spacing w:val="10"/>
                <w:sz w:val="21"/>
                <w:szCs w:val="21"/>
              </w:rPr>
              <w:t xml:space="preserve"> </w:t>
            </w:r>
            <w:r>
              <w:rPr>
                <w:spacing w:val="-11"/>
                <w:sz w:val="21"/>
                <w:szCs w:val="21"/>
              </w:rPr>
              <w:t>座。</w:t>
            </w:r>
          </w:p>
        </w:tc>
        <w:tc>
          <w:tcPr>
            <w:tcW w:w="1807" w:type="dxa"/>
            <w:vMerge w:val="continue"/>
            <w:tcBorders>
              <w:top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tcBorders>
            <w:textDirection w:val="tbRlV"/>
            <w:vAlign w:val="top"/>
          </w:tcPr>
          <w:p>
            <w:pPr>
              <w:rPr>
                <w:rFonts w:ascii="Arial"/>
                <w:sz w:val="21"/>
              </w:rPr>
            </w:pPr>
          </w:p>
        </w:tc>
        <w:tc>
          <w:tcPr>
            <w:tcW w:w="1475" w:type="dxa"/>
            <w:gridSpan w:val="2"/>
            <w:vAlign w:val="top"/>
          </w:tcPr>
          <w:p>
            <w:pPr>
              <w:pStyle w:val="6"/>
              <w:spacing w:before="36" w:line="221" w:lineRule="auto"/>
              <w:ind w:left="531" w:right="105" w:hanging="422"/>
              <w:rPr>
                <w:sz w:val="21"/>
                <w:szCs w:val="21"/>
              </w:rPr>
            </w:pPr>
            <w:r>
              <w:rPr>
                <w:spacing w:val="-1"/>
                <w:sz w:val="21"/>
                <w:szCs w:val="21"/>
              </w:rPr>
              <w:t>会议室、生产</w:t>
            </w:r>
            <w:r>
              <w:rPr>
                <w:sz w:val="21"/>
                <w:szCs w:val="21"/>
              </w:rPr>
              <w:t xml:space="preserve"> </w:t>
            </w:r>
            <w:r>
              <w:rPr>
                <w:spacing w:val="-2"/>
                <w:sz w:val="21"/>
                <w:szCs w:val="21"/>
              </w:rPr>
              <w:t>用房</w:t>
            </w:r>
          </w:p>
        </w:tc>
        <w:tc>
          <w:tcPr>
            <w:tcW w:w="4772" w:type="dxa"/>
            <w:vAlign w:val="top"/>
          </w:tcPr>
          <w:p>
            <w:pPr>
              <w:pStyle w:val="6"/>
              <w:spacing w:before="36" w:line="221" w:lineRule="auto"/>
              <w:ind w:left="1342" w:right="98" w:hanging="1229"/>
              <w:rPr>
                <w:sz w:val="21"/>
                <w:szCs w:val="21"/>
              </w:rPr>
            </w:pPr>
            <w:r>
              <w:rPr>
                <w:spacing w:val="-3"/>
                <w:sz w:val="21"/>
                <w:szCs w:val="21"/>
              </w:rPr>
              <w:t>位于井场外北侧，用于值班和设备维修，主要为钻</w:t>
            </w:r>
            <w:r>
              <w:rPr>
                <w:sz w:val="21"/>
                <w:szCs w:val="21"/>
              </w:rPr>
              <w:t xml:space="preserve"> </w:t>
            </w:r>
            <w:r>
              <w:rPr>
                <w:spacing w:val="-1"/>
                <w:sz w:val="21"/>
                <w:szCs w:val="21"/>
              </w:rPr>
              <w:t>井设备日常维护维修。</w:t>
            </w:r>
          </w:p>
        </w:tc>
        <w:tc>
          <w:tcPr>
            <w:tcW w:w="1807" w:type="dxa"/>
            <w:vAlign w:val="top"/>
          </w:tcPr>
          <w:p>
            <w:pPr>
              <w:pStyle w:val="6"/>
              <w:spacing w:before="36" w:line="221" w:lineRule="auto"/>
              <w:ind w:left="388" w:right="56" w:hanging="268"/>
              <w:rPr>
                <w:sz w:val="21"/>
                <w:szCs w:val="21"/>
              </w:rPr>
            </w:pPr>
            <w:r>
              <w:rPr>
                <w:spacing w:val="-7"/>
                <w:sz w:val="21"/>
                <w:szCs w:val="21"/>
              </w:rPr>
              <w:t>生活垃圾和废油，</w:t>
            </w:r>
            <w:r>
              <w:rPr>
                <w:sz w:val="21"/>
                <w:szCs w:val="21"/>
              </w:rPr>
              <w:t xml:space="preserve"> </w:t>
            </w:r>
            <w:r>
              <w:rPr>
                <w:spacing w:val="-1"/>
                <w:sz w:val="21"/>
                <w:szCs w:val="21"/>
              </w:rPr>
              <w:t>废设备零件</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restart"/>
            <w:tcBorders>
              <w:bottom w:val="nil"/>
            </w:tcBorders>
            <w:textDirection w:val="tbRlV"/>
            <w:vAlign w:val="top"/>
          </w:tcPr>
          <w:p>
            <w:pPr>
              <w:pStyle w:val="6"/>
              <w:spacing w:before="169" w:line="210" w:lineRule="auto"/>
              <w:ind w:left="3149"/>
              <w:rPr>
                <w:sz w:val="21"/>
                <w:szCs w:val="21"/>
              </w:rPr>
            </w:pPr>
            <w:r>
              <w:rPr>
                <w:spacing w:val="1"/>
                <w:sz w:val="21"/>
                <w:szCs w:val="21"/>
              </w:rPr>
              <w:t>储</w:t>
            </w:r>
            <w:r>
              <w:rPr>
                <w:spacing w:val="-43"/>
                <w:sz w:val="21"/>
                <w:szCs w:val="21"/>
              </w:rPr>
              <w:t xml:space="preserve"> </w:t>
            </w:r>
            <w:r>
              <w:rPr>
                <w:spacing w:val="1"/>
                <w:sz w:val="21"/>
                <w:szCs w:val="21"/>
              </w:rPr>
              <w:t>运</w:t>
            </w:r>
            <w:r>
              <w:rPr>
                <w:spacing w:val="-45"/>
                <w:sz w:val="21"/>
                <w:szCs w:val="21"/>
              </w:rPr>
              <w:t xml:space="preserve"> </w:t>
            </w:r>
            <w:r>
              <w:rPr>
                <w:spacing w:val="1"/>
                <w:sz w:val="21"/>
                <w:szCs w:val="21"/>
              </w:rPr>
              <w:t>工</w:t>
            </w:r>
            <w:r>
              <w:rPr>
                <w:spacing w:val="-43"/>
                <w:sz w:val="21"/>
                <w:szCs w:val="21"/>
              </w:rPr>
              <w:t xml:space="preserve"> </w:t>
            </w:r>
            <w:r>
              <w:rPr>
                <w:spacing w:val="1"/>
                <w:sz w:val="21"/>
                <w:szCs w:val="21"/>
              </w:rPr>
              <w:t>程</w:t>
            </w:r>
          </w:p>
        </w:tc>
        <w:tc>
          <w:tcPr>
            <w:tcW w:w="1475" w:type="dxa"/>
            <w:gridSpan w:val="2"/>
            <w:vAlign w:val="top"/>
          </w:tcPr>
          <w:p>
            <w:pPr>
              <w:pStyle w:val="6"/>
              <w:spacing w:before="172" w:line="232" w:lineRule="auto"/>
              <w:ind w:left="648" w:right="105" w:hanging="537"/>
              <w:rPr>
                <w:sz w:val="21"/>
                <w:szCs w:val="21"/>
              </w:rPr>
            </w:pPr>
            <w:r>
              <w:rPr>
                <w:spacing w:val="-2"/>
                <w:sz w:val="21"/>
                <w:szCs w:val="21"/>
              </w:rPr>
              <w:t>泥浆材料堆存</w:t>
            </w:r>
            <w:r>
              <w:rPr>
                <w:spacing w:val="3"/>
                <w:sz w:val="21"/>
                <w:szCs w:val="21"/>
              </w:rPr>
              <w:t xml:space="preserve"> </w:t>
            </w:r>
            <w:r>
              <w:rPr>
                <w:sz w:val="21"/>
                <w:szCs w:val="21"/>
              </w:rPr>
              <w:t>区</w:t>
            </w:r>
          </w:p>
        </w:tc>
        <w:tc>
          <w:tcPr>
            <w:tcW w:w="4772" w:type="dxa"/>
            <w:vAlign w:val="top"/>
          </w:tcPr>
          <w:p>
            <w:pPr>
              <w:pStyle w:val="6"/>
              <w:spacing w:before="35" w:line="220" w:lineRule="auto"/>
              <w:ind w:left="112"/>
              <w:rPr>
                <w:sz w:val="21"/>
                <w:szCs w:val="21"/>
              </w:rPr>
            </w:pPr>
            <w:r>
              <w:rPr>
                <w:spacing w:val="-5"/>
                <w:sz w:val="21"/>
                <w:szCs w:val="21"/>
              </w:rPr>
              <w:t>在井场内西北角</w:t>
            </w:r>
            <w:r>
              <w:rPr>
                <w:spacing w:val="-18"/>
                <w:sz w:val="21"/>
                <w:szCs w:val="21"/>
              </w:rPr>
              <w:t xml:space="preserve"> </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12"/>
                <w:sz w:val="21"/>
                <w:szCs w:val="21"/>
              </w:rPr>
              <w:t xml:space="preserve"> </w:t>
            </w:r>
            <w:r>
              <w:rPr>
                <w:spacing w:val="-5"/>
                <w:sz w:val="21"/>
                <w:szCs w:val="21"/>
              </w:rPr>
              <w:t>处泥浆材料堆放区，主要存放钻</w:t>
            </w:r>
          </w:p>
          <w:p>
            <w:pPr>
              <w:pStyle w:val="6"/>
              <w:spacing w:before="23" w:line="221" w:lineRule="auto"/>
              <w:ind w:left="289" w:right="95" w:hanging="173"/>
              <w:rPr>
                <w:sz w:val="21"/>
                <w:szCs w:val="21"/>
              </w:rPr>
            </w:pPr>
            <w:r>
              <w:rPr>
                <w:spacing w:val="-3"/>
                <w:sz w:val="21"/>
                <w:szCs w:val="21"/>
              </w:rPr>
              <w:t>前工程材料及钻井工程中使用的各类材料；材料堆</w:t>
            </w:r>
            <w:r>
              <w:rPr>
                <w:sz w:val="21"/>
                <w:szCs w:val="21"/>
              </w:rPr>
              <w:t xml:space="preserve"> </w:t>
            </w:r>
            <w:r>
              <w:rPr>
                <w:spacing w:val="-6"/>
                <w:sz w:val="21"/>
                <w:szCs w:val="21"/>
              </w:rPr>
              <w:t>存区设置雨棚防水， 设围堰，进行防渗处理。</w:t>
            </w:r>
          </w:p>
        </w:tc>
        <w:tc>
          <w:tcPr>
            <w:tcW w:w="1807" w:type="dxa"/>
            <w:vAlign w:val="top"/>
          </w:tcPr>
          <w:p>
            <w:pPr>
              <w:pStyle w:val="6"/>
              <w:spacing w:before="173" w:line="229" w:lineRule="auto"/>
              <w:ind w:left="501" w:right="95" w:hanging="382"/>
              <w:rPr>
                <w:sz w:val="21"/>
                <w:szCs w:val="21"/>
              </w:rPr>
            </w:pPr>
            <w:r>
              <w:rPr>
                <w:spacing w:val="-12"/>
                <w:sz w:val="21"/>
                <w:szCs w:val="21"/>
              </w:rPr>
              <w:t>渗漏污染土壤、地</w:t>
            </w:r>
            <w:r>
              <w:rPr>
                <w:spacing w:val="2"/>
                <w:sz w:val="21"/>
                <w:szCs w:val="21"/>
              </w:rPr>
              <w:t xml:space="preserve"> </w:t>
            </w:r>
            <w:r>
              <w:rPr>
                <w:spacing w:val="-3"/>
                <w:sz w:val="21"/>
                <w:szCs w:val="21"/>
              </w:rPr>
              <w:t>下水环境</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spacing w:line="321" w:lineRule="auto"/>
              <w:rPr>
                <w:rFonts w:ascii="Arial"/>
                <w:sz w:val="21"/>
              </w:rPr>
            </w:pPr>
          </w:p>
          <w:p>
            <w:pPr>
              <w:spacing w:line="322" w:lineRule="auto"/>
              <w:rPr>
                <w:rFonts w:ascii="Arial"/>
                <w:sz w:val="21"/>
              </w:rPr>
            </w:pPr>
          </w:p>
          <w:p>
            <w:pPr>
              <w:pStyle w:val="6"/>
              <w:spacing w:before="68" w:line="221" w:lineRule="auto"/>
              <w:ind w:left="113"/>
              <w:rPr>
                <w:sz w:val="21"/>
                <w:szCs w:val="21"/>
              </w:rPr>
            </w:pPr>
            <w:r>
              <w:rPr>
                <w:spacing w:val="-2"/>
                <w:sz w:val="21"/>
                <w:szCs w:val="21"/>
              </w:rPr>
              <w:t>油罐、水罐区</w:t>
            </w:r>
          </w:p>
        </w:tc>
        <w:tc>
          <w:tcPr>
            <w:tcW w:w="4772" w:type="dxa"/>
            <w:vAlign w:val="top"/>
          </w:tcPr>
          <w:p>
            <w:pPr>
              <w:pStyle w:val="6"/>
              <w:spacing w:before="35" w:line="236" w:lineRule="auto"/>
              <w:ind w:left="120" w:right="98" w:hanging="4"/>
              <w:jc w:val="both"/>
              <w:rPr>
                <w:sz w:val="21"/>
                <w:szCs w:val="21"/>
              </w:rPr>
            </w:pPr>
            <w:r>
              <w:rPr>
                <w:spacing w:val="-4"/>
                <w:sz w:val="21"/>
                <w:szCs w:val="21"/>
              </w:rPr>
              <w:t>设在井场外北侧，设</w:t>
            </w:r>
            <w:r>
              <w:rPr>
                <w:spacing w:val="-27"/>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处油罐、水罐区（占</w:t>
            </w:r>
            <w:r>
              <w:rPr>
                <w:spacing w:val="-5"/>
                <w:sz w:val="21"/>
                <w:szCs w:val="21"/>
              </w:rPr>
              <w:t>地面积</w:t>
            </w:r>
            <w:r>
              <w:rPr>
                <w:sz w:val="21"/>
                <w:szCs w:val="21"/>
              </w:rPr>
              <w:t xml:space="preserve"> </w:t>
            </w:r>
            <w:r>
              <w:rPr>
                <w:rFonts w:ascii="Times New Roman" w:hAnsi="Times New Roman" w:eastAsia="Times New Roman" w:cs="Times New Roman"/>
                <w:spacing w:val="-2"/>
                <w:sz w:val="21"/>
                <w:szCs w:val="21"/>
              </w:rPr>
              <w:t>200m</w:t>
            </w:r>
            <w:r>
              <w:rPr>
                <w:rFonts w:ascii="Times New Roman" w:hAnsi="Times New Roman" w:eastAsia="Times New Roman" w:cs="Times New Roman"/>
                <w:spacing w:val="-2"/>
                <w:position w:val="6"/>
                <w:sz w:val="13"/>
                <w:szCs w:val="13"/>
              </w:rPr>
              <w:t>2</w:t>
            </w:r>
            <w:r>
              <w:rPr>
                <w:spacing w:val="-26"/>
                <w:sz w:val="21"/>
                <w:szCs w:val="21"/>
              </w:rPr>
              <w:t>），</w:t>
            </w:r>
            <w:r>
              <w:rPr>
                <w:spacing w:val="-35"/>
                <w:sz w:val="21"/>
                <w:szCs w:val="21"/>
              </w:rPr>
              <w:t xml:space="preserve"> </w:t>
            </w:r>
            <w:r>
              <w:rPr>
                <w:spacing w:val="-2"/>
                <w:sz w:val="21"/>
                <w:szCs w:val="21"/>
              </w:rPr>
              <w:t>其中油罐区占地面积约</w:t>
            </w:r>
            <w:r>
              <w:rPr>
                <w:spacing w:val="-28"/>
                <w:sz w:val="21"/>
                <w:szCs w:val="21"/>
              </w:rPr>
              <w:t xml:space="preserve"> </w:t>
            </w:r>
            <w:r>
              <w:rPr>
                <w:rFonts w:ascii="Times New Roman" w:hAnsi="Times New Roman" w:eastAsia="Times New Roman" w:cs="Times New Roman"/>
                <w:spacing w:val="-2"/>
                <w:sz w:val="21"/>
                <w:szCs w:val="21"/>
              </w:rPr>
              <w:t>100m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6"/>
                <w:position w:val="6"/>
                <w:sz w:val="13"/>
                <w:szCs w:val="13"/>
              </w:rPr>
              <w:t xml:space="preserve"> </w:t>
            </w:r>
            <w:r>
              <w:rPr>
                <w:spacing w:val="-2"/>
                <w:sz w:val="21"/>
                <w:szCs w:val="21"/>
              </w:rPr>
              <w:t>。设置</w:t>
            </w:r>
            <w:r>
              <w:rPr>
                <w:spacing w:val="-27"/>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z w:val="21"/>
                <w:szCs w:val="21"/>
              </w:rPr>
              <w:t xml:space="preserve">  </w:t>
            </w:r>
            <w:r>
              <w:rPr>
                <w:spacing w:val="-7"/>
                <w:sz w:val="21"/>
                <w:szCs w:val="21"/>
              </w:rPr>
              <w:t>个柴油罐，</w:t>
            </w:r>
            <w:r>
              <w:rPr>
                <w:spacing w:val="-22"/>
                <w:sz w:val="21"/>
                <w:szCs w:val="21"/>
              </w:rPr>
              <w:t xml:space="preserve"> </w:t>
            </w:r>
            <w:r>
              <w:rPr>
                <w:spacing w:val="-7"/>
                <w:sz w:val="21"/>
                <w:szCs w:val="21"/>
              </w:rPr>
              <w:t>有效容积</w:t>
            </w:r>
            <w:r>
              <w:rPr>
                <w:spacing w:val="-49"/>
                <w:sz w:val="21"/>
                <w:szCs w:val="21"/>
              </w:rPr>
              <w:t xml:space="preserve"> </w:t>
            </w:r>
            <w:r>
              <w:rPr>
                <w:rFonts w:ascii="Times New Roman" w:hAnsi="Times New Roman" w:eastAsia="Times New Roman" w:cs="Times New Roman"/>
                <w:spacing w:val="-7"/>
                <w:sz w:val="21"/>
                <w:szCs w:val="21"/>
              </w:rPr>
              <w:t>40m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1"/>
                <w:szCs w:val="21"/>
              </w:rPr>
              <w:t>/</w:t>
            </w:r>
            <w:r>
              <w:rPr>
                <w:spacing w:val="-7"/>
                <w:sz w:val="21"/>
                <w:szCs w:val="21"/>
              </w:rPr>
              <w:t>个，地面硬化，</w:t>
            </w:r>
            <w:r>
              <w:rPr>
                <w:spacing w:val="-24"/>
                <w:sz w:val="21"/>
                <w:szCs w:val="21"/>
              </w:rPr>
              <w:t xml:space="preserve"> </w:t>
            </w:r>
            <w:r>
              <w:rPr>
                <w:spacing w:val="-8"/>
                <w:sz w:val="21"/>
                <w:szCs w:val="21"/>
              </w:rPr>
              <w:t>铺设防</w:t>
            </w:r>
            <w:r>
              <w:rPr>
                <w:sz w:val="21"/>
                <w:szCs w:val="21"/>
              </w:rPr>
              <w:t xml:space="preserve"> </w:t>
            </w:r>
            <w:r>
              <w:rPr>
                <w:spacing w:val="-3"/>
                <w:sz w:val="21"/>
                <w:szCs w:val="21"/>
              </w:rPr>
              <w:t xml:space="preserve">渗膜进行重点防渗， 并在柴油罐区四周设不低于 </w:t>
            </w:r>
            <w:r>
              <w:rPr>
                <w:rFonts w:ascii="Times New Roman" w:hAnsi="Times New Roman" w:eastAsia="Times New Roman" w:cs="Times New Roman"/>
                <w:spacing w:val="-2"/>
                <w:sz w:val="21"/>
                <w:szCs w:val="21"/>
              </w:rPr>
              <w:t>0.3m</w:t>
            </w:r>
            <w:r>
              <w:rPr>
                <w:rFonts w:ascii="Times New Roman" w:hAnsi="Times New Roman" w:eastAsia="Times New Roman" w:cs="Times New Roman"/>
                <w:spacing w:val="30"/>
                <w:w w:val="101"/>
                <w:sz w:val="21"/>
                <w:szCs w:val="21"/>
              </w:rPr>
              <w:t xml:space="preserve"> </w:t>
            </w:r>
            <w:r>
              <w:rPr>
                <w:spacing w:val="-2"/>
                <w:sz w:val="21"/>
                <w:szCs w:val="21"/>
              </w:rPr>
              <w:t>的围堰；水罐区占地面积约</w:t>
            </w:r>
            <w:r>
              <w:rPr>
                <w:spacing w:val="-28"/>
                <w:sz w:val="21"/>
                <w:szCs w:val="21"/>
              </w:rPr>
              <w:t xml:space="preserve"> </w:t>
            </w:r>
            <w:r>
              <w:rPr>
                <w:rFonts w:ascii="Times New Roman" w:hAnsi="Times New Roman" w:eastAsia="Times New Roman" w:cs="Times New Roman"/>
                <w:spacing w:val="-2"/>
                <w:sz w:val="21"/>
                <w:szCs w:val="21"/>
              </w:rPr>
              <w:t>100m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1"/>
                <w:szCs w:val="21"/>
              </w:rPr>
              <w:t>，设</w:t>
            </w:r>
            <w:r>
              <w:rPr>
                <w:spacing w:val="-20"/>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个</w:t>
            </w:r>
          </w:p>
          <w:p>
            <w:pPr>
              <w:pStyle w:val="6"/>
              <w:spacing w:before="19" w:line="202" w:lineRule="auto"/>
              <w:ind w:left="1628"/>
              <w:rPr>
                <w:sz w:val="21"/>
                <w:szCs w:val="21"/>
              </w:rPr>
            </w:pPr>
            <w:r>
              <w:rPr>
                <w:rFonts w:ascii="Times New Roman" w:hAnsi="Times New Roman" w:eastAsia="Times New Roman" w:cs="Times New Roman"/>
                <w:spacing w:val="-2"/>
                <w:sz w:val="21"/>
                <w:szCs w:val="21"/>
              </w:rPr>
              <w:t>90m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17"/>
                <w:w w:val="102"/>
                <w:position w:val="6"/>
                <w:sz w:val="13"/>
                <w:szCs w:val="13"/>
              </w:rPr>
              <w:t xml:space="preserve"> </w:t>
            </w:r>
            <w:r>
              <w:rPr>
                <w:spacing w:val="-2"/>
                <w:sz w:val="21"/>
                <w:szCs w:val="21"/>
              </w:rPr>
              <w:t>高架水罐。</w:t>
            </w:r>
          </w:p>
        </w:tc>
        <w:tc>
          <w:tcPr>
            <w:tcW w:w="1807" w:type="dxa"/>
            <w:vAlign w:val="top"/>
          </w:tcPr>
          <w:p>
            <w:pPr>
              <w:pStyle w:val="6"/>
              <w:spacing w:before="170" w:line="221" w:lineRule="auto"/>
              <w:ind w:left="130"/>
              <w:rPr>
                <w:sz w:val="21"/>
                <w:szCs w:val="21"/>
              </w:rPr>
            </w:pPr>
            <w:r>
              <w:rPr>
                <w:spacing w:val="-13"/>
                <w:sz w:val="21"/>
                <w:szCs w:val="21"/>
              </w:rPr>
              <w:t>临时占用土地，地</w:t>
            </w:r>
          </w:p>
          <w:p>
            <w:pPr>
              <w:pStyle w:val="6"/>
              <w:spacing w:before="22" w:line="221" w:lineRule="auto"/>
              <w:ind w:left="117"/>
              <w:rPr>
                <w:sz w:val="21"/>
                <w:szCs w:val="21"/>
              </w:rPr>
            </w:pPr>
            <w:r>
              <w:rPr>
                <w:spacing w:val="-12"/>
                <w:sz w:val="21"/>
                <w:szCs w:val="21"/>
              </w:rPr>
              <w:t>表植被破坏、水土</w:t>
            </w:r>
          </w:p>
          <w:p>
            <w:pPr>
              <w:pStyle w:val="6"/>
              <w:spacing w:before="20" w:line="221" w:lineRule="auto"/>
              <w:ind w:right="7"/>
              <w:jc w:val="right"/>
              <w:rPr>
                <w:sz w:val="21"/>
                <w:szCs w:val="21"/>
              </w:rPr>
            </w:pPr>
            <w:r>
              <w:rPr>
                <w:spacing w:val="-13"/>
                <w:sz w:val="21"/>
                <w:szCs w:val="21"/>
              </w:rPr>
              <w:t>流失； 泄漏污染、</w:t>
            </w:r>
          </w:p>
          <w:p>
            <w:pPr>
              <w:pStyle w:val="6"/>
              <w:spacing w:before="22" w:line="219" w:lineRule="auto"/>
              <w:ind w:left="180"/>
              <w:rPr>
                <w:sz w:val="21"/>
                <w:szCs w:val="21"/>
              </w:rPr>
            </w:pPr>
            <w:r>
              <w:rPr>
                <w:spacing w:val="-1"/>
                <w:sz w:val="21"/>
                <w:szCs w:val="21"/>
              </w:rPr>
              <w:t>火灾爆炸环境风</w:t>
            </w:r>
          </w:p>
          <w:p>
            <w:pPr>
              <w:pStyle w:val="6"/>
              <w:spacing w:before="22" w:line="221" w:lineRule="auto"/>
              <w:ind w:left="610"/>
              <w:rPr>
                <w:sz w:val="21"/>
                <w:szCs w:val="21"/>
              </w:rPr>
            </w:pPr>
            <w:r>
              <w:rPr>
                <w:spacing w:val="-4"/>
                <w:sz w:val="21"/>
                <w:szCs w:val="21"/>
              </w:rPr>
              <w:t>险影响</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173" w:line="221" w:lineRule="auto"/>
              <w:ind w:left="110"/>
              <w:rPr>
                <w:sz w:val="21"/>
                <w:szCs w:val="21"/>
              </w:rPr>
            </w:pPr>
            <w:r>
              <w:rPr>
                <w:spacing w:val="-2"/>
                <w:sz w:val="21"/>
                <w:szCs w:val="21"/>
              </w:rPr>
              <w:t>酸化液储藏罐</w:t>
            </w:r>
          </w:p>
        </w:tc>
        <w:tc>
          <w:tcPr>
            <w:tcW w:w="4772" w:type="dxa"/>
            <w:vAlign w:val="top"/>
          </w:tcPr>
          <w:p>
            <w:pPr>
              <w:pStyle w:val="6"/>
              <w:spacing w:before="38" w:line="220" w:lineRule="auto"/>
              <w:ind w:left="1448" w:right="119" w:hanging="1316"/>
              <w:rPr>
                <w:sz w:val="21"/>
                <w:szCs w:val="21"/>
              </w:rPr>
            </w:pPr>
            <w:r>
              <w:rPr>
                <w:spacing w:val="-5"/>
                <w:sz w:val="21"/>
                <w:szCs w:val="21"/>
              </w:rPr>
              <w:t>在清洁生产平台内设</w:t>
            </w:r>
            <w:r>
              <w:rPr>
                <w:spacing w:val="-39"/>
                <w:sz w:val="21"/>
                <w:szCs w:val="21"/>
              </w:rPr>
              <w:t xml:space="preserve"> </w:t>
            </w:r>
            <w:r>
              <w:rPr>
                <w:rFonts w:ascii="Times New Roman" w:hAnsi="Times New Roman" w:eastAsia="Times New Roman" w:cs="Times New Roman"/>
                <w:spacing w:val="-5"/>
                <w:sz w:val="21"/>
                <w:szCs w:val="21"/>
              </w:rPr>
              <w:t xml:space="preserve">2 </w:t>
            </w:r>
            <w:r>
              <w:rPr>
                <w:spacing w:val="-5"/>
                <w:sz w:val="21"/>
                <w:szCs w:val="21"/>
              </w:rPr>
              <w:t>个</w:t>
            </w:r>
            <w:r>
              <w:rPr>
                <w:spacing w:val="-44"/>
                <w:sz w:val="21"/>
                <w:szCs w:val="21"/>
              </w:rPr>
              <w:t xml:space="preserve"> </w:t>
            </w:r>
            <w:r>
              <w:rPr>
                <w:rFonts w:ascii="Times New Roman" w:hAnsi="Times New Roman" w:eastAsia="Times New Roman" w:cs="Times New Roman"/>
                <w:spacing w:val="-5"/>
                <w:sz w:val="21"/>
                <w:szCs w:val="21"/>
              </w:rPr>
              <w:t>50m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5"/>
                <w:w w:val="101"/>
                <w:position w:val="6"/>
                <w:sz w:val="13"/>
                <w:szCs w:val="13"/>
              </w:rPr>
              <w:t xml:space="preserve"> </w:t>
            </w:r>
            <w:r>
              <w:rPr>
                <w:spacing w:val="-5"/>
                <w:sz w:val="21"/>
                <w:szCs w:val="21"/>
              </w:rPr>
              <w:t>玻璃钢罐，</w:t>
            </w:r>
            <w:r>
              <w:rPr>
                <w:spacing w:val="-22"/>
                <w:sz w:val="21"/>
                <w:szCs w:val="21"/>
              </w:rPr>
              <w:t xml:space="preserve"> </w:t>
            </w:r>
            <w:r>
              <w:rPr>
                <w:spacing w:val="-5"/>
                <w:sz w:val="21"/>
                <w:szCs w:val="21"/>
              </w:rPr>
              <w:t>酸化前</w:t>
            </w:r>
            <w:r>
              <w:rPr>
                <w:sz w:val="21"/>
                <w:szCs w:val="21"/>
              </w:rPr>
              <w:t xml:space="preserve"> </w:t>
            </w:r>
            <w:r>
              <w:rPr>
                <w:spacing w:val="-1"/>
                <w:sz w:val="21"/>
                <w:szCs w:val="21"/>
              </w:rPr>
              <w:t>三天运至现场暂存。</w:t>
            </w:r>
          </w:p>
        </w:tc>
        <w:tc>
          <w:tcPr>
            <w:tcW w:w="180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9" w:line="233" w:lineRule="auto"/>
              <w:ind w:left="117" w:right="95" w:firstLine="12"/>
              <w:jc w:val="both"/>
              <w:rPr>
                <w:sz w:val="21"/>
                <w:szCs w:val="21"/>
              </w:rPr>
            </w:pPr>
            <w:r>
              <w:rPr>
                <w:spacing w:val="-13"/>
                <w:sz w:val="21"/>
                <w:szCs w:val="21"/>
              </w:rPr>
              <w:t>临时占用土地，地</w:t>
            </w:r>
            <w:r>
              <w:rPr>
                <w:sz w:val="21"/>
                <w:szCs w:val="21"/>
              </w:rPr>
              <w:t xml:space="preserve"> </w:t>
            </w:r>
            <w:r>
              <w:rPr>
                <w:spacing w:val="-12"/>
                <w:sz w:val="21"/>
                <w:szCs w:val="21"/>
              </w:rPr>
              <w:t>表植被破坏、水土</w:t>
            </w:r>
            <w:r>
              <w:rPr>
                <w:spacing w:val="3"/>
                <w:sz w:val="21"/>
                <w:szCs w:val="21"/>
              </w:rPr>
              <w:t xml:space="preserve"> </w:t>
            </w:r>
            <w:r>
              <w:rPr>
                <w:spacing w:val="-11"/>
                <w:sz w:val="21"/>
                <w:szCs w:val="21"/>
              </w:rPr>
              <w:t>流失；</w:t>
            </w:r>
            <w:r>
              <w:rPr>
                <w:spacing w:val="27"/>
                <w:sz w:val="21"/>
                <w:szCs w:val="21"/>
              </w:rPr>
              <w:t xml:space="preserve"> </w:t>
            </w:r>
            <w:r>
              <w:rPr>
                <w:spacing w:val="-11"/>
                <w:sz w:val="21"/>
                <w:szCs w:val="21"/>
              </w:rPr>
              <w:t>泄漏污染</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176" w:line="221" w:lineRule="auto"/>
              <w:ind w:left="111"/>
              <w:rPr>
                <w:sz w:val="21"/>
                <w:szCs w:val="21"/>
              </w:rPr>
            </w:pPr>
            <w:r>
              <w:rPr>
                <w:spacing w:val="-2"/>
                <w:sz w:val="21"/>
                <w:szCs w:val="21"/>
              </w:rPr>
              <w:t>泥浆储备罐区</w:t>
            </w:r>
          </w:p>
        </w:tc>
        <w:tc>
          <w:tcPr>
            <w:tcW w:w="4772" w:type="dxa"/>
            <w:vAlign w:val="top"/>
          </w:tcPr>
          <w:p>
            <w:pPr>
              <w:pStyle w:val="6"/>
              <w:spacing w:before="40" w:line="219" w:lineRule="auto"/>
              <w:ind w:left="1011" w:right="119" w:hanging="876"/>
              <w:rPr>
                <w:sz w:val="21"/>
                <w:szCs w:val="21"/>
              </w:rPr>
            </w:pPr>
            <w:r>
              <w:rPr>
                <w:spacing w:val="-9"/>
                <w:sz w:val="21"/>
                <w:szCs w:val="21"/>
              </w:rPr>
              <w:t>位于井场外西侧， 设泥浆储备罐</w:t>
            </w:r>
            <w:r>
              <w:rPr>
                <w:spacing w:val="-26"/>
                <w:sz w:val="21"/>
                <w:szCs w:val="21"/>
              </w:rPr>
              <w:t xml:space="preserve"> </w:t>
            </w:r>
            <w:r>
              <w:rPr>
                <w:rFonts w:ascii="Times New Roman" w:hAnsi="Times New Roman" w:eastAsia="Times New Roman" w:cs="Times New Roman"/>
                <w:spacing w:val="-9"/>
                <w:sz w:val="21"/>
                <w:szCs w:val="21"/>
              </w:rPr>
              <w:t xml:space="preserve">10 </w:t>
            </w:r>
            <w:r>
              <w:rPr>
                <w:spacing w:val="-9"/>
                <w:sz w:val="21"/>
                <w:szCs w:val="21"/>
              </w:rPr>
              <w:t>个，</w:t>
            </w:r>
            <w:r>
              <w:rPr>
                <w:spacing w:val="-25"/>
                <w:sz w:val="21"/>
                <w:szCs w:val="21"/>
              </w:rPr>
              <w:t xml:space="preserve"> </w:t>
            </w:r>
            <w:r>
              <w:rPr>
                <w:spacing w:val="-9"/>
                <w:sz w:val="21"/>
                <w:szCs w:val="21"/>
              </w:rPr>
              <w:t>每个容积</w:t>
            </w:r>
            <w:r>
              <w:rPr>
                <w:sz w:val="21"/>
                <w:szCs w:val="21"/>
              </w:rPr>
              <w:t xml:space="preserve"> </w:t>
            </w:r>
            <w:r>
              <w:rPr>
                <w:rFonts w:ascii="Times New Roman" w:hAnsi="Times New Roman" w:eastAsia="Times New Roman" w:cs="Times New Roman"/>
                <w:spacing w:val="-2"/>
                <w:sz w:val="21"/>
                <w:szCs w:val="21"/>
              </w:rPr>
              <w:t>20m</w:t>
            </w:r>
            <w:r>
              <w:rPr>
                <w:rFonts w:ascii="Times New Roman" w:hAnsi="Times New Roman" w:eastAsia="Times New Roman" w:cs="Times New Roman"/>
                <w:spacing w:val="-2"/>
                <w:position w:val="6"/>
                <w:sz w:val="13"/>
                <w:szCs w:val="13"/>
              </w:rPr>
              <w:t xml:space="preserve">3 </w:t>
            </w:r>
            <w:r>
              <w:rPr>
                <w:spacing w:val="-2"/>
                <w:sz w:val="21"/>
                <w:szCs w:val="21"/>
              </w:rPr>
              <w:t>；用于存储压井重泥浆。</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spacing w:line="241" w:lineRule="auto"/>
              <w:rPr>
                <w:rFonts w:ascii="Arial"/>
                <w:sz w:val="21"/>
              </w:rPr>
            </w:pPr>
          </w:p>
          <w:p>
            <w:pPr>
              <w:pStyle w:val="6"/>
              <w:spacing w:before="68" w:line="223" w:lineRule="auto"/>
              <w:ind w:left="424"/>
              <w:rPr>
                <w:sz w:val="21"/>
                <w:szCs w:val="21"/>
              </w:rPr>
            </w:pPr>
            <w:r>
              <w:rPr>
                <w:spacing w:val="-2"/>
                <w:sz w:val="21"/>
                <w:szCs w:val="21"/>
              </w:rPr>
              <w:t>应急池</w:t>
            </w:r>
          </w:p>
        </w:tc>
        <w:tc>
          <w:tcPr>
            <w:tcW w:w="4772" w:type="dxa"/>
            <w:vAlign w:val="top"/>
          </w:tcPr>
          <w:p>
            <w:pPr>
              <w:pStyle w:val="6"/>
              <w:spacing w:before="39" w:line="221" w:lineRule="auto"/>
              <w:ind w:left="140"/>
              <w:rPr>
                <w:sz w:val="21"/>
                <w:szCs w:val="21"/>
              </w:rPr>
            </w:pPr>
            <w:r>
              <w:rPr>
                <w:rFonts w:ascii="Times New Roman" w:hAnsi="Times New Roman" w:eastAsia="Times New Roman" w:cs="Times New Roman"/>
                <w:spacing w:val="-14"/>
                <w:sz w:val="21"/>
                <w:szCs w:val="21"/>
              </w:rPr>
              <w:t>1</w:t>
            </w:r>
            <w:r>
              <w:rPr>
                <w:rFonts w:ascii="Times New Roman" w:hAnsi="Times New Roman" w:eastAsia="Times New Roman" w:cs="Times New Roman"/>
                <w:spacing w:val="24"/>
                <w:w w:val="101"/>
                <w:sz w:val="21"/>
                <w:szCs w:val="21"/>
              </w:rPr>
              <w:t xml:space="preserve"> </w:t>
            </w:r>
            <w:r>
              <w:rPr>
                <w:spacing w:val="-14"/>
                <w:sz w:val="21"/>
                <w:szCs w:val="21"/>
              </w:rPr>
              <w:t>座，</w:t>
            </w:r>
            <w:r>
              <w:rPr>
                <w:spacing w:val="-24"/>
                <w:sz w:val="21"/>
                <w:szCs w:val="21"/>
              </w:rPr>
              <w:t xml:space="preserve"> </w:t>
            </w:r>
            <w:r>
              <w:rPr>
                <w:spacing w:val="-14"/>
                <w:sz w:val="21"/>
                <w:szCs w:val="21"/>
              </w:rPr>
              <w:t>容积</w:t>
            </w:r>
            <w:r>
              <w:rPr>
                <w:spacing w:val="-45"/>
                <w:sz w:val="21"/>
                <w:szCs w:val="21"/>
              </w:rPr>
              <w:t xml:space="preserve"> </w:t>
            </w:r>
            <w:r>
              <w:rPr>
                <w:rFonts w:ascii="Times New Roman" w:hAnsi="Times New Roman" w:eastAsia="Times New Roman" w:cs="Times New Roman"/>
                <w:spacing w:val="-14"/>
                <w:sz w:val="21"/>
                <w:szCs w:val="21"/>
              </w:rPr>
              <w:t>500m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7"/>
                <w:position w:val="6"/>
                <w:sz w:val="13"/>
                <w:szCs w:val="13"/>
              </w:rPr>
              <w:t xml:space="preserve"> </w:t>
            </w:r>
            <w:r>
              <w:rPr>
                <w:spacing w:val="-2"/>
                <w:sz w:val="21"/>
                <w:szCs w:val="21"/>
              </w:rPr>
              <w:t>，为钢筋混凝土结构，位于井场</w:t>
            </w:r>
          </w:p>
          <w:p>
            <w:pPr>
              <w:pStyle w:val="6"/>
              <w:spacing w:before="20" w:line="219" w:lineRule="auto"/>
              <w:ind w:left="1879" w:right="98" w:hanging="1762"/>
              <w:rPr>
                <w:sz w:val="21"/>
                <w:szCs w:val="21"/>
              </w:rPr>
            </w:pPr>
            <w:r>
              <w:rPr>
                <w:spacing w:val="-4"/>
                <w:sz w:val="21"/>
                <w:szCs w:val="21"/>
              </w:rPr>
              <w:t>外南侧，事故状态下作为应急池，完钻后作为废水</w:t>
            </w:r>
            <w:r>
              <w:rPr>
                <w:spacing w:val="17"/>
                <w:sz w:val="21"/>
                <w:szCs w:val="21"/>
              </w:rPr>
              <w:t xml:space="preserve"> </w:t>
            </w:r>
            <w:r>
              <w:rPr>
                <w:spacing w:val="-4"/>
                <w:sz w:val="21"/>
                <w:szCs w:val="21"/>
              </w:rPr>
              <w:t>临时储存。</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76" w:line="222" w:lineRule="auto"/>
              <w:ind w:left="436"/>
              <w:rPr>
                <w:sz w:val="21"/>
                <w:szCs w:val="21"/>
              </w:rPr>
            </w:pPr>
            <w:r>
              <w:rPr>
                <w:spacing w:val="-4"/>
                <w:sz w:val="21"/>
                <w:szCs w:val="21"/>
              </w:rPr>
              <w:t>隔油池</w:t>
            </w:r>
          </w:p>
        </w:tc>
        <w:tc>
          <w:tcPr>
            <w:tcW w:w="4772" w:type="dxa"/>
            <w:vAlign w:val="top"/>
          </w:tcPr>
          <w:p>
            <w:pPr>
              <w:pStyle w:val="6"/>
              <w:spacing w:before="76" w:line="221" w:lineRule="auto"/>
              <w:ind w:left="205"/>
              <w:rPr>
                <w:sz w:val="21"/>
                <w:szCs w:val="21"/>
              </w:rPr>
            </w:pPr>
            <w:r>
              <w:rPr>
                <w:spacing w:val="-2"/>
                <w:sz w:val="21"/>
                <w:szCs w:val="21"/>
              </w:rPr>
              <w:t>井场内设</w:t>
            </w:r>
            <w:r>
              <w:rPr>
                <w:spacing w:val="-48"/>
                <w:sz w:val="21"/>
                <w:szCs w:val="21"/>
              </w:rPr>
              <w:t xml:space="preserve"> </w:t>
            </w:r>
            <w:r>
              <w:rPr>
                <w:rFonts w:ascii="Times New Roman" w:hAnsi="Times New Roman" w:eastAsia="Times New Roman" w:cs="Times New Roman"/>
                <w:spacing w:val="-2"/>
                <w:sz w:val="21"/>
                <w:szCs w:val="21"/>
              </w:rPr>
              <w:t xml:space="preserve">4 </w:t>
            </w:r>
            <w:r>
              <w:rPr>
                <w:spacing w:val="-2"/>
                <w:sz w:val="21"/>
                <w:szCs w:val="21"/>
              </w:rPr>
              <w:t>座</w:t>
            </w:r>
            <w:r>
              <w:rPr>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3"/>
                <w:w w:val="101"/>
                <w:sz w:val="21"/>
                <w:szCs w:val="21"/>
              </w:rPr>
              <w:t xml:space="preserve"> </w:t>
            </w:r>
            <w:r>
              <w:rPr>
                <w:spacing w:val="-2"/>
                <w:sz w:val="21"/>
                <w:szCs w:val="21"/>
              </w:rPr>
              <w:t>型隔油池（有效容积</w:t>
            </w:r>
            <w:r>
              <w:rPr>
                <w:spacing w:val="-49"/>
                <w:sz w:val="21"/>
                <w:szCs w:val="21"/>
              </w:rPr>
              <w:t xml:space="preserve"> </w:t>
            </w:r>
            <w:r>
              <w:rPr>
                <w:rFonts w:ascii="Times New Roman" w:hAnsi="Times New Roman" w:eastAsia="Times New Roman" w:cs="Times New Roman"/>
                <w:spacing w:val="-2"/>
                <w:sz w:val="21"/>
                <w:szCs w:val="21"/>
              </w:rPr>
              <w:t>4.5</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position w:val="6"/>
                <w:sz w:val="13"/>
                <w:szCs w:val="13"/>
              </w:rPr>
              <w:t xml:space="preserve">3 </w:t>
            </w:r>
            <w:r>
              <w:rPr>
                <w:spacing w:val="-3"/>
                <w:sz w:val="21"/>
                <w:szCs w:val="21"/>
              </w:rPr>
              <w:t>）。</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177" w:line="221" w:lineRule="auto"/>
              <w:ind w:left="424"/>
              <w:rPr>
                <w:sz w:val="21"/>
                <w:szCs w:val="21"/>
              </w:rPr>
            </w:pPr>
            <w:r>
              <w:rPr>
                <w:spacing w:val="-2"/>
                <w:sz w:val="21"/>
                <w:szCs w:val="21"/>
              </w:rPr>
              <w:t>集水坑</w:t>
            </w:r>
          </w:p>
        </w:tc>
        <w:tc>
          <w:tcPr>
            <w:tcW w:w="4772" w:type="dxa"/>
            <w:vAlign w:val="top"/>
          </w:tcPr>
          <w:p>
            <w:pPr>
              <w:pStyle w:val="6"/>
              <w:spacing w:before="40" w:line="219" w:lineRule="auto"/>
              <w:ind w:left="533" w:right="98" w:hanging="420"/>
              <w:rPr>
                <w:sz w:val="21"/>
                <w:szCs w:val="21"/>
              </w:rPr>
            </w:pPr>
            <w:r>
              <w:rPr>
                <w:spacing w:val="-4"/>
                <w:sz w:val="21"/>
                <w:szCs w:val="21"/>
              </w:rPr>
              <w:t>井场内设备区设</w:t>
            </w:r>
            <w:r>
              <w:rPr>
                <w:spacing w:val="-42"/>
                <w:sz w:val="21"/>
                <w:szCs w:val="21"/>
              </w:rPr>
              <w:t xml:space="preserve"> </w:t>
            </w:r>
            <w:r>
              <w:rPr>
                <w:rFonts w:ascii="Times New Roman" w:hAnsi="Times New Roman" w:eastAsia="Times New Roman" w:cs="Times New Roman"/>
                <w:spacing w:val="-4"/>
                <w:sz w:val="21"/>
                <w:szCs w:val="21"/>
              </w:rPr>
              <w:t xml:space="preserve">5 </w:t>
            </w:r>
            <w:r>
              <w:rPr>
                <w:spacing w:val="-4"/>
                <w:sz w:val="21"/>
                <w:szCs w:val="21"/>
              </w:rPr>
              <w:t>座</w:t>
            </w:r>
            <w:r>
              <w:rPr>
                <w:spacing w:val="-45"/>
                <w:sz w:val="21"/>
                <w:szCs w:val="21"/>
              </w:rPr>
              <w:t xml:space="preserve"> </w:t>
            </w:r>
            <w:r>
              <w:rPr>
                <w:rFonts w:ascii="Times New Roman" w:hAnsi="Times New Roman" w:eastAsia="Times New Roman" w:cs="Times New Roman"/>
                <w:spacing w:val="-4"/>
                <w:sz w:val="21"/>
                <w:szCs w:val="21"/>
              </w:rPr>
              <w:t xml:space="preserve">0.3m×0.3m×0.3m </w:t>
            </w:r>
            <w:r>
              <w:rPr>
                <w:spacing w:val="-4"/>
                <w:sz w:val="21"/>
                <w:szCs w:val="21"/>
              </w:rPr>
              <w:t>集</w:t>
            </w:r>
            <w:r>
              <w:rPr>
                <w:spacing w:val="-5"/>
                <w:sz w:val="21"/>
                <w:szCs w:val="21"/>
              </w:rPr>
              <w:t>水坑； 方</w:t>
            </w:r>
            <w:r>
              <w:rPr>
                <w:sz w:val="21"/>
                <w:szCs w:val="21"/>
              </w:rPr>
              <w:t xml:space="preserve"> </w:t>
            </w:r>
            <w:r>
              <w:rPr>
                <w:spacing w:val="-2"/>
                <w:sz w:val="21"/>
                <w:szCs w:val="21"/>
              </w:rPr>
              <w:t>井内设置</w:t>
            </w:r>
            <w:r>
              <w:rPr>
                <w:spacing w:val="-13"/>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个</w:t>
            </w:r>
            <w:r>
              <w:rPr>
                <w:spacing w:val="-45"/>
                <w:sz w:val="21"/>
                <w:szCs w:val="21"/>
              </w:rPr>
              <w:t xml:space="preserve"> </w:t>
            </w:r>
            <w:r>
              <w:rPr>
                <w:rFonts w:ascii="Times New Roman" w:hAnsi="Times New Roman" w:eastAsia="Times New Roman" w:cs="Times New Roman"/>
                <w:spacing w:val="-2"/>
                <w:sz w:val="21"/>
                <w:szCs w:val="21"/>
              </w:rPr>
              <w:t xml:space="preserve">0.5m×0.5m×0.5m </w:t>
            </w:r>
            <w:r>
              <w:rPr>
                <w:spacing w:val="-2"/>
                <w:sz w:val="21"/>
                <w:szCs w:val="21"/>
              </w:rPr>
              <w:t>集水坑。</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77" w:line="221" w:lineRule="auto"/>
              <w:ind w:left="424"/>
              <w:rPr>
                <w:sz w:val="21"/>
                <w:szCs w:val="21"/>
              </w:rPr>
            </w:pPr>
            <w:r>
              <w:rPr>
                <w:spacing w:val="-2"/>
                <w:sz w:val="21"/>
                <w:szCs w:val="21"/>
              </w:rPr>
              <w:t>集酸池</w:t>
            </w:r>
          </w:p>
        </w:tc>
        <w:tc>
          <w:tcPr>
            <w:tcW w:w="4772" w:type="dxa"/>
            <w:vAlign w:val="top"/>
          </w:tcPr>
          <w:p>
            <w:pPr>
              <w:pStyle w:val="6"/>
              <w:spacing w:before="77" w:line="226" w:lineRule="auto"/>
              <w:ind w:left="261"/>
              <w:rPr>
                <w:sz w:val="21"/>
                <w:szCs w:val="21"/>
              </w:rPr>
            </w:pPr>
            <w:r>
              <w:rPr>
                <w:spacing w:val="-5"/>
                <w:sz w:val="21"/>
                <w:szCs w:val="21"/>
              </w:rPr>
              <w:t>共</w:t>
            </w:r>
            <w:r>
              <w:rPr>
                <w:spacing w:val="-40"/>
                <w:sz w:val="21"/>
                <w:szCs w:val="21"/>
              </w:rPr>
              <w:t xml:space="preserve"> </w:t>
            </w:r>
            <w:r>
              <w:rPr>
                <w:rFonts w:ascii="Times New Roman" w:hAnsi="Times New Roman" w:eastAsia="Times New Roman" w:cs="Times New Roman"/>
                <w:spacing w:val="-5"/>
                <w:sz w:val="21"/>
                <w:szCs w:val="21"/>
              </w:rPr>
              <w:t xml:space="preserve">2 </w:t>
            </w:r>
            <w:r>
              <w:rPr>
                <w:spacing w:val="-5"/>
                <w:sz w:val="21"/>
                <w:szCs w:val="21"/>
              </w:rPr>
              <w:t>座，</w:t>
            </w:r>
            <w:r>
              <w:rPr>
                <w:spacing w:val="-29"/>
                <w:sz w:val="21"/>
                <w:szCs w:val="21"/>
              </w:rPr>
              <w:t xml:space="preserve"> </w:t>
            </w:r>
            <w:r>
              <w:rPr>
                <w:rFonts w:ascii="Times New Roman" w:hAnsi="Times New Roman" w:eastAsia="Times New Roman" w:cs="Times New Roman"/>
                <w:spacing w:val="-5"/>
                <w:sz w:val="21"/>
                <w:szCs w:val="21"/>
              </w:rPr>
              <w:t xml:space="preserve">2 </w:t>
            </w:r>
            <w:r>
              <w:rPr>
                <w:spacing w:val="-5"/>
                <w:sz w:val="21"/>
                <w:szCs w:val="21"/>
              </w:rPr>
              <w:t>座燃烧池旁各设</w:t>
            </w:r>
            <w:r>
              <w:rPr>
                <w:spacing w:val="-28"/>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座</w:t>
            </w:r>
            <w:r>
              <w:rPr>
                <w:spacing w:val="-48"/>
                <w:sz w:val="21"/>
                <w:szCs w:val="21"/>
              </w:rPr>
              <w:t xml:space="preserve"> </w:t>
            </w:r>
            <w:r>
              <w:rPr>
                <w:rFonts w:ascii="Times New Roman" w:hAnsi="Times New Roman" w:eastAsia="Times New Roman" w:cs="Times New Roman"/>
                <w:spacing w:val="-5"/>
                <w:sz w:val="21"/>
                <w:szCs w:val="21"/>
              </w:rPr>
              <w:t>20m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w w:val="102"/>
                <w:position w:val="6"/>
                <w:sz w:val="13"/>
                <w:szCs w:val="13"/>
              </w:rPr>
              <w:t xml:space="preserve"> </w:t>
            </w:r>
            <w:r>
              <w:rPr>
                <w:spacing w:val="-5"/>
                <w:sz w:val="21"/>
                <w:szCs w:val="21"/>
              </w:rPr>
              <w:t>集酸池。</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178" w:line="221" w:lineRule="auto"/>
              <w:ind w:left="424"/>
              <w:rPr>
                <w:sz w:val="21"/>
                <w:szCs w:val="21"/>
              </w:rPr>
            </w:pPr>
            <w:r>
              <w:rPr>
                <w:spacing w:val="-2"/>
                <w:sz w:val="21"/>
                <w:szCs w:val="21"/>
              </w:rPr>
              <w:t>集液池</w:t>
            </w:r>
          </w:p>
        </w:tc>
        <w:tc>
          <w:tcPr>
            <w:tcW w:w="4772" w:type="dxa"/>
            <w:vAlign w:val="top"/>
          </w:tcPr>
          <w:p>
            <w:pPr>
              <w:pStyle w:val="6"/>
              <w:spacing w:before="43" w:line="218" w:lineRule="auto"/>
              <w:ind w:left="1570" w:right="96" w:hanging="1458"/>
              <w:rPr>
                <w:sz w:val="21"/>
                <w:szCs w:val="21"/>
              </w:rPr>
            </w:pPr>
            <w:r>
              <w:rPr>
                <w:spacing w:val="-9"/>
                <w:sz w:val="21"/>
                <w:szCs w:val="21"/>
              </w:rPr>
              <w:t>共</w:t>
            </w:r>
            <w:r>
              <w:rPr>
                <w:spacing w:val="-40"/>
                <w:sz w:val="21"/>
                <w:szCs w:val="21"/>
              </w:rPr>
              <w:t xml:space="preserve"> </w:t>
            </w:r>
            <w:r>
              <w:rPr>
                <w:rFonts w:ascii="Times New Roman" w:hAnsi="Times New Roman" w:eastAsia="Times New Roman" w:cs="Times New Roman"/>
                <w:spacing w:val="-9"/>
                <w:sz w:val="21"/>
                <w:szCs w:val="21"/>
              </w:rPr>
              <w:t xml:space="preserve">3 </w:t>
            </w:r>
            <w:r>
              <w:rPr>
                <w:spacing w:val="-9"/>
                <w:sz w:val="21"/>
                <w:szCs w:val="21"/>
              </w:rPr>
              <w:t>个；</w:t>
            </w:r>
            <w:r>
              <w:rPr>
                <w:spacing w:val="-23"/>
                <w:sz w:val="21"/>
                <w:szCs w:val="21"/>
              </w:rPr>
              <w:t xml:space="preserve"> </w:t>
            </w:r>
            <w:r>
              <w:rPr>
                <w:spacing w:val="-9"/>
                <w:sz w:val="21"/>
                <w:szCs w:val="21"/>
              </w:rPr>
              <w:t>油罐、泥浆储备罐、</w:t>
            </w:r>
            <w:r>
              <w:rPr>
                <w:spacing w:val="-28"/>
                <w:sz w:val="21"/>
                <w:szCs w:val="21"/>
              </w:rPr>
              <w:t xml:space="preserve"> </w:t>
            </w:r>
            <w:r>
              <w:rPr>
                <w:spacing w:val="-9"/>
                <w:sz w:val="21"/>
                <w:szCs w:val="21"/>
              </w:rPr>
              <w:t>危废暂存间处各设</w:t>
            </w:r>
            <w:r>
              <w:rPr>
                <w:spacing w:val="-28"/>
                <w:sz w:val="21"/>
                <w:szCs w:val="21"/>
              </w:rPr>
              <w:t xml:space="preserve"> </w:t>
            </w:r>
            <w:r>
              <w:rPr>
                <w:rFonts w:ascii="Times New Roman" w:hAnsi="Times New Roman" w:eastAsia="Times New Roman" w:cs="Times New Roman"/>
                <w:spacing w:val="-9"/>
                <w:sz w:val="21"/>
                <w:szCs w:val="21"/>
              </w:rPr>
              <w:t>1</w:t>
            </w:r>
            <w:r>
              <w:rPr>
                <w:rFonts w:ascii="Times New Roman" w:hAnsi="Times New Roman" w:eastAsia="Times New Roman" w:cs="Times New Roman"/>
                <w:sz w:val="21"/>
                <w:szCs w:val="21"/>
              </w:rPr>
              <w:t xml:space="preserve"> </w:t>
            </w:r>
            <w:r>
              <w:rPr>
                <w:spacing w:val="-4"/>
                <w:sz w:val="21"/>
                <w:szCs w:val="21"/>
              </w:rPr>
              <w:t>个</w:t>
            </w:r>
            <w:r>
              <w:rPr>
                <w:spacing w:val="-49"/>
                <w:sz w:val="21"/>
                <w:szCs w:val="21"/>
              </w:rPr>
              <w:t xml:space="preserve"> </w:t>
            </w:r>
            <w:r>
              <w:rPr>
                <w:rFonts w:ascii="Times New Roman" w:hAnsi="Times New Roman" w:eastAsia="Times New Roman" w:cs="Times New Roman"/>
                <w:spacing w:val="-4"/>
                <w:sz w:val="21"/>
                <w:szCs w:val="21"/>
              </w:rPr>
              <w:t>4m³</w:t>
            </w:r>
            <w:r>
              <w:rPr>
                <w:spacing w:val="-4"/>
                <w:sz w:val="21"/>
                <w:szCs w:val="21"/>
              </w:rPr>
              <w:t>的集液池；</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1475" w:type="dxa"/>
            <w:gridSpan w:val="2"/>
            <w:vAlign w:val="top"/>
          </w:tcPr>
          <w:p>
            <w:pPr>
              <w:pStyle w:val="6"/>
              <w:spacing w:before="179" w:line="221" w:lineRule="auto"/>
              <w:ind w:left="424"/>
              <w:rPr>
                <w:sz w:val="21"/>
                <w:szCs w:val="21"/>
              </w:rPr>
            </w:pPr>
            <w:r>
              <w:rPr>
                <w:spacing w:val="-2"/>
                <w:sz w:val="21"/>
                <w:szCs w:val="21"/>
              </w:rPr>
              <w:t>排水沟</w:t>
            </w:r>
          </w:p>
        </w:tc>
        <w:tc>
          <w:tcPr>
            <w:tcW w:w="4772" w:type="dxa"/>
            <w:vAlign w:val="top"/>
          </w:tcPr>
          <w:p>
            <w:pPr>
              <w:pStyle w:val="6"/>
              <w:spacing w:before="43" w:line="218" w:lineRule="auto"/>
              <w:ind w:left="1110" w:right="98" w:hanging="998"/>
              <w:rPr>
                <w:sz w:val="21"/>
                <w:szCs w:val="21"/>
              </w:rPr>
            </w:pPr>
            <w:r>
              <w:rPr>
                <w:spacing w:val="-5"/>
                <w:sz w:val="21"/>
                <w:szCs w:val="21"/>
              </w:rPr>
              <w:t>场内排水沟长</w:t>
            </w:r>
            <w:r>
              <w:rPr>
                <w:spacing w:val="-38"/>
                <w:sz w:val="21"/>
                <w:szCs w:val="21"/>
              </w:rPr>
              <w:t xml:space="preserve"> </w:t>
            </w:r>
            <w:r>
              <w:rPr>
                <w:rFonts w:ascii="Times New Roman" w:hAnsi="Times New Roman" w:eastAsia="Times New Roman" w:cs="Times New Roman"/>
                <w:spacing w:val="-5"/>
                <w:sz w:val="21"/>
                <w:szCs w:val="21"/>
              </w:rPr>
              <w:t>312m×</w:t>
            </w:r>
            <w:r>
              <w:rPr>
                <w:spacing w:val="-5"/>
                <w:sz w:val="21"/>
                <w:szCs w:val="21"/>
              </w:rPr>
              <w:t>宽</w:t>
            </w:r>
            <w:r>
              <w:rPr>
                <w:spacing w:val="-45"/>
                <w:sz w:val="21"/>
                <w:szCs w:val="21"/>
              </w:rPr>
              <w:t xml:space="preserve"> </w:t>
            </w:r>
            <w:r>
              <w:rPr>
                <w:rFonts w:ascii="Times New Roman" w:hAnsi="Times New Roman" w:eastAsia="Times New Roman" w:cs="Times New Roman"/>
                <w:spacing w:val="-5"/>
                <w:sz w:val="21"/>
                <w:szCs w:val="21"/>
              </w:rPr>
              <w:t>0.4m×</w:t>
            </w:r>
            <w:r>
              <w:rPr>
                <w:spacing w:val="-5"/>
                <w:sz w:val="21"/>
                <w:szCs w:val="21"/>
              </w:rPr>
              <w:t>高</w:t>
            </w:r>
            <w:r>
              <w:rPr>
                <w:spacing w:val="-44"/>
                <w:sz w:val="21"/>
                <w:szCs w:val="21"/>
              </w:rPr>
              <w:t xml:space="preserve"> </w:t>
            </w:r>
            <w:r>
              <w:rPr>
                <w:rFonts w:ascii="Times New Roman" w:hAnsi="Times New Roman" w:eastAsia="Times New Roman" w:cs="Times New Roman"/>
                <w:spacing w:val="-5"/>
                <w:sz w:val="21"/>
                <w:szCs w:val="21"/>
              </w:rPr>
              <w:t>0.3m</w:t>
            </w:r>
            <w:r>
              <w:rPr>
                <w:spacing w:val="-5"/>
                <w:sz w:val="21"/>
                <w:szCs w:val="21"/>
              </w:rPr>
              <w:t>，场外排水沟</w:t>
            </w:r>
            <w:r>
              <w:rPr>
                <w:sz w:val="21"/>
                <w:szCs w:val="21"/>
              </w:rPr>
              <w:t xml:space="preserve"> </w:t>
            </w:r>
            <w:r>
              <w:rPr>
                <w:spacing w:val="-3"/>
                <w:sz w:val="21"/>
                <w:szCs w:val="21"/>
              </w:rPr>
              <w:t>长</w:t>
            </w:r>
            <w:r>
              <w:rPr>
                <w:spacing w:val="-19"/>
                <w:sz w:val="21"/>
                <w:szCs w:val="21"/>
              </w:rPr>
              <w:t xml:space="preserve"> </w:t>
            </w:r>
            <w:r>
              <w:rPr>
                <w:rFonts w:ascii="Times New Roman" w:hAnsi="Times New Roman" w:eastAsia="Times New Roman" w:cs="Times New Roman"/>
                <w:spacing w:val="-3"/>
                <w:sz w:val="21"/>
                <w:szCs w:val="21"/>
              </w:rPr>
              <w:t>140m×</w:t>
            </w:r>
            <w:r>
              <w:rPr>
                <w:spacing w:val="-3"/>
                <w:sz w:val="21"/>
                <w:szCs w:val="21"/>
              </w:rPr>
              <w:t>宽</w:t>
            </w:r>
            <w:r>
              <w:rPr>
                <w:spacing w:val="-45"/>
                <w:sz w:val="21"/>
                <w:szCs w:val="21"/>
              </w:rPr>
              <w:t xml:space="preserve"> </w:t>
            </w:r>
            <w:r>
              <w:rPr>
                <w:rFonts w:ascii="Times New Roman" w:hAnsi="Times New Roman" w:eastAsia="Times New Roman" w:cs="Times New Roman"/>
                <w:spacing w:val="-3"/>
                <w:sz w:val="21"/>
                <w:szCs w:val="21"/>
              </w:rPr>
              <w:t>0.6m×</w:t>
            </w:r>
            <w:r>
              <w:rPr>
                <w:spacing w:val="-3"/>
                <w:sz w:val="21"/>
                <w:szCs w:val="21"/>
              </w:rPr>
              <w:t>高</w:t>
            </w:r>
            <w:r>
              <w:rPr>
                <w:spacing w:val="-46"/>
                <w:sz w:val="21"/>
                <w:szCs w:val="21"/>
              </w:rPr>
              <w:t xml:space="preserve"> </w:t>
            </w:r>
            <w:r>
              <w:rPr>
                <w:rFonts w:ascii="Times New Roman" w:hAnsi="Times New Roman" w:eastAsia="Times New Roman" w:cs="Times New Roman"/>
                <w:spacing w:val="-3"/>
                <w:sz w:val="21"/>
                <w:szCs w:val="21"/>
              </w:rPr>
              <w:t>0.6m</w:t>
            </w:r>
            <w:r>
              <w:rPr>
                <w:spacing w:val="-3"/>
                <w:sz w:val="21"/>
                <w:szCs w:val="21"/>
              </w:rPr>
              <w:t>。</w:t>
            </w:r>
          </w:p>
        </w:tc>
        <w:tc>
          <w:tcPr>
            <w:tcW w:w="1807"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76" w:type="dxa"/>
            <w:vMerge w:val="continue"/>
            <w:tcBorders>
              <w:top w:val="nil"/>
              <w:left w:val="single" w:color="000000" w:sz="6" w:space="0"/>
              <w:bottom w:val="nil"/>
            </w:tcBorders>
            <w:vAlign w:val="top"/>
          </w:tcPr>
          <w:p>
            <w:pPr>
              <w:rPr>
                <w:rFonts w:ascii="Arial"/>
                <w:sz w:val="21"/>
              </w:rPr>
            </w:pPr>
          </w:p>
        </w:tc>
        <w:tc>
          <w:tcPr>
            <w:tcW w:w="539" w:type="dxa"/>
            <w:vMerge w:val="continue"/>
            <w:tcBorders>
              <w:top w:val="nil"/>
            </w:tcBorders>
            <w:textDirection w:val="tbRlV"/>
            <w:vAlign w:val="top"/>
          </w:tcPr>
          <w:p>
            <w:pPr>
              <w:rPr>
                <w:rFonts w:ascii="Arial"/>
                <w:sz w:val="21"/>
              </w:rPr>
            </w:pPr>
          </w:p>
        </w:tc>
        <w:tc>
          <w:tcPr>
            <w:tcW w:w="1475" w:type="dxa"/>
            <w:gridSpan w:val="2"/>
            <w:vAlign w:val="top"/>
          </w:tcPr>
          <w:p>
            <w:pPr>
              <w:pStyle w:val="6"/>
              <w:spacing w:before="180" w:line="220" w:lineRule="auto"/>
              <w:ind w:left="110"/>
              <w:rPr>
                <w:sz w:val="21"/>
                <w:szCs w:val="21"/>
              </w:rPr>
            </w:pPr>
            <w:r>
              <w:rPr>
                <w:spacing w:val="-1"/>
                <w:sz w:val="21"/>
                <w:szCs w:val="21"/>
              </w:rPr>
              <w:t>耕植土堆放区</w:t>
            </w:r>
          </w:p>
        </w:tc>
        <w:tc>
          <w:tcPr>
            <w:tcW w:w="4772" w:type="dxa"/>
            <w:vAlign w:val="top"/>
          </w:tcPr>
          <w:p>
            <w:pPr>
              <w:pStyle w:val="6"/>
              <w:spacing w:before="45" w:line="218" w:lineRule="auto"/>
              <w:ind w:left="1239" w:right="96" w:hanging="1110"/>
              <w:rPr>
                <w:sz w:val="21"/>
                <w:szCs w:val="21"/>
              </w:rPr>
            </w:pPr>
            <w:r>
              <w:rPr>
                <w:rFonts w:ascii="Times New Roman" w:hAnsi="Times New Roman" w:eastAsia="Times New Roman" w:cs="Times New Roman"/>
                <w:spacing w:val="-5"/>
                <w:sz w:val="21"/>
                <w:szCs w:val="21"/>
              </w:rPr>
              <w:t>1</w:t>
            </w:r>
            <w:r>
              <w:rPr>
                <w:rFonts w:ascii="Times New Roman" w:hAnsi="Times New Roman" w:eastAsia="Times New Roman" w:cs="Times New Roman"/>
                <w:spacing w:val="24"/>
                <w:w w:val="101"/>
                <w:sz w:val="21"/>
                <w:szCs w:val="21"/>
              </w:rPr>
              <w:t xml:space="preserve"> </w:t>
            </w:r>
            <w:r>
              <w:rPr>
                <w:spacing w:val="-5"/>
                <w:sz w:val="21"/>
                <w:szCs w:val="21"/>
              </w:rPr>
              <w:t>处，占地面积约</w:t>
            </w:r>
            <w:r>
              <w:rPr>
                <w:spacing w:val="-51"/>
                <w:sz w:val="21"/>
                <w:szCs w:val="21"/>
              </w:rPr>
              <w:t xml:space="preserve"> </w:t>
            </w:r>
            <w:r>
              <w:rPr>
                <w:rFonts w:ascii="Times New Roman" w:hAnsi="Times New Roman" w:eastAsia="Times New Roman" w:cs="Times New Roman"/>
                <w:spacing w:val="-5"/>
                <w:sz w:val="21"/>
                <w:szCs w:val="21"/>
              </w:rPr>
              <w:t>2055m</w:t>
            </w:r>
            <w:r>
              <w:rPr>
                <w:rFonts w:ascii="Times New Roman" w:hAnsi="Times New Roman" w:eastAsia="Times New Roman" w:cs="Times New Roman"/>
                <w:spacing w:val="-5"/>
                <w:position w:val="6"/>
                <w:sz w:val="13"/>
                <w:szCs w:val="13"/>
              </w:rPr>
              <w:t>2</w:t>
            </w:r>
            <w:r>
              <w:rPr>
                <w:spacing w:val="-5"/>
                <w:sz w:val="21"/>
                <w:szCs w:val="21"/>
              </w:rPr>
              <w:t>，设在井场外西北侧，用</w:t>
            </w:r>
            <w:r>
              <w:rPr>
                <w:sz w:val="21"/>
                <w:szCs w:val="21"/>
              </w:rPr>
              <w:t xml:space="preserve"> </w:t>
            </w:r>
            <w:r>
              <w:rPr>
                <w:spacing w:val="-3"/>
                <w:sz w:val="21"/>
                <w:szCs w:val="21"/>
              </w:rPr>
              <w:t>于临时堆存剥离的表土。</w:t>
            </w:r>
          </w:p>
        </w:tc>
        <w:tc>
          <w:tcPr>
            <w:tcW w:w="1807" w:type="dxa"/>
            <w:vMerge w:val="continue"/>
            <w:tcBorders>
              <w:top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576" w:type="dxa"/>
            <w:vMerge w:val="continue"/>
            <w:tcBorders>
              <w:top w:val="nil"/>
              <w:left w:val="single" w:color="000000" w:sz="6" w:space="0"/>
              <w:bottom w:val="single" w:color="000000" w:sz="6" w:space="0"/>
            </w:tcBorders>
            <w:vAlign w:val="top"/>
          </w:tcPr>
          <w:p>
            <w:pPr>
              <w:rPr>
                <w:rFonts w:ascii="Arial"/>
                <w:sz w:val="21"/>
              </w:rPr>
            </w:pPr>
          </w:p>
        </w:tc>
        <w:tc>
          <w:tcPr>
            <w:tcW w:w="539" w:type="dxa"/>
            <w:tcBorders>
              <w:bottom w:val="single" w:color="000000" w:sz="6" w:space="0"/>
            </w:tcBorders>
            <w:textDirection w:val="tbRlV"/>
            <w:vAlign w:val="top"/>
          </w:tcPr>
          <w:p>
            <w:pPr>
              <w:pStyle w:val="6"/>
              <w:spacing w:before="169" w:line="210" w:lineRule="auto"/>
              <w:ind w:left="44"/>
              <w:rPr>
                <w:sz w:val="21"/>
                <w:szCs w:val="21"/>
              </w:rPr>
            </w:pPr>
            <w:r>
              <w:rPr>
                <w:spacing w:val="46"/>
                <w:sz w:val="21"/>
                <w:szCs w:val="21"/>
              </w:rPr>
              <w:t>环保工程</w:t>
            </w:r>
          </w:p>
        </w:tc>
        <w:tc>
          <w:tcPr>
            <w:tcW w:w="565" w:type="dxa"/>
            <w:tcBorders>
              <w:bottom w:val="single" w:color="000000" w:sz="6" w:space="0"/>
            </w:tcBorders>
            <w:textDirection w:val="tbRlV"/>
            <w:vAlign w:val="top"/>
          </w:tcPr>
          <w:p>
            <w:pPr>
              <w:pStyle w:val="6"/>
              <w:spacing w:before="179" w:line="210" w:lineRule="auto"/>
              <w:ind w:left="44"/>
              <w:rPr>
                <w:sz w:val="21"/>
                <w:szCs w:val="21"/>
              </w:rPr>
            </w:pPr>
            <w:r>
              <w:rPr>
                <w:spacing w:val="46"/>
                <w:sz w:val="21"/>
                <w:szCs w:val="21"/>
              </w:rPr>
              <w:t>废水处理</w:t>
            </w:r>
          </w:p>
        </w:tc>
        <w:tc>
          <w:tcPr>
            <w:tcW w:w="910" w:type="dxa"/>
            <w:tcBorders>
              <w:bottom w:val="single" w:color="000000" w:sz="6" w:space="0"/>
            </w:tcBorders>
            <w:vAlign w:val="top"/>
          </w:tcPr>
          <w:p>
            <w:pPr>
              <w:spacing w:line="244" w:lineRule="auto"/>
              <w:rPr>
                <w:rFonts w:ascii="Arial"/>
                <w:sz w:val="21"/>
              </w:rPr>
            </w:pPr>
          </w:p>
          <w:p>
            <w:pPr>
              <w:pStyle w:val="6"/>
              <w:spacing w:before="68" w:line="231" w:lineRule="auto"/>
              <w:ind w:left="353" w:right="136" w:hanging="209"/>
              <w:rPr>
                <w:sz w:val="21"/>
                <w:szCs w:val="21"/>
              </w:rPr>
            </w:pPr>
            <w:r>
              <w:rPr>
                <w:spacing w:val="-3"/>
                <w:sz w:val="21"/>
                <w:szCs w:val="21"/>
              </w:rPr>
              <w:t>生活污</w:t>
            </w:r>
            <w:r>
              <w:rPr>
                <w:spacing w:val="1"/>
                <w:sz w:val="21"/>
                <w:szCs w:val="21"/>
              </w:rPr>
              <w:t xml:space="preserve"> </w:t>
            </w:r>
            <w:r>
              <w:rPr>
                <w:sz w:val="21"/>
                <w:szCs w:val="21"/>
              </w:rPr>
              <w:t>水</w:t>
            </w:r>
          </w:p>
        </w:tc>
        <w:tc>
          <w:tcPr>
            <w:tcW w:w="4772" w:type="dxa"/>
            <w:tcBorders>
              <w:bottom w:val="single" w:color="000000" w:sz="6" w:space="0"/>
            </w:tcBorders>
            <w:vAlign w:val="top"/>
          </w:tcPr>
          <w:p>
            <w:pPr>
              <w:pStyle w:val="6"/>
              <w:spacing w:before="44" w:line="233" w:lineRule="auto"/>
              <w:ind w:left="116" w:right="95" w:firstLine="71"/>
              <w:jc w:val="both"/>
              <w:rPr>
                <w:sz w:val="21"/>
                <w:szCs w:val="21"/>
              </w:rPr>
            </w:pPr>
            <w:r>
              <w:rPr>
                <w:spacing w:val="-1"/>
                <w:sz w:val="21"/>
                <w:szCs w:val="21"/>
              </w:rPr>
              <w:t xml:space="preserve">钻前生活依托周边农户现有旱厕收集后用作农肥 </w:t>
            </w:r>
            <w:r>
              <w:rPr>
                <w:spacing w:val="-3"/>
                <w:sz w:val="21"/>
                <w:szCs w:val="21"/>
              </w:rPr>
              <w:t>不外排；钻井及完井期生活污水经环保厕所收集处</w:t>
            </w:r>
            <w:r>
              <w:rPr>
                <w:sz w:val="21"/>
                <w:szCs w:val="21"/>
              </w:rPr>
              <w:t xml:space="preserve"> </w:t>
            </w:r>
            <w:r>
              <w:rPr>
                <w:spacing w:val="3"/>
                <w:sz w:val="21"/>
                <w:szCs w:val="21"/>
              </w:rPr>
              <w:t>理后经罐车拉运至江陵镇污水处理厂处理达标后</w:t>
            </w:r>
          </w:p>
          <w:p>
            <w:pPr>
              <w:pStyle w:val="6"/>
              <w:spacing w:before="20" w:line="217" w:lineRule="auto"/>
              <w:ind w:left="2081"/>
              <w:rPr>
                <w:sz w:val="21"/>
                <w:szCs w:val="21"/>
              </w:rPr>
            </w:pPr>
            <w:r>
              <w:rPr>
                <w:spacing w:val="-4"/>
                <w:sz w:val="21"/>
                <w:szCs w:val="21"/>
              </w:rPr>
              <w:t>外排。</w:t>
            </w:r>
          </w:p>
        </w:tc>
        <w:tc>
          <w:tcPr>
            <w:tcW w:w="1807" w:type="dxa"/>
            <w:tcBorders>
              <w:bottom w:val="single" w:color="000000" w:sz="6" w:space="0"/>
            </w:tcBorders>
            <w:vAlign w:val="top"/>
          </w:tcPr>
          <w:p>
            <w:pPr>
              <w:spacing w:line="244" w:lineRule="auto"/>
              <w:rPr>
                <w:rFonts w:ascii="Arial"/>
                <w:sz w:val="21"/>
              </w:rPr>
            </w:pPr>
          </w:p>
          <w:p>
            <w:pPr>
              <w:pStyle w:val="6"/>
              <w:spacing w:before="68" w:line="231" w:lineRule="auto"/>
              <w:ind w:left="124" w:right="95" w:hanging="5"/>
              <w:rPr>
                <w:sz w:val="21"/>
                <w:szCs w:val="21"/>
              </w:rPr>
            </w:pPr>
            <w:r>
              <w:rPr>
                <w:spacing w:val="-12"/>
                <w:sz w:val="21"/>
                <w:szCs w:val="21"/>
              </w:rPr>
              <w:t>渗漏污染土壤、地</w:t>
            </w:r>
            <w:r>
              <w:rPr>
                <w:spacing w:val="2"/>
                <w:sz w:val="21"/>
                <w:szCs w:val="21"/>
              </w:rPr>
              <w:t xml:space="preserve"> </w:t>
            </w:r>
            <w:r>
              <w:rPr>
                <w:spacing w:val="-13"/>
                <w:sz w:val="21"/>
                <w:szCs w:val="21"/>
              </w:rPr>
              <w:t>下水、地表水环境</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35"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44" w:hRule="atLeast"/>
        </w:trPr>
        <w:tc>
          <w:tcPr>
            <w:tcW w:w="9291" w:type="dxa"/>
            <w:vAlign w:val="top"/>
          </w:tcPr>
          <w:p>
            <w:pPr>
              <w:spacing w:line="18" w:lineRule="exact"/>
            </w:pPr>
            <w:r>
              <w:pict>
                <v:rect id="_x0000_s1036" o:spid="_x0000_s1036" o:spt="1" style="position:absolute;left:0pt;margin-left:22.75pt;margin-top:0.95pt;height:696.6pt;width:0.5pt;mso-position-horizontal-relative:page;mso-position-vertical-relative:page;z-index:251689984;mso-width-relative:page;mso-height-relative:page;" fillcolor="#000000" filled="t" stroked="f" coordsize="21600,21600">
                  <v:path/>
                  <v:fill on="t" focussize="0,0"/>
                  <v:stroke on="f"/>
                  <v:imagedata o:title=""/>
                  <o:lock v:ext="edit"/>
                </v:rect>
              </w:pict>
            </w: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566"/>
              <w:gridCol w:w="911"/>
              <w:gridCol w:w="4777"/>
              <w:gridCol w:w="18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544" w:type="dxa"/>
                  <w:vMerge w:val="restart"/>
                  <w:tcBorders>
                    <w:top w:val="nil"/>
                    <w:bottom w:val="nil"/>
                  </w:tcBorders>
                  <w:vAlign w:val="top"/>
                </w:tcPr>
                <w:p>
                  <w:pPr>
                    <w:rPr>
                      <w:rFonts w:ascii="Arial"/>
                      <w:sz w:val="21"/>
                    </w:rPr>
                  </w:pPr>
                </w:p>
              </w:tc>
              <w:tc>
                <w:tcPr>
                  <w:tcW w:w="566" w:type="dxa"/>
                  <w:tcBorders>
                    <w:top w:val="nil"/>
                  </w:tcBorders>
                  <w:vAlign w:val="top"/>
                </w:tcPr>
                <w:p>
                  <w:pPr>
                    <w:rPr>
                      <w:rFonts w:ascii="Arial"/>
                      <w:sz w:val="21"/>
                    </w:rPr>
                  </w:pPr>
                </w:p>
              </w:tc>
              <w:tc>
                <w:tcPr>
                  <w:tcW w:w="911" w:type="dxa"/>
                  <w:tcBorders>
                    <w:top w:val="nil"/>
                  </w:tcBorders>
                  <w:vAlign w:val="top"/>
                </w:tcPr>
                <w:p>
                  <w:pPr>
                    <w:spacing w:line="371" w:lineRule="auto"/>
                    <w:rPr>
                      <w:rFonts w:ascii="Arial"/>
                      <w:sz w:val="21"/>
                    </w:rPr>
                  </w:pPr>
                </w:p>
                <w:p>
                  <w:pPr>
                    <w:pStyle w:val="6"/>
                    <w:spacing w:before="68" w:line="229" w:lineRule="auto"/>
                    <w:ind w:left="356" w:right="134" w:hanging="209"/>
                    <w:rPr>
                      <w:sz w:val="21"/>
                      <w:szCs w:val="21"/>
                    </w:rPr>
                  </w:pPr>
                  <w:r>
                    <w:rPr>
                      <w:spacing w:val="-3"/>
                      <w:sz w:val="21"/>
                      <w:szCs w:val="21"/>
                    </w:rPr>
                    <w:t>生产废</w:t>
                  </w:r>
                  <w:r>
                    <w:rPr>
                      <w:spacing w:val="1"/>
                      <w:sz w:val="21"/>
                      <w:szCs w:val="21"/>
                    </w:rPr>
                    <w:t xml:space="preserve"> </w:t>
                  </w:r>
                  <w:r>
                    <w:rPr>
                      <w:sz w:val="21"/>
                      <w:szCs w:val="21"/>
                    </w:rPr>
                    <w:t>水</w:t>
                  </w:r>
                </w:p>
              </w:tc>
              <w:tc>
                <w:tcPr>
                  <w:tcW w:w="4777" w:type="dxa"/>
                  <w:tcBorders>
                    <w:top w:val="nil"/>
                  </w:tcBorders>
                  <w:vAlign w:val="top"/>
                </w:tcPr>
                <w:p>
                  <w:pPr>
                    <w:pStyle w:val="6"/>
                    <w:spacing w:before="30" w:line="233" w:lineRule="auto"/>
                    <w:ind w:left="118" w:right="98" w:firstLine="72"/>
                    <w:jc w:val="both"/>
                    <w:rPr>
                      <w:sz w:val="21"/>
                      <w:szCs w:val="21"/>
                    </w:rPr>
                  </w:pPr>
                  <w:r>
                    <w:rPr>
                      <w:spacing w:val="-1"/>
                      <w:sz w:val="21"/>
                      <w:szCs w:val="21"/>
                    </w:rPr>
                    <w:t xml:space="preserve">钻井废水使用废水罐暂存，并转至清洁化操作平 </w:t>
                  </w:r>
                  <w:r>
                    <w:rPr>
                      <w:spacing w:val="-6"/>
                      <w:sz w:val="21"/>
                      <w:szCs w:val="21"/>
                    </w:rPr>
                    <w:t>台，</w:t>
                  </w:r>
                  <w:r>
                    <w:rPr>
                      <w:spacing w:val="-42"/>
                      <w:sz w:val="21"/>
                      <w:szCs w:val="21"/>
                    </w:rPr>
                    <w:t xml:space="preserve"> </w:t>
                  </w:r>
                  <w:r>
                    <w:rPr>
                      <w:spacing w:val="-6"/>
                      <w:sz w:val="21"/>
                      <w:szCs w:val="21"/>
                    </w:rPr>
                    <w:t>加入生石灰（氧化钙）和絮凝剂使其沉淀。沉</w:t>
                  </w:r>
                  <w:r>
                    <w:rPr>
                      <w:sz w:val="21"/>
                      <w:szCs w:val="21"/>
                    </w:rPr>
                    <w:t xml:space="preserve"> </w:t>
                  </w:r>
                  <w:r>
                    <w:rPr>
                      <w:spacing w:val="-3"/>
                      <w:sz w:val="21"/>
                      <w:szCs w:val="21"/>
                    </w:rPr>
                    <w:t>淀后上清液暂存于废水罐中回用，不能回用的部分</w:t>
                  </w:r>
                </w:p>
                <w:p>
                  <w:pPr>
                    <w:pStyle w:val="6"/>
                    <w:spacing w:before="22" w:line="224" w:lineRule="auto"/>
                    <w:ind w:left="294" w:right="175" w:hanging="102"/>
                    <w:rPr>
                      <w:sz w:val="21"/>
                      <w:szCs w:val="21"/>
                    </w:rPr>
                  </w:pPr>
                  <w:r>
                    <w:rPr>
                      <w:spacing w:val="-1"/>
                      <w:sz w:val="21"/>
                      <w:szCs w:val="21"/>
                    </w:rPr>
                    <w:t>完井后与钻井剩余废水一并委托四川瑞利生物科</w:t>
                  </w:r>
                  <w:r>
                    <w:rPr>
                      <w:spacing w:val="14"/>
                      <w:sz w:val="21"/>
                      <w:szCs w:val="21"/>
                    </w:rPr>
                    <w:t xml:space="preserve"> </w:t>
                  </w:r>
                  <w:r>
                    <w:rPr>
                      <w:spacing w:val="-1"/>
                      <w:sz w:val="21"/>
                      <w:szCs w:val="21"/>
                    </w:rPr>
                    <w:t>技有限公司或有资质的第三方单位外运处置。</w:t>
                  </w:r>
                </w:p>
              </w:tc>
              <w:tc>
                <w:tcPr>
                  <w:tcW w:w="1814"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4" w:type="dxa"/>
                  <w:vMerge w:val="continue"/>
                  <w:tcBorders>
                    <w:top w:val="nil"/>
                    <w:bottom w:val="nil"/>
                  </w:tcBorders>
                  <w:vAlign w:val="top"/>
                </w:tcPr>
                <w:p>
                  <w:pPr>
                    <w:rPr>
                      <w:rFonts w:ascii="Arial"/>
                      <w:sz w:val="21"/>
                    </w:rPr>
                  </w:pPr>
                </w:p>
              </w:tc>
              <w:tc>
                <w:tcPr>
                  <w:tcW w:w="566" w:type="dxa"/>
                  <w:vMerge w:val="restart"/>
                  <w:tcBorders>
                    <w:bottom w:val="nil"/>
                  </w:tcBorders>
                  <w:textDirection w:val="tbRlV"/>
                  <w:vAlign w:val="top"/>
                </w:tcPr>
                <w:p>
                  <w:pPr>
                    <w:pStyle w:val="6"/>
                    <w:spacing w:before="176" w:line="210" w:lineRule="auto"/>
                    <w:ind w:left="313"/>
                    <w:rPr>
                      <w:sz w:val="21"/>
                      <w:szCs w:val="21"/>
                    </w:rPr>
                  </w:pPr>
                  <w:r>
                    <w:rPr>
                      <w:spacing w:val="46"/>
                      <w:sz w:val="21"/>
                      <w:szCs w:val="21"/>
                    </w:rPr>
                    <w:t>废气处理</w:t>
                  </w:r>
                </w:p>
              </w:tc>
              <w:tc>
                <w:tcPr>
                  <w:tcW w:w="911" w:type="dxa"/>
                  <w:vAlign w:val="top"/>
                </w:tcPr>
                <w:p>
                  <w:pPr>
                    <w:pStyle w:val="6"/>
                    <w:spacing w:before="29" w:line="224" w:lineRule="auto"/>
                    <w:ind w:left="356" w:right="134" w:hanging="211"/>
                    <w:rPr>
                      <w:sz w:val="21"/>
                      <w:szCs w:val="21"/>
                    </w:rPr>
                  </w:pPr>
                  <w:r>
                    <w:rPr>
                      <w:spacing w:val="-2"/>
                      <w:sz w:val="21"/>
                      <w:szCs w:val="21"/>
                    </w:rPr>
                    <w:t>施工粉</w:t>
                  </w:r>
                  <w:r>
                    <w:rPr>
                      <w:spacing w:val="1"/>
                      <w:sz w:val="21"/>
                      <w:szCs w:val="21"/>
                    </w:rPr>
                    <w:t xml:space="preserve"> </w:t>
                  </w:r>
                  <w:r>
                    <w:rPr>
                      <w:sz w:val="21"/>
                      <w:szCs w:val="21"/>
                    </w:rPr>
                    <w:t>尘</w:t>
                  </w:r>
                </w:p>
              </w:tc>
              <w:tc>
                <w:tcPr>
                  <w:tcW w:w="4777" w:type="dxa"/>
                  <w:vAlign w:val="top"/>
                </w:tcPr>
                <w:p>
                  <w:pPr>
                    <w:pStyle w:val="6"/>
                    <w:spacing w:before="29" w:line="224" w:lineRule="auto"/>
                    <w:ind w:left="2186" w:right="175" w:hanging="1996"/>
                    <w:rPr>
                      <w:sz w:val="21"/>
                      <w:szCs w:val="21"/>
                    </w:rPr>
                  </w:pPr>
                  <w:r>
                    <w:rPr>
                      <w:spacing w:val="-1"/>
                      <w:sz w:val="21"/>
                      <w:szCs w:val="21"/>
                    </w:rPr>
                    <w:t>硬化井场进出口并采取冲洗、洒水等措施控制扬</w:t>
                  </w:r>
                  <w:r>
                    <w:rPr>
                      <w:spacing w:val="16"/>
                      <w:sz w:val="21"/>
                      <w:szCs w:val="21"/>
                    </w:rPr>
                    <w:t xml:space="preserve"> </w:t>
                  </w:r>
                  <w:r>
                    <w:rPr>
                      <w:spacing w:val="-5"/>
                      <w:sz w:val="21"/>
                      <w:szCs w:val="21"/>
                    </w:rPr>
                    <w:t>尘。</w:t>
                  </w:r>
                </w:p>
              </w:tc>
              <w:tc>
                <w:tcPr>
                  <w:tcW w:w="1814" w:type="dxa"/>
                  <w:vMerge w:val="restart"/>
                  <w:tcBorders>
                    <w:bottom w:val="nil"/>
                  </w:tcBorders>
                  <w:vAlign w:val="top"/>
                </w:tcPr>
                <w:p>
                  <w:pPr>
                    <w:spacing w:line="324" w:lineRule="auto"/>
                    <w:rPr>
                      <w:rFonts w:ascii="Arial"/>
                      <w:sz w:val="21"/>
                    </w:rPr>
                  </w:pPr>
                </w:p>
                <w:p>
                  <w:pPr>
                    <w:spacing w:line="325" w:lineRule="auto"/>
                    <w:rPr>
                      <w:rFonts w:ascii="Arial"/>
                      <w:sz w:val="21"/>
                    </w:rPr>
                  </w:pPr>
                </w:p>
                <w:p>
                  <w:pPr>
                    <w:pStyle w:val="6"/>
                    <w:spacing w:before="68" w:line="221" w:lineRule="auto"/>
                    <w:ind w:left="283"/>
                    <w:rPr>
                      <w:sz w:val="21"/>
                      <w:szCs w:val="21"/>
                    </w:rPr>
                  </w:pPr>
                  <w:r>
                    <w:rPr>
                      <w:spacing w:val="-2"/>
                      <w:sz w:val="21"/>
                      <w:szCs w:val="21"/>
                    </w:rPr>
                    <w:t>污染大气环境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4" w:type="dxa"/>
                  <w:vMerge w:val="continue"/>
                  <w:tcBorders>
                    <w:top w:val="nil"/>
                    <w:bottom w:val="nil"/>
                  </w:tcBorders>
                  <w:vAlign w:val="top"/>
                </w:tcPr>
                <w:p>
                  <w:pPr>
                    <w:rPr>
                      <w:rFonts w:ascii="Arial"/>
                      <w:sz w:val="21"/>
                    </w:rPr>
                  </w:pPr>
                </w:p>
              </w:tc>
              <w:tc>
                <w:tcPr>
                  <w:tcW w:w="566" w:type="dxa"/>
                  <w:vMerge w:val="continue"/>
                  <w:tcBorders>
                    <w:top w:val="nil"/>
                    <w:bottom w:val="nil"/>
                  </w:tcBorders>
                  <w:textDirection w:val="tbRlV"/>
                  <w:vAlign w:val="top"/>
                </w:tcPr>
                <w:p>
                  <w:pPr>
                    <w:rPr>
                      <w:rFonts w:ascii="Arial"/>
                      <w:sz w:val="21"/>
                    </w:rPr>
                  </w:pPr>
                </w:p>
              </w:tc>
              <w:tc>
                <w:tcPr>
                  <w:tcW w:w="911" w:type="dxa"/>
                  <w:vAlign w:val="top"/>
                </w:tcPr>
                <w:p>
                  <w:pPr>
                    <w:pStyle w:val="6"/>
                    <w:spacing w:before="30" w:line="221" w:lineRule="auto"/>
                    <w:ind w:left="148"/>
                    <w:rPr>
                      <w:sz w:val="21"/>
                      <w:szCs w:val="21"/>
                    </w:rPr>
                  </w:pPr>
                  <w:r>
                    <w:rPr>
                      <w:spacing w:val="-2"/>
                      <w:sz w:val="21"/>
                      <w:szCs w:val="21"/>
                    </w:rPr>
                    <w:t>备用柴</w:t>
                  </w:r>
                </w:p>
                <w:p>
                  <w:pPr>
                    <w:pStyle w:val="6"/>
                    <w:spacing w:before="19" w:line="209" w:lineRule="auto"/>
                    <w:ind w:left="254"/>
                    <w:rPr>
                      <w:sz w:val="21"/>
                      <w:szCs w:val="21"/>
                    </w:rPr>
                  </w:pPr>
                  <w:r>
                    <w:rPr>
                      <w:spacing w:val="-3"/>
                      <w:sz w:val="21"/>
                      <w:szCs w:val="21"/>
                    </w:rPr>
                    <w:t>油机</w:t>
                  </w:r>
                </w:p>
              </w:tc>
              <w:tc>
                <w:tcPr>
                  <w:tcW w:w="4777" w:type="dxa"/>
                  <w:vAlign w:val="top"/>
                </w:tcPr>
                <w:p>
                  <w:pPr>
                    <w:pStyle w:val="6"/>
                    <w:spacing w:before="30" w:line="220" w:lineRule="auto"/>
                    <w:ind w:left="190"/>
                    <w:rPr>
                      <w:sz w:val="21"/>
                      <w:szCs w:val="21"/>
                    </w:rPr>
                  </w:pPr>
                  <w:r>
                    <w:rPr>
                      <w:spacing w:val="-1"/>
                      <w:sz w:val="21"/>
                      <w:szCs w:val="21"/>
                    </w:rPr>
                    <w:t>柴油机燃烧废气经自带尾气处理系统处理后经过</w:t>
                  </w:r>
                </w:p>
                <w:p>
                  <w:pPr>
                    <w:pStyle w:val="6"/>
                    <w:spacing w:before="20" w:line="209" w:lineRule="auto"/>
                    <w:ind w:left="1298"/>
                    <w:rPr>
                      <w:sz w:val="21"/>
                      <w:szCs w:val="21"/>
                    </w:rPr>
                  </w:pPr>
                  <w:r>
                    <w:rPr>
                      <w:spacing w:val="-5"/>
                      <w:sz w:val="21"/>
                      <w:szCs w:val="21"/>
                    </w:rPr>
                    <w:t>自带</w:t>
                  </w:r>
                  <w:r>
                    <w:rPr>
                      <w:spacing w:val="-33"/>
                      <w:sz w:val="21"/>
                      <w:szCs w:val="21"/>
                    </w:rPr>
                    <w:t xml:space="preserve"> </w:t>
                  </w:r>
                  <w:r>
                    <w:rPr>
                      <w:rFonts w:ascii="Times New Roman" w:hAnsi="Times New Roman" w:eastAsia="Times New Roman" w:cs="Times New Roman"/>
                      <w:spacing w:val="-5"/>
                      <w:sz w:val="21"/>
                      <w:szCs w:val="21"/>
                    </w:rPr>
                    <w:t xml:space="preserve">6m </w:t>
                  </w:r>
                  <w:r>
                    <w:rPr>
                      <w:spacing w:val="-5"/>
                      <w:sz w:val="21"/>
                      <w:szCs w:val="21"/>
                    </w:rPr>
                    <w:t>高排气筒排放。</w:t>
                  </w:r>
                </w:p>
              </w:tc>
              <w:tc>
                <w:tcPr>
                  <w:tcW w:w="181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4" w:type="dxa"/>
                  <w:vMerge w:val="continue"/>
                  <w:tcBorders>
                    <w:top w:val="nil"/>
                    <w:bottom w:val="nil"/>
                  </w:tcBorders>
                  <w:vAlign w:val="top"/>
                </w:tcPr>
                <w:p>
                  <w:pPr>
                    <w:rPr>
                      <w:rFonts w:ascii="Arial"/>
                      <w:sz w:val="21"/>
                    </w:rPr>
                  </w:pPr>
                </w:p>
              </w:tc>
              <w:tc>
                <w:tcPr>
                  <w:tcW w:w="566" w:type="dxa"/>
                  <w:vMerge w:val="continue"/>
                  <w:tcBorders>
                    <w:top w:val="nil"/>
                  </w:tcBorders>
                  <w:textDirection w:val="tbRlV"/>
                  <w:vAlign w:val="top"/>
                </w:tcPr>
                <w:p>
                  <w:pPr>
                    <w:rPr>
                      <w:rFonts w:ascii="Arial"/>
                      <w:sz w:val="21"/>
                    </w:rPr>
                  </w:pPr>
                </w:p>
              </w:tc>
              <w:tc>
                <w:tcPr>
                  <w:tcW w:w="911" w:type="dxa"/>
                  <w:vAlign w:val="top"/>
                </w:tcPr>
                <w:p>
                  <w:pPr>
                    <w:pStyle w:val="6"/>
                    <w:spacing w:before="31" w:line="223" w:lineRule="auto"/>
                    <w:ind w:left="153" w:right="134" w:hanging="7"/>
                    <w:rPr>
                      <w:sz w:val="21"/>
                      <w:szCs w:val="21"/>
                    </w:rPr>
                  </w:pPr>
                  <w:r>
                    <w:rPr>
                      <w:spacing w:val="-2"/>
                      <w:sz w:val="21"/>
                      <w:szCs w:val="21"/>
                    </w:rPr>
                    <w:t>测试放</w:t>
                  </w:r>
                  <w:r>
                    <w:rPr>
                      <w:sz w:val="21"/>
                      <w:szCs w:val="21"/>
                    </w:rPr>
                    <w:t xml:space="preserve"> </w:t>
                  </w:r>
                  <w:r>
                    <w:rPr>
                      <w:spacing w:val="-5"/>
                      <w:sz w:val="21"/>
                      <w:szCs w:val="21"/>
                    </w:rPr>
                    <w:t>喷废气</w:t>
                  </w:r>
                </w:p>
              </w:tc>
              <w:tc>
                <w:tcPr>
                  <w:tcW w:w="4777" w:type="dxa"/>
                  <w:vAlign w:val="top"/>
                </w:tcPr>
                <w:p>
                  <w:pPr>
                    <w:pStyle w:val="6"/>
                    <w:spacing w:before="31" w:line="223" w:lineRule="auto"/>
                    <w:ind w:left="295" w:right="145" w:hanging="161"/>
                    <w:rPr>
                      <w:sz w:val="21"/>
                      <w:szCs w:val="21"/>
                    </w:rPr>
                  </w:pPr>
                  <w:r>
                    <w:rPr>
                      <w:spacing w:val="-7"/>
                      <w:sz w:val="21"/>
                      <w:szCs w:val="21"/>
                    </w:rPr>
                    <w:t>采用地面燃烧处理， 测试放喷管口高为</w:t>
                  </w:r>
                  <w:r>
                    <w:rPr>
                      <w:spacing w:val="-27"/>
                      <w:sz w:val="21"/>
                      <w:szCs w:val="21"/>
                    </w:rPr>
                    <w:t xml:space="preserve"> </w:t>
                  </w:r>
                  <w:r>
                    <w:rPr>
                      <w:rFonts w:ascii="Times New Roman" w:hAnsi="Times New Roman" w:eastAsia="Times New Roman" w:cs="Times New Roman"/>
                      <w:spacing w:val="-7"/>
                      <w:sz w:val="21"/>
                      <w:szCs w:val="21"/>
                    </w:rPr>
                    <w:t>1m</w:t>
                  </w:r>
                  <w:r>
                    <w:rPr>
                      <w:spacing w:val="-7"/>
                      <w:sz w:val="21"/>
                      <w:szCs w:val="21"/>
                    </w:rPr>
                    <w:t>，采用</w:t>
                  </w:r>
                  <w:r>
                    <w:rPr>
                      <w:sz w:val="21"/>
                      <w:szCs w:val="21"/>
                    </w:rPr>
                    <w:t xml:space="preserve"> </w:t>
                  </w:r>
                  <w:r>
                    <w:rPr>
                      <w:spacing w:val="-6"/>
                      <w:sz w:val="21"/>
                      <w:szCs w:val="21"/>
                    </w:rPr>
                    <w:t>短火焰灼烧器，</w:t>
                  </w:r>
                  <w:r>
                    <w:rPr>
                      <w:spacing w:val="-8"/>
                      <w:sz w:val="21"/>
                      <w:szCs w:val="21"/>
                    </w:rPr>
                    <w:t xml:space="preserve"> </w:t>
                  </w:r>
                  <w:r>
                    <w:rPr>
                      <w:spacing w:val="-6"/>
                      <w:sz w:val="21"/>
                      <w:szCs w:val="21"/>
                    </w:rPr>
                    <w:t>修建燃烧池降低热辐射影响。</w:t>
                  </w:r>
                </w:p>
              </w:tc>
              <w:tc>
                <w:tcPr>
                  <w:tcW w:w="181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44" w:type="dxa"/>
                  <w:vMerge w:val="continue"/>
                  <w:tcBorders>
                    <w:top w:val="nil"/>
                    <w:bottom w:val="nil"/>
                  </w:tcBorders>
                  <w:vAlign w:val="top"/>
                </w:tcPr>
                <w:p>
                  <w:pPr>
                    <w:rPr>
                      <w:rFonts w:ascii="Arial"/>
                      <w:sz w:val="21"/>
                    </w:rPr>
                  </w:pPr>
                </w:p>
              </w:tc>
              <w:tc>
                <w:tcPr>
                  <w:tcW w:w="566" w:type="dxa"/>
                  <w:vMerge w:val="restart"/>
                  <w:tcBorders>
                    <w:bottom w:val="nil"/>
                  </w:tcBorders>
                  <w:textDirection w:val="tbRlV"/>
                  <w:vAlign w:val="top"/>
                </w:tcPr>
                <w:p>
                  <w:pPr>
                    <w:pStyle w:val="6"/>
                    <w:spacing w:before="176" w:line="210" w:lineRule="auto"/>
                    <w:ind w:left="1812"/>
                    <w:rPr>
                      <w:sz w:val="21"/>
                      <w:szCs w:val="21"/>
                    </w:rPr>
                  </w:pPr>
                  <w:r>
                    <w:rPr>
                      <w:spacing w:val="31"/>
                      <w:sz w:val="21"/>
                      <w:szCs w:val="21"/>
                    </w:rPr>
                    <w:t>固废</w:t>
                  </w:r>
                </w:p>
              </w:tc>
              <w:tc>
                <w:tcPr>
                  <w:tcW w:w="911" w:type="dxa"/>
                  <w:vAlign w:val="top"/>
                </w:tcPr>
                <w:p>
                  <w:pPr>
                    <w:pStyle w:val="6"/>
                    <w:spacing w:before="304" w:line="230" w:lineRule="auto"/>
                    <w:ind w:left="353" w:right="134" w:hanging="204"/>
                    <w:rPr>
                      <w:sz w:val="21"/>
                      <w:szCs w:val="21"/>
                    </w:rPr>
                  </w:pPr>
                  <w:r>
                    <w:rPr>
                      <w:spacing w:val="-3"/>
                      <w:sz w:val="21"/>
                      <w:szCs w:val="21"/>
                    </w:rPr>
                    <w:t>一般固</w:t>
                  </w:r>
                  <w:r>
                    <w:rPr>
                      <w:sz w:val="21"/>
                      <w:szCs w:val="21"/>
                    </w:rPr>
                    <w:t xml:space="preserve"> 废</w:t>
                  </w:r>
                </w:p>
              </w:tc>
              <w:tc>
                <w:tcPr>
                  <w:tcW w:w="4777" w:type="dxa"/>
                  <w:vAlign w:val="top"/>
                </w:tcPr>
                <w:p>
                  <w:pPr>
                    <w:pStyle w:val="6"/>
                    <w:spacing w:before="30" w:line="221" w:lineRule="auto"/>
                    <w:ind w:left="118"/>
                    <w:rPr>
                      <w:sz w:val="21"/>
                      <w:szCs w:val="21"/>
                    </w:rPr>
                  </w:pPr>
                  <w:r>
                    <w:rPr>
                      <w:spacing w:val="-2"/>
                      <w:sz w:val="21"/>
                      <w:szCs w:val="21"/>
                    </w:rPr>
                    <w:t>水基岩屑及泥浆和污泥收集后暂存于岩屑堆放区，</w:t>
                  </w:r>
                </w:p>
                <w:p>
                  <w:pPr>
                    <w:pStyle w:val="6"/>
                    <w:spacing w:before="22" w:line="220" w:lineRule="auto"/>
                    <w:ind w:left="114"/>
                    <w:rPr>
                      <w:sz w:val="21"/>
                      <w:szCs w:val="21"/>
                    </w:rPr>
                  </w:pPr>
                  <w:r>
                    <w:rPr>
                      <w:spacing w:val="-3"/>
                      <w:sz w:val="21"/>
                      <w:szCs w:val="21"/>
                    </w:rPr>
                    <w:t>采用岩屑罐暂存，定期交有资质的砖厂进行资源化</w:t>
                  </w:r>
                </w:p>
                <w:p>
                  <w:pPr>
                    <w:pStyle w:val="6"/>
                    <w:spacing w:before="20" w:line="220" w:lineRule="auto"/>
                    <w:ind w:left="116"/>
                    <w:rPr>
                      <w:sz w:val="21"/>
                      <w:szCs w:val="21"/>
                    </w:rPr>
                  </w:pPr>
                  <w:r>
                    <w:rPr>
                      <w:spacing w:val="-3"/>
                      <w:sz w:val="21"/>
                      <w:szCs w:val="21"/>
                    </w:rPr>
                    <w:t>利用；废包装材料、废弃设备零部件经收集后外售</w:t>
                  </w:r>
                </w:p>
                <w:p>
                  <w:pPr>
                    <w:pStyle w:val="6"/>
                    <w:spacing w:before="23" w:line="206" w:lineRule="auto"/>
                    <w:ind w:left="1869"/>
                    <w:rPr>
                      <w:sz w:val="21"/>
                      <w:szCs w:val="21"/>
                    </w:rPr>
                  </w:pPr>
                  <w:r>
                    <w:rPr>
                      <w:spacing w:val="-1"/>
                      <w:sz w:val="21"/>
                      <w:szCs w:val="21"/>
                    </w:rPr>
                    <w:t>废品回收站</w:t>
                  </w:r>
                </w:p>
              </w:tc>
              <w:tc>
                <w:tcPr>
                  <w:tcW w:w="1814"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33" w:lineRule="auto"/>
                    <w:ind w:left="114" w:right="104" w:firstLine="12"/>
                    <w:jc w:val="both"/>
                    <w:rPr>
                      <w:sz w:val="21"/>
                      <w:szCs w:val="21"/>
                    </w:rPr>
                  </w:pPr>
                  <w:r>
                    <w:rPr>
                      <w:spacing w:val="-13"/>
                      <w:sz w:val="21"/>
                      <w:szCs w:val="21"/>
                    </w:rPr>
                    <w:t>临时占用土地，地</w:t>
                  </w:r>
                  <w:r>
                    <w:rPr>
                      <w:sz w:val="21"/>
                      <w:szCs w:val="21"/>
                    </w:rPr>
                    <w:t xml:space="preserve"> </w:t>
                  </w:r>
                  <w:r>
                    <w:rPr>
                      <w:spacing w:val="-12"/>
                      <w:sz w:val="21"/>
                      <w:szCs w:val="21"/>
                    </w:rPr>
                    <w:t>表植被破坏、水土</w:t>
                  </w:r>
                  <w:r>
                    <w:rPr>
                      <w:spacing w:val="3"/>
                      <w:sz w:val="21"/>
                      <w:szCs w:val="21"/>
                    </w:rPr>
                    <w:t xml:space="preserve"> </w:t>
                  </w:r>
                  <w:r>
                    <w:rPr>
                      <w:spacing w:val="-11"/>
                      <w:sz w:val="21"/>
                      <w:szCs w:val="21"/>
                    </w:rPr>
                    <w:t>流失，</w:t>
                  </w:r>
                  <w:r>
                    <w:rPr>
                      <w:spacing w:val="27"/>
                      <w:sz w:val="21"/>
                      <w:szCs w:val="21"/>
                    </w:rPr>
                    <w:t xml:space="preserve"> </w:t>
                  </w:r>
                  <w:r>
                    <w:rPr>
                      <w:spacing w:val="-11"/>
                      <w:sz w:val="21"/>
                      <w:szCs w:val="21"/>
                    </w:rPr>
                    <w:t>泄漏污染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544" w:type="dxa"/>
                  <w:vMerge w:val="continue"/>
                  <w:tcBorders>
                    <w:top w:val="nil"/>
                    <w:bottom w:val="nil"/>
                  </w:tcBorders>
                  <w:vAlign w:val="top"/>
                </w:tcPr>
                <w:p>
                  <w:pPr>
                    <w:rPr>
                      <w:rFonts w:ascii="Arial"/>
                      <w:sz w:val="21"/>
                    </w:rPr>
                  </w:pPr>
                </w:p>
              </w:tc>
              <w:tc>
                <w:tcPr>
                  <w:tcW w:w="566" w:type="dxa"/>
                  <w:vMerge w:val="continue"/>
                  <w:tcBorders>
                    <w:top w:val="nil"/>
                    <w:bottom w:val="nil"/>
                  </w:tcBorders>
                  <w:textDirection w:val="tbRlV"/>
                  <w:vAlign w:val="top"/>
                </w:tcPr>
                <w:p>
                  <w:pPr>
                    <w:rPr>
                      <w:rFonts w:ascii="Arial"/>
                      <w:sz w:val="21"/>
                    </w:rPr>
                  </w:pPr>
                </w:p>
              </w:tc>
              <w:tc>
                <w:tcPr>
                  <w:tcW w:w="911"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31" w:lineRule="auto"/>
                    <w:ind w:left="354" w:right="134" w:hanging="206"/>
                    <w:rPr>
                      <w:sz w:val="21"/>
                      <w:szCs w:val="21"/>
                    </w:rPr>
                  </w:pPr>
                  <w:r>
                    <w:rPr>
                      <w:spacing w:val="-3"/>
                      <w:sz w:val="21"/>
                      <w:szCs w:val="21"/>
                    </w:rPr>
                    <w:t>危险废</w:t>
                  </w:r>
                  <w:r>
                    <w:rPr>
                      <w:sz w:val="21"/>
                      <w:szCs w:val="21"/>
                    </w:rPr>
                    <w:t xml:space="preserve"> 物</w:t>
                  </w:r>
                </w:p>
              </w:tc>
              <w:tc>
                <w:tcPr>
                  <w:tcW w:w="4777" w:type="dxa"/>
                  <w:vAlign w:val="top"/>
                </w:tcPr>
                <w:p>
                  <w:pPr>
                    <w:pStyle w:val="6"/>
                    <w:spacing w:before="34" w:line="237" w:lineRule="auto"/>
                    <w:ind w:left="114" w:right="98" w:firstLine="4"/>
                    <w:jc w:val="both"/>
                    <w:rPr>
                      <w:sz w:val="21"/>
                      <w:szCs w:val="21"/>
                    </w:rPr>
                  </w:pPr>
                  <w:r>
                    <w:rPr>
                      <w:spacing w:val="-3"/>
                      <w:sz w:val="21"/>
                      <w:szCs w:val="21"/>
                    </w:rPr>
                    <w:t>油基岩屑收集后暂存于岩屑堆放区，采用岩屑罐暂</w:t>
                  </w:r>
                  <w:r>
                    <w:rPr>
                      <w:sz w:val="21"/>
                      <w:szCs w:val="21"/>
                    </w:rPr>
                    <w:t xml:space="preserve"> </w:t>
                  </w:r>
                  <w:r>
                    <w:rPr>
                      <w:spacing w:val="-3"/>
                      <w:sz w:val="21"/>
                      <w:szCs w:val="21"/>
                    </w:rPr>
                    <w:t>存，分批分次外委交由有危废处置资质的单位妥善</w:t>
                  </w:r>
                  <w:r>
                    <w:rPr>
                      <w:spacing w:val="3"/>
                      <w:sz w:val="21"/>
                      <w:szCs w:val="21"/>
                    </w:rPr>
                    <w:t xml:space="preserve"> </w:t>
                  </w:r>
                  <w:r>
                    <w:rPr>
                      <w:spacing w:val="-3"/>
                      <w:sz w:val="21"/>
                      <w:szCs w:val="21"/>
                    </w:rPr>
                    <w:t>处置；岩屑堆放区按危废贮存场地标准建设和使用</w:t>
                  </w:r>
                  <w:r>
                    <w:rPr>
                      <w:spacing w:val="3"/>
                      <w:sz w:val="21"/>
                      <w:szCs w:val="21"/>
                    </w:rPr>
                    <w:t xml:space="preserve"> </w:t>
                  </w:r>
                  <w:r>
                    <w:rPr>
                      <w:spacing w:val="-3"/>
                      <w:sz w:val="21"/>
                      <w:szCs w:val="21"/>
                    </w:rPr>
                    <w:t>管理；钻井设备维修保养过程中产生的废油、废弃</w:t>
                  </w:r>
                  <w:r>
                    <w:rPr>
                      <w:spacing w:val="1"/>
                      <w:sz w:val="21"/>
                      <w:szCs w:val="21"/>
                    </w:rPr>
                    <w:t xml:space="preserve"> </w:t>
                  </w:r>
                  <w:r>
                    <w:rPr>
                      <w:spacing w:val="-3"/>
                      <w:sz w:val="21"/>
                      <w:szCs w:val="21"/>
                    </w:rPr>
                    <w:t>的含油抹布及劳保用品，均采用桶装包装收集，并</w:t>
                  </w:r>
                  <w:r>
                    <w:rPr>
                      <w:sz w:val="21"/>
                      <w:szCs w:val="21"/>
                    </w:rPr>
                    <w:t xml:space="preserve"> </w:t>
                  </w:r>
                  <w:r>
                    <w:rPr>
                      <w:spacing w:val="-10"/>
                      <w:sz w:val="21"/>
                      <w:szCs w:val="21"/>
                    </w:rPr>
                    <w:t>设</w:t>
                  </w:r>
                  <w:r>
                    <w:rPr>
                      <w:spacing w:val="-28"/>
                      <w:sz w:val="21"/>
                      <w:szCs w:val="21"/>
                    </w:rPr>
                    <w:t xml:space="preserve"> </w:t>
                  </w:r>
                  <w:r>
                    <w:rPr>
                      <w:rFonts w:ascii="Times New Roman" w:hAnsi="Times New Roman" w:eastAsia="Times New Roman" w:cs="Times New Roman"/>
                      <w:spacing w:val="-10"/>
                      <w:sz w:val="21"/>
                      <w:szCs w:val="21"/>
                    </w:rPr>
                    <w:t>1</w:t>
                  </w:r>
                  <w:r>
                    <w:rPr>
                      <w:rFonts w:ascii="Times New Roman" w:hAnsi="Times New Roman" w:eastAsia="Times New Roman" w:cs="Times New Roman"/>
                      <w:spacing w:val="23"/>
                      <w:sz w:val="21"/>
                      <w:szCs w:val="21"/>
                    </w:rPr>
                    <w:t xml:space="preserve"> </w:t>
                  </w:r>
                  <w:r>
                    <w:rPr>
                      <w:spacing w:val="-10"/>
                      <w:sz w:val="21"/>
                      <w:szCs w:val="21"/>
                    </w:rPr>
                    <w:t>间</w:t>
                  </w:r>
                  <w:r>
                    <w:rPr>
                      <w:spacing w:val="-28"/>
                      <w:sz w:val="21"/>
                      <w:szCs w:val="21"/>
                    </w:rPr>
                    <w:t xml:space="preserve"> </w:t>
                  </w:r>
                  <w:r>
                    <w:rPr>
                      <w:rFonts w:ascii="Times New Roman" w:hAnsi="Times New Roman" w:eastAsia="Times New Roman" w:cs="Times New Roman"/>
                      <w:spacing w:val="-10"/>
                      <w:sz w:val="21"/>
                      <w:szCs w:val="21"/>
                    </w:rPr>
                    <w:t>10m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27"/>
                      <w:w w:val="101"/>
                      <w:position w:val="6"/>
                      <w:sz w:val="13"/>
                      <w:szCs w:val="13"/>
                    </w:rPr>
                    <w:t xml:space="preserve"> </w:t>
                  </w:r>
                  <w:r>
                    <w:rPr>
                      <w:spacing w:val="-1"/>
                      <w:sz w:val="21"/>
                      <w:szCs w:val="21"/>
                    </w:rPr>
                    <w:t>的危废暂存间分类暂存。危废暂存间</w:t>
                  </w:r>
                  <w:r>
                    <w:rPr>
                      <w:sz w:val="21"/>
                      <w:szCs w:val="21"/>
                    </w:rPr>
                    <w:t xml:space="preserve"> </w:t>
                  </w:r>
                  <w:r>
                    <w:rPr>
                      <w:spacing w:val="-4"/>
                      <w:sz w:val="21"/>
                      <w:szCs w:val="21"/>
                    </w:rPr>
                    <w:t>位于进场值班室旁清洁生产平台内，</w:t>
                  </w:r>
                  <w:r>
                    <w:rPr>
                      <w:spacing w:val="-53"/>
                      <w:sz w:val="21"/>
                      <w:szCs w:val="21"/>
                    </w:rPr>
                    <w:t xml:space="preserve"> </w:t>
                  </w:r>
                  <w:r>
                    <w:rPr>
                      <w:spacing w:val="-4"/>
                      <w:sz w:val="21"/>
                      <w:szCs w:val="21"/>
                    </w:rPr>
                    <w:t>采取</w:t>
                  </w:r>
                  <w:r>
                    <w:rPr>
                      <w:rFonts w:ascii="Times New Roman" w:hAnsi="Times New Roman" w:eastAsia="Times New Roman" w:cs="Times New Roman"/>
                      <w:spacing w:val="-4"/>
                      <w:sz w:val="21"/>
                      <w:szCs w:val="21"/>
                    </w:rPr>
                    <w:t>“</w:t>
                  </w:r>
                  <w:r>
                    <w:rPr>
                      <w:spacing w:val="-4"/>
                      <w:sz w:val="21"/>
                      <w:szCs w:val="21"/>
                    </w:rPr>
                    <w:t>六防</w:t>
                  </w:r>
                  <w:r>
                    <w:rPr>
                      <w:rFonts w:ascii="Times New Roman" w:hAnsi="Times New Roman" w:eastAsia="Times New Roman" w:cs="Times New Roman"/>
                      <w:spacing w:val="-4"/>
                      <w:sz w:val="21"/>
                      <w:szCs w:val="21"/>
                    </w:rPr>
                    <w:t>”</w:t>
                  </w:r>
                  <w:r>
                    <w:rPr>
                      <w:spacing w:val="-4"/>
                      <w:sz w:val="21"/>
                      <w:szCs w:val="21"/>
                    </w:rPr>
                    <w:t>措</w:t>
                  </w:r>
                  <w:r>
                    <w:rPr>
                      <w:sz w:val="21"/>
                      <w:szCs w:val="21"/>
                    </w:rPr>
                    <w:t xml:space="preserve"> </w:t>
                  </w:r>
                  <w:r>
                    <w:rPr>
                      <w:spacing w:val="-6"/>
                      <w:sz w:val="21"/>
                      <w:szCs w:val="21"/>
                    </w:rPr>
                    <w:t>施，</w:t>
                  </w:r>
                  <w:r>
                    <w:rPr>
                      <w:spacing w:val="-36"/>
                      <w:sz w:val="21"/>
                      <w:szCs w:val="21"/>
                    </w:rPr>
                    <w:t xml:space="preserve"> </w:t>
                  </w:r>
                  <w:r>
                    <w:rPr>
                      <w:spacing w:val="-6"/>
                      <w:sz w:val="21"/>
                      <w:szCs w:val="21"/>
                    </w:rPr>
                    <w:t>并设置围堰或托盘，完钻后交由有危废处置资</w:t>
                  </w:r>
                </w:p>
                <w:p>
                  <w:pPr>
                    <w:pStyle w:val="6"/>
                    <w:spacing w:before="20" w:line="207" w:lineRule="auto"/>
                    <w:ind w:left="1451"/>
                    <w:rPr>
                      <w:sz w:val="21"/>
                      <w:szCs w:val="21"/>
                    </w:rPr>
                  </w:pPr>
                  <w:r>
                    <w:rPr>
                      <w:spacing w:val="-3"/>
                      <w:sz w:val="21"/>
                      <w:szCs w:val="21"/>
                    </w:rPr>
                    <w:t>质的单位清运处置。</w:t>
                  </w:r>
                </w:p>
              </w:tc>
              <w:tc>
                <w:tcPr>
                  <w:tcW w:w="181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4" w:type="dxa"/>
                  <w:vMerge w:val="continue"/>
                  <w:tcBorders>
                    <w:top w:val="nil"/>
                    <w:bottom w:val="nil"/>
                  </w:tcBorders>
                  <w:vAlign w:val="top"/>
                </w:tcPr>
                <w:p>
                  <w:pPr>
                    <w:rPr>
                      <w:rFonts w:ascii="Arial"/>
                      <w:sz w:val="21"/>
                    </w:rPr>
                  </w:pPr>
                </w:p>
              </w:tc>
              <w:tc>
                <w:tcPr>
                  <w:tcW w:w="566" w:type="dxa"/>
                  <w:vMerge w:val="continue"/>
                  <w:tcBorders>
                    <w:top w:val="nil"/>
                  </w:tcBorders>
                  <w:textDirection w:val="tbRlV"/>
                  <w:vAlign w:val="top"/>
                </w:tcPr>
                <w:p>
                  <w:pPr>
                    <w:rPr>
                      <w:rFonts w:ascii="Arial"/>
                      <w:sz w:val="21"/>
                    </w:rPr>
                  </w:pPr>
                </w:p>
              </w:tc>
              <w:tc>
                <w:tcPr>
                  <w:tcW w:w="911" w:type="dxa"/>
                  <w:vAlign w:val="top"/>
                </w:tcPr>
                <w:p>
                  <w:pPr>
                    <w:pStyle w:val="6"/>
                    <w:spacing w:before="31" w:line="223" w:lineRule="auto"/>
                    <w:ind w:left="354" w:right="134" w:hanging="207"/>
                    <w:rPr>
                      <w:sz w:val="21"/>
                      <w:szCs w:val="21"/>
                    </w:rPr>
                  </w:pPr>
                  <w:r>
                    <w:rPr>
                      <w:spacing w:val="-3"/>
                      <w:sz w:val="21"/>
                      <w:szCs w:val="21"/>
                    </w:rPr>
                    <w:t>生活垃</w:t>
                  </w:r>
                  <w:r>
                    <w:rPr>
                      <w:spacing w:val="1"/>
                      <w:sz w:val="21"/>
                      <w:szCs w:val="21"/>
                    </w:rPr>
                    <w:t xml:space="preserve"> </w:t>
                  </w:r>
                  <w:r>
                    <w:rPr>
                      <w:sz w:val="21"/>
                      <w:szCs w:val="21"/>
                    </w:rPr>
                    <w:t>圾</w:t>
                  </w:r>
                </w:p>
              </w:tc>
              <w:tc>
                <w:tcPr>
                  <w:tcW w:w="4777" w:type="dxa"/>
                  <w:vAlign w:val="top"/>
                </w:tcPr>
                <w:p>
                  <w:pPr>
                    <w:pStyle w:val="6"/>
                    <w:spacing w:before="31" w:line="221" w:lineRule="auto"/>
                    <w:ind w:left="115"/>
                    <w:rPr>
                      <w:sz w:val="21"/>
                      <w:szCs w:val="21"/>
                    </w:rPr>
                  </w:pPr>
                  <w:r>
                    <w:rPr>
                      <w:spacing w:val="-3"/>
                      <w:sz w:val="21"/>
                      <w:szCs w:val="21"/>
                    </w:rPr>
                    <w:t>井场和生活区各设</w:t>
                  </w:r>
                  <w:r>
                    <w:rPr>
                      <w:spacing w:val="-11"/>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个垃圾箱收集暂存生活垃圾，</w:t>
                  </w:r>
                </w:p>
                <w:p>
                  <w:pPr>
                    <w:pStyle w:val="6"/>
                    <w:spacing w:before="20" w:line="207" w:lineRule="auto"/>
                    <w:ind w:left="612"/>
                    <w:rPr>
                      <w:sz w:val="21"/>
                      <w:szCs w:val="21"/>
                    </w:rPr>
                  </w:pPr>
                  <w:r>
                    <w:rPr>
                      <w:spacing w:val="-1"/>
                      <w:sz w:val="21"/>
                      <w:szCs w:val="21"/>
                    </w:rPr>
                    <w:t>生活垃圾交江陵镇环卫部门收运处置。</w:t>
                  </w:r>
                </w:p>
              </w:tc>
              <w:tc>
                <w:tcPr>
                  <w:tcW w:w="181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4" w:type="dxa"/>
                  <w:vMerge w:val="continue"/>
                  <w:tcBorders>
                    <w:top w:val="nil"/>
                    <w:bottom w:val="nil"/>
                  </w:tcBorders>
                  <w:vAlign w:val="top"/>
                </w:tcPr>
                <w:p>
                  <w:pPr>
                    <w:rPr>
                      <w:rFonts w:ascii="Arial"/>
                      <w:sz w:val="21"/>
                    </w:rPr>
                  </w:pPr>
                </w:p>
              </w:tc>
              <w:tc>
                <w:tcPr>
                  <w:tcW w:w="1477" w:type="dxa"/>
                  <w:gridSpan w:val="2"/>
                  <w:vAlign w:val="top"/>
                </w:tcPr>
                <w:p>
                  <w:pPr>
                    <w:pStyle w:val="6"/>
                    <w:spacing w:before="169" w:line="221" w:lineRule="auto"/>
                    <w:ind w:left="544"/>
                    <w:rPr>
                      <w:sz w:val="21"/>
                      <w:szCs w:val="21"/>
                    </w:rPr>
                  </w:pPr>
                  <w:r>
                    <w:rPr>
                      <w:spacing w:val="-4"/>
                      <w:sz w:val="21"/>
                      <w:szCs w:val="21"/>
                    </w:rPr>
                    <w:t>噪声</w:t>
                  </w:r>
                </w:p>
              </w:tc>
              <w:tc>
                <w:tcPr>
                  <w:tcW w:w="4777" w:type="dxa"/>
                  <w:vAlign w:val="top"/>
                </w:tcPr>
                <w:p>
                  <w:pPr>
                    <w:pStyle w:val="6"/>
                    <w:spacing w:before="33" w:line="222" w:lineRule="auto"/>
                    <w:ind w:left="925" w:right="101" w:hanging="800"/>
                    <w:rPr>
                      <w:sz w:val="21"/>
                      <w:szCs w:val="21"/>
                    </w:rPr>
                  </w:pPr>
                  <w:r>
                    <w:rPr>
                      <w:spacing w:val="-4"/>
                      <w:sz w:val="21"/>
                      <w:szCs w:val="21"/>
                    </w:rPr>
                    <w:t>噪声设备设置基础减震，同时备用发电机组、空气</w:t>
                  </w:r>
                  <w:r>
                    <w:rPr>
                      <w:spacing w:val="12"/>
                      <w:sz w:val="21"/>
                      <w:szCs w:val="21"/>
                    </w:rPr>
                    <w:t xml:space="preserve"> </w:t>
                  </w:r>
                  <w:r>
                    <w:rPr>
                      <w:spacing w:val="-1"/>
                      <w:sz w:val="21"/>
                      <w:szCs w:val="21"/>
                    </w:rPr>
                    <w:t>压缩机设置在房屋内隔声降噪。</w:t>
                  </w:r>
                </w:p>
              </w:tc>
              <w:tc>
                <w:tcPr>
                  <w:tcW w:w="1814" w:type="dxa"/>
                  <w:vAlign w:val="top"/>
                </w:tcPr>
                <w:p>
                  <w:pPr>
                    <w:spacing w:before="204" w:line="233" w:lineRule="auto"/>
                    <w:ind w:left="8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3" w:hRule="atLeast"/>
              </w:trPr>
              <w:tc>
                <w:tcPr>
                  <w:tcW w:w="544" w:type="dxa"/>
                  <w:vMerge w:val="continue"/>
                  <w:tcBorders>
                    <w:top w:val="nil"/>
                    <w:bottom w:val="nil"/>
                  </w:tcBorders>
                  <w:vAlign w:val="top"/>
                </w:tcPr>
                <w:p>
                  <w:pPr>
                    <w:rPr>
                      <w:rFonts w:ascii="Arial"/>
                      <w:sz w:val="21"/>
                    </w:rPr>
                  </w:pPr>
                </w:p>
              </w:tc>
              <w:tc>
                <w:tcPr>
                  <w:tcW w:w="1477" w:type="dxa"/>
                  <w:gridSpan w:val="2"/>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8" w:line="221" w:lineRule="auto"/>
                    <w:ind w:left="428"/>
                    <w:rPr>
                      <w:sz w:val="21"/>
                      <w:szCs w:val="21"/>
                    </w:rPr>
                  </w:pPr>
                  <w:r>
                    <w:rPr>
                      <w:spacing w:val="-2"/>
                      <w:sz w:val="21"/>
                      <w:szCs w:val="21"/>
                    </w:rPr>
                    <w:t>地下水</w:t>
                  </w:r>
                </w:p>
              </w:tc>
              <w:tc>
                <w:tcPr>
                  <w:tcW w:w="4777" w:type="dxa"/>
                  <w:vAlign w:val="top"/>
                </w:tcPr>
                <w:p>
                  <w:pPr>
                    <w:pStyle w:val="6"/>
                    <w:spacing w:before="33" w:line="236" w:lineRule="auto"/>
                    <w:ind w:left="114" w:right="100"/>
                    <w:jc w:val="both"/>
                    <w:rPr>
                      <w:sz w:val="21"/>
                      <w:szCs w:val="21"/>
                    </w:rPr>
                  </w:pPr>
                  <w:r>
                    <w:rPr>
                      <w:spacing w:val="-3"/>
                      <w:sz w:val="21"/>
                      <w:szCs w:val="21"/>
                    </w:rPr>
                    <w:t>采取分区防渗措施。对井场内井口、井架及设备基</w:t>
                  </w:r>
                  <w:r>
                    <w:rPr>
                      <w:spacing w:val="1"/>
                      <w:sz w:val="21"/>
                      <w:szCs w:val="21"/>
                    </w:rPr>
                    <w:t xml:space="preserve"> </w:t>
                  </w:r>
                  <w:r>
                    <w:rPr>
                      <w:spacing w:val="-6"/>
                      <w:sz w:val="21"/>
                      <w:szCs w:val="21"/>
                    </w:rPr>
                    <w:t>础区域、泥浆循环系统区、</w:t>
                  </w:r>
                  <w:r>
                    <w:rPr>
                      <w:spacing w:val="-38"/>
                      <w:sz w:val="21"/>
                      <w:szCs w:val="21"/>
                    </w:rPr>
                    <w:t xml:space="preserve"> </w:t>
                  </w:r>
                  <w:r>
                    <w:rPr>
                      <w:spacing w:val="-6"/>
                      <w:sz w:val="21"/>
                      <w:szCs w:val="21"/>
                    </w:rPr>
                    <w:t>泥浆材料堆存区、油水</w:t>
                  </w:r>
                  <w:r>
                    <w:rPr>
                      <w:sz w:val="21"/>
                      <w:szCs w:val="21"/>
                    </w:rPr>
                    <w:t xml:space="preserve"> </w:t>
                  </w:r>
                  <w:r>
                    <w:rPr>
                      <w:spacing w:val="-3"/>
                      <w:sz w:val="21"/>
                      <w:szCs w:val="21"/>
                    </w:rPr>
                    <w:t>罐区、应急池、燃烧池、集酸池、清洁生产操作平</w:t>
                  </w:r>
                  <w:r>
                    <w:rPr>
                      <w:spacing w:val="1"/>
                      <w:sz w:val="21"/>
                      <w:szCs w:val="21"/>
                    </w:rPr>
                    <w:t xml:space="preserve"> </w:t>
                  </w:r>
                  <w:r>
                    <w:rPr>
                      <w:spacing w:val="-3"/>
                      <w:sz w:val="21"/>
                      <w:szCs w:val="21"/>
                    </w:rPr>
                    <w:t>台、泥浆储备罐区、隔油池、集液池等采取重点防</w:t>
                  </w:r>
                  <w:r>
                    <w:rPr>
                      <w:spacing w:val="1"/>
                      <w:sz w:val="21"/>
                      <w:szCs w:val="21"/>
                    </w:rPr>
                    <w:t xml:space="preserve"> </w:t>
                  </w:r>
                  <w:r>
                    <w:rPr>
                      <w:spacing w:val="-3"/>
                      <w:sz w:val="21"/>
                      <w:szCs w:val="21"/>
                    </w:rPr>
                    <w:t>渗处理；井场部分非设备基础区（包括清污分流排</w:t>
                  </w:r>
                  <w:r>
                    <w:rPr>
                      <w:spacing w:val="1"/>
                      <w:sz w:val="21"/>
                      <w:szCs w:val="21"/>
                    </w:rPr>
                    <w:t xml:space="preserve"> </w:t>
                  </w:r>
                  <w:r>
                    <w:rPr>
                      <w:spacing w:val="-3"/>
                      <w:sz w:val="21"/>
                      <w:szCs w:val="21"/>
                    </w:rPr>
                    <w:t>水沟）、环保厕所所在区域采取一般防渗处理；除</w:t>
                  </w:r>
                </w:p>
                <w:p>
                  <w:pPr>
                    <w:pStyle w:val="6"/>
                    <w:spacing w:before="23" w:line="220" w:lineRule="auto"/>
                    <w:ind w:left="294"/>
                    <w:rPr>
                      <w:sz w:val="21"/>
                      <w:szCs w:val="21"/>
                    </w:rPr>
                  </w:pPr>
                  <w:r>
                    <w:rPr>
                      <w:spacing w:val="-1"/>
                      <w:sz w:val="21"/>
                      <w:szCs w:val="21"/>
                    </w:rPr>
                    <w:t>重点防渗和一般防渗外的区域为简单防渗区。</w:t>
                  </w:r>
                </w:p>
                <w:p>
                  <w:pPr>
                    <w:pStyle w:val="6"/>
                    <w:spacing w:before="21" w:line="235" w:lineRule="auto"/>
                    <w:ind w:left="118" w:right="40" w:firstLine="16"/>
                    <w:rPr>
                      <w:sz w:val="21"/>
                      <w:szCs w:val="21"/>
                    </w:rPr>
                  </w:pPr>
                  <w:r>
                    <w:rPr>
                      <w:spacing w:val="-4"/>
                      <w:sz w:val="21"/>
                      <w:szCs w:val="21"/>
                    </w:rPr>
                    <w:t>场内设备基础外设置</w:t>
                  </w:r>
                  <w:r>
                    <w:rPr>
                      <w:spacing w:val="-45"/>
                      <w:sz w:val="21"/>
                      <w:szCs w:val="21"/>
                    </w:rPr>
                    <w:t xml:space="preserve"> </w:t>
                  </w:r>
                  <w:r>
                    <w:rPr>
                      <w:rFonts w:ascii="Times New Roman" w:hAnsi="Times New Roman" w:eastAsia="Times New Roman" w:cs="Times New Roman"/>
                      <w:spacing w:val="-4"/>
                      <w:sz w:val="21"/>
                      <w:szCs w:val="21"/>
                    </w:rPr>
                    <w:t xml:space="preserve">0.2m </w:t>
                  </w:r>
                  <w:r>
                    <w:rPr>
                      <w:spacing w:val="-4"/>
                      <w:sz w:val="21"/>
                      <w:szCs w:val="21"/>
                    </w:rPr>
                    <w:t>高挡水墙，</w:t>
                  </w:r>
                  <w:r>
                    <w:rPr>
                      <w:spacing w:val="-23"/>
                      <w:sz w:val="21"/>
                      <w:szCs w:val="21"/>
                    </w:rPr>
                    <w:t xml:space="preserve"> </w:t>
                  </w:r>
                  <w:r>
                    <w:rPr>
                      <w:spacing w:val="-4"/>
                      <w:sz w:val="21"/>
                      <w:szCs w:val="21"/>
                    </w:rPr>
                    <w:t xml:space="preserve">循环系统外 </w:t>
                  </w:r>
                  <w:r>
                    <w:rPr>
                      <w:spacing w:val="-6"/>
                      <w:sz w:val="21"/>
                      <w:szCs w:val="21"/>
                    </w:rPr>
                    <w:t>设</w:t>
                  </w:r>
                  <w:r>
                    <w:rPr>
                      <w:spacing w:val="-30"/>
                      <w:sz w:val="21"/>
                      <w:szCs w:val="21"/>
                    </w:rPr>
                    <w:t xml:space="preserve"> </w:t>
                  </w:r>
                  <w:r>
                    <w:rPr>
                      <w:rFonts w:ascii="Times New Roman" w:hAnsi="Times New Roman" w:eastAsia="Times New Roman" w:cs="Times New Roman"/>
                      <w:spacing w:val="-6"/>
                      <w:sz w:val="21"/>
                      <w:szCs w:val="21"/>
                    </w:rPr>
                    <w:t xml:space="preserve">0.6m </w:t>
                  </w:r>
                  <w:r>
                    <w:rPr>
                      <w:spacing w:val="-6"/>
                      <w:sz w:val="21"/>
                      <w:szCs w:val="21"/>
                    </w:rPr>
                    <w:t>高挡水墙； 泥浆储备罐罐区周边设置</w:t>
                  </w:r>
                  <w:r>
                    <w:rPr>
                      <w:spacing w:val="-45"/>
                      <w:sz w:val="21"/>
                      <w:szCs w:val="21"/>
                    </w:rPr>
                    <w:t xml:space="preserve"> </w:t>
                  </w:r>
                  <w:r>
                    <w:rPr>
                      <w:rFonts w:ascii="Times New Roman" w:hAnsi="Times New Roman" w:eastAsia="Times New Roman" w:cs="Times New Roman"/>
                      <w:spacing w:val="-6"/>
                      <w:sz w:val="21"/>
                      <w:szCs w:val="21"/>
                    </w:rPr>
                    <w:t>0.2m</w:t>
                  </w:r>
                  <w:r>
                    <w:rPr>
                      <w:rFonts w:ascii="Times New Roman" w:hAnsi="Times New Roman" w:eastAsia="Times New Roman" w:cs="Times New Roman"/>
                      <w:sz w:val="21"/>
                      <w:szCs w:val="21"/>
                    </w:rPr>
                    <w:t xml:space="preserve">  </w:t>
                  </w:r>
                  <w:r>
                    <w:rPr>
                      <w:spacing w:val="-9"/>
                      <w:sz w:val="21"/>
                      <w:szCs w:val="21"/>
                    </w:rPr>
                    <w:t>高围堰，容积</w:t>
                  </w:r>
                  <w:r>
                    <w:rPr>
                      <w:spacing w:val="-30"/>
                      <w:sz w:val="21"/>
                      <w:szCs w:val="21"/>
                    </w:rPr>
                    <w:t xml:space="preserve"> </w:t>
                  </w:r>
                  <w:r>
                    <w:rPr>
                      <w:rFonts w:ascii="Times New Roman" w:hAnsi="Times New Roman" w:eastAsia="Times New Roman" w:cs="Times New Roman"/>
                      <w:spacing w:val="-9"/>
                      <w:sz w:val="21"/>
                      <w:szCs w:val="21"/>
                    </w:rPr>
                    <w:t>75m</w:t>
                  </w:r>
                  <w:r>
                    <w:rPr>
                      <w:rFonts w:ascii="Times New Roman" w:hAnsi="Times New Roman" w:eastAsia="Times New Roman" w:cs="Times New Roman"/>
                      <w:spacing w:val="-9"/>
                      <w:position w:val="6"/>
                      <w:sz w:val="13"/>
                      <w:szCs w:val="13"/>
                    </w:rPr>
                    <w:t>3</w:t>
                  </w:r>
                  <w:r>
                    <w:rPr>
                      <w:spacing w:val="-9"/>
                      <w:sz w:val="21"/>
                      <w:szCs w:val="21"/>
                    </w:rPr>
                    <w:t>；油罐区周边设置</w:t>
                  </w:r>
                  <w:r>
                    <w:rPr>
                      <w:spacing w:val="-44"/>
                      <w:sz w:val="21"/>
                      <w:szCs w:val="21"/>
                    </w:rPr>
                    <w:t xml:space="preserve"> </w:t>
                  </w:r>
                  <w:r>
                    <w:rPr>
                      <w:rFonts w:ascii="Times New Roman" w:hAnsi="Times New Roman" w:eastAsia="Times New Roman" w:cs="Times New Roman"/>
                      <w:spacing w:val="-9"/>
                      <w:sz w:val="21"/>
                      <w:szCs w:val="21"/>
                    </w:rPr>
                    <w:t>0.2m</w:t>
                  </w:r>
                  <w:r>
                    <w:rPr>
                      <w:rFonts w:ascii="Times New Roman" w:hAnsi="Times New Roman" w:eastAsia="Times New Roman" w:cs="Times New Roman"/>
                      <w:spacing w:val="13"/>
                      <w:sz w:val="21"/>
                      <w:szCs w:val="21"/>
                    </w:rPr>
                    <w:t xml:space="preserve"> </w:t>
                  </w:r>
                  <w:r>
                    <w:rPr>
                      <w:spacing w:val="-9"/>
                      <w:sz w:val="21"/>
                      <w:szCs w:val="21"/>
                    </w:rPr>
                    <w:t>高围堰，</w:t>
                  </w:r>
                  <w:r>
                    <w:rPr>
                      <w:sz w:val="21"/>
                      <w:szCs w:val="21"/>
                    </w:rPr>
                    <w:t xml:space="preserve"> </w:t>
                  </w:r>
                  <w:r>
                    <w:rPr>
                      <w:spacing w:val="-3"/>
                      <w:sz w:val="21"/>
                      <w:szCs w:val="21"/>
                    </w:rPr>
                    <w:t>容积</w:t>
                  </w:r>
                  <w:r>
                    <w:rPr>
                      <w:spacing w:val="-32"/>
                      <w:sz w:val="21"/>
                      <w:szCs w:val="21"/>
                    </w:rPr>
                    <w:t xml:space="preserve"> </w:t>
                  </w:r>
                  <w:r>
                    <w:rPr>
                      <w:rFonts w:ascii="Times New Roman" w:hAnsi="Times New Roman" w:eastAsia="Times New Roman" w:cs="Times New Roman"/>
                      <w:spacing w:val="-3"/>
                      <w:sz w:val="21"/>
                      <w:szCs w:val="21"/>
                    </w:rPr>
                    <w:t>26m</w:t>
                  </w:r>
                  <w:r>
                    <w:rPr>
                      <w:rFonts w:ascii="Times New Roman" w:hAnsi="Times New Roman" w:eastAsia="Times New Roman" w:cs="Times New Roman"/>
                      <w:spacing w:val="-3"/>
                      <w:position w:val="6"/>
                      <w:sz w:val="13"/>
                      <w:szCs w:val="13"/>
                    </w:rPr>
                    <w:t>3</w:t>
                  </w:r>
                  <w:r>
                    <w:rPr>
                      <w:spacing w:val="-3"/>
                      <w:sz w:val="21"/>
                      <w:szCs w:val="21"/>
                    </w:rPr>
                    <w:t>；操作平台周边设置</w:t>
                  </w:r>
                  <w:r>
                    <w:rPr>
                      <w:spacing w:val="-45"/>
                      <w:sz w:val="21"/>
                      <w:szCs w:val="21"/>
                    </w:rPr>
                    <w:t xml:space="preserve"> </w:t>
                  </w:r>
                  <w:r>
                    <w:rPr>
                      <w:rFonts w:ascii="Times New Roman" w:hAnsi="Times New Roman" w:eastAsia="Times New Roman" w:cs="Times New Roman"/>
                      <w:spacing w:val="-3"/>
                      <w:sz w:val="21"/>
                      <w:szCs w:val="21"/>
                    </w:rPr>
                    <w:t>0.2m</w:t>
                  </w:r>
                  <w:r>
                    <w:rPr>
                      <w:rFonts w:ascii="Times New Roman" w:hAnsi="Times New Roman" w:eastAsia="Times New Roman" w:cs="Times New Roman"/>
                      <w:spacing w:val="13"/>
                      <w:w w:val="101"/>
                      <w:sz w:val="21"/>
                      <w:szCs w:val="21"/>
                    </w:rPr>
                    <w:t xml:space="preserve"> </w:t>
                  </w:r>
                  <w:r>
                    <w:rPr>
                      <w:spacing w:val="-3"/>
                      <w:sz w:val="21"/>
                      <w:szCs w:val="21"/>
                    </w:rPr>
                    <w:t>高围堰，容积</w:t>
                  </w:r>
                </w:p>
                <w:p>
                  <w:pPr>
                    <w:pStyle w:val="6"/>
                    <w:spacing w:before="38" w:line="190" w:lineRule="auto"/>
                    <w:ind w:left="2070"/>
                    <w:rPr>
                      <w:sz w:val="21"/>
                      <w:szCs w:val="21"/>
                    </w:rPr>
                  </w:pPr>
                  <w:r>
                    <w:rPr>
                      <w:rFonts w:ascii="Times New Roman" w:hAnsi="Times New Roman" w:eastAsia="Times New Roman" w:cs="Times New Roman"/>
                      <w:spacing w:val="-1"/>
                      <w:sz w:val="21"/>
                      <w:szCs w:val="21"/>
                    </w:rPr>
                    <w:t>60m</w:t>
                  </w:r>
                  <w:r>
                    <w:rPr>
                      <w:rFonts w:ascii="Times New Roman" w:hAnsi="Times New Roman" w:eastAsia="Times New Roman" w:cs="Times New Roman"/>
                      <w:spacing w:val="-1"/>
                      <w:position w:val="6"/>
                      <w:sz w:val="13"/>
                      <w:szCs w:val="13"/>
                    </w:rPr>
                    <w:t>3</w:t>
                  </w:r>
                  <w:r>
                    <w:rPr>
                      <w:spacing w:val="-1"/>
                      <w:sz w:val="21"/>
                      <w:szCs w:val="21"/>
                    </w:rPr>
                    <w:t>。</w:t>
                  </w:r>
                </w:p>
              </w:tc>
              <w:tc>
                <w:tcPr>
                  <w:tcW w:w="18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8" w:line="231" w:lineRule="auto"/>
                    <w:ind w:left="121" w:right="105" w:hanging="5"/>
                    <w:rPr>
                      <w:sz w:val="21"/>
                      <w:szCs w:val="21"/>
                    </w:rPr>
                  </w:pPr>
                  <w:r>
                    <w:rPr>
                      <w:spacing w:val="-12"/>
                      <w:sz w:val="21"/>
                      <w:szCs w:val="21"/>
                    </w:rPr>
                    <w:t>渗漏污染土壤、地</w:t>
                  </w:r>
                  <w:r>
                    <w:rPr>
                      <w:spacing w:val="2"/>
                      <w:sz w:val="21"/>
                      <w:szCs w:val="21"/>
                    </w:rPr>
                    <w:t xml:space="preserve"> </w:t>
                  </w:r>
                  <w:r>
                    <w:rPr>
                      <w:spacing w:val="-13"/>
                      <w:sz w:val="21"/>
                      <w:szCs w:val="21"/>
                    </w:rPr>
                    <w:t>下水、地表水环境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44" w:type="dxa"/>
                  <w:vMerge w:val="continue"/>
                  <w:tcBorders>
                    <w:top w:val="nil"/>
                    <w:bottom w:val="nil"/>
                  </w:tcBorders>
                  <w:vAlign w:val="top"/>
                </w:tcPr>
                <w:p>
                  <w:pPr>
                    <w:rPr>
                      <w:rFonts w:ascii="Arial"/>
                      <w:sz w:val="21"/>
                    </w:rPr>
                  </w:pPr>
                </w:p>
              </w:tc>
              <w:tc>
                <w:tcPr>
                  <w:tcW w:w="566" w:type="dxa"/>
                  <w:vMerge w:val="restart"/>
                  <w:tcBorders>
                    <w:bottom w:val="nil"/>
                  </w:tcBorders>
                  <w:textDirection w:val="tbRlV"/>
                  <w:vAlign w:val="top"/>
                </w:tcPr>
                <w:p>
                  <w:pPr>
                    <w:pStyle w:val="6"/>
                    <w:spacing w:before="176" w:line="214" w:lineRule="auto"/>
                    <w:ind w:left="721"/>
                    <w:rPr>
                      <w:sz w:val="21"/>
                      <w:szCs w:val="21"/>
                    </w:rPr>
                  </w:pPr>
                  <w:r>
                    <w:rPr>
                      <w:spacing w:val="31"/>
                      <w:sz w:val="21"/>
                      <w:szCs w:val="21"/>
                    </w:rPr>
                    <w:t>生态</w:t>
                  </w:r>
                </w:p>
              </w:tc>
              <w:tc>
                <w:tcPr>
                  <w:tcW w:w="911" w:type="dxa"/>
                  <w:vAlign w:val="top"/>
                </w:tcPr>
                <w:p>
                  <w:pPr>
                    <w:spacing w:line="371" w:lineRule="auto"/>
                    <w:rPr>
                      <w:rFonts w:ascii="Arial"/>
                      <w:sz w:val="21"/>
                    </w:rPr>
                  </w:pPr>
                </w:p>
                <w:p>
                  <w:pPr>
                    <w:pStyle w:val="6"/>
                    <w:spacing w:before="69" w:line="231" w:lineRule="auto"/>
                    <w:ind w:left="354" w:right="134" w:hanging="207"/>
                    <w:rPr>
                      <w:sz w:val="21"/>
                      <w:szCs w:val="21"/>
                    </w:rPr>
                  </w:pPr>
                  <w:r>
                    <w:rPr>
                      <w:spacing w:val="-3"/>
                      <w:sz w:val="21"/>
                      <w:szCs w:val="21"/>
                    </w:rPr>
                    <w:t>生态保</w:t>
                  </w:r>
                  <w:r>
                    <w:rPr>
                      <w:spacing w:val="1"/>
                      <w:sz w:val="21"/>
                      <w:szCs w:val="21"/>
                    </w:rPr>
                    <w:t xml:space="preserve"> </w:t>
                  </w:r>
                  <w:r>
                    <w:rPr>
                      <w:sz w:val="21"/>
                      <w:szCs w:val="21"/>
                    </w:rPr>
                    <w:t>护</w:t>
                  </w:r>
                </w:p>
              </w:tc>
              <w:tc>
                <w:tcPr>
                  <w:tcW w:w="4777" w:type="dxa"/>
                  <w:vAlign w:val="top"/>
                </w:tcPr>
                <w:p>
                  <w:pPr>
                    <w:pStyle w:val="6"/>
                    <w:spacing w:before="36" w:line="234" w:lineRule="auto"/>
                    <w:ind w:left="115" w:right="98"/>
                    <w:jc w:val="both"/>
                    <w:rPr>
                      <w:sz w:val="21"/>
                      <w:szCs w:val="21"/>
                    </w:rPr>
                  </w:pPr>
                  <w:r>
                    <w:rPr>
                      <w:spacing w:val="-3"/>
                      <w:sz w:val="21"/>
                      <w:szCs w:val="21"/>
                    </w:rPr>
                    <w:t>新建燃烧池，建挡墙减小热辐射影响；对热辐</w:t>
                  </w:r>
                  <w:r>
                    <w:rPr>
                      <w:spacing w:val="-4"/>
                      <w:sz w:val="21"/>
                      <w:szCs w:val="21"/>
                    </w:rPr>
                    <w:t>射破</w:t>
                  </w:r>
                  <w:r>
                    <w:rPr>
                      <w:sz w:val="21"/>
                      <w:szCs w:val="21"/>
                    </w:rPr>
                    <w:t xml:space="preserve"> </w:t>
                  </w:r>
                  <w:r>
                    <w:rPr>
                      <w:spacing w:val="-3"/>
                      <w:sz w:val="21"/>
                      <w:szCs w:val="21"/>
                    </w:rPr>
                    <w:t>坏的植被进行补偿；设置耕植土堆放区，并用彩布</w:t>
                  </w:r>
                  <w:r>
                    <w:rPr>
                      <w:sz w:val="21"/>
                      <w:szCs w:val="21"/>
                    </w:rPr>
                    <w:t xml:space="preserve"> </w:t>
                  </w:r>
                  <w:r>
                    <w:rPr>
                      <w:spacing w:val="-3"/>
                      <w:sz w:val="21"/>
                      <w:szCs w:val="21"/>
                    </w:rPr>
                    <w:t>条进行覆盖，并在其四周设挡土墙，临时堆放占地</w:t>
                  </w:r>
                  <w:r>
                    <w:rPr>
                      <w:sz w:val="21"/>
                      <w:szCs w:val="21"/>
                    </w:rPr>
                    <w:t xml:space="preserve"> </w:t>
                  </w:r>
                  <w:r>
                    <w:rPr>
                      <w:spacing w:val="-3"/>
                      <w:sz w:val="21"/>
                      <w:szCs w:val="21"/>
                    </w:rPr>
                    <w:t>清理表层耕植土用于完钻后回填、复垦；场地周场</w:t>
                  </w:r>
                </w:p>
                <w:p>
                  <w:pPr>
                    <w:pStyle w:val="6"/>
                    <w:spacing w:before="23" w:line="204" w:lineRule="auto"/>
                    <w:ind w:left="1575"/>
                    <w:rPr>
                      <w:sz w:val="21"/>
                      <w:szCs w:val="21"/>
                    </w:rPr>
                  </w:pPr>
                  <w:r>
                    <w:rPr>
                      <w:spacing w:val="-3"/>
                      <w:sz w:val="21"/>
                      <w:szCs w:val="21"/>
                    </w:rPr>
                    <w:t>围修临时排水沟。</w:t>
                  </w:r>
                </w:p>
              </w:tc>
              <w:tc>
                <w:tcPr>
                  <w:tcW w:w="1814" w:type="dxa"/>
                  <w:vAlign w:val="top"/>
                </w:tcPr>
                <w:p>
                  <w:pPr>
                    <w:spacing w:line="275" w:lineRule="auto"/>
                    <w:rPr>
                      <w:rFonts w:ascii="Arial"/>
                      <w:sz w:val="21"/>
                    </w:rPr>
                  </w:pPr>
                </w:p>
                <w:p>
                  <w:pPr>
                    <w:spacing w:line="275" w:lineRule="auto"/>
                    <w:rPr>
                      <w:rFonts w:ascii="Arial"/>
                      <w:sz w:val="21"/>
                    </w:rPr>
                  </w:pPr>
                </w:p>
                <w:p>
                  <w:pPr>
                    <w:spacing w:before="60" w:line="233" w:lineRule="auto"/>
                    <w:ind w:left="8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544" w:type="dxa"/>
                  <w:vMerge w:val="continue"/>
                  <w:tcBorders>
                    <w:top w:val="nil"/>
                  </w:tcBorders>
                  <w:vAlign w:val="top"/>
                </w:tcPr>
                <w:p>
                  <w:pPr>
                    <w:rPr>
                      <w:rFonts w:ascii="Arial"/>
                      <w:sz w:val="21"/>
                    </w:rPr>
                  </w:pPr>
                </w:p>
              </w:tc>
              <w:tc>
                <w:tcPr>
                  <w:tcW w:w="566" w:type="dxa"/>
                  <w:vMerge w:val="continue"/>
                  <w:tcBorders>
                    <w:top w:val="nil"/>
                  </w:tcBorders>
                  <w:textDirection w:val="tbRlV"/>
                  <w:vAlign w:val="top"/>
                </w:tcPr>
                <w:p>
                  <w:pPr>
                    <w:rPr>
                      <w:rFonts w:ascii="Arial"/>
                      <w:sz w:val="21"/>
                    </w:rPr>
                  </w:pPr>
                </w:p>
              </w:tc>
              <w:tc>
                <w:tcPr>
                  <w:tcW w:w="911" w:type="dxa"/>
                  <w:vAlign w:val="top"/>
                </w:tcPr>
                <w:p>
                  <w:pPr>
                    <w:pStyle w:val="6"/>
                    <w:spacing w:before="34" w:line="225" w:lineRule="auto"/>
                    <w:ind w:left="359" w:right="134" w:hanging="212"/>
                    <w:rPr>
                      <w:sz w:val="21"/>
                      <w:szCs w:val="21"/>
                    </w:rPr>
                  </w:pPr>
                  <w:r>
                    <w:rPr>
                      <w:spacing w:val="-3"/>
                      <w:sz w:val="21"/>
                      <w:szCs w:val="21"/>
                    </w:rPr>
                    <w:t>生态恢</w:t>
                  </w:r>
                  <w:r>
                    <w:rPr>
                      <w:spacing w:val="1"/>
                      <w:sz w:val="21"/>
                      <w:szCs w:val="21"/>
                    </w:rPr>
                    <w:t xml:space="preserve"> </w:t>
                  </w:r>
                  <w:r>
                    <w:rPr>
                      <w:sz w:val="21"/>
                      <w:szCs w:val="21"/>
                    </w:rPr>
                    <w:t>复</w:t>
                  </w:r>
                </w:p>
              </w:tc>
              <w:tc>
                <w:tcPr>
                  <w:tcW w:w="4777" w:type="dxa"/>
                  <w:vAlign w:val="top"/>
                </w:tcPr>
                <w:p>
                  <w:pPr>
                    <w:pStyle w:val="6"/>
                    <w:spacing w:before="34" w:line="225" w:lineRule="auto"/>
                    <w:ind w:left="1868" w:right="98" w:hanging="1753"/>
                    <w:rPr>
                      <w:sz w:val="21"/>
                      <w:szCs w:val="21"/>
                    </w:rPr>
                  </w:pPr>
                  <w:r>
                    <w:rPr>
                      <w:spacing w:val="-3"/>
                      <w:sz w:val="21"/>
                      <w:szCs w:val="21"/>
                    </w:rPr>
                    <w:t>根据《土地管理法》规定相关地方规定对工程占地</w:t>
                  </w:r>
                  <w:r>
                    <w:rPr>
                      <w:spacing w:val="2"/>
                      <w:sz w:val="21"/>
                      <w:szCs w:val="21"/>
                    </w:rPr>
                    <w:t xml:space="preserve"> </w:t>
                  </w:r>
                  <w:r>
                    <w:rPr>
                      <w:spacing w:val="-1"/>
                      <w:sz w:val="21"/>
                      <w:szCs w:val="21"/>
                    </w:rPr>
                    <w:t>进行补偿。</w:t>
                  </w:r>
                </w:p>
              </w:tc>
              <w:tc>
                <w:tcPr>
                  <w:tcW w:w="1814" w:type="dxa"/>
                  <w:vAlign w:val="top"/>
                </w:tcPr>
                <w:p>
                  <w:pPr>
                    <w:spacing w:before="206" w:line="233" w:lineRule="auto"/>
                    <w:ind w:left="8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225" w:line="221" w:lineRule="auto"/>
              <w:ind w:left="562"/>
              <w:rPr>
                <w:sz w:val="24"/>
                <w:szCs w:val="24"/>
              </w:rPr>
            </w:pPr>
            <w:r>
              <w:rPr>
                <w:rFonts w:ascii="Times New Roman" w:hAnsi="Times New Roman" w:eastAsia="Times New Roman" w:cs="Times New Roman"/>
                <w:b/>
                <w:bCs/>
                <w:spacing w:val="-1"/>
                <w:sz w:val="24"/>
                <w:szCs w:val="24"/>
              </w:rPr>
              <w:t xml:space="preserve">2.4 </w:t>
            </w:r>
            <w:r>
              <w:rPr>
                <w:spacing w:val="-1"/>
                <w:sz w:val="24"/>
                <w:szCs w:val="24"/>
                <w14:textOutline w14:w="4354" w14:cap="flat" w14:cmpd="sng">
                  <w14:solidFill>
                    <w14:srgbClr w14:val="000000"/>
                  </w14:solidFill>
                  <w14:prstDash w14:val="solid"/>
                  <w14:miter w14:val="10"/>
                </w14:textOutline>
              </w:rPr>
              <w:t>主要设备</w:t>
            </w:r>
          </w:p>
          <w:p>
            <w:pPr>
              <w:pStyle w:val="6"/>
              <w:spacing w:before="192" w:line="218" w:lineRule="auto"/>
              <w:ind w:left="1074"/>
              <w:rPr>
                <w:sz w:val="24"/>
                <w:szCs w:val="24"/>
              </w:rPr>
            </w:pPr>
            <w:r>
              <w:rPr>
                <w:spacing w:val="-12"/>
                <w:sz w:val="24"/>
                <w:szCs w:val="24"/>
              </w:rPr>
              <w:t>由于钻前工程施工主要为土建作业，</w:t>
            </w:r>
            <w:r>
              <w:rPr>
                <w:spacing w:val="54"/>
                <w:sz w:val="24"/>
                <w:szCs w:val="24"/>
              </w:rPr>
              <w:t xml:space="preserve"> </w:t>
            </w:r>
            <w:r>
              <w:rPr>
                <w:spacing w:val="-12"/>
                <w:sz w:val="24"/>
                <w:szCs w:val="24"/>
              </w:rPr>
              <w:t>设备为土建施工常用设备，</w:t>
            </w:r>
            <w:r>
              <w:rPr>
                <w:spacing w:val="52"/>
                <w:sz w:val="24"/>
                <w:szCs w:val="24"/>
              </w:rPr>
              <w:t xml:space="preserve"> </w:t>
            </w:r>
            <w:r>
              <w:rPr>
                <w:spacing w:val="-12"/>
                <w:sz w:val="24"/>
                <w:szCs w:val="24"/>
              </w:rPr>
              <w:t>本评价不做详</w:t>
            </w:r>
          </w:p>
        </w:tc>
      </w:tr>
    </w:tbl>
    <w:p>
      <w:pPr>
        <w:pStyle w:val="2"/>
        <w:rPr>
          <w:sz w:val="21"/>
        </w:rPr>
      </w:pPr>
    </w:p>
    <w:p>
      <w:pPr>
        <w:rPr>
          <w:sz w:val="21"/>
          <w:szCs w:val="21"/>
        </w:rPr>
        <w:sectPr>
          <w:footerReference r:id="rId36"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2"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2"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10" w:hRule="atLeast"/>
        </w:trPr>
        <w:tc>
          <w:tcPr>
            <w:tcW w:w="9291" w:type="dxa"/>
            <w:vAlign w:val="top"/>
          </w:tcPr>
          <w:p>
            <w:pPr>
              <w:pStyle w:val="6"/>
              <w:spacing w:before="181" w:line="219" w:lineRule="auto"/>
              <w:ind w:left="566"/>
              <w:rPr>
                <w:sz w:val="24"/>
                <w:szCs w:val="24"/>
              </w:rPr>
            </w:pPr>
            <w:r>
              <w:pict>
                <v:rect id="_x0000_s1037" o:spid="_x0000_s1037" o:spt="1" style="position:absolute;left:0pt;margin-left:22.75pt;margin-top:0.95pt;height:689.65pt;width:0.5pt;mso-position-horizontal-relative:page;mso-position-vertical-relative:page;z-index:251691008;mso-width-relative:page;mso-height-relative:page;" fillcolor="#000000" filled="t" stroked="f" coordsize="21600,21600">
                  <v:path/>
                  <v:fill on="t" focussize="0,0"/>
                  <v:stroke on="f"/>
                  <v:imagedata o:title=""/>
                  <o:lock v:ext="edit"/>
                </v:rect>
              </w:pict>
            </w:r>
            <w:r>
              <w:rPr>
                <w:spacing w:val="-2"/>
                <w:sz w:val="24"/>
                <w:szCs w:val="24"/>
              </w:rPr>
              <w:t>细列举，重点对钻井设备及完井设备列表说</w:t>
            </w:r>
            <w:r>
              <w:rPr>
                <w:spacing w:val="-3"/>
                <w:sz w:val="24"/>
                <w:szCs w:val="24"/>
              </w:rPr>
              <w:t>明。</w:t>
            </w:r>
          </w:p>
          <w:p>
            <w:pPr>
              <w:pStyle w:val="6"/>
              <w:spacing w:before="196" w:line="369" w:lineRule="auto"/>
              <w:ind w:left="566" w:right="103" w:firstLine="479"/>
              <w:rPr>
                <w:sz w:val="24"/>
                <w:szCs w:val="24"/>
              </w:rPr>
            </w:pPr>
            <w:r>
              <w:rPr>
                <w:spacing w:val="-2"/>
                <w:sz w:val="24"/>
                <w:szCs w:val="24"/>
              </w:rPr>
              <w:t>根据《凤探</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井钻井工程设计》，钻井作业主要钻井设备包括泥浆钻</w:t>
            </w:r>
            <w:r>
              <w:rPr>
                <w:spacing w:val="-3"/>
                <w:sz w:val="24"/>
                <w:szCs w:val="24"/>
              </w:rPr>
              <w:t>井系统、</w:t>
            </w:r>
            <w:r>
              <w:rPr>
                <w:sz w:val="24"/>
                <w:szCs w:val="24"/>
              </w:rPr>
              <w:t xml:space="preserve"> </w:t>
            </w:r>
            <w:r>
              <w:rPr>
                <w:spacing w:val="-6"/>
                <w:sz w:val="24"/>
                <w:szCs w:val="24"/>
              </w:rPr>
              <w:t>井架设备和井场监控自动化设备。根据对设备清单的核查检索，</w:t>
            </w:r>
            <w:r>
              <w:rPr>
                <w:spacing w:val="61"/>
                <w:sz w:val="24"/>
                <w:szCs w:val="24"/>
              </w:rPr>
              <w:t xml:space="preserve"> </w:t>
            </w:r>
            <w:r>
              <w:rPr>
                <w:spacing w:val="-6"/>
                <w:sz w:val="24"/>
                <w:szCs w:val="24"/>
              </w:rPr>
              <w:t>无国家规定的禁止</w:t>
            </w:r>
          </w:p>
          <w:p>
            <w:pPr>
              <w:pStyle w:val="6"/>
              <w:spacing w:before="1" w:line="218" w:lineRule="auto"/>
              <w:ind w:left="566"/>
              <w:rPr>
                <w:sz w:val="24"/>
                <w:szCs w:val="24"/>
              </w:rPr>
            </w:pPr>
            <w:r>
              <w:rPr>
                <w:spacing w:val="-3"/>
                <w:sz w:val="24"/>
                <w:szCs w:val="24"/>
              </w:rPr>
              <w:t>使用和淘汰类设备。本项目使用设备如下。</w:t>
            </w:r>
          </w:p>
          <w:p>
            <w:pPr>
              <w:pStyle w:val="6"/>
              <w:spacing w:before="195" w:line="219" w:lineRule="auto"/>
              <w:ind w:left="3147"/>
              <w:rPr>
                <w:sz w:val="24"/>
                <w:szCs w:val="24"/>
              </w:rPr>
            </w:pPr>
            <w:r>
              <w:rPr>
                <w:spacing w:val="-1"/>
                <w:sz w:val="24"/>
                <w:szCs w:val="24"/>
                <w14:textOutline w14:w="4354" w14:cap="flat" w14:cmpd="sng">
                  <w14:solidFill>
                    <w14:srgbClr w14:val="000000"/>
                  </w14:solidFill>
                  <w14:prstDash w14:val="solid"/>
                  <w14:miter w14:val="10"/>
                </w14:textOutline>
              </w:rPr>
              <w:t>表</w:t>
            </w:r>
            <w:r>
              <w:rPr>
                <w:spacing w:val="-40"/>
                <w:sz w:val="24"/>
                <w:szCs w:val="24"/>
              </w:rPr>
              <w:t xml:space="preserve"> </w:t>
            </w:r>
            <w:r>
              <w:rPr>
                <w:rFonts w:ascii="Times New Roman" w:hAnsi="Times New Roman" w:eastAsia="Times New Roman" w:cs="Times New Roman"/>
                <w:b/>
                <w:bCs/>
                <w:spacing w:val="-1"/>
                <w:sz w:val="24"/>
                <w:szCs w:val="24"/>
              </w:rPr>
              <w:t xml:space="preserve">2.4-1    </w:t>
            </w:r>
            <w:r>
              <w:rPr>
                <w:spacing w:val="-1"/>
                <w:sz w:val="24"/>
                <w:szCs w:val="24"/>
                <w14:textOutline w14:w="4354" w14:cap="flat" w14:cmpd="sng">
                  <w14:solidFill>
                    <w14:srgbClr w14:val="000000"/>
                  </w14:solidFill>
                  <w14:prstDash w14:val="solid"/>
                  <w14:miter w14:val="10"/>
                </w14:textOutline>
              </w:rPr>
              <w:t>本项目主要设备统计表</w:t>
            </w:r>
          </w:p>
          <w:p>
            <w:pPr>
              <w:spacing w:line="17" w:lineRule="exact"/>
            </w:pPr>
          </w:p>
          <w:tbl>
            <w:tblPr>
              <w:tblStyle w:val="5"/>
              <w:tblW w:w="8610"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2790"/>
              <w:gridCol w:w="2337"/>
              <w:gridCol w:w="787"/>
              <w:gridCol w:w="712"/>
              <w:gridCol w:w="14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32" w:type="dxa"/>
                  <w:vAlign w:val="top"/>
                </w:tcPr>
                <w:p>
                  <w:pPr>
                    <w:pStyle w:val="6"/>
                    <w:spacing w:before="63" w:line="222" w:lineRule="auto"/>
                    <w:ind w:left="59"/>
                    <w:rPr>
                      <w:sz w:val="21"/>
                      <w:szCs w:val="21"/>
                    </w:rPr>
                  </w:pPr>
                  <w:r>
                    <w:rPr>
                      <w:spacing w:val="-2"/>
                      <w:sz w:val="21"/>
                      <w:szCs w:val="21"/>
                    </w:rPr>
                    <w:t>序号</w:t>
                  </w:r>
                </w:p>
              </w:tc>
              <w:tc>
                <w:tcPr>
                  <w:tcW w:w="2790" w:type="dxa"/>
                  <w:vAlign w:val="top"/>
                </w:tcPr>
                <w:p>
                  <w:pPr>
                    <w:pStyle w:val="6"/>
                    <w:spacing w:before="62" w:line="221" w:lineRule="auto"/>
                    <w:ind w:left="667"/>
                    <w:rPr>
                      <w:sz w:val="21"/>
                      <w:szCs w:val="21"/>
                    </w:rPr>
                  </w:pPr>
                  <w:r>
                    <w:rPr>
                      <w:spacing w:val="-2"/>
                      <w:sz w:val="21"/>
                      <w:szCs w:val="21"/>
                    </w:rPr>
                    <w:t>设备或部件名称</w:t>
                  </w:r>
                </w:p>
              </w:tc>
              <w:tc>
                <w:tcPr>
                  <w:tcW w:w="2337" w:type="dxa"/>
                  <w:vAlign w:val="top"/>
                </w:tcPr>
                <w:p>
                  <w:pPr>
                    <w:pStyle w:val="6"/>
                    <w:spacing w:before="62" w:line="221" w:lineRule="auto"/>
                    <w:ind w:left="755"/>
                    <w:rPr>
                      <w:sz w:val="21"/>
                      <w:szCs w:val="21"/>
                    </w:rPr>
                  </w:pPr>
                  <w:r>
                    <w:rPr>
                      <w:spacing w:val="-2"/>
                      <w:sz w:val="21"/>
                      <w:szCs w:val="21"/>
                    </w:rPr>
                    <w:t>规格型号</w:t>
                  </w:r>
                </w:p>
              </w:tc>
              <w:tc>
                <w:tcPr>
                  <w:tcW w:w="787" w:type="dxa"/>
                  <w:vAlign w:val="top"/>
                </w:tcPr>
                <w:p>
                  <w:pPr>
                    <w:pStyle w:val="6"/>
                    <w:spacing w:before="62" w:line="221" w:lineRule="auto"/>
                    <w:ind w:left="85"/>
                    <w:rPr>
                      <w:sz w:val="21"/>
                      <w:szCs w:val="21"/>
                    </w:rPr>
                  </w:pPr>
                  <w:r>
                    <w:rPr>
                      <w:spacing w:val="-2"/>
                      <w:sz w:val="21"/>
                      <w:szCs w:val="21"/>
                    </w:rPr>
                    <w:t>主参数</w:t>
                  </w:r>
                </w:p>
              </w:tc>
              <w:tc>
                <w:tcPr>
                  <w:tcW w:w="712" w:type="dxa"/>
                  <w:vAlign w:val="top"/>
                </w:tcPr>
                <w:p>
                  <w:pPr>
                    <w:pStyle w:val="6"/>
                    <w:spacing w:before="63" w:line="221" w:lineRule="auto"/>
                    <w:ind w:left="155"/>
                    <w:rPr>
                      <w:sz w:val="21"/>
                      <w:szCs w:val="21"/>
                    </w:rPr>
                  </w:pPr>
                  <w:r>
                    <w:rPr>
                      <w:spacing w:val="-2"/>
                      <w:sz w:val="21"/>
                      <w:szCs w:val="21"/>
                    </w:rPr>
                    <w:t>单位</w:t>
                  </w:r>
                </w:p>
              </w:tc>
              <w:tc>
                <w:tcPr>
                  <w:tcW w:w="1452" w:type="dxa"/>
                  <w:vAlign w:val="top"/>
                </w:tcPr>
                <w:p>
                  <w:pPr>
                    <w:pStyle w:val="6"/>
                    <w:spacing w:before="62" w:line="221" w:lineRule="auto"/>
                    <w:ind w:left="523"/>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pStyle w:val="6"/>
                    <w:spacing w:before="139" w:line="163" w:lineRule="exact"/>
                    <w:ind w:left="167"/>
                    <w:rPr>
                      <w:sz w:val="21"/>
                      <w:szCs w:val="21"/>
                    </w:rPr>
                  </w:pPr>
                  <w:r>
                    <w:rPr>
                      <w:position w:val="-4"/>
                      <w:sz w:val="21"/>
                      <w:szCs w:val="21"/>
                      <w14:textOutline w14:w="3831" w14:cap="flat" w14:cmpd="sng">
                        <w14:solidFill>
                          <w14:srgbClr w14:val="000000"/>
                        </w14:solidFill>
                        <w14:prstDash w14:val="solid"/>
                        <w14:miter w14:val="10"/>
                      </w14:textOutline>
                    </w:rPr>
                    <w:t>一</w:t>
                  </w:r>
                </w:p>
              </w:tc>
              <w:tc>
                <w:tcPr>
                  <w:tcW w:w="2790" w:type="dxa"/>
                  <w:vAlign w:val="top"/>
                </w:tcPr>
                <w:p>
                  <w:pPr>
                    <w:pStyle w:val="6"/>
                    <w:spacing w:before="60" w:line="220" w:lineRule="auto"/>
                    <w:ind w:left="1187"/>
                    <w:rPr>
                      <w:sz w:val="21"/>
                      <w:szCs w:val="21"/>
                    </w:rPr>
                  </w:pPr>
                  <w:r>
                    <w:rPr>
                      <w:spacing w:val="-2"/>
                      <w:sz w:val="21"/>
                      <w:szCs w:val="21"/>
                      <w14:textOutline w14:w="3831" w14:cap="flat" w14:cmpd="sng">
                        <w14:solidFill>
                          <w14:srgbClr w14:val="000000"/>
                        </w14:solidFill>
                        <w14:prstDash w14:val="solid"/>
                        <w14:miter w14:val="10"/>
                      </w14:textOutline>
                    </w:rPr>
                    <w:t>钻机</w:t>
                  </w:r>
                </w:p>
              </w:tc>
              <w:tc>
                <w:tcPr>
                  <w:tcW w:w="2337" w:type="dxa"/>
                  <w:vAlign w:val="top"/>
                </w:tcPr>
                <w:p>
                  <w:pPr>
                    <w:spacing w:before="99" w:line="187" w:lineRule="auto"/>
                    <w:ind w:left="864"/>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ZJ80D</w:t>
                  </w:r>
                </w:p>
              </w:tc>
              <w:tc>
                <w:tcPr>
                  <w:tcW w:w="787" w:type="dxa"/>
                  <w:vAlign w:val="top"/>
                </w:tcPr>
                <w:p>
                  <w:pPr>
                    <w:spacing w:before="99" w:line="187" w:lineRule="auto"/>
                    <w:ind w:left="188"/>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8000</w:t>
                  </w:r>
                </w:p>
              </w:tc>
              <w:tc>
                <w:tcPr>
                  <w:tcW w:w="712" w:type="dxa"/>
                  <w:vAlign w:val="top"/>
                </w:tcPr>
                <w:p>
                  <w:pPr>
                    <w:spacing w:before="99" w:line="229" w:lineRule="auto"/>
                    <w:ind w:left="275"/>
                    <w:rPr>
                      <w:rFonts w:ascii="Times New Roman" w:hAnsi="Times New Roman" w:eastAsia="Times New Roman" w:cs="Times New Roman"/>
                      <w:sz w:val="21"/>
                      <w:szCs w:val="21"/>
                    </w:rPr>
                  </w:pPr>
                  <w:r>
                    <w:rPr>
                      <w:rFonts w:ascii="Times New Roman" w:hAnsi="Times New Roman" w:eastAsia="Times New Roman" w:cs="Times New Roman"/>
                      <w:b/>
                      <w:bCs/>
                      <w:sz w:val="21"/>
                      <w:szCs w:val="21"/>
                    </w:rPr>
                    <w:t>m</w:t>
                  </w:r>
                </w:p>
              </w:tc>
              <w:tc>
                <w:tcPr>
                  <w:tcW w:w="1452" w:type="dxa"/>
                  <w:vAlign w:val="top"/>
                </w:tcPr>
                <w:p>
                  <w:pPr>
                    <w:pStyle w:val="6"/>
                    <w:spacing w:before="61" w:line="221" w:lineRule="auto"/>
                    <w:ind w:left="554"/>
                    <w:rPr>
                      <w:sz w:val="21"/>
                      <w:szCs w:val="21"/>
                    </w:rPr>
                  </w:pPr>
                  <w:r>
                    <w:rPr>
                      <w:rFonts w:ascii="Times New Roman" w:hAnsi="Times New Roman" w:eastAsia="Times New Roman" w:cs="Times New Roman"/>
                      <w:b/>
                      <w:bCs/>
                      <w:spacing w:val="-7"/>
                      <w:sz w:val="21"/>
                      <w:szCs w:val="21"/>
                    </w:rPr>
                    <w:t>1</w:t>
                  </w:r>
                  <w:r>
                    <w:rPr>
                      <w:rFonts w:ascii="Times New Roman" w:hAnsi="Times New Roman" w:eastAsia="Times New Roman" w:cs="Times New Roman"/>
                      <w:b/>
                      <w:bCs/>
                      <w:spacing w:val="9"/>
                      <w:sz w:val="21"/>
                      <w:szCs w:val="21"/>
                    </w:rPr>
                    <w:t xml:space="preserve"> </w:t>
                  </w:r>
                  <w:r>
                    <w:rPr>
                      <w:spacing w:val="-7"/>
                      <w:sz w:val="21"/>
                      <w:szCs w:val="21"/>
                      <w14:textOutline w14:w="3831" w14:cap="flat" w14:cmpd="sng">
                        <w14:solidFill>
                          <w14:srgbClr w14:val="000000"/>
                        </w14:solidFill>
                        <w14:prstDash w14:val="solid"/>
                        <w14:miter w14:val="10"/>
                      </w14:textOutline>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100" w:line="187" w:lineRule="auto"/>
                    <w:ind w:left="2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90" w:type="dxa"/>
                  <w:vAlign w:val="top"/>
                </w:tcPr>
                <w:p>
                  <w:pPr>
                    <w:pStyle w:val="6"/>
                    <w:spacing w:before="61" w:line="221" w:lineRule="auto"/>
                    <w:ind w:left="1189"/>
                    <w:rPr>
                      <w:sz w:val="21"/>
                      <w:szCs w:val="21"/>
                    </w:rPr>
                  </w:pPr>
                  <w:r>
                    <w:rPr>
                      <w:spacing w:val="-2"/>
                      <w:sz w:val="21"/>
                      <w:szCs w:val="21"/>
                    </w:rPr>
                    <w:t>井架</w:t>
                  </w:r>
                </w:p>
              </w:tc>
              <w:tc>
                <w:tcPr>
                  <w:tcW w:w="2337" w:type="dxa"/>
                  <w:vAlign w:val="top"/>
                </w:tcPr>
                <w:p>
                  <w:pPr>
                    <w:spacing w:before="96" w:line="190" w:lineRule="auto"/>
                    <w:ind w:left="95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SY/T</w:t>
                  </w:r>
                </w:p>
              </w:tc>
              <w:tc>
                <w:tcPr>
                  <w:tcW w:w="787" w:type="dxa"/>
                  <w:vAlign w:val="top"/>
                </w:tcPr>
                <w:p>
                  <w:pPr>
                    <w:spacing w:before="99"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5850</w:t>
                  </w:r>
                </w:p>
              </w:tc>
              <w:tc>
                <w:tcPr>
                  <w:tcW w:w="712" w:type="dxa"/>
                  <w:vAlign w:val="top"/>
                </w:tcPr>
                <w:p>
                  <w:pPr>
                    <w:spacing w:before="95" w:line="191"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kN</w:t>
                  </w:r>
                </w:p>
              </w:tc>
              <w:tc>
                <w:tcPr>
                  <w:tcW w:w="1452" w:type="dxa"/>
                  <w:vAlign w:val="top"/>
                </w:tcPr>
                <w:p>
                  <w:pPr>
                    <w:pStyle w:val="6"/>
                    <w:spacing w:before="61"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102" w:line="187" w:lineRule="auto"/>
                    <w:ind w:left="21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90" w:type="dxa"/>
                  <w:vAlign w:val="top"/>
                </w:tcPr>
                <w:p>
                  <w:pPr>
                    <w:pStyle w:val="6"/>
                    <w:spacing w:before="63" w:line="222" w:lineRule="auto"/>
                    <w:ind w:left="1188"/>
                    <w:rPr>
                      <w:sz w:val="21"/>
                      <w:szCs w:val="21"/>
                    </w:rPr>
                  </w:pPr>
                  <w:r>
                    <w:rPr>
                      <w:spacing w:val="-2"/>
                      <w:sz w:val="21"/>
                      <w:szCs w:val="21"/>
                    </w:rPr>
                    <w:t>底座</w:t>
                  </w:r>
                </w:p>
              </w:tc>
              <w:tc>
                <w:tcPr>
                  <w:tcW w:w="2337" w:type="dxa"/>
                  <w:vAlign w:val="top"/>
                </w:tcPr>
                <w:p>
                  <w:pPr>
                    <w:spacing w:before="98" w:line="191"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DZ450/10.5</w:t>
                  </w:r>
                </w:p>
              </w:tc>
              <w:tc>
                <w:tcPr>
                  <w:tcW w:w="787" w:type="dxa"/>
                  <w:vAlign w:val="top"/>
                </w:tcPr>
                <w:p>
                  <w:pPr>
                    <w:spacing w:before="10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5850</w:t>
                  </w:r>
                </w:p>
              </w:tc>
              <w:tc>
                <w:tcPr>
                  <w:tcW w:w="712" w:type="dxa"/>
                  <w:vAlign w:val="top"/>
                </w:tcPr>
                <w:p>
                  <w:pPr>
                    <w:spacing w:before="98" w:line="191"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kN</w:t>
                  </w:r>
                </w:p>
              </w:tc>
              <w:tc>
                <w:tcPr>
                  <w:tcW w:w="1452" w:type="dxa"/>
                  <w:vAlign w:val="top"/>
                </w:tcPr>
                <w:p>
                  <w:pPr>
                    <w:pStyle w:val="6"/>
                    <w:spacing w:before="64"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790" w:type="dxa"/>
                  <w:vAlign w:val="top"/>
                </w:tcPr>
                <w:p>
                  <w:pPr>
                    <w:pStyle w:val="6"/>
                    <w:spacing w:before="61" w:line="221" w:lineRule="auto"/>
                    <w:ind w:left="1192"/>
                    <w:rPr>
                      <w:sz w:val="21"/>
                      <w:szCs w:val="21"/>
                    </w:rPr>
                  </w:pPr>
                  <w:r>
                    <w:rPr>
                      <w:spacing w:val="-3"/>
                      <w:sz w:val="21"/>
                      <w:szCs w:val="21"/>
                    </w:rPr>
                    <w:t>绞车</w:t>
                  </w:r>
                </w:p>
              </w:tc>
              <w:tc>
                <w:tcPr>
                  <w:tcW w:w="2337" w:type="dxa"/>
                  <w:vAlign w:val="top"/>
                </w:tcPr>
                <w:p>
                  <w:pPr>
                    <w:spacing w:before="100" w:line="187" w:lineRule="auto"/>
                    <w:ind w:left="9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JC80</w:t>
                  </w:r>
                </w:p>
              </w:tc>
              <w:tc>
                <w:tcPr>
                  <w:tcW w:w="787" w:type="dxa"/>
                  <w:vAlign w:val="top"/>
                </w:tcPr>
                <w:p>
                  <w:pPr>
                    <w:spacing w:before="100"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2400</w:t>
                  </w:r>
                </w:p>
              </w:tc>
              <w:tc>
                <w:tcPr>
                  <w:tcW w:w="712" w:type="dxa"/>
                  <w:vAlign w:val="top"/>
                </w:tcPr>
                <w:p>
                  <w:pPr>
                    <w:spacing w:before="96"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2"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1" w:line="187"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790" w:type="dxa"/>
                  <w:vAlign w:val="top"/>
                </w:tcPr>
                <w:p>
                  <w:pPr>
                    <w:pStyle w:val="6"/>
                    <w:spacing w:before="61" w:line="221" w:lineRule="auto"/>
                    <w:ind w:left="1193"/>
                    <w:rPr>
                      <w:sz w:val="21"/>
                      <w:szCs w:val="21"/>
                    </w:rPr>
                  </w:pPr>
                  <w:r>
                    <w:rPr>
                      <w:spacing w:val="-3"/>
                      <w:sz w:val="21"/>
                      <w:szCs w:val="21"/>
                    </w:rPr>
                    <w:t>天车</w:t>
                  </w:r>
                </w:p>
              </w:tc>
              <w:tc>
                <w:tcPr>
                  <w:tcW w:w="2337" w:type="dxa"/>
                  <w:vAlign w:val="top"/>
                </w:tcPr>
                <w:p>
                  <w:pPr>
                    <w:spacing w:before="100"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TC-450-Ⅱ</w:t>
                  </w:r>
                </w:p>
              </w:tc>
              <w:tc>
                <w:tcPr>
                  <w:tcW w:w="787" w:type="dxa"/>
                  <w:vAlign w:val="top"/>
                </w:tcPr>
                <w:p>
                  <w:pPr>
                    <w:spacing w:before="10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5850</w:t>
                  </w:r>
                </w:p>
              </w:tc>
              <w:tc>
                <w:tcPr>
                  <w:tcW w:w="712" w:type="dxa"/>
                  <w:vAlign w:val="top"/>
                </w:tcPr>
                <w:p>
                  <w:pPr>
                    <w:spacing w:before="96" w:line="191"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kN</w:t>
                  </w:r>
                </w:p>
              </w:tc>
              <w:tc>
                <w:tcPr>
                  <w:tcW w:w="1452" w:type="dxa"/>
                  <w:vAlign w:val="top"/>
                </w:tcPr>
                <w:p>
                  <w:pPr>
                    <w:pStyle w:val="6"/>
                    <w:spacing w:before="62"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103" w:line="184" w:lineRule="auto"/>
                    <w:ind w:left="21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790" w:type="dxa"/>
                  <w:vAlign w:val="top"/>
                </w:tcPr>
                <w:p>
                  <w:pPr>
                    <w:pStyle w:val="6"/>
                    <w:spacing w:before="61" w:line="234" w:lineRule="auto"/>
                    <w:ind w:left="949"/>
                    <w:rPr>
                      <w:sz w:val="21"/>
                      <w:szCs w:val="21"/>
                    </w:rPr>
                  </w:pPr>
                  <w:r>
                    <w:rPr>
                      <w:spacing w:val="-2"/>
                      <w:sz w:val="21"/>
                      <w:szCs w:val="21"/>
                    </w:rPr>
                    <w:t>游车</w:t>
                  </w:r>
                  <w:r>
                    <w:rPr>
                      <w:rFonts w:ascii="Times New Roman" w:hAnsi="Times New Roman" w:eastAsia="Times New Roman" w:cs="Times New Roman"/>
                      <w:spacing w:val="-2"/>
                      <w:sz w:val="21"/>
                      <w:szCs w:val="21"/>
                    </w:rPr>
                    <w:t>/</w:t>
                  </w:r>
                  <w:r>
                    <w:rPr>
                      <w:spacing w:val="-2"/>
                      <w:sz w:val="21"/>
                      <w:szCs w:val="21"/>
                    </w:rPr>
                    <w:t>大钩</w:t>
                  </w:r>
                </w:p>
              </w:tc>
              <w:tc>
                <w:tcPr>
                  <w:tcW w:w="2337" w:type="dxa"/>
                  <w:vAlign w:val="top"/>
                </w:tcPr>
                <w:p>
                  <w:pPr>
                    <w:spacing w:before="100" w:line="187" w:lineRule="auto"/>
                    <w:ind w:left="829"/>
                    <w:rPr>
                      <w:rFonts w:ascii="Times New Roman" w:hAnsi="Times New Roman" w:eastAsia="Times New Roman" w:cs="Times New Roman"/>
                      <w:sz w:val="21"/>
                      <w:szCs w:val="21"/>
                    </w:rPr>
                  </w:pPr>
                  <w:r>
                    <w:rPr>
                      <w:rFonts w:ascii="Times New Roman" w:hAnsi="Times New Roman" w:eastAsia="Times New Roman" w:cs="Times New Roman"/>
                      <w:sz w:val="21"/>
                      <w:szCs w:val="21"/>
                    </w:rPr>
                    <w:t>YC-450</w:t>
                  </w:r>
                </w:p>
              </w:tc>
              <w:tc>
                <w:tcPr>
                  <w:tcW w:w="787" w:type="dxa"/>
                  <w:vAlign w:val="top"/>
                </w:tcPr>
                <w:p>
                  <w:pPr>
                    <w:spacing w:before="10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5850</w:t>
                  </w:r>
                </w:p>
              </w:tc>
              <w:tc>
                <w:tcPr>
                  <w:tcW w:w="712" w:type="dxa"/>
                  <w:vAlign w:val="top"/>
                </w:tcPr>
                <w:p>
                  <w:pPr>
                    <w:spacing w:before="96" w:line="191"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kN</w:t>
                  </w:r>
                </w:p>
              </w:tc>
              <w:tc>
                <w:tcPr>
                  <w:tcW w:w="1452" w:type="dxa"/>
                  <w:vAlign w:val="top"/>
                </w:tcPr>
                <w:p>
                  <w:pPr>
                    <w:pStyle w:val="6"/>
                    <w:spacing w:before="62"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3"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790" w:type="dxa"/>
                  <w:vAlign w:val="top"/>
                </w:tcPr>
                <w:p>
                  <w:pPr>
                    <w:pStyle w:val="6"/>
                    <w:spacing w:before="64" w:line="221" w:lineRule="auto"/>
                    <w:ind w:left="1086"/>
                    <w:rPr>
                      <w:sz w:val="21"/>
                      <w:szCs w:val="21"/>
                    </w:rPr>
                  </w:pPr>
                  <w:r>
                    <w:rPr>
                      <w:spacing w:val="-2"/>
                      <w:sz w:val="21"/>
                      <w:szCs w:val="21"/>
                    </w:rPr>
                    <w:t>水龙头</w:t>
                  </w:r>
                </w:p>
              </w:tc>
              <w:tc>
                <w:tcPr>
                  <w:tcW w:w="2337" w:type="dxa"/>
                  <w:vAlign w:val="top"/>
                </w:tcPr>
                <w:p>
                  <w:pPr>
                    <w:spacing w:before="103" w:line="187" w:lineRule="auto"/>
                    <w:ind w:left="7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SL-450-Ⅱ</w:t>
                  </w:r>
                </w:p>
              </w:tc>
              <w:tc>
                <w:tcPr>
                  <w:tcW w:w="787" w:type="dxa"/>
                  <w:vAlign w:val="top"/>
                </w:tcPr>
                <w:p>
                  <w:pPr>
                    <w:spacing w:before="103"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6750</w:t>
                  </w:r>
                </w:p>
              </w:tc>
              <w:tc>
                <w:tcPr>
                  <w:tcW w:w="712" w:type="dxa"/>
                  <w:vAlign w:val="top"/>
                </w:tcPr>
                <w:p>
                  <w:pPr>
                    <w:spacing w:before="99" w:line="191"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kN</w:t>
                  </w:r>
                </w:p>
              </w:tc>
              <w:tc>
                <w:tcPr>
                  <w:tcW w:w="1452" w:type="dxa"/>
                  <w:vAlign w:val="top"/>
                </w:tcPr>
                <w:p>
                  <w:pPr>
                    <w:pStyle w:val="6"/>
                    <w:spacing w:before="64"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3" w:line="184" w:lineRule="auto"/>
                    <w:ind w:left="21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790" w:type="dxa"/>
                  <w:vAlign w:val="top"/>
                </w:tcPr>
                <w:p>
                  <w:pPr>
                    <w:pStyle w:val="6"/>
                    <w:spacing w:before="62" w:line="221" w:lineRule="auto"/>
                    <w:ind w:left="1190"/>
                    <w:rPr>
                      <w:sz w:val="21"/>
                      <w:szCs w:val="21"/>
                    </w:rPr>
                  </w:pPr>
                  <w:r>
                    <w:rPr>
                      <w:spacing w:val="-2"/>
                      <w:sz w:val="21"/>
                      <w:szCs w:val="21"/>
                    </w:rPr>
                    <w:t>转盘</w:t>
                  </w:r>
                </w:p>
              </w:tc>
              <w:tc>
                <w:tcPr>
                  <w:tcW w:w="2337" w:type="dxa"/>
                  <w:vAlign w:val="top"/>
                </w:tcPr>
                <w:p>
                  <w:pPr>
                    <w:spacing w:before="100" w:line="187" w:lineRule="auto"/>
                    <w:ind w:left="835"/>
                    <w:rPr>
                      <w:rFonts w:ascii="Times New Roman" w:hAnsi="Times New Roman" w:eastAsia="Times New Roman" w:cs="Times New Roman"/>
                      <w:sz w:val="21"/>
                      <w:szCs w:val="21"/>
                    </w:rPr>
                  </w:pPr>
                  <w:r>
                    <w:rPr>
                      <w:rFonts w:ascii="Times New Roman" w:hAnsi="Times New Roman" w:eastAsia="Times New Roman" w:cs="Times New Roman"/>
                      <w:sz w:val="21"/>
                      <w:szCs w:val="21"/>
                    </w:rPr>
                    <w:t>ZP3752</w:t>
                  </w:r>
                </w:p>
              </w:tc>
              <w:tc>
                <w:tcPr>
                  <w:tcW w:w="787" w:type="dxa"/>
                  <w:vAlign w:val="top"/>
                </w:tcPr>
                <w:p>
                  <w:pPr>
                    <w:spacing w:before="100"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712" w:type="dxa"/>
                  <w:vAlign w:val="top"/>
                </w:tcPr>
                <w:p>
                  <w:pPr>
                    <w:spacing w:before="96"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2"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9"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790" w:type="dxa"/>
                  <w:vAlign w:val="top"/>
                </w:tcPr>
                <w:p>
                  <w:pPr>
                    <w:pStyle w:val="6"/>
                    <w:spacing w:before="61" w:line="220" w:lineRule="auto"/>
                    <w:ind w:left="769"/>
                    <w:rPr>
                      <w:sz w:val="21"/>
                      <w:szCs w:val="21"/>
                    </w:rPr>
                  </w:pPr>
                  <w:r>
                    <w:rPr>
                      <w:spacing w:val="-1"/>
                      <w:sz w:val="21"/>
                      <w:szCs w:val="21"/>
                    </w:rPr>
                    <w:t>柴油发电机组</w:t>
                  </w:r>
                </w:p>
              </w:tc>
              <w:tc>
                <w:tcPr>
                  <w:tcW w:w="2337" w:type="dxa"/>
                  <w:vAlign w:val="top"/>
                </w:tcPr>
                <w:p>
                  <w:pPr>
                    <w:spacing w:before="99" w:line="187"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G12V190PZLG-3</w:t>
                  </w:r>
                </w:p>
              </w:tc>
              <w:tc>
                <w:tcPr>
                  <w:tcW w:w="787" w:type="dxa"/>
                  <w:vAlign w:val="top"/>
                </w:tcPr>
                <w:p>
                  <w:pPr>
                    <w:spacing w:before="99"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1310</w:t>
                  </w:r>
                </w:p>
              </w:tc>
              <w:tc>
                <w:tcPr>
                  <w:tcW w:w="712" w:type="dxa"/>
                  <w:vAlign w:val="top"/>
                </w:tcPr>
                <w:p>
                  <w:pPr>
                    <w:spacing w:before="95"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1" w:line="223" w:lineRule="auto"/>
                    <w:ind w:left="543"/>
                    <w:rPr>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25"/>
                      <w:sz w:val="21"/>
                      <w:szCs w:val="21"/>
                    </w:rPr>
                    <w:t xml:space="preserve"> </w:t>
                  </w:r>
                  <w:r>
                    <w:rPr>
                      <w:spacing w:val="-2"/>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99" w:line="187" w:lineRule="auto"/>
                    <w:ind w:left="21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790" w:type="dxa"/>
                  <w:vAlign w:val="top"/>
                </w:tcPr>
                <w:p>
                  <w:pPr>
                    <w:pStyle w:val="6"/>
                    <w:spacing w:before="60" w:line="220" w:lineRule="auto"/>
                    <w:ind w:left="874"/>
                    <w:rPr>
                      <w:sz w:val="21"/>
                      <w:szCs w:val="21"/>
                    </w:rPr>
                  </w:pPr>
                  <w:r>
                    <w:rPr>
                      <w:spacing w:val="-2"/>
                      <w:sz w:val="21"/>
                      <w:szCs w:val="21"/>
                    </w:rPr>
                    <w:t>辅助发电机</w:t>
                  </w:r>
                </w:p>
              </w:tc>
              <w:tc>
                <w:tcPr>
                  <w:tcW w:w="2337" w:type="dxa"/>
                  <w:vAlign w:val="top"/>
                </w:tcPr>
                <w:p>
                  <w:pPr>
                    <w:spacing w:before="99" w:line="187"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TAD1631GF</w:t>
                  </w:r>
                </w:p>
              </w:tc>
              <w:tc>
                <w:tcPr>
                  <w:tcW w:w="787" w:type="dxa"/>
                  <w:vAlign w:val="top"/>
                </w:tcPr>
                <w:p>
                  <w:pPr>
                    <w:spacing w:before="99"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712" w:type="dxa"/>
                  <w:vAlign w:val="top"/>
                </w:tcPr>
                <w:p>
                  <w:pPr>
                    <w:spacing w:before="95"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0" w:line="223"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5"/>
                      <w:sz w:val="21"/>
                      <w:szCs w:val="21"/>
                    </w:rPr>
                    <w:t xml:space="preserve"> </w:t>
                  </w:r>
                  <w:r>
                    <w:rPr>
                      <w:spacing w:val="-2"/>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2"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2790" w:type="dxa"/>
                  <w:vAlign w:val="top"/>
                </w:tcPr>
                <w:p>
                  <w:pPr>
                    <w:pStyle w:val="6"/>
                    <w:spacing w:before="63" w:line="221" w:lineRule="auto"/>
                    <w:ind w:left="390"/>
                    <w:rPr>
                      <w:sz w:val="21"/>
                      <w:szCs w:val="21"/>
                    </w:rPr>
                  </w:pPr>
                  <w:r>
                    <w:rPr>
                      <w:rFonts w:ascii="Times New Roman" w:hAnsi="Times New Roman" w:eastAsia="Times New Roman" w:cs="Times New Roman"/>
                      <w:spacing w:val="-2"/>
                      <w:sz w:val="21"/>
                      <w:szCs w:val="21"/>
                    </w:rPr>
                    <w:t xml:space="preserve">SCR </w:t>
                  </w:r>
                  <w:r>
                    <w:rPr>
                      <w:spacing w:val="-2"/>
                      <w:sz w:val="21"/>
                      <w:szCs w:val="21"/>
                    </w:rPr>
                    <w:t>或</w:t>
                  </w:r>
                  <w:r>
                    <w:rPr>
                      <w:spacing w:val="-47"/>
                      <w:sz w:val="21"/>
                      <w:szCs w:val="21"/>
                    </w:rPr>
                    <w:t xml:space="preserve"> </w:t>
                  </w:r>
                  <w:r>
                    <w:rPr>
                      <w:rFonts w:ascii="Times New Roman" w:hAnsi="Times New Roman" w:eastAsia="Times New Roman" w:cs="Times New Roman"/>
                      <w:spacing w:val="-2"/>
                      <w:sz w:val="21"/>
                      <w:szCs w:val="21"/>
                    </w:rPr>
                    <w:t>VFD</w:t>
                  </w:r>
                  <w:r>
                    <w:rPr>
                      <w:rFonts w:ascii="Times New Roman" w:hAnsi="Times New Roman" w:eastAsia="Times New Roman" w:cs="Times New Roman"/>
                      <w:spacing w:val="7"/>
                      <w:sz w:val="21"/>
                      <w:szCs w:val="21"/>
                    </w:rPr>
                    <w:t xml:space="preserve"> </w:t>
                  </w:r>
                  <w:r>
                    <w:rPr>
                      <w:spacing w:val="-2"/>
                      <w:sz w:val="21"/>
                      <w:szCs w:val="21"/>
                    </w:rPr>
                    <w:t>控制系统</w:t>
                  </w:r>
                </w:p>
              </w:tc>
              <w:tc>
                <w:tcPr>
                  <w:tcW w:w="2337" w:type="dxa"/>
                  <w:vAlign w:val="top"/>
                </w:tcPr>
                <w:p>
                  <w:pPr>
                    <w:spacing w:before="98" w:line="231"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8"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spacing w:before="98" w:line="231"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52" w:type="dxa"/>
                  <w:vAlign w:val="top"/>
                </w:tcPr>
                <w:p>
                  <w:pPr>
                    <w:pStyle w:val="6"/>
                    <w:spacing w:before="63"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9"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11</w:t>
                  </w:r>
                </w:p>
              </w:tc>
              <w:tc>
                <w:tcPr>
                  <w:tcW w:w="2790" w:type="dxa"/>
                  <w:vAlign w:val="top"/>
                </w:tcPr>
                <w:p>
                  <w:pPr>
                    <w:pStyle w:val="6"/>
                    <w:spacing w:before="60" w:line="220" w:lineRule="auto"/>
                    <w:ind w:left="768"/>
                    <w:rPr>
                      <w:sz w:val="21"/>
                      <w:szCs w:val="21"/>
                    </w:rPr>
                  </w:pPr>
                  <w:r>
                    <w:rPr>
                      <w:spacing w:val="-1"/>
                      <w:sz w:val="21"/>
                      <w:szCs w:val="21"/>
                    </w:rPr>
                    <w:t>机械传动装置</w:t>
                  </w:r>
                </w:p>
              </w:tc>
              <w:tc>
                <w:tcPr>
                  <w:tcW w:w="2337" w:type="dxa"/>
                  <w:vAlign w:val="top"/>
                </w:tcPr>
                <w:p>
                  <w:pPr>
                    <w:spacing w:before="95" w:line="191" w:lineRule="auto"/>
                    <w:ind w:left="7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BC1600/4</w:t>
                  </w:r>
                </w:p>
              </w:tc>
              <w:tc>
                <w:tcPr>
                  <w:tcW w:w="787" w:type="dxa"/>
                  <w:vAlign w:val="top"/>
                </w:tcPr>
                <w:p>
                  <w:pPr>
                    <w:rPr>
                      <w:rFonts w:ascii="Arial"/>
                      <w:sz w:val="21"/>
                    </w:rPr>
                  </w:pPr>
                </w:p>
              </w:tc>
              <w:tc>
                <w:tcPr>
                  <w:tcW w:w="712" w:type="dxa"/>
                  <w:vAlign w:val="top"/>
                </w:tcPr>
                <w:p>
                  <w:pPr>
                    <w:rPr>
                      <w:rFonts w:ascii="Arial"/>
                      <w:sz w:val="21"/>
                    </w:rPr>
                  </w:pPr>
                </w:p>
              </w:tc>
              <w:tc>
                <w:tcPr>
                  <w:tcW w:w="1452" w:type="dxa"/>
                  <w:vAlign w:val="top"/>
                </w:tcPr>
                <w:p>
                  <w:pPr>
                    <w:pStyle w:val="6"/>
                    <w:spacing w:before="61"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9"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2790" w:type="dxa"/>
                  <w:vAlign w:val="top"/>
                </w:tcPr>
                <w:p>
                  <w:pPr>
                    <w:pStyle w:val="6"/>
                    <w:spacing w:before="59" w:line="221" w:lineRule="auto"/>
                    <w:ind w:left="1083"/>
                    <w:rPr>
                      <w:sz w:val="21"/>
                      <w:szCs w:val="21"/>
                    </w:rPr>
                  </w:pPr>
                  <w:r>
                    <w:rPr>
                      <w:spacing w:val="-2"/>
                      <w:sz w:val="21"/>
                      <w:szCs w:val="21"/>
                    </w:rPr>
                    <w:t>钻井泵</w:t>
                  </w:r>
                </w:p>
              </w:tc>
              <w:tc>
                <w:tcPr>
                  <w:tcW w:w="2337" w:type="dxa"/>
                  <w:vAlign w:val="top"/>
                </w:tcPr>
                <w:p>
                  <w:pPr>
                    <w:spacing w:before="98" w:line="187" w:lineRule="auto"/>
                    <w:ind w:left="86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F-</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4"/>
                      <w:sz w:val="21"/>
                      <w:szCs w:val="21"/>
                    </w:rPr>
                    <w:t>1600</w:t>
                  </w:r>
                </w:p>
              </w:tc>
              <w:tc>
                <w:tcPr>
                  <w:tcW w:w="787" w:type="dxa"/>
                  <w:vAlign w:val="top"/>
                </w:tcPr>
                <w:p>
                  <w:pPr>
                    <w:spacing w:before="98"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1600</w:t>
                  </w:r>
                </w:p>
              </w:tc>
              <w:tc>
                <w:tcPr>
                  <w:tcW w:w="712" w:type="dxa"/>
                  <w:vAlign w:val="top"/>
                </w:tcPr>
                <w:p>
                  <w:pPr>
                    <w:spacing w:before="102" w:line="184"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HP</w:t>
                  </w:r>
                </w:p>
              </w:tc>
              <w:tc>
                <w:tcPr>
                  <w:tcW w:w="1452" w:type="dxa"/>
                  <w:vAlign w:val="top"/>
                </w:tcPr>
                <w:p>
                  <w:pPr>
                    <w:pStyle w:val="6"/>
                    <w:spacing w:before="60" w:line="223"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5"/>
                      <w:sz w:val="21"/>
                      <w:szCs w:val="21"/>
                    </w:rPr>
                    <w:t xml:space="preserve"> </w:t>
                  </w:r>
                  <w:r>
                    <w:rPr>
                      <w:spacing w:val="-2"/>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98"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2790" w:type="dxa"/>
                  <w:vAlign w:val="top"/>
                </w:tcPr>
                <w:p>
                  <w:pPr>
                    <w:pStyle w:val="6"/>
                    <w:spacing w:before="59" w:line="221" w:lineRule="auto"/>
                    <w:ind w:left="1083"/>
                    <w:rPr>
                      <w:sz w:val="21"/>
                      <w:szCs w:val="21"/>
                    </w:rPr>
                  </w:pPr>
                  <w:r>
                    <w:rPr>
                      <w:spacing w:val="-2"/>
                      <w:sz w:val="21"/>
                      <w:szCs w:val="21"/>
                    </w:rPr>
                    <w:t>循环罐</w:t>
                  </w:r>
                </w:p>
              </w:tc>
              <w:tc>
                <w:tcPr>
                  <w:tcW w:w="2337" w:type="dxa"/>
                  <w:vAlign w:val="top"/>
                </w:tcPr>
                <w:p>
                  <w:pPr>
                    <w:spacing w:before="98" w:line="187" w:lineRule="auto"/>
                    <w:ind w:left="6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8.5×2.6×2.4</w:t>
                  </w:r>
                </w:p>
              </w:tc>
              <w:tc>
                <w:tcPr>
                  <w:tcW w:w="787" w:type="dxa"/>
                  <w:vAlign w:val="top"/>
                </w:tcPr>
                <w:p>
                  <w:pPr>
                    <w:spacing w:before="9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712" w:type="dxa"/>
                  <w:vAlign w:val="top"/>
                </w:tcPr>
                <w:p>
                  <w:pPr>
                    <w:spacing w:before="77" w:line="250" w:lineRule="exact"/>
                    <w:ind w:left="24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452" w:type="dxa"/>
                  <w:vAlign w:val="top"/>
                </w:tcPr>
                <w:p>
                  <w:pPr>
                    <w:pStyle w:val="6"/>
                    <w:spacing w:before="59" w:line="221" w:lineRule="auto"/>
                    <w:ind w:left="549"/>
                    <w:rPr>
                      <w:sz w:val="21"/>
                      <w:szCs w:val="21"/>
                    </w:rPr>
                  </w:pPr>
                  <w:r>
                    <w:rPr>
                      <w:rFonts w:ascii="Times New Roman" w:hAnsi="Times New Roman" w:eastAsia="Times New Roman" w:cs="Times New Roman"/>
                      <w:spacing w:val="-5"/>
                      <w:sz w:val="21"/>
                      <w:szCs w:val="21"/>
                    </w:rPr>
                    <w:t>6</w:t>
                  </w:r>
                  <w:r>
                    <w:rPr>
                      <w:rFonts w:ascii="Times New Roman" w:hAnsi="Times New Roman" w:eastAsia="Times New Roman" w:cs="Times New Roman"/>
                      <w:spacing w:val="9"/>
                      <w:sz w:val="21"/>
                      <w:szCs w:val="21"/>
                    </w:rPr>
                    <w:t xml:space="preserve"> </w:t>
                  </w:r>
                  <w:r>
                    <w:rPr>
                      <w:spacing w:val="-5"/>
                      <w:sz w:val="21"/>
                      <w:szCs w:val="21"/>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2790" w:type="dxa"/>
                  <w:vAlign w:val="top"/>
                </w:tcPr>
                <w:p>
                  <w:pPr>
                    <w:pStyle w:val="6"/>
                    <w:spacing w:before="62" w:line="221" w:lineRule="auto"/>
                    <w:ind w:left="1083"/>
                    <w:rPr>
                      <w:sz w:val="21"/>
                      <w:szCs w:val="21"/>
                    </w:rPr>
                  </w:pPr>
                  <w:r>
                    <w:rPr>
                      <w:spacing w:val="-1"/>
                      <w:sz w:val="21"/>
                      <w:szCs w:val="21"/>
                    </w:rPr>
                    <w:t>振动筛</w:t>
                  </w:r>
                </w:p>
              </w:tc>
              <w:tc>
                <w:tcPr>
                  <w:tcW w:w="2337" w:type="dxa"/>
                  <w:vAlign w:val="top"/>
                </w:tcPr>
                <w:p>
                  <w:pPr>
                    <w:spacing w:before="101" w:line="187" w:lineRule="auto"/>
                    <w:ind w:left="9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GX-</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1</w:t>
                  </w:r>
                </w:p>
              </w:tc>
              <w:tc>
                <w:tcPr>
                  <w:tcW w:w="787" w:type="dxa"/>
                  <w:vAlign w:val="top"/>
                </w:tcPr>
                <w:p>
                  <w:pPr>
                    <w:spacing w:before="101"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w:t>
                  </w:r>
                </w:p>
              </w:tc>
              <w:tc>
                <w:tcPr>
                  <w:tcW w:w="712" w:type="dxa"/>
                  <w:vAlign w:val="top"/>
                </w:tcPr>
                <w:p>
                  <w:pPr>
                    <w:spacing w:before="80" w:line="250" w:lineRule="exact"/>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6"/>
                      <w:sz w:val="13"/>
                      <w:szCs w:val="13"/>
                    </w:rPr>
                    <w:t>3</w:t>
                  </w:r>
                  <w:r>
                    <w:rPr>
                      <w:rFonts w:ascii="Times New Roman" w:hAnsi="Times New Roman" w:eastAsia="Times New Roman" w:cs="Times New Roman"/>
                      <w:sz w:val="21"/>
                      <w:szCs w:val="21"/>
                    </w:rPr>
                    <w:t>/h</w:t>
                  </w:r>
                </w:p>
              </w:tc>
              <w:tc>
                <w:tcPr>
                  <w:tcW w:w="1452" w:type="dxa"/>
                  <w:vAlign w:val="top"/>
                </w:tcPr>
                <w:p>
                  <w:pPr>
                    <w:pStyle w:val="6"/>
                    <w:spacing w:before="62" w:line="223" w:lineRule="auto"/>
                    <w:ind w:left="548"/>
                    <w:rPr>
                      <w:sz w:val="21"/>
                      <w:szCs w:val="21"/>
                    </w:rPr>
                  </w:pPr>
                  <w:r>
                    <w:rPr>
                      <w:rFonts w:ascii="Times New Roman" w:hAnsi="Times New Roman" w:eastAsia="Times New Roman" w:cs="Times New Roman"/>
                      <w:spacing w:val="-5"/>
                      <w:sz w:val="21"/>
                      <w:szCs w:val="21"/>
                    </w:rPr>
                    <w:t>3</w:t>
                  </w:r>
                  <w:r>
                    <w:rPr>
                      <w:rFonts w:ascii="Times New Roman" w:hAnsi="Times New Roman" w:eastAsia="Times New Roman" w:cs="Times New Roman"/>
                      <w:spacing w:val="25"/>
                      <w:w w:val="101"/>
                      <w:sz w:val="21"/>
                      <w:szCs w:val="21"/>
                    </w:rPr>
                    <w:t xml:space="preserve"> </w:t>
                  </w:r>
                  <w:r>
                    <w:rPr>
                      <w:spacing w:val="-5"/>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8"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2790" w:type="dxa"/>
                  <w:vAlign w:val="top"/>
                </w:tcPr>
                <w:p>
                  <w:pPr>
                    <w:pStyle w:val="6"/>
                    <w:spacing w:before="59" w:line="221" w:lineRule="auto"/>
                    <w:ind w:left="875"/>
                    <w:rPr>
                      <w:sz w:val="21"/>
                      <w:szCs w:val="21"/>
                    </w:rPr>
                  </w:pPr>
                  <w:r>
                    <w:rPr>
                      <w:spacing w:val="-2"/>
                      <w:sz w:val="21"/>
                      <w:szCs w:val="21"/>
                    </w:rPr>
                    <w:t>真空除气器</w:t>
                  </w:r>
                </w:p>
              </w:tc>
              <w:tc>
                <w:tcPr>
                  <w:tcW w:w="2337" w:type="dxa"/>
                  <w:vAlign w:val="top"/>
                </w:tcPr>
                <w:p>
                  <w:pPr>
                    <w:spacing w:before="95" w:line="195"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ZCQ1.5/5</w:t>
                  </w:r>
                </w:p>
              </w:tc>
              <w:tc>
                <w:tcPr>
                  <w:tcW w:w="787" w:type="dxa"/>
                  <w:vAlign w:val="top"/>
                </w:tcPr>
                <w:p>
                  <w:pPr>
                    <w:spacing w:before="98"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w:t>
                  </w:r>
                </w:p>
              </w:tc>
              <w:tc>
                <w:tcPr>
                  <w:tcW w:w="712" w:type="dxa"/>
                  <w:vAlign w:val="top"/>
                </w:tcPr>
                <w:p>
                  <w:pPr>
                    <w:spacing w:before="77" w:line="252" w:lineRule="exact"/>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6"/>
                      <w:sz w:val="13"/>
                      <w:szCs w:val="13"/>
                    </w:rPr>
                    <w:t>3</w:t>
                  </w:r>
                  <w:r>
                    <w:rPr>
                      <w:rFonts w:ascii="Times New Roman" w:hAnsi="Times New Roman" w:eastAsia="Times New Roman" w:cs="Times New Roman"/>
                      <w:sz w:val="21"/>
                      <w:szCs w:val="21"/>
                    </w:rPr>
                    <w:t>/h</w:t>
                  </w:r>
                </w:p>
              </w:tc>
              <w:tc>
                <w:tcPr>
                  <w:tcW w:w="1452" w:type="dxa"/>
                  <w:vAlign w:val="top"/>
                </w:tcPr>
                <w:p>
                  <w:pPr>
                    <w:pStyle w:val="6"/>
                    <w:spacing w:before="59" w:line="223"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5"/>
                      <w:w w:val="101"/>
                      <w:sz w:val="21"/>
                      <w:szCs w:val="21"/>
                    </w:rPr>
                    <w:t xml:space="preserve"> </w:t>
                  </w:r>
                  <w:r>
                    <w:rPr>
                      <w:spacing w:val="-13"/>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98"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2790" w:type="dxa"/>
                  <w:vAlign w:val="top"/>
                </w:tcPr>
                <w:p>
                  <w:pPr>
                    <w:pStyle w:val="6"/>
                    <w:spacing w:before="59" w:line="220" w:lineRule="auto"/>
                    <w:ind w:left="676"/>
                    <w:rPr>
                      <w:sz w:val="21"/>
                      <w:szCs w:val="21"/>
                    </w:rPr>
                  </w:pPr>
                  <w:r>
                    <w:rPr>
                      <w:spacing w:val="-3"/>
                      <w:sz w:val="21"/>
                      <w:szCs w:val="21"/>
                    </w:rPr>
                    <w:t>除砂除泥一体机</w:t>
                  </w:r>
                </w:p>
              </w:tc>
              <w:tc>
                <w:tcPr>
                  <w:tcW w:w="2337" w:type="dxa"/>
                  <w:vAlign w:val="top"/>
                </w:tcPr>
                <w:p>
                  <w:pPr>
                    <w:spacing w:before="94" w:line="195" w:lineRule="auto"/>
                    <w:ind w:left="900"/>
                    <w:rPr>
                      <w:rFonts w:ascii="Times New Roman" w:hAnsi="Times New Roman" w:eastAsia="Times New Roman" w:cs="Times New Roman"/>
                      <w:sz w:val="21"/>
                      <w:szCs w:val="21"/>
                    </w:rPr>
                  </w:pPr>
                  <w:r>
                    <w:rPr>
                      <w:rFonts w:ascii="Times New Roman" w:hAnsi="Times New Roman" w:eastAsia="Times New Roman" w:cs="Times New Roman"/>
                      <w:sz w:val="21"/>
                      <w:szCs w:val="21"/>
                    </w:rPr>
                    <w:t>ZQJ-</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z w:val="21"/>
                      <w:szCs w:val="21"/>
                    </w:rPr>
                    <w:t>1</w:t>
                  </w:r>
                </w:p>
              </w:tc>
              <w:tc>
                <w:tcPr>
                  <w:tcW w:w="787" w:type="dxa"/>
                  <w:vAlign w:val="top"/>
                </w:tcPr>
                <w:p>
                  <w:pPr>
                    <w:spacing w:before="98"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712" w:type="dxa"/>
                  <w:vAlign w:val="top"/>
                </w:tcPr>
                <w:p>
                  <w:pPr>
                    <w:spacing w:before="77" w:line="252" w:lineRule="exact"/>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6"/>
                      <w:sz w:val="13"/>
                      <w:szCs w:val="13"/>
                    </w:rPr>
                    <w:t>3</w:t>
                  </w:r>
                  <w:r>
                    <w:rPr>
                      <w:rFonts w:ascii="Times New Roman" w:hAnsi="Times New Roman" w:eastAsia="Times New Roman" w:cs="Times New Roman"/>
                      <w:sz w:val="21"/>
                      <w:szCs w:val="21"/>
                    </w:rPr>
                    <w:t>/h</w:t>
                  </w:r>
                </w:p>
              </w:tc>
              <w:tc>
                <w:tcPr>
                  <w:tcW w:w="1452" w:type="dxa"/>
                  <w:vAlign w:val="top"/>
                </w:tcPr>
                <w:p>
                  <w:pPr>
                    <w:pStyle w:val="6"/>
                    <w:spacing w:before="59" w:line="223"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5"/>
                      <w:w w:val="101"/>
                      <w:sz w:val="21"/>
                      <w:szCs w:val="21"/>
                    </w:rPr>
                    <w:t xml:space="preserve"> </w:t>
                  </w:r>
                  <w:r>
                    <w:rPr>
                      <w:spacing w:val="-13"/>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98"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2790" w:type="dxa"/>
                  <w:vAlign w:val="top"/>
                </w:tcPr>
                <w:p>
                  <w:pPr>
                    <w:pStyle w:val="6"/>
                    <w:spacing w:before="59" w:line="221" w:lineRule="auto"/>
                    <w:ind w:left="980"/>
                    <w:rPr>
                      <w:sz w:val="21"/>
                      <w:szCs w:val="21"/>
                    </w:rPr>
                  </w:pPr>
                  <w:r>
                    <w:rPr>
                      <w:spacing w:val="-2"/>
                      <w:sz w:val="21"/>
                      <w:szCs w:val="21"/>
                    </w:rPr>
                    <w:t>灌注泵组</w:t>
                  </w:r>
                </w:p>
              </w:tc>
              <w:tc>
                <w:tcPr>
                  <w:tcW w:w="2337" w:type="dxa"/>
                  <w:vAlign w:val="top"/>
                </w:tcPr>
                <w:p>
                  <w:pPr>
                    <w:spacing w:before="95" w:line="231"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5"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spacing w:before="95" w:line="231"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52" w:type="dxa"/>
                  <w:vAlign w:val="top"/>
                </w:tcPr>
                <w:p>
                  <w:pPr>
                    <w:pStyle w:val="6"/>
                    <w:spacing w:before="60" w:line="221"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9"/>
                      <w:sz w:val="21"/>
                      <w:szCs w:val="21"/>
                    </w:rPr>
                    <w:t xml:space="preserve"> </w:t>
                  </w:r>
                  <w:r>
                    <w:rPr>
                      <w:spacing w:val="-2"/>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2790" w:type="dxa"/>
                  <w:vAlign w:val="top"/>
                </w:tcPr>
                <w:p>
                  <w:pPr>
                    <w:pStyle w:val="6"/>
                    <w:spacing w:before="62" w:line="220" w:lineRule="auto"/>
                    <w:ind w:left="1087"/>
                    <w:rPr>
                      <w:sz w:val="21"/>
                      <w:szCs w:val="21"/>
                    </w:rPr>
                  </w:pPr>
                  <w:r>
                    <w:rPr>
                      <w:spacing w:val="-2"/>
                      <w:sz w:val="21"/>
                      <w:szCs w:val="21"/>
                    </w:rPr>
                    <w:t>离心机</w:t>
                  </w:r>
                </w:p>
              </w:tc>
              <w:tc>
                <w:tcPr>
                  <w:tcW w:w="2337" w:type="dxa"/>
                  <w:vAlign w:val="top"/>
                </w:tcPr>
                <w:p>
                  <w:pPr>
                    <w:spacing w:before="101" w:line="187" w:lineRule="auto"/>
                    <w:ind w:left="7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JL40-DZ</w:t>
                  </w:r>
                </w:p>
              </w:tc>
              <w:tc>
                <w:tcPr>
                  <w:tcW w:w="787" w:type="dxa"/>
                  <w:vAlign w:val="top"/>
                </w:tcPr>
                <w:p>
                  <w:pPr>
                    <w:spacing w:before="101"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712" w:type="dxa"/>
                  <w:vAlign w:val="top"/>
                </w:tcPr>
                <w:p>
                  <w:pPr>
                    <w:spacing w:before="97"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3"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8"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2790" w:type="dxa"/>
                  <w:vAlign w:val="top"/>
                </w:tcPr>
                <w:p>
                  <w:pPr>
                    <w:pStyle w:val="6"/>
                    <w:spacing w:before="60" w:line="220" w:lineRule="auto"/>
                    <w:ind w:left="1087"/>
                    <w:rPr>
                      <w:sz w:val="21"/>
                      <w:szCs w:val="21"/>
                    </w:rPr>
                  </w:pPr>
                  <w:r>
                    <w:rPr>
                      <w:spacing w:val="-2"/>
                      <w:sz w:val="21"/>
                      <w:szCs w:val="21"/>
                    </w:rPr>
                    <w:t>离心机</w:t>
                  </w:r>
                </w:p>
              </w:tc>
              <w:tc>
                <w:tcPr>
                  <w:tcW w:w="2337" w:type="dxa"/>
                  <w:vAlign w:val="top"/>
                </w:tcPr>
                <w:p>
                  <w:pPr>
                    <w:spacing w:before="98" w:line="187" w:lineRule="auto"/>
                    <w:ind w:left="5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LW355-</w:t>
                  </w:r>
                  <w:r>
                    <w:rPr>
                      <w:rFonts w:ascii="Times New Roman" w:hAnsi="Times New Roman" w:eastAsia="Times New Roman" w:cs="Times New Roman"/>
                      <w:spacing w:val="-22"/>
                      <w:sz w:val="21"/>
                      <w:szCs w:val="21"/>
                    </w:rPr>
                    <w:t xml:space="preserve"> </w:t>
                  </w:r>
                  <w:r>
                    <w:rPr>
                      <w:rFonts w:ascii="Times New Roman" w:hAnsi="Times New Roman" w:eastAsia="Times New Roman" w:cs="Times New Roman"/>
                      <w:spacing w:val="-3"/>
                      <w:sz w:val="21"/>
                      <w:szCs w:val="21"/>
                    </w:rPr>
                    <w:t>1250N</w:t>
                  </w:r>
                </w:p>
              </w:tc>
              <w:tc>
                <w:tcPr>
                  <w:tcW w:w="787" w:type="dxa"/>
                  <w:vAlign w:val="top"/>
                </w:tcPr>
                <w:p>
                  <w:pPr>
                    <w:spacing w:before="98"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712" w:type="dxa"/>
                  <w:vAlign w:val="top"/>
                </w:tcPr>
                <w:p>
                  <w:pPr>
                    <w:spacing w:before="94"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0"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98"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790" w:type="dxa"/>
                  <w:vAlign w:val="top"/>
                </w:tcPr>
                <w:p>
                  <w:pPr>
                    <w:pStyle w:val="6"/>
                    <w:spacing w:before="59" w:line="221" w:lineRule="auto"/>
                    <w:ind w:left="558"/>
                    <w:rPr>
                      <w:sz w:val="21"/>
                      <w:szCs w:val="21"/>
                    </w:rPr>
                  </w:pPr>
                  <w:r>
                    <w:rPr>
                      <w:spacing w:val="-1"/>
                      <w:sz w:val="21"/>
                      <w:szCs w:val="21"/>
                    </w:rPr>
                    <w:t>加重泵、混合漏斗</w:t>
                  </w:r>
                </w:p>
              </w:tc>
              <w:tc>
                <w:tcPr>
                  <w:tcW w:w="2337" w:type="dxa"/>
                  <w:vAlign w:val="top"/>
                </w:tcPr>
                <w:p>
                  <w:pPr>
                    <w:spacing w:before="98" w:line="187" w:lineRule="auto"/>
                    <w:ind w:left="84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150NSP</w:t>
                  </w:r>
                </w:p>
              </w:tc>
              <w:tc>
                <w:tcPr>
                  <w:tcW w:w="787" w:type="dxa"/>
                  <w:vAlign w:val="top"/>
                </w:tcPr>
                <w:p>
                  <w:pPr>
                    <w:spacing w:before="101" w:line="184"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12" w:type="dxa"/>
                  <w:vAlign w:val="top"/>
                </w:tcPr>
                <w:p>
                  <w:pPr>
                    <w:spacing w:before="94" w:line="191"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452" w:type="dxa"/>
                  <w:vAlign w:val="top"/>
                </w:tcPr>
                <w:p>
                  <w:pPr>
                    <w:pStyle w:val="6"/>
                    <w:spacing w:before="60" w:line="221"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9"/>
                      <w:sz w:val="21"/>
                      <w:szCs w:val="21"/>
                    </w:rPr>
                    <w:t xml:space="preserve"> </w:t>
                  </w:r>
                  <w:r>
                    <w:rPr>
                      <w:spacing w:val="-2"/>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99"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2790" w:type="dxa"/>
                  <w:vAlign w:val="top"/>
                </w:tcPr>
                <w:p>
                  <w:pPr>
                    <w:pStyle w:val="6"/>
                    <w:spacing w:before="60" w:line="221" w:lineRule="auto"/>
                    <w:ind w:left="874"/>
                    <w:rPr>
                      <w:sz w:val="21"/>
                      <w:szCs w:val="21"/>
                    </w:rPr>
                  </w:pPr>
                  <w:r>
                    <w:rPr>
                      <w:spacing w:val="-2"/>
                      <w:sz w:val="21"/>
                      <w:szCs w:val="21"/>
                    </w:rPr>
                    <w:t>液气分离器</w:t>
                  </w:r>
                </w:p>
              </w:tc>
              <w:tc>
                <w:tcPr>
                  <w:tcW w:w="2337" w:type="dxa"/>
                  <w:vAlign w:val="top"/>
                </w:tcPr>
                <w:p>
                  <w:pPr>
                    <w:spacing w:before="98" w:line="187" w:lineRule="auto"/>
                    <w:ind w:left="7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SB1-3×4-J</w:t>
                  </w:r>
                </w:p>
              </w:tc>
              <w:tc>
                <w:tcPr>
                  <w:tcW w:w="787" w:type="dxa"/>
                  <w:vAlign w:val="top"/>
                </w:tcPr>
                <w:p>
                  <w:pPr>
                    <w:spacing w:before="99" w:line="187"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12" w:type="dxa"/>
                  <w:vAlign w:val="top"/>
                </w:tcPr>
                <w:p>
                  <w:pPr>
                    <w:spacing w:before="101" w:line="184"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MPa</w:t>
                  </w:r>
                </w:p>
              </w:tc>
              <w:tc>
                <w:tcPr>
                  <w:tcW w:w="1452" w:type="dxa"/>
                  <w:vAlign w:val="top"/>
                </w:tcPr>
                <w:p>
                  <w:pPr>
                    <w:pStyle w:val="6"/>
                    <w:spacing w:before="60"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2790" w:type="dxa"/>
                  <w:vAlign w:val="top"/>
                </w:tcPr>
                <w:p>
                  <w:pPr>
                    <w:pStyle w:val="6"/>
                    <w:spacing w:before="62" w:line="220" w:lineRule="auto"/>
                    <w:ind w:left="897"/>
                    <w:rPr>
                      <w:sz w:val="21"/>
                      <w:szCs w:val="21"/>
                    </w:rPr>
                  </w:pPr>
                  <w:r>
                    <w:rPr>
                      <w:spacing w:val="-6"/>
                      <w:sz w:val="21"/>
                      <w:szCs w:val="21"/>
                    </w:rPr>
                    <w:t>电动压风机</w:t>
                  </w:r>
                </w:p>
              </w:tc>
              <w:tc>
                <w:tcPr>
                  <w:tcW w:w="2337" w:type="dxa"/>
                  <w:vAlign w:val="top"/>
                </w:tcPr>
                <w:p>
                  <w:pPr>
                    <w:spacing w:before="101" w:line="187" w:lineRule="auto"/>
                    <w:ind w:left="7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SPE-306X</w:t>
                  </w:r>
                </w:p>
              </w:tc>
              <w:tc>
                <w:tcPr>
                  <w:tcW w:w="787" w:type="dxa"/>
                  <w:vAlign w:val="top"/>
                </w:tcPr>
                <w:p>
                  <w:pPr>
                    <w:spacing w:before="101" w:line="187"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12" w:type="dxa"/>
                  <w:vAlign w:val="top"/>
                </w:tcPr>
                <w:p>
                  <w:pPr>
                    <w:spacing w:before="104" w:line="184"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MPa</w:t>
                  </w:r>
                </w:p>
              </w:tc>
              <w:tc>
                <w:tcPr>
                  <w:tcW w:w="1452" w:type="dxa"/>
                  <w:vAlign w:val="top"/>
                </w:tcPr>
                <w:p>
                  <w:pPr>
                    <w:pStyle w:val="6"/>
                    <w:spacing w:before="62" w:line="223"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5"/>
                      <w:sz w:val="21"/>
                      <w:szCs w:val="21"/>
                    </w:rPr>
                    <w:t xml:space="preserve"> </w:t>
                  </w:r>
                  <w:r>
                    <w:rPr>
                      <w:spacing w:val="-2"/>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8"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2790" w:type="dxa"/>
                  <w:vAlign w:val="top"/>
                </w:tcPr>
                <w:p>
                  <w:pPr>
                    <w:pStyle w:val="6"/>
                    <w:spacing w:before="59" w:line="221" w:lineRule="auto"/>
                    <w:ind w:left="872"/>
                    <w:rPr>
                      <w:sz w:val="21"/>
                      <w:szCs w:val="21"/>
                    </w:rPr>
                  </w:pPr>
                  <w:r>
                    <w:rPr>
                      <w:spacing w:val="-1"/>
                      <w:sz w:val="21"/>
                      <w:szCs w:val="21"/>
                    </w:rPr>
                    <w:t>钻井参数仪</w:t>
                  </w:r>
                </w:p>
              </w:tc>
              <w:tc>
                <w:tcPr>
                  <w:tcW w:w="2337" w:type="dxa"/>
                  <w:vAlign w:val="top"/>
                </w:tcPr>
                <w:p>
                  <w:pPr>
                    <w:spacing w:before="95" w:line="233"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5" w:line="233"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spacing w:before="95" w:line="233"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52" w:type="dxa"/>
                  <w:vAlign w:val="top"/>
                </w:tcPr>
                <w:p>
                  <w:pPr>
                    <w:pStyle w:val="6"/>
                    <w:spacing w:before="60"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pStyle w:val="6"/>
                    <w:spacing w:before="98" w:line="179" w:lineRule="auto"/>
                    <w:ind w:left="167"/>
                    <w:rPr>
                      <w:sz w:val="21"/>
                      <w:szCs w:val="21"/>
                    </w:rPr>
                  </w:pPr>
                  <w:r>
                    <w:rPr>
                      <w:sz w:val="21"/>
                      <w:szCs w:val="21"/>
                      <w14:textOutline w14:w="3831" w14:cap="flat" w14:cmpd="sng">
                        <w14:solidFill>
                          <w14:srgbClr w14:val="000000"/>
                        </w14:solidFill>
                        <w14:prstDash w14:val="solid"/>
                        <w14:miter w14:val="10"/>
                      </w14:textOutline>
                    </w:rPr>
                    <w:t>二</w:t>
                  </w:r>
                </w:p>
              </w:tc>
              <w:tc>
                <w:tcPr>
                  <w:tcW w:w="2790" w:type="dxa"/>
                  <w:vAlign w:val="top"/>
                </w:tcPr>
                <w:p>
                  <w:pPr>
                    <w:pStyle w:val="6"/>
                    <w:spacing w:before="59" w:line="221" w:lineRule="auto"/>
                    <w:ind w:left="874"/>
                    <w:rPr>
                      <w:sz w:val="21"/>
                      <w:szCs w:val="21"/>
                    </w:rPr>
                  </w:pPr>
                  <w:r>
                    <w:rPr>
                      <w:spacing w:val="-1"/>
                      <w:sz w:val="21"/>
                      <w:szCs w:val="21"/>
                      <w14:textOutline w14:w="3831" w14:cap="flat" w14:cmpd="sng">
                        <w14:solidFill>
                          <w14:srgbClr w14:val="000000"/>
                        </w14:solidFill>
                        <w14:prstDash w14:val="solid"/>
                        <w14:miter w14:val="10"/>
                      </w14:textOutline>
                    </w:rPr>
                    <w:t>救生及消防</w:t>
                  </w:r>
                </w:p>
              </w:tc>
              <w:tc>
                <w:tcPr>
                  <w:tcW w:w="2337" w:type="dxa"/>
                  <w:tcBorders>
                    <w:right w:val="nil"/>
                  </w:tcBorders>
                  <w:vAlign w:val="top"/>
                </w:tcPr>
                <w:p>
                  <w:pPr>
                    <w:rPr>
                      <w:rFonts w:ascii="Arial"/>
                      <w:sz w:val="21"/>
                    </w:rPr>
                  </w:pPr>
                </w:p>
              </w:tc>
              <w:tc>
                <w:tcPr>
                  <w:tcW w:w="787" w:type="dxa"/>
                  <w:tcBorders>
                    <w:left w:val="nil"/>
                    <w:right w:val="nil"/>
                  </w:tcBorders>
                  <w:vAlign w:val="top"/>
                </w:tcPr>
                <w:p>
                  <w:pPr>
                    <w:rPr>
                      <w:rFonts w:ascii="Arial"/>
                      <w:sz w:val="21"/>
                    </w:rPr>
                  </w:pPr>
                </w:p>
              </w:tc>
              <w:tc>
                <w:tcPr>
                  <w:tcW w:w="712" w:type="dxa"/>
                  <w:tcBorders>
                    <w:left w:val="nil"/>
                    <w:right w:val="nil"/>
                  </w:tcBorders>
                  <w:vAlign w:val="top"/>
                </w:tcPr>
                <w:p>
                  <w:pPr>
                    <w:rPr>
                      <w:rFonts w:ascii="Arial"/>
                      <w:sz w:val="21"/>
                    </w:rPr>
                  </w:pPr>
                </w:p>
              </w:tc>
              <w:tc>
                <w:tcPr>
                  <w:tcW w:w="1452" w:type="dxa"/>
                  <w:tcBorders>
                    <w:lef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98" w:line="187" w:lineRule="auto"/>
                    <w:ind w:left="2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90" w:type="dxa"/>
                  <w:vAlign w:val="top"/>
                </w:tcPr>
                <w:p>
                  <w:pPr>
                    <w:pStyle w:val="6"/>
                    <w:spacing w:before="59" w:line="221" w:lineRule="auto"/>
                    <w:ind w:left="562"/>
                    <w:rPr>
                      <w:sz w:val="21"/>
                      <w:szCs w:val="21"/>
                    </w:rPr>
                  </w:pPr>
                  <w:r>
                    <w:rPr>
                      <w:spacing w:val="-2"/>
                      <w:sz w:val="21"/>
                      <w:szCs w:val="21"/>
                    </w:rPr>
                    <w:t>消防房及消防工具</w:t>
                  </w:r>
                </w:p>
              </w:tc>
              <w:tc>
                <w:tcPr>
                  <w:tcW w:w="2337" w:type="dxa"/>
                  <w:vAlign w:val="top"/>
                </w:tcPr>
                <w:p>
                  <w:pPr>
                    <w:spacing w:before="94" w:line="232"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8.0×2.8×2.85m</w:t>
                  </w:r>
                </w:p>
              </w:tc>
              <w:tc>
                <w:tcPr>
                  <w:tcW w:w="787" w:type="dxa"/>
                  <w:vAlign w:val="top"/>
                </w:tcPr>
                <w:p>
                  <w:pPr>
                    <w:spacing w:before="94" w:line="232"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59" w:line="221" w:lineRule="auto"/>
                    <w:ind w:left="257"/>
                    <w:rPr>
                      <w:sz w:val="21"/>
                      <w:szCs w:val="21"/>
                    </w:rPr>
                  </w:pPr>
                  <w:r>
                    <w:rPr>
                      <w:sz w:val="21"/>
                      <w:szCs w:val="21"/>
                    </w:rPr>
                    <w:t>套</w:t>
                  </w:r>
                </w:p>
              </w:tc>
              <w:tc>
                <w:tcPr>
                  <w:tcW w:w="1452" w:type="dxa"/>
                  <w:vAlign w:val="top"/>
                </w:tcPr>
                <w:p>
                  <w:pPr>
                    <w:pStyle w:val="6"/>
                    <w:spacing w:before="59"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101" w:line="187" w:lineRule="auto"/>
                    <w:ind w:left="21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90" w:type="dxa"/>
                  <w:vAlign w:val="top"/>
                </w:tcPr>
                <w:p>
                  <w:pPr>
                    <w:pStyle w:val="6"/>
                    <w:spacing w:before="62" w:line="221" w:lineRule="auto"/>
                    <w:ind w:left="667"/>
                    <w:rPr>
                      <w:sz w:val="21"/>
                      <w:szCs w:val="21"/>
                    </w:rPr>
                  </w:pPr>
                  <w:r>
                    <w:rPr>
                      <w:spacing w:val="-2"/>
                      <w:sz w:val="21"/>
                      <w:szCs w:val="21"/>
                    </w:rPr>
                    <w:t>二层台逃生装置</w:t>
                  </w:r>
                </w:p>
              </w:tc>
              <w:tc>
                <w:tcPr>
                  <w:tcW w:w="2337" w:type="dxa"/>
                  <w:vAlign w:val="top"/>
                </w:tcPr>
                <w:p>
                  <w:pPr>
                    <w:spacing w:before="97" w:line="232"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7" w:line="232"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2" w:line="221" w:lineRule="auto"/>
                    <w:ind w:left="257"/>
                    <w:rPr>
                      <w:sz w:val="21"/>
                      <w:szCs w:val="21"/>
                    </w:rPr>
                  </w:pPr>
                  <w:r>
                    <w:rPr>
                      <w:sz w:val="21"/>
                      <w:szCs w:val="21"/>
                    </w:rPr>
                    <w:t>套</w:t>
                  </w:r>
                </w:p>
              </w:tc>
              <w:tc>
                <w:tcPr>
                  <w:tcW w:w="1452" w:type="dxa"/>
                  <w:vAlign w:val="top"/>
                </w:tcPr>
                <w:p>
                  <w:pPr>
                    <w:pStyle w:val="6"/>
                    <w:spacing w:before="62"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98"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790" w:type="dxa"/>
                  <w:vAlign w:val="top"/>
                </w:tcPr>
                <w:p>
                  <w:pPr>
                    <w:pStyle w:val="6"/>
                    <w:spacing w:before="59" w:line="221" w:lineRule="auto"/>
                    <w:ind w:left="769"/>
                    <w:rPr>
                      <w:sz w:val="21"/>
                      <w:szCs w:val="21"/>
                    </w:rPr>
                  </w:pPr>
                  <w:r>
                    <w:rPr>
                      <w:spacing w:val="-1"/>
                      <w:sz w:val="21"/>
                      <w:szCs w:val="21"/>
                    </w:rPr>
                    <w:t>钻台紧急滑道</w:t>
                  </w:r>
                </w:p>
              </w:tc>
              <w:tc>
                <w:tcPr>
                  <w:tcW w:w="2337" w:type="dxa"/>
                  <w:vAlign w:val="top"/>
                </w:tcPr>
                <w:p>
                  <w:pPr>
                    <w:spacing w:before="94" w:line="233"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4" w:line="233"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0" w:line="221" w:lineRule="auto"/>
                    <w:ind w:left="257"/>
                    <w:rPr>
                      <w:sz w:val="21"/>
                      <w:szCs w:val="21"/>
                    </w:rPr>
                  </w:pPr>
                  <w:r>
                    <w:rPr>
                      <w:sz w:val="21"/>
                      <w:szCs w:val="21"/>
                    </w:rPr>
                    <w:t>套</w:t>
                  </w:r>
                </w:p>
              </w:tc>
              <w:tc>
                <w:tcPr>
                  <w:tcW w:w="1452" w:type="dxa"/>
                  <w:vAlign w:val="top"/>
                </w:tcPr>
                <w:p>
                  <w:pPr>
                    <w:pStyle w:val="6"/>
                    <w:spacing w:before="60"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Align w:val="top"/>
                </w:tcPr>
                <w:p>
                  <w:pPr>
                    <w:spacing w:before="99" w:line="187"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790" w:type="dxa"/>
                  <w:vAlign w:val="top"/>
                </w:tcPr>
                <w:p>
                  <w:pPr>
                    <w:pStyle w:val="6"/>
                    <w:spacing w:before="59" w:line="221" w:lineRule="auto"/>
                    <w:ind w:left="369"/>
                    <w:rPr>
                      <w:sz w:val="21"/>
                      <w:szCs w:val="21"/>
                    </w:rPr>
                  </w:pPr>
                  <w:r>
                    <w:rPr>
                      <w:spacing w:val="-3"/>
                      <w:sz w:val="21"/>
                      <w:szCs w:val="21"/>
                    </w:rPr>
                    <w:t>四合一可燃气体监测仪</w:t>
                  </w:r>
                </w:p>
              </w:tc>
              <w:tc>
                <w:tcPr>
                  <w:tcW w:w="2337" w:type="dxa"/>
                  <w:vAlign w:val="top"/>
                </w:tcPr>
                <w:p>
                  <w:pPr>
                    <w:spacing w:before="95" w:line="233"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5" w:line="233"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0" w:line="223" w:lineRule="auto"/>
                    <w:ind w:left="273"/>
                    <w:rPr>
                      <w:sz w:val="21"/>
                      <w:szCs w:val="21"/>
                    </w:rPr>
                  </w:pPr>
                  <w:r>
                    <w:rPr>
                      <w:sz w:val="21"/>
                      <w:szCs w:val="21"/>
                    </w:rPr>
                    <w:t>台</w:t>
                  </w:r>
                </w:p>
              </w:tc>
              <w:tc>
                <w:tcPr>
                  <w:tcW w:w="1452" w:type="dxa"/>
                  <w:vAlign w:val="top"/>
                </w:tcPr>
                <w:p>
                  <w:pPr>
                    <w:pStyle w:val="6"/>
                    <w:spacing w:before="60" w:line="221"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9"/>
                      <w:sz w:val="21"/>
                      <w:szCs w:val="21"/>
                    </w:rPr>
                    <w:t xml:space="preserve"> </w:t>
                  </w:r>
                  <w:r>
                    <w:rPr>
                      <w:spacing w:val="-2"/>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pStyle w:val="6"/>
                    <w:spacing w:before="59" w:line="236" w:lineRule="auto"/>
                    <w:ind w:left="163"/>
                    <w:rPr>
                      <w:sz w:val="21"/>
                      <w:szCs w:val="21"/>
                    </w:rPr>
                  </w:pPr>
                  <w:r>
                    <w:rPr>
                      <w:sz w:val="21"/>
                      <w:szCs w:val="21"/>
                      <w14:textOutline w14:w="3831" w14:cap="flat" w14:cmpd="sng">
                        <w14:solidFill>
                          <w14:srgbClr w14:val="000000"/>
                        </w14:solidFill>
                        <w14:prstDash w14:val="solid"/>
                        <w14:miter w14:val="10"/>
                      </w14:textOutline>
                    </w:rPr>
                    <w:t>三</w:t>
                  </w:r>
                </w:p>
              </w:tc>
              <w:tc>
                <w:tcPr>
                  <w:tcW w:w="2790" w:type="dxa"/>
                  <w:vAlign w:val="top"/>
                </w:tcPr>
                <w:p>
                  <w:pPr>
                    <w:pStyle w:val="6"/>
                    <w:spacing w:before="60" w:line="221" w:lineRule="auto"/>
                    <w:ind w:left="772"/>
                    <w:rPr>
                      <w:sz w:val="21"/>
                      <w:szCs w:val="21"/>
                    </w:rPr>
                  </w:pPr>
                  <w:r>
                    <w:rPr>
                      <w:rFonts w:ascii="Times New Roman" w:hAnsi="Times New Roman" w:eastAsia="Times New Roman" w:cs="Times New Roman"/>
                      <w:b/>
                      <w:bCs/>
                      <w:spacing w:val="-2"/>
                      <w:sz w:val="21"/>
                      <w:szCs w:val="21"/>
                    </w:rPr>
                    <w:t>H</w:t>
                  </w:r>
                  <w:r>
                    <w:rPr>
                      <w:rFonts w:ascii="Times New Roman" w:hAnsi="Times New Roman" w:eastAsia="Times New Roman" w:cs="Times New Roman"/>
                      <w:b/>
                      <w:bCs/>
                      <w:spacing w:val="-2"/>
                      <w:position w:val="-1"/>
                      <w:sz w:val="13"/>
                      <w:szCs w:val="13"/>
                    </w:rPr>
                    <w:t>2</w:t>
                  </w:r>
                  <w:r>
                    <w:rPr>
                      <w:rFonts w:ascii="Times New Roman" w:hAnsi="Times New Roman" w:eastAsia="Times New Roman" w:cs="Times New Roman"/>
                      <w:b/>
                      <w:bCs/>
                      <w:spacing w:val="-2"/>
                      <w:sz w:val="21"/>
                      <w:szCs w:val="21"/>
                    </w:rPr>
                    <w:t>S</w:t>
                  </w:r>
                  <w:r>
                    <w:rPr>
                      <w:rFonts w:ascii="Times New Roman" w:hAnsi="Times New Roman" w:eastAsia="Times New Roman" w:cs="Times New Roman"/>
                      <w:b/>
                      <w:bCs/>
                      <w:spacing w:val="23"/>
                      <w:sz w:val="21"/>
                      <w:szCs w:val="21"/>
                    </w:rPr>
                    <w:t xml:space="preserve"> </w:t>
                  </w:r>
                  <w:r>
                    <w:rPr>
                      <w:spacing w:val="-2"/>
                      <w:sz w:val="21"/>
                      <w:szCs w:val="21"/>
                      <w14:textOutline w14:w="3831" w14:cap="flat" w14:cmpd="sng">
                        <w14:solidFill>
                          <w14:srgbClr w14:val="000000"/>
                        </w14:solidFill>
                        <w14:prstDash w14:val="solid"/>
                        <w14:miter w14:val="10"/>
                      </w14:textOutline>
                    </w:rPr>
                    <w:t>防护设备</w:t>
                  </w:r>
                </w:p>
              </w:tc>
              <w:tc>
                <w:tcPr>
                  <w:tcW w:w="2337" w:type="dxa"/>
                  <w:tcBorders>
                    <w:right w:val="nil"/>
                  </w:tcBorders>
                  <w:vAlign w:val="top"/>
                </w:tcPr>
                <w:p>
                  <w:pPr>
                    <w:rPr>
                      <w:rFonts w:ascii="Arial"/>
                      <w:sz w:val="21"/>
                    </w:rPr>
                  </w:pPr>
                </w:p>
              </w:tc>
              <w:tc>
                <w:tcPr>
                  <w:tcW w:w="787" w:type="dxa"/>
                  <w:tcBorders>
                    <w:left w:val="nil"/>
                    <w:right w:val="nil"/>
                  </w:tcBorders>
                  <w:vAlign w:val="top"/>
                </w:tcPr>
                <w:p>
                  <w:pPr>
                    <w:rPr>
                      <w:rFonts w:ascii="Arial"/>
                      <w:sz w:val="21"/>
                    </w:rPr>
                  </w:pPr>
                </w:p>
              </w:tc>
              <w:tc>
                <w:tcPr>
                  <w:tcW w:w="712" w:type="dxa"/>
                  <w:tcBorders>
                    <w:left w:val="nil"/>
                    <w:right w:val="nil"/>
                  </w:tcBorders>
                  <w:vAlign w:val="top"/>
                </w:tcPr>
                <w:p>
                  <w:pPr>
                    <w:rPr>
                      <w:rFonts w:ascii="Arial"/>
                      <w:sz w:val="21"/>
                    </w:rPr>
                  </w:pPr>
                </w:p>
              </w:tc>
              <w:tc>
                <w:tcPr>
                  <w:tcW w:w="1452" w:type="dxa"/>
                  <w:tcBorders>
                    <w:lef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32" w:type="dxa"/>
                  <w:vAlign w:val="top"/>
                </w:tcPr>
                <w:p>
                  <w:pPr>
                    <w:spacing w:before="101" w:line="187" w:lineRule="auto"/>
                    <w:ind w:left="2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90" w:type="dxa"/>
                  <w:vAlign w:val="top"/>
                </w:tcPr>
                <w:p>
                  <w:pPr>
                    <w:pStyle w:val="6"/>
                    <w:spacing w:before="62" w:line="221" w:lineRule="auto"/>
                    <w:ind w:left="564"/>
                    <w:rPr>
                      <w:sz w:val="21"/>
                      <w:szCs w:val="21"/>
                    </w:rPr>
                  </w:pPr>
                  <w:r>
                    <w:rPr>
                      <w:spacing w:val="-3"/>
                      <w:sz w:val="21"/>
                      <w:szCs w:val="21"/>
                    </w:rPr>
                    <w:t>固定式</w:t>
                  </w:r>
                  <w:r>
                    <w:rPr>
                      <w:spacing w:val="-42"/>
                      <w:sz w:val="21"/>
                      <w:szCs w:val="21"/>
                    </w:rPr>
                    <w:t xml:space="preserve"> </w:t>
                  </w:r>
                  <w:r>
                    <w:rPr>
                      <w:rFonts w:ascii="Times New Roman" w:hAnsi="Times New Roman" w:eastAsia="Times New Roman" w:cs="Times New Roman"/>
                      <w:spacing w:val="-3"/>
                      <w:sz w:val="21"/>
                      <w:szCs w:val="21"/>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1"/>
                      <w:szCs w:val="21"/>
                    </w:rPr>
                    <w:t xml:space="preserve">S </w:t>
                  </w:r>
                  <w:r>
                    <w:rPr>
                      <w:spacing w:val="-3"/>
                      <w:sz w:val="21"/>
                      <w:szCs w:val="21"/>
                    </w:rPr>
                    <w:t>监测仪</w:t>
                  </w:r>
                </w:p>
              </w:tc>
              <w:tc>
                <w:tcPr>
                  <w:tcW w:w="2337" w:type="dxa"/>
                  <w:vAlign w:val="top"/>
                </w:tcPr>
                <w:p>
                  <w:pPr>
                    <w:spacing w:before="97" w:line="231"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7"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2" w:line="221" w:lineRule="auto"/>
                    <w:ind w:left="257"/>
                    <w:rPr>
                      <w:sz w:val="21"/>
                      <w:szCs w:val="21"/>
                    </w:rPr>
                  </w:pPr>
                  <w:r>
                    <w:rPr>
                      <w:sz w:val="21"/>
                      <w:szCs w:val="21"/>
                    </w:rPr>
                    <w:t>套</w:t>
                  </w:r>
                </w:p>
              </w:tc>
              <w:tc>
                <w:tcPr>
                  <w:tcW w:w="1452" w:type="dxa"/>
                  <w:vAlign w:val="top"/>
                </w:tcPr>
                <w:p>
                  <w:pPr>
                    <w:pStyle w:val="6"/>
                    <w:spacing w:before="62"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tcBorders>
                    <w:bottom w:val="nil"/>
                  </w:tcBorders>
                  <w:vAlign w:val="top"/>
                </w:tcPr>
                <w:p>
                  <w:pPr>
                    <w:spacing w:before="99" w:line="187" w:lineRule="auto"/>
                    <w:ind w:left="21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90" w:type="dxa"/>
                  <w:tcBorders>
                    <w:bottom w:val="nil"/>
                  </w:tcBorders>
                  <w:vAlign w:val="top"/>
                </w:tcPr>
                <w:p>
                  <w:pPr>
                    <w:pStyle w:val="6"/>
                    <w:spacing w:before="60" w:line="221" w:lineRule="auto"/>
                    <w:ind w:left="547"/>
                    <w:rPr>
                      <w:sz w:val="21"/>
                      <w:szCs w:val="21"/>
                    </w:rPr>
                  </w:pPr>
                  <w:r>
                    <w:rPr>
                      <w:spacing w:val="-1"/>
                      <w:sz w:val="21"/>
                      <w:szCs w:val="21"/>
                    </w:rPr>
                    <w:t>便携式</w:t>
                  </w:r>
                  <w:r>
                    <w:rPr>
                      <w:spacing w:val="-44"/>
                      <w:sz w:val="21"/>
                      <w:szCs w:val="21"/>
                    </w:rPr>
                    <w:t xml:space="preserve"> </w:t>
                  </w: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 xml:space="preserve">S </w:t>
                  </w:r>
                  <w:r>
                    <w:rPr>
                      <w:spacing w:val="-1"/>
                      <w:sz w:val="21"/>
                      <w:szCs w:val="21"/>
                    </w:rPr>
                    <w:t>监测仪</w:t>
                  </w:r>
                </w:p>
              </w:tc>
              <w:tc>
                <w:tcPr>
                  <w:tcW w:w="2337" w:type="dxa"/>
                  <w:tcBorders>
                    <w:bottom w:val="nil"/>
                  </w:tcBorders>
                  <w:vAlign w:val="top"/>
                </w:tcPr>
                <w:p>
                  <w:pPr>
                    <w:spacing w:before="96" w:line="191" w:lineRule="auto"/>
                    <w:ind w:left="7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0-20ppm</w:t>
                  </w:r>
                </w:p>
              </w:tc>
              <w:tc>
                <w:tcPr>
                  <w:tcW w:w="787" w:type="dxa"/>
                  <w:tcBorders>
                    <w:bottom w:val="nil"/>
                  </w:tcBorders>
                  <w:vAlign w:val="top"/>
                </w:tcPr>
                <w:p>
                  <w:pPr>
                    <w:spacing w:before="95"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tcBorders>
                    <w:bottom w:val="nil"/>
                  </w:tcBorders>
                  <w:vAlign w:val="top"/>
                </w:tcPr>
                <w:p>
                  <w:pPr>
                    <w:pStyle w:val="6"/>
                    <w:spacing w:before="61" w:line="223" w:lineRule="auto"/>
                    <w:ind w:left="269"/>
                    <w:rPr>
                      <w:sz w:val="21"/>
                      <w:szCs w:val="21"/>
                    </w:rPr>
                  </w:pPr>
                  <w:r>
                    <w:rPr>
                      <w:sz w:val="21"/>
                      <w:szCs w:val="21"/>
                    </w:rPr>
                    <w:t>只</w:t>
                  </w:r>
                </w:p>
              </w:tc>
              <w:tc>
                <w:tcPr>
                  <w:tcW w:w="1452" w:type="dxa"/>
                  <w:tcBorders>
                    <w:bottom w:val="nil"/>
                  </w:tcBorders>
                  <w:vAlign w:val="top"/>
                </w:tcPr>
                <w:p>
                  <w:pPr>
                    <w:pStyle w:val="6"/>
                    <w:spacing w:before="61" w:line="223" w:lineRule="auto"/>
                    <w:ind w:left="544"/>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0"/>
                      <w:w w:val="101"/>
                      <w:sz w:val="21"/>
                      <w:szCs w:val="21"/>
                    </w:rPr>
                    <w:t xml:space="preserve"> </w:t>
                  </w:r>
                  <w:r>
                    <w:rPr>
                      <w:spacing w:val="-2"/>
                      <w:sz w:val="21"/>
                      <w:szCs w:val="21"/>
                    </w:rPr>
                    <w:t>只</w:t>
                  </w:r>
                </w:p>
              </w:tc>
            </w:tr>
          </w:tbl>
          <w:p>
            <w:pPr>
              <w:spacing w:line="86" w:lineRule="auto"/>
              <w:rPr>
                <w:rFonts w:ascii="Arial"/>
                <w:sz w:val="2"/>
              </w:rPr>
            </w:pPr>
          </w:p>
        </w:tc>
      </w:tr>
    </w:tbl>
    <w:p>
      <w:pPr>
        <w:pStyle w:val="2"/>
        <w:rPr>
          <w:sz w:val="21"/>
        </w:rPr>
      </w:pPr>
    </w:p>
    <w:p>
      <w:pPr>
        <w:rPr>
          <w:sz w:val="21"/>
          <w:szCs w:val="21"/>
        </w:rPr>
        <w:sectPr>
          <w:footerReference r:id="rId37" w:type="default"/>
          <w:pgSz w:w="11907" w:h="16839"/>
          <w:pgMar w:top="400" w:right="1298" w:bottom="1181"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61" w:hRule="atLeast"/>
        </w:trPr>
        <w:tc>
          <w:tcPr>
            <w:tcW w:w="9291" w:type="dxa"/>
            <w:vAlign w:val="top"/>
          </w:tcPr>
          <w:p>
            <w:pPr>
              <w:spacing w:line="19" w:lineRule="exact"/>
            </w:pPr>
            <w:r>
              <w:pict>
                <v:rect id="_x0000_s1038" o:spid="_x0000_s1038" o:spt="1" style="position:absolute;left:0pt;margin-left:22.75pt;margin-top:0.95pt;height:692.15pt;width:0.5pt;mso-position-horizontal-relative:page;mso-position-vertical-relative:page;z-index:251692032;mso-width-relative:page;mso-height-relative:page;" fillcolor="#000000" filled="t" stroked="f" coordsize="21600,21600">
                  <v:path/>
                  <v:fill on="t" focussize="0,0"/>
                  <v:stroke on="f"/>
                  <v:imagedata o:title=""/>
                  <o:lock v:ext="edit"/>
                </v:rect>
              </w:pict>
            </w:r>
          </w:p>
          <w:tbl>
            <w:tblPr>
              <w:tblStyle w:val="5"/>
              <w:tblW w:w="8610"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2790"/>
              <w:gridCol w:w="2337"/>
              <w:gridCol w:w="787"/>
              <w:gridCol w:w="712"/>
              <w:gridCol w:w="14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32" w:type="dxa"/>
                  <w:vMerge w:val="restart"/>
                  <w:tcBorders>
                    <w:top w:val="nil"/>
                    <w:bottom w:val="nil"/>
                  </w:tcBorders>
                  <w:vAlign w:val="top"/>
                </w:tcPr>
                <w:p>
                  <w:pPr>
                    <w:rPr>
                      <w:rFonts w:ascii="Arial"/>
                      <w:sz w:val="21"/>
                    </w:rPr>
                  </w:pPr>
                </w:p>
              </w:tc>
              <w:tc>
                <w:tcPr>
                  <w:tcW w:w="2790" w:type="dxa"/>
                  <w:vMerge w:val="restart"/>
                  <w:tcBorders>
                    <w:top w:val="nil"/>
                    <w:bottom w:val="nil"/>
                  </w:tcBorders>
                  <w:vAlign w:val="top"/>
                </w:tcPr>
                <w:p>
                  <w:pPr>
                    <w:rPr>
                      <w:rFonts w:ascii="Arial"/>
                      <w:sz w:val="21"/>
                    </w:rPr>
                  </w:pPr>
                </w:p>
              </w:tc>
              <w:tc>
                <w:tcPr>
                  <w:tcW w:w="2337" w:type="dxa"/>
                  <w:tcBorders>
                    <w:top w:val="nil"/>
                  </w:tcBorders>
                  <w:vAlign w:val="top"/>
                </w:tcPr>
                <w:p>
                  <w:pPr>
                    <w:spacing w:before="98" w:line="191"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3"/>
                      <w:sz w:val="21"/>
                      <w:szCs w:val="21"/>
                    </w:rPr>
                    <w:t>100ppm</w:t>
                  </w:r>
                </w:p>
              </w:tc>
              <w:tc>
                <w:tcPr>
                  <w:tcW w:w="787" w:type="dxa"/>
                  <w:tcBorders>
                    <w:top w:val="nil"/>
                  </w:tcBorders>
                  <w:vAlign w:val="top"/>
                </w:tcPr>
                <w:p>
                  <w:pPr>
                    <w:spacing w:before="98" w:line="233"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tcBorders>
                    <w:top w:val="nil"/>
                  </w:tcBorders>
                  <w:vAlign w:val="top"/>
                </w:tcPr>
                <w:p>
                  <w:pPr>
                    <w:pStyle w:val="6"/>
                    <w:spacing w:before="63" w:line="223" w:lineRule="auto"/>
                    <w:ind w:left="269"/>
                    <w:rPr>
                      <w:sz w:val="21"/>
                      <w:szCs w:val="21"/>
                    </w:rPr>
                  </w:pPr>
                  <w:r>
                    <w:rPr>
                      <w:sz w:val="21"/>
                      <w:szCs w:val="21"/>
                    </w:rPr>
                    <w:t>只</w:t>
                  </w:r>
                </w:p>
              </w:tc>
              <w:tc>
                <w:tcPr>
                  <w:tcW w:w="1452" w:type="dxa"/>
                  <w:tcBorders>
                    <w:top w:val="nil"/>
                  </w:tcBorders>
                  <w:vAlign w:val="top"/>
                </w:tcPr>
                <w:p>
                  <w:pPr>
                    <w:pStyle w:val="6"/>
                    <w:spacing w:before="63" w:line="223" w:lineRule="auto"/>
                    <w:ind w:left="550"/>
                    <w:rPr>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pacing w:val="20"/>
                      <w:w w:val="101"/>
                      <w:sz w:val="21"/>
                      <w:szCs w:val="21"/>
                    </w:rPr>
                    <w:t xml:space="preserve"> </w:t>
                  </w:r>
                  <w:r>
                    <w:rPr>
                      <w:spacing w:val="-5"/>
                      <w:sz w:val="21"/>
                      <w:szCs w:val="21"/>
                    </w:rPr>
                    <w:t>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2" w:type="dxa"/>
                  <w:vMerge w:val="continue"/>
                  <w:tcBorders>
                    <w:top w:val="nil"/>
                  </w:tcBorders>
                  <w:vAlign w:val="top"/>
                </w:tcPr>
                <w:p>
                  <w:pPr>
                    <w:rPr>
                      <w:rFonts w:ascii="Arial"/>
                      <w:sz w:val="21"/>
                    </w:rPr>
                  </w:pPr>
                </w:p>
              </w:tc>
              <w:tc>
                <w:tcPr>
                  <w:tcW w:w="2790" w:type="dxa"/>
                  <w:vMerge w:val="continue"/>
                  <w:tcBorders>
                    <w:top w:val="nil"/>
                  </w:tcBorders>
                  <w:vAlign w:val="top"/>
                </w:tcPr>
                <w:p>
                  <w:pPr>
                    <w:rPr>
                      <w:rFonts w:ascii="Arial"/>
                      <w:sz w:val="21"/>
                    </w:rPr>
                  </w:pPr>
                </w:p>
              </w:tc>
              <w:tc>
                <w:tcPr>
                  <w:tcW w:w="2337" w:type="dxa"/>
                  <w:vAlign w:val="top"/>
                </w:tcPr>
                <w:p>
                  <w:pPr>
                    <w:spacing w:before="96" w:line="191" w:lineRule="auto"/>
                    <w:ind w:left="68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0-</w:t>
                  </w:r>
                  <w:r>
                    <w:rPr>
                      <w:rFonts w:ascii="Times New Roman" w:hAnsi="Times New Roman" w:eastAsia="Times New Roman" w:cs="Times New Roman"/>
                      <w:spacing w:val="-23"/>
                      <w:sz w:val="21"/>
                      <w:szCs w:val="21"/>
                    </w:rPr>
                    <w:t xml:space="preserve"> </w:t>
                  </w:r>
                  <w:r>
                    <w:rPr>
                      <w:rFonts w:ascii="Times New Roman" w:hAnsi="Times New Roman" w:eastAsia="Times New Roman" w:cs="Times New Roman"/>
                      <w:spacing w:val="-4"/>
                      <w:sz w:val="21"/>
                      <w:szCs w:val="21"/>
                    </w:rPr>
                    <w:t>1000ppm</w:t>
                  </w:r>
                </w:p>
              </w:tc>
              <w:tc>
                <w:tcPr>
                  <w:tcW w:w="787" w:type="dxa"/>
                  <w:vAlign w:val="top"/>
                </w:tcPr>
                <w:p>
                  <w:pPr>
                    <w:spacing w:before="96" w:line="233"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1" w:line="223" w:lineRule="auto"/>
                    <w:ind w:left="269"/>
                    <w:rPr>
                      <w:sz w:val="21"/>
                      <w:szCs w:val="21"/>
                    </w:rPr>
                  </w:pPr>
                  <w:r>
                    <w:rPr>
                      <w:sz w:val="21"/>
                      <w:szCs w:val="21"/>
                    </w:rPr>
                    <w:t>只</w:t>
                  </w:r>
                </w:p>
              </w:tc>
              <w:tc>
                <w:tcPr>
                  <w:tcW w:w="1452" w:type="dxa"/>
                  <w:vAlign w:val="top"/>
                </w:tcPr>
                <w:p>
                  <w:pPr>
                    <w:pStyle w:val="6"/>
                    <w:spacing w:before="61" w:line="223"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1"/>
                      <w:w w:val="101"/>
                      <w:sz w:val="21"/>
                      <w:szCs w:val="21"/>
                    </w:rPr>
                    <w:t xml:space="preserve"> </w:t>
                  </w:r>
                  <w:r>
                    <w:rPr>
                      <w:spacing w:val="-13"/>
                      <w:sz w:val="21"/>
                      <w:szCs w:val="21"/>
                    </w:rPr>
                    <w:t>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790" w:type="dxa"/>
                  <w:vAlign w:val="top"/>
                </w:tcPr>
                <w:p>
                  <w:pPr>
                    <w:pStyle w:val="6"/>
                    <w:spacing w:before="61" w:line="221" w:lineRule="auto"/>
                    <w:ind w:left="879"/>
                    <w:rPr>
                      <w:sz w:val="21"/>
                      <w:szCs w:val="21"/>
                    </w:rPr>
                  </w:pPr>
                  <w:r>
                    <w:rPr>
                      <w:spacing w:val="-3"/>
                      <w:sz w:val="21"/>
                      <w:szCs w:val="21"/>
                    </w:rPr>
                    <w:t>空气呼吸器</w:t>
                  </w:r>
                </w:p>
              </w:tc>
              <w:tc>
                <w:tcPr>
                  <w:tcW w:w="2337" w:type="dxa"/>
                  <w:vAlign w:val="top"/>
                </w:tcPr>
                <w:p>
                  <w:pPr>
                    <w:spacing w:before="95" w:line="231"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5"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1" w:line="221" w:lineRule="auto"/>
                    <w:ind w:left="257"/>
                    <w:rPr>
                      <w:sz w:val="21"/>
                      <w:szCs w:val="21"/>
                    </w:rPr>
                  </w:pPr>
                  <w:r>
                    <w:rPr>
                      <w:sz w:val="21"/>
                      <w:szCs w:val="21"/>
                    </w:rPr>
                    <w:t>套</w:t>
                  </w:r>
                </w:p>
              </w:tc>
              <w:tc>
                <w:tcPr>
                  <w:tcW w:w="1452" w:type="dxa"/>
                  <w:vAlign w:val="top"/>
                </w:tcPr>
                <w:p>
                  <w:pPr>
                    <w:pStyle w:val="6"/>
                    <w:spacing w:before="61" w:line="221" w:lineRule="auto"/>
                    <w:ind w:left="288"/>
                    <w:rPr>
                      <w:sz w:val="21"/>
                      <w:szCs w:val="21"/>
                    </w:rPr>
                  </w:pPr>
                  <w:r>
                    <w:rPr>
                      <w:rFonts w:ascii="Times New Roman" w:hAnsi="Times New Roman" w:eastAsia="Times New Roman" w:cs="Times New Roman"/>
                      <w:spacing w:val="-2"/>
                      <w:sz w:val="21"/>
                      <w:szCs w:val="21"/>
                    </w:rPr>
                    <w:t>50</w:t>
                  </w:r>
                  <w:r>
                    <w:rPr>
                      <w:spacing w:val="-2"/>
                      <w:sz w:val="21"/>
                      <w:szCs w:val="21"/>
                    </w:rPr>
                    <w:t>～</w:t>
                  </w:r>
                  <w:r>
                    <w:rPr>
                      <w:rFonts w:ascii="Times New Roman" w:hAnsi="Times New Roman" w:eastAsia="Times New Roman" w:cs="Times New Roman"/>
                      <w:spacing w:val="-2"/>
                      <w:sz w:val="21"/>
                      <w:szCs w:val="21"/>
                    </w:rPr>
                    <w:t>25</w:t>
                  </w:r>
                  <w:r>
                    <w:rPr>
                      <w:rFonts w:ascii="Times New Roman" w:hAnsi="Times New Roman" w:eastAsia="Times New Roman" w:cs="Times New Roman"/>
                      <w:spacing w:val="12"/>
                      <w:sz w:val="21"/>
                      <w:szCs w:val="21"/>
                    </w:rPr>
                    <w:t xml:space="preserve"> </w:t>
                  </w:r>
                  <w:r>
                    <w:rPr>
                      <w:spacing w:val="-2"/>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top"/>
                </w:tcPr>
                <w:p>
                  <w:pPr>
                    <w:rPr>
                      <w:rFonts w:ascii="Arial"/>
                      <w:sz w:val="21"/>
                    </w:rPr>
                  </w:pPr>
                </w:p>
              </w:tc>
              <w:tc>
                <w:tcPr>
                  <w:tcW w:w="2790" w:type="dxa"/>
                  <w:vAlign w:val="top"/>
                </w:tcPr>
                <w:p>
                  <w:pPr>
                    <w:pStyle w:val="6"/>
                    <w:spacing w:before="63" w:line="222" w:lineRule="auto"/>
                    <w:ind w:left="980"/>
                    <w:rPr>
                      <w:sz w:val="21"/>
                      <w:szCs w:val="21"/>
                    </w:rPr>
                  </w:pPr>
                  <w:r>
                    <w:rPr>
                      <w:spacing w:val="-2"/>
                      <w:sz w:val="21"/>
                      <w:szCs w:val="21"/>
                    </w:rPr>
                    <w:t>备用气瓶</w:t>
                  </w:r>
                </w:p>
              </w:tc>
              <w:tc>
                <w:tcPr>
                  <w:tcW w:w="2337" w:type="dxa"/>
                  <w:vAlign w:val="top"/>
                </w:tcPr>
                <w:p>
                  <w:pPr>
                    <w:spacing w:before="98" w:line="230"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8" w:line="230"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3" w:line="221" w:lineRule="auto"/>
                    <w:ind w:left="256"/>
                    <w:rPr>
                      <w:sz w:val="21"/>
                      <w:szCs w:val="21"/>
                    </w:rPr>
                  </w:pPr>
                  <w:r>
                    <w:rPr>
                      <w:sz w:val="21"/>
                      <w:szCs w:val="21"/>
                    </w:rPr>
                    <w:t>个</w:t>
                  </w:r>
                </w:p>
              </w:tc>
              <w:tc>
                <w:tcPr>
                  <w:tcW w:w="1452" w:type="dxa"/>
                  <w:vAlign w:val="top"/>
                </w:tcPr>
                <w:p>
                  <w:pPr>
                    <w:pStyle w:val="6"/>
                    <w:spacing w:before="63" w:line="221" w:lineRule="auto"/>
                    <w:ind w:left="549"/>
                    <w:rPr>
                      <w:sz w:val="21"/>
                      <w:szCs w:val="21"/>
                    </w:rPr>
                  </w:pPr>
                  <w:r>
                    <w:rPr>
                      <w:rFonts w:ascii="Times New Roman" w:hAnsi="Times New Roman" w:eastAsia="Times New Roman" w:cs="Times New Roman"/>
                      <w:spacing w:val="-5"/>
                      <w:sz w:val="21"/>
                      <w:szCs w:val="21"/>
                    </w:rPr>
                    <w:t>6</w:t>
                  </w:r>
                  <w:r>
                    <w:rPr>
                      <w:rFonts w:ascii="Times New Roman" w:hAnsi="Times New Roman" w:eastAsia="Times New Roman" w:cs="Times New Roman"/>
                      <w:spacing w:val="9"/>
                      <w:sz w:val="21"/>
                      <w:szCs w:val="21"/>
                    </w:rPr>
                    <w:t xml:space="preserve"> </w:t>
                  </w:r>
                  <w:r>
                    <w:rPr>
                      <w:spacing w:val="-5"/>
                      <w:sz w:val="21"/>
                      <w:szCs w:val="21"/>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32" w:type="dxa"/>
                  <w:vMerge w:val="continue"/>
                  <w:tcBorders>
                    <w:top w:val="nil"/>
                  </w:tcBorders>
                  <w:vAlign w:val="top"/>
                </w:tcPr>
                <w:p>
                  <w:pPr>
                    <w:rPr>
                      <w:rFonts w:ascii="Arial"/>
                      <w:sz w:val="21"/>
                    </w:rPr>
                  </w:pPr>
                </w:p>
              </w:tc>
              <w:tc>
                <w:tcPr>
                  <w:tcW w:w="8078" w:type="dxa"/>
                  <w:gridSpan w:val="5"/>
                  <w:vAlign w:val="top"/>
                </w:tcPr>
                <w:p>
                  <w:pPr>
                    <w:pStyle w:val="6"/>
                    <w:spacing w:before="28" w:line="222" w:lineRule="auto"/>
                    <w:ind w:left="2668" w:right="32" w:hanging="2620"/>
                    <w:rPr>
                      <w:sz w:val="21"/>
                      <w:szCs w:val="21"/>
                    </w:rPr>
                  </w:pPr>
                  <w:r>
                    <w:rPr>
                      <w:spacing w:val="-1"/>
                      <w:sz w:val="21"/>
                      <w:szCs w:val="21"/>
                    </w:rPr>
                    <w:t>空气呼吸器现场实际配备：按作业现场生产班组每</w:t>
                  </w:r>
                  <w:r>
                    <w:rPr>
                      <w:spacing w:val="-2"/>
                      <w:sz w:val="21"/>
                      <w:szCs w:val="21"/>
                    </w:rPr>
                    <w:t>人配备</w:t>
                  </w:r>
                  <w:r>
                    <w:rPr>
                      <w:spacing w:val="-27"/>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套，另按钻井队人数的</w:t>
                  </w:r>
                  <w:r>
                    <w:rPr>
                      <w:spacing w:val="-27"/>
                      <w:sz w:val="21"/>
                      <w:szCs w:val="21"/>
                    </w:rPr>
                    <w:t xml:space="preserve"> </w:t>
                  </w:r>
                  <w:r>
                    <w:rPr>
                      <w:rFonts w:ascii="Times New Roman" w:hAnsi="Times New Roman" w:eastAsia="Times New Roman" w:cs="Times New Roman"/>
                      <w:spacing w:val="-2"/>
                      <w:sz w:val="21"/>
                      <w:szCs w:val="21"/>
                    </w:rPr>
                    <w:t>15%</w:t>
                  </w:r>
                  <w:r>
                    <w:rPr>
                      <w:rFonts w:ascii="Times New Roman" w:hAnsi="Times New Roman" w:eastAsia="Times New Roman" w:cs="Times New Roman"/>
                      <w:sz w:val="21"/>
                      <w:szCs w:val="21"/>
                    </w:rPr>
                    <w:t xml:space="preserve"> </w:t>
                  </w:r>
                  <w:r>
                    <w:rPr>
                      <w:spacing w:val="-2"/>
                      <w:sz w:val="21"/>
                      <w:szCs w:val="21"/>
                    </w:rPr>
                    <w:t>作备用；另配</w:t>
                  </w:r>
                  <w:r>
                    <w:rPr>
                      <w:spacing w:val="-47"/>
                      <w:sz w:val="21"/>
                      <w:szCs w:val="21"/>
                    </w:rPr>
                    <w:t xml:space="preserve"> </w:t>
                  </w:r>
                  <w:r>
                    <w:rPr>
                      <w:rFonts w:ascii="Times New Roman" w:hAnsi="Times New Roman" w:eastAsia="Times New Roman" w:cs="Times New Roman"/>
                      <w:spacing w:val="-2"/>
                      <w:sz w:val="21"/>
                      <w:szCs w:val="21"/>
                    </w:rPr>
                    <w:t>20%</w:t>
                  </w:r>
                  <w:r>
                    <w:rPr>
                      <w:spacing w:val="-2"/>
                      <w:sz w:val="21"/>
                      <w:szCs w:val="21"/>
                    </w:rPr>
                    <w:t>备用气瓶。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101" w:line="187"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790" w:type="dxa"/>
                  <w:vAlign w:val="top"/>
                </w:tcPr>
                <w:p>
                  <w:pPr>
                    <w:pStyle w:val="6"/>
                    <w:spacing w:before="62" w:line="220" w:lineRule="auto"/>
                    <w:ind w:left="879"/>
                    <w:rPr>
                      <w:sz w:val="21"/>
                      <w:szCs w:val="21"/>
                    </w:rPr>
                  </w:pPr>
                  <w:r>
                    <w:rPr>
                      <w:spacing w:val="-3"/>
                      <w:sz w:val="21"/>
                      <w:szCs w:val="21"/>
                    </w:rPr>
                    <w:t>空气压缩机</w:t>
                  </w:r>
                </w:p>
              </w:tc>
              <w:tc>
                <w:tcPr>
                  <w:tcW w:w="2337" w:type="dxa"/>
                  <w:vAlign w:val="top"/>
                </w:tcPr>
                <w:p>
                  <w:pPr>
                    <w:spacing w:before="97" w:line="231"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7"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2" w:line="223" w:lineRule="auto"/>
                    <w:ind w:left="273"/>
                    <w:rPr>
                      <w:sz w:val="21"/>
                      <w:szCs w:val="21"/>
                    </w:rPr>
                  </w:pPr>
                  <w:r>
                    <w:rPr>
                      <w:sz w:val="21"/>
                      <w:szCs w:val="21"/>
                    </w:rPr>
                    <w:t>台</w:t>
                  </w:r>
                </w:p>
              </w:tc>
              <w:tc>
                <w:tcPr>
                  <w:tcW w:w="1452" w:type="dxa"/>
                  <w:vAlign w:val="top"/>
                </w:tcPr>
                <w:p>
                  <w:pPr>
                    <w:pStyle w:val="6"/>
                    <w:spacing w:before="62" w:line="223"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5"/>
                      <w:w w:val="101"/>
                      <w:sz w:val="21"/>
                      <w:szCs w:val="21"/>
                    </w:rPr>
                    <w:t xml:space="preserve"> </w:t>
                  </w:r>
                  <w:r>
                    <w:rPr>
                      <w:spacing w:val="-13"/>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104" w:line="184" w:lineRule="auto"/>
                    <w:ind w:left="21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790" w:type="dxa"/>
                  <w:vAlign w:val="top"/>
                </w:tcPr>
                <w:p>
                  <w:pPr>
                    <w:pStyle w:val="6"/>
                    <w:spacing w:before="63" w:line="219" w:lineRule="auto"/>
                    <w:ind w:left="560"/>
                    <w:rPr>
                      <w:sz w:val="21"/>
                      <w:szCs w:val="21"/>
                    </w:rPr>
                  </w:pPr>
                  <w:r>
                    <w:rPr>
                      <w:spacing w:val="-1"/>
                      <w:sz w:val="21"/>
                      <w:szCs w:val="21"/>
                    </w:rPr>
                    <w:t>大功率防爆排风扇</w:t>
                  </w:r>
                </w:p>
              </w:tc>
              <w:tc>
                <w:tcPr>
                  <w:tcW w:w="2337" w:type="dxa"/>
                  <w:vAlign w:val="top"/>
                </w:tcPr>
                <w:p>
                  <w:pPr>
                    <w:spacing w:before="97" w:line="231"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7" w:line="231"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2" w:line="223" w:lineRule="auto"/>
                    <w:ind w:left="273"/>
                    <w:rPr>
                      <w:sz w:val="21"/>
                      <w:szCs w:val="21"/>
                    </w:rPr>
                  </w:pPr>
                  <w:r>
                    <w:rPr>
                      <w:sz w:val="21"/>
                      <w:szCs w:val="21"/>
                    </w:rPr>
                    <w:t>台</w:t>
                  </w:r>
                </w:p>
              </w:tc>
              <w:tc>
                <w:tcPr>
                  <w:tcW w:w="1452" w:type="dxa"/>
                  <w:vAlign w:val="top"/>
                </w:tcPr>
                <w:p>
                  <w:pPr>
                    <w:pStyle w:val="6"/>
                    <w:spacing w:before="62" w:line="223" w:lineRule="auto"/>
                    <w:ind w:left="550"/>
                    <w:rPr>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pacing w:val="25"/>
                      <w:sz w:val="21"/>
                      <w:szCs w:val="21"/>
                    </w:rPr>
                    <w:t xml:space="preserve"> </w:t>
                  </w:r>
                  <w:r>
                    <w:rPr>
                      <w:spacing w:val="-5"/>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32" w:type="dxa"/>
                  <w:vAlign w:val="top"/>
                </w:tcPr>
                <w:p>
                  <w:pPr>
                    <w:spacing w:before="102"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790" w:type="dxa"/>
                  <w:vAlign w:val="top"/>
                </w:tcPr>
                <w:p>
                  <w:pPr>
                    <w:pStyle w:val="6"/>
                    <w:spacing w:before="63" w:line="221" w:lineRule="auto"/>
                    <w:ind w:left="787"/>
                    <w:rPr>
                      <w:sz w:val="21"/>
                      <w:szCs w:val="21"/>
                    </w:rPr>
                  </w:pPr>
                  <w:r>
                    <w:rPr>
                      <w:spacing w:val="-4"/>
                      <w:sz w:val="21"/>
                      <w:szCs w:val="21"/>
                    </w:rPr>
                    <w:t>固定点火装置</w:t>
                  </w:r>
                </w:p>
              </w:tc>
              <w:tc>
                <w:tcPr>
                  <w:tcW w:w="2337" w:type="dxa"/>
                  <w:vAlign w:val="top"/>
                </w:tcPr>
                <w:p>
                  <w:pPr>
                    <w:spacing w:before="98" w:line="228"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98" w:line="228"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3" w:line="223" w:lineRule="auto"/>
                    <w:ind w:left="273"/>
                    <w:rPr>
                      <w:sz w:val="21"/>
                      <w:szCs w:val="21"/>
                    </w:rPr>
                  </w:pPr>
                  <w:r>
                    <w:rPr>
                      <w:sz w:val="21"/>
                      <w:szCs w:val="21"/>
                    </w:rPr>
                    <w:t>台</w:t>
                  </w:r>
                </w:p>
              </w:tc>
              <w:tc>
                <w:tcPr>
                  <w:tcW w:w="1452" w:type="dxa"/>
                  <w:vAlign w:val="top"/>
                </w:tcPr>
                <w:p>
                  <w:pPr>
                    <w:pStyle w:val="6"/>
                    <w:spacing w:before="63" w:line="221"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spacing w:before="107" w:line="184" w:lineRule="auto"/>
                    <w:ind w:left="21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790" w:type="dxa"/>
                  <w:vAlign w:val="top"/>
                </w:tcPr>
                <w:p>
                  <w:pPr>
                    <w:pStyle w:val="6"/>
                    <w:spacing w:before="66" w:line="220" w:lineRule="auto"/>
                    <w:ind w:left="669"/>
                    <w:rPr>
                      <w:sz w:val="21"/>
                      <w:szCs w:val="21"/>
                    </w:rPr>
                  </w:pPr>
                  <w:r>
                    <w:rPr>
                      <w:spacing w:val="-2"/>
                      <w:sz w:val="21"/>
                      <w:szCs w:val="21"/>
                    </w:rPr>
                    <w:t>小型汽油发电机</w:t>
                  </w:r>
                </w:p>
              </w:tc>
              <w:tc>
                <w:tcPr>
                  <w:tcW w:w="2337" w:type="dxa"/>
                  <w:vAlign w:val="top"/>
                </w:tcPr>
                <w:p>
                  <w:pPr>
                    <w:spacing w:before="101" w:line="227"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101" w:line="22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65" w:line="223" w:lineRule="auto"/>
                    <w:ind w:left="273"/>
                    <w:rPr>
                      <w:sz w:val="21"/>
                      <w:szCs w:val="21"/>
                    </w:rPr>
                  </w:pPr>
                  <w:r>
                    <w:rPr>
                      <w:sz w:val="21"/>
                      <w:szCs w:val="21"/>
                    </w:rPr>
                    <w:t>台</w:t>
                  </w:r>
                </w:p>
              </w:tc>
              <w:tc>
                <w:tcPr>
                  <w:tcW w:w="1452" w:type="dxa"/>
                  <w:vAlign w:val="top"/>
                </w:tcPr>
                <w:p>
                  <w:pPr>
                    <w:pStyle w:val="6"/>
                    <w:spacing w:before="65" w:line="223"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5"/>
                      <w:w w:val="101"/>
                      <w:sz w:val="21"/>
                      <w:szCs w:val="21"/>
                    </w:rPr>
                    <w:t xml:space="preserve"> </w:t>
                  </w:r>
                  <w:r>
                    <w:rPr>
                      <w:spacing w:val="-13"/>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32" w:type="dxa"/>
                  <w:vAlign w:val="top"/>
                </w:tcPr>
                <w:p>
                  <w:pPr>
                    <w:spacing w:before="206"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790" w:type="dxa"/>
                  <w:vAlign w:val="top"/>
                </w:tcPr>
                <w:p>
                  <w:pPr>
                    <w:pStyle w:val="6"/>
                    <w:spacing w:before="31" w:line="221" w:lineRule="auto"/>
                    <w:ind w:left="981" w:right="98" w:hanging="878"/>
                    <w:rPr>
                      <w:sz w:val="21"/>
                      <w:szCs w:val="21"/>
                    </w:rPr>
                  </w:pPr>
                  <w:r>
                    <w:rPr>
                      <w:spacing w:val="-1"/>
                      <w:sz w:val="21"/>
                      <w:szCs w:val="21"/>
                    </w:rPr>
                    <w:t>移动式点火装置</w:t>
                  </w:r>
                  <w:r>
                    <w:rPr>
                      <w:rFonts w:ascii="Times New Roman" w:hAnsi="Times New Roman" w:eastAsia="Times New Roman" w:cs="Times New Roman"/>
                      <w:spacing w:val="-1"/>
                      <w:sz w:val="21"/>
                      <w:szCs w:val="21"/>
                    </w:rPr>
                    <w:t>(</w:t>
                  </w:r>
                  <w:r>
                    <w:rPr>
                      <w:spacing w:val="-1"/>
                      <w:sz w:val="21"/>
                      <w:szCs w:val="21"/>
                    </w:rPr>
                    <w:t>钻开油气层</w:t>
                  </w:r>
                  <w:r>
                    <w:rPr>
                      <w:spacing w:val="5"/>
                      <w:sz w:val="21"/>
                      <w:szCs w:val="21"/>
                    </w:rPr>
                    <w:t xml:space="preserve"> </w:t>
                  </w:r>
                  <w:r>
                    <w:rPr>
                      <w:spacing w:val="-3"/>
                      <w:sz w:val="21"/>
                      <w:szCs w:val="21"/>
                    </w:rPr>
                    <w:t>前配备）</w:t>
                  </w:r>
                </w:p>
              </w:tc>
              <w:tc>
                <w:tcPr>
                  <w:tcW w:w="2337" w:type="dxa"/>
                  <w:vAlign w:val="top"/>
                </w:tcPr>
                <w:p>
                  <w:pPr>
                    <w:spacing w:before="202" w:line="233" w:lineRule="auto"/>
                    <w:ind w:left="11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7" w:type="dxa"/>
                  <w:vAlign w:val="top"/>
                </w:tcPr>
                <w:p>
                  <w:pPr>
                    <w:spacing w:before="202" w:line="233"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2" w:type="dxa"/>
                  <w:vAlign w:val="top"/>
                </w:tcPr>
                <w:p>
                  <w:pPr>
                    <w:pStyle w:val="6"/>
                    <w:spacing w:before="167" w:line="223" w:lineRule="auto"/>
                    <w:ind w:left="273"/>
                    <w:rPr>
                      <w:sz w:val="21"/>
                      <w:szCs w:val="21"/>
                    </w:rPr>
                  </w:pPr>
                  <w:r>
                    <w:rPr>
                      <w:sz w:val="21"/>
                      <w:szCs w:val="21"/>
                    </w:rPr>
                    <w:t>台</w:t>
                  </w:r>
                </w:p>
              </w:tc>
              <w:tc>
                <w:tcPr>
                  <w:tcW w:w="1452" w:type="dxa"/>
                  <w:vAlign w:val="top"/>
                </w:tcPr>
                <w:p>
                  <w:pPr>
                    <w:pStyle w:val="6"/>
                    <w:spacing w:before="167" w:line="223" w:lineRule="auto"/>
                    <w:ind w:left="564"/>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25"/>
                      <w:w w:val="101"/>
                      <w:sz w:val="21"/>
                      <w:szCs w:val="21"/>
                    </w:rPr>
                    <w:t xml:space="preserve"> </w:t>
                  </w:r>
                  <w:r>
                    <w:rPr>
                      <w:spacing w:val="-13"/>
                      <w:sz w:val="21"/>
                      <w:szCs w:val="21"/>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2" w:type="dxa"/>
                  <w:vAlign w:val="top"/>
                </w:tcPr>
                <w:p>
                  <w:pPr>
                    <w:pStyle w:val="6"/>
                    <w:spacing w:before="65" w:line="223" w:lineRule="auto"/>
                    <w:ind w:left="183"/>
                    <w:rPr>
                      <w:sz w:val="21"/>
                      <w:szCs w:val="21"/>
                    </w:rPr>
                  </w:pPr>
                  <w:r>
                    <w:rPr>
                      <w:sz w:val="21"/>
                      <w:szCs w:val="21"/>
                    </w:rPr>
                    <w:t>四</w:t>
                  </w:r>
                </w:p>
              </w:tc>
              <w:tc>
                <w:tcPr>
                  <w:tcW w:w="2790" w:type="dxa"/>
                  <w:vAlign w:val="top"/>
                </w:tcPr>
                <w:p>
                  <w:pPr>
                    <w:pStyle w:val="6"/>
                    <w:spacing w:before="64" w:line="221" w:lineRule="auto"/>
                    <w:ind w:left="1189"/>
                    <w:rPr>
                      <w:sz w:val="21"/>
                      <w:szCs w:val="21"/>
                    </w:rPr>
                  </w:pPr>
                  <w:r>
                    <w:rPr>
                      <w:spacing w:val="-2"/>
                      <w:sz w:val="21"/>
                      <w:szCs w:val="21"/>
                    </w:rPr>
                    <w:t>顶驱</w:t>
                  </w:r>
                </w:p>
              </w:tc>
              <w:tc>
                <w:tcPr>
                  <w:tcW w:w="5288" w:type="dxa"/>
                  <w:gridSpan w:val="4"/>
                  <w:vAlign w:val="top"/>
                </w:tcPr>
                <w:p>
                  <w:pPr>
                    <w:pStyle w:val="6"/>
                    <w:spacing w:before="65" w:line="221" w:lineRule="auto"/>
                    <w:ind w:left="2482"/>
                    <w:rPr>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0"/>
                      <w:sz w:val="21"/>
                      <w:szCs w:val="21"/>
                    </w:rPr>
                    <w:t xml:space="preserve"> </w:t>
                  </w:r>
                  <w:r>
                    <w:rPr>
                      <w:spacing w:val="-13"/>
                      <w:sz w:val="21"/>
                      <w:szCs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610" w:type="dxa"/>
                  <w:gridSpan w:val="6"/>
                  <w:vAlign w:val="top"/>
                </w:tcPr>
                <w:p>
                  <w:pPr>
                    <w:pStyle w:val="6"/>
                    <w:spacing w:before="31" w:line="222" w:lineRule="auto"/>
                    <w:ind w:left="3258" w:hanging="3248"/>
                    <w:rPr>
                      <w:sz w:val="21"/>
                      <w:szCs w:val="21"/>
                    </w:rPr>
                  </w:pPr>
                  <w:r>
                    <w:rPr>
                      <w:spacing w:val="-8"/>
                      <w:sz w:val="21"/>
                      <w:szCs w:val="21"/>
                    </w:rPr>
                    <w:t>备注：</w:t>
                  </w:r>
                  <w:r>
                    <w:rPr>
                      <w:spacing w:val="23"/>
                      <w:sz w:val="21"/>
                      <w:szCs w:val="21"/>
                    </w:rPr>
                    <w:t xml:space="preserve"> </w:t>
                  </w:r>
                  <w:r>
                    <w:rPr>
                      <w:spacing w:val="-8"/>
                      <w:sz w:val="21"/>
                      <w:szCs w:val="21"/>
                    </w:rPr>
                    <w:t>以上规格型号仅供参考， 实际装备配置应满足集团公司及行业标</w:t>
                  </w:r>
                  <w:r>
                    <w:rPr>
                      <w:spacing w:val="-9"/>
                      <w:sz w:val="21"/>
                      <w:szCs w:val="21"/>
                    </w:rPr>
                    <w:t>准要求； 是否采用电动</w:t>
                  </w:r>
                  <w:r>
                    <w:rPr>
                      <w:sz w:val="21"/>
                      <w:szCs w:val="21"/>
                    </w:rPr>
                    <w:t xml:space="preserve"> </w:t>
                  </w:r>
                  <w:r>
                    <w:rPr>
                      <w:spacing w:val="-1"/>
                      <w:sz w:val="21"/>
                      <w:szCs w:val="21"/>
                    </w:rPr>
                    <w:t>钻机以实际调配为准。</w:t>
                  </w:r>
                </w:p>
              </w:tc>
            </w:tr>
          </w:tbl>
          <w:p>
            <w:pPr>
              <w:pStyle w:val="6"/>
              <w:spacing w:before="177" w:line="219" w:lineRule="auto"/>
              <w:ind w:left="1046"/>
              <w:rPr>
                <w:sz w:val="24"/>
                <w:szCs w:val="24"/>
              </w:rPr>
            </w:pPr>
            <w:r>
              <w:rPr>
                <w:spacing w:val="-2"/>
                <w:sz w:val="24"/>
                <w:szCs w:val="24"/>
              </w:rPr>
              <w:t>本次钻井工程井型为直井，其井下钻具组合及参数详见下表。</w:t>
            </w:r>
          </w:p>
          <w:p>
            <w:pPr>
              <w:pStyle w:val="6"/>
              <w:spacing w:before="195" w:line="221" w:lineRule="auto"/>
              <w:ind w:left="3750"/>
              <w:rPr>
                <w:sz w:val="24"/>
                <w:szCs w:val="24"/>
              </w:rPr>
            </w:pPr>
            <w:r>
              <w:rPr>
                <w:spacing w:val="-1"/>
                <w:sz w:val="24"/>
                <w:szCs w:val="24"/>
                <w14:textOutline w14:w="4354" w14:cap="flat" w14:cmpd="sng">
                  <w14:solidFill>
                    <w14:srgbClr w14:val="000000"/>
                  </w14:solidFill>
                  <w14:prstDash w14:val="solid"/>
                  <w14:miter w14:val="10"/>
                </w14:textOutline>
              </w:rPr>
              <w:t>表</w:t>
            </w:r>
            <w:r>
              <w:rPr>
                <w:spacing w:val="-49"/>
                <w:sz w:val="24"/>
                <w:szCs w:val="24"/>
              </w:rPr>
              <w:t xml:space="preserve"> </w:t>
            </w:r>
            <w:r>
              <w:rPr>
                <w:rFonts w:ascii="Times New Roman" w:hAnsi="Times New Roman" w:eastAsia="Times New Roman" w:cs="Times New Roman"/>
                <w:b/>
                <w:bCs/>
                <w:spacing w:val="-1"/>
                <w:sz w:val="24"/>
                <w:szCs w:val="24"/>
              </w:rPr>
              <w:t xml:space="preserve">2.4-2    </w:t>
            </w:r>
            <w:r>
              <w:rPr>
                <w:spacing w:val="-1"/>
                <w:sz w:val="24"/>
                <w:szCs w:val="24"/>
                <w14:textOutline w14:w="4354" w14:cap="flat" w14:cmpd="sng">
                  <w14:solidFill>
                    <w14:srgbClr w14:val="000000"/>
                  </w14:solidFill>
                  <w14:prstDash w14:val="solid"/>
                  <w14:miter w14:val="10"/>
                </w14:textOutline>
              </w:rPr>
              <w:t>钻具组合表</w:t>
            </w:r>
          </w:p>
          <w:p>
            <w:pPr>
              <w:spacing w:line="14"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557"/>
              <w:gridCol w:w="62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37" w:type="dxa"/>
                  <w:vAlign w:val="top"/>
                </w:tcPr>
                <w:p>
                  <w:pPr>
                    <w:pStyle w:val="6"/>
                    <w:spacing w:before="33" w:line="241" w:lineRule="auto"/>
                    <w:ind w:left="217"/>
                    <w:rPr>
                      <w:sz w:val="21"/>
                      <w:szCs w:val="21"/>
                    </w:rPr>
                  </w:pPr>
                  <w:r>
                    <w:rPr>
                      <w:spacing w:val="-2"/>
                      <w:sz w:val="21"/>
                      <w:szCs w:val="21"/>
                    </w:rPr>
                    <w:t>开钻</w:t>
                  </w:r>
                </w:p>
                <w:p>
                  <w:pPr>
                    <w:pStyle w:val="6"/>
                    <w:spacing w:line="206" w:lineRule="auto"/>
                    <w:ind w:left="222"/>
                    <w:rPr>
                      <w:sz w:val="21"/>
                      <w:szCs w:val="21"/>
                    </w:rPr>
                  </w:pPr>
                  <w:r>
                    <w:rPr>
                      <w:spacing w:val="-3"/>
                      <w:sz w:val="21"/>
                      <w:szCs w:val="21"/>
                    </w:rPr>
                    <w:t>次序</w:t>
                  </w:r>
                </w:p>
              </w:tc>
              <w:tc>
                <w:tcPr>
                  <w:tcW w:w="1557" w:type="dxa"/>
                  <w:vAlign w:val="top"/>
                </w:tcPr>
                <w:p>
                  <w:pPr>
                    <w:pStyle w:val="6"/>
                    <w:spacing w:before="51" w:line="292" w:lineRule="exact"/>
                    <w:ind w:left="362"/>
                    <w:rPr>
                      <w:sz w:val="21"/>
                      <w:szCs w:val="21"/>
                    </w:rPr>
                  </w:pPr>
                  <w:r>
                    <w:rPr>
                      <w:spacing w:val="-2"/>
                      <w:position w:val="5"/>
                      <w:sz w:val="21"/>
                      <w:szCs w:val="21"/>
                    </w:rPr>
                    <w:t>套管尺寸</w:t>
                  </w:r>
                </w:p>
                <w:p>
                  <w:pPr>
                    <w:spacing w:line="198"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mm</w:t>
                  </w:r>
                </w:p>
              </w:tc>
              <w:tc>
                <w:tcPr>
                  <w:tcW w:w="6218" w:type="dxa"/>
                  <w:vAlign w:val="top"/>
                </w:tcPr>
                <w:p>
                  <w:pPr>
                    <w:pStyle w:val="6"/>
                    <w:spacing w:before="170" w:line="221" w:lineRule="auto"/>
                    <w:ind w:left="2694"/>
                    <w:rPr>
                      <w:sz w:val="21"/>
                      <w:szCs w:val="21"/>
                    </w:rPr>
                  </w:pPr>
                  <w:r>
                    <w:rPr>
                      <w:spacing w:val="-3"/>
                      <w:sz w:val="21"/>
                      <w:szCs w:val="21"/>
                    </w:rPr>
                    <w:t>设计说明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7" w:type="dxa"/>
                  <w:vAlign w:val="top"/>
                </w:tcPr>
                <w:p>
                  <w:pPr>
                    <w:pStyle w:val="6"/>
                    <w:spacing w:before="167" w:line="222" w:lineRule="auto"/>
                    <w:ind w:left="220"/>
                    <w:rPr>
                      <w:sz w:val="21"/>
                      <w:szCs w:val="21"/>
                    </w:rPr>
                  </w:pPr>
                  <w:r>
                    <w:rPr>
                      <w:spacing w:val="-5"/>
                      <w:sz w:val="21"/>
                      <w:szCs w:val="21"/>
                    </w:rPr>
                    <w:t>一开</w:t>
                  </w:r>
                </w:p>
              </w:tc>
              <w:tc>
                <w:tcPr>
                  <w:tcW w:w="1557" w:type="dxa"/>
                  <w:vAlign w:val="top"/>
                </w:tcPr>
                <w:p>
                  <w:pPr>
                    <w:spacing w:before="206" w:line="187" w:lineRule="auto"/>
                    <w:ind w:left="4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720.00</w:t>
                  </w:r>
                </w:p>
              </w:tc>
              <w:tc>
                <w:tcPr>
                  <w:tcW w:w="6218" w:type="dxa"/>
                  <w:vAlign w:val="top"/>
                </w:tcPr>
                <w:p>
                  <w:pPr>
                    <w:pStyle w:val="6"/>
                    <w:spacing w:before="31" w:line="223" w:lineRule="auto"/>
                    <w:ind w:left="1536" w:right="23" w:hanging="1508"/>
                    <w:rPr>
                      <w:sz w:val="21"/>
                      <w:szCs w:val="21"/>
                    </w:rPr>
                  </w:pPr>
                  <w:r>
                    <w:rPr>
                      <w:rFonts w:ascii="Times New Roman" w:hAnsi="Times New Roman" w:eastAsia="Times New Roman" w:cs="Times New Roman"/>
                      <w:spacing w:val="-1"/>
                      <w:sz w:val="21"/>
                      <w:szCs w:val="21"/>
                    </w:rPr>
                    <w:t xml:space="preserve">Φ914.4mm </w:t>
                  </w:r>
                  <w:r>
                    <w:rPr>
                      <w:spacing w:val="-1"/>
                      <w:sz w:val="21"/>
                      <w:szCs w:val="21"/>
                    </w:rPr>
                    <w:t>钻头开眼，钻进</w:t>
                  </w:r>
                  <w:r>
                    <w:rPr>
                      <w:spacing w:val="-40"/>
                      <w:sz w:val="21"/>
                      <w:szCs w:val="21"/>
                    </w:rPr>
                    <w:t xml:space="preserve"> </w:t>
                  </w:r>
                  <w:r>
                    <w:rPr>
                      <w:rFonts w:ascii="Times New Roman" w:hAnsi="Times New Roman" w:eastAsia="Times New Roman" w:cs="Times New Roman"/>
                      <w:spacing w:val="-1"/>
                      <w:sz w:val="21"/>
                      <w:szCs w:val="21"/>
                    </w:rPr>
                    <w:t xml:space="preserve">50m </w:t>
                  </w:r>
                  <w:r>
                    <w:rPr>
                      <w:spacing w:val="-1"/>
                      <w:sz w:val="21"/>
                      <w:szCs w:val="21"/>
                    </w:rPr>
                    <w:t>左右下</w:t>
                  </w:r>
                  <w:r>
                    <w:rPr>
                      <w:spacing w:val="-45"/>
                      <w:sz w:val="21"/>
                      <w:szCs w:val="21"/>
                    </w:rPr>
                    <w:t xml:space="preserve"> </w:t>
                  </w:r>
                  <w:r>
                    <w:rPr>
                      <w:rFonts w:ascii="Times New Roman" w:hAnsi="Times New Roman" w:eastAsia="Times New Roman" w:cs="Times New Roman"/>
                      <w:spacing w:val="-1"/>
                      <w:sz w:val="21"/>
                      <w:szCs w:val="21"/>
                    </w:rPr>
                    <w:t>Φ720mm</w:t>
                  </w:r>
                  <w:r>
                    <w:rPr>
                      <w:rFonts w:ascii="Times New Roman" w:hAnsi="Times New Roman" w:eastAsia="Times New Roman" w:cs="Times New Roman"/>
                      <w:spacing w:val="13"/>
                      <w:sz w:val="21"/>
                      <w:szCs w:val="21"/>
                    </w:rPr>
                    <w:t xml:space="preserve"> </w:t>
                  </w:r>
                  <w:r>
                    <w:rPr>
                      <w:spacing w:val="-1"/>
                      <w:sz w:val="21"/>
                      <w:szCs w:val="21"/>
                    </w:rPr>
                    <w:t>导管，封隔地表易</w:t>
                  </w:r>
                  <w:r>
                    <w:rPr>
                      <w:sz w:val="21"/>
                      <w:szCs w:val="21"/>
                    </w:rPr>
                    <w:t xml:space="preserve"> </w:t>
                  </w:r>
                  <w:r>
                    <w:rPr>
                      <w:spacing w:val="-1"/>
                      <w:sz w:val="21"/>
                      <w:szCs w:val="21"/>
                    </w:rPr>
                    <w:t>垮塌层、漏失层，保护井架基础。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7" w:type="dxa"/>
                  <w:vAlign w:val="top"/>
                </w:tcPr>
                <w:p>
                  <w:pPr>
                    <w:pStyle w:val="6"/>
                    <w:spacing w:before="167" w:line="222" w:lineRule="auto"/>
                    <w:ind w:left="220"/>
                    <w:rPr>
                      <w:sz w:val="21"/>
                      <w:szCs w:val="21"/>
                    </w:rPr>
                  </w:pPr>
                  <w:r>
                    <w:rPr>
                      <w:spacing w:val="-3"/>
                      <w:sz w:val="21"/>
                      <w:szCs w:val="21"/>
                    </w:rPr>
                    <w:t>二开</w:t>
                  </w:r>
                </w:p>
              </w:tc>
              <w:tc>
                <w:tcPr>
                  <w:tcW w:w="1557" w:type="dxa"/>
                  <w:vAlign w:val="top"/>
                </w:tcPr>
                <w:p>
                  <w:pPr>
                    <w:spacing w:before="206" w:line="187" w:lineRule="auto"/>
                    <w:ind w:left="4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508.00</w:t>
                  </w:r>
                </w:p>
              </w:tc>
              <w:tc>
                <w:tcPr>
                  <w:tcW w:w="6218" w:type="dxa"/>
                  <w:vAlign w:val="top"/>
                </w:tcPr>
                <w:p>
                  <w:pPr>
                    <w:pStyle w:val="6"/>
                    <w:spacing w:before="33" w:line="222" w:lineRule="auto"/>
                    <w:ind w:left="706" w:right="1" w:hanging="698"/>
                    <w:rPr>
                      <w:sz w:val="21"/>
                      <w:szCs w:val="21"/>
                    </w:rPr>
                  </w:pPr>
                  <w:r>
                    <w:rPr>
                      <w:rFonts w:ascii="Times New Roman" w:hAnsi="Times New Roman" w:eastAsia="Times New Roman" w:cs="Times New Roman"/>
                      <w:spacing w:val="-3"/>
                      <w:sz w:val="21"/>
                      <w:szCs w:val="21"/>
                    </w:rPr>
                    <w:t xml:space="preserve">Φ660.4mm </w:t>
                  </w:r>
                  <w:r>
                    <w:rPr>
                      <w:spacing w:val="-3"/>
                      <w:sz w:val="21"/>
                      <w:szCs w:val="21"/>
                    </w:rPr>
                    <w:t>钻头钻至井深</w:t>
                  </w:r>
                  <w:r>
                    <w:rPr>
                      <w:spacing w:val="-40"/>
                      <w:sz w:val="21"/>
                      <w:szCs w:val="21"/>
                    </w:rPr>
                    <w:t xml:space="preserve"> </w:t>
                  </w:r>
                  <w:r>
                    <w:rPr>
                      <w:rFonts w:ascii="Times New Roman" w:hAnsi="Times New Roman" w:eastAsia="Times New Roman" w:cs="Times New Roman"/>
                      <w:spacing w:val="-3"/>
                      <w:sz w:val="21"/>
                      <w:szCs w:val="21"/>
                    </w:rPr>
                    <w:t xml:space="preserve">800m </w:t>
                  </w:r>
                  <w:r>
                    <w:rPr>
                      <w:spacing w:val="-3"/>
                      <w:sz w:val="21"/>
                      <w:szCs w:val="21"/>
                    </w:rPr>
                    <w:t>左右下</w:t>
                  </w:r>
                  <w:r>
                    <w:rPr>
                      <w:spacing w:val="-45"/>
                      <w:sz w:val="21"/>
                      <w:szCs w:val="21"/>
                    </w:rPr>
                    <w:t xml:space="preserve"> </w:t>
                  </w:r>
                  <w:r>
                    <w:rPr>
                      <w:rFonts w:ascii="Times New Roman" w:hAnsi="Times New Roman" w:eastAsia="Times New Roman" w:cs="Times New Roman"/>
                      <w:spacing w:val="-3"/>
                      <w:sz w:val="21"/>
                      <w:szCs w:val="21"/>
                    </w:rPr>
                    <w:t>Φ5</w:t>
                  </w:r>
                  <w:r>
                    <w:rPr>
                      <w:rFonts w:ascii="Times New Roman" w:hAnsi="Times New Roman" w:eastAsia="Times New Roman" w:cs="Times New Roman"/>
                      <w:spacing w:val="-4"/>
                      <w:sz w:val="21"/>
                      <w:szCs w:val="21"/>
                    </w:rPr>
                    <w:t xml:space="preserve">08mm </w:t>
                  </w:r>
                  <w:r>
                    <w:rPr>
                      <w:spacing w:val="-4"/>
                      <w:sz w:val="21"/>
                      <w:szCs w:val="21"/>
                    </w:rPr>
                    <w:t>表层套管，</w:t>
                  </w:r>
                  <w:r>
                    <w:rPr>
                      <w:spacing w:val="-62"/>
                      <w:sz w:val="21"/>
                      <w:szCs w:val="21"/>
                    </w:rPr>
                    <w:t xml:space="preserve"> </w:t>
                  </w:r>
                  <w:r>
                    <w:rPr>
                      <w:spacing w:val="-4"/>
                      <w:sz w:val="21"/>
                      <w:szCs w:val="21"/>
                    </w:rPr>
                    <w:t>封固上部</w:t>
                  </w:r>
                  <w:r>
                    <w:rPr>
                      <w:sz w:val="21"/>
                      <w:szCs w:val="21"/>
                    </w:rPr>
                    <w:t xml:space="preserve"> </w:t>
                  </w:r>
                  <w:r>
                    <w:rPr>
                      <w:spacing w:val="-1"/>
                      <w:sz w:val="21"/>
                      <w:szCs w:val="21"/>
                    </w:rPr>
                    <w:t>易漏层、垮塌层，安装井口，为下步钻井提供条件。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37" w:type="dxa"/>
                  <w:vAlign w:val="top"/>
                </w:tcPr>
                <w:p>
                  <w:pPr>
                    <w:pStyle w:val="6"/>
                    <w:spacing w:before="305" w:line="222" w:lineRule="auto"/>
                    <w:ind w:left="216"/>
                    <w:rPr>
                      <w:sz w:val="21"/>
                      <w:szCs w:val="21"/>
                    </w:rPr>
                  </w:pPr>
                  <w:r>
                    <w:rPr>
                      <w:spacing w:val="-2"/>
                      <w:sz w:val="21"/>
                      <w:szCs w:val="21"/>
                    </w:rPr>
                    <w:t>三开</w:t>
                  </w:r>
                </w:p>
              </w:tc>
              <w:tc>
                <w:tcPr>
                  <w:tcW w:w="1557" w:type="dxa"/>
                  <w:vAlign w:val="top"/>
                </w:tcPr>
                <w:p>
                  <w:pPr>
                    <w:spacing w:line="281" w:lineRule="auto"/>
                    <w:rPr>
                      <w:rFonts w:ascii="Arial"/>
                      <w:sz w:val="21"/>
                    </w:rPr>
                  </w:pPr>
                </w:p>
                <w:p>
                  <w:pPr>
                    <w:spacing w:before="61"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374.65+365.13</w:t>
                  </w:r>
                </w:p>
              </w:tc>
              <w:tc>
                <w:tcPr>
                  <w:tcW w:w="6218" w:type="dxa"/>
                  <w:vAlign w:val="top"/>
                </w:tcPr>
                <w:p>
                  <w:pPr>
                    <w:pStyle w:val="6"/>
                    <w:spacing w:before="33" w:line="221" w:lineRule="auto"/>
                    <w:ind w:left="83"/>
                    <w:rPr>
                      <w:sz w:val="21"/>
                      <w:szCs w:val="21"/>
                    </w:rPr>
                  </w:pPr>
                  <w:r>
                    <w:rPr>
                      <w:rFonts w:ascii="Times New Roman" w:hAnsi="Times New Roman" w:eastAsia="Times New Roman" w:cs="Times New Roman"/>
                      <w:sz w:val="21"/>
                      <w:szCs w:val="21"/>
                    </w:rPr>
                    <w:t xml:space="preserve">Φ455mm </w:t>
                  </w:r>
                  <w:r>
                    <w:rPr>
                      <w:sz w:val="21"/>
                      <w:szCs w:val="21"/>
                    </w:rPr>
                    <w:t>钻头钻进至雷口坡组顶部（进雷口坡组</w:t>
                  </w:r>
                  <w:r>
                    <w:rPr>
                      <w:spacing w:val="-43"/>
                      <w:sz w:val="21"/>
                      <w:szCs w:val="21"/>
                    </w:rPr>
                    <w:t xml:space="preserve"> </w:t>
                  </w:r>
                  <w:r>
                    <w:rPr>
                      <w:rFonts w:ascii="Times New Roman" w:hAnsi="Times New Roman" w:eastAsia="Times New Roman" w:cs="Times New Roman"/>
                      <w:sz w:val="21"/>
                      <w:szCs w:val="21"/>
                    </w:rPr>
                    <w:t xml:space="preserve">5m </w:t>
                  </w:r>
                  <w:r>
                    <w:rPr>
                      <w:sz w:val="21"/>
                      <w:szCs w:val="21"/>
                    </w:rPr>
                    <w:t>垂深左右）下</w:t>
                  </w:r>
                </w:p>
                <w:p>
                  <w:pPr>
                    <w:pStyle w:val="6"/>
                    <w:spacing w:before="19" w:line="223" w:lineRule="auto"/>
                    <w:ind w:left="2375" w:right="1" w:hanging="2367"/>
                    <w:rPr>
                      <w:sz w:val="21"/>
                      <w:szCs w:val="21"/>
                    </w:rPr>
                  </w:pPr>
                  <w:r>
                    <w:rPr>
                      <w:rFonts w:ascii="Times New Roman" w:hAnsi="Times New Roman" w:eastAsia="Times New Roman" w:cs="Times New Roman"/>
                      <w:spacing w:val="-1"/>
                      <w:sz w:val="21"/>
                      <w:szCs w:val="21"/>
                    </w:rPr>
                    <w:t xml:space="preserve">Φ374.65mm+Φ365.13mm </w:t>
                  </w:r>
                  <w:r>
                    <w:rPr>
                      <w:spacing w:val="-1"/>
                      <w:sz w:val="21"/>
                      <w:szCs w:val="21"/>
                    </w:rPr>
                    <w:t>技术套管</w:t>
                  </w:r>
                  <w:r>
                    <w:rPr>
                      <w:spacing w:val="-27"/>
                      <w:sz w:val="21"/>
                      <w:szCs w:val="21"/>
                    </w:rPr>
                    <w:t xml:space="preserve"> </w:t>
                  </w:r>
                  <w:r>
                    <w:rPr>
                      <w:rFonts w:ascii="Times New Roman" w:hAnsi="Times New Roman" w:eastAsia="Times New Roman" w:cs="Times New Roman"/>
                      <w:spacing w:val="-1"/>
                      <w:sz w:val="21"/>
                      <w:szCs w:val="21"/>
                    </w:rPr>
                    <w:t>1</w:t>
                  </w:r>
                  <w:r>
                    <w:rPr>
                      <w:spacing w:val="-1"/>
                      <w:sz w:val="21"/>
                      <w:szCs w:val="21"/>
                    </w:rPr>
                    <w:t>，封隔上部</w:t>
                  </w:r>
                  <w:r>
                    <w:rPr>
                      <w:spacing w:val="-2"/>
                      <w:sz w:val="21"/>
                      <w:szCs w:val="21"/>
                    </w:rPr>
                    <w:t>低压易漏层，为下部</w:t>
                  </w:r>
                  <w:r>
                    <w:rPr>
                      <w:sz w:val="21"/>
                      <w:szCs w:val="21"/>
                    </w:rPr>
                    <w:t xml:space="preserve"> </w:t>
                  </w:r>
                  <w:r>
                    <w:rPr>
                      <w:spacing w:val="-1"/>
                      <w:sz w:val="21"/>
                      <w:szCs w:val="21"/>
                    </w:rPr>
                    <w:t>钻井提供条件。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37" w:type="dxa"/>
                  <w:vAlign w:val="top"/>
                </w:tcPr>
                <w:p>
                  <w:pPr>
                    <w:pStyle w:val="6"/>
                    <w:spacing w:before="306" w:line="222" w:lineRule="auto"/>
                    <w:ind w:left="236"/>
                    <w:rPr>
                      <w:sz w:val="21"/>
                      <w:szCs w:val="21"/>
                    </w:rPr>
                  </w:pPr>
                  <w:r>
                    <w:rPr>
                      <w:spacing w:val="-7"/>
                      <w:sz w:val="21"/>
                      <w:szCs w:val="21"/>
                    </w:rPr>
                    <w:t>四开</w:t>
                  </w:r>
                </w:p>
              </w:tc>
              <w:tc>
                <w:tcPr>
                  <w:tcW w:w="1557" w:type="dxa"/>
                  <w:vAlign w:val="top"/>
                </w:tcPr>
                <w:p>
                  <w:pPr>
                    <w:spacing w:line="283" w:lineRule="auto"/>
                    <w:rPr>
                      <w:rFonts w:ascii="Arial"/>
                      <w:sz w:val="21"/>
                    </w:rPr>
                  </w:pPr>
                </w:p>
                <w:p>
                  <w:pPr>
                    <w:spacing w:before="60"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282.58</w:t>
                  </w:r>
                </w:p>
              </w:tc>
              <w:tc>
                <w:tcPr>
                  <w:tcW w:w="6218" w:type="dxa"/>
                  <w:vAlign w:val="top"/>
                </w:tcPr>
                <w:p>
                  <w:pPr>
                    <w:pStyle w:val="6"/>
                    <w:spacing w:before="32" w:line="221" w:lineRule="auto"/>
                    <w:jc w:val="right"/>
                    <w:rPr>
                      <w:sz w:val="21"/>
                      <w:szCs w:val="21"/>
                    </w:rPr>
                  </w:pPr>
                  <w:r>
                    <w:rPr>
                      <w:rFonts w:ascii="Times New Roman" w:hAnsi="Times New Roman" w:eastAsia="Times New Roman" w:cs="Times New Roman"/>
                      <w:spacing w:val="-1"/>
                      <w:sz w:val="21"/>
                      <w:szCs w:val="21"/>
                    </w:rPr>
                    <w:t xml:space="preserve">Φ333.4mm </w:t>
                  </w:r>
                  <w:r>
                    <w:rPr>
                      <w:spacing w:val="-1"/>
                      <w:sz w:val="21"/>
                      <w:szCs w:val="21"/>
                    </w:rPr>
                    <w:t>钻头钻进至茅口组顶（进茅口组顶</w:t>
                  </w:r>
                  <w:r>
                    <w:rPr>
                      <w:spacing w:val="-42"/>
                      <w:sz w:val="21"/>
                      <w:szCs w:val="21"/>
                    </w:rPr>
                    <w:t xml:space="preserve"> </w:t>
                  </w:r>
                  <w:r>
                    <w:rPr>
                      <w:rFonts w:ascii="Times New Roman" w:hAnsi="Times New Roman" w:eastAsia="Times New Roman" w:cs="Times New Roman"/>
                      <w:spacing w:val="-1"/>
                      <w:sz w:val="21"/>
                      <w:szCs w:val="21"/>
                    </w:rPr>
                    <w:t xml:space="preserve">5m </w:t>
                  </w:r>
                  <w:r>
                    <w:rPr>
                      <w:spacing w:val="-1"/>
                      <w:sz w:val="21"/>
                      <w:szCs w:val="21"/>
                    </w:rPr>
                    <w:t>垂深</w:t>
                  </w:r>
                  <w:r>
                    <w:rPr>
                      <w:spacing w:val="8"/>
                      <w:sz w:val="21"/>
                      <w:szCs w:val="21"/>
                    </w:rPr>
                    <w:t>），</w:t>
                  </w:r>
                  <w:r>
                    <w:rPr>
                      <w:spacing w:val="-1"/>
                      <w:sz w:val="21"/>
                      <w:szCs w:val="21"/>
                    </w:rPr>
                    <w:t>悬挂回接</w:t>
                  </w:r>
                </w:p>
                <w:p>
                  <w:pPr>
                    <w:pStyle w:val="6"/>
                    <w:spacing w:before="23" w:line="222" w:lineRule="auto"/>
                    <w:ind w:left="2269" w:right="14" w:hanging="2261"/>
                    <w:rPr>
                      <w:sz w:val="21"/>
                      <w:szCs w:val="21"/>
                    </w:rPr>
                  </w:pPr>
                  <w:r>
                    <w:rPr>
                      <w:rFonts w:ascii="Times New Roman" w:hAnsi="Times New Roman" w:eastAsia="Times New Roman" w:cs="Times New Roman"/>
                      <w:spacing w:val="-4"/>
                      <w:sz w:val="21"/>
                      <w:szCs w:val="21"/>
                    </w:rPr>
                    <w:t xml:space="preserve">Φ282.58mm </w:t>
                  </w:r>
                  <w:r>
                    <w:rPr>
                      <w:spacing w:val="-4"/>
                      <w:sz w:val="21"/>
                      <w:szCs w:val="21"/>
                    </w:rPr>
                    <w:t>技术套管</w:t>
                  </w:r>
                  <w:r>
                    <w:rPr>
                      <w:spacing w:val="-32"/>
                      <w:sz w:val="21"/>
                      <w:szCs w:val="21"/>
                    </w:rPr>
                    <w:t xml:space="preserve"> </w:t>
                  </w:r>
                  <w:r>
                    <w:rPr>
                      <w:rFonts w:ascii="Times New Roman" w:hAnsi="Times New Roman" w:eastAsia="Times New Roman" w:cs="Times New Roman"/>
                      <w:spacing w:val="-4"/>
                      <w:sz w:val="21"/>
                      <w:szCs w:val="21"/>
                    </w:rPr>
                    <w:t>2</w:t>
                  </w:r>
                  <w:r>
                    <w:rPr>
                      <w:spacing w:val="-4"/>
                      <w:sz w:val="21"/>
                      <w:szCs w:val="21"/>
                    </w:rPr>
                    <w:t>，封隔上部异常高压层及易漏层，为目的层安</w:t>
                  </w:r>
                  <w:r>
                    <w:rPr>
                      <w:sz w:val="21"/>
                      <w:szCs w:val="21"/>
                    </w:rPr>
                    <w:t xml:space="preserve"> </w:t>
                  </w:r>
                  <w:r>
                    <w:rPr>
                      <w:spacing w:val="-1"/>
                      <w:sz w:val="21"/>
                      <w:szCs w:val="21"/>
                    </w:rPr>
                    <w:t>全钻进创造条件。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37" w:type="dxa"/>
                  <w:vAlign w:val="top"/>
                </w:tcPr>
                <w:p>
                  <w:pPr>
                    <w:pStyle w:val="6"/>
                    <w:spacing w:before="67" w:line="222" w:lineRule="auto"/>
                    <w:ind w:left="220"/>
                    <w:rPr>
                      <w:sz w:val="21"/>
                      <w:szCs w:val="21"/>
                    </w:rPr>
                  </w:pPr>
                  <w:r>
                    <w:rPr>
                      <w:spacing w:val="-3"/>
                      <w:sz w:val="21"/>
                      <w:szCs w:val="21"/>
                    </w:rPr>
                    <w:t>五开</w:t>
                  </w:r>
                </w:p>
              </w:tc>
              <w:tc>
                <w:tcPr>
                  <w:tcW w:w="1557" w:type="dxa"/>
                  <w:vAlign w:val="top"/>
                </w:tcPr>
                <w:p>
                  <w:pPr>
                    <w:spacing w:before="106"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219.08</w:t>
                  </w:r>
                </w:p>
              </w:tc>
              <w:tc>
                <w:tcPr>
                  <w:tcW w:w="6218" w:type="dxa"/>
                  <w:vAlign w:val="top"/>
                </w:tcPr>
                <w:p>
                  <w:pPr>
                    <w:pStyle w:val="6"/>
                    <w:spacing w:before="67" w:line="221" w:lineRule="auto"/>
                    <w:ind w:left="344"/>
                    <w:rPr>
                      <w:sz w:val="21"/>
                      <w:szCs w:val="21"/>
                    </w:rPr>
                  </w:pPr>
                  <w:r>
                    <w:rPr>
                      <w:rFonts w:ascii="Times New Roman" w:hAnsi="Times New Roman" w:eastAsia="Times New Roman" w:cs="Times New Roman"/>
                      <w:spacing w:val="-3"/>
                      <w:sz w:val="21"/>
                      <w:szCs w:val="21"/>
                    </w:rPr>
                    <w:t xml:space="preserve">Φ241.3mm </w:t>
                  </w:r>
                  <w:r>
                    <w:rPr>
                      <w:spacing w:val="-3"/>
                      <w:sz w:val="21"/>
                      <w:szCs w:val="21"/>
                    </w:rPr>
                    <w:t>钻头钻至完钻井深， 悬挂</w:t>
                  </w:r>
                  <w:r>
                    <w:rPr>
                      <w:spacing w:val="-45"/>
                      <w:sz w:val="21"/>
                      <w:szCs w:val="21"/>
                    </w:rPr>
                    <w:t xml:space="preserve"> </w:t>
                  </w:r>
                  <w:r>
                    <w:rPr>
                      <w:rFonts w:ascii="Times New Roman" w:hAnsi="Times New Roman" w:eastAsia="Times New Roman" w:cs="Times New Roman"/>
                      <w:spacing w:val="-3"/>
                      <w:sz w:val="21"/>
                      <w:szCs w:val="21"/>
                    </w:rPr>
                    <w:t>Φ219.08</w:t>
                  </w:r>
                  <w:r>
                    <w:rPr>
                      <w:rFonts w:ascii="Times New Roman" w:hAnsi="Times New Roman" w:eastAsia="Times New Roman" w:cs="Times New Roman"/>
                      <w:spacing w:val="-4"/>
                      <w:sz w:val="21"/>
                      <w:szCs w:val="21"/>
                    </w:rPr>
                    <w:t xml:space="preserve">mm </w:t>
                  </w:r>
                  <w:r>
                    <w:rPr>
                      <w:spacing w:val="-4"/>
                      <w:sz w:val="21"/>
                      <w:szCs w:val="21"/>
                    </w:rPr>
                    <w:t>技术套管。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7" w:type="dxa"/>
                  <w:vAlign w:val="top"/>
                </w:tcPr>
                <w:p>
                  <w:pPr>
                    <w:pStyle w:val="6"/>
                    <w:spacing w:before="170" w:line="222" w:lineRule="auto"/>
                    <w:ind w:left="218"/>
                    <w:rPr>
                      <w:sz w:val="21"/>
                      <w:szCs w:val="21"/>
                    </w:rPr>
                  </w:pPr>
                  <w:r>
                    <w:rPr>
                      <w:spacing w:val="-2"/>
                      <w:sz w:val="21"/>
                      <w:szCs w:val="21"/>
                    </w:rPr>
                    <w:t>六开</w:t>
                  </w:r>
                </w:p>
              </w:tc>
              <w:tc>
                <w:tcPr>
                  <w:tcW w:w="1557" w:type="dxa"/>
                  <w:vAlign w:val="top"/>
                </w:tcPr>
                <w:p>
                  <w:pPr>
                    <w:spacing w:before="209"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193.68+168.28</w:t>
                  </w:r>
                </w:p>
              </w:tc>
              <w:tc>
                <w:tcPr>
                  <w:tcW w:w="6218" w:type="dxa"/>
                  <w:vAlign w:val="top"/>
                </w:tcPr>
                <w:p>
                  <w:pPr>
                    <w:pStyle w:val="6"/>
                    <w:spacing w:before="36" w:line="224" w:lineRule="auto"/>
                    <w:ind w:left="2690" w:right="1" w:hanging="2682"/>
                    <w:rPr>
                      <w:sz w:val="21"/>
                      <w:szCs w:val="21"/>
                    </w:rPr>
                  </w:pPr>
                  <w:r>
                    <w:rPr>
                      <w:rFonts w:ascii="Times New Roman" w:hAnsi="Times New Roman" w:eastAsia="Times New Roman" w:cs="Times New Roman"/>
                      <w:spacing w:val="-2"/>
                      <w:sz w:val="21"/>
                      <w:szCs w:val="21"/>
                    </w:rPr>
                    <w:t xml:space="preserve">Φ190.5mm </w:t>
                  </w:r>
                  <w:r>
                    <w:rPr>
                      <w:spacing w:val="-2"/>
                      <w:sz w:val="21"/>
                      <w:szCs w:val="21"/>
                    </w:rPr>
                    <w:t>钻头钻至完钻井深，悬挂回接</w:t>
                  </w:r>
                  <w:r>
                    <w:rPr>
                      <w:spacing w:val="-48"/>
                      <w:sz w:val="21"/>
                      <w:szCs w:val="21"/>
                    </w:rPr>
                    <w:t xml:space="preserve"> </w:t>
                  </w:r>
                  <w:r>
                    <w:rPr>
                      <w:rFonts w:ascii="Times New Roman" w:hAnsi="Times New Roman" w:eastAsia="Times New Roman" w:cs="Times New Roman"/>
                      <w:spacing w:val="-2"/>
                      <w:sz w:val="21"/>
                      <w:szCs w:val="21"/>
                    </w:rPr>
                    <w:t>Φ193.68mm+Φ168.28mm</w:t>
                  </w:r>
                  <w:r>
                    <w:rPr>
                      <w:rFonts w:ascii="Times New Roman" w:hAnsi="Times New Roman" w:eastAsia="Times New Roman" w:cs="Times New Roman"/>
                      <w:spacing w:val="-3"/>
                      <w:sz w:val="21"/>
                      <w:szCs w:val="21"/>
                    </w:rPr>
                    <w:t xml:space="preserve"> </w:t>
                  </w:r>
                  <w:r>
                    <w:rPr>
                      <w:spacing w:val="-3"/>
                      <w:sz w:val="21"/>
                      <w:szCs w:val="21"/>
                    </w:rPr>
                    <w:t>油</w:t>
                  </w:r>
                  <w:r>
                    <w:rPr>
                      <w:sz w:val="21"/>
                      <w:szCs w:val="21"/>
                    </w:rPr>
                    <w:t xml:space="preserve"> </w:t>
                  </w:r>
                  <w:r>
                    <w:rPr>
                      <w:spacing w:val="-2"/>
                      <w:sz w:val="21"/>
                      <w:szCs w:val="21"/>
                    </w:rPr>
                    <w:t>层套管。</w:t>
                  </w:r>
                </w:p>
              </w:tc>
            </w:tr>
          </w:tbl>
          <w:p>
            <w:pPr>
              <w:pStyle w:val="6"/>
              <w:spacing w:before="225" w:line="219" w:lineRule="auto"/>
              <w:ind w:left="562"/>
              <w:rPr>
                <w:sz w:val="24"/>
                <w:szCs w:val="24"/>
              </w:rPr>
            </w:pPr>
            <w:r>
              <w:rPr>
                <w:rFonts w:ascii="Times New Roman" w:hAnsi="Times New Roman" w:eastAsia="Times New Roman" w:cs="Times New Roman"/>
                <w:b/>
                <w:bCs/>
                <w:sz w:val="24"/>
                <w:szCs w:val="24"/>
              </w:rPr>
              <w:t xml:space="preserve">2.5 </w:t>
            </w:r>
            <w:r>
              <w:rPr>
                <w:sz w:val="24"/>
                <w:szCs w:val="24"/>
                <w14:textOutline w14:w="4354" w14:cap="flat" w14:cmpd="sng">
                  <w14:solidFill>
                    <w14:srgbClr w14:val="000000"/>
                  </w14:solidFill>
                  <w14:prstDash w14:val="solid"/>
                  <w14:miter w14:val="10"/>
                </w14:textOutline>
              </w:rPr>
              <w:t>主要原辅材料及能源消耗情况</w:t>
            </w:r>
          </w:p>
          <w:p>
            <w:pPr>
              <w:pStyle w:val="6"/>
              <w:spacing w:before="195" w:line="219" w:lineRule="auto"/>
              <w:ind w:left="1054"/>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）主要原辅材料、能源消耗及来源统计</w:t>
            </w:r>
          </w:p>
          <w:p>
            <w:pPr>
              <w:pStyle w:val="6"/>
              <w:spacing w:before="197" w:line="369" w:lineRule="auto"/>
              <w:ind w:left="566" w:right="101" w:firstLine="480"/>
              <w:rPr>
                <w:sz w:val="24"/>
                <w:szCs w:val="24"/>
              </w:rPr>
            </w:pPr>
            <w:r>
              <w:rPr>
                <w:spacing w:val="-2"/>
                <w:sz w:val="24"/>
                <w:szCs w:val="24"/>
              </w:rPr>
              <w:t>本工程采用网电钻井，消耗的能源主要是电力，根据建设单位经验数据统计，</w:t>
            </w:r>
            <w:r>
              <w:rPr>
                <w:spacing w:val="3"/>
                <w:sz w:val="24"/>
                <w:szCs w:val="24"/>
              </w:rPr>
              <w:t xml:space="preserve"> </w:t>
            </w:r>
            <w:r>
              <w:rPr>
                <w:spacing w:val="-4"/>
                <w:sz w:val="24"/>
                <w:szCs w:val="24"/>
              </w:rPr>
              <w:t xml:space="preserve">钻井期间每钻进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39"/>
                <w:sz w:val="24"/>
                <w:szCs w:val="24"/>
              </w:rPr>
              <w:t xml:space="preserve"> </w:t>
            </w:r>
            <w:r>
              <w:rPr>
                <w:spacing w:val="-4"/>
                <w:sz w:val="24"/>
                <w:szCs w:val="24"/>
              </w:rPr>
              <w:t>耗电量约</w:t>
            </w:r>
            <w:r>
              <w:rPr>
                <w:spacing w:val="-36"/>
                <w:sz w:val="24"/>
                <w:szCs w:val="24"/>
              </w:rPr>
              <w:t xml:space="preserve"> </w:t>
            </w:r>
            <w:r>
              <w:rPr>
                <w:rFonts w:ascii="Times New Roman" w:hAnsi="Times New Roman" w:eastAsia="Times New Roman" w:cs="Times New Roman"/>
                <w:spacing w:val="-4"/>
                <w:sz w:val="24"/>
                <w:szCs w:val="24"/>
              </w:rPr>
              <w:t>3.5</w:t>
            </w:r>
            <w:r>
              <w:rPr>
                <w:rFonts w:ascii="Times New Roman" w:hAnsi="Times New Roman" w:eastAsia="Times New Roman" w:cs="Times New Roman"/>
                <w:spacing w:val="30"/>
                <w:sz w:val="24"/>
                <w:szCs w:val="24"/>
              </w:rPr>
              <w:t xml:space="preserve"> </w:t>
            </w:r>
            <w:r>
              <w:rPr>
                <w:spacing w:val="-4"/>
                <w:sz w:val="24"/>
                <w:szCs w:val="24"/>
              </w:rPr>
              <w:t>万千瓦时，则本工程用电量约</w:t>
            </w:r>
            <w:r>
              <w:rPr>
                <w:spacing w:val="-40"/>
                <w:sz w:val="24"/>
                <w:szCs w:val="24"/>
              </w:rPr>
              <w:t xml:space="preserve"> </w:t>
            </w:r>
            <w:r>
              <w:rPr>
                <w:rFonts w:ascii="Times New Roman" w:hAnsi="Times New Roman" w:eastAsia="Times New Roman" w:cs="Times New Roman"/>
                <w:spacing w:val="-4"/>
                <w:sz w:val="24"/>
                <w:szCs w:val="24"/>
              </w:rPr>
              <w:t>253</w:t>
            </w:r>
            <w:r>
              <w:rPr>
                <w:rFonts w:ascii="Times New Roman" w:hAnsi="Times New Roman" w:eastAsia="Times New Roman" w:cs="Times New Roman"/>
                <w:spacing w:val="29"/>
                <w:w w:val="101"/>
                <w:sz w:val="24"/>
                <w:szCs w:val="24"/>
              </w:rPr>
              <w:t xml:space="preserve"> </w:t>
            </w:r>
            <w:r>
              <w:rPr>
                <w:spacing w:val="-4"/>
                <w:sz w:val="24"/>
                <w:szCs w:val="24"/>
              </w:rPr>
              <w:t>万千瓦时。</w:t>
            </w:r>
            <w:r>
              <w:rPr>
                <w:sz w:val="24"/>
                <w:szCs w:val="24"/>
              </w:rPr>
              <w:t xml:space="preserve"> </w:t>
            </w:r>
            <w:r>
              <w:rPr>
                <w:spacing w:val="-10"/>
                <w:sz w:val="24"/>
                <w:szCs w:val="24"/>
              </w:rPr>
              <w:t>当网电不能使用时，</w:t>
            </w:r>
            <w:r>
              <w:rPr>
                <w:spacing w:val="50"/>
                <w:sz w:val="24"/>
                <w:szCs w:val="24"/>
              </w:rPr>
              <w:t xml:space="preserve"> </w:t>
            </w:r>
            <w:r>
              <w:rPr>
                <w:spacing w:val="-10"/>
                <w:sz w:val="24"/>
                <w:szCs w:val="24"/>
              </w:rPr>
              <w:t>采用备用柴油发电机组</w:t>
            </w:r>
            <w:r>
              <w:rPr>
                <w:spacing w:val="-11"/>
                <w:sz w:val="24"/>
                <w:szCs w:val="24"/>
              </w:rPr>
              <w:t>提供电力，</w:t>
            </w:r>
            <w:r>
              <w:rPr>
                <w:spacing w:val="54"/>
                <w:sz w:val="24"/>
                <w:szCs w:val="24"/>
              </w:rPr>
              <w:t xml:space="preserve"> </w:t>
            </w:r>
            <w:r>
              <w:rPr>
                <w:spacing w:val="-11"/>
                <w:sz w:val="24"/>
                <w:szCs w:val="24"/>
              </w:rPr>
              <w:t>备用柴油发电机组使用时间</w:t>
            </w:r>
          </w:p>
          <w:p>
            <w:pPr>
              <w:pStyle w:val="6"/>
              <w:spacing w:before="1" w:line="234" w:lineRule="auto"/>
              <w:ind w:left="566"/>
              <w:rPr>
                <w:sz w:val="24"/>
                <w:szCs w:val="24"/>
              </w:rPr>
            </w:pPr>
            <w:r>
              <w:rPr>
                <w:spacing w:val="-2"/>
                <w:sz w:val="24"/>
                <w:szCs w:val="24"/>
              </w:rPr>
              <w:t>少，预计柴油用量约</w:t>
            </w:r>
            <w:r>
              <w:rPr>
                <w:spacing w:val="-45"/>
                <w:sz w:val="24"/>
                <w:szCs w:val="24"/>
              </w:rPr>
              <w:t xml:space="preserve"> </w:t>
            </w:r>
            <w:r>
              <w:rPr>
                <w:rFonts w:ascii="Times New Roman" w:hAnsi="Times New Roman" w:eastAsia="Times New Roman" w:cs="Times New Roman"/>
                <w:spacing w:val="-2"/>
                <w:sz w:val="24"/>
                <w:szCs w:val="24"/>
              </w:rPr>
              <w:t>50t</w:t>
            </w:r>
            <w:r>
              <w:rPr>
                <w:spacing w:val="-2"/>
                <w:sz w:val="24"/>
                <w:szCs w:val="24"/>
              </w:rPr>
              <w:t>。</w:t>
            </w:r>
          </w:p>
          <w:p>
            <w:pPr>
              <w:pStyle w:val="6"/>
              <w:spacing w:before="175" w:line="480" w:lineRule="exact"/>
              <w:ind w:left="1052"/>
              <w:rPr>
                <w:sz w:val="24"/>
                <w:szCs w:val="24"/>
              </w:rPr>
            </w:pPr>
            <w:r>
              <w:rPr>
                <w:spacing w:val="-4"/>
                <w:position w:val="18"/>
                <w:sz w:val="24"/>
                <w:szCs w:val="24"/>
              </w:rPr>
              <w:t>导管段采用清水钻井，</w:t>
            </w:r>
            <w:r>
              <w:rPr>
                <w:spacing w:val="84"/>
                <w:position w:val="18"/>
                <w:sz w:val="24"/>
                <w:szCs w:val="24"/>
              </w:rPr>
              <w:t xml:space="preserve"> </w:t>
            </w:r>
            <w:r>
              <w:rPr>
                <w:spacing w:val="-4"/>
                <w:position w:val="18"/>
                <w:sz w:val="24"/>
                <w:szCs w:val="24"/>
              </w:rPr>
              <w:t>一开</w:t>
            </w:r>
            <w:r>
              <w:rPr>
                <w:rFonts w:ascii="Times New Roman" w:hAnsi="Times New Roman" w:eastAsia="Times New Roman" w:cs="Times New Roman"/>
                <w:spacing w:val="-4"/>
                <w:position w:val="18"/>
                <w:sz w:val="24"/>
                <w:szCs w:val="24"/>
              </w:rPr>
              <w:t>~</w:t>
            </w:r>
            <w:r>
              <w:rPr>
                <w:spacing w:val="-4"/>
                <w:position w:val="18"/>
                <w:sz w:val="24"/>
                <w:szCs w:val="24"/>
              </w:rPr>
              <w:t>五开段采用水基钻井液钻井（不使用钾聚磺体系</w:t>
            </w:r>
          </w:p>
          <w:p>
            <w:pPr>
              <w:pStyle w:val="6"/>
              <w:spacing w:before="1" w:line="218" w:lineRule="auto"/>
              <w:ind w:left="566"/>
              <w:rPr>
                <w:sz w:val="24"/>
                <w:szCs w:val="24"/>
              </w:rPr>
            </w:pPr>
            <w:r>
              <w:rPr>
                <w:spacing w:val="-11"/>
                <w:sz w:val="24"/>
                <w:szCs w:val="24"/>
              </w:rPr>
              <w:t>钻井液，项目钻井液均属常规水基钻井液，</w:t>
            </w:r>
            <w:r>
              <w:rPr>
                <w:spacing w:val="72"/>
                <w:sz w:val="24"/>
                <w:szCs w:val="24"/>
              </w:rPr>
              <w:t xml:space="preserve"> </w:t>
            </w:r>
            <w:r>
              <w:rPr>
                <w:spacing w:val="-11"/>
                <w:sz w:val="24"/>
                <w:szCs w:val="24"/>
              </w:rPr>
              <w:t>其主体成分是水、有机物、盐和碱，</w:t>
            </w:r>
            <w:r>
              <w:rPr>
                <w:spacing w:val="62"/>
                <w:sz w:val="24"/>
                <w:szCs w:val="24"/>
              </w:rPr>
              <w:t xml:space="preserve"> </w:t>
            </w:r>
            <w:r>
              <w:rPr>
                <w:spacing w:val="-11"/>
                <w:sz w:val="24"/>
                <w:szCs w:val="24"/>
              </w:rPr>
              <w:t>不</w:t>
            </w:r>
          </w:p>
        </w:tc>
      </w:tr>
    </w:tbl>
    <w:p>
      <w:pPr>
        <w:pStyle w:val="2"/>
        <w:rPr>
          <w:sz w:val="21"/>
        </w:rPr>
      </w:pPr>
    </w:p>
    <w:p>
      <w:pPr>
        <w:rPr>
          <w:sz w:val="21"/>
          <w:szCs w:val="21"/>
        </w:rPr>
        <w:sectPr>
          <w:footerReference r:id="rId38"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68" w:hRule="atLeast"/>
        </w:trPr>
        <w:tc>
          <w:tcPr>
            <w:tcW w:w="9291" w:type="dxa"/>
            <w:vAlign w:val="top"/>
          </w:tcPr>
          <w:p>
            <w:pPr>
              <w:pStyle w:val="6"/>
              <w:spacing w:before="182" w:line="480" w:lineRule="exact"/>
              <w:ind w:left="566"/>
              <w:rPr>
                <w:sz w:val="24"/>
                <w:szCs w:val="24"/>
              </w:rPr>
            </w:pPr>
            <w:r>
              <w:pict>
                <v:rect id="_x0000_s1039" o:spid="_x0000_s1039" o:spt="1" style="position:absolute;left:0pt;margin-left:22.75pt;margin-top:0.95pt;height:692.75pt;width:0.5pt;mso-position-horizontal-relative:page;mso-position-vertical-relative:page;z-index:251693056;mso-width-relative:page;mso-height-relative:page;" fillcolor="#000000" filled="t" stroked="f" coordsize="21600,21600">
                  <v:path/>
                  <v:fill on="t" focussize="0,0"/>
                  <v:stroke on="f"/>
                  <v:imagedata o:title=""/>
                  <o:lock v:ext="edit"/>
                </v:rect>
              </w:pict>
            </w:r>
            <w:r>
              <w:rPr>
                <w:spacing w:val="-6"/>
                <w:position w:val="18"/>
                <w:sz w:val="24"/>
                <w:szCs w:val="24"/>
              </w:rPr>
              <w:t>含重金属汞、</w:t>
            </w:r>
            <w:r>
              <w:rPr>
                <w:spacing w:val="51"/>
                <w:position w:val="18"/>
                <w:sz w:val="24"/>
                <w:szCs w:val="24"/>
              </w:rPr>
              <w:t xml:space="preserve"> </w:t>
            </w:r>
            <w:r>
              <w:rPr>
                <w:spacing w:val="-6"/>
                <w:position w:val="18"/>
                <w:sz w:val="24"/>
                <w:szCs w:val="24"/>
              </w:rPr>
              <w:t>铬、铅等有毒物质）、六开段使用油基钻井液。项目钻井工程钻井液</w:t>
            </w:r>
          </w:p>
          <w:p>
            <w:pPr>
              <w:pStyle w:val="6"/>
              <w:spacing w:before="1" w:line="218" w:lineRule="auto"/>
              <w:ind w:left="566"/>
              <w:rPr>
                <w:sz w:val="24"/>
                <w:szCs w:val="24"/>
              </w:rPr>
            </w:pPr>
            <w:r>
              <w:rPr>
                <w:spacing w:val="-1"/>
                <w:sz w:val="24"/>
                <w:szCs w:val="24"/>
              </w:rPr>
              <w:t>材料用量设计见下表。</w:t>
            </w:r>
          </w:p>
          <w:p>
            <w:pPr>
              <w:pStyle w:val="6"/>
              <w:spacing w:before="195" w:line="219" w:lineRule="auto"/>
              <w:ind w:left="2242"/>
              <w:rPr>
                <w:sz w:val="24"/>
                <w:szCs w:val="24"/>
              </w:rPr>
            </w:pPr>
            <w:r>
              <w:rPr>
                <w:spacing w:val="-1"/>
                <w:sz w:val="24"/>
                <w:szCs w:val="24"/>
                <w14:textOutline w14:w="4354" w14:cap="flat" w14:cmpd="sng">
                  <w14:solidFill>
                    <w14:srgbClr w14:val="000000"/>
                  </w14:solidFill>
                  <w14:prstDash w14:val="solid"/>
                  <w14:miter w14:val="10"/>
                </w14:textOutline>
              </w:rPr>
              <w:t>表</w:t>
            </w:r>
            <w:r>
              <w:rPr>
                <w:spacing w:val="-44"/>
                <w:sz w:val="24"/>
                <w:szCs w:val="24"/>
              </w:rPr>
              <w:t xml:space="preserve"> </w:t>
            </w:r>
            <w:r>
              <w:rPr>
                <w:rFonts w:ascii="Times New Roman" w:hAnsi="Times New Roman" w:eastAsia="Times New Roman" w:cs="Times New Roman"/>
                <w:b/>
                <w:bCs/>
                <w:spacing w:val="-1"/>
                <w:sz w:val="24"/>
                <w:szCs w:val="24"/>
              </w:rPr>
              <w:t xml:space="preserve">2.5-1  </w:t>
            </w:r>
            <w:r>
              <w:rPr>
                <w:spacing w:val="-1"/>
                <w:sz w:val="24"/>
                <w:szCs w:val="24"/>
                <w14:textOutline w14:w="4354" w14:cap="flat" w14:cmpd="sng">
                  <w14:solidFill>
                    <w14:srgbClr w14:val="000000"/>
                  </w14:solidFill>
                  <w14:prstDash w14:val="solid"/>
                  <w14:miter w14:val="10"/>
                </w14:textOutline>
              </w:rPr>
              <w:t>凤探</w:t>
            </w:r>
            <w:r>
              <w:rPr>
                <w:spacing w:val="-41"/>
                <w:sz w:val="24"/>
                <w:szCs w:val="24"/>
              </w:rPr>
              <w:t xml:space="preserve"> </w:t>
            </w:r>
            <w:r>
              <w:rPr>
                <w:rFonts w:ascii="Times New Roman" w:hAnsi="Times New Roman" w:eastAsia="Times New Roman" w:cs="Times New Roman"/>
                <w:b/>
                <w:bCs/>
                <w:spacing w:val="-1"/>
                <w:sz w:val="24"/>
                <w:szCs w:val="24"/>
              </w:rPr>
              <w:t xml:space="preserve">1 </w:t>
            </w:r>
            <w:r>
              <w:rPr>
                <w:spacing w:val="-1"/>
                <w:sz w:val="24"/>
                <w:szCs w:val="24"/>
                <w14:textOutline w14:w="4354" w14:cap="flat" w14:cmpd="sng">
                  <w14:solidFill>
                    <w14:srgbClr w14:val="000000"/>
                  </w14:solidFill>
                  <w14:prstDash w14:val="solid"/>
                  <w14:miter w14:val="10"/>
                </w14:textOutline>
              </w:rPr>
              <w:t>井主要原辅材料及能源消耗量统计</w:t>
            </w:r>
          </w:p>
          <w:p>
            <w:pPr>
              <w:spacing w:line="17"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71"/>
              <w:gridCol w:w="2687"/>
              <w:gridCol w:w="852"/>
              <w:gridCol w:w="849"/>
              <w:gridCol w:w="844"/>
              <w:gridCol w:w="12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9" w:type="dxa"/>
                  <w:vAlign w:val="top"/>
                </w:tcPr>
                <w:p>
                  <w:pPr>
                    <w:pStyle w:val="6"/>
                    <w:spacing w:before="170" w:line="221" w:lineRule="auto"/>
                    <w:ind w:left="214"/>
                    <w:rPr>
                      <w:sz w:val="21"/>
                      <w:szCs w:val="21"/>
                    </w:rPr>
                  </w:pPr>
                  <w:r>
                    <w:rPr>
                      <w:spacing w:val="-2"/>
                      <w:sz w:val="21"/>
                      <w:szCs w:val="21"/>
                    </w:rPr>
                    <w:t>类型</w:t>
                  </w:r>
                </w:p>
              </w:tc>
              <w:tc>
                <w:tcPr>
                  <w:tcW w:w="1271" w:type="dxa"/>
                  <w:vAlign w:val="top"/>
                </w:tcPr>
                <w:p>
                  <w:pPr>
                    <w:pStyle w:val="6"/>
                    <w:spacing w:before="171" w:line="220" w:lineRule="auto"/>
                    <w:ind w:left="220"/>
                    <w:rPr>
                      <w:sz w:val="21"/>
                      <w:szCs w:val="21"/>
                    </w:rPr>
                  </w:pPr>
                  <w:r>
                    <w:rPr>
                      <w:spacing w:val="-2"/>
                      <w:sz w:val="21"/>
                      <w:szCs w:val="21"/>
                    </w:rPr>
                    <w:t>材料名称</w:t>
                  </w:r>
                </w:p>
              </w:tc>
              <w:tc>
                <w:tcPr>
                  <w:tcW w:w="2687" w:type="dxa"/>
                  <w:vAlign w:val="top"/>
                </w:tcPr>
                <w:p>
                  <w:pPr>
                    <w:pStyle w:val="6"/>
                    <w:spacing w:before="170" w:line="221" w:lineRule="auto"/>
                    <w:ind w:left="933"/>
                    <w:rPr>
                      <w:sz w:val="21"/>
                      <w:szCs w:val="21"/>
                    </w:rPr>
                  </w:pPr>
                  <w:r>
                    <w:rPr>
                      <w:spacing w:val="-2"/>
                      <w:sz w:val="21"/>
                      <w:szCs w:val="21"/>
                    </w:rPr>
                    <w:t>规格型号</w:t>
                  </w:r>
                </w:p>
              </w:tc>
              <w:tc>
                <w:tcPr>
                  <w:tcW w:w="852" w:type="dxa"/>
                  <w:vAlign w:val="top"/>
                </w:tcPr>
                <w:p>
                  <w:pPr>
                    <w:pStyle w:val="6"/>
                    <w:spacing w:before="171" w:line="221" w:lineRule="auto"/>
                    <w:ind w:left="227"/>
                    <w:rPr>
                      <w:sz w:val="21"/>
                      <w:szCs w:val="21"/>
                    </w:rPr>
                  </w:pPr>
                  <w:r>
                    <w:rPr>
                      <w:spacing w:val="-2"/>
                      <w:sz w:val="21"/>
                      <w:szCs w:val="21"/>
                    </w:rPr>
                    <w:t>单位</w:t>
                  </w:r>
                </w:p>
              </w:tc>
              <w:tc>
                <w:tcPr>
                  <w:tcW w:w="849" w:type="dxa"/>
                  <w:vAlign w:val="top"/>
                </w:tcPr>
                <w:p>
                  <w:pPr>
                    <w:pStyle w:val="6"/>
                    <w:spacing w:before="171" w:line="222" w:lineRule="auto"/>
                    <w:ind w:left="222"/>
                    <w:rPr>
                      <w:sz w:val="21"/>
                      <w:szCs w:val="21"/>
                    </w:rPr>
                  </w:pPr>
                  <w:r>
                    <w:rPr>
                      <w:spacing w:val="-2"/>
                      <w:sz w:val="21"/>
                      <w:szCs w:val="21"/>
                    </w:rPr>
                    <w:t>用量</w:t>
                  </w:r>
                </w:p>
              </w:tc>
              <w:tc>
                <w:tcPr>
                  <w:tcW w:w="844" w:type="dxa"/>
                  <w:vAlign w:val="top"/>
                </w:tcPr>
                <w:p>
                  <w:pPr>
                    <w:pStyle w:val="6"/>
                    <w:spacing w:before="33" w:line="241" w:lineRule="auto"/>
                    <w:ind w:left="223"/>
                    <w:rPr>
                      <w:sz w:val="21"/>
                      <w:szCs w:val="21"/>
                    </w:rPr>
                  </w:pPr>
                  <w:r>
                    <w:rPr>
                      <w:spacing w:val="-3"/>
                      <w:sz w:val="21"/>
                      <w:szCs w:val="21"/>
                    </w:rPr>
                    <w:t>最大</w:t>
                  </w:r>
                </w:p>
                <w:p>
                  <w:pPr>
                    <w:pStyle w:val="6"/>
                    <w:spacing w:line="207" w:lineRule="auto"/>
                    <w:ind w:left="220"/>
                    <w:rPr>
                      <w:sz w:val="21"/>
                      <w:szCs w:val="21"/>
                    </w:rPr>
                  </w:pPr>
                  <w:r>
                    <w:rPr>
                      <w:spacing w:val="-2"/>
                      <w:sz w:val="21"/>
                      <w:szCs w:val="21"/>
                    </w:rPr>
                    <w:t>储量</w:t>
                  </w:r>
                </w:p>
              </w:tc>
              <w:tc>
                <w:tcPr>
                  <w:tcW w:w="1270" w:type="dxa"/>
                  <w:vAlign w:val="top"/>
                </w:tcPr>
                <w:p>
                  <w:pPr>
                    <w:pStyle w:val="6"/>
                    <w:spacing w:before="34" w:line="224" w:lineRule="auto"/>
                    <w:ind w:left="432" w:right="134" w:hanging="314"/>
                    <w:rPr>
                      <w:sz w:val="21"/>
                      <w:szCs w:val="21"/>
                    </w:rPr>
                  </w:pPr>
                  <w:r>
                    <w:rPr>
                      <w:spacing w:val="-8"/>
                      <w:sz w:val="21"/>
                      <w:szCs w:val="21"/>
                    </w:rPr>
                    <w:t>储存位置、</w:t>
                  </w:r>
                  <w:r>
                    <w:rPr>
                      <w:spacing w:val="1"/>
                      <w:sz w:val="21"/>
                      <w:szCs w:val="21"/>
                    </w:rPr>
                    <w:t xml:space="preserve"> </w:t>
                  </w:r>
                  <w:r>
                    <w:rPr>
                      <w:spacing w:val="-2"/>
                      <w:sz w:val="21"/>
                      <w:szCs w:val="21"/>
                    </w:rPr>
                    <w:t>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restart"/>
                  <w:tcBorders>
                    <w:bottom w:val="nil"/>
                  </w:tcBorders>
                  <w:vAlign w:val="top"/>
                </w:tcPr>
                <w:p>
                  <w:pPr>
                    <w:spacing w:line="322" w:lineRule="auto"/>
                    <w:rPr>
                      <w:rFonts w:ascii="Arial"/>
                      <w:sz w:val="21"/>
                    </w:rPr>
                  </w:pPr>
                </w:p>
                <w:p>
                  <w:pPr>
                    <w:spacing w:line="323" w:lineRule="auto"/>
                    <w:rPr>
                      <w:rFonts w:ascii="Arial"/>
                      <w:sz w:val="21"/>
                    </w:rPr>
                  </w:pPr>
                </w:p>
                <w:p>
                  <w:pPr>
                    <w:pStyle w:val="6"/>
                    <w:spacing w:before="69" w:line="241" w:lineRule="auto"/>
                    <w:ind w:left="214"/>
                    <w:rPr>
                      <w:sz w:val="21"/>
                      <w:szCs w:val="21"/>
                    </w:rPr>
                  </w:pPr>
                  <w:r>
                    <w:rPr>
                      <w:spacing w:val="-2"/>
                      <w:sz w:val="21"/>
                      <w:szCs w:val="21"/>
                    </w:rPr>
                    <w:t>钻前</w:t>
                  </w:r>
                </w:p>
                <w:p>
                  <w:pPr>
                    <w:pStyle w:val="6"/>
                    <w:spacing w:line="221" w:lineRule="auto"/>
                    <w:ind w:left="216"/>
                    <w:rPr>
                      <w:sz w:val="21"/>
                      <w:szCs w:val="21"/>
                    </w:rPr>
                  </w:pPr>
                  <w:r>
                    <w:rPr>
                      <w:spacing w:val="-3"/>
                      <w:sz w:val="21"/>
                      <w:szCs w:val="21"/>
                    </w:rPr>
                    <w:t>工程</w:t>
                  </w:r>
                </w:p>
              </w:tc>
              <w:tc>
                <w:tcPr>
                  <w:tcW w:w="1271" w:type="dxa"/>
                  <w:vAlign w:val="top"/>
                </w:tcPr>
                <w:p>
                  <w:pPr>
                    <w:pStyle w:val="6"/>
                    <w:spacing w:before="51" w:line="222" w:lineRule="auto"/>
                    <w:ind w:left="325"/>
                    <w:rPr>
                      <w:sz w:val="21"/>
                      <w:szCs w:val="21"/>
                    </w:rPr>
                  </w:pPr>
                  <w:r>
                    <w:rPr>
                      <w:spacing w:val="-2"/>
                      <w:sz w:val="21"/>
                      <w:szCs w:val="21"/>
                    </w:rPr>
                    <w:t>混凝土</w:t>
                  </w:r>
                </w:p>
              </w:tc>
              <w:tc>
                <w:tcPr>
                  <w:tcW w:w="2687" w:type="dxa"/>
                  <w:vAlign w:val="top"/>
                </w:tcPr>
                <w:p>
                  <w:pPr>
                    <w:pStyle w:val="6"/>
                    <w:spacing w:before="51" w:line="221" w:lineRule="auto"/>
                    <w:ind w:left="936"/>
                    <w:rPr>
                      <w:sz w:val="21"/>
                      <w:szCs w:val="21"/>
                    </w:rPr>
                  </w:pPr>
                  <w:r>
                    <w:rPr>
                      <w:spacing w:val="-3"/>
                      <w:sz w:val="21"/>
                      <w:szCs w:val="21"/>
                    </w:rPr>
                    <w:t>商混成品</w:t>
                  </w:r>
                </w:p>
              </w:tc>
              <w:tc>
                <w:tcPr>
                  <w:tcW w:w="852" w:type="dxa"/>
                  <w:vAlign w:val="top"/>
                </w:tcPr>
                <w:p>
                  <w:pPr>
                    <w:spacing w:before="69" w:line="236"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9"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4230</w:t>
                  </w:r>
                </w:p>
              </w:tc>
              <w:tc>
                <w:tcPr>
                  <w:tcW w:w="844" w:type="dxa"/>
                  <w:vAlign w:val="top"/>
                </w:tcPr>
                <w:p>
                  <w:pPr>
                    <w:spacing w:before="86" w:line="219"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restart"/>
                  <w:tcBorders>
                    <w:bottom w:val="nil"/>
                  </w:tcBorders>
                  <w:vAlign w:val="top"/>
                </w:tcPr>
                <w:p>
                  <w:pPr>
                    <w:spacing w:line="322" w:lineRule="auto"/>
                    <w:rPr>
                      <w:rFonts w:ascii="Arial"/>
                      <w:sz w:val="21"/>
                    </w:rPr>
                  </w:pPr>
                </w:p>
                <w:p>
                  <w:pPr>
                    <w:spacing w:line="323" w:lineRule="auto"/>
                    <w:rPr>
                      <w:rFonts w:ascii="Arial"/>
                      <w:sz w:val="21"/>
                    </w:rPr>
                  </w:pPr>
                </w:p>
                <w:p>
                  <w:pPr>
                    <w:pStyle w:val="6"/>
                    <w:spacing w:before="68" w:line="231" w:lineRule="auto"/>
                    <w:ind w:left="535" w:right="208" w:hanging="313"/>
                    <w:rPr>
                      <w:sz w:val="21"/>
                      <w:szCs w:val="21"/>
                    </w:rPr>
                  </w:pPr>
                  <w:r>
                    <w:rPr>
                      <w:spacing w:val="-2"/>
                      <w:sz w:val="21"/>
                      <w:szCs w:val="21"/>
                    </w:rPr>
                    <w:t>井场内堆</w:t>
                  </w:r>
                  <w:r>
                    <w:rPr>
                      <w:spacing w:val="1"/>
                      <w:sz w:val="21"/>
                      <w:szCs w:val="21"/>
                    </w:rPr>
                    <w:t xml:space="preserve"> </w:t>
                  </w:r>
                  <w:r>
                    <w:rPr>
                      <w:sz w:val="21"/>
                      <w:szCs w:val="21"/>
                    </w:rPr>
                    <w:t>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0" w:line="223" w:lineRule="auto"/>
                    <w:ind w:left="534"/>
                    <w:rPr>
                      <w:sz w:val="21"/>
                      <w:szCs w:val="21"/>
                    </w:rPr>
                  </w:pPr>
                  <w:r>
                    <w:rPr>
                      <w:sz w:val="21"/>
                      <w:szCs w:val="21"/>
                    </w:rPr>
                    <w:t>砖</w:t>
                  </w:r>
                </w:p>
              </w:tc>
              <w:tc>
                <w:tcPr>
                  <w:tcW w:w="2687" w:type="dxa"/>
                  <w:vAlign w:val="top"/>
                </w:tcPr>
                <w:p>
                  <w:pPr>
                    <w:spacing w:before="85" w:line="222"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8" w:line="239"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9"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846</w:t>
                  </w:r>
                </w:p>
              </w:tc>
              <w:tc>
                <w:tcPr>
                  <w:tcW w:w="844" w:type="dxa"/>
                  <w:vAlign w:val="top"/>
                </w:tcPr>
                <w:p>
                  <w:pPr>
                    <w:spacing w:before="85" w:line="222"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48" w:line="221" w:lineRule="auto"/>
                    <w:ind w:left="434"/>
                    <w:rPr>
                      <w:sz w:val="21"/>
                      <w:szCs w:val="21"/>
                    </w:rPr>
                  </w:pPr>
                  <w:r>
                    <w:rPr>
                      <w:spacing w:val="-3"/>
                      <w:sz w:val="21"/>
                      <w:szCs w:val="21"/>
                    </w:rPr>
                    <w:t>片石</w:t>
                  </w:r>
                </w:p>
              </w:tc>
              <w:tc>
                <w:tcPr>
                  <w:tcW w:w="2687" w:type="dxa"/>
                  <w:vAlign w:val="top"/>
                </w:tcPr>
                <w:p>
                  <w:pPr>
                    <w:spacing w:before="83" w:line="221"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6" w:line="238"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2</w:t>
                  </w:r>
                </w:p>
              </w:tc>
              <w:tc>
                <w:tcPr>
                  <w:tcW w:w="849" w:type="dxa"/>
                  <w:vAlign w:val="top"/>
                </w:tcPr>
                <w:p>
                  <w:pPr>
                    <w:spacing w:before="87"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1065</w:t>
                  </w:r>
                </w:p>
              </w:tc>
              <w:tc>
                <w:tcPr>
                  <w:tcW w:w="844" w:type="dxa"/>
                  <w:vAlign w:val="top"/>
                </w:tcPr>
                <w:p>
                  <w:pPr>
                    <w:spacing w:before="83" w:line="221"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48" w:line="223" w:lineRule="auto"/>
                    <w:ind w:left="322"/>
                    <w:rPr>
                      <w:sz w:val="21"/>
                      <w:szCs w:val="21"/>
                    </w:rPr>
                  </w:pPr>
                  <w:r>
                    <w:rPr>
                      <w:spacing w:val="-1"/>
                      <w:sz w:val="21"/>
                      <w:szCs w:val="21"/>
                    </w:rPr>
                    <w:t>砂砾石</w:t>
                  </w:r>
                </w:p>
              </w:tc>
              <w:tc>
                <w:tcPr>
                  <w:tcW w:w="2687" w:type="dxa"/>
                  <w:vAlign w:val="top"/>
                </w:tcPr>
                <w:p>
                  <w:pPr>
                    <w:spacing w:before="84" w:line="221"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6" w:line="239"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2</w:t>
                  </w:r>
                </w:p>
              </w:tc>
              <w:tc>
                <w:tcPr>
                  <w:tcW w:w="849" w:type="dxa"/>
                  <w:vAlign w:val="top"/>
                </w:tcPr>
                <w:p>
                  <w:pPr>
                    <w:spacing w:before="87"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7630</w:t>
                  </w:r>
                </w:p>
              </w:tc>
              <w:tc>
                <w:tcPr>
                  <w:tcW w:w="844" w:type="dxa"/>
                  <w:vAlign w:val="top"/>
                </w:tcPr>
                <w:p>
                  <w:pPr>
                    <w:spacing w:before="84" w:line="221"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48" w:line="227" w:lineRule="auto"/>
                    <w:ind w:left="533"/>
                    <w:rPr>
                      <w:sz w:val="21"/>
                      <w:szCs w:val="21"/>
                    </w:rPr>
                  </w:pPr>
                  <w:r>
                    <w:rPr>
                      <w:sz w:val="21"/>
                      <w:szCs w:val="21"/>
                    </w:rPr>
                    <w:t>砼</w:t>
                  </w:r>
                </w:p>
              </w:tc>
              <w:tc>
                <w:tcPr>
                  <w:tcW w:w="2687" w:type="dxa"/>
                  <w:vAlign w:val="top"/>
                </w:tcPr>
                <w:p>
                  <w:pPr>
                    <w:spacing w:before="83" w:line="222"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6" w:line="239"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2</w:t>
                  </w:r>
                </w:p>
              </w:tc>
              <w:tc>
                <w:tcPr>
                  <w:tcW w:w="849" w:type="dxa"/>
                  <w:vAlign w:val="top"/>
                </w:tcPr>
                <w:p>
                  <w:pPr>
                    <w:spacing w:before="8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5460</w:t>
                  </w:r>
                </w:p>
              </w:tc>
              <w:tc>
                <w:tcPr>
                  <w:tcW w:w="844" w:type="dxa"/>
                  <w:vAlign w:val="top"/>
                </w:tcPr>
                <w:p>
                  <w:pPr>
                    <w:spacing w:before="83" w:line="222"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tcBorders>
                  <w:vAlign w:val="top"/>
                </w:tcPr>
                <w:p>
                  <w:pPr>
                    <w:rPr>
                      <w:rFonts w:ascii="Arial"/>
                      <w:sz w:val="21"/>
                    </w:rPr>
                  </w:pPr>
                </w:p>
              </w:tc>
              <w:tc>
                <w:tcPr>
                  <w:tcW w:w="1271" w:type="dxa"/>
                  <w:vAlign w:val="top"/>
                </w:tcPr>
                <w:p>
                  <w:pPr>
                    <w:pStyle w:val="6"/>
                    <w:spacing w:before="50" w:line="220" w:lineRule="auto"/>
                    <w:ind w:left="427"/>
                    <w:rPr>
                      <w:sz w:val="21"/>
                      <w:szCs w:val="21"/>
                    </w:rPr>
                  </w:pPr>
                  <w:r>
                    <w:rPr>
                      <w:spacing w:val="-2"/>
                      <w:sz w:val="21"/>
                      <w:szCs w:val="21"/>
                    </w:rPr>
                    <w:t>钢材</w:t>
                  </w:r>
                </w:p>
              </w:tc>
              <w:tc>
                <w:tcPr>
                  <w:tcW w:w="2687" w:type="dxa"/>
                  <w:vAlign w:val="top"/>
                </w:tcPr>
                <w:p>
                  <w:pPr>
                    <w:spacing w:before="85" w:line="219"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85" w:line="219"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before="8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844" w:type="dxa"/>
                  <w:vAlign w:val="top"/>
                </w:tcPr>
                <w:p>
                  <w:pPr>
                    <w:spacing w:before="85" w:line="219"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39"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9" w:line="222" w:lineRule="auto"/>
                    <w:ind w:left="222"/>
                    <w:rPr>
                      <w:sz w:val="21"/>
                      <w:szCs w:val="21"/>
                    </w:rPr>
                  </w:pPr>
                  <w:r>
                    <w:rPr>
                      <w:spacing w:val="-4"/>
                      <w:sz w:val="21"/>
                      <w:szCs w:val="21"/>
                    </w:rPr>
                    <w:t>能源</w:t>
                  </w:r>
                </w:p>
              </w:tc>
              <w:tc>
                <w:tcPr>
                  <w:tcW w:w="1271" w:type="dxa"/>
                  <w:vAlign w:val="top"/>
                </w:tcPr>
                <w:p>
                  <w:pPr>
                    <w:pStyle w:val="6"/>
                    <w:spacing w:before="167" w:line="226" w:lineRule="auto"/>
                    <w:ind w:left="559"/>
                    <w:rPr>
                      <w:sz w:val="21"/>
                      <w:szCs w:val="21"/>
                    </w:rPr>
                  </w:pPr>
                  <w:r>
                    <w:rPr>
                      <w:sz w:val="21"/>
                      <w:szCs w:val="21"/>
                    </w:rPr>
                    <w:t>电</w:t>
                  </w:r>
                </w:p>
              </w:tc>
              <w:tc>
                <w:tcPr>
                  <w:tcW w:w="2687" w:type="dxa"/>
                  <w:vAlign w:val="top"/>
                </w:tcPr>
                <w:p>
                  <w:pPr>
                    <w:spacing w:before="202" w:line="233"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pStyle w:val="6"/>
                    <w:spacing w:before="30" w:line="221" w:lineRule="auto"/>
                    <w:ind w:left="333"/>
                    <w:rPr>
                      <w:sz w:val="21"/>
                      <w:szCs w:val="21"/>
                    </w:rPr>
                  </w:pPr>
                  <w:r>
                    <w:rPr>
                      <w:sz w:val="21"/>
                      <w:szCs w:val="21"/>
                    </w:rPr>
                    <w:t>万</w:t>
                  </w:r>
                </w:p>
                <w:p>
                  <w:pPr>
                    <w:pStyle w:val="6"/>
                    <w:spacing w:before="23" w:line="207" w:lineRule="auto"/>
                    <w:ind w:left="118"/>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r>
                    <w:rPr>
                      <w:sz w:val="21"/>
                      <w:szCs w:val="21"/>
                    </w:rPr>
                    <w:t>·</w:t>
                  </w:r>
                  <w:r>
                    <w:rPr>
                      <w:rFonts w:ascii="Times New Roman" w:hAnsi="Times New Roman" w:eastAsia="Times New Roman" w:cs="Times New Roman"/>
                      <w:sz w:val="21"/>
                      <w:szCs w:val="21"/>
                    </w:rPr>
                    <w:t>h</w:t>
                  </w:r>
                </w:p>
              </w:tc>
              <w:tc>
                <w:tcPr>
                  <w:tcW w:w="849" w:type="dxa"/>
                  <w:vAlign w:val="top"/>
                </w:tcPr>
                <w:p>
                  <w:pPr>
                    <w:spacing w:before="2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w:t>
                  </w:r>
                </w:p>
              </w:tc>
              <w:tc>
                <w:tcPr>
                  <w:tcW w:w="844" w:type="dxa"/>
                  <w:vAlign w:val="top"/>
                </w:tcPr>
                <w:p>
                  <w:pPr>
                    <w:spacing w:before="202"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Align w:val="top"/>
                </w:tcPr>
                <w:p>
                  <w:pPr>
                    <w:spacing w:before="202" w:line="233" w:lineRule="auto"/>
                    <w:ind w:left="60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289" w:line="221" w:lineRule="auto"/>
                    <w:jc w:val="right"/>
                    <w:rPr>
                      <w:sz w:val="21"/>
                      <w:szCs w:val="21"/>
                    </w:rPr>
                  </w:pPr>
                  <w:r>
                    <w:rPr>
                      <w:spacing w:val="-20"/>
                      <w:sz w:val="21"/>
                      <w:szCs w:val="21"/>
                    </w:rPr>
                    <w:t>柴油（备用）</w:t>
                  </w:r>
                </w:p>
              </w:tc>
              <w:tc>
                <w:tcPr>
                  <w:tcW w:w="2687" w:type="dxa"/>
                  <w:vAlign w:val="top"/>
                </w:tcPr>
                <w:p>
                  <w:pPr>
                    <w:spacing w:line="262" w:lineRule="auto"/>
                    <w:rPr>
                      <w:rFonts w:ascii="Arial"/>
                      <w:sz w:val="21"/>
                    </w:rPr>
                  </w:pPr>
                </w:p>
                <w:p>
                  <w:pPr>
                    <w:spacing w:before="60" w:line="233"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line="262" w:lineRule="auto"/>
                    <w:rPr>
                      <w:rFonts w:ascii="Arial"/>
                      <w:sz w:val="21"/>
                    </w:rPr>
                  </w:pPr>
                </w:p>
                <w:p>
                  <w:pPr>
                    <w:spacing w:before="60" w:line="234"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line="265" w:lineRule="auto"/>
                    <w:rPr>
                      <w:rFonts w:ascii="Arial"/>
                      <w:sz w:val="21"/>
                    </w:rPr>
                  </w:pPr>
                </w:p>
                <w:p>
                  <w:pPr>
                    <w:spacing w:before="6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44" w:type="dxa"/>
                  <w:vAlign w:val="top"/>
                </w:tcPr>
                <w:p>
                  <w:pPr>
                    <w:spacing w:line="265" w:lineRule="auto"/>
                    <w:rPr>
                      <w:rFonts w:ascii="Arial"/>
                      <w:sz w:val="21"/>
                    </w:rPr>
                  </w:pPr>
                </w:p>
                <w:p>
                  <w:pPr>
                    <w:spacing w:before="60"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1270" w:type="dxa"/>
                  <w:vAlign w:val="top"/>
                </w:tcPr>
                <w:p>
                  <w:pPr>
                    <w:pStyle w:val="6"/>
                    <w:spacing w:before="30" w:line="229" w:lineRule="auto"/>
                    <w:ind w:left="327" w:right="150" w:hanging="209"/>
                    <w:rPr>
                      <w:rFonts w:ascii="Times New Roman" w:hAnsi="Times New Roman" w:eastAsia="Times New Roman" w:cs="Times New Roman"/>
                      <w:sz w:val="13"/>
                      <w:szCs w:val="13"/>
                    </w:rPr>
                  </w:pPr>
                  <w:r>
                    <w:rPr>
                      <w:spacing w:val="-11"/>
                      <w:sz w:val="21"/>
                      <w:szCs w:val="21"/>
                    </w:rPr>
                    <w:t>柴油罐区，</w:t>
                  </w:r>
                  <w:r>
                    <w:rPr>
                      <w:sz w:val="21"/>
                      <w:szCs w:val="21"/>
                    </w:rPr>
                    <w:t xml:space="preserve"> </w:t>
                  </w:r>
                  <w:r>
                    <w:rPr>
                      <w:spacing w:val="-3"/>
                      <w:sz w:val="21"/>
                      <w:szCs w:val="21"/>
                    </w:rPr>
                    <w:t>容积为</w:t>
                  </w:r>
                  <w:r>
                    <w:rPr>
                      <w:sz w:val="21"/>
                      <w:szCs w:val="21"/>
                    </w:rPr>
                    <w:t xml:space="preserve">  </w:t>
                  </w:r>
                  <w:r>
                    <w:rPr>
                      <w:rFonts w:ascii="Times New Roman" w:hAnsi="Times New Roman" w:eastAsia="Times New Roman" w:cs="Times New Roman"/>
                      <w:spacing w:val="22"/>
                      <w:sz w:val="21"/>
                      <w:szCs w:val="21"/>
                    </w:rPr>
                    <w:t>40m</w:t>
                  </w:r>
                  <w:r>
                    <w:rPr>
                      <w:rFonts w:ascii="Times New Roman" w:hAnsi="Times New Roman" w:eastAsia="Times New Roman" w:cs="Times New Roman"/>
                      <w:spacing w:val="22"/>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9" w:type="dxa"/>
                  <w:vMerge w:val="continue"/>
                  <w:tcBorders>
                    <w:top w:val="nil"/>
                  </w:tcBorders>
                  <w:vAlign w:val="top"/>
                </w:tcPr>
                <w:p>
                  <w:pPr>
                    <w:rPr>
                      <w:rFonts w:ascii="Arial"/>
                      <w:sz w:val="21"/>
                    </w:rPr>
                  </w:pPr>
                </w:p>
              </w:tc>
              <w:tc>
                <w:tcPr>
                  <w:tcW w:w="1271" w:type="dxa"/>
                  <w:vAlign w:val="top"/>
                </w:tcPr>
                <w:p>
                  <w:pPr>
                    <w:pStyle w:val="6"/>
                    <w:spacing w:before="165" w:line="221" w:lineRule="auto"/>
                    <w:ind w:left="537"/>
                    <w:rPr>
                      <w:sz w:val="21"/>
                      <w:szCs w:val="21"/>
                    </w:rPr>
                  </w:pPr>
                  <w:r>
                    <w:rPr>
                      <w:sz w:val="21"/>
                      <w:szCs w:val="21"/>
                    </w:rPr>
                    <w:t>水</w:t>
                  </w:r>
                </w:p>
              </w:tc>
              <w:tc>
                <w:tcPr>
                  <w:tcW w:w="2687" w:type="dxa"/>
                  <w:vAlign w:val="top"/>
                </w:tcPr>
                <w:p>
                  <w:pPr>
                    <w:spacing w:before="201" w:line="233"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84" w:line="254"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before="204"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962.14</w:t>
                  </w:r>
                </w:p>
              </w:tc>
              <w:tc>
                <w:tcPr>
                  <w:tcW w:w="844" w:type="dxa"/>
                  <w:vAlign w:val="top"/>
                </w:tcPr>
                <w:p>
                  <w:pPr>
                    <w:spacing w:before="201"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Align w:val="top"/>
                </w:tcPr>
                <w:p>
                  <w:pPr>
                    <w:pStyle w:val="6"/>
                    <w:spacing w:before="29" w:line="224" w:lineRule="auto"/>
                    <w:ind w:left="327" w:right="208" w:hanging="103"/>
                    <w:rPr>
                      <w:sz w:val="21"/>
                      <w:szCs w:val="21"/>
                    </w:rPr>
                  </w:pPr>
                  <w:r>
                    <w:rPr>
                      <w:spacing w:val="-2"/>
                      <w:sz w:val="21"/>
                      <w:szCs w:val="21"/>
                    </w:rPr>
                    <w:t>罐车拉运</w:t>
                  </w:r>
                  <w:r>
                    <w:rPr>
                      <w:sz w:val="21"/>
                      <w:szCs w:val="21"/>
                    </w:rPr>
                    <w:t xml:space="preserve"> </w:t>
                  </w:r>
                  <w:r>
                    <w:rPr>
                      <w:spacing w:val="-2"/>
                      <w:sz w:val="21"/>
                      <w:szCs w:val="21"/>
                    </w:rPr>
                    <w:t>至场地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39"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8" w:line="234" w:lineRule="auto"/>
                    <w:ind w:left="118" w:right="123" w:firstLine="95"/>
                    <w:jc w:val="both"/>
                    <w:rPr>
                      <w:sz w:val="21"/>
                      <w:szCs w:val="21"/>
                    </w:rPr>
                  </w:pPr>
                  <w:r>
                    <w:rPr>
                      <w:spacing w:val="-4"/>
                      <w:sz w:val="21"/>
                      <w:szCs w:val="21"/>
                    </w:rPr>
                    <w:t xml:space="preserve">钻井 </w:t>
                  </w:r>
                  <w:r>
                    <w:rPr>
                      <w:spacing w:val="-13"/>
                      <w:sz w:val="21"/>
                      <w:szCs w:val="21"/>
                    </w:rPr>
                    <w:t>工程、</w:t>
                  </w:r>
                  <w:r>
                    <w:rPr>
                      <w:sz w:val="21"/>
                      <w:szCs w:val="21"/>
                    </w:rPr>
                    <w:t xml:space="preserve"> </w:t>
                  </w:r>
                  <w:r>
                    <w:rPr>
                      <w:spacing w:val="44"/>
                      <w:sz w:val="21"/>
                      <w:szCs w:val="21"/>
                    </w:rPr>
                    <w:t>酸化</w:t>
                  </w:r>
                  <w:r>
                    <w:rPr>
                      <w:sz w:val="21"/>
                      <w:szCs w:val="21"/>
                    </w:rPr>
                    <w:t xml:space="preserve"> </w:t>
                  </w:r>
                  <w:r>
                    <w:rPr>
                      <w:spacing w:val="44"/>
                      <w:sz w:val="21"/>
                      <w:szCs w:val="21"/>
                    </w:rPr>
                    <w:t>完井</w:t>
                  </w:r>
                </w:p>
              </w:tc>
              <w:tc>
                <w:tcPr>
                  <w:tcW w:w="1271" w:type="dxa"/>
                  <w:vAlign w:val="top"/>
                </w:tcPr>
                <w:p>
                  <w:pPr>
                    <w:pStyle w:val="6"/>
                    <w:spacing w:before="303" w:line="221" w:lineRule="auto"/>
                    <w:ind w:left="428"/>
                    <w:rPr>
                      <w:sz w:val="21"/>
                      <w:szCs w:val="21"/>
                    </w:rPr>
                  </w:pPr>
                  <w:r>
                    <w:rPr>
                      <w:spacing w:val="-2"/>
                      <w:sz w:val="21"/>
                      <w:szCs w:val="21"/>
                    </w:rPr>
                    <w:t>钻头</w:t>
                  </w:r>
                </w:p>
              </w:tc>
              <w:tc>
                <w:tcPr>
                  <w:tcW w:w="2687" w:type="dxa"/>
                  <w:vAlign w:val="top"/>
                </w:tcPr>
                <w:p>
                  <w:pPr>
                    <w:pStyle w:val="6"/>
                    <w:spacing w:before="62" w:line="220" w:lineRule="auto"/>
                    <w:ind w:left="141" w:right="27"/>
                    <w:jc w:val="both"/>
                    <w:rPr>
                      <w:rFonts w:ascii="Times New Roman" w:hAnsi="Times New Roman" w:eastAsia="Times New Roman" w:cs="Times New Roman"/>
                      <w:sz w:val="21"/>
                      <w:szCs w:val="21"/>
                    </w:rPr>
                  </w:pPr>
                  <w:r>
                    <w:rPr>
                      <w:spacing w:val="-7"/>
                      <w:sz w:val="21"/>
                      <w:szCs w:val="21"/>
                    </w:rPr>
                    <w:t>Φ</w:t>
                  </w:r>
                  <w:r>
                    <w:rPr>
                      <w:rFonts w:ascii="Times New Roman" w:hAnsi="Times New Roman" w:eastAsia="Times New Roman" w:cs="Times New Roman"/>
                      <w:spacing w:val="-7"/>
                      <w:sz w:val="21"/>
                      <w:szCs w:val="21"/>
                    </w:rPr>
                    <w:t>914.40mm</w:t>
                  </w:r>
                  <w:r>
                    <w:rPr>
                      <w:spacing w:val="-7"/>
                      <w:sz w:val="21"/>
                      <w:szCs w:val="21"/>
                    </w:rPr>
                    <w:t>、Φ</w:t>
                  </w:r>
                  <w:r>
                    <w:rPr>
                      <w:rFonts w:ascii="Times New Roman" w:hAnsi="Times New Roman" w:eastAsia="Times New Roman" w:cs="Times New Roman"/>
                      <w:spacing w:val="-7"/>
                      <w:sz w:val="21"/>
                      <w:szCs w:val="21"/>
                    </w:rPr>
                    <w:t>660.40mm</w:t>
                  </w:r>
                  <w:r>
                    <w:rPr>
                      <w:spacing w:val="-7"/>
                      <w:sz w:val="21"/>
                      <w:szCs w:val="21"/>
                    </w:rPr>
                    <w:t>、</w:t>
                  </w:r>
                  <w:r>
                    <w:rPr>
                      <w:spacing w:val="3"/>
                      <w:sz w:val="21"/>
                      <w:szCs w:val="21"/>
                    </w:rPr>
                    <w:t xml:space="preserve"> </w:t>
                  </w:r>
                  <w:r>
                    <w:rPr>
                      <w:spacing w:val="-7"/>
                      <w:sz w:val="21"/>
                      <w:szCs w:val="21"/>
                    </w:rPr>
                    <w:t>Φ</w:t>
                  </w:r>
                  <w:r>
                    <w:rPr>
                      <w:rFonts w:ascii="Times New Roman" w:hAnsi="Times New Roman" w:eastAsia="Times New Roman" w:cs="Times New Roman"/>
                      <w:spacing w:val="-7"/>
                      <w:sz w:val="21"/>
                      <w:szCs w:val="21"/>
                    </w:rPr>
                    <w:t>455.00mm</w:t>
                  </w:r>
                  <w:r>
                    <w:rPr>
                      <w:spacing w:val="-7"/>
                      <w:sz w:val="21"/>
                      <w:szCs w:val="21"/>
                    </w:rPr>
                    <w:t>、Φ</w:t>
                  </w:r>
                  <w:r>
                    <w:rPr>
                      <w:rFonts w:ascii="Times New Roman" w:hAnsi="Times New Roman" w:eastAsia="Times New Roman" w:cs="Times New Roman"/>
                      <w:spacing w:val="-7"/>
                      <w:sz w:val="21"/>
                      <w:szCs w:val="21"/>
                    </w:rPr>
                    <w:t>333.40mm</w:t>
                  </w:r>
                  <w:r>
                    <w:rPr>
                      <w:spacing w:val="-7"/>
                      <w:sz w:val="21"/>
                      <w:szCs w:val="21"/>
                    </w:rPr>
                    <w:t>、</w:t>
                  </w:r>
                  <w:r>
                    <w:rPr>
                      <w:spacing w:val="3"/>
                      <w:sz w:val="21"/>
                      <w:szCs w:val="21"/>
                    </w:rPr>
                    <w:t xml:space="preserve"> </w:t>
                  </w:r>
                  <w:r>
                    <w:rPr>
                      <w:spacing w:val="-4"/>
                      <w:sz w:val="21"/>
                      <w:szCs w:val="21"/>
                    </w:rPr>
                    <w:t>Φ</w:t>
                  </w:r>
                  <w:r>
                    <w:rPr>
                      <w:rFonts w:ascii="Times New Roman" w:hAnsi="Times New Roman" w:eastAsia="Times New Roman" w:cs="Times New Roman"/>
                      <w:spacing w:val="-4"/>
                      <w:sz w:val="21"/>
                      <w:szCs w:val="21"/>
                    </w:rPr>
                    <w:t>241.30mm</w:t>
                  </w:r>
                  <w:r>
                    <w:rPr>
                      <w:rFonts w:ascii="Times New Roman" w:hAnsi="Times New Roman" w:eastAsia="Times New Roman" w:cs="Times New Roman"/>
                      <w:spacing w:val="-23"/>
                      <w:sz w:val="21"/>
                      <w:szCs w:val="21"/>
                    </w:rPr>
                    <w:t xml:space="preserve"> </w:t>
                  </w:r>
                  <w:r>
                    <w:rPr>
                      <w:spacing w:val="-4"/>
                      <w:sz w:val="21"/>
                      <w:szCs w:val="21"/>
                    </w:rPr>
                    <w:t>、</w:t>
                  </w:r>
                  <w:r>
                    <w:rPr>
                      <w:spacing w:val="-73"/>
                      <w:sz w:val="21"/>
                      <w:szCs w:val="21"/>
                    </w:rPr>
                    <w:t xml:space="preserve"> </w:t>
                  </w:r>
                  <w:r>
                    <w:rPr>
                      <w:spacing w:val="-4"/>
                      <w:sz w:val="21"/>
                      <w:szCs w:val="21"/>
                    </w:rPr>
                    <w:t>Φ</w:t>
                  </w:r>
                  <w:r>
                    <w:rPr>
                      <w:rFonts w:ascii="Times New Roman" w:hAnsi="Times New Roman" w:eastAsia="Times New Roman" w:cs="Times New Roman"/>
                      <w:spacing w:val="-4"/>
                      <w:sz w:val="21"/>
                      <w:szCs w:val="21"/>
                    </w:rPr>
                    <w:t>190.50mm</w:t>
                  </w:r>
                </w:p>
              </w:tc>
              <w:tc>
                <w:tcPr>
                  <w:tcW w:w="852" w:type="dxa"/>
                  <w:vAlign w:val="top"/>
                </w:tcPr>
                <w:p>
                  <w:pPr>
                    <w:pStyle w:val="6"/>
                    <w:spacing w:before="304" w:line="223" w:lineRule="auto"/>
                    <w:ind w:left="341"/>
                    <w:rPr>
                      <w:sz w:val="21"/>
                      <w:szCs w:val="21"/>
                    </w:rPr>
                  </w:pPr>
                  <w:r>
                    <w:rPr>
                      <w:sz w:val="21"/>
                      <w:szCs w:val="21"/>
                    </w:rPr>
                    <w:t>只</w:t>
                  </w:r>
                </w:p>
              </w:tc>
              <w:tc>
                <w:tcPr>
                  <w:tcW w:w="849" w:type="dxa"/>
                  <w:vAlign w:val="top"/>
                </w:tcPr>
                <w:p>
                  <w:pPr>
                    <w:spacing w:line="280" w:lineRule="auto"/>
                    <w:rPr>
                      <w:rFonts w:ascii="Arial"/>
                      <w:sz w:val="21"/>
                    </w:rPr>
                  </w:pPr>
                </w:p>
                <w:p>
                  <w:pPr>
                    <w:spacing w:before="60"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44" w:type="dxa"/>
                  <w:vAlign w:val="top"/>
                </w:tcPr>
                <w:p>
                  <w:pPr>
                    <w:spacing w:line="276" w:lineRule="auto"/>
                    <w:rPr>
                      <w:rFonts w:ascii="Arial"/>
                      <w:sz w:val="21"/>
                    </w:rPr>
                  </w:pPr>
                </w:p>
                <w:p>
                  <w:pPr>
                    <w:spacing w:before="61"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restart"/>
                  <w:tcBorders>
                    <w:bottom w:val="nil"/>
                  </w:tcBorders>
                  <w:vAlign w:val="top"/>
                </w:tcPr>
                <w:p>
                  <w:pPr>
                    <w:spacing w:line="321" w:lineRule="auto"/>
                    <w:rPr>
                      <w:rFonts w:ascii="Arial"/>
                      <w:sz w:val="21"/>
                    </w:rPr>
                  </w:pPr>
                </w:p>
                <w:p>
                  <w:pPr>
                    <w:spacing w:line="322" w:lineRule="auto"/>
                    <w:rPr>
                      <w:rFonts w:ascii="Arial"/>
                      <w:sz w:val="21"/>
                    </w:rPr>
                  </w:pPr>
                </w:p>
                <w:p>
                  <w:pPr>
                    <w:pStyle w:val="6"/>
                    <w:spacing w:before="68" w:line="231" w:lineRule="auto"/>
                    <w:ind w:left="535" w:right="208" w:hanging="313"/>
                    <w:rPr>
                      <w:sz w:val="21"/>
                      <w:szCs w:val="21"/>
                    </w:rPr>
                  </w:pPr>
                  <w:r>
                    <w:rPr>
                      <w:spacing w:val="-2"/>
                      <w:sz w:val="21"/>
                      <w:szCs w:val="21"/>
                    </w:rPr>
                    <w:t>材料区暂</w:t>
                  </w:r>
                  <w:r>
                    <w:rPr>
                      <w:spacing w:val="1"/>
                      <w:sz w:val="21"/>
                      <w:szCs w:val="21"/>
                    </w:rPr>
                    <w:t xml:space="preserve"> </w:t>
                  </w:r>
                  <w:r>
                    <w:rPr>
                      <w:sz w:val="21"/>
                      <w:szCs w:val="21"/>
                    </w:rPr>
                    <w:t>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39" w:type="dxa"/>
                  <w:vMerge w:val="continue"/>
                  <w:tcBorders>
                    <w:top w:val="nil"/>
                    <w:bottom w:val="nil"/>
                  </w:tcBorders>
                  <w:vAlign w:val="top"/>
                </w:tcPr>
                <w:p>
                  <w:pPr>
                    <w:rPr>
                      <w:rFonts w:ascii="Arial"/>
                      <w:sz w:val="21"/>
                    </w:rPr>
                  </w:pPr>
                </w:p>
              </w:tc>
              <w:tc>
                <w:tcPr>
                  <w:tcW w:w="1271" w:type="dxa"/>
                  <w:vAlign w:val="top"/>
                </w:tcPr>
                <w:p>
                  <w:pPr>
                    <w:spacing w:line="366" w:lineRule="auto"/>
                    <w:rPr>
                      <w:rFonts w:ascii="Arial"/>
                      <w:sz w:val="21"/>
                    </w:rPr>
                  </w:pPr>
                </w:p>
                <w:p>
                  <w:pPr>
                    <w:pStyle w:val="6"/>
                    <w:spacing w:before="69" w:line="221" w:lineRule="auto"/>
                    <w:ind w:left="429"/>
                    <w:rPr>
                      <w:sz w:val="21"/>
                      <w:szCs w:val="21"/>
                    </w:rPr>
                  </w:pPr>
                  <w:r>
                    <w:rPr>
                      <w:spacing w:val="-2"/>
                      <w:sz w:val="21"/>
                      <w:szCs w:val="21"/>
                    </w:rPr>
                    <w:t>套管</w:t>
                  </w:r>
                </w:p>
              </w:tc>
              <w:tc>
                <w:tcPr>
                  <w:tcW w:w="2687" w:type="dxa"/>
                  <w:vAlign w:val="top"/>
                </w:tcPr>
                <w:p>
                  <w:pPr>
                    <w:pStyle w:val="6"/>
                    <w:spacing w:before="60" w:line="225" w:lineRule="auto"/>
                    <w:ind w:left="133" w:right="115" w:firstLine="77"/>
                    <w:rPr>
                      <w:rFonts w:ascii="Times New Roman" w:hAnsi="Times New Roman" w:eastAsia="Times New Roman" w:cs="Times New Roman"/>
                      <w:sz w:val="21"/>
                      <w:szCs w:val="21"/>
                    </w:rPr>
                  </w:pPr>
                  <w:r>
                    <w:rPr>
                      <w:spacing w:val="-9"/>
                      <w:sz w:val="21"/>
                      <w:szCs w:val="21"/>
                    </w:rPr>
                    <w:t>Φ</w:t>
                  </w:r>
                  <w:r>
                    <w:rPr>
                      <w:rFonts w:ascii="Times New Roman" w:hAnsi="Times New Roman" w:eastAsia="Times New Roman" w:cs="Times New Roman"/>
                      <w:spacing w:val="-9"/>
                      <w:sz w:val="21"/>
                      <w:szCs w:val="21"/>
                    </w:rPr>
                    <w:t>720mm</w:t>
                  </w:r>
                  <w:r>
                    <w:rPr>
                      <w:spacing w:val="-9"/>
                      <w:sz w:val="21"/>
                      <w:szCs w:val="21"/>
                    </w:rPr>
                    <w:t>、</w:t>
                  </w:r>
                  <w:r>
                    <w:rPr>
                      <w:spacing w:val="-58"/>
                      <w:sz w:val="21"/>
                      <w:szCs w:val="21"/>
                    </w:rPr>
                    <w:t xml:space="preserve"> </w:t>
                  </w:r>
                  <w:r>
                    <w:rPr>
                      <w:spacing w:val="-9"/>
                      <w:sz w:val="21"/>
                      <w:szCs w:val="21"/>
                    </w:rPr>
                    <w:t>Φ</w:t>
                  </w:r>
                  <w:r>
                    <w:rPr>
                      <w:rFonts w:ascii="Times New Roman" w:hAnsi="Times New Roman" w:eastAsia="Times New Roman" w:cs="Times New Roman"/>
                      <w:spacing w:val="-9"/>
                      <w:sz w:val="21"/>
                      <w:szCs w:val="21"/>
                    </w:rPr>
                    <w:t>508mm</w:t>
                  </w:r>
                  <w:r>
                    <w:rPr>
                      <w:rFonts w:ascii="Times New Roman" w:hAnsi="Times New Roman" w:eastAsia="Times New Roman" w:cs="Times New Roman"/>
                      <w:spacing w:val="-30"/>
                      <w:sz w:val="21"/>
                      <w:szCs w:val="21"/>
                    </w:rPr>
                    <w:t xml:space="preserve"> </w:t>
                  </w:r>
                  <w:r>
                    <w:rPr>
                      <w:spacing w:val="-9"/>
                      <w:sz w:val="21"/>
                      <w:szCs w:val="21"/>
                    </w:rPr>
                    <w:t>、</w:t>
                  </w:r>
                  <w:r>
                    <w:rPr>
                      <w:spacing w:val="-73"/>
                      <w:sz w:val="21"/>
                      <w:szCs w:val="21"/>
                    </w:rPr>
                    <w:t xml:space="preserve"> </w:t>
                  </w:r>
                  <w:r>
                    <w:rPr>
                      <w:spacing w:val="-9"/>
                      <w:sz w:val="21"/>
                      <w:szCs w:val="21"/>
                    </w:rPr>
                    <w:t>Φ</w:t>
                  </w:r>
                  <w:r>
                    <w:rPr>
                      <w:sz w:val="21"/>
                      <w:szCs w:val="21"/>
                    </w:rPr>
                    <w:t xml:space="preserve"> </w:t>
                  </w:r>
                  <w:r>
                    <w:rPr>
                      <w:rFonts w:ascii="Times New Roman" w:hAnsi="Times New Roman" w:eastAsia="Times New Roman" w:cs="Times New Roman"/>
                      <w:spacing w:val="-4"/>
                      <w:sz w:val="21"/>
                      <w:szCs w:val="21"/>
                    </w:rPr>
                    <w:t>374.65mm</w:t>
                  </w:r>
                  <w:r>
                    <w:rPr>
                      <w:spacing w:val="-4"/>
                      <w:sz w:val="21"/>
                      <w:szCs w:val="21"/>
                    </w:rPr>
                    <w:t>、</w:t>
                  </w:r>
                  <w:r>
                    <w:rPr>
                      <w:spacing w:val="-57"/>
                      <w:sz w:val="21"/>
                      <w:szCs w:val="21"/>
                    </w:rPr>
                    <w:t xml:space="preserve"> </w:t>
                  </w:r>
                  <w:r>
                    <w:rPr>
                      <w:spacing w:val="-4"/>
                      <w:sz w:val="21"/>
                      <w:szCs w:val="21"/>
                    </w:rPr>
                    <w:t>Φ</w:t>
                  </w:r>
                  <w:r>
                    <w:rPr>
                      <w:rFonts w:ascii="Times New Roman" w:hAnsi="Times New Roman" w:eastAsia="Times New Roman" w:cs="Times New Roman"/>
                      <w:spacing w:val="-4"/>
                      <w:sz w:val="21"/>
                      <w:szCs w:val="21"/>
                    </w:rPr>
                    <w:t>365.13mm</w:t>
                  </w:r>
                  <w:r>
                    <w:rPr>
                      <w:rFonts w:ascii="Times New Roman" w:hAnsi="Times New Roman" w:eastAsia="Times New Roman" w:cs="Times New Roman"/>
                      <w:spacing w:val="-31"/>
                      <w:sz w:val="21"/>
                      <w:szCs w:val="21"/>
                    </w:rPr>
                    <w:t xml:space="preserve"> </w:t>
                  </w:r>
                  <w:r>
                    <w:rPr>
                      <w:spacing w:val="-4"/>
                      <w:sz w:val="21"/>
                      <w:szCs w:val="21"/>
                    </w:rPr>
                    <w:t>、</w:t>
                  </w:r>
                  <w:r>
                    <w:rPr>
                      <w:sz w:val="21"/>
                      <w:szCs w:val="21"/>
                    </w:rPr>
                    <w:t xml:space="preserve"> </w:t>
                  </w:r>
                  <w:r>
                    <w:rPr>
                      <w:spacing w:val="-2"/>
                      <w:sz w:val="21"/>
                      <w:szCs w:val="21"/>
                    </w:rPr>
                    <w:t>Φ</w:t>
                  </w:r>
                  <w:r>
                    <w:rPr>
                      <w:rFonts w:ascii="Times New Roman" w:hAnsi="Times New Roman" w:eastAsia="Times New Roman" w:cs="Times New Roman"/>
                      <w:spacing w:val="-2"/>
                      <w:sz w:val="21"/>
                      <w:szCs w:val="21"/>
                    </w:rPr>
                    <w:t>282.58mm</w:t>
                  </w:r>
                  <w:r>
                    <w:rPr>
                      <w:spacing w:val="-2"/>
                      <w:sz w:val="21"/>
                      <w:szCs w:val="21"/>
                    </w:rPr>
                    <w:t>Φ</w:t>
                  </w:r>
                  <w:r>
                    <w:rPr>
                      <w:rFonts w:ascii="Times New Roman" w:hAnsi="Times New Roman" w:eastAsia="Times New Roman" w:cs="Times New Roman"/>
                      <w:spacing w:val="-2"/>
                      <w:sz w:val="21"/>
                      <w:szCs w:val="21"/>
                    </w:rPr>
                    <w:t>219.08mm</w:t>
                  </w:r>
                  <w:r>
                    <w:rPr>
                      <w:rFonts w:ascii="Times New Roman" w:hAnsi="Times New Roman" w:eastAsia="Times New Roman" w:cs="Times New Roman"/>
                      <w:spacing w:val="-21"/>
                      <w:sz w:val="21"/>
                      <w:szCs w:val="21"/>
                    </w:rPr>
                    <w:t xml:space="preserve"> </w:t>
                  </w:r>
                  <w:r>
                    <w:rPr>
                      <w:spacing w:val="-2"/>
                      <w:sz w:val="21"/>
                      <w:szCs w:val="21"/>
                    </w:rPr>
                    <w:t>、</w:t>
                  </w:r>
                  <w:r>
                    <w:rPr>
                      <w:sz w:val="21"/>
                      <w:szCs w:val="21"/>
                    </w:rPr>
                    <w:t xml:space="preserve"> </w:t>
                  </w:r>
                  <w:r>
                    <w:rPr>
                      <w:spacing w:val="-4"/>
                      <w:sz w:val="21"/>
                      <w:szCs w:val="21"/>
                    </w:rPr>
                    <w:t>Φ</w:t>
                  </w:r>
                  <w:r>
                    <w:rPr>
                      <w:rFonts w:ascii="Times New Roman" w:hAnsi="Times New Roman" w:eastAsia="Times New Roman" w:cs="Times New Roman"/>
                      <w:spacing w:val="-4"/>
                      <w:sz w:val="21"/>
                      <w:szCs w:val="21"/>
                    </w:rPr>
                    <w:t>193.68mm</w:t>
                  </w:r>
                  <w:r>
                    <w:rPr>
                      <w:rFonts w:ascii="Times New Roman" w:hAnsi="Times New Roman" w:eastAsia="Times New Roman" w:cs="Times New Roman"/>
                      <w:spacing w:val="-15"/>
                      <w:sz w:val="21"/>
                      <w:szCs w:val="21"/>
                    </w:rPr>
                    <w:t xml:space="preserve"> </w:t>
                  </w:r>
                  <w:r>
                    <w:rPr>
                      <w:spacing w:val="-4"/>
                      <w:sz w:val="21"/>
                      <w:szCs w:val="21"/>
                    </w:rPr>
                    <w:t>、</w:t>
                  </w:r>
                  <w:r>
                    <w:rPr>
                      <w:spacing w:val="-73"/>
                      <w:sz w:val="21"/>
                      <w:szCs w:val="21"/>
                    </w:rPr>
                    <w:t xml:space="preserve"> </w:t>
                  </w:r>
                  <w:r>
                    <w:rPr>
                      <w:spacing w:val="-4"/>
                      <w:sz w:val="21"/>
                      <w:szCs w:val="21"/>
                    </w:rPr>
                    <w:t>Φ</w:t>
                  </w:r>
                  <w:r>
                    <w:rPr>
                      <w:rFonts w:ascii="Times New Roman" w:hAnsi="Times New Roman" w:eastAsia="Times New Roman" w:cs="Times New Roman"/>
                      <w:spacing w:val="-4"/>
                      <w:sz w:val="21"/>
                      <w:szCs w:val="21"/>
                    </w:rPr>
                    <w:t>168.28mm</w:t>
                  </w:r>
                </w:p>
              </w:tc>
              <w:tc>
                <w:tcPr>
                  <w:tcW w:w="852" w:type="dxa"/>
                  <w:vAlign w:val="top"/>
                </w:tcPr>
                <w:p>
                  <w:pPr>
                    <w:spacing w:line="410"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spacing w:line="410" w:lineRule="auto"/>
                    <w:rPr>
                      <w:rFonts w:ascii="Arial"/>
                      <w:sz w:val="21"/>
                    </w:rPr>
                  </w:pPr>
                </w:p>
                <w:p>
                  <w:pPr>
                    <w:spacing w:before="60"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4" w:type="dxa"/>
                  <w:vAlign w:val="top"/>
                </w:tcPr>
                <w:p>
                  <w:pPr>
                    <w:spacing w:line="410" w:lineRule="auto"/>
                    <w:rPr>
                      <w:rFonts w:ascii="Arial"/>
                      <w:sz w:val="21"/>
                    </w:rPr>
                  </w:pPr>
                </w:p>
                <w:p>
                  <w:pPr>
                    <w:spacing w:before="60"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166" w:line="221" w:lineRule="auto"/>
                    <w:ind w:left="238"/>
                    <w:rPr>
                      <w:sz w:val="21"/>
                      <w:szCs w:val="21"/>
                    </w:rPr>
                  </w:pPr>
                  <w:r>
                    <w:rPr>
                      <w:spacing w:val="-6"/>
                      <w:sz w:val="21"/>
                      <w:szCs w:val="21"/>
                    </w:rPr>
                    <w:t>固井水泥</w:t>
                  </w:r>
                </w:p>
              </w:tc>
              <w:tc>
                <w:tcPr>
                  <w:tcW w:w="2687" w:type="dxa"/>
                  <w:vAlign w:val="top"/>
                </w:tcPr>
                <w:p>
                  <w:pPr>
                    <w:spacing w:before="205" w:line="187" w:lineRule="auto"/>
                    <w:ind w:left="1274"/>
                    <w:rPr>
                      <w:rFonts w:ascii="Times New Roman" w:hAnsi="Times New Roman" w:eastAsia="Times New Roman" w:cs="Times New Roman"/>
                      <w:sz w:val="21"/>
                      <w:szCs w:val="21"/>
                    </w:rPr>
                  </w:pPr>
                  <w:r>
                    <w:rPr>
                      <w:rFonts w:ascii="Times New Roman" w:hAnsi="Times New Roman" w:eastAsia="Times New Roman" w:cs="Times New Roman"/>
                      <w:sz w:val="21"/>
                      <w:szCs w:val="21"/>
                    </w:rPr>
                    <w:t>G</w:t>
                  </w:r>
                </w:p>
              </w:tc>
              <w:tc>
                <w:tcPr>
                  <w:tcW w:w="852" w:type="dxa"/>
                  <w:vAlign w:val="top"/>
                </w:tcPr>
                <w:p>
                  <w:pPr>
                    <w:spacing w:before="202" w:line="234"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before="205"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844" w:type="dxa"/>
                  <w:vAlign w:val="top"/>
                </w:tcPr>
                <w:p>
                  <w:pPr>
                    <w:spacing w:before="20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270" w:type="dxa"/>
                  <w:vAlign w:val="top"/>
                </w:tcPr>
                <w:p>
                  <w:pPr>
                    <w:pStyle w:val="6"/>
                    <w:spacing w:before="30" w:line="224" w:lineRule="auto"/>
                    <w:ind w:left="535" w:right="208" w:hanging="313"/>
                    <w:rPr>
                      <w:sz w:val="21"/>
                      <w:szCs w:val="21"/>
                    </w:rPr>
                  </w:pPr>
                  <w:r>
                    <w:rPr>
                      <w:spacing w:val="-2"/>
                      <w:sz w:val="21"/>
                      <w:szCs w:val="21"/>
                    </w:rPr>
                    <w:t>材料区暂</w:t>
                  </w:r>
                  <w:r>
                    <w:rPr>
                      <w:spacing w:val="1"/>
                      <w:sz w:val="21"/>
                      <w:szCs w:val="21"/>
                    </w:rPr>
                    <w:t xml:space="preserve"> </w:t>
                  </w:r>
                  <w:r>
                    <w:rPr>
                      <w:sz w:val="21"/>
                      <w:szCs w:val="21"/>
                    </w:rPr>
                    <w:t>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29" w:line="224" w:lineRule="auto"/>
                    <w:ind w:left="428" w:right="106" w:hanging="306"/>
                    <w:rPr>
                      <w:sz w:val="21"/>
                      <w:szCs w:val="21"/>
                    </w:rPr>
                  </w:pPr>
                  <w:r>
                    <w:rPr>
                      <w:spacing w:val="-3"/>
                      <w:sz w:val="21"/>
                      <w:szCs w:val="21"/>
                    </w:rPr>
                    <w:t>聚合物强包</w:t>
                  </w:r>
                  <w:r>
                    <w:rPr>
                      <w:spacing w:val="1"/>
                      <w:sz w:val="21"/>
                      <w:szCs w:val="21"/>
                    </w:rPr>
                    <w:t xml:space="preserve"> </w:t>
                  </w:r>
                  <w:r>
                    <w:rPr>
                      <w:spacing w:val="-2"/>
                      <w:sz w:val="21"/>
                      <w:szCs w:val="21"/>
                    </w:rPr>
                    <w:t>被剂</w:t>
                  </w:r>
                </w:p>
              </w:tc>
              <w:tc>
                <w:tcPr>
                  <w:tcW w:w="2687" w:type="dxa"/>
                  <w:vAlign w:val="top"/>
                </w:tcPr>
                <w:p>
                  <w:pPr>
                    <w:spacing w:before="205" w:line="187" w:lineRule="auto"/>
                    <w:ind w:left="10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FA-367</w:t>
                  </w:r>
                </w:p>
              </w:tc>
              <w:tc>
                <w:tcPr>
                  <w:tcW w:w="852" w:type="dxa"/>
                  <w:vAlign w:val="top"/>
                </w:tcPr>
                <w:p>
                  <w:pPr>
                    <w:spacing w:before="184"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before="205"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w:t>
                  </w:r>
                </w:p>
              </w:tc>
              <w:tc>
                <w:tcPr>
                  <w:tcW w:w="844" w:type="dxa"/>
                  <w:vAlign w:val="top"/>
                </w:tcPr>
                <w:p>
                  <w:pPr>
                    <w:spacing w:before="205"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270"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238" w:lineRule="auto"/>
                    <w:ind w:left="118" w:right="105" w:firstLine="106"/>
                    <w:jc w:val="right"/>
                    <w:rPr>
                      <w:sz w:val="21"/>
                      <w:szCs w:val="21"/>
                    </w:rPr>
                  </w:pPr>
                  <w:r>
                    <w:rPr>
                      <w:spacing w:val="-3"/>
                      <w:sz w:val="21"/>
                      <w:szCs w:val="21"/>
                    </w:rPr>
                    <w:t>水基泥浆</w:t>
                  </w:r>
                  <w:r>
                    <w:rPr>
                      <w:spacing w:val="1"/>
                      <w:sz w:val="21"/>
                      <w:szCs w:val="21"/>
                    </w:rPr>
                    <w:t xml:space="preserve">  </w:t>
                  </w:r>
                  <w:r>
                    <w:rPr>
                      <w:spacing w:val="24"/>
                      <w:sz w:val="21"/>
                      <w:szCs w:val="21"/>
                    </w:rPr>
                    <w:t>原材料堆</w:t>
                  </w:r>
                  <w:r>
                    <w:rPr>
                      <w:sz w:val="21"/>
                      <w:szCs w:val="21"/>
                    </w:rPr>
                    <w:t xml:space="preserve">  </w:t>
                  </w:r>
                  <w:r>
                    <w:rPr>
                      <w:spacing w:val="24"/>
                      <w:sz w:val="21"/>
                      <w:szCs w:val="21"/>
                    </w:rPr>
                    <w:t>存于泥浆</w:t>
                  </w:r>
                  <w:r>
                    <w:rPr>
                      <w:sz w:val="21"/>
                      <w:szCs w:val="21"/>
                    </w:rPr>
                    <w:t xml:space="preserve">  </w:t>
                  </w:r>
                  <w:r>
                    <w:rPr>
                      <w:spacing w:val="24"/>
                      <w:sz w:val="21"/>
                      <w:szCs w:val="21"/>
                    </w:rPr>
                    <w:t>材料堆放</w:t>
                  </w:r>
                  <w:r>
                    <w:rPr>
                      <w:sz w:val="21"/>
                      <w:szCs w:val="21"/>
                    </w:rPr>
                    <w:t xml:space="preserve">  </w:t>
                  </w:r>
                  <w:r>
                    <w:rPr>
                      <w:spacing w:val="-2"/>
                      <w:sz w:val="21"/>
                      <w:szCs w:val="21"/>
                    </w:rPr>
                    <w:t>区，现场适</w:t>
                  </w:r>
                  <w:r>
                    <w:rPr>
                      <w:sz w:val="21"/>
                      <w:szCs w:val="21"/>
                    </w:rPr>
                    <w:t xml:space="preserve"> </w:t>
                  </w:r>
                  <w:r>
                    <w:rPr>
                      <w:spacing w:val="-2"/>
                      <w:sz w:val="21"/>
                      <w:szCs w:val="21"/>
                    </w:rPr>
                    <w:t>时调配，所</w:t>
                  </w:r>
                  <w:r>
                    <w:rPr>
                      <w:sz w:val="21"/>
                      <w:szCs w:val="21"/>
                    </w:rPr>
                    <w:t xml:space="preserve"> </w:t>
                  </w:r>
                  <w:r>
                    <w:rPr>
                      <w:spacing w:val="24"/>
                      <w:sz w:val="21"/>
                      <w:szCs w:val="21"/>
                    </w:rPr>
                    <w:t>需原辅料</w:t>
                  </w:r>
                  <w:r>
                    <w:rPr>
                      <w:sz w:val="21"/>
                      <w:szCs w:val="21"/>
                    </w:rPr>
                    <w:t xml:space="preserve">  </w:t>
                  </w:r>
                  <w:r>
                    <w:rPr>
                      <w:spacing w:val="24"/>
                      <w:sz w:val="21"/>
                      <w:szCs w:val="21"/>
                    </w:rPr>
                    <w:t>暂存于材</w:t>
                  </w:r>
                  <w:r>
                    <w:rPr>
                      <w:sz w:val="21"/>
                      <w:szCs w:val="21"/>
                    </w:rPr>
                    <w:t xml:space="preserve">  </w:t>
                  </w:r>
                  <w:r>
                    <w:rPr>
                      <w:spacing w:val="-2"/>
                      <w:sz w:val="21"/>
                      <w:szCs w:val="21"/>
                    </w:rPr>
                    <w:t>料区；油基</w:t>
                  </w:r>
                  <w:r>
                    <w:rPr>
                      <w:sz w:val="21"/>
                      <w:szCs w:val="21"/>
                    </w:rPr>
                    <w:t xml:space="preserve"> </w:t>
                  </w:r>
                  <w:r>
                    <w:rPr>
                      <w:spacing w:val="24"/>
                      <w:sz w:val="21"/>
                      <w:szCs w:val="21"/>
                    </w:rPr>
                    <w:t>泥浆开钻</w:t>
                  </w:r>
                  <w:r>
                    <w:rPr>
                      <w:sz w:val="21"/>
                      <w:szCs w:val="21"/>
                    </w:rPr>
                    <w:t xml:space="preserve">  </w:t>
                  </w:r>
                  <w:r>
                    <w:rPr>
                      <w:spacing w:val="24"/>
                      <w:sz w:val="21"/>
                      <w:szCs w:val="21"/>
                    </w:rPr>
                    <w:t>前成品拉</w:t>
                  </w:r>
                  <w:r>
                    <w:rPr>
                      <w:sz w:val="21"/>
                      <w:szCs w:val="21"/>
                    </w:rPr>
                    <w:t xml:space="preserve">  </w:t>
                  </w:r>
                  <w:r>
                    <w:rPr>
                      <w:spacing w:val="-2"/>
                      <w:sz w:val="21"/>
                      <w:szCs w:val="21"/>
                    </w:rPr>
                    <w:t>至现场，不</w:t>
                  </w:r>
                  <w:r>
                    <w:rPr>
                      <w:sz w:val="21"/>
                      <w:szCs w:val="21"/>
                    </w:rPr>
                    <w:t xml:space="preserve"> </w:t>
                  </w:r>
                  <w:r>
                    <w:rPr>
                      <w:spacing w:val="-1"/>
                      <w:sz w:val="21"/>
                      <w:szCs w:val="21"/>
                    </w:rPr>
                    <w:t>在现场配</w:t>
                  </w:r>
                </w:p>
                <w:p>
                  <w:pPr>
                    <w:pStyle w:val="6"/>
                    <w:spacing w:before="22" w:line="226" w:lineRule="auto"/>
                    <w:ind w:left="535"/>
                    <w:rPr>
                      <w:sz w:val="21"/>
                      <w:szCs w:val="21"/>
                    </w:rPr>
                  </w:pPr>
                  <w:r>
                    <w:rPr>
                      <w:sz w:val="21"/>
                      <w:szCs w:val="21"/>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29" w:line="224" w:lineRule="auto"/>
                    <w:ind w:left="428" w:right="106" w:hanging="306"/>
                    <w:rPr>
                      <w:sz w:val="21"/>
                      <w:szCs w:val="21"/>
                    </w:rPr>
                  </w:pPr>
                  <w:r>
                    <w:rPr>
                      <w:spacing w:val="-3"/>
                      <w:sz w:val="21"/>
                      <w:szCs w:val="21"/>
                    </w:rPr>
                    <w:t>聚丙烯酰胺</w:t>
                  </w:r>
                  <w:r>
                    <w:rPr>
                      <w:spacing w:val="1"/>
                      <w:sz w:val="21"/>
                      <w:szCs w:val="21"/>
                    </w:rPr>
                    <w:t xml:space="preserve"> </w:t>
                  </w:r>
                  <w:r>
                    <w:rPr>
                      <w:spacing w:val="-2"/>
                      <w:sz w:val="21"/>
                      <w:szCs w:val="21"/>
                    </w:rPr>
                    <w:t>钾盐</w:t>
                  </w:r>
                </w:p>
              </w:tc>
              <w:tc>
                <w:tcPr>
                  <w:tcW w:w="2687" w:type="dxa"/>
                  <w:vAlign w:val="top"/>
                </w:tcPr>
                <w:p>
                  <w:pPr>
                    <w:spacing w:before="205" w:line="187" w:lineRule="auto"/>
                    <w:ind w:left="105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KPAM</w:t>
                  </w:r>
                </w:p>
              </w:tc>
              <w:tc>
                <w:tcPr>
                  <w:tcW w:w="852" w:type="dxa"/>
                  <w:vAlign w:val="top"/>
                </w:tcPr>
                <w:p>
                  <w:pPr>
                    <w:spacing w:before="184"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before="205"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844" w:type="dxa"/>
                  <w:vAlign w:val="top"/>
                </w:tcPr>
                <w:p>
                  <w:pPr>
                    <w:spacing w:before="205"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2" w:line="220" w:lineRule="auto"/>
                    <w:ind w:left="127"/>
                    <w:rPr>
                      <w:sz w:val="21"/>
                      <w:szCs w:val="21"/>
                    </w:rPr>
                  </w:pPr>
                  <w:r>
                    <w:rPr>
                      <w:spacing w:val="-4"/>
                      <w:sz w:val="21"/>
                      <w:szCs w:val="21"/>
                    </w:rPr>
                    <w:t>防塌润滑剂</w:t>
                  </w:r>
                </w:p>
              </w:tc>
              <w:tc>
                <w:tcPr>
                  <w:tcW w:w="2687" w:type="dxa"/>
                  <w:vAlign w:val="top"/>
                </w:tcPr>
                <w:p>
                  <w:pPr>
                    <w:spacing w:before="94" w:line="184" w:lineRule="auto"/>
                    <w:ind w:left="11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FRH</w:t>
                  </w:r>
                </w:p>
              </w:tc>
              <w:tc>
                <w:tcPr>
                  <w:tcW w:w="852" w:type="dxa"/>
                  <w:vAlign w:val="top"/>
                </w:tcPr>
                <w:p>
                  <w:pPr>
                    <w:spacing w:before="70" w:line="234"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0"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80.4</w:t>
                  </w:r>
                </w:p>
              </w:tc>
              <w:tc>
                <w:tcPr>
                  <w:tcW w:w="844" w:type="dxa"/>
                  <w:vAlign w:val="top"/>
                </w:tcPr>
                <w:p>
                  <w:pPr>
                    <w:spacing w:before="9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2" w:line="220" w:lineRule="auto"/>
                    <w:ind w:left="220"/>
                    <w:rPr>
                      <w:sz w:val="21"/>
                      <w:szCs w:val="21"/>
                    </w:rPr>
                  </w:pPr>
                  <w:r>
                    <w:rPr>
                      <w:spacing w:val="-2"/>
                      <w:sz w:val="21"/>
                      <w:szCs w:val="21"/>
                    </w:rPr>
                    <w:t>氢氧化钠</w:t>
                  </w:r>
                </w:p>
              </w:tc>
              <w:tc>
                <w:tcPr>
                  <w:tcW w:w="2687" w:type="dxa"/>
                  <w:vAlign w:val="top"/>
                </w:tcPr>
                <w:p>
                  <w:pPr>
                    <w:spacing w:before="91" w:line="187" w:lineRule="auto"/>
                    <w:ind w:left="1067"/>
                    <w:rPr>
                      <w:rFonts w:ascii="Times New Roman" w:hAnsi="Times New Roman" w:eastAsia="Times New Roman" w:cs="Times New Roman"/>
                      <w:sz w:val="21"/>
                      <w:szCs w:val="21"/>
                    </w:rPr>
                  </w:pPr>
                  <w:r>
                    <w:rPr>
                      <w:rFonts w:ascii="Times New Roman" w:hAnsi="Times New Roman" w:eastAsia="Times New Roman" w:cs="Times New Roman"/>
                      <w:sz w:val="21"/>
                      <w:szCs w:val="21"/>
                    </w:rPr>
                    <w:t>NaOH</w:t>
                  </w:r>
                </w:p>
              </w:tc>
              <w:tc>
                <w:tcPr>
                  <w:tcW w:w="852" w:type="dxa"/>
                  <w:vAlign w:val="top"/>
                </w:tcPr>
                <w:p>
                  <w:pPr>
                    <w:spacing w:before="70" w:line="237"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1" w:line="187" w:lineRule="auto"/>
                    <w:ind w:left="379"/>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844" w:type="dxa"/>
                  <w:vAlign w:val="top"/>
                </w:tcPr>
                <w:p>
                  <w:pPr>
                    <w:spacing w:before="91"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1" w:line="223" w:lineRule="auto"/>
                    <w:ind w:left="431" w:right="106" w:hanging="309"/>
                    <w:rPr>
                      <w:sz w:val="21"/>
                      <w:szCs w:val="21"/>
                    </w:rPr>
                  </w:pPr>
                  <w:r>
                    <w:rPr>
                      <w:spacing w:val="-3"/>
                      <w:sz w:val="21"/>
                      <w:szCs w:val="21"/>
                    </w:rPr>
                    <w:t>聚阴离子纤</w:t>
                  </w:r>
                  <w:r>
                    <w:rPr>
                      <w:spacing w:val="1"/>
                      <w:sz w:val="21"/>
                      <w:szCs w:val="21"/>
                    </w:rPr>
                    <w:t xml:space="preserve"> </w:t>
                  </w:r>
                  <w:r>
                    <w:rPr>
                      <w:spacing w:val="-3"/>
                      <w:sz w:val="21"/>
                      <w:szCs w:val="21"/>
                    </w:rPr>
                    <w:t>维素</w:t>
                  </w:r>
                </w:p>
              </w:tc>
              <w:tc>
                <w:tcPr>
                  <w:tcW w:w="2687" w:type="dxa"/>
                  <w:vAlign w:val="top"/>
                </w:tcPr>
                <w:p>
                  <w:pPr>
                    <w:spacing w:before="206" w:line="187" w:lineRule="auto"/>
                    <w:ind w:left="98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PAC-LV</w:t>
                  </w:r>
                </w:p>
              </w:tc>
              <w:tc>
                <w:tcPr>
                  <w:tcW w:w="852" w:type="dxa"/>
                  <w:vAlign w:val="top"/>
                </w:tcPr>
                <w:p>
                  <w:pPr>
                    <w:spacing w:before="185"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before="206"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30.6</w:t>
                  </w:r>
                </w:p>
              </w:tc>
              <w:tc>
                <w:tcPr>
                  <w:tcW w:w="844" w:type="dxa"/>
                  <w:vAlign w:val="top"/>
                </w:tcPr>
                <w:p>
                  <w:pPr>
                    <w:spacing w:before="206"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0" w:line="220" w:lineRule="auto"/>
                    <w:ind w:left="127"/>
                    <w:rPr>
                      <w:sz w:val="21"/>
                      <w:szCs w:val="21"/>
                    </w:rPr>
                  </w:pPr>
                  <w:r>
                    <w:rPr>
                      <w:spacing w:val="-4"/>
                      <w:sz w:val="21"/>
                      <w:szCs w:val="21"/>
                    </w:rPr>
                    <w:t>防卡润滑剂</w:t>
                  </w:r>
                </w:p>
              </w:tc>
              <w:tc>
                <w:tcPr>
                  <w:tcW w:w="2687" w:type="dxa"/>
                  <w:vAlign w:val="top"/>
                </w:tcPr>
                <w:p>
                  <w:pPr>
                    <w:spacing w:before="89" w:line="187" w:lineRule="auto"/>
                    <w:ind w:left="107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FK-</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spacing w:val="-3"/>
                      <w:sz w:val="21"/>
                      <w:szCs w:val="21"/>
                    </w:rPr>
                    <w:t>10</w:t>
                  </w:r>
                </w:p>
              </w:tc>
              <w:tc>
                <w:tcPr>
                  <w:tcW w:w="852" w:type="dxa"/>
                  <w:vAlign w:val="top"/>
                </w:tcPr>
                <w:p>
                  <w:pPr>
                    <w:spacing w:before="68" w:line="237"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9"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844" w:type="dxa"/>
                  <w:vAlign w:val="top"/>
                </w:tcPr>
                <w:p>
                  <w:pPr>
                    <w:spacing w:before="89"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0" w:line="221" w:lineRule="auto"/>
                    <w:ind w:left="326"/>
                    <w:rPr>
                      <w:sz w:val="21"/>
                      <w:szCs w:val="21"/>
                    </w:rPr>
                  </w:pPr>
                  <w:r>
                    <w:rPr>
                      <w:spacing w:val="-2"/>
                      <w:sz w:val="21"/>
                      <w:szCs w:val="21"/>
                    </w:rPr>
                    <w:t>氯化钾</w:t>
                  </w:r>
                </w:p>
              </w:tc>
              <w:tc>
                <w:tcPr>
                  <w:tcW w:w="2687" w:type="dxa"/>
                  <w:vAlign w:val="top"/>
                </w:tcPr>
                <w:p>
                  <w:pPr>
                    <w:spacing w:before="86" w:line="190" w:lineRule="auto"/>
                    <w:ind w:left="1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KCl</w:t>
                  </w:r>
                </w:p>
              </w:tc>
              <w:tc>
                <w:tcPr>
                  <w:tcW w:w="852" w:type="dxa"/>
                  <w:vAlign w:val="top"/>
                </w:tcPr>
                <w:p>
                  <w:pPr>
                    <w:spacing w:before="68" w:line="237"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9" w:line="187"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135.6</w:t>
                  </w:r>
                </w:p>
              </w:tc>
              <w:tc>
                <w:tcPr>
                  <w:tcW w:w="844" w:type="dxa"/>
                  <w:vAlign w:val="top"/>
                </w:tcPr>
                <w:p>
                  <w:pPr>
                    <w:spacing w:before="89"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2" w:line="221" w:lineRule="auto"/>
                    <w:ind w:left="323"/>
                    <w:rPr>
                      <w:sz w:val="21"/>
                      <w:szCs w:val="21"/>
                    </w:rPr>
                  </w:pPr>
                  <w:r>
                    <w:rPr>
                      <w:spacing w:val="-2"/>
                      <w:sz w:val="21"/>
                      <w:szCs w:val="21"/>
                    </w:rPr>
                    <w:t>膨润土</w:t>
                  </w:r>
                </w:p>
              </w:tc>
              <w:tc>
                <w:tcPr>
                  <w:tcW w:w="2687" w:type="dxa"/>
                  <w:vAlign w:val="top"/>
                </w:tcPr>
                <w:p>
                  <w:pPr>
                    <w:spacing w:before="87" w:line="218"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0" w:line="235"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1"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844" w:type="dxa"/>
                  <w:vAlign w:val="top"/>
                </w:tcPr>
                <w:p>
                  <w:pPr>
                    <w:spacing w:before="91"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2" w:line="223" w:lineRule="auto"/>
                    <w:ind w:left="431"/>
                    <w:rPr>
                      <w:sz w:val="21"/>
                      <w:szCs w:val="21"/>
                    </w:rPr>
                  </w:pPr>
                  <w:r>
                    <w:rPr>
                      <w:spacing w:val="-3"/>
                      <w:sz w:val="21"/>
                      <w:szCs w:val="21"/>
                    </w:rPr>
                    <w:t>纯碱</w:t>
                  </w:r>
                </w:p>
              </w:tc>
              <w:tc>
                <w:tcPr>
                  <w:tcW w:w="2687" w:type="dxa"/>
                  <w:vAlign w:val="top"/>
                </w:tcPr>
                <w:p>
                  <w:pPr>
                    <w:spacing w:before="91" w:line="196" w:lineRule="auto"/>
                    <w:ind w:left="1002"/>
                    <w:rPr>
                      <w:rFonts w:ascii="Times New Roman" w:hAnsi="Times New Roman" w:eastAsia="Times New Roman" w:cs="Times New Roman"/>
                      <w:sz w:val="13"/>
                      <w:szCs w:val="13"/>
                    </w:rPr>
                  </w:pPr>
                  <w:r>
                    <w:rPr>
                      <w:rFonts w:ascii="Times New Roman" w:hAnsi="Times New Roman" w:eastAsia="Times New Roman" w:cs="Times New Roman"/>
                      <w:sz w:val="21"/>
                      <w:szCs w:val="21"/>
                    </w:rPr>
                    <w:t>Na</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z w:val="21"/>
                      <w:szCs w:val="21"/>
                    </w:rPr>
                    <w:t>CO</w:t>
                  </w:r>
                  <w:r>
                    <w:rPr>
                      <w:rFonts w:ascii="Times New Roman" w:hAnsi="Times New Roman" w:eastAsia="Times New Roman" w:cs="Times New Roman"/>
                      <w:spacing w:val="7"/>
                      <w:position w:val="-1"/>
                      <w:sz w:val="13"/>
                      <w:szCs w:val="13"/>
                    </w:rPr>
                    <w:t>3</w:t>
                  </w:r>
                </w:p>
              </w:tc>
              <w:tc>
                <w:tcPr>
                  <w:tcW w:w="852" w:type="dxa"/>
                  <w:vAlign w:val="top"/>
                </w:tcPr>
                <w:p>
                  <w:pPr>
                    <w:spacing w:before="69" w:line="236"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1"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844" w:type="dxa"/>
                  <w:vAlign w:val="top"/>
                </w:tcPr>
                <w:p>
                  <w:pPr>
                    <w:spacing w:before="91"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2" w:line="220" w:lineRule="auto"/>
                    <w:ind w:left="236"/>
                    <w:rPr>
                      <w:sz w:val="21"/>
                      <w:szCs w:val="21"/>
                    </w:rPr>
                  </w:pPr>
                  <w:r>
                    <w:rPr>
                      <w:spacing w:val="-6"/>
                      <w:sz w:val="21"/>
                      <w:szCs w:val="21"/>
                    </w:rPr>
                    <w:t>降失水剂</w:t>
                  </w:r>
                </w:p>
              </w:tc>
              <w:tc>
                <w:tcPr>
                  <w:tcW w:w="2687" w:type="dxa"/>
                  <w:vAlign w:val="top"/>
                </w:tcPr>
                <w:p>
                  <w:pPr>
                    <w:spacing w:before="90" w:line="187" w:lineRule="auto"/>
                    <w:ind w:left="9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CMC-LV</w:t>
                  </w:r>
                </w:p>
              </w:tc>
              <w:tc>
                <w:tcPr>
                  <w:tcW w:w="852" w:type="dxa"/>
                  <w:vAlign w:val="top"/>
                </w:tcPr>
                <w:p>
                  <w:pPr>
                    <w:spacing w:before="70" w:line="237"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0"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13.2</w:t>
                  </w:r>
                </w:p>
              </w:tc>
              <w:tc>
                <w:tcPr>
                  <w:tcW w:w="844" w:type="dxa"/>
                  <w:vAlign w:val="top"/>
                </w:tcPr>
                <w:p>
                  <w:pPr>
                    <w:spacing w:before="91" w:line="187"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49" w:line="220" w:lineRule="auto"/>
                    <w:ind w:left="339"/>
                    <w:rPr>
                      <w:sz w:val="21"/>
                      <w:szCs w:val="21"/>
                    </w:rPr>
                  </w:pPr>
                  <w:r>
                    <w:rPr>
                      <w:spacing w:val="-5"/>
                      <w:sz w:val="21"/>
                      <w:szCs w:val="21"/>
                    </w:rPr>
                    <w:t>降粘剂</w:t>
                  </w:r>
                </w:p>
              </w:tc>
              <w:tc>
                <w:tcPr>
                  <w:tcW w:w="2687" w:type="dxa"/>
                  <w:vAlign w:val="top"/>
                </w:tcPr>
                <w:p>
                  <w:pPr>
                    <w:spacing w:before="88" w:line="187" w:lineRule="auto"/>
                    <w:ind w:left="106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XY-27</w:t>
                  </w:r>
                </w:p>
              </w:tc>
              <w:tc>
                <w:tcPr>
                  <w:tcW w:w="852" w:type="dxa"/>
                  <w:vAlign w:val="top"/>
                </w:tcPr>
                <w:p>
                  <w:pPr>
                    <w:spacing w:before="67" w:line="238"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8"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w:t>
                  </w:r>
                </w:p>
              </w:tc>
              <w:tc>
                <w:tcPr>
                  <w:tcW w:w="844" w:type="dxa"/>
                  <w:vAlign w:val="top"/>
                </w:tcPr>
                <w:p>
                  <w:pPr>
                    <w:spacing w:before="88"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49" w:line="220" w:lineRule="auto"/>
                    <w:ind w:left="323"/>
                    <w:rPr>
                      <w:sz w:val="21"/>
                      <w:szCs w:val="21"/>
                    </w:rPr>
                  </w:pPr>
                  <w:r>
                    <w:rPr>
                      <w:spacing w:val="-2"/>
                      <w:sz w:val="21"/>
                      <w:szCs w:val="21"/>
                    </w:rPr>
                    <w:t>加重剂</w:t>
                  </w:r>
                </w:p>
              </w:tc>
              <w:tc>
                <w:tcPr>
                  <w:tcW w:w="2687" w:type="dxa"/>
                  <w:vAlign w:val="top"/>
                </w:tcPr>
                <w:p>
                  <w:pPr>
                    <w:spacing w:before="88" w:line="196" w:lineRule="auto"/>
                    <w:ind w:left="1061"/>
                    <w:rPr>
                      <w:rFonts w:ascii="Times New Roman" w:hAnsi="Times New Roman" w:eastAsia="Times New Roman" w:cs="Times New Roman"/>
                      <w:sz w:val="13"/>
                      <w:szCs w:val="13"/>
                    </w:rPr>
                  </w:pPr>
                  <w:r>
                    <w:rPr>
                      <w:rFonts w:ascii="Times New Roman" w:hAnsi="Times New Roman" w:eastAsia="Times New Roman" w:cs="Times New Roman"/>
                      <w:sz w:val="21"/>
                      <w:szCs w:val="21"/>
                    </w:rPr>
                    <w:t>BaSO</w:t>
                  </w:r>
                  <w:r>
                    <w:rPr>
                      <w:rFonts w:ascii="Times New Roman" w:hAnsi="Times New Roman" w:eastAsia="Times New Roman" w:cs="Times New Roman"/>
                      <w:spacing w:val="3"/>
                      <w:position w:val="-1"/>
                      <w:sz w:val="13"/>
                      <w:szCs w:val="13"/>
                    </w:rPr>
                    <w:t>4</w:t>
                  </w:r>
                </w:p>
              </w:tc>
              <w:tc>
                <w:tcPr>
                  <w:tcW w:w="852" w:type="dxa"/>
                  <w:vAlign w:val="top"/>
                </w:tcPr>
                <w:p>
                  <w:pPr>
                    <w:spacing w:before="67" w:line="238"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8"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3582</w:t>
                  </w:r>
                </w:p>
              </w:tc>
              <w:tc>
                <w:tcPr>
                  <w:tcW w:w="844" w:type="dxa"/>
                  <w:vAlign w:val="top"/>
                </w:tcPr>
                <w:p>
                  <w:pPr>
                    <w:spacing w:before="8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49" w:line="220" w:lineRule="auto"/>
                    <w:ind w:left="327"/>
                    <w:rPr>
                      <w:sz w:val="21"/>
                      <w:szCs w:val="21"/>
                    </w:rPr>
                  </w:pPr>
                  <w:r>
                    <w:rPr>
                      <w:spacing w:val="-2"/>
                      <w:sz w:val="21"/>
                      <w:szCs w:val="21"/>
                    </w:rPr>
                    <w:t>消泡剂</w:t>
                  </w:r>
                </w:p>
              </w:tc>
              <w:tc>
                <w:tcPr>
                  <w:tcW w:w="2687" w:type="dxa"/>
                  <w:vAlign w:val="top"/>
                </w:tcPr>
                <w:p>
                  <w:pPr>
                    <w:spacing w:before="84" w:line="221"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6" w:line="239"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7"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w:t>
                  </w:r>
                </w:p>
              </w:tc>
              <w:tc>
                <w:tcPr>
                  <w:tcW w:w="844" w:type="dxa"/>
                  <w:vAlign w:val="top"/>
                </w:tcPr>
                <w:p>
                  <w:pPr>
                    <w:spacing w:before="87"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0" w:line="220" w:lineRule="auto"/>
                    <w:ind w:left="113"/>
                    <w:rPr>
                      <w:sz w:val="21"/>
                      <w:szCs w:val="21"/>
                    </w:rPr>
                  </w:pPr>
                  <w:r>
                    <w:rPr>
                      <w:spacing w:val="-1"/>
                      <w:sz w:val="21"/>
                      <w:szCs w:val="21"/>
                    </w:rPr>
                    <w:t>表面活性剂</w:t>
                  </w:r>
                </w:p>
              </w:tc>
              <w:tc>
                <w:tcPr>
                  <w:tcW w:w="2687" w:type="dxa"/>
                  <w:vAlign w:val="top"/>
                </w:tcPr>
                <w:p>
                  <w:pPr>
                    <w:spacing w:before="89" w:line="187" w:lineRule="auto"/>
                    <w:ind w:left="110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SP-80</w:t>
                  </w:r>
                </w:p>
              </w:tc>
              <w:tc>
                <w:tcPr>
                  <w:tcW w:w="852" w:type="dxa"/>
                  <w:vAlign w:val="top"/>
                </w:tcPr>
                <w:p>
                  <w:pPr>
                    <w:spacing w:before="68" w:line="236"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9"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844" w:type="dxa"/>
                  <w:vAlign w:val="top"/>
                </w:tcPr>
                <w:p>
                  <w:pPr>
                    <w:spacing w:before="89"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9" w:type="dxa"/>
                  <w:vMerge w:val="continue"/>
                  <w:tcBorders>
                    <w:top w:val="nil"/>
                    <w:bottom w:val="nil"/>
                  </w:tcBorders>
                  <w:vAlign w:val="top"/>
                </w:tcPr>
                <w:p>
                  <w:pPr>
                    <w:rPr>
                      <w:rFonts w:ascii="Arial"/>
                      <w:sz w:val="21"/>
                    </w:rPr>
                  </w:pPr>
                </w:p>
              </w:tc>
              <w:tc>
                <w:tcPr>
                  <w:tcW w:w="1271" w:type="dxa"/>
                  <w:tcBorders>
                    <w:bottom w:val="nil"/>
                  </w:tcBorders>
                  <w:vAlign w:val="top"/>
                </w:tcPr>
                <w:p>
                  <w:pPr>
                    <w:pStyle w:val="6"/>
                    <w:spacing w:before="29" w:line="220" w:lineRule="auto"/>
                    <w:ind w:left="339"/>
                    <w:rPr>
                      <w:sz w:val="21"/>
                      <w:szCs w:val="21"/>
                    </w:rPr>
                  </w:pPr>
                  <w:r>
                    <w:rPr>
                      <w:spacing w:val="-5"/>
                      <w:sz w:val="21"/>
                      <w:szCs w:val="21"/>
                    </w:rPr>
                    <w:t>降粘剂</w:t>
                  </w:r>
                </w:p>
              </w:tc>
              <w:tc>
                <w:tcPr>
                  <w:tcW w:w="2687" w:type="dxa"/>
                  <w:tcBorders>
                    <w:bottom w:val="nil"/>
                  </w:tcBorders>
                  <w:vAlign w:val="top"/>
                </w:tcPr>
                <w:p>
                  <w:pPr>
                    <w:pStyle w:val="6"/>
                    <w:spacing w:before="51" w:line="222" w:lineRule="auto"/>
                    <w:ind w:left="783"/>
                    <w:rPr>
                      <w:sz w:val="21"/>
                      <w:szCs w:val="21"/>
                    </w:rPr>
                  </w:pPr>
                  <w:r>
                    <w:rPr>
                      <w:rFonts w:ascii="Times New Roman" w:hAnsi="Times New Roman" w:eastAsia="Times New Roman" w:cs="Times New Roman"/>
                      <w:spacing w:val="-1"/>
                      <w:sz w:val="21"/>
                      <w:szCs w:val="21"/>
                    </w:rPr>
                    <w:t>TX</w:t>
                  </w:r>
                  <w:r>
                    <w:rPr>
                      <w:spacing w:val="-1"/>
                      <w:sz w:val="21"/>
                      <w:szCs w:val="21"/>
                    </w:rPr>
                    <w:t>（</w:t>
                  </w:r>
                  <w:r>
                    <w:rPr>
                      <w:rFonts w:ascii="Times New Roman" w:hAnsi="Times New Roman" w:eastAsia="Times New Roman" w:cs="Times New Roman"/>
                      <w:spacing w:val="-1"/>
                      <w:sz w:val="21"/>
                      <w:szCs w:val="21"/>
                    </w:rPr>
                    <w:t>HTX</w:t>
                  </w:r>
                  <w:r>
                    <w:rPr>
                      <w:spacing w:val="-1"/>
                      <w:sz w:val="21"/>
                      <w:szCs w:val="21"/>
                    </w:rPr>
                    <w:t>）</w:t>
                  </w:r>
                </w:p>
              </w:tc>
              <w:tc>
                <w:tcPr>
                  <w:tcW w:w="852" w:type="dxa"/>
                  <w:tcBorders>
                    <w:bottom w:val="nil"/>
                  </w:tcBorders>
                  <w:vAlign w:val="top"/>
                </w:tcPr>
                <w:p>
                  <w:pPr>
                    <w:spacing w:before="69" w:line="233"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tcBorders>
                    <w:bottom w:val="nil"/>
                  </w:tcBorders>
                  <w:vAlign w:val="top"/>
                </w:tcPr>
                <w:p>
                  <w:pPr>
                    <w:spacing w:before="90"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844" w:type="dxa"/>
                  <w:tcBorders>
                    <w:bottom w:val="nil"/>
                  </w:tcBorders>
                  <w:vAlign w:val="top"/>
                </w:tcPr>
                <w:p>
                  <w:pPr>
                    <w:spacing w:before="90"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270" w:type="dxa"/>
                  <w:vMerge w:val="continue"/>
                  <w:tcBorders>
                    <w:top w:val="nil"/>
                    <w:bottom w:val="nil"/>
                  </w:tcBorders>
                  <w:vAlign w:val="top"/>
                </w:tcPr>
                <w:p>
                  <w:pPr>
                    <w:rPr>
                      <w:rFonts w:ascii="Arial"/>
                      <w:sz w:val="21"/>
                    </w:rPr>
                  </w:pPr>
                </w:p>
              </w:tc>
            </w:tr>
          </w:tbl>
          <w:p>
            <w:pPr>
              <w:spacing w:line="91" w:lineRule="auto"/>
              <w:rPr>
                <w:rFonts w:ascii="Arial"/>
                <w:sz w:val="2"/>
              </w:rPr>
            </w:pPr>
          </w:p>
        </w:tc>
      </w:tr>
    </w:tbl>
    <w:p>
      <w:pPr>
        <w:pStyle w:val="2"/>
        <w:rPr>
          <w:sz w:val="21"/>
        </w:rPr>
      </w:pPr>
    </w:p>
    <w:p>
      <w:pPr>
        <w:rPr>
          <w:sz w:val="21"/>
          <w:szCs w:val="21"/>
        </w:rPr>
        <w:sectPr>
          <w:footerReference r:id="rId39"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69" w:hRule="atLeast"/>
        </w:trPr>
        <w:tc>
          <w:tcPr>
            <w:tcW w:w="9291" w:type="dxa"/>
            <w:vAlign w:val="top"/>
          </w:tcPr>
          <w:p>
            <w:pPr>
              <w:spacing w:line="18" w:lineRule="exact"/>
            </w:pPr>
            <w:r>
              <w:pict>
                <v:rect id="_x0000_s1040" o:spid="_x0000_s1040" o:spt="1" style="position:absolute;left:0pt;margin-left:22.75pt;margin-top:0.95pt;height:697.55pt;width:0.5pt;mso-position-horizontal-relative:page;mso-position-vertical-relative:page;z-index:251694080;mso-width-relative:page;mso-height-relative:page;" fillcolor="#000000" filled="t" stroked="f" coordsize="21600,21600">
                  <v:path/>
                  <v:fill on="t" focussize="0,0"/>
                  <v:stroke on="f"/>
                  <v:imagedata o:title=""/>
                  <o:lock v:ext="edit"/>
                </v:rect>
              </w:pict>
            </w: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71"/>
              <w:gridCol w:w="2687"/>
              <w:gridCol w:w="852"/>
              <w:gridCol w:w="849"/>
              <w:gridCol w:w="844"/>
              <w:gridCol w:w="12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restart"/>
                  <w:tcBorders>
                    <w:top w:val="nil"/>
                    <w:bottom w:val="nil"/>
                  </w:tcBorders>
                  <w:vAlign w:val="top"/>
                </w:tcPr>
                <w:p>
                  <w:pPr>
                    <w:rPr>
                      <w:rFonts w:ascii="Arial"/>
                      <w:sz w:val="21"/>
                    </w:rPr>
                  </w:pPr>
                </w:p>
              </w:tc>
              <w:tc>
                <w:tcPr>
                  <w:tcW w:w="1271" w:type="dxa"/>
                  <w:tcBorders>
                    <w:top w:val="nil"/>
                  </w:tcBorders>
                  <w:vAlign w:val="top"/>
                </w:tcPr>
                <w:p>
                  <w:pPr>
                    <w:pStyle w:val="6"/>
                    <w:spacing w:before="29" w:line="220" w:lineRule="auto"/>
                    <w:ind w:left="335"/>
                    <w:rPr>
                      <w:sz w:val="21"/>
                      <w:szCs w:val="21"/>
                    </w:rPr>
                  </w:pPr>
                  <w:r>
                    <w:rPr>
                      <w:spacing w:val="-4"/>
                      <w:sz w:val="21"/>
                      <w:szCs w:val="21"/>
                    </w:rPr>
                    <w:t>除硫剂</w:t>
                  </w:r>
                </w:p>
              </w:tc>
              <w:tc>
                <w:tcPr>
                  <w:tcW w:w="2687" w:type="dxa"/>
                  <w:tcBorders>
                    <w:top w:val="nil"/>
                  </w:tcBorders>
                  <w:vAlign w:val="top"/>
                </w:tcPr>
                <w:p>
                  <w:pPr>
                    <w:spacing w:before="86" w:line="219"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tcBorders>
                    <w:top w:val="nil"/>
                  </w:tcBorders>
                  <w:vAlign w:val="top"/>
                </w:tcPr>
                <w:p>
                  <w:pPr>
                    <w:spacing w:before="69" w:line="236"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tcBorders>
                    <w:top w:val="nil"/>
                  </w:tcBorders>
                  <w:vAlign w:val="top"/>
                </w:tcPr>
                <w:p>
                  <w:pPr>
                    <w:spacing w:before="89"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844" w:type="dxa"/>
                  <w:tcBorders>
                    <w:top w:val="nil"/>
                  </w:tcBorders>
                  <w:vAlign w:val="top"/>
                </w:tcPr>
                <w:p>
                  <w:pPr>
                    <w:spacing w:before="89"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270"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9" w:type="dxa"/>
                  <w:vMerge w:val="continue"/>
                  <w:tcBorders>
                    <w:top w:val="nil"/>
                    <w:bottom w:val="nil"/>
                  </w:tcBorders>
                  <w:vAlign w:val="top"/>
                </w:tcPr>
                <w:p>
                  <w:pPr>
                    <w:rPr>
                      <w:rFonts w:ascii="Arial"/>
                      <w:sz w:val="21"/>
                    </w:rPr>
                  </w:pPr>
                </w:p>
              </w:tc>
              <w:tc>
                <w:tcPr>
                  <w:tcW w:w="1271" w:type="dxa"/>
                  <w:tcBorders>
                    <w:top w:val="nil"/>
                  </w:tcBorders>
                  <w:vAlign w:val="top"/>
                </w:tcPr>
                <w:p>
                  <w:pPr>
                    <w:pStyle w:val="6"/>
                    <w:spacing w:before="31" w:line="221" w:lineRule="auto"/>
                    <w:ind w:left="429"/>
                    <w:rPr>
                      <w:sz w:val="21"/>
                      <w:szCs w:val="21"/>
                    </w:rPr>
                  </w:pPr>
                  <w:r>
                    <w:rPr>
                      <w:spacing w:val="-2"/>
                      <w:sz w:val="21"/>
                      <w:szCs w:val="21"/>
                    </w:rPr>
                    <w:t>石灰</w:t>
                  </w:r>
                </w:p>
              </w:tc>
              <w:tc>
                <w:tcPr>
                  <w:tcW w:w="2687" w:type="dxa"/>
                  <w:tcBorders>
                    <w:top w:val="nil"/>
                  </w:tcBorders>
                  <w:vAlign w:val="top"/>
                </w:tcPr>
                <w:p>
                  <w:pPr>
                    <w:spacing w:before="89" w:line="187" w:lineRule="auto"/>
                    <w:ind w:left="11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CaO</w:t>
                  </w:r>
                </w:p>
              </w:tc>
              <w:tc>
                <w:tcPr>
                  <w:tcW w:w="852" w:type="dxa"/>
                  <w:tcBorders>
                    <w:top w:val="nil"/>
                  </w:tcBorders>
                  <w:vAlign w:val="top"/>
                </w:tcPr>
                <w:p>
                  <w:pPr>
                    <w:spacing w:before="69" w:line="238"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tcBorders>
                    <w:top w:val="nil"/>
                  </w:tcBorders>
                  <w:vAlign w:val="top"/>
                </w:tcPr>
                <w:p>
                  <w:pPr>
                    <w:spacing w:before="89"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844" w:type="dxa"/>
                  <w:tcBorders>
                    <w:top w:val="nil"/>
                  </w:tcBorders>
                  <w:vAlign w:val="top"/>
                </w:tcPr>
                <w:p>
                  <w:pPr>
                    <w:spacing w:before="8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29" w:line="222" w:lineRule="auto"/>
                    <w:ind w:left="116"/>
                    <w:rPr>
                      <w:sz w:val="21"/>
                      <w:szCs w:val="21"/>
                    </w:rPr>
                  </w:pPr>
                  <w:r>
                    <w:rPr>
                      <w:spacing w:val="-2"/>
                      <w:sz w:val="21"/>
                      <w:szCs w:val="21"/>
                    </w:rPr>
                    <w:t>亚硫酸氢钠</w:t>
                  </w:r>
                </w:p>
              </w:tc>
              <w:tc>
                <w:tcPr>
                  <w:tcW w:w="2687" w:type="dxa"/>
                  <w:vAlign w:val="top"/>
                </w:tcPr>
                <w:p>
                  <w:pPr>
                    <w:spacing w:before="83" w:line="221"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6" w:line="238"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7"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844" w:type="dxa"/>
                  <w:vAlign w:val="top"/>
                </w:tcPr>
                <w:p>
                  <w:pPr>
                    <w:spacing w:before="87"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29" w:line="224" w:lineRule="auto"/>
                    <w:ind w:left="534" w:right="106" w:hanging="420"/>
                    <w:rPr>
                      <w:sz w:val="21"/>
                      <w:szCs w:val="21"/>
                    </w:rPr>
                  </w:pPr>
                  <w:r>
                    <w:rPr>
                      <w:spacing w:val="-1"/>
                      <w:sz w:val="21"/>
                      <w:szCs w:val="21"/>
                    </w:rPr>
                    <w:t>抗高温稳定</w:t>
                  </w:r>
                  <w:r>
                    <w:rPr>
                      <w:sz w:val="21"/>
                      <w:szCs w:val="21"/>
                    </w:rPr>
                    <w:t xml:space="preserve"> 剂</w:t>
                  </w:r>
                </w:p>
              </w:tc>
              <w:tc>
                <w:tcPr>
                  <w:tcW w:w="2687" w:type="dxa"/>
                  <w:vAlign w:val="top"/>
                </w:tcPr>
                <w:p>
                  <w:pPr>
                    <w:spacing w:before="202" w:line="233"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84"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before="205" w:line="187"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844" w:type="dxa"/>
                  <w:vAlign w:val="top"/>
                </w:tcPr>
                <w:p>
                  <w:pPr>
                    <w:spacing w:before="205"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1" w:line="221" w:lineRule="auto"/>
                    <w:ind w:left="113"/>
                    <w:rPr>
                      <w:sz w:val="21"/>
                      <w:szCs w:val="21"/>
                    </w:rPr>
                  </w:pPr>
                  <w:r>
                    <w:rPr>
                      <w:spacing w:val="-1"/>
                      <w:sz w:val="21"/>
                      <w:szCs w:val="21"/>
                    </w:rPr>
                    <w:t>超细碳酸钙</w:t>
                  </w:r>
                </w:p>
              </w:tc>
              <w:tc>
                <w:tcPr>
                  <w:tcW w:w="2687" w:type="dxa"/>
                  <w:vAlign w:val="top"/>
                </w:tcPr>
                <w:p>
                  <w:pPr>
                    <w:spacing w:before="84" w:line="220"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67" w:line="237"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88"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44" w:type="dxa"/>
                  <w:vAlign w:val="top"/>
                </w:tcPr>
                <w:p>
                  <w:pPr>
                    <w:spacing w:before="88"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1" w:line="223" w:lineRule="auto"/>
                    <w:ind w:left="220" w:right="106" w:hanging="99"/>
                    <w:rPr>
                      <w:sz w:val="21"/>
                      <w:szCs w:val="21"/>
                    </w:rPr>
                  </w:pPr>
                  <w:r>
                    <w:rPr>
                      <w:spacing w:val="-3"/>
                      <w:sz w:val="21"/>
                      <w:szCs w:val="21"/>
                    </w:rPr>
                    <w:t>改性天然树</w:t>
                  </w:r>
                  <w:r>
                    <w:rPr>
                      <w:spacing w:val="2"/>
                      <w:sz w:val="21"/>
                      <w:szCs w:val="21"/>
                    </w:rPr>
                    <w:t xml:space="preserve"> </w:t>
                  </w:r>
                  <w:r>
                    <w:rPr>
                      <w:spacing w:val="-2"/>
                      <w:sz w:val="21"/>
                      <w:szCs w:val="21"/>
                    </w:rPr>
                    <w:t>脂复合物</w:t>
                  </w:r>
                </w:p>
              </w:tc>
              <w:tc>
                <w:tcPr>
                  <w:tcW w:w="2687" w:type="dxa"/>
                  <w:vAlign w:val="top"/>
                </w:tcPr>
                <w:p>
                  <w:pPr>
                    <w:spacing w:before="206" w:line="187" w:lineRule="auto"/>
                    <w:ind w:left="9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JNJS-220</w:t>
                  </w:r>
                </w:p>
              </w:tc>
              <w:tc>
                <w:tcPr>
                  <w:tcW w:w="852" w:type="dxa"/>
                  <w:vAlign w:val="top"/>
                </w:tcPr>
                <w:p>
                  <w:pPr>
                    <w:spacing w:before="185"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before="206"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844" w:type="dxa"/>
                  <w:vAlign w:val="top"/>
                </w:tcPr>
                <w:p>
                  <w:pPr>
                    <w:spacing w:before="206"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39" w:type="dxa"/>
                  <w:vMerge w:val="continue"/>
                  <w:tcBorders>
                    <w:top w:val="nil"/>
                    <w:bottom w:val="nil"/>
                  </w:tcBorders>
                  <w:vAlign w:val="top"/>
                </w:tcPr>
                <w:p>
                  <w:pPr>
                    <w:rPr>
                      <w:rFonts w:ascii="Arial"/>
                      <w:sz w:val="21"/>
                    </w:rPr>
                  </w:pPr>
                </w:p>
              </w:tc>
              <w:tc>
                <w:tcPr>
                  <w:tcW w:w="1271" w:type="dxa"/>
                  <w:vAlign w:val="top"/>
                </w:tcPr>
                <w:p>
                  <w:pPr>
                    <w:spacing w:line="369" w:lineRule="auto"/>
                    <w:rPr>
                      <w:rFonts w:ascii="Arial"/>
                      <w:sz w:val="21"/>
                    </w:rPr>
                  </w:pPr>
                </w:p>
                <w:p>
                  <w:pPr>
                    <w:pStyle w:val="6"/>
                    <w:spacing w:before="69" w:line="223" w:lineRule="auto"/>
                    <w:ind w:left="459"/>
                    <w:rPr>
                      <w:sz w:val="21"/>
                      <w:szCs w:val="21"/>
                    </w:rPr>
                  </w:pPr>
                  <w:r>
                    <w:rPr>
                      <w:spacing w:val="-10"/>
                      <w:sz w:val="21"/>
                      <w:szCs w:val="21"/>
                    </w:rPr>
                    <w:t>白油</w:t>
                  </w:r>
                </w:p>
              </w:tc>
              <w:tc>
                <w:tcPr>
                  <w:tcW w:w="2687" w:type="dxa"/>
                  <w:vAlign w:val="top"/>
                </w:tcPr>
                <w:p>
                  <w:pPr>
                    <w:spacing w:line="414" w:lineRule="auto"/>
                    <w:rPr>
                      <w:rFonts w:ascii="Arial"/>
                      <w:sz w:val="21"/>
                    </w:rPr>
                  </w:pPr>
                </w:p>
                <w:p>
                  <w:pPr>
                    <w:spacing w:before="60" w:line="233"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line="397" w:lineRule="auto"/>
                    <w:rPr>
                      <w:rFonts w:ascii="Arial"/>
                      <w:sz w:val="21"/>
                    </w:rPr>
                  </w:pPr>
                </w:p>
                <w:p>
                  <w:pPr>
                    <w:spacing w:before="60"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line="417" w:lineRule="auto"/>
                    <w:rPr>
                      <w:rFonts w:ascii="Arial"/>
                      <w:sz w:val="21"/>
                    </w:rPr>
                  </w:pPr>
                </w:p>
                <w:p>
                  <w:pPr>
                    <w:spacing w:before="61"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844" w:type="dxa"/>
                  <w:vAlign w:val="top"/>
                </w:tcPr>
                <w:p>
                  <w:pPr>
                    <w:pStyle w:val="6"/>
                    <w:spacing w:before="32" w:line="231" w:lineRule="auto"/>
                    <w:ind w:left="219" w:right="106" w:hanging="85"/>
                    <w:jc w:val="both"/>
                    <w:rPr>
                      <w:sz w:val="21"/>
                      <w:szCs w:val="21"/>
                    </w:rPr>
                  </w:pPr>
                  <w:r>
                    <w:rPr>
                      <w:rFonts w:ascii="Times New Roman" w:hAnsi="Times New Roman" w:eastAsia="Times New Roman" w:cs="Times New Roman"/>
                      <w:spacing w:val="-9"/>
                      <w:sz w:val="21"/>
                      <w:szCs w:val="21"/>
                    </w:rPr>
                    <w:t>16</w:t>
                  </w:r>
                  <w:r>
                    <w:rPr>
                      <w:spacing w:val="-9"/>
                      <w:sz w:val="21"/>
                      <w:szCs w:val="21"/>
                    </w:rPr>
                    <w:t>（紧</w:t>
                  </w:r>
                  <w:r>
                    <w:rPr>
                      <w:spacing w:val="2"/>
                      <w:sz w:val="21"/>
                      <w:szCs w:val="21"/>
                    </w:rPr>
                    <w:t xml:space="preserve"> </w:t>
                  </w:r>
                  <w:r>
                    <w:rPr>
                      <w:spacing w:val="-3"/>
                      <w:sz w:val="21"/>
                      <w:szCs w:val="21"/>
                    </w:rPr>
                    <w:t>急情</w:t>
                  </w:r>
                  <w:r>
                    <w:rPr>
                      <w:sz w:val="21"/>
                      <w:szCs w:val="21"/>
                    </w:rPr>
                    <w:t xml:space="preserve">  </w:t>
                  </w:r>
                  <w:r>
                    <w:rPr>
                      <w:spacing w:val="-3"/>
                      <w:sz w:val="21"/>
                      <w:szCs w:val="21"/>
                    </w:rPr>
                    <w:t>况暂</w:t>
                  </w:r>
                  <w:r>
                    <w:rPr>
                      <w:sz w:val="21"/>
                      <w:szCs w:val="21"/>
                    </w:rPr>
                    <w:t xml:space="preserve">  </w:t>
                  </w:r>
                  <w:r>
                    <w:rPr>
                      <w:spacing w:val="-5"/>
                      <w:sz w:val="21"/>
                      <w:szCs w:val="21"/>
                    </w:rPr>
                    <w:t>存）</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1" w:line="220" w:lineRule="auto"/>
                    <w:ind w:left="324"/>
                    <w:rPr>
                      <w:sz w:val="21"/>
                      <w:szCs w:val="21"/>
                    </w:rPr>
                  </w:pPr>
                  <w:r>
                    <w:rPr>
                      <w:spacing w:val="-2"/>
                      <w:sz w:val="21"/>
                      <w:szCs w:val="21"/>
                    </w:rPr>
                    <w:t>有机土</w:t>
                  </w:r>
                </w:p>
              </w:tc>
              <w:tc>
                <w:tcPr>
                  <w:tcW w:w="2687" w:type="dxa"/>
                  <w:vAlign w:val="top"/>
                </w:tcPr>
                <w:p>
                  <w:pPr>
                    <w:spacing w:before="88" w:line="216"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1" w:line="233"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2"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237.6</w:t>
                  </w:r>
                </w:p>
              </w:tc>
              <w:tc>
                <w:tcPr>
                  <w:tcW w:w="844" w:type="dxa"/>
                  <w:vAlign w:val="top"/>
                </w:tcPr>
                <w:p>
                  <w:pPr>
                    <w:spacing w:before="92"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2" w:line="220" w:lineRule="auto"/>
                    <w:ind w:left="221"/>
                    <w:rPr>
                      <w:sz w:val="21"/>
                      <w:szCs w:val="21"/>
                    </w:rPr>
                  </w:pPr>
                  <w:r>
                    <w:rPr>
                      <w:spacing w:val="-2"/>
                      <w:sz w:val="21"/>
                      <w:szCs w:val="21"/>
                    </w:rPr>
                    <w:t>主乳化剂</w:t>
                  </w:r>
                </w:p>
              </w:tc>
              <w:tc>
                <w:tcPr>
                  <w:tcW w:w="2687" w:type="dxa"/>
                  <w:vAlign w:val="top"/>
                </w:tcPr>
                <w:p>
                  <w:pPr>
                    <w:spacing w:before="89" w:line="216"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1" w:line="234"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2"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844" w:type="dxa"/>
                  <w:vAlign w:val="top"/>
                </w:tcPr>
                <w:p>
                  <w:pPr>
                    <w:spacing w:before="92"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0.8</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5" w:line="220" w:lineRule="auto"/>
                    <w:ind w:left="221"/>
                    <w:rPr>
                      <w:sz w:val="21"/>
                      <w:szCs w:val="21"/>
                    </w:rPr>
                  </w:pPr>
                  <w:r>
                    <w:rPr>
                      <w:spacing w:val="-2"/>
                      <w:sz w:val="21"/>
                      <w:szCs w:val="21"/>
                    </w:rPr>
                    <w:t>辅乳化剂</w:t>
                  </w:r>
                </w:p>
              </w:tc>
              <w:tc>
                <w:tcPr>
                  <w:tcW w:w="2687" w:type="dxa"/>
                  <w:vAlign w:val="top"/>
                </w:tcPr>
                <w:p>
                  <w:pPr>
                    <w:spacing w:before="89" w:line="218"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2" w:line="235"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2"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844" w:type="dxa"/>
                  <w:vAlign w:val="top"/>
                </w:tcPr>
                <w:p>
                  <w:pPr>
                    <w:spacing w:before="92"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2" w:line="220" w:lineRule="auto"/>
                    <w:ind w:left="236"/>
                    <w:rPr>
                      <w:sz w:val="21"/>
                      <w:szCs w:val="21"/>
                    </w:rPr>
                  </w:pPr>
                  <w:r>
                    <w:rPr>
                      <w:spacing w:val="-6"/>
                      <w:sz w:val="21"/>
                      <w:szCs w:val="21"/>
                    </w:rPr>
                    <w:t>降滤失剂</w:t>
                  </w:r>
                </w:p>
              </w:tc>
              <w:tc>
                <w:tcPr>
                  <w:tcW w:w="2687" w:type="dxa"/>
                  <w:vAlign w:val="top"/>
                </w:tcPr>
                <w:p>
                  <w:pPr>
                    <w:spacing w:before="90" w:line="187" w:lineRule="auto"/>
                    <w:ind w:left="11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JY1</w:t>
                  </w:r>
                </w:p>
              </w:tc>
              <w:tc>
                <w:tcPr>
                  <w:tcW w:w="852" w:type="dxa"/>
                  <w:vAlign w:val="top"/>
                </w:tcPr>
                <w:p>
                  <w:pPr>
                    <w:spacing w:before="69" w:line="235"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0"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12.6</w:t>
                  </w:r>
                </w:p>
              </w:tc>
              <w:tc>
                <w:tcPr>
                  <w:tcW w:w="844" w:type="dxa"/>
                  <w:vAlign w:val="top"/>
                </w:tcPr>
                <w:p>
                  <w:pPr>
                    <w:spacing w:before="9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3" w:line="220" w:lineRule="auto"/>
                    <w:ind w:left="325"/>
                    <w:rPr>
                      <w:sz w:val="21"/>
                      <w:szCs w:val="21"/>
                    </w:rPr>
                  </w:pPr>
                  <w:r>
                    <w:rPr>
                      <w:spacing w:val="-2"/>
                      <w:sz w:val="21"/>
                      <w:szCs w:val="21"/>
                    </w:rPr>
                    <w:t>润湿剂</w:t>
                  </w:r>
                </w:p>
              </w:tc>
              <w:tc>
                <w:tcPr>
                  <w:tcW w:w="2687" w:type="dxa"/>
                  <w:vAlign w:val="top"/>
                </w:tcPr>
                <w:p>
                  <w:pPr>
                    <w:spacing w:before="87" w:line="218"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0" w:line="235"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1"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844" w:type="dxa"/>
                  <w:vAlign w:val="top"/>
                </w:tcPr>
                <w:p>
                  <w:pPr>
                    <w:spacing w:before="9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2" w:line="222" w:lineRule="auto"/>
                    <w:ind w:left="326"/>
                    <w:rPr>
                      <w:sz w:val="21"/>
                      <w:szCs w:val="21"/>
                    </w:rPr>
                  </w:pPr>
                  <w:r>
                    <w:rPr>
                      <w:spacing w:val="-2"/>
                      <w:sz w:val="21"/>
                      <w:szCs w:val="21"/>
                    </w:rPr>
                    <w:t>氯化钙</w:t>
                  </w:r>
                </w:p>
              </w:tc>
              <w:tc>
                <w:tcPr>
                  <w:tcW w:w="2687" w:type="dxa"/>
                  <w:vAlign w:val="top"/>
                </w:tcPr>
                <w:p>
                  <w:pPr>
                    <w:spacing w:before="86" w:line="191" w:lineRule="auto"/>
                    <w:ind w:left="10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CaCl2</w:t>
                  </w:r>
                </w:p>
              </w:tc>
              <w:tc>
                <w:tcPr>
                  <w:tcW w:w="852" w:type="dxa"/>
                  <w:vAlign w:val="top"/>
                </w:tcPr>
                <w:p>
                  <w:pPr>
                    <w:spacing w:before="69" w:line="235"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0"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12.6</w:t>
                  </w:r>
                </w:p>
              </w:tc>
              <w:tc>
                <w:tcPr>
                  <w:tcW w:w="844" w:type="dxa"/>
                  <w:vAlign w:val="top"/>
                </w:tcPr>
                <w:p>
                  <w:pPr>
                    <w:spacing w:before="9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3" w:line="220" w:lineRule="auto"/>
                    <w:ind w:left="322"/>
                    <w:rPr>
                      <w:sz w:val="21"/>
                      <w:szCs w:val="21"/>
                    </w:rPr>
                  </w:pPr>
                  <w:r>
                    <w:rPr>
                      <w:spacing w:val="-1"/>
                      <w:sz w:val="21"/>
                      <w:szCs w:val="21"/>
                    </w:rPr>
                    <w:t>封堵剂</w:t>
                  </w:r>
                </w:p>
              </w:tc>
              <w:tc>
                <w:tcPr>
                  <w:tcW w:w="2687" w:type="dxa"/>
                  <w:vAlign w:val="top"/>
                </w:tcPr>
                <w:p>
                  <w:pPr>
                    <w:spacing w:before="93" w:line="187" w:lineRule="auto"/>
                    <w:ind w:left="10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JSH-01</w:t>
                  </w:r>
                </w:p>
              </w:tc>
              <w:tc>
                <w:tcPr>
                  <w:tcW w:w="852" w:type="dxa"/>
                  <w:vAlign w:val="top"/>
                </w:tcPr>
                <w:p>
                  <w:pPr>
                    <w:spacing w:before="72" w:line="233"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3"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c>
                <w:tcPr>
                  <w:tcW w:w="844" w:type="dxa"/>
                  <w:vAlign w:val="top"/>
                </w:tcPr>
                <w:p>
                  <w:pPr>
                    <w:spacing w:before="93"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33" w:line="220" w:lineRule="auto"/>
                    <w:ind w:left="115"/>
                    <w:rPr>
                      <w:sz w:val="21"/>
                      <w:szCs w:val="21"/>
                    </w:rPr>
                  </w:pPr>
                  <w:r>
                    <w:rPr>
                      <w:spacing w:val="-2"/>
                      <w:sz w:val="21"/>
                      <w:szCs w:val="21"/>
                    </w:rPr>
                    <w:t>流型调节剂</w:t>
                  </w:r>
                </w:p>
              </w:tc>
              <w:tc>
                <w:tcPr>
                  <w:tcW w:w="2687" w:type="dxa"/>
                  <w:vAlign w:val="top"/>
                </w:tcPr>
                <w:p>
                  <w:pPr>
                    <w:spacing w:before="89" w:line="215"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2" w:line="232" w:lineRule="auto"/>
                    <w:ind w:left="312"/>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5"/>
                      <w:sz w:val="13"/>
                      <w:szCs w:val="13"/>
                    </w:rPr>
                    <w:t>3</w:t>
                  </w:r>
                </w:p>
              </w:tc>
              <w:tc>
                <w:tcPr>
                  <w:tcW w:w="849" w:type="dxa"/>
                  <w:vAlign w:val="top"/>
                </w:tcPr>
                <w:p>
                  <w:pPr>
                    <w:spacing w:before="93"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844" w:type="dxa"/>
                  <w:vAlign w:val="top"/>
                </w:tcPr>
                <w:p>
                  <w:pPr>
                    <w:spacing w:before="93"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2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839" w:type="dxa"/>
                  <w:vMerge w:val="continue"/>
                  <w:tcBorders>
                    <w:top w:val="nil"/>
                  </w:tcBorders>
                  <w:vAlign w:val="top"/>
                </w:tcPr>
                <w:p>
                  <w:pPr>
                    <w:rPr>
                      <w:rFonts w:ascii="Arial"/>
                      <w:sz w:val="21"/>
                    </w:rPr>
                  </w:pPr>
                </w:p>
              </w:tc>
              <w:tc>
                <w:tcPr>
                  <w:tcW w:w="1271" w:type="dxa"/>
                  <w:vAlign w:val="top"/>
                </w:tcPr>
                <w:p>
                  <w:pPr>
                    <w:spacing w:line="255" w:lineRule="auto"/>
                    <w:rPr>
                      <w:rFonts w:ascii="Arial"/>
                      <w:sz w:val="21"/>
                    </w:rPr>
                  </w:pPr>
                </w:p>
                <w:p>
                  <w:pPr>
                    <w:spacing w:line="255" w:lineRule="auto"/>
                    <w:rPr>
                      <w:rFonts w:ascii="Arial"/>
                      <w:sz w:val="21"/>
                    </w:rPr>
                  </w:pPr>
                </w:p>
                <w:p>
                  <w:pPr>
                    <w:pStyle w:val="6"/>
                    <w:spacing w:before="68" w:line="229" w:lineRule="auto"/>
                    <w:ind w:left="322" w:right="106" w:hanging="207"/>
                    <w:rPr>
                      <w:sz w:val="21"/>
                      <w:szCs w:val="21"/>
                    </w:rPr>
                  </w:pPr>
                  <w:r>
                    <w:rPr>
                      <w:spacing w:val="-2"/>
                      <w:sz w:val="21"/>
                      <w:szCs w:val="21"/>
                    </w:rPr>
                    <w:t>酸化洗井用</w:t>
                  </w:r>
                  <w:r>
                    <w:rPr>
                      <w:spacing w:val="3"/>
                      <w:sz w:val="21"/>
                      <w:szCs w:val="21"/>
                    </w:rPr>
                    <w:t xml:space="preserve"> </w:t>
                  </w:r>
                  <w:r>
                    <w:rPr>
                      <w:spacing w:val="-1"/>
                      <w:sz w:val="21"/>
                      <w:szCs w:val="21"/>
                    </w:rPr>
                    <w:t>胶束酸</w:t>
                  </w:r>
                </w:p>
              </w:tc>
              <w:tc>
                <w:tcPr>
                  <w:tcW w:w="2687" w:type="dxa"/>
                  <w:vAlign w:val="top"/>
                </w:tcPr>
                <w:p>
                  <w:pPr>
                    <w:spacing w:line="254" w:lineRule="auto"/>
                    <w:rPr>
                      <w:rFonts w:ascii="Arial"/>
                      <w:sz w:val="21"/>
                    </w:rPr>
                  </w:pPr>
                </w:p>
                <w:p>
                  <w:pPr>
                    <w:spacing w:line="255" w:lineRule="auto"/>
                    <w:rPr>
                      <w:rFonts w:ascii="Arial"/>
                      <w:sz w:val="21"/>
                    </w:rPr>
                  </w:pPr>
                </w:p>
                <w:p>
                  <w:pPr>
                    <w:pStyle w:val="6"/>
                    <w:spacing w:before="69" w:line="226" w:lineRule="auto"/>
                    <w:ind w:left="751" w:right="99" w:hanging="636"/>
                    <w:rPr>
                      <w:sz w:val="21"/>
                      <w:szCs w:val="21"/>
                    </w:rPr>
                  </w:pPr>
                  <w:r>
                    <w:rPr>
                      <w:spacing w:val="-5"/>
                      <w:sz w:val="21"/>
                      <w:szCs w:val="21"/>
                    </w:rPr>
                    <w:t>稀盐酸、低分子醇、磷化物</w:t>
                  </w:r>
                  <w:r>
                    <w:rPr>
                      <w:spacing w:val="6"/>
                      <w:sz w:val="21"/>
                      <w:szCs w:val="21"/>
                    </w:rPr>
                    <w:t xml:space="preserve"> </w:t>
                  </w:r>
                  <w:r>
                    <w:rPr>
                      <w:spacing w:val="-12"/>
                      <w:sz w:val="21"/>
                      <w:szCs w:val="21"/>
                    </w:rPr>
                    <w:t>等，</w:t>
                  </w:r>
                  <w:r>
                    <w:rPr>
                      <w:spacing w:val="-30"/>
                      <w:sz w:val="21"/>
                      <w:szCs w:val="21"/>
                    </w:rPr>
                    <w:t xml:space="preserve"> </w:t>
                  </w:r>
                  <w:r>
                    <w:rPr>
                      <w:rFonts w:ascii="Times New Roman" w:hAnsi="Times New Roman" w:eastAsia="Times New Roman" w:cs="Times New Roman"/>
                      <w:spacing w:val="-12"/>
                      <w:sz w:val="21"/>
                      <w:szCs w:val="21"/>
                    </w:rPr>
                    <w:t>pH</w:t>
                  </w:r>
                  <w:r>
                    <w:rPr>
                      <w:spacing w:val="-12"/>
                      <w:sz w:val="21"/>
                      <w:szCs w:val="21"/>
                    </w:rPr>
                    <w:t>＜</w:t>
                  </w:r>
                  <w:r>
                    <w:rPr>
                      <w:rFonts w:ascii="Times New Roman" w:hAnsi="Times New Roman" w:eastAsia="Times New Roman" w:cs="Times New Roman"/>
                      <w:spacing w:val="-12"/>
                      <w:sz w:val="21"/>
                      <w:szCs w:val="21"/>
                    </w:rPr>
                    <w:t>5</w:t>
                  </w:r>
                  <w:r>
                    <w:rPr>
                      <w:spacing w:val="-12"/>
                      <w:sz w:val="21"/>
                      <w:szCs w:val="21"/>
                    </w:rPr>
                    <w:t>。</w:t>
                  </w:r>
                </w:p>
              </w:tc>
              <w:tc>
                <w:tcPr>
                  <w:tcW w:w="852" w:type="dxa"/>
                  <w:vAlign w:val="top"/>
                </w:tcPr>
                <w:p>
                  <w:pPr>
                    <w:spacing w:line="334" w:lineRule="auto"/>
                    <w:rPr>
                      <w:rFonts w:ascii="Arial"/>
                      <w:sz w:val="21"/>
                    </w:rPr>
                  </w:pPr>
                </w:p>
                <w:p>
                  <w:pPr>
                    <w:spacing w:line="334" w:lineRule="auto"/>
                    <w:rPr>
                      <w:rFonts w:ascii="Arial"/>
                      <w:sz w:val="21"/>
                    </w:rPr>
                  </w:pPr>
                </w:p>
                <w:p>
                  <w:pPr>
                    <w:spacing w:before="60" w:line="255"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849" w:type="dxa"/>
                  <w:vAlign w:val="top"/>
                </w:tcPr>
                <w:p>
                  <w:pPr>
                    <w:spacing w:line="344" w:lineRule="auto"/>
                    <w:rPr>
                      <w:rFonts w:ascii="Arial"/>
                      <w:sz w:val="21"/>
                    </w:rPr>
                  </w:pPr>
                </w:p>
                <w:p>
                  <w:pPr>
                    <w:spacing w:line="345" w:lineRule="auto"/>
                    <w:rPr>
                      <w:rFonts w:ascii="Arial"/>
                      <w:sz w:val="21"/>
                    </w:rPr>
                  </w:pPr>
                </w:p>
                <w:p>
                  <w:pPr>
                    <w:spacing w:before="60"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844" w:type="dxa"/>
                  <w:vAlign w:val="top"/>
                </w:tcPr>
                <w:p>
                  <w:pPr>
                    <w:spacing w:line="344" w:lineRule="auto"/>
                    <w:rPr>
                      <w:rFonts w:ascii="Arial"/>
                      <w:sz w:val="21"/>
                    </w:rPr>
                  </w:pPr>
                </w:p>
                <w:p>
                  <w:pPr>
                    <w:spacing w:line="345" w:lineRule="auto"/>
                    <w:rPr>
                      <w:rFonts w:ascii="Arial"/>
                      <w:sz w:val="21"/>
                    </w:rPr>
                  </w:pPr>
                </w:p>
                <w:p>
                  <w:pPr>
                    <w:spacing w:before="60"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270" w:type="dxa"/>
                  <w:vAlign w:val="top"/>
                </w:tcPr>
                <w:p>
                  <w:pPr>
                    <w:pStyle w:val="6"/>
                    <w:spacing w:before="34" w:line="235" w:lineRule="auto"/>
                    <w:ind w:left="122" w:right="150" w:firstLine="84"/>
                    <w:jc w:val="both"/>
                    <w:rPr>
                      <w:sz w:val="21"/>
                      <w:szCs w:val="21"/>
                    </w:rPr>
                  </w:pPr>
                  <w:r>
                    <w:rPr>
                      <w:rFonts w:ascii="Times New Roman" w:hAnsi="Times New Roman" w:eastAsia="Times New Roman" w:cs="Times New Roman"/>
                      <w:spacing w:val="-3"/>
                      <w:sz w:val="21"/>
                      <w:szCs w:val="21"/>
                    </w:rPr>
                    <w:t>2</w:t>
                  </w:r>
                  <w:r>
                    <w:rPr>
                      <w:rFonts w:ascii="Times New Roman" w:hAnsi="Times New Roman" w:eastAsia="Times New Roman" w:cs="Times New Roman"/>
                      <w:spacing w:val="10"/>
                      <w:sz w:val="21"/>
                      <w:szCs w:val="21"/>
                    </w:rPr>
                    <w:t xml:space="preserve"> </w:t>
                  </w:r>
                  <w:r>
                    <w:rPr>
                      <w:spacing w:val="-3"/>
                      <w:sz w:val="21"/>
                      <w:szCs w:val="21"/>
                    </w:rPr>
                    <w:t>个</w:t>
                  </w:r>
                  <w:r>
                    <w:rPr>
                      <w:spacing w:val="-42"/>
                      <w:sz w:val="21"/>
                      <w:szCs w:val="21"/>
                    </w:rPr>
                    <w:t xml:space="preserve"> </w:t>
                  </w:r>
                  <w:r>
                    <w:rPr>
                      <w:rFonts w:ascii="Times New Roman" w:hAnsi="Times New Roman" w:eastAsia="Times New Roman" w:cs="Times New Roman"/>
                      <w:spacing w:val="-3"/>
                      <w:sz w:val="21"/>
                      <w:szCs w:val="21"/>
                    </w:rPr>
                    <w:t>50m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position w:val="6"/>
                      <w:sz w:val="13"/>
                      <w:szCs w:val="13"/>
                    </w:rPr>
                    <w:t xml:space="preserve">   </w:t>
                  </w:r>
                  <w:r>
                    <w:rPr>
                      <w:spacing w:val="-12"/>
                      <w:sz w:val="21"/>
                      <w:szCs w:val="21"/>
                    </w:rPr>
                    <w:t>玻璃钢罐，</w:t>
                  </w:r>
                  <w:r>
                    <w:rPr>
                      <w:spacing w:val="1"/>
                      <w:sz w:val="21"/>
                      <w:szCs w:val="21"/>
                    </w:rPr>
                    <w:t xml:space="preserve"> </w:t>
                  </w:r>
                  <w:r>
                    <w:rPr>
                      <w:spacing w:val="23"/>
                      <w:sz w:val="21"/>
                      <w:szCs w:val="21"/>
                    </w:rPr>
                    <w:t>酸化前三</w:t>
                  </w:r>
                  <w:r>
                    <w:rPr>
                      <w:spacing w:val="1"/>
                      <w:sz w:val="21"/>
                      <w:szCs w:val="21"/>
                    </w:rPr>
                    <w:t xml:space="preserve"> </w:t>
                  </w:r>
                  <w:r>
                    <w:rPr>
                      <w:spacing w:val="23"/>
                      <w:sz w:val="21"/>
                      <w:szCs w:val="21"/>
                    </w:rPr>
                    <w:t>天运至现</w:t>
                  </w:r>
                </w:p>
                <w:p>
                  <w:pPr>
                    <w:pStyle w:val="6"/>
                    <w:spacing w:before="22" w:line="222" w:lineRule="auto"/>
                    <w:ind w:left="119" w:right="30" w:hanging="1"/>
                    <w:rPr>
                      <w:sz w:val="21"/>
                      <w:szCs w:val="21"/>
                    </w:rPr>
                  </w:pPr>
                  <w:r>
                    <w:rPr>
                      <w:spacing w:val="-4"/>
                      <w:sz w:val="21"/>
                      <w:szCs w:val="21"/>
                    </w:rPr>
                    <w:t xml:space="preserve">场暂存。盐 </w:t>
                  </w:r>
                  <w:r>
                    <w:rPr>
                      <w:spacing w:val="-1"/>
                      <w:sz w:val="21"/>
                      <w:szCs w:val="21"/>
                    </w:rPr>
                    <w:t>酸浓度</w:t>
                  </w:r>
                  <w:r>
                    <w:rPr>
                      <w:rFonts w:ascii="Times New Roman" w:hAnsi="Times New Roman" w:eastAsia="Times New Roman" w:cs="Times New Roman"/>
                      <w:spacing w:val="-1"/>
                      <w:sz w:val="21"/>
                      <w:szCs w:val="21"/>
                    </w:rPr>
                    <w:t>7%</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9" w:type="dxa"/>
                  <w:vMerge w:val="restart"/>
                  <w:tcBorders>
                    <w:bottom w:val="nil"/>
                  </w:tcBorders>
                  <w:vAlign w:val="top"/>
                </w:tcPr>
                <w:p>
                  <w:pPr>
                    <w:pStyle w:val="6"/>
                    <w:spacing w:before="33" w:line="221" w:lineRule="auto"/>
                    <w:ind w:left="213"/>
                    <w:rPr>
                      <w:sz w:val="21"/>
                      <w:szCs w:val="21"/>
                    </w:rPr>
                  </w:pPr>
                  <w:r>
                    <w:rPr>
                      <w:spacing w:val="-2"/>
                      <w:sz w:val="21"/>
                      <w:szCs w:val="21"/>
                    </w:rPr>
                    <w:t>废水</w:t>
                  </w:r>
                </w:p>
                <w:p>
                  <w:pPr>
                    <w:pStyle w:val="6"/>
                    <w:spacing w:before="21" w:line="221" w:lineRule="auto"/>
                    <w:ind w:left="214"/>
                    <w:rPr>
                      <w:sz w:val="21"/>
                      <w:szCs w:val="21"/>
                    </w:rPr>
                  </w:pPr>
                  <w:r>
                    <w:rPr>
                      <w:spacing w:val="-2"/>
                      <w:sz w:val="21"/>
                      <w:szCs w:val="21"/>
                    </w:rPr>
                    <w:t>井场</w:t>
                  </w:r>
                </w:p>
                <w:p>
                  <w:pPr>
                    <w:pStyle w:val="6"/>
                    <w:spacing w:before="22" w:line="221" w:lineRule="auto"/>
                    <w:ind w:left="216"/>
                    <w:rPr>
                      <w:sz w:val="21"/>
                      <w:szCs w:val="21"/>
                    </w:rPr>
                  </w:pPr>
                  <w:r>
                    <w:rPr>
                      <w:spacing w:val="-2"/>
                      <w:sz w:val="21"/>
                      <w:szCs w:val="21"/>
                    </w:rPr>
                    <w:t>就地</w:t>
                  </w:r>
                </w:p>
                <w:p>
                  <w:pPr>
                    <w:pStyle w:val="6"/>
                    <w:spacing w:before="19" w:line="221" w:lineRule="auto"/>
                    <w:ind w:left="216"/>
                    <w:rPr>
                      <w:sz w:val="21"/>
                      <w:szCs w:val="21"/>
                    </w:rPr>
                  </w:pPr>
                  <w:r>
                    <w:rPr>
                      <w:spacing w:val="-2"/>
                      <w:sz w:val="21"/>
                      <w:szCs w:val="21"/>
                    </w:rPr>
                    <w:t>预处</w:t>
                  </w:r>
                </w:p>
                <w:p>
                  <w:pPr>
                    <w:pStyle w:val="6"/>
                    <w:spacing w:before="22" w:line="221" w:lineRule="auto"/>
                    <w:ind w:left="216"/>
                    <w:rPr>
                      <w:sz w:val="21"/>
                      <w:szCs w:val="21"/>
                    </w:rPr>
                  </w:pPr>
                  <w:r>
                    <w:rPr>
                      <w:spacing w:val="-3"/>
                      <w:sz w:val="21"/>
                      <w:szCs w:val="21"/>
                    </w:rPr>
                    <w:t>理药</w:t>
                  </w:r>
                </w:p>
                <w:p>
                  <w:pPr>
                    <w:pStyle w:val="6"/>
                    <w:spacing w:before="19" w:line="209" w:lineRule="auto"/>
                    <w:ind w:left="320"/>
                    <w:rPr>
                      <w:sz w:val="21"/>
                      <w:szCs w:val="21"/>
                    </w:rPr>
                  </w:pPr>
                  <w:r>
                    <w:rPr>
                      <w:sz w:val="21"/>
                      <w:szCs w:val="21"/>
                    </w:rPr>
                    <w:t>剂</w:t>
                  </w:r>
                </w:p>
              </w:tc>
              <w:tc>
                <w:tcPr>
                  <w:tcW w:w="1271" w:type="dxa"/>
                  <w:vAlign w:val="top"/>
                </w:tcPr>
                <w:p>
                  <w:pPr>
                    <w:spacing w:before="91"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PAC</w:t>
                  </w:r>
                </w:p>
              </w:tc>
              <w:tc>
                <w:tcPr>
                  <w:tcW w:w="2687" w:type="dxa"/>
                  <w:vAlign w:val="top"/>
                </w:tcPr>
                <w:p>
                  <w:pPr>
                    <w:spacing w:before="88" w:line="217"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88" w:line="217"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before="91"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844" w:type="dxa"/>
                  <w:vAlign w:val="top"/>
                </w:tcPr>
                <w:p>
                  <w:pPr>
                    <w:spacing w:before="91"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1270" w:type="dxa"/>
                  <w:vMerge w:val="restart"/>
                  <w:tcBorders>
                    <w:bottom w:val="nil"/>
                  </w:tcBorders>
                  <w:vAlign w:val="top"/>
                </w:tcPr>
                <w:p>
                  <w:pPr>
                    <w:spacing w:line="254" w:lineRule="auto"/>
                    <w:rPr>
                      <w:rFonts w:ascii="Arial"/>
                      <w:sz w:val="21"/>
                    </w:rPr>
                  </w:pPr>
                </w:p>
                <w:p>
                  <w:pPr>
                    <w:spacing w:line="255" w:lineRule="auto"/>
                    <w:rPr>
                      <w:rFonts w:ascii="Arial"/>
                      <w:sz w:val="21"/>
                    </w:rPr>
                  </w:pPr>
                </w:p>
                <w:p>
                  <w:pPr>
                    <w:pStyle w:val="6"/>
                    <w:spacing w:before="68" w:line="229" w:lineRule="auto"/>
                    <w:ind w:left="535" w:right="208" w:hanging="313"/>
                    <w:rPr>
                      <w:sz w:val="21"/>
                      <w:szCs w:val="21"/>
                    </w:rPr>
                  </w:pPr>
                  <w:r>
                    <w:rPr>
                      <w:spacing w:val="-2"/>
                      <w:sz w:val="21"/>
                      <w:szCs w:val="21"/>
                    </w:rPr>
                    <w:t>材料区暂</w:t>
                  </w:r>
                  <w:r>
                    <w:rPr>
                      <w:spacing w:val="1"/>
                      <w:sz w:val="21"/>
                      <w:szCs w:val="21"/>
                    </w:rPr>
                    <w:t xml:space="preserve"> </w:t>
                  </w:r>
                  <w:r>
                    <w:rPr>
                      <w:sz w:val="21"/>
                      <w:szCs w:val="21"/>
                    </w:rPr>
                    <w:t>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spacing w:before="92"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PAM</w:t>
                  </w:r>
                </w:p>
              </w:tc>
              <w:tc>
                <w:tcPr>
                  <w:tcW w:w="2687" w:type="dxa"/>
                  <w:vAlign w:val="top"/>
                </w:tcPr>
                <w:p>
                  <w:pPr>
                    <w:spacing w:before="88" w:line="216"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88" w:line="216"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before="91"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844" w:type="dxa"/>
                  <w:vAlign w:val="top"/>
                </w:tcPr>
                <w:p>
                  <w:pPr>
                    <w:spacing w:before="91"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9" w:type="dxa"/>
                  <w:vMerge w:val="continue"/>
                  <w:tcBorders>
                    <w:top w:val="nil"/>
                    <w:bottom w:val="nil"/>
                  </w:tcBorders>
                  <w:vAlign w:val="top"/>
                </w:tcPr>
                <w:p>
                  <w:pPr>
                    <w:rPr>
                      <w:rFonts w:ascii="Arial"/>
                      <w:sz w:val="21"/>
                    </w:rPr>
                  </w:pPr>
                </w:p>
              </w:tc>
              <w:tc>
                <w:tcPr>
                  <w:tcW w:w="1271" w:type="dxa"/>
                  <w:vAlign w:val="top"/>
                </w:tcPr>
                <w:p>
                  <w:pPr>
                    <w:pStyle w:val="6"/>
                    <w:spacing w:before="53" w:line="221" w:lineRule="auto"/>
                    <w:ind w:left="225"/>
                    <w:rPr>
                      <w:sz w:val="21"/>
                      <w:szCs w:val="21"/>
                    </w:rPr>
                  </w:pPr>
                  <w:r>
                    <w:rPr>
                      <w:spacing w:val="-3"/>
                      <w:sz w:val="21"/>
                      <w:szCs w:val="21"/>
                    </w:rPr>
                    <w:t>次氯酸钠</w:t>
                  </w:r>
                </w:p>
              </w:tc>
              <w:tc>
                <w:tcPr>
                  <w:tcW w:w="2687" w:type="dxa"/>
                  <w:vAlign w:val="top"/>
                </w:tcPr>
                <w:p>
                  <w:pPr>
                    <w:spacing w:before="88" w:line="216"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88" w:line="216"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before="92"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844" w:type="dxa"/>
                  <w:vAlign w:val="top"/>
                </w:tcPr>
                <w:p>
                  <w:pPr>
                    <w:spacing w:before="92"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12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39" w:type="dxa"/>
                  <w:vMerge w:val="continue"/>
                  <w:tcBorders>
                    <w:top w:val="nil"/>
                  </w:tcBorders>
                  <w:vAlign w:val="top"/>
                </w:tcPr>
                <w:p>
                  <w:pPr>
                    <w:rPr>
                      <w:rFonts w:ascii="Arial"/>
                      <w:sz w:val="21"/>
                    </w:rPr>
                  </w:pPr>
                </w:p>
              </w:tc>
              <w:tc>
                <w:tcPr>
                  <w:tcW w:w="1271" w:type="dxa"/>
                  <w:vAlign w:val="top"/>
                </w:tcPr>
                <w:p>
                  <w:pPr>
                    <w:pStyle w:val="6"/>
                    <w:spacing w:before="234" w:line="220" w:lineRule="auto"/>
                    <w:ind w:left="324"/>
                    <w:rPr>
                      <w:sz w:val="21"/>
                      <w:szCs w:val="21"/>
                    </w:rPr>
                  </w:pPr>
                  <w:r>
                    <w:rPr>
                      <w:spacing w:val="-2"/>
                      <w:sz w:val="21"/>
                      <w:szCs w:val="21"/>
                    </w:rPr>
                    <w:t>氧化钙</w:t>
                  </w:r>
                </w:p>
              </w:tc>
              <w:tc>
                <w:tcPr>
                  <w:tcW w:w="2687" w:type="dxa"/>
                  <w:vAlign w:val="top"/>
                </w:tcPr>
                <w:p>
                  <w:pPr>
                    <w:spacing w:before="269" w:line="233" w:lineRule="auto"/>
                    <w:ind w:left="13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270" w:line="234"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49" w:type="dxa"/>
                  <w:vAlign w:val="top"/>
                </w:tcPr>
                <w:p>
                  <w:pPr>
                    <w:spacing w:before="273"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844" w:type="dxa"/>
                  <w:vAlign w:val="top"/>
                </w:tcPr>
                <w:p>
                  <w:pPr>
                    <w:spacing w:before="273"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1270" w:type="dxa"/>
                  <w:vMerge w:val="continue"/>
                  <w:tcBorders>
                    <w:top w:val="nil"/>
                  </w:tcBorders>
                  <w:vAlign w:val="top"/>
                </w:tcPr>
                <w:p>
                  <w:pPr>
                    <w:rPr>
                      <w:rFonts w:ascii="Arial"/>
                      <w:sz w:val="21"/>
                    </w:rPr>
                  </w:pPr>
                </w:p>
              </w:tc>
            </w:tr>
          </w:tbl>
          <w:p>
            <w:pPr>
              <w:pStyle w:val="6"/>
              <w:spacing w:before="178" w:line="369" w:lineRule="auto"/>
              <w:ind w:left="565" w:right="17" w:firstLine="481"/>
              <w:jc w:val="both"/>
              <w:rPr>
                <w:sz w:val="24"/>
                <w:szCs w:val="24"/>
              </w:rPr>
            </w:pPr>
            <w:r>
              <w:rPr>
                <w:spacing w:val="-1"/>
                <w:sz w:val="24"/>
                <w:szCs w:val="24"/>
              </w:rPr>
              <w:t>本项目采用常规钻井工艺进行钻井。钻井液初</w:t>
            </w:r>
            <w:r>
              <w:rPr>
                <w:spacing w:val="-2"/>
                <w:sz w:val="24"/>
                <w:szCs w:val="24"/>
              </w:rPr>
              <w:t xml:space="preserve">期在场地内配备并储存于钻井液 </w:t>
            </w:r>
            <w:r>
              <w:rPr>
                <w:spacing w:val="-14"/>
                <w:sz w:val="24"/>
                <w:szCs w:val="24"/>
              </w:rPr>
              <w:t>罐中循环使用， 调配钻井液原料， 分区分类贮存于井场内， 贮存区上部设雨篷遮挡。</w:t>
            </w:r>
            <w:r>
              <w:rPr>
                <w:spacing w:val="12"/>
                <w:sz w:val="24"/>
                <w:szCs w:val="24"/>
              </w:rPr>
              <w:t xml:space="preserve"> </w:t>
            </w:r>
            <w:r>
              <w:rPr>
                <w:spacing w:val="-4"/>
                <w:sz w:val="24"/>
                <w:szCs w:val="24"/>
              </w:rPr>
              <w:t>储备钻井液压调配好后储存于钻井液罐中（钻井液罐区采取防渗措施） 。本</w:t>
            </w:r>
            <w:r>
              <w:rPr>
                <w:spacing w:val="-5"/>
                <w:sz w:val="24"/>
                <w:szCs w:val="24"/>
              </w:rPr>
              <w:t>项目各</w:t>
            </w:r>
          </w:p>
          <w:p>
            <w:pPr>
              <w:pStyle w:val="6"/>
              <w:spacing w:line="219" w:lineRule="auto"/>
              <w:ind w:left="566"/>
              <w:rPr>
                <w:sz w:val="24"/>
                <w:szCs w:val="24"/>
              </w:rPr>
            </w:pPr>
            <w:r>
              <w:rPr>
                <w:spacing w:val="-3"/>
                <w:sz w:val="24"/>
                <w:szCs w:val="24"/>
              </w:rPr>
              <w:t>井段钻井液配方情况详见下表。</w:t>
            </w:r>
          </w:p>
          <w:p>
            <w:pPr>
              <w:pStyle w:val="6"/>
              <w:spacing w:before="194" w:line="219" w:lineRule="auto"/>
              <w:ind w:left="2665"/>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2.5-2    </w:t>
            </w:r>
            <w:r>
              <w:rPr>
                <w:sz w:val="24"/>
                <w:szCs w:val="24"/>
                <w14:textOutline w14:w="4354" w14:cap="flat" w14:cmpd="sng">
                  <w14:solidFill>
                    <w14:srgbClr w14:val="000000"/>
                  </w14:solidFill>
                  <w14:prstDash w14:val="solid"/>
                  <w14:miter w14:val="10"/>
                </w14:textOutline>
              </w:rPr>
              <w:t>本项目钻井液配方及用量</w:t>
            </w:r>
            <w:r>
              <w:rPr>
                <w:spacing w:val="-1"/>
                <w:sz w:val="24"/>
                <w:szCs w:val="24"/>
                <w14:textOutline w14:w="4354" w14:cap="flat" w14:cmpd="sng">
                  <w14:solidFill>
                    <w14:srgbClr w14:val="000000"/>
                  </w14:solidFill>
                  <w14:prstDash w14:val="solid"/>
                  <w14:miter w14:val="10"/>
                </w14:textOutline>
              </w:rPr>
              <w:t>情况表</w:t>
            </w:r>
          </w:p>
          <w:p>
            <w:pPr>
              <w:spacing w:line="18"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851"/>
              <w:gridCol w:w="847"/>
              <w:gridCol w:w="3397"/>
              <w:gridCol w:w="705"/>
              <w:gridCol w:w="2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93" w:type="dxa"/>
                  <w:vAlign w:val="top"/>
                </w:tcPr>
                <w:p>
                  <w:pPr>
                    <w:pStyle w:val="6"/>
                    <w:spacing w:before="34" w:line="224" w:lineRule="auto"/>
                    <w:ind w:left="147" w:right="131" w:hanging="4"/>
                    <w:rPr>
                      <w:sz w:val="21"/>
                      <w:szCs w:val="21"/>
                    </w:rPr>
                  </w:pPr>
                  <w:r>
                    <w:rPr>
                      <w:spacing w:val="-4"/>
                      <w:sz w:val="21"/>
                      <w:szCs w:val="21"/>
                    </w:rPr>
                    <w:t>开钻</w:t>
                  </w:r>
                  <w:r>
                    <w:rPr>
                      <w:sz w:val="21"/>
                      <w:szCs w:val="21"/>
                    </w:rPr>
                    <w:t xml:space="preserve"> </w:t>
                  </w:r>
                  <w:r>
                    <w:rPr>
                      <w:spacing w:val="-6"/>
                      <w:sz w:val="21"/>
                      <w:szCs w:val="21"/>
                    </w:rPr>
                    <w:t>次序</w:t>
                  </w:r>
                </w:p>
              </w:tc>
              <w:tc>
                <w:tcPr>
                  <w:tcW w:w="851" w:type="dxa"/>
                  <w:vAlign w:val="top"/>
                </w:tcPr>
                <w:p>
                  <w:pPr>
                    <w:pStyle w:val="6"/>
                    <w:spacing w:before="34" w:line="224" w:lineRule="auto"/>
                    <w:ind w:left="146" w:right="142" w:firstLine="75"/>
                    <w:rPr>
                      <w:sz w:val="21"/>
                      <w:szCs w:val="21"/>
                    </w:rPr>
                  </w:pPr>
                  <w:r>
                    <w:rPr>
                      <w:spacing w:val="-3"/>
                      <w:sz w:val="21"/>
                      <w:szCs w:val="21"/>
                    </w:rPr>
                    <w:t>井段</w:t>
                  </w:r>
                  <w:r>
                    <w:rPr>
                      <w:sz w:val="21"/>
                      <w:szCs w:val="21"/>
                    </w:rPr>
                    <w:t xml:space="preserve"> </w:t>
                  </w:r>
                  <w:r>
                    <w:rPr>
                      <w:spacing w:val="-9"/>
                      <w:sz w:val="21"/>
                      <w:szCs w:val="21"/>
                    </w:rPr>
                    <w:t>（</w:t>
                  </w:r>
                  <w:r>
                    <w:rPr>
                      <w:rFonts w:ascii="Times New Roman" w:hAnsi="Times New Roman" w:eastAsia="Times New Roman" w:cs="Times New Roman"/>
                      <w:spacing w:val="-9"/>
                      <w:sz w:val="21"/>
                      <w:szCs w:val="21"/>
                    </w:rPr>
                    <w:t>m</w:t>
                  </w:r>
                  <w:r>
                    <w:rPr>
                      <w:spacing w:val="-9"/>
                      <w:sz w:val="21"/>
                      <w:szCs w:val="21"/>
                    </w:rPr>
                    <w:t>）</w:t>
                  </w:r>
                </w:p>
              </w:tc>
              <w:tc>
                <w:tcPr>
                  <w:tcW w:w="847" w:type="dxa"/>
                  <w:vAlign w:val="top"/>
                </w:tcPr>
                <w:p>
                  <w:pPr>
                    <w:pStyle w:val="6"/>
                    <w:spacing w:before="34" w:line="224" w:lineRule="auto"/>
                    <w:ind w:left="217" w:right="103" w:hanging="105"/>
                    <w:rPr>
                      <w:sz w:val="21"/>
                      <w:szCs w:val="21"/>
                    </w:rPr>
                  </w:pPr>
                  <w:r>
                    <w:rPr>
                      <w:spacing w:val="-2"/>
                      <w:sz w:val="21"/>
                      <w:szCs w:val="21"/>
                    </w:rPr>
                    <w:t>钻井液</w:t>
                  </w:r>
                  <w:r>
                    <w:rPr>
                      <w:sz w:val="21"/>
                      <w:szCs w:val="21"/>
                    </w:rPr>
                    <w:t xml:space="preserve"> </w:t>
                  </w:r>
                  <w:r>
                    <w:rPr>
                      <w:spacing w:val="-2"/>
                      <w:sz w:val="21"/>
                      <w:szCs w:val="21"/>
                    </w:rPr>
                    <w:t>类型</w:t>
                  </w:r>
                </w:p>
              </w:tc>
              <w:tc>
                <w:tcPr>
                  <w:tcW w:w="3397" w:type="dxa"/>
                  <w:vAlign w:val="top"/>
                </w:tcPr>
                <w:p>
                  <w:pPr>
                    <w:pStyle w:val="6"/>
                    <w:spacing w:before="171" w:line="222" w:lineRule="auto"/>
                    <w:ind w:left="1493"/>
                    <w:rPr>
                      <w:sz w:val="21"/>
                      <w:szCs w:val="21"/>
                    </w:rPr>
                  </w:pPr>
                  <w:r>
                    <w:rPr>
                      <w:spacing w:val="-2"/>
                      <w:sz w:val="21"/>
                      <w:szCs w:val="21"/>
                    </w:rPr>
                    <w:t>配方</w:t>
                  </w:r>
                </w:p>
              </w:tc>
              <w:tc>
                <w:tcPr>
                  <w:tcW w:w="705" w:type="dxa"/>
                  <w:vAlign w:val="top"/>
                </w:tcPr>
                <w:p>
                  <w:pPr>
                    <w:pStyle w:val="6"/>
                    <w:spacing w:before="48" w:line="226" w:lineRule="auto"/>
                    <w:ind w:left="173" w:right="134" w:hanging="20"/>
                    <w:rPr>
                      <w:rFonts w:ascii="Times New Roman" w:hAnsi="Times New Roman" w:eastAsia="Times New Roman" w:cs="Times New Roman"/>
                      <w:sz w:val="21"/>
                      <w:szCs w:val="21"/>
                    </w:rPr>
                  </w:pPr>
                  <w:r>
                    <w:rPr>
                      <w:spacing w:val="-4"/>
                      <w:sz w:val="21"/>
                      <w:szCs w:val="21"/>
                    </w:rPr>
                    <w:t>用量</w:t>
                  </w:r>
                  <w:r>
                    <w:rPr>
                      <w:sz w:val="21"/>
                      <w:szCs w:val="21"/>
                    </w:rPr>
                    <w:t xml:space="preserve"> </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1"/>
                      <w:szCs w:val="21"/>
                    </w:rPr>
                    <w:t>)</w:t>
                  </w:r>
                </w:p>
              </w:tc>
              <w:tc>
                <w:tcPr>
                  <w:tcW w:w="2119" w:type="dxa"/>
                  <w:vAlign w:val="top"/>
                </w:tcPr>
                <w:p>
                  <w:pPr>
                    <w:pStyle w:val="6"/>
                    <w:spacing w:before="171" w:line="222" w:lineRule="auto"/>
                    <w:ind w:left="855"/>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693" w:type="dxa"/>
                  <w:vAlign w:val="top"/>
                </w:tcPr>
                <w:p>
                  <w:pPr>
                    <w:pStyle w:val="6"/>
                    <w:spacing w:before="286" w:line="222" w:lineRule="auto"/>
                    <w:ind w:left="145"/>
                    <w:rPr>
                      <w:sz w:val="21"/>
                      <w:szCs w:val="21"/>
                    </w:rPr>
                  </w:pPr>
                  <w:r>
                    <w:rPr>
                      <w:spacing w:val="-5"/>
                      <w:sz w:val="21"/>
                      <w:szCs w:val="21"/>
                    </w:rPr>
                    <w:t>一开</w:t>
                  </w:r>
                </w:p>
              </w:tc>
              <w:tc>
                <w:tcPr>
                  <w:tcW w:w="851" w:type="dxa"/>
                  <w:vAlign w:val="top"/>
                </w:tcPr>
                <w:p>
                  <w:pPr>
                    <w:spacing w:line="263" w:lineRule="auto"/>
                    <w:rPr>
                      <w:rFonts w:ascii="Arial"/>
                      <w:sz w:val="21"/>
                    </w:rPr>
                  </w:pPr>
                </w:p>
                <w:p>
                  <w:pPr>
                    <w:spacing w:before="60"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0~50</w:t>
                  </w:r>
                </w:p>
              </w:tc>
              <w:tc>
                <w:tcPr>
                  <w:tcW w:w="847" w:type="dxa"/>
                  <w:vAlign w:val="top"/>
                </w:tcPr>
                <w:p>
                  <w:pPr>
                    <w:pStyle w:val="6"/>
                    <w:spacing w:before="149" w:line="231" w:lineRule="auto"/>
                    <w:ind w:left="217" w:right="103" w:hanging="105"/>
                    <w:rPr>
                      <w:sz w:val="21"/>
                      <w:szCs w:val="21"/>
                    </w:rPr>
                  </w:pPr>
                  <w:r>
                    <w:rPr>
                      <w:spacing w:val="-2"/>
                      <w:sz w:val="21"/>
                      <w:szCs w:val="21"/>
                    </w:rPr>
                    <w:t>清水钻</w:t>
                  </w:r>
                  <w:r>
                    <w:rPr>
                      <w:sz w:val="21"/>
                      <w:szCs w:val="21"/>
                    </w:rPr>
                    <w:t xml:space="preserve"> </w:t>
                  </w:r>
                  <w:r>
                    <w:rPr>
                      <w:spacing w:val="-2"/>
                      <w:sz w:val="21"/>
                      <w:szCs w:val="21"/>
                    </w:rPr>
                    <w:t>井液</w:t>
                  </w:r>
                </w:p>
              </w:tc>
              <w:tc>
                <w:tcPr>
                  <w:tcW w:w="3397" w:type="dxa"/>
                  <w:vAlign w:val="top"/>
                </w:tcPr>
                <w:p>
                  <w:pPr>
                    <w:pStyle w:val="6"/>
                    <w:spacing w:before="30" w:line="213" w:lineRule="auto"/>
                    <w:ind w:left="276"/>
                    <w:rPr>
                      <w:sz w:val="21"/>
                      <w:szCs w:val="21"/>
                    </w:rPr>
                  </w:pPr>
                  <w:r>
                    <w:rPr>
                      <w:rFonts w:ascii="Times New Roman" w:hAnsi="Times New Roman" w:eastAsia="Times New Roman" w:cs="Times New Roman"/>
                      <w:spacing w:val="2"/>
                      <w:sz w:val="21"/>
                      <w:szCs w:val="21"/>
                    </w:rPr>
                    <w:t>1.06g/</w:t>
                  </w:r>
                  <w:r>
                    <w:rPr>
                      <w:rFonts w:ascii="Times New Roman" w:hAnsi="Times New Roman" w:eastAsia="Times New Roman" w:cs="Times New Roman"/>
                      <w:sz w:val="21"/>
                      <w:szCs w:val="21"/>
                    </w:rPr>
                    <w:t>cm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7"/>
                      <w:position w:val="6"/>
                      <w:sz w:val="13"/>
                      <w:szCs w:val="13"/>
                    </w:rPr>
                    <w:t xml:space="preserve"> </w:t>
                  </w:r>
                  <w:r>
                    <w:rPr>
                      <w:spacing w:val="2"/>
                      <w:sz w:val="21"/>
                      <w:szCs w:val="21"/>
                    </w:rPr>
                    <w:t>的原浆、</w:t>
                  </w:r>
                  <w:r>
                    <w:rPr>
                      <w:rFonts w:ascii="Times New Roman" w:hAnsi="Times New Roman" w:eastAsia="Times New Roman" w:cs="Times New Roman"/>
                      <w:spacing w:val="2"/>
                      <w:sz w:val="21"/>
                      <w:szCs w:val="21"/>
                    </w:rPr>
                    <w:t>0.2</w:t>
                  </w:r>
                  <w:r>
                    <w:rPr>
                      <w:spacing w:val="-1"/>
                      <w:sz w:val="21"/>
                      <w:szCs w:val="21"/>
                    </w:rPr>
                    <w:t>％～</w:t>
                  </w:r>
                  <w:r>
                    <w:rPr>
                      <w:rFonts w:ascii="Times New Roman" w:hAnsi="Times New Roman" w:eastAsia="Times New Roman" w:cs="Times New Roman"/>
                      <w:spacing w:val="2"/>
                      <w:sz w:val="21"/>
                      <w:szCs w:val="21"/>
                    </w:rPr>
                    <w:t>0.3</w:t>
                  </w:r>
                  <w:r>
                    <w:rPr>
                      <w:spacing w:val="2"/>
                      <w:sz w:val="21"/>
                      <w:szCs w:val="21"/>
                    </w:rPr>
                    <w:t>%</w:t>
                  </w:r>
                </w:p>
                <w:p>
                  <w:pPr>
                    <w:pStyle w:val="6"/>
                    <w:spacing w:before="28" w:line="226" w:lineRule="auto"/>
                    <w:ind w:left="108"/>
                    <w:rPr>
                      <w:sz w:val="21"/>
                      <w:szCs w:val="21"/>
                    </w:rPr>
                  </w:pPr>
                  <w:r>
                    <w:rPr>
                      <w:rFonts w:ascii="Times New Roman" w:hAnsi="Times New Roman" w:eastAsia="Times New Roman" w:cs="Times New Roman"/>
                      <w:spacing w:val="-3"/>
                      <w:sz w:val="21"/>
                      <w:szCs w:val="21"/>
                    </w:rPr>
                    <w:t>KPAM</w:t>
                  </w:r>
                  <w:r>
                    <w:rPr>
                      <w:spacing w:val="-3"/>
                      <w:sz w:val="21"/>
                      <w:szCs w:val="21"/>
                    </w:rPr>
                    <w:t>、</w:t>
                  </w:r>
                  <w:r>
                    <w:rPr>
                      <w:rFonts w:ascii="Times New Roman" w:hAnsi="Times New Roman" w:eastAsia="Times New Roman" w:cs="Times New Roman"/>
                      <w:spacing w:val="-3"/>
                      <w:sz w:val="21"/>
                      <w:szCs w:val="21"/>
                    </w:rPr>
                    <w:t>0.2</w:t>
                  </w:r>
                  <w:r>
                    <w:rPr>
                      <w:spacing w:val="-5"/>
                      <w:sz w:val="21"/>
                      <w:szCs w:val="21"/>
                    </w:rPr>
                    <w:t>％～</w:t>
                  </w:r>
                  <w:r>
                    <w:rPr>
                      <w:rFonts w:ascii="Times New Roman" w:hAnsi="Times New Roman" w:eastAsia="Times New Roman" w:cs="Times New Roman"/>
                      <w:spacing w:val="-3"/>
                      <w:sz w:val="21"/>
                      <w:szCs w:val="21"/>
                    </w:rPr>
                    <w:t>0.3</w:t>
                  </w:r>
                  <w:r>
                    <w:rPr>
                      <w:spacing w:val="-3"/>
                      <w:sz w:val="21"/>
                      <w:szCs w:val="21"/>
                    </w:rPr>
                    <w:t>％</w:t>
                  </w:r>
                  <w:r>
                    <w:rPr>
                      <w:rFonts w:ascii="Times New Roman" w:hAnsi="Times New Roman" w:eastAsia="Times New Roman" w:cs="Times New Roman"/>
                      <w:spacing w:val="-3"/>
                      <w:sz w:val="21"/>
                      <w:szCs w:val="21"/>
                    </w:rPr>
                    <w:t>FA-367</w:t>
                  </w:r>
                  <w:r>
                    <w:rPr>
                      <w:spacing w:val="-3"/>
                      <w:sz w:val="21"/>
                      <w:szCs w:val="21"/>
                    </w:rPr>
                    <w:t>、适量</w:t>
                  </w:r>
                </w:p>
                <w:p>
                  <w:pPr>
                    <w:spacing w:before="40" w:line="182" w:lineRule="auto"/>
                    <w:ind w:left="133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PAC-LV</w:t>
                  </w:r>
                </w:p>
              </w:tc>
              <w:tc>
                <w:tcPr>
                  <w:tcW w:w="705" w:type="dxa"/>
                  <w:vAlign w:val="top"/>
                </w:tcPr>
                <w:p>
                  <w:pPr>
                    <w:spacing w:line="263" w:lineRule="auto"/>
                    <w:rPr>
                      <w:rFonts w:ascii="Arial"/>
                      <w:sz w:val="21"/>
                    </w:rPr>
                  </w:pPr>
                </w:p>
                <w:p>
                  <w:pPr>
                    <w:spacing w:before="60"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159</w:t>
                  </w:r>
                </w:p>
              </w:tc>
              <w:tc>
                <w:tcPr>
                  <w:tcW w:w="2119" w:type="dxa"/>
                  <w:vAlign w:val="top"/>
                </w:tcPr>
                <w:p>
                  <w:pPr>
                    <w:pStyle w:val="6"/>
                    <w:spacing w:before="166" w:line="226" w:lineRule="auto"/>
                    <w:ind w:left="649" w:right="232" w:hanging="426"/>
                    <w:rPr>
                      <w:rFonts w:ascii="Times New Roman" w:hAnsi="Times New Roman" w:eastAsia="Times New Roman" w:cs="Times New Roman"/>
                      <w:sz w:val="13"/>
                      <w:szCs w:val="13"/>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1.07</w:t>
                  </w:r>
                  <w:r>
                    <w:rPr>
                      <w:spacing w:val="5"/>
                      <w:sz w:val="21"/>
                      <w:szCs w:val="21"/>
                    </w:rPr>
                    <w:t>~</w:t>
                  </w:r>
                  <w:r>
                    <w:rPr>
                      <w:sz w:val="21"/>
                      <w:szCs w:val="21"/>
                    </w:rPr>
                    <w:t xml:space="preserve"> </w:t>
                  </w:r>
                  <w:r>
                    <w:rPr>
                      <w:rFonts w:ascii="Times New Roman" w:hAnsi="Times New Roman" w:eastAsia="Times New Roman" w:cs="Times New Roman"/>
                      <w:spacing w:val="-2"/>
                      <w:sz w:val="21"/>
                      <w:szCs w:val="21"/>
                    </w:rPr>
                    <w:t>1.15g/cm</w:t>
                  </w:r>
                  <w:r>
                    <w:rPr>
                      <w:rFonts w:ascii="Times New Roman" w:hAnsi="Times New Roman" w:eastAsia="Times New Roman" w:cs="Times New Roman"/>
                      <w:spacing w:val="-2"/>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693" w:type="dxa"/>
                  <w:tcBorders>
                    <w:bottom w:val="nil"/>
                  </w:tcBorders>
                  <w:vAlign w:val="top"/>
                </w:tcPr>
                <w:p>
                  <w:pPr>
                    <w:pStyle w:val="6"/>
                    <w:spacing w:before="300" w:line="222" w:lineRule="auto"/>
                    <w:ind w:left="145"/>
                    <w:rPr>
                      <w:sz w:val="21"/>
                      <w:szCs w:val="21"/>
                    </w:rPr>
                  </w:pPr>
                  <w:r>
                    <w:rPr>
                      <w:spacing w:val="-3"/>
                      <w:sz w:val="21"/>
                      <w:szCs w:val="21"/>
                    </w:rPr>
                    <w:t>二开</w:t>
                  </w:r>
                </w:p>
              </w:tc>
              <w:tc>
                <w:tcPr>
                  <w:tcW w:w="851" w:type="dxa"/>
                  <w:tcBorders>
                    <w:bottom w:val="nil"/>
                  </w:tcBorders>
                  <w:vAlign w:val="top"/>
                </w:tcPr>
                <w:p>
                  <w:pPr>
                    <w:spacing w:before="219" w:line="241" w:lineRule="auto"/>
                    <w:ind w:left="2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w:t>
                  </w:r>
                </w:p>
                <w:p>
                  <w:pPr>
                    <w:spacing w:line="186"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847" w:type="dxa"/>
                  <w:tcBorders>
                    <w:bottom w:val="nil"/>
                  </w:tcBorders>
                  <w:vAlign w:val="top"/>
                </w:tcPr>
                <w:p>
                  <w:pPr>
                    <w:pStyle w:val="6"/>
                    <w:spacing w:before="67" w:line="222" w:lineRule="auto"/>
                    <w:ind w:left="112" w:right="103" w:firstLine="64"/>
                    <w:jc w:val="both"/>
                    <w:rPr>
                      <w:sz w:val="21"/>
                      <w:szCs w:val="21"/>
                    </w:rPr>
                  </w:pPr>
                  <w:r>
                    <w:rPr>
                      <w:rFonts w:ascii="Times New Roman" w:hAnsi="Times New Roman" w:eastAsia="Times New Roman" w:cs="Times New Roman"/>
                      <w:spacing w:val="-1"/>
                      <w:sz w:val="21"/>
                      <w:szCs w:val="21"/>
                    </w:rPr>
                    <w:t>KCL-</w:t>
                  </w:r>
                  <w:r>
                    <w:rPr>
                      <w:rFonts w:ascii="Times New Roman" w:hAnsi="Times New Roman" w:eastAsia="Times New Roman" w:cs="Times New Roman"/>
                      <w:spacing w:val="1"/>
                      <w:sz w:val="21"/>
                      <w:szCs w:val="21"/>
                    </w:rPr>
                    <w:t xml:space="preserve">  </w:t>
                  </w:r>
                  <w:r>
                    <w:rPr>
                      <w:spacing w:val="-2"/>
                      <w:sz w:val="21"/>
                      <w:szCs w:val="21"/>
                    </w:rPr>
                    <w:t>聚合物</w:t>
                  </w:r>
                  <w:r>
                    <w:rPr>
                      <w:sz w:val="21"/>
                      <w:szCs w:val="21"/>
                    </w:rPr>
                    <w:t xml:space="preserve"> </w:t>
                  </w:r>
                  <w:r>
                    <w:rPr>
                      <w:spacing w:val="-2"/>
                      <w:sz w:val="21"/>
                      <w:szCs w:val="21"/>
                    </w:rPr>
                    <w:t>钻井液</w:t>
                  </w:r>
                </w:p>
              </w:tc>
              <w:tc>
                <w:tcPr>
                  <w:tcW w:w="3397" w:type="dxa"/>
                  <w:tcBorders>
                    <w:bottom w:val="nil"/>
                  </w:tcBorders>
                  <w:vAlign w:val="top"/>
                </w:tcPr>
                <w:p>
                  <w:pPr>
                    <w:pStyle w:val="6"/>
                    <w:spacing w:before="28" w:line="226" w:lineRule="auto"/>
                    <w:ind w:left="784" w:right="444" w:hanging="363"/>
                    <w:rPr>
                      <w:sz w:val="21"/>
                      <w:szCs w:val="21"/>
                    </w:rPr>
                  </w:pPr>
                  <w:r>
                    <w:rPr>
                      <w:rFonts w:ascii="Times New Roman" w:hAnsi="Times New Roman" w:eastAsia="Times New Roman" w:cs="Times New Roman"/>
                      <w:spacing w:val="-3"/>
                      <w:sz w:val="21"/>
                      <w:szCs w:val="21"/>
                    </w:rPr>
                    <w:t>30%~50%</w:t>
                  </w:r>
                  <w:r>
                    <w:rPr>
                      <w:spacing w:val="-3"/>
                      <w:sz w:val="21"/>
                      <w:szCs w:val="21"/>
                    </w:rPr>
                    <w:t>预水化膨润土浆、</w:t>
                  </w:r>
                  <w:r>
                    <w:rPr>
                      <w:spacing w:val="6"/>
                      <w:sz w:val="21"/>
                      <w:szCs w:val="21"/>
                    </w:rPr>
                    <w:t xml:space="preserve"> </w:t>
                  </w:r>
                  <w:r>
                    <w:rPr>
                      <w:rFonts w:ascii="Times New Roman" w:hAnsi="Times New Roman" w:eastAsia="Times New Roman" w:cs="Times New Roman"/>
                      <w:spacing w:val="-2"/>
                      <w:sz w:val="21"/>
                      <w:szCs w:val="21"/>
                    </w:rPr>
                    <w:t>0.1%~0.3%FA-367</w:t>
                  </w:r>
                  <w:r>
                    <w:rPr>
                      <w:spacing w:val="-2"/>
                      <w:sz w:val="21"/>
                      <w:szCs w:val="21"/>
                    </w:rPr>
                    <w:t>、</w:t>
                  </w:r>
                </w:p>
                <w:p>
                  <w:pPr>
                    <w:pStyle w:val="6"/>
                    <w:spacing w:before="69" w:line="161" w:lineRule="auto"/>
                    <w:ind w:left="808"/>
                    <w:rPr>
                      <w:sz w:val="21"/>
                      <w:szCs w:val="21"/>
                    </w:rPr>
                  </w:pPr>
                  <w:r>
                    <w:rPr>
                      <w:rFonts w:ascii="Times New Roman" w:hAnsi="Times New Roman" w:eastAsia="Times New Roman" w:cs="Times New Roman"/>
                      <w:spacing w:val="-2"/>
                      <w:sz w:val="21"/>
                      <w:szCs w:val="21"/>
                    </w:rPr>
                    <w:t>0.1%~0.3%KPAM</w:t>
                  </w:r>
                  <w:r>
                    <w:rPr>
                      <w:spacing w:val="-2"/>
                      <w:sz w:val="21"/>
                      <w:szCs w:val="21"/>
                    </w:rPr>
                    <w:t>、</w:t>
                  </w:r>
                </w:p>
              </w:tc>
              <w:tc>
                <w:tcPr>
                  <w:tcW w:w="705" w:type="dxa"/>
                  <w:tcBorders>
                    <w:bottom w:val="nil"/>
                  </w:tcBorders>
                  <w:vAlign w:val="top"/>
                </w:tcPr>
                <w:p>
                  <w:pPr>
                    <w:spacing w:line="277" w:lineRule="auto"/>
                    <w:rPr>
                      <w:rFonts w:ascii="Arial"/>
                      <w:sz w:val="21"/>
                    </w:rPr>
                  </w:pPr>
                </w:p>
                <w:p>
                  <w:pPr>
                    <w:spacing w:before="6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2119" w:type="dxa"/>
                  <w:tcBorders>
                    <w:bottom w:val="nil"/>
                  </w:tcBorders>
                  <w:vAlign w:val="top"/>
                </w:tcPr>
                <w:p>
                  <w:pPr>
                    <w:pStyle w:val="6"/>
                    <w:spacing w:before="29" w:line="221" w:lineRule="auto"/>
                    <w:ind w:left="223"/>
                    <w:rPr>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1.07</w:t>
                  </w:r>
                  <w:r>
                    <w:rPr>
                      <w:spacing w:val="5"/>
                      <w:sz w:val="21"/>
                      <w:szCs w:val="21"/>
                    </w:rPr>
                    <w:t>~</w:t>
                  </w:r>
                </w:p>
                <w:p>
                  <w:pPr>
                    <w:pStyle w:val="6"/>
                    <w:spacing w:before="19" w:line="213" w:lineRule="auto"/>
                    <w:ind w:left="230"/>
                    <w:rPr>
                      <w:sz w:val="21"/>
                      <w:szCs w:val="21"/>
                    </w:rPr>
                  </w:pPr>
                  <w:r>
                    <w:rPr>
                      <w:rFonts w:ascii="Times New Roman" w:hAnsi="Times New Roman" w:eastAsia="Times New Roman" w:cs="Times New Roman"/>
                      <w:spacing w:val="3"/>
                      <w:sz w:val="21"/>
                      <w:szCs w:val="21"/>
                    </w:rPr>
                    <w:t>1.15g/</w:t>
                  </w:r>
                  <w:r>
                    <w:rPr>
                      <w:rFonts w:ascii="Times New Roman" w:hAnsi="Times New Roman" w:eastAsia="Times New Roman" w:cs="Times New Roman"/>
                      <w:sz w:val="21"/>
                      <w:szCs w:val="21"/>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5"/>
                      <w:position w:val="6"/>
                      <w:sz w:val="13"/>
                      <w:szCs w:val="13"/>
                    </w:rPr>
                    <w:t xml:space="preserve"> </w:t>
                  </w:r>
                  <w:r>
                    <w:rPr>
                      <w:spacing w:val="3"/>
                      <w:sz w:val="21"/>
                      <w:szCs w:val="21"/>
                    </w:rPr>
                    <w:t>；固含&lt;</w:t>
                  </w:r>
                </w:p>
                <w:p>
                  <w:pPr>
                    <w:pStyle w:val="6"/>
                    <w:spacing w:before="6" w:line="216"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w:t>
                  </w:r>
                  <w:r>
                    <w:rPr>
                      <w:spacing w:val="-4"/>
                      <w:position w:val="10"/>
                      <w:sz w:val="11"/>
                      <w:szCs w:val="11"/>
                    </w:rPr>
                    <w:t>；</w:t>
                  </w:r>
                  <w:r>
                    <w:rPr>
                      <w:rFonts w:ascii="Times New Roman" w:hAnsi="Times New Roman" w:eastAsia="Times New Roman" w:cs="Times New Roman"/>
                      <w:spacing w:val="-4"/>
                      <w:sz w:val="21"/>
                      <w:szCs w:val="21"/>
                    </w:rPr>
                    <w:t xml:space="preserve">pH </w:t>
                  </w:r>
                  <w:r>
                    <w:rPr>
                      <w:spacing w:val="-4"/>
                      <w:sz w:val="21"/>
                      <w:szCs w:val="21"/>
                    </w:rPr>
                    <w:t>值</w:t>
                  </w:r>
                  <w:r>
                    <w:rPr>
                      <w:spacing w:val="-31"/>
                      <w:sz w:val="21"/>
                      <w:szCs w:val="21"/>
                    </w:rPr>
                    <w:t xml:space="preserve"> </w:t>
                  </w:r>
                  <w:r>
                    <w:rPr>
                      <w:rFonts w:ascii="Times New Roman" w:hAnsi="Times New Roman" w:eastAsia="Times New Roman" w:cs="Times New Roman"/>
                      <w:spacing w:val="-4"/>
                      <w:sz w:val="21"/>
                      <w:szCs w:val="21"/>
                    </w:rPr>
                    <w:t>8~9</w:t>
                  </w:r>
                </w:p>
              </w:tc>
            </w:tr>
          </w:tbl>
          <w:p>
            <w:pPr>
              <w:spacing w:line="91" w:lineRule="auto"/>
              <w:rPr>
                <w:rFonts w:ascii="Arial"/>
                <w:sz w:val="2"/>
              </w:rPr>
            </w:pPr>
          </w:p>
        </w:tc>
      </w:tr>
    </w:tbl>
    <w:p>
      <w:pPr>
        <w:pStyle w:val="2"/>
        <w:spacing w:line="240" w:lineRule="exact"/>
        <w:rPr>
          <w:sz w:val="20"/>
        </w:rPr>
      </w:pPr>
    </w:p>
    <w:p>
      <w:pPr>
        <w:spacing w:line="240" w:lineRule="exact"/>
        <w:rPr>
          <w:sz w:val="20"/>
          <w:szCs w:val="20"/>
        </w:rPr>
        <w:sectPr>
          <w:footerReference r:id="rId40"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65" w:hRule="atLeast"/>
        </w:trPr>
        <w:tc>
          <w:tcPr>
            <w:tcW w:w="9291" w:type="dxa"/>
            <w:vAlign w:val="top"/>
          </w:tcPr>
          <w:p>
            <w:pPr>
              <w:spacing w:line="18" w:lineRule="exact"/>
            </w:pPr>
            <w:r>
              <w:pict>
                <v:rect id="_x0000_s1041" o:spid="_x0000_s1041" o:spt="1" style="position:absolute;left:0pt;margin-left:22.75pt;margin-top:0.95pt;height:692.4pt;width:0.5pt;mso-position-horizontal-relative:page;mso-position-vertical-relative:page;z-index:251695104;mso-width-relative:page;mso-height-relative:page;" fillcolor="#000000" filled="t" stroked="f" coordsize="21600,21600">
                  <v:path/>
                  <v:fill on="t" focussize="0,0"/>
                  <v:stroke on="f"/>
                  <v:imagedata o:title=""/>
                  <o:lock v:ext="edit"/>
                </v:rect>
              </w:pict>
            </w: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851"/>
              <w:gridCol w:w="847"/>
              <w:gridCol w:w="3397"/>
              <w:gridCol w:w="705"/>
              <w:gridCol w:w="2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93" w:type="dxa"/>
                  <w:tcBorders>
                    <w:top w:val="nil"/>
                  </w:tcBorders>
                  <w:vAlign w:val="top"/>
                </w:tcPr>
                <w:p>
                  <w:pPr>
                    <w:rPr>
                      <w:rFonts w:ascii="Arial"/>
                      <w:sz w:val="21"/>
                    </w:rPr>
                  </w:pPr>
                </w:p>
              </w:tc>
              <w:tc>
                <w:tcPr>
                  <w:tcW w:w="851" w:type="dxa"/>
                  <w:tcBorders>
                    <w:top w:val="nil"/>
                  </w:tcBorders>
                  <w:vAlign w:val="top"/>
                </w:tcPr>
                <w:p>
                  <w:pPr>
                    <w:rPr>
                      <w:rFonts w:ascii="Arial"/>
                      <w:sz w:val="21"/>
                    </w:rPr>
                  </w:pPr>
                </w:p>
              </w:tc>
              <w:tc>
                <w:tcPr>
                  <w:tcW w:w="847" w:type="dxa"/>
                  <w:tcBorders>
                    <w:top w:val="nil"/>
                  </w:tcBorders>
                  <w:vAlign w:val="top"/>
                </w:tcPr>
                <w:p>
                  <w:pPr>
                    <w:rPr>
                      <w:rFonts w:ascii="Arial"/>
                      <w:sz w:val="21"/>
                    </w:rPr>
                  </w:pPr>
                </w:p>
              </w:tc>
              <w:tc>
                <w:tcPr>
                  <w:tcW w:w="3397" w:type="dxa"/>
                  <w:tcBorders>
                    <w:top w:val="nil"/>
                  </w:tcBorders>
                  <w:vAlign w:val="top"/>
                </w:tcPr>
                <w:p>
                  <w:pPr>
                    <w:pStyle w:val="6"/>
                    <w:spacing w:before="68" w:line="179" w:lineRule="auto"/>
                    <w:ind w:left="838"/>
                    <w:rPr>
                      <w:sz w:val="21"/>
                      <w:szCs w:val="21"/>
                    </w:rPr>
                  </w:pPr>
                  <w:r>
                    <w:rPr>
                      <w:rFonts w:ascii="Times New Roman" w:hAnsi="Times New Roman" w:eastAsia="Times New Roman" w:cs="Times New Roman"/>
                      <w:spacing w:val="-5"/>
                      <w:sz w:val="21"/>
                      <w:szCs w:val="21"/>
                    </w:rPr>
                    <w:t>1%~1.5%PAC-LV</w:t>
                  </w:r>
                  <w:r>
                    <w:rPr>
                      <w:spacing w:val="-5"/>
                      <w:sz w:val="21"/>
                      <w:szCs w:val="21"/>
                    </w:rPr>
                    <w:t>、</w:t>
                  </w:r>
                </w:p>
                <w:p>
                  <w:pPr>
                    <w:pStyle w:val="6"/>
                    <w:spacing w:before="32" w:line="221" w:lineRule="auto"/>
                    <w:ind w:left="132"/>
                    <w:rPr>
                      <w:sz w:val="21"/>
                      <w:szCs w:val="21"/>
                    </w:rPr>
                  </w:pPr>
                  <w:r>
                    <w:rPr>
                      <w:rFonts w:ascii="Times New Roman" w:hAnsi="Times New Roman" w:eastAsia="Times New Roman" w:cs="Times New Roman"/>
                      <w:spacing w:val="-2"/>
                      <w:sz w:val="21"/>
                      <w:szCs w:val="21"/>
                    </w:rPr>
                    <w:t>0.5%~1%CMC-LV</w:t>
                  </w:r>
                  <w:r>
                    <w:rPr>
                      <w:rFonts w:ascii="Times New Roman" w:hAnsi="Times New Roman" w:eastAsia="Times New Roman" w:cs="Times New Roman"/>
                      <w:spacing w:val="-31"/>
                      <w:sz w:val="21"/>
                      <w:szCs w:val="21"/>
                    </w:rPr>
                    <w:t xml:space="preserve"> </w:t>
                  </w:r>
                  <w:r>
                    <w:rPr>
                      <w:spacing w:val="-2"/>
                      <w:sz w:val="21"/>
                      <w:szCs w:val="21"/>
                    </w:rPr>
                    <w:t>、</w:t>
                  </w:r>
                  <w:r>
                    <w:rPr>
                      <w:rFonts w:ascii="Times New Roman" w:hAnsi="Times New Roman" w:eastAsia="Times New Roman" w:cs="Times New Roman"/>
                      <w:spacing w:val="-2"/>
                      <w:sz w:val="21"/>
                      <w:szCs w:val="21"/>
                    </w:rPr>
                    <w:t>2%~3%</w:t>
                  </w:r>
                  <w:r>
                    <w:rPr>
                      <w:spacing w:val="-2"/>
                      <w:sz w:val="21"/>
                      <w:szCs w:val="21"/>
                    </w:rPr>
                    <w:t>防</w:t>
                  </w:r>
                  <w:r>
                    <w:rPr>
                      <w:spacing w:val="-3"/>
                      <w:sz w:val="21"/>
                      <w:szCs w:val="21"/>
                    </w:rPr>
                    <w:t>塌润</w:t>
                  </w:r>
                </w:p>
                <w:p>
                  <w:pPr>
                    <w:pStyle w:val="6"/>
                    <w:spacing w:before="19" w:line="214" w:lineRule="auto"/>
                    <w:ind w:left="113"/>
                    <w:rPr>
                      <w:sz w:val="21"/>
                      <w:szCs w:val="21"/>
                    </w:rPr>
                  </w:pPr>
                  <w:r>
                    <w:rPr>
                      <w:spacing w:val="-7"/>
                      <w:sz w:val="21"/>
                      <w:szCs w:val="21"/>
                    </w:rPr>
                    <w:t xml:space="preserve">滑剂、 </w:t>
                  </w:r>
                  <w:r>
                    <w:rPr>
                      <w:rFonts w:ascii="Times New Roman" w:hAnsi="Times New Roman" w:eastAsia="Times New Roman" w:cs="Times New Roman"/>
                      <w:spacing w:val="-7"/>
                      <w:sz w:val="21"/>
                      <w:szCs w:val="21"/>
                    </w:rPr>
                    <w:t>5%~7%KCl</w:t>
                  </w:r>
                  <w:r>
                    <w:rPr>
                      <w:spacing w:val="-7"/>
                      <w:sz w:val="21"/>
                      <w:szCs w:val="21"/>
                    </w:rPr>
                    <w:t>、加重剂</w:t>
                  </w:r>
                  <w:r>
                    <w:rPr>
                      <w:rFonts w:ascii="Times New Roman" w:hAnsi="Times New Roman" w:eastAsia="Times New Roman" w:cs="Times New Roman"/>
                      <w:spacing w:val="-7"/>
                      <w:sz w:val="21"/>
                      <w:szCs w:val="21"/>
                    </w:rPr>
                    <w:t>(</w:t>
                  </w:r>
                  <w:r>
                    <w:rPr>
                      <w:spacing w:val="-7"/>
                      <w:sz w:val="21"/>
                      <w:szCs w:val="21"/>
                    </w:rPr>
                    <w:t>按密度</w:t>
                  </w:r>
                </w:p>
                <w:p>
                  <w:pPr>
                    <w:pStyle w:val="6"/>
                    <w:spacing w:before="30" w:line="207" w:lineRule="auto"/>
                    <w:ind w:left="1399"/>
                    <w:rPr>
                      <w:sz w:val="21"/>
                      <w:szCs w:val="21"/>
                    </w:rPr>
                  </w:pPr>
                  <w:r>
                    <w:rPr>
                      <w:spacing w:val="-6"/>
                      <w:sz w:val="21"/>
                      <w:szCs w:val="21"/>
                    </w:rPr>
                    <w:t>需要）</w:t>
                  </w:r>
                </w:p>
              </w:tc>
              <w:tc>
                <w:tcPr>
                  <w:tcW w:w="705" w:type="dxa"/>
                  <w:tcBorders>
                    <w:top w:val="nil"/>
                  </w:tcBorders>
                  <w:vAlign w:val="top"/>
                </w:tcPr>
                <w:p>
                  <w:pPr>
                    <w:rPr>
                      <w:rFonts w:ascii="Arial"/>
                      <w:sz w:val="21"/>
                    </w:rPr>
                  </w:pPr>
                </w:p>
              </w:tc>
              <w:tc>
                <w:tcPr>
                  <w:tcW w:w="2119"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93"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9" w:line="222" w:lineRule="auto"/>
                    <w:ind w:left="142"/>
                    <w:rPr>
                      <w:sz w:val="21"/>
                      <w:szCs w:val="21"/>
                    </w:rPr>
                  </w:pPr>
                  <w:r>
                    <w:rPr>
                      <w:spacing w:val="-2"/>
                      <w:sz w:val="21"/>
                      <w:szCs w:val="21"/>
                    </w:rPr>
                    <w:t>三开</w:t>
                  </w:r>
                </w:p>
              </w:tc>
              <w:tc>
                <w:tcPr>
                  <w:tcW w:w="851" w:type="dxa"/>
                  <w:vAlign w:val="top"/>
                </w:tcPr>
                <w:p>
                  <w:pPr>
                    <w:pStyle w:val="6"/>
                    <w:spacing w:before="184" w:line="295" w:lineRule="exact"/>
                    <w:ind w:left="174"/>
                    <w:rPr>
                      <w:sz w:val="21"/>
                      <w:szCs w:val="21"/>
                    </w:rPr>
                  </w:pPr>
                  <w:r>
                    <w:rPr>
                      <w:rFonts w:ascii="Times New Roman" w:hAnsi="Times New Roman" w:eastAsia="Times New Roman" w:cs="Times New Roman"/>
                      <w:spacing w:val="19"/>
                      <w:position w:val="4"/>
                      <w:sz w:val="21"/>
                      <w:szCs w:val="21"/>
                    </w:rPr>
                    <w:t>800</w:t>
                  </w:r>
                  <w:r>
                    <w:rPr>
                      <w:spacing w:val="19"/>
                      <w:position w:val="4"/>
                      <w:sz w:val="21"/>
                      <w:szCs w:val="21"/>
                    </w:rPr>
                    <w:t>~</w:t>
                  </w:r>
                </w:p>
                <w:p>
                  <w:pPr>
                    <w:spacing w:line="186"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1305</w:t>
                  </w:r>
                </w:p>
              </w:tc>
              <w:tc>
                <w:tcPr>
                  <w:tcW w:w="84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8" w:line="233" w:lineRule="auto"/>
                    <w:ind w:left="112" w:right="103"/>
                    <w:jc w:val="both"/>
                    <w:rPr>
                      <w:sz w:val="21"/>
                      <w:szCs w:val="21"/>
                    </w:rPr>
                  </w:pPr>
                  <w:r>
                    <w:rPr>
                      <w:spacing w:val="-2"/>
                      <w:sz w:val="21"/>
                      <w:szCs w:val="21"/>
                    </w:rPr>
                    <w:t>有机盐</w:t>
                  </w:r>
                  <w:r>
                    <w:rPr>
                      <w:sz w:val="21"/>
                      <w:szCs w:val="21"/>
                    </w:rPr>
                    <w:t xml:space="preserve"> </w:t>
                  </w:r>
                  <w:r>
                    <w:rPr>
                      <w:spacing w:val="-2"/>
                      <w:sz w:val="21"/>
                      <w:szCs w:val="21"/>
                    </w:rPr>
                    <w:t>聚合物</w:t>
                  </w:r>
                  <w:r>
                    <w:rPr>
                      <w:sz w:val="21"/>
                      <w:szCs w:val="21"/>
                    </w:rPr>
                    <w:t xml:space="preserve"> </w:t>
                  </w:r>
                  <w:r>
                    <w:rPr>
                      <w:spacing w:val="-2"/>
                      <w:sz w:val="21"/>
                      <w:szCs w:val="21"/>
                    </w:rPr>
                    <w:t>钻井液</w:t>
                  </w:r>
                </w:p>
              </w:tc>
              <w:tc>
                <w:tcPr>
                  <w:tcW w:w="339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35"/>
                    <w:rPr>
                      <w:sz w:val="21"/>
                      <w:szCs w:val="21"/>
                    </w:rPr>
                  </w:pPr>
                  <w:r>
                    <w:rPr>
                      <w:spacing w:val="4"/>
                      <w:sz w:val="21"/>
                      <w:szCs w:val="21"/>
                    </w:rPr>
                    <w:t xml:space="preserve">井浆、 </w:t>
                  </w:r>
                  <w:r>
                    <w:rPr>
                      <w:rFonts w:ascii="Times New Roman" w:hAnsi="Times New Roman" w:eastAsia="Times New Roman" w:cs="Times New Roman"/>
                      <w:spacing w:val="4"/>
                      <w:sz w:val="21"/>
                      <w:szCs w:val="21"/>
                    </w:rPr>
                    <w:t>0.3</w:t>
                  </w:r>
                  <w:r>
                    <w:rPr>
                      <w:spacing w:val="-4"/>
                      <w:sz w:val="21"/>
                      <w:szCs w:val="21"/>
                    </w:rPr>
                    <w:t>％～</w:t>
                  </w:r>
                  <w:r>
                    <w:rPr>
                      <w:rFonts w:ascii="Times New Roman" w:hAnsi="Times New Roman" w:eastAsia="Times New Roman" w:cs="Times New Roman"/>
                      <w:spacing w:val="4"/>
                      <w:sz w:val="21"/>
                      <w:szCs w:val="21"/>
                    </w:rPr>
                    <w:t>1%</w:t>
                  </w:r>
                  <w:r>
                    <w:rPr>
                      <w:rFonts w:ascii="Times New Roman" w:hAnsi="Times New Roman" w:eastAsia="Times New Roman" w:cs="Times New Roman"/>
                      <w:sz w:val="21"/>
                      <w:szCs w:val="21"/>
                    </w:rPr>
                    <w:t>NaOH</w:t>
                  </w:r>
                  <w:r>
                    <w:rPr>
                      <w:rFonts w:ascii="Times New Roman" w:hAnsi="Times New Roman" w:eastAsia="Times New Roman" w:cs="Times New Roman"/>
                      <w:spacing w:val="-29"/>
                      <w:sz w:val="21"/>
                      <w:szCs w:val="21"/>
                    </w:rPr>
                    <w:t xml:space="preserve"> </w:t>
                  </w:r>
                  <w:r>
                    <w:rPr>
                      <w:spacing w:val="4"/>
                      <w:sz w:val="21"/>
                      <w:szCs w:val="21"/>
                    </w:rPr>
                    <w:t>、</w:t>
                  </w:r>
                  <w:r>
                    <w:rPr>
                      <w:rFonts w:ascii="Times New Roman" w:hAnsi="Times New Roman" w:eastAsia="Times New Roman" w:cs="Times New Roman"/>
                      <w:spacing w:val="4"/>
                      <w:sz w:val="21"/>
                      <w:szCs w:val="21"/>
                    </w:rPr>
                    <w:t>0.05</w:t>
                  </w:r>
                  <w:r>
                    <w:rPr>
                      <w:spacing w:val="4"/>
                      <w:sz w:val="21"/>
                      <w:szCs w:val="21"/>
                    </w:rPr>
                    <w:t>%~</w:t>
                  </w:r>
                </w:p>
                <w:p>
                  <w:pPr>
                    <w:pStyle w:val="6"/>
                    <w:spacing w:before="20" w:line="236" w:lineRule="auto"/>
                    <w:ind w:left="247"/>
                    <w:rPr>
                      <w:sz w:val="21"/>
                      <w:szCs w:val="21"/>
                    </w:rPr>
                  </w:pPr>
                  <w:r>
                    <w:rPr>
                      <w:rFonts w:ascii="Times New Roman" w:hAnsi="Times New Roman" w:eastAsia="Times New Roman" w:cs="Times New Roman"/>
                      <w:spacing w:val="3"/>
                      <w:sz w:val="21"/>
                      <w:szCs w:val="21"/>
                    </w:rPr>
                    <w:t>0.2</w:t>
                  </w:r>
                  <w:r>
                    <w:rPr>
                      <w:spacing w:val="3"/>
                      <w:sz w:val="21"/>
                      <w:szCs w:val="21"/>
                    </w:rPr>
                    <w:t>％</w:t>
                  </w:r>
                  <w:r>
                    <w:rPr>
                      <w:rFonts w:ascii="Times New Roman" w:hAnsi="Times New Roman" w:eastAsia="Times New Roman" w:cs="Times New Roman"/>
                      <w:sz w:val="21"/>
                      <w:szCs w:val="21"/>
                    </w:rPr>
                    <w:t>IND</w:t>
                  </w:r>
                  <w:r>
                    <w:rPr>
                      <w:rFonts w:ascii="Times New Roman" w:hAnsi="Times New Roman" w:eastAsia="Times New Roman" w:cs="Times New Roman"/>
                      <w:spacing w:val="3"/>
                      <w:sz w:val="21"/>
                      <w:szCs w:val="21"/>
                    </w:rPr>
                    <w:t>30/</w:t>
                  </w:r>
                  <w:r>
                    <w:rPr>
                      <w:rFonts w:ascii="Times New Roman" w:hAnsi="Times New Roman" w:eastAsia="Times New Roman" w:cs="Times New Roman"/>
                      <w:sz w:val="21"/>
                      <w:szCs w:val="21"/>
                    </w:rPr>
                    <w:t>KPAM</w:t>
                  </w:r>
                  <w:r>
                    <w:rPr>
                      <w:rFonts w:ascii="Times New Roman" w:hAnsi="Times New Roman" w:eastAsia="Times New Roman" w:cs="Times New Roman"/>
                      <w:spacing w:val="-29"/>
                      <w:sz w:val="21"/>
                      <w:szCs w:val="21"/>
                    </w:rPr>
                    <w:t xml:space="preserve"> </w:t>
                  </w:r>
                  <w:r>
                    <w:rPr>
                      <w:spacing w:val="3"/>
                      <w:sz w:val="21"/>
                      <w:szCs w:val="21"/>
                    </w:rPr>
                    <w:t>、</w:t>
                  </w:r>
                  <w:r>
                    <w:rPr>
                      <w:rFonts w:ascii="Times New Roman" w:hAnsi="Times New Roman" w:eastAsia="Times New Roman" w:cs="Times New Roman"/>
                      <w:spacing w:val="3"/>
                      <w:sz w:val="21"/>
                      <w:szCs w:val="21"/>
                    </w:rPr>
                    <w:t>1</w:t>
                  </w:r>
                  <w:r>
                    <w:rPr>
                      <w:spacing w:val="-6"/>
                      <w:sz w:val="21"/>
                      <w:szCs w:val="21"/>
                    </w:rPr>
                    <w:t>％～</w:t>
                  </w:r>
                  <w:r>
                    <w:rPr>
                      <w:rFonts w:ascii="Times New Roman" w:hAnsi="Times New Roman" w:eastAsia="Times New Roman" w:cs="Times New Roman"/>
                      <w:spacing w:val="3"/>
                      <w:sz w:val="21"/>
                      <w:szCs w:val="21"/>
                    </w:rPr>
                    <w:t>1.8</w:t>
                  </w:r>
                  <w:r>
                    <w:rPr>
                      <w:spacing w:val="3"/>
                      <w:sz w:val="21"/>
                      <w:szCs w:val="21"/>
                    </w:rPr>
                    <w:t>%</w:t>
                  </w:r>
                </w:p>
                <w:p>
                  <w:pPr>
                    <w:pStyle w:val="6"/>
                    <w:spacing w:before="4" w:line="234" w:lineRule="auto"/>
                    <w:ind w:left="108"/>
                    <w:rPr>
                      <w:sz w:val="21"/>
                      <w:szCs w:val="21"/>
                    </w:rPr>
                  </w:pPr>
                  <w:r>
                    <w:rPr>
                      <w:rFonts w:ascii="Times New Roman" w:hAnsi="Times New Roman" w:eastAsia="Times New Roman" w:cs="Times New Roman"/>
                      <w:sz w:val="21"/>
                      <w:szCs w:val="21"/>
                    </w:rPr>
                    <w:t>REDUL</w:t>
                  </w:r>
                  <w:r>
                    <w:rPr>
                      <w:spacing w:val="3"/>
                      <w:sz w:val="21"/>
                      <w:szCs w:val="21"/>
                    </w:rPr>
                    <w:t>、</w:t>
                  </w:r>
                  <w:r>
                    <w:rPr>
                      <w:rFonts w:ascii="Times New Roman" w:hAnsi="Times New Roman" w:eastAsia="Times New Roman" w:cs="Times New Roman"/>
                      <w:spacing w:val="3"/>
                      <w:sz w:val="21"/>
                      <w:szCs w:val="21"/>
                    </w:rPr>
                    <w:t>0.5%</w:t>
                  </w:r>
                  <w:r>
                    <w:rPr>
                      <w:spacing w:val="3"/>
                      <w:sz w:val="21"/>
                      <w:szCs w:val="21"/>
                    </w:rPr>
                    <w:t>～</w:t>
                  </w:r>
                  <w:r>
                    <w:rPr>
                      <w:rFonts w:ascii="Times New Roman" w:hAnsi="Times New Roman" w:eastAsia="Times New Roman" w:cs="Times New Roman"/>
                      <w:spacing w:val="3"/>
                      <w:sz w:val="21"/>
                      <w:szCs w:val="21"/>
                    </w:rPr>
                    <w:t>1%</w:t>
                  </w:r>
                  <w:r>
                    <w:rPr>
                      <w:rFonts w:ascii="Times New Roman" w:hAnsi="Times New Roman" w:eastAsia="Times New Roman" w:cs="Times New Roman"/>
                      <w:sz w:val="21"/>
                      <w:szCs w:val="21"/>
                    </w:rPr>
                    <w:t>PAC</w:t>
                  </w:r>
                  <w:r>
                    <w:rPr>
                      <w:rFonts w:ascii="Times New Roman" w:hAnsi="Times New Roman" w:eastAsia="Times New Roman" w:cs="Times New Roman"/>
                      <w:spacing w:val="3"/>
                      <w:sz w:val="21"/>
                      <w:szCs w:val="21"/>
                    </w:rPr>
                    <w:t>-</w:t>
                  </w:r>
                  <w:r>
                    <w:rPr>
                      <w:rFonts w:ascii="Times New Roman" w:hAnsi="Times New Roman" w:eastAsia="Times New Roman" w:cs="Times New Roman"/>
                      <w:sz w:val="21"/>
                      <w:szCs w:val="21"/>
                    </w:rPr>
                    <w:t>LV</w:t>
                  </w:r>
                  <w:r>
                    <w:rPr>
                      <w:spacing w:val="3"/>
                      <w:sz w:val="21"/>
                      <w:szCs w:val="21"/>
                    </w:rPr>
                    <w:t>、</w:t>
                  </w:r>
                  <w:r>
                    <w:rPr>
                      <w:rFonts w:ascii="Times New Roman" w:hAnsi="Times New Roman" w:eastAsia="Times New Roman" w:cs="Times New Roman"/>
                      <w:spacing w:val="3"/>
                      <w:sz w:val="21"/>
                      <w:szCs w:val="21"/>
                    </w:rPr>
                    <w:t>3</w:t>
                  </w:r>
                  <w:r>
                    <w:rPr>
                      <w:spacing w:val="3"/>
                      <w:sz w:val="21"/>
                      <w:szCs w:val="21"/>
                    </w:rPr>
                    <w:t>%~</w:t>
                  </w:r>
                </w:p>
                <w:p>
                  <w:pPr>
                    <w:pStyle w:val="6"/>
                    <w:spacing w:before="4" w:line="220" w:lineRule="auto"/>
                    <w:ind w:left="115"/>
                    <w:rPr>
                      <w:sz w:val="21"/>
                      <w:szCs w:val="21"/>
                    </w:rPr>
                  </w:pPr>
                  <w:r>
                    <w:rPr>
                      <w:rFonts w:ascii="Times New Roman" w:hAnsi="Times New Roman" w:eastAsia="Times New Roman" w:cs="Times New Roman"/>
                      <w:sz w:val="21"/>
                      <w:szCs w:val="21"/>
                    </w:rPr>
                    <w:t>5</w:t>
                  </w:r>
                  <w:r>
                    <w:rPr>
                      <w:sz w:val="21"/>
                      <w:szCs w:val="21"/>
                    </w:rPr>
                    <w:t>％封堵剂、</w:t>
                  </w:r>
                  <w:r>
                    <w:rPr>
                      <w:rFonts w:ascii="Times New Roman" w:hAnsi="Times New Roman" w:eastAsia="Times New Roman" w:cs="Times New Roman"/>
                      <w:sz w:val="21"/>
                      <w:szCs w:val="21"/>
                    </w:rPr>
                    <w:t>3</w:t>
                  </w:r>
                  <w:r>
                    <w:rPr>
                      <w:spacing w:val="-4"/>
                      <w:sz w:val="21"/>
                      <w:szCs w:val="21"/>
                    </w:rPr>
                    <w:t>％～</w:t>
                  </w:r>
                  <w:r>
                    <w:rPr>
                      <w:rFonts w:ascii="Times New Roman" w:hAnsi="Times New Roman" w:eastAsia="Times New Roman" w:cs="Times New Roman"/>
                      <w:sz w:val="21"/>
                      <w:szCs w:val="21"/>
                    </w:rPr>
                    <w:t>5</w:t>
                  </w:r>
                  <w:r>
                    <w:rPr>
                      <w:sz w:val="21"/>
                      <w:szCs w:val="21"/>
                    </w:rPr>
                    <w:t>％防塌润滑剂、</w:t>
                  </w:r>
                </w:p>
                <w:p>
                  <w:pPr>
                    <w:pStyle w:val="6"/>
                    <w:spacing w:before="24" w:line="234" w:lineRule="auto"/>
                    <w:jc w:val="right"/>
                    <w:rPr>
                      <w:sz w:val="21"/>
                      <w:szCs w:val="21"/>
                    </w:rPr>
                  </w:pPr>
                  <w:r>
                    <w:rPr>
                      <w:rFonts w:ascii="Times New Roman" w:hAnsi="Times New Roman" w:eastAsia="Times New Roman" w:cs="Times New Roman"/>
                      <w:spacing w:val="-4"/>
                      <w:sz w:val="21"/>
                      <w:szCs w:val="21"/>
                    </w:rPr>
                    <w:t>7</w:t>
                  </w:r>
                  <w:r>
                    <w:rPr>
                      <w:spacing w:val="-1"/>
                      <w:sz w:val="21"/>
                      <w:szCs w:val="21"/>
                    </w:rPr>
                    <w:t>％～</w:t>
                  </w:r>
                  <w:r>
                    <w:rPr>
                      <w:rFonts w:ascii="Times New Roman" w:hAnsi="Times New Roman" w:eastAsia="Times New Roman" w:cs="Times New Roman"/>
                      <w:spacing w:val="-4"/>
                      <w:sz w:val="21"/>
                      <w:szCs w:val="21"/>
                    </w:rPr>
                    <w:t>10</w:t>
                  </w:r>
                  <w:r>
                    <w:rPr>
                      <w:spacing w:val="-4"/>
                      <w:sz w:val="21"/>
                      <w:szCs w:val="21"/>
                    </w:rPr>
                    <w:t>％</w:t>
                  </w:r>
                  <w:r>
                    <w:rPr>
                      <w:rFonts w:ascii="Times New Roman" w:hAnsi="Times New Roman" w:eastAsia="Times New Roman" w:cs="Times New Roman"/>
                      <w:spacing w:val="-4"/>
                      <w:sz w:val="21"/>
                      <w:szCs w:val="21"/>
                    </w:rPr>
                    <w:t>KCl</w:t>
                  </w:r>
                  <w:r>
                    <w:rPr>
                      <w:spacing w:val="-4"/>
                      <w:sz w:val="21"/>
                      <w:szCs w:val="21"/>
                    </w:rPr>
                    <w:t>、</w:t>
                  </w:r>
                  <w:r>
                    <w:rPr>
                      <w:rFonts w:ascii="Times New Roman" w:hAnsi="Times New Roman" w:eastAsia="Times New Roman" w:cs="Times New Roman"/>
                      <w:spacing w:val="-4"/>
                      <w:sz w:val="21"/>
                      <w:szCs w:val="21"/>
                    </w:rPr>
                    <w:t>10%</w:t>
                  </w:r>
                  <w:r>
                    <w:rPr>
                      <w:spacing w:val="-4"/>
                      <w:sz w:val="21"/>
                      <w:szCs w:val="21"/>
                    </w:rPr>
                    <w:t>～</w:t>
                  </w:r>
                  <w:r>
                    <w:rPr>
                      <w:rFonts w:ascii="Times New Roman" w:hAnsi="Times New Roman" w:eastAsia="Times New Roman" w:cs="Times New Roman"/>
                      <w:spacing w:val="-4"/>
                      <w:sz w:val="21"/>
                      <w:szCs w:val="21"/>
                    </w:rPr>
                    <w:t>15%</w:t>
                  </w:r>
                  <w:r>
                    <w:rPr>
                      <w:spacing w:val="-4"/>
                      <w:sz w:val="21"/>
                      <w:szCs w:val="21"/>
                    </w:rPr>
                    <w:t>有机盐、</w:t>
                  </w:r>
                </w:p>
                <w:p>
                  <w:pPr>
                    <w:pStyle w:val="6"/>
                    <w:spacing w:before="5" w:line="220" w:lineRule="auto"/>
                    <w:ind w:left="112"/>
                    <w:rPr>
                      <w:sz w:val="21"/>
                      <w:szCs w:val="21"/>
                    </w:rPr>
                  </w:pPr>
                  <w:r>
                    <w:rPr>
                      <w:rFonts w:ascii="Times New Roman" w:hAnsi="Times New Roman" w:eastAsia="Times New Roman" w:cs="Times New Roman"/>
                      <w:spacing w:val="-2"/>
                      <w:sz w:val="21"/>
                      <w:szCs w:val="21"/>
                    </w:rPr>
                    <w:t>0.2%</w:t>
                  </w:r>
                  <w:r>
                    <w:rPr>
                      <w:spacing w:val="-2"/>
                      <w:sz w:val="21"/>
                      <w:szCs w:val="21"/>
                    </w:rPr>
                    <w:t>～</w:t>
                  </w:r>
                  <w:r>
                    <w:rPr>
                      <w:rFonts w:ascii="Times New Roman" w:hAnsi="Times New Roman" w:eastAsia="Times New Roman" w:cs="Times New Roman"/>
                      <w:spacing w:val="-2"/>
                      <w:sz w:val="21"/>
                      <w:szCs w:val="21"/>
                    </w:rPr>
                    <w:t>0.5%Na</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1"/>
                      <w:sz w:val="13"/>
                      <w:szCs w:val="13"/>
                    </w:rPr>
                    <w:t>3</w:t>
                  </w:r>
                  <w:r>
                    <w:rPr>
                      <w:spacing w:val="-2"/>
                      <w:sz w:val="21"/>
                      <w:szCs w:val="21"/>
                    </w:rPr>
                    <w:t>、加重剂（按密</w:t>
                  </w:r>
                </w:p>
                <w:p>
                  <w:pPr>
                    <w:pStyle w:val="6"/>
                    <w:spacing w:before="23" w:line="220" w:lineRule="auto"/>
                    <w:ind w:left="652"/>
                    <w:rPr>
                      <w:sz w:val="21"/>
                      <w:szCs w:val="21"/>
                    </w:rPr>
                  </w:pPr>
                  <w:r>
                    <w:rPr>
                      <w:spacing w:val="-1"/>
                      <w:sz w:val="21"/>
                      <w:szCs w:val="21"/>
                    </w:rPr>
                    <w:t>度需要）、适量降粘剂</w:t>
                  </w:r>
                </w:p>
              </w:tc>
              <w:tc>
                <w:tcPr>
                  <w:tcW w:w="705" w:type="dxa"/>
                  <w:vAlign w:val="top"/>
                </w:tcPr>
                <w:p>
                  <w:pPr>
                    <w:spacing w:line="280"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308</w:t>
                  </w:r>
                </w:p>
              </w:tc>
              <w:tc>
                <w:tcPr>
                  <w:tcW w:w="2119" w:type="dxa"/>
                  <w:vAlign w:val="top"/>
                </w:tcPr>
                <w:p>
                  <w:pPr>
                    <w:pStyle w:val="6"/>
                    <w:spacing w:before="30" w:line="229" w:lineRule="auto"/>
                    <w:ind w:left="229" w:right="232" w:hanging="6"/>
                    <w:jc w:val="both"/>
                    <w:rPr>
                      <w:rFonts w:ascii="Times New Roman" w:hAnsi="Times New Roman" w:eastAsia="Times New Roman" w:cs="Times New Roman"/>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1.07</w:t>
                  </w:r>
                  <w:r>
                    <w:rPr>
                      <w:spacing w:val="5"/>
                      <w:sz w:val="21"/>
                      <w:szCs w:val="21"/>
                    </w:rPr>
                    <w:t>~</w:t>
                  </w:r>
                  <w:r>
                    <w:rPr>
                      <w:sz w:val="21"/>
                      <w:szCs w:val="21"/>
                    </w:rPr>
                    <w:t xml:space="preserve"> </w:t>
                  </w:r>
                  <w:r>
                    <w:rPr>
                      <w:rFonts w:ascii="Times New Roman" w:hAnsi="Times New Roman" w:eastAsia="Times New Roman" w:cs="Times New Roman"/>
                      <w:spacing w:val="3"/>
                      <w:sz w:val="21"/>
                      <w:szCs w:val="21"/>
                    </w:rPr>
                    <w:t>1.15g/</w:t>
                  </w:r>
                  <w:r>
                    <w:rPr>
                      <w:rFonts w:ascii="Times New Roman" w:hAnsi="Times New Roman" w:eastAsia="Times New Roman" w:cs="Times New Roman"/>
                      <w:sz w:val="21"/>
                      <w:szCs w:val="21"/>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5"/>
                      <w:position w:val="6"/>
                      <w:sz w:val="13"/>
                      <w:szCs w:val="13"/>
                    </w:rPr>
                    <w:t xml:space="preserve"> </w:t>
                  </w:r>
                  <w:r>
                    <w:rPr>
                      <w:spacing w:val="3"/>
                      <w:sz w:val="21"/>
                      <w:szCs w:val="21"/>
                    </w:rPr>
                    <w:t>；固含&lt;</w:t>
                  </w:r>
                  <w:r>
                    <w:rPr>
                      <w:sz w:val="21"/>
                      <w:szCs w:val="21"/>
                    </w:rPr>
                    <w:t xml:space="preserve"> </w:t>
                  </w:r>
                  <w:r>
                    <w:rPr>
                      <w:rFonts w:ascii="Times New Roman" w:hAnsi="Times New Roman" w:eastAsia="Times New Roman" w:cs="Times New Roman"/>
                      <w:spacing w:val="1"/>
                      <w:sz w:val="21"/>
                      <w:szCs w:val="21"/>
                    </w:rPr>
                    <w:t>23%</w:t>
                  </w:r>
                  <w:r>
                    <w:rPr>
                      <w:spacing w:val="1"/>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
                      <w:sz w:val="21"/>
                      <w:szCs w:val="21"/>
                    </w:rPr>
                    <w:t xml:space="preserve"> </w:t>
                  </w:r>
                  <w:r>
                    <w:rPr>
                      <w:spacing w:val="1"/>
                      <w:sz w:val="21"/>
                      <w:szCs w:val="21"/>
                    </w:rPr>
                    <w:t>值</w:t>
                  </w:r>
                  <w:r>
                    <w:rPr>
                      <w:spacing w:val="-35"/>
                      <w:sz w:val="21"/>
                      <w:szCs w:val="21"/>
                    </w:rPr>
                    <w:t xml:space="preserve"> </w:t>
                  </w:r>
                  <w:r>
                    <w:rPr>
                      <w:rFonts w:ascii="Times New Roman" w:hAnsi="Times New Roman" w:eastAsia="Times New Roman" w:cs="Times New Roman"/>
                      <w:spacing w:val="1"/>
                      <w:sz w:val="21"/>
                      <w:szCs w:val="21"/>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93" w:type="dxa"/>
                  <w:vMerge w:val="continue"/>
                  <w:tcBorders>
                    <w:top w:val="nil"/>
                    <w:bottom w:val="nil"/>
                  </w:tcBorders>
                  <w:vAlign w:val="top"/>
                </w:tcPr>
                <w:p>
                  <w:pPr>
                    <w:rPr>
                      <w:rFonts w:ascii="Arial"/>
                      <w:sz w:val="21"/>
                    </w:rPr>
                  </w:pPr>
                </w:p>
              </w:tc>
              <w:tc>
                <w:tcPr>
                  <w:tcW w:w="851" w:type="dxa"/>
                  <w:vAlign w:val="top"/>
                </w:tcPr>
                <w:p>
                  <w:pPr>
                    <w:pStyle w:val="6"/>
                    <w:spacing w:before="182" w:line="237" w:lineRule="auto"/>
                    <w:ind w:left="133"/>
                    <w:rPr>
                      <w:sz w:val="21"/>
                      <w:szCs w:val="21"/>
                    </w:rPr>
                  </w:pPr>
                  <w:r>
                    <w:rPr>
                      <w:rFonts w:ascii="Times New Roman" w:hAnsi="Times New Roman" w:eastAsia="Times New Roman" w:cs="Times New Roman"/>
                      <w:spacing w:val="13"/>
                      <w:sz w:val="21"/>
                      <w:szCs w:val="21"/>
                    </w:rPr>
                    <w:t>1305</w:t>
                  </w:r>
                  <w:r>
                    <w:rPr>
                      <w:spacing w:val="13"/>
                      <w:sz w:val="21"/>
                      <w:szCs w:val="21"/>
                    </w:rPr>
                    <w:t>~</w:t>
                  </w:r>
                </w:p>
                <w:p>
                  <w:pPr>
                    <w:spacing w:before="2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3006</w:t>
                  </w:r>
                </w:p>
              </w:tc>
              <w:tc>
                <w:tcPr>
                  <w:tcW w:w="847" w:type="dxa"/>
                  <w:vMerge w:val="continue"/>
                  <w:tcBorders>
                    <w:top w:val="nil"/>
                    <w:bottom w:val="nil"/>
                  </w:tcBorders>
                  <w:vAlign w:val="top"/>
                </w:tcPr>
                <w:p>
                  <w:pPr>
                    <w:rPr>
                      <w:rFonts w:ascii="Arial"/>
                      <w:sz w:val="21"/>
                    </w:rPr>
                  </w:pPr>
                </w:p>
              </w:tc>
              <w:tc>
                <w:tcPr>
                  <w:tcW w:w="3397" w:type="dxa"/>
                  <w:vMerge w:val="continue"/>
                  <w:tcBorders>
                    <w:top w:val="nil"/>
                    <w:bottom w:val="nil"/>
                  </w:tcBorders>
                  <w:vAlign w:val="top"/>
                </w:tcPr>
                <w:p>
                  <w:pPr>
                    <w:rPr>
                      <w:rFonts w:ascii="Arial"/>
                      <w:sz w:val="21"/>
                    </w:rPr>
                  </w:pPr>
                </w:p>
              </w:tc>
              <w:tc>
                <w:tcPr>
                  <w:tcW w:w="705" w:type="dxa"/>
                  <w:vAlign w:val="top"/>
                </w:tcPr>
                <w:p>
                  <w:pPr>
                    <w:spacing w:line="281"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1037</w:t>
                  </w:r>
                </w:p>
              </w:tc>
              <w:tc>
                <w:tcPr>
                  <w:tcW w:w="2119" w:type="dxa"/>
                  <w:vAlign w:val="top"/>
                </w:tcPr>
                <w:p>
                  <w:pPr>
                    <w:pStyle w:val="6"/>
                    <w:spacing w:before="31" w:line="228" w:lineRule="auto"/>
                    <w:ind w:left="229" w:right="232" w:hanging="6"/>
                    <w:jc w:val="both"/>
                    <w:rPr>
                      <w:rFonts w:ascii="Times New Roman" w:hAnsi="Times New Roman" w:eastAsia="Times New Roman" w:cs="Times New Roman"/>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1.21</w:t>
                  </w:r>
                  <w:r>
                    <w:rPr>
                      <w:spacing w:val="5"/>
                      <w:sz w:val="21"/>
                      <w:szCs w:val="21"/>
                    </w:rPr>
                    <w:t>~</w:t>
                  </w:r>
                  <w:r>
                    <w:rPr>
                      <w:sz w:val="21"/>
                      <w:szCs w:val="21"/>
                    </w:rPr>
                    <w:t xml:space="preserve"> </w:t>
                  </w:r>
                  <w:r>
                    <w:rPr>
                      <w:rFonts w:ascii="Times New Roman" w:hAnsi="Times New Roman" w:eastAsia="Times New Roman" w:cs="Times New Roman"/>
                      <w:spacing w:val="3"/>
                      <w:sz w:val="21"/>
                      <w:szCs w:val="21"/>
                    </w:rPr>
                    <w:t>1.29g/</w:t>
                  </w:r>
                  <w:r>
                    <w:rPr>
                      <w:rFonts w:ascii="Times New Roman" w:hAnsi="Times New Roman" w:eastAsia="Times New Roman" w:cs="Times New Roman"/>
                      <w:sz w:val="21"/>
                      <w:szCs w:val="21"/>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5"/>
                      <w:position w:val="6"/>
                      <w:sz w:val="13"/>
                      <w:szCs w:val="13"/>
                    </w:rPr>
                    <w:t xml:space="preserve"> </w:t>
                  </w:r>
                  <w:r>
                    <w:rPr>
                      <w:spacing w:val="3"/>
                      <w:sz w:val="21"/>
                      <w:szCs w:val="21"/>
                    </w:rPr>
                    <w:t>；固含&lt;</w:t>
                  </w:r>
                  <w:r>
                    <w:rPr>
                      <w:sz w:val="21"/>
                      <w:szCs w:val="21"/>
                    </w:rPr>
                    <w:t xml:space="preserve"> </w:t>
                  </w:r>
                  <w:r>
                    <w:rPr>
                      <w:rFonts w:ascii="Times New Roman" w:hAnsi="Times New Roman" w:eastAsia="Times New Roman" w:cs="Times New Roman"/>
                      <w:spacing w:val="1"/>
                      <w:sz w:val="21"/>
                      <w:szCs w:val="21"/>
                    </w:rPr>
                    <w:t>23%</w:t>
                  </w:r>
                  <w:r>
                    <w:rPr>
                      <w:spacing w:val="1"/>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
                      <w:sz w:val="21"/>
                      <w:szCs w:val="21"/>
                    </w:rPr>
                    <w:t xml:space="preserve"> </w:t>
                  </w:r>
                  <w:r>
                    <w:rPr>
                      <w:spacing w:val="1"/>
                      <w:sz w:val="21"/>
                      <w:szCs w:val="21"/>
                    </w:rPr>
                    <w:t>值</w:t>
                  </w:r>
                  <w:r>
                    <w:rPr>
                      <w:spacing w:val="-35"/>
                      <w:sz w:val="21"/>
                      <w:szCs w:val="21"/>
                    </w:rPr>
                    <w:t xml:space="preserve"> </w:t>
                  </w:r>
                  <w:r>
                    <w:rPr>
                      <w:rFonts w:ascii="Times New Roman" w:hAnsi="Times New Roman" w:eastAsia="Times New Roman" w:cs="Times New Roman"/>
                      <w:spacing w:val="1"/>
                      <w:sz w:val="21"/>
                      <w:szCs w:val="21"/>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93" w:type="dxa"/>
                  <w:vMerge w:val="continue"/>
                  <w:tcBorders>
                    <w:top w:val="nil"/>
                  </w:tcBorders>
                  <w:vAlign w:val="top"/>
                </w:tcPr>
                <w:p>
                  <w:pPr>
                    <w:rPr>
                      <w:rFonts w:ascii="Arial"/>
                      <w:sz w:val="21"/>
                    </w:rPr>
                  </w:pPr>
                </w:p>
              </w:tc>
              <w:tc>
                <w:tcPr>
                  <w:tcW w:w="851" w:type="dxa"/>
                  <w:vAlign w:val="top"/>
                </w:tcPr>
                <w:p>
                  <w:pPr>
                    <w:pStyle w:val="6"/>
                    <w:spacing w:before="184" w:line="226" w:lineRule="auto"/>
                    <w:ind w:left="221" w:right="121" w:hanging="105"/>
                    <w:rPr>
                      <w:rFonts w:ascii="Times New Roman" w:hAnsi="Times New Roman" w:eastAsia="Times New Roman" w:cs="Times New Roman"/>
                      <w:sz w:val="21"/>
                      <w:szCs w:val="21"/>
                    </w:rPr>
                  </w:pPr>
                  <w:r>
                    <w:rPr>
                      <w:rFonts w:ascii="Times New Roman" w:hAnsi="Times New Roman" w:eastAsia="Times New Roman" w:cs="Times New Roman"/>
                      <w:spacing w:val="16"/>
                      <w:sz w:val="21"/>
                      <w:szCs w:val="21"/>
                    </w:rPr>
                    <w:t>3006</w:t>
                  </w:r>
                  <w:r>
                    <w:rPr>
                      <w:spacing w:val="16"/>
                      <w:sz w:val="21"/>
                      <w:szCs w:val="21"/>
                    </w:rPr>
                    <w:t>~</w:t>
                  </w:r>
                  <w:r>
                    <w:rPr>
                      <w:spacing w:val="1"/>
                      <w:sz w:val="21"/>
                      <w:szCs w:val="21"/>
                    </w:rPr>
                    <w:t xml:space="preserve"> </w:t>
                  </w:r>
                  <w:r>
                    <w:rPr>
                      <w:rFonts w:ascii="Times New Roman" w:hAnsi="Times New Roman" w:eastAsia="Times New Roman" w:cs="Times New Roman"/>
                      <w:spacing w:val="-2"/>
                      <w:sz w:val="21"/>
                      <w:szCs w:val="21"/>
                    </w:rPr>
                    <w:t>3990</w:t>
                  </w:r>
                </w:p>
              </w:tc>
              <w:tc>
                <w:tcPr>
                  <w:tcW w:w="847" w:type="dxa"/>
                  <w:vMerge w:val="continue"/>
                  <w:tcBorders>
                    <w:top w:val="nil"/>
                    <w:bottom w:val="nil"/>
                  </w:tcBorders>
                  <w:vAlign w:val="top"/>
                </w:tcPr>
                <w:p>
                  <w:pPr>
                    <w:rPr>
                      <w:rFonts w:ascii="Arial"/>
                      <w:sz w:val="21"/>
                    </w:rPr>
                  </w:pPr>
                </w:p>
              </w:tc>
              <w:tc>
                <w:tcPr>
                  <w:tcW w:w="3397" w:type="dxa"/>
                  <w:vMerge w:val="continue"/>
                  <w:tcBorders>
                    <w:top w:val="nil"/>
                    <w:bottom w:val="nil"/>
                  </w:tcBorders>
                  <w:vAlign w:val="top"/>
                </w:tcPr>
                <w:p>
                  <w:pPr>
                    <w:rPr>
                      <w:rFonts w:ascii="Arial"/>
                      <w:sz w:val="21"/>
                    </w:rPr>
                  </w:pPr>
                </w:p>
              </w:tc>
              <w:tc>
                <w:tcPr>
                  <w:tcW w:w="705" w:type="dxa"/>
                  <w:vAlign w:val="top"/>
                </w:tcPr>
                <w:p>
                  <w:pPr>
                    <w:spacing w:line="282" w:lineRule="auto"/>
                    <w:rPr>
                      <w:rFonts w:ascii="Arial"/>
                      <w:sz w:val="21"/>
                    </w:rPr>
                  </w:pPr>
                </w:p>
                <w:p>
                  <w:pPr>
                    <w:spacing w:before="6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2119" w:type="dxa"/>
                  <w:vAlign w:val="top"/>
                </w:tcPr>
                <w:p>
                  <w:pPr>
                    <w:pStyle w:val="6"/>
                    <w:spacing w:before="34" w:line="228" w:lineRule="auto"/>
                    <w:ind w:left="229" w:right="232" w:hanging="6"/>
                    <w:jc w:val="both"/>
                    <w:rPr>
                      <w:rFonts w:ascii="Times New Roman" w:hAnsi="Times New Roman" w:eastAsia="Times New Roman" w:cs="Times New Roman"/>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1.77</w:t>
                  </w:r>
                  <w:r>
                    <w:rPr>
                      <w:spacing w:val="5"/>
                      <w:sz w:val="21"/>
                      <w:szCs w:val="21"/>
                    </w:rPr>
                    <w:t>~</w:t>
                  </w:r>
                  <w:r>
                    <w:rPr>
                      <w:sz w:val="21"/>
                      <w:szCs w:val="21"/>
                    </w:rPr>
                    <w:t xml:space="preserve"> </w:t>
                  </w:r>
                  <w:r>
                    <w:rPr>
                      <w:rFonts w:ascii="Times New Roman" w:hAnsi="Times New Roman" w:eastAsia="Times New Roman" w:cs="Times New Roman"/>
                      <w:spacing w:val="3"/>
                      <w:sz w:val="21"/>
                      <w:szCs w:val="21"/>
                    </w:rPr>
                    <w:t>1.85g/</w:t>
                  </w:r>
                  <w:r>
                    <w:rPr>
                      <w:rFonts w:ascii="Times New Roman" w:hAnsi="Times New Roman" w:eastAsia="Times New Roman" w:cs="Times New Roman"/>
                      <w:sz w:val="21"/>
                      <w:szCs w:val="21"/>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5"/>
                      <w:position w:val="6"/>
                      <w:sz w:val="13"/>
                      <w:szCs w:val="13"/>
                    </w:rPr>
                    <w:t xml:space="preserve"> </w:t>
                  </w:r>
                  <w:r>
                    <w:rPr>
                      <w:spacing w:val="3"/>
                      <w:sz w:val="21"/>
                      <w:szCs w:val="21"/>
                    </w:rPr>
                    <w:t>；固含&lt;</w:t>
                  </w:r>
                  <w:r>
                    <w:rPr>
                      <w:sz w:val="21"/>
                      <w:szCs w:val="21"/>
                    </w:rPr>
                    <w:t xml:space="preserve"> </w:t>
                  </w:r>
                  <w:r>
                    <w:rPr>
                      <w:rFonts w:ascii="Times New Roman" w:hAnsi="Times New Roman" w:eastAsia="Times New Roman" w:cs="Times New Roman"/>
                      <w:spacing w:val="1"/>
                      <w:sz w:val="21"/>
                      <w:szCs w:val="21"/>
                    </w:rPr>
                    <w:t>35%</w:t>
                  </w:r>
                  <w:r>
                    <w:rPr>
                      <w:spacing w:val="1"/>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
                      <w:sz w:val="21"/>
                      <w:szCs w:val="21"/>
                    </w:rPr>
                    <w:t xml:space="preserve"> </w:t>
                  </w:r>
                  <w:r>
                    <w:rPr>
                      <w:spacing w:val="1"/>
                      <w:sz w:val="21"/>
                      <w:szCs w:val="21"/>
                    </w:rPr>
                    <w:t>值</w:t>
                  </w:r>
                  <w:r>
                    <w:rPr>
                      <w:spacing w:val="-35"/>
                      <w:sz w:val="21"/>
                      <w:szCs w:val="21"/>
                    </w:rPr>
                    <w:t xml:space="preserve"> </w:t>
                  </w:r>
                  <w:r>
                    <w:rPr>
                      <w:rFonts w:ascii="Times New Roman" w:hAnsi="Times New Roman" w:eastAsia="Times New Roman" w:cs="Times New Roman"/>
                      <w:spacing w:val="1"/>
                      <w:sz w:val="21"/>
                      <w:szCs w:val="21"/>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93" w:type="dxa"/>
                  <w:vMerge w:val="restart"/>
                  <w:tcBorders>
                    <w:bottom w:val="nil"/>
                  </w:tcBorders>
                  <w:vAlign w:val="top"/>
                </w:tcPr>
                <w:p>
                  <w:pPr>
                    <w:spacing w:line="323" w:lineRule="auto"/>
                    <w:rPr>
                      <w:rFonts w:ascii="Arial"/>
                      <w:sz w:val="21"/>
                    </w:rPr>
                  </w:pPr>
                </w:p>
                <w:p>
                  <w:pPr>
                    <w:spacing w:line="323" w:lineRule="auto"/>
                    <w:rPr>
                      <w:rFonts w:ascii="Arial"/>
                      <w:sz w:val="21"/>
                    </w:rPr>
                  </w:pPr>
                </w:p>
                <w:p>
                  <w:pPr>
                    <w:pStyle w:val="6"/>
                    <w:spacing w:before="69" w:line="222" w:lineRule="auto"/>
                    <w:ind w:left="162"/>
                    <w:rPr>
                      <w:sz w:val="21"/>
                      <w:szCs w:val="21"/>
                    </w:rPr>
                  </w:pPr>
                  <w:r>
                    <w:rPr>
                      <w:spacing w:val="-7"/>
                      <w:sz w:val="21"/>
                      <w:szCs w:val="21"/>
                    </w:rPr>
                    <w:t>四开</w:t>
                  </w:r>
                </w:p>
              </w:tc>
              <w:tc>
                <w:tcPr>
                  <w:tcW w:w="851" w:type="dxa"/>
                  <w:vAlign w:val="top"/>
                </w:tcPr>
                <w:p>
                  <w:pPr>
                    <w:pStyle w:val="6"/>
                    <w:spacing w:before="182" w:line="226" w:lineRule="auto"/>
                    <w:ind w:left="216" w:right="121" w:hanging="100"/>
                    <w:rPr>
                      <w:rFonts w:ascii="Times New Roman" w:hAnsi="Times New Roman" w:eastAsia="Times New Roman" w:cs="Times New Roman"/>
                      <w:sz w:val="21"/>
                      <w:szCs w:val="21"/>
                    </w:rPr>
                  </w:pPr>
                  <w:r>
                    <w:rPr>
                      <w:rFonts w:ascii="Times New Roman" w:hAnsi="Times New Roman" w:eastAsia="Times New Roman" w:cs="Times New Roman"/>
                      <w:spacing w:val="16"/>
                      <w:sz w:val="21"/>
                      <w:szCs w:val="21"/>
                    </w:rPr>
                    <w:t>3990</w:t>
                  </w:r>
                  <w:r>
                    <w:rPr>
                      <w:spacing w:val="16"/>
                      <w:sz w:val="21"/>
                      <w:szCs w:val="21"/>
                    </w:rPr>
                    <w:t>~</w:t>
                  </w:r>
                  <w:r>
                    <w:rPr>
                      <w:spacing w:val="1"/>
                      <w:sz w:val="21"/>
                      <w:szCs w:val="21"/>
                    </w:rPr>
                    <w:t xml:space="preserve"> </w:t>
                  </w:r>
                  <w:r>
                    <w:rPr>
                      <w:rFonts w:ascii="Times New Roman" w:hAnsi="Times New Roman" w:eastAsia="Times New Roman" w:cs="Times New Roman"/>
                      <w:spacing w:val="-1"/>
                      <w:sz w:val="21"/>
                      <w:szCs w:val="21"/>
                    </w:rPr>
                    <w:t>4582</w:t>
                  </w:r>
                </w:p>
              </w:tc>
              <w:tc>
                <w:tcPr>
                  <w:tcW w:w="847" w:type="dxa"/>
                  <w:vMerge w:val="continue"/>
                  <w:tcBorders>
                    <w:top w:val="nil"/>
                    <w:bottom w:val="nil"/>
                  </w:tcBorders>
                  <w:vAlign w:val="top"/>
                </w:tcPr>
                <w:p>
                  <w:pPr>
                    <w:rPr>
                      <w:rFonts w:ascii="Arial"/>
                      <w:sz w:val="21"/>
                    </w:rPr>
                  </w:pPr>
                </w:p>
              </w:tc>
              <w:tc>
                <w:tcPr>
                  <w:tcW w:w="3397" w:type="dxa"/>
                  <w:vMerge w:val="continue"/>
                  <w:tcBorders>
                    <w:top w:val="nil"/>
                    <w:bottom w:val="nil"/>
                  </w:tcBorders>
                  <w:vAlign w:val="top"/>
                </w:tcPr>
                <w:p>
                  <w:pPr>
                    <w:rPr>
                      <w:rFonts w:ascii="Arial"/>
                      <w:sz w:val="21"/>
                    </w:rPr>
                  </w:pPr>
                </w:p>
              </w:tc>
              <w:tc>
                <w:tcPr>
                  <w:tcW w:w="705" w:type="dxa"/>
                  <w:vAlign w:val="top"/>
                </w:tcPr>
                <w:p>
                  <w:pPr>
                    <w:spacing w:line="282" w:lineRule="auto"/>
                    <w:rPr>
                      <w:rFonts w:ascii="Arial"/>
                      <w:sz w:val="21"/>
                    </w:rPr>
                  </w:pPr>
                </w:p>
                <w:p>
                  <w:pPr>
                    <w:spacing w:before="60"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w:t>
                  </w:r>
                </w:p>
              </w:tc>
              <w:tc>
                <w:tcPr>
                  <w:tcW w:w="2119" w:type="dxa"/>
                  <w:vAlign w:val="top"/>
                </w:tcPr>
                <w:p>
                  <w:pPr>
                    <w:pStyle w:val="6"/>
                    <w:spacing w:before="31" w:line="229" w:lineRule="auto"/>
                    <w:ind w:left="229" w:right="232" w:hanging="6"/>
                    <w:jc w:val="both"/>
                    <w:rPr>
                      <w:rFonts w:ascii="Times New Roman" w:hAnsi="Times New Roman" w:eastAsia="Times New Roman" w:cs="Times New Roman"/>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1.52</w:t>
                  </w:r>
                  <w:r>
                    <w:rPr>
                      <w:spacing w:val="5"/>
                      <w:sz w:val="21"/>
                      <w:szCs w:val="21"/>
                    </w:rPr>
                    <w:t>~</w:t>
                  </w:r>
                  <w:r>
                    <w:rPr>
                      <w:sz w:val="21"/>
                      <w:szCs w:val="21"/>
                    </w:rPr>
                    <w:t xml:space="preserve"> </w:t>
                  </w:r>
                  <w:r>
                    <w:rPr>
                      <w:rFonts w:ascii="Times New Roman" w:hAnsi="Times New Roman" w:eastAsia="Times New Roman" w:cs="Times New Roman"/>
                      <w:spacing w:val="3"/>
                      <w:sz w:val="21"/>
                      <w:szCs w:val="21"/>
                    </w:rPr>
                    <w:t>1.60g/</w:t>
                  </w:r>
                  <w:r>
                    <w:rPr>
                      <w:rFonts w:ascii="Times New Roman" w:hAnsi="Times New Roman" w:eastAsia="Times New Roman" w:cs="Times New Roman"/>
                      <w:sz w:val="21"/>
                      <w:szCs w:val="21"/>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5"/>
                      <w:position w:val="6"/>
                      <w:sz w:val="13"/>
                      <w:szCs w:val="13"/>
                    </w:rPr>
                    <w:t xml:space="preserve"> </w:t>
                  </w:r>
                  <w:r>
                    <w:rPr>
                      <w:spacing w:val="3"/>
                      <w:sz w:val="21"/>
                      <w:szCs w:val="21"/>
                    </w:rPr>
                    <w:t>；固含&lt;</w:t>
                  </w:r>
                  <w:r>
                    <w:rPr>
                      <w:sz w:val="21"/>
                      <w:szCs w:val="21"/>
                    </w:rPr>
                    <w:t xml:space="preserve"> </w:t>
                  </w:r>
                  <w:r>
                    <w:rPr>
                      <w:rFonts w:ascii="Times New Roman" w:hAnsi="Times New Roman" w:eastAsia="Times New Roman" w:cs="Times New Roman"/>
                      <w:spacing w:val="1"/>
                      <w:sz w:val="21"/>
                      <w:szCs w:val="21"/>
                    </w:rPr>
                    <w:t>35%</w:t>
                  </w:r>
                  <w:r>
                    <w:rPr>
                      <w:spacing w:val="1"/>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
                      <w:sz w:val="21"/>
                      <w:szCs w:val="21"/>
                    </w:rPr>
                    <w:t xml:space="preserve"> </w:t>
                  </w:r>
                  <w:r>
                    <w:rPr>
                      <w:spacing w:val="1"/>
                      <w:sz w:val="21"/>
                      <w:szCs w:val="21"/>
                    </w:rPr>
                    <w:t>值</w:t>
                  </w:r>
                  <w:r>
                    <w:rPr>
                      <w:spacing w:val="-35"/>
                      <w:sz w:val="21"/>
                      <w:szCs w:val="21"/>
                    </w:rPr>
                    <w:t xml:space="preserve"> </w:t>
                  </w:r>
                  <w:r>
                    <w:rPr>
                      <w:rFonts w:ascii="Times New Roman" w:hAnsi="Times New Roman" w:eastAsia="Times New Roman" w:cs="Times New Roman"/>
                      <w:spacing w:val="1"/>
                      <w:sz w:val="21"/>
                      <w:szCs w:val="21"/>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93" w:type="dxa"/>
                  <w:vMerge w:val="continue"/>
                  <w:tcBorders>
                    <w:top w:val="nil"/>
                  </w:tcBorders>
                  <w:vAlign w:val="top"/>
                </w:tcPr>
                <w:p>
                  <w:pPr>
                    <w:rPr>
                      <w:rFonts w:ascii="Arial"/>
                      <w:sz w:val="21"/>
                    </w:rPr>
                  </w:pPr>
                </w:p>
              </w:tc>
              <w:tc>
                <w:tcPr>
                  <w:tcW w:w="851" w:type="dxa"/>
                  <w:vAlign w:val="top"/>
                </w:tcPr>
                <w:p>
                  <w:pPr>
                    <w:pStyle w:val="6"/>
                    <w:spacing w:before="182" w:line="226" w:lineRule="auto"/>
                    <w:ind w:left="222" w:right="121" w:hanging="111"/>
                    <w:rPr>
                      <w:rFonts w:ascii="Times New Roman" w:hAnsi="Times New Roman" w:eastAsia="Times New Roman" w:cs="Times New Roman"/>
                      <w:sz w:val="21"/>
                      <w:szCs w:val="21"/>
                    </w:rPr>
                  </w:pPr>
                  <w:r>
                    <w:rPr>
                      <w:rFonts w:ascii="Times New Roman" w:hAnsi="Times New Roman" w:eastAsia="Times New Roman" w:cs="Times New Roman"/>
                      <w:spacing w:val="17"/>
                      <w:sz w:val="21"/>
                      <w:szCs w:val="21"/>
                    </w:rPr>
                    <w:t>4582</w:t>
                  </w:r>
                  <w:r>
                    <w:rPr>
                      <w:spacing w:val="17"/>
                      <w:sz w:val="21"/>
                      <w:szCs w:val="21"/>
                    </w:rPr>
                    <w:t>~</w:t>
                  </w:r>
                  <w:r>
                    <w:rPr>
                      <w:spacing w:val="1"/>
                      <w:sz w:val="21"/>
                      <w:szCs w:val="21"/>
                    </w:rPr>
                    <w:t xml:space="preserve"> </w:t>
                  </w:r>
                  <w:r>
                    <w:rPr>
                      <w:rFonts w:ascii="Times New Roman" w:hAnsi="Times New Roman" w:eastAsia="Times New Roman" w:cs="Times New Roman"/>
                      <w:spacing w:val="-2"/>
                      <w:sz w:val="21"/>
                      <w:szCs w:val="21"/>
                    </w:rPr>
                    <w:t>6800</w:t>
                  </w:r>
                </w:p>
              </w:tc>
              <w:tc>
                <w:tcPr>
                  <w:tcW w:w="847" w:type="dxa"/>
                  <w:vMerge w:val="continue"/>
                  <w:tcBorders>
                    <w:top w:val="nil"/>
                  </w:tcBorders>
                  <w:vAlign w:val="top"/>
                </w:tcPr>
                <w:p>
                  <w:pPr>
                    <w:rPr>
                      <w:rFonts w:ascii="Arial"/>
                      <w:sz w:val="21"/>
                    </w:rPr>
                  </w:pPr>
                </w:p>
              </w:tc>
              <w:tc>
                <w:tcPr>
                  <w:tcW w:w="3397" w:type="dxa"/>
                  <w:vMerge w:val="continue"/>
                  <w:tcBorders>
                    <w:top w:val="nil"/>
                  </w:tcBorders>
                  <w:vAlign w:val="top"/>
                </w:tcPr>
                <w:p>
                  <w:pPr>
                    <w:rPr>
                      <w:rFonts w:ascii="Arial"/>
                      <w:sz w:val="21"/>
                    </w:rPr>
                  </w:pPr>
                </w:p>
              </w:tc>
              <w:tc>
                <w:tcPr>
                  <w:tcW w:w="705" w:type="dxa"/>
                  <w:vAlign w:val="top"/>
                </w:tcPr>
                <w:p>
                  <w:pPr>
                    <w:spacing w:line="280"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948</w:t>
                  </w:r>
                </w:p>
              </w:tc>
              <w:tc>
                <w:tcPr>
                  <w:tcW w:w="2119" w:type="dxa"/>
                  <w:vAlign w:val="top"/>
                </w:tcPr>
                <w:p>
                  <w:pPr>
                    <w:pStyle w:val="6"/>
                    <w:spacing w:before="31" w:line="228" w:lineRule="auto"/>
                    <w:ind w:left="229" w:right="232" w:hanging="6"/>
                    <w:jc w:val="both"/>
                    <w:rPr>
                      <w:rFonts w:ascii="Times New Roman" w:hAnsi="Times New Roman" w:eastAsia="Times New Roman" w:cs="Times New Roman"/>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1.57</w:t>
                  </w:r>
                  <w:r>
                    <w:rPr>
                      <w:spacing w:val="5"/>
                      <w:sz w:val="21"/>
                      <w:szCs w:val="21"/>
                    </w:rPr>
                    <w:t>~</w:t>
                  </w:r>
                  <w:r>
                    <w:rPr>
                      <w:sz w:val="21"/>
                      <w:szCs w:val="21"/>
                    </w:rPr>
                    <w:t xml:space="preserve"> </w:t>
                  </w:r>
                  <w:r>
                    <w:rPr>
                      <w:rFonts w:ascii="Times New Roman" w:hAnsi="Times New Roman" w:eastAsia="Times New Roman" w:cs="Times New Roman"/>
                      <w:spacing w:val="3"/>
                      <w:sz w:val="21"/>
                      <w:szCs w:val="21"/>
                    </w:rPr>
                    <w:t>1.65g/</w:t>
                  </w:r>
                  <w:r>
                    <w:rPr>
                      <w:rFonts w:ascii="Times New Roman" w:hAnsi="Times New Roman" w:eastAsia="Times New Roman" w:cs="Times New Roman"/>
                      <w:sz w:val="21"/>
                      <w:szCs w:val="21"/>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5"/>
                      <w:position w:val="6"/>
                      <w:sz w:val="13"/>
                      <w:szCs w:val="13"/>
                    </w:rPr>
                    <w:t xml:space="preserve"> </w:t>
                  </w:r>
                  <w:r>
                    <w:rPr>
                      <w:spacing w:val="3"/>
                      <w:sz w:val="21"/>
                      <w:szCs w:val="21"/>
                    </w:rPr>
                    <w:t>；固含&lt;</w:t>
                  </w:r>
                  <w:r>
                    <w:rPr>
                      <w:sz w:val="21"/>
                      <w:szCs w:val="21"/>
                    </w:rPr>
                    <w:t xml:space="preserve"> </w:t>
                  </w:r>
                  <w:r>
                    <w:rPr>
                      <w:rFonts w:ascii="Times New Roman" w:hAnsi="Times New Roman" w:eastAsia="Times New Roman" w:cs="Times New Roman"/>
                      <w:spacing w:val="1"/>
                      <w:sz w:val="21"/>
                      <w:szCs w:val="21"/>
                    </w:rPr>
                    <w:t>35%</w:t>
                  </w:r>
                  <w:r>
                    <w:rPr>
                      <w:spacing w:val="1"/>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
                      <w:sz w:val="21"/>
                      <w:szCs w:val="21"/>
                    </w:rPr>
                    <w:t xml:space="preserve"> </w:t>
                  </w:r>
                  <w:r>
                    <w:rPr>
                      <w:spacing w:val="1"/>
                      <w:sz w:val="21"/>
                      <w:szCs w:val="21"/>
                    </w:rPr>
                    <w:t>值</w:t>
                  </w:r>
                  <w:r>
                    <w:rPr>
                      <w:spacing w:val="-35"/>
                      <w:sz w:val="21"/>
                      <w:szCs w:val="21"/>
                    </w:rPr>
                    <w:t xml:space="preserve"> </w:t>
                  </w:r>
                  <w:r>
                    <w:rPr>
                      <w:rFonts w:ascii="Times New Roman" w:hAnsi="Times New Roman" w:eastAsia="Times New Roman" w:cs="Times New Roman"/>
                      <w:spacing w:val="1"/>
                      <w:sz w:val="21"/>
                      <w:szCs w:val="21"/>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693" w:type="dxa"/>
                  <w:vAlign w:val="top"/>
                </w:tcPr>
                <w:p>
                  <w:pPr>
                    <w:spacing w:line="253" w:lineRule="auto"/>
                    <w:rPr>
                      <w:rFonts w:ascii="Arial"/>
                      <w:sz w:val="21"/>
                    </w:rPr>
                  </w:pPr>
                </w:p>
                <w:p>
                  <w:pPr>
                    <w:spacing w:line="253" w:lineRule="auto"/>
                    <w:rPr>
                      <w:rFonts w:ascii="Arial"/>
                      <w:sz w:val="21"/>
                    </w:rPr>
                  </w:pPr>
                </w:p>
                <w:p>
                  <w:pPr>
                    <w:pStyle w:val="6"/>
                    <w:spacing w:before="68" w:line="222" w:lineRule="auto"/>
                    <w:ind w:left="145"/>
                    <w:rPr>
                      <w:sz w:val="21"/>
                      <w:szCs w:val="21"/>
                    </w:rPr>
                  </w:pPr>
                  <w:r>
                    <w:rPr>
                      <w:spacing w:val="-3"/>
                      <w:sz w:val="21"/>
                      <w:szCs w:val="21"/>
                    </w:rPr>
                    <w:t>五开</w:t>
                  </w:r>
                </w:p>
              </w:tc>
              <w:tc>
                <w:tcPr>
                  <w:tcW w:w="851" w:type="dxa"/>
                  <w:vAlign w:val="top"/>
                </w:tcPr>
                <w:p>
                  <w:pPr>
                    <w:spacing w:line="386" w:lineRule="auto"/>
                    <w:rPr>
                      <w:rFonts w:ascii="Arial"/>
                      <w:sz w:val="21"/>
                    </w:rPr>
                  </w:pPr>
                </w:p>
                <w:p>
                  <w:pPr>
                    <w:pStyle w:val="6"/>
                    <w:spacing w:before="68" w:line="226" w:lineRule="auto"/>
                    <w:ind w:left="221" w:right="121" w:hanging="104"/>
                    <w:rPr>
                      <w:rFonts w:ascii="Times New Roman" w:hAnsi="Times New Roman" w:eastAsia="Times New Roman" w:cs="Times New Roman"/>
                      <w:sz w:val="21"/>
                      <w:szCs w:val="21"/>
                    </w:rPr>
                  </w:pPr>
                  <w:r>
                    <w:rPr>
                      <w:rFonts w:ascii="Times New Roman" w:hAnsi="Times New Roman" w:eastAsia="Times New Roman" w:cs="Times New Roman"/>
                      <w:spacing w:val="16"/>
                      <w:sz w:val="21"/>
                      <w:szCs w:val="21"/>
                    </w:rPr>
                    <w:t>6800</w:t>
                  </w:r>
                  <w:r>
                    <w:rPr>
                      <w:spacing w:val="16"/>
                      <w:sz w:val="21"/>
                      <w:szCs w:val="21"/>
                    </w:rPr>
                    <w:t>~</w:t>
                  </w:r>
                  <w:r>
                    <w:rPr>
                      <w:spacing w:val="1"/>
                      <w:sz w:val="21"/>
                      <w:szCs w:val="21"/>
                    </w:rPr>
                    <w:t xml:space="preserve"> </w:t>
                  </w:r>
                  <w:r>
                    <w:rPr>
                      <w:rFonts w:ascii="Times New Roman" w:hAnsi="Times New Roman" w:eastAsia="Times New Roman" w:cs="Times New Roman"/>
                      <w:spacing w:val="-2"/>
                      <w:sz w:val="21"/>
                      <w:szCs w:val="21"/>
                    </w:rPr>
                    <w:t>7135</w:t>
                  </w:r>
                </w:p>
              </w:tc>
              <w:tc>
                <w:tcPr>
                  <w:tcW w:w="847" w:type="dxa"/>
                  <w:vAlign w:val="top"/>
                </w:tcPr>
                <w:p>
                  <w:pPr>
                    <w:pStyle w:val="6"/>
                    <w:spacing w:before="308" w:line="233" w:lineRule="auto"/>
                    <w:ind w:left="112" w:right="103"/>
                    <w:jc w:val="both"/>
                    <w:rPr>
                      <w:sz w:val="21"/>
                      <w:szCs w:val="21"/>
                    </w:rPr>
                  </w:pPr>
                  <w:r>
                    <w:rPr>
                      <w:spacing w:val="-2"/>
                      <w:sz w:val="21"/>
                      <w:szCs w:val="21"/>
                    </w:rPr>
                    <w:t>环保型</w:t>
                  </w:r>
                  <w:r>
                    <w:rPr>
                      <w:sz w:val="21"/>
                      <w:szCs w:val="21"/>
                    </w:rPr>
                    <w:t xml:space="preserve"> </w:t>
                  </w:r>
                  <w:r>
                    <w:rPr>
                      <w:spacing w:val="-2"/>
                      <w:sz w:val="21"/>
                      <w:szCs w:val="21"/>
                    </w:rPr>
                    <w:t>去磺化</w:t>
                  </w:r>
                  <w:r>
                    <w:rPr>
                      <w:sz w:val="21"/>
                      <w:szCs w:val="21"/>
                    </w:rPr>
                    <w:t xml:space="preserve"> </w:t>
                  </w:r>
                  <w:r>
                    <w:rPr>
                      <w:spacing w:val="-2"/>
                      <w:sz w:val="21"/>
                      <w:szCs w:val="21"/>
                    </w:rPr>
                    <w:t>钻井液</w:t>
                  </w:r>
                </w:p>
              </w:tc>
              <w:tc>
                <w:tcPr>
                  <w:tcW w:w="3397" w:type="dxa"/>
                  <w:vAlign w:val="top"/>
                </w:tcPr>
                <w:p>
                  <w:pPr>
                    <w:pStyle w:val="6"/>
                    <w:spacing w:before="32" w:line="221" w:lineRule="auto"/>
                    <w:ind w:left="113"/>
                    <w:rPr>
                      <w:sz w:val="21"/>
                      <w:szCs w:val="21"/>
                    </w:rPr>
                  </w:pPr>
                  <w:r>
                    <w:rPr>
                      <w:spacing w:val="5"/>
                      <w:sz w:val="21"/>
                      <w:szCs w:val="21"/>
                    </w:rPr>
                    <w:t>井浆、</w:t>
                  </w:r>
                  <w:r>
                    <w:rPr>
                      <w:rFonts w:ascii="Times New Roman" w:hAnsi="Times New Roman" w:eastAsia="Times New Roman" w:cs="Times New Roman"/>
                      <w:spacing w:val="5"/>
                      <w:sz w:val="21"/>
                      <w:szCs w:val="21"/>
                    </w:rPr>
                    <w:t>0.1</w:t>
                  </w:r>
                  <w:r>
                    <w:rPr>
                      <w:spacing w:val="-8"/>
                      <w:sz w:val="21"/>
                      <w:szCs w:val="21"/>
                    </w:rPr>
                    <w:t>％～</w:t>
                  </w:r>
                  <w:r>
                    <w:rPr>
                      <w:rFonts w:ascii="Times New Roman" w:hAnsi="Times New Roman" w:eastAsia="Times New Roman" w:cs="Times New Roman"/>
                      <w:spacing w:val="5"/>
                      <w:sz w:val="21"/>
                      <w:szCs w:val="21"/>
                    </w:rPr>
                    <w:t>0.3%</w:t>
                  </w:r>
                  <w:r>
                    <w:rPr>
                      <w:rFonts w:ascii="Times New Roman" w:hAnsi="Times New Roman" w:eastAsia="Times New Roman" w:cs="Times New Roman"/>
                      <w:sz w:val="21"/>
                      <w:szCs w:val="21"/>
                    </w:rPr>
                    <w:t>NaOH</w:t>
                  </w:r>
                  <w:r>
                    <w:rPr>
                      <w:spacing w:val="5"/>
                      <w:sz w:val="21"/>
                      <w:szCs w:val="21"/>
                    </w:rPr>
                    <w:t>、</w:t>
                  </w:r>
                  <w:r>
                    <w:rPr>
                      <w:rFonts w:ascii="Times New Roman" w:hAnsi="Times New Roman" w:eastAsia="Times New Roman" w:cs="Times New Roman"/>
                      <w:spacing w:val="5"/>
                      <w:sz w:val="21"/>
                      <w:szCs w:val="21"/>
                    </w:rPr>
                    <w:t>0.08</w:t>
                  </w:r>
                  <w:r>
                    <w:rPr>
                      <w:spacing w:val="5"/>
                      <w:sz w:val="21"/>
                      <w:szCs w:val="21"/>
                    </w:rPr>
                    <w:t>%~</w:t>
                  </w:r>
                </w:p>
                <w:p>
                  <w:pPr>
                    <w:pStyle w:val="6"/>
                    <w:spacing w:before="23" w:line="236" w:lineRule="auto"/>
                    <w:ind w:left="313" w:right="202" w:hanging="136"/>
                    <w:rPr>
                      <w:sz w:val="21"/>
                      <w:szCs w:val="21"/>
                    </w:rPr>
                  </w:pPr>
                  <w:r>
                    <w:rPr>
                      <w:rFonts w:ascii="Times New Roman" w:hAnsi="Times New Roman" w:eastAsia="Times New Roman" w:cs="Times New Roman"/>
                      <w:spacing w:val="-2"/>
                      <w:sz w:val="21"/>
                      <w:szCs w:val="21"/>
                    </w:rPr>
                    <w:t>0.2</w:t>
                  </w:r>
                  <w:r>
                    <w:rPr>
                      <w:spacing w:val="-2"/>
                      <w:sz w:val="21"/>
                      <w:szCs w:val="21"/>
                    </w:rPr>
                    <w:t>％</w:t>
                  </w:r>
                  <w:r>
                    <w:rPr>
                      <w:rFonts w:ascii="Times New Roman" w:hAnsi="Times New Roman" w:eastAsia="Times New Roman" w:cs="Times New Roman"/>
                      <w:spacing w:val="-2"/>
                      <w:sz w:val="21"/>
                      <w:szCs w:val="21"/>
                    </w:rPr>
                    <w:t>KPAM</w:t>
                  </w:r>
                  <w:r>
                    <w:rPr>
                      <w:spacing w:val="-2"/>
                      <w:sz w:val="21"/>
                      <w:szCs w:val="21"/>
                    </w:rPr>
                    <w:t>、</w:t>
                  </w:r>
                  <w:r>
                    <w:rPr>
                      <w:rFonts w:ascii="Times New Roman" w:hAnsi="Times New Roman" w:eastAsia="Times New Roman" w:cs="Times New Roman"/>
                      <w:spacing w:val="-2"/>
                      <w:sz w:val="21"/>
                      <w:szCs w:val="21"/>
                    </w:rPr>
                    <w:t>1</w:t>
                  </w:r>
                  <w:r>
                    <w:rPr>
                      <w:spacing w:val="-9"/>
                      <w:sz w:val="21"/>
                      <w:szCs w:val="21"/>
                    </w:rPr>
                    <w:t>％～</w:t>
                  </w:r>
                  <w:r>
                    <w:rPr>
                      <w:rFonts w:ascii="Times New Roman" w:hAnsi="Times New Roman" w:eastAsia="Times New Roman" w:cs="Times New Roman"/>
                      <w:spacing w:val="-2"/>
                      <w:sz w:val="21"/>
                      <w:szCs w:val="21"/>
                    </w:rPr>
                    <w:t>2.5</w:t>
                  </w:r>
                  <w:r>
                    <w:rPr>
                      <w:spacing w:val="-2"/>
                      <w:sz w:val="21"/>
                      <w:szCs w:val="21"/>
                    </w:rPr>
                    <w:t>％</w:t>
                  </w:r>
                  <w:r>
                    <w:rPr>
                      <w:rFonts w:ascii="Times New Roman" w:hAnsi="Times New Roman" w:eastAsia="Times New Roman" w:cs="Times New Roman"/>
                      <w:spacing w:val="-2"/>
                      <w:sz w:val="21"/>
                      <w:szCs w:val="21"/>
                    </w:rPr>
                    <w:t>LS-2A</w:t>
                  </w:r>
                  <w:r>
                    <w:rPr>
                      <w:spacing w:val="-2"/>
                      <w:sz w:val="21"/>
                      <w:szCs w:val="21"/>
                    </w:rPr>
                    <w:t>、</w:t>
                  </w:r>
                  <w:r>
                    <w:rPr>
                      <w:sz w:val="21"/>
                      <w:szCs w:val="21"/>
                    </w:rPr>
                    <w:t xml:space="preserve"> </w:t>
                  </w:r>
                  <w:r>
                    <w:rPr>
                      <w:rFonts w:ascii="Times New Roman" w:hAnsi="Times New Roman" w:eastAsia="Times New Roman" w:cs="Times New Roman"/>
                      <w:spacing w:val="4"/>
                      <w:sz w:val="21"/>
                      <w:szCs w:val="21"/>
                    </w:rPr>
                    <w:t>0.5%</w:t>
                  </w:r>
                  <w:r>
                    <w:rPr>
                      <w:spacing w:val="4"/>
                      <w:sz w:val="21"/>
                      <w:szCs w:val="21"/>
                    </w:rPr>
                    <w:t>～</w:t>
                  </w:r>
                  <w:r>
                    <w:rPr>
                      <w:rFonts w:ascii="Times New Roman" w:hAnsi="Times New Roman" w:eastAsia="Times New Roman" w:cs="Times New Roman"/>
                      <w:spacing w:val="4"/>
                      <w:sz w:val="21"/>
                      <w:szCs w:val="21"/>
                    </w:rPr>
                    <w:t>1%</w:t>
                  </w:r>
                  <w:r>
                    <w:rPr>
                      <w:rFonts w:ascii="Times New Roman" w:hAnsi="Times New Roman" w:eastAsia="Times New Roman" w:cs="Times New Roman"/>
                      <w:sz w:val="21"/>
                      <w:szCs w:val="21"/>
                    </w:rPr>
                    <w:t>CMC</w:t>
                  </w:r>
                  <w:r>
                    <w:rPr>
                      <w:rFonts w:ascii="Times New Roman" w:hAnsi="Times New Roman" w:eastAsia="Times New Roman" w:cs="Times New Roman"/>
                      <w:spacing w:val="4"/>
                      <w:sz w:val="21"/>
                      <w:szCs w:val="21"/>
                    </w:rPr>
                    <w:t>-</w:t>
                  </w:r>
                  <w:r>
                    <w:rPr>
                      <w:rFonts w:ascii="Times New Roman" w:hAnsi="Times New Roman" w:eastAsia="Times New Roman" w:cs="Times New Roman"/>
                      <w:sz w:val="21"/>
                      <w:szCs w:val="21"/>
                    </w:rPr>
                    <w:t>LV</w:t>
                  </w:r>
                  <w:r>
                    <w:rPr>
                      <w:rFonts w:ascii="Times New Roman" w:hAnsi="Times New Roman" w:eastAsia="Times New Roman" w:cs="Times New Roman"/>
                      <w:spacing w:val="-30"/>
                      <w:sz w:val="21"/>
                      <w:szCs w:val="21"/>
                    </w:rPr>
                    <w:t xml:space="preserve"> </w:t>
                  </w:r>
                  <w:r>
                    <w:rPr>
                      <w:spacing w:val="4"/>
                      <w:sz w:val="21"/>
                      <w:szCs w:val="21"/>
                    </w:rPr>
                    <w:t>、</w:t>
                  </w:r>
                  <w:r>
                    <w:rPr>
                      <w:rFonts w:ascii="Times New Roman" w:hAnsi="Times New Roman" w:eastAsia="Times New Roman" w:cs="Times New Roman"/>
                      <w:spacing w:val="4"/>
                      <w:sz w:val="21"/>
                      <w:szCs w:val="21"/>
                    </w:rPr>
                    <w:t>3</w:t>
                  </w:r>
                  <w:r>
                    <w:rPr>
                      <w:spacing w:val="-10"/>
                      <w:sz w:val="21"/>
                      <w:szCs w:val="21"/>
                    </w:rPr>
                    <w:t>％～</w:t>
                  </w:r>
                  <w:r>
                    <w:rPr>
                      <w:rFonts w:ascii="Times New Roman" w:hAnsi="Times New Roman" w:eastAsia="Times New Roman" w:cs="Times New Roman"/>
                      <w:spacing w:val="4"/>
                      <w:sz w:val="21"/>
                      <w:szCs w:val="21"/>
                    </w:rPr>
                    <w:t>5</w:t>
                  </w:r>
                  <w:r>
                    <w:rPr>
                      <w:spacing w:val="4"/>
                      <w:sz w:val="21"/>
                      <w:szCs w:val="21"/>
                    </w:rPr>
                    <w:t>%</w:t>
                  </w:r>
                </w:p>
                <w:p>
                  <w:pPr>
                    <w:pStyle w:val="6"/>
                    <w:spacing w:before="7" w:line="222" w:lineRule="auto"/>
                    <w:ind w:left="331" w:right="194" w:hanging="163"/>
                    <w:rPr>
                      <w:sz w:val="21"/>
                      <w:szCs w:val="21"/>
                    </w:rPr>
                  </w:pPr>
                  <w:r>
                    <w:rPr>
                      <w:rFonts w:ascii="Times New Roman" w:hAnsi="Times New Roman" w:eastAsia="Times New Roman" w:cs="Times New Roman"/>
                      <w:sz w:val="21"/>
                      <w:szCs w:val="21"/>
                    </w:rPr>
                    <w:t>FRH</w:t>
                  </w:r>
                  <w:r>
                    <w:rPr>
                      <w:rFonts w:ascii="Times New Roman" w:hAnsi="Times New Roman" w:eastAsia="Times New Roman" w:cs="Times New Roman"/>
                      <w:spacing w:val="-25"/>
                      <w:sz w:val="21"/>
                      <w:szCs w:val="21"/>
                    </w:rPr>
                    <w:t xml:space="preserve"> </w:t>
                  </w:r>
                  <w:r>
                    <w:rPr>
                      <w:spacing w:val="3"/>
                      <w:sz w:val="21"/>
                      <w:szCs w:val="21"/>
                    </w:rPr>
                    <w:t>、</w:t>
                  </w:r>
                  <w:r>
                    <w:rPr>
                      <w:rFonts w:ascii="Times New Roman" w:hAnsi="Times New Roman" w:eastAsia="Times New Roman" w:cs="Times New Roman"/>
                      <w:spacing w:val="3"/>
                      <w:sz w:val="21"/>
                      <w:szCs w:val="21"/>
                    </w:rPr>
                    <w:t>1</w:t>
                  </w:r>
                  <w:r>
                    <w:rPr>
                      <w:spacing w:val="-8"/>
                      <w:sz w:val="21"/>
                      <w:szCs w:val="21"/>
                    </w:rPr>
                    <w:t>％～</w:t>
                  </w:r>
                  <w:r>
                    <w:rPr>
                      <w:rFonts w:ascii="Times New Roman" w:hAnsi="Times New Roman" w:eastAsia="Times New Roman" w:cs="Times New Roman"/>
                      <w:spacing w:val="3"/>
                      <w:sz w:val="21"/>
                      <w:szCs w:val="21"/>
                    </w:rPr>
                    <w:t>3</w:t>
                  </w:r>
                  <w:r>
                    <w:rPr>
                      <w:spacing w:val="3"/>
                      <w:sz w:val="21"/>
                      <w:szCs w:val="21"/>
                    </w:rPr>
                    <w:t>％</w:t>
                  </w:r>
                  <w:r>
                    <w:rPr>
                      <w:rFonts w:ascii="Times New Roman" w:hAnsi="Times New Roman" w:eastAsia="Times New Roman" w:cs="Times New Roman"/>
                      <w:sz w:val="21"/>
                      <w:szCs w:val="21"/>
                    </w:rPr>
                    <w:t>FK</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3"/>
                      <w:sz w:val="21"/>
                      <w:szCs w:val="21"/>
                    </w:rPr>
                    <w:t>10</w:t>
                  </w:r>
                  <w:r>
                    <w:rPr>
                      <w:rFonts w:ascii="Times New Roman" w:hAnsi="Times New Roman" w:eastAsia="Times New Roman" w:cs="Times New Roman"/>
                      <w:spacing w:val="-30"/>
                      <w:sz w:val="21"/>
                      <w:szCs w:val="21"/>
                    </w:rPr>
                    <w:t xml:space="preserve"> </w:t>
                  </w:r>
                  <w:r>
                    <w:rPr>
                      <w:spacing w:val="3"/>
                      <w:sz w:val="21"/>
                      <w:szCs w:val="21"/>
                    </w:rPr>
                    <w:t>、</w:t>
                  </w:r>
                  <w:r>
                    <w:rPr>
                      <w:rFonts w:ascii="Times New Roman" w:hAnsi="Times New Roman" w:eastAsia="Times New Roman" w:cs="Times New Roman"/>
                      <w:spacing w:val="3"/>
                      <w:sz w:val="21"/>
                      <w:szCs w:val="21"/>
                    </w:rPr>
                    <w:t>6</w:t>
                  </w:r>
                  <w:r>
                    <w:rPr>
                      <w:spacing w:val="-8"/>
                      <w:sz w:val="21"/>
                      <w:szCs w:val="21"/>
                    </w:rPr>
                    <w:t>％～</w:t>
                  </w:r>
                  <w:r>
                    <w:rPr>
                      <w:rFonts w:ascii="Times New Roman" w:hAnsi="Times New Roman" w:eastAsia="Times New Roman" w:cs="Times New Roman"/>
                      <w:spacing w:val="3"/>
                      <w:sz w:val="21"/>
                      <w:szCs w:val="21"/>
                    </w:rPr>
                    <w:t>8</w:t>
                  </w:r>
                  <w:r>
                    <w:rPr>
                      <w:spacing w:val="3"/>
                      <w:sz w:val="21"/>
                      <w:szCs w:val="21"/>
                    </w:rPr>
                    <w:t>%</w:t>
                  </w:r>
                  <w:r>
                    <w:rPr>
                      <w:sz w:val="21"/>
                      <w:szCs w:val="21"/>
                    </w:rPr>
                    <w:t xml:space="preserve"> </w:t>
                  </w:r>
                  <w:r>
                    <w:rPr>
                      <w:rFonts w:ascii="Times New Roman" w:hAnsi="Times New Roman" w:eastAsia="Times New Roman" w:cs="Times New Roman"/>
                      <w:spacing w:val="-1"/>
                      <w:sz w:val="21"/>
                      <w:szCs w:val="21"/>
                    </w:rPr>
                    <w:t>KCL</w:t>
                  </w:r>
                  <w:r>
                    <w:rPr>
                      <w:spacing w:val="-1"/>
                      <w:sz w:val="21"/>
                      <w:szCs w:val="21"/>
                    </w:rPr>
                    <w:t>、加重剂（按密度需要）</w:t>
                  </w:r>
                </w:p>
              </w:tc>
              <w:tc>
                <w:tcPr>
                  <w:tcW w:w="705" w:type="dxa"/>
                  <w:vAlign w:val="top"/>
                </w:tcPr>
                <w:p>
                  <w:pPr>
                    <w:spacing w:line="276" w:lineRule="auto"/>
                    <w:rPr>
                      <w:rFonts w:ascii="Arial"/>
                      <w:sz w:val="21"/>
                    </w:rPr>
                  </w:pPr>
                </w:p>
                <w:p>
                  <w:pPr>
                    <w:spacing w:line="276" w:lineRule="auto"/>
                    <w:rPr>
                      <w:rFonts w:ascii="Arial"/>
                      <w:sz w:val="21"/>
                    </w:rPr>
                  </w:pPr>
                </w:p>
                <w:p>
                  <w:pPr>
                    <w:spacing w:before="61"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2119" w:type="dxa"/>
                  <w:vAlign w:val="top"/>
                </w:tcPr>
                <w:p>
                  <w:pPr>
                    <w:pStyle w:val="6"/>
                    <w:spacing w:before="306" w:line="231" w:lineRule="auto"/>
                    <w:ind w:left="211" w:right="210" w:firstLine="12"/>
                    <w:jc w:val="both"/>
                    <w:rPr>
                      <w:rFonts w:ascii="Times New Roman" w:hAnsi="Times New Roman" w:eastAsia="Times New Roman" w:cs="Times New Roman"/>
                      <w:sz w:val="21"/>
                      <w:szCs w:val="21"/>
                    </w:rPr>
                  </w:pPr>
                  <w:r>
                    <w:rPr>
                      <w:spacing w:val="5"/>
                      <w:sz w:val="21"/>
                      <w:szCs w:val="21"/>
                    </w:rPr>
                    <w:t>钻井液密度</w:t>
                  </w:r>
                  <w:r>
                    <w:rPr>
                      <w:spacing w:val="-22"/>
                      <w:sz w:val="21"/>
                      <w:szCs w:val="21"/>
                    </w:rPr>
                    <w:t xml:space="preserve"> </w:t>
                  </w:r>
                  <w:r>
                    <w:rPr>
                      <w:rFonts w:ascii="Times New Roman" w:hAnsi="Times New Roman" w:eastAsia="Times New Roman" w:cs="Times New Roman"/>
                      <w:spacing w:val="5"/>
                      <w:sz w:val="21"/>
                      <w:szCs w:val="21"/>
                    </w:rPr>
                    <w:t>1.87</w:t>
                  </w:r>
                  <w:r>
                    <w:rPr>
                      <w:spacing w:val="5"/>
                      <w:sz w:val="21"/>
                      <w:szCs w:val="21"/>
                    </w:rPr>
                    <w:t>~</w:t>
                  </w:r>
                  <w:r>
                    <w:rPr>
                      <w:sz w:val="21"/>
                      <w:szCs w:val="21"/>
                    </w:rPr>
                    <w:t xml:space="preserve"> </w:t>
                  </w:r>
                  <w:r>
                    <w:rPr>
                      <w:rFonts w:ascii="Times New Roman" w:hAnsi="Times New Roman" w:eastAsia="Times New Roman" w:cs="Times New Roman"/>
                      <w:spacing w:val="4"/>
                      <w:sz w:val="21"/>
                      <w:szCs w:val="21"/>
                    </w:rPr>
                    <w:t>1.95g/</w:t>
                  </w:r>
                  <w:r>
                    <w:rPr>
                      <w:rFonts w:ascii="Times New Roman" w:hAnsi="Times New Roman" w:eastAsia="Times New Roman" w:cs="Times New Roman"/>
                      <w:sz w:val="21"/>
                      <w:szCs w:val="21"/>
                    </w:rPr>
                    <w:t>cm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3"/>
                      <w:position w:val="6"/>
                      <w:sz w:val="13"/>
                      <w:szCs w:val="13"/>
                    </w:rPr>
                    <w:t xml:space="preserve"> </w:t>
                  </w:r>
                  <w:r>
                    <w:rPr>
                      <w:spacing w:val="4"/>
                      <w:sz w:val="21"/>
                      <w:szCs w:val="21"/>
                    </w:rPr>
                    <w:t>；固含&lt;</w:t>
                  </w:r>
                  <w:r>
                    <w:rPr>
                      <w:sz w:val="21"/>
                      <w:szCs w:val="21"/>
                    </w:rPr>
                    <w:t xml:space="preserve"> </w:t>
                  </w:r>
                  <w:r>
                    <w:rPr>
                      <w:rFonts w:ascii="Times New Roman" w:hAnsi="Times New Roman" w:eastAsia="Times New Roman" w:cs="Times New Roman"/>
                      <w:spacing w:val="-3"/>
                      <w:sz w:val="21"/>
                      <w:szCs w:val="21"/>
                    </w:rPr>
                    <w:t>42%</w:t>
                  </w:r>
                  <w:r>
                    <w:rPr>
                      <w:spacing w:val="-3"/>
                      <w:sz w:val="21"/>
                      <w:szCs w:val="21"/>
                    </w:rPr>
                    <w:t>；</w:t>
                  </w:r>
                  <w:r>
                    <w:rPr>
                      <w:rFonts w:ascii="Times New Roman" w:hAnsi="Times New Roman" w:eastAsia="Times New Roman" w:cs="Times New Roman"/>
                      <w:spacing w:val="-3"/>
                      <w:sz w:val="21"/>
                      <w:szCs w:val="21"/>
                    </w:rPr>
                    <w:t xml:space="preserve">pH </w:t>
                  </w:r>
                  <w:r>
                    <w:rPr>
                      <w:spacing w:val="-3"/>
                      <w:sz w:val="21"/>
                      <w:szCs w:val="21"/>
                    </w:rPr>
                    <w:t>值</w:t>
                  </w:r>
                  <w:r>
                    <w:rPr>
                      <w:spacing w:val="-24"/>
                      <w:sz w:val="21"/>
                      <w:szCs w:val="21"/>
                    </w:rPr>
                    <w:t xml:space="preserve"> </w:t>
                  </w:r>
                  <w:r>
                    <w:rPr>
                      <w:rFonts w:ascii="Times New Roman" w:hAnsi="Times New Roman" w:eastAsia="Times New Roman" w:cs="Times New Roman"/>
                      <w:spacing w:val="-3"/>
                      <w:sz w:val="21"/>
                      <w:szCs w:val="21"/>
                    </w:rPr>
                    <w:t>10~11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69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22" w:lineRule="auto"/>
                    <w:ind w:left="144"/>
                    <w:rPr>
                      <w:sz w:val="21"/>
                      <w:szCs w:val="21"/>
                    </w:rPr>
                  </w:pPr>
                  <w:r>
                    <w:rPr>
                      <w:spacing w:val="-4"/>
                      <w:sz w:val="21"/>
                      <w:szCs w:val="21"/>
                    </w:rPr>
                    <w:t>六开</w:t>
                  </w:r>
                </w:p>
              </w:tc>
              <w:tc>
                <w:tcPr>
                  <w:tcW w:w="851" w:type="dxa"/>
                  <w:vAlign w:val="top"/>
                </w:tcPr>
                <w:p>
                  <w:pPr>
                    <w:spacing w:line="351" w:lineRule="auto"/>
                    <w:rPr>
                      <w:rFonts w:ascii="Arial"/>
                      <w:sz w:val="21"/>
                    </w:rPr>
                  </w:pPr>
                </w:p>
                <w:p>
                  <w:pPr>
                    <w:spacing w:line="352" w:lineRule="auto"/>
                    <w:rPr>
                      <w:rFonts w:ascii="Arial"/>
                      <w:sz w:val="21"/>
                    </w:rPr>
                  </w:pPr>
                </w:p>
                <w:p>
                  <w:pPr>
                    <w:spacing w:before="61" w:line="214" w:lineRule="auto"/>
                    <w:ind w:left="221" w:right="155" w:hanging="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7135~</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2"/>
                      <w:sz w:val="21"/>
                      <w:szCs w:val="21"/>
                    </w:rPr>
                    <w:t>7230</w:t>
                  </w:r>
                </w:p>
              </w:tc>
              <w:tc>
                <w:tcPr>
                  <w:tcW w:w="847" w:type="dxa"/>
                  <w:vAlign w:val="top"/>
                </w:tcPr>
                <w:p>
                  <w:pPr>
                    <w:spacing w:line="321" w:lineRule="auto"/>
                    <w:rPr>
                      <w:rFonts w:ascii="Arial"/>
                      <w:sz w:val="21"/>
                    </w:rPr>
                  </w:pPr>
                </w:p>
                <w:p>
                  <w:pPr>
                    <w:spacing w:line="322" w:lineRule="auto"/>
                    <w:rPr>
                      <w:rFonts w:ascii="Arial"/>
                      <w:sz w:val="21"/>
                    </w:rPr>
                  </w:pPr>
                </w:p>
                <w:p>
                  <w:pPr>
                    <w:pStyle w:val="6"/>
                    <w:spacing w:before="68" w:line="230" w:lineRule="auto"/>
                    <w:ind w:left="218" w:right="103" w:hanging="102"/>
                    <w:rPr>
                      <w:sz w:val="21"/>
                      <w:szCs w:val="21"/>
                    </w:rPr>
                  </w:pPr>
                  <w:r>
                    <w:rPr>
                      <w:spacing w:val="-3"/>
                      <w:sz w:val="21"/>
                      <w:szCs w:val="21"/>
                    </w:rPr>
                    <w:t>油基钻</w:t>
                  </w:r>
                  <w:r>
                    <w:rPr>
                      <w:sz w:val="21"/>
                      <w:szCs w:val="21"/>
                    </w:rPr>
                    <w:t xml:space="preserve"> </w:t>
                  </w:r>
                  <w:r>
                    <w:rPr>
                      <w:spacing w:val="-2"/>
                      <w:sz w:val="21"/>
                      <w:szCs w:val="21"/>
                    </w:rPr>
                    <w:t>井液</w:t>
                  </w:r>
                </w:p>
              </w:tc>
              <w:tc>
                <w:tcPr>
                  <w:tcW w:w="3397" w:type="dxa"/>
                  <w:vAlign w:val="top"/>
                </w:tcPr>
                <w:p>
                  <w:pPr>
                    <w:pStyle w:val="6"/>
                    <w:spacing w:before="31" w:line="236" w:lineRule="auto"/>
                    <w:ind w:left="118" w:right="101" w:firstLine="25"/>
                    <w:jc w:val="both"/>
                    <w:rPr>
                      <w:sz w:val="21"/>
                      <w:szCs w:val="21"/>
                    </w:rPr>
                  </w:pPr>
                  <w:r>
                    <w:rPr>
                      <w:spacing w:val="-5"/>
                      <w:sz w:val="21"/>
                      <w:szCs w:val="21"/>
                    </w:rPr>
                    <w:t>白油、</w:t>
                  </w:r>
                  <w:r>
                    <w:rPr>
                      <w:rFonts w:ascii="Times New Roman" w:hAnsi="Times New Roman" w:eastAsia="Times New Roman" w:cs="Times New Roman"/>
                      <w:spacing w:val="-5"/>
                      <w:sz w:val="21"/>
                      <w:szCs w:val="21"/>
                    </w:rPr>
                    <w:t>2%</w:t>
                  </w:r>
                  <w:r>
                    <w:rPr>
                      <w:spacing w:val="-5"/>
                      <w:sz w:val="21"/>
                      <w:szCs w:val="21"/>
                    </w:rPr>
                    <w:t>～</w:t>
                  </w:r>
                  <w:r>
                    <w:rPr>
                      <w:rFonts w:ascii="Times New Roman" w:hAnsi="Times New Roman" w:eastAsia="Times New Roman" w:cs="Times New Roman"/>
                      <w:spacing w:val="-5"/>
                      <w:sz w:val="21"/>
                      <w:szCs w:val="21"/>
                    </w:rPr>
                    <w:t>3%</w:t>
                  </w:r>
                  <w:r>
                    <w:rPr>
                      <w:spacing w:val="-5"/>
                      <w:sz w:val="21"/>
                      <w:szCs w:val="21"/>
                    </w:rPr>
                    <w:t>有机土、</w:t>
                  </w:r>
                  <w:r>
                    <w:rPr>
                      <w:rFonts w:ascii="Times New Roman" w:hAnsi="Times New Roman" w:eastAsia="Times New Roman" w:cs="Times New Roman"/>
                      <w:spacing w:val="-5"/>
                      <w:sz w:val="21"/>
                      <w:szCs w:val="21"/>
                    </w:rPr>
                    <w:t>4%</w:t>
                  </w:r>
                  <w:r>
                    <w:rPr>
                      <w:spacing w:val="-5"/>
                      <w:sz w:val="21"/>
                      <w:szCs w:val="21"/>
                    </w:rPr>
                    <w:t>～</w:t>
                  </w:r>
                  <w:r>
                    <w:rPr>
                      <w:rFonts w:ascii="Times New Roman" w:hAnsi="Times New Roman" w:eastAsia="Times New Roman" w:cs="Times New Roman"/>
                      <w:spacing w:val="-5"/>
                      <w:sz w:val="21"/>
                      <w:szCs w:val="21"/>
                    </w:rPr>
                    <w:t>5%</w:t>
                  </w:r>
                  <w:r>
                    <w:rPr>
                      <w:spacing w:val="-5"/>
                      <w:sz w:val="21"/>
                      <w:szCs w:val="21"/>
                    </w:rPr>
                    <w:t>主</w:t>
                  </w:r>
                  <w:r>
                    <w:rPr>
                      <w:spacing w:val="15"/>
                      <w:sz w:val="21"/>
                      <w:szCs w:val="21"/>
                    </w:rPr>
                    <w:t xml:space="preserve"> </w:t>
                  </w:r>
                  <w:r>
                    <w:rPr>
                      <w:spacing w:val="5"/>
                      <w:sz w:val="21"/>
                      <w:szCs w:val="21"/>
                    </w:rPr>
                    <w:t>乳化剂、</w:t>
                  </w:r>
                  <w:r>
                    <w:rPr>
                      <w:rFonts w:ascii="Times New Roman" w:hAnsi="Times New Roman" w:eastAsia="Times New Roman" w:cs="Times New Roman"/>
                      <w:spacing w:val="5"/>
                      <w:sz w:val="21"/>
                      <w:szCs w:val="21"/>
                    </w:rPr>
                    <w:t>3%</w:t>
                  </w:r>
                  <w:r>
                    <w:rPr>
                      <w:spacing w:val="5"/>
                      <w:sz w:val="21"/>
                      <w:szCs w:val="21"/>
                    </w:rPr>
                    <w:t>～</w:t>
                  </w:r>
                  <w:r>
                    <w:rPr>
                      <w:rFonts w:ascii="Times New Roman" w:hAnsi="Times New Roman" w:eastAsia="Times New Roman" w:cs="Times New Roman"/>
                      <w:spacing w:val="5"/>
                      <w:sz w:val="21"/>
                      <w:szCs w:val="21"/>
                    </w:rPr>
                    <w:t>4%</w:t>
                  </w:r>
                  <w:r>
                    <w:rPr>
                      <w:spacing w:val="5"/>
                      <w:sz w:val="21"/>
                      <w:szCs w:val="21"/>
                    </w:rPr>
                    <w:t>辅乳化剂、</w:t>
                  </w:r>
                  <w:r>
                    <w:rPr>
                      <w:rFonts w:ascii="Times New Roman" w:hAnsi="Times New Roman" w:eastAsia="Times New Roman" w:cs="Times New Roman"/>
                      <w:spacing w:val="5"/>
                      <w:sz w:val="21"/>
                      <w:szCs w:val="21"/>
                    </w:rPr>
                    <w:t>2%</w:t>
                  </w:r>
                  <w:r>
                    <w:rPr>
                      <w:spacing w:val="5"/>
                      <w:sz w:val="21"/>
                      <w:szCs w:val="21"/>
                    </w:rPr>
                    <w:t>~</w:t>
                  </w:r>
                  <w:r>
                    <w:rPr>
                      <w:spacing w:val="6"/>
                      <w:sz w:val="21"/>
                      <w:szCs w:val="21"/>
                    </w:rPr>
                    <w:t xml:space="preserve"> </w:t>
                  </w:r>
                  <w:r>
                    <w:rPr>
                      <w:rFonts w:ascii="Times New Roman" w:hAnsi="Times New Roman" w:eastAsia="Times New Roman" w:cs="Times New Roman"/>
                      <w:spacing w:val="-4"/>
                      <w:sz w:val="21"/>
                      <w:szCs w:val="21"/>
                    </w:rPr>
                    <w:t>4%</w:t>
                  </w:r>
                  <w:r>
                    <w:rPr>
                      <w:spacing w:val="-4"/>
                      <w:sz w:val="21"/>
                      <w:szCs w:val="21"/>
                    </w:rPr>
                    <w:t>润湿剂、</w:t>
                  </w:r>
                  <w:r>
                    <w:rPr>
                      <w:spacing w:val="-35"/>
                      <w:sz w:val="21"/>
                      <w:szCs w:val="21"/>
                    </w:rPr>
                    <w:t xml:space="preserve"> </w:t>
                  </w:r>
                  <w:r>
                    <w:rPr>
                      <w:rFonts w:ascii="Times New Roman" w:hAnsi="Times New Roman" w:eastAsia="Times New Roman" w:cs="Times New Roman"/>
                      <w:spacing w:val="-4"/>
                      <w:sz w:val="21"/>
                      <w:szCs w:val="21"/>
                    </w:rPr>
                    <w:t>2%</w:t>
                  </w:r>
                  <w:r>
                    <w:rPr>
                      <w:spacing w:val="-4"/>
                      <w:sz w:val="21"/>
                      <w:szCs w:val="21"/>
                    </w:rPr>
                    <w:t>～</w:t>
                  </w:r>
                  <w:r>
                    <w:rPr>
                      <w:rFonts w:ascii="Times New Roman" w:hAnsi="Times New Roman" w:eastAsia="Times New Roman" w:cs="Times New Roman"/>
                      <w:spacing w:val="-4"/>
                      <w:sz w:val="21"/>
                      <w:szCs w:val="21"/>
                    </w:rPr>
                    <w:t>3%</w:t>
                  </w:r>
                  <w:r>
                    <w:rPr>
                      <w:spacing w:val="-4"/>
                      <w:sz w:val="21"/>
                      <w:szCs w:val="21"/>
                    </w:rPr>
                    <w:t>生石灰、氯化</w:t>
                  </w:r>
                  <w:r>
                    <w:rPr>
                      <w:sz w:val="21"/>
                      <w:szCs w:val="21"/>
                    </w:rPr>
                    <w:t xml:space="preserve"> </w:t>
                  </w:r>
                  <w:r>
                    <w:rPr>
                      <w:spacing w:val="-1"/>
                      <w:sz w:val="21"/>
                      <w:szCs w:val="21"/>
                    </w:rPr>
                    <w:t>钙溶液</w:t>
                  </w:r>
                  <w:r>
                    <w:rPr>
                      <w:rFonts w:ascii="Times New Roman" w:hAnsi="Times New Roman" w:eastAsia="Times New Roman" w:cs="Times New Roman"/>
                      <w:spacing w:val="-1"/>
                      <w:sz w:val="21"/>
                      <w:szCs w:val="21"/>
                    </w:rPr>
                    <w:t>(25%</w:t>
                  </w:r>
                  <w:r>
                    <w:rPr>
                      <w:spacing w:val="-1"/>
                      <w:sz w:val="21"/>
                      <w:szCs w:val="21"/>
                    </w:rPr>
                    <w:t>～</w:t>
                  </w:r>
                  <w:r>
                    <w:rPr>
                      <w:rFonts w:ascii="Times New Roman" w:hAnsi="Times New Roman" w:eastAsia="Times New Roman" w:cs="Times New Roman"/>
                      <w:spacing w:val="-1"/>
                      <w:sz w:val="21"/>
                      <w:szCs w:val="21"/>
                    </w:rPr>
                    <w:t>30%)</w:t>
                  </w:r>
                  <w:r>
                    <w:rPr>
                      <w:rFonts w:ascii="Times New Roman" w:hAnsi="Times New Roman" w:eastAsia="Times New Roman" w:cs="Times New Roman"/>
                      <w:spacing w:val="-28"/>
                      <w:sz w:val="21"/>
                      <w:szCs w:val="21"/>
                    </w:rPr>
                    <w:t xml:space="preserve"> </w:t>
                  </w:r>
                  <w:r>
                    <w:rPr>
                      <w:spacing w:val="-1"/>
                      <w:sz w:val="21"/>
                      <w:szCs w:val="21"/>
                    </w:rPr>
                    <w:t>、</w:t>
                  </w:r>
                  <w:r>
                    <w:rPr>
                      <w:rFonts w:ascii="Times New Roman" w:hAnsi="Times New Roman" w:eastAsia="Times New Roman" w:cs="Times New Roman"/>
                      <w:spacing w:val="-1"/>
                      <w:sz w:val="21"/>
                      <w:szCs w:val="21"/>
                    </w:rPr>
                    <w:t>4%</w:t>
                  </w:r>
                  <w:r>
                    <w:rPr>
                      <w:spacing w:val="-1"/>
                      <w:sz w:val="21"/>
                      <w:szCs w:val="21"/>
                    </w:rPr>
                    <w:t>～</w:t>
                  </w:r>
                  <w:r>
                    <w:rPr>
                      <w:rFonts w:ascii="Times New Roman" w:hAnsi="Times New Roman" w:eastAsia="Times New Roman" w:cs="Times New Roman"/>
                      <w:spacing w:val="-1"/>
                      <w:sz w:val="21"/>
                      <w:szCs w:val="21"/>
                    </w:rPr>
                    <w:t>5%</w:t>
                  </w:r>
                  <w:r>
                    <w:rPr>
                      <w:spacing w:val="-1"/>
                      <w:sz w:val="21"/>
                      <w:szCs w:val="21"/>
                    </w:rPr>
                    <w:t>降滤</w:t>
                  </w:r>
                  <w:r>
                    <w:rPr>
                      <w:sz w:val="21"/>
                      <w:szCs w:val="21"/>
                    </w:rPr>
                    <w:t xml:space="preserve"> </w:t>
                  </w:r>
                  <w:r>
                    <w:rPr>
                      <w:spacing w:val="-3"/>
                      <w:sz w:val="21"/>
                      <w:szCs w:val="21"/>
                    </w:rPr>
                    <w:t>失剂、</w:t>
                  </w:r>
                  <w:r>
                    <w:rPr>
                      <w:rFonts w:ascii="Times New Roman" w:hAnsi="Times New Roman" w:eastAsia="Times New Roman" w:cs="Times New Roman"/>
                      <w:spacing w:val="-3"/>
                      <w:sz w:val="21"/>
                      <w:szCs w:val="21"/>
                    </w:rPr>
                    <w:t>3%</w:t>
                  </w:r>
                  <w:r>
                    <w:rPr>
                      <w:spacing w:val="-3"/>
                      <w:sz w:val="21"/>
                      <w:szCs w:val="21"/>
                    </w:rPr>
                    <w:t>～</w:t>
                  </w:r>
                  <w:r>
                    <w:rPr>
                      <w:rFonts w:ascii="Times New Roman" w:hAnsi="Times New Roman" w:eastAsia="Times New Roman" w:cs="Times New Roman"/>
                      <w:spacing w:val="-3"/>
                      <w:sz w:val="21"/>
                      <w:szCs w:val="21"/>
                    </w:rPr>
                    <w:t>5%</w:t>
                  </w:r>
                  <w:r>
                    <w:rPr>
                      <w:spacing w:val="-3"/>
                      <w:sz w:val="21"/>
                      <w:szCs w:val="21"/>
                    </w:rPr>
                    <w:t>封堵剂、</w:t>
                  </w:r>
                  <w:r>
                    <w:rPr>
                      <w:rFonts w:ascii="Times New Roman" w:hAnsi="Times New Roman" w:eastAsia="Times New Roman" w:cs="Times New Roman"/>
                      <w:spacing w:val="-3"/>
                      <w:sz w:val="21"/>
                      <w:szCs w:val="21"/>
                    </w:rPr>
                    <w:t>1%</w:t>
                  </w:r>
                  <w:r>
                    <w:rPr>
                      <w:spacing w:val="-3"/>
                      <w:sz w:val="21"/>
                      <w:szCs w:val="21"/>
                    </w:rPr>
                    <w:t>～</w:t>
                  </w:r>
                  <w:r>
                    <w:rPr>
                      <w:rFonts w:ascii="Times New Roman" w:hAnsi="Times New Roman" w:eastAsia="Times New Roman" w:cs="Times New Roman"/>
                      <w:spacing w:val="-3"/>
                      <w:sz w:val="21"/>
                      <w:szCs w:val="21"/>
                    </w:rPr>
                    <w:t>2%</w:t>
                  </w:r>
                  <w:r>
                    <w:rPr>
                      <w:spacing w:val="-3"/>
                      <w:sz w:val="21"/>
                      <w:szCs w:val="21"/>
                    </w:rPr>
                    <w:t>流</w:t>
                  </w:r>
                </w:p>
                <w:p>
                  <w:pPr>
                    <w:pStyle w:val="6"/>
                    <w:spacing w:before="21" w:line="234" w:lineRule="auto"/>
                    <w:ind w:left="151"/>
                    <w:rPr>
                      <w:sz w:val="21"/>
                      <w:szCs w:val="21"/>
                    </w:rPr>
                  </w:pPr>
                  <w:r>
                    <w:rPr>
                      <w:spacing w:val="-8"/>
                      <w:sz w:val="21"/>
                      <w:szCs w:val="21"/>
                    </w:rPr>
                    <w:t xml:space="preserve">型调节剂、 </w:t>
                  </w:r>
                  <w:r>
                    <w:rPr>
                      <w:rFonts w:ascii="Times New Roman" w:hAnsi="Times New Roman" w:eastAsia="Times New Roman" w:cs="Times New Roman"/>
                      <w:spacing w:val="-8"/>
                      <w:sz w:val="21"/>
                      <w:szCs w:val="21"/>
                    </w:rPr>
                    <w:t>1</w:t>
                  </w:r>
                  <w:r>
                    <w:rPr>
                      <w:spacing w:val="-3"/>
                      <w:sz w:val="21"/>
                      <w:szCs w:val="21"/>
                    </w:rPr>
                    <w:t>％～</w:t>
                  </w:r>
                  <w:r>
                    <w:rPr>
                      <w:rFonts w:ascii="Times New Roman" w:hAnsi="Times New Roman" w:eastAsia="Times New Roman" w:cs="Times New Roman"/>
                      <w:spacing w:val="-8"/>
                      <w:sz w:val="21"/>
                      <w:szCs w:val="21"/>
                    </w:rPr>
                    <w:t>3%</w:t>
                  </w:r>
                  <w:r>
                    <w:rPr>
                      <w:spacing w:val="-8"/>
                      <w:sz w:val="21"/>
                      <w:szCs w:val="21"/>
                    </w:rPr>
                    <w:t>除硫剂、适量</w:t>
                  </w:r>
                </w:p>
                <w:p>
                  <w:pPr>
                    <w:pStyle w:val="6"/>
                    <w:spacing w:before="7" w:line="207" w:lineRule="auto"/>
                    <w:ind w:left="634"/>
                    <w:rPr>
                      <w:sz w:val="21"/>
                      <w:szCs w:val="21"/>
                    </w:rPr>
                  </w:pPr>
                  <w:r>
                    <w:rPr>
                      <w:spacing w:val="-3"/>
                      <w:sz w:val="21"/>
                      <w:szCs w:val="21"/>
                    </w:rPr>
                    <w:t>的加重剂</w:t>
                  </w:r>
                  <w:r>
                    <w:rPr>
                      <w:rFonts w:ascii="Times New Roman" w:hAnsi="Times New Roman" w:eastAsia="Times New Roman" w:cs="Times New Roman"/>
                      <w:spacing w:val="-3"/>
                      <w:sz w:val="21"/>
                      <w:szCs w:val="21"/>
                    </w:rPr>
                    <w:t>(</w:t>
                  </w:r>
                  <w:r>
                    <w:rPr>
                      <w:spacing w:val="-3"/>
                      <w:sz w:val="21"/>
                      <w:szCs w:val="21"/>
                    </w:rPr>
                    <w:t>按密度需要）</w:t>
                  </w:r>
                </w:p>
              </w:tc>
              <w:tc>
                <w:tcPr>
                  <w:tcW w:w="705"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2119" w:type="dxa"/>
                  <w:vAlign w:val="top"/>
                </w:tcPr>
                <w:p>
                  <w:pPr>
                    <w:spacing w:line="253" w:lineRule="auto"/>
                    <w:rPr>
                      <w:rFonts w:ascii="Arial"/>
                      <w:sz w:val="21"/>
                    </w:rPr>
                  </w:pPr>
                </w:p>
                <w:p>
                  <w:pPr>
                    <w:spacing w:line="254" w:lineRule="auto"/>
                    <w:rPr>
                      <w:rFonts w:ascii="Arial"/>
                      <w:sz w:val="21"/>
                    </w:rPr>
                  </w:pPr>
                </w:p>
                <w:p>
                  <w:pPr>
                    <w:pStyle w:val="6"/>
                    <w:spacing w:before="69" w:line="221" w:lineRule="auto"/>
                    <w:ind w:left="538"/>
                    <w:rPr>
                      <w:sz w:val="21"/>
                      <w:szCs w:val="21"/>
                    </w:rPr>
                  </w:pPr>
                  <w:r>
                    <w:rPr>
                      <w:spacing w:val="-1"/>
                      <w:sz w:val="21"/>
                      <w:szCs w:val="21"/>
                    </w:rPr>
                    <w:t>钻井液密度</w:t>
                  </w:r>
                </w:p>
                <w:p>
                  <w:pPr>
                    <w:pStyle w:val="6"/>
                    <w:spacing w:before="19" w:line="227" w:lineRule="auto"/>
                    <w:ind w:left="131" w:right="10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1.38~1.46g/cm</w:t>
                  </w:r>
                  <w:r>
                    <w:rPr>
                      <w:rFonts w:ascii="Times New Roman" w:hAnsi="Times New Roman" w:eastAsia="Times New Roman" w:cs="Times New Roman"/>
                      <w:spacing w:val="-6"/>
                      <w:position w:val="6"/>
                      <w:sz w:val="13"/>
                      <w:szCs w:val="13"/>
                    </w:rPr>
                    <w:t>3</w:t>
                  </w:r>
                  <w:r>
                    <w:rPr>
                      <w:spacing w:val="-6"/>
                      <w:sz w:val="21"/>
                      <w:szCs w:val="21"/>
                    </w:rPr>
                    <w:t>；固含</w:t>
                  </w:r>
                  <w:r>
                    <w:rPr>
                      <w:spacing w:val="11"/>
                      <w:sz w:val="21"/>
                      <w:szCs w:val="21"/>
                    </w:rPr>
                    <w:t xml:space="preserve"> </w:t>
                  </w:r>
                  <w:r>
                    <w:rPr>
                      <w:spacing w:val="-5"/>
                      <w:sz w:val="21"/>
                      <w:szCs w:val="21"/>
                    </w:rPr>
                    <w:t>＜</w:t>
                  </w:r>
                  <w:r>
                    <w:rPr>
                      <w:rFonts w:ascii="Times New Roman" w:hAnsi="Times New Roman" w:eastAsia="Times New Roman" w:cs="Times New Roman"/>
                      <w:spacing w:val="-5"/>
                      <w:sz w:val="21"/>
                      <w:szCs w:val="21"/>
                    </w:rPr>
                    <w:t>21%</w:t>
                  </w:r>
                  <w:r>
                    <w:rPr>
                      <w:spacing w:val="-5"/>
                      <w:sz w:val="21"/>
                      <w:szCs w:val="21"/>
                    </w:rPr>
                    <w:t>；</w:t>
                  </w:r>
                  <w:r>
                    <w:rPr>
                      <w:rFonts w:ascii="Times New Roman" w:hAnsi="Times New Roman" w:eastAsia="Times New Roman" w:cs="Times New Roman"/>
                      <w:spacing w:val="-5"/>
                      <w:sz w:val="21"/>
                      <w:szCs w:val="21"/>
                    </w:rPr>
                    <w:t xml:space="preserve">pH </w:t>
                  </w:r>
                  <w:r>
                    <w:rPr>
                      <w:spacing w:val="-5"/>
                      <w:sz w:val="21"/>
                      <w:szCs w:val="21"/>
                    </w:rPr>
                    <w:t>值</w:t>
                  </w:r>
                  <w:r>
                    <w:rPr>
                      <w:spacing w:val="-19"/>
                      <w:sz w:val="21"/>
                      <w:szCs w:val="21"/>
                    </w:rPr>
                    <w:t xml:space="preserve"> </w:t>
                  </w:r>
                  <w:r>
                    <w:rPr>
                      <w:rFonts w:ascii="Times New Roman" w:hAnsi="Times New Roman" w:eastAsia="Times New Roman" w:cs="Times New Roman"/>
                      <w:spacing w:val="-5"/>
                      <w:sz w:val="21"/>
                      <w:szCs w:val="21"/>
                    </w:rPr>
                    <w:t>10~11</w:t>
                  </w:r>
                </w:p>
              </w:tc>
            </w:tr>
          </w:tbl>
          <w:p>
            <w:pPr>
              <w:pStyle w:val="6"/>
              <w:spacing w:before="178" w:line="220" w:lineRule="auto"/>
              <w:ind w:left="1054"/>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）原辅料理化性质</w:t>
            </w:r>
          </w:p>
          <w:p>
            <w:pPr>
              <w:pStyle w:val="6"/>
              <w:spacing w:before="193" w:line="219" w:lineRule="auto"/>
              <w:ind w:left="1046"/>
              <w:rPr>
                <w:sz w:val="24"/>
                <w:szCs w:val="24"/>
              </w:rPr>
            </w:pPr>
            <w:r>
              <w:rPr>
                <w:spacing w:val="-2"/>
                <w:sz w:val="24"/>
                <w:szCs w:val="24"/>
              </w:rPr>
              <w:t>本项目所用钻井液及酸化液主要材料物理化学特性见下表。</w:t>
            </w:r>
          </w:p>
          <w:p>
            <w:pPr>
              <w:pStyle w:val="6"/>
              <w:spacing w:before="194" w:line="220" w:lineRule="auto"/>
              <w:ind w:left="2725"/>
              <w:rPr>
                <w:sz w:val="24"/>
                <w:szCs w:val="24"/>
              </w:rPr>
            </w:pPr>
            <w:r>
              <w:rPr>
                <w:spacing w:val="-1"/>
                <w:sz w:val="24"/>
                <w:szCs w:val="24"/>
                <w14:textOutline w14:w="4354" w14:cap="flat" w14:cmpd="sng">
                  <w14:solidFill>
                    <w14:srgbClr w14:val="000000"/>
                  </w14:solidFill>
                  <w14:prstDash w14:val="solid"/>
                  <w14:miter w14:val="10"/>
                </w14:textOutline>
              </w:rPr>
              <w:t>表</w:t>
            </w:r>
            <w:r>
              <w:rPr>
                <w:spacing w:val="-35"/>
                <w:sz w:val="24"/>
                <w:szCs w:val="24"/>
              </w:rPr>
              <w:t xml:space="preserve"> </w:t>
            </w:r>
            <w:r>
              <w:rPr>
                <w:rFonts w:ascii="Times New Roman" w:hAnsi="Times New Roman" w:eastAsia="Times New Roman" w:cs="Times New Roman"/>
                <w:b/>
                <w:bCs/>
                <w:spacing w:val="-1"/>
                <w:sz w:val="24"/>
                <w:szCs w:val="24"/>
              </w:rPr>
              <w:t xml:space="preserve">2.5-3  </w:t>
            </w:r>
            <w:r>
              <w:rPr>
                <w:spacing w:val="-1"/>
                <w:sz w:val="24"/>
                <w:szCs w:val="24"/>
                <w14:textOutline w14:w="4354" w14:cap="flat" w14:cmpd="sng">
                  <w14:solidFill>
                    <w14:srgbClr w14:val="000000"/>
                  </w14:solidFill>
                  <w14:prstDash w14:val="solid"/>
                  <w14:miter w14:val="10"/>
                </w14:textOutline>
              </w:rPr>
              <w:t>钻井液主要成分物理化学特性表</w:t>
            </w:r>
          </w:p>
          <w:p>
            <w:pPr>
              <w:spacing w:line="17"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17"/>
              <w:gridCol w:w="67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0" w:type="dxa"/>
                  <w:vAlign w:val="top"/>
                </w:tcPr>
                <w:p>
                  <w:pPr>
                    <w:pStyle w:val="6"/>
                    <w:spacing w:before="171" w:line="222" w:lineRule="auto"/>
                    <w:ind w:left="86"/>
                    <w:rPr>
                      <w:sz w:val="21"/>
                      <w:szCs w:val="21"/>
                    </w:rPr>
                  </w:pPr>
                  <w:r>
                    <w:rPr>
                      <w:spacing w:val="-2"/>
                      <w:sz w:val="21"/>
                      <w:szCs w:val="21"/>
                    </w:rPr>
                    <w:t>序号</w:t>
                  </w:r>
                </w:p>
              </w:tc>
              <w:tc>
                <w:tcPr>
                  <w:tcW w:w="1317" w:type="dxa"/>
                  <w:vAlign w:val="top"/>
                </w:tcPr>
                <w:p>
                  <w:pPr>
                    <w:pStyle w:val="6"/>
                    <w:spacing w:before="37" w:line="224" w:lineRule="auto"/>
                    <w:ind w:left="560" w:right="22" w:hanging="525"/>
                    <w:rPr>
                      <w:sz w:val="21"/>
                      <w:szCs w:val="21"/>
                    </w:rPr>
                  </w:pPr>
                  <w:r>
                    <w:rPr>
                      <w:spacing w:val="-1"/>
                      <w:sz w:val="21"/>
                      <w:szCs w:val="21"/>
                    </w:rPr>
                    <w:t>钻井液主要成</w:t>
                  </w:r>
                  <w:r>
                    <w:rPr>
                      <w:sz w:val="21"/>
                      <w:szCs w:val="21"/>
                    </w:rPr>
                    <w:t xml:space="preserve"> 分</w:t>
                  </w:r>
                </w:p>
              </w:tc>
              <w:tc>
                <w:tcPr>
                  <w:tcW w:w="6715" w:type="dxa"/>
                  <w:vAlign w:val="top"/>
                </w:tcPr>
                <w:p>
                  <w:pPr>
                    <w:pStyle w:val="6"/>
                    <w:spacing w:before="170" w:line="221" w:lineRule="auto"/>
                    <w:ind w:left="2731"/>
                    <w:rPr>
                      <w:sz w:val="21"/>
                      <w:szCs w:val="21"/>
                    </w:rPr>
                  </w:pPr>
                  <w:r>
                    <w:rPr>
                      <w:spacing w:val="-1"/>
                      <w:sz w:val="21"/>
                      <w:szCs w:val="21"/>
                    </w:rPr>
                    <w:t>物理化学特性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0" w:type="dxa"/>
                  <w:vAlign w:val="top"/>
                </w:tcPr>
                <w:p>
                  <w:pPr>
                    <w:spacing w:before="2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17" w:type="dxa"/>
                  <w:vAlign w:val="top"/>
                </w:tcPr>
                <w:p>
                  <w:pPr>
                    <w:pStyle w:val="6"/>
                    <w:spacing w:before="163" w:line="221" w:lineRule="auto"/>
                    <w:ind w:left="243"/>
                    <w:rPr>
                      <w:sz w:val="21"/>
                      <w:szCs w:val="21"/>
                    </w:rPr>
                  </w:pPr>
                  <w:r>
                    <w:rPr>
                      <w:spacing w:val="-2"/>
                      <w:sz w:val="21"/>
                      <w:szCs w:val="21"/>
                    </w:rPr>
                    <w:t>膨润土粉</w:t>
                  </w:r>
                </w:p>
              </w:tc>
              <w:tc>
                <w:tcPr>
                  <w:tcW w:w="6715" w:type="dxa"/>
                  <w:vAlign w:val="top"/>
                </w:tcPr>
                <w:p>
                  <w:pPr>
                    <w:pStyle w:val="6"/>
                    <w:spacing w:before="29" w:line="224" w:lineRule="auto"/>
                    <w:ind w:left="231" w:right="6" w:hanging="196"/>
                    <w:rPr>
                      <w:sz w:val="21"/>
                      <w:szCs w:val="21"/>
                    </w:rPr>
                  </w:pPr>
                  <w:r>
                    <w:rPr>
                      <w:spacing w:val="-1"/>
                      <w:sz w:val="21"/>
                      <w:szCs w:val="21"/>
                    </w:rPr>
                    <w:t>以蒙脱石为主要矿物成分</w:t>
                  </w:r>
                  <w:r>
                    <w:rPr>
                      <w:rFonts w:ascii="Times New Roman" w:hAnsi="Times New Roman" w:eastAsia="Times New Roman" w:cs="Times New Roman"/>
                      <w:spacing w:val="-1"/>
                      <w:sz w:val="21"/>
                      <w:szCs w:val="21"/>
                    </w:rPr>
                    <w:t>(85%~90%)</w:t>
                  </w:r>
                  <w:r>
                    <w:rPr>
                      <w:spacing w:val="-1"/>
                      <w:sz w:val="21"/>
                      <w:szCs w:val="21"/>
                    </w:rPr>
                    <w:t>，由两个硅氧四面体夹一层铝氧八面</w:t>
                  </w:r>
                  <w:r>
                    <w:rPr>
                      <w:spacing w:val="9"/>
                      <w:sz w:val="21"/>
                      <w:szCs w:val="21"/>
                    </w:rPr>
                    <w:t xml:space="preserve"> </w:t>
                  </w:r>
                  <w:r>
                    <w:rPr>
                      <w:sz w:val="21"/>
                      <w:szCs w:val="21"/>
                    </w:rPr>
                    <w:t>体组成的</w:t>
                  </w:r>
                  <w:r>
                    <w:rPr>
                      <w:spacing w:val="-47"/>
                      <w:sz w:val="21"/>
                      <w:szCs w:val="21"/>
                    </w:rPr>
                    <w:t xml:space="preserve"> </w:t>
                  </w:r>
                  <w:r>
                    <w:rPr>
                      <w:rFonts w:ascii="Times New Roman" w:hAnsi="Times New Roman" w:eastAsia="Times New Roman" w:cs="Times New Roman"/>
                      <w:sz w:val="21"/>
                      <w:szCs w:val="21"/>
                    </w:rPr>
                    <w:t xml:space="preserve">2:1 </w:t>
                  </w:r>
                  <w:r>
                    <w:rPr>
                      <w:sz w:val="21"/>
                      <w:szCs w:val="21"/>
                    </w:rPr>
                    <w:t>型晶体结构，呈如黄绿、黄白、灰</w:t>
                  </w:r>
                  <w:r>
                    <w:rPr>
                      <w:spacing w:val="-1"/>
                      <w:sz w:val="21"/>
                      <w:szCs w:val="21"/>
                    </w:rPr>
                    <w:t>、白色等各种颜色。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580" w:type="dxa"/>
                  <w:vAlign w:val="top"/>
                </w:tcPr>
                <w:p>
                  <w:pPr>
                    <w:spacing w:line="413" w:lineRule="auto"/>
                    <w:rPr>
                      <w:rFonts w:ascii="Arial"/>
                      <w:sz w:val="21"/>
                    </w:rPr>
                  </w:pPr>
                </w:p>
                <w:p>
                  <w:pPr>
                    <w:spacing w:before="60" w:line="187" w:lineRule="auto"/>
                    <w:ind w:left="24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17" w:type="dxa"/>
                  <w:vAlign w:val="top"/>
                </w:tcPr>
                <w:p>
                  <w:pPr>
                    <w:pStyle w:val="6"/>
                    <w:spacing w:before="300" w:line="234" w:lineRule="auto"/>
                    <w:ind w:left="58" w:right="22" w:hanging="15"/>
                    <w:rPr>
                      <w:sz w:val="21"/>
                      <w:szCs w:val="21"/>
                    </w:rPr>
                  </w:pPr>
                  <w:r>
                    <w:rPr>
                      <w:spacing w:val="-3"/>
                      <w:sz w:val="21"/>
                      <w:szCs w:val="21"/>
                    </w:rPr>
                    <w:t>聚丙烯酰胺钾</w:t>
                  </w:r>
                  <w:r>
                    <w:rPr>
                      <w:spacing w:val="3"/>
                      <w:sz w:val="21"/>
                      <w:szCs w:val="21"/>
                    </w:rPr>
                    <w:t xml:space="preserve"> </w:t>
                  </w:r>
                  <w:r>
                    <w:rPr>
                      <w:spacing w:val="-4"/>
                      <w:sz w:val="21"/>
                      <w:szCs w:val="21"/>
                    </w:rPr>
                    <w:t>盐（</w:t>
                  </w:r>
                  <w:r>
                    <w:rPr>
                      <w:rFonts w:ascii="Times New Roman" w:hAnsi="Times New Roman" w:eastAsia="Times New Roman" w:cs="Times New Roman"/>
                      <w:spacing w:val="-4"/>
                      <w:sz w:val="21"/>
                      <w:szCs w:val="21"/>
                    </w:rPr>
                    <w:t>KPAM</w:t>
                  </w:r>
                  <w:r>
                    <w:rPr>
                      <w:spacing w:val="-4"/>
                      <w:sz w:val="21"/>
                      <w:szCs w:val="21"/>
                    </w:rPr>
                    <w:t>）</w:t>
                  </w:r>
                </w:p>
              </w:tc>
              <w:tc>
                <w:tcPr>
                  <w:tcW w:w="6715" w:type="dxa"/>
                  <w:vAlign w:val="top"/>
                </w:tcPr>
                <w:p>
                  <w:pPr>
                    <w:pStyle w:val="6"/>
                    <w:spacing w:before="29" w:line="233" w:lineRule="auto"/>
                    <w:ind w:left="9" w:firstLine="3"/>
                    <w:jc w:val="both"/>
                    <w:rPr>
                      <w:sz w:val="21"/>
                      <w:szCs w:val="21"/>
                    </w:rPr>
                  </w:pPr>
                  <w:r>
                    <w:rPr>
                      <w:spacing w:val="-6"/>
                      <w:sz w:val="21"/>
                      <w:szCs w:val="21"/>
                    </w:rPr>
                    <w:t>该产品是一种无毒、无腐蚀的井壁稳定剂， 易溶于水</w:t>
                  </w:r>
                  <w:r>
                    <w:rPr>
                      <w:spacing w:val="-7"/>
                      <w:sz w:val="21"/>
                      <w:szCs w:val="21"/>
                    </w:rPr>
                    <w:t xml:space="preserve">。具有抑制泥页岩及 </w:t>
                  </w:r>
                  <w:r>
                    <w:rPr>
                      <w:spacing w:val="-6"/>
                      <w:sz w:val="21"/>
                      <w:szCs w:val="21"/>
                    </w:rPr>
                    <w:t>钻屑分散作用，</w:t>
                  </w:r>
                  <w:r>
                    <w:rPr>
                      <w:spacing w:val="-13"/>
                      <w:sz w:val="21"/>
                      <w:szCs w:val="21"/>
                    </w:rPr>
                    <w:t xml:space="preserve"> </w:t>
                  </w:r>
                  <w:r>
                    <w:rPr>
                      <w:spacing w:val="-6"/>
                      <w:sz w:val="21"/>
                      <w:szCs w:val="21"/>
                    </w:rPr>
                    <w:t xml:space="preserve">兼有降失水、改善流型和增加润滑等性能。可以有效地抑 </w:t>
                  </w:r>
                  <w:r>
                    <w:rPr>
                      <w:spacing w:val="-7"/>
                      <w:sz w:val="21"/>
                      <w:szCs w:val="21"/>
                    </w:rPr>
                    <w:t>制地层造浆并能与多种处理剂配伍，是一种应用广、较理想的井壁稳定剂。</w:t>
                  </w:r>
                </w:p>
                <w:p>
                  <w:pPr>
                    <w:pStyle w:val="6"/>
                    <w:spacing w:before="21" w:line="210" w:lineRule="auto"/>
                    <w:ind w:left="2104"/>
                    <w:rPr>
                      <w:sz w:val="21"/>
                      <w:szCs w:val="21"/>
                    </w:rPr>
                  </w:pPr>
                  <w:r>
                    <w:rPr>
                      <w:spacing w:val="-1"/>
                      <w:sz w:val="21"/>
                      <w:szCs w:val="21"/>
                    </w:rPr>
                    <w:t>外观呈白色或淡黄色粉末。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0" w:type="dxa"/>
                  <w:vAlign w:val="top"/>
                </w:tcPr>
                <w:p>
                  <w:pPr>
                    <w:spacing w:line="413" w:lineRule="auto"/>
                    <w:rPr>
                      <w:rFonts w:ascii="Arial"/>
                      <w:sz w:val="21"/>
                    </w:rPr>
                  </w:pPr>
                </w:p>
                <w:p>
                  <w:pPr>
                    <w:spacing w:before="6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17" w:type="dxa"/>
                  <w:vAlign w:val="top"/>
                </w:tcPr>
                <w:p>
                  <w:pPr>
                    <w:pStyle w:val="6"/>
                    <w:spacing w:before="301" w:line="230" w:lineRule="auto"/>
                    <w:ind w:left="31" w:right="22" w:firstLine="12"/>
                    <w:rPr>
                      <w:sz w:val="21"/>
                      <w:szCs w:val="21"/>
                    </w:rPr>
                  </w:pPr>
                  <w:r>
                    <w:rPr>
                      <w:spacing w:val="-3"/>
                      <w:sz w:val="21"/>
                      <w:szCs w:val="21"/>
                    </w:rPr>
                    <w:t>聚合物强包被</w:t>
                  </w:r>
                  <w:r>
                    <w:rPr>
                      <w:spacing w:val="3"/>
                      <w:sz w:val="21"/>
                      <w:szCs w:val="21"/>
                    </w:rPr>
                    <w:t xml:space="preserve"> </w:t>
                  </w:r>
                  <w:r>
                    <w:rPr>
                      <w:spacing w:val="-5"/>
                      <w:sz w:val="21"/>
                      <w:szCs w:val="21"/>
                    </w:rPr>
                    <w:t>剂（</w:t>
                  </w:r>
                  <w:r>
                    <w:rPr>
                      <w:rFonts w:ascii="Times New Roman" w:hAnsi="Times New Roman" w:eastAsia="Times New Roman" w:cs="Times New Roman"/>
                      <w:spacing w:val="-5"/>
                      <w:sz w:val="21"/>
                      <w:szCs w:val="21"/>
                    </w:rPr>
                    <w:t>FA-367</w:t>
                  </w:r>
                  <w:r>
                    <w:rPr>
                      <w:spacing w:val="-5"/>
                      <w:sz w:val="21"/>
                      <w:szCs w:val="21"/>
                    </w:rPr>
                    <w:t>）</w:t>
                  </w:r>
                </w:p>
              </w:tc>
              <w:tc>
                <w:tcPr>
                  <w:tcW w:w="6715" w:type="dxa"/>
                  <w:vAlign w:val="top"/>
                </w:tcPr>
                <w:p>
                  <w:pPr>
                    <w:pStyle w:val="6"/>
                    <w:spacing w:before="29" w:line="233" w:lineRule="auto"/>
                    <w:ind w:left="10" w:right="2" w:firstLine="2"/>
                    <w:jc w:val="both"/>
                    <w:rPr>
                      <w:sz w:val="21"/>
                      <w:szCs w:val="21"/>
                    </w:rPr>
                  </w:pPr>
                  <w:r>
                    <w:rPr>
                      <w:spacing w:val="-1"/>
                      <w:sz w:val="21"/>
                      <w:szCs w:val="21"/>
                    </w:rPr>
                    <w:t>是由含有多种有机阳离子基因、阴离子基因和非离子基因的单体通过共聚</w:t>
                  </w:r>
                  <w:r>
                    <w:rPr>
                      <w:spacing w:val="6"/>
                      <w:sz w:val="21"/>
                      <w:szCs w:val="21"/>
                    </w:rPr>
                    <w:t xml:space="preserve"> </w:t>
                  </w:r>
                  <w:r>
                    <w:rPr>
                      <w:spacing w:val="-7"/>
                      <w:sz w:val="21"/>
                      <w:szCs w:val="21"/>
                    </w:rPr>
                    <w:t>而形成的水溶性高分子聚合物， 既能增强泥浆的抑制性， 抑制泥页岩的水</w:t>
                  </w:r>
                  <w:r>
                    <w:rPr>
                      <w:spacing w:val="4"/>
                      <w:sz w:val="21"/>
                      <w:szCs w:val="21"/>
                    </w:rPr>
                    <w:t xml:space="preserve"> </w:t>
                  </w:r>
                  <w:r>
                    <w:rPr>
                      <w:spacing w:val="-6"/>
                      <w:sz w:val="21"/>
                      <w:szCs w:val="21"/>
                    </w:rPr>
                    <w:t>化膨胀，控制地层造浆，</w:t>
                  </w:r>
                  <w:r>
                    <w:rPr>
                      <w:spacing w:val="-26"/>
                      <w:sz w:val="21"/>
                      <w:szCs w:val="21"/>
                    </w:rPr>
                    <w:t xml:space="preserve"> </w:t>
                  </w:r>
                  <w:r>
                    <w:rPr>
                      <w:spacing w:val="-6"/>
                      <w:sz w:val="21"/>
                      <w:szCs w:val="21"/>
                    </w:rPr>
                    <w:t>又能维持泥浆性能的稳定，</w:t>
                  </w:r>
                  <w:r>
                    <w:rPr>
                      <w:spacing w:val="-7"/>
                      <w:sz w:val="21"/>
                      <w:szCs w:val="21"/>
                    </w:rPr>
                    <w:t>改善流变性， 降低摩</w:t>
                  </w:r>
                </w:p>
                <w:p>
                  <w:pPr>
                    <w:pStyle w:val="6"/>
                    <w:spacing w:before="20" w:line="210" w:lineRule="auto"/>
                    <w:ind w:left="2114"/>
                    <w:rPr>
                      <w:sz w:val="21"/>
                      <w:szCs w:val="21"/>
                    </w:rPr>
                  </w:pPr>
                  <w:r>
                    <w:rPr>
                      <w:spacing w:val="-2"/>
                      <w:sz w:val="21"/>
                      <w:szCs w:val="21"/>
                    </w:rPr>
                    <w:t>阻和滤失量，有利于钻井。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0" w:type="dxa"/>
                  <w:tcBorders>
                    <w:bottom w:val="nil"/>
                  </w:tcBorders>
                  <w:vAlign w:val="top"/>
                </w:tcPr>
                <w:p>
                  <w:pPr>
                    <w:spacing w:before="204" w:line="187"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17" w:type="dxa"/>
                  <w:tcBorders>
                    <w:bottom w:val="nil"/>
                  </w:tcBorders>
                  <w:vAlign w:val="top"/>
                </w:tcPr>
                <w:p>
                  <w:pPr>
                    <w:pStyle w:val="6"/>
                    <w:spacing w:before="166" w:line="221" w:lineRule="auto"/>
                    <w:jc w:val="right"/>
                    <w:rPr>
                      <w:sz w:val="21"/>
                      <w:szCs w:val="21"/>
                    </w:rPr>
                  </w:pPr>
                  <w:r>
                    <w:rPr>
                      <w:spacing w:val="-13"/>
                      <w:sz w:val="21"/>
                      <w:szCs w:val="21"/>
                    </w:rPr>
                    <w:t>氯化钾（</w:t>
                  </w:r>
                  <w:r>
                    <w:rPr>
                      <w:rFonts w:ascii="Times New Roman" w:hAnsi="Times New Roman" w:eastAsia="Times New Roman" w:cs="Times New Roman"/>
                      <w:spacing w:val="-13"/>
                      <w:sz w:val="21"/>
                      <w:szCs w:val="21"/>
                    </w:rPr>
                    <w:t>KCl</w:t>
                  </w:r>
                  <w:r>
                    <w:rPr>
                      <w:spacing w:val="-13"/>
                      <w:sz w:val="21"/>
                      <w:szCs w:val="21"/>
                    </w:rPr>
                    <w:t>）</w:t>
                  </w:r>
                </w:p>
              </w:tc>
              <w:tc>
                <w:tcPr>
                  <w:tcW w:w="6715" w:type="dxa"/>
                  <w:tcBorders>
                    <w:bottom w:val="nil"/>
                  </w:tcBorders>
                  <w:vAlign w:val="top"/>
                </w:tcPr>
                <w:p>
                  <w:pPr>
                    <w:pStyle w:val="6"/>
                    <w:spacing w:before="28" w:line="222" w:lineRule="auto"/>
                    <w:ind w:left="2628" w:right="1" w:hanging="2617"/>
                    <w:rPr>
                      <w:sz w:val="21"/>
                      <w:szCs w:val="21"/>
                    </w:rPr>
                  </w:pPr>
                  <w:r>
                    <w:rPr>
                      <w:spacing w:val="-9"/>
                      <w:sz w:val="21"/>
                      <w:szCs w:val="21"/>
                    </w:rPr>
                    <w:t>盐酸盐的一种， 白色结晶或结晶性粉末， 易溶于水和</w:t>
                  </w:r>
                  <w:r>
                    <w:rPr>
                      <w:spacing w:val="-10"/>
                      <w:sz w:val="21"/>
                      <w:szCs w:val="21"/>
                    </w:rPr>
                    <w:t>甘油，难溶于醇，</w:t>
                  </w:r>
                  <w:r>
                    <w:rPr>
                      <w:spacing w:val="-24"/>
                      <w:sz w:val="21"/>
                      <w:szCs w:val="21"/>
                    </w:rPr>
                    <w:t xml:space="preserve"> </w:t>
                  </w:r>
                  <w:r>
                    <w:rPr>
                      <w:spacing w:val="-10"/>
                      <w:sz w:val="21"/>
                      <w:szCs w:val="21"/>
                    </w:rPr>
                    <w:t>不</w:t>
                  </w:r>
                  <w:r>
                    <w:rPr>
                      <w:sz w:val="21"/>
                      <w:szCs w:val="21"/>
                    </w:rPr>
                    <w:t xml:space="preserve"> </w:t>
                  </w:r>
                  <w:r>
                    <w:rPr>
                      <w:spacing w:val="-4"/>
                      <w:sz w:val="21"/>
                      <w:szCs w:val="21"/>
                    </w:rPr>
                    <w:t>溶于醚和丙酮。</w:t>
                  </w:r>
                </w:p>
              </w:tc>
            </w:tr>
          </w:tbl>
          <w:p>
            <w:pPr>
              <w:spacing w:line="82" w:lineRule="auto"/>
              <w:rPr>
                <w:rFonts w:ascii="Arial"/>
                <w:sz w:val="2"/>
              </w:rPr>
            </w:pPr>
          </w:p>
        </w:tc>
      </w:tr>
    </w:tbl>
    <w:p>
      <w:pPr>
        <w:pStyle w:val="2"/>
        <w:rPr>
          <w:sz w:val="21"/>
        </w:rPr>
      </w:pPr>
    </w:p>
    <w:p>
      <w:pPr>
        <w:rPr>
          <w:sz w:val="21"/>
          <w:szCs w:val="21"/>
        </w:rPr>
        <w:sectPr>
          <w:footerReference r:id="rId41"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68" w:hRule="atLeast"/>
        </w:trPr>
        <w:tc>
          <w:tcPr>
            <w:tcW w:w="9291" w:type="dxa"/>
            <w:vAlign w:val="top"/>
          </w:tcPr>
          <w:p>
            <w:pPr>
              <w:spacing w:line="18" w:lineRule="exact"/>
            </w:pPr>
            <w:r>
              <w:pict>
                <v:rect id="_x0000_s1042" o:spid="_x0000_s1042" o:spt="1" style="position:absolute;left:0pt;margin-left:22.75pt;margin-top:0.95pt;height:692.75pt;width:0.5pt;mso-position-horizontal-relative:page;mso-position-vertical-relative:page;z-index:251696128;mso-width-relative:page;mso-height-relative:page;" fillcolor="#000000" filled="t" stroked="f" coordsize="21600,21600">
                  <v:path/>
                  <v:fill on="t" focussize="0,0"/>
                  <v:stroke on="f"/>
                  <v:imagedata o:title=""/>
                  <o:lock v:ext="edit"/>
                </v:rect>
              </w:pict>
            </w: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17"/>
              <w:gridCol w:w="67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80" w:type="dxa"/>
                  <w:tcBorders>
                    <w:top w:val="nil"/>
                  </w:tcBorders>
                  <w:vAlign w:val="top"/>
                </w:tcPr>
                <w:p>
                  <w:pPr>
                    <w:spacing w:line="283" w:lineRule="auto"/>
                    <w:rPr>
                      <w:rFonts w:ascii="Arial"/>
                      <w:sz w:val="21"/>
                    </w:rPr>
                  </w:pPr>
                </w:p>
                <w:p>
                  <w:pPr>
                    <w:spacing w:before="60" w:line="184" w:lineRule="auto"/>
                    <w:ind w:left="24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17" w:type="dxa"/>
                  <w:tcBorders>
                    <w:top w:val="nil"/>
                  </w:tcBorders>
                  <w:vAlign w:val="top"/>
                </w:tcPr>
                <w:p>
                  <w:pPr>
                    <w:pStyle w:val="6"/>
                    <w:spacing w:before="166" w:line="237" w:lineRule="auto"/>
                    <w:ind w:left="256" w:right="128" w:hanging="105"/>
                    <w:rPr>
                      <w:sz w:val="21"/>
                      <w:szCs w:val="21"/>
                    </w:rPr>
                  </w:pPr>
                  <w:r>
                    <w:rPr>
                      <w:spacing w:val="-4"/>
                      <w:sz w:val="21"/>
                      <w:szCs w:val="21"/>
                    </w:rPr>
                    <w:t>防塌润滑剂</w:t>
                  </w:r>
                  <w:r>
                    <w:rPr>
                      <w:spacing w:val="1"/>
                      <w:sz w:val="21"/>
                      <w:szCs w:val="21"/>
                    </w:rPr>
                    <w:t xml:space="preserve"> </w:t>
                  </w:r>
                  <w:r>
                    <w:rPr>
                      <w:spacing w:val="-3"/>
                      <w:sz w:val="21"/>
                      <w:szCs w:val="21"/>
                    </w:rPr>
                    <w:t>（</w:t>
                  </w:r>
                  <w:r>
                    <w:rPr>
                      <w:rFonts w:ascii="Times New Roman" w:hAnsi="Times New Roman" w:eastAsia="Times New Roman" w:cs="Times New Roman"/>
                      <w:spacing w:val="-3"/>
                      <w:sz w:val="21"/>
                      <w:szCs w:val="21"/>
                    </w:rPr>
                    <w:t>FRH</w:t>
                  </w:r>
                  <w:r>
                    <w:rPr>
                      <w:spacing w:val="-3"/>
                      <w:sz w:val="21"/>
                      <w:szCs w:val="21"/>
                    </w:rPr>
                    <w:t>）</w:t>
                  </w:r>
                </w:p>
              </w:tc>
              <w:tc>
                <w:tcPr>
                  <w:tcW w:w="6715" w:type="dxa"/>
                  <w:tcBorders>
                    <w:top w:val="nil"/>
                  </w:tcBorders>
                  <w:vAlign w:val="top"/>
                </w:tcPr>
                <w:p>
                  <w:pPr>
                    <w:pStyle w:val="6"/>
                    <w:spacing w:before="29" w:line="220" w:lineRule="auto"/>
                    <w:jc w:val="right"/>
                    <w:rPr>
                      <w:sz w:val="21"/>
                      <w:szCs w:val="21"/>
                    </w:rPr>
                  </w:pPr>
                  <w:r>
                    <w:rPr>
                      <w:spacing w:val="-1"/>
                      <w:sz w:val="21"/>
                      <w:szCs w:val="21"/>
                    </w:rPr>
                    <w:t>钻井液用无荧光防塌润滑剂为黑色或黑褐色粉末及颗粒，能有效地改善泥</w:t>
                  </w:r>
                </w:p>
                <w:p>
                  <w:pPr>
                    <w:pStyle w:val="6"/>
                    <w:spacing w:before="23" w:line="224" w:lineRule="auto"/>
                    <w:ind w:left="3153" w:right="2" w:hanging="3145"/>
                    <w:rPr>
                      <w:sz w:val="21"/>
                      <w:szCs w:val="21"/>
                    </w:rPr>
                  </w:pPr>
                  <w:r>
                    <w:rPr>
                      <w:spacing w:val="-9"/>
                      <w:sz w:val="21"/>
                      <w:szCs w:val="21"/>
                    </w:rPr>
                    <w:t>饼质量， 又有明显的防塌作用， 并可降低摩擦阻系数，</w:t>
                  </w:r>
                  <w:r>
                    <w:rPr>
                      <w:spacing w:val="-23"/>
                      <w:sz w:val="21"/>
                      <w:szCs w:val="21"/>
                    </w:rPr>
                    <w:t xml:space="preserve"> </w:t>
                  </w:r>
                  <w:r>
                    <w:rPr>
                      <w:spacing w:val="-10"/>
                      <w:sz w:val="21"/>
                      <w:szCs w:val="21"/>
                    </w:rPr>
                    <w:t>具有良好的润滑作</w:t>
                  </w:r>
                  <w:r>
                    <w:rPr>
                      <w:sz w:val="21"/>
                      <w:szCs w:val="21"/>
                    </w:rPr>
                    <w:t xml:space="preserve"> </w:t>
                  </w:r>
                  <w:r>
                    <w:rPr>
                      <w:spacing w:val="-10"/>
                      <w:sz w:val="21"/>
                      <w:szCs w:val="21"/>
                    </w:rPr>
                    <w:t>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580" w:type="dxa"/>
                  <w:vAlign w:val="top"/>
                </w:tcPr>
                <w:p>
                  <w:pPr>
                    <w:spacing w:line="274" w:lineRule="auto"/>
                    <w:rPr>
                      <w:rFonts w:ascii="Arial"/>
                      <w:sz w:val="21"/>
                    </w:rPr>
                  </w:pPr>
                </w:p>
                <w:p>
                  <w:pPr>
                    <w:spacing w:line="275" w:lineRule="auto"/>
                    <w:rPr>
                      <w:rFonts w:ascii="Arial"/>
                      <w:sz w:val="21"/>
                    </w:rPr>
                  </w:pPr>
                </w:p>
                <w:p>
                  <w:pPr>
                    <w:spacing w:before="61" w:line="187" w:lineRule="auto"/>
                    <w:ind w:left="24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17" w:type="dxa"/>
                  <w:vAlign w:val="top"/>
                </w:tcPr>
                <w:p>
                  <w:pPr>
                    <w:spacing w:line="367" w:lineRule="auto"/>
                    <w:rPr>
                      <w:rFonts w:ascii="Arial"/>
                      <w:sz w:val="21"/>
                    </w:rPr>
                  </w:pPr>
                </w:p>
                <w:p>
                  <w:pPr>
                    <w:pStyle w:val="6"/>
                    <w:spacing w:before="68" w:line="237" w:lineRule="auto"/>
                    <w:ind w:left="63" w:right="58" w:firstLine="197"/>
                    <w:rPr>
                      <w:sz w:val="21"/>
                      <w:szCs w:val="21"/>
                    </w:rPr>
                  </w:pPr>
                  <w:r>
                    <w:rPr>
                      <w:spacing w:val="-6"/>
                      <w:sz w:val="21"/>
                      <w:szCs w:val="21"/>
                    </w:rPr>
                    <w:t>降失水剂</w:t>
                  </w:r>
                  <w:r>
                    <w:rPr>
                      <w:sz w:val="21"/>
                      <w:szCs w:val="21"/>
                    </w:rPr>
                    <w:t xml:space="preserve">  </w:t>
                  </w:r>
                  <w:r>
                    <w:rPr>
                      <w:spacing w:val="-6"/>
                      <w:sz w:val="21"/>
                      <w:szCs w:val="21"/>
                    </w:rPr>
                    <w:t>（</w:t>
                  </w:r>
                  <w:r>
                    <w:rPr>
                      <w:rFonts w:ascii="Times New Roman" w:hAnsi="Times New Roman" w:eastAsia="Times New Roman" w:cs="Times New Roman"/>
                      <w:spacing w:val="-6"/>
                      <w:sz w:val="21"/>
                      <w:szCs w:val="21"/>
                    </w:rPr>
                    <w:t>CMC-LV</w:t>
                  </w:r>
                  <w:r>
                    <w:rPr>
                      <w:spacing w:val="-6"/>
                      <w:sz w:val="21"/>
                      <w:szCs w:val="21"/>
                    </w:rPr>
                    <w:t>）</w:t>
                  </w:r>
                </w:p>
              </w:tc>
              <w:tc>
                <w:tcPr>
                  <w:tcW w:w="6715" w:type="dxa"/>
                  <w:vAlign w:val="top"/>
                </w:tcPr>
                <w:p>
                  <w:pPr>
                    <w:pStyle w:val="6"/>
                    <w:spacing w:before="32" w:line="234" w:lineRule="auto"/>
                    <w:ind w:left="7" w:right="1" w:firstLine="32"/>
                    <w:rPr>
                      <w:sz w:val="21"/>
                      <w:szCs w:val="21"/>
                    </w:rPr>
                  </w:pPr>
                  <w:r>
                    <w:rPr>
                      <w:spacing w:val="-5"/>
                      <w:sz w:val="21"/>
                      <w:szCs w:val="21"/>
                    </w:rPr>
                    <w:t>白色至淡黄色粉末、粒状或纤维状物质， 吸湿性强，易溶于水，在中性或</w:t>
                  </w:r>
                  <w:r>
                    <w:rPr>
                      <w:spacing w:val="7"/>
                      <w:sz w:val="21"/>
                      <w:szCs w:val="21"/>
                    </w:rPr>
                    <w:t xml:space="preserve"> </w:t>
                  </w:r>
                  <w:r>
                    <w:rPr>
                      <w:spacing w:val="-3"/>
                      <w:sz w:val="21"/>
                      <w:szCs w:val="21"/>
                    </w:rPr>
                    <w:t>碱性时，溶液呈高粘度液。对药品、光、热稳定</w:t>
                  </w:r>
                  <w:r>
                    <w:rPr>
                      <w:spacing w:val="-32"/>
                      <w:sz w:val="21"/>
                      <w:szCs w:val="21"/>
                    </w:rPr>
                    <w:t xml:space="preserve"> </w:t>
                  </w:r>
                  <w:r>
                    <w:rPr>
                      <w:rFonts w:ascii="Times New Roman" w:hAnsi="Times New Roman" w:eastAsia="Times New Roman" w:cs="Times New Roman"/>
                      <w:spacing w:val="-3"/>
                      <w:sz w:val="21"/>
                      <w:szCs w:val="21"/>
                    </w:rPr>
                    <w:t>80℃</w:t>
                  </w:r>
                  <w:r>
                    <w:rPr>
                      <w:spacing w:val="-3"/>
                      <w:sz w:val="21"/>
                      <w:szCs w:val="21"/>
                    </w:rPr>
                    <w:t>以上长时间加热，黏</w:t>
                  </w:r>
                  <w:r>
                    <w:rPr>
                      <w:sz w:val="21"/>
                      <w:szCs w:val="21"/>
                    </w:rPr>
                    <w:t xml:space="preserve"> </w:t>
                  </w:r>
                  <w:r>
                    <w:rPr>
                      <w:spacing w:val="-1"/>
                      <w:sz w:val="21"/>
                      <w:szCs w:val="21"/>
                    </w:rPr>
                    <w:t>性降低，在水中不溶，不溶于酸和醇，遇盐不沉淀。不易发酵，对油脂、</w:t>
                  </w:r>
                  <w:r>
                    <w:rPr>
                      <w:spacing w:val="11"/>
                      <w:sz w:val="21"/>
                      <w:szCs w:val="21"/>
                    </w:rPr>
                    <w:t xml:space="preserve"> </w:t>
                  </w:r>
                  <w:r>
                    <w:rPr>
                      <w:spacing w:val="-3"/>
                      <w:sz w:val="21"/>
                      <w:szCs w:val="21"/>
                    </w:rPr>
                    <w:t>蜡的乳化力大，</w:t>
                  </w:r>
                  <w:r>
                    <w:rPr>
                      <w:spacing w:val="-21"/>
                      <w:sz w:val="21"/>
                      <w:szCs w:val="21"/>
                    </w:rPr>
                    <w:t xml:space="preserve"> </w:t>
                  </w:r>
                  <w:r>
                    <w:rPr>
                      <w:spacing w:val="-3"/>
                      <w:sz w:val="21"/>
                      <w:szCs w:val="21"/>
                    </w:rPr>
                    <w:t>可长期保存。含</w:t>
                  </w:r>
                  <w:r>
                    <w:rPr>
                      <w:spacing w:val="-44"/>
                      <w:sz w:val="21"/>
                      <w:szCs w:val="21"/>
                    </w:rPr>
                    <w:t xml:space="preserve"> </w:t>
                  </w:r>
                  <w:r>
                    <w:rPr>
                      <w:rFonts w:ascii="Times New Roman" w:hAnsi="Times New Roman" w:eastAsia="Times New Roman" w:cs="Times New Roman"/>
                      <w:spacing w:val="-3"/>
                      <w:sz w:val="21"/>
                      <w:szCs w:val="21"/>
                    </w:rPr>
                    <w:t>CMC</w:t>
                  </w:r>
                  <w:r>
                    <w:rPr>
                      <w:rFonts w:ascii="Times New Roman" w:hAnsi="Times New Roman" w:eastAsia="Times New Roman" w:cs="Times New Roman"/>
                      <w:spacing w:val="25"/>
                      <w:sz w:val="21"/>
                      <w:szCs w:val="21"/>
                    </w:rPr>
                    <w:t xml:space="preserve"> </w:t>
                  </w:r>
                  <w:r>
                    <w:rPr>
                      <w:spacing w:val="-3"/>
                      <w:sz w:val="21"/>
                      <w:szCs w:val="21"/>
                    </w:rPr>
                    <w:t>的泥浆能使井壁形成</w:t>
                  </w:r>
                  <w:r>
                    <w:rPr>
                      <w:spacing w:val="-4"/>
                      <w:sz w:val="21"/>
                      <w:szCs w:val="21"/>
                    </w:rPr>
                    <w:t>薄而坚，渗透</w:t>
                  </w:r>
                </w:p>
                <w:p>
                  <w:pPr>
                    <w:pStyle w:val="6"/>
                    <w:spacing w:before="22" w:line="207" w:lineRule="auto"/>
                    <w:ind w:left="1997"/>
                    <w:rPr>
                      <w:sz w:val="21"/>
                      <w:szCs w:val="21"/>
                    </w:rPr>
                  </w:pPr>
                  <w:r>
                    <w:rPr>
                      <w:spacing w:val="-2"/>
                      <w:sz w:val="21"/>
                      <w:szCs w:val="21"/>
                    </w:rPr>
                    <w:t>性低的滤饼，使失水量降低。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0" w:type="dxa"/>
                  <w:vAlign w:val="top"/>
                </w:tcPr>
                <w:p>
                  <w:pPr>
                    <w:spacing w:line="419" w:lineRule="auto"/>
                    <w:rPr>
                      <w:rFonts w:ascii="Arial"/>
                      <w:sz w:val="21"/>
                    </w:rPr>
                  </w:pPr>
                </w:p>
                <w:p>
                  <w:pPr>
                    <w:spacing w:before="61" w:line="184"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317" w:type="dxa"/>
                  <w:vAlign w:val="top"/>
                </w:tcPr>
                <w:p>
                  <w:pPr>
                    <w:pStyle w:val="6"/>
                    <w:spacing w:before="303" w:line="236" w:lineRule="auto"/>
                    <w:ind w:left="184" w:right="128" w:hanging="33"/>
                    <w:rPr>
                      <w:sz w:val="21"/>
                      <w:szCs w:val="21"/>
                    </w:rPr>
                  </w:pPr>
                  <w:r>
                    <w:rPr>
                      <w:spacing w:val="-4"/>
                      <w:sz w:val="21"/>
                      <w:szCs w:val="21"/>
                    </w:rPr>
                    <w:t>防卡润滑剂</w:t>
                  </w:r>
                  <w:r>
                    <w:rPr>
                      <w:spacing w:val="1"/>
                      <w:sz w:val="21"/>
                      <w:szCs w:val="21"/>
                    </w:rPr>
                    <w:t xml:space="preserve"> </w:t>
                  </w:r>
                  <w:r>
                    <w:rPr>
                      <w:spacing w:val="-6"/>
                      <w:sz w:val="21"/>
                      <w:szCs w:val="21"/>
                    </w:rPr>
                    <w:t>（</w:t>
                  </w:r>
                  <w:r>
                    <w:rPr>
                      <w:rFonts w:ascii="Times New Roman" w:hAnsi="Times New Roman" w:eastAsia="Times New Roman" w:cs="Times New Roman"/>
                      <w:spacing w:val="-6"/>
                      <w:sz w:val="21"/>
                      <w:szCs w:val="21"/>
                    </w:rPr>
                    <w:t>FK-</w:t>
                  </w:r>
                  <w:r>
                    <w:rPr>
                      <w:rFonts w:ascii="Times New Roman" w:hAnsi="Times New Roman" w:eastAsia="Times New Roman" w:cs="Times New Roman"/>
                      <w:spacing w:val="-24"/>
                      <w:sz w:val="21"/>
                      <w:szCs w:val="21"/>
                    </w:rPr>
                    <w:t xml:space="preserve"> </w:t>
                  </w:r>
                  <w:r>
                    <w:rPr>
                      <w:rFonts w:ascii="Times New Roman" w:hAnsi="Times New Roman" w:eastAsia="Times New Roman" w:cs="Times New Roman"/>
                      <w:spacing w:val="-6"/>
                      <w:sz w:val="21"/>
                      <w:szCs w:val="21"/>
                    </w:rPr>
                    <w:t>10</w:t>
                  </w:r>
                  <w:r>
                    <w:rPr>
                      <w:spacing w:val="-6"/>
                      <w:sz w:val="21"/>
                      <w:szCs w:val="21"/>
                    </w:rPr>
                    <w:t>）</w:t>
                  </w:r>
                </w:p>
              </w:tc>
              <w:tc>
                <w:tcPr>
                  <w:tcW w:w="6715" w:type="dxa"/>
                  <w:vAlign w:val="top"/>
                </w:tcPr>
                <w:p>
                  <w:pPr>
                    <w:pStyle w:val="6"/>
                    <w:spacing w:before="28" w:line="232" w:lineRule="auto"/>
                    <w:ind w:left="14" w:firstLine="18"/>
                    <w:jc w:val="both"/>
                    <w:rPr>
                      <w:sz w:val="21"/>
                      <w:szCs w:val="21"/>
                    </w:rPr>
                  </w:pPr>
                  <w:r>
                    <w:rPr>
                      <w:spacing w:val="-4"/>
                      <w:sz w:val="21"/>
                      <w:szCs w:val="21"/>
                    </w:rPr>
                    <w:t>以矿物油和多种表面活性剂经乳化反应而成。适用于各种水基钻井液，</w:t>
                  </w:r>
                  <w:r>
                    <w:rPr>
                      <w:spacing w:val="-25"/>
                      <w:sz w:val="21"/>
                      <w:szCs w:val="21"/>
                    </w:rPr>
                    <w:t xml:space="preserve"> </w:t>
                  </w:r>
                  <w:r>
                    <w:rPr>
                      <w:spacing w:val="-4"/>
                      <w:sz w:val="21"/>
                      <w:szCs w:val="21"/>
                    </w:rPr>
                    <w:t>能</w:t>
                  </w:r>
                  <w:r>
                    <w:rPr>
                      <w:sz w:val="21"/>
                      <w:szCs w:val="21"/>
                    </w:rPr>
                    <w:t xml:space="preserve"> </w:t>
                  </w:r>
                  <w:r>
                    <w:rPr>
                      <w:spacing w:val="-4"/>
                      <w:sz w:val="21"/>
                      <w:szCs w:val="21"/>
                    </w:rPr>
                    <w:t>显著降低钻井液润滑系数，减小钻具扭矩， 防止压差卡钻等功能，具有较</w:t>
                  </w:r>
                  <w:r>
                    <w:rPr>
                      <w:spacing w:val="1"/>
                      <w:sz w:val="21"/>
                      <w:szCs w:val="21"/>
                    </w:rPr>
                    <w:t xml:space="preserve"> </w:t>
                  </w:r>
                  <w:r>
                    <w:rPr>
                      <w:spacing w:val="-4"/>
                      <w:sz w:val="21"/>
                      <w:szCs w:val="21"/>
                    </w:rPr>
                    <w:t>强的抗钙、盐污染能力； 有较强的吸附能力，能在钻具与岩石接触面</w:t>
                  </w:r>
                  <w:r>
                    <w:rPr>
                      <w:spacing w:val="-5"/>
                      <w:sz w:val="21"/>
                      <w:szCs w:val="21"/>
                    </w:rPr>
                    <w:t>形成</w:t>
                  </w:r>
                  <w:r>
                    <w:rPr>
                      <w:sz w:val="21"/>
                      <w:szCs w:val="21"/>
                    </w:rPr>
                    <w:t xml:space="preserve"> </w:t>
                  </w:r>
                  <w:r>
                    <w:rPr>
                      <w:spacing w:val="-4"/>
                      <w:sz w:val="21"/>
                      <w:szCs w:val="21"/>
                    </w:rPr>
                    <w:t>润滑油膜；</w:t>
                  </w:r>
                  <w:r>
                    <w:rPr>
                      <w:spacing w:val="-12"/>
                      <w:sz w:val="21"/>
                      <w:szCs w:val="21"/>
                    </w:rPr>
                    <w:t xml:space="preserve"> </w:t>
                  </w:r>
                  <w:r>
                    <w:rPr>
                      <w:spacing w:val="-4"/>
                      <w:sz w:val="21"/>
                      <w:szCs w:val="21"/>
                    </w:rPr>
                    <w:t>有较强的吸附能力， 能在钻具与岩石接触面形成润滑油膜。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80" w:type="dxa"/>
                  <w:vAlign w:val="top"/>
                </w:tcPr>
                <w:p>
                  <w:pPr>
                    <w:spacing w:line="280" w:lineRule="auto"/>
                    <w:rPr>
                      <w:rFonts w:ascii="Arial"/>
                      <w:sz w:val="21"/>
                    </w:rPr>
                  </w:pPr>
                </w:p>
                <w:p>
                  <w:pPr>
                    <w:spacing w:before="61" w:line="187" w:lineRule="auto"/>
                    <w:ind w:left="250"/>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17" w:type="dxa"/>
                  <w:vAlign w:val="top"/>
                </w:tcPr>
                <w:p>
                  <w:pPr>
                    <w:pStyle w:val="6"/>
                    <w:spacing w:before="166" w:line="237" w:lineRule="auto"/>
                    <w:ind w:left="187" w:right="183" w:firstLine="56"/>
                    <w:rPr>
                      <w:sz w:val="21"/>
                      <w:szCs w:val="21"/>
                    </w:rPr>
                  </w:pPr>
                  <w:r>
                    <w:rPr>
                      <w:spacing w:val="-2"/>
                      <w:sz w:val="21"/>
                      <w:szCs w:val="21"/>
                    </w:rPr>
                    <w:t>氢氧化钠</w:t>
                  </w:r>
                  <w:r>
                    <w:rPr>
                      <w:spacing w:val="1"/>
                      <w:sz w:val="21"/>
                      <w:szCs w:val="21"/>
                    </w:rPr>
                    <w:t xml:space="preserve"> </w:t>
                  </w:r>
                  <w:r>
                    <w:rPr>
                      <w:spacing w:val="-5"/>
                      <w:sz w:val="21"/>
                      <w:szCs w:val="21"/>
                    </w:rPr>
                    <w:t>（</w:t>
                  </w:r>
                  <w:r>
                    <w:rPr>
                      <w:rFonts w:ascii="Times New Roman" w:hAnsi="Times New Roman" w:eastAsia="Times New Roman" w:cs="Times New Roman"/>
                      <w:spacing w:val="-5"/>
                      <w:sz w:val="21"/>
                      <w:szCs w:val="21"/>
                    </w:rPr>
                    <w:t>NaOH</w:t>
                  </w:r>
                  <w:r>
                    <w:rPr>
                      <w:spacing w:val="-5"/>
                      <w:sz w:val="21"/>
                      <w:szCs w:val="21"/>
                    </w:rPr>
                    <w:t>）</w:t>
                  </w:r>
                </w:p>
              </w:tc>
              <w:tc>
                <w:tcPr>
                  <w:tcW w:w="6715" w:type="dxa"/>
                  <w:vAlign w:val="top"/>
                </w:tcPr>
                <w:p>
                  <w:pPr>
                    <w:pStyle w:val="6"/>
                    <w:spacing w:before="34" w:line="228" w:lineRule="auto"/>
                    <w:ind w:left="8" w:firstLine="2"/>
                    <w:jc w:val="both"/>
                    <w:rPr>
                      <w:sz w:val="21"/>
                      <w:szCs w:val="21"/>
                    </w:rPr>
                  </w:pPr>
                  <w:r>
                    <w:rPr>
                      <w:spacing w:val="-6"/>
                      <w:sz w:val="21"/>
                      <w:szCs w:val="21"/>
                    </w:rPr>
                    <w:t>无色透明晶体，也称苛性钠、烧碱、固碱、火碱，</w:t>
                  </w:r>
                  <w:r>
                    <w:rPr>
                      <w:spacing w:val="-15"/>
                      <w:sz w:val="21"/>
                      <w:szCs w:val="21"/>
                    </w:rPr>
                    <w:t xml:space="preserve"> </w:t>
                  </w:r>
                  <w:r>
                    <w:rPr>
                      <w:spacing w:val="-6"/>
                      <w:sz w:val="21"/>
                      <w:szCs w:val="21"/>
                    </w:rPr>
                    <w:t xml:space="preserve">具有强碱性，腐蚀性极 </w:t>
                  </w:r>
                  <w:r>
                    <w:rPr>
                      <w:spacing w:val="-4"/>
                      <w:sz w:val="21"/>
                      <w:szCs w:val="21"/>
                    </w:rPr>
                    <w:t>强。烧碱可以调理膨润土泥浆的</w:t>
                  </w:r>
                  <w:r>
                    <w:rPr>
                      <w:spacing w:val="-49"/>
                      <w:sz w:val="21"/>
                      <w:szCs w:val="21"/>
                    </w:rPr>
                    <w:t xml:space="preserve"> </w:t>
                  </w:r>
                  <w:r>
                    <w:rPr>
                      <w:rFonts w:ascii="Times New Roman" w:hAnsi="Times New Roman" w:eastAsia="Times New Roman" w:cs="Times New Roman"/>
                      <w:spacing w:val="-4"/>
                      <w:sz w:val="21"/>
                      <w:szCs w:val="21"/>
                    </w:rPr>
                    <w:t xml:space="preserve">PH </w:t>
                  </w:r>
                  <w:r>
                    <w:rPr>
                      <w:spacing w:val="-4"/>
                      <w:sz w:val="21"/>
                      <w:szCs w:val="21"/>
                    </w:rPr>
                    <w:t>数值，</w:t>
                  </w:r>
                  <w:r>
                    <w:rPr>
                      <w:spacing w:val="-25"/>
                      <w:sz w:val="21"/>
                      <w:szCs w:val="21"/>
                    </w:rPr>
                    <w:t xml:space="preserve"> </w:t>
                  </w:r>
                  <w:r>
                    <w:rPr>
                      <w:spacing w:val="-5"/>
                      <w:sz w:val="21"/>
                      <w:szCs w:val="21"/>
                    </w:rPr>
                    <w:t>使膨润土溶于水中完全解离成</w:t>
                  </w:r>
                  <w:r>
                    <w:rPr>
                      <w:sz w:val="21"/>
                      <w:szCs w:val="21"/>
                    </w:rPr>
                    <w:t xml:space="preserve">  </w:t>
                  </w:r>
                  <w:r>
                    <w:rPr>
                      <w:spacing w:val="-7"/>
                      <w:sz w:val="21"/>
                      <w:szCs w:val="21"/>
                    </w:rPr>
                    <w:t>钠离子和氢氧根离子，增强膨润土涣散造浆。同时可加速有机处理剂溶解。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80" w:type="dxa"/>
                  <w:vAlign w:val="top"/>
                </w:tcPr>
                <w:p>
                  <w:pPr>
                    <w:spacing w:before="206" w:line="187"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317" w:type="dxa"/>
                  <w:vAlign w:val="top"/>
                </w:tcPr>
                <w:p>
                  <w:pPr>
                    <w:pStyle w:val="6"/>
                    <w:spacing w:before="30" w:line="224" w:lineRule="auto"/>
                    <w:ind w:left="175" w:right="171" w:firstLine="68"/>
                    <w:rPr>
                      <w:sz w:val="21"/>
                      <w:szCs w:val="21"/>
                    </w:rPr>
                  </w:pPr>
                  <w:r>
                    <w:rPr>
                      <w:spacing w:val="-2"/>
                      <w:sz w:val="21"/>
                      <w:szCs w:val="21"/>
                    </w:rPr>
                    <w:t>重晶石粉</w:t>
                  </w:r>
                  <w:r>
                    <w:rPr>
                      <w:sz w:val="21"/>
                      <w:szCs w:val="21"/>
                    </w:rPr>
                    <w:t xml:space="preserve"> </w:t>
                  </w:r>
                  <w:r>
                    <w:rPr>
                      <w:spacing w:val="-4"/>
                      <w:sz w:val="21"/>
                      <w:szCs w:val="21"/>
                    </w:rPr>
                    <w:t>（</w:t>
                  </w:r>
                  <w:r>
                    <w:rPr>
                      <w:rFonts w:ascii="Times New Roman" w:hAnsi="Times New Roman" w:eastAsia="Times New Roman" w:cs="Times New Roman"/>
                      <w:spacing w:val="-4"/>
                      <w:sz w:val="21"/>
                      <w:szCs w:val="21"/>
                    </w:rPr>
                    <w:t>BaSO</w:t>
                  </w:r>
                  <w:r>
                    <w:rPr>
                      <w:rFonts w:ascii="Times New Roman" w:hAnsi="Times New Roman" w:eastAsia="Times New Roman" w:cs="Times New Roman"/>
                      <w:spacing w:val="-4"/>
                      <w:position w:val="-1"/>
                      <w:sz w:val="13"/>
                      <w:szCs w:val="13"/>
                    </w:rPr>
                    <w:t>4</w:t>
                  </w:r>
                  <w:r>
                    <w:rPr>
                      <w:spacing w:val="-4"/>
                      <w:sz w:val="21"/>
                      <w:szCs w:val="21"/>
                    </w:rPr>
                    <w:t>）</w:t>
                  </w:r>
                </w:p>
              </w:tc>
              <w:tc>
                <w:tcPr>
                  <w:tcW w:w="6715" w:type="dxa"/>
                  <w:vAlign w:val="top"/>
                </w:tcPr>
                <w:p>
                  <w:pPr>
                    <w:pStyle w:val="6"/>
                    <w:spacing w:before="30" w:line="224" w:lineRule="auto"/>
                    <w:ind w:left="2292" w:right="203" w:hanging="2053"/>
                    <w:rPr>
                      <w:sz w:val="21"/>
                      <w:szCs w:val="21"/>
                    </w:rPr>
                  </w:pPr>
                  <w:r>
                    <w:rPr>
                      <w:spacing w:val="-5"/>
                      <w:sz w:val="21"/>
                      <w:szCs w:val="21"/>
                    </w:rPr>
                    <w:t>白色斜方晶体， 玻璃光泽，解理面呈珍珠光泽，透明至半透明，密度</w:t>
                  </w:r>
                  <w:r>
                    <w:rPr>
                      <w:spacing w:val="15"/>
                      <w:sz w:val="21"/>
                      <w:szCs w:val="21"/>
                    </w:rPr>
                    <w:t xml:space="preserve"> </w:t>
                  </w:r>
                  <w:r>
                    <w:rPr>
                      <w:rFonts w:ascii="Times New Roman" w:hAnsi="Times New Roman" w:eastAsia="Times New Roman" w:cs="Times New Roman"/>
                      <w:spacing w:val="-2"/>
                      <w:sz w:val="21"/>
                      <w:szCs w:val="21"/>
                    </w:rPr>
                    <w:t>4.3g/cm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5"/>
                      <w:position w:val="6"/>
                      <w:sz w:val="13"/>
                      <w:szCs w:val="13"/>
                    </w:rPr>
                    <w:t xml:space="preserve"> </w:t>
                  </w:r>
                  <w:r>
                    <w:rPr>
                      <w:spacing w:val="-2"/>
                      <w:sz w:val="21"/>
                      <w:szCs w:val="21"/>
                    </w:rPr>
                    <w:t>，硬度</w:t>
                  </w:r>
                  <w:r>
                    <w:rPr>
                      <w:spacing w:val="-44"/>
                      <w:sz w:val="21"/>
                      <w:szCs w:val="21"/>
                    </w:rPr>
                    <w:t xml:space="preserve"> </w:t>
                  </w:r>
                  <w:r>
                    <w:rPr>
                      <w:rFonts w:ascii="Times New Roman" w:hAnsi="Times New Roman" w:eastAsia="Times New Roman" w:cs="Times New Roman"/>
                      <w:spacing w:val="-2"/>
                      <w:sz w:val="21"/>
                      <w:szCs w:val="21"/>
                    </w:rPr>
                    <w:t>3~3.5</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0" w:type="dxa"/>
                  <w:vAlign w:val="top"/>
                </w:tcPr>
                <w:p>
                  <w:pPr>
                    <w:spacing w:before="206"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317" w:type="dxa"/>
                  <w:vAlign w:val="top"/>
                </w:tcPr>
                <w:p>
                  <w:pPr>
                    <w:pStyle w:val="6"/>
                    <w:spacing w:before="46" w:line="226" w:lineRule="auto"/>
                    <w:ind w:left="491" w:right="233" w:hanging="231"/>
                    <w:rPr>
                      <w:rFonts w:ascii="Times New Roman" w:hAnsi="Times New Roman" w:eastAsia="Times New Roman" w:cs="Times New Roman"/>
                      <w:sz w:val="21"/>
                      <w:szCs w:val="21"/>
                    </w:rPr>
                  </w:pPr>
                  <w:r>
                    <w:rPr>
                      <w:spacing w:val="-6"/>
                      <w:sz w:val="21"/>
                      <w:szCs w:val="21"/>
                    </w:rPr>
                    <w:t>降滤失剂</w:t>
                  </w:r>
                  <w:r>
                    <w:rPr>
                      <w:sz w:val="21"/>
                      <w:szCs w:val="21"/>
                    </w:rPr>
                    <w:t xml:space="preserve"> </w:t>
                  </w:r>
                  <w:r>
                    <w:rPr>
                      <w:rFonts w:ascii="Times New Roman" w:hAnsi="Times New Roman" w:eastAsia="Times New Roman" w:cs="Times New Roman"/>
                      <w:spacing w:val="-1"/>
                      <w:sz w:val="21"/>
                      <w:szCs w:val="21"/>
                    </w:rPr>
                    <w:t>JY1</w:t>
                  </w:r>
                </w:p>
              </w:tc>
              <w:tc>
                <w:tcPr>
                  <w:tcW w:w="6715" w:type="dxa"/>
                  <w:vAlign w:val="top"/>
                </w:tcPr>
                <w:p>
                  <w:pPr>
                    <w:pStyle w:val="6"/>
                    <w:spacing w:before="31" w:line="223" w:lineRule="auto"/>
                    <w:ind w:left="2941" w:right="2" w:hanging="2926"/>
                    <w:rPr>
                      <w:sz w:val="21"/>
                      <w:szCs w:val="21"/>
                    </w:rPr>
                  </w:pPr>
                  <w:r>
                    <w:rPr>
                      <w:spacing w:val="-7"/>
                      <w:sz w:val="21"/>
                      <w:szCs w:val="21"/>
                    </w:rPr>
                    <w:t>黑褐色粉末， 用于水基钻井液的降滤失剂， 抑制页岩水化膨胀作用、增稠</w:t>
                  </w:r>
                  <w:r>
                    <w:rPr>
                      <w:sz w:val="21"/>
                      <w:szCs w:val="21"/>
                    </w:rPr>
                    <w:t xml:space="preserve"> </w:t>
                  </w:r>
                  <w:r>
                    <w:rPr>
                      <w:spacing w:val="-2"/>
                      <w:sz w:val="21"/>
                      <w:szCs w:val="21"/>
                    </w:rPr>
                    <w:t>作用等。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80" w:type="dxa"/>
                  <w:vAlign w:val="top"/>
                </w:tcPr>
                <w:p>
                  <w:pPr>
                    <w:spacing w:before="192"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317" w:type="dxa"/>
                  <w:vAlign w:val="top"/>
                </w:tcPr>
                <w:p>
                  <w:pPr>
                    <w:pStyle w:val="6"/>
                    <w:spacing w:before="31" w:line="295" w:lineRule="exact"/>
                    <w:ind w:left="348"/>
                    <w:rPr>
                      <w:sz w:val="21"/>
                      <w:szCs w:val="21"/>
                    </w:rPr>
                  </w:pPr>
                  <w:r>
                    <w:rPr>
                      <w:spacing w:val="-1"/>
                      <w:position w:val="6"/>
                      <w:sz w:val="21"/>
                      <w:szCs w:val="21"/>
                    </w:rPr>
                    <w:t>封堵剂</w:t>
                  </w:r>
                </w:p>
                <w:p>
                  <w:pPr>
                    <w:spacing w:line="180"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JSH-01</w:t>
                  </w:r>
                </w:p>
              </w:tc>
              <w:tc>
                <w:tcPr>
                  <w:tcW w:w="6715" w:type="dxa"/>
                  <w:vAlign w:val="top"/>
                </w:tcPr>
                <w:p>
                  <w:pPr>
                    <w:pStyle w:val="6"/>
                    <w:spacing w:before="153" w:line="221" w:lineRule="auto"/>
                    <w:ind w:left="738"/>
                    <w:rPr>
                      <w:sz w:val="21"/>
                      <w:szCs w:val="21"/>
                    </w:rPr>
                  </w:pPr>
                  <w:r>
                    <w:rPr>
                      <w:spacing w:val="-1"/>
                      <w:sz w:val="21"/>
                      <w:szCs w:val="21"/>
                    </w:rPr>
                    <w:t>不同粒径的棉纤维粉、木质纤维粉和矿物纤维的复配物。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80" w:type="dxa"/>
                  <w:vAlign w:val="top"/>
                </w:tcPr>
                <w:p>
                  <w:pPr>
                    <w:spacing w:line="281" w:lineRule="auto"/>
                    <w:rPr>
                      <w:rFonts w:ascii="Arial"/>
                      <w:sz w:val="21"/>
                    </w:rPr>
                  </w:pPr>
                </w:p>
                <w:p>
                  <w:pPr>
                    <w:spacing w:before="61"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317" w:type="dxa"/>
                  <w:vAlign w:val="top"/>
                </w:tcPr>
                <w:p>
                  <w:pPr>
                    <w:pStyle w:val="6"/>
                    <w:spacing w:before="305" w:line="221" w:lineRule="auto"/>
                    <w:ind w:left="350"/>
                    <w:rPr>
                      <w:sz w:val="21"/>
                      <w:szCs w:val="21"/>
                    </w:rPr>
                  </w:pPr>
                  <w:r>
                    <w:rPr>
                      <w:spacing w:val="-2"/>
                      <w:sz w:val="21"/>
                      <w:szCs w:val="21"/>
                    </w:rPr>
                    <w:t>酸化液</w:t>
                  </w:r>
                </w:p>
              </w:tc>
              <w:tc>
                <w:tcPr>
                  <w:tcW w:w="6715" w:type="dxa"/>
                  <w:vAlign w:val="top"/>
                </w:tcPr>
                <w:p>
                  <w:pPr>
                    <w:pStyle w:val="6"/>
                    <w:spacing w:before="33" w:line="221" w:lineRule="auto"/>
                    <w:jc w:val="right"/>
                    <w:rPr>
                      <w:sz w:val="21"/>
                      <w:szCs w:val="21"/>
                    </w:rPr>
                  </w:pPr>
                  <w:r>
                    <w:rPr>
                      <w:spacing w:val="-3"/>
                      <w:sz w:val="21"/>
                      <w:szCs w:val="21"/>
                    </w:rPr>
                    <w:t>主要成分为低分子醇、磷化物、</w:t>
                  </w:r>
                  <w:r>
                    <w:rPr>
                      <w:rFonts w:ascii="Times New Roman" w:hAnsi="Times New Roman" w:eastAsia="Times New Roman" w:cs="Times New Roman"/>
                      <w:spacing w:val="-3"/>
                      <w:sz w:val="21"/>
                      <w:szCs w:val="21"/>
                    </w:rPr>
                    <w:t>7%</w:t>
                  </w:r>
                  <w:r>
                    <w:rPr>
                      <w:spacing w:val="-3"/>
                      <w:sz w:val="21"/>
                      <w:szCs w:val="21"/>
                    </w:rPr>
                    <w:t>的稀盐酸，无色或微</w:t>
                  </w:r>
                  <w:r>
                    <w:rPr>
                      <w:spacing w:val="-4"/>
                      <w:sz w:val="21"/>
                      <w:szCs w:val="21"/>
                    </w:rPr>
                    <w:t>黄色发烟液体、有</w:t>
                  </w:r>
                </w:p>
                <w:p>
                  <w:pPr>
                    <w:pStyle w:val="6"/>
                    <w:spacing w:before="19" w:line="232" w:lineRule="auto"/>
                    <w:ind w:right="1"/>
                    <w:jc w:val="right"/>
                    <w:rPr>
                      <w:rFonts w:ascii="Times New Roman" w:hAnsi="Times New Roman" w:eastAsia="Times New Roman" w:cs="Times New Roman"/>
                      <w:sz w:val="21"/>
                      <w:szCs w:val="21"/>
                    </w:rPr>
                  </w:pPr>
                  <w:r>
                    <w:rPr>
                      <w:spacing w:val="-6"/>
                      <w:sz w:val="21"/>
                      <w:szCs w:val="21"/>
                    </w:rPr>
                    <w:t>刺鼻的酸味。与水混溶，溶于碱液。熔点</w:t>
                  </w:r>
                  <w:r>
                    <w:rPr>
                      <w:spacing w:val="-8"/>
                      <w:sz w:val="21"/>
                      <w:szCs w:val="21"/>
                    </w:rPr>
                    <w:t>：</w:t>
                  </w:r>
                  <w:r>
                    <w:rPr>
                      <w:spacing w:val="-44"/>
                      <w:sz w:val="21"/>
                      <w:szCs w:val="21"/>
                    </w:rPr>
                    <w:t xml:space="preserve"> </w:t>
                  </w:r>
                  <w:r>
                    <w:rPr>
                      <w:spacing w:val="-8"/>
                      <w:sz w:val="21"/>
                      <w:szCs w:val="21"/>
                    </w:rPr>
                    <w:t>－</w:t>
                  </w:r>
                  <w:r>
                    <w:rPr>
                      <w:rFonts w:ascii="Times New Roman" w:hAnsi="Times New Roman" w:eastAsia="Times New Roman" w:cs="Times New Roman"/>
                      <w:spacing w:val="-6"/>
                      <w:sz w:val="21"/>
                      <w:szCs w:val="21"/>
                    </w:rPr>
                    <w:t>114.8</w:t>
                  </w:r>
                  <w:r>
                    <w:rPr>
                      <w:spacing w:val="-6"/>
                      <w:sz w:val="21"/>
                      <w:szCs w:val="21"/>
                    </w:rPr>
                    <w:t>（纯）</w:t>
                  </w:r>
                  <w:r>
                    <w:rPr>
                      <w:rFonts w:ascii="Times New Roman" w:hAnsi="Times New Roman" w:eastAsia="Times New Roman" w:cs="Times New Roman"/>
                      <w:spacing w:val="-6"/>
                      <w:sz w:val="21"/>
                      <w:szCs w:val="21"/>
                    </w:rPr>
                    <w:t>℃</w:t>
                  </w:r>
                  <w:r>
                    <w:rPr>
                      <w:spacing w:val="-6"/>
                      <w:sz w:val="21"/>
                      <w:szCs w:val="21"/>
                    </w:rPr>
                    <w:t>,</w:t>
                  </w:r>
                  <w:r>
                    <w:rPr>
                      <w:spacing w:val="40"/>
                      <w:sz w:val="21"/>
                      <w:szCs w:val="21"/>
                    </w:rPr>
                    <w:t xml:space="preserve"> </w:t>
                  </w:r>
                  <w:r>
                    <w:rPr>
                      <w:spacing w:val="-6"/>
                      <w:sz w:val="21"/>
                      <w:szCs w:val="21"/>
                    </w:rPr>
                    <w:t>沸点：</w:t>
                  </w:r>
                  <w:r>
                    <w:rPr>
                      <w:rFonts w:ascii="Times New Roman" w:hAnsi="Times New Roman" w:eastAsia="Times New Roman" w:cs="Times New Roman"/>
                      <w:spacing w:val="-6"/>
                      <w:sz w:val="21"/>
                      <w:szCs w:val="21"/>
                    </w:rPr>
                    <w:t>108.6</w:t>
                  </w:r>
                </w:p>
                <w:p>
                  <w:pPr>
                    <w:pStyle w:val="6"/>
                    <w:spacing w:before="10" w:line="206" w:lineRule="auto"/>
                    <w:ind w:left="546"/>
                    <w:rPr>
                      <w:sz w:val="21"/>
                      <w:szCs w:val="21"/>
                    </w:rPr>
                  </w:pPr>
                  <w:r>
                    <w:rPr>
                      <w:spacing w:val="-6"/>
                      <w:sz w:val="21"/>
                      <w:szCs w:val="21"/>
                    </w:rPr>
                    <w:t>（</w:t>
                  </w:r>
                  <w:r>
                    <w:rPr>
                      <w:rFonts w:ascii="Times New Roman" w:hAnsi="Times New Roman" w:eastAsia="Times New Roman" w:cs="Times New Roman"/>
                      <w:spacing w:val="-6"/>
                      <w:sz w:val="21"/>
                      <w:szCs w:val="21"/>
                    </w:rPr>
                    <w:t>20%</w:t>
                  </w:r>
                  <w:r>
                    <w:rPr>
                      <w:spacing w:val="-6"/>
                      <w:sz w:val="21"/>
                      <w:szCs w:val="21"/>
                    </w:rPr>
                    <w:t>）</w:t>
                  </w:r>
                  <w:r>
                    <w:rPr>
                      <w:rFonts w:ascii="Times New Roman" w:hAnsi="Times New Roman" w:eastAsia="Times New Roman" w:cs="Times New Roman"/>
                      <w:spacing w:val="-6"/>
                      <w:sz w:val="21"/>
                      <w:szCs w:val="21"/>
                    </w:rPr>
                    <w:t>℃</w:t>
                  </w:r>
                  <w:r>
                    <w:rPr>
                      <w:spacing w:val="-6"/>
                      <w:sz w:val="21"/>
                      <w:szCs w:val="21"/>
                    </w:rPr>
                    <w:t>。禁忌物：</w:t>
                  </w:r>
                  <w:r>
                    <w:rPr>
                      <w:spacing w:val="-24"/>
                      <w:sz w:val="21"/>
                      <w:szCs w:val="21"/>
                    </w:rPr>
                    <w:t xml:space="preserve"> </w:t>
                  </w:r>
                  <w:r>
                    <w:rPr>
                      <w:spacing w:val="-6"/>
                      <w:sz w:val="21"/>
                      <w:szCs w:val="21"/>
                    </w:rPr>
                    <w:t>碱类、</w:t>
                  </w:r>
                  <w:r>
                    <w:rPr>
                      <w:spacing w:val="-30"/>
                      <w:sz w:val="21"/>
                      <w:szCs w:val="21"/>
                    </w:rPr>
                    <w:t xml:space="preserve"> </w:t>
                  </w:r>
                  <w:r>
                    <w:rPr>
                      <w:spacing w:val="-6"/>
                      <w:sz w:val="21"/>
                      <w:szCs w:val="21"/>
                    </w:rPr>
                    <w:t>胺类、碱金属、易燃或可燃物。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580"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1"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31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23" w:lineRule="auto"/>
                    <w:ind w:left="485"/>
                    <w:rPr>
                      <w:sz w:val="21"/>
                      <w:szCs w:val="21"/>
                    </w:rPr>
                  </w:pPr>
                  <w:r>
                    <w:rPr>
                      <w:spacing w:val="-10"/>
                      <w:sz w:val="21"/>
                      <w:szCs w:val="21"/>
                    </w:rPr>
                    <w:t>白油</w:t>
                  </w:r>
                </w:p>
              </w:tc>
              <w:tc>
                <w:tcPr>
                  <w:tcW w:w="6715" w:type="dxa"/>
                  <w:vAlign w:val="top"/>
                </w:tcPr>
                <w:p>
                  <w:pPr>
                    <w:pStyle w:val="6"/>
                    <w:spacing w:before="30" w:line="239" w:lineRule="auto"/>
                    <w:ind w:left="11" w:hanging="3"/>
                    <w:rPr>
                      <w:sz w:val="21"/>
                      <w:szCs w:val="21"/>
                    </w:rPr>
                  </w:pPr>
                  <w:r>
                    <w:rPr>
                      <w:rFonts w:ascii="Times New Roman" w:hAnsi="Times New Roman" w:eastAsia="Times New Roman" w:cs="Times New Roman"/>
                      <w:spacing w:val="-9"/>
                      <w:sz w:val="21"/>
                      <w:szCs w:val="21"/>
                    </w:rPr>
                    <w:t>C</w:t>
                  </w:r>
                  <w:r>
                    <w:rPr>
                      <w:rFonts w:ascii="Times New Roman" w:hAnsi="Times New Roman" w:eastAsia="Times New Roman" w:cs="Times New Roman"/>
                      <w:spacing w:val="-9"/>
                      <w:position w:val="-1"/>
                      <w:sz w:val="13"/>
                      <w:szCs w:val="13"/>
                    </w:rPr>
                    <w:t>16</w:t>
                  </w:r>
                  <w:r>
                    <w:rPr>
                      <w:rFonts w:ascii="Times New Roman" w:hAnsi="Times New Roman" w:eastAsia="Times New Roman" w:cs="Times New Roman"/>
                      <w:spacing w:val="-9"/>
                      <w:sz w:val="21"/>
                      <w:szCs w:val="21"/>
                    </w:rPr>
                    <w:t>~C</w:t>
                  </w:r>
                  <w:r>
                    <w:rPr>
                      <w:rFonts w:ascii="Times New Roman" w:hAnsi="Times New Roman" w:eastAsia="Times New Roman" w:cs="Times New Roman"/>
                      <w:spacing w:val="-9"/>
                      <w:position w:val="-1"/>
                      <w:sz w:val="13"/>
                      <w:szCs w:val="13"/>
                    </w:rPr>
                    <w:t>31</w:t>
                  </w:r>
                  <w:r>
                    <w:rPr>
                      <w:rFonts w:ascii="Times New Roman" w:hAnsi="Times New Roman" w:eastAsia="Times New Roman" w:cs="Times New Roman"/>
                      <w:spacing w:val="47"/>
                      <w:position w:val="-1"/>
                      <w:sz w:val="13"/>
                      <w:szCs w:val="13"/>
                    </w:rPr>
                    <w:t xml:space="preserve"> </w:t>
                  </w:r>
                  <w:r>
                    <w:rPr>
                      <w:spacing w:val="-9"/>
                      <w:sz w:val="21"/>
                      <w:szCs w:val="21"/>
                    </w:rPr>
                    <w:t>的正异构烷烃的混合物，无色透明油状液体，无臭味，具有润滑性，</w:t>
                  </w:r>
                  <w:r>
                    <w:rPr>
                      <w:sz w:val="21"/>
                      <w:szCs w:val="21"/>
                    </w:rPr>
                    <w:t xml:space="preserve"> </w:t>
                  </w:r>
                  <w:r>
                    <w:rPr>
                      <w:spacing w:val="-6"/>
                      <w:sz w:val="21"/>
                      <w:szCs w:val="21"/>
                    </w:rPr>
                    <w:t>不溶于水和乙醇。油基钻井液： 基本组成是油、水、有机粘土和油溶性化</w:t>
                  </w:r>
                  <w:r>
                    <w:rPr>
                      <w:spacing w:val="13"/>
                      <w:sz w:val="21"/>
                      <w:szCs w:val="21"/>
                    </w:rPr>
                    <w:t xml:space="preserve"> </w:t>
                  </w:r>
                  <w:r>
                    <w:rPr>
                      <w:spacing w:val="-2"/>
                      <w:sz w:val="21"/>
                      <w:szCs w:val="21"/>
                    </w:rPr>
                    <w:t>学处理剂。本工程使用油基钻井液由白油、有机土、主乳化剂、润湿剂、</w:t>
                  </w:r>
                  <w:r>
                    <w:rPr>
                      <w:spacing w:val="6"/>
                      <w:sz w:val="21"/>
                      <w:szCs w:val="21"/>
                    </w:rPr>
                    <w:t xml:space="preserve"> </w:t>
                  </w:r>
                  <w:r>
                    <w:rPr>
                      <w:spacing w:val="-5"/>
                      <w:sz w:val="21"/>
                      <w:szCs w:val="21"/>
                    </w:rPr>
                    <w:t>降滤失剂、封堵剂、加重剂组成的钻井液体系。主要成分为白油，</w:t>
                  </w:r>
                  <w:r>
                    <w:rPr>
                      <w:spacing w:val="-25"/>
                      <w:sz w:val="21"/>
                      <w:szCs w:val="21"/>
                    </w:rPr>
                    <w:t xml:space="preserve"> </w:t>
                  </w:r>
                  <w:r>
                    <w:rPr>
                      <w:spacing w:val="-5"/>
                      <w:sz w:val="21"/>
                      <w:szCs w:val="21"/>
                    </w:rPr>
                    <w:t>无色透</w:t>
                  </w:r>
                  <w:r>
                    <w:rPr>
                      <w:sz w:val="21"/>
                      <w:szCs w:val="21"/>
                    </w:rPr>
                    <w:t xml:space="preserve"> </w:t>
                  </w:r>
                  <w:r>
                    <w:rPr>
                      <w:spacing w:val="-2"/>
                      <w:sz w:val="21"/>
                      <w:szCs w:val="21"/>
                    </w:rPr>
                    <w:t>明油状液体，没有气味。比重</w:t>
                  </w:r>
                  <w:r>
                    <w:rPr>
                      <w:spacing w:val="-44"/>
                      <w:sz w:val="21"/>
                      <w:szCs w:val="21"/>
                    </w:rPr>
                    <w:t xml:space="preserve"> </w:t>
                  </w:r>
                  <w:r>
                    <w:rPr>
                      <w:rFonts w:ascii="Times New Roman" w:hAnsi="Times New Roman" w:eastAsia="Times New Roman" w:cs="Times New Roman"/>
                      <w:spacing w:val="-2"/>
                      <w:sz w:val="21"/>
                      <w:szCs w:val="21"/>
                    </w:rPr>
                    <w:t>0.831</w:t>
                  </w:r>
                  <w:r>
                    <w:rPr>
                      <w:spacing w:val="-2"/>
                      <w:sz w:val="21"/>
                      <w:szCs w:val="21"/>
                    </w:rPr>
                    <w:t>～</w:t>
                  </w:r>
                  <w:r>
                    <w:rPr>
                      <w:rFonts w:ascii="Times New Roman" w:hAnsi="Times New Roman" w:eastAsia="Times New Roman" w:cs="Times New Roman"/>
                      <w:spacing w:val="-2"/>
                      <w:sz w:val="21"/>
                      <w:szCs w:val="21"/>
                    </w:rPr>
                    <w:t>0.8</w:t>
                  </w:r>
                  <w:r>
                    <w:rPr>
                      <w:rFonts w:ascii="Times New Roman" w:hAnsi="Times New Roman" w:eastAsia="Times New Roman" w:cs="Times New Roman"/>
                      <w:spacing w:val="-3"/>
                      <w:sz w:val="21"/>
                      <w:szCs w:val="21"/>
                    </w:rPr>
                    <w:t>83</w:t>
                  </w:r>
                  <w:r>
                    <w:rPr>
                      <w:spacing w:val="-3"/>
                      <w:sz w:val="21"/>
                      <w:szCs w:val="21"/>
                    </w:rPr>
                    <w:t>，闪点（开式）</w:t>
                  </w:r>
                  <w:r>
                    <w:rPr>
                      <w:rFonts w:ascii="Times New Roman" w:hAnsi="Times New Roman" w:eastAsia="Times New Roman" w:cs="Times New Roman"/>
                      <w:spacing w:val="-3"/>
                      <w:sz w:val="21"/>
                      <w:szCs w:val="21"/>
                    </w:rPr>
                    <w:t>164</w:t>
                  </w:r>
                  <w:r>
                    <w:rPr>
                      <w:spacing w:val="-3"/>
                      <w:sz w:val="21"/>
                      <w:szCs w:val="21"/>
                    </w:rPr>
                    <w:t>～</w:t>
                  </w:r>
                  <w:r>
                    <w:rPr>
                      <w:rFonts w:ascii="Times New Roman" w:hAnsi="Times New Roman" w:eastAsia="Times New Roman" w:cs="Times New Roman"/>
                      <w:spacing w:val="-3"/>
                      <w:sz w:val="21"/>
                      <w:szCs w:val="21"/>
                    </w:rPr>
                    <w:t>223</w:t>
                  </w:r>
                  <w:r>
                    <w:rPr>
                      <w:spacing w:val="-3"/>
                      <w:sz w:val="21"/>
                      <w:szCs w:val="21"/>
                    </w:rPr>
                    <w:t>℃,</w:t>
                  </w:r>
                  <w:r>
                    <w:rPr>
                      <w:sz w:val="21"/>
                      <w:szCs w:val="21"/>
                    </w:rPr>
                    <w:t xml:space="preserve">   </w:t>
                  </w:r>
                  <w:r>
                    <w:rPr>
                      <w:spacing w:val="-1"/>
                      <w:sz w:val="21"/>
                      <w:szCs w:val="21"/>
                    </w:rPr>
                    <w:t>运动黏度（</w:t>
                  </w:r>
                  <w:r>
                    <w:rPr>
                      <w:rFonts w:ascii="Times New Roman" w:hAnsi="Times New Roman" w:eastAsia="Times New Roman" w:cs="Times New Roman"/>
                      <w:spacing w:val="-1"/>
                      <w:sz w:val="21"/>
                      <w:szCs w:val="21"/>
                    </w:rPr>
                    <w:t>50</w:t>
                  </w:r>
                  <w:r>
                    <w:rPr>
                      <w:spacing w:val="-1"/>
                      <w:sz w:val="21"/>
                      <w:szCs w:val="21"/>
                    </w:rPr>
                    <w:t xml:space="preserve">℃) </w:t>
                  </w:r>
                  <w:r>
                    <w:rPr>
                      <w:rFonts w:ascii="Times New Roman" w:hAnsi="Times New Roman" w:eastAsia="Times New Roman" w:cs="Times New Roman"/>
                      <w:spacing w:val="-1"/>
                      <w:sz w:val="21"/>
                      <w:szCs w:val="21"/>
                    </w:rPr>
                    <w:t>5.7</w:t>
                  </w:r>
                  <w:r>
                    <w:rPr>
                      <w:spacing w:val="-1"/>
                      <w:sz w:val="21"/>
                      <w:szCs w:val="21"/>
                    </w:rPr>
                    <w:t>～</w:t>
                  </w:r>
                  <w:r>
                    <w:rPr>
                      <w:rFonts w:ascii="Times New Roman" w:hAnsi="Times New Roman" w:eastAsia="Times New Roman" w:cs="Times New Roman"/>
                      <w:spacing w:val="-1"/>
                      <w:sz w:val="21"/>
                      <w:szCs w:val="21"/>
                    </w:rPr>
                    <w:t>26mm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
                      <w:sz w:val="21"/>
                      <w:szCs w:val="21"/>
                    </w:rPr>
                    <w:t>/s</w:t>
                  </w:r>
                  <w:r>
                    <w:rPr>
                      <w:spacing w:val="-1"/>
                      <w:sz w:val="21"/>
                      <w:szCs w:val="21"/>
                    </w:rPr>
                    <w:t>，酸值≤</w:t>
                  </w:r>
                  <w:r>
                    <w:rPr>
                      <w:rFonts w:ascii="Times New Roman" w:hAnsi="Times New Roman" w:eastAsia="Times New Roman" w:cs="Times New Roman"/>
                      <w:spacing w:val="-1"/>
                      <w:sz w:val="21"/>
                      <w:szCs w:val="21"/>
                    </w:rPr>
                    <w:t>0.05</w:t>
                  </w:r>
                  <w:r>
                    <w:rPr>
                      <w:spacing w:val="-1"/>
                      <w:sz w:val="21"/>
                      <w:szCs w:val="21"/>
                    </w:rPr>
                    <w:t>。对酸、光、热均稳定，不</w:t>
                  </w:r>
                </w:p>
                <w:p>
                  <w:pPr>
                    <w:pStyle w:val="6"/>
                    <w:spacing w:before="4" w:line="207" w:lineRule="auto"/>
                    <w:ind w:left="422"/>
                    <w:rPr>
                      <w:sz w:val="21"/>
                      <w:szCs w:val="21"/>
                    </w:rPr>
                  </w:pPr>
                  <w:r>
                    <w:rPr>
                      <w:spacing w:val="-3"/>
                      <w:sz w:val="21"/>
                      <w:szCs w:val="21"/>
                    </w:rPr>
                    <w:t>溶于乙醇，</w:t>
                  </w:r>
                  <w:r>
                    <w:rPr>
                      <w:spacing w:val="-21"/>
                      <w:sz w:val="21"/>
                      <w:szCs w:val="21"/>
                    </w:rPr>
                    <w:t xml:space="preserve"> </w:t>
                  </w:r>
                  <w:r>
                    <w:rPr>
                      <w:spacing w:val="-3"/>
                      <w:sz w:val="21"/>
                      <w:szCs w:val="21"/>
                    </w:rPr>
                    <w:t>溶于乙醚、苯、石油醚等，并可与多数</w:t>
                  </w:r>
                  <w:r>
                    <w:rPr>
                      <w:spacing w:val="-4"/>
                      <w:sz w:val="21"/>
                      <w:szCs w:val="21"/>
                    </w:rPr>
                    <w:t>脂肪油互溶。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80" w:type="dxa"/>
                  <w:vAlign w:val="top"/>
                </w:tcPr>
                <w:p>
                  <w:pPr>
                    <w:spacing w:line="280" w:lineRule="auto"/>
                    <w:rPr>
                      <w:rFonts w:ascii="Arial"/>
                      <w:sz w:val="21"/>
                    </w:rPr>
                  </w:pPr>
                </w:p>
                <w:p>
                  <w:pPr>
                    <w:spacing w:before="60"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14</w:t>
                  </w:r>
                </w:p>
              </w:tc>
              <w:tc>
                <w:tcPr>
                  <w:tcW w:w="1317" w:type="dxa"/>
                  <w:vAlign w:val="top"/>
                </w:tcPr>
                <w:p>
                  <w:pPr>
                    <w:pStyle w:val="6"/>
                    <w:spacing w:before="166" w:line="237" w:lineRule="auto"/>
                    <w:ind w:left="163" w:right="159" w:firstLine="85"/>
                    <w:rPr>
                      <w:sz w:val="21"/>
                      <w:szCs w:val="21"/>
                    </w:rPr>
                  </w:pPr>
                  <w:r>
                    <w:rPr>
                      <w:spacing w:val="-3"/>
                      <w:sz w:val="21"/>
                      <w:szCs w:val="21"/>
                    </w:rPr>
                    <w:t>次氯酸钠</w:t>
                  </w:r>
                  <w:r>
                    <w:rPr>
                      <w:sz w:val="21"/>
                      <w:szCs w:val="21"/>
                    </w:rPr>
                    <w:t xml:space="preserve"> </w:t>
                  </w:r>
                  <w:r>
                    <w:rPr>
                      <w:spacing w:val="-4"/>
                      <w:sz w:val="21"/>
                      <w:szCs w:val="21"/>
                    </w:rPr>
                    <w:t>（</w:t>
                  </w:r>
                  <w:r>
                    <w:rPr>
                      <w:rFonts w:ascii="Times New Roman" w:hAnsi="Times New Roman" w:eastAsia="Times New Roman" w:cs="Times New Roman"/>
                      <w:spacing w:val="-4"/>
                      <w:sz w:val="21"/>
                      <w:szCs w:val="21"/>
                    </w:rPr>
                    <w:t>NaClO</w:t>
                  </w:r>
                  <w:r>
                    <w:rPr>
                      <w:spacing w:val="-4"/>
                      <w:sz w:val="21"/>
                      <w:szCs w:val="21"/>
                    </w:rPr>
                    <w:t>）</w:t>
                  </w:r>
                </w:p>
              </w:tc>
              <w:tc>
                <w:tcPr>
                  <w:tcW w:w="6715" w:type="dxa"/>
                  <w:vAlign w:val="top"/>
                </w:tcPr>
                <w:p>
                  <w:pPr>
                    <w:pStyle w:val="6"/>
                    <w:spacing w:before="31" w:line="221" w:lineRule="auto"/>
                    <w:jc w:val="right"/>
                    <w:rPr>
                      <w:sz w:val="21"/>
                      <w:szCs w:val="21"/>
                    </w:rPr>
                  </w:pPr>
                  <w:r>
                    <w:rPr>
                      <w:spacing w:val="-4"/>
                      <w:sz w:val="21"/>
                      <w:szCs w:val="21"/>
                    </w:rPr>
                    <w:t>别名漂白水、漂水、安替福民、次氯酸钠水溶液，分子量</w:t>
                  </w:r>
                  <w:r>
                    <w:rPr>
                      <w:spacing w:val="-41"/>
                      <w:sz w:val="21"/>
                      <w:szCs w:val="21"/>
                    </w:rPr>
                    <w:t xml:space="preserve"> </w:t>
                  </w:r>
                  <w:r>
                    <w:rPr>
                      <w:rFonts w:ascii="Times New Roman" w:hAnsi="Times New Roman" w:eastAsia="Times New Roman" w:cs="Times New Roman"/>
                      <w:spacing w:val="-4"/>
                      <w:sz w:val="21"/>
                      <w:szCs w:val="21"/>
                    </w:rPr>
                    <w:t>74.44</w:t>
                  </w:r>
                  <w:r>
                    <w:rPr>
                      <w:spacing w:val="-4"/>
                      <w:sz w:val="21"/>
                      <w:szCs w:val="21"/>
                    </w:rPr>
                    <w:t>，腐蚀品，</w:t>
                  </w:r>
                </w:p>
                <w:p>
                  <w:pPr>
                    <w:pStyle w:val="6"/>
                    <w:spacing w:before="19" w:line="223" w:lineRule="auto"/>
                    <w:ind w:left="1164" w:right="61" w:hanging="1146"/>
                    <w:rPr>
                      <w:sz w:val="21"/>
                      <w:szCs w:val="21"/>
                    </w:rPr>
                  </w:pPr>
                  <w:r>
                    <w:rPr>
                      <w:spacing w:val="-3"/>
                      <w:sz w:val="21"/>
                      <w:szCs w:val="21"/>
                    </w:rPr>
                    <w:t>微黄色</w:t>
                  </w:r>
                  <w:r>
                    <w:rPr>
                      <w:rFonts w:ascii="Times New Roman" w:hAnsi="Times New Roman" w:eastAsia="Times New Roman" w:cs="Times New Roman"/>
                      <w:spacing w:val="-3"/>
                      <w:sz w:val="21"/>
                      <w:szCs w:val="21"/>
                    </w:rPr>
                    <w:t>(</w:t>
                  </w:r>
                  <w:r>
                    <w:rPr>
                      <w:spacing w:val="-3"/>
                      <w:sz w:val="21"/>
                      <w:szCs w:val="21"/>
                    </w:rPr>
                    <w:t>溶液</w:t>
                  </w:r>
                  <w:r>
                    <w:rPr>
                      <w:rFonts w:ascii="Times New Roman" w:hAnsi="Times New Roman" w:eastAsia="Times New Roman" w:cs="Times New Roman"/>
                      <w:spacing w:val="-3"/>
                      <w:sz w:val="21"/>
                      <w:szCs w:val="21"/>
                    </w:rPr>
                    <w:t>)</w:t>
                  </w:r>
                  <w:r>
                    <w:rPr>
                      <w:spacing w:val="-3"/>
                      <w:sz w:val="21"/>
                      <w:szCs w:val="21"/>
                    </w:rPr>
                    <w:t>或白色粉末</w:t>
                  </w:r>
                  <w:r>
                    <w:rPr>
                      <w:rFonts w:ascii="Times New Roman" w:hAnsi="Times New Roman" w:eastAsia="Times New Roman" w:cs="Times New Roman"/>
                      <w:spacing w:val="-3"/>
                      <w:sz w:val="21"/>
                      <w:szCs w:val="21"/>
                    </w:rPr>
                    <w:t>(</w:t>
                  </w:r>
                  <w:r>
                    <w:rPr>
                      <w:spacing w:val="-3"/>
                      <w:sz w:val="21"/>
                      <w:szCs w:val="21"/>
                    </w:rPr>
                    <w:t>固体</w:t>
                  </w:r>
                  <w:r>
                    <w:rPr>
                      <w:rFonts w:ascii="Times New Roman" w:hAnsi="Times New Roman" w:eastAsia="Times New Roman" w:cs="Times New Roman"/>
                      <w:spacing w:val="-3"/>
                      <w:sz w:val="21"/>
                      <w:szCs w:val="21"/>
                    </w:rPr>
                    <w:t>)</w:t>
                  </w:r>
                  <w:r>
                    <w:rPr>
                      <w:spacing w:val="-3"/>
                      <w:sz w:val="21"/>
                      <w:szCs w:val="21"/>
                    </w:rPr>
                    <w:t>，有似氯</w:t>
                  </w:r>
                  <w:r>
                    <w:rPr>
                      <w:spacing w:val="-4"/>
                      <w:sz w:val="21"/>
                      <w:szCs w:val="21"/>
                    </w:rPr>
                    <w:t>气的气味；</w:t>
                  </w:r>
                  <w:r>
                    <w:rPr>
                      <w:spacing w:val="-21"/>
                      <w:sz w:val="21"/>
                      <w:szCs w:val="21"/>
                    </w:rPr>
                    <w:t xml:space="preserve"> </w:t>
                  </w:r>
                  <w:r>
                    <w:rPr>
                      <w:spacing w:val="-4"/>
                      <w:sz w:val="21"/>
                      <w:szCs w:val="21"/>
                    </w:rPr>
                    <w:t>相对密度</w:t>
                  </w:r>
                  <w:r>
                    <w:rPr>
                      <w:rFonts w:ascii="Times New Roman" w:hAnsi="Times New Roman" w:eastAsia="Times New Roman" w:cs="Times New Roman"/>
                      <w:spacing w:val="-4"/>
                      <w:sz w:val="21"/>
                      <w:szCs w:val="21"/>
                    </w:rPr>
                    <w:t>(</w:t>
                  </w:r>
                  <w:r>
                    <w:rPr>
                      <w:spacing w:val="-4"/>
                      <w:sz w:val="21"/>
                      <w:szCs w:val="21"/>
                    </w:rPr>
                    <w:t>水</w:t>
                  </w:r>
                  <w:r>
                    <w:rPr>
                      <w:rFonts w:ascii="Times New Roman" w:hAnsi="Times New Roman" w:eastAsia="Times New Roman" w:cs="Times New Roman"/>
                      <w:spacing w:val="-4"/>
                      <w:sz w:val="21"/>
                      <w:szCs w:val="21"/>
                    </w:rPr>
                    <w:t>=1)1.10</w:t>
                  </w:r>
                  <w:r>
                    <w:rPr>
                      <w:spacing w:val="-4"/>
                      <w:sz w:val="21"/>
                      <w:szCs w:val="21"/>
                    </w:rPr>
                    <w:t>，</w:t>
                  </w:r>
                  <w:r>
                    <w:rPr>
                      <w:sz w:val="21"/>
                      <w:szCs w:val="21"/>
                    </w:rPr>
                    <w:t xml:space="preserve"> </w:t>
                  </w:r>
                  <w:r>
                    <w:rPr>
                      <w:spacing w:val="-5"/>
                      <w:sz w:val="21"/>
                      <w:szCs w:val="21"/>
                    </w:rPr>
                    <w:t>熔点</w:t>
                  </w:r>
                  <w:r>
                    <w:rPr>
                      <w:rFonts w:ascii="Times New Roman" w:hAnsi="Times New Roman" w:eastAsia="Times New Roman" w:cs="Times New Roman"/>
                      <w:spacing w:val="-5"/>
                      <w:sz w:val="21"/>
                      <w:szCs w:val="21"/>
                    </w:rPr>
                    <w:t>-6</w:t>
                  </w:r>
                  <w:r>
                    <w:rPr>
                      <w:rFonts w:ascii="Times New Roman" w:hAnsi="Times New Roman" w:eastAsia="Times New Roman" w:cs="Times New Roman"/>
                      <w:spacing w:val="-10"/>
                      <w:sz w:val="21"/>
                      <w:szCs w:val="21"/>
                    </w:rPr>
                    <w:t xml:space="preserve"> </w:t>
                  </w:r>
                  <w:r>
                    <w:rPr>
                      <w:spacing w:val="-5"/>
                      <w:sz w:val="21"/>
                      <w:szCs w:val="21"/>
                    </w:rPr>
                    <w:t>°</w:t>
                  </w:r>
                  <w:r>
                    <w:rPr>
                      <w:rFonts w:ascii="Times New Roman" w:hAnsi="Times New Roman" w:eastAsia="Times New Roman" w:cs="Times New Roman"/>
                      <w:spacing w:val="-5"/>
                      <w:sz w:val="21"/>
                      <w:szCs w:val="21"/>
                    </w:rPr>
                    <w:t>C</w:t>
                  </w:r>
                  <w:r>
                    <w:rPr>
                      <w:spacing w:val="-5"/>
                      <w:sz w:val="21"/>
                      <w:szCs w:val="21"/>
                    </w:rPr>
                    <w:t>，沸点</w:t>
                  </w:r>
                  <w:r>
                    <w:rPr>
                      <w:spacing w:val="-27"/>
                      <w:sz w:val="21"/>
                      <w:szCs w:val="21"/>
                    </w:rPr>
                    <w:t xml:space="preserve"> </w:t>
                  </w:r>
                  <w:r>
                    <w:rPr>
                      <w:rFonts w:ascii="Times New Roman" w:hAnsi="Times New Roman" w:eastAsia="Times New Roman" w:cs="Times New Roman"/>
                      <w:spacing w:val="-5"/>
                      <w:sz w:val="21"/>
                      <w:szCs w:val="21"/>
                    </w:rPr>
                    <w:t>102.2</w:t>
                  </w:r>
                  <w:r>
                    <w:rPr>
                      <w:rFonts w:ascii="Times New Roman" w:hAnsi="Times New Roman" w:eastAsia="Times New Roman" w:cs="Times New Roman"/>
                      <w:spacing w:val="-25"/>
                      <w:sz w:val="21"/>
                      <w:szCs w:val="21"/>
                    </w:rPr>
                    <w:t xml:space="preserve"> </w:t>
                  </w:r>
                  <w:r>
                    <w:rPr>
                      <w:spacing w:val="-5"/>
                      <w:sz w:val="21"/>
                      <w:szCs w:val="21"/>
                    </w:rPr>
                    <w:t>°</w:t>
                  </w:r>
                  <w:r>
                    <w:rPr>
                      <w:rFonts w:ascii="Times New Roman" w:hAnsi="Times New Roman" w:eastAsia="Times New Roman" w:cs="Times New Roman"/>
                      <w:spacing w:val="-5"/>
                      <w:sz w:val="21"/>
                      <w:szCs w:val="21"/>
                    </w:rPr>
                    <w:t>C</w:t>
                  </w:r>
                  <w:r>
                    <w:rPr>
                      <w:spacing w:val="-5"/>
                      <w:sz w:val="21"/>
                      <w:szCs w:val="21"/>
                    </w:rPr>
                    <w:t>，储存条件</w:t>
                  </w:r>
                  <w:r>
                    <w:rPr>
                      <w:spacing w:val="-48"/>
                      <w:sz w:val="21"/>
                      <w:szCs w:val="21"/>
                    </w:rPr>
                    <w:t xml:space="preserve"> </w:t>
                  </w:r>
                  <w:r>
                    <w:rPr>
                      <w:rFonts w:ascii="Times New Roman" w:hAnsi="Times New Roman" w:eastAsia="Times New Roman" w:cs="Times New Roman"/>
                      <w:spacing w:val="-5"/>
                      <w:sz w:val="21"/>
                      <w:szCs w:val="21"/>
                    </w:rPr>
                    <w:t>2-8</w:t>
                  </w:r>
                  <w:r>
                    <w:rPr>
                      <w:rFonts w:ascii="Times New Roman" w:hAnsi="Times New Roman" w:eastAsia="Times New Roman" w:cs="Times New Roman"/>
                      <w:spacing w:val="-25"/>
                      <w:sz w:val="21"/>
                      <w:szCs w:val="21"/>
                    </w:rPr>
                    <w:t xml:space="preserve"> </w:t>
                  </w:r>
                  <w:r>
                    <w:rPr>
                      <w:spacing w:val="-5"/>
                      <w:sz w:val="21"/>
                      <w:szCs w:val="21"/>
                    </w:rPr>
                    <w:t>°</w:t>
                  </w:r>
                  <w:r>
                    <w:rPr>
                      <w:rFonts w:ascii="Times New Roman" w:hAnsi="Times New Roman" w:eastAsia="Times New Roman" w:cs="Times New Roman"/>
                      <w:spacing w:val="-5"/>
                      <w:sz w:val="21"/>
                      <w:szCs w:val="21"/>
                    </w:rPr>
                    <w:t>C</w:t>
                  </w:r>
                  <w:r>
                    <w:rPr>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0" w:type="dxa"/>
                  <w:vAlign w:val="top"/>
                </w:tcPr>
                <w:p>
                  <w:pPr>
                    <w:spacing w:before="208"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15</w:t>
                  </w:r>
                </w:p>
              </w:tc>
              <w:tc>
                <w:tcPr>
                  <w:tcW w:w="1317" w:type="dxa"/>
                  <w:vAlign w:val="top"/>
                </w:tcPr>
                <w:p>
                  <w:pPr>
                    <w:pStyle w:val="6"/>
                    <w:spacing w:before="32" w:line="241" w:lineRule="auto"/>
                    <w:ind w:left="350"/>
                    <w:rPr>
                      <w:sz w:val="21"/>
                      <w:szCs w:val="21"/>
                    </w:rPr>
                  </w:pPr>
                  <w:r>
                    <w:rPr>
                      <w:spacing w:val="-2"/>
                      <w:sz w:val="21"/>
                      <w:szCs w:val="21"/>
                    </w:rPr>
                    <w:t>氧化钙</w:t>
                  </w:r>
                </w:p>
                <w:p>
                  <w:pPr>
                    <w:pStyle w:val="6"/>
                    <w:spacing w:line="204" w:lineRule="auto"/>
                    <w:ind w:left="269"/>
                    <w:rPr>
                      <w:sz w:val="21"/>
                      <w:szCs w:val="21"/>
                    </w:rPr>
                  </w:pPr>
                  <w:r>
                    <w:rPr>
                      <w:spacing w:val="-3"/>
                      <w:sz w:val="21"/>
                      <w:szCs w:val="21"/>
                    </w:rPr>
                    <w:t>（</w:t>
                  </w:r>
                  <w:r>
                    <w:rPr>
                      <w:rFonts w:ascii="Times New Roman" w:hAnsi="Times New Roman" w:eastAsia="Times New Roman" w:cs="Times New Roman"/>
                      <w:spacing w:val="-3"/>
                      <w:sz w:val="21"/>
                      <w:szCs w:val="21"/>
                    </w:rPr>
                    <w:t>CaO</w:t>
                  </w:r>
                  <w:r>
                    <w:rPr>
                      <w:spacing w:val="-3"/>
                      <w:sz w:val="21"/>
                      <w:szCs w:val="21"/>
                    </w:rPr>
                    <w:t>）</w:t>
                  </w:r>
                </w:p>
              </w:tc>
              <w:tc>
                <w:tcPr>
                  <w:tcW w:w="6715" w:type="dxa"/>
                  <w:vAlign w:val="top"/>
                </w:tcPr>
                <w:p>
                  <w:pPr>
                    <w:pStyle w:val="6"/>
                    <w:spacing w:before="33" w:line="213" w:lineRule="auto"/>
                    <w:jc w:val="right"/>
                    <w:rPr>
                      <w:sz w:val="21"/>
                      <w:szCs w:val="21"/>
                    </w:rPr>
                  </w:pPr>
                  <w:r>
                    <w:rPr>
                      <w:spacing w:val="-9"/>
                      <w:sz w:val="21"/>
                      <w:szCs w:val="21"/>
                    </w:rPr>
                    <w:t>是一种无机化合物，白色粉末，俗名生石灰。密度</w:t>
                  </w:r>
                  <w:r>
                    <w:rPr>
                      <w:spacing w:val="-41"/>
                      <w:sz w:val="21"/>
                      <w:szCs w:val="21"/>
                    </w:rPr>
                    <w:t xml:space="preserve"> </w:t>
                  </w:r>
                  <w:r>
                    <w:rPr>
                      <w:rFonts w:ascii="Times New Roman" w:hAnsi="Times New Roman" w:eastAsia="Times New Roman" w:cs="Times New Roman"/>
                      <w:spacing w:val="-9"/>
                      <w:sz w:val="21"/>
                      <w:szCs w:val="21"/>
                    </w:rPr>
                    <w:t>3.</w:t>
                  </w:r>
                  <w:r>
                    <w:rPr>
                      <w:rFonts w:ascii="Times New Roman" w:hAnsi="Times New Roman" w:eastAsia="Times New Roman" w:cs="Times New Roman"/>
                      <w:spacing w:val="-10"/>
                      <w:sz w:val="21"/>
                      <w:szCs w:val="21"/>
                    </w:rPr>
                    <w:t>350g/cm</w:t>
                  </w:r>
                  <w:r>
                    <w:rPr>
                      <w:rFonts w:ascii="Times New Roman" w:hAnsi="Times New Roman" w:eastAsia="Times New Roman" w:cs="Times New Roman"/>
                      <w:spacing w:val="3"/>
                      <w:position w:val="6"/>
                      <w:sz w:val="13"/>
                      <w:szCs w:val="13"/>
                    </w:rPr>
                    <w:t>3</w:t>
                  </w:r>
                  <w:r>
                    <w:rPr>
                      <w:spacing w:val="-18"/>
                      <w:sz w:val="21"/>
                      <w:szCs w:val="21"/>
                    </w:rPr>
                    <w:t>，熔点</w:t>
                  </w:r>
                  <w:r>
                    <w:rPr>
                      <w:spacing w:val="-50"/>
                      <w:sz w:val="21"/>
                      <w:szCs w:val="21"/>
                    </w:rPr>
                    <w:t xml:space="preserve"> </w:t>
                  </w:r>
                  <w:r>
                    <w:rPr>
                      <w:rFonts w:ascii="Times New Roman" w:hAnsi="Times New Roman" w:eastAsia="Times New Roman" w:cs="Times New Roman"/>
                      <w:spacing w:val="-18"/>
                      <w:sz w:val="21"/>
                      <w:szCs w:val="21"/>
                    </w:rPr>
                    <w:t>2572℃</w:t>
                  </w:r>
                  <w:r>
                    <w:rPr>
                      <w:rFonts w:ascii="Times New Roman" w:hAnsi="Times New Roman" w:eastAsia="Times New Roman" w:cs="Times New Roman"/>
                      <w:spacing w:val="-27"/>
                      <w:sz w:val="21"/>
                      <w:szCs w:val="21"/>
                    </w:rPr>
                    <w:t xml:space="preserve"> </w:t>
                  </w:r>
                  <w:r>
                    <w:rPr>
                      <w:spacing w:val="-18"/>
                      <w:sz w:val="21"/>
                      <w:szCs w:val="21"/>
                    </w:rPr>
                    <w:t>,</w:t>
                  </w:r>
                </w:p>
                <w:p>
                  <w:pPr>
                    <w:pStyle w:val="6"/>
                    <w:spacing w:before="31" w:line="204" w:lineRule="auto"/>
                    <w:ind w:left="471"/>
                    <w:rPr>
                      <w:sz w:val="21"/>
                      <w:szCs w:val="21"/>
                    </w:rPr>
                  </w:pPr>
                  <w:r>
                    <w:rPr>
                      <w:spacing w:val="-1"/>
                      <w:sz w:val="21"/>
                      <w:szCs w:val="21"/>
                    </w:rPr>
                    <w:t>沸点</w:t>
                  </w:r>
                  <w:r>
                    <w:rPr>
                      <w:spacing w:val="-44"/>
                      <w:sz w:val="21"/>
                      <w:szCs w:val="21"/>
                    </w:rPr>
                    <w:t xml:space="preserve"> </w:t>
                  </w:r>
                  <w:r>
                    <w:rPr>
                      <w:rFonts w:ascii="Times New Roman" w:hAnsi="Times New Roman" w:eastAsia="Times New Roman" w:cs="Times New Roman"/>
                      <w:spacing w:val="-1"/>
                      <w:sz w:val="21"/>
                      <w:szCs w:val="21"/>
                    </w:rPr>
                    <w:t>2850 ℃</w:t>
                  </w:r>
                  <w:r>
                    <w:rPr>
                      <w:spacing w:val="-1"/>
                      <w:sz w:val="21"/>
                      <w:szCs w:val="21"/>
                    </w:rPr>
                    <w:t>。与水反应，生成微溶的氢氧化钙，具有吸湿性。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580" w:type="dxa"/>
                  <w:vAlign w:val="top"/>
                </w:tcPr>
                <w:p>
                  <w:pPr>
                    <w:spacing w:line="276" w:lineRule="auto"/>
                    <w:rPr>
                      <w:rFonts w:ascii="Arial"/>
                      <w:sz w:val="21"/>
                    </w:rPr>
                  </w:pPr>
                </w:p>
                <w:p>
                  <w:pPr>
                    <w:spacing w:line="277" w:lineRule="auto"/>
                    <w:rPr>
                      <w:rFonts w:ascii="Arial"/>
                      <w:sz w:val="21"/>
                    </w:rPr>
                  </w:pPr>
                </w:p>
                <w:p>
                  <w:pPr>
                    <w:spacing w:before="60"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16</w:t>
                  </w:r>
                </w:p>
              </w:tc>
              <w:tc>
                <w:tcPr>
                  <w:tcW w:w="1317" w:type="dxa"/>
                  <w:vAlign w:val="top"/>
                </w:tcPr>
                <w:p>
                  <w:pPr>
                    <w:spacing w:line="276" w:lineRule="auto"/>
                    <w:rPr>
                      <w:rFonts w:ascii="Arial"/>
                      <w:sz w:val="21"/>
                    </w:rPr>
                  </w:pPr>
                </w:p>
                <w:p>
                  <w:pPr>
                    <w:spacing w:line="277" w:lineRule="auto"/>
                    <w:rPr>
                      <w:rFonts w:ascii="Arial"/>
                      <w:sz w:val="21"/>
                    </w:rPr>
                  </w:pPr>
                </w:p>
                <w:p>
                  <w:pPr>
                    <w:spacing w:before="60" w:line="187" w:lineRule="auto"/>
                    <w:ind w:left="44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PAM</w:t>
                  </w:r>
                </w:p>
              </w:tc>
              <w:tc>
                <w:tcPr>
                  <w:tcW w:w="6715" w:type="dxa"/>
                  <w:vAlign w:val="top"/>
                </w:tcPr>
                <w:p>
                  <w:pPr>
                    <w:pStyle w:val="6"/>
                    <w:spacing w:before="32" w:line="235" w:lineRule="auto"/>
                    <w:ind w:left="8" w:right="1" w:firstLine="9"/>
                    <w:rPr>
                      <w:sz w:val="21"/>
                      <w:szCs w:val="21"/>
                    </w:rPr>
                  </w:pPr>
                  <w:r>
                    <w:rPr>
                      <w:spacing w:val="-1"/>
                      <w:sz w:val="21"/>
                      <w:szCs w:val="21"/>
                    </w:rPr>
                    <w:t>聚丙烯酰胺，是一种线状的有机高分子聚合物，同时也是一种高分子水处</w:t>
                  </w:r>
                  <w:r>
                    <w:rPr>
                      <w:spacing w:val="1"/>
                      <w:sz w:val="21"/>
                      <w:szCs w:val="21"/>
                    </w:rPr>
                    <w:t xml:space="preserve"> </w:t>
                  </w:r>
                  <w:r>
                    <w:rPr>
                      <w:spacing w:val="-3"/>
                      <w:sz w:val="21"/>
                      <w:szCs w:val="21"/>
                    </w:rPr>
                    <w:t>理絮凝剂产品，</w:t>
                  </w:r>
                  <w:r>
                    <w:rPr>
                      <w:spacing w:val="-21"/>
                      <w:sz w:val="21"/>
                      <w:szCs w:val="21"/>
                    </w:rPr>
                    <w:t xml:space="preserve"> </w:t>
                  </w:r>
                  <w:r>
                    <w:rPr>
                      <w:spacing w:val="-3"/>
                      <w:sz w:val="21"/>
                      <w:szCs w:val="21"/>
                    </w:rPr>
                    <w:t>可以吸附水中的悬浮颗粒，在颗粒</w:t>
                  </w:r>
                  <w:r>
                    <w:rPr>
                      <w:spacing w:val="-4"/>
                      <w:sz w:val="21"/>
                      <w:szCs w:val="21"/>
                    </w:rPr>
                    <w:t>之间起链接架桥作用，</w:t>
                  </w:r>
                  <w:r>
                    <w:rPr>
                      <w:sz w:val="21"/>
                      <w:szCs w:val="21"/>
                    </w:rPr>
                    <w:t xml:space="preserve"> </w:t>
                  </w:r>
                  <w:r>
                    <w:rPr>
                      <w:spacing w:val="-6"/>
                      <w:sz w:val="21"/>
                      <w:szCs w:val="21"/>
                    </w:rPr>
                    <w:t>使细颗粒形成比较大的絮团，</w:t>
                  </w:r>
                  <w:r>
                    <w:rPr>
                      <w:spacing w:val="-11"/>
                      <w:sz w:val="21"/>
                      <w:szCs w:val="21"/>
                    </w:rPr>
                    <w:t xml:space="preserve"> </w:t>
                  </w:r>
                  <w:r>
                    <w:rPr>
                      <w:spacing w:val="-6"/>
                      <w:sz w:val="21"/>
                      <w:szCs w:val="21"/>
                    </w:rPr>
                    <w:t>并且加快了沉淀的速度，</w:t>
                  </w:r>
                  <w:r>
                    <w:rPr>
                      <w:spacing w:val="-29"/>
                      <w:sz w:val="21"/>
                      <w:szCs w:val="21"/>
                    </w:rPr>
                    <w:t xml:space="preserve"> </w:t>
                  </w:r>
                  <w:r>
                    <w:rPr>
                      <w:spacing w:val="-6"/>
                      <w:sz w:val="21"/>
                      <w:szCs w:val="21"/>
                    </w:rPr>
                    <w:t>这一过程称之为絮</w:t>
                  </w:r>
                  <w:r>
                    <w:rPr>
                      <w:sz w:val="21"/>
                      <w:szCs w:val="21"/>
                    </w:rPr>
                    <w:t xml:space="preserve"> </w:t>
                  </w:r>
                  <w:r>
                    <w:rPr>
                      <w:spacing w:val="-5"/>
                      <w:sz w:val="21"/>
                      <w:szCs w:val="21"/>
                    </w:rPr>
                    <w:t>凝，</w:t>
                  </w:r>
                  <w:r>
                    <w:rPr>
                      <w:spacing w:val="-44"/>
                      <w:sz w:val="21"/>
                      <w:szCs w:val="21"/>
                    </w:rPr>
                    <w:t xml:space="preserve"> </w:t>
                  </w:r>
                  <w:r>
                    <w:rPr>
                      <w:spacing w:val="-5"/>
                      <w:sz w:val="21"/>
                      <w:szCs w:val="21"/>
                    </w:rPr>
                    <w:t>因其中良好的絮凝效果，</w:t>
                  </w:r>
                  <w:r>
                    <w:rPr>
                      <w:rFonts w:ascii="Times New Roman" w:hAnsi="Times New Roman" w:eastAsia="Times New Roman" w:cs="Times New Roman"/>
                      <w:spacing w:val="-5"/>
                      <w:sz w:val="21"/>
                      <w:szCs w:val="21"/>
                    </w:rPr>
                    <w:t xml:space="preserve">PAM </w:t>
                  </w:r>
                  <w:r>
                    <w:rPr>
                      <w:spacing w:val="-5"/>
                      <w:sz w:val="21"/>
                      <w:szCs w:val="21"/>
                    </w:rPr>
                    <w:t>作为水处理的絮凝剂并且被广泛用于污</w:t>
                  </w:r>
                </w:p>
                <w:p>
                  <w:pPr>
                    <w:pStyle w:val="6"/>
                    <w:spacing w:before="20" w:line="206" w:lineRule="auto"/>
                    <w:ind w:left="2943"/>
                    <w:rPr>
                      <w:sz w:val="21"/>
                      <w:szCs w:val="21"/>
                    </w:rPr>
                  </w:pPr>
                  <w:r>
                    <w:rPr>
                      <w:spacing w:val="-2"/>
                      <w:sz w:val="21"/>
                      <w:szCs w:val="21"/>
                    </w:rPr>
                    <w:t>水处理。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580" w:type="dxa"/>
                  <w:vAlign w:val="top"/>
                </w:tcPr>
                <w:p>
                  <w:pPr>
                    <w:spacing w:line="418" w:lineRule="auto"/>
                    <w:rPr>
                      <w:rFonts w:ascii="Arial"/>
                      <w:sz w:val="21"/>
                    </w:rPr>
                  </w:pPr>
                </w:p>
                <w:p>
                  <w:pPr>
                    <w:spacing w:before="60"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17</w:t>
                  </w:r>
                </w:p>
              </w:tc>
              <w:tc>
                <w:tcPr>
                  <w:tcW w:w="1317" w:type="dxa"/>
                  <w:vAlign w:val="top"/>
                </w:tcPr>
                <w:p>
                  <w:pPr>
                    <w:spacing w:line="418" w:lineRule="auto"/>
                    <w:rPr>
                      <w:rFonts w:ascii="Arial"/>
                      <w:sz w:val="21"/>
                    </w:rPr>
                  </w:pPr>
                </w:p>
                <w:p>
                  <w:pPr>
                    <w:spacing w:before="60" w:line="187" w:lineRule="auto"/>
                    <w:ind w:left="464"/>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PAC</w:t>
                  </w:r>
                </w:p>
              </w:tc>
              <w:tc>
                <w:tcPr>
                  <w:tcW w:w="6715" w:type="dxa"/>
                  <w:vAlign w:val="top"/>
                </w:tcPr>
                <w:p>
                  <w:pPr>
                    <w:pStyle w:val="6"/>
                    <w:spacing w:before="34" w:line="234" w:lineRule="auto"/>
                    <w:ind w:left="223"/>
                    <w:rPr>
                      <w:sz w:val="21"/>
                      <w:szCs w:val="21"/>
                    </w:rPr>
                  </w:pPr>
                  <w:r>
                    <w:rPr>
                      <w:spacing w:val="-2"/>
                      <w:sz w:val="21"/>
                      <w:szCs w:val="21"/>
                    </w:rPr>
                    <w:t>聚合氯化铝，黄色片状、粒状或粉末状固体。</w:t>
                  </w:r>
                  <w:r>
                    <w:rPr>
                      <w:spacing w:val="-37"/>
                      <w:sz w:val="21"/>
                      <w:szCs w:val="21"/>
                    </w:rPr>
                    <w:t xml:space="preserve"> </w:t>
                  </w:r>
                  <w:r>
                    <w:rPr>
                      <w:rFonts w:ascii="Times New Roman" w:hAnsi="Times New Roman" w:eastAsia="Times New Roman" w:cs="Times New Roman"/>
                      <w:spacing w:val="-2"/>
                      <w:sz w:val="21"/>
                      <w:szCs w:val="21"/>
                    </w:rPr>
                    <w:t>Al</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1"/>
                      <w:szCs w:val="21"/>
                    </w:rPr>
                    <w:t>O</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9"/>
                      <w:w w:val="101"/>
                      <w:position w:val="-1"/>
                      <w:sz w:val="13"/>
                      <w:szCs w:val="13"/>
                    </w:rPr>
                    <w:t xml:space="preserve"> </w:t>
                  </w:r>
                  <w:r>
                    <w:rPr>
                      <w:spacing w:val="-3"/>
                      <w:sz w:val="21"/>
                      <w:szCs w:val="21"/>
                    </w:rPr>
                    <w:t>含量</w:t>
                  </w:r>
                  <w:r>
                    <w:rPr>
                      <w:rFonts w:ascii="Times New Roman" w:hAnsi="Times New Roman" w:eastAsia="Times New Roman" w:cs="Times New Roman"/>
                      <w:spacing w:val="-3"/>
                      <w:sz w:val="21"/>
                      <w:szCs w:val="21"/>
                    </w:rPr>
                    <w:t>≥30%</w:t>
                  </w:r>
                  <w:r>
                    <w:rPr>
                      <w:spacing w:val="-3"/>
                      <w:sz w:val="21"/>
                      <w:szCs w:val="21"/>
                    </w:rPr>
                    <w:t>；密度</w:t>
                  </w:r>
                </w:p>
                <w:p>
                  <w:pPr>
                    <w:pStyle w:val="6"/>
                    <w:spacing w:before="3" w:line="230" w:lineRule="auto"/>
                    <w:ind w:left="9" w:right="2" w:hanging="4"/>
                    <w:rPr>
                      <w:sz w:val="21"/>
                      <w:szCs w:val="21"/>
                    </w:rPr>
                  </w:pPr>
                  <w:r>
                    <w:rPr>
                      <w:rFonts w:ascii="Times New Roman" w:hAnsi="Times New Roman" w:eastAsia="Times New Roman" w:cs="Times New Roman"/>
                      <w:spacing w:val="-1"/>
                      <w:sz w:val="21"/>
                      <w:szCs w:val="21"/>
                    </w:rPr>
                    <w:t>2.44g/cm</w:t>
                  </w:r>
                  <w:r>
                    <w:rPr>
                      <w:rFonts w:ascii="Times New Roman" w:hAnsi="Times New Roman" w:eastAsia="Times New Roman" w:cs="Times New Roman"/>
                      <w:spacing w:val="-1"/>
                      <w:position w:val="6"/>
                      <w:sz w:val="13"/>
                      <w:szCs w:val="13"/>
                    </w:rPr>
                    <w:t>3</w:t>
                  </w:r>
                  <w:r>
                    <w:rPr>
                      <w:spacing w:val="-1"/>
                      <w:sz w:val="21"/>
                      <w:szCs w:val="21"/>
                    </w:rPr>
                    <w:t>；主要用途是絮凝剂，主要用于净化饮用水还用于给水的特殊水</w:t>
                  </w:r>
                  <w:r>
                    <w:rPr>
                      <w:spacing w:val="3"/>
                      <w:sz w:val="21"/>
                      <w:szCs w:val="21"/>
                    </w:rPr>
                    <w:t xml:space="preserve"> </w:t>
                  </w:r>
                  <w:r>
                    <w:rPr>
                      <w:spacing w:val="-1"/>
                      <w:sz w:val="21"/>
                      <w:szCs w:val="21"/>
                    </w:rPr>
                    <w:t>质处理、除铁、除镉、除氟、除放射性污染、除浮油等。也用于工业废水</w:t>
                  </w:r>
                  <w:r>
                    <w:rPr>
                      <w:spacing w:val="8"/>
                      <w:sz w:val="21"/>
                      <w:szCs w:val="21"/>
                    </w:rPr>
                    <w:t xml:space="preserve"> </w:t>
                  </w:r>
                  <w:r>
                    <w:rPr>
                      <w:spacing w:val="-4"/>
                      <w:sz w:val="21"/>
                      <w:szCs w:val="21"/>
                    </w:rPr>
                    <w:t>处理， 如印染废水等，在铸造、造纸、医药、制革等方</w:t>
                  </w:r>
                  <w:r>
                    <w:rPr>
                      <w:spacing w:val="-5"/>
                      <w:sz w:val="21"/>
                      <w:szCs w:val="21"/>
                    </w:rPr>
                    <w:t>面也有广泛应用。</w:t>
                  </w:r>
                </w:p>
              </w:tc>
            </w:tr>
          </w:tbl>
          <w:p>
            <w:pPr>
              <w:pStyle w:val="6"/>
              <w:spacing w:before="226" w:line="220" w:lineRule="auto"/>
              <w:ind w:left="562"/>
              <w:rPr>
                <w:sz w:val="24"/>
                <w:szCs w:val="24"/>
              </w:rPr>
            </w:pPr>
            <w:r>
              <w:rPr>
                <w:rFonts w:ascii="Times New Roman" w:hAnsi="Times New Roman" w:eastAsia="Times New Roman" w:cs="Times New Roman"/>
                <w:b/>
                <w:bCs/>
                <w:spacing w:val="-3"/>
                <w:sz w:val="24"/>
                <w:szCs w:val="24"/>
              </w:rPr>
              <w:t>2.6</w:t>
            </w:r>
            <w:r>
              <w:rPr>
                <w:rFonts w:ascii="Times New Roman" w:hAnsi="Times New Roman" w:eastAsia="Times New Roman" w:cs="Times New Roman"/>
                <w:b/>
                <w:bCs/>
                <w:spacing w:val="18"/>
                <w:sz w:val="24"/>
                <w:szCs w:val="24"/>
              </w:rPr>
              <w:t xml:space="preserve"> </w:t>
            </w:r>
            <w:r>
              <w:rPr>
                <w:spacing w:val="-3"/>
                <w:sz w:val="24"/>
                <w:szCs w:val="24"/>
                <w14:textOutline w14:w="4354" w14:cap="flat" w14:cmpd="sng">
                  <w14:solidFill>
                    <w14:srgbClr w14:val="000000"/>
                  </w14:solidFill>
                  <w14:prstDash w14:val="solid"/>
                  <w14:miter w14:val="10"/>
                </w14:textOutline>
              </w:rPr>
              <w:t>公用工程</w:t>
            </w:r>
          </w:p>
          <w:p>
            <w:pPr>
              <w:pStyle w:val="6"/>
              <w:spacing w:before="193" w:line="219" w:lineRule="auto"/>
              <w:ind w:left="1052"/>
              <w:rPr>
                <w:sz w:val="24"/>
                <w:szCs w:val="24"/>
              </w:rPr>
            </w:pPr>
            <w:r>
              <w:rPr>
                <w:spacing w:val="-6"/>
                <w:sz w:val="24"/>
                <w:szCs w:val="24"/>
              </w:rPr>
              <w:t>（</w:t>
            </w:r>
            <w:r>
              <w:rPr>
                <w:rFonts w:ascii="Times New Roman" w:hAnsi="Times New Roman" w:eastAsia="Times New Roman" w:cs="Times New Roman"/>
                <w:spacing w:val="-6"/>
                <w:sz w:val="24"/>
                <w:szCs w:val="24"/>
              </w:rPr>
              <w:t>1</w:t>
            </w:r>
            <w:r>
              <w:rPr>
                <w:spacing w:val="-6"/>
                <w:sz w:val="24"/>
                <w:szCs w:val="24"/>
              </w:rPr>
              <w:t>）供电</w:t>
            </w:r>
          </w:p>
          <w:p>
            <w:pPr>
              <w:pStyle w:val="6"/>
              <w:spacing w:before="195" w:line="219" w:lineRule="auto"/>
              <w:ind w:left="1046"/>
              <w:rPr>
                <w:sz w:val="24"/>
                <w:szCs w:val="24"/>
              </w:rPr>
            </w:pPr>
            <w:r>
              <w:rPr>
                <w:spacing w:val="6"/>
                <w:sz w:val="24"/>
                <w:szCs w:val="24"/>
              </w:rPr>
              <w:t>本项目钻井工程钻机供电来源主要为网电，备用柴油发电机。网电采用周边</w:t>
            </w:r>
          </w:p>
        </w:tc>
      </w:tr>
    </w:tbl>
    <w:p>
      <w:pPr>
        <w:pStyle w:val="2"/>
        <w:rPr>
          <w:sz w:val="21"/>
        </w:rPr>
      </w:pPr>
    </w:p>
    <w:p>
      <w:pPr>
        <w:rPr>
          <w:sz w:val="21"/>
          <w:szCs w:val="21"/>
        </w:rPr>
        <w:sectPr>
          <w:footerReference r:id="rId42"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9"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480" w:lineRule="exact"/>
              <w:ind w:left="124"/>
              <w:rPr>
                <w:sz w:val="24"/>
                <w:szCs w:val="24"/>
              </w:rPr>
            </w:pPr>
            <w:r>
              <w:rPr>
                <w:rFonts w:ascii="Times New Roman" w:hAnsi="Times New Roman" w:eastAsia="Times New Roman" w:cs="Times New Roman"/>
                <w:spacing w:val="-4"/>
                <w:position w:val="18"/>
                <w:sz w:val="24"/>
                <w:szCs w:val="24"/>
              </w:rPr>
              <w:t>10kV</w:t>
            </w:r>
            <w:r>
              <w:rPr>
                <w:rFonts w:ascii="Times New Roman" w:hAnsi="Times New Roman" w:eastAsia="Times New Roman" w:cs="Times New Roman"/>
                <w:spacing w:val="15"/>
                <w:position w:val="18"/>
                <w:sz w:val="24"/>
                <w:szCs w:val="24"/>
              </w:rPr>
              <w:t xml:space="preserve"> </w:t>
            </w:r>
            <w:r>
              <w:rPr>
                <w:spacing w:val="-4"/>
                <w:position w:val="18"/>
                <w:sz w:val="24"/>
                <w:szCs w:val="24"/>
              </w:rPr>
              <w:t>高压电网供电。</w:t>
            </w:r>
          </w:p>
          <w:p>
            <w:pPr>
              <w:pStyle w:val="6"/>
              <w:spacing w:line="219" w:lineRule="auto"/>
              <w:ind w:left="592"/>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）给水工程</w:t>
            </w:r>
          </w:p>
          <w:p>
            <w:pPr>
              <w:pStyle w:val="6"/>
              <w:spacing w:before="194" w:line="480" w:lineRule="exact"/>
              <w:ind w:left="586"/>
              <w:rPr>
                <w:sz w:val="24"/>
                <w:szCs w:val="24"/>
              </w:rPr>
            </w:pPr>
            <w:r>
              <w:rPr>
                <w:spacing w:val="-6"/>
                <w:position w:val="18"/>
                <w:sz w:val="24"/>
                <w:szCs w:val="24"/>
              </w:rPr>
              <w:t>本项目用水包括作业用水和生活用水，</w:t>
            </w:r>
            <w:r>
              <w:rPr>
                <w:spacing w:val="55"/>
                <w:position w:val="18"/>
                <w:sz w:val="24"/>
                <w:szCs w:val="24"/>
              </w:rPr>
              <w:t xml:space="preserve"> </w:t>
            </w:r>
            <w:r>
              <w:rPr>
                <w:spacing w:val="-6"/>
                <w:position w:val="18"/>
                <w:sz w:val="24"/>
                <w:szCs w:val="24"/>
              </w:rPr>
              <w:t>生活用水从附近场镇购买桶装水，作业</w:t>
            </w:r>
          </w:p>
          <w:p>
            <w:pPr>
              <w:pStyle w:val="6"/>
              <w:spacing w:line="219" w:lineRule="auto"/>
              <w:ind w:left="107"/>
              <w:rPr>
                <w:sz w:val="24"/>
                <w:szCs w:val="24"/>
              </w:rPr>
            </w:pPr>
            <w:r>
              <w:rPr>
                <w:spacing w:val="-1"/>
                <w:sz w:val="24"/>
                <w:szCs w:val="24"/>
              </w:rPr>
              <w:t>用水由罐车从当地自来水厂拉运至井场水罐储存。</w:t>
            </w:r>
          </w:p>
          <w:p>
            <w:pPr>
              <w:pStyle w:val="6"/>
              <w:spacing w:before="194" w:line="220" w:lineRule="auto"/>
              <w:ind w:left="592"/>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）排水工程</w:t>
            </w:r>
          </w:p>
          <w:p>
            <w:pPr>
              <w:pStyle w:val="6"/>
              <w:spacing w:before="194" w:line="219" w:lineRule="auto"/>
              <w:ind w:left="585"/>
              <w:rPr>
                <w:sz w:val="24"/>
                <w:szCs w:val="24"/>
              </w:rPr>
            </w:pPr>
            <w:r>
              <w:rPr>
                <w:spacing w:val="-3"/>
                <w:sz w:val="24"/>
                <w:szCs w:val="24"/>
              </w:rPr>
              <w:t>井场采用清污分流、雨污分流制。</w:t>
            </w:r>
          </w:p>
          <w:p>
            <w:pPr>
              <w:pStyle w:val="6"/>
              <w:spacing w:before="196" w:line="233" w:lineRule="auto"/>
              <w:ind w:left="584"/>
              <w:rPr>
                <w:sz w:val="24"/>
                <w:szCs w:val="24"/>
              </w:rPr>
            </w:pPr>
            <w:r>
              <w:rPr>
                <w:spacing w:val="-3"/>
                <w:sz w:val="24"/>
                <w:szCs w:val="24"/>
              </w:rPr>
              <w:t>场外排水沟</w:t>
            </w:r>
            <w:r>
              <w:rPr>
                <w:spacing w:val="-18"/>
                <w:sz w:val="24"/>
                <w:szCs w:val="24"/>
              </w:rPr>
              <w:t xml:space="preserve"> </w:t>
            </w:r>
            <w:r>
              <w:rPr>
                <w:rFonts w:ascii="Times New Roman" w:hAnsi="Times New Roman" w:eastAsia="Times New Roman" w:cs="Times New Roman"/>
                <w:spacing w:val="-3"/>
                <w:sz w:val="24"/>
                <w:szCs w:val="24"/>
              </w:rPr>
              <w:t>140m</w:t>
            </w:r>
            <w:r>
              <w:rPr>
                <w:spacing w:val="-3"/>
                <w:sz w:val="24"/>
                <w:szCs w:val="24"/>
              </w:rPr>
              <w:t>，场外雨水通过场外排水沟排入自然水系。</w:t>
            </w:r>
          </w:p>
          <w:p>
            <w:pPr>
              <w:pStyle w:val="6"/>
              <w:spacing w:before="179" w:line="369" w:lineRule="auto"/>
              <w:ind w:left="105" w:right="99" w:firstLine="479"/>
              <w:rPr>
                <w:sz w:val="24"/>
                <w:szCs w:val="24"/>
              </w:rPr>
            </w:pPr>
            <w:r>
              <w:rPr>
                <w:spacing w:val="-5"/>
                <w:sz w:val="24"/>
                <w:szCs w:val="24"/>
              </w:rPr>
              <w:t>场内清水沟规格为</w:t>
            </w:r>
            <w:r>
              <w:rPr>
                <w:spacing w:val="-37"/>
                <w:sz w:val="24"/>
                <w:szCs w:val="24"/>
              </w:rPr>
              <w:t xml:space="preserve"> </w:t>
            </w:r>
            <w:r>
              <w:rPr>
                <w:rFonts w:ascii="Times New Roman" w:hAnsi="Times New Roman" w:eastAsia="Times New Roman" w:cs="Times New Roman"/>
                <w:spacing w:val="-5"/>
                <w:sz w:val="24"/>
                <w:szCs w:val="24"/>
              </w:rPr>
              <w:t>400mm</w:t>
            </w:r>
            <w:r>
              <w:rPr>
                <w:rFonts w:ascii="Times New Roman" w:hAnsi="Times New Roman" w:eastAsia="Times New Roman" w:cs="Times New Roman"/>
                <w:spacing w:val="22"/>
                <w:w w:val="101"/>
                <w:sz w:val="24"/>
                <w:szCs w:val="24"/>
              </w:rPr>
              <w:t xml:space="preserve"> </w:t>
            </w:r>
            <w:r>
              <w:rPr>
                <w:spacing w:val="-5"/>
                <w:sz w:val="24"/>
                <w:szCs w:val="24"/>
              </w:rPr>
              <w:t>宽</w:t>
            </w:r>
            <w:r>
              <w:rPr>
                <w:rFonts w:ascii="Times New Roman" w:hAnsi="Times New Roman" w:eastAsia="Times New Roman" w:cs="Times New Roman"/>
                <w:spacing w:val="-5"/>
                <w:sz w:val="24"/>
                <w:szCs w:val="24"/>
              </w:rPr>
              <w:t xml:space="preserve">×300mm </w:t>
            </w:r>
            <w:r>
              <w:rPr>
                <w:spacing w:val="-5"/>
                <w:sz w:val="24"/>
                <w:szCs w:val="24"/>
              </w:rPr>
              <w:t>深，</w:t>
            </w:r>
            <w:r>
              <w:rPr>
                <w:spacing w:val="-27"/>
                <w:sz w:val="24"/>
                <w:szCs w:val="24"/>
              </w:rPr>
              <w:t xml:space="preserve"> </w:t>
            </w:r>
            <w:r>
              <w:rPr>
                <w:spacing w:val="-5"/>
                <w:sz w:val="24"/>
                <w:szCs w:val="24"/>
              </w:rPr>
              <w:t>总长</w:t>
            </w:r>
            <w:r>
              <w:rPr>
                <w:spacing w:val="-50"/>
                <w:sz w:val="24"/>
                <w:szCs w:val="24"/>
              </w:rPr>
              <w:t xml:space="preserve"> </w:t>
            </w:r>
            <w:r>
              <w:rPr>
                <w:rFonts w:ascii="Times New Roman" w:hAnsi="Times New Roman" w:eastAsia="Times New Roman" w:cs="Times New Roman"/>
                <w:spacing w:val="-5"/>
                <w:sz w:val="24"/>
                <w:szCs w:val="24"/>
              </w:rPr>
              <w:t>312m</w:t>
            </w:r>
            <w:r>
              <w:rPr>
                <w:rFonts w:ascii="Times New Roman" w:hAnsi="Times New Roman" w:eastAsia="Times New Roman" w:cs="Times New Roman"/>
                <w:spacing w:val="-30"/>
                <w:sz w:val="24"/>
                <w:szCs w:val="24"/>
              </w:rPr>
              <w:t xml:space="preserve"> </w:t>
            </w:r>
            <w:r>
              <w:rPr>
                <w:spacing w:val="-5"/>
                <w:sz w:val="24"/>
                <w:szCs w:val="24"/>
              </w:rPr>
              <w:t>，不设置流水坡度。场内</w:t>
            </w:r>
            <w:r>
              <w:rPr>
                <w:sz w:val="24"/>
                <w:szCs w:val="24"/>
              </w:rPr>
              <w:t xml:space="preserve"> </w:t>
            </w:r>
            <w:r>
              <w:rPr>
                <w:spacing w:val="-3"/>
                <w:sz w:val="24"/>
                <w:szCs w:val="24"/>
              </w:rPr>
              <w:t>排水沟及隔油池，</w:t>
            </w:r>
            <w:r>
              <w:rPr>
                <w:spacing w:val="-30"/>
                <w:sz w:val="24"/>
                <w:szCs w:val="24"/>
              </w:rPr>
              <w:t xml:space="preserve"> </w:t>
            </w:r>
            <w:r>
              <w:rPr>
                <w:spacing w:val="-3"/>
                <w:sz w:val="24"/>
                <w:szCs w:val="24"/>
              </w:rPr>
              <w:t>实现井场范围内清水与污水分流</w:t>
            </w:r>
            <w:r>
              <w:rPr>
                <w:spacing w:val="-4"/>
                <w:sz w:val="24"/>
                <w:szCs w:val="24"/>
              </w:rPr>
              <w:t>。井场内产污区和清洁生产操作</w:t>
            </w:r>
            <w:r>
              <w:rPr>
                <w:sz w:val="24"/>
                <w:szCs w:val="24"/>
              </w:rPr>
              <w:t xml:space="preserve"> </w:t>
            </w:r>
            <w:r>
              <w:rPr>
                <w:spacing w:val="-10"/>
                <w:sz w:val="24"/>
                <w:szCs w:val="24"/>
              </w:rPr>
              <w:t>平台设置挡水墙与井场清洁区分隔，</w:t>
            </w:r>
            <w:r>
              <w:rPr>
                <w:spacing w:val="51"/>
                <w:sz w:val="24"/>
                <w:szCs w:val="24"/>
              </w:rPr>
              <w:t xml:space="preserve"> </w:t>
            </w:r>
            <w:r>
              <w:rPr>
                <w:spacing w:val="-10"/>
                <w:sz w:val="24"/>
                <w:szCs w:val="24"/>
              </w:rPr>
              <w:t>产污区的废</w:t>
            </w:r>
            <w:r>
              <w:rPr>
                <w:spacing w:val="-11"/>
                <w:sz w:val="24"/>
                <w:szCs w:val="24"/>
              </w:rPr>
              <w:t>水经污水截流沟进入隔油池，</w:t>
            </w:r>
            <w:r>
              <w:rPr>
                <w:spacing w:val="51"/>
                <w:sz w:val="24"/>
                <w:szCs w:val="24"/>
              </w:rPr>
              <w:t xml:space="preserve"> </w:t>
            </w:r>
            <w:r>
              <w:rPr>
                <w:spacing w:val="-11"/>
                <w:sz w:val="24"/>
                <w:szCs w:val="24"/>
              </w:rPr>
              <w:t>通过</w:t>
            </w:r>
            <w:r>
              <w:rPr>
                <w:sz w:val="24"/>
                <w:szCs w:val="24"/>
              </w:rPr>
              <w:t xml:space="preserve"> </w:t>
            </w:r>
            <w:r>
              <w:rPr>
                <w:spacing w:val="-1"/>
                <w:sz w:val="24"/>
                <w:szCs w:val="24"/>
              </w:rPr>
              <w:t>集水坑泵入清洁生产操作平台废水罐处理回用。井场清洁区雨水通过排水沟和隔油</w:t>
            </w:r>
            <w:r>
              <w:rPr>
                <w:spacing w:val="3"/>
                <w:sz w:val="24"/>
                <w:szCs w:val="24"/>
              </w:rPr>
              <w:t xml:space="preserve"> </w:t>
            </w:r>
            <w:r>
              <w:rPr>
                <w:spacing w:val="-2"/>
                <w:sz w:val="24"/>
                <w:szCs w:val="24"/>
              </w:rPr>
              <w:t>池处理后排入自然水体。油罐区设置隔油池</w:t>
            </w:r>
            <w:r>
              <w:rPr>
                <w:spacing w:val="-18"/>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座处理排入自然水系。生活污水经旱</w:t>
            </w:r>
            <w:r>
              <w:rPr>
                <w:sz w:val="24"/>
                <w:szCs w:val="24"/>
              </w:rPr>
              <w:t xml:space="preserve"> </w:t>
            </w:r>
            <w:r>
              <w:rPr>
                <w:spacing w:val="-1"/>
                <w:sz w:val="24"/>
                <w:szCs w:val="24"/>
              </w:rPr>
              <w:t xml:space="preserve">厕收集后由罐车拉运至江陵镇污水处理厂处理后排放。厨房废水经 </w:t>
            </w:r>
            <w:r>
              <w:rPr>
                <w:rFonts w:ascii="Times New Roman" w:hAnsi="Times New Roman" w:eastAsia="Times New Roman" w:cs="Times New Roman"/>
                <w:spacing w:val="-1"/>
                <w:sz w:val="24"/>
                <w:szCs w:val="24"/>
              </w:rPr>
              <w:t>10m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0"/>
                <w:w w:val="102"/>
                <w:position w:val="9"/>
                <w:sz w:val="16"/>
                <w:szCs w:val="16"/>
              </w:rPr>
              <w:t xml:space="preserve">  </w:t>
            </w:r>
            <w:r>
              <w:rPr>
                <w:spacing w:val="-1"/>
                <w:sz w:val="24"/>
                <w:szCs w:val="24"/>
              </w:rPr>
              <w:t>隔油池处</w:t>
            </w:r>
          </w:p>
          <w:p>
            <w:pPr>
              <w:pStyle w:val="6"/>
              <w:spacing w:before="1" w:line="219" w:lineRule="auto"/>
              <w:ind w:left="108"/>
              <w:rPr>
                <w:sz w:val="24"/>
                <w:szCs w:val="24"/>
              </w:rPr>
            </w:pPr>
            <w:r>
              <w:rPr>
                <w:spacing w:val="-5"/>
                <w:sz w:val="24"/>
                <w:szCs w:val="24"/>
              </w:rPr>
              <w:t>理后同生活污水处置。</w:t>
            </w:r>
          </w:p>
          <w:p>
            <w:pPr>
              <w:pStyle w:val="6"/>
              <w:spacing w:before="195" w:line="220" w:lineRule="auto"/>
              <w:ind w:left="592"/>
              <w:rPr>
                <w:sz w:val="24"/>
                <w:szCs w:val="24"/>
              </w:rPr>
            </w:pPr>
            <w:r>
              <w:rPr>
                <w:spacing w:val="-4"/>
                <w:sz w:val="24"/>
                <w:szCs w:val="24"/>
              </w:rPr>
              <w:t>（</w:t>
            </w:r>
            <w:r>
              <w:rPr>
                <w:rFonts w:ascii="Times New Roman" w:hAnsi="Times New Roman" w:eastAsia="Times New Roman" w:cs="Times New Roman"/>
                <w:spacing w:val="-4"/>
                <w:sz w:val="24"/>
                <w:szCs w:val="24"/>
              </w:rPr>
              <w:t>4</w:t>
            </w:r>
            <w:r>
              <w:rPr>
                <w:spacing w:val="-4"/>
                <w:sz w:val="24"/>
                <w:szCs w:val="24"/>
              </w:rPr>
              <w:t>）拆迁、补偿</w:t>
            </w:r>
          </w:p>
          <w:p>
            <w:pPr>
              <w:pStyle w:val="6"/>
              <w:spacing w:before="194" w:line="480" w:lineRule="exact"/>
              <w:ind w:left="585"/>
              <w:rPr>
                <w:sz w:val="24"/>
                <w:szCs w:val="24"/>
              </w:rPr>
            </w:pPr>
            <w:r>
              <w:rPr>
                <w:spacing w:val="-10"/>
                <w:position w:val="18"/>
                <w:sz w:val="24"/>
                <w:szCs w:val="24"/>
              </w:rPr>
              <w:t>井口</w:t>
            </w:r>
            <w:r>
              <w:rPr>
                <w:spacing w:val="-50"/>
                <w:position w:val="18"/>
                <w:sz w:val="24"/>
                <w:szCs w:val="24"/>
              </w:rPr>
              <w:t xml:space="preserve"> </w:t>
            </w:r>
            <w:r>
              <w:rPr>
                <w:rFonts w:ascii="Times New Roman" w:hAnsi="Times New Roman" w:eastAsia="Times New Roman" w:cs="Times New Roman"/>
                <w:spacing w:val="-10"/>
                <w:position w:val="18"/>
                <w:sz w:val="24"/>
                <w:szCs w:val="24"/>
              </w:rPr>
              <w:t>75m</w:t>
            </w:r>
            <w:r>
              <w:rPr>
                <w:rFonts w:ascii="Times New Roman" w:hAnsi="Times New Roman" w:eastAsia="Times New Roman" w:cs="Times New Roman"/>
                <w:spacing w:val="16"/>
                <w:position w:val="18"/>
                <w:sz w:val="24"/>
                <w:szCs w:val="24"/>
              </w:rPr>
              <w:t xml:space="preserve"> </w:t>
            </w:r>
            <w:r>
              <w:rPr>
                <w:spacing w:val="-10"/>
                <w:position w:val="18"/>
                <w:sz w:val="24"/>
                <w:szCs w:val="24"/>
              </w:rPr>
              <w:t>范围内： 迁移</w:t>
            </w:r>
            <w:r>
              <w:rPr>
                <w:spacing w:val="-31"/>
                <w:position w:val="18"/>
                <w:sz w:val="24"/>
                <w:szCs w:val="24"/>
              </w:rPr>
              <w:t xml:space="preserve"> </w:t>
            </w:r>
            <w:r>
              <w:rPr>
                <w:rFonts w:ascii="Times New Roman" w:hAnsi="Times New Roman" w:eastAsia="Times New Roman" w:cs="Times New Roman"/>
                <w:spacing w:val="-10"/>
                <w:position w:val="18"/>
                <w:sz w:val="24"/>
                <w:szCs w:val="24"/>
              </w:rPr>
              <w:t xml:space="preserve">10KV </w:t>
            </w:r>
            <w:r>
              <w:rPr>
                <w:spacing w:val="-10"/>
                <w:position w:val="18"/>
                <w:sz w:val="24"/>
                <w:szCs w:val="24"/>
              </w:rPr>
              <w:t>输电线路</w:t>
            </w:r>
            <w:r>
              <w:rPr>
                <w:spacing w:val="-32"/>
                <w:position w:val="18"/>
                <w:sz w:val="24"/>
                <w:szCs w:val="24"/>
              </w:rPr>
              <w:t xml:space="preserve"> </w:t>
            </w:r>
            <w:r>
              <w:rPr>
                <w:rFonts w:ascii="Times New Roman" w:hAnsi="Times New Roman" w:eastAsia="Times New Roman" w:cs="Times New Roman"/>
                <w:spacing w:val="-10"/>
                <w:position w:val="18"/>
                <w:sz w:val="24"/>
                <w:szCs w:val="24"/>
              </w:rPr>
              <w:t>1km</w:t>
            </w:r>
            <w:r>
              <w:rPr>
                <w:spacing w:val="-10"/>
                <w:position w:val="18"/>
                <w:sz w:val="24"/>
                <w:szCs w:val="24"/>
              </w:rPr>
              <w:t>；迁</w:t>
            </w:r>
            <w:r>
              <w:rPr>
                <w:spacing w:val="-11"/>
                <w:position w:val="18"/>
                <w:sz w:val="24"/>
                <w:szCs w:val="24"/>
              </w:rPr>
              <w:t>通讯线</w:t>
            </w:r>
            <w:r>
              <w:rPr>
                <w:spacing w:val="-32"/>
                <w:position w:val="18"/>
                <w:sz w:val="24"/>
                <w:szCs w:val="24"/>
              </w:rPr>
              <w:t xml:space="preserve"> </w:t>
            </w:r>
            <w:r>
              <w:rPr>
                <w:rFonts w:ascii="Times New Roman" w:hAnsi="Times New Roman" w:eastAsia="Times New Roman" w:cs="Times New Roman"/>
                <w:spacing w:val="-11"/>
                <w:position w:val="18"/>
                <w:sz w:val="24"/>
                <w:szCs w:val="24"/>
              </w:rPr>
              <w:t>1</w:t>
            </w:r>
            <w:r>
              <w:rPr>
                <w:rFonts w:ascii="Times New Roman" w:hAnsi="Times New Roman" w:eastAsia="Times New Roman" w:cs="Times New Roman"/>
                <w:spacing w:val="12"/>
                <w:position w:val="18"/>
                <w:sz w:val="24"/>
                <w:szCs w:val="24"/>
              </w:rPr>
              <w:t xml:space="preserve"> </w:t>
            </w:r>
            <w:r>
              <w:rPr>
                <w:spacing w:val="-11"/>
                <w:position w:val="18"/>
                <w:sz w:val="24"/>
                <w:szCs w:val="24"/>
              </w:rPr>
              <w:t>组（共</w:t>
            </w:r>
            <w:r>
              <w:rPr>
                <w:spacing w:val="-38"/>
                <w:position w:val="18"/>
                <w:sz w:val="24"/>
                <w:szCs w:val="24"/>
              </w:rPr>
              <w:t xml:space="preserve"> </w:t>
            </w:r>
            <w:r>
              <w:rPr>
                <w:rFonts w:ascii="Times New Roman" w:hAnsi="Times New Roman" w:eastAsia="Times New Roman" w:cs="Times New Roman"/>
                <w:spacing w:val="-11"/>
                <w:position w:val="18"/>
                <w:sz w:val="24"/>
                <w:szCs w:val="24"/>
              </w:rPr>
              <w:t xml:space="preserve">5 </w:t>
            </w:r>
            <w:r>
              <w:rPr>
                <w:spacing w:val="-11"/>
                <w:position w:val="18"/>
                <w:sz w:val="24"/>
                <w:szCs w:val="24"/>
              </w:rPr>
              <w:t>根</w:t>
            </w:r>
            <w:r>
              <w:rPr>
                <w:spacing w:val="19"/>
                <w:position w:val="18"/>
                <w:sz w:val="24"/>
                <w:szCs w:val="24"/>
              </w:rPr>
              <w:t>），</w:t>
            </w:r>
            <w:r>
              <w:rPr>
                <w:spacing w:val="-11"/>
                <w:position w:val="18"/>
                <w:sz w:val="24"/>
                <w:szCs w:val="24"/>
              </w:rPr>
              <w:t>每组</w:t>
            </w:r>
          </w:p>
          <w:p>
            <w:pPr>
              <w:pStyle w:val="6"/>
              <w:spacing w:before="1" w:line="219" w:lineRule="auto"/>
              <w:ind w:left="106"/>
              <w:rPr>
                <w:sz w:val="24"/>
                <w:szCs w:val="24"/>
              </w:rPr>
            </w:pPr>
            <w:r>
              <w:rPr>
                <w:spacing w:val="-4"/>
                <w:sz w:val="24"/>
                <w:szCs w:val="24"/>
              </w:rPr>
              <w:t>新增线缆</w:t>
            </w:r>
            <w:r>
              <w:rPr>
                <w:spacing w:val="-30"/>
                <w:sz w:val="24"/>
                <w:szCs w:val="24"/>
              </w:rPr>
              <w:t xml:space="preserve"> </w:t>
            </w:r>
            <w:r>
              <w:rPr>
                <w:rFonts w:ascii="Times New Roman" w:hAnsi="Times New Roman" w:eastAsia="Times New Roman" w:cs="Times New Roman"/>
                <w:spacing w:val="-4"/>
                <w:sz w:val="24"/>
                <w:szCs w:val="24"/>
              </w:rPr>
              <w:t>1km</w:t>
            </w:r>
            <w:r>
              <w:rPr>
                <w:spacing w:val="-4"/>
                <w:sz w:val="24"/>
                <w:szCs w:val="24"/>
              </w:rPr>
              <w:t>，新增线杆</w:t>
            </w:r>
            <w:r>
              <w:rPr>
                <w:spacing w:val="-45"/>
                <w:sz w:val="24"/>
                <w:szCs w:val="24"/>
              </w:rPr>
              <w:t xml:space="preserve"> </w:t>
            </w:r>
            <w:r>
              <w:rPr>
                <w:rFonts w:ascii="Times New Roman" w:hAnsi="Times New Roman" w:eastAsia="Times New Roman" w:cs="Times New Roman"/>
                <w:spacing w:val="-4"/>
                <w:sz w:val="24"/>
                <w:szCs w:val="24"/>
              </w:rPr>
              <w:t xml:space="preserve">22 </w:t>
            </w:r>
            <w:r>
              <w:rPr>
                <w:spacing w:val="-4"/>
                <w:sz w:val="24"/>
                <w:szCs w:val="24"/>
              </w:rPr>
              <w:t>根。</w:t>
            </w:r>
          </w:p>
          <w:p>
            <w:pPr>
              <w:pStyle w:val="6"/>
              <w:spacing w:before="194" w:line="480" w:lineRule="exact"/>
              <w:ind w:left="587"/>
              <w:rPr>
                <w:rFonts w:ascii="Times New Roman" w:hAnsi="Times New Roman" w:eastAsia="Times New Roman" w:cs="Times New Roman"/>
                <w:sz w:val="24"/>
                <w:szCs w:val="24"/>
              </w:rPr>
            </w:pPr>
            <w:r>
              <w:rPr>
                <w:spacing w:val="-8"/>
                <w:position w:val="18"/>
                <w:sz w:val="24"/>
                <w:szCs w:val="24"/>
              </w:rPr>
              <w:t>主燃烧池周边</w:t>
            </w:r>
            <w:r>
              <w:rPr>
                <w:spacing w:val="-33"/>
                <w:position w:val="18"/>
                <w:sz w:val="24"/>
                <w:szCs w:val="24"/>
              </w:rPr>
              <w:t xml:space="preserve"> </w:t>
            </w:r>
            <w:r>
              <w:rPr>
                <w:rFonts w:ascii="Times New Roman" w:hAnsi="Times New Roman" w:eastAsia="Times New Roman" w:cs="Times New Roman"/>
                <w:spacing w:val="-8"/>
                <w:position w:val="18"/>
                <w:sz w:val="24"/>
                <w:szCs w:val="24"/>
              </w:rPr>
              <w:t>50m</w:t>
            </w:r>
            <w:r>
              <w:rPr>
                <w:rFonts w:ascii="Times New Roman" w:hAnsi="Times New Roman" w:eastAsia="Times New Roman" w:cs="Times New Roman"/>
                <w:spacing w:val="30"/>
                <w:position w:val="18"/>
                <w:sz w:val="24"/>
                <w:szCs w:val="24"/>
              </w:rPr>
              <w:t xml:space="preserve"> </w:t>
            </w:r>
            <w:r>
              <w:rPr>
                <w:spacing w:val="-8"/>
                <w:position w:val="18"/>
                <w:sz w:val="24"/>
                <w:szCs w:val="24"/>
              </w:rPr>
              <w:t>的树木需砍伐和地面农作物清除， 地面农作物面积共计</w:t>
            </w:r>
            <w:r>
              <w:rPr>
                <w:spacing w:val="-31"/>
                <w:position w:val="18"/>
                <w:sz w:val="24"/>
                <w:szCs w:val="24"/>
              </w:rPr>
              <w:t xml:space="preserve"> </w:t>
            </w:r>
            <w:r>
              <w:rPr>
                <w:rFonts w:ascii="Times New Roman" w:hAnsi="Times New Roman" w:eastAsia="Times New Roman" w:cs="Times New Roman"/>
                <w:spacing w:val="-8"/>
                <w:position w:val="18"/>
                <w:sz w:val="24"/>
                <w:szCs w:val="24"/>
              </w:rPr>
              <w:t>11.8</w:t>
            </w:r>
          </w:p>
          <w:p>
            <w:pPr>
              <w:pStyle w:val="6"/>
              <w:spacing w:before="1" w:line="219" w:lineRule="auto"/>
              <w:ind w:left="106"/>
              <w:rPr>
                <w:sz w:val="24"/>
                <w:szCs w:val="24"/>
              </w:rPr>
            </w:pPr>
            <w:r>
              <w:rPr>
                <w:spacing w:val="-2"/>
                <w:sz w:val="24"/>
                <w:szCs w:val="24"/>
              </w:rPr>
              <w:t>亩（其中李子林</w:t>
            </w:r>
            <w:r>
              <w:rPr>
                <w:spacing w:val="-46"/>
                <w:sz w:val="24"/>
                <w:szCs w:val="24"/>
              </w:rPr>
              <w:t xml:space="preserve"> </w:t>
            </w:r>
            <w:r>
              <w:rPr>
                <w:rFonts w:ascii="Times New Roman" w:hAnsi="Times New Roman" w:eastAsia="Times New Roman" w:cs="Times New Roman"/>
                <w:spacing w:val="-2"/>
                <w:sz w:val="24"/>
                <w:szCs w:val="24"/>
              </w:rPr>
              <w:t xml:space="preserve">2.9 </w:t>
            </w:r>
            <w:r>
              <w:rPr>
                <w:spacing w:val="-2"/>
                <w:sz w:val="24"/>
                <w:szCs w:val="24"/>
              </w:rPr>
              <w:t>亩，柏树林</w:t>
            </w:r>
            <w:r>
              <w:rPr>
                <w:spacing w:val="-55"/>
                <w:sz w:val="24"/>
                <w:szCs w:val="24"/>
              </w:rPr>
              <w:t xml:space="preserve"> </w:t>
            </w:r>
            <w:r>
              <w:rPr>
                <w:rFonts w:ascii="Times New Roman" w:hAnsi="Times New Roman" w:eastAsia="Times New Roman" w:cs="Times New Roman"/>
                <w:spacing w:val="-2"/>
                <w:sz w:val="24"/>
                <w:szCs w:val="24"/>
              </w:rPr>
              <w:t xml:space="preserve">4 </w:t>
            </w:r>
            <w:r>
              <w:rPr>
                <w:spacing w:val="-2"/>
                <w:sz w:val="24"/>
                <w:szCs w:val="24"/>
              </w:rPr>
              <w:t>亩），直径</w:t>
            </w:r>
            <w:r>
              <w:rPr>
                <w:spacing w:val="-32"/>
                <w:sz w:val="24"/>
                <w:szCs w:val="24"/>
              </w:rPr>
              <w:t xml:space="preserve"> </w:t>
            </w:r>
            <w:r>
              <w:rPr>
                <w:rFonts w:ascii="Times New Roman" w:hAnsi="Times New Roman" w:eastAsia="Times New Roman" w:cs="Times New Roman"/>
                <w:spacing w:val="-2"/>
                <w:sz w:val="24"/>
                <w:szCs w:val="24"/>
              </w:rPr>
              <w:t xml:space="preserve">10cm </w:t>
            </w:r>
            <w:r>
              <w:rPr>
                <w:spacing w:val="-2"/>
                <w:sz w:val="24"/>
                <w:szCs w:val="24"/>
              </w:rPr>
              <w:t>柏树</w:t>
            </w:r>
            <w:r>
              <w:rPr>
                <w:spacing w:val="-3"/>
                <w:sz w:val="24"/>
                <w:szCs w:val="24"/>
              </w:rPr>
              <w:t>计</w:t>
            </w:r>
            <w:r>
              <w:rPr>
                <w:spacing w:val="-49"/>
                <w:sz w:val="24"/>
                <w:szCs w:val="24"/>
              </w:rPr>
              <w:t xml:space="preserve"> </w:t>
            </w:r>
            <w:r>
              <w:rPr>
                <w:rFonts w:ascii="Times New Roman" w:hAnsi="Times New Roman" w:eastAsia="Times New Roman" w:cs="Times New Roman"/>
                <w:spacing w:val="-3"/>
                <w:sz w:val="24"/>
                <w:szCs w:val="24"/>
              </w:rPr>
              <w:t xml:space="preserve">540 </w:t>
            </w:r>
            <w:r>
              <w:rPr>
                <w:spacing w:val="-3"/>
                <w:sz w:val="24"/>
                <w:szCs w:val="24"/>
              </w:rPr>
              <w:t>棵。</w:t>
            </w:r>
          </w:p>
          <w:p>
            <w:pPr>
              <w:pStyle w:val="6"/>
              <w:spacing w:before="195" w:line="480" w:lineRule="exact"/>
              <w:ind w:left="590"/>
              <w:rPr>
                <w:sz w:val="24"/>
                <w:szCs w:val="24"/>
              </w:rPr>
            </w:pPr>
            <w:r>
              <w:rPr>
                <w:spacing w:val="-6"/>
                <w:position w:val="18"/>
                <w:sz w:val="24"/>
                <w:szCs w:val="24"/>
              </w:rPr>
              <w:t>副燃烧池周边</w:t>
            </w:r>
            <w:r>
              <w:rPr>
                <w:spacing w:val="-49"/>
                <w:position w:val="18"/>
                <w:sz w:val="24"/>
                <w:szCs w:val="24"/>
              </w:rPr>
              <w:t xml:space="preserve"> </w:t>
            </w:r>
            <w:r>
              <w:rPr>
                <w:rFonts w:ascii="Times New Roman" w:hAnsi="Times New Roman" w:eastAsia="Times New Roman" w:cs="Times New Roman"/>
                <w:spacing w:val="-6"/>
                <w:position w:val="18"/>
                <w:sz w:val="24"/>
                <w:szCs w:val="24"/>
              </w:rPr>
              <w:t>50m</w:t>
            </w:r>
            <w:r>
              <w:rPr>
                <w:rFonts w:ascii="Times New Roman" w:hAnsi="Times New Roman" w:eastAsia="Times New Roman" w:cs="Times New Roman"/>
                <w:spacing w:val="17"/>
                <w:position w:val="18"/>
                <w:sz w:val="24"/>
                <w:szCs w:val="24"/>
              </w:rPr>
              <w:t xml:space="preserve"> </w:t>
            </w:r>
            <w:r>
              <w:rPr>
                <w:spacing w:val="-6"/>
                <w:position w:val="18"/>
                <w:sz w:val="24"/>
                <w:szCs w:val="24"/>
              </w:rPr>
              <w:t>范围内树木需砍伐和地面农</w:t>
            </w:r>
            <w:r>
              <w:rPr>
                <w:spacing w:val="-7"/>
                <w:position w:val="18"/>
                <w:sz w:val="24"/>
                <w:szCs w:val="24"/>
              </w:rPr>
              <w:t>作物清除，</w:t>
            </w:r>
            <w:r>
              <w:rPr>
                <w:spacing w:val="-29"/>
                <w:position w:val="18"/>
                <w:sz w:val="24"/>
                <w:szCs w:val="24"/>
              </w:rPr>
              <w:t xml:space="preserve"> </w:t>
            </w:r>
            <w:r>
              <w:rPr>
                <w:spacing w:val="-7"/>
                <w:position w:val="18"/>
                <w:sz w:val="24"/>
                <w:szCs w:val="24"/>
              </w:rPr>
              <w:t>地面农作物面积共计</w:t>
            </w:r>
          </w:p>
          <w:p>
            <w:pPr>
              <w:pStyle w:val="6"/>
              <w:spacing w:line="219" w:lineRule="auto"/>
              <w:ind w:left="124"/>
              <w:rPr>
                <w:sz w:val="24"/>
                <w:szCs w:val="24"/>
              </w:rPr>
            </w:pPr>
            <w:r>
              <w:rPr>
                <w:rFonts w:ascii="Times New Roman" w:hAnsi="Times New Roman" w:eastAsia="Times New Roman" w:cs="Times New Roman"/>
                <w:spacing w:val="-4"/>
                <w:sz w:val="24"/>
                <w:szCs w:val="24"/>
              </w:rPr>
              <w:t xml:space="preserve">11.8 </w:t>
            </w:r>
            <w:r>
              <w:rPr>
                <w:spacing w:val="-4"/>
                <w:sz w:val="24"/>
                <w:szCs w:val="24"/>
              </w:rPr>
              <w:t>亩（其中李子林</w:t>
            </w:r>
            <w:r>
              <w:rPr>
                <w:spacing w:val="-49"/>
                <w:sz w:val="24"/>
                <w:szCs w:val="24"/>
              </w:rPr>
              <w:t xml:space="preserve"> </w:t>
            </w:r>
            <w:r>
              <w:rPr>
                <w:rFonts w:ascii="Times New Roman" w:hAnsi="Times New Roman" w:eastAsia="Times New Roman" w:cs="Times New Roman"/>
                <w:spacing w:val="-4"/>
                <w:sz w:val="24"/>
                <w:szCs w:val="24"/>
              </w:rPr>
              <w:t xml:space="preserve">7.3 </w:t>
            </w:r>
            <w:r>
              <w:rPr>
                <w:spacing w:val="-4"/>
                <w:sz w:val="24"/>
                <w:szCs w:val="24"/>
              </w:rPr>
              <w:t>亩</w:t>
            </w:r>
            <w:r>
              <w:rPr>
                <w:spacing w:val="5"/>
                <w:sz w:val="24"/>
                <w:szCs w:val="24"/>
              </w:rPr>
              <w:t>），</w:t>
            </w:r>
            <w:r>
              <w:rPr>
                <w:spacing w:val="-4"/>
                <w:sz w:val="24"/>
                <w:szCs w:val="24"/>
              </w:rPr>
              <w:t>直径</w:t>
            </w:r>
            <w:r>
              <w:rPr>
                <w:spacing w:val="-32"/>
                <w:sz w:val="24"/>
                <w:szCs w:val="24"/>
              </w:rPr>
              <w:t xml:space="preserve"> </w:t>
            </w:r>
            <w:r>
              <w:rPr>
                <w:rFonts w:ascii="Times New Roman" w:hAnsi="Times New Roman" w:eastAsia="Times New Roman" w:cs="Times New Roman"/>
                <w:spacing w:val="-4"/>
                <w:sz w:val="24"/>
                <w:szCs w:val="24"/>
              </w:rPr>
              <w:t xml:space="preserve">10cm </w:t>
            </w:r>
            <w:r>
              <w:rPr>
                <w:spacing w:val="-4"/>
                <w:sz w:val="24"/>
                <w:szCs w:val="24"/>
              </w:rPr>
              <w:t>杂树计</w:t>
            </w:r>
            <w:r>
              <w:rPr>
                <w:spacing w:val="-32"/>
                <w:sz w:val="24"/>
                <w:szCs w:val="24"/>
              </w:rPr>
              <w:t xml:space="preserve"> </w:t>
            </w:r>
            <w:r>
              <w:rPr>
                <w:rFonts w:ascii="Times New Roman" w:hAnsi="Times New Roman" w:eastAsia="Times New Roman" w:cs="Times New Roman"/>
                <w:spacing w:val="-4"/>
                <w:sz w:val="24"/>
                <w:szCs w:val="24"/>
              </w:rPr>
              <w:t xml:space="preserve">10 </w:t>
            </w:r>
            <w:r>
              <w:rPr>
                <w:spacing w:val="-4"/>
                <w:sz w:val="24"/>
                <w:szCs w:val="24"/>
              </w:rPr>
              <w:t>棵。</w:t>
            </w:r>
          </w:p>
          <w:p>
            <w:pPr>
              <w:pStyle w:val="6"/>
              <w:spacing w:before="243" w:line="220" w:lineRule="auto"/>
              <w:ind w:left="102"/>
              <w:rPr>
                <w:sz w:val="24"/>
                <w:szCs w:val="24"/>
              </w:rPr>
            </w:pPr>
            <w:r>
              <w:rPr>
                <w:rFonts w:ascii="Times New Roman" w:hAnsi="Times New Roman" w:eastAsia="Times New Roman" w:cs="Times New Roman"/>
                <w:b/>
                <w:bCs/>
                <w:sz w:val="24"/>
                <w:szCs w:val="24"/>
              </w:rPr>
              <w:t xml:space="preserve">2.7 </w:t>
            </w:r>
            <w:r>
              <w:rPr>
                <w:sz w:val="24"/>
                <w:szCs w:val="24"/>
                <w14:textOutline w14:w="4354" w14:cap="flat" w14:cmpd="sng">
                  <w14:solidFill>
                    <w14:srgbClr w14:val="000000"/>
                  </w14:solidFill>
                  <w14:prstDash w14:val="solid"/>
                  <w14:miter w14:val="10"/>
                </w14:textOutline>
              </w:rPr>
              <w:t>工程占地及土石方平衡</w:t>
            </w:r>
          </w:p>
          <w:p>
            <w:pPr>
              <w:pStyle w:val="6"/>
              <w:spacing w:before="228" w:line="220" w:lineRule="auto"/>
              <w:ind w:left="102"/>
              <w:rPr>
                <w:sz w:val="24"/>
                <w:szCs w:val="24"/>
              </w:rPr>
            </w:pPr>
            <w:r>
              <w:rPr>
                <w:rFonts w:ascii="Times New Roman" w:hAnsi="Times New Roman" w:eastAsia="Times New Roman" w:cs="Times New Roman"/>
                <w:b/>
                <w:bCs/>
                <w:spacing w:val="-1"/>
                <w:sz w:val="24"/>
                <w:szCs w:val="24"/>
              </w:rPr>
              <w:t xml:space="preserve">2.7.1 </w:t>
            </w:r>
            <w:r>
              <w:rPr>
                <w:spacing w:val="-1"/>
                <w:sz w:val="24"/>
                <w:szCs w:val="24"/>
                <w14:textOutline w14:w="4354" w14:cap="flat" w14:cmpd="sng">
                  <w14:solidFill>
                    <w14:srgbClr w14:val="000000"/>
                  </w14:solidFill>
                  <w14:prstDash w14:val="solid"/>
                  <w14:miter w14:val="10"/>
                </w14:textOutline>
              </w:rPr>
              <w:t>工程占地</w:t>
            </w:r>
          </w:p>
          <w:p>
            <w:pPr>
              <w:pStyle w:val="6"/>
              <w:spacing w:before="201" w:line="220" w:lineRule="auto"/>
              <w:ind w:left="592"/>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）项目占地情况</w:t>
            </w:r>
          </w:p>
          <w:p>
            <w:pPr>
              <w:pStyle w:val="6"/>
              <w:spacing w:before="195" w:line="369" w:lineRule="auto"/>
              <w:ind w:left="106" w:right="101" w:firstLine="480"/>
              <w:jc w:val="both"/>
              <w:rPr>
                <w:sz w:val="24"/>
                <w:szCs w:val="24"/>
              </w:rPr>
            </w:pPr>
            <w:r>
              <w:rPr>
                <w:spacing w:val="6"/>
                <w:sz w:val="24"/>
                <w:szCs w:val="24"/>
              </w:rPr>
              <w:t>本项目为勘探井钻井工程，若完井测试表明该井有良好天然气产能则井口安</w:t>
            </w:r>
            <w:r>
              <w:rPr>
                <w:spacing w:val="8"/>
                <w:sz w:val="24"/>
                <w:szCs w:val="24"/>
              </w:rPr>
              <w:t xml:space="preserve"> </w:t>
            </w:r>
            <w:r>
              <w:rPr>
                <w:spacing w:val="6"/>
                <w:sz w:val="24"/>
                <w:szCs w:val="24"/>
              </w:rPr>
              <w:t>装采气树后转为开发井交由中国石油其他部门另行立项</w:t>
            </w:r>
            <w:r>
              <w:rPr>
                <w:spacing w:val="5"/>
                <w:sz w:val="24"/>
                <w:szCs w:val="24"/>
              </w:rPr>
              <w:t>和开发利用（另行办理相</w:t>
            </w:r>
            <w:r>
              <w:rPr>
                <w:sz w:val="24"/>
                <w:szCs w:val="24"/>
              </w:rPr>
              <w:t xml:space="preserve"> </w:t>
            </w:r>
            <w:r>
              <w:rPr>
                <w:spacing w:val="-10"/>
                <w:sz w:val="24"/>
                <w:szCs w:val="24"/>
              </w:rPr>
              <w:t>应的环评手续，</w:t>
            </w:r>
            <w:r>
              <w:rPr>
                <w:spacing w:val="57"/>
                <w:sz w:val="24"/>
                <w:szCs w:val="24"/>
              </w:rPr>
              <w:t xml:space="preserve"> </w:t>
            </w:r>
            <w:r>
              <w:rPr>
                <w:spacing w:val="-10"/>
                <w:sz w:val="24"/>
                <w:szCs w:val="24"/>
              </w:rPr>
              <w:t>完善永久征地手续</w:t>
            </w:r>
            <w:r>
              <w:rPr>
                <w:spacing w:val="-15"/>
                <w:sz w:val="24"/>
                <w:szCs w:val="24"/>
              </w:rPr>
              <w:t>）</w:t>
            </w:r>
            <w:r>
              <w:rPr>
                <w:spacing w:val="39"/>
                <w:sz w:val="24"/>
                <w:szCs w:val="24"/>
              </w:rPr>
              <w:t xml:space="preserve"> </w:t>
            </w:r>
            <w:r>
              <w:rPr>
                <w:spacing w:val="-15"/>
                <w:sz w:val="24"/>
                <w:szCs w:val="24"/>
              </w:rPr>
              <w:t>；</w:t>
            </w:r>
            <w:r>
              <w:rPr>
                <w:spacing w:val="-10"/>
                <w:sz w:val="24"/>
                <w:szCs w:val="24"/>
              </w:rPr>
              <w:t>若该井不产油气或无工业开采价值则作封井</w:t>
            </w:r>
          </w:p>
          <w:p>
            <w:pPr>
              <w:pStyle w:val="6"/>
              <w:spacing w:before="1" w:line="219" w:lineRule="auto"/>
              <w:ind w:left="105"/>
              <w:rPr>
                <w:sz w:val="24"/>
                <w:szCs w:val="24"/>
              </w:rPr>
            </w:pPr>
            <w:r>
              <w:rPr>
                <w:spacing w:val="-8"/>
                <w:sz w:val="24"/>
                <w:szCs w:val="24"/>
              </w:rPr>
              <w:t>封场处理，并进行土地恢复，</w:t>
            </w:r>
            <w:r>
              <w:rPr>
                <w:spacing w:val="91"/>
                <w:sz w:val="24"/>
                <w:szCs w:val="24"/>
              </w:rPr>
              <w:t xml:space="preserve"> </w:t>
            </w:r>
            <w:r>
              <w:rPr>
                <w:spacing w:val="-8"/>
                <w:sz w:val="24"/>
                <w:szCs w:val="24"/>
              </w:rPr>
              <w:t>因此在钻井期间各类用地均为临时用地。</w:t>
            </w:r>
          </w:p>
        </w:tc>
      </w:tr>
    </w:tbl>
    <w:p>
      <w:pPr>
        <w:pStyle w:val="2"/>
        <w:rPr>
          <w:sz w:val="21"/>
        </w:rPr>
      </w:pPr>
    </w:p>
    <w:p>
      <w:pPr>
        <w:rPr>
          <w:sz w:val="21"/>
          <w:szCs w:val="21"/>
        </w:rPr>
        <w:sectPr>
          <w:footerReference r:id="rId43"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1"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8" w:right="104" w:firstLine="477"/>
              <w:jc w:val="both"/>
              <w:rPr>
                <w:sz w:val="24"/>
                <w:szCs w:val="24"/>
              </w:rPr>
            </w:pPr>
            <w:r>
              <w:rPr>
                <w:spacing w:val="-7"/>
                <w:sz w:val="24"/>
                <w:szCs w:val="24"/>
              </w:rPr>
              <w:t>根据达州市通川区</w:t>
            </w:r>
            <w:r>
              <w:rPr>
                <w:spacing w:val="-49"/>
                <w:sz w:val="24"/>
                <w:szCs w:val="24"/>
              </w:rPr>
              <w:t xml:space="preserve"> </w:t>
            </w:r>
            <w:r>
              <w:rPr>
                <w:rFonts w:ascii="Times New Roman" w:hAnsi="Times New Roman" w:eastAsia="Times New Roman" w:cs="Times New Roman"/>
                <w:spacing w:val="-7"/>
                <w:sz w:val="24"/>
                <w:szCs w:val="24"/>
              </w:rPr>
              <w:t xml:space="preserve">2022 </w:t>
            </w:r>
            <w:r>
              <w:rPr>
                <w:spacing w:val="-7"/>
                <w:sz w:val="24"/>
                <w:szCs w:val="24"/>
              </w:rPr>
              <w:t>年变更调查数据， 项目总占地面积</w:t>
            </w:r>
            <w:r>
              <w:rPr>
                <w:spacing w:val="-54"/>
                <w:sz w:val="24"/>
                <w:szCs w:val="24"/>
              </w:rPr>
              <w:t xml:space="preserve"> </w:t>
            </w:r>
            <w:r>
              <w:rPr>
                <w:rFonts w:ascii="Times New Roman" w:hAnsi="Times New Roman" w:eastAsia="Times New Roman" w:cs="Times New Roman"/>
                <w:spacing w:val="-7"/>
                <w:sz w:val="24"/>
                <w:szCs w:val="24"/>
              </w:rPr>
              <w:t>24261m</w:t>
            </w:r>
            <w:r>
              <w:rPr>
                <w:rFonts w:ascii="Times New Roman" w:hAnsi="Times New Roman" w:eastAsia="Times New Roman" w:cs="Times New Roman"/>
                <w:spacing w:val="-7"/>
                <w:position w:val="9"/>
                <w:sz w:val="16"/>
                <w:szCs w:val="16"/>
              </w:rPr>
              <w:t>2</w:t>
            </w:r>
            <w:r>
              <w:rPr>
                <w:rFonts w:ascii="Times New Roman" w:hAnsi="Times New Roman" w:eastAsia="Times New Roman" w:cs="Times New Roman"/>
                <w:spacing w:val="-12"/>
                <w:position w:val="9"/>
                <w:sz w:val="16"/>
                <w:szCs w:val="16"/>
              </w:rPr>
              <w:t xml:space="preserve"> </w:t>
            </w:r>
            <w:r>
              <w:rPr>
                <w:spacing w:val="-7"/>
                <w:sz w:val="24"/>
                <w:szCs w:val="24"/>
              </w:rPr>
              <w:t>，占地主要</w:t>
            </w:r>
            <w:r>
              <w:rPr>
                <w:sz w:val="24"/>
                <w:szCs w:val="24"/>
              </w:rPr>
              <w:t xml:space="preserve"> </w:t>
            </w:r>
            <w:r>
              <w:rPr>
                <w:spacing w:val="-1"/>
                <w:sz w:val="24"/>
                <w:szCs w:val="24"/>
              </w:rPr>
              <w:t>为旱地、水田、林地等。建设单位正在办理钻前工程临时用地、青苗及地上</w:t>
            </w:r>
            <w:r>
              <w:rPr>
                <w:spacing w:val="-2"/>
                <w:sz w:val="24"/>
                <w:szCs w:val="24"/>
              </w:rPr>
              <w:t>附着物</w:t>
            </w:r>
          </w:p>
          <w:p>
            <w:pPr>
              <w:pStyle w:val="6"/>
              <w:spacing w:before="1" w:line="218" w:lineRule="auto"/>
              <w:ind w:left="107"/>
              <w:rPr>
                <w:sz w:val="24"/>
                <w:szCs w:val="24"/>
              </w:rPr>
            </w:pPr>
            <w:r>
              <w:rPr>
                <w:spacing w:val="-3"/>
                <w:sz w:val="24"/>
                <w:szCs w:val="24"/>
              </w:rPr>
              <w:t>等补偿协议。本项目占地类型见下表。</w:t>
            </w:r>
          </w:p>
          <w:p>
            <w:pPr>
              <w:pStyle w:val="6"/>
              <w:spacing w:before="195" w:line="219" w:lineRule="auto"/>
              <w:ind w:left="2776"/>
              <w:rPr>
                <w:sz w:val="24"/>
                <w:szCs w:val="24"/>
              </w:rPr>
            </w:pPr>
            <w:r>
              <w:rPr>
                <w:spacing w:val="-1"/>
                <w:sz w:val="24"/>
                <w:szCs w:val="24"/>
                <w14:textOutline w14:w="4354" w14:cap="flat" w14:cmpd="sng">
                  <w14:solidFill>
                    <w14:srgbClr w14:val="000000"/>
                  </w14:solidFill>
                  <w14:prstDash w14:val="solid"/>
                  <w14:miter w14:val="10"/>
                </w14:textOutline>
              </w:rPr>
              <w:t>表</w:t>
            </w:r>
            <w:r>
              <w:rPr>
                <w:spacing w:val="-43"/>
                <w:sz w:val="24"/>
                <w:szCs w:val="24"/>
              </w:rPr>
              <w:t xml:space="preserve"> </w:t>
            </w:r>
            <w:r>
              <w:rPr>
                <w:rFonts w:ascii="Times New Roman" w:hAnsi="Times New Roman" w:eastAsia="Times New Roman" w:cs="Times New Roman"/>
                <w:b/>
                <w:bCs/>
                <w:spacing w:val="-1"/>
                <w:sz w:val="24"/>
                <w:szCs w:val="24"/>
              </w:rPr>
              <w:t xml:space="preserve">2.7-1 </w:t>
            </w:r>
            <w:r>
              <w:rPr>
                <w:spacing w:val="-1"/>
                <w:sz w:val="24"/>
                <w:szCs w:val="24"/>
                <w14:textOutline w14:w="4354" w14:cap="flat" w14:cmpd="sng">
                  <w14:solidFill>
                    <w14:srgbClr w14:val="000000"/>
                  </w14:solidFill>
                  <w14:prstDash w14:val="solid"/>
                  <w14:miter w14:val="10"/>
                </w14:textOutline>
              </w:rPr>
              <w:t>本工程占地类型一览表</w:t>
            </w:r>
          </w:p>
          <w:p>
            <w:pPr>
              <w:spacing w:line="17" w:lineRule="exact"/>
            </w:pPr>
          </w:p>
          <w:tbl>
            <w:tblPr>
              <w:tblStyle w:val="5"/>
              <w:tblW w:w="861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3680"/>
              <w:gridCol w:w="1838"/>
              <w:gridCol w:w="22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4519" w:type="dxa"/>
                  <w:gridSpan w:val="2"/>
                  <w:vAlign w:val="top"/>
                </w:tcPr>
                <w:p>
                  <w:pPr>
                    <w:pStyle w:val="6"/>
                    <w:spacing w:before="243" w:line="221" w:lineRule="auto"/>
                    <w:ind w:left="1845"/>
                    <w:rPr>
                      <w:sz w:val="21"/>
                      <w:szCs w:val="21"/>
                    </w:rPr>
                  </w:pPr>
                  <w:r>
                    <w:rPr>
                      <w:spacing w:val="-1"/>
                      <w:sz w:val="21"/>
                      <w:szCs w:val="21"/>
                    </w:rPr>
                    <w:t>场地名称</w:t>
                  </w:r>
                </w:p>
              </w:tc>
              <w:tc>
                <w:tcPr>
                  <w:tcW w:w="1838" w:type="dxa"/>
                  <w:vAlign w:val="top"/>
                </w:tcPr>
                <w:p>
                  <w:pPr>
                    <w:pStyle w:val="6"/>
                    <w:spacing w:before="242" w:line="221" w:lineRule="auto"/>
                    <w:ind w:left="540"/>
                    <w:rPr>
                      <w:sz w:val="21"/>
                      <w:szCs w:val="21"/>
                    </w:rPr>
                  </w:pPr>
                  <w:r>
                    <w:rPr>
                      <w:spacing w:val="-10"/>
                      <w:sz w:val="21"/>
                      <w:szCs w:val="21"/>
                    </w:rPr>
                    <w:t>占地类型</w:t>
                  </w:r>
                </w:p>
              </w:tc>
              <w:tc>
                <w:tcPr>
                  <w:tcW w:w="2255" w:type="dxa"/>
                  <w:vAlign w:val="top"/>
                </w:tcPr>
                <w:p>
                  <w:pPr>
                    <w:pStyle w:val="6"/>
                    <w:spacing w:before="243" w:line="235" w:lineRule="auto"/>
                    <w:ind w:left="284"/>
                    <w:rPr>
                      <w:sz w:val="21"/>
                      <w:szCs w:val="21"/>
                    </w:rPr>
                  </w:pPr>
                  <w:r>
                    <w:rPr>
                      <w:spacing w:val="-1"/>
                      <w:sz w:val="21"/>
                      <w:szCs w:val="21"/>
                    </w:rPr>
                    <w:t>总占地面积（</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2</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9" w:line="238" w:lineRule="auto"/>
                    <w:ind w:left="225"/>
                    <w:rPr>
                      <w:sz w:val="21"/>
                      <w:szCs w:val="21"/>
                    </w:rPr>
                  </w:pPr>
                  <w:r>
                    <w:rPr>
                      <w:spacing w:val="-5"/>
                      <w:sz w:val="21"/>
                      <w:szCs w:val="21"/>
                    </w:rPr>
                    <w:t>临时</w:t>
                  </w:r>
                </w:p>
                <w:p>
                  <w:pPr>
                    <w:pStyle w:val="6"/>
                    <w:spacing w:line="222" w:lineRule="auto"/>
                    <w:ind w:left="248"/>
                    <w:rPr>
                      <w:sz w:val="21"/>
                      <w:szCs w:val="21"/>
                    </w:rPr>
                  </w:pPr>
                  <w:r>
                    <w:rPr>
                      <w:spacing w:val="-11"/>
                      <w:sz w:val="21"/>
                      <w:szCs w:val="21"/>
                    </w:rPr>
                    <w:t>占地</w:t>
                  </w:r>
                </w:p>
              </w:tc>
              <w:tc>
                <w:tcPr>
                  <w:tcW w:w="3680" w:type="dxa"/>
                  <w:vMerge w:val="restart"/>
                  <w:tcBorders>
                    <w:bottom w:val="nil"/>
                  </w:tcBorders>
                  <w:vAlign w:val="top"/>
                </w:tcPr>
                <w:p>
                  <w:pPr>
                    <w:spacing w:line="245" w:lineRule="auto"/>
                    <w:rPr>
                      <w:rFonts w:ascii="Arial"/>
                      <w:sz w:val="21"/>
                    </w:rPr>
                  </w:pPr>
                </w:p>
                <w:p>
                  <w:pPr>
                    <w:pStyle w:val="6"/>
                    <w:spacing w:before="68" w:line="221" w:lineRule="auto"/>
                    <w:ind w:left="164"/>
                    <w:rPr>
                      <w:sz w:val="21"/>
                      <w:szCs w:val="21"/>
                    </w:rPr>
                  </w:pPr>
                  <w:r>
                    <w:rPr>
                      <w:spacing w:val="-1"/>
                      <w:sz w:val="21"/>
                      <w:szCs w:val="21"/>
                    </w:rPr>
                    <w:t>井场工程（含清洁化操作平台、油水</w:t>
                  </w:r>
                </w:p>
                <w:p>
                  <w:pPr>
                    <w:pStyle w:val="6"/>
                    <w:spacing w:before="23" w:line="229" w:lineRule="auto"/>
                    <w:ind w:left="689" w:right="152" w:hanging="523"/>
                    <w:rPr>
                      <w:sz w:val="21"/>
                      <w:szCs w:val="21"/>
                    </w:rPr>
                  </w:pPr>
                  <w:r>
                    <w:rPr>
                      <w:spacing w:val="-7"/>
                      <w:sz w:val="21"/>
                      <w:szCs w:val="21"/>
                    </w:rPr>
                    <w:t>罐区、 泥浆储备罐区、应急池、燃烧</w:t>
                  </w:r>
                  <w:r>
                    <w:rPr>
                      <w:spacing w:val="8"/>
                      <w:sz w:val="21"/>
                      <w:szCs w:val="21"/>
                    </w:rPr>
                    <w:t xml:space="preserve"> </w:t>
                  </w:r>
                  <w:r>
                    <w:rPr>
                      <w:spacing w:val="-2"/>
                      <w:sz w:val="21"/>
                      <w:szCs w:val="21"/>
                    </w:rPr>
                    <w:t>池、集酸池、放喷通道）</w:t>
                  </w:r>
                </w:p>
              </w:tc>
              <w:tc>
                <w:tcPr>
                  <w:tcW w:w="1838" w:type="dxa"/>
                  <w:vAlign w:val="top"/>
                </w:tcPr>
                <w:p>
                  <w:pPr>
                    <w:pStyle w:val="6"/>
                    <w:spacing w:before="63" w:line="221" w:lineRule="auto"/>
                    <w:ind w:left="717"/>
                    <w:rPr>
                      <w:sz w:val="21"/>
                      <w:szCs w:val="21"/>
                    </w:rPr>
                  </w:pPr>
                  <w:r>
                    <w:rPr>
                      <w:spacing w:val="-3"/>
                      <w:sz w:val="21"/>
                      <w:szCs w:val="21"/>
                    </w:rPr>
                    <w:t>水田</w:t>
                  </w:r>
                </w:p>
              </w:tc>
              <w:tc>
                <w:tcPr>
                  <w:tcW w:w="2255" w:type="dxa"/>
                  <w:vAlign w:val="top"/>
                </w:tcPr>
                <w:p>
                  <w:pPr>
                    <w:spacing w:before="102" w:line="187" w:lineRule="auto"/>
                    <w:ind w:left="8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16612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39" w:type="dxa"/>
                  <w:vMerge w:val="continue"/>
                  <w:tcBorders>
                    <w:top w:val="nil"/>
                    <w:bottom w:val="nil"/>
                  </w:tcBorders>
                  <w:vAlign w:val="top"/>
                </w:tcPr>
                <w:p>
                  <w:pPr>
                    <w:rPr>
                      <w:rFonts w:ascii="Arial"/>
                      <w:sz w:val="21"/>
                    </w:rPr>
                  </w:pPr>
                </w:p>
              </w:tc>
              <w:tc>
                <w:tcPr>
                  <w:tcW w:w="3680" w:type="dxa"/>
                  <w:vMerge w:val="continue"/>
                  <w:tcBorders>
                    <w:top w:val="nil"/>
                    <w:bottom w:val="nil"/>
                  </w:tcBorders>
                  <w:vAlign w:val="top"/>
                </w:tcPr>
                <w:p>
                  <w:pPr>
                    <w:rPr>
                      <w:rFonts w:ascii="Arial"/>
                      <w:sz w:val="21"/>
                    </w:rPr>
                  </w:pPr>
                </w:p>
              </w:tc>
              <w:tc>
                <w:tcPr>
                  <w:tcW w:w="1838" w:type="dxa"/>
                  <w:vAlign w:val="top"/>
                </w:tcPr>
                <w:p>
                  <w:pPr>
                    <w:pStyle w:val="6"/>
                    <w:spacing w:before="63" w:line="221" w:lineRule="auto"/>
                    <w:ind w:left="506"/>
                    <w:rPr>
                      <w:sz w:val="21"/>
                      <w:szCs w:val="21"/>
                    </w:rPr>
                  </w:pPr>
                  <w:r>
                    <w:rPr>
                      <w:spacing w:val="-2"/>
                      <w:sz w:val="21"/>
                      <w:szCs w:val="21"/>
                    </w:rPr>
                    <w:t>乔木林地</w:t>
                  </w:r>
                </w:p>
              </w:tc>
              <w:tc>
                <w:tcPr>
                  <w:tcW w:w="2255" w:type="dxa"/>
                  <w:vAlign w:val="top"/>
                </w:tcPr>
                <w:p>
                  <w:pPr>
                    <w:spacing w:before="102" w:line="187" w:lineRule="auto"/>
                    <w:ind w:left="99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bottom w:val="nil"/>
                  </w:tcBorders>
                  <w:vAlign w:val="top"/>
                </w:tcPr>
                <w:p>
                  <w:pPr>
                    <w:rPr>
                      <w:rFonts w:ascii="Arial"/>
                      <w:sz w:val="21"/>
                    </w:rPr>
                  </w:pPr>
                </w:p>
              </w:tc>
              <w:tc>
                <w:tcPr>
                  <w:tcW w:w="3680" w:type="dxa"/>
                  <w:vMerge w:val="continue"/>
                  <w:tcBorders>
                    <w:top w:val="nil"/>
                    <w:bottom w:val="nil"/>
                  </w:tcBorders>
                  <w:vAlign w:val="top"/>
                </w:tcPr>
                <w:p>
                  <w:pPr>
                    <w:rPr>
                      <w:rFonts w:ascii="Arial"/>
                      <w:sz w:val="21"/>
                    </w:rPr>
                  </w:pPr>
                </w:p>
              </w:tc>
              <w:tc>
                <w:tcPr>
                  <w:tcW w:w="1838" w:type="dxa"/>
                  <w:vAlign w:val="top"/>
                </w:tcPr>
                <w:p>
                  <w:pPr>
                    <w:pStyle w:val="6"/>
                    <w:spacing w:before="67" w:line="222" w:lineRule="auto"/>
                    <w:ind w:left="717"/>
                    <w:rPr>
                      <w:sz w:val="21"/>
                      <w:szCs w:val="21"/>
                    </w:rPr>
                  </w:pPr>
                  <w:r>
                    <w:rPr>
                      <w:spacing w:val="-3"/>
                      <w:sz w:val="21"/>
                      <w:szCs w:val="21"/>
                    </w:rPr>
                    <w:t>旱地</w:t>
                  </w:r>
                </w:p>
              </w:tc>
              <w:tc>
                <w:tcPr>
                  <w:tcW w:w="2255" w:type="dxa"/>
                  <w:vAlign w:val="top"/>
                </w:tcPr>
                <w:p>
                  <w:pPr>
                    <w:spacing w:before="106"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bottom w:val="nil"/>
                  </w:tcBorders>
                  <w:vAlign w:val="top"/>
                </w:tcPr>
                <w:p>
                  <w:pPr>
                    <w:rPr>
                      <w:rFonts w:ascii="Arial"/>
                      <w:sz w:val="21"/>
                    </w:rPr>
                  </w:pPr>
                </w:p>
              </w:tc>
              <w:tc>
                <w:tcPr>
                  <w:tcW w:w="3680" w:type="dxa"/>
                  <w:vMerge w:val="continue"/>
                  <w:tcBorders>
                    <w:top w:val="nil"/>
                  </w:tcBorders>
                  <w:vAlign w:val="top"/>
                </w:tcPr>
                <w:p>
                  <w:pPr>
                    <w:rPr>
                      <w:rFonts w:ascii="Arial"/>
                      <w:sz w:val="21"/>
                    </w:rPr>
                  </w:pPr>
                </w:p>
              </w:tc>
              <w:tc>
                <w:tcPr>
                  <w:tcW w:w="1838" w:type="dxa"/>
                  <w:vAlign w:val="top"/>
                </w:tcPr>
                <w:p>
                  <w:pPr>
                    <w:pStyle w:val="6"/>
                    <w:spacing w:before="67" w:line="221" w:lineRule="auto"/>
                    <w:ind w:left="505"/>
                    <w:rPr>
                      <w:sz w:val="21"/>
                      <w:szCs w:val="21"/>
                    </w:rPr>
                  </w:pPr>
                  <w:r>
                    <w:rPr>
                      <w:spacing w:val="-1"/>
                      <w:sz w:val="21"/>
                      <w:szCs w:val="21"/>
                    </w:rPr>
                    <w:t>道路用地</w:t>
                  </w:r>
                </w:p>
              </w:tc>
              <w:tc>
                <w:tcPr>
                  <w:tcW w:w="2255" w:type="dxa"/>
                  <w:vAlign w:val="top"/>
                </w:tcPr>
                <w:p>
                  <w:pPr>
                    <w:spacing w:before="106" w:line="187" w:lineRule="auto"/>
                    <w:ind w:left="9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bottom w:val="nil"/>
                  </w:tcBorders>
                  <w:vAlign w:val="top"/>
                </w:tcPr>
                <w:p>
                  <w:pPr>
                    <w:rPr>
                      <w:rFonts w:ascii="Arial"/>
                      <w:sz w:val="21"/>
                    </w:rPr>
                  </w:pPr>
                </w:p>
              </w:tc>
              <w:tc>
                <w:tcPr>
                  <w:tcW w:w="3680" w:type="dxa"/>
                  <w:vMerge w:val="restart"/>
                  <w:tcBorders>
                    <w:bottom w:val="nil"/>
                  </w:tcBorders>
                  <w:vAlign w:val="top"/>
                </w:tcPr>
                <w:p>
                  <w:pPr>
                    <w:pStyle w:val="6"/>
                    <w:spacing w:before="241" w:line="221" w:lineRule="auto"/>
                    <w:ind w:left="1424"/>
                    <w:rPr>
                      <w:sz w:val="21"/>
                      <w:szCs w:val="21"/>
                    </w:rPr>
                  </w:pPr>
                  <w:r>
                    <w:rPr>
                      <w:spacing w:val="-1"/>
                      <w:sz w:val="21"/>
                      <w:szCs w:val="21"/>
                    </w:rPr>
                    <w:t>场内道路</w:t>
                  </w:r>
                </w:p>
              </w:tc>
              <w:tc>
                <w:tcPr>
                  <w:tcW w:w="1838" w:type="dxa"/>
                  <w:vAlign w:val="top"/>
                </w:tcPr>
                <w:p>
                  <w:pPr>
                    <w:pStyle w:val="6"/>
                    <w:spacing w:before="66" w:line="221" w:lineRule="auto"/>
                    <w:ind w:left="717"/>
                    <w:rPr>
                      <w:sz w:val="21"/>
                      <w:szCs w:val="21"/>
                    </w:rPr>
                  </w:pPr>
                  <w:r>
                    <w:rPr>
                      <w:spacing w:val="-3"/>
                      <w:sz w:val="21"/>
                      <w:szCs w:val="21"/>
                    </w:rPr>
                    <w:t>水田</w:t>
                  </w:r>
                </w:p>
              </w:tc>
              <w:tc>
                <w:tcPr>
                  <w:tcW w:w="2255" w:type="dxa"/>
                  <w:vAlign w:val="top"/>
                </w:tcPr>
                <w:p>
                  <w:pPr>
                    <w:spacing w:before="105" w:line="187" w:lineRule="auto"/>
                    <w:ind w:left="9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bottom w:val="nil"/>
                  </w:tcBorders>
                  <w:vAlign w:val="top"/>
                </w:tcPr>
                <w:p>
                  <w:pPr>
                    <w:rPr>
                      <w:rFonts w:ascii="Arial"/>
                      <w:sz w:val="21"/>
                    </w:rPr>
                  </w:pPr>
                </w:p>
              </w:tc>
              <w:tc>
                <w:tcPr>
                  <w:tcW w:w="3680" w:type="dxa"/>
                  <w:vMerge w:val="continue"/>
                  <w:tcBorders>
                    <w:top w:val="nil"/>
                  </w:tcBorders>
                  <w:vAlign w:val="top"/>
                </w:tcPr>
                <w:p>
                  <w:pPr>
                    <w:rPr>
                      <w:rFonts w:ascii="Arial"/>
                      <w:sz w:val="21"/>
                    </w:rPr>
                  </w:pPr>
                </w:p>
              </w:tc>
              <w:tc>
                <w:tcPr>
                  <w:tcW w:w="1838" w:type="dxa"/>
                  <w:vAlign w:val="top"/>
                </w:tcPr>
                <w:p>
                  <w:pPr>
                    <w:pStyle w:val="6"/>
                    <w:spacing w:before="66" w:line="222" w:lineRule="auto"/>
                    <w:ind w:left="717"/>
                    <w:rPr>
                      <w:sz w:val="21"/>
                      <w:szCs w:val="21"/>
                    </w:rPr>
                  </w:pPr>
                  <w:r>
                    <w:rPr>
                      <w:spacing w:val="-3"/>
                      <w:sz w:val="21"/>
                      <w:szCs w:val="21"/>
                    </w:rPr>
                    <w:t>旱地</w:t>
                  </w:r>
                </w:p>
              </w:tc>
              <w:tc>
                <w:tcPr>
                  <w:tcW w:w="2255" w:type="dxa"/>
                  <w:vAlign w:val="top"/>
                </w:tcPr>
                <w:p>
                  <w:pPr>
                    <w:spacing w:before="105" w:line="187" w:lineRule="auto"/>
                    <w:ind w:left="9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bottom w:val="nil"/>
                  </w:tcBorders>
                  <w:vAlign w:val="top"/>
                </w:tcPr>
                <w:p>
                  <w:pPr>
                    <w:rPr>
                      <w:rFonts w:ascii="Arial"/>
                      <w:sz w:val="21"/>
                    </w:rPr>
                  </w:pPr>
                </w:p>
              </w:tc>
              <w:tc>
                <w:tcPr>
                  <w:tcW w:w="3680" w:type="dxa"/>
                  <w:vAlign w:val="top"/>
                </w:tcPr>
                <w:p>
                  <w:pPr>
                    <w:pStyle w:val="6"/>
                    <w:spacing w:before="67" w:line="220" w:lineRule="auto"/>
                    <w:ind w:left="1004"/>
                    <w:rPr>
                      <w:sz w:val="21"/>
                      <w:szCs w:val="21"/>
                    </w:rPr>
                  </w:pPr>
                  <w:r>
                    <w:rPr>
                      <w:spacing w:val="-1"/>
                      <w:sz w:val="21"/>
                      <w:szCs w:val="21"/>
                    </w:rPr>
                    <w:t>耕植土临时堆放场</w:t>
                  </w:r>
                </w:p>
              </w:tc>
              <w:tc>
                <w:tcPr>
                  <w:tcW w:w="1838" w:type="dxa"/>
                  <w:vAlign w:val="top"/>
                </w:tcPr>
                <w:p>
                  <w:pPr>
                    <w:pStyle w:val="6"/>
                    <w:spacing w:before="66" w:line="221" w:lineRule="auto"/>
                    <w:ind w:left="717"/>
                    <w:rPr>
                      <w:sz w:val="21"/>
                      <w:szCs w:val="21"/>
                    </w:rPr>
                  </w:pPr>
                  <w:r>
                    <w:rPr>
                      <w:spacing w:val="-3"/>
                      <w:sz w:val="21"/>
                      <w:szCs w:val="21"/>
                    </w:rPr>
                    <w:t>水田</w:t>
                  </w:r>
                </w:p>
              </w:tc>
              <w:tc>
                <w:tcPr>
                  <w:tcW w:w="2255" w:type="dxa"/>
                  <w:vAlign w:val="top"/>
                </w:tcPr>
                <w:p>
                  <w:pPr>
                    <w:spacing w:before="105" w:line="187" w:lineRule="auto"/>
                    <w:ind w:left="9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39" w:type="dxa"/>
                  <w:vMerge w:val="continue"/>
                  <w:tcBorders>
                    <w:top w:val="nil"/>
                    <w:bottom w:val="nil"/>
                  </w:tcBorders>
                  <w:vAlign w:val="top"/>
                </w:tcPr>
                <w:p>
                  <w:pPr>
                    <w:rPr>
                      <w:rFonts w:ascii="Arial"/>
                      <w:sz w:val="21"/>
                    </w:rPr>
                  </w:pPr>
                </w:p>
              </w:tc>
              <w:tc>
                <w:tcPr>
                  <w:tcW w:w="3680" w:type="dxa"/>
                  <w:vMerge w:val="restart"/>
                  <w:tcBorders>
                    <w:bottom w:val="nil"/>
                  </w:tcBorders>
                  <w:vAlign w:val="top"/>
                </w:tcPr>
                <w:p>
                  <w:pPr>
                    <w:spacing w:line="348" w:lineRule="auto"/>
                    <w:rPr>
                      <w:rFonts w:ascii="Arial"/>
                      <w:sz w:val="21"/>
                    </w:rPr>
                  </w:pPr>
                </w:p>
                <w:p>
                  <w:pPr>
                    <w:pStyle w:val="6"/>
                    <w:spacing w:before="68" w:line="221" w:lineRule="auto"/>
                    <w:ind w:left="1532"/>
                    <w:rPr>
                      <w:sz w:val="21"/>
                      <w:szCs w:val="21"/>
                    </w:rPr>
                  </w:pPr>
                  <w:r>
                    <w:rPr>
                      <w:spacing w:val="-2"/>
                      <w:sz w:val="21"/>
                      <w:szCs w:val="21"/>
                    </w:rPr>
                    <w:t>生活区</w:t>
                  </w:r>
                </w:p>
              </w:tc>
              <w:tc>
                <w:tcPr>
                  <w:tcW w:w="1838" w:type="dxa"/>
                  <w:vAlign w:val="top"/>
                </w:tcPr>
                <w:p>
                  <w:pPr>
                    <w:pStyle w:val="6"/>
                    <w:spacing w:before="67" w:line="222" w:lineRule="auto"/>
                    <w:ind w:left="717"/>
                    <w:rPr>
                      <w:sz w:val="21"/>
                      <w:szCs w:val="21"/>
                    </w:rPr>
                  </w:pPr>
                  <w:r>
                    <w:rPr>
                      <w:spacing w:val="-3"/>
                      <w:sz w:val="21"/>
                      <w:szCs w:val="21"/>
                    </w:rPr>
                    <w:t>旱地</w:t>
                  </w:r>
                </w:p>
              </w:tc>
              <w:tc>
                <w:tcPr>
                  <w:tcW w:w="2255" w:type="dxa"/>
                  <w:vAlign w:val="top"/>
                </w:tcPr>
                <w:p>
                  <w:pPr>
                    <w:spacing w:before="106" w:line="187" w:lineRule="auto"/>
                    <w:ind w:left="93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bottom w:val="nil"/>
                  </w:tcBorders>
                  <w:vAlign w:val="top"/>
                </w:tcPr>
                <w:p>
                  <w:pPr>
                    <w:rPr>
                      <w:rFonts w:ascii="Arial"/>
                      <w:sz w:val="21"/>
                    </w:rPr>
                  </w:pPr>
                </w:p>
              </w:tc>
              <w:tc>
                <w:tcPr>
                  <w:tcW w:w="3680" w:type="dxa"/>
                  <w:vMerge w:val="continue"/>
                  <w:tcBorders>
                    <w:top w:val="nil"/>
                    <w:bottom w:val="nil"/>
                  </w:tcBorders>
                  <w:vAlign w:val="top"/>
                </w:tcPr>
                <w:p>
                  <w:pPr>
                    <w:rPr>
                      <w:rFonts w:ascii="Arial"/>
                      <w:sz w:val="21"/>
                    </w:rPr>
                  </w:pPr>
                </w:p>
              </w:tc>
              <w:tc>
                <w:tcPr>
                  <w:tcW w:w="1838" w:type="dxa"/>
                  <w:vAlign w:val="top"/>
                </w:tcPr>
                <w:p>
                  <w:pPr>
                    <w:pStyle w:val="6"/>
                    <w:spacing w:before="69" w:line="221" w:lineRule="auto"/>
                    <w:ind w:left="717"/>
                    <w:rPr>
                      <w:sz w:val="21"/>
                      <w:szCs w:val="21"/>
                    </w:rPr>
                  </w:pPr>
                  <w:r>
                    <w:rPr>
                      <w:spacing w:val="-3"/>
                      <w:sz w:val="21"/>
                      <w:szCs w:val="21"/>
                    </w:rPr>
                    <w:t>水田</w:t>
                  </w:r>
                </w:p>
              </w:tc>
              <w:tc>
                <w:tcPr>
                  <w:tcW w:w="2255" w:type="dxa"/>
                  <w:vAlign w:val="top"/>
                </w:tcPr>
                <w:p>
                  <w:pPr>
                    <w:spacing w:before="108" w:line="187" w:lineRule="auto"/>
                    <w:ind w:left="9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9" w:type="dxa"/>
                  <w:vMerge w:val="continue"/>
                  <w:tcBorders>
                    <w:top w:val="nil"/>
                  </w:tcBorders>
                  <w:vAlign w:val="top"/>
                </w:tcPr>
                <w:p>
                  <w:pPr>
                    <w:rPr>
                      <w:rFonts w:ascii="Arial"/>
                      <w:sz w:val="21"/>
                    </w:rPr>
                  </w:pPr>
                </w:p>
              </w:tc>
              <w:tc>
                <w:tcPr>
                  <w:tcW w:w="3680" w:type="dxa"/>
                  <w:vMerge w:val="continue"/>
                  <w:tcBorders>
                    <w:top w:val="nil"/>
                  </w:tcBorders>
                  <w:vAlign w:val="top"/>
                </w:tcPr>
                <w:p>
                  <w:pPr>
                    <w:rPr>
                      <w:rFonts w:ascii="Arial"/>
                      <w:sz w:val="21"/>
                    </w:rPr>
                  </w:pPr>
                </w:p>
              </w:tc>
              <w:tc>
                <w:tcPr>
                  <w:tcW w:w="1838" w:type="dxa"/>
                  <w:vAlign w:val="top"/>
                </w:tcPr>
                <w:p>
                  <w:pPr>
                    <w:pStyle w:val="6"/>
                    <w:spacing w:before="70" w:line="220" w:lineRule="auto"/>
                    <w:ind w:left="400"/>
                    <w:rPr>
                      <w:sz w:val="21"/>
                      <w:szCs w:val="21"/>
                    </w:rPr>
                  </w:pPr>
                  <w:r>
                    <w:rPr>
                      <w:spacing w:val="-1"/>
                      <w:sz w:val="21"/>
                      <w:szCs w:val="21"/>
                    </w:rPr>
                    <w:t>农村宅基地</w:t>
                  </w:r>
                </w:p>
              </w:tc>
              <w:tc>
                <w:tcPr>
                  <w:tcW w:w="2255" w:type="dxa"/>
                  <w:vAlign w:val="top"/>
                </w:tcPr>
                <w:p>
                  <w:pPr>
                    <w:spacing w:before="109" w:line="187" w:lineRule="auto"/>
                    <w:ind w:left="104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357" w:type="dxa"/>
                  <w:gridSpan w:val="3"/>
                  <w:vAlign w:val="top"/>
                </w:tcPr>
                <w:p>
                  <w:pPr>
                    <w:pStyle w:val="6"/>
                    <w:spacing w:before="68" w:line="222" w:lineRule="auto"/>
                    <w:ind w:left="2975"/>
                    <w:rPr>
                      <w:sz w:val="21"/>
                      <w:szCs w:val="21"/>
                    </w:rPr>
                  </w:pPr>
                  <w:r>
                    <w:rPr>
                      <w:spacing w:val="-2"/>
                      <w:sz w:val="21"/>
                      <w:szCs w:val="21"/>
                    </w:rPr>
                    <w:t>合计</w:t>
                  </w:r>
                </w:p>
              </w:tc>
              <w:tc>
                <w:tcPr>
                  <w:tcW w:w="2255" w:type="dxa"/>
                  <w:vAlign w:val="top"/>
                </w:tcPr>
                <w:p>
                  <w:pPr>
                    <w:spacing w:before="107" w:line="187" w:lineRule="auto"/>
                    <w:ind w:left="865"/>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24261</w:t>
                  </w:r>
                </w:p>
              </w:tc>
            </w:tr>
          </w:tbl>
          <w:p>
            <w:pPr>
              <w:pStyle w:val="6"/>
              <w:spacing w:before="177" w:line="219" w:lineRule="auto"/>
              <w:ind w:left="592"/>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）项目占用基本农田情况</w:t>
            </w:r>
          </w:p>
          <w:p>
            <w:pPr>
              <w:pStyle w:val="6"/>
              <w:spacing w:before="198" w:line="369" w:lineRule="auto"/>
              <w:ind w:left="94" w:right="101" w:firstLine="491"/>
              <w:rPr>
                <w:sz w:val="24"/>
                <w:szCs w:val="24"/>
              </w:rPr>
            </w:pPr>
            <w:r>
              <w:rPr>
                <w:spacing w:val="-2"/>
                <w:sz w:val="24"/>
                <w:szCs w:val="24"/>
              </w:rPr>
              <w:t>根据达州市通川区“三区三线”数据，项目总占地面积</w:t>
            </w:r>
            <w:r>
              <w:rPr>
                <w:spacing w:val="-31"/>
                <w:sz w:val="24"/>
                <w:szCs w:val="24"/>
              </w:rPr>
              <w:t xml:space="preserve"> </w:t>
            </w:r>
            <w:r>
              <w:rPr>
                <w:rFonts w:ascii="Times New Roman" w:hAnsi="Times New Roman" w:eastAsia="Times New Roman" w:cs="Times New Roman"/>
                <w:spacing w:val="-2"/>
                <w:sz w:val="24"/>
                <w:szCs w:val="24"/>
              </w:rPr>
              <w:t>24261m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0"/>
                <w:position w:val="9"/>
                <w:sz w:val="16"/>
                <w:szCs w:val="16"/>
              </w:rPr>
              <w:t xml:space="preserve"> </w:t>
            </w:r>
            <w:r>
              <w:rPr>
                <w:spacing w:val="-2"/>
                <w:sz w:val="24"/>
                <w:szCs w:val="24"/>
              </w:rPr>
              <w:t>，占用基本农</w:t>
            </w:r>
            <w:r>
              <w:rPr>
                <w:sz w:val="24"/>
                <w:szCs w:val="24"/>
              </w:rPr>
              <w:t xml:space="preserve"> </w:t>
            </w:r>
            <w:r>
              <w:rPr>
                <w:spacing w:val="-1"/>
                <w:sz w:val="24"/>
                <w:szCs w:val="24"/>
              </w:rPr>
              <w:t>田面积</w:t>
            </w:r>
            <w:r>
              <w:rPr>
                <w:spacing w:val="-38"/>
                <w:sz w:val="24"/>
                <w:szCs w:val="24"/>
              </w:rPr>
              <w:t xml:space="preserve"> </w:t>
            </w:r>
            <w:r>
              <w:rPr>
                <w:rFonts w:ascii="Times New Roman" w:hAnsi="Times New Roman" w:eastAsia="Times New Roman" w:cs="Times New Roman"/>
                <w:spacing w:val="-1"/>
                <w:sz w:val="24"/>
                <w:szCs w:val="24"/>
              </w:rPr>
              <w:t>23411m</w:t>
            </w:r>
            <w:r>
              <w:rPr>
                <w:rFonts w:ascii="Times New Roman" w:hAnsi="Times New Roman" w:eastAsia="Times New Roman" w:cs="Times New Roman"/>
                <w:spacing w:val="-1"/>
                <w:position w:val="9"/>
                <w:sz w:val="16"/>
                <w:szCs w:val="16"/>
              </w:rPr>
              <w:t>2</w:t>
            </w:r>
            <w:r>
              <w:rPr>
                <w:rFonts w:ascii="Times New Roman" w:hAnsi="Times New Roman" w:eastAsia="Times New Roman" w:cs="Times New Roman"/>
                <w:spacing w:val="-10"/>
                <w:position w:val="9"/>
                <w:sz w:val="16"/>
                <w:szCs w:val="16"/>
              </w:rPr>
              <w:t xml:space="preserve"> </w:t>
            </w:r>
            <w:r>
              <w:rPr>
                <w:spacing w:val="-1"/>
                <w:sz w:val="24"/>
                <w:szCs w:val="24"/>
              </w:rPr>
              <w:t>，项目为天然气勘探项目，属典型“地下决定地上”型项目，</w:t>
            </w:r>
            <w:r>
              <w:rPr>
                <w:spacing w:val="-2"/>
                <w:sz w:val="24"/>
                <w:szCs w:val="24"/>
              </w:rPr>
              <w:t>本项</w:t>
            </w:r>
            <w:r>
              <w:rPr>
                <w:sz w:val="24"/>
                <w:szCs w:val="24"/>
              </w:rPr>
              <w:t xml:space="preserve"> </w:t>
            </w:r>
            <w:r>
              <w:rPr>
                <w:spacing w:val="-15"/>
                <w:sz w:val="24"/>
                <w:szCs w:val="24"/>
              </w:rPr>
              <w:t>目所在区域为农村区域，</w:t>
            </w:r>
            <w:r>
              <w:rPr>
                <w:spacing w:val="61"/>
                <w:sz w:val="24"/>
                <w:szCs w:val="24"/>
              </w:rPr>
              <w:t xml:space="preserve"> </w:t>
            </w:r>
            <w:r>
              <w:rPr>
                <w:spacing w:val="-15"/>
                <w:sz w:val="24"/>
                <w:szCs w:val="24"/>
              </w:rPr>
              <w:t>周边除林地、居民建设宅基地、</w:t>
            </w:r>
            <w:r>
              <w:rPr>
                <w:spacing w:val="37"/>
                <w:sz w:val="24"/>
                <w:szCs w:val="24"/>
              </w:rPr>
              <w:t xml:space="preserve"> </w:t>
            </w:r>
            <w:r>
              <w:rPr>
                <w:spacing w:val="-15"/>
                <w:sz w:val="24"/>
                <w:szCs w:val="24"/>
              </w:rPr>
              <w:t>道路等用地外，</w:t>
            </w:r>
            <w:r>
              <w:rPr>
                <w:spacing w:val="57"/>
                <w:sz w:val="24"/>
                <w:szCs w:val="24"/>
              </w:rPr>
              <w:t xml:space="preserve"> </w:t>
            </w:r>
            <w:r>
              <w:rPr>
                <w:spacing w:val="-15"/>
                <w:sz w:val="24"/>
                <w:szCs w:val="24"/>
              </w:rPr>
              <w:t>均属于基</w:t>
            </w:r>
            <w:r>
              <w:rPr>
                <w:sz w:val="24"/>
                <w:szCs w:val="24"/>
              </w:rPr>
              <w:t xml:space="preserve"> </w:t>
            </w:r>
            <w:r>
              <w:rPr>
                <w:spacing w:val="-9"/>
                <w:sz w:val="24"/>
                <w:szCs w:val="24"/>
              </w:rPr>
              <w:t>本农田， 确难避让基本农田，</w:t>
            </w:r>
            <w:r>
              <w:rPr>
                <w:spacing w:val="69"/>
                <w:sz w:val="24"/>
                <w:szCs w:val="24"/>
              </w:rPr>
              <w:t xml:space="preserve"> </w:t>
            </w:r>
            <w:r>
              <w:rPr>
                <w:spacing w:val="-9"/>
                <w:sz w:val="24"/>
                <w:szCs w:val="24"/>
              </w:rPr>
              <w:t>根据属于《关于做好占用永久基本农田重大建设项目</w:t>
            </w:r>
            <w:r>
              <w:rPr>
                <w:sz w:val="24"/>
                <w:szCs w:val="24"/>
              </w:rPr>
              <w:t xml:space="preserve"> </w:t>
            </w:r>
            <w:r>
              <w:rPr>
                <w:spacing w:val="-4"/>
                <w:sz w:val="24"/>
                <w:szCs w:val="24"/>
              </w:rPr>
              <w:t>用地预审的通知》（自然资规（</w:t>
            </w:r>
            <w:r>
              <w:rPr>
                <w:rFonts w:ascii="Times New Roman" w:hAnsi="Times New Roman" w:eastAsia="Times New Roman" w:cs="Times New Roman"/>
                <w:spacing w:val="-4"/>
                <w:sz w:val="24"/>
                <w:szCs w:val="24"/>
              </w:rPr>
              <w:t>2018</w:t>
            </w:r>
            <w:r>
              <w:rPr>
                <w:spacing w:val="-4"/>
                <w:sz w:val="24"/>
                <w:szCs w:val="24"/>
              </w:rPr>
              <w:t>）</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5"/>
                <w:sz w:val="24"/>
                <w:szCs w:val="24"/>
              </w:rPr>
              <w:t xml:space="preserve"> </w:t>
            </w:r>
            <w:r>
              <w:rPr>
                <w:spacing w:val="-4"/>
                <w:sz w:val="24"/>
                <w:szCs w:val="24"/>
              </w:rPr>
              <w:t>号）</w:t>
            </w:r>
            <w:r>
              <w:rPr>
                <w:spacing w:val="-72"/>
                <w:sz w:val="24"/>
                <w:szCs w:val="24"/>
              </w:rPr>
              <w:t xml:space="preserve"> </w:t>
            </w:r>
            <w:r>
              <w:rPr>
                <w:spacing w:val="-4"/>
                <w:sz w:val="24"/>
                <w:szCs w:val="24"/>
              </w:rPr>
              <w:t>、《自然资源部 农业农村部关于加强</w:t>
            </w:r>
            <w:r>
              <w:rPr>
                <w:sz w:val="24"/>
                <w:szCs w:val="24"/>
              </w:rPr>
              <w:t xml:space="preserve"> </w:t>
            </w:r>
            <w:r>
              <w:rPr>
                <w:spacing w:val="1"/>
                <w:sz w:val="24"/>
                <w:szCs w:val="24"/>
              </w:rPr>
              <w:t>和改进永久保护农田保护工作的通知》（自然资规</w:t>
            </w:r>
            <w:r>
              <w:rPr>
                <w:rFonts w:ascii="Times New Roman" w:hAnsi="Times New Roman" w:eastAsia="Times New Roman" w:cs="Times New Roman"/>
                <w:spacing w:val="1"/>
                <w:sz w:val="24"/>
                <w:szCs w:val="24"/>
              </w:rPr>
              <w:t xml:space="preserve">[2019]1  </w:t>
            </w:r>
            <w:r>
              <w:rPr>
                <w:spacing w:val="1"/>
                <w:sz w:val="24"/>
                <w:szCs w:val="24"/>
              </w:rPr>
              <w:t>号）等文件明确可临时</w:t>
            </w:r>
            <w:r>
              <w:rPr>
                <w:spacing w:val="17"/>
                <w:sz w:val="24"/>
                <w:szCs w:val="24"/>
              </w:rPr>
              <w:t xml:space="preserve"> </w:t>
            </w:r>
            <w:r>
              <w:rPr>
                <w:spacing w:val="-1"/>
                <w:sz w:val="24"/>
                <w:szCs w:val="24"/>
              </w:rPr>
              <w:t>占用基本农田的“战略性矿产资源勘探类型”，环评要求建设单位按照（自然资规</w:t>
            </w:r>
            <w:r>
              <w:rPr>
                <w:spacing w:val="10"/>
                <w:sz w:val="24"/>
                <w:szCs w:val="24"/>
              </w:rPr>
              <w:t xml:space="preserve"> </w:t>
            </w:r>
            <w:r>
              <w:rPr>
                <w:sz w:val="24"/>
                <w:szCs w:val="24"/>
              </w:rPr>
              <w:t>【</w:t>
            </w:r>
            <w:r>
              <w:rPr>
                <w:rFonts w:ascii="Times New Roman" w:hAnsi="Times New Roman" w:eastAsia="Times New Roman" w:cs="Times New Roman"/>
                <w:sz w:val="24"/>
                <w:szCs w:val="24"/>
              </w:rPr>
              <w:t>2019</w:t>
            </w:r>
            <w:r>
              <w:rPr>
                <w:sz w:val="24"/>
                <w:szCs w:val="24"/>
              </w:rPr>
              <w:t>】</w:t>
            </w:r>
            <w:r>
              <w:rPr>
                <w:rFonts w:ascii="Times New Roman" w:hAnsi="Times New Roman" w:eastAsia="Times New Roman" w:cs="Times New Roman"/>
                <w:sz w:val="24"/>
                <w:szCs w:val="24"/>
              </w:rPr>
              <w:t xml:space="preserve">1  </w:t>
            </w:r>
            <w:r>
              <w:rPr>
                <w:sz w:val="24"/>
                <w:szCs w:val="24"/>
              </w:rPr>
              <w:t>号）、（自然资规〔</w:t>
            </w:r>
            <w:r>
              <w:rPr>
                <w:rFonts w:ascii="Times New Roman" w:hAnsi="Times New Roman" w:eastAsia="Times New Roman" w:cs="Times New Roman"/>
                <w:sz w:val="24"/>
                <w:szCs w:val="24"/>
              </w:rPr>
              <w:t>202</w:t>
            </w:r>
            <w:r>
              <w:rPr>
                <w:rFonts w:ascii="Times New Roman" w:hAnsi="Times New Roman" w:eastAsia="Times New Roman" w:cs="Times New Roman"/>
                <w:spacing w:val="-1"/>
                <w:sz w:val="24"/>
                <w:szCs w:val="24"/>
              </w:rPr>
              <w:t>1</w:t>
            </w:r>
            <w:r>
              <w:rPr>
                <w:spacing w:val="-1"/>
                <w:sz w:val="24"/>
                <w:szCs w:val="24"/>
              </w:rPr>
              <w:t>〕</w:t>
            </w:r>
            <w:r>
              <w:rPr>
                <w:rFonts w:ascii="Times New Roman" w:hAnsi="Times New Roman" w:eastAsia="Times New Roman" w:cs="Times New Roman"/>
                <w:spacing w:val="-1"/>
                <w:sz w:val="24"/>
                <w:szCs w:val="24"/>
              </w:rPr>
              <w:t xml:space="preserve">2  </w:t>
            </w:r>
            <w:r>
              <w:rPr>
                <w:spacing w:val="-1"/>
                <w:sz w:val="24"/>
                <w:szCs w:val="24"/>
              </w:rPr>
              <w:t>号）等文件要求，办理临时用地手续，取</w:t>
            </w:r>
            <w:r>
              <w:rPr>
                <w:sz w:val="24"/>
                <w:szCs w:val="24"/>
              </w:rPr>
              <w:t xml:space="preserve"> </w:t>
            </w:r>
            <w:r>
              <w:rPr>
                <w:spacing w:val="-1"/>
                <w:sz w:val="24"/>
                <w:szCs w:val="24"/>
              </w:rPr>
              <w:t>得临时用地批准手续后方可开工建设；钻井完</w:t>
            </w:r>
            <w:r>
              <w:rPr>
                <w:spacing w:val="-2"/>
                <w:sz w:val="24"/>
                <w:szCs w:val="24"/>
              </w:rPr>
              <w:t>成后，按土地复垦方案等相关要求，</w:t>
            </w:r>
          </w:p>
          <w:p>
            <w:pPr>
              <w:pStyle w:val="6"/>
              <w:spacing w:before="1" w:line="218" w:lineRule="auto"/>
              <w:ind w:left="105"/>
              <w:rPr>
                <w:sz w:val="24"/>
                <w:szCs w:val="24"/>
              </w:rPr>
            </w:pPr>
            <w:r>
              <w:rPr>
                <w:spacing w:val="-3"/>
                <w:sz w:val="24"/>
                <w:szCs w:val="24"/>
              </w:rPr>
              <w:t>及时进行覆土复耕，恢复原土地利用类型。</w:t>
            </w:r>
          </w:p>
          <w:p>
            <w:pPr>
              <w:pStyle w:val="6"/>
              <w:spacing w:before="230" w:line="220" w:lineRule="auto"/>
              <w:ind w:left="102"/>
              <w:rPr>
                <w:sz w:val="24"/>
                <w:szCs w:val="24"/>
              </w:rPr>
            </w:pPr>
            <w:r>
              <w:rPr>
                <w:rFonts w:ascii="Times New Roman" w:hAnsi="Times New Roman" w:eastAsia="Times New Roman" w:cs="Times New Roman"/>
                <w:b/>
                <w:bCs/>
                <w:sz w:val="24"/>
                <w:szCs w:val="24"/>
              </w:rPr>
              <w:t xml:space="preserve">2.7.2 </w:t>
            </w:r>
            <w:r>
              <w:rPr>
                <w:sz w:val="24"/>
                <w:szCs w:val="24"/>
                <w14:textOutline w14:w="4354" w14:cap="flat" w14:cmpd="sng">
                  <w14:solidFill>
                    <w14:srgbClr w14:val="000000"/>
                  </w14:solidFill>
                  <w14:prstDash w14:val="solid"/>
                  <w14:miter w14:val="10"/>
                </w14:textOutline>
              </w:rPr>
              <w:t>工程土石方平衡</w:t>
            </w:r>
          </w:p>
          <w:p>
            <w:pPr>
              <w:pStyle w:val="6"/>
              <w:spacing w:before="201" w:line="480" w:lineRule="exact"/>
              <w:ind w:left="585"/>
              <w:rPr>
                <w:sz w:val="24"/>
                <w:szCs w:val="24"/>
              </w:rPr>
            </w:pPr>
            <w:r>
              <w:rPr>
                <w:position w:val="17"/>
                <w:sz w:val="24"/>
                <w:szCs w:val="24"/>
              </w:rPr>
              <w:t xml:space="preserve">根据设计资料，本项目挖方量约 </w:t>
            </w:r>
            <w:r>
              <w:rPr>
                <w:rFonts w:ascii="Times New Roman" w:hAnsi="Times New Roman" w:eastAsia="Times New Roman" w:cs="Times New Roman"/>
                <w:position w:val="17"/>
                <w:sz w:val="24"/>
                <w:szCs w:val="24"/>
              </w:rPr>
              <w:t>21530m</w:t>
            </w:r>
            <w:r>
              <w:rPr>
                <w:rFonts w:ascii="Times New Roman" w:hAnsi="Times New Roman" w:eastAsia="Times New Roman" w:cs="Times New Roman"/>
                <w:position w:val="26"/>
                <w:sz w:val="16"/>
                <w:szCs w:val="16"/>
              </w:rPr>
              <w:t>3</w:t>
            </w:r>
            <w:r>
              <w:rPr>
                <w:position w:val="17"/>
                <w:sz w:val="24"/>
                <w:szCs w:val="24"/>
              </w:rPr>
              <w:t xml:space="preserve">（包括耕植土 </w:t>
            </w:r>
            <w:r>
              <w:rPr>
                <w:rFonts w:ascii="Times New Roman" w:hAnsi="Times New Roman" w:eastAsia="Times New Roman" w:cs="Times New Roman"/>
                <w:position w:val="17"/>
                <w:sz w:val="24"/>
                <w:szCs w:val="24"/>
              </w:rPr>
              <w:t>4751m</w:t>
            </w:r>
            <w:r>
              <w:rPr>
                <w:rFonts w:ascii="Times New Roman" w:hAnsi="Times New Roman" w:eastAsia="Times New Roman" w:cs="Times New Roman"/>
                <w:position w:val="26"/>
                <w:sz w:val="16"/>
                <w:szCs w:val="16"/>
              </w:rPr>
              <w:t xml:space="preserve">3 </w:t>
            </w:r>
            <w:r>
              <w:rPr>
                <w:spacing w:val="-3"/>
                <w:position w:val="17"/>
                <w:sz w:val="24"/>
                <w:szCs w:val="24"/>
              </w:rPr>
              <w:t>），</w:t>
            </w:r>
            <w:r>
              <w:rPr>
                <w:position w:val="17"/>
                <w:sz w:val="24"/>
                <w:szCs w:val="24"/>
              </w:rPr>
              <w:t>填方量约</w:t>
            </w:r>
          </w:p>
          <w:p>
            <w:pPr>
              <w:pStyle w:val="6"/>
              <w:spacing w:before="1" w:line="232" w:lineRule="auto"/>
              <w:ind w:left="101"/>
              <w:rPr>
                <w:sz w:val="24"/>
                <w:szCs w:val="24"/>
              </w:rPr>
            </w:pPr>
            <w:r>
              <w:rPr>
                <w:rFonts w:ascii="Times New Roman" w:hAnsi="Times New Roman" w:eastAsia="Times New Roman" w:cs="Times New Roman"/>
                <w:spacing w:val="-6"/>
                <w:sz w:val="24"/>
                <w:szCs w:val="24"/>
              </w:rPr>
              <w:t>21530m</w:t>
            </w:r>
            <w:r>
              <w:rPr>
                <w:rFonts w:ascii="Times New Roman" w:hAnsi="Times New Roman" w:eastAsia="Times New Roman" w:cs="Times New Roman"/>
                <w:spacing w:val="-6"/>
                <w:position w:val="8"/>
                <w:sz w:val="16"/>
                <w:szCs w:val="16"/>
              </w:rPr>
              <w:t xml:space="preserve">3   </w:t>
            </w:r>
            <w:r>
              <w:rPr>
                <w:spacing w:val="-6"/>
                <w:sz w:val="24"/>
                <w:szCs w:val="24"/>
              </w:rPr>
              <w:t>（包括耕植土</w:t>
            </w:r>
            <w:r>
              <w:rPr>
                <w:spacing w:val="-46"/>
                <w:sz w:val="24"/>
                <w:szCs w:val="24"/>
              </w:rPr>
              <w:t xml:space="preserve"> </w:t>
            </w:r>
            <w:r>
              <w:rPr>
                <w:rFonts w:ascii="Times New Roman" w:hAnsi="Times New Roman" w:eastAsia="Times New Roman" w:cs="Times New Roman"/>
                <w:spacing w:val="-6"/>
                <w:sz w:val="24"/>
                <w:szCs w:val="24"/>
              </w:rPr>
              <w:t>4751m</w:t>
            </w:r>
            <w:r>
              <w:rPr>
                <w:rFonts w:ascii="Times New Roman" w:hAnsi="Times New Roman" w:eastAsia="Times New Roman" w:cs="Times New Roman"/>
                <w:spacing w:val="-6"/>
                <w:position w:val="8"/>
                <w:sz w:val="16"/>
                <w:szCs w:val="16"/>
              </w:rPr>
              <w:t xml:space="preserve">3 </w:t>
            </w:r>
            <w:r>
              <w:rPr>
                <w:spacing w:val="-6"/>
                <w:sz w:val="24"/>
                <w:szCs w:val="24"/>
              </w:rPr>
              <w:t>），总体土石方挖填平衡。</w:t>
            </w:r>
          </w:p>
          <w:p>
            <w:pPr>
              <w:pStyle w:val="6"/>
              <w:spacing w:before="177" w:line="228" w:lineRule="auto"/>
              <w:ind w:left="585"/>
              <w:rPr>
                <w:sz w:val="24"/>
                <w:szCs w:val="24"/>
              </w:rPr>
            </w:pPr>
            <w:r>
              <w:rPr>
                <w:spacing w:val="-9"/>
                <w:sz w:val="24"/>
                <w:szCs w:val="24"/>
              </w:rPr>
              <w:t>井场外西北侧设置</w:t>
            </w:r>
            <w:r>
              <w:rPr>
                <w:spacing w:val="-20"/>
                <w:sz w:val="24"/>
                <w:szCs w:val="24"/>
              </w:rPr>
              <w:t xml:space="preserve"> </w:t>
            </w:r>
            <w:r>
              <w:rPr>
                <w:rFonts w:ascii="Times New Roman" w:hAnsi="Times New Roman" w:eastAsia="Times New Roman" w:cs="Times New Roman"/>
                <w:spacing w:val="-9"/>
                <w:sz w:val="24"/>
                <w:szCs w:val="24"/>
              </w:rPr>
              <w:t xml:space="preserve">1 </w:t>
            </w:r>
            <w:r>
              <w:rPr>
                <w:spacing w:val="-9"/>
                <w:sz w:val="24"/>
                <w:szCs w:val="24"/>
              </w:rPr>
              <w:t>个耕植土堆放区，</w:t>
            </w:r>
            <w:r>
              <w:rPr>
                <w:spacing w:val="47"/>
                <w:sz w:val="24"/>
                <w:szCs w:val="24"/>
              </w:rPr>
              <w:t xml:space="preserve"> </w:t>
            </w:r>
            <w:r>
              <w:rPr>
                <w:spacing w:val="-9"/>
                <w:sz w:val="24"/>
                <w:szCs w:val="24"/>
              </w:rPr>
              <w:t>占地面积约为</w:t>
            </w:r>
            <w:r>
              <w:rPr>
                <w:spacing w:val="-54"/>
                <w:sz w:val="24"/>
                <w:szCs w:val="24"/>
              </w:rPr>
              <w:t xml:space="preserve"> </w:t>
            </w:r>
            <w:r>
              <w:rPr>
                <w:rFonts w:ascii="Times New Roman" w:hAnsi="Times New Roman" w:eastAsia="Times New Roman" w:cs="Times New Roman"/>
                <w:spacing w:val="-9"/>
                <w:sz w:val="24"/>
                <w:szCs w:val="24"/>
              </w:rPr>
              <w:t>2055m</w:t>
            </w:r>
            <w:r>
              <w:rPr>
                <w:rFonts w:ascii="Times New Roman" w:hAnsi="Times New Roman" w:eastAsia="Times New Roman" w:cs="Times New Roman"/>
                <w:spacing w:val="-9"/>
                <w:position w:val="9"/>
                <w:sz w:val="16"/>
                <w:szCs w:val="16"/>
              </w:rPr>
              <w:t>2</w:t>
            </w:r>
            <w:r>
              <w:rPr>
                <w:spacing w:val="-9"/>
                <w:sz w:val="24"/>
                <w:szCs w:val="24"/>
              </w:rPr>
              <w:t>，设计堆放高度为</w:t>
            </w:r>
          </w:p>
        </w:tc>
      </w:tr>
    </w:tbl>
    <w:p>
      <w:pPr>
        <w:pStyle w:val="2"/>
        <w:rPr>
          <w:sz w:val="21"/>
        </w:rPr>
      </w:pPr>
    </w:p>
    <w:p>
      <w:pPr>
        <w:rPr>
          <w:sz w:val="21"/>
          <w:szCs w:val="21"/>
        </w:rPr>
        <w:sectPr>
          <w:footerReference r:id="rId44"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3" w:hRule="atLeast"/>
        </w:trPr>
        <w:tc>
          <w:tcPr>
            <w:tcW w:w="9291" w:type="dxa"/>
            <w:vAlign w:val="top"/>
          </w:tcPr>
          <w:p>
            <w:pPr>
              <w:pStyle w:val="6"/>
              <w:spacing w:before="183" w:line="369" w:lineRule="auto"/>
              <w:ind w:left="565" w:right="105" w:firstLine="1"/>
              <w:jc w:val="both"/>
              <w:rPr>
                <w:sz w:val="24"/>
                <w:szCs w:val="24"/>
              </w:rPr>
            </w:pPr>
            <w:r>
              <w:pict>
                <v:rect id="_x0000_s1043" o:spid="_x0000_s1043" o:spt="1" style="position:absolute;left:0pt;margin-left:22.75pt;margin-top:0.95pt;height:695.5pt;width:0.5pt;mso-position-horizontal-relative:page;mso-position-vertical-relative:page;z-index:251697152;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spacing w:val="-1"/>
                <w:sz w:val="24"/>
                <w:szCs w:val="24"/>
              </w:rPr>
              <w:t>3m</w:t>
            </w:r>
            <w:r>
              <w:rPr>
                <w:spacing w:val="-1"/>
                <w:sz w:val="24"/>
                <w:szCs w:val="24"/>
              </w:rPr>
              <w:t xml:space="preserve">，合计最大堆放量 </w:t>
            </w:r>
            <w:r>
              <w:rPr>
                <w:rFonts w:ascii="Times New Roman" w:hAnsi="Times New Roman" w:eastAsia="Times New Roman" w:cs="Times New Roman"/>
                <w:spacing w:val="-1"/>
                <w:sz w:val="24"/>
                <w:szCs w:val="24"/>
              </w:rPr>
              <w:t>6165m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0"/>
                <w:position w:val="9"/>
                <w:sz w:val="16"/>
                <w:szCs w:val="16"/>
              </w:rPr>
              <w:t xml:space="preserve"> </w:t>
            </w:r>
            <w:r>
              <w:rPr>
                <w:spacing w:val="-1"/>
                <w:sz w:val="24"/>
                <w:szCs w:val="24"/>
              </w:rPr>
              <w:t>，能够满足耕植土堆放需求。耕植土堆放区表面覆盖</w:t>
            </w:r>
            <w:r>
              <w:rPr>
                <w:sz w:val="24"/>
                <w:szCs w:val="24"/>
              </w:rPr>
              <w:t xml:space="preserve"> </w:t>
            </w:r>
            <w:r>
              <w:rPr>
                <w:spacing w:val="-19"/>
                <w:sz w:val="24"/>
                <w:szCs w:val="24"/>
              </w:rPr>
              <w:t>彩条布， 待工程结束后，</w:t>
            </w:r>
            <w:r>
              <w:rPr>
                <w:spacing w:val="70"/>
                <w:sz w:val="24"/>
                <w:szCs w:val="24"/>
              </w:rPr>
              <w:t xml:space="preserve"> </w:t>
            </w:r>
            <w:r>
              <w:rPr>
                <w:spacing w:val="-19"/>
                <w:sz w:val="24"/>
                <w:szCs w:val="24"/>
              </w:rPr>
              <w:t>将表土用于后期生态恢复，</w:t>
            </w:r>
            <w:r>
              <w:rPr>
                <w:spacing w:val="58"/>
                <w:sz w:val="24"/>
                <w:szCs w:val="24"/>
              </w:rPr>
              <w:t xml:space="preserve"> </w:t>
            </w:r>
            <w:r>
              <w:rPr>
                <w:spacing w:val="-19"/>
                <w:sz w:val="24"/>
                <w:szCs w:val="24"/>
              </w:rPr>
              <w:t>最终做到土石方平衡；</w:t>
            </w:r>
            <w:r>
              <w:rPr>
                <w:spacing w:val="58"/>
                <w:sz w:val="24"/>
                <w:szCs w:val="24"/>
              </w:rPr>
              <w:t xml:space="preserve"> </w:t>
            </w:r>
            <w:r>
              <w:rPr>
                <w:spacing w:val="-19"/>
                <w:sz w:val="24"/>
                <w:szCs w:val="24"/>
              </w:rPr>
              <w:t>井场土</w:t>
            </w:r>
            <w:r>
              <w:rPr>
                <w:sz w:val="24"/>
                <w:szCs w:val="24"/>
              </w:rPr>
              <w:t xml:space="preserve"> </w:t>
            </w:r>
            <w:r>
              <w:rPr>
                <w:spacing w:val="-11"/>
                <w:sz w:val="24"/>
                <w:szCs w:val="24"/>
              </w:rPr>
              <w:t>边坡区域、道路土边坡区域、耕植土堆放区在土建工程完工后，</w:t>
            </w:r>
            <w:r>
              <w:rPr>
                <w:spacing w:val="55"/>
                <w:sz w:val="24"/>
                <w:szCs w:val="24"/>
              </w:rPr>
              <w:t xml:space="preserve"> </w:t>
            </w:r>
            <w:r>
              <w:rPr>
                <w:spacing w:val="-12"/>
                <w:sz w:val="24"/>
                <w:szCs w:val="24"/>
              </w:rPr>
              <w:t>及时播撒草种，</w:t>
            </w:r>
            <w:r>
              <w:rPr>
                <w:spacing w:val="73"/>
                <w:sz w:val="24"/>
                <w:szCs w:val="24"/>
              </w:rPr>
              <w:t xml:space="preserve"> </w:t>
            </w:r>
            <w:r>
              <w:rPr>
                <w:spacing w:val="-12"/>
                <w:sz w:val="24"/>
                <w:szCs w:val="24"/>
              </w:rPr>
              <w:t>防</w:t>
            </w:r>
          </w:p>
          <w:p>
            <w:pPr>
              <w:pStyle w:val="6"/>
              <w:spacing w:line="219" w:lineRule="auto"/>
              <w:ind w:left="566"/>
              <w:rPr>
                <w:sz w:val="24"/>
                <w:szCs w:val="24"/>
              </w:rPr>
            </w:pPr>
            <w:r>
              <w:rPr>
                <w:spacing w:val="-2"/>
                <w:sz w:val="24"/>
                <w:szCs w:val="24"/>
              </w:rPr>
              <w:t>止地表水冲刷造成水土流失和边坡失稳。钻前工程土石方工程量如下。</w:t>
            </w:r>
          </w:p>
          <w:p>
            <w:pPr>
              <w:pStyle w:val="6"/>
              <w:spacing w:before="194" w:line="220" w:lineRule="auto"/>
              <w:ind w:left="3570"/>
              <w:rPr>
                <w:sz w:val="24"/>
                <w:szCs w:val="24"/>
              </w:rPr>
            </w:pPr>
            <w:r>
              <w:rPr>
                <w:spacing w:val="-1"/>
                <w:sz w:val="24"/>
                <w:szCs w:val="24"/>
                <w14:textOutline w14:w="4354" w14:cap="flat" w14:cmpd="sng">
                  <w14:solidFill>
                    <w14:srgbClr w14:val="000000"/>
                  </w14:solidFill>
                  <w14:prstDash w14:val="solid"/>
                  <w14:miter w14:val="10"/>
                </w14:textOutline>
              </w:rPr>
              <w:t>表</w:t>
            </w:r>
            <w:r>
              <w:rPr>
                <w:spacing w:val="-49"/>
                <w:sz w:val="24"/>
                <w:szCs w:val="24"/>
              </w:rPr>
              <w:t xml:space="preserve"> </w:t>
            </w:r>
            <w:r>
              <w:rPr>
                <w:rFonts w:ascii="Times New Roman" w:hAnsi="Times New Roman" w:eastAsia="Times New Roman" w:cs="Times New Roman"/>
                <w:b/>
                <w:bCs/>
                <w:spacing w:val="-1"/>
                <w:sz w:val="24"/>
                <w:szCs w:val="24"/>
              </w:rPr>
              <w:t xml:space="preserve">2.7-2  </w:t>
            </w:r>
            <w:r>
              <w:rPr>
                <w:spacing w:val="-1"/>
                <w:sz w:val="24"/>
                <w:szCs w:val="24"/>
                <w14:textOutline w14:w="4354" w14:cap="flat" w14:cmpd="sng">
                  <w14:solidFill>
                    <w14:srgbClr w14:val="000000"/>
                  </w14:solidFill>
                  <w14:prstDash w14:val="solid"/>
                  <w14:miter w14:val="10"/>
                </w14:textOutline>
              </w:rPr>
              <w:t>项目土石方量表</w:t>
            </w:r>
          </w:p>
          <w:p>
            <w:pPr>
              <w:spacing w:line="15"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4"/>
              <w:gridCol w:w="2217"/>
              <w:gridCol w:w="1840"/>
              <w:gridCol w:w="1843"/>
              <w:gridCol w:w="9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24" w:type="dxa"/>
                  <w:vMerge w:val="restart"/>
                  <w:tcBorders>
                    <w:bottom w:val="nil"/>
                  </w:tcBorders>
                  <w:vAlign w:val="top"/>
                </w:tcPr>
                <w:p>
                  <w:pPr>
                    <w:pStyle w:val="6"/>
                    <w:spacing w:before="243" w:line="221" w:lineRule="auto"/>
                    <w:ind w:left="660"/>
                    <w:rPr>
                      <w:sz w:val="21"/>
                      <w:szCs w:val="21"/>
                    </w:rPr>
                  </w:pPr>
                  <w:r>
                    <w:rPr>
                      <w:spacing w:val="-3"/>
                      <w:sz w:val="21"/>
                      <w:szCs w:val="21"/>
                    </w:rPr>
                    <w:t>分区</w:t>
                  </w:r>
                </w:p>
              </w:tc>
              <w:tc>
                <w:tcPr>
                  <w:tcW w:w="4057" w:type="dxa"/>
                  <w:gridSpan w:val="2"/>
                  <w:vAlign w:val="top"/>
                </w:tcPr>
                <w:p>
                  <w:pPr>
                    <w:pStyle w:val="6"/>
                    <w:spacing w:before="67" w:line="236" w:lineRule="auto"/>
                    <w:ind w:left="1682"/>
                    <w:rPr>
                      <w:rFonts w:ascii="Times New Roman" w:hAnsi="Times New Roman" w:eastAsia="Times New Roman" w:cs="Times New Roman"/>
                      <w:sz w:val="13"/>
                      <w:szCs w:val="13"/>
                    </w:rPr>
                  </w:pPr>
                  <w:r>
                    <w:rPr>
                      <w:spacing w:val="-1"/>
                      <w:sz w:val="21"/>
                      <w:szCs w:val="21"/>
                    </w:rPr>
                    <w:t>挖方</w:t>
                  </w:r>
                  <w:r>
                    <w:rPr>
                      <w:spacing w:val="-50"/>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843" w:type="dxa"/>
                  <w:vMerge w:val="restart"/>
                  <w:tcBorders>
                    <w:bottom w:val="nil"/>
                  </w:tcBorders>
                  <w:vAlign w:val="top"/>
                </w:tcPr>
                <w:p>
                  <w:pPr>
                    <w:pStyle w:val="6"/>
                    <w:spacing w:before="243" w:line="235" w:lineRule="auto"/>
                    <w:ind w:left="580"/>
                    <w:rPr>
                      <w:rFonts w:ascii="Times New Roman" w:hAnsi="Times New Roman" w:eastAsia="Times New Roman" w:cs="Times New Roman"/>
                      <w:sz w:val="13"/>
                      <w:szCs w:val="13"/>
                    </w:rPr>
                  </w:pPr>
                  <w:r>
                    <w:rPr>
                      <w:spacing w:val="-2"/>
                      <w:sz w:val="21"/>
                      <w:szCs w:val="21"/>
                    </w:rPr>
                    <w:t>填方</w:t>
                  </w:r>
                  <w:r>
                    <w:rPr>
                      <w:spacing w:val="-49"/>
                      <w:sz w:val="21"/>
                      <w:szCs w:val="21"/>
                    </w:rPr>
                    <w:t xml:space="preserve"> </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6"/>
                      <w:sz w:val="13"/>
                      <w:szCs w:val="13"/>
                    </w:rPr>
                    <w:t>3</w:t>
                  </w:r>
                </w:p>
              </w:tc>
              <w:tc>
                <w:tcPr>
                  <w:tcW w:w="988" w:type="dxa"/>
                  <w:vMerge w:val="restart"/>
                  <w:tcBorders>
                    <w:bottom w:val="nil"/>
                  </w:tcBorders>
                  <w:vAlign w:val="top"/>
                </w:tcPr>
                <w:p>
                  <w:pPr>
                    <w:pStyle w:val="6"/>
                    <w:spacing w:before="243" w:line="234" w:lineRule="auto"/>
                    <w:ind w:left="150"/>
                    <w:rPr>
                      <w:rFonts w:ascii="Times New Roman" w:hAnsi="Times New Roman" w:eastAsia="Times New Roman" w:cs="Times New Roman"/>
                      <w:sz w:val="13"/>
                      <w:szCs w:val="13"/>
                    </w:rPr>
                  </w:pPr>
                  <w:r>
                    <w:rPr>
                      <w:spacing w:val="-2"/>
                      <w:sz w:val="21"/>
                      <w:szCs w:val="21"/>
                    </w:rPr>
                    <w:t>弃方</w:t>
                  </w:r>
                  <w:r>
                    <w:rPr>
                      <w:spacing w:val="-50"/>
                      <w:sz w:val="21"/>
                      <w:szCs w:val="21"/>
                    </w:rPr>
                    <w:t xml:space="preserve"> </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Merge w:val="continue"/>
                  <w:tcBorders>
                    <w:top w:val="nil"/>
                  </w:tcBorders>
                  <w:vAlign w:val="top"/>
                </w:tcPr>
                <w:p>
                  <w:pPr>
                    <w:rPr>
                      <w:rFonts w:ascii="Arial"/>
                      <w:sz w:val="21"/>
                    </w:rPr>
                  </w:pPr>
                </w:p>
              </w:tc>
              <w:tc>
                <w:tcPr>
                  <w:tcW w:w="2217" w:type="dxa"/>
                  <w:vAlign w:val="top"/>
                </w:tcPr>
                <w:p>
                  <w:pPr>
                    <w:pStyle w:val="6"/>
                    <w:spacing w:before="63" w:line="221" w:lineRule="auto"/>
                    <w:ind w:left="906"/>
                    <w:rPr>
                      <w:sz w:val="21"/>
                      <w:szCs w:val="21"/>
                    </w:rPr>
                  </w:pPr>
                  <w:r>
                    <w:rPr>
                      <w:spacing w:val="-2"/>
                      <w:sz w:val="21"/>
                      <w:szCs w:val="21"/>
                    </w:rPr>
                    <w:t>其他</w:t>
                  </w:r>
                </w:p>
              </w:tc>
              <w:tc>
                <w:tcPr>
                  <w:tcW w:w="1840" w:type="dxa"/>
                  <w:vAlign w:val="top"/>
                </w:tcPr>
                <w:p>
                  <w:pPr>
                    <w:pStyle w:val="6"/>
                    <w:spacing w:before="63" w:line="220" w:lineRule="auto"/>
                    <w:ind w:left="610"/>
                    <w:rPr>
                      <w:sz w:val="21"/>
                      <w:szCs w:val="21"/>
                    </w:rPr>
                  </w:pPr>
                  <w:r>
                    <w:rPr>
                      <w:spacing w:val="-2"/>
                      <w:sz w:val="21"/>
                      <w:szCs w:val="21"/>
                    </w:rPr>
                    <w:t>耕植土</w:t>
                  </w:r>
                </w:p>
              </w:tc>
              <w:tc>
                <w:tcPr>
                  <w:tcW w:w="1843" w:type="dxa"/>
                  <w:vMerge w:val="continue"/>
                  <w:tcBorders>
                    <w:top w:val="nil"/>
                  </w:tcBorders>
                  <w:vAlign w:val="top"/>
                </w:tcPr>
                <w:p>
                  <w:pPr>
                    <w:rPr>
                      <w:rFonts w:ascii="Arial"/>
                      <w:sz w:val="21"/>
                    </w:rPr>
                  </w:pPr>
                </w:p>
              </w:tc>
              <w:tc>
                <w:tcPr>
                  <w:tcW w:w="9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Align w:val="top"/>
                </w:tcPr>
                <w:p>
                  <w:pPr>
                    <w:pStyle w:val="6"/>
                    <w:spacing w:before="64" w:line="221" w:lineRule="auto"/>
                    <w:ind w:left="447"/>
                    <w:rPr>
                      <w:sz w:val="21"/>
                      <w:szCs w:val="21"/>
                    </w:rPr>
                  </w:pPr>
                  <w:r>
                    <w:rPr>
                      <w:spacing w:val="-2"/>
                      <w:sz w:val="21"/>
                      <w:szCs w:val="21"/>
                    </w:rPr>
                    <w:t>井场工程</w:t>
                  </w:r>
                </w:p>
              </w:tc>
              <w:tc>
                <w:tcPr>
                  <w:tcW w:w="2217" w:type="dxa"/>
                  <w:vAlign w:val="top"/>
                </w:tcPr>
                <w:p>
                  <w:pPr>
                    <w:spacing w:before="102" w:line="187" w:lineRule="auto"/>
                    <w:ind w:left="9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9573</w:t>
                  </w:r>
                </w:p>
              </w:tc>
              <w:tc>
                <w:tcPr>
                  <w:tcW w:w="1840" w:type="dxa"/>
                  <w:vAlign w:val="top"/>
                </w:tcPr>
                <w:p>
                  <w:pPr>
                    <w:spacing w:before="102" w:line="187" w:lineRule="auto"/>
                    <w:ind w:left="7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4002</w:t>
                  </w:r>
                </w:p>
              </w:tc>
              <w:tc>
                <w:tcPr>
                  <w:tcW w:w="1843" w:type="dxa"/>
                  <w:vAlign w:val="top"/>
                </w:tcPr>
                <w:p>
                  <w:pPr>
                    <w:spacing w:before="102"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14781</w:t>
                  </w:r>
                </w:p>
              </w:tc>
              <w:tc>
                <w:tcPr>
                  <w:tcW w:w="98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0" w:line="187"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24" w:type="dxa"/>
                  <w:vAlign w:val="top"/>
                </w:tcPr>
                <w:p>
                  <w:pPr>
                    <w:pStyle w:val="6"/>
                    <w:spacing w:before="64" w:line="222" w:lineRule="auto"/>
                    <w:ind w:left="450"/>
                    <w:rPr>
                      <w:sz w:val="21"/>
                      <w:szCs w:val="21"/>
                    </w:rPr>
                  </w:pPr>
                  <w:r>
                    <w:rPr>
                      <w:spacing w:val="-3"/>
                      <w:sz w:val="21"/>
                      <w:szCs w:val="21"/>
                    </w:rPr>
                    <w:t>设备基础</w:t>
                  </w:r>
                </w:p>
              </w:tc>
              <w:tc>
                <w:tcPr>
                  <w:tcW w:w="2217" w:type="dxa"/>
                  <w:vAlign w:val="top"/>
                </w:tcPr>
                <w:p>
                  <w:pPr>
                    <w:spacing w:before="102" w:line="187" w:lineRule="auto"/>
                    <w:ind w:left="9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972</w:t>
                  </w:r>
                </w:p>
              </w:tc>
              <w:tc>
                <w:tcPr>
                  <w:tcW w:w="1840" w:type="dxa"/>
                  <w:vAlign w:val="top"/>
                </w:tcPr>
                <w:p>
                  <w:pPr>
                    <w:spacing w:before="99" w:line="231" w:lineRule="auto"/>
                    <w:ind w:left="89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3" w:type="dxa"/>
                  <w:vAlign w:val="top"/>
                </w:tcPr>
                <w:p>
                  <w:pPr>
                    <w:spacing w:before="99" w:line="231" w:lineRule="auto"/>
                    <w:ind w:left="89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8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Align w:val="top"/>
                </w:tcPr>
                <w:p>
                  <w:pPr>
                    <w:pStyle w:val="6"/>
                    <w:spacing w:before="67" w:line="221" w:lineRule="auto"/>
                    <w:ind w:left="447"/>
                    <w:rPr>
                      <w:sz w:val="21"/>
                      <w:szCs w:val="21"/>
                    </w:rPr>
                  </w:pPr>
                  <w:r>
                    <w:rPr>
                      <w:spacing w:val="-2"/>
                      <w:sz w:val="21"/>
                      <w:szCs w:val="21"/>
                    </w:rPr>
                    <w:t>池类工程</w:t>
                  </w:r>
                </w:p>
              </w:tc>
              <w:tc>
                <w:tcPr>
                  <w:tcW w:w="2217" w:type="dxa"/>
                  <w:vAlign w:val="top"/>
                </w:tcPr>
                <w:p>
                  <w:pPr>
                    <w:spacing w:before="106" w:line="187" w:lineRule="auto"/>
                    <w:ind w:left="9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778</w:t>
                  </w:r>
                </w:p>
              </w:tc>
              <w:tc>
                <w:tcPr>
                  <w:tcW w:w="1840" w:type="dxa"/>
                  <w:vAlign w:val="top"/>
                </w:tcPr>
                <w:p>
                  <w:pPr>
                    <w:spacing w:before="106" w:line="187" w:lineRule="auto"/>
                    <w:ind w:left="78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1843" w:type="dxa"/>
                  <w:vAlign w:val="top"/>
                </w:tcPr>
                <w:p>
                  <w:pPr>
                    <w:spacing w:before="106" w:line="187" w:lineRule="auto"/>
                    <w:ind w:left="7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1196</w:t>
                  </w:r>
                </w:p>
              </w:tc>
              <w:tc>
                <w:tcPr>
                  <w:tcW w:w="98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Align w:val="top"/>
                </w:tcPr>
                <w:p>
                  <w:pPr>
                    <w:pStyle w:val="6"/>
                    <w:spacing w:before="68" w:line="220" w:lineRule="auto"/>
                    <w:ind w:left="553"/>
                    <w:rPr>
                      <w:sz w:val="21"/>
                      <w:szCs w:val="21"/>
                    </w:rPr>
                  </w:pPr>
                  <w:r>
                    <w:rPr>
                      <w:spacing w:val="-2"/>
                      <w:sz w:val="21"/>
                      <w:szCs w:val="21"/>
                    </w:rPr>
                    <w:t>燃烧池</w:t>
                  </w:r>
                </w:p>
              </w:tc>
              <w:tc>
                <w:tcPr>
                  <w:tcW w:w="2217" w:type="dxa"/>
                  <w:vAlign w:val="top"/>
                </w:tcPr>
                <w:p>
                  <w:pPr>
                    <w:spacing w:before="107" w:line="187" w:lineRule="auto"/>
                    <w:ind w:left="9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1840" w:type="dxa"/>
                  <w:vAlign w:val="top"/>
                </w:tcPr>
                <w:p>
                  <w:pPr>
                    <w:spacing w:before="103" w:line="230" w:lineRule="auto"/>
                    <w:ind w:left="89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3" w:type="dxa"/>
                  <w:vAlign w:val="top"/>
                </w:tcPr>
                <w:p>
                  <w:pPr>
                    <w:spacing w:before="107" w:line="187" w:lineRule="auto"/>
                    <w:ind w:left="7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423</w:t>
                  </w:r>
                </w:p>
              </w:tc>
              <w:tc>
                <w:tcPr>
                  <w:tcW w:w="98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Align w:val="top"/>
                </w:tcPr>
                <w:p>
                  <w:pPr>
                    <w:pStyle w:val="6"/>
                    <w:spacing w:before="66" w:line="221" w:lineRule="auto"/>
                    <w:ind w:left="340"/>
                    <w:rPr>
                      <w:sz w:val="21"/>
                      <w:szCs w:val="21"/>
                    </w:rPr>
                  </w:pPr>
                  <w:r>
                    <w:rPr>
                      <w:spacing w:val="-1"/>
                      <w:sz w:val="21"/>
                      <w:szCs w:val="21"/>
                    </w:rPr>
                    <w:t>场内排水沟</w:t>
                  </w:r>
                </w:p>
              </w:tc>
              <w:tc>
                <w:tcPr>
                  <w:tcW w:w="2217" w:type="dxa"/>
                  <w:vAlign w:val="top"/>
                </w:tcPr>
                <w:p>
                  <w:pPr>
                    <w:spacing w:before="105" w:line="187" w:lineRule="auto"/>
                    <w:ind w:left="9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206</w:t>
                  </w:r>
                </w:p>
              </w:tc>
              <w:tc>
                <w:tcPr>
                  <w:tcW w:w="1840" w:type="dxa"/>
                  <w:vAlign w:val="top"/>
                </w:tcPr>
                <w:p>
                  <w:pPr>
                    <w:spacing w:before="101" w:line="232" w:lineRule="auto"/>
                    <w:ind w:left="89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3" w:type="dxa"/>
                  <w:vAlign w:val="top"/>
                </w:tcPr>
                <w:p>
                  <w:pPr>
                    <w:spacing w:before="105" w:line="187" w:lineRule="auto"/>
                    <w:ind w:left="78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187</w:t>
                  </w:r>
                </w:p>
              </w:tc>
              <w:tc>
                <w:tcPr>
                  <w:tcW w:w="98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Align w:val="top"/>
                </w:tcPr>
                <w:p>
                  <w:pPr>
                    <w:pStyle w:val="6"/>
                    <w:spacing w:before="66" w:line="221" w:lineRule="auto"/>
                    <w:ind w:left="450"/>
                    <w:rPr>
                      <w:sz w:val="21"/>
                      <w:szCs w:val="21"/>
                    </w:rPr>
                  </w:pPr>
                  <w:r>
                    <w:rPr>
                      <w:spacing w:val="-3"/>
                      <w:sz w:val="21"/>
                      <w:szCs w:val="21"/>
                    </w:rPr>
                    <w:t>维修道路</w:t>
                  </w:r>
                </w:p>
              </w:tc>
              <w:tc>
                <w:tcPr>
                  <w:tcW w:w="2217" w:type="dxa"/>
                  <w:vAlign w:val="top"/>
                </w:tcPr>
                <w:p>
                  <w:pPr>
                    <w:spacing w:before="105" w:line="187" w:lineRule="auto"/>
                    <w:ind w:left="92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1014</w:t>
                  </w:r>
                </w:p>
              </w:tc>
              <w:tc>
                <w:tcPr>
                  <w:tcW w:w="1840" w:type="dxa"/>
                  <w:vAlign w:val="top"/>
                </w:tcPr>
                <w:p>
                  <w:pPr>
                    <w:spacing w:before="101" w:line="232" w:lineRule="auto"/>
                    <w:ind w:left="89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3" w:type="dxa"/>
                  <w:vAlign w:val="top"/>
                </w:tcPr>
                <w:p>
                  <w:pPr>
                    <w:spacing w:before="105" w:line="187" w:lineRule="auto"/>
                    <w:ind w:left="7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779</w:t>
                  </w:r>
                </w:p>
              </w:tc>
              <w:tc>
                <w:tcPr>
                  <w:tcW w:w="98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24" w:type="dxa"/>
                  <w:vAlign w:val="top"/>
                </w:tcPr>
                <w:p>
                  <w:pPr>
                    <w:pStyle w:val="6"/>
                    <w:spacing w:before="66" w:line="221" w:lineRule="auto"/>
                    <w:ind w:left="448"/>
                    <w:rPr>
                      <w:sz w:val="21"/>
                      <w:szCs w:val="21"/>
                    </w:rPr>
                  </w:pPr>
                  <w:r>
                    <w:rPr>
                      <w:spacing w:val="-2"/>
                      <w:sz w:val="21"/>
                      <w:szCs w:val="21"/>
                    </w:rPr>
                    <w:t>新建道路</w:t>
                  </w:r>
                </w:p>
              </w:tc>
              <w:tc>
                <w:tcPr>
                  <w:tcW w:w="2217" w:type="dxa"/>
                  <w:vAlign w:val="top"/>
                </w:tcPr>
                <w:p>
                  <w:pPr>
                    <w:spacing w:before="105" w:line="187" w:lineRule="auto"/>
                    <w:ind w:left="9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3864</w:t>
                  </w:r>
                </w:p>
              </w:tc>
              <w:tc>
                <w:tcPr>
                  <w:tcW w:w="1840" w:type="dxa"/>
                  <w:vAlign w:val="top"/>
                </w:tcPr>
                <w:p>
                  <w:pPr>
                    <w:spacing w:before="105" w:line="187" w:lineRule="auto"/>
                    <w:ind w:left="7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219</w:t>
                  </w:r>
                </w:p>
              </w:tc>
              <w:tc>
                <w:tcPr>
                  <w:tcW w:w="1843" w:type="dxa"/>
                  <w:vAlign w:val="top"/>
                </w:tcPr>
                <w:p>
                  <w:pPr>
                    <w:spacing w:before="105" w:line="187" w:lineRule="auto"/>
                    <w:ind w:left="7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3814</w:t>
                  </w:r>
                </w:p>
              </w:tc>
              <w:tc>
                <w:tcPr>
                  <w:tcW w:w="98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24" w:type="dxa"/>
                  <w:vAlign w:val="top"/>
                </w:tcPr>
                <w:p>
                  <w:pPr>
                    <w:pStyle w:val="6"/>
                    <w:spacing w:before="68" w:line="221" w:lineRule="auto"/>
                    <w:ind w:left="554"/>
                    <w:rPr>
                      <w:sz w:val="21"/>
                      <w:szCs w:val="21"/>
                    </w:rPr>
                  </w:pPr>
                  <w:r>
                    <w:rPr>
                      <w:spacing w:val="-2"/>
                      <w:sz w:val="21"/>
                      <w:szCs w:val="21"/>
                    </w:rPr>
                    <w:t>生活区</w:t>
                  </w:r>
                </w:p>
              </w:tc>
              <w:tc>
                <w:tcPr>
                  <w:tcW w:w="2217" w:type="dxa"/>
                  <w:vAlign w:val="top"/>
                </w:tcPr>
                <w:p>
                  <w:pPr>
                    <w:spacing w:before="102" w:line="228" w:lineRule="auto"/>
                    <w:ind w:left="107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0" w:type="dxa"/>
                  <w:vAlign w:val="top"/>
                </w:tcPr>
                <w:p>
                  <w:pPr>
                    <w:spacing w:before="106" w:line="187" w:lineRule="auto"/>
                    <w:ind w:left="7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1843" w:type="dxa"/>
                  <w:vAlign w:val="top"/>
                </w:tcPr>
                <w:p>
                  <w:pPr>
                    <w:spacing w:before="106" w:line="187" w:lineRule="auto"/>
                    <w:ind w:left="7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9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24" w:type="dxa"/>
                  <w:vAlign w:val="top"/>
                </w:tcPr>
                <w:p>
                  <w:pPr>
                    <w:pStyle w:val="6"/>
                    <w:spacing w:before="71" w:line="222" w:lineRule="auto"/>
                    <w:ind w:left="661"/>
                    <w:rPr>
                      <w:sz w:val="21"/>
                      <w:szCs w:val="21"/>
                    </w:rPr>
                  </w:pPr>
                  <w:r>
                    <w:rPr>
                      <w:spacing w:val="-3"/>
                      <w:sz w:val="21"/>
                      <w:szCs w:val="21"/>
                      <w14:textOutline w14:w="3831" w14:cap="flat" w14:cmpd="sng">
                        <w14:solidFill>
                          <w14:srgbClr w14:val="000000"/>
                        </w14:solidFill>
                        <w14:prstDash w14:val="solid"/>
                        <w14:miter w14:val="10"/>
                      </w14:textOutline>
                    </w:rPr>
                    <w:t>总计</w:t>
                  </w:r>
                </w:p>
              </w:tc>
              <w:tc>
                <w:tcPr>
                  <w:tcW w:w="2217" w:type="dxa"/>
                  <w:vAlign w:val="top"/>
                </w:tcPr>
                <w:p>
                  <w:pPr>
                    <w:spacing w:before="109" w:line="187" w:lineRule="auto"/>
                    <w:ind w:left="858"/>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16779</w:t>
                  </w:r>
                </w:p>
              </w:tc>
              <w:tc>
                <w:tcPr>
                  <w:tcW w:w="1840" w:type="dxa"/>
                  <w:vAlign w:val="top"/>
                </w:tcPr>
                <w:p>
                  <w:pPr>
                    <w:spacing w:before="109" w:line="187" w:lineRule="auto"/>
                    <w:ind w:left="713"/>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4751</w:t>
                  </w:r>
                </w:p>
              </w:tc>
              <w:tc>
                <w:tcPr>
                  <w:tcW w:w="1843" w:type="dxa"/>
                  <w:vAlign w:val="top"/>
                </w:tcPr>
                <w:p>
                  <w:pPr>
                    <w:spacing w:before="109" w:line="187" w:lineRule="auto"/>
                    <w:ind w:left="663"/>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21530</w:t>
                  </w:r>
                </w:p>
              </w:tc>
              <w:tc>
                <w:tcPr>
                  <w:tcW w:w="988" w:type="dxa"/>
                  <w:vAlign w:val="top"/>
                </w:tcPr>
                <w:p>
                  <w:pPr>
                    <w:spacing w:before="109" w:line="187" w:lineRule="auto"/>
                    <w:ind w:left="446"/>
                    <w:rPr>
                      <w:rFonts w:ascii="Times New Roman" w:hAnsi="Times New Roman" w:eastAsia="Times New Roman" w:cs="Times New Roman"/>
                      <w:sz w:val="21"/>
                      <w:szCs w:val="21"/>
                    </w:rPr>
                  </w:pPr>
                  <w:r>
                    <w:rPr>
                      <w:rFonts w:ascii="Times New Roman" w:hAnsi="Times New Roman" w:eastAsia="Times New Roman" w:cs="Times New Roman"/>
                      <w:b/>
                      <w:bCs/>
                      <w:sz w:val="21"/>
                      <w:szCs w:val="21"/>
                    </w:rPr>
                    <w:t>0</w:t>
                  </w:r>
                </w:p>
              </w:tc>
            </w:tr>
          </w:tbl>
          <w:p>
            <w:pPr>
              <w:pStyle w:val="6"/>
              <w:spacing w:before="211" w:line="220" w:lineRule="auto"/>
              <w:ind w:left="562"/>
              <w:rPr>
                <w:sz w:val="24"/>
                <w:szCs w:val="24"/>
              </w:rPr>
            </w:pPr>
            <w:r>
              <w:rPr>
                <w:rFonts w:ascii="Times New Roman" w:hAnsi="Times New Roman" w:eastAsia="Times New Roman" w:cs="Times New Roman"/>
                <w:b/>
                <w:bCs/>
                <w:sz w:val="24"/>
                <w:szCs w:val="24"/>
              </w:rPr>
              <w:t xml:space="preserve">2.8 </w:t>
            </w:r>
            <w:r>
              <w:rPr>
                <w:sz w:val="24"/>
                <w:szCs w:val="24"/>
                <w14:textOutline w14:w="4354" w14:cap="flat" w14:cmpd="sng">
                  <w14:solidFill>
                    <w14:srgbClr w14:val="000000"/>
                  </w14:solidFill>
                  <w14:prstDash w14:val="solid"/>
                  <w14:miter w14:val="10"/>
                </w14:textOutline>
              </w:rPr>
              <w:t>施工时序及劳动定员</w:t>
            </w:r>
          </w:p>
          <w:p>
            <w:pPr>
              <w:pStyle w:val="6"/>
              <w:spacing w:before="201" w:line="220" w:lineRule="auto"/>
              <w:ind w:left="1048"/>
              <w:rPr>
                <w:sz w:val="24"/>
                <w:szCs w:val="24"/>
              </w:rPr>
            </w:pPr>
            <w:r>
              <w:rPr>
                <w:spacing w:val="-3"/>
                <w:sz w:val="24"/>
                <w:szCs w:val="24"/>
              </w:rPr>
              <w:t>工程分钻前作业、钻井作业、完井测试作业。</w:t>
            </w:r>
          </w:p>
          <w:p>
            <w:pPr>
              <w:pStyle w:val="6"/>
              <w:spacing w:before="195" w:line="480" w:lineRule="exact"/>
              <w:ind w:left="1045"/>
              <w:rPr>
                <w:sz w:val="24"/>
                <w:szCs w:val="24"/>
              </w:rPr>
            </w:pPr>
            <w:r>
              <w:rPr>
                <w:spacing w:val="-15"/>
                <w:position w:val="18"/>
                <w:sz w:val="24"/>
                <w:szCs w:val="24"/>
              </w:rPr>
              <w:t>钻前作业： 主要为土建施工，</w:t>
            </w:r>
            <w:r>
              <w:rPr>
                <w:spacing w:val="86"/>
                <w:position w:val="18"/>
                <w:sz w:val="24"/>
                <w:szCs w:val="24"/>
              </w:rPr>
              <w:t xml:space="preserve"> </w:t>
            </w:r>
            <w:r>
              <w:rPr>
                <w:spacing w:val="-15"/>
                <w:position w:val="18"/>
                <w:sz w:val="24"/>
                <w:szCs w:val="24"/>
              </w:rPr>
              <w:t>由专业施工单位组织当地民工施工作业为主，</w:t>
            </w:r>
            <w:r>
              <w:rPr>
                <w:spacing w:val="62"/>
                <w:position w:val="18"/>
                <w:sz w:val="24"/>
                <w:szCs w:val="24"/>
              </w:rPr>
              <w:t xml:space="preserve"> </w:t>
            </w:r>
            <w:r>
              <w:rPr>
                <w:spacing w:val="-15"/>
                <w:position w:val="18"/>
                <w:sz w:val="24"/>
                <w:szCs w:val="24"/>
              </w:rPr>
              <w:t>高</w:t>
            </w:r>
          </w:p>
          <w:p>
            <w:pPr>
              <w:pStyle w:val="6"/>
              <w:spacing w:before="1" w:line="219" w:lineRule="auto"/>
              <w:ind w:left="574"/>
              <w:rPr>
                <w:sz w:val="24"/>
                <w:szCs w:val="24"/>
              </w:rPr>
            </w:pPr>
            <w:r>
              <w:rPr>
                <w:spacing w:val="-3"/>
                <w:sz w:val="24"/>
                <w:szCs w:val="24"/>
              </w:rPr>
              <w:t>峰时每天施工人员约</w:t>
            </w:r>
            <w:r>
              <w:rPr>
                <w:spacing w:val="-33"/>
                <w:sz w:val="24"/>
                <w:szCs w:val="24"/>
              </w:rPr>
              <w:t xml:space="preserve"> </w:t>
            </w:r>
            <w:r>
              <w:rPr>
                <w:rFonts w:ascii="Times New Roman" w:hAnsi="Times New Roman" w:eastAsia="Times New Roman" w:cs="Times New Roman"/>
                <w:spacing w:val="-3"/>
                <w:sz w:val="24"/>
                <w:szCs w:val="24"/>
              </w:rPr>
              <w:t xml:space="preserve">30 </w:t>
            </w:r>
            <w:r>
              <w:rPr>
                <w:spacing w:val="-3"/>
                <w:sz w:val="24"/>
                <w:szCs w:val="24"/>
              </w:rPr>
              <w:t>人。施工工期约</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个月，白天施工，夜间不作业。</w:t>
            </w:r>
          </w:p>
          <w:p>
            <w:pPr>
              <w:pStyle w:val="6"/>
              <w:spacing w:before="195" w:line="480" w:lineRule="exact"/>
              <w:ind w:left="1045"/>
              <w:rPr>
                <w:sz w:val="24"/>
                <w:szCs w:val="24"/>
              </w:rPr>
            </w:pPr>
            <w:r>
              <w:rPr>
                <w:spacing w:val="-2"/>
                <w:position w:val="17"/>
                <w:sz w:val="24"/>
                <w:szCs w:val="24"/>
              </w:rPr>
              <w:t>钻井作业：钻井队一般为</w:t>
            </w:r>
            <w:r>
              <w:rPr>
                <w:spacing w:val="-43"/>
                <w:position w:val="17"/>
                <w:sz w:val="24"/>
                <w:szCs w:val="24"/>
              </w:rPr>
              <w:t xml:space="preserve"> </w:t>
            </w:r>
            <w:r>
              <w:rPr>
                <w:rFonts w:ascii="Times New Roman" w:hAnsi="Times New Roman" w:eastAsia="Times New Roman" w:cs="Times New Roman"/>
                <w:spacing w:val="-2"/>
                <w:position w:val="17"/>
                <w:sz w:val="24"/>
                <w:szCs w:val="24"/>
              </w:rPr>
              <w:t>40</w:t>
            </w:r>
            <w:r>
              <w:rPr>
                <w:rFonts w:ascii="Times New Roman" w:hAnsi="Times New Roman" w:eastAsia="Times New Roman" w:cs="Times New Roman"/>
                <w:spacing w:val="19"/>
                <w:position w:val="17"/>
                <w:sz w:val="24"/>
                <w:szCs w:val="24"/>
              </w:rPr>
              <w:t xml:space="preserve"> </w:t>
            </w:r>
            <w:r>
              <w:rPr>
                <w:spacing w:val="-2"/>
                <w:position w:val="17"/>
                <w:sz w:val="24"/>
                <w:szCs w:val="24"/>
              </w:rPr>
              <w:t>人</w:t>
            </w:r>
            <w:r>
              <w:rPr>
                <w:rFonts w:ascii="Times New Roman" w:hAnsi="Times New Roman" w:eastAsia="Times New Roman" w:cs="Times New Roman"/>
                <w:spacing w:val="-2"/>
                <w:position w:val="17"/>
                <w:sz w:val="24"/>
                <w:szCs w:val="24"/>
              </w:rPr>
              <w:t>/</w:t>
            </w:r>
            <w:r>
              <w:rPr>
                <w:spacing w:val="-2"/>
                <w:position w:val="17"/>
                <w:sz w:val="24"/>
                <w:szCs w:val="24"/>
              </w:rPr>
              <w:t>井队，分两队倒班，钻井队为</w:t>
            </w:r>
            <w:r>
              <w:rPr>
                <w:spacing w:val="-48"/>
                <w:position w:val="17"/>
                <w:sz w:val="24"/>
                <w:szCs w:val="24"/>
              </w:rPr>
              <w:t xml:space="preserve"> </w:t>
            </w:r>
            <w:r>
              <w:rPr>
                <w:rFonts w:ascii="Times New Roman" w:hAnsi="Times New Roman" w:eastAsia="Times New Roman" w:cs="Times New Roman"/>
                <w:spacing w:val="-2"/>
                <w:position w:val="17"/>
                <w:sz w:val="24"/>
                <w:szCs w:val="24"/>
              </w:rPr>
              <w:t>24h</w:t>
            </w:r>
            <w:r>
              <w:rPr>
                <w:rFonts w:ascii="Times New Roman" w:hAnsi="Times New Roman" w:eastAsia="Times New Roman" w:cs="Times New Roman"/>
                <w:spacing w:val="18"/>
                <w:position w:val="17"/>
                <w:sz w:val="24"/>
                <w:szCs w:val="24"/>
              </w:rPr>
              <w:t xml:space="preserve"> </w:t>
            </w:r>
            <w:r>
              <w:rPr>
                <w:spacing w:val="-2"/>
                <w:position w:val="17"/>
                <w:sz w:val="24"/>
                <w:szCs w:val="24"/>
              </w:rPr>
              <w:t>连续工作。</w:t>
            </w:r>
          </w:p>
          <w:p>
            <w:pPr>
              <w:pStyle w:val="6"/>
              <w:spacing w:line="219" w:lineRule="auto"/>
              <w:ind w:left="566"/>
              <w:rPr>
                <w:sz w:val="24"/>
                <w:szCs w:val="24"/>
              </w:rPr>
            </w:pPr>
            <w:r>
              <w:rPr>
                <w:spacing w:val="-4"/>
                <w:sz w:val="24"/>
                <w:szCs w:val="24"/>
              </w:rPr>
              <w:t>钻井工程周期约</w:t>
            </w:r>
            <w:r>
              <w:rPr>
                <w:spacing w:val="-43"/>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个月。</w:t>
            </w:r>
          </w:p>
          <w:p>
            <w:pPr>
              <w:pStyle w:val="6"/>
              <w:spacing w:before="195" w:line="480" w:lineRule="exact"/>
              <w:ind w:left="1047"/>
              <w:rPr>
                <w:sz w:val="24"/>
                <w:szCs w:val="24"/>
              </w:rPr>
            </w:pPr>
            <w:r>
              <w:rPr>
                <w:spacing w:val="-2"/>
                <w:position w:val="18"/>
                <w:sz w:val="24"/>
                <w:szCs w:val="24"/>
              </w:rPr>
              <w:t xml:space="preserve">完井测试作业：主要包括洗井作业、酸化作业、放喷测试，共计 </w:t>
            </w:r>
            <w:r>
              <w:rPr>
                <w:rFonts w:ascii="Times New Roman" w:hAnsi="Times New Roman" w:eastAsia="Times New Roman" w:cs="Times New Roman"/>
                <w:spacing w:val="-2"/>
                <w:position w:val="18"/>
                <w:sz w:val="24"/>
                <w:szCs w:val="24"/>
              </w:rPr>
              <w:t xml:space="preserve">40  </w:t>
            </w:r>
            <w:r>
              <w:rPr>
                <w:spacing w:val="-2"/>
                <w:position w:val="18"/>
                <w:sz w:val="24"/>
                <w:szCs w:val="24"/>
              </w:rPr>
              <w:t>人左右，</w:t>
            </w:r>
          </w:p>
          <w:p>
            <w:pPr>
              <w:pStyle w:val="6"/>
              <w:spacing w:before="1" w:line="218" w:lineRule="auto"/>
              <w:ind w:left="577"/>
              <w:rPr>
                <w:sz w:val="24"/>
                <w:szCs w:val="24"/>
              </w:rPr>
            </w:pPr>
            <w:r>
              <w:rPr>
                <w:spacing w:val="-2"/>
                <w:sz w:val="24"/>
                <w:szCs w:val="24"/>
              </w:rPr>
              <w:t>时间约</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个月。办公、生活依托钻井工程的活动板房，仅白</w:t>
            </w:r>
            <w:r>
              <w:rPr>
                <w:spacing w:val="-3"/>
                <w:sz w:val="24"/>
                <w:szCs w:val="24"/>
              </w:rPr>
              <w:t>天施工，夜间不作业。</w:t>
            </w:r>
          </w:p>
          <w:p>
            <w:pPr>
              <w:pStyle w:val="6"/>
              <w:spacing w:before="244" w:line="220" w:lineRule="auto"/>
              <w:ind w:left="562"/>
              <w:rPr>
                <w:sz w:val="24"/>
                <w:szCs w:val="24"/>
              </w:rPr>
            </w:pPr>
            <w:r>
              <w:rPr>
                <w:rFonts w:ascii="Times New Roman" w:hAnsi="Times New Roman" w:eastAsia="Times New Roman" w:cs="Times New Roman"/>
                <w:b/>
                <w:bCs/>
                <w:spacing w:val="-1"/>
                <w:sz w:val="24"/>
                <w:szCs w:val="24"/>
              </w:rPr>
              <w:t xml:space="preserve">2.9 </w:t>
            </w:r>
            <w:r>
              <w:rPr>
                <w:spacing w:val="-1"/>
                <w:sz w:val="24"/>
                <w:szCs w:val="24"/>
                <w14:textOutline w14:w="4354" w14:cap="flat" w14:cmpd="sng">
                  <w14:solidFill>
                    <w14:srgbClr w14:val="000000"/>
                  </w14:solidFill>
                  <w14:prstDash w14:val="solid"/>
                  <w14:miter w14:val="10"/>
                </w14:textOutline>
              </w:rPr>
              <w:t>气质组成</w:t>
            </w:r>
          </w:p>
          <w:p>
            <w:pPr>
              <w:pStyle w:val="6"/>
              <w:spacing w:before="195" w:line="369" w:lineRule="auto"/>
              <w:ind w:left="566" w:right="103" w:firstLine="480"/>
              <w:jc w:val="both"/>
              <w:rPr>
                <w:sz w:val="24"/>
                <w:szCs w:val="24"/>
              </w:rPr>
            </w:pPr>
            <w:r>
              <w:rPr>
                <w:spacing w:val="-11"/>
                <w:sz w:val="24"/>
                <w:szCs w:val="24"/>
              </w:rPr>
              <w:t>本工程钻井为勘探井，</w:t>
            </w:r>
            <w:r>
              <w:rPr>
                <w:spacing w:val="53"/>
                <w:sz w:val="24"/>
                <w:szCs w:val="24"/>
              </w:rPr>
              <w:t xml:space="preserve"> </w:t>
            </w:r>
            <w:r>
              <w:rPr>
                <w:spacing w:val="-11"/>
                <w:sz w:val="24"/>
                <w:szCs w:val="24"/>
              </w:rPr>
              <w:t>属天然气勘探工程，</w:t>
            </w:r>
            <w:r>
              <w:rPr>
                <w:spacing w:val="55"/>
                <w:sz w:val="24"/>
                <w:szCs w:val="24"/>
              </w:rPr>
              <w:t xml:space="preserve"> </w:t>
            </w:r>
            <w:r>
              <w:rPr>
                <w:spacing w:val="-11"/>
                <w:sz w:val="24"/>
                <w:szCs w:val="24"/>
              </w:rPr>
              <w:t>天然气气质</w:t>
            </w:r>
            <w:r>
              <w:rPr>
                <w:spacing w:val="-12"/>
                <w:sz w:val="24"/>
                <w:szCs w:val="24"/>
              </w:rPr>
              <w:t>组成和测试流量均属不</w:t>
            </w:r>
            <w:r>
              <w:rPr>
                <w:sz w:val="24"/>
                <w:szCs w:val="24"/>
              </w:rPr>
              <w:t xml:space="preserve"> </w:t>
            </w:r>
            <w:r>
              <w:rPr>
                <w:spacing w:val="-3"/>
                <w:sz w:val="24"/>
                <w:szCs w:val="24"/>
              </w:rPr>
              <w:t>确定因素，根据《凤探</w:t>
            </w:r>
            <w:r>
              <w:rPr>
                <w:spacing w:val="-24"/>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w w:val="101"/>
                <w:sz w:val="24"/>
                <w:szCs w:val="24"/>
              </w:rPr>
              <w:t xml:space="preserve"> </w:t>
            </w:r>
            <w:r>
              <w:rPr>
                <w:spacing w:val="-3"/>
                <w:sz w:val="24"/>
                <w:szCs w:val="24"/>
              </w:rPr>
              <w:t>井钻井地质设计》</w:t>
            </w:r>
            <w:r>
              <w:rPr>
                <w:spacing w:val="-4"/>
                <w:sz w:val="24"/>
                <w:szCs w:val="24"/>
              </w:rPr>
              <w:t>，凤探</w:t>
            </w:r>
            <w:r>
              <w:rPr>
                <w:spacing w:val="-25"/>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7"/>
                <w:sz w:val="24"/>
                <w:szCs w:val="24"/>
              </w:rPr>
              <w:t xml:space="preserve"> </w:t>
            </w:r>
            <w:r>
              <w:rPr>
                <w:spacing w:val="-4"/>
                <w:sz w:val="24"/>
                <w:szCs w:val="24"/>
              </w:rPr>
              <w:t>井井区最近邻井为平安</w:t>
            </w:r>
            <w:r>
              <w:rPr>
                <w:spacing w:val="-24"/>
                <w:sz w:val="24"/>
                <w:szCs w:val="24"/>
              </w:rPr>
              <w:t xml:space="preserve"> </w:t>
            </w:r>
            <w:r>
              <w:rPr>
                <w:rFonts w:ascii="Times New Roman" w:hAnsi="Times New Roman" w:eastAsia="Times New Roman" w:cs="Times New Roman"/>
                <w:spacing w:val="-4"/>
                <w:sz w:val="24"/>
                <w:szCs w:val="24"/>
              </w:rPr>
              <w:t>1</w:t>
            </w:r>
            <w:r>
              <w:rPr>
                <w:spacing w:val="-4"/>
                <w:sz w:val="24"/>
                <w:szCs w:val="24"/>
              </w:rPr>
              <w:t>、平</w:t>
            </w:r>
            <w:r>
              <w:rPr>
                <w:sz w:val="24"/>
                <w:szCs w:val="24"/>
              </w:rPr>
              <w:t xml:space="preserve"> </w:t>
            </w:r>
            <w:r>
              <w:rPr>
                <w:spacing w:val="-7"/>
                <w:sz w:val="24"/>
                <w:szCs w:val="24"/>
              </w:rPr>
              <w:t>页</w:t>
            </w:r>
            <w:r>
              <w:rPr>
                <w:spacing w:val="-15"/>
                <w:sz w:val="24"/>
                <w:szCs w:val="24"/>
              </w:rPr>
              <w:t xml:space="preserve"> </w:t>
            </w:r>
            <w:r>
              <w:rPr>
                <w:rFonts w:ascii="Times New Roman" w:hAnsi="Times New Roman" w:eastAsia="Times New Roman" w:cs="Times New Roman"/>
                <w:spacing w:val="-7"/>
                <w:sz w:val="24"/>
                <w:szCs w:val="24"/>
              </w:rPr>
              <w:t>1</w:t>
            </w:r>
            <w:r>
              <w:rPr>
                <w:spacing w:val="-7"/>
                <w:sz w:val="24"/>
                <w:szCs w:val="24"/>
              </w:rPr>
              <w:t>、龙岗</w:t>
            </w:r>
            <w:r>
              <w:rPr>
                <w:spacing w:val="-56"/>
                <w:sz w:val="24"/>
                <w:szCs w:val="24"/>
              </w:rPr>
              <w:t xml:space="preserve"> </w:t>
            </w:r>
            <w:r>
              <w:rPr>
                <w:rFonts w:ascii="Times New Roman" w:hAnsi="Times New Roman" w:eastAsia="Times New Roman" w:cs="Times New Roman"/>
                <w:spacing w:val="-7"/>
                <w:sz w:val="24"/>
                <w:szCs w:val="24"/>
              </w:rPr>
              <w:t>42</w:t>
            </w:r>
            <w:r>
              <w:rPr>
                <w:spacing w:val="-7"/>
                <w:sz w:val="24"/>
                <w:szCs w:val="24"/>
              </w:rPr>
              <w:t>、营浅</w:t>
            </w:r>
            <w:r>
              <w:rPr>
                <w:spacing w:val="-54"/>
                <w:sz w:val="24"/>
                <w:szCs w:val="24"/>
              </w:rPr>
              <w:t xml:space="preserve"> </w:t>
            </w:r>
            <w:r>
              <w:rPr>
                <w:rFonts w:ascii="Times New Roman" w:hAnsi="Times New Roman" w:eastAsia="Times New Roman" w:cs="Times New Roman"/>
                <w:spacing w:val="-7"/>
                <w:sz w:val="24"/>
                <w:szCs w:val="24"/>
              </w:rPr>
              <w:t>2</w:t>
            </w:r>
            <w:r>
              <w:rPr>
                <w:spacing w:val="-7"/>
                <w:sz w:val="24"/>
                <w:szCs w:val="24"/>
              </w:rPr>
              <w:t>、庆龙</w:t>
            </w:r>
            <w:r>
              <w:rPr>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spacing w:val="-7"/>
                <w:sz w:val="24"/>
                <w:szCs w:val="24"/>
              </w:rPr>
              <w:t>、龙岗</w:t>
            </w:r>
            <w:r>
              <w:rPr>
                <w:spacing w:val="-32"/>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井、龙岗</w:t>
            </w:r>
            <w:r>
              <w:rPr>
                <w:spacing w:val="-32"/>
                <w:sz w:val="24"/>
                <w:szCs w:val="24"/>
              </w:rPr>
              <w:t xml:space="preserve"> </w:t>
            </w:r>
            <w:r>
              <w:rPr>
                <w:rFonts w:ascii="Times New Roman" w:hAnsi="Times New Roman" w:eastAsia="Times New Roman" w:cs="Times New Roman"/>
                <w:spacing w:val="-7"/>
                <w:sz w:val="24"/>
                <w:szCs w:val="24"/>
              </w:rPr>
              <w:t xml:space="preserve">18 </w:t>
            </w:r>
            <w:r>
              <w:rPr>
                <w:spacing w:val="-7"/>
                <w:sz w:val="24"/>
                <w:szCs w:val="24"/>
              </w:rPr>
              <w:t>井、龙岗</w:t>
            </w:r>
            <w:r>
              <w:rPr>
                <w:spacing w:val="-55"/>
                <w:sz w:val="24"/>
                <w:szCs w:val="24"/>
              </w:rPr>
              <w:t xml:space="preserve"> </w:t>
            </w:r>
            <w:r>
              <w:rPr>
                <w:rFonts w:ascii="Times New Roman" w:hAnsi="Times New Roman" w:eastAsia="Times New Roman" w:cs="Times New Roman"/>
                <w:spacing w:val="-7"/>
                <w:sz w:val="24"/>
                <w:szCs w:val="24"/>
              </w:rPr>
              <w:t xml:space="preserve">26 </w:t>
            </w:r>
            <w:r>
              <w:rPr>
                <w:spacing w:val="-7"/>
                <w:sz w:val="24"/>
                <w:szCs w:val="24"/>
              </w:rPr>
              <w:t>井、水深</w:t>
            </w:r>
            <w:r>
              <w:rPr>
                <w:spacing w:val="-31"/>
                <w:sz w:val="24"/>
                <w:szCs w:val="24"/>
              </w:rPr>
              <w:t xml:space="preserve"> </w:t>
            </w:r>
            <w:r>
              <w:rPr>
                <w:rFonts w:ascii="Times New Roman" w:hAnsi="Times New Roman" w:eastAsia="Times New Roman" w:cs="Times New Roman"/>
                <w:spacing w:val="-7"/>
                <w:sz w:val="24"/>
                <w:szCs w:val="24"/>
              </w:rPr>
              <w:t>1</w:t>
            </w:r>
            <w:r>
              <w:rPr>
                <w:spacing w:val="-7"/>
                <w:sz w:val="24"/>
                <w:szCs w:val="24"/>
              </w:rPr>
              <w:t>、龙会</w:t>
            </w:r>
            <w:r>
              <w:rPr>
                <w:sz w:val="24"/>
                <w:szCs w:val="24"/>
              </w:rPr>
              <w:t xml:space="preserve"> </w:t>
            </w:r>
            <w:r>
              <w:rPr>
                <w:rFonts w:ascii="Times New Roman" w:hAnsi="Times New Roman" w:eastAsia="Times New Roman" w:cs="Times New Roman"/>
                <w:spacing w:val="-3"/>
                <w:sz w:val="24"/>
                <w:szCs w:val="24"/>
              </w:rPr>
              <w:t>3</w:t>
            </w:r>
            <w:r>
              <w:rPr>
                <w:spacing w:val="-3"/>
                <w:sz w:val="24"/>
                <w:szCs w:val="24"/>
              </w:rPr>
              <w:t>、大田</w:t>
            </w:r>
            <w:r>
              <w:rPr>
                <w:spacing w:val="60"/>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等井，区块内无钻遇石炭系以下地层的井，因此本项目气质组分报告同</w:t>
            </w:r>
          </w:p>
          <w:p>
            <w:pPr>
              <w:pStyle w:val="6"/>
              <w:spacing w:before="1" w:line="219" w:lineRule="auto"/>
              <w:ind w:left="577"/>
              <w:rPr>
                <w:sz w:val="24"/>
                <w:szCs w:val="24"/>
              </w:rPr>
            </w:pPr>
            <w:r>
              <w:rPr>
                <w:spacing w:val="-3"/>
                <w:sz w:val="24"/>
                <w:szCs w:val="24"/>
              </w:rPr>
              <w:t>时参考平安</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井、龙岗</w:t>
            </w:r>
            <w:r>
              <w:rPr>
                <w:spacing w:val="-31"/>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井、龙岗</w:t>
            </w:r>
            <w:r>
              <w:rPr>
                <w:spacing w:val="-32"/>
                <w:sz w:val="24"/>
                <w:szCs w:val="24"/>
              </w:rPr>
              <w:t xml:space="preserve"> </w:t>
            </w:r>
            <w:r>
              <w:rPr>
                <w:rFonts w:ascii="Times New Roman" w:hAnsi="Times New Roman" w:eastAsia="Times New Roman" w:cs="Times New Roman"/>
                <w:spacing w:val="-3"/>
                <w:sz w:val="24"/>
                <w:szCs w:val="24"/>
              </w:rPr>
              <w:t xml:space="preserve">18 </w:t>
            </w:r>
            <w:r>
              <w:rPr>
                <w:spacing w:val="-4"/>
                <w:sz w:val="24"/>
                <w:szCs w:val="24"/>
              </w:rPr>
              <w:t>井、龙岗</w:t>
            </w:r>
            <w:r>
              <w:rPr>
                <w:spacing w:val="-54"/>
                <w:sz w:val="24"/>
                <w:szCs w:val="24"/>
              </w:rPr>
              <w:t xml:space="preserve"> </w:t>
            </w:r>
            <w:r>
              <w:rPr>
                <w:rFonts w:ascii="Times New Roman" w:hAnsi="Times New Roman" w:eastAsia="Times New Roman" w:cs="Times New Roman"/>
                <w:spacing w:val="-4"/>
                <w:sz w:val="24"/>
                <w:szCs w:val="24"/>
              </w:rPr>
              <w:t xml:space="preserve">26 </w:t>
            </w:r>
            <w:r>
              <w:rPr>
                <w:spacing w:val="-4"/>
                <w:sz w:val="24"/>
                <w:szCs w:val="24"/>
              </w:rPr>
              <w:t>井的气质测试结果，详见下表。</w:t>
            </w:r>
          </w:p>
          <w:p>
            <w:pPr>
              <w:pStyle w:val="6"/>
              <w:spacing w:before="194" w:line="220" w:lineRule="auto"/>
              <w:ind w:left="3236"/>
              <w:rPr>
                <w:sz w:val="24"/>
                <w:szCs w:val="24"/>
              </w:rPr>
            </w:pPr>
            <w:r>
              <w:rPr>
                <w:spacing w:val="-1"/>
                <w:sz w:val="24"/>
                <w:szCs w:val="24"/>
                <w14:textOutline w14:w="4354" w14:cap="flat" w14:cmpd="sng">
                  <w14:solidFill>
                    <w14:srgbClr w14:val="000000"/>
                  </w14:solidFill>
                  <w14:prstDash w14:val="solid"/>
                  <w14:miter w14:val="10"/>
                </w14:textOutline>
              </w:rPr>
              <w:t>表</w:t>
            </w:r>
            <w:r>
              <w:rPr>
                <w:spacing w:val="-43"/>
                <w:sz w:val="24"/>
                <w:szCs w:val="24"/>
              </w:rPr>
              <w:t xml:space="preserve"> </w:t>
            </w:r>
            <w:r>
              <w:rPr>
                <w:rFonts w:ascii="Times New Roman" w:hAnsi="Times New Roman" w:eastAsia="Times New Roman" w:cs="Times New Roman"/>
                <w:b/>
                <w:bCs/>
                <w:spacing w:val="-1"/>
                <w:sz w:val="24"/>
                <w:szCs w:val="24"/>
              </w:rPr>
              <w:t xml:space="preserve">2.9-1 </w:t>
            </w:r>
            <w:r>
              <w:rPr>
                <w:spacing w:val="-1"/>
                <w:sz w:val="24"/>
                <w:szCs w:val="24"/>
                <w14:textOutline w14:w="4354" w14:cap="flat" w14:cmpd="sng">
                  <w14:solidFill>
                    <w14:srgbClr w14:val="000000"/>
                  </w14:solidFill>
                  <w14:prstDash w14:val="solid"/>
                  <w14:miter w14:val="10"/>
                </w14:textOutline>
              </w:rPr>
              <w:t>天然气分析数据统计表</w:t>
            </w:r>
          </w:p>
          <w:p>
            <w:pPr>
              <w:spacing w:line="17" w:lineRule="exact"/>
            </w:pPr>
          </w:p>
          <w:tbl>
            <w:tblPr>
              <w:tblStyle w:val="5"/>
              <w:tblW w:w="8612"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1828"/>
              <w:gridCol w:w="1586"/>
              <w:gridCol w:w="1417"/>
              <w:gridCol w:w="1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0" w:type="dxa"/>
                  <w:tcBorders>
                    <w:bottom w:val="nil"/>
                  </w:tcBorders>
                  <w:vAlign w:val="top"/>
                </w:tcPr>
                <w:p>
                  <w:pPr>
                    <w:pStyle w:val="6"/>
                    <w:spacing w:before="68" w:line="221" w:lineRule="auto"/>
                    <w:ind w:left="979"/>
                    <w:rPr>
                      <w:sz w:val="21"/>
                      <w:szCs w:val="21"/>
                    </w:rPr>
                  </w:pPr>
                  <w:r>
                    <w:rPr>
                      <w:spacing w:val="-2"/>
                      <w:sz w:val="21"/>
                      <w:szCs w:val="21"/>
                    </w:rPr>
                    <w:t>井位</w:t>
                  </w:r>
                </w:p>
              </w:tc>
              <w:tc>
                <w:tcPr>
                  <w:tcW w:w="1828" w:type="dxa"/>
                  <w:tcBorders>
                    <w:bottom w:val="nil"/>
                  </w:tcBorders>
                  <w:vAlign w:val="top"/>
                </w:tcPr>
                <w:p>
                  <w:pPr>
                    <w:pStyle w:val="6"/>
                    <w:spacing w:before="68" w:line="221" w:lineRule="auto"/>
                    <w:ind w:left="498"/>
                    <w:rPr>
                      <w:sz w:val="21"/>
                      <w:szCs w:val="21"/>
                    </w:rPr>
                  </w:pPr>
                  <w:r>
                    <w:rPr>
                      <w:spacing w:val="-8"/>
                      <w:sz w:val="21"/>
                      <w:szCs w:val="21"/>
                    </w:rPr>
                    <w:t>平安</w:t>
                  </w:r>
                  <w:r>
                    <w:rPr>
                      <w:spacing w:val="-26"/>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6"/>
                      <w:sz w:val="21"/>
                      <w:szCs w:val="21"/>
                    </w:rPr>
                    <w:t xml:space="preserve"> </w:t>
                  </w:r>
                  <w:r>
                    <w:rPr>
                      <w:spacing w:val="-8"/>
                      <w:sz w:val="21"/>
                      <w:szCs w:val="21"/>
                    </w:rPr>
                    <w:t>井</w:t>
                  </w:r>
                </w:p>
              </w:tc>
              <w:tc>
                <w:tcPr>
                  <w:tcW w:w="1586" w:type="dxa"/>
                  <w:tcBorders>
                    <w:bottom w:val="nil"/>
                  </w:tcBorders>
                  <w:vAlign w:val="top"/>
                </w:tcPr>
                <w:p>
                  <w:pPr>
                    <w:pStyle w:val="6"/>
                    <w:spacing w:before="67" w:line="221" w:lineRule="auto"/>
                    <w:ind w:left="379"/>
                    <w:rPr>
                      <w:sz w:val="21"/>
                      <w:szCs w:val="21"/>
                    </w:rPr>
                  </w:pPr>
                  <w:r>
                    <w:rPr>
                      <w:spacing w:val="-8"/>
                      <w:sz w:val="21"/>
                      <w:szCs w:val="21"/>
                    </w:rPr>
                    <w:t>龙岗</w:t>
                  </w:r>
                  <w:r>
                    <w:rPr>
                      <w:spacing w:val="-28"/>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6"/>
                      <w:sz w:val="21"/>
                      <w:szCs w:val="21"/>
                    </w:rPr>
                    <w:t xml:space="preserve"> </w:t>
                  </w:r>
                  <w:r>
                    <w:rPr>
                      <w:spacing w:val="-8"/>
                      <w:sz w:val="21"/>
                      <w:szCs w:val="21"/>
                    </w:rPr>
                    <w:t>井</w:t>
                  </w:r>
                </w:p>
              </w:tc>
              <w:tc>
                <w:tcPr>
                  <w:tcW w:w="1417" w:type="dxa"/>
                  <w:tcBorders>
                    <w:bottom w:val="nil"/>
                  </w:tcBorders>
                  <w:vAlign w:val="top"/>
                </w:tcPr>
                <w:p>
                  <w:pPr>
                    <w:pStyle w:val="6"/>
                    <w:spacing w:before="67" w:line="221" w:lineRule="auto"/>
                    <w:ind w:left="243"/>
                    <w:rPr>
                      <w:sz w:val="21"/>
                      <w:szCs w:val="21"/>
                    </w:rPr>
                  </w:pPr>
                  <w:r>
                    <w:rPr>
                      <w:spacing w:val="-7"/>
                      <w:sz w:val="21"/>
                      <w:szCs w:val="21"/>
                    </w:rPr>
                    <w:t>龙岗</w:t>
                  </w:r>
                  <w:r>
                    <w:rPr>
                      <w:spacing w:val="-27"/>
                      <w:sz w:val="21"/>
                      <w:szCs w:val="21"/>
                    </w:rPr>
                    <w:t xml:space="preserve"> </w:t>
                  </w:r>
                  <w:r>
                    <w:rPr>
                      <w:rFonts w:ascii="Times New Roman" w:hAnsi="Times New Roman" w:eastAsia="Times New Roman" w:cs="Times New Roman"/>
                      <w:spacing w:val="-7"/>
                      <w:sz w:val="21"/>
                      <w:szCs w:val="21"/>
                    </w:rPr>
                    <w:t>18</w:t>
                  </w:r>
                  <w:r>
                    <w:rPr>
                      <w:rFonts w:ascii="Times New Roman" w:hAnsi="Times New Roman" w:eastAsia="Times New Roman" w:cs="Times New Roman"/>
                      <w:spacing w:val="8"/>
                      <w:sz w:val="21"/>
                      <w:szCs w:val="21"/>
                    </w:rPr>
                    <w:t xml:space="preserve"> </w:t>
                  </w:r>
                  <w:r>
                    <w:rPr>
                      <w:spacing w:val="-7"/>
                      <w:sz w:val="21"/>
                      <w:szCs w:val="21"/>
                    </w:rPr>
                    <w:t>井</w:t>
                  </w:r>
                </w:p>
              </w:tc>
              <w:tc>
                <w:tcPr>
                  <w:tcW w:w="1411" w:type="dxa"/>
                  <w:tcBorders>
                    <w:bottom w:val="nil"/>
                  </w:tcBorders>
                  <w:vAlign w:val="top"/>
                </w:tcPr>
                <w:p>
                  <w:pPr>
                    <w:pStyle w:val="6"/>
                    <w:spacing w:before="67" w:line="221" w:lineRule="auto"/>
                    <w:ind w:left="240"/>
                    <w:rPr>
                      <w:sz w:val="21"/>
                      <w:szCs w:val="21"/>
                    </w:rPr>
                  </w:pPr>
                  <w:r>
                    <w:rPr>
                      <w:spacing w:val="-3"/>
                      <w:sz w:val="21"/>
                      <w:szCs w:val="21"/>
                    </w:rPr>
                    <w:t>龙岗</w:t>
                  </w:r>
                  <w:r>
                    <w:rPr>
                      <w:spacing w:val="-47"/>
                      <w:sz w:val="21"/>
                      <w:szCs w:val="21"/>
                    </w:rPr>
                    <w:t xml:space="preserve"> </w:t>
                  </w:r>
                  <w:r>
                    <w:rPr>
                      <w:rFonts w:ascii="Times New Roman" w:hAnsi="Times New Roman" w:eastAsia="Times New Roman" w:cs="Times New Roman"/>
                      <w:spacing w:val="-3"/>
                      <w:sz w:val="21"/>
                      <w:szCs w:val="21"/>
                    </w:rPr>
                    <w:t>26</w:t>
                  </w:r>
                  <w:r>
                    <w:rPr>
                      <w:rFonts w:ascii="Times New Roman" w:hAnsi="Times New Roman" w:eastAsia="Times New Roman" w:cs="Times New Roman"/>
                      <w:spacing w:val="9"/>
                      <w:sz w:val="21"/>
                      <w:szCs w:val="21"/>
                    </w:rPr>
                    <w:t xml:space="preserve"> </w:t>
                  </w:r>
                  <w:r>
                    <w:rPr>
                      <w:spacing w:val="-3"/>
                      <w:sz w:val="21"/>
                      <w:szCs w:val="21"/>
                    </w:rPr>
                    <w:t>井</w:t>
                  </w:r>
                </w:p>
              </w:tc>
            </w:tr>
          </w:tbl>
          <w:p>
            <w:pPr>
              <w:spacing w:line="88" w:lineRule="auto"/>
              <w:rPr>
                <w:rFonts w:ascii="Arial"/>
                <w:sz w:val="2"/>
              </w:rPr>
            </w:pPr>
          </w:p>
        </w:tc>
      </w:tr>
    </w:tbl>
    <w:p>
      <w:pPr>
        <w:pStyle w:val="2"/>
        <w:rPr>
          <w:sz w:val="21"/>
        </w:rPr>
      </w:pPr>
    </w:p>
    <w:p>
      <w:pPr>
        <w:rPr>
          <w:sz w:val="21"/>
          <w:szCs w:val="21"/>
        </w:rPr>
        <w:sectPr>
          <w:footerReference r:id="rId45"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55"/>
        <w:gridCol w:w="87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02" w:hRule="atLeast"/>
        </w:trPr>
        <w:tc>
          <w:tcPr>
            <w:tcW w:w="520" w:type="dxa"/>
            <w:gridSpan w:val="2"/>
            <w:tcBorders>
              <w:bottom w:val="single" w:color="000000" w:sz="2" w:space="0"/>
              <w:right w:val="nil"/>
            </w:tcBorders>
            <w:vAlign w:val="top"/>
          </w:tcPr>
          <w:p>
            <w:pPr>
              <w:rPr>
                <w:rFonts w:ascii="Arial"/>
                <w:sz w:val="21"/>
              </w:rPr>
            </w:pPr>
            <w:r>
              <w:pict>
                <v:rect id="_x0000_s1044" o:spid="_x0000_s1044" o:spt="1" style="position:absolute;left:0pt;margin-left:22.7pt;margin-top:0.95pt;height:405.1pt;width:0.5pt;mso-position-horizontal-relative:page;mso-position-vertical-relative:page;z-index:251698176;mso-width-relative:page;mso-height-relative:page;" fillcolor="#000000" filled="t" stroked="f" coordsize="21600,21600">
                  <v:path/>
                  <v:fill on="t" focussize="0,0"/>
                  <v:stroke on="f"/>
                  <v:imagedata o:title=""/>
                  <o:lock v:ext="edit"/>
                </v:rect>
              </w:pict>
            </w:r>
          </w:p>
        </w:tc>
        <w:tc>
          <w:tcPr>
            <w:tcW w:w="8771" w:type="dxa"/>
            <w:tcBorders>
              <w:left w:val="nil"/>
              <w:bottom w:val="single" w:color="000000" w:sz="2" w:space="0"/>
            </w:tcBorders>
            <w:vAlign w:val="top"/>
          </w:tcPr>
          <w:p>
            <w:pPr>
              <w:spacing w:line="144" w:lineRule="auto"/>
              <w:rPr>
                <w:rFonts w:ascii="Arial"/>
                <w:sz w:val="2"/>
              </w:rPr>
            </w:pPr>
          </w:p>
          <w:tbl>
            <w:tblPr>
              <w:tblStyle w:val="5"/>
              <w:tblW w:w="8612"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408"/>
              <w:gridCol w:w="1828"/>
              <w:gridCol w:w="1586"/>
              <w:gridCol w:w="1417"/>
              <w:gridCol w:w="1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0" w:type="dxa"/>
                  <w:gridSpan w:val="2"/>
                  <w:tcBorders>
                    <w:top w:val="nil"/>
                  </w:tcBorders>
                  <w:vAlign w:val="top"/>
                </w:tcPr>
                <w:p>
                  <w:pPr>
                    <w:pStyle w:val="6"/>
                    <w:spacing w:before="62" w:line="221" w:lineRule="auto"/>
                    <w:ind w:left="979"/>
                    <w:rPr>
                      <w:sz w:val="21"/>
                      <w:szCs w:val="21"/>
                    </w:rPr>
                  </w:pPr>
                  <w:r>
                    <w:rPr>
                      <w:spacing w:val="-3"/>
                      <w:sz w:val="21"/>
                      <w:szCs w:val="21"/>
                    </w:rPr>
                    <w:t>层位</w:t>
                  </w:r>
                </w:p>
              </w:tc>
              <w:tc>
                <w:tcPr>
                  <w:tcW w:w="1828" w:type="dxa"/>
                  <w:tcBorders>
                    <w:top w:val="nil"/>
                  </w:tcBorders>
                  <w:vAlign w:val="top"/>
                </w:tcPr>
                <w:p>
                  <w:pPr>
                    <w:pStyle w:val="6"/>
                    <w:spacing w:before="62" w:line="221" w:lineRule="auto"/>
                    <w:ind w:left="501"/>
                    <w:rPr>
                      <w:sz w:val="21"/>
                      <w:szCs w:val="21"/>
                    </w:rPr>
                  </w:pPr>
                  <w:r>
                    <w:rPr>
                      <w:spacing w:val="-2"/>
                      <w:sz w:val="21"/>
                      <w:szCs w:val="21"/>
                    </w:rPr>
                    <w:t>凉高山组</w:t>
                  </w:r>
                </w:p>
              </w:tc>
              <w:tc>
                <w:tcPr>
                  <w:tcW w:w="1586" w:type="dxa"/>
                  <w:tcBorders>
                    <w:top w:val="nil"/>
                  </w:tcBorders>
                  <w:vAlign w:val="top"/>
                </w:tcPr>
                <w:p>
                  <w:pPr>
                    <w:pStyle w:val="6"/>
                    <w:spacing w:before="63" w:line="222" w:lineRule="auto"/>
                    <w:ind w:left="175"/>
                    <w:rPr>
                      <w:sz w:val="21"/>
                      <w:szCs w:val="21"/>
                    </w:rPr>
                  </w:pPr>
                  <w:r>
                    <w:rPr>
                      <w:spacing w:val="-2"/>
                      <w:sz w:val="21"/>
                      <w:szCs w:val="21"/>
                    </w:rPr>
                    <w:t>飞三～飞一段</w:t>
                  </w:r>
                </w:p>
              </w:tc>
              <w:tc>
                <w:tcPr>
                  <w:tcW w:w="1417" w:type="dxa"/>
                  <w:tcBorders>
                    <w:top w:val="nil"/>
                  </w:tcBorders>
                  <w:vAlign w:val="top"/>
                </w:tcPr>
                <w:p>
                  <w:pPr>
                    <w:pStyle w:val="6"/>
                    <w:spacing w:before="63" w:line="222" w:lineRule="auto"/>
                    <w:ind w:left="401"/>
                    <w:rPr>
                      <w:sz w:val="21"/>
                      <w:szCs w:val="21"/>
                    </w:rPr>
                  </w:pPr>
                  <w:r>
                    <w:rPr>
                      <w:spacing w:val="-3"/>
                      <w:sz w:val="21"/>
                      <w:szCs w:val="21"/>
                    </w:rPr>
                    <w:t>沙一段</w:t>
                  </w:r>
                </w:p>
              </w:tc>
              <w:tc>
                <w:tcPr>
                  <w:tcW w:w="1411" w:type="dxa"/>
                  <w:tcBorders>
                    <w:top w:val="nil"/>
                  </w:tcBorders>
                  <w:vAlign w:val="top"/>
                </w:tcPr>
                <w:p>
                  <w:pPr>
                    <w:pStyle w:val="6"/>
                    <w:spacing w:before="62" w:line="221" w:lineRule="auto"/>
                    <w:ind w:left="298"/>
                    <w:rPr>
                      <w:sz w:val="21"/>
                      <w:szCs w:val="21"/>
                    </w:rPr>
                  </w:pPr>
                  <w:r>
                    <w:rPr>
                      <w:spacing w:val="-3"/>
                      <w:sz w:val="21"/>
                      <w:szCs w:val="21"/>
                    </w:rPr>
                    <w:t>飞仙关组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6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38" w:lineRule="auto"/>
                    <w:ind w:left="333" w:right="160" w:hanging="160"/>
                    <w:rPr>
                      <w:rFonts w:ascii="Times New Roman" w:hAnsi="Times New Roman" w:eastAsia="Times New Roman" w:cs="Times New Roman"/>
                      <w:sz w:val="21"/>
                      <w:szCs w:val="21"/>
                    </w:rPr>
                  </w:pPr>
                  <w:r>
                    <w:rPr>
                      <w:spacing w:val="-3"/>
                      <w:sz w:val="21"/>
                      <w:szCs w:val="21"/>
                    </w:rPr>
                    <w:t>分析项</w:t>
                  </w:r>
                  <w:r>
                    <w:rPr>
                      <w:sz w:val="21"/>
                      <w:szCs w:val="21"/>
                    </w:rPr>
                    <w:t xml:space="preserve"> </w:t>
                  </w:r>
                  <w:r>
                    <w:rPr>
                      <w:spacing w:val="-24"/>
                      <w:sz w:val="21"/>
                      <w:szCs w:val="21"/>
                    </w:rPr>
                    <w:t>目</w:t>
                  </w:r>
                  <w:r>
                    <w:rPr>
                      <w:rFonts w:ascii="Times New Roman" w:hAnsi="Times New Roman" w:eastAsia="Times New Roman" w:cs="Times New Roman"/>
                      <w:spacing w:val="-24"/>
                      <w:sz w:val="21"/>
                      <w:szCs w:val="21"/>
                    </w:rPr>
                    <w:t>%</w:t>
                  </w:r>
                </w:p>
              </w:tc>
              <w:tc>
                <w:tcPr>
                  <w:tcW w:w="1408" w:type="dxa"/>
                  <w:vAlign w:val="top"/>
                </w:tcPr>
                <w:p>
                  <w:pPr>
                    <w:pStyle w:val="6"/>
                    <w:spacing w:before="64" w:line="222" w:lineRule="auto"/>
                    <w:ind w:left="601"/>
                    <w:rPr>
                      <w:sz w:val="21"/>
                      <w:szCs w:val="21"/>
                    </w:rPr>
                  </w:pPr>
                  <w:r>
                    <w:rPr>
                      <w:sz w:val="21"/>
                      <w:szCs w:val="21"/>
                    </w:rPr>
                    <w:t>氢</w:t>
                  </w:r>
                </w:p>
              </w:tc>
              <w:tc>
                <w:tcPr>
                  <w:tcW w:w="1828" w:type="dxa"/>
                  <w:vAlign w:val="top"/>
                </w:tcPr>
                <w:p>
                  <w:pPr>
                    <w:spacing w:before="102" w:line="187" w:lineRule="auto"/>
                    <w:ind w:left="6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0.072</w:t>
                  </w:r>
                </w:p>
              </w:tc>
              <w:tc>
                <w:tcPr>
                  <w:tcW w:w="1586" w:type="dxa"/>
                  <w:vAlign w:val="top"/>
                </w:tcPr>
                <w:p>
                  <w:pPr>
                    <w:spacing w:before="102"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2"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w:t>
                  </w:r>
                </w:p>
              </w:tc>
              <w:tc>
                <w:tcPr>
                  <w:tcW w:w="1411" w:type="dxa"/>
                  <w:vAlign w:val="top"/>
                </w:tcPr>
                <w:p>
                  <w:pPr>
                    <w:spacing w:before="102" w:line="187" w:lineRule="auto"/>
                    <w:ind w:left="5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3" w:line="223" w:lineRule="auto"/>
                    <w:ind w:left="602"/>
                    <w:rPr>
                      <w:sz w:val="21"/>
                      <w:szCs w:val="21"/>
                    </w:rPr>
                  </w:pPr>
                  <w:r>
                    <w:rPr>
                      <w:sz w:val="21"/>
                      <w:szCs w:val="21"/>
                    </w:rPr>
                    <w:t>氦</w:t>
                  </w:r>
                </w:p>
              </w:tc>
              <w:tc>
                <w:tcPr>
                  <w:tcW w:w="1828" w:type="dxa"/>
                  <w:vAlign w:val="top"/>
                </w:tcPr>
                <w:p>
                  <w:pPr>
                    <w:spacing w:before="102" w:line="18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0.0192</w:t>
                  </w:r>
                </w:p>
              </w:tc>
              <w:tc>
                <w:tcPr>
                  <w:tcW w:w="1586" w:type="dxa"/>
                  <w:vAlign w:val="top"/>
                </w:tcPr>
                <w:p>
                  <w:pPr>
                    <w:spacing w:before="102"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2"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1411" w:type="dxa"/>
                  <w:vAlign w:val="top"/>
                </w:tcPr>
                <w:p>
                  <w:pPr>
                    <w:spacing w:before="102"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3" w:line="220" w:lineRule="auto"/>
                    <w:ind w:left="599"/>
                    <w:rPr>
                      <w:sz w:val="21"/>
                      <w:szCs w:val="21"/>
                    </w:rPr>
                  </w:pPr>
                  <w:r>
                    <w:rPr>
                      <w:sz w:val="21"/>
                      <w:szCs w:val="21"/>
                    </w:rPr>
                    <w:t>氮</w:t>
                  </w:r>
                </w:p>
              </w:tc>
              <w:tc>
                <w:tcPr>
                  <w:tcW w:w="1828" w:type="dxa"/>
                  <w:vAlign w:val="top"/>
                </w:tcPr>
                <w:p>
                  <w:pPr>
                    <w:spacing w:before="102" w:line="187" w:lineRule="auto"/>
                    <w:ind w:left="7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0.83</w:t>
                  </w:r>
                </w:p>
              </w:tc>
              <w:tc>
                <w:tcPr>
                  <w:tcW w:w="1586" w:type="dxa"/>
                  <w:vAlign w:val="top"/>
                </w:tcPr>
                <w:p>
                  <w:pPr>
                    <w:spacing w:before="102"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0.98</w:t>
                  </w:r>
                </w:p>
              </w:tc>
              <w:tc>
                <w:tcPr>
                  <w:tcW w:w="1417" w:type="dxa"/>
                  <w:vAlign w:val="top"/>
                </w:tcPr>
                <w:p>
                  <w:pPr>
                    <w:spacing w:before="102"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63.62</w:t>
                  </w:r>
                </w:p>
              </w:tc>
              <w:tc>
                <w:tcPr>
                  <w:tcW w:w="1411" w:type="dxa"/>
                  <w:vAlign w:val="top"/>
                </w:tcPr>
                <w:p>
                  <w:pPr>
                    <w:spacing w:before="102" w:line="187" w:lineRule="auto"/>
                    <w:ind w:left="5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6" w:line="222" w:lineRule="auto"/>
                    <w:ind w:left="391"/>
                    <w:rPr>
                      <w:sz w:val="21"/>
                      <w:szCs w:val="21"/>
                    </w:rPr>
                  </w:pPr>
                  <w:r>
                    <w:rPr>
                      <w:spacing w:val="-2"/>
                      <w:sz w:val="21"/>
                      <w:szCs w:val="21"/>
                    </w:rPr>
                    <w:t>硫化氢</w:t>
                  </w:r>
                </w:p>
              </w:tc>
              <w:tc>
                <w:tcPr>
                  <w:tcW w:w="1828" w:type="dxa"/>
                  <w:vAlign w:val="top"/>
                </w:tcPr>
                <w:p>
                  <w:pPr>
                    <w:pStyle w:val="6"/>
                    <w:spacing w:before="66" w:line="236"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4" w:line="187" w:lineRule="auto"/>
                    <w:ind w:left="63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1.95</w:t>
                  </w:r>
                </w:p>
              </w:tc>
              <w:tc>
                <w:tcPr>
                  <w:tcW w:w="1417" w:type="dxa"/>
                  <w:vAlign w:val="top"/>
                </w:tcPr>
                <w:p>
                  <w:pPr>
                    <w:spacing w:before="104" w:line="187" w:lineRule="auto"/>
                    <w:ind w:left="66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1" w:type="dxa"/>
                  <w:vAlign w:val="top"/>
                </w:tcPr>
                <w:p>
                  <w:pPr>
                    <w:spacing w:before="104"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6" w:line="220" w:lineRule="auto"/>
                    <w:ind w:left="290"/>
                    <w:rPr>
                      <w:sz w:val="21"/>
                      <w:szCs w:val="21"/>
                    </w:rPr>
                  </w:pPr>
                  <w:r>
                    <w:rPr>
                      <w:spacing w:val="-3"/>
                      <w:sz w:val="21"/>
                      <w:szCs w:val="21"/>
                    </w:rPr>
                    <w:t>二氧化碳</w:t>
                  </w:r>
                </w:p>
              </w:tc>
              <w:tc>
                <w:tcPr>
                  <w:tcW w:w="1828" w:type="dxa"/>
                  <w:vAlign w:val="top"/>
                </w:tcPr>
                <w:p>
                  <w:pPr>
                    <w:spacing w:before="105" w:line="187" w:lineRule="auto"/>
                    <w:ind w:left="7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1586" w:type="dxa"/>
                  <w:vAlign w:val="top"/>
                </w:tcPr>
                <w:p>
                  <w:pPr>
                    <w:spacing w:before="105" w:line="187"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2.85</w:t>
                  </w:r>
                </w:p>
              </w:tc>
              <w:tc>
                <w:tcPr>
                  <w:tcW w:w="1417" w:type="dxa"/>
                  <w:vAlign w:val="top"/>
                </w:tcPr>
                <w:p>
                  <w:pPr>
                    <w:spacing w:before="105"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w:t>
                  </w:r>
                </w:p>
              </w:tc>
              <w:tc>
                <w:tcPr>
                  <w:tcW w:w="1411" w:type="dxa"/>
                  <w:vAlign w:val="top"/>
                </w:tcPr>
                <w:p>
                  <w:pPr>
                    <w:spacing w:before="105" w:line="187" w:lineRule="auto"/>
                    <w:ind w:left="5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5" w:line="221" w:lineRule="auto"/>
                    <w:ind w:left="525"/>
                    <w:rPr>
                      <w:sz w:val="21"/>
                      <w:szCs w:val="21"/>
                    </w:rPr>
                  </w:pPr>
                  <w:r>
                    <w:rPr>
                      <w:spacing w:val="-17"/>
                      <w:sz w:val="21"/>
                      <w:szCs w:val="21"/>
                    </w:rPr>
                    <w:t>甲烷</w:t>
                  </w:r>
                </w:p>
              </w:tc>
              <w:tc>
                <w:tcPr>
                  <w:tcW w:w="1828" w:type="dxa"/>
                  <w:vAlign w:val="top"/>
                </w:tcPr>
                <w:p>
                  <w:pPr>
                    <w:spacing w:before="103"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92.6288</w:t>
                  </w:r>
                </w:p>
              </w:tc>
              <w:tc>
                <w:tcPr>
                  <w:tcW w:w="1586" w:type="dxa"/>
                  <w:vAlign w:val="top"/>
                </w:tcPr>
                <w:p>
                  <w:pPr>
                    <w:spacing w:before="103"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94.14</w:t>
                  </w:r>
                </w:p>
              </w:tc>
              <w:tc>
                <w:tcPr>
                  <w:tcW w:w="1417" w:type="dxa"/>
                  <w:vAlign w:val="top"/>
                </w:tcPr>
                <w:p>
                  <w:pPr>
                    <w:spacing w:before="103" w:line="187"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33.78</w:t>
                  </w:r>
                </w:p>
              </w:tc>
              <w:tc>
                <w:tcPr>
                  <w:tcW w:w="1411" w:type="dxa"/>
                  <w:vAlign w:val="top"/>
                </w:tcPr>
                <w:p>
                  <w:pPr>
                    <w:spacing w:before="103" w:line="187" w:lineRule="auto"/>
                    <w:ind w:left="4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5" w:line="221" w:lineRule="auto"/>
                    <w:ind w:left="518"/>
                    <w:rPr>
                      <w:sz w:val="21"/>
                      <w:szCs w:val="21"/>
                    </w:rPr>
                  </w:pPr>
                  <w:r>
                    <w:rPr>
                      <w:spacing w:val="-14"/>
                      <w:sz w:val="21"/>
                      <w:szCs w:val="21"/>
                    </w:rPr>
                    <w:t>乙烷</w:t>
                  </w:r>
                </w:p>
              </w:tc>
              <w:tc>
                <w:tcPr>
                  <w:tcW w:w="1828" w:type="dxa"/>
                  <w:vAlign w:val="top"/>
                </w:tcPr>
                <w:p>
                  <w:pPr>
                    <w:spacing w:before="103" w:line="187" w:lineRule="auto"/>
                    <w:ind w:left="75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1.97</w:t>
                  </w:r>
                </w:p>
              </w:tc>
              <w:tc>
                <w:tcPr>
                  <w:tcW w:w="1586" w:type="dxa"/>
                  <w:vAlign w:val="top"/>
                </w:tcPr>
                <w:p>
                  <w:pPr>
                    <w:spacing w:before="103"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w:t>
                  </w:r>
                </w:p>
              </w:tc>
              <w:tc>
                <w:tcPr>
                  <w:tcW w:w="1417" w:type="dxa"/>
                  <w:vAlign w:val="top"/>
                </w:tcPr>
                <w:p>
                  <w:pPr>
                    <w:spacing w:before="103" w:line="187" w:lineRule="auto"/>
                    <w:ind w:left="54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1.08</w:t>
                  </w:r>
                </w:p>
              </w:tc>
              <w:tc>
                <w:tcPr>
                  <w:tcW w:w="1411" w:type="dxa"/>
                  <w:vAlign w:val="top"/>
                </w:tcPr>
                <w:p>
                  <w:pPr>
                    <w:spacing w:before="103" w:line="187" w:lineRule="auto"/>
                    <w:ind w:left="5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5" w:line="221" w:lineRule="auto"/>
                    <w:ind w:left="502"/>
                    <w:rPr>
                      <w:sz w:val="21"/>
                      <w:szCs w:val="21"/>
                    </w:rPr>
                  </w:pPr>
                  <w:r>
                    <w:rPr>
                      <w:spacing w:val="-6"/>
                      <w:sz w:val="21"/>
                      <w:szCs w:val="21"/>
                    </w:rPr>
                    <w:t>丙烷</w:t>
                  </w:r>
                </w:p>
              </w:tc>
              <w:tc>
                <w:tcPr>
                  <w:tcW w:w="1828" w:type="dxa"/>
                  <w:vAlign w:val="top"/>
                </w:tcPr>
                <w:p>
                  <w:pPr>
                    <w:pStyle w:val="6"/>
                    <w:spacing w:before="65" w:line="237"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4"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4"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w:t>
                  </w:r>
                </w:p>
              </w:tc>
              <w:tc>
                <w:tcPr>
                  <w:tcW w:w="1411" w:type="dxa"/>
                  <w:vAlign w:val="top"/>
                </w:tcPr>
                <w:p>
                  <w:pPr>
                    <w:spacing w:before="104"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5" w:line="221" w:lineRule="auto"/>
                    <w:ind w:left="394"/>
                    <w:rPr>
                      <w:sz w:val="21"/>
                      <w:szCs w:val="21"/>
                    </w:rPr>
                  </w:pPr>
                  <w:r>
                    <w:rPr>
                      <w:spacing w:val="-3"/>
                      <w:sz w:val="21"/>
                      <w:szCs w:val="21"/>
                    </w:rPr>
                    <w:t>异丁烷</w:t>
                  </w:r>
                </w:p>
              </w:tc>
              <w:tc>
                <w:tcPr>
                  <w:tcW w:w="1828" w:type="dxa"/>
                  <w:vAlign w:val="top"/>
                </w:tcPr>
                <w:p>
                  <w:pPr>
                    <w:pStyle w:val="6"/>
                    <w:spacing w:before="65" w:line="235"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4"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4"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1411" w:type="dxa"/>
                  <w:vAlign w:val="top"/>
                </w:tcPr>
                <w:p>
                  <w:pPr>
                    <w:spacing w:before="104"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8" w:line="221" w:lineRule="auto"/>
                    <w:ind w:left="396"/>
                    <w:rPr>
                      <w:sz w:val="21"/>
                      <w:szCs w:val="21"/>
                    </w:rPr>
                  </w:pPr>
                  <w:r>
                    <w:rPr>
                      <w:spacing w:val="-3"/>
                      <w:sz w:val="21"/>
                      <w:szCs w:val="21"/>
                    </w:rPr>
                    <w:t>正丁烷</w:t>
                  </w:r>
                </w:p>
              </w:tc>
              <w:tc>
                <w:tcPr>
                  <w:tcW w:w="1828" w:type="dxa"/>
                  <w:vAlign w:val="top"/>
                </w:tcPr>
                <w:p>
                  <w:pPr>
                    <w:pStyle w:val="6"/>
                    <w:spacing w:before="68" w:line="234"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6"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6"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w:t>
                  </w:r>
                </w:p>
              </w:tc>
              <w:tc>
                <w:tcPr>
                  <w:tcW w:w="1411" w:type="dxa"/>
                  <w:vAlign w:val="top"/>
                </w:tcPr>
                <w:p>
                  <w:pPr>
                    <w:spacing w:before="106"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8" w:line="221" w:lineRule="auto"/>
                    <w:ind w:left="394"/>
                    <w:rPr>
                      <w:sz w:val="21"/>
                      <w:szCs w:val="21"/>
                    </w:rPr>
                  </w:pPr>
                  <w:r>
                    <w:rPr>
                      <w:spacing w:val="-3"/>
                      <w:sz w:val="21"/>
                      <w:szCs w:val="21"/>
                    </w:rPr>
                    <w:t>异戊烷</w:t>
                  </w:r>
                </w:p>
              </w:tc>
              <w:tc>
                <w:tcPr>
                  <w:tcW w:w="1828" w:type="dxa"/>
                  <w:vAlign w:val="top"/>
                </w:tcPr>
                <w:p>
                  <w:pPr>
                    <w:pStyle w:val="6"/>
                    <w:spacing w:before="68" w:line="234"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7"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7"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1411" w:type="dxa"/>
                  <w:vAlign w:val="top"/>
                </w:tcPr>
                <w:p>
                  <w:pPr>
                    <w:spacing w:before="107"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62" w:type="dxa"/>
                  <w:vMerge w:val="continue"/>
                  <w:tcBorders>
                    <w:top w:val="nil"/>
                    <w:bottom w:val="nil"/>
                  </w:tcBorders>
                  <w:vAlign w:val="top"/>
                </w:tcPr>
                <w:p>
                  <w:pPr>
                    <w:rPr>
                      <w:rFonts w:ascii="Arial"/>
                      <w:sz w:val="21"/>
                    </w:rPr>
                  </w:pPr>
                </w:p>
              </w:tc>
              <w:tc>
                <w:tcPr>
                  <w:tcW w:w="1408" w:type="dxa"/>
                  <w:vAlign w:val="top"/>
                </w:tcPr>
                <w:p>
                  <w:pPr>
                    <w:pStyle w:val="6"/>
                    <w:spacing w:before="67" w:line="221" w:lineRule="auto"/>
                    <w:ind w:left="396"/>
                    <w:rPr>
                      <w:sz w:val="21"/>
                      <w:szCs w:val="21"/>
                    </w:rPr>
                  </w:pPr>
                  <w:r>
                    <w:rPr>
                      <w:spacing w:val="-3"/>
                      <w:sz w:val="21"/>
                      <w:szCs w:val="21"/>
                    </w:rPr>
                    <w:t>正戊烷</w:t>
                  </w:r>
                </w:p>
              </w:tc>
              <w:tc>
                <w:tcPr>
                  <w:tcW w:w="1828" w:type="dxa"/>
                  <w:vAlign w:val="top"/>
                </w:tcPr>
                <w:p>
                  <w:pPr>
                    <w:pStyle w:val="6"/>
                    <w:spacing w:before="67" w:line="236"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5"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5"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p>
              </w:tc>
              <w:tc>
                <w:tcPr>
                  <w:tcW w:w="1411" w:type="dxa"/>
                  <w:vAlign w:val="top"/>
                </w:tcPr>
                <w:p>
                  <w:pPr>
                    <w:spacing w:before="105"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tcBorders>
                  <w:vAlign w:val="top"/>
                </w:tcPr>
                <w:p>
                  <w:pPr>
                    <w:rPr>
                      <w:rFonts w:ascii="Arial"/>
                      <w:sz w:val="21"/>
                    </w:rPr>
                  </w:pPr>
                </w:p>
              </w:tc>
              <w:tc>
                <w:tcPr>
                  <w:tcW w:w="1408" w:type="dxa"/>
                  <w:vAlign w:val="top"/>
                </w:tcPr>
                <w:p>
                  <w:pPr>
                    <w:pStyle w:val="6"/>
                    <w:spacing w:before="67" w:line="221" w:lineRule="auto"/>
                    <w:ind w:left="415"/>
                    <w:rPr>
                      <w:sz w:val="21"/>
                      <w:szCs w:val="21"/>
                    </w:rPr>
                  </w:pPr>
                  <w:r>
                    <w:rPr>
                      <w:spacing w:val="-10"/>
                      <w:sz w:val="21"/>
                      <w:szCs w:val="21"/>
                    </w:rPr>
                    <w:t>已烷加</w:t>
                  </w:r>
                </w:p>
              </w:tc>
              <w:tc>
                <w:tcPr>
                  <w:tcW w:w="1828" w:type="dxa"/>
                  <w:vAlign w:val="top"/>
                </w:tcPr>
                <w:p>
                  <w:pPr>
                    <w:pStyle w:val="6"/>
                    <w:spacing w:before="66" w:line="236"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86" w:type="dxa"/>
                  <w:vAlign w:val="top"/>
                </w:tcPr>
                <w:p>
                  <w:pPr>
                    <w:spacing w:before="105"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5" w:line="187" w:lineRule="auto"/>
                    <w:ind w:left="5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411" w:type="dxa"/>
                  <w:vAlign w:val="top"/>
                </w:tcPr>
                <w:p>
                  <w:pPr>
                    <w:spacing w:before="105"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370" w:type="dxa"/>
                  <w:gridSpan w:val="2"/>
                  <w:vAlign w:val="top"/>
                </w:tcPr>
                <w:p>
                  <w:pPr>
                    <w:pStyle w:val="6"/>
                    <w:spacing w:before="67" w:line="213" w:lineRule="auto"/>
                    <w:ind w:left="268"/>
                    <w:rPr>
                      <w:sz w:val="21"/>
                      <w:szCs w:val="21"/>
                    </w:rPr>
                  </w:pPr>
                  <w:r>
                    <w:rPr>
                      <w:sz w:val="21"/>
                      <w:szCs w:val="21"/>
                    </w:rPr>
                    <w:t>硫化氢</w:t>
                  </w:r>
                  <w:r>
                    <w:rPr>
                      <w:spacing w:val="-49"/>
                      <w:sz w:val="21"/>
                      <w:szCs w:val="21"/>
                    </w:rPr>
                    <w:t xml:space="preserve"> </w:t>
                  </w:r>
                  <w:r>
                    <w:rPr>
                      <w:rFonts w:ascii="Times New Roman" w:hAnsi="Times New Roman" w:eastAsia="Times New Roman" w:cs="Times New Roman"/>
                      <w:sz w:val="21"/>
                      <w:szCs w:val="21"/>
                    </w:rPr>
                    <w:t>H</w:t>
                  </w:r>
                  <w:r>
                    <w:rPr>
                      <w:rFonts w:ascii="Times New Roman" w:hAnsi="Times New Roman" w:eastAsia="Times New Roman" w:cs="Times New Roman"/>
                      <w:position w:val="-2"/>
                      <w:sz w:val="13"/>
                      <w:szCs w:val="13"/>
                    </w:rPr>
                    <w:t>2</w:t>
                  </w:r>
                  <w:r>
                    <w:rPr>
                      <w:rFonts w:ascii="Times New Roman" w:hAnsi="Times New Roman" w:eastAsia="Times New Roman" w:cs="Times New Roman"/>
                      <w:sz w:val="21"/>
                      <w:szCs w:val="21"/>
                    </w:rPr>
                    <w:t>S</w:t>
                  </w:r>
                  <w:r>
                    <w:rPr>
                      <w:sz w:val="21"/>
                      <w:szCs w:val="21"/>
                    </w:rPr>
                    <w:t>（</w:t>
                  </w:r>
                  <w:r>
                    <w:rPr>
                      <w:rFonts w:ascii="Times New Roman" w:hAnsi="Times New Roman" w:eastAsia="Times New Roman" w:cs="Times New Roman"/>
                      <w:sz w:val="21"/>
                      <w:szCs w:val="21"/>
                    </w:rPr>
                    <w:t>g/m</w:t>
                  </w:r>
                  <w:r>
                    <w:rPr>
                      <w:rFonts w:ascii="Times New Roman" w:hAnsi="Times New Roman" w:eastAsia="Times New Roman" w:cs="Times New Roman"/>
                      <w:position w:val="6"/>
                      <w:sz w:val="13"/>
                      <w:szCs w:val="13"/>
                    </w:rPr>
                    <w:t>3</w:t>
                  </w:r>
                  <w:r>
                    <w:rPr>
                      <w:sz w:val="21"/>
                      <w:szCs w:val="21"/>
                    </w:rPr>
                    <w:t>）</w:t>
                  </w:r>
                </w:p>
              </w:tc>
              <w:tc>
                <w:tcPr>
                  <w:tcW w:w="1828" w:type="dxa"/>
                  <w:vAlign w:val="top"/>
                </w:tcPr>
                <w:p>
                  <w:pPr>
                    <w:spacing w:before="105" w:line="187" w:lineRule="auto"/>
                    <w:ind w:left="86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86" w:type="dxa"/>
                  <w:vAlign w:val="top"/>
                </w:tcPr>
                <w:p>
                  <w:pPr>
                    <w:spacing w:before="105" w:line="187"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28.1</w:t>
                  </w:r>
                </w:p>
              </w:tc>
              <w:tc>
                <w:tcPr>
                  <w:tcW w:w="1417" w:type="dxa"/>
                  <w:vAlign w:val="top"/>
                </w:tcPr>
                <w:p>
                  <w:pPr>
                    <w:spacing w:before="105" w:line="187" w:lineRule="auto"/>
                    <w:ind w:left="66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1" w:type="dxa"/>
                  <w:vAlign w:val="top"/>
                </w:tcPr>
                <w:p>
                  <w:pPr>
                    <w:spacing w:before="105"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370" w:type="dxa"/>
                  <w:gridSpan w:val="2"/>
                  <w:vAlign w:val="top"/>
                </w:tcPr>
                <w:p>
                  <w:pPr>
                    <w:pStyle w:val="6"/>
                    <w:spacing w:before="67" w:line="221" w:lineRule="auto"/>
                    <w:ind w:left="768"/>
                    <w:rPr>
                      <w:sz w:val="21"/>
                      <w:szCs w:val="21"/>
                    </w:rPr>
                  </w:pPr>
                  <w:r>
                    <w:rPr>
                      <w:spacing w:val="-2"/>
                      <w:sz w:val="21"/>
                      <w:szCs w:val="21"/>
                    </w:rPr>
                    <w:t>相对密度</w:t>
                  </w:r>
                </w:p>
              </w:tc>
              <w:tc>
                <w:tcPr>
                  <w:tcW w:w="1828" w:type="dxa"/>
                  <w:vAlign w:val="top"/>
                </w:tcPr>
                <w:p>
                  <w:pPr>
                    <w:spacing w:before="106" w:line="18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0.6049</w:t>
                  </w:r>
                </w:p>
              </w:tc>
              <w:tc>
                <w:tcPr>
                  <w:tcW w:w="1586" w:type="dxa"/>
                  <w:vAlign w:val="top"/>
                </w:tcPr>
                <w:p>
                  <w:pPr>
                    <w:spacing w:before="106"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0.5991</w:t>
                  </w:r>
                </w:p>
              </w:tc>
              <w:tc>
                <w:tcPr>
                  <w:tcW w:w="1417" w:type="dxa"/>
                  <w:vAlign w:val="top"/>
                </w:tcPr>
                <w:p>
                  <w:pPr>
                    <w:spacing w:before="106"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0.8452</w:t>
                  </w:r>
                </w:p>
              </w:tc>
              <w:tc>
                <w:tcPr>
                  <w:tcW w:w="1411" w:type="dxa"/>
                  <w:vAlign w:val="top"/>
                </w:tcPr>
                <w:p>
                  <w:pPr>
                    <w:spacing w:before="106"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0" w:type="dxa"/>
                  <w:gridSpan w:val="2"/>
                  <w:vAlign w:val="top"/>
                </w:tcPr>
                <w:p>
                  <w:pPr>
                    <w:pStyle w:val="6"/>
                    <w:spacing w:before="69" w:line="221" w:lineRule="auto"/>
                    <w:ind w:left="372"/>
                    <w:rPr>
                      <w:sz w:val="21"/>
                      <w:szCs w:val="21"/>
                    </w:rPr>
                  </w:pPr>
                  <w:r>
                    <w:rPr>
                      <w:spacing w:val="-2"/>
                      <w:sz w:val="21"/>
                      <w:szCs w:val="21"/>
                    </w:rPr>
                    <w:t>临界压力（</w:t>
                  </w:r>
                  <w:r>
                    <w:rPr>
                      <w:rFonts w:ascii="Times New Roman" w:hAnsi="Times New Roman" w:eastAsia="Times New Roman" w:cs="Times New Roman"/>
                      <w:spacing w:val="-2"/>
                      <w:sz w:val="21"/>
                      <w:szCs w:val="21"/>
                    </w:rPr>
                    <w:t>MPa</w:t>
                  </w:r>
                  <w:r>
                    <w:rPr>
                      <w:spacing w:val="-2"/>
                      <w:sz w:val="21"/>
                      <w:szCs w:val="21"/>
                    </w:rPr>
                    <w:t>）</w:t>
                  </w:r>
                </w:p>
              </w:tc>
              <w:tc>
                <w:tcPr>
                  <w:tcW w:w="1828" w:type="dxa"/>
                  <w:vAlign w:val="top"/>
                </w:tcPr>
                <w:p>
                  <w:pPr>
                    <w:spacing w:before="108"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4.944</w:t>
                  </w:r>
                </w:p>
              </w:tc>
              <w:tc>
                <w:tcPr>
                  <w:tcW w:w="1586" w:type="dxa"/>
                  <w:vAlign w:val="top"/>
                </w:tcPr>
                <w:p>
                  <w:pPr>
                    <w:spacing w:before="108" w:line="187" w:lineRule="auto"/>
                    <w:ind w:left="5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4.754</w:t>
                  </w:r>
                </w:p>
              </w:tc>
              <w:tc>
                <w:tcPr>
                  <w:tcW w:w="1417" w:type="dxa"/>
                  <w:vAlign w:val="top"/>
                </w:tcPr>
                <w:p>
                  <w:pPr>
                    <w:spacing w:before="108" w:line="187"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3.827</w:t>
                  </w:r>
                </w:p>
              </w:tc>
              <w:tc>
                <w:tcPr>
                  <w:tcW w:w="1411" w:type="dxa"/>
                  <w:vAlign w:val="top"/>
                </w:tcPr>
                <w:p>
                  <w:pPr>
                    <w:spacing w:before="108"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0" w:type="dxa"/>
                  <w:gridSpan w:val="2"/>
                  <w:vAlign w:val="top"/>
                </w:tcPr>
                <w:p>
                  <w:pPr>
                    <w:pStyle w:val="6"/>
                    <w:spacing w:before="69" w:line="221" w:lineRule="auto"/>
                    <w:ind w:left="494"/>
                    <w:rPr>
                      <w:sz w:val="21"/>
                      <w:szCs w:val="21"/>
                    </w:rPr>
                  </w:pPr>
                  <w:r>
                    <w:rPr>
                      <w:spacing w:val="-3"/>
                      <w:sz w:val="21"/>
                      <w:szCs w:val="21"/>
                    </w:rPr>
                    <w:t>临界温度（</w:t>
                  </w:r>
                  <w:r>
                    <w:rPr>
                      <w:rFonts w:ascii="Times New Roman" w:hAnsi="Times New Roman" w:eastAsia="Times New Roman" w:cs="Times New Roman"/>
                      <w:spacing w:val="-3"/>
                      <w:sz w:val="21"/>
                      <w:szCs w:val="21"/>
                    </w:rPr>
                    <w:t>K</w:t>
                  </w:r>
                  <w:r>
                    <w:rPr>
                      <w:spacing w:val="-3"/>
                      <w:sz w:val="21"/>
                      <w:szCs w:val="21"/>
                    </w:rPr>
                    <w:t>）</w:t>
                  </w:r>
                </w:p>
              </w:tc>
              <w:tc>
                <w:tcPr>
                  <w:tcW w:w="1828" w:type="dxa"/>
                  <w:vAlign w:val="top"/>
                </w:tcPr>
                <w:p>
                  <w:pPr>
                    <w:spacing w:before="108" w:line="187" w:lineRule="auto"/>
                    <w:ind w:left="6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204.6</w:t>
                  </w:r>
                </w:p>
              </w:tc>
              <w:tc>
                <w:tcPr>
                  <w:tcW w:w="1586" w:type="dxa"/>
                  <w:vAlign w:val="top"/>
                </w:tcPr>
                <w:p>
                  <w:pPr>
                    <w:spacing w:before="108" w:line="18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196.7</w:t>
                  </w:r>
                </w:p>
              </w:tc>
              <w:tc>
                <w:tcPr>
                  <w:tcW w:w="1417" w:type="dxa"/>
                  <w:vAlign w:val="top"/>
                </w:tcPr>
                <w:p>
                  <w:pPr>
                    <w:spacing w:before="108"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154</w:t>
                  </w:r>
                </w:p>
              </w:tc>
              <w:tc>
                <w:tcPr>
                  <w:tcW w:w="1411" w:type="dxa"/>
                  <w:vAlign w:val="top"/>
                </w:tcPr>
                <w:p>
                  <w:pPr>
                    <w:spacing w:before="108" w:line="187" w:lineRule="auto"/>
                    <w:ind w:left="4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370" w:type="dxa"/>
                  <w:gridSpan w:val="2"/>
                  <w:vAlign w:val="top"/>
                </w:tcPr>
                <w:p>
                  <w:pPr>
                    <w:pStyle w:val="6"/>
                    <w:spacing w:before="68" w:line="235" w:lineRule="auto"/>
                    <w:ind w:left="362"/>
                    <w:rPr>
                      <w:sz w:val="21"/>
                      <w:szCs w:val="21"/>
                    </w:rPr>
                  </w:pPr>
                  <w:r>
                    <w:rPr>
                      <w:spacing w:val="-1"/>
                      <w:sz w:val="21"/>
                      <w:szCs w:val="21"/>
                    </w:rPr>
                    <w:t>无阻流量（</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1"/>
                      <w:szCs w:val="21"/>
                    </w:rPr>
                    <w:t>/d</w:t>
                  </w:r>
                  <w:r>
                    <w:rPr>
                      <w:spacing w:val="-1"/>
                      <w:sz w:val="21"/>
                      <w:szCs w:val="21"/>
                    </w:rPr>
                    <w:t>）</w:t>
                  </w:r>
                </w:p>
              </w:tc>
              <w:tc>
                <w:tcPr>
                  <w:tcW w:w="1828" w:type="dxa"/>
                  <w:vAlign w:val="top"/>
                </w:tcPr>
                <w:p>
                  <w:pPr>
                    <w:spacing w:before="85" w:line="208" w:lineRule="auto"/>
                    <w:ind w:left="503"/>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11.45×10</w:t>
                  </w:r>
                  <w:r>
                    <w:rPr>
                      <w:rFonts w:ascii="Times New Roman" w:hAnsi="Times New Roman" w:eastAsia="Times New Roman" w:cs="Times New Roman"/>
                      <w:spacing w:val="-3"/>
                      <w:position w:val="6"/>
                      <w:sz w:val="13"/>
                      <w:szCs w:val="13"/>
                    </w:rPr>
                    <w:t>4</w:t>
                  </w:r>
                </w:p>
              </w:tc>
              <w:tc>
                <w:tcPr>
                  <w:tcW w:w="1586" w:type="dxa"/>
                  <w:vAlign w:val="top"/>
                </w:tcPr>
                <w:p>
                  <w:pPr>
                    <w:pStyle w:val="6"/>
                    <w:spacing w:before="68" w:line="237" w:lineRule="auto"/>
                    <w:ind w:left="26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398.95</w:t>
                  </w:r>
                  <w:r>
                    <w:rPr>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
                      <w:position w:val="6"/>
                      <w:sz w:val="13"/>
                      <w:szCs w:val="13"/>
                    </w:rPr>
                    <w:t>4</w:t>
                  </w:r>
                </w:p>
              </w:tc>
              <w:tc>
                <w:tcPr>
                  <w:tcW w:w="1417" w:type="dxa"/>
                  <w:vAlign w:val="top"/>
                </w:tcPr>
                <w:p>
                  <w:pPr>
                    <w:spacing w:before="85" w:line="208" w:lineRule="auto"/>
                    <w:ind w:left="223"/>
                    <w:rPr>
                      <w:rFonts w:ascii="Times New Roman" w:hAnsi="Times New Roman" w:eastAsia="Times New Roman" w:cs="Times New Roman"/>
                      <w:sz w:val="13"/>
                      <w:szCs w:val="13"/>
                    </w:rPr>
                  </w:pPr>
                  <w:r>
                    <w:rPr>
                      <w:rFonts w:ascii="Times New Roman" w:hAnsi="Times New Roman" w:eastAsia="Times New Roman" w:cs="Times New Roman"/>
                      <w:sz w:val="21"/>
                      <w:szCs w:val="21"/>
                    </w:rPr>
                    <w:t>2.2363×10</w:t>
                  </w:r>
                  <w:r>
                    <w:rPr>
                      <w:rFonts w:ascii="Times New Roman" w:hAnsi="Times New Roman" w:eastAsia="Times New Roman" w:cs="Times New Roman"/>
                      <w:position w:val="6"/>
                      <w:sz w:val="13"/>
                      <w:szCs w:val="13"/>
                    </w:rPr>
                    <w:t>4</w:t>
                  </w:r>
                </w:p>
              </w:tc>
              <w:tc>
                <w:tcPr>
                  <w:tcW w:w="1411" w:type="dxa"/>
                  <w:vAlign w:val="top"/>
                </w:tcPr>
                <w:p>
                  <w:pPr>
                    <w:spacing w:before="85" w:line="208" w:lineRule="auto"/>
                    <w:ind w:left="238"/>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146.92×10</w:t>
                  </w:r>
                  <w:r>
                    <w:rPr>
                      <w:rFonts w:ascii="Times New Roman" w:hAnsi="Times New Roman" w:eastAsia="Times New Roman" w:cs="Times New Roman"/>
                      <w:spacing w:val="-2"/>
                      <w:position w:val="6"/>
                      <w:sz w:val="13"/>
                      <w:szCs w:val="13"/>
                    </w:rPr>
                    <w:t>4</w:t>
                  </w:r>
                </w:p>
              </w:tc>
            </w:tr>
          </w:tbl>
          <w:p>
            <w:pPr>
              <w:pStyle w:val="6"/>
              <w:spacing w:before="178" w:line="369" w:lineRule="auto"/>
              <w:ind w:left="53" w:right="99" w:firstLine="479"/>
              <w:jc w:val="both"/>
              <w:rPr>
                <w:sz w:val="24"/>
                <w:szCs w:val="24"/>
              </w:rPr>
            </w:pPr>
            <w:r>
              <w:rPr>
                <w:spacing w:val="-12"/>
                <w:sz w:val="24"/>
                <w:szCs w:val="24"/>
              </w:rPr>
              <w:t>根据上述结果，</w:t>
            </w:r>
            <w:r>
              <w:rPr>
                <w:spacing w:val="59"/>
                <w:sz w:val="24"/>
                <w:szCs w:val="24"/>
              </w:rPr>
              <w:t xml:space="preserve"> </w:t>
            </w:r>
            <w:r>
              <w:rPr>
                <w:spacing w:val="-12"/>
                <w:sz w:val="24"/>
                <w:szCs w:val="24"/>
              </w:rPr>
              <w:t>项目区块邻井部分含硫化氢，部分不含硫化氢</w:t>
            </w:r>
            <w:r>
              <w:rPr>
                <w:spacing w:val="-13"/>
                <w:sz w:val="24"/>
                <w:szCs w:val="24"/>
              </w:rPr>
              <w:t>，</w:t>
            </w:r>
            <w:r>
              <w:rPr>
                <w:spacing w:val="85"/>
                <w:sz w:val="24"/>
                <w:szCs w:val="24"/>
              </w:rPr>
              <w:t xml:space="preserve"> </w:t>
            </w:r>
            <w:r>
              <w:rPr>
                <w:spacing w:val="-13"/>
                <w:sz w:val="24"/>
                <w:szCs w:val="24"/>
              </w:rPr>
              <w:t>由于区块内无</w:t>
            </w:r>
            <w:r>
              <w:rPr>
                <w:sz w:val="24"/>
                <w:szCs w:val="24"/>
              </w:rPr>
              <w:t xml:space="preserve"> </w:t>
            </w:r>
            <w:r>
              <w:rPr>
                <w:spacing w:val="-15"/>
                <w:sz w:val="24"/>
                <w:szCs w:val="24"/>
              </w:rPr>
              <w:t>钻遇石炭系以下地层的井，</w:t>
            </w:r>
            <w:r>
              <w:rPr>
                <w:spacing w:val="69"/>
                <w:sz w:val="24"/>
                <w:szCs w:val="24"/>
              </w:rPr>
              <w:t xml:space="preserve"> </w:t>
            </w:r>
            <w:r>
              <w:rPr>
                <w:spacing w:val="-15"/>
                <w:sz w:val="24"/>
                <w:szCs w:val="24"/>
              </w:rPr>
              <w:t>因此在本井的钻探中，</w:t>
            </w:r>
            <w:r>
              <w:rPr>
                <w:spacing w:val="49"/>
                <w:sz w:val="24"/>
                <w:szCs w:val="24"/>
              </w:rPr>
              <w:t xml:space="preserve"> </w:t>
            </w:r>
            <w:r>
              <w:rPr>
                <w:spacing w:val="-15"/>
                <w:sz w:val="24"/>
                <w:szCs w:val="24"/>
              </w:rPr>
              <w:t>为防止</w:t>
            </w:r>
            <w:r>
              <w:rPr>
                <w:spacing w:val="-56"/>
                <w:sz w:val="24"/>
                <w:szCs w:val="24"/>
              </w:rPr>
              <w:t xml:space="preserve"> </w:t>
            </w:r>
            <w:r>
              <w:rPr>
                <w:rFonts w:ascii="Times New Roman" w:hAnsi="Times New Roman" w:eastAsia="Times New Roman" w:cs="Times New Roman"/>
                <w:spacing w:val="-15"/>
                <w:sz w:val="24"/>
                <w:szCs w:val="24"/>
              </w:rPr>
              <w:t>H</w:t>
            </w:r>
            <w:r>
              <w:rPr>
                <w:rFonts w:ascii="Times New Roman" w:hAnsi="Times New Roman" w:eastAsia="Times New Roman" w:cs="Times New Roman"/>
                <w:spacing w:val="-15"/>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15"/>
                <w:sz w:val="24"/>
                <w:szCs w:val="24"/>
              </w:rPr>
              <w:t>S</w:t>
            </w:r>
            <w:r>
              <w:rPr>
                <w:rFonts w:ascii="Times New Roman" w:hAnsi="Times New Roman" w:eastAsia="Times New Roman" w:cs="Times New Roman"/>
                <w:spacing w:val="12"/>
                <w:sz w:val="24"/>
                <w:szCs w:val="24"/>
              </w:rPr>
              <w:t xml:space="preserve"> </w:t>
            </w:r>
            <w:r>
              <w:rPr>
                <w:spacing w:val="-15"/>
                <w:sz w:val="24"/>
                <w:szCs w:val="24"/>
              </w:rPr>
              <w:t>污染， 本项目从严考</w:t>
            </w:r>
          </w:p>
          <w:p>
            <w:pPr>
              <w:pStyle w:val="6"/>
              <w:spacing w:line="218" w:lineRule="auto"/>
              <w:ind w:left="53"/>
              <w:rPr>
                <w:sz w:val="24"/>
                <w:szCs w:val="24"/>
              </w:rPr>
            </w:pPr>
            <w:r>
              <w:rPr>
                <w:spacing w:val="-3"/>
                <w:sz w:val="24"/>
                <w:szCs w:val="24"/>
              </w:rPr>
              <w:t>虑，按含硫化氢天然气井进行评价。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3" w:hRule="atLeast"/>
        </w:trPr>
        <w:tc>
          <w:tcPr>
            <w:tcW w:w="465" w:type="dxa"/>
            <w:tcBorders>
              <w:top w:val="single" w:color="000000" w:sz="2" w:space="0"/>
              <w:right w:val="single" w:color="000000" w:sz="8" w:space="0"/>
            </w:tcBorders>
            <w:textDirection w:val="tbRlV"/>
            <w:vAlign w:val="top"/>
          </w:tcPr>
          <w:p>
            <w:pPr>
              <w:pStyle w:val="6"/>
              <w:spacing w:before="103" w:line="209" w:lineRule="auto"/>
              <w:ind w:left="1702"/>
              <w:rPr>
                <w:sz w:val="24"/>
                <w:szCs w:val="24"/>
              </w:rPr>
            </w:pPr>
            <w:r>
              <w:rPr>
                <w:sz w:val="24"/>
                <w:szCs w:val="24"/>
              </w:rPr>
              <w:t>总</w:t>
            </w:r>
            <w:r>
              <w:rPr>
                <w:spacing w:val="-49"/>
                <w:sz w:val="24"/>
                <w:szCs w:val="24"/>
              </w:rPr>
              <w:t xml:space="preserve"> </w:t>
            </w:r>
            <w:r>
              <w:rPr>
                <w:sz w:val="24"/>
                <w:szCs w:val="24"/>
              </w:rPr>
              <w:t>平</w:t>
            </w:r>
            <w:r>
              <w:rPr>
                <w:spacing w:val="-48"/>
                <w:sz w:val="24"/>
                <w:szCs w:val="24"/>
              </w:rPr>
              <w:t xml:space="preserve"> </w:t>
            </w:r>
            <w:r>
              <w:rPr>
                <w:sz w:val="24"/>
                <w:szCs w:val="24"/>
              </w:rPr>
              <w:t>面</w:t>
            </w:r>
            <w:r>
              <w:rPr>
                <w:spacing w:val="-51"/>
                <w:sz w:val="24"/>
                <w:szCs w:val="24"/>
              </w:rPr>
              <w:t xml:space="preserve"> </w:t>
            </w:r>
            <w:r>
              <w:rPr>
                <w:sz w:val="24"/>
                <w:szCs w:val="24"/>
              </w:rPr>
              <w:t>及</w:t>
            </w:r>
            <w:r>
              <w:rPr>
                <w:spacing w:val="-48"/>
                <w:sz w:val="24"/>
                <w:szCs w:val="24"/>
              </w:rPr>
              <w:t xml:space="preserve"> </w:t>
            </w:r>
            <w:r>
              <w:rPr>
                <w:sz w:val="24"/>
                <w:szCs w:val="24"/>
              </w:rPr>
              <w:t>现</w:t>
            </w:r>
            <w:r>
              <w:rPr>
                <w:spacing w:val="-48"/>
                <w:sz w:val="24"/>
                <w:szCs w:val="24"/>
              </w:rPr>
              <w:t xml:space="preserve"> </w:t>
            </w:r>
            <w:r>
              <w:rPr>
                <w:sz w:val="24"/>
                <w:szCs w:val="24"/>
              </w:rPr>
              <w:t>场</w:t>
            </w:r>
            <w:r>
              <w:rPr>
                <w:spacing w:val="-50"/>
                <w:sz w:val="24"/>
                <w:szCs w:val="24"/>
              </w:rPr>
              <w:t xml:space="preserve"> </w:t>
            </w:r>
            <w:r>
              <w:rPr>
                <w:sz w:val="24"/>
                <w:szCs w:val="24"/>
              </w:rPr>
              <w:t>布</w:t>
            </w:r>
            <w:r>
              <w:rPr>
                <w:spacing w:val="-48"/>
                <w:sz w:val="24"/>
                <w:szCs w:val="24"/>
              </w:rPr>
              <w:t xml:space="preserve"> </w:t>
            </w:r>
            <w:r>
              <w:rPr>
                <w:sz w:val="24"/>
                <w:szCs w:val="24"/>
              </w:rPr>
              <w:t>置</w:t>
            </w:r>
          </w:p>
        </w:tc>
        <w:tc>
          <w:tcPr>
            <w:tcW w:w="8826" w:type="dxa"/>
            <w:gridSpan w:val="2"/>
            <w:tcBorders>
              <w:top w:val="single" w:color="000000" w:sz="2" w:space="0"/>
              <w:left w:val="single" w:color="000000" w:sz="8" w:space="0"/>
            </w:tcBorders>
            <w:vAlign w:val="top"/>
          </w:tcPr>
          <w:p>
            <w:pPr>
              <w:pStyle w:val="6"/>
              <w:spacing w:before="233" w:line="219" w:lineRule="auto"/>
              <w:ind w:left="94"/>
              <w:rPr>
                <w:sz w:val="24"/>
                <w:szCs w:val="24"/>
              </w:rPr>
            </w:pPr>
            <w:r>
              <w:rPr>
                <w:rFonts w:ascii="Times New Roman" w:hAnsi="Times New Roman" w:eastAsia="Times New Roman" w:cs="Times New Roman"/>
                <w:b/>
                <w:bCs/>
                <w:spacing w:val="-2"/>
                <w:sz w:val="24"/>
                <w:szCs w:val="24"/>
              </w:rPr>
              <w:t>2.10</w:t>
            </w:r>
            <w:r>
              <w:rPr>
                <w:rFonts w:ascii="Times New Roman" w:hAnsi="Times New Roman" w:eastAsia="Times New Roman" w:cs="Times New Roman"/>
                <w:b/>
                <w:bCs/>
                <w:spacing w:val="15"/>
                <w:w w:val="101"/>
                <w:sz w:val="24"/>
                <w:szCs w:val="24"/>
              </w:rPr>
              <w:t xml:space="preserve"> </w:t>
            </w:r>
            <w:r>
              <w:rPr>
                <w:spacing w:val="-2"/>
                <w:sz w:val="24"/>
                <w:szCs w:val="24"/>
                <w14:textOutline w14:w="4354" w14:cap="flat" w14:cmpd="sng">
                  <w14:solidFill>
                    <w14:srgbClr w14:val="000000"/>
                  </w14:solidFill>
                  <w14:prstDash w14:val="solid"/>
                  <w14:miter w14:val="10"/>
                </w14:textOutline>
              </w:rPr>
              <w:t>总平面布置</w:t>
            </w:r>
          </w:p>
          <w:p>
            <w:pPr>
              <w:pStyle w:val="6"/>
              <w:spacing w:before="196" w:line="369" w:lineRule="auto"/>
              <w:ind w:left="104" w:firstLine="474"/>
              <w:jc w:val="both"/>
              <w:rPr>
                <w:sz w:val="24"/>
                <w:szCs w:val="24"/>
              </w:rPr>
            </w:pPr>
            <w:r>
              <w:rPr>
                <w:spacing w:val="-8"/>
                <w:sz w:val="24"/>
                <w:szCs w:val="24"/>
              </w:rPr>
              <w:t>本项目为天然气勘探工程， 项目平面布置参考《钻前工程及井场布置技</w:t>
            </w:r>
            <w:r>
              <w:rPr>
                <w:spacing w:val="-9"/>
                <w:sz w:val="24"/>
                <w:szCs w:val="24"/>
              </w:rPr>
              <w:t>术要求》</w:t>
            </w:r>
            <w:r>
              <w:rPr>
                <w:sz w:val="24"/>
                <w:szCs w:val="24"/>
              </w:rPr>
              <w:t xml:space="preserve"> </w:t>
            </w:r>
            <w:r>
              <w:rPr>
                <w:spacing w:val="2"/>
                <w:sz w:val="24"/>
                <w:szCs w:val="24"/>
              </w:rPr>
              <w:t>（</w:t>
            </w:r>
            <w:r>
              <w:rPr>
                <w:rFonts w:ascii="Times New Roman" w:hAnsi="Times New Roman" w:eastAsia="Times New Roman" w:cs="Times New Roman"/>
                <w:sz w:val="24"/>
                <w:szCs w:val="24"/>
              </w:rPr>
              <w:t>SY</w:t>
            </w:r>
            <w:r>
              <w:rPr>
                <w:rFonts w:ascii="Times New Roman" w:hAnsi="Times New Roman" w:eastAsia="Times New Roman" w:cs="Times New Roman"/>
                <w:spacing w:val="2"/>
                <w:sz w:val="24"/>
                <w:szCs w:val="24"/>
              </w:rPr>
              <w:t>/T5466-2013</w:t>
            </w:r>
            <w:r>
              <w:rPr>
                <w:spacing w:val="2"/>
                <w:sz w:val="24"/>
                <w:szCs w:val="24"/>
              </w:rPr>
              <w:t>）、《石油与天然气钻井、开发、储运防火</w:t>
            </w:r>
            <w:r>
              <w:rPr>
                <w:spacing w:val="1"/>
                <w:sz w:val="24"/>
                <w:szCs w:val="24"/>
              </w:rPr>
              <w:t>防爆安全生产管理规</w:t>
            </w:r>
            <w:r>
              <w:rPr>
                <w:sz w:val="24"/>
                <w:szCs w:val="24"/>
              </w:rPr>
              <w:t xml:space="preserve">  </w:t>
            </w:r>
            <w:r>
              <w:rPr>
                <w:spacing w:val="-1"/>
                <w:sz w:val="24"/>
                <w:szCs w:val="24"/>
              </w:rPr>
              <w:t>定》（</w:t>
            </w:r>
            <w:r>
              <w:rPr>
                <w:rFonts w:ascii="Times New Roman" w:hAnsi="Times New Roman" w:eastAsia="Times New Roman" w:cs="Times New Roman"/>
                <w:spacing w:val="-1"/>
                <w:sz w:val="24"/>
                <w:szCs w:val="24"/>
              </w:rPr>
              <w:t>SY5225-2012</w:t>
            </w:r>
            <w:r>
              <w:rPr>
                <w:spacing w:val="-1"/>
                <w:sz w:val="24"/>
                <w:szCs w:val="24"/>
              </w:rPr>
              <w:t>）、《含硫化氢天然气井公众安全防护距离》（</w:t>
            </w:r>
            <w:r>
              <w:rPr>
                <w:rFonts w:ascii="Times New Roman" w:hAnsi="Times New Roman" w:eastAsia="Times New Roman" w:cs="Times New Roman"/>
                <w:spacing w:val="-1"/>
                <w:sz w:val="24"/>
                <w:szCs w:val="24"/>
              </w:rPr>
              <w:t>AQ2018-2008</w:t>
            </w:r>
            <w:r>
              <w:rPr>
                <w:spacing w:val="-1"/>
                <w:sz w:val="24"/>
                <w:szCs w:val="24"/>
              </w:rPr>
              <w:t>）</w:t>
            </w:r>
          </w:p>
          <w:p>
            <w:pPr>
              <w:pStyle w:val="6"/>
              <w:spacing w:line="219" w:lineRule="auto"/>
              <w:ind w:left="100"/>
              <w:rPr>
                <w:sz w:val="24"/>
                <w:szCs w:val="24"/>
              </w:rPr>
            </w:pPr>
            <w:r>
              <w:rPr>
                <w:spacing w:val="-3"/>
                <w:sz w:val="24"/>
                <w:szCs w:val="24"/>
              </w:rPr>
              <w:t>等石油和天然气行业标准的要求进行。</w:t>
            </w:r>
          </w:p>
          <w:p>
            <w:pPr>
              <w:pStyle w:val="6"/>
              <w:spacing w:before="194" w:line="219" w:lineRule="auto"/>
              <w:ind w:left="587"/>
              <w:rPr>
                <w:sz w:val="24"/>
                <w:szCs w:val="24"/>
              </w:rPr>
            </w:pP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、钻前工程平面布置</w:t>
            </w:r>
          </w:p>
          <w:p>
            <w:pPr>
              <w:pStyle w:val="6"/>
              <w:spacing w:before="197" w:line="369" w:lineRule="auto"/>
              <w:ind w:left="97" w:right="103" w:firstLine="480"/>
              <w:jc w:val="both"/>
              <w:rPr>
                <w:sz w:val="24"/>
                <w:szCs w:val="24"/>
              </w:rPr>
            </w:pPr>
            <w:r>
              <w:rPr>
                <w:spacing w:val="-6"/>
                <w:sz w:val="24"/>
                <w:szCs w:val="24"/>
              </w:rPr>
              <w:t>钻前工程主要为土建施工，</w:t>
            </w:r>
            <w:r>
              <w:rPr>
                <w:spacing w:val="53"/>
                <w:sz w:val="24"/>
                <w:szCs w:val="24"/>
              </w:rPr>
              <w:t xml:space="preserve"> </w:t>
            </w:r>
            <w:r>
              <w:rPr>
                <w:spacing w:val="-6"/>
                <w:sz w:val="24"/>
                <w:szCs w:val="24"/>
              </w:rPr>
              <w:t>按照钻井工程的总平面布置完成场地平整</w:t>
            </w:r>
            <w:r>
              <w:rPr>
                <w:spacing w:val="-7"/>
                <w:sz w:val="24"/>
                <w:szCs w:val="24"/>
              </w:rPr>
              <w:t>、设备基</w:t>
            </w:r>
            <w:r>
              <w:rPr>
                <w:sz w:val="24"/>
                <w:szCs w:val="24"/>
              </w:rPr>
              <w:t xml:space="preserve"> </w:t>
            </w:r>
            <w:r>
              <w:rPr>
                <w:spacing w:val="-1"/>
                <w:sz w:val="24"/>
                <w:szCs w:val="24"/>
              </w:rPr>
              <w:t>础构筑、场地及设备基础防渗处理等。钻前工程均在项目临时征地红线范围内依次</w:t>
            </w:r>
            <w:r>
              <w:rPr>
                <w:spacing w:val="2"/>
                <w:sz w:val="24"/>
                <w:szCs w:val="24"/>
              </w:rPr>
              <w:t xml:space="preserve"> </w:t>
            </w:r>
            <w:r>
              <w:rPr>
                <w:spacing w:val="-10"/>
                <w:sz w:val="24"/>
                <w:szCs w:val="24"/>
              </w:rPr>
              <w:t>按照钻井工程平面布置依图施工，</w:t>
            </w:r>
            <w:r>
              <w:rPr>
                <w:spacing w:val="51"/>
                <w:sz w:val="24"/>
                <w:szCs w:val="24"/>
              </w:rPr>
              <w:t xml:space="preserve"> </w:t>
            </w:r>
            <w:r>
              <w:rPr>
                <w:spacing w:val="-10"/>
                <w:sz w:val="24"/>
                <w:szCs w:val="24"/>
              </w:rPr>
              <w:t>钻前工程不设</w:t>
            </w:r>
            <w:r>
              <w:rPr>
                <w:spacing w:val="-11"/>
                <w:sz w:val="24"/>
                <w:szCs w:val="24"/>
              </w:rPr>
              <w:t>施工营地，</w:t>
            </w:r>
            <w:r>
              <w:rPr>
                <w:spacing w:val="50"/>
                <w:sz w:val="24"/>
                <w:szCs w:val="24"/>
              </w:rPr>
              <w:t xml:space="preserve"> </w:t>
            </w:r>
            <w:r>
              <w:rPr>
                <w:spacing w:val="-11"/>
                <w:sz w:val="24"/>
                <w:szCs w:val="24"/>
              </w:rPr>
              <w:t>施工原辅材料为成品拉</w:t>
            </w:r>
          </w:p>
          <w:p>
            <w:pPr>
              <w:pStyle w:val="6"/>
              <w:spacing w:before="1" w:line="219" w:lineRule="auto"/>
              <w:ind w:left="98"/>
              <w:rPr>
                <w:sz w:val="24"/>
                <w:szCs w:val="24"/>
              </w:rPr>
            </w:pPr>
            <w:r>
              <w:rPr>
                <w:spacing w:val="-1"/>
                <w:sz w:val="24"/>
                <w:szCs w:val="24"/>
              </w:rPr>
              <w:t>运现场直接施工，现场不设施工料场存放区。</w:t>
            </w:r>
          </w:p>
          <w:p>
            <w:pPr>
              <w:pStyle w:val="6"/>
              <w:spacing w:before="194" w:line="219" w:lineRule="auto"/>
              <w:ind w:left="577"/>
              <w:rPr>
                <w:sz w:val="24"/>
                <w:szCs w:val="24"/>
              </w:rPr>
            </w:pPr>
            <w:r>
              <w:rPr>
                <w:rFonts w:ascii="Times New Roman" w:hAnsi="Times New Roman" w:eastAsia="Times New Roman" w:cs="Times New Roman"/>
                <w:b/>
                <w:bCs/>
                <w:sz w:val="24"/>
                <w:szCs w:val="24"/>
              </w:rPr>
              <w:t>2</w:t>
            </w:r>
            <w:r>
              <w:rPr>
                <w:sz w:val="24"/>
                <w:szCs w:val="24"/>
                <w14:textOutline w14:w="4354" w14:cap="flat" w14:cmpd="sng">
                  <w14:solidFill>
                    <w14:srgbClr w14:val="000000"/>
                  </w14:solidFill>
                  <w14:prstDash w14:val="solid"/>
                  <w14:miter w14:val="10"/>
                </w14:textOutline>
              </w:rPr>
              <w:t>、钻井工程平面布置</w:t>
            </w:r>
          </w:p>
          <w:p>
            <w:pPr>
              <w:pStyle w:val="6"/>
              <w:spacing w:before="195" w:line="219" w:lineRule="auto"/>
              <w:ind w:left="579"/>
              <w:rPr>
                <w:sz w:val="24"/>
                <w:szCs w:val="24"/>
              </w:rPr>
            </w:pPr>
            <w:r>
              <w:rPr>
                <w:spacing w:val="-9"/>
                <w:sz w:val="24"/>
                <w:szCs w:val="24"/>
              </w:rPr>
              <w:t>本项目井场由北</w:t>
            </w:r>
            <w:r>
              <w:rPr>
                <w:rFonts w:ascii="Times New Roman" w:hAnsi="Times New Roman" w:eastAsia="Times New Roman" w:cs="Times New Roman"/>
                <w:spacing w:val="-9"/>
                <w:sz w:val="24"/>
                <w:szCs w:val="24"/>
              </w:rPr>
              <w:t>-</w:t>
            </w:r>
            <w:r>
              <w:rPr>
                <w:spacing w:val="-9"/>
                <w:sz w:val="24"/>
                <w:szCs w:val="24"/>
              </w:rPr>
              <w:t>南布设，</w:t>
            </w:r>
            <w:r>
              <w:rPr>
                <w:spacing w:val="-56"/>
                <w:sz w:val="24"/>
                <w:szCs w:val="24"/>
              </w:rPr>
              <w:t xml:space="preserve"> </w:t>
            </w:r>
            <w:r>
              <w:rPr>
                <w:spacing w:val="-9"/>
                <w:sz w:val="24"/>
                <w:szCs w:val="24"/>
              </w:rPr>
              <w:t>油水罐、清洁生产操作平</w:t>
            </w:r>
            <w:r>
              <w:rPr>
                <w:spacing w:val="-10"/>
                <w:sz w:val="24"/>
                <w:szCs w:val="24"/>
              </w:rPr>
              <w:t>台位于井场外北侧，</w:t>
            </w:r>
            <w:r>
              <w:rPr>
                <w:spacing w:val="30"/>
                <w:sz w:val="24"/>
                <w:szCs w:val="24"/>
              </w:rPr>
              <w:t xml:space="preserve"> </w:t>
            </w:r>
            <w:r>
              <w:rPr>
                <w:spacing w:val="-10"/>
                <w:sz w:val="24"/>
                <w:szCs w:val="24"/>
              </w:rPr>
              <w:t>泥浆储</w:t>
            </w:r>
          </w:p>
        </w:tc>
      </w:tr>
    </w:tbl>
    <w:p>
      <w:pPr>
        <w:pStyle w:val="2"/>
        <w:rPr>
          <w:sz w:val="21"/>
        </w:rPr>
      </w:pPr>
    </w:p>
    <w:p>
      <w:pPr>
        <w:rPr>
          <w:sz w:val="21"/>
          <w:szCs w:val="21"/>
        </w:rPr>
        <w:sectPr>
          <w:footerReference r:id="rId46"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5" w:right="100" w:firstLine="3"/>
              <w:jc w:val="both"/>
              <w:rPr>
                <w:sz w:val="24"/>
                <w:szCs w:val="24"/>
              </w:rPr>
            </w:pPr>
            <w:r>
              <w:rPr>
                <w:spacing w:val="-6"/>
                <w:sz w:val="24"/>
                <w:szCs w:val="24"/>
              </w:rPr>
              <w:t>备罐区位于井场东侧，应急池位于井场南侧，</w:t>
            </w:r>
            <w:r>
              <w:rPr>
                <w:spacing w:val="61"/>
                <w:sz w:val="24"/>
                <w:szCs w:val="24"/>
              </w:rPr>
              <w:t xml:space="preserve"> </w:t>
            </w:r>
            <w:r>
              <w:rPr>
                <w:spacing w:val="-6"/>
                <w:sz w:val="24"/>
                <w:szCs w:val="24"/>
              </w:rPr>
              <w:t>发电机及动力系统根据井架布置。井</w:t>
            </w:r>
            <w:r>
              <w:rPr>
                <w:sz w:val="24"/>
                <w:szCs w:val="24"/>
              </w:rPr>
              <w:t xml:space="preserve"> </w:t>
            </w:r>
            <w:r>
              <w:rPr>
                <w:spacing w:val="-11"/>
                <w:sz w:val="24"/>
                <w:szCs w:val="24"/>
              </w:rPr>
              <w:t>场周边有环形清水排水沟及污水截流沟，</w:t>
            </w:r>
            <w:r>
              <w:rPr>
                <w:spacing w:val="66"/>
                <w:sz w:val="24"/>
                <w:szCs w:val="24"/>
              </w:rPr>
              <w:t xml:space="preserve"> </w:t>
            </w:r>
            <w:r>
              <w:rPr>
                <w:spacing w:val="-11"/>
                <w:sz w:val="24"/>
                <w:szCs w:val="24"/>
              </w:rPr>
              <w:t>主燃烧池位于井场外西南侧，</w:t>
            </w:r>
            <w:r>
              <w:rPr>
                <w:spacing w:val="56"/>
                <w:sz w:val="24"/>
                <w:szCs w:val="24"/>
              </w:rPr>
              <w:t xml:space="preserve"> </w:t>
            </w:r>
            <w:r>
              <w:rPr>
                <w:spacing w:val="-11"/>
                <w:sz w:val="24"/>
                <w:szCs w:val="24"/>
              </w:rPr>
              <w:t>副燃烧池位</w:t>
            </w:r>
            <w:r>
              <w:rPr>
                <w:sz w:val="24"/>
                <w:szCs w:val="24"/>
              </w:rPr>
              <w:t xml:space="preserve"> </w:t>
            </w:r>
            <w:r>
              <w:rPr>
                <w:spacing w:val="-6"/>
                <w:sz w:val="24"/>
                <w:szCs w:val="24"/>
              </w:rPr>
              <w:t>于井场外南侧。耕植土堆放区位于井场外西北侧。生活区布置于场外北侧，</w:t>
            </w:r>
            <w:r>
              <w:rPr>
                <w:spacing w:val="65"/>
                <w:sz w:val="24"/>
                <w:szCs w:val="24"/>
              </w:rPr>
              <w:t xml:space="preserve"> </w:t>
            </w:r>
            <w:r>
              <w:rPr>
                <w:spacing w:val="-6"/>
                <w:sz w:val="24"/>
                <w:szCs w:val="24"/>
              </w:rPr>
              <w:t>便于施</w:t>
            </w:r>
          </w:p>
          <w:p>
            <w:pPr>
              <w:pStyle w:val="6"/>
              <w:spacing w:line="219" w:lineRule="auto"/>
              <w:ind w:left="108"/>
              <w:rPr>
                <w:sz w:val="24"/>
                <w:szCs w:val="24"/>
              </w:rPr>
            </w:pPr>
            <w:r>
              <w:rPr>
                <w:spacing w:val="-3"/>
                <w:sz w:val="24"/>
                <w:szCs w:val="24"/>
              </w:rPr>
              <w:t>工人员进场施工，完钻后随钻井队搬迁。</w:t>
            </w:r>
          </w:p>
          <w:p>
            <w:pPr>
              <w:pStyle w:val="6"/>
              <w:spacing w:before="194" w:line="219" w:lineRule="auto"/>
              <w:ind w:left="582"/>
              <w:rPr>
                <w:sz w:val="24"/>
                <w:szCs w:val="24"/>
              </w:rPr>
            </w:pP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、井场布局合理性分析</w:t>
            </w:r>
          </w:p>
          <w:p>
            <w:pPr>
              <w:pStyle w:val="6"/>
              <w:spacing w:before="195" w:line="219" w:lineRule="auto"/>
              <w:ind w:left="594"/>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）燃烧池布局合理性分析</w:t>
            </w:r>
          </w:p>
          <w:p>
            <w:pPr>
              <w:pStyle w:val="6"/>
              <w:spacing w:before="198" w:line="369" w:lineRule="auto"/>
              <w:ind w:left="105" w:right="80" w:firstLine="480"/>
              <w:rPr>
                <w:sz w:val="24"/>
                <w:szCs w:val="24"/>
              </w:rPr>
            </w:pPr>
            <w:r>
              <w:rPr>
                <w:spacing w:val="-1"/>
                <w:sz w:val="24"/>
                <w:szCs w:val="24"/>
              </w:rPr>
              <w:t>根据《钻井井控技术规程》（</w:t>
            </w:r>
            <w:r>
              <w:rPr>
                <w:rFonts w:ascii="Times New Roman" w:hAnsi="Times New Roman" w:eastAsia="Times New Roman" w:cs="Times New Roman"/>
                <w:spacing w:val="-1"/>
                <w:sz w:val="24"/>
                <w:szCs w:val="24"/>
              </w:rPr>
              <w:t>SY/T6426-2005</w:t>
            </w:r>
            <w:r>
              <w:rPr>
                <w:spacing w:val="-1"/>
                <w:sz w:val="24"/>
                <w:szCs w:val="24"/>
              </w:rPr>
              <w:t>）中的第</w:t>
            </w:r>
            <w:r>
              <w:rPr>
                <w:spacing w:val="-18"/>
                <w:sz w:val="24"/>
                <w:szCs w:val="24"/>
              </w:rPr>
              <w:t xml:space="preserve"> </w:t>
            </w:r>
            <w:r>
              <w:fldChar w:fldCharType="begin"/>
            </w:r>
            <w:r>
              <w:instrText xml:space="preserve"> HYPERLINK "4.1.2.3" </w:instrText>
            </w:r>
            <w:r>
              <w:fldChar w:fldCharType="separate"/>
            </w:r>
            <w:r>
              <w:rPr>
                <w:rFonts w:ascii="Times New Roman" w:hAnsi="Times New Roman" w:eastAsia="Times New Roman" w:cs="Times New Roman"/>
                <w:spacing w:val="-1"/>
                <w:sz w:val="24"/>
                <w:szCs w:val="24"/>
              </w:rPr>
              <w:t>4.1.2.3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28"/>
                <w:sz w:val="24"/>
                <w:szCs w:val="24"/>
              </w:rPr>
              <w:t xml:space="preserve"> </w:t>
            </w:r>
            <w:r>
              <w:rPr>
                <w:spacing w:val="-1"/>
                <w:sz w:val="24"/>
                <w:szCs w:val="24"/>
              </w:rPr>
              <w:t>条规定：放喷管</w:t>
            </w:r>
            <w:r>
              <w:rPr>
                <w:sz w:val="24"/>
                <w:szCs w:val="24"/>
              </w:rPr>
              <w:t xml:space="preserve"> </w:t>
            </w:r>
            <w:r>
              <w:rPr>
                <w:spacing w:val="-8"/>
                <w:sz w:val="24"/>
                <w:szCs w:val="24"/>
              </w:rPr>
              <w:t>线应接至距井口</w:t>
            </w:r>
            <w:r>
              <w:rPr>
                <w:spacing w:val="-51"/>
                <w:sz w:val="24"/>
                <w:szCs w:val="24"/>
              </w:rPr>
              <w:t xml:space="preserve"> </w:t>
            </w:r>
            <w:r>
              <w:rPr>
                <w:rFonts w:ascii="Times New Roman" w:hAnsi="Times New Roman" w:eastAsia="Times New Roman" w:cs="Times New Roman"/>
                <w:spacing w:val="-8"/>
                <w:sz w:val="24"/>
                <w:szCs w:val="24"/>
              </w:rPr>
              <w:t>75m</w:t>
            </w:r>
            <w:r>
              <w:rPr>
                <w:rFonts w:ascii="Times New Roman" w:hAnsi="Times New Roman" w:eastAsia="Times New Roman" w:cs="Times New Roman"/>
                <w:spacing w:val="38"/>
                <w:sz w:val="24"/>
                <w:szCs w:val="24"/>
              </w:rPr>
              <w:t xml:space="preserve"> </w:t>
            </w:r>
            <w:r>
              <w:rPr>
                <w:spacing w:val="-8"/>
                <w:sz w:val="24"/>
                <w:szCs w:val="24"/>
              </w:rPr>
              <w:t>以上的安全地带，</w:t>
            </w:r>
            <w:r>
              <w:rPr>
                <w:spacing w:val="28"/>
                <w:sz w:val="24"/>
                <w:szCs w:val="24"/>
              </w:rPr>
              <w:t xml:space="preserve"> </w:t>
            </w:r>
            <w:r>
              <w:rPr>
                <w:spacing w:val="-8"/>
                <w:sz w:val="24"/>
                <w:szCs w:val="24"/>
              </w:rPr>
              <w:t>距各种设施不小于</w:t>
            </w:r>
            <w:r>
              <w:rPr>
                <w:spacing w:val="-48"/>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9"/>
                <w:sz w:val="24"/>
                <w:szCs w:val="24"/>
              </w:rPr>
              <w:t>0m</w:t>
            </w:r>
            <w:r>
              <w:rPr>
                <w:spacing w:val="-9"/>
                <w:sz w:val="24"/>
                <w:szCs w:val="24"/>
              </w:rPr>
              <w:t>。根据《石油天然气</w:t>
            </w:r>
            <w:r>
              <w:rPr>
                <w:sz w:val="24"/>
                <w:szCs w:val="24"/>
              </w:rPr>
              <w:t xml:space="preserve"> </w:t>
            </w:r>
            <w:r>
              <w:rPr>
                <w:spacing w:val="-4"/>
                <w:sz w:val="24"/>
                <w:szCs w:val="24"/>
              </w:rPr>
              <w:t>钻井、开发、储运防火防爆安全生产技术规程</w:t>
            </w:r>
            <w:r>
              <w:rPr>
                <w:spacing w:val="-5"/>
                <w:sz w:val="24"/>
                <w:szCs w:val="24"/>
              </w:rPr>
              <w:t>》（</w:t>
            </w:r>
            <w:r>
              <w:rPr>
                <w:rFonts w:ascii="Times New Roman" w:hAnsi="Times New Roman" w:eastAsia="Times New Roman" w:cs="Times New Roman"/>
                <w:spacing w:val="-5"/>
                <w:sz w:val="24"/>
                <w:szCs w:val="24"/>
              </w:rPr>
              <w:t>SY5225-2012</w:t>
            </w:r>
            <w:r>
              <w:rPr>
                <w:spacing w:val="-5"/>
                <w:sz w:val="24"/>
                <w:szCs w:val="24"/>
              </w:rPr>
              <w:t>）第</w:t>
            </w:r>
            <w:r>
              <w:rPr>
                <w:spacing w:val="-31"/>
                <w:sz w:val="24"/>
                <w:szCs w:val="24"/>
              </w:rPr>
              <w:t xml:space="preserve"> </w:t>
            </w:r>
            <w:r>
              <w:rPr>
                <w:rFonts w:ascii="Times New Roman" w:hAnsi="Times New Roman" w:eastAsia="Times New Roman" w:cs="Times New Roman"/>
                <w:spacing w:val="-5"/>
                <w:sz w:val="24"/>
                <w:szCs w:val="24"/>
              </w:rPr>
              <w:t xml:space="preserve">3.1.4 </w:t>
            </w:r>
            <w:r>
              <w:rPr>
                <w:spacing w:val="-5"/>
                <w:sz w:val="24"/>
                <w:szCs w:val="24"/>
              </w:rPr>
              <w:t>规定： 放</w:t>
            </w:r>
            <w:r>
              <w:rPr>
                <w:sz w:val="24"/>
                <w:szCs w:val="24"/>
              </w:rPr>
              <w:t xml:space="preserve"> </w:t>
            </w:r>
            <w:r>
              <w:rPr>
                <w:spacing w:val="-1"/>
                <w:sz w:val="24"/>
                <w:szCs w:val="24"/>
              </w:rPr>
              <w:t>喷管线出口距井口应不小于</w:t>
            </w:r>
            <w:r>
              <w:rPr>
                <w:spacing w:val="-41"/>
                <w:sz w:val="24"/>
                <w:szCs w:val="24"/>
              </w:rPr>
              <w:t xml:space="preserve"> </w:t>
            </w:r>
            <w:r>
              <w:rPr>
                <w:rFonts w:ascii="Times New Roman" w:hAnsi="Times New Roman" w:eastAsia="Times New Roman" w:cs="Times New Roman"/>
                <w:spacing w:val="-1"/>
                <w:sz w:val="24"/>
                <w:szCs w:val="24"/>
              </w:rPr>
              <w:t>75m</w:t>
            </w:r>
            <w:r>
              <w:rPr>
                <w:spacing w:val="-1"/>
                <w:sz w:val="24"/>
                <w:szCs w:val="24"/>
              </w:rPr>
              <w:t>；根据《陆上石油天然气生产环境保护推荐作法》</w:t>
            </w:r>
            <w:r>
              <w:rPr>
                <w:sz w:val="24"/>
                <w:szCs w:val="24"/>
              </w:rPr>
              <w:t xml:space="preserve"> </w:t>
            </w:r>
            <w:r>
              <w:rPr>
                <w:spacing w:val="-7"/>
                <w:sz w:val="24"/>
                <w:szCs w:val="24"/>
              </w:rPr>
              <w:t>（</w:t>
            </w:r>
            <w:r>
              <w:rPr>
                <w:rFonts w:ascii="Times New Roman" w:hAnsi="Times New Roman" w:eastAsia="Times New Roman" w:cs="Times New Roman"/>
                <w:spacing w:val="-7"/>
                <w:sz w:val="24"/>
                <w:szCs w:val="24"/>
              </w:rPr>
              <w:t>SY/T6628-2005</w:t>
            </w:r>
            <w:r>
              <w:rPr>
                <w:spacing w:val="-7"/>
                <w:sz w:val="24"/>
                <w:szCs w:val="24"/>
              </w:rPr>
              <w:t>）中第</w:t>
            </w:r>
            <w:r>
              <w:rPr>
                <w:spacing w:val="-48"/>
                <w:sz w:val="24"/>
                <w:szCs w:val="24"/>
              </w:rPr>
              <w:t xml:space="preserve"> </w:t>
            </w:r>
            <w:r>
              <w:rPr>
                <w:rFonts w:ascii="Times New Roman" w:hAnsi="Times New Roman" w:eastAsia="Times New Roman" w:cs="Times New Roman"/>
                <w:spacing w:val="-7"/>
                <w:sz w:val="24"/>
                <w:szCs w:val="24"/>
              </w:rPr>
              <w:t xml:space="preserve">5.3.1 </w:t>
            </w:r>
            <w:r>
              <w:rPr>
                <w:spacing w:val="-7"/>
                <w:sz w:val="24"/>
                <w:szCs w:val="24"/>
              </w:rPr>
              <w:t>条规定： 放喷池和火炬应限</w:t>
            </w:r>
            <w:r>
              <w:rPr>
                <w:spacing w:val="-8"/>
                <w:sz w:val="24"/>
                <w:szCs w:val="24"/>
              </w:rPr>
              <w:t>于安全地点，</w:t>
            </w:r>
            <w:r>
              <w:rPr>
                <w:spacing w:val="57"/>
                <w:sz w:val="24"/>
                <w:szCs w:val="24"/>
              </w:rPr>
              <w:t xml:space="preserve"> </w:t>
            </w:r>
            <w:r>
              <w:rPr>
                <w:spacing w:val="-8"/>
                <w:sz w:val="24"/>
                <w:szCs w:val="24"/>
              </w:rPr>
              <w:t>尽可能考虑</w:t>
            </w:r>
            <w:r>
              <w:rPr>
                <w:sz w:val="24"/>
                <w:szCs w:val="24"/>
              </w:rPr>
              <w:t xml:space="preserve"> </w:t>
            </w:r>
            <w:r>
              <w:rPr>
                <w:spacing w:val="-6"/>
                <w:sz w:val="24"/>
                <w:szCs w:val="24"/>
              </w:rPr>
              <w:t>选择井场主导风向的下风向放喷或点燃火炬，</w:t>
            </w:r>
            <w:r>
              <w:rPr>
                <w:spacing w:val="62"/>
                <w:sz w:val="24"/>
                <w:szCs w:val="24"/>
              </w:rPr>
              <w:t xml:space="preserve"> </w:t>
            </w:r>
            <w:r>
              <w:rPr>
                <w:spacing w:val="-6"/>
                <w:sz w:val="24"/>
                <w:szCs w:val="24"/>
              </w:rPr>
              <w:t>还应使排入大气的气体完全燃烧。根</w:t>
            </w:r>
            <w:r>
              <w:rPr>
                <w:sz w:val="24"/>
                <w:szCs w:val="24"/>
              </w:rPr>
              <w:t xml:space="preserve"> </w:t>
            </w:r>
            <w:r>
              <w:rPr>
                <w:spacing w:val="-1"/>
                <w:sz w:val="24"/>
                <w:szCs w:val="24"/>
              </w:rPr>
              <w:t>据项目井场平面布置可知，本项目主燃烧池位于井场外西南侧，距离井口</w:t>
            </w:r>
            <w:r>
              <w:rPr>
                <w:spacing w:val="49"/>
                <w:sz w:val="24"/>
                <w:szCs w:val="24"/>
              </w:rPr>
              <w:t xml:space="preserve"> </w:t>
            </w:r>
            <w:r>
              <w:rPr>
                <w:rFonts w:ascii="Times New Roman" w:hAnsi="Times New Roman" w:eastAsia="Times New Roman" w:cs="Times New Roman"/>
                <w:spacing w:val="-1"/>
                <w:sz w:val="24"/>
                <w:szCs w:val="24"/>
              </w:rPr>
              <w:t>135m</w:t>
            </w:r>
            <w:r>
              <w:rPr>
                <w:rFonts w:ascii="Times New Roman" w:hAnsi="Times New Roman" w:eastAsia="Times New Roman" w:cs="Times New Roman"/>
                <w:spacing w:val="-30"/>
                <w:sz w:val="24"/>
                <w:szCs w:val="24"/>
              </w:rPr>
              <w:t xml:space="preserve"> </w:t>
            </w:r>
            <w:r>
              <w:rPr>
                <w:spacing w:val="-1"/>
                <w:sz w:val="24"/>
                <w:szCs w:val="24"/>
              </w:rPr>
              <w:t>，</w:t>
            </w:r>
            <w:r>
              <w:rPr>
                <w:sz w:val="24"/>
                <w:szCs w:val="24"/>
              </w:rPr>
              <w:t xml:space="preserve"> </w:t>
            </w:r>
            <w:r>
              <w:rPr>
                <w:spacing w:val="-6"/>
                <w:sz w:val="24"/>
                <w:szCs w:val="24"/>
              </w:rPr>
              <w:t>副燃烧池位于井场外南侧，距离井口</w:t>
            </w:r>
            <w:r>
              <w:rPr>
                <w:spacing w:val="-24"/>
                <w:sz w:val="24"/>
                <w:szCs w:val="24"/>
              </w:rPr>
              <w:t xml:space="preserve"> </w:t>
            </w:r>
            <w:r>
              <w:rPr>
                <w:rFonts w:ascii="Times New Roman" w:hAnsi="Times New Roman" w:eastAsia="Times New Roman" w:cs="Times New Roman"/>
                <w:spacing w:val="-6"/>
                <w:sz w:val="24"/>
                <w:szCs w:val="24"/>
              </w:rPr>
              <w:t>121m</w:t>
            </w:r>
            <w:r>
              <w:rPr>
                <w:spacing w:val="-6"/>
                <w:sz w:val="24"/>
                <w:szCs w:val="24"/>
              </w:rPr>
              <w:t>。根据</w:t>
            </w:r>
            <w:r>
              <w:rPr>
                <w:spacing w:val="-7"/>
                <w:sz w:val="24"/>
                <w:szCs w:val="24"/>
              </w:rPr>
              <w:t>调查，</w:t>
            </w:r>
            <w:r>
              <w:rPr>
                <w:spacing w:val="63"/>
                <w:sz w:val="24"/>
                <w:szCs w:val="24"/>
              </w:rPr>
              <w:t xml:space="preserve"> </w:t>
            </w:r>
            <w:r>
              <w:rPr>
                <w:spacing w:val="-7"/>
                <w:sz w:val="24"/>
                <w:szCs w:val="24"/>
              </w:rPr>
              <w:t>放喷池周围</w:t>
            </w:r>
            <w:r>
              <w:rPr>
                <w:spacing w:val="-41"/>
                <w:sz w:val="24"/>
                <w:szCs w:val="24"/>
              </w:rPr>
              <w:t xml:space="preserve"> </w:t>
            </w:r>
            <w:r>
              <w:rPr>
                <w:rFonts w:ascii="Times New Roman" w:hAnsi="Times New Roman" w:eastAsia="Times New Roman" w:cs="Times New Roman"/>
                <w:spacing w:val="-7"/>
                <w:sz w:val="24"/>
                <w:szCs w:val="24"/>
              </w:rPr>
              <w:t>50m</w:t>
            </w:r>
            <w:r>
              <w:rPr>
                <w:rFonts w:ascii="Times New Roman" w:hAnsi="Times New Roman" w:eastAsia="Times New Roman" w:cs="Times New Roman"/>
                <w:spacing w:val="23"/>
                <w:sz w:val="24"/>
                <w:szCs w:val="24"/>
              </w:rPr>
              <w:t xml:space="preserve"> </w:t>
            </w:r>
            <w:r>
              <w:rPr>
                <w:spacing w:val="-7"/>
                <w:sz w:val="24"/>
                <w:szCs w:val="24"/>
              </w:rPr>
              <w:t>范围内无</w:t>
            </w:r>
          </w:p>
          <w:p>
            <w:pPr>
              <w:pStyle w:val="6"/>
              <w:spacing w:before="1" w:line="218" w:lineRule="auto"/>
              <w:ind w:left="108"/>
              <w:rPr>
                <w:sz w:val="24"/>
                <w:szCs w:val="24"/>
              </w:rPr>
            </w:pPr>
            <w:r>
              <w:rPr>
                <w:spacing w:val="-2"/>
                <w:sz w:val="24"/>
                <w:szCs w:val="24"/>
              </w:rPr>
              <w:t>各类设施和民房。由此可见，放喷池设置满足相关规定，布置合理。</w:t>
            </w:r>
          </w:p>
          <w:p>
            <w:pPr>
              <w:pStyle w:val="6"/>
              <w:spacing w:before="195" w:line="219" w:lineRule="auto"/>
              <w:ind w:left="594"/>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）应急池布局合理性</w:t>
            </w:r>
          </w:p>
          <w:p>
            <w:pPr>
              <w:pStyle w:val="6"/>
              <w:spacing w:before="198" w:line="369" w:lineRule="auto"/>
              <w:ind w:left="105" w:right="100" w:firstLine="481"/>
              <w:jc w:val="both"/>
              <w:rPr>
                <w:sz w:val="24"/>
                <w:szCs w:val="24"/>
              </w:rPr>
            </w:pPr>
            <w:r>
              <w:rPr>
                <w:spacing w:val="-17"/>
                <w:sz w:val="24"/>
                <w:szCs w:val="24"/>
              </w:rPr>
              <w:t>本项目应急池布置在井场外南侧，</w:t>
            </w:r>
            <w:r>
              <w:rPr>
                <w:spacing w:val="69"/>
                <w:sz w:val="24"/>
                <w:szCs w:val="24"/>
              </w:rPr>
              <w:t xml:space="preserve"> </w:t>
            </w:r>
            <w:r>
              <w:rPr>
                <w:spacing w:val="-17"/>
                <w:sz w:val="24"/>
                <w:szCs w:val="24"/>
              </w:rPr>
              <w:t>地势较为平坦，</w:t>
            </w:r>
            <w:r>
              <w:rPr>
                <w:spacing w:val="56"/>
                <w:sz w:val="24"/>
                <w:szCs w:val="24"/>
              </w:rPr>
              <w:t xml:space="preserve"> </w:t>
            </w:r>
            <w:r>
              <w:rPr>
                <w:spacing w:val="-17"/>
                <w:sz w:val="24"/>
                <w:szCs w:val="24"/>
              </w:rPr>
              <w:t>池体采用地陷式构造，</w:t>
            </w:r>
            <w:r>
              <w:rPr>
                <w:spacing w:val="60"/>
                <w:sz w:val="24"/>
                <w:szCs w:val="24"/>
              </w:rPr>
              <w:t xml:space="preserve"> </w:t>
            </w:r>
            <w:r>
              <w:rPr>
                <w:spacing w:val="-17"/>
                <w:sz w:val="24"/>
                <w:szCs w:val="24"/>
              </w:rPr>
              <w:t>不在</w:t>
            </w:r>
            <w:r>
              <w:rPr>
                <w:sz w:val="24"/>
                <w:szCs w:val="24"/>
              </w:rPr>
              <w:t xml:space="preserve"> </w:t>
            </w:r>
            <w:r>
              <w:rPr>
                <w:spacing w:val="-15"/>
                <w:sz w:val="24"/>
                <w:szCs w:val="24"/>
              </w:rPr>
              <w:t>填方土堆上修建，</w:t>
            </w:r>
            <w:r>
              <w:rPr>
                <w:spacing w:val="56"/>
                <w:sz w:val="24"/>
                <w:szCs w:val="24"/>
              </w:rPr>
              <w:t xml:space="preserve"> </w:t>
            </w:r>
            <w:r>
              <w:rPr>
                <w:spacing w:val="-15"/>
                <w:sz w:val="24"/>
                <w:szCs w:val="24"/>
              </w:rPr>
              <w:t>尽可能的降低了池体垮塌的风险。</w:t>
            </w:r>
            <w:r>
              <w:rPr>
                <w:spacing w:val="37"/>
                <w:sz w:val="24"/>
                <w:szCs w:val="24"/>
              </w:rPr>
              <w:t xml:space="preserve"> </w:t>
            </w:r>
            <w:r>
              <w:rPr>
                <w:spacing w:val="-15"/>
                <w:sz w:val="24"/>
                <w:szCs w:val="24"/>
              </w:rPr>
              <w:t>井场建设地地形较水池高，</w:t>
            </w:r>
            <w:r>
              <w:rPr>
                <w:spacing w:val="56"/>
                <w:sz w:val="24"/>
                <w:szCs w:val="24"/>
              </w:rPr>
              <w:t xml:space="preserve"> </w:t>
            </w:r>
            <w:r>
              <w:rPr>
                <w:spacing w:val="-15"/>
                <w:sz w:val="24"/>
                <w:szCs w:val="24"/>
              </w:rPr>
              <w:t>有</w:t>
            </w:r>
            <w:r>
              <w:rPr>
                <w:sz w:val="24"/>
                <w:szCs w:val="24"/>
              </w:rPr>
              <w:t xml:space="preserve"> </w:t>
            </w:r>
            <w:r>
              <w:rPr>
                <w:spacing w:val="-11"/>
                <w:sz w:val="24"/>
                <w:szCs w:val="24"/>
              </w:rPr>
              <w:t>利于井场区域污水自流进入水池，</w:t>
            </w:r>
            <w:r>
              <w:rPr>
                <w:spacing w:val="65"/>
                <w:sz w:val="24"/>
                <w:szCs w:val="24"/>
              </w:rPr>
              <w:t xml:space="preserve"> </w:t>
            </w:r>
            <w:r>
              <w:rPr>
                <w:spacing w:val="-11"/>
                <w:sz w:val="24"/>
                <w:szCs w:val="24"/>
              </w:rPr>
              <w:t>保证了有效的收集井场污水。经现场踏勘，</w:t>
            </w:r>
            <w:r>
              <w:rPr>
                <w:spacing w:val="60"/>
                <w:sz w:val="24"/>
                <w:szCs w:val="24"/>
              </w:rPr>
              <w:t xml:space="preserve"> </w:t>
            </w:r>
            <w:r>
              <w:rPr>
                <w:spacing w:val="-11"/>
                <w:sz w:val="24"/>
                <w:szCs w:val="24"/>
              </w:rPr>
              <w:t>项目</w:t>
            </w:r>
            <w:r>
              <w:rPr>
                <w:sz w:val="24"/>
                <w:szCs w:val="24"/>
              </w:rPr>
              <w:t xml:space="preserve"> </w:t>
            </w:r>
            <w:r>
              <w:rPr>
                <w:spacing w:val="-11"/>
                <w:sz w:val="24"/>
                <w:szCs w:val="24"/>
              </w:rPr>
              <w:t>在修建应急池时，</w:t>
            </w:r>
            <w:r>
              <w:rPr>
                <w:spacing w:val="70"/>
                <w:sz w:val="24"/>
                <w:szCs w:val="24"/>
              </w:rPr>
              <w:t xml:space="preserve"> </w:t>
            </w:r>
            <w:r>
              <w:rPr>
                <w:spacing w:val="-11"/>
                <w:sz w:val="24"/>
                <w:szCs w:val="24"/>
              </w:rPr>
              <w:t>池体采用地陷式构造，并对池体进行防渗漏处理，</w:t>
            </w:r>
            <w:r>
              <w:rPr>
                <w:spacing w:val="55"/>
                <w:sz w:val="24"/>
                <w:szCs w:val="24"/>
              </w:rPr>
              <w:t xml:space="preserve"> </w:t>
            </w:r>
            <w:r>
              <w:rPr>
                <w:spacing w:val="-11"/>
                <w:sz w:val="24"/>
                <w:szCs w:val="24"/>
              </w:rPr>
              <w:t>在其周围修建</w:t>
            </w:r>
            <w:r>
              <w:rPr>
                <w:sz w:val="24"/>
                <w:szCs w:val="24"/>
              </w:rPr>
              <w:t xml:space="preserve"> </w:t>
            </w:r>
            <w:r>
              <w:rPr>
                <w:spacing w:val="-6"/>
                <w:sz w:val="24"/>
                <w:szCs w:val="24"/>
              </w:rPr>
              <w:t>围堰、雨水导流沟和截污沟。在采取以上措施后，</w:t>
            </w:r>
            <w:r>
              <w:rPr>
                <w:spacing w:val="65"/>
                <w:sz w:val="24"/>
                <w:szCs w:val="24"/>
              </w:rPr>
              <w:t xml:space="preserve"> </w:t>
            </w:r>
            <w:r>
              <w:rPr>
                <w:spacing w:val="-6"/>
                <w:sz w:val="24"/>
                <w:szCs w:val="24"/>
              </w:rPr>
              <w:t>项目对事故溢流出的废水能够做</w:t>
            </w:r>
          </w:p>
          <w:p>
            <w:pPr>
              <w:pStyle w:val="6"/>
              <w:spacing w:line="219" w:lineRule="auto"/>
              <w:ind w:left="112"/>
              <w:rPr>
                <w:sz w:val="24"/>
                <w:szCs w:val="24"/>
              </w:rPr>
            </w:pPr>
            <w:r>
              <w:rPr>
                <w:spacing w:val="-2"/>
                <w:sz w:val="24"/>
                <w:szCs w:val="24"/>
              </w:rPr>
              <w:t>到可控范围，防止废水污染下游地表水体，因此应急池选址合理。</w:t>
            </w:r>
          </w:p>
          <w:p>
            <w:pPr>
              <w:pStyle w:val="6"/>
              <w:spacing w:before="195" w:line="219" w:lineRule="auto"/>
              <w:ind w:left="594"/>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）油水罐区布置合理性</w:t>
            </w:r>
          </w:p>
          <w:p>
            <w:pPr>
              <w:pStyle w:val="6"/>
              <w:spacing w:before="195" w:line="481" w:lineRule="exact"/>
              <w:ind w:left="585"/>
              <w:rPr>
                <w:sz w:val="24"/>
                <w:szCs w:val="24"/>
              </w:rPr>
            </w:pPr>
            <w:r>
              <w:rPr>
                <w:spacing w:val="-17"/>
                <w:position w:val="18"/>
                <w:sz w:val="24"/>
                <w:szCs w:val="24"/>
              </w:rPr>
              <w:t>根据总平面布置可知，</w:t>
            </w:r>
            <w:r>
              <w:rPr>
                <w:spacing w:val="60"/>
                <w:position w:val="18"/>
                <w:sz w:val="24"/>
                <w:szCs w:val="24"/>
              </w:rPr>
              <w:t xml:space="preserve"> </w:t>
            </w:r>
            <w:r>
              <w:rPr>
                <w:spacing w:val="-17"/>
                <w:position w:val="18"/>
                <w:sz w:val="24"/>
                <w:szCs w:val="24"/>
              </w:rPr>
              <w:t>油水罐区布置在井场北侧，</w:t>
            </w:r>
            <w:r>
              <w:rPr>
                <w:spacing w:val="60"/>
                <w:position w:val="18"/>
                <w:sz w:val="24"/>
                <w:szCs w:val="24"/>
              </w:rPr>
              <w:t xml:space="preserve"> </w:t>
            </w:r>
            <w:r>
              <w:rPr>
                <w:spacing w:val="-17"/>
                <w:position w:val="18"/>
                <w:sz w:val="24"/>
                <w:szCs w:val="24"/>
              </w:rPr>
              <w:t>设置有围堰措施，</w:t>
            </w:r>
            <w:r>
              <w:rPr>
                <w:spacing w:val="60"/>
                <w:position w:val="18"/>
                <w:sz w:val="24"/>
                <w:szCs w:val="24"/>
              </w:rPr>
              <w:t xml:space="preserve"> </w:t>
            </w:r>
            <w:r>
              <w:rPr>
                <w:spacing w:val="-17"/>
                <w:position w:val="18"/>
                <w:sz w:val="24"/>
                <w:szCs w:val="24"/>
              </w:rPr>
              <w:t>符合《钻</w:t>
            </w:r>
          </w:p>
          <w:p>
            <w:pPr>
              <w:pStyle w:val="6"/>
              <w:spacing w:before="1" w:line="218" w:lineRule="auto"/>
              <w:ind w:left="109"/>
              <w:rPr>
                <w:sz w:val="24"/>
                <w:szCs w:val="24"/>
              </w:rPr>
            </w:pPr>
            <w:r>
              <w:rPr>
                <w:spacing w:val="-1"/>
                <w:sz w:val="24"/>
                <w:szCs w:val="24"/>
              </w:rPr>
              <w:t>前工程及井场布置技术要求》（</w:t>
            </w:r>
            <w:r>
              <w:rPr>
                <w:rFonts w:ascii="Times New Roman" w:hAnsi="Times New Roman" w:eastAsia="Times New Roman" w:cs="Times New Roman"/>
                <w:spacing w:val="-1"/>
                <w:sz w:val="24"/>
                <w:szCs w:val="24"/>
              </w:rPr>
              <w:t>SY/T5466-201</w:t>
            </w:r>
            <w:r>
              <w:rPr>
                <w:rFonts w:ascii="Times New Roman" w:hAnsi="Times New Roman" w:eastAsia="Times New Roman" w:cs="Times New Roman"/>
                <w:spacing w:val="-2"/>
                <w:sz w:val="24"/>
                <w:szCs w:val="24"/>
              </w:rPr>
              <w:t>3</w:t>
            </w:r>
            <w:r>
              <w:rPr>
                <w:spacing w:val="-2"/>
                <w:sz w:val="24"/>
                <w:szCs w:val="24"/>
              </w:rPr>
              <w:t>）中的相关规定。</w:t>
            </w:r>
          </w:p>
          <w:p>
            <w:pPr>
              <w:pStyle w:val="6"/>
              <w:spacing w:before="196" w:line="369" w:lineRule="auto"/>
              <w:ind w:left="128" w:firstLine="456"/>
              <w:rPr>
                <w:sz w:val="24"/>
                <w:szCs w:val="24"/>
              </w:rPr>
            </w:pPr>
            <w:r>
              <w:rPr>
                <w:spacing w:val="-13"/>
                <w:sz w:val="24"/>
                <w:szCs w:val="24"/>
              </w:rPr>
              <w:t>根据《石油天然气钻井、开发、储运防火防爆安全生产技术规程（</w:t>
            </w:r>
            <w:r>
              <w:rPr>
                <w:rFonts w:ascii="Times New Roman" w:hAnsi="Times New Roman" w:eastAsia="Times New Roman" w:cs="Times New Roman"/>
                <w:spacing w:val="-13"/>
                <w:sz w:val="24"/>
                <w:szCs w:val="24"/>
              </w:rPr>
              <w:t>S</w:t>
            </w:r>
            <w:r>
              <w:rPr>
                <w:rFonts w:ascii="Times New Roman" w:hAnsi="Times New Roman" w:eastAsia="Times New Roman" w:cs="Times New Roman"/>
                <w:spacing w:val="-14"/>
                <w:sz w:val="24"/>
                <w:szCs w:val="24"/>
              </w:rPr>
              <w:t>Y5225-2012</w:t>
            </w:r>
            <w:r>
              <w:rPr>
                <w:spacing w:val="-14"/>
                <w:sz w:val="24"/>
                <w:szCs w:val="24"/>
              </w:rPr>
              <w:t>）》</w:t>
            </w:r>
            <w:r>
              <w:rPr>
                <w:sz w:val="24"/>
                <w:szCs w:val="24"/>
              </w:rPr>
              <w:t xml:space="preserve"> </w:t>
            </w:r>
            <w:r>
              <w:rPr>
                <w:spacing w:val="-3"/>
                <w:sz w:val="24"/>
                <w:szCs w:val="24"/>
              </w:rPr>
              <w:t>中第</w:t>
            </w:r>
            <w:r>
              <w:rPr>
                <w:spacing w:val="-12"/>
                <w:sz w:val="24"/>
                <w:szCs w:val="24"/>
              </w:rPr>
              <w:t xml:space="preserve"> </w:t>
            </w:r>
            <w:r>
              <w:rPr>
                <w:rFonts w:ascii="Times New Roman" w:hAnsi="Times New Roman" w:eastAsia="Times New Roman" w:cs="Times New Roman"/>
                <w:spacing w:val="-3"/>
                <w:sz w:val="24"/>
                <w:szCs w:val="24"/>
              </w:rPr>
              <w:t>3.1.3</w:t>
            </w:r>
            <w:r>
              <w:rPr>
                <w:rFonts w:ascii="Times New Roman" w:hAnsi="Times New Roman" w:eastAsia="Times New Roman" w:cs="Times New Roman"/>
                <w:spacing w:val="40"/>
                <w:w w:val="101"/>
                <w:sz w:val="24"/>
                <w:szCs w:val="24"/>
              </w:rPr>
              <w:t xml:space="preserve"> </w:t>
            </w:r>
            <w:r>
              <w:rPr>
                <w:spacing w:val="-3"/>
                <w:sz w:val="24"/>
                <w:szCs w:val="24"/>
              </w:rPr>
              <w:t xml:space="preserve">条规定：油水罐区距井口应不小于 </w:t>
            </w:r>
            <w:r>
              <w:rPr>
                <w:rFonts w:ascii="Times New Roman" w:hAnsi="Times New Roman" w:eastAsia="Times New Roman" w:cs="Times New Roman"/>
                <w:spacing w:val="-3"/>
                <w:sz w:val="24"/>
                <w:szCs w:val="24"/>
              </w:rPr>
              <w:t>30m</w:t>
            </w:r>
            <w:r>
              <w:rPr>
                <w:spacing w:val="-3"/>
                <w:sz w:val="24"/>
                <w:szCs w:val="24"/>
              </w:rPr>
              <w:t>。本项目油水罐区距井口最近约</w:t>
            </w:r>
          </w:p>
          <w:p>
            <w:pPr>
              <w:pStyle w:val="6"/>
              <w:spacing w:line="233" w:lineRule="auto"/>
              <w:ind w:left="108"/>
              <w:rPr>
                <w:sz w:val="24"/>
                <w:szCs w:val="24"/>
              </w:rPr>
            </w:pPr>
            <w:r>
              <w:rPr>
                <w:rFonts w:ascii="Times New Roman" w:hAnsi="Times New Roman" w:eastAsia="Times New Roman" w:cs="Times New Roman"/>
                <w:spacing w:val="-5"/>
                <w:sz w:val="24"/>
                <w:szCs w:val="24"/>
              </w:rPr>
              <w:t>50m</w:t>
            </w:r>
            <w:r>
              <w:rPr>
                <w:spacing w:val="-5"/>
                <w:sz w:val="24"/>
                <w:szCs w:val="24"/>
              </w:rPr>
              <w:t>，满足要求。</w:t>
            </w:r>
          </w:p>
          <w:p>
            <w:pPr>
              <w:pStyle w:val="6"/>
              <w:spacing w:before="177" w:line="219" w:lineRule="auto"/>
              <w:ind w:left="594"/>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spacing w:val="-1"/>
                <w:sz w:val="24"/>
                <w:szCs w:val="24"/>
                <w14:textOutline w14:w="4354" w14:cap="flat" w14:cmpd="sng">
                  <w14:solidFill>
                    <w14:srgbClr w14:val="000000"/>
                  </w14:solidFill>
                  <w14:prstDash w14:val="solid"/>
                  <w14:miter w14:val="10"/>
                </w14:textOutline>
              </w:rPr>
              <w:t>）岩屑堆放区布局合理性</w:t>
            </w:r>
          </w:p>
        </w:tc>
      </w:tr>
    </w:tbl>
    <w:p>
      <w:pPr>
        <w:pStyle w:val="2"/>
        <w:rPr>
          <w:sz w:val="21"/>
        </w:rPr>
      </w:pPr>
    </w:p>
    <w:p>
      <w:pPr>
        <w:rPr>
          <w:sz w:val="21"/>
          <w:szCs w:val="21"/>
        </w:rPr>
        <w:sectPr>
          <w:footerReference r:id="rId47" w:type="default"/>
          <w:pgSz w:w="11907" w:h="16839"/>
          <w:pgMar w:top="400" w:right="1298" w:bottom="1181"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42"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1" w:line="220" w:lineRule="auto"/>
              <w:ind w:left="585"/>
              <w:rPr>
                <w:sz w:val="24"/>
                <w:szCs w:val="24"/>
              </w:rPr>
            </w:pPr>
            <w:r>
              <w:rPr>
                <w:spacing w:val="-11"/>
                <w:sz w:val="24"/>
                <w:szCs w:val="24"/>
              </w:rPr>
              <w:t>岩屑堆放区前期用于水基岩屑暂存，</w:t>
            </w:r>
            <w:r>
              <w:rPr>
                <w:spacing w:val="53"/>
                <w:sz w:val="24"/>
                <w:szCs w:val="24"/>
              </w:rPr>
              <w:t xml:space="preserve"> </w:t>
            </w:r>
            <w:r>
              <w:rPr>
                <w:spacing w:val="-11"/>
                <w:sz w:val="24"/>
                <w:szCs w:val="24"/>
              </w:rPr>
              <w:t>后期用于油基岩屑暂</w:t>
            </w:r>
            <w:r>
              <w:rPr>
                <w:spacing w:val="-12"/>
                <w:sz w:val="24"/>
                <w:szCs w:val="24"/>
              </w:rPr>
              <w:t>存；</w:t>
            </w:r>
            <w:r>
              <w:rPr>
                <w:spacing w:val="58"/>
                <w:sz w:val="24"/>
                <w:szCs w:val="24"/>
              </w:rPr>
              <w:t xml:space="preserve"> </w:t>
            </w:r>
            <w:r>
              <w:rPr>
                <w:spacing w:val="-12"/>
                <w:sz w:val="24"/>
                <w:szCs w:val="24"/>
              </w:rPr>
              <w:t>故岩屑暂存区严</w:t>
            </w:r>
          </w:p>
          <w:p>
            <w:pPr>
              <w:pStyle w:val="6"/>
              <w:spacing w:before="195" w:line="369" w:lineRule="auto"/>
              <w:ind w:left="107" w:right="19" w:hanging="1"/>
              <w:jc w:val="both"/>
              <w:rPr>
                <w:sz w:val="24"/>
                <w:szCs w:val="24"/>
              </w:rPr>
            </w:pPr>
            <w:r>
              <w:rPr>
                <w:spacing w:val="-6"/>
                <w:sz w:val="24"/>
                <w:szCs w:val="24"/>
              </w:rPr>
              <w:t>格按照《一般工业固体废物贮存和填埋污染控制标准》（</w:t>
            </w:r>
            <w:r>
              <w:rPr>
                <w:rFonts w:ascii="Times New Roman" w:hAnsi="Times New Roman" w:eastAsia="Times New Roman" w:cs="Times New Roman"/>
                <w:spacing w:val="-6"/>
                <w:sz w:val="24"/>
                <w:szCs w:val="24"/>
              </w:rPr>
              <w:t>GB18599-2020</w:t>
            </w:r>
            <w:r>
              <w:rPr>
                <w:spacing w:val="-6"/>
                <w:sz w:val="24"/>
                <w:szCs w:val="24"/>
              </w:rPr>
              <w:t>）进行选址、</w:t>
            </w:r>
            <w:r>
              <w:rPr>
                <w:spacing w:val="14"/>
                <w:sz w:val="24"/>
                <w:szCs w:val="24"/>
              </w:rPr>
              <w:t xml:space="preserve"> </w:t>
            </w:r>
            <w:r>
              <w:rPr>
                <w:spacing w:val="-6"/>
                <w:sz w:val="24"/>
                <w:szCs w:val="24"/>
              </w:rPr>
              <w:t>按照《危险废物贮存污染控制标准》（</w:t>
            </w:r>
            <w:r>
              <w:rPr>
                <w:rFonts w:ascii="Times New Roman" w:hAnsi="Times New Roman" w:eastAsia="Times New Roman" w:cs="Times New Roman"/>
                <w:spacing w:val="-6"/>
                <w:sz w:val="24"/>
                <w:szCs w:val="24"/>
              </w:rPr>
              <w:t>GB18597-2023</w:t>
            </w:r>
            <w:r>
              <w:rPr>
                <w:spacing w:val="-6"/>
                <w:sz w:val="24"/>
                <w:szCs w:val="24"/>
              </w:rPr>
              <w:t>）建设和管理</w:t>
            </w:r>
            <w:r>
              <w:rPr>
                <w:spacing w:val="-7"/>
                <w:sz w:val="24"/>
                <w:szCs w:val="24"/>
              </w:rPr>
              <w:t>；</w:t>
            </w:r>
            <w:r>
              <w:rPr>
                <w:spacing w:val="51"/>
                <w:sz w:val="24"/>
                <w:szCs w:val="24"/>
              </w:rPr>
              <w:t xml:space="preserve"> </w:t>
            </w:r>
            <w:r>
              <w:rPr>
                <w:spacing w:val="-7"/>
                <w:sz w:val="24"/>
                <w:szCs w:val="24"/>
              </w:rPr>
              <w:t>岩屑堆放区布</w:t>
            </w:r>
          </w:p>
          <w:p>
            <w:pPr>
              <w:pStyle w:val="6"/>
              <w:spacing w:line="219" w:lineRule="auto"/>
              <w:ind w:left="108"/>
              <w:rPr>
                <w:sz w:val="24"/>
                <w:szCs w:val="24"/>
              </w:rPr>
            </w:pPr>
            <w:r>
              <w:rPr>
                <w:spacing w:val="-4"/>
                <w:sz w:val="24"/>
                <w:szCs w:val="24"/>
              </w:rPr>
              <w:t>局要求符合性分析如下表。</w:t>
            </w:r>
          </w:p>
          <w:p>
            <w:pPr>
              <w:pStyle w:val="6"/>
              <w:spacing w:before="194" w:line="220" w:lineRule="auto"/>
              <w:ind w:left="2085"/>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2.10-1  </w:t>
            </w:r>
            <w:r>
              <w:rPr>
                <w:sz w:val="24"/>
                <w:szCs w:val="24"/>
                <w14:textOutline w14:w="4354" w14:cap="flat" w14:cmpd="sng">
                  <w14:solidFill>
                    <w14:srgbClr w14:val="000000"/>
                  </w14:solidFill>
                  <w14:prstDash w14:val="solid"/>
                  <w14:miter w14:val="10"/>
                </w14:textOutline>
              </w:rPr>
              <w:t>岩屑堆放区贮存场地合理性</w:t>
            </w:r>
            <w:r>
              <w:rPr>
                <w:spacing w:val="-1"/>
                <w:sz w:val="24"/>
                <w:szCs w:val="24"/>
                <w14:textOutline w14:w="4354" w14:cap="flat" w14:cmpd="sng">
                  <w14:solidFill>
                    <w14:srgbClr w14:val="000000"/>
                  </w14:solidFill>
                  <w14:prstDash w14:val="solid"/>
                  <w14:miter w14:val="10"/>
                </w14:textOutline>
              </w:rPr>
              <w:t>分析表</w:t>
            </w:r>
          </w:p>
          <w:p>
            <w:pPr>
              <w:spacing w:line="16" w:lineRule="exact"/>
            </w:pPr>
          </w:p>
          <w:tbl>
            <w:tblPr>
              <w:tblStyle w:val="5"/>
              <w:tblW w:w="861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3344"/>
              <w:gridCol w:w="3642"/>
              <w:gridCol w:w="8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167" w:type="dxa"/>
                  <w:gridSpan w:val="2"/>
                  <w:vAlign w:val="top"/>
                </w:tcPr>
                <w:p>
                  <w:pPr>
                    <w:pStyle w:val="6"/>
                    <w:spacing w:before="68" w:line="221" w:lineRule="auto"/>
                    <w:ind w:left="1671"/>
                    <w:rPr>
                      <w:sz w:val="21"/>
                      <w:szCs w:val="21"/>
                    </w:rPr>
                  </w:pPr>
                  <w:r>
                    <w:rPr>
                      <w:spacing w:val="-2"/>
                      <w:sz w:val="21"/>
                      <w:szCs w:val="21"/>
                    </w:rPr>
                    <w:t>措施要求</w:t>
                  </w:r>
                </w:p>
              </w:tc>
              <w:tc>
                <w:tcPr>
                  <w:tcW w:w="3642" w:type="dxa"/>
                  <w:vAlign w:val="top"/>
                </w:tcPr>
                <w:p>
                  <w:pPr>
                    <w:pStyle w:val="6"/>
                    <w:spacing w:before="67" w:line="220" w:lineRule="auto"/>
                    <w:ind w:left="1302"/>
                    <w:rPr>
                      <w:sz w:val="21"/>
                      <w:szCs w:val="21"/>
                    </w:rPr>
                  </w:pPr>
                  <w:r>
                    <w:rPr>
                      <w:spacing w:val="-2"/>
                      <w:sz w:val="21"/>
                      <w:szCs w:val="21"/>
                    </w:rPr>
                    <w:t>本项目情况</w:t>
                  </w:r>
                </w:p>
              </w:tc>
              <w:tc>
                <w:tcPr>
                  <w:tcW w:w="803" w:type="dxa"/>
                  <w:vAlign w:val="top"/>
                </w:tcPr>
                <w:p>
                  <w:pPr>
                    <w:pStyle w:val="6"/>
                    <w:spacing w:before="67" w:line="221" w:lineRule="auto"/>
                    <w:ind w:left="93"/>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23"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9" w:line="231" w:lineRule="auto"/>
                    <w:ind w:left="207" w:right="91" w:hanging="105"/>
                    <w:rPr>
                      <w:sz w:val="21"/>
                      <w:szCs w:val="21"/>
                    </w:rPr>
                  </w:pPr>
                  <w:r>
                    <w:rPr>
                      <w:spacing w:val="-2"/>
                      <w:sz w:val="21"/>
                      <w:szCs w:val="21"/>
                    </w:rPr>
                    <w:t>贮存场</w:t>
                  </w:r>
                  <w:r>
                    <w:rPr>
                      <w:sz w:val="21"/>
                      <w:szCs w:val="21"/>
                    </w:rPr>
                    <w:t xml:space="preserve"> </w:t>
                  </w:r>
                  <w:r>
                    <w:rPr>
                      <w:spacing w:val="-2"/>
                      <w:sz w:val="21"/>
                      <w:szCs w:val="21"/>
                    </w:rPr>
                    <w:t>要求</w:t>
                  </w:r>
                </w:p>
              </w:tc>
              <w:tc>
                <w:tcPr>
                  <w:tcW w:w="3344" w:type="dxa"/>
                  <w:vAlign w:val="top"/>
                </w:tcPr>
                <w:p>
                  <w:pPr>
                    <w:pStyle w:val="6"/>
                    <w:spacing w:before="28" w:line="235" w:lineRule="auto"/>
                    <w:ind w:left="28" w:right="16" w:firstLine="21"/>
                    <w:rPr>
                      <w:sz w:val="21"/>
                      <w:szCs w:val="21"/>
                    </w:rPr>
                  </w:pPr>
                  <w:r>
                    <w:rPr>
                      <w:rFonts w:ascii="Times New Roman" w:hAnsi="Times New Roman" w:eastAsia="Times New Roman" w:cs="Times New Roman"/>
                      <w:spacing w:val="-1"/>
                      <w:sz w:val="21"/>
                      <w:szCs w:val="21"/>
                    </w:rPr>
                    <w:t xml:space="preserve">6.3.1  </w:t>
                  </w:r>
                  <w:r>
                    <w:rPr>
                      <w:spacing w:val="-1"/>
                      <w:sz w:val="21"/>
                      <w:szCs w:val="21"/>
                    </w:rPr>
                    <w:t>贮存场应设置径流疏导系统，</w:t>
                  </w:r>
                  <w:r>
                    <w:rPr>
                      <w:spacing w:val="13"/>
                      <w:sz w:val="21"/>
                      <w:szCs w:val="21"/>
                    </w:rPr>
                    <w:t xml:space="preserve"> </w:t>
                  </w:r>
                  <w:r>
                    <w:rPr>
                      <w:spacing w:val="-1"/>
                      <w:sz w:val="21"/>
                      <w:szCs w:val="21"/>
                    </w:rPr>
                    <w:t xml:space="preserve">保证能防止当地重现期不小于 </w:t>
                  </w:r>
                  <w:r>
                    <w:rPr>
                      <w:rFonts w:ascii="Times New Roman" w:hAnsi="Times New Roman" w:eastAsia="Times New Roman" w:cs="Times New Roman"/>
                      <w:spacing w:val="-1"/>
                      <w:sz w:val="21"/>
                      <w:szCs w:val="21"/>
                    </w:rPr>
                    <w:t xml:space="preserve">25 </w:t>
                  </w:r>
                  <w:r>
                    <w:rPr>
                      <w:spacing w:val="-1"/>
                      <w:sz w:val="21"/>
                      <w:szCs w:val="21"/>
                    </w:rPr>
                    <w:t>年</w:t>
                  </w:r>
                  <w:r>
                    <w:rPr>
                      <w:spacing w:val="3"/>
                      <w:sz w:val="21"/>
                      <w:szCs w:val="21"/>
                    </w:rPr>
                    <w:t xml:space="preserve"> </w:t>
                  </w:r>
                  <w:r>
                    <w:rPr>
                      <w:spacing w:val="-5"/>
                      <w:sz w:val="21"/>
                      <w:szCs w:val="21"/>
                    </w:rPr>
                    <w:t>的暴雨流入贮存区域，并采取措施防</w:t>
                  </w:r>
                  <w:r>
                    <w:rPr>
                      <w:spacing w:val="12"/>
                      <w:sz w:val="21"/>
                      <w:szCs w:val="21"/>
                    </w:rPr>
                    <w:t xml:space="preserve"> </w:t>
                  </w:r>
                  <w:r>
                    <w:rPr>
                      <w:spacing w:val="-5"/>
                      <w:sz w:val="21"/>
                      <w:szCs w:val="21"/>
                    </w:rPr>
                    <w:t>止雨水冲淋危险废物，避免增加渗滤</w:t>
                  </w:r>
                </w:p>
                <w:p>
                  <w:pPr>
                    <w:pStyle w:val="6"/>
                    <w:spacing w:before="21" w:line="208" w:lineRule="auto"/>
                    <w:ind w:left="1364"/>
                    <w:rPr>
                      <w:sz w:val="21"/>
                      <w:szCs w:val="21"/>
                    </w:rPr>
                  </w:pPr>
                  <w:r>
                    <w:rPr>
                      <w:spacing w:val="-9"/>
                      <w:sz w:val="21"/>
                      <w:szCs w:val="21"/>
                    </w:rPr>
                    <w:t>液量。</w:t>
                  </w:r>
                </w:p>
              </w:tc>
              <w:tc>
                <w:tcPr>
                  <w:tcW w:w="3642" w:type="dxa"/>
                  <w:vAlign w:val="top"/>
                </w:tcPr>
                <w:p>
                  <w:pPr>
                    <w:pStyle w:val="6"/>
                    <w:spacing w:before="30" w:line="233" w:lineRule="auto"/>
                    <w:ind w:left="42" w:right="29"/>
                    <w:rPr>
                      <w:sz w:val="21"/>
                      <w:szCs w:val="21"/>
                    </w:rPr>
                  </w:pPr>
                  <w:r>
                    <w:rPr>
                      <w:spacing w:val="-1"/>
                      <w:sz w:val="21"/>
                      <w:szCs w:val="21"/>
                    </w:rPr>
                    <w:t>本项目井场外设置了场外雨水截流沟，</w:t>
                  </w:r>
                  <w:r>
                    <w:rPr>
                      <w:spacing w:val="11"/>
                      <w:sz w:val="21"/>
                      <w:szCs w:val="21"/>
                    </w:rPr>
                    <w:t xml:space="preserve"> </w:t>
                  </w:r>
                  <w:r>
                    <w:rPr>
                      <w:spacing w:val="-7"/>
                      <w:sz w:val="21"/>
                      <w:szCs w:val="21"/>
                    </w:rPr>
                    <w:t>防止场外雨水进入； 同时在挡墙外设置</w:t>
                  </w:r>
                  <w:r>
                    <w:rPr>
                      <w:spacing w:val="15"/>
                      <w:sz w:val="21"/>
                      <w:szCs w:val="21"/>
                    </w:rPr>
                    <w:t xml:space="preserve"> </w:t>
                  </w:r>
                  <w:r>
                    <w:rPr>
                      <w:spacing w:val="-7"/>
                      <w:sz w:val="21"/>
                      <w:szCs w:val="21"/>
                    </w:rPr>
                    <w:t>了场内雨水沟， 防止场内雨水进入岩屑</w:t>
                  </w:r>
                  <w:r>
                    <w:rPr>
                      <w:spacing w:val="15"/>
                      <w:sz w:val="21"/>
                      <w:szCs w:val="21"/>
                    </w:rPr>
                    <w:t xml:space="preserve"> </w:t>
                  </w:r>
                  <w:r>
                    <w:rPr>
                      <w:spacing w:val="-1"/>
                      <w:sz w:val="21"/>
                      <w:szCs w:val="21"/>
                    </w:rPr>
                    <w:t>堆放区、危废暂存间；清洁生产操作平</w:t>
                  </w:r>
                  <w:r>
                    <w:rPr>
                      <w:spacing w:val="11"/>
                      <w:sz w:val="21"/>
                      <w:szCs w:val="21"/>
                    </w:rPr>
                    <w:t xml:space="preserve"> </w:t>
                  </w:r>
                  <w:r>
                    <w:rPr>
                      <w:spacing w:val="-7"/>
                      <w:sz w:val="21"/>
                      <w:szCs w:val="21"/>
                    </w:rPr>
                    <w:t>台顶上采用彩钢棚，</w:t>
                  </w:r>
                  <w:r>
                    <w:rPr>
                      <w:spacing w:val="-23"/>
                      <w:sz w:val="21"/>
                      <w:szCs w:val="21"/>
                    </w:rPr>
                    <w:t xml:space="preserve"> </w:t>
                  </w:r>
                  <w:r>
                    <w:rPr>
                      <w:spacing w:val="-7"/>
                      <w:sz w:val="21"/>
                      <w:szCs w:val="21"/>
                    </w:rPr>
                    <w:t>避免了雨水冲淋。</w:t>
                  </w:r>
                </w:p>
              </w:tc>
              <w:tc>
                <w:tcPr>
                  <w:tcW w:w="803" w:type="dxa"/>
                  <w:vAlign w:val="top"/>
                </w:tcPr>
                <w:p>
                  <w:pPr>
                    <w:spacing w:line="251" w:lineRule="auto"/>
                    <w:rPr>
                      <w:rFonts w:ascii="Arial"/>
                      <w:sz w:val="21"/>
                    </w:rPr>
                  </w:pPr>
                </w:p>
                <w:p>
                  <w:pPr>
                    <w:spacing w:line="251" w:lineRule="auto"/>
                    <w:rPr>
                      <w:rFonts w:ascii="Arial"/>
                      <w:sz w:val="21"/>
                    </w:rPr>
                  </w:pPr>
                </w:p>
                <w:p>
                  <w:pPr>
                    <w:pStyle w:val="6"/>
                    <w:spacing w:before="68" w:line="221" w:lineRule="auto"/>
                    <w:ind w:left="19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823" w:type="dxa"/>
                  <w:vMerge w:val="continue"/>
                  <w:tcBorders>
                    <w:top w:val="nil"/>
                    <w:bottom w:val="nil"/>
                  </w:tcBorders>
                  <w:vAlign w:val="top"/>
                </w:tcPr>
                <w:p>
                  <w:pPr>
                    <w:rPr>
                      <w:rFonts w:ascii="Arial"/>
                      <w:sz w:val="21"/>
                    </w:rPr>
                  </w:pPr>
                </w:p>
              </w:tc>
              <w:tc>
                <w:tcPr>
                  <w:tcW w:w="3344" w:type="dxa"/>
                  <w:vAlign w:val="top"/>
                </w:tcPr>
                <w:p>
                  <w:pPr>
                    <w:pStyle w:val="6"/>
                    <w:spacing w:before="34" w:line="234" w:lineRule="auto"/>
                    <w:ind w:left="26" w:right="16" w:firstLine="23"/>
                    <w:jc w:val="both"/>
                    <w:rPr>
                      <w:sz w:val="21"/>
                      <w:szCs w:val="21"/>
                    </w:rPr>
                  </w:pPr>
                  <w:r>
                    <w:rPr>
                      <w:rFonts w:ascii="Times New Roman" w:hAnsi="Times New Roman" w:eastAsia="Times New Roman" w:cs="Times New Roman"/>
                      <w:spacing w:val="-1"/>
                      <w:sz w:val="21"/>
                      <w:szCs w:val="21"/>
                    </w:rPr>
                    <w:t xml:space="preserve">6.3.2  </w:t>
                  </w:r>
                  <w:r>
                    <w:rPr>
                      <w:spacing w:val="-1"/>
                      <w:sz w:val="21"/>
                      <w:szCs w:val="21"/>
                    </w:rPr>
                    <w:t>贮存场可整体或分区设计液体</w:t>
                  </w:r>
                  <w:r>
                    <w:rPr>
                      <w:spacing w:val="12"/>
                      <w:sz w:val="21"/>
                      <w:szCs w:val="21"/>
                    </w:rPr>
                    <w:t xml:space="preserve"> </w:t>
                  </w:r>
                  <w:r>
                    <w:rPr>
                      <w:spacing w:val="-5"/>
                      <w:sz w:val="21"/>
                      <w:szCs w:val="21"/>
                    </w:rPr>
                    <w:t>导流和收集设施，收集设施容积应保</w:t>
                  </w:r>
                  <w:r>
                    <w:rPr>
                      <w:spacing w:val="14"/>
                      <w:sz w:val="21"/>
                      <w:szCs w:val="21"/>
                    </w:rPr>
                    <w:t xml:space="preserve"> </w:t>
                  </w:r>
                  <w:r>
                    <w:rPr>
                      <w:spacing w:val="3"/>
                      <w:sz w:val="21"/>
                      <w:szCs w:val="21"/>
                    </w:rPr>
                    <w:t xml:space="preserve">证在最不利条件下可以容纳对应贮 </w:t>
                  </w:r>
                  <w:r>
                    <w:rPr>
                      <w:spacing w:val="-5"/>
                      <w:sz w:val="21"/>
                      <w:szCs w:val="21"/>
                    </w:rPr>
                    <w:t>存区域产生的渗滤液、废水等液态物</w:t>
                  </w:r>
                </w:p>
                <w:p>
                  <w:pPr>
                    <w:pStyle w:val="6"/>
                    <w:spacing w:before="22" w:line="204" w:lineRule="auto"/>
                    <w:ind w:left="1468"/>
                    <w:rPr>
                      <w:sz w:val="21"/>
                      <w:szCs w:val="21"/>
                    </w:rPr>
                  </w:pPr>
                  <w:r>
                    <w:rPr>
                      <w:spacing w:val="-10"/>
                      <w:sz w:val="21"/>
                      <w:szCs w:val="21"/>
                    </w:rPr>
                    <w:t>质。</w:t>
                  </w:r>
                </w:p>
              </w:tc>
              <w:tc>
                <w:tcPr>
                  <w:tcW w:w="3642" w:type="dxa"/>
                  <w:vAlign w:val="top"/>
                </w:tcPr>
                <w:p>
                  <w:pPr>
                    <w:pStyle w:val="6"/>
                    <w:spacing w:before="166" w:line="235" w:lineRule="auto"/>
                    <w:ind w:left="42" w:right="29" w:firstLine="49"/>
                    <w:jc w:val="both"/>
                    <w:rPr>
                      <w:sz w:val="21"/>
                      <w:szCs w:val="21"/>
                    </w:rPr>
                  </w:pPr>
                  <w:r>
                    <w:rPr>
                      <w:spacing w:val="-2"/>
                      <w:sz w:val="21"/>
                      <w:szCs w:val="21"/>
                    </w:rPr>
                    <w:t>清洁生产操作平台四周设置了</w:t>
                  </w:r>
                  <w:r>
                    <w:rPr>
                      <w:spacing w:val="-35"/>
                      <w:sz w:val="21"/>
                      <w:szCs w:val="21"/>
                    </w:rPr>
                    <w:t xml:space="preserve"> </w:t>
                  </w:r>
                  <w:r>
                    <w:rPr>
                      <w:rFonts w:ascii="Times New Roman" w:hAnsi="Times New Roman" w:eastAsia="Times New Roman" w:cs="Times New Roman"/>
                      <w:spacing w:val="-2"/>
                      <w:sz w:val="21"/>
                      <w:szCs w:val="21"/>
                    </w:rPr>
                    <w:t>0.2m</w:t>
                  </w:r>
                  <w:r>
                    <w:rPr>
                      <w:rFonts w:ascii="Times New Roman" w:hAnsi="Times New Roman" w:eastAsia="Times New Roman" w:cs="Times New Roman"/>
                      <w:spacing w:val="14"/>
                      <w:w w:val="101"/>
                      <w:sz w:val="21"/>
                      <w:szCs w:val="21"/>
                    </w:rPr>
                    <w:t xml:space="preserve"> </w:t>
                  </w:r>
                  <w:r>
                    <w:rPr>
                      <w:spacing w:val="-2"/>
                      <w:sz w:val="21"/>
                      <w:szCs w:val="21"/>
                    </w:rPr>
                    <w:t>高</w:t>
                  </w:r>
                  <w:r>
                    <w:rPr>
                      <w:sz w:val="21"/>
                      <w:szCs w:val="21"/>
                    </w:rPr>
                    <w:t xml:space="preserve"> </w:t>
                  </w:r>
                  <w:r>
                    <w:rPr>
                      <w:spacing w:val="-1"/>
                      <w:sz w:val="21"/>
                      <w:szCs w:val="21"/>
                    </w:rPr>
                    <w:t>的挡墙，危废暂存间内设围堰或托盘可</w:t>
                  </w:r>
                  <w:r>
                    <w:rPr>
                      <w:spacing w:val="11"/>
                      <w:sz w:val="21"/>
                      <w:szCs w:val="21"/>
                    </w:rPr>
                    <w:t xml:space="preserve"> </w:t>
                  </w:r>
                  <w:r>
                    <w:rPr>
                      <w:spacing w:val="-1"/>
                      <w:sz w:val="21"/>
                      <w:szCs w:val="21"/>
                    </w:rPr>
                    <w:t>保证在最不利条件下可以容纳对应贮存</w:t>
                  </w:r>
                  <w:r>
                    <w:rPr>
                      <w:spacing w:val="11"/>
                      <w:sz w:val="21"/>
                      <w:szCs w:val="21"/>
                    </w:rPr>
                    <w:t xml:space="preserve"> </w:t>
                  </w:r>
                  <w:r>
                    <w:rPr>
                      <w:spacing w:val="-3"/>
                      <w:sz w:val="21"/>
                      <w:szCs w:val="21"/>
                    </w:rPr>
                    <w:t>区域产生的渗滤液、废水等液态物质。</w:t>
                  </w:r>
                </w:p>
              </w:tc>
              <w:tc>
                <w:tcPr>
                  <w:tcW w:w="803" w:type="dxa"/>
                  <w:vAlign w:val="top"/>
                </w:tcPr>
                <w:p>
                  <w:pPr>
                    <w:spacing w:line="252" w:lineRule="auto"/>
                    <w:rPr>
                      <w:rFonts w:ascii="Arial"/>
                      <w:sz w:val="21"/>
                    </w:rPr>
                  </w:pPr>
                </w:p>
                <w:p>
                  <w:pPr>
                    <w:spacing w:line="253" w:lineRule="auto"/>
                    <w:rPr>
                      <w:rFonts w:ascii="Arial"/>
                      <w:sz w:val="21"/>
                    </w:rPr>
                  </w:pPr>
                </w:p>
                <w:p>
                  <w:pPr>
                    <w:pStyle w:val="6"/>
                    <w:spacing w:before="68" w:line="221" w:lineRule="auto"/>
                    <w:ind w:left="19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23" w:type="dxa"/>
                  <w:vMerge w:val="continue"/>
                  <w:tcBorders>
                    <w:top w:val="nil"/>
                  </w:tcBorders>
                  <w:vAlign w:val="top"/>
                </w:tcPr>
                <w:p>
                  <w:pPr>
                    <w:rPr>
                      <w:rFonts w:ascii="Arial"/>
                      <w:sz w:val="21"/>
                    </w:rPr>
                  </w:pPr>
                </w:p>
              </w:tc>
              <w:tc>
                <w:tcPr>
                  <w:tcW w:w="3344" w:type="dxa"/>
                  <w:vAlign w:val="top"/>
                </w:tcPr>
                <w:p>
                  <w:pPr>
                    <w:pStyle w:val="6"/>
                    <w:spacing w:before="308" w:line="229" w:lineRule="auto"/>
                    <w:ind w:left="940" w:right="41" w:hanging="891"/>
                    <w:rPr>
                      <w:sz w:val="21"/>
                      <w:szCs w:val="21"/>
                    </w:rPr>
                  </w:pPr>
                  <w:r>
                    <w:rPr>
                      <w:rFonts w:ascii="Times New Roman" w:hAnsi="Times New Roman" w:eastAsia="Times New Roman" w:cs="Times New Roman"/>
                      <w:spacing w:val="-1"/>
                      <w:sz w:val="21"/>
                      <w:szCs w:val="21"/>
                    </w:rPr>
                    <w:t xml:space="preserve">6.3.3  </w:t>
                  </w:r>
                  <w:r>
                    <w:rPr>
                      <w:spacing w:val="-1"/>
                      <w:sz w:val="21"/>
                      <w:szCs w:val="21"/>
                    </w:rPr>
                    <w:t>贮存场应采取防止危险废物扬</w:t>
                  </w:r>
                  <w:r>
                    <w:rPr>
                      <w:spacing w:val="12"/>
                      <w:sz w:val="21"/>
                      <w:szCs w:val="21"/>
                    </w:rPr>
                    <w:t xml:space="preserve"> </w:t>
                  </w:r>
                  <w:r>
                    <w:rPr>
                      <w:spacing w:val="-1"/>
                      <w:sz w:val="21"/>
                      <w:szCs w:val="21"/>
                    </w:rPr>
                    <w:t>散、流失的措施</w:t>
                  </w:r>
                </w:p>
              </w:tc>
              <w:tc>
                <w:tcPr>
                  <w:tcW w:w="3642" w:type="dxa"/>
                  <w:vAlign w:val="top"/>
                </w:tcPr>
                <w:p>
                  <w:pPr>
                    <w:pStyle w:val="6"/>
                    <w:spacing w:before="31" w:line="232" w:lineRule="auto"/>
                    <w:ind w:left="30" w:firstLine="11"/>
                    <w:jc w:val="both"/>
                    <w:rPr>
                      <w:sz w:val="21"/>
                      <w:szCs w:val="21"/>
                    </w:rPr>
                  </w:pPr>
                  <w:r>
                    <w:rPr>
                      <w:spacing w:val="-4"/>
                      <w:sz w:val="21"/>
                      <w:szCs w:val="21"/>
                    </w:rPr>
                    <w:t>本项目危废主要为固体形态（废油为废</w:t>
                  </w:r>
                  <w:r>
                    <w:rPr>
                      <w:spacing w:val="2"/>
                      <w:sz w:val="21"/>
                      <w:szCs w:val="21"/>
                    </w:rPr>
                    <w:t xml:space="preserve">  </w:t>
                  </w:r>
                  <w:r>
                    <w:rPr>
                      <w:spacing w:val="-5"/>
                      <w:sz w:val="21"/>
                      <w:szCs w:val="21"/>
                    </w:rPr>
                    <w:t>油桶装</w:t>
                  </w:r>
                  <w:r>
                    <w:rPr>
                      <w:spacing w:val="-38"/>
                      <w:sz w:val="21"/>
                      <w:szCs w:val="21"/>
                    </w:rPr>
                    <w:t>），</w:t>
                  </w:r>
                  <w:r>
                    <w:rPr>
                      <w:spacing w:val="-7"/>
                      <w:sz w:val="21"/>
                      <w:szCs w:val="21"/>
                    </w:rPr>
                    <w:t xml:space="preserve"> </w:t>
                  </w:r>
                  <w:r>
                    <w:rPr>
                      <w:spacing w:val="-5"/>
                      <w:sz w:val="21"/>
                      <w:szCs w:val="21"/>
                    </w:rPr>
                    <w:t>同时清洁生产操作平台四周</w:t>
                  </w:r>
                  <w:r>
                    <w:rPr>
                      <w:sz w:val="21"/>
                      <w:szCs w:val="21"/>
                    </w:rPr>
                    <w:t xml:space="preserve">  </w:t>
                  </w:r>
                  <w:r>
                    <w:rPr>
                      <w:spacing w:val="-8"/>
                      <w:sz w:val="21"/>
                      <w:szCs w:val="21"/>
                    </w:rPr>
                    <w:t>设置了</w:t>
                  </w:r>
                  <w:r>
                    <w:rPr>
                      <w:spacing w:val="-45"/>
                      <w:sz w:val="21"/>
                      <w:szCs w:val="21"/>
                    </w:rPr>
                    <w:t xml:space="preserve"> </w:t>
                  </w:r>
                  <w:r>
                    <w:rPr>
                      <w:rFonts w:ascii="Times New Roman" w:hAnsi="Times New Roman" w:eastAsia="Times New Roman" w:cs="Times New Roman"/>
                      <w:spacing w:val="-8"/>
                      <w:sz w:val="21"/>
                      <w:szCs w:val="21"/>
                    </w:rPr>
                    <w:t xml:space="preserve">0.2m </w:t>
                  </w:r>
                  <w:r>
                    <w:rPr>
                      <w:spacing w:val="-8"/>
                      <w:sz w:val="21"/>
                      <w:szCs w:val="21"/>
                    </w:rPr>
                    <w:t xml:space="preserve">高的挡墙、危废暂存间设围 </w:t>
                  </w:r>
                  <w:r>
                    <w:rPr>
                      <w:spacing w:val="-10"/>
                      <w:sz w:val="21"/>
                      <w:szCs w:val="21"/>
                    </w:rPr>
                    <w:t>堰或托盘，可防止危险废物扬散、流失。</w:t>
                  </w:r>
                </w:p>
              </w:tc>
              <w:tc>
                <w:tcPr>
                  <w:tcW w:w="803" w:type="dxa"/>
                  <w:vAlign w:val="top"/>
                </w:tcPr>
                <w:p>
                  <w:pPr>
                    <w:spacing w:line="370" w:lineRule="auto"/>
                    <w:rPr>
                      <w:rFonts w:ascii="Arial"/>
                      <w:sz w:val="21"/>
                    </w:rPr>
                  </w:pPr>
                </w:p>
                <w:p>
                  <w:pPr>
                    <w:pStyle w:val="6"/>
                    <w:spacing w:before="68" w:line="221" w:lineRule="auto"/>
                    <w:ind w:left="199"/>
                    <w:rPr>
                      <w:sz w:val="21"/>
                      <w:szCs w:val="21"/>
                    </w:rPr>
                  </w:pPr>
                  <w:r>
                    <w:rPr>
                      <w:spacing w:val="-2"/>
                      <w:sz w:val="21"/>
                      <w:szCs w:val="21"/>
                    </w:rPr>
                    <w:t>符合</w:t>
                  </w:r>
                </w:p>
              </w:tc>
            </w:tr>
          </w:tbl>
          <w:p>
            <w:pPr>
              <w:pStyle w:val="6"/>
              <w:spacing w:before="177" w:line="220" w:lineRule="auto"/>
              <w:ind w:left="2445"/>
              <w:rPr>
                <w:sz w:val="24"/>
                <w:szCs w:val="24"/>
              </w:rPr>
            </w:pPr>
            <w:r>
              <w:rPr>
                <w:spacing w:val="-1"/>
                <w:sz w:val="24"/>
                <w:szCs w:val="24"/>
                <w14:textOutline w14:w="4354" w14:cap="flat" w14:cmpd="sng">
                  <w14:solidFill>
                    <w14:srgbClr w14:val="000000"/>
                  </w14:solidFill>
                  <w14:prstDash w14:val="solid"/>
                  <w14:miter w14:val="10"/>
                </w14:textOutline>
              </w:rPr>
              <w:t>表</w:t>
            </w:r>
            <w:r>
              <w:rPr>
                <w:spacing w:val="-35"/>
                <w:sz w:val="24"/>
                <w:szCs w:val="24"/>
              </w:rPr>
              <w:t xml:space="preserve"> </w:t>
            </w:r>
            <w:r>
              <w:rPr>
                <w:rFonts w:ascii="Times New Roman" w:hAnsi="Times New Roman" w:eastAsia="Times New Roman" w:cs="Times New Roman"/>
                <w:b/>
                <w:bCs/>
                <w:spacing w:val="-1"/>
                <w:sz w:val="24"/>
                <w:szCs w:val="24"/>
              </w:rPr>
              <w:t xml:space="preserve">2.10-2  </w:t>
            </w:r>
            <w:r>
              <w:rPr>
                <w:spacing w:val="-1"/>
                <w:sz w:val="24"/>
                <w:szCs w:val="24"/>
                <w14:textOutline w14:w="4354" w14:cap="flat" w14:cmpd="sng">
                  <w14:solidFill>
                    <w14:srgbClr w14:val="000000"/>
                  </w14:solidFill>
                  <w14:prstDash w14:val="solid"/>
                  <w14:miter w14:val="10"/>
                </w14:textOutline>
              </w:rPr>
              <w:t>岩屑暂存区选址合理性分析</w:t>
            </w:r>
          </w:p>
          <w:p>
            <w:pPr>
              <w:spacing w:line="17" w:lineRule="exact"/>
            </w:pPr>
          </w:p>
          <w:tbl>
            <w:tblPr>
              <w:tblStyle w:val="5"/>
              <w:tblW w:w="861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3416"/>
              <w:gridCol w:w="3942"/>
              <w:gridCol w:w="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31" w:type="dxa"/>
                  <w:textDirection w:val="tbRlV"/>
                  <w:vAlign w:val="top"/>
                </w:tcPr>
                <w:p>
                  <w:pPr>
                    <w:pStyle w:val="6"/>
                    <w:spacing w:before="106" w:line="211" w:lineRule="auto"/>
                    <w:ind w:left="36"/>
                    <w:rPr>
                      <w:sz w:val="21"/>
                      <w:szCs w:val="21"/>
                    </w:rPr>
                  </w:pPr>
                  <w:r>
                    <w:rPr>
                      <w:spacing w:val="31"/>
                      <w:sz w:val="21"/>
                      <w:szCs w:val="21"/>
                    </w:rPr>
                    <w:t>序号</w:t>
                  </w:r>
                </w:p>
              </w:tc>
              <w:tc>
                <w:tcPr>
                  <w:tcW w:w="3416" w:type="dxa"/>
                  <w:vAlign w:val="top"/>
                </w:tcPr>
                <w:p>
                  <w:pPr>
                    <w:pStyle w:val="6"/>
                    <w:spacing w:before="171" w:line="222" w:lineRule="auto"/>
                    <w:ind w:left="1292"/>
                    <w:rPr>
                      <w:sz w:val="21"/>
                      <w:szCs w:val="21"/>
                    </w:rPr>
                  </w:pPr>
                  <w:r>
                    <w:rPr>
                      <w:spacing w:val="-1"/>
                      <w:sz w:val="21"/>
                      <w:szCs w:val="21"/>
                    </w:rPr>
                    <w:t>选址要求</w:t>
                  </w:r>
                </w:p>
              </w:tc>
              <w:tc>
                <w:tcPr>
                  <w:tcW w:w="3942" w:type="dxa"/>
                  <w:vAlign w:val="top"/>
                </w:tcPr>
                <w:p>
                  <w:pPr>
                    <w:pStyle w:val="6"/>
                    <w:spacing w:before="171" w:line="220" w:lineRule="auto"/>
                    <w:ind w:left="1454"/>
                    <w:rPr>
                      <w:sz w:val="21"/>
                      <w:szCs w:val="21"/>
                    </w:rPr>
                  </w:pPr>
                  <w:r>
                    <w:rPr>
                      <w:spacing w:val="-2"/>
                      <w:sz w:val="21"/>
                      <w:szCs w:val="21"/>
                    </w:rPr>
                    <w:t>本项目情况</w:t>
                  </w:r>
                </w:p>
              </w:tc>
              <w:tc>
                <w:tcPr>
                  <w:tcW w:w="823" w:type="dxa"/>
                  <w:vAlign w:val="top"/>
                </w:tcPr>
                <w:p>
                  <w:pPr>
                    <w:pStyle w:val="6"/>
                    <w:spacing w:before="37" w:line="238" w:lineRule="auto"/>
                    <w:ind w:left="209"/>
                    <w:rPr>
                      <w:sz w:val="21"/>
                      <w:szCs w:val="21"/>
                    </w:rPr>
                  </w:pPr>
                  <w:r>
                    <w:rPr>
                      <w:spacing w:val="-2"/>
                      <w:sz w:val="21"/>
                      <w:szCs w:val="21"/>
                    </w:rPr>
                    <w:t>符合</w:t>
                  </w:r>
                </w:p>
                <w:p>
                  <w:pPr>
                    <w:pStyle w:val="6"/>
                    <w:spacing w:line="207" w:lineRule="auto"/>
                    <w:ind w:left="313"/>
                    <w:rPr>
                      <w:sz w:val="21"/>
                      <w:szCs w:val="21"/>
                    </w:rPr>
                  </w:pPr>
                  <w:r>
                    <w:rPr>
                      <w:sz w:val="21"/>
                      <w:szCs w:val="21"/>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tcBorders>
                    <w:bottom w:val="single" w:color="000000" w:sz="4" w:space="0"/>
                  </w:tcBorders>
                  <w:vAlign w:val="top"/>
                </w:tcPr>
                <w:p>
                  <w:pPr>
                    <w:spacing w:before="104" w:line="187" w:lineRule="auto"/>
                    <w:ind w:left="18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416" w:type="dxa"/>
                  <w:tcBorders>
                    <w:bottom w:val="single" w:color="000000" w:sz="4" w:space="0"/>
                  </w:tcBorders>
                  <w:vAlign w:val="top"/>
                </w:tcPr>
                <w:p>
                  <w:pPr>
                    <w:pStyle w:val="6"/>
                    <w:spacing w:before="65" w:line="221" w:lineRule="auto"/>
                    <w:ind w:left="347"/>
                    <w:rPr>
                      <w:sz w:val="21"/>
                      <w:szCs w:val="21"/>
                    </w:rPr>
                  </w:pPr>
                  <w:r>
                    <w:rPr>
                      <w:spacing w:val="-1"/>
                      <w:sz w:val="21"/>
                      <w:szCs w:val="21"/>
                    </w:rPr>
                    <w:t>应符合当地城乡建设总体规划</w:t>
                  </w:r>
                </w:p>
              </w:tc>
              <w:tc>
                <w:tcPr>
                  <w:tcW w:w="3942" w:type="dxa"/>
                  <w:tcBorders>
                    <w:bottom w:val="single" w:color="000000" w:sz="4" w:space="0"/>
                  </w:tcBorders>
                  <w:vAlign w:val="top"/>
                </w:tcPr>
                <w:p>
                  <w:pPr>
                    <w:pStyle w:val="6"/>
                    <w:spacing w:before="65" w:line="221" w:lineRule="auto"/>
                    <w:ind w:left="196"/>
                    <w:rPr>
                      <w:sz w:val="21"/>
                      <w:szCs w:val="21"/>
                    </w:rPr>
                  </w:pPr>
                  <w:r>
                    <w:rPr>
                      <w:spacing w:val="-1"/>
                      <w:sz w:val="21"/>
                      <w:szCs w:val="21"/>
                    </w:rPr>
                    <w:t>项目占地区不属于城镇用地，符合规划</w:t>
                  </w:r>
                </w:p>
              </w:tc>
              <w:tc>
                <w:tcPr>
                  <w:tcW w:w="823" w:type="dxa"/>
                  <w:tcBorders>
                    <w:bottom w:val="single" w:color="000000" w:sz="4" w:space="0"/>
                  </w:tcBorders>
                  <w:vAlign w:val="top"/>
                </w:tcPr>
                <w:p>
                  <w:pPr>
                    <w:pStyle w:val="6"/>
                    <w:spacing w:before="65"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431" w:type="dxa"/>
                  <w:tcBorders>
                    <w:top w:val="single" w:color="000000" w:sz="4" w:space="0"/>
                  </w:tcBorders>
                  <w:vAlign w:val="top"/>
                </w:tcPr>
                <w:p>
                  <w:pPr>
                    <w:spacing w:line="275" w:lineRule="auto"/>
                    <w:rPr>
                      <w:rFonts w:ascii="Arial"/>
                      <w:sz w:val="21"/>
                    </w:rPr>
                  </w:pPr>
                </w:p>
                <w:p>
                  <w:pPr>
                    <w:spacing w:before="6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416" w:type="dxa"/>
                  <w:tcBorders>
                    <w:top w:val="single" w:color="000000" w:sz="4" w:space="0"/>
                  </w:tcBorders>
                  <w:vAlign w:val="top"/>
                </w:tcPr>
                <w:p>
                  <w:pPr>
                    <w:pStyle w:val="6"/>
                    <w:spacing w:before="25" w:line="221" w:lineRule="auto"/>
                    <w:ind w:left="138"/>
                    <w:rPr>
                      <w:sz w:val="21"/>
                      <w:szCs w:val="21"/>
                    </w:rPr>
                  </w:pPr>
                  <w:r>
                    <w:rPr>
                      <w:spacing w:val="-1"/>
                      <w:sz w:val="21"/>
                      <w:szCs w:val="21"/>
                    </w:rPr>
                    <w:t>应选在工业区和居民集中区主导风</w:t>
                  </w:r>
                </w:p>
                <w:p>
                  <w:pPr>
                    <w:pStyle w:val="6"/>
                    <w:spacing w:before="22" w:line="221" w:lineRule="auto"/>
                    <w:ind w:left="133"/>
                    <w:rPr>
                      <w:rFonts w:ascii="Times New Roman" w:hAnsi="Times New Roman" w:eastAsia="Times New Roman" w:cs="Times New Roman"/>
                      <w:sz w:val="21"/>
                      <w:szCs w:val="21"/>
                    </w:rPr>
                  </w:pPr>
                  <w:r>
                    <w:rPr>
                      <w:spacing w:val="-6"/>
                      <w:sz w:val="21"/>
                      <w:szCs w:val="21"/>
                    </w:rPr>
                    <w:t>向下风侧，场界距居民集中区</w:t>
                  </w:r>
                  <w:r>
                    <w:rPr>
                      <w:spacing w:val="-37"/>
                      <w:sz w:val="21"/>
                      <w:szCs w:val="21"/>
                    </w:rPr>
                    <w:t xml:space="preserve"> </w:t>
                  </w:r>
                  <w:r>
                    <w:rPr>
                      <w:rFonts w:ascii="Times New Roman" w:hAnsi="Times New Roman" w:eastAsia="Times New Roman" w:cs="Times New Roman"/>
                      <w:spacing w:val="-6"/>
                      <w:sz w:val="21"/>
                      <w:szCs w:val="21"/>
                    </w:rPr>
                    <w:t>500m</w:t>
                  </w:r>
                </w:p>
                <w:p>
                  <w:pPr>
                    <w:pStyle w:val="6"/>
                    <w:spacing w:before="20" w:line="209" w:lineRule="auto"/>
                    <w:ind w:left="1611"/>
                    <w:rPr>
                      <w:sz w:val="21"/>
                      <w:szCs w:val="21"/>
                    </w:rPr>
                  </w:pPr>
                  <w:r>
                    <w:rPr>
                      <w:sz w:val="21"/>
                      <w:szCs w:val="21"/>
                    </w:rPr>
                    <w:t>外</w:t>
                  </w:r>
                </w:p>
              </w:tc>
              <w:tc>
                <w:tcPr>
                  <w:tcW w:w="3942" w:type="dxa"/>
                  <w:tcBorders>
                    <w:top w:val="single" w:color="000000" w:sz="4" w:space="0"/>
                  </w:tcBorders>
                  <w:vAlign w:val="top"/>
                </w:tcPr>
                <w:p>
                  <w:pPr>
                    <w:pStyle w:val="6"/>
                    <w:spacing w:before="161" w:line="231" w:lineRule="auto"/>
                    <w:ind w:left="350" w:right="177" w:hanging="154"/>
                    <w:rPr>
                      <w:sz w:val="21"/>
                      <w:szCs w:val="21"/>
                    </w:rPr>
                  </w:pPr>
                  <w:r>
                    <w:rPr>
                      <w:spacing w:val="-1"/>
                      <w:sz w:val="21"/>
                      <w:szCs w:val="21"/>
                    </w:rPr>
                    <w:t>项目周边无工业区和居民集中区，周边</w:t>
                  </w:r>
                  <w:r>
                    <w:rPr>
                      <w:spacing w:val="8"/>
                      <w:sz w:val="21"/>
                      <w:szCs w:val="21"/>
                    </w:rPr>
                    <w:t xml:space="preserve"> </w:t>
                  </w:r>
                  <w:r>
                    <w:rPr>
                      <w:rFonts w:ascii="Times New Roman" w:hAnsi="Times New Roman" w:eastAsia="Times New Roman" w:cs="Times New Roman"/>
                      <w:spacing w:val="-1"/>
                      <w:sz w:val="21"/>
                      <w:szCs w:val="21"/>
                    </w:rPr>
                    <w:t xml:space="preserve">500m </w:t>
                  </w:r>
                  <w:r>
                    <w:rPr>
                      <w:spacing w:val="-1"/>
                      <w:sz w:val="21"/>
                      <w:szCs w:val="21"/>
                    </w:rPr>
                    <w:t>范围内主要存在少量散居农户</w:t>
                  </w:r>
                </w:p>
              </w:tc>
              <w:tc>
                <w:tcPr>
                  <w:tcW w:w="823" w:type="dxa"/>
                  <w:tcBorders>
                    <w:top w:val="single" w:color="000000" w:sz="4" w:space="0"/>
                  </w:tcBorders>
                  <w:vAlign w:val="top"/>
                </w:tcPr>
                <w:p>
                  <w:pPr>
                    <w:pStyle w:val="6"/>
                    <w:spacing w:before="298"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31" w:type="dxa"/>
                  <w:vAlign w:val="top"/>
                </w:tcPr>
                <w:p>
                  <w:pPr>
                    <w:spacing w:line="280"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416" w:type="dxa"/>
                  <w:vAlign w:val="top"/>
                </w:tcPr>
                <w:p>
                  <w:pPr>
                    <w:pStyle w:val="6"/>
                    <w:spacing w:before="30" w:line="221" w:lineRule="auto"/>
                    <w:ind w:left="138"/>
                    <w:rPr>
                      <w:sz w:val="21"/>
                      <w:szCs w:val="21"/>
                    </w:rPr>
                  </w:pPr>
                  <w:r>
                    <w:rPr>
                      <w:spacing w:val="-1"/>
                      <w:sz w:val="21"/>
                      <w:szCs w:val="21"/>
                    </w:rPr>
                    <w:t>应选在满足承载力要求的地基上，</w:t>
                  </w:r>
                </w:p>
                <w:p>
                  <w:pPr>
                    <w:pStyle w:val="6"/>
                    <w:spacing w:before="23" w:line="222" w:lineRule="auto"/>
                    <w:ind w:left="664" w:right="126" w:hanging="502"/>
                    <w:rPr>
                      <w:sz w:val="21"/>
                      <w:szCs w:val="21"/>
                    </w:rPr>
                  </w:pPr>
                  <w:r>
                    <w:rPr>
                      <w:spacing w:val="-8"/>
                      <w:sz w:val="21"/>
                      <w:szCs w:val="21"/>
                    </w:rPr>
                    <w:t>以避免地基下沉的影响，</w:t>
                  </w:r>
                  <w:r>
                    <w:rPr>
                      <w:spacing w:val="-15"/>
                      <w:sz w:val="21"/>
                      <w:szCs w:val="21"/>
                    </w:rPr>
                    <w:t xml:space="preserve"> </w:t>
                  </w:r>
                  <w:r>
                    <w:rPr>
                      <w:spacing w:val="-8"/>
                      <w:sz w:val="21"/>
                      <w:szCs w:val="21"/>
                    </w:rPr>
                    <w:t>特别是不</w:t>
                  </w:r>
                  <w:r>
                    <w:rPr>
                      <w:sz w:val="21"/>
                      <w:szCs w:val="21"/>
                    </w:rPr>
                    <w:t xml:space="preserve"> </w:t>
                  </w:r>
                  <w:r>
                    <w:rPr>
                      <w:spacing w:val="-1"/>
                      <w:sz w:val="21"/>
                      <w:szCs w:val="21"/>
                    </w:rPr>
                    <w:t>均匀或局部下沉的影响</w:t>
                  </w:r>
                </w:p>
              </w:tc>
              <w:tc>
                <w:tcPr>
                  <w:tcW w:w="3942" w:type="dxa"/>
                  <w:vAlign w:val="top"/>
                </w:tcPr>
                <w:p>
                  <w:pPr>
                    <w:pStyle w:val="6"/>
                    <w:spacing w:before="168" w:line="229" w:lineRule="auto"/>
                    <w:ind w:left="118" w:right="90"/>
                    <w:rPr>
                      <w:sz w:val="21"/>
                      <w:szCs w:val="21"/>
                    </w:rPr>
                  </w:pPr>
                  <w:r>
                    <w:rPr>
                      <w:spacing w:val="-3"/>
                      <w:sz w:val="21"/>
                      <w:szCs w:val="21"/>
                    </w:rPr>
                    <w:t>工程地质无断层、断层破碎带、溶洞区，</w:t>
                  </w:r>
                  <w:r>
                    <w:rPr>
                      <w:sz w:val="21"/>
                      <w:szCs w:val="21"/>
                    </w:rPr>
                    <w:t xml:space="preserve"> </w:t>
                  </w:r>
                  <w:r>
                    <w:rPr>
                      <w:spacing w:val="-4"/>
                      <w:sz w:val="21"/>
                      <w:szCs w:val="21"/>
                    </w:rPr>
                    <w:t>无天然滑坡，无泥石流，满足承载力要求</w:t>
                  </w:r>
                </w:p>
              </w:tc>
              <w:tc>
                <w:tcPr>
                  <w:tcW w:w="823" w:type="dxa"/>
                  <w:vAlign w:val="top"/>
                </w:tcPr>
                <w:p>
                  <w:pPr>
                    <w:pStyle w:val="6"/>
                    <w:spacing w:before="303"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31" w:type="dxa"/>
                  <w:vAlign w:val="top"/>
                </w:tcPr>
                <w:p>
                  <w:pPr>
                    <w:spacing w:before="206" w:line="187" w:lineRule="auto"/>
                    <w:ind w:left="16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416" w:type="dxa"/>
                  <w:vAlign w:val="top"/>
                </w:tcPr>
                <w:p>
                  <w:pPr>
                    <w:pStyle w:val="6"/>
                    <w:spacing w:before="33" w:line="223" w:lineRule="auto"/>
                    <w:ind w:left="371" w:right="42" w:hanging="259"/>
                    <w:rPr>
                      <w:sz w:val="21"/>
                      <w:szCs w:val="21"/>
                    </w:rPr>
                  </w:pPr>
                  <w:r>
                    <w:rPr>
                      <w:spacing w:val="-7"/>
                      <w:sz w:val="21"/>
                      <w:szCs w:val="21"/>
                    </w:rPr>
                    <w:t>应避开断层、断层破碎带、溶洞区，</w:t>
                  </w:r>
                  <w:r>
                    <w:rPr>
                      <w:spacing w:val="7"/>
                      <w:sz w:val="21"/>
                      <w:szCs w:val="21"/>
                    </w:rPr>
                    <w:t xml:space="preserve"> </w:t>
                  </w:r>
                  <w:r>
                    <w:rPr>
                      <w:spacing w:val="-3"/>
                      <w:sz w:val="21"/>
                      <w:szCs w:val="21"/>
                    </w:rPr>
                    <w:t>以及天然滑坡或泥石流影响区</w:t>
                  </w:r>
                </w:p>
              </w:tc>
              <w:tc>
                <w:tcPr>
                  <w:tcW w:w="3942" w:type="dxa"/>
                  <w:vAlign w:val="top"/>
                </w:tcPr>
                <w:p>
                  <w:pPr>
                    <w:pStyle w:val="6"/>
                    <w:spacing w:before="33" w:line="223" w:lineRule="auto"/>
                    <w:ind w:left="1139" w:right="98" w:hanging="1021"/>
                    <w:rPr>
                      <w:sz w:val="21"/>
                      <w:szCs w:val="21"/>
                    </w:rPr>
                  </w:pPr>
                  <w:r>
                    <w:rPr>
                      <w:spacing w:val="-4"/>
                      <w:sz w:val="21"/>
                      <w:szCs w:val="21"/>
                    </w:rPr>
                    <w:t>无断层、断层破碎带、溶洞区。无天然滑</w:t>
                  </w:r>
                  <w:r>
                    <w:rPr>
                      <w:spacing w:val="11"/>
                      <w:sz w:val="21"/>
                      <w:szCs w:val="21"/>
                    </w:rPr>
                    <w:t xml:space="preserve"> </w:t>
                  </w:r>
                  <w:r>
                    <w:rPr>
                      <w:spacing w:val="-1"/>
                      <w:sz w:val="21"/>
                      <w:szCs w:val="21"/>
                    </w:rPr>
                    <w:t>坡，无泥石流影响</w:t>
                  </w:r>
                </w:p>
              </w:tc>
              <w:tc>
                <w:tcPr>
                  <w:tcW w:w="823" w:type="dxa"/>
                  <w:vAlign w:val="top"/>
                </w:tcPr>
                <w:p>
                  <w:pPr>
                    <w:pStyle w:val="6"/>
                    <w:spacing w:before="167"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1" w:type="dxa"/>
                  <w:vAlign w:val="top"/>
                </w:tcPr>
                <w:p>
                  <w:pPr>
                    <w:spacing w:before="210" w:line="184" w:lineRule="auto"/>
                    <w:ind w:left="17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416" w:type="dxa"/>
                  <w:vAlign w:val="top"/>
                </w:tcPr>
                <w:p>
                  <w:pPr>
                    <w:pStyle w:val="6"/>
                    <w:spacing w:before="31" w:line="221" w:lineRule="auto"/>
                    <w:ind w:left="138"/>
                    <w:rPr>
                      <w:sz w:val="21"/>
                      <w:szCs w:val="21"/>
                    </w:rPr>
                  </w:pPr>
                  <w:r>
                    <w:rPr>
                      <w:spacing w:val="-1"/>
                      <w:sz w:val="21"/>
                      <w:szCs w:val="21"/>
                    </w:rPr>
                    <w:t>禁止选在江河、江河、湖泊、水库</w:t>
                  </w:r>
                </w:p>
                <w:p>
                  <w:pPr>
                    <w:pStyle w:val="6"/>
                    <w:spacing w:before="20" w:line="207" w:lineRule="auto"/>
                    <w:ind w:left="244"/>
                    <w:rPr>
                      <w:sz w:val="21"/>
                      <w:szCs w:val="21"/>
                    </w:rPr>
                  </w:pPr>
                  <w:r>
                    <w:rPr>
                      <w:spacing w:val="-1"/>
                      <w:sz w:val="21"/>
                      <w:szCs w:val="21"/>
                    </w:rPr>
                    <w:t>最高水位线以下的滩地和洪泛区</w:t>
                  </w:r>
                </w:p>
              </w:tc>
              <w:tc>
                <w:tcPr>
                  <w:tcW w:w="3942" w:type="dxa"/>
                  <w:vAlign w:val="top"/>
                </w:tcPr>
                <w:p>
                  <w:pPr>
                    <w:pStyle w:val="6"/>
                    <w:spacing w:before="31" w:line="223" w:lineRule="auto"/>
                    <w:ind w:left="1350" w:right="98" w:hanging="1230"/>
                    <w:rPr>
                      <w:sz w:val="21"/>
                      <w:szCs w:val="21"/>
                    </w:rPr>
                  </w:pPr>
                  <w:r>
                    <w:rPr>
                      <w:spacing w:val="-4"/>
                      <w:sz w:val="21"/>
                      <w:szCs w:val="21"/>
                    </w:rPr>
                    <w:t>不在江河、湖泊、水库最高水位线以下的</w:t>
                  </w:r>
                  <w:r>
                    <w:rPr>
                      <w:spacing w:val="9"/>
                      <w:sz w:val="21"/>
                      <w:szCs w:val="21"/>
                    </w:rPr>
                    <w:t xml:space="preserve"> </w:t>
                  </w:r>
                  <w:r>
                    <w:rPr>
                      <w:spacing w:val="-1"/>
                      <w:sz w:val="21"/>
                      <w:szCs w:val="21"/>
                    </w:rPr>
                    <w:t>滩地和洪泛区</w:t>
                  </w:r>
                </w:p>
              </w:tc>
              <w:tc>
                <w:tcPr>
                  <w:tcW w:w="823" w:type="dxa"/>
                  <w:vAlign w:val="top"/>
                </w:tcPr>
                <w:p>
                  <w:pPr>
                    <w:pStyle w:val="6"/>
                    <w:spacing w:before="168"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1" w:type="dxa"/>
                  <w:vAlign w:val="top"/>
                </w:tcPr>
                <w:p>
                  <w:pPr>
                    <w:spacing w:before="207" w:line="187" w:lineRule="auto"/>
                    <w:ind w:left="16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416" w:type="dxa"/>
                  <w:vAlign w:val="top"/>
                </w:tcPr>
                <w:p>
                  <w:pPr>
                    <w:pStyle w:val="6"/>
                    <w:spacing w:before="31" w:line="223" w:lineRule="auto"/>
                    <w:ind w:left="453" w:right="126" w:hanging="315"/>
                    <w:rPr>
                      <w:sz w:val="21"/>
                      <w:szCs w:val="21"/>
                    </w:rPr>
                  </w:pPr>
                  <w:r>
                    <w:rPr>
                      <w:spacing w:val="-1"/>
                      <w:sz w:val="21"/>
                      <w:szCs w:val="21"/>
                    </w:rPr>
                    <w:t>禁止选在自然保护区、风景名胜区</w:t>
                  </w:r>
                  <w:r>
                    <w:rPr>
                      <w:spacing w:val="9"/>
                      <w:sz w:val="21"/>
                      <w:szCs w:val="21"/>
                    </w:rPr>
                    <w:t xml:space="preserve"> </w:t>
                  </w:r>
                  <w:r>
                    <w:rPr>
                      <w:spacing w:val="-1"/>
                      <w:sz w:val="21"/>
                      <w:szCs w:val="21"/>
                    </w:rPr>
                    <w:t>和其他需要特别保护的区域</w:t>
                  </w:r>
                </w:p>
              </w:tc>
              <w:tc>
                <w:tcPr>
                  <w:tcW w:w="3942" w:type="dxa"/>
                  <w:vAlign w:val="top"/>
                </w:tcPr>
                <w:p>
                  <w:pPr>
                    <w:pStyle w:val="6"/>
                    <w:spacing w:before="31" w:line="223" w:lineRule="auto"/>
                    <w:ind w:left="929" w:right="98" w:hanging="812"/>
                    <w:rPr>
                      <w:sz w:val="21"/>
                      <w:szCs w:val="21"/>
                    </w:rPr>
                  </w:pPr>
                  <w:r>
                    <w:rPr>
                      <w:spacing w:val="-4"/>
                      <w:sz w:val="21"/>
                      <w:szCs w:val="21"/>
                    </w:rPr>
                    <w:t>本项目不在自然保护区、风景名胜区和其</w:t>
                  </w:r>
                  <w:r>
                    <w:rPr>
                      <w:spacing w:val="11"/>
                      <w:sz w:val="21"/>
                      <w:szCs w:val="21"/>
                    </w:rPr>
                    <w:t xml:space="preserve"> </w:t>
                  </w:r>
                  <w:r>
                    <w:rPr>
                      <w:spacing w:val="-1"/>
                      <w:sz w:val="21"/>
                      <w:szCs w:val="21"/>
                    </w:rPr>
                    <w:t>他需要特别保护的区域</w:t>
                  </w:r>
                </w:p>
              </w:tc>
              <w:tc>
                <w:tcPr>
                  <w:tcW w:w="823" w:type="dxa"/>
                  <w:vAlign w:val="top"/>
                </w:tcPr>
                <w:p>
                  <w:pPr>
                    <w:pStyle w:val="6"/>
                    <w:spacing w:before="168"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31" w:type="dxa"/>
                  <w:vAlign w:val="top"/>
                </w:tcPr>
                <w:p>
                  <w:pPr>
                    <w:spacing w:line="286" w:lineRule="auto"/>
                    <w:rPr>
                      <w:rFonts w:ascii="Arial"/>
                      <w:sz w:val="21"/>
                    </w:rPr>
                  </w:pPr>
                </w:p>
                <w:p>
                  <w:pPr>
                    <w:spacing w:before="60" w:line="184" w:lineRule="auto"/>
                    <w:ind w:left="16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416" w:type="dxa"/>
                  <w:vAlign w:val="top"/>
                </w:tcPr>
                <w:p>
                  <w:pPr>
                    <w:pStyle w:val="6"/>
                    <w:spacing w:before="169" w:line="230" w:lineRule="auto"/>
                    <w:ind w:left="1291" w:right="126" w:hanging="1153"/>
                    <w:rPr>
                      <w:sz w:val="21"/>
                      <w:szCs w:val="21"/>
                    </w:rPr>
                  </w:pPr>
                  <w:r>
                    <w:rPr>
                      <w:spacing w:val="-1"/>
                      <w:sz w:val="21"/>
                      <w:szCs w:val="21"/>
                    </w:rPr>
                    <w:t>应避开地下水主要补给区和饮用水</w:t>
                  </w:r>
                  <w:r>
                    <w:rPr>
                      <w:spacing w:val="9"/>
                      <w:sz w:val="21"/>
                      <w:szCs w:val="21"/>
                    </w:rPr>
                    <w:t xml:space="preserve"> </w:t>
                  </w:r>
                  <w:r>
                    <w:rPr>
                      <w:spacing w:val="-1"/>
                      <w:sz w:val="21"/>
                      <w:szCs w:val="21"/>
                    </w:rPr>
                    <w:t>源含水层</w:t>
                  </w:r>
                </w:p>
              </w:tc>
              <w:tc>
                <w:tcPr>
                  <w:tcW w:w="3942" w:type="dxa"/>
                  <w:vAlign w:val="top"/>
                </w:tcPr>
                <w:p>
                  <w:pPr>
                    <w:pStyle w:val="6"/>
                    <w:spacing w:before="31" w:line="228" w:lineRule="auto"/>
                    <w:ind w:left="117" w:right="98" w:firstLine="2"/>
                    <w:jc w:val="both"/>
                    <w:rPr>
                      <w:sz w:val="21"/>
                      <w:szCs w:val="21"/>
                    </w:rPr>
                  </w:pPr>
                  <w:r>
                    <w:rPr>
                      <w:spacing w:val="-6"/>
                      <w:sz w:val="21"/>
                      <w:szCs w:val="21"/>
                    </w:rPr>
                    <w:t>设置在清洁生产操作平台上，</w:t>
                  </w:r>
                  <w:r>
                    <w:rPr>
                      <w:spacing w:val="-60"/>
                      <w:sz w:val="21"/>
                      <w:szCs w:val="21"/>
                    </w:rPr>
                    <w:t xml:space="preserve"> </w:t>
                  </w:r>
                  <w:r>
                    <w:rPr>
                      <w:spacing w:val="-6"/>
                      <w:sz w:val="21"/>
                      <w:szCs w:val="21"/>
                    </w:rPr>
                    <w:t>区域地下补</w:t>
                  </w:r>
                  <w:r>
                    <w:rPr>
                      <w:sz w:val="21"/>
                      <w:szCs w:val="21"/>
                    </w:rPr>
                    <w:t xml:space="preserve"> </w:t>
                  </w:r>
                  <w:r>
                    <w:rPr>
                      <w:spacing w:val="-4"/>
                      <w:sz w:val="21"/>
                      <w:szCs w:val="21"/>
                    </w:rPr>
                    <w:t>给面积大，本工程不是主要补给区，位于</w:t>
                  </w:r>
                  <w:r>
                    <w:rPr>
                      <w:spacing w:val="9"/>
                      <w:sz w:val="21"/>
                      <w:szCs w:val="21"/>
                    </w:rPr>
                    <w:t xml:space="preserve"> </w:t>
                  </w:r>
                  <w:r>
                    <w:rPr>
                      <w:spacing w:val="4"/>
                      <w:sz w:val="21"/>
                      <w:szCs w:val="21"/>
                    </w:rPr>
                    <w:t>第四系地层，不是主要饮用源水含水层</w:t>
                  </w:r>
                </w:p>
              </w:tc>
              <w:tc>
                <w:tcPr>
                  <w:tcW w:w="823" w:type="dxa"/>
                  <w:vAlign w:val="top"/>
                </w:tcPr>
                <w:p>
                  <w:pPr>
                    <w:pStyle w:val="6"/>
                    <w:spacing w:before="304" w:line="221" w:lineRule="auto"/>
                    <w:ind w:left="209"/>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31" w:type="dxa"/>
                  <w:vAlign w:val="top"/>
                </w:tcPr>
                <w:p>
                  <w:pPr>
                    <w:spacing w:line="284" w:lineRule="auto"/>
                    <w:rPr>
                      <w:rFonts w:ascii="Arial"/>
                      <w:sz w:val="21"/>
                    </w:rPr>
                  </w:pPr>
                </w:p>
                <w:p>
                  <w:pPr>
                    <w:spacing w:before="60" w:line="187" w:lineRule="auto"/>
                    <w:ind w:left="17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416" w:type="dxa"/>
                  <w:vAlign w:val="top"/>
                </w:tcPr>
                <w:p>
                  <w:pPr>
                    <w:pStyle w:val="6"/>
                    <w:spacing w:before="35" w:line="221" w:lineRule="auto"/>
                    <w:ind w:left="138"/>
                    <w:rPr>
                      <w:sz w:val="21"/>
                      <w:szCs w:val="21"/>
                    </w:rPr>
                  </w:pPr>
                  <w:r>
                    <w:rPr>
                      <w:spacing w:val="-1"/>
                      <w:sz w:val="21"/>
                      <w:szCs w:val="21"/>
                    </w:rPr>
                    <w:t>应选在防渗性能好的地基上。天然</w:t>
                  </w:r>
                </w:p>
                <w:p>
                  <w:pPr>
                    <w:pStyle w:val="6"/>
                    <w:spacing w:before="19" w:line="221" w:lineRule="auto"/>
                    <w:ind w:left="138"/>
                    <w:rPr>
                      <w:sz w:val="21"/>
                      <w:szCs w:val="21"/>
                    </w:rPr>
                  </w:pPr>
                  <w:r>
                    <w:rPr>
                      <w:spacing w:val="-1"/>
                      <w:sz w:val="21"/>
                      <w:szCs w:val="21"/>
                    </w:rPr>
                    <w:t>基础层地表距地下水水位的距离不</w:t>
                  </w:r>
                </w:p>
                <w:p>
                  <w:pPr>
                    <w:pStyle w:val="6"/>
                    <w:spacing w:before="23" w:line="207" w:lineRule="auto"/>
                    <w:ind w:left="1159"/>
                    <w:rPr>
                      <w:rFonts w:ascii="Times New Roman" w:hAnsi="Times New Roman" w:eastAsia="Times New Roman" w:cs="Times New Roman"/>
                      <w:sz w:val="21"/>
                      <w:szCs w:val="21"/>
                    </w:rPr>
                  </w:pPr>
                  <w:r>
                    <w:rPr>
                      <w:spacing w:val="-5"/>
                      <w:sz w:val="21"/>
                      <w:szCs w:val="21"/>
                    </w:rPr>
                    <w:t>得小于</w:t>
                  </w:r>
                  <w:r>
                    <w:rPr>
                      <w:spacing w:val="-24"/>
                      <w:sz w:val="21"/>
                      <w:szCs w:val="21"/>
                    </w:rPr>
                    <w:t xml:space="preserve"> </w:t>
                  </w:r>
                  <w:r>
                    <w:rPr>
                      <w:rFonts w:ascii="Times New Roman" w:hAnsi="Times New Roman" w:eastAsia="Times New Roman" w:cs="Times New Roman"/>
                      <w:spacing w:val="-5"/>
                      <w:sz w:val="21"/>
                      <w:szCs w:val="21"/>
                    </w:rPr>
                    <w:t>1.5m</w:t>
                  </w:r>
                </w:p>
              </w:tc>
              <w:tc>
                <w:tcPr>
                  <w:tcW w:w="3942" w:type="dxa"/>
                  <w:vAlign w:val="top"/>
                </w:tcPr>
                <w:p>
                  <w:pPr>
                    <w:pStyle w:val="6"/>
                    <w:spacing w:before="169" w:line="231" w:lineRule="auto"/>
                    <w:ind w:left="271" w:right="98" w:hanging="151"/>
                    <w:rPr>
                      <w:rFonts w:ascii="Times New Roman" w:hAnsi="Times New Roman" w:eastAsia="Times New Roman" w:cs="Times New Roman"/>
                      <w:sz w:val="21"/>
                      <w:szCs w:val="21"/>
                    </w:rPr>
                  </w:pPr>
                  <w:r>
                    <w:rPr>
                      <w:spacing w:val="-4"/>
                      <w:sz w:val="21"/>
                      <w:szCs w:val="21"/>
                    </w:rPr>
                    <w:t>设置在清洁生产操作平台上，地基下方有</w:t>
                  </w:r>
                  <w:r>
                    <w:rPr>
                      <w:spacing w:val="9"/>
                      <w:sz w:val="21"/>
                      <w:szCs w:val="21"/>
                    </w:rPr>
                    <w:t xml:space="preserve"> </w:t>
                  </w:r>
                  <w:r>
                    <w:rPr>
                      <w:spacing w:val="-2"/>
                      <w:sz w:val="21"/>
                      <w:szCs w:val="21"/>
                    </w:rPr>
                    <w:t>泥岩隔水层，距离地下水位大于</w:t>
                  </w:r>
                  <w:r>
                    <w:rPr>
                      <w:spacing w:val="-22"/>
                      <w:sz w:val="21"/>
                      <w:szCs w:val="21"/>
                    </w:rPr>
                    <w:t xml:space="preserve"> </w:t>
                  </w:r>
                  <w:r>
                    <w:rPr>
                      <w:rFonts w:ascii="Times New Roman" w:hAnsi="Times New Roman" w:eastAsia="Times New Roman" w:cs="Times New Roman"/>
                      <w:spacing w:val="-2"/>
                      <w:sz w:val="21"/>
                      <w:szCs w:val="21"/>
                    </w:rPr>
                    <w:t>1.5m</w:t>
                  </w:r>
                </w:p>
              </w:tc>
              <w:tc>
                <w:tcPr>
                  <w:tcW w:w="823" w:type="dxa"/>
                  <w:vAlign w:val="top"/>
                </w:tcPr>
                <w:p>
                  <w:pPr>
                    <w:pStyle w:val="6"/>
                    <w:spacing w:before="307" w:line="221" w:lineRule="auto"/>
                    <w:ind w:left="209"/>
                    <w:rPr>
                      <w:sz w:val="21"/>
                      <w:szCs w:val="21"/>
                    </w:rPr>
                  </w:pPr>
                  <w:r>
                    <w:rPr>
                      <w:spacing w:val="-2"/>
                      <w:sz w:val="21"/>
                      <w:szCs w:val="21"/>
                    </w:rPr>
                    <w:t>符合</w:t>
                  </w:r>
                </w:p>
              </w:tc>
            </w:tr>
          </w:tbl>
          <w:p>
            <w:pPr>
              <w:pStyle w:val="6"/>
              <w:spacing w:before="178" w:line="480" w:lineRule="exact"/>
              <w:ind w:left="585"/>
              <w:rPr>
                <w:sz w:val="24"/>
                <w:szCs w:val="24"/>
              </w:rPr>
            </w:pPr>
            <w:r>
              <w:rPr>
                <w:spacing w:val="-6"/>
                <w:position w:val="18"/>
                <w:sz w:val="24"/>
                <w:szCs w:val="24"/>
              </w:rPr>
              <w:t>根据上表分析，</w:t>
            </w:r>
            <w:r>
              <w:rPr>
                <w:spacing w:val="50"/>
                <w:position w:val="18"/>
                <w:sz w:val="24"/>
                <w:szCs w:val="24"/>
              </w:rPr>
              <w:t xml:space="preserve"> </w:t>
            </w:r>
            <w:r>
              <w:rPr>
                <w:spacing w:val="-6"/>
                <w:position w:val="18"/>
                <w:sz w:val="24"/>
                <w:szCs w:val="24"/>
              </w:rPr>
              <w:t>钻井岩屑堆放区总体符合《一般工业固体废物贮存和填埋污染</w:t>
            </w:r>
          </w:p>
          <w:p>
            <w:pPr>
              <w:pStyle w:val="6"/>
              <w:spacing w:line="219" w:lineRule="auto"/>
              <w:ind w:left="105"/>
              <w:rPr>
                <w:sz w:val="24"/>
                <w:szCs w:val="24"/>
              </w:rPr>
            </w:pPr>
            <w:r>
              <w:rPr>
                <w:spacing w:val="15"/>
                <w:sz w:val="24"/>
                <w:szCs w:val="24"/>
              </w:rPr>
              <w:t>控制标准》（</w:t>
            </w:r>
            <w:r>
              <w:rPr>
                <w:rFonts w:ascii="Times New Roman" w:hAnsi="Times New Roman" w:eastAsia="Times New Roman" w:cs="Times New Roman"/>
                <w:sz w:val="24"/>
                <w:szCs w:val="24"/>
              </w:rPr>
              <w:t>GB</w:t>
            </w:r>
            <w:r>
              <w:rPr>
                <w:rFonts w:ascii="Times New Roman" w:hAnsi="Times New Roman" w:eastAsia="Times New Roman" w:cs="Times New Roman"/>
                <w:spacing w:val="15"/>
                <w:sz w:val="24"/>
                <w:szCs w:val="24"/>
              </w:rPr>
              <w:t xml:space="preserve">18599-2020 </w:t>
            </w:r>
            <w:r>
              <w:rPr>
                <w:spacing w:val="15"/>
                <w:sz w:val="24"/>
                <w:szCs w:val="24"/>
              </w:rPr>
              <w:t>）Ⅱ类场选址和《危险废物</w:t>
            </w:r>
            <w:r>
              <w:rPr>
                <w:spacing w:val="14"/>
                <w:sz w:val="24"/>
                <w:szCs w:val="24"/>
              </w:rPr>
              <w:t>贮存污染控制标准》</w:t>
            </w:r>
          </w:p>
        </w:tc>
      </w:tr>
    </w:tbl>
    <w:p>
      <w:pPr>
        <w:pStyle w:val="2"/>
        <w:rPr>
          <w:sz w:val="21"/>
        </w:rPr>
      </w:pPr>
    </w:p>
    <w:p>
      <w:pPr>
        <w:rPr>
          <w:sz w:val="21"/>
          <w:szCs w:val="21"/>
        </w:rPr>
        <w:sectPr>
          <w:footerReference r:id="rId48"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79" w:hRule="atLeast"/>
        </w:trPr>
        <w:tc>
          <w:tcPr>
            <w:tcW w:w="465" w:type="dxa"/>
            <w:tcBorders>
              <w:bottom w:val="single" w:color="000000" w:sz="2" w:space="0"/>
              <w:right w:val="single" w:color="000000" w:sz="2" w:space="0"/>
            </w:tcBorders>
            <w:vAlign w:val="top"/>
          </w:tcPr>
          <w:p>
            <w:pPr>
              <w:rPr>
                <w:rFonts w:ascii="Arial"/>
                <w:sz w:val="21"/>
              </w:rPr>
            </w:pPr>
          </w:p>
        </w:tc>
        <w:tc>
          <w:tcPr>
            <w:tcW w:w="8826" w:type="dxa"/>
            <w:tcBorders>
              <w:left w:val="single" w:color="000000" w:sz="2" w:space="0"/>
              <w:bottom w:val="single" w:color="000000" w:sz="2" w:space="0"/>
            </w:tcBorders>
            <w:vAlign w:val="top"/>
          </w:tcPr>
          <w:p>
            <w:pPr>
              <w:pStyle w:val="6"/>
              <w:spacing w:before="183" w:line="369" w:lineRule="auto"/>
              <w:ind w:left="107" w:right="103" w:firstLine="4"/>
              <w:jc w:val="both"/>
              <w:rPr>
                <w:sz w:val="24"/>
                <w:szCs w:val="24"/>
              </w:rPr>
            </w:pPr>
            <w:r>
              <w:rPr>
                <w:spacing w:val="-2"/>
                <w:sz w:val="24"/>
                <w:szCs w:val="24"/>
              </w:rPr>
              <w:t>（</w:t>
            </w:r>
            <w:r>
              <w:rPr>
                <w:rFonts w:ascii="Times New Roman" w:hAnsi="Times New Roman" w:eastAsia="Times New Roman" w:cs="Times New Roman"/>
                <w:spacing w:val="-2"/>
                <w:sz w:val="24"/>
                <w:szCs w:val="24"/>
              </w:rPr>
              <w:t>GB18597-2023</w:t>
            </w:r>
            <w:r>
              <w:rPr>
                <w:spacing w:val="-2"/>
                <w:sz w:val="24"/>
                <w:szCs w:val="24"/>
              </w:rPr>
              <w:t>）中贮存地的的相应要求。燃烧池选</w:t>
            </w:r>
            <w:r>
              <w:rPr>
                <w:spacing w:val="-3"/>
                <w:sz w:val="24"/>
                <w:szCs w:val="24"/>
              </w:rPr>
              <w:t>址符合行业规范要求。主要构</w:t>
            </w:r>
            <w:r>
              <w:rPr>
                <w:sz w:val="24"/>
                <w:szCs w:val="24"/>
              </w:rPr>
              <w:t xml:space="preserve"> </w:t>
            </w:r>
            <w:r>
              <w:rPr>
                <w:spacing w:val="-6"/>
                <w:sz w:val="24"/>
                <w:szCs w:val="24"/>
              </w:rPr>
              <w:t>筑物应急池在井场南侧耕地内占地修池，</w:t>
            </w:r>
            <w:r>
              <w:rPr>
                <w:spacing w:val="59"/>
                <w:sz w:val="24"/>
                <w:szCs w:val="24"/>
              </w:rPr>
              <w:t xml:space="preserve"> </w:t>
            </w:r>
            <w:r>
              <w:rPr>
                <w:spacing w:val="-6"/>
                <w:sz w:val="24"/>
                <w:szCs w:val="24"/>
              </w:rPr>
              <w:t>周边为耕地。通过加强风险防范和采取防</w:t>
            </w:r>
          </w:p>
          <w:p>
            <w:pPr>
              <w:pStyle w:val="6"/>
              <w:spacing w:before="1" w:line="218" w:lineRule="auto"/>
              <w:ind w:left="106"/>
              <w:rPr>
                <w:sz w:val="24"/>
                <w:szCs w:val="24"/>
              </w:rPr>
            </w:pPr>
            <w:r>
              <w:rPr>
                <w:spacing w:val="-3"/>
                <w:sz w:val="24"/>
                <w:szCs w:val="24"/>
              </w:rPr>
              <w:t>渗措施，布置在该处是可行的。</w:t>
            </w:r>
          </w:p>
          <w:p>
            <w:pPr>
              <w:pStyle w:val="6"/>
              <w:spacing w:before="195" w:line="219" w:lineRule="auto"/>
              <w:ind w:left="594"/>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spacing w:val="-1"/>
                <w:sz w:val="24"/>
                <w:szCs w:val="24"/>
                <w14:textOutline w14:w="4354" w14:cap="flat" w14:cmpd="sng">
                  <w14:solidFill>
                    <w14:srgbClr w14:val="000000"/>
                  </w14:solidFill>
                  <w14:prstDash w14:val="solid"/>
                  <w14:miter w14:val="10"/>
                </w14:textOutline>
              </w:rPr>
              <w:t>）耕植土堆放区布局合理性</w:t>
            </w:r>
          </w:p>
          <w:p>
            <w:pPr>
              <w:pStyle w:val="6"/>
              <w:spacing w:before="197" w:line="369" w:lineRule="auto"/>
              <w:ind w:left="106" w:right="35" w:firstLine="479"/>
              <w:jc w:val="both"/>
              <w:rPr>
                <w:sz w:val="24"/>
                <w:szCs w:val="24"/>
              </w:rPr>
            </w:pPr>
            <w:r>
              <w:rPr>
                <w:spacing w:val="-12"/>
                <w:sz w:val="24"/>
                <w:szCs w:val="24"/>
              </w:rPr>
              <w:t>根据工程设计， 本项目耕植土堆放区设在井场外西北侧， 临近井场和新建</w:t>
            </w:r>
            <w:r>
              <w:rPr>
                <w:spacing w:val="-13"/>
                <w:sz w:val="24"/>
                <w:szCs w:val="24"/>
              </w:rPr>
              <w:t>道路，</w:t>
            </w:r>
            <w:r>
              <w:rPr>
                <w:sz w:val="24"/>
                <w:szCs w:val="24"/>
              </w:rPr>
              <w:t xml:space="preserve"> </w:t>
            </w:r>
            <w:r>
              <w:rPr>
                <w:spacing w:val="-9"/>
                <w:sz w:val="24"/>
                <w:szCs w:val="24"/>
              </w:rPr>
              <w:t>用于临时堆放井场施工产生的耕植土，</w:t>
            </w:r>
            <w:r>
              <w:rPr>
                <w:spacing w:val="44"/>
                <w:sz w:val="24"/>
                <w:szCs w:val="24"/>
              </w:rPr>
              <w:t xml:space="preserve"> </w:t>
            </w:r>
            <w:r>
              <w:rPr>
                <w:spacing w:val="-9"/>
                <w:sz w:val="24"/>
                <w:szCs w:val="24"/>
              </w:rPr>
              <w:t>占地面积约为</w:t>
            </w:r>
            <w:r>
              <w:rPr>
                <w:spacing w:val="-55"/>
                <w:sz w:val="24"/>
                <w:szCs w:val="24"/>
              </w:rPr>
              <w:t xml:space="preserve"> </w:t>
            </w:r>
            <w:r>
              <w:rPr>
                <w:rFonts w:ascii="Times New Roman" w:hAnsi="Times New Roman" w:eastAsia="Times New Roman" w:cs="Times New Roman"/>
                <w:spacing w:val="-9"/>
                <w:sz w:val="24"/>
                <w:szCs w:val="24"/>
              </w:rPr>
              <w:t>2055m</w:t>
            </w:r>
            <w:r>
              <w:rPr>
                <w:rFonts w:ascii="Times New Roman" w:hAnsi="Times New Roman" w:eastAsia="Times New Roman" w:cs="Times New Roman"/>
                <w:spacing w:val="-9"/>
                <w:position w:val="9"/>
                <w:sz w:val="16"/>
                <w:szCs w:val="16"/>
              </w:rPr>
              <w:t>2</w:t>
            </w:r>
            <w:r>
              <w:rPr>
                <w:spacing w:val="-9"/>
                <w:sz w:val="24"/>
                <w:szCs w:val="24"/>
              </w:rPr>
              <w:t>，设计堆放高度为</w:t>
            </w:r>
            <w:r>
              <w:rPr>
                <w:spacing w:val="-49"/>
                <w:sz w:val="24"/>
                <w:szCs w:val="24"/>
              </w:rPr>
              <w:t xml:space="preserve"> </w:t>
            </w:r>
            <w:r>
              <w:rPr>
                <w:rFonts w:ascii="Times New Roman" w:hAnsi="Times New Roman" w:eastAsia="Times New Roman" w:cs="Times New Roman"/>
                <w:spacing w:val="-9"/>
                <w:sz w:val="24"/>
                <w:szCs w:val="24"/>
              </w:rPr>
              <w:t>3m</w:t>
            </w:r>
            <w:r>
              <w:rPr>
                <w:spacing w:val="-9"/>
                <w:sz w:val="24"/>
                <w:szCs w:val="24"/>
              </w:rPr>
              <w:t>，</w:t>
            </w:r>
            <w:r>
              <w:rPr>
                <w:sz w:val="24"/>
                <w:szCs w:val="24"/>
              </w:rPr>
              <w:t xml:space="preserve"> </w:t>
            </w:r>
            <w:r>
              <w:rPr>
                <w:spacing w:val="-2"/>
                <w:sz w:val="24"/>
                <w:szCs w:val="24"/>
              </w:rPr>
              <w:t>合计最大堆放量</w:t>
            </w:r>
            <w:r>
              <w:rPr>
                <w:spacing w:val="-28"/>
                <w:sz w:val="24"/>
                <w:szCs w:val="24"/>
              </w:rPr>
              <w:t xml:space="preserve"> </w:t>
            </w:r>
            <w:r>
              <w:rPr>
                <w:rFonts w:ascii="Times New Roman" w:hAnsi="Times New Roman" w:eastAsia="Times New Roman" w:cs="Times New Roman"/>
                <w:spacing w:val="-2"/>
                <w:sz w:val="24"/>
                <w:szCs w:val="24"/>
              </w:rPr>
              <w:t>6165m</w:t>
            </w:r>
            <w:r>
              <w:rPr>
                <w:rFonts w:ascii="Times New Roman" w:hAnsi="Times New Roman" w:eastAsia="Times New Roman" w:cs="Times New Roman"/>
                <w:spacing w:val="-2"/>
                <w:position w:val="9"/>
                <w:sz w:val="16"/>
                <w:szCs w:val="16"/>
              </w:rPr>
              <w:t xml:space="preserve">3 </w:t>
            </w:r>
            <w:r>
              <w:rPr>
                <w:spacing w:val="-2"/>
                <w:sz w:val="24"/>
                <w:szCs w:val="24"/>
              </w:rPr>
              <w:t>。本项目耕植土产生量约为</w:t>
            </w:r>
            <w:r>
              <w:rPr>
                <w:spacing w:val="-35"/>
                <w:sz w:val="24"/>
                <w:szCs w:val="24"/>
              </w:rPr>
              <w:t xml:space="preserve"> </w:t>
            </w:r>
            <w:r>
              <w:rPr>
                <w:rFonts w:ascii="Times New Roman" w:hAnsi="Times New Roman" w:eastAsia="Times New Roman" w:cs="Times New Roman"/>
                <w:spacing w:val="-2"/>
                <w:sz w:val="24"/>
                <w:szCs w:val="24"/>
              </w:rPr>
              <w:t>4751m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9"/>
                <w:position w:val="9"/>
                <w:sz w:val="16"/>
                <w:szCs w:val="16"/>
              </w:rPr>
              <w:t xml:space="preserve"> </w:t>
            </w:r>
            <w:r>
              <w:rPr>
                <w:spacing w:val="-3"/>
                <w:sz w:val="24"/>
                <w:szCs w:val="24"/>
              </w:rPr>
              <w:t>，耕植土堆放区完全能</w:t>
            </w:r>
            <w:r>
              <w:rPr>
                <w:sz w:val="24"/>
                <w:szCs w:val="24"/>
              </w:rPr>
              <w:t xml:space="preserve"> </w:t>
            </w:r>
            <w:r>
              <w:rPr>
                <w:spacing w:val="-6"/>
                <w:sz w:val="24"/>
                <w:szCs w:val="24"/>
              </w:rPr>
              <w:t>容纳本项目产生耕植土。根据项目钻前设计可知，</w:t>
            </w:r>
            <w:r>
              <w:rPr>
                <w:spacing w:val="61"/>
                <w:sz w:val="24"/>
                <w:szCs w:val="24"/>
              </w:rPr>
              <w:t xml:space="preserve"> </w:t>
            </w:r>
            <w:r>
              <w:rPr>
                <w:spacing w:val="-6"/>
                <w:sz w:val="24"/>
                <w:szCs w:val="24"/>
              </w:rPr>
              <w:t>耕植土堆放区所在地不存在地质</w:t>
            </w:r>
            <w:r>
              <w:rPr>
                <w:sz w:val="24"/>
                <w:szCs w:val="24"/>
              </w:rPr>
              <w:t xml:space="preserve"> </w:t>
            </w:r>
            <w:r>
              <w:rPr>
                <w:spacing w:val="-6"/>
                <w:sz w:val="24"/>
                <w:szCs w:val="24"/>
              </w:rPr>
              <w:t>滑坡、崩塌，</w:t>
            </w:r>
            <w:r>
              <w:rPr>
                <w:spacing w:val="61"/>
                <w:sz w:val="24"/>
                <w:szCs w:val="24"/>
              </w:rPr>
              <w:t xml:space="preserve"> </w:t>
            </w:r>
            <w:r>
              <w:rPr>
                <w:spacing w:val="-6"/>
                <w:sz w:val="24"/>
                <w:szCs w:val="24"/>
              </w:rPr>
              <w:t>且不涉及水源保护区、自然保护区、风景区、文物古迹等特殊敏感区</w:t>
            </w:r>
          </w:p>
          <w:p>
            <w:pPr>
              <w:pStyle w:val="6"/>
              <w:spacing w:before="1" w:line="218" w:lineRule="auto"/>
              <w:ind w:left="106"/>
              <w:rPr>
                <w:sz w:val="24"/>
                <w:szCs w:val="24"/>
              </w:rPr>
            </w:pPr>
            <w:r>
              <w:rPr>
                <w:spacing w:val="-3"/>
                <w:sz w:val="24"/>
                <w:szCs w:val="24"/>
              </w:rPr>
              <w:t>域，因此，本项目耕植土堆放区布局合理。</w:t>
            </w:r>
          </w:p>
          <w:p>
            <w:pPr>
              <w:pStyle w:val="6"/>
              <w:spacing w:before="196" w:line="369" w:lineRule="auto"/>
              <w:ind w:left="105" w:right="18" w:firstLine="483"/>
              <w:jc w:val="both"/>
              <w:rPr>
                <w:sz w:val="24"/>
                <w:szCs w:val="24"/>
              </w:rPr>
            </w:pPr>
            <w:r>
              <w:rPr>
                <w:spacing w:val="-12"/>
                <w:sz w:val="24"/>
                <w:szCs w:val="24"/>
              </w:rPr>
              <w:t>综上所述， 井场清污分类排水系统完善， 井场内主要产污设施、设备和作业区、</w:t>
            </w:r>
            <w:r>
              <w:rPr>
                <w:spacing w:val="11"/>
                <w:sz w:val="24"/>
                <w:szCs w:val="24"/>
              </w:rPr>
              <w:t xml:space="preserve"> </w:t>
            </w:r>
            <w:r>
              <w:rPr>
                <w:spacing w:val="-6"/>
                <w:sz w:val="24"/>
                <w:szCs w:val="24"/>
              </w:rPr>
              <w:t>清洁生产操作平台集中布置，</w:t>
            </w:r>
            <w:r>
              <w:rPr>
                <w:spacing w:val="53"/>
                <w:sz w:val="24"/>
                <w:szCs w:val="24"/>
              </w:rPr>
              <w:t xml:space="preserve"> </w:t>
            </w:r>
            <w:r>
              <w:rPr>
                <w:spacing w:val="-6"/>
                <w:sz w:val="24"/>
                <w:szCs w:val="24"/>
              </w:rPr>
              <w:t xml:space="preserve">通过清污分流设置挡水墙和其他清洁区分隔并设置集 </w:t>
            </w:r>
            <w:r>
              <w:rPr>
                <w:spacing w:val="-16"/>
                <w:sz w:val="24"/>
                <w:szCs w:val="24"/>
              </w:rPr>
              <w:t>水坑收集回用，</w:t>
            </w:r>
            <w:r>
              <w:rPr>
                <w:spacing w:val="70"/>
                <w:sz w:val="24"/>
                <w:szCs w:val="24"/>
              </w:rPr>
              <w:t xml:space="preserve"> </w:t>
            </w:r>
            <w:r>
              <w:rPr>
                <w:spacing w:val="-16"/>
                <w:sz w:val="24"/>
                <w:szCs w:val="24"/>
              </w:rPr>
              <w:t>有利于减少雨水汇入，</w:t>
            </w:r>
            <w:r>
              <w:rPr>
                <w:spacing w:val="57"/>
                <w:sz w:val="24"/>
                <w:szCs w:val="24"/>
              </w:rPr>
              <w:t xml:space="preserve"> </w:t>
            </w:r>
            <w:r>
              <w:rPr>
                <w:spacing w:val="-16"/>
                <w:sz w:val="24"/>
                <w:szCs w:val="24"/>
              </w:rPr>
              <w:t>便于收集处理回用，</w:t>
            </w:r>
            <w:r>
              <w:rPr>
                <w:spacing w:val="56"/>
                <w:sz w:val="24"/>
                <w:szCs w:val="24"/>
              </w:rPr>
              <w:t xml:space="preserve"> </w:t>
            </w:r>
            <w:r>
              <w:rPr>
                <w:spacing w:val="-16"/>
                <w:sz w:val="24"/>
                <w:szCs w:val="24"/>
              </w:rPr>
              <w:t xml:space="preserve">有效防止地面雨污水进 </w:t>
            </w:r>
            <w:r>
              <w:rPr>
                <w:spacing w:val="-5"/>
                <w:sz w:val="24"/>
                <w:szCs w:val="24"/>
              </w:rPr>
              <w:t>入外环境。井场布置合理。油罐区四周设置</w:t>
            </w:r>
            <w:r>
              <w:rPr>
                <w:spacing w:val="-6"/>
                <w:sz w:val="24"/>
                <w:szCs w:val="24"/>
              </w:rPr>
              <w:t>围堰及集液池能有效控制防范风险，</w:t>
            </w:r>
            <w:r>
              <w:rPr>
                <w:spacing w:val="55"/>
                <w:sz w:val="24"/>
                <w:szCs w:val="24"/>
              </w:rPr>
              <w:t xml:space="preserve"> </w:t>
            </w:r>
            <w:r>
              <w:rPr>
                <w:spacing w:val="-6"/>
                <w:sz w:val="24"/>
                <w:szCs w:val="24"/>
              </w:rPr>
              <w:t>布</w:t>
            </w:r>
          </w:p>
          <w:p>
            <w:pPr>
              <w:pStyle w:val="6"/>
              <w:spacing w:before="1" w:line="220" w:lineRule="auto"/>
              <w:ind w:left="108"/>
              <w:rPr>
                <w:sz w:val="24"/>
                <w:szCs w:val="24"/>
              </w:rPr>
            </w:pPr>
            <w:r>
              <w:rPr>
                <w:spacing w:val="-9"/>
                <w:sz w:val="24"/>
                <w:szCs w:val="24"/>
              </w:rPr>
              <w:t>局合理。</w:t>
            </w:r>
          </w:p>
          <w:p>
            <w:pPr>
              <w:pStyle w:val="6"/>
              <w:spacing w:before="192" w:line="219" w:lineRule="auto"/>
              <w:ind w:left="588"/>
              <w:rPr>
                <w:sz w:val="24"/>
                <w:szCs w:val="24"/>
              </w:rPr>
            </w:pPr>
            <w:r>
              <w:rPr>
                <w:spacing w:val="-3"/>
                <w:sz w:val="24"/>
                <w:szCs w:val="24"/>
              </w:rPr>
              <w:t>综上，本项目总体平面布置从环保上可行。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5" w:hRule="atLeast"/>
        </w:trPr>
        <w:tc>
          <w:tcPr>
            <w:tcW w:w="465" w:type="dxa"/>
            <w:tcBorders>
              <w:top w:val="single" w:color="000000" w:sz="2" w:space="0"/>
              <w:right w:val="single" w:color="000000" w:sz="2" w:space="0"/>
            </w:tcBorders>
            <w:textDirection w:val="tbRlV"/>
            <w:vAlign w:val="top"/>
          </w:tcPr>
          <w:p>
            <w:pPr>
              <w:pStyle w:val="6"/>
              <w:spacing w:before="112" w:line="209" w:lineRule="auto"/>
              <w:ind w:left="1129"/>
              <w:rPr>
                <w:sz w:val="24"/>
                <w:szCs w:val="24"/>
              </w:rPr>
            </w:pPr>
            <w:r>
              <w:rPr>
                <w:sz w:val="24"/>
                <w:szCs w:val="24"/>
              </w:rPr>
              <w:t>施</w:t>
            </w:r>
            <w:r>
              <w:rPr>
                <w:spacing w:val="-51"/>
                <w:sz w:val="24"/>
                <w:szCs w:val="24"/>
              </w:rPr>
              <w:t xml:space="preserve"> </w:t>
            </w:r>
            <w:r>
              <w:rPr>
                <w:sz w:val="24"/>
                <w:szCs w:val="24"/>
              </w:rPr>
              <w:t>工</w:t>
            </w:r>
            <w:r>
              <w:rPr>
                <w:spacing w:val="-48"/>
                <w:sz w:val="24"/>
                <w:szCs w:val="24"/>
              </w:rPr>
              <w:t xml:space="preserve"> </w:t>
            </w:r>
            <w:r>
              <w:rPr>
                <w:sz w:val="24"/>
                <w:szCs w:val="24"/>
              </w:rPr>
              <w:t>方</w:t>
            </w:r>
            <w:r>
              <w:rPr>
                <w:spacing w:val="-48"/>
                <w:sz w:val="24"/>
                <w:szCs w:val="24"/>
              </w:rPr>
              <w:t xml:space="preserve"> </w:t>
            </w:r>
            <w:r>
              <w:rPr>
                <w:sz w:val="24"/>
                <w:szCs w:val="24"/>
              </w:rPr>
              <w:t>案</w:t>
            </w:r>
          </w:p>
        </w:tc>
        <w:tc>
          <w:tcPr>
            <w:tcW w:w="8826" w:type="dxa"/>
            <w:tcBorders>
              <w:top w:val="single" w:color="000000" w:sz="2" w:space="0"/>
              <w:left w:val="single" w:color="000000" w:sz="2" w:space="0"/>
            </w:tcBorders>
            <w:vAlign w:val="top"/>
          </w:tcPr>
          <w:p>
            <w:pPr>
              <w:pStyle w:val="6"/>
              <w:spacing w:before="237" w:line="220" w:lineRule="auto"/>
              <w:ind w:left="102"/>
              <w:rPr>
                <w:sz w:val="24"/>
                <w:szCs w:val="24"/>
              </w:rPr>
            </w:pPr>
            <w:r>
              <w:rPr>
                <w:rFonts w:ascii="Times New Roman" w:hAnsi="Times New Roman" w:eastAsia="Times New Roman" w:cs="Times New Roman"/>
                <w:b/>
                <w:bCs/>
                <w:sz w:val="24"/>
                <w:szCs w:val="24"/>
              </w:rPr>
              <w:t xml:space="preserve">2.12 </w:t>
            </w:r>
            <w:r>
              <w:rPr>
                <w:sz w:val="24"/>
                <w:szCs w:val="24"/>
                <w14:textOutline w14:w="4354" w14:cap="flat" w14:cmpd="sng">
                  <w14:solidFill>
                    <w14:srgbClr w14:val="000000"/>
                  </w14:solidFill>
                  <w14:prstDash w14:val="solid"/>
                  <w14:miter w14:val="10"/>
                </w14:textOutline>
              </w:rPr>
              <w:t>施工工艺流程总述</w:t>
            </w:r>
          </w:p>
          <w:p>
            <w:pPr>
              <w:pStyle w:val="6"/>
              <w:spacing w:before="193" w:line="480" w:lineRule="exact"/>
              <w:ind w:left="586"/>
              <w:rPr>
                <w:sz w:val="24"/>
                <w:szCs w:val="24"/>
              </w:rPr>
            </w:pPr>
            <w:r>
              <w:rPr>
                <w:spacing w:val="-6"/>
                <w:position w:val="18"/>
                <w:sz w:val="24"/>
                <w:szCs w:val="24"/>
              </w:rPr>
              <w:t>本项目为天然气勘探井钻井工程，</w:t>
            </w:r>
            <w:r>
              <w:rPr>
                <w:spacing w:val="60"/>
                <w:position w:val="18"/>
                <w:sz w:val="24"/>
                <w:szCs w:val="24"/>
              </w:rPr>
              <w:t xml:space="preserve"> </w:t>
            </w:r>
            <w:r>
              <w:rPr>
                <w:spacing w:val="-6"/>
                <w:position w:val="18"/>
                <w:sz w:val="24"/>
                <w:szCs w:val="24"/>
              </w:rPr>
              <w:t>不包括天然气开采</w:t>
            </w:r>
            <w:r>
              <w:rPr>
                <w:spacing w:val="-7"/>
                <w:position w:val="18"/>
                <w:sz w:val="24"/>
                <w:szCs w:val="24"/>
              </w:rPr>
              <w:t>、管线建设、天然气输运</w:t>
            </w:r>
          </w:p>
          <w:p>
            <w:pPr>
              <w:pStyle w:val="6"/>
              <w:spacing w:line="220" w:lineRule="auto"/>
              <w:ind w:left="106"/>
              <w:rPr>
                <w:sz w:val="24"/>
                <w:szCs w:val="24"/>
              </w:rPr>
            </w:pPr>
            <w:r>
              <w:rPr>
                <w:spacing w:val="-6"/>
                <w:sz w:val="24"/>
                <w:szCs w:val="24"/>
              </w:rPr>
              <w:t>和天然气处理。</w:t>
            </w:r>
          </w:p>
          <w:p>
            <w:pPr>
              <w:pStyle w:val="6"/>
              <w:spacing w:before="194" w:line="369" w:lineRule="auto"/>
              <w:ind w:left="105" w:right="102" w:firstLine="480"/>
              <w:rPr>
                <w:sz w:val="24"/>
                <w:szCs w:val="24"/>
              </w:rPr>
            </w:pPr>
            <w:r>
              <w:rPr>
                <w:spacing w:val="-6"/>
                <w:sz w:val="24"/>
                <w:szCs w:val="24"/>
              </w:rPr>
              <w:t>根据钻井工程特点，</w:t>
            </w:r>
            <w:r>
              <w:rPr>
                <w:spacing w:val="53"/>
                <w:sz w:val="24"/>
                <w:szCs w:val="24"/>
              </w:rPr>
              <w:t xml:space="preserve"> </w:t>
            </w:r>
            <w:r>
              <w:rPr>
                <w:spacing w:val="-6"/>
                <w:sz w:val="24"/>
                <w:szCs w:val="24"/>
              </w:rPr>
              <w:t>可将项目实施分为钻前施工期、钻井作业期和完井</w:t>
            </w:r>
            <w:r>
              <w:rPr>
                <w:spacing w:val="-7"/>
                <w:sz w:val="24"/>
                <w:szCs w:val="24"/>
              </w:rPr>
              <w:t>测试工</w:t>
            </w:r>
            <w:r>
              <w:rPr>
                <w:sz w:val="24"/>
                <w:szCs w:val="24"/>
              </w:rPr>
              <w:t xml:space="preserve"> </w:t>
            </w:r>
            <w:r>
              <w:rPr>
                <w:spacing w:val="-6"/>
                <w:sz w:val="24"/>
                <w:szCs w:val="24"/>
              </w:rPr>
              <w:t>程三个阶段，</w:t>
            </w:r>
            <w:r>
              <w:rPr>
                <w:spacing w:val="62"/>
                <w:sz w:val="24"/>
                <w:szCs w:val="24"/>
              </w:rPr>
              <w:t xml:space="preserve"> </w:t>
            </w:r>
            <w:r>
              <w:rPr>
                <w:spacing w:val="-6"/>
                <w:sz w:val="24"/>
                <w:szCs w:val="24"/>
              </w:rPr>
              <w:t>不含油气集输和站外管道建设等内容。其工程作业过程主要包括井场</w:t>
            </w:r>
            <w:r>
              <w:rPr>
                <w:sz w:val="24"/>
                <w:szCs w:val="24"/>
              </w:rPr>
              <w:t xml:space="preserve"> </w:t>
            </w:r>
            <w:r>
              <w:rPr>
                <w:spacing w:val="-2"/>
                <w:sz w:val="24"/>
                <w:szCs w:val="24"/>
              </w:rPr>
              <w:t>及井场道路建设、设备搬迁安装、钻井作业、试气作业、拆卸设备和井场清理等，</w:t>
            </w:r>
          </w:p>
          <w:p>
            <w:pPr>
              <w:pStyle w:val="6"/>
              <w:spacing w:line="220" w:lineRule="auto"/>
              <w:ind w:left="106"/>
              <w:rPr>
                <w:sz w:val="24"/>
                <w:szCs w:val="24"/>
              </w:rPr>
            </w:pPr>
            <w:r>
              <w:rPr>
                <w:spacing w:val="-3"/>
                <w:sz w:val="24"/>
                <w:szCs w:val="24"/>
              </w:rPr>
              <w:t>其过程如下图所示。如图</w:t>
            </w:r>
            <w:r>
              <w:rPr>
                <w:spacing w:val="-36"/>
                <w:sz w:val="24"/>
                <w:szCs w:val="24"/>
              </w:rPr>
              <w:t xml:space="preserve"> </w:t>
            </w:r>
            <w:r>
              <w:rPr>
                <w:rFonts w:ascii="Times New Roman" w:hAnsi="Times New Roman" w:eastAsia="Times New Roman" w:cs="Times New Roman"/>
                <w:spacing w:val="-3"/>
                <w:sz w:val="24"/>
                <w:szCs w:val="24"/>
              </w:rPr>
              <w:t>2.12-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所示</w:t>
            </w:r>
            <w:r>
              <w:rPr>
                <w:spacing w:val="-3"/>
                <w:sz w:val="24"/>
                <w:szCs w:val="24"/>
                <w14:textOutline w14:w="4354" w14:cap="flat" w14:cmpd="sng">
                  <w14:solidFill>
                    <w14:srgbClr w14:val="000000"/>
                  </w14:solidFill>
                  <w14:prstDash w14:val="solid"/>
                  <w14:miter w14:val="10"/>
                </w14:textOutline>
              </w:rPr>
              <w:t>。</w:t>
            </w:r>
          </w:p>
        </w:tc>
      </w:tr>
    </w:tbl>
    <w:p>
      <w:pPr>
        <w:pStyle w:val="2"/>
        <w:rPr>
          <w:sz w:val="21"/>
        </w:rPr>
      </w:pPr>
    </w:p>
    <w:p>
      <w:pPr>
        <w:rPr>
          <w:sz w:val="21"/>
          <w:szCs w:val="21"/>
        </w:rPr>
        <w:sectPr>
          <w:footerReference r:id="rId49"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1"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59" w:line="224" w:lineRule="auto"/>
              <w:ind w:left="5020"/>
              <w:rPr>
                <w:sz w:val="19"/>
                <w:szCs w:val="19"/>
              </w:rPr>
            </w:pPr>
            <w:r>
              <w:pict>
                <v:rect id="_x0000_s1045" o:spid="_x0000_s1045" o:spt="1" style="position:absolute;left:0pt;margin-left:105.85pt;margin-top:65.25pt;height:0.25pt;width:37.85pt;mso-position-horizontal-relative:page;mso-position-vertical-relative:page;z-index:251714560;mso-width-relative:page;mso-height-relative:page;" fillcolor="#000000" filled="t" stroked="f" coordsize="21600,21600">
                  <v:path/>
                  <v:fill on="t" focussize="0,0"/>
                  <v:stroke on="f"/>
                  <v:imagedata o:title=""/>
                  <o:lock v:ext="edit"/>
                </v:rect>
              </w:pict>
            </w:r>
            <w:r>
              <w:pict>
                <v:rect id="_x0000_s1046" o:spid="_x0000_s1046" o:spt="1" style="position:absolute;left:0pt;margin-left:96.45pt;margin-top:370.25pt;height:0.25pt;width:36.4pt;mso-position-horizontal-relative:page;mso-position-vertical-relative:page;z-index:251715584;mso-width-relative:page;mso-height-relative:page;" fillcolor="#000000" filled="t" stroked="f" coordsize="21600,21600">
                  <v:path/>
                  <v:fill on="t" focussize="0,0"/>
                  <v:stroke on="f"/>
                  <v:imagedata o:title=""/>
                  <o:lock v:ext="edit"/>
                </v:rect>
              </w:pict>
            </w:r>
            <w:r>
              <w:pict>
                <v:rect id="_x0000_s1047" o:spid="_x0000_s1047" o:spt="1" style="position:absolute;left:0pt;margin-left:212.9pt;margin-top:370.25pt;height:0.25pt;width:44.45pt;mso-position-horizontal-relative:page;mso-position-vertical-relative:page;z-index:251701248;mso-width-relative:page;mso-height-relative:page;" fillcolor="#000000" filled="t" stroked="f" coordsize="21600,21600">
                  <v:path/>
                  <v:fill on="t" focussize="0,0"/>
                  <v:stroke on="f"/>
                  <v:imagedata o:title=""/>
                  <o:lock v:ext="edit"/>
                </v:rect>
              </w:pict>
            </w:r>
            <w:r>
              <w:pict>
                <v:rect id="_x0000_s1048" o:spid="_x0000_s1048" o:spt="1" style="position:absolute;left:0pt;margin-left:333.7pt;margin-top:370.25pt;height:0.25pt;width:48.05pt;mso-position-horizontal-relative:page;mso-position-vertical-relative:page;z-index:251706368;mso-width-relative:page;mso-height-relative:page;" fillcolor="#000000" filled="t" stroked="f" coordsize="21600,21600">
                  <v:path/>
                  <v:fill on="t" focussize="0,0"/>
                  <v:stroke on="f"/>
                  <v:imagedata o:title=""/>
                  <o:lock v:ext="edit"/>
                </v:rect>
              </w:pict>
            </w:r>
            <w:r>
              <w:pict>
                <v:shape id="_x0000_s1049" o:spid="_x0000_s1049" o:spt="202" type="#_x0000_t202" style="position:absolute;left:0pt;margin-left:28.25pt;margin-top:52.6pt;height:25.65pt;width:79.15pt;mso-position-horizontal-relative:page;mso-position-vertical-relative:page;z-index:2517135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532"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3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1532" w:type="dxa"/>
                              <w:vAlign w:val="top"/>
                            </w:tcPr>
                            <w:p>
                              <w:pPr>
                                <w:pStyle w:val="6"/>
                                <w:spacing w:before="116" w:line="225" w:lineRule="auto"/>
                                <w:ind w:left="63"/>
                                <w:rPr>
                                  <w:sz w:val="19"/>
                                  <w:szCs w:val="19"/>
                                </w:rPr>
                              </w:pPr>
                              <w:r>
                                <w:rPr>
                                  <w:spacing w:val="7"/>
                                  <w:sz w:val="19"/>
                                  <w:szCs w:val="19"/>
                                </w:rPr>
                                <w:t>井场及道路建设</w:t>
                              </w:r>
                            </w:p>
                          </w:tc>
                        </w:tr>
                      </w:tbl>
                      <w:p>
                        <w:pPr>
                          <w:rPr>
                            <w:rFonts w:ascii="Arial"/>
                            <w:sz w:val="21"/>
                          </w:rPr>
                        </w:pPr>
                      </w:p>
                    </w:txbxContent>
                  </v:textbox>
                </v:shape>
              </w:pict>
            </w:r>
            <w:r>
              <w:pict>
                <v:shape id="_x0000_s1050" o:spid="_x0000_s1050" o:spt="202" type="#_x0000_t202" style="position:absolute;left:0pt;margin-left:147.05pt;margin-top:52.6pt;height:25.65pt;width:79.15pt;mso-position-horizontal-relative:page;mso-position-vertical-relative:page;z-index:2517114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532"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3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1532" w:type="dxa"/>
                              <w:vAlign w:val="top"/>
                            </w:tcPr>
                            <w:p>
                              <w:pPr>
                                <w:pStyle w:val="6"/>
                                <w:spacing w:before="117" w:line="225" w:lineRule="auto"/>
                                <w:ind w:left="71"/>
                                <w:rPr>
                                  <w:sz w:val="19"/>
                                  <w:szCs w:val="19"/>
                                </w:rPr>
                              </w:pPr>
                              <w:r>
                                <w:rPr>
                                  <w:spacing w:val="7"/>
                                  <w:sz w:val="19"/>
                                  <w:szCs w:val="19"/>
                                </w:rPr>
                                <w:t>设备搬运及安装</w:t>
                              </w:r>
                            </w:p>
                          </w:tc>
                        </w:tr>
                      </w:tbl>
                      <w:p>
                        <w:pPr>
                          <w:rPr>
                            <w:rFonts w:ascii="Arial"/>
                            <w:sz w:val="21"/>
                          </w:rPr>
                        </w:pPr>
                      </w:p>
                    </w:txbxContent>
                  </v:textbox>
                </v:shape>
              </w:pict>
            </w:r>
            <w:r>
              <w:pict>
                <v:shape id="_x0000_s1051" o:spid="_x0000_s1051" o:spt="202" type="#_x0000_t202" style="position:absolute;left:0pt;margin-left:265.85pt;margin-top:52.6pt;height:25.65pt;width:39.55pt;mso-position-horizontal-relative:page;mso-position-vertical-relative:page;z-index:2517125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4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4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740" w:type="dxa"/>
                              <w:vAlign w:val="top"/>
                            </w:tcPr>
                            <w:p>
                              <w:pPr>
                                <w:pStyle w:val="6"/>
                                <w:spacing w:before="117" w:line="225" w:lineRule="auto"/>
                                <w:ind w:left="175"/>
                                <w:rPr>
                                  <w:sz w:val="19"/>
                                  <w:szCs w:val="19"/>
                                </w:rPr>
                              </w:pPr>
                              <w:r>
                                <w:rPr>
                                  <w:spacing w:val="1"/>
                                  <w:sz w:val="19"/>
                                  <w:szCs w:val="19"/>
                                </w:rPr>
                                <w:t>钻井</w:t>
                              </w:r>
                            </w:p>
                          </w:tc>
                        </w:tr>
                      </w:tbl>
                      <w:p>
                        <w:pPr>
                          <w:rPr>
                            <w:rFonts w:ascii="Arial"/>
                            <w:sz w:val="21"/>
                          </w:rPr>
                        </w:pPr>
                      </w:p>
                    </w:txbxContent>
                  </v:textbox>
                </v:shape>
              </w:pict>
            </w:r>
            <w:r>
              <w:pict>
                <v:group id="_x0000_s1052" o:spid="_x0000_s1052" o:spt="203" style="position:absolute;left:0pt;margin-left:224.65pt;margin-top:62.65pt;height:5.5pt;width:42.55pt;mso-position-horizontal-relative:page;mso-position-vertical-relative:page;z-index:251720704;mso-width-relative:page;mso-height-relative:page;" coordsize="850,110">
                  <o:lock v:ext="edit"/>
                  <v:shape id="_x0000_s1053" o:spid="_x0000_s1053" style="position:absolute;left:0;top:52;height:5;width:756;" filled="f" stroked="t" coordsize="756,5" path="m2,2l754,2e">
                    <v:fill on="f" focussize="0,0"/>
                    <v:stroke weight="0.24pt" color="#000000" miterlimit="10" endcap="round"/>
                    <v:imagedata o:title=""/>
                    <o:lock v:ext="edit"/>
                  </v:shape>
                  <v:shape id="_x0000_s1054" o:spid="_x0000_s1054" style="position:absolute;left:740;top:0;height:110;width:111;" fillcolor="#000000" filled="t" stroked="f" coordsize="111,110" path="m0,0l110,54,0,109,0,0xe">
                    <v:fill on="t" focussize="0,0"/>
                    <v:stroke on="f"/>
                    <v:imagedata o:title=""/>
                    <o:lock v:ext="edit"/>
                  </v:shape>
                </v:group>
              </w:pict>
            </w:r>
            <w:r>
              <w:pict>
                <v:shape id="_x0000_s1055" o:spid="_x0000_s1055" style="position:absolute;left:0pt;margin-left:142.9pt;margin-top:62.65pt;height:5.5pt;width:5.55pt;mso-position-horizontal-relative:page;mso-position-vertical-relative:page;z-index:251721728;mso-width-relative:page;mso-height-relative:page;" fillcolor="#000000" filled="t" stroked="f" coordsize="111,110" path="m0,0l110,54,0,109,0,0xe">
                  <v:fill on="t" focussize="0,0"/>
                  <v:stroke on="f"/>
                  <v:imagedata o:title=""/>
                  <o:lock v:ext="edit"/>
                </v:shape>
              </w:pict>
            </w:r>
            <w:r>
              <w:pict>
                <v:group id="_x0000_s1056" o:spid="_x0000_s1056" o:spt="203" style="position:absolute;left:0pt;margin-left:303.85pt;margin-top:62.65pt;height:5.5pt;width:42.55pt;mso-position-horizontal-relative:page;mso-position-vertical-relative:page;z-index:251718656;mso-width-relative:page;mso-height-relative:page;" coordsize="850,110">
                  <o:lock v:ext="edit"/>
                  <v:shape id="_x0000_s1057" o:spid="_x0000_s1057" style="position:absolute;left:0;top:52;height:5;width:756;" filled="f" stroked="t" coordsize="756,5" path="m2,2l754,2e">
                    <v:fill on="f" focussize="0,0"/>
                    <v:stroke weight="0.24pt" color="#000000" miterlimit="10" endcap="round"/>
                    <v:imagedata o:title=""/>
                    <o:lock v:ext="edit"/>
                  </v:shape>
                  <v:shape id="_x0000_s1058" o:spid="_x0000_s1058" style="position:absolute;left:740;top:0;height:110;width:111;" fillcolor="#000000" filled="t" stroked="f" coordsize="111,110" path="m0,0l110,54,0,109,0,0xe">
                    <v:fill on="t" focussize="0,0"/>
                    <v:stroke on="f"/>
                    <v:imagedata o:title=""/>
                    <o:lock v:ext="edit"/>
                  </v:shape>
                </v:group>
              </w:pict>
            </w:r>
            <w:r>
              <w:pict>
                <v:group id="_x0000_s1059" o:spid="_x0000_s1059" o:spt="203" style="position:absolute;left:0pt;margin-left:282.85pt;margin-top:25.75pt;height:28.35pt;width:5.55pt;mso-position-horizontal-relative:page;mso-position-vertical-relative:page;z-index:251723776;mso-width-relative:page;mso-height-relative:page;" coordsize="111,567">
                  <o:lock v:ext="edit"/>
                  <v:shape id="_x0000_s1060" o:spid="_x0000_s1060" style="position:absolute;left:52;top:93;height:472;width:5;" filled="f" stroked="t" coordsize="5,472" path="m2,470l2,2e">
                    <v:fill on="f" focussize="0,0"/>
                    <v:stroke weight="0.24pt" color="#000000" miterlimit="10" endcap="round"/>
                    <v:imagedata o:title=""/>
                    <o:lock v:ext="edit"/>
                  </v:shape>
                  <v:shape id="_x0000_s1061" o:spid="_x0000_s1061" style="position:absolute;left:0;top:0;height:110;width:111;" fillcolor="#000000" filled="t" stroked="f" coordsize="111,110" path="m0,109l55,0,110,109,0,109xe">
                    <v:fill on="t" focussize="0,0"/>
                    <v:stroke on="f"/>
                    <v:imagedata o:title=""/>
                    <o:lock v:ext="edit"/>
                  </v:shape>
                </v:group>
              </w:pict>
            </w:r>
            <w:r>
              <w:pict>
                <v:group id="_x0000_s1062" o:spid="_x0000_s1062" o:spt="203" style="position:absolute;left:0pt;margin-left:376.2pt;margin-top:80.5pt;height:60.95pt;width:5.55pt;mso-position-horizontal-relative:page;mso-position-vertical-relative:page;z-index:251717632;mso-width-relative:page;mso-height-relative:page;" coordsize="111,1219">
                  <o:lock v:ext="edit"/>
                  <v:shape id="_x0000_s1063" o:spid="_x0000_s1063" style="position:absolute;left:52;top:0;height:1125;width:5;" filled="f" stroked="t" coordsize="5,1125" path="m2,2l2,1122e">
                    <v:fill on="f" focussize="0,0"/>
                    <v:stroke weight="0.24pt" color="#000000" miterlimit="10" endcap="round"/>
                    <v:imagedata o:title=""/>
                    <o:lock v:ext="edit"/>
                  </v:shape>
                  <v:shape id="_x0000_s1064" o:spid="_x0000_s1064" style="position:absolute;left:0;top:1108;height:110;width:111;" fillcolor="#000000" filled="t" stroked="f" coordsize="111,110" path="m110,0l55,109,0,0,110,0xe">
                    <v:fill on="t" focussize="0,0"/>
                    <v:stroke on="f"/>
                    <v:imagedata o:title=""/>
                    <o:lock v:ext="edit"/>
                  </v:shape>
                </v:group>
              </w:pict>
            </w:r>
            <w:r>
              <w:pict>
                <v:shape id="_x0000_s1065" o:spid="_x0000_s1065" o:spt="202" type="#_x0000_t202" style="position:absolute;left:0pt;margin-left:91.9pt;margin-top:140.1pt;height:25.65pt;width:90.45pt;mso-position-horizontal-relative:page;mso-position-vertical-relative:page;z-index:2517104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758"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75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1758" w:type="dxa"/>
                              <w:vAlign w:val="top"/>
                            </w:tcPr>
                            <w:p>
                              <w:pPr>
                                <w:pStyle w:val="6"/>
                                <w:spacing w:before="126" w:line="224" w:lineRule="auto"/>
                                <w:ind w:left="90"/>
                                <w:rPr>
                                  <w:sz w:val="19"/>
                                  <w:szCs w:val="19"/>
                                </w:rPr>
                              </w:pPr>
                              <w:r>
                                <w:rPr>
                                  <w:spacing w:val="6"/>
                                  <w:sz w:val="19"/>
                                  <w:szCs w:val="19"/>
                                </w:rPr>
                                <w:t>临时用地覆土恢复</w:t>
                              </w:r>
                            </w:p>
                          </w:tc>
                        </w:tr>
                      </w:tbl>
                      <w:p>
                        <w:pPr>
                          <w:rPr>
                            <w:rFonts w:ascii="Arial"/>
                            <w:sz w:val="21"/>
                          </w:rPr>
                        </w:pPr>
                      </w:p>
                    </w:txbxContent>
                  </v:textbox>
                </v:shape>
              </w:pict>
            </w:r>
            <w:r>
              <w:pict>
                <v:group id="_x0000_s1066" o:spid="_x0000_s1066" o:spt="203" style="position:absolute;left:0pt;margin-left:180.95pt;margin-top:150.15pt;height:5.5pt;width:45.4pt;mso-position-horizontal-relative:page;mso-position-vertical-relative:page;z-index:251719680;mso-width-relative:page;mso-height-relative:page;" coordsize="908,110">
                  <o:lock v:ext="edit"/>
                  <v:shape id="_x0000_s1067" o:spid="_x0000_s1067" style="position:absolute;left:93;top:52;height:5;width:814;" filled="f" stroked="t" coordsize="814,5" path="m811,2l2,2e">
                    <v:fill on="f" focussize="0,0"/>
                    <v:stroke weight="0.24pt" color="#000000" miterlimit="10" endcap="round"/>
                    <v:imagedata o:title=""/>
                    <o:lock v:ext="edit"/>
                  </v:shape>
                  <v:shape id="_x0000_s1068" o:spid="_x0000_s1068" style="position:absolute;left:0;top:0;height:110;width:111;" fillcolor="#000000" filled="t" stroked="f" coordsize="111,110" path="m110,109l0,54,110,0,110,109xe">
                    <v:fill on="t" focussize="0,0"/>
                    <v:stroke on="f"/>
                    <v:imagedata o:title=""/>
                    <o:lock v:ext="edit"/>
                  </v:shape>
                </v:group>
              </w:pict>
            </w:r>
            <w:r>
              <w:pict>
                <v:group id="_x0000_s1069" o:spid="_x0000_s1069" o:spt="203" style="position:absolute;left:0pt;margin-left:294.65pt;margin-top:331.2pt;height:22.5pt;width:6.3pt;mso-position-horizontal-relative:page;mso-position-vertical-relative:page;z-index:251705344;mso-width-relative:page;mso-height-relative:page;" coordsize="126,450">
                  <o:lock v:ext="edit"/>
                  <v:shape id="_x0000_s1070" o:spid="_x0000_s1070" style="position:absolute;left:57;top:0;height:450;width:10;" filled="f" stroked="t" coordsize="10,450" path="m4,445l4,4e">
                    <v:fill on="f" focussize="0,0"/>
                    <v:stroke weight="0.48pt" color="#0066FF" miterlimit="10" dashstyle="dash" endcap="round"/>
                    <v:imagedata o:title=""/>
                    <o:lock v:ext="edit"/>
                  </v:shape>
                  <v:shape id="_x0000_s1071" o:spid="_x0000_s1071" style="position:absolute;left:0;top:0;height:125;width:126;" filled="f" stroked="t" coordsize="126,125" path="m120,120l62,4,4,120e">
                    <v:fill on="f" focussize="0,0"/>
                    <v:stroke weight="0.48pt" color="#0066FF" miterlimit="10" endcap="round"/>
                    <v:imagedata o:title=""/>
                    <o:lock v:ext="edit"/>
                  </v:shape>
                </v:group>
              </w:pict>
            </w:r>
            <w:r>
              <w:pict>
                <v:group id="_x0000_s1072" o:spid="_x0000_s1072" o:spt="203" style="position:absolute;left:0pt;margin-left:172.05pt;margin-top:332.9pt;height:20.8pt;width:6.3pt;mso-position-horizontal-relative:page;mso-position-vertical-relative:page;z-index:251700224;mso-width-relative:page;mso-height-relative:page;" coordsize="126,415">
                  <o:lock v:ext="edit"/>
                  <v:shape id="_x0000_s1073" o:spid="_x0000_s1073" style="position:absolute;left:57;top:0;height:415;width:10;" filled="f" stroked="t" coordsize="10,415" path="m4,411l4,4e">
                    <v:fill on="f" focussize="0,0"/>
                    <v:stroke weight="0.48pt" color="#0066FF" miterlimit="10" dashstyle="dash" endcap="round"/>
                    <v:imagedata o:title=""/>
                    <o:lock v:ext="edit"/>
                  </v:shape>
                  <v:shape id="_x0000_s1074" o:spid="_x0000_s1074" style="position:absolute;left:0;top:0;height:125;width:126;" filled="f" stroked="t" coordsize="126,125" path="m120,120l62,4,4,120e">
                    <v:fill on="f" focussize="0,0"/>
                    <v:stroke weight="0.48pt" color="#0066FF" miterlimit="10" endcap="round"/>
                    <v:imagedata o:title=""/>
                    <o:lock v:ext="edit"/>
                  </v:shape>
                </v:group>
              </w:pict>
            </w:r>
            <w:r>
              <w:pict>
                <v:shape id="_x0000_s1075" o:spid="_x0000_s1075" o:spt="202" type="#_x0000_t202" style="position:absolute;left:0pt;margin-left:136pt;margin-top:352.1pt;height:36.6pt;width:78.4pt;mso-position-horizontal-relative:page;mso-position-vertical-relative:page;z-index:2516992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517"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1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71" w:hRule="atLeast"/>
                          </w:trPr>
                          <w:tc>
                            <w:tcPr>
                              <w:tcW w:w="1517" w:type="dxa"/>
                              <w:vAlign w:val="top"/>
                            </w:tcPr>
                            <w:p>
                              <w:pPr>
                                <w:pStyle w:val="6"/>
                                <w:spacing w:before="94" w:line="231" w:lineRule="auto"/>
                                <w:ind w:left="68" w:right="48" w:hanging="14"/>
                                <w:rPr>
                                  <w:sz w:val="20"/>
                                  <w:szCs w:val="20"/>
                                </w:rPr>
                              </w:pPr>
                              <w:r>
                                <w:rPr>
                                  <w:sz w:val="20"/>
                                  <w:szCs w:val="20"/>
                                </w:rPr>
                                <w:t>池类构筑物建设</w:t>
                              </w:r>
                              <w:r>
                                <w:rPr>
                                  <w:spacing w:val="2"/>
                                  <w:sz w:val="20"/>
                                  <w:szCs w:val="20"/>
                                </w:rPr>
                                <w:t xml:space="preserve"> </w:t>
                              </w:r>
                              <w:r>
                                <w:rPr>
                                  <w:spacing w:val="-2"/>
                                  <w:sz w:val="20"/>
                                  <w:szCs w:val="20"/>
                                </w:rPr>
                                <w:t>、房屋基础建设</w:t>
                              </w:r>
                            </w:p>
                          </w:tc>
                        </w:tr>
                      </w:tbl>
                      <w:p>
                        <w:pPr>
                          <w:rPr>
                            <w:rFonts w:ascii="Arial"/>
                            <w:sz w:val="21"/>
                          </w:rPr>
                        </w:pPr>
                      </w:p>
                    </w:txbxContent>
                  </v:textbox>
                </v:shape>
              </w:pict>
            </w:r>
            <w:r>
              <w:pict>
                <v:shape id="_x0000_s1076" o:spid="_x0000_s1076" style="position:absolute;left:0pt;margin-left:256.5pt;margin-top:367.75pt;height:5.3pt;width:5.3pt;mso-position-horizontal-relative:page;mso-position-vertical-relative:page;z-index:251708416;mso-width-relative:page;mso-height-relative:page;" fillcolor="#000000" filled="t" stroked="f" coordsize="106,106" path="m0,0l105,52,0,105,0,0xe">
                  <v:fill on="t" focussize="0,0"/>
                  <v:stroke on="f"/>
                  <v:imagedata o:title=""/>
                  <o:lock v:ext="edit"/>
                </v:shape>
              </w:pict>
            </w:r>
            <w:r>
              <w:pict>
                <v:shape id="_x0000_s1077" o:spid="_x0000_s1077" o:spt="202" type="#_x0000_t202" style="position:absolute;left:0pt;margin-left:255.5pt;margin-top:352.1pt;height:36.6pt;width:79.7pt;mso-position-horizontal-relative:page;mso-position-vertical-relative:page;z-index:2517043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543"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4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71" w:hRule="atLeast"/>
                          </w:trPr>
                          <w:tc>
                            <w:tcPr>
                              <w:tcW w:w="1543" w:type="dxa"/>
                              <w:vAlign w:val="top"/>
                            </w:tcPr>
                            <w:p>
                              <w:pPr>
                                <w:pStyle w:val="6"/>
                                <w:spacing w:before="94" w:line="231" w:lineRule="auto"/>
                                <w:ind w:left="320" w:right="108" w:hanging="99"/>
                                <w:rPr>
                                  <w:sz w:val="20"/>
                                  <w:szCs w:val="20"/>
                                </w:rPr>
                              </w:pPr>
                              <w:r>
                                <w:rPr>
                                  <w:sz w:val="20"/>
                                  <w:szCs w:val="20"/>
                                </w:rPr>
                                <w:t>井场设备基础</w:t>
                              </w:r>
                              <w:r>
                                <w:rPr>
                                  <w:spacing w:val="1"/>
                                  <w:sz w:val="20"/>
                                  <w:szCs w:val="20"/>
                                </w:rPr>
                                <w:t xml:space="preserve"> </w:t>
                              </w:r>
                              <w:r>
                                <w:rPr>
                                  <w:sz w:val="20"/>
                                  <w:szCs w:val="20"/>
                                </w:rPr>
                                <w:t>及池体防渗</w:t>
                              </w:r>
                            </w:p>
                          </w:tc>
                        </w:tr>
                      </w:tbl>
                      <w:p>
                        <w:pPr>
                          <w:rPr>
                            <w:rFonts w:ascii="Arial"/>
                            <w:sz w:val="21"/>
                          </w:rPr>
                        </w:pPr>
                      </w:p>
                    </w:txbxContent>
                  </v:textbox>
                </v:shape>
              </w:pict>
            </w:r>
            <w:r>
              <w:pict>
                <v:shape id="_x0000_s1078" o:spid="_x0000_s1078" style="position:absolute;left:0pt;margin-left:380.95pt;margin-top:367.75pt;height:5.3pt;width:5.3pt;mso-position-horizontal-relative:page;mso-position-vertical-relative:page;z-index:251707392;mso-width-relative:page;mso-height-relative:page;" fillcolor="#000000" filled="t" stroked="f" coordsize="106,106" path="m0,0l105,52,0,105,0,0xe">
                  <v:fill on="t" focussize="0,0"/>
                  <v:stroke on="f"/>
                  <v:imagedata o:title=""/>
                  <o:lock v:ext="edit"/>
                </v:shape>
              </w:pict>
            </w:r>
            <w:r>
              <w:pict>
                <v:shape id="_x0000_s1079" o:spid="_x0000_s1079" o:spt="202" type="#_x0000_t202" style="position:absolute;left:0pt;margin-left:379.95pt;margin-top:352.1pt;height:36.6pt;width:50.65pt;mso-position-horizontal-relative:page;mso-position-vertical-relative:page;z-index:2517032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962"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6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71" w:hRule="atLeast"/>
                          </w:trPr>
                          <w:tc>
                            <w:tcPr>
                              <w:tcW w:w="962" w:type="dxa"/>
                              <w:vAlign w:val="top"/>
                            </w:tcPr>
                            <w:p>
                              <w:pPr>
                                <w:pStyle w:val="6"/>
                                <w:spacing w:before="94" w:line="231" w:lineRule="auto"/>
                                <w:ind w:left="337" w:right="116" w:hanging="99"/>
                                <w:rPr>
                                  <w:sz w:val="20"/>
                                  <w:szCs w:val="20"/>
                                </w:rPr>
                              </w:pPr>
                              <w:r>
                                <w:rPr>
                                  <w:spacing w:val="-2"/>
                                  <w:sz w:val="20"/>
                                  <w:szCs w:val="20"/>
                                </w:rPr>
                                <w:t>移交钻</w:t>
                              </w:r>
                              <w:r>
                                <w:rPr>
                                  <w:spacing w:val="1"/>
                                  <w:sz w:val="20"/>
                                  <w:szCs w:val="20"/>
                                </w:rPr>
                                <w:t xml:space="preserve"> </w:t>
                              </w:r>
                              <w:r>
                                <w:rPr>
                                  <w:spacing w:val="-1"/>
                                  <w:sz w:val="20"/>
                                  <w:szCs w:val="20"/>
                                </w:rPr>
                                <w:t>井队</w:t>
                              </w:r>
                            </w:p>
                          </w:tc>
                        </w:tr>
                      </w:tbl>
                      <w:p>
                        <w:pPr>
                          <w:rPr>
                            <w:rFonts w:ascii="Arial"/>
                            <w:sz w:val="21"/>
                          </w:rPr>
                        </w:pPr>
                      </w:p>
                    </w:txbxContent>
                  </v:textbox>
                </v:shape>
              </w:pict>
            </w:r>
            <w:r>
              <w:pict>
                <v:shape id="_x0000_s1080" o:spid="_x0000_s1080" style="position:absolute;left:0pt;margin-left:132.05pt;margin-top:367.75pt;height:5.3pt;width:5.3pt;mso-position-horizontal-relative:page;mso-position-vertical-relative:page;z-index:251716608;mso-width-relative:page;mso-height-relative:page;" fillcolor="#000000" filled="t" stroked="f" coordsize="106,106" path="m0,0l105,52,0,105,0,0xe">
                  <v:fill on="t" focussize="0,0"/>
                  <v:stroke on="f"/>
                  <v:imagedata o:title=""/>
                  <o:lock v:ext="edit"/>
                </v:shape>
              </w:pict>
            </w:r>
            <w:r>
              <w:pict>
                <v:group id="_x0000_s1081" o:spid="_x0000_s1081" o:spt="203" style="position:absolute;left:0pt;margin-left:282.85pt;margin-top:76.85pt;height:28.35pt;width:5.55pt;mso-position-horizontal-relative:page;mso-position-vertical-relative:page;z-index:251722752;mso-width-relative:page;mso-height-relative:page;" coordsize="111,567">
                  <o:lock v:ext="edit"/>
                  <v:shape id="_x0000_s1082" o:spid="_x0000_s1082" style="position:absolute;left:52;top:93;height:474;width:5;" filled="f" stroked="t" coordsize="5,474" path="m2,470l2,2e">
                    <v:fill on="f" focussize="0,0"/>
                    <v:stroke weight="0.24pt" color="#000000" miterlimit="10" endcap="round"/>
                    <v:imagedata o:title=""/>
                    <o:lock v:ext="edit"/>
                  </v:shape>
                  <v:shape id="_x0000_s1083" o:spid="_x0000_s1083" style="position:absolute;left:0;top:0;height:110;width:111;" fillcolor="#000000" filled="t" stroked="f" coordsize="111,110" path="m0,109l55,0,110,109,0,109xe">
                    <v:fill on="t" focussize="0,0"/>
                    <v:stroke on="f"/>
                    <v:imagedata o:title=""/>
                    <o:lock v:ext="edit"/>
                  </v:shape>
                </v:group>
              </w:pict>
            </w:r>
            <w:r>
              <w:rPr>
                <w:spacing w:val="7"/>
                <w:sz w:val="19"/>
                <w:szCs w:val="19"/>
              </w:rPr>
              <w:t>污染物随钻处理</w:t>
            </w:r>
          </w:p>
          <w:p>
            <w:pPr>
              <w:spacing w:before="54"/>
            </w:pPr>
          </w:p>
          <w:p>
            <w:pPr>
              <w:spacing w:before="54"/>
            </w:pPr>
          </w:p>
          <w:tbl>
            <w:tblPr>
              <w:tblStyle w:val="5"/>
              <w:tblW w:w="1306" w:type="dxa"/>
              <w:tblInd w:w="692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30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4" w:hRule="atLeast"/>
              </w:trPr>
              <w:tc>
                <w:tcPr>
                  <w:tcW w:w="1306" w:type="dxa"/>
                  <w:vAlign w:val="top"/>
                </w:tcPr>
                <w:p>
                  <w:pPr>
                    <w:pStyle w:val="6"/>
                    <w:spacing w:before="74" w:line="229" w:lineRule="auto"/>
                    <w:ind w:left="461" w:right="43" w:hanging="399"/>
                    <w:rPr>
                      <w:sz w:val="19"/>
                      <w:szCs w:val="19"/>
                    </w:rPr>
                  </w:pPr>
                  <w:r>
                    <w:rPr>
                      <w:spacing w:val="8"/>
                      <w:sz w:val="19"/>
                      <w:szCs w:val="19"/>
                    </w:rPr>
                    <w:t>钻井队及设备</w:t>
                  </w:r>
                  <w:r>
                    <w:rPr>
                      <w:spacing w:val="1"/>
                      <w:sz w:val="19"/>
                      <w:szCs w:val="19"/>
                    </w:rPr>
                    <w:t xml:space="preserve"> 搬迁</w:t>
                  </w:r>
                </w:p>
              </w:tc>
            </w:tr>
          </w:tbl>
          <w:p>
            <w:pPr>
              <w:spacing w:before="231"/>
            </w:pPr>
          </w:p>
          <w:tbl>
            <w:tblPr>
              <w:tblStyle w:val="5"/>
              <w:tblW w:w="1532" w:type="dxa"/>
              <w:tblInd w:w="494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3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1532" w:type="dxa"/>
                  <w:vAlign w:val="top"/>
                </w:tcPr>
                <w:p>
                  <w:pPr>
                    <w:pStyle w:val="6"/>
                    <w:spacing w:before="122" w:line="225" w:lineRule="auto"/>
                    <w:ind w:left="288"/>
                    <w:rPr>
                      <w:sz w:val="19"/>
                      <w:szCs w:val="19"/>
                    </w:rPr>
                  </w:pPr>
                  <w:r>
                    <w:rPr>
                      <w:spacing w:val="3"/>
                      <w:sz w:val="19"/>
                      <w:szCs w:val="19"/>
                    </w:rPr>
                    <w:t>固井、录井</w:t>
                  </w:r>
                </w:p>
              </w:tc>
            </w:tr>
          </w:tbl>
          <w:p>
            <w:pPr>
              <w:spacing w:before="14"/>
            </w:pPr>
          </w:p>
          <w:tbl>
            <w:tblPr>
              <w:tblStyle w:val="5"/>
              <w:tblW w:w="3710" w:type="dxa"/>
              <w:tblInd w:w="4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1100"/>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1" w:hRule="atLeast"/>
              </w:trPr>
              <w:tc>
                <w:tcPr>
                  <w:tcW w:w="1305" w:type="dxa"/>
                  <w:vMerge w:val="restart"/>
                  <w:tcBorders>
                    <w:bottom w:val="nil"/>
                  </w:tcBorders>
                  <w:vAlign w:val="top"/>
                </w:tcPr>
                <w:p>
                  <w:pPr>
                    <w:pStyle w:val="6"/>
                    <w:spacing w:before="126" w:line="224" w:lineRule="auto"/>
                    <w:ind w:left="259"/>
                    <w:rPr>
                      <w:sz w:val="19"/>
                      <w:szCs w:val="19"/>
                    </w:rPr>
                  </w:pPr>
                  <w:r>
                    <w:rPr>
                      <w:spacing w:val="6"/>
                      <w:sz w:val="19"/>
                      <w:szCs w:val="19"/>
                    </w:rPr>
                    <w:t>完井搬迁</w:t>
                  </w:r>
                </w:p>
              </w:tc>
              <w:tc>
                <w:tcPr>
                  <w:tcW w:w="1100" w:type="dxa"/>
                  <w:tcBorders>
                    <w:top w:val="nil"/>
                    <w:bottom w:val="single" w:color="000000" w:sz="2" w:space="0"/>
                  </w:tcBorders>
                  <w:vAlign w:val="top"/>
                </w:tcPr>
                <w:p>
                  <w:pPr>
                    <w:spacing w:line="210" w:lineRule="exact"/>
                    <w:rPr>
                      <w:rFonts w:ascii="Arial"/>
                      <w:sz w:val="18"/>
                    </w:rPr>
                  </w:pPr>
                </w:p>
              </w:tc>
              <w:tc>
                <w:tcPr>
                  <w:tcW w:w="1305" w:type="dxa"/>
                  <w:vMerge w:val="restart"/>
                  <w:tcBorders>
                    <w:bottom w:val="nil"/>
                  </w:tcBorders>
                  <w:vAlign w:val="top"/>
                </w:tcPr>
                <w:p>
                  <w:pPr>
                    <w:pStyle w:val="6"/>
                    <w:spacing w:before="125" w:line="225" w:lineRule="auto"/>
                    <w:ind w:left="261"/>
                    <w:rPr>
                      <w:sz w:val="19"/>
                      <w:szCs w:val="19"/>
                    </w:rPr>
                  </w:pPr>
                  <w:r>
                    <w:rPr>
                      <w:spacing w:val="6"/>
                      <w:sz w:val="19"/>
                      <w:szCs w:val="19"/>
                    </w:rPr>
                    <w:t>试气作业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1305" w:type="dxa"/>
                  <w:vMerge w:val="continue"/>
                  <w:tcBorders>
                    <w:top w:val="nil"/>
                  </w:tcBorders>
                  <w:vAlign w:val="top"/>
                </w:tcPr>
                <w:p>
                  <w:pPr>
                    <w:rPr>
                      <w:rFonts w:ascii="Arial"/>
                      <w:sz w:val="21"/>
                    </w:rPr>
                  </w:pPr>
                </w:p>
              </w:tc>
              <w:tc>
                <w:tcPr>
                  <w:tcW w:w="1100" w:type="dxa"/>
                  <w:tcBorders>
                    <w:top w:val="single" w:color="000000" w:sz="2" w:space="0"/>
                    <w:bottom w:val="nil"/>
                  </w:tcBorders>
                  <w:vAlign w:val="top"/>
                </w:tcPr>
                <w:p>
                  <w:pPr>
                    <w:spacing w:line="215" w:lineRule="exact"/>
                    <w:rPr>
                      <w:rFonts w:ascii="Arial"/>
                      <w:sz w:val="18"/>
                    </w:rPr>
                  </w:pPr>
                </w:p>
              </w:tc>
              <w:tc>
                <w:tcPr>
                  <w:tcW w:w="1305" w:type="dxa"/>
                  <w:vMerge w:val="continue"/>
                  <w:tcBorders>
                    <w:top w:val="nil"/>
                  </w:tcBorders>
                  <w:vAlign w:val="top"/>
                </w:tcPr>
                <w:p>
                  <w:pPr>
                    <w:rPr>
                      <w:rFonts w:ascii="Arial"/>
                      <w:sz w:val="21"/>
                    </w:rPr>
                  </w:pPr>
                </w:p>
              </w:tc>
            </w:tr>
          </w:tbl>
          <w:p>
            <w:pPr>
              <w:pStyle w:val="6"/>
              <w:spacing w:before="203" w:line="220" w:lineRule="auto"/>
              <w:ind w:left="2532"/>
              <w:rPr>
                <w:sz w:val="24"/>
                <w:szCs w:val="24"/>
              </w:rPr>
            </w:pPr>
            <w:r>
              <w:rPr>
                <w:spacing w:val="-2"/>
                <w:sz w:val="24"/>
                <w:szCs w:val="24"/>
                <w14:textOutline w14:w="4354" w14:cap="flat" w14:cmpd="sng">
                  <w14:solidFill>
                    <w14:srgbClr w14:val="000000"/>
                  </w14:solidFill>
                  <w14:prstDash w14:val="solid"/>
                  <w14:miter w14:val="10"/>
                </w14:textOutline>
              </w:rPr>
              <w:t>图</w:t>
            </w:r>
            <w:r>
              <w:rPr>
                <w:spacing w:val="-40"/>
                <w:sz w:val="24"/>
                <w:szCs w:val="24"/>
              </w:rPr>
              <w:t xml:space="preserve"> </w:t>
            </w:r>
            <w:r>
              <w:rPr>
                <w:rFonts w:ascii="Times New Roman" w:hAnsi="Times New Roman" w:eastAsia="Times New Roman" w:cs="Times New Roman"/>
                <w:b/>
                <w:bCs/>
                <w:spacing w:val="-2"/>
                <w:sz w:val="24"/>
                <w:szCs w:val="24"/>
              </w:rPr>
              <w:t xml:space="preserve">2.12-1    </w:t>
            </w:r>
            <w:r>
              <w:rPr>
                <w:spacing w:val="-2"/>
                <w:sz w:val="24"/>
                <w:szCs w:val="24"/>
                <w14:textOutline w14:w="4354" w14:cap="flat" w14:cmpd="sng">
                  <w14:solidFill>
                    <w14:srgbClr w14:val="000000"/>
                  </w14:solidFill>
                  <w14:prstDash w14:val="solid"/>
                  <w14:miter w14:val="10"/>
                </w14:textOutline>
              </w:rPr>
              <w:t>项目施工作业过程示意图</w:t>
            </w:r>
          </w:p>
          <w:p>
            <w:pPr>
              <w:pStyle w:val="6"/>
              <w:spacing w:before="228" w:line="220" w:lineRule="auto"/>
              <w:ind w:left="102"/>
              <w:rPr>
                <w:sz w:val="24"/>
                <w:szCs w:val="24"/>
              </w:rPr>
            </w:pPr>
            <w:r>
              <w:rPr>
                <w:rFonts w:ascii="Times New Roman" w:hAnsi="Times New Roman" w:eastAsia="Times New Roman" w:cs="Times New Roman"/>
                <w:b/>
                <w:bCs/>
                <w:sz w:val="24"/>
                <w:szCs w:val="24"/>
              </w:rPr>
              <w:t xml:space="preserve">2.12.1 </w:t>
            </w:r>
            <w:r>
              <w:rPr>
                <w:sz w:val="24"/>
                <w:szCs w:val="24"/>
                <w14:textOutline w14:w="4354" w14:cap="flat" w14:cmpd="sng">
                  <w14:solidFill>
                    <w14:srgbClr w14:val="000000"/>
                  </w14:solidFill>
                  <w14:prstDash w14:val="solid"/>
                  <w14:miter w14:val="10"/>
                </w14:textOutline>
              </w:rPr>
              <w:t>钻前工程施工工艺</w:t>
            </w:r>
          </w:p>
          <w:p>
            <w:pPr>
              <w:pStyle w:val="6"/>
              <w:spacing w:before="202" w:line="369" w:lineRule="auto"/>
              <w:ind w:left="106" w:right="102" w:firstLine="480"/>
              <w:jc w:val="both"/>
              <w:rPr>
                <w:sz w:val="24"/>
                <w:szCs w:val="24"/>
              </w:rPr>
            </w:pPr>
            <w:r>
              <w:rPr>
                <w:spacing w:val="-1"/>
                <w:sz w:val="24"/>
                <w:szCs w:val="24"/>
              </w:rPr>
              <w:t>本项目钻前工程主要包括新建井场、道路、清洁生产操作平台、应急</w:t>
            </w:r>
            <w:r>
              <w:rPr>
                <w:spacing w:val="-2"/>
                <w:sz w:val="24"/>
                <w:szCs w:val="24"/>
              </w:rPr>
              <w:t>池、燃烧</w:t>
            </w:r>
            <w:r>
              <w:rPr>
                <w:sz w:val="24"/>
                <w:szCs w:val="24"/>
              </w:rPr>
              <w:t xml:space="preserve"> </w:t>
            </w:r>
            <w:r>
              <w:rPr>
                <w:spacing w:val="-7"/>
                <w:sz w:val="24"/>
                <w:szCs w:val="24"/>
              </w:rPr>
              <w:t>池、生活区、设备基础、给排水、供配电等工程， 以及搬运、安装</w:t>
            </w:r>
            <w:r>
              <w:rPr>
                <w:spacing w:val="-8"/>
                <w:sz w:val="24"/>
                <w:szCs w:val="24"/>
              </w:rPr>
              <w:t>钻井设备， 并对</w:t>
            </w:r>
          </w:p>
          <w:p>
            <w:pPr>
              <w:pStyle w:val="6"/>
              <w:spacing w:line="219" w:lineRule="auto"/>
              <w:ind w:right="17"/>
              <w:jc w:val="right"/>
              <w:rPr>
                <w:sz w:val="24"/>
                <w:szCs w:val="24"/>
              </w:rPr>
            </w:pPr>
            <w:r>
              <w:rPr>
                <w:spacing w:val="-8"/>
                <w:sz w:val="24"/>
                <w:szCs w:val="24"/>
              </w:rPr>
              <w:t>设备进行基础防渗， 最后移交钻井队。钻前工程施工作业流程及</w:t>
            </w:r>
            <w:r>
              <w:rPr>
                <w:spacing w:val="-9"/>
                <w:sz w:val="24"/>
                <w:szCs w:val="24"/>
              </w:rPr>
              <w:t>产污环节详见下图。</w:t>
            </w:r>
          </w:p>
          <w:p>
            <w:pPr>
              <w:pStyle w:val="6"/>
              <w:spacing w:before="115" w:line="221" w:lineRule="auto"/>
              <w:ind w:left="305"/>
              <w:rPr>
                <w:sz w:val="20"/>
                <w:szCs w:val="20"/>
              </w:rPr>
            </w:pPr>
            <w:r>
              <w:pict>
                <v:shape id="_x0000_s1084" o:spid="_x0000_s1084" o:spt="202" type="#_x0000_t202" style="position:absolute;left:0pt;margin-left:138.95pt;margin-top:4.7pt;height:39.2pt;width:72.35pt;z-index:251709440;mso-width-relative:page;mso-height-relative:page;" filled="f" stroked="f" coordsize="21600,21600">
                  <v:path/>
                  <v:fill on="f" focussize="0,0"/>
                  <v:stroke on="f"/>
                  <v:imagedata o:title=""/>
                  <o:lock v:ext="edit" aspectratio="f"/>
                  <v:textbox inset="0mm,0mm,0mm,0mm">
                    <w:txbxContent>
                      <w:p>
                        <w:pPr>
                          <w:pStyle w:val="6"/>
                          <w:spacing w:before="20" w:line="221" w:lineRule="auto"/>
                          <w:ind w:left="31"/>
                          <w:rPr>
                            <w:sz w:val="20"/>
                            <w:szCs w:val="20"/>
                          </w:rPr>
                        </w:pPr>
                        <w:r>
                          <w:rPr>
                            <w:spacing w:val="-1"/>
                            <w:sz w:val="20"/>
                            <w:szCs w:val="20"/>
                          </w:rPr>
                          <w:t>临时占地及植被</w:t>
                        </w:r>
                      </w:p>
                      <w:p>
                        <w:pPr>
                          <w:pStyle w:val="6"/>
                          <w:spacing w:before="2" w:line="222" w:lineRule="auto"/>
                          <w:ind w:left="20"/>
                          <w:rPr>
                            <w:sz w:val="20"/>
                            <w:szCs w:val="20"/>
                          </w:rPr>
                        </w:pPr>
                        <w:r>
                          <w:rPr>
                            <w:sz w:val="20"/>
                            <w:szCs w:val="20"/>
                          </w:rPr>
                          <w:t>破坏、施工噪声</w:t>
                        </w:r>
                      </w:p>
                      <w:p>
                        <w:pPr>
                          <w:pStyle w:val="6"/>
                          <w:spacing w:before="19" w:line="222" w:lineRule="auto"/>
                          <w:ind w:left="135"/>
                          <w:rPr>
                            <w:sz w:val="20"/>
                            <w:szCs w:val="20"/>
                          </w:rPr>
                        </w:pPr>
                        <w:r>
                          <w:rPr>
                            <w:spacing w:val="-2"/>
                            <w:sz w:val="20"/>
                            <w:szCs w:val="20"/>
                          </w:rPr>
                          <w:t>、扬尘、废渣</w:t>
                        </w:r>
                      </w:p>
                    </w:txbxContent>
                  </v:textbox>
                </v:shape>
              </w:pict>
            </w:r>
            <w:r>
              <w:rPr>
                <w:spacing w:val="1"/>
                <w:sz w:val="20"/>
                <w:szCs w:val="20"/>
              </w:rPr>
              <w:t>水土流失、临时占地</w:t>
            </w:r>
          </w:p>
          <w:p>
            <w:pPr>
              <w:pStyle w:val="6"/>
              <w:spacing w:before="3" w:line="221" w:lineRule="auto"/>
              <w:ind w:left="302"/>
              <w:rPr>
                <w:sz w:val="20"/>
                <w:szCs w:val="20"/>
              </w:rPr>
            </w:pPr>
            <w:r>
              <w:rPr>
                <w:spacing w:val="1"/>
                <w:sz w:val="20"/>
                <w:szCs w:val="20"/>
              </w:rPr>
              <w:t>及植被破坏、施工噪</w:t>
            </w:r>
          </w:p>
          <w:p>
            <w:pPr>
              <w:pStyle w:val="6"/>
              <w:spacing w:before="21" w:line="222" w:lineRule="auto"/>
              <w:ind w:left="508"/>
              <w:rPr>
                <w:sz w:val="20"/>
                <w:szCs w:val="20"/>
              </w:rPr>
            </w:pPr>
            <w:r>
              <w:pict>
                <v:shape id="_x0000_s1085" o:spid="_x0000_s1085" o:spt="202" type="#_x0000_t202" style="position:absolute;left:0pt;margin-left:276.95pt;margin-top:-1.3pt;height:14.05pt;width:42.1pt;z-index:251702272;mso-width-relative:page;mso-height-relative:page;" filled="f" stroked="f" coordsize="21600,21600">
                  <v:path/>
                  <v:fill on="f" focussize="0,0"/>
                  <v:stroke on="f"/>
                  <v:imagedata o:title=""/>
                  <o:lock v:ext="edit" aspectratio="f"/>
                  <v:textbox inset="0mm,0mm,0mm,0mm">
                    <w:txbxContent>
                      <w:p>
                        <w:pPr>
                          <w:pStyle w:val="6"/>
                          <w:spacing w:before="20" w:line="222" w:lineRule="auto"/>
                          <w:ind w:left="20"/>
                          <w:rPr>
                            <w:sz w:val="20"/>
                            <w:szCs w:val="20"/>
                          </w:rPr>
                        </w:pPr>
                        <w:r>
                          <w:rPr>
                            <w:sz w:val="20"/>
                            <w:szCs w:val="20"/>
                          </w:rPr>
                          <w:t>施工噪声</w:t>
                        </w:r>
                      </w:p>
                    </w:txbxContent>
                  </v:textbox>
                </v:shape>
              </w:pict>
            </w:r>
            <w:r>
              <w:rPr>
                <w:sz w:val="20"/>
                <w:szCs w:val="20"/>
              </w:rPr>
              <w:t>声、扬尘、废渣</w:t>
            </w:r>
          </w:p>
          <w:p>
            <w:pPr>
              <w:spacing w:before="56" w:line="410" w:lineRule="exact"/>
              <w:ind w:left="1145"/>
            </w:pPr>
            <w:r>
              <w:rPr>
                <w:position w:val="-8"/>
              </w:rPr>
              <w:drawing>
                <wp:inline distT="0" distB="0" distL="0" distR="0">
                  <wp:extent cx="79375" cy="2597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99"/>
                          <a:stretch>
                            <a:fillRect/>
                          </a:stretch>
                        </pic:blipFill>
                        <pic:spPr>
                          <a:xfrm>
                            <a:off x="0" y="0"/>
                            <a:ext cx="79667" cy="260246"/>
                          </a:xfrm>
                          <a:prstGeom prst="rect">
                            <a:avLst/>
                          </a:prstGeom>
                        </pic:spPr>
                      </pic:pic>
                    </a:graphicData>
                  </a:graphic>
                </wp:inline>
              </w:drawing>
            </w:r>
          </w:p>
          <w:tbl>
            <w:tblPr>
              <w:tblStyle w:val="5"/>
              <w:tblW w:w="1444" w:type="dxa"/>
              <w:tblInd w:w="48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44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65" w:hRule="atLeast"/>
              </w:trPr>
              <w:tc>
                <w:tcPr>
                  <w:tcW w:w="1444" w:type="dxa"/>
                  <w:vAlign w:val="top"/>
                </w:tcPr>
                <w:p>
                  <w:pPr>
                    <w:pStyle w:val="6"/>
                    <w:spacing w:before="88" w:line="231" w:lineRule="auto"/>
                    <w:ind w:left="114" w:right="115"/>
                    <w:rPr>
                      <w:sz w:val="20"/>
                      <w:szCs w:val="20"/>
                    </w:rPr>
                  </w:pPr>
                  <w:r>
                    <w:rPr>
                      <w:sz w:val="20"/>
                      <w:szCs w:val="20"/>
                    </w:rPr>
                    <w:t>道路建设、井</w:t>
                  </w:r>
                  <w:r>
                    <w:rPr>
                      <w:spacing w:val="3"/>
                      <w:sz w:val="20"/>
                      <w:szCs w:val="20"/>
                    </w:rPr>
                    <w:t xml:space="preserve"> </w:t>
                  </w:r>
                  <w:r>
                    <w:rPr>
                      <w:sz w:val="20"/>
                      <w:szCs w:val="20"/>
                    </w:rPr>
                    <w:t>场平整及硬化</w:t>
                  </w:r>
                </w:p>
              </w:tc>
            </w:tr>
          </w:tbl>
          <w:p>
            <w:pPr>
              <w:pStyle w:val="6"/>
              <w:spacing w:before="203" w:line="220" w:lineRule="auto"/>
              <w:ind w:left="2229"/>
              <w:rPr>
                <w:sz w:val="24"/>
                <w:szCs w:val="24"/>
              </w:rPr>
            </w:pPr>
            <w:r>
              <w:rPr>
                <w:spacing w:val="-1"/>
                <w:sz w:val="24"/>
                <w:szCs w:val="24"/>
                <w14:textOutline w14:w="4354" w14:cap="flat" w14:cmpd="sng">
                  <w14:solidFill>
                    <w14:srgbClr w14:val="000000"/>
                  </w14:solidFill>
                  <w14:prstDash w14:val="solid"/>
                  <w14:miter w14:val="10"/>
                </w14:textOutline>
              </w:rPr>
              <w:t>图</w:t>
            </w:r>
            <w:r>
              <w:rPr>
                <w:spacing w:val="-51"/>
                <w:sz w:val="24"/>
                <w:szCs w:val="24"/>
              </w:rPr>
              <w:t xml:space="preserve"> </w:t>
            </w:r>
            <w:r>
              <w:rPr>
                <w:rFonts w:ascii="Times New Roman" w:hAnsi="Times New Roman" w:eastAsia="Times New Roman" w:cs="Times New Roman"/>
                <w:b/>
                <w:bCs/>
                <w:spacing w:val="-1"/>
                <w:sz w:val="24"/>
                <w:szCs w:val="24"/>
              </w:rPr>
              <w:t xml:space="preserve">2.12-2  </w:t>
            </w:r>
            <w:r>
              <w:rPr>
                <w:spacing w:val="-1"/>
                <w:sz w:val="24"/>
                <w:szCs w:val="24"/>
                <w14:textOutline w14:w="4354" w14:cap="flat" w14:cmpd="sng">
                  <w14:solidFill>
                    <w14:srgbClr w14:val="000000"/>
                  </w14:solidFill>
                  <w14:prstDash w14:val="solid"/>
                  <w14:miter w14:val="10"/>
                </w14:textOutline>
              </w:rPr>
              <w:t>钻前工程作业流程及产</w:t>
            </w:r>
            <w:r>
              <w:rPr>
                <w:spacing w:val="-2"/>
                <w:sz w:val="24"/>
                <w:szCs w:val="24"/>
                <w14:textOutline w14:w="4354" w14:cap="flat" w14:cmpd="sng">
                  <w14:solidFill>
                    <w14:srgbClr w14:val="000000"/>
                  </w14:solidFill>
                  <w14:prstDash w14:val="solid"/>
                  <w14:miter w14:val="10"/>
                </w14:textOutline>
              </w:rPr>
              <w:t>污环节图</w:t>
            </w:r>
          </w:p>
          <w:p>
            <w:pPr>
              <w:pStyle w:val="6"/>
              <w:spacing w:before="197" w:line="369" w:lineRule="auto"/>
              <w:ind w:left="105" w:right="100" w:firstLine="480"/>
              <w:jc w:val="both"/>
              <w:rPr>
                <w:sz w:val="24"/>
                <w:szCs w:val="24"/>
              </w:rPr>
            </w:pPr>
            <w:r>
              <w:rPr>
                <w:spacing w:val="-9"/>
                <w:sz w:val="24"/>
                <w:szCs w:val="24"/>
              </w:rPr>
              <w:t>钻井的井位确定后，</w:t>
            </w:r>
            <w:r>
              <w:rPr>
                <w:spacing w:val="55"/>
                <w:sz w:val="24"/>
                <w:szCs w:val="24"/>
              </w:rPr>
              <w:t xml:space="preserve"> </w:t>
            </w:r>
            <w:r>
              <w:rPr>
                <w:spacing w:val="-9"/>
                <w:sz w:val="24"/>
                <w:szCs w:val="24"/>
              </w:rPr>
              <w:t xml:space="preserve">将修建井场道路，平整井场， </w:t>
            </w:r>
            <w:r>
              <w:rPr>
                <w:spacing w:val="-10"/>
                <w:sz w:val="24"/>
                <w:szCs w:val="24"/>
              </w:rPr>
              <w:t>在此期间会对所租用土地上</w:t>
            </w:r>
            <w:r>
              <w:rPr>
                <w:sz w:val="24"/>
                <w:szCs w:val="24"/>
              </w:rPr>
              <w:t xml:space="preserve"> </w:t>
            </w:r>
            <w:r>
              <w:rPr>
                <w:spacing w:val="-11"/>
                <w:sz w:val="24"/>
                <w:szCs w:val="24"/>
              </w:rPr>
              <w:t>的作物、植被进行清除，</w:t>
            </w:r>
            <w:r>
              <w:rPr>
                <w:spacing w:val="70"/>
                <w:sz w:val="24"/>
                <w:szCs w:val="24"/>
              </w:rPr>
              <w:t xml:space="preserve"> </w:t>
            </w:r>
            <w:r>
              <w:rPr>
                <w:spacing w:val="-11"/>
                <w:sz w:val="24"/>
                <w:szCs w:val="24"/>
              </w:rPr>
              <w:t>利用井场凸起处的土石方和外购连砂石进行填方作业，</w:t>
            </w:r>
            <w:r>
              <w:rPr>
                <w:spacing w:val="55"/>
                <w:sz w:val="24"/>
                <w:szCs w:val="24"/>
              </w:rPr>
              <w:t xml:space="preserve"> </w:t>
            </w:r>
            <w:r>
              <w:rPr>
                <w:spacing w:val="-11"/>
                <w:sz w:val="24"/>
                <w:szCs w:val="24"/>
              </w:rPr>
              <w:t>对</w:t>
            </w:r>
            <w:r>
              <w:rPr>
                <w:sz w:val="24"/>
                <w:szCs w:val="24"/>
              </w:rPr>
              <w:t xml:space="preserve"> </w:t>
            </w:r>
            <w:r>
              <w:rPr>
                <w:spacing w:val="-14"/>
                <w:sz w:val="24"/>
                <w:szCs w:val="24"/>
              </w:rPr>
              <w:t>场地进行平整、硬化；</w:t>
            </w:r>
            <w:r>
              <w:rPr>
                <w:spacing w:val="67"/>
                <w:sz w:val="24"/>
                <w:szCs w:val="24"/>
              </w:rPr>
              <w:t xml:space="preserve"> </w:t>
            </w:r>
            <w:r>
              <w:rPr>
                <w:spacing w:val="-14"/>
                <w:sz w:val="24"/>
                <w:szCs w:val="24"/>
              </w:rPr>
              <w:t>井场及井场道路建好后， 再将钻井设备运到井场安装，</w:t>
            </w:r>
            <w:r>
              <w:rPr>
                <w:spacing w:val="56"/>
                <w:sz w:val="24"/>
                <w:szCs w:val="24"/>
              </w:rPr>
              <w:t xml:space="preserve"> </w:t>
            </w:r>
            <w:r>
              <w:rPr>
                <w:spacing w:val="-14"/>
                <w:sz w:val="24"/>
                <w:szCs w:val="24"/>
              </w:rPr>
              <w:t>井场</w:t>
            </w:r>
            <w:r>
              <w:rPr>
                <w:sz w:val="24"/>
                <w:szCs w:val="24"/>
              </w:rPr>
              <w:t xml:space="preserve"> </w:t>
            </w:r>
            <w:r>
              <w:rPr>
                <w:spacing w:val="-1"/>
                <w:sz w:val="24"/>
                <w:szCs w:val="24"/>
              </w:rPr>
              <w:t>设备几天内即可安装完毕。井场及井场道路建设的主要环境影响是占用土地并造成</w:t>
            </w:r>
            <w:r>
              <w:rPr>
                <w:spacing w:val="3"/>
                <w:sz w:val="24"/>
                <w:szCs w:val="24"/>
              </w:rPr>
              <w:t xml:space="preserve"> </w:t>
            </w:r>
            <w:r>
              <w:rPr>
                <w:spacing w:val="-6"/>
                <w:sz w:val="24"/>
                <w:szCs w:val="24"/>
              </w:rPr>
              <w:t>地表土壤和植被、作物的破坏，</w:t>
            </w:r>
            <w:r>
              <w:rPr>
                <w:spacing w:val="65"/>
                <w:sz w:val="24"/>
                <w:szCs w:val="24"/>
              </w:rPr>
              <w:t xml:space="preserve"> </w:t>
            </w:r>
            <w:r>
              <w:rPr>
                <w:spacing w:val="-6"/>
                <w:sz w:val="24"/>
                <w:szCs w:val="24"/>
              </w:rPr>
              <w:t>处置不当还可能造成水土流失。本项目在钻前施工</w:t>
            </w:r>
          </w:p>
          <w:p>
            <w:pPr>
              <w:pStyle w:val="6"/>
              <w:spacing w:line="219" w:lineRule="auto"/>
              <w:ind w:left="108"/>
              <w:rPr>
                <w:sz w:val="24"/>
                <w:szCs w:val="24"/>
              </w:rPr>
            </w:pPr>
            <w:r>
              <w:rPr>
                <w:spacing w:val="-2"/>
                <w:sz w:val="24"/>
                <w:szCs w:val="24"/>
              </w:rPr>
              <w:t>期间，影响环境的阶段主要是在井场道路和井场的建设阶段。</w:t>
            </w:r>
          </w:p>
          <w:p>
            <w:pPr>
              <w:pStyle w:val="6"/>
              <w:spacing w:before="195" w:line="220" w:lineRule="auto"/>
              <w:ind w:left="594"/>
              <w:rPr>
                <w:sz w:val="24"/>
                <w:szCs w:val="24"/>
              </w:rPr>
            </w:pP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、井场工程</w:t>
            </w:r>
          </w:p>
          <w:p>
            <w:pPr>
              <w:pStyle w:val="6"/>
              <w:spacing w:before="195" w:line="220" w:lineRule="auto"/>
              <w:ind w:left="592"/>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）主要建构筑物</w:t>
            </w:r>
          </w:p>
          <w:p>
            <w:pPr>
              <w:pStyle w:val="6"/>
              <w:spacing w:before="194" w:line="369" w:lineRule="auto"/>
              <w:ind w:left="110" w:right="101" w:firstLine="478"/>
              <w:jc w:val="both"/>
              <w:rPr>
                <w:sz w:val="24"/>
                <w:szCs w:val="24"/>
              </w:rPr>
            </w:pPr>
            <w:r>
              <w:rPr>
                <w:spacing w:val="-2"/>
                <w:sz w:val="24"/>
                <w:szCs w:val="24"/>
              </w:rPr>
              <w:t xml:space="preserve">工程新建井场规格为 </w:t>
            </w:r>
            <w:r>
              <w:rPr>
                <w:rFonts w:ascii="Times New Roman" w:hAnsi="Times New Roman" w:eastAsia="Times New Roman" w:cs="Times New Roman"/>
                <w:spacing w:val="-2"/>
                <w:sz w:val="24"/>
                <w:szCs w:val="24"/>
              </w:rPr>
              <w:t>115m×55m</w:t>
            </w:r>
            <w:r>
              <w:rPr>
                <w:spacing w:val="-2"/>
                <w:sz w:val="24"/>
                <w:szCs w:val="24"/>
              </w:rPr>
              <w:t xml:space="preserve">，井场占地进行严格放线，井场外北侧新建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3"/>
                <w:sz w:val="24"/>
                <w:szCs w:val="24"/>
              </w:rPr>
              <w:t xml:space="preserve"> </w:t>
            </w:r>
            <w:r>
              <w:rPr>
                <w:sz w:val="24"/>
                <w:szCs w:val="24"/>
              </w:rPr>
              <w:t>处清洁生产操作平台（</w:t>
            </w:r>
            <w:r>
              <w:rPr>
                <w:rFonts w:ascii="Times New Roman" w:hAnsi="Times New Roman" w:eastAsia="Times New Roman" w:cs="Times New Roman"/>
                <w:sz w:val="24"/>
                <w:szCs w:val="24"/>
              </w:rPr>
              <w:t>450m</w:t>
            </w:r>
            <w:r>
              <w:rPr>
                <w:rFonts w:ascii="Times New Roman" w:hAnsi="Times New Roman" w:eastAsia="Times New Roman" w:cs="Times New Roman"/>
                <w:position w:val="9"/>
                <w:sz w:val="16"/>
                <w:szCs w:val="16"/>
              </w:rPr>
              <w:t xml:space="preserve">2 </w:t>
            </w:r>
            <w:r>
              <w:rPr>
                <w:sz w:val="24"/>
                <w:szCs w:val="24"/>
              </w:rPr>
              <w:t>）。井场场区设计清污分流系统，可及时对雨水进行</w:t>
            </w:r>
          </w:p>
          <w:p>
            <w:pPr>
              <w:pStyle w:val="6"/>
              <w:spacing w:before="1" w:line="218" w:lineRule="auto"/>
              <w:ind w:left="112"/>
              <w:rPr>
                <w:sz w:val="24"/>
                <w:szCs w:val="24"/>
              </w:rPr>
            </w:pPr>
            <w:r>
              <w:rPr>
                <w:spacing w:val="-3"/>
                <w:sz w:val="24"/>
                <w:szCs w:val="24"/>
              </w:rPr>
              <w:t>导流。本项目在井场外南侧新建</w:t>
            </w:r>
            <w:r>
              <w:rPr>
                <w:spacing w:val="-48"/>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1"/>
                <w:w w:val="101"/>
                <w:position w:val="9"/>
                <w:sz w:val="16"/>
                <w:szCs w:val="16"/>
              </w:rPr>
              <w:t xml:space="preserve"> </w:t>
            </w:r>
            <w:r>
              <w:rPr>
                <w:spacing w:val="-3"/>
                <w:sz w:val="24"/>
                <w:szCs w:val="24"/>
              </w:rPr>
              <w:t>应急池</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座，应急池采用地陷式修建方</w:t>
            </w:r>
            <w:r>
              <w:rPr>
                <w:spacing w:val="-4"/>
                <w:sz w:val="24"/>
                <w:szCs w:val="24"/>
              </w:rPr>
              <w:t>式；</w:t>
            </w:r>
          </w:p>
        </w:tc>
      </w:tr>
    </w:tbl>
    <w:p>
      <w:pPr>
        <w:pStyle w:val="2"/>
        <w:rPr>
          <w:sz w:val="21"/>
        </w:rPr>
      </w:pPr>
    </w:p>
    <w:p>
      <w:pPr>
        <w:rPr>
          <w:sz w:val="21"/>
          <w:szCs w:val="21"/>
        </w:rPr>
        <w:sectPr>
          <w:footerReference r:id="rId50"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9" w:right="35" w:hanging="3"/>
              <w:jc w:val="both"/>
              <w:rPr>
                <w:sz w:val="24"/>
                <w:szCs w:val="24"/>
              </w:rPr>
            </w:pPr>
            <w:r>
              <w:rPr>
                <w:spacing w:val="-5"/>
                <w:sz w:val="24"/>
                <w:szCs w:val="24"/>
              </w:rPr>
              <w:t>井场外北侧设</w:t>
            </w:r>
            <w:r>
              <w:rPr>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spacing w:val="-5"/>
                <w:sz w:val="24"/>
                <w:szCs w:val="24"/>
              </w:rPr>
              <w:t>处油罐、水罐区（占地面积</w:t>
            </w:r>
            <w:r>
              <w:rPr>
                <w:spacing w:val="-38"/>
                <w:sz w:val="24"/>
                <w:szCs w:val="24"/>
              </w:rPr>
              <w:t xml:space="preserve"> </w:t>
            </w:r>
            <w:r>
              <w:rPr>
                <w:rFonts w:ascii="Times New Roman" w:hAnsi="Times New Roman" w:eastAsia="Times New Roman" w:cs="Times New Roman"/>
                <w:spacing w:val="-5"/>
                <w:sz w:val="24"/>
                <w:szCs w:val="24"/>
              </w:rPr>
              <w:t>200m</w:t>
            </w:r>
            <w:r>
              <w:rPr>
                <w:rFonts w:ascii="Times New Roman" w:hAnsi="Times New Roman" w:eastAsia="Times New Roman" w:cs="Times New Roman"/>
                <w:spacing w:val="-5"/>
                <w:position w:val="9"/>
                <w:sz w:val="16"/>
                <w:szCs w:val="16"/>
              </w:rPr>
              <w:t xml:space="preserve">2 </w:t>
            </w:r>
            <w:r>
              <w:rPr>
                <w:spacing w:val="-39"/>
                <w:sz w:val="24"/>
                <w:szCs w:val="24"/>
              </w:rPr>
              <w:t>）；</w:t>
            </w:r>
            <w:r>
              <w:rPr>
                <w:spacing w:val="-5"/>
                <w:sz w:val="24"/>
                <w:szCs w:val="24"/>
              </w:rPr>
              <w:t>另外井</w:t>
            </w:r>
            <w:r>
              <w:rPr>
                <w:spacing w:val="-6"/>
                <w:sz w:val="24"/>
                <w:szCs w:val="24"/>
              </w:rPr>
              <w:t>场外新建燃烧池</w:t>
            </w:r>
            <w:r>
              <w:rPr>
                <w:spacing w:val="-55"/>
                <w:sz w:val="24"/>
                <w:szCs w:val="24"/>
              </w:rPr>
              <w:t xml:space="preserve"> </w:t>
            </w:r>
            <w:r>
              <w:rPr>
                <w:rFonts w:ascii="Times New Roman" w:hAnsi="Times New Roman" w:eastAsia="Times New Roman" w:cs="Times New Roman"/>
                <w:spacing w:val="-6"/>
                <w:sz w:val="24"/>
                <w:szCs w:val="24"/>
              </w:rPr>
              <w:t xml:space="preserve">2 </w:t>
            </w:r>
            <w:r>
              <w:rPr>
                <w:spacing w:val="-6"/>
                <w:sz w:val="24"/>
                <w:szCs w:val="24"/>
              </w:rPr>
              <w:t>座，</w:t>
            </w:r>
            <w:r>
              <w:rPr>
                <w:sz w:val="24"/>
                <w:szCs w:val="24"/>
              </w:rPr>
              <w:t xml:space="preserve"> </w:t>
            </w:r>
            <w:r>
              <w:rPr>
                <w:spacing w:val="-2"/>
                <w:sz w:val="24"/>
                <w:szCs w:val="24"/>
              </w:rPr>
              <w:t>设置有三面墙，燃烧池规格均为</w:t>
            </w:r>
            <w:r>
              <w:rPr>
                <w:spacing w:val="-26"/>
                <w:sz w:val="24"/>
                <w:szCs w:val="24"/>
              </w:rPr>
              <w:t xml:space="preserve"> </w:t>
            </w:r>
            <w:r>
              <w:rPr>
                <w:rFonts w:ascii="Times New Roman" w:hAnsi="Times New Roman" w:eastAsia="Times New Roman" w:cs="Times New Roman"/>
                <w:spacing w:val="-2"/>
                <w:sz w:val="24"/>
                <w:szCs w:val="24"/>
              </w:rPr>
              <w:t>13m</w:t>
            </w:r>
            <w:r>
              <w:rPr>
                <w:spacing w:val="-2"/>
                <w:sz w:val="24"/>
                <w:szCs w:val="24"/>
              </w:rPr>
              <w:t>×</w:t>
            </w:r>
            <w:r>
              <w:rPr>
                <w:rFonts w:ascii="Times New Roman" w:hAnsi="Times New Roman" w:eastAsia="Times New Roman" w:cs="Times New Roman"/>
                <w:spacing w:val="-2"/>
                <w:sz w:val="24"/>
                <w:szCs w:val="24"/>
              </w:rPr>
              <w:t>8m</w:t>
            </w:r>
            <w:r>
              <w:rPr>
                <w:spacing w:val="-2"/>
                <w:sz w:val="24"/>
                <w:szCs w:val="24"/>
              </w:rPr>
              <w:t>×</w:t>
            </w:r>
            <w:r>
              <w:rPr>
                <w:rFonts w:ascii="Times New Roman" w:hAnsi="Times New Roman" w:eastAsia="Times New Roman" w:cs="Times New Roman"/>
                <w:spacing w:val="-2"/>
                <w:sz w:val="24"/>
                <w:szCs w:val="24"/>
              </w:rPr>
              <w:t>3.5m</w:t>
            </w:r>
            <w:r>
              <w:rPr>
                <w:spacing w:val="-2"/>
                <w:sz w:val="24"/>
                <w:szCs w:val="24"/>
              </w:rPr>
              <w:t>，并相应配</w:t>
            </w:r>
            <w:r>
              <w:rPr>
                <w:spacing w:val="-40"/>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
                <w:sz w:val="24"/>
                <w:szCs w:val="24"/>
              </w:rPr>
              <w:t>0m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1"/>
                <w:w w:val="102"/>
                <w:position w:val="9"/>
                <w:sz w:val="16"/>
                <w:szCs w:val="16"/>
              </w:rPr>
              <w:t xml:space="preserve"> </w:t>
            </w:r>
            <w:r>
              <w:rPr>
                <w:spacing w:val="-3"/>
                <w:sz w:val="24"/>
                <w:szCs w:val="24"/>
              </w:rPr>
              <w:t>集酸池</w:t>
            </w:r>
            <w:r>
              <w:rPr>
                <w:spacing w:val="-29"/>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座；井</w:t>
            </w:r>
          </w:p>
          <w:p>
            <w:pPr>
              <w:pStyle w:val="6"/>
              <w:spacing w:line="232" w:lineRule="auto"/>
              <w:ind w:left="105"/>
              <w:rPr>
                <w:sz w:val="24"/>
                <w:szCs w:val="24"/>
              </w:rPr>
            </w:pPr>
            <w:r>
              <w:rPr>
                <w:spacing w:val="-3"/>
                <w:sz w:val="24"/>
                <w:szCs w:val="24"/>
              </w:rPr>
              <w:t>场外东侧新建</w:t>
            </w:r>
            <w:r>
              <w:rPr>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spacing w:val="-3"/>
                <w:sz w:val="24"/>
                <w:szCs w:val="24"/>
              </w:rPr>
              <w:t>处泥浆储备罐区（</w:t>
            </w:r>
            <w:r>
              <w:rPr>
                <w:rFonts w:ascii="Times New Roman" w:hAnsi="Times New Roman" w:eastAsia="Times New Roman" w:cs="Times New Roman"/>
                <w:spacing w:val="-3"/>
                <w:sz w:val="24"/>
                <w:szCs w:val="24"/>
              </w:rPr>
              <w:t>200m</w:t>
            </w:r>
            <w:r>
              <w:rPr>
                <w:rFonts w:ascii="Times New Roman" w:hAnsi="Times New Roman" w:eastAsia="Times New Roman" w:cs="Times New Roman"/>
                <w:spacing w:val="-3"/>
                <w:position w:val="9"/>
                <w:sz w:val="16"/>
                <w:szCs w:val="16"/>
              </w:rPr>
              <w:t>2</w:t>
            </w:r>
            <w:r>
              <w:rPr>
                <w:spacing w:val="-34"/>
                <w:sz w:val="24"/>
                <w:szCs w:val="24"/>
              </w:rPr>
              <w:t>），</w:t>
            </w:r>
            <w:r>
              <w:rPr>
                <w:spacing w:val="-17"/>
                <w:sz w:val="24"/>
                <w:szCs w:val="24"/>
              </w:rPr>
              <w:t xml:space="preserve"> </w:t>
            </w:r>
            <w:r>
              <w:rPr>
                <w:spacing w:val="-3"/>
                <w:sz w:val="24"/>
                <w:szCs w:val="24"/>
              </w:rPr>
              <w:t>以及在井场外</w:t>
            </w:r>
            <w:r>
              <w:rPr>
                <w:spacing w:val="-4"/>
                <w:sz w:val="24"/>
                <w:szCs w:val="24"/>
              </w:rPr>
              <w:t>北侧设置活动板房等。</w:t>
            </w:r>
          </w:p>
          <w:p>
            <w:pPr>
              <w:pStyle w:val="6"/>
              <w:spacing w:before="177" w:line="220" w:lineRule="auto"/>
              <w:ind w:left="592"/>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）分区防渗</w:t>
            </w:r>
          </w:p>
          <w:p>
            <w:pPr>
              <w:pStyle w:val="6"/>
              <w:spacing w:before="196" w:line="369" w:lineRule="auto"/>
              <w:ind w:left="106" w:right="36" w:firstLine="479"/>
              <w:rPr>
                <w:sz w:val="24"/>
                <w:szCs w:val="24"/>
              </w:rPr>
            </w:pPr>
            <w:r>
              <w:rPr>
                <w:spacing w:val="-1"/>
                <w:sz w:val="24"/>
                <w:szCs w:val="24"/>
              </w:rPr>
              <w:t>根据《石油化工工程防渗技术规范》（</w:t>
            </w:r>
            <w:r>
              <w:rPr>
                <w:rFonts w:ascii="Times New Roman" w:hAnsi="Times New Roman" w:eastAsia="Times New Roman" w:cs="Times New Roman"/>
                <w:spacing w:val="-1"/>
                <w:sz w:val="24"/>
                <w:szCs w:val="24"/>
              </w:rPr>
              <w:t>GB/T50934-</w:t>
            </w:r>
            <w:r>
              <w:rPr>
                <w:rFonts w:ascii="Times New Roman" w:hAnsi="Times New Roman" w:eastAsia="Times New Roman" w:cs="Times New Roman"/>
                <w:spacing w:val="-2"/>
                <w:sz w:val="24"/>
                <w:szCs w:val="24"/>
              </w:rPr>
              <w:t>2013</w:t>
            </w:r>
            <w:r>
              <w:rPr>
                <w:spacing w:val="-5"/>
                <w:sz w:val="24"/>
                <w:szCs w:val="24"/>
              </w:rPr>
              <w:t>），</w:t>
            </w:r>
            <w:r>
              <w:rPr>
                <w:spacing w:val="-2"/>
                <w:sz w:val="24"/>
                <w:szCs w:val="24"/>
              </w:rPr>
              <w:t>本项目通过采取分</w:t>
            </w:r>
            <w:r>
              <w:rPr>
                <w:spacing w:val="1"/>
                <w:sz w:val="24"/>
                <w:szCs w:val="24"/>
              </w:rPr>
              <w:t xml:space="preserve"> </w:t>
            </w:r>
            <w:r>
              <w:rPr>
                <w:spacing w:val="-9"/>
                <w:sz w:val="24"/>
                <w:szCs w:val="24"/>
              </w:rPr>
              <w:t>区防渗措施， 加强井场防渗等级，</w:t>
            </w:r>
            <w:r>
              <w:rPr>
                <w:spacing w:val="60"/>
                <w:sz w:val="24"/>
                <w:szCs w:val="24"/>
              </w:rPr>
              <w:t xml:space="preserve"> </w:t>
            </w:r>
            <w:r>
              <w:rPr>
                <w:spacing w:val="-9"/>
                <w:sz w:val="24"/>
                <w:szCs w:val="24"/>
              </w:rPr>
              <w:t>避免钻井过程污染物入渗土壤及地下水环境。按</w:t>
            </w:r>
            <w:r>
              <w:rPr>
                <w:sz w:val="24"/>
                <w:szCs w:val="24"/>
              </w:rPr>
              <w:t xml:space="preserve"> </w:t>
            </w:r>
            <w:r>
              <w:rPr>
                <w:spacing w:val="-5"/>
                <w:sz w:val="24"/>
                <w:szCs w:val="24"/>
              </w:rPr>
              <w:t>照《石油化工工程防渗技术规范》（</w:t>
            </w:r>
            <w:r>
              <w:rPr>
                <w:rFonts w:ascii="Times New Roman" w:hAnsi="Times New Roman" w:eastAsia="Times New Roman" w:cs="Times New Roman"/>
                <w:spacing w:val="-5"/>
                <w:sz w:val="24"/>
                <w:szCs w:val="24"/>
              </w:rPr>
              <w:t>GB/T50934-2013</w:t>
            </w:r>
            <w:r>
              <w:rPr>
                <w:spacing w:val="-6"/>
                <w:sz w:val="24"/>
                <w:szCs w:val="24"/>
              </w:rPr>
              <w:t>）标准中典型污染防治分区表，</w:t>
            </w:r>
            <w:r>
              <w:rPr>
                <w:sz w:val="24"/>
                <w:szCs w:val="24"/>
              </w:rPr>
              <w:t xml:space="preserve"> </w:t>
            </w:r>
            <w:r>
              <w:rPr>
                <w:spacing w:val="-1"/>
                <w:sz w:val="24"/>
                <w:szCs w:val="24"/>
              </w:rPr>
              <w:t>工程分为重点防渗区（含井场内井口、井架及设备基础区域、泥浆循环系统区、泥</w:t>
            </w:r>
            <w:r>
              <w:rPr>
                <w:sz w:val="24"/>
                <w:szCs w:val="24"/>
              </w:rPr>
              <w:t xml:space="preserve"> </w:t>
            </w:r>
            <w:r>
              <w:rPr>
                <w:spacing w:val="-1"/>
                <w:sz w:val="24"/>
                <w:szCs w:val="24"/>
              </w:rPr>
              <w:t>浆材料堆存区、油水罐区、应急池、燃烧池、集酸池、清洁生产操作平台、泥浆储</w:t>
            </w:r>
            <w:r>
              <w:rPr>
                <w:sz w:val="24"/>
                <w:szCs w:val="24"/>
              </w:rPr>
              <w:t xml:space="preserve"> </w:t>
            </w:r>
            <w:r>
              <w:rPr>
                <w:spacing w:val="-1"/>
                <w:sz w:val="24"/>
                <w:szCs w:val="24"/>
              </w:rPr>
              <w:t>备罐区、隔油池、集液池等）、一般防渗区（井场部分非设备基础区（包括清污分</w:t>
            </w:r>
            <w:r>
              <w:rPr>
                <w:spacing w:val="3"/>
                <w:sz w:val="24"/>
                <w:szCs w:val="24"/>
              </w:rPr>
              <w:t xml:space="preserve"> </w:t>
            </w:r>
            <w:r>
              <w:rPr>
                <w:spacing w:val="-2"/>
                <w:sz w:val="24"/>
                <w:szCs w:val="24"/>
              </w:rPr>
              <w:t>流排水沟）、环保厕所）和简单防渗区（除重点防渗区和一般防渗区外的区域</w:t>
            </w:r>
            <w:r>
              <w:rPr>
                <w:spacing w:val="4"/>
                <w:sz w:val="24"/>
                <w:szCs w:val="24"/>
              </w:rPr>
              <w:t>），</w:t>
            </w:r>
          </w:p>
          <w:p>
            <w:pPr>
              <w:pStyle w:val="6"/>
              <w:spacing w:line="219" w:lineRule="auto"/>
              <w:ind w:left="108"/>
              <w:rPr>
                <w:sz w:val="24"/>
                <w:szCs w:val="24"/>
              </w:rPr>
            </w:pPr>
            <w:r>
              <w:rPr>
                <w:spacing w:val="-5"/>
                <w:sz w:val="24"/>
                <w:szCs w:val="24"/>
              </w:rPr>
              <w:t>各个防渗分区具体防渗要求如下：</w:t>
            </w:r>
          </w:p>
          <w:p>
            <w:pPr>
              <w:pStyle w:val="6"/>
              <w:spacing w:before="195" w:line="217" w:lineRule="auto"/>
              <w:ind w:left="584"/>
              <w:rPr>
                <w:sz w:val="24"/>
                <w:szCs w:val="24"/>
              </w:rPr>
            </w:pPr>
            <w:r>
              <w:rPr>
                <w:spacing w:val="-1"/>
                <w:sz w:val="24"/>
                <w:szCs w:val="24"/>
              </w:rPr>
              <w:t>①重点</w:t>
            </w:r>
            <w:r>
              <w:rPr>
                <w:rFonts w:hint="eastAsia" w:ascii="宋体" w:hAnsi="宋体" w:eastAsia="宋体" w:cs="宋体"/>
                <w:spacing w:val="-4"/>
                <w:sz w:val="24"/>
                <w:szCs w:val="24"/>
              </w:rPr>
              <w:t>污染防治</w:t>
            </w:r>
            <w:r>
              <w:rPr>
                <w:spacing w:val="-1"/>
                <w:sz w:val="24"/>
                <w:szCs w:val="24"/>
              </w:rPr>
              <w:t>区</w:t>
            </w:r>
          </w:p>
          <w:p>
            <w:pPr>
              <w:pStyle w:val="6"/>
              <w:spacing w:before="198" w:line="480" w:lineRule="exact"/>
              <w:ind w:left="585"/>
              <w:rPr>
                <w:sz w:val="24"/>
                <w:szCs w:val="24"/>
              </w:rPr>
            </w:pPr>
            <w:r>
              <w:rPr>
                <w:spacing w:val="-1"/>
                <w:position w:val="18"/>
                <w:sz w:val="24"/>
                <w:szCs w:val="24"/>
              </w:rPr>
              <w:t>根据《石油化工工程防渗技术规范》（</w:t>
            </w:r>
            <w:r>
              <w:rPr>
                <w:rFonts w:ascii="Times New Roman" w:hAnsi="Times New Roman" w:eastAsia="Times New Roman" w:cs="Times New Roman"/>
                <w:spacing w:val="-1"/>
                <w:position w:val="18"/>
                <w:sz w:val="24"/>
                <w:szCs w:val="24"/>
              </w:rPr>
              <w:t>GB/T50934-</w:t>
            </w:r>
            <w:r>
              <w:rPr>
                <w:rFonts w:ascii="Times New Roman" w:hAnsi="Times New Roman" w:eastAsia="Times New Roman" w:cs="Times New Roman"/>
                <w:spacing w:val="-2"/>
                <w:position w:val="18"/>
                <w:sz w:val="24"/>
                <w:szCs w:val="24"/>
              </w:rPr>
              <w:t>2013</w:t>
            </w:r>
            <w:r>
              <w:rPr>
                <w:spacing w:val="-5"/>
                <w:position w:val="18"/>
                <w:sz w:val="24"/>
                <w:szCs w:val="24"/>
              </w:rPr>
              <w:t>），</w:t>
            </w:r>
            <w:r>
              <w:rPr>
                <w:spacing w:val="-2"/>
                <w:position w:val="18"/>
                <w:sz w:val="24"/>
                <w:szCs w:val="24"/>
              </w:rPr>
              <w:t>重点污染防治区防</w:t>
            </w:r>
          </w:p>
          <w:p>
            <w:pPr>
              <w:pStyle w:val="6"/>
              <w:spacing w:line="233" w:lineRule="auto"/>
              <w:ind w:left="106"/>
              <w:rPr>
                <w:sz w:val="24"/>
                <w:szCs w:val="24"/>
              </w:rPr>
            </w:pPr>
            <w:r>
              <w:rPr>
                <w:spacing w:val="-2"/>
                <w:sz w:val="24"/>
                <w:szCs w:val="24"/>
              </w:rPr>
              <w:t>渗要求：等效黏土防渗层厚度大于等于</w:t>
            </w:r>
            <w:r>
              <w:rPr>
                <w:spacing w:val="-49"/>
                <w:sz w:val="24"/>
                <w:szCs w:val="24"/>
              </w:rPr>
              <w:t xml:space="preserve"> </w:t>
            </w:r>
            <w:r>
              <w:rPr>
                <w:rFonts w:ascii="Times New Roman" w:hAnsi="Times New Roman" w:eastAsia="Times New Roman" w:cs="Times New Roman"/>
                <w:spacing w:val="-2"/>
                <w:sz w:val="24"/>
                <w:szCs w:val="24"/>
              </w:rPr>
              <w:t>6m</w:t>
            </w:r>
            <w:r>
              <w:rPr>
                <w:spacing w:val="-2"/>
                <w:sz w:val="24"/>
                <w:szCs w:val="24"/>
              </w:rPr>
              <w:t xml:space="preserve">，渗透系数小于等于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9"/>
                <w:sz w:val="16"/>
                <w:szCs w:val="16"/>
              </w:rPr>
              <w:t>-7</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m/s</w:t>
            </w:r>
            <w:r>
              <w:rPr>
                <w:spacing w:val="-3"/>
                <w:sz w:val="24"/>
                <w:szCs w:val="24"/>
              </w:rPr>
              <w:t>。</w:t>
            </w:r>
          </w:p>
          <w:p>
            <w:pPr>
              <w:pStyle w:val="6"/>
              <w:spacing w:before="177" w:line="219" w:lineRule="auto"/>
              <w:ind w:left="585"/>
              <w:rPr>
                <w:sz w:val="24"/>
                <w:szCs w:val="24"/>
              </w:rPr>
            </w:pPr>
            <w:r>
              <w:rPr>
                <w:spacing w:val="-1"/>
                <w:sz w:val="24"/>
                <w:szCs w:val="24"/>
              </w:rPr>
              <w:t>井口区采用水泥基渗透结晶型防渗层</w:t>
            </w:r>
            <w:r>
              <w:rPr>
                <w:rFonts w:ascii="Times New Roman" w:hAnsi="Times New Roman" w:eastAsia="Times New Roman" w:cs="Times New Roman"/>
                <w:spacing w:val="-1"/>
                <w:sz w:val="24"/>
                <w:szCs w:val="24"/>
              </w:rPr>
              <w:t xml:space="preserve">+C30 </w:t>
            </w:r>
            <w:r>
              <w:rPr>
                <w:spacing w:val="-1"/>
                <w:sz w:val="24"/>
                <w:szCs w:val="24"/>
              </w:rPr>
              <w:t>抗渗（</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2"/>
                <w:sz w:val="24"/>
                <w:szCs w:val="24"/>
              </w:rPr>
              <w:t>8</w:t>
            </w:r>
            <w:r>
              <w:rPr>
                <w:spacing w:val="-2"/>
                <w:sz w:val="24"/>
                <w:szCs w:val="24"/>
              </w:rPr>
              <w:t>）混凝土。</w:t>
            </w:r>
          </w:p>
          <w:p>
            <w:pPr>
              <w:pStyle w:val="6"/>
              <w:spacing w:before="196" w:line="369" w:lineRule="auto"/>
              <w:ind w:left="100" w:right="101" w:firstLine="484"/>
              <w:rPr>
                <w:sz w:val="24"/>
                <w:szCs w:val="24"/>
              </w:rPr>
            </w:pPr>
            <w:r>
              <w:rPr>
                <w:spacing w:val="-2"/>
                <w:sz w:val="24"/>
                <w:szCs w:val="24"/>
              </w:rPr>
              <w:t>井架、设备基础区泥浆材料堆存区、循环系统区域采用</w:t>
            </w:r>
            <w:r>
              <w:rPr>
                <w:spacing w:val="-34"/>
                <w:sz w:val="24"/>
                <w:szCs w:val="24"/>
              </w:rPr>
              <w:t xml:space="preserve"> </w:t>
            </w:r>
            <w:r>
              <w:rPr>
                <w:rFonts w:ascii="Times New Roman" w:hAnsi="Times New Roman" w:eastAsia="Times New Roman" w:cs="Times New Roman"/>
                <w:spacing w:val="-2"/>
                <w:sz w:val="24"/>
                <w:szCs w:val="24"/>
              </w:rPr>
              <w:t>30cm</w:t>
            </w:r>
            <w:r>
              <w:rPr>
                <w:rFonts w:ascii="Times New Roman" w:hAnsi="Times New Roman" w:eastAsia="Times New Roman" w:cs="Times New Roman"/>
                <w:spacing w:val="15"/>
                <w:w w:val="101"/>
                <w:sz w:val="24"/>
                <w:szCs w:val="24"/>
              </w:rPr>
              <w:t xml:space="preserve"> </w:t>
            </w:r>
            <w:r>
              <w:rPr>
                <w:spacing w:val="-2"/>
                <w:sz w:val="24"/>
                <w:szCs w:val="24"/>
              </w:rPr>
              <w:t>厚</w:t>
            </w:r>
            <w:r>
              <w:rPr>
                <w:spacing w:val="-52"/>
                <w:sz w:val="24"/>
                <w:szCs w:val="24"/>
              </w:rPr>
              <w:t xml:space="preserve"> </w:t>
            </w:r>
            <w:r>
              <w:rPr>
                <w:rFonts w:ascii="Times New Roman" w:hAnsi="Times New Roman" w:eastAsia="Times New Roman" w:cs="Times New Roman"/>
                <w:spacing w:val="-2"/>
                <w:sz w:val="24"/>
                <w:szCs w:val="24"/>
              </w:rPr>
              <w:t>C25</w:t>
            </w:r>
            <w:r>
              <w:rPr>
                <w:rFonts w:ascii="Times New Roman" w:hAnsi="Times New Roman" w:eastAsia="Times New Roman" w:cs="Times New Roman"/>
                <w:spacing w:val="16"/>
                <w:sz w:val="24"/>
                <w:szCs w:val="24"/>
              </w:rPr>
              <w:t xml:space="preserve"> </w:t>
            </w:r>
            <w:r>
              <w:rPr>
                <w:spacing w:val="-2"/>
                <w:sz w:val="24"/>
                <w:szCs w:val="24"/>
              </w:rPr>
              <w:t>混凝土层</w:t>
            </w:r>
            <w:r>
              <w:rPr>
                <w:sz w:val="24"/>
                <w:szCs w:val="24"/>
              </w:rPr>
              <w:t xml:space="preserve"> </w:t>
            </w:r>
            <w:r>
              <w:rPr>
                <w:rFonts w:ascii="Times New Roman" w:hAnsi="Times New Roman" w:eastAsia="Times New Roman" w:cs="Times New Roman"/>
                <w:spacing w:val="-10"/>
                <w:sz w:val="24"/>
                <w:szCs w:val="24"/>
              </w:rPr>
              <w:t>+C25</w:t>
            </w:r>
            <w:r>
              <w:rPr>
                <w:rFonts w:ascii="Times New Roman" w:hAnsi="Times New Roman" w:eastAsia="Times New Roman" w:cs="Times New Roman"/>
                <w:spacing w:val="15"/>
                <w:w w:val="101"/>
                <w:sz w:val="24"/>
                <w:szCs w:val="24"/>
              </w:rPr>
              <w:t xml:space="preserve"> </w:t>
            </w:r>
            <w:r>
              <w:rPr>
                <w:spacing w:val="-10"/>
                <w:sz w:val="24"/>
                <w:szCs w:val="24"/>
              </w:rPr>
              <w:t>片石混凝土；</w:t>
            </w:r>
            <w:r>
              <w:rPr>
                <w:spacing w:val="27"/>
                <w:sz w:val="24"/>
                <w:szCs w:val="24"/>
              </w:rPr>
              <w:t xml:space="preserve"> </w:t>
            </w:r>
            <w:r>
              <w:rPr>
                <w:spacing w:val="-10"/>
                <w:sz w:val="24"/>
                <w:szCs w:val="24"/>
              </w:rPr>
              <w:t>井场设备基础硬化区（单层钢筋区域） 采用</w:t>
            </w:r>
            <w:r>
              <w:rPr>
                <w:spacing w:val="-54"/>
                <w:sz w:val="24"/>
                <w:szCs w:val="24"/>
              </w:rPr>
              <w:t xml:space="preserve"> </w:t>
            </w:r>
            <w:r>
              <w:rPr>
                <w:rFonts w:ascii="Times New Roman" w:hAnsi="Times New Roman" w:eastAsia="Times New Roman" w:cs="Times New Roman"/>
                <w:spacing w:val="-10"/>
                <w:sz w:val="24"/>
                <w:szCs w:val="24"/>
              </w:rPr>
              <w:t>20</w:t>
            </w:r>
            <w:r>
              <w:rPr>
                <w:rFonts w:ascii="Times New Roman" w:hAnsi="Times New Roman" w:eastAsia="Times New Roman" w:cs="Times New Roman"/>
                <w:spacing w:val="-11"/>
                <w:sz w:val="24"/>
                <w:szCs w:val="24"/>
              </w:rPr>
              <w:t>cm</w:t>
            </w:r>
            <w:r>
              <w:rPr>
                <w:rFonts w:ascii="Times New Roman" w:hAnsi="Times New Roman" w:eastAsia="Times New Roman" w:cs="Times New Roman"/>
                <w:spacing w:val="16"/>
                <w:sz w:val="24"/>
                <w:szCs w:val="24"/>
              </w:rPr>
              <w:t xml:space="preserve"> </w:t>
            </w:r>
            <w:r>
              <w:rPr>
                <w:spacing w:val="-11"/>
                <w:sz w:val="24"/>
                <w:szCs w:val="24"/>
              </w:rPr>
              <w:t>厚</w:t>
            </w:r>
            <w:r>
              <w:rPr>
                <w:spacing w:val="-52"/>
                <w:sz w:val="24"/>
                <w:szCs w:val="24"/>
              </w:rPr>
              <w:t xml:space="preserve"> </w:t>
            </w:r>
            <w:r>
              <w:rPr>
                <w:rFonts w:ascii="Times New Roman" w:hAnsi="Times New Roman" w:eastAsia="Times New Roman" w:cs="Times New Roman"/>
                <w:spacing w:val="-11"/>
                <w:sz w:val="24"/>
                <w:szCs w:val="24"/>
              </w:rPr>
              <w:t xml:space="preserve">C25 </w:t>
            </w:r>
            <w:r>
              <w:rPr>
                <w:spacing w:val="-11"/>
                <w:sz w:val="24"/>
                <w:szCs w:val="24"/>
              </w:rPr>
              <w:t>钢筋混</w:t>
            </w:r>
          </w:p>
          <w:p>
            <w:pPr>
              <w:pStyle w:val="6"/>
              <w:spacing w:before="1" w:line="219" w:lineRule="auto"/>
              <w:ind w:left="105"/>
              <w:rPr>
                <w:sz w:val="24"/>
                <w:szCs w:val="24"/>
              </w:rPr>
            </w:pPr>
            <w:r>
              <w:rPr>
                <w:spacing w:val="-3"/>
                <w:sz w:val="24"/>
                <w:szCs w:val="24"/>
              </w:rPr>
              <w:t>凝土层</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33"/>
                <w:w w:val="101"/>
                <w:sz w:val="24"/>
                <w:szCs w:val="24"/>
              </w:rPr>
              <w:t xml:space="preserve"> </w:t>
            </w:r>
            <w:r>
              <w:rPr>
                <w:spacing w:val="-3"/>
                <w:sz w:val="24"/>
                <w:szCs w:val="24"/>
              </w:rPr>
              <w:t>厚</w:t>
            </w:r>
            <w:r>
              <w:rPr>
                <w:spacing w:val="-52"/>
                <w:sz w:val="24"/>
                <w:szCs w:val="24"/>
              </w:rPr>
              <w:t xml:space="preserve"> </w:t>
            </w:r>
            <w:r>
              <w:rPr>
                <w:rFonts w:ascii="Times New Roman" w:hAnsi="Times New Roman" w:eastAsia="Times New Roman" w:cs="Times New Roman"/>
                <w:spacing w:val="-3"/>
                <w:sz w:val="24"/>
                <w:szCs w:val="24"/>
              </w:rPr>
              <w:t xml:space="preserve">C15 </w:t>
            </w:r>
            <w:r>
              <w:rPr>
                <w:spacing w:val="-3"/>
                <w:sz w:val="24"/>
                <w:szCs w:val="24"/>
              </w:rPr>
              <w:t>混凝土垫层</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16"/>
                <w:sz w:val="24"/>
                <w:szCs w:val="24"/>
              </w:rPr>
              <w:t xml:space="preserve"> </w:t>
            </w:r>
            <w:r>
              <w:rPr>
                <w:spacing w:val="-3"/>
                <w:sz w:val="24"/>
                <w:szCs w:val="24"/>
              </w:rPr>
              <w:t>厚砂砾（卵）石层。</w:t>
            </w:r>
          </w:p>
          <w:p>
            <w:pPr>
              <w:pStyle w:val="6"/>
              <w:spacing w:before="195" w:line="369" w:lineRule="auto"/>
              <w:ind w:left="100" w:right="104" w:firstLine="484"/>
              <w:rPr>
                <w:rFonts w:ascii="Times New Roman" w:hAnsi="Times New Roman" w:eastAsia="Times New Roman" w:cs="Times New Roman"/>
                <w:sz w:val="24"/>
                <w:szCs w:val="24"/>
              </w:rPr>
            </w:pPr>
            <w:r>
              <w:rPr>
                <w:spacing w:val="-1"/>
                <w:sz w:val="24"/>
                <w:szCs w:val="24"/>
              </w:rPr>
              <w:t xml:space="preserve">清洁生产操作平台采用 </w:t>
            </w:r>
            <w:r>
              <w:rPr>
                <w:rFonts w:ascii="Times New Roman" w:hAnsi="Times New Roman" w:eastAsia="Times New Roman" w:cs="Times New Roman"/>
                <w:spacing w:val="-1"/>
                <w:sz w:val="24"/>
                <w:szCs w:val="24"/>
              </w:rPr>
              <w:t xml:space="preserve">30cm  </w:t>
            </w:r>
            <w:r>
              <w:rPr>
                <w:spacing w:val="-1"/>
                <w:sz w:val="24"/>
                <w:szCs w:val="24"/>
              </w:rPr>
              <w:t xml:space="preserve">厚 </w:t>
            </w:r>
            <w:r>
              <w:rPr>
                <w:rFonts w:ascii="Times New Roman" w:hAnsi="Times New Roman" w:eastAsia="Times New Roman" w:cs="Times New Roman"/>
                <w:spacing w:val="-1"/>
                <w:sz w:val="24"/>
                <w:szCs w:val="24"/>
              </w:rPr>
              <w:t xml:space="preserve">C25  </w:t>
            </w:r>
            <w:r>
              <w:rPr>
                <w:spacing w:val="-1"/>
                <w:sz w:val="24"/>
                <w:szCs w:val="24"/>
              </w:rPr>
              <w:t>钢筋混凝土层</w:t>
            </w:r>
            <w:r>
              <w:rPr>
                <w:rFonts w:ascii="Times New Roman" w:hAnsi="Times New Roman" w:eastAsia="Times New Roman" w:cs="Times New Roman"/>
                <w:spacing w:val="-1"/>
                <w:sz w:val="24"/>
                <w:szCs w:val="24"/>
              </w:rPr>
              <w:t>+10cm</w:t>
            </w:r>
            <w:r>
              <w:rPr>
                <w:rFonts w:ascii="Times New Roman" w:hAnsi="Times New Roman" w:eastAsia="Times New Roman" w:cs="Times New Roman"/>
                <w:spacing w:val="16"/>
                <w:w w:val="101"/>
                <w:sz w:val="24"/>
                <w:szCs w:val="24"/>
              </w:rPr>
              <w:t xml:space="preserve">  </w:t>
            </w:r>
            <w:r>
              <w:rPr>
                <w:spacing w:val="-1"/>
                <w:sz w:val="24"/>
                <w:szCs w:val="24"/>
              </w:rPr>
              <w:t xml:space="preserve">厚 </w:t>
            </w:r>
            <w:r>
              <w:rPr>
                <w:rFonts w:ascii="Times New Roman" w:hAnsi="Times New Roman" w:eastAsia="Times New Roman" w:cs="Times New Roman"/>
                <w:spacing w:val="-1"/>
                <w:sz w:val="24"/>
                <w:szCs w:val="24"/>
              </w:rPr>
              <w:t>C15</w:t>
            </w:r>
            <w:r>
              <w:rPr>
                <w:rFonts w:ascii="Times New Roman" w:hAnsi="Times New Roman" w:eastAsia="Times New Roman" w:cs="Times New Roman"/>
                <w:spacing w:val="6"/>
                <w:sz w:val="24"/>
                <w:szCs w:val="24"/>
              </w:rPr>
              <w:t xml:space="preserve">  </w:t>
            </w:r>
            <w:r>
              <w:rPr>
                <w:spacing w:val="-1"/>
                <w:sz w:val="24"/>
                <w:szCs w:val="24"/>
              </w:rPr>
              <w:t>混凝土层</w:t>
            </w:r>
            <w:r>
              <w:rPr>
                <w:spacing w:val="1"/>
                <w:sz w:val="24"/>
                <w:szCs w:val="24"/>
              </w:rPr>
              <w:t xml:space="preserve"> </w:t>
            </w:r>
            <w:r>
              <w:rPr>
                <w:rFonts w:ascii="Times New Roman" w:hAnsi="Times New Roman" w:eastAsia="Times New Roman" w:cs="Times New Roman"/>
                <w:spacing w:val="-7"/>
                <w:sz w:val="24"/>
                <w:szCs w:val="24"/>
              </w:rPr>
              <w:t>+10cm</w:t>
            </w:r>
            <w:r>
              <w:rPr>
                <w:rFonts w:ascii="Times New Roman" w:hAnsi="Times New Roman" w:eastAsia="Times New Roman" w:cs="Times New Roman"/>
                <w:spacing w:val="29"/>
                <w:w w:val="101"/>
                <w:sz w:val="24"/>
                <w:szCs w:val="24"/>
              </w:rPr>
              <w:t xml:space="preserve"> </w:t>
            </w:r>
            <w:r>
              <w:rPr>
                <w:spacing w:val="-7"/>
                <w:sz w:val="24"/>
                <w:szCs w:val="24"/>
              </w:rPr>
              <w:t>厚砂砾（卵）</w:t>
            </w:r>
            <w:r>
              <w:rPr>
                <w:spacing w:val="-29"/>
                <w:sz w:val="24"/>
                <w:szCs w:val="24"/>
              </w:rPr>
              <w:t xml:space="preserve"> </w:t>
            </w:r>
            <w:r>
              <w:rPr>
                <w:spacing w:val="-7"/>
                <w:sz w:val="24"/>
                <w:szCs w:val="24"/>
              </w:rPr>
              <w:t>石层； 岩屑堆放区采用水泥基渗透结晶型防渗层</w:t>
            </w:r>
            <w:r>
              <w:rPr>
                <w:rFonts w:ascii="Times New Roman" w:hAnsi="Times New Roman" w:eastAsia="Times New Roman" w:cs="Times New Roman"/>
                <w:spacing w:val="-7"/>
                <w:sz w:val="24"/>
                <w:szCs w:val="24"/>
              </w:rPr>
              <w:t>+30cm</w:t>
            </w:r>
            <w:r>
              <w:rPr>
                <w:rFonts w:ascii="Times New Roman" w:hAnsi="Times New Roman" w:eastAsia="Times New Roman" w:cs="Times New Roman"/>
                <w:spacing w:val="17"/>
                <w:sz w:val="24"/>
                <w:szCs w:val="24"/>
              </w:rPr>
              <w:t xml:space="preserve"> </w:t>
            </w:r>
            <w:r>
              <w:rPr>
                <w:spacing w:val="-7"/>
                <w:sz w:val="24"/>
                <w:szCs w:val="24"/>
              </w:rPr>
              <w:t>厚</w:t>
            </w:r>
            <w:r>
              <w:rPr>
                <w:spacing w:val="-52"/>
                <w:sz w:val="24"/>
                <w:szCs w:val="24"/>
              </w:rPr>
              <w:t xml:space="preserve"> </w:t>
            </w:r>
            <w:r>
              <w:rPr>
                <w:rFonts w:ascii="Times New Roman" w:hAnsi="Times New Roman" w:eastAsia="Times New Roman" w:cs="Times New Roman"/>
                <w:spacing w:val="-7"/>
                <w:sz w:val="24"/>
                <w:szCs w:val="24"/>
              </w:rPr>
              <w:t>C25</w:t>
            </w:r>
          </w:p>
          <w:p>
            <w:pPr>
              <w:pStyle w:val="6"/>
              <w:spacing w:before="1" w:line="219" w:lineRule="auto"/>
              <w:ind w:left="104"/>
              <w:rPr>
                <w:sz w:val="24"/>
                <w:szCs w:val="24"/>
              </w:rPr>
            </w:pPr>
            <w:r>
              <w:rPr>
                <w:spacing w:val="-2"/>
                <w:sz w:val="24"/>
                <w:szCs w:val="24"/>
              </w:rPr>
              <w:t>钢筋混凝土层</w:t>
            </w:r>
            <w:r>
              <w:rPr>
                <w:rFonts w:ascii="Times New Roman" w:hAnsi="Times New Roman" w:eastAsia="Times New Roman" w:cs="Times New Roman"/>
                <w:spacing w:val="-2"/>
                <w:sz w:val="24"/>
                <w:szCs w:val="24"/>
              </w:rPr>
              <w:t>+10cm</w:t>
            </w:r>
            <w:r>
              <w:rPr>
                <w:rFonts w:ascii="Times New Roman" w:hAnsi="Times New Roman" w:eastAsia="Times New Roman" w:cs="Times New Roman"/>
                <w:spacing w:val="19"/>
                <w:sz w:val="24"/>
                <w:szCs w:val="24"/>
              </w:rPr>
              <w:t xml:space="preserve"> </w:t>
            </w:r>
            <w:r>
              <w:rPr>
                <w:spacing w:val="-2"/>
                <w:sz w:val="24"/>
                <w:szCs w:val="24"/>
              </w:rPr>
              <w:t>厚</w:t>
            </w:r>
            <w:r>
              <w:rPr>
                <w:spacing w:val="-52"/>
                <w:sz w:val="24"/>
                <w:szCs w:val="24"/>
              </w:rPr>
              <w:t xml:space="preserve"> </w:t>
            </w:r>
            <w:r>
              <w:rPr>
                <w:rFonts w:ascii="Times New Roman" w:hAnsi="Times New Roman" w:eastAsia="Times New Roman" w:cs="Times New Roman"/>
                <w:spacing w:val="-2"/>
                <w:sz w:val="24"/>
                <w:szCs w:val="24"/>
              </w:rPr>
              <w:t xml:space="preserve">C15 </w:t>
            </w:r>
            <w:r>
              <w:rPr>
                <w:spacing w:val="-2"/>
                <w:sz w:val="24"/>
                <w:szCs w:val="24"/>
              </w:rPr>
              <w:t>混凝土层</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0cm</w:t>
            </w:r>
            <w:r>
              <w:rPr>
                <w:rFonts w:ascii="Times New Roman" w:hAnsi="Times New Roman" w:eastAsia="Times New Roman" w:cs="Times New Roman"/>
                <w:spacing w:val="16"/>
                <w:sz w:val="24"/>
                <w:szCs w:val="24"/>
              </w:rPr>
              <w:t xml:space="preserve"> </w:t>
            </w:r>
            <w:r>
              <w:rPr>
                <w:spacing w:val="-3"/>
                <w:sz w:val="24"/>
                <w:szCs w:val="24"/>
              </w:rPr>
              <w:t>厚砂砾（卵）石层。</w:t>
            </w:r>
          </w:p>
          <w:p>
            <w:pPr>
              <w:pStyle w:val="6"/>
              <w:spacing w:before="194" w:line="480" w:lineRule="exact"/>
              <w:ind w:left="589"/>
              <w:rPr>
                <w:sz w:val="24"/>
                <w:szCs w:val="24"/>
              </w:rPr>
            </w:pPr>
            <w:r>
              <w:rPr>
                <w:spacing w:val="-5"/>
                <w:position w:val="18"/>
                <w:sz w:val="24"/>
                <w:szCs w:val="24"/>
              </w:rPr>
              <w:t>油罐及水罐区、</w:t>
            </w:r>
            <w:r>
              <w:rPr>
                <w:spacing w:val="58"/>
                <w:position w:val="18"/>
                <w:sz w:val="24"/>
                <w:szCs w:val="24"/>
              </w:rPr>
              <w:t xml:space="preserve"> </w:t>
            </w:r>
            <w:r>
              <w:rPr>
                <w:spacing w:val="-5"/>
                <w:position w:val="18"/>
                <w:sz w:val="24"/>
                <w:szCs w:val="24"/>
              </w:rPr>
              <w:t>泥浆储备罐区采用水泥基防渗层</w:t>
            </w:r>
            <w:r>
              <w:rPr>
                <w:rFonts w:ascii="Times New Roman" w:hAnsi="Times New Roman" w:eastAsia="Times New Roman" w:cs="Times New Roman"/>
                <w:spacing w:val="-5"/>
                <w:position w:val="18"/>
                <w:sz w:val="24"/>
                <w:szCs w:val="24"/>
              </w:rPr>
              <w:t xml:space="preserve">+40cm  </w:t>
            </w:r>
            <w:r>
              <w:rPr>
                <w:spacing w:val="-5"/>
                <w:position w:val="18"/>
                <w:sz w:val="24"/>
                <w:szCs w:val="24"/>
              </w:rPr>
              <w:t xml:space="preserve">厚 </w:t>
            </w:r>
            <w:r>
              <w:rPr>
                <w:rFonts w:ascii="Times New Roman" w:hAnsi="Times New Roman" w:eastAsia="Times New Roman" w:cs="Times New Roman"/>
                <w:spacing w:val="-5"/>
                <w:position w:val="18"/>
                <w:sz w:val="24"/>
                <w:szCs w:val="24"/>
              </w:rPr>
              <w:t xml:space="preserve">C25  </w:t>
            </w:r>
            <w:r>
              <w:rPr>
                <w:spacing w:val="-5"/>
                <w:position w:val="18"/>
                <w:sz w:val="24"/>
                <w:szCs w:val="24"/>
              </w:rPr>
              <w:t>钢筋混凝土层</w:t>
            </w:r>
          </w:p>
          <w:p>
            <w:pPr>
              <w:pStyle w:val="6"/>
              <w:spacing w:before="1" w:line="219" w:lineRule="auto"/>
              <w:ind w:left="100"/>
              <w:rPr>
                <w:sz w:val="24"/>
                <w:szCs w:val="24"/>
              </w:rPr>
            </w:pPr>
            <w:r>
              <w:rPr>
                <w:rFonts w:ascii="Times New Roman" w:hAnsi="Times New Roman" w:eastAsia="Times New Roman" w:cs="Times New Roman"/>
                <w:spacing w:val="-4"/>
                <w:sz w:val="24"/>
                <w:szCs w:val="24"/>
              </w:rPr>
              <w:t>+10cm</w:t>
            </w:r>
            <w:r>
              <w:rPr>
                <w:rFonts w:ascii="Times New Roman" w:hAnsi="Times New Roman" w:eastAsia="Times New Roman" w:cs="Times New Roman"/>
                <w:spacing w:val="19"/>
                <w:w w:val="101"/>
                <w:sz w:val="24"/>
                <w:szCs w:val="24"/>
              </w:rPr>
              <w:t xml:space="preserve"> </w:t>
            </w:r>
            <w:r>
              <w:rPr>
                <w:spacing w:val="-4"/>
                <w:sz w:val="24"/>
                <w:szCs w:val="24"/>
              </w:rPr>
              <w:t>厚</w:t>
            </w:r>
            <w:r>
              <w:rPr>
                <w:spacing w:val="-52"/>
                <w:sz w:val="24"/>
                <w:szCs w:val="24"/>
              </w:rPr>
              <w:t xml:space="preserve"> </w:t>
            </w:r>
            <w:r>
              <w:rPr>
                <w:rFonts w:ascii="Times New Roman" w:hAnsi="Times New Roman" w:eastAsia="Times New Roman" w:cs="Times New Roman"/>
                <w:spacing w:val="-4"/>
                <w:sz w:val="24"/>
                <w:szCs w:val="24"/>
              </w:rPr>
              <w:t xml:space="preserve">C15 </w:t>
            </w:r>
            <w:r>
              <w:rPr>
                <w:spacing w:val="-4"/>
                <w:sz w:val="24"/>
                <w:szCs w:val="24"/>
              </w:rPr>
              <w:t>混凝土层。</w:t>
            </w:r>
          </w:p>
          <w:p>
            <w:pPr>
              <w:pStyle w:val="6"/>
              <w:spacing w:before="195" w:line="480" w:lineRule="exact"/>
              <w:ind w:left="586"/>
              <w:rPr>
                <w:sz w:val="24"/>
                <w:szCs w:val="24"/>
              </w:rPr>
            </w:pPr>
            <w:r>
              <w:rPr>
                <w:spacing w:val="-6"/>
                <w:position w:val="18"/>
                <w:sz w:val="24"/>
                <w:szCs w:val="24"/>
              </w:rPr>
              <w:t>燃烧池采用</w:t>
            </w:r>
            <w:r>
              <w:rPr>
                <w:spacing w:val="-24"/>
                <w:position w:val="18"/>
                <w:sz w:val="24"/>
                <w:szCs w:val="24"/>
              </w:rPr>
              <w:t xml:space="preserve"> </w:t>
            </w:r>
            <w:r>
              <w:rPr>
                <w:rFonts w:ascii="Times New Roman" w:hAnsi="Times New Roman" w:eastAsia="Times New Roman" w:cs="Times New Roman"/>
                <w:spacing w:val="-6"/>
                <w:position w:val="18"/>
                <w:sz w:val="24"/>
                <w:szCs w:val="24"/>
              </w:rPr>
              <w:t>5cm</w:t>
            </w:r>
            <w:r>
              <w:rPr>
                <w:rFonts w:ascii="Times New Roman" w:hAnsi="Times New Roman" w:eastAsia="Times New Roman" w:cs="Times New Roman"/>
                <w:spacing w:val="38"/>
                <w:position w:val="18"/>
                <w:sz w:val="24"/>
                <w:szCs w:val="24"/>
              </w:rPr>
              <w:t xml:space="preserve"> </w:t>
            </w:r>
            <w:r>
              <w:rPr>
                <w:spacing w:val="-6"/>
                <w:position w:val="18"/>
                <w:sz w:val="24"/>
                <w:szCs w:val="24"/>
              </w:rPr>
              <w:t>厚分层抹新型耐火砂浆</w:t>
            </w:r>
            <w:r>
              <w:rPr>
                <w:rFonts w:ascii="Times New Roman" w:hAnsi="Times New Roman" w:eastAsia="Times New Roman" w:cs="Times New Roman"/>
                <w:spacing w:val="-6"/>
                <w:position w:val="18"/>
                <w:sz w:val="24"/>
                <w:szCs w:val="24"/>
              </w:rPr>
              <w:t>+10cm</w:t>
            </w:r>
            <w:r>
              <w:rPr>
                <w:rFonts w:ascii="Times New Roman" w:hAnsi="Times New Roman" w:eastAsia="Times New Roman" w:cs="Times New Roman"/>
                <w:spacing w:val="37"/>
                <w:w w:val="101"/>
                <w:position w:val="18"/>
                <w:sz w:val="24"/>
                <w:szCs w:val="24"/>
              </w:rPr>
              <w:t xml:space="preserve"> </w:t>
            </w:r>
            <w:r>
              <w:rPr>
                <w:spacing w:val="-6"/>
                <w:position w:val="18"/>
                <w:sz w:val="24"/>
                <w:szCs w:val="24"/>
              </w:rPr>
              <w:t>厚</w:t>
            </w:r>
            <w:r>
              <w:rPr>
                <w:spacing w:val="-30"/>
                <w:position w:val="18"/>
                <w:sz w:val="24"/>
                <w:szCs w:val="24"/>
              </w:rPr>
              <w:t xml:space="preserve"> </w:t>
            </w:r>
            <w:r>
              <w:rPr>
                <w:rFonts w:ascii="Times New Roman" w:hAnsi="Times New Roman" w:eastAsia="Times New Roman" w:cs="Times New Roman"/>
                <w:spacing w:val="-6"/>
                <w:position w:val="18"/>
                <w:sz w:val="24"/>
                <w:szCs w:val="24"/>
              </w:rPr>
              <w:t>C20</w:t>
            </w:r>
            <w:r>
              <w:rPr>
                <w:rFonts w:ascii="Times New Roman" w:hAnsi="Times New Roman" w:eastAsia="Times New Roman" w:cs="Times New Roman"/>
                <w:spacing w:val="34"/>
                <w:w w:val="101"/>
                <w:position w:val="18"/>
                <w:sz w:val="24"/>
                <w:szCs w:val="24"/>
              </w:rPr>
              <w:t xml:space="preserve"> </w:t>
            </w:r>
            <w:r>
              <w:rPr>
                <w:spacing w:val="-6"/>
                <w:position w:val="18"/>
                <w:sz w:val="24"/>
                <w:szCs w:val="24"/>
              </w:rPr>
              <w:t>混凝土层；</w:t>
            </w:r>
            <w:r>
              <w:rPr>
                <w:spacing w:val="30"/>
                <w:position w:val="18"/>
                <w:sz w:val="24"/>
                <w:szCs w:val="24"/>
              </w:rPr>
              <w:t xml:space="preserve"> </w:t>
            </w:r>
            <w:r>
              <w:rPr>
                <w:spacing w:val="-6"/>
                <w:position w:val="18"/>
                <w:sz w:val="24"/>
                <w:szCs w:val="24"/>
              </w:rPr>
              <w:t>集酸池采用</w:t>
            </w:r>
          </w:p>
          <w:p>
            <w:pPr>
              <w:pStyle w:val="6"/>
              <w:spacing w:before="1" w:line="233" w:lineRule="auto"/>
              <w:ind w:left="108"/>
              <w:rPr>
                <w:sz w:val="24"/>
                <w:szCs w:val="24"/>
              </w:rPr>
            </w:pPr>
            <w:r>
              <w:rPr>
                <w:spacing w:val="-2"/>
                <w:sz w:val="24"/>
                <w:szCs w:val="24"/>
              </w:rPr>
              <w:t>水泥基渗透结晶型防渗层</w:t>
            </w:r>
            <w:r>
              <w:rPr>
                <w:rFonts w:ascii="Times New Roman" w:hAnsi="Times New Roman" w:eastAsia="Times New Roman" w:cs="Times New Roman"/>
                <w:spacing w:val="-2"/>
                <w:sz w:val="24"/>
                <w:szCs w:val="24"/>
              </w:rPr>
              <w:t>+2cm</w:t>
            </w:r>
            <w:r>
              <w:rPr>
                <w:rFonts w:ascii="Times New Roman" w:hAnsi="Times New Roman" w:eastAsia="Times New Roman" w:cs="Times New Roman"/>
                <w:spacing w:val="17"/>
                <w:sz w:val="24"/>
                <w:szCs w:val="24"/>
              </w:rPr>
              <w:t xml:space="preserve"> </w:t>
            </w:r>
            <w:r>
              <w:rPr>
                <w:spacing w:val="-2"/>
                <w:sz w:val="24"/>
                <w:szCs w:val="24"/>
              </w:rPr>
              <w:t>厚水泥砂浆抹面</w:t>
            </w:r>
            <w:r>
              <w:rPr>
                <w:rFonts w:ascii="Times New Roman" w:hAnsi="Times New Roman" w:eastAsia="Times New Roman" w:cs="Times New Roman"/>
                <w:spacing w:val="-2"/>
                <w:sz w:val="24"/>
                <w:szCs w:val="24"/>
              </w:rPr>
              <w:t>++10cm</w:t>
            </w:r>
            <w:r>
              <w:rPr>
                <w:rFonts w:ascii="Times New Roman" w:hAnsi="Times New Roman" w:eastAsia="Times New Roman" w:cs="Times New Roman"/>
                <w:spacing w:val="15"/>
                <w:w w:val="101"/>
                <w:sz w:val="24"/>
                <w:szCs w:val="24"/>
              </w:rPr>
              <w:t xml:space="preserve"> </w:t>
            </w:r>
            <w:r>
              <w:rPr>
                <w:spacing w:val="-2"/>
                <w:sz w:val="24"/>
                <w:szCs w:val="24"/>
              </w:rPr>
              <w:t>厚</w:t>
            </w:r>
            <w:r>
              <w:rPr>
                <w:spacing w:val="-52"/>
                <w:sz w:val="24"/>
                <w:szCs w:val="24"/>
              </w:rPr>
              <w:t xml:space="preserve"> </w:t>
            </w:r>
            <w:r>
              <w:rPr>
                <w:rFonts w:ascii="Times New Roman" w:hAnsi="Times New Roman" w:eastAsia="Times New Roman" w:cs="Times New Roman"/>
                <w:spacing w:val="-2"/>
                <w:sz w:val="24"/>
                <w:szCs w:val="24"/>
              </w:rPr>
              <w:t xml:space="preserve">C20 </w:t>
            </w:r>
            <w:r>
              <w:rPr>
                <w:spacing w:val="-2"/>
                <w:sz w:val="24"/>
                <w:szCs w:val="24"/>
              </w:rPr>
              <w:t>混凝土层。</w:t>
            </w:r>
          </w:p>
          <w:p>
            <w:pPr>
              <w:pStyle w:val="6"/>
              <w:spacing w:before="176" w:line="480" w:lineRule="exact"/>
              <w:ind w:left="585"/>
              <w:rPr>
                <w:sz w:val="24"/>
                <w:szCs w:val="24"/>
              </w:rPr>
            </w:pPr>
            <w:r>
              <w:rPr>
                <w:spacing w:val="-3"/>
                <w:position w:val="18"/>
                <w:sz w:val="24"/>
                <w:szCs w:val="24"/>
              </w:rPr>
              <w:t>应急池、隔油池及集酸池均采用水泥基渗透结晶型防渗层</w:t>
            </w:r>
            <w:r>
              <w:rPr>
                <w:rFonts w:ascii="Times New Roman" w:hAnsi="Times New Roman" w:eastAsia="Times New Roman" w:cs="Times New Roman"/>
                <w:spacing w:val="-3"/>
                <w:position w:val="18"/>
                <w:sz w:val="24"/>
                <w:szCs w:val="24"/>
              </w:rPr>
              <w:t>+40cm</w:t>
            </w:r>
            <w:r>
              <w:rPr>
                <w:rFonts w:ascii="Times New Roman" w:hAnsi="Times New Roman" w:eastAsia="Times New Roman" w:cs="Times New Roman"/>
                <w:spacing w:val="24"/>
                <w:position w:val="18"/>
                <w:sz w:val="24"/>
                <w:szCs w:val="24"/>
              </w:rPr>
              <w:t xml:space="preserve"> </w:t>
            </w:r>
            <w:r>
              <w:rPr>
                <w:spacing w:val="-3"/>
                <w:position w:val="18"/>
                <w:sz w:val="24"/>
                <w:szCs w:val="24"/>
              </w:rPr>
              <w:t>厚</w:t>
            </w:r>
            <w:r>
              <w:rPr>
                <w:spacing w:val="-52"/>
                <w:position w:val="18"/>
                <w:sz w:val="24"/>
                <w:szCs w:val="24"/>
              </w:rPr>
              <w:t xml:space="preserve"> </w:t>
            </w:r>
            <w:r>
              <w:rPr>
                <w:rFonts w:ascii="Times New Roman" w:hAnsi="Times New Roman" w:eastAsia="Times New Roman" w:cs="Times New Roman"/>
                <w:spacing w:val="-3"/>
                <w:position w:val="18"/>
                <w:sz w:val="24"/>
                <w:szCs w:val="24"/>
              </w:rPr>
              <w:t xml:space="preserve">C30 </w:t>
            </w:r>
            <w:r>
              <w:rPr>
                <w:spacing w:val="-3"/>
                <w:position w:val="18"/>
                <w:sz w:val="24"/>
                <w:szCs w:val="24"/>
              </w:rPr>
              <w:t>钢筋混</w:t>
            </w:r>
          </w:p>
          <w:p>
            <w:pPr>
              <w:pStyle w:val="6"/>
              <w:spacing w:before="1" w:line="219" w:lineRule="auto"/>
              <w:ind w:left="105"/>
              <w:rPr>
                <w:sz w:val="24"/>
                <w:szCs w:val="24"/>
              </w:rPr>
            </w:pPr>
            <w:r>
              <w:rPr>
                <w:spacing w:val="-4"/>
                <w:sz w:val="24"/>
                <w:szCs w:val="24"/>
              </w:rPr>
              <w:t>凝土层</w:t>
            </w:r>
            <w:r>
              <w:rPr>
                <w:rFonts w:ascii="Times New Roman" w:hAnsi="Times New Roman" w:eastAsia="Times New Roman" w:cs="Times New Roman"/>
                <w:spacing w:val="-4"/>
                <w:sz w:val="24"/>
                <w:szCs w:val="24"/>
              </w:rPr>
              <w:t>+10cm</w:t>
            </w:r>
            <w:r>
              <w:rPr>
                <w:rFonts w:ascii="Times New Roman" w:hAnsi="Times New Roman" w:eastAsia="Times New Roman" w:cs="Times New Roman"/>
                <w:spacing w:val="28"/>
                <w:sz w:val="24"/>
                <w:szCs w:val="24"/>
              </w:rPr>
              <w:t xml:space="preserve"> </w:t>
            </w:r>
            <w:r>
              <w:rPr>
                <w:spacing w:val="-4"/>
                <w:sz w:val="24"/>
                <w:szCs w:val="24"/>
              </w:rPr>
              <w:t>厚</w:t>
            </w:r>
            <w:r>
              <w:rPr>
                <w:spacing w:val="-51"/>
                <w:sz w:val="24"/>
                <w:szCs w:val="24"/>
              </w:rPr>
              <w:t xml:space="preserve"> </w:t>
            </w:r>
            <w:r>
              <w:rPr>
                <w:rFonts w:ascii="Times New Roman" w:hAnsi="Times New Roman" w:eastAsia="Times New Roman" w:cs="Times New Roman"/>
                <w:spacing w:val="-4"/>
                <w:sz w:val="24"/>
                <w:szCs w:val="24"/>
              </w:rPr>
              <w:t xml:space="preserve">C15 </w:t>
            </w:r>
            <w:r>
              <w:rPr>
                <w:spacing w:val="-4"/>
                <w:sz w:val="24"/>
                <w:szCs w:val="24"/>
              </w:rPr>
              <w:t>混凝土层。</w:t>
            </w:r>
          </w:p>
          <w:p>
            <w:pPr>
              <w:pStyle w:val="6"/>
              <w:spacing w:before="194" w:line="219" w:lineRule="auto"/>
              <w:ind w:left="587"/>
              <w:rPr>
                <w:sz w:val="24"/>
                <w:szCs w:val="24"/>
              </w:rPr>
            </w:pPr>
            <w:r>
              <w:rPr>
                <w:spacing w:val="6"/>
                <w:sz w:val="24"/>
                <w:szCs w:val="24"/>
              </w:rPr>
              <w:t>后期临时储酸罐区可布置在岩屑堆放区利用其雨棚、挡墙围堰和地面</w:t>
            </w:r>
            <w:r>
              <w:rPr>
                <w:spacing w:val="5"/>
                <w:sz w:val="24"/>
                <w:szCs w:val="24"/>
              </w:rPr>
              <w:t>防渗措</w:t>
            </w:r>
          </w:p>
        </w:tc>
      </w:tr>
    </w:tbl>
    <w:p>
      <w:pPr>
        <w:pStyle w:val="2"/>
        <w:rPr>
          <w:sz w:val="21"/>
        </w:rPr>
      </w:pPr>
    </w:p>
    <w:p>
      <w:pPr>
        <w:rPr>
          <w:sz w:val="21"/>
          <w:szCs w:val="21"/>
        </w:rPr>
        <w:sectPr>
          <w:footerReference r:id="rId51"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220" w:lineRule="auto"/>
              <w:ind w:left="105"/>
              <w:rPr>
                <w:sz w:val="24"/>
                <w:szCs w:val="24"/>
              </w:rPr>
            </w:pPr>
            <w:r>
              <w:rPr>
                <w:spacing w:val="-5"/>
                <w:sz w:val="24"/>
                <w:szCs w:val="24"/>
              </w:rPr>
              <w:t>施，同时设置围堰。</w:t>
            </w:r>
          </w:p>
          <w:p>
            <w:pPr>
              <w:pStyle w:val="6"/>
              <w:spacing w:before="194" w:line="217" w:lineRule="auto"/>
              <w:ind w:left="584"/>
              <w:rPr>
                <w:sz w:val="24"/>
                <w:szCs w:val="24"/>
              </w:rPr>
            </w:pPr>
            <w:r>
              <w:rPr>
                <w:spacing w:val="-1"/>
                <w:sz w:val="24"/>
                <w:szCs w:val="24"/>
              </w:rPr>
              <w:t>②一般</w:t>
            </w:r>
            <w:r>
              <w:rPr>
                <w:rFonts w:hint="eastAsia" w:ascii="宋体" w:hAnsi="宋体" w:eastAsia="宋体" w:cs="宋体"/>
                <w:spacing w:val="-4"/>
                <w:sz w:val="24"/>
                <w:szCs w:val="24"/>
              </w:rPr>
              <w:t>污染防治</w:t>
            </w:r>
            <w:r>
              <w:rPr>
                <w:spacing w:val="-1"/>
                <w:sz w:val="24"/>
                <w:szCs w:val="24"/>
              </w:rPr>
              <w:t>区</w:t>
            </w:r>
          </w:p>
          <w:p>
            <w:pPr>
              <w:pStyle w:val="6"/>
              <w:spacing w:before="198" w:line="369" w:lineRule="auto"/>
              <w:ind w:left="109" w:right="102" w:firstLine="479"/>
              <w:rPr>
                <w:sz w:val="24"/>
                <w:szCs w:val="24"/>
              </w:rPr>
            </w:pPr>
            <w:r>
              <w:rPr>
                <w:spacing w:val="-1"/>
                <w:sz w:val="24"/>
                <w:szCs w:val="24"/>
              </w:rPr>
              <w:t>一般防渗区根据《石油化工工程防渗技术规范》（</w:t>
            </w:r>
            <w:r>
              <w:rPr>
                <w:rFonts w:ascii="Times New Roman" w:hAnsi="Times New Roman" w:eastAsia="Times New Roman" w:cs="Times New Roman"/>
                <w:spacing w:val="-2"/>
                <w:sz w:val="24"/>
                <w:szCs w:val="24"/>
              </w:rPr>
              <w:t>GB/T50934-2013</w:t>
            </w:r>
            <w:r>
              <w:rPr>
                <w:spacing w:val="-4"/>
                <w:sz w:val="24"/>
                <w:szCs w:val="24"/>
              </w:rPr>
              <w:t>），</w:t>
            </w:r>
            <w:r>
              <w:rPr>
                <w:spacing w:val="-2"/>
                <w:sz w:val="24"/>
                <w:szCs w:val="24"/>
              </w:rPr>
              <w:t>一般污</w:t>
            </w:r>
            <w:r>
              <w:rPr>
                <w:sz w:val="24"/>
                <w:szCs w:val="24"/>
              </w:rPr>
              <w:t xml:space="preserve"> </w:t>
            </w:r>
            <w:r>
              <w:rPr>
                <w:spacing w:val="8"/>
                <w:sz w:val="24"/>
                <w:szCs w:val="24"/>
              </w:rPr>
              <w:t>染防治区防渗层要求：等效黏土防渗层厚度大于</w:t>
            </w:r>
            <w:r>
              <w:rPr>
                <w:spacing w:val="7"/>
                <w:sz w:val="24"/>
                <w:szCs w:val="24"/>
              </w:rPr>
              <w:t>等于</w:t>
            </w:r>
            <w:r>
              <w:rPr>
                <w:spacing w:val="41"/>
                <w:sz w:val="24"/>
                <w:szCs w:val="24"/>
              </w:rPr>
              <w:t xml:space="preserve"> </w:t>
            </w:r>
            <w:r>
              <w:rPr>
                <w:rFonts w:ascii="Times New Roman" w:hAnsi="Times New Roman" w:eastAsia="Times New Roman" w:cs="Times New Roman"/>
                <w:spacing w:val="7"/>
                <w:sz w:val="24"/>
                <w:szCs w:val="24"/>
              </w:rPr>
              <w:t>1.5m</w:t>
            </w:r>
            <w:r>
              <w:rPr>
                <w:spacing w:val="7"/>
                <w:sz w:val="24"/>
                <w:szCs w:val="24"/>
              </w:rPr>
              <w:t>，渗透系数小于等于</w:t>
            </w:r>
            <w:r>
              <w:rPr>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9"/>
                <w:sz w:val="16"/>
                <w:szCs w:val="16"/>
              </w:rPr>
              <w:t>-7</w:t>
            </w:r>
            <w:r>
              <w:rPr>
                <w:rFonts w:ascii="Times New Roman" w:hAnsi="Times New Roman" w:eastAsia="Times New Roman" w:cs="Times New Roman"/>
                <w:sz w:val="24"/>
                <w:szCs w:val="24"/>
              </w:rPr>
              <w:t>cm</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5"/>
                <w:sz w:val="24"/>
                <w:szCs w:val="24"/>
              </w:rPr>
              <w:t xml:space="preserve"> </w:t>
            </w:r>
            <w:r>
              <w:rPr>
                <w:spacing w:val="1"/>
                <w:sz w:val="24"/>
                <w:szCs w:val="24"/>
              </w:rPr>
              <w:t>。一般防渗区地坪：通过在混凝土面层中掺水泥基渗透结晶型防水剂，其</w:t>
            </w:r>
            <w:r>
              <w:rPr>
                <w:sz w:val="24"/>
                <w:szCs w:val="24"/>
              </w:rPr>
              <w:t xml:space="preserve"> </w:t>
            </w:r>
            <w:r>
              <w:rPr>
                <w:spacing w:val="-6"/>
                <w:sz w:val="24"/>
                <w:szCs w:val="24"/>
              </w:rPr>
              <w:t>下铺砌砂石基层，</w:t>
            </w:r>
            <w:r>
              <w:rPr>
                <w:spacing w:val="57"/>
                <w:sz w:val="24"/>
                <w:szCs w:val="24"/>
              </w:rPr>
              <w:t xml:space="preserve"> </w:t>
            </w:r>
            <w:r>
              <w:rPr>
                <w:spacing w:val="-6"/>
                <w:sz w:val="24"/>
                <w:szCs w:val="24"/>
              </w:rPr>
              <w:t>原土夯实达到防渗的目的。对于混凝土中间的伸缩缝和实体基础</w:t>
            </w:r>
          </w:p>
          <w:p>
            <w:pPr>
              <w:pStyle w:val="6"/>
              <w:spacing w:before="1" w:line="218" w:lineRule="auto"/>
              <w:ind w:left="125"/>
              <w:rPr>
                <w:sz w:val="24"/>
                <w:szCs w:val="24"/>
              </w:rPr>
            </w:pPr>
            <w:r>
              <w:rPr>
                <w:spacing w:val="-4"/>
                <w:sz w:val="24"/>
                <w:szCs w:val="24"/>
              </w:rPr>
              <w:t>的缝隙，通过填充柔性材料达到防渗目的。</w:t>
            </w:r>
          </w:p>
          <w:p>
            <w:pPr>
              <w:pStyle w:val="6"/>
              <w:spacing w:before="196" w:line="217" w:lineRule="auto"/>
              <w:ind w:left="584"/>
              <w:rPr>
                <w:sz w:val="24"/>
                <w:szCs w:val="24"/>
              </w:rPr>
            </w:pPr>
            <w:r>
              <w:rPr>
                <w:spacing w:val="-2"/>
                <w:sz w:val="24"/>
                <w:szCs w:val="24"/>
              </w:rPr>
              <w:t>③简单防渗区</w:t>
            </w:r>
          </w:p>
          <w:p>
            <w:pPr>
              <w:pStyle w:val="6"/>
              <w:spacing w:before="197" w:line="219" w:lineRule="auto"/>
              <w:ind w:left="590"/>
              <w:rPr>
                <w:sz w:val="24"/>
                <w:szCs w:val="24"/>
              </w:rPr>
            </w:pPr>
            <w:r>
              <w:rPr>
                <w:spacing w:val="-11"/>
                <w:sz w:val="24"/>
                <w:szCs w:val="24"/>
              </w:rPr>
              <w:t>简单防渗区，</w:t>
            </w:r>
            <w:r>
              <w:rPr>
                <w:spacing w:val="63"/>
                <w:sz w:val="24"/>
                <w:szCs w:val="24"/>
              </w:rPr>
              <w:t xml:space="preserve"> </w:t>
            </w:r>
            <w:r>
              <w:rPr>
                <w:spacing w:val="-11"/>
                <w:sz w:val="24"/>
                <w:szCs w:val="24"/>
              </w:rPr>
              <w:t>满足一般地面硬化防渗技术要求。</w:t>
            </w:r>
          </w:p>
          <w:p>
            <w:pPr>
              <w:pStyle w:val="6"/>
              <w:spacing w:before="197" w:line="369" w:lineRule="auto"/>
              <w:ind w:left="106" w:right="101" w:firstLine="484"/>
              <w:rPr>
                <w:sz w:val="24"/>
                <w:szCs w:val="24"/>
              </w:rPr>
            </w:pPr>
            <w:r>
              <w:rPr>
                <w:spacing w:val="-9"/>
                <w:sz w:val="24"/>
                <w:szCs w:val="24"/>
              </w:rPr>
              <w:t>另外，</w:t>
            </w:r>
            <w:r>
              <w:rPr>
                <w:spacing w:val="-45"/>
                <w:sz w:val="24"/>
                <w:szCs w:val="24"/>
              </w:rPr>
              <w:t xml:space="preserve"> </w:t>
            </w:r>
            <w:r>
              <w:rPr>
                <w:spacing w:val="-9"/>
                <w:sz w:val="24"/>
                <w:szCs w:val="24"/>
              </w:rPr>
              <w:t>危废暂存间依据《危险废物贮存污染控制标</w:t>
            </w:r>
            <w:r>
              <w:rPr>
                <w:spacing w:val="-10"/>
                <w:sz w:val="24"/>
                <w:szCs w:val="24"/>
              </w:rPr>
              <w:t>准》（</w:t>
            </w:r>
            <w:r>
              <w:rPr>
                <w:rFonts w:ascii="Times New Roman" w:hAnsi="Times New Roman" w:eastAsia="Times New Roman" w:cs="Times New Roman"/>
                <w:spacing w:val="-10"/>
                <w:sz w:val="24"/>
                <w:szCs w:val="24"/>
              </w:rPr>
              <w:t>GB</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0"/>
                <w:sz w:val="24"/>
                <w:szCs w:val="24"/>
              </w:rPr>
              <w:t>18597-2023</w:t>
            </w:r>
            <w:r>
              <w:rPr>
                <w:spacing w:val="-10"/>
                <w:sz w:val="24"/>
                <w:szCs w:val="24"/>
              </w:rPr>
              <w:t>）中</w:t>
            </w:r>
            <w:r>
              <w:rPr>
                <w:spacing w:val="-94"/>
                <w:sz w:val="24"/>
                <w:szCs w:val="24"/>
              </w:rPr>
              <w:t xml:space="preserve"> </w:t>
            </w:r>
            <w:r>
              <w:rPr>
                <w:rFonts w:ascii="Times New Roman" w:hAnsi="Times New Roman" w:eastAsia="Times New Roman" w:cs="Times New Roman"/>
                <w:spacing w:val="-10"/>
                <w:sz w:val="24"/>
                <w:szCs w:val="24"/>
              </w:rPr>
              <w:t>“</w:t>
            </w:r>
            <w:r>
              <w:rPr>
                <w:spacing w:val="-10"/>
                <w:sz w:val="24"/>
                <w:szCs w:val="24"/>
              </w:rPr>
              <w:t>危</w:t>
            </w:r>
            <w:r>
              <w:rPr>
                <w:sz w:val="24"/>
                <w:szCs w:val="24"/>
              </w:rPr>
              <w:t xml:space="preserve"> </w:t>
            </w:r>
            <w:r>
              <w:rPr>
                <w:spacing w:val="-2"/>
                <w:sz w:val="24"/>
                <w:szCs w:val="24"/>
              </w:rPr>
              <w:t xml:space="preserve">险废物的堆放基础必须防渗，防渗层为至少 </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31"/>
                <w:w w:val="101"/>
                <w:sz w:val="24"/>
                <w:szCs w:val="24"/>
              </w:rPr>
              <w:t xml:space="preserve"> </w:t>
            </w:r>
            <w:r>
              <w:rPr>
                <w:spacing w:val="-2"/>
                <w:sz w:val="24"/>
                <w:szCs w:val="24"/>
              </w:rPr>
              <w:t>厚黏土层（渗透系数</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9"/>
                <w:sz w:val="16"/>
                <w:szCs w:val="16"/>
              </w:rPr>
              <w:t>-7</w:t>
            </w:r>
            <w:r>
              <w:rPr>
                <w:rFonts w:ascii="Times New Roman" w:hAnsi="Times New Roman" w:eastAsia="Times New Roman" w:cs="Times New Roman"/>
                <w:spacing w:val="-2"/>
                <w:sz w:val="24"/>
                <w:szCs w:val="24"/>
              </w:rPr>
              <w:t>cm/s</w:t>
            </w:r>
            <w:r>
              <w:rPr>
                <w:spacing w:val="-22"/>
                <w:sz w:val="24"/>
                <w:szCs w:val="24"/>
              </w:rPr>
              <w:t>），</w:t>
            </w:r>
            <w:r>
              <w:rPr>
                <w:sz w:val="24"/>
                <w:szCs w:val="24"/>
              </w:rPr>
              <w:t xml:space="preserve"> </w:t>
            </w:r>
            <w:r>
              <w:rPr>
                <w:spacing w:val="-2"/>
                <w:sz w:val="24"/>
                <w:szCs w:val="24"/>
              </w:rPr>
              <w:t>或</w:t>
            </w:r>
            <w:r>
              <w:rPr>
                <w:spacing w:val="-55"/>
                <w:sz w:val="24"/>
                <w:szCs w:val="24"/>
              </w:rPr>
              <w:t xml:space="preserve"> </w:t>
            </w:r>
            <w:r>
              <w:rPr>
                <w:rFonts w:ascii="Times New Roman" w:hAnsi="Times New Roman" w:eastAsia="Times New Roman" w:cs="Times New Roman"/>
                <w:spacing w:val="-2"/>
                <w:sz w:val="24"/>
                <w:szCs w:val="24"/>
              </w:rPr>
              <w:t>2mm</w:t>
            </w:r>
            <w:r>
              <w:rPr>
                <w:rFonts w:ascii="Times New Roman" w:hAnsi="Times New Roman" w:eastAsia="Times New Roman" w:cs="Times New Roman"/>
                <w:spacing w:val="16"/>
                <w:sz w:val="24"/>
                <w:szCs w:val="24"/>
              </w:rPr>
              <w:t xml:space="preserve"> </w:t>
            </w:r>
            <w:r>
              <w:rPr>
                <w:spacing w:val="-2"/>
                <w:sz w:val="24"/>
                <w:szCs w:val="24"/>
              </w:rPr>
              <w:t>厚高密度聚乙烯，或至少</w:t>
            </w:r>
            <w:r>
              <w:rPr>
                <w:spacing w:val="-55"/>
                <w:sz w:val="24"/>
                <w:szCs w:val="24"/>
              </w:rPr>
              <w:t xml:space="preserve"> </w:t>
            </w:r>
            <w:r>
              <w:rPr>
                <w:rFonts w:ascii="Times New Roman" w:hAnsi="Times New Roman" w:eastAsia="Times New Roman" w:cs="Times New Roman"/>
                <w:spacing w:val="-2"/>
                <w:sz w:val="24"/>
                <w:szCs w:val="24"/>
              </w:rPr>
              <w:t>2mm</w:t>
            </w:r>
            <w:r>
              <w:rPr>
                <w:rFonts w:ascii="Times New Roman" w:hAnsi="Times New Roman" w:eastAsia="Times New Roman" w:cs="Times New Roman"/>
                <w:spacing w:val="17"/>
                <w:sz w:val="24"/>
                <w:szCs w:val="24"/>
              </w:rPr>
              <w:t xml:space="preserve"> </w:t>
            </w:r>
            <w:r>
              <w:rPr>
                <w:spacing w:val="-2"/>
                <w:sz w:val="24"/>
                <w:szCs w:val="24"/>
              </w:rPr>
              <w:t>厚的其他人工材料，渗透系数</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3"/>
                <w:position w:val="9"/>
                <w:sz w:val="16"/>
                <w:szCs w:val="16"/>
              </w:rPr>
              <w:t>-</w:t>
            </w:r>
            <w:r>
              <w:rPr>
                <w:rFonts w:ascii="Times New Roman" w:hAnsi="Times New Roman" w:eastAsia="Times New Roman" w:cs="Times New Roman"/>
                <w:spacing w:val="-22"/>
                <w:position w:val="9"/>
                <w:sz w:val="16"/>
                <w:szCs w:val="16"/>
              </w:rPr>
              <w:t xml:space="preserve"> </w:t>
            </w:r>
            <w:r>
              <w:rPr>
                <w:rFonts w:ascii="Times New Roman" w:hAnsi="Times New Roman" w:eastAsia="Times New Roman" w:cs="Times New Roman"/>
                <w:spacing w:val="-3"/>
                <w:position w:val="9"/>
                <w:sz w:val="16"/>
                <w:szCs w:val="16"/>
              </w:rPr>
              <w:t>10</w:t>
            </w:r>
            <w:r>
              <w:rPr>
                <w:rFonts w:ascii="Times New Roman" w:hAnsi="Times New Roman" w:eastAsia="Times New Roman" w:cs="Times New Roman"/>
                <w:spacing w:val="-3"/>
                <w:sz w:val="24"/>
                <w:szCs w:val="24"/>
              </w:rPr>
              <w:t>cm/s”</w:t>
            </w:r>
            <w:r>
              <w:rPr>
                <w:rFonts w:ascii="Times New Roman" w:hAnsi="Times New Roman" w:eastAsia="Times New Roman" w:cs="Times New Roman"/>
                <w:spacing w:val="-32"/>
                <w:sz w:val="24"/>
                <w:szCs w:val="24"/>
              </w:rPr>
              <w:t xml:space="preserve"> </w:t>
            </w:r>
            <w:r>
              <w:rPr>
                <w:spacing w:val="-3"/>
                <w:sz w:val="24"/>
                <w:szCs w:val="24"/>
              </w:rPr>
              <w:t>，</w:t>
            </w:r>
            <w:r>
              <w:rPr>
                <w:sz w:val="24"/>
                <w:szCs w:val="24"/>
              </w:rPr>
              <w:t xml:space="preserve"> </w:t>
            </w:r>
            <w:r>
              <w:rPr>
                <w:spacing w:val="-10"/>
                <w:sz w:val="24"/>
                <w:szCs w:val="24"/>
              </w:rPr>
              <w:t>本工程应在危险废物（废油） 产生、装卸及存储区域加强防渗措施，</w:t>
            </w:r>
            <w:r>
              <w:rPr>
                <w:spacing w:val="92"/>
                <w:sz w:val="24"/>
                <w:szCs w:val="24"/>
              </w:rPr>
              <w:t xml:space="preserve"> </w:t>
            </w:r>
            <w:r>
              <w:rPr>
                <w:spacing w:val="-10"/>
                <w:sz w:val="24"/>
                <w:szCs w:val="24"/>
              </w:rPr>
              <w:t>即在已设计的</w:t>
            </w:r>
            <w:r>
              <w:rPr>
                <w:sz w:val="24"/>
                <w:szCs w:val="24"/>
              </w:rPr>
              <w:t xml:space="preserve"> </w:t>
            </w:r>
            <w:r>
              <w:rPr>
                <w:spacing w:val="5"/>
                <w:sz w:val="24"/>
                <w:szCs w:val="24"/>
              </w:rPr>
              <w:t xml:space="preserve">重点防渗要求之上均增加 </w:t>
            </w:r>
            <w:r>
              <w:rPr>
                <w:rFonts w:ascii="Times New Roman" w:hAnsi="Times New Roman" w:eastAsia="Times New Roman" w:cs="Times New Roman"/>
                <w:spacing w:val="5"/>
                <w:sz w:val="24"/>
                <w:szCs w:val="24"/>
              </w:rPr>
              <w:t>2</w:t>
            </w:r>
            <w:r>
              <w:rPr>
                <w:rFonts w:ascii="Times New Roman" w:hAnsi="Times New Roman" w:eastAsia="Times New Roman" w:cs="Times New Roman"/>
                <w:sz w:val="24"/>
                <w:szCs w:val="24"/>
              </w:rPr>
              <w:t>mm</w:t>
            </w:r>
            <w:r>
              <w:rPr>
                <w:rFonts w:ascii="Times New Roman" w:hAnsi="Times New Roman" w:eastAsia="Times New Roman" w:cs="Times New Roman"/>
                <w:spacing w:val="5"/>
                <w:sz w:val="24"/>
                <w:szCs w:val="24"/>
              </w:rPr>
              <w:t xml:space="preserve">  </w:t>
            </w:r>
            <w:r>
              <w:rPr>
                <w:spacing w:val="5"/>
                <w:sz w:val="24"/>
                <w:szCs w:val="24"/>
              </w:rPr>
              <w:t>高密度聚乙烯膜，再用水泥砂浆抹面，渗透系数</w:t>
            </w:r>
          </w:p>
          <w:p>
            <w:pPr>
              <w:pStyle w:val="6"/>
              <w:spacing w:line="234" w:lineRule="auto"/>
              <w:ind w:left="99"/>
              <w:rPr>
                <w:sz w:val="24"/>
                <w:szCs w:val="24"/>
              </w:rPr>
            </w:pP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8"/>
                <w:sz w:val="16"/>
                <w:szCs w:val="16"/>
              </w:rPr>
              <w:t>-</w:t>
            </w:r>
            <w:r>
              <w:rPr>
                <w:rFonts w:ascii="Times New Roman" w:hAnsi="Times New Roman" w:eastAsia="Times New Roman" w:cs="Times New Roman"/>
                <w:spacing w:val="-9"/>
                <w:position w:val="8"/>
                <w:sz w:val="16"/>
                <w:szCs w:val="16"/>
              </w:rPr>
              <w:t xml:space="preserve"> </w:t>
            </w:r>
            <w:r>
              <w:rPr>
                <w:rFonts w:ascii="Times New Roman" w:hAnsi="Times New Roman" w:eastAsia="Times New Roman" w:cs="Times New Roman"/>
                <w:spacing w:val="-3"/>
                <w:position w:val="8"/>
                <w:sz w:val="16"/>
                <w:szCs w:val="16"/>
              </w:rPr>
              <w:t>10</w:t>
            </w:r>
            <w:r>
              <w:rPr>
                <w:rFonts w:ascii="Times New Roman" w:hAnsi="Times New Roman" w:eastAsia="Times New Roman" w:cs="Times New Roman"/>
                <w:spacing w:val="-3"/>
                <w:sz w:val="24"/>
                <w:szCs w:val="24"/>
              </w:rPr>
              <w:t>cm/s</w:t>
            </w:r>
            <w:r>
              <w:rPr>
                <w:spacing w:val="-3"/>
                <w:sz w:val="24"/>
                <w:szCs w:val="24"/>
              </w:rPr>
              <w:t>，可有效防止污染物入渗。</w:t>
            </w:r>
          </w:p>
          <w:p>
            <w:pPr>
              <w:pStyle w:val="6"/>
              <w:spacing w:before="176" w:line="220" w:lineRule="auto"/>
              <w:ind w:left="2508"/>
              <w:rPr>
                <w:sz w:val="24"/>
                <w:szCs w:val="24"/>
              </w:rPr>
            </w:pPr>
            <w:r>
              <w:rPr>
                <w:spacing w:val="-1"/>
                <w:sz w:val="24"/>
                <w:szCs w:val="24"/>
                <w14:textOutline w14:w="4354" w14:cap="flat" w14:cmpd="sng">
                  <w14:solidFill>
                    <w14:srgbClr w14:val="000000"/>
                  </w14:solidFill>
                  <w14:prstDash w14:val="solid"/>
                  <w14:miter w14:val="10"/>
                </w14:textOutline>
              </w:rPr>
              <w:t>表</w:t>
            </w:r>
            <w:r>
              <w:rPr>
                <w:spacing w:val="-37"/>
                <w:sz w:val="24"/>
                <w:szCs w:val="24"/>
              </w:rPr>
              <w:t xml:space="preserve"> </w:t>
            </w:r>
            <w:r>
              <w:rPr>
                <w:rFonts w:ascii="Times New Roman" w:hAnsi="Times New Roman" w:eastAsia="Times New Roman" w:cs="Times New Roman"/>
                <w:b/>
                <w:bCs/>
                <w:spacing w:val="-1"/>
                <w:sz w:val="24"/>
                <w:szCs w:val="24"/>
              </w:rPr>
              <w:t xml:space="preserve">2.12-1    </w:t>
            </w:r>
            <w:r>
              <w:rPr>
                <w:spacing w:val="-1"/>
                <w:sz w:val="24"/>
                <w:szCs w:val="24"/>
                <w14:textOutline w14:w="4354" w14:cap="flat" w14:cmpd="sng">
                  <w14:solidFill>
                    <w14:srgbClr w14:val="000000"/>
                  </w14:solidFill>
                  <w14:prstDash w14:val="solid"/>
                  <w14:miter w14:val="10"/>
                </w14:textOutline>
              </w:rPr>
              <w:t>项目分区防渗方案一览表</w:t>
            </w:r>
          </w:p>
          <w:p>
            <w:pPr>
              <w:spacing w:line="16" w:lineRule="exact"/>
            </w:pPr>
          </w:p>
          <w:tbl>
            <w:tblPr>
              <w:tblStyle w:val="5"/>
              <w:tblW w:w="861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4"/>
              <w:gridCol w:w="2346"/>
              <w:gridCol w:w="2648"/>
              <w:gridCol w:w="2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84" w:type="dxa"/>
                  <w:vAlign w:val="top"/>
                </w:tcPr>
                <w:p>
                  <w:pPr>
                    <w:pStyle w:val="6"/>
                    <w:spacing w:before="34" w:line="224" w:lineRule="auto"/>
                    <w:ind w:left="487" w:right="162" w:hanging="315"/>
                    <w:rPr>
                      <w:sz w:val="21"/>
                      <w:szCs w:val="21"/>
                    </w:rPr>
                  </w:pPr>
                  <w:r>
                    <w:rPr>
                      <w:rFonts w:hint="eastAsia"/>
                      <w:spacing w:val="-2"/>
                      <w:sz w:val="21"/>
                      <w:szCs w:val="21"/>
                    </w:rPr>
                    <w:t>污染防治</w:t>
                  </w:r>
                  <w:r>
                    <w:rPr>
                      <w:spacing w:val="-2"/>
                      <w:sz w:val="21"/>
                      <w:szCs w:val="21"/>
                    </w:rPr>
                    <w:t>区</w:t>
                  </w:r>
                  <w:r>
                    <w:rPr>
                      <w:spacing w:val="2"/>
                      <w:sz w:val="21"/>
                      <w:szCs w:val="21"/>
                    </w:rPr>
                    <w:t xml:space="preserve"> </w:t>
                  </w:r>
                  <w:r>
                    <w:rPr>
                      <w:spacing w:val="-2"/>
                      <w:sz w:val="21"/>
                      <w:szCs w:val="21"/>
                    </w:rPr>
                    <w:t>类别</w:t>
                  </w:r>
                </w:p>
              </w:tc>
              <w:tc>
                <w:tcPr>
                  <w:tcW w:w="2346" w:type="dxa"/>
                  <w:vAlign w:val="top"/>
                </w:tcPr>
                <w:p>
                  <w:pPr>
                    <w:pStyle w:val="6"/>
                    <w:spacing w:before="171" w:line="221" w:lineRule="auto"/>
                    <w:ind w:left="559"/>
                    <w:rPr>
                      <w:sz w:val="21"/>
                      <w:szCs w:val="21"/>
                    </w:rPr>
                  </w:pPr>
                  <w:r>
                    <w:rPr>
                      <w:spacing w:val="-3"/>
                      <w:sz w:val="21"/>
                      <w:szCs w:val="21"/>
                    </w:rPr>
                    <w:t>防渗性能要求</w:t>
                  </w:r>
                </w:p>
              </w:tc>
              <w:tc>
                <w:tcPr>
                  <w:tcW w:w="2648" w:type="dxa"/>
                  <w:vAlign w:val="top"/>
                </w:tcPr>
                <w:p>
                  <w:pPr>
                    <w:pStyle w:val="6"/>
                    <w:spacing w:before="171" w:line="221" w:lineRule="auto"/>
                    <w:ind w:left="912"/>
                    <w:rPr>
                      <w:sz w:val="21"/>
                      <w:szCs w:val="21"/>
                    </w:rPr>
                  </w:pPr>
                  <w:r>
                    <w:rPr>
                      <w:spacing w:val="-2"/>
                      <w:sz w:val="21"/>
                      <w:szCs w:val="21"/>
                    </w:rPr>
                    <w:t>单元名称</w:t>
                  </w:r>
                </w:p>
              </w:tc>
              <w:tc>
                <w:tcPr>
                  <w:tcW w:w="2234" w:type="dxa"/>
                  <w:vAlign w:val="top"/>
                </w:tcPr>
                <w:p>
                  <w:pPr>
                    <w:pStyle w:val="6"/>
                    <w:spacing w:before="171" w:line="221" w:lineRule="auto"/>
                    <w:ind w:left="177"/>
                    <w:rPr>
                      <w:sz w:val="21"/>
                      <w:szCs w:val="21"/>
                    </w:rPr>
                  </w:pPr>
                  <w:r>
                    <w:rPr>
                      <w:rFonts w:hint="eastAsia"/>
                      <w:spacing w:val="-1"/>
                      <w:sz w:val="21"/>
                      <w:szCs w:val="21"/>
                    </w:rPr>
                    <w:t>污染防治</w:t>
                  </w:r>
                  <w:r>
                    <w:rPr>
                      <w:spacing w:val="-1"/>
                      <w:sz w:val="21"/>
                      <w:szCs w:val="21"/>
                    </w:rPr>
                    <w:t>区域或部位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384"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8" w:line="221" w:lineRule="auto"/>
                    <w:ind w:left="172"/>
                    <w:rPr>
                      <w:sz w:val="21"/>
                      <w:szCs w:val="21"/>
                    </w:rPr>
                  </w:pPr>
                  <w:r>
                    <w:rPr>
                      <w:spacing w:val="-2"/>
                      <w:sz w:val="21"/>
                      <w:szCs w:val="21"/>
                    </w:rPr>
                    <w:t>重点防渗区</w:t>
                  </w:r>
                </w:p>
              </w:tc>
              <w:tc>
                <w:tcPr>
                  <w:tcW w:w="2346" w:type="dxa"/>
                  <w:vMerge w:val="restart"/>
                  <w:tcBorders>
                    <w:bottom w:val="nil"/>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9" w:line="221" w:lineRule="auto"/>
                    <w:ind w:left="111"/>
                    <w:rPr>
                      <w:sz w:val="21"/>
                      <w:szCs w:val="21"/>
                    </w:rPr>
                  </w:pPr>
                  <w:r>
                    <w:rPr>
                      <w:spacing w:val="-2"/>
                      <w:sz w:val="21"/>
                      <w:szCs w:val="21"/>
                    </w:rPr>
                    <w:t>满足不应低于</w:t>
                  </w:r>
                  <w:r>
                    <w:rPr>
                      <w:spacing w:val="-41"/>
                      <w:sz w:val="21"/>
                      <w:szCs w:val="21"/>
                    </w:rPr>
                    <w:t xml:space="preserve"> </w:t>
                  </w:r>
                  <w:r>
                    <w:rPr>
                      <w:rFonts w:ascii="Times New Roman" w:hAnsi="Times New Roman" w:eastAsia="Times New Roman" w:cs="Times New Roman"/>
                      <w:spacing w:val="-2"/>
                      <w:sz w:val="21"/>
                      <w:szCs w:val="21"/>
                    </w:rPr>
                    <w:t xml:space="preserve">6.0m </w:t>
                  </w:r>
                  <w:r>
                    <w:rPr>
                      <w:spacing w:val="-2"/>
                      <w:sz w:val="21"/>
                      <w:szCs w:val="21"/>
                    </w:rPr>
                    <w:t>厚、</w:t>
                  </w:r>
                </w:p>
                <w:p>
                  <w:pPr>
                    <w:pStyle w:val="6"/>
                    <w:spacing w:before="22" w:line="221" w:lineRule="auto"/>
                    <w:ind w:left="652"/>
                    <w:rPr>
                      <w:sz w:val="21"/>
                      <w:szCs w:val="21"/>
                    </w:rPr>
                  </w:pPr>
                  <w:r>
                    <w:rPr>
                      <w:spacing w:val="-2"/>
                      <w:sz w:val="21"/>
                      <w:szCs w:val="21"/>
                    </w:rPr>
                    <w:t>渗透系数为</w:t>
                  </w:r>
                </w:p>
                <w:p>
                  <w:pPr>
                    <w:pStyle w:val="6"/>
                    <w:spacing w:before="20" w:line="234" w:lineRule="auto"/>
                    <w:ind w:left="195"/>
                    <w:rPr>
                      <w:sz w:val="21"/>
                      <w:szCs w:val="21"/>
                    </w:rPr>
                  </w:pPr>
                  <w:r>
                    <w:rPr>
                      <w:rFonts w:ascii="Times New Roman" w:hAnsi="Times New Roman" w:eastAsia="Times New Roman" w:cs="Times New Roman"/>
                      <w:spacing w:val="-3"/>
                      <w:sz w:val="21"/>
                      <w:szCs w:val="21"/>
                    </w:rPr>
                    <w:t>1.0×10</w:t>
                  </w:r>
                  <w:r>
                    <w:rPr>
                      <w:rFonts w:ascii="Times New Roman" w:hAnsi="Times New Roman" w:eastAsia="Times New Roman" w:cs="Times New Roman"/>
                      <w:spacing w:val="-3"/>
                      <w:position w:val="6"/>
                      <w:sz w:val="13"/>
                      <w:szCs w:val="13"/>
                    </w:rPr>
                    <w:t>-7</w:t>
                  </w:r>
                  <w:r>
                    <w:rPr>
                      <w:rFonts w:ascii="Times New Roman" w:hAnsi="Times New Roman" w:eastAsia="Times New Roman" w:cs="Times New Roman"/>
                      <w:spacing w:val="-3"/>
                      <w:sz w:val="21"/>
                      <w:szCs w:val="21"/>
                    </w:rPr>
                    <w:t>cm/s</w:t>
                  </w:r>
                  <w:r>
                    <w:rPr>
                      <w:rFonts w:ascii="Times New Roman" w:hAnsi="Times New Roman" w:eastAsia="Times New Roman" w:cs="Times New Roman"/>
                      <w:spacing w:val="34"/>
                      <w:w w:val="101"/>
                      <w:sz w:val="21"/>
                      <w:szCs w:val="21"/>
                    </w:rPr>
                    <w:t xml:space="preserve"> </w:t>
                  </w:r>
                  <w:r>
                    <w:rPr>
                      <w:spacing w:val="-3"/>
                      <w:sz w:val="21"/>
                      <w:szCs w:val="21"/>
                    </w:rPr>
                    <w:t>的等效黏</w:t>
                  </w:r>
                </w:p>
                <w:p>
                  <w:pPr>
                    <w:pStyle w:val="6"/>
                    <w:spacing w:before="6" w:line="221" w:lineRule="auto"/>
                    <w:ind w:left="441"/>
                    <w:rPr>
                      <w:sz w:val="21"/>
                      <w:szCs w:val="21"/>
                    </w:rPr>
                  </w:pPr>
                  <w:r>
                    <w:rPr>
                      <w:spacing w:val="-1"/>
                      <w:sz w:val="21"/>
                      <w:szCs w:val="21"/>
                    </w:rPr>
                    <w:t>土层的防渗性能</w:t>
                  </w:r>
                </w:p>
              </w:tc>
              <w:tc>
                <w:tcPr>
                  <w:tcW w:w="2648" w:type="dxa"/>
                  <w:vAlign w:val="top"/>
                </w:tcPr>
                <w:p>
                  <w:pPr>
                    <w:pStyle w:val="6"/>
                    <w:spacing w:before="29" w:line="221" w:lineRule="auto"/>
                    <w:ind w:left="113"/>
                    <w:rPr>
                      <w:sz w:val="21"/>
                      <w:szCs w:val="21"/>
                    </w:rPr>
                  </w:pPr>
                  <w:r>
                    <w:rPr>
                      <w:spacing w:val="-8"/>
                      <w:sz w:val="21"/>
                      <w:szCs w:val="21"/>
                    </w:rPr>
                    <w:t>井场内井口、井架及设备基</w:t>
                  </w:r>
                </w:p>
                <w:p>
                  <w:pPr>
                    <w:pStyle w:val="6"/>
                    <w:spacing w:before="22" w:line="221" w:lineRule="auto"/>
                    <w:ind w:right="13"/>
                    <w:jc w:val="right"/>
                    <w:rPr>
                      <w:sz w:val="21"/>
                      <w:szCs w:val="21"/>
                    </w:rPr>
                  </w:pPr>
                  <w:r>
                    <w:rPr>
                      <w:spacing w:val="-1"/>
                      <w:sz w:val="21"/>
                      <w:szCs w:val="21"/>
                    </w:rPr>
                    <w:t>础区域、泥浆循环系统区、</w:t>
                  </w:r>
                </w:p>
                <w:p>
                  <w:pPr>
                    <w:pStyle w:val="6"/>
                    <w:spacing w:before="20" w:line="208" w:lineRule="auto"/>
                    <w:ind w:left="595"/>
                    <w:rPr>
                      <w:sz w:val="21"/>
                      <w:szCs w:val="21"/>
                    </w:rPr>
                  </w:pPr>
                  <w:r>
                    <w:rPr>
                      <w:spacing w:val="-1"/>
                      <w:sz w:val="21"/>
                      <w:szCs w:val="21"/>
                    </w:rPr>
                    <w:t>泥浆材料堆存区</w:t>
                  </w:r>
                </w:p>
              </w:tc>
              <w:tc>
                <w:tcPr>
                  <w:tcW w:w="2234" w:type="dxa"/>
                  <w:vAlign w:val="top"/>
                </w:tcPr>
                <w:p>
                  <w:pPr>
                    <w:pStyle w:val="6"/>
                    <w:spacing w:before="303" w:line="222" w:lineRule="auto"/>
                    <w:ind w:left="912"/>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4" w:type="dxa"/>
                  <w:vMerge w:val="continue"/>
                  <w:tcBorders>
                    <w:top w:val="nil"/>
                    <w:bottom w:val="nil"/>
                  </w:tcBorders>
                  <w:vAlign w:val="top"/>
                </w:tcPr>
                <w:p>
                  <w:pPr>
                    <w:rPr>
                      <w:rFonts w:ascii="Arial"/>
                      <w:sz w:val="21"/>
                    </w:rPr>
                  </w:pPr>
                </w:p>
              </w:tc>
              <w:tc>
                <w:tcPr>
                  <w:tcW w:w="2346" w:type="dxa"/>
                  <w:vMerge w:val="continue"/>
                  <w:tcBorders>
                    <w:top w:val="nil"/>
                    <w:bottom w:val="nil"/>
                  </w:tcBorders>
                  <w:vAlign w:val="top"/>
                </w:tcPr>
                <w:p>
                  <w:pPr>
                    <w:rPr>
                      <w:rFonts w:ascii="Arial"/>
                      <w:sz w:val="21"/>
                    </w:rPr>
                  </w:pPr>
                </w:p>
              </w:tc>
              <w:tc>
                <w:tcPr>
                  <w:tcW w:w="2648" w:type="dxa"/>
                  <w:vAlign w:val="top"/>
                </w:tcPr>
                <w:p>
                  <w:pPr>
                    <w:pStyle w:val="6"/>
                    <w:spacing w:before="167" w:line="221" w:lineRule="auto"/>
                    <w:ind w:left="702"/>
                    <w:rPr>
                      <w:sz w:val="21"/>
                      <w:szCs w:val="21"/>
                    </w:rPr>
                  </w:pPr>
                  <w:r>
                    <w:rPr>
                      <w:spacing w:val="-2"/>
                      <w:sz w:val="21"/>
                      <w:szCs w:val="21"/>
                    </w:rPr>
                    <w:t>油罐、水罐区</w:t>
                  </w:r>
                </w:p>
              </w:tc>
              <w:tc>
                <w:tcPr>
                  <w:tcW w:w="2234" w:type="dxa"/>
                  <w:vAlign w:val="top"/>
                </w:tcPr>
                <w:p>
                  <w:pPr>
                    <w:pStyle w:val="6"/>
                    <w:spacing w:before="31" w:line="223" w:lineRule="auto"/>
                    <w:ind w:left="494" w:right="105" w:hanging="379"/>
                    <w:rPr>
                      <w:sz w:val="21"/>
                      <w:szCs w:val="21"/>
                    </w:rPr>
                  </w:pPr>
                  <w:r>
                    <w:rPr>
                      <w:spacing w:val="-10"/>
                      <w:sz w:val="21"/>
                      <w:szCs w:val="21"/>
                    </w:rPr>
                    <w:t>地面、围堰、四周及底</w:t>
                  </w:r>
                  <w:r>
                    <w:rPr>
                      <w:spacing w:val="6"/>
                      <w:sz w:val="21"/>
                      <w:szCs w:val="21"/>
                    </w:rPr>
                    <w:t xml:space="preserve"> </w:t>
                  </w:r>
                  <w:r>
                    <w:rPr>
                      <w:spacing w:val="-2"/>
                      <w:sz w:val="21"/>
                      <w:szCs w:val="21"/>
                    </w:rPr>
                    <w:t>部、防渗罐体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4" w:type="dxa"/>
                  <w:vMerge w:val="continue"/>
                  <w:tcBorders>
                    <w:top w:val="nil"/>
                    <w:bottom w:val="nil"/>
                  </w:tcBorders>
                  <w:vAlign w:val="top"/>
                </w:tcPr>
                <w:p>
                  <w:pPr>
                    <w:rPr>
                      <w:rFonts w:ascii="Arial"/>
                      <w:sz w:val="21"/>
                    </w:rPr>
                  </w:pPr>
                </w:p>
              </w:tc>
              <w:tc>
                <w:tcPr>
                  <w:tcW w:w="2346" w:type="dxa"/>
                  <w:vMerge w:val="continue"/>
                  <w:tcBorders>
                    <w:top w:val="nil"/>
                    <w:bottom w:val="nil"/>
                  </w:tcBorders>
                  <w:vAlign w:val="top"/>
                </w:tcPr>
                <w:p>
                  <w:pPr>
                    <w:rPr>
                      <w:rFonts w:ascii="Arial"/>
                      <w:sz w:val="21"/>
                    </w:rPr>
                  </w:pPr>
                </w:p>
              </w:tc>
              <w:tc>
                <w:tcPr>
                  <w:tcW w:w="2648" w:type="dxa"/>
                  <w:vAlign w:val="top"/>
                </w:tcPr>
                <w:p>
                  <w:pPr>
                    <w:pStyle w:val="6"/>
                    <w:spacing w:before="64" w:line="223" w:lineRule="auto"/>
                    <w:ind w:left="1013"/>
                    <w:rPr>
                      <w:sz w:val="21"/>
                      <w:szCs w:val="21"/>
                    </w:rPr>
                  </w:pPr>
                  <w:r>
                    <w:rPr>
                      <w:spacing w:val="-2"/>
                      <w:sz w:val="21"/>
                      <w:szCs w:val="21"/>
                    </w:rPr>
                    <w:t>应急池</w:t>
                  </w:r>
                </w:p>
              </w:tc>
              <w:tc>
                <w:tcPr>
                  <w:tcW w:w="2234" w:type="dxa"/>
                  <w:vAlign w:val="top"/>
                </w:tcPr>
                <w:p>
                  <w:pPr>
                    <w:pStyle w:val="6"/>
                    <w:spacing w:before="65" w:line="222" w:lineRule="auto"/>
                    <w:ind w:left="595"/>
                    <w:rPr>
                      <w:sz w:val="21"/>
                      <w:szCs w:val="21"/>
                    </w:rPr>
                  </w:pPr>
                  <w:r>
                    <w:rPr>
                      <w:spacing w:val="-1"/>
                      <w:sz w:val="21"/>
                      <w:szCs w:val="21"/>
                    </w:rPr>
                    <w:t>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4" w:type="dxa"/>
                  <w:vMerge w:val="continue"/>
                  <w:tcBorders>
                    <w:top w:val="nil"/>
                    <w:bottom w:val="nil"/>
                  </w:tcBorders>
                  <w:vAlign w:val="top"/>
                </w:tcPr>
                <w:p>
                  <w:pPr>
                    <w:rPr>
                      <w:rFonts w:ascii="Arial"/>
                      <w:sz w:val="21"/>
                    </w:rPr>
                  </w:pPr>
                </w:p>
              </w:tc>
              <w:tc>
                <w:tcPr>
                  <w:tcW w:w="2346" w:type="dxa"/>
                  <w:vMerge w:val="continue"/>
                  <w:tcBorders>
                    <w:top w:val="nil"/>
                    <w:bottom w:val="nil"/>
                  </w:tcBorders>
                  <w:vAlign w:val="top"/>
                </w:tcPr>
                <w:p>
                  <w:pPr>
                    <w:rPr>
                      <w:rFonts w:ascii="Arial"/>
                      <w:sz w:val="21"/>
                    </w:rPr>
                  </w:pPr>
                </w:p>
              </w:tc>
              <w:tc>
                <w:tcPr>
                  <w:tcW w:w="2648" w:type="dxa"/>
                  <w:vAlign w:val="top"/>
                </w:tcPr>
                <w:p>
                  <w:pPr>
                    <w:pStyle w:val="6"/>
                    <w:spacing w:before="65" w:line="220" w:lineRule="auto"/>
                    <w:ind w:left="594"/>
                    <w:rPr>
                      <w:sz w:val="21"/>
                      <w:szCs w:val="21"/>
                    </w:rPr>
                  </w:pPr>
                  <w:r>
                    <w:rPr>
                      <w:spacing w:val="-1"/>
                      <w:sz w:val="21"/>
                      <w:szCs w:val="21"/>
                    </w:rPr>
                    <w:t>燃烧池、集酸池</w:t>
                  </w:r>
                </w:p>
              </w:tc>
              <w:tc>
                <w:tcPr>
                  <w:tcW w:w="2234" w:type="dxa"/>
                  <w:vAlign w:val="top"/>
                </w:tcPr>
                <w:p>
                  <w:pPr>
                    <w:pStyle w:val="6"/>
                    <w:spacing w:before="65" w:line="222" w:lineRule="auto"/>
                    <w:ind w:left="595"/>
                    <w:rPr>
                      <w:sz w:val="21"/>
                      <w:szCs w:val="21"/>
                    </w:rPr>
                  </w:pPr>
                  <w:r>
                    <w:rPr>
                      <w:spacing w:val="-1"/>
                      <w:sz w:val="21"/>
                      <w:szCs w:val="21"/>
                    </w:rPr>
                    <w:t>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4" w:type="dxa"/>
                  <w:vMerge w:val="continue"/>
                  <w:tcBorders>
                    <w:top w:val="nil"/>
                    <w:bottom w:val="nil"/>
                  </w:tcBorders>
                  <w:vAlign w:val="top"/>
                </w:tcPr>
                <w:p>
                  <w:pPr>
                    <w:rPr>
                      <w:rFonts w:ascii="Arial"/>
                      <w:sz w:val="21"/>
                    </w:rPr>
                  </w:pPr>
                </w:p>
              </w:tc>
              <w:tc>
                <w:tcPr>
                  <w:tcW w:w="2346" w:type="dxa"/>
                  <w:vMerge w:val="continue"/>
                  <w:tcBorders>
                    <w:top w:val="nil"/>
                    <w:bottom w:val="nil"/>
                  </w:tcBorders>
                  <w:vAlign w:val="top"/>
                </w:tcPr>
                <w:p>
                  <w:pPr>
                    <w:rPr>
                      <w:rFonts w:ascii="Arial"/>
                      <w:sz w:val="21"/>
                    </w:rPr>
                  </w:pPr>
                </w:p>
              </w:tc>
              <w:tc>
                <w:tcPr>
                  <w:tcW w:w="2648" w:type="dxa"/>
                  <w:vAlign w:val="top"/>
                </w:tcPr>
                <w:p>
                  <w:pPr>
                    <w:pStyle w:val="6"/>
                    <w:spacing w:before="168" w:line="221" w:lineRule="auto"/>
                    <w:ind w:left="490"/>
                    <w:rPr>
                      <w:sz w:val="21"/>
                      <w:szCs w:val="21"/>
                    </w:rPr>
                  </w:pPr>
                  <w:r>
                    <w:rPr>
                      <w:spacing w:val="-1"/>
                      <w:sz w:val="21"/>
                      <w:szCs w:val="21"/>
                    </w:rPr>
                    <w:t>清洁生产操作平台</w:t>
                  </w:r>
                </w:p>
              </w:tc>
              <w:tc>
                <w:tcPr>
                  <w:tcW w:w="2234" w:type="dxa"/>
                  <w:vAlign w:val="top"/>
                </w:tcPr>
                <w:p>
                  <w:pPr>
                    <w:pStyle w:val="6"/>
                    <w:spacing w:before="31" w:line="223" w:lineRule="auto"/>
                    <w:ind w:left="1017" w:right="105" w:hanging="902"/>
                    <w:rPr>
                      <w:sz w:val="21"/>
                      <w:szCs w:val="21"/>
                    </w:rPr>
                  </w:pPr>
                  <w:r>
                    <w:rPr>
                      <w:spacing w:val="-10"/>
                      <w:sz w:val="21"/>
                      <w:szCs w:val="21"/>
                    </w:rPr>
                    <w:t>地面、围堰、四周及底</w:t>
                  </w:r>
                  <w:r>
                    <w:rPr>
                      <w:spacing w:val="6"/>
                      <w:sz w:val="21"/>
                      <w:szCs w:val="21"/>
                    </w:rPr>
                    <w:t xml:space="preserve"> </w:t>
                  </w:r>
                  <w:r>
                    <w:rPr>
                      <w:sz w:val="21"/>
                      <w:szCs w:val="21"/>
                    </w:rPr>
                    <w:t>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4" w:type="dxa"/>
                  <w:vMerge w:val="continue"/>
                  <w:tcBorders>
                    <w:top w:val="nil"/>
                    <w:bottom w:val="nil"/>
                  </w:tcBorders>
                  <w:vAlign w:val="top"/>
                </w:tcPr>
                <w:p>
                  <w:pPr>
                    <w:rPr>
                      <w:rFonts w:ascii="Arial"/>
                      <w:sz w:val="21"/>
                    </w:rPr>
                  </w:pPr>
                </w:p>
              </w:tc>
              <w:tc>
                <w:tcPr>
                  <w:tcW w:w="2346" w:type="dxa"/>
                  <w:vMerge w:val="continue"/>
                  <w:tcBorders>
                    <w:top w:val="nil"/>
                    <w:bottom w:val="nil"/>
                  </w:tcBorders>
                  <w:vAlign w:val="top"/>
                </w:tcPr>
                <w:p>
                  <w:pPr>
                    <w:rPr>
                      <w:rFonts w:ascii="Arial"/>
                      <w:sz w:val="21"/>
                    </w:rPr>
                  </w:pPr>
                </w:p>
              </w:tc>
              <w:tc>
                <w:tcPr>
                  <w:tcW w:w="2648" w:type="dxa"/>
                  <w:vAlign w:val="top"/>
                </w:tcPr>
                <w:p>
                  <w:pPr>
                    <w:pStyle w:val="6"/>
                    <w:spacing w:before="169" w:line="221" w:lineRule="auto"/>
                    <w:ind w:left="701"/>
                    <w:rPr>
                      <w:sz w:val="21"/>
                      <w:szCs w:val="21"/>
                    </w:rPr>
                  </w:pPr>
                  <w:r>
                    <w:rPr>
                      <w:spacing w:val="-2"/>
                      <w:sz w:val="21"/>
                      <w:szCs w:val="21"/>
                    </w:rPr>
                    <w:t>泥浆储备罐区</w:t>
                  </w:r>
                </w:p>
              </w:tc>
              <w:tc>
                <w:tcPr>
                  <w:tcW w:w="2234" w:type="dxa"/>
                  <w:vAlign w:val="top"/>
                </w:tcPr>
                <w:p>
                  <w:pPr>
                    <w:pStyle w:val="6"/>
                    <w:spacing w:before="31" w:line="223" w:lineRule="auto"/>
                    <w:ind w:left="494" w:right="105" w:hanging="379"/>
                    <w:rPr>
                      <w:sz w:val="21"/>
                      <w:szCs w:val="21"/>
                    </w:rPr>
                  </w:pPr>
                  <w:r>
                    <w:rPr>
                      <w:spacing w:val="-10"/>
                      <w:sz w:val="21"/>
                      <w:szCs w:val="21"/>
                    </w:rPr>
                    <w:t>地面、围堰、四周及底</w:t>
                  </w:r>
                  <w:r>
                    <w:rPr>
                      <w:spacing w:val="6"/>
                      <w:sz w:val="21"/>
                      <w:szCs w:val="21"/>
                    </w:rPr>
                    <w:t xml:space="preserve"> </w:t>
                  </w:r>
                  <w:r>
                    <w:rPr>
                      <w:spacing w:val="-2"/>
                      <w:sz w:val="21"/>
                      <w:szCs w:val="21"/>
                    </w:rPr>
                    <w:t>部、防渗罐体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84" w:type="dxa"/>
                  <w:vMerge w:val="continue"/>
                  <w:tcBorders>
                    <w:top w:val="nil"/>
                  </w:tcBorders>
                  <w:vAlign w:val="top"/>
                </w:tcPr>
                <w:p>
                  <w:pPr>
                    <w:rPr>
                      <w:rFonts w:ascii="Arial"/>
                      <w:sz w:val="21"/>
                    </w:rPr>
                  </w:pPr>
                </w:p>
              </w:tc>
              <w:tc>
                <w:tcPr>
                  <w:tcW w:w="2346" w:type="dxa"/>
                  <w:vMerge w:val="continue"/>
                  <w:tcBorders>
                    <w:top w:val="nil"/>
                  </w:tcBorders>
                  <w:vAlign w:val="top"/>
                </w:tcPr>
                <w:p>
                  <w:pPr>
                    <w:rPr>
                      <w:rFonts w:ascii="Arial"/>
                      <w:sz w:val="21"/>
                    </w:rPr>
                  </w:pPr>
                </w:p>
              </w:tc>
              <w:tc>
                <w:tcPr>
                  <w:tcW w:w="2648" w:type="dxa"/>
                  <w:vAlign w:val="top"/>
                </w:tcPr>
                <w:p>
                  <w:pPr>
                    <w:pStyle w:val="6"/>
                    <w:spacing w:before="66" w:line="221" w:lineRule="auto"/>
                    <w:ind w:left="606"/>
                    <w:rPr>
                      <w:sz w:val="21"/>
                      <w:szCs w:val="21"/>
                    </w:rPr>
                  </w:pPr>
                  <w:r>
                    <w:rPr>
                      <w:spacing w:val="-3"/>
                      <w:sz w:val="21"/>
                      <w:szCs w:val="21"/>
                    </w:rPr>
                    <w:t>隔油池、集液池</w:t>
                  </w:r>
                </w:p>
              </w:tc>
              <w:tc>
                <w:tcPr>
                  <w:tcW w:w="2234" w:type="dxa"/>
                  <w:vAlign w:val="top"/>
                </w:tcPr>
                <w:p>
                  <w:pPr>
                    <w:pStyle w:val="6"/>
                    <w:spacing w:before="66" w:line="222" w:lineRule="auto"/>
                    <w:ind w:left="595"/>
                    <w:rPr>
                      <w:sz w:val="21"/>
                      <w:szCs w:val="21"/>
                    </w:rPr>
                  </w:pPr>
                  <w:r>
                    <w:rPr>
                      <w:spacing w:val="-1"/>
                      <w:sz w:val="21"/>
                      <w:szCs w:val="21"/>
                    </w:rPr>
                    <w:t>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4" w:type="dxa"/>
                  <w:vMerge w:val="restart"/>
                  <w:tcBorders>
                    <w:bottom w:val="nil"/>
                  </w:tcBorders>
                  <w:vAlign w:val="top"/>
                </w:tcPr>
                <w:p>
                  <w:pPr>
                    <w:spacing w:line="370" w:lineRule="auto"/>
                    <w:rPr>
                      <w:rFonts w:ascii="Arial"/>
                      <w:sz w:val="21"/>
                    </w:rPr>
                  </w:pPr>
                </w:p>
                <w:p>
                  <w:pPr>
                    <w:pStyle w:val="6"/>
                    <w:spacing w:before="69" w:line="221" w:lineRule="auto"/>
                    <w:ind w:left="174"/>
                    <w:rPr>
                      <w:sz w:val="21"/>
                      <w:szCs w:val="21"/>
                    </w:rPr>
                  </w:pPr>
                  <w:r>
                    <w:rPr>
                      <w:spacing w:val="-2"/>
                      <w:sz w:val="21"/>
                      <w:szCs w:val="21"/>
                    </w:rPr>
                    <w:t>一般防渗区</w:t>
                  </w:r>
                </w:p>
              </w:tc>
              <w:tc>
                <w:tcPr>
                  <w:tcW w:w="2346" w:type="dxa"/>
                  <w:vMerge w:val="restart"/>
                  <w:tcBorders>
                    <w:bottom w:val="nil"/>
                  </w:tcBorders>
                  <w:vAlign w:val="top"/>
                </w:tcPr>
                <w:p>
                  <w:pPr>
                    <w:pStyle w:val="6"/>
                    <w:spacing w:before="32" w:line="221" w:lineRule="auto"/>
                    <w:ind w:left="111"/>
                    <w:rPr>
                      <w:sz w:val="21"/>
                      <w:szCs w:val="21"/>
                    </w:rPr>
                  </w:pPr>
                  <w:r>
                    <w:rPr>
                      <w:spacing w:val="-5"/>
                      <w:sz w:val="21"/>
                      <w:szCs w:val="21"/>
                    </w:rPr>
                    <w:t>满足不应低于</w:t>
                  </w:r>
                  <w:r>
                    <w:rPr>
                      <w:spacing w:val="-20"/>
                      <w:sz w:val="21"/>
                      <w:szCs w:val="21"/>
                    </w:rPr>
                    <w:t xml:space="preserve"> </w:t>
                  </w:r>
                  <w:r>
                    <w:rPr>
                      <w:rFonts w:ascii="Times New Roman" w:hAnsi="Times New Roman" w:eastAsia="Times New Roman" w:cs="Times New Roman"/>
                      <w:spacing w:val="-5"/>
                      <w:sz w:val="21"/>
                      <w:szCs w:val="21"/>
                    </w:rPr>
                    <w:t>1.5m</w:t>
                  </w:r>
                  <w:r>
                    <w:rPr>
                      <w:rFonts w:ascii="Times New Roman" w:hAnsi="Times New Roman" w:eastAsia="Times New Roman" w:cs="Times New Roman"/>
                      <w:spacing w:val="13"/>
                      <w:sz w:val="21"/>
                      <w:szCs w:val="21"/>
                    </w:rPr>
                    <w:t xml:space="preserve"> </w:t>
                  </w:r>
                  <w:r>
                    <w:rPr>
                      <w:spacing w:val="-5"/>
                      <w:sz w:val="21"/>
                      <w:szCs w:val="21"/>
                    </w:rPr>
                    <w:t>厚、</w:t>
                  </w:r>
                </w:p>
                <w:p>
                  <w:pPr>
                    <w:pStyle w:val="6"/>
                    <w:spacing w:before="19" w:line="221" w:lineRule="auto"/>
                    <w:ind w:left="652"/>
                    <w:rPr>
                      <w:sz w:val="21"/>
                      <w:szCs w:val="21"/>
                    </w:rPr>
                  </w:pPr>
                  <w:r>
                    <w:rPr>
                      <w:spacing w:val="-2"/>
                      <w:sz w:val="21"/>
                      <w:szCs w:val="21"/>
                    </w:rPr>
                    <w:t>渗透系数为</w:t>
                  </w:r>
                </w:p>
                <w:p>
                  <w:pPr>
                    <w:pStyle w:val="6"/>
                    <w:spacing w:before="23" w:line="234" w:lineRule="auto"/>
                    <w:ind w:left="195"/>
                    <w:rPr>
                      <w:sz w:val="21"/>
                      <w:szCs w:val="21"/>
                    </w:rPr>
                  </w:pPr>
                  <w:r>
                    <w:rPr>
                      <w:rFonts w:ascii="Times New Roman" w:hAnsi="Times New Roman" w:eastAsia="Times New Roman" w:cs="Times New Roman"/>
                      <w:spacing w:val="-3"/>
                      <w:sz w:val="21"/>
                      <w:szCs w:val="21"/>
                    </w:rPr>
                    <w:t>1.0×10</w:t>
                  </w:r>
                  <w:r>
                    <w:rPr>
                      <w:rFonts w:ascii="Times New Roman" w:hAnsi="Times New Roman" w:eastAsia="Times New Roman" w:cs="Times New Roman"/>
                      <w:spacing w:val="-3"/>
                      <w:position w:val="6"/>
                      <w:sz w:val="13"/>
                      <w:szCs w:val="13"/>
                    </w:rPr>
                    <w:t>-7</w:t>
                  </w:r>
                  <w:r>
                    <w:rPr>
                      <w:rFonts w:ascii="Times New Roman" w:hAnsi="Times New Roman" w:eastAsia="Times New Roman" w:cs="Times New Roman"/>
                      <w:spacing w:val="-3"/>
                      <w:sz w:val="21"/>
                      <w:szCs w:val="21"/>
                    </w:rPr>
                    <w:t>cm/s</w:t>
                  </w:r>
                  <w:r>
                    <w:rPr>
                      <w:rFonts w:ascii="Times New Roman" w:hAnsi="Times New Roman" w:eastAsia="Times New Roman" w:cs="Times New Roman"/>
                      <w:spacing w:val="34"/>
                      <w:w w:val="101"/>
                      <w:sz w:val="21"/>
                      <w:szCs w:val="21"/>
                    </w:rPr>
                    <w:t xml:space="preserve"> </w:t>
                  </w:r>
                  <w:r>
                    <w:rPr>
                      <w:spacing w:val="-3"/>
                      <w:sz w:val="21"/>
                      <w:szCs w:val="21"/>
                    </w:rPr>
                    <w:t>的等效黏</w:t>
                  </w:r>
                </w:p>
                <w:p>
                  <w:pPr>
                    <w:pStyle w:val="6"/>
                    <w:spacing w:before="3" w:line="206" w:lineRule="auto"/>
                    <w:ind w:left="441"/>
                    <w:rPr>
                      <w:sz w:val="21"/>
                      <w:szCs w:val="21"/>
                    </w:rPr>
                  </w:pPr>
                  <w:r>
                    <w:rPr>
                      <w:spacing w:val="-1"/>
                      <w:sz w:val="21"/>
                      <w:szCs w:val="21"/>
                    </w:rPr>
                    <w:t>土层的防渗性能</w:t>
                  </w:r>
                </w:p>
              </w:tc>
              <w:tc>
                <w:tcPr>
                  <w:tcW w:w="2648" w:type="dxa"/>
                  <w:vAlign w:val="top"/>
                </w:tcPr>
                <w:p>
                  <w:pPr>
                    <w:pStyle w:val="6"/>
                    <w:spacing w:before="33" w:line="222" w:lineRule="auto"/>
                    <w:ind w:left="384" w:right="101" w:hanging="271"/>
                    <w:rPr>
                      <w:sz w:val="21"/>
                      <w:szCs w:val="21"/>
                    </w:rPr>
                  </w:pPr>
                  <w:r>
                    <w:rPr>
                      <w:spacing w:val="-8"/>
                      <w:sz w:val="21"/>
                      <w:szCs w:val="21"/>
                    </w:rPr>
                    <w:t>井场部分非设备基础区（包</w:t>
                  </w:r>
                  <w:r>
                    <w:rPr>
                      <w:spacing w:val="3"/>
                      <w:sz w:val="21"/>
                      <w:szCs w:val="21"/>
                    </w:rPr>
                    <w:t xml:space="preserve"> </w:t>
                  </w:r>
                  <w:r>
                    <w:rPr>
                      <w:spacing w:val="-2"/>
                      <w:sz w:val="21"/>
                      <w:szCs w:val="21"/>
                    </w:rPr>
                    <w:t>括清污分流排水沟）</w:t>
                  </w:r>
                </w:p>
              </w:tc>
              <w:tc>
                <w:tcPr>
                  <w:tcW w:w="2234" w:type="dxa"/>
                  <w:vAlign w:val="top"/>
                </w:tcPr>
                <w:p>
                  <w:pPr>
                    <w:pStyle w:val="6"/>
                    <w:spacing w:before="169" w:line="221" w:lineRule="auto"/>
                    <w:ind w:left="492"/>
                    <w:rPr>
                      <w:sz w:val="21"/>
                      <w:szCs w:val="21"/>
                    </w:rPr>
                  </w:pPr>
                  <w:r>
                    <w:rPr>
                      <w:spacing w:val="-1"/>
                      <w:sz w:val="21"/>
                      <w:szCs w:val="21"/>
                    </w:rPr>
                    <w:t>地面和排水沟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384" w:type="dxa"/>
                  <w:vMerge w:val="continue"/>
                  <w:tcBorders>
                    <w:top w:val="nil"/>
                  </w:tcBorders>
                  <w:vAlign w:val="top"/>
                </w:tcPr>
                <w:p>
                  <w:pPr>
                    <w:rPr>
                      <w:rFonts w:ascii="Arial"/>
                      <w:sz w:val="21"/>
                    </w:rPr>
                  </w:pPr>
                </w:p>
              </w:tc>
              <w:tc>
                <w:tcPr>
                  <w:tcW w:w="2346" w:type="dxa"/>
                  <w:vMerge w:val="continue"/>
                  <w:tcBorders>
                    <w:top w:val="nil"/>
                  </w:tcBorders>
                  <w:vAlign w:val="top"/>
                </w:tcPr>
                <w:p>
                  <w:pPr>
                    <w:rPr>
                      <w:rFonts w:ascii="Arial"/>
                      <w:sz w:val="21"/>
                    </w:rPr>
                  </w:pPr>
                </w:p>
              </w:tc>
              <w:tc>
                <w:tcPr>
                  <w:tcW w:w="2648" w:type="dxa"/>
                  <w:vAlign w:val="top"/>
                </w:tcPr>
                <w:p>
                  <w:pPr>
                    <w:pStyle w:val="6"/>
                    <w:spacing w:before="165" w:line="221" w:lineRule="auto"/>
                    <w:ind w:left="910"/>
                    <w:rPr>
                      <w:sz w:val="21"/>
                      <w:szCs w:val="21"/>
                    </w:rPr>
                  </w:pPr>
                  <w:r>
                    <w:rPr>
                      <w:spacing w:val="-2"/>
                      <w:sz w:val="21"/>
                      <w:szCs w:val="21"/>
                    </w:rPr>
                    <w:t>环保厕所</w:t>
                  </w:r>
                </w:p>
              </w:tc>
              <w:tc>
                <w:tcPr>
                  <w:tcW w:w="2234" w:type="dxa"/>
                  <w:vAlign w:val="top"/>
                </w:tcPr>
                <w:p>
                  <w:pPr>
                    <w:pStyle w:val="6"/>
                    <w:spacing w:before="165" w:line="221" w:lineRule="auto"/>
                    <w:ind w:left="175"/>
                    <w:rPr>
                      <w:sz w:val="21"/>
                      <w:szCs w:val="21"/>
                    </w:rPr>
                  </w:pPr>
                  <w:r>
                    <w:rPr>
                      <w:spacing w:val="-1"/>
                      <w:sz w:val="21"/>
                      <w:szCs w:val="21"/>
                    </w:rPr>
                    <w:t>环保厕所池底及池壁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384" w:type="dxa"/>
                  <w:vAlign w:val="top"/>
                </w:tcPr>
                <w:p>
                  <w:pPr>
                    <w:pStyle w:val="6"/>
                    <w:spacing w:before="171" w:line="220" w:lineRule="auto"/>
                    <w:ind w:left="175"/>
                    <w:rPr>
                      <w:sz w:val="21"/>
                      <w:szCs w:val="21"/>
                    </w:rPr>
                  </w:pPr>
                  <w:r>
                    <w:rPr>
                      <w:spacing w:val="-2"/>
                      <w:sz w:val="21"/>
                      <w:szCs w:val="21"/>
                    </w:rPr>
                    <w:t>简单防渗区</w:t>
                  </w:r>
                </w:p>
              </w:tc>
              <w:tc>
                <w:tcPr>
                  <w:tcW w:w="2346" w:type="dxa"/>
                  <w:vAlign w:val="top"/>
                </w:tcPr>
                <w:p>
                  <w:pPr>
                    <w:pStyle w:val="6"/>
                    <w:spacing w:before="171" w:line="222" w:lineRule="auto"/>
                    <w:ind w:left="549"/>
                    <w:rPr>
                      <w:sz w:val="21"/>
                      <w:szCs w:val="21"/>
                    </w:rPr>
                  </w:pPr>
                  <w:r>
                    <w:rPr>
                      <w:spacing w:val="-2"/>
                      <w:sz w:val="21"/>
                      <w:szCs w:val="21"/>
                    </w:rPr>
                    <w:t>一般地面硬化</w:t>
                  </w:r>
                </w:p>
              </w:tc>
              <w:tc>
                <w:tcPr>
                  <w:tcW w:w="2648" w:type="dxa"/>
                  <w:vAlign w:val="top"/>
                </w:tcPr>
                <w:p>
                  <w:pPr>
                    <w:pStyle w:val="6"/>
                    <w:spacing w:before="33" w:line="224" w:lineRule="auto"/>
                    <w:ind w:left="820" w:right="163" w:hanging="634"/>
                    <w:rPr>
                      <w:sz w:val="21"/>
                      <w:szCs w:val="21"/>
                    </w:rPr>
                  </w:pPr>
                  <w:r>
                    <w:rPr>
                      <w:spacing w:val="-2"/>
                      <w:sz w:val="21"/>
                      <w:szCs w:val="21"/>
                    </w:rPr>
                    <w:t>除重点防渗区和一般防渗</w:t>
                  </w:r>
                  <w:r>
                    <w:rPr>
                      <w:spacing w:val="4"/>
                      <w:sz w:val="21"/>
                      <w:szCs w:val="21"/>
                    </w:rPr>
                    <w:t xml:space="preserve"> </w:t>
                  </w:r>
                  <w:r>
                    <w:rPr>
                      <w:spacing w:val="-5"/>
                      <w:sz w:val="21"/>
                      <w:szCs w:val="21"/>
                    </w:rPr>
                    <w:t>区外的区域</w:t>
                  </w:r>
                </w:p>
              </w:tc>
              <w:tc>
                <w:tcPr>
                  <w:tcW w:w="2234" w:type="dxa"/>
                  <w:vAlign w:val="top"/>
                </w:tcPr>
                <w:p>
                  <w:pPr>
                    <w:pStyle w:val="6"/>
                    <w:spacing w:before="171" w:line="222" w:lineRule="auto"/>
                    <w:ind w:left="912"/>
                    <w:rPr>
                      <w:sz w:val="21"/>
                      <w:szCs w:val="21"/>
                    </w:rPr>
                  </w:pPr>
                  <w:r>
                    <w:rPr>
                      <w:spacing w:val="-2"/>
                      <w:sz w:val="21"/>
                      <w:szCs w:val="21"/>
                    </w:rPr>
                    <w:t>地面</w:t>
                  </w:r>
                </w:p>
              </w:tc>
            </w:tr>
          </w:tbl>
          <w:p>
            <w:pPr>
              <w:pStyle w:val="6"/>
              <w:spacing w:before="177" w:line="220" w:lineRule="auto"/>
              <w:ind w:left="584"/>
              <w:rPr>
                <w:sz w:val="24"/>
                <w:szCs w:val="24"/>
              </w:rPr>
            </w:pP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、道路工程</w:t>
            </w:r>
          </w:p>
        </w:tc>
      </w:tr>
    </w:tbl>
    <w:p>
      <w:pPr>
        <w:pStyle w:val="2"/>
        <w:rPr>
          <w:sz w:val="21"/>
        </w:rPr>
      </w:pPr>
    </w:p>
    <w:p>
      <w:pPr>
        <w:rPr>
          <w:sz w:val="21"/>
          <w:szCs w:val="21"/>
        </w:rPr>
        <w:sectPr>
          <w:footerReference r:id="rId52"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51"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480" w:lineRule="exact"/>
              <w:ind w:left="586"/>
              <w:rPr>
                <w:sz w:val="24"/>
                <w:szCs w:val="24"/>
              </w:rPr>
            </w:pPr>
            <w:r>
              <w:rPr>
                <w:spacing w:val="-2"/>
                <w:position w:val="18"/>
                <w:sz w:val="24"/>
                <w:szCs w:val="24"/>
              </w:rPr>
              <w:t>本项目井场道路工程主要为维修道路和新建道路。</w:t>
            </w:r>
          </w:p>
          <w:p>
            <w:pPr>
              <w:pStyle w:val="6"/>
              <w:spacing w:line="219" w:lineRule="auto"/>
              <w:ind w:left="592"/>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）维修道路</w:t>
            </w:r>
          </w:p>
          <w:p>
            <w:pPr>
              <w:pStyle w:val="6"/>
              <w:spacing w:before="195" w:line="369" w:lineRule="auto"/>
              <w:ind w:left="109" w:right="102" w:firstLine="479"/>
              <w:rPr>
                <w:sz w:val="24"/>
                <w:szCs w:val="24"/>
              </w:rPr>
            </w:pPr>
            <w:r>
              <w:rPr>
                <w:spacing w:val="-6"/>
                <w:sz w:val="24"/>
                <w:szCs w:val="24"/>
              </w:rPr>
              <w:t>维修道路全长</w:t>
            </w:r>
            <w:r>
              <w:rPr>
                <w:spacing w:val="-50"/>
                <w:sz w:val="24"/>
                <w:szCs w:val="24"/>
              </w:rPr>
              <w:t xml:space="preserve"> </w:t>
            </w:r>
            <w:r>
              <w:rPr>
                <w:rFonts w:ascii="Times New Roman" w:hAnsi="Times New Roman" w:eastAsia="Times New Roman" w:cs="Times New Roman"/>
                <w:spacing w:val="-6"/>
                <w:sz w:val="24"/>
                <w:szCs w:val="24"/>
              </w:rPr>
              <w:t>9.4km</w:t>
            </w:r>
            <w:r>
              <w:rPr>
                <w:spacing w:val="-6"/>
                <w:sz w:val="24"/>
                <w:szCs w:val="24"/>
              </w:rPr>
              <w:t>，全线为既有混凝土路面</w:t>
            </w:r>
            <w:r>
              <w:rPr>
                <w:spacing w:val="-7"/>
                <w:sz w:val="24"/>
                <w:szCs w:val="24"/>
              </w:rPr>
              <w:t>村道， 直线段路面宽度</w:t>
            </w:r>
            <w:r>
              <w:rPr>
                <w:spacing w:val="-50"/>
                <w:sz w:val="24"/>
                <w:szCs w:val="24"/>
              </w:rPr>
              <w:t xml:space="preserve"> </w:t>
            </w:r>
            <w:r>
              <w:rPr>
                <w:rFonts w:ascii="Times New Roman" w:hAnsi="Times New Roman" w:eastAsia="Times New Roman" w:cs="Times New Roman"/>
                <w:spacing w:val="-7"/>
                <w:sz w:val="24"/>
                <w:szCs w:val="24"/>
              </w:rPr>
              <w:t>3.5m</w:t>
            </w:r>
            <w:r>
              <w:rPr>
                <w:spacing w:val="-7"/>
                <w:sz w:val="24"/>
                <w:szCs w:val="24"/>
              </w:rPr>
              <w:t>～</w:t>
            </w:r>
            <w:r>
              <w:rPr>
                <w:rFonts w:ascii="Times New Roman" w:hAnsi="Times New Roman" w:eastAsia="Times New Roman" w:cs="Times New Roman"/>
                <w:spacing w:val="-7"/>
                <w:sz w:val="24"/>
                <w:szCs w:val="24"/>
              </w:rPr>
              <w:t>4m</w:t>
            </w:r>
            <w:r>
              <w:rPr>
                <w:rFonts w:ascii="Times New Roman" w:hAnsi="Times New Roman" w:eastAsia="Times New Roman" w:cs="Times New Roman"/>
                <w:sz w:val="24"/>
                <w:szCs w:val="24"/>
              </w:rPr>
              <w:t xml:space="preserve"> </w:t>
            </w:r>
            <w:r>
              <w:rPr>
                <w:spacing w:val="-14"/>
                <w:sz w:val="24"/>
                <w:szCs w:val="24"/>
              </w:rPr>
              <w:t>不等， 路面为混凝土，</w:t>
            </w:r>
            <w:r>
              <w:rPr>
                <w:spacing w:val="64"/>
                <w:sz w:val="24"/>
                <w:szCs w:val="24"/>
              </w:rPr>
              <w:t xml:space="preserve"> </w:t>
            </w:r>
            <w:r>
              <w:rPr>
                <w:spacing w:val="-14"/>
                <w:sz w:val="24"/>
                <w:szCs w:val="24"/>
              </w:rPr>
              <w:t>路面多处有损坏，须进行维修，部分弯道需加宽，</w:t>
            </w:r>
            <w:r>
              <w:rPr>
                <w:spacing w:val="59"/>
                <w:sz w:val="24"/>
                <w:szCs w:val="24"/>
              </w:rPr>
              <w:t xml:space="preserve"> </w:t>
            </w:r>
            <w:r>
              <w:rPr>
                <w:spacing w:val="-14"/>
                <w:sz w:val="24"/>
                <w:szCs w:val="24"/>
              </w:rPr>
              <w:t>全线增设</w:t>
            </w:r>
          </w:p>
          <w:p>
            <w:pPr>
              <w:pStyle w:val="6"/>
              <w:spacing w:line="219" w:lineRule="auto"/>
              <w:ind w:left="106"/>
              <w:rPr>
                <w:sz w:val="24"/>
                <w:szCs w:val="24"/>
              </w:rPr>
            </w:pPr>
            <w:r>
              <w:rPr>
                <w:spacing w:val="-9"/>
                <w:sz w:val="24"/>
                <w:szCs w:val="24"/>
              </w:rPr>
              <w:t>错车道。</w:t>
            </w:r>
          </w:p>
          <w:p>
            <w:pPr>
              <w:pStyle w:val="6"/>
              <w:spacing w:before="194" w:line="220" w:lineRule="auto"/>
              <w:ind w:left="592"/>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）新建进场道路</w:t>
            </w:r>
          </w:p>
          <w:p>
            <w:pPr>
              <w:pStyle w:val="6"/>
              <w:spacing w:before="197" w:line="369" w:lineRule="auto"/>
              <w:ind w:left="106" w:right="103" w:firstLine="480"/>
              <w:rPr>
                <w:sz w:val="24"/>
                <w:szCs w:val="24"/>
              </w:rPr>
            </w:pPr>
            <w:r>
              <w:rPr>
                <w:spacing w:val="-2"/>
                <w:sz w:val="24"/>
                <w:szCs w:val="24"/>
              </w:rPr>
              <w:t xml:space="preserve">新建进场道路 </w:t>
            </w:r>
            <w:r>
              <w:rPr>
                <w:rFonts w:ascii="Times New Roman" w:hAnsi="Times New Roman" w:eastAsia="Times New Roman" w:cs="Times New Roman"/>
                <w:spacing w:val="-2"/>
                <w:sz w:val="24"/>
                <w:szCs w:val="24"/>
              </w:rPr>
              <w:t>110m</w:t>
            </w:r>
            <w:r>
              <w:rPr>
                <w:spacing w:val="-2"/>
                <w:sz w:val="24"/>
                <w:szCs w:val="24"/>
              </w:rPr>
              <w:t>，井场道路路基宽</w:t>
            </w:r>
            <w:r>
              <w:rPr>
                <w:spacing w:val="-41"/>
                <w:sz w:val="24"/>
                <w:szCs w:val="24"/>
              </w:rPr>
              <w:t xml:space="preserve"> </w:t>
            </w:r>
            <w:r>
              <w:rPr>
                <w:rFonts w:ascii="Times New Roman" w:hAnsi="Times New Roman" w:eastAsia="Times New Roman" w:cs="Times New Roman"/>
                <w:spacing w:val="-2"/>
                <w:sz w:val="24"/>
                <w:szCs w:val="24"/>
              </w:rPr>
              <w:t>4.5m</w:t>
            </w:r>
            <w:r>
              <w:rPr>
                <w:spacing w:val="-2"/>
                <w:sz w:val="24"/>
                <w:szCs w:val="24"/>
              </w:rPr>
              <w:t>，全路段以挖方路基。</w:t>
            </w:r>
            <w:r>
              <w:rPr>
                <w:spacing w:val="-3"/>
                <w:sz w:val="24"/>
                <w:szCs w:val="24"/>
              </w:rPr>
              <w:t>路面结构层</w:t>
            </w:r>
            <w:r>
              <w:rPr>
                <w:sz w:val="24"/>
                <w:szCs w:val="24"/>
              </w:rPr>
              <w:t xml:space="preserve"> </w:t>
            </w:r>
            <w:r>
              <w:rPr>
                <w:spacing w:val="-2"/>
                <w:sz w:val="24"/>
                <w:szCs w:val="24"/>
              </w:rPr>
              <w:t>为</w:t>
            </w:r>
            <w:r>
              <w:rPr>
                <w:spacing w:val="-55"/>
                <w:sz w:val="24"/>
                <w:szCs w:val="24"/>
              </w:rPr>
              <w:t xml:space="preserve"> </w:t>
            </w:r>
            <w:r>
              <w:rPr>
                <w:rFonts w:ascii="Times New Roman" w:hAnsi="Times New Roman" w:eastAsia="Times New Roman" w:cs="Times New Roman"/>
                <w:spacing w:val="-2"/>
                <w:sz w:val="24"/>
                <w:szCs w:val="24"/>
              </w:rPr>
              <w:t>20cm</w:t>
            </w:r>
            <w:r>
              <w:rPr>
                <w:rFonts w:ascii="Times New Roman" w:hAnsi="Times New Roman" w:eastAsia="Times New Roman" w:cs="Times New Roman"/>
                <w:spacing w:val="16"/>
                <w:sz w:val="24"/>
                <w:szCs w:val="24"/>
              </w:rPr>
              <w:t xml:space="preserve"> </w:t>
            </w:r>
            <w:r>
              <w:rPr>
                <w:spacing w:val="-2"/>
                <w:sz w:val="24"/>
                <w:szCs w:val="24"/>
              </w:rPr>
              <w:t>厚砂卵石基层</w:t>
            </w:r>
            <w:r>
              <w:rPr>
                <w:rFonts w:ascii="Times New Roman" w:hAnsi="Times New Roman" w:eastAsia="Times New Roman" w:cs="Times New Roman"/>
                <w:spacing w:val="-2"/>
                <w:sz w:val="24"/>
                <w:szCs w:val="24"/>
              </w:rPr>
              <w:t>+20cm</w:t>
            </w:r>
            <w:r>
              <w:rPr>
                <w:rFonts w:ascii="Times New Roman" w:hAnsi="Times New Roman" w:eastAsia="Times New Roman" w:cs="Times New Roman"/>
                <w:spacing w:val="15"/>
                <w:w w:val="101"/>
                <w:sz w:val="24"/>
                <w:szCs w:val="24"/>
              </w:rPr>
              <w:t xml:space="preserve"> </w:t>
            </w:r>
            <w:r>
              <w:rPr>
                <w:spacing w:val="-2"/>
                <w:sz w:val="24"/>
                <w:szCs w:val="24"/>
              </w:rPr>
              <w:t>厚</w:t>
            </w:r>
            <w:r>
              <w:rPr>
                <w:spacing w:val="-51"/>
                <w:sz w:val="24"/>
                <w:szCs w:val="24"/>
              </w:rPr>
              <w:t xml:space="preserve"> </w:t>
            </w:r>
            <w:r>
              <w:rPr>
                <w:rFonts w:ascii="Times New Roman" w:hAnsi="Times New Roman" w:eastAsia="Times New Roman" w:cs="Times New Roman"/>
                <w:spacing w:val="-2"/>
                <w:sz w:val="24"/>
                <w:szCs w:val="24"/>
              </w:rPr>
              <w:t xml:space="preserve">C25 </w:t>
            </w:r>
            <w:r>
              <w:rPr>
                <w:spacing w:val="-2"/>
                <w:sz w:val="24"/>
                <w:szCs w:val="24"/>
              </w:rPr>
              <w:t>混凝土面层。路基压实</w:t>
            </w:r>
            <w:r>
              <w:rPr>
                <w:spacing w:val="-3"/>
                <w:sz w:val="24"/>
                <w:szCs w:val="24"/>
              </w:rPr>
              <w:t>度不小于</w:t>
            </w:r>
            <w:r>
              <w:rPr>
                <w:spacing w:val="-48"/>
                <w:sz w:val="24"/>
                <w:szCs w:val="24"/>
              </w:rPr>
              <w:t xml:space="preserve"> </w:t>
            </w:r>
            <w:r>
              <w:rPr>
                <w:rFonts w:ascii="Times New Roman" w:hAnsi="Times New Roman" w:eastAsia="Times New Roman" w:cs="Times New Roman"/>
                <w:spacing w:val="-3"/>
                <w:sz w:val="24"/>
                <w:szCs w:val="24"/>
              </w:rPr>
              <w:t>94%</w:t>
            </w:r>
            <w:r>
              <w:rPr>
                <w:spacing w:val="-3"/>
                <w:sz w:val="24"/>
                <w:szCs w:val="24"/>
              </w:rPr>
              <w:t>，路基施</w:t>
            </w:r>
            <w:r>
              <w:rPr>
                <w:sz w:val="24"/>
                <w:szCs w:val="24"/>
              </w:rPr>
              <w:t xml:space="preserve"> </w:t>
            </w:r>
            <w:r>
              <w:rPr>
                <w:spacing w:val="-2"/>
                <w:sz w:val="24"/>
                <w:szCs w:val="24"/>
              </w:rPr>
              <w:t>工填方地段填筑路基前必须挖除软土层，夯实后方</w:t>
            </w:r>
            <w:r>
              <w:rPr>
                <w:spacing w:val="-3"/>
                <w:sz w:val="24"/>
                <w:szCs w:val="24"/>
              </w:rPr>
              <w:t xml:space="preserve">可填土，如果地面坡度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36"/>
                <w:sz w:val="24"/>
                <w:szCs w:val="24"/>
              </w:rPr>
              <w:t xml:space="preserve"> </w:t>
            </w:r>
            <w:r>
              <w:rPr>
                <w:spacing w:val="-3"/>
                <w:sz w:val="24"/>
                <w:szCs w:val="24"/>
              </w:rPr>
              <w:t>时，</w:t>
            </w:r>
            <w:r>
              <w:rPr>
                <w:sz w:val="24"/>
                <w:szCs w:val="24"/>
              </w:rPr>
              <w:t xml:space="preserve"> </w:t>
            </w:r>
            <w:r>
              <w:rPr>
                <w:spacing w:val="-1"/>
                <w:sz w:val="24"/>
                <w:szCs w:val="24"/>
              </w:rPr>
              <w:t>地面应挖成台阶，且宽度不小于</w:t>
            </w:r>
            <w:r>
              <w:rPr>
                <w:spacing w:val="-32"/>
                <w:sz w:val="24"/>
                <w:szCs w:val="24"/>
              </w:rPr>
              <w:t xml:space="preserve"> </w:t>
            </w:r>
            <w:r>
              <w:rPr>
                <w:rFonts w:ascii="Times New Roman" w:hAnsi="Times New Roman" w:eastAsia="Times New Roman" w:cs="Times New Roman"/>
                <w:spacing w:val="-1"/>
                <w:sz w:val="24"/>
                <w:szCs w:val="24"/>
              </w:rPr>
              <w:t>2m</w:t>
            </w:r>
            <w:r>
              <w:rPr>
                <w:spacing w:val="-1"/>
                <w:sz w:val="24"/>
                <w:szCs w:val="24"/>
              </w:rPr>
              <w:t>，并向内倾斜</w:t>
            </w:r>
            <w:r>
              <w:rPr>
                <w:spacing w:val="-31"/>
                <w:sz w:val="24"/>
                <w:szCs w:val="24"/>
              </w:rPr>
              <w:t xml:space="preserve"> </w:t>
            </w:r>
            <w:r>
              <w:rPr>
                <w:rFonts w:ascii="Times New Roman" w:hAnsi="Times New Roman" w:eastAsia="Times New Roman" w:cs="Times New Roman"/>
                <w:spacing w:val="-1"/>
                <w:sz w:val="24"/>
                <w:szCs w:val="24"/>
              </w:rPr>
              <w:t>2%-4%</w:t>
            </w:r>
            <w:r>
              <w:rPr>
                <w:spacing w:val="-1"/>
                <w:sz w:val="24"/>
                <w:szCs w:val="24"/>
              </w:rPr>
              <w:t>。路基压实度要达到设计</w:t>
            </w:r>
            <w:r>
              <w:rPr>
                <w:sz w:val="24"/>
                <w:szCs w:val="24"/>
              </w:rPr>
              <w:t xml:space="preserve"> </w:t>
            </w:r>
            <w:r>
              <w:rPr>
                <w:spacing w:val="-13"/>
                <w:sz w:val="24"/>
                <w:szCs w:val="24"/>
              </w:rPr>
              <w:t>和规范要求，</w:t>
            </w:r>
            <w:r>
              <w:rPr>
                <w:spacing w:val="52"/>
                <w:sz w:val="24"/>
                <w:szCs w:val="24"/>
              </w:rPr>
              <w:t xml:space="preserve"> </w:t>
            </w:r>
            <w:r>
              <w:rPr>
                <w:spacing w:val="-13"/>
                <w:sz w:val="24"/>
                <w:szCs w:val="24"/>
              </w:rPr>
              <w:t>压实度不应小于</w:t>
            </w:r>
            <w:r>
              <w:rPr>
                <w:spacing w:val="-50"/>
                <w:sz w:val="24"/>
                <w:szCs w:val="24"/>
              </w:rPr>
              <w:t xml:space="preserve"> </w:t>
            </w:r>
            <w:r>
              <w:rPr>
                <w:rFonts w:ascii="Times New Roman" w:hAnsi="Times New Roman" w:eastAsia="Times New Roman" w:cs="Times New Roman"/>
                <w:spacing w:val="-13"/>
                <w:sz w:val="24"/>
                <w:szCs w:val="24"/>
              </w:rPr>
              <w:t>94%</w:t>
            </w:r>
            <w:r>
              <w:rPr>
                <w:spacing w:val="-13"/>
                <w:sz w:val="24"/>
                <w:szCs w:val="24"/>
              </w:rPr>
              <w:t>。为减少挖</w:t>
            </w:r>
            <w:r>
              <w:rPr>
                <w:spacing w:val="-14"/>
                <w:sz w:val="24"/>
                <w:szCs w:val="24"/>
              </w:rPr>
              <w:t>方，</w:t>
            </w:r>
            <w:r>
              <w:rPr>
                <w:spacing w:val="-33"/>
                <w:sz w:val="24"/>
                <w:szCs w:val="24"/>
              </w:rPr>
              <w:t xml:space="preserve"> </w:t>
            </w:r>
            <w:r>
              <w:rPr>
                <w:spacing w:val="-14"/>
                <w:sz w:val="24"/>
                <w:szCs w:val="24"/>
              </w:rPr>
              <w:t>路堤不得采用倾填方法，</w:t>
            </w:r>
            <w:r>
              <w:rPr>
                <w:spacing w:val="52"/>
                <w:sz w:val="24"/>
                <w:szCs w:val="24"/>
              </w:rPr>
              <w:t xml:space="preserve"> </w:t>
            </w:r>
            <w:r>
              <w:rPr>
                <w:spacing w:val="-14"/>
                <w:sz w:val="24"/>
                <w:szCs w:val="24"/>
              </w:rPr>
              <w:t>均应分</w:t>
            </w:r>
            <w:r>
              <w:rPr>
                <w:sz w:val="24"/>
                <w:szCs w:val="24"/>
              </w:rPr>
              <w:t xml:space="preserve"> </w:t>
            </w:r>
            <w:r>
              <w:rPr>
                <w:spacing w:val="-9"/>
                <w:sz w:val="24"/>
                <w:szCs w:val="24"/>
              </w:rPr>
              <w:t>层填筑， 分层压实。每层铺填厚度应根据压实机械类型和规格确定，</w:t>
            </w:r>
            <w:r>
              <w:rPr>
                <w:spacing w:val="58"/>
                <w:sz w:val="24"/>
                <w:szCs w:val="24"/>
              </w:rPr>
              <w:t xml:space="preserve"> </w:t>
            </w:r>
            <w:r>
              <w:rPr>
                <w:spacing w:val="-9"/>
                <w:sz w:val="24"/>
                <w:szCs w:val="24"/>
              </w:rPr>
              <w:t>每层碾压后的</w:t>
            </w:r>
          </w:p>
          <w:p>
            <w:pPr>
              <w:pStyle w:val="6"/>
              <w:spacing w:line="220" w:lineRule="auto"/>
              <w:ind w:left="111"/>
              <w:rPr>
                <w:sz w:val="24"/>
                <w:szCs w:val="24"/>
              </w:rPr>
            </w:pPr>
            <w:r>
              <w:rPr>
                <w:spacing w:val="-3"/>
                <w:sz w:val="24"/>
                <w:szCs w:val="24"/>
              </w:rPr>
              <w:t>厚度不应超过</w:t>
            </w:r>
            <w:r>
              <w:rPr>
                <w:spacing w:val="-45"/>
                <w:sz w:val="24"/>
                <w:szCs w:val="24"/>
              </w:rPr>
              <w:t xml:space="preserve"> </w:t>
            </w:r>
            <w:r>
              <w:rPr>
                <w:rFonts w:ascii="Times New Roman" w:hAnsi="Times New Roman" w:eastAsia="Times New Roman" w:cs="Times New Roman"/>
                <w:spacing w:val="-3"/>
                <w:sz w:val="24"/>
                <w:szCs w:val="24"/>
              </w:rPr>
              <w:t>30cm</w:t>
            </w:r>
            <w:r>
              <w:rPr>
                <w:spacing w:val="-3"/>
                <w:sz w:val="24"/>
                <w:szCs w:val="24"/>
              </w:rPr>
              <w:t>。</w:t>
            </w:r>
          </w:p>
          <w:p>
            <w:pPr>
              <w:pStyle w:val="6"/>
              <w:spacing w:before="195" w:line="369" w:lineRule="auto"/>
              <w:ind w:left="106" w:right="102" w:firstLine="478"/>
              <w:rPr>
                <w:sz w:val="24"/>
                <w:szCs w:val="24"/>
              </w:rPr>
            </w:pPr>
            <w:r>
              <w:rPr>
                <w:spacing w:val="-1"/>
                <w:sz w:val="24"/>
                <w:szCs w:val="24"/>
              </w:rPr>
              <w:t>钻前工程道路建设部分造成的环境影响主要表现在占用土地、占地地表土壤和</w:t>
            </w:r>
            <w:r>
              <w:rPr>
                <w:sz w:val="24"/>
                <w:szCs w:val="24"/>
              </w:rPr>
              <w:t xml:space="preserve"> </w:t>
            </w:r>
            <w:r>
              <w:rPr>
                <w:spacing w:val="-9"/>
                <w:sz w:val="24"/>
                <w:szCs w:val="24"/>
              </w:rPr>
              <w:t>植被、农作物的破坏、清除使地表裸露，</w:t>
            </w:r>
            <w:r>
              <w:rPr>
                <w:spacing w:val="60"/>
                <w:sz w:val="24"/>
                <w:szCs w:val="24"/>
              </w:rPr>
              <w:t xml:space="preserve"> </w:t>
            </w:r>
            <w:r>
              <w:rPr>
                <w:spacing w:val="-9"/>
                <w:sz w:val="24"/>
                <w:szCs w:val="24"/>
              </w:rPr>
              <w:t>可能造成水土流失。同时， 因开挖的</w:t>
            </w:r>
            <w:r>
              <w:rPr>
                <w:spacing w:val="-10"/>
                <w:sz w:val="24"/>
                <w:szCs w:val="24"/>
              </w:rPr>
              <w:t>土石</w:t>
            </w:r>
            <w:r>
              <w:rPr>
                <w:sz w:val="24"/>
                <w:szCs w:val="24"/>
              </w:rPr>
              <w:t xml:space="preserve"> </w:t>
            </w:r>
            <w:r>
              <w:rPr>
                <w:spacing w:val="-2"/>
                <w:sz w:val="24"/>
                <w:szCs w:val="24"/>
              </w:rPr>
              <w:t>方临时就近堆放，防护措施不当也会引起水土流失。因此钻前工程主要环境影响：</w:t>
            </w:r>
            <w:r>
              <w:rPr>
                <w:spacing w:val="5"/>
                <w:sz w:val="24"/>
                <w:szCs w:val="24"/>
              </w:rPr>
              <w:t xml:space="preserve"> </w:t>
            </w:r>
            <w:r>
              <w:rPr>
                <w:spacing w:val="-13"/>
                <w:sz w:val="24"/>
                <w:szCs w:val="24"/>
              </w:rPr>
              <w:t>占地并造成地表土壤和植被的破坏、</w:t>
            </w:r>
            <w:r>
              <w:rPr>
                <w:spacing w:val="39"/>
                <w:sz w:val="24"/>
                <w:szCs w:val="24"/>
              </w:rPr>
              <w:t xml:space="preserve"> </w:t>
            </w:r>
            <w:r>
              <w:rPr>
                <w:spacing w:val="-13"/>
                <w:sz w:val="24"/>
                <w:szCs w:val="24"/>
              </w:rPr>
              <w:t>清除， 引起水土</w:t>
            </w:r>
            <w:r>
              <w:rPr>
                <w:spacing w:val="-14"/>
                <w:sz w:val="24"/>
                <w:szCs w:val="24"/>
              </w:rPr>
              <w:t>流失；</w:t>
            </w:r>
            <w:r>
              <w:rPr>
                <w:spacing w:val="60"/>
                <w:sz w:val="24"/>
                <w:szCs w:val="24"/>
              </w:rPr>
              <w:t xml:space="preserve"> </w:t>
            </w:r>
            <w:r>
              <w:rPr>
                <w:spacing w:val="-14"/>
                <w:sz w:val="24"/>
                <w:szCs w:val="24"/>
              </w:rPr>
              <w:t>施工噪声、废气、弃渣</w:t>
            </w:r>
          </w:p>
          <w:p>
            <w:pPr>
              <w:pStyle w:val="6"/>
              <w:spacing w:before="1" w:line="219" w:lineRule="auto"/>
              <w:ind w:left="107"/>
              <w:rPr>
                <w:sz w:val="24"/>
                <w:szCs w:val="24"/>
              </w:rPr>
            </w:pPr>
            <w:r>
              <w:rPr>
                <w:spacing w:val="-12"/>
                <w:sz w:val="24"/>
                <w:szCs w:val="24"/>
              </w:rPr>
              <w:t>等。</w:t>
            </w:r>
          </w:p>
          <w:p>
            <w:pPr>
              <w:pStyle w:val="6"/>
              <w:spacing w:before="195" w:line="220" w:lineRule="auto"/>
              <w:ind w:left="582"/>
              <w:rPr>
                <w:sz w:val="24"/>
                <w:szCs w:val="24"/>
              </w:rPr>
            </w:pPr>
            <w:r>
              <w:rPr>
                <w:rFonts w:ascii="Times New Roman" w:hAnsi="Times New Roman" w:eastAsia="Times New Roman" w:cs="Times New Roman"/>
                <w:b/>
                <w:bCs/>
                <w:sz w:val="24"/>
                <w:szCs w:val="24"/>
              </w:rPr>
              <w:t>3</w:t>
            </w:r>
            <w:r>
              <w:rPr>
                <w:sz w:val="24"/>
                <w:szCs w:val="24"/>
                <w14:textOutline w14:w="4354" w14:cap="flat" w14:cmpd="sng">
                  <w14:solidFill>
                    <w14:srgbClr w14:val="000000"/>
                  </w14:solidFill>
                  <w14:prstDash w14:val="solid"/>
                  <w14:miter w14:val="10"/>
                </w14:textOutline>
              </w:rPr>
              <w:t>、设备设施的搬运及安装</w:t>
            </w:r>
          </w:p>
          <w:p>
            <w:pPr>
              <w:pStyle w:val="6"/>
              <w:spacing w:before="193" w:line="220" w:lineRule="auto"/>
              <w:ind w:left="584"/>
              <w:rPr>
                <w:sz w:val="24"/>
                <w:szCs w:val="24"/>
              </w:rPr>
            </w:pPr>
            <w:r>
              <w:rPr>
                <w:spacing w:val="-2"/>
                <w:sz w:val="24"/>
                <w:szCs w:val="24"/>
              </w:rPr>
              <w:t>将钻井设备和泥浆罐等设施运至进场并安装，通常</w:t>
            </w:r>
            <w:r>
              <w:rPr>
                <w:spacing w:val="-27"/>
                <w:sz w:val="24"/>
                <w:szCs w:val="24"/>
              </w:rPr>
              <w:t xml:space="preserve"> </w:t>
            </w:r>
            <w:r>
              <w:rPr>
                <w:rFonts w:ascii="Times New Roman" w:hAnsi="Times New Roman" w:eastAsia="Times New Roman" w:cs="Times New Roman"/>
                <w:spacing w:val="-2"/>
                <w:sz w:val="24"/>
                <w:szCs w:val="24"/>
              </w:rPr>
              <w:t xml:space="preserve">12~15 </w:t>
            </w:r>
            <w:r>
              <w:rPr>
                <w:spacing w:val="-2"/>
                <w:sz w:val="24"/>
                <w:szCs w:val="24"/>
              </w:rPr>
              <w:t>天安装完毕。</w:t>
            </w:r>
          </w:p>
          <w:p>
            <w:pPr>
              <w:pStyle w:val="6"/>
              <w:spacing w:before="194" w:line="219" w:lineRule="auto"/>
              <w:ind w:left="585"/>
              <w:rPr>
                <w:sz w:val="24"/>
                <w:szCs w:val="24"/>
              </w:rPr>
            </w:pPr>
            <w:r>
              <w:rPr>
                <w:rFonts w:ascii="Times New Roman" w:hAnsi="Times New Roman" w:eastAsia="Times New Roman" w:cs="Times New Roman"/>
                <w:b/>
                <w:bCs/>
                <w:spacing w:val="-2"/>
                <w:sz w:val="24"/>
                <w:szCs w:val="24"/>
              </w:rPr>
              <w:t>4</w:t>
            </w:r>
            <w:r>
              <w:rPr>
                <w:spacing w:val="-2"/>
                <w:sz w:val="24"/>
                <w:szCs w:val="24"/>
                <w14:textOutline w14:w="4354" w14:cap="flat" w14:cmpd="sng">
                  <w14:solidFill>
                    <w14:srgbClr w14:val="000000"/>
                  </w14:solidFill>
                  <w14:prstDash w14:val="solid"/>
                  <w14:miter w14:val="10"/>
                </w14:textOutline>
              </w:rPr>
              <w:t>、活动房布置</w:t>
            </w:r>
          </w:p>
          <w:p>
            <w:pPr>
              <w:pStyle w:val="6"/>
              <w:spacing w:before="195" w:line="219" w:lineRule="auto"/>
              <w:ind w:left="585"/>
              <w:rPr>
                <w:sz w:val="24"/>
                <w:szCs w:val="24"/>
              </w:rPr>
            </w:pPr>
            <w:r>
              <w:rPr>
                <w:spacing w:val="-3"/>
                <w:sz w:val="24"/>
                <w:szCs w:val="24"/>
              </w:rPr>
              <w:t>井场活动房为临时占地，布置于井场外北侧。</w:t>
            </w:r>
          </w:p>
          <w:p>
            <w:pPr>
              <w:pStyle w:val="6"/>
              <w:spacing w:before="230" w:line="220" w:lineRule="auto"/>
              <w:ind w:left="102"/>
              <w:rPr>
                <w:sz w:val="24"/>
                <w:szCs w:val="24"/>
              </w:rPr>
            </w:pPr>
            <w:r>
              <w:rPr>
                <w:rFonts w:ascii="Times New Roman" w:hAnsi="Times New Roman" w:eastAsia="Times New Roman" w:cs="Times New Roman"/>
                <w:b/>
                <w:bCs/>
                <w:spacing w:val="-1"/>
                <w:sz w:val="24"/>
                <w:szCs w:val="24"/>
              </w:rPr>
              <w:t xml:space="preserve">2.12.2 </w:t>
            </w:r>
            <w:r>
              <w:rPr>
                <w:spacing w:val="-1"/>
                <w:sz w:val="24"/>
                <w:szCs w:val="24"/>
                <w14:textOutline w14:w="4354" w14:cap="flat" w14:cmpd="sng">
                  <w14:solidFill>
                    <w14:srgbClr w14:val="000000"/>
                  </w14:solidFill>
                  <w14:prstDash w14:val="solid"/>
                  <w14:miter w14:val="10"/>
                </w14:textOutline>
              </w:rPr>
              <w:t>钻井工程</w:t>
            </w:r>
          </w:p>
          <w:p>
            <w:pPr>
              <w:pStyle w:val="6"/>
              <w:spacing w:before="201" w:line="480" w:lineRule="exact"/>
              <w:ind w:left="585"/>
              <w:rPr>
                <w:sz w:val="24"/>
                <w:szCs w:val="24"/>
              </w:rPr>
            </w:pPr>
            <w:r>
              <w:rPr>
                <w:spacing w:val="2"/>
                <w:position w:val="17"/>
                <w:sz w:val="24"/>
                <w:szCs w:val="24"/>
              </w:rPr>
              <w:t>根据钻井工程设计，本工程采用常规钻井工艺（</w:t>
            </w:r>
            <w:r>
              <w:rPr>
                <w:spacing w:val="1"/>
                <w:position w:val="17"/>
                <w:sz w:val="24"/>
                <w:szCs w:val="24"/>
              </w:rPr>
              <w:t>导管</w:t>
            </w:r>
            <w:r>
              <w:rPr>
                <w:rFonts w:ascii="Times New Roman" w:hAnsi="Times New Roman" w:eastAsia="Times New Roman" w:cs="Times New Roman"/>
                <w:spacing w:val="1"/>
                <w:position w:val="17"/>
                <w:sz w:val="24"/>
                <w:szCs w:val="24"/>
              </w:rPr>
              <w:t>+</w:t>
            </w:r>
            <w:r>
              <w:rPr>
                <w:spacing w:val="1"/>
                <w:position w:val="17"/>
                <w:sz w:val="24"/>
                <w:szCs w:val="24"/>
              </w:rPr>
              <w:t>六开</w:t>
            </w:r>
            <w:r>
              <w:rPr>
                <w:spacing w:val="8"/>
                <w:position w:val="17"/>
                <w:sz w:val="24"/>
                <w:szCs w:val="24"/>
              </w:rPr>
              <w:t>），</w:t>
            </w:r>
            <w:r>
              <w:rPr>
                <w:spacing w:val="1"/>
                <w:position w:val="17"/>
                <w:sz w:val="24"/>
                <w:szCs w:val="24"/>
              </w:rPr>
              <w:t>钻井工程包括</w:t>
            </w:r>
          </w:p>
          <w:p>
            <w:pPr>
              <w:pStyle w:val="6"/>
              <w:spacing w:before="1" w:line="219" w:lineRule="auto"/>
              <w:ind w:left="106"/>
              <w:rPr>
                <w:sz w:val="24"/>
                <w:szCs w:val="24"/>
              </w:rPr>
            </w:pPr>
            <w:r>
              <w:rPr>
                <w:spacing w:val="-1"/>
                <w:sz w:val="24"/>
                <w:szCs w:val="24"/>
              </w:rPr>
              <w:t>钻井设备安装、钻井作业、完井测试及完井后污</w:t>
            </w:r>
            <w:r>
              <w:rPr>
                <w:spacing w:val="-2"/>
                <w:sz w:val="24"/>
                <w:szCs w:val="24"/>
              </w:rPr>
              <w:t>染物治理和生态恢复等。</w:t>
            </w:r>
          </w:p>
        </w:tc>
      </w:tr>
    </w:tbl>
    <w:p>
      <w:pPr>
        <w:pStyle w:val="2"/>
        <w:rPr>
          <w:sz w:val="21"/>
        </w:rPr>
      </w:pPr>
    </w:p>
    <w:p>
      <w:pPr>
        <w:rPr>
          <w:sz w:val="21"/>
          <w:szCs w:val="21"/>
        </w:rPr>
        <w:sectPr>
          <w:footerReference r:id="rId53"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6931"/>
        <w:gridCol w:w="18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20" w:hRule="atLeast"/>
        </w:trPr>
        <w:tc>
          <w:tcPr>
            <w:tcW w:w="465" w:type="dxa"/>
            <w:vMerge w:val="restart"/>
            <w:tcBorders>
              <w:bottom w:val="nil"/>
              <w:right w:val="single" w:color="000000" w:sz="2" w:space="0"/>
            </w:tcBorders>
            <w:vAlign w:val="top"/>
          </w:tcPr>
          <w:p>
            <w:pPr>
              <w:rPr>
                <w:rFonts w:ascii="Arial"/>
                <w:sz w:val="21"/>
              </w:rPr>
            </w:pPr>
          </w:p>
        </w:tc>
        <w:tc>
          <w:tcPr>
            <w:tcW w:w="6931" w:type="dxa"/>
            <w:tcBorders>
              <w:left w:val="single" w:color="000000" w:sz="2" w:space="0"/>
              <w:bottom w:val="nil"/>
              <w:right w:val="nil"/>
            </w:tcBorders>
            <w:vAlign w:val="top"/>
          </w:tcPr>
          <w:p>
            <w:pPr>
              <w:pStyle w:val="6"/>
              <w:spacing w:before="120" w:line="239" w:lineRule="auto"/>
              <w:ind w:left="2737"/>
              <w:rPr>
                <w:sz w:val="15"/>
                <w:szCs w:val="15"/>
              </w:rPr>
            </w:pPr>
            <w:r>
              <w:pict>
                <v:shape id="_x0000_s1086" o:spid="_x0000_s1086" o:spt="202" type="#_x0000_t202" style="position:absolute;left:0pt;margin-left:249.85pt;margin-top:10.35pt;height:10.6pt;width:45.1pt;z-index:251755520;mso-width-relative:page;mso-height-relative:page;" filled="f" stroked="f" coordsize="21600,21600">
                  <v:path/>
                  <v:fill on="f" focussize="0,0"/>
                  <v:stroke on="f"/>
                  <v:imagedata o:title=""/>
                  <o:lock v:ext="edit" aspectratio="f"/>
                  <v:textbox inset="0mm,0mm,0mm,0mm">
                    <w:txbxContent>
                      <w:p>
                        <w:pPr>
                          <w:pStyle w:val="6"/>
                          <w:spacing w:before="19" w:line="227" w:lineRule="auto"/>
                          <w:ind w:left="20"/>
                        </w:pPr>
                        <w:r>
                          <w:rPr>
                            <w:spacing w:val="3"/>
                          </w:rPr>
                          <w:t>设备安装噪声</w:t>
                        </w:r>
                      </w:p>
                    </w:txbxContent>
                  </v:textbox>
                </v:shape>
              </w:pict>
            </w:r>
            <w:r>
              <w:pict>
                <v:rect id="_x0000_s1087" o:spid="_x0000_s1087" o:spt="1" style="position:absolute;left:0pt;margin-left:133.25pt;margin-top:2.25pt;height:28pt;width:0.65pt;mso-position-horizontal-relative:page;mso-position-vertical-relative:page;z-index:251743232;mso-width-relative:page;mso-height-relative:page;" fillcolor="#000000" filled="t" stroked="f" coordsize="21600,21600">
                  <v:path/>
                  <v:fill on="t" focussize="0,0"/>
                  <v:stroke on="f"/>
                  <v:imagedata o:title=""/>
                  <o:lock v:ext="edit"/>
                </v:rect>
              </w:pict>
            </w:r>
            <w:r>
              <w:pict>
                <v:rect id="_x0000_s1088" o:spid="_x0000_s1088" o:spt="1" style="position:absolute;left:0pt;margin-left:228.2pt;margin-top:86.7pt;height:16.6pt;width:0.65pt;mso-position-horizontal-relative:page;mso-position-vertical-relative:page;z-index:251750400;mso-width-relative:page;mso-height-relative:page;" fillcolor="#000000" filled="t" stroked="f" coordsize="21600,21600">
                  <v:path/>
                  <v:fill on="t" focussize="0,0"/>
                  <v:stroke on="f"/>
                  <v:imagedata o:title=""/>
                  <o:lock v:ext="edit"/>
                </v:rect>
              </w:pict>
            </w:r>
            <w:r>
              <w:pict>
                <v:rect id="_x0000_s1089" o:spid="_x0000_s1089" o:spt="1" style="position:absolute;left:0pt;margin-left:228.2pt;margin-top:320.7pt;height:16.6pt;width:0.65pt;mso-position-horizontal-relative:page;mso-position-vertical-relative:page;z-index:251745280;mso-width-relative:page;mso-height-relative:page;" fillcolor="#000000" filled="t" stroked="f" coordsize="21600,21600">
                  <v:path/>
                  <v:fill on="t" focussize="0,0"/>
                  <v:stroke on="f"/>
                  <v:imagedata o:title=""/>
                  <o:lock v:ext="edit"/>
                </v:rect>
              </w:pict>
            </w:r>
            <w:r>
              <w:pict>
                <v:rect id="_x0000_s1090" o:spid="_x0000_s1090" o:spt="1" style="position:absolute;left:0pt;margin-left:228.2pt;margin-top:165.45pt;height:16.6pt;width:0.65pt;mso-position-horizontal-relative:page;mso-position-vertical-relative:page;z-index:251744256;mso-width-relative:page;mso-height-relative:page;" fillcolor="#000000" filled="t" stroked="f" coordsize="21600,21600">
                  <v:path/>
                  <v:fill on="t" focussize="0,0"/>
                  <v:stroke on="f"/>
                  <v:imagedata o:title=""/>
                  <o:lock v:ext="edit"/>
                </v:rect>
              </w:pict>
            </w:r>
            <w:r>
              <w:pict>
                <v:rect id="_x0000_s1091" o:spid="_x0000_s1091" o:spt="1" style="position:absolute;left:0pt;margin-left:228.2pt;margin-top:244.2pt;height:16.6pt;width:0.65pt;mso-position-horizontal-relative:page;mso-position-vertical-relative:page;z-index:251746304;mso-width-relative:page;mso-height-relative:page;" fillcolor="#000000" filled="t" stroked="f" coordsize="21600,21600">
                  <v:path/>
                  <v:fill on="t" focussize="0,0"/>
                  <v:stroke on="f"/>
                  <v:imagedata o:title=""/>
                  <o:lock v:ext="edit"/>
                </v:rect>
              </w:pict>
            </w:r>
            <w:r>
              <w:pict>
                <v:rect id="_x0000_s1092" o:spid="_x0000_s1092" o:spt="1" style="position:absolute;left:0pt;margin-left:228.2pt;margin-top:399.45pt;height:16.6pt;width:0.65pt;mso-position-horizontal-relative:page;mso-position-vertical-relative:page;z-index:251747328;mso-width-relative:page;mso-height-relative:page;" fillcolor="#000000" filled="t" stroked="f" coordsize="21600,21600">
                  <v:path/>
                  <v:fill on="t" focussize="0,0"/>
                  <v:stroke on="f"/>
                  <v:imagedata o:title=""/>
                  <o:lock v:ext="edit"/>
                </v:rect>
              </w:pict>
            </w:r>
            <w:r>
              <w:pict>
                <v:rect id="_x0000_s1093" o:spid="_x0000_s1093" o:spt="1" style="position:absolute;left:0pt;margin-left:228.2pt;margin-top:480.5pt;height:16.6pt;width:0.65pt;mso-position-horizontal-relative:page;mso-position-vertical-relative:page;z-index:251751424;mso-width-relative:page;mso-height-relative:page;" fillcolor="#000000" filled="t" stroked="f" coordsize="21600,21600">
                  <v:path/>
                  <v:fill on="t" focussize="0,0"/>
                  <v:stroke on="f"/>
                  <v:imagedata o:title=""/>
                  <o:lock v:ext="edit"/>
                </v:rect>
              </w:pict>
            </w:r>
            <w:r>
              <w:pict>
                <v:rect id="_x0000_s1094" o:spid="_x0000_s1094" o:spt="1" style="position:absolute;left:0pt;margin-left:228.2pt;margin-top:549.25pt;height:16.6pt;width:0.65pt;mso-position-horizontal-relative:page;mso-position-vertical-relative:page;z-index:251749376;mso-width-relative:page;mso-height-relative:page;" fillcolor="#000000" filled="t" stroked="f" coordsize="21600,21600">
                  <v:path/>
                  <v:fill on="t" focussize="0,0"/>
                  <v:stroke on="f"/>
                  <v:imagedata o:title=""/>
                  <o:lock v:ext="edit"/>
                </v:rect>
              </w:pict>
            </w:r>
            <w:r>
              <w:pict>
                <v:rect id="_x0000_s1095" o:spid="_x0000_s1095" o:spt="1" style="position:absolute;left:0pt;margin-left:228.2pt;margin-top:580.9pt;height:16.6pt;width:0.65pt;mso-position-horizontal-relative:page;mso-position-vertical-relative:page;z-index:251748352;mso-width-relative:page;mso-height-relative:page;" fillcolor="#000000" filled="t" stroked="f" coordsize="21600,21600">
                  <v:path/>
                  <v:fill on="t" focussize="0,0"/>
                  <v:stroke on="f"/>
                  <v:imagedata o:title=""/>
                  <o:lock v:ext="edit"/>
                </v:rect>
              </w:pict>
            </w:r>
            <w:r>
              <w:pict>
                <v:shape id="_x0000_s1096" o:spid="_x0000_s1096" style="position:absolute;left:0pt;margin-left:228.2pt;margin-top:2.25pt;height:28pt;width:0.65pt;mso-position-horizontal-relative:page;mso-position-vertical-relative:page;z-index:251737088;mso-width-relative:page;mso-height-relative:page;" filled="f" stroked="t" coordsize="12,560" path="m6,553l6,6e">
                  <v:fill on="f" focussize="0,0"/>
                  <v:stroke weight="0.6pt" color="#000000" miterlimit="10" endcap="round"/>
                  <v:imagedata o:title=""/>
                  <o:lock v:ext="edit"/>
                </v:shape>
              </w:pict>
            </w:r>
            <w:r>
              <w:pict>
                <v:shape id="_x0000_s1097" o:spid="_x0000_s1097" style="position:absolute;left:0pt;margin-left:228.2pt;margin-top:44.45pt;height:28pt;width:0.65pt;mso-position-horizontal-relative:page;mso-position-vertical-relative:page;z-index:251728896;mso-width-relative:page;mso-height-relative:page;" filled="f" stroked="t" coordsize="12,560" path="m6,553l6,6e">
                  <v:fill on="f" focussize="0,0"/>
                  <v:stroke weight="0.6pt" color="#000000" miterlimit="10" endcap="round"/>
                  <v:imagedata o:title=""/>
                  <o:lock v:ext="edit"/>
                </v:shape>
              </w:pict>
            </w:r>
            <w:r>
              <w:pict>
                <v:shape id="_x0000_s1098" o:spid="_x0000_s1098" style="position:absolute;left:0pt;margin-left:228.2pt;margin-top:117.5pt;height:31.45pt;width:0.65pt;mso-position-horizontal-relative:page;mso-position-vertical-relative:page;z-index:251732992;mso-width-relative:page;mso-height-relative:page;" filled="f" stroked="t" coordsize="12,629" path="m6,622l6,6e">
                  <v:fill on="f" focussize="0,0"/>
                  <v:stroke weight="0.6pt" color="#000000" miterlimit="10" endcap="round"/>
                  <v:imagedata o:title=""/>
                  <o:lock v:ext="edit"/>
                </v:shape>
              </w:pict>
            </w:r>
            <w:r>
              <w:pict>
                <v:shape id="_x0000_s1099" o:spid="_x0000_s1099" style="position:absolute;left:0pt;margin-left:228.2pt;margin-top:197.4pt;height:31.45pt;width:0.65pt;mso-position-horizontal-relative:page;mso-position-vertical-relative:page;z-index:251735040;mso-width-relative:page;mso-height-relative:page;" filled="f" stroked="t" coordsize="12,629" path="m6,622l6,6e">
                  <v:fill on="f" focussize="0,0"/>
                  <v:stroke weight="0.6pt" color="#000000" miterlimit="10" endcap="round"/>
                  <v:imagedata o:title=""/>
                  <o:lock v:ext="edit"/>
                </v:shape>
              </w:pict>
            </w:r>
            <w:r>
              <w:pict>
                <v:shape id="_x0000_s1100" o:spid="_x0000_s1100" style="position:absolute;left:0pt;margin-left:228.2pt;margin-top:277.3pt;height:31.45pt;width:0.65pt;mso-position-horizontal-relative:page;mso-position-vertical-relative:page;z-index:251741184;mso-width-relative:page;mso-height-relative:page;" filled="f" stroked="t" coordsize="12,629" path="m6,622l6,6e">
                  <v:fill on="f" focussize="0,0"/>
                  <v:stroke weight="0.6pt" color="#000000" miterlimit="10" endcap="round"/>
                  <v:imagedata o:title=""/>
                  <o:lock v:ext="edit"/>
                </v:shape>
              </w:pict>
            </w:r>
            <w:r>
              <w:pict>
                <v:shape id="_x0000_s1101" o:spid="_x0000_s1101" style="position:absolute;left:0pt;margin-left:228.2pt;margin-top:352.65pt;height:31.45pt;width:0.65pt;mso-position-horizontal-relative:page;mso-position-vertical-relative:page;z-index:251739136;mso-width-relative:page;mso-height-relative:page;" filled="f" stroked="t" coordsize="12,629" path="m6,622l6,6e">
                  <v:fill on="f" focussize="0,0"/>
                  <v:stroke weight="0.6pt" color="#000000" miterlimit="10" endcap="round"/>
                  <v:imagedata o:title=""/>
                  <o:lock v:ext="edit"/>
                </v:shape>
              </w:pict>
            </w:r>
            <w:r>
              <w:pict>
                <v:shape id="_x0000_s1102" o:spid="_x0000_s1102" style="position:absolute;left:0pt;margin-left:228.2pt;margin-top:431.4pt;height:31.45pt;width:0.65pt;mso-position-horizontal-relative:page;mso-position-vertical-relative:page;z-index:251730944;mso-width-relative:page;mso-height-relative:page;" filled="f" stroked="t" coordsize="12,629" path="m6,622l6,6e">
                  <v:fill on="f" focussize="0,0"/>
                  <v:stroke weight="0.6pt" color="#000000" miterlimit="10" endcap="round"/>
                  <v:imagedata o:title=""/>
                  <o:lock v:ext="edit"/>
                </v:shape>
              </w:pict>
            </w:r>
            <w:r>
              <w:pict>
                <v:shape id="_x0000_s1103" o:spid="_x0000_s1103" style="position:absolute;left:0pt;margin-left:228.2pt;margin-top:513.6pt;height:16.9pt;width:0.65pt;mso-position-horizontal-relative:page;mso-position-vertical-relative:page;z-index:251726848;mso-width-relative:page;mso-height-relative:page;" filled="f" stroked="t" coordsize="12,337" path="m6,331l6,6e">
                  <v:fill on="f" focussize="0,0"/>
                  <v:stroke weight="0.6pt" color="#000000" miterlimit="10" endcap="round"/>
                  <v:imagedata o:title=""/>
                  <o:lock v:ext="edit"/>
                </v:shape>
              </w:pict>
            </w:r>
            <w:r>
              <w:pict>
                <v:group id="_x0000_s1104" o:spid="_x0000_s1104" o:spt="203" style="position:absolute;left:0pt;margin-left:228.3pt;margin-top:13.8pt;height:4.9pt;width:16.8pt;mso-position-horizontal-relative:page;mso-position-vertical-relative:page;z-index:251738112;mso-width-relative:page;mso-height-relative:page;" coordsize="335,98">
                  <o:lock v:ext="edit"/>
                  <v:shape id="_x0000_s1105" o:spid="_x0000_s1105" style="position:absolute;left:0;top:44;height:8;width:255;" filled="f" stroked="t" coordsize="255,8" path="m4,4l249,4e">
                    <v:fill on="f" focussize="0,0"/>
                    <v:stroke weight="0.4pt" color="#0066FF" miterlimit="10" endcap="round"/>
                    <v:imagedata o:title=""/>
                    <o:lock v:ext="edit"/>
                  </v:shape>
                  <v:shape id="_x0000_s1106" o:spid="_x0000_s1106" style="position:absolute;left:237;top:0;height:98;width:98;" fillcolor="#0066FF" filled="t" stroked="f" coordsize="98,98" path="m0,0l97,48,0,97,0,0xe">
                    <v:fill on="t" focussize="0,0"/>
                    <v:stroke on="f"/>
                    <v:imagedata o:title=""/>
                    <o:lock v:ext="edit"/>
                  </v:shape>
                </v:group>
              </w:pict>
            </w:r>
            <w:r>
              <w:drawing>
                <wp:anchor distT="0" distB="0" distL="0" distR="0" simplePos="0" relativeHeight="251724800" behindDoc="0" locked="0" layoutInCell="1" allowOverlap="1">
                  <wp:simplePos x="0" y="0"/>
                  <wp:positionH relativeFrom="rightMargin">
                    <wp:posOffset>-299720</wp:posOffset>
                  </wp:positionH>
                  <wp:positionV relativeFrom="topMargin">
                    <wp:posOffset>108585</wp:posOffset>
                  </wp:positionV>
                  <wp:extent cx="292735" cy="618934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00"/>
                          <a:stretch>
                            <a:fillRect/>
                          </a:stretch>
                        </pic:blipFill>
                        <pic:spPr>
                          <a:xfrm>
                            <a:off x="0" y="0"/>
                            <a:ext cx="292428" cy="6189283"/>
                          </a:xfrm>
                          <a:prstGeom prst="rect">
                            <a:avLst/>
                          </a:prstGeom>
                        </pic:spPr>
                      </pic:pic>
                    </a:graphicData>
                  </a:graphic>
                </wp:anchor>
              </w:drawing>
            </w:r>
            <w:r>
              <w:pict>
                <v:group id="_x0000_s1107" o:spid="_x0000_s1107" o:spt="203" style="position:absolute;left:0pt;margin-left:228.3pt;margin-top:58.8pt;height:4.9pt;width:18.15pt;mso-position-horizontal-relative:page;mso-position-vertical-relative:page;z-index:251729920;mso-width-relative:page;mso-height-relative:page;" coordsize="362,98">
                  <o:lock v:ext="edit"/>
                  <v:shape id="_x0000_s1108" o:spid="_x0000_s1108" style="position:absolute;left:0;top:44;height:8;width:282;" filled="f" stroked="t" coordsize="282,8" path="m4,4l277,4e">
                    <v:fill on="f" focussize="0,0"/>
                    <v:stroke weight="0.4pt" color="#0066FF" miterlimit="10" endcap="round"/>
                    <v:imagedata o:title=""/>
                    <o:lock v:ext="edit"/>
                  </v:shape>
                  <v:shape id="_x0000_s1109" o:spid="_x0000_s1109" style="position:absolute;left:265;top:0;height:98;width:98;" fillcolor="#0066FF" filled="t" stroked="f" coordsize="98,98" path="m0,0l97,48,0,97,0,0xe">
                    <v:fill on="t" focussize="0,0"/>
                    <v:stroke on="f"/>
                    <v:imagedata o:title=""/>
                    <o:lock v:ext="edit"/>
                  </v:shape>
                </v:group>
              </w:pict>
            </w:r>
            <w:r>
              <w:pict>
                <v:group id="_x0000_s1110" o:spid="_x0000_s1110" o:spt="203" style="position:absolute;left:0pt;margin-left:228.3pt;margin-top:135.3pt;height:4.9pt;width:18.15pt;mso-position-horizontal-relative:page;mso-position-vertical-relative:page;z-index:251734016;mso-width-relative:page;mso-height-relative:page;" coordsize="362,98">
                  <o:lock v:ext="edit"/>
                  <v:shape id="_x0000_s1111" o:spid="_x0000_s1111" style="position:absolute;left:0;top:44;height:8;width:282;" filled="f" stroked="t" coordsize="282,8" path="m4,4l277,4e">
                    <v:fill on="f" focussize="0,0"/>
                    <v:stroke weight="0.4pt" color="#0066FF" miterlimit="10" endcap="round"/>
                    <v:imagedata o:title=""/>
                    <o:lock v:ext="edit"/>
                  </v:shape>
                  <v:shape id="_x0000_s1112" o:spid="_x0000_s1112" style="position:absolute;left:265;top:0;height:98;width:98;" fillcolor="#0066FF" filled="t" stroked="f" coordsize="98,98" path="m0,0l97,48,0,97,0,0xe">
                    <v:fill on="t" focussize="0,0"/>
                    <v:stroke on="f"/>
                    <v:imagedata o:title=""/>
                    <o:lock v:ext="edit"/>
                  </v:shape>
                </v:group>
              </w:pict>
            </w:r>
            <w:r>
              <w:pict>
                <v:group id="_x0000_s1113" o:spid="_x0000_s1113" o:spt="203" style="position:absolute;left:0pt;margin-left:228.3pt;margin-top:215.2pt;height:4.9pt;width:17pt;mso-position-horizontal-relative:page;mso-position-vertical-relative:page;z-index:251736064;mso-width-relative:page;mso-height-relative:page;" coordsize="340,98">
                  <o:lock v:ext="edit"/>
                  <v:shape id="_x0000_s1114" o:spid="_x0000_s1114" style="position:absolute;left:0;top:44;height:8;width:258;" filled="f" stroked="t" coordsize="258,8" path="m4,4l254,4e">
                    <v:fill on="f" focussize="0,0"/>
                    <v:stroke weight="0.4pt" color="#0066FF" miterlimit="10" endcap="round"/>
                    <v:imagedata o:title=""/>
                    <o:lock v:ext="edit"/>
                  </v:shape>
                  <v:shape id="_x0000_s1115" o:spid="_x0000_s1115" style="position:absolute;left:242;top:0;height:98;width:98;" fillcolor="#0066FF" filled="t" stroked="f" coordsize="98,98" path="m0,0l97,48,0,97,0,0xe">
                    <v:fill on="t" focussize="0,0"/>
                    <v:stroke on="f"/>
                    <v:imagedata o:title=""/>
                    <o:lock v:ext="edit"/>
                  </v:shape>
                </v:group>
              </w:pict>
            </w:r>
            <w:r>
              <w:pict>
                <v:group id="_x0000_s1116" o:spid="_x0000_s1116" o:spt="203" style="position:absolute;left:0pt;margin-left:228.3pt;margin-top:290.6pt;height:4.9pt;width:15pt;mso-position-horizontal-relative:page;mso-position-vertical-relative:page;z-index:251742208;mso-width-relative:page;mso-height-relative:page;" coordsize="300,98">
                  <o:lock v:ext="edit"/>
                  <v:shape id="_x0000_s1117" o:spid="_x0000_s1117" style="position:absolute;left:0;top:44;height:8;width:218;" filled="f" stroked="t" coordsize="218,8" path="m4,4l214,4e">
                    <v:fill on="f" focussize="0,0"/>
                    <v:stroke weight="0.4pt" color="#0066FF" miterlimit="10" endcap="round"/>
                    <v:imagedata o:title=""/>
                    <o:lock v:ext="edit"/>
                  </v:shape>
                  <v:shape id="_x0000_s1118" o:spid="_x0000_s1118" style="position:absolute;left:202;top:0;height:98;width:98;" fillcolor="#0066FF" filled="t" stroked="f" coordsize="98,98" path="m0,0l97,48,0,97,0,0xe">
                    <v:fill on="t" focussize="0,0"/>
                    <v:stroke on="f"/>
                    <v:imagedata o:title=""/>
                    <o:lock v:ext="edit"/>
                  </v:shape>
                </v:group>
              </w:pict>
            </w:r>
            <w:r>
              <w:pict>
                <v:group id="_x0000_s1119" o:spid="_x0000_s1119" o:spt="203" style="position:absolute;left:0pt;margin-left:228.3pt;margin-top:371pt;height:4.9pt;width:15.85pt;mso-position-horizontal-relative:page;mso-position-vertical-relative:page;z-index:251740160;mso-width-relative:page;mso-height-relative:page;" coordsize="317,98">
                  <o:lock v:ext="edit"/>
                  <v:shape id="_x0000_s1120" o:spid="_x0000_s1120" style="position:absolute;left:0;top:44;height:8;width:236;" filled="f" stroked="t" coordsize="236,8" path="m4,4l231,4e">
                    <v:fill on="f" focussize="0,0"/>
                    <v:stroke weight="0.4pt" color="#0066FF" miterlimit="10" endcap="round"/>
                    <v:imagedata o:title=""/>
                    <o:lock v:ext="edit"/>
                  </v:shape>
                  <v:shape id="_x0000_s1121" o:spid="_x0000_s1121" style="position:absolute;left:219;top:0;height:98;width:98;" fillcolor="#0066FF" filled="t" stroked="f" coordsize="98,98" path="m0,0l97,48,0,97,0,0xe">
                    <v:fill on="t" focussize="0,0"/>
                    <v:stroke on="f"/>
                    <v:imagedata o:title=""/>
                    <o:lock v:ext="edit"/>
                  </v:shape>
                </v:group>
              </w:pict>
            </w:r>
            <w:r>
              <w:pict>
                <v:group id="_x0000_s1122" o:spid="_x0000_s1122" o:spt="203" style="position:absolute;left:0pt;margin-left:228.3pt;margin-top:449.15pt;height:4.9pt;width:18.15pt;mso-position-horizontal-relative:page;mso-position-vertical-relative:page;z-index:251731968;mso-width-relative:page;mso-height-relative:page;" coordsize="362,98">
                  <o:lock v:ext="edit"/>
                  <v:shape id="_x0000_s1123" o:spid="_x0000_s1123" style="position:absolute;left:0;top:44;height:8;width:282;" filled="f" stroked="t" coordsize="282,8" path="m4,4l277,4e">
                    <v:fill on="f" focussize="0,0"/>
                    <v:stroke weight="0.4pt" color="#0066FF" miterlimit="10" endcap="round"/>
                    <v:imagedata o:title=""/>
                    <o:lock v:ext="edit"/>
                  </v:shape>
                  <v:shape id="_x0000_s1124" o:spid="_x0000_s1124" style="position:absolute;left:265;top:0;height:98;width:98;" fillcolor="#0066FF" filled="t" stroked="f" coordsize="98,98" path="m0,0l97,48,0,97,0,0xe">
                    <v:fill on="t" focussize="0,0"/>
                    <v:stroke on="f"/>
                    <v:imagedata o:title=""/>
                    <o:lock v:ext="edit"/>
                  </v:shape>
                </v:group>
              </w:pict>
            </w:r>
            <w:r>
              <w:pict>
                <v:group id="_x0000_s1125" o:spid="_x0000_s1125" o:spt="203" style="position:absolute;left:0pt;margin-left:228.3pt;margin-top:519.6pt;height:4.9pt;width:19.4pt;mso-position-horizontal-relative:page;mso-position-vertical-relative:page;z-index:251727872;mso-width-relative:page;mso-height-relative:page;" coordsize="387,98">
                  <o:lock v:ext="edit"/>
                  <v:shape id="_x0000_s1126" o:spid="_x0000_s1126" style="position:absolute;left:0;top:44;height:8;width:307;" filled="f" stroked="t" coordsize="307,8" path="m4,4l302,4e">
                    <v:fill on="f" focussize="0,0"/>
                    <v:stroke weight="0.4pt" color="#0066FF" miterlimit="10" endcap="round"/>
                    <v:imagedata o:title=""/>
                    <o:lock v:ext="edit"/>
                  </v:shape>
                  <v:shape id="_x0000_s1127" o:spid="_x0000_s1127" style="position:absolute;left:290;top:0;height:98;width:98;" fillcolor="#0066FF" filled="t" stroked="f" coordsize="98,98" path="m0,0l97,48,0,97,0,0xe">
                    <v:fill on="t" focussize="0,0"/>
                    <v:stroke on="f"/>
                    <v:imagedata o:title=""/>
                    <o:lock v:ext="edit"/>
                  </v:shape>
                </v:group>
              </w:pict>
            </w:r>
            <w:r>
              <w:drawing>
                <wp:anchor distT="0" distB="0" distL="0" distR="0" simplePos="0" relativeHeight="251725824" behindDoc="0" locked="0" layoutInCell="1" allowOverlap="1">
                  <wp:simplePos x="0" y="0"/>
                  <wp:positionH relativeFrom="rightMargin">
                    <wp:posOffset>-256540</wp:posOffset>
                  </wp:positionH>
                  <wp:positionV relativeFrom="topMargin">
                    <wp:posOffset>6544310</wp:posOffset>
                  </wp:positionV>
                  <wp:extent cx="248920" cy="99885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01"/>
                          <a:stretch>
                            <a:fillRect/>
                          </a:stretch>
                        </pic:blipFill>
                        <pic:spPr>
                          <a:xfrm>
                            <a:off x="0" y="0"/>
                            <a:ext cx="248957" cy="998989"/>
                          </a:xfrm>
                          <a:prstGeom prst="rect">
                            <a:avLst/>
                          </a:prstGeom>
                        </pic:spPr>
                      </pic:pic>
                    </a:graphicData>
                  </a:graphic>
                </wp:anchor>
              </w:drawing>
            </w:r>
            <w:r>
              <w:rPr>
                <w:spacing w:val="10"/>
                <w:sz w:val="15"/>
                <w:szCs w:val="15"/>
              </w:rPr>
              <w:t>设备搬运及安装，钻机定</w:t>
            </w:r>
          </w:p>
          <w:p>
            <w:pPr>
              <w:pStyle w:val="6"/>
              <w:spacing w:line="228" w:lineRule="auto"/>
              <w:ind w:left="3380"/>
              <w:rPr>
                <w:sz w:val="15"/>
                <w:szCs w:val="15"/>
              </w:rPr>
            </w:pPr>
            <w:r>
              <w:rPr>
                <w:spacing w:val="9"/>
                <w:sz w:val="15"/>
                <w:szCs w:val="15"/>
              </w:rPr>
              <w:t>位校准</w:t>
            </w:r>
          </w:p>
          <w:p>
            <w:pPr>
              <w:spacing w:line="261" w:lineRule="auto"/>
              <w:rPr>
                <w:rFonts w:ascii="Arial"/>
                <w:sz w:val="21"/>
              </w:rPr>
            </w:pPr>
          </w:p>
          <w:p>
            <w:pPr>
              <w:spacing w:line="262" w:lineRule="auto"/>
              <w:rPr>
                <w:rFonts w:ascii="Arial"/>
                <w:sz w:val="21"/>
              </w:rPr>
            </w:pPr>
          </w:p>
          <w:p>
            <w:pPr>
              <w:pStyle w:val="6"/>
              <w:spacing w:before="46" w:line="226" w:lineRule="auto"/>
              <w:ind w:left="1861"/>
            </w:pPr>
            <w:r>
              <w:pict>
                <v:shape id="_x0000_s1128" o:spid="_x0000_s1128" o:spt="202" type="#_x0000_t202" style="position:absolute;left:0pt;margin-left:252.6pt;margin-top:-0.85pt;height:19.95pt;width:59.8pt;z-index:251756544;mso-width-relative:page;mso-height-relative:page;" filled="f" stroked="f" coordsize="21600,21600">
                  <v:path/>
                  <v:fill on="f" focussize="0,0"/>
                  <v:stroke on="f"/>
                  <v:imagedata o:title=""/>
                  <o:lock v:ext="edit" aspectratio="f"/>
                  <v:textbox inset="0mm,0mm,0mm,0mm">
                    <w:txbxContent>
                      <w:p>
                        <w:pPr>
                          <w:pStyle w:val="6"/>
                          <w:spacing w:before="20" w:line="236" w:lineRule="auto"/>
                          <w:ind w:left="312" w:right="20" w:hanging="293"/>
                        </w:pPr>
                        <w:r>
                          <w:rPr>
                            <w:spacing w:val="4"/>
                          </w:rPr>
                          <w:t>钻井废水、水基岩</w:t>
                        </w:r>
                        <w:r>
                          <w:rPr>
                            <w:spacing w:val="2"/>
                          </w:rPr>
                          <w:t xml:space="preserve"> </w:t>
                        </w:r>
                        <w:r>
                          <w:rPr>
                            <w:spacing w:val="3"/>
                          </w:rPr>
                          <w:t>屑、噪声</w:t>
                        </w:r>
                      </w:p>
                    </w:txbxContent>
                  </v:textbox>
                </v:shape>
              </w:pict>
            </w:r>
            <w:r>
              <w:pict>
                <v:group id="_x0000_s1129" o:spid="_x0000_s1129" o:spt="203" style="position:absolute;left:0pt;margin-left:128.9pt;margin-top:-22.45pt;height:567.9pt;width:99.75pt;z-index:251760640;mso-width-relative:page;mso-height-relative:page;" coordsize="1995,11358">
                  <o:lock v:ext="edit"/>
                  <v:group id="_x0000_s1130" o:spid="_x0000_s1130" o:spt="203" style="position:absolute;left:0;top:0;height:11358;width:1995;" coordsize="1995,11358">
                    <o:lock v:ext="edit"/>
                    <v:shape id="_x0000_s1131" o:spid="_x0000_s1131" style="position:absolute;left:82;top:0;height:11358;width:1911;" filled="f" stroked="t" coordsize="1911,11358" path="m6,6l1905,6m6,850l1905,850m1905,302l6,302,6,850m6,10010l1905,10010m1905,9684l6,9684,6,10010m6,10717l1905,10717m1905,10398l6,10398,6,10717m6,11351l1905,11351m1905,11031l6,11031,6,11351e">
                      <v:fill on="f" focussize="0,0"/>
                      <v:stroke weight="0.6pt" color="#000000" miterlimit="10" endcap="round"/>
                      <v:imagedata o:title=""/>
                      <o:lock v:ext="edit"/>
                    </v:shape>
                    <v:shape id="_x0000_s1132" o:spid="_x0000_s1132" style="position:absolute;left:0;top:532;height:88;width:88;" fillcolor="#000000" filled="t" stroked="f" coordsize="88,88" path="m0,0l88,44,0,88,0,0xe">
                      <v:fill on="t" focussize="0,0"/>
                      <v:stroke on="f"/>
                      <v:imagedata o:title=""/>
                      <o:lock v:ext="edit"/>
                    </v:shape>
                    <v:shape id="_x0000_s1133" o:spid="_x0000_s1133" style="position:absolute;left:1036;top:4;height:222;width:4;" filled="f" stroked="t" coordsize="4,222" path="m1,1l1,220e">
                      <v:fill on="f" focussize="0,0"/>
                      <v:stroke weight="0.19pt" color="#000000" miterlimit="10" endcap="round"/>
                      <v:imagedata o:title=""/>
                      <o:lock v:ext="edit"/>
                    </v:shape>
                    <v:shape id="_x0000_s1134" o:spid="_x0000_s1134" style="position:absolute;left:994;top:213;height:88;width:88;" fillcolor="#000000" filled="t" stroked="f" coordsize="88,88" path="m88,0l44,88,0,0,88,0xe">
                      <v:fill on="t" focussize="0,0"/>
                      <v:stroke on="f"/>
                      <v:imagedata o:title=""/>
                      <o:lock v:ext="edit"/>
                    </v:shape>
                    <v:shape id="_x0000_s1135" o:spid="_x0000_s1135" style="position:absolute;left:1036;top:10716;height:240;width:4;" filled="f" stroked="t" coordsize="4,240" path="m1,1l1,238e">
                      <v:fill on="f" focussize="0,0"/>
                      <v:stroke weight="0.19pt" color="#000000" miterlimit="10" endcap="round"/>
                      <v:imagedata o:title=""/>
                      <o:lock v:ext="edit"/>
                    </v:shape>
                    <v:shape id="_x0000_s1136" o:spid="_x0000_s1136" style="position:absolute;left:994;top:10942;height:88;width:88;" fillcolor="#000000" filled="t" stroked="f" coordsize="88,88" path="m88,0l44,88,0,0,88,0xe">
                      <v:fill on="t" focussize="0,0"/>
                      <v:stroke on="f"/>
                      <v:imagedata o:title=""/>
                      <o:lock v:ext="edit"/>
                    </v:shape>
                    <v:shape id="_x0000_s1137" o:spid="_x0000_s1137" style="position:absolute;left:1036;top:10008;height:315;width:4;" filled="f" stroked="t" coordsize="4,315" path="m1,1l1,312e">
                      <v:fill on="f" focussize="0,0"/>
                      <v:stroke weight="0.19pt" color="#000000" miterlimit="10" endcap="round"/>
                      <v:imagedata o:title=""/>
                      <o:lock v:ext="edit"/>
                    </v:shape>
                    <v:shape id="_x0000_s1138" o:spid="_x0000_s1138" style="position:absolute;left:994;top:10309;height:88;width:88;" fillcolor="#000000" filled="t" stroked="f" coordsize="88,88" path="m88,0l44,88,0,0,88,0xe">
                      <v:fill on="t" focussize="0,0"/>
                      <v:stroke on="f"/>
                      <v:imagedata o:title=""/>
                      <o:lock v:ext="edit"/>
                    </v:shape>
                    <v:shape id="_x0000_s1139" o:spid="_x0000_s1139" style="position:absolute;left:82;top:1757;height:629;width:1911;" filled="f" stroked="t" coordsize="1911,629" path="m6,622l1905,622m1905,6l6,6,6,622e">
                      <v:fill on="f" focussize="0,0"/>
                      <v:stroke weight="0.6pt" color="#000000" miterlimit="10" endcap="round"/>
                      <v:imagedata o:title=""/>
                      <o:lock v:ext="edit"/>
                    </v:shape>
                    <v:shape id="_x0000_s1140" o:spid="_x0000_s1140" style="position:absolute;left:0;top:2061;height:88;width:88;" fillcolor="#000000" filled="t" stroked="f" coordsize="88,88" path="m0,0l88,44,0,88,0,0xe">
                      <v:fill on="t" focussize="0,0"/>
                      <v:stroke on="f"/>
                      <v:imagedata o:title=""/>
                      <o:lock v:ext="edit"/>
                    </v:shape>
                    <v:shape id="_x0000_s1141" o:spid="_x0000_s1141" style="position:absolute;left:82;top:3355;height:629;width:1911;" filled="f" stroked="t" coordsize="1911,629" path="m6,622l1905,622m1905,6l6,6,6,622e">
                      <v:fill on="f" focussize="0,0"/>
                      <v:stroke weight="0.6pt" color="#000000" miterlimit="10" endcap="round"/>
                      <v:imagedata o:title=""/>
                      <o:lock v:ext="edit"/>
                    </v:shape>
                    <v:shape id="_x0000_s1142" o:spid="_x0000_s1142" style="position:absolute;left:0;top:3682;height:88;width:88;" fillcolor="#000000" filled="t" stroked="f" coordsize="88,88" path="m0,0l88,44,0,88,0,0xe">
                      <v:fill on="t" focussize="0,0"/>
                      <v:stroke on="f"/>
                      <v:imagedata o:title=""/>
                      <o:lock v:ext="edit"/>
                    </v:shape>
                    <v:shape id="_x0000_s1143" o:spid="_x0000_s1143" style="position:absolute;left:82;top:4953;height:629;width:1911;" filled="f" stroked="t" coordsize="1911,629" path="m6,622l1905,622m1905,6l6,6,6,622e">
                      <v:fill on="f" focussize="0,0"/>
                      <v:stroke weight="0.6pt" color="#000000" miterlimit="10" endcap="round"/>
                      <v:imagedata o:title=""/>
                      <o:lock v:ext="edit"/>
                    </v:shape>
                    <v:shape id="_x0000_s1144" o:spid="_x0000_s1144" style="position:absolute;left:0;top:5280;height:88;width:88;" fillcolor="#000000" filled="t" stroked="f" coordsize="88,88" path="m0,0l88,44,0,88,0,0xe">
                      <v:fill on="t" focussize="0,0"/>
                      <v:stroke on="f"/>
                      <v:imagedata o:title=""/>
                      <o:lock v:ext="edit"/>
                    </v:shape>
                    <v:shape id="_x0000_s1145" o:spid="_x0000_s1145" style="position:absolute;left:82;top:6460;height:629;width:1911;" filled="f" stroked="t" coordsize="1911,629" path="m6,622l1905,622m1905,6l6,6,6,622e">
                      <v:fill on="f" focussize="0,0"/>
                      <v:stroke weight="0.6pt" color="#000000" miterlimit="10" endcap="round"/>
                      <v:imagedata o:title=""/>
                      <o:lock v:ext="edit"/>
                    </v:shape>
                    <v:shape id="_x0000_s1146" o:spid="_x0000_s1146" style="position:absolute;left:0;top:6787;height:88;width:88;" fillcolor="#000000" filled="t" stroked="f" coordsize="88,88" path="m0,0l88,44,0,88,0,0xe">
                      <v:fill on="t" focussize="0,0"/>
                      <v:stroke on="f"/>
                      <v:imagedata o:title=""/>
                      <o:lock v:ext="edit"/>
                    </v:shape>
                    <v:shape id="_x0000_s1147" o:spid="_x0000_s1147" style="position:absolute;left:82;top:8035;height:629;width:1911;" filled="f" stroked="t" coordsize="1911,629" path="m6,622l1905,622m1905,6l6,6,6,622e">
                      <v:fill on="f" focussize="0,0"/>
                      <v:stroke weight="0.6pt" color="#000000" miterlimit="10" endcap="round"/>
                      <v:imagedata o:title=""/>
                      <o:lock v:ext="edit"/>
                    </v:shape>
                    <v:shape id="_x0000_s1148" o:spid="_x0000_s1148" style="position:absolute;left:0;top:8362;height:88;width:88;" fillcolor="#000000" filled="t" stroked="f" coordsize="88,88" path="m0,0l88,44,0,88,0,0xe">
                      <v:fill on="t" focussize="0,0"/>
                      <v:stroke on="f"/>
                      <v:imagedata o:title=""/>
                      <o:lock v:ext="edit"/>
                    </v:shape>
                    <v:shape id="_x0000_s1149" o:spid="_x0000_s1149" style="position:absolute;left:82;top:1141;height:332;width:1911;" filled="f" stroked="t" coordsize="1911,332" path="m6,325l1905,325m1905,6l6,6,6,325e">
                      <v:fill on="f" focussize="0,0"/>
                      <v:stroke weight="0.6pt" color="#000000" miterlimit="10" endcap="round"/>
                      <v:imagedata o:title=""/>
                      <o:lock v:ext="edit"/>
                    </v:shape>
                    <v:shape id="_x0000_s1150" o:spid="_x0000_s1150" style="position:absolute;left:1036;top:848;height:222;width:4;" filled="f" stroked="t" coordsize="4,222" path="m1,1l1,220e">
                      <v:fill on="f" focussize="0,0"/>
                      <v:stroke weight="0.19pt" color="#000000" miterlimit="10" endcap="round"/>
                      <v:imagedata o:title=""/>
                      <o:lock v:ext="edit"/>
                    </v:shape>
                    <v:shape id="_x0000_s1151" o:spid="_x0000_s1151" style="position:absolute;left:994;top:1058;height:88;width:88;" fillcolor="#000000" filled="t" stroked="f" coordsize="88,88" path="m88,0l44,88,0,0,88,0xe">
                      <v:fill on="t" focussize="0,0"/>
                      <v:stroke on="f"/>
                      <v:imagedata o:title=""/>
                      <o:lock v:ext="edit"/>
                    </v:shape>
                    <v:shape id="_x0000_s1152" o:spid="_x0000_s1152" style="position:absolute;left:1036;top:1464;height:222;width:4;" filled="f" stroked="t" coordsize="4,222" path="m1,1l1,220e">
                      <v:fill on="f" focussize="0,0"/>
                      <v:stroke weight="0.19pt" color="#000000" miterlimit="10" endcap="round"/>
                      <v:imagedata o:title=""/>
                      <o:lock v:ext="edit"/>
                    </v:shape>
                    <v:shape id="_x0000_s1153" o:spid="_x0000_s1153" style="position:absolute;left:994;top:1674;height:88;width:88;" fillcolor="#000000" filled="t" stroked="f" coordsize="88,88" path="m88,0l44,88,0,0,88,0xe">
                      <v:fill on="t" focussize="0,0"/>
                      <v:stroke on="f"/>
                      <v:imagedata o:title=""/>
                      <o:lock v:ext="edit"/>
                    </v:shape>
                    <v:shape id="_x0000_s1154" o:spid="_x0000_s1154" style="position:absolute;left:82;top:2716;height:332;width:1911;" filled="f" stroked="t" coordsize="1911,332" path="m6,325l1905,325m1905,6l6,6,6,325e">
                      <v:fill on="f" focussize="0,0"/>
                      <v:stroke weight="0.6pt" color="#000000" miterlimit="10" endcap="round"/>
                      <v:imagedata o:title=""/>
                      <o:lock v:ext="edit"/>
                    </v:shape>
                    <v:shape id="_x0000_s1155" o:spid="_x0000_s1155" style="position:absolute;left:1036;top:2378;height:268;width:4;" filled="f" stroked="t" coordsize="4,268" path="m1,1l1,266e">
                      <v:fill on="f" focussize="0,0"/>
                      <v:stroke weight="0.19pt" color="#000000" miterlimit="10" endcap="round"/>
                      <v:imagedata o:title=""/>
                      <o:lock v:ext="edit"/>
                    </v:shape>
                    <v:shape id="_x0000_s1156" o:spid="_x0000_s1156" style="position:absolute;left:994;top:2633;height:88;width:88;" fillcolor="#000000" filled="t" stroked="f" coordsize="88,88" path="m88,0l44,88,0,0,88,0xe">
                      <v:fill on="t" focussize="0,0"/>
                      <v:stroke on="f"/>
                      <v:imagedata o:title=""/>
                      <o:lock v:ext="edit"/>
                    </v:shape>
                    <v:shape id="_x0000_s1157" o:spid="_x0000_s1157" style="position:absolute;left:82;top:4291;height:332;width:1911;" filled="f" stroked="t" coordsize="1911,332" path="m6,325l1905,325m1905,6l6,6,6,325e">
                      <v:fill on="f" focussize="0,0"/>
                      <v:stroke weight="0.6pt" color="#000000" miterlimit="10" endcap="round"/>
                      <v:imagedata o:title=""/>
                      <o:lock v:ext="edit"/>
                    </v:shape>
                    <v:shape id="_x0000_s1158" o:spid="_x0000_s1158" style="position:absolute;left:1036;top:3976;height:246;width:4;" filled="f" stroked="t" coordsize="4,246" path="m1,1l1,243e">
                      <v:fill on="f" focussize="0,0"/>
                      <v:stroke weight="0.19pt" color="#000000" miterlimit="10" endcap="round"/>
                      <v:imagedata o:title=""/>
                      <o:lock v:ext="edit"/>
                    </v:shape>
                    <v:shape id="_x0000_s1159" o:spid="_x0000_s1159" style="position:absolute;left:994;top:4208;height:88;width:88;" fillcolor="#000000" filled="t" stroked="f" coordsize="88,88" path="m88,0l44,88,0,0,88,0xe">
                      <v:fill on="t" focussize="0,0"/>
                      <v:stroke on="f"/>
                      <v:imagedata o:title=""/>
                      <o:lock v:ext="edit"/>
                    </v:shape>
                    <v:shape id="_x0000_s1160" o:spid="_x0000_s1160" style="position:absolute;left:1036;top:4615;height:268;width:4;" filled="f" stroked="t" coordsize="4,268" path="m1,1l1,266e">
                      <v:fill on="f" focussize="0,0"/>
                      <v:stroke weight="0.19pt" color="#000000" miterlimit="10" endcap="round"/>
                      <v:imagedata o:title=""/>
                      <o:lock v:ext="edit"/>
                    </v:shape>
                    <v:shape id="_x0000_s1161" o:spid="_x0000_s1161" style="position:absolute;left:994;top:4870;height:88;width:88;" fillcolor="#000000" filled="t" stroked="f" coordsize="88,88" path="m88,0l44,88,0,0,88,0xe">
                      <v:fill on="t" focussize="0,0"/>
                      <v:stroke on="f"/>
                      <v:imagedata o:title=""/>
                      <o:lock v:ext="edit"/>
                    </v:shape>
                    <v:shape id="_x0000_s1162" o:spid="_x0000_s1162" style="position:absolute;left:82;top:5821;height:332;width:1911;" filled="f" stroked="t" coordsize="1911,332" path="m6,325l1905,325m1905,6l6,6,6,325e">
                      <v:fill on="f" focussize="0,0"/>
                      <v:stroke weight="0.6pt" color="#000000" miterlimit="10" endcap="round"/>
                      <v:imagedata o:title=""/>
                      <o:lock v:ext="edit"/>
                    </v:shape>
                    <v:shape id="_x0000_s1163" o:spid="_x0000_s1163" style="position:absolute;left:1036;top:3040;height:246;width:4;" filled="f" stroked="t" coordsize="4,246" path="m1,1l1,243e">
                      <v:fill on="f" focussize="0,0"/>
                      <v:stroke weight="0.19pt" color="#000000" miterlimit="10" endcap="round"/>
                      <v:imagedata o:title=""/>
                      <o:lock v:ext="edit"/>
                    </v:shape>
                    <v:shape id="_x0000_s1164" o:spid="_x0000_s1164" style="position:absolute;left:994;top:3272;height:88;width:88;" fillcolor="#000000" filled="t" stroked="f" coordsize="88,88" path="m88,0l44,88,0,0,88,0xe">
                      <v:fill on="t" focussize="0,0"/>
                      <v:stroke on="f"/>
                      <v:imagedata o:title=""/>
                      <o:lock v:ext="edit"/>
                    </v:shape>
                    <v:shape id="_x0000_s1165" o:spid="_x0000_s1165" style="position:absolute;left:1036;top:5573;height:177;width:4;" filled="f" stroked="t" coordsize="4,177" path="m1,1l1,175e">
                      <v:fill on="f" focussize="0,0"/>
                      <v:stroke weight="0.19pt" color="#000000" miterlimit="10" endcap="round"/>
                      <v:imagedata o:title=""/>
                      <o:lock v:ext="edit"/>
                    </v:shape>
                    <v:shape id="_x0000_s1166" o:spid="_x0000_s1166" style="position:absolute;left:994;top:5738;height:88;width:88;" fillcolor="#000000" filled="t" stroked="f" coordsize="88,88" path="m88,0l44,88,0,0,88,0xe">
                      <v:fill on="t" focussize="0,0"/>
                      <v:stroke on="f"/>
                      <v:imagedata o:title=""/>
                      <o:lock v:ext="edit"/>
                    </v:shape>
                    <v:shape id="_x0000_s1167" o:spid="_x0000_s1167" style="position:absolute;left:1036;top:6144;height:246;width:4;" filled="f" stroked="t" coordsize="4,246" path="m1,1l1,243e">
                      <v:fill on="f" focussize="0,0"/>
                      <v:stroke weight="0.19pt" color="#000000" miterlimit="10" endcap="round"/>
                      <v:imagedata o:title=""/>
                      <o:lock v:ext="edit"/>
                    </v:shape>
                    <v:shape id="_x0000_s1168" o:spid="_x0000_s1168" style="position:absolute;left:994;top:6377;height:88;width:88;" fillcolor="#000000" filled="t" stroked="f" coordsize="88,88" path="m88,0l44,88,0,0,88,0xe">
                      <v:fill on="t" focussize="0,0"/>
                      <v:stroke on="f"/>
                      <v:imagedata o:title=""/>
                      <o:lock v:ext="edit"/>
                    </v:shape>
                    <v:shape id="_x0000_s1169" o:spid="_x0000_s1169" style="position:absolute;left:82;top:7396;height:332;width:1911;" filled="f" stroked="t" coordsize="1911,332" path="m6,325l1905,325m1905,6l6,6,6,325e">
                      <v:fill on="f" focussize="0,0"/>
                      <v:stroke weight="0.6pt" color="#000000" miterlimit="10" endcap="round"/>
                      <v:imagedata o:title=""/>
                      <o:lock v:ext="edit"/>
                    </v:shape>
                    <v:shape id="_x0000_s1170" o:spid="_x0000_s1170" style="position:absolute;left:1036;top:7080;height:246;width:4;" filled="f" stroked="t" coordsize="4,246" path="m1,1l1,243e">
                      <v:fill on="f" focussize="0,0"/>
                      <v:stroke weight="0.19pt" color="#000000" miterlimit="10" endcap="round"/>
                      <v:imagedata o:title=""/>
                      <o:lock v:ext="edit"/>
                    </v:shape>
                    <v:shape id="_x0000_s1171" o:spid="_x0000_s1171" style="position:absolute;left:994;top:7313;height:88;width:88;" fillcolor="#000000" filled="t" stroked="f" coordsize="88,88" path="m88,0l44,88,0,0,88,0xe">
                      <v:fill on="t" focussize="0,0"/>
                      <v:stroke on="f"/>
                      <v:imagedata o:title=""/>
                      <o:lock v:ext="edit"/>
                    </v:shape>
                    <v:shape id="_x0000_s1172" o:spid="_x0000_s1172" style="position:absolute;left:1036;top:7719;height:246;width:4;" filled="f" stroked="t" coordsize="4,246" path="m1,1l1,243e">
                      <v:fill on="f" focussize="0,0"/>
                      <v:stroke weight="0.19pt" color="#000000" miterlimit="10" endcap="round"/>
                      <v:imagedata o:title=""/>
                      <o:lock v:ext="edit"/>
                    </v:shape>
                    <v:shape id="_x0000_s1173" o:spid="_x0000_s1173" style="position:absolute;left:994;top:7952;height:88;width:88;" fillcolor="#000000" filled="t" stroked="f" coordsize="88,88" path="m88,0l44,88,0,0,88,0xe">
                      <v:fill on="t" focussize="0,0"/>
                      <v:stroke on="f"/>
                      <v:imagedata o:title=""/>
                      <o:lock v:ext="edit"/>
                    </v:shape>
                    <v:shape id="_x0000_s1174" o:spid="_x0000_s1174" style="position:absolute;left:82;top:9016;height:332;width:1911;" filled="f" stroked="t" coordsize="1911,332" path="m6,325l1905,325m1905,6l6,6,6,325e">
                      <v:fill on="f" focussize="0,0"/>
                      <v:stroke weight="0.6pt" color="#000000" miterlimit="10" endcap="round"/>
                      <v:imagedata o:title=""/>
                      <o:lock v:ext="edit"/>
                    </v:shape>
                    <v:shape id="_x0000_s1175" o:spid="_x0000_s1175" style="position:absolute;left:1036;top:8655;height:292;width:4;" filled="f" stroked="t" coordsize="4,292" path="m1,1l1,289e">
                      <v:fill on="f" focussize="0,0"/>
                      <v:stroke weight="0.19pt" color="#000000" miterlimit="10" endcap="round"/>
                      <v:imagedata o:title=""/>
                      <o:lock v:ext="edit"/>
                    </v:shape>
                    <v:shape id="_x0000_s1176" o:spid="_x0000_s1176" style="position:absolute;left:994;top:8934;height:88;width:88;" fillcolor="#000000" filled="t" stroked="f" coordsize="88,88" path="m88,0l44,88,0,0,88,0xe">
                      <v:fill on="t" focussize="0,0"/>
                      <v:stroke on="f"/>
                      <v:imagedata o:title=""/>
                      <o:lock v:ext="edit"/>
                    </v:shape>
                    <v:shape id="_x0000_s1177" o:spid="_x0000_s1177" style="position:absolute;left:1036;top:9340;height:268;width:4;" filled="f" stroked="t" coordsize="4,268" path="m1,1l1,266e">
                      <v:fill on="f" focussize="0,0"/>
                      <v:stroke weight="0.19pt" color="#000000" miterlimit="10" endcap="round"/>
                      <v:imagedata o:title=""/>
                      <o:lock v:ext="edit"/>
                    </v:shape>
                    <v:shape id="_x0000_s1178" o:spid="_x0000_s1178" style="position:absolute;left:0;top:9596;height:297;width:1084;" fillcolor="#000000" filled="t" stroked="f" coordsize="1084,297" path="m1083,0l1038,88,994,0,1083,0xem0,207l88,251,0,296,0,207xe">
                      <v:fill on="t" focussize="0,0"/>
                      <v:stroke on="f"/>
                      <v:imagedata o:title=""/>
                      <o:lock v:ext="edit"/>
                    </v:shape>
                  </v:group>
                  <v:shape id="_x0000_s1179" o:spid="_x0000_s1179" o:spt="202" type="#_x0000_t202" style="position:absolute;left:-20;top:-20;height:11425;width:2035;" filled="f" stroked="f" coordsize="21600,21600">
                    <v:path/>
                    <v:fill on="f" focussize="0,0"/>
                    <v:stroke on="f"/>
                    <v:imagedata o:title=""/>
                    <o:lock v:ext="edit" aspectratio="f"/>
                    <v:textbox inset="0mm,0mm,0mm,0mm">
                      <w:txbxContent>
                        <w:p>
                          <w:pPr>
                            <w:spacing w:line="371" w:lineRule="auto"/>
                            <w:rPr>
                              <w:rFonts w:ascii="Arial"/>
                              <w:sz w:val="21"/>
                            </w:rPr>
                          </w:pPr>
                        </w:p>
                        <w:p>
                          <w:pPr>
                            <w:pStyle w:val="6"/>
                            <w:spacing w:before="46" w:line="239" w:lineRule="auto"/>
                            <w:ind w:left="699" w:right="61" w:hanging="550"/>
                          </w:pPr>
                          <w:r>
                            <w:rPr>
                              <w:spacing w:val="3"/>
                            </w:rPr>
                            <w:t>一开（</w:t>
                          </w:r>
                          <w:r>
                            <w:rPr>
                              <w:rFonts w:ascii="Times New Roman" w:hAnsi="Times New Roman" w:eastAsia="Times New Roman" w:cs="Times New Roman"/>
                              <w:spacing w:val="3"/>
                            </w:rPr>
                            <w:t>0-50m</w:t>
                          </w:r>
                          <w:r>
                            <w:rPr>
                              <w:spacing w:val="-23"/>
                            </w:rPr>
                            <w:t>），</w:t>
                          </w:r>
                          <w:r>
                            <w:rPr>
                              <w:spacing w:val="-6"/>
                            </w:rPr>
                            <w:t xml:space="preserve"> </w:t>
                          </w:r>
                          <w:r>
                            <w:rPr>
                              <w:spacing w:val="3"/>
                            </w:rPr>
                            <w:t>采用清水钻</w:t>
                          </w:r>
                          <w:r>
                            <w:t xml:space="preserve"> </w:t>
                          </w:r>
                          <w:r>
                            <w:rPr>
                              <w:spacing w:val="4"/>
                            </w:rPr>
                            <w:t>井、下导管</w:t>
                          </w:r>
                        </w:p>
                        <w:p>
                          <w:pPr>
                            <w:spacing w:line="416" w:lineRule="auto"/>
                            <w:rPr>
                              <w:rFonts w:ascii="Arial"/>
                              <w:sz w:val="21"/>
                            </w:rPr>
                          </w:pPr>
                        </w:p>
                        <w:p>
                          <w:pPr>
                            <w:pStyle w:val="6"/>
                            <w:spacing w:before="45" w:line="226" w:lineRule="auto"/>
                            <w:ind w:left="774"/>
                          </w:pPr>
                          <w:r>
                            <w:rPr>
                              <w:spacing w:val="3"/>
                            </w:rPr>
                            <w:t>水泥固井</w:t>
                          </w:r>
                        </w:p>
                        <w:p>
                          <w:pPr>
                            <w:spacing w:line="450" w:lineRule="auto"/>
                            <w:rPr>
                              <w:rFonts w:ascii="Arial"/>
                              <w:sz w:val="21"/>
                            </w:rPr>
                          </w:pPr>
                        </w:p>
                        <w:p>
                          <w:pPr>
                            <w:pStyle w:val="6"/>
                            <w:spacing w:before="45" w:line="239" w:lineRule="auto"/>
                            <w:ind w:left="408" w:right="85" w:hanging="235"/>
                          </w:pPr>
                          <w:r>
                            <w:rPr>
                              <w:spacing w:val="3"/>
                            </w:rPr>
                            <w:t>二开（</w:t>
                          </w:r>
                          <w:r>
                            <w:rPr>
                              <w:rFonts w:ascii="Times New Roman" w:hAnsi="Times New Roman" w:eastAsia="Times New Roman" w:cs="Times New Roman"/>
                              <w:spacing w:val="3"/>
                            </w:rPr>
                            <w:t>50</w:t>
                          </w:r>
                          <w:r>
                            <w:rPr>
                              <w:spacing w:val="3"/>
                            </w:rPr>
                            <w:t>～</w:t>
                          </w:r>
                          <w:r>
                            <w:rPr>
                              <w:rFonts w:ascii="Times New Roman" w:hAnsi="Times New Roman" w:eastAsia="Times New Roman" w:cs="Times New Roman"/>
                              <w:spacing w:val="3"/>
                            </w:rPr>
                            <w:t>800m</w:t>
                          </w:r>
                          <w:r>
                            <w:rPr>
                              <w:spacing w:val="-24"/>
                            </w:rPr>
                            <w:t>），</w:t>
                          </w:r>
                          <w:r>
                            <w:rPr>
                              <w:spacing w:val="-6"/>
                            </w:rPr>
                            <w:t xml:space="preserve"> </w:t>
                          </w:r>
                          <w:r>
                            <w:rPr>
                              <w:spacing w:val="3"/>
                            </w:rPr>
                            <w:t>采用水</w:t>
                          </w:r>
                          <w:r>
                            <w:t xml:space="preserve"> </w:t>
                          </w:r>
                          <w:r>
                            <w:rPr>
                              <w:spacing w:val="4"/>
                            </w:rPr>
                            <w:t>基泥浆、下表层套管</w:t>
                          </w:r>
                        </w:p>
                        <w:p>
                          <w:pPr>
                            <w:spacing w:line="247" w:lineRule="auto"/>
                            <w:rPr>
                              <w:rFonts w:ascii="Arial"/>
                              <w:sz w:val="21"/>
                            </w:rPr>
                          </w:pPr>
                        </w:p>
                        <w:p>
                          <w:pPr>
                            <w:spacing w:line="248" w:lineRule="auto"/>
                            <w:rPr>
                              <w:rFonts w:ascii="Arial"/>
                              <w:sz w:val="21"/>
                            </w:rPr>
                          </w:pPr>
                        </w:p>
                        <w:p>
                          <w:pPr>
                            <w:pStyle w:val="6"/>
                            <w:spacing w:before="46" w:line="226" w:lineRule="auto"/>
                            <w:ind w:left="774"/>
                          </w:pPr>
                          <w:r>
                            <w:rPr>
                              <w:spacing w:val="3"/>
                            </w:rPr>
                            <w:t>水泥固井</w:t>
                          </w:r>
                        </w:p>
                        <w:p>
                          <w:pPr>
                            <w:spacing w:line="472" w:lineRule="auto"/>
                            <w:rPr>
                              <w:rFonts w:ascii="Arial"/>
                              <w:sz w:val="21"/>
                            </w:rPr>
                          </w:pPr>
                        </w:p>
                        <w:p>
                          <w:pPr>
                            <w:pStyle w:val="6"/>
                            <w:spacing w:before="46" w:line="239" w:lineRule="auto"/>
                            <w:ind w:left="301" w:right="85" w:hanging="130"/>
                            <w:rPr>
                              <w:rFonts w:ascii="Times New Roman" w:hAnsi="Times New Roman" w:eastAsia="Times New Roman" w:cs="Times New Roman"/>
                            </w:rPr>
                          </w:pPr>
                          <w:r>
                            <w:rPr>
                              <w:spacing w:val="3"/>
                            </w:rPr>
                            <w:t>三开（</w:t>
                          </w:r>
                          <w:r>
                            <w:rPr>
                              <w:rFonts w:ascii="Times New Roman" w:hAnsi="Times New Roman" w:eastAsia="Times New Roman" w:cs="Times New Roman"/>
                              <w:spacing w:val="3"/>
                            </w:rPr>
                            <w:t>800</w:t>
                          </w:r>
                          <w:r>
                            <w:rPr>
                              <w:spacing w:val="3"/>
                            </w:rPr>
                            <w:t>～</w:t>
                          </w:r>
                          <w:r>
                            <w:rPr>
                              <w:rFonts w:ascii="Times New Roman" w:hAnsi="Times New Roman" w:eastAsia="Times New Roman" w:cs="Times New Roman"/>
                              <w:spacing w:val="3"/>
                            </w:rPr>
                            <w:t>3990m</w:t>
                          </w:r>
                          <w:r>
                            <w:rPr>
                              <w:spacing w:val="-24"/>
                            </w:rPr>
                            <w:t>），</w:t>
                          </w:r>
                          <w:r>
                            <w:rPr>
                              <w:spacing w:val="-6"/>
                            </w:rPr>
                            <w:t xml:space="preserve"> </w:t>
                          </w:r>
                          <w:r>
                            <w:rPr>
                              <w:spacing w:val="3"/>
                            </w:rPr>
                            <w:t>采用</w:t>
                          </w:r>
                          <w:r>
                            <w:t xml:space="preserve"> </w:t>
                          </w:r>
                          <w:r>
                            <w:rPr>
                              <w:spacing w:val="4"/>
                            </w:rPr>
                            <w:t>水基泥浆、下技术套管</w:t>
                          </w:r>
                          <w:r>
                            <w:rPr>
                              <w:rFonts w:ascii="Times New Roman" w:hAnsi="Times New Roman" w:eastAsia="Times New Roman" w:cs="Times New Roman"/>
                              <w:spacing w:val="4"/>
                            </w:rPr>
                            <w:t>1</w:t>
                          </w:r>
                        </w:p>
                        <w:p>
                          <w:pPr>
                            <w:spacing w:line="472" w:lineRule="auto"/>
                            <w:rPr>
                              <w:rFonts w:ascii="Arial"/>
                              <w:sz w:val="21"/>
                            </w:rPr>
                          </w:pPr>
                        </w:p>
                        <w:p>
                          <w:pPr>
                            <w:pStyle w:val="6"/>
                            <w:spacing w:before="46" w:line="227" w:lineRule="auto"/>
                            <w:ind w:left="774"/>
                          </w:pPr>
                          <w:r>
                            <w:rPr>
                              <w:spacing w:val="3"/>
                            </w:rPr>
                            <w:t>水泥固井</w:t>
                          </w:r>
                        </w:p>
                        <w:p>
                          <w:pPr>
                            <w:spacing w:line="247" w:lineRule="auto"/>
                            <w:rPr>
                              <w:rFonts w:ascii="Arial"/>
                              <w:sz w:val="21"/>
                            </w:rPr>
                          </w:pPr>
                        </w:p>
                        <w:p>
                          <w:pPr>
                            <w:spacing w:line="248" w:lineRule="auto"/>
                            <w:rPr>
                              <w:rFonts w:ascii="Arial"/>
                              <w:sz w:val="21"/>
                            </w:rPr>
                          </w:pPr>
                        </w:p>
                        <w:p>
                          <w:pPr>
                            <w:pStyle w:val="6"/>
                            <w:spacing w:before="46" w:line="239" w:lineRule="auto"/>
                            <w:ind w:left="228" w:right="82" w:hanging="46"/>
                            <w:rPr>
                              <w:rFonts w:ascii="Times New Roman" w:hAnsi="Times New Roman" w:eastAsia="Times New Roman" w:cs="Times New Roman"/>
                            </w:rPr>
                          </w:pPr>
                          <w:r>
                            <w:rPr>
                              <w:spacing w:val="1"/>
                            </w:rPr>
                            <w:t>四开段（</w:t>
                          </w:r>
                          <w:r>
                            <w:rPr>
                              <w:rFonts w:ascii="Times New Roman" w:hAnsi="Times New Roman" w:eastAsia="Times New Roman" w:cs="Times New Roman"/>
                              <w:spacing w:val="1"/>
                            </w:rPr>
                            <w:t>3990~6800m</w:t>
                          </w:r>
                          <w:r>
                            <w:rPr>
                              <w:spacing w:val="-19"/>
                            </w:rPr>
                            <w:t>），</w:t>
                          </w:r>
                          <w:r>
                            <w:rPr>
                              <w:spacing w:val="-3"/>
                            </w:rPr>
                            <w:t xml:space="preserve"> </w:t>
                          </w:r>
                          <w:r>
                            <w:rPr>
                              <w:spacing w:val="1"/>
                            </w:rPr>
                            <w:t>采</w:t>
                          </w:r>
                          <w:r>
                            <w:t xml:space="preserve"> </w:t>
                          </w:r>
                          <w:r>
                            <w:rPr>
                              <w:spacing w:val="4"/>
                            </w:rPr>
                            <w:t>用水基泥浆、下技术套管</w:t>
                          </w:r>
                          <w:r>
                            <w:rPr>
                              <w:rFonts w:ascii="Times New Roman" w:hAnsi="Times New Roman" w:eastAsia="Times New Roman" w:cs="Times New Roman"/>
                              <w:spacing w:val="4"/>
                            </w:rPr>
                            <w:t>2</w:t>
                          </w:r>
                        </w:p>
                        <w:p>
                          <w:pPr>
                            <w:spacing w:line="405" w:lineRule="auto"/>
                            <w:rPr>
                              <w:rFonts w:ascii="Arial"/>
                              <w:sz w:val="21"/>
                            </w:rPr>
                          </w:pPr>
                        </w:p>
                        <w:p>
                          <w:pPr>
                            <w:pStyle w:val="6"/>
                            <w:spacing w:before="46" w:line="226" w:lineRule="auto"/>
                            <w:ind w:left="774"/>
                          </w:pPr>
                          <w:r>
                            <w:rPr>
                              <w:spacing w:val="3"/>
                            </w:rPr>
                            <w:t>水泥固井</w:t>
                          </w:r>
                        </w:p>
                        <w:p>
                          <w:pPr>
                            <w:spacing w:line="472" w:lineRule="auto"/>
                            <w:rPr>
                              <w:rFonts w:ascii="Arial"/>
                              <w:sz w:val="21"/>
                            </w:rPr>
                          </w:pPr>
                        </w:p>
                        <w:p>
                          <w:pPr>
                            <w:pStyle w:val="6"/>
                            <w:spacing w:before="46" w:line="239" w:lineRule="auto"/>
                            <w:ind w:left="190" w:right="105" w:firstLine="19"/>
                          </w:pPr>
                          <w:r>
                            <w:rPr>
                              <w:spacing w:val="3"/>
                            </w:rPr>
                            <w:t>五开段（</w:t>
                          </w:r>
                          <w:r>
                            <w:rPr>
                              <w:rFonts w:ascii="Times New Roman" w:hAnsi="Times New Roman" w:eastAsia="Times New Roman" w:cs="Times New Roman"/>
                              <w:spacing w:val="3"/>
                            </w:rPr>
                            <w:t>6800</w:t>
                          </w:r>
                          <w:r>
                            <w:rPr>
                              <w:spacing w:val="3"/>
                            </w:rPr>
                            <w:t>～</w:t>
                          </w:r>
                          <w:r>
                            <w:rPr>
                              <w:rFonts w:ascii="Times New Roman" w:hAnsi="Times New Roman" w:eastAsia="Times New Roman" w:cs="Times New Roman"/>
                              <w:spacing w:val="3"/>
                            </w:rPr>
                            <w:t>7135m</w:t>
                          </w:r>
                          <w:r>
                            <w:rPr>
                              <w:spacing w:val="-12"/>
                            </w:rPr>
                            <w:t>），</w:t>
                          </w:r>
                          <w:r>
                            <w:t xml:space="preserve">  </w:t>
                          </w:r>
                          <w:r>
                            <w:rPr>
                              <w:spacing w:val="4"/>
                            </w:rPr>
                            <w:t>采用水基泥浆、下技术悬挂</w:t>
                          </w:r>
                        </w:p>
                        <w:p>
                          <w:pPr>
                            <w:spacing w:line="472" w:lineRule="auto"/>
                            <w:rPr>
                              <w:rFonts w:ascii="Arial"/>
                              <w:sz w:val="21"/>
                            </w:rPr>
                          </w:pPr>
                        </w:p>
                        <w:p>
                          <w:pPr>
                            <w:pStyle w:val="6"/>
                            <w:spacing w:before="46" w:line="227" w:lineRule="auto"/>
                            <w:ind w:left="774"/>
                          </w:pPr>
                          <w:r>
                            <w:rPr>
                              <w:spacing w:val="3"/>
                            </w:rPr>
                            <w:t>水泥固井</w:t>
                          </w:r>
                        </w:p>
                        <w:p>
                          <w:pPr>
                            <w:spacing w:line="473" w:lineRule="auto"/>
                            <w:rPr>
                              <w:rFonts w:ascii="Arial"/>
                              <w:sz w:val="21"/>
                            </w:rPr>
                          </w:pPr>
                        </w:p>
                        <w:p>
                          <w:pPr>
                            <w:pStyle w:val="6"/>
                            <w:spacing w:before="45" w:line="239" w:lineRule="auto"/>
                            <w:ind w:left="264" w:right="82" w:hanging="95"/>
                          </w:pPr>
                          <w:r>
                            <w:rPr>
                              <w:spacing w:val="2"/>
                            </w:rPr>
                            <w:t>六开段（</w:t>
                          </w:r>
                          <w:r>
                            <w:rPr>
                              <w:rFonts w:ascii="Times New Roman" w:hAnsi="Times New Roman" w:eastAsia="Times New Roman" w:cs="Times New Roman"/>
                              <w:spacing w:val="2"/>
                            </w:rPr>
                            <w:t>7135~7230m</w:t>
                          </w:r>
                          <w:r>
                            <w:rPr>
                              <w:spacing w:val="-20"/>
                            </w:rPr>
                            <w:t>），</w:t>
                          </w:r>
                          <w:r>
                            <w:rPr>
                              <w:spacing w:val="-4"/>
                            </w:rPr>
                            <w:t xml:space="preserve"> </w:t>
                          </w:r>
                          <w:r>
                            <w:rPr>
                              <w:spacing w:val="2"/>
                            </w:rPr>
                            <w:t>采</w:t>
                          </w:r>
                          <w:r>
                            <w:t xml:space="preserve"> </w:t>
                          </w:r>
                          <w:r>
                            <w:rPr>
                              <w:spacing w:val="4"/>
                            </w:rPr>
                            <w:t>用油基泥浆、下油层套管</w:t>
                          </w:r>
                        </w:p>
                        <w:p>
                          <w:pPr>
                            <w:spacing w:line="259" w:lineRule="auto"/>
                            <w:rPr>
                              <w:rFonts w:ascii="Arial"/>
                              <w:sz w:val="21"/>
                            </w:rPr>
                          </w:pPr>
                        </w:p>
                        <w:p>
                          <w:pPr>
                            <w:spacing w:line="259" w:lineRule="auto"/>
                            <w:rPr>
                              <w:rFonts w:ascii="Arial"/>
                              <w:sz w:val="21"/>
                            </w:rPr>
                          </w:pPr>
                        </w:p>
                        <w:p>
                          <w:pPr>
                            <w:pStyle w:val="6"/>
                            <w:spacing w:before="47" w:line="226" w:lineRule="auto"/>
                            <w:ind w:left="774"/>
                          </w:pPr>
                          <w:r>
                            <w:rPr>
                              <w:spacing w:val="3"/>
                            </w:rPr>
                            <w:t>水泥固井</w:t>
                          </w:r>
                        </w:p>
                        <w:p>
                          <w:pPr>
                            <w:spacing w:line="445" w:lineRule="auto"/>
                            <w:rPr>
                              <w:rFonts w:ascii="Arial"/>
                              <w:sz w:val="21"/>
                            </w:rPr>
                          </w:pPr>
                        </w:p>
                        <w:p>
                          <w:pPr>
                            <w:pStyle w:val="6"/>
                            <w:spacing w:before="46" w:line="227" w:lineRule="auto"/>
                            <w:ind w:left="263"/>
                          </w:pPr>
                          <w:r>
                            <w:rPr>
                              <w:spacing w:val="4"/>
                            </w:rPr>
                            <w:t>洗井、射孔、酸化、测试</w:t>
                          </w:r>
                        </w:p>
                        <w:p>
                          <w:pPr>
                            <w:spacing w:line="245" w:lineRule="auto"/>
                            <w:rPr>
                              <w:rFonts w:ascii="Arial"/>
                              <w:sz w:val="21"/>
                            </w:rPr>
                          </w:pPr>
                        </w:p>
                        <w:p>
                          <w:pPr>
                            <w:spacing w:line="245" w:lineRule="auto"/>
                            <w:rPr>
                              <w:rFonts w:ascii="Arial"/>
                              <w:sz w:val="21"/>
                            </w:rPr>
                          </w:pPr>
                        </w:p>
                        <w:p>
                          <w:pPr>
                            <w:pStyle w:val="6"/>
                            <w:spacing w:before="46" w:line="226" w:lineRule="auto"/>
                            <w:ind w:left="410"/>
                          </w:pPr>
                          <w:r>
                            <w:rPr>
                              <w:spacing w:val="4"/>
                            </w:rPr>
                            <w:t>完井搬迁及现场清理</w:t>
                          </w:r>
                        </w:p>
                        <w:p>
                          <w:pPr>
                            <w:spacing w:line="414" w:lineRule="auto"/>
                            <w:rPr>
                              <w:rFonts w:ascii="Arial"/>
                              <w:sz w:val="21"/>
                            </w:rPr>
                          </w:pPr>
                        </w:p>
                        <w:p>
                          <w:pPr>
                            <w:pStyle w:val="6"/>
                            <w:spacing w:before="46" w:line="227" w:lineRule="auto"/>
                            <w:ind w:left="409"/>
                          </w:pPr>
                          <w:r>
                            <w:rPr>
                              <w:spacing w:val="4"/>
                            </w:rPr>
                            <w:t>土地复垦、迹地恢复</w:t>
                          </w:r>
                        </w:p>
                      </w:txbxContent>
                    </v:textbox>
                  </v:shape>
                </v:group>
              </w:pict>
            </w:r>
            <w:r>
              <w:rPr>
                <w:spacing w:val="2"/>
              </w:rPr>
              <w:t>清水</w:t>
            </w:r>
            <w:r>
              <w:rPr>
                <w:spacing w:val="15"/>
              </w:rPr>
              <w:t xml:space="preserve"> </w:t>
            </w:r>
            <w:r>
              <w:rPr>
                <w:strike/>
              </w:rPr>
              <w:t xml:space="preserve">      </w:t>
            </w: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46" w:line="226" w:lineRule="auto"/>
              <w:ind w:left="5072"/>
            </w:pPr>
            <w:r>
              <w:rPr>
                <w:spacing w:val="4"/>
              </w:rPr>
              <w:t>钻井废水、水基岩</w:t>
            </w:r>
          </w:p>
          <w:p>
            <w:pPr>
              <w:pStyle w:val="6"/>
              <w:spacing w:before="2" w:line="226" w:lineRule="auto"/>
              <w:ind w:left="5002"/>
            </w:pPr>
            <w:r>
              <w:pict>
                <v:shape id="_x0000_s1180" o:spid="_x0000_s1180" o:spt="202" type="#_x0000_t202" style="position:absolute;left:0pt;margin-left:76.9pt;margin-top:-3pt;height:10.6pt;width:53.7pt;z-index:251759616;mso-width-relative:page;mso-height-relative:page;" filled="f" stroked="f" coordsize="21600,21600">
                  <v:path/>
                  <v:fill on="f" focussize="0,0"/>
                  <v:stroke on="f"/>
                  <v:imagedata o:title=""/>
                  <o:lock v:ext="edit" aspectratio="f"/>
                  <v:textbox inset="0mm,0mm,0mm,0mm">
                    <w:txbxContent>
                      <w:p>
                        <w:pPr>
                          <w:pStyle w:val="6"/>
                          <w:spacing w:before="20" w:line="226" w:lineRule="auto"/>
                          <w:ind w:left="20"/>
                        </w:pPr>
                        <w:r>
                          <w:rPr>
                            <w:spacing w:val="3"/>
                          </w:rPr>
                          <w:t>水基泥浆</w:t>
                        </w:r>
                        <w:r>
                          <w:rPr>
                            <w:spacing w:val="31"/>
                          </w:rPr>
                          <w:t xml:space="preserve"> </w:t>
                        </w:r>
                        <w:r>
                          <w:rPr>
                            <w:strike/>
                          </w:rPr>
                          <w:t xml:space="preserve">      </w:t>
                        </w:r>
                      </w:p>
                    </w:txbxContent>
                  </v:textbox>
                </v:shape>
              </w:pict>
            </w:r>
            <w:r>
              <w:rPr>
                <w:spacing w:val="4"/>
              </w:rPr>
              <w:t>屑、噪声、废水基泥</w:t>
            </w:r>
          </w:p>
          <w:p>
            <w:pPr>
              <w:pStyle w:val="6"/>
              <w:spacing w:before="16" w:line="226" w:lineRule="auto"/>
              <w:ind w:left="5580"/>
            </w:pPr>
            <w:r>
              <w:t>浆</w:t>
            </w: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46" w:line="227" w:lineRule="auto"/>
              <w:ind w:left="1603"/>
            </w:pPr>
            <w:r>
              <w:pict>
                <v:shape id="_x0000_s1181" o:spid="_x0000_s1181" o:spt="202" type="#_x0000_t202" style="position:absolute;left:0pt;margin-left:248.2pt;margin-top:-2pt;height:19.95pt;width:73.2pt;z-index:251753472;mso-width-relative:page;mso-height-relative:page;" filled="f" stroked="f" coordsize="21600,21600">
                  <v:path/>
                  <v:fill on="f" focussize="0,0"/>
                  <v:stroke on="f"/>
                  <v:imagedata o:title=""/>
                  <o:lock v:ext="edit" aspectratio="f"/>
                  <v:textbox inset="0mm,0mm,0mm,0mm">
                    <w:txbxContent>
                      <w:p>
                        <w:pPr>
                          <w:pStyle w:val="6"/>
                          <w:spacing w:before="20" w:line="236" w:lineRule="auto"/>
                          <w:ind w:left="172" w:right="20" w:hanging="152"/>
                        </w:pPr>
                        <w:r>
                          <w:rPr>
                            <w:spacing w:val="2"/>
                          </w:rPr>
                          <w:t xml:space="preserve">钻井废水、水基岩屑、 </w:t>
                        </w:r>
                        <w:r>
                          <w:rPr>
                            <w:spacing w:val="3"/>
                          </w:rPr>
                          <w:t>噪声、废水基泥浆</w:t>
                        </w:r>
                      </w:p>
                    </w:txbxContent>
                  </v:textbox>
                </v:shape>
              </w:pict>
            </w:r>
            <w:r>
              <w:rPr>
                <w:spacing w:val="3"/>
              </w:rPr>
              <w:t>水基泥浆</w:t>
            </w:r>
            <w:r>
              <w:rPr>
                <w:spacing w:val="31"/>
              </w:rPr>
              <w:t xml:space="preserve"> </w:t>
            </w:r>
            <w:r>
              <w:rPr>
                <w:strike/>
              </w:rPr>
              <w:t xml:space="preserve">     </w:t>
            </w: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46" w:line="226" w:lineRule="auto"/>
              <w:ind w:left="1603"/>
            </w:pPr>
            <w:r>
              <w:pict>
                <v:shape id="_x0000_s1182" o:spid="_x0000_s1182" o:spt="202" type="#_x0000_t202" style="position:absolute;left:0pt;margin-left:246.2pt;margin-top:-6.55pt;height:19.95pt;width:73.2pt;z-index:251754496;mso-width-relative:page;mso-height-relative:page;" filled="f" stroked="f" coordsize="21600,21600">
                  <v:path/>
                  <v:fill on="f" focussize="0,0"/>
                  <v:stroke on="f"/>
                  <v:imagedata o:title=""/>
                  <o:lock v:ext="edit" aspectratio="f"/>
                  <v:textbox inset="0mm,0mm,0mm,0mm">
                    <w:txbxContent>
                      <w:p>
                        <w:pPr>
                          <w:pStyle w:val="6"/>
                          <w:spacing w:before="20" w:line="236" w:lineRule="auto"/>
                          <w:ind w:left="172" w:right="20" w:hanging="152"/>
                        </w:pPr>
                        <w:r>
                          <w:rPr>
                            <w:spacing w:val="2"/>
                          </w:rPr>
                          <w:t xml:space="preserve">钻井废水、水基岩屑、 </w:t>
                        </w:r>
                        <w:r>
                          <w:rPr>
                            <w:spacing w:val="3"/>
                          </w:rPr>
                          <w:t>噪声、废水基泥浆</w:t>
                        </w:r>
                      </w:p>
                    </w:txbxContent>
                  </v:textbox>
                </v:shape>
              </w:pict>
            </w:r>
            <w:r>
              <w:rPr>
                <w:spacing w:val="3"/>
              </w:rPr>
              <w:t>水基泥浆</w:t>
            </w:r>
            <w:r>
              <w:rPr>
                <w:spacing w:val="31"/>
              </w:rPr>
              <w:t xml:space="preserve"> </w:t>
            </w:r>
            <w:r>
              <w:rPr>
                <w:strike/>
              </w:rPr>
              <w:t xml:space="preserve">     </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46" w:line="227" w:lineRule="auto"/>
              <w:ind w:left="1603"/>
            </w:pPr>
            <w:r>
              <w:pict>
                <v:shape id="_x0000_s1183" o:spid="_x0000_s1183" o:spt="202" type="#_x0000_t202" style="position:absolute;left:0pt;margin-left:245.3pt;margin-top:-0.85pt;height:19.95pt;width:73.2pt;z-index:251758592;mso-width-relative:page;mso-height-relative:page;" filled="f" stroked="f" coordsize="21600,21600">
                  <v:path/>
                  <v:fill on="f" focussize="0,0"/>
                  <v:stroke on="f"/>
                  <v:imagedata o:title=""/>
                  <o:lock v:ext="edit" aspectratio="f"/>
                  <v:textbox inset="0mm,0mm,0mm,0mm">
                    <w:txbxContent>
                      <w:p>
                        <w:pPr>
                          <w:pStyle w:val="6"/>
                          <w:spacing w:before="20" w:line="236" w:lineRule="auto"/>
                          <w:ind w:left="172" w:right="20" w:hanging="152"/>
                        </w:pPr>
                        <w:r>
                          <w:rPr>
                            <w:spacing w:val="2"/>
                          </w:rPr>
                          <w:t xml:space="preserve">钻井废水、水基岩屑、 </w:t>
                        </w:r>
                        <w:r>
                          <w:rPr>
                            <w:spacing w:val="3"/>
                          </w:rPr>
                          <w:t>噪声、废水基泥浆</w:t>
                        </w:r>
                      </w:p>
                    </w:txbxContent>
                  </v:textbox>
                </v:shape>
              </w:pict>
            </w:r>
            <w:r>
              <w:rPr>
                <w:spacing w:val="3"/>
              </w:rPr>
              <w:t>水基泥浆</w:t>
            </w:r>
            <w:r>
              <w:rPr>
                <w:spacing w:val="31"/>
              </w:rPr>
              <w:t xml:space="preserve"> </w:t>
            </w:r>
            <w:r>
              <w:rPr>
                <w:strike/>
              </w:rPr>
              <w:t xml:space="preserve">     </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46" w:line="226" w:lineRule="auto"/>
              <w:ind w:left="1604"/>
            </w:pPr>
            <w:r>
              <w:pict>
                <v:shape id="_x0000_s1184" o:spid="_x0000_s1184" o:spt="202" type="#_x0000_t202" style="position:absolute;left:0pt;margin-left:249.35pt;margin-top:-2pt;height:19.95pt;width:73.2pt;z-index:251757568;mso-width-relative:page;mso-height-relative:page;" filled="f" stroked="f" coordsize="21600,21600">
                  <v:path/>
                  <v:fill on="f" focussize="0,0"/>
                  <v:stroke on="f"/>
                  <v:imagedata o:title=""/>
                  <o:lock v:ext="edit" aspectratio="f"/>
                  <v:textbox inset="0mm,0mm,0mm,0mm">
                    <w:txbxContent>
                      <w:p>
                        <w:pPr>
                          <w:pStyle w:val="6"/>
                          <w:spacing w:before="19" w:line="237" w:lineRule="auto"/>
                          <w:ind w:left="607" w:right="20" w:hanging="587"/>
                        </w:pPr>
                        <w:r>
                          <w:rPr>
                            <w:spacing w:val="2"/>
                          </w:rPr>
                          <w:t xml:space="preserve">钻井废水、油基岩屑、 </w:t>
                        </w:r>
                        <w:r>
                          <w:rPr>
                            <w:spacing w:val="-1"/>
                          </w:rPr>
                          <w:t>噪声</w:t>
                        </w:r>
                      </w:p>
                    </w:txbxContent>
                  </v:textbox>
                </v:shape>
              </w:pict>
            </w:r>
            <w:r>
              <w:rPr>
                <w:spacing w:val="3"/>
              </w:rPr>
              <w:t>油基泥浆</w:t>
            </w:r>
            <w:r>
              <w:rPr>
                <w:spacing w:val="30"/>
              </w:rPr>
              <w:t xml:space="preserve"> </w:t>
            </w:r>
            <w:r>
              <w:rPr>
                <w:strike/>
              </w:rPr>
              <w:t xml:space="preserve">     </w:t>
            </w: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46" w:line="236" w:lineRule="auto"/>
              <w:ind w:left="5612" w:right="449" w:hanging="573"/>
            </w:pPr>
            <w:r>
              <w:pict>
                <v:shape id="_x0000_s1185" o:spid="_x0000_s1185" o:spt="202" type="#_x0000_t202" style="position:absolute;left:0pt;margin-left:103.7pt;margin-top:3.45pt;height:10.6pt;width:26.9pt;z-index:251752448;mso-width-relative:page;mso-height-relative:page;" filled="f" stroked="f" coordsize="21600,21600">
                  <v:path/>
                  <v:fill on="f" focussize="0,0"/>
                  <v:stroke on="f"/>
                  <v:imagedata o:title=""/>
                  <o:lock v:ext="edit" aspectratio="f"/>
                  <v:textbox inset="0mm,0mm,0mm,0mm">
                    <w:txbxContent>
                      <w:p>
                        <w:pPr>
                          <w:pStyle w:val="6"/>
                          <w:spacing w:before="19" w:line="227" w:lineRule="auto"/>
                          <w:ind w:left="20"/>
                        </w:pPr>
                        <w:r>
                          <w:rPr>
                            <w:spacing w:val="-3"/>
                          </w:rPr>
                          <w:t>水</w:t>
                        </w:r>
                        <w:r>
                          <w:rPr>
                            <w:spacing w:val="16"/>
                          </w:rPr>
                          <w:t xml:space="preserve"> </w:t>
                        </w:r>
                        <w:r>
                          <w:rPr>
                            <w:strike/>
                          </w:rPr>
                          <w:t xml:space="preserve">    </w:t>
                        </w:r>
                      </w:p>
                    </w:txbxContent>
                  </v:textbox>
                </v:shape>
              </w:pict>
            </w:r>
            <w:r>
              <w:rPr>
                <w:spacing w:val="3"/>
              </w:rPr>
              <w:t>噪声、洗井废水、酸化</w:t>
            </w:r>
            <w:r>
              <w:rPr>
                <w:spacing w:val="8"/>
              </w:rPr>
              <w:t xml:space="preserve"> </w:t>
            </w:r>
            <w:r>
              <w:rPr>
                <w:spacing w:val="2"/>
              </w:rPr>
              <w:t>废水</w:t>
            </w:r>
          </w:p>
        </w:tc>
        <w:tc>
          <w:tcPr>
            <w:tcW w:w="1895" w:type="dxa"/>
            <w:tcBorders>
              <w:left w:val="nil"/>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9" w:line="186" w:lineRule="auto"/>
              <w:ind w:left="121"/>
              <w:rPr>
                <w:sz w:val="18"/>
                <w:szCs w:val="18"/>
              </w:rPr>
            </w:pPr>
            <w:r>
              <w:rPr>
                <w:color w:val="FF00FF"/>
                <w:sz w:val="18"/>
                <w:szCs w:val="18"/>
              </w:rPr>
              <w:t>钻</w:t>
            </w:r>
          </w:p>
          <w:p>
            <w:pPr>
              <w:pStyle w:val="6"/>
              <w:spacing w:line="192" w:lineRule="auto"/>
              <w:ind w:left="121"/>
              <w:rPr>
                <w:sz w:val="18"/>
                <w:szCs w:val="18"/>
              </w:rPr>
            </w:pPr>
            <w:r>
              <w:rPr>
                <w:color w:val="FF00FF"/>
                <w:sz w:val="18"/>
                <w:szCs w:val="18"/>
              </w:rPr>
              <w:t>井</w:t>
            </w:r>
          </w:p>
          <w:p>
            <w:pPr>
              <w:pStyle w:val="6"/>
              <w:spacing w:line="167" w:lineRule="auto"/>
              <w:ind w:left="121"/>
              <w:rPr>
                <w:sz w:val="18"/>
                <w:szCs w:val="18"/>
              </w:rPr>
            </w:pPr>
            <w:r>
              <w:rPr>
                <w:color w:val="FF00FF"/>
                <w:sz w:val="18"/>
                <w:szCs w:val="18"/>
              </w:rPr>
              <w:t>作</w:t>
            </w:r>
          </w:p>
          <w:p>
            <w:pPr>
              <w:pStyle w:val="6"/>
              <w:spacing w:line="233" w:lineRule="auto"/>
              <w:ind w:left="120"/>
              <w:rPr>
                <w:sz w:val="18"/>
                <w:szCs w:val="18"/>
              </w:rPr>
            </w:pPr>
            <w:r>
              <w:rPr>
                <w:color w:val="FF00FF"/>
                <w:sz w:val="18"/>
                <w:szCs w:val="18"/>
              </w:rPr>
              <w:t>业</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86" w:lineRule="auto"/>
              <w:ind w:left="24"/>
              <w:rPr>
                <w:sz w:val="18"/>
                <w:szCs w:val="18"/>
              </w:rPr>
            </w:pPr>
            <w:r>
              <w:rPr>
                <w:color w:val="FF00FF"/>
                <w:sz w:val="18"/>
                <w:szCs w:val="18"/>
              </w:rPr>
              <w:t>完</w:t>
            </w:r>
          </w:p>
          <w:p>
            <w:pPr>
              <w:pStyle w:val="6"/>
              <w:spacing w:line="192" w:lineRule="auto"/>
              <w:ind w:left="23"/>
              <w:rPr>
                <w:sz w:val="18"/>
                <w:szCs w:val="18"/>
              </w:rPr>
            </w:pPr>
            <w:r>
              <w:rPr>
                <w:color w:val="FF00FF"/>
                <w:sz w:val="18"/>
                <w:szCs w:val="18"/>
              </w:rPr>
              <w:t>井</w:t>
            </w:r>
          </w:p>
          <w:p>
            <w:pPr>
              <w:pStyle w:val="6"/>
              <w:spacing w:line="167" w:lineRule="auto"/>
              <w:ind w:left="23"/>
              <w:rPr>
                <w:sz w:val="18"/>
                <w:szCs w:val="18"/>
              </w:rPr>
            </w:pPr>
            <w:r>
              <w:rPr>
                <w:color w:val="FF00FF"/>
                <w:sz w:val="18"/>
                <w:szCs w:val="18"/>
              </w:rPr>
              <w:t>作</w:t>
            </w:r>
          </w:p>
          <w:p>
            <w:pPr>
              <w:pStyle w:val="6"/>
              <w:spacing w:before="1" w:line="232" w:lineRule="auto"/>
              <w:ind w:left="22"/>
              <w:rPr>
                <w:sz w:val="18"/>
                <w:szCs w:val="18"/>
              </w:rPr>
            </w:pPr>
            <w:r>
              <w:rPr>
                <w:color w:val="FF00FF"/>
                <w:sz w:val="18"/>
                <w:szCs w:val="18"/>
              </w:rPr>
              <w:t>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57" w:hRule="atLeast"/>
        </w:trPr>
        <w:tc>
          <w:tcPr>
            <w:tcW w:w="465" w:type="dxa"/>
            <w:vMerge w:val="continue"/>
            <w:tcBorders>
              <w:top w:val="nil"/>
              <w:right w:val="single" w:color="000000" w:sz="2" w:space="0"/>
            </w:tcBorders>
            <w:vAlign w:val="top"/>
          </w:tcPr>
          <w:p>
            <w:pPr>
              <w:rPr>
                <w:rFonts w:ascii="Arial"/>
                <w:sz w:val="21"/>
              </w:rPr>
            </w:pPr>
          </w:p>
        </w:tc>
        <w:tc>
          <w:tcPr>
            <w:tcW w:w="8826" w:type="dxa"/>
            <w:gridSpan w:val="2"/>
            <w:tcBorders>
              <w:top w:val="nil"/>
              <w:left w:val="single" w:color="000000" w:sz="2" w:space="0"/>
            </w:tcBorders>
            <w:vAlign w:val="top"/>
          </w:tcPr>
          <w:p>
            <w:pPr>
              <w:pStyle w:val="6"/>
              <w:spacing w:before="110" w:line="220" w:lineRule="auto"/>
              <w:ind w:left="2138"/>
              <w:rPr>
                <w:sz w:val="24"/>
                <w:szCs w:val="24"/>
              </w:rPr>
            </w:pPr>
            <w:r>
              <w:rPr>
                <w:spacing w:val="-1"/>
                <w:sz w:val="24"/>
                <w:szCs w:val="24"/>
                <w14:textOutline w14:w="4354" w14:cap="flat" w14:cmpd="sng">
                  <w14:solidFill>
                    <w14:srgbClr w14:val="000000"/>
                  </w14:solidFill>
                  <w14:prstDash w14:val="solid"/>
                  <w14:miter w14:val="10"/>
                </w14:textOutline>
              </w:rPr>
              <w:t>图</w:t>
            </w:r>
            <w:r>
              <w:rPr>
                <w:spacing w:val="-1"/>
                <w:sz w:val="24"/>
                <w:szCs w:val="24"/>
              </w:rPr>
              <w:t xml:space="preserve"> </w:t>
            </w:r>
            <w:r>
              <w:rPr>
                <w:rFonts w:ascii="Times New Roman" w:hAnsi="Times New Roman" w:eastAsia="Times New Roman" w:cs="Times New Roman"/>
                <w:b/>
                <w:bCs/>
                <w:spacing w:val="-1"/>
                <w:sz w:val="24"/>
                <w:szCs w:val="24"/>
              </w:rPr>
              <w:t xml:space="preserve">2.12-4    </w:t>
            </w:r>
            <w:r>
              <w:rPr>
                <w:spacing w:val="-1"/>
                <w:sz w:val="24"/>
                <w:szCs w:val="24"/>
                <w14:textOutline w14:w="4354" w14:cap="flat" w14:cmpd="sng">
                  <w14:solidFill>
                    <w14:srgbClr w14:val="000000"/>
                  </w14:solidFill>
                  <w14:prstDash w14:val="solid"/>
                  <w14:miter w14:val="10"/>
                </w14:textOutline>
              </w:rPr>
              <w:t>钻井工艺流程及产污环节示意图</w:t>
            </w:r>
          </w:p>
          <w:p>
            <w:pPr>
              <w:pStyle w:val="6"/>
              <w:spacing w:before="194" w:line="220" w:lineRule="auto"/>
              <w:ind w:left="594"/>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spacing w:val="-2"/>
                <w:sz w:val="24"/>
                <w:szCs w:val="24"/>
                <w14:textOutline w14:w="4354" w14:cap="flat" w14:cmpd="sng">
                  <w14:solidFill>
                    <w14:srgbClr w14:val="000000"/>
                  </w14:solidFill>
                  <w14:prstDash w14:val="solid"/>
                  <w14:miter w14:val="10"/>
                </w14:textOutline>
              </w:rPr>
              <w:t>）钻井设备安装</w:t>
            </w:r>
          </w:p>
          <w:p>
            <w:pPr>
              <w:pStyle w:val="6"/>
              <w:spacing w:before="193" w:line="480" w:lineRule="exact"/>
              <w:ind w:right="17"/>
              <w:jc w:val="right"/>
              <w:rPr>
                <w:sz w:val="24"/>
                <w:szCs w:val="24"/>
              </w:rPr>
            </w:pPr>
            <w:r>
              <w:rPr>
                <w:spacing w:val="-7"/>
                <w:position w:val="18"/>
                <w:sz w:val="24"/>
                <w:szCs w:val="24"/>
              </w:rPr>
              <w:t>井场满足钻井工程要求后，</w:t>
            </w:r>
            <w:r>
              <w:rPr>
                <w:spacing w:val="-55"/>
                <w:position w:val="18"/>
                <w:sz w:val="24"/>
                <w:szCs w:val="24"/>
              </w:rPr>
              <w:t xml:space="preserve"> </w:t>
            </w:r>
            <w:r>
              <w:rPr>
                <w:spacing w:val="-7"/>
                <w:position w:val="18"/>
                <w:sz w:val="24"/>
                <w:szCs w:val="24"/>
              </w:rPr>
              <w:t>将成套设备（包括钻机、柴油机</w:t>
            </w:r>
            <w:r>
              <w:rPr>
                <w:spacing w:val="-8"/>
                <w:position w:val="18"/>
                <w:sz w:val="24"/>
                <w:szCs w:val="24"/>
              </w:rPr>
              <w:t>、发电机、活动房、</w:t>
            </w:r>
          </w:p>
          <w:p>
            <w:pPr>
              <w:pStyle w:val="6"/>
              <w:spacing w:line="219" w:lineRule="auto"/>
              <w:ind w:left="109"/>
              <w:rPr>
                <w:sz w:val="24"/>
                <w:szCs w:val="24"/>
              </w:rPr>
            </w:pPr>
            <w:r>
              <w:rPr>
                <w:spacing w:val="-14"/>
                <w:sz w:val="24"/>
                <w:szCs w:val="24"/>
              </w:rPr>
              <w:t>油水罐等） 搬运至井场相应位置，</w:t>
            </w:r>
            <w:r>
              <w:rPr>
                <w:spacing w:val="61"/>
                <w:sz w:val="24"/>
                <w:szCs w:val="24"/>
              </w:rPr>
              <w:t xml:space="preserve"> </w:t>
            </w:r>
            <w:r>
              <w:rPr>
                <w:spacing w:val="-14"/>
                <w:sz w:val="24"/>
                <w:szCs w:val="24"/>
              </w:rPr>
              <w:t>并进行安装和调试，</w:t>
            </w:r>
            <w:r>
              <w:rPr>
                <w:spacing w:val="57"/>
                <w:sz w:val="24"/>
                <w:szCs w:val="24"/>
              </w:rPr>
              <w:t xml:space="preserve"> </w:t>
            </w:r>
            <w:r>
              <w:rPr>
                <w:spacing w:val="-14"/>
                <w:sz w:val="24"/>
                <w:szCs w:val="24"/>
              </w:rPr>
              <w:t>准备钻井作业。该过程设备</w:t>
            </w:r>
          </w:p>
        </w:tc>
      </w:tr>
    </w:tbl>
    <w:p>
      <w:pPr>
        <w:pStyle w:val="2"/>
        <w:rPr>
          <w:sz w:val="21"/>
        </w:rPr>
      </w:pPr>
    </w:p>
    <w:p>
      <w:pPr>
        <w:rPr>
          <w:sz w:val="21"/>
          <w:szCs w:val="21"/>
        </w:rPr>
        <w:sectPr>
          <w:footerReference r:id="rId54"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2"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1" w:line="220" w:lineRule="auto"/>
              <w:ind w:left="106"/>
              <w:rPr>
                <w:sz w:val="24"/>
                <w:szCs w:val="24"/>
              </w:rPr>
            </w:pPr>
            <w:r>
              <w:rPr>
                <w:spacing w:val="-3"/>
                <w:sz w:val="24"/>
                <w:szCs w:val="24"/>
              </w:rPr>
              <w:t>搬运及安装过程产生施工噪声。</w:t>
            </w:r>
          </w:p>
          <w:p>
            <w:pPr>
              <w:pStyle w:val="6"/>
              <w:spacing w:before="195" w:line="220" w:lineRule="auto"/>
              <w:ind w:left="594"/>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）钻井作业</w:t>
            </w:r>
          </w:p>
          <w:p>
            <w:pPr>
              <w:pStyle w:val="6"/>
              <w:spacing w:before="194" w:line="369" w:lineRule="auto"/>
              <w:ind w:left="106" w:right="103" w:firstLine="479"/>
              <w:jc w:val="both"/>
              <w:rPr>
                <w:sz w:val="24"/>
                <w:szCs w:val="24"/>
              </w:rPr>
            </w:pPr>
            <w:r>
              <w:rPr>
                <w:spacing w:val="-10"/>
                <w:sz w:val="24"/>
                <w:szCs w:val="24"/>
              </w:rPr>
              <w:t>本项目采用常规钻井工艺。常规钻井通过钻机、转盘，</w:t>
            </w:r>
            <w:r>
              <w:rPr>
                <w:spacing w:val="72"/>
                <w:sz w:val="24"/>
                <w:szCs w:val="24"/>
              </w:rPr>
              <w:t xml:space="preserve"> </w:t>
            </w:r>
            <w:r>
              <w:rPr>
                <w:spacing w:val="-10"/>
                <w:sz w:val="24"/>
                <w:szCs w:val="24"/>
              </w:rPr>
              <w:t>带动钻杆切削地层， 同</w:t>
            </w:r>
            <w:r>
              <w:rPr>
                <w:sz w:val="24"/>
                <w:szCs w:val="24"/>
              </w:rPr>
              <w:t xml:space="preserve"> </w:t>
            </w:r>
            <w:r>
              <w:rPr>
                <w:spacing w:val="-9"/>
                <w:sz w:val="24"/>
                <w:szCs w:val="24"/>
              </w:rPr>
              <w:t>时由泥浆泵经钻杆向井内注入高压泥浆，</w:t>
            </w:r>
            <w:r>
              <w:rPr>
                <w:spacing w:val="57"/>
                <w:sz w:val="24"/>
                <w:szCs w:val="24"/>
              </w:rPr>
              <w:t xml:space="preserve"> </w:t>
            </w:r>
            <w:r>
              <w:rPr>
                <w:spacing w:val="-9"/>
                <w:sz w:val="24"/>
                <w:szCs w:val="24"/>
              </w:rPr>
              <w:t>冲刷井底， 将切削下的岩屑不断地带至地</w:t>
            </w:r>
            <w:r>
              <w:rPr>
                <w:sz w:val="24"/>
                <w:szCs w:val="24"/>
              </w:rPr>
              <w:t xml:space="preserve"> </w:t>
            </w:r>
            <w:r>
              <w:rPr>
                <w:spacing w:val="-19"/>
                <w:sz w:val="24"/>
                <w:szCs w:val="24"/>
              </w:rPr>
              <w:t>面，</w:t>
            </w:r>
            <w:r>
              <w:rPr>
                <w:spacing w:val="-33"/>
                <w:sz w:val="24"/>
                <w:szCs w:val="24"/>
              </w:rPr>
              <w:t xml:space="preserve"> </w:t>
            </w:r>
            <w:r>
              <w:rPr>
                <w:spacing w:val="-19"/>
                <w:sz w:val="24"/>
                <w:szCs w:val="24"/>
              </w:rPr>
              <w:t>整个过程循环进行，</w:t>
            </w:r>
            <w:r>
              <w:rPr>
                <w:spacing w:val="59"/>
                <w:sz w:val="24"/>
                <w:szCs w:val="24"/>
              </w:rPr>
              <w:t xml:space="preserve"> </w:t>
            </w:r>
            <w:r>
              <w:rPr>
                <w:spacing w:val="-19"/>
                <w:sz w:val="24"/>
                <w:szCs w:val="24"/>
              </w:rPr>
              <w:t>使井不断加深，</w:t>
            </w:r>
            <w:r>
              <w:rPr>
                <w:spacing w:val="60"/>
                <w:sz w:val="24"/>
                <w:szCs w:val="24"/>
              </w:rPr>
              <w:t xml:space="preserve"> </w:t>
            </w:r>
            <w:r>
              <w:rPr>
                <w:spacing w:val="-19"/>
                <w:sz w:val="24"/>
                <w:szCs w:val="24"/>
              </w:rPr>
              <w:t>直至目的井深。钻井中途需要停钻</w:t>
            </w:r>
            <w:r>
              <w:rPr>
                <w:spacing w:val="-20"/>
                <w:sz w:val="24"/>
                <w:szCs w:val="24"/>
              </w:rPr>
              <w:t>，</w:t>
            </w:r>
            <w:r>
              <w:rPr>
                <w:spacing w:val="85"/>
                <w:sz w:val="24"/>
                <w:szCs w:val="24"/>
              </w:rPr>
              <w:t xml:space="preserve"> </w:t>
            </w:r>
            <w:r>
              <w:rPr>
                <w:spacing w:val="-20"/>
                <w:sz w:val="24"/>
                <w:szCs w:val="24"/>
              </w:rPr>
              <w:t>以便</w:t>
            </w:r>
            <w:r>
              <w:rPr>
                <w:sz w:val="24"/>
                <w:szCs w:val="24"/>
              </w:rPr>
              <w:t xml:space="preserve"> </w:t>
            </w:r>
            <w:r>
              <w:rPr>
                <w:spacing w:val="-1"/>
                <w:sz w:val="24"/>
                <w:szCs w:val="24"/>
              </w:rPr>
              <w:t>起下钻具更换钻头、下套管、固井、替换洗井液和检修设备。钻井作业为</w:t>
            </w:r>
            <w:r>
              <w:rPr>
                <w:spacing w:val="-53"/>
                <w:sz w:val="24"/>
                <w:szCs w:val="24"/>
              </w:rPr>
              <w:t xml:space="preserve"> </w:t>
            </w:r>
            <w:r>
              <w:rPr>
                <w:rFonts w:ascii="Times New Roman" w:hAnsi="Times New Roman" w:eastAsia="Times New Roman" w:cs="Times New Roman"/>
                <w:spacing w:val="-2"/>
                <w:sz w:val="24"/>
                <w:szCs w:val="24"/>
              </w:rPr>
              <w:t xml:space="preserve">24h </w:t>
            </w:r>
            <w:r>
              <w:rPr>
                <w:spacing w:val="-2"/>
                <w:sz w:val="24"/>
                <w:szCs w:val="24"/>
              </w:rPr>
              <w:t>连续</w:t>
            </w:r>
          </w:p>
          <w:p>
            <w:pPr>
              <w:pStyle w:val="6"/>
              <w:spacing w:line="220" w:lineRule="auto"/>
              <w:ind w:left="106"/>
              <w:rPr>
                <w:sz w:val="24"/>
                <w:szCs w:val="24"/>
              </w:rPr>
            </w:pPr>
            <w:r>
              <w:rPr>
                <w:spacing w:val="-11"/>
                <w:sz w:val="24"/>
                <w:szCs w:val="24"/>
              </w:rPr>
              <w:t>作业。</w:t>
            </w:r>
          </w:p>
          <w:p>
            <w:pPr>
              <w:pStyle w:val="6"/>
              <w:spacing w:before="193" w:line="481" w:lineRule="exact"/>
              <w:ind w:left="586"/>
              <w:rPr>
                <w:sz w:val="24"/>
                <w:szCs w:val="24"/>
              </w:rPr>
            </w:pPr>
            <w:r>
              <w:rPr>
                <w:spacing w:val="-1"/>
                <w:position w:val="18"/>
                <w:sz w:val="24"/>
                <w:szCs w:val="24"/>
              </w:rPr>
              <w:t>凤探</w:t>
            </w:r>
            <w:r>
              <w:rPr>
                <w:spacing w:val="-27"/>
                <w:position w:val="18"/>
                <w:sz w:val="24"/>
                <w:szCs w:val="24"/>
              </w:rPr>
              <w:t xml:space="preserve"> </w:t>
            </w:r>
            <w:r>
              <w:rPr>
                <w:rFonts w:ascii="Times New Roman" w:hAnsi="Times New Roman" w:eastAsia="Times New Roman" w:cs="Times New Roman"/>
                <w:spacing w:val="-1"/>
                <w:position w:val="18"/>
                <w:sz w:val="24"/>
                <w:szCs w:val="24"/>
              </w:rPr>
              <w:t xml:space="preserve">1 </w:t>
            </w:r>
            <w:r>
              <w:rPr>
                <w:spacing w:val="-1"/>
                <w:position w:val="18"/>
                <w:sz w:val="24"/>
                <w:szCs w:val="24"/>
              </w:rPr>
              <w:t>井钻井作业按“六开”设计，井身结构设计</w:t>
            </w:r>
            <w:r>
              <w:rPr>
                <w:spacing w:val="-2"/>
                <w:position w:val="18"/>
                <w:sz w:val="24"/>
                <w:szCs w:val="24"/>
              </w:rPr>
              <w:t>情况见表</w:t>
            </w:r>
            <w:r>
              <w:rPr>
                <w:spacing w:val="-50"/>
                <w:position w:val="18"/>
                <w:sz w:val="24"/>
                <w:szCs w:val="24"/>
              </w:rPr>
              <w:t xml:space="preserve"> </w:t>
            </w:r>
            <w:r>
              <w:rPr>
                <w:rFonts w:ascii="Times New Roman" w:hAnsi="Times New Roman" w:eastAsia="Times New Roman" w:cs="Times New Roman"/>
                <w:spacing w:val="-2"/>
                <w:position w:val="18"/>
                <w:sz w:val="24"/>
                <w:szCs w:val="24"/>
              </w:rPr>
              <w:t>2.12-2</w:t>
            </w:r>
            <w:r>
              <w:rPr>
                <w:spacing w:val="-2"/>
                <w:position w:val="18"/>
                <w:sz w:val="24"/>
                <w:szCs w:val="24"/>
              </w:rPr>
              <w:t>，井身结构</w:t>
            </w:r>
          </w:p>
          <w:p>
            <w:pPr>
              <w:pStyle w:val="6"/>
              <w:spacing w:line="219" w:lineRule="auto"/>
              <w:ind w:left="106"/>
              <w:rPr>
                <w:sz w:val="24"/>
                <w:szCs w:val="24"/>
              </w:rPr>
            </w:pPr>
            <w:r>
              <w:rPr>
                <w:spacing w:val="-2"/>
                <w:sz w:val="24"/>
                <w:szCs w:val="24"/>
              </w:rPr>
              <w:t>示意图见图</w:t>
            </w:r>
            <w:r>
              <w:rPr>
                <w:spacing w:val="-49"/>
                <w:sz w:val="24"/>
                <w:szCs w:val="24"/>
              </w:rPr>
              <w:t xml:space="preserve"> </w:t>
            </w:r>
            <w:r>
              <w:rPr>
                <w:rFonts w:ascii="Times New Roman" w:hAnsi="Times New Roman" w:eastAsia="Times New Roman" w:cs="Times New Roman"/>
                <w:spacing w:val="-2"/>
                <w:sz w:val="24"/>
                <w:szCs w:val="24"/>
              </w:rPr>
              <w:t>2.12-3</w:t>
            </w:r>
            <w:r>
              <w:rPr>
                <w:spacing w:val="-2"/>
                <w:sz w:val="24"/>
                <w:szCs w:val="24"/>
              </w:rPr>
              <w:t>。</w:t>
            </w:r>
          </w:p>
          <w:p>
            <w:pPr>
              <w:pStyle w:val="6"/>
              <w:spacing w:before="194" w:line="220" w:lineRule="auto"/>
              <w:ind w:left="3047"/>
              <w:rPr>
                <w:sz w:val="24"/>
                <w:szCs w:val="24"/>
              </w:rPr>
            </w:pPr>
            <w:r>
              <w:rPr>
                <w:spacing w:val="-1"/>
                <w:sz w:val="24"/>
                <w:szCs w:val="24"/>
                <w14:textOutline w14:w="4354" w14:cap="flat" w14:cmpd="sng">
                  <w14:solidFill>
                    <w14:srgbClr w14:val="000000"/>
                  </w14:solidFill>
                  <w14:prstDash w14:val="solid"/>
                  <w14:miter w14:val="10"/>
                </w14:textOutline>
              </w:rPr>
              <w:t>表</w:t>
            </w:r>
            <w:r>
              <w:rPr>
                <w:spacing w:val="-45"/>
                <w:sz w:val="24"/>
                <w:szCs w:val="24"/>
              </w:rPr>
              <w:t xml:space="preserve"> </w:t>
            </w:r>
            <w:r>
              <w:rPr>
                <w:rFonts w:ascii="Times New Roman" w:hAnsi="Times New Roman" w:eastAsia="Times New Roman" w:cs="Times New Roman"/>
                <w:b/>
                <w:bCs/>
                <w:spacing w:val="-1"/>
                <w:sz w:val="24"/>
                <w:szCs w:val="24"/>
              </w:rPr>
              <w:t xml:space="preserve">2.12-2  </w:t>
            </w:r>
            <w:r>
              <w:rPr>
                <w:spacing w:val="-1"/>
                <w:sz w:val="24"/>
                <w:szCs w:val="24"/>
                <w14:textOutline w14:w="4354" w14:cap="flat" w14:cmpd="sng">
                  <w14:solidFill>
                    <w14:srgbClr w14:val="000000"/>
                  </w14:solidFill>
                  <w14:prstDash w14:val="solid"/>
                  <w14:miter w14:val="10"/>
                </w14:textOutline>
              </w:rPr>
              <w:t>井身结构设计表</w:t>
            </w:r>
          </w:p>
          <w:p>
            <w:pPr>
              <w:spacing w:line="17" w:lineRule="exact"/>
            </w:pPr>
          </w:p>
          <w:tbl>
            <w:tblPr>
              <w:tblStyle w:val="5"/>
              <w:tblW w:w="8643"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616"/>
              <w:gridCol w:w="1116"/>
              <w:gridCol w:w="1312"/>
              <w:gridCol w:w="1120"/>
              <w:gridCol w:w="1118"/>
              <w:gridCol w:w="1677"/>
              <w:gridCol w:w="1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trPr>
              <w:tc>
                <w:tcPr>
                  <w:tcW w:w="561" w:type="dxa"/>
                  <w:vAlign w:val="top"/>
                </w:tcPr>
                <w:p>
                  <w:pPr>
                    <w:pStyle w:val="6"/>
                    <w:spacing w:before="33" w:line="224" w:lineRule="auto"/>
                    <w:ind w:left="82" w:right="64" w:hanging="4"/>
                    <w:rPr>
                      <w:sz w:val="21"/>
                      <w:szCs w:val="21"/>
                    </w:rPr>
                  </w:pPr>
                  <w:r>
                    <w:rPr>
                      <w:spacing w:val="-4"/>
                      <w:sz w:val="21"/>
                      <w:szCs w:val="21"/>
                    </w:rPr>
                    <w:t>开钻</w:t>
                  </w:r>
                  <w:r>
                    <w:rPr>
                      <w:sz w:val="21"/>
                      <w:szCs w:val="21"/>
                    </w:rPr>
                    <w:t xml:space="preserve"> </w:t>
                  </w:r>
                  <w:r>
                    <w:rPr>
                      <w:spacing w:val="-6"/>
                      <w:sz w:val="21"/>
                      <w:szCs w:val="21"/>
                    </w:rPr>
                    <w:t>次序</w:t>
                  </w:r>
                </w:p>
              </w:tc>
              <w:tc>
                <w:tcPr>
                  <w:tcW w:w="616" w:type="dxa"/>
                  <w:vAlign w:val="top"/>
                </w:tcPr>
                <w:p>
                  <w:pPr>
                    <w:pStyle w:val="6"/>
                    <w:spacing w:before="52" w:line="229" w:lineRule="auto"/>
                    <w:ind w:left="222" w:right="94" w:hanging="120"/>
                    <w:rPr>
                      <w:rFonts w:ascii="Times New Roman" w:hAnsi="Times New Roman" w:eastAsia="Times New Roman" w:cs="Times New Roman"/>
                      <w:sz w:val="21"/>
                      <w:szCs w:val="21"/>
                    </w:rPr>
                  </w:pPr>
                  <w:r>
                    <w:rPr>
                      <w:spacing w:val="-3"/>
                      <w:sz w:val="21"/>
                      <w:szCs w:val="21"/>
                    </w:rPr>
                    <w:t>井段</w:t>
                  </w:r>
                  <w:r>
                    <w:rPr>
                      <w:sz w:val="21"/>
                      <w:szCs w:val="21"/>
                    </w:rPr>
                    <w:t xml:space="preserve"> </w:t>
                  </w:r>
                  <w:r>
                    <w:rPr>
                      <w:rFonts w:ascii="Times New Roman" w:hAnsi="Times New Roman" w:eastAsia="Times New Roman" w:cs="Times New Roman"/>
                      <w:sz w:val="21"/>
                      <w:szCs w:val="21"/>
                    </w:rPr>
                    <w:t>m</w:t>
                  </w:r>
                </w:p>
              </w:tc>
              <w:tc>
                <w:tcPr>
                  <w:tcW w:w="1116" w:type="dxa"/>
                  <w:vAlign w:val="top"/>
                </w:tcPr>
                <w:p>
                  <w:pPr>
                    <w:pStyle w:val="6"/>
                    <w:spacing w:before="52" w:line="229" w:lineRule="auto"/>
                    <w:ind w:left="391" w:right="135" w:hanging="250"/>
                    <w:rPr>
                      <w:rFonts w:ascii="Times New Roman" w:hAnsi="Times New Roman" w:eastAsia="Times New Roman" w:cs="Times New Roman"/>
                      <w:sz w:val="21"/>
                      <w:szCs w:val="21"/>
                    </w:rPr>
                  </w:pPr>
                  <w:r>
                    <w:rPr>
                      <w:spacing w:val="-2"/>
                      <w:sz w:val="21"/>
                      <w:szCs w:val="21"/>
                    </w:rPr>
                    <w:t>钻头尺寸</w:t>
                  </w:r>
                  <w:r>
                    <w:rPr>
                      <w:spacing w:val="1"/>
                      <w:sz w:val="21"/>
                      <w:szCs w:val="21"/>
                    </w:rPr>
                    <w:t xml:space="preserve"> </w:t>
                  </w:r>
                  <w:r>
                    <w:rPr>
                      <w:rFonts w:ascii="Times New Roman" w:hAnsi="Times New Roman" w:eastAsia="Times New Roman" w:cs="Times New Roman"/>
                      <w:spacing w:val="-1"/>
                      <w:sz w:val="21"/>
                      <w:szCs w:val="21"/>
                    </w:rPr>
                    <w:t>mm</w:t>
                  </w:r>
                </w:p>
              </w:tc>
              <w:tc>
                <w:tcPr>
                  <w:tcW w:w="1312" w:type="dxa"/>
                  <w:vAlign w:val="top"/>
                </w:tcPr>
                <w:p>
                  <w:pPr>
                    <w:pStyle w:val="6"/>
                    <w:spacing w:before="52" w:line="229" w:lineRule="auto"/>
                    <w:ind w:left="492" w:right="230" w:hanging="249"/>
                    <w:rPr>
                      <w:rFonts w:ascii="Times New Roman" w:hAnsi="Times New Roman" w:eastAsia="Times New Roman" w:cs="Times New Roman"/>
                      <w:sz w:val="21"/>
                      <w:szCs w:val="21"/>
                    </w:rPr>
                  </w:pPr>
                  <w:r>
                    <w:rPr>
                      <w:spacing w:val="-2"/>
                      <w:sz w:val="21"/>
                      <w:szCs w:val="21"/>
                    </w:rPr>
                    <w:t>套管尺寸</w:t>
                  </w:r>
                  <w:r>
                    <w:rPr>
                      <w:sz w:val="21"/>
                      <w:szCs w:val="21"/>
                    </w:rPr>
                    <w:t xml:space="preserve"> </w:t>
                  </w:r>
                  <w:r>
                    <w:rPr>
                      <w:rFonts w:ascii="Times New Roman" w:hAnsi="Times New Roman" w:eastAsia="Times New Roman" w:cs="Times New Roman"/>
                      <w:spacing w:val="-1"/>
                      <w:sz w:val="21"/>
                      <w:szCs w:val="21"/>
                    </w:rPr>
                    <w:t>mm</w:t>
                  </w:r>
                </w:p>
              </w:tc>
              <w:tc>
                <w:tcPr>
                  <w:tcW w:w="1120" w:type="dxa"/>
                  <w:vAlign w:val="top"/>
                </w:tcPr>
                <w:p>
                  <w:pPr>
                    <w:pStyle w:val="6"/>
                    <w:spacing w:before="170" w:line="221" w:lineRule="auto"/>
                    <w:ind w:left="148"/>
                    <w:rPr>
                      <w:sz w:val="21"/>
                      <w:szCs w:val="21"/>
                    </w:rPr>
                  </w:pPr>
                  <w:r>
                    <w:rPr>
                      <w:spacing w:val="-2"/>
                      <w:sz w:val="21"/>
                      <w:szCs w:val="21"/>
                    </w:rPr>
                    <w:t>套管程序</w:t>
                  </w:r>
                </w:p>
              </w:tc>
              <w:tc>
                <w:tcPr>
                  <w:tcW w:w="1118" w:type="dxa"/>
                  <w:vAlign w:val="top"/>
                </w:tcPr>
                <w:p>
                  <w:pPr>
                    <w:pStyle w:val="6"/>
                    <w:spacing w:before="33" w:line="224" w:lineRule="auto"/>
                    <w:ind w:left="146" w:right="132"/>
                    <w:rPr>
                      <w:sz w:val="21"/>
                      <w:szCs w:val="21"/>
                    </w:rPr>
                  </w:pPr>
                  <w:r>
                    <w:rPr>
                      <w:spacing w:val="-2"/>
                      <w:sz w:val="21"/>
                      <w:szCs w:val="21"/>
                    </w:rPr>
                    <w:t>套管下入</w:t>
                  </w:r>
                  <w:r>
                    <w:rPr>
                      <w:sz w:val="21"/>
                      <w:szCs w:val="21"/>
                    </w:rPr>
                    <w:t xml:space="preserve"> </w:t>
                  </w:r>
                  <w:r>
                    <w:rPr>
                      <w:spacing w:val="-2"/>
                      <w:sz w:val="21"/>
                      <w:szCs w:val="21"/>
                    </w:rPr>
                    <w:t>地层层位</w:t>
                  </w:r>
                </w:p>
              </w:tc>
              <w:tc>
                <w:tcPr>
                  <w:tcW w:w="1677" w:type="dxa"/>
                  <w:vAlign w:val="top"/>
                </w:tcPr>
                <w:p>
                  <w:pPr>
                    <w:pStyle w:val="6"/>
                    <w:spacing w:before="52" w:line="229" w:lineRule="auto"/>
                    <w:ind w:left="756" w:right="201" w:hanging="539"/>
                    <w:rPr>
                      <w:rFonts w:ascii="Times New Roman" w:hAnsi="Times New Roman" w:eastAsia="Times New Roman" w:cs="Times New Roman"/>
                      <w:sz w:val="21"/>
                      <w:szCs w:val="21"/>
                    </w:rPr>
                  </w:pPr>
                  <w:r>
                    <w:rPr>
                      <w:spacing w:val="-2"/>
                      <w:sz w:val="21"/>
                      <w:szCs w:val="21"/>
                    </w:rPr>
                    <w:t>套管下入深度</w:t>
                  </w:r>
                  <w:r>
                    <w:rPr>
                      <w:spacing w:val="4"/>
                      <w:sz w:val="21"/>
                      <w:szCs w:val="21"/>
                    </w:rPr>
                    <w:t xml:space="preserve"> </w:t>
                  </w:r>
                  <w:r>
                    <w:rPr>
                      <w:rFonts w:ascii="Times New Roman" w:hAnsi="Times New Roman" w:eastAsia="Times New Roman" w:cs="Times New Roman"/>
                      <w:sz w:val="21"/>
                      <w:szCs w:val="21"/>
                    </w:rPr>
                    <w:t>m</w:t>
                  </w:r>
                </w:p>
              </w:tc>
              <w:tc>
                <w:tcPr>
                  <w:tcW w:w="1123" w:type="dxa"/>
                  <w:vAlign w:val="top"/>
                </w:tcPr>
                <w:p>
                  <w:pPr>
                    <w:pStyle w:val="6"/>
                    <w:spacing w:before="52" w:line="229" w:lineRule="auto"/>
                    <w:ind w:left="479" w:right="135" w:hanging="329"/>
                    <w:rPr>
                      <w:rFonts w:ascii="Times New Roman" w:hAnsi="Times New Roman" w:eastAsia="Times New Roman" w:cs="Times New Roman"/>
                      <w:sz w:val="21"/>
                      <w:szCs w:val="21"/>
                    </w:rPr>
                  </w:pPr>
                  <w:r>
                    <w:rPr>
                      <w:spacing w:val="-3"/>
                      <w:sz w:val="21"/>
                      <w:szCs w:val="21"/>
                    </w:rPr>
                    <w:t>水泥返高</w:t>
                  </w:r>
                  <w:r>
                    <w:rPr>
                      <w:spacing w:val="2"/>
                      <w:sz w:val="21"/>
                      <w:szCs w:val="21"/>
                    </w:rPr>
                    <w:t xml:space="preserve"> </w:t>
                  </w:r>
                  <w:r>
                    <w:rPr>
                      <w:rFonts w:ascii="Times New Roman" w:hAnsi="Times New Roman" w:eastAsia="Times New Roman" w:cs="Times New Roman"/>
                      <w:sz w:val="21"/>
                      <w:szCs w:val="21"/>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61" w:type="dxa"/>
                  <w:vAlign w:val="top"/>
                </w:tcPr>
                <w:p>
                  <w:pPr>
                    <w:pStyle w:val="6"/>
                    <w:spacing w:before="66" w:line="222" w:lineRule="auto"/>
                    <w:ind w:left="81"/>
                    <w:rPr>
                      <w:sz w:val="21"/>
                      <w:szCs w:val="21"/>
                    </w:rPr>
                  </w:pPr>
                  <w:r>
                    <w:rPr>
                      <w:spacing w:val="-5"/>
                      <w:sz w:val="21"/>
                      <w:szCs w:val="21"/>
                    </w:rPr>
                    <w:t>一开</w:t>
                  </w:r>
                </w:p>
              </w:tc>
              <w:tc>
                <w:tcPr>
                  <w:tcW w:w="616" w:type="dxa"/>
                  <w:vAlign w:val="top"/>
                </w:tcPr>
                <w:p>
                  <w:pPr>
                    <w:spacing w:before="105"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116" w:type="dxa"/>
                  <w:vAlign w:val="top"/>
                </w:tcPr>
                <w:p>
                  <w:pPr>
                    <w:spacing w:before="105"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914.40</w:t>
                  </w:r>
                </w:p>
              </w:tc>
              <w:tc>
                <w:tcPr>
                  <w:tcW w:w="1312" w:type="dxa"/>
                  <w:vAlign w:val="top"/>
                </w:tcPr>
                <w:p>
                  <w:pPr>
                    <w:spacing w:before="105"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720.00</w:t>
                  </w:r>
                </w:p>
              </w:tc>
              <w:tc>
                <w:tcPr>
                  <w:tcW w:w="1120" w:type="dxa"/>
                  <w:vAlign w:val="top"/>
                </w:tcPr>
                <w:p>
                  <w:pPr>
                    <w:pStyle w:val="6"/>
                    <w:spacing w:before="66" w:line="221" w:lineRule="auto"/>
                    <w:ind w:left="362"/>
                    <w:rPr>
                      <w:sz w:val="21"/>
                      <w:szCs w:val="21"/>
                    </w:rPr>
                  </w:pPr>
                  <w:r>
                    <w:rPr>
                      <w:spacing w:val="-3"/>
                      <w:sz w:val="21"/>
                      <w:szCs w:val="21"/>
                    </w:rPr>
                    <w:t>导管</w:t>
                  </w:r>
                </w:p>
              </w:tc>
              <w:tc>
                <w:tcPr>
                  <w:tcW w:w="1118" w:type="dxa"/>
                  <w:vAlign w:val="top"/>
                </w:tcPr>
                <w:p>
                  <w:pPr>
                    <w:pStyle w:val="6"/>
                    <w:spacing w:before="66" w:line="221" w:lineRule="auto"/>
                    <w:ind w:left="148"/>
                    <w:rPr>
                      <w:sz w:val="21"/>
                      <w:szCs w:val="21"/>
                    </w:rPr>
                  </w:pPr>
                  <w:r>
                    <w:rPr>
                      <w:spacing w:val="-2"/>
                      <w:sz w:val="21"/>
                      <w:szCs w:val="21"/>
                    </w:rPr>
                    <w:t>蓬莱镇组</w:t>
                  </w:r>
                </w:p>
              </w:tc>
              <w:tc>
                <w:tcPr>
                  <w:tcW w:w="1677" w:type="dxa"/>
                  <w:vAlign w:val="top"/>
                </w:tcPr>
                <w:p>
                  <w:pPr>
                    <w:pStyle w:val="6"/>
                    <w:spacing w:before="66" w:line="235"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spacing w:val="-2"/>
                      <w:sz w:val="21"/>
                      <w:szCs w:val="21"/>
                    </w:rPr>
                    <w:t>～</w:t>
                  </w:r>
                  <w:r>
                    <w:rPr>
                      <w:rFonts w:ascii="Times New Roman" w:hAnsi="Times New Roman" w:eastAsia="Times New Roman" w:cs="Times New Roman"/>
                      <w:spacing w:val="-2"/>
                      <w:sz w:val="21"/>
                      <w:szCs w:val="21"/>
                    </w:rPr>
                    <w:t>50</w:t>
                  </w:r>
                </w:p>
              </w:tc>
              <w:tc>
                <w:tcPr>
                  <w:tcW w:w="1123" w:type="dxa"/>
                  <w:vAlign w:val="top"/>
                </w:tcPr>
                <w:p>
                  <w:pPr>
                    <w:pStyle w:val="6"/>
                    <w:spacing w:before="66" w:line="222" w:lineRule="auto"/>
                    <w:ind w:left="359"/>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61" w:type="dxa"/>
                  <w:vAlign w:val="top"/>
                </w:tcPr>
                <w:p>
                  <w:pPr>
                    <w:pStyle w:val="6"/>
                    <w:spacing w:before="65" w:line="222" w:lineRule="auto"/>
                    <w:ind w:left="81"/>
                    <w:rPr>
                      <w:sz w:val="21"/>
                      <w:szCs w:val="21"/>
                    </w:rPr>
                  </w:pPr>
                  <w:r>
                    <w:rPr>
                      <w:spacing w:val="-3"/>
                      <w:sz w:val="21"/>
                      <w:szCs w:val="21"/>
                    </w:rPr>
                    <w:t>二开</w:t>
                  </w:r>
                </w:p>
              </w:tc>
              <w:tc>
                <w:tcPr>
                  <w:tcW w:w="616" w:type="dxa"/>
                  <w:vAlign w:val="top"/>
                </w:tcPr>
                <w:p>
                  <w:pPr>
                    <w:spacing w:before="104" w:line="187"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1116"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660.40</w:t>
                  </w:r>
                </w:p>
              </w:tc>
              <w:tc>
                <w:tcPr>
                  <w:tcW w:w="1312" w:type="dxa"/>
                  <w:vAlign w:val="top"/>
                </w:tcPr>
                <w:p>
                  <w:pPr>
                    <w:spacing w:before="104"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508.00</w:t>
                  </w:r>
                </w:p>
              </w:tc>
              <w:tc>
                <w:tcPr>
                  <w:tcW w:w="1120" w:type="dxa"/>
                  <w:vAlign w:val="top"/>
                </w:tcPr>
                <w:p>
                  <w:pPr>
                    <w:pStyle w:val="6"/>
                    <w:spacing w:before="65" w:line="221" w:lineRule="auto"/>
                    <w:ind w:left="146"/>
                    <w:rPr>
                      <w:sz w:val="21"/>
                      <w:szCs w:val="21"/>
                    </w:rPr>
                  </w:pPr>
                  <w:r>
                    <w:rPr>
                      <w:spacing w:val="-1"/>
                      <w:sz w:val="21"/>
                      <w:szCs w:val="21"/>
                    </w:rPr>
                    <w:t>表层套管</w:t>
                  </w:r>
                </w:p>
              </w:tc>
              <w:tc>
                <w:tcPr>
                  <w:tcW w:w="1118" w:type="dxa"/>
                  <w:vAlign w:val="top"/>
                </w:tcPr>
                <w:p>
                  <w:pPr>
                    <w:pStyle w:val="6"/>
                    <w:spacing w:before="65" w:line="221" w:lineRule="auto"/>
                    <w:ind w:left="148"/>
                    <w:rPr>
                      <w:sz w:val="21"/>
                      <w:szCs w:val="21"/>
                    </w:rPr>
                  </w:pPr>
                  <w:r>
                    <w:rPr>
                      <w:spacing w:val="-2"/>
                      <w:sz w:val="21"/>
                      <w:szCs w:val="21"/>
                    </w:rPr>
                    <w:t>蓬莱镇组</w:t>
                  </w:r>
                </w:p>
              </w:tc>
              <w:tc>
                <w:tcPr>
                  <w:tcW w:w="1677" w:type="dxa"/>
                  <w:vAlign w:val="top"/>
                </w:tcPr>
                <w:p>
                  <w:pPr>
                    <w:pStyle w:val="6"/>
                    <w:spacing w:before="65" w:line="23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w:t>
                  </w:r>
                  <w:r>
                    <w:rPr>
                      <w:spacing w:val="-1"/>
                      <w:sz w:val="21"/>
                      <w:szCs w:val="21"/>
                    </w:rPr>
                    <w:t>～</w:t>
                  </w:r>
                  <w:r>
                    <w:rPr>
                      <w:rFonts w:ascii="Times New Roman" w:hAnsi="Times New Roman" w:eastAsia="Times New Roman" w:cs="Times New Roman"/>
                      <w:spacing w:val="-1"/>
                      <w:sz w:val="21"/>
                      <w:szCs w:val="21"/>
                    </w:rPr>
                    <w:t>798</w:t>
                  </w:r>
                </w:p>
              </w:tc>
              <w:tc>
                <w:tcPr>
                  <w:tcW w:w="1123" w:type="dxa"/>
                  <w:vAlign w:val="top"/>
                </w:tcPr>
                <w:p>
                  <w:pPr>
                    <w:pStyle w:val="6"/>
                    <w:spacing w:before="65" w:line="222" w:lineRule="auto"/>
                    <w:ind w:left="359"/>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61" w:type="dxa"/>
                  <w:vAlign w:val="top"/>
                </w:tcPr>
                <w:p>
                  <w:pPr>
                    <w:pStyle w:val="6"/>
                    <w:spacing w:before="66" w:line="222" w:lineRule="auto"/>
                    <w:ind w:left="77"/>
                    <w:rPr>
                      <w:sz w:val="21"/>
                      <w:szCs w:val="21"/>
                    </w:rPr>
                  </w:pPr>
                  <w:r>
                    <w:rPr>
                      <w:spacing w:val="-2"/>
                      <w:sz w:val="21"/>
                      <w:szCs w:val="21"/>
                    </w:rPr>
                    <w:t>三开</w:t>
                  </w:r>
                </w:p>
              </w:tc>
              <w:tc>
                <w:tcPr>
                  <w:tcW w:w="616" w:type="dxa"/>
                  <w:vAlign w:val="top"/>
                </w:tcPr>
                <w:p>
                  <w:pPr>
                    <w:spacing w:before="104" w:line="187" w:lineRule="auto"/>
                    <w:ind w:left="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3990</w:t>
                  </w:r>
                </w:p>
              </w:tc>
              <w:tc>
                <w:tcPr>
                  <w:tcW w:w="1116"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455.00</w:t>
                  </w:r>
                </w:p>
              </w:tc>
              <w:tc>
                <w:tcPr>
                  <w:tcW w:w="1312" w:type="dxa"/>
                  <w:vAlign w:val="top"/>
                </w:tcPr>
                <w:p>
                  <w:pPr>
                    <w:spacing w:before="104" w:line="187" w:lineRule="auto"/>
                    <w:ind w:left="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374.65+365.13</w:t>
                  </w:r>
                </w:p>
              </w:tc>
              <w:tc>
                <w:tcPr>
                  <w:tcW w:w="1120" w:type="dxa"/>
                  <w:vAlign w:val="top"/>
                </w:tcPr>
                <w:p>
                  <w:pPr>
                    <w:pStyle w:val="6"/>
                    <w:spacing w:before="65" w:line="221" w:lineRule="auto"/>
                    <w:ind w:left="69"/>
                    <w:rPr>
                      <w:rFonts w:ascii="Times New Roman" w:hAnsi="Times New Roman" w:eastAsia="Times New Roman" w:cs="Times New Roman"/>
                      <w:sz w:val="21"/>
                      <w:szCs w:val="21"/>
                    </w:rPr>
                  </w:pPr>
                  <w:r>
                    <w:rPr>
                      <w:spacing w:val="-2"/>
                      <w:sz w:val="21"/>
                      <w:szCs w:val="21"/>
                    </w:rPr>
                    <w:t>技术套管</w:t>
                  </w:r>
                  <w:r>
                    <w:rPr>
                      <w:spacing w:val="-26"/>
                      <w:sz w:val="21"/>
                      <w:szCs w:val="21"/>
                    </w:rPr>
                    <w:t xml:space="preserve"> </w:t>
                  </w:r>
                  <w:r>
                    <w:rPr>
                      <w:rFonts w:ascii="Times New Roman" w:hAnsi="Times New Roman" w:eastAsia="Times New Roman" w:cs="Times New Roman"/>
                      <w:spacing w:val="-2"/>
                      <w:sz w:val="21"/>
                      <w:szCs w:val="21"/>
                    </w:rPr>
                    <w:t>1</w:t>
                  </w:r>
                </w:p>
              </w:tc>
              <w:tc>
                <w:tcPr>
                  <w:tcW w:w="1118" w:type="dxa"/>
                  <w:vAlign w:val="top"/>
                </w:tcPr>
                <w:p>
                  <w:pPr>
                    <w:pStyle w:val="6"/>
                    <w:spacing w:before="66" w:line="221" w:lineRule="auto"/>
                    <w:ind w:left="150"/>
                    <w:rPr>
                      <w:sz w:val="21"/>
                      <w:szCs w:val="21"/>
                    </w:rPr>
                  </w:pPr>
                  <w:r>
                    <w:rPr>
                      <w:spacing w:val="-3"/>
                      <w:sz w:val="21"/>
                      <w:szCs w:val="21"/>
                    </w:rPr>
                    <w:t>雷口坡组</w:t>
                  </w:r>
                </w:p>
              </w:tc>
              <w:tc>
                <w:tcPr>
                  <w:tcW w:w="1677" w:type="dxa"/>
                  <w:vAlign w:val="top"/>
                </w:tcPr>
                <w:p>
                  <w:pPr>
                    <w:pStyle w:val="6"/>
                    <w:spacing w:before="66" w:line="236"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w:t>
                  </w:r>
                  <w:r>
                    <w:rPr>
                      <w:spacing w:val="-1"/>
                      <w:sz w:val="21"/>
                      <w:szCs w:val="21"/>
                    </w:rPr>
                    <w:t>～</w:t>
                  </w:r>
                  <w:r>
                    <w:rPr>
                      <w:rFonts w:ascii="Times New Roman" w:hAnsi="Times New Roman" w:eastAsia="Times New Roman" w:cs="Times New Roman"/>
                      <w:spacing w:val="-1"/>
                      <w:sz w:val="21"/>
                      <w:szCs w:val="21"/>
                    </w:rPr>
                    <w:t>3988</w:t>
                  </w:r>
                </w:p>
              </w:tc>
              <w:tc>
                <w:tcPr>
                  <w:tcW w:w="1123" w:type="dxa"/>
                  <w:vAlign w:val="top"/>
                </w:tcPr>
                <w:p>
                  <w:pPr>
                    <w:pStyle w:val="6"/>
                    <w:spacing w:before="66" w:line="222" w:lineRule="auto"/>
                    <w:ind w:left="359"/>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61" w:type="dxa"/>
                  <w:vAlign w:val="top"/>
                </w:tcPr>
                <w:p>
                  <w:pPr>
                    <w:pStyle w:val="6"/>
                    <w:spacing w:before="66" w:line="222" w:lineRule="auto"/>
                    <w:ind w:left="97"/>
                    <w:rPr>
                      <w:sz w:val="21"/>
                      <w:szCs w:val="21"/>
                    </w:rPr>
                  </w:pPr>
                  <w:r>
                    <w:rPr>
                      <w:spacing w:val="-7"/>
                      <w:sz w:val="21"/>
                      <w:szCs w:val="21"/>
                    </w:rPr>
                    <w:t>四开</w:t>
                  </w:r>
                </w:p>
              </w:tc>
              <w:tc>
                <w:tcPr>
                  <w:tcW w:w="616" w:type="dxa"/>
                  <w:vAlign w:val="top"/>
                </w:tcPr>
                <w:p>
                  <w:pPr>
                    <w:spacing w:before="105" w:line="187" w:lineRule="auto"/>
                    <w:ind w:left="1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6800</w:t>
                  </w:r>
                </w:p>
              </w:tc>
              <w:tc>
                <w:tcPr>
                  <w:tcW w:w="1116" w:type="dxa"/>
                  <w:vAlign w:val="top"/>
                </w:tcPr>
                <w:p>
                  <w:pPr>
                    <w:spacing w:before="105"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333.40</w:t>
                  </w:r>
                </w:p>
              </w:tc>
              <w:tc>
                <w:tcPr>
                  <w:tcW w:w="1312" w:type="dxa"/>
                  <w:vAlign w:val="top"/>
                </w:tcPr>
                <w:p>
                  <w:pPr>
                    <w:spacing w:before="105"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282.58</w:t>
                  </w:r>
                </w:p>
              </w:tc>
              <w:tc>
                <w:tcPr>
                  <w:tcW w:w="1120" w:type="dxa"/>
                  <w:vAlign w:val="top"/>
                </w:tcPr>
                <w:p>
                  <w:pPr>
                    <w:pStyle w:val="6"/>
                    <w:spacing w:before="66" w:line="221" w:lineRule="auto"/>
                    <w:ind w:left="69"/>
                    <w:rPr>
                      <w:rFonts w:ascii="Times New Roman" w:hAnsi="Times New Roman" w:eastAsia="Times New Roman" w:cs="Times New Roman"/>
                      <w:sz w:val="21"/>
                      <w:szCs w:val="21"/>
                    </w:rPr>
                  </w:pPr>
                  <w:r>
                    <w:rPr>
                      <w:spacing w:val="-2"/>
                      <w:sz w:val="21"/>
                      <w:szCs w:val="21"/>
                    </w:rPr>
                    <w:t>技术套管</w:t>
                  </w:r>
                  <w:r>
                    <w:rPr>
                      <w:spacing w:val="-46"/>
                      <w:sz w:val="21"/>
                      <w:szCs w:val="21"/>
                    </w:rPr>
                    <w:t xml:space="preserve"> </w:t>
                  </w:r>
                  <w:r>
                    <w:rPr>
                      <w:rFonts w:ascii="Times New Roman" w:hAnsi="Times New Roman" w:eastAsia="Times New Roman" w:cs="Times New Roman"/>
                      <w:spacing w:val="-2"/>
                      <w:sz w:val="21"/>
                      <w:szCs w:val="21"/>
                    </w:rPr>
                    <w:t>2</w:t>
                  </w:r>
                </w:p>
              </w:tc>
              <w:tc>
                <w:tcPr>
                  <w:tcW w:w="1118" w:type="dxa"/>
                  <w:vAlign w:val="top"/>
                </w:tcPr>
                <w:p>
                  <w:pPr>
                    <w:pStyle w:val="6"/>
                    <w:spacing w:before="66" w:line="222" w:lineRule="auto"/>
                    <w:ind w:left="249"/>
                    <w:rPr>
                      <w:sz w:val="21"/>
                      <w:szCs w:val="21"/>
                    </w:rPr>
                  </w:pPr>
                  <w:r>
                    <w:rPr>
                      <w:spacing w:val="-2"/>
                      <w:sz w:val="21"/>
                      <w:szCs w:val="21"/>
                    </w:rPr>
                    <w:t>茅口组</w:t>
                  </w:r>
                </w:p>
              </w:tc>
              <w:tc>
                <w:tcPr>
                  <w:tcW w:w="1677" w:type="dxa"/>
                  <w:vAlign w:val="top"/>
                </w:tcPr>
                <w:p>
                  <w:pPr>
                    <w:pStyle w:val="6"/>
                    <w:spacing w:before="66" w:line="236"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w:t>
                  </w:r>
                  <w:r>
                    <w:rPr>
                      <w:spacing w:val="-1"/>
                      <w:sz w:val="21"/>
                      <w:szCs w:val="21"/>
                    </w:rPr>
                    <w:t>～</w:t>
                  </w:r>
                  <w:r>
                    <w:rPr>
                      <w:rFonts w:ascii="Times New Roman" w:hAnsi="Times New Roman" w:eastAsia="Times New Roman" w:cs="Times New Roman"/>
                      <w:spacing w:val="-1"/>
                      <w:sz w:val="21"/>
                      <w:szCs w:val="21"/>
                    </w:rPr>
                    <w:t>6798</w:t>
                  </w:r>
                </w:p>
              </w:tc>
              <w:tc>
                <w:tcPr>
                  <w:tcW w:w="1123" w:type="dxa"/>
                  <w:vAlign w:val="top"/>
                </w:tcPr>
                <w:p>
                  <w:pPr>
                    <w:pStyle w:val="6"/>
                    <w:spacing w:before="66" w:line="222" w:lineRule="auto"/>
                    <w:ind w:left="359"/>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61" w:type="dxa"/>
                  <w:vAlign w:val="top"/>
                </w:tcPr>
                <w:p>
                  <w:pPr>
                    <w:pStyle w:val="6"/>
                    <w:spacing w:before="66" w:line="222" w:lineRule="auto"/>
                    <w:ind w:left="81"/>
                    <w:rPr>
                      <w:sz w:val="21"/>
                      <w:szCs w:val="21"/>
                    </w:rPr>
                  </w:pPr>
                  <w:r>
                    <w:rPr>
                      <w:spacing w:val="-3"/>
                      <w:sz w:val="21"/>
                      <w:szCs w:val="21"/>
                    </w:rPr>
                    <w:t>五开</w:t>
                  </w:r>
                </w:p>
              </w:tc>
              <w:tc>
                <w:tcPr>
                  <w:tcW w:w="616" w:type="dxa"/>
                  <w:vAlign w:val="top"/>
                </w:tcPr>
                <w:p>
                  <w:pPr>
                    <w:spacing w:before="105" w:line="187" w:lineRule="auto"/>
                    <w:ind w:left="1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7135</w:t>
                  </w:r>
                </w:p>
              </w:tc>
              <w:tc>
                <w:tcPr>
                  <w:tcW w:w="1116"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241.30</w:t>
                  </w:r>
                </w:p>
              </w:tc>
              <w:tc>
                <w:tcPr>
                  <w:tcW w:w="1312" w:type="dxa"/>
                  <w:vAlign w:val="top"/>
                </w:tcPr>
                <w:p>
                  <w:pPr>
                    <w:spacing w:before="105"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219.08</w:t>
                  </w:r>
                </w:p>
              </w:tc>
              <w:tc>
                <w:tcPr>
                  <w:tcW w:w="1120" w:type="dxa"/>
                  <w:vAlign w:val="top"/>
                </w:tcPr>
                <w:p>
                  <w:pPr>
                    <w:pStyle w:val="6"/>
                    <w:spacing w:before="66" w:line="221" w:lineRule="auto"/>
                    <w:ind w:left="148"/>
                    <w:rPr>
                      <w:sz w:val="21"/>
                      <w:szCs w:val="21"/>
                    </w:rPr>
                  </w:pPr>
                  <w:r>
                    <w:rPr>
                      <w:spacing w:val="-2"/>
                      <w:sz w:val="21"/>
                      <w:szCs w:val="21"/>
                    </w:rPr>
                    <w:t>技术悬挂</w:t>
                  </w:r>
                </w:p>
              </w:tc>
              <w:tc>
                <w:tcPr>
                  <w:tcW w:w="1118" w:type="dxa"/>
                  <w:vAlign w:val="top"/>
                </w:tcPr>
                <w:p>
                  <w:pPr>
                    <w:pStyle w:val="6"/>
                    <w:spacing w:before="66" w:line="221" w:lineRule="auto"/>
                    <w:ind w:left="248"/>
                    <w:rPr>
                      <w:sz w:val="21"/>
                      <w:szCs w:val="21"/>
                    </w:rPr>
                  </w:pPr>
                  <w:r>
                    <w:rPr>
                      <w:spacing w:val="-1"/>
                      <w:sz w:val="21"/>
                      <w:szCs w:val="21"/>
                    </w:rPr>
                    <w:t>黄龙组</w:t>
                  </w:r>
                </w:p>
              </w:tc>
              <w:tc>
                <w:tcPr>
                  <w:tcW w:w="1677" w:type="dxa"/>
                  <w:vAlign w:val="top"/>
                </w:tcPr>
                <w:p>
                  <w:pPr>
                    <w:pStyle w:val="6"/>
                    <w:spacing w:before="66" w:line="233"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6648</w:t>
                  </w:r>
                  <w:r>
                    <w:rPr>
                      <w:spacing w:val="-1"/>
                      <w:sz w:val="21"/>
                      <w:szCs w:val="21"/>
                    </w:rPr>
                    <w:t>～</w:t>
                  </w:r>
                  <w:r>
                    <w:rPr>
                      <w:rFonts w:ascii="Times New Roman" w:hAnsi="Times New Roman" w:eastAsia="Times New Roman" w:cs="Times New Roman"/>
                      <w:spacing w:val="-1"/>
                      <w:sz w:val="21"/>
                      <w:szCs w:val="21"/>
                    </w:rPr>
                    <w:t>7133</w:t>
                  </w:r>
                </w:p>
              </w:tc>
              <w:tc>
                <w:tcPr>
                  <w:tcW w:w="1123" w:type="dxa"/>
                  <w:vAlign w:val="top"/>
                </w:tcPr>
                <w:p>
                  <w:pPr>
                    <w:pStyle w:val="6"/>
                    <w:spacing w:before="66" w:line="222" w:lineRule="auto"/>
                    <w:ind w:left="359"/>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61" w:type="dxa"/>
                  <w:vAlign w:val="top"/>
                </w:tcPr>
                <w:p>
                  <w:pPr>
                    <w:pStyle w:val="6"/>
                    <w:spacing w:before="70" w:line="222" w:lineRule="auto"/>
                    <w:ind w:left="79"/>
                    <w:rPr>
                      <w:sz w:val="21"/>
                      <w:szCs w:val="21"/>
                    </w:rPr>
                  </w:pPr>
                  <w:r>
                    <w:rPr>
                      <w:spacing w:val="-2"/>
                      <w:sz w:val="21"/>
                      <w:szCs w:val="21"/>
                    </w:rPr>
                    <w:t>六开</w:t>
                  </w:r>
                </w:p>
              </w:tc>
              <w:tc>
                <w:tcPr>
                  <w:tcW w:w="616" w:type="dxa"/>
                  <w:vAlign w:val="top"/>
                </w:tcPr>
                <w:p>
                  <w:pPr>
                    <w:spacing w:before="108" w:line="187" w:lineRule="auto"/>
                    <w:ind w:left="1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7230</w:t>
                  </w:r>
                </w:p>
              </w:tc>
              <w:tc>
                <w:tcPr>
                  <w:tcW w:w="111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190.50</w:t>
                  </w:r>
                </w:p>
              </w:tc>
              <w:tc>
                <w:tcPr>
                  <w:tcW w:w="1312" w:type="dxa"/>
                  <w:vAlign w:val="top"/>
                </w:tcPr>
                <w:p>
                  <w:pPr>
                    <w:spacing w:before="108" w:line="187" w:lineRule="auto"/>
                    <w:ind w:left="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193.68+168.28</w:t>
                  </w:r>
                </w:p>
              </w:tc>
              <w:tc>
                <w:tcPr>
                  <w:tcW w:w="1120" w:type="dxa"/>
                  <w:vAlign w:val="top"/>
                </w:tcPr>
                <w:p>
                  <w:pPr>
                    <w:pStyle w:val="6"/>
                    <w:spacing w:before="69" w:line="221" w:lineRule="auto"/>
                    <w:ind w:left="150"/>
                    <w:rPr>
                      <w:sz w:val="21"/>
                      <w:szCs w:val="21"/>
                    </w:rPr>
                  </w:pPr>
                  <w:r>
                    <w:rPr>
                      <w:spacing w:val="-3"/>
                      <w:sz w:val="21"/>
                      <w:szCs w:val="21"/>
                    </w:rPr>
                    <w:t>油层套管</w:t>
                  </w:r>
                </w:p>
              </w:tc>
              <w:tc>
                <w:tcPr>
                  <w:tcW w:w="1118" w:type="dxa"/>
                  <w:vAlign w:val="top"/>
                </w:tcPr>
                <w:p>
                  <w:pPr>
                    <w:pStyle w:val="6"/>
                    <w:spacing w:before="70" w:line="221" w:lineRule="auto"/>
                    <w:ind w:left="147"/>
                    <w:rPr>
                      <w:sz w:val="21"/>
                      <w:szCs w:val="21"/>
                    </w:rPr>
                  </w:pPr>
                  <w:r>
                    <w:rPr>
                      <w:spacing w:val="-2"/>
                      <w:sz w:val="21"/>
                      <w:szCs w:val="21"/>
                    </w:rPr>
                    <w:t>韩家店组</w:t>
                  </w:r>
                </w:p>
              </w:tc>
              <w:tc>
                <w:tcPr>
                  <w:tcW w:w="1677" w:type="dxa"/>
                  <w:vAlign w:val="top"/>
                </w:tcPr>
                <w:p>
                  <w:pPr>
                    <w:pStyle w:val="6"/>
                    <w:spacing w:before="70" w:line="236"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w:t>
                  </w:r>
                  <w:r>
                    <w:rPr>
                      <w:spacing w:val="-1"/>
                      <w:sz w:val="21"/>
                      <w:szCs w:val="21"/>
                    </w:rPr>
                    <w:t>～</w:t>
                  </w:r>
                  <w:r>
                    <w:rPr>
                      <w:rFonts w:ascii="Times New Roman" w:hAnsi="Times New Roman" w:eastAsia="Times New Roman" w:cs="Times New Roman"/>
                      <w:spacing w:val="-1"/>
                      <w:sz w:val="21"/>
                      <w:szCs w:val="21"/>
                    </w:rPr>
                    <w:t>7228</w:t>
                  </w:r>
                </w:p>
              </w:tc>
              <w:tc>
                <w:tcPr>
                  <w:tcW w:w="1123" w:type="dxa"/>
                  <w:vAlign w:val="top"/>
                </w:tcPr>
                <w:p>
                  <w:pPr>
                    <w:pStyle w:val="6"/>
                    <w:spacing w:before="70" w:line="222" w:lineRule="auto"/>
                    <w:ind w:left="359"/>
                    <w:rPr>
                      <w:sz w:val="21"/>
                      <w:szCs w:val="21"/>
                    </w:rPr>
                  </w:pPr>
                  <w:r>
                    <w:rPr>
                      <w:spacing w:val="-2"/>
                      <w:sz w:val="21"/>
                      <w:szCs w:val="21"/>
                    </w:rPr>
                    <w:t>地面</w:t>
                  </w:r>
                </w:p>
              </w:tc>
            </w:tr>
          </w:tbl>
          <w:p>
            <w:pPr>
              <w:spacing w:line="5976" w:lineRule="exact"/>
              <w:ind w:firstLine="922"/>
            </w:pPr>
            <w:r>
              <w:rPr>
                <w:position w:val="-119"/>
              </w:rPr>
              <w:drawing>
                <wp:inline distT="0" distB="0" distL="0" distR="0">
                  <wp:extent cx="4422140" cy="37941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02"/>
                          <a:stretch>
                            <a:fillRect/>
                          </a:stretch>
                        </pic:blipFill>
                        <pic:spPr>
                          <a:xfrm>
                            <a:off x="0" y="0"/>
                            <a:ext cx="4422140" cy="3794569"/>
                          </a:xfrm>
                          <a:prstGeom prst="rect">
                            <a:avLst/>
                          </a:prstGeom>
                        </pic:spPr>
                      </pic:pic>
                    </a:graphicData>
                  </a:graphic>
                </wp:inline>
              </w:drawing>
            </w:r>
          </w:p>
          <w:p>
            <w:pPr>
              <w:pStyle w:val="6"/>
              <w:spacing w:before="179" w:line="220" w:lineRule="auto"/>
              <w:ind w:left="2532"/>
              <w:rPr>
                <w:sz w:val="24"/>
                <w:szCs w:val="24"/>
              </w:rPr>
            </w:pPr>
            <w:r>
              <w:rPr>
                <w:spacing w:val="-2"/>
                <w:sz w:val="24"/>
                <w:szCs w:val="24"/>
                <w14:textOutline w14:w="4354" w14:cap="flat" w14:cmpd="sng">
                  <w14:solidFill>
                    <w14:srgbClr w14:val="000000"/>
                  </w14:solidFill>
                  <w14:prstDash w14:val="solid"/>
                  <w14:miter w14:val="10"/>
                </w14:textOutline>
              </w:rPr>
              <w:t>图</w:t>
            </w:r>
            <w:r>
              <w:rPr>
                <w:spacing w:val="-52"/>
                <w:sz w:val="24"/>
                <w:szCs w:val="24"/>
              </w:rPr>
              <w:t xml:space="preserve"> </w:t>
            </w:r>
            <w:r>
              <w:rPr>
                <w:rFonts w:ascii="Times New Roman" w:hAnsi="Times New Roman" w:eastAsia="Times New Roman" w:cs="Times New Roman"/>
                <w:b/>
                <w:bCs/>
                <w:spacing w:val="-2"/>
                <w:sz w:val="24"/>
                <w:szCs w:val="24"/>
              </w:rPr>
              <w:t xml:space="preserve">2.12-3    </w:t>
            </w:r>
            <w:r>
              <w:rPr>
                <w:spacing w:val="-2"/>
                <w:sz w:val="24"/>
                <w:szCs w:val="24"/>
                <w14:textOutline w14:w="4354" w14:cap="flat" w14:cmpd="sng">
                  <w14:solidFill>
                    <w14:srgbClr w14:val="000000"/>
                  </w14:solidFill>
                  <w14:prstDash w14:val="solid"/>
                  <w14:miter w14:val="10"/>
                </w14:textOutline>
              </w:rPr>
              <w:t>凤探</w:t>
            </w:r>
            <w:r>
              <w:rPr>
                <w:spacing w:val="-42"/>
                <w:sz w:val="24"/>
                <w:szCs w:val="24"/>
              </w:rPr>
              <w:t xml:space="preserve"> </w:t>
            </w:r>
            <w:r>
              <w:rPr>
                <w:rFonts w:ascii="Times New Roman" w:hAnsi="Times New Roman" w:eastAsia="Times New Roman" w:cs="Times New Roman"/>
                <w:b/>
                <w:bCs/>
                <w:spacing w:val="-2"/>
                <w:sz w:val="24"/>
                <w:szCs w:val="24"/>
              </w:rPr>
              <w:t xml:space="preserve">1 </w:t>
            </w:r>
            <w:r>
              <w:rPr>
                <w:spacing w:val="-2"/>
                <w:sz w:val="24"/>
                <w:szCs w:val="24"/>
                <w14:textOutline w14:w="4354" w14:cap="flat" w14:cmpd="sng">
                  <w14:solidFill>
                    <w14:srgbClr w14:val="000000"/>
                  </w14:solidFill>
                  <w14:prstDash w14:val="solid"/>
                  <w14:miter w14:val="10"/>
                </w14:textOutline>
              </w:rPr>
              <w:t>井井身结</w:t>
            </w:r>
            <w:r>
              <w:rPr>
                <w:spacing w:val="-3"/>
                <w:sz w:val="24"/>
                <w:szCs w:val="24"/>
                <w14:textOutline w14:w="4354" w14:cap="flat" w14:cmpd="sng">
                  <w14:solidFill>
                    <w14:srgbClr w14:val="000000"/>
                  </w14:solidFill>
                  <w14:prstDash w14:val="solid"/>
                  <w14:miter w14:val="10"/>
                </w14:textOutline>
              </w:rPr>
              <w:t>构示意图</w:t>
            </w:r>
          </w:p>
        </w:tc>
      </w:tr>
    </w:tbl>
    <w:p>
      <w:pPr>
        <w:pStyle w:val="2"/>
        <w:rPr>
          <w:sz w:val="21"/>
        </w:rPr>
      </w:pPr>
    </w:p>
    <w:p>
      <w:pPr>
        <w:rPr>
          <w:sz w:val="21"/>
          <w:szCs w:val="21"/>
        </w:rPr>
        <w:sectPr>
          <w:footerReference r:id="rId55"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5" w:right="101" w:firstLine="484"/>
              <w:jc w:val="both"/>
              <w:rPr>
                <w:sz w:val="24"/>
                <w:szCs w:val="24"/>
              </w:rPr>
            </w:pPr>
            <w:r>
              <w:rPr>
                <w:spacing w:val="-11"/>
                <w:sz w:val="24"/>
                <w:szCs w:val="24"/>
              </w:rPr>
              <w:t>项目采用常规钻井液钻井，</w:t>
            </w:r>
            <w:r>
              <w:rPr>
                <w:spacing w:val="50"/>
                <w:sz w:val="24"/>
                <w:szCs w:val="24"/>
              </w:rPr>
              <w:t xml:space="preserve"> </w:t>
            </w:r>
            <w:r>
              <w:rPr>
                <w:spacing w:val="-11"/>
                <w:sz w:val="24"/>
                <w:szCs w:val="24"/>
              </w:rPr>
              <w:t>钻井是根据地层地质情况，</w:t>
            </w:r>
            <w:r>
              <w:rPr>
                <w:spacing w:val="52"/>
                <w:sz w:val="24"/>
                <w:szCs w:val="24"/>
              </w:rPr>
              <w:t xml:space="preserve"> </w:t>
            </w:r>
            <w:r>
              <w:rPr>
                <w:spacing w:val="-11"/>
                <w:sz w:val="24"/>
                <w:szCs w:val="24"/>
              </w:rPr>
              <w:t>利用钻</w:t>
            </w:r>
            <w:r>
              <w:rPr>
                <w:spacing w:val="-12"/>
                <w:sz w:val="24"/>
                <w:szCs w:val="24"/>
              </w:rPr>
              <w:t>井液辅助整个过</w:t>
            </w:r>
            <w:r>
              <w:rPr>
                <w:sz w:val="24"/>
                <w:szCs w:val="24"/>
              </w:rPr>
              <w:t xml:space="preserve"> </w:t>
            </w:r>
            <w:r>
              <w:rPr>
                <w:spacing w:val="-6"/>
                <w:sz w:val="24"/>
                <w:szCs w:val="24"/>
              </w:rPr>
              <w:t>程进行钻进直至目的层的过程。本项目一开使用清水钻井液钻进，</w:t>
            </w:r>
            <w:r>
              <w:rPr>
                <w:spacing w:val="64"/>
                <w:sz w:val="24"/>
                <w:szCs w:val="24"/>
              </w:rPr>
              <w:t xml:space="preserve"> </w:t>
            </w:r>
            <w:r>
              <w:rPr>
                <w:spacing w:val="-6"/>
                <w:sz w:val="24"/>
                <w:szCs w:val="24"/>
              </w:rPr>
              <w:t>可有效保护浅层</w:t>
            </w:r>
            <w:r>
              <w:rPr>
                <w:sz w:val="24"/>
                <w:szCs w:val="24"/>
              </w:rPr>
              <w:t xml:space="preserve"> </w:t>
            </w:r>
            <w:r>
              <w:rPr>
                <w:spacing w:val="-9"/>
                <w:sz w:val="24"/>
                <w:szCs w:val="24"/>
              </w:rPr>
              <w:t>地下水。 一开段（</w:t>
            </w:r>
            <w:r>
              <w:rPr>
                <w:rFonts w:ascii="Times New Roman" w:hAnsi="Times New Roman" w:eastAsia="Times New Roman" w:cs="Times New Roman"/>
                <w:spacing w:val="-9"/>
                <w:sz w:val="24"/>
                <w:szCs w:val="24"/>
              </w:rPr>
              <w:t>0-50m</w:t>
            </w:r>
            <w:r>
              <w:rPr>
                <w:spacing w:val="-9"/>
                <w:sz w:val="24"/>
                <w:szCs w:val="24"/>
              </w:rPr>
              <w:t>）采用清水钻井液钻进，</w:t>
            </w:r>
            <w:r>
              <w:rPr>
                <w:spacing w:val="77"/>
                <w:sz w:val="24"/>
                <w:szCs w:val="24"/>
              </w:rPr>
              <w:t xml:space="preserve"> </w:t>
            </w:r>
            <w:r>
              <w:rPr>
                <w:spacing w:val="-9"/>
                <w:sz w:val="24"/>
                <w:szCs w:val="24"/>
              </w:rPr>
              <w:t>二开段（</w:t>
            </w:r>
            <w:r>
              <w:rPr>
                <w:rFonts w:ascii="Times New Roman" w:hAnsi="Times New Roman" w:eastAsia="Times New Roman" w:cs="Times New Roman"/>
                <w:spacing w:val="-9"/>
                <w:sz w:val="24"/>
                <w:szCs w:val="24"/>
              </w:rPr>
              <w:t>50</w:t>
            </w:r>
            <w:r>
              <w:rPr>
                <w:spacing w:val="-9"/>
                <w:sz w:val="24"/>
                <w:szCs w:val="24"/>
              </w:rPr>
              <w:t>～</w:t>
            </w:r>
            <w:r>
              <w:rPr>
                <w:rFonts w:ascii="Times New Roman" w:hAnsi="Times New Roman" w:eastAsia="Times New Roman" w:cs="Times New Roman"/>
                <w:spacing w:val="-9"/>
                <w:sz w:val="24"/>
                <w:szCs w:val="24"/>
              </w:rPr>
              <w:t>800m</w:t>
            </w:r>
            <w:r>
              <w:rPr>
                <w:spacing w:val="-9"/>
                <w:sz w:val="24"/>
                <w:szCs w:val="24"/>
              </w:rPr>
              <w:t>）采用</w:t>
            </w:r>
            <w:r>
              <w:rPr>
                <w:spacing w:val="-55"/>
                <w:sz w:val="24"/>
                <w:szCs w:val="24"/>
              </w:rPr>
              <w:t xml:space="preserve"> </w:t>
            </w:r>
            <w:r>
              <w:rPr>
                <w:rFonts w:ascii="Times New Roman" w:hAnsi="Times New Roman" w:eastAsia="Times New Roman" w:cs="Times New Roman"/>
                <w:spacing w:val="-9"/>
                <w:sz w:val="24"/>
                <w:szCs w:val="24"/>
              </w:rPr>
              <w:t>KCl</w:t>
            </w:r>
            <w:r>
              <w:rPr>
                <w:rFonts w:ascii="Times New Roman" w:hAnsi="Times New Roman" w:eastAsia="Times New Roman" w:cs="Times New Roman"/>
                <w:spacing w:val="19"/>
                <w:w w:val="101"/>
                <w:sz w:val="24"/>
                <w:szCs w:val="24"/>
              </w:rPr>
              <w:t xml:space="preserve"> </w:t>
            </w:r>
            <w:r>
              <w:rPr>
                <w:spacing w:val="-9"/>
                <w:sz w:val="24"/>
                <w:szCs w:val="24"/>
              </w:rPr>
              <w:t>聚</w:t>
            </w:r>
            <w:r>
              <w:rPr>
                <w:sz w:val="24"/>
                <w:szCs w:val="24"/>
              </w:rPr>
              <w:t xml:space="preserve"> </w:t>
            </w:r>
            <w:r>
              <w:rPr>
                <w:spacing w:val="-5"/>
                <w:sz w:val="24"/>
                <w:szCs w:val="24"/>
              </w:rPr>
              <w:t>合物钻井液钻进，</w:t>
            </w:r>
            <w:r>
              <w:rPr>
                <w:spacing w:val="51"/>
                <w:sz w:val="24"/>
                <w:szCs w:val="24"/>
              </w:rPr>
              <w:t xml:space="preserve"> </w:t>
            </w:r>
            <w:r>
              <w:rPr>
                <w:spacing w:val="-5"/>
                <w:sz w:val="24"/>
                <w:szCs w:val="24"/>
              </w:rPr>
              <w:t>三开段（</w:t>
            </w:r>
            <w:r>
              <w:rPr>
                <w:rFonts w:ascii="Times New Roman" w:hAnsi="Times New Roman" w:eastAsia="Times New Roman" w:cs="Times New Roman"/>
                <w:spacing w:val="-5"/>
                <w:sz w:val="24"/>
                <w:szCs w:val="24"/>
              </w:rPr>
              <w:t>800~3990m</w:t>
            </w:r>
            <w:r>
              <w:rPr>
                <w:spacing w:val="-5"/>
                <w:sz w:val="24"/>
                <w:szCs w:val="24"/>
              </w:rPr>
              <w:t>）和四开段（</w:t>
            </w:r>
            <w:r>
              <w:rPr>
                <w:rFonts w:ascii="Times New Roman" w:hAnsi="Times New Roman" w:eastAsia="Times New Roman" w:cs="Times New Roman"/>
                <w:spacing w:val="-5"/>
                <w:sz w:val="24"/>
                <w:szCs w:val="24"/>
              </w:rPr>
              <w:t>3990</w:t>
            </w:r>
            <w:r>
              <w:rPr>
                <w:rFonts w:ascii="Times New Roman" w:hAnsi="Times New Roman" w:eastAsia="Times New Roman" w:cs="Times New Roman"/>
                <w:spacing w:val="-6"/>
                <w:sz w:val="24"/>
                <w:szCs w:val="24"/>
              </w:rPr>
              <w:t>~6800m</w:t>
            </w:r>
            <w:r>
              <w:rPr>
                <w:spacing w:val="-6"/>
                <w:sz w:val="24"/>
                <w:szCs w:val="24"/>
              </w:rPr>
              <w:t>）采用有机盐聚合</w:t>
            </w:r>
            <w:r>
              <w:rPr>
                <w:sz w:val="24"/>
                <w:szCs w:val="24"/>
              </w:rPr>
              <w:t xml:space="preserve"> </w:t>
            </w:r>
            <w:r>
              <w:rPr>
                <w:spacing w:val="7"/>
                <w:sz w:val="24"/>
                <w:szCs w:val="24"/>
              </w:rPr>
              <w:t>物钻井液钻进，五开段（</w:t>
            </w:r>
            <w:r>
              <w:rPr>
                <w:rFonts w:ascii="Times New Roman" w:hAnsi="Times New Roman" w:eastAsia="Times New Roman" w:cs="Times New Roman"/>
                <w:spacing w:val="7"/>
                <w:sz w:val="24"/>
                <w:szCs w:val="24"/>
              </w:rPr>
              <w:t>6800</w:t>
            </w:r>
            <w:r>
              <w:rPr>
                <w:spacing w:val="7"/>
                <w:sz w:val="24"/>
                <w:szCs w:val="24"/>
              </w:rPr>
              <w:t>～</w:t>
            </w:r>
            <w:r>
              <w:rPr>
                <w:rFonts w:ascii="Times New Roman" w:hAnsi="Times New Roman" w:eastAsia="Times New Roman" w:cs="Times New Roman"/>
                <w:spacing w:val="7"/>
                <w:sz w:val="24"/>
                <w:szCs w:val="24"/>
              </w:rPr>
              <w:t>7135m</w:t>
            </w:r>
            <w:r>
              <w:rPr>
                <w:spacing w:val="7"/>
                <w:sz w:val="24"/>
                <w:szCs w:val="24"/>
              </w:rPr>
              <w:t>）采用环保型</w:t>
            </w:r>
            <w:r>
              <w:rPr>
                <w:spacing w:val="6"/>
                <w:sz w:val="24"/>
                <w:szCs w:val="24"/>
              </w:rPr>
              <w:t>去磺化钻井液钻进，六开段</w:t>
            </w:r>
          </w:p>
          <w:p>
            <w:pPr>
              <w:pStyle w:val="6"/>
              <w:spacing w:line="219" w:lineRule="auto"/>
              <w:ind w:left="112"/>
              <w:rPr>
                <w:sz w:val="24"/>
                <w:szCs w:val="24"/>
              </w:rPr>
            </w:pPr>
            <w:r>
              <w:rPr>
                <w:spacing w:val="-3"/>
                <w:sz w:val="24"/>
                <w:szCs w:val="24"/>
              </w:rPr>
              <w:t>（</w:t>
            </w:r>
            <w:r>
              <w:rPr>
                <w:rFonts w:ascii="Times New Roman" w:hAnsi="Times New Roman" w:eastAsia="Times New Roman" w:cs="Times New Roman"/>
                <w:spacing w:val="-3"/>
                <w:sz w:val="24"/>
                <w:szCs w:val="24"/>
              </w:rPr>
              <w:t>7135~7230m</w:t>
            </w:r>
            <w:r>
              <w:rPr>
                <w:spacing w:val="-3"/>
                <w:sz w:val="24"/>
                <w:szCs w:val="24"/>
              </w:rPr>
              <w:t>）使用油基钻井液钻进。</w:t>
            </w:r>
          </w:p>
          <w:p>
            <w:pPr>
              <w:pStyle w:val="6"/>
              <w:spacing w:before="195" w:line="217" w:lineRule="auto"/>
              <w:ind w:left="587"/>
              <w:rPr>
                <w:sz w:val="24"/>
                <w:szCs w:val="24"/>
              </w:rPr>
            </w:pPr>
            <w:r>
              <w:rPr>
                <w:spacing w:val="-1"/>
                <w:sz w:val="24"/>
                <w:szCs w:val="24"/>
                <w14:textOutline w14:w="4354" w14:cap="flat" w14:cmpd="sng">
                  <w14:solidFill>
                    <w14:srgbClr w14:val="000000"/>
                  </w14:solidFill>
                  <w14:prstDash w14:val="solid"/>
                  <w14:miter w14:val="10"/>
                </w14:textOutline>
              </w:rPr>
              <w:t>①清水钻阶段</w:t>
            </w:r>
          </w:p>
          <w:p>
            <w:pPr>
              <w:pStyle w:val="6"/>
              <w:spacing w:before="199" w:line="369" w:lineRule="auto"/>
              <w:ind w:left="106" w:right="99" w:firstLine="483"/>
              <w:jc w:val="both"/>
              <w:rPr>
                <w:sz w:val="24"/>
                <w:szCs w:val="24"/>
              </w:rPr>
            </w:pPr>
            <w:r>
              <w:rPr>
                <w:spacing w:val="-6"/>
                <w:sz w:val="24"/>
                <w:szCs w:val="24"/>
              </w:rPr>
              <w:t>一开段钻井时，为了保护浅层地表含水层，</w:t>
            </w:r>
            <w:r>
              <w:rPr>
                <w:spacing w:val="49"/>
                <w:sz w:val="24"/>
                <w:szCs w:val="24"/>
              </w:rPr>
              <w:t xml:space="preserve"> </w:t>
            </w:r>
            <w:r>
              <w:rPr>
                <w:spacing w:val="-6"/>
                <w:sz w:val="24"/>
                <w:szCs w:val="24"/>
              </w:rPr>
              <w:t>避免聚合物泥浆等钻井液</w:t>
            </w:r>
            <w:r>
              <w:rPr>
                <w:spacing w:val="-7"/>
                <w:sz w:val="24"/>
                <w:szCs w:val="24"/>
              </w:rPr>
              <w:t>对地下水</w:t>
            </w:r>
            <w:r>
              <w:rPr>
                <w:sz w:val="24"/>
                <w:szCs w:val="24"/>
              </w:rPr>
              <w:t xml:space="preserve"> </w:t>
            </w:r>
            <w:r>
              <w:rPr>
                <w:spacing w:val="-3"/>
                <w:sz w:val="24"/>
                <w:szCs w:val="24"/>
              </w:rPr>
              <w:t>环境造成不利影响，</w:t>
            </w:r>
            <w:r>
              <w:rPr>
                <w:spacing w:val="68"/>
                <w:sz w:val="24"/>
                <w:szCs w:val="24"/>
              </w:rPr>
              <w:t xml:space="preserve"> </w:t>
            </w:r>
            <w:r>
              <w:rPr>
                <w:spacing w:val="-3"/>
                <w:sz w:val="24"/>
                <w:szCs w:val="24"/>
              </w:rPr>
              <w:t>建设单位一开段（</w:t>
            </w:r>
            <w:r>
              <w:rPr>
                <w:rFonts w:ascii="Times New Roman" w:hAnsi="Times New Roman" w:eastAsia="Times New Roman" w:cs="Times New Roman"/>
                <w:spacing w:val="-3"/>
                <w:sz w:val="24"/>
                <w:szCs w:val="24"/>
              </w:rPr>
              <w:t>0-50m</w:t>
            </w:r>
            <w:r>
              <w:rPr>
                <w:spacing w:val="-3"/>
                <w:sz w:val="24"/>
                <w:szCs w:val="24"/>
              </w:rPr>
              <w:t>）采用清</w:t>
            </w:r>
            <w:r>
              <w:rPr>
                <w:spacing w:val="-4"/>
                <w:sz w:val="24"/>
                <w:szCs w:val="24"/>
              </w:rPr>
              <w:t>水钻井液进行钻井，清水钻</w:t>
            </w:r>
            <w:r>
              <w:rPr>
                <w:sz w:val="24"/>
                <w:szCs w:val="24"/>
              </w:rPr>
              <w:t xml:space="preserve"> </w:t>
            </w:r>
            <w:r>
              <w:rPr>
                <w:spacing w:val="-11"/>
                <w:sz w:val="24"/>
                <w:szCs w:val="24"/>
              </w:rPr>
              <w:t>井液可大幅降低对表层地下水的影响，</w:t>
            </w:r>
            <w:r>
              <w:rPr>
                <w:spacing w:val="67"/>
                <w:sz w:val="24"/>
                <w:szCs w:val="24"/>
              </w:rPr>
              <w:t xml:space="preserve"> </w:t>
            </w:r>
            <w:r>
              <w:rPr>
                <w:spacing w:val="-11"/>
                <w:sz w:val="24"/>
                <w:szCs w:val="24"/>
              </w:rPr>
              <w:t>该阶段动力来源于井场内设的网电，</w:t>
            </w:r>
            <w:r>
              <w:rPr>
                <w:spacing w:val="55"/>
                <w:sz w:val="24"/>
                <w:szCs w:val="24"/>
              </w:rPr>
              <w:t xml:space="preserve"> </w:t>
            </w:r>
            <w:r>
              <w:rPr>
                <w:spacing w:val="-11"/>
                <w:sz w:val="24"/>
                <w:szCs w:val="24"/>
              </w:rPr>
              <w:t>设计使</w:t>
            </w:r>
            <w:r>
              <w:rPr>
                <w:sz w:val="24"/>
                <w:szCs w:val="24"/>
              </w:rPr>
              <w:t xml:space="preserve"> </w:t>
            </w:r>
            <w:r>
              <w:rPr>
                <w:spacing w:val="-2"/>
                <w:sz w:val="24"/>
                <w:szCs w:val="24"/>
              </w:rPr>
              <w:t>用</w:t>
            </w:r>
            <w:r>
              <w:rPr>
                <w:spacing w:val="-33"/>
                <w:sz w:val="24"/>
                <w:szCs w:val="24"/>
              </w:rPr>
              <w:t xml:space="preserve"> </w:t>
            </w:r>
            <w:r>
              <w:rPr>
                <w:rFonts w:ascii="Times New Roman" w:hAnsi="Times New Roman" w:eastAsia="Times New Roman" w:cs="Times New Roman"/>
                <w:spacing w:val="-2"/>
                <w:sz w:val="24"/>
                <w:szCs w:val="24"/>
              </w:rPr>
              <w:t>Φ914.4mm</w:t>
            </w:r>
            <w:r>
              <w:rPr>
                <w:rFonts w:ascii="Times New Roman" w:hAnsi="Times New Roman" w:eastAsia="Times New Roman" w:cs="Times New Roman"/>
                <w:spacing w:val="22"/>
                <w:sz w:val="24"/>
                <w:szCs w:val="24"/>
              </w:rPr>
              <w:t xml:space="preserve"> </w:t>
            </w:r>
            <w:r>
              <w:rPr>
                <w:spacing w:val="-2"/>
                <w:sz w:val="24"/>
                <w:szCs w:val="24"/>
              </w:rPr>
              <w:t>钻头开眼，钻进</w:t>
            </w:r>
            <w:r>
              <w:rPr>
                <w:spacing w:val="-36"/>
                <w:sz w:val="24"/>
                <w:szCs w:val="24"/>
              </w:rPr>
              <w:t xml:space="preserve"> </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24"/>
                <w:sz w:val="24"/>
                <w:szCs w:val="24"/>
              </w:rPr>
              <w:t xml:space="preserve"> </w:t>
            </w:r>
            <w:r>
              <w:rPr>
                <w:spacing w:val="-2"/>
                <w:sz w:val="24"/>
                <w:szCs w:val="24"/>
              </w:rPr>
              <w:t>左右下</w:t>
            </w:r>
            <w:r>
              <w:rPr>
                <w:spacing w:val="-40"/>
                <w:sz w:val="24"/>
                <w:szCs w:val="24"/>
              </w:rPr>
              <w:t xml:space="preserve"> </w:t>
            </w:r>
            <w:r>
              <w:rPr>
                <w:rFonts w:ascii="Times New Roman" w:hAnsi="Times New Roman" w:eastAsia="Times New Roman" w:cs="Times New Roman"/>
                <w:spacing w:val="-2"/>
                <w:sz w:val="24"/>
                <w:szCs w:val="24"/>
              </w:rPr>
              <w:t>Φ720mm</w:t>
            </w:r>
            <w:r>
              <w:rPr>
                <w:rFonts w:ascii="Times New Roman" w:hAnsi="Times New Roman" w:eastAsia="Times New Roman" w:cs="Times New Roman"/>
                <w:spacing w:val="29"/>
                <w:w w:val="101"/>
                <w:sz w:val="24"/>
                <w:szCs w:val="24"/>
              </w:rPr>
              <w:t xml:space="preserve"> </w:t>
            </w:r>
            <w:r>
              <w:rPr>
                <w:spacing w:val="-2"/>
                <w:sz w:val="24"/>
                <w:szCs w:val="24"/>
              </w:rPr>
              <w:t>导管，封隔地表易垮塌层、漏</w:t>
            </w:r>
          </w:p>
          <w:p>
            <w:pPr>
              <w:pStyle w:val="6"/>
              <w:spacing w:line="219" w:lineRule="auto"/>
              <w:ind w:left="111"/>
              <w:rPr>
                <w:sz w:val="24"/>
                <w:szCs w:val="24"/>
              </w:rPr>
            </w:pPr>
            <w:r>
              <w:rPr>
                <w:spacing w:val="-3"/>
                <w:sz w:val="24"/>
                <w:szCs w:val="24"/>
              </w:rPr>
              <w:t>失层，保护井架基础。</w:t>
            </w:r>
          </w:p>
          <w:p>
            <w:pPr>
              <w:pStyle w:val="6"/>
              <w:spacing w:before="195" w:line="217" w:lineRule="auto"/>
              <w:ind w:left="586"/>
              <w:rPr>
                <w:sz w:val="24"/>
                <w:szCs w:val="24"/>
              </w:rPr>
            </w:pPr>
            <w:r>
              <w:rPr>
                <w:sz w:val="24"/>
                <w:szCs w:val="24"/>
                <w14:textOutline w14:w="4354" w14:cap="flat" w14:cmpd="sng">
                  <w14:solidFill>
                    <w14:srgbClr w14:val="000000"/>
                  </w14:solidFill>
                  <w14:prstDash w14:val="solid"/>
                  <w14:miter w14:val="10"/>
                </w14:textOutline>
              </w:rPr>
              <w:t>②水基钻井液钻阶段</w:t>
            </w:r>
          </w:p>
          <w:p>
            <w:pPr>
              <w:pStyle w:val="6"/>
              <w:spacing w:before="200" w:line="369" w:lineRule="auto"/>
              <w:ind w:left="105" w:right="99" w:firstLine="484"/>
              <w:rPr>
                <w:sz w:val="24"/>
                <w:szCs w:val="24"/>
              </w:rPr>
            </w:pPr>
            <w:r>
              <w:rPr>
                <w:spacing w:val="-5"/>
                <w:sz w:val="24"/>
                <w:szCs w:val="24"/>
              </w:rPr>
              <w:t>一开段钻井完成后，进入水基钻井阶段，</w:t>
            </w:r>
            <w:r>
              <w:rPr>
                <w:spacing w:val="87"/>
                <w:sz w:val="24"/>
                <w:szCs w:val="24"/>
              </w:rPr>
              <w:t xml:space="preserve"> </w:t>
            </w:r>
            <w:r>
              <w:rPr>
                <w:spacing w:val="-5"/>
                <w:sz w:val="24"/>
                <w:szCs w:val="24"/>
              </w:rPr>
              <w:t>二开段</w:t>
            </w:r>
            <w:r>
              <w:rPr>
                <w:rFonts w:ascii="Times New Roman" w:hAnsi="Times New Roman" w:eastAsia="Times New Roman" w:cs="Times New Roman"/>
                <w:spacing w:val="-5"/>
                <w:sz w:val="24"/>
                <w:szCs w:val="24"/>
              </w:rPr>
              <w:t>~</w:t>
            </w:r>
            <w:r>
              <w:rPr>
                <w:spacing w:val="-5"/>
                <w:sz w:val="24"/>
                <w:szCs w:val="24"/>
              </w:rPr>
              <w:t>五开段均采用水基钻井液。</w:t>
            </w:r>
            <w:r>
              <w:rPr>
                <w:sz w:val="24"/>
                <w:szCs w:val="24"/>
              </w:rPr>
              <w:t xml:space="preserve"> </w:t>
            </w:r>
            <w:r>
              <w:rPr>
                <w:spacing w:val="-4"/>
                <w:sz w:val="24"/>
                <w:szCs w:val="24"/>
              </w:rPr>
              <w:t>设计使用</w:t>
            </w:r>
            <w:r>
              <w:rPr>
                <w:spacing w:val="-51"/>
                <w:sz w:val="24"/>
                <w:szCs w:val="24"/>
              </w:rPr>
              <w:t xml:space="preserve"> </w:t>
            </w:r>
            <w:r>
              <w:rPr>
                <w:rFonts w:ascii="Times New Roman" w:hAnsi="Times New Roman" w:eastAsia="Times New Roman" w:cs="Times New Roman"/>
                <w:spacing w:val="-4"/>
                <w:sz w:val="24"/>
                <w:szCs w:val="24"/>
              </w:rPr>
              <w:t xml:space="preserve">Φ660.4mm </w:t>
            </w:r>
            <w:r>
              <w:rPr>
                <w:spacing w:val="-4"/>
                <w:sz w:val="24"/>
                <w:szCs w:val="24"/>
              </w:rPr>
              <w:t>钻头钻至井深</w:t>
            </w:r>
            <w:r>
              <w:rPr>
                <w:spacing w:val="-46"/>
                <w:sz w:val="24"/>
                <w:szCs w:val="24"/>
              </w:rPr>
              <w:t xml:space="preserve"> </w:t>
            </w:r>
            <w:r>
              <w:rPr>
                <w:rFonts w:ascii="Times New Roman" w:hAnsi="Times New Roman" w:eastAsia="Times New Roman" w:cs="Times New Roman"/>
                <w:spacing w:val="-4"/>
                <w:sz w:val="24"/>
                <w:szCs w:val="24"/>
              </w:rPr>
              <w:t xml:space="preserve">800m </w:t>
            </w:r>
            <w:r>
              <w:rPr>
                <w:spacing w:val="-4"/>
                <w:sz w:val="24"/>
                <w:szCs w:val="24"/>
              </w:rPr>
              <w:t>左右下</w:t>
            </w:r>
            <w:r>
              <w:rPr>
                <w:spacing w:val="-51"/>
                <w:sz w:val="24"/>
                <w:szCs w:val="24"/>
              </w:rPr>
              <w:t xml:space="preserve"> </w:t>
            </w:r>
            <w:r>
              <w:rPr>
                <w:rFonts w:ascii="Times New Roman" w:hAnsi="Times New Roman" w:eastAsia="Times New Roman" w:cs="Times New Roman"/>
                <w:spacing w:val="-4"/>
                <w:sz w:val="24"/>
                <w:szCs w:val="24"/>
              </w:rPr>
              <w:t xml:space="preserve">Φ508mm </w:t>
            </w:r>
            <w:r>
              <w:rPr>
                <w:spacing w:val="-4"/>
                <w:sz w:val="24"/>
                <w:szCs w:val="24"/>
              </w:rPr>
              <w:t>表层套管，</w:t>
            </w:r>
            <w:r>
              <w:rPr>
                <w:spacing w:val="-25"/>
                <w:sz w:val="24"/>
                <w:szCs w:val="24"/>
              </w:rPr>
              <w:t xml:space="preserve"> </w:t>
            </w:r>
            <w:r>
              <w:rPr>
                <w:spacing w:val="-4"/>
                <w:sz w:val="24"/>
                <w:szCs w:val="24"/>
              </w:rPr>
              <w:t>封固</w:t>
            </w:r>
            <w:r>
              <w:rPr>
                <w:spacing w:val="-5"/>
                <w:sz w:val="24"/>
                <w:szCs w:val="24"/>
              </w:rPr>
              <w:t>上部易漏</w:t>
            </w:r>
            <w:r>
              <w:rPr>
                <w:sz w:val="24"/>
                <w:szCs w:val="24"/>
              </w:rPr>
              <w:t xml:space="preserve"> </w:t>
            </w:r>
            <w:r>
              <w:rPr>
                <w:spacing w:val="-6"/>
                <w:sz w:val="24"/>
                <w:szCs w:val="24"/>
              </w:rPr>
              <w:t>层、垮塌层，</w:t>
            </w:r>
            <w:r>
              <w:rPr>
                <w:spacing w:val="61"/>
                <w:sz w:val="24"/>
                <w:szCs w:val="24"/>
              </w:rPr>
              <w:t xml:space="preserve"> </w:t>
            </w:r>
            <w:r>
              <w:rPr>
                <w:spacing w:val="-6"/>
                <w:sz w:val="24"/>
                <w:szCs w:val="24"/>
              </w:rPr>
              <w:t>安装井口；更换钻头，</w:t>
            </w:r>
            <w:r>
              <w:rPr>
                <w:rFonts w:ascii="Times New Roman" w:hAnsi="Times New Roman" w:eastAsia="Times New Roman" w:cs="Times New Roman"/>
                <w:spacing w:val="-6"/>
                <w:sz w:val="24"/>
                <w:szCs w:val="24"/>
              </w:rPr>
              <w:t xml:space="preserve">Φ455mm </w:t>
            </w:r>
            <w:r>
              <w:rPr>
                <w:spacing w:val="-6"/>
                <w:sz w:val="24"/>
                <w:szCs w:val="24"/>
              </w:rPr>
              <w:t>钻头钻进至雷口坡组顶部（进雷</w:t>
            </w:r>
            <w:r>
              <w:rPr>
                <w:spacing w:val="-7"/>
                <w:sz w:val="24"/>
                <w:szCs w:val="24"/>
              </w:rPr>
              <w:t>口坡</w:t>
            </w:r>
            <w:r>
              <w:rPr>
                <w:sz w:val="24"/>
                <w:szCs w:val="24"/>
              </w:rPr>
              <w:t xml:space="preserve"> </w:t>
            </w:r>
            <w:r>
              <w:rPr>
                <w:spacing w:val="-6"/>
                <w:sz w:val="24"/>
                <w:szCs w:val="24"/>
              </w:rPr>
              <w:t>组</w:t>
            </w:r>
            <w:r>
              <w:rPr>
                <w:spacing w:val="-20"/>
                <w:sz w:val="24"/>
                <w:szCs w:val="24"/>
              </w:rPr>
              <w:t xml:space="preserve"> </w:t>
            </w:r>
            <w:r>
              <w:rPr>
                <w:rFonts w:ascii="Times New Roman" w:hAnsi="Times New Roman" w:eastAsia="Times New Roman" w:cs="Times New Roman"/>
                <w:spacing w:val="-6"/>
                <w:sz w:val="24"/>
                <w:szCs w:val="24"/>
              </w:rPr>
              <w:t>5m</w:t>
            </w:r>
            <w:r>
              <w:rPr>
                <w:rFonts w:ascii="Times New Roman" w:hAnsi="Times New Roman" w:eastAsia="Times New Roman" w:cs="Times New Roman"/>
                <w:spacing w:val="22"/>
                <w:w w:val="101"/>
                <w:sz w:val="24"/>
                <w:szCs w:val="24"/>
              </w:rPr>
              <w:t xml:space="preserve"> </w:t>
            </w:r>
            <w:r>
              <w:rPr>
                <w:spacing w:val="-6"/>
                <w:sz w:val="24"/>
                <w:szCs w:val="24"/>
              </w:rPr>
              <w:t>垂深左右）</w:t>
            </w:r>
            <w:r>
              <w:rPr>
                <w:spacing w:val="33"/>
                <w:sz w:val="24"/>
                <w:szCs w:val="24"/>
              </w:rPr>
              <w:t xml:space="preserve"> </w:t>
            </w:r>
            <w:r>
              <w:rPr>
                <w:spacing w:val="-6"/>
                <w:sz w:val="24"/>
                <w:szCs w:val="24"/>
              </w:rPr>
              <w:t>下</w:t>
            </w:r>
            <w:r>
              <w:rPr>
                <w:spacing w:val="-39"/>
                <w:sz w:val="24"/>
                <w:szCs w:val="24"/>
              </w:rPr>
              <w:t xml:space="preserve"> </w:t>
            </w:r>
            <w:r>
              <w:rPr>
                <w:rFonts w:ascii="Times New Roman" w:hAnsi="Times New Roman" w:eastAsia="Times New Roman" w:cs="Times New Roman"/>
                <w:spacing w:val="-6"/>
                <w:sz w:val="24"/>
                <w:szCs w:val="24"/>
              </w:rPr>
              <w:t>Φ374.65mm+Φ365.13mm</w:t>
            </w:r>
            <w:r>
              <w:rPr>
                <w:rFonts w:ascii="Times New Roman" w:hAnsi="Times New Roman" w:eastAsia="Times New Roman" w:cs="Times New Roman"/>
                <w:spacing w:val="21"/>
                <w:sz w:val="24"/>
                <w:szCs w:val="24"/>
              </w:rPr>
              <w:t xml:space="preserve"> </w:t>
            </w:r>
            <w:r>
              <w:rPr>
                <w:spacing w:val="-6"/>
                <w:sz w:val="24"/>
                <w:szCs w:val="24"/>
              </w:rPr>
              <w:t xml:space="preserve">技术套管 </w:t>
            </w:r>
            <w:r>
              <w:rPr>
                <w:rFonts w:ascii="Times New Roman" w:hAnsi="Times New Roman" w:eastAsia="Times New Roman" w:cs="Times New Roman"/>
                <w:spacing w:val="-6"/>
                <w:sz w:val="24"/>
                <w:szCs w:val="24"/>
              </w:rPr>
              <w:t>1</w:t>
            </w:r>
            <w:r>
              <w:rPr>
                <w:spacing w:val="-6"/>
                <w:sz w:val="24"/>
                <w:szCs w:val="24"/>
              </w:rPr>
              <w:t>，封隔上部低压易漏层；</w:t>
            </w:r>
            <w:r>
              <w:rPr>
                <w:sz w:val="24"/>
                <w:szCs w:val="24"/>
              </w:rPr>
              <w:t xml:space="preserve"> 更换钻头，</w:t>
            </w:r>
            <w:r>
              <w:rPr>
                <w:rFonts w:ascii="Times New Roman" w:hAnsi="Times New Roman" w:eastAsia="Times New Roman" w:cs="Times New Roman"/>
                <w:sz w:val="24"/>
                <w:szCs w:val="24"/>
              </w:rPr>
              <w:t xml:space="preserve">Φ333.4mm  </w:t>
            </w:r>
            <w:r>
              <w:rPr>
                <w:sz w:val="24"/>
                <w:szCs w:val="24"/>
              </w:rPr>
              <w:t xml:space="preserve">钻头钻进至茅口组顶（进茅口组顶 </w:t>
            </w:r>
            <w:r>
              <w:rPr>
                <w:rFonts w:ascii="Times New Roman" w:hAnsi="Times New Roman" w:eastAsia="Times New Roman" w:cs="Times New Roman"/>
                <w:sz w:val="24"/>
                <w:szCs w:val="24"/>
              </w:rPr>
              <w:t xml:space="preserve">5m  </w:t>
            </w:r>
            <w:r>
              <w:rPr>
                <w:sz w:val="24"/>
                <w:szCs w:val="24"/>
              </w:rPr>
              <w:t>垂深</w:t>
            </w:r>
            <w:r>
              <w:rPr>
                <w:spacing w:val="-1"/>
                <w:sz w:val="24"/>
                <w:szCs w:val="24"/>
              </w:rPr>
              <w:t>）</w:t>
            </w:r>
            <w:r>
              <w:rPr>
                <w:spacing w:val="4"/>
                <w:sz w:val="24"/>
                <w:szCs w:val="24"/>
              </w:rPr>
              <w:t xml:space="preserve"> </w:t>
            </w:r>
            <w:r>
              <w:rPr>
                <w:spacing w:val="-1"/>
                <w:sz w:val="24"/>
                <w:szCs w:val="24"/>
              </w:rPr>
              <w:t>，</w:t>
            </w:r>
            <w:r>
              <w:rPr>
                <w:sz w:val="24"/>
                <w:szCs w:val="24"/>
              </w:rPr>
              <w:t xml:space="preserve">悬挂回接 </w:t>
            </w:r>
            <w:r>
              <w:rPr>
                <w:rFonts w:ascii="Times New Roman" w:hAnsi="Times New Roman" w:eastAsia="Times New Roman" w:cs="Times New Roman"/>
                <w:spacing w:val="-1"/>
                <w:sz w:val="24"/>
                <w:szCs w:val="24"/>
              </w:rPr>
              <w:t xml:space="preserve">Φ282.58mm </w:t>
            </w:r>
            <w:r>
              <w:rPr>
                <w:spacing w:val="-1"/>
                <w:sz w:val="24"/>
                <w:szCs w:val="24"/>
              </w:rPr>
              <w:t>技术套管</w:t>
            </w:r>
            <w:r>
              <w:rPr>
                <w:spacing w:val="-54"/>
                <w:sz w:val="24"/>
                <w:szCs w:val="24"/>
              </w:rPr>
              <w:t xml:space="preserve"> </w:t>
            </w:r>
            <w:r>
              <w:rPr>
                <w:rFonts w:ascii="Times New Roman" w:hAnsi="Times New Roman" w:eastAsia="Times New Roman" w:cs="Times New Roman"/>
                <w:spacing w:val="-1"/>
                <w:sz w:val="24"/>
                <w:szCs w:val="24"/>
              </w:rPr>
              <w:t>2</w:t>
            </w:r>
            <w:r>
              <w:rPr>
                <w:spacing w:val="-1"/>
                <w:sz w:val="24"/>
                <w:szCs w:val="24"/>
              </w:rPr>
              <w:t>，封隔上部异常高压层及易漏层；更换</w:t>
            </w:r>
            <w:r>
              <w:rPr>
                <w:spacing w:val="-2"/>
                <w:sz w:val="24"/>
                <w:szCs w:val="24"/>
              </w:rPr>
              <w:t>钻头，Φ</w:t>
            </w:r>
            <w:r>
              <w:rPr>
                <w:rFonts w:ascii="Times New Roman" w:hAnsi="Times New Roman" w:eastAsia="Times New Roman" w:cs="Times New Roman"/>
                <w:spacing w:val="-2"/>
                <w:sz w:val="24"/>
                <w:szCs w:val="24"/>
              </w:rPr>
              <w:t xml:space="preserve">241.3mm </w:t>
            </w:r>
            <w:r>
              <w:rPr>
                <w:spacing w:val="-2"/>
                <w:sz w:val="24"/>
                <w:szCs w:val="24"/>
              </w:rPr>
              <w:t>钻</w:t>
            </w:r>
          </w:p>
          <w:p>
            <w:pPr>
              <w:pStyle w:val="6"/>
              <w:spacing w:before="1" w:line="219" w:lineRule="auto"/>
              <w:ind w:left="109"/>
              <w:rPr>
                <w:sz w:val="24"/>
                <w:szCs w:val="24"/>
              </w:rPr>
            </w:pPr>
            <w:r>
              <w:rPr>
                <w:spacing w:val="-1"/>
                <w:sz w:val="24"/>
                <w:szCs w:val="24"/>
              </w:rPr>
              <w:t>头钻至完钻井深，悬挂Φ</w:t>
            </w:r>
            <w:r>
              <w:rPr>
                <w:rFonts w:ascii="Times New Roman" w:hAnsi="Times New Roman" w:eastAsia="Times New Roman" w:cs="Times New Roman"/>
                <w:spacing w:val="-1"/>
                <w:sz w:val="24"/>
                <w:szCs w:val="24"/>
              </w:rPr>
              <w:t xml:space="preserve">219.08mm </w:t>
            </w:r>
            <w:r>
              <w:rPr>
                <w:spacing w:val="-1"/>
                <w:sz w:val="24"/>
                <w:szCs w:val="24"/>
              </w:rPr>
              <w:t>技术套管。</w:t>
            </w:r>
          </w:p>
          <w:p>
            <w:pPr>
              <w:pStyle w:val="6"/>
              <w:spacing w:before="195" w:line="369" w:lineRule="auto"/>
              <w:ind w:left="106" w:right="100" w:firstLine="482"/>
              <w:rPr>
                <w:sz w:val="24"/>
                <w:szCs w:val="24"/>
              </w:rPr>
            </w:pPr>
            <w:r>
              <w:rPr>
                <w:spacing w:val="-6"/>
                <w:sz w:val="24"/>
                <w:szCs w:val="24"/>
              </w:rPr>
              <w:t>水基泥浆钻井过程中，</w:t>
            </w:r>
            <w:r>
              <w:rPr>
                <w:spacing w:val="47"/>
                <w:sz w:val="24"/>
                <w:szCs w:val="24"/>
              </w:rPr>
              <w:t xml:space="preserve"> </w:t>
            </w:r>
            <w:r>
              <w:rPr>
                <w:spacing w:val="-6"/>
                <w:sz w:val="24"/>
                <w:szCs w:val="24"/>
              </w:rPr>
              <w:t>返回地表的含屑钻井液通过泥浆管输入振动筛进行固液</w:t>
            </w:r>
            <w:r>
              <w:rPr>
                <w:sz w:val="24"/>
                <w:szCs w:val="24"/>
              </w:rPr>
              <w:t xml:space="preserve"> </w:t>
            </w:r>
            <w:r>
              <w:rPr>
                <w:spacing w:val="-9"/>
                <w:sz w:val="24"/>
                <w:szCs w:val="24"/>
              </w:rPr>
              <w:t>分离，</w:t>
            </w:r>
            <w:r>
              <w:rPr>
                <w:spacing w:val="-34"/>
                <w:sz w:val="24"/>
                <w:szCs w:val="24"/>
              </w:rPr>
              <w:t xml:space="preserve"> </w:t>
            </w:r>
            <w:r>
              <w:rPr>
                <w:spacing w:val="-9"/>
                <w:sz w:val="24"/>
                <w:szCs w:val="24"/>
              </w:rPr>
              <w:t>将钻井液中粒径大于</w:t>
            </w:r>
            <w:r>
              <w:rPr>
                <w:spacing w:val="-50"/>
                <w:sz w:val="24"/>
                <w:szCs w:val="24"/>
              </w:rPr>
              <w:t xml:space="preserve"> </w:t>
            </w:r>
            <w:r>
              <w:rPr>
                <w:rFonts w:ascii="Times New Roman" w:hAnsi="Times New Roman" w:eastAsia="Times New Roman" w:cs="Times New Roman"/>
                <w:spacing w:val="-9"/>
                <w:sz w:val="24"/>
                <w:szCs w:val="24"/>
              </w:rPr>
              <w:t>0.1mm</w:t>
            </w:r>
            <w:r>
              <w:rPr>
                <w:rFonts w:ascii="Times New Roman" w:hAnsi="Times New Roman" w:eastAsia="Times New Roman" w:cs="Times New Roman"/>
                <w:spacing w:val="30"/>
                <w:sz w:val="24"/>
                <w:szCs w:val="24"/>
              </w:rPr>
              <w:t xml:space="preserve"> </w:t>
            </w:r>
            <w:r>
              <w:rPr>
                <w:spacing w:val="-9"/>
                <w:sz w:val="24"/>
                <w:szCs w:val="24"/>
              </w:rPr>
              <w:t>的钻屑留于筛上， 振动筛筛下的钻井液直接进入</w:t>
            </w:r>
            <w:r>
              <w:rPr>
                <w:sz w:val="24"/>
                <w:szCs w:val="24"/>
              </w:rPr>
              <w:t xml:space="preserve"> </w:t>
            </w:r>
            <w:r>
              <w:rPr>
                <w:spacing w:val="-2"/>
                <w:sz w:val="24"/>
                <w:szCs w:val="24"/>
              </w:rPr>
              <w:t>循环罐暂存，在使用前先通过除砂器分离出粒径大于</w:t>
            </w:r>
            <w:r>
              <w:rPr>
                <w:spacing w:val="-24"/>
                <w:sz w:val="24"/>
                <w:szCs w:val="24"/>
              </w:rPr>
              <w:t xml:space="preserve"> </w:t>
            </w:r>
            <w:r>
              <w:rPr>
                <w:rFonts w:ascii="Times New Roman" w:hAnsi="Times New Roman" w:eastAsia="Times New Roman" w:cs="Times New Roman"/>
                <w:spacing w:val="-2"/>
                <w:sz w:val="24"/>
                <w:szCs w:val="24"/>
              </w:rPr>
              <w:t>0.07mm</w:t>
            </w:r>
            <w:r>
              <w:rPr>
                <w:rFonts w:ascii="Times New Roman" w:hAnsi="Times New Roman" w:eastAsia="Times New Roman" w:cs="Times New Roman"/>
                <w:spacing w:val="42"/>
                <w:w w:val="101"/>
                <w:sz w:val="24"/>
                <w:szCs w:val="24"/>
              </w:rPr>
              <w:t xml:space="preserve"> </w:t>
            </w:r>
            <w:r>
              <w:rPr>
                <w:spacing w:val="-2"/>
                <w:sz w:val="24"/>
                <w:szCs w:val="24"/>
              </w:rPr>
              <w:t>的钻屑、再通过除泥</w:t>
            </w:r>
          </w:p>
          <w:p>
            <w:pPr>
              <w:pStyle w:val="6"/>
              <w:spacing w:before="1" w:line="219" w:lineRule="auto"/>
              <w:ind w:left="106"/>
              <w:rPr>
                <w:sz w:val="24"/>
                <w:szCs w:val="24"/>
              </w:rPr>
            </w:pPr>
            <w:r>
              <w:rPr>
                <w:spacing w:val="-2"/>
                <w:sz w:val="24"/>
                <w:szCs w:val="24"/>
              </w:rPr>
              <w:t>器分离出粒径大于</w:t>
            </w:r>
            <w:r>
              <w:rPr>
                <w:spacing w:val="-49"/>
                <w:sz w:val="24"/>
                <w:szCs w:val="24"/>
              </w:rPr>
              <w:t xml:space="preserve"> </w:t>
            </w:r>
            <w:r>
              <w:rPr>
                <w:rFonts w:ascii="Times New Roman" w:hAnsi="Times New Roman" w:eastAsia="Times New Roman" w:cs="Times New Roman"/>
                <w:spacing w:val="-2"/>
                <w:sz w:val="24"/>
                <w:szCs w:val="24"/>
              </w:rPr>
              <w:t>0.01mm</w:t>
            </w:r>
            <w:r>
              <w:rPr>
                <w:rFonts w:ascii="Times New Roman" w:hAnsi="Times New Roman" w:eastAsia="Times New Roman" w:cs="Times New Roman"/>
                <w:spacing w:val="31"/>
                <w:sz w:val="24"/>
                <w:szCs w:val="24"/>
              </w:rPr>
              <w:t xml:space="preserve"> </w:t>
            </w:r>
            <w:r>
              <w:rPr>
                <w:spacing w:val="-2"/>
                <w:sz w:val="24"/>
                <w:szCs w:val="24"/>
              </w:rPr>
              <w:t>的钻屑后，用于钻井作业和后续的配浆作业。</w:t>
            </w:r>
          </w:p>
          <w:p>
            <w:pPr>
              <w:pStyle w:val="6"/>
              <w:spacing w:before="196" w:line="369" w:lineRule="auto"/>
              <w:ind w:left="105" w:right="102" w:firstLine="479"/>
              <w:rPr>
                <w:sz w:val="24"/>
                <w:szCs w:val="24"/>
              </w:rPr>
            </w:pPr>
            <w:r>
              <w:rPr>
                <w:spacing w:val="6"/>
                <w:sz w:val="24"/>
                <w:szCs w:val="24"/>
              </w:rPr>
              <w:t>振动筛的筛上物质和除砂除泥器分离出的固相物质则通过螺旋传输器进入清</w:t>
            </w:r>
            <w:r>
              <w:rPr>
                <w:spacing w:val="9"/>
                <w:sz w:val="24"/>
                <w:szCs w:val="24"/>
              </w:rPr>
              <w:t xml:space="preserve"> </w:t>
            </w:r>
            <w:r>
              <w:rPr>
                <w:spacing w:val="-5"/>
                <w:sz w:val="24"/>
                <w:szCs w:val="24"/>
              </w:rPr>
              <w:t>洁化生产区中进行处置，</w:t>
            </w:r>
            <w:r>
              <w:rPr>
                <w:spacing w:val="42"/>
                <w:sz w:val="24"/>
                <w:szCs w:val="24"/>
              </w:rPr>
              <w:t xml:space="preserve"> </w:t>
            </w:r>
            <w:r>
              <w:rPr>
                <w:spacing w:val="-5"/>
                <w:sz w:val="24"/>
                <w:szCs w:val="24"/>
              </w:rPr>
              <w:t>分离出的钻屑进入清洁</w:t>
            </w:r>
            <w:r>
              <w:rPr>
                <w:spacing w:val="-6"/>
                <w:sz w:val="24"/>
                <w:szCs w:val="24"/>
              </w:rPr>
              <w:t>化生产操作平台中的岩屑收集罐自</w:t>
            </w:r>
            <w:r>
              <w:rPr>
                <w:sz w:val="24"/>
                <w:szCs w:val="24"/>
              </w:rPr>
              <w:t xml:space="preserve"> </w:t>
            </w:r>
            <w:r>
              <w:rPr>
                <w:spacing w:val="-9"/>
                <w:sz w:val="24"/>
                <w:szCs w:val="24"/>
              </w:rPr>
              <w:t>然沉淀， 沉淀后上层清液用于钻井作业和后续钻井的配浆作业，</w:t>
            </w:r>
            <w:r>
              <w:rPr>
                <w:spacing w:val="59"/>
                <w:sz w:val="24"/>
                <w:szCs w:val="24"/>
              </w:rPr>
              <w:t xml:space="preserve"> </w:t>
            </w:r>
            <w:r>
              <w:rPr>
                <w:spacing w:val="-9"/>
                <w:sz w:val="24"/>
                <w:szCs w:val="24"/>
              </w:rPr>
              <w:t>下层固相物质进入</w:t>
            </w:r>
            <w:r>
              <w:rPr>
                <w:sz w:val="24"/>
                <w:szCs w:val="24"/>
              </w:rPr>
              <w:t xml:space="preserve"> </w:t>
            </w:r>
            <w:r>
              <w:rPr>
                <w:spacing w:val="-1"/>
                <w:sz w:val="24"/>
                <w:szCs w:val="24"/>
              </w:rPr>
              <w:t>搅拌罐，通过减量装置（压滤机等）处理，液相回用于配置泥浆；</w:t>
            </w:r>
            <w:r>
              <w:rPr>
                <w:spacing w:val="-2"/>
                <w:sz w:val="24"/>
                <w:szCs w:val="24"/>
              </w:rPr>
              <w:t>固相采用密封、</w:t>
            </w:r>
          </w:p>
          <w:p>
            <w:pPr>
              <w:pStyle w:val="6"/>
              <w:spacing w:before="1" w:line="218" w:lineRule="auto"/>
              <w:ind w:left="121"/>
              <w:rPr>
                <w:sz w:val="24"/>
                <w:szCs w:val="24"/>
              </w:rPr>
            </w:pPr>
            <w:r>
              <w:rPr>
                <w:spacing w:val="-11"/>
                <w:sz w:val="24"/>
                <w:szCs w:val="24"/>
              </w:rPr>
              <w:t>防渗复合袋分装，</w:t>
            </w:r>
            <w:r>
              <w:rPr>
                <w:spacing w:val="50"/>
                <w:sz w:val="24"/>
                <w:szCs w:val="24"/>
              </w:rPr>
              <w:t xml:space="preserve"> </w:t>
            </w:r>
            <w:r>
              <w:rPr>
                <w:spacing w:val="-11"/>
                <w:sz w:val="24"/>
                <w:szCs w:val="24"/>
              </w:rPr>
              <w:t>存放于岩屑堆放场，</w:t>
            </w:r>
            <w:r>
              <w:rPr>
                <w:spacing w:val="57"/>
                <w:sz w:val="24"/>
                <w:szCs w:val="24"/>
              </w:rPr>
              <w:t xml:space="preserve"> </w:t>
            </w:r>
            <w:r>
              <w:rPr>
                <w:spacing w:val="-11"/>
                <w:sz w:val="24"/>
                <w:szCs w:val="24"/>
              </w:rPr>
              <w:t>交给依法取得生态环境部门关于利用和处置</w:t>
            </w:r>
          </w:p>
        </w:tc>
      </w:tr>
    </w:tbl>
    <w:p>
      <w:pPr>
        <w:pStyle w:val="2"/>
        <w:rPr>
          <w:sz w:val="21"/>
        </w:rPr>
      </w:pPr>
    </w:p>
    <w:p>
      <w:pPr>
        <w:rPr>
          <w:sz w:val="21"/>
          <w:szCs w:val="21"/>
        </w:rPr>
        <w:sectPr>
          <w:footerReference r:id="rId56"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98"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1" w:line="220" w:lineRule="auto"/>
              <w:ind w:left="106"/>
              <w:rPr>
                <w:sz w:val="24"/>
                <w:szCs w:val="24"/>
              </w:rPr>
            </w:pPr>
            <w:r>
              <w:pict>
                <v:rect id="_x0000_s1186" o:spid="_x0000_s1186" o:spt="1" style="position:absolute;left:0pt;margin-left:25.25pt;margin-top:94.6pt;height:21pt;width:0.2pt;mso-position-horizontal-relative:page;mso-position-vertical-relative:page;z-index:251784192;mso-width-relative:page;mso-height-relative:page;" fillcolor="#000000" filled="t" stroked="f" coordsize="21600,21600">
                  <v:path/>
                  <v:fill on="t" focussize="0,0"/>
                  <v:stroke on="f"/>
                  <v:imagedata o:title=""/>
                  <o:lock v:ext="edit"/>
                </v:rect>
              </w:pict>
            </w:r>
            <w:r>
              <w:pict>
                <v:rect id="_x0000_s1187" o:spid="_x0000_s1187" o:spt="1" style="position:absolute;left:0pt;margin-left:83.6pt;margin-top:89.3pt;height:3.85pt;width:3.65pt;mso-position-horizontal-relative:page;mso-position-vertical-relative:page;z-index:251767808;mso-width-relative:page;mso-height-relative:page;" fillcolor="#000000" filled="t" stroked="f" coordsize="21600,21600">
                  <v:path/>
                  <v:fill on="t" focussize="0,0"/>
                  <v:stroke on="f"/>
                  <v:imagedata o:title=""/>
                  <o:lock v:ext="edit"/>
                </v:rect>
              </w:pict>
            </w:r>
            <w:r>
              <w:pict>
                <v:rect id="_x0000_s1188" o:spid="_x0000_s1188" o:spt="1" style="position:absolute;left:0pt;margin-left:85.35pt;margin-top:92.6pt;height:26.4pt;width:0.2pt;mso-position-horizontal-relative:page;mso-position-vertical-relative:page;z-index:251766784;mso-width-relative:page;mso-height-relative:page;" fillcolor="#000000" filled="t" stroked="f" coordsize="21600,21600">
                  <v:path/>
                  <v:fill on="t" focussize="0,0"/>
                  <v:stroke on="f"/>
                  <v:imagedata o:title=""/>
                  <o:lock v:ext="edit"/>
                </v:rect>
              </w:pict>
            </w:r>
            <w:r>
              <w:pict>
                <v:rect id="_x0000_s1189" o:spid="_x0000_s1189" o:spt="1" style="position:absolute;left:0pt;margin-left:341.4pt;margin-top:115.05pt;height:3.85pt;width:3.65pt;mso-position-horizontal-relative:page;mso-position-vertical-relative:page;z-index:251787264;mso-width-relative:page;mso-height-relative:page;" fillcolor="#000000" filled="t" stroked="f" coordsize="21600,21600">
                  <v:path/>
                  <v:fill on="t" focussize="0,0"/>
                  <v:stroke on="f"/>
                  <v:imagedata o:title=""/>
                  <o:lock v:ext="edit"/>
                </v:rect>
              </w:pict>
            </w:r>
            <w:r>
              <w:pict>
                <v:rect id="_x0000_s1190" o:spid="_x0000_s1190" o:spt="1" style="position:absolute;left:0pt;margin-left:23.5pt;margin-top:115.05pt;height:3.85pt;width:3.65pt;mso-position-horizontal-relative:page;mso-position-vertical-relative:page;z-index:251785216;mso-width-relative:page;mso-height-relative:page;" fillcolor="#000000" filled="t" stroked="f" coordsize="21600,21600">
                  <v:path/>
                  <v:fill on="t" focussize="0,0"/>
                  <v:stroke on="f"/>
                  <v:imagedata o:title=""/>
                  <o:lock v:ext="edit"/>
                </v:rect>
              </w:pict>
            </w:r>
            <w:r>
              <w:pict>
                <v:shape id="_x0000_s1191" o:spid="_x0000_s1191" style="position:absolute;left:0pt;margin-left:25.25pt;margin-top:133.15pt;height:38.6pt;width:0.2pt;mso-position-horizontal-relative:page;mso-position-vertical-relative:page;z-index:251781120;mso-width-relative:page;mso-height-relative:page;" filled="f" stroked="t" coordsize="4,771" path="m1,1l1,769e">
                  <v:fill on="f" focussize="0,0"/>
                  <v:stroke weight="0.16pt" color="#000000" miterlimit="10" endcap="round"/>
                  <v:imagedata o:title=""/>
                  <o:lock v:ext="edit"/>
                </v:shape>
              </w:pict>
            </w:r>
            <w:r>
              <w:pict>
                <v:shape id="_x0000_s1192" o:spid="_x0000_s1192" o:spt="202" type="#_x0000_t202" style="position:absolute;left:0pt;margin-left:11.3pt;margin-top:79.4pt;height:18.45pt;width:27.55pt;mso-position-horizontal-relative:page;mso-position-vertical-relative:page;z-index:251783168;mso-width-relative:page;mso-height-relative:page;" filled="f" stroked="f" coordsize="21600,21600">
                  <v:path/>
                  <v:fill on="f" focussize="0,0"/>
                  <v:stroke on="f"/>
                  <v:imagedata o:title=""/>
                  <o:lock v:ext="edit" aspectratio="f"/>
                  <v:textbox inset="0mm,0mm,0mm,0mm">
                    <w:txbxContent>
                      <w:p>
                        <w:pPr>
                          <w:pStyle w:val="6"/>
                          <w:spacing w:before="20" w:line="228" w:lineRule="auto"/>
                          <w:ind w:left="86"/>
                          <w:rPr>
                            <w:sz w:val="13"/>
                            <w:szCs w:val="13"/>
                          </w:rPr>
                        </w:pPr>
                        <w:r>
                          <w:rPr>
                            <w:spacing w:val="-2"/>
                            <w:sz w:val="13"/>
                            <w:szCs w:val="13"/>
                          </w:rPr>
                          <w:t>水基泥</w:t>
                        </w:r>
                      </w:p>
                      <w:p>
                        <w:pPr>
                          <w:pStyle w:val="6"/>
                          <w:spacing w:before="7" w:line="228" w:lineRule="auto"/>
                          <w:ind w:left="20"/>
                          <w:rPr>
                            <w:sz w:val="13"/>
                            <w:szCs w:val="13"/>
                          </w:rPr>
                        </w:pPr>
                        <w:r>
                          <w:rPr>
                            <w:spacing w:val="-1"/>
                            <w:sz w:val="13"/>
                            <w:szCs w:val="13"/>
                          </w:rPr>
                          <w:t>浆、岩屑</w:t>
                        </w:r>
                      </w:p>
                    </w:txbxContent>
                  </v:textbox>
                </v:shape>
              </w:pict>
            </w:r>
            <w:r>
              <w:pict>
                <v:shape id="_x0000_s1193" o:spid="_x0000_s1193" o:spt="202" type="#_x0000_t202" style="position:absolute;left:0pt;margin-left:165.85pt;margin-top:79.4pt;height:17.2pt;width:21.4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pPr>
                          <w:pStyle w:val="6"/>
                          <w:spacing w:before="19" w:line="216" w:lineRule="auto"/>
                          <w:ind w:left="20" w:right="20" w:hanging="1"/>
                          <w:rPr>
                            <w:sz w:val="13"/>
                            <w:szCs w:val="13"/>
                          </w:rPr>
                        </w:pPr>
                        <w:r>
                          <w:rPr>
                            <w:spacing w:val="-1"/>
                            <w:sz w:val="13"/>
                            <w:szCs w:val="13"/>
                          </w:rPr>
                          <w:t>废油综</w:t>
                        </w:r>
                        <w:r>
                          <w:rPr>
                            <w:sz w:val="13"/>
                            <w:szCs w:val="13"/>
                          </w:rPr>
                          <w:t xml:space="preserve"> </w:t>
                        </w:r>
                        <w:r>
                          <w:rPr>
                            <w:spacing w:val="-2"/>
                            <w:sz w:val="13"/>
                            <w:szCs w:val="13"/>
                          </w:rPr>
                          <w:t>合利用</w:t>
                        </w:r>
                      </w:p>
                    </w:txbxContent>
                  </v:textbox>
                </v:shape>
              </w:pict>
            </w:r>
            <w:r>
              <w:pict>
                <v:shape id="_x0000_s1194" o:spid="_x0000_s1194" style="position:absolute;left:0pt;margin-left:343.15pt;margin-top:97.2pt;height:18.4pt;width:0.2pt;mso-position-horizontal-relative:page;mso-position-vertical-relative:page;z-index:251764736;mso-width-relative:page;mso-height-relative:page;" filled="f" stroked="t" coordsize="4,367" path="m1,1l1,366e">
                  <v:fill on="f" focussize="0,0"/>
                  <v:stroke weight="0.16pt" color="#000000" miterlimit="10" endcap="round"/>
                  <v:imagedata o:title=""/>
                  <o:lock v:ext="edit"/>
                </v:shape>
              </w:pict>
            </w:r>
            <w:r>
              <w:pict>
                <v:shape id="_x0000_s1195" o:spid="_x0000_s1195" style="position:absolute;left:0pt;margin-left:176.4pt;margin-top:97.95pt;height:21pt;width:0.2pt;mso-position-horizontal-relative:page;mso-position-vertical-relative:page;z-index:251791360;mso-width-relative:page;mso-height-relative:page;" filled="f" stroked="t" coordsize="4,420" path="m1,418l1,1e">
                  <v:fill on="f" focussize="0,0"/>
                  <v:stroke weight="0.16pt" color="#000000" miterlimit="10" endcap="round"/>
                  <v:imagedata o:title=""/>
                  <o:lock v:ext="edit"/>
                </v:shape>
              </w:pict>
            </w:r>
            <w:r>
              <w:pict>
                <v:shape id="_x0000_s1196" o:spid="_x0000_s1196" style="position:absolute;left:0pt;margin-left:265.25pt;margin-top:100.9pt;height:3.85pt;width:3.65pt;mso-position-horizontal-relative:page;mso-position-vertical-relative:page;z-index:251794432;mso-width-relative:page;mso-height-relative:page;" fillcolor="#000000" filled="t" stroked="f" coordsize="73,76" path="m0,76l36,0,72,76,0,76xe">
                  <v:fill on="t" focussize="0,0"/>
                  <v:stroke on="f"/>
                  <v:imagedata o:title=""/>
                  <o:lock v:ext="edit"/>
                </v:shape>
              </w:pict>
            </w:r>
            <w:r>
              <w:pict>
                <v:shape id="_x0000_s1197" o:spid="_x0000_s1197" style="position:absolute;left:0pt;margin-left:267pt;margin-top:104.2pt;height:14.8pt;width:0.2pt;mso-position-horizontal-relative:page;mso-position-vertical-relative:page;z-index:251793408;mso-width-relative:page;mso-height-relative:page;" filled="f" stroked="t" coordsize="4,296" path="m1,293l1,1e">
                  <v:fill on="f" focussize="0,0"/>
                  <v:stroke weight="0.16pt" color="#000000" miterlimit="10" endcap="round"/>
                  <v:imagedata o:title=""/>
                  <o:lock v:ext="edit"/>
                </v:shape>
              </w:pict>
            </w:r>
            <w:r>
              <w:pict>
                <v:shape id="_x0000_s1198" o:spid="_x0000_s1198" o:spt="202" type="#_x0000_t202" style="position:absolute;left:0pt;margin-left:10.2pt;margin-top:117.6pt;height:16.9pt;width:30.25pt;mso-position-horizontal-relative:page;mso-position-vertical-relative:page;z-index:251780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559"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59"/>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559" w:type="dxa"/>
                              <w:vAlign w:val="top"/>
                            </w:tcPr>
                            <w:p>
                              <w:pPr>
                                <w:pStyle w:val="6"/>
                                <w:spacing w:before="63" w:line="228" w:lineRule="auto"/>
                                <w:ind w:left="81"/>
                                <w:rPr>
                                  <w:sz w:val="13"/>
                                  <w:szCs w:val="13"/>
                                </w:rPr>
                              </w:pPr>
                              <w:r>
                                <w:rPr>
                                  <w:spacing w:val="-1"/>
                                  <w:sz w:val="13"/>
                                  <w:szCs w:val="13"/>
                                </w:rPr>
                                <w:t>振动筛</w:t>
                              </w:r>
                            </w:p>
                          </w:tc>
                        </w:tr>
                      </w:tbl>
                      <w:p>
                        <w:pPr>
                          <w:rPr>
                            <w:rFonts w:ascii="Arial"/>
                            <w:sz w:val="21"/>
                          </w:rPr>
                        </w:pPr>
                      </w:p>
                    </w:txbxContent>
                  </v:textbox>
                </v:shape>
              </w:pict>
            </w:r>
            <w:r>
              <w:pict>
                <v:shape id="_x0000_s1199" o:spid="_x0000_s1199" o:spt="202" type="#_x0000_t202" style="position:absolute;left:0pt;margin-left:149.8pt;margin-top:117.6pt;height:16.9pt;width:53.35pt;mso-position-horizontal-relative:page;mso-position-vertical-relative:page;z-index:2517903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21"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21"/>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1021" w:type="dxa"/>
                              <w:vAlign w:val="top"/>
                            </w:tcPr>
                            <w:p>
                              <w:pPr>
                                <w:pStyle w:val="6"/>
                                <w:spacing w:before="63" w:line="228" w:lineRule="auto"/>
                                <w:ind w:left="54"/>
                                <w:rPr>
                                  <w:sz w:val="13"/>
                                  <w:szCs w:val="13"/>
                                </w:rPr>
                              </w:pPr>
                              <w:r>
                                <w:rPr>
                                  <w:spacing w:val="-2"/>
                                  <w:sz w:val="13"/>
                                  <w:szCs w:val="13"/>
                                </w:rPr>
                                <w:t>废水罐（隔油）</w:t>
                              </w:r>
                            </w:p>
                          </w:tc>
                        </w:tr>
                      </w:tbl>
                      <w:p>
                        <w:pPr>
                          <w:rPr>
                            <w:rFonts w:ascii="Arial"/>
                            <w:sz w:val="21"/>
                          </w:rPr>
                        </w:pPr>
                      </w:p>
                    </w:txbxContent>
                  </v:textbox>
                </v:shape>
              </w:pict>
            </w:r>
            <w:r>
              <w:pict>
                <v:shape id="_x0000_s1200" o:spid="_x0000_s1200" o:spt="202" type="#_x0000_t202" style="position:absolute;left:0pt;margin-left:394.3pt;margin-top:117.6pt;height:16.9pt;width:34.4pt;mso-position-horizontal-relative:page;mso-position-vertical-relative:page;z-index:2517882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42"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42"/>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642" w:type="dxa"/>
                              <w:vAlign w:val="top"/>
                            </w:tcPr>
                            <w:p>
                              <w:pPr>
                                <w:pStyle w:val="6"/>
                                <w:spacing w:before="63" w:line="228" w:lineRule="auto"/>
                                <w:ind w:left="132"/>
                                <w:rPr>
                                  <w:sz w:val="13"/>
                                  <w:szCs w:val="13"/>
                                </w:rPr>
                              </w:pPr>
                              <w:r>
                                <w:rPr>
                                  <w:spacing w:val="-1"/>
                                  <w:sz w:val="13"/>
                                  <w:szCs w:val="13"/>
                                </w:rPr>
                                <w:t>废水罐</w:t>
                              </w:r>
                            </w:p>
                          </w:tc>
                        </w:tr>
                      </w:tbl>
                      <w:p>
                        <w:pPr>
                          <w:rPr>
                            <w:rFonts w:ascii="Arial"/>
                            <w:sz w:val="21"/>
                          </w:rPr>
                        </w:pPr>
                      </w:p>
                    </w:txbxContent>
                  </v:textbox>
                </v:shape>
              </w:pict>
            </w:r>
            <w:r>
              <w:pict>
                <v:shape id="_x0000_s1201" o:spid="_x0000_s1201" o:spt="202" type="#_x0000_t202" style="position:absolute;left:0pt;margin-left:240.4pt;margin-top:117.6pt;height:16.9pt;width:53.35pt;mso-position-horizontal-relative:page;mso-position-vertical-relative:page;z-index:2517923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21"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21"/>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1021" w:type="dxa"/>
                              <w:vAlign w:val="top"/>
                            </w:tcPr>
                            <w:p>
                              <w:pPr>
                                <w:pStyle w:val="6"/>
                                <w:spacing w:before="63" w:line="228" w:lineRule="auto"/>
                                <w:ind w:left="57"/>
                                <w:rPr>
                                  <w:sz w:val="13"/>
                                  <w:szCs w:val="13"/>
                                </w:rPr>
                              </w:pPr>
                              <w:r>
                                <w:rPr>
                                  <w:spacing w:val="-2"/>
                                  <w:sz w:val="13"/>
                                  <w:szCs w:val="13"/>
                                </w:rPr>
                                <w:t>废水罐（沉淀）</w:t>
                              </w:r>
                            </w:p>
                          </w:tc>
                        </w:tr>
                      </w:tbl>
                      <w:p>
                        <w:pPr>
                          <w:rPr>
                            <w:rFonts w:ascii="Arial"/>
                            <w:sz w:val="21"/>
                          </w:rPr>
                        </w:pPr>
                      </w:p>
                    </w:txbxContent>
                  </v:textbox>
                </v:shape>
              </w:pict>
            </w:r>
            <w:r>
              <w:pict>
                <v:shape id="_x0000_s1202" o:spid="_x0000_s1202" o:spt="202" type="#_x0000_t202" style="position:absolute;left:0pt;margin-left:316.55pt;margin-top:117.6pt;height:16.9pt;width:53.35pt;mso-position-horizontal-relative:page;mso-position-vertical-relative:page;z-index:2517862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21"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21"/>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1021" w:type="dxa"/>
                              <w:vAlign w:val="top"/>
                            </w:tcPr>
                            <w:p>
                              <w:pPr>
                                <w:pStyle w:val="6"/>
                                <w:spacing w:before="63" w:line="228" w:lineRule="auto"/>
                                <w:ind w:left="58"/>
                                <w:rPr>
                                  <w:sz w:val="13"/>
                                  <w:szCs w:val="13"/>
                                </w:rPr>
                              </w:pPr>
                              <w:r>
                                <w:rPr>
                                  <w:spacing w:val="-2"/>
                                  <w:sz w:val="13"/>
                                  <w:szCs w:val="13"/>
                                </w:rPr>
                                <w:t>废水罐（沉淀）</w:t>
                              </w:r>
                            </w:p>
                          </w:tc>
                        </w:tr>
                      </w:tbl>
                      <w:p>
                        <w:pPr>
                          <w:rPr>
                            <w:rFonts w:ascii="Arial"/>
                            <w:sz w:val="21"/>
                          </w:rPr>
                        </w:pPr>
                      </w:p>
                    </w:txbxContent>
                  </v:textbox>
                </v:shape>
              </w:pict>
            </w:r>
            <w:r>
              <w:pict>
                <v:shape id="_x0000_s1203" o:spid="_x0000_s1203" o:spt="202" type="#_x0000_t202" style="position:absolute;left:0pt;margin-left:107.05pt;margin-top:117.7pt;height:12.3pt;width:135.6pt;mso-position-horizontal-relative:page;mso-position-vertical-relative:page;z-index:251810816;mso-width-relative:page;mso-height-relative:page;" filled="f" stroked="f" coordsize="21600,21600">
                  <v:path/>
                  <v:fill on="f" focussize="0,0"/>
                  <v:stroke on="f"/>
                  <v:imagedata o:title=""/>
                  <o:lock v:ext="edit" aspectratio="f"/>
                  <v:textbox inset="0mm,0mm,0mm,0mm">
                    <w:txbxContent>
                      <w:p>
                        <w:pPr>
                          <w:pStyle w:val="6"/>
                          <w:spacing w:before="19" w:line="232" w:lineRule="auto"/>
                          <w:ind w:left="20"/>
                          <w:rPr>
                            <w:sz w:val="13"/>
                            <w:szCs w:val="13"/>
                          </w:rPr>
                        </w:pPr>
                        <w:r>
                          <w:rPr>
                            <w:spacing w:val="-1"/>
                            <w:sz w:val="13"/>
                            <w:szCs w:val="13"/>
                          </w:rPr>
                          <w:t>剩余水基泥浆</w:t>
                        </w:r>
                        <w:r>
                          <w:rPr>
                            <w:spacing w:val="4"/>
                            <w:sz w:val="13"/>
                            <w:szCs w:val="13"/>
                          </w:rPr>
                          <w:t xml:space="preserve">                </w:t>
                        </w:r>
                        <w:r>
                          <w:rPr>
                            <w:spacing w:val="-1"/>
                            <w:sz w:val="13"/>
                            <w:szCs w:val="13"/>
                            <w:u w:val="single" w:color="auto"/>
                          </w:rPr>
                          <w:t xml:space="preserve"> 废水联通管</w:t>
                        </w:r>
                        <w:r>
                          <w:rPr>
                            <w:position w:val="-6"/>
                            <w:sz w:val="13"/>
                            <w:szCs w:val="13"/>
                          </w:rPr>
                          <w:drawing>
                            <wp:inline distT="0" distB="0" distL="0" distR="0">
                              <wp:extent cx="52070" cy="482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03"/>
                                      <a:stretch>
                                        <a:fillRect/>
                                      </a:stretch>
                                    </pic:blipFill>
                                    <pic:spPr>
                                      <a:xfrm>
                                        <a:off x="0" y="0"/>
                                        <a:ext cx="52375" cy="48768"/>
                                      </a:xfrm>
                                      <a:prstGeom prst="rect">
                                        <a:avLst/>
                                      </a:prstGeom>
                                    </pic:spPr>
                                  </pic:pic>
                                </a:graphicData>
                              </a:graphic>
                            </wp:inline>
                          </w:drawing>
                        </w:r>
                      </w:p>
                    </w:txbxContent>
                  </v:textbox>
                </v:shape>
              </w:pict>
            </w:r>
            <w:r>
              <w:pict>
                <v:shape id="_x0000_s1204" o:spid="_x0000_s1204" o:spt="202" type="#_x0000_t202" style="position:absolute;left:0pt;margin-left:294.75pt;margin-top:118.1pt;height:10.05pt;width:98.8pt;mso-position-horizontal-relative:page;mso-position-vertical-relative:page;z-index:251799552;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3"/>
                            <w:szCs w:val="13"/>
                          </w:rPr>
                        </w:pPr>
                        <w:r>
                          <w:rPr>
                            <w:spacing w:val="-1"/>
                            <w:sz w:val="13"/>
                            <w:szCs w:val="13"/>
                          </w:rPr>
                          <w:t>污水泵                  上清液</w:t>
                        </w:r>
                      </w:p>
                    </w:txbxContent>
                  </v:textbox>
                </v:shape>
              </w:pict>
            </w:r>
            <w:r>
              <w:pict>
                <v:group id="_x0000_s1205" o:spid="_x0000_s1205" o:spt="203" style="position:absolute;left:0pt;margin-left:292.4pt;margin-top:124.15pt;height:3.85pt;width:25.4pt;mso-position-horizontal-relative:page;mso-position-vertical-relative:page;z-index:251798528;mso-width-relative:page;mso-height-relative:page;" coordsize="507,76">
                  <o:lock v:ext="edit"/>
                  <v:shape id="_x0000_s1206" o:spid="_x0000_s1206" style="position:absolute;left:0;top:36;height:4;width:447;" filled="f" stroked="t" coordsize="447,4" path="m1,1l444,1e">
                    <v:fill on="f" focussize="0,0"/>
                    <v:stroke weight="0.16pt" color="#000000" miterlimit="10" endcap="round"/>
                    <v:imagedata o:title=""/>
                    <o:lock v:ext="edit"/>
                  </v:shape>
                  <v:shape id="_x0000_s1207" o:spid="_x0000_s1207" style="position:absolute;left:435;top:0;height:76;width:73;" fillcolor="#000000" filled="t" stroked="f" coordsize="73,76" path="m0,0l72,38,0,76,0,0xe">
                    <v:fill on="t" focussize="0,0"/>
                    <v:stroke on="f"/>
                    <v:imagedata o:title=""/>
                    <o:lock v:ext="edit"/>
                  </v:shape>
                </v:group>
              </w:pict>
            </w:r>
            <w:r>
              <w:pict>
                <v:group id="_x0000_s1208" o:spid="_x0000_s1208" o:spt="203" style="position:absolute;left:0pt;margin-left:368.55pt;margin-top:124.15pt;height:3.85pt;width:27.05pt;mso-position-horizontal-relative:page;mso-position-vertical-relative:page;z-index:251802624;mso-width-relative:page;mso-height-relative:page;" coordsize="540,76">
                  <o:lock v:ext="edit"/>
                  <v:shape id="_x0000_s1209" o:spid="_x0000_s1209" style="position:absolute;left:0;top:36;height:4;width:479;" filled="f" stroked="t" coordsize="479,4" path="m1,1l477,1e">
                    <v:fill on="f" focussize="0,0"/>
                    <v:stroke weight="0.16pt" color="#000000" miterlimit="10" endcap="round"/>
                    <v:imagedata o:title=""/>
                    <o:lock v:ext="edit"/>
                  </v:shape>
                  <v:shape id="_x0000_s1210" o:spid="_x0000_s1210" style="position:absolute;left:468;top:0;height:76;width:73;" fillcolor="#000000" filled="t" stroked="f" coordsize="73,76" path="m0,0l72,38,0,76,0,0xe">
                    <v:fill on="t" focussize="0,0"/>
                    <v:stroke on="f"/>
                    <v:imagedata o:title=""/>
                    <o:lock v:ext="edit"/>
                  </v:shape>
                </v:group>
              </w:pict>
            </w:r>
            <w:r>
              <w:pict>
                <v:group id="_x0000_s1211" o:spid="_x0000_s1211" o:spt="203" style="position:absolute;left:0pt;margin-left:103.8pt;margin-top:127.7pt;height:3.85pt;width:47.25pt;mso-position-horizontal-relative:page;mso-position-vertical-relative:page;z-index:251811840;mso-width-relative:page;mso-height-relative:page;" coordsize="945,76">
                  <o:lock v:ext="edit"/>
                  <v:shape id="_x0000_s1212" o:spid="_x0000_s1212" style="position:absolute;left:0;top:36;height:4;width:884;" filled="f" stroked="t" coordsize="884,4" path="m1,1l881,1e">
                    <v:fill on="f" focussize="0,0"/>
                    <v:stroke weight="0.16pt" color="#000000" miterlimit="10" endcap="round"/>
                    <v:imagedata o:title=""/>
                    <o:lock v:ext="edit"/>
                  </v:shape>
                  <v:shape id="_x0000_s1213" o:spid="_x0000_s1213" style="position:absolute;left:872;top:0;height:76;width:73;" fillcolor="#000000" filled="t" stroked="f" coordsize="73,76" path="m0,0l72,38,0,76,0,0xe">
                    <v:fill on="t" focussize="0,0"/>
                    <v:stroke on="f"/>
                    <v:imagedata o:title=""/>
                    <o:lock v:ext="edit"/>
                  </v:shape>
                </v:group>
              </w:pict>
            </w:r>
            <w:r>
              <w:pict>
                <v:group id="_x0000_s1214" o:spid="_x0000_s1214" o:spt="203" style="position:absolute;left:0pt;margin-left:39.1pt;margin-top:124.15pt;height:3.85pt;width:27.85pt;mso-position-horizontal-relative:page;mso-position-vertical-relative:page;z-index:251812864;mso-width-relative:page;mso-height-relative:page;" coordsize="557,76">
                  <o:lock v:ext="edit"/>
                  <v:shape id="_x0000_s1215" o:spid="_x0000_s1215" style="position:absolute;left:0;top:36;height:4;width:495;" filled="f" stroked="t" coordsize="495,4" path="m1,1l493,1e">
                    <v:fill on="f" focussize="0,0"/>
                    <v:stroke weight="0.16pt" color="#000000" miterlimit="10" endcap="round"/>
                    <v:imagedata o:title=""/>
                    <o:lock v:ext="edit"/>
                  </v:shape>
                  <v:shape id="_x0000_s1216" o:spid="_x0000_s1216" style="position:absolute;left:484;top:0;height:76;width:73;" fillcolor="#000000" filled="t" stroked="f" coordsize="73,76" path="m0,0l72,38,0,76,0,0xe">
                    <v:fill on="t" focussize="0,0"/>
                    <v:stroke on="f"/>
                    <v:imagedata o:title=""/>
                    <o:lock v:ext="edit"/>
                  </v:shape>
                </v:group>
              </w:pict>
            </w:r>
            <w:r>
              <w:pict>
                <v:shape id="_x0000_s1217" o:spid="_x0000_s1217" style="position:absolute;left:0pt;margin-left:418.1pt;margin-top:133.15pt;height:15.25pt;width:0.2pt;mso-position-horizontal-relative:page;mso-position-vertical-relative:page;z-index:251800576;mso-width-relative:page;mso-height-relative:page;" filled="f" stroked="t" coordsize="4,305" path="m1,1l1,302e">
                  <v:fill on="f" focussize="0,0"/>
                  <v:stroke weight="0.16pt" color="#000000" miterlimit="10" endcap="round"/>
                  <v:imagedata o:title=""/>
                  <o:lock v:ext="edit"/>
                </v:shape>
              </w:pict>
            </w:r>
            <w:r>
              <w:pict>
                <v:shape id="_x0000_s1218" o:spid="_x0000_s1218" style="position:absolute;left:0pt;margin-left:256.8pt;margin-top:147.9pt;height:11.6pt;width:0.2pt;mso-position-horizontal-relative:page;mso-position-vertical-relative:page;z-index:251765760;mso-width-relative:page;mso-height-relative:page;" filled="f" stroked="t" coordsize="4,232" path="m1,1l1,230e">
                  <v:fill on="f" focussize="0,0"/>
                  <v:stroke weight="0.16pt" color="#000000" miterlimit="10" endcap="round"/>
                  <v:imagedata o:title=""/>
                  <o:lock v:ext="edit"/>
                </v:shape>
              </w:pict>
            </w:r>
            <w:r>
              <w:pict>
                <v:group id="_x0000_s1219" o:spid="_x0000_s1219" o:spt="203" style="position:absolute;left:0pt;margin-left:265.25pt;margin-top:133.15pt;height:29.7pt;width:3.65pt;mso-position-horizontal-relative:page;mso-position-vertical-relative:page;z-index:251807744;mso-width-relative:page;mso-height-relative:page;" coordsize="73,594">
                  <o:lock v:ext="edit"/>
                  <v:shape id="_x0000_s1220" o:spid="_x0000_s1220" style="position:absolute;left:34;top:0;height:527;width:4;" filled="f" stroked="t" coordsize="4,527" path="m1,1l1,525e">
                    <v:fill on="f" focussize="0,0"/>
                    <v:stroke weight="0.16pt" color="#000000" miterlimit="10" endcap="round"/>
                    <v:imagedata o:title=""/>
                    <o:lock v:ext="edit"/>
                  </v:shape>
                  <v:shape id="_x0000_s1221" o:spid="_x0000_s1221" style="position:absolute;left:0;top:516;height:76;width:73;" fillcolor="#000000" filled="t" stroked="f" coordsize="73,76" path="m72,0l36,76,0,0,72,0xe">
                    <v:fill on="t" focussize="0,0"/>
                    <v:stroke on="f"/>
                    <v:imagedata o:title=""/>
                    <o:lock v:ext="edit"/>
                  </v:shape>
                </v:group>
              </w:pict>
            </w:r>
            <w:r>
              <w:pict>
                <v:group id="_x0000_s1222" o:spid="_x0000_s1222" o:spt="203" style="position:absolute;left:0pt;margin-left:83.6pt;margin-top:133.15pt;height:29.7pt;width:3.65pt;mso-position-horizontal-relative:page;mso-position-vertical-relative:page;z-index:251795456;mso-width-relative:page;mso-height-relative:page;" coordsize="73,594">
                  <o:lock v:ext="edit"/>
                  <v:shape id="_x0000_s1223" o:spid="_x0000_s1223" style="position:absolute;left:34;top:0;height:527;width:4;" filled="f" stroked="t" coordsize="4,527" path="m1,1l1,525e">
                    <v:fill on="f" focussize="0,0"/>
                    <v:stroke weight="0.16pt" color="#000000" miterlimit="10" endcap="round"/>
                    <v:imagedata o:title=""/>
                    <o:lock v:ext="edit"/>
                  </v:shape>
                  <v:shape id="_x0000_s1224" o:spid="_x0000_s1224" style="position:absolute;left:0;top:516;height:76;width:73;" fillcolor="#000000" filled="t" stroked="f" coordsize="73,76" path="m72,0l36,76,0,0,72,0xe">
                    <v:fill on="t" focussize="0,0"/>
                    <v:stroke on="f"/>
                    <v:imagedata o:title=""/>
                    <o:lock v:ext="edit"/>
                  </v:shape>
                </v:group>
              </w:pict>
            </w:r>
            <w:r>
              <w:pict>
                <v:group id="_x0000_s1225" o:spid="_x0000_s1225" o:spt="203" style="position:absolute;left:0pt;margin-left:396.05pt;margin-top:133.2pt;height:69.9pt;width:3.65pt;mso-position-horizontal-relative:page;mso-position-vertical-relative:page;z-index:-251554816;mso-width-relative:page;mso-height-relative:page;" coordsize="73,1398">
                  <o:lock v:ext="edit"/>
                  <v:shape id="_x0000_s1226" o:spid="_x0000_s1226" style="position:absolute;left:34;top:65;height:1333;width:4;" filled="f" stroked="t" coordsize="4,1333" path="m1,1330l1,1e">
                    <v:fill on="f" focussize="0,0"/>
                    <v:stroke weight="0.16pt" color="#000000" miterlimit="10" endcap="round"/>
                    <v:imagedata o:title=""/>
                    <o:lock v:ext="edit"/>
                  </v:shape>
                  <v:shape id="_x0000_s1227" o:spid="_x0000_s1227" style="position:absolute;left:0;top:0;height:76;width:73;" fillcolor="#000000" filled="t" stroked="f" coordsize="73,76" path="m0,76l36,0,72,76,0,76xe">
                    <v:fill on="t" focussize="0,0"/>
                    <v:stroke on="f"/>
                    <v:imagedata o:title=""/>
                    <o:lock v:ext="edit"/>
                  </v:shape>
                </v:group>
              </w:pict>
            </w:r>
            <w:r>
              <w:pict>
                <v:group id="_x0000_s1228" o:spid="_x0000_s1228" o:spt="203" style="position:absolute;left:0pt;margin-left:284.15pt;margin-top:133.15pt;height:39.45pt;width:59.15pt;mso-position-horizontal-relative:page;mso-position-vertical-relative:page;z-index:251796480;mso-width-relative:page;mso-height-relative:page;" coordsize="1183,789">
                  <o:lock v:ext="edit"/>
                  <v:shape id="_x0000_s1229" o:spid="_x0000_s1229" style="position:absolute;left:61;top:0;height:751;width:1121;" filled="f" stroked="t" coordsize="1121,751" path="m1119,1l1119,749,1,749e">
                    <v:fill on="f" focussize="0,0"/>
                    <v:stroke weight="0.16pt" color="#000000" miterlimit="10" endcap="round"/>
                    <v:imagedata o:title=""/>
                    <o:lock v:ext="edit"/>
                  </v:shape>
                  <v:shape id="_x0000_s1230" o:spid="_x0000_s1230" style="position:absolute;left:0;top:711;height:76;width:73;" fillcolor="#000000" filled="t" stroked="f" coordsize="73,76" path="m72,76l0,38,72,0,72,76xe">
                    <v:fill on="t" focussize="0,0"/>
                    <v:stroke on="f"/>
                    <v:imagedata o:title=""/>
                    <o:lock v:ext="edit"/>
                  </v:shape>
                </v:group>
              </w:pict>
            </w:r>
            <w:r>
              <w:pict>
                <v:group id="_x0000_s1231" o:spid="_x0000_s1231" o:spt="203" style="position:absolute;left:0pt;margin-left:151pt;margin-top:154.85pt;height:8.05pt;width:3.65pt;mso-position-horizontal-relative:page;mso-position-vertical-relative:page;z-index:251806720;mso-width-relative:page;mso-height-relative:page;" coordsize="73,161">
                  <o:lock v:ext="edit"/>
                  <v:shape id="_x0000_s1232" o:spid="_x0000_s1232" style="position:absolute;left:34;top:65;height:96;width:5;" filled="f" stroked="t" coordsize="5,96" path="m3,93l1,1e">
                    <v:fill on="f" focussize="0,0"/>
                    <v:stroke weight="0.16pt" color="#000000" miterlimit="10" endcap="round"/>
                    <v:imagedata o:title=""/>
                    <o:lock v:ext="edit"/>
                  </v:shape>
                  <v:shape id="_x0000_s1233" o:spid="_x0000_s1233" style="position:absolute;left:0;top:0;height:78;width:73;" fillcolor="#000000" filled="t" stroked="f" coordsize="73,78" path="m0,77l34,0,72,76,0,77xe">
                    <v:fill on="t" focussize="0,0"/>
                    <v:stroke on="f"/>
                    <v:imagedata o:title=""/>
                    <o:lock v:ext="edit"/>
                  </v:shape>
                </v:group>
              </w:pict>
            </w:r>
            <w:r>
              <w:pict>
                <v:shape id="_x0000_s1234" o:spid="_x0000_s1234" style="position:absolute;left:0pt;margin-left:255.1pt;margin-top:158.95pt;height:3.85pt;width:3.65pt;mso-position-horizontal-relative:page;mso-position-vertical-relative:page;z-index:251774976;mso-width-relative:page;mso-height-relative:page;" fillcolor="#000000" filled="t" stroked="f" coordsize="73,76" path="m72,0l36,76,0,0,72,0xe">
                  <v:fill on="t" focussize="0,0"/>
                  <v:stroke on="f"/>
                  <v:imagedata o:title=""/>
                  <o:lock v:ext="edit"/>
                </v:shape>
              </w:pict>
            </w:r>
            <w:r>
              <w:pict>
                <v:shape id="_x0000_s1235" o:spid="_x0000_s1235" o:spt="202" type="#_x0000_t202" style="position:absolute;left:0pt;margin-left:402.1pt;margin-top:158.35pt;height:10.1pt;width:27.75pt;mso-position-horizontal-relative:page;mso-position-vertical-relative:page;z-index:251777024;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3"/>
                            <w:szCs w:val="13"/>
                          </w:rPr>
                        </w:pPr>
                        <w:r>
                          <w:rPr>
                            <w:spacing w:val="-2"/>
                            <w:sz w:val="13"/>
                            <w:szCs w:val="13"/>
                          </w:rPr>
                          <w:t>裂液配置</w:t>
                        </w:r>
                      </w:p>
                    </w:txbxContent>
                  </v:textbox>
                </v:shape>
              </w:pict>
            </w:r>
            <w:r>
              <w:pict>
                <v:shape id="_x0000_s1236" o:spid="_x0000_s1236" o:spt="202" type="#_x0000_t202" style="position:absolute;left:0pt;margin-left:251.95pt;margin-top:161.55pt;height:16.9pt;width:30.25pt;mso-position-horizontal-relative:page;mso-position-vertical-relative:page;z-index:25177395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559"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59"/>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559" w:type="dxa"/>
                              <w:vAlign w:val="top"/>
                            </w:tcPr>
                            <w:p>
                              <w:pPr>
                                <w:pStyle w:val="6"/>
                                <w:spacing w:before="66" w:line="228" w:lineRule="auto"/>
                                <w:ind w:left="87"/>
                                <w:rPr>
                                  <w:sz w:val="13"/>
                                  <w:szCs w:val="13"/>
                                </w:rPr>
                              </w:pPr>
                              <w:r>
                                <w:rPr>
                                  <w:spacing w:val="-1"/>
                                  <w:sz w:val="13"/>
                                  <w:szCs w:val="13"/>
                                </w:rPr>
                                <w:t>搅拌罐</w:t>
                              </w:r>
                            </w:p>
                          </w:tc>
                        </w:tr>
                      </w:tbl>
                      <w:p>
                        <w:pPr>
                          <w:rPr>
                            <w:rFonts w:ascii="Arial"/>
                            <w:sz w:val="21"/>
                          </w:rPr>
                        </w:pPr>
                      </w:p>
                    </w:txbxContent>
                  </v:textbox>
                </v:shape>
              </w:pict>
            </w:r>
            <w:r>
              <w:pict>
                <v:shape id="_x0000_s1237" o:spid="_x0000_s1237" o:spt="202" type="#_x0000_t202" style="position:absolute;left:0pt;margin-left:149.8pt;margin-top:161.55pt;height:16.9pt;width:39.5pt;mso-position-horizontal-relative:page;mso-position-vertical-relative:page;z-index:2517790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44"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744" w:type="dxa"/>
                              <w:vAlign w:val="top"/>
                            </w:tcPr>
                            <w:p>
                              <w:pPr>
                                <w:pStyle w:val="6"/>
                                <w:spacing w:before="66" w:line="228" w:lineRule="auto"/>
                                <w:ind w:left="47"/>
                                <w:rPr>
                                  <w:sz w:val="13"/>
                                  <w:szCs w:val="13"/>
                                </w:rPr>
                              </w:pPr>
                              <w:r>
                                <w:rPr>
                                  <w:spacing w:val="-2"/>
                                  <w:sz w:val="13"/>
                                  <w:szCs w:val="13"/>
                                </w:rPr>
                                <w:t>岩屑收集罐</w:t>
                              </w:r>
                            </w:p>
                          </w:tc>
                        </w:tr>
                      </w:tbl>
                      <w:p>
                        <w:pPr>
                          <w:rPr>
                            <w:rFonts w:ascii="Arial"/>
                            <w:sz w:val="21"/>
                          </w:rPr>
                        </w:pPr>
                      </w:p>
                    </w:txbxContent>
                  </v:textbox>
                </v:shape>
              </w:pict>
            </w:r>
            <w:r>
              <w:pict>
                <v:shape id="_x0000_s1238" o:spid="_x0000_s1238" o:spt="202" type="#_x0000_t202" style="position:absolute;left:0pt;margin-left:208pt;margin-top:162.15pt;height:10.1pt;width:14.5pt;mso-position-horizontal-relative:page;mso-position-vertical-relative:page;z-index:251772928;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3"/>
                            <w:szCs w:val="13"/>
                          </w:rPr>
                        </w:pPr>
                        <w:r>
                          <w:rPr>
                            <w:spacing w:val="-3"/>
                            <w:sz w:val="13"/>
                            <w:szCs w:val="13"/>
                          </w:rPr>
                          <w:t>岩屑</w:t>
                        </w:r>
                      </w:p>
                    </w:txbxContent>
                  </v:textbox>
                </v:shape>
              </w:pict>
            </w:r>
            <w:r>
              <w:pict>
                <v:group id="_x0000_s1239" o:spid="_x0000_s1239" o:spt="203" style="position:absolute;left:0pt;margin-left:25.25pt;margin-top:169.7pt;height:3.85pt;width:33.75pt;mso-position-horizontal-relative:page;mso-position-vertical-relative:page;z-index:251763712;mso-width-relative:page;mso-height-relative:page;" coordsize="675,76">
                  <o:lock v:ext="edit"/>
                  <v:shape id="_x0000_s1240" o:spid="_x0000_s1240" style="position:absolute;left:0;top:36;height:4;width:614;" filled="f" stroked="t" coordsize="614,4" path="m1,1l611,1e">
                    <v:fill on="f" focussize="0,0"/>
                    <v:stroke weight="0.16pt" color="#000000" miterlimit="10" endcap="round"/>
                    <v:imagedata o:title=""/>
                    <o:lock v:ext="edit"/>
                  </v:shape>
                  <v:shape id="_x0000_s1241" o:spid="_x0000_s1241" style="position:absolute;left:602;top:0;height:76;width:73;" fillcolor="#000000" filled="t" stroked="f" coordsize="73,76" path="m0,0l72,38,0,76,0,0xe">
                    <v:fill on="t" focussize="0,0"/>
                    <v:stroke on="f"/>
                    <v:imagedata o:title=""/>
                    <o:lock v:ext="edit"/>
                  </v:shape>
                </v:group>
              </w:pict>
            </w:r>
            <w:r>
              <w:pict>
                <v:group id="_x0000_s1242" o:spid="_x0000_s1242" o:spt="203" style="position:absolute;left:0pt;margin-left:187.95pt;margin-top:168.05pt;height:3.85pt;width:65.25pt;mso-position-horizontal-relative:page;mso-position-vertical-relative:page;z-index:251762688;mso-width-relative:page;mso-height-relative:page;" coordsize="1305,76">
                  <o:lock v:ext="edit"/>
                  <v:shape id="_x0000_s1243" o:spid="_x0000_s1243" style="position:absolute;left:0;top:36;height:4;width:1244;" filled="f" stroked="t" coordsize="1244,4" path="m1,1l1241,1e">
                    <v:fill on="f" focussize="0,0"/>
                    <v:stroke weight="0.16pt" color="#000000" miterlimit="10" endcap="round"/>
                    <v:imagedata o:title=""/>
                    <o:lock v:ext="edit"/>
                  </v:shape>
                  <v:shape id="_x0000_s1244" o:spid="_x0000_s1244" style="position:absolute;left:1232;top:0;height:76;width:73;" fillcolor="#000000" filled="t" stroked="f" coordsize="73,76" path="m0,0l72,38,0,76,0,0xe">
                    <v:fill on="t" focussize="0,0"/>
                    <v:stroke on="f"/>
                    <v:imagedata o:title=""/>
                    <o:lock v:ext="edit"/>
                  </v:shape>
                </v:group>
              </w:pict>
            </w:r>
            <w:r>
              <w:pict>
                <v:group id="_x0000_s1245" o:spid="_x0000_s1245" o:spt="203" style="position:absolute;left:0pt;margin-left:110.75pt;margin-top:168.05pt;height:3.85pt;width:40.3pt;mso-position-horizontal-relative:page;mso-position-vertical-relative:page;z-index:251804672;mso-width-relative:page;mso-height-relative:page;" coordsize="805,76">
                  <o:lock v:ext="edit"/>
                  <v:shape id="_x0000_s1246" o:spid="_x0000_s1246" style="position:absolute;left:0;top:36;height:4;width:745;" filled="f" stroked="t" coordsize="745,4" path="m1,1l742,1e">
                    <v:fill on="f" focussize="0,0"/>
                    <v:stroke weight="0.16pt" color="#000000" miterlimit="10" endcap="round"/>
                    <v:imagedata o:title=""/>
                    <o:lock v:ext="edit"/>
                  </v:shape>
                  <v:shape id="_x0000_s1247" o:spid="_x0000_s1247" style="position:absolute;left:733;top:0;height:76;width:73;" fillcolor="#000000" filled="t" stroked="f" coordsize="73,76" path="m0,0l72,38,0,76,0,0xe">
                    <v:fill on="t" focussize="0,0"/>
                    <v:stroke on="f"/>
                    <v:imagedata o:title=""/>
                    <o:lock v:ext="edit"/>
                  </v:shape>
                </v:group>
              </w:pict>
            </w:r>
            <w:r>
              <w:pict>
                <v:shape id="_x0000_s1248" o:spid="_x0000_s1248" o:spt="202" type="#_x0000_t202" style="position:absolute;left:0pt;margin-left:89.9pt;margin-top:199.35pt;height:10.1pt;width:65.95pt;mso-position-horizontal-relative:page;mso-position-vertical-relative:page;z-index:251803648;mso-width-relative:page;mso-height-relative:page;" filled="f" stroked="f" coordsize="21600,21600">
                  <v:path/>
                  <v:fill on="f" focussize="0,0"/>
                  <v:stroke on="f"/>
                  <v:imagedata o:title=""/>
                  <o:lock v:ext="edit" aspectratio="f"/>
                  <v:textbox inset="0mm,0mm,0mm,0mm">
                    <w:txbxContent>
                      <w:p>
                        <w:pPr>
                          <w:pStyle w:val="6"/>
                          <w:spacing w:before="20" w:line="229" w:lineRule="auto"/>
                          <w:ind w:left="20"/>
                          <w:rPr>
                            <w:sz w:val="13"/>
                            <w:szCs w:val="13"/>
                          </w:rPr>
                        </w:pPr>
                        <w:r>
                          <w:rPr>
                            <w:spacing w:val="-2"/>
                            <w:sz w:val="13"/>
                            <w:szCs w:val="13"/>
                          </w:rPr>
                          <w:t xml:space="preserve">外运资源化处理 </w:t>
                        </w:r>
                        <w:r>
                          <w:rPr>
                            <w:sz w:val="13"/>
                            <w:szCs w:val="13"/>
                          </w:rPr>
                          <w:drawing>
                            <wp:inline distT="0" distB="0" distL="0" distR="0">
                              <wp:extent cx="45720" cy="4826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04"/>
                                      <a:stretch>
                                        <a:fillRect/>
                                      </a:stretch>
                                    </pic:blipFill>
                                    <pic:spPr>
                                      <a:xfrm>
                                        <a:off x="0" y="0"/>
                                        <a:ext cx="45723" cy="48764"/>
                                      </a:xfrm>
                                      <a:prstGeom prst="rect">
                                        <a:avLst/>
                                      </a:prstGeom>
                                    </pic:spPr>
                                  </pic:pic>
                                </a:graphicData>
                              </a:graphic>
                            </wp:inline>
                          </w:drawing>
                        </w:r>
                        <w:r>
                          <w:rPr>
                            <w:strike/>
                            <w:sz w:val="13"/>
                            <w:szCs w:val="13"/>
                          </w:rPr>
                          <w:t xml:space="preserve">    </w:t>
                        </w:r>
                      </w:p>
                    </w:txbxContent>
                  </v:textbox>
                </v:shape>
              </w:pict>
            </w:r>
            <w:r>
              <w:pict>
                <v:group id="_x0000_s1249" o:spid="_x0000_s1249" o:spt="203" style="position:absolute;left:0pt;margin-left:191.7pt;margin-top:201.6pt;height:3.85pt;width:59.5pt;mso-position-horizontal-relative:page;mso-position-vertical-relative:page;z-index:251809792;mso-width-relative:page;mso-height-relative:page;" coordsize="1190,76">
                  <o:lock v:ext="edit"/>
                  <v:shape id="_x0000_s1250" o:spid="_x0000_s1250" style="position:absolute;left:61;top:36;height:4;width:1128;" filled="f" stroked="t" coordsize="1128,4" path="m1126,1l1,1e">
                    <v:fill on="f" focussize="0,0"/>
                    <v:stroke weight="0.16pt" color="#000000" miterlimit="10" endcap="round"/>
                    <v:imagedata o:title=""/>
                    <o:lock v:ext="edit"/>
                  </v:shape>
                  <v:shape id="_x0000_s1251" o:spid="_x0000_s1251" style="position:absolute;left:0;top:0;height:76;width:73;" fillcolor="#000000" filled="t" stroked="f" coordsize="73,76" path="m72,76l0,38,72,0,72,76xe">
                    <v:fill on="t" focussize="0,0"/>
                    <v:stroke on="f"/>
                    <v:imagedata o:title=""/>
                    <o:lock v:ext="edit"/>
                  </v:shape>
                </v:group>
              </w:pict>
            </w:r>
            <w:r>
              <w:pict>
                <v:group id="_x0000_s1252" o:spid="_x0000_s1252" o:spt="203" style="position:absolute;left:0pt;margin-left:265.25pt;margin-top:177.05pt;height:18.95pt;width:3.65pt;mso-position-horizontal-relative:page;mso-position-vertical-relative:page;z-index:251808768;mso-width-relative:page;mso-height-relative:page;" coordsize="73,379">
                  <o:lock v:ext="edit"/>
                  <v:shape id="_x0000_s1253" o:spid="_x0000_s1253" style="position:absolute;left:34;top:0;height:313;width:4;" filled="f" stroked="t" coordsize="4,313" path="m1,1l1,311e">
                    <v:fill on="f" focussize="0,0"/>
                    <v:stroke weight="0.16pt" color="#000000" miterlimit="10" endcap="round"/>
                    <v:imagedata o:title=""/>
                    <o:lock v:ext="edit"/>
                  </v:shape>
                  <v:shape id="_x0000_s1254" o:spid="_x0000_s1254" style="position:absolute;left:0;top:302;height:76;width:73;" fillcolor="#000000" filled="t" stroked="f" coordsize="73,76" path="m72,0l36,76,0,0,72,0xe">
                    <v:fill on="t" focussize="0,0"/>
                    <v:stroke on="f"/>
                    <v:imagedata o:title=""/>
                    <o:lock v:ext="edit"/>
                  </v:shape>
                </v:group>
              </w:pict>
            </w:r>
            <w:r>
              <w:rPr>
                <w:spacing w:val="-1"/>
                <w:sz w:val="24"/>
                <w:szCs w:val="24"/>
              </w:rPr>
              <w:t>相关工业固体废物项目环评批复、具有处理处置相应固体废物能力并配套建设有废</w:t>
            </w:r>
          </w:p>
          <w:p>
            <w:pPr>
              <w:pStyle w:val="6"/>
              <w:spacing w:before="195" w:line="374" w:lineRule="exact"/>
              <w:ind w:left="106"/>
              <w:rPr>
                <w:sz w:val="24"/>
                <w:szCs w:val="24"/>
              </w:rPr>
            </w:pPr>
            <w:r>
              <w:rPr>
                <w:spacing w:val="-2"/>
                <w:position w:val="9"/>
                <w:sz w:val="24"/>
                <w:szCs w:val="24"/>
              </w:rPr>
              <w:t>气、废水、固废等污染物治理设施的单位进行资源化利用。</w:t>
            </w:r>
          </w:p>
          <w:p>
            <w:pPr>
              <w:pStyle w:val="6"/>
              <w:spacing w:line="228" w:lineRule="auto"/>
              <w:ind w:left="1458"/>
              <w:rPr>
                <w:sz w:val="13"/>
                <w:szCs w:val="13"/>
              </w:rPr>
            </w:pPr>
            <w:r>
              <w:rPr>
                <w:spacing w:val="-5"/>
                <w:sz w:val="13"/>
                <w:szCs w:val="13"/>
              </w:rPr>
              <w:t>回用泥浆</w:t>
            </w:r>
          </w:p>
          <w:p>
            <w:pPr>
              <w:spacing w:before="43" w:line="242" w:lineRule="exact"/>
              <w:ind w:firstLine="1668"/>
            </w:pPr>
            <w:r>
              <w:rPr>
                <w:position w:val="-5"/>
              </w:rPr>
              <w:pict>
                <v:group id="_x0000_s1255" o:spid="_x0000_s1255" o:spt="203" style="height:12.3pt;width:3.65pt;" coordsize="73,246">
                  <o:lock v:ext="edit"/>
                  <v:shape id="_x0000_s1256" o:spid="_x0000_s1256" style="position:absolute;left:34;top:65;height:180;width:4;" filled="f" stroked="t" coordsize="4,180" path="m1,178l1,1e">
                    <v:fill on="f" focussize="0,0"/>
                    <v:stroke weight="0.16pt" color="#000000" miterlimit="10" endcap="round"/>
                    <v:imagedata o:title=""/>
                    <o:lock v:ext="edit"/>
                  </v:shape>
                  <v:shape id="_x0000_s1257" o:spid="_x0000_s1257" style="position:absolute;left:0;top:0;height:76;width:73;" fillcolor="#000000" filled="t" stroked="f" coordsize="73,76" path="m0,76l36,0,72,76,0,76xe">
                    <v:fill on="t" focussize="0,0"/>
                    <v:stroke on="f"/>
                    <v:imagedata o:title=""/>
                    <o:lock v:ext="edit"/>
                  </v:shape>
                  <w10:wrap type="none"/>
                  <w10:anchorlock/>
                </v:group>
              </w:pict>
            </w:r>
          </w:p>
          <w:tbl>
            <w:tblPr>
              <w:tblStyle w:val="5"/>
              <w:tblW w:w="559" w:type="dxa"/>
              <w:tblInd w:w="1425"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59"/>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3" w:hRule="atLeast"/>
              </w:trPr>
              <w:tc>
                <w:tcPr>
                  <w:tcW w:w="559" w:type="dxa"/>
                  <w:vAlign w:val="top"/>
                </w:tcPr>
                <w:p>
                  <w:pPr>
                    <w:pStyle w:val="6"/>
                    <w:spacing w:before="57" w:line="228" w:lineRule="auto"/>
                    <w:ind w:left="84"/>
                    <w:rPr>
                      <w:sz w:val="13"/>
                      <w:szCs w:val="13"/>
                    </w:rPr>
                  </w:pPr>
                  <w:r>
                    <w:rPr>
                      <w:spacing w:val="-2"/>
                      <w:sz w:val="13"/>
                      <w:szCs w:val="13"/>
                    </w:rPr>
                    <w:t>泥浆泵</w:t>
                  </w:r>
                </w:p>
              </w:tc>
            </w:tr>
          </w:tbl>
          <w:p>
            <w:pPr>
              <w:pStyle w:val="6"/>
              <w:spacing w:before="25" w:line="229" w:lineRule="auto"/>
              <w:ind w:left="5018"/>
              <w:rPr>
                <w:sz w:val="13"/>
                <w:szCs w:val="13"/>
              </w:rPr>
            </w:pPr>
            <w:r>
              <w:pict>
                <v:shape id="_x0000_s1258" o:spid="_x0000_s1258" o:spt="202" type="#_x0000_t202" style="position:absolute;left:0pt;margin-left:335.9pt;margin-top:-1.05pt;height:9.75pt;width:14.55pt;z-index:251782144;mso-width-relative:page;mso-height-relative:page;" filled="f" stroked="f" coordsize="21600,21600">
                  <v:path/>
                  <v:fill on="f" focussize="0,0"/>
                  <v:stroke on="f"/>
                  <v:imagedata o:title=""/>
                  <o:lock v:ext="edit" aspectratio="f"/>
                  <v:textbox inset="0mm,0mm,0mm,0mm">
                    <w:txbxContent>
                      <w:p>
                        <w:pPr>
                          <w:pStyle w:val="6"/>
                          <w:spacing w:before="19" w:line="220" w:lineRule="auto"/>
                          <w:ind w:left="20"/>
                          <w:rPr>
                            <w:sz w:val="13"/>
                            <w:szCs w:val="13"/>
                          </w:rPr>
                        </w:pPr>
                        <w:r>
                          <w:rPr>
                            <w:spacing w:val="-3"/>
                            <w:sz w:val="13"/>
                            <w:szCs w:val="13"/>
                          </w:rPr>
                          <w:t>加药</w:t>
                        </w:r>
                      </w:p>
                    </w:txbxContent>
                  </v:textbox>
                </v:shape>
              </w:pict>
            </w:r>
            <w:r>
              <w:rPr>
                <w:spacing w:val="-2"/>
                <w:sz w:val="13"/>
                <w:szCs w:val="13"/>
              </w:rPr>
              <w:t>上清液回用</w:t>
            </w:r>
          </w:p>
          <w:p>
            <w:pPr>
              <w:pStyle w:val="6"/>
              <w:spacing w:before="35" w:line="228" w:lineRule="auto"/>
              <w:ind w:left="1298"/>
              <w:rPr>
                <w:sz w:val="13"/>
                <w:szCs w:val="13"/>
              </w:rPr>
            </w:pPr>
            <w:r>
              <w:rPr>
                <w:spacing w:val="-3"/>
                <w:sz w:val="13"/>
                <w:szCs w:val="13"/>
              </w:rPr>
              <w:t>泥浆</w:t>
            </w:r>
          </w:p>
          <w:p>
            <w:pPr>
              <w:spacing w:line="199" w:lineRule="exact"/>
            </w:pPr>
          </w:p>
          <w:tbl>
            <w:tblPr>
              <w:tblStyle w:val="5"/>
              <w:tblW w:w="744" w:type="dxa"/>
              <w:tblInd w:w="133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744" w:type="dxa"/>
                  <w:vAlign w:val="top"/>
                </w:tcPr>
                <w:p>
                  <w:pPr>
                    <w:pStyle w:val="6"/>
                    <w:spacing w:before="63" w:line="228" w:lineRule="auto"/>
                    <w:ind w:left="46"/>
                    <w:rPr>
                      <w:sz w:val="13"/>
                      <w:szCs w:val="13"/>
                    </w:rPr>
                  </w:pPr>
                  <w:r>
                    <w:rPr>
                      <w:spacing w:val="-2"/>
                      <w:sz w:val="13"/>
                      <w:szCs w:val="13"/>
                    </w:rPr>
                    <w:t>泥浆循环罐</w:t>
                  </w:r>
                </w:p>
              </w:tc>
            </w:tr>
          </w:tbl>
          <w:p>
            <w:pPr>
              <w:pStyle w:val="6"/>
              <w:spacing w:before="216" w:line="191" w:lineRule="auto"/>
              <w:ind w:left="1354"/>
              <w:rPr>
                <w:sz w:val="13"/>
                <w:szCs w:val="13"/>
              </w:rPr>
            </w:pPr>
            <w:r>
              <w:pict>
                <v:shape id="_x0000_s1259" o:spid="_x0000_s1259" o:spt="202" type="#_x0000_t202" style="position:absolute;left:0pt;margin-left:329.6pt;margin-top:9.7pt;height:10.15pt;width:14.5pt;z-index:251797504;mso-width-relative:page;mso-height-relative:page;" filled="f" stroked="f" coordsize="21600,21600">
                  <v:path/>
                  <v:fill on="f" focussize="0,0"/>
                  <v:stroke on="f"/>
                  <v:imagedata o:title=""/>
                  <o:lock v:ext="edit" aspectratio="f"/>
                  <v:textbox inset="0mm,0mm,0mm,0mm">
                    <w:txbxContent>
                      <w:p>
                        <w:pPr>
                          <w:pStyle w:val="6"/>
                          <w:spacing w:before="19" w:line="231" w:lineRule="auto"/>
                          <w:ind w:left="20"/>
                          <w:rPr>
                            <w:sz w:val="13"/>
                            <w:szCs w:val="13"/>
                          </w:rPr>
                        </w:pPr>
                        <w:r>
                          <w:rPr>
                            <w:spacing w:val="-3"/>
                            <w:sz w:val="13"/>
                            <w:szCs w:val="13"/>
                          </w:rPr>
                          <w:t>污泥</w:t>
                        </w:r>
                      </w:p>
                    </w:txbxContent>
                  </v:textbox>
                </v:shape>
              </w:pict>
            </w:r>
            <w:r>
              <w:pict>
                <v:shape id="_x0000_s1260" o:spid="_x0000_s1260" o:spt="202" type="#_x0000_t202" style="position:absolute;left:0pt;margin-left:175.2pt;margin-top:5.45pt;height:8.85pt;width:82.6pt;z-index:251771904;mso-width-relative:page;mso-height-relative:page;" filled="f" stroked="f" coordsize="21600,21600">
                  <v:path/>
                  <v:fill on="f" focussize="0,0"/>
                  <v:stroke on="f"/>
                  <v:imagedata o:title=""/>
                  <o:lock v:ext="edit" aspectratio="f"/>
                  <v:textbox inset="0mm,0mm,0mm,0mm">
                    <w:txbxContent>
                      <w:p>
                        <w:pPr>
                          <w:pStyle w:val="6"/>
                          <w:tabs>
                            <w:tab w:val="left" w:pos="282"/>
                          </w:tabs>
                          <w:spacing w:before="19" w:line="194" w:lineRule="auto"/>
                          <w:ind w:left="20"/>
                          <w:rPr>
                            <w:sz w:val="13"/>
                            <w:szCs w:val="13"/>
                          </w:rPr>
                        </w:pPr>
                        <w:r>
                          <w:rPr>
                            <w:sz w:val="13"/>
                            <w:szCs w:val="13"/>
                          </w:rPr>
                          <w:tab/>
                        </w:r>
                        <w:r>
                          <w:rPr>
                            <w:spacing w:val="-6"/>
                            <w:sz w:val="13"/>
                            <w:szCs w:val="13"/>
                          </w:rPr>
                          <w:t>污泥</w:t>
                        </w:r>
                        <w:r>
                          <w:rPr>
                            <w:sz w:val="13"/>
                            <w:szCs w:val="13"/>
                          </w:rPr>
                          <w:t xml:space="preserve">                 </w:t>
                        </w:r>
                      </w:p>
                    </w:txbxContent>
                  </v:textbox>
                </v:shape>
              </w:pict>
            </w:r>
            <w:r>
              <w:pict>
                <v:shape id="_x0000_s1261" o:spid="_x0000_s1261" o:spt="202" type="#_x0000_t202" style="position:absolute;left:0pt;margin-left:269.4pt;margin-top:9.8pt;height:10.15pt;width:14.5pt;z-index:251778048;mso-width-relative:page;mso-height-relative:page;" filled="f" stroked="f" coordsize="21600,21600">
                  <v:path/>
                  <v:fill on="f" focussize="0,0"/>
                  <v:stroke on="f"/>
                  <v:imagedata o:title=""/>
                  <o:lock v:ext="edit" aspectratio="f"/>
                  <v:textbox inset="0mm,0mm,0mm,0mm">
                    <w:txbxContent>
                      <w:p>
                        <w:pPr>
                          <w:pStyle w:val="6"/>
                          <w:spacing w:before="19" w:line="231" w:lineRule="auto"/>
                          <w:ind w:left="20"/>
                          <w:rPr>
                            <w:sz w:val="13"/>
                            <w:szCs w:val="13"/>
                          </w:rPr>
                        </w:pPr>
                        <w:r>
                          <w:rPr>
                            <w:spacing w:val="-3"/>
                            <w:sz w:val="13"/>
                            <w:szCs w:val="13"/>
                          </w:rPr>
                          <w:t>污泥</w:t>
                        </w:r>
                      </w:p>
                    </w:txbxContent>
                  </v:textbox>
                </v:shape>
              </w:pict>
            </w:r>
            <w:r>
              <w:pict>
                <v:shape id="_x0000_s1262" o:spid="_x0000_s1262" o:spt="202" type="#_x0000_t202" style="position:absolute;left:0pt;margin-left:116.95pt;margin-top:12.7pt;height:26pt;width:52.55pt;z-index:251805696;mso-width-relative:page;mso-height-relative:page;" filled="f" stroked="f" coordsize="21600,21600">
                  <v:path/>
                  <v:fill on="f" focussize="0,0"/>
                  <v:stroke on="f"/>
                  <v:imagedata o:title=""/>
                  <o:lock v:ext="edit" aspectratio="f"/>
                  <v:textbox inset="0mm,0mm,0mm,0mm">
                    <w:txbxContent>
                      <w:p>
                        <w:pPr>
                          <w:pStyle w:val="6"/>
                          <w:spacing w:before="20" w:line="319" w:lineRule="exact"/>
                          <w:ind w:right="16"/>
                          <w:jc w:val="right"/>
                          <w:rPr>
                            <w:sz w:val="13"/>
                            <w:szCs w:val="13"/>
                          </w:rPr>
                        </w:pPr>
                        <w:r>
                          <w:rPr>
                            <w:spacing w:val="-2"/>
                            <w:position w:val="14"/>
                            <w:sz w:val="13"/>
                            <w:szCs w:val="13"/>
                          </w:rPr>
                          <w:t>上清液回用</w:t>
                        </w:r>
                      </w:p>
                      <w:p>
                        <w:pPr>
                          <w:pStyle w:val="6"/>
                          <w:spacing w:line="228" w:lineRule="auto"/>
                          <w:ind w:left="20"/>
                          <w:rPr>
                            <w:sz w:val="13"/>
                            <w:szCs w:val="13"/>
                          </w:rPr>
                        </w:pPr>
                        <w:r>
                          <w:rPr>
                            <w:spacing w:val="-2"/>
                            <w:sz w:val="13"/>
                            <w:szCs w:val="13"/>
                          </w:rPr>
                          <w:t>水基岩屑</w:t>
                        </w:r>
                      </w:p>
                    </w:txbxContent>
                  </v:textbox>
                </v:shape>
              </w:pict>
            </w:r>
            <w:r>
              <w:rPr>
                <w:spacing w:val="-3"/>
                <w:sz w:val="13"/>
                <w:szCs w:val="13"/>
              </w:rPr>
              <w:t>岩屑</w:t>
            </w:r>
          </w:p>
          <w:p>
            <w:pPr>
              <w:pStyle w:val="6"/>
              <w:spacing w:before="1" w:line="227" w:lineRule="auto"/>
              <w:ind w:left="8071"/>
              <w:rPr>
                <w:sz w:val="13"/>
                <w:szCs w:val="13"/>
              </w:rPr>
            </w:pPr>
            <w:r>
              <w:pict>
                <v:rect id="_x0000_s1263" o:spid="_x0000_s1263" o:spt="1" style="position:absolute;left:0pt;margin-left:416.2pt;margin-top:-3.25pt;height:3.85pt;width:3.65pt;z-index:251801600;mso-width-relative:page;mso-height-relative:page;" fillcolor="#000000" filled="t" stroked="f" coordsize="21600,21600">
                  <v:path/>
                  <v:fill on="t" focussize="0,0"/>
                  <v:stroke on="f"/>
                  <v:imagedata o:title=""/>
                  <o:lock v:ext="edit"/>
                </v:rect>
              </w:pict>
            </w:r>
            <w:r>
              <w:pict>
                <v:shape id="_x0000_s1264" o:spid="_x0000_s1264" o:spt="202" type="#_x0000_t202" style="position:absolute;left:0pt;margin-left:25.05pt;margin-top:-1.8pt;height:10.1pt;width:14.5pt;z-index:251776000;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3"/>
                            <w:szCs w:val="13"/>
                          </w:rPr>
                        </w:pPr>
                        <w:r>
                          <w:rPr>
                            <w:spacing w:val="-3"/>
                            <w:sz w:val="13"/>
                            <w:szCs w:val="13"/>
                          </w:rPr>
                          <w:t>岩屑</w:t>
                        </w:r>
                      </w:p>
                    </w:txbxContent>
                  </v:textbox>
                </v:shape>
              </w:pict>
            </w:r>
            <w:r>
              <w:rPr>
                <w:spacing w:val="-5"/>
                <w:sz w:val="13"/>
                <w:szCs w:val="13"/>
              </w:rPr>
              <w:t>回用于压</w:t>
            </w:r>
          </w:p>
          <w:p>
            <w:pPr>
              <w:spacing w:line="69" w:lineRule="exact"/>
            </w:pPr>
          </w:p>
          <w:tbl>
            <w:tblPr>
              <w:tblStyle w:val="5"/>
              <w:tblW w:w="1021" w:type="dxa"/>
              <w:tblInd w:w="1193"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21"/>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1021" w:type="dxa"/>
                  <w:vAlign w:val="top"/>
                </w:tcPr>
                <w:p>
                  <w:pPr>
                    <w:pStyle w:val="6"/>
                    <w:spacing w:before="66" w:line="228" w:lineRule="auto"/>
                    <w:ind w:left="120"/>
                    <w:rPr>
                      <w:sz w:val="13"/>
                      <w:szCs w:val="13"/>
                    </w:rPr>
                  </w:pPr>
                  <w:r>
                    <w:rPr>
                      <w:spacing w:val="-1"/>
                      <w:sz w:val="13"/>
                      <w:szCs w:val="13"/>
                    </w:rPr>
                    <w:t>螺旋输送装置</w:t>
                  </w:r>
                </w:p>
              </w:tc>
            </w:tr>
          </w:tbl>
          <w:p>
            <w:pPr>
              <w:spacing w:line="351" w:lineRule="auto"/>
              <w:rPr>
                <w:rFonts w:ascii="Arial"/>
                <w:sz w:val="21"/>
              </w:rPr>
            </w:pPr>
          </w:p>
          <w:p>
            <w:pPr>
              <w:pStyle w:val="6"/>
              <w:tabs>
                <w:tab w:val="left" w:pos="6245"/>
              </w:tabs>
              <w:spacing w:before="43" w:line="229" w:lineRule="auto"/>
              <w:ind w:left="5655"/>
              <w:rPr>
                <w:sz w:val="13"/>
                <w:szCs w:val="13"/>
              </w:rPr>
            </w:pPr>
            <w:r>
              <w:pict>
                <v:shape id="_x0000_s1265" o:spid="_x0000_s1265" o:spt="202" type="#_x0000_t202" style="position:absolute;left:0pt;margin-left:249.65pt;margin-top:-0.3pt;height:16.9pt;width:34.4pt;z-index:2517698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42"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42"/>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7" w:hRule="atLeast"/>
                          </w:trPr>
                          <w:tc>
                            <w:tcPr>
                              <w:tcW w:w="642" w:type="dxa"/>
                              <w:vAlign w:val="top"/>
                            </w:tcPr>
                            <w:p>
                              <w:pPr>
                                <w:pStyle w:val="6"/>
                                <w:spacing w:before="68" w:line="229" w:lineRule="auto"/>
                                <w:ind w:left="63"/>
                                <w:rPr>
                                  <w:sz w:val="13"/>
                                  <w:szCs w:val="13"/>
                                </w:rPr>
                              </w:pPr>
                              <w:r>
                                <w:rPr>
                                  <w:spacing w:val="-2"/>
                                  <w:sz w:val="13"/>
                                  <w:szCs w:val="13"/>
                                </w:rPr>
                                <w:t>减量装置</w:t>
                              </w:r>
                            </w:p>
                          </w:tc>
                        </w:tr>
                      </w:tbl>
                      <w:p>
                        <w:pPr>
                          <w:rPr>
                            <w:rFonts w:ascii="Arial"/>
                            <w:sz w:val="21"/>
                          </w:rPr>
                        </w:pPr>
                      </w:p>
                    </w:txbxContent>
                  </v:textbox>
                </v:shape>
              </w:pict>
            </w:r>
            <w:r>
              <w:pict>
                <v:shape id="_x0000_s1266" o:spid="_x0000_s1266" o:spt="202" type="#_x0000_t202" style="position:absolute;left:0pt;margin-left:214.5pt;margin-top:0.4pt;height:10.1pt;width:14pt;z-index:251770880;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3"/>
                            <w:szCs w:val="13"/>
                          </w:rPr>
                        </w:pPr>
                        <w:r>
                          <w:rPr>
                            <w:spacing w:val="-6"/>
                            <w:sz w:val="13"/>
                            <w:szCs w:val="13"/>
                          </w:rPr>
                          <w:t>固相</w:t>
                        </w:r>
                      </w:p>
                    </w:txbxContent>
                  </v:textbox>
                </v:shape>
              </w:pict>
            </w:r>
            <w:r>
              <w:pict>
                <v:shape id="_x0000_s1267" o:spid="_x0000_s1267" o:spt="202" type="#_x0000_t202" style="position:absolute;left:0pt;margin-left:153.3pt;margin-top:0.35pt;height:16.9pt;width:39.5pt;z-index:2517688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44" w:type="dxa"/>
                          <w:tblInd w:w="22"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PrEx>
                          <w:trPr>
                            <w:trHeight w:val="277" w:hRule="atLeast"/>
                          </w:trPr>
                          <w:tc>
                            <w:tcPr>
                              <w:tcW w:w="744" w:type="dxa"/>
                              <w:vAlign w:val="top"/>
                            </w:tcPr>
                            <w:p>
                              <w:pPr>
                                <w:pStyle w:val="6"/>
                                <w:spacing w:before="68" w:line="229" w:lineRule="auto"/>
                                <w:ind w:left="47"/>
                                <w:rPr>
                                  <w:sz w:val="13"/>
                                  <w:szCs w:val="13"/>
                                </w:rPr>
                              </w:pPr>
                              <w:r>
                                <w:rPr>
                                  <w:spacing w:val="-1"/>
                                  <w:sz w:val="13"/>
                                  <w:szCs w:val="13"/>
                                </w:rPr>
                                <w:t>岩屑堆放场</w:t>
                              </w:r>
                            </w:p>
                          </w:tc>
                        </w:tr>
                      </w:tbl>
                      <w:p>
                        <w:pPr>
                          <w:rPr>
                            <w:rFonts w:ascii="Arial"/>
                            <w:sz w:val="21"/>
                          </w:rPr>
                        </w:pPr>
                      </w:p>
                    </w:txbxContent>
                  </v:textbox>
                </v:shape>
              </w:pict>
            </w:r>
            <w:r>
              <w:rPr>
                <w:sz w:val="13"/>
                <w:szCs w:val="13"/>
                <w:u w:val="single" w:color="auto"/>
              </w:rPr>
              <w:tab/>
            </w:r>
            <w:r>
              <w:rPr>
                <w:spacing w:val="-6"/>
                <w:sz w:val="13"/>
                <w:szCs w:val="13"/>
                <w:u w:val="single" w:color="auto"/>
              </w:rPr>
              <w:t>液相</w:t>
            </w:r>
            <w:r>
              <w:rPr>
                <w:sz w:val="13"/>
                <w:szCs w:val="13"/>
                <w:u w:val="single" w:color="auto"/>
              </w:rPr>
              <w:t xml:space="preserve">                       </w:t>
            </w:r>
          </w:p>
          <w:p>
            <w:pPr>
              <w:pStyle w:val="6"/>
              <w:spacing w:before="319" w:line="480" w:lineRule="exact"/>
              <w:ind w:left="2049"/>
              <w:rPr>
                <w:sz w:val="24"/>
                <w:szCs w:val="24"/>
              </w:rPr>
            </w:pPr>
            <w:r>
              <w:rPr>
                <w:spacing w:val="-1"/>
                <w:position w:val="18"/>
                <w:sz w:val="24"/>
                <w:szCs w:val="24"/>
                <w14:textOutline w14:w="4354" w14:cap="flat" w14:cmpd="sng">
                  <w14:solidFill>
                    <w14:srgbClr w14:val="000000"/>
                  </w14:solidFill>
                  <w14:prstDash w14:val="solid"/>
                  <w14:miter w14:val="10"/>
                </w14:textOutline>
              </w:rPr>
              <w:t>图</w:t>
            </w:r>
            <w:r>
              <w:rPr>
                <w:spacing w:val="-52"/>
                <w:position w:val="18"/>
                <w:sz w:val="24"/>
                <w:szCs w:val="24"/>
              </w:rPr>
              <w:t xml:space="preserve"> </w:t>
            </w:r>
            <w:r>
              <w:rPr>
                <w:rFonts w:ascii="Times New Roman" w:hAnsi="Times New Roman" w:eastAsia="Times New Roman" w:cs="Times New Roman"/>
                <w:b/>
                <w:bCs/>
                <w:spacing w:val="-1"/>
                <w:position w:val="18"/>
                <w:sz w:val="24"/>
                <w:szCs w:val="24"/>
              </w:rPr>
              <w:t xml:space="preserve">2.12-5    </w:t>
            </w:r>
            <w:r>
              <w:rPr>
                <w:spacing w:val="-1"/>
                <w:position w:val="18"/>
                <w:sz w:val="24"/>
                <w:szCs w:val="24"/>
                <w14:textOutline w14:w="4354" w14:cap="flat" w14:cmpd="sng">
                  <w14:solidFill>
                    <w14:srgbClr w14:val="000000"/>
                  </w14:solidFill>
                  <w14:prstDash w14:val="solid"/>
                  <w14:miter w14:val="10"/>
                </w14:textOutline>
              </w:rPr>
              <w:t>清洁化操作平台水基泥浆处理流程</w:t>
            </w:r>
          </w:p>
          <w:p>
            <w:pPr>
              <w:pStyle w:val="6"/>
              <w:spacing w:before="1" w:line="217" w:lineRule="auto"/>
              <w:ind w:left="586"/>
              <w:rPr>
                <w:sz w:val="24"/>
                <w:szCs w:val="24"/>
              </w:rPr>
            </w:pPr>
            <w:r>
              <w:rPr>
                <w:sz w:val="24"/>
                <w:szCs w:val="24"/>
                <w14:textOutline w14:w="4354" w14:cap="flat" w14:cmpd="sng">
                  <w14:solidFill>
                    <w14:srgbClr w14:val="000000"/>
                  </w14:solidFill>
                  <w14:prstDash w14:val="solid"/>
                  <w14:miter w14:val="10"/>
                </w14:textOutline>
              </w:rPr>
              <w:t>③油基钻井液钻井阶段</w:t>
            </w:r>
          </w:p>
          <w:p>
            <w:pPr>
              <w:pStyle w:val="6"/>
              <w:spacing w:before="198" w:line="369" w:lineRule="auto"/>
              <w:ind w:left="104" w:right="102" w:firstLine="484"/>
              <w:jc w:val="both"/>
              <w:rPr>
                <w:sz w:val="24"/>
                <w:szCs w:val="24"/>
              </w:rPr>
            </w:pPr>
            <w:r>
              <w:rPr>
                <w:spacing w:val="-7"/>
                <w:sz w:val="24"/>
                <w:szCs w:val="24"/>
              </w:rPr>
              <w:t>水基泥浆钻阶段完成后，</w:t>
            </w:r>
            <w:r>
              <w:rPr>
                <w:spacing w:val="39"/>
                <w:sz w:val="24"/>
                <w:szCs w:val="24"/>
              </w:rPr>
              <w:t xml:space="preserve"> </w:t>
            </w:r>
            <w:r>
              <w:rPr>
                <w:spacing w:val="-7"/>
                <w:sz w:val="24"/>
                <w:szCs w:val="24"/>
              </w:rPr>
              <w:t>本工程六开段（</w:t>
            </w:r>
            <w:r>
              <w:rPr>
                <w:rFonts w:ascii="Times New Roman" w:hAnsi="Times New Roman" w:eastAsia="Times New Roman" w:cs="Times New Roman"/>
                <w:spacing w:val="-7"/>
                <w:sz w:val="24"/>
                <w:szCs w:val="24"/>
              </w:rPr>
              <w:t>7135~7230m</w:t>
            </w:r>
            <w:r>
              <w:rPr>
                <w:spacing w:val="-7"/>
                <w:sz w:val="24"/>
                <w:szCs w:val="24"/>
              </w:rPr>
              <w:t>）采用油基泥浆钻井液钻</w:t>
            </w:r>
            <w:r>
              <w:rPr>
                <w:sz w:val="24"/>
                <w:szCs w:val="24"/>
              </w:rPr>
              <w:t xml:space="preserve"> </w:t>
            </w:r>
            <w:r>
              <w:rPr>
                <w:spacing w:val="2"/>
                <w:sz w:val="24"/>
                <w:szCs w:val="24"/>
              </w:rPr>
              <w:t>进。设计使用Φ</w:t>
            </w:r>
            <w:r>
              <w:rPr>
                <w:rFonts w:ascii="Times New Roman" w:hAnsi="Times New Roman" w:eastAsia="Times New Roman" w:cs="Times New Roman"/>
                <w:spacing w:val="2"/>
                <w:sz w:val="24"/>
                <w:szCs w:val="24"/>
              </w:rPr>
              <w:t>190.5</w:t>
            </w:r>
            <w:r>
              <w:rPr>
                <w:rFonts w:ascii="Times New Roman" w:hAnsi="Times New Roman" w:eastAsia="Times New Roman" w:cs="Times New Roman"/>
                <w:sz w:val="24"/>
                <w:szCs w:val="24"/>
              </w:rPr>
              <w:t>mm</w:t>
            </w:r>
            <w:r>
              <w:rPr>
                <w:rFonts w:ascii="Times New Roman" w:hAnsi="Times New Roman" w:eastAsia="Times New Roman" w:cs="Times New Roman"/>
                <w:spacing w:val="2"/>
                <w:sz w:val="24"/>
                <w:szCs w:val="24"/>
              </w:rPr>
              <w:t xml:space="preserve">  </w:t>
            </w:r>
            <w:r>
              <w:rPr>
                <w:spacing w:val="2"/>
                <w:sz w:val="24"/>
                <w:szCs w:val="24"/>
              </w:rPr>
              <w:t>钻头钻至完钻井深，悬挂回接Φ</w:t>
            </w:r>
            <w:r>
              <w:rPr>
                <w:rFonts w:ascii="Times New Roman" w:hAnsi="Times New Roman" w:eastAsia="Times New Roman" w:cs="Times New Roman"/>
                <w:spacing w:val="2"/>
                <w:sz w:val="24"/>
                <w:szCs w:val="24"/>
              </w:rPr>
              <w:t>193.68</w:t>
            </w:r>
            <w:r>
              <w:rPr>
                <w:rFonts w:ascii="Times New Roman" w:hAnsi="Times New Roman" w:eastAsia="Times New Roman" w:cs="Times New Roman"/>
                <w:sz w:val="24"/>
                <w:szCs w:val="24"/>
              </w:rPr>
              <w:t>mm</w:t>
            </w:r>
            <w:r>
              <w:rPr>
                <w:rFonts w:ascii="Times New Roman" w:hAnsi="Times New Roman" w:eastAsia="Times New Roman" w:cs="Times New Roman"/>
                <w:spacing w:val="2"/>
                <w:sz w:val="24"/>
                <w:szCs w:val="24"/>
              </w:rPr>
              <w:t>+</w:t>
            </w:r>
            <w:r>
              <w:rPr>
                <w:spacing w:val="2"/>
                <w:sz w:val="24"/>
                <w:szCs w:val="24"/>
              </w:rPr>
              <w:t>Φ</w:t>
            </w:r>
            <w:r>
              <w:rPr>
                <w:rFonts w:ascii="Times New Roman" w:hAnsi="Times New Roman" w:eastAsia="Times New Roman" w:cs="Times New Roman"/>
                <w:spacing w:val="2"/>
                <w:sz w:val="24"/>
                <w:szCs w:val="24"/>
              </w:rPr>
              <w:t>168.28</w:t>
            </w:r>
            <w:r>
              <w:rPr>
                <w:rFonts w:ascii="Times New Roman" w:hAnsi="Times New Roman" w:eastAsia="Times New Roman" w:cs="Times New Roman"/>
                <w:sz w:val="24"/>
                <w:szCs w:val="24"/>
              </w:rPr>
              <w:t>mm</w:t>
            </w:r>
            <w:r>
              <w:rPr>
                <w:rFonts w:ascii="Times New Roman" w:hAnsi="Times New Roman" w:eastAsia="Times New Roman" w:cs="Times New Roman"/>
                <w:spacing w:val="8"/>
                <w:sz w:val="24"/>
                <w:szCs w:val="24"/>
              </w:rPr>
              <w:t xml:space="preserve"> </w:t>
            </w:r>
            <w:r>
              <w:rPr>
                <w:spacing w:val="-6"/>
                <w:sz w:val="24"/>
                <w:szCs w:val="24"/>
              </w:rPr>
              <w:t>油层套管。项目水基泥浆和油基泥浆共用一套泥浆循环系统，</w:t>
            </w:r>
            <w:r>
              <w:rPr>
                <w:spacing w:val="64"/>
                <w:sz w:val="24"/>
                <w:szCs w:val="24"/>
              </w:rPr>
              <w:t xml:space="preserve"> </w:t>
            </w:r>
            <w:r>
              <w:rPr>
                <w:spacing w:val="-6"/>
                <w:sz w:val="24"/>
                <w:szCs w:val="24"/>
              </w:rPr>
              <w:t>钻井前需对泥浆循环</w:t>
            </w:r>
          </w:p>
          <w:p>
            <w:pPr>
              <w:pStyle w:val="6"/>
              <w:spacing w:before="1" w:line="219" w:lineRule="auto"/>
              <w:ind w:left="110"/>
              <w:rPr>
                <w:sz w:val="24"/>
                <w:szCs w:val="24"/>
              </w:rPr>
            </w:pPr>
            <w:r>
              <w:rPr>
                <w:spacing w:val="-5"/>
                <w:sz w:val="24"/>
                <w:szCs w:val="24"/>
              </w:rPr>
              <w:t>系统进行油水转换。</w:t>
            </w:r>
          </w:p>
          <w:p>
            <w:pPr>
              <w:pStyle w:val="6"/>
              <w:spacing w:before="196" w:line="369" w:lineRule="auto"/>
              <w:ind w:left="105" w:right="17" w:firstLine="484"/>
              <w:jc w:val="both"/>
              <w:rPr>
                <w:sz w:val="24"/>
                <w:szCs w:val="24"/>
              </w:rPr>
            </w:pPr>
            <w:r>
              <w:rPr>
                <w:spacing w:val="-6"/>
                <w:sz w:val="24"/>
                <w:szCs w:val="24"/>
              </w:rPr>
              <w:t>油基泥浆钻井时由电力带动钻机转盘转动，</w:t>
            </w:r>
            <w:r>
              <w:rPr>
                <w:spacing w:val="52"/>
                <w:sz w:val="24"/>
                <w:szCs w:val="24"/>
              </w:rPr>
              <w:t xml:space="preserve"> </w:t>
            </w:r>
            <w:r>
              <w:rPr>
                <w:spacing w:val="-6"/>
                <w:sz w:val="24"/>
                <w:szCs w:val="24"/>
              </w:rPr>
              <w:t>使</w:t>
            </w:r>
            <w:r>
              <w:rPr>
                <w:spacing w:val="-7"/>
                <w:sz w:val="24"/>
                <w:szCs w:val="24"/>
              </w:rPr>
              <w:t xml:space="preserve">钻杆切削地层，同时将油基钻井 </w:t>
            </w:r>
            <w:r>
              <w:rPr>
                <w:spacing w:val="-11"/>
                <w:sz w:val="24"/>
                <w:szCs w:val="24"/>
              </w:rPr>
              <w:t>液泵入钻杆注入井内高压冲刷井底地层，</w:t>
            </w:r>
            <w:r>
              <w:rPr>
                <w:spacing w:val="67"/>
                <w:sz w:val="24"/>
                <w:szCs w:val="24"/>
              </w:rPr>
              <w:t xml:space="preserve"> </w:t>
            </w:r>
            <w:r>
              <w:rPr>
                <w:spacing w:val="-11"/>
                <w:sz w:val="24"/>
                <w:szCs w:val="24"/>
              </w:rPr>
              <w:t>将钻头切削的岩屑不断地带至地面，</w:t>
            </w:r>
            <w:r>
              <w:rPr>
                <w:spacing w:val="52"/>
                <w:sz w:val="24"/>
                <w:szCs w:val="24"/>
              </w:rPr>
              <w:t xml:space="preserve"> </w:t>
            </w:r>
            <w:r>
              <w:rPr>
                <w:spacing w:val="-11"/>
                <w:sz w:val="24"/>
                <w:szCs w:val="24"/>
              </w:rPr>
              <w:t xml:space="preserve">利用 </w:t>
            </w:r>
            <w:r>
              <w:rPr>
                <w:spacing w:val="-6"/>
                <w:sz w:val="24"/>
                <w:szCs w:val="24"/>
              </w:rPr>
              <w:t>泥浆循环系统的振动筛和离心机对钻井液进行固液分离，</w:t>
            </w:r>
            <w:r>
              <w:rPr>
                <w:spacing w:val="54"/>
                <w:sz w:val="24"/>
                <w:szCs w:val="24"/>
              </w:rPr>
              <w:t xml:space="preserve"> </w:t>
            </w:r>
            <w:r>
              <w:rPr>
                <w:spacing w:val="-6"/>
                <w:sz w:val="24"/>
                <w:szCs w:val="24"/>
              </w:rPr>
              <w:t xml:space="preserve">分离出的液相—钻井液进 </w:t>
            </w:r>
            <w:r>
              <w:rPr>
                <w:spacing w:val="-9"/>
                <w:sz w:val="24"/>
                <w:szCs w:val="24"/>
              </w:rPr>
              <w:t>入泥浆循环罐内循环使用， 分离出的固相—岩</w:t>
            </w:r>
            <w:r>
              <w:rPr>
                <w:spacing w:val="-10"/>
                <w:sz w:val="24"/>
                <w:szCs w:val="24"/>
              </w:rPr>
              <w:t>屑，</w:t>
            </w:r>
            <w:r>
              <w:rPr>
                <w:spacing w:val="-69"/>
                <w:sz w:val="24"/>
                <w:szCs w:val="24"/>
              </w:rPr>
              <w:t xml:space="preserve"> </w:t>
            </w:r>
            <w:r>
              <w:rPr>
                <w:spacing w:val="-10"/>
                <w:sz w:val="24"/>
                <w:szCs w:val="24"/>
              </w:rPr>
              <w:t>转运至清洁化操作平台进行暂存。</w:t>
            </w:r>
          </w:p>
          <w:p>
            <w:pPr>
              <w:pStyle w:val="6"/>
              <w:spacing w:before="1" w:line="219" w:lineRule="auto"/>
              <w:ind w:left="106"/>
              <w:rPr>
                <w:sz w:val="24"/>
                <w:szCs w:val="24"/>
              </w:rPr>
            </w:pPr>
            <w:r>
              <w:rPr>
                <w:spacing w:val="-2"/>
                <w:sz w:val="24"/>
                <w:szCs w:val="24"/>
              </w:rPr>
              <w:t>钻至设计井深后停钻，并进行起下钻具、尾管悬挂、固井等作业。</w:t>
            </w:r>
          </w:p>
          <w:p>
            <w:pPr>
              <w:pStyle w:val="6"/>
              <w:spacing w:before="194" w:line="220" w:lineRule="auto"/>
              <w:ind w:left="589"/>
              <w:rPr>
                <w:sz w:val="24"/>
                <w:szCs w:val="24"/>
              </w:rPr>
            </w:pPr>
            <w:r>
              <w:rPr>
                <w:spacing w:val="-4"/>
                <w:sz w:val="24"/>
                <w:szCs w:val="24"/>
              </w:rPr>
              <w:t>油基钻井液回收工艺流程见下图。</w:t>
            </w:r>
          </w:p>
        </w:tc>
      </w:tr>
    </w:tbl>
    <w:p>
      <w:pPr>
        <w:pStyle w:val="2"/>
        <w:rPr>
          <w:sz w:val="21"/>
        </w:rPr>
      </w:pPr>
    </w:p>
    <w:p>
      <w:pPr>
        <w:rPr>
          <w:sz w:val="21"/>
          <w:szCs w:val="21"/>
        </w:rPr>
        <w:sectPr>
          <w:footerReference r:id="rId57" w:type="default"/>
          <w:pgSz w:w="11907" w:h="16839"/>
          <w:pgMar w:top="400" w:right="1298" w:bottom="1181"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1"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spacing w:before="4" w:line="5020" w:lineRule="exact"/>
              <w:ind w:firstLine="547"/>
            </w:pPr>
            <w:r>
              <w:rPr>
                <w:position w:val="-100"/>
              </w:rPr>
              <w:drawing>
                <wp:inline distT="0" distB="0" distL="0" distR="0">
                  <wp:extent cx="4895850" cy="31877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05"/>
                          <a:stretch>
                            <a:fillRect/>
                          </a:stretch>
                        </pic:blipFill>
                        <pic:spPr>
                          <a:xfrm>
                            <a:off x="0" y="0"/>
                            <a:ext cx="4896484" cy="3187700"/>
                          </a:xfrm>
                          <a:prstGeom prst="rect">
                            <a:avLst/>
                          </a:prstGeom>
                        </pic:spPr>
                      </pic:pic>
                    </a:graphicData>
                  </a:graphic>
                </wp:inline>
              </w:drawing>
            </w:r>
          </w:p>
          <w:p>
            <w:pPr>
              <w:pStyle w:val="6"/>
              <w:spacing w:before="178" w:line="220" w:lineRule="auto"/>
              <w:ind w:left="2229"/>
              <w:rPr>
                <w:sz w:val="24"/>
                <w:szCs w:val="24"/>
              </w:rPr>
            </w:pPr>
            <w:r>
              <w:rPr>
                <w:spacing w:val="-2"/>
                <w:sz w:val="24"/>
                <w:szCs w:val="24"/>
                <w14:textOutline w14:w="4354" w14:cap="flat" w14:cmpd="sng">
                  <w14:solidFill>
                    <w14:srgbClr w14:val="000000"/>
                  </w14:solidFill>
                  <w14:prstDash w14:val="solid"/>
                  <w14:miter w14:val="10"/>
                </w14:textOutline>
              </w:rPr>
              <w:t>图</w:t>
            </w:r>
            <w:r>
              <w:rPr>
                <w:spacing w:val="-33"/>
                <w:sz w:val="24"/>
                <w:szCs w:val="24"/>
              </w:rPr>
              <w:t xml:space="preserve"> </w:t>
            </w:r>
            <w:r>
              <w:rPr>
                <w:rFonts w:ascii="Times New Roman" w:hAnsi="Times New Roman" w:eastAsia="Times New Roman" w:cs="Times New Roman"/>
                <w:b/>
                <w:bCs/>
                <w:spacing w:val="-2"/>
                <w:sz w:val="24"/>
                <w:szCs w:val="24"/>
              </w:rPr>
              <w:t xml:space="preserve">2.12-6  </w:t>
            </w:r>
            <w:r>
              <w:rPr>
                <w:spacing w:val="-2"/>
                <w:sz w:val="24"/>
                <w:szCs w:val="24"/>
                <w14:textOutline w14:w="4354" w14:cap="flat" w14:cmpd="sng">
                  <w14:solidFill>
                    <w14:srgbClr w14:val="000000"/>
                  </w14:solidFill>
                  <w14:prstDash w14:val="solid"/>
                  <w14:miter w14:val="10"/>
                </w14:textOutline>
              </w:rPr>
              <w:t>油基钻井液阶段泥浆循环示意图</w:t>
            </w:r>
          </w:p>
          <w:p>
            <w:pPr>
              <w:pStyle w:val="6"/>
              <w:spacing w:before="196" w:line="369" w:lineRule="auto"/>
              <w:ind w:left="105" w:right="35" w:firstLine="484"/>
              <w:rPr>
                <w:sz w:val="24"/>
                <w:szCs w:val="24"/>
              </w:rPr>
            </w:pPr>
            <w:r>
              <w:rPr>
                <w:spacing w:val="6"/>
                <w:sz w:val="24"/>
                <w:szCs w:val="24"/>
              </w:rPr>
              <w:t>油基钻阶段中，返回地表的含屑钻井液通过管道排入泥浆循环系统内振动筛</w:t>
            </w:r>
            <w:r>
              <w:rPr>
                <w:spacing w:val="2"/>
                <w:sz w:val="24"/>
                <w:szCs w:val="24"/>
              </w:rPr>
              <w:t xml:space="preserve"> </w:t>
            </w:r>
            <w:r>
              <w:rPr>
                <w:spacing w:val="-9"/>
                <w:sz w:val="24"/>
                <w:szCs w:val="24"/>
              </w:rPr>
              <w:t>（筛孔直径约</w:t>
            </w:r>
            <w:r>
              <w:rPr>
                <w:spacing w:val="-23"/>
                <w:sz w:val="24"/>
                <w:szCs w:val="24"/>
              </w:rPr>
              <w:t xml:space="preserve"> </w:t>
            </w:r>
            <w:r>
              <w:rPr>
                <w:rFonts w:ascii="Times New Roman" w:hAnsi="Times New Roman" w:eastAsia="Times New Roman" w:cs="Times New Roman"/>
                <w:spacing w:val="-9"/>
                <w:sz w:val="24"/>
                <w:szCs w:val="24"/>
              </w:rPr>
              <w:t>0.1mm</w:t>
            </w:r>
            <w:r>
              <w:rPr>
                <w:spacing w:val="-9"/>
                <w:sz w:val="24"/>
                <w:szCs w:val="24"/>
              </w:rPr>
              <w:t>）进行固液分离，将钻井液中粒径大于</w:t>
            </w:r>
            <w:r>
              <w:rPr>
                <w:spacing w:val="-51"/>
                <w:sz w:val="24"/>
                <w:szCs w:val="24"/>
              </w:rPr>
              <w:t xml:space="preserve"> </w:t>
            </w:r>
            <w:r>
              <w:rPr>
                <w:rFonts w:ascii="Times New Roman" w:hAnsi="Times New Roman" w:eastAsia="Times New Roman" w:cs="Times New Roman"/>
                <w:spacing w:val="-9"/>
                <w:sz w:val="24"/>
                <w:szCs w:val="24"/>
              </w:rPr>
              <w:t>0.1mm</w:t>
            </w:r>
            <w:r>
              <w:rPr>
                <w:rFonts w:ascii="Times New Roman" w:hAnsi="Times New Roman" w:eastAsia="Times New Roman" w:cs="Times New Roman"/>
                <w:spacing w:val="30"/>
                <w:sz w:val="24"/>
                <w:szCs w:val="24"/>
              </w:rPr>
              <w:t xml:space="preserve"> </w:t>
            </w:r>
            <w:r>
              <w:rPr>
                <w:spacing w:val="-9"/>
                <w:sz w:val="24"/>
                <w:szCs w:val="24"/>
              </w:rPr>
              <w:t>的钻屑留于筛上，</w:t>
            </w:r>
            <w:r>
              <w:rPr>
                <w:sz w:val="24"/>
                <w:szCs w:val="24"/>
              </w:rPr>
              <w:t xml:space="preserve"> </w:t>
            </w:r>
            <w:r>
              <w:rPr>
                <w:spacing w:val="-5"/>
                <w:sz w:val="24"/>
                <w:szCs w:val="24"/>
              </w:rPr>
              <w:t>振动筛筛下的油基泥浆直接进入循环罐暂存，</w:t>
            </w:r>
            <w:r>
              <w:rPr>
                <w:spacing w:val="38"/>
                <w:sz w:val="24"/>
                <w:szCs w:val="24"/>
              </w:rPr>
              <w:t xml:space="preserve"> </w:t>
            </w:r>
            <w:r>
              <w:rPr>
                <w:spacing w:val="-5"/>
                <w:sz w:val="24"/>
                <w:szCs w:val="24"/>
              </w:rPr>
              <w:t>振动筛的筛</w:t>
            </w:r>
            <w:r>
              <w:rPr>
                <w:spacing w:val="-6"/>
                <w:sz w:val="24"/>
                <w:szCs w:val="24"/>
              </w:rPr>
              <w:t>上物质和除砂除泥器分离</w:t>
            </w:r>
            <w:r>
              <w:rPr>
                <w:sz w:val="24"/>
                <w:szCs w:val="24"/>
              </w:rPr>
              <w:t xml:space="preserve"> </w:t>
            </w:r>
            <w:r>
              <w:rPr>
                <w:spacing w:val="-5"/>
                <w:sz w:val="24"/>
                <w:szCs w:val="24"/>
              </w:rPr>
              <w:t>出的细小固相物质则通过螺旋传输器导入离心机脱出</w:t>
            </w:r>
            <w:r>
              <w:rPr>
                <w:spacing w:val="-6"/>
                <w:sz w:val="24"/>
                <w:szCs w:val="24"/>
              </w:rPr>
              <w:t>其中的油基泥浆，</w:t>
            </w:r>
            <w:r>
              <w:rPr>
                <w:spacing w:val="40"/>
                <w:sz w:val="24"/>
                <w:szCs w:val="24"/>
              </w:rPr>
              <w:t xml:space="preserve"> </w:t>
            </w:r>
            <w:r>
              <w:rPr>
                <w:spacing w:val="-6"/>
                <w:sz w:val="24"/>
                <w:szCs w:val="24"/>
              </w:rPr>
              <w:t>脱出的油基</w:t>
            </w:r>
            <w:r>
              <w:rPr>
                <w:sz w:val="24"/>
                <w:szCs w:val="24"/>
              </w:rPr>
              <w:t xml:space="preserve"> </w:t>
            </w:r>
            <w:r>
              <w:rPr>
                <w:spacing w:val="-5"/>
                <w:sz w:val="24"/>
                <w:szCs w:val="24"/>
              </w:rPr>
              <w:t>泥浆全部回用于钻井作业，</w:t>
            </w:r>
            <w:r>
              <w:rPr>
                <w:spacing w:val="39"/>
                <w:sz w:val="24"/>
                <w:szCs w:val="24"/>
              </w:rPr>
              <w:t xml:space="preserve"> </w:t>
            </w:r>
            <w:r>
              <w:rPr>
                <w:spacing w:val="-5"/>
                <w:sz w:val="24"/>
                <w:szCs w:val="24"/>
              </w:rPr>
              <w:t>剩余的油基岩屑经油基岩屑</w:t>
            </w:r>
            <w:r>
              <w:rPr>
                <w:spacing w:val="-6"/>
                <w:sz w:val="24"/>
                <w:szCs w:val="24"/>
              </w:rPr>
              <w:t>收集罐收集后暂存于清洁化</w:t>
            </w:r>
          </w:p>
          <w:p>
            <w:pPr>
              <w:pStyle w:val="6"/>
              <w:spacing w:line="219" w:lineRule="auto"/>
              <w:ind w:left="105"/>
              <w:rPr>
                <w:sz w:val="24"/>
                <w:szCs w:val="24"/>
              </w:rPr>
            </w:pPr>
            <w:r>
              <w:rPr>
                <w:spacing w:val="-1"/>
                <w:sz w:val="24"/>
                <w:szCs w:val="24"/>
              </w:rPr>
              <w:t>操作平台岩屑堆放区，交由有危废处置资质的公司处置。</w:t>
            </w:r>
          </w:p>
          <w:p>
            <w:pPr>
              <w:pStyle w:val="6"/>
              <w:spacing w:before="196" w:line="369" w:lineRule="auto"/>
              <w:ind w:left="104" w:right="100" w:firstLine="486"/>
              <w:rPr>
                <w:sz w:val="24"/>
                <w:szCs w:val="24"/>
              </w:rPr>
            </w:pPr>
            <w:r>
              <w:rPr>
                <w:spacing w:val="-6"/>
                <w:sz w:val="24"/>
                <w:szCs w:val="24"/>
              </w:rPr>
              <w:t>正常钻井期间对井场内场地清洁主要采取清扫作业方式，</w:t>
            </w:r>
            <w:r>
              <w:rPr>
                <w:spacing w:val="45"/>
                <w:sz w:val="24"/>
                <w:szCs w:val="24"/>
              </w:rPr>
              <w:t xml:space="preserve"> </w:t>
            </w:r>
            <w:r>
              <w:rPr>
                <w:spacing w:val="-6"/>
                <w:sz w:val="24"/>
                <w:szCs w:val="24"/>
              </w:rPr>
              <w:t>对工艺设备主要采取</w:t>
            </w:r>
            <w:r>
              <w:rPr>
                <w:sz w:val="24"/>
                <w:szCs w:val="24"/>
              </w:rPr>
              <w:t xml:space="preserve"> </w:t>
            </w:r>
            <w:r>
              <w:rPr>
                <w:spacing w:val="-11"/>
                <w:sz w:val="24"/>
                <w:szCs w:val="24"/>
              </w:rPr>
              <w:t>擦拭等用水量少的清洁方式，</w:t>
            </w:r>
            <w:r>
              <w:rPr>
                <w:spacing w:val="69"/>
                <w:sz w:val="24"/>
                <w:szCs w:val="24"/>
              </w:rPr>
              <w:t xml:space="preserve"> </w:t>
            </w:r>
            <w:r>
              <w:rPr>
                <w:spacing w:val="-11"/>
                <w:sz w:val="24"/>
                <w:szCs w:val="24"/>
              </w:rPr>
              <w:t>减少清洁用水以及废水产生量。在钻井中途停钻，</w:t>
            </w:r>
            <w:r>
              <w:rPr>
                <w:spacing w:val="56"/>
                <w:sz w:val="24"/>
                <w:szCs w:val="24"/>
              </w:rPr>
              <w:t xml:space="preserve"> </w:t>
            </w:r>
            <w:r>
              <w:rPr>
                <w:spacing w:val="-11"/>
                <w:sz w:val="24"/>
                <w:szCs w:val="24"/>
              </w:rPr>
              <w:t>起</w:t>
            </w:r>
            <w:r>
              <w:rPr>
                <w:sz w:val="24"/>
                <w:szCs w:val="24"/>
              </w:rPr>
              <w:t xml:space="preserve"> </w:t>
            </w:r>
            <w:r>
              <w:rPr>
                <w:spacing w:val="-1"/>
                <w:sz w:val="24"/>
                <w:szCs w:val="24"/>
              </w:rPr>
              <w:t>下钻具更换钻头等作业时需对井下钻井设备（钻杆、钻头等）进</w:t>
            </w:r>
            <w:r>
              <w:rPr>
                <w:spacing w:val="-2"/>
                <w:sz w:val="24"/>
                <w:szCs w:val="24"/>
              </w:rPr>
              <w:t>行冲洗清洁作业。</w:t>
            </w:r>
            <w:r>
              <w:rPr>
                <w:sz w:val="24"/>
                <w:szCs w:val="24"/>
              </w:rPr>
              <w:t xml:space="preserve"> </w:t>
            </w:r>
            <w:r>
              <w:rPr>
                <w:spacing w:val="-10"/>
                <w:sz w:val="24"/>
                <w:szCs w:val="24"/>
              </w:rPr>
              <w:t>井场内冲洗作业产水场内污水沟汇集到集水井</w:t>
            </w:r>
            <w:r>
              <w:rPr>
                <w:spacing w:val="-11"/>
                <w:sz w:val="24"/>
                <w:szCs w:val="24"/>
              </w:rPr>
              <w:t>，</w:t>
            </w:r>
            <w:r>
              <w:rPr>
                <w:spacing w:val="52"/>
                <w:sz w:val="24"/>
                <w:szCs w:val="24"/>
              </w:rPr>
              <w:t xml:space="preserve"> </w:t>
            </w:r>
            <w:r>
              <w:rPr>
                <w:spacing w:val="-11"/>
                <w:sz w:val="24"/>
                <w:szCs w:val="24"/>
              </w:rPr>
              <w:t>泵入后进入废水罐内，</w:t>
            </w:r>
            <w:r>
              <w:rPr>
                <w:spacing w:val="53"/>
                <w:sz w:val="24"/>
                <w:szCs w:val="24"/>
              </w:rPr>
              <w:t xml:space="preserve"> </w:t>
            </w:r>
            <w:r>
              <w:rPr>
                <w:spacing w:val="-11"/>
                <w:sz w:val="24"/>
                <w:szCs w:val="24"/>
              </w:rPr>
              <w:t>经废水处理</w:t>
            </w:r>
          </w:p>
          <w:p>
            <w:pPr>
              <w:pStyle w:val="6"/>
              <w:spacing w:line="219" w:lineRule="auto"/>
              <w:ind w:left="107"/>
              <w:rPr>
                <w:sz w:val="24"/>
                <w:szCs w:val="24"/>
              </w:rPr>
            </w:pPr>
            <w:r>
              <w:rPr>
                <w:spacing w:val="-2"/>
                <w:sz w:val="24"/>
                <w:szCs w:val="24"/>
              </w:rPr>
              <w:t>罐处理后上清液回用（用于补充水基泥浆的调配用水等）。</w:t>
            </w:r>
          </w:p>
          <w:p>
            <w:pPr>
              <w:pStyle w:val="6"/>
              <w:spacing w:before="197" w:line="369" w:lineRule="auto"/>
              <w:ind w:left="106" w:right="103" w:firstLine="478"/>
              <w:rPr>
                <w:sz w:val="24"/>
                <w:szCs w:val="24"/>
              </w:rPr>
            </w:pPr>
            <w:r>
              <w:rPr>
                <w:spacing w:val="-6"/>
                <w:sz w:val="24"/>
                <w:szCs w:val="24"/>
              </w:rPr>
              <w:t>场地雨水实行清污分流，</w:t>
            </w:r>
            <w:r>
              <w:rPr>
                <w:spacing w:val="55"/>
                <w:sz w:val="24"/>
                <w:szCs w:val="24"/>
              </w:rPr>
              <w:t xml:space="preserve"> </w:t>
            </w:r>
            <w:r>
              <w:rPr>
                <w:spacing w:val="-6"/>
                <w:sz w:val="24"/>
                <w:szCs w:val="24"/>
              </w:rPr>
              <w:t>场内井架基础、设备</w:t>
            </w:r>
            <w:r>
              <w:rPr>
                <w:spacing w:val="-7"/>
                <w:sz w:val="24"/>
                <w:szCs w:val="24"/>
              </w:rPr>
              <w:t>基础等区域为污染区（含泥浆循</w:t>
            </w:r>
            <w:r>
              <w:rPr>
                <w:sz w:val="24"/>
                <w:szCs w:val="24"/>
              </w:rPr>
              <w:t xml:space="preserve"> </w:t>
            </w:r>
            <w:r>
              <w:rPr>
                <w:spacing w:val="-10"/>
                <w:sz w:val="24"/>
                <w:szCs w:val="24"/>
              </w:rPr>
              <w:t>环区、泥浆罐区、方井、柴油动力机组等工艺区</w:t>
            </w:r>
            <w:r>
              <w:rPr>
                <w:spacing w:val="-18"/>
                <w:sz w:val="24"/>
                <w:szCs w:val="24"/>
              </w:rPr>
              <w:t>）</w:t>
            </w:r>
            <w:r>
              <w:rPr>
                <w:spacing w:val="41"/>
                <w:sz w:val="24"/>
                <w:szCs w:val="24"/>
              </w:rPr>
              <w:t xml:space="preserve"> </w:t>
            </w:r>
            <w:r>
              <w:rPr>
                <w:spacing w:val="-18"/>
                <w:sz w:val="24"/>
                <w:szCs w:val="24"/>
              </w:rPr>
              <w:t>，</w:t>
            </w:r>
            <w:r>
              <w:rPr>
                <w:spacing w:val="-10"/>
                <w:sz w:val="24"/>
                <w:szCs w:val="24"/>
              </w:rPr>
              <w:t>设有集水坑，</w:t>
            </w:r>
            <w:r>
              <w:rPr>
                <w:spacing w:val="60"/>
                <w:sz w:val="24"/>
                <w:szCs w:val="24"/>
              </w:rPr>
              <w:t xml:space="preserve"> </w:t>
            </w:r>
            <w:r>
              <w:rPr>
                <w:spacing w:val="-10"/>
                <w:sz w:val="24"/>
                <w:szCs w:val="24"/>
              </w:rPr>
              <w:t>污染区雨水汇入</w:t>
            </w:r>
            <w:r>
              <w:rPr>
                <w:sz w:val="24"/>
                <w:szCs w:val="24"/>
              </w:rPr>
              <w:t xml:space="preserve"> </w:t>
            </w:r>
            <w:r>
              <w:rPr>
                <w:spacing w:val="-9"/>
                <w:sz w:val="24"/>
                <w:szCs w:val="24"/>
              </w:rPr>
              <w:t>坑中， 泵提升至清洁生产操作平台设置的废水罐内，</w:t>
            </w:r>
            <w:r>
              <w:rPr>
                <w:spacing w:val="58"/>
                <w:sz w:val="24"/>
                <w:szCs w:val="24"/>
              </w:rPr>
              <w:t xml:space="preserve"> </w:t>
            </w:r>
            <w:r>
              <w:rPr>
                <w:spacing w:val="-9"/>
                <w:sz w:val="24"/>
                <w:szCs w:val="24"/>
              </w:rPr>
              <w:t>经废水处理罐处理后上清液回</w:t>
            </w:r>
          </w:p>
          <w:p>
            <w:pPr>
              <w:pStyle w:val="6"/>
              <w:spacing w:line="219" w:lineRule="auto"/>
              <w:ind w:left="107"/>
              <w:rPr>
                <w:sz w:val="24"/>
                <w:szCs w:val="24"/>
              </w:rPr>
            </w:pPr>
            <w:r>
              <w:rPr>
                <w:spacing w:val="-3"/>
                <w:sz w:val="24"/>
                <w:szCs w:val="24"/>
              </w:rPr>
              <w:t>用（用于补充水基泥浆的调配用水等）。</w:t>
            </w:r>
          </w:p>
          <w:p>
            <w:pPr>
              <w:pStyle w:val="6"/>
              <w:spacing w:before="195" w:line="480" w:lineRule="exact"/>
              <w:ind w:left="588"/>
              <w:rPr>
                <w:sz w:val="24"/>
                <w:szCs w:val="24"/>
              </w:rPr>
            </w:pPr>
            <w:r>
              <w:rPr>
                <w:spacing w:val="-6"/>
                <w:position w:val="18"/>
                <w:sz w:val="24"/>
                <w:szCs w:val="24"/>
              </w:rPr>
              <w:t>为保障该井清洁化生产方案的顺利实施，</w:t>
            </w:r>
            <w:r>
              <w:rPr>
                <w:spacing w:val="48"/>
                <w:position w:val="18"/>
                <w:sz w:val="24"/>
                <w:szCs w:val="24"/>
              </w:rPr>
              <w:t xml:space="preserve"> </w:t>
            </w:r>
            <w:r>
              <w:rPr>
                <w:spacing w:val="-6"/>
                <w:position w:val="18"/>
                <w:sz w:val="24"/>
                <w:szCs w:val="24"/>
              </w:rPr>
              <w:t>利用应急池作为项目钻井过程中实施</w:t>
            </w:r>
          </w:p>
          <w:p>
            <w:pPr>
              <w:pStyle w:val="6"/>
              <w:spacing w:line="219" w:lineRule="auto"/>
              <w:ind w:left="125"/>
              <w:rPr>
                <w:sz w:val="24"/>
                <w:szCs w:val="24"/>
              </w:rPr>
            </w:pPr>
            <w:r>
              <w:rPr>
                <w:spacing w:val="-4"/>
                <w:sz w:val="24"/>
                <w:szCs w:val="24"/>
              </w:rPr>
              <w:t>的清洁化生产方案的事故水池备用。</w:t>
            </w:r>
          </w:p>
        </w:tc>
      </w:tr>
    </w:tbl>
    <w:p>
      <w:pPr>
        <w:pStyle w:val="2"/>
        <w:rPr>
          <w:sz w:val="21"/>
        </w:rPr>
      </w:pPr>
    </w:p>
    <w:p>
      <w:pPr>
        <w:rPr>
          <w:sz w:val="21"/>
          <w:szCs w:val="21"/>
        </w:rPr>
        <w:sectPr>
          <w:footerReference r:id="rId58"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220" w:lineRule="auto"/>
              <w:ind w:left="594"/>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3</w:t>
            </w:r>
            <w:r>
              <w:rPr>
                <w:spacing w:val="-3"/>
                <w:sz w:val="24"/>
                <w:szCs w:val="24"/>
                <w14:textOutline w14:w="4354" w14:cap="flat" w14:cmpd="sng">
                  <w14:solidFill>
                    <w14:srgbClr w14:val="000000"/>
                  </w14:solidFill>
                  <w14:prstDash w14:val="solid"/>
                  <w14:miter w14:val="10"/>
                </w14:textOutline>
              </w:rPr>
              <w:t>）固井作业</w:t>
            </w:r>
          </w:p>
          <w:p>
            <w:pPr>
              <w:pStyle w:val="6"/>
              <w:spacing w:before="194" w:line="369" w:lineRule="auto"/>
              <w:ind w:left="125" w:right="100" w:firstLine="480"/>
              <w:rPr>
                <w:sz w:val="24"/>
                <w:szCs w:val="24"/>
              </w:rPr>
            </w:pPr>
            <w:r>
              <w:rPr>
                <w:spacing w:val="-7"/>
                <w:sz w:val="24"/>
                <w:szCs w:val="24"/>
              </w:rPr>
              <w:t>固井是钻井达到预定深度后，下入套管并注入钻井泥浆，</w:t>
            </w:r>
            <w:r>
              <w:rPr>
                <w:spacing w:val="63"/>
                <w:sz w:val="24"/>
                <w:szCs w:val="24"/>
              </w:rPr>
              <w:t xml:space="preserve"> </w:t>
            </w:r>
            <w:r>
              <w:rPr>
                <w:spacing w:val="-7"/>
                <w:sz w:val="24"/>
                <w:szCs w:val="24"/>
              </w:rPr>
              <w:t>封固套管和井壁之间</w:t>
            </w:r>
            <w:r>
              <w:rPr>
                <w:sz w:val="24"/>
                <w:szCs w:val="24"/>
              </w:rPr>
              <w:t xml:space="preserve"> </w:t>
            </w:r>
            <w:r>
              <w:rPr>
                <w:spacing w:val="-12"/>
                <w:sz w:val="24"/>
                <w:szCs w:val="24"/>
              </w:rPr>
              <w:t>的环形空间的作业。固井主要是注入水泥，</w:t>
            </w:r>
            <w:r>
              <w:rPr>
                <w:spacing w:val="64"/>
                <w:sz w:val="24"/>
                <w:szCs w:val="24"/>
              </w:rPr>
              <w:t xml:space="preserve"> </w:t>
            </w:r>
            <w:r>
              <w:rPr>
                <w:spacing w:val="-12"/>
                <w:sz w:val="24"/>
                <w:szCs w:val="24"/>
              </w:rPr>
              <w:t>基本无污染物产生，</w:t>
            </w:r>
            <w:r>
              <w:rPr>
                <w:spacing w:val="77"/>
                <w:sz w:val="24"/>
                <w:szCs w:val="24"/>
              </w:rPr>
              <w:t xml:space="preserve"> </w:t>
            </w:r>
            <w:r>
              <w:rPr>
                <w:spacing w:val="-12"/>
                <w:sz w:val="24"/>
                <w:szCs w:val="24"/>
              </w:rPr>
              <w:t>固井过程分为三步</w:t>
            </w:r>
          </w:p>
          <w:p>
            <w:pPr>
              <w:pStyle w:val="6"/>
              <w:spacing w:line="220" w:lineRule="auto"/>
              <w:ind w:left="109"/>
              <w:rPr>
                <w:sz w:val="24"/>
                <w:szCs w:val="24"/>
              </w:rPr>
            </w:pPr>
            <w:r>
              <w:rPr>
                <w:spacing w:val="-16"/>
                <w:sz w:val="24"/>
                <w:szCs w:val="24"/>
              </w:rPr>
              <w:t>如下：</w:t>
            </w:r>
          </w:p>
          <w:p>
            <w:pPr>
              <w:pStyle w:val="6"/>
              <w:spacing w:before="194" w:line="217" w:lineRule="auto"/>
              <w:ind w:left="584"/>
              <w:rPr>
                <w:sz w:val="24"/>
                <w:szCs w:val="24"/>
              </w:rPr>
            </w:pPr>
            <w:r>
              <w:rPr>
                <w:spacing w:val="-5"/>
                <w:sz w:val="24"/>
                <w:szCs w:val="24"/>
              </w:rPr>
              <w:t>①</w:t>
            </w:r>
            <w:r>
              <w:rPr>
                <w:spacing w:val="16"/>
                <w:sz w:val="24"/>
                <w:szCs w:val="24"/>
              </w:rPr>
              <w:t xml:space="preserve"> </w:t>
            </w:r>
            <w:r>
              <w:rPr>
                <w:spacing w:val="-5"/>
                <w:sz w:val="24"/>
                <w:szCs w:val="24"/>
              </w:rPr>
              <w:t>下套管</w:t>
            </w:r>
          </w:p>
          <w:p>
            <w:pPr>
              <w:pStyle w:val="6"/>
              <w:spacing w:before="199" w:line="369" w:lineRule="auto"/>
              <w:ind w:left="106" w:right="99" w:firstLine="480"/>
              <w:rPr>
                <w:sz w:val="24"/>
                <w:szCs w:val="24"/>
              </w:rPr>
            </w:pPr>
            <w:r>
              <w:rPr>
                <w:spacing w:val="-1"/>
                <w:sz w:val="24"/>
                <w:szCs w:val="24"/>
              </w:rPr>
              <w:t xml:space="preserve">套管有不同的尺寸和钢级。本工程套管固井时一开使用 </w:t>
            </w:r>
            <w:r>
              <w:rPr>
                <w:rFonts w:ascii="Times New Roman" w:hAnsi="Times New Roman" w:eastAsia="Times New Roman" w:cs="Times New Roman"/>
                <w:spacing w:val="-1"/>
                <w:sz w:val="24"/>
                <w:szCs w:val="24"/>
              </w:rPr>
              <w:t>720</w:t>
            </w:r>
            <w:r>
              <w:rPr>
                <w:rFonts w:ascii="Times New Roman" w:hAnsi="Times New Roman" w:eastAsia="Times New Roman" w:cs="Times New Roman"/>
                <w:spacing w:val="-2"/>
                <w:sz w:val="24"/>
                <w:szCs w:val="24"/>
              </w:rPr>
              <w:t xml:space="preserve">mm  </w:t>
            </w:r>
            <w:r>
              <w:rPr>
                <w:spacing w:val="-2"/>
                <w:sz w:val="24"/>
                <w:szCs w:val="24"/>
              </w:rPr>
              <w:t>的套管，二开</w:t>
            </w:r>
            <w:r>
              <w:rPr>
                <w:sz w:val="24"/>
                <w:szCs w:val="24"/>
              </w:rPr>
              <w:t xml:space="preserve"> </w:t>
            </w:r>
            <w:r>
              <w:rPr>
                <w:spacing w:val="-8"/>
                <w:sz w:val="24"/>
                <w:szCs w:val="24"/>
              </w:rPr>
              <w:t>固井使用</w:t>
            </w:r>
            <w:r>
              <w:rPr>
                <w:spacing w:val="-41"/>
                <w:sz w:val="24"/>
                <w:szCs w:val="24"/>
              </w:rPr>
              <w:t xml:space="preserve"> </w:t>
            </w:r>
            <w:r>
              <w:rPr>
                <w:rFonts w:ascii="Times New Roman" w:hAnsi="Times New Roman" w:eastAsia="Times New Roman" w:cs="Times New Roman"/>
                <w:spacing w:val="-8"/>
                <w:sz w:val="24"/>
                <w:szCs w:val="24"/>
              </w:rPr>
              <w:t>508mm</w:t>
            </w:r>
            <w:r>
              <w:rPr>
                <w:rFonts w:ascii="Times New Roman" w:hAnsi="Times New Roman" w:eastAsia="Times New Roman" w:cs="Times New Roman"/>
                <w:spacing w:val="29"/>
                <w:w w:val="101"/>
                <w:sz w:val="24"/>
                <w:szCs w:val="24"/>
              </w:rPr>
              <w:t xml:space="preserve"> </w:t>
            </w:r>
            <w:r>
              <w:rPr>
                <w:spacing w:val="-8"/>
                <w:sz w:val="24"/>
                <w:szCs w:val="24"/>
              </w:rPr>
              <w:t>的套管，</w:t>
            </w:r>
            <w:r>
              <w:rPr>
                <w:spacing w:val="-29"/>
                <w:sz w:val="24"/>
                <w:szCs w:val="24"/>
              </w:rPr>
              <w:t xml:space="preserve"> </w:t>
            </w:r>
            <w:r>
              <w:rPr>
                <w:spacing w:val="-8"/>
                <w:sz w:val="24"/>
                <w:szCs w:val="24"/>
              </w:rPr>
              <w:t>三开使用</w:t>
            </w:r>
            <w:r>
              <w:rPr>
                <w:spacing w:val="-50"/>
                <w:sz w:val="24"/>
                <w:szCs w:val="24"/>
              </w:rPr>
              <w:t xml:space="preserve"> </w:t>
            </w:r>
            <w:r>
              <w:rPr>
                <w:rFonts w:ascii="Times New Roman" w:hAnsi="Times New Roman" w:eastAsia="Times New Roman" w:cs="Times New Roman"/>
                <w:spacing w:val="-8"/>
                <w:sz w:val="24"/>
                <w:szCs w:val="24"/>
              </w:rPr>
              <w:t>374.65+365.13mm</w:t>
            </w:r>
            <w:r>
              <w:rPr>
                <w:rFonts w:ascii="Times New Roman" w:hAnsi="Times New Roman" w:eastAsia="Times New Roman" w:cs="Times New Roman"/>
                <w:spacing w:val="30"/>
                <w:sz w:val="24"/>
                <w:szCs w:val="24"/>
              </w:rPr>
              <w:t xml:space="preserve"> </w:t>
            </w:r>
            <w:r>
              <w:rPr>
                <w:spacing w:val="-8"/>
                <w:sz w:val="24"/>
                <w:szCs w:val="24"/>
              </w:rPr>
              <w:t>的套管， 四开使用</w:t>
            </w:r>
            <w:r>
              <w:rPr>
                <w:spacing w:val="-54"/>
                <w:sz w:val="24"/>
                <w:szCs w:val="24"/>
              </w:rPr>
              <w:t xml:space="preserve"> </w:t>
            </w:r>
            <w:r>
              <w:rPr>
                <w:rFonts w:ascii="Times New Roman" w:hAnsi="Times New Roman" w:eastAsia="Times New Roman" w:cs="Times New Roman"/>
                <w:spacing w:val="-8"/>
                <w:sz w:val="24"/>
                <w:szCs w:val="24"/>
              </w:rPr>
              <w:t>282.58mm</w:t>
            </w:r>
            <w:r>
              <w:rPr>
                <w:rFonts w:ascii="Times New Roman" w:hAnsi="Times New Roman" w:eastAsia="Times New Roman" w:cs="Times New Roman"/>
                <w:sz w:val="24"/>
                <w:szCs w:val="24"/>
              </w:rPr>
              <w:t xml:space="preserve"> </w:t>
            </w:r>
            <w:r>
              <w:rPr>
                <w:spacing w:val="-5"/>
                <w:sz w:val="24"/>
                <w:szCs w:val="24"/>
              </w:rPr>
              <w:t>的套管、五开使用</w:t>
            </w:r>
            <w:r>
              <w:rPr>
                <w:spacing w:val="-49"/>
                <w:sz w:val="24"/>
                <w:szCs w:val="24"/>
              </w:rPr>
              <w:t xml:space="preserve"> </w:t>
            </w:r>
            <w:r>
              <w:rPr>
                <w:rFonts w:ascii="Times New Roman" w:hAnsi="Times New Roman" w:eastAsia="Times New Roman" w:cs="Times New Roman"/>
                <w:spacing w:val="-5"/>
                <w:sz w:val="24"/>
                <w:szCs w:val="24"/>
              </w:rPr>
              <w:t>219.08mm</w:t>
            </w:r>
            <w:r>
              <w:rPr>
                <w:rFonts w:ascii="Times New Roman" w:hAnsi="Times New Roman" w:eastAsia="Times New Roman" w:cs="Times New Roman"/>
                <w:spacing w:val="30"/>
                <w:sz w:val="24"/>
                <w:szCs w:val="24"/>
              </w:rPr>
              <w:t xml:space="preserve"> </w:t>
            </w:r>
            <w:r>
              <w:rPr>
                <w:spacing w:val="-5"/>
                <w:sz w:val="24"/>
                <w:szCs w:val="24"/>
              </w:rPr>
              <w:t>的套管， 六开使用</w:t>
            </w:r>
            <w:r>
              <w:rPr>
                <w:spacing w:val="-32"/>
                <w:sz w:val="24"/>
                <w:szCs w:val="24"/>
              </w:rPr>
              <w:t xml:space="preserve"> </w:t>
            </w:r>
            <w:r>
              <w:rPr>
                <w:rFonts w:ascii="Times New Roman" w:hAnsi="Times New Roman" w:eastAsia="Times New Roman" w:cs="Times New Roman"/>
                <w:spacing w:val="-5"/>
                <w:sz w:val="24"/>
                <w:szCs w:val="24"/>
              </w:rPr>
              <w:t>193.68+168.28mm</w:t>
            </w:r>
            <w:r>
              <w:rPr>
                <w:rFonts w:ascii="Times New Roman" w:hAnsi="Times New Roman" w:eastAsia="Times New Roman" w:cs="Times New Roman"/>
                <w:spacing w:val="30"/>
                <w:sz w:val="24"/>
                <w:szCs w:val="24"/>
              </w:rPr>
              <w:t xml:space="preserve"> </w:t>
            </w:r>
            <w:r>
              <w:rPr>
                <w:spacing w:val="-5"/>
                <w:sz w:val="24"/>
                <w:szCs w:val="24"/>
              </w:rPr>
              <w:t>的套管。根据用</w:t>
            </w:r>
            <w:r>
              <w:rPr>
                <w:sz w:val="24"/>
                <w:szCs w:val="24"/>
              </w:rPr>
              <w:t xml:space="preserve"> </w:t>
            </w:r>
            <w:r>
              <w:rPr>
                <w:spacing w:val="-11"/>
                <w:sz w:val="24"/>
                <w:szCs w:val="24"/>
              </w:rPr>
              <w:t>途、地层预测压力和套管下入深度设计套管的强度，</w:t>
            </w:r>
            <w:r>
              <w:rPr>
                <w:spacing w:val="70"/>
                <w:sz w:val="24"/>
                <w:szCs w:val="24"/>
              </w:rPr>
              <w:t xml:space="preserve"> </w:t>
            </w:r>
            <w:r>
              <w:rPr>
                <w:spacing w:val="-11"/>
                <w:sz w:val="24"/>
                <w:szCs w:val="24"/>
              </w:rPr>
              <w:t>确定套管的使用壁厚，</w:t>
            </w:r>
            <w:r>
              <w:rPr>
                <w:spacing w:val="54"/>
                <w:sz w:val="24"/>
                <w:szCs w:val="24"/>
              </w:rPr>
              <w:t xml:space="preserve"> </w:t>
            </w:r>
            <w:r>
              <w:rPr>
                <w:spacing w:val="-11"/>
                <w:sz w:val="24"/>
                <w:szCs w:val="24"/>
              </w:rPr>
              <w:t>钢级和</w:t>
            </w:r>
          </w:p>
          <w:p>
            <w:pPr>
              <w:pStyle w:val="6"/>
              <w:spacing w:line="219" w:lineRule="auto"/>
              <w:ind w:left="107"/>
              <w:rPr>
                <w:sz w:val="24"/>
                <w:szCs w:val="24"/>
              </w:rPr>
            </w:pPr>
            <w:r>
              <w:rPr>
                <w:spacing w:val="-8"/>
                <w:sz w:val="24"/>
                <w:szCs w:val="24"/>
              </w:rPr>
              <w:t>丝扣类型。</w:t>
            </w:r>
          </w:p>
          <w:p>
            <w:pPr>
              <w:pStyle w:val="6"/>
              <w:spacing w:before="195" w:line="217" w:lineRule="auto"/>
              <w:ind w:left="584"/>
              <w:rPr>
                <w:sz w:val="24"/>
                <w:szCs w:val="24"/>
              </w:rPr>
            </w:pPr>
            <w:r>
              <w:rPr>
                <w:spacing w:val="-2"/>
                <w:sz w:val="24"/>
                <w:szCs w:val="24"/>
              </w:rPr>
              <w:t>②注水泥</w:t>
            </w:r>
          </w:p>
          <w:p>
            <w:pPr>
              <w:pStyle w:val="6"/>
              <w:spacing w:before="198" w:line="369" w:lineRule="auto"/>
              <w:ind w:left="121" w:right="100" w:firstLine="464"/>
              <w:rPr>
                <w:sz w:val="24"/>
                <w:szCs w:val="24"/>
              </w:rPr>
            </w:pPr>
            <w:r>
              <w:rPr>
                <w:spacing w:val="6"/>
                <w:sz w:val="24"/>
                <w:szCs w:val="24"/>
              </w:rPr>
              <w:t>注水泥就是在地面上将水泥浆通过套管柱注入到井眼与套管柱之间的环形空</w:t>
            </w:r>
            <w:r>
              <w:rPr>
                <w:spacing w:val="4"/>
                <w:sz w:val="24"/>
                <w:szCs w:val="24"/>
              </w:rPr>
              <w:t xml:space="preserve"> </w:t>
            </w:r>
            <w:r>
              <w:rPr>
                <w:spacing w:val="-2"/>
                <w:sz w:val="24"/>
                <w:szCs w:val="24"/>
              </w:rPr>
              <w:t>间中的过程。固井的主要目的是封隔疏松的易塌、易漏地层；封</w:t>
            </w:r>
            <w:r>
              <w:rPr>
                <w:spacing w:val="-3"/>
                <w:sz w:val="24"/>
                <w:szCs w:val="24"/>
              </w:rPr>
              <w:t>隔油、气、水层，</w:t>
            </w:r>
            <w:r>
              <w:rPr>
                <w:sz w:val="24"/>
                <w:szCs w:val="24"/>
              </w:rPr>
              <w:t xml:space="preserve"> </w:t>
            </w:r>
            <w:r>
              <w:rPr>
                <w:spacing w:val="-7"/>
                <w:sz w:val="24"/>
                <w:szCs w:val="24"/>
              </w:rPr>
              <w:t>防止互相窜漏，</w:t>
            </w:r>
            <w:r>
              <w:rPr>
                <w:spacing w:val="85"/>
                <w:sz w:val="24"/>
                <w:szCs w:val="24"/>
              </w:rPr>
              <w:t xml:space="preserve"> </w:t>
            </w:r>
            <w:r>
              <w:rPr>
                <w:spacing w:val="-7"/>
                <w:sz w:val="24"/>
                <w:szCs w:val="24"/>
              </w:rPr>
              <w:t>防止钻遇气层天然气泄漏。固井作业的主要设备有下灰罐车、混合</w:t>
            </w:r>
          </w:p>
          <w:p>
            <w:pPr>
              <w:pStyle w:val="6"/>
              <w:spacing w:before="1" w:line="218" w:lineRule="auto"/>
              <w:ind w:left="106"/>
              <w:rPr>
                <w:sz w:val="24"/>
                <w:szCs w:val="24"/>
              </w:rPr>
            </w:pPr>
            <w:r>
              <w:rPr>
                <w:spacing w:val="-3"/>
                <w:sz w:val="24"/>
                <w:szCs w:val="24"/>
              </w:rPr>
              <w:t>漏斗和其他附属安全放喷设备等。</w:t>
            </w:r>
          </w:p>
          <w:p>
            <w:pPr>
              <w:pStyle w:val="6"/>
              <w:spacing w:before="197" w:line="369" w:lineRule="auto"/>
              <w:ind w:left="106" w:right="100" w:firstLine="499"/>
              <w:rPr>
                <w:sz w:val="24"/>
                <w:szCs w:val="24"/>
              </w:rPr>
            </w:pPr>
            <w:r>
              <w:rPr>
                <w:spacing w:val="-6"/>
                <w:sz w:val="24"/>
                <w:szCs w:val="24"/>
              </w:rPr>
              <w:t>固井过程采用特种水泥由供应厂家按作业要求配制完</w:t>
            </w:r>
            <w:r>
              <w:rPr>
                <w:spacing w:val="-7"/>
                <w:sz w:val="24"/>
                <w:szCs w:val="24"/>
              </w:rPr>
              <w:t>成，</w:t>
            </w:r>
            <w:r>
              <w:rPr>
                <w:spacing w:val="39"/>
                <w:sz w:val="24"/>
                <w:szCs w:val="24"/>
              </w:rPr>
              <w:t xml:space="preserve"> </w:t>
            </w:r>
            <w:r>
              <w:rPr>
                <w:spacing w:val="-7"/>
                <w:sz w:val="24"/>
                <w:szCs w:val="24"/>
              </w:rPr>
              <w:t>然后由灰罐车直接密</w:t>
            </w:r>
            <w:r>
              <w:rPr>
                <w:sz w:val="24"/>
                <w:szCs w:val="24"/>
              </w:rPr>
              <w:t xml:space="preserve"> </w:t>
            </w:r>
            <w:r>
              <w:rPr>
                <w:spacing w:val="-16"/>
                <w:sz w:val="24"/>
                <w:szCs w:val="24"/>
              </w:rPr>
              <w:t>闭运至作业场地，</w:t>
            </w:r>
            <w:r>
              <w:rPr>
                <w:spacing w:val="69"/>
                <w:sz w:val="24"/>
                <w:szCs w:val="24"/>
              </w:rPr>
              <w:t xml:space="preserve"> </w:t>
            </w:r>
            <w:r>
              <w:rPr>
                <w:spacing w:val="-16"/>
                <w:sz w:val="24"/>
                <w:szCs w:val="24"/>
              </w:rPr>
              <w:t>灰罐车内设搅拌设备，</w:t>
            </w:r>
            <w:r>
              <w:rPr>
                <w:spacing w:val="58"/>
                <w:sz w:val="24"/>
                <w:szCs w:val="24"/>
              </w:rPr>
              <w:t xml:space="preserve"> </w:t>
            </w:r>
            <w:r>
              <w:rPr>
                <w:spacing w:val="-16"/>
                <w:sz w:val="24"/>
                <w:szCs w:val="24"/>
              </w:rPr>
              <w:t>现场按配比由泵吸入液相配制液后，</w:t>
            </w:r>
            <w:r>
              <w:rPr>
                <w:spacing w:val="56"/>
                <w:sz w:val="24"/>
                <w:szCs w:val="24"/>
              </w:rPr>
              <w:t xml:space="preserve"> </w:t>
            </w:r>
            <w:r>
              <w:rPr>
                <w:spacing w:val="-16"/>
                <w:sz w:val="24"/>
                <w:szCs w:val="24"/>
              </w:rPr>
              <w:t>通过</w:t>
            </w:r>
            <w:r>
              <w:rPr>
                <w:sz w:val="24"/>
                <w:szCs w:val="24"/>
              </w:rPr>
              <w:t xml:space="preserve"> </w:t>
            </w:r>
            <w:r>
              <w:rPr>
                <w:spacing w:val="-14"/>
                <w:sz w:val="24"/>
                <w:szCs w:val="24"/>
              </w:rPr>
              <w:t>密闭搅拌， 制成所需特种水泥，</w:t>
            </w:r>
            <w:r>
              <w:rPr>
                <w:spacing w:val="63"/>
                <w:sz w:val="24"/>
                <w:szCs w:val="24"/>
              </w:rPr>
              <w:t xml:space="preserve"> </w:t>
            </w:r>
            <w:r>
              <w:rPr>
                <w:spacing w:val="-14"/>
                <w:sz w:val="24"/>
                <w:szCs w:val="24"/>
              </w:rPr>
              <w:t>进行固井作业。此过程中在密闭罐内进行，</w:t>
            </w:r>
            <w:r>
              <w:rPr>
                <w:spacing w:val="57"/>
                <w:sz w:val="24"/>
                <w:szCs w:val="24"/>
              </w:rPr>
              <w:t xml:space="preserve"> </w:t>
            </w:r>
            <w:r>
              <w:rPr>
                <w:spacing w:val="-14"/>
                <w:sz w:val="24"/>
                <w:szCs w:val="24"/>
              </w:rPr>
              <w:t>无粉尘</w:t>
            </w:r>
          </w:p>
          <w:p>
            <w:pPr>
              <w:pStyle w:val="6"/>
              <w:spacing w:before="1" w:line="219" w:lineRule="auto"/>
              <w:ind w:left="106"/>
              <w:rPr>
                <w:sz w:val="24"/>
                <w:szCs w:val="24"/>
              </w:rPr>
            </w:pPr>
            <w:r>
              <w:rPr>
                <w:spacing w:val="-5"/>
                <w:sz w:val="24"/>
                <w:szCs w:val="24"/>
              </w:rPr>
              <w:t>产生， 仅搅拌过程产生设备噪声，配置过程中应加强管理，防止粉尘产生。</w:t>
            </w:r>
          </w:p>
          <w:p>
            <w:pPr>
              <w:pStyle w:val="6"/>
              <w:spacing w:before="195" w:line="217" w:lineRule="auto"/>
              <w:ind w:left="584"/>
              <w:rPr>
                <w:sz w:val="24"/>
                <w:szCs w:val="24"/>
              </w:rPr>
            </w:pPr>
            <w:r>
              <w:rPr>
                <w:spacing w:val="-2"/>
                <w:sz w:val="24"/>
                <w:szCs w:val="24"/>
              </w:rPr>
              <w:t>③套管试压</w:t>
            </w:r>
          </w:p>
          <w:p>
            <w:pPr>
              <w:pStyle w:val="6"/>
              <w:spacing w:before="198" w:line="369" w:lineRule="auto"/>
              <w:ind w:left="111" w:right="102" w:firstLine="478"/>
              <w:rPr>
                <w:sz w:val="24"/>
                <w:szCs w:val="24"/>
              </w:rPr>
            </w:pPr>
            <w:r>
              <w:rPr>
                <w:spacing w:val="-6"/>
                <w:sz w:val="24"/>
                <w:szCs w:val="24"/>
              </w:rPr>
              <w:t>是检查固井质量的重要组成。安装好套管头和接好防喷器及防喷</w:t>
            </w:r>
            <w:r>
              <w:rPr>
                <w:spacing w:val="-7"/>
                <w:sz w:val="24"/>
                <w:szCs w:val="24"/>
              </w:rPr>
              <w:t>管线后，</w:t>
            </w:r>
            <w:r>
              <w:rPr>
                <w:spacing w:val="51"/>
                <w:sz w:val="24"/>
                <w:szCs w:val="24"/>
              </w:rPr>
              <w:t xml:space="preserve"> </w:t>
            </w:r>
            <w:r>
              <w:rPr>
                <w:spacing w:val="-7"/>
                <w:sz w:val="24"/>
                <w:szCs w:val="24"/>
              </w:rPr>
              <w:t>做套</w:t>
            </w:r>
            <w:r>
              <w:rPr>
                <w:sz w:val="24"/>
                <w:szCs w:val="24"/>
              </w:rPr>
              <w:t xml:space="preserve"> </w:t>
            </w:r>
            <w:r>
              <w:rPr>
                <w:spacing w:val="-6"/>
                <w:sz w:val="24"/>
                <w:szCs w:val="24"/>
              </w:rPr>
              <w:t>管头密封的耐压力检查，</w:t>
            </w:r>
            <w:r>
              <w:rPr>
                <w:spacing w:val="56"/>
                <w:sz w:val="24"/>
                <w:szCs w:val="24"/>
              </w:rPr>
              <w:t xml:space="preserve"> </w:t>
            </w:r>
            <w:r>
              <w:rPr>
                <w:spacing w:val="-6"/>
                <w:sz w:val="24"/>
                <w:szCs w:val="24"/>
              </w:rPr>
              <w:t>与防喷器连接的密封试压。探套管内水泥塞后要做套管柱</w:t>
            </w:r>
            <w:r>
              <w:rPr>
                <w:sz w:val="24"/>
                <w:szCs w:val="24"/>
              </w:rPr>
              <w:t xml:space="preserve"> </w:t>
            </w:r>
            <w:r>
              <w:rPr>
                <w:spacing w:val="-7"/>
                <w:sz w:val="24"/>
                <w:szCs w:val="24"/>
              </w:rPr>
              <w:t xml:space="preserve">的压力检验，钻穿套管 </w:t>
            </w:r>
            <w:r>
              <w:rPr>
                <w:rFonts w:ascii="Times New Roman" w:hAnsi="Times New Roman" w:eastAsia="Times New Roman" w:cs="Times New Roman"/>
                <w:spacing w:val="-7"/>
                <w:sz w:val="24"/>
                <w:szCs w:val="24"/>
              </w:rPr>
              <w:t>5</w:t>
            </w:r>
            <w:r>
              <w:rPr>
                <w:spacing w:val="-7"/>
                <w:sz w:val="24"/>
                <w:szCs w:val="24"/>
              </w:rPr>
              <w:t>～</w:t>
            </w:r>
            <w:r>
              <w:rPr>
                <w:rFonts w:ascii="Times New Roman" w:hAnsi="Times New Roman" w:eastAsia="Times New Roman" w:cs="Times New Roman"/>
                <w:spacing w:val="-7"/>
                <w:sz w:val="24"/>
                <w:szCs w:val="24"/>
              </w:rPr>
              <w:t>10m</w:t>
            </w:r>
            <w:r>
              <w:rPr>
                <w:rFonts w:ascii="Times New Roman" w:hAnsi="Times New Roman" w:eastAsia="Times New Roman" w:cs="Times New Roman"/>
                <w:spacing w:val="34"/>
                <w:w w:val="101"/>
                <w:sz w:val="24"/>
                <w:szCs w:val="24"/>
              </w:rPr>
              <w:t xml:space="preserve"> </w:t>
            </w:r>
            <w:r>
              <w:rPr>
                <w:spacing w:val="-7"/>
                <w:sz w:val="24"/>
                <w:szCs w:val="24"/>
              </w:rPr>
              <w:t>后（表层套管）要做地层试压。</w:t>
            </w:r>
            <w:r>
              <w:rPr>
                <w:spacing w:val="65"/>
                <w:sz w:val="24"/>
                <w:szCs w:val="24"/>
              </w:rPr>
              <w:t xml:space="preserve"> </w:t>
            </w:r>
            <w:r>
              <w:rPr>
                <w:spacing w:val="-7"/>
                <w:sz w:val="24"/>
                <w:szCs w:val="24"/>
              </w:rPr>
              <w:t>固井后要用声波检</w:t>
            </w:r>
          </w:p>
          <w:p>
            <w:pPr>
              <w:pStyle w:val="6"/>
              <w:spacing w:before="1" w:line="218" w:lineRule="auto"/>
              <w:ind w:left="106"/>
              <w:rPr>
                <w:sz w:val="24"/>
                <w:szCs w:val="24"/>
              </w:rPr>
            </w:pPr>
            <w:r>
              <w:rPr>
                <w:spacing w:val="-1"/>
                <w:sz w:val="24"/>
                <w:szCs w:val="24"/>
              </w:rPr>
              <w:t>测固井质量。固井质量的全部指标合格后，才能进入到</w:t>
            </w:r>
            <w:r>
              <w:rPr>
                <w:spacing w:val="-2"/>
                <w:sz w:val="24"/>
                <w:szCs w:val="24"/>
              </w:rPr>
              <w:t>下一个作业程序。</w:t>
            </w:r>
          </w:p>
          <w:p>
            <w:pPr>
              <w:pStyle w:val="6"/>
              <w:spacing w:before="197" w:line="369" w:lineRule="auto"/>
              <w:ind w:left="109" w:right="103" w:firstLine="476"/>
              <w:rPr>
                <w:sz w:val="24"/>
                <w:szCs w:val="24"/>
              </w:rPr>
            </w:pPr>
            <w:r>
              <w:rPr>
                <w:spacing w:val="-2"/>
                <w:sz w:val="24"/>
                <w:szCs w:val="24"/>
              </w:rPr>
              <w:t xml:space="preserve">钻井作业为 </w:t>
            </w:r>
            <w:r>
              <w:rPr>
                <w:rFonts w:ascii="Times New Roman" w:hAnsi="Times New Roman" w:eastAsia="Times New Roman" w:cs="Times New Roman"/>
                <w:spacing w:val="-2"/>
                <w:sz w:val="24"/>
                <w:szCs w:val="24"/>
              </w:rPr>
              <w:t xml:space="preserve">24  </w:t>
            </w:r>
            <w:r>
              <w:rPr>
                <w:spacing w:val="-2"/>
                <w:sz w:val="24"/>
                <w:szCs w:val="24"/>
              </w:rPr>
              <w:t>小时连续作业，钻井期间主要的环境影响因素是备用柴油机、</w:t>
            </w:r>
            <w:r>
              <w:rPr>
                <w:spacing w:val="4"/>
                <w:sz w:val="24"/>
                <w:szCs w:val="24"/>
              </w:rPr>
              <w:t xml:space="preserve"> </w:t>
            </w:r>
            <w:r>
              <w:rPr>
                <w:spacing w:val="-11"/>
                <w:sz w:val="24"/>
                <w:szCs w:val="24"/>
              </w:rPr>
              <w:t>发电机组运行时产生废气，</w:t>
            </w:r>
            <w:r>
              <w:rPr>
                <w:spacing w:val="63"/>
                <w:sz w:val="24"/>
                <w:szCs w:val="24"/>
              </w:rPr>
              <w:t xml:space="preserve"> </w:t>
            </w:r>
            <w:r>
              <w:rPr>
                <w:spacing w:val="-11"/>
                <w:sz w:val="24"/>
                <w:szCs w:val="24"/>
              </w:rPr>
              <w:t>钻进、起下钻和固井作业等产生的废水，</w:t>
            </w:r>
            <w:r>
              <w:rPr>
                <w:spacing w:val="54"/>
                <w:sz w:val="24"/>
                <w:szCs w:val="24"/>
              </w:rPr>
              <w:t xml:space="preserve"> </w:t>
            </w:r>
            <w:r>
              <w:rPr>
                <w:spacing w:val="-11"/>
                <w:sz w:val="24"/>
                <w:szCs w:val="24"/>
              </w:rPr>
              <w:t>机械设备运转</w:t>
            </w:r>
          </w:p>
          <w:p>
            <w:pPr>
              <w:pStyle w:val="6"/>
              <w:spacing w:before="1" w:line="219" w:lineRule="auto"/>
              <w:ind w:left="117"/>
              <w:rPr>
                <w:sz w:val="24"/>
                <w:szCs w:val="24"/>
              </w:rPr>
            </w:pPr>
            <w:r>
              <w:rPr>
                <w:spacing w:val="-2"/>
                <w:sz w:val="24"/>
                <w:szCs w:val="24"/>
              </w:rPr>
              <w:t>时产生的噪声，以及钻井产生的水基岩屑及泥浆、油基岩屑及泥浆等固体废物。</w:t>
            </w:r>
          </w:p>
          <w:p>
            <w:pPr>
              <w:pStyle w:val="6"/>
              <w:spacing w:before="195" w:line="220" w:lineRule="auto"/>
              <w:ind w:left="594"/>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4</w:t>
            </w:r>
            <w:r>
              <w:rPr>
                <w:spacing w:val="-2"/>
                <w:sz w:val="24"/>
                <w:szCs w:val="24"/>
                <w14:textOutline w14:w="4354" w14:cap="flat" w14:cmpd="sng">
                  <w14:solidFill>
                    <w14:srgbClr w14:val="000000"/>
                  </w14:solidFill>
                  <w14:prstDash w14:val="solid"/>
                  <w14:miter w14:val="10"/>
                </w14:textOutline>
              </w:rPr>
              <w:t>）测井、取心、录井</w:t>
            </w:r>
          </w:p>
          <w:p>
            <w:pPr>
              <w:pStyle w:val="6"/>
              <w:spacing w:before="193" w:line="220" w:lineRule="auto"/>
              <w:ind w:left="586"/>
              <w:rPr>
                <w:sz w:val="24"/>
                <w:szCs w:val="24"/>
              </w:rPr>
            </w:pPr>
            <w:r>
              <w:rPr>
                <w:spacing w:val="-7"/>
                <w:sz w:val="24"/>
                <w:szCs w:val="24"/>
              </w:rPr>
              <w:t>测井是把利用电、磁、声、热、核等物理原理制造的各种测井仪器，</w:t>
            </w:r>
            <w:r>
              <w:rPr>
                <w:spacing w:val="92"/>
                <w:sz w:val="24"/>
                <w:szCs w:val="24"/>
              </w:rPr>
              <w:t xml:space="preserve"> </w:t>
            </w:r>
            <w:r>
              <w:rPr>
                <w:spacing w:val="-7"/>
                <w:sz w:val="24"/>
                <w:szCs w:val="24"/>
              </w:rPr>
              <w:t>由测井电</w:t>
            </w:r>
          </w:p>
        </w:tc>
      </w:tr>
    </w:tbl>
    <w:p>
      <w:pPr>
        <w:pStyle w:val="2"/>
        <w:rPr>
          <w:sz w:val="21"/>
        </w:rPr>
      </w:pPr>
    </w:p>
    <w:p>
      <w:pPr>
        <w:rPr>
          <w:sz w:val="21"/>
          <w:szCs w:val="21"/>
        </w:rPr>
        <w:sectPr>
          <w:footerReference r:id="rId59"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480" w:lineRule="exact"/>
              <w:ind w:left="107"/>
              <w:rPr>
                <w:sz w:val="24"/>
                <w:szCs w:val="24"/>
              </w:rPr>
            </w:pPr>
            <w:r>
              <w:rPr>
                <w:spacing w:val="-6"/>
                <w:position w:val="18"/>
                <w:sz w:val="24"/>
                <w:szCs w:val="24"/>
              </w:rPr>
              <w:t>缆下入井内，</w:t>
            </w:r>
            <w:r>
              <w:rPr>
                <w:spacing w:val="59"/>
                <w:position w:val="18"/>
                <w:sz w:val="24"/>
                <w:szCs w:val="24"/>
              </w:rPr>
              <w:t xml:space="preserve"> </w:t>
            </w:r>
            <w:r>
              <w:rPr>
                <w:spacing w:val="-6"/>
                <w:position w:val="18"/>
                <w:sz w:val="24"/>
                <w:szCs w:val="24"/>
              </w:rPr>
              <w:t>使地面电测仪可沿着井筒连续记录随深度变化的各种参数。通过表示</w:t>
            </w:r>
          </w:p>
          <w:p>
            <w:pPr>
              <w:pStyle w:val="6"/>
              <w:spacing w:line="219" w:lineRule="auto"/>
              <w:ind w:left="106"/>
              <w:rPr>
                <w:sz w:val="24"/>
                <w:szCs w:val="24"/>
              </w:rPr>
            </w:pPr>
            <w:r>
              <w:rPr>
                <w:spacing w:val="-1"/>
                <w:sz w:val="24"/>
                <w:szCs w:val="24"/>
              </w:rPr>
              <w:t>这类参数的曲线，来识别地下的岩层，如油、气、水层</w:t>
            </w:r>
            <w:r>
              <w:rPr>
                <w:spacing w:val="-2"/>
                <w:sz w:val="24"/>
                <w:szCs w:val="24"/>
              </w:rPr>
              <w:t>、煤层、金属矿床等。</w:t>
            </w:r>
          </w:p>
          <w:p>
            <w:pPr>
              <w:pStyle w:val="6"/>
              <w:spacing w:before="195" w:line="369" w:lineRule="auto"/>
              <w:ind w:left="106" w:right="103" w:firstLine="482"/>
              <w:jc w:val="both"/>
              <w:rPr>
                <w:sz w:val="24"/>
                <w:szCs w:val="24"/>
              </w:rPr>
            </w:pPr>
            <w:r>
              <w:rPr>
                <w:spacing w:val="-6"/>
                <w:sz w:val="24"/>
                <w:szCs w:val="24"/>
              </w:rPr>
              <w:t>取心是在钻井过程中使用特殊的取心工具把地下岩石成块地取到地面上来，</w:t>
            </w:r>
            <w:r>
              <w:rPr>
                <w:spacing w:val="46"/>
                <w:sz w:val="24"/>
                <w:szCs w:val="24"/>
              </w:rPr>
              <w:t xml:space="preserve"> </w:t>
            </w:r>
            <w:r>
              <w:rPr>
                <w:spacing w:val="-6"/>
                <w:sz w:val="24"/>
                <w:szCs w:val="24"/>
              </w:rPr>
              <w:t>这</w:t>
            </w:r>
            <w:r>
              <w:rPr>
                <w:sz w:val="24"/>
                <w:szCs w:val="24"/>
              </w:rPr>
              <w:t xml:space="preserve"> </w:t>
            </w:r>
            <w:r>
              <w:rPr>
                <w:spacing w:val="-11"/>
                <w:sz w:val="24"/>
                <w:szCs w:val="24"/>
              </w:rPr>
              <w:t>种成块的岩石叫做岩心，</w:t>
            </w:r>
            <w:r>
              <w:rPr>
                <w:spacing w:val="68"/>
                <w:sz w:val="24"/>
                <w:szCs w:val="24"/>
              </w:rPr>
              <w:t xml:space="preserve"> </w:t>
            </w:r>
            <w:r>
              <w:rPr>
                <w:spacing w:val="-11"/>
                <w:sz w:val="24"/>
                <w:szCs w:val="24"/>
              </w:rPr>
              <w:t>通过它可以测定岩石的各种性质，</w:t>
            </w:r>
            <w:r>
              <w:rPr>
                <w:spacing w:val="53"/>
                <w:sz w:val="24"/>
                <w:szCs w:val="24"/>
              </w:rPr>
              <w:t xml:space="preserve"> </w:t>
            </w:r>
            <w:r>
              <w:rPr>
                <w:spacing w:val="-11"/>
                <w:sz w:val="24"/>
                <w:szCs w:val="24"/>
              </w:rPr>
              <w:t>直观地研究地下构造和</w:t>
            </w:r>
          </w:p>
          <w:p>
            <w:pPr>
              <w:pStyle w:val="6"/>
              <w:spacing w:line="219" w:lineRule="auto"/>
              <w:ind w:left="106"/>
              <w:rPr>
                <w:sz w:val="24"/>
                <w:szCs w:val="24"/>
              </w:rPr>
            </w:pPr>
            <w:r>
              <w:rPr>
                <w:spacing w:val="-3"/>
                <w:sz w:val="24"/>
                <w:szCs w:val="24"/>
              </w:rPr>
              <w:t>岩石沉积环境，了解其中的流体性质等。</w:t>
            </w:r>
          </w:p>
          <w:p>
            <w:pPr>
              <w:pStyle w:val="6"/>
              <w:spacing w:before="197" w:line="369" w:lineRule="auto"/>
              <w:ind w:left="100" w:right="14" w:firstLine="486"/>
              <w:jc w:val="both"/>
              <w:rPr>
                <w:sz w:val="24"/>
                <w:szCs w:val="24"/>
              </w:rPr>
            </w:pPr>
            <w:r>
              <w:rPr>
                <w:spacing w:val="-11"/>
                <w:sz w:val="24"/>
                <w:szCs w:val="24"/>
              </w:rPr>
              <w:t>本井为风险探井，</w:t>
            </w:r>
            <w:r>
              <w:rPr>
                <w:spacing w:val="57"/>
                <w:sz w:val="24"/>
                <w:szCs w:val="24"/>
              </w:rPr>
              <w:t xml:space="preserve"> </w:t>
            </w:r>
            <w:r>
              <w:rPr>
                <w:spacing w:val="-11"/>
                <w:sz w:val="24"/>
                <w:szCs w:val="24"/>
              </w:rPr>
              <w:t>要求进行地质综合录井，</w:t>
            </w:r>
            <w:r>
              <w:rPr>
                <w:spacing w:val="56"/>
                <w:sz w:val="24"/>
                <w:szCs w:val="24"/>
              </w:rPr>
              <w:t xml:space="preserve"> </w:t>
            </w:r>
            <w:r>
              <w:rPr>
                <w:spacing w:val="-11"/>
                <w:sz w:val="24"/>
                <w:szCs w:val="24"/>
              </w:rPr>
              <w:t>录</w:t>
            </w:r>
            <w:r>
              <w:rPr>
                <w:spacing w:val="-12"/>
                <w:sz w:val="24"/>
                <w:szCs w:val="24"/>
              </w:rPr>
              <w:t xml:space="preserve">井是根据测井数据、现场录井数 </w:t>
            </w:r>
            <w:r>
              <w:rPr>
                <w:spacing w:val="-6"/>
                <w:sz w:val="24"/>
                <w:szCs w:val="24"/>
              </w:rPr>
              <w:t>据及综合分析化验数据进行岩性解释、归位，</w:t>
            </w:r>
            <w:r>
              <w:rPr>
                <w:spacing w:val="62"/>
                <w:sz w:val="24"/>
                <w:szCs w:val="24"/>
              </w:rPr>
              <w:t xml:space="preserve"> </w:t>
            </w:r>
            <w:r>
              <w:rPr>
                <w:spacing w:val="-6"/>
                <w:sz w:val="24"/>
                <w:szCs w:val="24"/>
              </w:rPr>
              <w:t xml:space="preserve">确定含油、气、水产状。总的原则是 </w:t>
            </w:r>
            <w:r>
              <w:rPr>
                <w:sz w:val="24"/>
                <w:szCs w:val="24"/>
              </w:rPr>
              <w:t>按照中国石油天然气集团公司《录井资料采集处理解释规范》（</w:t>
            </w:r>
            <w:r>
              <w:rPr>
                <w:rFonts w:ascii="Times New Roman" w:hAnsi="Times New Roman" w:eastAsia="Times New Roman" w:cs="Times New Roman"/>
                <w:sz w:val="24"/>
                <w:szCs w:val="24"/>
              </w:rPr>
              <w:t>Q</w:t>
            </w:r>
            <w:r>
              <w:rPr>
                <w:rFonts w:ascii="Times New Roman" w:hAnsi="Times New Roman" w:eastAsia="Times New Roman" w:cs="Times New Roman"/>
                <w:spacing w:val="-1"/>
                <w:sz w:val="24"/>
                <w:szCs w:val="24"/>
              </w:rPr>
              <w:t>/SY01128-2020</w:t>
            </w:r>
            <w:r>
              <w:rPr>
                <w:spacing w:val="-1"/>
                <w:sz w:val="24"/>
                <w:szCs w:val="24"/>
              </w:rPr>
              <w:t>）</w:t>
            </w:r>
            <w:r>
              <w:rPr>
                <w:sz w:val="24"/>
                <w:szCs w:val="24"/>
              </w:rPr>
              <w:t xml:space="preserve"> </w:t>
            </w:r>
            <w:r>
              <w:rPr>
                <w:spacing w:val="-6"/>
                <w:sz w:val="24"/>
                <w:szCs w:val="24"/>
              </w:rPr>
              <w:t>的有关要求取全取准各项录井资料。使用综合录井仪，并配套使用红外</w:t>
            </w:r>
            <w:r>
              <w:rPr>
                <w:spacing w:val="-51"/>
                <w:sz w:val="24"/>
                <w:szCs w:val="24"/>
              </w:rPr>
              <w:t xml:space="preserve"> </w:t>
            </w:r>
            <w:r>
              <w:rPr>
                <w:rFonts w:ascii="Times New Roman" w:hAnsi="Times New Roman" w:eastAsia="Times New Roman" w:cs="Times New Roman"/>
                <w:spacing w:val="-6"/>
                <w:sz w:val="24"/>
                <w:szCs w:val="24"/>
              </w:rPr>
              <w:t>C</w:t>
            </w:r>
            <w:r>
              <w:rPr>
                <w:rFonts w:ascii="Times New Roman" w:hAnsi="Times New Roman" w:eastAsia="Times New Roman" w:cs="Times New Roman"/>
                <w:spacing w:val="-7"/>
                <w:sz w:val="24"/>
                <w:szCs w:val="24"/>
              </w:rPr>
              <w:t>O</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11"/>
                <w:w w:val="101"/>
                <w:position w:val="-1"/>
                <w:sz w:val="16"/>
                <w:szCs w:val="16"/>
              </w:rPr>
              <w:t xml:space="preserve"> </w:t>
            </w:r>
            <w:r>
              <w:rPr>
                <w:spacing w:val="-7"/>
                <w:sz w:val="24"/>
                <w:szCs w:val="24"/>
              </w:rPr>
              <w:t>检测仪、</w:t>
            </w:r>
            <w:r>
              <w:rPr>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24"/>
                <w:position w:val="-1"/>
                <w:sz w:val="16"/>
                <w:szCs w:val="16"/>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5"/>
                <w:sz w:val="24"/>
                <w:szCs w:val="24"/>
              </w:rPr>
              <w:t xml:space="preserve"> </w:t>
            </w:r>
            <w:r>
              <w:rPr>
                <w:spacing w:val="-1"/>
                <w:sz w:val="24"/>
                <w:szCs w:val="24"/>
              </w:rPr>
              <w:t xml:space="preserve">传感器及声光报警装置，进行综合录井。从井口开始录取资料，综合录井从下 </w:t>
            </w:r>
            <w:r>
              <w:rPr>
                <w:spacing w:val="-16"/>
                <w:sz w:val="24"/>
                <w:szCs w:val="24"/>
              </w:rPr>
              <w:t>完导管开始，</w:t>
            </w:r>
            <w:r>
              <w:rPr>
                <w:spacing w:val="57"/>
                <w:sz w:val="24"/>
                <w:szCs w:val="24"/>
              </w:rPr>
              <w:t xml:space="preserve"> </w:t>
            </w:r>
            <w:r>
              <w:rPr>
                <w:spacing w:val="-16"/>
                <w:sz w:val="24"/>
                <w:szCs w:val="24"/>
              </w:rPr>
              <w:t>要求仪器性能可靠，</w:t>
            </w:r>
            <w:r>
              <w:rPr>
                <w:spacing w:val="62"/>
                <w:sz w:val="24"/>
                <w:szCs w:val="24"/>
              </w:rPr>
              <w:t xml:space="preserve"> </w:t>
            </w:r>
            <w:r>
              <w:rPr>
                <w:spacing w:val="-16"/>
                <w:sz w:val="24"/>
                <w:szCs w:val="24"/>
              </w:rPr>
              <w:t>并且使用录井数据实时传输及视频系统，</w:t>
            </w:r>
            <w:r>
              <w:rPr>
                <w:spacing w:val="83"/>
                <w:sz w:val="24"/>
                <w:szCs w:val="24"/>
              </w:rPr>
              <w:t xml:space="preserve"> </w:t>
            </w:r>
            <w:r>
              <w:rPr>
                <w:spacing w:val="-16"/>
                <w:sz w:val="24"/>
                <w:szCs w:val="24"/>
              </w:rPr>
              <w:t>以加强</w:t>
            </w:r>
          </w:p>
          <w:p>
            <w:pPr>
              <w:pStyle w:val="6"/>
              <w:spacing w:line="219" w:lineRule="auto"/>
              <w:ind w:left="105"/>
              <w:rPr>
                <w:sz w:val="24"/>
                <w:szCs w:val="24"/>
              </w:rPr>
            </w:pPr>
            <w:r>
              <w:rPr>
                <w:spacing w:val="-3"/>
                <w:sz w:val="24"/>
                <w:szCs w:val="24"/>
              </w:rPr>
              <w:t>对录井数据及钻录井现场情况的监控。</w:t>
            </w:r>
          </w:p>
          <w:p>
            <w:pPr>
              <w:pStyle w:val="6"/>
              <w:spacing w:before="195" w:line="219" w:lineRule="auto"/>
              <w:ind w:left="586"/>
              <w:rPr>
                <w:sz w:val="24"/>
                <w:szCs w:val="24"/>
              </w:rPr>
            </w:pPr>
            <w:r>
              <w:rPr>
                <w:spacing w:val="-1"/>
                <w:sz w:val="24"/>
                <w:szCs w:val="24"/>
              </w:rPr>
              <w:t>测井、取心、录井主要是取样分析地质等情况，</w:t>
            </w:r>
            <w:r>
              <w:rPr>
                <w:spacing w:val="-2"/>
                <w:sz w:val="24"/>
                <w:szCs w:val="24"/>
              </w:rPr>
              <w:t>该过程基本不涉及污染物。</w:t>
            </w:r>
          </w:p>
          <w:p>
            <w:pPr>
              <w:pStyle w:val="6"/>
              <w:spacing w:before="195" w:line="220" w:lineRule="auto"/>
              <w:ind w:left="594"/>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5</w:t>
            </w:r>
            <w:r>
              <w:rPr>
                <w:spacing w:val="-2"/>
                <w:sz w:val="24"/>
                <w:szCs w:val="24"/>
                <w14:textOutline w14:w="4354" w14:cap="flat" w14:cmpd="sng">
                  <w14:solidFill>
                    <w14:srgbClr w14:val="000000"/>
                  </w14:solidFill>
                  <w14:prstDash w14:val="solid"/>
                  <w14:miter w14:val="10"/>
                </w14:textOutline>
              </w:rPr>
              <w:t>）完井测试</w:t>
            </w:r>
          </w:p>
          <w:p>
            <w:pPr>
              <w:pStyle w:val="6"/>
              <w:spacing w:before="195" w:line="369" w:lineRule="auto"/>
              <w:ind w:left="106" w:right="100" w:firstLine="495"/>
              <w:rPr>
                <w:sz w:val="24"/>
                <w:szCs w:val="24"/>
              </w:rPr>
            </w:pPr>
            <w:r>
              <w:rPr>
                <w:spacing w:val="-13"/>
                <w:sz w:val="24"/>
                <w:szCs w:val="24"/>
              </w:rPr>
              <w:t>当钻井钻至目的层后，</w:t>
            </w:r>
            <w:r>
              <w:rPr>
                <w:spacing w:val="72"/>
                <w:sz w:val="24"/>
                <w:szCs w:val="24"/>
              </w:rPr>
              <w:t xml:space="preserve"> </w:t>
            </w:r>
            <w:r>
              <w:rPr>
                <w:spacing w:val="-13"/>
                <w:sz w:val="24"/>
                <w:szCs w:val="24"/>
              </w:rPr>
              <w:t>对气井进行完井作业，</w:t>
            </w:r>
            <w:r>
              <w:rPr>
                <w:spacing w:val="82"/>
                <w:sz w:val="24"/>
                <w:szCs w:val="24"/>
              </w:rPr>
              <w:t xml:space="preserve"> </w:t>
            </w:r>
            <w:r>
              <w:rPr>
                <w:spacing w:val="-13"/>
                <w:sz w:val="24"/>
                <w:szCs w:val="24"/>
              </w:rPr>
              <w:t>以取得该井施工段流体性质、测</w:t>
            </w:r>
            <w:r>
              <w:rPr>
                <w:sz w:val="24"/>
                <w:szCs w:val="24"/>
              </w:rPr>
              <w:t xml:space="preserve"> </w:t>
            </w:r>
            <w:r>
              <w:rPr>
                <w:spacing w:val="-1"/>
                <w:sz w:val="24"/>
                <w:szCs w:val="24"/>
              </w:rPr>
              <w:t>试产能、地层压力等详细工程资料。完井作业包括洗井、射孔、气井酸化作业、测</w:t>
            </w:r>
          </w:p>
          <w:p>
            <w:pPr>
              <w:pStyle w:val="6"/>
              <w:spacing w:before="1" w:line="219" w:lineRule="auto"/>
              <w:ind w:left="106"/>
              <w:rPr>
                <w:sz w:val="24"/>
                <w:szCs w:val="24"/>
              </w:rPr>
            </w:pPr>
            <w:r>
              <w:rPr>
                <w:spacing w:val="-2"/>
                <w:sz w:val="24"/>
                <w:szCs w:val="24"/>
              </w:rPr>
              <w:t>试放喷等过程。</w:t>
            </w:r>
          </w:p>
          <w:p>
            <w:pPr>
              <w:pStyle w:val="6"/>
              <w:spacing w:before="195" w:line="217" w:lineRule="auto"/>
              <w:ind w:left="584"/>
              <w:rPr>
                <w:sz w:val="24"/>
                <w:szCs w:val="24"/>
              </w:rPr>
            </w:pPr>
            <w:r>
              <w:rPr>
                <w:spacing w:val="-2"/>
                <w:sz w:val="24"/>
                <w:szCs w:val="24"/>
              </w:rPr>
              <w:t>①洗井</w:t>
            </w:r>
          </w:p>
          <w:p>
            <w:pPr>
              <w:pStyle w:val="6"/>
              <w:spacing w:before="198" w:line="369" w:lineRule="auto"/>
              <w:ind w:left="105" w:right="100" w:firstLine="482"/>
              <w:rPr>
                <w:sz w:val="24"/>
                <w:szCs w:val="24"/>
              </w:rPr>
            </w:pPr>
            <w:r>
              <w:rPr>
                <w:spacing w:val="-9"/>
                <w:sz w:val="24"/>
                <w:szCs w:val="24"/>
              </w:rPr>
              <w:t>完钻后首先要进行洗井作业， 采用清水对</w:t>
            </w:r>
            <w:r>
              <w:rPr>
                <w:spacing w:val="-10"/>
                <w:sz w:val="24"/>
                <w:szCs w:val="24"/>
              </w:rPr>
              <w:t>套管进行清洗。根据类比调查，</w:t>
            </w:r>
            <w:r>
              <w:rPr>
                <w:spacing w:val="57"/>
                <w:sz w:val="24"/>
                <w:szCs w:val="24"/>
              </w:rPr>
              <w:t xml:space="preserve"> </w:t>
            </w:r>
            <w:r>
              <w:rPr>
                <w:spacing w:val="-10"/>
                <w:sz w:val="24"/>
                <w:szCs w:val="24"/>
              </w:rPr>
              <w:t>单口</w:t>
            </w:r>
            <w:r>
              <w:rPr>
                <w:sz w:val="24"/>
                <w:szCs w:val="24"/>
              </w:rPr>
              <w:t xml:space="preserve"> </w:t>
            </w:r>
            <w:r>
              <w:rPr>
                <w:spacing w:val="-10"/>
                <w:sz w:val="24"/>
                <w:szCs w:val="24"/>
              </w:rPr>
              <w:t>井洗井所需清水量与最终返排出的水量大致相</w:t>
            </w:r>
            <w:r>
              <w:rPr>
                <w:spacing w:val="-11"/>
                <w:sz w:val="24"/>
                <w:szCs w:val="24"/>
              </w:rPr>
              <w:t>当，</w:t>
            </w:r>
            <w:r>
              <w:rPr>
                <w:spacing w:val="54"/>
                <w:sz w:val="24"/>
                <w:szCs w:val="24"/>
              </w:rPr>
              <w:t xml:space="preserve"> </w:t>
            </w:r>
            <w:r>
              <w:rPr>
                <w:spacing w:val="-11"/>
                <w:sz w:val="24"/>
                <w:szCs w:val="24"/>
              </w:rPr>
              <w:t>大部分洗井废水从井口返排，</w:t>
            </w:r>
            <w:r>
              <w:rPr>
                <w:spacing w:val="49"/>
                <w:sz w:val="24"/>
                <w:szCs w:val="24"/>
              </w:rPr>
              <w:t xml:space="preserve"> </w:t>
            </w:r>
            <w:r>
              <w:rPr>
                <w:spacing w:val="-11"/>
                <w:sz w:val="24"/>
                <w:szCs w:val="24"/>
              </w:rPr>
              <w:t>进</w:t>
            </w:r>
            <w:r>
              <w:rPr>
                <w:sz w:val="24"/>
                <w:szCs w:val="24"/>
              </w:rPr>
              <w:t xml:space="preserve"> </w:t>
            </w:r>
            <w:r>
              <w:rPr>
                <w:spacing w:val="-11"/>
                <w:sz w:val="24"/>
                <w:szCs w:val="24"/>
              </w:rPr>
              <w:t>入废水罐中；</w:t>
            </w:r>
            <w:r>
              <w:rPr>
                <w:spacing w:val="70"/>
                <w:sz w:val="24"/>
                <w:szCs w:val="24"/>
              </w:rPr>
              <w:t xml:space="preserve"> </w:t>
            </w:r>
            <w:r>
              <w:rPr>
                <w:spacing w:val="-11"/>
                <w:sz w:val="24"/>
                <w:szCs w:val="24"/>
              </w:rPr>
              <w:t>少部分洗井废水从放喷口返排，</w:t>
            </w:r>
            <w:r>
              <w:rPr>
                <w:spacing w:val="53"/>
                <w:sz w:val="24"/>
                <w:szCs w:val="24"/>
              </w:rPr>
              <w:t xml:space="preserve"> </w:t>
            </w:r>
            <w:r>
              <w:rPr>
                <w:spacing w:val="-11"/>
                <w:sz w:val="24"/>
                <w:szCs w:val="24"/>
              </w:rPr>
              <w:t>经燃烧池侧面的混凝土明沟进入集酸</w:t>
            </w:r>
          </w:p>
          <w:p>
            <w:pPr>
              <w:pStyle w:val="6"/>
              <w:spacing w:before="1" w:line="219" w:lineRule="auto"/>
              <w:ind w:left="106"/>
              <w:rPr>
                <w:sz w:val="24"/>
                <w:szCs w:val="24"/>
              </w:rPr>
            </w:pPr>
            <w:r>
              <w:rPr>
                <w:spacing w:val="-2"/>
                <w:sz w:val="24"/>
                <w:szCs w:val="24"/>
              </w:rPr>
              <w:t>池，然后泵入废水罐中；委托有资质的第三方单位罐车外运处置。</w:t>
            </w:r>
          </w:p>
          <w:p>
            <w:pPr>
              <w:pStyle w:val="6"/>
              <w:spacing w:before="195" w:line="217" w:lineRule="auto"/>
              <w:ind w:left="584"/>
              <w:rPr>
                <w:sz w:val="24"/>
                <w:szCs w:val="24"/>
              </w:rPr>
            </w:pPr>
            <w:r>
              <w:rPr>
                <w:spacing w:val="-1"/>
                <w:sz w:val="24"/>
                <w:szCs w:val="24"/>
              </w:rPr>
              <w:t>② 射孔完井</w:t>
            </w:r>
          </w:p>
          <w:p>
            <w:pPr>
              <w:pStyle w:val="6"/>
              <w:spacing w:before="199" w:line="369" w:lineRule="auto"/>
              <w:ind w:left="106" w:right="101" w:firstLine="480"/>
              <w:rPr>
                <w:sz w:val="24"/>
                <w:szCs w:val="24"/>
              </w:rPr>
            </w:pPr>
            <w:r>
              <w:rPr>
                <w:spacing w:val="-1"/>
                <w:sz w:val="24"/>
                <w:szCs w:val="24"/>
              </w:rPr>
              <w:t>本工程采用射孔完井方式。射孔完井是目前国内外使用最广泛的完井方法。射</w:t>
            </w:r>
            <w:r>
              <w:rPr>
                <w:sz w:val="24"/>
                <w:szCs w:val="24"/>
              </w:rPr>
              <w:t xml:space="preserve"> </w:t>
            </w:r>
            <w:r>
              <w:rPr>
                <w:spacing w:val="-9"/>
                <w:sz w:val="24"/>
                <w:szCs w:val="24"/>
              </w:rPr>
              <w:t>孔技术是将射孔专用设备送至井下预定深度，</w:t>
            </w:r>
            <w:r>
              <w:rPr>
                <w:spacing w:val="60"/>
                <w:sz w:val="24"/>
                <w:szCs w:val="24"/>
              </w:rPr>
              <w:t xml:space="preserve"> </w:t>
            </w:r>
            <w:r>
              <w:rPr>
                <w:spacing w:val="-9"/>
                <w:sz w:val="24"/>
                <w:szCs w:val="24"/>
              </w:rPr>
              <w:t>对准目的层引爆射孔器， 射孔弹被导</w:t>
            </w:r>
            <w:r>
              <w:rPr>
                <w:sz w:val="24"/>
                <w:szCs w:val="24"/>
              </w:rPr>
              <w:t xml:space="preserve"> </w:t>
            </w:r>
            <w:r>
              <w:rPr>
                <w:spacing w:val="-11"/>
                <w:sz w:val="24"/>
                <w:szCs w:val="24"/>
              </w:rPr>
              <w:t>爆索引爆后，</w:t>
            </w:r>
            <w:r>
              <w:rPr>
                <w:spacing w:val="61"/>
                <w:sz w:val="24"/>
                <w:szCs w:val="24"/>
              </w:rPr>
              <w:t xml:space="preserve"> </w:t>
            </w:r>
            <w:r>
              <w:rPr>
                <w:spacing w:val="-11"/>
                <w:sz w:val="24"/>
                <w:szCs w:val="24"/>
              </w:rPr>
              <w:t>产生高温、高压冲击波，</w:t>
            </w:r>
            <w:r>
              <w:rPr>
                <w:spacing w:val="61"/>
                <w:sz w:val="24"/>
                <w:szCs w:val="24"/>
              </w:rPr>
              <w:t xml:space="preserve"> </w:t>
            </w:r>
            <w:r>
              <w:rPr>
                <w:spacing w:val="-11"/>
                <w:sz w:val="24"/>
                <w:szCs w:val="24"/>
              </w:rPr>
              <w:t>从而穿透套管、水泥环进入地层，形成一个</w:t>
            </w:r>
            <w:r>
              <w:rPr>
                <w:sz w:val="24"/>
                <w:szCs w:val="24"/>
              </w:rPr>
              <w:t xml:space="preserve"> </w:t>
            </w:r>
            <w:r>
              <w:rPr>
                <w:spacing w:val="-4"/>
                <w:sz w:val="24"/>
                <w:szCs w:val="24"/>
              </w:rPr>
              <w:t>孔道， 构成目的层至套管内连通的一项技术。射穿产层后油气井的生产</w:t>
            </w:r>
            <w:r>
              <w:rPr>
                <w:spacing w:val="-5"/>
                <w:sz w:val="24"/>
                <w:szCs w:val="24"/>
              </w:rPr>
              <w:t>能力受产层</w:t>
            </w:r>
          </w:p>
          <w:p>
            <w:pPr>
              <w:pStyle w:val="6"/>
              <w:spacing w:before="1" w:line="219" w:lineRule="auto"/>
              <w:ind w:left="106"/>
              <w:rPr>
                <w:sz w:val="24"/>
                <w:szCs w:val="24"/>
              </w:rPr>
            </w:pPr>
            <w:r>
              <w:rPr>
                <w:spacing w:val="-3"/>
                <w:sz w:val="24"/>
                <w:szCs w:val="24"/>
              </w:rPr>
              <w:t>压力、产层性质、射孔参数及质量影响。</w:t>
            </w:r>
          </w:p>
          <w:p>
            <w:pPr>
              <w:pStyle w:val="6"/>
              <w:spacing w:before="195" w:line="217" w:lineRule="auto"/>
              <w:ind w:left="584"/>
              <w:rPr>
                <w:sz w:val="24"/>
                <w:szCs w:val="24"/>
              </w:rPr>
            </w:pPr>
            <w:r>
              <w:rPr>
                <w:spacing w:val="-1"/>
                <w:sz w:val="24"/>
                <w:szCs w:val="24"/>
              </w:rPr>
              <w:t>③ 气井酸化作业</w:t>
            </w:r>
          </w:p>
        </w:tc>
      </w:tr>
    </w:tbl>
    <w:p>
      <w:pPr>
        <w:pStyle w:val="2"/>
        <w:rPr>
          <w:sz w:val="21"/>
        </w:rPr>
      </w:pPr>
    </w:p>
    <w:p>
      <w:pPr>
        <w:rPr>
          <w:sz w:val="21"/>
          <w:szCs w:val="21"/>
        </w:rPr>
        <w:sectPr>
          <w:footerReference r:id="rId60"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6" w:right="101" w:firstLine="479"/>
              <w:rPr>
                <w:sz w:val="24"/>
                <w:szCs w:val="24"/>
              </w:rPr>
            </w:pPr>
            <w:r>
              <w:rPr>
                <w:spacing w:val="-9"/>
                <w:sz w:val="24"/>
                <w:szCs w:val="24"/>
              </w:rPr>
              <w:t>射孔完毕后，</w:t>
            </w:r>
            <w:r>
              <w:rPr>
                <w:spacing w:val="54"/>
                <w:sz w:val="24"/>
                <w:szCs w:val="24"/>
              </w:rPr>
              <w:t xml:space="preserve"> </w:t>
            </w:r>
            <w:r>
              <w:rPr>
                <w:spacing w:val="-9"/>
                <w:sz w:val="24"/>
                <w:szCs w:val="24"/>
              </w:rPr>
              <w:t>为了消除井简附近地层渗透率降低的</w:t>
            </w:r>
            <w:r>
              <w:rPr>
                <w:spacing w:val="-10"/>
                <w:sz w:val="24"/>
                <w:szCs w:val="24"/>
              </w:rPr>
              <w:t>不良影响， 以达到增产的目</w:t>
            </w:r>
            <w:r>
              <w:rPr>
                <w:sz w:val="24"/>
                <w:szCs w:val="24"/>
              </w:rPr>
              <w:t xml:space="preserve"> </w:t>
            </w:r>
            <w:r>
              <w:rPr>
                <w:spacing w:val="-8"/>
                <w:sz w:val="24"/>
                <w:szCs w:val="24"/>
              </w:rPr>
              <w:t>的，</w:t>
            </w:r>
            <w:r>
              <w:rPr>
                <w:spacing w:val="-26"/>
                <w:sz w:val="24"/>
                <w:szCs w:val="24"/>
              </w:rPr>
              <w:t xml:space="preserve"> </w:t>
            </w:r>
            <w:r>
              <w:rPr>
                <w:spacing w:val="-8"/>
                <w:sz w:val="24"/>
                <w:szCs w:val="24"/>
              </w:rPr>
              <w:t>在测试放喷前需要对气井进行酸化处理，</w:t>
            </w:r>
            <w:r>
              <w:rPr>
                <w:spacing w:val="61"/>
                <w:sz w:val="24"/>
                <w:szCs w:val="24"/>
              </w:rPr>
              <w:t xml:space="preserve"> </w:t>
            </w:r>
            <w:r>
              <w:rPr>
                <w:spacing w:val="-8"/>
                <w:sz w:val="24"/>
                <w:szCs w:val="24"/>
              </w:rPr>
              <w:t>酸化液的主要成分为</w:t>
            </w:r>
            <w:r>
              <w:rPr>
                <w:spacing w:val="-55"/>
                <w:sz w:val="24"/>
                <w:szCs w:val="24"/>
              </w:rPr>
              <w:t xml:space="preserve"> </w:t>
            </w:r>
            <w:r>
              <w:rPr>
                <w:rFonts w:ascii="Times New Roman" w:hAnsi="Times New Roman" w:eastAsia="Times New Roman" w:cs="Times New Roman"/>
                <w:spacing w:val="-8"/>
                <w:sz w:val="24"/>
                <w:szCs w:val="24"/>
              </w:rPr>
              <w:t>HCl</w:t>
            </w:r>
            <w:r>
              <w:rPr>
                <w:spacing w:val="-8"/>
                <w:sz w:val="24"/>
                <w:szCs w:val="24"/>
              </w:rPr>
              <w:t>。在完井测</w:t>
            </w:r>
            <w:r>
              <w:rPr>
                <w:sz w:val="24"/>
                <w:szCs w:val="24"/>
              </w:rPr>
              <w:t xml:space="preserve"> </w:t>
            </w:r>
            <w:r>
              <w:rPr>
                <w:spacing w:val="-5"/>
                <w:sz w:val="24"/>
                <w:szCs w:val="24"/>
              </w:rPr>
              <w:t>试阶段从井底返排出来进入废水罐中加碱中和后</w:t>
            </w:r>
            <w:r>
              <w:rPr>
                <w:spacing w:val="-6"/>
                <w:sz w:val="24"/>
                <w:szCs w:val="24"/>
              </w:rPr>
              <w:t>，</w:t>
            </w:r>
            <w:r>
              <w:rPr>
                <w:spacing w:val="42"/>
                <w:sz w:val="24"/>
                <w:szCs w:val="24"/>
              </w:rPr>
              <w:t xml:space="preserve"> </w:t>
            </w:r>
            <w:r>
              <w:rPr>
                <w:spacing w:val="-6"/>
                <w:sz w:val="24"/>
                <w:szCs w:val="24"/>
              </w:rPr>
              <w:t>最终委托有资质的第三方单位外</w:t>
            </w:r>
          </w:p>
          <w:p>
            <w:pPr>
              <w:pStyle w:val="6"/>
              <w:spacing w:before="1" w:line="223" w:lineRule="auto"/>
              <w:ind w:left="106"/>
              <w:rPr>
                <w:sz w:val="24"/>
                <w:szCs w:val="24"/>
              </w:rPr>
            </w:pPr>
            <w:r>
              <w:rPr>
                <w:spacing w:val="-9"/>
                <w:sz w:val="24"/>
                <w:szCs w:val="24"/>
              </w:rPr>
              <w:t>运处理。</w:t>
            </w:r>
          </w:p>
          <w:p>
            <w:pPr>
              <w:pStyle w:val="6"/>
              <w:spacing w:before="189" w:line="217" w:lineRule="auto"/>
              <w:ind w:left="584"/>
              <w:rPr>
                <w:sz w:val="24"/>
                <w:szCs w:val="24"/>
              </w:rPr>
            </w:pPr>
            <w:r>
              <w:rPr>
                <w:spacing w:val="-2"/>
                <w:sz w:val="24"/>
                <w:szCs w:val="24"/>
              </w:rPr>
              <w:t>④测试放喷</w:t>
            </w:r>
          </w:p>
          <w:p>
            <w:pPr>
              <w:pStyle w:val="6"/>
              <w:spacing w:before="199" w:line="369" w:lineRule="auto"/>
              <w:ind w:left="105" w:right="100" w:firstLine="483"/>
              <w:rPr>
                <w:sz w:val="24"/>
                <w:szCs w:val="24"/>
              </w:rPr>
            </w:pPr>
            <w:r>
              <w:rPr>
                <w:spacing w:val="-11"/>
                <w:sz w:val="24"/>
                <w:szCs w:val="24"/>
              </w:rPr>
              <w:t>为了解气井的产气量，</w:t>
            </w:r>
            <w:r>
              <w:rPr>
                <w:spacing w:val="66"/>
                <w:sz w:val="24"/>
                <w:szCs w:val="24"/>
              </w:rPr>
              <w:t xml:space="preserve"> </w:t>
            </w:r>
            <w:r>
              <w:rPr>
                <w:spacing w:val="-11"/>
                <w:sz w:val="24"/>
                <w:szCs w:val="24"/>
              </w:rPr>
              <w:t>在完井后，</w:t>
            </w:r>
            <w:r>
              <w:rPr>
                <w:spacing w:val="33"/>
                <w:sz w:val="24"/>
                <w:szCs w:val="24"/>
              </w:rPr>
              <w:t xml:space="preserve"> </w:t>
            </w:r>
            <w:r>
              <w:rPr>
                <w:spacing w:val="-11"/>
                <w:sz w:val="24"/>
                <w:szCs w:val="24"/>
              </w:rPr>
              <w:t>需进行测试。测试放喷前需接一条可供测试</w:t>
            </w:r>
            <w:r>
              <w:rPr>
                <w:sz w:val="24"/>
                <w:szCs w:val="24"/>
              </w:rPr>
              <w:t xml:space="preserve"> </w:t>
            </w:r>
            <w:r>
              <w:rPr>
                <w:spacing w:val="-10"/>
                <w:sz w:val="24"/>
                <w:szCs w:val="24"/>
              </w:rPr>
              <w:t>流量的专用管线，</w:t>
            </w:r>
            <w:r>
              <w:rPr>
                <w:spacing w:val="51"/>
                <w:sz w:val="24"/>
                <w:szCs w:val="24"/>
              </w:rPr>
              <w:t xml:space="preserve"> </w:t>
            </w:r>
            <w:r>
              <w:rPr>
                <w:spacing w:val="-10"/>
                <w:sz w:val="24"/>
                <w:szCs w:val="24"/>
              </w:rPr>
              <w:t>井内天然气经过该管线引至</w:t>
            </w:r>
            <w:r>
              <w:rPr>
                <w:spacing w:val="-11"/>
                <w:sz w:val="24"/>
                <w:szCs w:val="24"/>
              </w:rPr>
              <w:t>由防火墙构成的放喷点点火烧掉，</w:t>
            </w:r>
            <w:r>
              <w:rPr>
                <w:spacing w:val="52"/>
                <w:sz w:val="24"/>
                <w:szCs w:val="24"/>
              </w:rPr>
              <w:t xml:space="preserve"> </w:t>
            </w:r>
            <w:r>
              <w:rPr>
                <w:spacing w:val="-11"/>
                <w:sz w:val="24"/>
                <w:szCs w:val="24"/>
              </w:rPr>
              <w:t>测</w:t>
            </w:r>
            <w:r>
              <w:rPr>
                <w:sz w:val="24"/>
                <w:szCs w:val="24"/>
              </w:rPr>
              <w:t xml:space="preserve"> </w:t>
            </w:r>
            <w:r>
              <w:rPr>
                <w:spacing w:val="-12"/>
                <w:sz w:val="24"/>
                <w:szCs w:val="24"/>
              </w:rPr>
              <w:t>试放喷通常在昼间进行，</w:t>
            </w:r>
            <w:r>
              <w:rPr>
                <w:spacing w:val="52"/>
                <w:sz w:val="24"/>
                <w:szCs w:val="24"/>
              </w:rPr>
              <w:t xml:space="preserve"> </w:t>
            </w:r>
            <w:r>
              <w:rPr>
                <w:spacing w:val="-12"/>
                <w:sz w:val="24"/>
                <w:szCs w:val="24"/>
              </w:rPr>
              <w:t>时间一般为</w:t>
            </w:r>
            <w:r>
              <w:rPr>
                <w:spacing w:val="-50"/>
                <w:sz w:val="24"/>
                <w:szCs w:val="24"/>
              </w:rPr>
              <w:t xml:space="preserve"> </w:t>
            </w:r>
            <w:r>
              <w:rPr>
                <w:rFonts w:ascii="Times New Roman" w:hAnsi="Times New Roman" w:eastAsia="Times New Roman" w:cs="Times New Roman"/>
                <w:spacing w:val="-12"/>
                <w:sz w:val="24"/>
                <w:szCs w:val="24"/>
              </w:rPr>
              <w:t>3h</w:t>
            </w:r>
            <w:r>
              <w:rPr>
                <w:spacing w:val="-12"/>
                <w:sz w:val="24"/>
                <w:szCs w:val="24"/>
              </w:rPr>
              <w:t>。为了测试安全和减轻对环境的污染，</w:t>
            </w:r>
            <w:r>
              <w:rPr>
                <w:spacing w:val="46"/>
                <w:sz w:val="24"/>
                <w:szCs w:val="24"/>
              </w:rPr>
              <w:t xml:space="preserve"> </w:t>
            </w:r>
            <w:r>
              <w:rPr>
                <w:spacing w:val="-12"/>
                <w:sz w:val="24"/>
                <w:szCs w:val="24"/>
              </w:rPr>
              <w:t>点火</w:t>
            </w:r>
            <w:r>
              <w:rPr>
                <w:sz w:val="24"/>
                <w:szCs w:val="24"/>
              </w:rPr>
              <w:t xml:space="preserve"> </w:t>
            </w:r>
            <w:r>
              <w:rPr>
                <w:spacing w:val="-6"/>
                <w:sz w:val="24"/>
                <w:szCs w:val="24"/>
              </w:rPr>
              <w:t>烧掉测试放喷的天然气， 测试放喷时间一般不超过</w:t>
            </w:r>
            <w:r>
              <w:rPr>
                <w:spacing w:val="-47"/>
                <w:sz w:val="24"/>
                <w:szCs w:val="24"/>
              </w:rPr>
              <w:t xml:space="preserve"> </w:t>
            </w:r>
            <w:r>
              <w:rPr>
                <w:rFonts w:ascii="Times New Roman" w:hAnsi="Times New Roman" w:eastAsia="Times New Roman" w:cs="Times New Roman"/>
                <w:spacing w:val="-6"/>
                <w:sz w:val="24"/>
                <w:szCs w:val="24"/>
              </w:rPr>
              <w:t>3h</w:t>
            </w:r>
            <w:r>
              <w:rPr>
                <w:spacing w:val="-6"/>
                <w:sz w:val="24"/>
                <w:szCs w:val="24"/>
              </w:rPr>
              <w:t>，测试燃烧池燃烧筒一般为高</w:t>
            </w:r>
            <w:r>
              <w:rPr>
                <w:sz w:val="24"/>
                <w:szCs w:val="24"/>
              </w:rPr>
              <w:t xml:space="preserve"> </w:t>
            </w:r>
            <w:r>
              <w:rPr>
                <w:spacing w:val="-2"/>
                <w:sz w:val="24"/>
                <w:szCs w:val="24"/>
              </w:rPr>
              <w:t xml:space="preserve">度 </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44"/>
                <w:w w:val="101"/>
                <w:sz w:val="24"/>
                <w:szCs w:val="24"/>
              </w:rPr>
              <w:t xml:space="preserve"> </w:t>
            </w:r>
            <w:r>
              <w:rPr>
                <w:spacing w:val="-2"/>
                <w:sz w:val="24"/>
                <w:szCs w:val="24"/>
              </w:rPr>
              <w:t>的地面火炬，燃烧池内放喷，设有耐火砖挡墙减轻热</w:t>
            </w:r>
            <w:r>
              <w:rPr>
                <w:spacing w:val="-3"/>
                <w:sz w:val="24"/>
                <w:szCs w:val="24"/>
              </w:rPr>
              <w:t>辐射影响。出于安全操</w:t>
            </w:r>
          </w:p>
          <w:p>
            <w:pPr>
              <w:pStyle w:val="6"/>
              <w:spacing w:before="1" w:line="218" w:lineRule="auto"/>
              <w:ind w:left="106"/>
              <w:rPr>
                <w:sz w:val="24"/>
                <w:szCs w:val="24"/>
              </w:rPr>
            </w:pPr>
            <w:r>
              <w:rPr>
                <w:spacing w:val="-2"/>
                <w:sz w:val="24"/>
                <w:szCs w:val="24"/>
              </w:rPr>
              <w:t>作和有利于燃烧废气污染物大气扩散考虑，测试放喷在白天进行。</w:t>
            </w:r>
          </w:p>
          <w:p>
            <w:pPr>
              <w:pStyle w:val="6"/>
              <w:spacing w:before="196" w:line="233" w:lineRule="auto"/>
              <w:ind w:left="714"/>
              <w:rPr>
                <w:sz w:val="24"/>
                <w:szCs w:val="24"/>
              </w:rPr>
            </w:pPr>
            <w:r>
              <w:rPr>
                <w:spacing w:val="-5"/>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5"/>
                <w:sz w:val="24"/>
                <w:szCs w:val="24"/>
              </w:rPr>
              <w:t>ℸ</w:t>
            </w:r>
            <w:r>
              <w:rPr>
                <w:spacing w:val="-5"/>
                <w:sz w:val="24"/>
                <w:szCs w:val="24"/>
                <w14:textOutline w14:w="4354" w14:cap="flat" w14:cmpd="sng">
                  <w14:solidFill>
                    <w14:srgbClr w14:val="000000"/>
                  </w14:solidFill>
                  <w14:prstDash w14:val="solid"/>
                  <w14:miter w14:val="10"/>
                </w14:textOutline>
              </w:rPr>
              <w:t>)</w:t>
            </w:r>
            <w:r>
              <w:rPr>
                <w:spacing w:val="37"/>
                <w:sz w:val="24"/>
                <w:szCs w:val="24"/>
              </w:rPr>
              <w:t xml:space="preserve"> </w:t>
            </w:r>
            <w:r>
              <w:rPr>
                <w:spacing w:val="-5"/>
                <w:sz w:val="24"/>
                <w:szCs w:val="24"/>
                <w14:textOutline w14:w="4354" w14:cap="flat" w14:cmpd="sng">
                  <w14:solidFill>
                    <w14:srgbClr w14:val="000000"/>
                  </w14:solidFill>
                  <w14:prstDash w14:val="solid"/>
                  <w14:miter w14:val="10"/>
                </w14:textOutline>
              </w:rPr>
              <w:t>完井搬迁及井场清理</w:t>
            </w:r>
          </w:p>
          <w:p>
            <w:pPr>
              <w:pStyle w:val="6"/>
              <w:spacing w:before="178" w:line="369" w:lineRule="auto"/>
              <w:ind w:left="106" w:right="99" w:firstLine="480"/>
              <w:rPr>
                <w:sz w:val="24"/>
                <w:szCs w:val="24"/>
              </w:rPr>
            </w:pPr>
            <w:r>
              <w:rPr>
                <w:spacing w:val="-11"/>
                <w:sz w:val="24"/>
                <w:szCs w:val="24"/>
              </w:rPr>
              <w:t>若在勘探过程中，</w:t>
            </w:r>
            <w:r>
              <w:rPr>
                <w:spacing w:val="52"/>
                <w:sz w:val="24"/>
                <w:szCs w:val="24"/>
              </w:rPr>
              <w:t xml:space="preserve"> </w:t>
            </w:r>
            <w:r>
              <w:rPr>
                <w:spacing w:val="-11"/>
                <w:sz w:val="24"/>
                <w:szCs w:val="24"/>
              </w:rPr>
              <w:t>若该井不产油气或无工业开采价值，</w:t>
            </w:r>
            <w:r>
              <w:rPr>
                <w:spacing w:val="56"/>
                <w:sz w:val="24"/>
                <w:szCs w:val="24"/>
              </w:rPr>
              <w:t xml:space="preserve"> </w:t>
            </w:r>
            <w:r>
              <w:rPr>
                <w:spacing w:val="-11"/>
                <w:sz w:val="24"/>
                <w:szCs w:val="24"/>
              </w:rPr>
              <w:t>则将</w:t>
            </w:r>
            <w:r>
              <w:rPr>
                <w:spacing w:val="-12"/>
                <w:sz w:val="24"/>
                <w:szCs w:val="24"/>
              </w:rPr>
              <w:t>进行封井处理及完</w:t>
            </w:r>
            <w:r>
              <w:rPr>
                <w:sz w:val="24"/>
                <w:szCs w:val="24"/>
              </w:rPr>
              <w:t xml:space="preserve"> </w:t>
            </w:r>
            <w:r>
              <w:rPr>
                <w:spacing w:val="-6"/>
                <w:sz w:val="24"/>
                <w:szCs w:val="24"/>
              </w:rPr>
              <w:t>井后的设备搬迁工作。封井处理为全井段注入水泥封井，</w:t>
            </w:r>
            <w:r>
              <w:rPr>
                <w:spacing w:val="63"/>
                <w:sz w:val="24"/>
                <w:szCs w:val="24"/>
              </w:rPr>
              <w:t xml:space="preserve"> </w:t>
            </w:r>
            <w:r>
              <w:rPr>
                <w:spacing w:val="-6"/>
                <w:sz w:val="24"/>
                <w:szCs w:val="24"/>
              </w:rPr>
              <w:t>其中在可能的产气层段上</w:t>
            </w:r>
            <w:r>
              <w:rPr>
                <w:sz w:val="24"/>
                <w:szCs w:val="24"/>
              </w:rPr>
              <w:t xml:space="preserve"> </w:t>
            </w:r>
            <w:r>
              <w:rPr>
                <w:spacing w:val="-11"/>
                <w:sz w:val="24"/>
                <w:szCs w:val="24"/>
              </w:rPr>
              <w:t>部注入高标号水泥，</w:t>
            </w:r>
            <w:r>
              <w:rPr>
                <w:spacing w:val="70"/>
                <w:sz w:val="24"/>
                <w:szCs w:val="24"/>
              </w:rPr>
              <w:t xml:space="preserve"> </w:t>
            </w:r>
            <w:r>
              <w:rPr>
                <w:spacing w:val="-11"/>
                <w:sz w:val="24"/>
                <w:szCs w:val="24"/>
              </w:rPr>
              <w:t>形成水泥塞，</w:t>
            </w:r>
            <w:r>
              <w:rPr>
                <w:spacing w:val="55"/>
                <w:sz w:val="24"/>
                <w:szCs w:val="24"/>
              </w:rPr>
              <w:t xml:space="preserve"> </w:t>
            </w:r>
            <w:r>
              <w:rPr>
                <w:spacing w:val="-11"/>
                <w:sz w:val="24"/>
                <w:szCs w:val="24"/>
              </w:rPr>
              <w:t>封隔可能的工业气流产层。在封井井口套管头上</w:t>
            </w:r>
            <w:r>
              <w:rPr>
                <w:sz w:val="24"/>
                <w:szCs w:val="24"/>
              </w:rPr>
              <w:t xml:space="preserve"> </w:t>
            </w:r>
            <w:r>
              <w:rPr>
                <w:spacing w:val="-2"/>
                <w:sz w:val="24"/>
                <w:szCs w:val="24"/>
              </w:rPr>
              <w:t>安装丝扣法兰，并在井口周边修建围墙，围墙上设置醒目的警示标志，加以保护，</w:t>
            </w:r>
            <w:r>
              <w:rPr>
                <w:spacing w:val="8"/>
                <w:sz w:val="24"/>
                <w:szCs w:val="24"/>
              </w:rPr>
              <w:t xml:space="preserve"> </w:t>
            </w:r>
            <w:r>
              <w:rPr>
                <w:spacing w:val="-3"/>
                <w:sz w:val="24"/>
                <w:szCs w:val="24"/>
              </w:rPr>
              <w:t>防止人为破坏。完井测试结果若表明该井有工业</w:t>
            </w:r>
            <w:r>
              <w:rPr>
                <w:spacing w:val="-4"/>
                <w:sz w:val="24"/>
                <w:szCs w:val="24"/>
              </w:rPr>
              <w:t>开采价值，</w:t>
            </w:r>
            <w:r>
              <w:rPr>
                <w:spacing w:val="-31"/>
                <w:sz w:val="24"/>
                <w:szCs w:val="24"/>
              </w:rPr>
              <w:t xml:space="preserve"> </w:t>
            </w:r>
            <w:r>
              <w:rPr>
                <w:spacing w:val="-4"/>
                <w:sz w:val="24"/>
                <w:szCs w:val="24"/>
              </w:rPr>
              <w:t>则在井口安装采气装置</w:t>
            </w:r>
            <w:r>
              <w:rPr>
                <w:sz w:val="24"/>
                <w:szCs w:val="24"/>
              </w:rPr>
              <w:t xml:space="preserve"> </w:t>
            </w:r>
            <w:r>
              <w:rPr>
                <w:spacing w:val="-4"/>
                <w:sz w:val="24"/>
                <w:szCs w:val="24"/>
              </w:rPr>
              <w:t>正常生产， 地面采气工程应根据《关于进一步加强石油天然气行业环</w:t>
            </w:r>
            <w:r>
              <w:rPr>
                <w:spacing w:val="-5"/>
                <w:sz w:val="24"/>
                <w:szCs w:val="24"/>
              </w:rPr>
              <w:t>境影响评价管</w:t>
            </w:r>
          </w:p>
          <w:p>
            <w:pPr>
              <w:pStyle w:val="6"/>
              <w:spacing w:line="215" w:lineRule="auto"/>
              <w:ind w:left="108"/>
              <w:rPr>
                <w:sz w:val="24"/>
                <w:szCs w:val="24"/>
              </w:rPr>
            </w:pPr>
            <w:r>
              <w:rPr>
                <w:spacing w:val="-1"/>
                <w:sz w:val="24"/>
                <w:szCs w:val="24"/>
              </w:rPr>
              <w:t>理的通知》（环办环评函</w:t>
            </w:r>
            <w:r>
              <w:rPr>
                <w:rFonts w:ascii="Times New Roman" w:hAnsi="Times New Roman" w:eastAsia="Times New Roman" w:cs="Times New Roman"/>
                <w:spacing w:val="-1"/>
                <w:sz w:val="24"/>
                <w:szCs w:val="24"/>
              </w:rPr>
              <w:t xml:space="preserve">[2019]910 </w:t>
            </w:r>
            <w:r>
              <w:rPr>
                <w:spacing w:val="-1"/>
                <w:sz w:val="24"/>
                <w:szCs w:val="24"/>
              </w:rPr>
              <w:t>号）的相关</w:t>
            </w:r>
            <w:r>
              <w:rPr>
                <w:spacing w:val="-2"/>
                <w:sz w:val="24"/>
                <w:szCs w:val="24"/>
              </w:rPr>
              <w:t>规定另行开展环评。</w:t>
            </w:r>
          </w:p>
          <w:p>
            <w:pPr>
              <w:pStyle w:val="6"/>
              <w:spacing w:before="203" w:line="369" w:lineRule="auto"/>
              <w:ind w:left="105" w:right="103" w:firstLine="482"/>
              <w:rPr>
                <w:sz w:val="24"/>
                <w:szCs w:val="24"/>
              </w:rPr>
            </w:pPr>
            <w:r>
              <w:rPr>
                <w:spacing w:val="-6"/>
                <w:sz w:val="24"/>
                <w:szCs w:val="24"/>
              </w:rPr>
              <w:t>完井搬迁主要包括设备搬迁和设施拆除，</w:t>
            </w:r>
            <w:r>
              <w:rPr>
                <w:spacing w:val="47"/>
                <w:sz w:val="24"/>
                <w:szCs w:val="24"/>
              </w:rPr>
              <w:t xml:space="preserve"> </w:t>
            </w:r>
            <w:r>
              <w:rPr>
                <w:spacing w:val="-6"/>
                <w:sz w:val="24"/>
                <w:szCs w:val="24"/>
              </w:rPr>
              <w:t>设备搬迁完成后即对场地内设施进行</w:t>
            </w:r>
            <w:r>
              <w:rPr>
                <w:sz w:val="24"/>
                <w:szCs w:val="24"/>
              </w:rPr>
              <w:t xml:space="preserve"> </w:t>
            </w:r>
            <w:r>
              <w:rPr>
                <w:spacing w:val="-4"/>
                <w:sz w:val="24"/>
                <w:szCs w:val="24"/>
              </w:rPr>
              <w:t>拆除， 如清除场地碎石、拆除硬化地面、清挖设备基础等。完</w:t>
            </w:r>
            <w:r>
              <w:rPr>
                <w:spacing w:val="-5"/>
                <w:sz w:val="24"/>
                <w:szCs w:val="24"/>
              </w:rPr>
              <w:t>井搬迁前钻后污染物</w:t>
            </w:r>
            <w:r>
              <w:rPr>
                <w:sz w:val="24"/>
                <w:szCs w:val="24"/>
              </w:rPr>
              <w:t xml:space="preserve"> </w:t>
            </w:r>
            <w:r>
              <w:rPr>
                <w:spacing w:val="-1"/>
                <w:sz w:val="24"/>
                <w:szCs w:val="24"/>
              </w:rPr>
              <w:t>和场地碎石、硬化地面及防渗等设施拆除废物应得到妥善处理</w:t>
            </w:r>
            <w:r>
              <w:rPr>
                <w:spacing w:val="-2"/>
                <w:sz w:val="24"/>
                <w:szCs w:val="24"/>
              </w:rPr>
              <w:t>，做到工完、料净、</w:t>
            </w:r>
            <w:r>
              <w:rPr>
                <w:sz w:val="24"/>
                <w:szCs w:val="24"/>
              </w:rPr>
              <w:t xml:space="preserve"> </w:t>
            </w:r>
            <w:r>
              <w:rPr>
                <w:spacing w:val="-4"/>
                <w:sz w:val="24"/>
                <w:szCs w:val="24"/>
              </w:rPr>
              <w:t>场地清， 放弃的井场应尽可能地恢复其原来的土地利用状况或者按土</w:t>
            </w:r>
            <w:r>
              <w:rPr>
                <w:spacing w:val="-5"/>
                <w:sz w:val="24"/>
                <w:szCs w:val="24"/>
              </w:rPr>
              <w:t>地承包人的意</w:t>
            </w:r>
            <w:r>
              <w:rPr>
                <w:sz w:val="24"/>
                <w:szCs w:val="24"/>
              </w:rPr>
              <w:t xml:space="preserve"> </w:t>
            </w:r>
            <w:r>
              <w:rPr>
                <w:spacing w:val="-6"/>
                <w:sz w:val="24"/>
                <w:szCs w:val="24"/>
              </w:rPr>
              <w:t>愿转换土地用途（如保留水泥</w:t>
            </w:r>
            <w:r>
              <w:rPr>
                <w:rFonts w:ascii="Times New Roman" w:hAnsi="Times New Roman" w:eastAsia="Times New Roman" w:cs="Times New Roman"/>
                <w:spacing w:val="-6"/>
                <w:sz w:val="24"/>
                <w:szCs w:val="24"/>
              </w:rPr>
              <w:t>/</w:t>
            </w:r>
            <w:r>
              <w:rPr>
                <w:spacing w:val="-6"/>
                <w:sz w:val="24"/>
                <w:szCs w:val="24"/>
              </w:rPr>
              <w:t>硬地面作为谷场等） 。建设方依法办理环保手续并按</w:t>
            </w:r>
            <w:r>
              <w:rPr>
                <w:spacing w:val="8"/>
                <w:sz w:val="24"/>
                <w:szCs w:val="24"/>
              </w:rPr>
              <w:t xml:space="preserve"> </w:t>
            </w:r>
            <w:r>
              <w:rPr>
                <w:spacing w:val="-11"/>
                <w:sz w:val="24"/>
                <w:szCs w:val="24"/>
              </w:rPr>
              <w:t>照钻井井场环保标准进行验收，</w:t>
            </w:r>
            <w:r>
              <w:rPr>
                <w:spacing w:val="65"/>
                <w:sz w:val="24"/>
                <w:szCs w:val="24"/>
              </w:rPr>
              <w:t xml:space="preserve"> </w:t>
            </w:r>
            <w:r>
              <w:rPr>
                <w:spacing w:val="-11"/>
                <w:sz w:val="24"/>
                <w:szCs w:val="24"/>
              </w:rPr>
              <w:t>验收合格方可交井，</w:t>
            </w:r>
            <w:r>
              <w:rPr>
                <w:spacing w:val="57"/>
                <w:sz w:val="24"/>
                <w:szCs w:val="24"/>
              </w:rPr>
              <w:t xml:space="preserve"> </w:t>
            </w:r>
            <w:r>
              <w:rPr>
                <w:spacing w:val="-11"/>
                <w:sz w:val="24"/>
                <w:szCs w:val="24"/>
              </w:rPr>
              <w:t>并对后续可能出现的环保问题</w:t>
            </w:r>
          </w:p>
          <w:p>
            <w:pPr>
              <w:pStyle w:val="6"/>
              <w:spacing w:line="219" w:lineRule="auto"/>
              <w:ind w:left="115"/>
              <w:rPr>
                <w:sz w:val="24"/>
                <w:szCs w:val="24"/>
              </w:rPr>
            </w:pPr>
            <w:r>
              <w:rPr>
                <w:spacing w:val="-12"/>
                <w:sz w:val="24"/>
                <w:szCs w:val="24"/>
              </w:rPr>
              <w:t>负责。</w:t>
            </w:r>
          </w:p>
          <w:p>
            <w:pPr>
              <w:pStyle w:val="6"/>
              <w:spacing w:before="195" w:line="480" w:lineRule="exact"/>
              <w:ind w:left="592"/>
              <w:rPr>
                <w:sz w:val="24"/>
                <w:szCs w:val="24"/>
              </w:rPr>
            </w:pPr>
            <w:r>
              <w:rPr>
                <w:spacing w:val="2"/>
                <w:position w:val="18"/>
                <w:sz w:val="24"/>
                <w:szCs w:val="24"/>
              </w:rPr>
              <w:t>复垦后应满足《土地复垦质量控制标准》（</w:t>
            </w:r>
            <w:r>
              <w:rPr>
                <w:rFonts w:ascii="Times New Roman" w:hAnsi="Times New Roman" w:eastAsia="Times New Roman" w:cs="Times New Roman"/>
                <w:position w:val="18"/>
                <w:sz w:val="24"/>
                <w:szCs w:val="24"/>
              </w:rPr>
              <w:t>TD</w:t>
            </w:r>
            <w:r>
              <w:rPr>
                <w:rFonts w:ascii="Times New Roman" w:hAnsi="Times New Roman" w:eastAsia="Times New Roman" w:cs="Times New Roman"/>
                <w:spacing w:val="2"/>
                <w:position w:val="18"/>
                <w:sz w:val="24"/>
                <w:szCs w:val="24"/>
              </w:rPr>
              <w:t>/T1036</w:t>
            </w:r>
            <w:r>
              <w:rPr>
                <w:rFonts w:ascii="Times New Roman" w:hAnsi="Times New Roman" w:eastAsia="Times New Roman" w:cs="Times New Roman"/>
                <w:spacing w:val="1"/>
                <w:position w:val="18"/>
                <w:sz w:val="24"/>
                <w:szCs w:val="24"/>
              </w:rPr>
              <w:t>-2013</w:t>
            </w:r>
            <w:r>
              <w:rPr>
                <w:spacing w:val="1"/>
                <w:position w:val="18"/>
                <w:sz w:val="24"/>
                <w:szCs w:val="24"/>
              </w:rPr>
              <w:t>）中规定的要求，</w:t>
            </w:r>
          </w:p>
          <w:p>
            <w:pPr>
              <w:pStyle w:val="6"/>
              <w:spacing w:line="220" w:lineRule="auto"/>
              <w:ind w:left="123"/>
              <w:rPr>
                <w:sz w:val="24"/>
                <w:szCs w:val="24"/>
              </w:rPr>
            </w:pPr>
            <w:r>
              <w:rPr>
                <w:spacing w:val="-21"/>
                <w:sz w:val="24"/>
                <w:szCs w:val="24"/>
              </w:rPr>
              <w:t>即：</w:t>
            </w:r>
          </w:p>
          <w:p>
            <w:pPr>
              <w:pStyle w:val="6"/>
              <w:spacing w:before="194" w:line="217" w:lineRule="auto"/>
              <w:ind w:left="584"/>
              <w:rPr>
                <w:sz w:val="24"/>
                <w:szCs w:val="24"/>
              </w:rPr>
            </w:pPr>
            <w:r>
              <w:rPr>
                <w:spacing w:val="-7"/>
                <w:sz w:val="24"/>
                <w:szCs w:val="24"/>
              </w:rPr>
              <w:t>①旱地田面坡度不得超过</w:t>
            </w:r>
            <w:r>
              <w:rPr>
                <w:spacing w:val="-55"/>
                <w:sz w:val="24"/>
                <w:szCs w:val="24"/>
              </w:rPr>
              <w:t xml:space="preserve"> </w:t>
            </w:r>
            <w:r>
              <w:rPr>
                <w:rFonts w:ascii="Times New Roman" w:hAnsi="Times New Roman" w:eastAsia="Times New Roman" w:cs="Times New Roman"/>
                <w:spacing w:val="-7"/>
                <w:sz w:val="24"/>
                <w:szCs w:val="24"/>
              </w:rPr>
              <w:t>25</w:t>
            </w:r>
            <w:r>
              <w:rPr>
                <w:spacing w:val="-7"/>
                <w:sz w:val="24"/>
                <w:szCs w:val="24"/>
              </w:rPr>
              <w:t>°。复垦地为水浇地、水田时</w:t>
            </w:r>
            <w:r>
              <w:rPr>
                <w:spacing w:val="-8"/>
                <w:sz w:val="24"/>
                <w:szCs w:val="24"/>
              </w:rPr>
              <w:t>，</w:t>
            </w:r>
            <w:r>
              <w:rPr>
                <w:spacing w:val="34"/>
                <w:sz w:val="24"/>
                <w:szCs w:val="24"/>
              </w:rPr>
              <w:t xml:space="preserve"> </w:t>
            </w:r>
            <w:r>
              <w:rPr>
                <w:spacing w:val="-8"/>
                <w:sz w:val="24"/>
                <w:szCs w:val="24"/>
              </w:rPr>
              <w:t>地面坡度不宜超过</w:t>
            </w:r>
          </w:p>
        </w:tc>
      </w:tr>
    </w:tbl>
    <w:p>
      <w:pPr>
        <w:pStyle w:val="2"/>
        <w:rPr>
          <w:sz w:val="21"/>
        </w:rPr>
      </w:pPr>
    </w:p>
    <w:p>
      <w:pPr>
        <w:rPr>
          <w:sz w:val="21"/>
          <w:szCs w:val="21"/>
        </w:rPr>
        <w:sectPr>
          <w:footerReference r:id="rId61" w:type="default"/>
          <w:pgSz w:w="11907" w:h="16839"/>
          <w:pgMar w:top="400" w:right="1298" w:bottom="1178"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77" w:hRule="atLeast"/>
        </w:trPr>
        <w:tc>
          <w:tcPr>
            <w:tcW w:w="465" w:type="dxa"/>
            <w:tcBorders>
              <w:bottom w:val="single" w:color="000000" w:sz="2" w:space="0"/>
              <w:right w:val="single" w:color="000000" w:sz="2" w:space="0"/>
            </w:tcBorders>
            <w:vAlign w:val="top"/>
          </w:tcPr>
          <w:p>
            <w:pPr>
              <w:rPr>
                <w:rFonts w:ascii="Arial"/>
                <w:sz w:val="21"/>
              </w:rPr>
            </w:pPr>
          </w:p>
        </w:tc>
        <w:tc>
          <w:tcPr>
            <w:tcW w:w="8826" w:type="dxa"/>
            <w:tcBorders>
              <w:left w:val="single" w:color="000000" w:sz="2" w:space="0"/>
              <w:bottom w:val="single" w:color="000000" w:sz="2" w:space="0"/>
            </w:tcBorders>
            <w:vAlign w:val="top"/>
          </w:tcPr>
          <w:p>
            <w:pPr>
              <w:pStyle w:val="6"/>
              <w:spacing w:before="182" w:line="236" w:lineRule="auto"/>
              <w:ind w:left="124"/>
              <w:rPr>
                <w:sz w:val="24"/>
                <w:szCs w:val="24"/>
              </w:rPr>
            </w:pPr>
            <w:r>
              <w:rPr>
                <w:rFonts w:ascii="Times New Roman" w:hAnsi="Times New Roman" w:eastAsia="Times New Roman" w:cs="Times New Roman"/>
                <w:spacing w:val="-12"/>
                <w:sz w:val="24"/>
                <w:szCs w:val="24"/>
              </w:rPr>
              <w:t>15</w:t>
            </w:r>
            <w:r>
              <w:rPr>
                <w:spacing w:val="-12"/>
                <w:sz w:val="24"/>
                <w:szCs w:val="24"/>
              </w:rPr>
              <w:t>°。</w:t>
            </w:r>
          </w:p>
          <w:p>
            <w:pPr>
              <w:pStyle w:val="6"/>
              <w:spacing w:before="174" w:line="369" w:lineRule="auto"/>
              <w:ind w:left="106" w:right="101" w:firstLine="478"/>
              <w:jc w:val="both"/>
              <w:rPr>
                <w:sz w:val="24"/>
                <w:szCs w:val="24"/>
              </w:rPr>
            </w:pPr>
            <w:r>
              <w:rPr>
                <w:spacing w:val="1"/>
                <w:sz w:val="24"/>
                <w:szCs w:val="24"/>
              </w:rPr>
              <w:t xml:space="preserve">②有效土层厚度大于 </w:t>
            </w:r>
            <w:r>
              <w:rPr>
                <w:rFonts w:ascii="Times New Roman" w:hAnsi="Times New Roman" w:eastAsia="Times New Roman" w:cs="Times New Roman"/>
                <w:spacing w:val="1"/>
                <w:sz w:val="24"/>
                <w:szCs w:val="24"/>
              </w:rPr>
              <w:t>40</w:t>
            </w:r>
            <w:r>
              <w:rPr>
                <w:rFonts w:ascii="Times New Roman" w:hAnsi="Times New Roman" w:eastAsia="Times New Roman" w:cs="Times New Roman"/>
                <w:sz w:val="24"/>
                <w:szCs w:val="24"/>
              </w:rPr>
              <w:t>cm</w:t>
            </w:r>
            <w:r>
              <w:rPr>
                <w:spacing w:val="1"/>
                <w:sz w:val="24"/>
                <w:szCs w:val="24"/>
              </w:rPr>
              <w:t>，土壤具有较好的肥力，土壤环境质量符合《土壤</w:t>
            </w:r>
            <w:r>
              <w:rPr>
                <w:spacing w:val="2"/>
                <w:sz w:val="24"/>
                <w:szCs w:val="24"/>
              </w:rPr>
              <w:t xml:space="preserve"> </w:t>
            </w:r>
            <w:r>
              <w:rPr>
                <w:spacing w:val="-2"/>
                <w:sz w:val="24"/>
                <w:szCs w:val="24"/>
              </w:rPr>
              <w:t>环境质量农用地土壤污染风险管控标准（试行）》（</w:t>
            </w:r>
            <w:r>
              <w:rPr>
                <w:rFonts w:ascii="Times New Roman" w:hAnsi="Times New Roman" w:eastAsia="Times New Roman" w:cs="Times New Roman"/>
                <w:spacing w:val="-2"/>
                <w:sz w:val="24"/>
                <w:szCs w:val="24"/>
              </w:rPr>
              <w:t>GB15618-2018</w:t>
            </w:r>
            <w:r>
              <w:rPr>
                <w:spacing w:val="-2"/>
                <w:sz w:val="24"/>
                <w:szCs w:val="24"/>
              </w:rPr>
              <w:t>）规定的风</w:t>
            </w:r>
            <w:r>
              <w:rPr>
                <w:spacing w:val="-3"/>
                <w:sz w:val="24"/>
                <w:szCs w:val="24"/>
              </w:rPr>
              <w:t>险筛</w:t>
            </w:r>
          </w:p>
          <w:p>
            <w:pPr>
              <w:pStyle w:val="6"/>
              <w:spacing w:line="219" w:lineRule="auto"/>
              <w:ind w:left="105"/>
              <w:rPr>
                <w:sz w:val="24"/>
                <w:szCs w:val="24"/>
              </w:rPr>
            </w:pPr>
            <w:r>
              <w:rPr>
                <w:spacing w:val="-3"/>
                <w:sz w:val="24"/>
                <w:szCs w:val="24"/>
              </w:rPr>
              <w:t>选值。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5" w:hRule="atLeast"/>
        </w:trPr>
        <w:tc>
          <w:tcPr>
            <w:tcW w:w="465" w:type="dxa"/>
            <w:tcBorders>
              <w:top w:val="single" w:color="000000" w:sz="2" w:space="0"/>
              <w:right w:val="single" w:color="000000" w:sz="2" w:space="0"/>
            </w:tcBorders>
            <w:textDirection w:val="tbRlV"/>
            <w:vAlign w:val="top"/>
          </w:tcPr>
          <w:p>
            <w:pPr>
              <w:pStyle w:val="6"/>
              <w:spacing w:before="111" w:line="209" w:lineRule="auto"/>
              <w:ind w:left="302"/>
              <w:rPr>
                <w:sz w:val="24"/>
                <w:szCs w:val="24"/>
              </w:rPr>
            </w:pPr>
            <w:r>
              <w:rPr>
                <w:sz w:val="24"/>
                <w:szCs w:val="24"/>
              </w:rPr>
              <w:t>其</w:t>
            </w:r>
            <w:r>
              <w:rPr>
                <w:spacing w:val="-49"/>
                <w:sz w:val="24"/>
                <w:szCs w:val="24"/>
              </w:rPr>
              <w:t xml:space="preserve"> </w:t>
            </w:r>
            <w:r>
              <w:rPr>
                <w:sz w:val="24"/>
                <w:szCs w:val="24"/>
              </w:rPr>
              <w:t>他</w:t>
            </w:r>
          </w:p>
        </w:tc>
        <w:tc>
          <w:tcPr>
            <w:tcW w:w="8826" w:type="dxa"/>
            <w:tcBorders>
              <w:top w:val="single" w:color="000000" w:sz="2" w:space="0"/>
              <w:left w:val="single" w:color="000000" w:sz="2" w:space="0"/>
            </w:tcBorders>
            <w:vAlign w:val="top"/>
          </w:tcPr>
          <w:p>
            <w:pPr>
              <w:spacing w:line="378" w:lineRule="auto"/>
              <w:rPr>
                <w:rFonts w:ascii="Arial"/>
                <w:sz w:val="21"/>
              </w:rPr>
            </w:pPr>
          </w:p>
          <w:p>
            <w:pPr>
              <w:pStyle w:val="6"/>
              <w:spacing w:before="78" w:line="220" w:lineRule="auto"/>
              <w:ind w:left="587"/>
              <w:rPr>
                <w:sz w:val="24"/>
                <w:szCs w:val="24"/>
              </w:rPr>
            </w:pPr>
            <w:r>
              <w:rPr>
                <w:sz w:val="24"/>
                <w:szCs w:val="24"/>
              </w:rPr>
              <w:t>无</w:t>
            </w:r>
          </w:p>
        </w:tc>
      </w:tr>
    </w:tbl>
    <w:p>
      <w:pPr>
        <w:pStyle w:val="2"/>
        <w:rPr>
          <w:sz w:val="21"/>
        </w:rPr>
      </w:pPr>
    </w:p>
    <w:p>
      <w:pPr>
        <w:rPr>
          <w:sz w:val="21"/>
          <w:szCs w:val="21"/>
        </w:rPr>
        <w:sectPr>
          <w:footerReference r:id="rId62" w:type="default"/>
          <w:pgSz w:w="11907" w:h="16839"/>
          <w:pgMar w:top="400" w:right="1298" w:bottom="1180" w:left="1300" w:header="0" w:footer="920" w:gutter="0"/>
          <w:cols w:space="720" w:num="1"/>
        </w:sectPr>
      </w:pPr>
    </w:p>
    <w:p>
      <w:pPr>
        <w:pStyle w:val="2"/>
        <w:spacing w:line="247" w:lineRule="auto"/>
        <w:rPr>
          <w:sz w:val="21"/>
        </w:r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98" w:line="219" w:lineRule="auto"/>
        <w:ind w:left="1969"/>
        <w:rPr>
          <w:rFonts w:ascii="黑体" w:hAnsi="黑体" w:eastAsia="黑体" w:cs="黑体"/>
          <w:sz w:val="30"/>
          <w:szCs w:val="30"/>
        </w:rPr>
      </w:pPr>
      <w:r>
        <w:rPr>
          <w:rFonts w:ascii="黑体" w:hAnsi="黑体" w:eastAsia="黑体" w:cs="黑体"/>
          <w:spacing w:val="-2"/>
          <w:sz w:val="30"/>
          <w:szCs w:val="30"/>
        </w:rPr>
        <w:t>三、生态环境现状、保护目标及评价标准</w:t>
      </w:r>
    </w:p>
    <w:p>
      <w:pPr>
        <w:spacing w:before="25"/>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0" w:hRule="atLeast"/>
        </w:trPr>
        <w:tc>
          <w:tcPr>
            <w:tcW w:w="465" w:type="dxa"/>
            <w:tcBorders>
              <w:right w:val="single" w:color="000000" w:sz="2" w:space="0"/>
            </w:tcBorders>
            <w:textDirection w:val="tbRlV"/>
            <w:vAlign w:val="top"/>
          </w:tcPr>
          <w:p>
            <w:pPr>
              <w:pStyle w:val="6"/>
              <w:spacing w:before="111" w:line="208" w:lineRule="auto"/>
              <w:ind w:left="5611"/>
              <w:rPr>
                <w:sz w:val="24"/>
                <w:szCs w:val="24"/>
              </w:rPr>
            </w:pPr>
            <w:r>
              <w:rPr>
                <w:sz w:val="24"/>
                <w:szCs w:val="24"/>
              </w:rPr>
              <w:t>生</w:t>
            </w:r>
            <w:r>
              <w:rPr>
                <w:spacing w:val="-48"/>
                <w:sz w:val="24"/>
                <w:szCs w:val="24"/>
              </w:rPr>
              <w:t xml:space="preserve"> </w:t>
            </w:r>
            <w:r>
              <w:rPr>
                <w:sz w:val="24"/>
                <w:szCs w:val="24"/>
              </w:rPr>
              <w:t>态</w:t>
            </w:r>
            <w:r>
              <w:rPr>
                <w:spacing w:val="-49"/>
                <w:sz w:val="24"/>
                <w:szCs w:val="24"/>
              </w:rPr>
              <w:t xml:space="preserve"> </w:t>
            </w:r>
            <w:r>
              <w:rPr>
                <w:sz w:val="24"/>
                <w:szCs w:val="24"/>
              </w:rPr>
              <w:t>环</w:t>
            </w:r>
            <w:r>
              <w:rPr>
                <w:spacing w:val="-51"/>
                <w:sz w:val="24"/>
                <w:szCs w:val="24"/>
              </w:rPr>
              <w:t xml:space="preserve"> </w:t>
            </w:r>
            <w:r>
              <w:rPr>
                <w:sz w:val="24"/>
                <w:szCs w:val="24"/>
              </w:rPr>
              <w:t>境</w:t>
            </w:r>
            <w:r>
              <w:rPr>
                <w:spacing w:val="-48"/>
                <w:sz w:val="24"/>
                <w:szCs w:val="24"/>
              </w:rPr>
              <w:t xml:space="preserve"> </w:t>
            </w:r>
            <w:r>
              <w:rPr>
                <w:sz w:val="24"/>
                <w:szCs w:val="24"/>
              </w:rPr>
              <w:t>现</w:t>
            </w:r>
            <w:r>
              <w:rPr>
                <w:spacing w:val="-48"/>
                <w:sz w:val="24"/>
                <w:szCs w:val="24"/>
              </w:rPr>
              <w:t xml:space="preserve"> </w:t>
            </w:r>
            <w:r>
              <w:rPr>
                <w:sz w:val="24"/>
                <w:szCs w:val="24"/>
              </w:rPr>
              <w:t>状</w:t>
            </w:r>
          </w:p>
        </w:tc>
        <w:tc>
          <w:tcPr>
            <w:tcW w:w="8826" w:type="dxa"/>
            <w:tcBorders>
              <w:left w:val="single" w:color="000000" w:sz="2" w:space="0"/>
            </w:tcBorders>
            <w:vAlign w:val="top"/>
          </w:tcPr>
          <w:p>
            <w:pPr>
              <w:pStyle w:val="6"/>
              <w:spacing w:before="232" w:line="480" w:lineRule="exact"/>
              <w:ind w:left="102"/>
              <w:rPr>
                <w:sz w:val="24"/>
                <w:szCs w:val="24"/>
              </w:rPr>
            </w:pPr>
            <w:r>
              <w:rPr>
                <w:rFonts w:ascii="Times New Roman" w:hAnsi="Times New Roman" w:eastAsia="Times New Roman" w:cs="Times New Roman"/>
                <w:b/>
                <w:bCs/>
                <w:position w:val="18"/>
                <w:sz w:val="24"/>
                <w:szCs w:val="24"/>
              </w:rPr>
              <w:t xml:space="preserve">3.1 </w:t>
            </w:r>
            <w:r>
              <w:rPr>
                <w:position w:val="18"/>
                <w:sz w:val="24"/>
                <w:szCs w:val="24"/>
                <w14:textOutline w14:w="4354" w14:cap="flat" w14:cmpd="sng">
                  <w14:solidFill>
                    <w14:srgbClr w14:val="000000"/>
                  </w14:solidFill>
                  <w14:prstDash w14:val="solid"/>
                  <w14:miter w14:val="10"/>
                </w14:textOutline>
              </w:rPr>
              <w:t>主体功能区规划以及生态功能区划</w:t>
            </w:r>
          </w:p>
          <w:p>
            <w:pPr>
              <w:pStyle w:val="6"/>
              <w:spacing w:before="1"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）主体功能区划</w:t>
            </w:r>
          </w:p>
          <w:p>
            <w:pPr>
              <w:pStyle w:val="6"/>
              <w:spacing w:before="193" w:line="369" w:lineRule="auto"/>
              <w:ind w:left="108" w:right="39" w:firstLine="479"/>
              <w:rPr>
                <w:sz w:val="24"/>
                <w:szCs w:val="24"/>
              </w:rPr>
            </w:pPr>
            <w:r>
              <w:rPr>
                <w:spacing w:val="-8"/>
                <w:sz w:val="24"/>
                <w:szCs w:val="24"/>
              </w:rPr>
              <w:t>根据《四川省主体功能区规划》布局，</w:t>
            </w:r>
            <w:r>
              <w:rPr>
                <w:spacing w:val="42"/>
                <w:sz w:val="24"/>
                <w:szCs w:val="24"/>
              </w:rPr>
              <w:t xml:space="preserve"> </w:t>
            </w:r>
            <w:r>
              <w:rPr>
                <w:spacing w:val="-8"/>
                <w:sz w:val="24"/>
                <w:szCs w:val="24"/>
              </w:rPr>
              <w:t>本项目所在区域属于重点开发区</w:t>
            </w:r>
            <w:r>
              <w:rPr>
                <w:rFonts w:ascii="Times New Roman" w:hAnsi="Times New Roman" w:eastAsia="Times New Roman" w:cs="Times New Roman"/>
                <w:spacing w:val="-8"/>
                <w:sz w:val="24"/>
                <w:szCs w:val="24"/>
              </w:rPr>
              <w:t>-</w:t>
            </w:r>
            <w:r>
              <w:rPr>
                <w:spacing w:val="-8"/>
                <w:sz w:val="24"/>
                <w:szCs w:val="24"/>
              </w:rPr>
              <w:t>川东北</w:t>
            </w:r>
            <w:r>
              <w:rPr>
                <w:sz w:val="24"/>
                <w:szCs w:val="24"/>
              </w:rPr>
              <w:t xml:space="preserve"> </w:t>
            </w:r>
            <w:r>
              <w:rPr>
                <w:spacing w:val="-7"/>
                <w:sz w:val="24"/>
                <w:szCs w:val="24"/>
              </w:rPr>
              <w:t>地区，</w:t>
            </w:r>
            <w:r>
              <w:rPr>
                <w:spacing w:val="-71"/>
                <w:sz w:val="24"/>
                <w:szCs w:val="24"/>
              </w:rPr>
              <w:t xml:space="preserve"> </w:t>
            </w:r>
            <w:r>
              <w:rPr>
                <w:spacing w:val="-7"/>
                <w:sz w:val="24"/>
                <w:szCs w:val="24"/>
              </w:rPr>
              <w:t>重点开发区域是全省加快推进新型工业化、新型城镇化发展的主要承载</w:t>
            </w:r>
            <w:r>
              <w:rPr>
                <w:spacing w:val="-8"/>
                <w:sz w:val="24"/>
                <w:szCs w:val="24"/>
              </w:rPr>
              <w:t>区域，</w:t>
            </w:r>
          </w:p>
          <w:p>
            <w:pPr>
              <w:pStyle w:val="6"/>
              <w:spacing w:before="1" w:line="218" w:lineRule="auto"/>
              <w:ind w:left="107"/>
              <w:rPr>
                <w:sz w:val="24"/>
                <w:szCs w:val="24"/>
              </w:rPr>
            </w:pPr>
            <w:r>
              <w:rPr>
                <w:spacing w:val="-2"/>
                <w:sz w:val="24"/>
                <w:szCs w:val="24"/>
              </w:rPr>
              <w:t>对带动全省经济社会加快发展，促进区域协调发展意义重大。</w:t>
            </w:r>
          </w:p>
          <w:p>
            <w:pPr>
              <w:pStyle w:val="6"/>
              <w:spacing w:before="196" w:line="369" w:lineRule="auto"/>
              <w:ind w:left="108" w:right="100" w:firstLine="486"/>
              <w:rPr>
                <w:sz w:val="24"/>
                <w:szCs w:val="24"/>
              </w:rPr>
            </w:pPr>
            <w:r>
              <w:rPr>
                <w:spacing w:val="-12"/>
                <w:sz w:val="24"/>
                <w:szCs w:val="24"/>
              </w:rPr>
              <w:t>川东北地区是省级层面的重点开发区域，</w:t>
            </w:r>
            <w:r>
              <w:rPr>
                <w:spacing w:val="65"/>
                <w:sz w:val="24"/>
                <w:szCs w:val="24"/>
              </w:rPr>
              <w:t xml:space="preserve"> </w:t>
            </w:r>
            <w:r>
              <w:rPr>
                <w:spacing w:val="-12"/>
                <w:sz w:val="24"/>
                <w:szCs w:val="24"/>
              </w:rPr>
              <w:t>位于川渝陕结合部，</w:t>
            </w:r>
            <w:r>
              <w:rPr>
                <w:spacing w:val="58"/>
                <w:sz w:val="24"/>
                <w:szCs w:val="24"/>
              </w:rPr>
              <w:t xml:space="preserve"> </w:t>
            </w:r>
            <w:r>
              <w:rPr>
                <w:spacing w:val="-12"/>
                <w:sz w:val="24"/>
                <w:szCs w:val="24"/>
              </w:rPr>
              <w:t>天然气、煤等储</w:t>
            </w:r>
            <w:r>
              <w:rPr>
                <w:sz w:val="24"/>
                <w:szCs w:val="24"/>
              </w:rPr>
              <w:t xml:space="preserve"> </w:t>
            </w:r>
            <w:r>
              <w:rPr>
                <w:spacing w:val="-13"/>
                <w:sz w:val="24"/>
                <w:szCs w:val="24"/>
              </w:rPr>
              <w:t>量丰富， 人口众多， 特色农产品资源丰富，  以红色旅游、绿色生态旅游、历史文化</w:t>
            </w:r>
          </w:p>
          <w:p>
            <w:pPr>
              <w:pStyle w:val="6"/>
              <w:spacing w:line="219" w:lineRule="auto"/>
              <w:ind w:left="107"/>
              <w:rPr>
                <w:sz w:val="24"/>
                <w:szCs w:val="24"/>
              </w:rPr>
            </w:pPr>
            <w:r>
              <w:rPr>
                <w:spacing w:val="-3"/>
                <w:sz w:val="24"/>
                <w:szCs w:val="24"/>
              </w:rPr>
              <w:t>旅游为代表的旅游资源独具特色。</w:t>
            </w:r>
          </w:p>
          <w:p>
            <w:pPr>
              <w:pStyle w:val="6"/>
              <w:spacing w:before="197" w:line="369" w:lineRule="auto"/>
              <w:ind w:left="108" w:right="103" w:firstLine="481"/>
              <w:rPr>
                <w:sz w:val="24"/>
                <w:szCs w:val="24"/>
              </w:rPr>
            </w:pPr>
            <w:r>
              <w:rPr>
                <w:spacing w:val="-17"/>
                <w:sz w:val="24"/>
                <w:szCs w:val="24"/>
              </w:rPr>
              <w:t>主体功能定位：</w:t>
            </w:r>
            <w:r>
              <w:rPr>
                <w:spacing w:val="64"/>
                <w:sz w:val="24"/>
                <w:szCs w:val="24"/>
              </w:rPr>
              <w:t xml:space="preserve"> </w:t>
            </w:r>
            <w:r>
              <w:rPr>
                <w:spacing w:val="-17"/>
                <w:sz w:val="24"/>
                <w:szCs w:val="24"/>
              </w:rPr>
              <w:t>我国西部重要的能源化工基地，</w:t>
            </w:r>
            <w:r>
              <w:rPr>
                <w:spacing w:val="53"/>
                <w:sz w:val="24"/>
                <w:szCs w:val="24"/>
              </w:rPr>
              <w:t xml:space="preserve"> </w:t>
            </w:r>
            <w:r>
              <w:rPr>
                <w:spacing w:val="-17"/>
                <w:sz w:val="24"/>
                <w:szCs w:val="24"/>
              </w:rPr>
              <w:t>农产品深加工基地，</w:t>
            </w:r>
            <w:r>
              <w:rPr>
                <w:spacing w:val="62"/>
                <w:sz w:val="24"/>
                <w:szCs w:val="24"/>
              </w:rPr>
              <w:t xml:space="preserve"> </w:t>
            </w:r>
            <w:r>
              <w:rPr>
                <w:spacing w:val="-17"/>
                <w:sz w:val="24"/>
                <w:szCs w:val="24"/>
              </w:rPr>
              <w:t>红色旅游</w:t>
            </w:r>
            <w:r>
              <w:rPr>
                <w:sz w:val="24"/>
                <w:szCs w:val="24"/>
              </w:rPr>
              <w:t xml:space="preserve"> </w:t>
            </w:r>
            <w:r>
              <w:rPr>
                <w:spacing w:val="-9"/>
                <w:sz w:val="24"/>
                <w:szCs w:val="24"/>
              </w:rPr>
              <w:t>基地， 川渝陕结合部的区域经济中心和交通物流中心，</w:t>
            </w:r>
            <w:r>
              <w:rPr>
                <w:spacing w:val="56"/>
                <w:sz w:val="24"/>
                <w:szCs w:val="24"/>
              </w:rPr>
              <w:t xml:space="preserve"> </w:t>
            </w:r>
            <w:r>
              <w:rPr>
                <w:spacing w:val="-9"/>
                <w:sz w:val="24"/>
                <w:szCs w:val="24"/>
              </w:rPr>
              <w:t>构建连接我国西北、</w:t>
            </w:r>
            <w:r>
              <w:rPr>
                <w:spacing w:val="-10"/>
                <w:sz w:val="24"/>
                <w:szCs w:val="24"/>
              </w:rPr>
              <w:t>西南地</w:t>
            </w:r>
            <w:r>
              <w:rPr>
                <w:sz w:val="24"/>
                <w:szCs w:val="24"/>
              </w:rPr>
              <w:t xml:space="preserve"> </w:t>
            </w:r>
            <w:r>
              <w:rPr>
                <w:spacing w:val="-11"/>
                <w:sz w:val="24"/>
                <w:szCs w:val="24"/>
              </w:rPr>
              <w:t>区的新兴经济带。</w:t>
            </w:r>
            <w:r>
              <w:rPr>
                <w:spacing w:val="63"/>
                <w:sz w:val="24"/>
                <w:szCs w:val="24"/>
              </w:rPr>
              <w:t xml:space="preserve"> </w:t>
            </w:r>
            <w:r>
              <w:rPr>
                <w:spacing w:val="-11"/>
                <w:sz w:val="24"/>
                <w:szCs w:val="24"/>
              </w:rPr>
              <w:t>……。利用嘉陵江流域和渠江流域丰富的自然资源，</w:t>
            </w:r>
            <w:r>
              <w:rPr>
                <w:spacing w:val="53"/>
                <w:sz w:val="24"/>
                <w:szCs w:val="24"/>
              </w:rPr>
              <w:t xml:space="preserve"> </w:t>
            </w:r>
            <w:r>
              <w:rPr>
                <w:spacing w:val="-11"/>
                <w:sz w:val="24"/>
                <w:szCs w:val="24"/>
              </w:rPr>
              <w:t>加快川东北</w:t>
            </w:r>
            <w:r>
              <w:rPr>
                <w:sz w:val="24"/>
                <w:szCs w:val="24"/>
              </w:rPr>
              <w:t xml:space="preserve"> </w:t>
            </w:r>
            <w:r>
              <w:rPr>
                <w:spacing w:val="-9"/>
                <w:sz w:val="24"/>
                <w:szCs w:val="24"/>
              </w:rPr>
              <w:t>地区特色优势资源深度开发和加工转化， 积极承接产业转移，</w:t>
            </w:r>
            <w:r>
              <w:rPr>
                <w:spacing w:val="54"/>
                <w:sz w:val="24"/>
                <w:szCs w:val="24"/>
              </w:rPr>
              <w:t xml:space="preserve"> </w:t>
            </w:r>
            <w:r>
              <w:rPr>
                <w:spacing w:val="-9"/>
                <w:sz w:val="24"/>
                <w:szCs w:val="24"/>
              </w:rPr>
              <w:t>重点发展清洁能源和</w:t>
            </w:r>
            <w:r>
              <w:rPr>
                <w:sz w:val="24"/>
                <w:szCs w:val="24"/>
              </w:rPr>
              <w:t xml:space="preserve"> </w:t>
            </w:r>
            <w:r>
              <w:rPr>
                <w:spacing w:val="-11"/>
                <w:sz w:val="24"/>
                <w:szCs w:val="24"/>
              </w:rPr>
              <w:t>石油、天然气化工、农产品加工业，</w:t>
            </w:r>
            <w:r>
              <w:rPr>
                <w:spacing w:val="64"/>
                <w:sz w:val="24"/>
                <w:szCs w:val="24"/>
              </w:rPr>
              <w:t xml:space="preserve"> </w:t>
            </w:r>
            <w:r>
              <w:rPr>
                <w:spacing w:val="-11"/>
                <w:sz w:val="24"/>
                <w:szCs w:val="24"/>
              </w:rPr>
              <w:t>大力发展特色农业和红色旅游。</w:t>
            </w:r>
            <w:r>
              <w:rPr>
                <w:spacing w:val="52"/>
                <w:sz w:val="24"/>
                <w:szCs w:val="24"/>
              </w:rPr>
              <w:t xml:space="preserve"> </w:t>
            </w:r>
            <w:r>
              <w:rPr>
                <w:spacing w:val="-11"/>
                <w:sz w:val="24"/>
                <w:szCs w:val="24"/>
              </w:rPr>
              <w:t>……大力加强</w:t>
            </w:r>
            <w:r>
              <w:rPr>
                <w:sz w:val="24"/>
                <w:szCs w:val="24"/>
              </w:rPr>
              <w:t xml:space="preserve"> </w:t>
            </w:r>
            <w:r>
              <w:rPr>
                <w:spacing w:val="-1"/>
                <w:sz w:val="24"/>
                <w:szCs w:val="24"/>
              </w:rPr>
              <w:t>生态环境保护和流域综合整治，构建以嘉陵江、渠江为主体，</w:t>
            </w:r>
            <w:r>
              <w:rPr>
                <w:spacing w:val="-2"/>
                <w:sz w:val="24"/>
                <w:szCs w:val="24"/>
              </w:rPr>
              <w:t>森林、丘陵、水面、</w:t>
            </w:r>
          </w:p>
          <w:p>
            <w:pPr>
              <w:pStyle w:val="6"/>
              <w:spacing w:before="1" w:line="219" w:lineRule="auto"/>
              <w:ind w:left="108"/>
              <w:rPr>
                <w:sz w:val="24"/>
                <w:szCs w:val="24"/>
              </w:rPr>
            </w:pPr>
            <w:r>
              <w:rPr>
                <w:spacing w:val="-2"/>
                <w:sz w:val="24"/>
                <w:szCs w:val="24"/>
              </w:rPr>
              <w:t>湿地相连，带状环绕、块状相间的流域生态屏障。</w:t>
            </w:r>
          </w:p>
          <w:p>
            <w:pPr>
              <w:pStyle w:val="6"/>
              <w:spacing w:before="194" w:line="219" w:lineRule="auto"/>
              <w:ind w:left="589"/>
              <w:rPr>
                <w:sz w:val="24"/>
                <w:szCs w:val="24"/>
              </w:rPr>
            </w:pPr>
            <w:r>
              <w:rPr>
                <w:spacing w:val="-4"/>
                <w:sz w:val="24"/>
                <w:szCs w:val="24"/>
              </w:rPr>
              <w:t>本项目属于天然气勘探项目，项目建设总体符合《四川省主体功能区规划》 。</w:t>
            </w:r>
          </w:p>
          <w:p>
            <w:pPr>
              <w:pStyle w:val="6"/>
              <w:spacing w:before="195" w:line="221"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）生态功能区划</w:t>
            </w:r>
          </w:p>
          <w:p>
            <w:pPr>
              <w:pStyle w:val="6"/>
              <w:spacing w:before="196" w:line="369" w:lineRule="auto"/>
              <w:ind w:left="107" w:right="38" w:firstLine="480"/>
              <w:jc w:val="both"/>
              <w:rPr>
                <w:sz w:val="24"/>
                <w:szCs w:val="24"/>
              </w:rPr>
            </w:pPr>
            <w:r>
              <w:rPr>
                <w:spacing w:val="-6"/>
                <w:sz w:val="24"/>
                <w:szCs w:val="24"/>
              </w:rPr>
              <w:t>根据《四川省生态功能区划》，</w:t>
            </w:r>
            <w:r>
              <w:rPr>
                <w:spacing w:val="-26"/>
                <w:sz w:val="24"/>
                <w:szCs w:val="24"/>
              </w:rPr>
              <w:t xml:space="preserve"> </w:t>
            </w:r>
            <w:r>
              <w:rPr>
                <w:spacing w:val="-6"/>
                <w:sz w:val="24"/>
                <w:szCs w:val="24"/>
              </w:rPr>
              <w:t>项目所在地属于“</w:t>
            </w:r>
            <w:r>
              <w:rPr>
                <w:rFonts w:ascii="Times New Roman" w:hAnsi="Times New Roman" w:eastAsia="Times New Roman" w:cs="Times New Roman"/>
                <w:spacing w:val="-6"/>
                <w:sz w:val="24"/>
                <w:szCs w:val="24"/>
              </w:rPr>
              <w:t>Ⅰ</w:t>
            </w:r>
            <w:r>
              <w:rPr>
                <w:spacing w:val="-6"/>
                <w:sz w:val="24"/>
                <w:szCs w:val="24"/>
              </w:rPr>
              <w:t>四川盆地亚热带湿润气候生</w:t>
            </w:r>
            <w:r>
              <w:rPr>
                <w:sz w:val="24"/>
                <w:szCs w:val="24"/>
              </w:rPr>
              <w:t xml:space="preserve"> </w:t>
            </w:r>
            <w:r>
              <w:rPr>
                <w:spacing w:val="-8"/>
                <w:sz w:val="24"/>
                <w:szCs w:val="24"/>
              </w:rPr>
              <w:t xml:space="preserve">态区、 </w:t>
            </w:r>
            <w:r>
              <w:rPr>
                <w:rFonts w:ascii="Times New Roman" w:hAnsi="Times New Roman" w:eastAsia="Times New Roman" w:cs="Times New Roman"/>
                <w:spacing w:val="-8"/>
                <w:sz w:val="24"/>
                <w:szCs w:val="24"/>
              </w:rPr>
              <w:t>Ⅰ-2</w:t>
            </w:r>
            <w:r>
              <w:rPr>
                <w:rFonts w:ascii="Times New Roman" w:hAnsi="Times New Roman" w:eastAsia="Times New Roman" w:cs="Times New Roman"/>
                <w:spacing w:val="36"/>
                <w:sz w:val="24"/>
                <w:szCs w:val="24"/>
              </w:rPr>
              <w:t xml:space="preserve"> </w:t>
            </w:r>
            <w:r>
              <w:rPr>
                <w:spacing w:val="-8"/>
                <w:sz w:val="24"/>
                <w:szCs w:val="24"/>
              </w:rPr>
              <w:t>盆中丘陵农林复合生态亚区、</w:t>
            </w:r>
            <w:r>
              <w:rPr>
                <w:spacing w:val="40"/>
                <w:sz w:val="24"/>
                <w:szCs w:val="24"/>
              </w:rPr>
              <w:t xml:space="preserve"> </w:t>
            </w:r>
            <w:r>
              <w:rPr>
                <w:rFonts w:ascii="Times New Roman" w:hAnsi="Times New Roman" w:eastAsia="Times New Roman" w:cs="Times New Roman"/>
                <w:spacing w:val="-8"/>
                <w:sz w:val="24"/>
                <w:szCs w:val="24"/>
              </w:rPr>
              <w:t>Ⅰ-2-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6"/>
                <w:sz w:val="24"/>
                <w:szCs w:val="24"/>
              </w:rPr>
              <w:t xml:space="preserve"> </w:t>
            </w:r>
            <w:r>
              <w:rPr>
                <w:spacing w:val="-8"/>
                <w:sz w:val="24"/>
                <w:szCs w:val="24"/>
              </w:rPr>
              <w:t>盆北深丘农林业</w:t>
            </w:r>
            <w:r>
              <w:rPr>
                <w:spacing w:val="-9"/>
                <w:sz w:val="24"/>
                <w:szCs w:val="24"/>
              </w:rPr>
              <w:t>与土壤保持生态功能</w:t>
            </w:r>
            <w:r>
              <w:rPr>
                <w:sz w:val="24"/>
                <w:szCs w:val="24"/>
              </w:rPr>
              <w:t xml:space="preserve"> </w:t>
            </w:r>
            <w:r>
              <w:rPr>
                <w:spacing w:val="-2"/>
                <w:sz w:val="24"/>
                <w:szCs w:val="24"/>
              </w:rPr>
              <w:t>区</w:t>
            </w:r>
            <w:r>
              <w:rPr>
                <w:spacing w:val="-76"/>
                <w:sz w:val="24"/>
                <w:szCs w:val="24"/>
              </w:rPr>
              <w:t xml:space="preserve"> </w:t>
            </w:r>
            <w:r>
              <w:rPr>
                <w:spacing w:val="-2"/>
                <w:sz w:val="24"/>
                <w:szCs w:val="24"/>
              </w:rPr>
              <w:t xml:space="preserve">”。该生态功能区主要生态特征为深切低山丘陵地貌，海拔 </w:t>
            </w:r>
            <w:r>
              <w:rPr>
                <w:rFonts w:ascii="Times New Roman" w:hAnsi="Times New Roman" w:eastAsia="Times New Roman" w:cs="Times New Roman"/>
                <w:spacing w:val="-2"/>
                <w:sz w:val="24"/>
                <w:szCs w:val="24"/>
              </w:rPr>
              <w:t>460~1400</w:t>
            </w:r>
            <w:r>
              <w:rPr>
                <w:rFonts w:ascii="Times New Roman" w:hAnsi="Times New Roman" w:eastAsia="Times New Roman" w:cs="Times New Roman"/>
                <w:spacing w:val="51"/>
                <w:w w:val="101"/>
                <w:sz w:val="24"/>
                <w:szCs w:val="24"/>
              </w:rPr>
              <w:t xml:space="preserve"> </w:t>
            </w:r>
            <w:r>
              <w:rPr>
                <w:spacing w:val="-2"/>
                <w:sz w:val="24"/>
                <w:szCs w:val="24"/>
              </w:rPr>
              <w:t>米：山地</w:t>
            </w:r>
            <w:r>
              <w:rPr>
                <w:sz w:val="24"/>
                <w:szCs w:val="24"/>
              </w:rPr>
              <w:t xml:space="preserve"> 气候垂直变化明显，年平均气温 </w:t>
            </w:r>
            <w:r>
              <w:rPr>
                <w:rFonts w:ascii="Times New Roman" w:hAnsi="Times New Roman" w:eastAsia="Times New Roman" w:cs="Times New Roman"/>
                <w:sz w:val="24"/>
                <w:szCs w:val="24"/>
              </w:rPr>
              <w:t>13.5~1</w:t>
            </w:r>
            <w:r>
              <w:rPr>
                <w:rFonts w:ascii="Times New Roman" w:hAnsi="Times New Roman" w:eastAsia="Times New Roman" w:cs="Times New Roman"/>
                <w:spacing w:val="-1"/>
                <w:sz w:val="24"/>
                <w:szCs w:val="24"/>
              </w:rPr>
              <w:t>5.7℃</w:t>
            </w:r>
            <w:r>
              <w:rPr>
                <w:rFonts w:ascii="Times New Roman" w:hAnsi="Times New Roman" w:eastAsia="Times New Roman" w:cs="Times New Roman"/>
                <w:spacing w:val="-30"/>
                <w:sz w:val="24"/>
                <w:szCs w:val="24"/>
              </w:rPr>
              <w:t xml:space="preserve"> </w:t>
            </w:r>
            <w:r>
              <w:rPr>
                <w:spacing w:val="-1"/>
                <w:sz w:val="24"/>
                <w:szCs w:val="24"/>
              </w:rPr>
              <w:t>,</w:t>
            </w:r>
            <w:r>
              <w:rPr>
                <w:spacing w:val="57"/>
                <w:sz w:val="24"/>
                <w:szCs w:val="24"/>
              </w:rPr>
              <w:t xml:space="preserve"> </w:t>
            </w:r>
            <w:r>
              <w:rPr>
                <w:rFonts w:ascii="Times New Roman" w:hAnsi="Times New Roman" w:eastAsia="Times New Roman" w:cs="Times New Roman"/>
                <w:spacing w:val="-1"/>
                <w:sz w:val="24"/>
                <w:szCs w:val="24"/>
              </w:rPr>
              <w:t>≥10℃</w:t>
            </w:r>
            <w:r>
              <w:rPr>
                <w:spacing w:val="-1"/>
                <w:sz w:val="24"/>
                <w:szCs w:val="24"/>
              </w:rPr>
              <w:t>的活动积温</w:t>
            </w:r>
            <w:r>
              <w:rPr>
                <w:spacing w:val="-35"/>
                <w:sz w:val="24"/>
                <w:szCs w:val="24"/>
              </w:rPr>
              <w:t xml:space="preserve"> </w:t>
            </w:r>
            <w:r>
              <w:rPr>
                <w:rFonts w:ascii="Times New Roman" w:hAnsi="Times New Roman" w:eastAsia="Times New Roman" w:cs="Times New Roman"/>
                <w:spacing w:val="-1"/>
                <w:sz w:val="24"/>
                <w:szCs w:val="24"/>
              </w:rPr>
              <w:t>4240~4910℃</w:t>
            </w:r>
            <w:r>
              <w:rPr>
                <w:spacing w:val="-1"/>
                <w:sz w:val="24"/>
                <w:szCs w:val="24"/>
              </w:rPr>
              <w:t>,年</w:t>
            </w:r>
            <w:r>
              <w:rPr>
                <w:sz w:val="24"/>
                <w:szCs w:val="24"/>
              </w:rPr>
              <w:t xml:space="preserve"> </w:t>
            </w:r>
            <w:r>
              <w:rPr>
                <w:spacing w:val="-1"/>
                <w:sz w:val="24"/>
                <w:szCs w:val="24"/>
              </w:rPr>
              <w:t xml:space="preserve">平均降水量为 </w:t>
            </w:r>
            <w:r>
              <w:rPr>
                <w:rFonts w:ascii="Times New Roman" w:hAnsi="Times New Roman" w:eastAsia="Times New Roman" w:cs="Times New Roman"/>
                <w:spacing w:val="-1"/>
                <w:sz w:val="24"/>
                <w:szCs w:val="24"/>
              </w:rPr>
              <w:t>560~1420</w:t>
            </w:r>
            <w:r>
              <w:rPr>
                <w:rFonts w:ascii="Times New Roman" w:hAnsi="Times New Roman" w:eastAsia="Times New Roman" w:cs="Times New Roman"/>
                <w:spacing w:val="54"/>
                <w:w w:val="101"/>
                <w:sz w:val="24"/>
                <w:szCs w:val="24"/>
              </w:rPr>
              <w:t xml:space="preserve"> </w:t>
            </w:r>
            <w:r>
              <w:rPr>
                <w:spacing w:val="-1"/>
                <w:sz w:val="24"/>
                <w:szCs w:val="24"/>
              </w:rPr>
              <w:t>毫米。跨嘉陵江干流和渠江两大水系。森林植被主要为马</w:t>
            </w:r>
            <w:r>
              <w:rPr>
                <w:sz w:val="24"/>
                <w:szCs w:val="24"/>
              </w:rPr>
              <w:t xml:space="preserve"> </w:t>
            </w:r>
            <w:r>
              <w:rPr>
                <w:spacing w:val="-6"/>
                <w:sz w:val="24"/>
                <w:szCs w:val="24"/>
              </w:rPr>
              <w:t>尾松林、柏木林、栎类林和栎类灌丛。生物多样性及矿产资源较丰富，</w:t>
            </w:r>
            <w:r>
              <w:rPr>
                <w:spacing w:val="57"/>
                <w:sz w:val="24"/>
                <w:szCs w:val="24"/>
              </w:rPr>
              <w:t xml:space="preserve"> </w:t>
            </w:r>
            <w:r>
              <w:rPr>
                <w:spacing w:val="-6"/>
                <w:sz w:val="24"/>
                <w:szCs w:val="24"/>
              </w:rPr>
              <w:t>主要生态问</w:t>
            </w:r>
            <w:r>
              <w:rPr>
                <w:sz w:val="24"/>
                <w:szCs w:val="24"/>
              </w:rPr>
              <w:t xml:space="preserve"> </w:t>
            </w:r>
            <w:r>
              <w:rPr>
                <w:spacing w:val="-12"/>
                <w:sz w:val="24"/>
                <w:szCs w:val="24"/>
              </w:rPr>
              <w:t>题为水土流失较严重， 滑坡崩塌中等发育， 主要生态服务功能为农林产品提供功能，</w:t>
            </w:r>
            <w:r>
              <w:rPr>
                <w:spacing w:val="17"/>
                <w:sz w:val="24"/>
                <w:szCs w:val="24"/>
              </w:rPr>
              <w:t xml:space="preserve"> </w:t>
            </w:r>
            <w:r>
              <w:rPr>
                <w:spacing w:val="-6"/>
                <w:sz w:val="24"/>
                <w:szCs w:val="24"/>
              </w:rPr>
              <w:t>土壤保持功能，</w:t>
            </w:r>
            <w:r>
              <w:rPr>
                <w:spacing w:val="57"/>
                <w:sz w:val="24"/>
                <w:szCs w:val="24"/>
              </w:rPr>
              <w:t xml:space="preserve"> </w:t>
            </w:r>
            <w:r>
              <w:rPr>
                <w:spacing w:val="-6"/>
                <w:sz w:val="24"/>
                <w:szCs w:val="24"/>
              </w:rPr>
              <w:t>生态保护与发展方向为巩固长江上游防护林建设、天然林保护和退</w:t>
            </w:r>
            <w:r>
              <w:rPr>
                <w:sz w:val="24"/>
                <w:szCs w:val="24"/>
              </w:rPr>
              <w:t xml:space="preserve"> </w:t>
            </w:r>
            <w:r>
              <w:rPr>
                <w:spacing w:val="-16"/>
                <w:sz w:val="24"/>
                <w:szCs w:val="24"/>
              </w:rPr>
              <w:t>耕还林成果。发挥山区资源优势，</w:t>
            </w:r>
            <w:r>
              <w:rPr>
                <w:spacing w:val="64"/>
                <w:sz w:val="24"/>
                <w:szCs w:val="24"/>
              </w:rPr>
              <w:t xml:space="preserve"> </w:t>
            </w:r>
            <w:r>
              <w:rPr>
                <w:spacing w:val="-16"/>
                <w:sz w:val="24"/>
                <w:szCs w:val="24"/>
              </w:rPr>
              <w:t>建立商品林基地，</w:t>
            </w:r>
            <w:r>
              <w:rPr>
                <w:spacing w:val="57"/>
                <w:sz w:val="24"/>
                <w:szCs w:val="24"/>
              </w:rPr>
              <w:t xml:space="preserve"> </w:t>
            </w:r>
            <w:r>
              <w:rPr>
                <w:spacing w:val="-16"/>
                <w:sz w:val="24"/>
                <w:szCs w:val="24"/>
              </w:rPr>
              <w:t>保护野生生物资源，</w:t>
            </w:r>
            <w:r>
              <w:rPr>
                <w:spacing w:val="60"/>
                <w:sz w:val="24"/>
                <w:szCs w:val="24"/>
              </w:rPr>
              <w:t xml:space="preserve"> </w:t>
            </w:r>
            <w:r>
              <w:rPr>
                <w:spacing w:val="-16"/>
                <w:sz w:val="24"/>
                <w:szCs w:val="24"/>
              </w:rPr>
              <w:t>发展生态</w:t>
            </w:r>
          </w:p>
          <w:p>
            <w:pPr>
              <w:pStyle w:val="6"/>
              <w:spacing w:before="1" w:line="218" w:lineRule="auto"/>
              <w:ind w:left="108"/>
              <w:rPr>
                <w:sz w:val="24"/>
                <w:szCs w:val="24"/>
              </w:rPr>
            </w:pPr>
            <w:r>
              <w:rPr>
                <w:spacing w:val="-1"/>
                <w:sz w:val="24"/>
                <w:szCs w:val="24"/>
              </w:rPr>
              <w:t>农业和中药材产业。建设以天然气为主的基础原料和能源化工基地。开发人文</w:t>
            </w:r>
            <w:r>
              <w:rPr>
                <w:spacing w:val="-2"/>
                <w:sz w:val="24"/>
                <w:szCs w:val="24"/>
              </w:rPr>
              <w:t>景观</w:t>
            </w:r>
          </w:p>
        </w:tc>
      </w:tr>
    </w:tbl>
    <w:p>
      <w:pPr>
        <w:pStyle w:val="2"/>
        <w:spacing w:line="232" w:lineRule="exact"/>
        <w:rPr>
          <w:sz w:val="20"/>
        </w:rPr>
      </w:pPr>
    </w:p>
    <w:p>
      <w:pPr>
        <w:spacing w:line="232" w:lineRule="exact"/>
        <w:rPr>
          <w:sz w:val="20"/>
          <w:szCs w:val="20"/>
        </w:rPr>
        <w:sectPr>
          <w:footerReference r:id="rId63" w:type="default"/>
          <w:pgSz w:w="11907" w:h="16839"/>
          <w:pgMar w:top="400" w:right="1298" w:bottom="1178"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39"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480" w:lineRule="exact"/>
              <w:ind w:left="118"/>
              <w:rPr>
                <w:sz w:val="24"/>
                <w:szCs w:val="24"/>
              </w:rPr>
            </w:pPr>
            <w:r>
              <w:rPr>
                <w:spacing w:val="-9"/>
                <w:position w:val="18"/>
                <w:sz w:val="24"/>
                <w:szCs w:val="24"/>
              </w:rPr>
              <w:t>资源， 发展旅游业及相关产业链。用地养地结合，</w:t>
            </w:r>
            <w:r>
              <w:rPr>
                <w:spacing w:val="56"/>
                <w:position w:val="18"/>
                <w:sz w:val="24"/>
                <w:szCs w:val="24"/>
              </w:rPr>
              <w:t xml:space="preserve"> </w:t>
            </w:r>
            <w:r>
              <w:rPr>
                <w:spacing w:val="-9"/>
                <w:position w:val="18"/>
                <w:sz w:val="24"/>
                <w:szCs w:val="24"/>
              </w:rPr>
              <w:t>加强水</w:t>
            </w:r>
            <w:r>
              <w:rPr>
                <w:spacing w:val="-10"/>
                <w:position w:val="18"/>
                <w:sz w:val="24"/>
                <w:szCs w:val="24"/>
              </w:rPr>
              <w:t>土保持建设。严禁无序开</w:t>
            </w:r>
          </w:p>
          <w:p>
            <w:pPr>
              <w:pStyle w:val="6"/>
              <w:spacing w:line="219" w:lineRule="auto"/>
              <w:ind w:left="112"/>
              <w:rPr>
                <w:sz w:val="24"/>
                <w:szCs w:val="24"/>
              </w:rPr>
            </w:pPr>
            <w:r>
              <w:rPr>
                <w:spacing w:val="-4"/>
                <w:sz w:val="24"/>
                <w:szCs w:val="24"/>
              </w:rPr>
              <w:t>发矿产、水力、生物资源。</w:t>
            </w:r>
          </w:p>
          <w:p>
            <w:pPr>
              <w:pStyle w:val="6"/>
              <w:spacing w:before="196" w:line="369" w:lineRule="auto"/>
              <w:ind w:left="109" w:right="101" w:firstLine="479"/>
              <w:rPr>
                <w:sz w:val="24"/>
                <w:szCs w:val="24"/>
              </w:rPr>
            </w:pPr>
            <w:r>
              <w:rPr>
                <w:spacing w:val="-13"/>
                <w:sz w:val="24"/>
                <w:szCs w:val="24"/>
              </w:rPr>
              <w:t>本项目为天然气勘探项目，</w:t>
            </w:r>
            <w:r>
              <w:rPr>
                <w:spacing w:val="93"/>
                <w:sz w:val="24"/>
                <w:szCs w:val="24"/>
              </w:rPr>
              <w:t xml:space="preserve"> </w:t>
            </w:r>
            <w:r>
              <w:rPr>
                <w:spacing w:val="-13"/>
                <w:sz w:val="24"/>
                <w:szCs w:val="24"/>
              </w:rPr>
              <w:t>占地为临时用地。本项目占</w:t>
            </w:r>
            <w:r>
              <w:rPr>
                <w:spacing w:val="-14"/>
                <w:sz w:val="24"/>
                <w:szCs w:val="24"/>
              </w:rPr>
              <w:t>用耕地面积小，</w:t>
            </w:r>
            <w:r>
              <w:rPr>
                <w:spacing w:val="82"/>
                <w:sz w:val="24"/>
                <w:szCs w:val="24"/>
              </w:rPr>
              <w:t xml:space="preserve"> </w:t>
            </w:r>
            <w:r>
              <w:rPr>
                <w:spacing w:val="-14"/>
                <w:sz w:val="24"/>
                <w:szCs w:val="24"/>
              </w:rPr>
              <w:t>由于地</w:t>
            </w:r>
            <w:r>
              <w:rPr>
                <w:sz w:val="24"/>
                <w:szCs w:val="24"/>
              </w:rPr>
              <w:t xml:space="preserve"> </w:t>
            </w:r>
            <w:r>
              <w:rPr>
                <w:spacing w:val="-5"/>
                <w:sz w:val="24"/>
                <w:szCs w:val="24"/>
              </w:rPr>
              <w:t>质勘查确实无法避让永久基本农田，</w:t>
            </w:r>
            <w:r>
              <w:rPr>
                <w:spacing w:val="40"/>
                <w:sz w:val="24"/>
                <w:szCs w:val="24"/>
              </w:rPr>
              <w:t xml:space="preserve"> </w:t>
            </w:r>
            <w:r>
              <w:rPr>
                <w:spacing w:val="-5"/>
                <w:sz w:val="24"/>
                <w:szCs w:val="24"/>
              </w:rPr>
              <w:t>建设单</w:t>
            </w:r>
            <w:r>
              <w:rPr>
                <w:spacing w:val="-6"/>
                <w:sz w:val="24"/>
                <w:szCs w:val="24"/>
              </w:rPr>
              <w:t>位应按相关规定在项目开工建设前向相</w:t>
            </w:r>
            <w:r>
              <w:rPr>
                <w:sz w:val="24"/>
                <w:szCs w:val="24"/>
              </w:rPr>
              <w:t xml:space="preserve"> </w:t>
            </w:r>
            <w:r>
              <w:rPr>
                <w:spacing w:val="-6"/>
                <w:sz w:val="24"/>
                <w:szCs w:val="24"/>
              </w:rPr>
              <w:t>关单位办理临时用地占用相关手续。若勘探结束转入生产使用，</w:t>
            </w:r>
            <w:r>
              <w:rPr>
                <w:spacing w:val="56"/>
                <w:sz w:val="24"/>
                <w:szCs w:val="24"/>
              </w:rPr>
              <w:t xml:space="preserve"> </w:t>
            </w:r>
            <w:r>
              <w:rPr>
                <w:spacing w:val="-6"/>
                <w:sz w:val="24"/>
                <w:szCs w:val="24"/>
              </w:rPr>
              <w:t>建设单位按规定办</w:t>
            </w:r>
            <w:r>
              <w:rPr>
                <w:sz w:val="24"/>
                <w:szCs w:val="24"/>
              </w:rPr>
              <w:t xml:space="preserve"> </w:t>
            </w:r>
            <w:r>
              <w:rPr>
                <w:spacing w:val="-1"/>
                <w:sz w:val="24"/>
                <w:szCs w:val="24"/>
              </w:rPr>
              <w:t>理建设用地审批手续；若不转入生产的，建设单位完成土地</w:t>
            </w:r>
            <w:r>
              <w:rPr>
                <w:spacing w:val="-2"/>
                <w:sz w:val="24"/>
                <w:szCs w:val="24"/>
              </w:rPr>
              <w:t>复垦，按期归还土地。</w:t>
            </w:r>
            <w:r>
              <w:rPr>
                <w:sz w:val="24"/>
                <w:szCs w:val="24"/>
              </w:rPr>
              <w:t xml:space="preserve"> </w:t>
            </w:r>
            <w:r>
              <w:rPr>
                <w:spacing w:val="-15"/>
                <w:sz w:val="24"/>
                <w:szCs w:val="24"/>
              </w:rPr>
              <w:t>项目废水外委处理，</w:t>
            </w:r>
            <w:r>
              <w:rPr>
                <w:spacing w:val="53"/>
                <w:sz w:val="24"/>
                <w:szCs w:val="24"/>
              </w:rPr>
              <w:t xml:space="preserve"> </w:t>
            </w:r>
            <w:r>
              <w:rPr>
                <w:spacing w:val="-15"/>
                <w:sz w:val="24"/>
                <w:szCs w:val="24"/>
              </w:rPr>
              <w:t>对水环境影响小，</w:t>
            </w:r>
            <w:r>
              <w:rPr>
                <w:spacing w:val="54"/>
                <w:sz w:val="24"/>
                <w:szCs w:val="24"/>
              </w:rPr>
              <w:t xml:space="preserve"> </w:t>
            </w:r>
            <w:r>
              <w:rPr>
                <w:spacing w:val="-15"/>
                <w:sz w:val="24"/>
                <w:szCs w:val="24"/>
              </w:rPr>
              <w:t>本项目总体不影响区域的生态服务</w:t>
            </w:r>
            <w:r>
              <w:rPr>
                <w:spacing w:val="-16"/>
                <w:sz w:val="24"/>
                <w:szCs w:val="24"/>
              </w:rPr>
              <w:t>功能。</w:t>
            </w:r>
            <w:r>
              <w:rPr>
                <w:spacing w:val="38"/>
                <w:sz w:val="24"/>
                <w:szCs w:val="24"/>
              </w:rPr>
              <w:t xml:space="preserve"> </w:t>
            </w:r>
            <w:r>
              <w:rPr>
                <w:spacing w:val="-16"/>
                <w:sz w:val="24"/>
                <w:szCs w:val="24"/>
              </w:rPr>
              <w:t>符</w:t>
            </w:r>
          </w:p>
          <w:p>
            <w:pPr>
              <w:pStyle w:val="6"/>
              <w:spacing w:line="219" w:lineRule="auto"/>
              <w:ind w:left="109"/>
              <w:rPr>
                <w:sz w:val="24"/>
                <w:szCs w:val="24"/>
              </w:rPr>
            </w:pPr>
            <w:r>
              <w:rPr>
                <w:spacing w:val="-2"/>
                <w:sz w:val="24"/>
                <w:szCs w:val="24"/>
              </w:rPr>
              <w:t>合《四川省生态功能区划》要求。</w:t>
            </w:r>
          </w:p>
          <w:p>
            <w:pPr>
              <w:pStyle w:val="6"/>
              <w:spacing w:before="242" w:line="220" w:lineRule="auto"/>
              <w:ind w:left="102"/>
              <w:rPr>
                <w:sz w:val="24"/>
                <w:szCs w:val="24"/>
              </w:rPr>
            </w:pPr>
            <w:r>
              <w:rPr>
                <w:rFonts w:ascii="Times New Roman" w:hAnsi="Times New Roman" w:eastAsia="Times New Roman" w:cs="Times New Roman"/>
                <w:b/>
                <w:bCs/>
                <w:sz w:val="24"/>
                <w:szCs w:val="24"/>
              </w:rPr>
              <w:t xml:space="preserve">3.2 </w:t>
            </w:r>
            <w:r>
              <w:rPr>
                <w:sz w:val="24"/>
                <w:szCs w:val="24"/>
                <w14:textOutline w14:w="4354" w14:cap="flat" w14:cmpd="sng">
                  <w14:solidFill>
                    <w14:srgbClr w14:val="000000"/>
                  </w14:solidFill>
                  <w14:prstDash w14:val="solid"/>
                  <w14:miter w14:val="10"/>
                </w14:textOutline>
              </w:rPr>
              <w:t>生态环境现状</w:t>
            </w:r>
          </w:p>
          <w:p>
            <w:pPr>
              <w:pStyle w:val="6"/>
              <w:spacing w:before="228" w:line="220" w:lineRule="auto"/>
              <w:ind w:left="102"/>
              <w:rPr>
                <w:sz w:val="24"/>
                <w:szCs w:val="24"/>
              </w:rPr>
            </w:pPr>
            <w:r>
              <w:rPr>
                <w:rFonts w:ascii="Times New Roman" w:hAnsi="Times New Roman" w:eastAsia="Times New Roman" w:cs="Times New Roman"/>
                <w:b/>
                <w:bCs/>
                <w:spacing w:val="-2"/>
                <w:sz w:val="24"/>
                <w:szCs w:val="24"/>
              </w:rPr>
              <w:t>3.2.1</w:t>
            </w:r>
            <w:r>
              <w:rPr>
                <w:rFonts w:ascii="Times New Roman" w:hAnsi="Times New Roman" w:eastAsia="Times New Roman" w:cs="Times New Roman"/>
                <w:b/>
                <w:bCs/>
                <w:spacing w:val="23"/>
                <w:sz w:val="24"/>
                <w:szCs w:val="24"/>
              </w:rPr>
              <w:t xml:space="preserve"> </w:t>
            </w:r>
            <w:r>
              <w:rPr>
                <w:spacing w:val="-2"/>
                <w:sz w:val="24"/>
                <w:szCs w:val="24"/>
                <w14:textOutline w14:w="4354" w14:cap="flat" w14:cmpd="sng">
                  <w14:solidFill>
                    <w14:srgbClr w14:val="000000"/>
                  </w14:solidFill>
                  <w14:prstDash w14:val="solid"/>
                  <w14:miter w14:val="10"/>
                </w14:textOutline>
              </w:rPr>
              <w:t>陆生生态现状</w:t>
            </w:r>
          </w:p>
          <w:p>
            <w:pPr>
              <w:pStyle w:val="6"/>
              <w:spacing w:before="202" w:line="369" w:lineRule="auto"/>
              <w:ind w:left="109" w:right="33" w:firstLine="478"/>
              <w:rPr>
                <w:sz w:val="24"/>
                <w:szCs w:val="24"/>
              </w:rPr>
            </w:pPr>
            <w:r>
              <w:rPr>
                <w:spacing w:val="-10"/>
                <w:sz w:val="24"/>
                <w:szCs w:val="24"/>
              </w:rPr>
              <w:t>评价区域主要为农田生态系统，</w:t>
            </w:r>
            <w:r>
              <w:rPr>
                <w:spacing w:val="71"/>
                <w:sz w:val="24"/>
                <w:szCs w:val="24"/>
              </w:rPr>
              <w:t xml:space="preserve"> </w:t>
            </w:r>
            <w:r>
              <w:rPr>
                <w:spacing w:val="-10"/>
                <w:sz w:val="24"/>
                <w:szCs w:val="24"/>
              </w:rPr>
              <w:t>生态系统单一，结构简单， 环境异质性差。区</w:t>
            </w:r>
            <w:r>
              <w:rPr>
                <w:sz w:val="24"/>
                <w:szCs w:val="24"/>
              </w:rPr>
              <w:t xml:space="preserve"> </w:t>
            </w:r>
            <w:r>
              <w:rPr>
                <w:spacing w:val="-21"/>
                <w:sz w:val="24"/>
                <w:szCs w:val="24"/>
              </w:rPr>
              <w:t>域以人工生境为主，</w:t>
            </w:r>
            <w:r>
              <w:rPr>
                <w:spacing w:val="53"/>
                <w:sz w:val="24"/>
                <w:szCs w:val="24"/>
              </w:rPr>
              <w:t xml:space="preserve"> </w:t>
            </w:r>
            <w:r>
              <w:rPr>
                <w:spacing w:val="-21"/>
                <w:sz w:val="24"/>
                <w:szCs w:val="24"/>
              </w:rPr>
              <w:t>易于恢复， 评价区域无自然保护区，</w:t>
            </w:r>
            <w:r>
              <w:rPr>
                <w:spacing w:val="27"/>
                <w:sz w:val="24"/>
                <w:szCs w:val="24"/>
              </w:rPr>
              <w:t xml:space="preserve"> </w:t>
            </w:r>
            <w:r>
              <w:rPr>
                <w:spacing w:val="-21"/>
                <w:sz w:val="24"/>
                <w:szCs w:val="24"/>
              </w:rPr>
              <w:t>风景名胜区，</w:t>
            </w:r>
            <w:r>
              <w:rPr>
                <w:spacing w:val="29"/>
                <w:sz w:val="24"/>
                <w:szCs w:val="24"/>
              </w:rPr>
              <w:t xml:space="preserve"> </w:t>
            </w:r>
            <w:r>
              <w:rPr>
                <w:spacing w:val="-21"/>
                <w:sz w:val="24"/>
                <w:szCs w:val="24"/>
              </w:rPr>
              <w:t>文物古迹等，</w:t>
            </w:r>
          </w:p>
          <w:p>
            <w:pPr>
              <w:pStyle w:val="6"/>
              <w:spacing w:before="1" w:line="219" w:lineRule="auto"/>
              <w:ind w:left="112"/>
              <w:rPr>
                <w:sz w:val="24"/>
                <w:szCs w:val="24"/>
              </w:rPr>
            </w:pPr>
            <w:r>
              <w:rPr>
                <w:spacing w:val="-3"/>
                <w:sz w:val="24"/>
                <w:szCs w:val="24"/>
              </w:rPr>
              <w:t>不涉及生态红线等生态环境敏感区。</w:t>
            </w:r>
          </w:p>
          <w:p>
            <w:pPr>
              <w:pStyle w:val="6"/>
              <w:spacing w:before="194" w:line="220" w:lineRule="auto"/>
              <w:ind w:left="594"/>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）土地利用类型</w:t>
            </w:r>
          </w:p>
          <w:p>
            <w:pPr>
              <w:pStyle w:val="6"/>
              <w:spacing w:before="194" w:line="480" w:lineRule="exact"/>
              <w:ind w:left="592"/>
              <w:rPr>
                <w:sz w:val="24"/>
                <w:szCs w:val="24"/>
              </w:rPr>
            </w:pPr>
            <w:r>
              <w:rPr>
                <w:spacing w:val="-1"/>
                <w:position w:val="18"/>
                <w:sz w:val="24"/>
                <w:szCs w:val="24"/>
              </w:rPr>
              <w:t>项目占地范围内主要为水田，周边</w:t>
            </w:r>
            <w:r>
              <w:rPr>
                <w:spacing w:val="-28"/>
                <w:position w:val="18"/>
                <w:sz w:val="24"/>
                <w:szCs w:val="24"/>
              </w:rPr>
              <w:t xml:space="preserve"> </w:t>
            </w:r>
            <w:r>
              <w:rPr>
                <w:rFonts w:ascii="Times New Roman" w:hAnsi="Times New Roman" w:eastAsia="Times New Roman" w:cs="Times New Roman"/>
                <w:spacing w:val="-1"/>
                <w:position w:val="18"/>
                <w:sz w:val="24"/>
                <w:szCs w:val="24"/>
              </w:rPr>
              <w:t>500m</w:t>
            </w:r>
            <w:r>
              <w:rPr>
                <w:rFonts w:ascii="Times New Roman" w:hAnsi="Times New Roman" w:eastAsia="Times New Roman" w:cs="Times New Roman"/>
                <w:spacing w:val="28"/>
                <w:position w:val="18"/>
                <w:sz w:val="24"/>
                <w:szCs w:val="24"/>
              </w:rPr>
              <w:t xml:space="preserve"> </w:t>
            </w:r>
            <w:r>
              <w:rPr>
                <w:spacing w:val="-1"/>
                <w:position w:val="18"/>
                <w:sz w:val="24"/>
                <w:szCs w:val="24"/>
              </w:rPr>
              <w:t>范围主要为水</w:t>
            </w:r>
            <w:r>
              <w:rPr>
                <w:spacing w:val="-2"/>
                <w:position w:val="18"/>
                <w:sz w:val="24"/>
                <w:szCs w:val="24"/>
              </w:rPr>
              <w:t>田、旱地、宅基地，林</w:t>
            </w:r>
          </w:p>
          <w:p>
            <w:pPr>
              <w:pStyle w:val="6"/>
              <w:spacing w:before="1" w:line="219" w:lineRule="auto"/>
              <w:ind w:left="108"/>
              <w:rPr>
                <w:sz w:val="24"/>
                <w:szCs w:val="24"/>
              </w:rPr>
            </w:pPr>
            <w:r>
              <w:rPr>
                <w:spacing w:val="-4"/>
                <w:sz w:val="24"/>
                <w:szCs w:val="24"/>
              </w:rPr>
              <w:t>地等。</w:t>
            </w:r>
          </w:p>
          <w:p>
            <w:pPr>
              <w:pStyle w:val="6"/>
              <w:spacing w:before="194" w:line="220" w:lineRule="auto"/>
              <w:ind w:left="59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）项目周边植被类型</w:t>
            </w:r>
          </w:p>
          <w:p>
            <w:pPr>
              <w:pStyle w:val="6"/>
              <w:spacing w:before="196" w:line="369" w:lineRule="auto"/>
              <w:ind w:left="108" w:right="101" w:firstLine="479"/>
              <w:rPr>
                <w:sz w:val="24"/>
                <w:szCs w:val="24"/>
              </w:rPr>
            </w:pPr>
            <w:r>
              <w:rPr>
                <w:spacing w:val="-6"/>
                <w:sz w:val="24"/>
                <w:szCs w:val="24"/>
              </w:rPr>
              <w:t>根据四川植被划分，</w:t>
            </w:r>
            <w:r>
              <w:rPr>
                <w:spacing w:val="48"/>
                <w:sz w:val="24"/>
                <w:szCs w:val="24"/>
              </w:rPr>
              <w:t xml:space="preserve"> </w:t>
            </w:r>
            <w:r>
              <w:rPr>
                <w:spacing w:val="-6"/>
                <w:sz w:val="24"/>
                <w:szCs w:val="24"/>
              </w:rPr>
              <w:t>本项目评价区植被隶属于川东盆地及西南山地常绿阔叶林</w:t>
            </w:r>
            <w:r>
              <w:rPr>
                <w:sz w:val="24"/>
                <w:szCs w:val="24"/>
              </w:rPr>
              <w:t xml:space="preserve"> </w:t>
            </w:r>
            <w:r>
              <w:rPr>
                <w:spacing w:val="-1"/>
                <w:sz w:val="24"/>
                <w:szCs w:val="24"/>
              </w:rPr>
              <w:t>带——川东盆地偏湿性常绿阔叶林亚带——盆地南部中山植被区。由于人类对该植</w:t>
            </w:r>
            <w:r>
              <w:rPr>
                <w:sz w:val="24"/>
                <w:szCs w:val="24"/>
              </w:rPr>
              <w:t xml:space="preserve"> </w:t>
            </w:r>
            <w:r>
              <w:rPr>
                <w:spacing w:val="-11"/>
                <w:sz w:val="24"/>
                <w:szCs w:val="24"/>
              </w:rPr>
              <w:t>被地区开发利用早，</w:t>
            </w:r>
            <w:r>
              <w:rPr>
                <w:spacing w:val="64"/>
                <w:sz w:val="24"/>
                <w:szCs w:val="24"/>
              </w:rPr>
              <w:t xml:space="preserve"> </w:t>
            </w:r>
            <w:r>
              <w:rPr>
                <w:spacing w:val="-11"/>
                <w:sz w:val="24"/>
                <w:szCs w:val="24"/>
              </w:rPr>
              <w:t>活动频繁以及该区自然气候条件的因素，</w:t>
            </w:r>
            <w:r>
              <w:rPr>
                <w:spacing w:val="53"/>
                <w:sz w:val="24"/>
                <w:szCs w:val="24"/>
              </w:rPr>
              <w:t xml:space="preserve"> </w:t>
            </w:r>
            <w:r>
              <w:rPr>
                <w:spacing w:val="-11"/>
                <w:sz w:val="24"/>
                <w:szCs w:val="24"/>
              </w:rPr>
              <w:t>项目所在区域植被次</w:t>
            </w:r>
            <w:r>
              <w:rPr>
                <w:sz w:val="24"/>
                <w:szCs w:val="24"/>
              </w:rPr>
              <w:t xml:space="preserve"> </w:t>
            </w:r>
            <w:r>
              <w:rPr>
                <w:spacing w:val="-13"/>
                <w:sz w:val="24"/>
                <w:szCs w:val="24"/>
              </w:rPr>
              <w:t>生性明显，人类开发利用频繁，</w:t>
            </w:r>
            <w:r>
              <w:rPr>
                <w:spacing w:val="57"/>
                <w:sz w:val="24"/>
                <w:szCs w:val="24"/>
              </w:rPr>
              <w:t xml:space="preserve"> </w:t>
            </w:r>
            <w:r>
              <w:rPr>
                <w:spacing w:val="-13"/>
                <w:sz w:val="24"/>
                <w:szCs w:val="24"/>
              </w:rPr>
              <w:t>地带性常绿阔叶林破坏严重，</w:t>
            </w:r>
            <w:r>
              <w:rPr>
                <w:spacing w:val="25"/>
                <w:sz w:val="24"/>
                <w:szCs w:val="24"/>
              </w:rPr>
              <w:t xml:space="preserve"> </w:t>
            </w:r>
            <w:r>
              <w:rPr>
                <w:spacing w:val="-13"/>
                <w:sz w:val="24"/>
                <w:szCs w:val="24"/>
              </w:rPr>
              <w:t>以次生林为主， 针叶</w:t>
            </w:r>
          </w:p>
          <w:p>
            <w:pPr>
              <w:pStyle w:val="6"/>
              <w:spacing w:before="1" w:line="218" w:lineRule="auto"/>
              <w:ind w:left="109"/>
              <w:rPr>
                <w:sz w:val="24"/>
                <w:szCs w:val="24"/>
              </w:rPr>
            </w:pPr>
            <w:r>
              <w:rPr>
                <w:spacing w:val="-7"/>
                <w:sz w:val="24"/>
                <w:szCs w:val="24"/>
              </w:rPr>
              <w:t>林间或分布。</w:t>
            </w:r>
          </w:p>
          <w:p>
            <w:pPr>
              <w:pStyle w:val="6"/>
              <w:spacing w:before="198" w:line="369" w:lineRule="auto"/>
              <w:ind w:left="108" w:right="103" w:firstLine="483"/>
              <w:rPr>
                <w:sz w:val="24"/>
                <w:szCs w:val="24"/>
              </w:rPr>
            </w:pPr>
            <w:r>
              <w:rPr>
                <w:spacing w:val="-11"/>
                <w:sz w:val="24"/>
                <w:szCs w:val="24"/>
              </w:rPr>
              <w:t>项目范围内无珍稀植被分布。</w:t>
            </w:r>
            <w:r>
              <w:rPr>
                <w:spacing w:val="43"/>
                <w:sz w:val="24"/>
                <w:szCs w:val="24"/>
              </w:rPr>
              <w:t xml:space="preserve"> </w:t>
            </w:r>
            <w:r>
              <w:rPr>
                <w:spacing w:val="-11"/>
                <w:sz w:val="24"/>
                <w:szCs w:val="24"/>
              </w:rPr>
              <w:t>本项目区域主要为农林生态系统，</w:t>
            </w:r>
            <w:r>
              <w:rPr>
                <w:spacing w:val="48"/>
                <w:sz w:val="24"/>
                <w:szCs w:val="24"/>
              </w:rPr>
              <w:t xml:space="preserve"> </w:t>
            </w:r>
            <w:r>
              <w:rPr>
                <w:spacing w:val="-11"/>
                <w:sz w:val="24"/>
                <w:szCs w:val="24"/>
              </w:rPr>
              <w:t>农林生态系统</w:t>
            </w:r>
            <w:r>
              <w:rPr>
                <w:sz w:val="24"/>
                <w:szCs w:val="24"/>
              </w:rPr>
              <w:t xml:space="preserve"> </w:t>
            </w:r>
            <w:r>
              <w:rPr>
                <w:spacing w:val="-9"/>
                <w:sz w:val="24"/>
                <w:szCs w:val="24"/>
              </w:rPr>
              <w:t>呈不规则斑块分布于评价区域平坦、缓坡处，</w:t>
            </w:r>
            <w:r>
              <w:rPr>
                <w:spacing w:val="57"/>
                <w:sz w:val="24"/>
                <w:szCs w:val="24"/>
              </w:rPr>
              <w:t xml:space="preserve"> </w:t>
            </w:r>
            <w:r>
              <w:rPr>
                <w:spacing w:val="-9"/>
                <w:sz w:val="24"/>
                <w:szCs w:val="24"/>
              </w:rPr>
              <w:t>面积小， 农作物种类单一。评价</w:t>
            </w:r>
            <w:r>
              <w:rPr>
                <w:spacing w:val="-10"/>
                <w:sz w:val="24"/>
                <w:szCs w:val="24"/>
              </w:rPr>
              <w:t>区域</w:t>
            </w:r>
            <w:r>
              <w:rPr>
                <w:sz w:val="24"/>
                <w:szCs w:val="24"/>
              </w:rPr>
              <w:t xml:space="preserve"> </w:t>
            </w:r>
            <w:r>
              <w:rPr>
                <w:spacing w:val="-6"/>
                <w:sz w:val="24"/>
                <w:szCs w:val="24"/>
              </w:rPr>
              <w:t>没有特别生态系统或生境等生态敏感保护目标。生态系统较稳定，</w:t>
            </w:r>
            <w:r>
              <w:rPr>
                <w:spacing w:val="59"/>
                <w:sz w:val="24"/>
                <w:szCs w:val="24"/>
              </w:rPr>
              <w:t xml:space="preserve"> </w:t>
            </w:r>
            <w:r>
              <w:rPr>
                <w:spacing w:val="-6"/>
                <w:sz w:val="24"/>
                <w:szCs w:val="24"/>
              </w:rPr>
              <w:t>承受干扰的能力</w:t>
            </w:r>
            <w:r>
              <w:rPr>
                <w:sz w:val="24"/>
                <w:szCs w:val="24"/>
              </w:rPr>
              <w:t xml:space="preserve"> </w:t>
            </w:r>
            <w:r>
              <w:rPr>
                <w:spacing w:val="-14"/>
                <w:sz w:val="24"/>
                <w:szCs w:val="24"/>
              </w:rPr>
              <w:t>较强，</w:t>
            </w:r>
            <w:r>
              <w:rPr>
                <w:spacing w:val="61"/>
                <w:sz w:val="24"/>
                <w:szCs w:val="24"/>
              </w:rPr>
              <w:t xml:space="preserve"> </w:t>
            </w:r>
            <w:r>
              <w:rPr>
                <w:spacing w:val="-14"/>
                <w:sz w:val="24"/>
                <w:szCs w:val="24"/>
              </w:rPr>
              <w:t>目前受人类活动影响明显，</w:t>
            </w:r>
            <w:r>
              <w:rPr>
                <w:spacing w:val="60"/>
                <w:sz w:val="24"/>
                <w:szCs w:val="24"/>
              </w:rPr>
              <w:t xml:space="preserve"> </w:t>
            </w:r>
            <w:r>
              <w:rPr>
                <w:spacing w:val="-14"/>
                <w:sz w:val="24"/>
                <w:szCs w:val="24"/>
              </w:rPr>
              <w:t>生态系统单一，结构简单， 环境异质性差。区域</w:t>
            </w:r>
          </w:p>
          <w:p>
            <w:pPr>
              <w:pStyle w:val="6"/>
              <w:spacing w:line="220" w:lineRule="auto"/>
              <w:ind w:left="135"/>
              <w:rPr>
                <w:sz w:val="24"/>
                <w:szCs w:val="24"/>
              </w:rPr>
            </w:pPr>
            <w:r>
              <w:rPr>
                <w:spacing w:val="-6"/>
                <w:sz w:val="24"/>
                <w:szCs w:val="24"/>
              </w:rPr>
              <w:t>以人工生境为主，易于恢复。</w:t>
            </w:r>
          </w:p>
          <w:p>
            <w:pPr>
              <w:pStyle w:val="6"/>
              <w:spacing w:before="193" w:line="219" w:lineRule="auto"/>
              <w:ind w:left="594"/>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）项目周边重点野生动植物分布情况</w:t>
            </w:r>
          </w:p>
        </w:tc>
      </w:tr>
    </w:tbl>
    <w:p>
      <w:pPr>
        <w:pStyle w:val="2"/>
        <w:rPr>
          <w:sz w:val="21"/>
        </w:rPr>
      </w:pPr>
    </w:p>
    <w:p>
      <w:pPr>
        <w:rPr>
          <w:sz w:val="21"/>
          <w:szCs w:val="21"/>
        </w:rPr>
        <w:sectPr>
          <w:footerReference r:id="rId64"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13" w:hRule="atLeast"/>
        </w:trPr>
        <w:tc>
          <w:tcPr>
            <w:tcW w:w="9291" w:type="dxa"/>
            <w:vAlign w:val="top"/>
          </w:tcPr>
          <w:p>
            <w:pPr>
              <w:pStyle w:val="6"/>
              <w:spacing w:before="184" w:line="369" w:lineRule="auto"/>
              <w:ind w:left="567" w:right="101" w:firstLine="509"/>
              <w:jc w:val="both"/>
              <w:rPr>
                <w:sz w:val="24"/>
                <w:szCs w:val="24"/>
              </w:rPr>
            </w:pPr>
            <w:r>
              <w:pict>
                <v:rect id="_x0000_s1268" o:spid="_x0000_s1268" o:spt="1" style="position:absolute;left:0pt;margin-left:22.75pt;margin-top:0.95pt;height:695.05pt;width:0.5pt;mso-position-horizontal-relative:page;mso-position-vertical-relative:page;z-index:251813888;mso-width-relative:page;mso-height-relative:page;" fillcolor="#000000" filled="t" stroked="f" coordsize="21600,21600">
                  <v:path/>
                  <v:fill on="t" focussize="0,0"/>
                  <v:stroke on="f"/>
                  <v:imagedata o:title=""/>
                  <o:lock v:ext="edit"/>
                </v:rect>
              </w:pict>
            </w:r>
            <w:r>
              <w:rPr>
                <w:spacing w:val="-7"/>
                <w:sz w:val="24"/>
                <w:szCs w:val="24"/>
              </w:rPr>
              <w:t>由于评价区域人类活动较频繁，</w:t>
            </w:r>
            <w:r>
              <w:rPr>
                <w:spacing w:val="53"/>
                <w:sz w:val="24"/>
                <w:szCs w:val="24"/>
              </w:rPr>
              <w:t xml:space="preserve"> </w:t>
            </w:r>
            <w:r>
              <w:rPr>
                <w:spacing w:val="-7"/>
                <w:sz w:val="24"/>
                <w:szCs w:val="24"/>
              </w:rPr>
              <w:t>项目评价范围内不涉及自然保护区、野</w:t>
            </w:r>
            <w:r>
              <w:rPr>
                <w:spacing w:val="-8"/>
                <w:sz w:val="24"/>
                <w:szCs w:val="24"/>
              </w:rPr>
              <w:t>生或特</w:t>
            </w:r>
            <w:r>
              <w:rPr>
                <w:sz w:val="24"/>
                <w:szCs w:val="24"/>
              </w:rPr>
              <w:t xml:space="preserve"> </w:t>
            </w:r>
            <w:r>
              <w:rPr>
                <w:spacing w:val="6"/>
                <w:sz w:val="24"/>
                <w:szCs w:val="24"/>
              </w:rPr>
              <w:t>殊稀有动植物栖息地等重要的生态系统，区域对土地资源的利用已达</w:t>
            </w:r>
            <w:r>
              <w:rPr>
                <w:spacing w:val="5"/>
                <w:sz w:val="24"/>
                <w:szCs w:val="24"/>
              </w:rPr>
              <w:t>到很高的程</w:t>
            </w:r>
            <w:r>
              <w:rPr>
                <w:sz w:val="24"/>
                <w:szCs w:val="24"/>
              </w:rPr>
              <w:t xml:space="preserve"> </w:t>
            </w:r>
            <w:r>
              <w:rPr>
                <w:spacing w:val="-8"/>
                <w:sz w:val="24"/>
                <w:szCs w:val="24"/>
              </w:rPr>
              <w:t>度，</w:t>
            </w:r>
            <w:r>
              <w:rPr>
                <w:spacing w:val="-34"/>
                <w:sz w:val="24"/>
                <w:szCs w:val="24"/>
              </w:rPr>
              <w:t xml:space="preserve"> </w:t>
            </w:r>
            <w:r>
              <w:rPr>
                <w:spacing w:val="-8"/>
                <w:sz w:val="24"/>
                <w:szCs w:val="24"/>
              </w:rPr>
              <w:t>大型野生动物已经绝迹。受到人类长期活动的地方，</w:t>
            </w:r>
            <w:r>
              <w:rPr>
                <w:spacing w:val="53"/>
                <w:sz w:val="24"/>
                <w:szCs w:val="24"/>
              </w:rPr>
              <w:t xml:space="preserve"> </w:t>
            </w:r>
            <w:r>
              <w:rPr>
                <w:spacing w:val="-8"/>
                <w:sz w:val="24"/>
                <w:szCs w:val="24"/>
              </w:rPr>
              <w:t>野生动</w:t>
            </w:r>
            <w:r>
              <w:rPr>
                <w:spacing w:val="-9"/>
                <w:sz w:val="24"/>
                <w:szCs w:val="24"/>
              </w:rPr>
              <w:t>物的生存环境基本</w:t>
            </w:r>
            <w:r>
              <w:rPr>
                <w:sz w:val="24"/>
                <w:szCs w:val="24"/>
              </w:rPr>
              <w:t xml:space="preserve"> </w:t>
            </w:r>
            <w:r>
              <w:rPr>
                <w:spacing w:val="-9"/>
                <w:sz w:val="24"/>
                <w:szCs w:val="24"/>
              </w:rPr>
              <w:t>上已经遭到破坏。野生动物多为适应耕地和居民点的种类，</w:t>
            </w:r>
            <w:r>
              <w:rPr>
                <w:spacing w:val="55"/>
                <w:sz w:val="24"/>
                <w:szCs w:val="24"/>
              </w:rPr>
              <w:t xml:space="preserve"> </w:t>
            </w:r>
            <w:r>
              <w:rPr>
                <w:spacing w:val="-9"/>
                <w:sz w:val="24"/>
                <w:szCs w:val="24"/>
              </w:rPr>
              <w:t>林栖鸟类较少见， 而以</w:t>
            </w:r>
            <w:r>
              <w:rPr>
                <w:sz w:val="24"/>
                <w:szCs w:val="24"/>
              </w:rPr>
              <w:t xml:space="preserve"> </w:t>
            </w:r>
            <w:r>
              <w:rPr>
                <w:spacing w:val="2"/>
                <w:sz w:val="24"/>
                <w:szCs w:val="24"/>
              </w:rPr>
              <w:t>盗食谷物的鼠类和鸟类居多，生活于耕地区捕食昆虫、鼠类的 两栖类、爬行类动</w:t>
            </w:r>
            <w:r>
              <w:rPr>
                <w:spacing w:val="11"/>
                <w:sz w:val="24"/>
                <w:szCs w:val="24"/>
              </w:rPr>
              <w:t xml:space="preserve"> </w:t>
            </w:r>
            <w:r>
              <w:rPr>
                <w:spacing w:val="-4"/>
                <w:sz w:val="24"/>
                <w:szCs w:val="24"/>
              </w:rPr>
              <w:t>物较多， 主要野生动物有蛙、野兔、田鼠、蝙蝠、蛇、野鸡</w:t>
            </w:r>
            <w:r>
              <w:rPr>
                <w:spacing w:val="-5"/>
                <w:sz w:val="24"/>
                <w:szCs w:val="24"/>
              </w:rPr>
              <w:t>等，区域内未见珍稀濒</w:t>
            </w:r>
          </w:p>
          <w:p>
            <w:pPr>
              <w:pStyle w:val="6"/>
              <w:spacing w:before="1" w:line="218" w:lineRule="auto"/>
              <w:ind w:left="571"/>
              <w:rPr>
                <w:sz w:val="24"/>
                <w:szCs w:val="24"/>
              </w:rPr>
            </w:pPr>
            <w:r>
              <w:rPr>
                <w:spacing w:val="-2"/>
                <w:sz w:val="24"/>
                <w:szCs w:val="24"/>
              </w:rPr>
              <w:t>危保护野生动物分布。</w:t>
            </w:r>
          </w:p>
          <w:p>
            <w:pPr>
              <w:pStyle w:val="6"/>
              <w:spacing w:before="197" w:line="369" w:lineRule="auto"/>
              <w:ind w:left="568" w:right="102" w:firstLine="482"/>
              <w:jc w:val="both"/>
              <w:rPr>
                <w:sz w:val="24"/>
                <w:szCs w:val="24"/>
              </w:rPr>
            </w:pPr>
            <w:r>
              <w:rPr>
                <w:spacing w:val="-13"/>
                <w:sz w:val="24"/>
                <w:szCs w:val="24"/>
              </w:rPr>
              <w:t>综上， 评价区域为主要农田生态系统，</w:t>
            </w:r>
            <w:r>
              <w:rPr>
                <w:spacing w:val="65"/>
                <w:sz w:val="24"/>
                <w:szCs w:val="24"/>
              </w:rPr>
              <w:t xml:space="preserve"> </w:t>
            </w:r>
            <w:r>
              <w:rPr>
                <w:spacing w:val="-13"/>
                <w:sz w:val="24"/>
                <w:szCs w:val="24"/>
              </w:rPr>
              <w:t>生态系统单一，结构简单， 环境异质性</w:t>
            </w:r>
            <w:r>
              <w:rPr>
                <w:sz w:val="24"/>
                <w:szCs w:val="24"/>
              </w:rPr>
              <w:t xml:space="preserve"> </w:t>
            </w:r>
            <w:r>
              <w:rPr>
                <w:spacing w:val="-11"/>
                <w:sz w:val="24"/>
                <w:szCs w:val="24"/>
              </w:rPr>
              <w:t>差。区域以人工生境为主，</w:t>
            </w:r>
            <w:r>
              <w:rPr>
                <w:spacing w:val="71"/>
                <w:sz w:val="24"/>
                <w:szCs w:val="24"/>
              </w:rPr>
              <w:t xml:space="preserve"> </w:t>
            </w:r>
            <w:r>
              <w:rPr>
                <w:spacing w:val="-11"/>
                <w:sz w:val="24"/>
                <w:szCs w:val="24"/>
              </w:rPr>
              <w:t>易于恢复。评价区生产力水平</w:t>
            </w:r>
            <w:r>
              <w:rPr>
                <w:spacing w:val="-12"/>
                <w:sz w:val="24"/>
                <w:szCs w:val="24"/>
              </w:rPr>
              <w:t>较差，</w:t>
            </w:r>
            <w:r>
              <w:rPr>
                <w:spacing w:val="58"/>
                <w:sz w:val="24"/>
                <w:szCs w:val="24"/>
              </w:rPr>
              <w:t xml:space="preserve"> </w:t>
            </w:r>
            <w:r>
              <w:rPr>
                <w:spacing w:val="-12"/>
                <w:sz w:val="24"/>
                <w:szCs w:val="24"/>
              </w:rPr>
              <w:t>主要是受到人类干</w:t>
            </w:r>
            <w:r>
              <w:rPr>
                <w:sz w:val="24"/>
                <w:szCs w:val="24"/>
              </w:rPr>
              <w:t xml:space="preserve"> </w:t>
            </w:r>
            <w:r>
              <w:rPr>
                <w:spacing w:val="-6"/>
                <w:sz w:val="24"/>
                <w:szCs w:val="24"/>
              </w:rPr>
              <w:t>扰严重的耕地、林地和灌草地、建设用地等用地类型，</w:t>
            </w:r>
            <w:r>
              <w:rPr>
                <w:spacing w:val="57"/>
                <w:sz w:val="24"/>
                <w:szCs w:val="24"/>
              </w:rPr>
              <w:t xml:space="preserve"> </w:t>
            </w:r>
            <w:r>
              <w:rPr>
                <w:spacing w:val="-6"/>
                <w:sz w:val="24"/>
                <w:szCs w:val="24"/>
              </w:rPr>
              <w:t>动植物物种以及生物体的数</w:t>
            </w:r>
            <w:r>
              <w:rPr>
                <w:sz w:val="24"/>
                <w:szCs w:val="24"/>
              </w:rPr>
              <w:t xml:space="preserve"> </w:t>
            </w:r>
            <w:r>
              <w:rPr>
                <w:spacing w:val="-9"/>
                <w:sz w:val="24"/>
                <w:szCs w:val="24"/>
              </w:rPr>
              <w:t>量较少， 食物网简单，</w:t>
            </w:r>
            <w:r>
              <w:rPr>
                <w:spacing w:val="74"/>
                <w:sz w:val="24"/>
                <w:szCs w:val="24"/>
              </w:rPr>
              <w:t xml:space="preserve"> </w:t>
            </w:r>
            <w:r>
              <w:rPr>
                <w:spacing w:val="-9"/>
                <w:sz w:val="24"/>
                <w:szCs w:val="24"/>
              </w:rPr>
              <w:t>即生态系统结构较简</w:t>
            </w:r>
            <w:r>
              <w:rPr>
                <w:spacing w:val="-10"/>
                <w:sz w:val="24"/>
                <w:szCs w:val="24"/>
              </w:rPr>
              <w:t>单。评价区域生态环境现状质量总体一</w:t>
            </w:r>
          </w:p>
          <w:p>
            <w:pPr>
              <w:pStyle w:val="6"/>
              <w:spacing w:before="1" w:line="220" w:lineRule="auto"/>
              <w:ind w:left="567"/>
              <w:rPr>
                <w:sz w:val="24"/>
                <w:szCs w:val="24"/>
              </w:rPr>
            </w:pPr>
            <w:r>
              <w:rPr>
                <w:spacing w:val="-11"/>
                <w:sz w:val="24"/>
                <w:szCs w:val="24"/>
              </w:rPr>
              <w:t>般。</w:t>
            </w:r>
          </w:p>
          <w:p>
            <w:pPr>
              <w:pStyle w:val="6"/>
              <w:spacing w:before="240" w:line="220" w:lineRule="auto"/>
              <w:ind w:left="562"/>
              <w:rPr>
                <w:sz w:val="24"/>
                <w:szCs w:val="24"/>
              </w:rPr>
            </w:pPr>
            <w:r>
              <w:rPr>
                <w:rFonts w:ascii="Times New Roman" w:hAnsi="Times New Roman" w:eastAsia="Times New Roman" w:cs="Times New Roman"/>
                <w:b/>
                <w:bCs/>
                <w:sz w:val="24"/>
                <w:szCs w:val="24"/>
              </w:rPr>
              <w:t xml:space="preserve">3.3 </w:t>
            </w:r>
            <w:r>
              <w:rPr>
                <w:sz w:val="24"/>
                <w:szCs w:val="24"/>
                <w14:textOutline w14:w="4354" w14:cap="flat" w14:cmpd="sng">
                  <w14:solidFill>
                    <w14:srgbClr w14:val="000000"/>
                  </w14:solidFill>
                  <w14:prstDash w14:val="solid"/>
                  <w14:miter w14:val="10"/>
                </w14:textOutline>
              </w:rPr>
              <w:t>环境质量现状</w:t>
            </w:r>
          </w:p>
          <w:p>
            <w:pPr>
              <w:pStyle w:val="6"/>
              <w:spacing w:before="227" w:line="220" w:lineRule="auto"/>
              <w:ind w:left="562"/>
              <w:rPr>
                <w:sz w:val="24"/>
                <w:szCs w:val="24"/>
              </w:rPr>
            </w:pPr>
            <w:r>
              <w:rPr>
                <w:rFonts w:ascii="Times New Roman" w:hAnsi="Times New Roman" w:eastAsia="Times New Roman" w:cs="Times New Roman"/>
                <w:b/>
                <w:bCs/>
                <w:sz w:val="24"/>
                <w:szCs w:val="24"/>
              </w:rPr>
              <w:t xml:space="preserve">3.3.1 </w:t>
            </w:r>
            <w:r>
              <w:rPr>
                <w:sz w:val="24"/>
                <w:szCs w:val="24"/>
                <w14:textOutline w14:w="4354" w14:cap="flat" w14:cmpd="sng">
                  <w14:solidFill>
                    <w14:srgbClr w14:val="000000"/>
                  </w14:solidFill>
                  <w14:prstDash w14:val="solid"/>
                  <w14:miter w14:val="10"/>
                </w14:textOutline>
              </w:rPr>
              <w:t>环境空气质量现状</w:t>
            </w:r>
          </w:p>
          <w:p>
            <w:pPr>
              <w:pStyle w:val="6"/>
              <w:spacing w:before="201" w:line="480" w:lineRule="exact"/>
              <w:ind w:left="1049"/>
              <w:rPr>
                <w:sz w:val="24"/>
                <w:szCs w:val="24"/>
              </w:rPr>
            </w:pPr>
            <w:r>
              <w:rPr>
                <w:spacing w:val="-6"/>
                <w:position w:val="18"/>
                <w:sz w:val="24"/>
                <w:szCs w:val="24"/>
              </w:rPr>
              <w:t>本项目位于农村环境，</w:t>
            </w:r>
            <w:r>
              <w:rPr>
                <w:spacing w:val="48"/>
                <w:position w:val="18"/>
                <w:sz w:val="24"/>
                <w:szCs w:val="24"/>
              </w:rPr>
              <w:t xml:space="preserve"> </w:t>
            </w:r>
            <w:r>
              <w:rPr>
                <w:spacing w:val="-6"/>
                <w:position w:val="18"/>
                <w:sz w:val="24"/>
                <w:szCs w:val="24"/>
              </w:rPr>
              <w:t>所在区域环境空气质量为二类</w:t>
            </w:r>
            <w:r>
              <w:rPr>
                <w:spacing w:val="-7"/>
                <w:position w:val="18"/>
                <w:sz w:val="24"/>
                <w:szCs w:val="24"/>
              </w:rPr>
              <w:t>功能区，大气环境质量应</w:t>
            </w:r>
          </w:p>
          <w:p>
            <w:pPr>
              <w:pStyle w:val="6"/>
              <w:spacing w:before="1" w:line="219" w:lineRule="auto"/>
              <w:ind w:left="568"/>
              <w:rPr>
                <w:sz w:val="24"/>
                <w:szCs w:val="24"/>
              </w:rPr>
            </w:pPr>
            <w:r>
              <w:rPr>
                <w:spacing w:val="-5"/>
                <w:sz w:val="24"/>
                <w:szCs w:val="24"/>
              </w:rPr>
              <w:t>执行《环境空气质量标准》 （</w:t>
            </w:r>
            <w:r>
              <w:rPr>
                <w:rFonts w:ascii="Times New Roman" w:hAnsi="Times New Roman" w:eastAsia="Times New Roman" w:cs="Times New Roman"/>
                <w:spacing w:val="-5"/>
                <w:sz w:val="24"/>
                <w:szCs w:val="24"/>
              </w:rPr>
              <w:t>GB3095-2012</w:t>
            </w:r>
            <w:r>
              <w:rPr>
                <w:spacing w:val="-5"/>
                <w:sz w:val="24"/>
                <w:szCs w:val="24"/>
              </w:rPr>
              <w:t>）二级标准。</w:t>
            </w:r>
          </w:p>
          <w:p>
            <w:pPr>
              <w:pStyle w:val="6"/>
              <w:spacing w:before="195" w:line="218"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）常规污染物环境质量现状评价</w:t>
            </w:r>
          </w:p>
          <w:p>
            <w:pPr>
              <w:pStyle w:val="6"/>
              <w:spacing w:before="196" w:line="480" w:lineRule="exact"/>
              <w:ind w:left="1049"/>
              <w:rPr>
                <w:sz w:val="24"/>
                <w:szCs w:val="24"/>
              </w:rPr>
            </w:pPr>
            <w:r>
              <w:rPr>
                <w:spacing w:val="-6"/>
                <w:position w:val="18"/>
                <w:sz w:val="24"/>
                <w:szCs w:val="24"/>
              </w:rPr>
              <w:t>本次大气环境常规污染物评价引用</w:t>
            </w:r>
            <w:r>
              <w:rPr>
                <w:spacing w:val="-52"/>
                <w:position w:val="18"/>
                <w:sz w:val="24"/>
                <w:szCs w:val="24"/>
              </w:rPr>
              <w:t xml:space="preserve"> </w:t>
            </w:r>
            <w:r>
              <w:rPr>
                <w:rFonts w:ascii="Times New Roman" w:hAnsi="Times New Roman" w:eastAsia="Times New Roman" w:cs="Times New Roman"/>
                <w:spacing w:val="-6"/>
                <w:position w:val="18"/>
                <w:sz w:val="24"/>
                <w:szCs w:val="24"/>
              </w:rPr>
              <w:t xml:space="preserve">2023 </w:t>
            </w:r>
            <w:r>
              <w:rPr>
                <w:spacing w:val="-6"/>
                <w:position w:val="18"/>
                <w:sz w:val="24"/>
                <w:szCs w:val="24"/>
              </w:rPr>
              <w:t>年</w:t>
            </w:r>
            <w:r>
              <w:rPr>
                <w:spacing w:val="-29"/>
                <w:position w:val="18"/>
                <w:sz w:val="24"/>
                <w:szCs w:val="24"/>
              </w:rPr>
              <w:t xml:space="preserve"> </w:t>
            </w:r>
            <w:r>
              <w:rPr>
                <w:rFonts w:ascii="Times New Roman" w:hAnsi="Times New Roman" w:eastAsia="Times New Roman" w:cs="Times New Roman"/>
                <w:spacing w:val="-6"/>
                <w:position w:val="18"/>
                <w:sz w:val="24"/>
                <w:szCs w:val="24"/>
              </w:rPr>
              <w:t>1</w:t>
            </w:r>
            <w:r>
              <w:rPr>
                <w:rFonts w:ascii="Times New Roman" w:hAnsi="Times New Roman" w:eastAsia="Times New Roman" w:cs="Times New Roman"/>
                <w:spacing w:val="19"/>
                <w:w w:val="101"/>
                <w:position w:val="18"/>
                <w:sz w:val="24"/>
                <w:szCs w:val="24"/>
              </w:rPr>
              <w:t xml:space="preserve"> </w:t>
            </w:r>
            <w:r>
              <w:rPr>
                <w:spacing w:val="-6"/>
                <w:position w:val="18"/>
                <w:sz w:val="24"/>
                <w:szCs w:val="24"/>
              </w:rPr>
              <w:t>月</w:t>
            </w:r>
            <w:r>
              <w:rPr>
                <w:rFonts w:ascii="Times New Roman" w:hAnsi="Times New Roman" w:eastAsia="Times New Roman" w:cs="Times New Roman"/>
                <w:spacing w:val="-6"/>
                <w:position w:val="18"/>
                <w:sz w:val="24"/>
                <w:szCs w:val="24"/>
              </w:rPr>
              <w:t>~</w:t>
            </w:r>
            <w:r>
              <w:rPr>
                <w:rFonts w:ascii="Times New Roman" w:hAnsi="Times New Roman" w:eastAsia="Times New Roman" w:cs="Times New Roman"/>
                <w:spacing w:val="-7"/>
                <w:position w:val="18"/>
                <w:sz w:val="24"/>
                <w:szCs w:val="24"/>
              </w:rPr>
              <w:t>8</w:t>
            </w:r>
            <w:r>
              <w:rPr>
                <w:rFonts w:ascii="Times New Roman" w:hAnsi="Times New Roman" w:eastAsia="Times New Roman" w:cs="Times New Roman"/>
                <w:spacing w:val="17"/>
                <w:w w:val="101"/>
                <w:position w:val="18"/>
                <w:sz w:val="24"/>
                <w:szCs w:val="24"/>
              </w:rPr>
              <w:t xml:space="preserve"> </w:t>
            </w:r>
            <w:r>
              <w:rPr>
                <w:spacing w:val="-7"/>
                <w:position w:val="18"/>
                <w:sz w:val="24"/>
                <w:szCs w:val="24"/>
              </w:rPr>
              <w:t xml:space="preserve">月、 </w:t>
            </w:r>
            <w:r>
              <w:rPr>
                <w:rFonts w:ascii="Times New Roman" w:hAnsi="Times New Roman" w:eastAsia="Times New Roman" w:cs="Times New Roman"/>
                <w:spacing w:val="-7"/>
                <w:position w:val="18"/>
                <w:sz w:val="24"/>
                <w:szCs w:val="24"/>
              </w:rPr>
              <w:t>10</w:t>
            </w:r>
            <w:r>
              <w:rPr>
                <w:rFonts w:ascii="Times New Roman" w:hAnsi="Times New Roman" w:eastAsia="Times New Roman" w:cs="Times New Roman"/>
                <w:spacing w:val="17"/>
                <w:w w:val="101"/>
                <w:position w:val="18"/>
                <w:sz w:val="24"/>
                <w:szCs w:val="24"/>
              </w:rPr>
              <w:t xml:space="preserve"> </w:t>
            </w:r>
            <w:r>
              <w:rPr>
                <w:spacing w:val="-7"/>
                <w:position w:val="18"/>
                <w:sz w:val="24"/>
                <w:szCs w:val="24"/>
              </w:rPr>
              <w:t>月</w:t>
            </w:r>
            <w:r>
              <w:rPr>
                <w:rFonts w:ascii="Times New Roman" w:hAnsi="Times New Roman" w:eastAsia="Times New Roman" w:cs="Times New Roman"/>
                <w:spacing w:val="-7"/>
                <w:position w:val="18"/>
                <w:sz w:val="24"/>
                <w:szCs w:val="24"/>
              </w:rPr>
              <w:t>~</w:t>
            </w:r>
            <w:r>
              <w:rPr>
                <w:rFonts w:ascii="Times New Roman" w:hAnsi="Times New Roman" w:eastAsia="Times New Roman" w:cs="Times New Roman"/>
                <w:spacing w:val="-32"/>
                <w:position w:val="18"/>
                <w:sz w:val="24"/>
                <w:szCs w:val="24"/>
              </w:rPr>
              <w:t xml:space="preserve"> </w:t>
            </w:r>
            <w:r>
              <w:rPr>
                <w:rFonts w:ascii="Times New Roman" w:hAnsi="Times New Roman" w:eastAsia="Times New Roman" w:cs="Times New Roman"/>
                <w:spacing w:val="-7"/>
                <w:position w:val="18"/>
                <w:sz w:val="24"/>
                <w:szCs w:val="24"/>
              </w:rPr>
              <w:t>11</w:t>
            </w:r>
            <w:r>
              <w:rPr>
                <w:rFonts w:ascii="Times New Roman" w:hAnsi="Times New Roman" w:eastAsia="Times New Roman" w:cs="Times New Roman"/>
                <w:spacing w:val="17"/>
                <w:position w:val="18"/>
                <w:sz w:val="24"/>
                <w:szCs w:val="24"/>
              </w:rPr>
              <w:t xml:space="preserve"> </w:t>
            </w:r>
            <w:r>
              <w:rPr>
                <w:spacing w:val="-7"/>
                <w:position w:val="18"/>
                <w:sz w:val="24"/>
                <w:szCs w:val="24"/>
              </w:rPr>
              <w:t>月达州市生态</w:t>
            </w:r>
          </w:p>
          <w:p>
            <w:pPr>
              <w:pStyle w:val="6"/>
              <w:spacing w:line="218" w:lineRule="auto"/>
              <w:ind w:left="568"/>
              <w:rPr>
                <w:sz w:val="24"/>
                <w:szCs w:val="24"/>
              </w:rPr>
            </w:pPr>
            <w:r>
              <w:rPr>
                <w:spacing w:val="-1"/>
                <w:sz w:val="24"/>
                <w:szCs w:val="24"/>
              </w:rPr>
              <w:t>环境局发布的达州市各县（市区）环境空气月报中通川区相关数据进</w:t>
            </w:r>
            <w:r>
              <w:rPr>
                <w:spacing w:val="-2"/>
                <w:sz w:val="24"/>
                <w:szCs w:val="24"/>
              </w:rPr>
              <w:t>行现状评价。</w:t>
            </w:r>
          </w:p>
          <w:p>
            <w:pPr>
              <w:pStyle w:val="6"/>
              <w:spacing w:before="196" w:line="220" w:lineRule="auto"/>
              <w:ind w:left="2787"/>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3.3-1        </w:t>
            </w:r>
            <w:r>
              <w:rPr>
                <w:sz w:val="24"/>
                <w:szCs w:val="24"/>
                <w14:textOutline w14:w="4354" w14:cap="flat" w14:cmpd="sng">
                  <w14:solidFill>
                    <w14:srgbClr w14:val="000000"/>
                  </w14:solidFill>
                  <w14:prstDash w14:val="solid"/>
                  <w14:miter w14:val="10"/>
                </w14:textOutline>
              </w:rPr>
              <w:t>通川区环境空气质</w:t>
            </w:r>
            <w:r>
              <w:rPr>
                <w:spacing w:val="-1"/>
                <w:sz w:val="24"/>
                <w:szCs w:val="24"/>
                <w14:textOutline w14:w="4354" w14:cap="flat" w14:cmpd="sng">
                  <w14:solidFill>
                    <w14:srgbClr w14:val="000000"/>
                  </w14:solidFill>
                  <w14:prstDash w14:val="solid"/>
                  <w14:miter w14:val="10"/>
                </w14:textOutline>
              </w:rPr>
              <w:t>量状况表</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0"/>
              <w:gridCol w:w="941"/>
              <w:gridCol w:w="1326"/>
              <w:gridCol w:w="993"/>
              <w:gridCol w:w="1233"/>
              <w:gridCol w:w="1430"/>
              <w:gridCol w:w="14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50" w:type="dxa"/>
                  <w:vMerge w:val="restart"/>
                  <w:tcBorders>
                    <w:bottom w:val="nil"/>
                    <w:tl2br w:val="single" w:color="000000" w:sz="2" w:space="0"/>
                  </w:tcBorders>
                  <w:vAlign w:val="top"/>
                </w:tcPr>
                <w:p>
                  <w:pPr>
                    <w:pStyle w:val="6"/>
                    <w:spacing w:before="141" w:line="230" w:lineRule="auto"/>
                    <w:ind w:left="119" w:right="107" w:firstLine="486"/>
                    <w:rPr>
                      <w:sz w:val="18"/>
                      <w:szCs w:val="18"/>
                    </w:rPr>
                  </w:pPr>
                  <w:r>
                    <w:rPr>
                      <w:spacing w:val="-3"/>
                      <w:sz w:val="18"/>
                      <w:szCs w:val="18"/>
                    </w:rPr>
                    <w:t>污染物</w:t>
                  </w:r>
                  <w:r>
                    <w:rPr>
                      <w:sz w:val="18"/>
                      <w:szCs w:val="18"/>
                    </w:rPr>
                    <w:t xml:space="preserve"> </w:t>
                  </w:r>
                  <w:r>
                    <w:rPr>
                      <w:spacing w:val="-3"/>
                      <w:sz w:val="18"/>
                      <w:szCs w:val="18"/>
                    </w:rPr>
                    <w:t>月份</w:t>
                  </w:r>
                </w:p>
              </w:tc>
              <w:tc>
                <w:tcPr>
                  <w:tcW w:w="941" w:type="dxa"/>
                  <w:vAlign w:val="top"/>
                </w:tcPr>
                <w:p>
                  <w:pPr>
                    <w:spacing w:before="118" w:line="194" w:lineRule="auto"/>
                    <w:ind w:left="330"/>
                    <w:rPr>
                      <w:rFonts w:ascii="Times New Roman" w:hAnsi="Times New Roman" w:eastAsia="Times New Roman" w:cs="Times New Roman"/>
                      <w:sz w:val="12"/>
                      <w:szCs w:val="12"/>
                    </w:rPr>
                  </w:pPr>
                  <w:r>
                    <w:rPr>
                      <w:rFonts w:ascii="Times New Roman" w:hAnsi="Times New Roman" w:eastAsia="Times New Roman" w:cs="Times New Roman"/>
                      <w:spacing w:val="-4"/>
                      <w:sz w:val="18"/>
                      <w:szCs w:val="18"/>
                    </w:rPr>
                    <w:t>SO</w:t>
                  </w:r>
                  <w:r>
                    <w:rPr>
                      <w:rFonts w:ascii="Times New Roman" w:hAnsi="Times New Roman" w:eastAsia="Times New Roman" w:cs="Times New Roman"/>
                      <w:spacing w:val="-4"/>
                      <w:sz w:val="12"/>
                      <w:szCs w:val="12"/>
                    </w:rPr>
                    <w:t>2</w:t>
                  </w:r>
                </w:p>
              </w:tc>
              <w:tc>
                <w:tcPr>
                  <w:tcW w:w="1326" w:type="dxa"/>
                  <w:vAlign w:val="top"/>
                </w:tcPr>
                <w:p>
                  <w:pPr>
                    <w:spacing w:before="118" w:line="194" w:lineRule="auto"/>
                    <w:ind w:left="497"/>
                    <w:rPr>
                      <w:rFonts w:ascii="Times New Roman" w:hAnsi="Times New Roman" w:eastAsia="Times New Roman" w:cs="Times New Roman"/>
                      <w:sz w:val="12"/>
                      <w:szCs w:val="12"/>
                    </w:rPr>
                  </w:pPr>
                  <w:r>
                    <w:rPr>
                      <w:rFonts w:ascii="Times New Roman" w:hAnsi="Times New Roman" w:eastAsia="Times New Roman" w:cs="Times New Roman"/>
                      <w:sz w:val="18"/>
                      <w:szCs w:val="18"/>
                    </w:rPr>
                    <w:t>NO</w:t>
                  </w:r>
                  <w:r>
                    <w:rPr>
                      <w:rFonts w:ascii="Times New Roman" w:hAnsi="Times New Roman" w:eastAsia="Times New Roman" w:cs="Times New Roman"/>
                      <w:spacing w:val="1"/>
                      <w:sz w:val="12"/>
                      <w:szCs w:val="12"/>
                    </w:rPr>
                    <w:t>2</w:t>
                  </w:r>
                </w:p>
              </w:tc>
              <w:tc>
                <w:tcPr>
                  <w:tcW w:w="993" w:type="dxa"/>
                  <w:vAlign w:val="top"/>
                </w:tcPr>
                <w:p>
                  <w:pPr>
                    <w:spacing w:before="118" w:line="186"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CO</w:t>
                  </w:r>
                </w:p>
              </w:tc>
              <w:tc>
                <w:tcPr>
                  <w:tcW w:w="1233" w:type="dxa"/>
                  <w:vAlign w:val="top"/>
                </w:tcPr>
                <w:p>
                  <w:pPr>
                    <w:spacing w:before="117" w:line="196" w:lineRule="auto"/>
                    <w:ind w:left="527"/>
                    <w:rPr>
                      <w:rFonts w:ascii="Times New Roman" w:hAnsi="Times New Roman" w:eastAsia="Times New Roman" w:cs="Times New Roman"/>
                      <w:sz w:val="12"/>
                      <w:szCs w:val="12"/>
                    </w:rPr>
                  </w:pPr>
                  <w:r>
                    <w:rPr>
                      <w:rFonts w:ascii="Times New Roman" w:hAnsi="Times New Roman" w:eastAsia="Times New Roman" w:cs="Times New Roman"/>
                      <w:spacing w:val="-4"/>
                      <w:sz w:val="18"/>
                      <w:szCs w:val="18"/>
                    </w:rPr>
                    <w:t>O</w:t>
                  </w:r>
                  <w:r>
                    <w:rPr>
                      <w:rFonts w:ascii="Times New Roman" w:hAnsi="Times New Roman" w:eastAsia="Times New Roman" w:cs="Times New Roman"/>
                      <w:spacing w:val="-4"/>
                      <w:sz w:val="12"/>
                      <w:szCs w:val="12"/>
                    </w:rPr>
                    <w:t>3</w:t>
                  </w:r>
                </w:p>
              </w:tc>
              <w:tc>
                <w:tcPr>
                  <w:tcW w:w="1430" w:type="dxa"/>
                  <w:vAlign w:val="top"/>
                </w:tcPr>
                <w:p>
                  <w:pPr>
                    <w:spacing w:before="120" w:line="194" w:lineRule="auto"/>
                    <w:ind w:left="52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PM</w:t>
                  </w:r>
                  <w:r>
                    <w:rPr>
                      <w:rFonts w:ascii="Times New Roman" w:hAnsi="Times New Roman" w:eastAsia="Times New Roman" w:cs="Times New Roman"/>
                      <w:spacing w:val="-1"/>
                      <w:sz w:val="12"/>
                      <w:szCs w:val="12"/>
                    </w:rPr>
                    <w:t>10</w:t>
                  </w:r>
                </w:p>
              </w:tc>
              <w:tc>
                <w:tcPr>
                  <w:tcW w:w="1437" w:type="dxa"/>
                  <w:vAlign w:val="top"/>
                </w:tcPr>
                <w:p>
                  <w:pPr>
                    <w:spacing w:before="120" w:line="194" w:lineRule="auto"/>
                    <w:ind w:left="513"/>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PM</w:t>
                  </w:r>
                  <w:r>
                    <w:rPr>
                      <w:rFonts w:ascii="Times New Roman" w:hAnsi="Times New Roman" w:eastAsia="Times New Roman" w:cs="Times New Roman"/>
                      <w:spacing w:val="-1"/>
                      <w:sz w:val="12"/>
                      <w:szCs w:val="12"/>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250" w:type="dxa"/>
                  <w:vMerge w:val="continue"/>
                  <w:tcBorders>
                    <w:top w:val="nil"/>
                    <w:tl2br w:val="single" w:color="000000" w:sz="2" w:space="0"/>
                  </w:tcBorders>
                  <w:vAlign w:val="top"/>
                </w:tcPr>
                <w:p>
                  <w:pPr>
                    <w:rPr>
                      <w:rFonts w:ascii="Arial"/>
                      <w:sz w:val="21"/>
                    </w:rPr>
                  </w:pPr>
                </w:p>
              </w:tc>
              <w:tc>
                <w:tcPr>
                  <w:tcW w:w="941" w:type="dxa"/>
                  <w:vAlign w:val="top"/>
                </w:tcPr>
                <w:p>
                  <w:pPr>
                    <w:spacing w:before="93" w:line="209" w:lineRule="auto"/>
                    <w:ind w:left="257"/>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μg/m</w:t>
                  </w:r>
                  <w:r>
                    <w:rPr>
                      <w:rFonts w:ascii="Times New Roman" w:hAnsi="Times New Roman" w:eastAsia="Times New Roman" w:cs="Times New Roman"/>
                      <w:spacing w:val="-2"/>
                      <w:position w:val="5"/>
                      <w:sz w:val="12"/>
                      <w:szCs w:val="12"/>
                    </w:rPr>
                    <w:t>3</w:t>
                  </w:r>
                </w:p>
              </w:tc>
              <w:tc>
                <w:tcPr>
                  <w:tcW w:w="1326" w:type="dxa"/>
                  <w:vAlign w:val="top"/>
                </w:tcPr>
                <w:p>
                  <w:pPr>
                    <w:spacing w:before="93" w:line="209" w:lineRule="auto"/>
                    <w:ind w:left="449"/>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μg/m</w:t>
                  </w:r>
                  <w:r>
                    <w:rPr>
                      <w:rFonts w:ascii="Times New Roman" w:hAnsi="Times New Roman" w:eastAsia="Times New Roman" w:cs="Times New Roman"/>
                      <w:spacing w:val="-2"/>
                      <w:position w:val="5"/>
                      <w:sz w:val="12"/>
                      <w:szCs w:val="12"/>
                    </w:rPr>
                    <w:t>3</w:t>
                  </w:r>
                </w:p>
              </w:tc>
              <w:tc>
                <w:tcPr>
                  <w:tcW w:w="993" w:type="dxa"/>
                  <w:vAlign w:val="top"/>
                </w:tcPr>
                <w:p>
                  <w:pPr>
                    <w:spacing w:before="93" w:line="209" w:lineRule="auto"/>
                    <w:ind w:left="255"/>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mg/m</w:t>
                  </w:r>
                  <w:r>
                    <w:rPr>
                      <w:rFonts w:ascii="Times New Roman" w:hAnsi="Times New Roman" w:eastAsia="Times New Roman" w:cs="Times New Roman"/>
                      <w:spacing w:val="-1"/>
                      <w:position w:val="5"/>
                      <w:sz w:val="12"/>
                      <w:szCs w:val="12"/>
                    </w:rPr>
                    <w:t>3</w:t>
                  </w:r>
                </w:p>
              </w:tc>
              <w:tc>
                <w:tcPr>
                  <w:tcW w:w="1233" w:type="dxa"/>
                  <w:vAlign w:val="top"/>
                </w:tcPr>
                <w:p>
                  <w:pPr>
                    <w:spacing w:before="93" w:line="209" w:lineRule="auto"/>
                    <w:ind w:left="406"/>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μg/m</w:t>
                  </w:r>
                  <w:r>
                    <w:rPr>
                      <w:rFonts w:ascii="Times New Roman" w:hAnsi="Times New Roman" w:eastAsia="Times New Roman" w:cs="Times New Roman"/>
                      <w:spacing w:val="-2"/>
                      <w:position w:val="5"/>
                      <w:sz w:val="12"/>
                      <w:szCs w:val="12"/>
                    </w:rPr>
                    <w:t>3</w:t>
                  </w:r>
                </w:p>
              </w:tc>
              <w:tc>
                <w:tcPr>
                  <w:tcW w:w="1430" w:type="dxa"/>
                  <w:vAlign w:val="top"/>
                </w:tcPr>
                <w:p>
                  <w:pPr>
                    <w:spacing w:before="93" w:line="209" w:lineRule="auto"/>
                    <w:ind w:left="505"/>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μg/m</w:t>
                  </w:r>
                  <w:r>
                    <w:rPr>
                      <w:rFonts w:ascii="Times New Roman" w:hAnsi="Times New Roman" w:eastAsia="Times New Roman" w:cs="Times New Roman"/>
                      <w:spacing w:val="-2"/>
                      <w:position w:val="5"/>
                      <w:sz w:val="12"/>
                      <w:szCs w:val="12"/>
                    </w:rPr>
                    <w:t>3</w:t>
                  </w:r>
                </w:p>
              </w:tc>
              <w:tc>
                <w:tcPr>
                  <w:tcW w:w="1437" w:type="dxa"/>
                  <w:vAlign w:val="top"/>
                </w:tcPr>
                <w:p>
                  <w:pPr>
                    <w:spacing w:before="93" w:line="209" w:lineRule="auto"/>
                    <w:ind w:left="50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μg/m</w:t>
                  </w:r>
                  <w:r>
                    <w:rPr>
                      <w:rFonts w:ascii="Times New Roman" w:hAnsi="Times New Roman" w:eastAsia="Times New Roman" w:cs="Times New Roman"/>
                      <w:spacing w:val="-2"/>
                      <w:position w:val="5"/>
                      <w:sz w:val="12"/>
                      <w:szCs w:val="1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pPr>
                    <w:pStyle w:val="6"/>
                    <w:spacing w:before="80" w:line="220" w:lineRule="auto"/>
                    <w:ind w:left="486"/>
                    <w:rPr>
                      <w:sz w:val="18"/>
                      <w:szCs w:val="18"/>
                    </w:rPr>
                  </w:pPr>
                  <w:r>
                    <w:rPr>
                      <w:rFonts w:ascii="Times New Roman" w:hAnsi="Times New Roman" w:eastAsia="Times New Roman" w:cs="Times New Roman"/>
                      <w:spacing w:val="-11"/>
                      <w:sz w:val="18"/>
                      <w:szCs w:val="18"/>
                    </w:rPr>
                    <w:t>1</w:t>
                  </w:r>
                  <w:r>
                    <w:rPr>
                      <w:rFonts w:ascii="Times New Roman" w:hAnsi="Times New Roman" w:eastAsia="Times New Roman" w:cs="Times New Roman"/>
                      <w:spacing w:val="13"/>
                      <w:sz w:val="18"/>
                      <w:szCs w:val="18"/>
                    </w:rPr>
                    <w:t xml:space="preserve"> </w:t>
                  </w:r>
                  <w:r>
                    <w:rPr>
                      <w:spacing w:val="-11"/>
                      <w:sz w:val="18"/>
                      <w:szCs w:val="18"/>
                    </w:rPr>
                    <w:t>月</w:t>
                  </w:r>
                </w:p>
              </w:tc>
              <w:tc>
                <w:tcPr>
                  <w:tcW w:w="941" w:type="dxa"/>
                  <w:vAlign w:val="top"/>
                </w:tcPr>
                <w:p>
                  <w:pPr>
                    <w:spacing w:before="113" w:line="186" w:lineRule="auto"/>
                    <w:ind w:left="43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26" w:type="dxa"/>
                  <w:vAlign w:val="top"/>
                </w:tcPr>
                <w:p>
                  <w:pPr>
                    <w:spacing w:before="113" w:line="186" w:lineRule="auto"/>
                    <w:ind w:left="573"/>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41</w:t>
                  </w:r>
                </w:p>
              </w:tc>
              <w:tc>
                <w:tcPr>
                  <w:tcW w:w="993" w:type="dxa"/>
                  <w:vAlign w:val="top"/>
                </w:tcPr>
                <w:p>
                  <w:pPr>
                    <w:spacing w:before="113"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w:t>
                  </w:r>
                </w:p>
              </w:tc>
              <w:tc>
                <w:tcPr>
                  <w:tcW w:w="1233" w:type="dxa"/>
                  <w:vAlign w:val="top"/>
                </w:tcPr>
                <w:p>
                  <w:pPr>
                    <w:spacing w:before="113" w:line="186" w:lineRule="auto"/>
                    <w:ind w:left="5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w:t>
                  </w:r>
                </w:p>
              </w:tc>
              <w:tc>
                <w:tcPr>
                  <w:tcW w:w="1430" w:type="dxa"/>
                  <w:vAlign w:val="top"/>
                </w:tcPr>
                <w:p>
                  <w:pPr>
                    <w:spacing w:before="113" w:line="186" w:lineRule="auto"/>
                    <w:ind w:left="595"/>
                    <w:rPr>
                      <w:rFonts w:ascii="Times New Roman" w:hAnsi="Times New Roman" w:eastAsia="Times New Roman" w:cs="Times New Roman"/>
                      <w:sz w:val="18"/>
                      <w:szCs w:val="18"/>
                    </w:rPr>
                  </w:pPr>
                  <w:r>
                    <w:rPr>
                      <w:rFonts w:ascii="Times New Roman" w:hAnsi="Times New Roman" w:eastAsia="Times New Roman" w:cs="Times New Roman"/>
                      <w:b/>
                      <w:bCs/>
                      <w:spacing w:val="-7"/>
                      <w:sz w:val="18"/>
                      <w:szCs w:val="18"/>
                    </w:rPr>
                    <w:t>115</w:t>
                  </w:r>
                </w:p>
              </w:tc>
              <w:tc>
                <w:tcPr>
                  <w:tcW w:w="1437" w:type="dxa"/>
                  <w:vAlign w:val="top"/>
                </w:tcPr>
                <w:p>
                  <w:pPr>
                    <w:spacing w:before="114" w:line="185" w:lineRule="auto"/>
                    <w:ind w:left="632"/>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pPr>
                    <w:pStyle w:val="6"/>
                    <w:spacing w:before="80" w:line="220" w:lineRule="auto"/>
                    <w:ind w:left="469"/>
                    <w:rPr>
                      <w:sz w:val="18"/>
                      <w:szCs w:val="18"/>
                    </w:rPr>
                  </w:pPr>
                  <w:r>
                    <w:rPr>
                      <w:rFonts w:ascii="Times New Roman" w:hAnsi="Times New Roman" w:eastAsia="Times New Roman" w:cs="Times New Roman"/>
                      <w:spacing w:val="-2"/>
                      <w:sz w:val="18"/>
                      <w:szCs w:val="18"/>
                    </w:rPr>
                    <w:t>2</w:t>
                  </w:r>
                  <w:r>
                    <w:rPr>
                      <w:rFonts w:ascii="Times New Roman" w:hAnsi="Times New Roman" w:eastAsia="Times New Roman" w:cs="Times New Roman"/>
                      <w:spacing w:val="13"/>
                      <w:sz w:val="18"/>
                      <w:szCs w:val="18"/>
                    </w:rPr>
                    <w:t xml:space="preserve"> </w:t>
                  </w:r>
                  <w:r>
                    <w:rPr>
                      <w:spacing w:val="-2"/>
                      <w:sz w:val="18"/>
                      <w:szCs w:val="18"/>
                    </w:rPr>
                    <w:t>月</w:t>
                  </w:r>
                </w:p>
              </w:tc>
              <w:tc>
                <w:tcPr>
                  <w:tcW w:w="941" w:type="dxa"/>
                  <w:vAlign w:val="top"/>
                </w:tcPr>
                <w:p>
                  <w:pPr>
                    <w:spacing w:before="113" w:line="186" w:lineRule="auto"/>
                    <w:ind w:left="3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326" w:type="dxa"/>
                  <w:vAlign w:val="top"/>
                </w:tcPr>
                <w:p>
                  <w:pPr>
                    <w:spacing w:before="114" w:line="186" w:lineRule="auto"/>
                    <w:ind w:left="573"/>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46</w:t>
                  </w:r>
                </w:p>
              </w:tc>
              <w:tc>
                <w:tcPr>
                  <w:tcW w:w="993" w:type="dxa"/>
                  <w:vAlign w:val="top"/>
                </w:tcPr>
                <w:p>
                  <w:pPr>
                    <w:spacing w:before="114"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w:t>
                  </w:r>
                </w:p>
              </w:tc>
              <w:tc>
                <w:tcPr>
                  <w:tcW w:w="1233" w:type="dxa"/>
                  <w:vAlign w:val="top"/>
                </w:tcPr>
                <w:p>
                  <w:pPr>
                    <w:spacing w:before="114" w:line="186" w:lineRule="auto"/>
                    <w:ind w:left="5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w:t>
                  </w:r>
                </w:p>
              </w:tc>
              <w:tc>
                <w:tcPr>
                  <w:tcW w:w="1430" w:type="dxa"/>
                  <w:vAlign w:val="top"/>
                </w:tcPr>
                <w:p>
                  <w:pPr>
                    <w:spacing w:before="114" w:line="186" w:lineRule="auto"/>
                    <w:ind w:left="62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74</w:t>
                  </w:r>
                </w:p>
              </w:tc>
              <w:tc>
                <w:tcPr>
                  <w:tcW w:w="1437" w:type="dxa"/>
                  <w:vAlign w:val="top"/>
                </w:tcPr>
                <w:p>
                  <w:pPr>
                    <w:spacing w:before="114" w:line="186" w:lineRule="auto"/>
                    <w:ind w:left="630"/>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50" w:type="dxa"/>
                  <w:vAlign w:val="top"/>
                </w:tcPr>
                <w:p>
                  <w:pPr>
                    <w:pStyle w:val="6"/>
                    <w:spacing w:before="80" w:line="220" w:lineRule="auto"/>
                    <w:ind w:left="472"/>
                    <w:rPr>
                      <w:sz w:val="18"/>
                      <w:szCs w:val="18"/>
                    </w:rPr>
                  </w:pPr>
                  <w:r>
                    <w:rPr>
                      <w:rFonts w:ascii="Times New Roman" w:hAnsi="Times New Roman" w:eastAsia="Times New Roman" w:cs="Times New Roman"/>
                      <w:spacing w:val="-4"/>
                      <w:sz w:val="18"/>
                      <w:szCs w:val="18"/>
                    </w:rPr>
                    <w:t>3</w:t>
                  </w:r>
                  <w:r>
                    <w:rPr>
                      <w:rFonts w:ascii="Times New Roman" w:hAnsi="Times New Roman" w:eastAsia="Times New Roman" w:cs="Times New Roman"/>
                      <w:spacing w:val="13"/>
                      <w:sz w:val="18"/>
                      <w:szCs w:val="18"/>
                    </w:rPr>
                    <w:t xml:space="preserve"> </w:t>
                  </w:r>
                  <w:r>
                    <w:rPr>
                      <w:spacing w:val="-4"/>
                      <w:sz w:val="18"/>
                      <w:szCs w:val="18"/>
                    </w:rPr>
                    <w:t>月</w:t>
                  </w:r>
                </w:p>
              </w:tc>
              <w:tc>
                <w:tcPr>
                  <w:tcW w:w="941" w:type="dxa"/>
                  <w:vAlign w:val="top"/>
                </w:tcPr>
                <w:p>
                  <w:pPr>
                    <w:spacing w:before="114" w:line="186" w:lineRule="auto"/>
                    <w:ind w:left="43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26" w:type="dxa"/>
                  <w:vAlign w:val="top"/>
                </w:tcPr>
                <w:p>
                  <w:pPr>
                    <w:spacing w:before="114" w:line="186" w:lineRule="auto"/>
                    <w:ind w:left="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tc>
              <w:tc>
                <w:tcPr>
                  <w:tcW w:w="993" w:type="dxa"/>
                  <w:vAlign w:val="top"/>
                </w:tcPr>
                <w:p>
                  <w:pPr>
                    <w:spacing w:before="114"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233" w:type="dxa"/>
                  <w:vAlign w:val="top"/>
                </w:tcPr>
                <w:p>
                  <w:pPr>
                    <w:spacing w:before="114" w:line="186" w:lineRule="auto"/>
                    <w:ind w:left="5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86</w:t>
                  </w:r>
                </w:p>
              </w:tc>
              <w:tc>
                <w:tcPr>
                  <w:tcW w:w="1430" w:type="dxa"/>
                  <w:vAlign w:val="top"/>
                </w:tcPr>
                <w:p>
                  <w:pPr>
                    <w:spacing w:before="114" w:line="186" w:lineRule="auto"/>
                    <w:ind w:left="6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tc>
              <w:tc>
                <w:tcPr>
                  <w:tcW w:w="1437" w:type="dxa"/>
                  <w:vAlign w:val="top"/>
                </w:tcPr>
                <w:p>
                  <w:pPr>
                    <w:spacing w:before="114"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50" w:type="dxa"/>
                  <w:vAlign w:val="top"/>
                </w:tcPr>
                <w:p>
                  <w:pPr>
                    <w:pStyle w:val="6"/>
                    <w:spacing w:before="77" w:line="220" w:lineRule="auto"/>
                    <w:ind w:left="468"/>
                    <w:rPr>
                      <w:sz w:val="18"/>
                      <w:szCs w:val="18"/>
                    </w:rPr>
                  </w:pPr>
                  <w:r>
                    <w:rPr>
                      <w:rFonts w:ascii="Times New Roman" w:hAnsi="Times New Roman" w:eastAsia="Times New Roman" w:cs="Times New Roman"/>
                      <w:spacing w:val="-2"/>
                      <w:sz w:val="18"/>
                      <w:szCs w:val="18"/>
                    </w:rPr>
                    <w:t>4</w:t>
                  </w:r>
                  <w:r>
                    <w:rPr>
                      <w:rFonts w:ascii="Times New Roman" w:hAnsi="Times New Roman" w:eastAsia="Times New Roman" w:cs="Times New Roman"/>
                      <w:spacing w:val="13"/>
                      <w:sz w:val="18"/>
                      <w:szCs w:val="18"/>
                    </w:rPr>
                    <w:t xml:space="preserve"> </w:t>
                  </w:r>
                  <w:r>
                    <w:rPr>
                      <w:spacing w:val="-2"/>
                      <w:sz w:val="18"/>
                      <w:szCs w:val="18"/>
                    </w:rPr>
                    <w:t>月</w:t>
                  </w:r>
                </w:p>
              </w:tc>
              <w:tc>
                <w:tcPr>
                  <w:tcW w:w="941" w:type="dxa"/>
                  <w:vAlign w:val="top"/>
                </w:tcPr>
                <w:p>
                  <w:pPr>
                    <w:spacing w:before="113" w:line="186" w:lineRule="auto"/>
                    <w:ind w:left="43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26" w:type="dxa"/>
                  <w:vAlign w:val="top"/>
                </w:tcPr>
                <w:p>
                  <w:pPr>
                    <w:spacing w:before="113" w:line="186" w:lineRule="auto"/>
                    <w:ind w:left="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993" w:type="dxa"/>
                  <w:vAlign w:val="top"/>
                </w:tcPr>
                <w:p>
                  <w:pPr>
                    <w:spacing w:before="113" w:line="186"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c>
              <w:tc>
                <w:tcPr>
                  <w:tcW w:w="1233" w:type="dxa"/>
                  <w:vAlign w:val="top"/>
                </w:tcPr>
                <w:p>
                  <w:pPr>
                    <w:spacing w:before="113"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124</w:t>
                  </w:r>
                </w:p>
              </w:tc>
              <w:tc>
                <w:tcPr>
                  <w:tcW w:w="1430" w:type="dxa"/>
                  <w:vAlign w:val="top"/>
                </w:tcPr>
                <w:p>
                  <w:pPr>
                    <w:spacing w:before="116" w:line="183" w:lineRule="auto"/>
                    <w:ind w:left="6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1437" w:type="dxa"/>
                  <w:vAlign w:val="top"/>
                </w:tcPr>
                <w:p>
                  <w:pPr>
                    <w:spacing w:before="113"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pPr>
                    <w:pStyle w:val="6"/>
                    <w:spacing w:before="77" w:line="220" w:lineRule="auto"/>
                    <w:ind w:left="473"/>
                    <w:rPr>
                      <w:sz w:val="18"/>
                      <w:szCs w:val="18"/>
                    </w:rPr>
                  </w:pPr>
                  <w:r>
                    <w:rPr>
                      <w:rFonts w:ascii="Times New Roman" w:hAnsi="Times New Roman" w:eastAsia="Times New Roman" w:cs="Times New Roman"/>
                      <w:spacing w:val="-5"/>
                      <w:sz w:val="18"/>
                      <w:szCs w:val="18"/>
                    </w:rPr>
                    <w:t>5</w:t>
                  </w:r>
                  <w:r>
                    <w:rPr>
                      <w:rFonts w:ascii="Times New Roman" w:hAnsi="Times New Roman" w:eastAsia="Times New Roman" w:cs="Times New Roman"/>
                      <w:spacing w:val="13"/>
                      <w:w w:val="101"/>
                      <w:sz w:val="18"/>
                      <w:szCs w:val="18"/>
                    </w:rPr>
                    <w:t xml:space="preserve"> </w:t>
                  </w:r>
                  <w:r>
                    <w:rPr>
                      <w:spacing w:val="-5"/>
                      <w:sz w:val="18"/>
                      <w:szCs w:val="18"/>
                    </w:rPr>
                    <w:t>月</w:t>
                  </w:r>
                </w:p>
              </w:tc>
              <w:tc>
                <w:tcPr>
                  <w:tcW w:w="941" w:type="dxa"/>
                  <w:vAlign w:val="top"/>
                </w:tcPr>
                <w:p>
                  <w:pPr>
                    <w:spacing w:before="113" w:line="186" w:lineRule="auto"/>
                    <w:ind w:left="42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326" w:type="dxa"/>
                  <w:vAlign w:val="top"/>
                </w:tcPr>
                <w:p>
                  <w:pPr>
                    <w:spacing w:before="113" w:line="186" w:lineRule="auto"/>
                    <w:ind w:left="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tc>
              <w:tc>
                <w:tcPr>
                  <w:tcW w:w="993" w:type="dxa"/>
                  <w:vAlign w:val="top"/>
                </w:tcPr>
                <w:p>
                  <w:pPr>
                    <w:spacing w:before="113"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233" w:type="dxa"/>
                  <w:vAlign w:val="top"/>
                </w:tcPr>
                <w:p>
                  <w:pPr>
                    <w:spacing w:before="113"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131</w:t>
                  </w:r>
                </w:p>
              </w:tc>
              <w:tc>
                <w:tcPr>
                  <w:tcW w:w="1430" w:type="dxa"/>
                  <w:vAlign w:val="top"/>
                </w:tcPr>
                <w:p>
                  <w:pPr>
                    <w:spacing w:before="113" w:line="186" w:lineRule="auto"/>
                    <w:ind w:left="6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tc>
              <w:tc>
                <w:tcPr>
                  <w:tcW w:w="1437" w:type="dxa"/>
                  <w:vAlign w:val="top"/>
                </w:tcPr>
                <w:p>
                  <w:pPr>
                    <w:spacing w:before="113"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250" w:type="dxa"/>
                  <w:vAlign w:val="top"/>
                </w:tcPr>
                <w:p>
                  <w:pPr>
                    <w:pStyle w:val="6"/>
                    <w:spacing w:before="78" w:line="220" w:lineRule="auto"/>
                    <w:ind w:left="473"/>
                    <w:rPr>
                      <w:sz w:val="18"/>
                      <w:szCs w:val="18"/>
                    </w:rPr>
                  </w:pPr>
                  <w:r>
                    <w:rPr>
                      <w:rFonts w:ascii="Times New Roman" w:hAnsi="Times New Roman" w:eastAsia="Times New Roman" w:cs="Times New Roman"/>
                      <w:spacing w:val="-4"/>
                      <w:sz w:val="18"/>
                      <w:szCs w:val="18"/>
                    </w:rPr>
                    <w:t>6</w:t>
                  </w:r>
                  <w:r>
                    <w:rPr>
                      <w:rFonts w:ascii="Times New Roman" w:hAnsi="Times New Roman" w:eastAsia="Times New Roman" w:cs="Times New Roman"/>
                      <w:spacing w:val="13"/>
                      <w:sz w:val="18"/>
                      <w:szCs w:val="18"/>
                    </w:rPr>
                    <w:t xml:space="preserve"> </w:t>
                  </w:r>
                  <w:r>
                    <w:rPr>
                      <w:spacing w:val="-4"/>
                      <w:sz w:val="18"/>
                      <w:szCs w:val="18"/>
                    </w:rPr>
                    <w:t>月</w:t>
                  </w:r>
                </w:p>
              </w:tc>
              <w:tc>
                <w:tcPr>
                  <w:tcW w:w="941" w:type="dxa"/>
                  <w:vAlign w:val="top"/>
                </w:tcPr>
                <w:p>
                  <w:pPr>
                    <w:spacing w:before="114" w:line="186" w:lineRule="auto"/>
                    <w:ind w:left="43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26" w:type="dxa"/>
                  <w:vAlign w:val="top"/>
                </w:tcPr>
                <w:p>
                  <w:pPr>
                    <w:spacing w:before="114" w:line="186" w:lineRule="auto"/>
                    <w:ind w:left="5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tc>
              <w:tc>
                <w:tcPr>
                  <w:tcW w:w="993" w:type="dxa"/>
                  <w:vAlign w:val="top"/>
                </w:tcPr>
                <w:p>
                  <w:pPr>
                    <w:spacing w:before="114"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233" w:type="dxa"/>
                  <w:vAlign w:val="top"/>
                </w:tcPr>
                <w:p>
                  <w:pPr>
                    <w:spacing w:before="114"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155</w:t>
                  </w:r>
                </w:p>
              </w:tc>
              <w:tc>
                <w:tcPr>
                  <w:tcW w:w="1430" w:type="dxa"/>
                  <w:vAlign w:val="top"/>
                </w:tcPr>
                <w:p>
                  <w:pPr>
                    <w:spacing w:before="114"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c>
                <w:tcPr>
                  <w:tcW w:w="1437" w:type="dxa"/>
                  <w:vAlign w:val="top"/>
                </w:tcPr>
                <w:p>
                  <w:pPr>
                    <w:spacing w:before="114" w:line="186" w:lineRule="auto"/>
                    <w:ind w:left="6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50" w:type="dxa"/>
                  <w:vAlign w:val="top"/>
                </w:tcPr>
                <w:p>
                  <w:pPr>
                    <w:pStyle w:val="6"/>
                    <w:spacing w:before="80" w:line="220" w:lineRule="auto"/>
                    <w:ind w:left="471"/>
                    <w:rPr>
                      <w:sz w:val="18"/>
                      <w:szCs w:val="18"/>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13"/>
                      <w:w w:val="101"/>
                      <w:sz w:val="18"/>
                      <w:szCs w:val="18"/>
                    </w:rPr>
                    <w:t xml:space="preserve"> </w:t>
                  </w:r>
                  <w:r>
                    <w:rPr>
                      <w:spacing w:val="-4"/>
                      <w:sz w:val="18"/>
                      <w:szCs w:val="18"/>
                    </w:rPr>
                    <w:t>月</w:t>
                  </w:r>
                </w:p>
              </w:tc>
              <w:tc>
                <w:tcPr>
                  <w:tcW w:w="941" w:type="dxa"/>
                  <w:vAlign w:val="top"/>
                </w:tcPr>
                <w:p>
                  <w:pPr>
                    <w:spacing w:before="114" w:line="186" w:lineRule="auto"/>
                    <w:ind w:left="43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26" w:type="dxa"/>
                  <w:vAlign w:val="top"/>
                </w:tcPr>
                <w:p>
                  <w:pPr>
                    <w:spacing w:before="114" w:line="186" w:lineRule="auto"/>
                    <w:ind w:left="5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c>
                <w:tcPr>
                  <w:tcW w:w="993" w:type="dxa"/>
                  <w:vAlign w:val="top"/>
                </w:tcPr>
                <w:p>
                  <w:pPr>
                    <w:spacing w:before="114" w:line="186"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233" w:type="dxa"/>
                  <w:vAlign w:val="top"/>
                </w:tcPr>
                <w:p>
                  <w:pPr>
                    <w:spacing w:before="114"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142</w:t>
                  </w:r>
                </w:p>
              </w:tc>
              <w:tc>
                <w:tcPr>
                  <w:tcW w:w="1430" w:type="dxa"/>
                  <w:vAlign w:val="top"/>
                </w:tcPr>
                <w:p>
                  <w:pPr>
                    <w:spacing w:before="114"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c>
                <w:tcPr>
                  <w:tcW w:w="1437" w:type="dxa"/>
                  <w:vAlign w:val="top"/>
                </w:tcPr>
                <w:p>
                  <w:pPr>
                    <w:spacing w:before="114" w:line="186" w:lineRule="auto"/>
                    <w:ind w:left="6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pPr>
                    <w:pStyle w:val="6"/>
                    <w:spacing w:before="80" w:line="220" w:lineRule="auto"/>
                    <w:ind w:left="476"/>
                    <w:rPr>
                      <w:sz w:val="18"/>
                      <w:szCs w:val="18"/>
                    </w:rPr>
                  </w:pPr>
                  <w:r>
                    <w:rPr>
                      <w:rFonts w:ascii="Times New Roman" w:hAnsi="Times New Roman" w:eastAsia="Times New Roman" w:cs="Times New Roman"/>
                      <w:spacing w:val="-6"/>
                      <w:sz w:val="18"/>
                      <w:szCs w:val="18"/>
                    </w:rPr>
                    <w:t>8</w:t>
                  </w:r>
                  <w:r>
                    <w:rPr>
                      <w:rFonts w:ascii="Times New Roman" w:hAnsi="Times New Roman" w:eastAsia="Times New Roman" w:cs="Times New Roman"/>
                      <w:spacing w:val="13"/>
                      <w:sz w:val="18"/>
                      <w:szCs w:val="18"/>
                    </w:rPr>
                    <w:t xml:space="preserve"> </w:t>
                  </w:r>
                  <w:r>
                    <w:rPr>
                      <w:spacing w:val="-6"/>
                      <w:sz w:val="18"/>
                      <w:szCs w:val="18"/>
                    </w:rPr>
                    <w:t>月</w:t>
                  </w:r>
                </w:p>
              </w:tc>
              <w:tc>
                <w:tcPr>
                  <w:tcW w:w="941" w:type="dxa"/>
                  <w:vAlign w:val="top"/>
                </w:tcPr>
                <w:p>
                  <w:pPr>
                    <w:spacing w:before="113" w:line="186" w:lineRule="auto"/>
                    <w:ind w:left="3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326" w:type="dxa"/>
                  <w:vAlign w:val="top"/>
                </w:tcPr>
                <w:p>
                  <w:pPr>
                    <w:spacing w:before="113" w:line="186" w:lineRule="auto"/>
                    <w:ind w:left="5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c>
                <w:tcPr>
                  <w:tcW w:w="993" w:type="dxa"/>
                  <w:vAlign w:val="top"/>
                </w:tcPr>
                <w:p>
                  <w:pPr>
                    <w:spacing w:before="113" w:line="186"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233" w:type="dxa"/>
                  <w:vAlign w:val="top"/>
                </w:tcPr>
                <w:p>
                  <w:pPr>
                    <w:spacing w:before="113"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152</w:t>
                  </w:r>
                </w:p>
              </w:tc>
              <w:tc>
                <w:tcPr>
                  <w:tcW w:w="1430" w:type="dxa"/>
                  <w:vAlign w:val="top"/>
                </w:tcPr>
                <w:p>
                  <w:pPr>
                    <w:spacing w:before="113"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1437" w:type="dxa"/>
                  <w:vAlign w:val="top"/>
                </w:tcPr>
                <w:p>
                  <w:pPr>
                    <w:spacing w:before="113" w:line="186" w:lineRule="auto"/>
                    <w:ind w:left="6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pPr>
                    <w:pStyle w:val="6"/>
                    <w:spacing w:before="80" w:line="220" w:lineRule="auto"/>
                    <w:ind w:left="440"/>
                    <w:rPr>
                      <w:sz w:val="18"/>
                      <w:szCs w:val="18"/>
                    </w:rPr>
                  </w:pPr>
                  <w:r>
                    <w:rPr>
                      <w:rFonts w:ascii="Times New Roman" w:hAnsi="Times New Roman" w:eastAsia="Times New Roman" w:cs="Times New Roman"/>
                      <w:spacing w:val="-7"/>
                      <w:sz w:val="18"/>
                      <w:szCs w:val="18"/>
                    </w:rPr>
                    <w:t>10</w:t>
                  </w:r>
                  <w:r>
                    <w:rPr>
                      <w:rFonts w:ascii="Times New Roman" w:hAnsi="Times New Roman" w:eastAsia="Times New Roman" w:cs="Times New Roman"/>
                      <w:spacing w:val="13"/>
                      <w:sz w:val="18"/>
                      <w:szCs w:val="18"/>
                    </w:rPr>
                    <w:t xml:space="preserve"> </w:t>
                  </w:r>
                  <w:r>
                    <w:rPr>
                      <w:spacing w:val="-7"/>
                      <w:sz w:val="18"/>
                      <w:szCs w:val="18"/>
                    </w:rPr>
                    <w:t>月</w:t>
                  </w:r>
                </w:p>
              </w:tc>
              <w:tc>
                <w:tcPr>
                  <w:tcW w:w="941" w:type="dxa"/>
                  <w:vAlign w:val="top"/>
                </w:tcPr>
                <w:p>
                  <w:pPr>
                    <w:spacing w:before="113" w:line="186" w:lineRule="auto"/>
                    <w:ind w:left="39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1326" w:type="dxa"/>
                  <w:vAlign w:val="top"/>
                </w:tcPr>
                <w:p>
                  <w:pPr>
                    <w:spacing w:before="113" w:line="186" w:lineRule="auto"/>
                    <w:ind w:left="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tc>
              <w:tc>
                <w:tcPr>
                  <w:tcW w:w="993" w:type="dxa"/>
                  <w:vAlign w:val="top"/>
                </w:tcPr>
                <w:p>
                  <w:pPr>
                    <w:spacing w:before="113" w:line="186"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233" w:type="dxa"/>
                  <w:vAlign w:val="top"/>
                </w:tcPr>
                <w:p>
                  <w:pPr>
                    <w:spacing w:before="113"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w:t>
                  </w:r>
                </w:p>
              </w:tc>
              <w:tc>
                <w:tcPr>
                  <w:tcW w:w="1430" w:type="dxa"/>
                  <w:vAlign w:val="top"/>
                </w:tcPr>
                <w:p>
                  <w:pPr>
                    <w:spacing w:before="113"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tc>
              <w:tc>
                <w:tcPr>
                  <w:tcW w:w="1437" w:type="dxa"/>
                  <w:vAlign w:val="top"/>
                </w:tcPr>
                <w:p>
                  <w:pPr>
                    <w:spacing w:before="113" w:line="186" w:lineRule="auto"/>
                    <w:ind w:left="6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250" w:type="dxa"/>
                  <w:tcBorders>
                    <w:bottom w:val="nil"/>
                  </w:tcBorders>
                  <w:vAlign w:val="top"/>
                </w:tcPr>
                <w:p>
                  <w:pPr>
                    <w:pStyle w:val="6"/>
                    <w:spacing w:before="78" w:line="220" w:lineRule="auto"/>
                    <w:ind w:left="443"/>
                    <w:rPr>
                      <w:sz w:val="18"/>
                      <w:szCs w:val="18"/>
                    </w:rPr>
                  </w:pPr>
                  <w:r>
                    <w:rPr>
                      <w:rFonts w:ascii="Times New Roman" w:hAnsi="Times New Roman" w:eastAsia="Times New Roman" w:cs="Times New Roman"/>
                      <w:spacing w:val="-10"/>
                      <w:sz w:val="18"/>
                      <w:szCs w:val="18"/>
                    </w:rPr>
                    <w:t>11</w:t>
                  </w:r>
                  <w:r>
                    <w:rPr>
                      <w:rFonts w:ascii="Times New Roman" w:hAnsi="Times New Roman" w:eastAsia="Times New Roman" w:cs="Times New Roman"/>
                      <w:spacing w:val="15"/>
                      <w:sz w:val="18"/>
                      <w:szCs w:val="18"/>
                    </w:rPr>
                    <w:t xml:space="preserve"> </w:t>
                  </w:r>
                  <w:r>
                    <w:rPr>
                      <w:spacing w:val="-10"/>
                      <w:sz w:val="18"/>
                      <w:szCs w:val="18"/>
                    </w:rPr>
                    <w:t>月</w:t>
                  </w:r>
                </w:p>
              </w:tc>
              <w:tc>
                <w:tcPr>
                  <w:tcW w:w="941" w:type="dxa"/>
                  <w:tcBorders>
                    <w:bottom w:val="nil"/>
                  </w:tcBorders>
                  <w:vAlign w:val="top"/>
                </w:tcPr>
                <w:p>
                  <w:pPr>
                    <w:spacing w:before="114" w:line="186" w:lineRule="auto"/>
                    <w:ind w:left="42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326" w:type="dxa"/>
                  <w:tcBorders>
                    <w:bottom w:val="nil"/>
                  </w:tcBorders>
                  <w:vAlign w:val="top"/>
                </w:tcPr>
                <w:p>
                  <w:pPr>
                    <w:spacing w:before="114" w:line="186" w:lineRule="auto"/>
                    <w:ind w:left="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c>
                <w:tcPr>
                  <w:tcW w:w="993" w:type="dxa"/>
                  <w:tcBorders>
                    <w:bottom w:val="nil"/>
                  </w:tcBorders>
                  <w:vAlign w:val="top"/>
                </w:tcPr>
                <w:p>
                  <w:pPr>
                    <w:spacing w:before="114"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233" w:type="dxa"/>
                  <w:tcBorders>
                    <w:bottom w:val="nil"/>
                  </w:tcBorders>
                  <w:vAlign w:val="top"/>
                </w:tcPr>
                <w:p>
                  <w:pPr>
                    <w:spacing w:before="114" w:line="186" w:lineRule="auto"/>
                    <w:ind w:left="5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tc>
              <w:tc>
                <w:tcPr>
                  <w:tcW w:w="1430" w:type="dxa"/>
                  <w:tcBorders>
                    <w:bottom w:val="nil"/>
                  </w:tcBorders>
                  <w:vAlign w:val="top"/>
                </w:tcPr>
                <w:p>
                  <w:pPr>
                    <w:spacing w:before="114" w:line="186" w:lineRule="auto"/>
                    <w:ind w:left="6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1437" w:type="dxa"/>
                  <w:tcBorders>
                    <w:bottom w:val="nil"/>
                  </w:tcBorders>
                  <w:vAlign w:val="top"/>
                </w:tcPr>
                <w:p>
                  <w:pPr>
                    <w:spacing w:before="114"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r>
          </w:tbl>
          <w:p>
            <w:pPr>
              <w:spacing w:line="84" w:lineRule="auto"/>
              <w:rPr>
                <w:rFonts w:ascii="Arial"/>
                <w:sz w:val="2"/>
              </w:rPr>
            </w:pPr>
          </w:p>
        </w:tc>
      </w:tr>
    </w:tbl>
    <w:p>
      <w:pPr>
        <w:pStyle w:val="2"/>
        <w:rPr>
          <w:sz w:val="21"/>
        </w:rPr>
      </w:pPr>
    </w:p>
    <w:p>
      <w:pPr>
        <w:rPr>
          <w:sz w:val="21"/>
          <w:szCs w:val="21"/>
        </w:rPr>
        <w:sectPr>
          <w:footerReference r:id="rId65"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91" w:hRule="atLeast"/>
        </w:trPr>
        <w:tc>
          <w:tcPr>
            <w:tcW w:w="9291" w:type="dxa"/>
            <w:vAlign w:val="top"/>
          </w:tcPr>
          <w:p>
            <w:pPr>
              <w:spacing w:line="43" w:lineRule="auto"/>
              <w:rPr>
                <w:rFonts w:ascii="Arial"/>
                <w:sz w:val="2"/>
              </w:rPr>
            </w:pPr>
            <w:r>
              <w:pict>
                <v:rect id="_x0000_s1269" o:spid="_x0000_s1269" o:spt="1" style="position:absolute;left:0pt;margin-left:22.75pt;margin-top:0.95pt;height:689.15pt;width:0.5pt;mso-position-horizontal-relative:page;mso-position-vertical-relative:page;z-index:251814912;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0"/>
              <w:gridCol w:w="941"/>
              <w:gridCol w:w="1326"/>
              <w:gridCol w:w="993"/>
              <w:gridCol w:w="1233"/>
              <w:gridCol w:w="1430"/>
              <w:gridCol w:w="14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50" w:type="dxa"/>
                  <w:tcBorders>
                    <w:top w:val="nil"/>
                  </w:tcBorders>
                  <w:vAlign w:val="top"/>
                </w:tcPr>
                <w:p>
                  <w:pPr>
                    <w:pStyle w:val="6"/>
                    <w:spacing w:before="77" w:line="220" w:lineRule="auto"/>
                    <w:ind w:left="360"/>
                    <w:rPr>
                      <w:sz w:val="18"/>
                      <w:szCs w:val="18"/>
                    </w:rPr>
                  </w:pPr>
                  <w:r>
                    <w:rPr>
                      <w:spacing w:val="-2"/>
                      <w:sz w:val="18"/>
                      <w:szCs w:val="18"/>
                    </w:rPr>
                    <w:t>标准值</w:t>
                  </w:r>
                </w:p>
              </w:tc>
              <w:tc>
                <w:tcPr>
                  <w:tcW w:w="941" w:type="dxa"/>
                  <w:tcBorders>
                    <w:top w:val="nil"/>
                  </w:tcBorders>
                  <w:vAlign w:val="top"/>
                </w:tcPr>
                <w:p>
                  <w:pPr>
                    <w:spacing w:before="113"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326" w:type="dxa"/>
                  <w:tcBorders>
                    <w:top w:val="nil"/>
                  </w:tcBorders>
                  <w:vAlign w:val="top"/>
                </w:tcPr>
                <w:p>
                  <w:pPr>
                    <w:spacing w:before="113" w:line="186" w:lineRule="auto"/>
                    <w:ind w:left="5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993" w:type="dxa"/>
                  <w:tcBorders>
                    <w:top w:val="nil"/>
                  </w:tcBorders>
                  <w:vAlign w:val="top"/>
                </w:tcPr>
                <w:p>
                  <w:pPr>
                    <w:spacing w:before="113" w:line="186" w:lineRule="auto"/>
                    <w:ind w:left="45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233" w:type="dxa"/>
                  <w:tcBorders>
                    <w:top w:val="nil"/>
                  </w:tcBorders>
                  <w:vAlign w:val="top"/>
                </w:tcPr>
                <w:p>
                  <w:pPr>
                    <w:spacing w:before="113"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160</w:t>
                  </w:r>
                </w:p>
              </w:tc>
              <w:tc>
                <w:tcPr>
                  <w:tcW w:w="1430" w:type="dxa"/>
                  <w:tcBorders>
                    <w:top w:val="nil"/>
                  </w:tcBorders>
                  <w:vAlign w:val="top"/>
                </w:tcPr>
                <w:p>
                  <w:pPr>
                    <w:spacing w:before="113" w:line="186" w:lineRule="auto"/>
                    <w:ind w:left="6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1437" w:type="dxa"/>
                  <w:tcBorders>
                    <w:top w:val="nil"/>
                  </w:tcBorders>
                  <w:vAlign w:val="top"/>
                </w:tcPr>
                <w:p>
                  <w:pPr>
                    <w:spacing w:before="113" w:line="186" w:lineRule="auto"/>
                    <w:ind w:left="6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250" w:type="dxa"/>
                  <w:vAlign w:val="top"/>
                </w:tcPr>
                <w:p>
                  <w:pPr>
                    <w:pStyle w:val="6"/>
                    <w:spacing w:before="117" w:line="220" w:lineRule="auto"/>
                    <w:ind w:left="389"/>
                    <w:rPr>
                      <w:sz w:val="18"/>
                      <w:szCs w:val="18"/>
                    </w:rPr>
                  </w:pPr>
                  <w:r>
                    <w:rPr>
                      <w:spacing w:val="-9"/>
                      <w:sz w:val="18"/>
                      <w:szCs w:val="18"/>
                    </w:rPr>
                    <w:t>占标率</w:t>
                  </w:r>
                </w:p>
              </w:tc>
              <w:tc>
                <w:tcPr>
                  <w:tcW w:w="941" w:type="dxa"/>
                  <w:vAlign w:val="top"/>
                </w:tcPr>
                <w:p>
                  <w:pPr>
                    <w:spacing w:before="47" w:line="208" w:lineRule="auto"/>
                    <w:ind w:left="282" w:right="160" w:hanging="10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13.33%-</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4"/>
                      <w:sz w:val="18"/>
                      <w:szCs w:val="18"/>
                    </w:rPr>
                    <w:t>16.67</w:t>
                  </w:r>
                </w:p>
              </w:tc>
              <w:tc>
                <w:tcPr>
                  <w:tcW w:w="1326" w:type="dxa"/>
                  <w:vAlign w:val="top"/>
                </w:tcPr>
                <w:p>
                  <w:pPr>
                    <w:spacing w:before="148" w:line="229"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60%-</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5"/>
                      <w:sz w:val="18"/>
                      <w:szCs w:val="18"/>
                    </w:rPr>
                    <w:t>115%</w:t>
                  </w:r>
                </w:p>
              </w:tc>
              <w:tc>
                <w:tcPr>
                  <w:tcW w:w="993" w:type="dxa"/>
                  <w:vAlign w:val="top"/>
                </w:tcPr>
                <w:p>
                  <w:pPr>
                    <w:spacing w:before="151" w:line="186"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20%-45%</w:t>
                  </w:r>
                </w:p>
              </w:tc>
              <w:tc>
                <w:tcPr>
                  <w:tcW w:w="1233" w:type="dxa"/>
                  <w:vAlign w:val="top"/>
                </w:tcPr>
                <w:p>
                  <w:pPr>
                    <w:spacing w:before="48" w:line="239" w:lineRule="auto"/>
                    <w:ind w:left="314"/>
                    <w:rPr>
                      <w:rFonts w:ascii="Times New Roman" w:hAnsi="Times New Roman" w:eastAsia="Times New Roman" w:cs="Times New Roman"/>
                      <w:sz w:val="18"/>
                      <w:szCs w:val="18"/>
                    </w:rPr>
                  </w:pPr>
                  <w:r>
                    <w:rPr>
                      <w:rFonts w:ascii="Times New Roman" w:hAnsi="Times New Roman" w:eastAsia="Times New Roman" w:cs="Times New Roman"/>
                      <w:sz w:val="18"/>
                      <w:szCs w:val="18"/>
                    </w:rPr>
                    <w:t>36.87%-</w:t>
                  </w:r>
                </w:p>
                <w:p>
                  <w:pPr>
                    <w:spacing w:line="175"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96.87%</w:t>
                  </w:r>
                </w:p>
              </w:tc>
              <w:tc>
                <w:tcPr>
                  <w:tcW w:w="1430" w:type="dxa"/>
                  <w:vAlign w:val="top"/>
                </w:tcPr>
                <w:p>
                  <w:pPr>
                    <w:spacing w:before="48" w:line="239" w:lineRule="auto"/>
                    <w:ind w:left="409"/>
                    <w:rPr>
                      <w:rFonts w:ascii="Times New Roman" w:hAnsi="Times New Roman" w:eastAsia="Times New Roman" w:cs="Times New Roman"/>
                      <w:sz w:val="18"/>
                      <w:szCs w:val="18"/>
                    </w:rPr>
                  </w:pPr>
                  <w:r>
                    <w:rPr>
                      <w:rFonts w:ascii="Times New Roman" w:hAnsi="Times New Roman" w:eastAsia="Times New Roman" w:cs="Times New Roman"/>
                      <w:sz w:val="18"/>
                      <w:szCs w:val="18"/>
                    </w:rPr>
                    <w:t>47.14%-</w:t>
                  </w:r>
                </w:p>
                <w:p>
                  <w:pPr>
                    <w:spacing w:line="175" w:lineRule="auto"/>
                    <w:ind w:left="4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164.28%</w:t>
                  </w:r>
                </w:p>
              </w:tc>
              <w:tc>
                <w:tcPr>
                  <w:tcW w:w="1437" w:type="dxa"/>
                  <w:vAlign w:val="top"/>
                </w:tcPr>
                <w:p>
                  <w:pPr>
                    <w:spacing w:before="48" w:line="239" w:lineRule="auto"/>
                    <w:ind w:left="417"/>
                    <w:rPr>
                      <w:rFonts w:ascii="Times New Roman" w:hAnsi="Times New Roman" w:eastAsia="Times New Roman" w:cs="Times New Roman"/>
                      <w:sz w:val="18"/>
                      <w:szCs w:val="18"/>
                    </w:rPr>
                  </w:pPr>
                  <w:r>
                    <w:rPr>
                      <w:rFonts w:ascii="Times New Roman" w:hAnsi="Times New Roman" w:eastAsia="Times New Roman" w:cs="Times New Roman"/>
                      <w:sz w:val="18"/>
                      <w:szCs w:val="18"/>
                    </w:rPr>
                    <w:t>34.37%-</w:t>
                  </w:r>
                </w:p>
                <w:p>
                  <w:pPr>
                    <w:spacing w:line="175" w:lineRule="auto"/>
                    <w:ind w:left="3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248.57%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50" w:type="dxa"/>
                  <w:vAlign w:val="top"/>
                </w:tcPr>
                <w:p>
                  <w:pPr>
                    <w:pStyle w:val="6"/>
                    <w:spacing w:before="84" w:line="220" w:lineRule="auto"/>
                    <w:ind w:left="267"/>
                    <w:rPr>
                      <w:sz w:val="18"/>
                      <w:szCs w:val="18"/>
                    </w:rPr>
                  </w:pPr>
                  <w:r>
                    <w:rPr>
                      <w:spacing w:val="-2"/>
                      <w:sz w:val="18"/>
                      <w:szCs w:val="18"/>
                    </w:rPr>
                    <w:t>达标情况</w:t>
                  </w:r>
                </w:p>
              </w:tc>
              <w:tc>
                <w:tcPr>
                  <w:tcW w:w="941" w:type="dxa"/>
                  <w:vAlign w:val="top"/>
                </w:tcPr>
                <w:p>
                  <w:pPr>
                    <w:pStyle w:val="6"/>
                    <w:spacing w:before="84" w:line="220" w:lineRule="auto"/>
                    <w:ind w:left="292"/>
                    <w:rPr>
                      <w:sz w:val="18"/>
                      <w:szCs w:val="18"/>
                    </w:rPr>
                  </w:pPr>
                  <w:r>
                    <w:rPr>
                      <w:spacing w:val="-2"/>
                      <w:sz w:val="18"/>
                      <w:szCs w:val="18"/>
                    </w:rPr>
                    <w:t>达标</w:t>
                  </w:r>
                </w:p>
              </w:tc>
              <w:tc>
                <w:tcPr>
                  <w:tcW w:w="1326" w:type="dxa"/>
                  <w:vAlign w:val="top"/>
                </w:tcPr>
                <w:p>
                  <w:pPr>
                    <w:pStyle w:val="6"/>
                    <w:spacing w:before="83" w:line="220" w:lineRule="auto"/>
                    <w:ind w:left="124"/>
                    <w:rPr>
                      <w:sz w:val="18"/>
                      <w:szCs w:val="18"/>
                    </w:rPr>
                  </w:pPr>
                  <w:r>
                    <w:rPr>
                      <w:rFonts w:ascii="Times New Roman" w:hAnsi="Times New Roman" w:eastAsia="Times New Roman" w:cs="Times New Roman"/>
                      <w:spacing w:val="-15"/>
                      <w:sz w:val="18"/>
                      <w:szCs w:val="18"/>
                    </w:rPr>
                    <w:t>1</w:t>
                  </w:r>
                  <w:r>
                    <w:rPr>
                      <w:rFonts w:ascii="Times New Roman" w:hAnsi="Times New Roman" w:eastAsia="Times New Roman" w:cs="Times New Roman"/>
                      <w:spacing w:val="17"/>
                      <w:sz w:val="18"/>
                      <w:szCs w:val="18"/>
                    </w:rPr>
                    <w:t xml:space="preserve"> </w:t>
                  </w:r>
                  <w:r>
                    <w:rPr>
                      <w:spacing w:val="-15"/>
                      <w:sz w:val="18"/>
                      <w:szCs w:val="18"/>
                    </w:rPr>
                    <w:t>月，</w:t>
                  </w:r>
                  <w:r>
                    <w:rPr>
                      <w:rFonts w:ascii="Times New Roman" w:hAnsi="Times New Roman" w:eastAsia="Times New Roman" w:cs="Times New Roman"/>
                      <w:spacing w:val="-15"/>
                      <w:sz w:val="18"/>
                      <w:szCs w:val="18"/>
                    </w:rPr>
                    <w:t>2</w:t>
                  </w:r>
                  <w:r>
                    <w:rPr>
                      <w:rFonts w:ascii="Times New Roman" w:hAnsi="Times New Roman" w:eastAsia="Times New Roman" w:cs="Times New Roman"/>
                      <w:spacing w:val="13"/>
                      <w:sz w:val="18"/>
                      <w:szCs w:val="18"/>
                    </w:rPr>
                    <w:t xml:space="preserve"> </w:t>
                  </w:r>
                  <w:r>
                    <w:rPr>
                      <w:spacing w:val="-15"/>
                      <w:sz w:val="18"/>
                      <w:szCs w:val="18"/>
                    </w:rPr>
                    <w:t>月超标</w:t>
                  </w:r>
                </w:p>
              </w:tc>
              <w:tc>
                <w:tcPr>
                  <w:tcW w:w="993" w:type="dxa"/>
                  <w:vAlign w:val="top"/>
                </w:tcPr>
                <w:p>
                  <w:pPr>
                    <w:pStyle w:val="6"/>
                    <w:spacing w:before="84" w:line="220" w:lineRule="auto"/>
                    <w:ind w:left="320"/>
                    <w:rPr>
                      <w:sz w:val="18"/>
                      <w:szCs w:val="18"/>
                    </w:rPr>
                  </w:pPr>
                  <w:r>
                    <w:rPr>
                      <w:spacing w:val="-2"/>
                      <w:sz w:val="18"/>
                      <w:szCs w:val="18"/>
                    </w:rPr>
                    <w:t>达标</w:t>
                  </w:r>
                </w:p>
              </w:tc>
              <w:tc>
                <w:tcPr>
                  <w:tcW w:w="1233" w:type="dxa"/>
                  <w:vAlign w:val="top"/>
                </w:tcPr>
                <w:p>
                  <w:pPr>
                    <w:pStyle w:val="6"/>
                    <w:spacing w:before="84" w:line="220" w:lineRule="auto"/>
                    <w:ind w:left="441"/>
                    <w:rPr>
                      <w:sz w:val="18"/>
                      <w:szCs w:val="18"/>
                    </w:rPr>
                  </w:pPr>
                  <w:r>
                    <w:rPr>
                      <w:spacing w:val="-2"/>
                      <w:sz w:val="18"/>
                      <w:szCs w:val="18"/>
                    </w:rPr>
                    <w:t>达标</w:t>
                  </w:r>
                </w:p>
              </w:tc>
              <w:tc>
                <w:tcPr>
                  <w:tcW w:w="1430" w:type="dxa"/>
                  <w:vAlign w:val="top"/>
                </w:tcPr>
                <w:p>
                  <w:pPr>
                    <w:pStyle w:val="6"/>
                    <w:spacing w:before="83" w:line="220" w:lineRule="auto"/>
                    <w:ind w:left="149"/>
                    <w:rPr>
                      <w:sz w:val="18"/>
                      <w:szCs w:val="18"/>
                    </w:rPr>
                  </w:pPr>
                  <w:r>
                    <w:rPr>
                      <w:rFonts w:ascii="Times New Roman" w:hAnsi="Times New Roman" w:eastAsia="Times New Roman" w:cs="Times New Roman"/>
                      <w:spacing w:val="-15"/>
                      <w:sz w:val="18"/>
                      <w:szCs w:val="18"/>
                    </w:rPr>
                    <w:t>1</w:t>
                  </w:r>
                  <w:r>
                    <w:rPr>
                      <w:rFonts w:ascii="Times New Roman" w:hAnsi="Times New Roman" w:eastAsia="Times New Roman" w:cs="Times New Roman"/>
                      <w:spacing w:val="14"/>
                      <w:sz w:val="18"/>
                      <w:szCs w:val="18"/>
                    </w:rPr>
                    <w:t xml:space="preserve"> </w:t>
                  </w:r>
                  <w:r>
                    <w:rPr>
                      <w:spacing w:val="-15"/>
                      <w:sz w:val="18"/>
                      <w:szCs w:val="18"/>
                    </w:rPr>
                    <w:t>月，</w:t>
                  </w:r>
                  <w:r>
                    <w:rPr>
                      <w:spacing w:val="-27"/>
                      <w:sz w:val="18"/>
                      <w:szCs w:val="18"/>
                    </w:rPr>
                    <w:t xml:space="preserve"> </w:t>
                  </w:r>
                  <w:r>
                    <w:rPr>
                      <w:rFonts w:ascii="Times New Roman" w:hAnsi="Times New Roman" w:eastAsia="Times New Roman" w:cs="Times New Roman"/>
                      <w:spacing w:val="-15"/>
                      <w:sz w:val="18"/>
                      <w:szCs w:val="18"/>
                    </w:rPr>
                    <w:t>2</w:t>
                  </w:r>
                  <w:r>
                    <w:rPr>
                      <w:rFonts w:ascii="Times New Roman" w:hAnsi="Times New Roman" w:eastAsia="Times New Roman" w:cs="Times New Roman"/>
                      <w:spacing w:val="13"/>
                      <w:sz w:val="18"/>
                      <w:szCs w:val="18"/>
                    </w:rPr>
                    <w:t xml:space="preserve"> </w:t>
                  </w:r>
                  <w:r>
                    <w:rPr>
                      <w:spacing w:val="-15"/>
                      <w:sz w:val="18"/>
                      <w:szCs w:val="18"/>
                    </w:rPr>
                    <w:t>月超标</w:t>
                  </w:r>
                </w:p>
              </w:tc>
              <w:tc>
                <w:tcPr>
                  <w:tcW w:w="1437" w:type="dxa"/>
                  <w:vAlign w:val="top"/>
                </w:tcPr>
                <w:p>
                  <w:pPr>
                    <w:pStyle w:val="6"/>
                    <w:spacing w:before="83" w:line="220" w:lineRule="auto"/>
                    <w:ind w:left="151"/>
                    <w:rPr>
                      <w:sz w:val="18"/>
                      <w:szCs w:val="18"/>
                    </w:rPr>
                  </w:pPr>
                  <w:r>
                    <w:rPr>
                      <w:rFonts w:ascii="Times New Roman" w:hAnsi="Times New Roman" w:eastAsia="Times New Roman" w:cs="Times New Roman"/>
                      <w:spacing w:val="-15"/>
                      <w:sz w:val="18"/>
                      <w:szCs w:val="18"/>
                    </w:rPr>
                    <w:t>1</w:t>
                  </w:r>
                  <w:r>
                    <w:rPr>
                      <w:rFonts w:ascii="Times New Roman" w:hAnsi="Times New Roman" w:eastAsia="Times New Roman" w:cs="Times New Roman"/>
                      <w:spacing w:val="13"/>
                      <w:w w:val="102"/>
                      <w:sz w:val="18"/>
                      <w:szCs w:val="18"/>
                    </w:rPr>
                    <w:t xml:space="preserve"> </w:t>
                  </w:r>
                  <w:r>
                    <w:rPr>
                      <w:spacing w:val="-15"/>
                      <w:sz w:val="18"/>
                      <w:szCs w:val="18"/>
                    </w:rPr>
                    <w:t>月，</w:t>
                  </w:r>
                  <w:r>
                    <w:rPr>
                      <w:spacing w:val="-27"/>
                      <w:sz w:val="18"/>
                      <w:szCs w:val="18"/>
                    </w:rPr>
                    <w:t xml:space="preserve"> </w:t>
                  </w:r>
                  <w:r>
                    <w:rPr>
                      <w:rFonts w:ascii="Times New Roman" w:hAnsi="Times New Roman" w:eastAsia="Times New Roman" w:cs="Times New Roman"/>
                      <w:spacing w:val="-15"/>
                      <w:sz w:val="18"/>
                      <w:szCs w:val="18"/>
                    </w:rPr>
                    <w:t>2</w:t>
                  </w:r>
                  <w:r>
                    <w:rPr>
                      <w:rFonts w:ascii="Times New Roman" w:hAnsi="Times New Roman" w:eastAsia="Times New Roman" w:cs="Times New Roman"/>
                      <w:spacing w:val="14"/>
                      <w:sz w:val="18"/>
                      <w:szCs w:val="18"/>
                    </w:rPr>
                    <w:t xml:space="preserve"> </w:t>
                  </w:r>
                  <w:r>
                    <w:rPr>
                      <w:spacing w:val="-15"/>
                      <w:sz w:val="18"/>
                      <w:szCs w:val="18"/>
                    </w:rPr>
                    <w:t>月超标</w:t>
                  </w:r>
                </w:p>
              </w:tc>
            </w:tr>
          </w:tbl>
          <w:p>
            <w:pPr>
              <w:pStyle w:val="6"/>
              <w:spacing w:before="178" w:line="369" w:lineRule="auto"/>
              <w:ind w:left="569" w:right="104" w:firstLine="479"/>
              <w:jc w:val="both"/>
              <w:rPr>
                <w:sz w:val="24"/>
                <w:szCs w:val="24"/>
              </w:rPr>
            </w:pPr>
            <w:r>
              <w:rPr>
                <w:spacing w:val="-8"/>
                <w:sz w:val="24"/>
                <w:szCs w:val="24"/>
              </w:rPr>
              <w:t>本项目位于达州市通川区江陵镇，所在区域为环境空气质量</w:t>
            </w:r>
            <w:r>
              <w:rPr>
                <w:spacing w:val="-8"/>
                <w:sz w:val="24"/>
                <w:szCs w:val="24"/>
                <w14:textOutline w14:w="4354" w14:cap="flat" w14:cmpd="sng">
                  <w14:solidFill>
                    <w14:srgbClr w14:val="000000"/>
                  </w14:solidFill>
                  <w14:prstDash w14:val="solid"/>
                  <w14:miter w14:val="10"/>
                </w14:textOutline>
              </w:rPr>
              <w:t>不</w:t>
            </w:r>
            <w:r>
              <w:rPr>
                <w:spacing w:val="-9"/>
                <w:sz w:val="24"/>
                <w:szCs w:val="24"/>
                <w14:textOutline w14:w="4354" w14:cap="flat" w14:cmpd="sng">
                  <w14:solidFill>
                    <w14:srgbClr w14:val="000000"/>
                  </w14:solidFill>
                  <w14:prstDash w14:val="solid"/>
                  <w14:miter w14:val="10"/>
                </w14:textOutline>
              </w:rPr>
              <w:t>达标区</w:t>
            </w:r>
            <w:r>
              <w:rPr>
                <w:spacing w:val="-9"/>
                <w:sz w:val="24"/>
                <w:szCs w:val="24"/>
              </w:rPr>
              <w:t>。目前《达</w:t>
            </w:r>
            <w:r>
              <w:rPr>
                <w:sz w:val="24"/>
                <w:szCs w:val="24"/>
              </w:rPr>
              <w:t xml:space="preserve"> </w:t>
            </w:r>
            <w:r>
              <w:rPr>
                <w:spacing w:val="-6"/>
                <w:sz w:val="24"/>
                <w:szCs w:val="24"/>
              </w:rPr>
              <w:t>州市大气环境质量限期达标规划（</w:t>
            </w:r>
            <w:r>
              <w:rPr>
                <w:rFonts w:ascii="Times New Roman" w:hAnsi="Times New Roman" w:eastAsia="Times New Roman" w:cs="Times New Roman"/>
                <w:spacing w:val="-6"/>
                <w:sz w:val="24"/>
                <w:szCs w:val="24"/>
              </w:rPr>
              <w:t>2018</w:t>
            </w:r>
            <w:r>
              <w:rPr>
                <w:rFonts w:ascii="Times New Roman" w:hAnsi="Times New Roman" w:eastAsia="Times New Roman" w:cs="Times New Roman"/>
                <w:spacing w:val="-7"/>
                <w:sz w:val="24"/>
                <w:szCs w:val="24"/>
              </w:rPr>
              <w:t xml:space="preserve">-2030 </w:t>
            </w:r>
            <w:r>
              <w:rPr>
                <w:spacing w:val="-7"/>
                <w:sz w:val="24"/>
                <w:szCs w:val="24"/>
              </w:rPr>
              <w:t>年）</w:t>
            </w:r>
            <w:r>
              <w:rPr>
                <w:spacing w:val="-69"/>
                <w:sz w:val="24"/>
                <w:szCs w:val="24"/>
              </w:rPr>
              <w:t xml:space="preserve"> </w:t>
            </w:r>
            <w:r>
              <w:rPr>
                <w:spacing w:val="-7"/>
                <w:sz w:val="24"/>
                <w:szCs w:val="24"/>
              </w:rPr>
              <w:t>》已发布实施，</w:t>
            </w:r>
            <w:r>
              <w:rPr>
                <w:spacing w:val="53"/>
                <w:sz w:val="24"/>
                <w:szCs w:val="24"/>
              </w:rPr>
              <w:t xml:space="preserve"> </w:t>
            </w:r>
            <w:r>
              <w:rPr>
                <w:spacing w:val="-7"/>
                <w:sz w:val="24"/>
                <w:szCs w:val="24"/>
              </w:rPr>
              <w:t>预计到</w:t>
            </w:r>
            <w:r>
              <w:rPr>
                <w:spacing w:val="-54"/>
                <w:sz w:val="24"/>
                <w:szCs w:val="24"/>
              </w:rPr>
              <w:t xml:space="preserve"> </w:t>
            </w:r>
            <w:r>
              <w:rPr>
                <w:rFonts w:ascii="Times New Roman" w:hAnsi="Times New Roman" w:eastAsia="Times New Roman" w:cs="Times New Roman"/>
                <w:spacing w:val="-7"/>
                <w:sz w:val="24"/>
                <w:szCs w:val="24"/>
              </w:rPr>
              <w:t xml:space="preserve">2030 </w:t>
            </w:r>
            <w:r>
              <w:rPr>
                <w:spacing w:val="-7"/>
                <w:sz w:val="24"/>
                <w:szCs w:val="24"/>
              </w:rPr>
              <w:t>年能</w:t>
            </w:r>
          </w:p>
          <w:p>
            <w:pPr>
              <w:pStyle w:val="6"/>
              <w:spacing w:line="219" w:lineRule="auto"/>
              <w:ind w:left="574"/>
              <w:rPr>
                <w:sz w:val="24"/>
                <w:szCs w:val="24"/>
              </w:rPr>
            </w:pPr>
            <w:r>
              <w:rPr>
                <w:spacing w:val="-5"/>
                <w:sz w:val="24"/>
                <w:szCs w:val="24"/>
              </w:rPr>
              <w:t>实现空气质量稳定达标。</w:t>
            </w:r>
          </w:p>
          <w:p>
            <w:pPr>
              <w:pStyle w:val="6"/>
              <w:spacing w:before="194" w:line="220"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）特征因子环境质量现状</w:t>
            </w:r>
          </w:p>
          <w:p>
            <w:pPr>
              <w:pStyle w:val="6"/>
              <w:spacing w:before="195" w:line="369" w:lineRule="auto"/>
              <w:ind w:left="572" w:right="103" w:firstLine="478"/>
              <w:rPr>
                <w:sz w:val="24"/>
                <w:szCs w:val="24"/>
              </w:rPr>
            </w:pPr>
            <w:r>
              <w:rPr>
                <w:spacing w:val="-6"/>
                <w:sz w:val="24"/>
                <w:szCs w:val="24"/>
              </w:rPr>
              <w:t>为了解项目所在地的环境空气质量，</w:t>
            </w:r>
            <w:r>
              <w:rPr>
                <w:spacing w:val="44"/>
                <w:sz w:val="24"/>
                <w:szCs w:val="24"/>
              </w:rPr>
              <w:t xml:space="preserve"> </w:t>
            </w:r>
            <w:r>
              <w:rPr>
                <w:spacing w:val="-6"/>
                <w:sz w:val="24"/>
                <w:szCs w:val="24"/>
              </w:rPr>
              <w:t>本次评价委托四川华皓检测技术有限公司</w:t>
            </w:r>
            <w:r>
              <w:rPr>
                <w:sz w:val="24"/>
                <w:szCs w:val="24"/>
              </w:rPr>
              <w:t xml:space="preserve"> </w:t>
            </w:r>
            <w:r>
              <w:rPr>
                <w:spacing w:val="-5"/>
                <w:sz w:val="24"/>
                <w:szCs w:val="24"/>
              </w:rPr>
              <w:t>于</w:t>
            </w:r>
            <w:r>
              <w:rPr>
                <w:spacing w:val="-53"/>
                <w:sz w:val="24"/>
                <w:szCs w:val="24"/>
              </w:rPr>
              <w:t xml:space="preserve"> </w:t>
            </w:r>
            <w:r>
              <w:rPr>
                <w:rFonts w:ascii="Times New Roman" w:hAnsi="Times New Roman" w:eastAsia="Times New Roman" w:cs="Times New Roman"/>
                <w:spacing w:val="-5"/>
                <w:sz w:val="24"/>
                <w:szCs w:val="24"/>
              </w:rPr>
              <w:t xml:space="preserve">2023 </w:t>
            </w:r>
            <w:r>
              <w:rPr>
                <w:spacing w:val="-5"/>
                <w:sz w:val="24"/>
                <w:szCs w:val="24"/>
              </w:rPr>
              <w:t>年</w:t>
            </w:r>
            <w:r>
              <w:rPr>
                <w:spacing w:val="-48"/>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8"/>
                <w:sz w:val="24"/>
                <w:szCs w:val="24"/>
              </w:rPr>
              <w:t xml:space="preserve"> </w:t>
            </w:r>
            <w:r>
              <w:rPr>
                <w:spacing w:val="-5"/>
                <w:sz w:val="24"/>
                <w:szCs w:val="24"/>
              </w:rPr>
              <w:t>月</w:t>
            </w:r>
            <w:r>
              <w:rPr>
                <w:spacing w:val="-53"/>
                <w:sz w:val="24"/>
                <w:szCs w:val="24"/>
              </w:rPr>
              <w:t xml:space="preserve"> </w:t>
            </w:r>
            <w:r>
              <w:rPr>
                <w:rFonts w:ascii="Times New Roman" w:hAnsi="Times New Roman" w:eastAsia="Times New Roman" w:cs="Times New Roman"/>
                <w:spacing w:val="-5"/>
                <w:sz w:val="24"/>
                <w:szCs w:val="24"/>
              </w:rPr>
              <w:t xml:space="preserve">26  </w:t>
            </w:r>
            <w:r>
              <w:rPr>
                <w:spacing w:val="-5"/>
                <w:sz w:val="24"/>
                <w:szCs w:val="24"/>
              </w:rPr>
              <w:t>日</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8"/>
                <w:sz w:val="24"/>
                <w:szCs w:val="24"/>
              </w:rPr>
              <w:t xml:space="preserve"> </w:t>
            </w:r>
            <w:r>
              <w:rPr>
                <w:spacing w:val="-5"/>
                <w:sz w:val="24"/>
                <w:szCs w:val="24"/>
              </w:rPr>
              <w:t>月</w:t>
            </w:r>
            <w:r>
              <w:rPr>
                <w:spacing w:val="-53"/>
                <w:sz w:val="24"/>
                <w:szCs w:val="24"/>
              </w:rPr>
              <w:t xml:space="preserve"> </w:t>
            </w:r>
            <w:r>
              <w:rPr>
                <w:rFonts w:ascii="Times New Roman" w:hAnsi="Times New Roman" w:eastAsia="Times New Roman" w:cs="Times New Roman"/>
                <w:spacing w:val="-5"/>
                <w:sz w:val="24"/>
                <w:szCs w:val="24"/>
              </w:rPr>
              <w:t xml:space="preserve">28  </w:t>
            </w:r>
            <w:r>
              <w:rPr>
                <w:spacing w:val="-5"/>
                <w:sz w:val="24"/>
                <w:szCs w:val="24"/>
              </w:rPr>
              <w:t>日对项目所在地的硫化氢的环境质</w:t>
            </w:r>
            <w:r>
              <w:rPr>
                <w:spacing w:val="-6"/>
                <w:sz w:val="24"/>
                <w:szCs w:val="24"/>
              </w:rPr>
              <w:t>量现状进行评价，</w:t>
            </w:r>
          </w:p>
          <w:p>
            <w:pPr>
              <w:pStyle w:val="6"/>
              <w:spacing w:line="218" w:lineRule="auto"/>
              <w:ind w:left="571"/>
              <w:rPr>
                <w:sz w:val="24"/>
                <w:szCs w:val="24"/>
              </w:rPr>
            </w:pPr>
            <w:r>
              <w:rPr>
                <w:spacing w:val="-1"/>
                <w:sz w:val="24"/>
                <w:szCs w:val="24"/>
              </w:rPr>
              <w:t>详见监测报告“</w:t>
            </w:r>
            <w:r>
              <w:rPr>
                <w:rFonts w:ascii="Times New Roman" w:hAnsi="Times New Roman" w:eastAsia="Times New Roman" w:cs="Times New Roman"/>
                <w:spacing w:val="-1"/>
                <w:sz w:val="24"/>
                <w:szCs w:val="24"/>
              </w:rPr>
              <w:t>HH23092604</w:t>
            </w:r>
            <w:r>
              <w:rPr>
                <w:rFonts w:ascii="Times New Roman" w:hAnsi="Times New Roman" w:eastAsia="Times New Roman" w:cs="Times New Roman"/>
                <w:spacing w:val="-20"/>
                <w:sz w:val="24"/>
                <w:szCs w:val="24"/>
              </w:rPr>
              <w:t xml:space="preserve"> </w:t>
            </w:r>
            <w:r>
              <w:rPr>
                <w:spacing w:val="-1"/>
                <w:sz w:val="24"/>
                <w:szCs w:val="24"/>
              </w:rPr>
              <w:t>”。</w:t>
            </w:r>
          </w:p>
          <w:p>
            <w:pPr>
              <w:pStyle w:val="6"/>
              <w:spacing w:before="196" w:line="219" w:lineRule="auto"/>
              <w:ind w:left="1049"/>
              <w:rPr>
                <w:sz w:val="24"/>
                <w:szCs w:val="24"/>
              </w:rPr>
            </w:pPr>
            <w:r>
              <w:rPr>
                <w:spacing w:val="-2"/>
                <w:sz w:val="24"/>
                <w:szCs w:val="24"/>
              </w:rPr>
              <w:t>监测基本情况</w:t>
            </w:r>
          </w:p>
          <w:p>
            <w:pPr>
              <w:pStyle w:val="6"/>
              <w:spacing w:before="195" w:line="480" w:lineRule="exact"/>
              <w:ind w:left="1049"/>
              <w:rPr>
                <w:sz w:val="24"/>
                <w:szCs w:val="24"/>
              </w:rPr>
            </w:pPr>
            <w:r>
              <w:rPr>
                <w:spacing w:val="-11"/>
                <w:position w:val="18"/>
                <w:sz w:val="24"/>
                <w:szCs w:val="24"/>
              </w:rPr>
              <w:t>监测布点：</w:t>
            </w:r>
            <w:r>
              <w:rPr>
                <w:spacing w:val="37"/>
                <w:position w:val="18"/>
                <w:sz w:val="24"/>
                <w:szCs w:val="24"/>
              </w:rPr>
              <w:t xml:space="preserve"> </w:t>
            </w:r>
            <w:r>
              <w:rPr>
                <w:spacing w:val="-11"/>
                <w:position w:val="18"/>
                <w:sz w:val="24"/>
                <w:szCs w:val="24"/>
              </w:rPr>
              <w:t>凤探</w:t>
            </w:r>
            <w:r>
              <w:rPr>
                <w:spacing w:val="-31"/>
                <w:position w:val="18"/>
                <w:sz w:val="24"/>
                <w:szCs w:val="24"/>
              </w:rPr>
              <w:t xml:space="preserve"> </w:t>
            </w:r>
            <w:r>
              <w:rPr>
                <w:rFonts w:ascii="Times New Roman" w:hAnsi="Times New Roman" w:eastAsia="Times New Roman" w:cs="Times New Roman"/>
                <w:spacing w:val="-11"/>
                <w:position w:val="18"/>
                <w:sz w:val="24"/>
                <w:szCs w:val="24"/>
              </w:rPr>
              <w:t xml:space="preserve">1 </w:t>
            </w:r>
            <w:r>
              <w:rPr>
                <w:spacing w:val="-11"/>
                <w:position w:val="18"/>
                <w:sz w:val="24"/>
                <w:szCs w:val="24"/>
              </w:rPr>
              <w:t>井井场内（</w:t>
            </w:r>
            <w:r>
              <w:rPr>
                <w:rFonts w:ascii="Times New Roman" w:hAnsi="Times New Roman" w:eastAsia="Times New Roman" w:cs="Times New Roman"/>
                <w:spacing w:val="-11"/>
                <w:position w:val="18"/>
                <w:sz w:val="24"/>
                <w:szCs w:val="24"/>
              </w:rPr>
              <w:t>HG1</w:t>
            </w:r>
            <w:r>
              <w:rPr>
                <w:spacing w:val="-11"/>
                <w:position w:val="18"/>
                <w:sz w:val="24"/>
                <w:szCs w:val="24"/>
              </w:rPr>
              <w:t>）</w:t>
            </w:r>
          </w:p>
          <w:p>
            <w:pPr>
              <w:pStyle w:val="6"/>
              <w:spacing w:before="1" w:line="220" w:lineRule="auto"/>
              <w:ind w:left="1049"/>
              <w:rPr>
                <w:rFonts w:ascii="Times New Roman" w:hAnsi="Times New Roman" w:eastAsia="Times New Roman" w:cs="Times New Roman"/>
                <w:sz w:val="24"/>
                <w:szCs w:val="24"/>
              </w:rPr>
            </w:pPr>
            <w:r>
              <w:rPr>
                <w:spacing w:val="-26"/>
                <w:sz w:val="24"/>
                <w:szCs w:val="24"/>
              </w:rPr>
              <w:t>监测因子：</w:t>
            </w:r>
            <w:r>
              <w:rPr>
                <w:spacing w:val="22"/>
                <w:sz w:val="24"/>
                <w:szCs w:val="24"/>
              </w:rPr>
              <w:t xml:space="preserve"> </w:t>
            </w:r>
            <w:r>
              <w:rPr>
                <w:rFonts w:ascii="Times New Roman" w:hAnsi="Times New Roman" w:eastAsia="Times New Roman" w:cs="Times New Roman"/>
                <w:spacing w:val="-26"/>
                <w:sz w:val="24"/>
                <w:szCs w:val="24"/>
              </w:rPr>
              <w:t>H</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24"/>
                <w:position w:val="-1"/>
                <w:sz w:val="16"/>
                <w:szCs w:val="16"/>
              </w:rPr>
              <w:t xml:space="preserve"> </w:t>
            </w:r>
            <w:r>
              <w:rPr>
                <w:rFonts w:ascii="Times New Roman" w:hAnsi="Times New Roman" w:eastAsia="Times New Roman" w:cs="Times New Roman"/>
                <w:spacing w:val="1"/>
                <w:sz w:val="24"/>
                <w:szCs w:val="24"/>
              </w:rPr>
              <w:t>S</w:t>
            </w:r>
          </w:p>
          <w:p>
            <w:pPr>
              <w:pStyle w:val="6"/>
              <w:spacing w:before="193" w:line="480" w:lineRule="exact"/>
              <w:ind w:left="1049"/>
              <w:rPr>
                <w:sz w:val="24"/>
                <w:szCs w:val="24"/>
              </w:rPr>
            </w:pPr>
            <w:r>
              <w:rPr>
                <w:spacing w:val="-5"/>
                <w:position w:val="18"/>
                <w:sz w:val="24"/>
                <w:szCs w:val="24"/>
              </w:rPr>
              <w:t>监测时间与频率：监测时间为</w:t>
            </w:r>
            <w:r>
              <w:rPr>
                <w:spacing w:val="-52"/>
                <w:position w:val="18"/>
                <w:sz w:val="24"/>
                <w:szCs w:val="24"/>
              </w:rPr>
              <w:t xml:space="preserve"> </w:t>
            </w:r>
            <w:r>
              <w:rPr>
                <w:rFonts w:ascii="Times New Roman" w:hAnsi="Times New Roman" w:eastAsia="Times New Roman" w:cs="Times New Roman"/>
                <w:spacing w:val="-5"/>
                <w:position w:val="18"/>
                <w:sz w:val="24"/>
                <w:szCs w:val="24"/>
              </w:rPr>
              <w:t xml:space="preserve">2023 </w:t>
            </w:r>
            <w:r>
              <w:rPr>
                <w:spacing w:val="-5"/>
                <w:position w:val="18"/>
                <w:sz w:val="24"/>
                <w:szCs w:val="24"/>
              </w:rPr>
              <w:t>年</w:t>
            </w:r>
            <w:r>
              <w:rPr>
                <w:spacing w:val="-48"/>
                <w:position w:val="18"/>
                <w:sz w:val="24"/>
                <w:szCs w:val="24"/>
              </w:rPr>
              <w:t xml:space="preserve"> </w:t>
            </w:r>
            <w:r>
              <w:rPr>
                <w:rFonts w:ascii="Times New Roman" w:hAnsi="Times New Roman" w:eastAsia="Times New Roman" w:cs="Times New Roman"/>
                <w:spacing w:val="-5"/>
                <w:position w:val="18"/>
                <w:sz w:val="24"/>
                <w:szCs w:val="24"/>
              </w:rPr>
              <w:t>9</w:t>
            </w:r>
            <w:r>
              <w:rPr>
                <w:rFonts w:ascii="Times New Roman" w:hAnsi="Times New Roman" w:eastAsia="Times New Roman" w:cs="Times New Roman"/>
                <w:spacing w:val="17"/>
                <w:w w:val="101"/>
                <w:position w:val="18"/>
                <w:sz w:val="24"/>
                <w:szCs w:val="24"/>
              </w:rPr>
              <w:t xml:space="preserve"> </w:t>
            </w:r>
            <w:r>
              <w:rPr>
                <w:spacing w:val="-5"/>
                <w:position w:val="18"/>
                <w:sz w:val="24"/>
                <w:szCs w:val="24"/>
              </w:rPr>
              <w:t>月</w:t>
            </w:r>
            <w:r>
              <w:rPr>
                <w:spacing w:val="-53"/>
                <w:position w:val="18"/>
                <w:sz w:val="24"/>
                <w:szCs w:val="24"/>
              </w:rPr>
              <w:t xml:space="preserve"> </w:t>
            </w:r>
            <w:r>
              <w:rPr>
                <w:rFonts w:ascii="Times New Roman" w:hAnsi="Times New Roman" w:eastAsia="Times New Roman" w:cs="Times New Roman"/>
                <w:spacing w:val="-5"/>
                <w:position w:val="18"/>
                <w:sz w:val="24"/>
                <w:szCs w:val="24"/>
              </w:rPr>
              <w:t xml:space="preserve">26  </w:t>
            </w:r>
            <w:r>
              <w:rPr>
                <w:spacing w:val="-5"/>
                <w:position w:val="18"/>
                <w:sz w:val="24"/>
                <w:szCs w:val="24"/>
              </w:rPr>
              <w:t>日</w:t>
            </w:r>
            <w:r>
              <w:rPr>
                <w:rFonts w:ascii="Times New Roman" w:hAnsi="Times New Roman" w:eastAsia="Times New Roman" w:cs="Times New Roman"/>
                <w:spacing w:val="-5"/>
                <w:position w:val="18"/>
                <w:sz w:val="24"/>
                <w:szCs w:val="24"/>
              </w:rPr>
              <w:t>~</w:t>
            </w:r>
            <w:r>
              <w:rPr>
                <w:rFonts w:ascii="Times New Roman" w:hAnsi="Times New Roman" w:eastAsia="Times New Roman" w:cs="Times New Roman"/>
                <w:spacing w:val="-6"/>
                <w:position w:val="18"/>
                <w:sz w:val="24"/>
                <w:szCs w:val="24"/>
              </w:rPr>
              <w:t>9</w:t>
            </w:r>
            <w:r>
              <w:rPr>
                <w:rFonts w:ascii="Times New Roman" w:hAnsi="Times New Roman" w:eastAsia="Times New Roman" w:cs="Times New Roman"/>
                <w:spacing w:val="18"/>
                <w:position w:val="18"/>
                <w:sz w:val="24"/>
                <w:szCs w:val="24"/>
              </w:rPr>
              <w:t xml:space="preserve"> </w:t>
            </w:r>
            <w:r>
              <w:rPr>
                <w:spacing w:val="-6"/>
                <w:position w:val="18"/>
                <w:sz w:val="24"/>
                <w:szCs w:val="24"/>
              </w:rPr>
              <w:t>月</w:t>
            </w:r>
            <w:r>
              <w:rPr>
                <w:spacing w:val="-53"/>
                <w:position w:val="18"/>
                <w:sz w:val="24"/>
                <w:szCs w:val="24"/>
              </w:rPr>
              <w:t xml:space="preserve"> </w:t>
            </w:r>
            <w:r>
              <w:rPr>
                <w:rFonts w:ascii="Times New Roman" w:hAnsi="Times New Roman" w:eastAsia="Times New Roman" w:cs="Times New Roman"/>
                <w:spacing w:val="-6"/>
                <w:position w:val="18"/>
                <w:sz w:val="24"/>
                <w:szCs w:val="24"/>
              </w:rPr>
              <w:t xml:space="preserve">28  </w:t>
            </w:r>
            <w:r>
              <w:rPr>
                <w:spacing w:val="-6"/>
                <w:position w:val="18"/>
                <w:sz w:val="24"/>
                <w:szCs w:val="24"/>
              </w:rPr>
              <w:t>日，连续监测</w:t>
            </w:r>
            <w:r>
              <w:rPr>
                <w:spacing w:val="-47"/>
                <w:position w:val="18"/>
                <w:sz w:val="24"/>
                <w:szCs w:val="24"/>
              </w:rPr>
              <w:t xml:space="preserve"> </w:t>
            </w:r>
            <w:r>
              <w:rPr>
                <w:rFonts w:ascii="Times New Roman" w:hAnsi="Times New Roman" w:eastAsia="Times New Roman" w:cs="Times New Roman"/>
                <w:spacing w:val="-6"/>
                <w:position w:val="18"/>
                <w:sz w:val="24"/>
                <w:szCs w:val="24"/>
              </w:rPr>
              <w:t>3</w:t>
            </w:r>
            <w:r>
              <w:rPr>
                <w:rFonts w:ascii="Times New Roman" w:hAnsi="Times New Roman" w:eastAsia="Times New Roman" w:cs="Times New Roman"/>
                <w:spacing w:val="16"/>
                <w:w w:val="101"/>
                <w:position w:val="18"/>
                <w:sz w:val="24"/>
                <w:szCs w:val="24"/>
              </w:rPr>
              <w:t xml:space="preserve"> </w:t>
            </w:r>
            <w:r>
              <w:rPr>
                <w:spacing w:val="-6"/>
                <w:position w:val="18"/>
                <w:sz w:val="24"/>
                <w:szCs w:val="24"/>
              </w:rPr>
              <w:t>天，</w:t>
            </w:r>
          </w:p>
          <w:p>
            <w:pPr>
              <w:pStyle w:val="6"/>
              <w:spacing w:before="1" w:line="219" w:lineRule="auto"/>
              <w:ind w:left="568"/>
              <w:rPr>
                <w:sz w:val="24"/>
                <w:szCs w:val="24"/>
              </w:rPr>
            </w:pPr>
            <w:r>
              <w:rPr>
                <w:spacing w:val="-5"/>
                <w:sz w:val="24"/>
                <w:szCs w:val="24"/>
              </w:rPr>
              <w:t>每天监测</w:t>
            </w:r>
            <w:r>
              <w:rPr>
                <w:spacing w:val="-50"/>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6"/>
                <w:sz w:val="24"/>
                <w:szCs w:val="24"/>
              </w:rPr>
              <w:t xml:space="preserve"> </w:t>
            </w:r>
            <w:r>
              <w:rPr>
                <w:spacing w:val="-5"/>
                <w:sz w:val="24"/>
                <w:szCs w:val="24"/>
              </w:rPr>
              <w:t>次，监测小时值。</w:t>
            </w:r>
          </w:p>
          <w:p>
            <w:pPr>
              <w:pStyle w:val="6"/>
              <w:spacing w:before="195" w:line="480" w:lineRule="exact"/>
              <w:ind w:left="1047"/>
              <w:rPr>
                <w:sz w:val="24"/>
                <w:szCs w:val="24"/>
              </w:rPr>
            </w:pPr>
            <w:r>
              <w:rPr>
                <w:spacing w:val="19"/>
                <w:position w:val="18"/>
                <w:sz w:val="24"/>
                <w:szCs w:val="24"/>
              </w:rPr>
              <w:t>评价标准与方法：</w:t>
            </w:r>
            <w:r>
              <w:rPr>
                <w:spacing w:val="-60"/>
                <w:position w:val="18"/>
                <w:sz w:val="24"/>
                <w:szCs w:val="24"/>
              </w:rPr>
              <w:t xml:space="preserve"> </w:t>
            </w:r>
            <w:r>
              <w:rPr>
                <w:rFonts w:ascii="Times New Roman" w:hAnsi="Times New Roman" w:eastAsia="Times New Roman" w:cs="Times New Roman"/>
                <w:spacing w:val="19"/>
                <w:position w:val="18"/>
                <w:sz w:val="24"/>
                <w:szCs w:val="24"/>
              </w:rPr>
              <w:t>H</w:t>
            </w:r>
            <w:r>
              <w:rPr>
                <w:rFonts w:ascii="Times New Roman" w:hAnsi="Times New Roman" w:eastAsia="Times New Roman" w:cs="Times New Roman"/>
                <w:spacing w:val="19"/>
                <w:position w:val="17"/>
                <w:sz w:val="16"/>
                <w:szCs w:val="16"/>
              </w:rPr>
              <w:t>2</w:t>
            </w:r>
            <w:r>
              <w:rPr>
                <w:rFonts w:ascii="Times New Roman" w:hAnsi="Times New Roman" w:eastAsia="Times New Roman" w:cs="Times New Roman"/>
                <w:spacing w:val="-24"/>
                <w:position w:val="17"/>
                <w:sz w:val="16"/>
                <w:szCs w:val="16"/>
              </w:rPr>
              <w:t xml:space="preserve"> </w:t>
            </w:r>
            <w:r>
              <w:rPr>
                <w:rFonts w:ascii="Times New Roman" w:hAnsi="Times New Roman" w:eastAsia="Times New Roman" w:cs="Times New Roman"/>
                <w:spacing w:val="19"/>
                <w:position w:val="18"/>
                <w:sz w:val="24"/>
                <w:szCs w:val="24"/>
              </w:rPr>
              <w:t xml:space="preserve">S  </w:t>
            </w:r>
            <w:r>
              <w:rPr>
                <w:spacing w:val="19"/>
                <w:position w:val="18"/>
                <w:sz w:val="24"/>
                <w:szCs w:val="24"/>
              </w:rPr>
              <w:t>参照执行《环境影响评价</w:t>
            </w:r>
            <w:r>
              <w:rPr>
                <w:spacing w:val="18"/>
                <w:position w:val="18"/>
                <w:sz w:val="24"/>
                <w:szCs w:val="24"/>
              </w:rPr>
              <w:t>技术导则</w:t>
            </w:r>
            <w:r>
              <w:rPr>
                <w:spacing w:val="71"/>
                <w:position w:val="18"/>
                <w:sz w:val="24"/>
                <w:szCs w:val="24"/>
              </w:rPr>
              <w:t xml:space="preserve"> </w:t>
            </w:r>
            <w:r>
              <w:rPr>
                <w:spacing w:val="18"/>
                <w:position w:val="18"/>
                <w:sz w:val="24"/>
                <w:szCs w:val="24"/>
              </w:rPr>
              <w:t>大气环境》</w:t>
            </w:r>
          </w:p>
          <w:p>
            <w:pPr>
              <w:pStyle w:val="6"/>
              <w:spacing w:before="1" w:line="218" w:lineRule="auto"/>
              <w:ind w:left="574"/>
              <w:rPr>
                <w:sz w:val="24"/>
                <w:szCs w:val="24"/>
              </w:rPr>
            </w:pPr>
            <w:r>
              <w:rPr>
                <w:spacing w:val="-3"/>
                <w:sz w:val="24"/>
                <w:szCs w:val="24"/>
              </w:rPr>
              <w:t>（</w:t>
            </w:r>
            <w:r>
              <w:rPr>
                <w:rFonts w:ascii="Times New Roman" w:hAnsi="Times New Roman" w:eastAsia="Times New Roman" w:cs="Times New Roman"/>
                <w:spacing w:val="-3"/>
                <w:sz w:val="24"/>
                <w:szCs w:val="24"/>
              </w:rPr>
              <w:t>HJ2.2-2018</w:t>
            </w:r>
            <w:r>
              <w:rPr>
                <w:spacing w:val="-3"/>
                <w:sz w:val="24"/>
                <w:szCs w:val="24"/>
              </w:rPr>
              <w:t>）附录</w:t>
            </w:r>
            <w:r>
              <w:rPr>
                <w:spacing w:val="-49"/>
                <w:sz w:val="24"/>
                <w:szCs w:val="24"/>
              </w:rPr>
              <w:t xml:space="preserve"> </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4"/>
                <w:sz w:val="24"/>
                <w:szCs w:val="24"/>
              </w:rPr>
              <w:t xml:space="preserve"> </w:t>
            </w:r>
            <w:r>
              <w:rPr>
                <w:spacing w:val="-3"/>
                <w:sz w:val="24"/>
                <w:szCs w:val="24"/>
              </w:rPr>
              <w:t>中参考限值（</w:t>
            </w:r>
            <w:r>
              <w:rPr>
                <w:rFonts w:ascii="Times New Roman" w:hAnsi="Times New Roman" w:eastAsia="Times New Roman" w:cs="Times New Roman"/>
                <w:spacing w:val="-3"/>
                <w:sz w:val="24"/>
                <w:szCs w:val="24"/>
              </w:rPr>
              <w:t xml:space="preserve">1h </w:t>
            </w:r>
            <w:r>
              <w:rPr>
                <w:spacing w:val="-3"/>
                <w:sz w:val="24"/>
                <w:szCs w:val="24"/>
              </w:rPr>
              <w:t>平均值）。</w:t>
            </w:r>
          </w:p>
          <w:p>
            <w:pPr>
              <w:pStyle w:val="6"/>
              <w:spacing w:before="196" w:line="218" w:lineRule="auto"/>
              <w:ind w:left="1049"/>
              <w:rPr>
                <w:sz w:val="24"/>
                <w:szCs w:val="24"/>
              </w:rPr>
            </w:pPr>
            <w:r>
              <w:rPr>
                <w:spacing w:val="-2"/>
                <w:sz w:val="24"/>
                <w:szCs w:val="24"/>
              </w:rPr>
              <w:t>本评价采用导则推荐的最大浓度占标率进行评价。</w:t>
            </w:r>
            <w:r>
              <w:rPr>
                <w:spacing w:val="-3"/>
                <w:sz w:val="24"/>
                <w:szCs w:val="24"/>
              </w:rPr>
              <w:t>评价公式如下：</w:t>
            </w:r>
          </w:p>
          <w:p>
            <w:pPr>
              <w:spacing w:before="236" w:line="198" w:lineRule="auto"/>
              <w:ind w:left="429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1"/>
                <w:sz w:val="16"/>
                <w:szCs w:val="16"/>
              </w:rPr>
              <w:t>ij</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position w:val="-1"/>
                <w:sz w:val="16"/>
                <w:szCs w:val="16"/>
              </w:rPr>
              <w:t>ij</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position w:val="-1"/>
                <w:sz w:val="16"/>
                <w:szCs w:val="16"/>
              </w:rPr>
              <w:t>sj</w:t>
            </w:r>
            <w:r>
              <w:rPr>
                <w:rFonts w:ascii="Times New Roman" w:hAnsi="Times New Roman" w:eastAsia="Times New Roman" w:cs="Times New Roman"/>
                <w:spacing w:val="-9"/>
                <w:position w:val="-1"/>
                <w:sz w:val="16"/>
                <w:szCs w:val="16"/>
              </w:rPr>
              <w:t xml:space="preserve"> </w:t>
            </w:r>
            <w:r>
              <w:rPr>
                <w:rFonts w:ascii="Times New Roman" w:hAnsi="Times New Roman" w:eastAsia="Times New Roman" w:cs="Times New Roman"/>
                <w:spacing w:val="-1"/>
                <w:sz w:val="24"/>
                <w:szCs w:val="24"/>
              </w:rPr>
              <w:t>×100%</w:t>
            </w:r>
          </w:p>
          <w:p>
            <w:pPr>
              <w:pStyle w:val="6"/>
              <w:spacing w:before="213" w:line="480" w:lineRule="exact"/>
              <w:ind w:left="1053"/>
              <w:rPr>
                <w:rFonts w:ascii="Times New Roman" w:hAnsi="Times New Roman" w:eastAsia="Times New Roman" w:cs="Times New Roman"/>
                <w:sz w:val="24"/>
                <w:szCs w:val="24"/>
              </w:rPr>
            </w:pPr>
            <w:r>
              <w:rPr>
                <w:spacing w:val="-24"/>
                <w:position w:val="18"/>
                <w:sz w:val="24"/>
                <w:szCs w:val="24"/>
              </w:rPr>
              <w:t>式中：</w:t>
            </w:r>
            <w:r>
              <w:rPr>
                <w:rFonts w:ascii="Times New Roman" w:hAnsi="Times New Roman" w:eastAsia="Times New Roman" w:cs="Times New Roman"/>
                <w:spacing w:val="-24"/>
                <w:position w:val="18"/>
                <w:sz w:val="24"/>
                <w:szCs w:val="24"/>
              </w:rPr>
              <w:t>P</w:t>
            </w:r>
            <w:r>
              <w:rPr>
                <w:rFonts w:ascii="Times New Roman" w:hAnsi="Times New Roman" w:eastAsia="Times New Roman" w:cs="Times New Roman"/>
                <w:spacing w:val="-2"/>
                <w:position w:val="17"/>
                <w:sz w:val="16"/>
                <w:szCs w:val="16"/>
              </w:rPr>
              <w:t>ij</w:t>
            </w:r>
            <w:r>
              <w:rPr>
                <w:rFonts w:ascii="Times New Roman" w:hAnsi="Times New Roman" w:eastAsia="Times New Roman" w:cs="Times New Roman"/>
                <w:spacing w:val="-2"/>
                <w:position w:val="18"/>
                <w:sz w:val="24"/>
                <w:szCs w:val="24"/>
              </w:rPr>
              <w:t>——</w:t>
            </w:r>
            <w:r>
              <w:rPr>
                <w:spacing w:val="-2"/>
                <w:position w:val="18"/>
                <w:sz w:val="24"/>
                <w:szCs w:val="24"/>
              </w:rPr>
              <w:t>第</w:t>
            </w:r>
            <w:r>
              <w:rPr>
                <w:spacing w:val="-47"/>
                <w:position w:val="18"/>
                <w:sz w:val="24"/>
                <w:szCs w:val="24"/>
              </w:rPr>
              <w:t xml:space="preserve"> </w:t>
            </w:r>
            <w:r>
              <w:rPr>
                <w:rFonts w:ascii="Times New Roman" w:hAnsi="Times New Roman" w:eastAsia="Times New Roman" w:cs="Times New Roman"/>
                <w:spacing w:val="-2"/>
                <w:position w:val="18"/>
                <w:sz w:val="24"/>
                <w:szCs w:val="24"/>
              </w:rPr>
              <w:t xml:space="preserve">i </w:t>
            </w:r>
            <w:r>
              <w:rPr>
                <w:spacing w:val="-2"/>
                <w:position w:val="18"/>
                <w:sz w:val="24"/>
                <w:szCs w:val="24"/>
              </w:rPr>
              <w:t>现状监测点第污染因子</w:t>
            </w:r>
            <w:r>
              <w:rPr>
                <w:rFonts w:ascii="Times New Roman" w:hAnsi="Times New Roman" w:eastAsia="Times New Roman" w:cs="Times New Roman"/>
                <w:spacing w:val="-2"/>
                <w:position w:val="18"/>
                <w:sz w:val="24"/>
                <w:szCs w:val="24"/>
              </w:rPr>
              <w:t>j</w:t>
            </w:r>
            <w:r>
              <w:rPr>
                <w:rFonts w:ascii="Times New Roman" w:hAnsi="Times New Roman" w:eastAsia="Times New Roman" w:cs="Times New Roman"/>
                <w:spacing w:val="30"/>
                <w:w w:val="101"/>
                <w:position w:val="18"/>
                <w:sz w:val="24"/>
                <w:szCs w:val="24"/>
              </w:rPr>
              <w:t xml:space="preserve"> </w:t>
            </w:r>
            <w:r>
              <w:rPr>
                <w:spacing w:val="-2"/>
                <w:position w:val="18"/>
                <w:sz w:val="24"/>
                <w:szCs w:val="24"/>
              </w:rPr>
              <w:t>的最大浓度占标率，其值在</w:t>
            </w:r>
            <w:r>
              <w:rPr>
                <w:spacing w:val="-51"/>
                <w:position w:val="18"/>
                <w:sz w:val="24"/>
                <w:szCs w:val="24"/>
              </w:rPr>
              <w:t xml:space="preserve"> </w:t>
            </w:r>
            <w:r>
              <w:rPr>
                <w:rFonts w:ascii="Times New Roman" w:hAnsi="Times New Roman" w:eastAsia="Times New Roman" w:cs="Times New Roman"/>
                <w:spacing w:val="-2"/>
                <w:position w:val="18"/>
                <w:sz w:val="24"/>
                <w:szCs w:val="24"/>
              </w:rPr>
              <w:t>0</w:t>
            </w:r>
            <w:r>
              <w:rPr>
                <w:spacing w:val="-2"/>
                <w:position w:val="18"/>
                <w:sz w:val="24"/>
                <w:szCs w:val="24"/>
              </w:rPr>
              <w:t>～</w:t>
            </w:r>
            <w:r>
              <w:rPr>
                <w:rFonts w:ascii="Times New Roman" w:hAnsi="Times New Roman" w:eastAsia="Times New Roman" w:cs="Times New Roman"/>
                <w:spacing w:val="-2"/>
                <w:position w:val="18"/>
                <w:sz w:val="24"/>
                <w:szCs w:val="24"/>
              </w:rPr>
              <w:t>100%</w:t>
            </w:r>
          </w:p>
          <w:p>
            <w:pPr>
              <w:pStyle w:val="6"/>
              <w:spacing w:line="219" w:lineRule="auto"/>
              <w:ind w:left="570"/>
              <w:rPr>
                <w:sz w:val="24"/>
                <w:szCs w:val="24"/>
              </w:rPr>
            </w:pPr>
            <w:r>
              <w:rPr>
                <w:spacing w:val="-5"/>
                <w:sz w:val="24"/>
                <w:szCs w:val="24"/>
              </w:rPr>
              <w:t>之间为满足标准，大于</w:t>
            </w:r>
            <w:r>
              <w:rPr>
                <w:spacing w:val="-23"/>
                <w:sz w:val="24"/>
                <w:szCs w:val="24"/>
              </w:rPr>
              <w:t xml:space="preserve"> </w:t>
            </w:r>
            <w:r>
              <w:rPr>
                <w:rFonts w:ascii="Times New Roman" w:hAnsi="Times New Roman" w:eastAsia="Times New Roman" w:cs="Times New Roman"/>
                <w:spacing w:val="-5"/>
                <w:sz w:val="24"/>
                <w:szCs w:val="24"/>
              </w:rPr>
              <w:t>100%</w:t>
            </w:r>
            <w:r>
              <w:rPr>
                <w:spacing w:val="-5"/>
                <w:sz w:val="24"/>
                <w:szCs w:val="24"/>
              </w:rPr>
              <w:t>则为超标；</w:t>
            </w:r>
          </w:p>
          <w:p>
            <w:pPr>
              <w:pStyle w:val="6"/>
              <w:spacing w:before="195" w:line="480" w:lineRule="exact"/>
              <w:ind w:left="1767"/>
              <w:rPr>
                <w:sz w:val="24"/>
                <w:szCs w:val="24"/>
              </w:rPr>
            </w:pPr>
            <w:r>
              <w:rPr>
                <w:rFonts w:ascii="Times New Roman" w:hAnsi="Times New Roman" w:eastAsia="Times New Roman" w:cs="Times New Roman"/>
                <w:position w:val="18"/>
                <w:sz w:val="24"/>
                <w:szCs w:val="24"/>
              </w:rPr>
              <w:t>C</w:t>
            </w:r>
            <w:r>
              <w:rPr>
                <w:rFonts w:ascii="Times New Roman" w:hAnsi="Times New Roman" w:eastAsia="Times New Roman" w:cs="Times New Roman"/>
                <w:position w:val="17"/>
                <w:sz w:val="16"/>
                <w:szCs w:val="16"/>
              </w:rPr>
              <w:t>ij</w:t>
            </w:r>
            <w:r>
              <w:rPr>
                <w:rFonts w:ascii="Times New Roman" w:hAnsi="Times New Roman" w:eastAsia="Times New Roman" w:cs="Times New Roman"/>
                <w:position w:val="18"/>
                <w:sz w:val="24"/>
                <w:szCs w:val="24"/>
              </w:rPr>
              <w:t>——</w:t>
            </w:r>
            <w:r>
              <w:rPr>
                <w:position w:val="18"/>
                <w:sz w:val="24"/>
                <w:szCs w:val="24"/>
              </w:rPr>
              <w:t>第</w:t>
            </w:r>
            <w:r>
              <w:rPr>
                <w:spacing w:val="-53"/>
                <w:position w:val="18"/>
                <w:sz w:val="24"/>
                <w:szCs w:val="24"/>
              </w:rPr>
              <w:t xml:space="preserve"> </w:t>
            </w:r>
            <w:r>
              <w:rPr>
                <w:rFonts w:ascii="Times New Roman" w:hAnsi="Times New Roman" w:eastAsia="Times New Roman" w:cs="Times New Roman"/>
                <w:position w:val="18"/>
                <w:sz w:val="24"/>
                <w:szCs w:val="24"/>
              </w:rPr>
              <w:t xml:space="preserve">i </w:t>
            </w:r>
            <w:r>
              <w:rPr>
                <w:position w:val="18"/>
                <w:sz w:val="24"/>
                <w:szCs w:val="24"/>
              </w:rPr>
              <w:t>现状监测点第污染因子</w:t>
            </w:r>
            <w:r>
              <w:rPr>
                <w:rFonts w:ascii="Times New Roman" w:hAnsi="Times New Roman" w:eastAsia="Times New Roman" w:cs="Times New Roman"/>
                <w:position w:val="18"/>
                <w:sz w:val="24"/>
                <w:szCs w:val="24"/>
              </w:rPr>
              <w:t>j</w:t>
            </w:r>
            <w:r>
              <w:rPr>
                <w:rFonts w:ascii="Times New Roman" w:hAnsi="Times New Roman" w:eastAsia="Times New Roman" w:cs="Times New Roman"/>
                <w:spacing w:val="30"/>
                <w:position w:val="18"/>
                <w:sz w:val="24"/>
                <w:szCs w:val="24"/>
              </w:rPr>
              <w:t xml:space="preserve"> </w:t>
            </w:r>
            <w:r>
              <w:rPr>
                <w:position w:val="18"/>
                <w:sz w:val="24"/>
                <w:szCs w:val="24"/>
              </w:rPr>
              <w:t>的实测浓度（</w:t>
            </w:r>
            <w:r>
              <w:rPr>
                <w:rFonts w:ascii="Times New Roman" w:hAnsi="Times New Roman" w:eastAsia="Times New Roman" w:cs="Times New Roman"/>
                <w:position w:val="18"/>
                <w:sz w:val="24"/>
                <w:szCs w:val="24"/>
              </w:rPr>
              <w:t>mg/m</w:t>
            </w:r>
            <w:r>
              <w:rPr>
                <w:rFonts w:ascii="Times New Roman" w:hAnsi="Times New Roman" w:eastAsia="Times New Roman" w:cs="Times New Roman"/>
                <w:position w:val="27"/>
                <w:sz w:val="16"/>
                <w:szCs w:val="16"/>
              </w:rPr>
              <w:t>3</w:t>
            </w:r>
            <w:r>
              <w:rPr>
                <w:spacing w:val="4"/>
                <w:position w:val="18"/>
                <w:sz w:val="24"/>
                <w:szCs w:val="24"/>
              </w:rPr>
              <w:t>）；</w:t>
            </w:r>
          </w:p>
          <w:p>
            <w:pPr>
              <w:pStyle w:val="6"/>
              <w:spacing w:before="1" w:line="213" w:lineRule="auto"/>
              <w:ind w:left="1767"/>
              <w:rPr>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1"/>
                <w:position w:val="-1"/>
                <w:sz w:val="16"/>
                <w:szCs w:val="16"/>
              </w:rPr>
              <w:t>sj</w:t>
            </w:r>
            <w:r>
              <w:rPr>
                <w:rFonts w:ascii="Times New Roman" w:hAnsi="Times New Roman" w:eastAsia="Times New Roman" w:cs="Times New Roman"/>
                <w:spacing w:val="-1"/>
                <w:sz w:val="24"/>
                <w:szCs w:val="24"/>
              </w:rPr>
              <w:t>——</w:t>
            </w:r>
            <w:r>
              <w:rPr>
                <w:spacing w:val="-1"/>
                <w:sz w:val="24"/>
                <w:szCs w:val="24"/>
              </w:rPr>
              <w:t>污染因子</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39"/>
                <w:sz w:val="24"/>
                <w:szCs w:val="24"/>
              </w:rPr>
              <w:t xml:space="preserve"> </w:t>
            </w:r>
            <w:r>
              <w:rPr>
                <w:spacing w:val="-1"/>
                <w:sz w:val="24"/>
                <w:szCs w:val="24"/>
              </w:rPr>
              <w:t>的环境质量标准（</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9"/>
                <w:sz w:val="16"/>
                <w:szCs w:val="16"/>
              </w:rPr>
              <w:t xml:space="preserve">3 </w:t>
            </w:r>
            <w:r>
              <w:rPr>
                <w:spacing w:val="-1"/>
                <w:sz w:val="24"/>
                <w:szCs w:val="24"/>
              </w:rPr>
              <w:t>）。</w:t>
            </w:r>
          </w:p>
          <w:p>
            <w:pPr>
              <w:pStyle w:val="6"/>
              <w:spacing w:before="202" w:line="218" w:lineRule="auto"/>
              <w:ind w:left="1049"/>
              <w:rPr>
                <w:sz w:val="24"/>
                <w:szCs w:val="24"/>
              </w:rPr>
            </w:pPr>
            <w:r>
              <w:rPr>
                <w:spacing w:val="-2"/>
                <w:sz w:val="24"/>
                <w:szCs w:val="24"/>
              </w:rPr>
              <w:t>监测及评价结果</w:t>
            </w:r>
          </w:p>
          <w:p>
            <w:pPr>
              <w:pStyle w:val="6"/>
              <w:spacing w:before="197" w:line="218" w:lineRule="auto"/>
              <w:ind w:left="1049"/>
              <w:rPr>
                <w:sz w:val="24"/>
                <w:szCs w:val="24"/>
              </w:rPr>
            </w:pPr>
            <w:r>
              <w:rPr>
                <w:spacing w:val="-1"/>
                <w:sz w:val="24"/>
                <w:szCs w:val="24"/>
              </w:rPr>
              <w:t>监测点环境空气现状监测值和评价结果见表</w:t>
            </w:r>
            <w:r>
              <w:rPr>
                <w:spacing w:val="-47"/>
                <w:sz w:val="24"/>
                <w:szCs w:val="24"/>
              </w:rPr>
              <w:t xml:space="preserve"> </w:t>
            </w:r>
            <w:r>
              <w:rPr>
                <w:rFonts w:ascii="Times New Roman" w:hAnsi="Times New Roman" w:eastAsia="Times New Roman" w:cs="Times New Roman"/>
                <w:spacing w:val="-1"/>
                <w:sz w:val="24"/>
                <w:szCs w:val="24"/>
              </w:rPr>
              <w:t>3.3-2</w:t>
            </w:r>
            <w:r>
              <w:rPr>
                <w:spacing w:val="-1"/>
                <w:sz w:val="24"/>
                <w:szCs w:val="24"/>
              </w:rPr>
              <w:t>。</w:t>
            </w:r>
          </w:p>
          <w:p>
            <w:pPr>
              <w:pStyle w:val="6"/>
              <w:spacing w:before="196" w:line="220" w:lineRule="auto"/>
              <w:ind w:left="2545"/>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3.3-2    </w:t>
            </w:r>
            <w:r>
              <w:rPr>
                <w:sz w:val="24"/>
                <w:szCs w:val="24"/>
                <w14:textOutline w14:w="4354" w14:cap="flat" w14:cmpd="sng">
                  <w14:solidFill>
                    <w14:srgbClr w14:val="000000"/>
                  </w14:solidFill>
                  <w14:prstDash w14:val="solid"/>
                  <w14:miter w14:val="10"/>
                </w14:textOutline>
              </w:rPr>
              <w:t>特征因子环境现状监测结果一</w:t>
            </w:r>
            <w:r>
              <w:rPr>
                <w:spacing w:val="-1"/>
                <w:sz w:val="24"/>
                <w:szCs w:val="24"/>
                <w14:textOutline w14:w="4354" w14:cap="flat" w14:cmpd="sng">
                  <w14:solidFill>
                    <w14:srgbClr w14:val="000000"/>
                  </w14:solidFill>
                  <w14:prstDash w14:val="solid"/>
                  <w14:miter w14:val="10"/>
                </w14:textOutline>
              </w:rPr>
              <w:t>览表</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1"/>
              <w:gridCol w:w="1300"/>
              <w:gridCol w:w="890"/>
              <w:gridCol w:w="1459"/>
              <w:gridCol w:w="890"/>
              <w:gridCol w:w="1500"/>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511" w:type="dxa"/>
                  <w:vAlign w:val="top"/>
                </w:tcPr>
                <w:p>
                  <w:pPr>
                    <w:pStyle w:val="6"/>
                    <w:spacing w:before="245" w:line="222" w:lineRule="auto"/>
                    <w:ind w:left="342"/>
                    <w:rPr>
                      <w:sz w:val="21"/>
                      <w:szCs w:val="21"/>
                    </w:rPr>
                  </w:pPr>
                  <w:r>
                    <w:rPr>
                      <w:spacing w:val="-2"/>
                      <w:sz w:val="21"/>
                      <w:szCs w:val="21"/>
                    </w:rPr>
                    <w:t>监测点位</w:t>
                  </w:r>
                </w:p>
              </w:tc>
              <w:tc>
                <w:tcPr>
                  <w:tcW w:w="1300" w:type="dxa"/>
                  <w:vAlign w:val="top"/>
                </w:tcPr>
                <w:p>
                  <w:pPr>
                    <w:pStyle w:val="6"/>
                    <w:spacing w:before="245" w:line="221" w:lineRule="auto"/>
                    <w:ind w:left="341"/>
                    <w:rPr>
                      <w:sz w:val="21"/>
                      <w:szCs w:val="21"/>
                    </w:rPr>
                  </w:pPr>
                  <w:r>
                    <w:rPr>
                      <w:spacing w:val="-2"/>
                      <w:sz w:val="21"/>
                      <w:szCs w:val="21"/>
                    </w:rPr>
                    <w:t>污染物</w:t>
                  </w:r>
                </w:p>
              </w:tc>
              <w:tc>
                <w:tcPr>
                  <w:tcW w:w="890" w:type="dxa"/>
                  <w:vAlign w:val="top"/>
                </w:tcPr>
                <w:p>
                  <w:pPr>
                    <w:pStyle w:val="6"/>
                    <w:spacing w:before="109" w:line="238" w:lineRule="auto"/>
                    <w:ind w:left="241"/>
                    <w:rPr>
                      <w:sz w:val="21"/>
                      <w:szCs w:val="21"/>
                    </w:rPr>
                  </w:pPr>
                  <w:r>
                    <w:rPr>
                      <w:spacing w:val="-2"/>
                      <w:sz w:val="21"/>
                      <w:szCs w:val="21"/>
                    </w:rPr>
                    <w:t>标准</w:t>
                  </w:r>
                </w:p>
                <w:p>
                  <w:pPr>
                    <w:pStyle w:val="6"/>
                    <w:spacing w:line="220" w:lineRule="auto"/>
                    <w:ind w:left="255"/>
                    <w:rPr>
                      <w:sz w:val="21"/>
                      <w:szCs w:val="21"/>
                    </w:rPr>
                  </w:pPr>
                  <w:r>
                    <w:rPr>
                      <w:spacing w:val="-6"/>
                      <w:sz w:val="21"/>
                      <w:szCs w:val="21"/>
                    </w:rPr>
                    <w:t>限值</w:t>
                  </w:r>
                </w:p>
              </w:tc>
              <w:tc>
                <w:tcPr>
                  <w:tcW w:w="1459" w:type="dxa"/>
                  <w:vAlign w:val="top"/>
                </w:tcPr>
                <w:p>
                  <w:pPr>
                    <w:pStyle w:val="6"/>
                    <w:spacing w:before="109" w:line="238" w:lineRule="auto"/>
                    <w:ind w:left="526"/>
                    <w:rPr>
                      <w:sz w:val="21"/>
                      <w:szCs w:val="21"/>
                    </w:rPr>
                  </w:pPr>
                  <w:r>
                    <w:rPr>
                      <w:spacing w:val="-2"/>
                      <w:sz w:val="21"/>
                      <w:szCs w:val="21"/>
                    </w:rPr>
                    <w:t>现状</w:t>
                  </w:r>
                </w:p>
                <w:p>
                  <w:pPr>
                    <w:pStyle w:val="6"/>
                    <w:spacing w:line="220" w:lineRule="auto"/>
                    <w:ind w:left="418"/>
                    <w:rPr>
                      <w:sz w:val="21"/>
                      <w:szCs w:val="21"/>
                    </w:rPr>
                  </w:pPr>
                  <w:r>
                    <w:rPr>
                      <w:spacing w:val="-2"/>
                      <w:sz w:val="21"/>
                      <w:szCs w:val="21"/>
                    </w:rPr>
                    <w:t>浓度值</w:t>
                  </w:r>
                </w:p>
              </w:tc>
              <w:tc>
                <w:tcPr>
                  <w:tcW w:w="890" w:type="dxa"/>
                  <w:vAlign w:val="top"/>
                </w:tcPr>
                <w:p>
                  <w:pPr>
                    <w:pStyle w:val="6"/>
                    <w:spacing w:before="109" w:line="238" w:lineRule="auto"/>
                    <w:ind w:left="240"/>
                    <w:rPr>
                      <w:sz w:val="21"/>
                      <w:szCs w:val="21"/>
                    </w:rPr>
                  </w:pPr>
                  <w:r>
                    <w:rPr>
                      <w:spacing w:val="-2"/>
                      <w:sz w:val="21"/>
                      <w:szCs w:val="21"/>
                    </w:rPr>
                    <w:t>超标</w:t>
                  </w:r>
                </w:p>
                <w:p>
                  <w:pPr>
                    <w:pStyle w:val="6"/>
                    <w:spacing w:line="234" w:lineRule="auto"/>
                    <w:ind w:left="260"/>
                    <w:rPr>
                      <w:rFonts w:ascii="Times New Roman" w:hAnsi="Times New Roman" w:eastAsia="Times New Roman" w:cs="Times New Roman"/>
                      <w:sz w:val="21"/>
                      <w:szCs w:val="21"/>
                    </w:rPr>
                  </w:pPr>
                  <w:r>
                    <w:rPr>
                      <w:spacing w:val="-4"/>
                      <w:sz w:val="21"/>
                      <w:szCs w:val="21"/>
                    </w:rPr>
                    <w:t>率</w:t>
                  </w:r>
                  <w:r>
                    <w:rPr>
                      <w:rFonts w:ascii="Times New Roman" w:hAnsi="Times New Roman" w:eastAsia="Times New Roman" w:cs="Times New Roman"/>
                      <w:spacing w:val="-4"/>
                      <w:sz w:val="21"/>
                      <w:szCs w:val="21"/>
                    </w:rPr>
                    <w:t>%</w:t>
                  </w:r>
                </w:p>
              </w:tc>
              <w:tc>
                <w:tcPr>
                  <w:tcW w:w="1500" w:type="dxa"/>
                  <w:vAlign w:val="top"/>
                </w:tcPr>
                <w:p>
                  <w:pPr>
                    <w:pStyle w:val="6"/>
                    <w:spacing w:before="109" w:line="236" w:lineRule="auto"/>
                    <w:ind w:left="564" w:right="113" w:hanging="435"/>
                    <w:rPr>
                      <w:rFonts w:ascii="Times New Roman" w:hAnsi="Times New Roman" w:eastAsia="Times New Roman" w:cs="Times New Roman"/>
                      <w:sz w:val="21"/>
                      <w:szCs w:val="21"/>
                    </w:rPr>
                  </w:pPr>
                  <w:r>
                    <w:rPr>
                      <w:spacing w:val="-2"/>
                      <w:sz w:val="21"/>
                      <w:szCs w:val="21"/>
                    </w:rPr>
                    <w:t>最大浓度占标</w:t>
                  </w:r>
                  <w:r>
                    <w:rPr>
                      <w:spacing w:val="2"/>
                      <w:sz w:val="21"/>
                      <w:szCs w:val="21"/>
                    </w:rPr>
                    <w:t xml:space="preserve"> </w:t>
                  </w:r>
                  <w:r>
                    <w:rPr>
                      <w:spacing w:val="-4"/>
                      <w:sz w:val="21"/>
                      <w:szCs w:val="21"/>
                    </w:rPr>
                    <w:t>率</w:t>
                  </w:r>
                  <w:r>
                    <w:rPr>
                      <w:rFonts w:ascii="Times New Roman" w:hAnsi="Times New Roman" w:eastAsia="Times New Roman" w:cs="Times New Roman"/>
                      <w:spacing w:val="-4"/>
                      <w:sz w:val="21"/>
                      <w:szCs w:val="21"/>
                    </w:rPr>
                    <w:t>%</w:t>
                  </w:r>
                </w:p>
              </w:tc>
              <w:tc>
                <w:tcPr>
                  <w:tcW w:w="1060" w:type="dxa"/>
                  <w:vAlign w:val="top"/>
                </w:tcPr>
                <w:p>
                  <w:pPr>
                    <w:pStyle w:val="6"/>
                    <w:spacing w:before="109" w:line="238" w:lineRule="auto"/>
                    <w:ind w:left="323"/>
                    <w:rPr>
                      <w:sz w:val="21"/>
                      <w:szCs w:val="21"/>
                    </w:rPr>
                  </w:pPr>
                  <w:r>
                    <w:rPr>
                      <w:spacing w:val="-2"/>
                      <w:sz w:val="21"/>
                      <w:szCs w:val="21"/>
                    </w:rPr>
                    <w:t>达标</w:t>
                  </w:r>
                </w:p>
                <w:p>
                  <w:pPr>
                    <w:pStyle w:val="6"/>
                    <w:spacing w:line="221" w:lineRule="auto"/>
                    <w:ind w:left="325"/>
                    <w:rPr>
                      <w:sz w:val="21"/>
                      <w:szCs w:val="21"/>
                    </w:rPr>
                  </w:pPr>
                  <w:r>
                    <w:rPr>
                      <w:spacing w:val="-2"/>
                      <w:sz w:val="21"/>
                      <w:szCs w:val="21"/>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11" w:type="dxa"/>
                  <w:vAlign w:val="top"/>
                </w:tcPr>
                <w:p>
                  <w:pPr>
                    <w:pStyle w:val="6"/>
                    <w:spacing w:before="33" w:line="221" w:lineRule="auto"/>
                    <w:ind w:left="266" w:right="121" w:hanging="135"/>
                    <w:rPr>
                      <w:sz w:val="21"/>
                      <w:szCs w:val="21"/>
                    </w:rPr>
                  </w:pPr>
                  <w:r>
                    <w:rPr>
                      <w:spacing w:val="-5"/>
                      <w:sz w:val="21"/>
                      <w:szCs w:val="21"/>
                    </w:rPr>
                    <w:t>凤探</w:t>
                  </w:r>
                  <w:r>
                    <w:rPr>
                      <w:spacing w:val="-26"/>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井井场</w:t>
                  </w:r>
                  <w:r>
                    <w:rPr>
                      <w:sz w:val="21"/>
                      <w:szCs w:val="21"/>
                    </w:rPr>
                    <w:t xml:space="preserve"> </w:t>
                  </w:r>
                  <w:r>
                    <w:rPr>
                      <w:spacing w:val="-6"/>
                      <w:sz w:val="21"/>
                      <w:szCs w:val="21"/>
                    </w:rPr>
                    <w:t>内（</w:t>
                  </w:r>
                  <w:r>
                    <w:rPr>
                      <w:rFonts w:ascii="Times New Roman" w:hAnsi="Times New Roman" w:eastAsia="Times New Roman" w:cs="Times New Roman"/>
                      <w:spacing w:val="-6"/>
                      <w:sz w:val="21"/>
                      <w:szCs w:val="21"/>
                    </w:rPr>
                    <w:t>HG1</w:t>
                  </w:r>
                  <w:r>
                    <w:rPr>
                      <w:spacing w:val="-6"/>
                      <w:sz w:val="21"/>
                      <w:szCs w:val="21"/>
                    </w:rPr>
                    <w:t>）</w:t>
                  </w:r>
                </w:p>
              </w:tc>
              <w:tc>
                <w:tcPr>
                  <w:tcW w:w="1300" w:type="dxa"/>
                  <w:vAlign w:val="top"/>
                </w:tcPr>
                <w:p>
                  <w:pPr>
                    <w:spacing w:before="209" w:line="196"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S</w:t>
                  </w:r>
                </w:p>
              </w:tc>
              <w:tc>
                <w:tcPr>
                  <w:tcW w:w="890" w:type="dxa"/>
                  <w:vAlign w:val="top"/>
                </w:tcPr>
                <w:p>
                  <w:pPr>
                    <w:spacing w:before="209"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p>
              </w:tc>
              <w:tc>
                <w:tcPr>
                  <w:tcW w:w="1459" w:type="dxa"/>
                  <w:vAlign w:val="top"/>
                </w:tcPr>
                <w:p>
                  <w:pPr>
                    <w:spacing w:before="209" w:line="187"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ND-0.006</w:t>
                  </w:r>
                </w:p>
              </w:tc>
              <w:tc>
                <w:tcPr>
                  <w:tcW w:w="890" w:type="dxa"/>
                  <w:vAlign w:val="top"/>
                </w:tcPr>
                <w:p>
                  <w:pPr>
                    <w:spacing w:before="206" w:line="233"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00" w:type="dxa"/>
                  <w:vAlign w:val="top"/>
                </w:tcPr>
                <w:p>
                  <w:pPr>
                    <w:spacing w:before="209"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060" w:type="dxa"/>
                  <w:vAlign w:val="top"/>
                </w:tcPr>
                <w:p>
                  <w:pPr>
                    <w:pStyle w:val="6"/>
                    <w:spacing w:before="171" w:line="221" w:lineRule="auto"/>
                    <w:ind w:left="323"/>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610" w:type="dxa"/>
                  <w:gridSpan w:val="7"/>
                  <w:vAlign w:val="top"/>
                </w:tcPr>
                <w:p>
                  <w:pPr>
                    <w:pStyle w:val="6"/>
                    <w:spacing w:before="73" w:line="221" w:lineRule="auto"/>
                    <w:ind w:left="116"/>
                    <w:rPr>
                      <w:sz w:val="21"/>
                      <w:szCs w:val="21"/>
                    </w:rPr>
                  </w:pPr>
                  <w:r>
                    <w:rPr>
                      <w:spacing w:val="-2"/>
                      <w:sz w:val="21"/>
                      <w:szCs w:val="21"/>
                    </w:rPr>
                    <w:t>注：“</w:t>
                  </w:r>
                  <w:r>
                    <w:rPr>
                      <w:rFonts w:ascii="Times New Roman" w:hAnsi="Times New Roman" w:eastAsia="Times New Roman" w:cs="Times New Roman"/>
                      <w:spacing w:val="-2"/>
                      <w:sz w:val="21"/>
                      <w:szCs w:val="21"/>
                    </w:rPr>
                    <w:t>ND</w:t>
                  </w:r>
                  <w:r>
                    <w:rPr>
                      <w:spacing w:val="-2"/>
                      <w:sz w:val="21"/>
                      <w:szCs w:val="21"/>
                    </w:rPr>
                    <w:t>”该参数未检出，且无检出限。</w:t>
                  </w:r>
                </w:p>
              </w:tc>
            </w:tr>
          </w:tbl>
          <w:p>
            <w:pPr>
              <w:spacing w:line="14" w:lineRule="auto"/>
              <w:rPr>
                <w:rFonts w:ascii="Arial"/>
                <w:sz w:val="2"/>
              </w:rPr>
            </w:pPr>
          </w:p>
        </w:tc>
      </w:tr>
    </w:tbl>
    <w:p>
      <w:pPr>
        <w:pStyle w:val="2"/>
        <w:rPr>
          <w:sz w:val="21"/>
        </w:rPr>
      </w:pPr>
    </w:p>
    <w:p>
      <w:pPr>
        <w:rPr>
          <w:sz w:val="21"/>
          <w:szCs w:val="21"/>
        </w:rPr>
        <w:sectPr>
          <w:footerReference r:id="rId66"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53"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480" w:lineRule="exact"/>
              <w:ind w:left="617"/>
              <w:rPr>
                <w:sz w:val="24"/>
                <w:szCs w:val="24"/>
              </w:rPr>
            </w:pPr>
            <w:r>
              <w:rPr>
                <w:spacing w:val="-8"/>
                <w:position w:val="18"/>
                <w:sz w:val="24"/>
                <w:szCs w:val="24"/>
              </w:rPr>
              <w:t>由上表可知，</w:t>
            </w:r>
            <w:r>
              <w:rPr>
                <w:spacing w:val="37"/>
                <w:position w:val="18"/>
                <w:sz w:val="24"/>
                <w:szCs w:val="24"/>
              </w:rPr>
              <w:t xml:space="preserve"> </w:t>
            </w:r>
            <w:r>
              <w:rPr>
                <w:spacing w:val="-8"/>
                <w:position w:val="18"/>
                <w:sz w:val="24"/>
                <w:szCs w:val="24"/>
              </w:rPr>
              <w:t>本项目所在地环境空气中</w:t>
            </w:r>
            <w:r>
              <w:rPr>
                <w:spacing w:val="-55"/>
                <w:position w:val="18"/>
                <w:sz w:val="24"/>
                <w:szCs w:val="24"/>
              </w:rPr>
              <w:t xml:space="preserve"> </w:t>
            </w:r>
            <w:r>
              <w:rPr>
                <w:rFonts w:ascii="Times New Roman" w:hAnsi="Times New Roman" w:eastAsia="Times New Roman" w:cs="Times New Roman"/>
                <w:spacing w:val="-8"/>
                <w:position w:val="18"/>
                <w:sz w:val="24"/>
                <w:szCs w:val="24"/>
              </w:rPr>
              <w:t>H</w:t>
            </w:r>
            <w:r>
              <w:rPr>
                <w:rFonts w:ascii="Times New Roman" w:hAnsi="Times New Roman" w:eastAsia="Times New Roman" w:cs="Times New Roman"/>
                <w:spacing w:val="-8"/>
                <w:position w:val="17"/>
                <w:sz w:val="16"/>
                <w:szCs w:val="16"/>
              </w:rPr>
              <w:t>2</w:t>
            </w:r>
            <w:r>
              <w:rPr>
                <w:rFonts w:ascii="Times New Roman" w:hAnsi="Times New Roman" w:eastAsia="Times New Roman" w:cs="Times New Roman"/>
                <w:spacing w:val="-23"/>
                <w:position w:val="17"/>
                <w:sz w:val="16"/>
                <w:szCs w:val="16"/>
              </w:rPr>
              <w:t xml:space="preserve"> </w:t>
            </w:r>
            <w:r>
              <w:rPr>
                <w:rFonts w:ascii="Times New Roman" w:hAnsi="Times New Roman" w:eastAsia="Times New Roman" w:cs="Times New Roman"/>
                <w:spacing w:val="-8"/>
                <w:position w:val="18"/>
                <w:sz w:val="24"/>
                <w:szCs w:val="24"/>
              </w:rPr>
              <w:t xml:space="preserve">S </w:t>
            </w:r>
            <w:r>
              <w:rPr>
                <w:spacing w:val="-8"/>
                <w:position w:val="18"/>
                <w:sz w:val="24"/>
                <w:szCs w:val="24"/>
              </w:rPr>
              <w:t>浓度满足《环境影响评价技术导则</w:t>
            </w:r>
          </w:p>
          <w:p>
            <w:pPr>
              <w:pStyle w:val="6"/>
              <w:spacing w:before="1" w:line="218" w:lineRule="auto"/>
              <w:ind w:left="111"/>
              <w:rPr>
                <w:sz w:val="24"/>
                <w:szCs w:val="24"/>
              </w:rPr>
            </w:pPr>
            <w:r>
              <w:rPr>
                <w:spacing w:val="-3"/>
                <w:sz w:val="24"/>
                <w:szCs w:val="24"/>
              </w:rPr>
              <w:t>大气环境》（</w:t>
            </w:r>
            <w:r>
              <w:rPr>
                <w:rFonts w:ascii="Times New Roman" w:hAnsi="Times New Roman" w:eastAsia="Times New Roman" w:cs="Times New Roman"/>
                <w:spacing w:val="-3"/>
                <w:sz w:val="24"/>
                <w:szCs w:val="24"/>
              </w:rPr>
              <w:t>HJ 2.2-2018</w:t>
            </w:r>
            <w:r>
              <w:rPr>
                <w:spacing w:val="-3"/>
                <w:sz w:val="24"/>
                <w:szCs w:val="24"/>
              </w:rPr>
              <w:t>）附录</w:t>
            </w:r>
            <w:r>
              <w:rPr>
                <w:spacing w:val="-45"/>
                <w:sz w:val="24"/>
                <w:szCs w:val="24"/>
              </w:rPr>
              <w:t xml:space="preserve"> </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2"/>
                <w:sz w:val="24"/>
                <w:szCs w:val="24"/>
              </w:rPr>
              <w:t xml:space="preserve"> </w:t>
            </w:r>
            <w:r>
              <w:rPr>
                <w:spacing w:val="-3"/>
                <w:sz w:val="24"/>
                <w:szCs w:val="24"/>
              </w:rPr>
              <w:t>中参考限</w:t>
            </w:r>
            <w:r>
              <w:rPr>
                <w:spacing w:val="-4"/>
                <w:sz w:val="24"/>
                <w:szCs w:val="24"/>
              </w:rPr>
              <w:t>值。</w:t>
            </w:r>
          </w:p>
          <w:p>
            <w:pPr>
              <w:pStyle w:val="6"/>
              <w:spacing w:before="228" w:line="220" w:lineRule="auto"/>
              <w:ind w:left="102"/>
              <w:rPr>
                <w:sz w:val="24"/>
                <w:szCs w:val="24"/>
              </w:rPr>
            </w:pPr>
            <w:r>
              <w:rPr>
                <w:rFonts w:ascii="Times New Roman" w:hAnsi="Times New Roman" w:eastAsia="Times New Roman" w:cs="Times New Roman"/>
                <w:b/>
                <w:bCs/>
                <w:sz w:val="24"/>
                <w:szCs w:val="24"/>
              </w:rPr>
              <w:t xml:space="preserve">3.3.2 </w:t>
            </w:r>
            <w:r>
              <w:rPr>
                <w:sz w:val="24"/>
                <w:szCs w:val="24"/>
                <w14:textOutline w14:w="4354" w14:cap="flat" w14:cmpd="sng">
                  <w14:solidFill>
                    <w14:srgbClr w14:val="000000"/>
                  </w14:solidFill>
                  <w14:prstDash w14:val="solid"/>
                  <w14:miter w14:val="10"/>
                </w14:textOutline>
              </w:rPr>
              <w:t>地表水环境质量现状</w:t>
            </w:r>
          </w:p>
          <w:p>
            <w:pPr>
              <w:pStyle w:val="6"/>
              <w:spacing w:before="203" w:line="369" w:lineRule="auto"/>
              <w:ind w:left="108" w:right="101" w:firstLine="479"/>
              <w:jc w:val="both"/>
              <w:rPr>
                <w:sz w:val="24"/>
                <w:szCs w:val="24"/>
              </w:rPr>
            </w:pPr>
            <w:r>
              <w:rPr>
                <w:spacing w:val="-11"/>
                <w:sz w:val="24"/>
                <w:szCs w:val="24"/>
              </w:rPr>
              <w:t>拟建项目位于达州市通川区江陵镇，</w:t>
            </w:r>
            <w:r>
              <w:rPr>
                <w:spacing w:val="48"/>
                <w:sz w:val="24"/>
                <w:szCs w:val="24"/>
              </w:rPr>
              <w:t xml:space="preserve"> </w:t>
            </w:r>
            <w:r>
              <w:rPr>
                <w:spacing w:val="-11"/>
                <w:sz w:val="24"/>
                <w:szCs w:val="24"/>
              </w:rPr>
              <w:t>所在区域地表径流受纳水体为巴河，</w:t>
            </w:r>
            <w:r>
              <w:rPr>
                <w:spacing w:val="50"/>
                <w:sz w:val="24"/>
                <w:szCs w:val="24"/>
              </w:rPr>
              <w:t xml:space="preserve"> </w:t>
            </w:r>
            <w:r>
              <w:rPr>
                <w:spacing w:val="-12"/>
                <w:sz w:val="24"/>
                <w:szCs w:val="24"/>
              </w:rPr>
              <w:t>执行</w:t>
            </w:r>
            <w:r>
              <w:rPr>
                <w:sz w:val="24"/>
                <w:szCs w:val="24"/>
              </w:rPr>
              <w:t xml:space="preserve"> </w:t>
            </w:r>
            <w:r>
              <w:rPr>
                <w:spacing w:val="-1"/>
                <w:sz w:val="24"/>
                <w:szCs w:val="24"/>
              </w:rPr>
              <w:t>《地表水环境质量标准》（</w:t>
            </w:r>
            <w:r>
              <w:rPr>
                <w:rFonts w:ascii="Times New Roman" w:hAnsi="Times New Roman" w:eastAsia="Times New Roman" w:cs="Times New Roman"/>
                <w:spacing w:val="-1"/>
                <w:sz w:val="24"/>
                <w:szCs w:val="24"/>
              </w:rPr>
              <w:t>GB3838-2002</w:t>
            </w:r>
            <w:r>
              <w:rPr>
                <w:spacing w:val="-1"/>
                <w:sz w:val="24"/>
                <w:szCs w:val="24"/>
              </w:rPr>
              <w:t>）</w:t>
            </w:r>
            <w:r>
              <w:rPr>
                <w:rFonts w:ascii="Times New Roman" w:hAnsi="Times New Roman" w:eastAsia="Times New Roman" w:cs="Times New Roman"/>
                <w:spacing w:val="-1"/>
                <w:sz w:val="24"/>
                <w:szCs w:val="24"/>
              </w:rPr>
              <w:t xml:space="preserve">III </w:t>
            </w:r>
            <w:r>
              <w:rPr>
                <w:spacing w:val="-1"/>
                <w:sz w:val="24"/>
                <w:szCs w:val="24"/>
              </w:rPr>
              <w:t>类水域水质标准，根据达州市生态环</w:t>
            </w:r>
            <w:r>
              <w:rPr>
                <w:spacing w:val="15"/>
                <w:sz w:val="24"/>
                <w:szCs w:val="24"/>
              </w:rPr>
              <w:t xml:space="preserve"> </w:t>
            </w:r>
            <w:r>
              <w:rPr>
                <w:spacing w:val="-2"/>
                <w:sz w:val="24"/>
                <w:szCs w:val="24"/>
              </w:rPr>
              <w:t>境局发布的《</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22"/>
                <w:w w:val="101"/>
                <w:sz w:val="24"/>
                <w:szCs w:val="24"/>
              </w:rPr>
              <w:t xml:space="preserve"> </w:t>
            </w:r>
            <w:r>
              <w:rPr>
                <w:spacing w:val="-2"/>
                <w:sz w:val="24"/>
                <w:szCs w:val="24"/>
              </w:rPr>
              <w:t xml:space="preserve">年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7"/>
                <w:sz w:val="24"/>
                <w:szCs w:val="24"/>
              </w:rPr>
              <w:t xml:space="preserve"> </w:t>
            </w:r>
            <w:r>
              <w:rPr>
                <w:spacing w:val="-2"/>
                <w:sz w:val="24"/>
                <w:szCs w:val="24"/>
              </w:rPr>
              <w:t>月达州市地表水水质月报》可知：达州</w:t>
            </w:r>
            <w:r>
              <w:rPr>
                <w:spacing w:val="-3"/>
                <w:sz w:val="24"/>
                <w:szCs w:val="24"/>
              </w:rPr>
              <w:t>境内巴河水环境质</w:t>
            </w:r>
            <w:r>
              <w:rPr>
                <w:sz w:val="24"/>
                <w:szCs w:val="24"/>
              </w:rPr>
              <w:t xml:space="preserve"> </w:t>
            </w:r>
            <w:r>
              <w:rPr>
                <w:spacing w:val="-1"/>
                <w:sz w:val="24"/>
                <w:szCs w:val="24"/>
              </w:rPr>
              <w:t>量可满足《地表水环境质量标准》（</w:t>
            </w:r>
            <w:r>
              <w:rPr>
                <w:rFonts w:ascii="Times New Roman" w:hAnsi="Times New Roman" w:eastAsia="Times New Roman" w:cs="Times New Roman"/>
                <w:spacing w:val="-1"/>
                <w:sz w:val="24"/>
                <w:szCs w:val="24"/>
              </w:rPr>
              <w:t>GB3838-2002</w:t>
            </w:r>
            <w:r>
              <w:rPr>
                <w:spacing w:val="-1"/>
                <w:sz w:val="24"/>
                <w:szCs w:val="24"/>
              </w:rPr>
              <w:t>）中的</w:t>
            </w:r>
            <w:r>
              <w:rPr>
                <w:spacing w:val="-27"/>
                <w:sz w:val="24"/>
                <w:szCs w:val="24"/>
              </w:rPr>
              <w:t xml:space="preserve"> </w:t>
            </w:r>
            <w:r>
              <w:rPr>
                <w:rFonts w:ascii="Times New Roman" w:hAnsi="Times New Roman" w:eastAsia="Times New Roman" w:cs="Times New Roman"/>
                <w:spacing w:val="-1"/>
                <w:sz w:val="24"/>
                <w:szCs w:val="24"/>
              </w:rPr>
              <w:t xml:space="preserve">II </w:t>
            </w:r>
            <w:r>
              <w:rPr>
                <w:spacing w:val="-1"/>
                <w:sz w:val="24"/>
                <w:szCs w:val="24"/>
              </w:rPr>
              <w:t>类水质标准要求。同时</w:t>
            </w:r>
          </w:p>
          <w:p>
            <w:pPr>
              <w:pStyle w:val="6"/>
              <w:spacing w:before="1" w:line="218" w:lineRule="auto"/>
              <w:ind w:left="109"/>
              <w:rPr>
                <w:sz w:val="24"/>
                <w:szCs w:val="24"/>
              </w:rPr>
            </w:pPr>
            <w:r>
              <w:rPr>
                <w:spacing w:val="-2"/>
                <w:sz w:val="24"/>
                <w:szCs w:val="24"/>
              </w:rPr>
              <w:t>本项目生活污水和生产废水均不排入巴河，不会影响区域地表水水质。</w:t>
            </w:r>
          </w:p>
          <w:p>
            <w:pPr>
              <w:pStyle w:val="6"/>
              <w:spacing w:before="196" w:line="218" w:lineRule="auto"/>
              <w:ind w:left="1513"/>
              <w:rPr>
                <w:sz w:val="24"/>
                <w:szCs w:val="24"/>
              </w:rPr>
            </w:pPr>
            <w:r>
              <w:rPr>
                <w:spacing w:val="-1"/>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pacing w:val="-1"/>
                <w:sz w:val="24"/>
                <w:szCs w:val="24"/>
              </w:rPr>
              <w:t xml:space="preserve">3.3-3    2023 </w:t>
            </w:r>
            <w:r>
              <w:rPr>
                <w:spacing w:val="-1"/>
                <w:sz w:val="24"/>
                <w:szCs w:val="24"/>
                <w14:textOutline w14:w="4354" w14:cap="flat" w14:cmpd="sng">
                  <w14:solidFill>
                    <w14:srgbClr w14:val="000000"/>
                  </w14:solidFill>
                  <w14:prstDash w14:val="solid"/>
                  <w14:miter w14:val="10"/>
                </w14:textOutline>
              </w:rPr>
              <w:t>年</w:t>
            </w:r>
            <w:r>
              <w:rPr>
                <w:spacing w:val="-41"/>
                <w:sz w:val="24"/>
                <w:szCs w:val="24"/>
              </w:rPr>
              <w:t xml:space="preserve"> </w:t>
            </w:r>
            <w:r>
              <w:rPr>
                <w:rFonts w:ascii="Times New Roman" w:hAnsi="Times New Roman" w:eastAsia="Times New Roman" w:cs="Times New Roman"/>
                <w:b/>
                <w:bCs/>
                <w:spacing w:val="-1"/>
                <w:sz w:val="24"/>
                <w:szCs w:val="24"/>
              </w:rPr>
              <w:t>10</w:t>
            </w:r>
            <w:r>
              <w:rPr>
                <w:rFonts w:ascii="Times New Roman" w:hAnsi="Times New Roman" w:eastAsia="Times New Roman" w:cs="Times New Roman"/>
                <w:b/>
                <w:bCs/>
                <w:spacing w:val="15"/>
                <w:sz w:val="24"/>
                <w:szCs w:val="24"/>
              </w:rPr>
              <w:t xml:space="preserve"> </w:t>
            </w:r>
            <w:r>
              <w:rPr>
                <w:spacing w:val="-1"/>
                <w:sz w:val="24"/>
                <w:szCs w:val="24"/>
                <w14:textOutline w14:w="4354" w14:cap="flat" w14:cmpd="sng">
                  <w14:solidFill>
                    <w14:srgbClr w14:val="000000"/>
                  </w14:solidFill>
                  <w14:prstDash w14:val="solid"/>
                  <w14:miter w14:val="10"/>
                </w14:textOutline>
              </w:rPr>
              <w:t>月达州市巴河水系水质评价结果表</w:t>
            </w:r>
          </w:p>
          <w:p>
            <w:pPr>
              <w:spacing w:line="18" w:lineRule="exact"/>
            </w:pPr>
          </w:p>
          <w:tbl>
            <w:tblPr>
              <w:tblStyle w:val="5"/>
              <w:tblW w:w="861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
              <w:gridCol w:w="1051"/>
              <w:gridCol w:w="852"/>
              <w:gridCol w:w="2267"/>
              <w:gridCol w:w="1094"/>
              <w:gridCol w:w="703"/>
              <w:gridCol w:w="700"/>
              <w:gridCol w:w="703"/>
              <w:gridCol w:w="7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533" w:type="dxa"/>
                  <w:gridSpan w:val="2"/>
                  <w:vAlign w:val="top"/>
                </w:tcPr>
                <w:p>
                  <w:pPr>
                    <w:pStyle w:val="6"/>
                    <w:spacing w:before="305" w:line="223" w:lineRule="auto"/>
                    <w:ind w:left="350"/>
                    <w:rPr>
                      <w:sz w:val="21"/>
                      <w:szCs w:val="21"/>
                    </w:rPr>
                  </w:pPr>
                  <w:r>
                    <w:rPr>
                      <w:spacing w:val="-1"/>
                      <w:sz w:val="21"/>
                      <w:szCs w:val="21"/>
                    </w:rPr>
                    <w:t>河流名称</w:t>
                  </w:r>
                </w:p>
              </w:tc>
              <w:tc>
                <w:tcPr>
                  <w:tcW w:w="852" w:type="dxa"/>
                  <w:vAlign w:val="top"/>
                </w:tcPr>
                <w:p>
                  <w:pPr>
                    <w:pStyle w:val="6"/>
                    <w:spacing w:before="170" w:line="231" w:lineRule="auto"/>
                    <w:ind w:left="321" w:right="107" w:hanging="199"/>
                    <w:rPr>
                      <w:sz w:val="21"/>
                      <w:szCs w:val="21"/>
                    </w:rPr>
                  </w:pPr>
                  <w:r>
                    <w:rPr>
                      <w:spacing w:val="-5"/>
                      <w:sz w:val="21"/>
                      <w:szCs w:val="21"/>
                    </w:rPr>
                    <w:t>断面名</w:t>
                  </w:r>
                  <w:r>
                    <w:rPr>
                      <w:spacing w:val="1"/>
                      <w:sz w:val="21"/>
                      <w:szCs w:val="21"/>
                    </w:rPr>
                    <w:t xml:space="preserve"> </w:t>
                  </w:r>
                  <w:r>
                    <w:rPr>
                      <w:sz w:val="21"/>
                      <w:szCs w:val="21"/>
                    </w:rPr>
                    <w:t>称</w:t>
                  </w:r>
                </w:p>
              </w:tc>
              <w:tc>
                <w:tcPr>
                  <w:tcW w:w="2267" w:type="dxa"/>
                  <w:vAlign w:val="top"/>
                </w:tcPr>
                <w:p>
                  <w:pPr>
                    <w:pStyle w:val="6"/>
                    <w:spacing w:before="305" w:line="221" w:lineRule="auto"/>
                    <w:ind w:left="725"/>
                    <w:rPr>
                      <w:sz w:val="21"/>
                      <w:szCs w:val="21"/>
                    </w:rPr>
                  </w:pPr>
                  <w:r>
                    <w:rPr>
                      <w:spacing w:val="-4"/>
                      <w:sz w:val="21"/>
                      <w:szCs w:val="21"/>
                    </w:rPr>
                    <w:t>断面属性</w:t>
                  </w:r>
                </w:p>
              </w:tc>
              <w:tc>
                <w:tcPr>
                  <w:tcW w:w="1094" w:type="dxa"/>
                  <w:vAlign w:val="top"/>
                </w:tcPr>
                <w:p>
                  <w:pPr>
                    <w:pStyle w:val="6"/>
                    <w:spacing w:before="305" w:line="221" w:lineRule="auto"/>
                    <w:ind w:left="138"/>
                    <w:rPr>
                      <w:sz w:val="21"/>
                      <w:szCs w:val="21"/>
                    </w:rPr>
                  </w:pPr>
                  <w:r>
                    <w:rPr>
                      <w:spacing w:val="-4"/>
                      <w:sz w:val="21"/>
                      <w:szCs w:val="21"/>
                    </w:rPr>
                    <w:t>断面性质</w:t>
                  </w:r>
                </w:p>
              </w:tc>
              <w:tc>
                <w:tcPr>
                  <w:tcW w:w="703" w:type="dxa"/>
                  <w:vAlign w:val="top"/>
                </w:tcPr>
                <w:p>
                  <w:pPr>
                    <w:pStyle w:val="6"/>
                    <w:spacing w:before="170" w:line="230" w:lineRule="auto"/>
                    <w:ind w:left="168" w:right="136" w:hanging="19"/>
                    <w:rPr>
                      <w:sz w:val="21"/>
                      <w:szCs w:val="21"/>
                    </w:rPr>
                  </w:pPr>
                  <w:r>
                    <w:rPr>
                      <w:spacing w:val="-4"/>
                      <w:sz w:val="21"/>
                      <w:szCs w:val="21"/>
                    </w:rPr>
                    <w:t>上年</w:t>
                  </w:r>
                  <w:r>
                    <w:rPr>
                      <w:sz w:val="21"/>
                      <w:szCs w:val="21"/>
                    </w:rPr>
                    <w:t xml:space="preserve"> </w:t>
                  </w:r>
                  <w:r>
                    <w:rPr>
                      <w:spacing w:val="-14"/>
                      <w:sz w:val="21"/>
                      <w:szCs w:val="21"/>
                    </w:rPr>
                    <w:t>同期</w:t>
                  </w:r>
                </w:p>
              </w:tc>
              <w:tc>
                <w:tcPr>
                  <w:tcW w:w="700" w:type="dxa"/>
                  <w:vAlign w:val="top"/>
                </w:tcPr>
                <w:p>
                  <w:pPr>
                    <w:pStyle w:val="6"/>
                    <w:spacing w:before="172" w:line="229" w:lineRule="auto"/>
                    <w:ind w:left="147" w:right="132" w:firstLine="1"/>
                    <w:rPr>
                      <w:sz w:val="21"/>
                      <w:szCs w:val="21"/>
                    </w:rPr>
                  </w:pPr>
                  <w:r>
                    <w:rPr>
                      <w:spacing w:val="-4"/>
                      <w:sz w:val="21"/>
                      <w:szCs w:val="21"/>
                    </w:rPr>
                    <w:t>上月</w:t>
                  </w:r>
                  <w:r>
                    <w:rPr>
                      <w:sz w:val="21"/>
                      <w:szCs w:val="21"/>
                    </w:rPr>
                    <w:t xml:space="preserve"> </w:t>
                  </w:r>
                  <w:r>
                    <w:rPr>
                      <w:spacing w:val="-3"/>
                      <w:sz w:val="21"/>
                      <w:szCs w:val="21"/>
                    </w:rPr>
                    <w:t>类别</w:t>
                  </w:r>
                </w:p>
              </w:tc>
              <w:tc>
                <w:tcPr>
                  <w:tcW w:w="703" w:type="dxa"/>
                  <w:vAlign w:val="top"/>
                </w:tcPr>
                <w:p>
                  <w:pPr>
                    <w:pStyle w:val="6"/>
                    <w:spacing w:before="172" w:line="229" w:lineRule="auto"/>
                    <w:ind w:left="151" w:right="132"/>
                    <w:rPr>
                      <w:sz w:val="21"/>
                      <w:szCs w:val="21"/>
                    </w:rPr>
                  </w:pPr>
                  <w:r>
                    <w:rPr>
                      <w:spacing w:val="-4"/>
                      <w:sz w:val="21"/>
                      <w:szCs w:val="21"/>
                    </w:rPr>
                    <w:t>本月</w:t>
                  </w:r>
                  <w:r>
                    <w:rPr>
                      <w:sz w:val="21"/>
                      <w:szCs w:val="21"/>
                    </w:rPr>
                    <w:t xml:space="preserve"> </w:t>
                  </w:r>
                  <w:r>
                    <w:rPr>
                      <w:spacing w:val="-3"/>
                      <w:sz w:val="21"/>
                      <w:szCs w:val="21"/>
                    </w:rPr>
                    <w:t>类别</w:t>
                  </w:r>
                </w:p>
              </w:tc>
              <w:tc>
                <w:tcPr>
                  <w:tcW w:w="758" w:type="dxa"/>
                  <w:vAlign w:val="top"/>
                </w:tcPr>
                <w:p>
                  <w:pPr>
                    <w:pStyle w:val="6"/>
                    <w:spacing w:before="34" w:line="238" w:lineRule="auto"/>
                    <w:ind w:left="177"/>
                    <w:rPr>
                      <w:sz w:val="21"/>
                      <w:szCs w:val="21"/>
                    </w:rPr>
                  </w:pPr>
                  <w:r>
                    <w:rPr>
                      <w:spacing w:val="-2"/>
                      <w:sz w:val="21"/>
                      <w:szCs w:val="21"/>
                    </w:rPr>
                    <w:t>主要</w:t>
                  </w:r>
                </w:p>
                <w:p>
                  <w:pPr>
                    <w:pStyle w:val="6"/>
                    <w:spacing w:line="221" w:lineRule="auto"/>
                    <w:ind w:left="177"/>
                    <w:rPr>
                      <w:sz w:val="21"/>
                      <w:szCs w:val="21"/>
                    </w:rPr>
                  </w:pPr>
                  <w:r>
                    <w:rPr>
                      <w:spacing w:val="-2"/>
                      <w:sz w:val="21"/>
                      <w:szCs w:val="21"/>
                    </w:rPr>
                    <w:t>污染</w:t>
                  </w:r>
                </w:p>
                <w:p>
                  <w:pPr>
                    <w:pStyle w:val="6"/>
                    <w:spacing w:before="22" w:line="206" w:lineRule="auto"/>
                    <w:ind w:left="178"/>
                    <w:rPr>
                      <w:sz w:val="21"/>
                      <w:szCs w:val="21"/>
                    </w:rPr>
                  </w:pPr>
                  <w:r>
                    <w:rPr>
                      <w:spacing w:val="-3"/>
                      <w:sz w:val="21"/>
                      <w:szCs w:val="21"/>
                    </w:rPr>
                    <w:t>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82" w:type="dxa"/>
                  <w:vMerge w:val="restart"/>
                  <w:tcBorders>
                    <w:bottom w:val="nil"/>
                  </w:tcBorders>
                  <w:textDirection w:val="tbRlV"/>
                  <w:vAlign w:val="top"/>
                </w:tcPr>
                <w:p>
                  <w:pPr>
                    <w:pStyle w:val="6"/>
                    <w:spacing w:before="133" w:line="210" w:lineRule="auto"/>
                    <w:ind w:left="755"/>
                    <w:rPr>
                      <w:sz w:val="21"/>
                      <w:szCs w:val="21"/>
                    </w:rPr>
                  </w:pPr>
                  <w:r>
                    <w:rPr>
                      <w:spacing w:val="46"/>
                      <w:sz w:val="21"/>
                      <w:szCs w:val="21"/>
                    </w:rPr>
                    <w:t>巴河水系</w:t>
                  </w:r>
                </w:p>
              </w:tc>
              <w:tc>
                <w:tcPr>
                  <w:tcW w:w="105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9" w:line="220" w:lineRule="auto"/>
                    <w:ind w:left="317"/>
                    <w:rPr>
                      <w:sz w:val="21"/>
                      <w:szCs w:val="21"/>
                    </w:rPr>
                  </w:pPr>
                  <w:r>
                    <w:rPr>
                      <w:spacing w:val="-2"/>
                      <w:sz w:val="21"/>
                      <w:szCs w:val="21"/>
                    </w:rPr>
                    <w:t>干流</w:t>
                  </w:r>
                </w:p>
              </w:tc>
              <w:tc>
                <w:tcPr>
                  <w:tcW w:w="852" w:type="dxa"/>
                  <w:vAlign w:val="top"/>
                </w:tcPr>
                <w:p>
                  <w:pPr>
                    <w:pStyle w:val="6"/>
                    <w:spacing w:before="72" w:line="221" w:lineRule="auto"/>
                    <w:ind w:left="220"/>
                    <w:rPr>
                      <w:sz w:val="21"/>
                      <w:szCs w:val="21"/>
                    </w:rPr>
                  </w:pPr>
                  <w:r>
                    <w:rPr>
                      <w:spacing w:val="-2"/>
                      <w:sz w:val="21"/>
                      <w:szCs w:val="21"/>
                    </w:rPr>
                    <w:t>江陵</w:t>
                  </w:r>
                </w:p>
              </w:tc>
              <w:tc>
                <w:tcPr>
                  <w:tcW w:w="2267" w:type="dxa"/>
                  <w:vAlign w:val="top"/>
                </w:tcPr>
                <w:p>
                  <w:pPr>
                    <w:pStyle w:val="6"/>
                    <w:spacing w:before="71" w:line="220" w:lineRule="auto"/>
                    <w:ind w:right="5"/>
                    <w:jc w:val="right"/>
                    <w:rPr>
                      <w:sz w:val="21"/>
                      <w:szCs w:val="21"/>
                    </w:rPr>
                  </w:pPr>
                  <w:r>
                    <w:rPr>
                      <w:spacing w:val="-3"/>
                      <w:sz w:val="21"/>
                      <w:szCs w:val="21"/>
                    </w:rPr>
                    <w:t>市界（巴中市</w:t>
                  </w:r>
                  <w:r>
                    <w:rPr>
                      <w:rFonts w:ascii="Times New Roman" w:hAnsi="Times New Roman" w:eastAsia="Times New Roman" w:cs="Times New Roman"/>
                      <w:spacing w:val="-3"/>
                      <w:sz w:val="21"/>
                      <w:szCs w:val="21"/>
                    </w:rPr>
                    <w:t>-</w:t>
                  </w:r>
                  <w:r>
                    <w:rPr>
                      <w:spacing w:val="-3"/>
                      <w:sz w:val="21"/>
                      <w:szCs w:val="21"/>
                    </w:rPr>
                    <w:t>达州市）</w:t>
                  </w:r>
                </w:p>
              </w:tc>
              <w:tc>
                <w:tcPr>
                  <w:tcW w:w="1094" w:type="dxa"/>
                  <w:vAlign w:val="top"/>
                </w:tcPr>
                <w:p>
                  <w:pPr>
                    <w:pStyle w:val="6"/>
                    <w:spacing w:before="71" w:line="221" w:lineRule="auto"/>
                    <w:ind w:left="362"/>
                    <w:rPr>
                      <w:sz w:val="21"/>
                      <w:szCs w:val="21"/>
                    </w:rPr>
                  </w:pPr>
                  <w:r>
                    <w:rPr>
                      <w:spacing w:val="-7"/>
                      <w:sz w:val="21"/>
                      <w:szCs w:val="21"/>
                    </w:rPr>
                    <w:t>国考</w:t>
                  </w:r>
                </w:p>
              </w:tc>
              <w:tc>
                <w:tcPr>
                  <w:tcW w:w="703" w:type="dxa"/>
                  <w:vAlign w:val="top"/>
                </w:tcPr>
                <w:p>
                  <w:pPr>
                    <w:spacing w:before="113"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0" w:type="dxa"/>
                  <w:vAlign w:val="top"/>
                </w:tcPr>
                <w:p>
                  <w:pPr>
                    <w:spacing w:before="113" w:line="184"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tc>
              <w:tc>
                <w:tcPr>
                  <w:tcW w:w="703" w:type="dxa"/>
                  <w:vAlign w:val="top"/>
                </w:tcPr>
                <w:p>
                  <w:pPr>
                    <w:spacing w:before="113" w:line="184"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58" w:type="dxa"/>
                  <w:vAlign w:val="top"/>
                </w:tcPr>
                <w:p>
                  <w:pPr>
                    <w:spacing w:before="106" w:line="233"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82" w:type="dxa"/>
                  <w:vMerge w:val="continue"/>
                  <w:tcBorders>
                    <w:top w:val="nil"/>
                    <w:bottom w:val="nil"/>
                  </w:tcBorders>
                  <w:textDirection w:val="tbRlV"/>
                  <w:vAlign w:val="top"/>
                </w:tcPr>
                <w:p>
                  <w:pPr>
                    <w:rPr>
                      <w:rFonts w:ascii="Arial"/>
                      <w:sz w:val="21"/>
                    </w:rPr>
                  </w:pPr>
                </w:p>
              </w:tc>
              <w:tc>
                <w:tcPr>
                  <w:tcW w:w="1051" w:type="dxa"/>
                  <w:vMerge w:val="continue"/>
                  <w:tcBorders>
                    <w:top w:val="nil"/>
                    <w:bottom w:val="nil"/>
                  </w:tcBorders>
                  <w:vAlign w:val="top"/>
                </w:tcPr>
                <w:p>
                  <w:pPr>
                    <w:rPr>
                      <w:rFonts w:ascii="Arial"/>
                      <w:sz w:val="21"/>
                    </w:rPr>
                  </w:pPr>
                </w:p>
              </w:tc>
              <w:tc>
                <w:tcPr>
                  <w:tcW w:w="852" w:type="dxa"/>
                  <w:vAlign w:val="top"/>
                </w:tcPr>
                <w:p>
                  <w:pPr>
                    <w:pStyle w:val="6"/>
                    <w:spacing w:before="70" w:line="221" w:lineRule="auto"/>
                    <w:ind w:left="116"/>
                    <w:rPr>
                      <w:sz w:val="21"/>
                      <w:szCs w:val="21"/>
                    </w:rPr>
                  </w:pPr>
                  <w:r>
                    <w:rPr>
                      <w:spacing w:val="-2"/>
                      <w:sz w:val="21"/>
                      <w:szCs w:val="21"/>
                    </w:rPr>
                    <w:t>大蹬沟</w:t>
                  </w:r>
                </w:p>
              </w:tc>
              <w:tc>
                <w:tcPr>
                  <w:tcW w:w="2267" w:type="dxa"/>
                  <w:vAlign w:val="top"/>
                </w:tcPr>
                <w:p>
                  <w:pPr>
                    <w:pStyle w:val="6"/>
                    <w:spacing w:before="69" w:line="221" w:lineRule="auto"/>
                    <w:ind w:left="718"/>
                    <w:rPr>
                      <w:sz w:val="21"/>
                      <w:szCs w:val="21"/>
                    </w:rPr>
                  </w:pPr>
                  <w:r>
                    <w:rPr>
                      <w:spacing w:val="-2"/>
                      <w:sz w:val="21"/>
                      <w:szCs w:val="21"/>
                    </w:rPr>
                    <w:t>渠县境内</w:t>
                  </w:r>
                </w:p>
              </w:tc>
              <w:tc>
                <w:tcPr>
                  <w:tcW w:w="1094" w:type="dxa"/>
                  <w:vAlign w:val="top"/>
                </w:tcPr>
                <w:p>
                  <w:pPr>
                    <w:pStyle w:val="6"/>
                    <w:spacing w:before="69" w:line="221" w:lineRule="auto"/>
                    <w:ind w:left="362"/>
                    <w:rPr>
                      <w:sz w:val="21"/>
                      <w:szCs w:val="21"/>
                    </w:rPr>
                  </w:pPr>
                  <w:r>
                    <w:rPr>
                      <w:spacing w:val="-7"/>
                      <w:sz w:val="21"/>
                      <w:szCs w:val="21"/>
                    </w:rPr>
                    <w:t>国考</w:t>
                  </w:r>
                </w:p>
              </w:tc>
              <w:tc>
                <w:tcPr>
                  <w:tcW w:w="703" w:type="dxa"/>
                  <w:vAlign w:val="top"/>
                </w:tcPr>
                <w:p>
                  <w:pPr>
                    <w:spacing w:before="112"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0" w:type="dxa"/>
                  <w:vAlign w:val="top"/>
                </w:tcPr>
                <w:p>
                  <w:pPr>
                    <w:spacing w:before="112"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3" w:type="dxa"/>
                  <w:vAlign w:val="top"/>
                </w:tcPr>
                <w:p>
                  <w:pPr>
                    <w:spacing w:before="112" w:line="184"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58" w:type="dxa"/>
                  <w:vAlign w:val="top"/>
                </w:tcPr>
                <w:p>
                  <w:pPr>
                    <w:spacing w:before="105" w:line="233"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82" w:type="dxa"/>
                  <w:vMerge w:val="continue"/>
                  <w:tcBorders>
                    <w:top w:val="nil"/>
                    <w:bottom w:val="nil"/>
                  </w:tcBorders>
                  <w:textDirection w:val="tbRlV"/>
                  <w:vAlign w:val="top"/>
                </w:tcPr>
                <w:p>
                  <w:pPr>
                    <w:rPr>
                      <w:rFonts w:ascii="Arial"/>
                      <w:sz w:val="21"/>
                    </w:rPr>
                  </w:pPr>
                </w:p>
              </w:tc>
              <w:tc>
                <w:tcPr>
                  <w:tcW w:w="1051" w:type="dxa"/>
                  <w:vMerge w:val="continue"/>
                  <w:tcBorders>
                    <w:top w:val="nil"/>
                    <w:bottom w:val="nil"/>
                  </w:tcBorders>
                  <w:vAlign w:val="top"/>
                </w:tcPr>
                <w:p>
                  <w:pPr>
                    <w:rPr>
                      <w:rFonts w:ascii="Arial"/>
                      <w:sz w:val="21"/>
                    </w:rPr>
                  </w:pPr>
                </w:p>
              </w:tc>
              <w:tc>
                <w:tcPr>
                  <w:tcW w:w="852" w:type="dxa"/>
                  <w:vAlign w:val="top"/>
                </w:tcPr>
                <w:p>
                  <w:pPr>
                    <w:pStyle w:val="6"/>
                    <w:spacing w:before="167" w:line="221" w:lineRule="auto"/>
                    <w:ind w:left="114"/>
                    <w:rPr>
                      <w:sz w:val="21"/>
                      <w:szCs w:val="21"/>
                    </w:rPr>
                  </w:pPr>
                  <w:r>
                    <w:rPr>
                      <w:spacing w:val="-2"/>
                      <w:sz w:val="21"/>
                      <w:szCs w:val="21"/>
                    </w:rPr>
                    <w:t>排马梯</w:t>
                  </w:r>
                </w:p>
              </w:tc>
              <w:tc>
                <w:tcPr>
                  <w:tcW w:w="2267" w:type="dxa"/>
                  <w:vAlign w:val="top"/>
                </w:tcPr>
                <w:p>
                  <w:pPr>
                    <w:pStyle w:val="6"/>
                    <w:spacing w:before="166" w:line="221" w:lineRule="auto"/>
                    <w:ind w:right="5"/>
                    <w:jc w:val="right"/>
                    <w:rPr>
                      <w:sz w:val="21"/>
                      <w:szCs w:val="21"/>
                    </w:rPr>
                  </w:pPr>
                  <w:r>
                    <w:rPr>
                      <w:spacing w:val="-3"/>
                      <w:sz w:val="21"/>
                      <w:szCs w:val="21"/>
                    </w:rPr>
                    <w:t>县界（通川区</w:t>
                  </w:r>
                  <w:r>
                    <w:rPr>
                      <w:rFonts w:ascii="Times New Roman" w:hAnsi="Times New Roman" w:eastAsia="Times New Roman" w:cs="Times New Roman"/>
                      <w:spacing w:val="-3"/>
                      <w:sz w:val="21"/>
                      <w:szCs w:val="21"/>
                    </w:rPr>
                    <w:t>-</w:t>
                  </w:r>
                  <w:r>
                    <w:rPr>
                      <w:spacing w:val="-3"/>
                      <w:sz w:val="21"/>
                      <w:szCs w:val="21"/>
                    </w:rPr>
                    <w:t>达川区）</w:t>
                  </w:r>
                </w:p>
              </w:tc>
              <w:tc>
                <w:tcPr>
                  <w:tcW w:w="1094" w:type="dxa"/>
                  <w:vAlign w:val="top"/>
                </w:tcPr>
                <w:p>
                  <w:pPr>
                    <w:pStyle w:val="6"/>
                    <w:spacing w:before="33" w:line="222" w:lineRule="auto"/>
                    <w:ind w:left="340" w:right="124" w:hanging="207"/>
                    <w:rPr>
                      <w:sz w:val="21"/>
                      <w:szCs w:val="21"/>
                    </w:rPr>
                  </w:pPr>
                  <w:r>
                    <w:rPr>
                      <w:spacing w:val="-3"/>
                      <w:sz w:val="21"/>
                      <w:szCs w:val="21"/>
                    </w:rPr>
                    <w:t>省控考核</w:t>
                  </w:r>
                  <w:r>
                    <w:rPr>
                      <w:spacing w:val="1"/>
                      <w:sz w:val="21"/>
                      <w:szCs w:val="21"/>
                    </w:rPr>
                    <w:t xml:space="preserve"> </w:t>
                  </w:r>
                  <w:r>
                    <w:rPr>
                      <w:spacing w:val="-2"/>
                      <w:sz w:val="21"/>
                      <w:szCs w:val="21"/>
                    </w:rPr>
                    <w:t>评价</w:t>
                  </w:r>
                </w:p>
              </w:tc>
              <w:tc>
                <w:tcPr>
                  <w:tcW w:w="703" w:type="dxa"/>
                  <w:vAlign w:val="top"/>
                </w:tcPr>
                <w:p>
                  <w:pPr>
                    <w:spacing w:before="211"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0" w:type="dxa"/>
                  <w:vAlign w:val="top"/>
                </w:tcPr>
                <w:p>
                  <w:pPr>
                    <w:spacing w:before="211"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3" w:type="dxa"/>
                  <w:vAlign w:val="top"/>
                </w:tcPr>
                <w:p>
                  <w:pPr>
                    <w:spacing w:before="211" w:line="184"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58" w:type="dxa"/>
                  <w:vAlign w:val="top"/>
                </w:tcPr>
                <w:p>
                  <w:pPr>
                    <w:spacing w:before="204" w:line="233"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82" w:type="dxa"/>
                  <w:vMerge w:val="continue"/>
                  <w:tcBorders>
                    <w:top w:val="nil"/>
                    <w:bottom w:val="nil"/>
                  </w:tcBorders>
                  <w:textDirection w:val="tbRlV"/>
                  <w:vAlign w:val="top"/>
                </w:tcPr>
                <w:p>
                  <w:pPr>
                    <w:rPr>
                      <w:rFonts w:ascii="Arial"/>
                      <w:sz w:val="21"/>
                    </w:rPr>
                  </w:pPr>
                </w:p>
              </w:tc>
              <w:tc>
                <w:tcPr>
                  <w:tcW w:w="1051" w:type="dxa"/>
                  <w:vMerge w:val="continue"/>
                  <w:tcBorders>
                    <w:top w:val="nil"/>
                  </w:tcBorders>
                  <w:vAlign w:val="top"/>
                </w:tcPr>
                <w:p>
                  <w:pPr>
                    <w:rPr>
                      <w:rFonts w:ascii="Arial"/>
                      <w:sz w:val="21"/>
                    </w:rPr>
                  </w:pPr>
                </w:p>
              </w:tc>
              <w:tc>
                <w:tcPr>
                  <w:tcW w:w="852" w:type="dxa"/>
                  <w:vAlign w:val="top"/>
                </w:tcPr>
                <w:p>
                  <w:pPr>
                    <w:pStyle w:val="6"/>
                    <w:spacing w:before="170" w:line="221" w:lineRule="auto"/>
                    <w:ind w:left="114"/>
                    <w:rPr>
                      <w:sz w:val="21"/>
                      <w:szCs w:val="21"/>
                    </w:rPr>
                  </w:pPr>
                  <w:r>
                    <w:rPr>
                      <w:spacing w:val="-2"/>
                      <w:sz w:val="21"/>
                      <w:szCs w:val="21"/>
                    </w:rPr>
                    <w:t>清河坝</w:t>
                  </w:r>
                </w:p>
              </w:tc>
              <w:tc>
                <w:tcPr>
                  <w:tcW w:w="2267" w:type="dxa"/>
                  <w:vAlign w:val="top"/>
                </w:tcPr>
                <w:p>
                  <w:pPr>
                    <w:pStyle w:val="6"/>
                    <w:spacing w:before="169" w:line="221" w:lineRule="auto"/>
                    <w:ind w:left="158"/>
                    <w:rPr>
                      <w:sz w:val="21"/>
                      <w:szCs w:val="21"/>
                    </w:rPr>
                  </w:pPr>
                  <w:r>
                    <w:rPr>
                      <w:spacing w:val="-1"/>
                      <w:sz w:val="21"/>
                      <w:szCs w:val="21"/>
                    </w:rPr>
                    <w:t>县界（达川区</w:t>
                  </w:r>
                  <w:r>
                    <w:rPr>
                      <w:rFonts w:ascii="Times New Roman" w:hAnsi="Times New Roman" w:eastAsia="Times New Roman" w:cs="Times New Roman"/>
                      <w:spacing w:val="-1"/>
                      <w:sz w:val="21"/>
                      <w:szCs w:val="21"/>
                    </w:rPr>
                    <w:t>-</w:t>
                  </w:r>
                  <w:r>
                    <w:rPr>
                      <w:spacing w:val="-1"/>
                      <w:sz w:val="21"/>
                      <w:szCs w:val="21"/>
                    </w:rPr>
                    <w:t>渠县）</w:t>
                  </w:r>
                </w:p>
              </w:tc>
              <w:tc>
                <w:tcPr>
                  <w:tcW w:w="1094" w:type="dxa"/>
                  <w:vAlign w:val="top"/>
                </w:tcPr>
                <w:p>
                  <w:pPr>
                    <w:pStyle w:val="6"/>
                    <w:spacing w:before="33" w:line="222" w:lineRule="auto"/>
                    <w:ind w:left="340" w:right="124" w:hanging="207"/>
                    <w:rPr>
                      <w:sz w:val="21"/>
                      <w:szCs w:val="21"/>
                    </w:rPr>
                  </w:pPr>
                  <w:r>
                    <w:rPr>
                      <w:spacing w:val="-3"/>
                      <w:sz w:val="21"/>
                      <w:szCs w:val="21"/>
                    </w:rPr>
                    <w:t>省控考核</w:t>
                  </w:r>
                  <w:r>
                    <w:rPr>
                      <w:spacing w:val="1"/>
                      <w:sz w:val="21"/>
                      <w:szCs w:val="21"/>
                    </w:rPr>
                    <w:t xml:space="preserve"> </w:t>
                  </w:r>
                  <w:r>
                    <w:rPr>
                      <w:spacing w:val="-2"/>
                      <w:sz w:val="21"/>
                      <w:szCs w:val="21"/>
                    </w:rPr>
                    <w:t>评价</w:t>
                  </w:r>
                </w:p>
              </w:tc>
              <w:tc>
                <w:tcPr>
                  <w:tcW w:w="703" w:type="dxa"/>
                  <w:vAlign w:val="top"/>
                </w:tcPr>
                <w:p>
                  <w:pPr>
                    <w:spacing w:before="211"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0" w:type="dxa"/>
                  <w:vAlign w:val="top"/>
                </w:tcPr>
                <w:p>
                  <w:pPr>
                    <w:spacing w:before="211"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3" w:type="dxa"/>
                  <w:vAlign w:val="top"/>
                </w:tcPr>
                <w:p>
                  <w:pPr>
                    <w:spacing w:before="211" w:line="184"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58" w:type="dxa"/>
                  <w:vAlign w:val="top"/>
                </w:tcPr>
                <w:p>
                  <w:pPr>
                    <w:spacing w:before="205" w:line="233"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82" w:type="dxa"/>
                  <w:vMerge w:val="continue"/>
                  <w:tcBorders>
                    <w:top w:val="nil"/>
                    <w:bottom w:val="nil"/>
                  </w:tcBorders>
                  <w:textDirection w:val="tbRlV"/>
                  <w:vAlign w:val="top"/>
                </w:tcPr>
                <w:p>
                  <w:pPr>
                    <w:rPr>
                      <w:rFonts w:ascii="Arial"/>
                      <w:sz w:val="21"/>
                    </w:rPr>
                  </w:pPr>
                </w:p>
              </w:tc>
              <w:tc>
                <w:tcPr>
                  <w:tcW w:w="1051" w:type="dxa"/>
                  <w:vAlign w:val="top"/>
                </w:tcPr>
                <w:p>
                  <w:pPr>
                    <w:pStyle w:val="6"/>
                    <w:spacing w:before="71" w:line="221" w:lineRule="auto"/>
                    <w:ind w:left="217"/>
                    <w:rPr>
                      <w:sz w:val="21"/>
                      <w:szCs w:val="21"/>
                    </w:rPr>
                  </w:pPr>
                  <w:r>
                    <w:rPr>
                      <w:spacing w:val="-3"/>
                      <w:sz w:val="21"/>
                      <w:szCs w:val="21"/>
                    </w:rPr>
                    <w:t>月滩河</w:t>
                  </w:r>
                </w:p>
              </w:tc>
              <w:tc>
                <w:tcPr>
                  <w:tcW w:w="852" w:type="dxa"/>
                  <w:vAlign w:val="top"/>
                </w:tcPr>
                <w:p>
                  <w:pPr>
                    <w:pStyle w:val="6"/>
                    <w:spacing w:before="71" w:line="221" w:lineRule="auto"/>
                    <w:ind w:left="115"/>
                    <w:rPr>
                      <w:sz w:val="21"/>
                      <w:szCs w:val="21"/>
                    </w:rPr>
                  </w:pPr>
                  <w:r>
                    <w:rPr>
                      <w:spacing w:val="-2"/>
                      <w:sz w:val="21"/>
                      <w:szCs w:val="21"/>
                    </w:rPr>
                    <w:t>苟家湾</w:t>
                  </w:r>
                </w:p>
              </w:tc>
              <w:tc>
                <w:tcPr>
                  <w:tcW w:w="2267" w:type="dxa"/>
                  <w:vAlign w:val="top"/>
                </w:tcPr>
                <w:p>
                  <w:pPr>
                    <w:pStyle w:val="6"/>
                    <w:spacing w:before="72" w:line="220" w:lineRule="auto"/>
                    <w:jc w:val="right"/>
                    <w:rPr>
                      <w:sz w:val="21"/>
                      <w:szCs w:val="21"/>
                    </w:rPr>
                  </w:pPr>
                  <w:r>
                    <w:rPr>
                      <w:spacing w:val="-6"/>
                      <w:sz w:val="21"/>
                      <w:szCs w:val="21"/>
                    </w:rPr>
                    <w:t>市界（达州市</w:t>
                  </w:r>
                  <w:r>
                    <w:rPr>
                      <w:rFonts w:ascii="Times New Roman" w:hAnsi="Times New Roman" w:eastAsia="Times New Roman" w:cs="Times New Roman"/>
                      <w:spacing w:val="-6"/>
                      <w:sz w:val="21"/>
                      <w:szCs w:val="21"/>
                    </w:rPr>
                    <w:t>-</w:t>
                  </w:r>
                  <w:r>
                    <w:rPr>
                      <w:rFonts w:ascii="Times New Roman" w:hAnsi="Times New Roman" w:eastAsia="Times New Roman" w:cs="Times New Roman"/>
                      <w:spacing w:val="-26"/>
                      <w:sz w:val="21"/>
                      <w:szCs w:val="21"/>
                    </w:rPr>
                    <w:t xml:space="preserve"> </w:t>
                  </w:r>
                  <w:r>
                    <w:rPr>
                      <w:spacing w:val="-6"/>
                      <w:sz w:val="21"/>
                      <w:szCs w:val="21"/>
                    </w:rPr>
                    <w:t>巴中市）</w:t>
                  </w:r>
                </w:p>
              </w:tc>
              <w:tc>
                <w:tcPr>
                  <w:tcW w:w="1094" w:type="dxa"/>
                  <w:vAlign w:val="top"/>
                </w:tcPr>
                <w:p>
                  <w:pPr>
                    <w:pStyle w:val="6"/>
                    <w:spacing w:before="71" w:line="221" w:lineRule="auto"/>
                    <w:ind w:left="362"/>
                    <w:rPr>
                      <w:sz w:val="21"/>
                      <w:szCs w:val="21"/>
                    </w:rPr>
                  </w:pPr>
                  <w:r>
                    <w:rPr>
                      <w:spacing w:val="-7"/>
                      <w:sz w:val="21"/>
                      <w:szCs w:val="21"/>
                    </w:rPr>
                    <w:t>国考</w:t>
                  </w:r>
                </w:p>
              </w:tc>
              <w:tc>
                <w:tcPr>
                  <w:tcW w:w="703" w:type="dxa"/>
                  <w:vAlign w:val="top"/>
                </w:tcPr>
                <w:p>
                  <w:pPr>
                    <w:spacing w:before="113"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0" w:type="dxa"/>
                  <w:vAlign w:val="top"/>
                </w:tcPr>
                <w:p>
                  <w:pPr>
                    <w:spacing w:before="113"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3" w:type="dxa"/>
                  <w:vAlign w:val="top"/>
                </w:tcPr>
                <w:p>
                  <w:pPr>
                    <w:spacing w:before="113" w:line="184"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tc>
              <w:tc>
                <w:tcPr>
                  <w:tcW w:w="758" w:type="dxa"/>
                  <w:vAlign w:val="top"/>
                </w:tcPr>
                <w:p>
                  <w:pPr>
                    <w:spacing w:before="107" w:line="233"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82" w:type="dxa"/>
                  <w:vMerge w:val="continue"/>
                  <w:tcBorders>
                    <w:top w:val="nil"/>
                  </w:tcBorders>
                  <w:textDirection w:val="tbRlV"/>
                  <w:vAlign w:val="top"/>
                </w:tcPr>
                <w:p>
                  <w:pPr>
                    <w:rPr>
                      <w:rFonts w:ascii="Arial"/>
                      <w:sz w:val="21"/>
                    </w:rPr>
                  </w:pPr>
                </w:p>
              </w:tc>
              <w:tc>
                <w:tcPr>
                  <w:tcW w:w="1051" w:type="dxa"/>
                  <w:vAlign w:val="top"/>
                </w:tcPr>
                <w:p>
                  <w:pPr>
                    <w:pStyle w:val="6"/>
                    <w:spacing w:before="75" w:line="221" w:lineRule="auto"/>
                    <w:ind w:left="213"/>
                    <w:rPr>
                      <w:sz w:val="21"/>
                      <w:szCs w:val="21"/>
                    </w:rPr>
                  </w:pPr>
                  <w:r>
                    <w:rPr>
                      <w:spacing w:val="-2"/>
                      <w:sz w:val="21"/>
                      <w:szCs w:val="21"/>
                    </w:rPr>
                    <w:t>澌滩河</w:t>
                  </w:r>
                </w:p>
              </w:tc>
              <w:tc>
                <w:tcPr>
                  <w:tcW w:w="852" w:type="dxa"/>
                  <w:vAlign w:val="top"/>
                </w:tcPr>
                <w:p>
                  <w:pPr>
                    <w:pStyle w:val="6"/>
                    <w:spacing w:before="75" w:line="222" w:lineRule="auto"/>
                    <w:ind w:left="237"/>
                    <w:rPr>
                      <w:sz w:val="21"/>
                      <w:szCs w:val="21"/>
                    </w:rPr>
                  </w:pPr>
                  <w:r>
                    <w:rPr>
                      <w:spacing w:val="-6"/>
                      <w:sz w:val="21"/>
                      <w:szCs w:val="21"/>
                    </w:rPr>
                    <w:t>园门</w:t>
                  </w:r>
                </w:p>
              </w:tc>
              <w:tc>
                <w:tcPr>
                  <w:tcW w:w="2267" w:type="dxa"/>
                  <w:vAlign w:val="top"/>
                </w:tcPr>
                <w:p>
                  <w:pPr>
                    <w:pStyle w:val="6"/>
                    <w:spacing w:before="75" w:line="220" w:lineRule="auto"/>
                    <w:jc w:val="right"/>
                    <w:rPr>
                      <w:sz w:val="21"/>
                      <w:szCs w:val="21"/>
                    </w:rPr>
                  </w:pPr>
                  <w:r>
                    <w:rPr>
                      <w:spacing w:val="-6"/>
                      <w:sz w:val="21"/>
                      <w:szCs w:val="21"/>
                    </w:rPr>
                    <w:t>市界（达州市</w:t>
                  </w:r>
                  <w:r>
                    <w:rPr>
                      <w:rFonts w:ascii="Times New Roman" w:hAnsi="Times New Roman" w:eastAsia="Times New Roman" w:cs="Times New Roman"/>
                      <w:spacing w:val="-6"/>
                      <w:sz w:val="21"/>
                      <w:szCs w:val="21"/>
                    </w:rPr>
                    <w:t>-</w:t>
                  </w:r>
                  <w:r>
                    <w:rPr>
                      <w:rFonts w:ascii="Times New Roman" w:hAnsi="Times New Roman" w:eastAsia="Times New Roman" w:cs="Times New Roman"/>
                      <w:spacing w:val="-26"/>
                      <w:sz w:val="21"/>
                      <w:szCs w:val="21"/>
                    </w:rPr>
                    <w:t xml:space="preserve"> </w:t>
                  </w:r>
                  <w:r>
                    <w:rPr>
                      <w:spacing w:val="-6"/>
                      <w:sz w:val="21"/>
                      <w:szCs w:val="21"/>
                    </w:rPr>
                    <w:t>巴中市）</w:t>
                  </w:r>
                </w:p>
              </w:tc>
              <w:tc>
                <w:tcPr>
                  <w:tcW w:w="1094" w:type="dxa"/>
                  <w:vAlign w:val="top"/>
                </w:tcPr>
                <w:p>
                  <w:pPr>
                    <w:pStyle w:val="6"/>
                    <w:spacing w:before="74" w:line="221" w:lineRule="auto"/>
                    <w:ind w:left="362"/>
                    <w:rPr>
                      <w:sz w:val="21"/>
                      <w:szCs w:val="21"/>
                    </w:rPr>
                  </w:pPr>
                  <w:r>
                    <w:rPr>
                      <w:spacing w:val="-7"/>
                      <w:sz w:val="21"/>
                      <w:szCs w:val="21"/>
                    </w:rPr>
                    <w:t>国考</w:t>
                  </w:r>
                </w:p>
              </w:tc>
              <w:tc>
                <w:tcPr>
                  <w:tcW w:w="703" w:type="dxa"/>
                  <w:vAlign w:val="top"/>
                </w:tcPr>
                <w:p>
                  <w:pPr>
                    <w:spacing w:before="116"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0" w:type="dxa"/>
                  <w:vAlign w:val="top"/>
                </w:tcPr>
                <w:p>
                  <w:pPr>
                    <w:spacing w:before="116"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03" w:type="dxa"/>
                  <w:vAlign w:val="top"/>
                </w:tcPr>
                <w:p>
                  <w:pPr>
                    <w:spacing w:before="116" w:line="184"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tc>
              <w:tc>
                <w:tcPr>
                  <w:tcW w:w="758" w:type="dxa"/>
                  <w:vAlign w:val="top"/>
                </w:tcPr>
                <w:p>
                  <w:pPr>
                    <w:spacing w:before="110" w:line="233"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211" w:line="220" w:lineRule="auto"/>
              <w:ind w:left="102"/>
              <w:rPr>
                <w:sz w:val="24"/>
                <w:szCs w:val="24"/>
              </w:rPr>
            </w:pPr>
            <w:r>
              <w:rPr>
                <w:rFonts w:ascii="Times New Roman" w:hAnsi="Times New Roman" w:eastAsia="Times New Roman" w:cs="Times New Roman"/>
                <w:b/>
                <w:bCs/>
                <w:sz w:val="24"/>
                <w:szCs w:val="24"/>
              </w:rPr>
              <w:t xml:space="preserve">3.3.3 </w:t>
            </w:r>
            <w:r>
              <w:rPr>
                <w:sz w:val="24"/>
                <w:szCs w:val="24"/>
                <w14:textOutline w14:w="4354" w14:cap="flat" w14:cmpd="sng">
                  <w14:solidFill>
                    <w14:srgbClr w14:val="000000"/>
                  </w14:solidFill>
                  <w14:prstDash w14:val="solid"/>
                  <w14:miter w14:val="10"/>
                </w14:textOutline>
              </w:rPr>
              <w:t>声环境质量现状</w:t>
            </w:r>
          </w:p>
          <w:p>
            <w:pPr>
              <w:pStyle w:val="6"/>
              <w:spacing w:before="199" w:line="376" w:lineRule="auto"/>
              <w:ind w:left="109" w:right="85" w:firstLine="479"/>
              <w:rPr>
                <w:sz w:val="24"/>
                <w:szCs w:val="24"/>
              </w:rPr>
            </w:pPr>
            <w:r>
              <w:rPr>
                <w:spacing w:val="13"/>
                <w:sz w:val="24"/>
                <w:szCs w:val="24"/>
              </w:rPr>
              <w:t>本项目所在区域未划定声环境功能区。本次评价参照《声环境质量标准》</w:t>
            </w:r>
            <w:r>
              <w:rPr>
                <w:spacing w:val="18"/>
                <w:sz w:val="24"/>
                <w:szCs w:val="24"/>
              </w:rPr>
              <w:t xml:space="preserve"> </w:t>
            </w:r>
            <w:r>
              <w:rPr>
                <w:sz w:val="24"/>
                <w:szCs w:val="24"/>
              </w:rPr>
              <w:t>（</w:t>
            </w:r>
            <w:r>
              <w:rPr>
                <w:rFonts w:ascii="Times New Roman" w:hAnsi="Times New Roman" w:eastAsia="Times New Roman" w:cs="Times New Roman"/>
                <w:sz w:val="24"/>
                <w:szCs w:val="24"/>
              </w:rPr>
              <w:t>GB3096-2008</w:t>
            </w:r>
            <w:r>
              <w:rPr>
                <w:sz w:val="24"/>
                <w:szCs w:val="24"/>
              </w:rPr>
              <w:t>）、《声环境功能区划分技术规范》（</w:t>
            </w:r>
            <w:r>
              <w:rPr>
                <w:rFonts w:ascii="Times New Roman" w:hAnsi="Times New Roman" w:eastAsia="Times New Roman" w:cs="Times New Roman"/>
                <w:sz w:val="24"/>
                <w:szCs w:val="24"/>
              </w:rPr>
              <w:t>GB/T151</w:t>
            </w:r>
            <w:r>
              <w:rPr>
                <w:rFonts w:ascii="Times New Roman" w:hAnsi="Times New Roman" w:eastAsia="Times New Roman" w:cs="Times New Roman"/>
                <w:spacing w:val="-1"/>
                <w:sz w:val="24"/>
                <w:szCs w:val="24"/>
              </w:rPr>
              <w:t>90-2014</w:t>
            </w:r>
            <w:r>
              <w:rPr>
                <w:spacing w:val="-1"/>
                <w:sz w:val="24"/>
                <w:szCs w:val="24"/>
              </w:rPr>
              <w:t>）等相关规</w:t>
            </w:r>
            <w:r>
              <w:rPr>
                <w:sz w:val="24"/>
                <w:szCs w:val="24"/>
              </w:rPr>
              <w:t xml:space="preserve"> </w:t>
            </w:r>
            <w:r>
              <w:rPr>
                <w:spacing w:val="-1"/>
                <w:sz w:val="24"/>
                <w:szCs w:val="24"/>
              </w:rPr>
              <w:t>范，评价按照声环境功能区为</w:t>
            </w:r>
            <w:r>
              <w:rPr>
                <w:spacing w:val="-44"/>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类进行评价，声环境质量执行《声环境质量标准》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GB3096-2008</w:t>
            </w:r>
            <w:r>
              <w:rPr>
                <w:spacing w:val="-1"/>
                <w:sz w:val="24"/>
                <w:szCs w:val="24"/>
              </w:rPr>
              <w:t>）</w:t>
            </w:r>
            <w:r>
              <w:rPr>
                <w:rFonts w:ascii="Times New Roman" w:hAnsi="Times New Roman" w:eastAsia="Times New Roman" w:cs="Times New Roman"/>
                <w:spacing w:val="-1"/>
                <w:sz w:val="24"/>
                <w:szCs w:val="24"/>
              </w:rPr>
              <w:t xml:space="preserve">2  </w:t>
            </w:r>
            <w:r>
              <w:rPr>
                <w:spacing w:val="-1"/>
                <w:sz w:val="24"/>
                <w:szCs w:val="24"/>
              </w:rPr>
              <w:t>类标准。为</w:t>
            </w:r>
            <w:r>
              <w:rPr>
                <w:spacing w:val="-2"/>
                <w:sz w:val="24"/>
                <w:szCs w:val="24"/>
              </w:rPr>
              <w:t>了解当地声环境质量现状，</w:t>
            </w:r>
            <w:r>
              <w:rPr>
                <w:spacing w:val="-22"/>
                <w:sz w:val="24"/>
                <w:szCs w:val="24"/>
              </w:rPr>
              <w:t xml:space="preserve"> </w:t>
            </w:r>
            <w:r>
              <w:rPr>
                <w:spacing w:val="-2"/>
                <w:sz w:val="24"/>
                <w:szCs w:val="24"/>
              </w:rPr>
              <w:t>评价委托四川华皓检测</w:t>
            </w:r>
            <w:r>
              <w:rPr>
                <w:sz w:val="24"/>
                <w:szCs w:val="24"/>
              </w:rPr>
              <w:t xml:space="preserve"> </w:t>
            </w:r>
            <w:r>
              <w:rPr>
                <w:spacing w:val="2"/>
                <w:sz w:val="24"/>
                <w:szCs w:val="24"/>
              </w:rPr>
              <w:t>技</w:t>
            </w:r>
            <w:r>
              <w:rPr>
                <w:spacing w:val="-66"/>
                <w:sz w:val="24"/>
                <w:szCs w:val="24"/>
              </w:rPr>
              <w:t xml:space="preserve"> </w:t>
            </w:r>
            <w:r>
              <w:rPr>
                <w:spacing w:val="2"/>
                <w:sz w:val="24"/>
                <w:szCs w:val="24"/>
              </w:rPr>
              <w:t>术</w:t>
            </w:r>
            <w:r>
              <w:rPr>
                <w:spacing w:val="-71"/>
                <w:sz w:val="24"/>
                <w:szCs w:val="24"/>
              </w:rPr>
              <w:t xml:space="preserve"> </w:t>
            </w:r>
            <w:r>
              <w:rPr>
                <w:spacing w:val="2"/>
                <w:sz w:val="24"/>
                <w:szCs w:val="24"/>
              </w:rPr>
              <w:t>有</w:t>
            </w:r>
            <w:r>
              <w:rPr>
                <w:spacing w:val="-56"/>
                <w:sz w:val="24"/>
                <w:szCs w:val="24"/>
              </w:rPr>
              <w:t xml:space="preserve"> </w:t>
            </w:r>
            <w:r>
              <w:rPr>
                <w:spacing w:val="2"/>
                <w:sz w:val="24"/>
                <w:szCs w:val="24"/>
              </w:rPr>
              <w:t>限</w:t>
            </w:r>
            <w:r>
              <w:rPr>
                <w:spacing w:val="-62"/>
                <w:sz w:val="24"/>
                <w:szCs w:val="24"/>
              </w:rPr>
              <w:t xml:space="preserve"> </w:t>
            </w:r>
            <w:r>
              <w:rPr>
                <w:spacing w:val="2"/>
                <w:sz w:val="24"/>
                <w:szCs w:val="24"/>
              </w:rPr>
              <w:t>公</w:t>
            </w:r>
            <w:r>
              <w:rPr>
                <w:spacing w:val="-64"/>
                <w:sz w:val="24"/>
                <w:szCs w:val="24"/>
              </w:rPr>
              <w:t xml:space="preserve"> </w:t>
            </w:r>
            <w:r>
              <w:rPr>
                <w:spacing w:val="2"/>
                <w:sz w:val="24"/>
                <w:szCs w:val="24"/>
              </w:rPr>
              <w:t>司对工</w:t>
            </w:r>
            <w:r>
              <w:rPr>
                <w:spacing w:val="-70"/>
                <w:sz w:val="24"/>
                <w:szCs w:val="24"/>
              </w:rPr>
              <w:t xml:space="preserve"> </w:t>
            </w:r>
            <w:r>
              <w:rPr>
                <w:spacing w:val="2"/>
                <w:sz w:val="24"/>
                <w:szCs w:val="24"/>
              </w:rPr>
              <w:t>程所在区</w:t>
            </w:r>
            <w:r>
              <w:rPr>
                <w:spacing w:val="-69"/>
                <w:sz w:val="24"/>
                <w:szCs w:val="24"/>
              </w:rPr>
              <w:t xml:space="preserve"> </w:t>
            </w:r>
            <w:r>
              <w:rPr>
                <w:spacing w:val="2"/>
                <w:sz w:val="24"/>
                <w:szCs w:val="24"/>
              </w:rPr>
              <w:t>域</w:t>
            </w:r>
            <w:r>
              <w:rPr>
                <w:spacing w:val="-67"/>
                <w:sz w:val="24"/>
                <w:szCs w:val="24"/>
              </w:rPr>
              <w:t xml:space="preserve"> </w:t>
            </w:r>
            <w:r>
              <w:rPr>
                <w:spacing w:val="2"/>
                <w:sz w:val="24"/>
                <w:szCs w:val="24"/>
              </w:rPr>
              <w:t>声环</w:t>
            </w:r>
            <w:r>
              <w:rPr>
                <w:spacing w:val="-72"/>
                <w:sz w:val="24"/>
                <w:szCs w:val="24"/>
              </w:rPr>
              <w:t xml:space="preserve"> </w:t>
            </w:r>
            <w:r>
              <w:rPr>
                <w:spacing w:val="2"/>
                <w:sz w:val="24"/>
                <w:szCs w:val="24"/>
              </w:rPr>
              <w:t>境</w:t>
            </w:r>
            <w:r>
              <w:rPr>
                <w:spacing w:val="-69"/>
                <w:sz w:val="24"/>
                <w:szCs w:val="24"/>
              </w:rPr>
              <w:t xml:space="preserve"> </w:t>
            </w:r>
            <w:r>
              <w:rPr>
                <w:spacing w:val="2"/>
                <w:sz w:val="24"/>
                <w:szCs w:val="24"/>
              </w:rPr>
              <w:t>质量</w:t>
            </w:r>
            <w:r>
              <w:rPr>
                <w:spacing w:val="-71"/>
                <w:sz w:val="24"/>
                <w:szCs w:val="24"/>
              </w:rPr>
              <w:t xml:space="preserve"> </w:t>
            </w:r>
            <w:r>
              <w:rPr>
                <w:spacing w:val="2"/>
                <w:sz w:val="24"/>
                <w:szCs w:val="24"/>
              </w:rPr>
              <w:t>现状</w:t>
            </w:r>
            <w:r>
              <w:rPr>
                <w:spacing w:val="-72"/>
                <w:sz w:val="24"/>
                <w:szCs w:val="24"/>
              </w:rPr>
              <w:t xml:space="preserve"> </w:t>
            </w:r>
            <w:r>
              <w:rPr>
                <w:spacing w:val="2"/>
                <w:sz w:val="24"/>
                <w:szCs w:val="24"/>
              </w:rPr>
              <w:t>进</w:t>
            </w:r>
            <w:r>
              <w:rPr>
                <w:spacing w:val="-68"/>
                <w:sz w:val="24"/>
                <w:szCs w:val="24"/>
              </w:rPr>
              <w:t xml:space="preserve"> </w:t>
            </w:r>
            <w:r>
              <w:rPr>
                <w:spacing w:val="2"/>
                <w:sz w:val="24"/>
                <w:szCs w:val="24"/>
              </w:rPr>
              <w:t>行</w:t>
            </w:r>
            <w:r>
              <w:rPr>
                <w:spacing w:val="-67"/>
                <w:sz w:val="24"/>
                <w:szCs w:val="24"/>
              </w:rPr>
              <w:t xml:space="preserve"> </w:t>
            </w:r>
            <w:r>
              <w:rPr>
                <w:spacing w:val="2"/>
                <w:sz w:val="24"/>
                <w:szCs w:val="24"/>
              </w:rPr>
              <w:t>实</w:t>
            </w:r>
            <w:r>
              <w:rPr>
                <w:spacing w:val="-71"/>
                <w:sz w:val="24"/>
                <w:szCs w:val="24"/>
              </w:rPr>
              <w:t xml:space="preserve"> </w:t>
            </w:r>
            <w:r>
              <w:rPr>
                <w:spacing w:val="2"/>
                <w:sz w:val="24"/>
                <w:szCs w:val="24"/>
              </w:rPr>
              <w:t>测</w:t>
            </w:r>
            <w:r>
              <w:rPr>
                <w:spacing w:val="-51"/>
                <w:sz w:val="24"/>
                <w:szCs w:val="24"/>
              </w:rPr>
              <w:t xml:space="preserve"> </w:t>
            </w:r>
            <w:r>
              <w:rPr>
                <w:spacing w:val="2"/>
                <w:sz w:val="24"/>
                <w:szCs w:val="24"/>
              </w:rPr>
              <w:t>，</w:t>
            </w:r>
            <w:r>
              <w:rPr>
                <w:spacing w:val="-69"/>
                <w:sz w:val="24"/>
                <w:szCs w:val="24"/>
              </w:rPr>
              <w:t xml:space="preserve"> </w:t>
            </w:r>
            <w:r>
              <w:rPr>
                <w:spacing w:val="2"/>
                <w:sz w:val="24"/>
                <w:szCs w:val="24"/>
              </w:rPr>
              <w:t>详</w:t>
            </w:r>
            <w:r>
              <w:rPr>
                <w:spacing w:val="-69"/>
                <w:sz w:val="24"/>
                <w:szCs w:val="24"/>
              </w:rPr>
              <w:t xml:space="preserve"> </w:t>
            </w:r>
            <w:r>
              <w:rPr>
                <w:spacing w:val="2"/>
                <w:sz w:val="24"/>
                <w:szCs w:val="24"/>
              </w:rPr>
              <w:t>见</w:t>
            </w:r>
            <w:r>
              <w:rPr>
                <w:spacing w:val="-71"/>
                <w:sz w:val="24"/>
                <w:szCs w:val="24"/>
              </w:rPr>
              <w:t xml:space="preserve"> </w:t>
            </w:r>
            <w:r>
              <w:rPr>
                <w:spacing w:val="2"/>
                <w:sz w:val="24"/>
                <w:szCs w:val="24"/>
              </w:rPr>
              <w:t>监</w:t>
            </w:r>
            <w:r>
              <w:rPr>
                <w:spacing w:val="-72"/>
                <w:sz w:val="24"/>
                <w:szCs w:val="24"/>
              </w:rPr>
              <w:t xml:space="preserve"> </w:t>
            </w:r>
            <w:r>
              <w:rPr>
                <w:spacing w:val="2"/>
                <w:sz w:val="24"/>
                <w:szCs w:val="24"/>
              </w:rPr>
              <w:t>测报</w:t>
            </w:r>
            <w:r>
              <w:rPr>
                <w:spacing w:val="-67"/>
                <w:sz w:val="24"/>
                <w:szCs w:val="24"/>
              </w:rPr>
              <w:t xml:space="preserve"> </w:t>
            </w:r>
            <w:r>
              <w:rPr>
                <w:spacing w:val="2"/>
                <w:sz w:val="24"/>
                <w:szCs w:val="24"/>
              </w:rPr>
              <w:t>告</w:t>
            </w:r>
          </w:p>
          <w:p>
            <w:pPr>
              <w:pStyle w:val="6"/>
              <w:spacing w:line="180" w:lineRule="auto"/>
              <w:ind w:left="53"/>
              <w:rPr>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HH</w:t>
            </w:r>
            <w:r>
              <w:rPr>
                <w:rFonts w:ascii="Times New Roman" w:hAnsi="Times New Roman" w:eastAsia="Times New Roman" w:cs="Times New Roman"/>
                <w:spacing w:val="3"/>
                <w:sz w:val="24"/>
                <w:szCs w:val="24"/>
              </w:rPr>
              <w:t>23092604”</w:t>
            </w:r>
            <w:r>
              <w:rPr>
                <w:spacing w:val="3"/>
                <w:sz w:val="24"/>
                <w:szCs w:val="24"/>
              </w:rPr>
              <w:t>。</w:t>
            </w:r>
          </w:p>
          <w:p>
            <w:pPr>
              <w:pStyle w:val="6"/>
              <w:spacing w:before="205" w:line="220" w:lineRule="auto"/>
              <w:ind w:left="594"/>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）监测方案</w:t>
            </w:r>
          </w:p>
          <w:p>
            <w:pPr>
              <w:pStyle w:val="6"/>
              <w:spacing w:before="195" w:line="369" w:lineRule="auto"/>
              <w:ind w:left="96" w:right="102" w:firstLine="493"/>
              <w:rPr>
                <w:sz w:val="24"/>
                <w:szCs w:val="24"/>
              </w:rPr>
            </w:pPr>
            <w:r>
              <w:rPr>
                <w:spacing w:val="-6"/>
                <w:sz w:val="24"/>
                <w:szCs w:val="24"/>
              </w:rPr>
              <w:t>监测布点：设</w:t>
            </w:r>
            <w:r>
              <w:rPr>
                <w:spacing w:val="-50"/>
                <w:sz w:val="24"/>
                <w:szCs w:val="24"/>
              </w:rPr>
              <w:t xml:space="preserve"> </w:t>
            </w:r>
            <w:r>
              <w:rPr>
                <w:rFonts w:ascii="Times New Roman" w:hAnsi="Times New Roman" w:eastAsia="Times New Roman" w:cs="Times New Roman"/>
                <w:spacing w:val="-6"/>
                <w:sz w:val="24"/>
                <w:szCs w:val="24"/>
              </w:rPr>
              <w:t xml:space="preserve">3 </w:t>
            </w:r>
            <w:r>
              <w:rPr>
                <w:spacing w:val="-6"/>
                <w:sz w:val="24"/>
                <w:szCs w:val="24"/>
              </w:rPr>
              <w:t xml:space="preserve">个点， </w:t>
            </w:r>
            <w:r>
              <w:rPr>
                <w:rFonts w:ascii="Times New Roman" w:hAnsi="Times New Roman" w:eastAsia="Times New Roman" w:cs="Times New Roman"/>
                <w:spacing w:val="-6"/>
                <w:sz w:val="24"/>
                <w:szCs w:val="24"/>
              </w:rPr>
              <w:t>N1</w:t>
            </w:r>
            <w:r>
              <w:rPr>
                <w:rFonts w:ascii="Times New Roman" w:hAnsi="Times New Roman" w:eastAsia="Times New Roman" w:cs="Times New Roman"/>
                <w:spacing w:val="13"/>
                <w:sz w:val="24"/>
                <w:szCs w:val="24"/>
              </w:rPr>
              <w:t xml:space="preserve"> </w:t>
            </w:r>
            <w:r>
              <w:rPr>
                <w:spacing w:val="-6"/>
                <w:sz w:val="24"/>
                <w:szCs w:val="24"/>
              </w:rPr>
              <w:t>项目北侧敏感点处、</w:t>
            </w:r>
            <w:r>
              <w:rPr>
                <w:spacing w:val="32"/>
                <w:sz w:val="24"/>
                <w:szCs w:val="24"/>
              </w:rPr>
              <w:t xml:space="preserve"> </w:t>
            </w:r>
            <w:r>
              <w:rPr>
                <w:rFonts w:ascii="Times New Roman" w:hAnsi="Times New Roman" w:eastAsia="Times New Roman" w:cs="Times New Roman"/>
                <w:spacing w:val="-6"/>
                <w:sz w:val="24"/>
                <w:szCs w:val="24"/>
              </w:rPr>
              <w:t xml:space="preserve">N2   </w:t>
            </w:r>
            <w:r>
              <w:rPr>
                <w:spacing w:val="-6"/>
                <w:sz w:val="24"/>
                <w:szCs w:val="24"/>
              </w:rPr>
              <w:t>项目西南侧敏感目标处、</w:t>
            </w:r>
            <w:r>
              <w:rPr>
                <w:sz w:val="24"/>
                <w:szCs w:val="24"/>
              </w:rPr>
              <w:t xml:space="preserve"> </w:t>
            </w:r>
            <w:r>
              <w:rPr>
                <w:rFonts w:ascii="Times New Roman" w:hAnsi="Times New Roman" w:eastAsia="Times New Roman" w:cs="Times New Roman"/>
                <w:spacing w:val="-10"/>
                <w:sz w:val="24"/>
                <w:szCs w:val="24"/>
              </w:rPr>
              <w:t>N3</w:t>
            </w:r>
            <w:r>
              <w:rPr>
                <w:rFonts w:ascii="Times New Roman" w:hAnsi="Times New Roman" w:eastAsia="Times New Roman" w:cs="Times New Roman"/>
                <w:spacing w:val="13"/>
                <w:sz w:val="24"/>
                <w:szCs w:val="24"/>
              </w:rPr>
              <w:t xml:space="preserve"> </w:t>
            </w:r>
            <w:r>
              <w:rPr>
                <w:spacing w:val="-10"/>
                <w:sz w:val="24"/>
                <w:szCs w:val="24"/>
              </w:rPr>
              <w:t>项目东侧边界外。监测点均位于项目厂界外</w:t>
            </w:r>
            <w:r>
              <w:rPr>
                <w:spacing w:val="-54"/>
                <w:sz w:val="24"/>
                <w:szCs w:val="24"/>
              </w:rPr>
              <w:t xml:space="preserve"> </w:t>
            </w:r>
            <w:r>
              <w:rPr>
                <w:rFonts w:ascii="Times New Roman" w:hAnsi="Times New Roman" w:eastAsia="Times New Roman" w:cs="Times New Roman"/>
                <w:spacing w:val="-10"/>
                <w:sz w:val="24"/>
                <w:szCs w:val="24"/>
              </w:rPr>
              <w:t>200m</w:t>
            </w:r>
            <w:r>
              <w:rPr>
                <w:rFonts w:ascii="Times New Roman" w:hAnsi="Times New Roman" w:eastAsia="Times New Roman" w:cs="Times New Roman"/>
                <w:spacing w:val="16"/>
                <w:sz w:val="24"/>
                <w:szCs w:val="24"/>
              </w:rPr>
              <w:t xml:space="preserve"> </w:t>
            </w:r>
            <w:r>
              <w:rPr>
                <w:spacing w:val="-10"/>
                <w:sz w:val="24"/>
                <w:szCs w:val="24"/>
              </w:rPr>
              <w:t>范围内， 周边无噪声</w:t>
            </w:r>
            <w:r>
              <w:rPr>
                <w:spacing w:val="-11"/>
                <w:sz w:val="24"/>
                <w:szCs w:val="24"/>
              </w:rPr>
              <w:t>源，</w:t>
            </w:r>
            <w:r>
              <w:rPr>
                <w:spacing w:val="35"/>
                <w:sz w:val="24"/>
                <w:szCs w:val="24"/>
              </w:rPr>
              <w:t xml:space="preserve"> </w:t>
            </w:r>
            <w:r>
              <w:rPr>
                <w:spacing w:val="-11"/>
                <w:sz w:val="24"/>
                <w:szCs w:val="24"/>
              </w:rPr>
              <w:t>均为</w:t>
            </w:r>
          </w:p>
          <w:p>
            <w:pPr>
              <w:pStyle w:val="6"/>
              <w:spacing w:before="1" w:line="218" w:lineRule="auto"/>
              <w:ind w:left="108"/>
              <w:rPr>
                <w:sz w:val="24"/>
                <w:szCs w:val="24"/>
              </w:rPr>
            </w:pPr>
            <w:r>
              <w:rPr>
                <w:spacing w:val="-1"/>
                <w:sz w:val="24"/>
                <w:szCs w:val="24"/>
              </w:rPr>
              <w:t>农村声环境，监测点噪声现状能够代表项目所在区域环境保护目标的</w:t>
            </w:r>
            <w:r>
              <w:rPr>
                <w:spacing w:val="-2"/>
                <w:sz w:val="24"/>
                <w:szCs w:val="24"/>
              </w:rPr>
              <w:t>声环境现状。</w:t>
            </w:r>
          </w:p>
          <w:p>
            <w:pPr>
              <w:pStyle w:val="6"/>
              <w:spacing w:before="195" w:line="220" w:lineRule="auto"/>
              <w:ind w:left="589"/>
              <w:rPr>
                <w:sz w:val="24"/>
                <w:szCs w:val="24"/>
              </w:rPr>
            </w:pPr>
            <w:r>
              <w:rPr>
                <w:spacing w:val="-1"/>
                <w:sz w:val="24"/>
                <w:szCs w:val="24"/>
              </w:rPr>
              <w:t>监测项目：等效连续</w:t>
            </w:r>
            <w:r>
              <w:rPr>
                <w:spacing w:val="-52"/>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w:t>
            </w:r>
          </w:p>
        </w:tc>
      </w:tr>
    </w:tbl>
    <w:p>
      <w:pPr>
        <w:pStyle w:val="2"/>
        <w:rPr>
          <w:sz w:val="21"/>
        </w:rPr>
      </w:pPr>
    </w:p>
    <w:p>
      <w:pPr>
        <w:rPr>
          <w:sz w:val="21"/>
          <w:szCs w:val="21"/>
        </w:rPr>
        <w:sectPr>
          <w:footerReference r:id="rId67" w:type="default"/>
          <w:pgSz w:w="11907" w:h="16839"/>
          <w:pgMar w:top="400" w:right="1298" w:bottom="1181"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50"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2" w:line="480" w:lineRule="exact"/>
              <w:ind w:left="589"/>
              <w:rPr>
                <w:sz w:val="24"/>
                <w:szCs w:val="24"/>
              </w:rPr>
            </w:pPr>
            <w:r>
              <w:rPr>
                <w:spacing w:val="-5"/>
                <w:position w:val="18"/>
                <w:sz w:val="24"/>
                <w:szCs w:val="24"/>
              </w:rPr>
              <w:t>监测时间与频次：监测时间为</w:t>
            </w:r>
            <w:r>
              <w:rPr>
                <w:spacing w:val="-52"/>
                <w:position w:val="18"/>
                <w:sz w:val="24"/>
                <w:szCs w:val="24"/>
              </w:rPr>
              <w:t xml:space="preserve"> </w:t>
            </w:r>
            <w:r>
              <w:rPr>
                <w:rFonts w:ascii="Times New Roman" w:hAnsi="Times New Roman" w:eastAsia="Times New Roman" w:cs="Times New Roman"/>
                <w:spacing w:val="-5"/>
                <w:position w:val="18"/>
                <w:sz w:val="24"/>
                <w:szCs w:val="24"/>
              </w:rPr>
              <w:t xml:space="preserve">2023 </w:t>
            </w:r>
            <w:r>
              <w:rPr>
                <w:spacing w:val="-5"/>
                <w:position w:val="18"/>
                <w:sz w:val="24"/>
                <w:szCs w:val="24"/>
              </w:rPr>
              <w:t>年</w:t>
            </w:r>
            <w:r>
              <w:rPr>
                <w:spacing w:val="-48"/>
                <w:position w:val="18"/>
                <w:sz w:val="24"/>
                <w:szCs w:val="24"/>
              </w:rPr>
              <w:t xml:space="preserve"> </w:t>
            </w:r>
            <w:r>
              <w:rPr>
                <w:rFonts w:ascii="Times New Roman" w:hAnsi="Times New Roman" w:eastAsia="Times New Roman" w:cs="Times New Roman"/>
                <w:spacing w:val="-5"/>
                <w:position w:val="18"/>
                <w:sz w:val="24"/>
                <w:szCs w:val="24"/>
              </w:rPr>
              <w:t>9</w:t>
            </w:r>
            <w:r>
              <w:rPr>
                <w:rFonts w:ascii="Times New Roman" w:hAnsi="Times New Roman" w:eastAsia="Times New Roman" w:cs="Times New Roman"/>
                <w:spacing w:val="17"/>
                <w:w w:val="101"/>
                <w:position w:val="18"/>
                <w:sz w:val="24"/>
                <w:szCs w:val="24"/>
              </w:rPr>
              <w:t xml:space="preserve"> </w:t>
            </w:r>
            <w:r>
              <w:rPr>
                <w:spacing w:val="-5"/>
                <w:position w:val="18"/>
                <w:sz w:val="24"/>
                <w:szCs w:val="24"/>
              </w:rPr>
              <w:t>月</w:t>
            </w:r>
            <w:r>
              <w:rPr>
                <w:spacing w:val="-52"/>
                <w:position w:val="18"/>
                <w:sz w:val="24"/>
                <w:szCs w:val="24"/>
              </w:rPr>
              <w:t xml:space="preserve"> </w:t>
            </w:r>
            <w:r>
              <w:rPr>
                <w:rFonts w:ascii="Times New Roman" w:hAnsi="Times New Roman" w:eastAsia="Times New Roman" w:cs="Times New Roman"/>
                <w:spacing w:val="-5"/>
                <w:position w:val="18"/>
                <w:sz w:val="24"/>
                <w:szCs w:val="24"/>
              </w:rPr>
              <w:t xml:space="preserve">26  </w:t>
            </w:r>
            <w:r>
              <w:rPr>
                <w:spacing w:val="-5"/>
                <w:position w:val="18"/>
                <w:sz w:val="24"/>
                <w:szCs w:val="24"/>
              </w:rPr>
              <w:t>日</w:t>
            </w:r>
            <w:r>
              <w:rPr>
                <w:rFonts w:ascii="Times New Roman" w:hAnsi="Times New Roman" w:eastAsia="Times New Roman" w:cs="Times New Roman"/>
                <w:spacing w:val="-5"/>
                <w:position w:val="18"/>
                <w:sz w:val="24"/>
                <w:szCs w:val="24"/>
              </w:rPr>
              <w:t>~9</w:t>
            </w:r>
            <w:r>
              <w:rPr>
                <w:rFonts w:ascii="Times New Roman" w:hAnsi="Times New Roman" w:eastAsia="Times New Roman" w:cs="Times New Roman"/>
                <w:spacing w:val="17"/>
                <w:w w:val="101"/>
                <w:position w:val="18"/>
                <w:sz w:val="24"/>
                <w:szCs w:val="24"/>
              </w:rPr>
              <w:t xml:space="preserve"> </w:t>
            </w:r>
            <w:r>
              <w:rPr>
                <w:spacing w:val="-5"/>
                <w:position w:val="18"/>
                <w:sz w:val="24"/>
                <w:szCs w:val="24"/>
              </w:rPr>
              <w:t>月</w:t>
            </w:r>
            <w:r>
              <w:rPr>
                <w:spacing w:val="-53"/>
                <w:position w:val="18"/>
                <w:sz w:val="24"/>
                <w:szCs w:val="24"/>
              </w:rPr>
              <w:t xml:space="preserve"> </w:t>
            </w:r>
            <w:r>
              <w:rPr>
                <w:rFonts w:ascii="Times New Roman" w:hAnsi="Times New Roman" w:eastAsia="Times New Roman" w:cs="Times New Roman"/>
                <w:spacing w:val="-5"/>
                <w:position w:val="18"/>
                <w:sz w:val="24"/>
                <w:szCs w:val="24"/>
              </w:rPr>
              <w:t>27</w:t>
            </w:r>
            <w:r>
              <w:rPr>
                <w:rFonts w:ascii="Times New Roman" w:hAnsi="Times New Roman" w:eastAsia="Times New Roman" w:cs="Times New Roman"/>
                <w:spacing w:val="-6"/>
                <w:position w:val="18"/>
                <w:sz w:val="24"/>
                <w:szCs w:val="24"/>
              </w:rPr>
              <w:t xml:space="preserve">  </w:t>
            </w:r>
            <w:r>
              <w:rPr>
                <w:spacing w:val="-6"/>
                <w:position w:val="18"/>
                <w:sz w:val="24"/>
                <w:szCs w:val="24"/>
              </w:rPr>
              <w:t>日，连续监测</w:t>
            </w:r>
            <w:r>
              <w:rPr>
                <w:spacing w:val="-52"/>
                <w:position w:val="18"/>
                <w:sz w:val="24"/>
                <w:szCs w:val="24"/>
              </w:rPr>
              <w:t xml:space="preserve"> </w:t>
            </w:r>
            <w:r>
              <w:rPr>
                <w:rFonts w:ascii="Times New Roman" w:hAnsi="Times New Roman" w:eastAsia="Times New Roman" w:cs="Times New Roman"/>
                <w:spacing w:val="-6"/>
                <w:position w:val="18"/>
                <w:sz w:val="24"/>
                <w:szCs w:val="24"/>
              </w:rPr>
              <w:t>2</w:t>
            </w:r>
            <w:r>
              <w:rPr>
                <w:rFonts w:ascii="Times New Roman" w:hAnsi="Times New Roman" w:eastAsia="Times New Roman" w:cs="Times New Roman"/>
                <w:spacing w:val="17"/>
                <w:position w:val="18"/>
                <w:sz w:val="24"/>
                <w:szCs w:val="24"/>
              </w:rPr>
              <w:t xml:space="preserve"> </w:t>
            </w:r>
            <w:r>
              <w:rPr>
                <w:spacing w:val="-6"/>
                <w:position w:val="18"/>
                <w:sz w:val="24"/>
                <w:szCs w:val="24"/>
              </w:rPr>
              <w:t>天，</w:t>
            </w:r>
          </w:p>
          <w:p>
            <w:pPr>
              <w:pStyle w:val="6"/>
              <w:spacing w:line="233" w:lineRule="auto"/>
              <w:ind w:left="107"/>
              <w:rPr>
                <w:sz w:val="24"/>
                <w:szCs w:val="24"/>
              </w:rPr>
            </w:pPr>
            <w:r>
              <w:rPr>
                <w:spacing w:val="-9"/>
                <w:sz w:val="24"/>
                <w:szCs w:val="24"/>
              </w:rPr>
              <w:t>昼夜各</w:t>
            </w:r>
            <w:r>
              <w:rPr>
                <w:spacing w:val="-31"/>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6"/>
                <w:w w:val="101"/>
                <w:sz w:val="24"/>
                <w:szCs w:val="24"/>
              </w:rPr>
              <w:t xml:space="preserve"> </w:t>
            </w:r>
            <w:r>
              <w:rPr>
                <w:spacing w:val="-9"/>
                <w:sz w:val="24"/>
                <w:szCs w:val="24"/>
              </w:rPr>
              <w:t>次</w:t>
            </w:r>
            <w:r>
              <w:rPr>
                <w:rFonts w:ascii="Times New Roman" w:hAnsi="Times New Roman" w:eastAsia="Times New Roman" w:cs="Times New Roman"/>
                <w:spacing w:val="-9"/>
                <w:sz w:val="24"/>
                <w:szCs w:val="24"/>
              </w:rPr>
              <w:t>/</w:t>
            </w:r>
            <w:r>
              <w:rPr>
                <w:spacing w:val="-9"/>
                <w:sz w:val="24"/>
                <w:szCs w:val="24"/>
              </w:rPr>
              <w:t>天。</w:t>
            </w:r>
          </w:p>
          <w:p>
            <w:pPr>
              <w:pStyle w:val="6"/>
              <w:spacing w:before="176" w:line="218" w:lineRule="auto"/>
              <w:ind w:left="59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）监测及评价结果</w:t>
            </w:r>
          </w:p>
          <w:p>
            <w:pPr>
              <w:pStyle w:val="6"/>
              <w:spacing w:before="196" w:line="218" w:lineRule="auto"/>
              <w:ind w:left="589"/>
              <w:rPr>
                <w:sz w:val="24"/>
                <w:szCs w:val="24"/>
              </w:rPr>
            </w:pPr>
            <w:r>
              <w:rPr>
                <w:spacing w:val="-2"/>
                <w:sz w:val="24"/>
                <w:szCs w:val="24"/>
              </w:rPr>
              <w:t>监测及评价结果统计于表</w:t>
            </w:r>
            <w:r>
              <w:rPr>
                <w:spacing w:val="-38"/>
                <w:sz w:val="24"/>
                <w:szCs w:val="24"/>
              </w:rPr>
              <w:t xml:space="preserve"> </w:t>
            </w:r>
            <w:r>
              <w:rPr>
                <w:rFonts w:ascii="Times New Roman" w:hAnsi="Times New Roman" w:eastAsia="Times New Roman" w:cs="Times New Roman"/>
                <w:spacing w:val="-2"/>
                <w:sz w:val="24"/>
                <w:szCs w:val="24"/>
              </w:rPr>
              <w:t>3.3-4</w:t>
            </w:r>
            <w:r>
              <w:rPr>
                <w:spacing w:val="-2"/>
                <w:sz w:val="24"/>
                <w:szCs w:val="24"/>
              </w:rPr>
              <w:t>。</w:t>
            </w:r>
          </w:p>
          <w:p>
            <w:pPr>
              <w:pStyle w:val="6"/>
              <w:spacing w:before="196" w:line="218" w:lineRule="auto"/>
              <w:ind w:left="1845"/>
              <w:rPr>
                <w:sz w:val="24"/>
                <w:szCs w:val="24"/>
              </w:rPr>
            </w:pPr>
            <w:r>
              <w:rPr>
                <w:sz w:val="24"/>
                <w:szCs w:val="24"/>
                <w14:textOutline w14:w="4354" w14:cap="flat" w14:cmpd="sng">
                  <w14:solidFill>
                    <w14:srgbClr w14:val="000000"/>
                  </w14:solidFill>
                  <w14:prstDash w14:val="solid"/>
                  <w14:miter w14:val="10"/>
                </w14:textOutline>
              </w:rPr>
              <w:t>表</w:t>
            </w:r>
            <w:r>
              <w:rPr>
                <w:spacing w:val="-51"/>
                <w:sz w:val="24"/>
                <w:szCs w:val="24"/>
              </w:rPr>
              <w:t xml:space="preserve"> </w:t>
            </w:r>
            <w:r>
              <w:rPr>
                <w:rFonts w:ascii="Times New Roman" w:hAnsi="Times New Roman" w:eastAsia="Times New Roman" w:cs="Times New Roman"/>
                <w:b/>
                <w:bCs/>
                <w:sz w:val="24"/>
                <w:szCs w:val="24"/>
              </w:rPr>
              <w:t xml:space="preserve">3.4-4    </w:t>
            </w:r>
            <w:r>
              <w:rPr>
                <w:sz w:val="24"/>
                <w:szCs w:val="24"/>
                <w14:textOutline w14:w="4354" w14:cap="flat" w14:cmpd="sng">
                  <w14:solidFill>
                    <w14:srgbClr w14:val="000000"/>
                  </w14:solidFill>
                  <w14:prstDash w14:val="solid"/>
                  <w14:miter w14:val="10"/>
                </w14:textOutline>
              </w:rPr>
              <w:t>声环境质量现状监测及评价结果一览表</w:t>
            </w:r>
          </w:p>
          <w:p>
            <w:pPr>
              <w:spacing w:line="19" w:lineRule="exact"/>
            </w:pPr>
          </w:p>
          <w:tbl>
            <w:tblPr>
              <w:tblStyle w:val="5"/>
              <w:tblW w:w="861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0"/>
              <w:gridCol w:w="1303"/>
              <w:gridCol w:w="1564"/>
              <w:gridCol w:w="1567"/>
              <w:gridCol w:w="1600"/>
              <w:gridCol w:w="14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0" w:type="dxa"/>
                  <w:vMerge w:val="restart"/>
                  <w:tcBorders>
                    <w:bottom w:val="nil"/>
                  </w:tcBorders>
                  <w:vAlign w:val="top"/>
                </w:tcPr>
                <w:p>
                  <w:pPr>
                    <w:pStyle w:val="6"/>
                    <w:spacing w:before="242" w:line="221" w:lineRule="auto"/>
                    <w:ind w:left="139"/>
                    <w:rPr>
                      <w:sz w:val="21"/>
                      <w:szCs w:val="21"/>
                    </w:rPr>
                  </w:pPr>
                  <w:r>
                    <w:rPr>
                      <w:spacing w:val="-2"/>
                      <w:sz w:val="21"/>
                      <w:szCs w:val="21"/>
                    </w:rPr>
                    <w:t>检测日期</w:t>
                  </w:r>
                </w:p>
              </w:tc>
              <w:tc>
                <w:tcPr>
                  <w:tcW w:w="1303" w:type="dxa"/>
                  <w:vMerge w:val="restart"/>
                  <w:tcBorders>
                    <w:bottom w:val="nil"/>
                  </w:tcBorders>
                  <w:vAlign w:val="top"/>
                </w:tcPr>
                <w:p>
                  <w:pPr>
                    <w:pStyle w:val="6"/>
                    <w:spacing w:before="242" w:line="221" w:lineRule="auto"/>
                    <w:ind w:left="245"/>
                    <w:rPr>
                      <w:sz w:val="21"/>
                      <w:szCs w:val="21"/>
                    </w:rPr>
                  </w:pPr>
                  <w:r>
                    <w:rPr>
                      <w:spacing w:val="-4"/>
                      <w:sz w:val="21"/>
                      <w:szCs w:val="21"/>
                    </w:rPr>
                    <w:t>点位编号</w:t>
                  </w:r>
                </w:p>
              </w:tc>
              <w:tc>
                <w:tcPr>
                  <w:tcW w:w="3131" w:type="dxa"/>
                  <w:gridSpan w:val="2"/>
                  <w:vAlign w:val="top"/>
                </w:tcPr>
                <w:p>
                  <w:pPr>
                    <w:pStyle w:val="6"/>
                    <w:spacing w:before="68" w:line="223" w:lineRule="auto"/>
                    <w:ind w:left="401"/>
                    <w:rPr>
                      <w:sz w:val="21"/>
                      <w:szCs w:val="21"/>
                    </w:rPr>
                  </w:pPr>
                  <w:r>
                    <w:rPr>
                      <w:spacing w:val="-3"/>
                      <w:sz w:val="21"/>
                      <w:szCs w:val="21"/>
                    </w:rPr>
                    <w:t>检测结果（</w:t>
                  </w:r>
                  <w:r>
                    <w:rPr>
                      <w:rFonts w:ascii="Times New Roman" w:hAnsi="Times New Roman" w:eastAsia="Times New Roman" w:cs="Times New Roman"/>
                      <w:spacing w:val="-3"/>
                      <w:sz w:val="21"/>
                      <w:szCs w:val="21"/>
                    </w:rPr>
                    <w:t>L</w:t>
                  </w:r>
                  <w:r>
                    <w:rPr>
                      <w:rFonts w:ascii="Times New Roman" w:hAnsi="Times New Roman" w:eastAsia="Times New Roman" w:cs="Times New Roman"/>
                      <w:spacing w:val="-3"/>
                      <w:position w:val="-1"/>
                      <w:sz w:val="13"/>
                      <w:szCs w:val="13"/>
                    </w:rPr>
                    <w:t xml:space="preserve">eq </w:t>
                  </w:r>
                  <w:r>
                    <w:rPr>
                      <w:spacing w:val="-3"/>
                      <w:sz w:val="21"/>
                      <w:szCs w:val="21"/>
                    </w:rPr>
                    <w:t>）</w:t>
                  </w:r>
                  <w:r>
                    <w:rPr>
                      <w:rFonts w:ascii="Times New Roman" w:hAnsi="Times New Roman" w:eastAsia="Times New Roman" w:cs="Times New Roman"/>
                      <w:spacing w:val="-3"/>
                      <w:sz w:val="21"/>
                      <w:szCs w:val="21"/>
                    </w:rPr>
                    <w:t>dB</w:t>
                  </w:r>
                  <w:r>
                    <w:rPr>
                      <w:spacing w:val="-3"/>
                      <w:sz w:val="21"/>
                      <w:szCs w:val="21"/>
                    </w:rPr>
                    <w:t>（</w:t>
                  </w:r>
                  <w:r>
                    <w:rPr>
                      <w:rFonts w:ascii="Times New Roman" w:hAnsi="Times New Roman" w:eastAsia="Times New Roman" w:cs="Times New Roman"/>
                      <w:spacing w:val="-3"/>
                      <w:sz w:val="21"/>
                      <w:szCs w:val="21"/>
                    </w:rPr>
                    <w:t>A</w:t>
                  </w:r>
                  <w:r>
                    <w:rPr>
                      <w:spacing w:val="-3"/>
                      <w:sz w:val="21"/>
                      <w:szCs w:val="21"/>
                    </w:rPr>
                    <w:t>）</w:t>
                  </w:r>
                </w:p>
              </w:tc>
              <w:tc>
                <w:tcPr>
                  <w:tcW w:w="3066" w:type="dxa"/>
                  <w:gridSpan w:val="2"/>
                  <w:vAlign w:val="top"/>
                </w:tcPr>
                <w:p>
                  <w:pPr>
                    <w:pStyle w:val="6"/>
                    <w:spacing w:before="68" w:line="221" w:lineRule="auto"/>
                    <w:ind w:left="1116"/>
                    <w:rPr>
                      <w:sz w:val="21"/>
                      <w:szCs w:val="21"/>
                    </w:rPr>
                  </w:pPr>
                  <w:r>
                    <w:rPr>
                      <w:spacing w:val="-1"/>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0" w:type="dxa"/>
                  <w:vMerge w:val="continue"/>
                  <w:tcBorders>
                    <w:top w:val="nil"/>
                  </w:tcBorders>
                  <w:vAlign w:val="top"/>
                </w:tcPr>
                <w:p>
                  <w:pPr>
                    <w:rPr>
                      <w:rFonts w:ascii="Arial"/>
                      <w:sz w:val="21"/>
                    </w:rPr>
                  </w:pPr>
                </w:p>
              </w:tc>
              <w:tc>
                <w:tcPr>
                  <w:tcW w:w="1303" w:type="dxa"/>
                  <w:vMerge w:val="continue"/>
                  <w:tcBorders>
                    <w:top w:val="nil"/>
                  </w:tcBorders>
                  <w:vAlign w:val="top"/>
                </w:tcPr>
                <w:p>
                  <w:pPr>
                    <w:rPr>
                      <w:rFonts w:ascii="Arial"/>
                      <w:sz w:val="21"/>
                    </w:rPr>
                  </w:pPr>
                </w:p>
              </w:tc>
              <w:tc>
                <w:tcPr>
                  <w:tcW w:w="1564" w:type="dxa"/>
                  <w:vAlign w:val="top"/>
                </w:tcPr>
                <w:p>
                  <w:pPr>
                    <w:pStyle w:val="6"/>
                    <w:spacing w:before="64" w:line="223" w:lineRule="auto"/>
                    <w:ind w:left="577"/>
                    <w:rPr>
                      <w:sz w:val="21"/>
                      <w:szCs w:val="21"/>
                    </w:rPr>
                  </w:pPr>
                  <w:r>
                    <w:rPr>
                      <w:spacing w:val="-2"/>
                      <w:sz w:val="21"/>
                      <w:szCs w:val="21"/>
                    </w:rPr>
                    <w:t>昼间</w:t>
                  </w:r>
                </w:p>
              </w:tc>
              <w:tc>
                <w:tcPr>
                  <w:tcW w:w="1567" w:type="dxa"/>
                  <w:vAlign w:val="top"/>
                </w:tcPr>
                <w:p>
                  <w:pPr>
                    <w:pStyle w:val="6"/>
                    <w:spacing w:before="63" w:line="221" w:lineRule="auto"/>
                    <w:ind w:left="585"/>
                    <w:rPr>
                      <w:sz w:val="21"/>
                      <w:szCs w:val="21"/>
                    </w:rPr>
                  </w:pPr>
                  <w:r>
                    <w:rPr>
                      <w:spacing w:val="-3"/>
                      <w:sz w:val="21"/>
                      <w:szCs w:val="21"/>
                    </w:rPr>
                    <w:t>夜间</w:t>
                  </w:r>
                </w:p>
              </w:tc>
              <w:tc>
                <w:tcPr>
                  <w:tcW w:w="1600" w:type="dxa"/>
                  <w:vAlign w:val="top"/>
                </w:tcPr>
                <w:p>
                  <w:pPr>
                    <w:pStyle w:val="6"/>
                    <w:spacing w:before="64" w:line="223" w:lineRule="auto"/>
                    <w:ind w:left="596"/>
                    <w:rPr>
                      <w:sz w:val="21"/>
                      <w:szCs w:val="21"/>
                    </w:rPr>
                  </w:pPr>
                  <w:r>
                    <w:rPr>
                      <w:spacing w:val="-2"/>
                      <w:sz w:val="21"/>
                      <w:szCs w:val="21"/>
                    </w:rPr>
                    <w:t>昼间</w:t>
                  </w:r>
                </w:p>
              </w:tc>
              <w:tc>
                <w:tcPr>
                  <w:tcW w:w="1466" w:type="dxa"/>
                  <w:vAlign w:val="top"/>
                </w:tcPr>
                <w:p>
                  <w:pPr>
                    <w:pStyle w:val="6"/>
                    <w:spacing w:before="63" w:line="221" w:lineRule="auto"/>
                    <w:ind w:left="532"/>
                    <w:rPr>
                      <w:sz w:val="21"/>
                      <w:szCs w:val="21"/>
                    </w:rPr>
                  </w:pPr>
                  <w:r>
                    <w:rPr>
                      <w:spacing w:val="-3"/>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0" w:type="dxa"/>
                  <w:vMerge w:val="restart"/>
                  <w:tcBorders>
                    <w:bottom w:val="nil"/>
                  </w:tcBorders>
                  <w:vAlign w:val="top"/>
                </w:tcPr>
                <w:p>
                  <w:pPr>
                    <w:spacing w:line="344" w:lineRule="auto"/>
                    <w:rPr>
                      <w:rFonts w:ascii="Arial"/>
                      <w:sz w:val="21"/>
                    </w:rPr>
                  </w:pPr>
                </w:p>
                <w:p>
                  <w:pPr>
                    <w:pStyle w:val="6"/>
                    <w:spacing w:before="68" w:line="221" w:lineRule="auto"/>
                    <w:ind w:left="116"/>
                    <w:rPr>
                      <w:sz w:val="21"/>
                      <w:szCs w:val="21"/>
                    </w:rPr>
                  </w:pPr>
                  <w:r>
                    <w:rPr>
                      <w:rFonts w:ascii="Times New Roman" w:hAnsi="Times New Roman" w:eastAsia="Times New Roman" w:cs="Times New Roman"/>
                      <w:spacing w:val="-6"/>
                      <w:sz w:val="21"/>
                      <w:szCs w:val="21"/>
                    </w:rPr>
                    <w:t>9</w:t>
                  </w:r>
                  <w:r>
                    <w:rPr>
                      <w:rFonts w:ascii="Times New Roman" w:hAnsi="Times New Roman" w:eastAsia="Times New Roman" w:cs="Times New Roman"/>
                      <w:spacing w:val="14"/>
                      <w:w w:val="101"/>
                      <w:sz w:val="21"/>
                      <w:szCs w:val="21"/>
                    </w:rPr>
                    <w:t xml:space="preserve"> </w:t>
                  </w:r>
                  <w:r>
                    <w:rPr>
                      <w:spacing w:val="-6"/>
                      <w:sz w:val="21"/>
                      <w:szCs w:val="21"/>
                    </w:rPr>
                    <w:t>月</w:t>
                  </w:r>
                  <w:r>
                    <w:rPr>
                      <w:spacing w:val="-48"/>
                      <w:sz w:val="21"/>
                      <w:szCs w:val="21"/>
                    </w:rPr>
                    <w:t xml:space="preserve"> </w:t>
                  </w:r>
                  <w:r>
                    <w:rPr>
                      <w:rFonts w:ascii="Times New Roman" w:hAnsi="Times New Roman" w:eastAsia="Times New Roman" w:cs="Times New Roman"/>
                      <w:spacing w:val="-6"/>
                      <w:sz w:val="21"/>
                      <w:szCs w:val="21"/>
                    </w:rPr>
                    <w:t>26</w:t>
                  </w:r>
                  <w:r>
                    <w:rPr>
                      <w:rFonts w:ascii="Times New Roman" w:hAnsi="Times New Roman" w:eastAsia="Times New Roman" w:cs="Times New Roman"/>
                      <w:spacing w:val="45"/>
                      <w:sz w:val="21"/>
                      <w:szCs w:val="21"/>
                    </w:rPr>
                    <w:t xml:space="preserve"> </w:t>
                  </w:r>
                  <w:r>
                    <w:rPr>
                      <w:spacing w:val="-6"/>
                      <w:sz w:val="21"/>
                      <w:szCs w:val="21"/>
                    </w:rPr>
                    <w:t>日</w:t>
                  </w:r>
                </w:p>
              </w:tc>
              <w:tc>
                <w:tcPr>
                  <w:tcW w:w="1303" w:type="dxa"/>
                  <w:vAlign w:val="top"/>
                </w:tcPr>
                <w:p>
                  <w:pPr>
                    <w:spacing w:before="103"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N1</w:t>
                  </w:r>
                </w:p>
              </w:tc>
              <w:tc>
                <w:tcPr>
                  <w:tcW w:w="1564" w:type="dxa"/>
                  <w:vAlign w:val="top"/>
                </w:tcPr>
                <w:p>
                  <w:pPr>
                    <w:spacing w:before="103"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567" w:type="dxa"/>
                  <w:vAlign w:val="top"/>
                </w:tcPr>
                <w:p>
                  <w:pPr>
                    <w:spacing w:before="103"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600" w:type="dxa"/>
                  <w:vAlign w:val="top"/>
                </w:tcPr>
                <w:p>
                  <w:pPr>
                    <w:pStyle w:val="6"/>
                    <w:spacing w:before="65" w:line="221" w:lineRule="auto"/>
                    <w:ind w:left="596"/>
                    <w:rPr>
                      <w:sz w:val="21"/>
                      <w:szCs w:val="21"/>
                    </w:rPr>
                  </w:pPr>
                  <w:r>
                    <w:rPr>
                      <w:spacing w:val="-2"/>
                      <w:sz w:val="21"/>
                      <w:szCs w:val="21"/>
                    </w:rPr>
                    <w:t>达标</w:t>
                  </w:r>
                </w:p>
              </w:tc>
              <w:tc>
                <w:tcPr>
                  <w:tcW w:w="1466" w:type="dxa"/>
                  <w:vAlign w:val="top"/>
                </w:tcPr>
                <w:p>
                  <w:pPr>
                    <w:pStyle w:val="6"/>
                    <w:spacing w:before="65" w:line="221" w:lineRule="auto"/>
                    <w:ind w:left="52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10" w:type="dxa"/>
                  <w:vMerge w:val="continue"/>
                  <w:tcBorders>
                    <w:top w:val="nil"/>
                    <w:bottom w:val="nil"/>
                  </w:tcBorders>
                  <w:vAlign w:val="top"/>
                </w:tcPr>
                <w:p>
                  <w:pPr>
                    <w:rPr>
                      <w:rFonts w:ascii="Arial"/>
                      <w:sz w:val="21"/>
                    </w:rPr>
                  </w:pPr>
                </w:p>
              </w:tc>
              <w:tc>
                <w:tcPr>
                  <w:tcW w:w="1303" w:type="dxa"/>
                  <w:vAlign w:val="top"/>
                </w:tcPr>
                <w:p>
                  <w:pPr>
                    <w:spacing w:before="103"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N2</w:t>
                  </w:r>
                </w:p>
              </w:tc>
              <w:tc>
                <w:tcPr>
                  <w:tcW w:w="1564" w:type="dxa"/>
                  <w:vAlign w:val="top"/>
                </w:tcPr>
                <w:p>
                  <w:pPr>
                    <w:spacing w:before="106" w:line="184"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567" w:type="dxa"/>
                  <w:vAlign w:val="top"/>
                </w:tcPr>
                <w:p>
                  <w:pPr>
                    <w:spacing w:before="103"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600" w:type="dxa"/>
                  <w:vAlign w:val="top"/>
                </w:tcPr>
                <w:p>
                  <w:pPr>
                    <w:pStyle w:val="6"/>
                    <w:spacing w:before="65" w:line="221" w:lineRule="auto"/>
                    <w:ind w:left="596"/>
                    <w:rPr>
                      <w:sz w:val="21"/>
                      <w:szCs w:val="21"/>
                    </w:rPr>
                  </w:pPr>
                  <w:r>
                    <w:rPr>
                      <w:spacing w:val="-2"/>
                      <w:sz w:val="21"/>
                      <w:szCs w:val="21"/>
                    </w:rPr>
                    <w:t>达标</w:t>
                  </w:r>
                </w:p>
              </w:tc>
              <w:tc>
                <w:tcPr>
                  <w:tcW w:w="1466" w:type="dxa"/>
                  <w:vAlign w:val="top"/>
                </w:tcPr>
                <w:p>
                  <w:pPr>
                    <w:pStyle w:val="6"/>
                    <w:spacing w:before="65" w:line="221" w:lineRule="auto"/>
                    <w:ind w:left="52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0" w:type="dxa"/>
                  <w:vMerge w:val="continue"/>
                  <w:tcBorders>
                    <w:top w:val="nil"/>
                  </w:tcBorders>
                  <w:vAlign w:val="top"/>
                </w:tcPr>
                <w:p>
                  <w:pPr>
                    <w:rPr>
                      <w:rFonts w:ascii="Arial"/>
                      <w:sz w:val="21"/>
                    </w:rPr>
                  </w:pPr>
                </w:p>
              </w:tc>
              <w:tc>
                <w:tcPr>
                  <w:tcW w:w="1303" w:type="dxa"/>
                  <w:vAlign w:val="top"/>
                </w:tcPr>
                <w:p>
                  <w:pPr>
                    <w:spacing w:before="107"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N3</w:t>
                  </w:r>
                </w:p>
              </w:tc>
              <w:tc>
                <w:tcPr>
                  <w:tcW w:w="1564" w:type="dxa"/>
                  <w:vAlign w:val="top"/>
                </w:tcPr>
                <w:p>
                  <w:pPr>
                    <w:spacing w:before="107"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567" w:type="dxa"/>
                  <w:vAlign w:val="top"/>
                </w:tcPr>
                <w:p>
                  <w:pPr>
                    <w:spacing w:before="107"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600" w:type="dxa"/>
                  <w:vAlign w:val="top"/>
                </w:tcPr>
                <w:p>
                  <w:pPr>
                    <w:pStyle w:val="6"/>
                    <w:spacing w:before="68" w:line="221" w:lineRule="auto"/>
                    <w:ind w:left="596"/>
                    <w:rPr>
                      <w:sz w:val="21"/>
                      <w:szCs w:val="21"/>
                    </w:rPr>
                  </w:pPr>
                  <w:r>
                    <w:rPr>
                      <w:spacing w:val="-2"/>
                      <w:sz w:val="21"/>
                      <w:szCs w:val="21"/>
                    </w:rPr>
                    <w:t>达标</w:t>
                  </w:r>
                </w:p>
              </w:tc>
              <w:tc>
                <w:tcPr>
                  <w:tcW w:w="1466" w:type="dxa"/>
                  <w:vAlign w:val="top"/>
                </w:tcPr>
                <w:p>
                  <w:pPr>
                    <w:pStyle w:val="6"/>
                    <w:spacing w:before="68" w:line="221" w:lineRule="auto"/>
                    <w:ind w:left="52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0" w:type="dxa"/>
                  <w:vMerge w:val="restart"/>
                  <w:tcBorders>
                    <w:bottom w:val="nil"/>
                  </w:tcBorders>
                  <w:vAlign w:val="top"/>
                </w:tcPr>
                <w:p>
                  <w:pPr>
                    <w:spacing w:line="346" w:lineRule="auto"/>
                    <w:rPr>
                      <w:rFonts w:ascii="Arial"/>
                      <w:sz w:val="21"/>
                    </w:rPr>
                  </w:pPr>
                </w:p>
                <w:p>
                  <w:pPr>
                    <w:pStyle w:val="6"/>
                    <w:spacing w:before="68" w:line="221" w:lineRule="auto"/>
                    <w:ind w:left="116"/>
                    <w:rPr>
                      <w:sz w:val="21"/>
                      <w:szCs w:val="21"/>
                    </w:rPr>
                  </w:pPr>
                  <w:r>
                    <w:rPr>
                      <w:rFonts w:ascii="Times New Roman" w:hAnsi="Times New Roman" w:eastAsia="Times New Roman" w:cs="Times New Roman"/>
                      <w:spacing w:val="-6"/>
                      <w:sz w:val="21"/>
                      <w:szCs w:val="21"/>
                    </w:rPr>
                    <w:t>9</w:t>
                  </w:r>
                  <w:r>
                    <w:rPr>
                      <w:rFonts w:ascii="Times New Roman" w:hAnsi="Times New Roman" w:eastAsia="Times New Roman" w:cs="Times New Roman"/>
                      <w:spacing w:val="14"/>
                      <w:w w:val="101"/>
                      <w:sz w:val="21"/>
                      <w:szCs w:val="21"/>
                    </w:rPr>
                    <w:t xml:space="preserve"> </w:t>
                  </w:r>
                  <w:r>
                    <w:rPr>
                      <w:spacing w:val="-6"/>
                      <w:sz w:val="21"/>
                      <w:szCs w:val="21"/>
                    </w:rPr>
                    <w:t>月</w:t>
                  </w:r>
                  <w:r>
                    <w:rPr>
                      <w:spacing w:val="-48"/>
                      <w:sz w:val="21"/>
                      <w:szCs w:val="21"/>
                    </w:rPr>
                    <w:t xml:space="preserve"> </w:t>
                  </w:r>
                  <w:r>
                    <w:rPr>
                      <w:rFonts w:ascii="Times New Roman" w:hAnsi="Times New Roman" w:eastAsia="Times New Roman" w:cs="Times New Roman"/>
                      <w:spacing w:val="-6"/>
                      <w:sz w:val="21"/>
                      <w:szCs w:val="21"/>
                    </w:rPr>
                    <w:t>27</w:t>
                  </w:r>
                  <w:r>
                    <w:rPr>
                      <w:rFonts w:ascii="Times New Roman" w:hAnsi="Times New Roman" w:eastAsia="Times New Roman" w:cs="Times New Roman"/>
                      <w:spacing w:val="45"/>
                      <w:sz w:val="21"/>
                      <w:szCs w:val="21"/>
                    </w:rPr>
                    <w:t xml:space="preserve"> </w:t>
                  </w:r>
                  <w:r>
                    <w:rPr>
                      <w:spacing w:val="-6"/>
                      <w:sz w:val="21"/>
                      <w:szCs w:val="21"/>
                    </w:rPr>
                    <w:t>日</w:t>
                  </w:r>
                </w:p>
              </w:tc>
              <w:tc>
                <w:tcPr>
                  <w:tcW w:w="1303" w:type="dxa"/>
                  <w:vAlign w:val="top"/>
                </w:tcPr>
                <w:p>
                  <w:pPr>
                    <w:spacing w:before="108"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N1</w:t>
                  </w:r>
                </w:p>
              </w:tc>
              <w:tc>
                <w:tcPr>
                  <w:tcW w:w="1564" w:type="dxa"/>
                  <w:vAlign w:val="top"/>
                </w:tcPr>
                <w:p>
                  <w:pPr>
                    <w:spacing w:before="111" w:line="184"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567" w:type="dxa"/>
                  <w:vAlign w:val="top"/>
                </w:tcPr>
                <w:p>
                  <w:pPr>
                    <w:spacing w:before="108"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600" w:type="dxa"/>
                  <w:vAlign w:val="top"/>
                </w:tcPr>
                <w:p>
                  <w:pPr>
                    <w:pStyle w:val="6"/>
                    <w:spacing w:before="69" w:line="221" w:lineRule="auto"/>
                    <w:ind w:left="596"/>
                    <w:rPr>
                      <w:sz w:val="21"/>
                      <w:szCs w:val="21"/>
                    </w:rPr>
                  </w:pPr>
                  <w:r>
                    <w:rPr>
                      <w:spacing w:val="-2"/>
                      <w:sz w:val="21"/>
                      <w:szCs w:val="21"/>
                    </w:rPr>
                    <w:t>达标</w:t>
                  </w:r>
                </w:p>
              </w:tc>
              <w:tc>
                <w:tcPr>
                  <w:tcW w:w="1466" w:type="dxa"/>
                  <w:vAlign w:val="top"/>
                </w:tcPr>
                <w:p>
                  <w:pPr>
                    <w:pStyle w:val="6"/>
                    <w:spacing w:before="69" w:line="221" w:lineRule="auto"/>
                    <w:ind w:left="52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0" w:type="dxa"/>
                  <w:vMerge w:val="continue"/>
                  <w:tcBorders>
                    <w:top w:val="nil"/>
                    <w:bottom w:val="nil"/>
                  </w:tcBorders>
                  <w:vAlign w:val="top"/>
                </w:tcPr>
                <w:p>
                  <w:pPr>
                    <w:rPr>
                      <w:rFonts w:ascii="Arial"/>
                      <w:sz w:val="21"/>
                    </w:rPr>
                  </w:pPr>
                </w:p>
              </w:tc>
              <w:tc>
                <w:tcPr>
                  <w:tcW w:w="1303" w:type="dxa"/>
                  <w:vAlign w:val="top"/>
                </w:tcPr>
                <w:p>
                  <w:pPr>
                    <w:spacing w:before="106"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N2</w:t>
                  </w:r>
                </w:p>
              </w:tc>
              <w:tc>
                <w:tcPr>
                  <w:tcW w:w="1564" w:type="dxa"/>
                  <w:vAlign w:val="top"/>
                </w:tcPr>
                <w:p>
                  <w:pPr>
                    <w:spacing w:before="106"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567" w:type="dxa"/>
                  <w:vAlign w:val="top"/>
                </w:tcPr>
                <w:p>
                  <w:pPr>
                    <w:spacing w:before="106"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600" w:type="dxa"/>
                  <w:vAlign w:val="top"/>
                </w:tcPr>
                <w:p>
                  <w:pPr>
                    <w:pStyle w:val="6"/>
                    <w:spacing w:before="67" w:line="221" w:lineRule="auto"/>
                    <w:ind w:left="596"/>
                    <w:rPr>
                      <w:sz w:val="21"/>
                      <w:szCs w:val="21"/>
                    </w:rPr>
                  </w:pPr>
                  <w:r>
                    <w:rPr>
                      <w:spacing w:val="-2"/>
                      <w:sz w:val="21"/>
                      <w:szCs w:val="21"/>
                    </w:rPr>
                    <w:t>达标</w:t>
                  </w:r>
                </w:p>
              </w:tc>
              <w:tc>
                <w:tcPr>
                  <w:tcW w:w="1466" w:type="dxa"/>
                  <w:vAlign w:val="top"/>
                </w:tcPr>
                <w:p>
                  <w:pPr>
                    <w:pStyle w:val="6"/>
                    <w:spacing w:before="67" w:line="221" w:lineRule="auto"/>
                    <w:ind w:left="52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0" w:type="dxa"/>
                  <w:vMerge w:val="continue"/>
                  <w:tcBorders>
                    <w:top w:val="nil"/>
                  </w:tcBorders>
                  <w:vAlign w:val="top"/>
                </w:tcPr>
                <w:p>
                  <w:pPr>
                    <w:rPr>
                      <w:rFonts w:ascii="Arial"/>
                      <w:sz w:val="21"/>
                    </w:rPr>
                  </w:pPr>
                </w:p>
              </w:tc>
              <w:tc>
                <w:tcPr>
                  <w:tcW w:w="1303" w:type="dxa"/>
                  <w:vAlign w:val="top"/>
                </w:tcPr>
                <w:p>
                  <w:pPr>
                    <w:spacing w:before="106"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N3</w:t>
                  </w:r>
                </w:p>
              </w:tc>
              <w:tc>
                <w:tcPr>
                  <w:tcW w:w="1564" w:type="dxa"/>
                  <w:vAlign w:val="top"/>
                </w:tcPr>
                <w:p>
                  <w:pPr>
                    <w:spacing w:before="106"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567" w:type="dxa"/>
                  <w:vAlign w:val="top"/>
                </w:tcPr>
                <w:p>
                  <w:pPr>
                    <w:spacing w:before="106"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44</w:t>
                  </w:r>
                </w:p>
              </w:tc>
              <w:tc>
                <w:tcPr>
                  <w:tcW w:w="1600" w:type="dxa"/>
                  <w:vAlign w:val="top"/>
                </w:tcPr>
                <w:p>
                  <w:pPr>
                    <w:pStyle w:val="6"/>
                    <w:spacing w:before="68" w:line="221" w:lineRule="auto"/>
                    <w:ind w:left="596"/>
                    <w:rPr>
                      <w:sz w:val="21"/>
                      <w:szCs w:val="21"/>
                    </w:rPr>
                  </w:pPr>
                  <w:r>
                    <w:rPr>
                      <w:spacing w:val="-2"/>
                      <w:sz w:val="21"/>
                      <w:szCs w:val="21"/>
                    </w:rPr>
                    <w:t>达标</w:t>
                  </w:r>
                </w:p>
              </w:tc>
              <w:tc>
                <w:tcPr>
                  <w:tcW w:w="1466" w:type="dxa"/>
                  <w:vAlign w:val="top"/>
                </w:tcPr>
                <w:p>
                  <w:pPr>
                    <w:pStyle w:val="6"/>
                    <w:spacing w:before="68" w:line="221" w:lineRule="auto"/>
                    <w:ind w:left="52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10" w:type="dxa"/>
                  <w:vAlign w:val="top"/>
                </w:tcPr>
                <w:p>
                  <w:pPr>
                    <w:pStyle w:val="6"/>
                    <w:spacing w:before="67" w:line="221" w:lineRule="auto"/>
                    <w:ind w:left="280"/>
                    <w:rPr>
                      <w:sz w:val="21"/>
                      <w:szCs w:val="21"/>
                    </w:rPr>
                  </w:pPr>
                  <w:r>
                    <w:rPr>
                      <w:spacing w:val="-12"/>
                      <w:sz w:val="21"/>
                      <w:szCs w:val="21"/>
                    </w:rPr>
                    <w:t>标准值</w:t>
                  </w:r>
                </w:p>
              </w:tc>
              <w:tc>
                <w:tcPr>
                  <w:tcW w:w="1303" w:type="dxa"/>
                  <w:vAlign w:val="top"/>
                </w:tcPr>
                <w:p>
                  <w:pPr>
                    <w:spacing w:before="103" w:line="233" w:lineRule="auto"/>
                    <w:ind w:left="6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64" w:type="dxa"/>
                  <w:vAlign w:val="top"/>
                </w:tcPr>
                <w:p>
                  <w:pPr>
                    <w:spacing w:before="106" w:line="187"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567" w:type="dxa"/>
                  <w:vAlign w:val="top"/>
                </w:tcPr>
                <w:p>
                  <w:pPr>
                    <w:spacing w:before="106" w:line="187" w:lineRule="auto"/>
                    <w:ind w:left="6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00" w:type="dxa"/>
                  <w:vAlign w:val="top"/>
                </w:tcPr>
                <w:p>
                  <w:pPr>
                    <w:spacing w:before="103" w:line="233" w:lineRule="auto"/>
                    <w:ind w:left="76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66" w:type="dxa"/>
                  <w:vAlign w:val="top"/>
                </w:tcPr>
                <w:p>
                  <w:pPr>
                    <w:spacing w:before="103" w:line="233" w:lineRule="auto"/>
                    <w:ind w:left="70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178" w:line="369" w:lineRule="auto"/>
              <w:ind w:left="108" w:right="102" w:firstLine="508"/>
              <w:jc w:val="both"/>
              <w:rPr>
                <w:sz w:val="24"/>
                <w:szCs w:val="24"/>
              </w:rPr>
            </w:pPr>
            <w:r>
              <w:rPr>
                <w:spacing w:val="-8"/>
                <w:sz w:val="24"/>
                <w:szCs w:val="24"/>
              </w:rPr>
              <w:t>由上表可知，</w:t>
            </w:r>
            <w:r>
              <w:rPr>
                <w:spacing w:val="56"/>
                <w:sz w:val="24"/>
                <w:szCs w:val="24"/>
              </w:rPr>
              <w:t xml:space="preserve"> </w:t>
            </w:r>
            <w:r>
              <w:rPr>
                <w:spacing w:val="-8"/>
                <w:sz w:val="24"/>
                <w:szCs w:val="24"/>
              </w:rPr>
              <w:t>本项目所在区域环境噪声昼、夜间等效声级值均达到《声环境质</w:t>
            </w:r>
            <w:r>
              <w:rPr>
                <w:sz w:val="24"/>
                <w:szCs w:val="24"/>
              </w:rPr>
              <w:t xml:space="preserve"> </w:t>
            </w:r>
            <w:r>
              <w:rPr>
                <w:spacing w:val="-1"/>
                <w:sz w:val="24"/>
                <w:szCs w:val="24"/>
              </w:rPr>
              <w:t>量标准》（</w:t>
            </w:r>
            <w:r>
              <w:rPr>
                <w:rFonts w:ascii="Times New Roman" w:hAnsi="Times New Roman" w:eastAsia="Times New Roman" w:cs="Times New Roman"/>
                <w:spacing w:val="-1"/>
                <w:sz w:val="24"/>
                <w:szCs w:val="24"/>
              </w:rPr>
              <w:t>GB3096-2008</w:t>
            </w:r>
            <w:r>
              <w:rPr>
                <w:spacing w:val="-1"/>
                <w:sz w:val="24"/>
                <w:szCs w:val="24"/>
              </w:rPr>
              <w:t xml:space="preserve">）中的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8"/>
                <w:w w:val="101"/>
                <w:sz w:val="24"/>
                <w:szCs w:val="24"/>
              </w:rPr>
              <w:t xml:space="preserve"> </w:t>
            </w:r>
            <w:r>
              <w:rPr>
                <w:spacing w:val="-1"/>
                <w:sz w:val="24"/>
                <w:szCs w:val="24"/>
              </w:rPr>
              <w:t>类声环境功</w:t>
            </w:r>
            <w:r>
              <w:rPr>
                <w:spacing w:val="-2"/>
                <w:sz w:val="24"/>
                <w:szCs w:val="24"/>
              </w:rPr>
              <w:t>能区环境标准。表明区域声环境质量</w:t>
            </w:r>
          </w:p>
          <w:p>
            <w:pPr>
              <w:pStyle w:val="6"/>
              <w:spacing w:before="1" w:line="219" w:lineRule="auto"/>
              <w:ind w:left="110"/>
              <w:rPr>
                <w:sz w:val="24"/>
                <w:szCs w:val="24"/>
              </w:rPr>
            </w:pPr>
            <w:r>
              <w:rPr>
                <w:spacing w:val="-6"/>
                <w:sz w:val="24"/>
                <w:szCs w:val="24"/>
              </w:rPr>
              <w:t>现状良好。</w:t>
            </w:r>
          </w:p>
          <w:p>
            <w:pPr>
              <w:pStyle w:val="6"/>
              <w:spacing w:before="225" w:line="220" w:lineRule="auto"/>
              <w:ind w:left="102"/>
              <w:rPr>
                <w:sz w:val="24"/>
                <w:szCs w:val="24"/>
              </w:rPr>
            </w:pPr>
            <w:r>
              <w:rPr>
                <w:rFonts w:ascii="Times New Roman" w:hAnsi="Times New Roman" w:eastAsia="Times New Roman" w:cs="Times New Roman"/>
                <w:b/>
                <w:bCs/>
                <w:sz w:val="24"/>
                <w:szCs w:val="24"/>
              </w:rPr>
              <w:t xml:space="preserve">3.3.4 </w:t>
            </w:r>
            <w:r>
              <w:rPr>
                <w:sz w:val="24"/>
                <w:szCs w:val="24"/>
                <w14:textOutline w14:w="4354" w14:cap="flat" w14:cmpd="sng">
                  <w14:solidFill>
                    <w14:srgbClr w14:val="000000"/>
                  </w14:solidFill>
                  <w14:prstDash w14:val="solid"/>
                  <w14:miter w14:val="10"/>
                </w14:textOutline>
              </w:rPr>
              <w:t>地下水环境质量现状</w:t>
            </w:r>
          </w:p>
          <w:p>
            <w:pPr>
              <w:pStyle w:val="6"/>
              <w:spacing w:before="203" w:line="369" w:lineRule="auto"/>
              <w:ind w:left="125" w:right="101" w:firstLine="466"/>
              <w:jc w:val="both"/>
              <w:rPr>
                <w:rFonts w:ascii="Times New Roman" w:hAnsi="Times New Roman" w:eastAsia="Times New Roman" w:cs="Times New Roman"/>
                <w:sz w:val="24"/>
                <w:szCs w:val="24"/>
              </w:rPr>
            </w:pPr>
            <w:r>
              <w:rPr>
                <w:spacing w:val="-6"/>
                <w:sz w:val="24"/>
                <w:szCs w:val="24"/>
              </w:rPr>
              <w:t>为了解项目所在区域地下水环境质量现状，</w:t>
            </w:r>
            <w:r>
              <w:rPr>
                <w:spacing w:val="45"/>
                <w:sz w:val="24"/>
                <w:szCs w:val="24"/>
              </w:rPr>
              <w:t xml:space="preserve"> </w:t>
            </w:r>
            <w:r>
              <w:rPr>
                <w:spacing w:val="-6"/>
                <w:sz w:val="24"/>
                <w:szCs w:val="24"/>
              </w:rPr>
              <w:t>本次评价委托四川华皓检测技术有</w:t>
            </w:r>
            <w:r>
              <w:rPr>
                <w:sz w:val="24"/>
                <w:szCs w:val="24"/>
              </w:rPr>
              <w:t xml:space="preserve"> </w:t>
            </w:r>
            <w:r>
              <w:rPr>
                <w:spacing w:val="-1"/>
                <w:sz w:val="24"/>
                <w:szCs w:val="24"/>
              </w:rPr>
              <w:t>限公司对项目临时占地周边地下水水质进行了实</w:t>
            </w:r>
            <w:r>
              <w:rPr>
                <w:spacing w:val="-2"/>
                <w:sz w:val="24"/>
                <w:szCs w:val="24"/>
              </w:rPr>
              <w:t xml:space="preserve">测，在井场上下游及侧向共设置 </w:t>
            </w:r>
            <w:r>
              <w:rPr>
                <w:rFonts w:ascii="Times New Roman" w:hAnsi="Times New Roman" w:eastAsia="Times New Roman" w:cs="Times New Roman"/>
                <w:spacing w:val="-2"/>
                <w:sz w:val="24"/>
                <w:szCs w:val="24"/>
              </w:rPr>
              <w:t>5</w:t>
            </w:r>
          </w:p>
          <w:p>
            <w:pPr>
              <w:pStyle w:val="6"/>
              <w:spacing w:before="1" w:line="219" w:lineRule="auto"/>
              <w:ind w:left="108"/>
              <w:rPr>
                <w:sz w:val="24"/>
                <w:szCs w:val="24"/>
              </w:rPr>
            </w:pPr>
            <w:r>
              <w:rPr>
                <w:spacing w:val="-1"/>
                <w:sz w:val="24"/>
                <w:szCs w:val="24"/>
              </w:rPr>
              <w:t>个地下水水质监测点，各监测点位具有区域地下</w:t>
            </w:r>
            <w:r>
              <w:rPr>
                <w:spacing w:val="-2"/>
                <w:sz w:val="24"/>
                <w:szCs w:val="24"/>
              </w:rPr>
              <w:t>水水质情况代表性。</w:t>
            </w:r>
          </w:p>
          <w:p>
            <w:pPr>
              <w:pStyle w:val="6"/>
              <w:spacing w:before="195" w:line="217" w:lineRule="auto"/>
              <w:ind w:left="587"/>
              <w:rPr>
                <w:sz w:val="24"/>
                <w:szCs w:val="24"/>
              </w:rPr>
            </w:pPr>
            <w:r>
              <w:rPr>
                <w:spacing w:val="-1"/>
                <w:sz w:val="24"/>
                <w:szCs w:val="24"/>
              </w:rPr>
              <w:t>①监测布点及因子</w:t>
            </w:r>
          </w:p>
          <w:p>
            <w:pPr>
              <w:pStyle w:val="6"/>
              <w:spacing w:before="197" w:line="219" w:lineRule="auto"/>
              <w:ind w:left="587"/>
              <w:rPr>
                <w:sz w:val="24"/>
                <w:szCs w:val="24"/>
              </w:rPr>
            </w:pPr>
            <w:r>
              <w:rPr>
                <w:spacing w:val="-4"/>
                <w:sz w:val="24"/>
                <w:szCs w:val="24"/>
              </w:rPr>
              <w:t>共布设</w:t>
            </w:r>
            <w:r>
              <w:rPr>
                <w:spacing w:val="-33"/>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个监测点，具体详见下表。</w:t>
            </w:r>
          </w:p>
          <w:p>
            <w:pPr>
              <w:pStyle w:val="6"/>
              <w:spacing w:before="195" w:line="219" w:lineRule="auto"/>
              <w:ind w:left="2268"/>
              <w:rPr>
                <w:sz w:val="24"/>
                <w:szCs w:val="24"/>
              </w:rPr>
            </w:pPr>
            <w:r>
              <w:rPr>
                <w:sz w:val="24"/>
                <w:szCs w:val="24"/>
                <w14:textOutline w14:w="4354" w14:cap="flat" w14:cmpd="sng">
                  <w14:solidFill>
                    <w14:srgbClr w14:val="000000"/>
                  </w14:solidFill>
                  <w14:prstDash w14:val="solid"/>
                  <w14:miter w14:val="10"/>
                </w14:textOutline>
              </w:rPr>
              <w:t>表</w:t>
            </w:r>
            <w:r>
              <w:rPr>
                <w:spacing w:val="-54"/>
                <w:sz w:val="24"/>
                <w:szCs w:val="24"/>
              </w:rPr>
              <w:t xml:space="preserve"> </w:t>
            </w:r>
            <w:r>
              <w:rPr>
                <w:rFonts w:ascii="Times New Roman" w:hAnsi="Times New Roman" w:eastAsia="Times New Roman" w:cs="Times New Roman"/>
                <w:b/>
                <w:bCs/>
                <w:sz w:val="24"/>
                <w:szCs w:val="24"/>
              </w:rPr>
              <w:t xml:space="preserve">3.3-6  </w:t>
            </w:r>
            <w:r>
              <w:rPr>
                <w:sz w:val="24"/>
                <w:szCs w:val="24"/>
                <w14:textOutline w14:w="4354" w14:cap="flat" w14:cmpd="sng">
                  <w14:solidFill>
                    <w14:srgbClr w14:val="000000"/>
                  </w14:solidFill>
                  <w14:prstDash w14:val="solid"/>
                  <w14:miter w14:val="10"/>
                </w14:textOutline>
              </w:rPr>
              <w:t>地下水质量现状监测布点情</w:t>
            </w:r>
            <w:r>
              <w:rPr>
                <w:spacing w:val="-1"/>
                <w:sz w:val="24"/>
                <w:szCs w:val="24"/>
                <w14:textOutline w14:w="4354" w14:cap="flat" w14:cmpd="sng">
                  <w14:solidFill>
                    <w14:srgbClr w14:val="000000"/>
                  </w14:solidFill>
                  <w14:prstDash w14:val="solid"/>
                  <w14:miter w14:val="10"/>
                </w14:textOutline>
              </w:rPr>
              <w:t>况表</w:t>
            </w:r>
          </w:p>
          <w:p>
            <w:pPr>
              <w:spacing w:line="18" w:lineRule="exact"/>
            </w:pPr>
          </w:p>
          <w:tbl>
            <w:tblPr>
              <w:tblStyle w:val="5"/>
              <w:tblW w:w="861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557"/>
              <w:gridCol w:w="1276"/>
              <w:gridCol w:w="48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967" w:type="dxa"/>
                  <w:vAlign w:val="top"/>
                </w:tcPr>
                <w:p>
                  <w:pPr>
                    <w:pStyle w:val="6"/>
                    <w:spacing w:before="37" w:line="223" w:lineRule="auto"/>
                    <w:ind w:left="176" w:right="165" w:hanging="4"/>
                    <w:rPr>
                      <w:sz w:val="21"/>
                      <w:szCs w:val="21"/>
                    </w:rPr>
                  </w:pPr>
                  <w:r>
                    <w:rPr>
                      <w:spacing w:val="-2"/>
                      <w:sz w:val="21"/>
                      <w:szCs w:val="21"/>
                    </w:rPr>
                    <w:t>监测报</w:t>
                  </w:r>
                  <w:r>
                    <w:rPr>
                      <w:sz w:val="21"/>
                      <w:szCs w:val="21"/>
                    </w:rPr>
                    <w:t xml:space="preserve"> </w:t>
                  </w:r>
                  <w:r>
                    <w:rPr>
                      <w:spacing w:val="-4"/>
                      <w:sz w:val="21"/>
                      <w:szCs w:val="21"/>
                    </w:rPr>
                    <w:t>告编号</w:t>
                  </w:r>
                </w:p>
              </w:tc>
              <w:tc>
                <w:tcPr>
                  <w:tcW w:w="1557" w:type="dxa"/>
                  <w:vAlign w:val="top"/>
                </w:tcPr>
                <w:p>
                  <w:pPr>
                    <w:pStyle w:val="6"/>
                    <w:spacing w:before="36" w:line="221" w:lineRule="auto"/>
                    <w:ind w:left="151"/>
                    <w:rPr>
                      <w:sz w:val="21"/>
                      <w:szCs w:val="21"/>
                    </w:rPr>
                  </w:pPr>
                  <w:r>
                    <w:rPr>
                      <w:spacing w:val="-1"/>
                      <w:sz w:val="21"/>
                      <w:szCs w:val="21"/>
                    </w:rPr>
                    <w:t>对应地下水环</w:t>
                  </w:r>
                </w:p>
                <w:p>
                  <w:pPr>
                    <w:pStyle w:val="6"/>
                    <w:spacing w:before="20" w:line="208" w:lineRule="auto"/>
                    <w:ind w:left="258"/>
                    <w:rPr>
                      <w:sz w:val="21"/>
                      <w:szCs w:val="21"/>
                    </w:rPr>
                  </w:pPr>
                  <w:r>
                    <w:rPr>
                      <w:spacing w:val="-2"/>
                      <w:sz w:val="21"/>
                      <w:szCs w:val="21"/>
                    </w:rPr>
                    <w:t>境保护目标</w:t>
                  </w:r>
                </w:p>
              </w:tc>
              <w:tc>
                <w:tcPr>
                  <w:tcW w:w="1276" w:type="dxa"/>
                  <w:vAlign w:val="top"/>
                </w:tcPr>
                <w:p>
                  <w:pPr>
                    <w:pStyle w:val="6"/>
                    <w:spacing w:before="171" w:line="222" w:lineRule="auto"/>
                    <w:ind w:left="118"/>
                    <w:rPr>
                      <w:sz w:val="21"/>
                      <w:szCs w:val="21"/>
                    </w:rPr>
                  </w:pPr>
                  <w:r>
                    <w:rPr>
                      <w:spacing w:val="-2"/>
                      <w:sz w:val="21"/>
                      <w:szCs w:val="21"/>
                    </w:rPr>
                    <w:t>监测点位置</w:t>
                  </w:r>
                </w:p>
              </w:tc>
              <w:tc>
                <w:tcPr>
                  <w:tcW w:w="4810" w:type="dxa"/>
                  <w:vAlign w:val="top"/>
                </w:tcPr>
                <w:p>
                  <w:pPr>
                    <w:pStyle w:val="6"/>
                    <w:spacing w:before="171" w:line="221" w:lineRule="auto"/>
                    <w:ind w:left="1989"/>
                    <w:rPr>
                      <w:sz w:val="21"/>
                      <w:szCs w:val="21"/>
                    </w:rPr>
                  </w:pPr>
                  <w:r>
                    <w:rPr>
                      <w:spacing w:val="-2"/>
                      <w:sz w:val="21"/>
                      <w:szCs w:val="21"/>
                    </w:rPr>
                    <w:t>监测因子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67" w:type="dxa"/>
                  <w:vAlign w:val="top"/>
                </w:tcPr>
                <w:p>
                  <w:pPr>
                    <w:spacing w:before="2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z w:val="21"/>
                      <w:szCs w:val="21"/>
                    </w:rPr>
                    <w:t>WX1</w:t>
                  </w:r>
                </w:p>
              </w:tc>
              <w:tc>
                <w:tcPr>
                  <w:tcW w:w="1557" w:type="dxa"/>
                  <w:vAlign w:val="top"/>
                </w:tcPr>
                <w:p>
                  <w:pPr>
                    <w:spacing w:before="203"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Q10</w:t>
                  </w:r>
                </w:p>
              </w:tc>
              <w:tc>
                <w:tcPr>
                  <w:tcW w:w="1276" w:type="dxa"/>
                  <w:vAlign w:val="top"/>
                </w:tcPr>
                <w:p>
                  <w:pPr>
                    <w:pStyle w:val="6"/>
                    <w:spacing w:before="31" w:line="222" w:lineRule="auto"/>
                    <w:ind w:left="270" w:right="108" w:hanging="153"/>
                    <w:rPr>
                      <w:rFonts w:ascii="Times New Roman" w:hAnsi="Times New Roman" w:eastAsia="Times New Roman" w:cs="Times New Roman"/>
                      <w:sz w:val="21"/>
                      <w:szCs w:val="21"/>
                    </w:rPr>
                  </w:pPr>
                  <w:r>
                    <w:rPr>
                      <w:spacing w:val="-1"/>
                      <w:sz w:val="21"/>
                      <w:szCs w:val="21"/>
                    </w:rPr>
                    <w:t>井口东南下</w:t>
                  </w:r>
                  <w:r>
                    <w:rPr>
                      <w:sz w:val="21"/>
                      <w:szCs w:val="21"/>
                    </w:rPr>
                    <w:t xml:space="preserve"> </w:t>
                  </w:r>
                  <w:r>
                    <w:rPr>
                      <w:spacing w:val="-3"/>
                      <w:sz w:val="21"/>
                      <w:szCs w:val="21"/>
                    </w:rPr>
                    <w:t>游</w:t>
                  </w:r>
                  <w:r>
                    <w:rPr>
                      <w:spacing w:val="-41"/>
                      <w:sz w:val="21"/>
                      <w:szCs w:val="21"/>
                    </w:rPr>
                    <w:t xml:space="preserve"> </w:t>
                  </w:r>
                  <w:r>
                    <w:rPr>
                      <w:rFonts w:ascii="Times New Roman" w:hAnsi="Times New Roman" w:eastAsia="Times New Roman" w:cs="Times New Roman"/>
                      <w:spacing w:val="-3"/>
                      <w:sz w:val="21"/>
                      <w:szCs w:val="21"/>
                    </w:rPr>
                    <w:t>967m</w:t>
                  </w:r>
                </w:p>
              </w:tc>
              <w:tc>
                <w:tcPr>
                  <w:tcW w:w="4810" w:type="dxa"/>
                  <w:vMerge w:val="restart"/>
                  <w:tcBorders>
                    <w:bottom w:val="nil"/>
                  </w:tcBorders>
                  <w:vAlign w:val="top"/>
                </w:tcPr>
                <w:p>
                  <w:pPr>
                    <w:spacing w:line="388" w:lineRule="auto"/>
                    <w:rPr>
                      <w:rFonts w:ascii="Arial"/>
                      <w:sz w:val="21"/>
                    </w:rPr>
                  </w:pPr>
                </w:p>
                <w:p>
                  <w:pPr>
                    <w:pStyle w:val="6"/>
                    <w:spacing w:before="68" w:line="231" w:lineRule="auto"/>
                    <w:ind w:left="112" w:right="33" w:firstLine="4"/>
                    <w:rPr>
                      <w:sz w:val="21"/>
                      <w:szCs w:val="21"/>
                    </w:rPr>
                  </w:pPr>
                  <w:r>
                    <w:rPr>
                      <w:spacing w:val="-22"/>
                      <w:sz w:val="21"/>
                      <w:szCs w:val="21"/>
                      <w14:textOutline w14:w="3831" w14:cap="flat" w14:cmpd="sng">
                        <w14:solidFill>
                          <w14:srgbClr w14:val="000000"/>
                        </w14:solidFill>
                        <w14:prstDash w14:val="solid"/>
                        <w14:miter w14:val="10"/>
                      </w14:textOutline>
                    </w:rPr>
                    <w:t>八大离子：</w:t>
                  </w:r>
                  <w:r>
                    <w:rPr>
                      <w:spacing w:val="15"/>
                      <w:sz w:val="21"/>
                      <w:szCs w:val="21"/>
                    </w:rPr>
                    <w:t xml:space="preserve"> </w:t>
                  </w:r>
                  <w:r>
                    <w:rPr>
                      <w:rFonts w:ascii="Times New Roman" w:hAnsi="Times New Roman" w:eastAsia="Times New Roman" w:cs="Times New Roman"/>
                      <w:spacing w:val="-22"/>
                      <w:sz w:val="21"/>
                      <w:szCs w:val="21"/>
                    </w:rPr>
                    <w:t>K</w:t>
                  </w:r>
                  <w:r>
                    <w:rPr>
                      <w:rFonts w:ascii="Times New Roman" w:hAnsi="Times New Roman" w:eastAsia="Times New Roman" w:cs="Times New Roman"/>
                      <w:spacing w:val="-3"/>
                      <w:position w:val="6"/>
                      <w:sz w:val="13"/>
                      <w:szCs w:val="13"/>
                    </w:rPr>
                    <w:t>+</w:t>
                  </w:r>
                  <w:r>
                    <w:rPr>
                      <w:spacing w:val="-3"/>
                      <w:sz w:val="21"/>
                      <w:szCs w:val="21"/>
                    </w:rPr>
                    <w:t>、</w:t>
                  </w:r>
                  <w:r>
                    <w:rPr>
                      <w:rFonts w:ascii="Times New Roman" w:hAnsi="Times New Roman" w:eastAsia="Times New Roman" w:cs="Times New Roman"/>
                      <w:spacing w:val="-3"/>
                      <w:sz w:val="21"/>
                      <w:szCs w:val="21"/>
                    </w:rPr>
                    <w:t>Na</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1"/>
                      <w:position w:val="6"/>
                      <w:sz w:val="13"/>
                      <w:szCs w:val="13"/>
                    </w:rPr>
                    <w:t xml:space="preserve"> </w:t>
                  </w:r>
                  <w:r>
                    <w:rPr>
                      <w:spacing w:val="-3"/>
                      <w:sz w:val="21"/>
                      <w:szCs w:val="21"/>
                    </w:rPr>
                    <w:t>、</w:t>
                  </w:r>
                  <w:r>
                    <w:rPr>
                      <w:rFonts w:ascii="Times New Roman" w:hAnsi="Times New Roman" w:eastAsia="Times New Roman" w:cs="Times New Roman"/>
                      <w:spacing w:val="-3"/>
                      <w:sz w:val="21"/>
                      <w:szCs w:val="21"/>
                    </w:rPr>
                    <w:t>Ca</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12"/>
                      <w:position w:val="6"/>
                      <w:sz w:val="13"/>
                      <w:szCs w:val="13"/>
                    </w:rPr>
                    <w:t xml:space="preserve"> </w:t>
                  </w:r>
                  <w:r>
                    <w:rPr>
                      <w:spacing w:val="-3"/>
                      <w:sz w:val="21"/>
                      <w:szCs w:val="21"/>
                    </w:rPr>
                    <w:t>、</w:t>
                  </w:r>
                  <w:r>
                    <w:rPr>
                      <w:rFonts w:ascii="Times New Roman" w:hAnsi="Times New Roman" w:eastAsia="Times New Roman" w:cs="Times New Roman"/>
                      <w:spacing w:val="-3"/>
                      <w:sz w:val="21"/>
                      <w:szCs w:val="21"/>
                    </w:rPr>
                    <w:t>Mg</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11"/>
                      <w:position w:val="6"/>
                      <w:sz w:val="13"/>
                      <w:szCs w:val="13"/>
                    </w:rPr>
                    <w:t xml:space="preserve"> </w:t>
                  </w:r>
                  <w:r>
                    <w:rPr>
                      <w:spacing w:val="-3"/>
                      <w:sz w:val="21"/>
                      <w:szCs w:val="21"/>
                    </w:rPr>
                    <w:t>、</w:t>
                  </w:r>
                  <w:r>
                    <w:rPr>
                      <w:rFonts w:ascii="Times New Roman" w:hAnsi="Times New Roman" w:eastAsia="Times New Roman" w:cs="Times New Roman"/>
                      <w:spacing w:val="-3"/>
                      <w:sz w:val="21"/>
                      <w:szCs w:val="21"/>
                    </w:rPr>
                    <w:t>CO</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4"/>
                      <w:position w:val="6"/>
                      <w:sz w:val="13"/>
                      <w:szCs w:val="13"/>
                    </w:rPr>
                    <w:t>-</w:t>
                  </w:r>
                  <w:r>
                    <w:rPr>
                      <w:rFonts w:ascii="Times New Roman" w:hAnsi="Times New Roman" w:eastAsia="Times New Roman" w:cs="Times New Roman"/>
                      <w:spacing w:val="-10"/>
                      <w:position w:val="6"/>
                      <w:sz w:val="13"/>
                      <w:szCs w:val="13"/>
                    </w:rPr>
                    <w:t xml:space="preserve"> </w:t>
                  </w:r>
                  <w:r>
                    <w:rPr>
                      <w:spacing w:val="-4"/>
                      <w:sz w:val="21"/>
                      <w:szCs w:val="21"/>
                    </w:rPr>
                    <w:t>、</w:t>
                  </w:r>
                  <w:r>
                    <w:rPr>
                      <w:rFonts w:ascii="Times New Roman" w:hAnsi="Times New Roman" w:eastAsia="Times New Roman" w:cs="Times New Roman"/>
                      <w:spacing w:val="-4"/>
                      <w:sz w:val="21"/>
                      <w:szCs w:val="21"/>
                    </w:rPr>
                    <w:t>HCO</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position w:val="6"/>
                      <w:sz w:val="13"/>
                      <w:szCs w:val="13"/>
                    </w:rPr>
                    <w:t>-</w:t>
                  </w:r>
                  <w:r>
                    <w:rPr>
                      <w:spacing w:val="-4"/>
                      <w:sz w:val="21"/>
                      <w:szCs w:val="21"/>
                    </w:rPr>
                    <w:t>、</w:t>
                  </w:r>
                  <w:r>
                    <w:rPr>
                      <w:sz w:val="21"/>
                      <w:szCs w:val="21"/>
                    </w:rPr>
                    <w:t xml:space="preserve"> </w:t>
                  </w:r>
                  <w:r>
                    <w:rPr>
                      <w:rFonts w:ascii="Times New Roman" w:hAnsi="Times New Roman" w:eastAsia="Times New Roman" w:cs="Times New Roman"/>
                      <w:spacing w:val="-2"/>
                      <w:sz w:val="21"/>
                      <w:szCs w:val="21"/>
                    </w:rPr>
                    <w:t>Cl</w:t>
                  </w:r>
                  <w:r>
                    <w:rPr>
                      <w:rFonts w:ascii="Times New Roman" w:hAnsi="Times New Roman" w:eastAsia="Times New Roman" w:cs="Times New Roman"/>
                      <w:spacing w:val="-2"/>
                      <w:position w:val="6"/>
                      <w:sz w:val="13"/>
                      <w:szCs w:val="13"/>
                    </w:rPr>
                    <w:t>-</w:t>
                  </w:r>
                  <w:r>
                    <w:rPr>
                      <w:rFonts w:ascii="Times New Roman" w:hAnsi="Times New Roman" w:eastAsia="Times New Roman" w:cs="Times New Roman"/>
                      <w:spacing w:val="-5"/>
                      <w:position w:val="6"/>
                      <w:sz w:val="13"/>
                      <w:szCs w:val="13"/>
                    </w:rPr>
                    <w:t xml:space="preserve"> </w:t>
                  </w:r>
                  <w:r>
                    <w:rPr>
                      <w:spacing w:val="-2"/>
                      <w:sz w:val="21"/>
                      <w:szCs w:val="21"/>
                    </w:rPr>
                    <w:t>、</w:t>
                  </w: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4</w:t>
                  </w:r>
                  <w:r>
                    <w:rPr>
                      <w:rFonts w:ascii="Times New Roman" w:hAnsi="Times New Roman" w:eastAsia="Times New Roman" w:cs="Times New Roman"/>
                      <w:spacing w:val="-2"/>
                      <w:position w:val="6"/>
                      <w:sz w:val="13"/>
                      <w:szCs w:val="13"/>
                    </w:rPr>
                    <w:t>2-</w:t>
                  </w:r>
                  <w:r>
                    <w:rPr>
                      <w:spacing w:val="-2"/>
                      <w:sz w:val="21"/>
                      <w:szCs w:val="21"/>
                    </w:rPr>
                    <w:t>；</w:t>
                  </w:r>
                </w:p>
                <w:p>
                  <w:pPr>
                    <w:pStyle w:val="6"/>
                    <w:spacing w:before="17" w:line="235" w:lineRule="auto"/>
                    <w:ind w:left="112" w:right="30"/>
                    <w:rPr>
                      <w:sz w:val="21"/>
                      <w:szCs w:val="21"/>
                    </w:rPr>
                  </w:pPr>
                  <w:r>
                    <w:rPr>
                      <w:spacing w:val="-9"/>
                      <w:sz w:val="21"/>
                      <w:szCs w:val="21"/>
                      <w14:textOutline w14:w="3831" w14:cap="flat" w14:cmpd="sng">
                        <w14:solidFill>
                          <w14:srgbClr w14:val="000000"/>
                        </w14:solidFill>
                        <w14:prstDash w14:val="solid"/>
                        <w14:miter w14:val="10"/>
                      </w14:textOutline>
                    </w:rPr>
                    <w:t>基本因子：</w:t>
                  </w:r>
                  <w:r>
                    <w:rPr>
                      <w:spacing w:val="51"/>
                      <w:sz w:val="21"/>
                      <w:szCs w:val="21"/>
                    </w:rPr>
                    <w:t xml:space="preserve"> </w:t>
                  </w:r>
                  <w:r>
                    <w:rPr>
                      <w:rFonts w:ascii="Times New Roman" w:hAnsi="Times New Roman" w:eastAsia="Times New Roman" w:cs="Times New Roman"/>
                      <w:spacing w:val="-9"/>
                      <w:sz w:val="21"/>
                      <w:szCs w:val="21"/>
                    </w:rPr>
                    <w:t xml:space="preserve">pH </w:t>
                  </w:r>
                  <w:r>
                    <w:rPr>
                      <w:spacing w:val="-9"/>
                      <w:sz w:val="21"/>
                      <w:szCs w:val="21"/>
                    </w:rPr>
                    <w:t>值、氨氮、硝酸盐氮、亚硝酸盐氮、</w:t>
                  </w:r>
                  <w:r>
                    <w:rPr>
                      <w:sz w:val="21"/>
                      <w:szCs w:val="21"/>
                    </w:rPr>
                    <w:t xml:space="preserve"> </w:t>
                  </w:r>
                  <w:r>
                    <w:rPr>
                      <w:spacing w:val="-12"/>
                      <w:sz w:val="21"/>
                      <w:szCs w:val="21"/>
                    </w:rPr>
                    <w:t>挥发酚、总硬度、溶解性总固体、高锰酸盐指数（以</w:t>
                  </w:r>
                  <w:r>
                    <w:rPr>
                      <w:spacing w:val="6"/>
                      <w:sz w:val="21"/>
                      <w:szCs w:val="21"/>
                    </w:rPr>
                    <w:t xml:space="preserve">  </w:t>
                  </w: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2"/>
                      <w:w w:val="102"/>
                      <w:position w:val="-1"/>
                      <w:sz w:val="13"/>
                      <w:szCs w:val="13"/>
                    </w:rPr>
                    <w:t xml:space="preserve"> </w:t>
                  </w:r>
                  <w:r>
                    <w:rPr>
                      <w:spacing w:val="-6"/>
                      <w:sz w:val="21"/>
                      <w:szCs w:val="21"/>
                    </w:rPr>
                    <w:t>计）</w:t>
                  </w:r>
                  <w:r>
                    <w:rPr>
                      <w:spacing w:val="-28"/>
                      <w:sz w:val="21"/>
                      <w:szCs w:val="21"/>
                    </w:rPr>
                    <w:t xml:space="preserve"> </w:t>
                  </w:r>
                  <w:r>
                    <w:rPr>
                      <w:spacing w:val="-6"/>
                      <w:sz w:val="21"/>
                      <w:szCs w:val="21"/>
                    </w:rPr>
                    <w:t>、氰化物、氟化物、铁、锰、汞、砷、镉、</w:t>
                  </w:r>
                  <w:r>
                    <w:rPr>
                      <w:sz w:val="21"/>
                      <w:szCs w:val="21"/>
                    </w:rPr>
                    <w:t xml:space="preserve"> </w:t>
                  </w:r>
                  <w:r>
                    <w:rPr>
                      <w:spacing w:val="-9"/>
                      <w:sz w:val="21"/>
                      <w:szCs w:val="21"/>
                    </w:rPr>
                    <w:t>铅、铬（六价）、硫酸盐、总大肠菌群、细菌总数；</w:t>
                  </w:r>
                </w:p>
                <w:p>
                  <w:pPr>
                    <w:pStyle w:val="6"/>
                    <w:spacing w:before="21" w:line="221" w:lineRule="auto"/>
                    <w:ind w:left="113"/>
                    <w:rPr>
                      <w:sz w:val="21"/>
                      <w:szCs w:val="21"/>
                    </w:rPr>
                  </w:pPr>
                  <w:r>
                    <w:rPr>
                      <w:spacing w:val="-1"/>
                      <w:sz w:val="21"/>
                      <w:szCs w:val="21"/>
                      <w14:textOutline w14:w="3831" w14:cap="flat" w14:cmpd="sng">
                        <w14:solidFill>
                          <w14:srgbClr w14:val="000000"/>
                        </w14:solidFill>
                        <w14:prstDash w14:val="solid"/>
                        <w14:miter w14:val="10"/>
                      </w14:textOutline>
                    </w:rPr>
                    <w:t>特征因子</w:t>
                  </w:r>
                  <w:r>
                    <w:rPr>
                      <w:spacing w:val="-1"/>
                      <w:sz w:val="21"/>
                      <w:szCs w:val="21"/>
                    </w:rPr>
                    <w:t>：石油类、氯化物、硫化物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67" w:type="dxa"/>
                  <w:vAlign w:val="top"/>
                </w:tcPr>
                <w:p>
                  <w:pPr>
                    <w:spacing w:before="209" w:line="187" w:lineRule="auto"/>
                    <w:ind w:left="254"/>
                    <w:rPr>
                      <w:rFonts w:ascii="Times New Roman" w:hAnsi="Times New Roman" w:eastAsia="Times New Roman" w:cs="Times New Roman"/>
                      <w:sz w:val="21"/>
                      <w:szCs w:val="21"/>
                    </w:rPr>
                  </w:pPr>
                  <w:r>
                    <w:rPr>
                      <w:rFonts w:ascii="Times New Roman" w:hAnsi="Times New Roman" w:eastAsia="Times New Roman" w:cs="Times New Roman"/>
                      <w:sz w:val="21"/>
                      <w:szCs w:val="21"/>
                    </w:rPr>
                    <w:t>WX2</w:t>
                  </w:r>
                </w:p>
              </w:tc>
              <w:tc>
                <w:tcPr>
                  <w:tcW w:w="1557" w:type="dxa"/>
                  <w:vAlign w:val="top"/>
                </w:tcPr>
                <w:p>
                  <w:pPr>
                    <w:spacing w:before="206" w:line="195"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Q1</w:t>
                  </w:r>
                </w:p>
              </w:tc>
              <w:tc>
                <w:tcPr>
                  <w:tcW w:w="1276" w:type="dxa"/>
                  <w:vAlign w:val="top"/>
                </w:tcPr>
                <w:p>
                  <w:pPr>
                    <w:pStyle w:val="6"/>
                    <w:spacing w:before="32" w:line="222" w:lineRule="auto"/>
                    <w:ind w:left="270" w:right="108" w:hanging="153"/>
                    <w:rPr>
                      <w:rFonts w:ascii="Times New Roman" w:hAnsi="Times New Roman" w:eastAsia="Times New Roman" w:cs="Times New Roman"/>
                      <w:sz w:val="21"/>
                      <w:szCs w:val="21"/>
                    </w:rPr>
                  </w:pPr>
                  <w:r>
                    <w:rPr>
                      <w:spacing w:val="-1"/>
                      <w:sz w:val="21"/>
                      <w:szCs w:val="21"/>
                    </w:rPr>
                    <w:t>井口东南下</w:t>
                  </w:r>
                  <w:r>
                    <w:rPr>
                      <w:sz w:val="21"/>
                      <w:szCs w:val="21"/>
                    </w:rPr>
                    <w:t xml:space="preserve"> </w:t>
                  </w:r>
                  <w:r>
                    <w:rPr>
                      <w:spacing w:val="-3"/>
                      <w:sz w:val="21"/>
                      <w:szCs w:val="21"/>
                    </w:rPr>
                    <w:t>游</w:t>
                  </w:r>
                  <w:r>
                    <w:rPr>
                      <w:spacing w:val="-41"/>
                      <w:sz w:val="21"/>
                      <w:szCs w:val="21"/>
                    </w:rPr>
                    <w:t xml:space="preserve"> </w:t>
                  </w:r>
                  <w:r>
                    <w:rPr>
                      <w:rFonts w:ascii="Times New Roman" w:hAnsi="Times New Roman" w:eastAsia="Times New Roman" w:cs="Times New Roman"/>
                      <w:spacing w:val="-3"/>
                      <w:sz w:val="21"/>
                      <w:szCs w:val="21"/>
                    </w:rPr>
                    <w:t>729m</w:t>
                  </w:r>
                </w:p>
              </w:tc>
              <w:tc>
                <w:tcPr>
                  <w:tcW w:w="48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trPr>
              <w:tc>
                <w:tcPr>
                  <w:tcW w:w="967" w:type="dxa"/>
                  <w:vAlign w:val="top"/>
                </w:tcPr>
                <w:p>
                  <w:pPr>
                    <w:spacing w:before="210" w:line="187" w:lineRule="auto"/>
                    <w:ind w:left="254"/>
                    <w:rPr>
                      <w:rFonts w:ascii="Times New Roman" w:hAnsi="Times New Roman" w:eastAsia="Times New Roman" w:cs="Times New Roman"/>
                      <w:sz w:val="21"/>
                      <w:szCs w:val="21"/>
                    </w:rPr>
                  </w:pPr>
                  <w:r>
                    <w:rPr>
                      <w:rFonts w:ascii="Times New Roman" w:hAnsi="Times New Roman" w:eastAsia="Times New Roman" w:cs="Times New Roman"/>
                      <w:sz w:val="21"/>
                      <w:szCs w:val="21"/>
                    </w:rPr>
                    <w:t>WX3</w:t>
                  </w:r>
                </w:p>
              </w:tc>
              <w:tc>
                <w:tcPr>
                  <w:tcW w:w="1557" w:type="dxa"/>
                  <w:vAlign w:val="top"/>
                </w:tcPr>
                <w:p>
                  <w:pPr>
                    <w:spacing w:before="207" w:line="195"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Q3</w:t>
                  </w:r>
                </w:p>
              </w:tc>
              <w:tc>
                <w:tcPr>
                  <w:tcW w:w="1276" w:type="dxa"/>
                  <w:vAlign w:val="top"/>
                </w:tcPr>
                <w:p>
                  <w:pPr>
                    <w:pStyle w:val="6"/>
                    <w:spacing w:before="35" w:line="221" w:lineRule="auto"/>
                    <w:ind w:left="292" w:right="108" w:hanging="175"/>
                    <w:rPr>
                      <w:rFonts w:ascii="Times New Roman" w:hAnsi="Times New Roman" w:eastAsia="Times New Roman" w:cs="Times New Roman"/>
                      <w:sz w:val="21"/>
                      <w:szCs w:val="21"/>
                    </w:rPr>
                  </w:pPr>
                  <w:r>
                    <w:rPr>
                      <w:spacing w:val="-1"/>
                      <w:sz w:val="21"/>
                      <w:szCs w:val="21"/>
                    </w:rPr>
                    <w:t>井口西南侧</w:t>
                  </w:r>
                  <w:r>
                    <w:rPr>
                      <w:sz w:val="21"/>
                      <w:szCs w:val="21"/>
                    </w:rPr>
                    <w:t xml:space="preserve"> </w:t>
                  </w:r>
                  <w:r>
                    <w:rPr>
                      <w:spacing w:val="-6"/>
                      <w:sz w:val="21"/>
                      <w:szCs w:val="21"/>
                    </w:rPr>
                    <w:t>向</w:t>
                  </w:r>
                  <w:r>
                    <w:rPr>
                      <w:spacing w:val="-48"/>
                      <w:sz w:val="21"/>
                      <w:szCs w:val="21"/>
                    </w:rPr>
                    <w:t xml:space="preserve"> </w:t>
                  </w:r>
                  <w:r>
                    <w:rPr>
                      <w:rFonts w:ascii="Times New Roman" w:hAnsi="Times New Roman" w:eastAsia="Times New Roman" w:cs="Times New Roman"/>
                      <w:spacing w:val="-6"/>
                      <w:sz w:val="21"/>
                      <w:szCs w:val="21"/>
                    </w:rPr>
                    <w:t>253m</w:t>
                  </w:r>
                </w:p>
              </w:tc>
              <w:tc>
                <w:tcPr>
                  <w:tcW w:w="48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67" w:type="dxa"/>
                  <w:vAlign w:val="top"/>
                </w:tcPr>
                <w:p>
                  <w:pPr>
                    <w:spacing w:before="212" w:line="187" w:lineRule="auto"/>
                    <w:ind w:left="254"/>
                    <w:rPr>
                      <w:rFonts w:ascii="Times New Roman" w:hAnsi="Times New Roman" w:eastAsia="Times New Roman" w:cs="Times New Roman"/>
                      <w:sz w:val="21"/>
                      <w:szCs w:val="21"/>
                    </w:rPr>
                  </w:pPr>
                  <w:r>
                    <w:rPr>
                      <w:rFonts w:ascii="Times New Roman" w:hAnsi="Times New Roman" w:eastAsia="Times New Roman" w:cs="Times New Roman"/>
                      <w:sz w:val="21"/>
                      <w:szCs w:val="21"/>
                    </w:rPr>
                    <w:t>WX4</w:t>
                  </w:r>
                </w:p>
              </w:tc>
              <w:tc>
                <w:tcPr>
                  <w:tcW w:w="1557" w:type="dxa"/>
                  <w:vAlign w:val="top"/>
                </w:tcPr>
                <w:p>
                  <w:pPr>
                    <w:spacing w:before="208" w:line="195"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Q2</w:t>
                  </w:r>
                </w:p>
              </w:tc>
              <w:tc>
                <w:tcPr>
                  <w:tcW w:w="1276" w:type="dxa"/>
                  <w:vAlign w:val="top"/>
                </w:tcPr>
                <w:p>
                  <w:pPr>
                    <w:pStyle w:val="6"/>
                    <w:spacing w:before="37" w:line="220" w:lineRule="auto"/>
                    <w:ind w:left="270" w:right="108" w:hanging="153"/>
                    <w:rPr>
                      <w:rFonts w:ascii="Times New Roman" w:hAnsi="Times New Roman" w:eastAsia="Times New Roman" w:cs="Times New Roman"/>
                      <w:sz w:val="21"/>
                      <w:szCs w:val="21"/>
                    </w:rPr>
                  </w:pPr>
                  <w:r>
                    <w:rPr>
                      <w:spacing w:val="-1"/>
                      <w:sz w:val="21"/>
                      <w:szCs w:val="21"/>
                    </w:rPr>
                    <w:t>井口东南下</w:t>
                  </w:r>
                  <w:r>
                    <w:rPr>
                      <w:sz w:val="21"/>
                      <w:szCs w:val="21"/>
                    </w:rPr>
                    <w:t xml:space="preserve"> </w:t>
                  </w:r>
                  <w:r>
                    <w:rPr>
                      <w:spacing w:val="-3"/>
                      <w:sz w:val="21"/>
                      <w:szCs w:val="21"/>
                    </w:rPr>
                    <w:t>游</w:t>
                  </w:r>
                  <w:r>
                    <w:rPr>
                      <w:spacing w:val="-41"/>
                      <w:sz w:val="21"/>
                      <w:szCs w:val="21"/>
                    </w:rPr>
                    <w:t xml:space="preserve"> </w:t>
                  </w:r>
                  <w:r>
                    <w:rPr>
                      <w:rFonts w:ascii="Times New Roman" w:hAnsi="Times New Roman" w:eastAsia="Times New Roman" w:cs="Times New Roman"/>
                      <w:spacing w:val="-3"/>
                      <w:sz w:val="21"/>
                      <w:szCs w:val="21"/>
                    </w:rPr>
                    <w:t>314m</w:t>
                  </w:r>
                </w:p>
              </w:tc>
              <w:tc>
                <w:tcPr>
                  <w:tcW w:w="48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67" w:type="dxa"/>
                  <w:vAlign w:val="top"/>
                </w:tcPr>
                <w:p>
                  <w:pPr>
                    <w:spacing w:before="216" w:line="184" w:lineRule="auto"/>
                    <w:ind w:left="254"/>
                    <w:rPr>
                      <w:rFonts w:ascii="Times New Roman" w:hAnsi="Times New Roman" w:eastAsia="Times New Roman" w:cs="Times New Roman"/>
                      <w:sz w:val="21"/>
                      <w:szCs w:val="21"/>
                    </w:rPr>
                  </w:pPr>
                  <w:r>
                    <w:rPr>
                      <w:rFonts w:ascii="Times New Roman" w:hAnsi="Times New Roman" w:eastAsia="Times New Roman" w:cs="Times New Roman"/>
                      <w:sz w:val="21"/>
                      <w:szCs w:val="21"/>
                    </w:rPr>
                    <w:t>WX5</w:t>
                  </w:r>
                </w:p>
              </w:tc>
              <w:tc>
                <w:tcPr>
                  <w:tcW w:w="1557" w:type="dxa"/>
                  <w:vAlign w:val="top"/>
                </w:tcPr>
                <w:p>
                  <w:pPr>
                    <w:spacing w:before="210" w:line="195"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Q5</w:t>
                  </w:r>
                </w:p>
              </w:tc>
              <w:tc>
                <w:tcPr>
                  <w:tcW w:w="1276" w:type="dxa"/>
                  <w:vAlign w:val="top"/>
                </w:tcPr>
                <w:p>
                  <w:pPr>
                    <w:pStyle w:val="6"/>
                    <w:spacing w:before="39" w:line="221" w:lineRule="auto"/>
                    <w:ind w:left="270" w:right="108" w:hanging="153"/>
                    <w:rPr>
                      <w:rFonts w:ascii="Times New Roman" w:hAnsi="Times New Roman" w:eastAsia="Times New Roman" w:cs="Times New Roman"/>
                      <w:sz w:val="21"/>
                      <w:szCs w:val="21"/>
                    </w:rPr>
                  </w:pPr>
                  <w:r>
                    <w:rPr>
                      <w:spacing w:val="-1"/>
                      <w:sz w:val="21"/>
                      <w:szCs w:val="21"/>
                    </w:rPr>
                    <w:t>井口东南上</w:t>
                  </w:r>
                  <w:r>
                    <w:rPr>
                      <w:sz w:val="21"/>
                      <w:szCs w:val="21"/>
                    </w:rPr>
                    <w:t xml:space="preserve"> </w:t>
                  </w:r>
                  <w:r>
                    <w:rPr>
                      <w:spacing w:val="-2"/>
                      <w:sz w:val="21"/>
                      <w:szCs w:val="21"/>
                    </w:rPr>
                    <w:t>游</w:t>
                  </w:r>
                  <w:r>
                    <w:rPr>
                      <w:spacing w:val="-47"/>
                      <w:sz w:val="21"/>
                      <w:szCs w:val="21"/>
                    </w:rPr>
                    <w:t xml:space="preserve"> </w:t>
                  </w:r>
                  <w:r>
                    <w:rPr>
                      <w:rFonts w:ascii="Times New Roman" w:hAnsi="Times New Roman" w:eastAsia="Times New Roman" w:cs="Times New Roman"/>
                      <w:spacing w:val="-2"/>
                      <w:sz w:val="21"/>
                      <w:szCs w:val="21"/>
                    </w:rPr>
                    <w:t>247m</w:t>
                  </w:r>
                </w:p>
              </w:tc>
              <w:tc>
                <w:tcPr>
                  <w:tcW w:w="4810" w:type="dxa"/>
                  <w:vMerge w:val="continue"/>
                  <w:tcBorders>
                    <w:top w:val="nil"/>
                  </w:tcBorders>
                  <w:vAlign w:val="top"/>
                </w:tcPr>
                <w:p>
                  <w:pPr>
                    <w:rPr>
                      <w:rFonts w:ascii="Arial"/>
                      <w:sz w:val="21"/>
                    </w:rPr>
                  </w:pPr>
                </w:p>
              </w:tc>
            </w:tr>
          </w:tbl>
          <w:p>
            <w:pPr>
              <w:spacing w:line="14" w:lineRule="auto"/>
              <w:rPr>
                <w:rFonts w:ascii="Arial"/>
                <w:sz w:val="2"/>
              </w:rPr>
            </w:pPr>
          </w:p>
        </w:tc>
      </w:tr>
    </w:tbl>
    <w:p>
      <w:pPr>
        <w:pStyle w:val="2"/>
        <w:rPr>
          <w:sz w:val="21"/>
        </w:rPr>
      </w:pPr>
    </w:p>
    <w:p>
      <w:pPr>
        <w:rPr>
          <w:sz w:val="21"/>
          <w:szCs w:val="21"/>
        </w:rPr>
        <w:sectPr>
          <w:footerReference r:id="rId68"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76" w:hRule="atLeast"/>
        </w:trPr>
        <w:tc>
          <w:tcPr>
            <w:tcW w:w="9291" w:type="dxa"/>
            <w:vAlign w:val="top"/>
          </w:tcPr>
          <w:p>
            <w:pPr>
              <w:pStyle w:val="6"/>
              <w:spacing w:before="182" w:line="217" w:lineRule="auto"/>
              <w:ind w:left="1046"/>
              <w:rPr>
                <w:sz w:val="24"/>
                <w:szCs w:val="24"/>
              </w:rPr>
            </w:pPr>
            <w:r>
              <w:pict>
                <v:rect id="_x0000_s1270" o:spid="_x0000_s1270" o:spt="1" style="position:absolute;left:0pt;margin-left:22.75pt;margin-top:0.95pt;height:698.15pt;width:0.5pt;mso-position-horizontal-relative:page;mso-position-vertical-relative:page;z-index:251815936;mso-width-relative:page;mso-height-relative:page;" fillcolor="#000000" filled="t" stroked="f" coordsize="21600,21600">
                  <v:path/>
                  <v:fill on="t" focussize="0,0"/>
                  <v:stroke on="f"/>
                  <v:imagedata o:title=""/>
                  <o:lock v:ext="edit"/>
                </v:rect>
              </w:pict>
            </w:r>
            <w:r>
              <w:rPr>
                <w:spacing w:val="-1"/>
                <w:sz w:val="24"/>
                <w:szCs w:val="24"/>
              </w:rPr>
              <w:t>②监测时间及频次</w:t>
            </w:r>
          </w:p>
          <w:p>
            <w:pPr>
              <w:pStyle w:val="6"/>
              <w:spacing w:before="197" w:line="480" w:lineRule="exact"/>
              <w:ind w:left="1044"/>
              <w:rPr>
                <w:sz w:val="24"/>
                <w:szCs w:val="24"/>
              </w:rPr>
            </w:pPr>
            <w:r>
              <w:rPr>
                <w:rFonts w:ascii="Times New Roman" w:hAnsi="Times New Roman" w:eastAsia="Times New Roman" w:cs="Times New Roman"/>
                <w:spacing w:val="-8"/>
                <w:position w:val="18"/>
                <w:sz w:val="24"/>
                <w:szCs w:val="24"/>
              </w:rPr>
              <w:t xml:space="preserve">2023 </w:t>
            </w:r>
            <w:r>
              <w:rPr>
                <w:spacing w:val="-8"/>
                <w:position w:val="18"/>
                <w:sz w:val="24"/>
                <w:szCs w:val="24"/>
              </w:rPr>
              <w:t>年</w:t>
            </w:r>
            <w:r>
              <w:rPr>
                <w:spacing w:val="-51"/>
                <w:position w:val="18"/>
                <w:sz w:val="24"/>
                <w:szCs w:val="24"/>
              </w:rPr>
              <w:t xml:space="preserve"> </w:t>
            </w:r>
            <w:r>
              <w:rPr>
                <w:rFonts w:ascii="Times New Roman" w:hAnsi="Times New Roman" w:eastAsia="Times New Roman" w:cs="Times New Roman"/>
                <w:spacing w:val="-8"/>
                <w:position w:val="18"/>
                <w:sz w:val="24"/>
                <w:szCs w:val="24"/>
              </w:rPr>
              <w:t>9</w:t>
            </w:r>
            <w:r>
              <w:rPr>
                <w:rFonts w:ascii="Times New Roman" w:hAnsi="Times New Roman" w:eastAsia="Times New Roman" w:cs="Times New Roman"/>
                <w:spacing w:val="15"/>
                <w:w w:val="101"/>
                <w:position w:val="18"/>
                <w:sz w:val="24"/>
                <w:szCs w:val="24"/>
              </w:rPr>
              <w:t xml:space="preserve"> </w:t>
            </w:r>
            <w:r>
              <w:rPr>
                <w:spacing w:val="-8"/>
                <w:position w:val="18"/>
                <w:sz w:val="24"/>
                <w:szCs w:val="24"/>
              </w:rPr>
              <w:t>月</w:t>
            </w:r>
            <w:r>
              <w:rPr>
                <w:spacing w:val="-55"/>
                <w:position w:val="18"/>
                <w:sz w:val="24"/>
                <w:szCs w:val="24"/>
              </w:rPr>
              <w:t xml:space="preserve"> </w:t>
            </w:r>
            <w:r>
              <w:rPr>
                <w:rFonts w:ascii="Times New Roman" w:hAnsi="Times New Roman" w:eastAsia="Times New Roman" w:cs="Times New Roman"/>
                <w:spacing w:val="-8"/>
                <w:position w:val="18"/>
                <w:sz w:val="24"/>
                <w:szCs w:val="24"/>
              </w:rPr>
              <w:t xml:space="preserve">26  </w:t>
            </w:r>
            <w:r>
              <w:rPr>
                <w:spacing w:val="-8"/>
                <w:position w:val="18"/>
                <w:sz w:val="24"/>
                <w:szCs w:val="24"/>
              </w:rPr>
              <w:t>日，监测</w:t>
            </w:r>
            <w:r>
              <w:rPr>
                <w:spacing w:val="-32"/>
                <w:position w:val="18"/>
                <w:sz w:val="24"/>
                <w:szCs w:val="24"/>
              </w:rPr>
              <w:t xml:space="preserve"> </w:t>
            </w:r>
            <w:r>
              <w:rPr>
                <w:rFonts w:ascii="Times New Roman" w:hAnsi="Times New Roman" w:eastAsia="Times New Roman" w:cs="Times New Roman"/>
                <w:spacing w:val="-8"/>
                <w:position w:val="18"/>
                <w:sz w:val="24"/>
                <w:szCs w:val="24"/>
              </w:rPr>
              <w:t>1</w:t>
            </w:r>
            <w:r>
              <w:rPr>
                <w:rFonts w:ascii="Times New Roman" w:hAnsi="Times New Roman" w:eastAsia="Times New Roman" w:cs="Times New Roman"/>
                <w:spacing w:val="14"/>
                <w:position w:val="18"/>
                <w:sz w:val="24"/>
                <w:szCs w:val="24"/>
              </w:rPr>
              <w:t xml:space="preserve"> </w:t>
            </w:r>
            <w:r>
              <w:rPr>
                <w:spacing w:val="-8"/>
                <w:position w:val="18"/>
                <w:sz w:val="24"/>
                <w:szCs w:val="24"/>
              </w:rPr>
              <w:t>天，每</w:t>
            </w:r>
            <w:r>
              <w:rPr>
                <w:spacing w:val="-9"/>
                <w:position w:val="18"/>
                <w:sz w:val="24"/>
                <w:szCs w:val="24"/>
              </w:rPr>
              <w:t xml:space="preserve">天采样 </w:t>
            </w:r>
            <w:r>
              <w:rPr>
                <w:rFonts w:ascii="Times New Roman" w:hAnsi="Times New Roman" w:eastAsia="Times New Roman" w:cs="Times New Roman"/>
                <w:spacing w:val="-9"/>
                <w:position w:val="18"/>
                <w:sz w:val="24"/>
                <w:szCs w:val="24"/>
              </w:rPr>
              <w:t>1</w:t>
            </w:r>
            <w:r>
              <w:rPr>
                <w:rFonts w:ascii="Times New Roman" w:hAnsi="Times New Roman" w:eastAsia="Times New Roman" w:cs="Times New Roman"/>
                <w:spacing w:val="16"/>
                <w:w w:val="101"/>
                <w:position w:val="18"/>
                <w:sz w:val="24"/>
                <w:szCs w:val="24"/>
              </w:rPr>
              <w:t xml:space="preserve"> </w:t>
            </w:r>
            <w:r>
              <w:rPr>
                <w:spacing w:val="-9"/>
                <w:position w:val="18"/>
                <w:sz w:val="24"/>
                <w:szCs w:val="24"/>
              </w:rPr>
              <w:t>次。</w:t>
            </w:r>
          </w:p>
          <w:p>
            <w:pPr>
              <w:pStyle w:val="6"/>
              <w:spacing w:line="217" w:lineRule="auto"/>
              <w:ind w:left="1046"/>
              <w:rPr>
                <w:sz w:val="24"/>
                <w:szCs w:val="24"/>
              </w:rPr>
            </w:pPr>
            <w:r>
              <w:rPr>
                <w:spacing w:val="-1"/>
                <w:sz w:val="24"/>
                <w:szCs w:val="24"/>
              </w:rPr>
              <w:t>③评价标准及方法</w:t>
            </w:r>
          </w:p>
          <w:p>
            <w:pPr>
              <w:pStyle w:val="6"/>
              <w:spacing w:before="197" w:line="480" w:lineRule="exact"/>
              <w:ind w:left="1048"/>
              <w:rPr>
                <w:sz w:val="24"/>
                <w:szCs w:val="24"/>
              </w:rPr>
            </w:pPr>
            <w:r>
              <w:rPr>
                <w:spacing w:val="-3"/>
                <w:position w:val="18"/>
                <w:sz w:val="24"/>
                <w:szCs w:val="24"/>
              </w:rPr>
              <w:t>地下水环境质量现状执行《地下水质量标准》（</w:t>
            </w:r>
            <w:r>
              <w:rPr>
                <w:rFonts w:ascii="Times New Roman" w:hAnsi="Times New Roman" w:eastAsia="Times New Roman" w:cs="Times New Roman"/>
                <w:spacing w:val="-3"/>
                <w:position w:val="18"/>
                <w:sz w:val="24"/>
                <w:szCs w:val="24"/>
              </w:rPr>
              <w:t>GB/T14848-2017</w:t>
            </w:r>
            <w:r>
              <w:rPr>
                <w:spacing w:val="-3"/>
                <w:position w:val="18"/>
                <w:sz w:val="24"/>
                <w:szCs w:val="24"/>
              </w:rPr>
              <w:t>）</w:t>
            </w:r>
            <w:r>
              <w:rPr>
                <w:rFonts w:ascii="Times New Roman" w:hAnsi="Times New Roman" w:eastAsia="Times New Roman" w:cs="Times New Roman"/>
                <w:spacing w:val="-3"/>
                <w:position w:val="18"/>
                <w:sz w:val="24"/>
                <w:szCs w:val="24"/>
              </w:rPr>
              <w:t xml:space="preserve">III </w:t>
            </w:r>
            <w:r>
              <w:rPr>
                <w:spacing w:val="-3"/>
                <w:position w:val="18"/>
                <w:sz w:val="24"/>
                <w:szCs w:val="24"/>
              </w:rPr>
              <w:t>类水质标</w:t>
            </w:r>
          </w:p>
          <w:p>
            <w:pPr>
              <w:pStyle w:val="6"/>
              <w:spacing w:line="219" w:lineRule="auto"/>
              <w:ind w:left="570"/>
              <w:rPr>
                <w:sz w:val="24"/>
                <w:szCs w:val="24"/>
              </w:rPr>
            </w:pPr>
            <w:r>
              <w:rPr>
                <w:spacing w:val="-1"/>
                <w:sz w:val="24"/>
                <w:szCs w:val="24"/>
              </w:rPr>
              <w:t>准，其中石油类参照执行《地表水环境质量标准》（</w:t>
            </w:r>
            <w:r>
              <w:rPr>
                <w:rFonts w:ascii="Times New Roman" w:hAnsi="Times New Roman" w:eastAsia="Times New Roman" w:cs="Times New Roman"/>
                <w:spacing w:val="-1"/>
                <w:sz w:val="24"/>
                <w:szCs w:val="24"/>
              </w:rPr>
              <w:t>GB3838-2002</w:t>
            </w:r>
            <w:r>
              <w:rPr>
                <w:spacing w:val="-1"/>
                <w:sz w:val="24"/>
                <w:szCs w:val="24"/>
              </w:rPr>
              <w:t>）</w:t>
            </w:r>
            <w:r>
              <w:rPr>
                <w:rFonts w:ascii="Times New Roman" w:hAnsi="Times New Roman" w:eastAsia="Times New Roman" w:cs="Times New Roman"/>
                <w:spacing w:val="-1"/>
                <w:sz w:val="24"/>
                <w:szCs w:val="24"/>
              </w:rPr>
              <w:t xml:space="preserve">III </w:t>
            </w:r>
            <w:r>
              <w:rPr>
                <w:spacing w:val="-1"/>
                <w:sz w:val="24"/>
                <w:szCs w:val="24"/>
              </w:rPr>
              <w:t>类标准。</w:t>
            </w:r>
          </w:p>
          <w:p>
            <w:pPr>
              <w:pStyle w:val="6"/>
              <w:spacing w:before="195" w:line="480" w:lineRule="exact"/>
              <w:ind w:left="1048"/>
              <w:rPr>
                <w:sz w:val="24"/>
                <w:szCs w:val="24"/>
              </w:rPr>
            </w:pPr>
            <w:r>
              <w:rPr>
                <w:spacing w:val="-6"/>
                <w:position w:val="18"/>
                <w:sz w:val="24"/>
                <w:szCs w:val="24"/>
              </w:rPr>
              <w:t>地下水环境质量现状评价方法采用单因子标准指数法，</w:t>
            </w:r>
            <w:r>
              <w:rPr>
                <w:spacing w:val="42"/>
                <w:position w:val="18"/>
                <w:sz w:val="24"/>
                <w:szCs w:val="24"/>
              </w:rPr>
              <w:t xml:space="preserve"> </w:t>
            </w:r>
            <w:r>
              <w:rPr>
                <w:spacing w:val="-6"/>
                <w:position w:val="18"/>
                <w:sz w:val="24"/>
                <w:szCs w:val="24"/>
              </w:rPr>
              <w:t>标</w:t>
            </w:r>
            <w:r>
              <w:rPr>
                <w:spacing w:val="-7"/>
                <w:position w:val="18"/>
                <w:sz w:val="24"/>
                <w:szCs w:val="24"/>
              </w:rPr>
              <w:t>准指数</w:t>
            </w:r>
            <w:r>
              <w:rPr>
                <w:rFonts w:ascii="Times New Roman" w:hAnsi="Times New Roman" w:eastAsia="Times New Roman" w:cs="Times New Roman"/>
                <w:spacing w:val="-7"/>
                <w:position w:val="18"/>
                <w:sz w:val="24"/>
                <w:szCs w:val="24"/>
              </w:rPr>
              <w:t>&gt;1</w:t>
            </w:r>
            <w:r>
              <w:rPr>
                <w:spacing w:val="-7"/>
                <w:position w:val="18"/>
                <w:sz w:val="24"/>
                <w:szCs w:val="24"/>
              </w:rPr>
              <w:t>，表明该水</w:t>
            </w:r>
          </w:p>
          <w:p>
            <w:pPr>
              <w:pStyle w:val="6"/>
              <w:spacing w:before="1" w:line="219" w:lineRule="auto"/>
              <w:ind w:left="569"/>
              <w:rPr>
                <w:sz w:val="24"/>
                <w:szCs w:val="24"/>
              </w:rPr>
            </w:pPr>
            <w:r>
              <w:rPr>
                <w:spacing w:val="-2"/>
                <w:sz w:val="24"/>
                <w:szCs w:val="24"/>
              </w:rPr>
              <w:t>质因子已超标，标准指数越大，超标越严重。标准指数计算公式分以下两种情况：</w:t>
            </w:r>
          </w:p>
          <w:p>
            <w:pPr>
              <w:pStyle w:val="6"/>
              <w:spacing w:before="194" w:line="218" w:lineRule="auto"/>
              <w:ind w:left="1047"/>
              <w:rPr>
                <w:sz w:val="24"/>
                <w:szCs w:val="24"/>
              </w:rPr>
            </w:pPr>
            <w:r>
              <w:rPr>
                <w:spacing w:val="-2"/>
                <w:sz w:val="24"/>
                <w:szCs w:val="24"/>
              </w:rPr>
              <w:t>对于评价标准为定值的水质因子，其标准指数计算方法见公式如下：</w:t>
            </w:r>
          </w:p>
          <w:p>
            <w:pPr>
              <w:spacing w:before="237" w:line="227" w:lineRule="auto"/>
              <w:ind w:left="4685"/>
              <w:rPr>
                <w:rFonts w:ascii="Times New Roman" w:hAnsi="Times New Roman" w:eastAsia="Times New Roman" w:cs="Times New Roman"/>
                <w:sz w:val="16"/>
                <w:szCs w:val="16"/>
              </w:rPr>
            </w:pPr>
            <w:r>
              <w:rPr>
                <w:rFonts w:ascii="Times New Roman" w:hAnsi="Times New Roman" w:eastAsia="Times New Roman" w:cs="Times New Roman"/>
                <w:spacing w:val="-16"/>
                <w:sz w:val="24"/>
                <w:szCs w:val="24"/>
              </w:rPr>
              <w:t>S</w:t>
            </w:r>
            <w:r>
              <w:rPr>
                <w:rFonts w:ascii="Times New Roman" w:hAnsi="Times New Roman" w:eastAsia="Times New Roman" w:cs="Times New Roman"/>
                <w:position w:val="-1"/>
                <w:sz w:val="16"/>
                <w:szCs w:val="16"/>
              </w:rPr>
              <w:t>i</w:t>
            </w:r>
            <w:r>
              <w:rPr>
                <w:rFonts w:ascii="Times New Roman" w:hAnsi="Times New Roman" w:eastAsia="Times New Roman" w:cs="Times New Roman"/>
                <w:sz w:val="24"/>
                <w:szCs w:val="24"/>
              </w:rPr>
              <w:t>=C</w:t>
            </w:r>
            <w:r>
              <w:rPr>
                <w:rFonts w:ascii="Times New Roman" w:hAnsi="Times New Roman" w:eastAsia="Times New Roman" w:cs="Times New Roman"/>
                <w:position w:val="-1"/>
                <w:sz w:val="16"/>
                <w:szCs w:val="16"/>
              </w:rPr>
              <w:t>i</w:t>
            </w:r>
            <w:r>
              <w:rPr>
                <w:rFonts w:ascii="Times New Roman" w:hAnsi="Times New Roman" w:eastAsia="Times New Roman" w:cs="Times New Roman"/>
                <w:sz w:val="24"/>
                <w:szCs w:val="24"/>
              </w:rPr>
              <w:t>/C</w:t>
            </w:r>
            <w:r>
              <w:rPr>
                <w:rFonts w:ascii="Times New Roman" w:hAnsi="Times New Roman" w:eastAsia="Times New Roman" w:cs="Times New Roman"/>
                <w:position w:val="-1"/>
                <w:sz w:val="16"/>
                <w:szCs w:val="16"/>
              </w:rPr>
              <w:t>0i</w:t>
            </w:r>
          </w:p>
          <w:p>
            <w:pPr>
              <w:pStyle w:val="6"/>
              <w:spacing w:before="179" w:line="214" w:lineRule="auto"/>
              <w:ind w:left="1053"/>
              <w:rPr>
                <w:sz w:val="24"/>
                <w:szCs w:val="24"/>
              </w:rPr>
            </w:pPr>
            <w:r>
              <w:rPr>
                <w:spacing w:val="-34"/>
                <w:sz w:val="24"/>
                <w:szCs w:val="24"/>
              </w:rPr>
              <w:t>式中：</w:t>
            </w:r>
            <w:r>
              <w:rPr>
                <w:spacing w:val="8"/>
                <w:sz w:val="24"/>
                <w:szCs w:val="24"/>
              </w:rPr>
              <w:t xml:space="preserve"> </w:t>
            </w:r>
            <w:r>
              <w:rPr>
                <w:rFonts w:ascii="Times New Roman" w:hAnsi="Times New Roman" w:eastAsia="Times New Roman" w:cs="Times New Roman"/>
                <w:spacing w:val="-34"/>
                <w:sz w:val="24"/>
                <w:szCs w:val="24"/>
              </w:rPr>
              <w:t>C</w:t>
            </w:r>
            <w:r>
              <w:rPr>
                <w:rFonts w:ascii="Times New Roman" w:hAnsi="Times New Roman" w:eastAsia="Times New Roman" w:cs="Times New Roman"/>
                <w:spacing w:val="-9"/>
                <w:position w:val="-1"/>
                <w:sz w:val="16"/>
                <w:szCs w:val="16"/>
              </w:rPr>
              <w:t>i</w:t>
            </w:r>
            <w:r>
              <w:rPr>
                <w:rFonts w:ascii="Times New Roman" w:hAnsi="Times New Roman" w:eastAsia="Times New Roman" w:cs="Times New Roman"/>
                <w:spacing w:val="-9"/>
                <w:sz w:val="24"/>
                <w:szCs w:val="24"/>
              </w:rPr>
              <w:t>——</w:t>
            </w:r>
            <w:r>
              <w:rPr>
                <w:spacing w:val="-9"/>
                <w:sz w:val="24"/>
                <w:szCs w:val="24"/>
              </w:rPr>
              <w:t>第</w:t>
            </w:r>
            <w:r>
              <w:rPr>
                <w:spacing w:val="-53"/>
                <w:sz w:val="24"/>
                <w:szCs w:val="24"/>
              </w:rPr>
              <w:t xml:space="preserve"> </w:t>
            </w:r>
            <w:r>
              <w:rPr>
                <w:rFonts w:ascii="Times New Roman" w:hAnsi="Times New Roman" w:eastAsia="Times New Roman" w:cs="Times New Roman"/>
                <w:spacing w:val="-9"/>
                <w:sz w:val="24"/>
                <w:szCs w:val="24"/>
              </w:rPr>
              <w:t xml:space="preserve">i </w:t>
            </w:r>
            <w:r>
              <w:rPr>
                <w:spacing w:val="-9"/>
                <w:sz w:val="24"/>
                <w:szCs w:val="24"/>
              </w:rPr>
              <w:t>种污染物实测浓度值，</w:t>
            </w:r>
            <w:r>
              <w:rPr>
                <w:spacing w:val="56"/>
                <w:sz w:val="24"/>
                <w:szCs w:val="24"/>
              </w:rPr>
              <w:t xml:space="preserve"> </w:t>
            </w:r>
            <w:r>
              <w:rPr>
                <w:rFonts w:ascii="Times New Roman" w:hAnsi="Times New Roman" w:eastAsia="Times New Roman" w:cs="Times New Roman"/>
                <w:spacing w:val="-9"/>
                <w:sz w:val="24"/>
                <w:szCs w:val="24"/>
              </w:rPr>
              <w:t>mg/L</w:t>
            </w:r>
            <w:r>
              <w:rPr>
                <w:spacing w:val="-9"/>
                <w:sz w:val="24"/>
                <w:szCs w:val="24"/>
              </w:rPr>
              <w:t>；</w:t>
            </w:r>
          </w:p>
          <w:p>
            <w:pPr>
              <w:pStyle w:val="6"/>
              <w:spacing w:before="202" w:line="480" w:lineRule="exact"/>
              <w:ind w:left="1767"/>
              <w:rPr>
                <w:sz w:val="24"/>
                <w:szCs w:val="24"/>
              </w:rPr>
            </w:pPr>
            <w:r>
              <w:rPr>
                <w:rFonts w:ascii="Times New Roman" w:hAnsi="Times New Roman" w:eastAsia="Times New Roman" w:cs="Times New Roman"/>
                <w:spacing w:val="-4"/>
                <w:position w:val="18"/>
                <w:sz w:val="24"/>
                <w:szCs w:val="24"/>
              </w:rPr>
              <w:t>C</w:t>
            </w:r>
            <w:r>
              <w:rPr>
                <w:rFonts w:ascii="Times New Roman" w:hAnsi="Times New Roman" w:eastAsia="Times New Roman" w:cs="Times New Roman"/>
                <w:spacing w:val="-4"/>
                <w:position w:val="17"/>
                <w:sz w:val="16"/>
                <w:szCs w:val="16"/>
              </w:rPr>
              <w:t>0i</w:t>
            </w:r>
            <w:r>
              <w:rPr>
                <w:rFonts w:ascii="Times New Roman" w:hAnsi="Times New Roman" w:eastAsia="Times New Roman" w:cs="Times New Roman"/>
                <w:spacing w:val="-4"/>
                <w:position w:val="18"/>
                <w:sz w:val="24"/>
                <w:szCs w:val="24"/>
              </w:rPr>
              <w:t>——</w:t>
            </w:r>
            <w:r>
              <w:rPr>
                <w:spacing w:val="-4"/>
                <w:position w:val="18"/>
                <w:sz w:val="24"/>
                <w:szCs w:val="24"/>
              </w:rPr>
              <w:t>第</w:t>
            </w:r>
            <w:r>
              <w:rPr>
                <w:spacing w:val="-55"/>
                <w:position w:val="18"/>
                <w:sz w:val="24"/>
                <w:szCs w:val="24"/>
              </w:rPr>
              <w:t xml:space="preserve"> </w:t>
            </w:r>
            <w:r>
              <w:rPr>
                <w:rFonts w:ascii="Times New Roman" w:hAnsi="Times New Roman" w:eastAsia="Times New Roman" w:cs="Times New Roman"/>
                <w:spacing w:val="-4"/>
                <w:position w:val="18"/>
                <w:sz w:val="24"/>
                <w:szCs w:val="24"/>
              </w:rPr>
              <w:t xml:space="preserve">i </w:t>
            </w:r>
            <w:r>
              <w:rPr>
                <w:spacing w:val="-4"/>
                <w:position w:val="18"/>
                <w:sz w:val="24"/>
                <w:szCs w:val="24"/>
              </w:rPr>
              <w:t>种污染物在</w:t>
            </w:r>
            <w:r>
              <w:rPr>
                <w:spacing w:val="-54"/>
                <w:position w:val="18"/>
                <w:sz w:val="24"/>
                <w:szCs w:val="24"/>
              </w:rPr>
              <w:t xml:space="preserve"> </w:t>
            </w:r>
            <w:r>
              <w:rPr>
                <w:rFonts w:ascii="Times New Roman" w:hAnsi="Times New Roman" w:eastAsia="Times New Roman" w:cs="Times New Roman"/>
                <w:spacing w:val="-4"/>
                <w:position w:val="18"/>
                <w:sz w:val="24"/>
                <w:szCs w:val="24"/>
              </w:rPr>
              <w:t>GB3838</w:t>
            </w:r>
            <w:r>
              <w:rPr>
                <w:rFonts w:ascii="Times New Roman" w:hAnsi="Times New Roman" w:eastAsia="Times New Roman" w:cs="Times New Roman"/>
                <w:spacing w:val="-5"/>
                <w:position w:val="18"/>
                <w:sz w:val="24"/>
                <w:szCs w:val="24"/>
              </w:rPr>
              <w:t>-2002</w:t>
            </w:r>
            <w:r>
              <w:rPr>
                <w:rFonts w:ascii="Times New Roman" w:hAnsi="Times New Roman" w:eastAsia="Times New Roman" w:cs="Times New Roman"/>
                <w:spacing w:val="32"/>
                <w:w w:val="101"/>
                <w:position w:val="18"/>
                <w:sz w:val="24"/>
                <w:szCs w:val="24"/>
              </w:rPr>
              <w:t xml:space="preserve"> </w:t>
            </w:r>
            <w:r>
              <w:rPr>
                <w:spacing w:val="-5"/>
                <w:position w:val="18"/>
                <w:sz w:val="24"/>
                <w:szCs w:val="24"/>
              </w:rPr>
              <w:t>中</w:t>
            </w:r>
            <w:r>
              <w:rPr>
                <w:spacing w:val="-52"/>
                <w:position w:val="18"/>
                <w:sz w:val="24"/>
                <w:szCs w:val="24"/>
              </w:rPr>
              <w:t xml:space="preserve"> </w:t>
            </w:r>
            <w:r>
              <w:rPr>
                <w:rFonts w:ascii="Times New Roman" w:hAnsi="Times New Roman" w:eastAsia="Times New Roman" w:cs="Times New Roman"/>
                <w:spacing w:val="-5"/>
                <w:position w:val="18"/>
                <w:sz w:val="24"/>
                <w:szCs w:val="24"/>
              </w:rPr>
              <w:t xml:space="preserve">III </w:t>
            </w:r>
            <w:r>
              <w:rPr>
                <w:spacing w:val="-5"/>
                <w:position w:val="18"/>
                <w:sz w:val="24"/>
                <w:szCs w:val="24"/>
              </w:rPr>
              <w:t xml:space="preserve">类标准值， </w:t>
            </w:r>
            <w:r>
              <w:rPr>
                <w:rFonts w:ascii="Times New Roman" w:hAnsi="Times New Roman" w:eastAsia="Times New Roman" w:cs="Times New Roman"/>
                <w:spacing w:val="-5"/>
                <w:position w:val="18"/>
                <w:sz w:val="24"/>
                <w:szCs w:val="24"/>
              </w:rPr>
              <w:t>mg/L</w:t>
            </w:r>
            <w:r>
              <w:rPr>
                <w:spacing w:val="-5"/>
                <w:position w:val="18"/>
                <w:sz w:val="24"/>
                <w:szCs w:val="24"/>
              </w:rPr>
              <w:t>；</w:t>
            </w:r>
          </w:p>
          <w:p>
            <w:pPr>
              <w:pStyle w:val="6"/>
              <w:spacing w:before="1" w:line="214" w:lineRule="auto"/>
              <w:ind w:left="1038"/>
              <w:rPr>
                <w:sz w:val="24"/>
                <w:szCs w:val="24"/>
              </w:rPr>
            </w:pPr>
            <w:r>
              <w:rPr>
                <w:rFonts w:ascii="Times New Roman" w:hAnsi="Times New Roman" w:eastAsia="Times New Roman" w:cs="Times New Roman"/>
                <w:spacing w:val="-7"/>
                <w:sz w:val="24"/>
                <w:szCs w:val="24"/>
              </w:rPr>
              <w:t>pH</w:t>
            </w:r>
            <w:r>
              <w:rPr>
                <w:rFonts w:ascii="Times New Roman" w:hAnsi="Times New Roman" w:eastAsia="Times New Roman" w:cs="Times New Roman"/>
                <w:spacing w:val="36"/>
                <w:sz w:val="24"/>
                <w:szCs w:val="24"/>
              </w:rPr>
              <w:t xml:space="preserve"> </w:t>
            </w:r>
            <w:r>
              <w:rPr>
                <w:spacing w:val="-7"/>
                <w:sz w:val="24"/>
                <w:szCs w:val="24"/>
              </w:rPr>
              <w:t>的标准指数</w:t>
            </w:r>
            <w:r>
              <w:rPr>
                <w:spacing w:val="-45"/>
                <w:sz w:val="24"/>
                <w:szCs w:val="24"/>
              </w:rPr>
              <w:t xml:space="preserve"> </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7"/>
                <w:position w:val="-1"/>
                <w:sz w:val="16"/>
                <w:szCs w:val="16"/>
              </w:rPr>
              <w:t>pH</w:t>
            </w:r>
            <w:r>
              <w:rPr>
                <w:rFonts w:ascii="Times New Roman" w:hAnsi="Times New Roman" w:eastAsia="Times New Roman" w:cs="Times New Roman"/>
                <w:spacing w:val="12"/>
                <w:w w:val="102"/>
                <w:position w:val="-1"/>
                <w:sz w:val="16"/>
                <w:szCs w:val="16"/>
              </w:rPr>
              <w:t xml:space="preserve"> </w:t>
            </w:r>
            <w:r>
              <w:rPr>
                <w:spacing w:val="-7"/>
                <w:sz w:val="24"/>
                <w:szCs w:val="24"/>
              </w:rPr>
              <w:t>为：</w:t>
            </w:r>
          </w:p>
          <w:p>
            <w:pPr>
              <w:pStyle w:val="6"/>
              <w:spacing w:before="201" w:line="213" w:lineRule="auto"/>
              <w:ind w:left="3044"/>
              <w:rPr>
                <w:sz w:val="24"/>
                <w:szCs w:val="24"/>
              </w:rPr>
            </w:pPr>
            <w:r>
              <w:rPr>
                <w:spacing w:val="-1"/>
                <w:sz w:val="24"/>
                <w:szCs w:val="24"/>
              </w:rPr>
              <w:t>当</w:t>
            </w:r>
            <w:r>
              <w:rPr>
                <w:spacing w:val="-55"/>
                <w:sz w:val="24"/>
                <w:szCs w:val="24"/>
              </w:rPr>
              <w:t xml:space="preserve"> </w:t>
            </w:r>
            <w:r>
              <w:rPr>
                <w:rFonts w:ascii="Times New Roman" w:hAnsi="Times New Roman" w:eastAsia="Times New Roman" w:cs="Times New Roman"/>
                <w:spacing w:val="-1"/>
                <w:sz w:val="24"/>
                <w:szCs w:val="24"/>
              </w:rPr>
              <w:t>pH≤7.0SpH=</w:t>
            </w:r>
            <w:r>
              <w:rPr>
                <w:spacing w:val="-1"/>
                <w:sz w:val="24"/>
                <w:szCs w:val="24"/>
              </w:rPr>
              <w:t>（</w:t>
            </w:r>
            <w:r>
              <w:rPr>
                <w:rFonts w:ascii="Times New Roman" w:hAnsi="Times New Roman" w:eastAsia="Times New Roman" w:cs="Times New Roman"/>
                <w:spacing w:val="-1"/>
                <w:sz w:val="24"/>
                <w:szCs w:val="24"/>
              </w:rPr>
              <w:t>7.0-pH</w:t>
            </w:r>
            <w:r>
              <w:rPr>
                <w:spacing w:val="-1"/>
                <w:sz w:val="24"/>
                <w:szCs w:val="24"/>
              </w:rPr>
              <w:t>）</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7.0-pHsd</w:t>
            </w:r>
            <w:r>
              <w:rPr>
                <w:spacing w:val="-1"/>
                <w:sz w:val="24"/>
                <w:szCs w:val="24"/>
              </w:rPr>
              <w:t>）</w:t>
            </w:r>
          </w:p>
          <w:p>
            <w:pPr>
              <w:pStyle w:val="6"/>
              <w:spacing w:before="203" w:line="480" w:lineRule="exact"/>
              <w:ind w:left="3017"/>
              <w:rPr>
                <w:sz w:val="24"/>
                <w:szCs w:val="24"/>
              </w:rPr>
            </w:pPr>
            <w:r>
              <w:rPr>
                <w:spacing w:val="-1"/>
                <w:position w:val="18"/>
                <w:sz w:val="24"/>
                <w:szCs w:val="24"/>
              </w:rPr>
              <w:t>当</w:t>
            </w:r>
            <w:r>
              <w:rPr>
                <w:spacing w:val="-56"/>
                <w:position w:val="18"/>
                <w:sz w:val="24"/>
                <w:szCs w:val="24"/>
              </w:rPr>
              <w:t xml:space="preserve"> </w:t>
            </w:r>
            <w:r>
              <w:rPr>
                <w:rFonts w:ascii="Times New Roman" w:hAnsi="Times New Roman" w:eastAsia="Times New Roman" w:cs="Times New Roman"/>
                <w:spacing w:val="-1"/>
                <w:position w:val="18"/>
                <w:sz w:val="24"/>
                <w:szCs w:val="24"/>
              </w:rPr>
              <w:t>pH≥7.0SpH=</w:t>
            </w:r>
            <w:r>
              <w:rPr>
                <w:spacing w:val="-1"/>
                <w:position w:val="18"/>
                <w:sz w:val="24"/>
                <w:szCs w:val="24"/>
              </w:rPr>
              <w:t>（</w:t>
            </w:r>
            <w:r>
              <w:rPr>
                <w:rFonts w:ascii="Times New Roman" w:hAnsi="Times New Roman" w:eastAsia="Times New Roman" w:cs="Times New Roman"/>
                <w:spacing w:val="-1"/>
                <w:position w:val="18"/>
                <w:sz w:val="24"/>
                <w:szCs w:val="24"/>
              </w:rPr>
              <w:t>pH-7.0</w:t>
            </w:r>
            <w:r>
              <w:rPr>
                <w:spacing w:val="-1"/>
                <w:position w:val="18"/>
                <w:sz w:val="24"/>
                <w:szCs w:val="24"/>
              </w:rPr>
              <w:t>）</w:t>
            </w:r>
            <w:r>
              <w:rPr>
                <w:rFonts w:ascii="Times New Roman" w:hAnsi="Times New Roman" w:eastAsia="Times New Roman" w:cs="Times New Roman"/>
                <w:spacing w:val="-1"/>
                <w:position w:val="18"/>
                <w:sz w:val="24"/>
                <w:szCs w:val="24"/>
              </w:rPr>
              <w:t>/</w:t>
            </w:r>
            <w:r>
              <w:rPr>
                <w:spacing w:val="-1"/>
                <w:position w:val="18"/>
                <w:sz w:val="24"/>
                <w:szCs w:val="24"/>
              </w:rPr>
              <w:t>（</w:t>
            </w:r>
            <w:r>
              <w:rPr>
                <w:rFonts w:ascii="Times New Roman" w:hAnsi="Times New Roman" w:eastAsia="Times New Roman" w:cs="Times New Roman"/>
                <w:spacing w:val="-1"/>
                <w:position w:val="18"/>
                <w:sz w:val="24"/>
                <w:szCs w:val="24"/>
              </w:rPr>
              <w:t>pHsw-7.0</w:t>
            </w:r>
            <w:r>
              <w:rPr>
                <w:spacing w:val="-1"/>
                <w:position w:val="18"/>
                <w:sz w:val="24"/>
                <w:szCs w:val="24"/>
              </w:rPr>
              <w:t>）</w:t>
            </w:r>
          </w:p>
          <w:p>
            <w:pPr>
              <w:pStyle w:val="6"/>
              <w:spacing w:before="1" w:line="212" w:lineRule="auto"/>
              <w:ind w:left="1053"/>
              <w:rPr>
                <w:sz w:val="24"/>
                <w:szCs w:val="24"/>
              </w:rPr>
            </w:pPr>
            <w:r>
              <w:rPr>
                <w:spacing w:val="-10"/>
                <w:sz w:val="24"/>
                <w:szCs w:val="24"/>
              </w:rPr>
              <w:t xml:space="preserve">式中： </w:t>
            </w:r>
            <w:r>
              <w:rPr>
                <w:rFonts w:ascii="Times New Roman" w:hAnsi="Times New Roman" w:eastAsia="Times New Roman" w:cs="Times New Roman"/>
                <w:spacing w:val="-10"/>
                <w:sz w:val="24"/>
                <w:szCs w:val="24"/>
              </w:rPr>
              <w:t>pH——</w:t>
            </w:r>
            <w:r>
              <w:rPr>
                <w:spacing w:val="-10"/>
                <w:sz w:val="24"/>
                <w:szCs w:val="24"/>
              </w:rPr>
              <w:t>实测的</w:t>
            </w:r>
            <w:r>
              <w:rPr>
                <w:spacing w:val="-60"/>
                <w:sz w:val="24"/>
                <w:szCs w:val="24"/>
              </w:rPr>
              <w:t xml:space="preserve"> </w:t>
            </w:r>
            <w:r>
              <w:rPr>
                <w:rFonts w:ascii="Times New Roman" w:hAnsi="Times New Roman" w:eastAsia="Times New Roman" w:cs="Times New Roman"/>
                <w:spacing w:val="-10"/>
                <w:sz w:val="24"/>
                <w:szCs w:val="24"/>
              </w:rPr>
              <w:t xml:space="preserve">pH </w:t>
            </w:r>
            <w:r>
              <w:rPr>
                <w:spacing w:val="-10"/>
                <w:sz w:val="24"/>
                <w:szCs w:val="24"/>
              </w:rPr>
              <w:t>值；</w:t>
            </w:r>
          </w:p>
          <w:p>
            <w:pPr>
              <w:pStyle w:val="6"/>
              <w:spacing w:before="204" w:line="480" w:lineRule="exact"/>
              <w:ind w:left="1758"/>
              <w:rPr>
                <w:sz w:val="24"/>
                <w:szCs w:val="24"/>
              </w:rPr>
            </w:pPr>
            <w:r>
              <w:rPr>
                <w:rFonts w:ascii="Times New Roman" w:hAnsi="Times New Roman" w:eastAsia="Times New Roman" w:cs="Times New Roman"/>
                <w:spacing w:val="-2"/>
                <w:position w:val="18"/>
                <w:sz w:val="24"/>
                <w:szCs w:val="24"/>
              </w:rPr>
              <w:t>pHsd——</w:t>
            </w:r>
            <w:r>
              <w:rPr>
                <w:spacing w:val="-2"/>
                <w:position w:val="18"/>
                <w:sz w:val="24"/>
                <w:szCs w:val="24"/>
              </w:rPr>
              <w:t>地表水质量标准中规定的</w:t>
            </w:r>
            <w:r>
              <w:rPr>
                <w:spacing w:val="-53"/>
                <w:position w:val="18"/>
                <w:sz w:val="24"/>
                <w:szCs w:val="24"/>
              </w:rPr>
              <w:t xml:space="preserve"> </w:t>
            </w:r>
            <w:r>
              <w:rPr>
                <w:rFonts w:ascii="Times New Roman" w:hAnsi="Times New Roman" w:eastAsia="Times New Roman" w:cs="Times New Roman"/>
                <w:spacing w:val="-2"/>
                <w:position w:val="18"/>
                <w:sz w:val="24"/>
                <w:szCs w:val="24"/>
              </w:rPr>
              <w:t xml:space="preserve">pH </w:t>
            </w:r>
            <w:r>
              <w:rPr>
                <w:spacing w:val="-2"/>
                <w:position w:val="18"/>
                <w:sz w:val="24"/>
                <w:szCs w:val="24"/>
              </w:rPr>
              <w:t>值下限；</w:t>
            </w:r>
          </w:p>
          <w:p>
            <w:pPr>
              <w:pStyle w:val="6"/>
              <w:spacing w:before="1" w:line="212" w:lineRule="auto"/>
              <w:ind w:left="1758"/>
              <w:rPr>
                <w:sz w:val="24"/>
                <w:szCs w:val="24"/>
              </w:rPr>
            </w:pPr>
            <w:r>
              <w:rPr>
                <w:rFonts w:ascii="Times New Roman" w:hAnsi="Times New Roman" w:eastAsia="Times New Roman" w:cs="Times New Roman"/>
                <w:sz w:val="24"/>
                <w:szCs w:val="24"/>
              </w:rPr>
              <w:t>pHsw——</w:t>
            </w:r>
            <w:r>
              <w:rPr>
                <w:sz w:val="24"/>
                <w:szCs w:val="24"/>
              </w:rPr>
              <w:t>地表水质量标准中规定的</w:t>
            </w:r>
            <w:r>
              <w:rPr>
                <w:spacing w:val="-61"/>
                <w:sz w:val="24"/>
                <w:szCs w:val="24"/>
              </w:rPr>
              <w:t xml:space="preserve"> </w:t>
            </w:r>
            <w:r>
              <w:rPr>
                <w:rFonts w:ascii="Times New Roman" w:hAnsi="Times New Roman" w:eastAsia="Times New Roman" w:cs="Times New Roman"/>
                <w:sz w:val="24"/>
                <w:szCs w:val="24"/>
              </w:rPr>
              <w:t xml:space="preserve">pH </w:t>
            </w:r>
            <w:r>
              <w:rPr>
                <w:sz w:val="24"/>
                <w:szCs w:val="24"/>
              </w:rPr>
              <w:t>值上限。</w:t>
            </w:r>
          </w:p>
          <w:p>
            <w:pPr>
              <w:pStyle w:val="6"/>
              <w:spacing w:before="204" w:line="217" w:lineRule="auto"/>
              <w:ind w:left="1046"/>
              <w:rPr>
                <w:sz w:val="24"/>
                <w:szCs w:val="24"/>
              </w:rPr>
            </w:pPr>
            <w:r>
              <w:rPr>
                <w:spacing w:val="-1"/>
                <w:sz w:val="24"/>
                <w:szCs w:val="24"/>
              </w:rPr>
              <w:t>④地下水环境质量监测结果及评价结果</w:t>
            </w:r>
          </w:p>
          <w:p>
            <w:pPr>
              <w:pStyle w:val="6"/>
              <w:spacing w:before="197" w:line="220" w:lineRule="auto"/>
              <w:ind w:left="1048"/>
              <w:rPr>
                <w:sz w:val="24"/>
                <w:szCs w:val="24"/>
              </w:rPr>
            </w:pPr>
            <w:r>
              <w:rPr>
                <w:spacing w:val="-2"/>
                <w:sz w:val="24"/>
                <w:szCs w:val="24"/>
              </w:rPr>
              <w:t>地下水水质监测数据统计结果见下表</w:t>
            </w:r>
            <w:r>
              <w:rPr>
                <w:spacing w:val="-41"/>
                <w:sz w:val="24"/>
                <w:szCs w:val="24"/>
              </w:rPr>
              <w:t xml:space="preserve"> </w:t>
            </w:r>
            <w:r>
              <w:rPr>
                <w:rFonts w:ascii="Times New Roman" w:hAnsi="Times New Roman" w:eastAsia="Times New Roman" w:cs="Times New Roman"/>
                <w:spacing w:val="-2"/>
                <w:sz w:val="24"/>
                <w:szCs w:val="24"/>
              </w:rPr>
              <w:t>3.3-7~3.3-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10</w:t>
            </w:r>
            <w:r>
              <w:rPr>
                <w:spacing w:val="-2"/>
                <w:sz w:val="24"/>
                <w:szCs w:val="24"/>
              </w:rPr>
              <w:t>。</w:t>
            </w:r>
          </w:p>
          <w:p>
            <w:pPr>
              <w:pStyle w:val="6"/>
              <w:spacing w:before="195" w:line="212" w:lineRule="auto"/>
              <w:ind w:left="1669"/>
              <w:rPr>
                <w:rFonts w:ascii="Times New Roman" w:hAnsi="Times New Roman" w:eastAsia="Times New Roman" w:cs="Times New Roman"/>
                <w:sz w:val="24"/>
                <w:szCs w:val="24"/>
              </w:rPr>
            </w:pPr>
            <w:r>
              <w:rPr>
                <w:spacing w:val="-3"/>
                <w:sz w:val="24"/>
                <w:szCs w:val="24"/>
                <w14:textOutline w14:w="4354" w14:cap="flat" w14:cmpd="sng">
                  <w14:solidFill>
                    <w14:srgbClr w14:val="000000"/>
                  </w14:solidFill>
                  <w14:prstDash w14:val="solid"/>
                  <w14:miter w14:val="10"/>
                </w14:textOutline>
              </w:rPr>
              <w:t>表</w:t>
            </w:r>
            <w:r>
              <w:rPr>
                <w:spacing w:val="-39"/>
                <w:sz w:val="24"/>
                <w:szCs w:val="24"/>
              </w:rPr>
              <w:t xml:space="preserve"> </w:t>
            </w:r>
            <w:r>
              <w:rPr>
                <w:rFonts w:ascii="Times New Roman" w:hAnsi="Times New Roman" w:eastAsia="Times New Roman" w:cs="Times New Roman"/>
                <w:b/>
                <w:bCs/>
                <w:spacing w:val="-3"/>
                <w:sz w:val="24"/>
                <w:szCs w:val="24"/>
              </w:rPr>
              <w:t xml:space="preserve">3.3-7    </w:t>
            </w:r>
            <w:r>
              <w:rPr>
                <w:spacing w:val="-3"/>
                <w:sz w:val="24"/>
                <w:szCs w:val="24"/>
                <w14:textOutline w14:w="4354" w14:cap="flat" w14:cmpd="sng">
                  <w14:solidFill>
                    <w14:srgbClr w14:val="000000"/>
                  </w14:solidFill>
                  <w14:prstDash w14:val="solid"/>
                  <w14:miter w14:val="10"/>
                </w14:textOutline>
              </w:rPr>
              <w:t>地下水阴阳离子平衡监测结果统计表</w:t>
            </w:r>
            <w:r>
              <w:rPr>
                <w:spacing w:val="-3"/>
                <w:sz w:val="24"/>
                <w:szCs w:val="24"/>
              </w:rPr>
              <w:t xml:space="preserve">  </w:t>
            </w:r>
            <w:r>
              <w:rPr>
                <w:spacing w:val="-3"/>
                <w:sz w:val="24"/>
                <w:szCs w:val="24"/>
                <w14:textOutline w14:w="4354" w14:cap="flat" w14:cmpd="sng">
                  <w14:solidFill>
                    <w14:srgbClr w14:val="000000"/>
                  </w14:solidFill>
                  <w14:prstDash w14:val="solid"/>
                  <w14:miter w14:val="10"/>
                </w14:textOutline>
              </w:rPr>
              <w:t>单位：</w:t>
            </w:r>
            <w:r>
              <w:rPr>
                <w:spacing w:val="-23"/>
                <w:sz w:val="24"/>
                <w:szCs w:val="24"/>
              </w:rPr>
              <w:t xml:space="preserve"> </w:t>
            </w:r>
            <w:r>
              <w:rPr>
                <w:rFonts w:ascii="Times New Roman" w:hAnsi="Times New Roman" w:eastAsia="Times New Roman" w:cs="Times New Roman"/>
                <w:b/>
                <w:bCs/>
                <w:spacing w:val="-3"/>
                <w:sz w:val="24"/>
                <w:szCs w:val="24"/>
              </w:rPr>
              <w:t>mg/L</w:t>
            </w:r>
          </w:p>
          <w:p>
            <w:pPr>
              <w:spacing w:line="2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835"/>
              <w:gridCol w:w="1116"/>
              <w:gridCol w:w="837"/>
              <w:gridCol w:w="736"/>
              <w:gridCol w:w="840"/>
              <w:gridCol w:w="1161"/>
              <w:gridCol w:w="1162"/>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91" w:type="dxa"/>
                  <w:vAlign w:val="top"/>
                </w:tcPr>
                <w:p>
                  <w:pPr>
                    <w:pStyle w:val="6"/>
                    <w:spacing w:before="67" w:line="222" w:lineRule="auto"/>
                    <w:ind w:left="236"/>
                    <w:rPr>
                      <w:sz w:val="21"/>
                      <w:szCs w:val="21"/>
                    </w:rPr>
                  </w:pPr>
                  <w:r>
                    <w:rPr>
                      <w:spacing w:val="-2"/>
                      <w:sz w:val="21"/>
                      <w:szCs w:val="21"/>
                    </w:rPr>
                    <w:t>监测点</w:t>
                  </w:r>
                </w:p>
              </w:tc>
              <w:tc>
                <w:tcPr>
                  <w:tcW w:w="835" w:type="dxa"/>
                  <w:vAlign w:val="top"/>
                </w:tcPr>
                <w:p>
                  <w:pPr>
                    <w:spacing w:before="83" w:line="210" w:lineRule="auto"/>
                    <w:ind w:left="301"/>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1"/>
                      <w:szCs w:val="21"/>
                    </w:rPr>
                    <w:t>K</w:t>
                  </w:r>
                  <w:r>
                    <w:rPr>
                      <w:rFonts w:ascii="Times New Roman" w:hAnsi="Times New Roman" w:eastAsia="Times New Roman" w:cs="Times New Roman"/>
                      <w:spacing w:val="1"/>
                      <w:position w:val="3"/>
                      <w:sz w:val="13"/>
                      <w:szCs w:val="13"/>
                    </w:rPr>
                    <w:t>+</w:t>
                  </w:r>
                </w:p>
              </w:tc>
              <w:tc>
                <w:tcPr>
                  <w:tcW w:w="1116" w:type="dxa"/>
                  <w:vAlign w:val="top"/>
                </w:tcPr>
                <w:p>
                  <w:pPr>
                    <w:spacing w:before="85" w:line="252" w:lineRule="exact"/>
                    <w:ind w:left="371"/>
                    <w:rPr>
                      <w:rFonts w:ascii="Times New Roman" w:hAnsi="Times New Roman" w:eastAsia="Times New Roman" w:cs="Times New Roman"/>
                      <w:sz w:val="13"/>
                      <w:szCs w:val="13"/>
                    </w:rPr>
                  </w:pPr>
                  <w:r>
                    <w:rPr>
                      <w:rFonts w:ascii="Times New Roman" w:hAnsi="Times New Roman" w:eastAsia="Times New Roman" w:cs="Times New Roman"/>
                      <w:sz w:val="21"/>
                      <w:szCs w:val="21"/>
                    </w:rPr>
                    <w:t>Ca</w:t>
                  </w:r>
                  <w:r>
                    <w:rPr>
                      <w:rFonts w:ascii="Times New Roman" w:hAnsi="Times New Roman" w:eastAsia="Times New Roman" w:cs="Times New Roman"/>
                      <w:spacing w:val="2"/>
                      <w:position w:val="6"/>
                      <w:sz w:val="13"/>
                      <w:szCs w:val="13"/>
                    </w:rPr>
                    <w:t>2+</w:t>
                  </w:r>
                </w:p>
              </w:tc>
              <w:tc>
                <w:tcPr>
                  <w:tcW w:w="837" w:type="dxa"/>
                  <w:vAlign w:val="top"/>
                </w:tcPr>
                <w:p>
                  <w:pPr>
                    <w:spacing w:before="83" w:line="210" w:lineRule="auto"/>
                    <w:ind w:left="250"/>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Na</w:t>
                  </w:r>
                  <w:r>
                    <w:rPr>
                      <w:rFonts w:ascii="Times New Roman" w:hAnsi="Times New Roman" w:eastAsia="Times New Roman" w:cs="Times New Roman"/>
                      <w:spacing w:val="10"/>
                      <w:position w:val="4"/>
                      <w:sz w:val="13"/>
                      <w:szCs w:val="13"/>
                    </w:rPr>
                    <w:t>+</w:t>
                  </w:r>
                </w:p>
              </w:tc>
              <w:tc>
                <w:tcPr>
                  <w:tcW w:w="736" w:type="dxa"/>
                  <w:vAlign w:val="top"/>
                </w:tcPr>
                <w:p>
                  <w:pPr>
                    <w:spacing w:before="85" w:line="208" w:lineRule="auto"/>
                    <w:ind w:left="149"/>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Mg</w:t>
                  </w:r>
                  <w:r>
                    <w:rPr>
                      <w:rFonts w:ascii="Times New Roman" w:hAnsi="Times New Roman" w:eastAsia="Times New Roman" w:cs="Times New Roman"/>
                      <w:spacing w:val="3"/>
                      <w:position w:val="5"/>
                      <w:sz w:val="13"/>
                      <w:szCs w:val="13"/>
                    </w:rPr>
                    <w:t>2+</w:t>
                  </w:r>
                </w:p>
              </w:tc>
              <w:tc>
                <w:tcPr>
                  <w:tcW w:w="840" w:type="dxa"/>
                  <w:vAlign w:val="top"/>
                </w:tcPr>
                <w:p>
                  <w:pPr>
                    <w:spacing w:before="102" w:line="191" w:lineRule="auto"/>
                    <w:ind w:left="303"/>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Cl</w:t>
                  </w:r>
                  <w:r>
                    <w:rPr>
                      <w:rFonts w:ascii="Times New Roman" w:hAnsi="Times New Roman" w:eastAsia="Times New Roman" w:cs="Times New Roman"/>
                      <w:spacing w:val="-2"/>
                      <w:position w:val="6"/>
                      <w:sz w:val="13"/>
                      <w:szCs w:val="13"/>
                    </w:rPr>
                    <w:t>-</w:t>
                  </w:r>
                </w:p>
              </w:tc>
              <w:tc>
                <w:tcPr>
                  <w:tcW w:w="1161" w:type="dxa"/>
                  <w:vAlign w:val="top"/>
                </w:tcPr>
                <w:p>
                  <w:pPr>
                    <w:spacing w:before="85" w:line="207" w:lineRule="auto"/>
                    <w:ind w:left="346"/>
                    <w:rPr>
                      <w:rFonts w:ascii="Times New Roman" w:hAnsi="Times New Roman" w:eastAsia="Times New Roman" w:cs="Times New Roman"/>
                      <w:sz w:val="13"/>
                      <w:szCs w:val="13"/>
                    </w:rPr>
                  </w:pPr>
                  <w:r>
                    <w:rPr>
                      <w:rFonts w:ascii="Times New Roman" w:hAnsi="Times New Roman" w:eastAsia="Times New Roman" w:cs="Times New Roman"/>
                      <w:sz w:val="21"/>
                      <w:szCs w:val="21"/>
                    </w:rPr>
                    <w:t>CO</w:t>
                  </w:r>
                  <w:r>
                    <w:rPr>
                      <w:rFonts w:ascii="Times New Roman" w:hAnsi="Times New Roman" w:eastAsia="Times New Roman" w:cs="Times New Roman"/>
                      <w:spacing w:val="2"/>
                      <w:position w:val="-2"/>
                      <w:sz w:val="13"/>
                      <w:szCs w:val="13"/>
                    </w:rPr>
                    <w:t>3</w:t>
                  </w:r>
                  <w:r>
                    <w:rPr>
                      <w:rFonts w:ascii="Times New Roman" w:hAnsi="Times New Roman" w:eastAsia="Times New Roman" w:cs="Times New Roman"/>
                      <w:spacing w:val="2"/>
                      <w:position w:val="6"/>
                      <w:sz w:val="13"/>
                      <w:szCs w:val="13"/>
                    </w:rPr>
                    <w:t>2-</w:t>
                  </w:r>
                </w:p>
              </w:tc>
              <w:tc>
                <w:tcPr>
                  <w:tcW w:w="1162" w:type="dxa"/>
                  <w:vAlign w:val="top"/>
                </w:tcPr>
                <w:p>
                  <w:pPr>
                    <w:spacing w:before="106" w:line="196" w:lineRule="auto"/>
                    <w:ind w:left="302"/>
                    <w:rPr>
                      <w:rFonts w:ascii="Times New Roman" w:hAnsi="Times New Roman" w:eastAsia="Times New Roman" w:cs="Times New Roman"/>
                      <w:sz w:val="13"/>
                      <w:szCs w:val="13"/>
                    </w:rPr>
                  </w:pPr>
                  <w:r>
                    <w:rPr>
                      <w:rFonts w:ascii="Times New Roman" w:hAnsi="Times New Roman" w:eastAsia="Times New Roman" w:cs="Times New Roman"/>
                      <w:sz w:val="21"/>
                      <w:szCs w:val="21"/>
                    </w:rPr>
                    <w:t>HCO</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position w:val="7"/>
                      <w:sz w:val="13"/>
                      <w:szCs w:val="13"/>
                    </w:rPr>
                    <w:t>-</w:t>
                  </w:r>
                </w:p>
              </w:tc>
              <w:tc>
                <w:tcPr>
                  <w:tcW w:w="832" w:type="dxa"/>
                  <w:vAlign w:val="top"/>
                </w:tcPr>
                <w:p>
                  <w:pPr>
                    <w:spacing w:before="85" w:line="207" w:lineRule="auto"/>
                    <w:ind w:left="197"/>
                    <w:rPr>
                      <w:rFonts w:ascii="Times New Roman" w:hAnsi="Times New Roman" w:eastAsia="Times New Roman" w:cs="Times New Roman"/>
                      <w:sz w:val="13"/>
                      <w:szCs w:val="13"/>
                    </w:rPr>
                  </w:pPr>
                  <w:r>
                    <w:rPr>
                      <w:rFonts w:ascii="Times New Roman" w:hAnsi="Times New Roman" w:eastAsia="Times New Roman" w:cs="Times New Roman"/>
                      <w:sz w:val="21"/>
                      <w:szCs w:val="21"/>
                    </w:rPr>
                    <w:t>SO</w:t>
                  </w:r>
                  <w:r>
                    <w:rPr>
                      <w:rFonts w:ascii="Times New Roman" w:hAnsi="Times New Roman" w:eastAsia="Times New Roman" w:cs="Times New Roman"/>
                      <w:position w:val="-2"/>
                      <w:sz w:val="13"/>
                      <w:szCs w:val="13"/>
                    </w:rPr>
                    <w:t>4</w:t>
                  </w:r>
                  <w:r>
                    <w:rPr>
                      <w:rFonts w:ascii="Times New Roman" w:hAnsi="Times New Roman" w:eastAsia="Times New Roman" w:cs="Times New Roman"/>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91" w:type="dxa"/>
                  <w:vAlign w:val="top"/>
                </w:tcPr>
                <w:p>
                  <w:pPr>
                    <w:spacing w:before="102" w:line="187"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WX1</w:t>
                  </w:r>
                </w:p>
              </w:tc>
              <w:tc>
                <w:tcPr>
                  <w:tcW w:w="835" w:type="dxa"/>
                  <w:vAlign w:val="top"/>
                </w:tcPr>
                <w:p>
                  <w:pPr>
                    <w:spacing w:before="102"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2.55</w:t>
                  </w:r>
                </w:p>
              </w:tc>
              <w:tc>
                <w:tcPr>
                  <w:tcW w:w="1116" w:type="dxa"/>
                  <w:vAlign w:val="top"/>
                </w:tcPr>
                <w:p>
                  <w:pPr>
                    <w:spacing w:before="102"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46.2</w:t>
                  </w:r>
                </w:p>
              </w:tc>
              <w:tc>
                <w:tcPr>
                  <w:tcW w:w="837" w:type="dxa"/>
                  <w:vAlign w:val="top"/>
                </w:tcPr>
                <w:p>
                  <w:pPr>
                    <w:spacing w:before="102"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36" w:type="dxa"/>
                  <w:vAlign w:val="top"/>
                </w:tcPr>
                <w:p>
                  <w:pPr>
                    <w:spacing w:before="102"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15.68</w:t>
                  </w:r>
                </w:p>
              </w:tc>
              <w:tc>
                <w:tcPr>
                  <w:tcW w:w="840" w:type="dxa"/>
                  <w:vAlign w:val="top"/>
                </w:tcPr>
                <w:p>
                  <w:pPr>
                    <w:spacing w:before="10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8.03</w:t>
                  </w:r>
                </w:p>
              </w:tc>
              <w:tc>
                <w:tcPr>
                  <w:tcW w:w="1161" w:type="dxa"/>
                  <w:vAlign w:val="top"/>
                </w:tcPr>
                <w:p>
                  <w:pPr>
                    <w:spacing w:before="105" w:line="184"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62" w:type="dxa"/>
                  <w:vAlign w:val="top"/>
                </w:tcPr>
                <w:p>
                  <w:pPr>
                    <w:spacing w:before="102" w:line="187" w:lineRule="auto"/>
                    <w:ind w:left="4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183</w:t>
                  </w:r>
                </w:p>
              </w:tc>
              <w:tc>
                <w:tcPr>
                  <w:tcW w:w="832" w:type="dxa"/>
                  <w:vAlign w:val="top"/>
                </w:tcPr>
                <w:p>
                  <w:pPr>
                    <w:spacing w:before="102"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91" w:type="dxa"/>
                  <w:vAlign w:val="top"/>
                </w:tcPr>
                <w:p>
                  <w:pPr>
                    <w:spacing w:before="103" w:line="187"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WX2</w:t>
                  </w:r>
                </w:p>
              </w:tc>
              <w:tc>
                <w:tcPr>
                  <w:tcW w:w="835" w:type="dxa"/>
                  <w:vAlign w:val="top"/>
                </w:tcPr>
                <w:p>
                  <w:pPr>
                    <w:spacing w:before="103"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2.35</w:t>
                  </w:r>
                </w:p>
              </w:tc>
              <w:tc>
                <w:tcPr>
                  <w:tcW w:w="1116" w:type="dxa"/>
                  <w:vAlign w:val="top"/>
                </w:tcPr>
                <w:p>
                  <w:pPr>
                    <w:spacing w:before="103"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837" w:type="dxa"/>
                  <w:vAlign w:val="top"/>
                </w:tcPr>
                <w:p>
                  <w:pPr>
                    <w:spacing w:before="10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14.9</w:t>
                  </w:r>
                </w:p>
              </w:tc>
              <w:tc>
                <w:tcPr>
                  <w:tcW w:w="736" w:type="dxa"/>
                  <w:vAlign w:val="top"/>
                </w:tcPr>
                <w:p>
                  <w:pPr>
                    <w:spacing w:before="103"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15.5</w:t>
                  </w:r>
                </w:p>
              </w:tc>
              <w:tc>
                <w:tcPr>
                  <w:tcW w:w="840" w:type="dxa"/>
                  <w:vAlign w:val="top"/>
                </w:tcPr>
                <w:p>
                  <w:pPr>
                    <w:spacing w:before="103"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8.11</w:t>
                  </w:r>
                </w:p>
              </w:tc>
              <w:tc>
                <w:tcPr>
                  <w:tcW w:w="1161" w:type="dxa"/>
                  <w:vAlign w:val="top"/>
                </w:tcPr>
                <w:p>
                  <w:pPr>
                    <w:spacing w:before="106" w:line="184"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62" w:type="dxa"/>
                  <w:vAlign w:val="top"/>
                </w:tcPr>
                <w:p>
                  <w:pPr>
                    <w:spacing w:before="103"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w:t>
                  </w:r>
                </w:p>
              </w:tc>
              <w:tc>
                <w:tcPr>
                  <w:tcW w:w="832" w:type="dxa"/>
                  <w:vAlign w:val="top"/>
                </w:tcPr>
                <w:p>
                  <w:pPr>
                    <w:spacing w:before="103"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091" w:type="dxa"/>
                  <w:vAlign w:val="top"/>
                </w:tcPr>
                <w:p>
                  <w:pPr>
                    <w:spacing w:before="104" w:line="187"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WX3</w:t>
                  </w:r>
                </w:p>
              </w:tc>
              <w:tc>
                <w:tcPr>
                  <w:tcW w:w="835" w:type="dxa"/>
                  <w:vAlign w:val="top"/>
                </w:tcPr>
                <w:p>
                  <w:pPr>
                    <w:spacing w:before="104"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2.25</w:t>
                  </w:r>
                </w:p>
              </w:tc>
              <w:tc>
                <w:tcPr>
                  <w:tcW w:w="1116" w:type="dxa"/>
                  <w:vAlign w:val="top"/>
                </w:tcPr>
                <w:p>
                  <w:pPr>
                    <w:spacing w:before="104"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837" w:type="dxa"/>
                  <w:vAlign w:val="top"/>
                </w:tcPr>
                <w:p>
                  <w:pPr>
                    <w:spacing w:before="104"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15</w:t>
                  </w:r>
                </w:p>
              </w:tc>
              <w:tc>
                <w:tcPr>
                  <w:tcW w:w="736" w:type="dxa"/>
                  <w:vAlign w:val="top"/>
                </w:tcPr>
                <w:p>
                  <w:pPr>
                    <w:spacing w:before="104"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15.2</w:t>
                  </w:r>
                </w:p>
              </w:tc>
              <w:tc>
                <w:tcPr>
                  <w:tcW w:w="840" w:type="dxa"/>
                  <w:vAlign w:val="top"/>
                </w:tcPr>
                <w:p>
                  <w:pPr>
                    <w:spacing w:before="104"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8.03</w:t>
                  </w:r>
                </w:p>
              </w:tc>
              <w:tc>
                <w:tcPr>
                  <w:tcW w:w="1161" w:type="dxa"/>
                  <w:vAlign w:val="top"/>
                </w:tcPr>
                <w:p>
                  <w:pPr>
                    <w:spacing w:before="107" w:line="184"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62" w:type="dxa"/>
                  <w:vAlign w:val="top"/>
                </w:tcPr>
                <w:p>
                  <w:pPr>
                    <w:spacing w:before="104" w:line="187" w:lineRule="auto"/>
                    <w:ind w:left="4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172</w:t>
                  </w:r>
                </w:p>
              </w:tc>
              <w:tc>
                <w:tcPr>
                  <w:tcW w:w="832" w:type="dxa"/>
                  <w:vAlign w:val="top"/>
                </w:tcPr>
                <w:p>
                  <w:pPr>
                    <w:spacing w:before="104"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91" w:type="dxa"/>
                  <w:vAlign w:val="top"/>
                </w:tcPr>
                <w:p>
                  <w:pPr>
                    <w:spacing w:before="108" w:line="187"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WX4</w:t>
                  </w:r>
                </w:p>
              </w:tc>
              <w:tc>
                <w:tcPr>
                  <w:tcW w:w="835" w:type="dxa"/>
                  <w:vAlign w:val="top"/>
                </w:tcPr>
                <w:p>
                  <w:pPr>
                    <w:spacing w:before="108"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2.35</w:t>
                  </w:r>
                </w:p>
              </w:tc>
              <w:tc>
                <w:tcPr>
                  <w:tcW w:w="1116" w:type="dxa"/>
                  <w:vAlign w:val="top"/>
                </w:tcPr>
                <w:p>
                  <w:pPr>
                    <w:spacing w:before="108"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42.8</w:t>
                  </w:r>
                </w:p>
              </w:tc>
              <w:tc>
                <w:tcPr>
                  <w:tcW w:w="837" w:type="dxa"/>
                  <w:vAlign w:val="top"/>
                </w:tcPr>
                <w:p>
                  <w:pPr>
                    <w:spacing w:before="108"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14.6</w:t>
                  </w:r>
                </w:p>
              </w:tc>
              <w:tc>
                <w:tcPr>
                  <w:tcW w:w="736" w:type="dxa"/>
                  <w:vAlign w:val="top"/>
                </w:tcPr>
                <w:p>
                  <w:pPr>
                    <w:spacing w:before="108"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15.3</w:t>
                  </w:r>
                </w:p>
              </w:tc>
              <w:tc>
                <w:tcPr>
                  <w:tcW w:w="840" w:type="dxa"/>
                  <w:vAlign w:val="top"/>
                </w:tcPr>
                <w:p>
                  <w:pPr>
                    <w:spacing w:before="108"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8.44</w:t>
                  </w:r>
                </w:p>
              </w:tc>
              <w:tc>
                <w:tcPr>
                  <w:tcW w:w="1161" w:type="dxa"/>
                  <w:vAlign w:val="top"/>
                </w:tcPr>
                <w:p>
                  <w:pPr>
                    <w:spacing w:before="111" w:line="184"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62" w:type="dxa"/>
                  <w:vAlign w:val="top"/>
                </w:tcPr>
                <w:p>
                  <w:pPr>
                    <w:spacing w:before="108"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832" w:type="dxa"/>
                  <w:vAlign w:val="top"/>
                </w:tcPr>
                <w:p>
                  <w:pPr>
                    <w:spacing w:before="108"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91" w:type="dxa"/>
                  <w:vAlign w:val="top"/>
                </w:tcPr>
                <w:p>
                  <w:pPr>
                    <w:spacing w:before="111" w:line="184"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WX5</w:t>
                  </w:r>
                </w:p>
              </w:tc>
              <w:tc>
                <w:tcPr>
                  <w:tcW w:w="835" w:type="dxa"/>
                  <w:vAlign w:val="top"/>
                </w:tcPr>
                <w:p>
                  <w:pPr>
                    <w:spacing w:before="108"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3.05</w:t>
                  </w:r>
                </w:p>
              </w:tc>
              <w:tc>
                <w:tcPr>
                  <w:tcW w:w="1116" w:type="dxa"/>
                  <w:vAlign w:val="top"/>
                </w:tcPr>
                <w:p>
                  <w:pPr>
                    <w:spacing w:before="108"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837" w:type="dxa"/>
                  <w:vAlign w:val="top"/>
                </w:tcPr>
                <w:p>
                  <w:pPr>
                    <w:spacing w:before="10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36" w:type="dxa"/>
                  <w:vAlign w:val="top"/>
                </w:tcPr>
                <w:p>
                  <w:pPr>
                    <w:spacing w:before="108"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840" w:type="dxa"/>
                  <w:vAlign w:val="top"/>
                </w:tcPr>
                <w:p>
                  <w:pPr>
                    <w:spacing w:before="108"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7.86</w:t>
                  </w:r>
                </w:p>
              </w:tc>
              <w:tc>
                <w:tcPr>
                  <w:tcW w:w="1161" w:type="dxa"/>
                  <w:vAlign w:val="top"/>
                </w:tcPr>
                <w:p>
                  <w:pPr>
                    <w:spacing w:before="111" w:line="184"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62" w:type="dxa"/>
                  <w:vAlign w:val="top"/>
                </w:tcPr>
                <w:p>
                  <w:pPr>
                    <w:spacing w:before="108"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242</w:t>
                  </w:r>
                </w:p>
              </w:tc>
              <w:tc>
                <w:tcPr>
                  <w:tcW w:w="832" w:type="dxa"/>
                  <w:vAlign w:val="top"/>
                </w:tcPr>
                <w:p>
                  <w:pPr>
                    <w:spacing w:before="108"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610" w:type="dxa"/>
                  <w:gridSpan w:val="9"/>
                  <w:vAlign w:val="top"/>
                </w:tcPr>
                <w:p>
                  <w:pPr>
                    <w:pStyle w:val="6"/>
                    <w:spacing w:before="68" w:line="221" w:lineRule="auto"/>
                    <w:ind w:left="116"/>
                    <w:rPr>
                      <w:sz w:val="21"/>
                      <w:szCs w:val="21"/>
                    </w:rPr>
                  </w:pPr>
                  <w:r>
                    <w:rPr>
                      <w:spacing w:val="-9"/>
                      <w:sz w:val="21"/>
                      <w:szCs w:val="21"/>
                    </w:rPr>
                    <w:t>注：</w:t>
                  </w:r>
                  <w:r>
                    <w:rPr>
                      <w:spacing w:val="-21"/>
                      <w:sz w:val="21"/>
                      <w:szCs w:val="21"/>
                    </w:rPr>
                    <w:t xml:space="preserve"> </w:t>
                  </w:r>
                  <w:r>
                    <w:rPr>
                      <w:rFonts w:ascii="Times New Roman" w:hAnsi="Times New Roman" w:eastAsia="Times New Roman" w:cs="Times New Roman"/>
                      <w:spacing w:val="-9"/>
                      <w:sz w:val="21"/>
                      <w:szCs w:val="21"/>
                    </w:rPr>
                    <w:t>“ND”</w:t>
                  </w:r>
                  <w:r>
                    <w:rPr>
                      <w:spacing w:val="-9"/>
                      <w:sz w:val="21"/>
                      <w:szCs w:val="21"/>
                    </w:rPr>
                    <w:t>该参数未检出，</w:t>
                  </w:r>
                  <w:r>
                    <w:rPr>
                      <w:spacing w:val="-23"/>
                      <w:sz w:val="21"/>
                      <w:szCs w:val="21"/>
                    </w:rPr>
                    <w:t xml:space="preserve"> </w:t>
                  </w:r>
                  <w:r>
                    <w:rPr>
                      <w:spacing w:val="-9"/>
                      <w:sz w:val="21"/>
                      <w:szCs w:val="21"/>
                    </w:rPr>
                    <w:t>且无检出限。</w:t>
                  </w:r>
                </w:p>
              </w:tc>
            </w:tr>
          </w:tbl>
          <w:p>
            <w:pPr>
              <w:pStyle w:val="6"/>
              <w:spacing w:before="177" w:line="220" w:lineRule="auto"/>
              <w:ind w:left="2665"/>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3.3-8    </w:t>
            </w:r>
            <w:r>
              <w:rPr>
                <w:sz w:val="24"/>
                <w:szCs w:val="24"/>
                <w14:textOutline w14:w="4354" w14:cap="flat" w14:cmpd="sng">
                  <w14:solidFill>
                    <w14:srgbClr w14:val="000000"/>
                  </w14:solidFill>
                  <w14:prstDash w14:val="solid"/>
                  <w14:miter w14:val="10"/>
                </w14:textOutline>
              </w:rPr>
              <w:t>地下水化学离子毫克当量计</w:t>
            </w:r>
            <w:r>
              <w:rPr>
                <w:spacing w:val="-1"/>
                <w:sz w:val="24"/>
                <w:szCs w:val="24"/>
                <w14:textOutline w14:w="4354" w14:cap="flat" w14:cmpd="sng">
                  <w14:solidFill>
                    <w14:srgbClr w14:val="000000"/>
                  </w14:solidFill>
                  <w14:prstDash w14:val="solid"/>
                  <w14:miter w14:val="10"/>
                </w14:textOutline>
              </w:rPr>
              <w:t>算表</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655"/>
              <w:gridCol w:w="628"/>
              <w:gridCol w:w="708"/>
              <w:gridCol w:w="710"/>
              <w:gridCol w:w="708"/>
              <w:gridCol w:w="708"/>
              <w:gridCol w:w="708"/>
              <w:gridCol w:w="710"/>
              <w:gridCol w:w="904"/>
              <w:gridCol w:w="898"/>
              <w:gridCol w:w="5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76" w:type="dxa"/>
                  <w:vMerge w:val="restart"/>
                  <w:tcBorders>
                    <w:bottom w:val="nil"/>
                  </w:tcBorders>
                  <w:vAlign w:val="top"/>
                </w:tcPr>
                <w:p>
                  <w:pPr>
                    <w:pStyle w:val="6"/>
                    <w:spacing w:before="147" w:line="239" w:lineRule="auto"/>
                    <w:ind w:left="163"/>
                    <w:rPr>
                      <w:sz w:val="18"/>
                      <w:szCs w:val="18"/>
                    </w:rPr>
                  </w:pPr>
                  <w:r>
                    <w:rPr>
                      <w:spacing w:val="-2"/>
                      <w:sz w:val="18"/>
                      <w:szCs w:val="18"/>
                    </w:rPr>
                    <w:t>监测</w:t>
                  </w:r>
                </w:p>
                <w:p>
                  <w:pPr>
                    <w:pStyle w:val="6"/>
                    <w:spacing w:line="220" w:lineRule="auto"/>
                    <w:ind w:left="171"/>
                    <w:rPr>
                      <w:sz w:val="18"/>
                      <w:szCs w:val="18"/>
                    </w:rPr>
                  </w:pPr>
                  <w:r>
                    <w:rPr>
                      <w:spacing w:val="-5"/>
                      <w:sz w:val="18"/>
                      <w:szCs w:val="18"/>
                    </w:rPr>
                    <w:t>点位</w:t>
                  </w:r>
                </w:p>
              </w:tc>
              <w:tc>
                <w:tcPr>
                  <w:tcW w:w="5535" w:type="dxa"/>
                  <w:gridSpan w:val="8"/>
                  <w:vAlign w:val="top"/>
                </w:tcPr>
                <w:p>
                  <w:pPr>
                    <w:pStyle w:val="6"/>
                    <w:spacing w:before="84" w:line="213" w:lineRule="auto"/>
                    <w:ind w:left="1987"/>
                    <w:rPr>
                      <w:sz w:val="18"/>
                      <w:szCs w:val="18"/>
                    </w:rPr>
                  </w:pPr>
                  <w:r>
                    <w:rPr>
                      <w:spacing w:val="-2"/>
                      <w:sz w:val="18"/>
                      <w:szCs w:val="18"/>
                    </w:rPr>
                    <w:t>毫克当量数（</w:t>
                  </w:r>
                  <w:r>
                    <w:rPr>
                      <w:rFonts w:ascii="Times New Roman" w:hAnsi="Times New Roman" w:eastAsia="Times New Roman" w:cs="Times New Roman"/>
                      <w:spacing w:val="-2"/>
                      <w:sz w:val="18"/>
                      <w:szCs w:val="18"/>
                    </w:rPr>
                    <w:t>meq</w:t>
                  </w:r>
                  <w:r>
                    <w:rPr>
                      <w:spacing w:val="-2"/>
                      <w:sz w:val="18"/>
                      <w:szCs w:val="18"/>
                    </w:rPr>
                    <w:t>）</w:t>
                  </w:r>
                </w:p>
              </w:tc>
              <w:tc>
                <w:tcPr>
                  <w:tcW w:w="904" w:type="dxa"/>
                  <w:vMerge w:val="restart"/>
                  <w:tcBorders>
                    <w:bottom w:val="nil"/>
                  </w:tcBorders>
                  <w:vAlign w:val="top"/>
                </w:tcPr>
                <w:p>
                  <w:pPr>
                    <w:pStyle w:val="6"/>
                    <w:spacing w:before="30" w:line="229" w:lineRule="auto"/>
                    <w:ind w:left="146" w:right="124" w:firstLine="54"/>
                    <w:jc w:val="both"/>
                    <w:rPr>
                      <w:rFonts w:ascii="Times New Roman" w:hAnsi="Times New Roman" w:eastAsia="Times New Roman" w:cs="Times New Roman"/>
                      <w:sz w:val="18"/>
                      <w:szCs w:val="18"/>
                    </w:rPr>
                  </w:pPr>
                  <w:r>
                    <w:rPr>
                      <w:spacing w:val="-7"/>
                      <w:sz w:val="18"/>
                      <w:szCs w:val="18"/>
                    </w:rPr>
                    <w:t>阳离子</w:t>
                  </w:r>
                  <w:r>
                    <w:rPr>
                      <w:sz w:val="18"/>
                      <w:szCs w:val="18"/>
                    </w:rPr>
                    <w:t xml:space="preserve"> </w:t>
                  </w:r>
                  <w:r>
                    <w:rPr>
                      <w:spacing w:val="11"/>
                      <w:sz w:val="18"/>
                      <w:szCs w:val="18"/>
                    </w:rPr>
                    <w:t>总毫克</w:t>
                  </w:r>
                  <w:r>
                    <w:rPr>
                      <w:sz w:val="18"/>
                      <w:szCs w:val="18"/>
                    </w:rPr>
                    <w:t xml:space="preserve"> </w:t>
                  </w:r>
                  <w:r>
                    <w:rPr>
                      <w:spacing w:val="-6"/>
                      <w:sz w:val="18"/>
                      <w:szCs w:val="18"/>
                    </w:rPr>
                    <w:t>当量</w:t>
                  </w:r>
                  <w:r>
                    <w:rPr>
                      <w:spacing w:val="-39"/>
                      <w:sz w:val="18"/>
                      <w:szCs w:val="18"/>
                    </w:rPr>
                    <w:t xml:space="preserve"> </w:t>
                  </w:r>
                  <w:r>
                    <w:rPr>
                      <w:rFonts w:ascii="Times New Roman" w:hAnsi="Times New Roman" w:eastAsia="Times New Roman" w:cs="Times New Roman"/>
                      <w:spacing w:val="-6"/>
                      <w:sz w:val="18"/>
                      <w:szCs w:val="18"/>
                    </w:rPr>
                    <w:t>Mc</w:t>
                  </w:r>
                </w:p>
              </w:tc>
              <w:tc>
                <w:tcPr>
                  <w:tcW w:w="898" w:type="dxa"/>
                  <w:vMerge w:val="restart"/>
                  <w:tcBorders>
                    <w:bottom w:val="nil"/>
                  </w:tcBorders>
                  <w:vAlign w:val="top"/>
                </w:tcPr>
                <w:p>
                  <w:pPr>
                    <w:pStyle w:val="6"/>
                    <w:spacing w:before="30" w:line="229" w:lineRule="auto"/>
                    <w:ind w:left="142" w:right="121" w:firstLine="55"/>
                    <w:jc w:val="both"/>
                    <w:rPr>
                      <w:rFonts w:ascii="Times New Roman" w:hAnsi="Times New Roman" w:eastAsia="Times New Roman" w:cs="Times New Roman"/>
                      <w:sz w:val="18"/>
                      <w:szCs w:val="18"/>
                    </w:rPr>
                  </w:pPr>
                  <w:r>
                    <w:rPr>
                      <w:spacing w:val="-8"/>
                      <w:sz w:val="18"/>
                      <w:szCs w:val="18"/>
                    </w:rPr>
                    <w:t>阴离子</w:t>
                  </w:r>
                  <w:r>
                    <w:rPr>
                      <w:spacing w:val="1"/>
                      <w:sz w:val="18"/>
                      <w:szCs w:val="18"/>
                    </w:rPr>
                    <w:t xml:space="preserve"> </w:t>
                  </w:r>
                  <w:r>
                    <w:rPr>
                      <w:spacing w:val="11"/>
                      <w:sz w:val="18"/>
                      <w:szCs w:val="18"/>
                    </w:rPr>
                    <w:t>总毫克</w:t>
                  </w:r>
                  <w:r>
                    <w:rPr>
                      <w:sz w:val="18"/>
                      <w:szCs w:val="18"/>
                    </w:rPr>
                    <w:t xml:space="preserve"> </w:t>
                  </w:r>
                  <w:r>
                    <w:rPr>
                      <w:spacing w:val="-6"/>
                      <w:sz w:val="18"/>
                      <w:szCs w:val="18"/>
                    </w:rPr>
                    <w:t>当量</w:t>
                  </w:r>
                  <w:r>
                    <w:rPr>
                      <w:spacing w:val="-39"/>
                      <w:sz w:val="18"/>
                      <w:szCs w:val="18"/>
                    </w:rPr>
                    <w:t xml:space="preserve"> </w:t>
                  </w:r>
                  <w:r>
                    <w:rPr>
                      <w:rFonts w:ascii="Times New Roman" w:hAnsi="Times New Roman" w:eastAsia="Times New Roman" w:cs="Times New Roman"/>
                      <w:spacing w:val="-6"/>
                      <w:sz w:val="18"/>
                      <w:szCs w:val="18"/>
                    </w:rPr>
                    <w:t>Ma</w:t>
                  </w:r>
                </w:p>
              </w:tc>
              <w:tc>
                <w:tcPr>
                  <w:tcW w:w="597" w:type="dxa"/>
                  <w:vMerge w:val="restart"/>
                  <w:tcBorders>
                    <w:bottom w:val="nil"/>
                  </w:tcBorders>
                  <w:vAlign w:val="top"/>
                </w:tcPr>
                <w:p>
                  <w:pPr>
                    <w:pStyle w:val="6"/>
                    <w:spacing w:before="44" w:line="221" w:lineRule="auto"/>
                    <w:ind w:left="124"/>
                    <w:rPr>
                      <w:sz w:val="18"/>
                      <w:szCs w:val="18"/>
                    </w:rPr>
                  </w:pPr>
                  <w:r>
                    <w:rPr>
                      <w:spacing w:val="-2"/>
                      <w:sz w:val="18"/>
                      <w:szCs w:val="18"/>
                    </w:rPr>
                    <w:t>相对</w:t>
                  </w:r>
                </w:p>
                <w:p>
                  <w:pPr>
                    <w:pStyle w:val="6"/>
                    <w:spacing w:before="17" w:line="221" w:lineRule="auto"/>
                    <w:ind w:left="126"/>
                    <w:rPr>
                      <w:sz w:val="18"/>
                      <w:szCs w:val="18"/>
                    </w:rPr>
                  </w:pPr>
                  <w:r>
                    <w:rPr>
                      <w:spacing w:val="-3"/>
                      <w:sz w:val="18"/>
                      <w:szCs w:val="18"/>
                    </w:rPr>
                    <w:t>误差</w:t>
                  </w:r>
                </w:p>
                <w:p>
                  <w:pPr>
                    <w:spacing w:before="41" w:line="183" w:lineRule="auto"/>
                    <w:ind w:left="245"/>
                    <w:rPr>
                      <w:rFonts w:ascii="Times New Roman" w:hAnsi="Times New Roman" w:eastAsia="Times New Roman" w:cs="Times New Roman"/>
                      <w:sz w:val="18"/>
                      <w:szCs w:val="18"/>
                    </w:rPr>
                  </w:pPr>
                  <w:r>
                    <w:rPr>
                      <w:rFonts w:ascii="Times New Roman" w:hAnsi="Times New Roman" w:eastAsia="Times New Roman" w:cs="Times New Roman"/>
                      <w:sz w:val="18"/>
                      <w:szCs w:val="18"/>
                    </w:rPr>
                    <w: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76" w:type="dxa"/>
                  <w:vMerge w:val="continue"/>
                  <w:tcBorders>
                    <w:top w:val="nil"/>
                  </w:tcBorders>
                  <w:vAlign w:val="top"/>
                </w:tcPr>
                <w:p>
                  <w:pPr>
                    <w:rPr>
                      <w:rFonts w:ascii="Arial"/>
                      <w:sz w:val="21"/>
                    </w:rPr>
                  </w:pPr>
                </w:p>
              </w:tc>
              <w:tc>
                <w:tcPr>
                  <w:tcW w:w="655" w:type="dxa"/>
                  <w:vAlign w:val="top"/>
                </w:tcPr>
                <w:p>
                  <w:pPr>
                    <w:spacing w:before="96" w:line="211" w:lineRule="auto"/>
                    <w:ind w:left="226"/>
                    <w:rPr>
                      <w:rFonts w:ascii="Times New Roman" w:hAnsi="Times New Roman" w:eastAsia="Times New Roman" w:cs="Times New Roman"/>
                      <w:sz w:val="12"/>
                      <w:szCs w:val="12"/>
                    </w:rPr>
                  </w:pPr>
                  <w:r>
                    <w:rPr>
                      <w:rFonts w:ascii="Times New Roman" w:hAnsi="Times New Roman" w:eastAsia="Times New Roman" w:cs="Times New Roman"/>
                      <w:spacing w:val="-1"/>
                      <w:position w:val="-2"/>
                      <w:sz w:val="18"/>
                      <w:szCs w:val="18"/>
                    </w:rPr>
                    <w:t>K</w:t>
                  </w:r>
                  <w:r>
                    <w:rPr>
                      <w:rFonts w:ascii="Times New Roman" w:hAnsi="Times New Roman" w:eastAsia="Times New Roman" w:cs="Times New Roman"/>
                      <w:spacing w:val="-1"/>
                      <w:position w:val="3"/>
                      <w:sz w:val="12"/>
                      <w:szCs w:val="12"/>
                    </w:rPr>
                    <w:t>+</w:t>
                  </w:r>
                </w:p>
              </w:tc>
              <w:tc>
                <w:tcPr>
                  <w:tcW w:w="628" w:type="dxa"/>
                  <w:vAlign w:val="top"/>
                </w:tcPr>
                <w:p>
                  <w:pPr>
                    <w:spacing w:before="98" w:line="209" w:lineRule="auto"/>
                    <w:ind w:left="15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8"/>
                      <w:szCs w:val="18"/>
                    </w:rPr>
                    <w:t>Ca</w:t>
                  </w:r>
                  <w:r>
                    <w:rPr>
                      <w:rFonts w:ascii="Times New Roman" w:hAnsi="Times New Roman" w:eastAsia="Times New Roman" w:cs="Times New Roman"/>
                      <w:spacing w:val="-2"/>
                      <w:position w:val="4"/>
                      <w:sz w:val="12"/>
                      <w:szCs w:val="12"/>
                    </w:rPr>
                    <w:t>2+</w:t>
                  </w:r>
                </w:p>
              </w:tc>
              <w:tc>
                <w:tcPr>
                  <w:tcW w:w="708" w:type="dxa"/>
                  <w:vAlign w:val="top"/>
                </w:tcPr>
                <w:p>
                  <w:pPr>
                    <w:spacing w:before="96" w:line="211" w:lineRule="auto"/>
                    <w:ind w:left="208"/>
                    <w:rPr>
                      <w:rFonts w:ascii="Times New Roman" w:hAnsi="Times New Roman" w:eastAsia="Times New Roman" w:cs="Times New Roman"/>
                      <w:sz w:val="12"/>
                      <w:szCs w:val="12"/>
                    </w:rPr>
                  </w:pPr>
                  <w:r>
                    <w:rPr>
                      <w:rFonts w:ascii="Times New Roman" w:hAnsi="Times New Roman" w:eastAsia="Times New Roman" w:cs="Times New Roman"/>
                      <w:position w:val="-1"/>
                      <w:sz w:val="18"/>
                      <w:szCs w:val="18"/>
                    </w:rPr>
                    <w:t>Na</w:t>
                  </w:r>
                  <w:r>
                    <w:rPr>
                      <w:rFonts w:ascii="Times New Roman" w:hAnsi="Times New Roman" w:eastAsia="Times New Roman" w:cs="Times New Roman"/>
                      <w:spacing w:val="1"/>
                      <w:position w:val="4"/>
                      <w:sz w:val="12"/>
                      <w:szCs w:val="12"/>
                    </w:rPr>
                    <w:t>+</w:t>
                  </w:r>
                </w:p>
              </w:tc>
              <w:tc>
                <w:tcPr>
                  <w:tcW w:w="710" w:type="dxa"/>
                  <w:vAlign w:val="top"/>
                </w:tcPr>
                <w:p>
                  <w:pPr>
                    <w:spacing w:before="98" w:line="209" w:lineRule="auto"/>
                    <w:ind w:left="165"/>
                    <w:rPr>
                      <w:rFonts w:ascii="Times New Roman" w:hAnsi="Times New Roman" w:eastAsia="Times New Roman" w:cs="Times New Roman"/>
                      <w:sz w:val="12"/>
                      <w:szCs w:val="12"/>
                    </w:rPr>
                  </w:pPr>
                  <w:r>
                    <w:rPr>
                      <w:rFonts w:ascii="Times New Roman" w:hAnsi="Times New Roman" w:eastAsia="Times New Roman" w:cs="Times New Roman"/>
                      <w:spacing w:val="-1"/>
                      <w:position w:val="-1"/>
                      <w:sz w:val="18"/>
                      <w:szCs w:val="18"/>
                    </w:rPr>
                    <w:t>Mg</w:t>
                  </w:r>
                  <w:r>
                    <w:rPr>
                      <w:rFonts w:ascii="Times New Roman" w:hAnsi="Times New Roman" w:eastAsia="Times New Roman" w:cs="Times New Roman"/>
                      <w:spacing w:val="-1"/>
                      <w:position w:val="4"/>
                      <w:sz w:val="12"/>
                      <w:szCs w:val="12"/>
                    </w:rPr>
                    <w:t>2+</w:t>
                  </w:r>
                </w:p>
              </w:tc>
              <w:tc>
                <w:tcPr>
                  <w:tcW w:w="708" w:type="dxa"/>
                  <w:vAlign w:val="top"/>
                </w:tcPr>
                <w:p>
                  <w:pPr>
                    <w:spacing w:before="114" w:line="190" w:lineRule="auto"/>
                    <w:ind w:left="251"/>
                    <w:rPr>
                      <w:rFonts w:ascii="Times New Roman" w:hAnsi="Times New Roman" w:eastAsia="Times New Roman" w:cs="Times New Roman"/>
                      <w:sz w:val="12"/>
                      <w:szCs w:val="12"/>
                    </w:rPr>
                  </w:pPr>
                  <w:r>
                    <w:rPr>
                      <w:rFonts w:ascii="Times New Roman" w:hAnsi="Times New Roman" w:eastAsia="Times New Roman" w:cs="Times New Roman"/>
                      <w:spacing w:val="-3"/>
                      <w:sz w:val="18"/>
                      <w:szCs w:val="18"/>
                    </w:rPr>
                    <w:t>Cl</w:t>
                  </w:r>
                  <w:r>
                    <w:rPr>
                      <w:rFonts w:ascii="Times New Roman" w:hAnsi="Times New Roman" w:eastAsia="Times New Roman" w:cs="Times New Roman"/>
                      <w:spacing w:val="-3"/>
                      <w:position w:val="5"/>
                      <w:sz w:val="12"/>
                      <w:szCs w:val="12"/>
                    </w:rPr>
                    <w:t>-</w:t>
                  </w:r>
                </w:p>
              </w:tc>
              <w:tc>
                <w:tcPr>
                  <w:tcW w:w="708" w:type="dxa"/>
                  <w:vAlign w:val="top"/>
                </w:tcPr>
                <w:p>
                  <w:pPr>
                    <w:spacing w:before="99" w:line="208" w:lineRule="auto"/>
                    <w:ind w:left="153"/>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CO</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position w:val="5"/>
                      <w:sz w:val="12"/>
                      <w:szCs w:val="12"/>
                    </w:rPr>
                    <w:t>2-</w:t>
                  </w:r>
                </w:p>
              </w:tc>
              <w:tc>
                <w:tcPr>
                  <w:tcW w:w="708" w:type="dxa"/>
                  <w:vAlign w:val="top"/>
                </w:tcPr>
                <w:p>
                  <w:pPr>
                    <w:spacing w:before="118" w:line="191" w:lineRule="auto"/>
                    <w:ind w:left="113"/>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HCO</w:t>
                  </w:r>
                  <w:r>
                    <w:rPr>
                      <w:rFonts w:ascii="Times New Roman" w:hAnsi="Times New Roman" w:eastAsia="Times New Roman" w:cs="Times New Roman"/>
                      <w:spacing w:val="-1"/>
                      <w:sz w:val="12"/>
                      <w:szCs w:val="12"/>
                    </w:rPr>
                    <w:t>3</w:t>
                  </w:r>
                  <w:r>
                    <w:rPr>
                      <w:rFonts w:ascii="Times New Roman" w:hAnsi="Times New Roman" w:eastAsia="Times New Roman" w:cs="Times New Roman"/>
                      <w:spacing w:val="-1"/>
                      <w:position w:val="6"/>
                      <w:sz w:val="12"/>
                      <w:szCs w:val="12"/>
                    </w:rPr>
                    <w:t>-</w:t>
                  </w:r>
                </w:p>
              </w:tc>
              <w:tc>
                <w:tcPr>
                  <w:tcW w:w="710" w:type="dxa"/>
                  <w:vAlign w:val="top"/>
                </w:tcPr>
                <w:p>
                  <w:pPr>
                    <w:spacing w:before="99" w:line="208" w:lineRule="auto"/>
                    <w:ind w:left="170"/>
                    <w:rPr>
                      <w:rFonts w:ascii="Times New Roman" w:hAnsi="Times New Roman" w:eastAsia="Times New Roman" w:cs="Times New Roman"/>
                      <w:sz w:val="12"/>
                      <w:szCs w:val="12"/>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2"/>
                      <w:szCs w:val="12"/>
                    </w:rPr>
                    <w:t>4</w:t>
                  </w:r>
                  <w:r>
                    <w:rPr>
                      <w:rFonts w:ascii="Times New Roman" w:hAnsi="Times New Roman" w:eastAsia="Times New Roman" w:cs="Times New Roman"/>
                      <w:spacing w:val="-3"/>
                      <w:position w:val="5"/>
                      <w:sz w:val="12"/>
                      <w:szCs w:val="12"/>
                    </w:rPr>
                    <w:t>2-</w:t>
                  </w:r>
                </w:p>
              </w:tc>
              <w:tc>
                <w:tcPr>
                  <w:tcW w:w="904" w:type="dxa"/>
                  <w:vMerge w:val="continue"/>
                  <w:tcBorders>
                    <w:top w:val="nil"/>
                  </w:tcBorders>
                  <w:vAlign w:val="top"/>
                </w:tcPr>
                <w:p>
                  <w:pPr>
                    <w:rPr>
                      <w:rFonts w:ascii="Arial"/>
                      <w:sz w:val="21"/>
                    </w:rPr>
                  </w:pPr>
                </w:p>
              </w:tc>
              <w:tc>
                <w:tcPr>
                  <w:tcW w:w="898" w:type="dxa"/>
                  <w:vMerge w:val="continue"/>
                  <w:tcBorders>
                    <w:top w:val="nil"/>
                  </w:tcBorders>
                  <w:vAlign w:val="top"/>
                </w:tcPr>
                <w:p>
                  <w:pPr>
                    <w:rPr>
                      <w:rFonts w:ascii="Arial"/>
                      <w:sz w:val="21"/>
                    </w:rPr>
                  </w:pPr>
                </w:p>
              </w:tc>
              <w:tc>
                <w:tcPr>
                  <w:tcW w:w="5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6" w:type="dxa"/>
                  <w:vAlign w:val="top"/>
                </w:tcPr>
                <w:p>
                  <w:pPr>
                    <w:spacing w:before="113"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WX1</w:t>
                  </w:r>
                </w:p>
              </w:tc>
              <w:tc>
                <w:tcPr>
                  <w:tcW w:w="655" w:type="dxa"/>
                  <w:vAlign w:val="top"/>
                </w:tcPr>
                <w:p>
                  <w:pPr>
                    <w:spacing w:before="113" w:line="186"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0.065</w:t>
                  </w:r>
                </w:p>
              </w:tc>
              <w:tc>
                <w:tcPr>
                  <w:tcW w:w="628" w:type="dxa"/>
                  <w:vAlign w:val="top"/>
                </w:tcPr>
                <w:p>
                  <w:pPr>
                    <w:spacing w:before="113"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2.310</w:t>
                  </w:r>
                </w:p>
              </w:tc>
              <w:tc>
                <w:tcPr>
                  <w:tcW w:w="708" w:type="dxa"/>
                  <w:vAlign w:val="top"/>
                </w:tcPr>
                <w:p>
                  <w:pPr>
                    <w:spacing w:before="113"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0.655</w:t>
                  </w:r>
                </w:p>
              </w:tc>
              <w:tc>
                <w:tcPr>
                  <w:tcW w:w="710" w:type="dxa"/>
                  <w:vAlign w:val="top"/>
                </w:tcPr>
                <w:p>
                  <w:pPr>
                    <w:spacing w:before="113" w:line="186"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1.290</w:t>
                  </w:r>
                </w:p>
              </w:tc>
              <w:tc>
                <w:tcPr>
                  <w:tcW w:w="708" w:type="dxa"/>
                  <w:vAlign w:val="top"/>
                </w:tcPr>
                <w:p>
                  <w:pPr>
                    <w:spacing w:before="113"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0.227</w:t>
                  </w:r>
                </w:p>
              </w:tc>
              <w:tc>
                <w:tcPr>
                  <w:tcW w:w="708" w:type="dxa"/>
                  <w:vAlign w:val="top"/>
                </w:tcPr>
                <w:p>
                  <w:pPr>
                    <w:spacing w:before="113"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0.000</w:t>
                  </w:r>
                </w:p>
              </w:tc>
              <w:tc>
                <w:tcPr>
                  <w:tcW w:w="708" w:type="dxa"/>
                  <w:vAlign w:val="top"/>
                </w:tcPr>
                <w:p>
                  <w:pPr>
                    <w:spacing w:before="113"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3.000</w:t>
                  </w:r>
                </w:p>
              </w:tc>
              <w:tc>
                <w:tcPr>
                  <w:tcW w:w="710" w:type="dxa"/>
                  <w:vAlign w:val="top"/>
                </w:tcPr>
                <w:p>
                  <w:pPr>
                    <w:spacing w:before="113"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0.579</w:t>
                  </w:r>
                </w:p>
              </w:tc>
              <w:tc>
                <w:tcPr>
                  <w:tcW w:w="904" w:type="dxa"/>
                  <w:vAlign w:val="top"/>
                </w:tcPr>
                <w:p>
                  <w:pPr>
                    <w:spacing w:before="113"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4.320</w:t>
                  </w:r>
                </w:p>
              </w:tc>
              <w:tc>
                <w:tcPr>
                  <w:tcW w:w="898" w:type="dxa"/>
                  <w:vAlign w:val="top"/>
                </w:tcPr>
                <w:p>
                  <w:pPr>
                    <w:spacing w:before="113"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3.806</w:t>
                  </w:r>
                </w:p>
              </w:tc>
              <w:tc>
                <w:tcPr>
                  <w:tcW w:w="597" w:type="dxa"/>
                  <w:vAlign w:val="top"/>
                </w:tcPr>
                <w:p>
                  <w:pPr>
                    <w:spacing w:before="113" w:line="186"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76" w:type="dxa"/>
                  <w:tcBorders>
                    <w:bottom w:val="nil"/>
                  </w:tcBorders>
                  <w:vAlign w:val="top"/>
                </w:tcPr>
                <w:p>
                  <w:pPr>
                    <w:spacing w:before="113"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WX2</w:t>
                  </w:r>
                </w:p>
              </w:tc>
              <w:tc>
                <w:tcPr>
                  <w:tcW w:w="655" w:type="dxa"/>
                  <w:tcBorders>
                    <w:bottom w:val="nil"/>
                  </w:tcBorders>
                  <w:vAlign w:val="top"/>
                </w:tcPr>
                <w:p>
                  <w:pPr>
                    <w:spacing w:before="113" w:line="186"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0.060</w:t>
                  </w:r>
                </w:p>
              </w:tc>
              <w:tc>
                <w:tcPr>
                  <w:tcW w:w="628" w:type="dxa"/>
                  <w:tcBorders>
                    <w:bottom w:val="nil"/>
                  </w:tcBorders>
                  <w:vAlign w:val="top"/>
                </w:tcPr>
                <w:p>
                  <w:pPr>
                    <w:spacing w:before="113"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2.305</w:t>
                  </w:r>
                </w:p>
              </w:tc>
              <w:tc>
                <w:tcPr>
                  <w:tcW w:w="708" w:type="dxa"/>
                  <w:tcBorders>
                    <w:bottom w:val="nil"/>
                  </w:tcBorders>
                  <w:vAlign w:val="top"/>
                </w:tcPr>
                <w:p>
                  <w:pPr>
                    <w:spacing w:before="113"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0.651</w:t>
                  </w:r>
                </w:p>
              </w:tc>
              <w:tc>
                <w:tcPr>
                  <w:tcW w:w="710" w:type="dxa"/>
                  <w:tcBorders>
                    <w:bottom w:val="nil"/>
                  </w:tcBorders>
                  <w:vAlign w:val="top"/>
                </w:tcPr>
                <w:p>
                  <w:pPr>
                    <w:spacing w:before="113" w:line="186"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1.275</w:t>
                  </w:r>
                </w:p>
              </w:tc>
              <w:tc>
                <w:tcPr>
                  <w:tcW w:w="708" w:type="dxa"/>
                  <w:tcBorders>
                    <w:bottom w:val="nil"/>
                  </w:tcBorders>
                  <w:vAlign w:val="top"/>
                </w:tcPr>
                <w:p>
                  <w:pPr>
                    <w:spacing w:before="113"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0.229</w:t>
                  </w:r>
                </w:p>
              </w:tc>
              <w:tc>
                <w:tcPr>
                  <w:tcW w:w="708" w:type="dxa"/>
                  <w:tcBorders>
                    <w:bottom w:val="nil"/>
                  </w:tcBorders>
                  <w:vAlign w:val="top"/>
                </w:tcPr>
                <w:p>
                  <w:pPr>
                    <w:spacing w:before="113"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0.000</w:t>
                  </w:r>
                </w:p>
              </w:tc>
              <w:tc>
                <w:tcPr>
                  <w:tcW w:w="708" w:type="dxa"/>
                  <w:tcBorders>
                    <w:bottom w:val="nil"/>
                  </w:tcBorders>
                  <w:vAlign w:val="top"/>
                </w:tcPr>
                <w:p>
                  <w:pPr>
                    <w:spacing w:before="113" w:line="186"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4.197</w:t>
                  </w:r>
                </w:p>
              </w:tc>
              <w:tc>
                <w:tcPr>
                  <w:tcW w:w="710" w:type="dxa"/>
                  <w:tcBorders>
                    <w:bottom w:val="nil"/>
                  </w:tcBorders>
                  <w:vAlign w:val="top"/>
                </w:tcPr>
                <w:p>
                  <w:pPr>
                    <w:spacing w:before="113"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0.538</w:t>
                  </w:r>
                </w:p>
              </w:tc>
              <w:tc>
                <w:tcPr>
                  <w:tcW w:w="904" w:type="dxa"/>
                  <w:tcBorders>
                    <w:bottom w:val="nil"/>
                  </w:tcBorders>
                  <w:vAlign w:val="top"/>
                </w:tcPr>
                <w:p>
                  <w:pPr>
                    <w:spacing w:before="113"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4.291</w:t>
                  </w:r>
                </w:p>
              </w:tc>
              <w:tc>
                <w:tcPr>
                  <w:tcW w:w="898" w:type="dxa"/>
                  <w:tcBorders>
                    <w:bottom w:val="nil"/>
                  </w:tcBorders>
                  <w:vAlign w:val="top"/>
                </w:tcPr>
                <w:p>
                  <w:pPr>
                    <w:spacing w:before="113"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4.963</w:t>
                  </w:r>
                </w:p>
              </w:tc>
              <w:tc>
                <w:tcPr>
                  <w:tcW w:w="597" w:type="dxa"/>
                  <w:tcBorders>
                    <w:bottom w:val="nil"/>
                  </w:tcBorders>
                  <w:vAlign w:val="top"/>
                </w:tcPr>
                <w:p>
                  <w:pPr>
                    <w:spacing w:before="113" w:line="186"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bl>
          <w:p>
            <w:pPr>
              <w:spacing w:line="91" w:lineRule="auto"/>
              <w:rPr>
                <w:rFonts w:ascii="Arial"/>
                <w:sz w:val="2"/>
              </w:rPr>
            </w:pPr>
          </w:p>
        </w:tc>
      </w:tr>
    </w:tbl>
    <w:p>
      <w:pPr>
        <w:pStyle w:val="2"/>
        <w:spacing w:line="228" w:lineRule="exact"/>
        <w:rPr>
          <w:sz w:val="19"/>
        </w:rPr>
      </w:pPr>
    </w:p>
    <w:p>
      <w:pPr>
        <w:spacing w:line="228" w:lineRule="exact"/>
        <w:rPr>
          <w:sz w:val="19"/>
          <w:szCs w:val="19"/>
        </w:rPr>
        <w:sectPr>
          <w:footerReference r:id="rId69"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01" w:hRule="atLeast"/>
        </w:trPr>
        <w:tc>
          <w:tcPr>
            <w:tcW w:w="9291" w:type="dxa"/>
            <w:vAlign w:val="top"/>
          </w:tcPr>
          <w:p>
            <w:pPr>
              <w:spacing w:line="43" w:lineRule="auto"/>
              <w:rPr>
                <w:rFonts w:ascii="Arial"/>
                <w:sz w:val="2"/>
              </w:rPr>
            </w:pPr>
            <w:r>
              <w:pict>
                <v:rect id="_x0000_s1271" o:spid="_x0000_s1271" o:spt="1" style="position:absolute;left:0pt;margin-left:22.75pt;margin-top:0.95pt;height:679.7pt;width:0.5pt;mso-position-horizontal-relative:page;mso-position-vertical-relative:page;z-index:251816960;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655"/>
              <w:gridCol w:w="628"/>
              <w:gridCol w:w="708"/>
              <w:gridCol w:w="710"/>
              <w:gridCol w:w="708"/>
              <w:gridCol w:w="708"/>
              <w:gridCol w:w="708"/>
              <w:gridCol w:w="710"/>
              <w:gridCol w:w="904"/>
              <w:gridCol w:w="898"/>
              <w:gridCol w:w="5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6" w:type="dxa"/>
                  <w:tcBorders>
                    <w:top w:val="nil"/>
                  </w:tcBorders>
                  <w:vAlign w:val="top"/>
                </w:tcPr>
                <w:p>
                  <w:pPr>
                    <w:spacing w:before="113"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WX3</w:t>
                  </w:r>
                </w:p>
              </w:tc>
              <w:tc>
                <w:tcPr>
                  <w:tcW w:w="655" w:type="dxa"/>
                  <w:tcBorders>
                    <w:top w:val="nil"/>
                  </w:tcBorders>
                  <w:vAlign w:val="top"/>
                </w:tcPr>
                <w:p>
                  <w:pPr>
                    <w:spacing w:before="113" w:line="186"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0.058</w:t>
                  </w:r>
                </w:p>
              </w:tc>
              <w:tc>
                <w:tcPr>
                  <w:tcW w:w="628" w:type="dxa"/>
                  <w:tcBorders>
                    <w:top w:val="nil"/>
                  </w:tcBorders>
                  <w:vAlign w:val="top"/>
                </w:tcPr>
                <w:p>
                  <w:pPr>
                    <w:spacing w:before="113"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2.230</w:t>
                  </w:r>
                </w:p>
              </w:tc>
              <w:tc>
                <w:tcPr>
                  <w:tcW w:w="708" w:type="dxa"/>
                  <w:tcBorders>
                    <w:top w:val="nil"/>
                  </w:tcBorders>
                  <w:vAlign w:val="top"/>
                </w:tcPr>
                <w:p>
                  <w:pPr>
                    <w:spacing w:before="113"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0.655</w:t>
                  </w:r>
                </w:p>
              </w:tc>
              <w:tc>
                <w:tcPr>
                  <w:tcW w:w="710" w:type="dxa"/>
                  <w:tcBorders>
                    <w:top w:val="nil"/>
                  </w:tcBorders>
                  <w:vAlign w:val="top"/>
                </w:tcPr>
                <w:p>
                  <w:pPr>
                    <w:spacing w:before="113" w:line="186"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1.251</w:t>
                  </w:r>
                </w:p>
              </w:tc>
              <w:tc>
                <w:tcPr>
                  <w:tcW w:w="708" w:type="dxa"/>
                  <w:tcBorders>
                    <w:top w:val="nil"/>
                  </w:tcBorders>
                  <w:vAlign w:val="top"/>
                </w:tcPr>
                <w:p>
                  <w:pPr>
                    <w:spacing w:before="113"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0.227</w:t>
                  </w:r>
                </w:p>
              </w:tc>
              <w:tc>
                <w:tcPr>
                  <w:tcW w:w="708" w:type="dxa"/>
                  <w:tcBorders>
                    <w:top w:val="nil"/>
                  </w:tcBorders>
                  <w:vAlign w:val="top"/>
                </w:tcPr>
                <w:p>
                  <w:pPr>
                    <w:spacing w:before="113"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0.000</w:t>
                  </w:r>
                </w:p>
              </w:tc>
              <w:tc>
                <w:tcPr>
                  <w:tcW w:w="708" w:type="dxa"/>
                  <w:tcBorders>
                    <w:top w:val="nil"/>
                  </w:tcBorders>
                  <w:vAlign w:val="top"/>
                </w:tcPr>
                <w:p>
                  <w:pPr>
                    <w:spacing w:before="113" w:line="186"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2.820</w:t>
                  </w:r>
                </w:p>
              </w:tc>
              <w:tc>
                <w:tcPr>
                  <w:tcW w:w="710" w:type="dxa"/>
                  <w:tcBorders>
                    <w:top w:val="nil"/>
                  </w:tcBorders>
                  <w:vAlign w:val="top"/>
                </w:tcPr>
                <w:p>
                  <w:pPr>
                    <w:spacing w:before="113"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0.527</w:t>
                  </w:r>
                </w:p>
              </w:tc>
              <w:tc>
                <w:tcPr>
                  <w:tcW w:w="904" w:type="dxa"/>
                  <w:tcBorders>
                    <w:top w:val="nil"/>
                  </w:tcBorders>
                  <w:vAlign w:val="top"/>
                </w:tcPr>
                <w:p>
                  <w:pPr>
                    <w:spacing w:before="113"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4.193</w:t>
                  </w:r>
                </w:p>
              </w:tc>
              <w:tc>
                <w:tcPr>
                  <w:tcW w:w="898" w:type="dxa"/>
                  <w:tcBorders>
                    <w:top w:val="nil"/>
                  </w:tcBorders>
                  <w:vAlign w:val="top"/>
                </w:tcPr>
                <w:p>
                  <w:pPr>
                    <w:spacing w:before="113"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3.573</w:t>
                  </w:r>
                </w:p>
              </w:tc>
              <w:tc>
                <w:tcPr>
                  <w:tcW w:w="597" w:type="dxa"/>
                  <w:tcBorders>
                    <w:top w:val="nil"/>
                  </w:tcBorders>
                  <w:vAlign w:val="top"/>
                </w:tcPr>
                <w:p>
                  <w:pPr>
                    <w:spacing w:before="113" w:line="186"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6" w:type="dxa"/>
                  <w:vAlign w:val="top"/>
                </w:tcPr>
                <w:p>
                  <w:pPr>
                    <w:spacing w:before="115"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WX4</w:t>
                  </w:r>
                </w:p>
              </w:tc>
              <w:tc>
                <w:tcPr>
                  <w:tcW w:w="655" w:type="dxa"/>
                  <w:vAlign w:val="top"/>
                </w:tcPr>
                <w:p>
                  <w:pPr>
                    <w:spacing w:before="115" w:line="186"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0.060</w:t>
                  </w:r>
                </w:p>
              </w:tc>
              <w:tc>
                <w:tcPr>
                  <w:tcW w:w="628" w:type="dxa"/>
                  <w:vAlign w:val="top"/>
                </w:tcPr>
                <w:p>
                  <w:pPr>
                    <w:spacing w:before="115"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2.140</w:t>
                  </w:r>
                </w:p>
              </w:tc>
              <w:tc>
                <w:tcPr>
                  <w:tcW w:w="708" w:type="dxa"/>
                  <w:vAlign w:val="top"/>
                </w:tcPr>
                <w:p>
                  <w:pPr>
                    <w:spacing w:before="115"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0.638</w:t>
                  </w:r>
                </w:p>
              </w:tc>
              <w:tc>
                <w:tcPr>
                  <w:tcW w:w="710" w:type="dxa"/>
                  <w:vAlign w:val="top"/>
                </w:tcPr>
                <w:p>
                  <w:pPr>
                    <w:spacing w:before="115" w:line="186"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1.259</w:t>
                  </w:r>
                </w:p>
              </w:tc>
              <w:tc>
                <w:tcPr>
                  <w:tcW w:w="708" w:type="dxa"/>
                  <w:vAlign w:val="top"/>
                </w:tcPr>
                <w:p>
                  <w:pPr>
                    <w:spacing w:before="115"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0.238</w:t>
                  </w:r>
                </w:p>
              </w:tc>
              <w:tc>
                <w:tcPr>
                  <w:tcW w:w="708" w:type="dxa"/>
                  <w:vAlign w:val="top"/>
                </w:tcPr>
                <w:p>
                  <w:pPr>
                    <w:spacing w:before="115"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0.000</w:t>
                  </w:r>
                </w:p>
              </w:tc>
              <w:tc>
                <w:tcPr>
                  <w:tcW w:w="708" w:type="dxa"/>
                  <w:vAlign w:val="top"/>
                </w:tcPr>
                <w:p>
                  <w:pPr>
                    <w:spacing w:before="115"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3.279</w:t>
                  </w:r>
                </w:p>
              </w:tc>
              <w:tc>
                <w:tcPr>
                  <w:tcW w:w="710" w:type="dxa"/>
                  <w:vAlign w:val="top"/>
                </w:tcPr>
                <w:p>
                  <w:pPr>
                    <w:spacing w:before="115"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0.598</w:t>
                  </w:r>
                </w:p>
              </w:tc>
              <w:tc>
                <w:tcPr>
                  <w:tcW w:w="904" w:type="dxa"/>
                  <w:vAlign w:val="top"/>
                </w:tcPr>
                <w:p>
                  <w:pPr>
                    <w:spacing w:before="115"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4.096</w:t>
                  </w:r>
                </w:p>
              </w:tc>
              <w:tc>
                <w:tcPr>
                  <w:tcW w:w="898" w:type="dxa"/>
                  <w:vAlign w:val="top"/>
                </w:tcPr>
                <w:p>
                  <w:pPr>
                    <w:spacing w:before="115"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4.115</w:t>
                  </w:r>
                </w:p>
              </w:tc>
              <w:tc>
                <w:tcPr>
                  <w:tcW w:w="597" w:type="dxa"/>
                  <w:vAlign w:val="top"/>
                </w:tcPr>
                <w:p>
                  <w:pPr>
                    <w:spacing w:before="115" w:line="186"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76" w:type="dxa"/>
                  <w:vAlign w:val="top"/>
                </w:tcPr>
                <w:p>
                  <w:pPr>
                    <w:spacing w:before="119" w:line="183"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WX5</w:t>
                  </w:r>
                </w:p>
              </w:tc>
              <w:tc>
                <w:tcPr>
                  <w:tcW w:w="655" w:type="dxa"/>
                  <w:vAlign w:val="top"/>
                </w:tcPr>
                <w:p>
                  <w:pPr>
                    <w:spacing w:before="116" w:line="186"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0.078</w:t>
                  </w:r>
                </w:p>
              </w:tc>
              <w:tc>
                <w:tcPr>
                  <w:tcW w:w="628" w:type="dxa"/>
                  <w:vAlign w:val="top"/>
                </w:tcPr>
                <w:p>
                  <w:pPr>
                    <w:spacing w:before="116"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2.260</w:t>
                  </w:r>
                </w:p>
              </w:tc>
              <w:tc>
                <w:tcPr>
                  <w:tcW w:w="708" w:type="dxa"/>
                  <w:vAlign w:val="top"/>
                </w:tcPr>
                <w:p>
                  <w:pPr>
                    <w:spacing w:before="116"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0.655</w:t>
                  </w:r>
                </w:p>
              </w:tc>
              <w:tc>
                <w:tcPr>
                  <w:tcW w:w="710" w:type="dxa"/>
                  <w:vAlign w:val="top"/>
                </w:tcPr>
                <w:p>
                  <w:pPr>
                    <w:spacing w:before="116" w:line="186"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1.316</w:t>
                  </w:r>
                </w:p>
              </w:tc>
              <w:tc>
                <w:tcPr>
                  <w:tcW w:w="708" w:type="dxa"/>
                  <w:vAlign w:val="top"/>
                </w:tcPr>
                <w:p>
                  <w:pPr>
                    <w:spacing w:before="116"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0.222</w:t>
                  </w:r>
                </w:p>
              </w:tc>
              <w:tc>
                <w:tcPr>
                  <w:tcW w:w="708" w:type="dxa"/>
                  <w:vAlign w:val="top"/>
                </w:tcPr>
                <w:p>
                  <w:pPr>
                    <w:spacing w:before="116" w:line="186"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0.000</w:t>
                  </w:r>
                </w:p>
              </w:tc>
              <w:tc>
                <w:tcPr>
                  <w:tcW w:w="708" w:type="dxa"/>
                  <w:vAlign w:val="top"/>
                </w:tcPr>
                <w:p>
                  <w:pPr>
                    <w:spacing w:before="116"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3.967</w:t>
                  </w:r>
                </w:p>
              </w:tc>
              <w:tc>
                <w:tcPr>
                  <w:tcW w:w="710" w:type="dxa"/>
                  <w:vAlign w:val="top"/>
                </w:tcPr>
                <w:p>
                  <w:pPr>
                    <w:spacing w:before="116"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0.502</w:t>
                  </w:r>
                </w:p>
              </w:tc>
              <w:tc>
                <w:tcPr>
                  <w:tcW w:w="904" w:type="dxa"/>
                  <w:vAlign w:val="top"/>
                </w:tcPr>
                <w:p>
                  <w:pPr>
                    <w:spacing w:before="116"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4.309</w:t>
                  </w:r>
                </w:p>
              </w:tc>
              <w:tc>
                <w:tcPr>
                  <w:tcW w:w="898" w:type="dxa"/>
                  <w:vAlign w:val="top"/>
                </w:tcPr>
                <w:p>
                  <w:pPr>
                    <w:spacing w:before="116"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4.691</w:t>
                  </w:r>
                </w:p>
              </w:tc>
              <w:tc>
                <w:tcPr>
                  <w:tcW w:w="597" w:type="dxa"/>
                  <w:vAlign w:val="top"/>
                </w:tcPr>
                <w:p>
                  <w:pPr>
                    <w:spacing w:before="116" w:line="186"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w:t>
                  </w:r>
                </w:p>
              </w:tc>
            </w:tr>
          </w:tbl>
          <w:p>
            <w:pPr>
              <w:pStyle w:val="6"/>
              <w:spacing w:before="177" w:line="480" w:lineRule="exact"/>
              <w:ind w:left="1077"/>
              <w:rPr>
                <w:sz w:val="24"/>
                <w:szCs w:val="24"/>
              </w:rPr>
            </w:pPr>
            <w:r>
              <w:rPr>
                <w:spacing w:val="-4"/>
                <w:position w:val="18"/>
                <w:sz w:val="24"/>
                <w:szCs w:val="24"/>
              </w:rPr>
              <w:t>由上表可知本项目地下水阴阳离子的相对误差</w:t>
            </w:r>
            <w:r>
              <w:rPr>
                <w:spacing w:val="-54"/>
                <w:position w:val="18"/>
                <w:sz w:val="24"/>
                <w:szCs w:val="24"/>
              </w:rPr>
              <w:t xml:space="preserve"> </w:t>
            </w:r>
            <w:r>
              <w:rPr>
                <w:rFonts w:ascii="Times New Roman" w:hAnsi="Times New Roman" w:eastAsia="Times New Roman" w:cs="Times New Roman"/>
                <w:spacing w:val="-4"/>
                <w:position w:val="18"/>
                <w:sz w:val="24"/>
                <w:szCs w:val="24"/>
              </w:rPr>
              <w:t xml:space="preserve">E </w:t>
            </w:r>
            <w:r>
              <w:rPr>
                <w:spacing w:val="-4"/>
                <w:position w:val="18"/>
                <w:sz w:val="24"/>
                <w:szCs w:val="24"/>
              </w:rPr>
              <w:t>均小于正负</w:t>
            </w:r>
            <w:r>
              <w:rPr>
                <w:spacing w:val="-32"/>
                <w:position w:val="18"/>
                <w:sz w:val="24"/>
                <w:szCs w:val="24"/>
              </w:rPr>
              <w:t xml:space="preserve"> </w:t>
            </w:r>
            <w:r>
              <w:rPr>
                <w:rFonts w:ascii="Times New Roman" w:hAnsi="Times New Roman" w:eastAsia="Times New Roman" w:cs="Times New Roman"/>
                <w:spacing w:val="-4"/>
                <w:position w:val="18"/>
                <w:sz w:val="24"/>
                <w:szCs w:val="24"/>
              </w:rPr>
              <w:t>1</w:t>
            </w:r>
            <w:r>
              <w:rPr>
                <w:rFonts w:ascii="Times New Roman" w:hAnsi="Times New Roman" w:eastAsia="Times New Roman" w:cs="Times New Roman"/>
                <w:spacing w:val="-5"/>
                <w:position w:val="18"/>
                <w:sz w:val="24"/>
                <w:szCs w:val="24"/>
              </w:rPr>
              <w:t>0%</w:t>
            </w:r>
            <w:r>
              <w:rPr>
                <w:spacing w:val="-5"/>
                <w:position w:val="18"/>
                <w:sz w:val="24"/>
                <w:szCs w:val="24"/>
              </w:rPr>
              <w:t>，监测数据可</w:t>
            </w:r>
          </w:p>
          <w:p>
            <w:pPr>
              <w:pStyle w:val="6"/>
              <w:spacing w:line="219" w:lineRule="auto"/>
              <w:ind w:left="568"/>
              <w:rPr>
                <w:sz w:val="24"/>
                <w:szCs w:val="24"/>
              </w:rPr>
            </w:pPr>
            <w:r>
              <w:rPr>
                <w:spacing w:val="-12"/>
                <w:sz w:val="24"/>
                <w:szCs w:val="24"/>
              </w:rPr>
              <w:t>信。</w:t>
            </w:r>
          </w:p>
          <w:p>
            <w:pPr>
              <w:pStyle w:val="6"/>
              <w:spacing w:before="194" w:line="220" w:lineRule="auto"/>
              <w:ind w:left="2245"/>
              <w:rPr>
                <w:sz w:val="24"/>
                <w:szCs w:val="24"/>
              </w:rPr>
            </w:pPr>
            <w:r>
              <w:rPr>
                <w:sz w:val="24"/>
                <w:szCs w:val="24"/>
                <w14:textOutline w14:w="4354" w14:cap="flat" w14:cmpd="sng">
                  <w14:solidFill>
                    <w14:srgbClr w14:val="000000"/>
                  </w14:solidFill>
                  <w14:prstDash w14:val="solid"/>
                  <w14:miter w14:val="10"/>
                </w14:textOutline>
              </w:rPr>
              <w:t>表</w:t>
            </w:r>
            <w:r>
              <w:rPr>
                <w:spacing w:val="-51"/>
                <w:sz w:val="24"/>
                <w:szCs w:val="24"/>
              </w:rPr>
              <w:t xml:space="preserve"> </w:t>
            </w:r>
            <w:r>
              <w:rPr>
                <w:rFonts w:ascii="Times New Roman" w:hAnsi="Times New Roman" w:eastAsia="Times New Roman" w:cs="Times New Roman"/>
                <w:b/>
                <w:bCs/>
                <w:sz w:val="24"/>
                <w:szCs w:val="24"/>
              </w:rPr>
              <w:t xml:space="preserve">3.3-9  </w:t>
            </w:r>
            <w:r>
              <w:rPr>
                <w:sz w:val="24"/>
                <w:szCs w:val="24"/>
                <w14:textOutline w14:w="4354" w14:cap="flat" w14:cmpd="sng">
                  <w14:solidFill>
                    <w14:srgbClr w14:val="000000"/>
                  </w14:solidFill>
                  <w14:prstDash w14:val="solid"/>
                  <w14:miter w14:val="10"/>
                </w14:textOutline>
              </w:rPr>
              <w:t>地下水水化学离子毫克当量百分数计算表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1060"/>
              <w:gridCol w:w="970"/>
              <w:gridCol w:w="967"/>
              <w:gridCol w:w="967"/>
              <w:gridCol w:w="928"/>
              <w:gridCol w:w="928"/>
              <w:gridCol w:w="967"/>
              <w:gridCol w:w="9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49" w:type="dxa"/>
                  <w:vMerge w:val="restart"/>
                  <w:tcBorders>
                    <w:bottom w:val="nil"/>
                  </w:tcBorders>
                  <w:vAlign w:val="top"/>
                </w:tcPr>
                <w:p>
                  <w:pPr>
                    <w:pStyle w:val="6"/>
                    <w:spacing w:before="243" w:line="222" w:lineRule="auto"/>
                    <w:ind w:left="218"/>
                    <w:rPr>
                      <w:sz w:val="21"/>
                      <w:szCs w:val="21"/>
                    </w:rPr>
                  </w:pPr>
                  <w:r>
                    <w:rPr>
                      <w:spacing w:val="-2"/>
                      <w:sz w:val="21"/>
                      <w:szCs w:val="21"/>
                    </w:rPr>
                    <w:t>序号</w:t>
                  </w:r>
                </w:p>
              </w:tc>
              <w:tc>
                <w:tcPr>
                  <w:tcW w:w="7761" w:type="dxa"/>
                  <w:gridSpan w:val="8"/>
                  <w:vAlign w:val="top"/>
                </w:tcPr>
                <w:p>
                  <w:pPr>
                    <w:pStyle w:val="6"/>
                    <w:spacing w:before="68" w:line="234" w:lineRule="auto"/>
                    <w:ind w:left="2853"/>
                    <w:rPr>
                      <w:sz w:val="21"/>
                      <w:szCs w:val="21"/>
                    </w:rPr>
                  </w:pPr>
                  <w:r>
                    <w:rPr>
                      <w:spacing w:val="-1"/>
                      <w:sz w:val="21"/>
                      <w:szCs w:val="21"/>
                    </w:rPr>
                    <w:t>毫克当量百分数（</w:t>
                  </w:r>
                  <w:r>
                    <w:rPr>
                      <w:rFonts w:ascii="Times New Roman" w:hAnsi="Times New Roman" w:eastAsia="Times New Roman" w:cs="Times New Roman"/>
                      <w:spacing w:val="-1"/>
                      <w:sz w:val="21"/>
                      <w:szCs w:val="21"/>
                    </w:rPr>
                    <w:t>%</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9" w:type="dxa"/>
                  <w:vMerge w:val="continue"/>
                  <w:tcBorders>
                    <w:top w:val="nil"/>
                  </w:tcBorders>
                  <w:vAlign w:val="top"/>
                </w:tcPr>
                <w:p>
                  <w:pPr>
                    <w:rPr>
                      <w:rFonts w:ascii="Arial"/>
                      <w:sz w:val="21"/>
                    </w:rPr>
                  </w:pPr>
                </w:p>
              </w:tc>
              <w:tc>
                <w:tcPr>
                  <w:tcW w:w="1060" w:type="dxa"/>
                  <w:vAlign w:val="top"/>
                </w:tcPr>
                <w:p>
                  <w:pPr>
                    <w:spacing w:before="81" w:line="210" w:lineRule="auto"/>
                    <w:ind w:left="414"/>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1"/>
                      <w:szCs w:val="21"/>
                    </w:rPr>
                    <w:t>K</w:t>
                  </w:r>
                  <w:r>
                    <w:rPr>
                      <w:rFonts w:ascii="Times New Roman" w:hAnsi="Times New Roman" w:eastAsia="Times New Roman" w:cs="Times New Roman"/>
                      <w:spacing w:val="1"/>
                      <w:position w:val="3"/>
                      <w:sz w:val="13"/>
                      <w:szCs w:val="13"/>
                    </w:rPr>
                    <w:t>+</w:t>
                  </w:r>
                </w:p>
              </w:tc>
              <w:tc>
                <w:tcPr>
                  <w:tcW w:w="970" w:type="dxa"/>
                  <w:vAlign w:val="top"/>
                </w:tcPr>
                <w:p>
                  <w:pPr>
                    <w:spacing w:before="83" w:line="208" w:lineRule="auto"/>
                    <w:ind w:left="297"/>
                    <w:rPr>
                      <w:rFonts w:ascii="Times New Roman" w:hAnsi="Times New Roman" w:eastAsia="Times New Roman" w:cs="Times New Roman"/>
                      <w:sz w:val="13"/>
                      <w:szCs w:val="13"/>
                    </w:rPr>
                  </w:pPr>
                  <w:r>
                    <w:rPr>
                      <w:rFonts w:ascii="Times New Roman" w:hAnsi="Times New Roman" w:eastAsia="Times New Roman" w:cs="Times New Roman"/>
                      <w:position w:val="-2"/>
                      <w:sz w:val="21"/>
                      <w:szCs w:val="21"/>
                    </w:rPr>
                    <w:t>Ca</w:t>
                  </w:r>
                  <w:r>
                    <w:rPr>
                      <w:rFonts w:ascii="Times New Roman" w:hAnsi="Times New Roman" w:eastAsia="Times New Roman" w:cs="Times New Roman"/>
                      <w:spacing w:val="2"/>
                      <w:position w:val="4"/>
                      <w:sz w:val="13"/>
                      <w:szCs w:val="13"/>
                    </w:rPr>
                    <w:t>2+</w:t>
                  </w:r>
                </w:p>
              </w:tc>
              <w:tc>
                <w:tcPr>
                  <w:tcW w:w="967" w:type="dxa"/>
                  <w:vAlign w:val="top"/>
                </w:tcPr>
                <w:p>
                  <w:pPr>
                    <w:spacing w:before="81" w:line="210" w:lineRule="auto"/>
                    <w:ind w:left="315"/>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Na</w:t>
                  </w:r>
                  <w:r>
                    <w:rPr>
                      <w:rFonts w:ascii="Times New Roman" w:hAnsi="Times New Roman" w:eastAsia="Times New Roman" w:cs="Times New Roman"/>
                      <w:spacing w:val="10"/>
                      <w:position w:val="4"/>
                      <w:sz w:val="13"/>
                      <w:szCs w:val="13"/>
                    </w:rPr>
                    <w:t>+</w:t>
                  </w:r>
                </w:p>
              </w:tc>
              <w:tc>
                <w:tcPr>
                  <w:tcW w:w="967" w:type="dxa"/>
                  <w:vAlign w:val="top"/>
                </w:tcPr>
                <w:p>
                  <w:pPr>
                    <w:spacing w:before="84" w:line="208" w:lineRule="auto"/>
                    <w:ind w:left="261"/>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Mg</w:t>
                  </w:r>
                  <w:r>
                    <w:rPr>
                      <w:rFonts w:ascii="Times New Roman" w:hAnsi="Times New Roman" w:eastAsia="Times New Roman" w:cs="Times New Roman"/>
                      <w:spacing w:val="3"/>
                      <w:position w:val="5"/>
                      <w:sz w:val="13"/>
                      <w:szCs w:val="13"/>
                    </w:rPr>
                    <w:t>2+</w:t>
                  </w:r>
                </w:p>
              </w:tc>
              <w:tc>
                <w:tcPr>
                  <w:tcW w:w="928" w:type="dxa"/>
                  <w:vAlign w:val="top"/>
                </w:tcPr>
                <w:p>
                  <w:pPr>
                    <w:spacing w:before="100" w:line="191" w:lineRule="auto"/>
                    <w:ind w:left="345"/>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Cl</w:t>
                  </w:r>
                  <w:r>
                    <w:rPr>
                      <w:rFonts w:ascii="Times New Roman" w:hAnsi="Times New Roman" w:eastAsia="Times New Roman" w:cs="Times New Roman"/>
                      <w:spacing w:val="-2"/>
                      <w:position w:val="6"/>
                      <w:sz w:val="13"/>
                      <w:szCs w:val="13"/>
                    </w:rPr>
                    <w:t>-</w:t>
                  </w:r>
                </w:p>
              </w:tc>
              <w:tc>
                <w:tcPr>
                  <w:tcW w:w="928" w:type="dxa"/>
                  <w:vAlign w:val="top"/>
                </w:tcPr>
                <w:p>
                  <w:pPr>
                    <w:spacing w:before="84" w:line="207" w:lineRule="auto"/>
                    <w:ind w:left="231"/>
                    <w:rPr>
                      <w:rFonts w:ascii="Times New Roman" w:hAnsi="Times New Roman" w:eastAsia="Times New Roman" w:cs="Times New Roman"/>
                      <w:sz w:val="13"/>
                      <w:szCs w:val="13"/>
                    </w:rPr>
                  </w:pPr>
                  <w:r>
                    <w:rPr>
                      <w:rFonts w:ascii="Times New Roman" w:hAnsi="Times New Roman" w:eastAsia="Times New Roman" w:cs="Times New Roman"/>
                      <w:sz w:val="21"/>
                      <w:szCs w:val="21"/>
                    </w:rPr>
                    <w:t>CO</w:t>
                  </w:r>
                  <w:r>
                    <w:rPr>
                      <w:rFonts w:ascii="Times New Roman" w:hAnsi="Times New Roman" w:eastAsia="Times New Roman" w:cs="Times New Roman"/>
                      <w:spacing w:val="2"/>
                      <w:position w:val="-2"/>
                      <w:sz w:val="13"/>
                      <w:szCs w:val="13"/>
                    </w:rPr>
                    <w:t>3</w:t>
                  </w:r>
                  <w:r>
                    <w:rPr>
                      <w:rFonts w:ascii="Times New Roman" w:hAnsi="Times New Roman" w:eastAsia="Times New Roman" w:cs="Times New Roman"/>
                      <w:spacing w:val="2"/>
                      <w:position w:val="6"/>
                      <w:sz w:val="13"/>
                      <w:szCs w:val="13"/>
                    </w:rPr>
                    <w:t>2-</w:t>
                  </w:r>
                </w:p>
              </w:tc>
              <w:tc>
                <w:tcPr>
                  <w:tcW w:w="967" w:type="dxa"/>
                  <w:vAlign w:val="top"/>
                </w:tcPr>
                <w:p>
                  <w:pPr>
                    <w:spacing w:before="105" w:line="196" w:lineRule="auto"/>
                    <w:ind w:left="206"/>
                    <w:rPr>
                      <w:rFonts w:ascii="Times New Roman" w:hAnsi="Times New Roman" w:eastAsia="Times New Roman" w:cs="Times New Roman"/>
                      <w:sz w:val="13"/>
                      <w:szCs w:val="13"/>
                    </w:rPr>
                  </w:pPr>
                  <w:r>
                    <w:rPr>
                      <w:rFonts w:ascii="Times New Roman" w:hAnsi="Times New Roman" w:eastAsia="Times New Roman" w:cs="Times New Roman"/>
                      <w:sz w:val="21"/>
                      <w:szCs w:val="21"/>
                    </w:rPr>
                    <w:t>HCO</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position w:val="7"/>
                      <w:sz w:val="13"/>
                      <w:szCs w:val="13"/>
                    </w:rPr>
                    <w:t>-</w:t>
                  </w:r>
                </w:p>
              </w:tc>
              <w:tc>
                <w:tcPr>
                  <w:tcW w:w="974" w:type="dxa"/>
                  <w:vAlign w:val="top"/>
                </w:tcPr>
                <w:p>
                  <w:pPr>
                    <w:spacing w:before="84" w:line="207" w:lineRule="auto"/>
                    <w:ind w:left="269"/>
                    <w:rPr>
                      <w:rFonts w:ascii="Times New Roman" w:hAnsi="Times New Roman" w:eastAsia="Times New Roman" w:cs="Times New Roman"/>
                      <w:sz w:val="13"/>
                      <w:szCs w:val="13"/>
                    </w:rPr>
                  </w:pPr>
                  <w:r>
                    <w:rPr>
                      <w:rFonts w:ascii="Times New Roman" w:hAnsi="Times New Roman" w:eastAsia="Times New Roman" w:cs="Times New Roman"/>
                      <w:sz w:val="21"/>
                      <w:szCs w:val="21"/>
                    </w:rPr>
                    <w:t>SO</w:t>
                  </w:r>
                  <w:r>
                    <w:rPr>
                      <w:rFonts w:ascii="Times New Roman" w:hAnsi="Times New Roman" w:eastAsia="Times New Roman" w:cs="Times New Roman"/>
                      <w:position w:val="-2"/>
                      <w:sz w:val="13"/>
                      <w:szCs w:val="13"/>
                    </w:rPr>
                    <w:t>4</w:t>
                  </w:r>
                  <w:r>
                    <w:rPr>
                      <w:rFonts w:ascii="Times New Roman" w:hAnsi="Times New Roman" w:eastAsia="Times New Roman" w:cs="Times New Roman"/>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9" w:type="dxa"/>
                  <w:vAlign w:val="top"/>
                </w:tcPr>
                <w:p>
                  <w:pPr>
                    <w:spacing w:before="114" w:line="186"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WX1</w:t>
                  </w:r>
                </w:p>
              </w:tc>
              <w:tc>
                <w:tcPr>
                  <w:tcW w:w="1060" w:type="dxa"/>
                  <w:vAlign w:val="top"/>
                </w:tcPr>
                <w:p>
                  <w:pPr>
                    <w:spacing w:before="105"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1.510</w:t>
                  </w:r>
                </w:p>
              </w:tc>
              <w:tc>
                <w:tcPr>
                  <w:tcW w:w="970" w:type="dxa"/>
                  <w:vAlign w:val="top"/>
                </w:tcPr>
                <w:p>
                  <w:pPr>
                    <w:spacing w:before="105"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53.469</w:t>
                  </w:r>
                </w:p>
              </w:tc>
              <w:tc>
                <w:tcPr>
                  <w:tcW w:w="967" w:type="dxa"/>
                  <w:vAlign w:val="top"/>
                </w:tcPr>
                <w:p>
                  <w:pPr>
                    <w:spacing w:before="10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15.162</w:t>
                  </w:r>
                </w:p>
              </w:tc>
              <w:tc>
                <w:tcPr>
                  <w:tcW w:w="967" w:type="dxa"/>
                  <w:vAlign w:val="top"/>
                </w:tcPr>
                <w:p>
                  <w:pPr>
                    <w:spacing w:before="105"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29.860</w:t>
                  </w:r>
                </w:p>
              </w:tc>
              <w:tc>
                <w:tcPr>
                  <w:tcW w:w="928" w:type="dxa"/>
                  <w:vAlign w:val="top"/>
                </w:tcPr>
                <w:p>
                  <w:pPr>
                    <w:spacing w:before="105"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5.952</w:t>
                  </w:r>
                </w:p>
              </w:tc>
              <w:tc>
                <w:tcPr>
                  <w:tcW w:w="928" w:type="dxa"/>
                  <w:vAlign w:val="top"/>
                </w:tcPr>
                <w:p>
                  <w:pPr>
                    <w:spacing w:before="105"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967" w:type="dxa"/>
                  <w:vAlign w:val="top"/>
                </w:tcPr>
                <w:p>
                  <w:pPr>
                    <w:spacing w:before="105"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78.829</w:t>
                  </w:r>
                </w:p>
              </w:tc>
              <w:tc>
                <w:tcPr>
                  <w:tcW w:w="974" w:type="dxa"/>
                  <w:vAlign w:val="top"/>
                </w:tcPr>
                <w:p>
                  <w:pPr>
                    <w:spacing w:before="105"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9" w:type="dxa"/>
                  <w:vAlign w:val="top"/>
                </w:tcPr>
                <w:p>
                  <w:pPr>
                    <w:spacing w:before="114" w:line="186"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WX2</w:t>
                  </w:r>
                </w:p>
              </w:tc>
              <w:tc>
                <w:tcPr>
                  <w:tcW w:w="1060" w:type="dxa"/>
                  <w:vAlign w:val="top"/>
                </w:tcPr>
                <w:p>
                  <w:pPr>
                    <w:spacing w:before="103"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1.401</w:t>
                  </w:r>
                </w:p>
              </w:tc>
              <w:tc>
                <w:tcPr>
                  <w:tcW w:w="970" w:type="dxa"/>
                  <w:vAlign w:val="top"/>
                </w:tcPr>
                <w:p>
                  <w:pPr>
                    <w:spacing w:before="103"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53.718</w:t>
                  </w:r>
                </w:p>
              </w:tc>
              <w:tc>
                <w:tcPr>
                  <w:tcW w:w="967" w:type="dxa"/>
                  <w:vAlign w:val="top"/>
                </w:tcPr>
                <w:p>
                  <w:pPr>
                    <w:spacing w:before="103"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15.163</w:t>
                  </w:r>
                </w:p>
              </w:tc>
              <w:tc>
                <w:tcPr>
                  <w:tcW w:w="967" w:type="dxa"/>
                  <w:vAlign w:val="top"/>
                </w:tcPr>
                <w:p>
                  <w:pPr>
                    <w:spacing w:before="103"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29.718</w:t>
                  </w:r>
                </w:p>
              </w:tc>
              <w:tc>
                <w:tcPr>
                  <w:tcW w:w="928" w:type="dxa"/>
                  <w:vAlign w:val="top"/>
                </w:tcPr>
                <w:p>
                  <w:pPr>
                    <w:spacing w:before="103"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4.610</w:t>
                  </w:r>
                </w:p>
              </w:tc>
              <w:tc>
                <w:tcPr>
                  <w:tcW w:w="928" w:type="dxa"/>
                  <w:vAlign w:val="top"/>
                </w:tcPr>
                <w:p>
                  <w:pPr>
                    <w:spacing w:before="103"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967" w:type="dxa"/>
                  <w:vAlign w:val="top"/>
                </w:tcPr>
                <w:p>
                  <w:pPr>
                    <w:spacing w:before="103"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84.560</w:t>
                  </w:r>
                </w:p>
              </w:tc>
              <w:tc>
                <w:tcPr>
                  <w:tcW w:w="974" w:type="dxa"/>
                  <w:vAlign w:val="top"/>
                </w:tcPr>
                <w:p>
                  <w:pPr>
                    <w:spacing w:before="103"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10.830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9" w:type="dxa"/>
                  <w:vAlign w:val="top"/>
                </w:tcPr>
                <w:p>
                  <w:pPr>
                    <w:spacing w:before="116" w:line="186"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WX3</w:t>
                  </w:r>
                </w:p>
              </w:tc>
              <w:tc>
                <w:tcPr>
                  <w:tcW w:w="1060" w:type="dxa"/>
                  <w:vAlign w:val="top"/>
                </w:tcPr>
                <w:p>
                  <w:pPr>
                    <w:spacing w:before="10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1.372</w:t>
                  </w:r>
                </w:p>
              </w:tc>
              <w:tc>
                <w:tcPr>
                  <w:tcW w:w="970" w:type="dxa"/>
                  <w:vAlign w:val="top"/>
                </w:tcPr>
                <w:p>
                  <w:pPr>
                    <w:spacing w:before="10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53.183</w:t>
                  </w:r>
                </w:p>
              </w:tc>
              <w:tc>
                <w:tcPr>
                  <w:tcW w:w="967" w:type="dxa"/>
                  <w:vAlign w:val="top"/>
                </w:tcPr>
                <w:p>
                  <w:pPr>
                    <w:spacing w:before="104"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15.621</w:t>
                  </w:r>
                </w:p>
              </w:tc>
              <w:tc>
                <w:tcPr>
                  <w:tcW w:w="967" w:type="dxa"/>
                  <w:vAlign w:val="top"/>
                </w:tcPr>
                <w:p>
                  <w:pPr>
                    <w:spacing w:before="104"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29.823</w:t>
                  </w:r>
                </w:p>
              </w:tc>
              <w:tc>
                <w:tcPr>
                  <w:tcW w:w="928" w:type="dxa"/>
                  <w:vAlign w:val="top"/>
                </w:tcPr>
                <w:p>
                  <w:pPr>
                    <w:spacing w:before="10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6.339</w:t>
                  </w:r>
                </w:p>
              </w:tc>
              <w:tc>
                <w:tcPr>
                  <w:tcW w:w="928" w:type="dxa"/>
                  <w:vAlign w:val="top"/>
                </w:tcPr>
                <w:p>
                  <w:pPr>
                    <w:spacing w:before="104"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967" w:type="dxa"/>
                  <w:vAlign w:val="top"/>
                </w:tcPr>
                <w:p>
                  <w:pPr>
                    <w:spacing w:before="104"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78.910</w:t>
                  </w:r>
                </w:p>
              </w:tc>
              <w:tc>
                <w:tcPr>
                  <w:tcW w:w="974" w:type="dxa"/>
                  <w:vAlign w:val="top"/>
                </w:tcPr>
                <w:p>
                  <w:pPr>
                    <w:spacing w:before="104"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14.751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9" w:type="dxa"/>
                  <w:vAlign w:val="top"/>
                </w:tcPr>
                <w:p>
                  <w:pPr>
                    <w:spacing w:before="117" w:line="186"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WX4</w:t>
                  </w:r>
                </w:p>
              </w:tc>
              <w:tc>
                <w:tcPr>
                  <w:tcW w:w="1060" w:type="dxa"/>
                  <w:vAlign w:val="top"/>
                </w:tcPr>
                <w:p>
                  <w:pPr>
                    <w:spacing w:before="105"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1.467</w:t>
                  </w:r>
                </w:p>
              </w:tc>
              <w:tc>
                <w:tcPr>
                  <w:tcW w:w="970" w:type="dxa"/>
                  <w:vAlign w:val="top"/>
                </w:tcPr>
                <w:p>
                  <w:pPr>
                    <w:spacing w:before="105"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52.241</w:t>
                  </w:r>
                </w:p>
              </w:tc>
              <w:tc>
                <w:tcPr>
                  <w:tcW w:w="967" w:type="dxa"/>
                  <w:vAlign w:val="top"/>
                </w:tcPr>
                <w:p>
                  <w:pPr>
                    <w:spacing w:before="10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15.564</w:t>
                  </w:r>
                </w:p>
              </w:tc>
              <w:tc>
                <w:tcPr>
                  <w:tcW w:w="967" w:type="dxa"/>
                  <w:vAlign w:val="top"/>
                </w:tcPr>
                <w:p>
                  <w:pPr>
                    <w:spacing w:before="10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30.728</w:t>
                  </w:r>
                </w:p>
              </w:tc>
              <w:tc>
                <w:tcPr>
                  <w:tcW w:w="928" w:type="dxa"/>
                  <w:vAlign w:val="top"/>
                </w:tcPr>
                <w:p>
                  <w:pPr>
                    <w:spacing w:before="105"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5.786</w:t>
                  </w:r>
                </w:p>
              </w:tc>
              <w:tc>
                <w:tcPr>
                  <w:tcW w:w="928" w:type="dxa"/>
                  <w:vAlign w:val="top"/>
                </w:tcPr>
                <w:p>
                  <w:pPr>
                    <w:spacing w:before="105"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967" w:type="dxa"/>
                  <w:vAlign w:val="top"/>
                </w:tcPr>
                <w:p>
                  <w:pPr>
                    <w:spacing w:before="105"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79.683</w:t>
                  </w:r>
                </w:p>
              </w:tc>
              <w:tc>
                <w:tcPr>
                  <w:tcW w:w="974" w:type="dxa"/>
                  <w:vAlign w:val="top"/>
                </w:tcPr>
                <w:p>
                  <w:pPr>
                    <w:spacing w:before="105"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49" w:type="dxa"/>
                  <w:vAlign w:val="top"/>
                </w:tcPr>
                <w:p>
                  <w:pPr>
                    <w:spacing w:before="120" w:line="183"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WX5</w:t>
                  </w:r>
                </w:p>
              </w:tc>
              <w:tc>
                <w:tcPr>
                  <w:tcW w:w="1060" w:type="dxa"/>
                  <w:vAlign w:val="top"/>
                </w:tcPr>
                <w:p>
                  <w:pPr>
                    <w:spacing w:before="10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1.810</w:t>
                  </w:r>
                </w:p>
              </w:tc>
              <w:tc>
                <w:tcPr>
                  <w:tcW w:w="970" w:type="dxa"/>
                  <w:vAlign w:val="top"/>
                </w:tcPr>
                <w:p>
                  <w:pPr>
                    <w:spacing w:before="106"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52.444</w:t>
                  </w:r>
                </w:p>
              </w:tc>
              <w:tc>
                <w:tcPr>
                  <w:tcW w:w="967" w:type="dxa"/>
                  <w:vAlign w:val="top"/>
                </w:tcPr>
                <w:p>
                  <w:pPr>
                    <w:spacing w:before="106"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15.200</w:t>
                  </w:r>
                </w:p>
              </w:tc>
              <w:tc>
                <w:tcPr>
                  <w:tcW w:w="967" w:type="dxa"/>
                  <w:vAlign w:val="top"/>
                </w:tcPr>
                <w:p>
                  <w:pPr>
                    <w:spacing w:before="106"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30.546</w:t>
                  </w:r>
                </w:p>
              </w:tc>
              <w:tc>
                <w:tcPr>
                  <w:tcW w:w="928" w:type="dxa"/>
                  <w:vAlign w:val="top"/>
                </w:tcPr>
                <w:p>
                  <w:pPr>
                    <w:spacing w:before="106"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4.726</w:t>
                  </w:r>
                </w:p>
              </w:tc>
              <w:tc>
                <w:tcPr>
                  <w:tcW w:w="928" w:type="dxa"/>
                  <w:vAlign w:val="top"/>
                </w:tcPr>
                <w:p>
                  <w:pPr>
                    <w:spacing w:before="106"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967" w:type="dxa"/>
                  <w:vAlign w:val="top"/>
                </w:tcPr>
                <w:p>
                  <w:pPr>
                    <w:spacing w:before="106"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84.570</w:t>
                  </w:r>
                </w:p>
              </w:tc>
              <w:tc>
                <w:tcPr>
                  <w:tcW w:w="974" w:type="dxa"/>
                  <w:vAlign w:val="top"/>
                </w:tcPr>
                <w:p>
                  <w:pPr>
                    <w:spacing w:before="106"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10.703</w:t>
                  </w:r>
                </w:p>
              </w:tc>
            </w:tr>
          </w:tbl>
          <w:p>
            <w:pPr>
              <w:pStyle w:val="6"/>
              <w:spacing w:before="178" w:line="480" w:lineRule="exact"/>
              <w:ind w:left="1048"/>
              <w:rPr>
                <w:sz w:val="24"/>
                <w:szCs w:val="24"/>
              </w:rPr>
            </w:pPr>
            <w:r>
              <w:rPr>
                <w:spacing w:val="-12"/>
                <w:position w:val="18"/>
                <w:sz w:val="24"/>
                <w:szCs w:val="24"/>
              </w:rPr>
              <w:t>通过计算离子的毫克当量百分数，</w:t>
            </w:r>
            <w:r>
              <w:rPr>
                <w:spacing w:val="66"/>
                <w:position w:val="18"/>
                <w:sz w:val="24"/>
                <w:szCs w:val="24"/>
              </w:rPr>
              <w:t xml:space="preserve"> </w:t>
            </w:r>
            <w:r>
              <w:rPr>
                <w:spacing w:val="-12"/>
                <w:position w:val="18"/>
                <w:sz w:val="24"/>
                <w:szCs w:val="24"/>
              </w:rPr>
              <w:t>阳离子以钙离子为主，</w:t>
            </w:r>
            <w:r>
              <w:rPr>
                <w:spacing w:val="67"/>
                <w:position w:val="18"/>
                <w:sz w:val="24"/>
                <w:szCs w:val="24"/>
              </w:rPr>
              <w:t xml:space="preserve"> </w:t>
            </w:r>
            <w:r>
              <w:rPr>
                <w:spacing w:val="-12"/>
                <w:position w:val="18"/>
                <w:sz w:val="24"/>
                <w:szCs w:val="24"/>
              </w:rPr>
              <w:t>阴离子以碳酸氢</w:t>
            </w:r>
            <w:r>
              <w:rPr>
                <w:spacing w:val="-13"/>
                <w:position w:val="18"/>
                <w:sz w:val="24"/>
                <w:szCs w:val="24"/>
              </w:rPr>
              <w:t>根离</w:t>
            </w:r>
          </w:p>
          <w:p>
            <w:pPr>
              <w:pStyle w:val="6"/>
              <w:spacing w:line="219" w:lineRule="auto"/>
              <w:ind w:left="569"/>
              <w:rPr>
                <w:sz w:val="24"/>
                <w:szCs w:val="24"/>
              </w:rPr>
            </w:pPr>
            <w:r>
              <w:rPr>
                <w:spacing w:val="-4"/>
                <w:sz w:val="24"/>
                <w:szCs w:val="24"/>
              </w:rPr>
              <w:t>子为主，因此，项目区域地下水化学类型为</w:t>
            </w:r>
            <w:r>
              <w:rPr>
                <w:spacing w:val="-42"/>
                <w:sz w:val="24"/>
                <w:szCs w:val="24"/>
              </w:rPr>
              <w:t xml:space="preserve"> </w:t>
            </w:r>
            <w:r>
              <w:rPr>
                <w:rFonts w:ascii="Times New Roman" w:hAnsi="Times New Roman" w:eastAsia="Times New Roman" w:cs="Times New Roman"/>
                <w:spacing w:val="-4"/>
                <w:sz w:val="24"/>
                <w:szCs w:val="24"/>
              </w:rPr>
              <w:t>HCO</w:t>
            </w:r>
            <w:r>
              <w:rPr>
                <w:rFonts w:ascii="Times New Roman" w:hAnsi="Times New Roman" w:eastAsia="Times New Roman" w:cs="Times New Roman"/>
                <w:spacing w:val="-4"/>
                <w:position w:val="-1"/>
                <w:sz w:val="16"/>
                <w:szCs w:val="16"/>
              </w:rPr>
              <w:t xml:space="preserve">3  </w:t>
            </w:r>
            <w:r>
              <w:rPr>
                <w:spacing w:val="-4"/>
                <w:sz w:val="24"/>
                <w:szCs w:val="24"/>
              </w:rPr>
              <w:t>·</w:t>
            </w:r>
            <w:r>
              <w:rPr>
                <w:rFonts w:ascii="Times New Roman" w:hAnsi="Times New Roman" w:eastAsia="Times New Roman" w:cs="Times New Roman"/>
                <w:spacing w:val="-4"/>
                <w:sz w:val="24"/>
                <w:szCs w:val="24"/>
              </w:rPr>
              <w:t>Ca</w:t>
            </w:r>
            <w:r>
              <w:rPr>
                <w:rFonts w:ascii="Times New Roman" w:hAnsi="Times New Roman" w:eastAsia="Times New Roman" w:cs="Times New Roman"/>
                <w:spacing w:val="16"/>
                <w:w w:val="101"/>
                <w:sz w:val="24"/>
                <w:szCs w:val="24"/>
              </w:rPr>
              <w:t xml:space="preserve"> </w:t>
            </w:r>
            <w:r>
              <w:rPr>
                <w:spacing w:val="-4"/>
                <w:sz w:val="24"/>
                <w:szCs w:val="24"/>
              </w:rPr>
              <w:t>型水。</w:t>
            </w:r>
          </w:p>
        </w:tc>
      </w:tr>
    </w:tbl>
    <w:p>
      <w:pPr>
        <w:pStyle w:val="2"/>
        <w:rPr>
          <w:sz w:val="21"/>
        </w:rPr>
      </w:pPr>
    </w:p>
    <w:p>
      <w:pPr>
        <w:rPr>
          <w:sz w:val="21"/>
          <w:szCs w:val="21"/>
        </w:rPr>
        <w:sectPr>
          <w:footerReference r:id="rId70"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14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3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78" w:hRule="atLeast"/>
        </w:trPr>
        <w:tc>
          <w:tcPr>
            <w:tcW w:w="465" w:type="dxa"/>
            <w:tcBorders>
              <w:right w:val="single" w:color="000000" w:sz="8" w:space="0"/>
            </w:tcBorders>
            <w:textDirection w:val="tbRlV"/>
            <w:vAlign w:val="top"/>
          </w:tcPr>
          <w:p>
            <w:pPr>
              <w:pStyle w:val="6"/>
              <w:spacing w:before="104" w:line="208" w:lineRule="auto"/>
              <w:ind w:left="3439"/>
              <w:rPr>
                <w:sz w:val="24"/>
                <w:szCs w:val="24"/>
              </w:rPr>
            </w:pPr>
            <w:r>
              <w:rPr>
                <w:sz w:val="24"/>
                <w:szCs w:val="24"/>
              </w:rPr>
              <w:t>生</w:t>
            </w:r>
            <w:r>
              <w:rPr>
                <w:spacing w:val="-49"/>
                <w:sz w:val="24"/>
                <w:szCs w:val="24"/>
              </w:rPr>
              <w:t xml:space="preserve"> </w:t>
            </w:r>
            <w:r>
              <w:rPr>
                <w:sz w:val="24"/>
                <w:szCs w:val="24"/>
              </w:rPr>
              <w:t>态</w:t>
            </w:r>
            <w:r>
              <w:rPr>
                <w:spacing w:val="-48"/>
                <w:sz w:val="24"/>
                <w:szCs w:val="24"/>
              </w:rPr>
              <w:t xml:space="preserve"> </w:t>
            </w:r>
            <w:r>
              <w:rPr>
                <w:sz w:val="24"/>
                <w:szCs w:val="24"/>
              </w:rPr>
              <w:t>环</w:t>
            </w:r>
            <w:r>
              <w:rPr>
                <w:spacing w:val="-51"/>
                <w:sz w:val="24"/>
                <w:szCs w:val="24"/>
              </w:rPr>
              <w:t xml:space="preserve"> </w:t>
            </w:r>
            <w:r>
              <w:rPr>
                <w:sz w:val="24"/>
                <w:szCs w:val="24"/>
              </w:rPr>
              <w:t>境</w:t>
            </w:r>
            <w:r>
              <w:rPr>
                <w:spacing w:val="-48"/>
                <w:sz w:val="24"/>
                <w:szCs w:val="24"/>
              </w:rPr>
              <w:t xml:space="preserve"> </w:t>
            </w:r>
            <w:r>
              <w:rPr>
                <w:sz w:val="24"/>
                <w:szCs w:val="24"/>
              </w:rPr>
              <w:t>现</w:t>
            </w:r>
            <w:r>
              <w:rPr>
                <w:spacing w:val="-48"/>
                <w:sz w:val="24"/>
                <w:szCs w:val="24"/>
              </w:rPr>
              <w:t xml:space="preserve"> </w:t>
            </w:r>
            <w:r>
              <w:rPr>
                <w:sz w:val="24"/>
                <w:szCs w:val="24"/>
              </w:rPr>
              <w:t>状</w:t>
            </w:r>
          </w:p>
        </w:tc>
        <w:tc>
          <w:tcPr>
            <w:tcW w:w="13758" w:type="dxa"/>
            <w:tcBorders>
              <w:left w:val="single" w:color="000000" w:sz="8" w:space="0"/>
            </w:tcBorders>
            <w:vAlign w:val="top"/>
          </w:tcPr>
          <w:p>
            <w:pPr>
              <w:pStyle w:val="6"/>
              <w:spacing w:before="182" w:line="218" w:lineRule="auto"/>
              <w:ind w:left="4182"/>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3.3-10      </w:t>
            </w:r>
            <w:r>
              <w:rPr>
                <w:sz w:val="24"/>
                <w:szCs w:val="24"/>
                <w14:textOutline w14:w="4354" w14:cap="flat" w14:cmpd="sng">
                  <w14:solidFill>
                    <w14:srgbClr w14:val="000000"/>
                  </w14:solidFill>
                  <w14:prstDash w14:val="solid"/>
                  <w14:miter w14:val="10"/>
                </w14:textOutline>
              </w:rPr>
              <w:t>地下水环境现状监测及评价结果统计表</w:t>
            </w:r>
          </w:p>
          <w:p>
            <w:pPr>
              <w:spacing w:line="18" w:lineRule="exact"/>
            </w:pPr>
          </w:p>
          <w:tbl>
            <w:tblPr>
              <w:tblStyle w:val="5"/>
              <w:tblW w:w="1361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2"/>
              <w:gridCol w:w="1788"/>
              <w:gridCol w:w="1111"/>
              <w:gridCol w:w="1108"/>
              <w:gridCol w:w="1109"/>
              <w:gridCol w:w="1108"/>
              <w:gridCol w:w="1108"/>
              <w:gridCol w:w="1119"/>
              <w:gridCol w:w="1108"/>
              <w:gridCol w:w="1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942" w:type="dxa"/>
                  <w:vMerge w:val="restart"/>
                  <w:tcBorders>
                    <w:bottom w:val="nil"/>
                  </w:tcBorders>
                  <w:vAlign w:val="top"/>
                </w:tcPr>
                <w:p>
                  <w:pPr>
                    <w:pStyle w:val="6"/>
                    <w:spacing w:before="187" w:line="221" w:lineRule="auto"/>
                    <w:ind w:left="1057"/>
                    <w:rPr>
                      <w:sz w:val="21"/>
                      <w:szCs w:val="21"/>
                    </w:rPr>
                  </w:pPr>
                  <w:r>
                    <w:rPr>
                      <w:spacing w:val="-2"/>
                      <w:sz w:val="21"/>
                      <w:szCs w:val="21"/>
                    </w:rPr>
                    <w:t>检测项目</w:t>
                  </w:r>
                </w:p>
              </w:tc>
              <w:tc>
                <w:tcPr>
                  <w:tcW w:w="1788" w:type="dxa"/>
                  <w:vMerge w:val="restart"/>
                  <w:tcBorders>
                    <w:bottom w:val="nil"/>
                  </w:tcBorders>
                  <w:vAlign w:val="top"/>
                </w:tcPr>
                <w:p>
                  <w:pPr>
                    <w:pStyle w:val="6"/>
                    <w:spacing w:before="188" w:line="221" w:lineRule="auto"/>
                    <w:ind w:left="692"/>
                    <w:rPr>
                      <w:sz w:val="21"/>
                      <w:szCs w:val="21"/>
                    </w:rPr>
                  </w:pPr>
                  <w:r>
                    <w:rPr>
                      <w:spacing w:val="-2"/>
                      <w:sz w:val="21"/>
                      <w:szCs w:val="21"/>
                    </w:rPr>
                    <w:t>单位</w:t>
                  </w:r>
                </w:p>
              </w:tc>
              <w:tc>
                <w:tcPr>
                  <w:tcW w:w="5544" w:type="dxa"/>
                  <w:gridSpan w:val="5"/>
                  <w:vAlign w:val="top"/>
                </w:tcPr>
                <w:p>
                  <w:pPr>
                    <w:pStyle w:val="6"/>
                    <w:spacing w:before="41" w:line="214" w:lineRule="auto"/>
                    <w:ind w:left="2359"/>
                    <w:rPr>
                      <w:sz w:val="21"/>
                      <w:szCs w:val="21"/>
                    </w:rPr>
                  </w:pPr>
                  <w:r>
                    <w:rPr>
                      <w:spacing w:val="-2"/>
                      <w:sz w:val="21"/>
                      <w:szCs w:val="21"/>
                    </w:rPr>
                    <w:t>检测结果</w:t>
                  </w:r>
                </w:p>
              </w:tc>
              <w:tc>
                <w:tcPr>
                  <w:tcW w:w="1119" w:type="dxa"/>
                  <w:vMerge w:val="restart"/>
                  <w:tcBorders>
                    <w:bottom w:val="nil"/>
                  </w:tcBorders>
                  <w:vAlign w:val="top"/>
                </w:tcPr>
                <w:p>
                  <w:pPr>
                    <w:pStyle w:val="6"/>
                    <w:spacing w:before="50" w:line="231" w:lineRule="auto"/>
                    <w:ind w:left="458" w:right="140" w:hanging="312"/>
                    <w:rPr>
                      <w:sz w:val="21"/>
                      <w:szCs w:val="21"/>
                    </w:rPr>
                  </w:pPr>
                  <w:r>
                    <w:rPr>
                      <w:rFonts w:ascii="Times New Roman" w:hAnsi="Times New Roman" w:eastAsia="Times New Roman" w:cs="Times New Roman"/>
                      <w:spacing w:val="-1"/>
                      <w:sz w:val="21"/>
                      <w:szCs w:val="21"/>
                    </w:rPr>
                    <w:t>Ⅲ</w:t>
                  </w:r>
                  <w:r>
                    <w:rPr>
                      <w:spacing w:val="-1"/>
                      <w:sz w:val="21"/>
                      <w:szCs w:val="21"/>
                    </w:rPr>
                    <w:t>类标准</w:t>
                  </w:r>
                  <w:r>
                    <w:rPr>
                      <w:sz w:val="21"/>
                      <w:szCs w:val="21"/>
                    </w:rPr>
                    <w:t xml:space="preserve"> 值</w:t>
                  </w:r>
                </w:p>
              </w:tc>
              <w:tc>
                <w:tcPr>
                  <w:tcW w:w="1108" w:type="dxa"/>
                  <w:vMerge w:val="restart"/>
                  <w:tcBorders>
                    <w:bottom w:val="nil"/>
                  </w:tcBorders>
                  <w:vAlign w:val="top"/>
                </w:tcPr>
                <w:p>
                  <w:pPr>
                    <w:pStyle w:val="6"/>
                    <w:spacing w:before="50" w:line="231" w:lineRule="auto"/>
                    <w:ind w:left="247" w:right="126" w:hanging="103"/>
                    <w:rPr>
                      <w:sz w:val="21"/>
                      <w:szCs w:val="21"/>
                    </w:rPr>
                  </w:pPr>
                  <w:r>
                    <w:rPr>
                      <w:spacing w:val="-3"/>
                      <w:sz w:val="21"/>
                      <w:szCs w:val="21"/>
                    </w:rPr>
                    <w:t>最大标准</w:t>
                  </w:r>
                  <w:r>
                    <w:rPr>
                      <w:spacing w:val="2"/>
                      <w:sz w:val="21"/>
                      <w:szCs w:val="21"/>
                    </w:rPr>
                    <w:t xml:space="preserve"> </w:t>
                  </w:r>
                  <w:r>
                    <w:rPr>
                      <w:spacing w:val="-2"/>
                      <w:sz w:val="21"/>
                      <w:szCs w:val="21"/>
                    </w:rPr>
                    <w:t>指数值</w:t>
                  </w:r>
                </w:p>
              </w:tc>
              <w:tc>
                <w:tcPr>
                  <w:tcW w:w="1113" w:type="dxa"/>
                  <w:vMerge w:val="restart"/>
                  <w:tcBorders>
                    <w:bottom w:val="nil"/>
                  </w:tcBorders>
                  <w:vAlign w:val="top"/>
                </w:tcPr>
                <w:p>
                  <w:pPr>
                    <w:pStyle w:val="6"/>
                    <w:spacing w:before="188" w:line="234" w:lineRule="auto"/>
                    <w:ind w:left="158"/>
                    <w:rPr>
                      <w:rFonts w:ascii="Times New Roman" w:hAnsi="Times New Roman" w:eastAsia="Times New Roman" w:cs="Times New Roman"/>
                      <w:sz w:val="21"/>
                      <w:szCs w:val="21"/>
                    </w:rPr>
                  </w:pPr>
                  <w:r>
                    <w:rPr>
                      <w:spacing w:val="-1"/>
                      <w:sz w:val="21"/>
                      <w:szCs w:val="21"/>
                    </w:rPr>
                    <w:t>超标率</w:t>
                  </w:r>
                  <w:r>
                    <w:rPr>
                      <w:rFonts w:ascii="Times New Roman" w:hAnsi="Times New Roman" w:eastAsia="Times New Roman" w:cs="Times New Roman"/>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Merge w:val="continue"/>
                  <w:tcBorders>
                    <w:top w:val="nil"/>
                  </w:tcBorders>
                  <w:vAlign w:val="top"/>
                </w:tcPr>
                <w:p>
                  <w:pPr>
                    <w:rPr>
                      <w:rFonts w:ascii="Arial"/>
                      <w:sz w:val="21"/>
                    </w:rPr>
                  </w:pPr>
                </w:p>
              </w:tc>
              <w:tc>
                <w:tcPr>
                  <w:tcW w:w="1788" w:type="dxa"/>
                  <w:vMerge w:val="continue"/>
                  <w:tcBorders>
                    <w:top w:val="nil"/>
                  </w:tcBorders>
                  <w:vAlign w:val="top"/>
                </w:tcPr>
                <w:p>
                  <w:pPr>
                    <w:rPr>
                      <w:rFonts w:ascii="Arial"/>
                      <w:sz w:val="21"/>
                    </w:rPr>
                  </w:pPr>
                </w:p>
              </w:tc>
              <w:tc>
                <w:tcPr>
                  <w:tcW w:w="1111" w:type="dxa"/>
                  <w:vAlign w:val="top"/>
                </w:tcPr>
                <w:p>
                  <w:pPr>
                    <w:spacing w:before="72" w:line="187"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WX1</w:t>
                  </w:r>
                </w:p>
              </w:tc>
              <w:tc>
                <w:tcPr>
                  <w:tcW w:w="1108" w:type="dxa"/>
                  <w:vAlign w:val="top"/>
                </w:tcPr>
                <w:p>
                  <w:pPr>
                    <w:spacing w:before="7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WX2</w:t>
                  </w:r>
                </w:p>
              </w:tc>
              <w:tc>
                <w:tcPr>
                  <w:tcW w:w="1109" w:type="dxa"/>
                  <w:vAlign w:val="top"/>
                </w:tcPr>
                <w:p>
                  <w:pPr>
                    <w:spacing w:before="7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WX3</w:t>
                  </w:r>
                </w:p>
              </w:tc>
              <w:tc>
                <w:tcPr>
                  <w:tcW w:w="1108" w:type="dxa"/>
                  <w:vAlign w:val="top"/>
                </w:tcPr>
                <w:p>
                  <w:pPr>
                    <w:spacing w:before="7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WX4</w:t>
                  </w:r>
                </w:p>
              </w:tc>
              <w:tc>
                <w:tcPr>
                  <w:tcW w:w="1108" w:type="dxa"/>
                  <w:vAlign w:val="top"/>
                </w:tcPr>
                <w:p>
                  <w:pPr>
                    <w:spacing w:before="75" w:line="184"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WX5</w:t>
                  </w:r>
                </w:p>
              </w:tc>
              <w:tc>
                <w:tcPr>
                  <w:tcW w:w="1119" w:type="dxa"/>
                  <w:vMerge w:val="continue"/>
                  <w:tcBorders>
                    <w:top w:val="nil"/>
                  </w:tcBorders>
                  <w:vAlign w:val="top"/>
                </w:tcPr>
                <w:p>
                  <w:pPr>
                    <w:rPr>
                      <w:rFonts w:ascii="Arial"/>
                      <w:sz w:val="21"/>
                    </w:rPr>
                  </w:pPr>
                </w:p>
              </w:tc>
              <w:tc>
                <w:tcPr>
                  <w:tcW w:w="1108" w:type="dxa"/>
                  <w:vMerge w:val="continue"/>
                  <w:tcBorders>
                    <w:top w:val="nil"/>
                  </w:tcBorders>
                  <w:vAlign w:val="top"/>
                </w:tcPr>
                <w:p>
                  <w:pPr>
                    <w:rPr>
                      <w:rFonts w:ascii="Arial"/>
                      <w:sz w:val="21"/>
                    </w:rPr>
                  </w:pPr>
                </w:p>
              </w:tc>
              <w:tc>
                <w:tcPr>
                  <w:tcW w:w="11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209"/>
                    <w:rPr>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7"/>
                      <w:sz w:val="21"/>
                      <w:szCs w:val="21"/>
                    </w:rPr>
                    <w:t xml:space="preserve"> </w:t>
                  </w:r>
                  <w:r>
                    <w:rPr>
                      <w:spacing w:val="1"/>
                      <w:sz w:val="21"/>
                      <w:szCs w:val="21"/>
                    </w:rPr>
                    <w:t>值</w:t>
                  </w:r>
                </w:p>
              </w:tc>
              <w:tc>
                <w:tcPr>
                  <w:tcW w:w="1788" w:type="dxa"/>
                  <w:vAlign w:val="top"/>
                </w:tcPr>
                <w:p>
                  <w:pPr>
                    <w:pStyle w:val="6"/>
                    <w:spacing w:before="36" w:line="214" w:lineRule="auto"/>
                    <w:ind w:left="586"/>
                    <w:rPr>
                      <w:sz w:val="21"/>
                      <w:szCs w:val="21"/>
                    </w:rPr>
                  </w:pPr>
                  <w:r>
                    <w:rPr>
                      <w:spacing w:val="-2"/>
                      <w:sz w:val="21"/>
                      <w:szCs w:val="21"/>
                    </w:rPr>
                    <w:t>无量纲</w:t>
                  </w:r>
                </w:p>
              </w:tc>
              <w:tc>
                <w:tcPr>
                  <w:tcW w:w="1111" w:type="dxa"/>
                  <w:vAlign w:val="top"/>
                </w:tcPr>
                <w:p>
                  <w:pPr>
                    <w:spacing w:before="78" w:line="184" w:lineRule="auto"/>
                    <w:ind w:left="50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08" w:type="dxa"/>
                  <w:vAlign w:val="top"/>
                </w:tcPr>
                <w:p>
                  <w:pPr>
                    <w:spacing w:before="75"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1109" w:type="dxa"/>
                  <w:vAlign w:val="top"/>
                </w:tcPr>
                <w:p>
                  <w:pPr>
                    <w:spacing w:before="78" w:line="184" w:lineRule="auto"/>
                    <w:ind w:left="50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08" w:type="dxa"/>
                  <w:vAlign w:val="top"/>
                </w:tcPr>
                <w:p>
                  <w:pPr>
                    <w:spacing w:before="75" w:line="187"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1108" w:type="dxa"/>
                  <w:vAlign w:val="top"/>
                </w:tcPr>
                <w:p>
                  <w:pPr>
                    <w:spacing w:before="75" w:line="187"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1119" w:type="dxa"/>
                  <w:vAlign w:val="top"/>
                </w:tcPr>
                <w:p>
                  <w:pPr>
                    <w:spacing w:before="7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6.5-8.5</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0.200</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369"/>
                    <w:rPr>
                      <w:sz w:val="21"/>
                      <w:szCs w:val="21"/>
                    </w:rPr>
                  </w:pPr>
                  <w:r>
                    <w:rPr>
                      <w:sz w:val="21"/>
                      <w:szCs w:val="21"/>
                    </w:rPr>
                    <w:t>镉</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5" w:line="184" w:lineRule="auto"/>
                    <w:ind w:left="51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08"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370"/>
                    <w:rPr>
                      <w:sz w:val="21"/>
                      <w:szCs w:val="21"/>
                    </w:rPr>
                  </w:pPr>
                  <w:r>
                    <w:rPr>
                      <w:sz w:val="21"/>
                      <w:szCs w:val="21"/>
                    </w:rPr>
                    <w:t>铁</w:t>
                  </w:r>
                </w:p>
              </w:tc>
              <w:tc>
                <w:tcPr>
                  <w:tcW w:w="1788" w:type="dxa"/>
                  <w:vAlign w:val="top"/>
                </w:tcPr>
                <w:p>
                  <w:pPr>
                    <w:spacing w:before="71"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0.042</w:t>
                  </w:r>
                </w:p>
              </w:tc>
              <w:tc>
                <w:tcPr>
                  <w:tcW w:w="1108" w:type="dxa"/>
                  <w:vAlign w:val="top"/>
                </w:tcPr>
                <w:p>
                  <w:pPr>
                    <w:spacing w:before="75"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0.046</w:t>
                  </w:r>
                </w:p>
              </w:tc>
              <w:tc>
                <w:tcPr>
                  <w:tcW w:w="1109" w:type="dxa"/>
                  <w:vAlign w:val="top"/>
                </w:tcPr>
                <w:p>
                  <w:pPr>
                    <w:spacing w:before="75"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0.011</w:t>
                  </w:r>
                </w:p>
              </w:tc>
              <w:tc>
                <w:tcPr>
                  <w:tcW w:w="1108" w:type="dxa"/>
                  <w:vAlign w:val="top"/>
                </w:tcPr>
                <w:p>
                  <w:pPr>
                    <w:spacing w:before="75"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0.032</w:t>
                  </w:r>
                </w:p>
              </w:tc>
              <w:tc>
                <w:tcPr>
                  <w:tcW w:w="1108" w:type="dxa"/>
                  <w:vAlign w:val="top"/>
                </w:tcPr>
                <w:p>
                  <w:pPr>
                    <w:spacing w:before="75"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0.025</w:t>
                  </w:r>
                </w:p>
              </w:tc>
              <w:tc>
                <w:tcPr>
                  <w:tcW w:w="1119" w:type="dxa"/>
                  <w:vAlign w:val="top"/>
                </w:tcPr>
                <w:p>
                  <w:pPr>
                    <w:spacing w:before="75" w:line="187"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0.153</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371"/>
                    <w:rPr>
                      <w:sz w:val="21"/>
                      <w:szCs w:val="21"/>
                    </w:rPr>
                  </w:pPr>
                  <w:r>
                    <w:rPr>
                      <w:sz w:val="21"/>
                      <w:szCs w:val="21"/>
                    </w:rPr>
                    <w:t>锰</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1108" w:type="dxa"/>
                  <w:vAlign w:val="top"/>
                </w:tcPr>
                <w:p>
                  <w:pPr>
                    <w:spacing w:before="72"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0.012</w:t>
                  </w:r>
                </w:p>
              </w:tc>
              <w:tc>
                <w:tcPr>
                  <w:tcW w:w="1109" w:type="dxa"/>
                  <w:vAlign w:val="top"/>
                </w:tcPr>
                <w:p>
                  <w:pPr>
                    <w:spacing w:before="72"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1108" w:type="dxa"/>
                  <w:vAlign w:val="top"/>
                </w:tcPr>
                <w:p>
                  <w:pPr>
                    <w:spacing w:before="72"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1108" w:type="dxa"/>
                  <w:vAlign w:val="top"/>
                </w:tcPr>
                <w:p>
                  <w:pPr>
                    <w:spacing w:before="72"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0.018</w:t>
                  </w:r>
                </w:p>
              </w:tc>
              <w:tc>
                <w:tcPr>
                  <w:tcW w:w="1119" w:type="dxa"/>
                  <w:vAlign w:val="top"/>
                </w:tcPr>
                <w:p>
                  <w:pPr>
                    <w:spacing w:before="72" w:line="187"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108"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0.180</w:t>
                  </w:r>
                </w:p>
              </w:tc>
              <w:tc>
                <w:tcPr>
                  <w:tcW w:w="1113" w:type="dxa"/>
                  <w:vAlign w:val="top"/>
                </w:tcPr>
                <w:p>
                  <w:pPr>
                    <w:spacing w:before="7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371"/>
                    <w:rPr>
                      <w:sz w:val="21"/>
                      <w:szCs w:val="21"/>
                    </w:rPr>
                  </w:pPr>
                  <w:r>
                    <w:rPr>
                      <w:sz w:val="21"/>
                      <w:szCs w:val="21"/>
                    </w:rPr>
                    <w:t>铅</w:t>
                  </w:r>
                </w:p>
              </w:tc>
              <w:tc>
                <w:tcPr>
                  <w:tcW w:w="1788" w:type="dxa"/>
                  <w:vAlign w:val="top"/>
                </w:tcPr>
                <w:p>
                  <w:pPr>
                    <w:spacing w:before="71"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8"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8"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8"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8"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8"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5" w:line="187"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266"/>
                    <w:rPr>
                      <w:sz w:val="21"/>
                      <w:szCs w:val="21"/>
                    </w:rPr>
                  </w:pPr>
                  <w:r>
                    <w:rPr>
                      <w:spacing w:val="-2"/>
                      <w:sz w:val="21"/>
                      <w:szCs w:val="21"/>
                    </w:rPr>
                    <w:t>氨氮</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3"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w:t>
                  </w:r>
                </w:p>
              </w:tc>
              <w:tc>
                <w:tcPr>
                  <w:tcW w:w="1108" w:type="dxa"/>
                  <w:vAlign w:val="top"/>
                </w:tcPr>
                <w:p>
                  <w:pPr>
                    <w:spacing w:before="73"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0.35</w:t>
                  </w:r>
                </w:p>
              </w:tc>
              <w:tc>
                <w:tcPr>
                  <w:tcW w:w="1109" w:type="dxa"/>
                  <w:vAlign w:val="top"/>
                </w:tcPr>
                <w:p>
                  <w:pPr>
                    <w:spacing w:before="73"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0.399</w:t>
                  </w:r>
                </w:p>
              </w:tc>
              <w:tc>
                <w:tcPr>
                  <w:tcW w:w="1108" w:type="dxa"/>
                  <w:vAlign w:val="top"/>
                </w:tcPr>
                <w:p>
                  <w:pPr>
                    <w:spacing w:before="73"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0.409</w:t>
                  </w:r>
                </w:p>
              </w:tc>
              <w:tc>
                <w:tcPr>
                  <w:tcW w:w="1108" w:type="dxa"/>
                  <w:vAlign w:val="top"/>
                </w:tcPr>
                <w:p>
                  <w:pPr>
                    <w:spacing w:before="73"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w:t>
                  </w:r>
                </w:p>
              </w:tc>
              <w:tc>
                <w:tcPr>
                  <w:tcW w:w="1119" w:type="dxa"/>
                  <w:vAlign w:val="top"/>
                </w:tcPr>
                <w:p>
                  <w:pPr>
                    <w:spacing w:before="73" w:line="187"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108" w:type="dxa"/>
                  <w:vAlign w:val="top"/>
                </w:tcPr>
                <w:p>
                  <w:pPr>
                    <w:spacing w:before="7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0.840</w:t>
                  </w:r>
                </w:p>
              </w:tc>
              <w:tc>
                <w:tcPr>
                  <w:tcW w:w="1113" w:type="dxa"/>
                  <w:vAlign w:val="top"/>
                </w:tcPr>
                <w:p>
                  <w:pPr>
                    <w:spacing w:before="73"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7" w:line="213" w:lineRule="auto"/>
                    <w:ind w:left="614"/>
                    <w:rPr>
                      <w:sz w:val="21"/>
                      <w:szCs w:val="21"/>
                    </w:rPr>
                  </w:pPr>
                  <w:r>
                    <w:rPr>
                      <w:spacing w:val="-1"/>
                      <w:sz w:val="21"/>
                      <w:szCs w:val="21"/>
                    </w:rPr>
                    <w:t>硝酸盐（以</w:t>
                  </w:r>
                  <w:r>
                    <w:rPr>
                      <w:spacing w:val="-57"/>
                      <w:sz w:val="21"/>
                      <w:szCs w:val="21"/>
                    </w:rPr>
                    <w:t xml:space="preserve"> </w:t>
                  </w:r>
                  <w:r>
                    <w:rPr>
                      <w:rFonts w:ascii="Times New Roman" w:hAnsi="Times New Roman" w:eastAsia="Times New Roman" w:cs="Times New Roman"/>
                      <w:spacing w:val="-1"/>
                      <w:sz w:val="21"/>
                      <w:szCs w:val="21"/>
                    </w:rPr>
                    <w:t xml:space="preserve">N </w:t>
                  </w:r>
                  <w:r>
                    <w:rPr>
                      <w:spacing w:val="-1"/>
                      <w:sz w:val="21"/>
                      <w:szCs w:val="21"/>
                    </w:rPr>
                    <w:t>计）</w:t>
                  </w:r>
                </w:p>
              </w:tc>
              <w:tc>
                <w:tcPr>
                  <w:tcW w:w="1788" w:type="dxa"/>
                  <w:vAlign w:val="top"/>
                </w:tcPr>
                <w:p>
                  <w:pPr>
                    <w:spacing w:before="72"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w:t>
                  </w:r>
                </w:p>
              </w:tc>
              <w:tc>
                <w:tcPr>
                  <w:tcW w:w="1108" w:type="dxa"/>
                  <w:vAlign w:val="top"/>
                </w:tcPr>
                <w:p>
                  <w:pPr>
                    <w:spacing w:before="75"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0.57</w:t>
                  </w:r>
                </w:p>
              </w:tc>
              <w:tc>
                <w:tcPr>
                  <w:tcW w:w="1109" w:type="dxa"/>
                  <w:vAlign w:val="top"/>
                </w:tcPr>
                <w:p>
                  <w:pPr>
                    <w:spacing w:before="75"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w:t>
                  </w:r>
                </w:p>
              </w:tc>
              <w:tc>
                <w:tcPr>
                  <w:tcW w:w="1108" w:type="dxa"/>
                  <w:vAlign w:val="top"/>
                </w:tcPr>
                <w:p>
                  <w:pPr>
                    <w:spacing w:before="75"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w:t>
                  </w:r>
                </w:p>
              </w:tc>
              <w:tc>
                <w:tcPr>
                  <w:tcW w:w="1108" w:type="dxa"/>
                  <w:vAlign w:val="top"/>
                </w:tcPr>
                <w:p>
                  <w:pPr>
                    <w:spacing w:before="75"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w:t>
                  </w:r>
                </w:p>
              </w:tc>
              <w:tc>
                <w:tcPr>
                  <w:tcW w:w="1119" w:type="dxa"/>
                  <w:vAlign w:val="top"/>
                </w:tcPr>
                <w:p>
                  <w:pPr>
                    <w:spacing w:before="75" w:line="187" w:lineRule="auto"/>
                    <w:ind w:left="4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509"/>
                    <w:rPr>
                      <w:sz w:val="21"/>
                      <w:szCs w:val="21"/>
                    </w:rPr>
                  </w:pPr>
                  <w:r>
                    <w:rPr>
                      <w:spacing w:val="-1"/>
                      <w:sz w:val="21"/>
                      <w:szCs w:val="21"/>
                    </w:rPr>
                    <w:t>亚硝酸盐（以</w:t>
                  </w:r>
                  <w:r>
                    <w:rPr>
                      <w:spacing w:val="-56"/>
                      <w:sz w:val="21"/>
                      <w:szCs w:val="21"/>
                    </w:rPr>
                    <w:t xml:space="preserve"> </w:t>
                  </w:r>
                  <w:r>
                    <w:rPr>
                      <w:rFonts w:ascii="Times New Roman" w:hAnsi="Times New Roman" w:eastAsia="Times New Roman" w:cs="Times New Roman"/>
                      <w:spacing w:val="-1"/>
                      <w:sz w:val="21"/>
                      <w:szCs w:val="21"/>
                    </w:rPr>
                    <w:t xml:space="preserve">N </w:t>
                  </w:r>
                  <w:r>
                    <w:rPr>
                      <w:spacing w:val="-1"/>
                      <w:sz w:val="21"/>
                      <w:szCs w:val="21"/>
                    </w:rPr>
                    <w:t>计）</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3" w:line="187" w:lineRule="auto"/>
                    <w:ind w:left="5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8" w:type="dxa"/>
                  <w:vAlign w:val="top"/>
                </w:tcPr>
                <w:p>
                  <w:pPr>
                    <w:spacing w:before="7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3"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7" w:line="213" w:lineRule="auto"/>
                    <w:ind w:left="278"/>
                    <w:rPr>
                      <w:sz w:val="21"/>
                      <w:szCs w:val="21"/>
                    </w:rPr>
                  </w:pPr>
                  <w:r>
                    <w:rPr>
                      <w:spacing w:val="-2"/>
                      <w:sz w:val="21"/>
                      <w:szCs w:val="21"/>
                    </w:rPr>
                    <w:t>高锰酸盐指数（以</w:t>
                  </w:r>
                  <w:r>
                    <w:rPr>
                      <w:spacing w:val="-47"/>
                      <w:sz w:val="21"/>
                      <w:szCs w:val="21"/>
                    </w:rPr>
                    <w:t xml:space="preserve"> </w:t>
                  </w:r>
                  <w:r>
                    <w:rPr>
                      <w:rFonts w:ascii="Times New Roman" w:hAnsi="Times New Roman" w:eastAsia="Times New Roman" w:cs="Times New Roman"/>
                      <w:spacing w:val="-2"/>
                      <w:sz w:val="21"/>
                      <w:szCs w:val="21"/>
                    </w:rPr>
                    <w:t>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9"/>
                      <w:w w:val="101"/>
                      <w:position w:val="-1"/>
                      <w:sz w:val="13"/>
                      <w:szCs w:val="13"/>
                    </w:rPr>
                    <w:t xml:space="preserve"> </w:t>
                  </w:r>
                  <w:r>
                    <w:rPr>
                      <w:spacing w:val="-2"/>
                      <w:sz w:val="21"/>
                      <w:szCs w:val="21"/>
                    </w:rPr>
                    <w:t>计）</w:t>
                  </w:r>
                </w:p>
              </w:tc>
              <w:tc>
                <w:tcPr>
                  <w:tcW w:w="1788" w:type="dxa"/>
                  <w:vAlign w:val="top"/>
                </w:tcPr>
                <w:p>
                  <w:pPr>
                    <w:spacing w:before="72"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0.63</w:t>
                  </w:r>
                </w:p>
              </w:tc>
              <w:tc>
                <w:tcPr>
                  <w:tcW w:w="1108" w:type="dxa"/>
                  <w:vAlign w:val="top"/>
                </w:tcPr>
                <w:p>
                  <w:pPr>
                    <w:spacing w:before="75"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w:t>
                  </w:r>
                </w:p>
              </w:tc>
              <w:tc>
                <w:tcPr>
                  <w:tcW w:w="1109" w:type="dxa"/>
                  <w:vAlign w:val="top"/>
                </w:tcPr>
                <w:p>
                  <w:pPr>
                    <w:spacing w:before="75"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0.74</w:t>
                  </w:r>
                </w:p>
              </w:tc>
              <w:tc>
                <w:tcPr>
                  <w:tcW w:w="1108" w:type="dxa"/>
                  <w:vAlign w:val="top"/>
                </w:tcPr>
                <w:p>
                  <w:pPr>
                    <w:spacing w:before="75"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0.85</w:t>
                  </w:r>
                </w:p>
              </w:tc>
              <w:tc>
                <w:tcPr>
                  <w:tcW w:w="1108" w:type="dxa"/>
                  <w:vAlign w:val="top"/>
                </w:tcPr>
                <w:p>
                  <w:pPr>
                    <w:spacing w:before="75"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w:t>
                  </w:r>
                </w:p>
              </w:tc>
              <w:tc>
                <w:tcPr>
                  <w:tcW w:w="1119" w:type="dxa"/>
                  <w:vAlign w:val="top"/>
                </w:tcPr>
                <w:p>
                  <w:pPr>
                    <w:spacing w:before="75" w:line="187" w:lineRule="auto"/>
                    <w:ind w:left="51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0.283</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159"/>
                    <w:rPr>
                      <w:sz w:val="21"/>
                      <w:szCs w:val="21"/>
                    </w:rPr>
                  </w:pPr>
                  <w:r>
                    <w:rPr>
                      <w:spacing w:val="-1"/>
                      <w:sz w:val="21"/>
                      <w:szCs w:val="21"/>
                    </w:rPr>
                    <w:t>挥发酚</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3"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c>
                <w:tcPr>
                  <w:tcW w:w="1108" w:type="dxa"/>
                  <w:vAlign w:val="top"/>
                </w:tcPr>
                <w:p>
                  <w:pPr>
                    <w:spacing w:before="7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3"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7" w:line="213" w:lineRule="auto"/>
                    <w:ind w:left="848"/>
                    <w:rPr>
                      <w:sz w:val="21"/>
                      <w:szCs w:val="21"/>
                    </w:rPr>
                  </w:pPr>
                  <w:r>
                    <w:rPr>
                      <w:spacing w:val="-2"/>
                      <w:sz w:val="21"/>
                      <w:szCs w:val="21"/>
                    </w:rPr>
                    <w:t>溶解性总固体</w:t>
                  </w:r>
                </w:p>
              </w:tc>
              <w:tc>
                <w:tcPr>
                  <w:tcW w:w="1788" w:type="dxa"/>
                  <w:vAlign w:val="top"/>
                </w:tcPr>
                <w:p>
                  <w:pPr>
                    <w:spacing w:before="72"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228</w:t>
                  </w:r>
                </w:p>
              </w:tc>
              <w:tc>
                <w:tcPr>
                  <w:tcW w:w="1108" w:type="dxa"/>
                  <w:vAlign w:val="top"/>
                </w:tcPr>
                <w:p>
                  <w:pPr>
                    <w:spacing w:before="75"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w:t>
                  </w:r>
                </w:p>
              </w:tc>
              <w:tc>
                <w:tcPr>
                  <w:tcW w:w="1109" w:type="dxa"/>
                  <w:vAlign w:val="top"/>
                </w:tcPr>
                <w:p>
                  <w:pPr>
                    <w:spacing w:before="75"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206</w:t>
                  </w:r>
                </w:p>
              </w:tc>
              <w:tc>
                <w:tcPr>
                  <w:tcW w:w="1108" w:type="dxa"/>
                  <w:vAlign w:val="top"/>
                </w:tcPr>
                <w:p>
                  <w:pPr>
                    <w:spacing w:before="75"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w:t>
                  </w:r>
                </w:p>
              </w:tc>
              <w:tc>
                <w:tcPr>
                  <w:tcW w:w="1108" w:type="dxa"/>
                  <w:vAlign w:val="top"/>
                </w:tcPr>
                <w:p>
                  <w:pPr>
                    <w:spacing w:before="75"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245</w:t>
                  </w:r>
                </w:p>
              </w:tc>
              <w:tc>
                <w:tcPr>
                  <w:tcW w:w="1119" w:type="dxa"/>
                  <w:vAlign w:val="top"/>
                </w:tcPr>
                <w:p>
                  <w:pPr>
                    <w:spacing w:before="7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0.256</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950"/>
                    <w:rPr>
                      <w:sz w:val="21"/>
                      <w:szCs w:val="21"/>
                    </w:rPr>
                  </w:pPr>
                  <w:r>
                    <w:rPr>
                      <w:spacing w:val="-3"/>
                      <w:sz w:val="21"/>
                      <w:szCs w:val="21"/>
                    </w:rPr>
                    <w:t>铬（六价）</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1108" w:type="dxa"/>
                  <w:vAlign w:val="top"/>
                </w:tcPr>
                <w:p>
                  <w:pPr>
                    <w:spacing w:before="7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3"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7" w:line="213" w:lineRule="auto"/>
                    <w:ind w:left="1166"/>
                    <w:rPr>
                      <w:sz w:val="21"/>
                      <w:szCs w:val="21"/>
                    </w:rPr>
                  </w:pPr>
                  <w:r>
                    <w:rPr>
                      <w:spacing w:val="-3"/>
                      <w:sz w:val="21"/>
                      <w:szCs w:val="21"/>
                    </w:rPr>
                    <w:t>总硬度</w:t>
                  </w:r>
                </w:p>
              </w:tc>
              <w:tc>
                <w:tcPr>
                  <w:tcW w:w="1788" w:type="dxa"/>
                  <w:vAlign w:val="top"/>
                </w:tcPr>
                <w:p>
                  <w:pPr>
                    <w:spacing w:before="72"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186</w:t>
                  </w:r>
                </w:p>
              </w:tc>
              <w:tc>
                <w:tcPr>
                  <w:tcW w:w="1108" w:type="dxa"/>
                  <w:vAlign w:val="top"/>
                </w:tcPr>
                <w:p>
                  <w:pPr>
                    <w:spacing w:before="75"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194</w:t>
                  </w:r>
                </w:p>
              </w:tc>
              <w:tc>
                <w:tcPr>
                  <w:tcW w:w="1109" w:type="dxa"/>
                  <w:vAlign w:val="top"/>
                </w:tcPr>
                <w:p>
                  <w:pPr>
                    <w:spacing w:before="75"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189</w:t>
                  </w:r>
                </w:p>
              </w:tc>
              <w:tc>
                <w:tcPr>
                  <w:tcW w:w="1108" w:type="dxa"/>
                  <w:vAlign w:val="top"/>
                </w:tcPr>
                <w:p>
                  <w:pPr>
                    <w:spacing w:before="75"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183</w:t>
                  </w:r>
                </w:p>
              </w:tc>
              <w:tc>
                <w:tcPr>
                  <w:tcW w:w="1108" w:type="dxa"/>
                  <w:vAlign w:val="top"/>
                </w:tcPr>
                <w:p>
                  <w:pPr>
                    <w:spacing w:before="75"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192</w:t>
                  </w:r>
                </w:p>
              </w:tc>
              <w:tc>
                <w:tcPr>
                  <w:tcW w:w="1119" w:type="dxa"/>
                  <w:vAlign w:val="top"/>
                </w:tcPr>
                <w:p>
                  <w:pPr>
                    <w:spacing w:before="75"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0.431</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159"/>
                    <w:rPr>
                      <w:sz w:val="21"/>
                      <w:szCs w:val="21"/>
                    </w:rPr>
                  </w:pPr>
                  <w:r>
                    <w:rPr>
                      <w:spacing w:val="-1"/>
                      <w:sz w:val="21"/>
                      <w:szCs w:val="21"/>
                    </w:rPr>
                    <w:t>氰化物</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6"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1108" w:type="dxa"/>
                  <w:vAlign w:val="top"/>
                </w:tcPr>
                <w:p>
                  <w:pPr>
                    <w:spacing w:before="7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3"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2942" w:type="dxa"/>
                  <w:vAlign w:val="top"/>
                </w:tcPr>
                <w:p>
                  <w:pPr>
                    <w:pStyle w:val="6"/>
                    <w:spacing w:before="37" w:line="214" w:lineRule="auto"/>
                    <w:ind w:left="1161"/>
                    <w:rPr>
                      <w:sz w:val="21"/>
                      <w:szCs w:val="21"/>
                    </w:rPr>
                  </w:pPr>
                  <w:r>
                    <w:rPr>
                      <w:spacing w:val="-2"/>
                      <w:sz w:val="21"/>
                      <w:szCs w:val="21"/>
                    </w:rPr>
                    <w:t>氟化物</w:t>
                  </w:r>
                </w:p>
              </w:tc>
              <w:tc>
                <w:tcPr>
                  <w:tcW w:w="1788" w:type="dxa"/>
                  <w:vAlign w:val="top"/>
                </w:tcPr>
                <w:p>
                  <w:pPr>
                    <w:spacing w:before="72"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6"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w:t>
                  </w:r>
                </w:p>
              </w:tc>
              <w:tc>
                <w:tcPr>
                  <w:tcW w:w="1108" w:type="dxa"/>
                  <w:vAlign w:val="top"/>
                </w:tcPr>
                <w:p>
                  <w:pPr>
                    <w:spacing w:before="76"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0.27</w:t>
                  </w:r>
                </w:p>
              </w:tc>
              <w:tc>
                <w:tcPr>
                  <w:tcW w:w="1109" w:type="dxa"/>
                  <w:vAlign w:val="top"/>
                </w:tcPr>
                <w:p>
                  <w:pPr>
                    <w:spacing w:before="76"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w:t>
                  </w:r>
                </w:p>
              </w:tc>
              <w:tc>
                <w:tcPr>
                  <w:tcW w:w="1108" w:type="dxa"/>
                  <w:vAlign w:val="top"/>
                </w:tcPr>
                <w:p>
                  <w:pPr>
                    <w:spacing w:before="76"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w:t>
                  </w:r>
                </w:p>
              </w:tc>
              <w:tc>
                <w:tcPr>
                  <w:tcW w:w="1108" w:type="dxa"/>
                  <w:vAlign w:val="top"/>
                </w:tcPr>
                <w:p>
                  <w:pPr>
                    <w:spacing w:before="76"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w:t>
                  </w:r>
                </w:p>
              </w:tc>
              <w:tc>
                <w:tcPr>
                  <w:tcW w:w="1119" w:type="dxa"/>
                  <w:vAlign w:val="top"/>
                </w:tcPr>
                <w:p>
                  <w:pPr>
                    <w:spacing w:before="76" w:line="187" w:lineRule="auto"/>
                    <w:ind w:left="5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8" w:type="dxa"/>
                  <w:vAlign w:val="top"/>
                </w:tcPr>
                <w:p>
                  <w:pPr>
                    <w:spacing w:before="76"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0.370</w:t>
                  </w:r>
                </w:p>
              </w:tc>
              <w:tc>
                <w:tcPr>
                  <w:tcW w:w="1113" w:type="dxa"/>
                  <w:vAlign w:val="top"/>
                </w:tcPr>
                <w:p>
                  <w:pPr>
                    <w:spacing w:before="76"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159"/>
                    <w:rPr>
                      <w:sz w:val="21"/>
                      <w:szCs w:val="21"/>
                    </w:rPr>
                  </w:pPr>
                  <w:r>
                    <w:rPr>
                      <w:spacing w:val="-1"/>
                      <w:sz w:val="21"/>
                      <w:szCs w:val="21"/>
                    </w:rPr>
                    <w:t>硫化物</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w:t>
                  </w:r>
                </w:p>
              </w:tc>
              <w:tc>
                <w:tcPr>
                  <w:tcW w:w="1108"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163"/>
                    <w:rPr>
                      <w:sz w:val="21"/>
                      <w:szCs w:val="21"/>
                    </w:rPr>
                  </w:pPr>
                  <w:r>
                    <w:rPr>
                      <w:spacing w:val="-3"/>
                      <w:sz w:val="21"/>
                      <w:szCs w:val="21"/>
                    </w:rPr>
                    <w:t>氯化物</w:t>
                  </w:r>
                </w:p>
              </w:tc>
              <w:tc>
                <w:tcPr>
                  <w:tcW w:w="1788" w:type="dxa"/>
                  <w:vAlign w:val="top"/>
                </w:tcPr>
                <w:p>
                  <w:pPr>
                    <w:spacing w:before="71"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8"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8"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8"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8"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8"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5"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370"/>
                    <w:rPr>
                      <w:sz w:val="21"/>
                      <w:szCs w:val="21"/>
                    </w:rPr>
                  </w:pPr>
                  <w:r>
                    <w:rPr>
                      <w:sz w:val="21"/>
                      <w:szCs w:val="21"/>
                    </w:rPr>
                    <w:t>砷</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p>
              </w:tc>
              <w:tc>
                <w:tcPr>
                  <w:tcW w:w="1108"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372"/>
                    <w:rPr>
                      <w:sz w:val="21"/>
                      <w:szCs w:val="21"/>
                    </w:rPr>
                  </w:pPr>
                  <w:r>
                    <w:rPr>
                      <w:sz w:val="21"/>
                      <w:szCs w:val="21"/>
                    </w:rPr>
                    <w:t>汞</w:t>
                  </w:r>
                </w:p>
              </w:tc>
              <w:tc>
                <w:tcPr>
                  <w:tcW w:w="1788" w:type="dxa"/>
                  <w:vAlign w:val="top"/>
                </w:tcPr>
                <w:p>
                  <w:pPr>
                    <w:spacing w:before="71"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56" w:line="206" w:lineRule="auto"/>
                    <w:ind w:left="153"/>
                    <w:rPr>
                      <w:rFonts w:ascii="Times New Roman" w:hAnsi="Times New Roman" w:eastAsia="Times New Roman" w:cs="Times New Roman"/>
                      <w:sz w:val="13"/>
                      <w:szCs w:val="13"/>
                    </w:rPr>
                  </w:pPr>
                  <w:r>
                    <w:rPr>
                      <w:rFonts w:ascii="Times New Roman" w:hAnsi="Times New Roman" w:eastAsia="Times New Roman" w:cs="Times New Roman"/>
                      <w:sz w:val="21"/>
                      <w:szCs w:val="21"/>
                    </w:rPr>
                    <w:t>9.20×10</w:t>
                  </w:r>
                  <w:r>
                    <w:rPr>
                      <w:rFonts w:ascii="Times New Roman" w:hAnsi="Times New Roman" w:eastAsia="Times New Roman" w:cs="Times New Roman"/>
                      <w:position w:val="6"/>
                      <w:sz w:val="13"/>
                      <w:szCs w:val="13"/>
                    </w:rPr>
                    <w:t>-5</w:t>
                  </w:r>
                </w:p>
              </w:tc>
              <w:tc>
                <w:tcPr>
                  <w:tcW w:w="1108" w:type="dxa"/>
                  <w:vAlign w:val="top"/>
                </w:tcPr>
                <w:p>
                  <w:pPr>
                    <w:spacing w:before="54" w:line="208" w:lineRule="auto"/>
                    <w:ind w:left="16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1.07×10</w:t>
                  </w:r>
                  <w:r>
                    <w:rPr>
                      <w:rFonts w:ascii="Times New Roman" w:hAnsi="Times New Roman" w:eastAsia="Times New Roman" w:cs="Times New Roman"/>
                      <w:spacing w:val="-2"/>
                      <w:position w:val="6"/>
                      <w:sz w:val="13"/>
                      <w:szCs w:val="13"/>
                    </w:rPr>
                    <w:t>-4</w:t>
                  </w:r>
                </w:p>
              </w:tc>
              <w:tc>
                <w:tcPr>
                  <w:tcW w:w="1109" w:type="dxa"/>
                  <w:vAlign w:val="top"/>
                </w:tcPr>
                <w:p>
                  <w:pPr>
                    <w:spacing w:before="54" w:line="208" w:lineRule="auto"/>
                    <w:ind w:left="168"/>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1.20×10</w:t>
                  </w:r>
                  <w:r>
                    <w:rPr>
                      <w:rFonts w:ascii="Times New Roman" w:hAnsi="Times New Roman" w:eastAsia="Times New Roman" w:cs="Times New Roman"/>
                      <w:spacing w:val="-2"/>
                      <w:position w:val="6"/>
                      <w:sz w:val="13"/>
                      <w:szCs w:val="13"/>
                    </w:rPr>
                    <w:t>-4</w:t>
                  </w:r>
                </w:p>
              </w:tc>
              <w:tc>
                <w:tcPr>
                  <w:tcW w:w="1108" w:type="dxa"/>
                  <w:vAlign w:val="top"/>
                </w:tcPr>
                <w:p>
                  <w:pPr>
                    <w:spacing w:before="54" w:line="208" w:lineRule="auto"/>
                    <w:ind w:left="168"/>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1.19×10</w:t>
                  </w:r>
                  <w:r>
                    <w:rPr>
                      <w:rFonts w:ascii="Times New Roman" w:hAnsi="Times New Roman" w:eastAsia="Times New Roman" w:cs="Times New Roman"/>
                      <w:spacing w:val="-2"/>
                      <w:position w:val="6"/>
                      <w:sz w:val="13"/>
                      <w:szCs w:val="13"/>
                    </w:rPr>
                    <w:t>-4</w:t>
                  </w:r>
                </w:p>
              </w:tc>
              <w:tc>
                <w:tcPr>
                  <w:tcW w:w="1108" w:type="dxa"/>
                  <w:vAlign w:val="top"/>
                </w:tcPr>
                <w:p>
                  <w:pPr>
                    <w:spacing w:before="54" w:line="208" w:lineRule="auto"/>
                    <w:ind w:left="169"/>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1.37×10</w:t>
                  </w:r>
                  <w:r>
                    <w:rPr>
                      <w:rFonts w:ascii="Times New Roman" w:hAnsi="Times New Roman" w:eastAsia="Times New Roman" w:cs="Times New Roman"/>
                      <w:spacing w:val="-2"/>
                      <w:position w:val="6"/>
                      <w:sz w:val="13"/>
                      <w:szCs w:val="13"/>
                    </w:rPr>
                    <w:t>-4</w:t>
                  </w:r>
                </w:p>
              </w:tc>
              <w:tc>
                <w:tcPr>
                  <w:tcW w:w="1119" w:type="dxa"/>
                  <w:vAlign w:val="top"/>
                </w:tcPr>
                <w:p>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0.170</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1161"/>
                    <w:rPr>
                      <w:sz w:val="21"/>
                      <w:szCs w:val="21"/>
                    </w:rPr>
                  </w:pPr>
                  <w:r>
                    <w:rPr>
                      <w:spacing w:val="-2"/>
                      <w:sz w:val="21"/>
                      <w:szCs w:val="21"/>
                    </w:rPr>
                    <w:t>石油类</w:t>
                  </w:r>
                </w:p>
              </w:tc>
              <w:tc>
                <w:tcPr>
                  <w:tcW w:w="1788" w:type="dxa"/>
                  <w:vAlign w:val="top"/>
                </w:tcPr>
                <w:p>
                  <w:pPr>
                    <w:spacing w:before="69"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9"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08" w:type="dxa"/>
                  <w:vAlign w:val="top"/>
                </w:tcPr>
                <w:p>
                  <w:pPr>
                    <w:spacing w:before="75" w:line="184"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119" w:type="dxa"/>
                  <w:vAlign w:val="top"/>
                </w:tcPr>
                <w:p>
                  <w:pPr>
                    <w:spacing w:before="7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1108"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1113" w:type="dxa"/>
                  <w:vAlign w:val="top"/>
                </w:tcPr>
                <w:p>
                  <w:pPr>
                    <w:spacing w:before="7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159"/>
                    <w:rPr>
                      <w:sz w:val="21"/>
                      <w:szCs w:val="21"/>
                    </w:rPr>
                  </w:pPr>
                  <w:r>
                    <w:rPr>
                      <w:spacing w:val="-1"/>
                      <w:sz w:val="21"/>
                      <w:szCs w:val="21"/>
                    </w:rPr>
                    <w:t>硫酸盐</w:t>
                  </w:r>
                </w:p>
              </w:tc>
              <w:tc>
                <w:tcPr>
                  <w:tcW w:w="1788" w:type="dxa"/>
                  <w:vAlign w:val="top"/>
                </w:tcPr>
                <w:p>
                  <w:pPr>
                    <w:spacing w:before="71" w:line="191"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11" w:type="dxa"/>
                  <w:vAlign w:val="top"/>
                </w:tcPr>
                <w:p>
                  <w:pPr>
                    <w:spacing w:before="75"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108" w:type="dxa"/>
                  <w:vAlign w:val="top"/>
                </w:tcPr>
                <w:p>
                  <w:pPr>
                    <w:spacing w:before="75"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09" w:type="dxa"/>
                  <w:vAlign w:val="top"/>
                </w:tcPr>
                <w:p>
                  <w:pPr>
                    <w:spacing w:before="75" w:line="187"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108" w:type="dxa"/>
                  <w:vAlign w:val="top"/>
                </w:tcPr>
                <w:p>
                  <w:pPr>
                    <w:spacing w:before="75" w:line="187"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108" w:type="dxa"/>
                  <w:vAlign w:val="top"/>
                </w:tcPr>
                <w:p>
                  <w:pPr>
                    <w:spacing w:before="75"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119" w:type="dxa"/>
                  <w:vAlign w:val="top"/>
                </w:tcPr>
                <w:p>
                  <w:pPr>
                    <w:spacing w:before="75"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108" w:type="dxa"/>
                  <w:vAlign w:val="top"/>
                </w:tcPr>
                <w:p>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0.116</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942" w:type="dxa"/>
                  <w:vAlign w:val="top"/>
                </w:tcPr>
                <w:p>
                  <w:pPr>
                    <w:pStyle w:val="6"/>
                    <w:spacing w:before="34" w:line="214" w:lineRule="auto"/>
                    <w:ind w:left="957"/>
                    <w:rPr>
                      <w:sz w:val="21"/>
                      <w:szCs w:val="21"/>
                    </w:rPr>
                  </w:pPr>
                  <w:r>
                    <w:rPr>
                      <w:spacing w:val="-3"/>
                      <w:sz w:val="21"/>
                      <w:szCs w:val="21"/>
                    </w:rPr>
                    <w:t>总大肠菌群</w:t>
                  </w:r>
                </w:p>
              </w:tc>
              <w:tc>
                <w:tcPr>
                  <w:tcW w:w="1788" w:type="dxa"/>
                  <w:vAlign w:val="top"/>
                </w:tcPr>
                <w:p>
                  <w:pPr>
                    <w:spacing w:before="69" w:line="190"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MPN/100mL</w:t>
                  </w:r>
                </w:p>
              </w:tc>
              <w:tc>
                <w:tcPr>
                  <w:tcW w:w="1111" w:type="dxa"/>
                  <w:vAlign w:val="top"/>
                </w:tcPr>
                <w:p>
                  <w:pPr>
                    <w:pStyle w:val="6"/>
                    <w:spacing w:before="34" w:line="214" w:lineRule="auto"/>
                    <w:ind w:left="418"/>
                    <w:rPr>
                      <w:rFonts w:ascii="Times New Roman" w:hAnsi="Times New Roman" w:eastAsia="Times New Roman" w:cs="Times New Roman"/>
                      <w:sz w:val="21"/>
                      <w:szCs w:val="21"/>
                    </w:rPr>
                  </w:pPr>
                  <w:r>
                    <w:rPr>
                      <w:spacing w:val="-12"/>
                      <w:sz w:val="21"/>
                      <w:szCs w:val="21"/>
                    </w:rPr>
                    <w:t>＜</w:t>
                  </w:r>
                  <w:r>
                    <w:rPr>
                      <w:rFonts w:ascii="Times New Roman" w:hAnsi="Times New Roman" w:eastAsia="Times New Roman" w:cs="Times New Roman"/>
                      <w:spacing w:val="-12"/>
                      <w:sz w:val="21"/>
                      <w:szCs w:val="21"/>
                    </w:rPr>
                    <w:t>2</w:t>
                  </w:r>
                </w:p>
              </w:tc>
              <w:tc>
                <w:tcPr>
                  <w:tcW w:w="1108" w:type="dxa"/>
                  <w:vAlign w:val="top"/>
                </w:tcPr>
                <w:p>
                  <w:pPr>
                    <w:pStyle w:val="6"/>
                    <w:spacing w:before="34" w:line="214" w:lineRule="auto"/>
                    <w:ind w:left="416"/>
                    <w:rPr>
                      <w:rFonts w:ascii="Times New Roman" w:hAnsi="Times New Roman" w:eastAsia="Times New Roman" w:cs="Times New Roman"/>
                      <w:sz w:val="21"/>
                      <w:szCs w:val="21"/>
                    </w:rPr>
                  </w:pPr>
                  <w:r>
                    <w:rPr>
                      <w:spacing w:val="-12"/>
                      <w:sz w:val="21"/>
                      <w:szCs w:val="21"/>
                    </w:rPr>
                    <w:t>＜</w:t>
                  </w:r>
                  <w:r>
                    <w:rPr>
                      <w:rFonts w:ascii="Times New Roman" w:hAnsi="Times New Roman" w:eastAsia="Times New Roman" w:cs="Times New Roman"/>
                      <w:spacing w:val="-12"/>
                      <w:sz w:val="21"/>
                      <w:szCs w:val="21"/>
                    </w:rPr>
                    <w:t>2</w:t>
                  </w:r>
                </w:p>
              </w:tc>
              <w:tc>
                <w:tcPr>
                  <w:tcW w:w="1109" w:type="dxa"/>
                  <w:vAlign w:val="top"/>
                </w:tcPr>
                <w:p>
                  <w:pPr>
                    <w:pStyle w:val="6"/>
                    <w:spacing w:before="34" w:line="214" w:lineRule="auto"/>
                    <w:ind w:left="417"/>
                    <w:rPr>
                      <w:rFonts w:ascii="Times New Roman" w:hAnsi="Times New Roman" w:eastAsia="Times New Roman" w:cs="Times New Roman"/>
                      <w:sz w:val="21"/>
                      <w:szCs w:val="21"/>
                    </w:rPr>
                  </w:pPr>
                  <w:r>
                    <w:rPr>
                      <w:spacing w:val="-12"/>
                      <w:sz w:val="21"/>
                      <w:szCs w:val="21"/>
                    </w:rPr>
                    <w:t>＜</w:t>
                  </w:r>
                  <w:r>
                    <w:rPr>
                      <w:rFonts w:ascii="Times New Roman" w:hAnsi="Times New Roman" w:eastAsia="Times New Roman" w:cs="Times New Roman"/>
                      <w:spacing w:val="-12"/>
                      <w:sz w:val="21"/>
                      <w:szCs w:val="21"/>
                    </w:rPr>
                    <w:t>2</w:t>
                  </w:r>
                </w:p>
              </w:tc>
              <w:tc>
                <w:tcPr>
                  <w:tcW w:w="1108" w:type="dxa"/>
                  <w:vAlign w:val="top"/>
                </w:tcPr>
                <w:p>
                  <w:pPr>
                    <w:pStyle w:val="6"/>
                    <w:spacing w:before="34" w:line="214" w:lineRule="auto"/>
                    <w:ind w:left="417"/>
                    <w:rPr>
                      <w:rFonts w:ascii="Times New Roman" w:hAnsi="Times New Roman" w:eastAsia="Times New Roman" w:cs="Times New Roman"/>
                      <w:sz w:val="21"/>
                      <w:szCs w:val="21"/>
                    </w:rPr>
                  </w:pPr>
                  <w:r>
                    <w:rPr>
                      <w:spacing w:val="-12"/>
                      <w:sz w:val="21"/>
                      <w:szCs w:val="21"/>
                    </w:rPr>
                    <w:t>＜</w:t>
                  </w:r>
                  <w:r>
                    <w:rPr>
                      <w:rFonts w:ascii="Times New Roman" w:hAnsi="Times New Roman" w:eastAsia="Times New Roman" w:cs="Times New Roman"/>
                      <w:spacing w:val="-12"/>
                      <w:sz w:val="21"/>
                      <w:szCs w:val="21"/>
                    </w:rPr>
                    <w:t>2</w:t>
                  </w:r>
                </w:p>
              </w:tc>
              <w:tc>
                <w:tcPr>
                  <w:tcW w:w="1108" w:type="dxa"/>
                  <w:vAlign w:val="top"/>
                </w:tcPr>
                <w:p>
                  <w:pPr>
                    <w:pStyle w:val="6"/>
                    <w:spacing w:before="34" w:line="214" w:lineRule="auto"/>
                    <w:ind w:left="418"/>
                    <w:rPr>
                      <w:rFonts w:ascii="Times New Roman" w:hAnsi="Times New Roman" w:eastAsia="Times New Roman" w:cs="Times New Roman"/>
                      <w:sz w:val="21"/>
                      <w:szCs w:val="21"/>
                    </w:rPr>
                  </w:pPr>
                  <w:r>
                    <w:rPr>
                      <w:spacing w:val="-12"/>
                      <w:sz w:val="21"/>
                      <w:szCs w:val="21"/>
                    </w:rPr>
                    <w:t>＜</w:t>
                  </w:r>
                  <w:r>
                    <w:rPr>
                      <w:rFonts w:ascii="Times New Roman" w:hAnsi="Times New Roman" w:eastAsia="Times New Roman" w:cs="Times New Roman"/>
                      <w:spacing w:val="-12"/>
                      <w:sz w:val="21"/>
                      <w:szCs w:val="21"/>
                    </w:rPr>
                    <w:t>2</w:t>
                  </w:r>
                </w:p>
              </w:tc>
              <w:tc>
                <w:tcPr>
                  <w:tcW w:w="1119" w:type="dxa"/>
                  <w:vAlign w:val="top"/>
                </w:tcPr>
                <w:p>
                  <w:pPr>
                    <w:spacing w:before="72" w:line="187" w:lineRule="auto"/>
                    <w:ind w:left="51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8" w:type="dxa"/>
                  <w:vAlign w:val="top"/>
                </w:tcPr>
                <w:p>
                  <w:pPr>
                    <w:spacing w:before="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0.667</w:t>
                  </w:r>
                </w:p>
              </w:tc>
              <w:tc>
                <w:tcPr>
                  <w:tcW w:w="1113" w:type="dxa"/>
                  <w:vAlign w:val="top"/>
                </w:tcPr>
                <w:p>
                  <w:pPr>
                    <w:spacing w:before="7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942" w:type="dxa"/>
                  <w:vAlign w:val="top"/>
                </w:tcPr>
                <w:p>
                  <w:pPr>
                    <w:pStyle w:val="6"/>
                    <w:spacing w:before="36" w:line="214" w:lineRule="auto"/>
                    <w:ind w:left="1058"/>
                    <w:rPr>
                      <w:sz w:val="21"/>
                      <w:szCs w:val="21"/>
                    </w:rPr>
                  </w:pPr>
                  <w:r>
                    <w:rPr>
                      <w:spacing w:val="-2"/>
                      <w:sz w:val="21"/>
                      <w:szCs w:val="21"/>
                    </w:rPr>
                    <w:t>细菌总数</w:t>
                  </w:r>
                </w:p>
              </w:tc>
              <w:tc>
                <w:tcPr>
                  <w:tcW w:w="1788" w:type="dxa"/>
                  <w:vAlign w:val="top"/>
                </w:tcPr>
                <w:p>
                  <w:pPr>
                    <w:spacing w:before="72" w:line="190" w:lineRule="auto"/>
                    <w:ind w:left="5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CFU/mL</w:t>
                  </w:r>
                </w:p>
              </w:tc>
              <w:tc>
                <w:tcPr>
                  <w:tcW w:w="1111" w:type="dxa"/>
                  <w:vAlign w:val="top"/>
                </w:tcPr>
                <w:p>
                  <w:pPr>
                    <w:spacing w:before="75" w:line="187"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08" w:type="dxa"/>
                  <w:vAlign w:val="top"/>
                </w:tcPr>
                <w:p>
                  <w:pPr>
                    <w:spacing w:before="75"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09" w:type="dxa"/>
                  <w:vAlign w:val="top"/>
                </w:tcPr>
                <w:p>
                  <w:pPr>
                    <w:spacing w:before="78" w:line="184" w:lineRule="auto"/>
                    <w:ind w:left="50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08" w:type="dxa"/>
                  <w:vAlign w:val="top"/>
                </w:tcPr>
                <w:p>
                  <w:pPr>
                    <w:spacing w:before="75" w:line="187" w:lineRule="auto"/>
                    <w:ind w:left="50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08" w:type="dxa"/>
                  <w:vAlign w:val="top"/>
                </w:tcPr>
                <w:p>
                  <w:pPr>
                    <w:spacing w:before="75"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119" w:type="dxa"/>
                  <w:vAlign w:val="top"/>
                </w:tcPr>
                <w:p>
                  <w:pPr>
                    <w:spacing w:before="75"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08" w:type="dxa"/>
                  <w:vAlign w:val="top"/>
                </w:tcPr>
                <w:p>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0.160</w:t>
                  </w:r>
                </w:p>
              </w:tc>
              <w:tc>
                <w:tcPr>
                  <w:tcW w:w="1113" w:type="dxa"/>
                  <w:vAlign w:val="top"/>
                </w:tcPr>
                <w:p>
                  <w:pPr>
                    <w:spacing w:before="7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3614" w:type="dxa"/>
                  <w:gridSpan w:val="10"/>
                  <w:tcBorders>
                    <w:bottom w:val="nil"/>
                  </w:tcBorders>
                  <w:vAlign w:val="top"/>
                </w:tcPr>
                <w:p>
                  <w:pPr>
                    <w:pStyle w:val="6"/>
                    <w:spacing w:before="30" w:line="218" w:lineRule="auto"/>
                    <w:ind w:left="116"/>
                    <w:rPr>
                      <w:sz w:val="21"/>
                      <w:szCs w:val="21"/>
                    </w:rPr>
                  </w:pPr>
                  <w:r>
                    <w:rPr>
                      <w:spacing w:val="-6"/>
                      <w:sz w:val="21"/>
                      <w:szCs w:val="21"/>
                    </w:rPr>
                    <w:t>注：</w:t>
                  </w:r>
                  <w:r>
                    <w:rPr>
                      <w:spacing w:val="-5"/>
                      <w:sz w:val="21"/>
                      <w:szCs w:val="21"/>
                    </w:rPr>
                    <w:t xml:space="preserve"> </w:t>
                  </w:r>
                  <w:r>
                    <w:rPr>
                      <w:spacing w:val="-6"/>
                      <w:sz w:val="21"/>
                      <w:szCs w:val="21"/>
                    </w:rPr>
                    <w:t>①</w:t>
                  </w:r>
                  <w:r>
                    <w:rPr>
                      <w:rFonts w:ascii="Times New Roman" w:hAnsi="Times New Roman" w:eastAsia="Times New Roman" w:cs="Times New Roman"/>
                      <w:spacing w:val="-6"/>
                      <w:sz w:val="21"/>
                      <w:szCs w:val="21"/>
                    </w:rPr>
                    <w:t>“ND”</w:t>
                  </w:r>
                  <w:r>
                    <w:rPr>
                      <w:spacing w:val="-6"/>
                      <w:sz w:val="21"/>
                      <w:szCs w:val="21"/>
                    </w:rPr>
                    <w:t>该参数未检出，且无检出限。</w:t>
                  </w:r>
                </w:p>
                <w:p>
                  <w:pPr>
                    <w:pStyle w:val="6"/>
                    <w:spacing w:before="23" w:line="218" w:lineRule="auto"/>
                    <w:ind w:left="114"/>
                    <w:rPr>
                      <w:sz w:val="21"/>
                      <w:szCs w:val="21"/>
                    </w:rPr>
                  </w:pPr>
                  <w:r>
                    <w:rPr>
                      <w:sz w:val="21"/>
                      <w:szCs w:val="21"/>
                    </w:rPr>
                    <w:t>②石油类参照执行《地表水环境质量标准》（</w:t>
                  </w:r>
                  <w:r>
                    <w:rPr>
                      <w:rFonts w:ascii="Times New Roman" w:hAnsi="Times New Roman" w:eastAsia="Times New Roman" w:cs="Times New Roman"/>
                      <w:sz w:val="21"/>
                      <w:szCs w:val="21"/>
                    </w:rPr>
                    <w:t>G</w:t>
                  </w:r>
                  <w:r>
                    <w:rPr>
                      <w:rFonts w:ascii="Times New Roman" w:hAnsi="Times New Roman" w:eastAsia="Times New Roman" w:cs="Times New Roman"/>
                      <w:spacing w:val="-1"/>
                      <w:sz w:val="21"/>
                      <w:szCs w:val="21"/>
                    </w:rPr>
                    <w:t>B3838-2002</w:t>
                  </w:r>
                  <w:r>
                    <w:rPr>
                      <w:spacing w:val="-1"/>
                      <w:sz w:val="21"/>
                      <w:szCs w:val="21"/>
                    </w:rPr>
                    <w:t>）</w:t>
                  </w:r>
                  <w:r>
                    <w:rPr>
                      <w:rFonts w:ascii="Times New Roman" w:hAnsi="Times New Roman" w:eastAsia="Times New Roman" w:cs="Times New Roman"/>
                      <w:spacing w:val="-1"/>
                      <w:sz w:val="21"/>
                      <w:szCs w:val="21"/>
                    </w:rPr>
                    <w:t xml:space="preserve">III </w:t>
                  </w:r>
                  <w:r>
                    <w:rPr>
                      <w:spacing w:val="-1"/>
                      <w:sz w:val="21"/>
                      <w:szCs w:val="21"/>
                    </w:rPr>
                    <w:t>类标准进行评价。高锰酸盐指数参照《地下水质量标准》（</w:t>
                  </w:r>
                  <w:r>
                    <w:rPr>
                      <w:rFonts w:ascii="Times New Roman" w:hAnsi="Times New Roman" w:eastAsia="Times New Roman" w:cs="Times New Roman"/>
                      <w:spacing w:val="-1"/>
                      <w:sz w:val="21"/>
                      <w:szCs w:val="21"/>
                    </w:rPr>
                    <w:t>GB/T14848-2017</w:t>
                  </w:r>
                  <w:r>
                    <w:rPr>
                      <w:spacing w:val="5"/>
                      <w:sz w:val="21"/>
                      <w:szCs w:val="21"/>
                    </w:rPr>
                    <w:t>））</w:t>
                  </w:r>
                  <w:r>
                    <w:rPr>
                      <w:spacing w:val="-1"/>
                      <w:sz w:val="21"/>
                      <w:szCs w:val="21"/>
                    </w:rPr>
                    <w:t>的</w:t>
                  </w:r>
                </w:p>
                <w:p>
                  <w:pPr>
                    <w:pStyle w:val="6"/>
                    <w:spacing w:before="25" w:line="203" w:lineRule="auto"/>
                    <w:ind w:left="117"/>
                    <w:rPr>
                      <w:sz w:val="21"/>
                      <w:szCs w:val="21"/>
                    </w:rPr>
                  </w:pPr>
                  <w:r>
                    <w:rPr>
                      <w:spacing w:val="-1"/>
                      <w:sz w:val="21"/>
                      <w:szCs w:val="21"/>
                    </w:rPr>
                    <w:t>耗氧量进行评价。</w:t>
                  </w:r>
                </w:p>
              </w:tc>
            </w:tr>
          </w:tbl>
          <w:p>
            <w:pPr>
              <w:spacing w:line="57" w:lineRule="auto"/>
              <w:rPr>
                <w:rFonts w:ascii="Arial"/>
                <w:sz w:val="2"/>
              </w:rPr>
            </w:pPr>
          </w:p>
        </w:tc>
      </w:tr>
    </w:tbl>
    <w:p>
      <w:pPr>
        <w:pStyle w:val="2"/>
        <w:rPr>
          <w:sz w:val="21"/>
        </w:rPr>
      </w:pPr>
    </w:p>
    <w:p>
      <w:pPr>
        <w:rPr>
          <w:sz w:val="21"/>
          <w:szCs w:val="21"/>
        </w:rPr>
        <w:sectPr>
          <w:footerReference r:id="rId71" w:type="default"/>
          <w:pgSz w:w="16839" w:h="11907"/>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863" w:hRule="atLeast"/>
        </w:trPr>
        <w:tc>
          <w:tcPr>
            <w:tcW w:w="465" w:type="dxa"/>
            <w:tcBorders>
              <w:bottom w:val="single" w:color="000000" w:sz="4" w:space="0"/>
              <w:right w:val="single" w:color="000000" w:sz="8" w:space="0"/>
            </w:tcBorders>
            <w:textDirection w:val="tbRlV"/>
            <w:vAlign w:val="top"/>
          </w:tcPr>
          <w:p>
            <w:pPr>
              <w:pStyle w:val="6"/>
              <w:spacing w:before="104" w:line="208" w:lineRule="auto"/>
              <w:ind w:left="6031"/>
              <w:rPr>
                <w:sz w:val="24"/>
                <w:szCs w:val="24"/>
              </w:rPr>
            </w:pPr>
            <w:r>
              <w:rPr>
                <w:spacing w:val="59"/>
                <w:sz w:val="24"/>
                <w:szCs w:val="24"/>
              </w:rPr>
              <w:t>生态环境现状</w:t>
            </w:r>
          </w:p>
        </w:tc>
        <w:tc>
          <w:tcPr>
            <w:tcW w:w="8826" w:type="dxa"/>
            <w:tcBorders>
              <w:left w:val="single" w:color="000000" w:sz="8" w:space="0"/>
              <w:bottom w:val="single" w:color="000000" w:sz="4" w:space="0"/>
            </w:tcBorders>
            <w:vAlign w:val="top"/>
          </w:tcPr>
          <w:p>
            <w:pPr>
              <w:pStyle w:val="6"/>
              <w:spacing w:before="183" w:line="369" w:lineRule="auto"/>
              <w:ind w:left="101" w:right="105" w:firstLine="508"/>
              <w:jc w:val="both"/>
              <w:rPr>
                <w:sz w:val="24"/>
                <w:szCs w:val="24"/>
              </w:rPr>
            </w:pPr>
            <w:r>
              <w:rPr>
                <w:spacing w:val="-8"/>
                <w:sz w:val="24"/>
                <w:szCs w:val="24"/>
              </w:rPr>
              <w:t>由上表</w:t>
            </w:r>
            <w:r>
              <w:rPr>
                <w:spacing w:val="-50"/>
                <w:sz w:val="24"/>
                <w:szCs w:val="24"/>
              </w:rPr>
              <w:t xml:space="preserve"> </w:t>
            </w:r>
            <w:r>
              <w:rPr>
                <w:rFonts w:ascii="Times New Roman" w:hAnsi="Times New Roman" w:eastAsia="Times New Roman" w:cs="Times New Roman"/>
                <w:spacing w:val="-8"/>
                <w:sz w:val="24"/>
                <w:szCs w:val="24"/>
              </w:rPr>
              <w:t>3.3-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15"/>
                <w:w w:val="101"/>
                <w:sz w:val="24"/>
                <w:szCs w:val="24"/>
              </w:rPr>
              <w:t xml:space="preserve"> </w:t>
            </w:r>
            <w:r>
              <w:rPr>
                <w:spacing w:val="-8"/>
                <w:sz w:val="24"/>
                <w:szCs w:val="24"/>
              </w:rPr>
              <w:t>统计分析可知，</w:t>
            </w:r>
            <w:r>
              <w:rPr>
                <w:spacing w:val="38"/>
                <w:sz w:val="24"/>
                <w:szCs w:val="24"/>
              </w:rPr>
              <w:t xml:space="preserve"> </w:t>
            </w:r>
            <w:r>
              <w:rPr>
                <w:spacing w:val="-8"/>
                <w:sz w:val="24"/>
                <w:szCs w:val="24"/>
              </w:rPr>
              <w:t>地下水各监测</w:t>
            </w:r>
            <w:r>
              <w:rPr>
                <w:spacing w:val="-9"/>
                <w:sz w:val="24"/>
                <w:szCs w:val="24"/>
              </w:rPr>
              <w:t>点各项监测指标均可达到《地下水</w:t>
            </w:r>
            <w:r>
              <w:rPr>
                <w:sz w:val="24"/>
                <w:szCs w:val="24"/>
              </w:rPr>
              <w:t xml:space="preserve"> </w:t>
            </w:r>
            <w:r>
              <w:rPr>
                <w:spacing w:val="-3"/>
                <w:sz w:val="24"/>
                <w:szCs w:val="24"/>
              </w:rPr>
              <w:t>质量标准》（</w:t>
            </w:r>
            <w:r>
              <w:rPr>
                <w:rFonts w:ascii="Times New Roman" w:hAnsi="Times New Roman" w:eastAsia="Times New Roman" w:cs="Times New Roman"/>
                <w:spacing w:val="-3"/>
                <w:sz w:val="24"/>
                <w:szCs w:val="24"/>
              </w:rPr>
              <w:t>GB/T14848-2017</w:t>
            </w:r>
            <w:r>
              <w:rPr>
                <w:spacing w:val="-3"/>
                <w:sz w:val="24"/>
                <w:szCs w:val="24"/>
              </w:rPr>
              <w:t>）</w:t>
            </w:r>
            <w:r>
              <w:rPr>
                <w:rFonts w:ascii="Times New Roman" w:hAnsi="Times New Roman" w:eastAsia="Times New Roman" w:cs="Times New Roman"/>
                <w:spacing w:val="-3"/>
                <w:sz w:val="24"/>
                <w:szCs w:val="24"/>
              </w:rPr>
              <w:t xml:space="preserve">III </w:t>
            </w:r>
            <w:r>
              <w:rPr>
                <w:spacing w:val="-3"/>
                <w:sz w:val="24"/>
                <w:szCs w:val="24"/>
              </w:rPr>
              <w:t>类水质标准，表明本项目所在区域地下水水质较</w:t>
            </w:r>
          </w:p>
          <w:p>
            <w:pPr>
              <w:pStyle w:val="6"/>
              <w:spacing w:line="219" w:lineRule="auto"/>
              <w:ind w:left="100"/>
              <w:rPr>
                <w:sz w:val="24"/>
                <w:szCs w:val="24"/>
              </w:rPr>
            </w:pPr>
            <w:r>
              <w:rPr>
                <w:spacing w:val="-12"/>
                <w:sz w:val="24"/>
                <w:szCs w:val="24"/>
              </w:rPr>
              <w:t>好。</w:t>
            </w:r>
          </w:p>
          <w:p>
            <w:pPr>
              <w:pStyle w:val="6"/>
              <w:spacing w:before="228" w:line="220" w:lineRule="auto"/>
              <w:ind w:left="95"/>
              <w:rPr>
                <w:sz w:val="24"/>
                <w:szCs w:val="24"/>
              </w:rPr>
            </w:pPr>
            <w:r>
              <w:rPr>
                <w:rFonts w:ascii="Times New Roman" w:hAnsi="Times New Roman" w:eastAsia="Times New Roman" w:cs="Times New Roman"/>
                <w:b/>
                <w:bCs/>
                <w:sz w:val="24"/>
                <w:szCs w:val="24"/>
              </w:rPr>
              <w:t xml:space="preserve">3.3.5 </w:t>
            </w:r>
            <w:r>
              <w:rPr>
                <w:sz w:val="24"/>
                <w:szCs w:val="24"/>
                <w14:textOutline w14:w="4354" w14:cap="flat" w14:cmpd="sng">
                  <w14:solidFill>
                    <w14:srgbClr w14:val="000000"/>
                  </w14:solidFill>
                  <w14:prstDash w14:val="solid"/>
                  <w14:miter w14:val="10"/>
                </w14:textOutline>
              </w:rPr>
              <w:t>土壤环境</w:t>
            </w:r>
          </w:p>
          <w:p>
            <w:pPr>
              <w:pStyle w:val="6"/>
              <w:spacing w:before="201" w:line="369" w:lineRule="auto"/>
              <w:ind w:left="103" w:right="15" w:firstLine="478"/>
              <w:jc w:val="both"/>
              <w:rPr>
                <w:sz w:val="24"/>
                <w:szCs w:val="24"/>
              </w:rPr>
            </w:pPr>
            <w:r>
              <w:rPr>
                <w:spacing w:val="-9"/>
                <w:sz w:val="24"/>
                <w:szCs w:val="24"/>
              </w:rPr>
              <w:t>参照土壤导则，本项目为勘探井， 属于Ⅳ类项目。原则可不开展土壤现状评价。</w:t>
            </w:r>
            <w:r>
              <w:rPr>
                <w:spacing w:val="12"/>
                <w:sz w:val="24"/>
                <w:szCs w:val="24"/>
              </w:rPr>
              <w:t xml:space="preserve"> </w:t>
            </w:r>
            <w:r>
              <w:rPr>
                <w:spacing w:val="-9"/>
                <w:sz w:val="24"/>
                <w:szCs w:val="24"/>
              </w:rPr>
              <w:t>鉴于涉及土壤环境要素， 按照指南明确项目所在区域的环境质量现状的要求，</w:t>
            </w:r>
            <w:r>
              <w:rPr>
                <w:spacing w:val="56"/>
                <w:sz w:val="24"/>
                <w:szCs w:val="24"/>
              </w:rPr>
              <w:t xml:space="preserve"> </w:t>
            </w:r>
            <w:r>
              <w:rPr>
                <w:spacing w:val="-9"/>
                <w:sz w:val="24"/>
                <w:szCs w:val="24"/>
              </w:rPr>
              <w:t>评价</w:t>
            </w:r>
          </w:p>
          <w:p>
            <w:pPr>
              <w:pStyle w:val="6"/>
              <w:spacing w:line="219" w:lineRule="auto"/>
              <w:ind w:left="99"/>
              <w:rPr>
                <w:sz w:val="24"/>
                <w:szCs w:val="24"/>
              </w:rPr>
            </w:pPr>
            <w:r>
              <w:rPr>
                <w:spacing w:val="-1"/>
                <w:sz w:val="24"/>
                <w:szCs w:val="24"/>
              </w:rPr>
              <w:t>委托四川华皓检测技术有限公司对项目所在地进</w:t>
            </w:r>
            <w:r>
              <w:rPr>
                <w:spacing w:val="-2"/>
                <w:sz w:val="24"/>
                <w:szCs w:val="24"/>
              </w:rPr>
              <w:t>行了土壤环境现状监测。</w:t>
            </w:r>
          </w:p>
          <w:p>
            <w:pPr>
              <w:pStyle w:val="6"/>
              <w:spacing w:before="194" w:line="219" w:lineRule="auto"/>
              <w:ind w:left="589"/>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spacing w:val="-2"/>
                <w:sz w:val="24"/>
                <w:szCs w:val="24"/>
                <w14:textOutline w14:w="4354" w14:cap="flat" w14:cmpd="sng">
                  <w14:solidFill>
                    <w14:srgbClr w14:val="000000"/>
                  </w14:solidFill>
                  <w14:prstDash w14:val="solid"/>
                  <w14:miter w14:val="10"/>
                </w14:textOutline>
              </w:rPr>
              <w:t>）监测基本情况</w:t>
            </w:r>
          </w:p>
          <w:p>
            <w:pPr>
              <w:pStyle w:val="6"/>
              <w:spacing w:before="197" w:line="217" w:lineRule="auto"/>
              <w:ind w:left="579"/>
              <w:rPr>
                <w:sz w:val="24"/>
                <w:szCs w:val="24"/>
              </w:rPr>
            </w:pPr>
            <w:r>
              <w:rPr>
                <w:spacing w:val="-1"/>
                <w:sz w:val="24"/>
                <w:szCs w:val="24"/>
              </w:rPr>
              <w:t>①监测布点及监测因子</w:t>
            </w:r>
          </w:p>
          <w:p>
            <w:pPr>
              <w:pStyle w:val="6"/>
              <w:spacing w:before="198" w:line="369" w:lineRule="auto"/>
              <w:ind w:left="106" w:right="102" w:firstLine="475"/>
              <w:rPr>
                <w:sz w:val="24"/>
                <w:szCs w:val="24"/>
              </w:rPr>
            </w:pPr>
            <w:r>
              <w:rPr>
                <w:spacing w:val="-2"/>
                <w:sz w:val="24"/>
                <w:szCs w:val="24"/>
              </w:rPr>
              <w:t>本项目评价范围内设置</w:t>
            </w:r>
            <w:r>
              <w:rPr>
                <w:spacing w:val="-23"/>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36"/>
                <w:w w:val="101"/>
                <w:sz w:val="24"/>
                <w:szCs w:val="24"/>
              </w:rPr>
              <w:t xml:space="preserve"> </w:t>
            </w:r>
            <w:r>
              <w:rPr>
                <w:spacing w:val="-2"/>
                <w:sz w:val="24"/>
                <w:szCs w:val="24"/>
              </w:rPr>
              <w:t>个土壤监测点位（</w:t>
            </w:r>
            <w:r>
              <w:rPr>
                <w:rFonts w:ascii="Times New Roman" w:hAnsi="Times New Roman" w:eastAsia="Times New Roman" w:cs="Times New Roman"/>
                <w:spacing w:val="-2"/>
                <w:sz w:val="24"/>
                <w:szCs w:val="24"/>
              </w:rPr>
              <w:t>S1~S6</w:t>
            </w:r>
            <w:r>
              <w:rPr>
                <w:spacing w:val="-36"/>
                <w:sz w:val="24"/>
                <w:szCs w:val="24"/>
              </w:rPr>
              <w:t>），</w:t>
            </w:r>
            <w:r>
              <w:rPr>
                <w:spacing w:val="-18"/>
                <w:sz w:val="24"/>
                <w:szCs w:val="24"/>
              </w:rPr>
              <w:t xml:space="preserve"> </w:t>
            </w:r>
            <w:r>
              <w:rPr>
                <w:rFonts w:ascii="Times New Roman" w:hAnsi="Times New Roman" w:eastAsia="Times New Roman" w:cs="Times New Roman"/>
                <w:spacing w:val="-2"/>
                <w:sz w:val="24"/>
                <w:szCs w:val="24"/>
              </w:rPr>
              <w:t>S1~S4</w:t>
            </w:r>
            <w:r>
              <w:rPr>
                <w:rFonts w:ascii="Times New Roman" w:hAnsi="Times New Roman" w:eastAsia="Times New Roman" w:cs="Times New Roman"/>
                <w:spacing w:val="38"/>
                <w:sz w:val="24"/>
                <w:szCs w:val="24"/>
              </w:rPr>
              <w:t xml:space="preserve"> </w:t>
            </w:r>
            <w:r>
              <w:rPr>
                <w:spacing w:val="-2"/>
                <w:sz w:val="24"/>
                <w:szCs w:val="24"/>
              </w:rPr>
              <w:t>监测点设在占地</w:t>
            </w:r>
            <w:r>
              <w:rPr>
                <w:sz w:val="24"/>
                <w:szCs w:val="24"/>
              </w:rPr>
              <w:t xml:space="preserve"> </w:t>
            </w:r>
            <w:r>
              <w:rPr>
                <w:spacing w:val="-9"/>
                <w:sz w:val="24"/>
                <w:szCs w:val="24"/>
              </w:rPr>
              <w:t xml:space="preserve">范围内， </w:t>
            </w:r>
            <w:r>
              <w:rPr>
                <w:rFonts w:ascii="Times New Roman" w:hAnsi="Times New Roman" w:eastAsia="Times New Roman" w:cs="Times New Roman"/>
                <w:spacing w:val="-9"/>
                <w:sz w:val="24"/>
                <w:szCs w:val="24"/>
              </w:rPr>
              <w:t>S5~S6</w:t>
            </w:r>
            <w:r>
              <w:rPr>
                <w:rFonts w:ascii="Times New Roman" w:hAnsi="Times New Roman" w:eastAsia="Times New Roman" w:cs="Times New Roman"/>
                <w:spacing w:val="25"/>
                <w:sz w:val="24"/>
                <w:szCs w:val="24"/>
              </w:rPr>
              <w:t xml:space="preserve"> </w:t>
            </w:r>
            <w:r>
              <w:rPr>
                <w:spacing w:val="-9"/>
                <w:sz w:val="24"/>
                <w:szCs w:val="24"/>
              </w:rPr>
              <w:t>监测点设在占地范围外；</w:t>
            </w:r>
            <w:r>
              <w:rPr>
                <w:spacing w:val="72"/>
                <w:sz w:val="24"/>
                <w:szCs w:val="24"/>
              </w:rPr>
              <w:t xml:space="preserve"> </w:t>
            </w:r>
            <w:r>
              <w:rPr>
                <w:rFonts w:ascii="Times New Roman" w:hAnsi="Times New Roman" w:eastAsia="Times New Roman" w:cs="Times New Roman"/>
                <w:spacing w:val="-9"/>
                <w:sz w:val="24"/>
                <w:szCs w:val="24"/>
              </w:rPr>
              <w:t>S1~S3</w:t>
            </w:r>
            <w:r>
              <w:rPr>
                <w:rFonts w:ascii="Times New Roman" w:hAnsi="Times New Roman" w:eastAsia="Times New Roman" w:cs="Times New Roman"/>
                <w:spacing w:val="13"/>
                <w:sz w:val="24"/>
                <w:szCs w:val="24"/>
              </w:rPr>
              <w:t xml:space="preserve"> </w:t>
            </w:r>
            <w:r>
              <w:rPr>
                <w:spacing w:val="-9"/>
                <w:sz w:val="24"/>
                <w:szCs w:val="24"/>
              </w:rPr>
              <w:t>监测点采样均取柱状样（</w:t>
            </w:r>
            <w:r>
              <w:rPr>
                <w:rFonts w:ascii="Times New Roman" w:hAnsi="Times New Roman" w:eastAsia="Times New Roman" w:cs="Times New Roman"/>
                <w:spacing w:val="-9"/>
                <w:sz w:val="24"/>
                <w:szCs w:val="24"/>
              </w:rPr>
              <w:t>0~0.5m</w:t>
            </w:r>
            <w:r>
              <w:rPr>
                <w:spacing w:val="-9"/>
                <w:sz w:val="24"/>
                <w:szCs w:val="24"/>
              </w:rPr>
              <w:t>、</w:t>
            </w:r>
          </w:p>
          <w:p>
            <w:pPr>
              <w:pStyle w:val="6"/>
              <w:spacing w:before="1" w:line="218" w:lineRule="auto"/>
              <w:ind w:left="100"/>
              <w:rPr>
                <w:sz w:val="24"/>
                <w:szCs w:val="24"/>
              </w:rPr>
            </w:pPr>
            <w:r>
              <w:rPr>
                <w:rFonts w:ascii="Times New Roman" w:hAnsi="Times New Roman" w:eastAsia="Times New Roman" w:cs="Times New Roman"/>
                <w:spacing w:val="-2"/>
                <w:sz w:val="24"/>
                <w:szCs w:val="24"/>
              </w:rPr>
              <w:t>0.5~1.5m</w:t>
            </w:r>
            <w:r>
              <w:rPr>
                <w:rFonts w:ascii="Times New Roman" w:hAnsi="Times New Roman" w:eastAsia="Times New Roman" w:cs="Times New Roman"/>
                <w:spacing w:val="-33"/>
                <w:sz w:val="24"/>
                <w:szCs w:val="24"/>
              </w:rPr>
              <w:t xml:space="preserve"> </w:t>
            </w:r>
            <w:r>
              <w:rPr>
                <w:spacing w:val="-2"/>
                <w:sz w:val="24"/>
                <w:szCs w:val="24"/>
              </w:rPr>
              <w:t>、</w:t>
            </w:r>
            <w:r>
              <w:rPr>
                <w:rFonts w:ascii="Times New Roman" w:hAnsi="Times New Roman" w:eastAsia="Times New Roman" w:cs="Times New Roman"/>
                <w:spacing w:val="-2"/>
                <w:sz w:val="24"/>
                <w:szCs w:val="24"/>
              </w:rPr>
              <w:t>1.5~3m</w:t>
            </w:r>
            <w:r>
              <w:rPr>
                <w:spacing w:val="-38"/>
                <w:sz w:val="24"/>
                <w:szCs w:val="24"/>
              </w:rPr>
              <w:t>），</w:t>
            </w:r>
            <w:r>
              <w:rPr>
                <w:spacing w:val="-18"/>
                <w:sz w:val="24"/>
                <w:szCs w:val="24"/>
              </w:rPr>
              <w:t xml:space="preserve"> </w:t>
            </w:r>
            <w:r>
              <w:rPr>
                <w:rFonts w:ascii="Times New Roman" w:hAnsi="Times New Roman" w:eastAsia="Times New Roman" w:cs="Times New Roman"/>
                <w:spacing w:val="-2"/>
                <w:sz w:val="24"/>
                <w:szCs w:val="24"/>
              </w:rPr>
              <w:t xml:space="preserve">S4~S6 </w:t>
            </w:r>
            <w:r>
              <w:rPr>
                <w:spacing w:val="-2"/>
                <w:sz w:val="24"/>
                <w:szCs w:val="24"/>
              </w:rPr>
              <w:t>监测点采样均取表层样（</w:t>
            </w:r>
            <w:r>
              <w:rPr>
                <w:rFonts w:ascii="Times New Roman" w:hAnsi="Times New Roman" w:eastAsia="Times New Roman" w:cs="Times New Roman"/>
                <w:spacing w:val="-2"/>
                <w:sz w:val="24"/>
                <w:szCs w:val="24"/>
              </w:rPr>
              <w:t>0~0.2m</w:t>
            </w:r>
            <w:r>
              <w:rPr>
                <w:spacing w:val="-2"/>
                <w:sz w:val="24"/>
                <w:szCs w:val="24"/>
              </w:rPr>
              <w:t>）。</w:t>
            </w:r>
          </w:p>
          <w:p>
            <w:pPr>
              <w:pStyle w:val="6"/>
              <w:spacing w:before="196" w:line="369" w:lineRule="auto"/>
              <w:ind w:left="101" w:right="101" w:firstLine="484"/>
              <w:rPr>
                <w:sz w:val="24"/>
                <w:szCs w:val="24"/>
              </w:rPr>
            </w:pPr>
            <w:r>
              <w:rPr>
                <w:rFonts w:ascii="Times New Roman" w:hAnsi="Times New Roman" w:eastAsia="Times New Roman" w:cs="Times New Roman"/>
                <w:spacing w:val="-6"/>
                <w:sz w:val="24"/>
                <w:szCs w:val="24"/>
              </w:rPr>
              <w:t>S1~S4</w:t>
            </w:r>
            <w:r>
              <w:rPr>
                <w:rFonts w:ascii="Times New Roman" w:hAnsi="Times New Roman" w:eastAsia="Times New Roman" w:cs="Times New Roman"/>
                <w:spacing w:val="20"/>
                <w:w w:val="101"/>
                <w:sz w:val="24"/>
                <w:szCs w:val="24"/>
              </w:rPr>
              <w:t xml:space="preserve"> </w:t>
            </w:r>
            <w:r>
              <w:rPr>
                <w:spacing w:val="-6"/>
                <w:sz w:val="24"/>
                <w:szCs w:val="24"/>
              </w:rPr>
              <w:t>监测点位于占地范围内，能代表项目区域的土壤背景现状值；</w:t>
            </w:r>
            <w:r>
              <w:rPr>
                <w:spacing w:val="72"/>
                <w:sz w:val="24"/>
                <w:szCs w:val="24"/>
              </w:rPr>
              <w:t xml:space="preserve"> </w:t>
            </w:r>
            <w:r>
              <w:rPr>
                <w:rFonts w:ascii="Times New Roman" w:hAnsi="Times New Roman" w:eastAsia="Times New Roman" w:cs="Times New Roman"/>
                <w:spacing w:val="-6"/>
                <w:sz w:val="24"/>
                <w:szCs w:val="24"/>
              </w:rPr>
              <w:t>S5~S6</w:t>
            </w:r>
            <w:r>
              <w:rPr>
                <w:rFonts w:ascii="Times New Roman" w:hAnsi="Times New Roman" w:eastAsia="Times New Roman" w:cs="Times New Roman"/>
                <w:spacing w:val="20"/>
                <w:w w:val="101"/>
                <w:sz w:val="24"/>
                <w:szCs w:val="24"/>
              </w:rPr>
              <w:t xml:space="preserve"> </w:t>
            </w:r>
            <w:r>
              <w:rPr>
                <w:spacing w:val="-6"/>
                <w:sz w:val="24"/>
                <w:szCs w:val="24"/>
              </w:rPr>
              <w:t>监</w:t>
            </w:r>
            <w:r>
              <w:rPr>
                <w:sz w:val="24"/>
                <w:szCs w:val="24"/>
              </w:rPr>
              <w:t xml:space="preserve"> </w:t>
            </w:r>
            <w:r>
              <w:rPr>
                <w:spacing w:val="-6"/>
                <w:sz w:val="24"/>
                <w:szCs w:val="24"/>
              </w:rPr>
              <w:t>测点设在占地范围外耕地范围内，</w:t>
            </w:r>
            <w:r>
              <w:rPr>
                <w:spacing w:val="57"/>
                <w:sz w:val="24"/>
                <w:szCs w:val="24"/>
              </w:rPr>
              <w:t xml:space="preserve"> </w:t>
            </w:r>
            <w:r>
              <w:rPr>
                <w:spacing w:val="-6"/>
                <w:sz w:val="24"/>
                <w:szCs w:val="24"/>
              </w:rPr>
              <w:t>能够代表项目所在区域土壤环境现状。具体</w:t>
            </w:r>
            <w:r>
              <w:rPr>
                <w:spacing w:val="-7"/>
                <w:sz w:val="24"/>
                <w:szCs w:val="24"/>
              </w:rPr>
              <w:t>监测</w:t>
            </w:r>
          </w:p>
          <w:p>
            <w:pPr>
              <w:pStyle w:val="6"/>
              <w:spacing w:before="1" w:line="218" w:lineRule="auto"/>
              <w:ind w:left="100"/>
              <w:rPr>
                <w:sz w:val="24"/>
                <w:szCs w:val="24"/>
              </w:rPr>
            </w:pPr>
            <w:r>
              <w:rPr>
                <w:spacing w:val="-4"/>
                <w:sz w:val="24"/>
                <w:szCs w:val="24"/>
              </w:rPr>
              <w:t>布点信息详见下表</w:t>
            </w:r>
            <w:r>
              <w:rPr>
                <w:spacing w:val="-48"/>
                <w:sz w:val="24"/>
                <w:szCs w:val="24"/>
              </w:rPr>
              <w:t xml:space="preserve"> </w:t>
            </w:r>
            <w:r>
              <w:rPr>
                <w:rFonts w:ascii="Times New Roman" w:hAnsi="Times New Roman" w:eastAsia="Times New Roman" w:cs="Times New Roman"/>
                <w:spacing w:val="-4"/>
                <w:sz w:val="24"/>
                <w:szCs w:val="24"/>
              </w:rPr>
              <w:t>3.3-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11</w:t>
            </w:r>
            <w:r>
              <w:rPr>
                <w:spacing w:val="-4"/>
                <w:sz w:val="24"/>
                <w:szCs w:val="24"/>
              </w:rPr>
              <w:t>。</w:t>
            </w:r>
          </w:p>
          <w:p>
            <w:pPr>
              <w:pStyle w:val="6"/>
              <w:spacing w:before="195" w:line="219" w:lineRule="auto"/>
              <w:ind w:left="1753"/>
              <w:rPr>
                <w:sz w:val="24"/>
                <w:szCs w:val="24"/>
              </w:rPr>
            </w:pPr>
            <w:r>
              <w:rPr>
                <w:spacing w:val="-1"/>
                <w:sz w:val="24"/>
                <w:szCs w:val="24"/>
                <w14:textOutline w14:w="4354" w14:cap="flat" w14:cmpd="sng">
                  <w14:solidFill>
                    <w14:srgbClr w14:val="000000"/>
                  </w14:solidFill>
                  <w14:prstDash w14:val="solid"/>
                  <w14:miter w14:val="10"/>
                </w14:textOutline>
              </w:rPr>
              <w:t>表</w:t>
            </w:r>
            <w:r>
              <w:rPr>
                <w:spacing w:val="-39"/>
                <w:sz w:val="24"/>
                <w:szCs w:val="24"/>
              </w:rPr>
              <w:t xml:space="preserve"> </w:t>
            </w:r>
            <w:r>
              <w:rPr>
                <w:rFonts w:ascii="Times New Roman" w:hAnsi="Times New Roman" w:eastAsia="Times New Roman" w:cs="Times New Roman"/>
                <w:b/>
                <w:bCs/>
                <w:spacing w:val="-1"/>
                <w:sz w:val="24"/>
                <w:szCs w:val="24"/>
              </w:rPr>
              <w:t xml:space="preserve">3.3-11 </w:t>
            </w:r>
            <w:r>
              <w:rPr>
                <w:spacing w:val="-1"/>
                <w:sz w:val="24"/>
                <w:szCs w:val="24"/>
                <w14:textOutline w14:w="4354" w14:cap="flat" w14:cmpd="sng">
                  <w14:solidFill>
                    <w14:srgbClr w14:val="000000"/>
                  </w14:solidFill>
                  <w14:prstDash w14:val="solid"/>
                  <w14:miter w14:val="10"/>
                </w14:textOutline>
              </w:rPr>
              <w:t>土壤环境现状监测布点及监测因子信息表</w:t>
            </w:r>
          </w:p>
          <w:p>
            <w:pPr>
              <w:spacing w:line="18" w:lineRule="exact"/>
            </w:pPr>
          </w:p>
          <w:tbl>
            <w:tblPr>
              <w:tblStyle w:val="5"/>
              <w:tblW w:w="861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667"/>
              <w:gridCol w:w="1277"/>
              <w:gridCol w:w="1132"/>
              <w:gridCol w:w="46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3944" w:type="dxa"/>
                  <w:gridSpan w:val="4"/>
                  <w:vAlign w:val="top"/>
                </w:tcPr>
                <w:p>
                  <w:pPr>
                    <w:pStyle w:val="6"/>
                    <w:spacing w:before="67" w:line="222" w:lineRule="auto"/>
                    <w:ind w:left="1662"/>
                    <w:rPr>
                      <w:sz w:val="21"/>
                      <w:szCs w:val="21"/>
                    </w:rPr>
                  </w:pPr>
                  <w:r>
                    <w:rPr>
                      <w:spacing w:val="-2"/>
                      <w:sz w:val="21"/>
                      <w:szCs w:val="21"/>
                    </w:rPr>
                    <w:t>监测点</w:t>
                  </w:r>
                </w:p>
              </w:tc>
              <w:tc>
                <w:tcPr>
                  <w:tcW w:w="4666" w:type="dxa"/>
                  <w:vAlign w:val="top"/>
                </w:tcPr>
                <w:p>
                  <w:pPr>
                    <w:pStyle w:val="6"/>
                    <w:spacing w:before="68" w:line="221" w:lineRule="auto"/>
                    <w:ind w:left="1917"/>
                    <w:rPr>
                      <w:sz w:val="21"/>
                      <w:szCs w:val="21"/>
                    </w:rPr>
                  </w:pPr>
                  <w:r>
                    <w:rPr>
                      <w:spacing w:val="-2"/>
                      <w:sz w:val="21"/>
                      <w:szCs w:val="21"/>
                    </w:rPr>
                    <w:t>监测因子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1" w:hRule="atLeast"/>
              </w:trPr>
              <w:tc>
                <w:tcPr>
                  <w:tcW w:w="8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9" w:line="221" w:lineRule="auto"/>
                    <w:ind w:left="123"/>
                    <w:rPr>
                      <w:sz w:val="21"/>
                      <w:szCs w:val="21"/>
                    </w:rPr>
                  </w:pPr>
                  <w:r>
                    <w:rPr>
                      <w:spacing w:val="-2"/>
                      <w:sz w:val="21"/>
                      <w:szCs w:val="21"/>
                    </w:rPr>
                    <w:t>井场占</w:t>
                  </w:r>
                </w:p>
                <w:p>
                  <w:pPr>
                    <w:pStyle w:val="6"/>
                    <w:spacing w:before="22" w:line="221" w:lineRule="auto"/>
                    <w:ind w:left="123"/>
                    <w:rPr>
                      <w:sz w:val="21"/>
                      <w:szCs w:val="21"/>
                    </w:rPr>
                  </w:pPr>
                  <w:r>
                    <w:rPr>
                      <w:spacing w:val="-2"/>
                      <w:sz w:val="21"/>
                      <w:szCs w:val="21"/>
                    </w:rPr>
                    <w:t>地范围</w:t>
                  </w:r>
                </w:p>
                <w:p>
                  <w:pPr>
                    <w:pStyle w:val="6"/>
                    <w:spacing w:before="18" w:line="221" w:lineRule="auto"/>
                    <w:ind w:left="359"/>
                    <w:rPr>
                      <w:sz w:val="21"/>
                      <w:szCs w:val="21"/>
                    </w:rPr>
                  </w:pPr>
                  <w:r>
                    <w:rPr>
                      <w:sz w:val="21"/>
                      <w:szCs w:val="21"/>
                    </w:rPr>
                    <w:t>内</w:t>
                  </w:r>
                </w:p>
              </w:tc>
              <w:tc>
                <w:tcPr>
                  <w:tcW w:w="6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9" w:lineRule="auto"/>
                    <w:ind w:left="230" w:right="121" w:hanging="104"/>
                    <w:rPr>
                      <w:sz w:val="21"/>
                      <w:szCs w:val="21"/>
                    </w:rPr>
                  </w:pPr>
                  <w:r>
                    <w:rPr>
                      <w:spacing w:val="-3"/>
                      <w:sz w:val="21"/>
                      <w:szCs w:val="21"/>
                    </w:rPr>
                    <w:t>柱状</w:t>
                  </w:r>
                  <w:r>
                    <w:rPr>
                      <w:sz w:val="21"/>
                      <w:szCs w:val="21"/>
                    </w:rPr>
                    <w:t xml:space="preserve"> 样</w:t>
                  </w:r>
                </w:p>
              </w:tc>
              <w:tc>
                <w:tcPr>
                  <w:tcW w:w="127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32" w:lineRule="auto"/>
                    <w:ind w:left="463" w:right="184" w:hanging="269"/>
                    <w:rPr>
                      <w:sz w:val="21"/>
                      <w:szCs w:val="21"/>
                    </w:rPr>
                  </w:pPr>
                  <w:r>
                    <w:rPr>
                      <w:rFonts w:ascii="Times New Roman" w:hAnsi="Times New Roman" w:eastAsia="Times New Roman" w:cs="Times New Roman"/>
                      <w:spacing w:val="-4"/>
                      <w:sz w:val="21"/>
                      <w:szCs w:val="21"/>
                    </w:rPr>
                    <w:t>S1</w:t>
                  </w:r>
                  <w:r>
                    <w:rPr>
                      <w:rFonts w:ascii="Times New Roman" w:hAnsi="Times New Roman" w:eastAsia="Times New Roman" w:cs="Times New Roman"/>
                      <w:spacing w:val="8"/>
                      <w:sz w:val="21"/>
                      <w:szCs w:val="21"/>
                    </w:rPr>
                    <w:t xml:space="preserve"> </w:t>
                  </w:r>
                  <w:r>
                    <w:rPr>
                      <w:spacing w:val="-4"/>
                      <w:sz w:val="21"/>
                      <w:szCs w:val="21"/>
                    </w:rPr>
                    <w:t>井场井</w:t>
                  </w:r>
                  <w:r>
                    <w:rPr>
                      <w:sz w:val="21"/>
                      <w:szCs w:val="21"/>
                    </w:rPr>
                    <w:t xml:space="preserve"> </w:t>
                  </w:r>
                  <w:r>
                    <w:rPr>
                      <w:spacing w:val="-19"/>
                      <w:sz w:val="21"/>
                      <w:szCs w:val="21"/>
                    </w:rPr>
                    <w:t>口处</w:t>
                  </w:r>
                </w:p>
              </w:tc>
              <w:tc>
                <w:tcPr>
                  <w:tcW w:w="113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233"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0~0.5m</w:t>
                  </w:r>
                </w:p>
              </w:tc>
              <w:tc>
                <w:tcPr>
                  <w:tcW w:w="4666" w:type="dxa"/>
                  <w:vAlign w:val="top"/>
                </w:tcPr>
                <w:p>
                  <w:pPr>
                    <w:pStyle w:val="6"/>
                    <w:spacing w:before="29" w:line="220" w:lineRule="auto"/>
                    <w:ind w:left="113"/>
                    <w:rPr>
                      <w:sz w:val="21"/>
                      <w:szCs w:val="21"/>
                    </w:rPr>
                  </w:pPr>
                  <w:r>
                    <w:rPr>
                      <w:rFonts w:ascii="Times New Roman" w:hAnsi="Times New Roman" w:eastAsia="Times New Roman" w:cs="Times New Roman"/>
                      <w:b/>
                      <w:bCs/>
                      <w:spacing w:val="-1"/>
                      <w:sz w:val="21"/>
                      <w:szCs w:val="21"/>
                    </w:rPr>
                    <w:t xml:space="preserve">GB36600  </w:t>
                  </w:r>
                  <w:r>
                    <w:rPr>
                      <w:spacing w:val="-1"/>
                      <w:sz w:val="21"/>
                      <w:szCs w:val="21"/>
                      <w14:textOutline w14:w="3831" w14:cap="flat" w14:cmpd="sng">
                        <w14:solidFill>
                          <w14:srgbClr w14:val="000000"/>
                        </w14:solidFill>
                        <w14:prstDash w14:val="solid"/>
                        <w14:miter w14:val="10"/>
                      </w14:textOutline>
                    </w:rPr>
                    <w:t>基本因子（</w:t>
                  </w:r>
                  <w:r>
                    <w:rPr>
                      <w:rFonts w:ascii="Times New Roman" w:hAnsi="Times New Roman" w:eastAsia="Times New Roman" w:cs="Times New Roman"/>
                      <w:b/>
                      <w:bCs/>
                      <w:spacing w:val="-1"/>
                      <w:sz w:val="21"/>
                      <w:szCs w:val="21"/>
                    </w:rPr>
                    <w:t xml:space="preserve">45 </w:t>
                  </w:r>
                  <w:r>
                    <w:rPr>
                      <w:spacing w:val="-1"/>
                      <w:sz w:val="21"/>
                      <w:szCs w:val="21"/>
                      <w14:textOutline w14:w="3831" w14:cap="flat" w14:cmpd="sng">
                        <w14:solidFill>
                          <w14:srgbClr w14:val="000000"/>
                        </w14:solidFill>
                        <w14:prstDash w14:val="solid"/>
                        <w14:miter w14:val="10"/>
                      </w14:textOutline>
                    </w:rPr>
                    <w:t>项</w:t>
                  </w:r>
                  <w:r>
                    <w:rPr>
                      <w:spacing w:val="-7"/>
                      <w:sz w:val="21"/>
                      <w:szCs w:val="21"/>
                      <w14:textOutline w14:w="3831" w14:cap="flat" w14:cmpd="sng">
                        <w14:solidFill>
                          <w14:srgbClr w14:val="000000"/>
                        </w14:solidFill>
                        <w14:prstDash w14:val="solid"/>
                        <w14:miter w14:val="10"/>
                      </w14:textOutline>
                    </w:rPr>
                    <w:t>）：</w:t>
                  </w:r>
                </w:p>
                <w:p>
                  <w:pPr>
                    <w:pStyle w:val="6"/>
                    <w:spacing w:before="20" w:line="231" w:lineRule="auto"/>
                    <w:ind w:left="112" w:right="172"/>
                    <w:rPr>
                      <w:sz w:val="21"/>
                      <w:szCs w:val="21"/>
                    </w:rPr>
                  </w:pPr>
                  <w:r>
                    <w:rPr>
                      <w:spacing w:val="-10"/>
                      <w:sz w:val="21"/>
                      <w:szCs w:val="21"/>
                    </w:rPr>
                    <w:t>①重金属和无机物：</w:t>
                  </w:r>
                  <w:r>
                    <w:rPr>
                      <w:spacing w:val="-23"/>
                      <w:sz w:val="21"/>
                      <w:szCs w:val="21"/>
                    </w:rPr>
                    <w:t xml:space="preserve"> </w:t>
                  </w:r>
                  <w:r>
                    <w:rPr>
                      <w:spacing w:val="-10"/>
                      <w:sz w:val="21"/>
                      <w:szCs w:val="21"/>
                    </w:rPr>
                    <w:t xml:space="preserve">砷、镉、铬（六价） </w:t>
                  </w:r>
                  <w:r>
                    <w:rPr>
                      <w:spacing w:val="-11"/>
                      <w:sz w:val="21"/>
                      <w:szCs w:val="21"/>
                    </w:rPr>
                    <w:t>、铜、</w:t>
                  </w:r>
                  <w:r>
                    <w:rPr>
                      <w:sz w:val="21"/>
                      <w:szCs w:val="21"/>
                    </w:rPr>
                    <w:t xml:space="preserve"> </w:t>
                  </w:r>
                  <w:r>
                    <w:rPr>
                      <w:spacing w:val="-3"/>
                      <w:sz w:val="21"/>
                      <w:szCs w:val="21"/>
                    </w:rPr>
                    <w:t>铅、汞、镍；</w:t>
                  </w:r>
                </w:p>
                <w:p>
                  <w:pPr>
                    <w:pStyle w:val="6"/>
                    <w:spacing w:before="20" w:line="237" w:lineRule="auto"/>
                    <w:ind w:left="116" w:right="30" w:hanging="5"/>
                    <w:rPr>
                      <w:sz w:val="21"/>
                      <w:szCs w:val="21"/>
                    </w:rPr>
                  </w:pPr>
                  <w:r>
                    <w:rPr>
                      <w:spacing w:val="-7"/>
                      <w:sz w:val="21"/>
                      <w:szCs w:val="21"/>
                    </w:rPr>
                    <w:t>②挥发性有机物：四氯化碳、氯仿、氯甲烷、</w:t>
                  </w:r>
                  <w:r>
                    <w:rPr>
                      <w:spacing w:val="-23"/>
                      <w:sz w:val="21"/>
                      <w:szCs w:val="21"/>
                    </w:rPr>
                    <w:t xml:space="preserve"> </w:t>
                  </w:r>
                  <w:r>
                    <w:rPr>
                      <w:rFonts w:ascii="Times New Roman" w:hAnsi="Times New Roman" w:eastAsia="Times New Roman" w:cs="Times New Roman"/>
                      <w:spacing w:val="-7"/>
                      <w:sz w:val="21"/>
                      <w:szCs w:val="21"/>
                    </w:rPr>
                    <w:t xml:space="preserve">1,1-  </w:t>
                  </w:r>
                  <w:r>
                    <w:rPr>
                      <w:spacing w:val="-8"/>
                      <w:sz w:val="21"/>
                      <w:szCs w:val="21"/>
                    </w:rPr>
                    <w:t xml:space="preserve">二氯乙烷、 </w:t>
                  </w:r>
                  <w:r>
                    <w:rPr>
                      <w:rFonts w:ascii="Times New Roman" w:hAnsi="Times New Roman" w:eastAsia="Times New Roman" w:cs="Times New Roman"/>
                      <w:spacing w:val="-8"/>
                      <w:sz w:val="21"/>
                      <w:szCs w:val="21"/>
                    </w:rPr>
                    <w:t>1,2-</w:t>
                  </w:r>
                  <w:r>
                    <w:rPr>
                      <w:spacing w:val="-8"/>
                      <w:sz w:val="21"/>
                      <w:szCs w:val="21"/>
                    </w:rPr>
                    <w:t xml:space="preserve">二氯乙烷、 </w:t>
                  </w:r>
                  <w:r>
                    <w:rPr>
                      <w:rFonts w:ascii="Times New Roman" w:hAnsi="Times New Roman" w:eastAsia="Times New Roman" w:cs="Times New Roman"/>
                      <w:spacing w:val="-8"/>
                      <w:sz w:val="21"/>
                      <w:szCs w:val="21"/>
                    </w:rPr>
                    <w:t>1,1-</w:t>
                  </w:r>
                  <w:r>
                    <w:rPr>
                      <w:spacing w:val="-8"/>
                      <w:sz w:val="21"/>
                      <w:szCs w:val="21"/>
                    </w:rPr>
                    <w:t>二氯乙烯、顺</w:t>
                  </w:r>
                  <w:r>
                    <w:rPr>
                      <w:rFonts w:ascii="Times New Roman" w:hAnsi="Times New Roman" w:eastAsia="Times New Roman" w:cs="Times New Roman"/>
                      <w:spacing w:val="-8"/>
                      <w:sz w:val="21"/>
                      <w:szCs w:val="21"/>
                    </w:rPr>
                    <w:t>-</w:t>
                  </w:r>
                  <w:r>
                    <w:rPr>
                      <w:rFonts w:ascii="Times New Roman" w:hAnsi="Times New Roman" w:eastAsia="Times New Roman" w:cs="Times New Roman"/>
                      <w:spacing w:val="-23"/>
                      <w:sz w:val="21"/>
                      <w:szCs w:val="21"/>
                    </w:rPr>
                    <w:t xml:space="preserve"> </w:t>
                  </w:r>
                  <w:r>
                    <w:rPr>
                      <w:rFonts w:ascii="Times New Roman" w:hAnsi="Times New Roman" w:eastAsia="Times New Roman" w:cs="Times New Roman"/>
                      <w:spacing w:val="-8"/>
                      <w:sz w:val="21"/>
                      <w:szCs w:val="21"/>
                    </w:rPr>
                    <w:t>1,2-</w:t>
                  </w:r>
                  <w:r>
                    <w:rPr>
                      <w:rFonts w:ascii="Times New Roman" w:hAnsi="Times New Roman" w:eastAsia="Times New Roman" w:cs="Times New Roman"/>
                      <w:sz w:val="21"/>
                      <w:szCs w:val="21"/>
                    </w:rPr>
                    <w:t xml:space="preserve">   </w:t>
                  </w:r>
                  <w:r>
                    <w:rPr>
                      <w:spacing w:val="-7"/>
                      <w:sz w:val="21"/>
                      <w:szCs w:val="21"/>
                    </w:rPr>
                    <w:t>二氯乙烯、反</w:t>
                  </w:r>
                  <w:r>
                    <w:rPr>
                      <w:rFonts w:ascii="Times New Roman" w:hAnsi="Times New Roman" w:eastAsia="Times New Roman" w:cs="Times New Roman"/>
                      <w:spacing w:val="-7"/>
                      <w:sz w:val="21"/>
                      <w:szCs w:val="21"/>
                    </w:rPr>
                    <w:t>-</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7"/>
                      <w:sz w:val="21"/>
                      <w:szCs w:val="21"/>
                    </w:rPr>
                    <w:t>1,2-</w:t>
                  </w:r>
                  <w:r>
                    <w:rPr>
                      <w:spacing w:val="-7"/>
                      <w:sz w:val="21"/>
                      <w:szCs w:val="21"/>
                    </w:rPr>
                    <w:t>二氯乙烯、二氯甲烷、</w:t>
                  </w:r>
                  <w:r>
                    <w:rPr>
                      <w:spacing w:val="-35"/>
                      <w:sz w:val="21"/>
                      <w:szCs w:val="21"/>
                    </w:rPr>
                    <w:t xml:space="preserve"> </w:t>
                  </w:r>
                  <w:r>
                    <w:rPr>
                      <w:rFonts w:ascii="Times New Roman" w:hAnsi="Times New Roman" w:eastAsia="Times New Roman" w:cs="Times New Roman"/>
                      <w:spacing w:val="-7"/>
                      <w:sz w:val="21"/>
                      <w:szCs w:val="21"/>
                    </w:rPr>
                    <w:t>1,2-</w:t>
                  </w:r>
                  <w:r>
                    <w:rPr>
                      <w:spacing w:val="-7"/>
                      <w:sz w:val="21"/>
                      <w:szCs w:val="21"/>
                    </w:rPr>
                    <w:t xml:space="preserve">二氯 </w:t>
                  </w:r>
                  <w:r>
                    <w:rPr>
                      <w:spacing w:val="-8"/>
                      <w:sz w:val="21"/>
                      <w:szCs w:val="21"/>
                    </w:rPr>
                    <w:t xml:space="preserve">丙烷、 </w:t>
                  </w:r>
                  <w:r>
                    <w:rPr>
                      <w:rFonts w:ascii="Times New Roman" w:hAnsi="Times New Roman" w:eastAsia="Times New Roman" w:cs="Times New Roman"/>
                      <w:spacing w:val="-8"/>
                      <w:sz w:val="21"/>
                      <w:szCs w:val="21"/>
                    </w:rPr>
                    <w:t>1,1,1,2-</w:t>
                  </w:r>
                  <w:r>
                    <w:rPr>
                      <w:rFonts w:ascii="Times New Roman" w:hAnsi="Times New Roman" w:eastAsia="Times New Roman" w:cs="Times New Roman"/>
                      <w:spacing w:val="-25"/>
                      <w:sz w:val="21"/>
                      <w:szCs w:val="21"/>
                    </w:rPr>
                    <w:t xml:space="preserve"> </w:t>
                  </w:r>
                  <w:r>
                    <w:rPr>
                      <w:spacing w:val="-8"/>
                      <w:sz w:val="21"/>
                      <w:szCs w:val="21"/>
                    </w:rPr>
                    <w:t xml:space="preserve">四氯乙烷、 </w:t>
                  </w:r>
                  <w:r>
                    <w:rPr>
                      <w:rFonts w:ascii="Times New Roman" w:hAnsi="Times New Roman" w:eastAsia="Times New Roman" w:cs="Times New Roman"/>
                      <w:spacing w:val="-8"/>
                      <w:sz w:val="21"/>
                      <w:szCs w:val="21"/>
                    </w:rPr>
                    <w:t>1,1,2</w:t>
                  </w:r>
                  <w:r>
                    <w:rPr>
                      <w:rFonts w:ascii="Times New Roman" w:hAnsi="Times New Roman" w:eastAsia="Times New Roman" w:cs="Times New Roman"/>
                      <w:spacing w:val="-9"/>
                      <w:sz w:val="21"/>
                      <w:szCs w:val="21"/>
                    </w:rPr>
                    <w:t>,2-</w:t>
                  </w:r>
                  <w:r>
                    <w:rPr>
                      <w:rFonts w:ascii="Times New Roman" w:hAnsi="Times New Roman" w:eastAsia="Times New Roman" w:cs="Times New Roman"/>
                      <w:spacing w:val="-25"/>
                      <w:sz w:val="21"/>
                      <w:szCs w:val="21"/>
                    </w:rPr>
                    <w:t xml:space="preserve"> </w:t>
                  </w:r>
                  <w:r>
                    <w:rPr>
                      <w:spacing w:val="-9"/>
                      <w:sz w:val="21"/>
                      <w:szCs w:val="21"/>
                    </w:rPr>
                    <w:t xml:space="preserve">四氯乙烷、四氯 </w:t>
                  </w:r>
                  <w:r>
                    <w:rPr>
                      <w:spacing w:val="-8"/>
                      <w:sz w:val="21"/>
                      <w:szCs w:val="21"/>
                    </w:rPr>
                    <w:t>乙烯、</w:t>
                  </w:r>
                  <w:r>
                    <w:rPr>
                      <w:rFonts w:ascii="Times New Roman" w:hAnsi="Times New Roman" w:eastAsia="Times New Roman" w:cs="Times New Roman"/>
                      <w:spacing w:val="-8"/>
                      <w:sz w:val="21"/>
                      <w:szCs w:val="21"/>
                    </w:rPr>
                    <w:t>1,1,1-</w:t>
                  </w:r>
                  <w:r>
                    <w:rPr>
                      <w:spacing w:val="-8"/>
                      <w:sz w:val="21"/>
                      <w:szCs w:val="21"/>
                    </w:rPr>
                    <w:t>三氯乙烷、</w:t>
                  </w:r>
                  <w:r>
                    <w:rPr>
                      <w:rFonts w:ascii="Times New Roman" w:hAnsi="Times New Roman" w:eastAsia="Times New Roman" w:cs="Times New Roman"/>
                      <w:spacing w:val="-8"/>
                      <w:sz w:val="21"/>
                      <w:szCs w:val="21"/>
                    </w:rPr>
                    <w:t>1,1,2-</w:t>
                  </w:r>
                  <w:r>
                    <w:rPr>
                      <w:spacing w:val="-8"/>
                      <w:sz w:val="21"/>
                      <w:szCs w:val="21"/>
                    </w:rPr>
                    <w:t>三氯</w:t>
                  </w:r>
                  <w:r>
                    <w:rPr>
                      <w:spacing w:val="-9"/>
                      <w:sz w:val="21"/>
                      <w:szCs w:val="21"/>
                    </w:rPr>
                    <w:t>乙烷、三氯乙烯、</w:t>
                  </w:r>
                  <w:r>
                    <w:rPr>
                      <w:sz w:val="21"/>
                      <w:szCs w:val="21"/>
                    </w:rPr>
                    <w:t xml:space="preserve"> </w:t>
                  </w:r>
                  <w:r>
                    <w:rPr>
                      <w:rFonts w:ascii="Times New Roman" w:hAnsi="Times New Roman" w:eastAsia="Times New Roman" w:cs="Times New Roman"/>
                      <w:spacing w:val="-3"/>
                      <w:sz w:val="21"/>
                      <w:szCs w:val="21"/>
                    </w:rPr>
                    <w:t>1,2,3-</w:t>
                  </w:r>
                  <w:r>
                    <w:rPr>
                      <w:spacing w:val="-3"/>
                      <w:sz w:val="21"/>
                      <w:szCs w:val="21"/>
                    </w:rPr>
                    <w:t>三氯丙烷、氯乙烯、苯、氯苯、</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4"/>
                      <w:sz w:val="21"/>
                      <w:szCs w:val="21"/>
                    </w:rPr>
                    <w:t>2-</w:t>
                  </w:r>
                  <w:r>
                    <w:rPr>
                      <w:spacing w:val="-4"/>
                      <w:sz w:val="21"/>
                      <w:szCs w:val="21"/>
                    </w:rPr>
                    <w:t>二氯苯、</w:t>
                  </w:r>
                  <w:r>
                    <w:rPr>
                      <w:sz w:val="21"/>
                      <w:szCs w:val="21"/>
                    </w:rPr>
                    <w:t xml:space="preserve"> </w:t>
                  </w:r>
                  <w:r>
                    <w:rPr>
                      <w:rFonts w:ascii="Times New Roman" w:hAnsi="Times New Roman" w:eastAsia="Times New Roman" w:cs="Times New Roman"/>
                      <w:spacing w:val="-1"/>
                      <w:sz w:val="21"/>
                      <w:szCs w:val="21"/>
                    </w:rPr>
                    <w:t>1,4-</w:t>
                  </w:r>
                  <w:r>
                    <w:rPr>
                      <w:spacing w:val="-1"/>
                      <w:sz w:val="21"/>
                      <w:szCs w:val="21"/>
                    </w:rPr>
                    <w:t>二氯苯、乙苯、苯乙烯、甲苯、间二甲苯</w:t>
                  </w:r>
                  <w:r>
                    <w:rPr>
                      <w:rFonts w:ascii="Times New Roman" w:hAnsi="Times New Roman" w:eastAsia="Times New Roman" w:cs="Times New Roman"/>
                      <w:spacing w:val="-1"/>
                      <w:sz w:val="21"/>
                      <w:szCs w:val="21"/>
                    </w:rPr>
                    <w:t>+</w:t>
                  </w:r>
                  <w:r>
                    <w:rPr>
                      <w:spacing w:val="-1"/>
                      <w:sz w:val="21"/>
                      <w:szCs w:val="21"/>
                    </w:rPr>
                    <w:t xml:space="preserve">对 </w:t>
                  </w:r>
                  <w:r>
                    <w:rPr>
                      <w:spacing w:val="-4"/>
                      <w:sz w:val="21"/>
                      <w:szCs w:val="21"/>
                    </w:rPr>
                    <w:t>二甲苯、邻二甲苯；</w:t>
                  </w:r>
                </w:p>
                <w:p>
                  <w:pPr>
                    <w:pStyle w:val="6"/>
                    <w:spacing w:before="21" w:line="232" w:lineRule="auto"/>
                    <w:ind w:left="111" w:right="57"/>
                    <w:rPr>
                      <w:sz w:val="21"/>
                      <w:szCs w:val="21"/>
                    </w:rPr>
                  </w:pPr>
                  <w:r>
                    <w:rPr>
                      <w:spacing w:val="-4"/>
                      <w:sz w:val="21"/>
                      <w:szCs w:val="21"/>
                    </w:rPr>
                    <w:t>③半挥发性有机物：硝基苯、苯胺、</w:t>
                  </w:r>
                  <w:r>
                    <w:rPr>
                      <w:spacing w:val="-21"/>
                      <w:sz w:val="21"/>
                      <w:szCs w:val="21"/>
                    </w:rPr>
                    <w:t xml:space="preserve"> </w:t>
                  </w:r>
                  <w:r>
                    <w:rPr>
                      <w:rFonts w:ascii="Times New Roman" w:hAnsi="Times New Roman" w:eastAsia="Times New Roman" w:cs="Times New Roman"/>
                      <w:spacing w:val="-4"/>
                      <w:sz w:val="21"/>
                      <w:szCs w:val="21"/>
                    </w:rPr>
                    <w:t>2-</w:t>
                  </w:r>
                  <w:r>
                    <w:rPr>
                      <w:spacing w:val="-4"/>
                      <w:sz w:val="21"/>
                      <w:szCs w:val="21"/>
                    </w:rPr>
                    <w:t>氯酚、苯</w:t>
                  </w:r>
                  <w:r>
                    <w:rPr>
                      <w:sz w:val="21"/>
                      <w:szCs w:val="21"/>
                    </w:rPr>
                    <w:t xml:space="preserve">  </w:t>
                  </w:r>
                  <w:r>
                    <w:rPr>
                      <w:spacing w:val="-1"/>
                      <w:sz w:val="21"/>
                      <w:szCs w:val="21"/>
                    </w:rPr>
                    <w:t>并</w:t>
                  </w:r>
                  <w:r>
                    <w:rPr>
                      <w:rFonts w:ascii="Times New Roman" w:hAnsi="Times New Roman" w:eastAsia="Times New Roman" w:cs="Times New Roman"/>
                      <w:spacing w:val="-1"/>
                      <w:sz w:val="21"/>
                      <w:szCs w:val="21"/>
                    </w:rPr>
                    <w:t>[a]</w:t>
                  </w:r>
                  <w:r>
                    <w:rPr>
                      <w:spacing w:val="-1"/>
                      <w:sz w:val="21"/>
                      <w:szCs w:val="21"/>
                    </w:rPr>
                    <w:t>蒽、苯并</w:t>
                  </w:r>
                  <w:r>
                    <w:rPr>
                      <w:rFonts w:ascii="Times New Roman" w:hAnsi="Times New Roman" w:eastAsia="Times New Roman" w:cs="Times New Roman"/>
                      <w:spacing w:val="-1"/>
                      <w:sz w:val="21"/>
                      <w:szCs w:val="21"/>
                    </w:rPr>
                    <w:t>[a]</w:t>
                  </w:r>
                  <w:r>
                    <w:rPr>
                      <w:spacing w:val="-1"/>
                      <w:sz w:val="21"/>
                      <w:szCs w:val="21"/>
                    </w:rPr>
                    <w:t>芘、苯并</w:t>
                  </w:r>
                  <w:r>
                    <w:rPr>
                      <w:rFonts w:ascii="Times New Roman" w:hAnsi="Times New Roman" w:eastAsia="Times New Roman" w:cs="Times New Roman"/>
                      <w:spacing w:val="-1"/>
                      <w:sz w:val="21"/>
                      <w:szCs w:val="21"/>
                    </w:rPr>
                    <w:t>[b]</w:t>
                  </w:r>
                  <w:r>
                    <w:rPr>
                      <w:spacing w:val="-1"/>
                      <w:sz w:val="21"/>
                      <w:szCs w:val="21"/>
                    </w:rPr>
                    <w:t>荧蒽、苯并</w:t>
                  </w:r>
                  <w:r>
                    <w:rPr>
                      <w:rFonts w:ascii="Times New Roman" w:hAnsi="Times New Roman" w:eastAsia="Times New Roman" w:cs="Times New Roman"/>
                      <w:spacing w:val="-2"/>
                      <w:sz w:val="21"/>
                      <w:szCs w:val="21"/>
                    </w:rPr>
                    <w:t>[k]</w:t>
                  </w:r>
                  <w:r>
                    <w:rPr>
                      <w:spacing w:val="-2"/>
                      <w:sz w:val="21"/>
                      <w:szCs w:val="21"/>
                    </w:rPr>
                    <w:t>荧蒽、</w:t>
                  </w:r>
                  <w:r>
                    <w:rPr>
                      <w:sz w:val="21"/>
                      <w:szCs w:val="21"/>
                    </w:rPr>
                    <w:t xml:space="preserve"> </w:t>
                  </w:r>
                  <w:r>
                    <w:rPr>
                      <w:spacing w:val="-1"/>
                      <w:sz w:val="21"/>
                      <w:szCs w:val="21"/>
                    </w:rPr>
                    <w:t>䓛、二苯并</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0"/>
                      <w:sz w:val="21"/>
                      <w:szCs w:val="21"/>
                    </w:rPr>
                    <w:t xml:space="preserve"> </w:t>
                  </w:r>
                  <w:r>
                    <w:rPr>
                      <w:spacing w:val="-1"/>
                      <w:sz w:val="21"/>
                      <w:szCs w:val="21"/>
                    </w:rPr>
                    <w:t>，</w:t>
                  </w:r>
                  <w:r>
                    <w:rPr>
                      <w:rFonts w:ascii="Times New Roman" w:hAnsi="Times New Roman" w:eastAsia="Times New Roman" w:cs="Times New Roman"/>
                      <w:spacing w:val="-1"/>
                      <w:sz w:val="21"/>
                      <w:szCs w:val="21"/>
                    </w:rPr>
                    <w:t>h]</w:t>
                  </w:r>
                  <w:r>
                    <w:rPr>
                      <w:spacing w:val="-1"/>
                      <w:sz w:val="21"/>
                      <w:szCs w:val="21"/>
                    </w:rPr>
                    <w:t>蒽、茚并</w:t>
                  </w:r>
                  <w:r>
                    <w:rPr>
                      <w:rFonts w:ascii="Times New Roman" w:hAnsi="Times New Roman" w:eastAsia="Times New Roman" w:cs="Times New Roman"/>
                      <w:spacing w:val="-1"/>
                      <w:sz w:val="21"/>
                      <w:szCs w:val="21"/>
                    </w:rPr>
                    <w:t>[1,2,</w:t>
                  </w:r>
                  <w:r>
                    <w:rPr>
                      <w:rFonts w:ascii="Times New Roman" w:hAnsi="Times New Roman" w:eastAsia="Times New Roman" w:cs="Times New Roman"/>
                      <w:spacing w:val="-2"/>
                      <w:sz w:val="21"/>
                      <w:szCs w:val="21"/>
                    </w:rPr>
                    <w:t>3-cd]</w:t>
                  </w:r>
                  <w:r>
                    <w:rPr>
                      <w:spacing w:val="-2"/>
                      <w:sz w:val="21"/>
                      <w:szCs w:val="21"/>
                    </w:rPr>
                    <w:t>芘、萘；</w:t>
                  </w:r>
                </w:p>
                <w:p>
                  <w:pPr>
                    <w:pStyle w:val="6"/>
                    <w:spacing w:before="27" w:line="223" w:lineRule="auto"/>
                    <w:ind w:left="119" w:right="347" w:hanging="6"/>
                    <w:rPr>
                      <w:sz w:val="21"/>
                      <w:szCs w:val="21"/>
                    </w:rPr>
                  </w:pPr>
                  <w:r>
                    <w:rPr>
                      <w:spacing w:val="-9"/>
                      <w:sz w:val="21"/>
                      <w:szCs w:val="21"/>
                      <w14:textOutline w14:w="3831" w14:cap="flat" w14:cmpd="sng">
                        <w14:solidFill>
                          <w14:srgbClr w14:val="000000"/>
                        </w14:solidFill>
                        <w14:prstDash w14:val="solid"/>
                        <w14:miter w14:val="10"/>
                      </w14:textOutline>
                    </w:rPr>
                    <w:t>特征因子：</w:t>
                  </w:r>
                  <w:r>
                    <w:rPr>
                      <w:spacing w:val="73"/>
                      <w:sz w:val="21"/>
                      <w:szCs w:val="21"/>
                    </w:rPr>
                    <w:t xml:space="preserve"> </w:t>
                  </w:r>
                  <w:r>
                    <w:rPr>
                      <w:spacing w:val="-9"/>
                      <w:sz w:val="21"/>
                      <w:szCs w:val="21"/>
                    </w:rPr>
                    <w:t>石油烃、硫化物、氯化物、含盐量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SSC</w:t>
                  </w:r>
                  <w:r>
                    <w:rPr>
                      <w:spacing w:val="-2"/>
                      <w:sz w:val="21"/>
                      <w:szCs w:val="21"/>
                    </w:rPr>
                    <w:t>）、钡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bottom w:val="nil"/>
                  </w:tcBorders>
                  <w:vAlign w:val="top"/>
                </w:tcPr>
                <w:p>
                  <w:pPr>
                    <w:rPr>
                      <w:rFonts w:ascii="Arial"/>
                      <w:sz w:val="21"/>
                    </w:rPr>
                  </w:pPr>
                </w:p>
              </w:tc>
              <w:tc>
                <w:tcPr>
                  <w:tcW w:w="1277" w:type="dxa"/>
                  <w:vMerge w:val="continue"/>
                  <w:tcBorders>
                    <w:top w:val="nil"/>
                    <w:bottom w:val="nil"/>
                  </w:tcBorders>
                  <w:vAlign w:val="top"/>
                </w:tcPr>
                <w:p>
                  <w:pPr>
                    <w:rPr>
                      <w:rFonts w:ascii="Arial"/>
                      <w:sz w:val="21"/>
                    </w:rPr>
                  </w:pPr>
                </w:p>
              </w:tc>
              <w:tc>
                <w:tcPr>
                  <w:tcW w:w="1132" w:type="dxa"/>
                  <w:vAlign w:val="top"/>
                </w:tcPr>
                <w:p>
                  <w:pPr>
                    <w:spacing w:before="103"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0.5~1.5m</w:t>
                  </w:r>
                </w:p>
              </w:tc>
              <w:tc>
                <w:tcPr>
                  <w:tcW w:w="4666" w:type="dxa"/>
                  <w:vMerge w:val="restart"/>
                  <w:tcBorders>
                    <w:bottom w:val="nil"/>
                  </w:tcBorders>
                  <w:vAlign w:val="top"/>
                </w:tcPr>
                <w:p>
                  <w:pPr>
                    <w:pStyle w:val="6"/>
                    <w:spacing w:before="102" w:line="231" w:lineRule="auto"/>
                    <w:ind w:left="2229" w:right="30" w:hanging="2125"/>
                    <w:rPr>
                      <w:sz w:val="21"/>
                      <w:szCs w:val="21"/>
                    </w:rPr>
                  </w:pPr>
                  <w:r>
                    <w:rPr>
                      <w:rFonts w:ascii="Times New Roman" w:hAnsi="Times New Roman" w:eastAsia="Times New Roman" w:cs="Times New Roman"/>
                      <w:spacing w:val="-4"/>
                      <w:sz w:val="21"/>
                      <w:szCs w:val="21"/>
                    </w:rPr>
                    <w:t>pH</w:t>
                  </w:r>
                  <w:r>
                    <w:rPr>
                      <w:spacing w:val="-4"/>
                      <w:sz w:val="21"/>
                      <w:szCs w:val="21"/>
                    </w:rPr>
                    <w:t>、石油烃、硫化物、氯化物、含盐量（</w:t>
                  </w:r>
                  <w:r>
                    <w:rPr>
                      <w:rFonts w:ascii="Times New Roman" w:hAnsi="Times New Roman" w:eastAsia="Times New Roman" w:cs="Times New Roman"/>
                      <w:spacing w:val="-4"/>
                      <w:sz w:val="21"/>
                      <w:szCs w:val="21"/>
                    </w:rPr>
                    <w:t>SSC</w:t>
                  </w:r>
                  <w:r>
                    <w:rPr>
                      <w:spacing w:val="-4"/>
                      <w:sz w:val="21"/>
                      <w:szCs w:val="21"/>
                    </w:rPr>
                    <w:t>）、</w:t>
                  </w:r>
                  <w:r>
                    <w:rPr>
                      <w:sz w:val="21"/>
                      <w:szCs w:val="21"/>
                    </w:rPr>
                    <w:t xml:space="preserve"> 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bottom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132" w:type="dxa"/>
                  <w:vAlign w:val="top"/>
                </w:tcPr>
                <w:p>
                  <w:pPr>
                    <w:spacing w:before="10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1.5~3.0m</w:t>
                  </w:r>
                </w:p>
              </w:tc>
              <w:tc>
                <w:tcPr>
                  <w:tcW w:w="466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bottom w:val="nil"/>
                  </w:tcBorders>
                  <w:vAlign w:val="top"/>
                </w:tcPr>
                <w:p>
                  <w:pPr>
                    <w:rPr>
                      <w:rFonts w:ascii="Arial"/>
                      <w:sz w:val="21"/>
                    </w:rPr>
                  </w:pPr>
                </w:p>
              </w:tc>
              <w:tc>
                <w:tcPr>
                  <w:tcW w:w="1277" w:type="dxa"/>
                  <w:vMerge w:val="restart"/>
                  <w:tcBorders>
                    <w:bottom w:val="nil"/>
                  </w:tcBorders>
                  <w:vAlign w:val="top"/>
                </w:tcPr>
                <w:p>
                  <w:pPr>
                    <w:pStyle w:val="6"/>
                    <w:spacing w:before="105" w:line="229" w:lineRule="auto"/>
                    <w:ind w:left="535" w:right="183" w:hanging="341"/>
                    <w:rPr>
                      <w:sz w:val="21"/>
                      <w:szCs w:val="21"/>
                    </w:rPr>
                  </w:pPr>
                  <w:r>
                    <w:rPr>
                      <w:rFonts w:ascii="Times New Roman" w:hAnsi="Times New Roman" w:eastAsia="Times New Roman" w:cs="Times New Roman"/>
                      <w:spacing w:val="-4"/>
                      <w:sz w:val="21"/>
                      <w:szCs w:val="21"/>
                    </w:rPr>
                    <w:t>S2</w:t>
                  </w:r>
                  <w:r>
                    <w:rPr>
                      <w:rFonts w:ascii="Times New Roman" w:hAnsi="Times New Roman" w:eastAsia="Times New Roman" w:cs="Times New Roman"/>
                      <w:spacing w:val="9"/>
                      <w:sz w:val="21"/>
                      <w:szCs w:val="21"/>
                    </w:rPr>
                    <w:t xml:space="preserve"> </w:t>
                  </w:r>
                  <w:r>
                    <w:rPr>
                      <w:spacing w:val="-4"/>
                      <w:sz w:val="21"/>
                      <w:szCs w:val="21"/>
                    </w:rPr>
                    <w:t>井场北</w:t>
                  </w:r>
                  <w:r>
                    <w:rPr>
                      <w:sz w:val="21"/>
                      <w:szCs w:val="21"/>
                    </w:rPr>
                    <w:t xml:space="preserve"> 侧</w:t>
                  </w:r>
                </w:p>
              </w:tc>
              <w:tc>
                <w:tcPr>
                  <w:tcW w:w="1132" w:type="dxa"/>
                  <w:vAlign w:val="top"/>
                </w:tcPr>
                <w:p>
                  <w:pPr>
                    <w:spacing w:before="10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0~0.5m</w:t>
                  </w:r>
                </w:p>
              </w:tc>
              <w:tc>
                <w:tcPr>
                  <w:tcW w:w="4666" w:type="dxa"/>
                  <w:vMerge w:val="restart"/>
                  <w:tcBorders>
                    <w:bottom w:val="nil"/>
                  </w:tcBorders>
                  <w:vAlign w:val="top"/>
                </w:tcPr>
                <w:p>
                  <w:pPr>
                    <w:pStyle w:val="6"/>
                    <w:spacing w:before="103" w:line="231" w:lineRule="auto"/>
                    <w:ind w:left="2229" w:right="30" w:hanging="2125"/>
                    <w:rPr>
                      <w:sz w:val="21"/>
                      <w:szCs w:val="21"/>
                    </w:rPr>
                  </w:pPr>
                  <w:r>
                    <w:rPr>
                      <w:rFonts w:ascii="Times New Roman" w:hAnsi="Times New Roman" w:eastAsia="Times New Roman" w:cs="Times New Roman"/>
                      <w:spacing w:val="-4"/>
                      <w:sz w:val="21"/>
                      <w:szCs w:val="21"/>
                    </w:rPr>
                    <w:t>pH</w:t>
                  </w:r>
                  <w:r>
                    <w:rPr>
                      <w:spacing w:val="-4"/>
                      <w:sz w:val="21"/>
                      <w:szCs w:val="21"/>
                    </w:rPr>
                    <w:t>、石油烃、硫化物、氯化物、含盐量（</w:t>
                  </w:r>
                  <w:r>
                    <w:rPr>
                      <w:rFonts w:ascii="Times New Roman" w:hAnsi="Times New Roman" w:eastAsia="Times New Roman" w:cs="Times New Roman"/>
                      <w:spacing w:val="-4"/>
                      <w:sz w:val="21"/>
                      <w:szCs w:val="21"/>
                    </w:rPr>
                    <w:t>SSC</w:t>
                  </w:r>
                  <w:r>
                    <w:rPr>
                      <w:spacing w:val="-4"/>
                      <w:sz w:val="21"/>
                      <w:szCs w:val="21"/>
                    </w:rPr>
                    <w:t>）、</w:t>
                  </w:r>
                  <w:r>
                    <w:rPr>
                      <w:sz w:val="21"/>
                      <w:szCs w:val="21"/>
                    </w:rPr>
                    <w:t xml:space="preserve"> 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bottom w:val="nil"/>
                  </w:tcBorders>
                  <w:vAlign w:val="top"/>
                </w:tcPr>
                <w:p>
                  <w:pPr>
                    <w:rPr>
                      <w:rFonts w:ascii="Arial"/>
                      <w:sz w:val="21"/>
                    </w:rPr>
                  </w:pPr>
                </w:p>
              </w:tc>
              <w:tc>
                <w:tcPr>
                  <w:tcW w:w="1277" w:type="dxa"/>
                  <w:vMerge w:val="continue"/>
                  <w:tcBorders>
                    <w:top w:val="nil"/>
                    <w:bottom w:val="nil"/>
                  </w:tcBorders>
                  <w:vAlign w:val="top"/>
                </w:tcPr>
                <w:p>
                  <w:pPr>
                    <w:rPr>
                      <w:rFonts w:ascii="Arial"/>
                      <w:sz w:val="21"/>
                    </w:rPr>
                  </w:pPr>
                </w:p>
              </w:tc>
              <w:tc>
                <w:tcPr>
                  <w:tcW w:w="1132" w:type="dxa"/>
                  <w:tcBorders>
                    <w:bottom w:val="nil"/>
                  </w:tcBorders>
                  <w:vAlign w:val="top"/>
                </w:tcPr>
                <w:p>
                  <w:pPr>
                    <w:spacing w:before="102"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0.5~1.5m</w:t>
                  </w:r>
                </w:p>
              </w:tc>
              <w:tc>
                <w:tcPr>
                  <w:tcW w:w="4666" w:type="dxa"/>
                  <w:vMerge w:val="continue"/>
                  <w:tcBorders>
                    <w:top w:val="nil"/>
                    <w:bottom w:val="nil"/>
                  </w:tcBorders>
                  <w:vAlign w:val="top"/>
                </w:tcPr>
                <w:p>
                  <w:pPr>
                    <w:rPr>
                      <w:rFonts w:ascii="Arial"/>
                      <w:sz w:val="21"/>
                    </w:rPr>
                  </w:pPr>
                </w:p>
              </w:tc>
            </w:tr>
          </w:tbl>
          <w:p>
            <w:pPr>
              <w:spacing w:line="88" w:lineRule="auto"/>
              <w:rPr>
                <w:rFonts w:ascii="Arial"/>
                <w:sz w:val="2"/>
              </w:rPr>
            </w:pPr>
          </w:p>
        </w:tc>
      </w:tr>
    </w:tbl>
    <w:p>
      <w:pPr>
        <w:pStyle w:val="2"/>
        <w:rPr>
          <w:sz w:val="21"/>
        </w:rPr>
      </w:pPr>
    </w:p>
    <w:p>
      <w:pPr>
        <w:rPr>
          <w:sz w:val="21"/>
          <w:szCs w:val="21"/>
        </w:rPr>
        <w:sectPr>
          <w:footerReference r:id="rId72"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00" w:hRule="atLeast"/>
        </w:trPr>
        <w:tc>
          <w:tcPr>
            <w:tcW w:w="9291" w:type="dxa"/>
            <w:vAlign w:val="top"/>
          </w:tcPr>
          <w:p>
            <w:pPr>
              <w:spacing w:line="18" w:lineRule="exact"/>
            </w:pPr>
            <w:r>
              <w:pict>
                <v:rect id="_x0000_s1272" o:spid="_x0000_s1272" o:spt="1" style="position:absolute;left:0pt;margin-left:22.75pt;margin-top:0.95pt;height:684.1pt;width:0.5pt;mso-position-horizontal-relative:page;mso-position-vertical-relative:page;z-index:251817984;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667"/>
              <w:gridCol w:w="1277"/>
              <w:gridCol w:w="1132"/>
              <w:gridCol w:w="46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8" w:type="dxa"/>
                  <w:vMerge w:val="restart"/>
                  <w:tcBorders>
                    <w:top w:val="nil"/>
                    <w:bottom w:val="nil"/>
                  </w:tcBorders>
                  <w:vAlign w:val="top"/>
                </w:tcPr>
                <w:p>
                  <w:pPr>
                    <w:rPr>
                      <w:rFonts w:ascii="Arial"/>
                      <w:sz w:val="21"/>
                    </w:rPr>
                  </w:pPr>
                </w:p>
              </w:tc>
              <w:tc>
                <w:tcPr>
                  <w:tcW w:w="667" w:type="dxa"/>
                  <w:vMerge w:val="restart"/>
                  <w:tcBorders>
                    <w:top w:val="nil"/>
                    <w:bottom w:val="nil"/>
                  </w:tcBorders>
                  <w:vAlign w:val="top"/>
                </w:tcPr>
                <w:p>
                  <w:pPr>
                    <w:rPr>
                      <w:rFonts w:ascii="Arial"/>
                      <w:sz w:val="21"/>
                    </w:rPr>
                  </w:pPr>
                </w:p>
              </w:tc>
              <w:tc>
                <w:tcPr>
                  <w:tcW w:w="1277" w:type="dxa"/>
                  <w:tcBorders>
                    <w:top w:val="nil"/>
                  </w:tcBorders>
                  <w:vAlign w:val="top"/>
                </w:tcPr>
                <w:p>
                  <w:pPr>
                    <w:rPr>
                      <w:rFonts w:ascii="Arial"/>
                      <w:sz w:val="21"/>
                    </w:rPr>
                  </w:pPr>
                </w:p>
              </w:tc>
              <w:tc>
                <w:tcPr>
                  <w:tcW w:w="1132" w:type="dxa"/>
                  <w:tcBorders>
                    <w:top w:val="nil"/>
                  </w:tcBorders>
                  <w:vAlign w:val="top"/>
                </w:tcPr>
                <w:p>
                  <w:pPr>
                    <w:spacing w:before="10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1.5~3.0m</w:t>
                  </w:r>
                </w:p>
              </w:tc>
              <w:tc>
                <w:tcPr>
                  <w:tcW w:w="4666"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bottom w:val="nil"/>
                  </w:tcBorders>
                  <w:vAlign w:val="top"/>
                </w:tcPr>
                <w:p>
                  <w:pPr>
                    <w:rPr>
                      <w:rFonts w:ascii="Arial"/>
                      <w:sz w:val="21"/>
                    </w:rPr>
                  </w:pPr>
                </w:p>
              </w:tc>
              <w:tc>
                <w:tcPr>
                  <w:tcW w:w="1277" w:type="dxa"/>
                  <w:vMerge w:val="restart"/>
                  <w:tcBorders>
                    <w:bottom w:val="nil"/>
                  </w:tcBorders>
                  <w:vAlign w:val="top"/>
                </w:tcPr>
                <w:p>
                  <w:pPr>
                    <w:pStyle w:val="6"/>
                    <w:spacing w:before="276" w:line="231" w:lineRule="auto"/>
                    <w:ind w:left="433" w:right="183" w:hanging="239"/>
                    <w:rPr>
                      <w:sz w:val="21"/>
                      <w:szCs w:val="21"/>
                    </w:rPr>
                  </w:pPr>
                  <w:r>
                    <w:rPr>
                      <w:rFonts w:ascii="Times New Roman" w:hAnsi="Times New Roman" w:eastAsia="Times New Roman" w:cs="Times New Roman"/>
                      <w:spacing w:val="-4"/>
                      <w:sz w:val="21"/>
                      <w:szCs w:val="21"/>
                    </w:rPr>
                    <w:t>S3</w:t>
                  </w:r>
                  <w:r>
                    <w:rPr>
                      <w:rFonts w:ascii="Times New Roman" w:hAnsi="Times New Roman" w:eastAsia="Times New Roman" w:cs="Times New Roman"/>
                      <w:spacing w:val="9"/>
                      <w:sz w:val="21"/>
                      <w:szCs w:val="21"/>
                    </w:rPr>
                    <w:t xml:space="preserve"> </w:t>
                  </w:r>
                  <w:r>
                    <w:rPr>
                      <w:spacing w:val="-4"/>
                      <w:sz w:val="21"/>
                      <w:szCs w:val="21"/>
                    </w:rPr>
                    <w:t>井场西</w:t>
                  </w:r>
                  <w:r>
                    <w:rPr>
                      <w:sz w:val="21"/>
                      <w:szCs w:val="21"/>
                    </w:rPr>
                    <w:t xml:space="preserve"> </w:t>
                  </w:r>
                  <w:r>
                    <w:rPr>
                      <w:spacing w:val="-3"/>
                      <w:sz w:val="21"/>
                      <w:szCs w:val="21"/>
                    </w:rPr>
                    <w:t>南侧</w:t>
                  </w:r>
                </w:p>
              </w:tc>
              <w:tc>
                <w:tcPr>
                  <w:tcW w:w="1132" w:type="dxa"/>
                  <w:vAlign w:val="top"/>
                </w:tcPr>
                <w:p>
                  <w:pPr>
                    <w:spacing w:before="10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0~0.5m</w:t>
                  </w:r>
                </w:p>
              </w:tc>
              <w:tc>
                <w:tcPr>
                  <w:tcW w:w="4666" w:type="dxa"/>
                  <w:vMerge w:val="restart"/>
                  <w:tcBorders>
                    <w:bottom w:val="nil"/>
                  </w:tcBorders>
                  <w:vAlign w:val="top"/>
                </w:tcPr>
                <w:p>
                  <w:pPr>
                    <w:pStyle w:val="6"/>
                    <w:spacing w:before="276" w:line="232" w:lineRule="auto"/>
                    <w:ind w:left="2229" w:right="30" w:hanging="2125"/>
                    <w:rPr>
                      <w:sz w:val="21"/>
                      <w:szCs w:val="21"/>
                    </w:rPr>
                  </w:pPr>
                  <w:r>
                    <w:rPr>
                      <w:rFonts w:ascii="Times New Roman" w:hAnsi="Times New Roman" w:eastAsia="Times New Roman" w:cs="Times New Roman"/>
                      <w:spacing w:val="-4"/>
                      <w:sz w:val="21"/>
                      <w:szCs w:val="21"/>
                    </w:rPr>
                    <w:t>pH</w:t>
                  </w:r>
                  <w:r>
                    <w:rPr>
                      <w:spacing w:val="-4"/>
                      <w:sz w:val="21"/>
                      <w:szCs w:val="21"/>
                    </w:rPr>
                    <w:t>、石油烃、硫化物、氯化物、含盐量（</w:t>
                  </w:r>
                  <w:r>
                    <w:rPr>
                      <w:rFonts w:ascii="Times New Roman" w:hAnsi="Times New Roman" w:eastAsia="Times New Roman" w:cs="Times New Roman"/>
                      <w:spacing w:val="-4"/>
                      <w:sz w:val="21"/>
                      <w:szCs w:val="21"/>
                    </w:rPr>
                    <w:t>SSC</w:t>
                  </w:r>
                  <w:r>
                    <w:rPr>
                      <w:spacing w:val="-4"/>
                      <w:sz w:val="21"/>
                      <w:szCs w:val="21"/>
                    </w:rPr>
                    <w:t>）、</w:t>
                  </w:r>
                  <w:r>
                    <w:rPr>
                      <w:sz w:val="21"/>
                      <w:szCs w:val="21"/>
                    </w:rPr>
                    <w:t xml:space="preserve"> 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bottom w:val="nil"/>
                  </w:tcBorders>
                  <w:vAlign w:val="top"/>
                </w:tcPr>
                <w:p>
                  <w:pPr>
                    <w:rPr>
                      <w:rFonts w:ascii="Arial"/>
                      <w:sz w:val="21"/>
                    </w:rPr>
                  </w:pPr>
                </w:p>
              </w:tc>
              <w:tc>
                <w:tcPr>
                  <w:tcW w:w="1277" w:type="dxa"/>
                  <w:vMerge w:val="continue"/>
                  <w:tcBorders>
                    <w:top w:val="nil"/>
                    <w:bottom w:val="nil"/>
                  </w:tcBorders>
                  <w:vAlign w:val="top"/>
                </w:tcPr>
                <w:p>
                  <w:pPr>
                    <w:rPr>
                      <w:rFonts w:ascii="Arial"/>
                      <w:sz w:val="21"/>
                    </w:rPr>
                  </w:pPr>
                </w:p>
              </w:tc>
              <w:tc>
                <w:tcPr>
                  <w:tcW w:w="1132" w:type="dxa"/>
                  <w:vAlign w:val="top"/>
                </w:tcPr>
                <w:p>
                  <w:pPr>
                    <w:spacing w:before="103"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0.5~1.5m</w:t>
                  </w:r>
                </w:p>
              </w:tc>
              <w:tc>
                <w:tcPr>
                  <w:tcW w:w="466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8" w:type="dxa"/>
                  <w:vMerge w:val="continue"/>
                  <w:tcBorders>
                    <w:top w:val="nil"/>
                    <w:bottom w:val="nil"/>
                  </w:tcBorders>
                  <w:vAlign w:val="top"/>
                </w:tcPr>
                <w:p>
                  <w:pPr>
                    <w:rPr>
                      <w:rFonts w:ascii="Arial"/>
                      <w:sz w:val="21"/>
                    </w:rPr>
                  </w:pPr>
                </w:p>
              </w:tc>
              <w:tc>
                <w:tcPr>
                  <w:tcW w:w="667" w:type="dxa"/>
                  <w:vMerge w:val="continue"/>
                  <w:tcBorders>
                    <w:top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132" w:type="dxa"/>
                  <w:vAlign w:val="top"/>
                </w:tcPr>
                <w:p>
                  <w:pPr>
                    <w:spacing w:before="10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1.5~3.0m</w:t>
                  </w:r>
                </w:p>
              </w:tc>
              <w:tc>
                <w:tcPr>
                  <w:tcW w:w="466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68" w:type="dxa"/>
                  <w:vMerge w:val="continue"/>
                  <w:tcBorders>
                    <w:top w:val="nil"/>
                  </w:tcBorders>
                  <w:vAlign w:val="top"/>
                </w:tcPr>
                <w:p>
                  <w:pPr>
                    <w:rPr>
                      <w:rFonts w:ascii="Arial"/>
                      <w:sz w:val="21"/>
                    </w:rPr>
                  </w:pPr>
                </w:p>
              </w:tc>
              <w:tc>
                <w:tcPr>
                  <w:tcW w:w="667" w:type="dxa"/>
                  <w:vAlign w:val="top"/>
                </w:tcPr>
                <w:p>
                  <w:pPr>
                    <w:pStyle w:val="6"/>
                    <w:spacing w:before="33" w:line="223" w:lineRule="auto"/>
                    <w:ind w:left="230" w:right="121" w:hanging="105"/>
                    <w:rPr>
                      <w:sz w:val="21"/>
                      <w:szCs w:val="21"/>
                    </w:rPr>
                  </w:pPr>
                  <w:r>
                    <w:rPr>
                      <w:spacing w:val="-3"/>
                      <w:sz w:val="21"/>
                      <w:szCs w:val="21"/>
                    </w:rPr>
                    <w:t>表层</w:t>
                  </w:r>
                  <w:r>
                    <w:rPr>
                      <w:sz w:val="21"/>
                      <w:szCs w:val="21"/>
                    </w:rPr>
                    <w:t xml:space="preserve"> 样</w:t>
                  </w:r>
                </w:p>
              </w:tc>
              <w:tc>
                <w:tcPr>
                  <w:tcW w:w="1277" w:type="dxa"/>
                  <w:vAlign w:val="top"/>
                </w:tcPr>
                <w:p>
                  <w:pPr>
                    <w:pStyle w:val="6"/>
                    <w:spacing w:before="33" w:line="223" w:lineRule="auto"/>
                    <w:ind w:left="535" w:right="184" w:hanging="341"/>
                    <w:rPr>
                      <w:sz w:val="21"/>
                      <w:szCs w:val="21"/>
                    </w:rPr>
                  </w:pPr>
                  <w:r>
                    <w:rPr>
                      <w:rFonts w:ascii="Times New Roman" w:hAnsi="Times New Roman" w:eastAsia="Times New Roman" w:cs="Times New Roman"/>
                      <w:spacing w:val="-4"/>
                      <w:sz w:val="21"/>
                      <w:szCs w:val="21"/>
                    </w:rPr>
                    <w:t>S4</w:t>
                  </w:r>
                  <w:r>
                    <w:rPr>
                      <w:rFonts w:ascii="Times New Roman" w:hAnsi="Times New Roman" w:eastAsia="Times New Roman" w:cs="Times New Roman"/>
                      <w:spacing w:val="8"/>
                      <w:sz w:val="21"/>
                      <w:szCs w:val="21"/>
                    </w:rPr>
                    <w:t xml:space="preserve"> </w:t>
                  </w:r>
                  <w:r>
                    <w:rPr>
                      <w:spacing w:val="-4"/>
                      <w:sz w:val="21"/>
                      <w:szCs w:val="21"/>
                    </w:rPr>
                    <w:t>井口东</w:t>
                  </w:r>
                  <w:r>
                    <w:rPr>
                      <w:sz w:val="21"/>
                      <w:szCs w:val="21"/>
                    </w:rPr>
                    <w:t xml:space="preserve"> 侧</w:t>
                  </w:r>
                </w:p>
              </w:tc>
              <w:tc>
                <w:tcPr>
                  <w:tcW w:w="1132" w:type="dxa"/>
                  <w:vAlign w:val="top"/>
                </w:tcPr>
                <w:p>
                  <w:pPr>
                    <w:spacing w:before="207"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0~0.2m</w:t>
                  </w:r>
                </w:p>
              </w:tc>
              <w:tc>
                <w:tcPr>
                  <w:tcW w:w="4666" w:type="dxa"/>
                  <w:vAlign w:val="top"/>
                </w:tcPr>
                <w:p>
                  <w:pPr>
                    <w:pStyle w:val="6"/>
                    <w:spacing w:before="33" w:line="223" w:lineRule="auto"/>
                    <w:ind w:left="2229" w:right="30" w:hanging="2125"/>
                    <w:rPr>
                      <w:sz w:val="21"/>
                      <w:szCs w:val="21"/>
                    </w:rPr>
                  </w:pPr>
                  <w:r>
                    <w:rPr>
                      <w:rFonts w:ascii="Times New Roman" w:hAnsi="Times New Roman" w:eastAsia="Times New Roman" w:cs="Times New Roman"/>
                      <w:spacing w:val="-4"/>
                      <w:sz w:val="21"/>
                      <w:szCs w:val="21"/>
                    </w:rPr>
                    <w:t>pH</w:t>
                  </w:r>
                  <w:r>
                    <w:rPr>
                      <w:spacing w:val="-4"/>
                      <w:sz w:val="21"/>
                      <w:szCs w:val="21"/>
                    </w:rPr>
                    <w:t>、石油烃、硫化物、氯化物、含盐量（</w:t>
                  </w:r>
                  <w:r>
                    <w:rPr>
                      <w:rFonts w:ascii="Times New Roman" w:hAnsi="Times New Roman" w:eastAsia="Times New Roman" w:cs="Times New Roman"/>
                      <w:spacing w:val="-4"/>
                      <w:sz w:val="21"/>
                      <w:szCs w:val="21"/>
                    </w:rPr>
                    <w:t>SSC</w:t>
                  </w:r>
                  <w:r>
                    <w:rPr>
                      <w:spacing w:val="-4"/>
                      <w:sz w:val="21"/>
                      <w:szCs w:val="21"/>
                    </w:rPr>
                    <w:t>）、</w:t>
                  </w:r>
                  <w:r>
                    <w:rPr>
                      <w:sz w:val="21"/>
                      <w:szCs w:val="21"/>
                    </w:rPr>
                    <w:t xml:space="preserve"> 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68" w:type="dxa"/>
                  <w:vMerge w:val="restart"/>
                  <w:tcBorders>
                    <w:bottom w:val="nil"/>
                  </w:tcBorders>
                  <w:vAlign w:val="top"/>
                </w:tcPr>
                <w:p>
                  <w:pPr>
                    <w:pStyle w:val="6"/>
                    <w:spacing w:before="175" w:line="221" w:lineRule="auto"/>
                    <w:ind w:left="123"/>
                    <w:rPr>
                      <w:sz w:val="21"/>
                      <w:szCs w:val="21"/>
                    </w:rPr>
                  </w:pPr>
                  <w:r>
                    <w:rPr>
                      <w:spacing w:val="-2"/>
                      <w:sz w:val="21"/>
                      <w:szCs w:val="21"/>
                    </w:rPr>
                    <w:t>井场占</w:t>
                  </w:r>
                </w:p>
                <w:p>
                  <w:pPr>
                    <w:pStyle w:val="6"/>
                    <w:spacing w:before="19" w:line="221" w:lineRule="auto"/>
                    <w:ind w:left="123"/>
                    <w:rPr>
                      <w:sz w:val="21"/>
                      <w:szCs w:val="21"/>
                    </w:rPr>
                  </w:pPr>
                  <w:r>
                    <w:rPr>
                      <w:spacing w:val="-2"/>
                      <w:sz w:val="21"/>
                      <w:szCs w:val="21"/>
                    </w:rPr>
                    <w:t>地范围</w:t>
                  </w:r>
                </w:p>
                <w:p>
                  <w:pPr>
                    <w:pStyle w:val="6"/>
                    <w:spacing w:before="22" w:line="221" w:lineRule="auto"/>
                    <w:ind w:left="338"/>
                    <w:rPr>
                      <w:sz w:val="21"/>
                      <w:szCs w:val="21"/>
                    </w:rPr>
                  </w:pPr>
                  <w:r>
                    <w:rPr>
                      <w:sz w:val="21"/>
                      <w:szCs w:val="21"/>
                    </w:rPr>
                    <w:t>外</w:t>
                  </w:r>
                </w:p>
              </w:tc>
              <w:tc>
                <w:tcPr>
                  <w:tcW w:w="667" w:type="dxa"/>
                  <w:vMerge w:val="restart"/>
                  <w:tcBorders>
                    <w:bottom w:val="nil"/>
                  </w:tcBorders>
                  <w:vAlign w:val="top"/>
                </w:tcPr>
                <w:p>
                  <w:pPr>
                    <w:pStyle w:val="6"/>
                    <w:spacing w:before="308" w:line="231" w:lineRule="auto"/>
                    <w:ind w:left="230" w:right="121" w:hanging="105"/>
                    <w:rPr>
                      <w:sz w:val="21"/>
                      <w:szCs w:val="21"/>
                    </w:rPr>
                  </w:pPr>
                  <w:r>
                    <w:rPr>
                      <w:spacing w:val="-3"/>
                      <w:sz w:val="21"/>
                      <w:szCs w:val="21"/>
                    </w:rPr>
                    <w:t>表层</w:t>
                  </w:r>
                  <w:r>
                    <w:rPr>
                      <w:sz w:val="21"/>
                      <w:szCs w:val="21"/>
                    </w:rPr>
                    <w:t xml:space="preserve"> 样</w:t>
                  </w:r>
                </w:p>
              </w:tc>
              <w:tc>
                <w:tcPr>
                  <w:tcW w:w="1277" w:type="dxa"/>
                  <w:vAlign w:val="top"/>
                </w:tcPr>
                <w:p>
                  <w:pPr>
                    <w:pStyle w:val="6"/>
                    <w:spacing w:before="33" w:line="222" w:lineRule="auto"/>
                    <w:ind w:left="122" w:right="109" w:firstLine="71"/>
                    <w:rPr>
                      <w:sz w:val="21"/>
                      <w:szCs w:val="21"/>
                    </w:rPr>
                  </w:pPr>
                  <w:r>
                    <w:rPr>
                      <w:rFonts w:ascii="Times New Roman" w:hAnsi="Times New Roman" w:eastAsia="Times New Roman" w:cs="Times New Roman"/>
                      <w:spacing w:val="-4"/>
                      <w:sz w:val="21"/>
                      <w:szCs w:val="21"/>
                    </w:rPr>
                    <w:t>S5</w:t>
                  </w:r>
                  <w:r>
                    <w:rPr>
                      <w:rFonts w:ascii="Times New Roman" w:hAnsi="Times New Roman" w:eastAsia="Times New Roman" w:cs="Times New Roman"/>
                      <w:spacing w:val="8"/>
                      <w:sz w:val="21"/>
                      <w:szCs w:val="21"/>
                    </w:rPr>
                    <w:t xml:space="preserve"> </w:t>
                  </w:r>
                  <w:r>
                    <w:rPr>
                      <w:spacing w:val="-4"/>
                      <w:sz w:val="21"/>
                      <w:szCs w:val="21"/>
                    </w:rPr>
                    <w:t>井场外</w:t>
                  </w:r>
                  <w:r>
                    <w:rPr>
                      <w:sz w:val="21"/>
                      <w:szCs w:val="21"/>
                    </w:rPr>
                    <w:t xml:space="preserve"> </w:t>
                  </w:r>
                  <w:r>
                    <w:rPr>
                      <w:spacing w:val="-2"/>
                      <w:sz w:val="21"/>
                      <w:szCs w:val="21"/>
                    </w:rPr>
                    <w:t>西南侧旱地</w:t>
                  </w:r>
                </w:p>
              </w:tc>
              <w:tc>
                <w:tcPr>
                  <w:tcW w:w="1132" w:type="dxa"/>
                  <w:vAlign w:val="top"/>
                </w:tcPr>
                <w:p>
                  <w:pPr>
                    <w:spacing w:before="208"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0~0.2m</w:t>
                  </w:r>
                </w:p>
              </w:tc>
              <w:tc>
                <w:tcPr>
                  <w:tcW w:w="4666" w:type="dxa"/>
                  <w:vMerge w:val="restart"/>
                  <w:tcBorders>
                    <w:bottom w:val="nil"/>
                  </w:tcBorders>
                  <w:vAlign w:val="top"/>
                </w:tcPr>
                <w:p>
                  <w:pPr>
                    <w:pStyle w:val="6"/>
                    <w:spacing w:before="37" w:line="214" w:lineRule="auto"/>
                    <w:ind w:left="162"/>
                    <w:rPr>
                      <w:sz w:val="21"/>
                      <w:szCs w:val="21"/>
                    </w:rPr>
                  </w:pPr>
                  <w:r>
                    <w:rPr>
                      <w:spacing w:val="-2"/>
                      <w:sz w:val="21"/>
                      <w:szCs w:val="21"/>
                      <w14:textOutline w14:w="3831" w14:cap="flat" w14:cmpd="sng">
                        <w14:solidFill>
                          <w14:srgbClr w14:val="000000"/>
                        </w14:solidFill>
                        <w14:prstDash w14:val="solid"/>
                        <w14:miter w14:val="10"/>
                      </w14:textOutline>
                    </w:rPr>
                    <w:t>①</w:t>
                  </w:r>
                  <w:r>
                    <w:rPr>
                      <w:rFonts w:ascii="Times New Roman" w:hAnsi="Times New Roman" w:eastAsia="Times New Roman" w:cs="Times New Roman"/>
                      <w:b/>
                      <w:bCs/>
                      <w:spacing w:val="-2"/>
                      <w:sz w:val="21"/>
                      <w:szCs w:val="21"/>
                    </w:rPr>
                    <w:t xml:space="preserve">GB15168  </w:t>
                  </w:r>
                  <w:r>
                    <w:rPr>
                      <w:spacing w:val="-2"/>
                      <w:sz w:val="21"/>
                      <w:szCs w:val="21"/>
                      <w14:textOutline w14:w="3831" w14:cap="flat" w14:cmpd="sng">
                        <w14:solidFill>
                          <w14:srgbClr w14:val="000000"/>
                        </w14:solidFill>
                        <w14:prstDash w14:val="solid"/>
                        <w14:miter w14:val="10"/>
                      </w14:textOutline>
                    </w:rPr>
                    <w:t>基本因子</w:t>
                  </w:r>
                  <w:r>
                    <w:rPr>
                      <w:spacing w:val="-2"/>
                      <w:sz w:val="21"/>
                      <w:szCs w:val="21"/>
                    </w:rPr>
                    <w:t>：</w:t>
                  </w:r>
                  <w:r>
                    <w:rPr>
                      <w:rFonts w:ascii="Times New Roman" w:hAnsi="Times New Roman" w:eastAsia="Times New Roman" w:cs="Times New Roman"/>
                      <w:spacing w:val="-2"/>
                      <w:sz w:val="21"/>
                      <w:szCs w:val="21"/>
                    </w:rPr>
                    <w:t>pH</w:t>
                  </w:r>
                  <w:r>
                    <w:rPr>
                      <w:rFonts w:ascii="Times New Roman" w:hAnsi="Times New Roman" w:eastAsia="Times New Roman" w:cs="Times New Roman"/>
                      <w:spacing w:val="-31"/>
                      <w:sz w:val="21"/>
                      <w:szCs w:val="21"/>
                    </w:rPr>
                    <w:t xml:space="preserve"> </w:t>
                  </w:r>
                  <w:r>
                    <w:rPr>
                      <w:spacing w:val="-2"/>
                      <w:sz w:val="21"/>
                      <w:szCs w:val="21"/>
                    </w:rPr>
                    <w:t>、镉、汞、砷、铅、</w:t>
                  </w:r>
                </w:p>
                <w:p>
                  <w:pPr>
                    <w:pStyle w:val="6"/>
                    <w:spacing w:before="28" w:line="221" w:lineRule="auto"/>
                    <w:ind w:left="1495"/>
                    <w:rPr>
                      <w:sz w:val="21"/>
                      <w:szCs w:val="21"/>
                    </w:rPr>
                  </w:pPr>
                  <w:r>
                    <w:rPr>
                      <w:spacing w:val="-2"/>
                      <w:sz w:val="21"/>
                      <w:szCs w:val="21"/>
                    </w:rPr>
                    <w:t>铬、铜、镍、锌；</w:t>
                  </w:r>
                </w:p>
                <w:p>
                  <w:pPr>
                    <w:pStyle w:val="6"/>
                    <w:spacing w:before="21" w:line="226" w:lineRule="auto"/>
                    <w:ind w:left="1735" w:right="122" w:hanging="1609"/>
                    <w:rPr>
                      <w:sz w:val="21"/>
                      <w:szCs w:val="21"/>
                    </w:rPr>
                  </w:pPr>
                  <w:r>
                    <w:rPr>
                      <w:spacing w:val="-5"/>
                      <w:sz w:val="21"/>
                      <w:szCs w:val="21"/>
                      <w14:textOutline w14:w="3831" w14:cap="flat" w14:cmpd="sng">
                        <w14:solidFill>
                          <w14:srgbClr w14:val="000000"/>
                        </w14:solidFill>
                        <w14:prstDash w14:val="solid"/>
                        <w14:miter w14:val="10"/>
                      </w14:textOutline>
                    </w:rPr>
                    <w:t>②特征因子：</w:t>
                  </w:r>
                  <w:r>
                    <w:rPr>
                      <w:spacing w:val="-5"/>
                      <w:sz w:val="21"/>
                      <w:szCs w:val="21"/>
                    </w:rPr>
                    <w:t xml:space="preserve"> 石油烃、硫化物、氯化物、含盐量</w:t>
                  </w:r>
                  <w:r>
                    <w:rPr>
                      <w:spacing w:val="6"/>
                      <w:sz w:val="21"/>
                      <w:szCs w:val="21"/>
                    </w:rPr>
                    <w:t xml:space="preserve"> </w:t>
                  </w:r>
                  <w:r>
                    <w:rPr>
                      <w:spacing w:val="-2"/>
                      <w:sz w:val="21"/>
                      <w:szCs w:val="21"/>
                    </w:rPr>
                    <w:t>（</w:t>
                  </w:r>
                  <w:r>
                    <w:rPr>
                      <w:rFonts w:ascii="Times New Roman" w:hAnsi="Times New Roman" w:eastAsia="Times New Roman" w:cs="Times New Roman"/>
                      <w:spacing w:val="-2"/>
                      <w:sz w:val="21"/>
                      <w:szCs w:val="21"/>
                    </w:rPr>
                    <w:t>SSC</w:t>
                  </w:r>
                  <w:r>
                    <w:rPr>
                      <w:spacing w:val="-2"/>
                      <w:sz w:val="21"/>
                      <w:szCs w:val="21"/>
                    </w:rPr>
                    <w:t>）、钡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68" w:type="dxa"/>
                  <w:vMerge w:val="continue"/>
                  <w:tcBorders>
                    <w:top w:val="nil"/>
                  </w:tcBorders>
                  <w:vAlign w:val="top"/>
                </w:tcPr>
                <w:p>
                  <w:pPr>
                    <w:rPr>
                      <w:rFonts w:ascii="Arial"/>
                      <w:sz w:val="21"/>
                    </w:rPr>
                  </w:pPr>
                </w:p>
              </w:tc>
              <w:tc>
                <w:tcPr>
                  <w:tcW w:w="667" w:type="dxa"/>
                  <w:vMerge w:val="continue"/>
                  <w:tcBorders>
                    <w:top w:val="nil"/>
                  </w:tcBorders>
                  <w:vAlign w:val="top"/>
                </w:tcPr>
                <w:p>
                  <w:pPr>
                    <w:rPr>
                      <w:rFonts w:ascii="Arial"/>
                      <w:sz w:val="21"/>
                    </w:rPr>
                  </w:pPr>
                </w:p>
              </w:tc>
              <w:tc>
                <w:tcPr>
                  <w:tcW w:w="1277" w:type="dxa"/>
                  <w:vAlign w:val="top"/>
                </w:tcPr>
                <w:p>
                  <w:pPr>
                    <w:pStyle w:val="6"/>
                    <w:spacing w:before="33" w:line="224" w:lineRule="auto"/>
                    <w:ind w:left="124" w:right="109" w:firstLine="69"/>
                    <w:rPr>
                      <w:sz w:val="21"/>
                      <w:szCs w:val="21"/>
                    </w:rPr>
                  </w:pPr>
                  <w:r>
                    <w:rPr>
                      <w:rFonts w:ascii="Times New Roman" w:hAnsi="Times New Roman" w:eastAsia="Times New Roman" w:cs="Times New Roman"/>
                      <w:spacing w:val="-4"/>
                      <w:sz w:val="21"/>
                      <w:szCs w:val="21"/>
                    </w:rPr>
                    <w:t>S6</w:t>
                  </w:r>
                  <w:r>
                    <w:rPr>
                      <w:rFonts w:ascii="Times New Roman" w:hAnsi="Times New Roman" w:eastAsia="Times New Roman" w:cs="Times New Roman"/>
                      <w:spacing w:val="8"/>
                      <w:sz w:val="21"/>
                      <w:szCs w:val="21"/>
                    </w:rPr>
                    <w:t xml:space="preserve"> </w:t>
                  </w:r>
                  <w:r>
                    <w:rPr>
                      <w:spacing w:val="-4"/>
                      <w:sz w:val="21"/>
                      <w:szCs w:val="21"/>
                    </w:rPr>
                    <w:t>井场外</w:t>
                  </w:r>
                  <w:r>
                    <w:rPr>
                      <w:sz w:val="21"/>
                      <w:szCs w:val="21"/>
                    </w:rPr>
                    <w:t xml:space="preserve"> </w:t>
                  </w:r>
                  <w:r>
                    <w:rPr>
                      <w:spacing w:val="-3"/>
                      <w:sz w:val="21"/>
                      <w:szCs w:val="21"/>
                    </w:rPr>
                    <w:t>东北侧水田</w:t>
                  </w:r>
                </w:p>
              </w:tc>
              <w:tc>
                <w:tcPr>
                  <w:tcW w:w="1132" w:type="dxa"/>
                  <w:vAlign w:val="top"/>
                </w:tcPr>
                <w:p>
                  <w:pPr>
                    <w:spacing w:before="208"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0~0.2m</w:t>
                  </w:r>
                </w:p>
              </w:tc>
              <w:tc>
                <w:tcPr>
                  <w:tcW w:w="4666" w:type="dxa"/>
                  <w:vMerge w:val="continue"/>
                  <w:tcBorders>
                    <w:top w:val="nil"/>
                  </w:tcBorders>
                  <w:vAlign w:val="top"/>
                </w:tcPr>
                <w:p>
                  <w:pPr>
                    <w:rPr>
                      <w:rFonts w:ascii="Arial"/>
                      <w:sz w:val="21"/>
                    </w:rPr>
                  </w:pPr>
                </w:p>
              </w:tc>
            </w:tr>
          </w:tbl>
          <w:p>
            <w:pPr>
              <w:pStyle w:val="6"/>
              <w:spacing w:before="178" w:line="217" w:lineRule="auto"/>
              <w:ind w:left="1046"/>
              <w:rPr>
                <w:sz w:val="24"/>
                <w:szCs w:val="24"/>
              </w:rPr>
            </w:pPr>
            <w:r>
              <w:rPr>
                <w:spacing w:val="-1"/>
                <w:sz w:val="24"/>
                <w:szCs w:val="24"/>
              </w:rPr>
              <w:t>②监测时间及频率</w:t>
            </w:r>
          </w:p>
          <w:p>
            <w:pPr>
              <w:pStyle w:val="6"/>
              <w:spacing w:before="197" w:line="219" w:lineRule="auto"/>
              <w:ind w:left="1049"/>
              <w:rPr>
                <w:sz w:val="24"/>
                <w:szCs w:val="24"/>
              </w:rPr>
            </w:pPr>
            <w:r>
              <w:rPr>
                <w:spacing w:val="-5"/>
                <w:sz w:val="24"/>
                <w:szCs w:val="24"/>
              </w:rPr>
              <w:t>土壤采样时间为</w:t>
            </w:r>
            <w:r>
              <w:rPr>
                <w:spacing w:val="-55"/>
                <w:sz w:val="24"/>
                <w:szCs w:val="24"/>
              </w:rPr>
              <w:t xml:space="preserve"> </w:t>
            </w:r>
            <w:r>
              <w:rPr>
                <w:rFonts w:ascii="Times New Roman" w:hAnsi="Times New Roman" w:eastAsia="Times New Roman" w:cs="Times New Roman"/>
                <w:spacing w:val="-5"/>
                <w:sz w:val="24"/>
                <w:szCs w:val="24"/>
              </w:rPr>
              <w:t xml:space="preserve">2023 </w:t>
            </w:r>
            <w:r>
              <w:rPr>
                <w:spacing w:val="-5"/>
                <w:sz w:val="24"/>
                <w:szCs w:val="24"/>
              </w:rPr>
              <w:t>年</w:t>
            </w:r>
            <w:r>
              <w:rPr>
                <w:spacing w:val="-50"/>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5"/>
                <w:sz w:val="24"/>
                <w:szCs w:val="24"/>
              </w:rPr>
              <w:t xml:space="preserve"> </w:t>
            </w:r>
            <w:r>
              <w:rPr>
                <w:spacing w:val="-5"/>
                <w:sz w:val="24"/>
                <w:szCs w:val="24"/>
              </w:rPr>
              <w:t>月</w:t>
            </w:r>
            <w:r>
              <w:rPr>
                <w:spacing w:val="-55"/>
                <w:sz w:val="24"/>
                <w:szCs w:val="24"/>
              </w:rPr>
              <w:t xml:space="preserve"> </w:t>
            </w:r>
            <w:r>
              <w:rPr>
                <w:rFonts w:ascii="Times New Roman" w:hAnsi="Times New Roman" w:eastAsia="Times New Roman" w:cs="Times New Roman"/>
                <w:spacing w:val="-5"/>
                <w:sz w:val="24"/>
                <w:szCs w:val="24"/>
              </w:rPr>
              <w:t xml:space="preserve">26  </w:t>
            </w:r>
            <w:r>
              <w:rPr>
                <w:spacing w:val="-5"/>
                <w:sz w:val="24"/>
                <w:szCs w:val="24"/>
              </w:rPr>
              <w:t>日</w:t>
            </w:r>
            <w:r>
              <w:rPr>
                <w:spacing w:val="-6"/>
                <w:sz w:val="24"/>
                <w:szCs w:val="24"/>
              </w:rPr>
              <w:t>。监测时间为</w:t>
            </w:r>
            <w:r>
              <w:rPr>
                <w:spacing w:val="-31"/>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spacing w:val="-6"/>
                <w:sz w:val="24"/>
                <w:szCs w:val="24"/>
              </w:rPr>
              <w:t>天，监测频次为</w:t>
            </w:r>
            <w:r>
              <w:rPr>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6"/>
                <w:w w:val="101"/>
                <w:sz w:val="24"/>
                <w:szCs w:val="24"/>
              </w:rPr>
              <w:t xml:space="preserve"> </w:t>
            </w:r>
            <w:r>
              <w:rPr>
                <w:spacing w:val="-6"/>
                <w:sz w:val="24"/>
                <w:szCs w:val="24"/>
              </w:rPr>
              <w:t>次。</w:t>
            </w:r>
          </w:p>
          <w:p>
            <w:pPr>
              <w:pStyle w:val="6"/>
              <w:spacing w:before="196" w:line="218"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）评价方法及标准</w:t>
            </w:r>
          </w:p>
          <w:p>
            <w:pPr>
              <w:pStyle w:val="6"/>
              <w:spacing w:before="196" w:line="217" w:lineRule="auto"/>
              <w:ind w:left="1047"/>
              <w:rPr>
                <w:sz w:val="24"/>
                <w:szCs w:val="24"/>
              </w:rPr>
            </w:pPr>
            <w:r>
              <w:rPr>
                <w:spacing w:val="-2"/>
                <w:sz w:val="24"/>
                <w:szCs w:val="24"/>
              </w:rPr>
              <w:t>①评价标准</w:t>
            </w:r>
          </w:p>
          <w:p>
            <w:pPr>
              <w:pStyle w:val="6"/>
              <w:spacing w:before="199" w:line="369" w:lineRule="auto"/>
              <w:ind w:left="567" w:firstLine="483"/>
              <w:rPr>
                <w:sz w:val="24"/>
                <w:szCs w:val="24"/>
              </w:rPr>
            </w:pPr>
            <w:r>
              <w:rPr>
                <w:spacing w:val="-2"/>
                <w:sz w:val="24"/>
                <w:szCs w:val="24"/>
              </w:rPr>
              <w:t>工程井场内（</w:t>
            </w:r>
            <w:r>
              <w:rPr>
                <w:rFonts w:ascii="Times New Roman" w:hAnsi="Times New Roman" w:eastAsia="Times New Roman" w:cs="Times New Roman"/>
                <w:spacing w:val="-2"/>
                <w:sz w:val="24"/>
                <w:szCs w:val="24"/>
              </w:rPr>
              <w:t>S1~S4</w:t>
            </w:r>
            <w:r>
              <w:rPr>
                <w:spacing w:val="-2"/>
                <w:sz w:val="24"/>
                <w:szCs w:val="24"/>
              </w:rPr>
              <w:t>）监测点位执行《土壤环境质量 建设用地土壤污染风</w:t>
            </w:r>
            <w:r>
              <w:rPr>
                <w:spacing w:val="-3"/>
                <w:sz w:val="24"/>
                <w:szCs w:val="24"/>
              </w:rPr>
              <w:t>险管</w:t>
            </w:r>
            <w:r>
              <w:rPr>
                <w:sz w:val="24"/>
                <w:szCs w:val="24"/>
              </w:rPr>
              <w:t xml:space="preserve">  </w:t>
            </w:r>
            <w:r>
              <w:rPr>
                <w:spacing w:val="-6"/>
                <w:sz w:val="24"/>
                <w:szCs w:val="24"/>
              </w:rPr>
              <w:t>控标准》（</w:t>
            </w:r>
            <w:r>
              <w:rPr>
                <w:rFonts w:ascii="Times New Roman" w:hAnsi="Times New Roman" w:eastAsia="Times New Roman" w:cs="Times New Roman"/>
                <w:spacing w:val="-6"/>
                <w:sz w:val="24"/>
                <w:szCs w:val="24"/>
              </w:rPr>
              <w:t>GB36600-2018</w:t>
            </w:r>
            <w:r>
              <w:rPr>
                <w:spacing w:val="-6"/>
                <w:sz w:val="24"/>
                <w:szCs w:val="24"/>
              </w:rPr>
              <w:t>）第二类用地筛选值</w:t>
            </w:r>
            <w:r>
              <w:rPr>
                <w:spacing w:val="-7"/>
                <w:sz w:val="24"/>
                <w:szCs w:val="24"/>
              </w:rPr>
              <w:t>标准，</w:t>
            </w:r>
            <w:r>
              <w:rPr>
                <w:spacing w:val="52"/>
                <w:sz w:val="24"/>
                <w:szCs w:val="24"/>
              </w:rPr>
              <w:t xml:space="preserve"> </w:t>
            </w:r>
            <w:r>
              <w:rPr>
                <w:spacing w:val="-7"/>
                <w:sz w:val="24"/>
                <w:szCs w:val="24"/>
              </w:rPr>
              <w:t>工程井场外（</w:t>
            </w:r>
            <w:r>
              <w:rPr>
                <w:rFonts w:ascii="Times New Roman" w:hAnsi="Times New Roman" w:eastAsia="Times New Roman" w:cs="Times New Roman"/>
                <w:spacing w:val="-7"/>
                <w:sz w:val="24"/>
                <w:szCs w:val="24"/>
              </w:rPr>
              <w:t>S5</w:t>
            </w:r>
            <w:r>
              <w:rPr>
                <w:spacing w:val="-7"/>
                <w:sz w:val="24"/>
                <w:szCs w:val="24"/>
              </w:rPr>
              <w:t>、</w:t>
            </w:r>
            <w:r>
              <w:rPr>
                <w:rFonts w:ascii="Times New Roman" w:hAnsi="Times New Roman" w:eastAsia="Times New Roman" w:cs="Times New Roman"/>
                <w:spacing w:val="-7"/>
                <w:sz w:val="24"/>
                <w:szCs w:val="24"/>
              </w:rPr>
              <w:t>S6</w:t>
            </w:r>
            <w:r>
              <w:rPr>
                <w:spacing w:val="-7"/>
                <w:sz w:val="24"/>
                <w:szCs w:val="24"/>
              </w:rPr>
              <w:t>）监测点</w:t>
            </w:r>
            <w:r>
              <w:rPr>
                <w:sz w:val="24"/>
                <w:szCs w:val="24"/>
              </w:rPr>
              <w:t xml:space="preserve"> </w:t>
            </w:r>
            <w:r>
              <w:rPr>
                <w:spacing w:val="-4"/>
                <w:sz w:val="24"/>
                <w:szCs w:val="24"/>
              </w:rPr>
              <w:t>位执行《土壤环境质量 农用地土壤污染风险管控标准（试行）</w:t>
            </w:r>
            <w:r>
              <w:rPr>
                <w:spacing w:val="-39"/>
                <w:sz w:val="24"/>
                <w:szCs w:val="24"/>
              </w:rPr>
              <w:t xml:space="preserve"> </w:t>
            </w:r>
            <w:r>
              <w:rPr>
                <w:spacing w:val="-5"/>
                <w:sz w:val="24"/>
                <w:szCs w:val="24"/>
              </w:rPr>
              <w:t>》（</w:t>
            </w:r>
            <w:r>
              <w:rPr>
                <w:rFonts w:ascii="Times New Roman" w:hAnsi="Times New Roman" w:eastAsia="Times New Roman" w:cs="Times New Roman"/>
                <w:spacing w:val="-5"/>
                <w:sz w:val="24"/>
                <w:szCs w:val="24"/>
              </w:rPr>
              <w:t>GB15618-2018</w:t>
            </w:r>
            <w:r>
              <w:rPr>
                <w:spacing w:val="-5"/>
                <w:sz w:val="24"/>
                <w:szCs w:val="24"/>
              </w:rPr>
              <w:t>）</w:t>
            </w:r>
            <w:r>
              <w:rPr>
                <w:sz w:val="24"/>
                <w:szCs w:val="24"/>
              </w:rPr>
              <w:t xml:space="preserve"> </w:t>
            </w:r>
            <w:r>
              <w:rPr>
                <w:spacing w:val="-6"/>
                <w:sz w:val="24"/>
                <w:szCs w:val="24"/>
              </w:rPr>
              <w:t>农用地土壤污染风险筛选值（基本项目）</w:t>
            </w:r>
            <w:r>
              <w:rPr>
                <w:spacing w:val="51"/>
                <w:sz w:val="24"/>
                <w:szCs w:val="24"/>
              </w:rPr>
              <w:t xml:space="preserve"> </w:t>
            </w:r>
            <w:r>
              <w:rPr>
                <w:spacing w:val="-6"/>
                <w:sz w:val="24"/>
                <w:szCs w:val="24"/>
              </w:rPr>
              <w:t>中的风险筛选值。钡参照执行《四川省建</w:t>
            </w:r>
          </w:p>
          <w:p>
            <w:pPr>
              <w:pStyle w:val="6"/>
              <w:spacing w:line="219" w:lineRule="auto"/>
              <w:ind w:left="572"/>
              <w:rPr>
                <w:sz w:val="24"/>
                <w:szCs w:val="24"/>
              </w:rPr>
            </w:pPr>
            <w:r>
              <w:rPr>
                <w:spacing w:val="-1"/>
                <w:sz w:val="24"/>
                <w:szCs w:val="24"/>
              </w:rPr>
              <w:t>设用地土壤污染风险管控标准》（</w:t>
            </w:r>
            <w:r>
              <w:rPr>
                <w:rFonts w:ascii="Times New Roman" w:hAnsi="Times New Roman" w:eastAsia="Times New Roman" w:cs="Times New Roman"/>
                <w:spacing w:val="-1"/>
                <w:sz w:val="24"/>
                <w:szCs w:val="24"/>
              </w:rPr>
              <w:t>DB51/2978-2023</w:t>
            </w:r>
            <w:r>
              <w:rPr>
                <w:spacing w:val="-1"/>
                <w:sz w:val="24"/>
                <w:szCs w:val="24"/>
              </w:rPr>
              <w:t>）其他项目第二类用地筛</w:t>
            </w:r>
            <w:r>
              <w:rPr>
                <w:spacing w:val="-2"/>
                <w:sz w:val="24"/>
                <w:szCs w:val="24"/>
              </w:rPr>
              <w:t>选值。</w:t>
            </w:r>
          </w:p>
          <w:p>
            <w:pPr>
              <w:pStyle w:val="6"/>
              <w:spacing w:before="195" w:line="217" w:lineRule="auto"/>
              <w:ind w:left="1046"/>
              <w:rPr>
                <w:sz w:val="24"/>
                <w:szCs w:val="24"/>
              </w:rPr>
            </w:pPr>
            <w:r>
              <w:rPr>
                <w:spacing w:val="-2"/>
                <w:sz w:val="24"/>
                <w:szCs w:val="24"/>
              </w:rPr>
              <w:t>②评价方法</w:t>
            </w:r>
          </w:p>
          <w:p>
            <w:pPr>
              <w:pStyle w:val="6"/>
              <w:spacing w:before="198" w:line="219" w:lineRule="auto"/>
              <w:ind w:left="1052"/>
              <w:rPr>
                <w:sz w:val="24"/>
                <w:szCs w:val="24"/>
              </w:rPr>
            </w:pPr>
            <w:r>
              <w:rPr>
                <w:spacing w:val="-2"/>
                <w:sz w:val="24"/>
                <w:szCs w:val="24"/>
              </w:rPr>
              <w:t>一般采用环境质量指数法，土壤中某污染物的单一指数计</w:t>
            </w:r>
            <w:r>
              <w:rPr>
                <w:spacing w:val="-3"/>
                <w:sz w:val="24"/>
                <w:szCs w:val="24"/>
              </w:rPr>
              <w:t>算式为：</w:t>
            </w:r>
          </w:p>
          <w:p>
            <w:pPr>
              <w:spacing w:before="235" w:line="441" w:lineRule="exact"/>
              <w:ind w:left="4758"/>
              <w:rPr>
                <w:rFonts w:ascii="Times New Roman" w:hAnsi="Times New Roman" w:eastAsia="Times New Roman" w:cs="Times New Roman"/>
                <w:sz w:val="16"/>
                <w:szCs w:val="16"/>
              </w:rPr>
            </w:pPr>
            <w:r>
              <w:rPr>
                <w:rFonts w:ascii="Times New Roman" w:hAnsi="Times New Roman" w:eastAsia="Times New Roman" w:cs="Times New Roman"/>
                <w:spacing w:val="-1"/>
                <w:position w:val="16"/>
                <w:sz w:val="24"/>
                <w:szCs w:val="24"/>
              </w:rPr>
              <w:t>I</w:t>
            </w:r>
            <w:r>
              <w:rPr>
                <w:rFonts w:ascii="Times New Roman" w:hAnsi="Times New Roman" w:eastAsia="Times New Roman" w:cs="Times New Roman"/>
                <w:spacing w:val="-1"/>
                <w:position w:val="15"/>
                <w:sz w:val="16"/>
                <w:szCs w:val="16"/>
              </w:rPr>
              <w:t>i</w:t>
            </w:r>
            <w:r>
              <w:rPr>
                <w:rFonts w:ascii="Times New Roman" w:hAnsi="Times New Roman" w:eastAsia="Times New Roman" w:cs="Times New Roman"/>
                <w:spacing w:val="-1"/>
                <w:position w:val="16"/>
                <w:sz w:val="24"/>
                <w:szCs w:val="24"/>
              </w:rPr>
              <w:t>=C</w:t>
            </w:r>
            <w:r>
              <w:rPr>
                <w:rFonts w:ascii="Times New Roman" w:hAnsi="Times New Roman" w:eastAsia="Times New Roman" w:cs="Times New Roman"/>
                <w:spacing w:val="-1"/>
                <w:position w:val="15"/>
                <w:sz w:val="16"/>
                <w:szCs w:val="16"/>
              </w:rPr>
              <w:t>i</w:t>
            </w:r>
            <w:r>
              <w:rPr>
                <w:rFonts w:ascii="Times New Roman" w:hAnsi="Times New Roman" w:eastAsia="Times New Roman" w:cs="Times New Roman"/>
                <w:spacing w:val="-1"/>
                <w:position w:val="16"/>
                <w:sz w:val="24"/>
                <w:szCs w:val="24"/>
              </w:rPr>
              <w:t>/S</w:t>
            </w:r>
            <w:r>
              <w:rPr>
                <w:rFonts w:ascii="Times New Roman" w:hAnsi="Times New Roman" w:eastAsia="Times New Roman" w:cs="Times New Roman"/>
                <w:spacing w:val="-1"/>
                <w:position w:val="15"/>
                <w:sz w:val="16"/>
                <w:szCs w:val="16"/>
              </w:rPr>
              <w:t>i</w:t>
            </w:r>
          </w:p>
          <w:p>
            <w:pPr>
              <w:pStyle w:val="6"/>
              <w:spacing w:before="1" w:line="234" w:lineRule="auto"/>
              <w:ind w:left="1053"/>
              <w:rPr>
                <w:sz w:val="24"/>
                <w:szCs w:val="24"/>
              </w:rPr>
            </w:pPr>
            <w:r>
              <w:rPr>
                <w:spacing w:val="-8"/>
                <w:sz w:val="24"/>
                <w:szCs w:val="24"/>
              </w:rPr>
              <w:t xml:space="preserve">式中： </w:t>
            </w:r>
            <w:r>
              <w:rPr>
                <w:rFonts w:ascii="Times New Roman" w:hAnsi="Times New Roman" w:eastAsia="Times New Roman" w:cs="Times New Roman"/>
                <w:spacing w:val="-8"/>
                <w:sz w:val="24"/>
                <w:szCs w:val="24"/>
              </w:rPr>
              <w:t>I</w:t>
            </w:r>
            <w:r>
              <w:rPr>
                <w:rFonts w:ascii="Times New Roman" w:hAnsi="Times New Roman" w:eastAsia="Times New Roman" w:cs="Times New Roman"/>
                <w:spacing w:val="-8"/>
                <w:position w:val="-1"/>
                <w:sz w:val="16"/>
                <w:szCs w:val="16"/>
              </w:rPr>
              <w:t>i</w:t>
            </w:r>
            <w:r>
              <w:rPr>
                <w:rFonts w:ascii="Times New Roman" w:hAnsi="Times New Roman" w:eastAsia="Times New Roman" w:cs="Times New Roman"/>
                <w:spacing w:val="-8"/>
                <w:sz w:val="24"/>
                <w:szCs w:val="24"/>
              </w:rPr>
              <w:t>—</w:t>
            </w:r>
            <w:r>
              <w:rPr>
                <w:spacing w:val="-8"/>
                <w:sz w:val="24"/>
                <w:szCs w:val="24"/>
              </w:rPr>
              <w:t xml:space="preserve">土壤中 </w:t>
            </w:r>
            <w:r>
              <w:rPr>
                <w:rFonts w:ascii="Times New Roman" w:hAnsi="Times New Roman" w:eastAsia="Times New Roman" w:cs="Times New Roman"/>
                <w:spacing w:val="-8"/>
                <w:sz w:val="24"/>
                <w:szCs w:val="24"/>
              </w:rPr>
              <w:t xml:space="preserve">i  </w:t>
            </w:r>
            <w:r>
              <w:rPr>
                <w:spacing w:val="-8"/>
                <w:sz w:val="24"/>
                <w:szCs w:val="24"/>
              </w:rPr>
              <w:t>污染物的污染指数；</w:t>
            </w:r>
          </w:p>
          <w:p>
            <w:pPr>
              <w:pStyle w:val="6"/>
              <w:spacing w:before="174" w:line="214" w:lineRule="auto"/>
              <w:ind w:left="1767"/>
              <w:rPr>
                <w:sz w:val="24"/>
                <w:szCs w:val="24"/>
              </w:rPr>
            </w:pPr>
            <w:r>
              <w:rPr>
                <w:rFonts w:ascii="Times New Roman" w:hAnsi="Times New Roman" w:eastAsia="Times New Roman" w:cs="Times New Roman"/>
                <w:spacing w:val="-8"/>
                <w:sz w:val="24"/>
                <w:szCs w:val="24"/>
              </w:rPr>
              <w:t>C</w:t>
            </w:r>
            <w:r>
              <w:rPr>
                <w:rFonts w:ascii="Times New Roman" w:hAnsi="Times New Roman" w:eastAsia="Times New Roman" w:cs="Times New Roman"/>
                <w:spacing w:val="-8"/>
                <w:position w:val="-1"/>
                <w:sz w:val="16"/>
                <w:szCs w:val="16"/>
              </w:rPr>
              <w:t>i</w:t>
            </w:r>
            <w:r>
              <w:rPr>
                <w:rFonts w:ascii="Times New Roman" w:hAnsi="Times New Roman" w:eastAsia="Times New Roman" w:cs="Times New Roman"/>
                <w:spacing w:val="-8"/>
                <w:sz w:val="24"/>
                <w:szCs w:val="24"/>
              </w:rPr>
              <w:t>—</w:t>
            </w:r>
            <w:r>
              <w:rPr>
                <w:spacing w:val="-8"/>
                <w:sz w:val="24"/>
                <w:szCs w:val="24"/>
              </w:rPr>
              <w:t xml:space="preserve">土壤中 </w:t>
            </w:r>
            <w:r>
              <w:rPr>
                <w:rFonts w:ascii="Times New Roman" w:hAnsi="Times New Roman" w:eastAsia="Times New Roman" w:cs="Times New Roman"/>
                <w:spacing w:val="-8"/>
                <w:sz w:val="24"/>
                <w:szCs w:val="24"/>
              </w:rPr>
              <w:t xml:space="preserve">i  </w:t>
            </w:r>
            <w:r>
              <w:rPr>
                <w:spacing w:val="-8"/>
                <w:sz w:val="24"/>
                <w:szCs w:val="24"/>
              </w:rPr>
              <w:t>污染物的实测含量，</w:t>
            </w:r>
            <w:r>
              <w:rPr>
                <w:spacing w:val="72"/>
                <w:sz w:val="24"/>
                <w:szCs w:val="24"/>
              </w:rPr>
              <w:t xml:space="preserve"> </w:t>
            </w:r>
            <w:r>
              <w:rPr>
                <w:rFonts w:ascii="Times New Roman" w:hAnsi="Times New Roman" w:eastAsia="Times New Roman" w:cs="Times New Roman"/>
                <w:spacing w:val="-8"/>
                <w:sz w:val="24"/>
                <w:szCs w:val="24"/>
              </w:rPr>
              <w:t>mg/kg</w:t>
            </w:r>
            <w:r>
              <w:rPr>
                <w:spacing w:val="-8"/>
                <w:sz w:val="24"/>
                <w:szCs w:val="24"/>
              </w:rPr>
              <w:t>；</w:t>
            </w:r>
          </w:p>
          <w:p>
            <w:pPr>
              <w:pStyle w:val="6"/>
              <w:spacing w:before="202" w:line="214" w:lineRule="auto"/>
              <w:ind w:left="1774"/>
              <w:rPr>
                <w:sz w:val="24"/>
                <w:szCs w:val="24"/>
              </w:rPr>
            </w:pPr>
            <w:r>
              <w:rPr>
                <w:rFonts w:ascii="Times New Roman" w:hAnsi="Times New Roman" w:eastAsia="Times New Roman" w:cs="Times New Roman"/>
                <w:spacing w:val="-16"/>
                <w:sz w:val="24"/>
                <w:szCs w:val="24"/>
              </w:rPr>
              <w:t>S</w:t>
            </w:r>
            <w:r>
              <w:rPr>
                <w:rFonts w:ascii="Times New Roman" w:hAnsi="Times New Roman" w:eastAsia="Times New Roman" w:cs="Times New Roman"/>
                <w:spacing w:val="-5"/>
                <w:position w:val="-1"/>
                <w:sz w:val="16"/>
                <w:szCs w:val="16"/>
              </w:rPr>
              <w:t>i</w:t>
            </w:r>
            <w:r>
              <w:rPr>
                <w:rFonts w:ascii="Times New Roman" w:hAnsi="Times New Roman" w:eastAsia="Times New Roman" w:cs="Times New Roman"/>
                <w:spacing w:val="-5"/>
                <w:sz w:val="24"/>
                <w:szCs w:val="24"/>
              </w:rPr>
              <w:t>—</w:t>
            </w:r>
            <w:r>
              <w:rPr>
                <w:spacing w:val="-5"/>
                <w:sz w:val="24"/>
                <w:szCs w:val="24"/>
              </w:rPr>
              <w:t xml:space="preserve">土壤中 </w:t>
            </w:r>
            <w:r>
              <w:rPr>
                <w:rFonts w:ascii="Times New Roman" w:hAnsi="Times New Roman" w:eastAsia="Times New Roman" w:cs="Times New Roman"/>
                <w:spacing w:val="-5"/>
                <w:sz w:val="24"/>
                <w:szCs w:val="24"/>
              </w:rPr>
              <w:t xml:space="preserve">i  </w:t>
            </w:r>
            <w:r>
              <w:rPr>
                <w:spacing w:val="-5"/>
                <w:sz w:val="24"/>
                <w:szCs w:val="24"/>
              </w:rPr>
              <w:t>污染物的环境质量标准（背景值</w:t>
            </w:r>
            <w:r>
              <w:rPr>
                <w:spacing w:val="-15"/>
                <w:sz w:val="24"/>
                <w:szCs w:val="24"/>
              </w:rPr>
              <w:t>），</w:t>
            </w:r>
            <w:r>
              <w:rPr>
                <w:spacing w:val="56"/>
                <w:sz w:val="24"/>
                <w:szCs w:val="24"/>
              </w:rPr>
              <w:t xml:space="preserve"> </w:t>
            </w:r>
            <w:r>
              <w:rPr>
                <w:rFonts w:ascii="Times New Roman" w:hAnsi="Times New Roman" w:eastAsia="Times New Roman" w:cs="Times New Roman"/>
                <w:spacing w:val="-5"/>
                <w:sz w:val="24"/>
                <w:szCs w:val="24"/>
              </w:rPr>
              <w:t>mg/kg</w:t>
            </w:r>
            <w:r>
              <w:rPr>
                <w:spacing w:val="-5"/>
                <w:sz w:val="24"/>
                <w:szCs w:val="24"/>
              </w:rPr>
              <w:t>。</w:t>
            </w:r>
          </w:p>
          <w:p>
            <w:pPr>
              <w:pStyle w:val="6"/>
              <w:spacing w:before="202" w:line="218"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）监测结果及评价</w:t>
            </w:r>
          </w:p>
          <w:p>
            <w:pPr>
              <w:pStyle w:val="6"/>
              <w:spacing w:before="196" w:line="220" w:lineRule="auto"/>
              <w:ind w:left="1049"/>
              <w:rPr>
                <w:sz w:val="24"/>
                <w:szCs w:val="24"/>
              </w:rPr>
            </w:pPr>
            <w:r>
              <w:rPr>
                <w:spacing w:val="-3"/>
                <w:sz w:val="24"/>
                <w:szCs w:val="24"/>
              </w:rPr>
              <w:t>土壤环境质量监测结果统计见表</w:t>
            </w:r>
            <w:r>
              <w:rPr>
                <w:spacing w:val="-43"/>
                <w:sz w:val="24"/>
                <w:szCs w:val="24"/>
              </w:rPr>
              <w:t xml:space="preserve"> </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12~3.3-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18</w:t>
            </w:r>
            <w:r>
              <w:rPr>
                <w:spacing w:val="-3"/>
                <w:sz w:val="24"/>
                <w:szCs w:val="24"/>
              </w:rPr>
              <w:t>。</w:t>
            </w:r>
          </w:p>
          <w:p>
            <w:pPr>
              <w:pStyle w:val="6"/>
              <w:spacing w:before="194" w:line="220" w:lineRule="auto"/>
              <w:ind w:left="2177"/>
              <w:rPr>
                <w:sz w:val="24"/>
                <w:szCs w:val="24"/>
              </w:rPr>
            </w:pPr>
            <w:r>
              <w:rPr>
                <w:spacing w:val="-1"/>
                <w:sz w:val="24"/>
                <w:szCs w:val="24"/>
                <w14:textOutline w14:w="4354" w14:cap="flat" w14:cmpd="sng">
                  <w14:solidFill>
                    <w14:srgbClr w14:val="000000"/>
                  </w14:solidFill>
                  <w14:prstDash w14:val="solid"/>
                  <w14:miter w14:val="10"/>
                </w14:textOutline>
              </w:rPr>
              <w:t>表</w:t>
            </w:r>
            <w:r>
              <w:rPr>
                <w:spacing w:val="-36"/>
                <w:sz w:val="24"/>
                <w:szCs w:val="24"/>
              </w:rPr>
              <w:t xml:space="preserve"> </w:t>
            </w:r>
            <w:r>
              <w:rPr>
                <w:rFonts w:ascii="Times New Roman" w:hAnsi="Times New Roman" w:eastAsia="Times New Roman" w:cs="Times New Roman"/>
                <w:b/>
                <w:bCs/>
                <w:spacing w:val="-1"/>
                <w:sz w:val="24"/>
                <w:szCs w:val="24"/>
              </w:rPr>
              <w:t xml:space="preserve">3.3-12    </w:t>
            </w:r>
            <w:r>
              <w:rPr>
                <w:spacing w:val="-1"/>
                <w:sz w:val="24"/>
                <w:szCs w:val="24"/>
                <w14:textOutline w14:w="4354" w14:cap="flat" w14:cmpd="sng">
                  <w14:solidFill>
                    <w14:srgbClr w14:val="000000"/>
                  </w14:solidFill>
                  <w14:prstDash w14:val="solid"/>
                  <w14:miter w14:val="10"/>
                </w14:textOutline>
              </w:rPr>
              <w:t>井场内</w:t>
            </w:r>
            <w:r>
              <w:rPr>
                <w:spacing w:val="-47"/>
                <w:sz w:val="24"/>
                <w:szCs w:val="24"/>
              </w:rPr>
              <w:t xml:space="preserve"> </w:t>
            </w:r>
            <w:r>
              <w:rPr>
                <w:rFonts w:ascii="Times New Roman" w:hAnsi="Times New Roman" w:eastAsia="Times New Roman" w:cs="Times New Roman"/>
                <w:b/>
                <w:bCs/>
                <w:spacing w:val="-1"/>
                <w:sz w:val="24"/>
                <w:szCs w:val="24"/>
              </w:rPr>
              <w:t xml:space="preserve">S1 </w:t>
            </w:r>
            <w:r>
              <w:rPr>
                <w:spacing w:val="-1"/>
                <w:sz w:val="24"/>
                <w:szCs w:val="24"/>
                <w14:textOutline w14:w="4354" w14:cap="flat" w14:cmpd="sng">
                  <w14:solidFill>
                    <w14:srgbClr w14:val="000000"/>
                  </w14:solidFill>
                  <w14:prstDash w14:val="solid"/>
                  <w14:miter w14:val="10"/>
                </w14:textOutline>
              </w:rPr>
              <w:t>柱状样点土壤监测结果统计表</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1135"/>
              <w:gridCol w:w="1415"/>
              <w:gridCol w:w="1559"/>
              <w:gridCol w:w="852"/>
              <w:gridCol w:w="850"/>
              <w:gridCol w:w="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816" w:type="dxa"/>
                  <w:vMerge w:val="restart"/>
                  <w:tcBorders>
                    <w:bottom w:val="nil"/>
                  </w:tcBorders>
                  <w:vAlign w:val="top"/>
                </w:tcPr>
                <w:p>
                  <w:pPr>
                    <w:spacing w:line="276" w:lineRule="auto"/>
                    <w:rPr>
                      <w:rFonts w:ascii="Arial"/>
                      <w:sz w:val="21"/>
                    </w:rPr>
                  </w:pPr>
                </w:p>
                <w:p>
                  <w:pPr>
                    <w:pStyle w:val="6"/>
                    <w:spacing w:before="68" w:line="221" w:lineRule="auto"/>
                    <w:ind w:left="492"/>
                    <w:rPr>
                      <w:sz w:val="21"/>
                      <w:szCs w:val="21"/>
                    </w:rPr>
                  </w:pPr>
                  <w:r>
                    <w:rPr>
                      <w:spacing w:val="-2"/>
                      <w:sz w:val="21"/>
                      <w:szCs w:val="21"/>
                    </w:rPr>
                    <w:t>检测项目</w:t>
                  </w:r>
                </w:p>
              </w:tc>
              <w:tc>
                <w:tcPr>
                  <w:tcW w:w="1135" w:type="dxa"/>
                  <w:vMerge w:val="restart"/>
                  <w:tcBorders>
                    <w:bottom w:val="nil"/>
                  </w:tcBorders>
                  <w:vAlign w:val="top"/>
                </w:tcPr>
                <w:p>
                  <w:pPr>
                    <w:spacing w:line="277" w:lineRule="auto"/>
                    <w:rPr>
                      <w:rFonts w:ascii="Arial"/>
                      <w:sz w:val="21"/>
                    </w:rPr>
                  </w:pPr>
                </w:p>
                <w:p>
                  <w:pPr>
                    <w:pStyle w:val="6"/>
                    <w:spacing w:before="68" w:line="221" w:lineRule="auto"/>
                    <w:ind w:left="361"/>
                    <w:rPr>
                      <w:sz w:val="21"/>
                      <w:szCs w:val="21"/>
                    </w:rPr>
                  </w:pPr>
                  <w:r>
                    <w:rPr>
                      <w:spacing w:val="-2"/>
                      <w:sz w:val="21"/>
                      <w:szCs w:val="21"/>
                    </w:rPr>
                    <w:t>单位</w:t>
                  </w:r>
                </w:p>
              </w:tc>
              <w:tc>
                <w:tcPr>
                  <w:tcW w:w="1415" w:type="dxa"/>
                  <w:vAlign w:val="top"/>
                </w:tcPr>
                <w:p>
                  <w:pPr>
                    <w:pStyle w:val="6"/>
                    <w:spacing w:before="68" w:line="221" w:lineRule="auto"/>
                    <w:ind w:left="292"/>
                    <w:rPr>
                      <w:sz w:val="21"/>
                      <w:szCs w:val="21"/>
                    </w:rPr>
                  </w:pPr>
                  <w:r>
                    <w:rPr>
                      <w:spacing w:val="-2"/>
                      <w:sz w:val="21"/>
                      <w:szCs w:val="21"/>
                    </w:rPr>
                    <w:t>检测结果</w:t>
                  </w:r>
                </w:p>
              </w:tc>
              <w:tc>
                <w:tcPr>
                  <w:tcW w:w="1559" w:type="dxa"/>
                  <w:vMerge w:val="restart"/>
                  <w:tcBorders>
                    <w:bottom w:val="nil"/>
                  </w:tcBorders>
                  <w:vAlign w:val="top"/>
                </w:tcPr>
                <w:p>
                  <w:pPr>
                    <w:pStyle w:val="6"/>
                    <w:spacing w:before="200" w:line="226" w:lineRule="auto"/>
                    <w:ind w:left="361" w:right="157" w:hanging="186"/>
                    <w:rPr>
                      <w:rFonts w:ascii="Times New Roman" w:hAnsi="Times New Roman" w:eastAsia="Times New Roman" w:cs="Times New Roman"/>
                      <w:sz w:val="22"/>
                      <w:szCs w:val="22"/>
                    </w:rPr>
                  </w:pPr>
                  <w:r>
                    <w:rPr>
                      <w:spacing w:val="-1"/>
                      <w:sz w:val="22"/>
                      <w:szCs w:val="22"/>
                    </w:rPr>
                    <w:t>标准限值</w:t>
                  </w:r>
                  <w:r>
                    <w:rPr>
                      <w:rFonts w:ascii="Times New Roman" w:hAnsi="Times New Roman" w:eastAsia="Times New Roman" w:cs="Times New Roman"/>
                      <w:spacing w:val="-1"/>
                      <w:sz w:val="22"/>
                      <w:szCs w:val="22"/>
                    </w:rPr>
                    <w:t>(6.5</w:t>
                  </w:r>
                  <w:r>
                    <w:rPr>
                      <w:rFonts w:ascii="Times New Roman" w:hAnsi="Times New Roman" w:eastAsia="Times New Roman" w:cs="Times New Roman"/>
                      <w:sz w:val="22"/>
                      <w:szCs w:val="22"/>
                    </w:rPr>
                    <w:t xml:space="preserve"> </w:t>
                  </w:r>
                  <w:r>
                    <w:rPr>
                      <w:spacing w:val="-8"/>
                      <w:sz w:val="22"/>
                      <w:szCs w:val="22"/>
                    </w:rPr>
                    <w:t>﹤</w:t>
                  </w:r>
                  <w:r>
                    <w:rPr>
                      <w:rFonts w:ascii="Times New Roman" w:hAnsi="Times New Roman" w:eastAsia="Times New Roman" w:cs="Times New Roman"/>
                      <w:spacing w:val="-8"/>
                      <w:sz w:val="22"/>
                      <w:szCs w:val="22"/>
                    </w:rPr>
                    <w:t>pH≤7.5)</w:t>
                  </w:r>
                </w:p>
              </w:tc>
              <w:tc>
                <w:tcPr>
                  <w:tcW w:w="852" w:type="dxa"/>
                  <w:vMerge w:val="restart"/>
                  <w:tcBorders>
                    <w:bottom w:val="nil"/>
                  </w:tcBorders>
                  <w:vAlign w:val="top"/>
                </w:tcPr>
                <w:p>
                  <w:pPr>
                    <w:pStyle w:val="6"/>
                    <w:spacing w:before="201" w:line="238" w:lineRule="auto"/>
                    <w:ind w:left="214"/>
                    <w:rPr>
                      <w:sz w:val="22"/>
                      <w:szCs w:val="22"/>
                    </w:rPr>
                  </w:pPr>
                  <w:r>
                    <w:rPr>
                      <w:spacing w:val="-2"/>
                      <w:sz w:val="22"/>
                      <w:szCs w:val="22"/>
                    </w:rPr>
                    <w:t>标准</w:t>
                  </w:r>
                </w:p>
                <w:p>
                  <w:pPr>
                    <w:pStyle w:val="6"/>
                    <w:spacing w:line="220" w:lineRule="auto"/>
                    <w:ind w:left="216"/>
                    <w:rPr>
                      <w:sz w:val="22"/>
                      <w:szCs w:val="22"/>
                    </w:rPr>
                  </w:pPr>
                  <w:r>
                    <w:rPr>
                      <w:spacing w:val="-3"/>
                      <w:sz w:val="22"/>
                      <w:szCs w:val="22"/>
                    </w:rPr>
                    <w:t>指数</w:t>
                  </w:r>
                </w:p>
              </w:tc>
              <w:tc>
                <w:tcPr>
                  <w:tcW w:w="850" w:type="dxa"/>
                  <w:vMerge w:val="restart"/>
                  <w:tcBorders>
                    <w:bottom w:val="nil"/>
                  </w:tcBorders>
                  <w:vAlign w:val="top"/>
                </w:tcPr>
                <w:p>
                  <w:pPr>
                    <w:pStyle w:val="6"/>
                    <w:spacing w:before="201" w:line="238" w:lineRule="auto"/>
                    <w:ind w:left="210"/>
                    <w:rPr>
                      <w:sz w:val="22"/>
                      <w:szCs w:val="22"/>
                    </w:rPr>
                  </w:pPr>
                  <w:r>
                    <w:rPr>
                      <w:spacing w:val="-2"/>
                      <w:sz w:val="22"/>
                      <w:szCs w:val="22"/>
                    </w:rPr>
                    <w:t>超标</w:t>
                  </w:r>
                </w:p>
                <w:p>
                  <w:pPr>
                    <w:pStyle w:val="6"/>
                    <w:spacing w:line="234" w:lineRule="auto"/>
                    <w:ind w:left="232"/>
                    <w:rPr>
                      <w:rFonts w:ascii="Times New Roman" w:hAnsi="Times New Roman" w:eastAsia="Times New Roman" w:cs="Times New Roman"/>
                      <w:sz w:val="22"/>
                      <w:szCs w:val="22"/>
                    </w:rPr>
                  </w:pPr>
                  <w:r>
                    <w:rPr>
                      <w:spacing w:val="-5"/>
                      <w:sz w:val="22"/>
                      <w:szCs w:val="22"/>
                    </w:rPr>
                    <w:t>率</w:t>
                  </w:r>
                  <w:r>
                    <w:rPr>
                      <w:rFonts w:ascii="Times New Roman" w:hAnsi="Times New Roman" w:eastAsia="Times New Roman" w:cs="Times New Roman"/>
                      <w:spacing w:val="-5"/>
                      <w:sz w:val="22"/>
                      <w:szCs w:val="22"/>
                    </w:rPr>
                    <w:t>%</w:t>
                  </w:r>
                </w:p>
              </w:tc>
              <w:tc>
                <w:tcPr>
                  <w:tcW w:w="983" w:type="dxa"/>
                  <w:vMerge w:val="restart"/>
                  <w:tcBorders>
                    <w:bottom w:val="nil"/>
                  </w:tcBorders>
                  <w:vAlign w:val="top"/>
                </w:tcPr>
                <w:p>
                  <w:pPr>
                    <w:pStyle w:val="6"/>
                    <w:spacing w:before="201" w:line="229" w:lineRule="auto"/>
                    <w:ind w:left="167" w:right="158" w:firstLine="1"/>
                    <w:rPr>
                      <w:sz w:val="22"/>
                      <w:szCs w:val="22"/>
                    </w:rPr>
                  </w:pPr>
                  <w:r>
                    <w:rPr>
                      <w:spacing w:val="-3"/>
                      <w:sz w:val="22"/>
                      <w:szCs w:val="22"/>
                    </w:rPr>
                    <w:t>最大超</w:t>
                  </w:r>
                  <w:r>
                    <w:rPr>
                      <w:sz w:val="22"/>
                      <w:szCs w:val="22"/>
                    </w:rPr>
                    <w:t xml:space="preserve"> </w:t>
                  </w:r>
                  <w:r>
                    <w:rPr>
                      <w:spacing w:val="-3"/>
                      <w:sz w:val="22"/>
                      <w:szCs w:val="22"/>
                    </w:rPr>
                    <w:t>标倍数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16" w:type="dxa"/>
                  <w:vMerge w:val="continue"/>
                  <w:tcBorders>
                    <w:top w:val="nil"/>
                  </w:tcBorders>
                  <w:vAlign w:val="top"/>
                </w:tcPr>
                <w:p>
                  <w:pPr>
                    <w:rPr>
                      <w:rFonts w:ascii="Arial"/>
                      <w:sz w:val="21"/>
                    </w:rPr>
                  </w:pPr>
                </w:p>
              </w:tc>
              <w:tc>
                <w:tcPr>
                  <w:tcW w:w="1135" w:type="dxa"/>
                  <w:vMerge w:val="continue"/>
                  <w:tcBorders>
                    <w:top w:val="nil"/>
                  </w:tcBorders>
                  <w:vAlign w:val="top"/>
                </w:tcPr>
                <w:p>
                  <w:pPr>
                    <w:rPr>
                      <w:rFonts w:ascii="Arial"/>
                      <w:sz w:val="21"/>
                    </w:rPr>
                  </w:pPr>
                </w:p>
              </w:tc>
              <w:tc>
                <w:tcPr>
                  <w:tcW w:w="1415" w:type="dxa"/>
                  <w:vAlign w:val="top"/>
                </w:tcPr>
                <w:p>
                  <w:pPr>
                    <w:pStyle w:val="6"/>
                    <w:spacing w:before="29" w:line="224" w:lineRule="auto"/>
                    <w:ind w:left="117" w:right="31" w:firstLine="69"/>
                    <w:rPr>
                      <w:sz w:val="21"/>
                      <w:szCs w:val="21"/>
                    </w:rPr>
                  </w:pPr>
                  <w:r>
                    <w:rPr>
                      <w:spacing w:val="-1"/>
                      <w:sz w:val="21"/>
                      <w:szCs w:val="21"/>
                    </w:rPr>
                    <w:t>井场井口处</w:t>
                  </w:r>
                  <w:r>
                    <w:rPr>
                      <w:sz w:val="21"/>
                      <w:szCs w:val="21"/>
                    </w:rPr>
                    <w:t xml:space="preserve">  </w:t>
                  </w:r>
                  <w:r>
                    <w:rPr>
                      <w:rFonts w:ascii="Times New Roman" w:hAnsi="Times New Roman" w:eastAsia="Times New Roman" w:cs="Times New Roman"/>
                      <w:spacing w:val="-3"/>
                      <w:sz w:val="21"/>
                      <w:szCs w:val="21"/>
                    </w:rPr>
                    <w:t>S1</w:t>
                  </w:r>
                  <w:r>
                    <w:rPr>
                      <w:spacing w:val="-3"/>
                      <w:sz w:val="21"/>
                      <w:szCs w:val="21"/>
                    </w:rPr>
                    <w:t>（</w:t>
                  </w:r>
                  <w:r>
                    <w:rPr>
                      <w:rFonts w:ascii="Times New Roman" w:hAnsi="Times New Roman" w:eastAsia="Times New Roman" w:cs="Times New Roman"/>
                      <w:spacing w:val="-3"/>
                      <w:sz w:val="21"/>
                      <w:szCs w:val="21"/>
                    </w:rPr>
                    <w:t>0~0.5m</w:t>
                  </w:r>
                  <w:r>
                    <w:rPr>
                      <w:spacing w:val="-3"/>
                      <w:sz w:val="21"/>
                      <w:szCs w:val="21"/>
                    </w:rPr>
                    <w:t>）</w:t>
                  </w:r>
                </w:p>
              </w:tc>
              <w:tc>
                <w:tcPr>
                  <w:tcW w:w="1559"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8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spacing w:before="98" w:line="191" w:lineRule="auto"/>
                    <w:ind w:left="776"/>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135" w:type="dxa"/>
                  <w:vAlign w:val="top"/>
                </w:tcPr>
                <w:p>
                  <w:pPr>
                    <w:pStyle w:val="6"/>
                    <w:spacing w:before="63" w:line="221" w:lineRule="auto"/>
                    <w:ind w:left="255"/>
                    <w:rPr>
                      <w:sz w:val="21"/>
                      <w:szCs w:val="21"/>
                    </w:rPr>
                  </w:pPr>
                  <w:r>
                    <w:rPr>
                      <w:spacing w:val="-2"/>
                      <w:sz w:val="21"/>
                      <w:szCs w:val="21"/>
                    </w:rPr>
                    <w:t>无量纲</w:t>
                  </w:r>
                </w:p>
              </w:tc>
              <w:tc>
                <w:tcPr>
                  <w:tcW w:w="1415" w:type="dxa"/>
                  <w:vAlign w:val="top"/>
                </w:tcPr>
                <w:p>
                  <w:pPr>
                    <w:spacing w:before="101"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7.42</w:t>
                  </w:r>
                </w:p>
              </w:tc>
              <w:tc>
                <w:tcPr>
                  <w:tcW w:w="1559" w:type="dxa"/>
                  <w:vAlign w:val="top"/>
                </w:tcPr>
                <w:p>
                  <w:pPr>
                    <w:spacing w:before="94" w:line="228" w:lineRule="auto"/>
                    <w:ind w:left="7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2" w:type="dxa"/>
                  <w:vAlign w:val="top"/>
                </w:tcPr>
                <w:p>
                  <w:pPr>
                    <w:spacing w:before="94" w:line="228"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97" w:line="187"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83" w:type="dxa"/>
                  <w:vAlign w:val="top"/>
                </w:tcPr>
                <w:p>
                  <w:pPr>
                    <w:spacing w:before="97" w:line="187" w:lineRule="auto"/>
                    <w:ind w:left="44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4" w:line="221" w:lineRule="auto"/>
                    <w:ind w:left="806"/>
                    <w:rPr>
                      <w:sz w:val="21"/>
                      <w:szCs w:val="21"/>
                    </w:rPr>
                  </w:pPr>
                  <w:r>
                    <w:rPr>
                      <w:sz w:val="21"/>
                      <w:szCs w:val="21"/>
                    </w:rPr>
                    <w:t>砷</w:t>
                  </w:r>
                </w:p>
              </w:tc>
              <w:tc>
                <w:tcPr>
                  <w:tcW w:w="1135" w:type="dxa"/>
                  <w:vAlign w:val="top"/>
                </w:tcPr>
                <w:p>
                  <w:pPr>
                    <w:spacing w:before="98"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2"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11.2</w:t>
                  </w:r>
                </w:p>
              </w:tc>
              <w:tc>
                <w:tcPr>
                  <w:tcW w:w="1559" w:type="dxa"/>
                  <w:vAlign w:val="top"/>
                </w:tcPr>
                <w:p>
                  <w:pPr>
                    <w:spacing w:before="97" w:line="187" w:lineRule="auto"/>
                    <w:ind w:left="67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852" w:type="dxa"/>
                  <w:vAlign w:val="top"/>
                </w:tcPr>
                <w:p>
                  <w:pPr>
                    <w:spacing w:before="10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0.187</w:t>
                  </w:r>
                </w:p>
              </w:tc>
              <w:tc>
                <w:tcPr>
                  <w:tcW w:w="850" w:type="dxa"/>
                  <w:vAlign w:val="top"/>
                </w:tcPr>
                <w:p>
                  <w:pPr>
                    <w:spacing w:before="102"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2"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6" w:type="dxa"/>
                  <w:tcBorders>
                    <w:bottom w:val="nil"/>
                  </w:tcBorders>
                  <w:vAlign w:val="top"/>
                </w:tcPr>
                <w:p>
                  <w:pPr>
                    <w:pStyle w:val="6"/>
                    <w:spacing w:before="64" w:line="223" w:lineRule="auto"/>
                    <w:ind w:left="805"/>
                    <w:rPr>
                      <w:sz w:val="21"/>
                      <w:szCs w:val="21"/>
                    </w:rPr>
                  </w:pPr>
                  <w:r>
                    <w:rPr>
                      <w:sz w:val="21"/>
                      <w:szCs w:val="21"/>
                    </w:rPr>
                    <w:t>镉</w:t>
                  </w:r>
                </w:p>
              </w:tc>
              <w:tc>
                <w:tcPr>
                  <w:tcW w:w="1135" w:type="dxa"/>
                  <w:tcBorders>
                    <w:bottom w:val="nil"/>
                  </w:tcBorders>
                  <w:vAlign w:val="top"/>
                </w:tcPr>
                <w:p>
                  <w:pPr>
                    <w:spacing w:before="99"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tcBorders>
                    <w:bottom w:val="nil"/>
                  </w:tcBorders>
                  <w:vAlign w:val="top"/>
                </w:tcPr>
                <w:p>
                  <w:pPr>
                    <w:spacing w:before="102"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w:t>
                  </w:r>
                </w:p>
              </w:tc>
              <w:tc>
                <w:tcPr>
                  <w:tcW w:w="1559" w:type="dxa"/>
                  <w:tcBorders>
                    <w:bottom w:val="nil"/>
                  </w:tcBorders>
                  <w:vAlign w:val="top"/>
                </w:tcPr>
                <w:p>
                  <w:pPr>
                    <w:spacing w:before="98" w:line="187" w:lineRule="auto"/>
                    <w:ind w:left="67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852" w:type="dxa"/>
                  <w:tcBorders>
                    <w:bottom w:val="nil"/>
                  </w:tcBorders>
                  <w:vAlign w:val="top"/>
                </w:tcPr>
                <w:p>
                  <w:pPr>
                    <w:spacing w:before="10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0.003</w:t>
                  </w:r>
                </w:p>
              </w:tc>
              <w:tc>
                <w:tcPr>
                  <w:tcW w:w="850" w:type="dxa"/>
                  <w:tcBorders>
                    <w:bottom w:val="nil"/>
                  </w:tcBorders>
                  <w:vAlign w:val="top"/>
                </w:tcPr>
                <w:p>
                  <w:pPr>
                    <w:spacing w:before="102"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tcBorders>
                    <w:bottom w:val="nil"/>
                  </w:tcBorders>
                  <w:vAlign w:val="top"/>
                </w:tcPr>
                <w:p>
                  <w:pPr>
                    <w:spacing w:before="102"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88" w:lineRule="auto"/>
              <w:rPr>
                <w:rFonts w:ascii="Arial"/>
                <w:sz w:val="2"/>
              </w:rPr>
            </w:pPr>
          </w:p>
        </w:tc>
      </w:tr>
    </w:tbl>
    <w:p>
      <w:pPr>
        <w:pStyle w:val="2"/>
        <w:rPr>
          <w:sz w:val="21"/>
        </w:rPr>
      </w:pPr>
    </w:p>
    <w:p>
      <w:pPr>
        <w:rPr>
          <w:sz w:val="21"/>
          <w:szCs w:val="21"/>
        </w:rPr>
        <w:sectPr>
          <w:footerReference r:id="rId73"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809"/>
        <w:gridCol w:w="1134"/>
        <w:gridCol w:w="1414"/>
        <w:gridCol w:w="1558"/>
        <w:gridCol w:w="850"/>
        <w:gridCol w:w="849"/>
        <w:gridCol w:w="977"/>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78" w:type="dxa"/>
            <w:vMerge w:val="restart"/>
            <w:tcBorders>
              <w:top w:val="single" w:color="000000" w:sz="6" w:space="0"/>
              <w:left w:val="single" w:color="000000" w:sz="6" w:space="0"/>
              <w:bottom w:val="nil"/>
            </w:tcBorders>
            <w:vAlign w:val="top"/>
          </w:tcPr>
          <w:p>
            <w:pPr>
              <w:rPr>
                <w:rFonts w:ascii="Arial"/>
                <w:sz w:val="21"/>
              </w:rPr>
            </w:pPr>
            <w:r>
              <w:pict>
                <v:rect id="_x0000_s1273" o:spid="_x0000_s1273" o:spt="1" style="position:absolute;left:0pt;margin-left:22.75pt;margin-top:0.95pt;height:693.35pt;width:0.5pt;mso-position-horizontal-relative:page;mso-position-vertical-relative:page;z-index:251819008;mso-width-relative:page;mso-height-relative:page;" fillcolor="#000000" filled="t" stroked="f" coordsize="21600,21600">
                  <v:path/>
                  <v:fill on="t" focussize="0,0"/>
                  <v:stroke on="f"/>
                  <v:imagedata o:title=""/>
                  <o:lock v:ext="edit"/>
                </v:rect>
              </w:pict>
            </w:r>
          </w:p>
        </w:tc>
        <w:tc>
          <w:tcPr>
            <w:tcW w:w="1809" w:type="dxa"/>
            <w:tcBorders>
              <w:top w:val="single" w:color="000000" w:sz="6" w:space="0"/>
            </w:tcBorders>
            <w:vAlign w:val="top"/>
          </w:tcPr>
          <w:p>
            <w:pPr>
              <w:pStyle w:val="6"/>
              <w:spacing w:before="77" w:line="219" w:lineRule="auto"/>
              <w:ind w:left="377"/>
              <w:rPr>
                <w:sz w:val="21"/>
                <w:szCs w:val="21"/>
              </w:rPr>
            </w:pPr>
            <w:r>
              <w:rPr>
                <w:spacing w:val="-1"/>
                <w:sz w:val="21"/>
                <w:szCs w:val="21"/>
              </w:rPr>
              <w:t>铬（六价）</w:t>
            </w:r>
          </w:p>
        </w:tc>
        <w:tc>
          <w:tcPr>
            <w:tcW w:w="1134" w:type="dxa"/>
            <w:tcBorders>
              <w:top w:val="single" w:color="000000" w:sz="6" w:space="0"/>
            </w:tcBorders>
            <w:vAlign w:val="top"/>
          </w:tcPr>
          <w:p>
            <w:pPr>
              <w:spacing w:before="112"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tcBorders>
              <w:top w:val="single" w:color="000000" w:sz="6" w:space="0"/>
            </w:tcBorders>
            <w:vAlign w:val="top"/>
          </w:tcPr>
          <w:p>
            <w:pPr>
              <w:spacing w:before="115" w:line="187" w:lineRule="auto"/>
              <w:ind w:left="59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w:t>
            </w:r>
          </w:p>
        </w:tc>
        <w:tc>
          <w:tcPr>
            <w:tcW w:w="1558" w:type="dxa"/>
            <w:tcBorders>
              <w:top w:val="single" w:color="000000" w:sz="6" w:space="0"/>
            </w:tcBorders>
            <w:vAlign w:val="top"/>
          </w:tcPr>
          <w:p>
            <w:pPr>
              <w:spacing w:before="114" w:line="184" w:lineRule="auto"/>
              <w:ind w:left="65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5.7</w:t>
            </w:r>
          </w:p>
        </w:tc>
        <w:tc>
          <w:tcPr>
            <w:tcW w:w="850" w:type="dxa"/>
            <w:tcBorders>
              <w:top w:val="single" w:color="000000" w:sz="6" w:space="0"/>
            </w:tcBorders>
            <w:vAlign w:val="top"/>
          </w:tcPr>
          <w:p>
            <w:pPr>
              <w:spacing w:before="115"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0.316</w:t>
            </w:r>
          </w:p>
        </w:tc>
        <w:tc>
          <w:tcPr>
            <w:tcW w:w="849" w:type="dxa"/>
            <w:tcBorders>
              <w:top w:val="single" w:color="000000" w:sz="6" w:space="0"/>
            </w:tcBorders>
            <w:vAlign w:val="top"/>
          </w:tcPr>
          <w:p>
            <w:pPr>
              <w:spacing w:before="115"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tcBorders>
              <w:top w:val="single" w:color="000000" w:sz="6" w:space="0"/>
            </w:tcBorders>
            <w:vAlign w:val="top"/>
          </w:tcPr>
          <w:p>
            <w:pPr>
              <w:spacing w:before="11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3" w:line="222" w:lineRule="auto"/>
              <w:ind w:left="798"/>
              <w:rPr>
                <w:sz w:val="21"/>
                <w:szCs w:val="21"/>
              </w:rPr>
            </w:pPr>
            <w:r>
              <w:rPr>
                <w:sz w:val="21"/>
                <w:szCs w:val="21"/>
              </w:rPr>
              <w:t>铜</w:t>
            </w:r>
          </w:p>
        </w:tc>
        <w:tc>
          <w:tcPr>
            <w:tcW w:w="1134" w:type="dxa"/>
            <w:vAlign w:val="top"/>
          </w:tcPr>
          <w:p>
            <w:pPr>
              <w:spacing w:before="98"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02" w:line="187" w:lineRule="auto"/>
              <w:ind w:left="6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58" w:type="dxa"/>
            <w:vAlign w:val="top"/>
          </w:tcPr>
          <w:p>
            <w:pPr>
              <w:spacing w:before="98" w:line="187" w:lineRule="auto"/>
              <w:ind w:left="53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18000</w:t>
            </w:r>
          </w:p>
        </w:tc>
        <w:tc>
          <w:tcPr>
            <w:tcW w:w="850" w:type="dxa"/>
            <w:vAlign w:val="top"/>
          </w:tcPr>
          <w:p>
            <w:pPr>
              <w:spacing w:before="102"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849" w:type="dxa"/>
            <w:vAlign w:val="top"/>
          </w:tcPr>
          <w:p>
            <w:pPr>
              <w:spacing w:before="10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2"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4" w:line="225" w:lineRule="auto"/>
              <w:ind w:left="798"/>
              <w:rPr>
                <w:sz w:val="21"/>
                <w:szCs w:val="21"/>
              </w:rPr>
            </w:pPr>
            <w:r>
              <w:rPr>
                <w:sz w:val="21"/>
                <w:szCs w:val="21"/>
              </w:rPr>
              <w:t>铅</w:t>
            </w:r>
          </w:p>
        </w:tc>
        <w:tc>
          <w:tcPr>
            <w:tcW w:w="1134" w:type="dxa"/>
            <w:vAlign w:val="top"/>
          </w:tcPr>
          <w:p>
            <w:pPr>
              <w:spacing w:before="99"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03"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558" w:type="dxa"/>
            <w:vAlign w:val="top"/>
          </w:tcPr>
          <w:p>
            <w:pPr>
              <w:spacing w:before="98" w:line="187" w:lineRule="auto"/>
              <w:ind w:left="62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800</w:t>
            </w:r>
          </w:p>
        </w:tc>
        <w:tc>
          <w:tcPr>
            <w:tcW w:w="850" w:type="dxa"/>
            <w:vAlign w:val="top"/>
          </w:tcPr>
          <w:p>
            <w:pPr>
              <w:spacing w:before="102"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849" w:type="dxa"/>
            <w:vAlign w:val="top"/>
          </w:tcPr>
          <w:p>
            <w:pPr>
              <w:spacing w:before="10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2"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5" w:line="221" w:lineRule="auto"/>
              <w:ind w:left="799"/>
              <w:rPr>
                <w:sz w:val="21"/>
                <w:szCs w:val="21"/>
              </w:rPr>
            </w:pPr>
            <w:r>
              <w:rPr>
                <w:sz w:val="21"/>
                <w:szCs w:val="21"/>
              </w:rPr>
              <w:t>汞</w:t>
            </w:r>
          </w:p>
        </w:tc>
        <w:tc>
          <w:tcPr>
            <w:tcW w:w="1134" w:type="dxa"/>
            <w:vAlign w:val="top"/>
          </w:tcPr>
          <w:p>
            <w:pPr>
              <w:spacing w:before="99"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03"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0.476</w:t>
            </w:r>
          </w:p>
        </w:tc>
        <w:tc>
          <w:tcPr>
            <w:tcW w:w="1558" w:type="dxa"/>
            <w:vAlign w:val="top"/>
          </w:tcPr>
          <w:p>
            <w:pPr>
              <w:spacing w:before="98" w:line="187" w:lineRule="auto"/>
              <w:ind w:left="67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w:t>
            </w:r>
          </w:p>
        </w:tc>
        <w:tc>
          <w:tcPr>
            <w:tcW w:w="850" w:type="dxa"/>
            <w:vAlign w:val="top"/>
          </w:tcPr>
          <w:p>
            <w:pPr>
              <w:spacing w:before="103"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849" w:type="dxa"/>
            <w:vAlign w:val="top"/>
          </w:tcPr>
          <w:p>
            <w:pPr>
              <w:spacing w:before="10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7" w:line="221" w:lineRule="auto"/>
              <w:ind w:left="797"/>
              <w:rPr>
                <w:sz w:val="21"/>
                <w:szCs w:val="21"/>
              </w:rPr>
            </w:pPr>
            <w:r>
              <w:rPr>
                <w:sz w:val="21"/>
                <w:szCs w:val="21"/>
              </w:rPr>
              <w:t>镍</w:t>
            </w:r>
          </w:p>
        </w:tc>
        <w:tc>
          <w:tcPr>
            <w:tcW w:w="1134" w:type="dxa"/>
            <w:vAlign w:val="top"/>
          </w:tcPr>
          <w:p>
            <w:pPr>
              <w:spacing w:before="102"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05"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558" w:type="dxa"/>
            <w:vAlign w:val="top"/>
          </w:tcPr>
          <w:p>
            <w:pPr>
              <w:spacing w:before="101" w:line="187" w:lineRule="auto"/>
              <w:ind w:left="62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900</w:t>
            </w:r>
          </w:p>
        </w:tc>
        <w:tc>
          <w:tcPr>
            <w:tcW w:w="850" w:type="dxa"/>
            <w:vAlign w:val="top"/>
          </w:tcPr>
          <w:p>
            <w:pPr>
              <w:spacing w:before="105"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tc>
        <w:tc>
          <w:tcPr>
            <w:tcW w:w="849" w:type="dxa"/>
            <w:vAlign w:val="top"/>
          </w:tcPr>
          <w:p>
            <w:pPr>
              <w:spacing w:before="105"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7" w:line="235" w:lineRule="auto"/>
              <w:ind w:left="535"/>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1134" w:type="dxa"/>
            <w:vAlign w:val="top"/>
          </w:tcPr>
          <w:p>
            <w:pPr>
              <w:spacing w:before="102"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06"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0.57</w:t>
            </w:r>
          </w:p>
        </w:tc>
        <w:tc>
          <w:tcPr>
            <w:tcW w:w="1558" w:type="dxa"/>
            <w:vAlign w:val="top"/>
          </w:tcPr>
          <w:p>
            <w:pPr>
              <w:spacing w:before="98" w:line="224" w:lineRule="auto"/>
              <w:ind w:left="7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98" w:line="224"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6"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6"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5" w:line="235" w:lineRule="auto"/>
              <w:ind w:left="540"/>
              <w:rPr>
                <w:rFonts w:ascii="Times New Roman" w:hAnsi="Times New Roman" w:eastAsia="Times New Roman" w:cs="Times New Roman"/>
                <w:sz w:val="21"/>
                <w:szCs w:val="21"/>
              </w:rPr>
            </w:pPr>
            <w:r>
              <w:rPr>
                <w:spacing w:val="-3"/>
                <w:sz w:val="21"/>
                <w:szCs w:val="21"/>
              </w:rPr>
              <w:t>氯离子</w:t>
            </w:r>
            <w:r>
              <w:rPr>
                <w:rFonts w:ascii="Times New Roman" w:hAnsi="Times New Roman" w:eastAsia="Times New Roman" w:cs="Times New Roman"/>
                <w:spacing w:val="-3"/>
                <w:sz w:val="21"/>
                <w:szCs w:val="21"/>
              </w:rPr>
              <w:t>*</w:t>
            </w:r>
          </w:p>
        </w:tc>
        <w:tc>
          <w:tcPr>
            <w:tcW w:w="1134" w:type="dxa"/>
            <w:vAlign w:val="top"/>
          </w:tcPr>
          <w:p>
            <w:pPr>
              <w:spacing w:before="100" w:line="191"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414" w:type="dxa"/>
            <w:vAlign w:val="top"/>
          </w:tcPr>
          <w:p>
            <w:pPr>
              <w:spacing w:before="104"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w:t>
            </w:r>
          </w:p>
        </w:tc>
        <w:tc>
          <w:tcPr>
            <w:tcW w:w="1558" w:type="dxa"/>
            <w:vAlign w:val="top"/>
          </w:tcPr>
          <w:p>
            <w:pPr>
              <w:spacing w:before="96" w:line="226" w:lineRule="auto"/>
              <w:ind w:left="7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96" w:line="226"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4"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4"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6" w:line="234" w:lineRule="auto"/>
              <w:ind w:left="224"/>
              <w:rPr>
                <w:rFonts w:ascii="Times New Roman" w:hAnsi="Times New Roman" w:eastAsia="Times New Roman" w:cs="Times New Roman"/>
                <w:sz w:val="21"/>
                <w:szCs w:val="21"/>
              </w:rPr>
            </w:pPr>
            <w:r>
              <w:rPr>
                <w:spacing w:val="-2"/>
                <w:sz w:val="21"/>
                <w:szCs w:val="21"/>
              </w:rPr>
              <w:t>水溶性盐总量</w:t>
            </w:r>
            <w:r>
              <w:rPr>
                <w:rFonts w:ascii="Times New Roman" w:hAnsi="Times New Roman" w:eastAsia="Times New Roman" w:cs="Times New Roman"/>
                <w:spacing w:val="-2"/>
                <w:sz w:val="21"/>
                <w:szCs w:val="21"/>
              </w:rPr>
              <w:t>*</w:t>
            </w:r>
          </w:p>
        </w:tc>
        <w:tc>
          <w:tcPr>
            <w:tcW w:w="1134" w:type="dxa"/>
            <w:vAlign w:val="top"/>
          </w:tcPr>
          <w:p>
            <w:pPr>
              <w:spacing w:before="100" w:line="191"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414" w:type="dxa"/>
            <w:vAlign w:val="top"/>
          </w:tcPr>
          <w:p>
            <w:pPr>
              <w:spacing w:before="104" w:line="187" w:lineRule="auto"/>
              <w:ind w:left="54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1.48</w:t>
            </w:r>
          </w:p>
        </w:tc>
        <w:tc>
          <w:tcPr>
            <w:tcW w:w="1558" w:type="dxa"/>
            <w:vAlign w:val="top"/>
          </w:tcPr>
          <w:p>
            <w:pPr>
              <w:spacing w:before="96" w:line="226" w:lineRule="auto"/>
              <w:ind w:left="7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96" w:line="226"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4"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4"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6" w:line="223" w:lineRule="auto"/>
              <w:ind w:left="797"/>
              <w:rPr>
                <w:sz w:val="21"/>
                <w:szCs w:val="21"/>
              </w:rPr>
            </w:pPr>
            <w:r>
              <w:rPr>
                <w:sz w:val="21"/>
                <w:szCs w:val="21"/>
              </w:rPr>
              <w:t>钡</w:t>
            </w:r>
          </w:p>
        </w:tc>
        <w:tc>
          <w:tcPr>
            <w:tcW w:w="1134" w:type="dxa"/>
            <w:vAlign w:val="top"/>
          </w:tcPr>
          <w:p>
            <w:pPr>
              <w:spacing w:before="101" w:line="191"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414" w:type="dxa"/>
            <w:vAlign w:val="top"/>
          </w:tcPr>
          <w:p>
            <w:pPr>
              <w:spacing w:before="104"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0.67</w:t>
            </w:r>
          </w:p>
        </w:tc>
        <w:tc>
          <w:tcPr>
            <w:tcW w:w="1558" w:type="dxa"/>
            <w:vAlign w:val="top"/>
          </w:tcPr>
          <w:p>
            <w:pPr>
              <w:spacing w:before="100" w:line="187" w:lineRule="auto"/>
              <w:ind w:left="5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8660</w:t>
            </w:r>
          </w:p>
        </w:tc>
        <w:tc>
          <w:tcPr>
            <w:tcW w:w="850" w:type="dxa"/>
            <w:vAlign w:val="top"/>
          </w:tcPr>
          <w:p>
            <w:pPr>
              <w:spacing w:before="104"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0.077</w:t>
            </w:r>
          </w:p>
        </w:tc>
        <w:tc>
          <w:tcPr>
            <w:tcW w:w="849" w:type="dxa"/>
            <w:vAlign w:val="top"/>
          </w:tcPr>
          <w:p>
            <w:pPr>
              <w:spacing w:before="104"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4"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7" w:line="221" w:lineRule="auto"/>
              <w:ind w:left="107"/>
              <w:rPr>
                <w:sz w:val="21"/>
                <w:szCs w:val="21"/>
              </w:rPr>
            </w:pPr>
            <w:r>
              <w:rPr>
                <w:sz w:val="21"/>
                <w:szCs w:val="21"/>
              </w:rPr>
              <w:t>石油烃（</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10</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40</w:t>
            </w:r>
            <w:r>
              <w:rPr>
                <w:sz w:val="21"/>
                <w:szCs w:val="21"/>
              </w:rPr>
              <w:t>）</w:t>
            </w:r>
          </w:p>
        </w:tc>
        <w:tc>
          <w:tcPr>
            <w:tcW w:w="1134" w:type="dxa"/>
            <w:vAlign w:val="top"/>
          </w:tcPr>
          <w:p>
            <w:pPr>
              <w:spacing w:before="101"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05" w:line="187" w:lineRule="auto"/>
              <w:ind w:left="6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558" w:type="dxa"/>
            <w:vAlign w:val="top"/>
          </w:tcPr>
          <w:p>
            <w:pPr>
              <w:spacing w:before="100" w:line="187" w:lineRule="auto"/>
              <w:ind w:left="56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4500</w:t>
            </w:r>
          </w:p>
        </w:tc>
        <w:tc>
          <w:tcPr>
            <w:tcW w:w="850" w:type="dxa"/>
            <w:vAlign w:val="top"/>
          </w:tcPr>
          <w:p>
            <w:pPr>
              <w:spacing w:before="105"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849" w:type="dxa"/>
            <w:vAlign w:val="top"/>
          </w:tcPr>
          <w:p>
            <w:pPr>
              <w:spacing w:before="105"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8591" w:type="dxa"/>
            <w:gridSpan w:val="7"/>
            <w:vAlign w:val="top"/>
          </w:tcPr>
          <w:p>
            <w:pPr>
              <w:pStyle w:val="6"/>
              <w:spacing w:before="69" w:line="220" w:lineRule="auto"/>
              <w:ind w:left="3670"/>
              <w:rPr>
                <w:sz w:val="21"/>
                <w:szCs w:val="21"/>
              </w:rPr>
            </w:pPr>
            <w:r>
              <w:rPr>
                <w:spacing w:val="-1"/>
                <w:sz w:val="21"/>
                <w:szCs w:val="21"/>
              </w:rPr>
              <w:t>挥发性有机物</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9" w:line="221" w:lineRule="auto"/>
              <w:ind w:left="503"/>
              <w:rPr>
                <w:sz w:val="21"/>
                <w:szCs w:val="21"/>
              </w:rPr>
            </w:pPr>
            <w:r>
              <w:rPr>
                <w:spacing w:val="-7"/>
                <w:sz w:val="21"/>
                <w:szCs w:val="21"/>
              </w:rPr>
              <w:t>四氯化碳</w:t>
            </w:r>
          </w:p>
        </w:tc>
        <w:tc>
          <w:tcPr>
            <w:tcW w:w="1134" w:type="dxa"/>
            <w:vAlign w:val="top"/>
          </w:tcPr>
          <w:p>
            <w:pPr>
              <w:spacing w:before="104"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1"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8"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50" w:type="dxa"/>
            <w:vAlign w:val="top"/>
          </w:tcPr>
          <w:p>
            <w:pPr>
              <w:spacing w:before="99" w:line="22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8"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8"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8" w:line="221" w:lineRule="auto"/>
              <w:ind w:left="698"/>
              <w:rPr>
                <w:sz w:val="21"/>
                <w:szCs w:val="21"/>
              </w:rPr>
            </w:pPr>
            <w:r>
              <w:rPr>
                <w:spacing w:val="-3"/>
                <w:sz w:val="21"/>
                <w:szCs w:val="21"/>
              </w:rPr>
              <w:t>氯仿</w:t>
            </w:r>
          </w:p>
        </w:tc>
        <w:tc>
          <w:tcPr>
            <w:tcW w:w="1134" w:type="dxa"/>
            <w:vAlign w:val="top"/>
          </w:tcPr>
          <w:p>
            <w:pPr>
              <w:spacing w:before="103"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09"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6"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0.9</w:t>
            </w:r>
          </w:p>
        </w:tc>
        <w:tc>
          <w:tcPr>
            <w:tcW w:w="850" w:type="dxa"/>
            <w:vAlign w:val="top"/>
          </w:tcPr>
          <w:p>
            <w:pPr>
              <w:spacing w:before="98" w:line="224"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6"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6"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8" w:line="221" w:lineRule="auto"/>
              <w:ind w:left="592"/>
              <w:rPr>
                <w:sz w:val="21"/>
                <w:szCs w:val="21"/>
              </w:rPr>
            </w:pPr>
            <w:r>
              <w:rPr>
                <w:spacing w:val="-2"/>
                <w:sz w:val="21"/>
                <w:szCs w:val="21"/>
              </w:rPr>
              <w:t>氯甲烷</w:t>
            </w:r>
          </w:p>
        </w:tc>
        <w:tc>
          <w:tcPr>
            <w:tcW w:w="1134" w:type="dxa"/>
            <w:vAlign w:val="top"/>
          </w:tcPr>
          <w:p>
            <w:pPr>
              <w:spacing w:before="103"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0"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7"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850" w:type="dxa"/>
            <w:vAlign w:val="top"/>
          </w:tcPr>
          <w:p>
            <w:pPr>
              <w:spacing w:before="98" w:line="224"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7"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7"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8" w:line="223" w:lineRule="auto"/>
              <w:ind w:left="334"/>
              <w:rPr>
                <w:sz w:val="21"/>
                <w:szCs w:val="21"/>
              </w:rPr>
            </w:pPr>
            <w:r>
              <w:rPr>
                <w:rFonts w:ascii="Times New Roman" w:hAnsi="Times New Roman" w:eastAsia="Times New Roman" w:cs="Times New Roman"/>
                <w:spacing w:val="-3"/>
                <w:sz w:val="21"/>
                <w:szCs w:val="21"/>
              </w:rPr>
              <w:t>1,1-</w:t>
            </w:r>
            <w:r>
              <w:rPr>
                <w:spacing w:val="-3"/>
                <w:sz w:val="21"/>
                <w:szCs w:val="21"/>
              </w:rPr>
              <w:t>二氯乙烷</w:t>
            </w:r>
          </w:p>
        </w:tc>
        <w:tc>
          <w:tcPr>
            <w:tcW w:w="1134" w:type="dxa"/>
            <w:vAlign w:val="top"/>
          </w:tcPr>
          <w:p>
            <w:pPr>
              <w:spacing w:before="103"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10"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7" w:line="187" w:lineRule="auto"/>
              <w:ind w:left="73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850" w:type="dxa"/>
            <w:vAlign w:val="top"/>
          </w:tcPr>
          <w:p>
            <w:pPr>
              <w:spacing w:before="99" w:line="22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7"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7"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8" w:line="223" w:lineRule="auto"/>
              <w:ind w:left="334"/>
              <w:rPr>
                <w:sz w:val="21"/>
                <w:szCs w:val="21"/>
              </w:rPr>
            </w:pPr>
            <w:r>
              <w:rPr>
                <w:rFonts w:ascii="Times New Roman" w:hAnsi="Times New Roman" w:eastAsia="Times New Roman" w:cs="Times New Roman"/>
                <w:spacing w:val="-3"/>
                <w:sz w:val="21"/>
                <w:szCs w:val="21"/>
              </w:rPr>
              <w:t>1,2-</w:t>
            </w:r>
            <w:r>
              <w:rPr>
                <w:spacing w:val="-3"/>
                <w:sz w:val="21"/>
                <w:szCs w:val="21"/>
              </w:rPr>
              <w:t>二氯乙烷</w:t>
            </w:r>
          </w:p>
        </w:tc>
        <w:tc>
          <w:tcPr>
            <w:tcW w:w="1134" w:type="dxa"/>
            <w:vAlign w:val="top"/>
          </w:tcPr>
          <w:p>
            <w:pPr>
              <w:spacing w:before="104"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0"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0" w:line="184" w:lineRule="auto"/>
              <w:ind w:left="73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50" w:type="dxa"/>
            <w:vAlign w:val="top"/>
          </w:tcPr>
          <w:p>
            <w:pPr>
              <w:spacing w:before="100" w:line="221"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7"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7"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1" w:line="223" w:lineRule="auto"/>
              <w:ind w:left="334"/>
              <w:rPr>
                <w:sz w:val="21"/>
                <w:szCs w:val="21"/>
              </w:rPr>
            </w:pPr>
            <w:r>
              <w:rPr>
                <w:rFonts w:ascii="Times New Roman" w:hAnsi="Times New Roman" w:eastAsia="Times New Roman" w:cs="Times New Roman"/>
                <w:spacing w:val="-3"/>
                <w:sz w:val="21"/>
                <w:szCs w:val="21"/>
              </w:rPr>
              <w:t>1,1-</w:t>
            </w:r>
            <w:r>
              <w:rPr>
                <w:spacing w:val="-3"/>
                <w:sz w:val="21"/>
                <w:szCs w:val="21"/>
              </w:rPr>
              <w:t>二氯乙烯</w:t>
            </w:r>
          </w:p>
        </w:tc>
        <w:tc>
          <w:tcPr>
            <w:tcW w:w="1134" w:type="dxa"/>
            <w:vAlign w:val="top"/>
          </w:tcPr>
          <w:p>
            <w:pPr>
              <w:spacing w:before="106"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3"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0"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850" w:type="dxa"/>
            <w:vAlign w:val="top"/>
          </w:tcPr>
          <w:p>
            <w:pPr>
              <w:spacing w:before="103" w:line="220"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0"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0"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1" w:line="223" w:lineRule="auto"/>
              <w:ind w:left="179"/>
              <w:rPr>
                <w:sz w:val="21"/>
                <w:szCs w:val="21"/>
              </w:rPr>
            </w:pPr>
            <w:r>
              <w:rPr>
                <w:spacing w:val="-3"/>
                <w:sz w:val="21"/>
                <w:szCs w:val="21"/>
              </w:rPr>
              <w:t>顺</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3"/>
                <w:sz w:val="21"/>
                <w:szCs w:val="21"/>
              </w:rPr>
              <w:t>1,2-</w:t>
            </w:r>
            <w:r>
              <w:rPr>
                <w:spacing w:val="-3"/>
                <w:sz w:val="21"/>
                <w:szCs w:val="21"/>
              </w:rPr>
              <w:t>二氯乙烯</w:t>
            </w:r>
          </w:p>
        </w:tc>
        <w:tc>
          <w:tcPr>
            <w:tcW w:w="1134" w:type="dxa"/>
            <w:vAlign w:val="top"/>
          </w:tcPr>
          <w:p>
            <w:pPr>
              <w:spacing w:before="107"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3"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0" w:line="187" w:lineRule="auto"/>
              <w:ind w:left="6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850" w:type="dxa"/>
            <w:vAlign w:val="top"/>
          </w:tcPr>
          <w:p>
            <w:pPr>
              <w:spacing w:before="103" w:line="220"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0"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0"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69" w:line="223" w:lineRule="auto"/>
              <w:ind w:left="179"/>
              <w:rPr>
                <w:sz w:val="21"/>
                <w:szCs w:val="21"/>
              </w:rPr>
            </w:pPr>
            <w:r>
              <w:rPr>
                <w:spacing w:val="-3"/>
                <w:sz w:val="21"/>
                <w:szCs w:val="21"/>
              </w:rPr>
              <w:t>反</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3"/>
                <w:sz w:val="21"/>
                <w:szCs w:val="21"/>
              </w:rPr>
              <w:t>1,2-</w:t>
            </w:r>
            <w:r>
              <w:rPr>
                <w:spacing w:val="-3"/>
                <w:sz w:val="21"/>
                <w:szCs w:val="21"/>
              </w:rPr>
              <w:t>二氯乙烯</w:t>
            </w:r>
          </w:p>
        </w:tc>
        <w:tc>
          <w:tcPr>
            <w:tcW w:w="1134" w:type="dxa"/>
            <w:vAlign w:val="top"/>
          </w:tcPr>
          <w:p>
            <w:pPr>
              <w:spacing w:before="105"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1"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8" w:line="187" w:lineRule="auto"/>
              <w:ind w:left="6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850" w:type="dxa"/>
            <w:vAlign w:val="top"/>
          </w:tcPr>
          <w:p>
            <w:pPr>
              <w:spacing w:before="100" w:line="222"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8"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8"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0" w:line="221" w:lineRule="auto"/>
              <w:ind w:left="487"/>
              <w:rPr>
                <w:sz w:val="21"/>
                <w:szCs w:val="21"/>
              </w:rPr>
            </w:pPr>
            <w:r>
              <w:rPr>
                <w:spacing w:val="-3"/>
                <w:sz w:val="21"/>
                <w:szCs w:val="21"/>
              </w:rPr>
              <w:t>二氯甲烷</w:t>
            </w:r>
          </w:p>
        </w:tc>
        <w:tc>
          <w:tcPr>
            <w:tcW w:w="1134" w:type="dxa"/>
            <w:vAlign w:val="top"/>
          </w:tcPr>
          <w:p>
            <w:pPr>
              <w:spacing w:before="105"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2"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9" w:line="187" w:lineRule="auto"/>
              <w:ind w:left="6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850" w:type="dxa"/>
            <w:vAlign w:val="top"/>
          </w:tcPr>
          <w:p>
            <w:pPr>
              <w:spacing w:before="100" w:line="222"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9"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9"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0" w:line="223" w:lineRule="auto"/>
              <w:ind w:left="334"/>
              <w:rPr>
                <w:sz w:val="21"/>
                <w:szCs w:val="21"/>
              </w:rPr>
            </w:pPr>
            <w:r>
              <w:rPr>
                <w:rFonts w:ascii="Times New Roman" w:hAnsi="Times New Roman" w:eastAsia="Times New Roman" w:cs="Times New Roman"/>
                <w:spacing w:val="-3"/>
                <w:sz w:val="21"/>
                <w:szCs w:val="21"/>
              </w:rPr>
              <w:t>1,2-</w:t>
            </w:r>
            <w:r>
              <w:rPr>
                <w:spacing w:val="-3"/>
                <w:sz w:val="21"/>
                <w:szCs w:val="21"/>
              </w:rPr>
              <w:t>二氯丙烷</w:t>
            </w:r>
          </w:p>
        </w:tc>
        <w:tc>
          <w:tcPr>
            <w:tcW w:w="1134" w:type="dxa"/>
            <w:vAlign w:val="top"/>
          </w:tcPr>
          <w:p>
            <w:pPr>
              <w:spacing w:before="105"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2"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2" w:line="184" w:lineRule="auto"/>
              <w:ind w:left="73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50" w:type="dxa"/>
            <w:vAlign w:val="top"/>
          </w:tcPr>
          <w:p>
            <w:pPr>
              <w:spacing w:before="102" w:line="221"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9"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9"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0" w:line="223" w:lineRule="auto"/>
              <w:ind w:left="176"/>
              <w:rPr>
                <w:sz w:val="21"/>
                <w:szCs w:val="21"/>
              </w:rPr>
            </w:pPr>
            <w:r>
              <w:rPr>
                <w:rFonts w:ascii="Times New Roman" w:hAnsi="Times New Roman" w:eastAsia="Times New Roman" w:cs="Times New Roman"/>
                <w:spacing w:val="-4"/>
                <w:sz w:val="21"/>
                <w:szCs w:val="21"/>
              </w:rPr>
              <w:t>1,1,1,2-</w:t>
            </w:r>
            <w:r>
              <w:rPr>
                <w:rFonts w:ascii="Times New Roman" w:hAnsi="Times New Roman" w:eastAsia="Times New Roman" w:cs="Times New Roman"/>
                <w:spacing w:val="-28"/>
                <w:sz w:val="21"/>
                <w:szCs w:val="21"/>
              </w:rPr>
              <w:t xml:space="preserve"> </w:t>
            </w:r>
            <w:r>
              <w:rPr>
                <w:spacing w:val="-4"/>
                <w:sz w:val="21"/>
                <w:szCs w:val="21"/>
              </w:rPr>
              <w:t>四氯乙烷</w:t>
            </w:r>
          </w:p>
        </w:tc>
        <w:tc>
          <w:tcPr>
            <w:tcW w:w="1134" w:type="dxa"/>
            <w:vAlign w:val="top"/>
          </w:tcPr>
          <w:p>
            <w:pPr>
              <w:spacing w:before="106"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12"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09" w:line="187" w:lineRule="auto"/>
              <w:ind w:left="69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50" w:type="dxa"/>
            <w:vAlign w:val="top"/>
          </w:tcPr>
          <w:p>
            <w:pPr>
              <w:spacing w:before="102" w:line="219"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09"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09"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3" w:line="223" w:lineRule="auto"/>
              <w:ind w:left="176"/>
              <w:rPr>
                <w:sz w:val="21"/>
                <w:szCs w:val="21"/>
              </w:rPr>
            </w:pPr>
            <w:r>
              <w:rPr>
                <w:rFonts w:ascii="Times New Roman" w:hAnsi="Times New Roman" w:eastAsia="Times New Roman" w:cs="Times New Roman"/>
                <w:spacing w:val="-4"/>
                <w:sz w:val="21"/>
                <w:szCs w:val="21"/>
              </w:rPr>
              <w:t>1,1,2,2-</w:t>
            </w:r>
            <w:r>
              <w:rPr>
                <w:rFonts w:ascii="Times New Roman" w:hAnsi="Times New Roman" w:eastAsia="Times New Roman" w:cs="Times New Roman"/>
                <w:spacing w:val="-28"/>
                <w:sz w:val="21"/>
                <w:szCs w:val="21"/>
              </w:rPr>
              <w:t xml:space="preserve"> </w:t>
            </w:r>
            <w:r>
              <w:rPr>
                <w:spacing w:val="-4"/>
                <w:sz w:val="21"/>
                <w:szCs w:val="21"/>
              </w:rPr>
              <w:t>四氯乙烷</w:t>
            </w:r>
          </w:p>
        </w:tc>
        <w:tc>
          <w:tcPr>
            <w:tcW w:w="1134" w:type="dxa"/>
            <w:vAlign w:val="top"/>
          </w:tcPr>
          <w:p>
            <w:pPr>
              <w:spacing w:before="108"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5"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2" w:line="187" w:lineRule="auto"/>
              <w:ind w:left="6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850" w:type="dxa"/>
            <w:vAlign w:val="top"/>
          </w:tcPr>
          <w:p>
            <w:pPr>
              <w:spacing w:before="104" w:line="219"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2"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4" w:line="221" w:lineRule="auto"/>
              <w:ind w:left="503"/>
              <w:rPr>
                <w:sz w:val="21"/>
                <w:szCs w:val="21"/>
              </w:rPr>
            </w:pPr>
            <w:r>
              <w:rPr>
                <w:spacing w:val="-7"/>
                <w:sz w:val="21"/>
                <w:szCs w:val="21"/>
              </w:rPr>
              <w:t>四氯乙烯</w:t>
            </w:r>
          </w:p>
        </w:tc>
        <w:tc>
          <w:tcPr>
            <w:tcW w:w="1134" w:type="dxa"/>
            <w:vAlign w:val="top"/>
          </w:tcPr>
          <w:p>
            <w:pPr>
              <w:spacing w:before="109"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16"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3" w:line="187" w:lineRule="auto"/>
              <w:ind w:left="6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850" w:type="dxa"/>
            <w:vAlign w:val="top"/>
          </w:tcPr>
          <w:p>
            <w:pPr>
              <w:spacing w:before="105" w:line="218"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2" w:line="223" w:lineRule="auto"/>
              <w:ind w:left="255"/>
              <w:rPr>
                <w:sz w:val="21"/>
                <w:szCs w:val="21"/>
              </w:rPr>
            </w:pPr>
            <w:r>
              <w:rPr>
                <w:rFonts w:ascii="Times New Roman" w:hAnsi="Times New Roman" w:eastAsia="Times New Roman" w:cs="Times New Roman"/>
                <w:spacing w:val="-3"/>
                <w:sz w:val="21"/>
                <w:szCs w:val="21"/>
              </w:rPr>
              <w:t>1,1,1-</w:t>
            </w:r>
            <w:r>
              <w:rPr>
                <w:spacing w:val="-3"/>
                <w:sz w:val="21"/>
                <w:szCs w:val="21"/>
              </w:rPr>
              <w:t>三氯乙烷</w:t>
            </w:r>
          </w:p>
        </w:tc>
        <w:tc>
          <w:tcPr>
            <w:tcW w:w="1134" w:type="dxa"/>
            <w:vAlign w:val="top"/>
          </w:tcPr>
          <w:p>
            <w:pPr>
              <w:spacing w:before="107"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14"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1" w:line="187" w:lineRule="auto"/>
              <w:ind w:left="6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840</w:t>
            </w:r>
          </w:p>
        </w:tc>
        <w:tc>
          <w:tcPr>
            <w:tcW w:w="850" w:type="dxa"/>
            <w:vAlign w:val="top"/>
          </w:tcPr>
          <w:p>
            <w:pPr>
              <w:spacing w:before="103" w:line="220"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1"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1"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2" w:line="223" w:lineRule="auto"/>
              <w:ind w:left="255"/>
              <w:rPr>
                <w:sz w:val="21"/>
                <w:szCs w:val="21"/>
              </w:rPr>
            </w:pPr>
            <w:r>
              <w:rPr>
                <w:rFonts w:ascii="Times New Roman" w:hAnsi="Times New Roman" w:eastAsia="Times New Roman" w:cs="Times New Roman"/>
                <w:spacing w:val="-3"/>
                <w:sz w:val="21"/>
                <w:szCs w:val="21"/>
              </w:rPr>
              <w:t>1,1,2-</w:t>
            </w:r>
            <w:r>
              <w:rPr>
                <w:spacing w:val="-3"/>
                <w:sz w:val="21"/>
                <w:szCs w:val="21"/>
              </w:rPr>
              <w:t>三氯乙烷</w:t>
            </w:r>
          </w:p>
        </w:tc>
        <w:tc>
          <w:tcPr>
            <w:tcW w:w="1134" w:type="dxa"/>
            <w:vAlign w:val="top"/>
          </w:tcPr>
          <w:p>
            <w:pPr>
              <w:spacing w:before="107"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4"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1"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50" w:type="dxa"/>
            <w:vAlign w:val="top"/>
          </w:tcPr>
          <w:p>
            <w:pPr>
              <w:spacing w:before="104" w:line="219"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1"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1"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2" w:line="221" w:lineRule="auto"/>
              <w:ind w:left="483"/>
              <w:rPr>
                <w:sz w:val="21"/>
                <w:szCs w:val="21"/>
              </w:rPr>
            </w:pPr>
            <w:r>
              <w:rPr>
                <w:spacing w:val="-2"/>
                <w:sz w:val="21"/>
                <w:szCs w:val="21"/>
              </w:rPr>
              <w:t>三氯乙烯</w:t>
            </w:r>
          </w:p>
        </w:tc>
        <w:tc>
          <w:tcPr>
            <w:tcW w:w="1134" w:type="dxa"/>
            <w:vAlign w:val="top"/>
          </w:tcPr>
          <w:p>
            <w:pPr>
              <w:spacing w:before="108"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4"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1"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50" w:type="dxa"/>
            <w:vAlign w:val="top"/>
          </w:tcPr>
          <w:p>
            <w:pPr>
              <w:spacing w:before="104" w:line="219"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1"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1"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3" w:line="223" w:lineRule="auto"/>
              <w:ind w:left="255"/>
              <w:rPr>
                <w:sz w:val="21"/>
                <w:szCs w:val="21"/>
              </w:rPr>
            </w:pPr>
            <w:r>
              <w:rPr>
                <w:rFonts w:ascii="Times New Roman" w:hAnsi="Times New Roman" w:eastAsia="Times New Roman" w:cs="Times New Roman"/>
                <w:spacing w:val="-3"/>
                <w:sz w:val="21"/>
                <w:szCs w:val="21"/>
              </w:rPr>
              <w:t>1,2,3-</w:t>
            </w:r>
            <w:r>
              <w:rPr>
                <w:spacing w:val="-3"/>
                <w:sz w:val="21"/>
                <w:szCs w:val="21"/>
              </w:rPr>
              <w:t>三氯丙烷</w:t>
            </w:r>
          </w:p>
        </w:tc>
        <w:tc>
          <w:tcPr>
            <w:tcW w:w="1134" w:type="dxa"/>
            <w:vAlign w:val="top"/>
          </w:tcPr>
          <w:p>
            <w:pPr>
              <w:spacing w:before="108"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5"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2"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850" w:type="dxa"/>
            <w:vAlign w:val="top"/>
          </w:tcPr>
          <w:p>
            <w:pPr>
              <w:spacing w:before="104" w:line="217"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2"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5" w:line="221" w:lineRule="auto"/>
              <w:ind w:left="592"/>
              <w:rPr>
                <w:sz w:val="21"/>
                <w:szCs w:val="21"/>
              </w:rPr>
            </w:pPr>
            <w:r>
              <w:rPr>
                <w:spacing w:val="-2"/>
                <w:sz w:val="21"/>
                <w:szCs w:val="21"/>
              </w:rPr>
              <w:t>氯乙烯</w:t>
            </w:r>
          </w:p>
        </w:tc>
        <w:tc>
          <w:tcPr>
            <w:tcW w:w="1134" w:type="dxa"/>
            <w:vAlign w:val="top"/>
          </w:tcPr>
          <w:p>
            <w:pPr>
              <w:spacing w:before="111"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7"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4"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w:t>
            </w:r>
          </w:p>
        </w:tc>
        <w:tc>
          <w:tcPr>
            <w:tcW w:w="850" w:type="dxa"/>
            <w:vAlign w:val="top"/>
          </w:tcPr>
          <w:p>
            <w:pPr>
              <w:spacing w:before="107" w:line="216"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4"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4"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6" w:line="220" w:lineRule="auto"/>
              <w:ind w:left="800"/>
              <w:rPr>
                <w:sz w:val="21"/>
                <w:szCs w:val="21"/>
              </w:rPr>
            </w:pPr>
            <w:r>
              <w:rPr>
                <w:sz w:val="21"/>
                <w:szCs w:val="21"/>
              </w:rPr>
              <w:t>苯</w:t>
            </w:r>
          </w:p>
        </w:tc>
        <w:tc>
          <w:tcPr>
            <w:tcW w:w="1134" w:type="dxa"/>
            <w:vAlign w:val="top"/>
          </w:tcPr>
          <w:p>
            <w:pPr>
              <w:spacing w:before="111"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8"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5" w:line="187" w:lineRule="auto"/>
              <w:ind w:left="73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50" w:type="dxa"/>
            <w:vAlign w:val="top"/>
          </w:tcPr>
          <w:p>
            <w:pPr>
              <w:spacing w:before="107" w:line="216"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5"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4" w:line="220" w:lineRule="auto"/>
              <w:ind w:left="698"/>
              <w:rPr>
                <w:sz w:val="21"/>
                <w:szCs w:val="21"/>
              </w:rPr>
            </w:pPr>
            <w:r>
              <w:rPr>
                <w:spacing w:val="-3"/>
                <w:sz w:val="21"/>
                <w:szCs w:val="21"/>
              </w:rPr>
              <w:t>氯苯</w:t>
            </w:r>
          </w:p>
        </w:tc>
        <w:tc>
          <w:tcPr>
            <w:tcW w:w="1134" w:type="dxa"/>
            <w:vAlign w:val="top"/>
          </w:tcPr>
          <w:p>
            <w:pPr>
              <w:spacing w:before="109"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6"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3" w:line="187" w:lineRule="auto"/>
              <w:ind w:left="6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w:t>
            </w:r>
          </w:p>
        </w:tc>
        <w:tc>
          <w:tcPr>
            <w:tcW w:w="850" w:type="dxa"/>
            <w:vAlign w:val="top"/>
          </w:tcPr>
          <w:p>
            <w:pPr>
              <w:spacing w:before="105" w:line="218"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4" w:line="223" w:lineRule="auto"/>
              <w:ind w:left="440"/>
              <w:rPr>
                <w:sz w:val="21"/>
                <w:szCs w:val="21"/>
              </w:rPr>
            </w:pPr>
            <w:r>
              <w:rPr>
                <w:rFonts w:ascii="Times New Roman" w:hAnsi="Times New Roman" w:eastAsia="Times New Roman" w:cs="Times New Roman"/>
                <w:spacing w:val="-4"/>
                <w:sz w:val="21"/>
                <w:szCs w:val="21"/>
              </w:rPr>
              <w:t>1,2-</w:t>
            </w:r>
            <w:r>
              <w:rPr>
                <w:spacing w:val="-4"/>
                <w:sz w:val="21"/>
                <w:szCs w:val="21"/>
              </w:rPr>
              <w:t>二氯苯</w:t>
            </w:r>
          </w:p>
        </w:tc>
        <w:tc>
          <w:tcPr>
            <w:tcW w:w="1134" w:type="dxa"/>
            <w:vAlign w:val="top"/>
          </w:tcPr>
          <w:p>
            <w:pPr>
              <w:spacing w:before="109"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16"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3" w:line="187" w:lineRule="auto"/>
              <w:ind w:left="6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850" w:type="dxa"/>
            <w:vAlign w:val="top"/>
          </w:tcPr>
          <w:p>
            <w:pPr>
              <w:spacing w:before="106" w:line="217"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4" w:line="223" w:lineRule="auto"/>
              <w:ind w:left="440"/>
              <w:rPr>
                <w:sz w:val="21"/>
                <w:szCs w:val="21"/>
              </w:rPr>
            </w:pPr>
            <w:r>
              <w:rPr>
                <w:rFonts w:ascii="Times New Roman" w:hAnsi="Times New Roman" w:eastAsia="Times New Roman" w:cs="Times New Roman"/>
                <w:spacing w:val="-4"/>
                <w:sz w:val="21"/>
                <w:szCs w:val="21"/>
              </w:rPr>
              <w:t>1,4-</w:t>
            </w:r>
            <w:r>
              <w:rPr>
                <w:spacing w:val="-4"/>
                <w:sz w:val="21"/>
                <w:szCs w:val="21"/>
              </w:rPr>
              <w:t>二氯苯</w:t>
            </w:r>
          </w:p>
        </w:tc>
        <w:tc>
          <w:tcPr>
            <w:tcW w:w="1134" w:type="dxa"/>
            <w:vAlign w:val="top"/>
          </w:tcPr>
          <w:p>
            <w:pPr>
              <w:spacing w:before="110"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16"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3" w:line="187" w:lineRule="auto"/>
              <w:ind w:left="6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850" w:type="dxa"/>
            <w:vAlign w:val="top"/>
          </w:tcPr>
          <w:p>
            <w:pPr>
              <w:spacing w:before="106" w:line="217"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6" w:line="220" w:lineRule="auto"/>
              <w:ind w:left="715"/>
              <w:rPr>
                <w:sz w:val="21"/>
                <w:szCs w:val="21"/>
              </w:rPr>
            </w:pPr>
            <w:r>
              <w:rPr>
                <w:spacing w:val="-7"/>
                <w:sz w:val="21"/>
                <w:szCs w:val="21"/>
              </w:rPr>
              <w:t>乙苯</w:t>
            </w:r>
          </w:p>
        </w:tc>
        <w:tc>
          <w:tcPr>
            <w:tcW w:w="1134" w:type="dxa"/>
            <w:vAlign w:val="top"/>
          </w:tcPr>
          <w:p>
            <w:pPr>
              <w:spacing w:before="111"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17"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4" w:line="187" w:lineRule="auto"/>
              <w:ind w:left="6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50" w:type="dxa"/>
            <w:vAlign w:val="top"/>
          </w:tcPr>
          <w:p>
            <w:pPr>
              <w:spacing w:before="107" w:line="214"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4"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4"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8" w:line="220" w:lineRule="auto"/>
              <w:ind w:left="591"/>
              <w:rPr>
                <w:sz w:val="21"/>
                <w:szCs w:val="21"/>
              </w:rPr>
            </w:pPr>
            <w:r>
              <w:rPr>
                <w:spacing w:val="-2"/>
                <w:sz w:val="21"/>
                <w:szCs w:val="21"/>
              </w:rPr>
              <w:t>苯乙烯</w:t>
            </w:r>
          </w:p>
        </w:tc>
        <w:tc>
          <w:tcPr>
            <w:tcW w:w="1134" w:type="dxa"/>
            <w:vAlign w:val="top"/>
          </w:tcPr>
          <w:p>
            <w:pPr>
              <w:spacing w:before="113" w:line="191"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mg/kg</w:t>
            </w:r>
          </w:p>
        </w:tc>
        <w:tc>
          <w:tcPr>
            <w:tcW w:w="1414" w:type="dxa"/>
            <w:vAlign w:val="top"/>
          </w:tcPr>
          <w:p>
            <w:pPr>
              <w:spacing w:before="120"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7" w:line="187" w:lineRule="auto"/>
              <w:ind w:left="5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1290</w:t>
            </w:r>
          </w:p>
        </w:tc>
        <w:tc>
          <w:tcPr>
            <w:tcW w:w="850" w:type="dxa"/>
            <w:vAlign w:val="top"/>
          </w:tcPr>
          <w:p>
            <w:pPr>
              <w:spacing w:before="109" w:line="214"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7"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7"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9" w:line="220" w:lineRule="auto"/>
              <w:ind w:left="722"/>
              <w:rPr>
                <w:sz w:val="21"/>
                <w:szCs w:val="21"/>
              </w:rPr>
            </w:pPr>
            <w:r>
              <w:rPr>
                <w:spacing w:val="-9"/>
                <w:sz w:val="21"/>
                <w:szCs w:val="21"/>
              </w:rPr>
              <w:t>甲苯</w:t>
            </w:r>
          </w:p>
        </w:tc>
        <w:tc>
          <w:tcPr>
            <w:tcW w:w="1134" w:type="dxa"/>
            <w:vAlign w:val="top"/>
          </w:tcPr>
          <w:p>
            <w:pPr>
              <w:spacing w:before="114"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20"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7" w:line="187" w:lineRule="auto"/>
              <w:ind w:left="5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1200</w:t>
            </w:r>
          </w:p>
        </w:tc>
        <w:tc>
          <w:tcPr>
            <w:tcW w:w="850" w:type="dxa"/>
            <w:vAlign w:val="top"/>
          </w:tcPr>
          <w:p>
            <w:pPr>
              <w:spacing w:before="110" w:line="21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7"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7"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43" w:line="218" w:lineRule="auto"/>
              <w:ind w:left="799" w:right="111" w:hanging="674"/>
              <w:rPr>
                <w:sz w:val="21"/>
                <w:szCs w:val="21"/>
              </w:rPr>
            </w:pPr>
            <w:r>
              <w:rPr>
                <w:spacing w:val="-3"/>
                <w:sz w:val="21"/>
                <w:szCs w:val="21"/>
              </w:rPr>
              <w:t>间二甲苯</w:t>
            </w:r>
            <w:r>
              <w:rPr>
                <w:rFonts w:ascii="Times New Roman" w:hAnsi="Times New Roman" w:eastAsia="Times New Roman" w:cs="Times New Roman"/>
                <w:spacing w:val="-3"/>
                <w:sz w:val="21"/>
                <w:szCs w:val="21"/>
              </w:rPr>
              <w:t>+</w:t>
            </w:r>
            <w:r>
              <w:rPr>
                <w:spacing w:val="-3"/>
                <w:sz w:val="21"/>
                <w:szCs w:val="21"/>
              </w:rPr>
              <w:t>对二甲</w:t>
            </w:r>
            <w:r>
              <w:rPr>
                <w:spacing w:val="1"/>
                <w:sz w:val="21"/>
                <w:szCs w:val="21"/>
              </w:rPr>
              <w:t xml:space="preserve"> </w:t>
            </w:r>
            <w:r>
              <w:rPr>
                <w:sz w:val="21"/>
                <w:szCs w:val="21"/>
              </w:rPr>
              <w:t>苯</w:t>
            </w:r>
          </w:p>
        </w:tc>
        <w:tc>
          <w:tcPr>
            <w:tcW w:w="1134" w:type="dxa"/>
            <w:vAlign w:val="top"/>
          </w:tcPr>
          <w:p>
            <w:pPr>
              <w:spacing w:before="215"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221"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218" w:line="187" w:lineRule="auto"/>
              <w:ind w:left="6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850" w:type="dxa"/>
            <w:vAlign w:val="top"/>
          </w:tcPr>
          <w:p>
            <w:pPr>
              <w:spacing w:before="210" w:line="23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218"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218"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1809" w:type="dxa"/>
            <w:vAlign w:val="top"/>
          </w:tcPr>
          <w:p>
            <w:pPr>
              <w:pStyle w:val="6"/>
              <w:spacing w:before="79" w:line="220" w:lineRule="auto"/>
              <w:ind w:left="482"/>
              <w:rPr>
                <w:sz w:val="21"/>
                <w:szCs w:val="21"/>
              </w:rPr>
            </w:pPr>
            <w:r>
              <w:rPr>
                <w:spacing w:val="-1"/>
                <w:sz w:val="21"/>
                <w:szCs w:val="21"/>
              </w:rPr>
              <w:t>邻二甲苯</w:t>
            </w:r>
          </w:p>
        </w:tc>
        <w:tc>
          <w:tcPr>
            <w:tcW w:w="1134" w:type="dxa"/>
            <w:vAlign w:val="top"/>
          </w:tcPr>
          <w:p>
            <w:pPr>
              <w:spacing w:before="114" w:line="191"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4" w:type="dxa"/>
            <w:vAlign w:val="top"/>
          </w:tcPr>
          <w:p>
            <w:pPr>
              <w:spacing w:before="121" w:line="184"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8" w:type="dxa"/>
            <w:vAlign w:val="top"/>
          </w:tcPr>
          <w:p>
            <w:pPr>
              <w:spacing w:before="118" w:line="187" w:lineRule="auto"/>
              <w:ind w:left="6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850" w:type="dxa"/>
            <w:vAlign w:val="top"/>
          </w:tcPr>
          <w:p>
            <w:pPr>
              <w:spacing w:before="110" w:line="21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9" w:type="dxa"/>
            <w:vAlign w:val="top"/>
          </w:tcPr>
          <w:p>
            <w:pPr>
              <w:spacing w:before="118" w:line="187"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7" w:type="dxa"/>
            <w:vAlign w:val="top"/>
          </w:tcPr>
          <w:p>
            <w:pPr>
              <w:spacing w:before="118"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78" w:type="dxa"/>
            <w:vMerge w:val="continue"/>
            <w:tcBorders>
              <w:top w:val="nil"/>
              <w:left w:val="single" w:color="000000" w:sz="6" w:space="0"/>
              <w:bottom w:val="single" w:color="000000" w:sz="6" w:space="0"/>
            </w:tcBorders>
            <w:vAlign w:val="top"/>
          </w:tcPr>
          <w:p>
            <w:pPr>
              <w:rPr>
                <w:rFonts w:ascii="Arial"/>
                <w:sz w:val="21"/>
              </w:rPr>
            </w:pPr>
          </w:p>
        </w:tc>
        <w:tc>
          <w:tcPr>
            <w:tcW w:w="8591" w:type="dxa"/>
            <w:gridSpan w:val="7"/>
            <w:tcBorders>
              <w:bottom w:val="single" w:color="000000" w:sz="6" w:space="0"/>
            </w:tcBorders>
            <w:vAlign w:val="top"/>
          </w:tcPr>
          <w:p>
            <w:pPr>
              <w:pStyle w:val="6"/>
              <w:spacing w:before="77" w:line="220" w:lineRule="auto"/>
              <w:ind w:left="3569"/>
              <w:rPr>
                <w:sz w:val="21"/>
                <w:szCs w:val="21"/>
              </w:rPr>
            </w:pPr>
            <w:r>
              <w:rPr>
                <w:spacing w:val="-2"/>
                <w:sz w:val="21"/>
                <w:szCs w:val="21"/>
              </w:rPr>
              <w:t>半挥发性有机物</w:t>
            </w:r>
          </w:p>
        </w:tc>
        <w:tc>
          <w:tcPr>
            <w:tcW w:w="122"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74"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57" w:hRule="atLeast"/>
        </w:trPr>
        <w:tc>
          <w:tcPr>
            <w:tcW w:w="9291" w:type="dxa"/>
            <w:vAlign w:val="top"/>
          </w:tcPr>
          <w:p>
            <w:pPr>
              <w:spacing w:line="18" w:lineRule="exact"/>
            </w:pPr>
            <w:r>
              <w:pict>
                <v:rect id="_x0000_s1274" o:spid="_x0000_s1274" o:spt="1" style="position:absolute;left:0pt;margin-left:22.75pt;margin-top:0.95pt;height:696.95pt;width:0.5pt;mso-position-horizontal-relative:page;mso-position-vertical-relative:page;z-index:251820032;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1135"/>
              <w:gridCol w:w="1415"/>
              <w:gridCol w:w="1559"/>
              <w:gridCol w:w="852"/>
              <w:gridCol w:w="850"/>
              <w:gridCol w:w="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tcBorders>
                    <w:top w:val="nil"/>
                  </w:tcBorders>
                  <w:vAlign w:val="top"/>
                </w:tcPr>
                <w:p>
                  <w:pPr>
                    <w:pStyle w:val="6"/>
                    <w:spacing w:before="63" w:line="220" w:lineRule="auto"/>
                    <w:ind w:left="600"/>
                    <w:rPr>
                      <w:sz w:val="21"/>
                      <w:szCs w:val="21"/>
                    </w:rPr>
                  </w:pPr>
                  <w:r>
                    <w:rPr>
                      <w:spacing w:val="-2"/>
                      <w:sz w:val="21"/>
                      <w:szCs w:val="21"/>
                    </w:rPr>
                    <w:t>硝基苯</w:t>
                  </w:r>
                </w:p>
              </w:tc>
              <w:tc>
                <w:tcPr>
                  <w:tcW w:w="1135" w:type="dxa"/>
                  <w:tcBorders>
                    <w:top w:val="nil"/>
                  </w:tcBorders>
                  <w:vAlign w:val="top"/>
                </w:tcPr>
                <w:p>
                  <w:pPr>
                    <w:spacing w:before="98"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tcBorders>
                    <w:top w:val="nil"/>
                  </w:tcBorders>
                  <w:vAlign w:val="top"/>
                </w:tcPr>
                <w:p>
                  <w:pPr>
                    <w:spacing w:before="104"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tcBorders>
                    <w:top w:val="nil"/>
                  </w:tcBorders>
                  <w:vAlign w:val="top"/>
                </w:tcPr>
                <w:p>
                  <w:pPr>
                    <w:spacing w:before="101" w:line="187"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w:t>
                  </w:r>
                </w:p>
              </w:tc>
              <w:tc>
                <w:tcPr>
                  <w:tcW w:w="852" w:type="dxa"/>
                  <w:tcBorders>
                    <w:top w:val="nil"/>
                  </w:tcBorders>
                  <w:vAlign w:val="top"/>
                </w:tcPr>
                <w:p>
                  <w:pPr>
                    <w:spacing w:before="94" w:line="228"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tcBorders>
                    <w:top w:val="nil"/>
                  </w:tcBorders>
                  <w:vAlign w:val="top"/>
                </w:tcPr>
                <w:p>
                  <w:pPr>
                    <w:spacing w:before="101"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tcBorders>
                    <w:top w:val="nil"/>
                  </w:tcBorders>
                  <w:vAlign w:val="top"/>
                </w:tcPr>
                <w:p>
                  <w:pPr>
                    <w:spacing w:before="101"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4" w:line="220" w:lineRule="auto"/>
                    <w:ind w:left="706"/>
                    <w:rPr>
                      <w:sz w:val="21"/>
                      <w:szCs w:val="21"/>
                    </w:rPr>
                  </w:pPr>
                  <w:r>
                    <w:rPr>
                      <w:spacing w:val="-3"/>
                      <w:sz w:val="21"/>
                      <w:szCs w:val="21"/>
                    </w:rPr>
                    <w:t>苯胺</w:t>
                  </w:r>
                </w:p>
              </w:tc>
              <w:tc>
                <w:tcPr>
                  <w:tcW w:w="1135" w:type="dxa"/>
                  <w:vAlign w:val="top"/>
                </w:tcPr>
                <w:p>
                  <w:pPr>
                    <w:spacing w:before="99"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5"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2" w:line="187" w:lineRule="auto"/>
                    <w:ind w:left="6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w:t>
                  </w:r>
                </w:p>
              </w:tc>
              <w:tc>
                <w:tcPr>
                  <w:tcW w:w="852" w:type="dxa"/>
                  <w:vAlign w:val="top"/>
                </w:tcPr>
                <w:p>
                  <w:pPr>
                    <w:spacing w:before="94" w:line="228"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2"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2"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4" w:line="222" w:lineRule="auto"/>
                    <w:ind w:left="611"/>
                    <w:rPr>
                      <w:sz w:val="21"/>
                      <w:szCs w:val="21"/>
                    </w:rPr>
                  </w:pPr>
                  <w:r>
                    <w:rPr>
                      <w:rFonts w:ascii="Times New Roman" w:hAnsi="Times New Roman" w:eastAsia="Times New Roman" w:cs="Times New Roman"/>
                      <w:sz w:val="21"/>
                      <w:szCs w:val="21"/>
                    </w:rPr>
                    <w:t>2-</w:t>
                  </w:r>
                  <w:r>
                    <w:rPr>
                      <w:sz w:val="21"/>
                      <w:szCs w:val="21"/>
                    </w:rPr>
                    <w:t>氯酚</w:t>
                  </w:r>
                </w:p>
              </w:tc>
              <w:tc>
                <w:tcPr>
                  <w:tcW w:w="1135" w:type="dxa"/>
                  <w:vAlign w:val="top"/>
                </w:tcPr>
                <w:p>
                  <w:pPr>
                    <w:spacing w:before="99"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6"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3"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2256</w:t>
                  </w:r>
                </w:p>
              </w:tc>
              <w:tc>
                <w:tcPr>
                  <w:tcW w:w="852" w:type="dxa"/>
                  <w:vAlign w:val="top"/>
                </w:tcPr>
                <w:p>
                  <w:pPr>
                    <w:spacing w:before="95" w:line="227"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3"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3"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6" w:type="dxa"/>
                  <w:vAlign w:val="top"/>
                </w:tcPr>
                <w:p>
                  <w:pPr>
                    <w:pStyle w:val="6"/>
                    <w:spacing w:before="64" w:line="217" w:lineRule="auto"/>
                    <w:ind w:left="483"/>
                    <w:rPr>
                      <w:sz w:val="21"/>
                      <w:szCs w:val="21"/>
                    </w:rPr>
                  </w:pPr>
                  <w:r>
                    <w:rPr>
                      <w:spacing w:val="-2"/>
                      <w:sz w:val="21"/>
                      <w:szCs w:val="21"/>
                    </w:rPr>
                    <w:t>苯并</w:t>
                  </w:r>
                  <w:r>
                    <w:rPr>
                      <w:rFonts w:ascii="Times New Roman" w:hAnsi="Times New Roman" w:eastAsia="Times New Roman" w:cs="Times New Roman"/>
                      <w:spacing w:val="-2"/>
                      <w:sz w:val="21"/>
                      <w:szCs w:val="21"/>
                    </w:rPr>
                    <w:t>[a]</w:t>
                  </w:r>
                  <w:r>
                    <w:rPr>
                      <w:spacing w:val="-2"/>
                      <w:sz w:val="21"/>
                      <w:szCs w:val="21"/>
                    </w:rPr>
                    <w:t>蒽</w:t>
                  </w:r>
                </w:p>
              </w:tc>
              <w:tc>
                <w:tcPr>
                  <w:tcW w:w="1135" w:type="dxa"/>
                  <w:vAlign w:val="top"/>
                </w:tcPr>
                <w:p>
                  <w:pPr>
                    <w:spacing w:before="99"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6"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3" w:line="187" w:lineRule="auto"/>
                    <w:ind w:left="69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52" w:type="dxa"/>
                  <w:vAlign w:val="top"/>
                </w:tcPr>
                <w:p>
                  <w:pPr>
                    <w:spacing w:before="95" w:line="225"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3"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3"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6" w:line="217" w:lineRule="auto"/>
                    <w:ind w:left="483"/>
                    <w:rPr>
                      <w:sz w:val="21"/>
                      <w:szCs w:val="21"/>
                    </w:rPr>
                  </w:pPr>
                  <w:r>
                    <w:rPr>
                      <w:spacing w:val="-2"/>
                      <w:sz w:val="21"/>
                      <w:szCs w:val="21"/>
                    </w:rPr>
                    <w:t>苯并</w:t>
                  </w:r>
                  <w:r>
                    <w:rPr>
                      <w:rFonts w:ascii="Times New Roman" w:hAnsi="Times New Roman" w:eastAsia="Times New Roman" w:cs="Times New Roman"/>
                      <w:spacing w:val="-2"/>
                      <w:sz w:val="21"/>
                      <w:szCs w:val="21"/>
                    </w:rPr>
                    <w:t>[a]</w:t>
                  </w:r>
                  <w:r>
                    <w:rPr>
                      <w:spacing w:val="-2"/>
                      <w:sz w:val="21"/>
                      <w:szCs w:val="21"/>
                    </w:rPr>
                    <w:t>芘</w:t>
                  </w:r>
                </w:p>
              </w:tc>
              <w:tc>
                <w:tcPr>
                  <w:tcW w:w="1135" w:type="dxa"/>
                  <w:vAlign w:val="top"/>
                </w:tcPr>
                <w:p>
                  <w:pPr>
                    <w:spacing w:before="102"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8"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5"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852" w:type="dxa"/>
                  <w:vAlign w:val="top"/>
                </w:tcPr>
                <w:p>
                  <w:pPr>
                    <w:spacing w:before="97" w:line="225"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5"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5"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7" w:line="217" w:lineRule="auto"/>
                    <w:ind w:left="372"/>
                    <w:rPr>
                      <w:sz w:val="21"/>
                      <w:szCs w:val="21"/>
                    </w:rPr>
                  </w:pPr>
                  <w:r>
                    <w:rPr>
                      <w:spacing w:val="-2"/>
                      <w:sz w:val="21"/>
                      <w:szCs w:val="21"/>
                    </w:rPr>
                    <w:t>苯并</w:t>
                  </w:r>
                  <w:r>
                    <w:rPr>
                      <w:rFonts w:ascii="Times New Roman" w:hAnsi="Times New Roman" w:eastAsia="Times New Roman" w:cs="Times New Roman"/>
                      <w:spacing w:val="-2"/>
                      <w:sz w:val="21"/>
                      <w:szCs w:val="21"/>
                    </w:rPr>
                    <w:t>[b]</w:t>
                  </w:r>
                  <w:r>
                    <w:rPr>
                      <w:spacing w:val="-2"/>
                      <w:sz w:val="21"/>
                      <w:szCs w:val="21"/>
                    </w:rPr>
                    <w:t>荧蒽</w:t>
                  </w:r>
                </w:p>
              </w:tc>
              <w:tc>
                <w:tcPr>
                  <w:tcW w:w="1135" w:type="dxa"/>
                  <w:vAlign w:val="top"/>
                </w:tcPr>
                <w:p>
                  <w:pPr>
                    <w:spacing w:before="102"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9"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6" w:line="187" w:lineRule="auto"/>
                    <w:ind w:left="69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52" w:type="dxa"/>
                  <w:vAlign w:val="top"/>
                </w:tcPr>
                <w:p>
                  <w:pPr>
                    <w:spacing w:before="98" w:line="224"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6"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6"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5" w:line="217" w:lineRule="auto"/>
                    <w:ind w:left="372"/>
                    <w:rPr>
                      <w:sz w:val="21"/>
                      <w:szCs w:val="21"/>
                    </w:rPr>
                  </w:pPr>
                  <w:r>
                    <w:rPr>
                      <w:spacing w:val="-2"/>
                      <w:sz w:val="21"/>
                      <w:szCs w:val="21"/>
                    </w:rPr>
                    <w:t>苯并</w:t>
                  </w:r>
                  <w:r>
                    <w:rPr>
                      <w:rFonts w:ascii="Times New Roman" w:hAnsi="Times New Roman" w:eastAsia="Times New Roman" w:cs="Times New Roman"/>
                      <w:spacing w:val="-2"/>
                      <w:sz w:val="21"/>
                      <w:szCs w:val="21"/>
                    </w:rPr>
                    <w:t>[k]</w:t>
                  </w:r>
                  <w:r>
                    <w:rPr>
                      <w:spacing w:val="-2"/>
                      <w:sz w:val="21"/>
                      <w:szCs w:val="21"/>
                    </w:rPr>
                    <w:t>荧蒽</w:t>
                  </w:r>
                </w:p>
              </w:tc>
              <w:tc>
                <w:tcPr>
                  <w:tcW w:w="1135" w:type="dxa"/>
                  <w:vAlign w:val="top"/>
                </w:tcPr>
                <w:p>
                  <w:pPr>
                    <w:spacing w:before="100"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7"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4" w:line="187" w:lineRule="auto"/>
                    <w:ind w:left="6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151</w:t>
                  </w:r>
                </w:p>
              </w:tc>
              <w:tc>
                <w:tcPr>
                  <w:tcW w:w="852" w:type="dxa"/>
                  <w:vAlign w:val="top"/>
                </w:tcPr>
                <w:p>
                  <w:pPr>
                    <w:spacing w:before="96" w:line="226"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4"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4"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6" w:line="222" w:lineRule="auto"/>
                    <w:ind w:left="805"/>
                    <w:rPr>
                      <w:sz w:val="21"/>
                      <w:szCs w:val="21"/>
                    </w:rPr>
                  </w:pPr>
                  <w:r>
                    <w:rPr>
                      <w:sz w:val="21"/>
                      <w:szCs w:val="21"/>
                    </w:rPr>
                    <w:t>䓛</w:t>
                  </w:r>
                </w:p>
              </w:tc>
              <w:tc>
                <w:tcPr>
                  <w:tcW w:w="1135" w:type="dxa"/>
                  <w:vAlign w:val="top"/>
                </w:tcPr>
                <w:p>
                  <w:pPr>
                    <w:spacing w:before="101"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7"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4" w:line="187" w:lineRule="auto"/>
                    <w:ind w:left="5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1293</w:t>
                  </w:r>
                </w:p>
              </w:tc>
              <w:tc>
                <w:tcPr>
                  <w:tcW w:w="852" w:type="dxa"/>
                  <w:vAlign w:val="top"/>
                </w:tcPr>
                <w:p>
                  <w:pPr>
                    <w:spacing w:before="96" w:line="226"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4"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4"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6" w:line="217" w:lineRule="auto"/>
                    <w:ind w:left="222"/>
                    <w:rPr>
                      <w:sz w:val="21"/>
                      <w:szCs w:val="21"/>
                    </w:rPr>
                  </w:pPr>
                  <w:r>
                    <w:rPr>
                      <w:spacing w:val="-4"/>
                      <w:sz w:val="21"/>
                      <w:szCs w:val="21"/>
                    </w:rPr>
                    <w:t>二苯并</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26"/>
                      <w:sz w:val="21"/>
                      <w:szCs w:val="21"/>
                    </w:rPr>
                    <w:t xml:space="preserve"> </w:t>
                  </w:r>
                  <w:r>
                    <w:rPr>
                      <w:spacing w:val="-4"/>
                      <w:sz w:val="21"/>
                      <w:szCs w:val="21"/>
                    </w:rPr>
                    <w:t>，</w:t>
                  </w:r>
                  <w:r>
                    <w:rPr>
                      <w:rFonts w:ascii="Times New Roman" w:hAnsi="Times New Roman" w:eastAsia="Times New Roman" w:cs="Times New Roman"/>
                      <w:spacing w:val="-4"/>
                      <w:sz w:val="21"/>
                      <w:szCs w:val="21"/>
                    </w:rPr>
                    <w:t>h]</w:t>
                  </w:r>
                  <w:r>
                    <w:rPr>
                      <w:spacing w:val="-4"/>
                      <w:sz w:val="21"/>
                      <w:szCs w:val="21"/>
                    </w:rPr>
                    <w:t>蒽</w:t>
                  </w:r>
                </w:p>
              </w:tc>
              <w:tc>
                <w:tcPr>
                  <w:tcW w:w="1135" w:type="dxa"/>
                  <w:vAlign w:val="top"/>
                </w:tcPr>
                <w:p>
                  <w:pPr>
                    <w:spacing w:before="101"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8"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5"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852" w:type="dxa"/>
                  <w:vAlign w:val="top"/>
                </w:tcPr>
                <w:p>
                  <w:pPr>
                    <w:spacing w:before="97" w:line="225"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5"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5"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6" w:type="dxa"/>
                  <w:vAlign w:val="top"/>
                </w:tcPr>
                <w:p>
                  <w:pPr>
                    <w:pStyle w:val="6"/>
                    <w:spacing w:before="66" w:line="217" w:lineRule="auto"/>
                    <w:ind w:left="187"/>
                    <w:rPr>
                      <w:sz w:val="21"/>
                      <w:szCs w:val="21"/>
                    </w:rPr>
                  </w:pPr>
                  <w:r>
                    <w:rPr>
                      <w:spacing w:val="-1"/>
                      <w:sz w:val="21"/>
                      <w:szCs w:val="21"/>
                    </w:rPr>
                    <w:t>茚并</w:t>
                  </w:r>
                  <w:r>
                    <w:rPr>
                      <w:rFonts w:ascii="Times New Roman" w:hAnsi="Times New Roman" w:eastAsia="Times New Roman" w:cs="Times New Roman"/>
                      <w:spacing w:val="-1"/>
                      <w:sz w:val="21"/>
                      <w:szCs w:val="21"/>
                    </w:rPr>
                    <w:t>[1,2,3-cd]</w:t>
                  </w:r>
                  <w:r>
                    <w:rPr>
                      <w:spacing w:val="-1"/>
                      <w:sz w:val="21"/>
                      <w:szCs w:val="21"/>
                    </w:rPr>
                    <w:t>芘</w:t>
                  </w:r>
                </w:p>
              </w:tc>
              <w:tc>
                <w:tcPr>
                  <w:tcW w:w="1135" w:type="dxa"/>
                  <w:vAlign w:val="top"/>
                </w:tcPr>
                <w:p>
                  <w:pPr>
                    <w:spacing w:before="101"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08"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5" w:line="187" w:lineRule="auto"/>
                    <w:ind w:left="69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52" w:type="dxa"/>
                  <w:vAlign w:val="top"/>
                </w:tcPr>
                <w:p>
                  <w:pPr>
                    <w:spacing w:before="97" w:line="223"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5"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5"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9" w:line="221" w:lineRule="auto"/>
                    <w:ind w:left="808"/>
                    <w:rPr>
                      <w:sz w:val="21"/>
                      <w:szCs w:val="21"/>
                    </w:rPr>
                  </w:pPr>
                  <w:r>
                    <w:rPr>
                      <w:sz w:val="21"/>
                      <w:szCs w:val="21"/>
                    </w:rPr>
                    <w:t>萘</w:t>
                  </w:r>
                </w:p>
              </w:tc>
              <w:tc>
                <w:tcPr>
                  <w:tcW w:w="1135" w:type="dxa"/>
                  <w:vAlign w:val="top"/>
                </w:tcPr>
                <w:p>
                  <w:pPr>
                    <w:spacing w:before="104" w:line="191"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415" w:type="dxa"/>
                  <w:vAlign w:val="top"/>
                </w:tcPr>
                <w:p>
                  <w:pPr>
                    <w:spacing w:before="110" w:line="184"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ND</w:t>
                  </w:r>
                </w:p>
              </w:tc>
              <w:tc>
                <w:tcPr>
                  <w:tcW w:w="1559" w:type="dxa"/>
                  <w:vAlign w:val="top"/>
                </w:tcPr>
                <w:p>
                  <w:pPr>
                    <w:spacing w:before="107" w:line="187"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52" w:type="dxa"/>
                  <w:vAlign w:val="top"/>
                </w:tcPr>
                <w:p>
                  <w:pPr>
                    <w:spacing w:before="99" w:line="223"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0" w:type="dxa"/>
                  <w:vAlign w:val="top"/>
                </w:tcPr>
                <w:p>
                  <w:pPr>
                    <w:spacing w:before="107" w:line="187"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3" w:type="dxa"/>
                  <w:vAlign w:val="top"/>
                </w:tcPr>
                <w:p>
                  <w:pPr>
                    <w:spacing w:before="107"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610" w:type="dxa"/>
                  <w:gridSpan w:val="7"/>
                  <w:vAlign w:val="top"/>
                </w:tcPr>
                <w:p>
                  <w:pPr>
                    <w:pStyle w:val="6"/>
                    <w:spacing w:before="34" w:line="218" w:lineRule="auto"/>
                    <w:ind w:left="116"/>
                    <w:rPr>
                      <w:sz w:val="21"/>
                      <w:szCs w:val="21"/>
                    </w:rPr>
                  </w:pPr>
                  <w:r>
                    <w:rPr>
                      <w:spacing w:val="-1"/>
                      <w:sz w:val="21"/>
                      <w:szCs w:val="21"/>
                    </w:rPr>
                    <w:t>注：①“</w:t>
                  </w:r>
                  <w:r>
                    <w:rPr>
                      <w:rFonts w:ascii="Times New Roman" w:hAnsi="Times New Roman" w:eastAsia="Times New Roman" w:cs="Times New Roman"/>
                      <w:spacing w:val="-1"/>
                      <w:sz w:val="21"/>
                      <w:szCs w:val="21"/>
                    </w:rPr>
                    <w:t>ND</w:t>
                  </w:r>
                  <w:r>
                    <w:rPr>
                      <w:spacing w:val="-1"/>
                      <w:sz w:val="21"/>
                      <w:szCs w:val="21"/>
                    </w:rPr>
                    <w:t>”该参数未检出，且无检出限。</w:t>
                  </w:r>
                </w:p>
                <w:p>
                  <w:pPr>
                    <w:pStyle w:val="6"/>
                    <w:spacing w:before="26" w:line="209" w:lineRule="auto"/>
                    <w:ind w:left="114"/>
                    <w:rPr>
                      <w:sz w:val="21"/>
                      <w:szCs w:val="21"/>
                    </w:rPr>
                  </w:pPr>
                  <w:r>
                    <w:rPr>
                      <w:spacing w:val="-6"/>
                      <w:sz w:val="21"/>
                      <w:szCs w:val="21"/>
                    </w:rPr>
                    <w:t>②“</w:t>
                  </w:r>
                  <w:r>
                    <w:rPr>
                      <w:rFonts w:ascii="Times New Roman" w:hAnsi="Times New Roman" w:eastAsia="Times New Roman" w:cs="Times New Roman"/>
                      <w:spacing w:val="-6"/>
                      <w:sz w:val="21"/>
                      <w:szCs w:val="21"/>
                    </w:rPr>
                    <w:t>*</w:t>
                  </w:r>
                  <w:r>
                    <w:rPr>
                      <w:rFonts w:ascii="Times New Roman" w:hAnsi="Times New Roman" w:eastAsia="Times New Roman" w:cs="Times New Roman"/>
                      <w:spacing w:val="-27"/>
                      <w:sz w:val="21"/>
                      <w:szCs w:val="21"/>
                    </w:rPr>
                    <w:t xml:space="preserve"> </w:t>
                  </w:r>
                  <w:r>
                    <w:rPr>
                      <w:spacing w:val="-6"/>
                      <w:sz w:val="21"/>
                      <w:szCs w:val="21"/>
                    </w:rPr>
                    <w:t>” 表示无相应标准限值， 仅记录</w:t>
                  </w:r>
                  <w:r>
                    <w:rPr>
                      <w:spacing w:val="-7"/>
                      <w:sz w:val="21"/>
                      <w:szCs w:val="21"/>
                    </w:rPr>
                    <w:t>监测数据。</w:t>
                  </w:r>
                </w:p>
              </w:tc>
            </w:tr>
          </w:tbl>
          <w:p>
            <w:pPr>
              <w:pStyle w:val="6"/>
              <w:spacing w:before="177" w:line="220" w:lineRule="auto"/>
              <w:ind w:left="1817"/>
              <w:rPr>
                <w:sz w:val="24"/>
                <w:szCs w:val="24"/>
              </w:rPr>
            </w:pPr>
            <w:r>
              <w:rPr>
                <w:spacing w:val="-1"/>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pacing w:val="-1"/>
                <w:sz w:val="24"/>
                <w:szCs w:val="24"/>
              </w:rPr>
              <w:t xml:space="preserve">3.3-13    </w:t>
            </w:r>
            <w:r>
              <w:rPr>
                <w:spacing w:val="-1"/>
                <w:sz w:val="24"/>
                <w:szCs w:val="24"/>
                <w14:textOutline w14:w="4354" w14:cap="flat" w14:cmpd="sng">
                  <w14:solidFill>
                    <w14:srgbClr w14:val="000000"/>
                  </w14:solidFill>
                  <w14:prstDash w14:val="solid"/>
                  <w14:miter w14:val="10"/>
                </w14:textOutline>
              </w:rPr>
              <w:t>井场内</w:t>
            </w:r>
            <w:r>
              <w:rPr>
                <w:spacing w:val="-47"/>
                <w:sz w:val="24"/>
                <w:szCs w:val="24"/>
              </w:rPr>
              <w:t xml:space="preserve"> </w:t>
            </w:r>
            <w:r>
              <w:rPr>
                <w:rFonts w:ascii="Times New Roman" w:hAnsi="Times New Roman" w:eastAsia="Times New Roman" w:cs="Times New Roman"/>
                <w:b/>
                <w:bCs/>
                <w:spacing w:val="-1"/>
                <w:sz w:val="24"/>
                <w:szCs w:val="24"/>
              </w:rPr>
              <w:t xml:space="preserve">S1 </w:t>
            </w:r>
            <w:r>
              <w:rPr>
                <w:spacing w:val="-1"/>
                <w:sz w:val="24"/>
                <w:szCs w:val="24"/>
                <w14:textOutline w14:w="4354" w14:cap="flat" w14:cmpd="sng">
                  <w14:solidFill>
                    <w14:srgbClr w14:val="000000"/>
                  </w14:solidFill>
                  <w14:prstDash w14:val="solid"/>
                  <w14:miter w14:val="10"/>
                </w14:textOutline>
              </w:rPr>
              <w:t>柱状样点土壤监测结果统计表（续）</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5"/>
              <w:gridCol w:w="1018"/>
              <w:gridCol w:w="1283"/>
              <w:gridCol w:w="1701"/>
              <w:gridCol w:w="1480"/>
              <w:gridCol w:w="10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65" w:type="dxa"/>
                  <w:vMerge w:val="restart"/>
                  <w:tcBorders>
                    <w:bottom w:val="nil"/>
                    <w:tl2br w:val="single" w:color="000000" w:sz="2" w:space="0"/>
                  </w:tcBorders>
                  <w:vAlign w:val="top"/>
                </w:tcPr>
                <w:p>
                  <w:pPr>
                    <w:pStyle w:val="6"/>
                    <w:spacing w:before="106" w:line="231" w:lineRule="auto"/>
                    <w:ind w:left="116" w:right="104" w:firstLine="1005"/>
                    <w:rPr>
                      <w:sz w:val="21"/>
                      <w:szCs w:val="21"/>
                    </w:rPr>
                  </w:pPr>
                  <w:r>
                    <w:rPr>
                      <w:spacing w:val="-2"/>
                      <w:sz w:val="21"/>
                      <w:szCs w:val="21"/>
                    </w:rPr>
                    <w:t>监测点位</w:t>
                  </w:r>
                  <w:r>
                    <w:rPr>
                      <w:sz w:val="21"/>
                      <w:szCs w:val="21"/>
                    </w:rPr>
                    <w:t xml:space="preserve"> </w:t>
                  </w:r>
                  <w:r>
                    <w:rPr>
                      <w:spacing w:val="-2"/>
                      <w:sz w:val="21"/>
                      <w:szCs w:val="21"/>
                    </w:rPr>
                    <w:t>监测项目</w:t>
                  </w:r>
                </w:p>
              </w:tc>
              <w:tc>
                <w:tcPr>
                  <w:tcW w:w="1018" w:type="dxa"/>
                  <w:vMerge w:val="restart"/>
                  <w:tcBorders>
                    <w:bottom w:val="nil"/>
                  </w:tcBorders>
                  <w:vAlign w:val="top"/>
                </w:tcPr>
                <w:p>
                  <w:pPr>
                    <w:pStyle w:val="6"/>
                    <w:spacing w:before="243" w:line="221" w:lineRule="auto"/>
                    <w:ind w:left="304"/>
                    <w:rPr>
                      <w:sz w:val="21"/>
                      <w:szCs w:val="21"/>
                    </w:rPr>
                  </w:pPr>
                  <w:r>
                    <w:rPr>
                      <w:spacing w:val="-2"/>
                      <w:sz w:val="21"/>
                      <w:szCs w:val="21"/>
                    </w:rPr>
                    <w:t>单位</w:t>
                  </w:r>
                </w:p>
              </w:tc>
              <w:tc>
                <w:tcPr>
                  <w:tcW w:w="2984" w:type="dxa"/>
                  <w:gridSpan w:val="2"/>
                  <w:vAlign w:val="top"/>
                </w:tcPr>
                <w:p>
                  <w:pPr>
                    <w:pStyle w:val="6"/>
                    <w:spacing w:before="68" w:line="221" w:lineRule="auto"/>
                    <w:ind w:left="388"/>
                    <w:rPr>
                      <w:sz w:val="21"/>
                      <w:szCs w:val="21"/>
                    </w:rPr>
                  </w:pPr>
                  <w:r>
                    <w:rPr>
                      <w:spacing w:val="-2"/>
                      <w:sz w:val="21"/>
                      <w:szCs w:val="21"/>
                    </w:rPr>
                    <w:t>井场井口处</w:t>
                  </w:r>
                  <w:r>
                    <w:rPr>
                      <w:spacing w:val="-35"/>
                      <w:sz w:val="21"/>
                      <w:szCs w:val="21"/>
                    </w:rPr>
                    <w:t xml:space="preserve"> </w:t>
                  </w:r>
                  <w:r>
                    <w:rPr>
                      <w:rFonts w:ascii="Times New Roman" w:hAnsi="Times New Roman" w:eastAsia="Times New Roman" w:cs="Times New Roman"/>
                      <w:spacing w:val="-2"/>
                      <w:sz w:val="21"/>
                      <w:szCs w:val="21"/>
                    </w:rPr>
                    <w:t xml:space="preserve">S1 </w:t>
                  </w:r>
                  <w:r>
                    <w:rPr>
                      <w:spacing w:val="-2"/>
                      <w:sz w:val="21"/>
                      <w:szCs w:val="21"/>
                    </w:rPr>
                    <w:t>监测结果</w:t>
                  </w:r>
                </w:p>
              </w:tc>
              <w:tc>
                <w:tcPr>
                  <w:tcW w:w="1480" w:type="dxa"/>
                  <w:vMerge w:val="restart"/>
                  <w:tcBorders>
                    <w:bottom w:val="nil"/>
                  </w:tcBorders>
                  <w:vAlign w:val="top"/>
                </w:tcPr>
                <w:p>
                  <w:pPr>
                    <w:pStyle w:val="6"/>
                    <w:spacing w:before="106" w:line="227" w:lineRule="auto"/>
                    <w:ind w:left="274" w:right="269" w:firstLine="157"/>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mg/kg</w:t>
                  </w:r>
                  <w:r>
                    <w:rPr>
                      <w:spacing w:val="-4"/>
                      <w:sz w:val="21"/>
                      <w:szCs w:val="21"/>
                    </w:rPr>
                    <w:t>）</w:t>
                  </w:r>
                </w:p>
              </w:tc>
              <w:tc>
                <w:tcPr>
                  <w:tcW w:w="1063" w:type="dxa"/>
                  <w:vMerge w:val="restart"/>
                  <w:tcBorders>
                    <w:bottom w:val="nil"/>
                  </w:tcBorders>
                  <w:vAlign w:val="top"/>
                </w:tcPr>
                <w:p>
                  <w:pPr>
                    <w:pStyle w:val="6"/>
                    <w:spacing w:before="105" w:line="231" w:lineRule="auto"/>
                    <w:ind w:left="238" w:right="107" w:hanging="120"/>
                    <w:rPr>
                      <w:rFonts w:ascii="Times New Roman" w:hAnsi="Times New Roman" w:eastAsia="Times New Roman" w:cs="Times New Roman"/>
                      <w:sz w:val="21"/>
                      <w:szCs w:val="21"/>
                    </w:rPr>
                  </w:pPr>
                  <w:r>
                    <w:rPr>
                      <w:spacing w:val="-3"/>
                      <w:sz w:val="21"/>
                      <w:szCs w:val="21"/>
                    </w:rPr>
                    <w:t>最大污染</w:t>
                  </w:r>
                  <w:r>
                    <w:rPr>
                      <w:spacing w:val="2"/>
                      <w:sz w:val="21"/>
                      <w:szCs w:val="21"/>
                    </w:rPr>
                    <w:t xml:space="preserve"> </w:t>
                  </w:r>
                  <w:r>
                    <w:rPr>
                      <w:spacing w:val="-3"/>
                      <w:sz w:val="21"/>
                      <w:szCs w:val="21"/>
                    </w:rPr>
                    <w:t>指数</w:t>
                  </w:r>
                  <w:r>
                    <w:rPr>
                      <w:spacing w:val="-47"/>
                      <w:sz w:val="21"/>
                      <w:szCs w:val="21"/>
                    </w:rPr>
                    <w:t xml:space="preserve"> </w:t>
                  </w:r>
                  <w:r>
                    <w:rPr>
                      <w:rFonts w:ascii="Times New Roman" w:hAnsi="Times New Roman" w:eastAsia="Times New Roman" w:cs="Times New Roman"/>
                      <w:spacing w:val="-3"/>
                      <w:sz w:val="21"/>
                      <w:szCs w:val="21"/>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65" w:type="dxa"/>
                  <w:vMerge w:val="continue"/>
                  <w:tcBorders>
                    <w:top w:val="nil"/>
                    <w:tl2br w:val="single" w:color="000000" w:sz="2" w:space="0"/>
                  </w:tcBorders>
                  <w:vAlign w:val="top"/>
                </w:tcPr>
                <w:p>
                  <w:pPr>
                    <w:rPr>
                      <w:rFonts w:ascii="Arial"/>
                      <w:sz w:val="21"/>
                    </w:rPr>
                  </w:pPr>
                </w:p>
              </w:tc>
              <w:tc>
                <w:tcPr>
                  <w:tcW w:w="1018" w:type="dxa"/>
                  <w:vMerge w:val="continue"/>
                  <w:tcBorders>
                    <w:top w:val="nil"/>
                  </w:tcBorders>
                  <w:vAlign w:val="top"/>
                </w:tcPr>
                <w:p>
                  <w:pPr>
                    <w:rPr>
                      <w:rFonts w:ascii="Arial"/>
                      <w:sz w:val="21"/>
                    </w:rPr>
                  </w:pPr>
                </w:p>
              </w:tc>
              <w:tc>
                <w:tcPr>
                  <w:tcW w:w="1283" w:type="dxa"/>
                  <w:vAlign w:val="top"/>
                </w:tcPr>
                <w:p>
                  <w:pPr>
                    <w:spacing w:before="104"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0.5~1.5m</w:t>
                  </w:r>
                </w:p>
              </w:tc>
              <w:tc>
                <w:tcPr>
                  <w:tcW w:w="1701" w:type="dxa"/>
                  <w:vAlign w:val="top"/>
                </w:tcPr>
                <w:p>
                  <w:pPr>
                    <w:spacing w:before="104"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1.5~3.0m</w:t>
                  </w:r>
                </w:p>
              </w:tc>
              <w:tc>
                <w:tcPr>
                  <w:tcW w:w="1480" w:type="dxa"/>
                  <w:vMerge w:val="continue"/>
                  <w:tcBorders>
                    <w:top w:val="nil"/>
                  </w:tcBorders>
                  <w:vAlign w:val="top"/>
                </w:tcPr>
                <w:p>
                  <w:pPr>
                    <w:rPr>
                      <w:rFonts w:ascii="Arial"/>
                      <w:sz w:val="21"/>
                    </w:rPr>
                  </w:pPr>
                </w:p>
              </w:tc>
              <w:tc>
                <w:tcPr>
                  <w:tcW w:w="106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65" w:type="dxa"/>
                  <w:vAlign w:val="top"/>
                </w:tcPr>
                <w:p>
                  <w:pPr>
                    <w:pStyle w:val="6"/>
                    <w:spacing w:before="67" w:line="235" w:lineRule="auto"/>
                    <w:ind w:left="669"/>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1018" w:type="dxa"/>
                  <w:vAlign w:val="top"/>
                </w:tcPr>
                <w:p>
                  <w:pPr>
                    <w:spacing w:before="102" w:line="191"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283" w:type="dxa"/>
                  <w:vAlign w:val="top"/>
                </w:tcPr>
                <w:p>
                  <w:pPr>
                    <w:spacing w:before="106"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w:t>
                  </w:r>
                </w:p>
              </w:tc>
              <w:tc>
                <w:tcPr>
                  <w:tcW w:w="1701" w:type="dxa"/>
                  <w:vAlign w:val="top"/>
                </w:tcPr>
                <w:p>
                  <w:pPr>
                    <w:spacing w:before="106"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w:t>
                  </w:r>
                </w:p>
              </w:tc>
              <w:tc>
                <w:tcPr>
                  <w:tcW w:w="1480" w:type="dxa"/>
                  <w:vAlign w:val="top"/>
                </w:tcPr>
                <w:p>
                  <w:pPr>
                    <w:spacing w:before="102" w:line="231" w:lineRule="auto"/>
                    <w:ind w:left="70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63" w:type="dxa"/>
                  <w:vAlign w:val="top"/>
                </w:tcPr>
                <w:p>
                  <w:pPr>
                    <w:spacing w:before="102" w:line="231" w:lineRule="auto"/>
                    <w:ind w:left="49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65" w:type="dxa"/>
                  <w:vAlign w:val="top"/>
                </w:tcPr>
                <w:p>
                  <w:pPr>
                    <w:pStyle w:val="6"/>
                    <w:spacing w:before="66" w:line="235" w:lineRule="auto"/>
                    <w:ind w:left="673"/>
                    <w:rPr>
                      <w:rFonts w:ascii="Times New Roman" w:hAnsi="Times New Roman" w:eastAsia="Times New Roman" w:cs="Times New Roman"/>
                      <w:sz w:val="21"/>
                      <w:szCs w:val="21"/>
                    </w:rPr>
                  </w:pPr>
                  <w:r>
                    <w:rPr>
                      <w:spacing w:val="-3"/>
                      <w:sz w:val="21"/>
                      <w:szCs w:val="21"/>
                    </w:rPr>
                    <w:t>氯离子</w:t>
                  </w:r>
                  <w:r>
                    <w:rPr>
                      <w:rFonts w:ascii="Times New Roman" w:hAnsi="Times New Roman" w:eastAsia="Times New Roman" w:cs="Times New Roman"/>
                      <w:spacing w:val="-3"/>
                      <w:sz w:val="21"/>
                      <w:szCs w:val="21"/>
                    </w:rPr>
                    <w:t>*</w:t>
                  </w:r>
                </w:p>
              </w:tc>
              <w:tc>
                <w:tcPr>
                  <w:tcW w:w="1018" w:type="dxa"/>
                  <w:vAlign w:val="top"/>
                </w:tcPr>
                <w:p>
                  <w:pPr>
                    <w:spacing w:before="100" w:line="191"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283" w:type="dxa"/>
                  <w:vAlign w:val="top"/>
                </w:tcPr>
                <w:p>
                  <w:pPr>
                    <w:spacing w:before="104"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w:t>
                  </w:r>
                </w:p>
              </w:tc>
              <w:tc>
                <w:tcPr>
                  <w:tcW w:w="1701" w:type="dxa"/>
                  <w:vAlign w:val="top"/>
                </w:tcPr>
                <w:p>
                  <w:pPr>
                    <w:spacing w:before="104"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w:t>
                  </w:r>
                </w:p>
              </w:tc>
              <w:tc>
                <w:tcPr>
                  <w:tcW w:w="1480" w:type="dxa"/>
                  <w:vAlign w:val="top"/>
                </w:tcPr>
                <w:p>
                  <w:pPr>
                    <w:rPr>
                      <w:rFonts w:ascii="Arial"/>
                      <w:sz w:val="21"/>
                    </w:rPr>
                  </w:pPr>
                </w:p>
              </w:tc>
              <w:tc>
                <w:tcPr>
                  <w:tcW w:w="1063" w:type="dxa"/>
                  <w:vAlign w:val="top"/>
                </w:tcPr>
                <w:p>
                  <w:pPr>
                    <w:spacing w:before="100" w:line="233" w:lineRule="auto"/>
                    <w:ind w:left="49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65" w:type="dxa"/>
                  <w:vAlign w:val="top"/>
                </w:tcPr>
                <w:p>
                  <w:pPr>
                    <w:pStyle w:val="6"/>
                    <w:spacing w:before="66" w:line="234" w:lineRule="auto"/>
                    <w:ind w:left="358"/>
                    <w:rPr>
                      <w:rFonts w:ascii="Times New Roman" w:hAnsi="Times New Roman" w:eastAsia="Times New Roman" w:cs="Times New Roman"/>
                      <w:sz w:val="21"/>
                      <w:szCs w:val="21"/>
                    </w:rPr>
                  </w:pPr>
                  <w:r>
                    <w:rPr>
                      <w:spacing w:val="-2"/>
                      <w:sz w:val="21"/>
                      <w:szCs w:val="21"/>
                    </w:rPr>
                    <w:t>水溶性盐总量</w:t>
                  </w:r>
                  <w:r>
                    <w:rPr>
                      <w:rFonts w:ascii="Times New Roman" w:hAnsi="Times New Roman" w:eastAsia="Times New Roman" w:cs="Times New Roman"/>
                      <w:spacing w:val="-2"/>
                      <w:sz w:val="21"/>
                      <w:szCs w:val="21"/>
                    </w:rPr>
                    <w:t>*</w:t>
                  </w:r>
                </w:p>
              </w:tc>
              <w:tc>
                <w:tcPr>
                  <w:tcW w:w="1018" w:type="dxa"/>
                  <w:vAlign w:val="top"/>
                </w:tcPr>
                <w:p>
                  <w:pPr>
                    <w:spacing w:before="101" w:line="191"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283" w:type="dxa"/>
                  <w:vAlign w:val="top"/>
                </w:tcPr>
                <w:p>
                  <w:pPr>
                    <w:spacing w:before="104" w:line="187"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1.33</w:t>
                  </w:r>
                </w:p>
              </w:tc>
              <w:tc>
                <w:tcPr>
                  <w:tcW w:w="1701" w:type="dxa"/>
                  <w:vAlign w:val="top"/>
                </w:tcPr>
                <w:p>
                  <w:pPr>
                    <w:spacing w:before="104" w:line="187" w:lineRule="auto"/>
                    <w:ind w:left="69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1.45</w:t>
                  </w:r>
                </w:p>
              </w:tc>
              <w:tc>
                <w:tcPr>
                  <w:tcW w:w="1480" w:type="dxa"/>
                  <w:vAlign w:val="top"/>
                </w:tcPr>
                <w:p>
                  <w:pPr>
                    <w:spacing w:before="101" w:line="232" w:lineRule="auto"/>
                    <w:ind w:left="70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63" w:type="dxa"/>
                  <w:vAlign w:val="top"/>
                </w:tcPr>
                <w:p>
                  <w:pPr>
                    <w:spacing w:before="101" w:line="232" w:lineRule="auto"/>
                    <w:ind w:left="49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65" w:type="dxa"/>
                  <w:vAlign w:val="top"/>
                </w:tcPr>
                <w:p>
                  <w:pPr>
                    <w:pStyle w:val="6"/>
                    <w:spacing w:before="66" w:line="223" w:lineRule="auto"/>
                    <w:ind w:left="931"/>
                    <w:rPr>
                      <w:sz w:val="21"/>
                      <w:szCs w:val="21"/>
                    </w:rPr>
                  </w:pPr>
                  <w:r>
                    <w:rPr>
                      <w:sz w:val="21"/>
                      <w:szCs w:val="21"/>
                    </w:rPr>
                    <w:t>钡</w:t>
                  </w:r>
                </w:p>
              </w:tc>
              <w:tc>
                <w:tcPr>
                  <w:tcW w:w="1018" w:type="dxa"/>
                  <w:vAlign w:val="top"/>
                </w:tcPr>
                <w:p>
                  <w:pPr>
                    <w:spacing w:before="101" w:line="191"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283" w:type="dxa"/>
                  <w:vAlign w:val="top"/>
                </w:tcPr>
                <w:p>
                  <w:pPr>
                    <w:spacing w:before="105"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0.68</w:t>
                  </w:r>
                </w:p>
              </w:tc>
              <w:tc>
                <w:tcPr>
                  <w:tcW w:w="1701" w:type="dxa"/>
                  <w:vAlign w:val="top"/>
                </w:tcPr>
                <w:p>
                  <w:pPr>
                    <w:spacing w:before="105"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w:t>
                  </w:r>
                </w:p>
              </w:tc>
              <w:tc>
                <w:tcPr>
                  <w:tcW w:w="1480" w:type="dxa"/>
                  <w:vAlign w:val="top"/>
                </w:tcPr>
                <w:p>
                  <w:pPr>
                    <w:spacing w:before="100" w:line="187" w:lineRule="auto"/>
                    <w:ind w:left="53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8660</w:t>
                  </w:r>
                </w:p>
              </w:tc>
              <w:tc>
                <w:tcPr>
                  <w:tcW w:w="1063" w:type="dxa"/>
                  <w:vAlign w:val="top"/>
                </w:tcPr>
                <w:p>
                  <w:pPr>
                    <w:spacing w:before="105"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065" w:type="dxa"/>
                  <w:vAlign w:val="top"/>
                </w:tcPr>
                <w:p>
                  <w:pPr>
                    <w:pStyle w:val="6"/>
                    <w:spacing w:before="67" w:line="221" w:lineRule="auto"/>
                    <w:ind w:left="198"/>
                    <w:rPr>
                      <w:sz w:val="21"/>
                      <w:szCs w:val="21"/>
                    </w:rPr>
                  </w:pPr>
                  <w:r>
                    <w:rPr>
                      <w:spacing w:val="1"/>
                      <w:sz w:val="21"/>
                      <w:szCs w:val="21"/>
                    </w:rPr>
                    <w:t>石油烃（</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10</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40</w:t>
                  </w:r>
                  <w:r>
                    <w:rPr>
                      <w:spacing w:val="1"/>
                      <w:sz w:val="21"/>
                      <w:szCs w:val="21"/>
                    </w:rPr>
                    <w:t>）</w:t>
                  </w:r>
                </w:p>
              </w:tc>
              <w:tc>
                <w:tcPr>
                  <w:tcW w:w="1018" w:type="dxa"/>
                  <w:vAlign w:val="top"/>
                </w:tcPr>
                <w:p>
                  <w:pPr>
                    <w:spacing w:before="101" w:line="191"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283" w:type="dxa"/>
                  <w:vAlign w:val="top"/>
                </w:tcPr>
                <w:p>
                  <w:pPr>
                    <w:spacing w:before="105"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701" w:type="dxa"/>
                  <w:vAlign w:val="top"/>
                </w:tcPr>
                <w:p>
                  <w:pPr>
                    <w:spacing w:before="105" w:line="187" w:lineRule="auto"/>
                    <w:ind w:left="76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480" w:type="dxa"/>
                  <w:vAlign w:val="top"/>
                </w:tcPr>
                <w:p>
                  <w:pPr>
                    <w:spacing w:before="101" w:line="187" w:lineRule="auto"/>
                    <w:ind w:left="52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4500</w:t>
                  </w:r>
                </w:p>
              </w:tc>
              <w:tc>
                <w:tcPr>
                  <w:tcW w:w="1063" w:type="dxa"/>
                  <w:vAlign w:val="top"/>
                </w:tcPr>
                <w:p>
                  <w:pPr>
                    <w:spacing w:before="105"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65" w:type="dxa"/>
                  <w:vAlign w:val="top"/>
                </w:tcPr>
                <w:p>
                  <w:pPr>
                    <w:spacing w:before="105" w:line="191" w:lineRule="auto"/>
                    <w:ind w:left="848"/>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3"/>
                      <w:sz w:val="21"/>
                      <w:szCs w:val="21"/>
                    </w:rPr>
                    <w:t>*</w:t>
                  </w:r>
                </w:p>
              </w:tc>
              <w:tc>
                <w:tcPr>
                  <w:tcW w:w="1018" w:type="dxa"/>
                  <w:vAlign w:val="top"/>
                </w:tcPr>
                <w:p>
                  <w:pPr>
                    <w:pStyle w:val="6"/>
                    <w:spacing w:before="70" w:line="221" w:lineRule="auto"/>
                    <w:ind w:left="232"/>
                    <w:rPr>
                      <w:sz w:val="21"/>
                      <w:szCs w:val="21"/>
                    </w:rPr>
                  </w:pPr>
                  <w:r>
                    <w:rPr>
                      <w:spacing w:val="-13"/>
                      <w:sz w:val="21"/>
                      <w:szCs w:val="21"/>
                    </w:rPr>
                    <w:t>无量纲</w:t>
                  </w:r>
                </w:p>
              </w:tc>
              <w:tc>
                <w:tcPr>
                  <w:tcW w:w="1283" w:type="dxa"/>
                  <w:vAlign w:val="top"/>
                </w:tcPr>
                <w:p>
                  <w:pPr>
                    <w:spacing w:before="108"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7.32</w:t>
                  </w:r>
                </w:p>
              </w:tc>
              <w:tc>
                <w:tcPr>
                  <w:tcW w:w="1701" w:type="dxa"/>
                  <w:vAlign w:val="top"/>
                </w:tcPr>
                <w:p>
                  <w:pPr>
                    <w:spacing w:before="108"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7.12</w:t>
                  </w:r>
                </w:p>
              </w:tc>
              <w:tc>
                <w:tcPr>
                  <w:tcW w:w="1480" w:type="dxa"/>
                  <w:vAlign w:val="top"/>
                </w:tcPr>
                <w:p>
                  <w:pPr>
                    <w:spacing w:before="105" w:line="228" w:lineRule="auto"/>
                    <w:ind w:left="70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63" w:type="dxa"/>
                  <w:vAlign w:val="top"/>
                </w:tcPr>
                <w:p>
                  <w:pPr>
                    <w:spacing w:before="105" w:line="228" w:lineRule="auto"/>
                    <w:ind w:left="49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610" w:type="dxa"/>
                  <w:gridSpan w:val="6"/>
                  <w:vAlign w:val="top"/>
                </w:tcPr>
                <w:p>
                  <w:pPr>
                    <w:pStyle w:val="6"/>
                    <w:spacing w:before="71" w:line="234" w:lineRule="auto"/>
                    <w:ind w:left="116"/>
                    <w:rPr>
                      <w:sz w:val="21"/>
                      <w:szCs w:val="21"/>
                    </w:rPr>
                  </w:pPr>
                  <w:r>
                    <w:rPr>
                      <w:spacing w:val="-4"/>
                      <w:sz w:val="21"/>
                      <w:szCs w:val="21"/>
                    </w:rPr>
                    <w:t>注：</w:t>
                  </w:r>
                  <w:r>
                    <w:rPr>
                      <w:spacing w:val="-17"/>
                      <w:sz w:val="21"/>
                      <w:szCs w:val="21"/>
                    </w:rPr>
                    <w:t xml:space="preserve"> </w:t>
                  </w:r>
                  <w:r>
                    <w:rPr>
                      <w:rFonts w:ascii="Times New Roman" w:hAnsi="Times New Roman" w:eastAsia="Times New Roman" w:cs="Times New Roman"/>
                      <w:spacing w:val="-4"/>
                      <w:sz w:val="21"/>
                      <w:szCs w:val="21"/>
                    </w:rPr>
                    <w:t>“*”</w:t>
                  </w:r>
                  <w:r>
                    <w:rPr>
                      <w:spacing w:val="-4"/>
                      <w:sz w:val="21"/>
                      <w:szCs w:val="21"/>
                    </w:rPr>
                    <w:t>表示无相应标准限值，仅记录监测数据。</w:t>
                  </w:r>
                </w:p>
              </w:tc>
            </w:tr>
          </w:tbl>
          <w:p>
            <w:pPr>
              <w:pStyle w:val="6"/>
              <w:spacing w:before="177" w:line="220" w:lineRule="auto"/>
              <w:ind w:left="2177"/>
              <w:rPr>
                <w:sz w:val="24"/>
                <w:szCs w:val="24"/>
              </w:rPr>
            </w:pPr>
            <w:r>
              <w:rPr>
                <w:sz w:val="24"/>
                <w:szCs w:val="24"/>
                <w14:textOutline w14:w="4354" w14:cap="flat" w14:cmpd="sng">
                  <w14:solidFill>
                    <w14:srgbClr w14:val="000000"/>
                  </w14:solidFill>
                  <w14:prstDash w14:val="solid"/>
                  <w14:miter w14:val="10"/>
                </w14:textOutline>
              </w:rPr>
              <w:t>表</w:t>
            </w:r>
            <w:r>
              <w:rPr>
                <w:spacing w:val="-54"/>
                <w:sz w:val="24"/>
                <w:szCs w:val="24"/>
              </w:rPr>
              <w:t xml:space="preserve"> </w:t>
            </w:r>
            <w:r>
              <w:rPr>
                <w:rFonts w:ascii="Times New Roman" w:hAnsi="Times New Roman" w:eastAsia="Times New Roman" w:cs="Times New Roman"/>
                <w:b/>
                <w:bCs/>
                <w:sz w:val="24"/>
                <w:szCs w:val="24"/>
              </w:rPr>
              <w:t xml:space="preserve">3.3-14    </w:t>
            </w:r>
            <w:r>
              <w:rPr>
                <w:sz w:val="24"/>
                <w:szCs w:val="24"/>
                <w14:textOutline w14:w="4354" w14:cap="flat" w14:cmpd="sng">
                  <w14:solidFill>
                    <w14:srgbClr w14:val="000000"/>
                  </w14:solidFill>
                  <w14:prstDash w14:val="solid"/>
                  <w14:miter w14:val="10"/>
                </w14:textOutline>
              </w:rPr>
              <w:t>井场内</w:t>
            </w:r>
            <w:r>
              <w:rPr>
                <w:spacing w:val="-47"/>
                <w:sz w:val="24"/>
                <w:szCs w:val="24"/>
              </w:rPr>
              <w:t xml:space="preserve"> </w:t>
            </w:r>
            <w:r>
              <w:rPr>
                <w:rFonts w:ascii="Times New Roman" w:hAnsi="Times New Roman" w:eastAsia="Times New Roman" w:cs="Times New Roman"/>
                <w:b/>
                <w:bCs/>
                <w:sz w:val="24"/>
                <w:szCs w:val="24"/>
              </w:rPr>
              <w:t xml:space="preserve">S2 </w:t>
            </w:r>
            <w:r>
              <w:rPr>
                <w:sz w:val="24"/>
                <w:szCs w:val="24"/>
                <w14:textOutline w14:w="4354" w14:cap="flat" w14:cmpd="sng">
                  <w14:solidFill>
                    <w14:srgbClr w14:val="000000"/>
                  </w14:solidFill>
                  <w14:prstDash w14:val="solid"/>
                  <w14:miter w14:val="10"/>
                </w14:textOutline>
              </w:rPr>
              <w:t>柱状</w:t>
            </w:r>
            <w:r>
              <w:rPr>
                <w:spacing w:val="-1"/>
                <w:sz w:val="24"/>
                <w:szCs w:val="24"/>
                <w14:textOutline w14:w="4354" w14:cap="flat" w14:cmpd="sng">
                  <w14:solidFill>
                    <w14:srgbClr w14:val="000000"/>
                  </w14:solidFill>
                  <w14:prstDash w14:val="solid"/>
                  <w14:miter w14:val="10"/>
                </w14:textOutline>
              </w:rPr>
              <w:t>样点土壤监测结果统计表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994"/>
              <w:gridCol w:w="1132"/>
              <w:gridCol w:w="1288"/>
              <w:gridCol w:w="1115"/>
              <w:gridCol w:w="1174"/>
              <w:gridCol w:w="1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6" w:type="dxa"/>
                  <w:vMerge w:val="restart"/>
                  <w:tcBorders>
                    <w:bottom w:val="nil"/>
                    <w:tl2br w:val="single" w:color="000000" w:sz="2" w:space="0"/>
                  </w:tcBorders>
                  <w:vAlign w:val="top"/>
                </w:tcPr>
                <w:p>
                  <w:pPr>
                    <w:pStyle w:val="6"/>
                    <w:spacing w:before="108" w:line="230" w:lineRule="auto"/>
                    <w:ind w:left="116" w:right="104" w:firstLine="755"/>
                    <w:rPr>
                      <w:sz w:val="21"/>
                      <w:szCs w:val="21"/>
                    </w:rPr>
                  </w:pPr>
                  <w:r>
                    <w:rPr>
                      <w:spacing w:val="-2"/>
                      <w:sz w:val="21"/>
                      <w:szCs w:val="21"/>
                    </w:rPr>
                    <w:t>监测点位</w:t>
                  </w:r>
                  <w:r>
                    <w:rPr>
                      <w:sz w:val="21"/>
                      <w:szCs w:val="21"/>
                    </w:rPr>
                    <w:t xml:space="preserve"> </w:t>
                  </w:r>
                  <w:r>
                    <w:rPr>
                      <w:spacing w:val="-2"/>
                      <w:sz w:val="21"/>
                      <w:szCs w:val="21"/>
                    </w:rPr>
                    <w:t>监测项目</w:t>
                  </w:r>
                </w:p>
              </w:tc>
              <w:tc>
                <w:tcPr>
                  <w:tcW w:w="994" w:type="dxa"/>
                  <w:vMerge w:val="restart"/>
                  <w:tcBorders>
                    <w:bottom w:val="nil"/>
                  </w:tcBorders>
                  <w:vAlign w:val="top"/>
                </w:tcPr>
                <w:p>
                  <w:pPr>
                    <w:pStyle w:val="6"/>
                    <w:spacing w:before="243" w:line="221" w:lineRule="auto"/>
                    <w:ind w:left="291"/>
                    <w:rPr>
                      <w:sz w:val="21"/>
                      <w:szCs w:val="21"/>
                    </w:rPr>
                  </w:pPr>
                  <w:r>
                    <w:rPr>
                      <w:spacing w:val="-2"/>
                      <w:sz w:val="21"/>
                      <w:szCs w:val="21"/>
                    </w:rPr>
                    <w:t>单位</w:t>
                  </w:r>
                </w:p>
              </w:tc>
              <w:tc>
                <w:tcPr>
                  <w:tcW w:w="3535" w:type="dxa"/>
                  <w:gridSpan w:val="3"/>
                  <w:vAlign w:val="top"/>
                </w:tcPr>
                <w:p>
                  <w:pPr>
                    <w:pStyle w:val="6"/>
                    <w:spacing w:before="69" w:line="221" w:lineRule="auto"/>
                    <w:ind w:left="801"/>
                    <w:rPr>
                      <w:sz w:val="21"/>
                      <w:szCs w:val="21"/>
                    </w:rPr>
                  </w:pPr>
                  <w:r>
                    <w:rPr>
                      <w:rFonts w:ascii="Times New Roman" w:hAnsi="Times New Roman" w:eastAsia="Times New Roman" w:cs="Times New Roman"/>
                      <w:spacing w:val="-1"/>
                      <w:sz w:val="21"/>
                      <w:szCs w:val="21"/>
                    </w:rPr>
                    <w:t xml:space="preserve">S2 </w:t>
                  </w:r>
                  <w:r>
                    <w:rPr>
                      <w:spacing w:val="-1"/>
                      <w:sz w:val="21"/>
                      <w:szCs w:val="21"/>
                    </w:rPr>
                    <w:t>井场北侧监测结果</w:t>
                  </w:r>
                </w:p>
              </w:tc>
              <w:tc>
                <w:tcPr>
                  <w:tcW w:w="1174" w:type="dxa"/>
                  <w:vMerge w:val="restart"/>
                  <w:tcBorders>
                    <w:bottom w:val="nil"/>
                  </w:tcBorders>
                  <w:vAlign w:val="top"/>
                </w:tcPr>
                <w:p>
                  <w:pPr>
                    <w:pStyle w:val="6"/>
                    <w:spacing w:before="108" w:line="226" w:lineRule="auto"/>
                    <w:ind w:left="121" w:right="116" w:firstLine="157"/>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mg/kg</w:t>
                  </w:r>
                  <w:r>
                    <w:rPr>
                      <w:spacing w:val="-4"/>
                      <w:sz w:val="21"/>
                      <w:szCs w:val="21"/>
                    </w:rPr>
                    <w:t>）</w:t>
                  </w:r>
                </w:p>
              </w:tc>
              <w:tc>
                <w:tcPr>
                  <w:tcW w:w="1091" w:type="dxa"/>
                  <w:vMerge w:val="restart"/>
                  <w:tcBorders>
                    <w:bottom w:val="nil"/>
                  </w:tcBorders>
                  <w:vAlign w:val="top"/>
                </w:tcPr>
                <w:p>
                  <w:pPr>
                    <w:pStyle w:val="6"/>
                    <w:spacing w:before="109" w:line="229" w:lineRule="auto"/>
                    <w:ind w:left="252" w:right="122" w:hanging="120"/>
                    <w:rPr>
                      <w:rFonts w:ascii="Times New Roman" w:hAnsi="Times New Roman" w:eastAsia="Times New Roman" w:cs="Times New Roman"/>
                      <w:sz w:val="21"/>
                      <w:szCs w:val="21"/>
                    </w:rPr>
                  </w:pPr>
                  <w:r>
                    <w:rPr>
                      <w:spacing w:val="-3"/>
                      <w:sz w:val="21"/>
                      <w:szCs w:val="21"/>
                    </w:rPr>
                    <w:t>最大污染</w:t>
                  </w:r>
                  <w:r>
                    <w:rPr>
                      <w:spacing w:val="2"/>
                      <w:sz w:val="21"/>
                      <w:szCs w:val="21"/>
                    </w:rPr>
                    <w:t xml:space="preserve"> </w:t>
                  </w:r>
                  <w:r>
                    <w:rPr>
                      <w:spacing w:val="-3"/>
                      <w:sz w:val="21"/>
                      <w:szCs w:val="21"/>
                    </w:rPr>
                    <w:t>指数</w:t>
                  </w:r>
                  <w:r>
                    <w:rPr>
                      <w:spacing w:val="-47"/>
                      <w:sz w:val="21"/>
                      <w:szCs w:val="21"/>
                    </w:rPr>
                    <w:t xml:space="preserve"> </w:t>
                  </w:r>
                  <w:r>
                    <w:rPr>
                      <w:rFonts w:ascii="Times New Roman" w:hAnsi="Times New Roman" w:eastAsia="Times New Roman" w:cs="Times New Roman"/>
                      <w:spacing w:val="-3"/>
                      <w:sz w:val="21"/>
                      <w:szCs w:val="21"/>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Merge w:val="continue"/>
                  <w:tcBorders>
                    <w:top w:val="nil"/>
                    <w:tl2br w:val="single" w:color="000000" w:sz="2" w:space="0"/>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1132" w:type="dxa"/>
                  <w:vAlign w:val="top"/>
                </w:tcPr>
                <w:p>
                  <w:pPr>
                    <w:spacing w:before="102"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0~0.5m</w:t>
                  </w:r>
                </w:p>
              </w:tc>
              <w:tc>
                <w:tcPr>
                  <w:tcW w:w="1288" w:type="dxa"/>
                  <w:vAlign w:val="top"/>
                </w:tcPr>
                <w:p>
                  <w:pPr>
                    <w:spacing w:before="10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0.5~1.5m</w:t>
                  </w:r>
                </w:p>
              </w:tc>
              <w:tc>
                <w:tcPr>
                  <w:tcW w:w="1115" w:type="dxa"/>
                  <w:vAlign w:val="top"/>
                </w:tcPr>
                <w:p>
                  <w:pPr>
                    <w:spacing w:before="102"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1.5~3.0m</w:t>
                  </w:r>
                </w:p>
              </w:tc>
              <w:tc>
                <w:tcPr>
                  <w:tcW w:w="1174" w:type="dxa"/>
                  <w:vMerge w:val="continue"/>
                  <w:tcBorders>
                    <w:top w:val="nil"/>
                  </w:tcBorders>
                  <w:vAlign w:val="top"/>
                </w:tcPr>
                <w:p>
                  <w:pPr>
                    <w:rPr>
                      <w:rFonts w:ascii="Arial"/>
                      <w:sz w:val="21"/>
                    </w:rPr>
                  </w:pPr>
                </w:p>
              </w:tc>
              <w:tc>
                <w:tcPr>
                  <w:tcW w:w="10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4" w:line="236" w:lineRule="auto"/>
                    <w:ind w:left="544"/>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994" w:type="dxa"/>
                  <w:vAlign w:val="top"/>
                </w:tcPr>
                <w:p>
                  <w:pPr>
                    <w:spacing w:before="99" w:line="191"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132" w:type="dxa"/>
                  <w:vAlign w:val="top"/>
                </w:tcPr>
                <w:p>
                  <w:pPr>
                    <w:spacing w:before="103"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w:t>
                  </w:r>
                </w:p>
              </w:tc>
              <w:tc>
                <w:tcPr>
                  <w:tcW w:w="1288" w:type="dxa"/>
                  <w:vAlign w:val="top"/>
                </w:tcPr>
                <w:p>
                  <w:pPr>
                    <w:spacing w:before="103"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w:t>
                  </w:r>
                </w:p>
              </w:tc>
              <w:tc>
                <w:tcPr>
                  <w:tcW w:w="1115" w:type="dxa"/>
                  <w:vAlign w:val="top"/>
                </w:tcPr>
                <w:p>
                  <w:pPr>
                    <w:spacing w:before="103"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0.47</w:t>
                  </w:r>
                </w:p>
              </w:tc>
              <w:tc>
                <w:tcPr>
                  <w:tcW w:w="1174" w:type="dxa"/>
                  <w:vAlign w:val="top"/>
                </w:tcPr>
                <w:p>
                  <w:pPr>
                    <w:spacing w:before="99" w:line="233" w:lineRule="auto"/>
                    <w:ind w:left="5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1" w:type="dxa"/>
                  <w:vAlign w:val="top"/>
                </w:tcPr>
                <w:p>
                  <w:pPr>
                    <w:spacing w:before="99" w:line="233"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5" w:line="235" w:lineRule="auto"/>
                    <w:ind w:left="548"/>
                    <w:rPr>
                      <w:rFonts w:ascii="Times New Roman" w:hAnsi="Times New Roman" w:eastAsia="Times New Roman" w:cs="Times New Roman"/>
                      <w:sz w:val="21"/>
                      <w:szCs w:val="21"/>
                    </w:rPr>
                  </w:pPr>
                  <w:r>
                    <w:rPr>
                      <w:spacing w:val="-3"/>
                      <w:sz w:val="21"/>
                      <w:szCs w:val="21"/>
                    </w:rPr>
                    <w:t>氯离子</w:t>
                  </w:r>
                  <w:r>
                    <w:rPr>
                      <w:rFonts w:ascii="Times New Roman" w:hAnsi="Times New Roman" w:eastAsia="Times New Roman" w:cs="Times New Roman"/>
                      <w:spacing w:val="-3"/>
                      <w:sz w:val="21"/>
                      <w:szCs w:val="21"/>
                    </w:rPr>
                    <w:t>*</w:t>
                  </w:r>
                </w:p>
              </w:tc>
              <w:tc>
                <w:tcPr>
                  <w:tcW w:w="994" w:type="dxa"/>
                  <w:vAlign w:val="top"/>
                </w:tcPr>
                <w:p>
                  <w:pPr>
                    <w:spacing w:before="100" w:line="191"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132" w:type="dxa"/>
                  <w:vAlign w:val="top"/>
                </w:tcPr>
                <w:p>
                  <w:pPr>
                    <w:spacing w:before="103"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w:t>
                  </w:r>
                </w:p>
              </w:tc>
              <w:tc>
                <w:tcPr>
                  <w:tcW w:w="1288" w:type="dxa"/>
                  <w:vAlign w:val="top"/>
                </w:tcPr>
                <w:p>
                  <w:pPr>
                    <w:spacing w:before="103"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p>
              </w:tc>
              <w:tc>
                <w:tcPr>
                  <w:tcW w:w="1115" w:type="dxa"/>
                  <w:vAlign w:val="top"/>
                </w:tcPr>
                <w:p>
                  <w:pPr>
                    <w:spacing w:before="103"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w:t>
                  </w:r>
                </w:p>
              </w:tc>
              <w:tc>
                <w:tcPr>
                  <w:tcW w:w="1174" w:type="dxa"/>
                  <w:vAlign w:val="top"/>
                </w:tcPr>
                <w:p>
                  <w:pPr>
                    <w:rPr>
                      <w:rFonts w:ascii="Arial"/>
                      <w:sz w:val="21"/>
                    </w:rPr>
                  </w:pPr>
                </w:p>
              </w:tc>
              <w:tc>
                <w:tcPr>
                  <w:tcW w:w="1091" w:type="dxa"/>
                  <w:vAlign w:val="top"/>
                </w:tcPr>
                <w:p>
                  <w:pPr>
                    <w:spacing w:before="100" w:line="233"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6" w:type="dxa"/>
                  <w:vAlign w:val="top"/>
                </w:tcPr>
                <w:p>
                  <w:pPr>
                    <w:pStyle w:val="6"/>
                    <w:spacing w:before="65" w:line="234" w:lineRule="auto"/>
                    <w:ind w:left="233"/>
                    <w:rPr>
                      <w:rFonts w:ascii="Times New Roman" w:hAnsi="Times New Roman" w:eastAsia="Times New Roman" w:cs="Times New Roman"/>
                      <w:sz w:val="21"/>
                      <w:szCs w:val="21"/>
                    </w:rPr>
                  </w:pPr>
                  <w:r>
                    <w:rPr>
                      <w:spacing w:val="-2"/>
                      <w:sz w:val="21"/>
                      <w:szCs w:val="21"/>
                    </w:rPr>
                    <w:t>水溶性盐总量</w:t>
                  </w:r>
                  <w:r>
                    <w:rPr>
                      <w:rFonts w:ascii="Times New Roman" w:hAnsi="Times New Roman" w:eastAsia="Times New Roman" w:cs="Times New Roman"/>
                      <w:spacing w:val="-2"/>
                      <w:sz w:val="21"/>
                      <w:szCs w:val="21"/>
                    </w:rPr>
                    <w:t>*</w:t>
                  </w:r>
                </w:p>
              </w:tc>
              <w:tc>
                <w:tcPr>
                  <w:tcW w:w="994" w:type="dxa"/>
                  <w:vAlign w:val="top"/>
                </w:tcPr>
                <w:p>
                  <w:pPr>
                    <w:spacing w:before="100" w:line="191"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132" w:type="dxa"/>
                  <w:vAlign w:val="top"/>
                </w:tcPr>
                <w:p>
                  <w:pPr>
                    <w:spacing w:before="104"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1.78</w:t>
                  </w:r>
                </w:p>
              </w:tc>
              <w:tc>
                <w:tcPr>
                  <w:tcW w:w="1288" w:type="dxa"/>
                  <w:vAlign w:val="top"/>
                </w:tcPr>
                <w:p>
                  <w:pPr>
                    <w:spacing w:before="104"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0.85</w:t>
                  </w:r>
                </w:p>
              </w:tc>
              <w:tc>
                <w:tcPr>
                  <w:tcW w:w="1115" w:type="dxa"/>
                  <w:vAlign w:val="top"/>
                </w:tcPr>
                <w:p>
                  <w:pPr>
                    <w:spacing w:before="104"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1.15</w:t>
                  </w:r>
                </w:p>
              </w:tc>
              <w:tc>
                <w:tcPr>
                  <w:tcW w:w="1174" w:type="dxa"/>
                  <w:vAlign w:val="top"/>
                </w:tcPr>
                <w:p>
                  <w:pPr>
                    <w:spacing w:before="100" w:line="230" w:lineRule="auto"/>
                    <w:ind w:left="5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1" w:type="dxa"/>
                  <w:vAlign w:val="top"/>
                </w:tcPr>
                <w:p>
                  <w:pPr>
                    <w:spacing w:before="100" w:line="230"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8" w:line="223" w:lineRule="auto"/>
                    <w:ind w:left="806"/>
                    <w:rPr>
                      <w:sz w:val="21"/>
                      <w:szCs w:val="21"/>
                    </w:rPr>
                  </w:pPr>
                  <w:r>
                    <w:rPr>
                      <w:sz w:val="21"/>
                      <w:szCs w:val="21"/>
                    </w:rPr>
                    <w:t>钡</w:t>
                  </w:r>
                </w:p>
              </w:tc>
              <w:tc>
                <w:tcPr>
                  <w:tcW w:w="994" w:type="dxa"/>
                  <w:vAlign w:val="top"/>
                </w:tcPr>
                <w:p>
                  <w:pPr>
                    <w:spacing w:before="103" w:line="191"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132"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0.33</w:t>
                  </w:r>
                </w:p>
              </w:tc>
              <w:tc>
                <w:tcPr>
                  <w:tcW w:w="1288" w:type="dxa"/>
                  <w:vAlign w:val="top"/>
                </w:tcPr>
                <w:p>
                  <w:pPr>
                    <w:spacing w:before="107"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w:t>
                  </w:r>
                </w:p>
              </w:tc>
              <w:tc>
                <w:tcPr>
                  <w:tcW w:w="1115" w:type="dxa"/>
                  <w:vAlign w:val="top"/>
                </w:tcPr>
                <w:p>
                  <w:pPr>
                    <w:spacing w:before="107"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0.40</w:t>
                  </w:r>
                </w:p>
              </w:tc>
              <w:tc>
                <w:tcPr>
                  <w:tcW w:w="1174" w:type="dxa"/>
                  <w:vAlign w:val="top"/>
                </w:tcPr>
                <w:p>
                  <w:pPr>
                    <w:spacing w:before="107"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8660</w:t>
                  </w:r>
                </w:p>
              </w:tc>
              <w:tc>
                <w:tcPr>
                  <w:tcW w:w="1091" w:type="dxa"/>
                  <w:vAlign w:val="top"/>
                </w:tcPr>
                <w:p>
                  <w:pPr>
                    <w:spacing w:before="107"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9" w:line="221" w:lineRule="auto"/>
                    <w:ind w:left="116"/>
                    <w:rPr>
                      <w:sz w:val="21"/>
                      <w:szCs w:val="21"/>
                    </w:rPr>
                  </w:pPr>
                  <w:r>
                    <w:rPr>
                      <w:sz w:val="21"/>
                      <w:szCs w:val="21"/>
                    </w:rPr>
                    <w:t>石油烃（</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10</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40</w:t>
                  </w:r>
                  <w:r>
                    <w:rPr>
                      <w:sz w:val="21"/>
                      <w:szCs w:val="21"/>
                    </w:rPr>
                    <w:t>）</w:t>
                  </w:r>
                </w:p>
              </w:tc>
              <w:tc>
                <w:tcPr>
                  <w:tcW w:w="994" w:type="dxa"/>
                  <w:vAlign w:val="top"/>
                </w:tcPr>
                <w:p>
                  <w:pPr>
                    <w:spacing w:before="104" w:line="191"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132" w:type="dxa"/>
                  <w:vAlign w:val="top"/>
                </w:tcPr>
                <w:p>
                  <w:pPr>
                    <w:spacing w:before="107"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288" w:type="dxa"/>
                  <w:vAlign w:val="top"/>
                </w:tcPr>
                <w:p>
                  <w:pPr>
                    <w:spacing w:before="107" w:line="187" w:lineRule="auto"/>
                    <w:ind w:left="55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15" w:type="dxa"/>
                  <w:vAlign w:val="top"/>
                </w:tcPr>
                <w:p>
                  <w:pPr>
                    <w:spacing w:before="107" w:line="187" w:lineRule="auto"/>
                    <w:ind w:left="51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74" w:type="dxa"/>
                  <w:vAlign w:val="top"/>
                </w:tcPr>
                <w:p>
                  <w:pPr>
                    <w:spacing w:before="107"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1091" w:type="dxa"/>
                  <w:vAlign w:val="top"/>
                </w:tcPr>
                <w:p>
                  <w:pPr>
                    <w:spacing w:before="107"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spacing w:before="102" w:line="191" w:lineRule="auto"/>
                    <w:ind w:left="724"/>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3"/>
                      <w:sz w:val="21"/>
                      <w:szCs w:val="21"/>
                    </w:rPr>
                    <w:t>*</w:t>
                  </w:r>
                </w:p>
              </w:tc>
              <w:tc>
                <w:tcPr>
                  <w:tcW w:w="994" w:type="dxa"/>
                  <w:vAlign w:val="top"/>
                </w:tcPr>
                <w:p>
                  <w:pPr>
                    <w:pStyle w:val="6"/>
                    <w:spacing w:before="67" w:line="221" w:lineRule="auto"/>
                    <w:ind w:left="219"/>
                    <w:rPr>
                      <w:sz w:val="21"/>
                      <w:szCs w:val="21"/>
                    </w:rPr>
                  </w:pPr>
                  <w:r>
                    <w:rPr>
                      <w:spacing w:val="-13"/>
                      <w:sz w:val="21"/>
                      <w:szCs w:val="21"/>
                    </w:rPr>
                    <w:t>无量纲</w:t>
                  </w:r>
                </w:p>
              </w:tc>
              <w:tc>
                <w:tcPr>
                  <w:tcW w:w="1132" w:type="dxa"/>
                  <w:vAlign w:val="top"/>
                </w:tcPr>
                <w:p>
                  <w:pPr>
                    <w:spacing w:before="105"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7.37</w:t>
                  </w:r>
                </w:p>
              </w:tc>
              <w:tc>
                <w:tcPr>
                  <w:tcW w:w="1288" w:type="dxa"/>
                  <w:vAlign w:val="top"/>
                </w:tcPr>
                <w:p>
                  <w:pPr>
                    <w:spacing w:before="105"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w:t>
                  </w:r>
                </w:p>
              </w:tc>
              <w:tc>
                <w:tcPr>
                  <w:tcW w:w="1115" w:type="dxa"/>
                  <w:vAlign w:val="top"/>
                </w:tcPr>
                <w:p>
                  <w:pPr>
                    <w:spacing w:before="105"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7.46</w:t>
                  </w:r>
                </w:p>
              </w:tc>
              <w:tc>
                <w:tcPr>
                  <w:tcW w:w="1174" w:type="dxa"/>
                  <w:vAlign w:val="top"/>
                </w:tcPr>
                <w:p>
                  <w:pPr>
                    <w:spacing w:before="102" w:line="231" w:lineRule="auto"/>
                    <w:ind w:left="5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1" w:type="dxa"/>
                  <w:vAlign w:val="top"/>
                </w:tcPr>
                <w:p>
                  <w:pPr>
                    <w:spacing w:before="102" w:line="231"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10" w:type="dxa"/>
                  <w:gridSpan w:val="7"/>
                  <w:vAlign w:val="top"/>
                </w:tcPr>
                <w:p>
                  <w:pPr>
                    <w:pStyle w:val="6"/>
                    <w:spacing w:before="68" w:line="234" w:lineRule="auto"/>
                    <w:ind w:left="116"/>
                    <w:rPr>
                      <w:sz w:val="21"/>
                      <w:szCs w:val="21"/>
                    </w:rPr>
                  </w:pPr>
                  <w:r>
                    <w:rPr>
                      <w:spacing w:val="-4"/>
                      <w:sz w:val="21"/>
                      <w:szCs w:val="21"/>
                    </w:rPr>
                    <w:t>注：</w:t>
                  </w:r>
                  <w:r>
                    <w:rPr>
                      <w:spacing w:val="-17"/>
                      <w:sz w:val="21"/>
                      <w:szCs w:val="21"/>
                    </w:rPr>
                    <w:t xml:space="preserve"> </w:t>
                  </w:r>
                  <w:r>
                    <w:rPr>
                      <w:rFonts w:ascii="Times New Roman" w:hAnsi="Times New Roman" w:eastAsia="Times New Roman" w:cs="Times New Roman"/>
                      <w:spacing w:val="-4"/>
                      <w:sz w:val="21"/>
                      <w:szCs w:val="21"/>
                    </w:rPr>
                    <w:t>“*”</w:t>
                  </w:r>
                  <w:r>
                    <w:rPr>
                      <w:spacing w:val="-4"/>
                      <w:sz w:val="21"/>
                      <w:szCs w:val="21"/>
                    </w:rPr>
                    <w:t>表示无相应标准限值，仅记录监测数据。</w:t>
                  </w:r>
                </w:p>
              </w:tc>
            </w:tr>
          </w:tbl>
          <w:p>
            <w:pPr>
              <w:pStyle w:val="6"/>
              <w:spacing w:before="178" w:line="220" w:lineRule="auto"/>
              <w:ind w:left="2177"/>
              <w:rPr>
                <w:sz w:val="24"/>
                <w:szCs w:val="24"/>
              </w:rPr>
            </w:pPr>
            <w:r>
              <w:rPr>
                <w:spacing w:val="-1"/>
                <w:sz w:val="24"/>
                <w:szCs w:val="24"/>
                <w14:textOutline w14:w="4354" w14:cap="flat" w14:cmpd="sng">
                  <w14:solidFill>
                    <w14:srgbClr w14:val="000000"/>
                  </w14:solidFill>
                  <w14:prstDash w14:val="solid"/>
                  <w14:miter w14:val="10"/>
                </w14:textOutline>
              </w:rPr>
              <w:t>表</w:t>
            </w:r>
            <w:r>
              <w:rPr>
                <w:spacing w:val="-36"/>
                <w:sz w:val="24"/>
                <w:szCs w:val="24"/>
              </w:rPr>
              <w:t xml:space="preserve"> </w:t>
            </w:r>
            <w:r>
              <w:rPr>
                <w:rFonts w:ascii="Times New Roman" w:hAnsi="Times New Roman" w:eastAsia="Times New Roman" w:cs="Times New Roman"/>
                <w:b/>
                <w:bCs/>
                <w:spacing w:val="-1"/>
                <w:sz w:val="24"/>
                <w:szCs w:val="24"/>
              </w:rPr>
              <w:t xml:space="preserve">3.3-16    </w:t>
            </w:r>
            <w:r>
              <w:rPr>
                <w:spacing w:val="-1"/>
                <w:sz w:val="24"/>
                <w:szCs w:val="24"/>
                <w14:textOutline w14:w="4354" w14:cap="flat" w14:cmpd="sng">
                  <w14:solidFill>
                    <w14:srgbClr w14:val="000000"/>
                  </w14:solidFill>
                  <w14:prstDash w14:val="solid"/>
                  <w14:miter w14:val="10"/>
                </w14:textOutline>
              </w:rPr>
              <w:t>井场内</w:t>
            </w:r>
            <w:r>
              <w:rPr>
                <w:spacing w:val="-47"/>
                <w:sz w:val="24"/>
                <w:szCs w:val="24"/>
              </w:rPr>
              <w:t xml:space="preserve"> </w:t>
            </w:r>
            <w:r>
              <w:rPr>
                <w:rFonts w:ascii="Times New Roman" w:hAnsi="Times New Roman" w:eastAsia="Times New Roman" w:cs="Times New Roman"/>
                <w:b/>
                <w:bCs/>
                <w:spacing w:val="-1"/>
                <w:sz w:val="24"/>
                <w:szCs w:val="24"/>
              </w:rPr>
              <w:t xml:space="preserve">S3 </w:t>
            </w:r>
            <w:r>
              <w:rPr>
                <w:spacing w:val="-1"/>
                <w:sz w:val="24"/>
                <w:szCs w:val="24"/>
                <w14:textOutline w14:w="4354" w14:cap="flat" w14:cmpd="sng">
                  <w14:solidFill>
                    <w14:srgbClr w14:val="000000"/>
                  </w14:solidFill>
                  <w14:prstDash w14:val="solid"/>
                  <w14:miter w14:val="10"/>
                </w14:textOutline>
              </w:rPr>
              <w:t>柱状样点土壤监测结果统计表</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994"/>
              <w:gridCol w:w="1132"/>
              <w:gridCol w:w="1288"/>
              <w:gridCol w:w="1115"/>
              <w:gridCol w:w="1174"/>
              <w:gridCol w:w="1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816" w:type="dxa"/>
                  <w:vMerge w:val="restart"/>
                  <w:tcBorders>
                    <w:bottom w:val="nil"/>
                    <w:tl2br w:val="single" w:color="000000" w:sz="2" w:space="0"/>
                  </w:tcBorders>
                  <w:vAlign w:val="top"/>
                </w:tcPr>
                <w:p>
                  <w:pPr>
                    <w:pStyle w:val="6"/>
                    <w:spacing w:before="106" w:line="231" w:lineRule="auto"/>
                    <w:ind w:left="116" w:right="104" w:firstLine="755"/>
                    <w:rPr>
                      <w:sz w:val="21"/>
                      <w:szCs w:val="21"/>
                    </w:rPr>
                  </w:pPr>
                  <w:r>
                    <w:rPr>
                      <w:spacing w:val="-2"/>
                      <w:sz w:val="21"/>
                      <w:szCs w:val="21"/>
                    </w:rPr>
                    <w:t>监测点位</w:t>
                  </w:r>
                  <w:r>
                    <w:rPr>
                      <w:sz w:val="21"/>
                      <w:szCs w:val="21"/>
                    </w:rPr>
                    <w:t xml:space="preserve"> </w:t>
                  </w:r>
                  <w:r>
                    <w:rPr>
                      <w:spacing w:val="-2"/>
                      <w:sz w:val="21"/>
                      <w:szCs w:val="21"/>
                    </w:rPr>
                    <w:t>监测项目</w:t>
                  </w:r>
                </w:p>
              </w:tc>
              <w:tc>
                <w:tcPr>
                  <w:tcW w:w="994" w:type="dxa"/>
                  <w:vMerge w:val="restart"/>
                  <w:tcBorders>
                    <w:bottom w:val="nil"/>
                  </w:tcBorders>
                  <w:vAlign w:val="top"/>
                </w:tcPr>
                <w:p>
                  <w:pPr>
                    <w:pStyle w:val="6"/>
                    <w:spacing w:before="243" w:line="221" w:lineRule="auto"/>
                    <w:ind w:left="291"/>
                    <w:rPr>
                      <w:sz w:val="21"/>
                      <w:szCs w:val="21"/>
                    </w:rPr>
                  </w:pPr>
                  <w:r>
                    <w:rPr>
                      <w:spacing w:val="-2"/>
                      <w:sz w:val="21"/>
                      <w:szCs w:val="21"/>
                    </w:rPr>
                    <w:t>单位</w:t>
                  </w:r>
                </w:p>
              </w:tc>
              <w:tc>
                <w:tcPr>
                  <w:tcW w:w="3535" w:type="dxa"/>
                  <w:gridSpan w:val="3"/>
                  <w:vAlign w:val="top"/>
                </w:tcPr>
                <w:p>
                  <w:pPr>
                    <w:pStyle w:val="6"/>
                    <w:spacing w:before="67" w:line="221" w:lineRule="auto"/>
                    <w:ind w:left="695"/>
                    <w:rPr>
                      <w:sz w:val="21"/>
                      <w:szCs w:val="21"/>
                    </w:rPr>
                  </w:pPr>
                  <w:r>
                    <w:rPr>
                      <w:rFonts w:ascii="Times New Roman" w:hAnsi="Times New Roman" w:eastAsia="Times New Roman" w:cs="Times New Roman"/>
                      <w:spacing w:val="-1"/>
                      <w:sz w:val="21"/>
                      <w:szCs w:val="21"/>
                    </w:rPr>
                    <w:t xml:space="preserve">S3 </w:t>
                  </w:r>
                  <w:r>
                    <w:rPr>
                      <w:spacing w:val="-1"/>
                      <w:sz w:val="21"/>
                      <w:szCs w:val="21"/>
                    </w:rPr>
                    <w:t>井场西南侧监测结果</w:t>
                  </w:r>
                </w:p>
              </w:tc>
              <w:tc>
                <w:tcPr>
                  <w:tcW w:w="1174" w:type="dxa"/>
                  <w:vMerge w:val="restart"/>
                  <w:tcBorders>
                    <w:bottom w:val="nil"/>
                  </w:tcBorders>
                  <w:vAlign w:val="top"/>
                </w:tcPr>
                <w:p>
                  <w:pPr>
                    <w:pStyle w:val="6"/>
                    <w:spacing w:before="106" w:line="227" w:lineRule="auto"/>
                    <w:ind w:left="121" w:right="116" w:firstLine="157"/>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mg/kg</w:t>
                  </w:r>
                  <w:r>
                    <w:rPr>
                      <w:spacing w:val="-4"/>
                      <w:sz w:val="21"/>
                      <w:szCs w:val="21"/>
                    </w:rPr>
                    <w:t>）</w:t>
                  </w:r>
                </w:p>
              </w:tc>
              <w:tc>
                <w:tcPr>
                  <w:tcW w:w="1091" w:type="dxa"/>
                  <w:vMerge w:val="restart"/>
                  <w:tcBorders>
                    <w:bottom w:val="nil"/>
                  </w:tcBorders>
                  <w:vAlign w:val="top"/>
                </w:tcPr>
                <w:p>
                  <w:pPr>
                    <w:pStyle w:val="6"/>
                    <w:spacing w:before="105" w:line="231" w:lineRule="auto"/>
                    <w:ind w:left="252" w:right="122" w:hanging="120"/>
                    <w:rPr>
                      <w:rFonts w:ascii="Times New Roman" w:hAnsi="Times New Roman" w:eastAsia="Times New Roman" w:cs="Times New Roman"/>
                      <w:sz w:val="21"/>
                      <w:szCs w:val="21"/>
                    </w:rPr>
                  </w:pPr>
                  <w:r>
                    <w:rPr>
                      <w:spacing w:val="-3"/>
                      <w:sz w:val="21"/>
                      <w:szCs w:val="21"/>
                    </w:rPr>
                    <w:t>最大污染</w:t>
                  </w:r>
                  <w:r>
                    <w:rPr>
                      <w:spacing w:val="2"/>
                      <w:sz w:val="21"/>
                      <w:szCs w:val="21"/>
                    </w:rPr>
                    <w:t xml:space="preserve"> </w:t>
                  </w:r>
                  <w:r>
                    <w:rPr>
                      <w:spacing w:val="-3"/>
                      <w:sz w:val="21"/>
                      <w:szCs w:val="21"/>
                    </w:rPr>
                    <w:t>指数</w:t>
                  </w:r>
                  <w:r>
                    <w:rPr>
                      <w:spacing w:val="-47"/>
                      <w:sz w:val="21"/>
                      <w:szCs w:val="21"/>
                    </w:rPr>
                    <w:t xml:space="preserve"> </w:t>
                  </w:r>
                  <w:r>
                    <w:rPr>
                      <w:rFonts w:ascii="Times New Roman" w:hAnsi="Times New Roman" w:eastAsia="Times New Roman" w:cs="Times New Roman"/>
                      <w:spacing w:val="-3"/>
                      <w:sz w:val="21"/>
                      <w:szCs w:val="21"/>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Merge w:val="continue"/>
                  <w:tcBorders>
                    <w:top w:val="nil"/>
                    <w:tl2br w:val="single" w:color="000000" w:sz="2" w:space="0"/>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1132" w:type="dxa"/>
                  <w:vAlign w:val="top"/>
                </w:tcPr>
                <w:p>
                  <w:pPr>
                    <w:spacing w:before="10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0~0.5m</w:t>
                  </w:r>
                </w:p>
              </w:tc>
              <w:tc>
                <w:tcPr>
                  <w:tcW w:w="1288" w:type="dxa"/>
                  <w:vAlign w:val="top"/>
                </w:tcPr>
                <w:p>
                  <w:pPr>
                    <w:spacing w:before="101"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0.5~1.5m</w:t>
                  </w:r>
                </w:p>
              </w:tc>
              <w:tc>
                <w:tcPr>
                  <w:tcW w:w="1115" w:type="dxa"/>
                  <w:vAlign w:val="top"/>
                </w:tcPr>
                <w:p>
                  <w:pPr>
                    <w:spacing w:before="10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1.5~3.0m</w:t>
                  </w:r>
                </w:p>
              </w:tc>
              <w:tc>
                <w:tcPr>
                  <w:tcW w:w="1174" w:type="dxa"/>
                  <w:vMerge w:val="continue"/>
                  <w:tcBorders>
                    <w:top w:val="nil"/>
                  </w:tcBorders>
                  <w:vAlign w:val="top"/>
                </w:tcPr>
                <w:p>
                  <w:pPr>
                    <w:rPr>
                      <w:rFonts w:ascii="Arial"/>
                      <w:sz w:val="21"/>
                    </w:rPr>
                  </w:pPr>
                </w:p>
              </w:tc>
              <w:tc>
                <w:tcPr>
                  <w:tcW w:w="10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6" w:type="dxa"/>
                  <w:vAlign w:val="top"/>
                </w:tcPr>
                <w:p>
                  <w:pPr>
                    <w:pStyle w:val="6"/>
                    <w:spacing w:before="63" w:line="236" w:lineRule="auto"/>
                    <w:ind w:left="544"/>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994" w:type="dxa"/>
                  <w:vAlign w:val="top"/>
                </w:tcPr>
                <w:p>
                  <w:pPr>
                    <w:spacing w:before="98" w:line="191"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132" w:type="dxa"/>
                  <w:vAlign w:val="top"/>
                </w:tcPr>
                <w:p>
                  <w:pPr>
                    <w:spacing w:before="102"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w:t>
                  </w:r>
                </w:p>
              </w:tc>
              <w:tc>
                <w:tcPr>
                  <w:tcW w:w="1288" w:type="dxa"/>
                  <w:vAlign w:val="top"/>
                </w:tcPr>
                <w:p>
                  <w:pPr>
                    <w:spacing w:before="102"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w:t>
                  </w:r>
                </w:p>
              </w:tc>
              <w:tc>
                <w:tcPr>
                  <w:tcW w:w="1115" w:type="dxa"/>
                  <w:vAlign w:val="top"/>
                </w:tcPr>
                <w:p>
                  <w:pPr>
                    <w:spacing w:before="102"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0.63</w:t>
                  </w:r>
                </w:p>
              </w:tc>
              <w:tc>
                <w:tcPr>
                  <w:tcW w:w="1174" w:type="dxa"/>
                  <w:vAlign w:val="top"/>
                </w:tcPr>
                <w:p>
                  <w:pPr>
                    <w:spacing w:before="98" w:line="233" w:lineRule="auto"/>
                    <w:ind w:left="5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1" w:type="dxa"/>
                  <w:vAlign w:val="top"/>
                </w:tcPr>
                <w:p>
                  <w:pPr>
                    <w:spacing w:before="98" w:line="233"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6" w:type="dxa"/>
                  <w:vAlign w:val="top"/>
                </w:tcPr>
                <w:p>
                  <w:pPr>
                    <w:pStyle w:val="6"/>
                    <w:spacing w:before="66" w:line="235" w:lineRule="auto"/>
                    <w:ind w:left="548"/>
                    <w:rPr>
                      <w:rFonts w:ascii="Times New Roman" w:hAnsi="Times New Roman" w:eastAsia="Times New Roman" w:cs="Times New Roman"/>
                      <w:sz w:val="21"/>
                      <w:szCs w:val="21"/>
                    </w:rPr>
                  </w:pPr>
                  <w:r>
                    <w:rPr>
                      <w:spacing w:val="-3"/>
                      <w:sz w:val="21"/>
                      <w:szCs w:val="21"/>
                    </w:rPr>
                    <w:t>氯离子</w:t>
                  </w:r>
                  <w:r>
                    <w:rPr>
                      <w:rFonts w:ascii="Times New Roman" w:hAnsi="Times New Roman" w:eastAsia="Times New Roman" w:cs="Times New Roman"/>
                      <w:spacing w:val="-3"/>
                      <w:sz w:val="21"/>
                      <w:szCs w:val="21"/>
                    </w:rPr>
                    <w:t>*</w:t>
                  </w:r>
                </w:p>
              </w:tc>
              <w:tc>
                <w:tcPr>
                  <w:tcW w:w="994" w:type="dxa"/>
                  <w:vAlign w:val="top"/>
                </w:tcPr>
                <w:p>
                  <w:pPr>
                    <w:spacing w:before="101" w:line="191"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132" w:type="dxa"/>
                  <w:vAlign w:val="top"/>
                </w:tcPr>
                <w:p>
                  <w:pPr>
                    <w:spacing w:before="10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p>
              </w:tc>
              <w:tc>
                <w:tcPr>
                  <w:tcW w:w="1288" w:type="dxa"/>
                  <w:vAlign w:val="top"/>
                </w:tcPr>
                <w:p>
                  <w:pPr>
                    <w:spacing w:before="104"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0.16</w:t>
                  </w:r>
                </w:p>
              </w:tc>
              <w:tc>
                <w:tcPr>
                  <w:tcW w:w="1115" w:type="dxa"/>
                  <w:vAlign w:val="top"/>
                </w:tcPr>
                <w:p>
                  <w:pPr>
                    <w:spacing w:before="104"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w:t>
                  </w:r>
                </w:p>
              </w:tc>
              <w:tc>
                <w:tcPr>
                  <w:tcW w:w="1174" w:type="dxa"/>
                  <w:vAlign w:val="top"/>
                </w:tcPr>
                <w:p>
                  <w:pPr>
                    <w:rPr>
                      <w:rFonts w:ascii="Arial"/>
                      <w:sz w:val="21"/>
                    </w:rPr>
                  </w:pPr>
                </w:p>
              </w:tc>
              <w:tc>
                <w:tcPr>
                  <w:tcW w:w="1091" w:type="dxa"/>
                  <w:vAlign w:val="top"/>
                </w:tcPr>
                <w:p>
                  <w:pPr>
                    <w:spacing w:before="101" w:line="232"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6" w:type="dxa"/>
                  <w:tcBorders>
                    <w:bottom w:val="nil"/>
                  </w:tcBorders>
                  <w:vAlign w:val="top"/>
                </w:tcPr>
                <w:p>
                  <w:pPr>
                    <w:pStyle w:val="6"/>
                    <w:spacing w:before="65" w:line="233" w:lineRule="auto"/>
                    <w:ind w:left="233"/>
                    <w:rPr>
                      <w:rFonts w:ascii="Times New Roman" w:hAnsi="Times New Roman" w:eastAsia="Times New Roman" w:cs="Times New Roman"/>
                      <w:sz w:val="21"/>
                      <w:szCs w:val="21"/>
                    </w:rPr>
                  </w:pPr>
                  <w:r>
                    <w:rPr>
                      <w:spacing w:val="-2"/>
                      <w:sz w:val="21"/>
                      <w:szCs w:val="21"/>
                    </w:rPr>
                    <w:t>水溶性盐总量</w:t>
                  </w:r>
                  <w:r>
                    <w:rPr>
                      <w:rFonts w:ascii="Times New Roman" w:hAnsi="Times New Roman" w:eastAsia="Times New Roman" w:cs="Times New Roman"/>
                      <w:spacing w:val="-2"/>
                      <w:sz w:val="21"/>
                      <w:szCs w:val="21"/>
                    </w:rPr>
                    <w:t>*</w:t>
                  </w:r>
                </w:p>
              </w:tc>
              <w:tc>
                <w:tcPr>
                  <w:tcW w:w="994" w:type="dxa"/>
                  <w:tcBorders>
                    <w:bottom w:val="nil"/>
                  </w:tcBorders>
                  <w:vAlign w:val="top"/>
                </w:tcPr>
                <w:p>
                  <w:pPr>
                    <w:spacing w:before="101" w:line="191"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132" w:type="dxa"/>
                  <w:tcBorders>
                    <w:bottom w:val="nil"/>
                  </w:tcBorders>
                  <w:vAlign w:val="top"/>
                </w:tcPr>
                <w:p>
                  <w:pPr>
                    <w:spacing w:before="105"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1.26</w:t>
                  </w:r>
                </w:p>
              </w:tc>
              <w:tc>
                <w:tcPr>
                  <w:tcW w:w="1288" w:type="dxa"/>
                  <w:tcBorders>
                    <w:bottom w:val="nil"/>
                  </w:tcBorders>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1.49</w:t>
                  </w:r>
                </w:p>
              </w:tc>
              <w:tc>
                <w:tcPr>
                  <w:tcW w:w="1115" w:type="dxa"/>
                  <w:tcBorders>
                    <w:bottom w:val="nil"/>
                  </w:tcBorders>
                  <w:vAlign w:val="top"/>
                </w:tcPr>
                <w:p>
                  <w:pPr>
                    <w:spacing w:before="105"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1.62</w:t>
                  </w:r>
                </w:p>
              </w:tc>
              <w:tc>
                <w:tcPr>
                  <w:tcW w:w="1174" w:type="dxa"/>
                  <w:tcBorders>
                    <w:bottom w:val="nil"/>
                  </w:tcBorders>
                  <w:vAlign w:val="top"/>
                </w:tcPr>
                <w:p>
                  <w:pPr>
                    <w:spacing w:before="101" w:line="228" w:lineRule="auto"/>
                    <w:ind w:left="5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1" w:type="dxa"/>
                  <w:tcBorders>
                    <w:bottom w:val="nil"/>
                  </w:tcBorders>
                  <w:vAlign w:val="top"/>
                </w:tcPr>
                <w:p>
                  <w:pPr>
                    <w:spacing w:before="101" w:line="228"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116" w:lineRule="auto"/>
              <w:rPr>
                <w:rFonts w:ascii="Arial"/>
                <w:sz w:val="2"/>
              </w:rPr>
            </w:pPr>
          </w:p>
        </w:tc>
      </w:tr>
    </w:tbl>
    <w:p>
      <w:pPr>
        <w:pStyle w:val="2"/>
        <w:rPr>
          <w:sz w:val="21"/>
        </w:rPr>
      </w:pPr>
    </w:p>
    <w:p>
      <w:pPr>
        <w:rPr>
          <w:sz w:val="21"/>
          <w:szCs w:val="21"/>
        </w:rPr>
        <w:sectPr>
          <w:footerReference r:id="rId75"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10" w:hRule="atLeast"/>
        </w:trPr>
        <w:tc>
          <w:tcPr>
            <w:tcW w:w="9291" w:type="dxa"/>
            <w:vAlign w:val="top"/>
          </w:tcPr>
          <w:p>
            <w:pPr>
              <w:spacing w:line="18" w:lineRule="exact"/>
            </w:pPr>
            <w:r>
              <w:pict>
                <v:rect id="_x0000_s1275" o:spid="_x0000_s1275" o:spt="1" style="position:absolute;left:0pt;margin-left:22.75pt;margin-top:0.95pt;height:689.65pt;width:0.5pt;mso-position-horizontal-relative:page;mso-position-vertical-relative:page;z-index:251821056;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994"/>
              <w:gridCol w:w="1132"/>
              <w:gridCol w:w="1288"/>
              <w:gridCol w:w="1115"/>
              <w:gridCol w:w="1174"/>
              <w:gridCol w:w="1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6" w:type="dxa"/>
                  <w:tcBorders>
                    <w:top w:val="nil"/>
                  </w:tcBorders>
                  <w:vAlign w:val="top"/>
                </w:tcPr>
                <w:p>
                  <w:pPr>
                    <w:pStyle w:val="6"/>
                    <w:spacing w:before="63" w:line="223" w:lineRule="auto"/>
                    <w:ind w:left="806"/>
                    <w:rPr>
                      <w:sz w:val="21"/>
                      <w:szCs w:val="21"/>
                    </w:rPr>
                  </w:pPr>
                  <w:r>
                    <w:rPr>
                      <w:sz w:val="21"/>
                      <w:szCs w:val="21"/>
                    </w:rPr>
                    <w:t>钡</w:t>
                  </w:r>
                </w:p>
              </w:tc>
              <w:tc>
                <w:tcPr>
                  <w:tcW w:w="994" w:type="dxa"/>
                  <w:tcBorders>
                    <w:top w:val="nil"/>
                  </w:tcBorders>
                  <w:vAlign w:val="top"/>
                </w:tcPr>
                <w:p>
                  <w:pPr>
                    <w:spacing w:before="98" w:line="191"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1132" w:type="dxa"/>
                  <w:tcBorders>
                    <w:top w:val="nil"/>
                  </w:tcBorders>
                  <w:vAlign w:val="top"/>
                </w:tcPr>
                <w:p>
                  <w:pPr>
                    <w:spacing w:before="101"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w:t>
                  </w:r>
                </w:p>
              </w:tc>
              <w:tc>
                <w:tcPr>
                  <w:tcW w:w="1288" w:type="dxa"/>
                  <w:tcBorders>
                    <w:top w:val="nil"/>
                  </w:tcBorders>
                  <w:vAlign w:val="top"/>
                </w:tcPr>
                <w:p>
                  <w:pPr>
                    <w:spacing w:before="101"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0.33</w:t>
                  </w:r>
                </w:p>
              </w:tc>
              <w:tc>
                <w:tcPr>
                  <w:tcW w:w="1115" w:type="dxa"/>
                  <w:tcBorders>
                    <w:top w:val="nil"/>
                  </w:tcBorders>
                  <w:vAlign w:val="top"/>
                </w:tcPr>
                <w:p>
                  <w:pPr>
                    <w:spacing w:before="101"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w:t>
                  </w:r>
                </w:p>
              </w:tc>
              <w:tc>
                <w:tcPr>
                  <w:tcW w:w="1174" w:type="dxa"/>
                  <w:tcBorders>
                    <w:top w:val="nil"/>
                  </w:tcBorders>
                  <w:vAlign w:val="top"/>
                </w:tcPr>
                <w:p>
                  <w:pPr>
                    <w:spacing w:before="101"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8660</w:t>
                  </w:r>
                </w:p>
              </w:tc>
              <w:tc>
                <w:tcPr>
                  <w:tcW w:w="1091" w:type="dxa"/>
                  <w:tcBorders>
                    <w:top w:val="nil"/>
                  </w:tcBorders>
                  <w:vAlign w:val="top"/>
                </w:tcPr>
                <w:p>
                  <w:pPr>
                    <w:spacing w:before="101"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6" w:type="dxa"/>
                  <w:vAlign w:val="top"/>
                </w:tcPr>
                <w:p>
                  <w:pPr>
                    <w:pStyle w:val="6"/>
                    <w:spacing w:before="65" w:line="221" w:lineRule="auto"/>
                    <w:ind w:left="116"/>
                    <w:rPr>
                      <w:sz w:val="21"/>
                      <w:szCs w:val="21"/>
                    </w:rPr>
                  </w:pPr>
                  <w:r>
                    <w:rPr>
                      <w:sz w:val="21"/>
                      <w:szCs w:val="21"/>
                    </w:rPr>
                    <w:t>石油烃（</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10</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40</w:t>
                  </w:r>
                  <w:r>
                    <w:rPr>
                      <w:sz w:val="21"/>
                      <w:szCs w:val="21"/>
                    </w:rPr>
                    <w:t>）</w:t>
                  </w:r>
                </w:p>
              </w:tc>
              <w:tc>
                <w:tcPr>
                  <w:tcW w:w="994" w:type="dxa"/>
                  <w:vAlign w:val="top"/>
                </w:tcPr>
                <w:p>
                  <w:pPr>
                    <w:spacing w:before="100" w:line="191"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1132" w:type="dxa"/>
                  <w:vAlign w:val="top"/>
                </w:tcPr>
                <w:p>
                  <w:pPr>
                    <w:spacing w:before="103"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288" w:type="dxa"/>
                  <w:vAlign w:val="top"/>
                </w:tcPr>
                <w:p>
                  <w:pPr>
                    <w:spacing w:before="103" w:line="187" w:lineRule="auto"/>
                    <w:ind w:left="55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15" w:type="dxa"/>
                  <w:vAlign w:val="top"/>
                </w:tcPr>
                <w:p>
                  <w:pPr>
                    <w:spacing w:before="103"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74" w:type="dxa"/>
                  <w:vAlign w:val="top"/>
                </w:tcPr>
                <w:p>
                  <w:pPr>
                    <w:spacing w:before="103"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1091" w:type="dxa"/>
                  <w:vAlign w:val="top"/>
                </w:tcPr>
                <w:p>
                  <w:pPr>
                    <w:spacing w:before="103"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6" w:type="dxa"/>
                  <w:vAlign w:val="top"/>
                </w:tcPr>
                <w:p>
                  <w:pPr>
                    <w:spacing w:before="101" w:line="191" w:lineRule="auto"/>
                    <w:ind w:left="724"/>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3"/>
                      <w:sz w:val="21"/>
                      <w:szCs w:val="21"/>
                    </w:rPr>
                    <w:t>*</w:t>
                  </w:r>
                </w:p>
              </w:tc>
              <w:tc>
                <w:tcPr>
                  <w:tcW w:w="994" w:type="dxa"/>
                  <w:vAlign w:val="top"/>
                </w:tcPr>
                <w:p>
                  <w:pPr>
                    <w:pStyle w:val="6"/>
                    <w:spacing w:before="66" w:line="221" w:lineRule="auto"/>
                    <w:ind w:left="219"/>
                    <w:rPr>
                      <w:sz w:val="21"/>
                      <w:szCs w:val="21"/>
                    </w:rPr>
                  </w:pPr>
                  <w:r>
                    <w:rPr>
                      <w:spacing w:val="-13"/>
                      <w:sz w:val="21"/>
                      <w:szCs w:val="21"/>
                    </w:rPr>
                    <w:t>无量纲</w:t>
                  </w:r>
                </w:p>
              </w:tc>
              <w:tc>
                <w:tcPr>
                  <w:tcW w:w="1132" w:type="dxa"/>
                  <w:vAlign w:val="top"/>
                </w:tcPr>
                <w:p>
                  <w:pPr>
                    <w:spacing w:before="105"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7.42</w:t>
                  </w:r>
                </w:p>
              </w:tc>
              <w:tc>
                <w:tcPr>
                  <w:tcW w:w="1288" w:type="dxa"/>
                  <w:vAlign w:val="top"/>
                </w:tcPr>
                <w:p>
                  <w:pPr>
                    <w:spacing w:before="105"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7.40</w:t>
                  </w:r>
                </w:p>
              </w:tc>
              <w:tc>
                <w:tcPr>
                  <w:tcW w:w="1115" w:type="dxa"/>
                  <w:vAlign w:val="top"/>
                </w:tcPr>
                <w:p>
                  <w:pPr>
                    <w:spacing w:before="105"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7.39</w:t>
                  </w:r>
                </w:p>
              </w:tc>
              <w:tc>
                <w:tcPr>
                  <w:tcW w:w="1174" w:type="dxa"/>
                  <w:vAlign w:val="top"/>
                </w:tcPr>
                <w:p>
                  <w:pPr>
                    <w:spacing w:before="101" w:line="231" w:lineRule="auto"/>
                    <w:ind w:left="5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1" w:type="dxa"/>
                  <w:vAlign w:val="top"/>
                </w:tcPr>
                <w:p>
                  <w:pPr>
                    <w:spacing w:before="101" w:line="231"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10" w:type="dxa"/>
                  <w:gridSpan w:val="7"/>
                  <w:vAlign w:val="top"/>
                </w:tcPr>
                <w:p>
                  <w:pPr>
                    <w:pStyle w:val="6"/>
                    <w:spacing w:before="68" w:line="234" w:lineRule="auto"/>
                    <w:ind w:left="116"/>
                    <w:rPr>
                      <w:sz w:val="21"/>
                      <w:szCs w:val="21"/>
                    </w:rPr>
                  </w:pPr>
                  <w:r>
                    <w:rPr>
                      <w:spacing w:val="-4"/>
                      <w:sz w:val="21"/>
                      <w:szCs w:val="21"/>
                    </w:rPr>
                    <w:t>注：</w:t>
                  </w:r>
                  <w:r>
                    <w:rPr>
                      <w:spacing w:val="-17"/>
                      <w:sz w:val="21"/>
                      <w:szCs w:val="21"/>
                    </w:rPr>
                    <w:t xml:space="preserve"> </w:t>
                  </w:r>
                  <w:r>
                    <w:rPr>
                      <w:rFonts w:ascii="Times New Roman" w:hAnsi="Times New Roman" w:eastAsia="Times New Roman" w:cs="Times New Roman"/>
                      <w:spacing w:val="-4"/>
                      <w:sz w:val="21"/>
                      <w:szCs w:val="21"/>
                    </w:rPr>
                    <w:t>“*”</w:t>
                  </w:r>
                  <w:r>
                    <w:rPr>
                      <w:spacing w:val="-4"/>
                      <w:sz w:val="21"/>
                      <w:szCs w:val="21"/>
                    </w:rPr>
                    <w:t>表示无相应标准限值，仅记录监测数据。</w:t>
                  </w:r>
                </w:p>
              </w:tc>
            </w:tr>
          </w:tbl>
          <w:p>
            <w:pPr>
              <w:pStyle w:val="6"/>
              <w:spacing w:before="177" w:line="220" w:lineRule="auto"/>
              <w:ind w:left="2177"/>
              <w:rPr>
                <w:sz w:val="24"/>
                <w:szCs w:val="24"/>
              </w:rPr>
            </w:pPr>
            <w:r>
              <w:rPr>
                <w:spacing w:val="-1"/>
                <w:sz w:val="24"/>
                <w:szCs w:val="24"/>
                <w14:textOutline w14:w="4354" w14:cap="flat" w14:cmpd="sng">
                  <w14:solidFill>
                    <w14:srgbClr w14:val="000000"/>
                  </w14:solidFill>
                  <w14:prstDash w14:val="solid"/>
                  <w14:miter w14:val="10"/>
                </w14:textOutline>
              </w:rPr>
              <w:t>表</w:t>
            </w:r>
            <w:r>
              <w:rPr>
                <w:spacing w:val="-35"/>
                <w:sz w:val="24"/>
                <w:szCs w:val="24"/>
              </w:rPr>
              <w:t xml:space="preserve"> </w:t>
            </w:r>
            <w:r>
              <w:rPr>
                <w:rFonts w:ascii="Times New Roman" w:hAnsi="Times New Roman" w:eastAsia="Times New Roman" w:cs="Times New Roman"/>
                <w:b/>
                <w:bCs/>
                <w:spacing w:val="-1"/>
                <w:sz w:val="24"/>
                <w:szCs w:val="24"/>
              </w:rPr>
              <w:t xml:space="preserve">3.3-16    </w:t>
            </w:r>
            <w:r>
              <w:rPr>
                <w:spacing w:val="-1"/>
                <w:sz w:val="24"/>
                <w:szCs w:val="24"/>
                <w14:textOutline w14:w="4354" w14:cap="flat" w14:cmpd="sng">
                  <w14:solidFill>
                    <w14:srgbClr w14:val="000000"/>
                  </w14:solidFill>
                  <w14:prstDash w14:val="solid"/>
                  <w14:miter w14:val="10"/>
                </w14:textOutline>
              </w:rPr>
              <w:t>井场内</w:t>
            </w:r>
            <w:r>
              <w:rPr>
                <w:spacing w:val="-48"/>
                <w:sz w:val="24"/>
                <w:szCs w:val="24"/>
              </w:rPr>
              <w:t xml:space="preserve"> </w:t>
            </w:r>
            <w:r>
              <w:rPr>
                <w:rFonts w:ascii="Times New Roman" w:hAnsi="Times New Roman" w:eastAsia="Times New Roman" w:cs="Times New Roman"/>
                <w:b/>
                <w:bCs/>
                <w:spacing w:val="-1"/>
                <w:sz w:val="24"/>
                <w:szCs w:val="24"/>
              </w:rPr>
              <w:t xml:space="preserve">S4 </w:t>
            </w:r>
            <w:r>
              <w:rPr>
                <w:spacing w:val="-1"/>
                <w:sz w:val="24"/>
                <w:szCs w:val="24"/>
                <w14:textOutline w14:w="4354" w14:cap="flat" w14:cmpd="sng">
                  <w14:solidFill>
                    <w14:srgbClr w14:val="000000"/>
                  </w14:solidFill>
                  <w14:prstDash w14:val="solid"/>
                  <w14:miter w14:val="10"/>
                </w14:textOutline>
              </w:rPr>
              <w:t>表层样点土壤监测结果统计表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1171"/>
              <w:gridCol w:w="2375"/>
              <w:gridCol w:w="1552"/>
              <w:gridCol w:w="11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382" w:type="dxa"/>
                  <w:vMerge w:val="restart"/>
                  <w:tcBorders>
                    <w:bottom w:val="nil"/>
                    <w:tl2br w:val="single" w:color="000000" w:sz="2" w:space="0"/>
                  </w:tcBorders>
                  <w:vAlign w:val="top"/>
                </w:tcPr>
                <w:p>
                  <w:pPr>
                    <w:pStyle w:val="6"/>
                    <w:spacing w:before="106" w:line="222" w:lineRule="auto"/>
                    <w:ind w:left="1439"/>
                    <w:rPr>
                      <w:sz w:val="21"/>
                      <w:szCs w:val="21"/>
                    </w:rPr>
                  </w:pPr>
                  <w:r>
                    <w:rPr>
                      <w:spacing w:val="-2"/>
                      <w:sz w:val="21"/>
                      <w:szCs w:val="21"/>
                    </w:rPr>
                    <w:t>监测点位</w:t>
                  </w:r>
                </w:p>
                <w:p>
                  <w:pPr>
                    <w:pStyle w:val="6"/>
                    <w:spacing w:before="21" w:line="221" w:lineRule="auto"/>
                    <w:ind w:left="116"/>
                    <w:rPr>
                      <w:sz w:val="21"/>
                      <w:szCs w:val="21"/>
                    </w:rPr>
                  </w:pPr>
                  <w:r>
                    <w:rPr>
                      <w:spacing w:val="-2"/>
                      <w:sz w:val="21"/>
                      <w:szCs w:val="21"/>
                    </w:rPr>
                    <w:t>监测项目</w:t>
                  </w:r>
                </w:p>
              </w:tc>
              <w:tc>
                <w:tcPr>
                  <w:tcW w:w="1171" w:type="dxa"/>
                  <w:vMerge w:val="restart"/>
                  <w:tcBorders>
                    <w:bottom w:val="nil"/>
                  </w:tcBorders>
                  <w:vAlign w:val="top"/>
                </w:tcPr>
                <w:p>
                  <w:pPr>
                    <w:pStyle w:val="6"/>
                    <w:spacing w:before="243" w:line="221" w:lineRule="auto"/>
                    <w:ind w:left="383"/>
                    <w:rPr>
                      <w:sz w:val="21"/>
                      <w:szCs w:val="21"/>
                    </w:rPr>
                  </w:pPr>
                  <w:r>
                    <w:rPr>
                      <w:spacing w:val="-2"/>
                      <w:sz w:val="21"/>
                      <w:szCs w:val="21"/>
                    </w:rPr>
                    <w:t>单位</w:t>
                  </w:r>
                </w:p>
              </w:tc>
              <w:tc>
                <w:tcPr>
                  <w:tcW w:w="2375" w:type="dxa"/>
                  <w:vAlign w:val="top"/>
                </w:tcPr>
                <w:p>
                  <w:pPr>
                    <w:pStyle w:val="6"/>
                    <w:spacing w:before="67" w:line="221" w:lineRule="auto"/>
                    <w:ind w:left="221"/>
                    <w:rPr>
                      <w:sz w:val="21"/>
                      <w:szCs w:val="21"/>
                    </w:rPr>
                  </w:pPr>
                  <w:r>
                    <w:rPr>
                      <w:rFonts w:ascii="Times New Roman" w:hAnsi="Times New Roman" w:eastAsia="Times New Roman" w:cs="Times New Roman"/>
                      <w:spacing w:val="-1"/>
                      <w:sz w:val="21"/>
                      <w:szCs w:val="21"/>
                    </w:rPr>
                    <w:t xml:space="preserve">S4 </w:t>
                  </w:r>
                  <w:r>
                    <w:rPr>
                      <w:spacing w:val="-1"/>
                      <w:sz w:val="21"/>
                      <w:szCs w:val="21"/>
                    </w:rPr>
                    <w:t>井口东侧监测结果</w:t>
                  </w:r>
                </w:p>
              </w:tc>
              <w:tc>
                <w:tcPr>
                  <w:tcW w:w="1552" w:type="dxa"/>
                  <w:vMerge w:val="restart"/>
                  <w:tcBorders>
                    <w:bottom w:val="nil"/>
                  </w:tcBorders>
                  <w:vAlign w:val="top"/>
                </w:tcPr>
                <w:p>
                  <w:pPr>
                    <w:pStyle w:val="6"/>
                    <w:spacing w:before="106" w:line="227" w:lineRule="auto"/>
                    <w:ind w:left="310" w:right="305" w:firstLine="157"/>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mg/kg</w:t>
                  </w:r>
                  <w:r>
                    <w:rPr>
                      <w:spacing w:val="-4"/>
                      <w:sz w:val="21"/>
                      <w:szCs w:val="21"/>
                    </w:rPr>
                    <w:t>）</w:t>
                  </w:r>
                </w:p>
              </w:tc>
              <w:tc>
                <w:tcPr>
                  <w:tcW w:w="1130" w:type="dxa"/>
                  <w:vMerge w:val="restart"/>
                  <w:tcBorders>
                    <w:bottom w:val="nil"/>
                  </w:tcBorders>
                  <w:vAlign w:val="top"/>
                </w:tcPr>
                <w:p>
                  <w:pPr>
                    <w:pStyle w:val="6"/>
                    <w:spacing w:before="105" w:line="231" w:lineRule="auto"/>
                    <w:ind w:left="274" w:right="138" w:hanging="120"/>
                    <w:rPr>
                      <w:rFonts w:ascii="Times New Roman" w:hAnsi="Times New Roman" w:eastAsia="Times New Roman" w:cs="Times New Roman"/>
                      <w:sz w:val="21"/>
                      <w:szCs w:val="21"/>
                    </w:rPr>
                  </w:pPr>
                  <w:r>
                    <w:rPr>
                      <w:spacing w:val="-3"/>
                      <w:sz w:val="21"/>
                      <w:szCs w:val="21"/>
                    </w:rPr>
                    <w:t>最大污染</w:t>
                  </w:r>
                  <w:r>
                    <w:rPr>
                      <w:spacing w:val="2"/>
                      <w:sz w:val="21"/>
                      <w:szCs w:val="21"/>
                    </w:rPr>
                    <w:t xml:space="preserve"> </w:t>
                  </w:r>
                  <w:r>
                    <w:rPr>
                      <w:spacing w:val="-3"/>
                      <w:sz w:val="21"/>
                      <w:szCs w:val="21"/>
                    </w:rPr>
                    <w:t>指数</w:t>
                  </w:r>
                  <w:r>
                    <w:rPr>
                      <w:spacing w:val="-47"/>
                      <w:sz w:val="21"/>
                      <w:szCs w:val="21"/>
                    </w:rPr>
                    <w:t xml:space="preserve"> </w:t>
                  </w:r>
                  <w:r>
                    <w:rPr>
                      <w:rFonts w:ascii="Times New Roman" w:hAnsi="Times New Roman" w:eastAsia="Times New Roman" w:cs="Times New Roman"/>
                      <w:spacing w:val="-3"/>
                      <w:sz w:val="21"/>
                      <w:szCs w:val="21"/>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Merge w:val="continue"/>
                  <w:tcBorders>
                    <w:top w:val="nil"/>
                    <w:tl2br w:val="single" w:color="000000" w:sz="2" w:space="0"/>
                  </w:tcBorders>
                  <w:vAlign w:val="top"/>
                </w:tcPr>
                <w:p>
                  <w:pPr>
                    <w:rPr>
                      <w:rFonts w:ascii="Arial"/>
                      <w:sz w:val="21"/>
                    </w:rPr>
                  </w:pPr>
                </w:p>
              </w:tc>
              <w:tc>
                <w:tcPr>
                  <w:tcW w:w="1171" w:type="dxa"/>
                  <w:vMerge w:val="continue"/>
                  <w:tcBorders>
                    <w:top w:val="nil"/>
                  </w:tcBorders>
                  <w:vAlign w:val="top"/>
                </w:tcPr>
                <w:p>
                  <w:pPr>
                    <w:rPr>
                      <w:rFonts w:ascii="Arial"/>
                      <w:sz w:val="21"/>
                    </w:rPr>
                  </w:pPr>
                </w:p>
              </w:tc>
              <w:tc>
                <w:tcPr>
                  <w:tcW w:w="2375" w:type="dxa"/>
                  <w:vAlign w:val="top"/>
                </w:tcPr>
                <w:p>
                  <w:pPr>
                    <w:spacing w:before="104" w:line="187" w:lineRule="auto"/>
                    <w:ind w:left="8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0~0.2m</w:t>
                  </w:r>
                </w:p>
              </w:tc>
              <w:tc>
                <w:tcPr>
                  <w:tcW w:w="1552" w:type="dxa"/>
                  <w:vMerge w:val="continue"/>
                  <w:tcBorders>
                    <w:top w:val="nil"/>
                  </w:tcBorders>
                  <w:vAlign w:val="top"/>
                </w:tcPr>
                <w:p>
                  <w:pPr>
                    <w:rPr>
                      <w:rFonts w:ascii="Arial"/>
                      <w:sz w:val="21"/>
                    </w:rPr>
                  </w:pPr>
                </w:p>
              </w:tc>
              <w:tc>
                <w:tcPr>
                  <w:tcW w:w="113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6" w:line="236" w:lineRule="auto"/>
                    <w:ind w:left="827"/>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1171" w:type="dxa"/>
                  <w:vAlign w:val="top"/>
                </w:tcPr>
                <w:p>
                  <w:pPr>
                    <w:spacing w:before="101" w:line="191"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2375" w:type="dxa"/>
                  <w:vAlign w:val="top"/>
                </w:tcPr>
                <w:p>
                  <w:pPr>
                    <w:spacing w:before="105" w:line="187" w:lineRule="auto"/>
                    <w:ind w:left="10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w:t>
                  </w:r>
                </w:p>
              </w:tc>
              <w:tc>
                <w:tcPr>
                  <w:tcW w:w="1552" w:type="dxa"/>
                  <w:vAlign w:val="top"/>
                </w:tcPr>
                <w:p>
                  <w:pPr>
                    <w:spacing w:before="101" w:line="232"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spacing w:before="101" w:line="232" w:lineRule="auto"/>
                    <w:ind w:left="5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5" w:line="235" w:lineRule="auto"/>
                    <w:ind w:left="832"/>
                    <w:rPr>
                      <w:rFonts w:ascii="Times New Roman" w:hAnsi="Times New Roman" w:eastAsia="Times New Roman" w:cs="Times New Roman"/>
                      <w:sz w:val="21"/>
                      <w:szCs w:val="21"/>
                    </w:rPr>
                  </w:pPr>
                  <w:r>
                    <w:rPr>
                      <w:spacing w:val="-3"/>
                      <w:sz w:val="21"/>
                      <w:szCs w:val="21"/>
                    </w:rPr>
                    <w:t>氯离子</w:t>
                  </w:r>
                  <w:r>
                    <w:rPr>
                      <w:rFonts w:ascii="Times New Roman" w:hAnsi="Times New Roman" w:eastAsia="Times New Roman" w:cs="Times New Roman"/>
                      <w:spacing w:val="-3"/>
                      <w:sz w:val="21"/>
                      <w:szCs w:val="21"/>
                    </w:rPr>
                    <w:t>*</w:t>
                  </w:r>
                </w:p>
              </w:tc>
              <w:tc>
                <w:tcPr>
                  <w:tcW w:w="1171" w:type="dxa"/>
                  <w:vAlign w:val="top"/>
                </w:tcPr>
                <w:p>
                  <w:pPr>
                    <w:spacing w:before="99" w:line="191"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2375" w:type="dxa"/>
                  <w:vAlign w:val="top"/>
                </w:tcPr>
                <w:p>
                  <w:pPr>
                    <w:spacing w:before="103" w:line="187" w:lineRule="auto"/>
                    <w:ind w:left="10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w:t>
                  </w:r>
                </w:p>
              </w:tc>
              <w:tc>
                <w:tcPr>
                  <w:tcW w:w="1552" w:type="dxa"/>
                  <w:vAlign w:val="top"/>
                </w:tcPr>
                <w:p>
                  <w:pPr>
                    <w:spacing w:before="99" w:line="233"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spacing w:before="99" w:line="233" w:lineRule="auto"/>
                    <w:ind w:left="5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5" w:line="234" w:lineRule="auto"/>
                    <w:ind w:left="516"/>
                    <w:rPr>
                      <w:rFonts w:ascii="Times New Roman" w:hAnsi="Times New Roman" w:eastAsia="Times New Roman" w:cs="Times New Roman"/>
                      <w:sz w:val="21"/>
                      <w:szCs w:val="21"/>
                    </w:rPr>
                  </w:pPr>
                  <w:r>
                    <w:rPr>
                      <w:spacing w:val="-2"/>
                      <w:sz w:val="21"/>
                      <w:szCs w:val="21"/>
                    </w:rPr>
                    <w:t>水溶性盐总量</w:t>
                  </w:r>
                  <w:r>
                    <w:rPr>
                      <w:rFonts w:ascii="Times New Roman" w:hAnsi="Times New Roman" w:eastAsia="Times New Roman" w:cs="Times New Roman"/>
                      <w:spacing w:val="-2"/>
                      <w:sz w:val="21"/>
                      <w:szCs w:val="21"/>
                    </w:rPr>
                    <w:t>*</w:t>
                  </w:r>
                </w:p>
              </w:tc>
              <w:tc>
                <w:tcPr>
                  <w:tcW w:w="1171" w:type="dxa"/>
                  <w:vAlign w:val="top"/>
                </w:tcPr>
                <w:p>
                  <w:pPr>
                    <w:spacing w:before="100" w:line="191"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2375" w:type="dxa"/>
                  <w:vAlign w:val="top"/>
                </w:tcPr>
                <w:p>
                  <w:pPr>
                    <w:spacing w:before="103" w:line="187" w:lineRule="auto"/>
                    <w:ind w:left="102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1552" w:type="dxa"/>
                  <w:vAlign w:val="top"/>
                </w:tcPr>
                <w:p>
                  <w:pPr>
                    <w:spacing w:before="100" w:line="233"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spacing w:before="100" w:line="233" w:lineRule="auto"/>
                    <w:ind w:left="5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5" w:line="223" w:lineRule="auto"/>
                    <w:ind w:left="1089"/>
                    <w:rPr>
                      <w:sz w:val="21"/>
                      <w:szCs w:val="21"/>
                    </w:rPr>
                  </w:pPr>
                  <w:r>
                    <w:rPr>
                      <w:sz w:val="21"/>
                      <w:szCs w:val="21"/>
                    </w:rPr>
                    <w:t>钡</w:t>
                  </w:r>
                </w:p>
              </w:tc>
              <w:tc>
                <w:tcPr>
                  <w:tcW w:w="1171" w:type="dxa"/>
                  <w:vAlign w:val="top"/>
                </w:tcPr>
                <w:p>
                  <w:pPr>
                    <w:spacing w:before="100" w:line="191"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g/kg</w:t>
                  </w:r>
                </w:p>
              </w:tc>
              <w:tc>
                <w:tcPr>
                  <w:tcW w:w="2375" w:type="dxa"/>
                  <w:vAlign w:val="top"/>
                </w:tcPr>
                <w:p>
                  <w:pPr>
                    <w:spacing w:before="104" w:line="187" w:lineRule="auto"/>
                    <w:ind w:left="10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w:t>
                  </w:r>
                </w:p>
              </w:tc>
              <w:tc>
                <w:tcPr>
                  <w:tcW w:w="1552" w:type="dxa"/>
                  <w:vAlign w:val="top"/>
                </w:tcPr>
                <w:p>
                  <w:pPr>
                    <w:spacing w:before="104" w:line="187" w:lineRule="auto"/>
                    <w:ind w:left="5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8660</w:t>
                  </w:r>
                </w:p>
              </w:tc>
              <w:tc>
                <w:tcPr>
                  <w:tcW w:w="1130" w:type="dxa"/>
                  <w:vAlign w:val="top"/>
                </w:tcPr>
                <w:p>
                  <w:pPr>
                    <w:spacing w:before="104" w:line="187"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382" w:type="dxa"/>
                  <w:vAlign w:val="top"/>
                </w:tcPr>
                <w:p>
                  <w:pPr>
                    <w:pStyle w:val="6"/>
                    <w:spacing w:before="66" w:line="221" w:lineRule="auto"/>
                    <w:ind w:left="356"/>
                    <w:rPr>
                      <w:sz w:val="21"/>
                      <w:szCs w:val="21"/>
                    </w:rPr>
                  </w:pPr>
                  <w:r>
                    <w:rPr>
                      <w:spacing w:val="1"/>
                      <w:sz w:val="21"/>
                      <w:szCs w:val="21"/>
                    </w:rPr>
                    <w:t>石油烃（</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10</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40</w:t>
                  </w:r>
                  <w:r>
                    <w:rPr>
                      <w:spacing w:val="1"/>
                      <w:sz w:val="21"/>
                      <w:szCs w:val="21"/>
                    </w:rPr>
                    <w:t>）</w:t>
                  </w:r>
                </w:p>
              </w:tc>
              <w:tc>
                <w:tcPr>
                  <w:tcW w:w="1171" w:type="dxa"/>
                  <w:vAlign w:val="top"/>
                </w:tcPr>
                <w:p>
                  <w:pPr>
                    <w:spacing w:before="101" w:line="191"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mg/kg</w:t>
                  </w:r>
                </w:p>
              </w:tc>
              <w:tc>
                <w:tcPr>
                  <w:tcW w:w="2375" w:type="dxa"/>
                  <w:vAlign w:val="top"/>
                </w:tcPr>
                <w:p>
                  <w:pPr>
                    <w:spacing w:before="105" w:line="187" w:lineRule="auto"/>
                    <w:ind w:left="110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52" w:type="dxa"/>
                  <w:vAlign w:val="top"/>
                </w:tcPr>
                <w:p>
                  <w:pPr>
                    <w:spacing w:before="105"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1130" w:type="dxa"/>
                  <w:vAlign w:val="top"/>
                </w:tcPr>
                <w:p>
                  <w:pPr>
                    <w:spacing w:before="105" w:line="187"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spacing w:before="104" w:line="191" w:lineRule="auto"/>
                    <w:ind w:left="1007"/>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3"/>
                      <w:sz w:val="21"/>
                      <w:szCs w:val="21"/>
                    </w:rPr>
                    <w:t>*</w:t>
                  </w:r>
                </w:p>
              </w:tc>
              <w:tc>
                <w:tcPr>
                  <w:tcW w:w="1171" w:type="dxa"/>
                  <w:vAlign w:val="top"/>
                </w:tcPr>
                <w:p>
                  <w:pPr>
                    <w:pStyle w:val="6"/>
                    <w:spacing w:before="69" w:line="221" w:lineRule="auto"/>
                    <w:ind w:left="311"/>
                    <w:rPr>
                      <w:sz w:val="21"/>
                      <w:szCs w:val="21"/>
                    </w:rPr>
                  </w:pPr>
                  <w:r>
                    <w:rPr>
                      <w:spacing w:val="-13"/>
                      <w:sz w:val="21"/>
                      <w:szCs w:val="21"/>
                    </w:rPr>
                    <w:t>无量纲</w:t>
                  </w:r>
                </w:p>
              </w:tc>
              <w:tc>
                <w:tcPr>
                  <w:tcW w:w="2375" w:type="dxa"/>
                  <w:vAlign w:val="top"/>
                </w:tcPr>
                <w:p>
                  <w:pPr>
                    <w:spacing w:before="107" w:line="187" w:lineRule="auto"/>
                    <w:ind w:left="10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7.43</w:t>
                  </w:r>
                </w:p>
              </w:tc>
              <w:tc>
                <w:tcPr>
                  <w:tcW w:w="1552" w:type="dxa"/>
                  <w:vAlign w:val="top"/>
                </w:tcPr>
                <w:p>
                  <w:pPr>
                    <w:spacing w:before="103" w:line="230"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spacing w:before="103" w:line="230" w:lineRule="auto"/>
                    <w:ind w:left="5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10" w:type="dxa"/>
                  <w:gridSpan w:val="5"/>
                  <w:vAlign w:val="top"/>
                </w:tcPr>
                <w:p>
                  <w:pPr>
                    <w:pStyle w:val="6"/>
                    <w:spacing w:before="69" w:line="234" w:lineRule="auto"/>
                    <w:ind w:left="116"/>
                    <w:rPr>
                      <w:sz w:val="21"/>
                      <w:szCs w:val="21"/>
                    </w:rPr>
                  </w:pPr>
                  <w:r>
                    <w:rPr>
                      <w:spacing w:val="-6"/>
                      <w:sz w:val="21"/>
                      <w:szCs w:val="21"/>
                    </w:rPr>
                    <w:t>注：“</w:t>
                  </w:r>
                  <w:r>
                    <w:rPr>
                      <w:rFonts w:ascii="Times New Roman" w:hAnsi="Times New Roman" w:eastAsia="Times New Roman" w:cs="Times New Roman"/>
                      <w:spacing w:val="-6"/>
                      <w:sz w:val="21"/>
                      <w:szCs w:val="21"/>
                    </w:rPr>
                    <w:t>*</w:t>
                  </w:r>
                  <w:r>
                    <w:rPr>
                      <w:spacing w:val="-6"/>
                      <w:sz w:val="21"/>
                      <w:szCs w:val="21"/>
                    </w:rPr>
                    <w:t>”表示无相应标准限值， 仅记录监测数据。</w:t>
                  </w:r>
                </w:p>
              </w:tc>
            </w:tr>
          </w:tbl>
          <w:p>
            <w:pPr>
              <w:pStyle w:val="6"/>
              <w:spacing w:before="177" w:line="220" w:lineRule="auto"/>
              <w:ind w:left="2177"/>
              <w:rPr>
                <w:sz w:val="24"/>
                <w:szCs w:val="24"/>
              </w:rPr>
            </w:pPr>
            <w:r>
              <w:rPr>
                <w:spacing w:val="-1"/>
                <w:sz w:val="24"/>
                <w:szCs w:val="24"/>
                <w14:textOutline w14:w="4354" w14:cap="flat" w14:cmpd="sng">
                  <w14:solidFill>
                    <w14:srgbClr w14:val="000000"/>
                  </w14:solidFill>
                  <w14:prstDash w14:val="solid"/>
                  <w14:miter w14:val="10"/>
                </w14:textOutline>
              </w:rPr>
              <w:t>表</w:t>
            </w:r>
            <w:r>
              <w:rPr>
                <w:spacing w:val="-35"/>
                <w:sz w:val="24"/>
                <w:szCs w:val="24"/>
              </w:rPr>
              <w:t xml:space="preserve"> </w:t>
            </w:r>
            <w:r>
              <w:rPr>
                <w:rFonts w:ascii="Times New Roman" w:hAnsi="Times New Roman" w:eastAsia="Times New Roman" w:cs="Times New Roman"/>
                <w:b/>
                <w:bCs/>
                <w:spacing w:val="-1"/>
                <w:sz w:val="24"/>
                <w:szCs w:val="24"/>
              </w:rPr>
              <w:t xml:space="preserve">3.3-17    </w:t>
            </w:r>
            <w:r>
              <w:rPr>
                <w:spacing w:val="-1"/>
                <w:sz w:val="24"/>
                <w:szCs w:val="24"/>
                <w14:textOutline w14:w="4354" w14:cap="flat" w14:cmpd="sng">
                  <w14:solidFill>
                    <w14:srgbClr w14:val="000000"/>
                  </w14:solidFill>
                  <w14:prstDash w14:val="solid"/>
                  <w14:miter w14:val="10"/>
                </w14:textOutline>
              </w:rPr>
              <w:t>井场外</w:t>
            </w:r>
            <w:r>
              <w:rPr>
                <w:spacing w:val="-48"/>
                <w:sz w:val="24"/>
                <w:szCs w:val="24"/>
              </w:rPr>
              <w:t xml:space="preserve"> </w:t>
            </w:r>
            <w:r>
              <w:rPr>
                <w:rFonts w:ascii="Times New Roman" w:hAnsi="Times New Roman" w:eastAsia="Times New Roman" w:cs="Times New Roman"/>
                <w:b/>
                <w:bCs/>
                <w:spacing w:val="-1"/>
                <w:sz w:val="24"/>
                <w:szCs w:val="24"/>
              </w:rPr>
              <w:t xml:space="preserve">S5 </w:t>
            </w:r>
            <w:r>
              <w:rPr>
                <w:spacing w:val="-1"/>
                <w:sz w:val="24"/>
                <w:szCs w:val="24"/>
                <w14:textOutline w14:w="4354" w14:cap="flat" w14:cmpd="sng">
                  <w14:solidFill>
                    <w14:srgbClr w14:val="000000"/>
                  </w14:solidFill>
                  <w14:prstDash w14:val="solid"/>
                  <w14:miter w14:val="10"/>
                </w14:textOutline>
              </w:rPr>
              <w:t>表层样点土壤监测结果统计表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1842"/>
              <w:gridCol w:w="1701"/>
              <w:gridCol w:w="991"/>
              <w:gridCol w:w="699"/>
              <w:gridCol w:w="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382" w:type="dxa"/>
                  <w:vMerge w:val="restart"/>
                  <w:tcBorders>
                    <w:bottom w:val="nil"/>
                  </w:tcBorders>
                  <w:vAlign w:val="top"/>
                </w:tcPr>
                <w:p>
                  <w:pPr>
                    <w:spacing w:line="275" w:lineRule="auto"/>
                    <w:rPr>
                      <w:rFonts w:ascii="Arial"/>
                      <w:sz w:val="21"/>
                    </w:rPr>
                  </w:pPr>
                </w:p>
                <w:p>
                  <w:pPr>
                    <w:pStyle w:val="6"/>
                    <w:spacing w:before="69" w:line="221" w:lineRule="auto"/>
                    <w:ind w:left="775"/>
                    <w:rPr>
                      <w:sz w:val="21"/>
                      <w:szCs w:val="21"/>
                    </w:rPr>
                  </w:pPr>
                  <w:r>
                    <w:rPr>
                      <w:spacing w:val="-2"/>
                      <w:sz w:val="21"/>
                      <w:szCs w:val="21"/>
                    </w:rPr>
                    <w:t>检测项目</w:t>
                  </w:r>
                </w:p>
              </w:tc>
              <w:tc>
                <w:tcPr>
                  <w:tcW w:w="1842" w:type="dxa"/>
                  <w:vAlign w:val="top"/>
                </w:tcPr>
                <w:p>
                  <w:pPr>
                    <w:pStyle w:val="6"/>
                    <w:spacing w:before="70" w:line="213" w:lineRule="auto"/>
                    <w:jc w:val="right"/>
                    <w:rPr>
                      <w:sz w:val="21"/>
                      <w:szCs w:val="21"/>
                    </w:rPr>
                  </w:pPr>
                  <w:r>
                    <w:rPr>
                      <w:spacing w:val="-8"/>
                      <w:sz w:val="21"/>
                      <w:szCs w:val="21"/>
                    </w:rPr>
                    <w:t>检测结果（</w:t>
                  </w:r>
                  <w:r>
                    <w:rPr>
                      <w:rFonts w:ascii="Times New Roman" w:hAnsi="Times New Roman" w:eastAsia="Times New Roman" w:cs="Times New Roman"/>
                      <w:spacing w:val="-8"/>
                      <w:sz w:val="21"/>
                      <w:szCs w:val="21"/>
                    </w:rPr>
                    <w:t>mg/kg</w:t>
                  </w:r>
                  <w:r>
                    <w:rPr>
                      <w:spacing w:val="-8"/>
                      <w:sz w:val="21"/>
                      <w:szCs w:val="21"/>
                    </w:rPr>
                    <w:t>）</w:t>
                  </w:r>
                </w:p>
              </w:tc>
              <w:tc>
                <w:tcPr>
                  <w:tcW w:w="1701" w:type="dxa"/>
                  <w:vMerge w:val="restart"/>
                  <w:tcBorders>
                    <w:bottom w:val="nil"/>
                  </w:tcBorders>
                  <w:vAlign w:val="top"/>
                </w:tcPr>
                <w:p>
                  <w:pPr>
                    <w:pStyle w:val="6"/>
                    <w:spacing w:before="74" w:line="221" w:lineRule="auto"/>
                    <w:jc w:val="right"/>
                    <w:rPr>
                      <w:sz w:val="21"/>
                      <w:szCs w:val="21"/>
                    </w:rPr>
                  </w:pPr>
                  <w:r>
                    <w:rPr>
                      <w:spacing w:val="-14"/>
                      <w:sz w:val="21"/>
                      <w:szCs w:val="21"/>
                    </w:rPr>
                    <w:t>标准限值（其他）</w:t>
                  </w:r>
                </w:p>
                <w:p>
                  <w:pPr>
                    <w:pStyle w:val="6"/>
                    <w:spacing w:before="20" w:line="214" w:lineRule="auto"/>
                    <w:ind w:left="120"/>
                    <w:rPr>
                      <w:sz w:val="21"/>
                      <w:szCs w:val="21"/>
                    </w:rPr>
                  </w:pPr>
                  <w:r>
                    <w:rPr>
                      <w:spacing w:val="-1"/>
                      <w:sz w:val="21"/>
                      <w:szCs w:val="21"/>
                    </w:rPr>
                    <w:t>（</w:t>
                  </w:r>
                  <w:r>
                    <w:rPr>
                      <w:rFonts w:ascii="Times New Roman" w:hAnsi="Times New Roman" w:eastAsia="Times New Roman" w:cs="Times New Roman"/>
                      <w:spacing w:val="-1"/>
                      <w:sz w:val="21"/>
                      <w:szCs w:val="21"/>
                    </w:rPr>
                    <w:t>6.5</w:t>
                  </w:r>
                  <w:r>
                    <w:rPr>
                      <w:spacing w:val="-1"/>
                      <w:sz w:val="21"/>
                      <w:szCs w:val="21"/>
                    </w:rPr>
                    <w:t>﹤</w:t>
                  </w:r>
                  <w:r>
                    <w:rPr>
                      <w:rFonts w:ascii="Times New Roman" w:hAnsi="Times New Roman" w:eastAsia="Times New Roman" w:cs="Times New Roman"/>
                      <w:spacing w:val="-1"/>
                      <w:sz w:val="21"/>
                      <w:szCs w:val="21"/>
                    </w:rPr>
                    <w:t>pH≤7.5</w:t>
                  </w:r>
                  <w:r>
                    <w:rPr>
                      <w:spacing w:val="-1"/>
                      <w:sz w:val="21"/>
                      <w:szCs w:val="21"/>
                    </w:rPr>
                    <w:t>）</w:t>
                  </w:r>
                </w:p>
                <w:p>
                  <w:pPr>
                    <w:pStyle w:val="6"/>
                    <w:spacing w:before="30" w:line="213" w:lineRule="auto"/>
                    <w:ind w:left="437"/>
                    <w:rPr>
                      <w:sz w:val="21"/>
                      <w:szCs w:val="21"/>
                    </w:rPr>
                  </w:pPr>
                  <w:r>
                    <w:rPr>
                      <w:spacing w:val="-2"/>
                      <w:sz w:val="21"/>
                      <w:szCs w:val="21"/>
                    </w:rPr>
                    <w:t>（</w:t>
                  </w:r>
                  <w:r>
                    <w:rPr>
                      <w:rFonts w:ascii="Times New Roman" w:hAnsi="Times New Roman" w:eastAsia="Times New Roman" w:cs="Times New Roman"/>
                      <w:spacing w:val="-2"/>
                      <w:sz w:val="21"/>
                      <w:szCs w:val="21"/>
                    </w:rPr>
                    <w:t>mg/k</w:t>
                  </w:r>
                  <w:r>
                    <w:rPr>
                      <w:spacing w:val="-2"/>
                      <w:sz w:val="21"/>
                      <w:szCs w:val="21"/>
                    </w:rPr>
                    <w:t>）</w:t>
                  </w:r>
                </w:p>
              </w:tc>
              <w:tc>
                <w:tcPr>
                  <w:tcW w:w="991" w:type="dxa"/>
                  <w:vMerge w:val="restart"/>
                  <w:tcBorders>
                    <w:bottom w:val="nil"/>
                  </w:tcBorders>
                  <w:vAlign w:val="top"/>
                </w:tcPr>
                <w:p>
                  <w:pPr>
                    <w:pStyle w:val="6"/>
                    <w:spacing w:before="208" w:line="231" w:lineRule="auto"/>
                    <w:ind w:left="397" w:right="173" w:hanging="209"/>
                    <w:rPr>
                      <w:sz w:val="21"/>
                      <w:szCs w:val="21"/>
                    </w:rPr>
                  </w:pPr>
                  <w:r>
                    <w:rPr>
                      <w:spacing w:val="-2"/>
                      <w:sz w:val="21"/>
                      <w:szCs w:val="21"/>
                    </w:rPr>
                    <w:t>标准指</w:t>
                  </w:r>
                  <w:r>
                    <w:rPr>
                      <w:sz w:val="21"/>
                      <w:szCs w:val="21"/>
                    </w:rPr>
                    <w:t xml:space="preserve"> 数</w:t>
                  </w:r>
                </w:p>
              </w:tc>
              <w:tc>
                <w:tcPr>
                  <w:tcW w:w="699" w:type="dxa"/>
                  <w:vMerge w:val="restart"/>
                  <w:tcBorders>
                    <w:bottom w:val="nil"/>
                  </w:tcBorders>
                  <w:vAlign w:val="top"/>
                </w:tcPr>
                <w:p>
                  <w:pPr>
                    <w:pStyle w:val="6"/>
                    <w:spacing w:before="208" w:line="238" w:lineRule="auto"/>
                    <w:ind w:left="167" w:right="130" w:hanging="19"/>
                    <w:rPr>
                      <w:rFonts w:ascii="Times New Roman" w:hAnsi="Times New Roman" w:eastAsia="Times New Roman" w:cs="Times New Roman"/>
                      <w:sz w:val="21"/>
                      <w:szCs w:val="21"/>
                    </w:rPr>
                  </w:pPr>
                  <w:r>
                    <w:rPr>
                      <w:spacing w:val="-3"/>
                      <w:sz w:val="21"/>
                      <w:szCs w:val="21"/>
                    </w:rPr>
                    <w:t>超标</w:t>
                  </w:r>
                  <w:r>
                    <w:rPr>
                      <w:sz w:val="21"/>
                      <w:szCs w:val="21"/>
                    </w:rPr>
                    <w:t xml:space="preserve"> </w:t>
                  </w:r>
                  <w:r>
                    <w:rPr>
                      <w:spacing w:val="-4"/>
                      <w:sz w:val="21"/>
                      <w:szCs w:val="21"/>
                    </w:rPr>
                    <w:t>率</w:t>
                  </w:r>
                  <w:r>
                    <w:rPr>
                      <w:rFonts w:ascii="Times New Roman" w:hAnsi="Times New Roman" w:eastAsia="Times New Roman" w:cs="Times New Roman"/>
                      <w:spacing w:val="-4"/>
                      <w:sz w:val="21"/>
                      <w:szCs w:val="21"/>
                    </w:rPr>
                    <w:t>%</w:t>
                  </w:r>
                </w:p>
              </w:tc>
              <w:tc>
                <w:tcPr>
                  <w:tcW w:w="995" w:type="dxa"/>
                  <w:vMerge w:val="restart"/>
                  <w:tcBorders>
                    <w:bottom w:val="nil"/>
                  </w:tcBorders>
                  <w:vAlign w:val="top"/>
                </w:tcPr>
                <w:p>
                  <w:pPr>
                    <w:pStyle w:val="6"/>
                    <w:spacing w:before="208" w:line="231" w:lineRule="auto"/>
                    <w:ind w:left="185" w:right="179" w:firstLine="1"/>
                    <w:rPr>
                      <w:sz w:val="21"/>
                      <w:szCs w:val="21"/>
                    </w:rPr>
                  </w:pPr>
                  <w:r>
                    <w:rPr>
                      <w:spacing w:val="-3"/>
                      <w:sz w:val="21"/>
                      <w:szCs w:val="21"/>
                    </w:rPr>
                    <w:t>最大超</w:t>
                  </w:r>
                  <w:r>
                    <w:rPr>
                      <w:sz w:val="21"/>
                      <w:szCs w:val="21"/>
                    </w:rPr>
                    <w:t xml:space="preserve"> </w:t>
                  </w:r>
                  <w:r>
                    <w:rPr>
                      <w:spacing w:val="-2"/>
                      <w:sz w:val="21"/>
                      <w:szCs w:val="21"/>
                    </w:rPr>
                    <w:t>标倍数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2" w:type="dxa"/>
                  <w:vMerge w:val="continue"/>
                  <w:tcBorders>
                    <w:top w:val="nil"/>
                  </w:tcBorders>
                  <w:vAlign w:val="top"/>
                </w:tcPr>
                <w:p>
                  <w:pPr>
                    <w:rPr>
                      <w:rFonts w:ascii="Arial"/>
                      <w:sz w:val="21"/>
                    </w:rPr>
                  </w:pPr>
                </w:p>
              </w:tc>
              <w:tc>
                <w:tcPr>
                  <w:tcW w:w="1842" w:type="dxa"/>
                  <w:vAlign w:val="top"/>
                </w:tcPr>
                <w:p>
                  <w:pPr>
                    <w:pStyle w:val="6"/>
                    <w:spacing w:before="29" w:line="224" w:lineRule="auto"/>
                    <w:ind w:left="187" w:right="148" w:hanging="21"/>
                    <w:rPr>
                      <w:sz w:val="21"/>
                      <w:szCs w:val="21"/>
                    </w:rPr>
                  </w:pPr>
                  <w:r>
                    <w:rPr>
                      <w:rFonts w:ascii="Times New Roman" w:hAnsi="Times New Roman" w:eastAsia="Times New Roman" w:cs="Times New Roman"/>
                      <w:spacing w:val="-2"/>
                      <w:sz w:val="21"/>
                      <w:szCs w:val="21"/>
                    </w:rPr>
                    <w:t xml:space="preserve">S5 </w:t>
                  </w:r>
                  <w:r>
                    <w:rPr>
                      <w:spacing w:val="-2"/>
                      <w:sz w:val="21"/>
                      <w:szCs w:val="21"/>
                    </w:rPr>
                    <w:t>井场外西南侧</w:t>
                  </w:r>
                  <w:r>
                    <w:rPr>
                      <w:spacing w:val="5"/>
                      <w:sz w:val="21"/>
                      <w:szCs w:val="21"/>
                    </w:rPr>
                    <w:t xml:space="preserve"> </w:t>
                  </w:r>
                  <w:r>
                    <w:rPr>
                      <w:spacing w:val="-1"/>
                      <w:sz w:val="21"/>
                      <w:szCs w:val="21"/>
                    </w:rPr>
                    <w:t>旱地（</w:t>
                  </w:r>
                  <w:r>
                    <w:rPr>
                      <w:rFonts w:ascii="Times New Roman" w:hAnsi="Times New Roman" w:eastAsia="Times New Roman" w:cs="Times New Roman"/>
                      <w:spacing w:val="-1"/>
                      <w:sz w:val="21"/>
                      <w:szCs w:val="21"/>
                    </w:rPr>
                    <w:t>0~0.2m</w:t>
                  </w:r>
                  <w:r>
                    <w:rPr>
                      <w:spacing w:val="-1"/>
                      <w:sz w:val="21"/>
                      <w:szCs w:val="21"/>
                    </w:rPr>
                    <w:t>）</w:t>
                  </w:r>
                </w:p>
              </w:tc>
              <w:tc>
                <w:tcPr>
                  <w:tcW w:w="1701" w:type="dxa"/>
                  <w:vMerge w:val="continue"/>
                  <w:tcBorders>
                    <w:top w:val="nil"/>
                  </w:tcBorders>
                  <w:vAlign w:val="top"/>
                </w:tcPr>
                <w:p>
                  <w:pPr>
                    <w:rPr>
                      <w:rFonts w:ascii="Arial"/>
                      <w:sz w:val="21"/>
                    </w:rPr>
                  </w:pPr>
                </w:p>
              </w:tc>
              <w:tc>
                <w:tcPr>
                  <w:tcW w:w="991" w:type="dxa"/>
                  <w:vMerge w:val="continue"/>
                  <w:tcBorders>
                    <w:top w:val="nil"/>
                  </w:tcBorders>
                  <w:vAlign w:val="top"/>
                </w:tcPr>
                <w:p>
                  <w:pPr>
                    <w:rPr>
                      <w:rFonts w:ascii="Arial"/>
                      <w:sz w:val="21"/>
                    </w:rPr>
                  </w:pPr>
                </w:p>
              </w:tc>
              <w:tc>
                <w:tcPr>
                  <w:tcW w:w="699" w:type="dxa"/>
                  <w:vMerge w:val="continue"/>
                  <w:tcBorders>
                    <w:top w:val="nil"/>
                  </w:tcBorders>
                  <w:vAlign w:val="top"/>
                </w:tcPr>
                <w:p>
                  <w:pPr>
                    <w:rPr>
                      <w:rFonts w:ascii="Arial"/>
                      <w:sz w:val="21"/>
                    </w:rPr>
                  </w:pPr>
                </w:p>
              </w:tc>
              <w:tc>
                <w:tcPr>
                  <w:tcW w:w="99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6" w:line="223" w:lineRule="auto"/>
                    <w:ind w:left="1088"/>
                    <w:rPr>
                      <w:sz w:val="21"/>
                      <w:szCs w:val="21"/>
                    </w:rPr>
                  </w:pPr>
                  <w:r>
                    <w:rPr>
                      <w:sz w:val="21"/>
                      <w:szCs w:val="21"/>
                    </w:rPr>
                    <w:t>镉</w:t>
                  </w:r>
                </w:p>
              </w:tc>
              <w:tc>
                <w:tcPr>
                  <w:tcW w:w="1842" w:type="dxa"/>
                  <w:vAlign w:val="top"/>
                </w:tcPr>
                <w:p>
                  <w:pPr>
                    <w:spacing w:before="104"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w:t>
                  </w:r>
                </w:p>
              </w:tc>
              <w:tc>
                <w:tcPr>
                  <w:tcW w:w="1701" w:type="dxa"/>
                  <w:vAlign w:val="top"/>
                </w:tcPr>
                <w:p>
                  <w:pPr>
                    <w:spacing w:before="104" w:line="18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0.3</w:t>
                  </w:r>
                </w:p>
              </w:tc>
              <w:tc>
                <w:tcPr>
                  <w:tcW w:w="991" w:type="dxa"/>
                  <w:vAlign w:val="top"/>
                </w:tcPr>
                <w:p>
                  <w:pPr>
                    <w:spacing w:before="104"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0.867</w:t>
                  </w:r>
                </w:p>
              </w:tc>
              <w:tc>
                <w:tcPr>
                  <w:tcW w:w="699" w:type="dxa"/>
                  <w:vAlign w:val="top"/>
                </w:tcPr>
                <w:p>
                  <w:pPr>
                    <w:spacing w:before="104"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4"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4" w:line="221" w:lineRule="auto"/>
                    <w:ind w:left="1091"/>
                    <w:rPr>
                      <w:sz w:val="21"/>
                      <w:szCs w:val="21"/>
                    </w:rPr>
                  </w:pPr>
                  <w:r>
                    <w:rPr>
                      <w:sz w:val="21"/>
                      <w:szCs w:val="21"/>
                    </w:rPr>
                    <w:t>汞</w:t>
                  </w:r>
                </w:p>
              </w:tc>
              <w:tc>
                <w:tcPr>
                  <w:tcW w:w="1842" w:type="dxa"/>
                  <w:vAlign w:val="top"/>
                </w:tcPr>
                <w:p>
                  <w:pPr>
                    <w:spacing w:before="102"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0.466</w:t>
                  </w:r>
                </w:p>
              </w:tc>
              <w:tc>
                <w:tcPr>
                  <w:tcW w:w="1701" w:type="dxa"/>
                  <w:vAlign w:val="top"/>
                </w:tcPr>
                <w:p>
                  <w:pPr>
                    <w:spacing w:before="102" w:line="187" w:lineRule="auto"/>
                    <w:ind w:left="7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91" w:type="dxa"/>
                  <w:vAlign w:val="top"/>
                </w:tcPr>
                <w:p>
                  <w:pPr>
                    <w:spacing w:before="102"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0.194</w:t>
                  </w:r>
                </w:p>
              </w:tc>
              <w:tc>
                <w:tcPr>
                  <w:tcW w:w="699" w:type="dxa"/>
                  <w:vAlign w:val="top"/>
                </w:tcPr>
                <w:p>
                  <w:pPr>
                    <w:spacing w:before="102"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2"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4" w:line="221" w:lineRule="auto"/>
                    <w:ind w:left="1089"/>
                    <w:rPr>
                      <w:sz w:val="21"/>
                      <w:szCs w:val="21"/>
                    </w:rPr>
                  </w:pPr>
                  <w:r>
                    <w:rPr>
                      <w:sz w:val="21"/>
                      <w:szCs w:val="21"/>
                    </w:rPr>
                    <w:t>砷</w:t>
                  </w:r>
                </w:p>
              </w:tc>
              <w:tc>
                <w:tcPr>
                  <w:tcW w:w="1842" w:type="dxa"/>
                  <w:vAlign w:val="top"/>
                </w:tcPr>
                <w:p>
                  <w:pPr>
                    <w:spacing w:before="103" w:line="187" w:lineRule="auto"/>
                    <w:ind w:left="7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8.68</w:t>
                  </w:r>
                </w:p>
              </w:tc>
              <w:tc>
                <w:tcPr>
                  <w:tcW w:w="1701" w:type="dxa"/>
                  <w:vAlign w:val="top"/>
                </w:tcPr>
                <w:p>
                  <w:pPr>
                    <w:spacing w:before="103" w:line="187" w:lineRule="auto"/>
                    <w:ind w:left="75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30</w:t>
                  </w:r>
                </w:p>
              </w:tc>
              <w:tc>
                <w:tcPr>
                  <w:tcW w:w="991" w:type="dxa"/>
                  <w:vAlign w:val="top"/>
                </w:tcPr>
                <w:p>
                  <w:pPr>
                    <w:spacing w:before="103"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0.289</w:t>
                  </w:r>
                </w:p>
              </w:tc>
              <w:tc>
                <w:tcPr>
                  <w:tcW w:w="699" w:type="dxa"/>
                  <w:vAlign w:val="top"/>
                </w:tcPr>
                <w:p>
                  <w:pPr>
                    <w:spacing w:before="103"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3"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4" w:line="225" w:lineRule="auto"/>
                    <w:ind w:left="1090"/>
                    <w:rPr>
                      <w:sz w:val="21"/>
                      <w:szCs w:val="21"/>
                    </w:rPr>
                  </w:pPr>
                  <w:r>
                    <w:rPr>
                      <w:sz w:val="21"/>
                      <w:szCs w:val="21"/>
                    </w:rPr>
                    <w:t>铅</w:t>
                  </w:r>
                </w:p>
              </w:tc>
              <w:tc>
                <w:tcPr>
                  <w:tcW w:w="1842" w:type="dxa"/>
                  <w:vAlign w:val="top"/>
                </w:tcPr>
                <w:p>
                  <w:pPr>
                    <w:spacing w:before="103" w:line="187" w:lineRule="auto"/>
                    <w:ind w:left="8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701" w:type="dxa"/>
                  <w:vAlign w:val="top"/>
                </w:tcPr>
                <w:p>
                  <w:pPr>
                    <w:spacing w:before="103"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120</w:t>
                  </w:r>
                </w:p>
              </w:tc>
              <w:tc>
                <w:tcPr>
                  <w:tcW w:w="991" w:type="dxa"/>
                  <w:vAlign w:val="top"/>
                </w:tcPr>
                <w:p>
                  <w:pPr>
                    <w:spacing w:before="103"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0.292</w:t>
                  </w:r>
                </w:p>
              </w:tc>
              <w:tc>
                <w:tcPr>
                  <w:tcW w:w="699" w:type="dxa"/>
                  <w:vAlign w:val="top"/>
                </w:tcPr>
                <w:p>
                  <w:pPr>
                    <w:spacing w:before="103"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3"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382" w:type="dxa"/>
                  <w:vAlign w:val="top"/>
                </w:tcPr>
                <w:p>
                  <w:pPr>
                    <w:pStyle w:val="6"/>
                    <w:spacing w:before="65" w:line="223" w:lineRule="auto"/>
                    <w:ind w:left="1089"/>
                    <w:rPr>
                      <w:sz w:val="21"/>
                      <w:szCs w:val="21"/>
                    </w:rPr>
                  </w:pPr>
                  <w:r>
                    <w:rPr>
                      <w:sz w:val="21"/>
                      <w:szCs w:val="21"/>
                    </w:rPr>
                    <w:t>铬</w:t>
                  </w:r>
                </w:p>
              </w:tc>
              <w:tc>
                <w:tcPr>
                  <w:tcW w:w="1842" w:type="dxa"/>
                  <w:vAlign w:val="top"/>
                </w:tcPr>
                <w:p>
                  <w:pPr>
                    <w:spacing w:before="104" w:line="187" w:lineRule="auto"/>
                    <w:ind w:left="8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701" w:type="dxa"/>
                  <w:vAlign w:val="top"/>
                </w:tcPr>
                <w:p>
                  <w:pPr>
                    <w:spacing w:before="104"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991" w:type="dxa"/>
                  <w:vAlign w:val="top"/>
                </w:tcPr>
                <w:p>
                  <w:pPr>
                    <w:spacing w:before="104"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0.155</w:t>
                  </w:r>
                </w:p>
              </w:tc>
              <w:tc>
                <w:tcPr>
                  <w:tcW w:w="699" w:type="dxa"/>
                  <w:vAlign w:val="top"/>
                </w:tcPr>
                <w:p>
                  <w:pPr>
                    <w:spacing w:before="104"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4"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8" w:line="222" w:lineRule="auto"/>
                    <w:ind w:left="1090"/>
                    <w:rPr>
                      <w:sz w:val="21"/>
                      <w:szCs w:val="21"/>
                    </w:rPr>
                  </w:pPr>
                  <w:r>
                    <w:rPr>
                      <w:sz w:val="21"/>
                      <w:szCs w:val="21"/>
                    </w:rPr>
                    <w:t>铜</w:t>
                  </w:r>
                </w:p>
              </w:tc>
              <w:tc>
                <w:tcPr>
                  <w:tcW w:w="1842" w:type="dxa"/>
                  <w:vAlign w:val="top"/>
                </w:tcPr>
                <w:p>
                  <w:pPr>
                    <w:spacing w:before="106" w:line="187" w:lineRule="auto"/>
                    <w:ind w:left="8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701" w:type="dxa"/>
                  <w:vAlign w:val="top"/>
                </w:tcPr>
                <w:p>
                  <w:pPr>
                    <w:spacing w:before="106"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100</w:t>
                  </w:r>
                </w:p>
              </w:tc>
              <w:tc>
                <w:tcPr>
                  <w:tcW w:w="991" w:type="dxa"/>
                  <w:vAlign w:val="top"/>
                </w:tcPr>
                <w:p>
                  <w:pPr>
                    <w:spacing w:before="106"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0.260</w:t>
                  </w:r>
                </w:p>
              </w:tc>
              <w:tc>
                <w:tcPr>
                  <w:tcW w:w="699" w:type="dxa"/>
                  <w:vAlign w:val="top"/>
                </w:tcPr>
                <w:p>
                  <w:pPr>
                    <w:spacing w:before="106"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6"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8" w:line="221" w:lineRule="auto"/>
                    <w:ind w:left="1089"/>
                    <w:rPr>
                      <w:sz w:val="21"/>
                      <w:szCs w:val="21"/>
                    </w:rPr>
                  </w:pPr>
                  <w:r>
                    <w:rPr>
                      <w:sz w:val="21"/>
                      <w:szCs w:val="21"/>
                    </w:rPr>
                    <w:t>镍</w:t>
                  </w:r>
                </w:p>
              </w:tc>
              <w:tc>
                <w:tcPr>
                  <w:tcW w:w="1842" w:type="dxa"/>
                  <w:vAlign w:val="top"/>
                </w:tcPr>
                <w:p>
                  <w:pPr>
                    <w:spacing w:before="107" w:line="187" w:lineRule="auto"/>
                    <w:ind w:left="8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701" w:type="dxa"/>
                  <w:vAlign w:val="top"/>
                </w:tcPr>
                <w:p>
                  <w:pPr>
                    <w:spacing w:before="107"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100</w:t>
                  </w:r>
                </w:p>
              </w:tc>
              <w:tc>
                <w:tcPr>
                  <w:tcW w:w="991" w:type="dxa"/>
                  <w:vAlign w:val="top"/>
                </w:tcPr>
                <w:p>
                  <w:pPr>
                    <w:spacing w:before="107"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0.400</w:t>
                  </w:r>
                </w:p>
              </w:tc>
              <w:tc>
                <w:tcPr>
                  <w:tcW w:w="699" w:type="dxa"/>
                  <w:vAlign w:val="top"/>
                </w:tcPr>
                <w:p>
                  <w:pPr>
                    <w:spacing w:before="107"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7"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6" w:line="221" w:lineRule="auto"/>
                    <w:ind w:left="1089"/>
                    <w:rPr>
                      <w:sz w:val="21"/>
                      <w:szCs w:val="21"/>
                    </w:rPr>
                  </w:pPr>
                  <w:r>
                    <w:rPr>
                      <w:sz w:val="21"/>
                      <w:szCs w:val="21"/>
                    </w:rPr>
                    <w:t>锌</w:t>
                  </w:r>
                </w:p>
              </w:tc>
              <w:tc>
                <w:tcPr>
                  <w:tcW w:w="1842" w:type="dxa"/>
                  <w:vAlign w:val="top"/>
                </w:tcPr>
                <w:p>
                  <w:pPr>
                    <w:spacing w:before="105" w:line="187" w:lineRule="auto"/>
                    <w:ind w:left="8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1701" w:type="dxa"/>
                  <w:vAlign w:val="top"/>
                </w:tcPr>
                <w:p>
                  <w:pPr>
                    <w:spacing w:before="105"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991" w:type="dxa"/>
                  <w:vAlign w:val="top"/>
                </w:tcPr>
                <w:p>
                  <w:pPr>
                    <w:spacing w:before="105"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0.292</w:t>
                  </w:r>
                </w:p>
              </w:tc>
              <w:tc>
                <w:tcPr>
                  <w:tcW w:w="699" w:type="dxa"/>
                  <w:vAlign w:val="top"/>
                </w:tcPr>
                <w:p>
                  <w:pPr>
                    <w:spacing w:before="105"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6" w:line="236" w:lineRule="auto"/>
                    <w:ind w:left="827"/>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1842" w:type="dxa"/>
                  <w:vAlign w:val="top"/>
                </w:tcPr>
                <w:p>
                  <w:pPr>
                    <w:spacing w:before="105"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0.56</w:t>
                  </w:r>
                </w:p>
              </w:tc>
              <w:tc>
                <w:tcPr>
                  <w:tcW w:w="1701" w:type="dxa"/>
                  <w:vAlign w:val="top"/>
                </w:tcPr>
                <w:p>
                  <w:pPr>
                    <w:spacing w:before="101" w:line="232"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spacing w:before="101" w:line="232" w:lineRule="auto"/>
                    <w:ind w:left="46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9" w:type="dxa"/>
                  <w:vAlign w:val="top"/>
                </w:tcPr>
                <w:p>
                  <w:pPr>
                    <w:spacing w:before="105"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7" w:line="213" w:lineRule="auto"/>
                    <w:ind w:left="436"/>
                    <w:rPr>
                      <w:rFonts w:ascii="Times New Roman" w:hAnsi="Times New Roman" w:eastAsia="Times New Roman" w:cs="Times New Roman"/>
                      <w:sz w:val="21"/>
                      <w:szCs w:val="21"/>
                    </w:rPr>
                  </w:pPr>
                  <w:r>
                    <w:rPr>
                      <w:sz w:val="21"/>
                      <w:szCs w:val="21"/>
                    </w:rPr>
                    <w:t>氯离子（</w:t>
                  </w:r>
                  <w:r>
                    <w:rPr>
                      <w:rFonts w:ascii="Times New Roman" w:hAnsi="Times New Roman" w:eastAsia="Times New Roman" w:cs="Times New Roman"/>
                      <w:sz w:val="21"/>
                      <w:szCs w:val="21"/>
                    </w:rPr>
                    <w:t>g/kg</w:t>
                  </w:r>
                  <w:r>
                    <w:rPr>
                      <w:sz w:val="21"/>
                      <w:szCs w:val="21"/>
                    </w:rPr>
                    <w:t>）</w:t>
                  </w:r>
                  <w:r>
                    <w:rPr>
                      <w:rFonts w:ascii="Times New Roman" w:hAnsi="Times New Roman" w:eastAsia="Times New Roman" w:cs="Times New Roman"/>
                      <w:sz w:val="21"/>
                      <w:szCs w:val="21"/>
                    </w:rPr>
                    <w:t>*</w:t>
                  </w:r>
                </w:p>
              </w:tc>
              <w:tc>
                <w:tcPr>
                  <w:tcW w:w="1842" w:type="dxa"/>
                  <w:vAlign w:val="top"/>
                </w:tcPr>
                <w:p>
                  <w:pPr>
                    <w:spacing w:before="105"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p>
              </w:tc>
              <w:tc>
                <w:tcPr>
                  <w:tcW w:w="1701" w:type="dxa"/>
                  <w:vAlign w:val="top"/>
                </w:tcPr>
                <w:p>
                  <w:pPr>
                    <w:spacing w:before="102" w:line="231"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spacing w:before="102" w:line="231" w:lineRule="auto"/>
                    <w:ind w:left="46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9" w:type="dxa"/>
                  <w:vAlign w:val="top"/>
                </w:tcPr>
                <w:p>
                  <w:pPr>
                    <w:spacing w:before="105"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382" w:type="dxa"/>
                  <w:vAlign w:val="top"/>
                </w:tcPr>
                <w:p>
                  <w:pPr>
                    <w:pStyle w:val="6"/>
                    <w:spacing w:before="68" w:line="213" w:lineRule="auto"/>
                    <w:ind w:left="120"/>
                    <w:rPr>
                      <w:rFonts w:ascii="Times New Roman" w:hAnsi="Times New Roman" w:eastAsia="Times New Roman" w:cs="Times New Roman"/>
                      <w:sz w:val="21"/>
                      <w:szCs w:val="21"/>
                    </w:rPr>
                  </w:pPr>
                  <w:r>
                    <w:rPr>
                      <w:sz w:val="21"/>
                      <w:szCs w:val="21"/>
                    </w:rPr>
                    <w:t>水溶性盐总量（</w:t>
                  </w:r>
                  <w:r>
                    <w:rPr>
                      <w:rFonts w:ascii="Times New Roman" w:hAnsi="Times New Roman" w:eastAsia="Times New Roman" w:cs="Times New Roman"/>
                      <w:sz w:val="21"/>
                      <w:szCs w:val="21"/>
                    </w:rPr>
                    <w:t>g/kg</w:t>
                  </w:r>
                  <w:r>
                    <w:rPr>
                      <w:sz w:val="21"/>
                      <w:szCs w:val="21"/>
                    </w:rPr>
                    <w:t>）</w:t>
                  </w:r>
                  <w:r>
                    <w:rPr>
                      <w:rFonts w:ascii="Times New Roman" w:hAnsi="Times New Roman" w:eastAsia="Times New Roman" w:cs="Times New Roman"/>
                      <w:sz w:val="21"/>
                      <w:szCs w:val="21"/>
                    </w:rPr>
                    <w:t>*</w:t>
                  </w:r>
                </w:p>
              </w:tc>
              <w:tc>
                <w:tcPr>
                  <w:tcW w:w="1842" w:type="dxa"/>
                  <w:vAlign w:val="top"/>
                </w:tcPr>
                <w:p>
                  <w:pPr>
                    <w:spacing w:before="106" w:line="187" w:lineRule="auto"/>
                    <w:ind w:left="7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1.32</w:t>
                  </w:r>
                </w:p>
              </w:tc>
              <w:tc>
                <w:tcPr>
                  <w:tcW w:w="1701" w:type="dxa"/>
                  <w:vAlign w:val="top"/>
                </w:tcPr>
                <w:p>
                  <w:pPr>
                    <w:spacing w:before="102" w:line="229"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spacing w:before="102" w:line="229" w:lineRule="auto"/>
                    <w:ind w:left="46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9" w:type="dxa"/>
                  <w:vAlign w:val="top"/>
                </w:tcPr>
                <w:p>
                  <w:pPr>
                    <w:spacing w:before="106"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6"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70" w:line="213" w:lineRule="auto"/>
                    <w:ind w:left="693"/>
                    <w:rPr>
                      <w:sz w:val="21"/>
                      <w:szCs w:val="21"/>
                    </w:rPr>
                  </w:pPr>
                  <w:r>
                    <w:rPr>
                      <w:spacing w:val="-1"/>
                      <w:sz w:val="21"/>
                      <w:szCs w:val="21"/>
                    </w:rPr>
                    <w:t>钡（</w:t>
                  </w:r>
                  <w:r>
                    <w:rPr>
                      <w:rFonts w:ascii="Times New Roman" w:hAnsi="Times New Roman" w:eastAsia="Times New Roman" w:cs="Times New Roman"/>
                      <w:spacing w:val="-1"/>
                      <w:sz w:val="21"/>
                      <w:szCs w:val="21"/>
                    </w:rPr>
                    <w:t>g/kg</w:t>
                  </w:r>
                  <w:r>
                    <w:rPr>
                      <w:spacing w:val="-1"/>
                      <w:sz w:val="21"/>
                      <w:szCs w:val="21"/>
                    </w:rPr>
                    <w:t>）</w:t>
                  </w:r>
                </w:p>
              </w:tc>
              <w:tc>
                <w:tcPr>
                  <w:tcW w:w="1842" w:type="dxa"/>
                  <w:vAlign w:val="top"/>
                </w:tcPr>
                <w:p>
                  <w:pPr>
                    <w:spacing w:before="108"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w:t>
                  </w:r>
                </w:p>
              </w:tc>
              <w:tc>
                <w:tcPr>
                  <w:tcW w:w="1701" w:type="dxa"/>
                  <w:vAlign w:val="top"/>
                </w:tcPr>
                <w:p>
                  <w:pPr>
                    <w:spacing w:before="108"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8660</w:t>
                  </w:r>
                </w:p>
              </w:tc>
              <w:tc>
                <w:tcPr>
                  <w:tcW w:w="991" w:type="dxa"/>
                  <w:vAlign w:val="top"/>
                </w:tcPr>
                <w:p>
                  <w:pPr>
                    <w:spacing w:before="108"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0.052</w:t>
                  </w:r>
                </w:p>
              </w:tc>
              <w:tc>
                <w:tcPr>
                  <w:tcW w:w="699" w:type="dxa"/>
                  <w:vAlign w:val="top"/>
                </w:tcPr>
                <w:p>
                  <w:pPr>
                    <w:spacing w:before="108"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8"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70" w:line="221" w:lineRule="auto"/>
                    <w:ind w:left="287"/>
                    <w:rPr>
                      <w:sz w:val="21"/>
                      <w:szCs w:val="21"/>
                    </w:rPr>
                  </w:pPr>
                  <w:r>
                    <w:rPr>
                      <w:spacing w:val="-1"/>
                      <w:sz w:val="21"/>
                      <w:szCs w:val="21"/>
                    </w:rPr>
                    <w:t>石油烃（</w:t>
                  </w:r>
                  <w:r>
                    <w:rPr>
                      <w:rFonts w:ascii="Times New Roman" w:hAnsi="Times New Roman" w:eastAsia="Times New Roman" w:cs="Times New Roman"/>
                      <w:spacing w:val="-1"/>
                      <w:sz w:val="21"/>
                      <w:szCs w:val="21"/>
                    </w:rPr>
                    <w:t>C10-C40</w:t>
                  </w:r>
                  <w:r>
                    <w:rPr>
                      <w:spacing w:val="-1"/>
                      <w:sz w:val="21"/>
                      <w:szCs w:val="21"/>
                    </w:rPr>
                    <w:t>）</w:t>
                  </w:r>
                </w:p>
              </w:tc>
              <w:tc>
                <w:tcPr>
                  <w:tcW w:w="1842" w:type="dxa"/>
                  <w:vAlign w:val="top"/>
                </w:tcPr>
                <w:p>
                  <w:pPr>
                    <w:spacing w:before="109" w:line="187" w:lineRule="auto"/>
                    <w:ind w:left="8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701" w:type="dxa"/>
                  <w:vAlign w:val="top"/>
                </w:tcPr>
                <w:p>
                  <w:pPr>
                    <w:spacing w:before="109" w:line="187" w:lineRule="auto"/>
                    <w:ind w:left="6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991" w:type="dxa"/>
                  <w:vAlign w:val="top"/>
                </w:tcPr>
                <w:p>
                  <w:pPr>
                    <w:spacing w:before="109"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699" w:type="dxa"/>
                  <w:vAlign w:val="top"/>
                </w:tcPr>
                <w:p>
                  <w:pPr>
                    <w:spacing w:before="109"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9"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8" w:line="214" w:lineRule="auto"/>
                    <w:ind w:left="481"/>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spacing w:val="2"/>
                      <w:sz w:val="21"/>
                      <w:szCs w:val="21"/>
                    </w:rPr>
                    <w:t>（无量纲）</w:t>
                  </w:r>
                  <w:r>
                    <w:rPr>
                      <w:rFonts w:ascii="Times New Roman" w:hAnsi="Times New Roman" w:eastAsia="Times New Roman" w:cs="Times New Roman"/>
                      <w:spacing w:val="2"/>
                      <w:sz w:val="21"/>
                      <w:szCs w:val="21"/>
                    </w:rPr>
                    <w:t>*</w:t>
                  </w:r>
                </w:p>
              </w:tc>
              <w:tc>
                <w:tcPr>
                  <w:tcW w:w="1842" w:type="dxa"/>
                  <w:vAlign w:val="top"/>
                </w:tcPr>
                <w:p>
                  <w:pPr>
                    <w:spacing w:before="107"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7.18</w:t>
                  </w:r>
                </w:p>
              </w:tc>
              <w:tc>
                <w:tcPr>
                  <w:tcW w:w="1701" w:type="dxa"/>
                  <w:vAlign w:val="top"/>
                </w:tcPr>
                <w:p>
                  <w:pPr>
                    <w:spacing w:before="103" w:line="230"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spacing w:before="103" w:line="230" w:lineRule="auto"/>
                    <w:ind w:left="46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9" w:type="dxa"/>
                  <w:vAlign w:val="top"/>
                </w:tcPr>
                <w:p>
                  <w:pPr>
                    <w:spacing w:before="107" w:line="187" w:lineRule="auto"/>
                    <w:ind w:left="30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7"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610" w:type="dxa"/>
                  <w:gridSpan w:val="6"/>
                  <w:vAlign w:val="top"/>
                </w:tcPr>
                <w:p>
                  <w:pPr>
                    <w:pStyle w:val="6"/>
                    <w:spacing w:before="69" w:line="234" w:lineRule="auto"/>
                    <w:ind w:left="116"/>
                    <w:rPr>
                      <w:sz w:val="21"/>
                      <w:szCs w:val="21"/>
                    </w:rPr>
                  </w:pPr>
                  <w:r>
                    <w:rPr>
                      <w:spacing w:val="-6"/>
                      <w:sz w:val="21"/>
                      <w:szCs w:val="21"/>
                    </w:rPr>
                    <w:t>注：“</w:t>
                  </w:r>
                  <w:r>
                    <w:rPr>
                      <w:rFonts w:ascii="Times New Roman" w:hAnsi="Times New Roman" w:eastAsia="Times New Roman" w:cs="Times New Roman"/>
                      <w:spacing w:val="-6"/>
                      <w:sz w:val="21"/>
                      <w:szCs w:val="21"/>
                    </w:rPr>
                    <w:t>*</w:t>
                  </w:r>
                  <w:r>
                    <w:rPr>
                      <w:spacing w:val="-6"/>
                      <w:sz w:val="21"/>
                      <w:szCs w:val="21"/>
                    </w:rPr>
                    <w:t>”表示无相应标准限值， 仅记录监测数据。</w:t>
                  </w:r>
                </w:p>
              </w:tc>
            </w:tr>
          </w:tbl>
          <w:p>
            <w:pPr>
              <w:pStyle w:val="6"/>
              <w:spacing w:before="178" w:line="220" w:lineRule="auto"/>
              <w:ind w:left="2177"/>
              <w:rPr>
                <w:sz w:val="24"/>
                <w:szCs w:val="24"/>
              </w:rPr>
            </w:pPr>
            <w:r>
              <w:rPr>
                <w:spacing w:val="-1"/>
                <w:sz w:val="24"/>
                <w:szCs w:val="24"/>
                <w14:textOutline w14:w="4354" w14:cap="flat" w14:cmpd="sng">
                  <w14:solidFill>
                    <w14:srgbClr w14:val="000000"/>
                  </w14:solidFill>
                  <w14:prstDash w14:val="solid"/>
                  <w14:miter w14:val="10"/>
                </w14:textOutline>
              </w:rPr>
              <w:t>表</w:t>
            </w:r>
            <w:r>
              <w:rPr>
                <w:spacing w:val="-35"/>
                <w:sz w:val="24"/>
                <w:szCs w:val="24"/>
              </w:rPr>
              <w:t xml:space="preserve"> </w:t>
            </w:r>
            <w:r>
              <w:rPr>
                <w:rFonts w:ascii="Times New Roman" w:hAnsi="Times New Roman" w:eastAsia="Times New Roman" w:cs="Times New Roman"/>
                <w:b/>
                <w:bCs/>
                <w:spacing w:val="-1"/>
                <w:sz w:val="24"/>
                <w:szCs w:val="24"/>
              </w:rPr>
              <w:t xml:space="preserve">3.3-18    </w:t>
            </w:r>
            <w:r>
              <w:rPr>
                <w:spacing w:val="-1"/>
                <w:sz w:val="24"/>
                <w:szCs w:val="24"/>
                <w14:textOutline w14:w="4354" w14:cap="flat" w14:cmpd="sng">
                  <w14:solidFill>
                    <w14:srgbClr w14:val="000000"/>
                  </w14:solidFill>
                  <w14:prstDash w14:val="solid"/>
                  <w14:miter w14:val="10"/>
                </w14:textOutline>
              </w:rPr>
              <w:t>井场外</w:t>
            </w:r>
            <w:r>
              <w:rPr>
                <w:spacing w:val="-48"/>
                <w:sz w:val="24"/>
                <w:szCs w:val="24"/>
              </w:rPr>
              <w:t xml:space="preserve"> </w:t>
            </w:r>
            <w:r>
              <w:rPr>
                <w:rFonts w:ascii="Times New Roman" w:hAnsi="Times New Roman" w:eastAsia="Times New Roman" w:cs="Times New Roman"/>
                <w:b/>
                <w:bCs/>
                <w:spacing w:val="-1"/>
                <w:sz w:val="24"/>
                <w:szCs w:val="24"/>
              </w:rPr>
              <w:t xml:space="preserve">S6 </w:t>
            </w:r>
            <w:r>
              <w:rPr>
                <w:spacing w:val="-1"/>
                <w:sz w:val="24"/>
                <w:szCs w:val="24"/>
                <w14:textOutline w14:w="4354" w14:cap="flat" w14:cmpd="sng">
                  <w14:solidFill>
                    <w14:srgbClr w14:val="000000"/>
                  </w14:solidFill>
                  <w14:prstDash w14:val="solid"/>
                  <w14:miter w14:val="10"/>
                </w14:textOutline>
              </w:rPr>
              <w:t>表层样点土壤监测结果统计表</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1842"/>
              <w:gridCol w:w="1701"/>
              <w:gridCol w:w="852"/>
              <w:gridCol w:w="838"/>
              <w:gridCol w:w="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382" w:type="dxa"/>
                  <w:vMerge w:val="restart"/>
                  <w:tcBorders>
                    <w:bottom w:val="nil"/>
                  </w:tcBorders>
                  <w:vAlign w:val="top"/>
                </w:tcPr>
                <w:p>
                  <w:pPr>
                    <w:spacing w:line="275" w:lineRule="auto"/>
                    <w:rPr>
                      <w:rFonts w:ascii="Arial"/>
                      <w:sz w:val="21"/>
                    </w:rPr>
                  </w:pPr>
                </w:p>
                <w:p>
                  <w:pPr>
                    <w:pStyle w:val="6"/>
                    <w:spacing w:before="69" w:line="221" w:lineRule="auto"/>
                    <w:ind w:left="775"/>
                    <w:rPr>
                      <w:sz w:val="21"/>
                      <w:szCs w:val="21"/>
                    </w:rPr>
                  </w:pPr>
                  <w:r>
                    <w:rPr>
                      <w:spacing w:val="-2"/>
                      <w:sz w:val="21"/>
                      <w:szCs w:val="21"/>
                    </w:rPr>
                    <w:t>检测项目</w:t>
                  </w:r>
                </w:p>
              </w:tc>
              <w:tc>
                <w:tcPr>
                  <w:tcW w:w="1842" w:type="dxa"/>
                  <w:vAlign w:val="top"/>
                </w:tcPr>
                <w:p>
                  <w:pPr>
                    <w:pStyle w:val="6"/>
                    <w:spacing w:before="68" w:line="213" w:lineRule="auto"/>
                    <w:jc w:val="right"/>
                    <w:rPr>
                      <w:sz w:val="21"/>
                      <w:szCs w:val="21"/>
                    </w:rPr>
                  </w:pPr>
                  <w:r>
                    <w:rPr>
                      <w:spacing w:val="-8"/>
                      <w:sz w:val="21"/>
                      <w:szCs w:val="21"/>
                    </w:rPr>
                    <w:t>检测结果（</w:t>
                  </w:r>
                  <w:r>
                    <w:rPr>
                      <w:rFonts w:ascii="Times New Roman" w:hAnsi="Times New Roman" w:eastAsia="Times New Roman" w:cs="Times New Roman"/>
                      <w:spacing w:val="-8"/>
                      <w:sz w:val="21"/>
                      <w:szCs w:val="21"/>
                    </w:rPr>
                    <w:t>mg/kg</w:t>
                  </w:r>
                  <w:r>
                    <w:rPr>
                      <w:spacing w:val="-8"/>
                      <w:sz w:val="21"/>
                      <w:szCs w:val="21"/>
                    </w:rPr>
                    <w:t>）</w:t>
                  </w:r>
                </w:p>
              </w:tc>
              <w:tc>
                <w:tcPr>
                  <w:tcW w:w="1701" w:type="dxa"/>
                  <w:vMerge w:val="restart"/>
                  <w:tcBorders>
                    <w:bottom w:val="nil"/>
                  </w:tcBorders>
                  <w:vAlign w:val="top"/>
                </w:tcPr>
                <w:p>
                  <w:pPr>
                    <w:pStyle w:val="6"/>
                    <w:spacing w:before="72" w:line="221" w:lineRule="auto"/>
                    <w:ind w:right="8"/>
                    <w:jc w:val="right"/>
                    <w:rPr>
                      <w:sz w:val="21"/>
                      <w:szCs w:val="21"/>
                    </w:rPr>
                  </w:pPr>
                  <w:r>
                    <w:rPr>
                      <w:spacing w:val="-14"/>
                      <w:sz w:val="21"/>
                      <w:szCs w:val="21"/>
                    </w:rPr>
                    <w:t>标准限值（其他）</w:t>
                  </w:r>
                </w:p>
                <w:p>
                  <w:pPr>
                    <w:pStyle w:val="6"/>
                    <w:spacing w:before="22" w:line="214" w:lineRule="auto"/>
                    <w:ind w:left="120"/>
                    <w:rPr>
                      <w:sz w:val="21"/>
                      <w:szCs w:val="21"/>
                    </w:rPr>
                  </w:pPr>
                  <w:r>
                    <w:rPr>
                      <w:spacing w:val="-1"/>
                      <w:sz w:val="21"/>
                      <w:szCs w:val="21"/>
                    </w:rPr>
                    <w:t>（</w:t>
                  </w:r>
                  <w:r>
                    <w:rPr>
                      <w:rFonts w:ascii="Times New Roman" w:hAnsi="Times New Roman" w:eastAsia="Times New Roman" w:cs="Times New Roman"/>
                      <w:spacing w:val="-1"/>
                      <w:sz w:val="21"/>
                      <w:szCs w:val="21"/>
                    </w:rPr>
                    <w:t>6.5</w:t>
                  </w:r>
                  <w:r>
                    <w:rPr>
                      <w:spacing w:val="-1"/>
                      <w:sz w:val="21"/>
                      <w:szCs w:val="21"/>
                    </w:rPr>
                    <w:t>﹤</w:t>
                  </w:r>
                  <w:r>
                    <w:rPr>
                      <w:rFonts w:ascii="Times New Roman" w:hAnsi="Times New Roman" w:eastAsia="Times New Roman" w:cs="Times New Roman"/>
                      <w:spacing w:val="-1"/>
                      <w:sz w:val="21"/>
                      <w:szCs w:val="21"/>
                    </w:rPr>
                    <w:t>pH≤7.5</w:t>
                  </w:r>
                  <w:r>
                    <w:rPr>
                      <w:spacing w:val="-1"/>
                      <w:sz w:val="21"/>
                      <w:szCs w:val="21"/>
                    </w:rPr>
                    <w:t>）</w:t>
                  </w:r>
                </w:p>
                <w:p>
                  <w:pPr>
                    <w:pStyle w:val="6"/>
                    <w:spacing w:before="28" w:line="213" w:lineRule="auto"/>
                    <w:ind w:left="437"/>
                    <w:rPr>
                      <w:sz w:val="21"/>
                      <w:szCs w:val="21"/>
                    </w:rPr>
                  </w:pPr>
                  <w:r>
                    <w:rPr>
                      <w:spacing w:val="-2"/>
                      <w:sz w:val="21"/>
                      <w:szCs w:val="21"/>
                    </w:rPr>
                    <w:t>（</w:t>
                  </w:r>
                  <w:r>
                    <w:rPr>
                      <w:rFonts w:ascii="Times New Roman" w:hAnsi="Times New Roman" w:eastAsia="Times New Roman" w:cs="Times New Roman"/>
                      <w:spacing w:val="-2"/>
                      <w:sz w:val="21"/>
                      <w:szCs w:val="21"/>
                    </w:rPr>
                    <w:t>mg/k</w:t>
                  </w:r>
                  <w:r>
                    <w:rPr>
                      <w:spacing w:val="-2"/>
                      <w:sz w:val="21"/>
                      <w:szCs w:val="21"/>
                    </w:rPr>
                    <w:t>）</w:t>
                  </w:r>
                </w:p>
              </w:tc>
              <w:tc>
                <w:tcPr>
                  <w:tcW w:w="852" w:type="dxa"/>
                  <w:vMerge w:val="restart"/>
                  <w:tcBorders>
                    <w:bottom w:val="nil"/>
                  </w:tcBorders>
                  <w:vAlign w:val="top"/>
                </w:tcPr>
                <w:p>
                  <w:pPr>
                    <w:pStyle w:val="6"/>
                    <w:spacing w:before="208" w:line="231" w:lineRule="auto"/>
                    <w:ind w:left="327" w:right="104" w:hanging="209"/>
                    <w:rPr>
                      <w:sz w:val="21"/>
                      <w:szCs w:val="21"/>
                    </w:rPr>
                  </w:pPr>
                  <w:r>
                    <w:rPr>
                      <w:spacing w:val="-2"/>
                      <w:sz w:val="21"/>
                      <w:szCs w:val="21"/>
                    </w:rPr>
                    <w:t>标准指</w:t>
                  </w:r>
                  <w:r>
                    <w:rPr>
                      <w:sz w:val="21"/>
                      <w:szCs w:val="21"/>
                    </w:rPr>
                    <w:t xml:space="preserve"> 数</w:t>
                  </w:r>
                </w:p>
              </w:tc>
              <w:tc>
                <w:tcPr>
                  <w:tcW w:w="838" w:type="dxa"/>
                  <w:vMerge w:val="restart"/>
                  <w:tcBorders>
                    <w:bottom w:val="nil"/>
                  </w:tcBorders>
                  <w:vAlign w:val="top"/>
                </w:tcPr>
                <w:p>
                  <w:pPr>
                    <w:pStyle w:val="6"/>
                    <w:spacing w:before="209" w:line="241" w:lineRule="auto"/>
                    <w:ind w:left="215"/>
                    <w:rPr>
                      <w:sz w:val="21"/>
                      <w:szCs w:val="21"/>
                    </w:rPr>
                  </w:pPr>
                  <w:r>
                    <w:rPr>
                      <w:spacing w:val="-2"/>
                      <w:sz w:val="21"/>
                      <w:szCs w:val="21"/>
                    </w:rPr>
                    <w:t>超标</w:t>
                  </w:r>
                </w:p>
                <w:p>
                  <w:pPr>
                    <w:pStyle w:val="6"/>
                    <w:spacing w:line="234" w:lineRule="auto"/>
                    <w:ind w:left="236"/>
                    <w:rPr>
                      <w:rFonts w:ascii="Times New Roman" w:hAnsi="Times New Roman" w:eastAsia="Times New Roman" w:cs="Times New Roman"/>
                      <w:sz w:val="21"/>
                      <w:szCs w:val="21"/>
                    </w:rPr>
                  </w:pPr>
                  <w:r>
                    <w:rPr>
                      <w:spacing w:val="-4"/>
                      <w:sz w:val="21"/>
                      <w:szCs w:val="21"/>
                    </w:rPr>
                    <w:t>率</w:t>
                  </w:r>
                  <w:r>
                    <w:rPr>
                      <w:rFonts w:ascii="Times New Roman" w:hAnsi="Times New Roman" w:eastAsia="Times New Roman" w:cs="Times New Roman"/>
                      <w:spacing w:val="-4"/>
                      <w:sz w:val="21"/>
                      <w:szCs w:val="21"/>
                    </w:rPr>
                    <w:t>%</w:t>
                  </w:r>
                </w:p>
              </w:tc>
              <w:tc>
                <w:tcPr>
                  <w:tcW w:w="995" w:type="dxa"/>
                  <w:vMerge w:val="restart"/>
                  <w:tcBorders>
                    <w:bottom w:val="nil"/>
                  </w:tcBorders>
                  <w:vAlign w:val="top"/>
                </w:tcPr>
                <w:p>
                  <w:pPr>
                    <w:pStyle w:val="6"/>
                    <w:spacing w:before="208" w:line="231" w:lineRule="auto"/>
                    <w:ind w:left="185" w:right="179" w:firstLine="1"/>
                    <w:rPr>
                      <w:sz w:val="21"/>
                      <w:szCs w:val="21"/>
                    </w:rPr>
                  </w:pPr>
                  <w:r>
                    <w:rPr>
                      <w:spacing w:val="-3"/>
                      <w:sz w:val="21"/>
                      <w:szCs w:val="21"/>
                    </w:rPr>
                    <w:t>最大超</w:t>
                  </w:r>
                  <w:r>
                    <w:rPr>
                      <w:sz w:val="21"/>
                      <w:szCs w:val="21"/>
                    </w:rPr>
                    <w:t xml:space="preserve"> </w:t>
                  </w:r>
                  <w:r>
                    <w:rPr>
                      <w:spacing w:val="-2"/>
                      <w:sz w:val="21"/>
                      <w:szCs w:val="21"/>
                    </w:rPr>
                    <w:t>标倍数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2" w:type="dxa"/>
                  <w:vMerge w:val="continue"/>
                  <w:tcBorders>
                    <w:top w:val="nil"/>
                  </w:tcBorders>
                  <w:vAlign w:val="top"/>
                </w:tcPr>
                <w:p>
                  <w:pPr>
                    <w:rPr>
                      <w:rFonts w:ascii="Arial"/>
                      <w:sz w:val="21"/>
                    </w:rPr>
                  </w:pPr>
                </w:p>
              </w:tc>
              <w:tc>
                <w:tcPr>
                  <w:tcW w:w="1842" w:type="dxa"/>
                  <w:vAlign w:val="top"/>
                </w:tcPr>
                <w:p>
                  <w:pPr>
                    <w:pStyle w:val="6"/>
                    <w:spacing w:before="29" w:line="224" w:lineRule="auto"/>
                    <w:ind w:left="187" w:right="148" w:hanging="21"/>
                    <w:rPr>
                      <w:sz w:val="21"/>
                      <w:szCs w:val="21"/>
                    </w:rPr>
                  </w:pPr>
                  <w:r>
                    <w:rPr>
                      <w:rFonts w:ascii="Times New Roman" w:hAnsi="Times New Roman" w:eastAsia="Times New Roman" w:cs="Times New Roman"/>
                      <w:spacing w:val="-2"/>
                      <w:sz w:val="21"/>
                      <w:szCs w:val="21"/>
                    </w:rPr>
                    <w:t xml:space="preserve">S6 </w:t>
                  </w:r>
                  <w:r>
                    <w:rPr>
                      <w:spacing w:val="-2"/>
                      <w:sz w:val="21"/>
                      <w:szCs w:val="21"/>
                    </w:rPr>
                    <w:t>井场外东北侧</w:t>
                  </w:r>
                  <w:r>
                    <w:rPr>
                      <w:spacing w:val="5"/>
                      <w:sz w:val="21"/>
                      <w:szCs w:val="21"/>
                    </w:rPr>
                    <w:t xml:space="preserve"> </w:t>
                  </w:r>
                  <w:r>
                    <w:rPr>
                      <w:spacing w:val="-1"/>
                      <w:sz w:val="21"/>
                      <w:szCs w:val="21"/>
                    </w:rPr>
                    <w:t>水田（</w:t>
                  </w:r>
                  <w:r>
                    <w:rPr>
                      <w:rFonts w:ascii="Times New Roman" w:hAnsi="Times New Roman" w:eastAsia="Times New Roman" w:cs="Times New Roman"/>
                      <w:spacing w:val="-1"/>
                      <w:sz w:val="21"/>
                      <w:szCs w:val="21"/>
                    </w:rPr>
                    <w:t>0~0.2m</w:t>
                  </w:r>
                  <w:r>
                    <w:rPr>
                      <w:spacing w:val="-1"/>
                      <w:sz w:val="21"/>
                      <w:szCs w:val="21"/>
                    </w:rPr>
                    <w:t>）</w:t>
                  </w:r>
                </w:p>
              </w:tc>
              <w:tc>
                <w:tcPr>
                  <w:tcW w:w="1701"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838" w:type="dxa"/>
                  <w:vMerge w:val="continue"/>
                  <w:tcBorders>
                    <w:top w:val="nil"/>
                  </w:tcBorders>
                  <w:vAlign w:val="top"/>
                </w:tcPr>
                <w:p>
                  <w:pPr>
                    <w:rPr>
                      <w:rFonts w:ascii="Arial"/>
                      <w:sz w:val="21"/>
                    </w:rPr>
                  </w:pPr>
                </w:p>
              </w:tc>
              <w:tc>
                <w:tcPr>
                  <w:tcW w:w="99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4" w:line="223" w:lineRule="auto"/>
                    <w:ind w:left="1088"/>
                    <w:rPr>
                      <w:sz w:val="21"/>
                      <w:szCs w:val="21"/>
                    </w:rPr>
                  </w:pPr>
                  <w:r>
                    <w:rPr>
                      <w:sz w:val="21"/>
                      <w:szCs w:val="21"/>
                    </w:rPr>
                    <w:t>镉</w:t>
                  </w:r>
                </w:p>
              </w:tc>
              <w:tc>
                <w:tcPr>
                  <w:tcW w:w="1842" w:type="dxa"/>
                  <w:vAlign w:val="top"/>
                </w:tcPr>
                <w:p>
                  <w:pPr>
                    <w:spacing w:before="102"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w:t>
                  </w:r>
                </w:p>
              </w:tc>
              <w:tc>
                <w:tcPr>
                  <w:tcW w:w="1701" w:type="dxa"/>
                  <w:vAlign w:val="top"/>
                </w:tcPr>
                <w:p>
                  <w:pPr>
                    <w:spacing w:before="102" w:line="18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852" w:type="dxa"/>
                  <w:vAlign w:val="top"/>
                </w:tcPr>
                <w:p>
                  <w:pPr>
                    <w:spacing w:before="10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0.333</w:t>
                  </w:r>
                </w:p>
              </w:tc>
              <w:tc>
                <w:tcPr>
                  <w:tcW w:w="838" w:type="dxa"/>
                  <w:vAlign w:val="top"/>
                </w:tcPr>
                <w:p>
                  <w:pPr>
                    <w:spacing w:before="102"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2"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382" w:type="dxa"/>
                  <w:tcBorders>
                    <w:bottom w:val="nil"/>
                  </w:tcBorders>
                  <w:vAlign w:val="top"/>
                </w:tcPr>
                <w:p>
                  <w:pPr>
                    <w:pStyle w:val="6"/>
                    <w:spacing w:before="64" w:line="221" w:lineRule="auto"/>
                    <w:ind w:left="1091"/>
                    <w:rPr>
                      <w:sz w:val="21"/>
                      <w:szCs w:val="21"/>
                    </w:rPr>
                  </w:pPr>
                  <w:r>
                    <w:rPr>
                      <w:sz w:val="21"/>
                      <w:szCs w:val="21"/>
                    </w:rPr>
                    <w:t>汞</w:t>
                  </w:r>
                </w:p>
              </w:tc>
              <w:tc>
                <w:tcPr>
                  <w:tcW w:w="1842" w:type="dxa"/>
                  <w:tcBorders>
                    <w:bottom w:val="nil"/>
                  </w:tcBorders>
                  <w:vAlign w:val="top"/>
                </w:tcPr>
                <w:p>
                  <w:pPr>
                    <w:spacing w:before="102"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0.475</w:t>
                  </w:r>
                </w:p>
              </w:tc>
              <w:tc>
                <w:tcPr>
                  <w:tcW w:w="1701" w:type="dxa"/>
                  <w:tcBorders>
                    <w:bottom w:val="nil"/>
                  </w:tcBorders>
                  <w:vAlign w:val="top"/>
                </w:tcPr>
                <w:p>
                  <w:pPr>
                    <w:spacing w:before="102" w:line="187" w:lineRule="auto"/>
                    <w:ind w:left="7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852" w:type="dxa"/>
                  <w:tcBorders>
                    <w:bottom w:val="nil"/>
                  </w:tcBorders>
                  <w:vAlign w:val="top"/>
                </w:tcPr>
                <w:p>
                  <w:pPr>
                    <w:spacing w:before="10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0.198</w:t>
                  </w:r>
                </w:p>
              </w:tc>
              <w:tc>
                <w:tcPr>
                  <w:tcW w:w="838" w:type="dxa"/>
                  <w:tcBorders>
                    <w:bottom w:val="nil"/>
                  </w:tcBorders>
                  <w:vAlign w:val="top"/>
                </w:tcPr>
                <w:p>
                  <w:pPr>
                    <w:spacing w:before="102"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tcBorders>
                    <w:bottom w:val="nil"/>
                  </w:tcBorders>
                  <w:vAlign w:val="top"/>
                </w:tcPr>
                <w:p>
                  <w:pPr>
                    <w:spacing w:before="102"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84" w:lineRule="auto"/>
              <w:rPr>
                <w:rFonts w:ascii="Arial"/>
                <w:sz w:val="2"/>
              </w:rPr>
            </w:pPr>
          </w:p>
        </w:tc>
      </w:tr>
    </w:tbl>
    <w:p>
      <w:pPr>
        <w:pStyle w:val="2"/>
        <w:rPr>
          <w:sz w:val="21"/>
        </w:rPr>
      </w:pPr>
    </w:p>
    <w:p>
      <w:pPr>
        <w:rPr>
          <w:sz w:val="21"/>
          <w:szCs w:val="21"/>
        </w:rPr>
        <w:sectPr>
          <w:footerReference r:id="rId76"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16" w:hRule="atLeast"/>
        </w:trPr>
        <w:tc>
          <w:tcPr>
            <w:tcW w:w="9291" w:type="dxa"/>
            <w:vAlign w:val="top"/>
          </w:tcPr>
          <w:p>
            <w:pPr>
              <w:spacing w:line="18" w:lineRule="exact"/>
            </w:pPr>
            <w:r>
              <w:pict>
                <v:rect id="_x0000_s1276" o:spid="_x0000_s1276" o:spt="1" style="position:absolute;left:0pt;margin-left:22.75pt;margin-top:0.95pt;height:694.95pt;width:0.5pt;mso-position-horizontal-relative:page;mso-position-vertical-relative:page;z-index:251822080;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1842"/>
              <w:gridCol w:w="1701"/>
              <w:gridCol w:w="852"/>
              <w:gridCol w:w="838"/>
              <w:gridCol w:w="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tcBorders>
                    <w:top w:val="nil"/>
                  </w:tcBorders>
                  <w:vAlign w:val="top"/>
                </w:tcPr>
                <w:p>
                  <w:pPr>
                    <w:pStyle w:val="6"/>
                    <w:spacing w:before="63" w:line="221" w:lineRule="auto"/>
                    <w:ind w:left="1089"/>
                    <w:rPr>
                      <w:sz w:val="21"/>
                      <w:szCs w:val="21"/>
                    </w:rPr>
                  </w:pPr>
                  <w:r>
                    <w:rPr>
                      <w:sz w:val="21"/>
                      <w:szCs w:val="21"/>
                    </w:rPr>
                    <w:t>砷</w:t>
                  </w:r>
                </w:p>
              </w:tc>
              <w:tc>
                <w:tcPr>
                  <w:tcW w:w="1842" w:type="dxa"/>
                  <w:tcBorders>
                    <w:top w:val="nil"/>
                  </w:tcBorders>
                  <w:vAlign w:val="top"/>
                </w:tcPr>
                <w:p>
                  <w:pPr>
                    <w:spacing w:before="101" w:line="187" w:lineRule="auto"/>
                    <w:ind w:left="7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9.91</w:t>
                  </w:r>
                </w:p>
              </w:tc>
              <w:tc>
                <w:tcPr>
                  <w:tcW w:w="1701" w:type="dxa"/>
                  <w:tcBorders>
                    <w:top w:val="nil"/>
                  </w:tcBorders>
                  <w:vAlign w:val="top"/>
                </w:tcPr>
                <w:p>
                  <w:pPr>
                    <w:spacing w:before="101" w:line="187" w:lineRule="auto"/>
                    <w:ind w:left="7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852" w:type="dxa"/>
                  <w:tcBorders>
                    <w:top w:val="nil"/>
                  </w:tcBorders>
                  <w:vAlign w:val="top"/>
                </w:tcPr>
                <w:p>
                  <w:pPr>
                    <w:spacing w:before="10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0.330</w:t>
                  </w:r>
                </w:p>
              </w:tc>
              <w:tc>
                <w:tcPr>
                  <w:tcW w:w="838" w:type="dxa"/>
                  <w:tcBorders>
                    <w:top w:val="nil"/>
                  </w:tcBorders>
                  <w:vAlign w:val="top"/>
                </w:tcPr>
                <w:p>
                  <w:pPr>
                    <w:spacing w:before="101"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tcBorders>
                    <w:top w:val="nil"/>
                  </w:tcBorders>
                  <w:vAlign w:val="top"/>
                </w:tcPr>
                <w:p>
                  <w:pPr>
                    <w:spacing w:before="101"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4" w:line="225" w:lineRule="auto"/>
                    <w:ind w:left="1090"/>
                    <w:rPr>
                      <w:sz w:val="21"/>
                      <w:szCs w:val="21"/>
                    </w:rPr>
                  </w:pPr>
                  <w:r>
                    <w:rPr>
                      <w:sz w:val="21"/>
                      <w:szCs w:val="21"/>
                    </w:rPr>
                    <w:t>铅</w:t>
                  </w:r>
                </w:p>
              </w:tc>
              <w:tc>
                <w:tcPr>
                  <w:tcW w:w="1842" w:type="dxa"/>
                  <w:vAlign w:val="top"/>
                </w:tcPr>
                <w:p>
                  <w:pPr>
                    <w:spacing w:before="102" w:line="187" w:lineRule="auto"/>
                    <w:ind w:left="844"/>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701" w:type="dxa"/>
                  <w:vAlign w:val="top"/>
                </w:tcPr>
                <w:p>
                  <w:pPr>
                    <w:spacing w:before="102"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852" w:type="dxa"/>
                  <w:vAlign w:val="top"/>
                </w:tcPr>
                <w:p>
                  <w:pPr>
                    <w:spacing w:before="10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0.092</w:t>
                  </w:r>
                </w:p>
              </w:tc>
              <w:tc>
                <w:tcPr>
                  <w:tcW w:w="838" w:type="dxa"/>
                  <w:vAlign w:val="top"/>
                </w:tcPr>
                <w:p>
                  <w:pPr>
                    <w:spacing w:before="102"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2"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4" w:line="223" w:lineRule="auto"/>
                    <w:ind w:left="1089"/>
                    <w:rPr>
                      <w:sz w:val="21"/>
                      <w:szCs w:val="21"/>
                    </w:rPr>
                  </w:pPr>
                  <w:r>
                    <w:rPr>
                      <w:sz w:val="21"/>
                      <w:szCs w:val="21"/>
                    </w:rPr>
                    <w:t>铬</w:t>
                  </w:r>
                </w:p>
              </w:tc>
              <w:tc>
                <w:tcPr>
                  <w:tcW w:w="1842" w:type="dxa"/>
                  <w:vAlign w:val="top"/>
                </w:tcPr>
                <w:p>
                  <w:pPr>
                    <w:spacing w:before="103" w:line="187" w:lineRule="auto"/>
                    <w:ind w:left="8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701" w:type="dxa"/>
                  <w:vAlign w:val="top"/>
                </w:tcPr>
                <w:p>
                  <w:pPr>
                    <w:spacing w:before="103"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852" w:type="dxa"/>
                  <w:vAlign w:val="top"/>
                </w:tcPr>
                <w:p>
                  <w:pPr>
                    <w:spacing w:before="103"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0.160</w:t>
                  </w:r>
                </w:p>
              </w:tc>
              <w:tc>
                <w:tcPr>
                  <w:tcW w:w="838" w:type="dxa"/>
                  <w:vAlign w:val="top"/>
                </w:tcPr>
                <w:p>
                  <w:pPr>
                    <w:spacing w:before="103"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3"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382" w:type="dxa"/>
                  <w:vAlign w:val="top"/>
                </w:tcPr>
                <w:p>
                  <w:pPr>
                    <w:pStyle w:val="6"/>
                    <w:spacing w:before="64" w:line="222" w:lineRule="auto"/>
                    <w:ind w:left="1090"/>
                    <w:rPr>
                      <w:sz w:val="21"/>
                      <w:szCs w:val="21"/>
                    </w:rPr>
                  </w:pPr>
                  <w:r>
                    <w:rPr>
                      <w:sz w:val="21"/>
                      <w:szCs w:val="21"/>
                    </w:rPr>
                    <w:t>铜</w:t>
                  </w:r>
                </w:p>
              </w:tc>
              <w:tc>
                <w:tcPr>
                  <w:tcW w:w="1842" w:type="dxa"/>
                  <w:vAlign w:val="top"/>
                </w:tcPr>
                <w:p>
                  <w:pPr>
                    <w:spacing w:before="103" w:line="187" w:lineRule="auto"/>
                    <w:ind w:left="7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1701" w:type="dxa"/>
                  <w:vAlign w:val="top"/>
                </w:tcPr>
                <w:p>
                  <w:pPr>
                    <w:spacing w:before="103"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852" w:type="dxa"/>
                  <w:vAlign w:val="top"/>
                </w:tcPr>
                <w:p>
                  <w:pPr>
                    <w:spacing w:before="103"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5.960</w:t>
                  </w:r>
                </w:p>
              </w:tc>
              <w:tc>
                <w:tcPr>
                  <w:tcW w:w="838" w:type="dxa"/>
                  <w:vAlign w:val="top"/>
                </w:tcPr>
                <w:p>
                  <w:pPr>
                    <w:spacing w:before="103"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3"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7" w:line="221" w:lineRule="auto"/>
                    <w:ind w:left="1089"/>
                    <w:rPr>
                      <w:sz w:val="21"/>
                      <w:szCs w:val="21"/>
                    </w:rPr>
                  </w:pPr>
                  <w:r>
                    <w:rPr>
                      <w:sz w:val="21"/>
                      <w:szCs w:val="21"/>
                    </w:rPr>
                    <w:t>镍</w:t>
                  </w:r>
                </w:p>
              </w:tc>
              <w:tc>
                <w:tcPr>
                  <w:tcW w:w="1842" w:type="dxa"/>
                  <w:vAlign w:val="top"/>
                </w:tcPr>
                <w:p>
                  <w:pPr>
                    <w:spacing w:before="105" w:line="187" w:lineRule="auto"/>
                    <w:ind w:left="8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701" w:type="dxa"/>
                  <w:vAlign w:val="top"/>
                </w:tcPr>
                <w:p>
                  <w:pPr>
                    <w:spacing w:before="105"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852" w:type="dxa"/>
                  <w:vAlign w:val="top"/>
                </w:tcPr>
                <w:p>
                  <w:pPr>
                    <w:spacing w:before="10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0.370</w:t>
                  </w:r>
                </w:p>
              </w:tc>
              <w:tc>
                <w:tcPr>
                  <w:tcW w:w="838" w:type="dxa"/>
                  <w:vAlign w:val="top"/>
                </w:tcPr>
                <w:p>
                  <w:pPr>
                    <w:spacing w:before="105"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8" w:line="221" w:lineRule="auto"/>
                    <w:ind w:left="1089"/>
                    <w:rPr>
                      <w:sz w:val="21"/>
                      <w:szCs w:val="21"/>
                    </w:rPr>
                  </w:pPr>
                  <w:r>
                    <w:rPr>
                      <w:sz w:val="21"/>
                      <w:szCs w:val="21"/>
                    </w:rPr>
                    <w:t>锌</w:t>
                  </w:r>
                </w:p>
              </w:tc>
              <w:tc>
                <w:tcPr>
                  <w:tcW w:w="1842" w:type="dxa"/>
                  <w:vAlign w:val="top"/>
                </w:tcPr>
                <w:p>
                  <w:pPr>
                    <w:spacing w:before="106" w:line="187" w:lineRule="auto"/>
                    <w:ind w:left="8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1701" w:type="dxa"/>
                  <w:vAlign w:val="top"/>
                </w:tcPr>
                <w:p>
                  <w:pPr>
                    <w:spacing w:before="106"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852" w:type="dxa"/>
                  <w:vAlign w:val="top"/>
                </w:tcPr>
                <w:p>
                  <w:pPr>
                    <w:spacing w:before="106"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0.332</w:t>
                  </w:r>
                </w:p>
              </w:tc>
              <w:tc>
                <w:tcPr>
                  <w:tcW w:w="838" w:type="dxa"/>
                  <w:vAlign w:val="top"/>
                </w:tcPr>
                <w:p>
                  <w:pPr>
                    <w:spacing w:before="106"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6"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5" w:line="236" w:lineRule="auto"/>
                    <w:ind w:left="827"/>
                    <w:rPr>
                      <w:rFonts w:ascii="Times New Roman" w:hAnsi="Times New Roman" w:eastAsia="Times New Roman" w:cs="Times New Roman"/>
                      <w:sz w:val="21"/>
                      <w:szCs w:val="21"/>
                    </w:rPr>
                  </w:pPr>
                  <w:r>
                    <w:rPr>
                      <w:spacing w:val="-1"/>
                      <w:sz w:val="21"/>
                      <w:szCs w:val="21"/>
                    </w:rPr>
                    <w:t>硫化物</w:t>
                  </w:r>
                  <w:r>
                    <w:rPr>
                      <w:rFonts w:ascii="Times New Roman" w:hAnsi="Times New Roman" w:eastAsia="Times New Roman" w:cs="Times New Roman"/>
                      <w:spacing w:val="-1"/>
                      <w:sz w:val="21"/>
                      <w:szCs w:val="21"/>
                    </w:rPr>
                    <w:t>*</w:t>
                  </w:r>
                </w:p>
              </w:tc>
              <w:tc>
                <w:tcPr>
                  <w:tcW w:w="1842" w:type="dxa"/>
                  <w:vAlign w:val="top"/>
                </w:tcPr>
                <w:p>
                  <w:pPr>
                    <w:spacing w:before="104"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0.53</w:t>
                  </w:r>
                </w:p>
              </w:tc>
              <w:tc>
                <w:tcPr>
                  <w:tcW w:w="1701" w:type="dxa"/>
                  <w:vAlign w:val="top"/>
                </w:tcPr>
                <w:p>
                  <w:pPr>
                    <w:spacing w:before="100" w:line="233"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00"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38" w:type="dxa"/>
                  <w:vAlign w:val="top"/>
                </w:tcPr>
                <w:p>
                  <w:pPr>
                    <w:spacing w:before="104"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4"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6" w:line="213" w:lineRule="auto"/>
                    <w:ind w:left="436"/>
                    <w:rPr>
                      <w:rFonts w:ascii="Times New Roman" w:hAnsi="Times New Roman" w:eastAsia="Times New Roman" w:cs="Times New Roman"/>
                      <w:sz w:val="21"/>
                      <w:szCs w:val="21"/>
                    </w:rPr>
                  </w:pPr>
                  <w:r>
                    <w:rPr>
                      <w:sz w:val="21"/>
                      <w:szCs w:val="21"/>
                    </w:rPr>
                    <w:t>氯离子（</w:t>
                  </w:r>
                  <w:r>
                    <w:rPr>
                      <w:rFonts w:ascii="Times New Roman" w:hAnsi="Times New Roman" w:eastAsia="Times New Roman" w:cs="Times New Roman"/>
                      <w:sz w:val="21"/>
                      <w:szCs w:val="21"/>
                    </w:rPr>
                    <w:t>g/kg</w:t>
                  </w:r>
                  <w:r>
                    <w:rPr>
                      <w:sz w:val="21"/>
                      <w:szCs w:val="21"/>
                    </w:rPr>
                    <w:t>）</w:t>
                  </w:r>
                  <w:r>
                    <w:rPr>
                      <w:rFonts w:ascii="Times New Roman" w:hAnsi="Times New Roman" w:eastAsia="Times New Roman" w:cs="Times New Roman"/>
                      <w:sz w:val="21"/>
                      <w:szCs w:val="21"/>
                    </w:rPr>
                    <w:t>*</w:t>
                  </w:r>
                </w:p>
              </w:tc>
              <w:tc>
                <w:tcPr>
                  <w:tcW w:w="1842" w:type="dxa"/>
                  <w:vAlign w:val="top"/>
                </w:tcPr>
                <w:p>
                  <w:pPr>
                    <w:spacing w:before="104"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w:t>
                  </w:r>
                </w:p>
              </w:tc>
              <w:tc>
                <w:tcPr>
                  <w:tcW w:w="1701" w:type="dxa"/>
                  <w:vAlign w:val="top"/>
                </w:tcPr>
                <w:p>
                  <w:pPr>
                    <w:spacing w:before="101" w:line="232"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01" w:line="232"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38" w:type="dxa"/>
                  <w:vAlign w:val="top"/>
                </w:tcPr>
                <w:p>
                  <w:pPr>
                    <w:spacing w:before="104"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4"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7" w:line="213" w:lineRule="auto"/>
                    <w:ind w:left="120"/>
                    <w:rPr>
                      <w:rFonts w:ascii="Times New Roman" w:hAnsi="Times New Roman" w:eastAsia="Times New Roman" w:cs="Times New Roman"/>
                      <w:sz w:val="21"/>
                      <w:szCs w:val="21"/>
                    </w:rPr>
                  </w:pPr>
                  <w:r>
                    <w:rPr>
                      <w:sz w:val="21"/>
                      <w:szCs w:val="21"/>
                    </w:rPr>
                    <w:t>水溶性盐总量（</w:t>
                  </w:r>
                  <w:r>
                    <w:rPr>
                      <w:rFonts w:ascii="Times New Roman" w:hAnsi="Times New Roman" w:eastAsia="Times New Roman" w:cs="Times New Roman"/>
                      <w:sz w:val="21"/>
                      <w:szCs w:val="21"/>
                    </w:rPr>
                    <w:t>g/kg</w:t>
                  </w:r>
                  <w:r>
                    <w:rPr>
                      <w:sz w:val="21"/>
                      <w:szCs w:val="21"/>
                    </w:rPr>
                    <w:t>）</w:t>
                  </w:r>
                  <w:r>
                    <w:rPr>
                      <w:rFonts w:ascii="Times New Roman" w:hAnsi="Times New Roman" w:eastAsia="Times New Roman" w:cs="Times New Roman"/>
                      <w:sz w:val="21"/>
                      <w:szCs w:val="21"/>
                    </w:rPr>
                    <w:t>*</w:t>
                  </w:r>
                </w:p>
              </w:tc>
              <w:tc>
                <w:tcPr>
                  <w:tcW w:w="1842" w:type="dxa"/>
                  <w:vAlign w:val="top"/>
                </w:tcPr>
                <w:p>
                  <w:pPr>
                    <w:spacing w:before="105" w:line="187" w:lineRule="auto"/>
                    <w:ind w:left="7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1.32</w:t>
                  </w:r>
                </w:p>
              </w:tc>
              <w:tc>
                <w:tcPr>
                  <w:tcW w:w="1701" w:type="dxa"/>
                  <w:vAlign w:val="top"/>
                </w:tcPr>
                <w:p>
                  <w:pPr>
                    <w:spacing w:before="101" w:line="232"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01" w:line="232"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38" w:type="dxa"/>
                  <w:vAlign w:val="top"/>
                </w:tcPr>
                <w:p>
                  <w:pPr>
                    <w:spacing w:before="105"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382" w:type="dxa"/>
                  <w:vAlign w:val="top"/>
                </w:tcPr>
                <w:p>
                  <w:pPr>
                    <w:pStyle w:val="6"/>
                    <w:spacing w:before="67" w:line="213" w:lineRule="auto"/>
                    <w:ind w:left="693"/>
                    <w:rPr>
                      <w:sz w:val="21"/>
                      <w:szCs w:val="21"/>
                    </w:rPr>
                  </w:pPr>
                  <w:r>
                    <w:rPr>
                      <w:spacing w:val="-1"/>
                      <w:sz w:val="21"/>
                      <w:szCs w:val="21"/>
                    </w:rPr>
                    <w:t>钡（</w:t>
                  </w:r>
                  <w:r>
                    <w:rPr>
                      <w:rFonts w:ascii="Times New Roman" w:hAnsi="Times New Roman" w:eastAsia="Times New Roman" w:cs="Times New Roman"/>
                      <w:spacing w:val="-1"/>
                      <w:sz w:val="21"/>
                      <w:szCs w:val="21"/>
                    </w:rPr>
                    <w:t>g/kg</w:t>
                  </w:r>
                  <w:r>
                    <w:rPr>
                      <w:spacing w:val="-1"/>
                      <w:sz w:val="21"/>
                      <w:szCs w:val="21"/>
                    </w:rPr>
                    <w:t>）</w:t>
                  </w:r>
                </w:p>
              </w:tc>
              <w:tc>
                <w:tcPr>
                  <w:tcW w:w="1842" w:type="dxa"/>
                  <w:vAlign w:val="top"/>
                </w:tcPr>
                <w:p>
                  <w:pPr>
                    <w:spacing w:before="105"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w:t>
                  </w:r>
                </w:p>
              </w:tc>
              <w:tc>
                <w:tcPr>
                  <w:tcW w:w="1701" w:type="dxa"/>
                  <w:vAlign w:val="top"/>
                </w:tcPr>
                <w:p>
                  <w:pPr>
                    <w:spacing w:before="105"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8660</w:t>
                  </w:r>
                </w:p>
              </w:tc>
              <w:tc>
                <w:tcPr>
                  <w:tcW w:w="852" w:type="dxa"/>
                  <w:vAlign w:val="top"/>
                </w:tcPr>
                <w:p>
                  <w:pPr>
                    <w:spacing w:before="10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0.050</w:t>
                  </w:r>
                </w:p>
              </w:tc>
              <w:tc>
                <w:tcPr>
                  <w:tcW w:w="838" w:type="dxa"/>
                  <w:vAlign w:val="top"/>
                </w:tcPr>
                <w:p>
                  <w:pPr>
                    <w:spacing w:before="105"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9" w:line="221" w:lineRule="auto"/>
                    <w:ind w:left="287"/>
                    <w:rPr>
                      <w:sz w:val="21"/>
                      <w:szCs w:val="21"/>
                    </w:rPr>
                  </w:pPr>
                  <w:r>
                    <w:rPr>
                      <w:spacing w:val="-1"/>
                      <w:sz w:val="21"/>
                      <w:szCs w:val="21"/>
                    </w:rPr>
                    <w:t>石油烃（</w:t>
                  </w:r>
                  <w:r>
                    <w:rPr>
                      <w:rFonts w:ascii="Times New Roman" w:hAnsi="Times New Roman" w:eastAsia="Times New Roman" w:cs="Times New Roman"/>
                      <w:spacing w:val="-1"/>
                      <w:sz w:val="21"/>
                      <w:szCs w:val="21"/>
                    </w:rPr>
                    <w:t>C10-C40</w:t>
                  </w:r>
                  <w:r>
                    <w:rPr>
                      <w:spacing w:val="-1"/>
                      <w:sz w:val="21"/>
                      <w:szCs w:val="21"/>
                    </w:rPr>
                    <w:t>）</w:t>
                  </w:r>
                </w:p>
              </w:tc>
              <w:tc>
                <w:tcPr>
                  <w:tcW w:w="1842" w:type="dxa"/>
                  <w:vAlign w:val="top"/>
                </w:tcPr>
                <w:p>
                  <w:pPr>
                    <w:spacing w:before="107" w:line="187"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01" w:type="dxa"/>
                  <w:vAlign w:val="top"/>
                </w:tcPr>
                <w:p>
                  <w:pPr>
                    <w:spacing w:before="107" w:line="187" w:lineRule="auto"/>
                    <w:ind w:left="6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852" w:type="dxa"/>
                  <w:vAlign w:val="top"/>
                </w:tcPr>
                <w:p>
                  <w:pPr>
                    <w:spacing w:before="10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c>
                <w:tcPr>
                  <w:tcW w:w="838" w:type="dxa"/>
                  <w:vAlign w:val="top"/>
                </w:tcPr>
                <w:p>
                  <w:pPr>
                    <w:spacing w:before="107"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7"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82" w:type="dxa"/>
                  <w:vAlign w:val="top"/>
                </w:tcPr>
                <w:p>
                  <w:pPr>
                    <w:pStyle w:val="6"/>
                    <w:spacing w:before="69" w:line="214" w:lineRule="auto"/>
                    <w:ind w:left="481"/>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spacing w:val="2"/>
                      <w:sz w:val="21"/>
                      <w:szCs w:val="21"/>
                    </w:rPr>
                    <w:t>（无量纲）</w:t>
                  </w:r>
                  <w:r>
                    <w:rPr>
                      <w:rFonts w:ascii="Times New Roman" w:hAnsi="Times New Roman" w:eastAsia="Times New Roman" w:cs="Times New Roman"/>
                      <w:spacing w:val="2"/>
                      <w:sz w:val="21"/>
                      <w:szCs w:val="21"/>
                    </w:rPr>
                    <w:t>*</w:t>
                  </w:r>
                </w:p>
              </w:tc>
              <w:tc>
                <w:tcPr>
                  <w:tcW w:w="1842" w:type="dxa"/>
                  <w:vAlign w:val="top"/>
                </w:tcPr>
                <w:p>
                  <w:pPr>
                    <w:spacing w:before="108"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7.36</w:t>
                  </w:r>
                </w:p>
              </w:tc>
              <w:tc>
                <w:tcPr>
                  <w:tcW w:w="1701" w:type="dxa"/>
                  <w:vAlign w:val="top"/>
                </w:tcPr>
                <w:p>
                  <w:pPr>
                    <w:spacing w:before="104" w:line="229"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04" w:line="229"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38" w:type="dxa"/>
                  <w:vAlign w:val="top"/>
                </w:tcPr>
                <w:p>
                  <w:pPr>
                    <w:spacing w:before="108"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5" w:type="dxa"/>
                  <w:vAlign w:val="top"/>
                </w:tcPr>
                <w:p>
                  <w:pPr>
                    <w:spacing w:before="108"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610" w:type="dxa"/>
                  <w:gridSpan w:val="6"/>
                  <w:vAlign w:val="top"/>
                </w:tcPr>
                <w:p>
                  <w:pPr>
                    <w:pStyle w:val="6"/>
                    <w:spacing w:before="68" w:line="234" w:lineRule="auto"/>
                    <w:ind w:left="116"/>
                    <w:rPr>
                      <w:sz w:val="21"/>
                      <w:szCs w:val="21"/>
                    </w:rPr>
                  </w:pPr>
                  <w:r>
                    <w:rPr>
                      <w:spacing w:val="-6"/>
                      <w:sz w:val="21"/>
                      <w:szCs w:val="21"/>
                    </w:rPr>
                    <w:t>注：“</w:t>
                  </w:r>
                  <w:r>
                    <w:rPr>
                      <w:rFonts w:ascii="Times New Roman" w:hAnsi="Times New Roman" w:eastAsia="Times New Roman" w:cs="Times New Roman"/>
                      <w:spacing w:val="-6"/>
                      <w:sz w:val="21"/>
                      <w:szCs w:val="21"/>
                    </w:rPr>
                    <w:t>*</w:t>
                  </w:r>
                  <w:r>
                    <w:rPr>
                      <w:spacing w:val="-6"/>
                      <w:sz w:val="21"/>
                      <w:szCs w:val="21"/>
                    </w:rPr>
                    <w:t>”表示无相应标准限值， 仅记录监测数据。</w:t>
                  </w:r>
                </w:p>
              </w:tc>
            </w:tr>
          </w:tbl>
          <w:p>
            <w:pPr>
              <w:pStyle w:val="6"/>
              <w:spacing w:before="180" w:line="369" w:lineRule="auto"/>
              <w:ind w:left="567" w:right="33" w:firstLine="480"/>
              <w:rPr>
                <w:sz w:val="24"/>
                <w:szCs w:val="24"/>
              </w:rPr>
            </w:pPr>
            <w:r>
              <w:rPr>
                <w:spacing w:val="-7"/>
                <w:sz w:val="24"/>
                <w:szCs w:val="24"/>
              </w:rPr>
              <w:t>根据上表</w:t>
            </w:r>
            <w:r>
              <w:rPr>
                <w:rFonts w:ascii="Times New Roman" w:hAnsi="Times New Roman" w:eastAsia="Times New Roman" w:cs="Times New Roman"/>
                <w:spacing w:val="-7"/>
                <w:sz w:val="24"/>
                <w:szCs w:val="24"/>
              </w:rPr>
              <w:t>3.3-</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7"/>
                <w:sz w:val="24"/>
                <w:szCs w:val="24"/>
              </w:rPr>
              <w:t>12~3.3-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18</w:t>
            </w:r>
            <w:r>
              <w:rPr>
                <w:rFonts w:ascii="Times New Roman" w:hAnsi="Times New Roman" w:eastAsia="Times New Roman" w:cs="Times New Roman"/>
                <w:spacing w:val="-16"/>
                <w:sz w:val="24"/>
                <w:szCs w:val="24"/>
              </w:rPr>
              <w:t xml:space="preserve"> </w:t>
            </w:r>
            <w:r>
              <w:rPr>
                <w:spacing w:val="-7"/>
                <w:sz w:val="24"/>
                <w:szCs w:val="24"/>
              </w:rPr>
              <w:t>监测结果表明，土壤监测点位</w:t>
            </w:r>
            <w:r>
              <w:rPr>
                <w:rFonts w:ascii="Times New Roman" w:hAnsi="Times New Roman" w:eastAsia="Times New Roman" w:cs="Times New Roman"/>
                <w:spacing w:val="-7"/>
                <w:sz w:val="24"/>
                <w:szCs w:val="24"/>
              </w:rPr>
              <w:t>S1~S4</w:t>
            </w:r>
            <w:r>
              <w:rPr>
                <w:rFonts w:ascii="Times New Roman" w:hAnsi="Times New Roman" w:eastAsia="Times New Roman" w:cs="Times New Roman"/>
                <w:spacing w:val="-16"/>
                <w:sz w:val="24"/>
                <w:szCs w:val="24"/>
              </w:rPr>
              <w:t xml:space="preserve"> </w:t>
            </w:r>
            <w:r>
              <w:rPr>
                <w:spacing w:val="-7"/>
                <w:sz w:val="24"/>
                <w:szCs w:val="24"/>
              </w:rPr>
              <w:t xml:space="preserve">各监测因子满足《土 </w:t>
            </w:r>
            <w:r>
              <w:rPr>
                <w:spacing w:val="1"/>
                <w:sz w:val="24"/>
                <w:szCs w:val="24"/>
              </w:rPr>
              <w:t>壤环境质量 建设用地土壤污染风险管控标准》（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36600-2018</w:t>
            </w:r>
            <w:r>
              <w:rPr>
                <w:spacing w:val="1"/>
                <w:sz w:val="24"/>
                <w:szCs w:val="24"/>
              </w:rPr>
              <w:t>）</w:t>
            </w:r>
            <w:r>
              <w:rPr>
                <w:sz w:val="24"/>
                <w:szCs w:val="24"/>
              </w:rPr>
              <w:t xml:space="preserve">第二类用地筛选 </w:t>
            </w:r>
            <w:r>
              <w:rPr>
                <w:spacing w:val="-6"/>
                <w:sz w:val="24"/>
                <w:szCs w:val="24"/>
              </w:rPr>
              <w:t>值标准， 土壤监测点位</w:t>
            </w:r>
            <w:r>
              <w:rPr>
                <w:spacing w:val="-26"/>
                <w:sz w:val="24"/>
                <w:szCs w:val="24"/>
              </w:rPr>
              <w:t xml:space="preserve"> </w:t>
            </w:r>
            <w:r>
              <w:rPr>
                <w:rFonts w:ascii="Times New Roman" w:hAnsi="Times New Roman" w:eastAsia="Times New Roman" w:cs="Times New Roman"/>
                <w:spacing w:val="-6"/>
                <w:sz w:val="24"/>
                <w:szCs w:val="24"/>
              </w:rPr>
              <w:t>S5</w:t>
            </w:r>
            <w:r>
              <w:rPr>
                <w:rFonts w:ascii="Times New Roman" w:hAnsi="Times New Roman" w:eastAsia="Times New Roman" w:cs="Times New Roman"/>
                <w:spacing w:val="-34"/>
                <w:sz w:val="24"/>
                <w:szCs w:val="24"/>
              </w:rPr>
              <w:t xml:space="preserve"> </w:t>
            </w:r>
            <w:r>
              <w:rPr>
                <w:spacing w:val="-6"/>
                <w:sz w:val="24"/>
                <w:szCs w:val="24"/>
              </w:rPr>
              <w:t>、</w:t>
            </w:r>
            <w:r>
              <w:rPr>
                <w:rFonts w:ascii="Times New Roman" w:hAnsi="Times New Roman" w:eastAsia="Times New Roman" w:cs="Times New Roman"/>
                <w:spacing w:val="-6"/>
                <w:sz w:val="24"/>
                <w:szCs w:val="24"/>
              </w:rPr>
              <w:t xml:space="preserve">S6 </w:t>
            </w:r>
            <w:r>
              <w:rPr>
                <w:spacing w:val="-6"/>
                <w:sz w:val="24"/>
                <w:szCs w:val="24"/>
              </w:rPr>
              <w:t>各监测因子满足《土壤环境质量 农用地土壤污染风</w:t>
            </w:r>
            <w:r>
              <w:rPr>
                <w:sz w:val="24"/>
                <w:szCs w:val="24"/>
              </w:rPr>
              <w:t xml:space="preserve"> </w:t>
            </w:r>
            <w:r>
              <w:rPr>
                <w:spacing w:val="-1"/>
                <w:sz w:val="24"/>
                <w:szCs w:val="24"/>
              </w:rPr>
              <w:t>险管控标准（试行）》（</w:t>
            </w:r>
            <w:r>
              <w:rPr>
                <w:rFonts w:ascii="Times New Roman" w:hAnsi="Times New Roman" w:eastAsia="Times New Roman" w:cs="Times New Roman"/>
                <w:spacing w:val="-1"/>
                <w:sz w:val="24"/>
                <w:szCs w:val="24"/>
              </w:rPr>
              <w:t>GB15618-2018</w:t>
            </w:r>
            <w:r>
              <w:rPr>
                <w:spacing w:val="-1"/>
                <w:sz w:val="24"/>
                <w:szCs w:val="24"/>
              </w:rPr>
              <w:t>）农用地土壤污染风险筛选值（基本项目）</w:t>
            </w:r>
            <w:r>
              <w:rPr>
                <w:spacing w:val="16"/>
                <w:sz w:val="24"/>
                <w:szCs w:val="24"/>
              </w:rPr>
              <w:t xml:space="preserve"> </w:t>
            </w:r>
            <w:r>
              <w:rPr>
                <w:spacing w:val="35"/>
                <w:sz w:val="24"/>
                <w:szCs w:val="24"/>
              </w:rPr>
              <w:t>中的风险筛选值</w:t>
            </w:r>
            <w:r>
              <w:rPr>
                <w:spacing w:val="-35"/>
                <w:sz w:val="24"/>
                <w:szCs w:val="24"/>
              </w:rPr>
              <w:t xml:space="preserve"> </w:t>
            </w:r>
            <w:r>
              <w:rPr>
                <w:spacing w:val="35"/>
                <w:sz w:val="24"/>
                <w:szCs w:val="24"/>
              </w:rPr>
              <w:t>。</w:t>
            </w:r>
            <w:r>
              <w:rPr>
                <w:spacing w:val="-61"/>
                <w:sz w:val="24"/>
                <w:szCs w:val="24"/>
              </w:rPr>
              <w:t xml:space="preserve"> </w:t>
            </w:r>
            <w:r>
              <w:rPr>
                <w:spacing w:val="35"/>
                <w:sz w:val="24"/>
                <w:szCs w:val="24"/>
              </w:rPr>
              <w:t>钡满足</w:t>
            </w:r>
            <w:r>
              <w:rPr>
                <w:spacing w:val="-69"/>
                <w:sz w:val="24"/>
                <w:szCs w:val="24"/>
              </w:rPr>
              <w:t xml:space="preserve"> </w:t>
            </w:r>
            <w:r>
              <w:rPr>
                <w:spacing w:val="35"/>
                <w:sz w:val="24"/>
                <w:szCs w:val="24"/>
              </w:rPr>
              <w:t>《</w:t>
            </w:r>
            <w:r>
              <w:rPr>
                <w:spacing w:val="-15"/>
                <w:sz w:val="24"/>
                <w:szCs w:val="24"/>
              </w:rPr>
              <w:t xml:space="preserve"> </w:t>
            </w:r>
            <w:r>
              <w:rPr>
                <w:spacing w:val="35"/>
                <w:sz w:val="24"/>
                <w:szCs w:val="24"/>
              </w:rPr>
              <w:t>四川省建设用地土壤污染风险管控标准</w:t>
            </w:r>
            <w:r>
              <w:rPr>
                <w:spacing w:val="-50"/>
                <w:sz w:val="24"/>
                <w:szCs w:val="24"/>
              </w:rPr>
              <w:t xml:space="preserve"> </w:t>
            </w:r>
            <w:r>
              <w:rPr>
                <w:spacing w:val="35"/>
                <w:sz w:val="24"/>
                <w:szCs w:val="24"/>
              </w:rPr>
              <w:t>》</w:t>
            </w:r>
            <w:r>
              <w:rPr>
                <w:sz w:val="24"/>
                <w:szCs w:val="24"/>
              </w:rPr>
              <w:t xml:space="preserve"> </w:t>
            </w:r>
            <w:r>
              <w:rPr>
                <w:spacing w:val="-5"/>
                <w:sz w:val="24"/>
                <w:szCs w:val="24"/>
              </w:rPr>
              <w:t>（</w:t>
            </w:r>
            <w:r>
              <w:rPr>
                <w:rFonts w:ascii="Times New Roman" w:hAnsi="Times New Roman" w:eastAsia="Times New Roman" w:cs="Times New Roman"/>
                <w:spacing w:val="-5"/>
                <w:sz w:val="24"/>
                <w:szCs w:val="24"/>
              </w:rPr>
              <w:t>DB51/2978-2023</w:t>
            </w:r>
            <w:r>
              <w:rPr>
                <w:spacing w:val="-5"/>
                <w:sz w:val="24"/>
                <w:szCs w:val="24"/>
              </w:rPr>
              <w:t>）第二类用地筛选值。且监测点位土壤环境无酸化、碱化、盐化，</w:t>
            </w:r>
            <w:r>
              <w:rPr>
                <w:spacing w:val="14"/>
                <w:sz w:val="24"/>
                <w:szCs w:val="24"/>
              </w:rPr>
              <w:t xml:space="preserve"> </w:t>
            </w:r>
            <w:r>
              <w:rPr>
                <w:spacing w:val="-1"/>
                <w:sz w:val="24"/>
                <w:szCs w:val="24"/>
              </w:rPr>
              <w:t>表明项目所在区域土壤环境质量现状较好。同时对特征因子无质量标准的因子进行</w:t>
            </w:r>
          </w:p>
          <w:p>
            <w:pPr>
              <w:pStyle w:val="6"/>
              <w:spacing w:line="219" w:lineRule="auto"/>
              <w:ind w:left="567"/>
              <w:rPr>
                <w:sz w:val="24"/>
                <w:szCs w:val="24"/>
              </w:rPr>
            </w:pPr>
            <w:r>
              <w:rPr>
                <w:spacing w:val="-6"/>
                <w:sz w:val="24"/>
                <w:szCs w:val="24"/>
              </w:rPr>
              <w:t>记录监测值。</w:t>
            </w:r>
          </w:p>
          <w:p>
            <w:pPr>
              <w:pStyle w:val="6"/>
              <w:spacing w:before="194" w:line="480" w:lineRule="exact"/>
              <w:ind w:left="1054"/>
              <w:rPr>
                <w:sz w:val="24"/>
                <w:szCs w:val="24"/>
              </w:rPr>
            </w:pPr>
            <w:r>
              <w:rPr>
                <w:spacing w:val="-1"/>
                <w:position w:val="18"/>
                <w:sz w:val="24"/>
                <w:szCs w:val="24"/>
              </w:rPr>
              <w:t xml:space="preserve">另外，选取井场内 </w:t>
            </w:r>
            <w:r>
              <w:rPr>
                <w:rFonts w:ascii="Times New Roman" w:hAnsi="Times New Roman" w:eastAsia="Times New Roman" w:cs="Times New Roman"/>
                <w:spacing w:val="-1"/>
                <w:position w:val="18"/>
                <w:sz w:val="24"/>
                <w:szCs w:val="24"/>
              </w:rPr>
              <w:t>S1</w:t>
            </w:r>
            <w:r>
              <w:rPr>
                <w:rFonts w:ascii="Times New Roman" w:hAnsi="Times New Roman" w:eastAsia="Times New Roman" w:cs="Times New Roman"/>
                <w:spacing w:val="51"/>
                <w:position w:val="18"/>
                <w:sz w:val="24"/>
                <w:szCs w:val="24"/>
              </w:rPr>
              <w:t xml:space="preserve"> </w:t>
            </w:r>
            <w:r>
              <w:rPr>
                <w:spacing w:val="-1"/>
                <w:position w:val="18"/>
                <w:sz w:val="24"/>
                <w:szCs w:val="24"/>
              </w:rPr>
              <w:t>为代表性监测点位，并记录其</w:t>
            </w:r>
            <w:r>
              <w:rPr>
                <w:spacing w:val="-2"/>
                <w:position w:val="18"/>
                <w:sz w:val="24"/>
                <w:szCs w:val="24"/>
              </w:rPr>
              <w:t>样土理化特性，具体土壤</w:t>
            </w:r>
          </w:p>
          <w:p>
            <w:pPr>
              <w:pStyle w:val="6"/>
              <w:spacing w:before="1" w:line="219" w:lineRule="auto"/>
              <w:ind w:left="571"/>
              <w:rPr>
                <w:sz w:val="24"/>
                <w:szCs w:val="24"/>
              </w:rPr>
            </w:pPr>
            <w:r>
              <w:rPr>
                <w:spacing w:val="-6"/>
                <w:sz w:val="24"/>
                <w:szCs w:val="24"/>
              </w:rPr>
              <w:t>理化特性见下表。</w:t>
            </w:r>
          </w:p>
          <w:p>
            <w:pPr>
              <w:pStyle w:val="6"/>
              <w:spacing w:before="195" w:line="220" w:lineRule="auto"/>
              <w:ind w:left="3267"/>
              <w:rPr>
                <w:sz w:val="24"/>
                <w:szCs w:val="24"/>
              </w:rPr>
            </w:pPr>
            <w:r>
              <w:rPr>
                <w:spacing w:val="-1"/>
                <w:sz w:val="24"/>
                <w:szCs w:val="24"/>
                <w14:textOutline w14:w="4354" w14:cap="flat" w14:cmpd="sng">
                  <w14:solidFill>
                    <w14:srgbClr w14:val="000000"/>
                  </w14:solidFill>
                  <w14:prstDash w14:val="solid"/>
                  <w14:miter w14:val="10"/>
                </w14:textOutline>
              </w:rPr>
              <w:t>表</w:t>
            </w:r>
            <w:r>
              <w:rPr>
                <w:spacing w:val="-42"/>
                <w:sz w:val="24"/>
                <w:szCs w:val="24"/>
              </w:rPr>
              <w:t xml:space="preserve"> </w:t>
            </w:r>
            <w:r>
              <w:rPr>
                <w:rFonts w:ascii="Times New Roman" w:hAnsi="Times New Roman" w:eastAsia="Times New Roman" w:cs="Times New Roman"/>
                <w:b/>
                <w:bCs/>
                <w:spacing w:val="-1"/>
                <w:sz w:val="24"/>
                <w:szCs w:val="24"/>
              </w:rPr>
              <w:t xml:space="preserve">3.3-18  </w:t>
            </w:r>
            <w:r>
              <w:rPr>
                <w:spacing w:val="-1"/>
                <w:sz w:val="24"/>
                <w:szCs w:val="24"/>
                <w14:textOutline w14:w="4354" w14:cap="flat" w14:cmpd="sng">
                  <w14:solidFill>
                    <w14:srgbClr w14:val="000000"/>
                  </w14:solidFill>
                  <w14:prstDash w14:val="solid"/>
                  <w14:miter w14:val="10"/>
                </w14:textOutline>
              </w:rPr>
              <w:t>土壤理化性质一览表</w:t>
            </w:r>
          </w:p>
          <w:p>
            <w:pPr>
              <w:spacing w:line="15"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1795"/>
              <w:gridCol w:w="1746"/>
              <w:gridCol w:w="1814"/>
              <w:gridCol w:w="20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025" w:type="dxa"/>
                  <w:gridSpan w:val="2"/>
                  <w:vAlign w:val="top"/>
                </w:tcPr>
                <w:p>
                  <w:pPr>
                    <w:pStyle w:val="6"/>
                    <w:spacing w:before="67" w:line="222" w:lineRule="auto"/>
                    <w:ind w:left="1319"/>
                    <w:rPr>
                      <w:sz w:val="21"/>
                      <w:szCs w:val="21"/>
                    </w:rPr>
                  </w:pPr>
                  <w:r>
                    <w:rPr>
                      <w:spacing w:val="-5"/>
                      <w:sz w:val="21"/>
                      <w:szCs w:val="21"/>
                    </w:rPr>
                    <w:t>点位</w:t>
                  </w:r>
                </w:p>
              </w:tc>
              <w:tc>
                <w:tcPr>
                  <w:tcW w:w="1746" w:type="dxa"/>
                  <w:vAlign w:val="top"/>
                </w:tcPr>
                <w:p>
                  <w:pPr>
                    <w:pStyle w:val="6"/>
                    <w:spacing w:before="68" w:line="221" w:lineRule="auto"/>
                    <w:ind w:left="216"/>
                    <w:rPr>
                      <w:rFonts w:ascii="Times New Roman" w:hAnsi="Times New Roman" w:eastAsia="Times New Roman" w:cs="Times New Roman"/>
                      <w:sz w:val="21"/>
                      <w:szCs w:val="21"/>
                    </w:rPr>
                  </w:pPr>
                  <w:r>
                    <w:rPr>
                      <w:spacing w:val="-2"/>
                      <w:sz w:val="21"/>
                      <w:szCs w:val="21"/>
                    </w:rPr>
                    <w:t>井场井口处</w:t>
                  </w:r>
                  <w:r>
                    <w:rPr>
                      <w:spacing w:val="-40"/>
                      <w:sz w:val="21"/>
                      <w:szCs w:val="21"/>
                    </w:rPr>
                    <w:t xml:space="preserve"> </w:t>
                  </w:r>
                  <w:r>
                    <w:rPr>
                      <w:rFonts w:ascii="Times New Roman" w:hAnsi="Times New Roman" w:eastAsia="Times New Roman" w:cs="Times New Roman"/>
                      <w:spacing w:val="-2"/>
                      <w:sz w:val="21"/>
                      <w:szCs w:val="21"/>
                    </w:rPr>
                    <w:t>S1</w:t>
                  </w:r>
                </w:p>
              </w:tc>
              <w:tc>
                <w:tcPr>
                  <w:tcW w:w="1814" w:type="dxa"/>
                  <w:vAlign w:val="top"/>
                </w:tcPr>
                <w:p>
                  <w:pPr>
                    <w:pStyle w:val="6"/>
                    <w:spacing w:before="67" w:line="220" w:lineRule="auto"/>
                    <w:ind w:left="493"/>
                    <w:rPr>
                      <w:sz w:val="21"/>
                      <w:szCs w:val="21"/>
                    </w:rPr>
                  </w:pPr>
                  <w:r>
                    <w:rPr>
                      <w:spacing w:val="-1"/>
                      <w:sz w:val="21"/>
                      <w:szCs w:val="21"/>
                    </w:rPr>
                    <w:t>采样时间</w:t>
                  </w:r>
                </w:p>
              </w:tc>
              <w:tc>
                <w:tcPr>
                  <w:tcW w:w="2025" w:type="dxa"/>
                  <w:vAlign w:val="top"/>
                </w:tcPr>
                <w:p>
                  <w:pPr>
                    <w:pStyle w:val="6"/>
                    <w:spacing w:before="67" w:line="221" w:lineRule="auto"/>
                    <w:ind w:left="200"/>
                    <w:rPr>
                      <w:sz w:val="21"/>
                      <w:szCs w:val="21"/>
                    </w:rPr>
                  </w:pPr>
                  <w:r>
                    <w:rPr>
                      <w:rFonts w:ascii="Times New Roman" w:hAnsi="Times New Roman" w:eastAsia="Times New Roman" w:cs="Times New Roman"/>
                      <w:spacing w:val="-3"/>
                      <w:sz w:val="21"/>
                      <w:szCs w:val="21"/>
                    </w:rPr>
                    <w:t xml:space="preserve">2023 </w:t>
                  </w:r>
                  <w:r>
                    <w:rPr>
                      <w:spacing w:val="-3"/>
                      <w:sz w:val="21"/>
                      <w:szCs w:val="21"/>
                    </w:rPr>
                    <w:t>年</w:t>
                  </w:r>
                  <w:r>
                    <w:rPr>
                      <w:spacing w:val="-42"/>
                      <w:sz w:val="21"/>
                      <w:szCs w:val="21"/>
                    </w:rPr>
                    <w:t xml:space="preserve"> </w:t>
                  </w:r>
                  <w:r>
                    <w:rPr>
                      <w:rFonts w:ascii="Times New Roman" w:hAnsi="Times New Roman" w:eastAsia="Times New Roman" w:cs="Times New Roman"/>
                      <w:spacing w:val="-3"/>
                      <w:sz w:val="21"/>
                      <w:szCs w:val="21"/>
                    </w:rPr>
                    <w:t>9</w:t>
                  </w:r>
                  <w:r>
                    <w:rPr>
                      <w:rFonts w:ascii="Times New Roman" w:hAnsi="Times New Roman" w:eastAsia="Times New Roman" w:cs="Times New Roman"/>
                      <w:spacing w:val="11"/>
                      <w:sz w:val="21"/>
                      <w:szCs w:val="21"/>
                    </w:rPr>
                    <w:t xml:space="preserve"> </w:t>
                  </w:r>
                  <w:r>
                    <w:rPr>
                      <w:spacing w:val="-3"/>
                      <w:sz w:val="21"/>
                      <w:szCs w:val="21"/>
                    </w:rPr>
                    <w:t>月</w:t>
                  </w:r>
                  <w:r>
                    <w:rPr>
                      <w:spacing w:val="-47"/>
                      <w:sz w:val="21"/>
                      <w:szCs w:val="21"/>
                    </w:rPr>
                    <w:t xml:space="preserve"> </w:t>
                  </w:r>
                  <w:r>
                    <w:rPr>
                      <w:rFonts w:ascii="Times New Roman" w:hAnsi="Times New Roman" w:eastAsia="Times New Roman" w:cs="Times New Roman"/>
                      <w:spacing w:val="-3"/>
                      <w:sz w:val="21"/>
                      <w:szCs w:val="21"/>
                    </w:rPr>
                    <w:t xml:space="preserve">26  </w:t>
                  </w:r>
                  <w:r>
                    <w:rPr>
                      <w:spacing w:val="-3"/>
                      <w:sz w:val="21"/>
                      <w:szCs w:val="21"/>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025" w:type="dxa"/>
                  <w:gridSpan w:val="2"/>
                  <w:vAlign w:val="top"/>
                </w:tcPr>
                <w:p>
                  <w:pPr>
                    <w:pStyle w:val="6"/>
                    <w:spacing w:before="63" w:line="221" w:lineRule="auto"/>
                    <w:ind w:left="1310"/>
                    <w:rPr>
                      <w:sz w:val="21"/>
                      <w:szCs w:val="21"/>
                    </w:rPr>
                  </w:pPr>
                  <w:r>
                    <w:rPr>
                      <w:spacing w:val="-2"/>
                      <w:sz w:val="21"/>
                      <w:szCs w:val="21"/>
                    </w:rPr>
                    <w:t>经度</w:t>
                  </w:r>
                </w:p>
              </w:tc>
              <w:tc>
                <w:tcPr>
                  <w:tcW w:w="1746" w:type="dxa"/>
                  <w:vAlign w:val="top"/>
                </w:tcPr>
                <w:p>
                  <w:pPr>
                    <w:spacing w:before="101"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107.238068°</w:t>
                  </w:r>
                </w:p>
              </w:tc>
              <w:tc>
                <w:tcPr>
                  <w:tcW w:w="1814" w:type="dxa"/>
                  <w:vAlign w:val="top"/>
                </w:tcPr>
                <w:p>
                  <w:pPr>
                    <w:pStyle w:val="6"/>
                    <w:spacing w:before="63" w:line="221" w:lineRule="auto"/>
                    <w:ind w:left="703"/>
                    <w:rPr>
                      <w:sz w:val="21"/>
                      <w:szCs w:val="21"/>
                    </w:rPr>
                  </w:pPr>
                  <w:r>
                    <w:rPr>
                      <w:spacing w:val="-2"/>
                      <w:sz w:val="21"/>
                      <w:szCs w:val="21"/>
                    </w:rPr>
                    <w:t>纬度</w:t>
                  </w:r>
                </w:p>
              </w:tc>
              <w:tc>
                <w:tcPr>
                  <w:tcW w:w="2025" w:type="dxa"/>
                  <w:vAlign w:val="top"/>
                </w:tcPr>
                <w:p>
                  <w:pPr>
                    <w:spacing w:before="101"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31.444640°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25" w:type="dxa"/>
                  <w:gridSpan w:val="2"/>
                  <w:vAlign w:val="top"/>
                </w:tcPr>
                <w:p>
                  <w:pPr>
                    <w:pStyle w:val="6"/>
                    <w:spacing w:before="62" w:line="214" w:lineRule="auto"/>
                    <w:ind w:left="1157"/>
                    <w:rPr>
                      <w:rFonts w:ascii="Times New Roman" w:hAnsi="Times New Roman" w:eastAsia="Times New Roman" w:cs="Times New Roman"/>
                      <w:sz w:val="21"/>
                      <w:szCs w:val="21"/>
                    </w:rPr>
                  </w:pPr>
                  <w:r>
                    <w:rPr>
                      <w:spacing w:val="-2"/>
                      <w:sz w:val="21"/>
                      <w:szCs w:val="21"/>
                    </w:rPr>
                    <w:t>层次</w:t>
                  </w:r>
                  <w:r>
                    <w:rPr>
                      <w:rFonts w:ascii="Times New Roman" w:hAnsi="Times New Roman" w:eastAsia="Times New Roman" w:cs="Times New Roman"/>
                      <w:spacing w:val="-2"/>
                      <w:sz w:val="21"/>
                      <w:szCs w:val="21"/>
                    </w:rPr>
                    <w:t>(m)</w:t>
                  </w:r>
                </w:p>
              </w:tc>
              <w:tc>
                <w:tcPr>
                  <w:tcW w:w="1746" w:type="dxa"/>
                  <w:vAlign w:val="top"/>
                </w:tcPr>
                <w:p>
                  <w:pPr>
                    <w:pStyle w:val="6"/>
                    <w:spacing w:before="62" w:line="233" w:lineRule="auto"/>
                    <w:ind w:left="352"/>
                    <w:rPr>
                      <w:sz w:val="21"/>
                      <w:szCs w:val="21"/>
                    </w:rPr>
                  </w:pPr>
                  <w:r>
                    <w:rPr>
                      <w:spacing w:val="-2"/>
                      <w:sz w:val="21"/>
                      <w:szCs w:val="21"/>
                    </w:rPr>
                    <w:t>（</w:t>
                  </w:r>
                  <w:r>
                    <w:rPr>
                      <w:rFonts w:ascii="Times New Roman" w:hAnsi="Times New Roman" w:eastAsia="Times New Roman" w:cs="Times New Roman"/>
                      <w:spacing w:val="-2"/>
                      <w:sz w:val="21"/>
                      <w:szCs w:val="21"/>
                    </w:rPr>
                    <w:t>0~0.5m</w:t>
                  </w:r>
                  <w:r>
                    <w:rPr>
                      <w:spacing w:val="-2"/>
                      <w:sz w:val="21"/>
                      <w:szCs w:val="21"/>
                    </w:rPr>
                    <w:t>）</w:t>
                  </w:r>
                </w:p>
              </w:tc>
              <w:tc>
                <w:tcPr>
                  <w:tcW w:w="1814" w:type="dxa"/>
                  <w:vAlign w:val="top"/>
                </w:tcPr>
                <w:p>
                  <w:pPr>
                    <w:pStyle w:val="6"/>
                    <w:spacing w:before="62" w:line="233" w:lineRule="auto"/>
                    <w:ind w:left="308"/>
                    <w:rPr>
                      <w:sz w:val="21"/>
                      <w:szCs w:val="21"/>
                    </w:rPr>
                  </w:pPr>
                  <w:r>
                    <w:rPr>
                      <w:spacing w:val="-2"/>
                      <w:sz w:val="21"/>
                      <w:szCs w:val="21"/>
                    </w:rPr>
                    <w:t>（</w:t>
                  </w:r>
                  <w:r>
                    <w:rPr>
                      <w:rFonts w:ascii="Times New Roman" w:hAnsi="Times New Roman" w:eastAsia="Times New Roman" w:cs="Times New Roman"/>
                      <w:spacing w:val="-2"/>
                      <w:sz w:val="21"/>
                      <w:szCs w:val="21"/>
                    </w:rPr>
                    <w:t>0.5~1.5m</w:t>
                  </w:r>
                  <w:r>
                    <w:rPr>
                      <w:spacing w:val="-2"/>
                      <w:sz w:val="21"/>
                      <w:szCs w:val="21"/>
                    </w:rPr>
                    <w:t>）</w:t>
                  </w:r>
                </w:p>
              </w:tc>
              <w:tc>
                <w:tcPr>
                  <w:tcW w:w="2025" w:type="dxa"/>
                  <w:vAlign w:val="top"/>
                </w:tcPr>
                <w:p>
                  <w:pPr>
                    <w:pStyle w:val="6"/>
                    <w:spacing w:before="62" w:line="233" w:lineRule="auto"/>
                    <w:ind w:left="491"/>
                    <w:rPr>
                      <w:sz w:val="21"/>
                      <w:szCs w:val="21"/>
                    </w:rPr>
                  </w:pPr>
                  <w:r>
                    <w:rPr>
                      <w:spacing w:val="-2"/>
                      <w:sz w:val="21"/>
                      <w:szCs w:val="21"/>
                    </w:rPr>
                    <w:t>（</w:t>
                  </w:r>
                  <w:r>
                    <w:rPr>
                      <w:rFonts w:ascii="Times New Roman" w:hAnsi="Times New Roman" w:eastAsia="Times New Roman" w:cs="Times New Roman"/>
                      <w:spacing w:val="-2"/>
                      <w:sz w:val="21"/>
                      <w:szCs w:val="21"/>
                    </w:rPr>
                    <w:t>1.5~3m</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23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1" w:lineRule="auto"/>
                    <w:ind w:left="201"/>
                    <w:rPr>
                      <w:sz w:val="21"/>
                      <w:szCs w:val="21"/>
                    </w:rPr>
                  </w:pPr>
                  <w:r>
                    <w:rPr>
                      <w:spacing w:val="-2"/>
                      <w:sz w:val="21"/>
                      <w:szCs w:val="21"/>
                    </w:rPr>
                    <w:t>现场记录</w:t>
                  </w:r>
                </w:p>
              </w:tc>
              <w:tc>
                <w:tcPr>
                  <w:tcW w:w="1795" w:type="dxa"/>
                  <w:vAlign w:val="top"/>
                </w:tcPr>
                <w:p>
                  <w:pPr>
                    <w:pStyle w:val="6"/>
                    <w:spacing w:before="63" w:line="222" w:lineRule="auto"/>
                    <w:ind w:left="689"/>
                    <w:rPr>
                      <w:sz w:val="21"/>
                      <w:szCs w:val="21"/>
                    </w:rPr>
                  </w:pPr>
                  <w:r>
                    <w:rPr>
                      <w:spacing w:val="-2"/>
                      <w:sz w:val="21"/>
                      <w:szCs w:val="21"/>
                    </w:rPr>
                    <w:t>颜色</w:t>
                  </w:r>
                </w:p>
              </w:tc>
              <w:tc>
                <w:tcPr>
                  <w:tcW w:w="1746" w:type="dxa"/>
                  <w:vAlign w:val="top"/>
                </w:tcPr>
                <w:p>
                  <w:pPr>
                    <w:pStyle w:val="6"/>
                    <w:spacing w:before="62" w:line="221" w:lineRule="auto"/>
                    <w:ind w:left="561"/>
                    <w:rPr>
                      <w:sz w:val="21"/>
                      <w:szCs w:val="21"/>
                    </w:rPr>
                  </w:pPr>
                  <w:r>
                    <w:rPr>
                      <w:spacing w:val="-1"/>
                      <w:sz w:val="21"/>
                      <w:szCs w:val="21"/>
                    </w:rPr>
                    <w:t>黄棕色</w:t>
                  </w:r>
                </w:p>
              </w:tc>
              <w:tc>
                <w:tcPr>
                  <w:tcW w:w="1814" w:type="dxa"/>
                  <w:vAlign w:val="top"/>
                </w:tcPr>
                <w:p>
                  <w:pPr>
                    <w:pStyle w:val="6"/>
                    <w:spacing w:before="62" w:line="221" w:lineRule="auto"/>
                    <w:ind w:left="596"/>
                    <w:rPr>
                      <w:sz w:val="21"/>
                      <w:szCs w:val="21"/>
                    </w:rPr>
                  </w:pPr>
                  <w:r>
                    <w:rPr>
                      <w:spacing w:val="-1"/>
                      <w:sz w:val="21"/>
                      <w:szCs w:val="21"/>
                    </w:rPr>
                    <w:t>黄棕色</w:t>
                  </w:r>
                </w:p>
              </w:tc>
              <w:tc>
                <w:tcPr>
                  <w:tcW w:w="2025" w:type="dxa"/>
                  <w:vAlign w:val="top"/>
                </w:tcPr>
                <w:p>
                  <w:pPr>
                    <w:pStyle w:val="6"/>
                    <w:spacing w:before="62" w:line="221" w:lineRule="auto"/>
                    <w:ind w:left="702"/>
                    <w:rPr>
                      <w:sz w:val="21"/>
                      <w:szCs w:val="21"/>
                    </w:rPr>
                  </w:pPr>
                  <w:r>
                    <w:rPr>
                      <w:spacing w:val="-1"/>
                      <w:sz w:val="21"/>
                      <w:szCs w:val="21"/>
                    </w:rPr>
                    <w:t>黄棕色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30" w:type="dxa"/>
                  <w:vMerge w:val="continue"/>
                  <w:tcBorders>
                    <w:top w:val="nil"/>
                    <w:bottom w:val="nil"/>
                  </w:tcBorders>
                  <w:vAlign w:val="top"/>
                </w:tcPr>
                <w:p>
                  <w:pPr>
                    <w:rPr>
                      <w:rFonts w:ascii="Arial"/>
                      <w:sz w:val="21"/>
                    </w:rPr>
                  </w:pPr>
                </w:p>
              </w:tc>
              <w:tc>
                <w:tcPr>
                  <w:tcW w:w="1795" w:type="dxa"/>
                  <w:vAlign w:val="top"/>
                </w:tcPr>
                <w:p>
                  <w:pPr>
                    <w:pStyle w:val="6"/>
                    <w:spacing w:before="65" w:line="221" w:lineRule="auto"/>
                    <w:ind w:left="695"/>
                    <w:rPr>
                      <w:sz w:val="21"/>
                      <w:szCs w:val="21"/>
                    </w:rPr>
                  </w:pPr>
                  <w:r>
                    <w:rPr>
                      <w:spacing w:val="-3"/>
                      <w:sz w:val="21"/>
                      <w:szCs w:val="21"/>
                    </w:rPr>
                    <w:t>结构</w:t>
                  </w:r>
                </w:p>
              </w:tc>
              <w:tc>
                <w:tcPr>
                  <w:tcW w:w="1746" w:type="dxa"/>
                  <w:vAlign w:val="top"/>
                </w:tcPr>
                <w:p>
                  <w:pPr>
                    <w:pStyle w:val="6"/>
                    <w:spacing w:before="65" w:line="221" w:lineRule="auto"/>
                    <w:ind w:left="686"/>
                    <w:rPr>
                      <w:sz w:val="21"/>
                      <w:szCs w:val="21"/>
                    </w:rPr>
                  </w:pPr>
                  <w:r>
                    <w:rPr>
                      <w:spacing w:val="-7"/>
                      <w:sz w:val="21"/>
                      <w:szCs w:val="21"/>
                    </w:rPr>
                    <w:t>团粒</w:t>
                  </w:r>
                </w:p>
              </w:tc>
              <w:tc>
                <w:tcPr>
                  <w:tcW w:w="1814" w:type="dxa"/>
                  <w:vAlign w:val="top"/>
                </w:tcPr>
                <w:p>
                  <w:pPr>
                    <w:pStyle w:val="6"/>
                    <w:spacing w:before="65" w:line="221" w:lineRule="auto"/>
                    <w:ind w:left="721"/>
                    <w:rPr>
                      <w:sz w:val="21"/>
                      <w:szCs w:val="21"/>
                    </w:rPr>
                  </w:pPr>
                  <w:r>
                    <w:rPr>
                      <w:spacing w:val="-7"/>
                      <w:sz w:val="21"/>
                      <w:szCs w:val="21"/>
                    </w:rPr>
                    <w:t>团粒</w:t>
                  </w:r>
                </w:p>
              </w:tc>
              <w:tc>
                <w:tcPr>
                  <w:tcW w:w="2025" w:type="dxa"/>
                  <w:vAlign w:val="top"/>
                </w:tcPr>
                <w:p>
                  <w:pPr>
                    <w:pStyle w:val="6"/>
                    <w:spacing w:before="65" w:line="221" w:lineRule="auto"/>
                    <w:ind w:left="827"/>
                    <w:rPr>
                      <w:sz w:val="21"/>
                      <w:szCs w:val="21"/>
                    </w:rPr>
                  </w:pPr>
                  <w:r>
                    <w:rPr>
                      <w:spacing w:val="-7"/>
                      <w:sz w:val="21"/>
                      <w:szCs w:val="21"/>
                    </w:rPr>
                    <w:t>团粒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30" w:type="dxa"/>
                  <w:vMerge w:val="continue"/>
                  <w:tcBorders>
                    <w:top w:val="nil"/>
                    <w:bottom w:val="nil"/>
                  </w:tcBorders>
                  <w:vAlign w:val="top"/>
                </w:tcPr>
                <w:p>
                  <w:pPr>
                    <w:rPr>
                      <w:rFonts w:ascii="Arial"/>
                      <w:sz w:val="21"/>
                    </w:rPr>
                  </w:pPr>
                </w:p>
              </w:tc>
              <w:tc>
                <w:tcPr>
                  <w:tcW w:w="1795" w:type="dxa"/>
                  <w:vAlign w:val="top"/>
                </w:tcPr>
                <w:p>
                  <w:pPr>
                    <w:pStyle w:val="6"/>
                    <w:spacing w:before="65" w:line="221" w:lineRule="auto"/>
                    <w:ind w:left="691"/>
                    <w:rPr>
                      <w:sz w:val="21"/>
                      <w:szCs w:val="21"/>
                    </w:rPr>
                  </w:pPr>
                  <w:r>
                    <w:rPr>
                      <w:spacing w:val="-2"/>
                      <w:sz w:val="21"/>
                      <w:szCs w:val="21"/>
                    </w:rPr>
                    <w:t>质地</w:t>
                  </w:r>
                </w:p>
              </w:tc>
              <w:tc>
                <w:tcPr>
                  <w:tcW w:w="1746" w:type="dxa"/>
                  <w:vAlign w:val="top"/>
                </w:tcPr>
                <w:p>
                  <w:pPr>
                    <w:pStyle w:val="6"/>
                    <w:spacing w:before="65" w:line="221" w:lineRule="auto"/>
                    <w:ind w:left="581"/>
                    <w:rPr>
                      <w:sz w:val="21"/>
                      <w:szCs w:val="21"/>
                    </w:rPr>
                  </w:pPr>
                  <w:r>
                    <w:rPr>
                      <w:spacing w:val="-6"/>
                      <w:sz w:val="21"/>
                      <w:szCs w:val="21"/>
                    </w:rPr>
                    <w:t>中壤土</w:t>
                  </w:r>
                </w:p>
              </w:tc>
              <w:tc>
                <w:tcPr>
                  <w:tcW w:w="1814" w:type="dxa"/>
                  <w:vAlign w:val="top"/>
                </w:tcPr>
                <w:p>
                  <w:pPr>
                    <w:pStyle w:val="6"/>
                    <w:spacing w:before="65" w:line="221" w:lineRule="auto"/>
                    <w:ind w:left="617"/>
                    <w:rPr>
                      <w:sz w:val="21"/>
                      <w:szCs w:val="21"/>
                    </w:rPr>
                  </w:pPr>
                  <w:r>
                    <w:rPr>
                      <w:spacing w:val="-6"/>
                      <w:sz w:val="21"/>
                      <w:szCs w:val="21"/>
                    </w:rPr>
                    <w:t>中壤土</w:t>
                  </w:r>
                </w:p>
              </w:tc>
              <w:tc>
                <w:tcPr>
                  <w:tcW w:w="2025" w:type="dxa"/>
                  <w:vAlign w:val="top"/>
                </w:tcPr>
                <w:p>
                  <w:pPr>
                    <w:pStyle w:val="6"/>
                    <w:spacing w:before="65" w:line="221" w:lineRule="auto"/>
                    <w:ind w:left="723"/>
                    <w:rPr>
                      <w:sz w:val="21"/>
                      <w:szCs w:val="21"/>
                    </w:rPr>
                  </w:pPr>
                  <w:r>
                    <w:rPr>
                      <w:spacing w:val="-6"/>
                      <w:sz w:val="21"/>
                      <w:szCs w:val="21"/>
                    </w:rPr>
                    <w:t>中壤土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30" w:type="dxa"/>
                  <w:vMerge w:val="continue"/>
                  <w:tcBorders>
                    <w:top w:val="nil"/>
                    <w:bottom w:val="nil"/>
                  </w:tcBorders>
                  <w:vAlign w:val="top"/>
                </w:tcPr>
                <w:p>
                  <w:pPr>
                    <w:rPr>
                      <w:rFonts w:ascii="Arial"/>
                      <w:sz w:val="21"/>
                    </w:rPr>
                  </w:pPr>
                </w:p>
              </w:tc>
              <w:tc>
                <w:tcPr>
                  <w:tcW w:w="1795" w:type="dxa"/>
                  <w:vAlign w:val="top"/>
                </w:tcPr>
                <w:p>
                  <w:pPr>
                    <w:pStyle w:val="6"/>
                    <w:spacing w:before="28" w:line="220" w:lineRule="auto"/>
                    <w:ind w:left="271"/>
                    <w:rPr>
                      <w:sz w:val="21"/>
                      <w:szCs w:val="21"/>
                    </w:rPr>
                  </w:pPr>
                  <w:r>
                    <w:rPr>
                      <w:spacing w:val="-1"/>
                      <w:sz w:val="21"/>
                      <w:szCs w:val="21"/>
                    </w:rPr>
                    <w:t>氧化还原电位</w:t>
                  </w:r>
                </w:p>
                <w:p>
                  <w:pPr>
                    <w:pStyle w:val="6"/>
                    <w:spacing w:before="23" w:line="208" w:lineRule="auto"/>
                    <w:ind w:left="541"/>
                    <w:rPr>
                      <w:sz w:val="21"/>
                      <w:szCs w:val="21"/>
                    </w:rPr>
                  </w:pPr>
                  <w:r>
                    <w:rPr>
                      <w:spacing w:val="-4"/>
                      <w:sz w:val="21"/>
                      <w:szCs w:val="21"/>
                    </w:rPr>
                    <w:t>（</w:t>
                  </w:r>
                  <w:r>
                    <w:rPr>
                      <w:rFonts w:ascii="Times New Roman" w:hAnsi="Times New Roman" w:eastAsia="Times New Roman" w:cs="Times New Roman"/>
                      <w:spacing w:val="-4"/>
                      <w:sz w:val="21"/>
                      <w:szCs w:val="21"/>
                    </w:rPr>
                    <w:t>mV</w:t>
                  </w:r>
                  <w:r>
                    <w:rPr>
                      <w:spacing w:val="-4"/>
                      <w:sz w:val="21"/>
                      <w:szCs w:val="21"/>
                    </w:rPr>
                    <w:t>）</w:t>
                  </w:r>
                </w:p>
              </w:tc>
              <w:tc>
                <w:tcPr>
                  <w:tcW w:w="1746" w:type="dxa"/>
                  <w:vAlign w:val="top"/>
                </w:tcPr>
                <w:p>
                  <w:pPr>
                    <w:spacing w:before="204" w:line="187" w:lineRule="auto"/>
                    <w:ind w:left="73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178</w:t>
                  </w:r>
                </w:p>
              </w:tc>
              <w:tc>
                <w:tcPr>
                  <w:tcW w:w="1814" w:type="dxa"/>
                  <w:vAlign w:val="top"/>
                </w:tcPr>
                <w:p>
                  <w:pPr>
                    <w:spacing w:before="204" w:line="187" w:lineRule="auto"/>
                    <w:ind w:left="7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182</w:t>
                  </w:r>
                </w:p>
              </w:tc>
              <w:tc>
                <w:tcPr>
                  <w:tcW w:w="2025" w:type="dxa"/>
                  <w:vAlign w:val="top"/>
                </w:tcPr>
                <w:p>
                  <w:pPr>
                    <w:spacing w:before="204" w:line="187" w:lineRule="auto"/>
                    <w:ind w:left="87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Merge w:val="continue"/>
                  <w:tcBorders>
                    <w:top w:val="nil"/>
                    <w:bottom w:val="nil"/>
                  </w:tcBorders>
                  <w:vAlign w:val="top"/>
                </w:tcPr>
                <w:p>
                  <w:pPr>
                    <w:rPr>
                      <w:rFonts w:ascii="Arial"/>
                      <w:sz w:val="21"/>
                    </w:rPr>
                  </w:pPr>
                </w:p>
              </w:tc>
              <w:tc>
                <w:tcPr>
                  <w:tcW w:w="1795" w:type="dxa"/>
                  <w:vAlign w:val="top"/>
                </w:tcPr>
                <w:p>
                  <w:pPr>
                    <w:pStyle w:val="6"/>
                    <w:spacing w:before="65" w:line="234" w:lineRule="auto"/>
                    <w:ind w:left="183"/>
                    <w:rPr>
                      <w:sz w:val="21"/>
                      <w:szCs w:val="21"/>
                    </w:rPr>
                  </w:pPr>
                  <w:r>
                    <w:rPr>
                      <w:spacing w:val="-1"/>
                      <w:sz w:val="21"/>
                      <w:szCs w:val="21"/>
                    </w:rPr>
                    <w:t>砂砾含量（</w:t>
                  </w:r>
                  <w:r>
                    <w:rPr>
                      <w:rFonts w:ascii="Times New Roman" w:hAnsi="Times New Roman" w:eastAsia="Times New Roman" w:cs="Times New Roman"/>
                      <w:spacing w:val="-1"/>
                      <w:sz w:val="21"/>
                      <w:szCs w:val="21"/>
                    </w:rPr>
                    <w:t>%</w:t>
                  </w:r>
                  <w:r>
                    <w:rPr>
                      <w:spacing w:val="-1"/>
                      <w:sz w:val="21"/>
                      <w:szCs w:val="21"/>
                    </w:rPr>
                    <w:t>）</w:t>
                  </w:r>
                </w:p>
              </w:tc>
              <w:tc>
                <w:tcPr>
                  <w:tcW w:w="1746" w:type="dxa"/>
                  <w:vAlign w:val="top"/>
                </w:tcPr>
                <w:p>
                  <w:pPr>
                    <w:spacing w:before="103" w:line="187" w:lineRule="auto"/>
                    <w:ind w:left="82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14" w:type="dxa"/>
                  <w:vAlign w:val="top"/>
                </w:tcPr>
                <w:p>
                  <w:pPr>
                    <w:spacing w:before="104" w:line="187" w:lineRule="auto"/>
                    <w:ind w:left="85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25" w:type="dxa"/>
                  <w:vAlign w:val="top"/>
                </w:tcPr>
                <w:p>
                  <w:pPr>
                    <w:spacing w:before="104" w:line="187" w:lineRule="auto"/>
                    <w:ind w:left="96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Merge w:val="continue"/>
                  <w:tcBorders>
                    <w:top w:val="nil"/>
                  </w:tcBorders>
                  <w:vAlign w:val="top"/>
                </w:tcPr>
                <w:p>
                  <w:pPr>
                    <w:rPr>
                      <w:rFonts w:ascii="Arial"/>
                      <w:sz w:val="21"/>
                    </w:rPr>
                  </w:pPr>
                </w:p>
              </w:tc>
              <w:tc>
                <w:tcPr>
                  <w:tcW w:w="1795" w:type="dxa"/>
                  <w:vAlign w:val="top"/>
                </w:tcPr>
                <w:p>
                  <w:pPr>
                    <w:pStyle w:val="6"/>
                    <w:spacing w:before="62" w:line="221" w:lineRule="auto"/>
                    <w:ind w:left="482"/>
                    <w:rPr>
                      <w:sz w:val="21"/>
                      <w:szCs w:val="21"/>
                    </w:rPr>
                  </w:pPr>
                  <w:r>
                    <w:rPr>
                      <w:spacing w:val="-2"/>
                      <w:sz w:val="21"/>
                      <w:szCs w:val="21"/>
                    </w:rPr>
                    <w:t>其他异物</w:t>
                  </w:r>
                </w:p>
              </w:tc>
              <w:tc>
                <w:tcPr>
                  <w:tcW w:w="1746" w:type="dxa"/>
                  <w:vAlign w:val="top"/>
                </w:tcPr>
                <w:p>
                  <w:pPr>
                    <w:pStyle w:val="6"/>
                    <w:spacing w:before="63" w:line="221" w:lineRule="auto"/>
                    <w:ind w:left="774"/>
                    <w:rPr>
                      <w:sz w:val="21"/>
                      <w:szCs w:val="21"/>
                    </w:rPr>
                  </w:pPr>
                  <w:r>
                    <w:rPr>
                      <w:sz w:val="21"/>
                      <w:szCs w:val="21"/>
                    </w:rPr>
                    <w:t>无</w:t>
                  </w:r>
                </w:p>
              </w:tc>
              <w:tc>
                <w:tcPr>
                  <w:tcW w:w="1814" w:type="dxa"/>
                  <w:vAlign w:val="top"/>
                </w:tcPr>
                <w:p>
                  <w:pPr>
                    <w:pStyle w:val="6"/>
                    <w:spacing w:before="63" w:line="221" w:lineRule="auto"/>
                    <w:ind w:left="810"/>
                    <w:rPr>
                      <w:sz w:val="21"/>
                      <w:szCs w:val="21"/>
                    </w:rPr>
                  </w:pPr>
                  <w:r>
                    <w:rPr>
                      <w:sz w:val="21"/>
                      <w:szCs w:val="21"/>
                    </w:rPr>
                    <w:t>无</w:t>
                  </w:r>
                </w:p>
              </w:tc>
              <w:tc>
                <w:tcPr>
                  <w:tcW w:w="2025" w:type="dxa"/>
                  <w:vAlign w:val="top"/>
                </w:tcPr>
                <w:p>
                  <w:pPr>
                    <w:pStyle w:val="6"/>
                    <w:spacing w:before="63" w:line="221" w:lineRule="auto"/>
                    <w:ind w:left="914"/>
                    <w:rPr>
                      <w:sz w:val="21"/>
                      <w:szCs w:val="21"/>
                    </w:rPr>
                  </w:pPr>
                  <w:r>
                    <w:rPr>
                      <w:sz w:val="21"/>
                      <w:szCs w:val="21"/>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Merge w:val="restart"/>
                  <w:tcBorders>
                    <w:bottom w:val="nil"/>
                  </w:tcBorders>
                  <w:vAlign w:val="top"/>
                </w:tcPr>
                <w:p>
                  <w:pPr>
                    <w:pStyle w:val="6"/>
                    <w:spacing w:before="101" w:line="231" w:lineRule="auto"/>
                    <w:ind w:left="519" w:right="190" w:hanging="314"/>
                    <w:rPr>
                      <w:sz w:val="21"/>
                      <w:szCs w:val="21"/>
                    </w:rPr>
                  </w:pPr>
                  <w:r>
                    <w:rPr>
                      <w:spacing w:val="-3"/>
                      <w:sz w:val="21"/>
                      <w:szCs w:val="21"/>
                    </w:rPr>
                    <w:t>实验室测</w:t>
                  </w:r>
                  <w:r>
                    <w:rPr>
                      <w:sz w:val="21"/>
                      <w:szCs w:val="21"/>
                    </w:rPr>
                    <w:t xml:space="preserve"> 定</w:t>
                  </w:r>
                </w:p>
              </w:tc>
              <w:tc>
                <w:tcPr>
                  <w:tcW w:w="1795" w:type="dxa"/>
                  <w:vAlign w:val="top"/>
                </w:tcPr>
                <w:p>
                  <w:pPr>
                    <w:pStyle w:val="6"/>
                    <w:spacing w:before="63" w:line="214" w:lineRule="auto"/>
                    <w:ind w:left="240"/>
                    <w:rPr>
                      <w:sz w:val="21"/>
                      <w:szCs w:val="21"/>
                    </w:rPr>
                  </w:pPr>
                  <w:r>
                    <w:rPr>
                      <w:rFonts w:ascii="Times New Roman" w:hAnsi="Times New Roman" w:eastAsia="Times New Roman" w:cs="Times New Roman"/>
                      <w:sz w:val="21"/>
                      <w:szCs w:val="21"/>
                    </w:rPr>
                    <w:t>pH</w:t>
                  </w:r>
                  <w:r>
                    <w:rPr>
                      <w:sz w:val="21"/>
                      <w:szCs w:val="21"/>
                    </w:rPr>
                    <w:t>（无量纲）</w:t>
                  </w:r>
                </w:p>
              </w:tc>
              <w:tc>
                <w:tcPr>
                  <w:tcW w:w="1746" w:type="dxa"/>
                  <w:vAlign w:val="top"/>
                </w:tcPr>
                <w:p>
                  <w:pPr>
                    <w:spacing w:before="102" w:line="187" w:lineRule="auto"/>
                    <w:ind w:left="6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7.42</w:t>
                  </w:r>
                </w:p>
              </w:tc>
              <w:tc>
                <w:tcPr>
                  <w:tcW w:w="1814" w:type="dxa"/>
                  <w:vAlign w:val="top"/>
                </w:tcPr>
                <w:p>
                  <w:pPr>
                    <w:spacing w:before="102" w:line="187" w:lineRule="auto"/>
                    <w:ind w:left="7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7.32</w:t>
                  </w:r>
                </w:p>
              </w:tc>
              <w:tc>
                <w:tcPr>
                  <w:tcW w:w="2025" w:type="dxa"/>
                  <w:vAlign w:val="top"/>
                </w:tcPr>
                <w:p>
                  <w:pPr>
                    <w:spacing w:before="102" w:line="187" w:lineRule="auto"/>
                    <w:ind w:left="8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230" w:type="dxa"/>
                  <w:vMerge w:val="continue"/>
                  <w:tcBorders>
                    <w:top w:val="nil"/>
                    <w:bottom w:val="nil"/>
                  </w:tcBorders>
                  <w:vAlign w:val="top"/>
                </w:tcPr>
                <w:p>
                  <w:pPr>
                    <w:rPr>
                      <w:rFonts w:ascii="Arial"/>
                      <w:sz w:val="21"/>
                    </w:rPr>
                  </w:pPr>
                </w:p>
              </w:tc>
              <w:tc>
                <w:tcPr>
                  <w:tcW w:w="1795" w:type="dxa"/>
                  <w:tcBorders>
                    <w:bottom w:val="nil"/>
                  </w:tcBorders>
                  <w:vAlign w:val="top"/>
                </w:tcPr>
                <w:p>
                  <w:pPr>
                    <w:pStyle w:val="6"/>
                    <w:spacing w:before="64" w:line="221" w:lineRule="auto"/>
                    <w:ind w:left="286"/>
                    <w:rPr>
                      <w:sz w:val="21"/>
                      <w:szCs w:val="21"/>
                    </w:rPr>
                  </w:pPr>
                  <w:r>
                    <w:rPr>
                      <w:spacing w:val="-4"/>
                      <w:sz w:val="21"/>
                      <w:szCs w:val="21"/>
                    </w:rPr>
                    <w:t>阳离子交换量</w:t>
                  </w:r>
                </w:p>
              </w:tc>
              <w:tc>
                <w:tcPr>
                  <w:tcW w:w="1746" w:type="dxa"/>
                  <w:tcBorders>
                    <w:bottom w:val="nil"/>
                  </w:tcBorders>
                  <w:vAlign w:val="top"/>
                </w:tcPr>
                <w:p>
                  <w:pPr>
                    <w:spacing w:before="102" w:line="187" w:lineRule="auto"/>
                    <w:ind w:left="6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10.29</w:t>
                  </w:r>
                </w:p>
              </w:tc>
              <w:tc>
                <w:tcPr>
                  <w:tcW w:w="1814" w:type="dxa"/>
                  <w:tcBorders>
                    <w:bottom w:val="nil"/>
                  </w:tcBorders>
                  <w:vAlign w:val="top"/>
                </w:tcPr>
                <w:p>
                  <w:pPr>
                    <w:spacing w:before="102" w:line="187" w:lineRule="auto"/>
                    <w:ind w:left="7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2025" w:type="dxa"/>
                  <w:tcBorders>
                    <w:bottom w:val="nil"/>
                  </w:tcBorders>
                  <w:vAlign w:val="top"/>
                </w:tcPr>
                <w:p>
                  <w:pPr>
                    <w:spacing w:before="102" w:line="187" w:lineRule="auto"/>
                    <w:ind w:left="85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10.6</w:t>
                  </w:r>
                </w:p>
              </w:tc>
            </w:tr>
          </w:tbl>
          <w:p>
            <w:pPr>
              <w:spacing w:line="88" w:lineRule="auto"/>
              <w:rPr>
                <w:rFonts w:ascii="Arial"/>
                <w:sz w:val="2"/>
              </w:rPr>
            </w:pPr>
          </w:p>
        </w:tc>
      </w:tr>
    </w:tbl>
    <w:p>
      <w:pPr>
        <w:pStyle w:val="2"/>
        <w:rPr>
          <w:sz w:val="21"/>
        </w:rPr>
      </w:pPr>
    </w:p>
    <w:p>
      <w:pPr>
        <w:rPr>
          <w:sz w:val="21"/>
          <w:szCs w:val="21"/>
        </w:rPr>
        <w:sectPr>
          <w:footerReference r:id="rId77" w:type="default"/>
          <w:pgSz w:w="11907" w:h="16839"/>
          <w:pgMar w:top="400" w:right="1298" w:bottom="1181"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3"/>
        <w:gridCol w:w="1224"/>
        <w:gridCol w:w="1793"/>
        <w:gridCol w:w="1744"/>
        <w:gridCol w:w="1812"/>
        <w:gridCol w:w="2018"/>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8" w:type="dxa"/>
            <w:gridSpan w:val="2"/>
            <w:vMerge w:val="restart"/>
            <w:tcBorders>
              <w:top w:val="single" w:color="000000" w:sz="6" w:space="0"/>
              <w:left w:val="single" w:color="000000" w:sz="6" w:space="0"/>
              <w:bottom w:val="nil"/>
            </w:tcBorders>
            <w:vAlign w:val="top"/>
          </w:tcPr>
          <w:p>
            <w:pPr>
              <w:rPr>
                <w:rFonts w:ascii="Arial"/>
                <w:sz w:val="21"/>
              </w:rPr>
            </w:pPr>
            <w:r>
              <w:pict>
                <v:rect id="_x0000_s1277" o:spid="_x0000_s1277" o:spt="1" style="position:absolute;left:0pt;margin-left:22.75pt;margin-top:0.95pt;height:70pt;width:0.5pt;mso-position-horizontal-relative:page;mso-position-vertical-relative:page;z-index:251824128;mso-width-relative:page;mso-height-relative:page;" fillcolor="#000000" filled="t" stroked="f" coordsize="21600,21600">
                  <v:path/>
                  <v:fill on="t" focussize="0,0"/>
                  <v:stroke on="f"/>
                  <v:imagedata o:title=""/>
                  <o:lock v:ext="edit"/>
                </v:rect>
              </w:pict>
            </w:r>
          </w:p>
        </w:tc>
        <w:tc>
          <w:tcPr>
            <w:tcW w:w="1224" w:type="dxa"/>
            <w:vMerge w:val="restart"/>
            <w:tcBorders>
              <w:top w:val="single" w:color="000000" w:sz="6" w:space="0"/>
              <w:bottom w:val="nil"/>
            </w:tcBorders>
            <w:vAlign w:val="top"/>
          </w:tcPr>
          <w:p>
            <w:pPr>
              <w:rPr>
                <w:rFonts w:ascii="Arial"/>
                <w:sz w:val="21"/>
              </w:rPr>
            </w:pPr>
          </w:p>
        </w:tc>
        <w:tc>
          <w:tcPr>
            <w:tcW w:w="1793" w:type="dxa"/>
            <w:tcBorders>
              <w:top w:val="single" w:color="000000" w:sz="6" w:space="0"/>
            </w:tcBorders>
            <w:vAlign w:val="top"/>
          </w:tcPr>
          <w:p>
            <w:pPr>
              <w:pStyle w:val="6"/>
              <w:spacing w:before="34" w:line="213" w:lineRule="auto"/>
              <w:ind w:left="221"/>
              <w:rPr>
                <w:sz w:val="21"/>
                <w:szCs w:val="21"/>
              </w:rPr>
            </w:pPr>
            <w:r>
              <w:rPr>
                <w:spacing w:val="-1"/>
                <w:sz w:val="21"/>
                <w:szCs w:val="21"/>
              </w:rPr>
              <w:t>（</w:t>
            </w:r>
            <w:r>
              <w:rPr>
                <w:rFonts w:ascii="Times New Roman" w:hAnsi="Times New Roman" w:eastAsia="Times New Roman" w:cs="Times New Roman"/>
                <w:spacing w:val="-1"/>
                <w:sz w:val="21"/>
                <w:szCs w:val="21"/>
              </w:rPr>
              <w:t>cmol(+)/kg</w:t>
            </w:r>
            <w:r>
              <w:rPr>
                <w:spacing w:val="-1"/>
                <w:sz w:val="21"/>
                <w:szCs w:val="21"/>
              </w:rPr>
              <w:t>）</w:t>
            </w:r>
          </w:p>
        </w:tc>
        <w:tc>
          <w:tcPr>
            <w:tcW w:w="1744" w:type="dxa"/>
            <w:tcBorders>
              <w:top w:val="single" w:color="000000" w:sz="6" w:space="0"/>
            </w:tcBorders>
            <w:vAlign w:val="top"/>
          </w:tcPr>
          <w:p>
            <w:pPr>
              <w:rPr>
                <w:rFonts w:ascii="Arial"/>
                <w:sz w:val="21"/>
              </w:rPr>
            </w:pPr>
          </w:p>
        </w:tc>
        <w:tc>
          <w:tcPr>
            <w:tcW w:w="1812" w:type="dxa"/>
            <w:tcBorders>
              <w:top w:val="single" w:color="000000" w:sz="6" w:space="0"/>
            </w:tcBorders>
            <w:vAlign w:val="top"/>
          </w:tcPr>
          <w:p>
            <w:pPr>
              <w:rPr>
                <w:rFonts w:ascii="Arial"/>
                <w:sz w:val="21"/>
              </w:rPr>
            </w:pPr>
          </w:p>
        </w:tc>
        <w:tc>
          <w:tcPr>
            <w:tcW w:w="2140" w:type="dxa"/>
            <w:gridSpan w:val="2"/>
            <w:tcBorders>
              <w:top w:val="single" w:color="000000" w:sz="6" w:space="0"/>
              <w:right w:val="single" w:color="000000" w:sz="6" w:space="0"/>
            </w:tcBorders>
            <w:vAlign w:val="top"/>
          </w:tcPr>
          <w:p>
            <w:pPr>
              <w:rPr>
                <w:rFonts w:ascii="Arial"/>
                <w:sz w:val="21"/>
              </w:rPr>
            </w:pPr>
            <w:r>
              <w:pict>
                <v:rect id="_x0000_s1278" o:spid="_x0000_s1278" o:spt="1" style="position:absolute;left:0pt;margin-left:101.1pt;margin-top:0.95pt;height:17.05pt;width:0.5pt;mso-position-horizontal-relative:page;mso-position-vertical-relative:page;z-index:251823104;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78" w:type="dxa"/>
            <w:gridSpan w:val="2"/>
            <w:vMerge w:val="continue"/>
            <w:tcBorders>
              <w:top w:val="nil"/>
              <w:left w:val="single" w:color="000000" w:sz="6" w:space="0"/>
              <w:bottom w:val="nil"/>
            </w:tcBorders>
            <w:vAlign w:val="top"/>
          </w:tcPr>
          <w:p>
            <w:pPr>
              <w:rPr>
                <w:rFonts w:ascii="Arial"/>
                <w:sz w:val="21"/>
              </w:rPr>
            </w:pPr>
          </w:p>
        </w:tc>
        <w:tc>
          <w:tcPr>
            <w:tcW w:w="1224" w:type="dxa"/>
            <w:vMerge w:val="continue"/>
            <w:tcBorders>
              <w:top w:val="nil"/>
              <w:bottom w:val="nil"/>
            </w:tcBorders>
            <w:vAlign w:val="top"/>
          </w:tcPr>
          <w:p>
            <w:pPr>
              <w:rPr>
                <w:rFonts w:ascii="Arial"/>
                <w:sz w:val="21"/>
              </w:rPr>
            </w:pPr>
          </w:p>
        </w:tc>
        <w:tc>
          <w:tcPr>
            <w:tcW w:w="1793" w:type="dxa"/>
            <w:vAlign w:val="top"/>
          </w:tcPr>
          <w:p>
            <w:pPr>
              <w:pStyle w:val="6"/>
              <w:spacing w:before="64" w:line="234" w:lineRule="auto"/>
              <w:ind w:left="175"/>
              <w:rPr>
                <w:sz w:val="21"/>
                <w:szCs w:val="21"/>
              </w:rPr>
            </w:pPr>
            <w:r>
              <w:rPr>
                <w:spacing w:val="-1"/>
                <w:sz w:val="21"/>
                <w:szCs w:val="21"/>
              </w:rPr>
              <w:t>渗滤率（</w:t>
            </w:r>
            <w:r>
              <w:rPr>
                <w:rFonts w:ascii="Times New Roman" w:hAnsi="Times New Roman" w:eastAsia="Times New Roman" w:cs="Times New Roman"/>
                <w:spacing w:val="-1"/>
                <w:sz w:val="21"/>
                <w:szCs w:val="21"/>
              </w:rPr>
              <w:t>cm/s</w:t>
            </w:r>
            <w:r>
              <w:rPr>
                <w:spacing w:val="-1"/>
                <w:sz w:val="21"/>
                <w:szCs w:val="21"/>
              </w:rPr>
              <w:t>）</w:t>
            </w:r>
          </w:p>
        </w:tc>
        <w:tc>
          <w:tcPr>
            <w:tcW w:w="1744" w:type="dxa"/>
            <w:vAlign w:val="top"/>
          </w:tcPr>
          <w:p>
            <w:pPr>
              <w:spacing w:before="81" w:line="208" w:lineRule="auto"/>
              <w:ind w:left="470"/>
              <w:rPr>
                <w:rFonts w:ascii="Times New Roman" w:hAnsi="Times New Roman" w:eastAsia="Times New Roman" w:cs="Times New Roman"/>
                <w:sz w:val="13"/>
                <w:szCs w:val="13"/>
              </w:rPr>
            </w:pPr>
            <w:r>
              <w:rPr>
                <w:rFonts w:ascii="Times New Roman" w:hAnsi="Times New Roman" w:eastAsia="Times New Roman" w:cs="Times New Roman"/>
                <w:sz w:val="21"/>
                <w:szCs w:val="21"/>
              </w:rPr>
              <w:t>6.20×10</w:t>
            </w:r>
            <w:r>
              <w:rPr>
                <w:rFonts w:ascii="Times New Roman" w:hAnsi="Times New Roman" w:eastAsia="Times New Roman" w:cs="Times New Roman"/>
                <w:position w:val="6"/>
                <w:sz w:val="13"/>
                <w:szCs w:val="13"/>
              </w:rPr>
              <w:t>-3</w:t>
            </w:r>
          </w:p>
        </w:tc>
        <w:tc>
          <w:tcPr>
            <w:tcW w:w="1812" w:type="dxa"/>
            <w:vAlign w:val="top"/>
          </w:tcPr>
          <w:p>
            <w:pPr>
              <w:spacing w:before="81" w:line="208" w:lineRule="auto"/>
              <w:ind w:left="508"/>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5.19×10</w:t>
            </w:r>
            <w:r>
              <w:rPr>
                <w:rFonts w:ascii="Times New Roman" w:hAnsi="Times New Roman" w:eastAsia="Times New Roman" w:cs="Times New Roman"/>
                <w:spacing w:val="-1"/>
                <w:position w:val="6"/>
                <w:sz w:val="13"/>
                <w:szCs w:val="13"/>
              </w:rPr>
              <w:t>-3</w:t>
            </w:r>
          </w:p>
        </w:tc>
        <w:tc>
          <w:tcPr>
            <w:tcW w:w="2018" w:type="dxa"/>
            <w:tcBorders>
              <w:right w:val="single" w:color="000000" w:sz="8" w:space="0"/>
            </w:tcBorders>
            <w:vAlign w:val="top"/>
          </w:tcPr>
          <w:p>
            <w:pPr>
              <w:spacing w:before="81" w:line="208" w:lineRule="auto"/>
              <w:ind w:left="610"/>
              <w:rPr>
                <w:rFonts w:ascii="Times New Roman" w:hAnsi="Times New Roman" w:eastAsia="Times New Roman" w:cs="Times New Roman"/>
                <w:sz w:val="13"/>
                <w:szCs w:val="13"/>
              </w:rPr>
            </w:pPr>
            <w:r>
              <w:rPr>
                <w:rFonts w:ascii="Times New Roman" w:hAnsi="Times New Roman" w:eastAsia="Times New Roman" w:cs="Times New Roman"/>
                <w:sz w:val="21"/>
                <w:szCs w:val="21"/>
              </w:rPr>
              <w:t>4.19×10</w:t>
            </w:r>
            <w:r>
              <w:rPr>
                <w:rFonts w:ascii="Times New Roman" w:hAnsi="Times New Roman" w:eastAsia="Times New Roman" w:cs="Times New Roman"/>
                <w:position w:val="6"/>
                <w:sz w:val="13"/>
                <w:szCs w:val="13"/>
              </w:rPr>
              <w:t>-3</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gridSpan w:val="2"/>
            <w:vMerge w:val="continue"/>
            <w:tcBorders>
              <w:top w:val="nil"/>
              <w:left w:val="single" w:color="000000" w:sz="6" w:space="0"/>
              <w:bottom w:val="nil"/>
            </w:tcBorders>
            <w:vAlign w:val="top"/>
          </w:tcPr>
          <w:p>
            <w:pPr>
              <w:rPr>
                <w:rFonts w:ascii="Arial"/>
                <w:sz w:val="21"/>
              </w:rPr>
            </w:pPr>
          </w:p>
        </w:tc>
        <w:tc>
          <w:tcPr>
            <w:tcW w:w="1224" w:type="dxa"/>
            <w:vMerge w:val="continue"/>
            <w:tcBorders>
              <w:top w:val="nil"/>
              <w:bottom w:val="nil"/>
            </w:tcBorders>
            <w:vAlign w:val="top"/>
          </w:tcPr>
          <w:p>
            <w:pPr>
              <w:rPr>
                <w:rFonts w:ascii="Arial"/>
                <w:sz w:val="21"/>
              </w:rPr>
            </w:pPr>
          </w:p>
        </w:tc>
        <w:tc>
          <w:tcPr>
            <w:tcW w:w="1793" w:type="dxa"/>
            <w:vAlign w:val="top"/>
          </w:tcPr>
          <w:p>
            <w:pPr>
              <w:pStyle w:val="6"/>
              <w:spacing w:before="64" w:line="213" w:lineRule="auto"/>
              <w:jc w:val="right"/>
              <w:rPr>
                <w:sz w:val="21"/>
                <w:szCs w:val="21"/>
              </w:rPr>
            </w:pPr>
            <w:r>
              <w:rPr>
                <w:spacing w:val="-7"/>
                <w:sz w:val="21"/>
                <w:szCs w:val="21"/>
              </w:rPr>
              <w:t>土壤容重（</w:t>
            </w:r>
            <w:r>
              <w:rPr>
                <w:rFonts w:ascii="Times New Roman" w:hAnsi="Times New Roman" w:eastAsia="Times New Roman" w:cs="Times New Roman"/>
                <w:spacing w:val="-7"/>
                <w:sz w:val="21"/>
                <w:szCs w:val="21"/>
              </w:rPr>
              <w:t>g/cm</w:t>
            </w:r>
            <w:r>
              <w:rPr>
                <w:rFonts w:ascii="Times New Roman" w:hAnsi="Times New Roman" w:eastAsia="Times New Roman" w:cs="Times New Roman"/>
                <w:spacing w:val="-7"/>
                <w:position w:val="6"/>
                <w:sz w:val="13"/>
                <w:szCs w:val="13"/>
              </w:rPr>
              <w:t>3</w:t>
            </w:r>
            <w:r>
              <w:rPr>
                <w:spacing w:val="-7"/>
                <w:sz w:val="21"/>
                <w:szCs w:val="21"/>
              </w:rPr>
              <w:t>）</w:t>
            </w:r>
          </w:p>
        </w:tc>
        <w:tc>
          <w:tcPr>
            <w:tcW w:w="1744" w:type="dxa"/>
            <w:vAlign w:val="top"/>
          </w:tcPr>
          <w:p>
            <w:pPr>
              <w:spacing w:before="102" w:line="187" w:lineRule="auto"/>
              <w:ind w:left="7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1.45</w:t>
            </w:r>
          </w:p>
        </w:tc>
        <w:tc>
          <w:tcPr>
            <w:tcW w:w="1812" w:type="dxa"/>
            <w:vAlign w:val="top"/>
          </w:tcPr>
          <w:p>
            <w:pPr>
              <w:spacing w:before="102" w:line="187"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1.42</w:t>
            </w:r>
          </w:p>
        </w:tc>
        <w:tc>
          <w:tcPr>
            <w:tcW w:w="2018" w:type="dxa"/>
            <w:tcBorders>
              <w:right w:val="single" w:color="000000" w:sz="8" w:space="0"/>
            </w:tcBorders>
            <w:vAlign w:val="top"/>
          </w:tcPr>
          <w:p>
            <w:pPr>
              <w:spacing w:before="102" w:line="187" w:lineRule="auto"/>
              <w:ind w:left="8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1.44</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gridSpan w:val="2"/>
            <w:vMerge w:val="continue"/>
            <w:tcBorders>
              <w:top w:val="nil"/>
              <w:left w:val="single" w:color="000000" w:sz="6" w:space="0"/>
            </w:tcBorders>
            <w:vAlign w:val="top"/>
          </w:tcPr>
          <w:p>
            <w:pPr>
              <w:rPr>
                <w:rFonts w:ascii="Arial"/>
                <w:sz w:val="21"/>
              </w:rPr>
            </w:pPr>
          </w:p>
        </w:tc>
        <w:tc>
          <w:tcPr>
            <w:tcW w:w="1224" w:type="dxa"/>
            <w:vMerge w:val="continue"/>
            <w:tcBorders>
              <w:top w:val="nil"/>
            </w:tcBorders>
            <w:vAlign w:val="top"/>
          </w:tcPr>
          <w:p>
            <w:pPr>
              <w:rPr>
                <w:rFonts w:ascii="Arial"/>
                <w:sz w:val="21"/>
              </w:rPr>
            </w:pPr>
          </w:p>
        </w:tc>
        <w:tc>
          <w:tcPr>
            <w:tcW w:w="1793" w:type="dxa"/>
            <w:vAlign w:val="top"/>
          </w:tcPr>
          <w:p>
            <w:pPr>
              <w:pStyle w:val="6"/>
              <w:spacing w:before="66" w:line="235" w:lineRule="auto"/>
              <w:ind w:left="287"/>
              <w:rPr>
                <w:sz w:val="21"/>
                <w:szCs w:val="21"/>
              </w:rPr>
            </w:pPr>
            <w:r>
              <w:rPr>
                <w:spacing w:val="-1"/>
                <w:sz w:val="21"/>
                <w:szCs w:val="21"/>
              </w:rPr>
              <w:t>孔隙度（</w:t>
            </w:r>
            <w:r>
              <w:rPr>
                <w:rFonts w:ascii="Times New Roman" w:hAnsi="Times New Roman" w:eastAsia="Times New Roman" w:cs="Times New Roman"/>
                <w:spacing w:val="-1"/>
                <w:sz w:val="21"/>
                <w:szCs w:val="21"/>
              </w:rPr>
              <w:t>%</w:t>
            </w:r>
            <w:r>
              <w:rPr>
                <w:spacing w:val="-1"/>
                <w:sz w:val="21"/>
                <w:szCs w:val="21"/>
              </w:rPr>
              <w:t>）</w:t>
            </w:r>
          </w:p>
        </w:tc>
        <w:tc>
          <w:tcPr>
            <w:tcW w:w="1744" w:type="dxa"/>
            <w:vAlign w:val="top"/>
          </w:tcPr>
          <w:p>
            <w:pPr>
              <w:spacing w:before="104" w:line="187" w:lineRule="auto"/>
              <w:ind w:left="6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1812" w:type="dxa"/>
            <w:vAlign w:val="top"/>
          </w:tcPr>
          <w:p>
            <w:pPr>
              <w:spacing w:before="104" w:line="18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2018" w:type="dxa"/>
            <w:vAlign w:val="top"/>
          </w:tcPr>
          <w:p>
            <w:pPr>
              <w:spacing w:before="104" w:line="187" w:lineRule="auto"/>
              <w:ind w:left="8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w:t>
            </w:r>
          </w:p>
        </w:tc>
        <w:tc>
          <w:tcPr>
            <w:tcW w:w="12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9" w:hRule="atLeast"/>
        </w:trPr>
        <w:tc>
          <w:tcPr>
            <w:tcW w:w="465" w:type="dxa"/>
            <w:tcBorders>
              <w:left w:val="single" w:color="000000" w:sz="6" w:space="0"/>
              <w:right w:val="single" w:color="000000" w:sz="8" w:space="0"/>
            </w:tcBorders>
            <w:textDirection w:val="tbRlV"/>
            <w:vAlign w:val="top"/>
          </w:tcPr>
          <w:p>
            <w:pPr>
              <w:pStyle w:val="6"/>
              <w:spacing w:before="104" w:line="209" w:lineRule="auto"/>
              <w:ind w:left="46"/>
              <w:rPr>
                <w:sz w:val="24"/>
                <w:szCs w:val="24"/>
              </w:rPr>
            </w:pPr>
            <w:r>
              <w:rPr>
                <w:spacing w:val="22"/>
                <w:w w:val="119"/>
                <w:sz w:val="24"/>
                <w:szCs w:val="24"/>
              </w:rPr>
              <w:t>与项目有关的原有环境污染和生态破坏问题</w:t>
            </w:r>
          </w:p>
        </w:tc>
        <w:tc>
          <w:tcPr>
            <w:tcW w:w="8826" w:type="dxa"/>
            <w:gridSpan w:val="7"/>
            <w:tcBorders>
              <w:left w:val="single" w:color="000000" w:sz="8" w:space="0"/>
              <w:right w:val="single" w:color="00000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78" w:line="369" w:lineRule="auto"/>
              <w:ind w:left="100" w:right="100" w:firstLine="480"/>
              <w:rPr>
                <w:sz w:val="24"/>
                <w:szCs w:val="24"/>
              </w:rPr>
            </w:pPr>
            <w:r>
              <w:rPr>
                <w:spacing w:val="-17"/>
                <w:sz w:val="24"/>
                <w:szCs w:val="24"/>
              </w:rPr>
              <w:t>本项目属新建项目，</w:t>
            </w:r>
            <w:r>
              <w:rPr>
                <w:spacing w:val="58"/>
                <w:sz w:val="24"/>
                <w:szCs w:val="24"/>
              </w:rPr>
              <w:t xml:space="preserve"> </w:t>
            </w:r>
            <w:r>
              <w:rPr>
                <w:spacing w:val="-17"/>
                <w:sz w:val="24"/>
                <w:szCs w:val="24"/>
              </w:rPr>
              <w:t>地处农村地区，</w:t>
            </w:r>
            <w:r>
              <w:rPr>
                <w:spacing w:val="67"/>
                <w:sz w:val="24"/>
                <w:szCs w:val="24"/>
              </w:rPr>
              <w:t xml:space="preserve"> </w:t>
            </w:r>
            <w:r>
              <w:rPr>
                <w:spacing w:val="-17"/>
                <w:sz w:val="24"/>
                <w:szCs w:val="24"/>
              </w:rPr>
              <w:t>临时占地范围内无建构筑物分布，</w:t>
            </w:r>
            <w:r>
              <w:rPr>
                <w:spacing w:val="53"/>
                <w:sz w:val="24"/>
                <w:szCs w:val="24"/>
              </w:rPr>
              <w:t xml:space="preserve"> </w:t>
            </w:r>
            <w:r>
              <w:rPr>
                <w:spacing w:val="-17"/>
                <w:sz w:val="24"/>
                <w:szCs w:val="24"/>
              </w:rPr>
              <w:t>井场及</w:t>
            </w:r>
            <w:r>
              <w:rPr>
                <w:sz w:val="24"/>
                <w:szCs w:val="24"/>
              </w:rPr>
              <w:t xml:space="preserve"> </w:t>
            </w:r>
            <w:r>
              <w:rPr>
                <w:spacing w:val="-1"/>
                <w:sz w:val="24"/>
                <w:szCs w:val="24"/>
              </w:rPr>
              <w:t>周围无从事过有色和黑色金属矿采选、有色和黑色金属冶炼、</w:t>
            </w:r>
            <w:r>
              <w:rPr>
                <w:spacing w:val="-2"/>
                <w:sz w:val="24"/>
                <w:szCs w:val="24"/>
              </w:rPr>
              <w:t>石油和天然气开采、</w:t>
            </w:r>
            <w:r>
              <w:rPr>
                <w:sz w:val="24"/>
                <w:szCs w:val="24"/>
              </w:rPr>
              <w:t xml:space="preserve"> </w:t>
            </w:r>
            <w:r>
              <w:rPr>
                <w:spacing w:val="-1"/>
                <w:sz w:val="24"/>
                <w:szCs w:val="24"/>
              </w:rPr>
              <w:t>石油加工、化学原料和化学制品制造、化学制药、铅蓄电池</w:t>
            </w:r>
            <w:r>
              <w:rPr>
                <w:spacing w:val="-2"/>
                <w:sz w:val="24"/>
                <w:szCs w:val="24"/>
              </w:rPr>
              <w:t>、焦化、电镀、制革、</w:t>
            </w:r>
            <w:r>
              <w:rPr>
                <w:sz w:val="24"/>
                <w:szCs w:val="24"/>
              </w:rPr>
              <w:t xml:space="preserve"> </w:t>
            </w:r>
            <w:r>
              <w:rPr>
                <w:spacing w:val="-10"/>
                <w:sz w:val="24"/>
                <w:szCs w:val="24"/>
              </w:rPr>
              <w:t>汽车制造、电子拆解、</w:t>
            </w:r>
            <w:r>
              <w:rPr>
                <w:spacing w:val="39"/>
                <w:sz w:val="24"/>
                <w:szCs w:val="24"/>
              </w:rPr>
              <w:t xml:space="preserve"> </w:t>
            </w:r>
            <w:r>
              <w:rPr>
                <w:spacing w:val="-10"/>
                <w:sz w:val="24"/>
                <w:szCs w:val="24"/>
              </w:rPr>
              <w:t>垃圾焚烧等行业生产经营活</w:t>
            </w:r>
            <w:r>
              <w:rPr>
                <w:spacing w:val="-11"/>
                <w:sz w:val="24"/>
                <w:szCs w:val="24"/>
              </w:rPr>
              <w:t>动的建设用地；</w:t>
            </w:r>
            <w:r>
              <w:rPr>
                <w:spacing w:val="58"/>
                <w:sz w:val="24"/>
                <w:szCs w:val="24"/>
              </w:rPr>
              <w:t xml:space="preserve"> </w:t>
            </w:r>
            <w:r>
              <w:rPr>
                <w:spacing w:val="-11"/>
                <w:sz w:val="24"/>
                <w:szCs w:val="24"/>
              </w:rPr>
              <w:t>无从事过危险废</w:t>
            </w:r>
            <w:r>
              <w:rPr>
                <w:sz w:val="24"/>
                <w:szCs w:val="24"/>
              </w:rPr>
              <w:t xml:space="preserve"> </w:t>
            </w:r>
            <w:r>
              <w:rPr>
                <w:spacing w:val="-6"/>
                <w:sz w:val="24"/>
                <w:szCs w:val="24"/>
              </w:rPr>
              <w:t>物贮存、利用、处置活动的建设用地；</w:t>
            </w:r>
            <w:r>
              <w:rPr>
                <w:spacing w:val="65"/>
                <w:sz w:val="24"/>
                <w:szCs w:val="24"/>
              </w:rPr>
              <w:t xml:space="preserve"> </w:t>
            </w:r>
            <w:r>
              <w:rPr>
                <w:spacing w:val="-6"/>
                <w:sz w:val="24"/>
                <w:szCs w:val="24"/>
              </w:rPr>
              <w:t>无存在镉、汞、砷、铅、铬、铜、</w:t>
            </w:r>
            <w:r>
              <w:rPr>
                <w:spacing w:val="-7"/>
                <w:sz w:val="24"/>
                <w:szCs w:val="24"/>
              </w:rPr>
              <w:t>镍等重金</w:t>
            </w:r>
            <w:r>
              <w:rPr>
                <w:sz w:val="24"/>
                <w:szCs w:val="24"/>
              </w:rPr>
              <w:t xml:space="preserve"> </w:t>
            </w:r>
            <w:r>
              <w:rPr>
                <w:spacing w:val="-6"/>
                <w:sz w:val="24"/>
                <w:szCs w:val="24"/>
              </w:rPr>
              <w:t>属或多环芳烃、石油烃等有机物污染风险的建设用地；</w:t>
            </w:r>
            <w:r>
              <w:rPr>
                <w:spacing w:val="58"/>
                <w:sz w:val="24"/>
                <w:szCs w:val="24"/>
              </w:rPr>
              <w:t xml:space="preserve"> </w:t>
            </w:r>
            <w:r>
              <w:rPr>
                <w:spacing w:val="-6"/>
                <w:sz w:val="24"/>
                <w:szCs w:val="24"/>
              </w:rPr>
              <w:t>无其他工业污染源。不</w:t>
            </w:r>
            <w:r>
              <w:rPr>
                <w:spacing w:val="-7"/>
                <w:sz w:val="24"/>
                <w:szCs w:val="24"/>
              </w:rPr>
              <w:t>涉及</w:t>
            </w:r>
          </w:p>
          <w:p>
            <w:pPr>
              <w:pStyle w:val="6"/>
              <w:spacing w:line="220" w:lineRule="auto"/>
              <w:ind w:left="101"/>
              <w:rPr>
                <w:sz w:val="24"/>
                <w:szCs w:val="24"/>
              </w:rPr>
            </w:pPr>
            <w:r>
              <w:rPr>
                <w:spacing w:val="-2"/>
                <w:sz w:val="24"/>
                <w:szCs w:val="24"/>
              </w:rPr>
              <w:t>土壤污染地块。项目用地无原有环境污染和生态破坏问题。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6" w:hRule="atLeast"/>
        </w:trPr>
        <w:tc>
          <w:tcPr>
            <w:tcW w:w="465" w:type="dxa"/>
            <w:tcBorders>
              <w:left w:val="single" w:color="000000" w:sz="6" w:space="0"/>
              <w:bottom w:val="single" w:color="000000" w:sz="6" w:space="0"/>
              <w:right w:val="single" w:color="000000" w:sz="8" w:space="0"/>
            </w:tcBorders>
            <w:textDirection w:val="tbRlV"/>
            <w:vAlign w:val="top"/>
          </w:tcPr>
          <w:p>
            <w:pPr>
              <w:pStyle w:val="6"/>
              <w:spacing w:before="103" w:line="209" w:lineRule="auto"/>
              <w:ind w:left="1726"/>
              <w:rPr>
                <w:sz w:val="24"/>
                <w:szCs w:val="24"/>
              </w:rPr>
            </w:pPr>
            <w:r>
              <w:rPr>
                <w:sz w:val="24"/>
                <w:szCs w:val="24"/>
              </w:rPr>
              <w:t>生</w:t>
            </w:r>
            <w:r>
              <w:rPr>
                <w:spacing w:val="-48"/>
                <w:sz w:val="24"/>
                <w:szCs w:val="24"/>
              </w:rPr>
              <w:t xml:space="preserve"> </w:t>
            </w:r>
            <w:r>
              <w:rPr>
                <w:sz w:val="24"/>
                <w:szCs w:val="24"/>
              </w:rPr>
              <w:t>态</w:t>
            </w:r>
            <w:r>
              <w:rPr>
                <w:spacing w:val="-48"/>
                <w:sz w:val="24"/>
                <w:szCs w:val="24"/>
              </w:rPr>
              <w:t xml:space="preserve"> </w:t>
            </w:r>
            <w:r>
              <w:rPr>
                <w:sz w:val="24"/>
                <w:szCs w:val="24"/>
              </w:rPr>
              <w:t>环</w:t>
            </w:r>
            <w:r>
              <w:rPr>
                <w:spacing w:val="-51"/>
                <w:sz w:val="24"/>
                <w:szCs w:val="24"/>
              </w:rPr>
              <w:t xml:space="preserve"> </w:t>
            </w:r>
            <w:r>
              <w:rPr>
                <w:sz w:val="24"/>
                <w:szCs w:val="24"/>
              </w:rPr>
              <w:t>境</w:t>
            </w:r>
            <w:r>
              <w:rPr>
                <w:spacing w:val="-48"/>
                <w:sz w:val="24"/>
                <w:szCs w:val="24"/>
              </w:rPr>
              <w:t xml:space="preserve"> </w:t>
            </w:r>
            <w:r>
              <w:rPr>
                <w:sz w:val="24"/>
                <w:szCs w:val="24"/>
              </w:rPr>
              <w:t>保</w:t>
            </w:r>
            <w:r>
              <w:rPr>
                <w:spacing w:val="-49"/>
                <w:sz w:val="24"/>
                <w:szCs w:val="24"/>
              </w:rPr>
              <w:t xml:space="preserve"> </w:t>
            </w:r>
            <w:r>
              <w:rPr>
                <w:sz w:val="24"/>
                <w:szCs w:val="24"/>
              </w:rPr>
              <w:t>护</w:t>
            </w:r>
            <w:r>
              <w:rPr>
                <w:spacing w:val="-50"/>
                <w:sz w:val="24"/>
                <w:szCs w:val="24"/>
              </w:rPr>
              <w:t xml:space="preserve"> </w:t>
            </w:r>
            <w:r>
              <w:rPr>
                <w:sz w:val="24"/>
                <w:szCs w:val="24"/>
              </w:rPr>
              <w:t>目</w:t>
            </w:r>
            <w:r>
              <w:rPr>
                <w:spacing w:val="-48"/>
                <w:sz w:val="24"/>
                <w:szCs w:val="24"/>
              </w:rPr>
              <w:t xml:space="preserve"> </w:t>
            </w:r>
            <w:r>
              <w:rPr>
                <w:sz w:val="24"/>
                <w:szCs w:val="24"/>
              </w:rPr>
              <w:t>标</w:t>
            </w:r>
          </w:p>
        </w:tc>
        <w:tc>
          <w:tcPr>
            <w:tcW w:w="8826" w:type="dxa"/>
            <w:gridSpan w:val="7"/>
            <w:tcBorders>
              <w:left w:val="single" w:color="000000" w:sz="8" w:space="0"/>
              <w:bottom w:val="single" w:color="000000" w:sz="6" w:space="0"/>
              <w:right w:val="single" w:color="000000" w:sz="6" w:space="0"/>
            </w:tcBorders>
            <w:vAlign w:val="top"/>
          </w:tcPr>
          <w:p>
            <w:pPr>
              <w:pStyle w:val="6"/>
              <w:spacing w:before="238" w:line="220" w:lineRule="auto"/>
              <w:ind w:left="95"/>
              <w:rPr>
                <w:sz w:val="24"/>
                <w:szCs w:val="24"/>
              </w:rPr>
            </w:pPr>
            <w:r>
              <w:rPr>
                <w:rFonts w:ascii="Times New Roman" w:hAnsi="Times New Roman" w:eastAsia="Times New Roman" w:cs="Times New Roman"/>
                <w:b/>
                <w:bCs/>
                <w:sz w:val="24"/>
                <w:szCs w:val="24"/>
              </w:rPr>
              <w:t xml:space="preserve">3.4 </w:t>
            </w:r>
            <w:r>
              <w:rPr>
                <w:sz w:val="24"/>
                <w:szCs w:val="24"/>
                <w14:textOutline w14:w="4354" w14:cap="flat" w14:cmpd="sng">
                  <w14:solidFill>
                    <w14:srgbClr w14:val="000000"/>
                  </w14:solidFill>
                  <w14:prstDash w14:val="solid"/>
                  <w14:miter w14:val="10"/>
                </w14:textOutline>
              </w:rPr>
              <w:t>环境保护目标</w:t>
            </w:r>
          </w:p>
          <w:p>
            <w:pPr>
              <w:pStyle w:val="6"/>
              <w:spacing w:before="228" w:line="220" w:lineRule="auto"/>
              <w:ind w:left="95"/>
              <w:rPr>
                <w:sz w:val="24"/>
                <w:szCs w:val="24"/>
              </w:rPr>
            </w:pPr>
            <w:r>
              <w:rPr>
                <w:rFonts w:ascii="Times New Roman" w:hAnsi="Times New Roman" w:eastAsia="Times New Roman" w:cs="Times New Roman"/>
                <w:b/>
                <w:bCs/>
                <w:sz w:val="24"/>
                <w:szCs w:val="24"/>
              </w:rPr>
              <w:t xml:space="preserve">3.7.1 </w:t>
            </w:r>
            <w:r>
              <w:rPr>
                <w:sz w:val="24"/>
                <w:szCs w:val="24"/>
                <w14:textOutline w14:w="4354" w14:cap="flat" w14:cmpd="sng">
                  <w14:solidFill>
                    <w14:srgbClr w14:val="000000"/>
                  </w14:solidFill>
                  <w14:prstDash w14:val="solid"/>
                  <w14:miter w14:val="10"/>
                </w14:textOutline>
              </w:rPr>
              <w:t>外环境关系调查</w:t>
            </w:r>
          </w:p>
          <w:p>
            <w:pPr>
              <w:pStyle w:val="6"/>
              <w:spacing w:before="200" w:line="219" w:lineRule="auto"/>
              <w:ind w:left="589"/>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）工程井场周边外环境简况</w:t>
            </w:r>
          </w:p>
          <w:p>
            <w:pPr>
              <w:pStyle w:val="6"/>
              <w:spacing w:before="196" w:line="369" w:lineRule="auto"/>
              <w:ind w:left="99" w:right="16" w:firstLine="481"/>
              <w:rPr>
                <w:sz w:val="24"/>
                <w:szCs w:val="24"/>
              </w:rPr>
            </w:pPr>
            <w:r>
              <w:rPr>
                <w:spacing w:val="-5"/>
                <w:sz w:val="24"/>
                <w:szCs w:val="24"/>
              </w:rPr>
              <w:t>本项目位于四川省达州市通川区江陵镇和平村</w:t>
            </w:r>
            <w:r>
              <w:rPr>
                <w:spacing w:val="-30"/>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组，</w:t>
            </w:r>
            <w:r>
              <w:rPr>
                <w:spacing w:val="-44"/>
                <w:sz w:val="24"/>
                <w:szCs w:val="24"/>
              </w:rPr>
              <w:t xml:space="preserve"> </w:t>
            </w:r>
            <w:r>
              <w:rPr>
                <w:spacing w:val="-5"/>
                <w:sz w:val="24"/>
                <w:szCs w:val="24"/>
              </w:rPr>
              <w:t>根据《凤探</w:t>
            </w:r>
            <w:r>
              <w:rPr>
                <w:spacing w:val="-32"/>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 xml:space="preserve">井钻前工程 </w:t>
            </w:r>
            <w:r>
              <w:rPr>
                <w:rFonts w:ascii="Times New Roman" w:hAnsi="Times New Roman" w:eastAsia="Times New Roman" w:cs="Times New Roman"/>
                <w:spacing w:val="-8"/>
                <w:sz w:val="24"/>
                <w:szCs w:val="24"/>
              </w:rPr>
              <w:t>500</w:t>
            </w:r>
            <w:r>
              <w:rPr>
                <w:rFonts w:ascii="Times New Roman" w:hAnsi="Times New Roman" w:eastAsia="Times New Roman" w:cs="Times New Roman"/>
                <w:spacing w:val="45"/>
                <w:sz w:val="24"/>
                <w:szCs w:val="24"/>
              </w:rPr>
              <w:t xml:space="preserve"> </w:t>
            </w:r>
            <w:r>
              <w:rPr>
                <w:spacing w:val="-8"/>
                <w:sz w:val="24"/>
                <w:szCs w:val="24"/>
              </w:rPr>
              <w:t>米范围内人口、房屋调查报告》及现场调查可知：</w:t>
            </w:r>
            <w:r>
              <w:rPr>
                <w:spacing w:val="65"/>
                <w:sz w:val="24"/>
                <w:szCs w:val="24"/>
              </w:rPr>
              <w:t xml:space="preserve"> </w:t>
            </w:r>
            <w:r>
              <w:rPr>
                <w:spacing w:val="-8"/>
                <w:sz w:val="24"/>
                <w:szCs w:val="24"/>
              </w:rPr>
              <w:t xml:space="preserve">井口 </w:t>
            </w:r>
            <w:r>
              <w:rPr>
                <w:rFonts w:ascii="Times New Roman" w:hAnsi="Times New Roman" w:eastAsia="Times New Roman" w:cs="Times New Roman"/>
                <w:spacing w:val="-8"/>
                <w:sz w:val="24"/>
                <w:szCs w:val="24"/>
              </w:rPr>
              <w:t>500m</w:t>
            </w:r>
            <w:r>
              <w:rPr>
                <w:rFonts w:ascii="Times New Roman" w:hAnsi="Times New Roman" w:eastAsia="Times New Roman" w:cs="Times New Roman"/>
                <w:spacing w:val="44"/>
                <w:w w:val="101"/>
                <w:sz w:val="24"/>
                <w:szCs w:val="24"/>
              </w:rPr>
              <w:t xml:space="preserve"> </w:t>
            </w:r>
            <w:r>
              <w:rPr>
                <w:spacing w:val="-8"/>
                <w:sz w:val="24"/>
                <w:szCs w:val="24"/>
              </w:rPr>
              <w:t>范围内无铁路；</w:t>
            </w:r>
            <w:r>
              <w:rPr>
                <w:sz w:val="24"/>
                <w:szCs w:val="24"/>
              </w:rPr>
              <w:t xml:space="preserve">  </w:t>
            </w:r>
            <w:r>
              <w:rPr>
                <w:spacing w:val="-12"/>
                <w:sz w:val="24"/>
                <w:szCs w:val="24"/>
              </w:rPr>
              <w:t>无建制学校、高速公路、场镇、医院，</w:t>
            </w:r>
            <w:r>
              <w:rPr>
                <w:spacing w:val="39"/>
                <w:sz w:val="24"/>
                <w:szCs w:val="24"/>
              </w:rPr>
              <w:t xml:space="preserve"> </w:t>
            </w:r>
            <w:r>
              <w:rPr>
                <w:spacing w:val="-12"/>
                <w:sz w:val="24"/>
                <w:szCs w:val="24"/>
              </w:rPr>
              <w:t>煤矿； 无大型厂</w:t>
            </w:r>
            <w:r>
              <w:rPr>
                <w:spacing w:val="-13"/>
                <w:sz w:val="24"/>
                <w:szCs w:val="24"/>
              </w:rPr>
              <w:t>矿、油库以及风景名胜区等。</w:t>
            </w:r>
            <w:r>
              <w:rPr>
                <w:sz w:val="24"/>
                <w:szCs w:val="24"/>
              </w:rPr>
              <w:t xml:space="preserve"> </w:t>
            </w:r>
            <w:r>
              <w:rPr>
                <w:spacing w:val="-4"/>
                <w:sz w:val="24"/>
                <w:szCs w:val="24"/>
              </w:rPr>
              <w:t>距离工程最近的学校位于井口东北侧约</w:t>
            </w:r>
            <w:r>
              <w:rPr>
                <w:spacing w:val="-39"/>
                <w:sz w:val="24"/>
                <w:szCs w:val="24"/>
              </w:rPr>
              <w:t xml:space="preserve"> </w:t>
            </w:r>
            <w:r>
              <w:rPr>
                <w:rFonts w:ascii="Times New Roman" w:hAnsi="Times New Roman" w:eastAsia="Times New Roman" w:cs="Times New Roman"/>
                <w:spacing w:val="-4"/>
                <w:sz w:val="24"/>
                <w:szCs w:val="24"/>
              </w:rPr>
              <w:t>2815m</w:t>
            </w:r>
            <w:r>
              <w:rPr>
                <w:rFonts w:ascii="Times New Roman" w:hAnsi="Times New Roman" w:eastAsia="Times New Roman" w:cs="Times New Roman"/>
                <w:spacing w:val="30"/>
                <w:sz w:val="24"/>
                <w:szCs w:val="24"/>
              </w:rPr>
              <w:t xml:space="preserve"> </w:t>
            </w:r>
            <w:r>
              <w:rPr>
                <w:spacing w:val="-4"/>
                <w:sz w:val="24"/>
                <w:szCs w:val="24"/>
              </w:rPr>
              <w:t>的马垭小学；距离工程最近的城镇为</w:t>
            </w:r>
          </w:p>
          <w:p>
            <w:pPr>
              <w:pStyle w:val="6"/>
              <w:spacing w:line="219" w:lineRule="auto"/>
              <w:ind w:left="103"/>
              <w:rPr>
                <w:sz w:val="24"/>
                <w:szCs w:val="24"/>
              </w:rPr>
            </w:pPr>
            <w:r>
              <w:rPr>
                <w:spacing w:val="-6"/>
                <w:sz w:val="24"/>
                <w:szCs w:val="24"/>
              </w:rPr>
              <w:t>南侧</w:t>
            </w:r>
            <w:r>
              <w:rPr>
                <w:spacing w:val="-48"/>
                <w:sz w:val="24"/>
                <w:szCs w:val="24"/>
              </w:rPr>
              <w:t xml:space="preserve"> </w:t>
            </w:r>
            <w:r>
              <w:rPr>
                <w:rFonts w:ascii="Times New Roman" w:hAnsi="Times New Roman" w:eastAsia="Times New Roman" w:cs="Times New Roman"/>
                <w:spacing w:val="-6"/>
                <w:sz w:val="24"/>
                <w:szCs w:val="24"/>
              </w:rPr>
              <w:t>3.6km</w:t>
            </w:r>
            <w:r>
              <w:rPr>
                <w:rFonts w:ascii="Times New Roman" w:hAnsi="Times New Roman" w:eastAsia="Times New Roman" w:cs="Times New Roman"/>
                <w:spacing w:val="29"/>
                <w:w w:val="101"/>
                <w:sz w:val="24"/>
                <w:szCs w:val="24"/>
              </w:rPr>
              <w:t xml:space="preserve"> </w:t>
            </w:r>
            <w:r>
              <w:rPr>
                <w:spacing w:val="-6"/>
                <w:sz w:val="24"/>
                <w:szCs w:val="24"/>
              </w:rPr>
              <w:t>的江陵镇。</w:t>
            </w:r>
          </w:p>
          <w:p>
            <w:pPr>
              <w:pStyle w:val="6"/>
              <w:spacing w:before="194" w:line="220" w:lineRule="auto"/>
              <w:ind w:left="589"/>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）井场周边人居现状</w:t>
            </w:r>
          </w:p>
          <w:p>
            <w:pPr>
              <w:pStyle w:val="6"/>
              <w:spacing w:before="196" w:line="369" w:lineRule="auto"/>
              <w:ind w:left="102" w:right="104" w:firstLine="478"/>
              <w:jc w:val="both"/>
              <w:rPr>
                <w:rFonts w:ascii="Times New Roman" w:hAnsi="Times New Roman" w:eastAsia="Times New Roman" w:cs="Times New Roman"/>
                <w:sz w:val="24"/>
                <w:szCs w:val="24"/>
              </w:rPr>
            </w:pPr>
            <w:r>
              <w:rPr>
                <w:spacing w:val="-2"/>
                <w:sz w:val="24"/>
                <w:szCs w:val="24"/>
              </w:rPr>
              <w:t>井口方圆</w:t>
            </w:r>
            <w:r>
              <w:rPr>
                <w:spacing w:val="-37"/>
                <w:sz w:val="24"/>
                <w:szCs w:val="24"/>
              </w:rPr>
              <w:t xml:space="preserve"> </w:t>
            </w:r>
            <w:r>
              <w:rPr>
                <w:rFonts w:ascii="Times New Roman" w:hAnsi="Times New Roman" w:eastAsia="Times New Roman" w:cs="Times New Roman"/>
                <w:spacing w:val="-2"/>
                <w:sz w:val="24"/>
                <w:szCs w:val="24"/>
              </w:rPr>
              <w:t>0m~100m</w:t>
            </w:r>
            <w:r>
              <w:rPr>
                <w:rFonts w:ascii="Times New Roman" w:hAnsi="Times New Roman" w:eastAsia="Times New Roman" w:cs="Times New Roman"/>
                <w:spacing w:val="31"/>
                <w:sz w:val="24"/>
                <w:szCs w:val="24"/>
              </w:rPr>
              <w:t xml:space="preserve"> </w:t>
            </w:r>
            <w:r>
              <w:rPr>
                <w:spacing w:val="-2"/>
                <w:sz w:val="24"/>
                <w:szCs w:val="24"/>
              </w:rPr>
              <w:t>范围内无人居住；距井</w:t>
            </w:r>
            <w:r>
              <w:rPr>
                <w:spacing w:val="-3"/>
                <w:sz w:val="24"/>
                <w:szCs w:val="24"/>
              </w:rPr>
              <w:t xml:space="preserve">口方圆 </w:t>
            </w:r>
            <w:r>
              <w:rPr>
                <w:rFonts w:ascii="Times New Roman" w:hAnsi="Times New Roman" w:eastAsia="Times New Roman" w:cs="Times New Roman"/>
                <w:spacing w:val="-3"/>
                <w:sz w:val="24"/>
                <w:szCs w:val="24"/>
              </w:rPr>
              <w:t>100m</w:t>
            </w:r>
            <w:r>
              <w:rPr>
                <w:spacing w:val="-3"/>
                <w:sz w:val="24"/>
                <w:szCs w:val="24"/>
              </w:rPr>
              <w:t>～</w:t>
            </w:r>
            <w:r>
              <w:rPr>
                <w:rFonts w:ascii="Times New Roman" w:hAnsi="Times New Roman" w:eastAsia="Times New Roman" w:cs="Times New Roman"/>
                <w:spacing w:val="-3"/>
                <w:sz w:val="24"/>
                <w:szCs w:val="24"/>
              </w:rPr>
              <w:t>300m</w:t>
            </w:r>
            <w:r>
              <w:rPr>
                <w:rFonts w:ascii="Times New Roman" w:hAnsi="Times New Roman" w:eastAsia="Times New Roman" w:cs="Times New Roman"/>
                <w:spacing w:val="30"/>
                <w:sz w:val="24"/>
                <w:szCs w:val="24"/>
              </w:rPr>
              <w:t xml:space="preserve"> </w:t>
            </w:r>
            <w:r>
              <w:rPr>
                <w:spacing w:val="-3"/>
                <w:sz w:val="24"/>
                <w:szCs w:val="24"/>
              </w:rPr>
              <w:t>范围内家庭户</w:t>
            </w:r>
            <w:r>
              <w:rPr>
                <w:sz w:val="24"/>
                <w:szCs w:val="24"/>
              </w:rPr>
              <w:t xml:space="preserve"> </w:t>
            </w:r>
            <w:r>
              <w:rPr>
                <w:spacing w:val="-5"/>
                <w:sz w:val="24"/>
                <w:szCs w:val="24"/>
              </w:rPr>
              <w:t xml:space="preserve">数 </w:t>
            </w:r>
            <w:r>
              <w:rPr>
                <w:rFonts w:ascii="Times New Roman" w:hAnsi="Times New Roman" w:eastAsia="Times New Roman" w:cs="Times New Roman"/>
                <w:spacing w:val="-5"/>
                <w:sz w:val="24"/>
                <w:szCs w:val="24"/>
              </w:rPr>
              <w:t>13</w:t>
            </w:r>
            <w:r>
              <w:rPr>
                <w:rFonts w:ascii="Times New Roman" w:hAnsi="Times New Roman" w:eastAsia="Times New Roman" w:cs="Times New Roman"/>
                <w:spacing w:val="36"/>
                <w:sz w:val="24"/>
                <w:szCs w:val="24"/>
              </w:rPr>
              <w:t xml:space="preserve"> </w:t>
            </w:r>
            <w:r>
              <w:rPr>
                <w:spacing w:val="-5"/>
                <w:sz w:val="24"/>
                <w:szCs w:val="24"/>
              </w:rPr>
              <w:t>户，人口</w:t>
            </w:r>
            <w:r>
              <w:rPr>
                <w:spacing w:val="-34"/>
                <w:sz w:val="24"/>
                <w:szCs w:val="24"/>
              </w:rPr>
              <w:t xml:space="preserve"> </w:t>
            </w:r>
            <w:r>
              <w:rPr>
                <w:rFonts w:ascii="Times New Roman" w:hAnsi="Times New Roman" w:eastAsia="Times New Roman" w:cs="Times New Roman"/>
                <w:spacing w:val="-5"/>
                <w:sz w:val="24"/>
                <w:szCs w:val="24"/>
              </w:rPr>
              <w:t>52</w:t>
            </w:r>
            <w:r>
              <w:rPr>
                <w:rFonts w:ascii="Times New Roman" w:hAnsi="Times New Roman" w:eastAsia="Times New Roman" w:cs="Times New Roman"/>
                <w:spacing w:val="25"/>
                <w:w w:val="101"/>
                <w:sz w:val="24"/>
                <w:szCs w:val="24"/>
              </w:rPr>
              <w:t xml:space="preserve"> </w:t>
            </w:r>
            <w:r>
              <w:rPr>
                <w:spacing w:val="-5"/>
                <w:sz w:val="24"/>
                <w:szCs w:val="24"/>
              </w:rPr>
              <w:t xml:space="preserve">人；距井口方圆 </w:t>
            </w:r>
            <w:r>
              <w:rPr>
                <w:rFonts w:ascii="Times New Roman" w:hAnsi="Times New Roman" w:eastAsia="Times New Roman" w:cs="Times New Roman"/>
                <w:spacing w:val="-5"/>
                <w:sz w:val="24"/>
                <w:szCs w:val="24"/>
              </w:rPr>
              <w:t>300m</w:t>
            </w:r>
            <w:r>
              <w:rPr>
                <w:spacing w:val="-5"/>
                <w:sz w:val="24"/>
                <w:szCs w:val="24"/>
              </w:rPr>
              <w:t>～</w:t>
            </w:r>
            <w:r>
              <w:rPr>
                <w:rFonts w:ascii="Times New Roman" w:hAnsi="Times New Roman" w:eastAsia="Times New Roman" w:cs="Times New Roman"/>
                <w:spacing w:val="-5"/>
                <w:sz w:val="24"/>
                <w:szCs w:val="24"/>
              </w:rPr>
              <w:t>500m</w:t>
            </w:r>
            <w:r>
              <w:rPr>
                <w:rFonts w:ascii="Times New Roman" w:hAnsi="Times New Roman" w:eastAsia="Times New Roman" w:cs="Times New Roman"/>
                <w:spacing w:val="30"/>
                <w:sz w:val="24"/>
                <w:szCs w:val="24"/>
              </w:rPr>
              <w:t xml:space="preserve"> </w:t>
            </w:r>
            <w:r>
              <w:rPr>
                <w:spacing w:val="-5"/>
                <w:sz w:val="24"/>
                <w:szCs w:val="24"/>
              </w:rPr>
              <w:t>范围内家庭户数</w:t>
            </w:r>
            <w:r>
              <w:rPr>
                <w:spacing w:val="-36"/>
                <w:sz w:val="24"/>
                <w:szCs w:val="24"/>
              </w:rPr>
              <w:t xml:space="preserve"> </w:t>
            </w:r>
            <w:r>
              <w:rPr>
                <w:rFonts w:ascii="Times New Roman" w:hAnsi="Times New Roman" w:eastAsia="Times New Roman" w:cs="Times New Roman"/>
                <w:spacing w:val="-5"/>
                <w:sz w:val="24"/>
                <w:szCs w:val="24"/>
              </w:rPr>
              <w:t>36</w:t>
            </w:r>
            <w:r>
              <w:rPr>
                <w:rFonts w:ascii="Times New Roman" w:hAnsi="Times New Roman" w:eastAsia="Times New Roman" w:cs="Times New Roman"/>
                <w:spacing w:val="25"/>
                <w:sz w:val="24"/>
                <w:szCs w:val="24"/>
              </w:rPr>
              <w:t xml:space="preserve"> </w:t>
            </w:r>
            <w:r>
              <w:rPr>
                <w:spacing w:val="-5"/>
                <w:sz w:val="24"/>
                <w:szCs w:val="24"/>
              </w:rPr>
              <w:t xml:space="preserve">户，人口 </w:t>
            </w:r>
            <w:r>
              <w:rPr>
                <w:rFonts w:ascii="Times New Roman" w:hAnsi="Times New Roman" w:eastAsia="Times New Roman" w:cs="Times New Roman"/>
                <w:spacing w:val="-5"/>
                <w:sz w:val="24"/>
                <w:szCs w:val="24"/>
              </w:rPr>
              <w:t>159</w:t>
            </w:r>
          </w:p>
          <w:p>
            <w:pPr>
              <w:pStyle w:val="6"/>
              <w:spacing w:before="1" w:line="227" w:lineRule="auto"/>
              <w:ind w:left="102"/>
              <w:rPr>
                <w:sz w:val="24"/>
                <w:szCs w:val="24"/>
              </w:rPr>
            </w:pPr>
            <w:r>
              <w:rPr>
                <w:spacing w:val="-4"/>
                <w:sz w:val="24"/>
                <w:szCs w:val="24"/>
              </w:rPr>
              <w:t xml:space="preserve">人。井口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23"/>
                <w:sz w:val="24"/>
                <w:szCs w:val="24"/>
              </w:rPr>
              <w:t xml:space="preserve"> </w:t>
            </w:r>
            <w:r>
              <w:rPr>
                <w:spacing w:val="-4"/>
                <w:sz w:val="24"/>
                <w:szCs w:val="24"/>
              </w:rPr>
              <w:t>范围内人居调查统计及分布见附图</w:t>
            </w:r>
            <w:r>
              <w:rPr>
                <w:spacing w:val="-50"/>
                <w:sz w:val="24"/>
                <w:szCs w:val="24"/>
              </w:rPr>
              <w:t xml:space="preserve"> </w:t>
            </w:r>
            <w:r>
              <w:rPr>
                <w:rFonts w:ascii="Times New Roman" w:hAnsi="Times New Roman" w:eastAsia="Times New Roman" w:cs="Times New Roman"/>
                <w:spacing w:val="-4"/>
                <w:sz w:val="24"/>
                <w:szCs w:val="24"/>
              </w:rPr>
              <w:t>7</w:t>
            </w:r>
            <w:r>
              <w:rPr>
                <w:spacing w:val="-4"/>
                <w:sz w:val="24"/>
                <w:szCs w:val="24"/>
              </w:rPr>
              <w:t>。</w:t>
            </w:r>
          </w:p>
        </w:tc>
      </w:tr>
    </w:tbl>
    <w:p>
      <w:pPr>
        <w:pStyle w:val="2"/>
        <w:rPr>
          <w:sz w:val="21"/>
        </w:rPr>
      </w:pPr>
    </w:p>
    <w:p>
      <w:pPr>
        <w:rPr>
          <w:sz w:val="21"/>
          <w:szCs w:val="21"/>
        </w:rPr>
        <w:sectPr>
          <w:footerReference r:id="rId78"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9"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8" w:line="231" w:lineRule="auto"/>
              <w:ind w:left="6597" w:right="1435" w:hanging="163"/>
              <w:rPr>
                <w:sz w:val="21"/>
                <w:szCs w:val="21"/>
              </w:rPr>
            </w:pPr>
            <w:r>
              <w:drawing>
                <wp:anchor distT="0" distB="0" distL="0" distR="0" simplePos="0" relativeHeight="251825152" behindDoc="1" locked="0" layoutInCell="1" allowOverlap="1">
                  <wp:simplePos x="0" y="0"/>
                  <wp:positionH relativeFrom="column">
                    <wp:posOffset>277495</wp:posOffset>
                  </wp:positionH>
                  <wp:positionV relativeFrom="paragraph">
                    <wp:posOffset>-1142365</wp:posOffset>
                  </wp:positionV>
                  <wp:extent cx="5039995" cy="408114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06"/>
                          <a:stretch>
                            <a:fillRect/>
                          </a:stretch>
                        </pic:blipFill>
                        <pic:spPr>
                          <a:xfrm>
                            <a:off x="0" y="0"/>
                            <a:ext cx="5039994" cy="4081145"/>
                          </a:xfrm>
                          <a:prstGeom prst="rect">
                            <a:avLst/>
                          </a:prstGeom>
                        </pic:spPr>
                      </pic:pic>
                    </a:graphicData>
                  </a:graphic>
                </wp:anchor>
              </w:drawing>
            </w:r>
            <w:r>
              <w:rPr>
                <w:color w:val="FFFF00"/>
                <w:spacing w:val="-6"/>
                <w:sz w:val="21"/>
                <w:szCs w:val="21"/>
              </w:rPr>
              <w:t>井口</w:t>
            </w:r>
            <w:r>
              <w:rPr>
                <w:color w:val="FFFF00"/>
                <w:spacing w:val="-23"/>
                <w:sz w:val="21"/>
                <w:szCs w:val="21"/>
              </w:rPr>
              <w:t xml:space="preserve"> </w:t>
            </w:r>
            <w:r>
              <w:rPr>
                <w:rFonts w:ascii="Times New Roman" w:hAnsi="Times New Roman" w:eastAsia="Times New Roman" w:cs="Times New Roman"/>
                <w:color w:val="FFFF00"/>
                <w:spacing w:val="-6"/>
                <w:sz w:val="21"/>
                <w:szCs w:val="21"/>
              </w:rPr>
              <w:t>100m</w:t>
            </w:r>
            <w:r>
              <w:rPr>
                <w:rFonts w:ascii="Times New Roman" w:hAnsi="Times New Roman" w:eastAsia="Times New Roman" w:cs="Times New Roman"/>
                <w:color w:val="FFFF00"/>
                <w:sz w:val="21"/>
                <w:szCs w:val="21"/>
              </w:rPr>
              <w:t xml:space="preserve"> </w:t>
            </w:r>
            <w:r>
              <w:rPr>
                <w:color w:val="FFFF00"/>
                <w:spacing w:val="-3"/>
                <w:sz w:val="21"/>
                <w:szCs w:val="21"/>
              </w:rPr>
              <w:t>范围线</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480" w:lineRule="exact"/>
              <w:ind w:left="1951"/>
              <w:rPr>
                <w:sz w:val="24"/>
                <w:szCs w:val="24"/>
              </w:rPr>
            </w:pPr>
            <w:r>
              <w:rPr>
                <w:spacing w:val="-3"/>
                <w:position w:val="18"/>
                <w:sz w:val="24"/>
                <w:szCs w:val="24"/>
                <w14:textOutline w14:w="4354" w14:cap="flat" w14:cmpd="sng">
                  <w14:solidFill>
                    <w14:srgbClr w14:val="000000"/>
                  </w14:solidFill>
                  <w14:prstDash w14:val="solid"/>
                  <w14:miter w14:val="10"/>
                </w14:textOutline>
              </w:rPr>
              <w:t>图</w:t>
            </w:r>
            <w:r>
              <w:rPr>
                <w:spacing w:val="-36"/>
                <w:position w:val="18"/>
                <w:sz w:val="24"/>
                <w:szCs w:val="24"/>
              </w:rPr>
              <w:t xml:space="preserve"> </w:t>
            </w:r>
            <w:r>
              <w:rPr>
                <w:rFonts w:ascii="Times New Roman" w:hAnsi="Times New Roman" w:eastAsia="Times New Roman" w:cs="Times New Roman"/>
                <w:b/>
                <w:bCs/>
                <w:spacing w:val="-3"/>
                <w:position w:val="18"/>
                <w:sz w:val="24"/>
                <w:szCs w:val="24"/>
              </w:rPr>
              <w:t xml:space="preserve">3.4-1  </w:t>
            </w:r>
            <w:r>
              <w:rPr>
                <w:spacing w:val="-3"/>
                <w:position w:val="18"/>
                <w:sz w:val="24"/>
                <w:szCs w:val="24"/>
                <w14:textOutline w14:w="4354" w14:cap="flat" w14:cmpd="sng">
                  <w14:solidFill>
                    <w14:srgbClr w14:val="000000"/>
                  </w14:solidFill>
                  <w14:prstDash w14:val="solid"/>
                  <w14:miter w14:val="10"/>
                </w14:textOutline>
              </w:rPr>
              <w:t>井口</w:t>
            </w:r>
            <w:r>
              <w:rPr>
                <w:spacing w:val="-42"/>
                <w:position w:val="18"/>
                <w:sz w:val="24"/>
                <w:szCs w:val="24"/>
              </w:rPr>
              <w:t xml:space="preserve"> </w:t>
            </w:r>
            <w:r>
              <w:rPr>
                <w:rFonts w:ascii="Times New Roman" w:hAnsi="Times New Roman" w:eastAsia="Times New Roman" w:cs="Times New Roman"/>
                <w:b/>
                <w:bCs/>
                <w:spacing w:val="-3"/>
                <w:position w:val="18"/>
                <w:sz w:val="24"/>
                <w:szCs w:val="24"/>
              </w:rPr>
              <w:t>100m</w:t>
            </w:r>
            <w:r>
              <w:rPr>
                <w:rFonts w:ascii="Times New Roman" w:hAnsi="Times New Roman" w:eastAsia="Times New Roman" w:cs="Times New Roman"/>
                <w:b/>
                <w:bCs/>
                <w:spacing w:val="17"/>
                <w:position w:val="18"/>
                <w:sz w:val="24"/>
                <w:szCs w:val="24"/>
              </w:rPr>
              <w:t xml:space="preserve"> </w:t>
            </w:r>
            <w:r>
              <w:rPr>
                <w:spacing w:val="-3"/>
                <w:position w:val="18"/>
                <w:sz w:val="24"/>
                <w:szCs w:val="24"/>
                <w14:textOutline w14:w="4354" w14:cap="flat" w14:cmpd="sng">
                  <w14:solidFill>
                    <w14:srgbClr w14:val="000000"/>
                  </w14:solidFill>
                  <w14:prstDash w14:val="solid"/>
                  <w14:miter w14:val="10"/>
                </w14:textOutline>
              </w:rPr>
              <w:t>范围内现状居民点分布情况</w:t>
            </w:r>
          </w:p>
          <w:p>
            <w:pPr>
              <w:pStyle w:val="6"/>
              <w:spacing w:line="219"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）井场周边植被及地表水现状</w:t>
            </w:r>
          </w:p>
          <w:p>
            <w:pPr>
              <w:pStyle w:val="6"/>
              <w:spacing w:before="194" w:line="219" w:lineRule="auto"/>
              <w:ind w:left="588"/>
              <w:rPr>
                <w:sz w:val="24"/>
                <w:szCs w:val="24"/>
              </w:rPr>
            </w:pPr>
            <w:r>
              <w:rPr>
                <w:sz w:val="24"/>
                <w:szCs w:val="24"/>
              </w:rPr>
              <w:t>井场所在地及周边地貌主要为耕地，现场踏勘时种植</w:t>
            </w:r>
            <w:r>
              <w:rPr>
                <w:spacing w:val="-1"/>
                <w:sz w:val="24"/>
                <w:szCs w:val="24"/>
              </w:rPr>
              <w:t>的主要作物为李子树。</w:t>
            </w:r>
          </w:p>
          <w:p>
            <w:pPr>
              <w:pStyle w:val="6"/>
              <w:spacing w:before="197" w:line="369" w:lineRule="auto"/>
              <w:ind w:left="108" w:right="40" w:firstLine="480"/>
              <w:rPr>
                <w:sz w:val="24"/>
                <w:szCs w:val="24"/>
              </w:rPr>
            </w:pPr>
            <w:r>
              <w:rPr>
                <w:spacing w:val="-9"/>
                <w:sz w:val="24"/>
                <w:szCs w:val="24"/>
              </w:rPr>
              <w:t>凤探</w:t>
            </w:r>
            <w:r>
              <w:rPr>
                <w:spacing w:val="-14"/>
                <w:sz w:val="24"/>
                <w:szCs w:val="24"/>
              </w:rPr>
              <w:t xml:space="preserve"> </w:t>
            </w:r>
            <w:r>
              <w:rPr>
                <w:rFonts w:ascii="Times New Roman" w:hAnsi="Times New Roman" w:eastAsia="Times New Roman" w:cs="Times New Roman"/>
                <w:spacing w:val="-9"/>
                <w:sz w:val="24"/>
                <w:szCs w:val="24"/>
              </w:rPr>
              <w:t xml:space="preserve">1 </w:t>
            </w:r>
            <w:r>
              <w:rPr>
                <w:spacing w:val="-9"/>
                <w:sz w:val="24"/>
                <w:szCs w:val="24"/>
              </w:rPr>
              <w:t>井井口</w:t>
            </w:r>
            <w:r>
              <w:rPr>
                <w:spacing w:val="-48"/>
                <w:sz w:val="24"/>
                <w:szCs w:val="24"/>
              </w:rPr>
              <w:t xml:space="preserve"> </w:t>
            </w:r>
            <w:r>
              <w:rPr>
                <w:rFonts w:ascii="Times New Roman" w:hAnsi="Times New Roman" w:eastAsia="Times New Roman" w:cs="Times New Roman"/>
                <w:spacing w:val="-9"/>
                <w:sz w:val="24"/>
                <w:szCs w:val="24"/>
              </w:rPr>
              <w:t>500m</w:t>
            </w:r>
            <w:r>
              <w:rPr>
                <w:rFonts w:ascii="Times New Roman" w:hAnsi="Times New Roman" w:eastAsia="Times New Roman" w:cs="Times New Roman"/>
                <w:spacing w:val="15"/>
                <w:w w:val="101"/>
                <w:sz w:val="24"/>
                <w:szCs w:val="24"/>
              </w:rPr>
              <w:t xml:space="preserve"> </w:t>
            </w:r>
            <w:r>
              <w:rPr>
                <w:spacing w:val="-9"/>
                <w:sz w:val="24"/>
                <w:szCs w:val="24"/>
              </w:rPr>
              <w:t>范围内无明显地表水体，</w:t>
            </w:r>
            <w:r>
              <w:rPr>
                <w:spacing w:val="63"/>
                <w:sz w:val="24"/>
                <w:szCs w:val="24"/>
              </w:rPr>
              <w:t xml:space="preserve"> </w:t>
            </w:r>
            <w:r>
              <w:rPr>
                <w:spacing w:val="-9"/>
                <w:sz w:val="24"/>
                <w:szCs w:val="24"/>
              </w:rPr>
              <w:t>井口</w:t>
            </w:r>
            <w:r>
              <w:rPr>
                <w:spacing w:val="-48"/>
                <w:sz w:val="24"/>
                <w:szCs w:val="24"/>
              </w:rPr>
              <w:t xml:space="preserve"> </w:t>
            </w:r>
            <w:r>
              <w:rPr>
                <w:rFonts w:ascii="Times New Roman" w:hAnsi="Times New Roman" w:eastAsia="Times New Roman" w:cs="Times New Roman"/>
                <w:spacing w:val="-9"/>
                <w:sz w:val="24"/>
                <w:szCs w:val="24"/>
              </w:rPr>
              <w:t>5000m</w:t>
            </w:r>
            <w:r>
              <w:rPr>
                <w:rFonts w:ascii="Times New Roman" w:hAnsi="Times New Roman" w:eastAsia="Times New Roman" w:cs="Times New Roman"/>
                <w:spacing w:val="15"/>
                <w:w w:val="101"/>
                <w:sz w:val="24"/>
                <w:szCs w:val="24"/>
              </w:rPr>
              <w:t xml:space="preserve"> </w:t>
            </w:r>
            <w:r>
              <w:rPr>
                <w:spacing w:val="-9"/>
                <w:sz w:val="24"/>
                <w:szCs w:val="24"/>
              </w:rPr>
              <w:t>范围内有</w:t>
            </w:r>
            <w:r>
              <w:rPr>
                <w:spacing w:val="-56"/>
                <w:sz w:val="24"/>
                <w:szCs w:val="24"/>
              </w:rPr>
              <w:t xml:space="preserve"> </w:t>
            </w:r>
            <w:r>
              <w:rPr>
                <w:rFonts w:ascii="Times New Roman" w:hAnsi="Times New Roman" w:eastAsia="Times New Roman" w:cs="Times New Roman"/>
                <w:spacing w:val="-9"/>
                <w:sz w:val="24"/>
                <w:szCs w:val="24"/>
              </w:rPr>
              <w:t xml:space="preserve">4 </w:t>
            </w:r>
            <w:r>
              <w:rPr>
                <w:spacing w:val="-9"/>
                <w:sz w:val="24"/>
                <w:szCs w:val="24"/>
              </w:rPr>
              <w:t>座水库，</w:t>
            </w:r>
            <w:r>
              <w:rPr>
                <w:sz w:val="24"/>
                <w:szCs w:val="24"/>
              </w:rPr>
              <w:t xml:space="preserve"> </w:t>
            </w:r>
            <w:r>
              <w:rPr>
                <w:spacing w:val="-15"/>
                <w:sz w:val="24"/>
                <w:szCs w:val="24"/>
              </w:rPr>
              <w:t>分别是： 江陵水库、杜家湾水库、新农水库、光明水库；</w:t>
            </w:r>
            <w:r>
              <w:rPr>
                <w:spacing w:val="57"/>
                <w:sz w:val="24"/>
                <w:szCs w:val="24"/>
              </w:rPr>
              <w:t xml:space="preserve"> </w:t>
            </w:r>
            <w:r>
              <w:rPr>
                <w:rFonts w:ascii="Times New Roman" w:hAnsi="Times New Roman" w:eastAsia="Times New Roman" w:cs="Times New Roman"/>
                <w:spacing w:val="-15"/>
                <w:sz w:val="24"/>
                <w:szCs w:val="24"/>
              </w:rPr>
              <w:t>5</w:t>
            </w:r>
            <w:r>
              <w:rPr>
                <w:rFonts w:ascii="Times New Roman" w:hAnsi="Times New Roman" w:eastAsia="Times New Roman" w:cs="Times New Roman"/>
                <w:spacing w:val="11"/>
                <w:sz w:val="24"/>
                <w:szCs w:val="24"/>
              </w:rPr>
              <w:t xml:space="preserve"> </w:t>
            </w:r>
            <w:r>
              <w:rPr>
                <w:spacing w:val="-15"/>
                <w:sz w:val="24"/>
                <w:szCs w:val="24"/>
              </w:rPr>
              <w:t>条河（含溪</w:t>
            </w:r>
            <w:r>
              <w:rPr>
                <w:spacing w:val="-7"/>
                <w:sz w:val="24"/>
                <w:szCs w:val="24"/>
              </w:rPr>
              <w:t>）</w:t>
            </w:r>
            <w:r>
              <w:rPr>
                <w:spacing w:val="-28"/>
                <w:sz w:val="24"/>
                <w:szCs w:val="24"/>
              </w:rPr>
              <w:t xml:space="preserve"> </w:t>
            </w:r>
            <w:r>
              <w:rPr>
                <w:spacing w:val="-7"/>
                <w:sz w:val="24"/>
                <w:szCs w:val="24"/>
              </w:rPr>
              <w:t>，</w:t>
            </w:r>
            <w:r>
              <w:rPr>
                <w:spacing w:val="-15"/>
                <w:sz w:val="24"/>
                <w:szCs w:val="24"/>
              </w:rPr>
              <w:t>分别是：</w:t>
            </w:r>
            <w:r>
              <w:rPr>
                <w:sz w:val="24"/>
                <w:szCs w:val="24"/>
              </w:rPr>
              <w:t xml:space="preserve"> </w:t>
            </w:r>
            <w:r>
              <w:rPr>
                <w:spacing w:val="-8"/>
                <w:sz w:val="24"/>
                <w:szCs w:val="24"/>
              </w:rPr>
              <w:t>洞滩河， 位于井口东侧，距离井口最近距离为</w:t>
            </w:r>
            <w:r>
              <w:rPr>
                <w:spacing w:val="-25"/>
                <w:sz w:val="24"/>
                <w:szCs w:val="24"/>
              </w:rPr>
              <w:t xml:space="preserve"> </w:t>
            </w:r>
            <w:r>
              <w:rPr>
                <w:rFonts w:ascii="Times New Roman" w:hAnsi="Times New Roman" w:eastAsia="Times New Roman" w:cs="Times New Roman"/>
                <w:spacing w:val="-8"/>
                <w:sz w:val="24"/>
                <w:szCs w:val="24"/>
              </w:rPr>
              <w:t>1283m</w:t>
            </w:r>
            <w:r>
              <w:rPr>
                <w:spacing w:val="-8"/>
                <w:sz w:val="24"/>
                <w:szCs w:val="24"/>
              </w:rPr>
              <w:t>；巴河， 位于井口南侧，距离</w:t>
            </w:r>
            <w:r>
              <w:rPr>
                <w:sz w:val="24"/>
                <w:szCs w:val="24"/>
              </w:rPr>
              <w:t xml:space="preserve"> </w:t>
            </w:r>
            <w:r>
              <w:rPr>
                <w:spacing w:val="-5"/>
                <w:sz w:val="24"/>
                <w:szCs w:val="24"/>
              </w:rPr>
              <w:t>井口最近距离为</w:t>
            </w:r>
            <w:r>
              <w:rPr>
                <w:spacing w:val="-50"/>
                <w:sz w:val="24"/>
                <w:szCs w:val="24"/>
              </w:rPr>
              <w:t xml:space="preserve"> </w:t>
            </w:r>
            <w:r>
              <w:rPr>
                <w:rFonts w:ascii="Times New Roman" w:hAnsi="Times New Roman" w:eastAsia="Times New Roman" w:cs="Times New Roman"/>
                <w:spacing w:val="-5"/>
                <w:sz w:val="24"/>
                <w:szCs w:val="24"/>
              </w:rPr>
              <w:t>3248m</w:t>
            </w:r>
            <w:r>
              <w:rPr>
                <w:spacing w:val="-5"/>
                <w:sz w:val="24"/>
                <w:szCs w:val="24"/>
              </w:rPr>
              <w:t>；长滩河，</w:t>
            </w:r>
            <w:r>
              <w:rPr>
                <w:spacing w:val="63"/>
                <w:sz w:val="24"/>
                <w:szCs w:val="24"/>
              </w:rPr>
              <w:t xml:space="preserve"> </w:t>
            </w:r>
            <w:r>
              <w:rPr>
                <w:spacing w:val="-5"/>
                <w:sz w:val="24"/>
                <w:szCs w:val="24"/>
              </w:rPr>
              <w:t>位于井口西南侧，距离井口最近距离为</w:t>
            </w:r>
            <w:r>
              <w:rPr>
                <w:spacing w:val="-56"/>
                <w:sz w:val="24"/>
                <w:szCs w:val="24"/>
              </w:rPr>
              <w:t xml:space="preserve"> </w:t>
            </w:r>
            <w:r>
              <w:rPr>
                <w:rFonts w:ascii="Times New Roman" w:hAnsi="Times New Roman" w:eastAsia="Times New Roman" w:cs="Times New Roman"/>
                <w:spacing w:val="-6"/>
                <w:sz w:val="24"/>
                <w:szCs w:val="24"/>
              </w:rPr>
              <w:t>4160m</w:t>
            </w:r>
            <w:r>
              <w:rPr>
                <w:spacing w:val="-6"/>
                <w:sz w:val="24"/>
                <w:szCs w:val="24"/>
              </w:rPr>
              <w:t>；</w:t>
            </w:r>
            <w:r>
              <w:rPr>
                <w:sz w:val="24"/>
                <w:szCs w:val="24"/>
              </w:rPr>
              <w:t xml:space="preserve"> </w:t>
            </w:r>
            <w:r>
              <w:rPr>
                <w:spacing w:val="-9"/>
                <w:sz w:val="24"/>
                <w:szCs w:val="24"/>
              </w:rPr>
              <w:t>黎家河， 位于井口东北侧，距离井口最近距离为</w:t>
            </w:r>
            <w:r>
              <w:rPr>
                <w:spacing w:val="-21"/>
                <w:sz w:val="24"/>
                <w:szCs w:val="24"/>
              </w:rPr>
              <w:t xml:space="preserve"> </w:t>
            </w:r>
            <w:r>
              <w:rPr>
                <w:rFonts w:ascii="Times New Roman" w:hAnsi="Times New Roman" w:eastAsia="Times New Roman" w:cs="Times New Roman"/>
                <w:spacing w:val="-9"/>
                <w:sz w:val="24"/>
                <w:szCs w:val="24"/>
              </w:rPr>
              <w:t>1485m</w:t>
            </w:r>
            <w:r>
              <w:rPr>
                <w:spacing w:val="-9"/>
                <w:sz w:val="24"/>
                <w:szCs w:val="24"/>
              </w:rPr>
              <w:t>，黄梅溪，</w:t>
            </w:r>
            <w:r>
              <w:rPr>
                <w:spacing w:val="63"/>
                <w:sz w:val="24"/>
                <w:szCs w:val="24"/>
              </w:rPr>
              <w:t xml:space="preserve"> </w:t>
            </w:r>
            <w:r>
              <w:rPr>
                <w:spacing w:val="-9"/>
                <w:sz w:val="24"/>
                <w:szCs w:val="24"/>
              </w:rPr>
              <w:t>位于井口西侧，</w:t>
            </w:r>
          </w:p>
          <w:p>
            <w:pPr>
              <w:pStyle w:val="6"/>
              <w:spacing w:before="1" w:line="219" w:lineRule="auto"/>
              <w:ind w:left="107"/>
              <w:rPr>
                <w:sz w:val="24"/>
                <w:szCs w:val="24"/>
              </w:rPr>
            </w:pPr>
            <w:r>
              <w:rPr>
                <w:spacing w:val="-3"/>
                <w:sz w:val="24"/>
                <w:szCs w:val="24"/>
              </w:rPr>
              <w:t>距离井口最近距离为</w:t>
            </w:r>
            <w:r>
              <w:rPr>
                <w:spacing w:val="-31"/>
                <w:sz w:val="24"/>
                <w:szCs w:val="24"/>
              </w:rPr>
              <w:t xml:space="preserve"> </w:t>
            </w:r>
            <w:r>
              <w:rPr>
                <w:rFonts w:ascii="Times New Roman" w:hAnsi="Times New Roman" w:eastAsia="Times New Roman" w:cs="Times New Roman"/>
                <w:spacing w:val="-3"/>
                <w:sz w:val="24"/>
                <w:szCs w:val="24"/>
              </w:rPr>
              <w:t>1387m</w:t>
            </w:r>
            <w:r>
              <w:rPr>
                <w:rFonts w:ascii="Times New Roman" w:hAnsi="Times New Roman" w:eastAsia="Times New Roman" w:cs="Times New Roman"/>
                <w:spacing w:val="-27"/>
                <w:sz w:val="24"/>
                <w:szCs w:val="24"/>
              </w:rPr>
              <w:t xml:space="preserve"> </w:t>
            </w:r>
            <w:r>
              <w:rPr>
                <w:spacing w:val="-3"/>
                <w:sz w:val="24"/>
                <w:szCs w:val="24"/>
              </w:rPr>
              <w:t>。</w:t>
            </w:r>
            <w:r>
              <w:rPr>
                <w:rFonts w:ascii="Times New Roman" w:hAnsi="Times New Roman" w:eastAsia="Times New Roman" w:cs="Times New Roman"/>
                <w:spacing w:val="-3"/>
                <w:sz w:val="24"/>
                <w:szCs w:val="24"/>
              </w:rPr>
              <w:t>5000m</w:t>
            </w:r>
            <w:r>
              <w:rPr>
                <w:rFonts w:ascii="Times New Roman" w:hAnsi="Times New Roman" w:eastAsia="Times New Roman" w:cs="Times New Roman"/>
                <w:spacing w:val="16"/>
                <w:sz w:val="24"/>
                <w:szCs w:val="24"/>
              </w:rPr>
              <w:t xml:space="preserve"> </w:t>
            </w:r>
            <w:r>
              <w:rPr>
                <w:spacing w:val="-3"/>
                <w:sz w:val="24"/>
                <w:szCs w:val="24"/>
              </w:rPr>
              <w:t>范围内山区间</w:t>
            </w:r>
            <w:r>
              <w:rPr>
                <w:spacing w:val="-4"/>
                <w:sz w:val="24"/>
                <w:szCs w:val="24"/>
              </w:rPr>
              <w:t>歇性水沟、水塘较多。</w:t>
            </w:r>
          </w:p>
          <w:p>
            <w:pPr>
              <w:pStyle w:val="6"/>
              <w:spacing w:before="194" w:line="219"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spacing w:val="-1"/>
                <w:sz w:val="24"/>
                <w:szCs w:val="24"/>
                <w14:textOutline w14:w="4354" w14:cap="flat" w14:cmpd="sng">
                  <w14:solidFill>
                    <w14:srgbClr w14:val="000000"/>
                  </w14:solidFill>
                  <w14:prstDash w14:val="solid"/>
                  <w14:miter w14:val="10"/>
                </w14:textOutline>
              </w:rPr>
              <w:t>）工程燃烧池周边环境现状</w:t>
            </w:r>
          </w:p>
          <w:p>
            <w:pPr>
              <w:pStyle w:val="6"/>
              <w:spacing w:before="197" w:line="369" w:lineRule="auto"/>
              <w:ind w:left="110" w:right="37" w:firstLine="478"/>
              <w:jc w:val="both"/>
              <w:rPr>
                <w:sz w:val="24"/>
                <w:szCs w:val="24"/>
              </w:rPr>
            </w:pPr>
            <w:r>
              <w:rPr>
                <w:spacing w:val="-8"/>
                <w:sz w:val="24"/>
                <w:szCs w:val="24"/>
              </w:rPr>
              <w:t>本项目共设</w:t>
            </w:r>
            <w:r>
              <w:rPr>
                <w:spacing w:val="-51"/>
                <w:sz w:val="24"/>
                <w:szCs w:val="24"/>
              </w:rPr>
              <w:t xml:space="preserve"> </w:t>
            </w:r>
            <w:r>
              <w:rPr>
                <w:rFonts w:ascii="Times New Roman" w:hAnsi="Times New Roman" w:eastAsia="Times New Roman" w:cs="Times New Roman"/>
                <w:spacing w:val="-8"/>
                <w:sz w:val="24"/>
                <w:szCs w:val="24"/>
              </w:rPr>
              <w:t xml:space="preserve">2 </w:t>
            </w:r>
            <w:r>
              <w:rPr>
                <w:spacing w:val="-8"/>
                <w:sz w:val="24"/>
                <w:szCs w:val="24"/>
              </w:rPr>
              <w:t>座</w:t>
            </w:r>
            <w:r>
              <w:rPr>
                <w:spacing w:val="-58"/>
                <w:sz w:val="24"/>
                <w:szCs w:val="24"/>
              </w:rPr>
              <w:t xml:space="preserve"> </w:t>
            </w:r>
            <w:r>
              <w:rPr>
                <w:rFonts w:ascii="Times New Roman" w:hAnsi="Times New Roman" w:eastAsia="Times New Roman" w:cs="Times New Roman"/>
                <w:spacing w:val="-8"/>
                <w:sz w:val="24"/>
                <w:szCs w:val="24"/>
              </w:rPr>
              <w:t xml:space="preserve">A </w:t>
            </w:r>
            <w:r>
              <w:rPr>
                <w:spacing w:val="-8"/>
                <w:sz w:val="24"/>
                <w:szCs w:val="24"/>
              </w:rPr>
              <w:t>类燃烧池， 其中主燃烧池位于井口西南侧，距井口约</w:t>
            </w:r>
            <w:r>
              <w:rPr>
                <w:spacing w:val="-32"/>
                <w:sz w:val="24"/>
                <w:szCs w:val="24"/>
              </w:rPr>
              <w:t xml:space="preserve"> </w:t>
            </w:r>
            <w:r>
              <w:rPr>
                <w:rFonts w:ascii="Times New Roman" w:hAnsi="Times New Roman" w:eastAsia="Times New Roman" w:cs="Times New Roman"/>
                <w:spacing w:val="-8"/>
                <w:sz w:val="24"/>
                <w:szCs w:val="24"/>
              </w:rPr>
              <w:t>121m</w:t>
            </w:r>
            <w:r>
              <w:rPr>
                <w:spacing w:val="-8"/>
                <w:sz w:val="24"/>
                <w:szCs w:val="24"/>
              </w:rPr>
              <w:t>；</w:t>
            </w:r>
            <w:r>
              <w:rPr>
                <w:sz w:val="24"/>
                <w:szCs w:val="24"/>
              </w:rPr>
              <w:t xml:space="preserve"> </w:t>
            </w:r>
            <w:r>
              <w:rPr>
                <w:spacing w:val="-7"/>
                <w:sz w:val="24"/>
                <w:szCs w:val="24"/>
              </w:rPr>
              <w:t>副燃烧池位于井口南侧，距井口约</w:t>
            </w:r>
            <w:r>
              <w:rPr>
                <w:spacing w:val="-9"/>
                <w:sz w:val="24"/>
                <w:szCs w:val="24"/>
              </w:rPr>
              <w:t xml:space="preserve"> </w:t>
            </w:r>
            <w:r>
              <w:rPr>
                <w:rFonts w:ascii="Times New Roman" w:hAnsi="Times New Roman" w:eastAsia="Times New Roman" w:cs="Times New Roman"/>
                <w:spacing w:val="-7"/>
                <w:sz w:val="24"/>
                <w:szCs w:val="24"/>
              </w:rPr>
              <w:t>105m</w:t>
            </w:r>
            <w:r>
              <w:rPr>
                <w:spacing w:val="-7"/>
                <w:sz w:val="24"/>
                <w:szCs w:val="24"/>
              </w:rPr>
              <w:t>。根据现场踏勘结果，</w:t>
            </w:r>
            <w:r>
              <w:rPr>
                <w:spacing w:val="64"/>
                <w:sz w:val="24"/>
                <w:szCs w:val="24"/>
              </w:rPr>
              <w:t xml:space="preserve"> </w:t>
            </w:r>
            <w:r>
              <w:rPr>
                <w:spacing w:val="-7"/>
                <w:sz w:val="24"/>
                <w:szCs w:val="24"/>
              </w:rPr>
              <w:t>燃烧池</w:t>
            </w:r>
            <w:r>
              <w:rPr>
                <w:spacing w:val="-41"/>
                <w:sz w:val="24"/>
                <w:szCs w:val="24"/>
              </w:rPr>
              <w:t xml:space="preserve"> </w:t>
            </w:r>
            <w:r>
              <w:rPr>
                <w:rFonts w:ascii="Times New Roman" w:hAnsi="Times New Roman" w:eastAsia="Times New Roman" w:cs="Times New Roman"/>
                <w:spacing w:val="-7"/>
                <w:sz w:val="24"/>
                <w:szCs w:val="24"/>
              </w:rPr>
              <w:t>50m</w:t>
            </w:r>
            <w:r>
              <w:rPr>
                <w:rFonts w:ascii="Times New Roman" w:hAnsi="Times New Roman" w:eastAsia="Times New Roman" w:cs="Times New Roman"/>
                <w:spacing w:val="23"/>
                <w:w w:val="101"/>
                <w:sz w:val="24"/>
                <w:szCs w:val="24"/>
              </w:rPr>
              <w:t xml:space="preserve"> </w:t>
            </w:r>
            <w:r>
              <w:rPr>
                <w:spacing w:val="-7"/>
                <w:sz w:val="24"/>
                <w:szCs w:val="24"/>
              </w:rPr>
              <w:t>范围内</w:t>
            </w:r>
            <w:r>
              <w:rPr>
                <w:sz w:val="24"/>
                <w:szCs w:val="24"/>
              </w:rPr>
              <w:t xml:space="preserve"> </w:t>
            </w:r>
            <w:r>
              <w:rPr>
                <w:spacing w:val="-3"/>
                <w:sz w:val="24"/>
                <w:szCs w:val="24"/>
              </w:rPr>
              <w:t>无居民，距离主燃烧池最近居民位于主燃烧</w:t>
            </w:r>
            <w:r>
              <w:rPr>
                <w:spacing w:val="-4"/>
                <w:sz w:val="24"/>
                <w:szCs w:val="24"/>
              </w:rPr>
              <w:t>池南侧约</w:t>
            </w:r>
            <w:r>
              <w:rPr>
                <w:spacing w:val="-50"/>
                <w:sz w:val="24"/>
                <w:szCs w:val="24"/>
              </w:rPr>
              <w:t xml:space="preserve"> </w:t>
            </w:r>
            <w:r>
              <w:rPr>
                <w:rFonts w:ascii="Times New Roman" w:hAnsi="Times New Roman" w:eastAsia="Times New Roman" w:cs="Times New Roman"/>
                <w:spacing w:val="-4"/>
                <w:sz w:val="24"/>
                <w:szCs w:val="24"/>
              </w:rPr>
              <w:t>70m</w:t>
            </w:r>
            <w:r>
              <w:rPr>
                <w:rFonts w:ascii="Times New Roman" w:hAnsi="Times New Roman" w:eastAsia="Times New Roman" w:cs="Times New Roman"/>
                <w:spacing w:val="15"/>
                <w:sz w:val="24"/>
                <w:szCs w:val="24"/>
              </w:rPr>
              <w:t xml:space="preserve"> </w:t>
            </w:r>
            <w:r>
              <w:rPr>
                <w:spacing w:val="-4"/>
                <w:sz w:val="24"/>
                <w:szCs w:val="24"/>
              </w:rPr>
              <w:t>处，距离副燃烧池最近居</w:t>
            </w:r>
          </w:p>
          <w:p>
            <w:pPr>
              <w:pStyle w:val="6"/>
              <w:spacing w:before="1" w:line="218" w:lineRule="auto"/>
              <w:ind w:left="131"/>
              <w:rPr>
                <w:sz w:val="24"/>
                <w:szCs w:val="24"/>
              </w:rPr>
            </w:pPr>
            <w:r>
              <w:rPr>
                <w:spacing w:val="-2"/>
                <w:sz w:val="24"/>
                <w:szCs w:val="24"/>
              </w:rPr>
              <w:t>民位于井场西南侧约</w:t>
            </w:r>
            <w:r>
              <w:rPr>
                <w:spacing w:val="-36"/>
                <w:sz w:val="24"/>
                <w:szCs w:val="24"/>
              </w:rPr>
              <w:t xml:space="preserve"> </w:t>
            </w:r>
            <w:r>
              <w:rPr>
                <w:rFonts w:ascii="Times New Roman" w:hAnsi="Times New Roman" w:eastAsia="Times New Roman" w:cs="Times New Roman"/>
                <w:spacing w:val="-2"/>
                <w:sz w:val="24"/>
                <w:szCs w:val="24"/>
              </w:rPr>
              <w:t>52m</w:t>
            </w:r>
            <w:r>
              <w:rPr>
                <w:rFonts w:ascii="Times New Roman" w:hAnsi="Times New Roman" w:eastAsia="Times New Roman" w:cs="Times New Roman"/>
                <w:spacing w:val="15"/>
                <w:sz w:val="24"/>
                <w:szCs w:val="24"/>
              </w:rPr>
              <w:t xml:space="preserve"> </w:t>
            </w:r>
            <w:r>
              <w:rPr>
                <w:spacing w:val="-2"/>
                <w:sz w:val="24"/>
                <w:szCs w:val="24"/>
              </w:rPr>
              <w:t>处。目前燃烧池周边有树木需砍伐和地面农作物清除。</w:t>
            </w:r>
          </w:p>
          <w:p>
            <w:pPr>
              <w:pStyle w:val="6"/>
              <w:spacing w:before="195"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spacing w:val="-1"/>
                <w:sz w:val="24"/>
                <w:szCs w:val="24"/>
                <w14:textOutline w14:w="4354" w14:cap="flat" w14:cmpd="sng">
                  <w14:solidFill>
                    <w14:srgbClr w14:val="000000"/>
                  </w14:solidFill>
                  <w14:prstDash w14:val="solid"/>
                  <w14:miter w14:val="10"/>
                </w14:textOutline>
              </w:rPr>
              <w:t>）工程道路外环境关系</w:t>
            </w:r>
          </w:p>
        </w:tc>
      </w:tr>
    </w:tbl>
    <w:p>
      <w:pPr>
        <w:pStyle w:val="2"/>
        <w:rPr>
          <w:sz w:val="21"/>
        </w:rPr>
      </w:pPr>
    </w:p>
    <w:p>
      <w:pPr>
        <w:rPr>
          <w:sz w:val="21"/>
          <w:szCs w:val="21"/>
        </w:rPr>
        <w:sectPr>
          <w:footerReference r:id="rId79"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71" w:hRule="atLeast"/>
        </w:trPr>
        <w:tc>
          <w:tcPr>
            <w:tcW w:w="465" w:type="dxa"/>
            <w:tcBorders>
              <w:right w:val="single" w:color="000000" w:sz="2" w:space="0"/>
            </w:tcBorders>
            <w:vAlign w:val="top"/>
          </w:tcPr>
          <w:p>
            <w:pPr>
              <w:rPr>
                <w:rFonts w:ascii="Arial"/>
                <w:sz w:val="21"/>
              </w:rPr>
            </w:pPr>
          </w:p>
        </w:tc>
        <w:tc>
          <w:tcPr>
            <w:tcW w:w="8826" w:type="dxa"/>
            <w:tcBorders>
              <w:left w:val="single" w:color="000000" w:sz="2" w:space="0"/>
            </w:tcBorders>
            <w:vAlign w:val="top"/>
          </w:tcPr>
          <w:p>
            <w:pPr>
              <w:pStyle w:val="6"/>
              <w:spacing w:before="183" w:line="369" w:lineRule="auto"/>
              <w:ind w:left="109" w:right="104" w:firstLine="479"/>
              <w:rPr>
                <w:sz w:val="24"/>
                <w:szCs w:val="24"/>
              </w:rPr>
            </w:pPr>
            <w:r>
              <w:rPr>
                <w:spacing w:val="-3"/>
                <w:sz w:val="24"/>
                <w:szCs w:val="24"/>
              </w:rPr>
              <w:t xml:space="preserve">本项目西侧及东侧有现有乡村道路，因此本项目新建入场道路 </w:t>
            </w:r>
            <w:r>
              <w:rPr>
                <w:rFonts w:ascii="Times New Roman" w:hAnsi="Times New Roman" w:eastAsia="Times New Roman" w:cs="Times New Roman"/>
                <w:spacing w:val="-3"/>
                <w:sz w:val="24"/>
                <w:szCs w:val="24"/>
              </w:rPr>
              <w:t>110m</w:t>
            </w:r>
            <w:r>
              <w:rPr>
                <w:rFonts w:ascii="Times New Roman" w:hAnsi="Times New Roman" w:eastAsia="Times New Roman" w:cs="Times New Roman"/>
                <w:spacing w:val="32"/>
                <w:sz w:val="24"/>
                <w:szCs w:val="24"/>
              </w:rPr>
              <w:t xml:space="preserve"> </w:t>
            </w:r>
            <w:r>
              <w:rPr>
                <w:spacing w:val="-3"/>
                <w:sz w:val="24"/>
                <w:szCs w:val="24"/>
              </w:rPr>
              <w:t>至井</w:t>
            </w:r>
            <w:r>
              <w:rPr>
                <w:spacing w:val="-4"/>
                <w:sz w:val="24"/>
                <w:szCs w:val="24"/>
              </w:rPr>
              <w:t>场。</w:t>
            </w:r>
            <w:r>
              <w:rPr>
                <w:sz w:val="24"/>
                <w:szCs w:val="24"/>
              </w:rPr>
              <w:t xml:space="preserve"> </w:t>
            </w:r>
            <w:r>
              <w:rPr>
                <w:spacing w:val="-6"/>
                <w:sz w:val="24"/>
                <w:szCs w:val="24"/>
              </w:rPr>
              <w:t>新建道路起点接井场西侧现有道路，</w:t>
            </w:r>
            <w:r>
              <w:rPr>
                <w:spacing w:val="70"/>
                <w:sz w:val="24"/>
                <w:szCs w:val="24"/>
              </w:rPr>
              <w:t xml:space="preserve"> </w:t>
            </w:r>
            <w:r>
              <w:rPr>
                <w:spacing w:val="-6"/>
                <w:sz w:val="24"/>
                <w:szCs w:val="24"/>
              </w:rPr>
              <w:t>终点接入井场，路面结构层为</w:t>
            </w:r>
            <w:r>
              <w:rPr>
                <w:spacing w:val="-36"/>
                <w:sz w:val="24"/>
                <w:szCs w:val="24"/>
              </w:rPr>
              <w:t xml:space="preserve"> </w:t>
            </w:r>
            <w:r>
              <w:rPr>
                <w:rFonts w:ascii="Times New Roman" w:hAnsi="Times New Roman" w:eastAsia="Times New Roman" w:cs="Times New Roman"/>
                <w:spacing w:val="-6"/>
                <w:sz w:val="24"/>
                <w:szCs w:val="24"/>
              </w:rPr>
              <w:t>20cm</w:t>
            </w:r>
            <w:r>
              <w:rPr>
                <w:rFonts w:ascii="Times New Roman" w:hAnsi="Times New Roman" w:eastAsia="Times New Roman" w:cs="Times New Roman"/>
                <w:spacing w:val="36"/>
                <w:sz w:val="24"/>
                <w:szCs w:val="24"/>
              </w:rPr>
              <w:t xml:space="preserve"> </w:t>
            </w:r>
            <w:r>
              <w:rPr>
                <w:spacing w:val="-6"/>
                <w:sz w:val="24"/>
                <w:szCs w:val="24"/>
              </w:rPr>
              <w:t>厚砂卵石</w:t>
            </w:r>
          </w:p>
          <w:p>
            <w:pPr>
              <w:pStyle w:val="6"/>
              <w:spacing w:before="1" w:line="218" w:lineRule="auto"/>
              <w:ind w:left="108"/>
              <w:rPr>
                <w:sz w:val="24"/>
                <w:szCs w:val="24"/>
              </w:rPr>
            </w:pPr>
            <w:r>
              <w:rPr>
                <w:spacing w:val="-2"/>
                <w:sz w:val="24"/>
                <w:szCs w:val="24"/>
              </w:rPr>
              <w:t>基层</w:t>
            </w:r>
            <w:r>
              <w:rPr>
                <w:rFonts w:ascii="Times New Roman" w:hAnsi="Times New Roman" w:eastAsia="Times New Roman" w:cs="Times New Roman"/>
                <w:spacing w:val="-2"/>
                <w:sz w:val="24"/>
                <w:szCs w:val="24"/>
              </w:rPr>
              <w:t>+20cm</w:t>
            </w:r>
            <w:r>
              <w:rPr>
                <w:rFonts w:ascii="Times New Roman" w:hAnsi="Times New Roman" w:eastAsia="Times New Roman" w:cs="Times New Roman"/>
                <w:spacing w:val="30"/>
                <w:w w:val="101"/>
                <w:sz w:val="24"/>
                <w:szCs w:val="24"/>
              </w:rPr>
              <w:t xml:space="preserve"> </w:t>
            </w:r>
            <w:r>
              <w:rPr>
                <w:spacing w:val="-2"/>
                <w:sz w:val="24"/>
                <w:szCs w:val="24"/>
              </w:rPr>
              <w:t>厚</w:t>
            </w:r>
            <w:r>
              <w:rPr>
                <w:spacing w:val="-52"/>
                <w:sz w:val="24"/>
                <w:szCs w:val="24"/>
              </w:rPr>
              <w:t xml:space="preserve"> </w:t>
            </w:r>
            <w:r>
              <w:rPr>
                <w:rFonts w:ascii="Times New Roman" w:hAnsi="Times New Roman" w:eastAsia="Times New Roman" w:cs="Times New Roman"/>
                <w:spacing w:val="-2"/>
                <w:sz w:val="24"/>
                <w:szCs w:val="24"/>
              </w:rPr>
              <w:t xml:space="preserve">C25 </w:t>
            </w:r>
            <w:r>
              <w:rPr>
                <w:spacing w:val="-2"/>
                <w:sz w:val="24"/>
                <w:szCs w:val="24"/>
              </w:rPr>
              <w:t>混凝土面层。同时对现有乡村道路（</w:t>
            </w:r>
            <w:r>
              <w:rPr>
                <w:rFonts w:ascii="Times New Roman" w:hAnsi="Times New Roman" w:eastAsia="Times New Roman" w:cs="Times New Roman"/>
                <w:spacing w:val="-2"/>
                <w:sz w:val="24"/>
                <w:szCs w:val="24"/>
              </w:rPr>
              <w:t>9.4km</w:t>
            </w:r>
            <w:r>
              <w:rPr>
                <w:spacing w:val="-2"/>
                <w:sz w:val="24"/>
                <w:szCs w:val="24"/>
              </w:rPr>
              <w:t>）进行维修。</w:t>
            </w:r>
          </w:p>
          <w:p>
            <w:pPr>
              <w:pStyle w:val="6"/>
              <w:spacing w:before="195" w:line="480" w:lineRule="exact"/>
              <w:ind w:left="589"/>
              <w:rPr>
                <w:sz w:val="24"/>
                <w:szCs w:val="24"/>
              </w:rPr>
            </w:pPr>
            <w:r>
              <w:rPr>
                <w:spacing w:val="-6"/>
                <w:position w:val="18"/>
                <w:sz w:val="24"/>
                <w:szCs w:val="24"/>
              </w:rPr>
              <w:t>本工程新建道路为农村环境，</w:t>
            </w:r>
            <w:r>
              <w:rPr>
                <w:spacing w:val="52"/>
                <w:position w:val="18"/>
                <w:sz w:val="24"/>
                <w:szCs w:val="24"/>
              </w:rPr>
              <w:t xml:space="preserve"> </w:t>
            </w:r>
            <w:r>
              <w:rPr>
                <w:spacing w:val="-6"/>
                <w:position w:val="18"/>
                <w:sz w:val="24"/>
                <w:szCs w:val="24"/>
              </w:rPr>
              <w:t>不涉及自然保护区、风景名胜区</w:t>
            </w:r>
            <w:r>
              <w:rPr>
                <w:spacing w:val="-7"/>
                <w:position w:val="18"/>
                <w:sz w:val="24"/>
                <w:szCs w:val="24"/>
              </w:rPr>
              <w:t>及集中式饮用水</w:t>
            </w:r>
          </w:p>
          <w:p>
            <w:pPr>
              <w:pStyle w:val="6"/>
              <w:spacing w:line="219" w:lineRule="auto"/>
              <w:ind w:left="111"/>
              <w:rPr>
                <w:sz w:val="24"/>
                <w:szCs w:val="24"/>
              </w:rPr>
            </w:pPr>
            <w:r>
              <w:rPr>
                <w:spacing w:val="-4"/>
                <w:sz w:val="24"/>
                <w:szCs w:val="24"/>
              </w:rPr>
              <w:t>水源保护区等敏感区域。</w:t>
            </w:r>
          </w:p>
          <w:p>
            <w:pPr>
              <w:pStyle w:val="6"/>
              <w:spacing w:before="228" w:line="220" w:lineRule="auto"/>
              <w:ind w:left="102"/>
              <w:rPr>
                <w:sz w:val="24"/>
                <w:szCs w:val="24"/>
              </w:rPr>
            </w:pPr>
            <w:r>
              <w:rPr>
                <w:rFonts w:ascii="Times New Roman" w:hAnsi="Times New Roman" w:eastAsia="Times New Roman" w:cs="Times New Roman"/>
                <w:b/>
                <w:bCs/>
                <w:sz w:val="24"/>
                <w:szCs w:val="24"/>
              </w:rPr>
              <w:t xml:space="preserve">3.4.2 </w:t>
            </w:r>
            <w:r>
              <w:rPr>
                <w:sz w:val="24"/>
                <w:szCs w:val="24"/>
                <w14:textOutline w14:w="4354" w14:cap="flat" w14:cmpd="sng">
                  <w14:solidFill>
                    <w14:srgbClr w14:val="000000"/>
                  </w14:solidFill>
                  <w14:prstDash w14:val="solid"/>
                  <w14:miter w14:val="10"/>
                </w14:textOutline>
              </w:rPr>
              <w:t>环境保护目标</w:t>
            </w:r>
          </w:p>
          <w:p>
            <w:pPr>
              <w:pStyle w:val="6"/>
              <w:spacing w:before="202" w:line="369" w:lineRule="auto"/>
              <w:ind w:left="109" w:right="102" w:firstLine="479"/>
              <w:rPr>
                <w:rFonts w:ascii="Times New Roman" w:hAnsi="Times New Roman" w:eastAsia="Times New Roman" w:cs="Times New Roman"/>
                <w:sz w:val="24"/>
                <w:szCs w:val="24"/>
              </w:rPr>
            </w:pPr>
            <w:r>
              <w:rPr>
                <w:spacing w:val="-7"/>
                <w:sz w:val="24"/>
                <w:szCs w:val="24"/>
              </w:rPr>
              <w:t>本项目位于四川省达州市通川区江陵镇和平村</w:t>
            </w:r>
            <w:r>
              <w:rPr>
                <w:spacing w:val="-27"/>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组，属于农村地区，</w:t>
            </w:r>
            <w:r>
              <w:rPr>
                <w:spacing w:val="52"/>
                <w:sz w:val="24"/>
                <w:szCs w:val="24"/>
              </w:rPr>
              <w:t xml:space="preserve"> </w:t>
            </w:r>
            <w:r>
              <w:rPr>
                <w:spacing w:val="-7"/>
                <w:sz w:val="24"/>
                <w:szCs w:val="24"/>
              </w:rPr>
              <w:t>不涉及自</w:t>
            </w:r>
            <w:r>
              <w:rPr>
                <w:sz w:val="24"/>
                <w:szCs w:val="24"/>
              </w:rPr>
              <w:t xml:space="preserve"> </w:t>
            </w:r>
            <w:r>
              <w:rPr>
                <w:spacing w:val="-5"/>
                <w:sz w:val="24"/>
                <w:szCs w:val="24"/>
              </w:rPr>
              <w:t>然保护区、世界自然遗产地、森林公园、生态红线等环境敏感区。本项目井口</w:t>
            </w:r>
            <w:r>
              <w:rPr>
                <w:spacing w:val="-34"/>
                <w:sz w:val="24"/>
                <w:szCs w:val="24"/>
              </w:rPr>
              <w:t xml:space="preserve"> </w:t>
            </w:r>
            <w:r>
              <w:rPr>
                <w:rFonts w:ascii="Times New Roman" w:hAnsi="Times New Roman" w:eastAsia="Times New Roman" w:cs="Times New Roman"/>
                <w:spacing w:val="-5"/>
                <w:sz w:val="24"/>
                <w:szCs w:val="24"/>
              </w:rPr>
              <w:t>500m</w:t>
            </w:r>
          </w:p>
          <w:p>
            <w:pPr>
              <w:pStyle w:val="6"/>
              <w:spacing w:line="219" w:lineRule="auto"/>
              <w:ind w:left="114"/>
              <w:rPr>
                <w:sz w:val="24"/>
                <w:szCs w:val="24"/>
              </w:rPr>
            </w:pPr>
            <w:r>
              <w:rPr>
                <w:spacing w:val="-1"/>
                <w:sz w:val="24"/>
                <w:szCs w:val="24"/>
              </w:rPr>
              <w:t>范围内无场镇、建制学校、医院和大型油库</w:t>
            </w:r>
            <w:r>
              <w:rPr>
                <w:spacing w:val="-2"/>
                <w:sz w:val="24"/>
                <w:szCs w:val="24"/>
              </w:rPr>
              <w:t>等人口密集型和高危性场所。</w:t>
            </w:r>
          </w:p>
          <w:p>
            <w:pPr>
              <w:pStyle w:val="6"/>
              <w:spacing w:before="195" w:line="480" w:lineRule="exact"/>
              <w:ind w:left="588"/>
              <w:rPr>
                <w:sz w:val="24"/>
                <w:szCs w:val="24"/>
              </w:rPr>
            </w:pPr>
            <w:r>
              <w:rPr>
                <w:spacing w:val="-7"/>
                <w:position w:val="18"/>
                <w:sz w:val="24"/>
                <w:szCs w:val="24"/>
              </w:rPr>
              <w:t xml:space="preserve">井口方圆 </w:t>
            </w:r>
            <w:r>
              <w:rPr>
                <w:rFonts w:ascii="Times New Roman" w:hAnsi="Times New Roman" w:eastAsia="Times New Roman" w:cs="Times New Roman"/>
                <w:spacing w:val="-7"/>
                <w:position w:val="18"/>
                <w:sz w:val="24"/>
                <w:szCs w:val="24"/>
              </w:rPr>
              <w:t>0m~100m</w:t>
            </w:r>
            <w:r>
              <w:rPr>
                <w:rFonts w:ascii="Times New Roman" w:hAnsi="Times New Roman" w:eastAsia="Times New Roman" w:cs="Times New Roman"/>
                <w:spacing w:val="47"/>
                <w:w w:val="101"/>
                <w:position w:val="18"/>
                <w:sz w:val="24"/>
                <w:szCs w:val="24"/>
              </w:rPr>
              <w:t xml:space="preserve"> </w:t>
            </w:r>
            <w:r>
              <w:rPr>
                <w:spacing w:val="-7"/>
                <w:position w:val="18"/>
                <w:sz w:val="24"/>
                <w:szCs w:val="24"/>
              </w:rPr>
              <w:t>范围内无人居住，</w:t>
            </w:r>
            <w:r>
              <w:rPr>
                <w:spacing w:val="63"/>
                <w:position w:val="18"/>
                <w:sz w:val="24"/>
                <w:szCs w:val="24"/>
              </w:rPr>
              <w:t xml:space="preserve"> </w:t>
            </w:r>
            <w:r>
              <w:rPr>
                <w:spacing w:val="-7"/>
                <w:position w:val="18"/>
                <w:sz w:val="24"/>
                <w:szCs w:val="24"/>
              </w:rPr>
              <w:t xml:space="preserve">井口 </w:t>
            </w:r>
            <w:r>
              <w:rPr>
                <w:rFonts w:ascii="Times New Roman" w:hAnsi="Times New Roman" w:eastAsia="Times New Roman" w:cs="Times New Roman"/>
                <w:spacing w:val="-7"/>
                <w:position w:val="18"/>
                <w:sz w:val="24"/>
                <w:szCs w:val="24"/>
              </w:rPr>
              <w:t>100~500m</w:t>
            </w:r>
            <w:r>
              <w:rPr>
                <w:rFonts w:ascii="Times New Roman" w:hAnsi="Times New Roman" w:eastAsia="Times New Roman" w:cs="Times New Roman"/>
                <w:spacing w:val="41"/>
                <w:position w:val="18"/>
                <w:sz w:val="24"/>
                <w:szCs w:val="24"/>
              </w:rPr>
              <w:t xml:space="preserve"> </w:t>
            </w:r>
            <w:r>
              <w:rPr>
                <w:spacing w:val="-7"/>
                <w:position w:val="18"/>
                <w:sz w:val="24"/>
                <w:szCs w:val="24"/>
              </w:rPr>
              <w:t>分布有零星农户，经调</w:t>
            </w:r>
          </w:p>
          <w:p>
            <w:pPr>
              <w:pStyle w:val="6"/>
              <w:spacing w:line="219" w:lineRule="auto"/>
              <w:ind w:left="111"/>
              <w:rPr>
                <w:sz w:val="24"/>
                <w:szCs w:val="24"/>
              </w:rPr>
            </w:pPr>
            <w:r>
              <w:rPr>
                <w:spacing w:val="-3"/>
                <w:sz w:val="24"/>
                <w:szCs w:val="24"/>
              </w:rPr>
              <w:t>查，井口</w:t>
            </w:r>
            <w:r>
              <w:rPr>
                <w:spacing w:val="-35"/>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pacing w:val="16"/>
                <w:sz w:val="24"/>
                <w:szCs w:val="24"/>
              </w:rPr>
              <w:t xml:space="preserve"> </w:t>
            </w:r>
            <w:r>
              <w:rPr>
                <w:spacing w:val="-3"/>
                <w:sz w:val="24"/>
                <w:szCs w:val="24"/>
              </w:rPr>
              <w:t>范围内合计为</w:t>
            </w:r>
            <w:r>
              <w:rPr>
                <w:spacing w:val="-56"/>
                <w:sz w:val="24"/>
                <w:szCs w:val="24"/>
              </w:rPr>
              <w:t xml:space="preserve"> </w:t>
            </w:r>
            <w:r>
              <w:rPr>
                <w:rFonts w:ascii="Times New Roman" w:hAnsi="Times New Roman" w:eastAsia="Times New Roman" w:cs="Times New Roman"/>
                <w:spacing w:val="-3"/>
                <w:sz w:val="24"/>
                <w:szCs w:val="24"/>
              </w:rPr>
              <w:t xml:space="preserve">49 </w:t>
            </w:r>
            <w:r>
              <w:rPr>
                <w:spacing w:val="-3"/>
                <w:sz w:val="24"/>
                <w:szCs w:val="24"/>
              </w:rPr>
              <w:t>户，共计约</w:t>
            </w:r>
            <w:r>
              <w:rPr>
                <w:spacing w:val="-55"/>
                <w:sz w:val="24"/>
                <w:szCs w:val="24"/>
              </w:rPr>
              <w:t xml:space="preserve"> </w:t>
            </w:r>
            <w:r>
              <w:rPr>
                <w:rFonts w:ascii="Times New Roman" w:hAnsi="Times New Roman" w:eastAsia="Times New Roman" w:cs="Times New Roman"/>
                <w:spacing w:val="-3"/>
                <w:sz w:val="24"/>
                <w:szCs w:val="24"/>
              </w:rPr>
              <w:t xml:space="preserve">211 </w:t>
            </w:r>
            <w:r>
              <w:rPr>
                <w:spacing w:val="-3"/>
                <w:sz w:val="24"/>
                <w:szCs w:val="24"/>
              </w:rPr>
              <w:t>人。</w:t>
            </w:r>
          </w:p>
          <w:p>
            <w:pPr>
              <w:pStyle w:val="6"/>
              <w:spacing w:before="196" w:line="369" w:lineRule="auto"/>
              <w:ind w:left="108" w:right="101" w:firstLine="478"/>
              <w:rPr>
                <w:sz w:val="24"/>
                <w:szCs w:val="24"/>
              </w:rPr>
            </w:pPr>
            <w:r>
              <w:rPr>
                <w:spacing w:val="-1"/>
                <w:sz w:val="24"/>
                <w:szCs w:val="24"/>
              </w:rPr>
              <w:t>评价范围无自然保护区、风景区、文物古迹、饮用水</w:t>
            </w:r>
            <w:r>
              <w:rPr>
                <w:spacing w:val="-2"/>
                <w:sz w:val="24"/>
                <w:szCs w:val="24"/>
              </w:rPr>
              <w:t>源保护区等特殊敏感区。</w:t>
            </w:r>
            <w:r>
              <w:rPr>
                <w:sz w:val="24"/>
                <w:szCs w:val="24"/>
              </w:rPr>
              <w:t xml:space="preserve"> 根据《建设项目环境影响报告表编制技术指南（生态影响类</w:t>
            </w:r>
            <w:r>
              <w:rPr>
                <w:spacing w:val="-15"/>
                <w:sz w:val="24"/>
                <w:szCs w:val="24"/>
              </w:rPr>
              <w:t>）（</w:t>
            </w:r>
            <w:r>
              <w:rPr>
                <w:sz w:val="24"/>
                <w:szCs w:val="24"/>
              </w:rPr>
              <w:t>试行</w:t>
            </w:r>
            <w:r>
              <w:rPr>
                <w:spacing w:val="-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5"/>
                <w:sz w:val="24"/>
                <w:szCs w:val="24"/>
              </w:rPr>
              <w:t xml:space="preserve"> </w:t>
            </w:r>
            <w:r>
              <w:rPr>
                <w:spacing w:val="-1"/>
                <w:sz w:val="24"/>
                <w:szCs w:val="24"/>
              </w:rPr>
              <w:t>生态</w:t>
            </w:r>
            <w:r>
              <w:rPr>
                <w:sz w:val="24"/>
                <w:szCs w:val="24"/>
              </w:rPr>
              <w:t xml:space="preserve"> </w:t>
            </w:r>
            <w:r>
              <w:rPr>
                <w:spacing w:val="13"/>
                <w:sz w:val="24"/>
                <w:szCs w:val="24"/>
              </w:rPr>
              <w:t>环境保护目标按照环境影响评价技术导则要求确定评价范围并识别环境保护目</w:t>
            </w:r>
          </w:p>
          <w:p>
            <w:pPr>
              <w:pStyle w:val="6"/>
              <w:spacing w:before="1" w:line="218" w:lineRule="auto"/>
              <w:ind w:left="109"/>
              <w:rPr>
                <w:sz w:val="24"/>
                <w:szCs w:val="24"/>
              </w:rPr>
            </w:pPr>
            <w:r>
              <w:rPr>
                <w:spacing w:val="-5"/>
                <w:sz w:val="24"/>
                <w:szCs w:val="24"/>
              </w:rPr>
              <w:t>标</w:t>
            </w:r>
            <w:r>
              <w:rPr>
                <w:rFonts w:ascii="Times New Roman" w:hAnsi="Times New Roman" w:eastAsia="Times New Roman" w:cs="Times New Roman"/>
                <w:spacing w:val="-5"/>
                <w:sz w:val="24"/>
                <w:szCs w:val="24"/>
              </w:rPr>
              <w:t>”</w:t>
            </w:r>
            <w:r>
              <w:rPr>
                <w:rFonts w:ascii="Times New Roman" w:hAnsi="Times New Roman" w:eastAsia="Times New Roman" w:cs="Times New Roman"/>
                <w:spacing w:val="-15"/>
                <w:sz w:val="24"/>
                <w:szCs w:val="24"/>
              </w:rPr>
              <w:t xml:space="preserve"> </w:t>
            </w:r>
            <w:r>
              <w:rPr>
                <w:spacing w:val="-5"/>
                <w:sz w:val="24"/>
                <w:szCs w:val="24"/>
              </w:rPr>
              <w:t>。本项目生态环境保护目标分布情况如下：</w:t>
            </w:r>
          </w:p>
          <w:p>
            <w:pPr>
              <w:pStyle w:val="6"/>
              <w:spacing w:before="196" w:line="480" w:lineRule="exact"/>
              <w:ind w:left="597"/>
              <w:rPr>
                <w:sz w:val="24"/>
                <w:szCs w:val="24"/>
              </w:rPr>
            </w:pPr>
            <w:r>
              <w:rPr>
                <w:rFonts w:ascii="Times New Roman" w:hAnsi="Times New Roman" w:eastAsia="Times New Roman" w:cs="Times New Roman"/>
                <w:b/>
                <w:bCs/>
                <w:spacing w:val="-1"/>
                <w:position w:val="18"/>
                <w:sz w:val="24"/>
                <w:szCs w:val="24"/>
              </w:rPr>
              <w:t>1</w:t>
            </w:r>
            <w:r>
              <w:rPr>
                <w:spacing w:val="-1"/>
                <w:position w:val="18"/>
                <w:sz w:val="24"/>
                <w:szCs w:val="24"/>
                <w14:textOutline w14:w="4354" w14:cap="flat" w14:cmpd="sng">
                  <w14:solidFill>
                    <w14:srgbClr w14:val="000000"/>
                  </w14:solidFill>
                  <w14:prstDash w14:val="solid"/>
                  <w14:miter w14:val="10"/>
                </w14:textOutline>
              </w:rPr>
              <w:t>、井口周边生态环境保护目标分布情况</w:t>
            </w:r>
          </w:p>
          <w:p>
            <w:pPr>
              <w:pStyle w:val="6"/>
              <w:spacing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spacing w:val="-2"/>
                <w:sz w:val="24"/>
                <w:szCs w:val="24"/>
                <w14:textOutline w14:w="4354" w14:cap="flat" w14:cmpd="sng">
                  <w14:solidFill>
                    <w14:srgbClr w14:val="000000"/>
                  </w14:solidFill>
                  <w14:prstDash w14:val="solid"/>
                  <w14:miter w14:val="10"/>
                </w14:textOutline>
              </w:rPr>
              <w:t>）生态环境保护目标</w:t>
            </w:r>
          </w:p>
          <w:p>
            <w:pPr>
              <w:pStyle w:val="6"/>
              <w:spacing w:before="195" w:line="369" w:lineRule="auto"/>
              <w:ind w:left="110" w:right="17" w:firstLine="478"/>
              <w:rPr>
                <w:sz w:val="24"/>
                <w:szCs w:val="24"/>
              </w:rPr>
            </w:pPr>
            <w:r>
              <w:rPr>
                <w:spacing w:val="-1"/>
                <w:sz w:val="24"/>
                <w:szCs w:val="24"/>
              </w:rPr>
              <w:t>本次评价重点对项目占地及周边</w:t>
            </w:r>
            <w:r>
              <w:rPr>
                <w:spacing w:val="-36"/>
                <w:sz w:val="24"/>
                <w:szCs w:val="24"/>
              </w:rPr>
              <w:t xml:space="preserve"> </w:t>
            </w:r>
            <w:r>
              <w:rPr>
                <w:rFonts w:ascii="Times New Roman" w:hAnsi="Times New Roman" w:eastAsia="Times New Roman" w:cs="Times New Roman"/>
                <w:spacing w:val="-1"/>
                <w:sz w:val="24"/>
                <w:szCs w:val="24"/>
              </w:rPr>
              <w:t>500m</w:t>
            </w:r>
            <w:r>
              <w:rPr>
                <w:rFonts w:ascii="Times New Roman" w:hAnsi="Times New Roman" w:eastAsia="Times New Roman" w:cs="Times New Roman"/>
                <w:spacing w:val="28"/>
                <w:sz w:val="24"/>
                <w:szCs w:val="24"/>
              </w:rPr>
              <w:t xml:space="preserve"> </w:t>
            </w:r>
            <w:r>
              <w:rPr>
                <w:spacing w:val="-1"/>
                <w:sz w:val="24"/>
                <w:szCs w:val="24"/>
              </w:rPr>
              <w:t>范围内</w:t>
            </w:r>
            <w:r>
              <w:rPr>
                <w:spacing w:val="-2"/>
                <w:sz w:val="24"/>
                <w:szCs w:val="24"/>
              </w:rPr>
              <w:t xml:space="preserve">进行调查，根据叠图分析和现场 </w:t>
            </w:r>
            <w:r>
              <w:rPr>
                <w:spacing w:val="-12"/>
                <w:sz w:val="24"/>
                <w:szCs w:val="24"/>
              </w:rPr>
              <w:t>调查，</w:t>
            </w:r>
            <w:r>
              <w:rPr>
                <w:spacing w:val="-36"/>
                <w:sz w:val="24"/>
                <w:szCs w:val="24"/>
              </w:rPr>
              <w:t xml:space="preserve"> </w:t>
            </w:r>
            <w:r>
              <w:rPr>
                <w:spacing w:val="-12"/>
                <w:sz w:val="24"/>
                <w:szCs w:val="24"/>
              </w:rPr>
              <w:t>评价区域无国家公园、自然保护区、</w:t>
            </w:r>
            <w:r>
              <w:rPr>
                <w:spacing w:val="49"/>
                <w:sz w:val="24"/>
                <w:szCs w:val="24"/>
              </w:rPr>
              <w:t xml:space="preserve"> </w:t>
            </w:r>
            <w:r>
              <w:rPr>
                <w:spacing w:val="-12"/>
                <w:sz w:val="24"/>
                <w:szCs w:val="24"/>
              </w:rPr>
              <w:t>自然公园等自然保护地、世界自然遗</w:t>
            </w:r>
            <w:r>
              <w:rPr>
                <w:spacing w:val="-13"/>
                <w:sz w:val="24"/>
                <w:szCs w:val="24"/>
              </w:rPr>
              <w:t>产、</w:t>
            </w:r>
          </w:p>
          <w:p>
            <w:pPr>
              <w:pStyle w:val="6"/>
              <w:spacing w:line="219" w:lineRule="auto"/>
              <w:ind w:left="110"/>
              <w:rPr>
                <w:sz w:val="24"/>
                <w:szCs w:val="24"/>
              </w:rPr>
            </w:pPr>
            <w:r>
              <w:rPr>
                <w:spacing w:val="-1"/>
                <w:sz w:val="24"/>
                <w:szCs w:val="24"/>
              </w:rPr>
              <w:t>生态保护红线等区域，不涉及重要生境，占地不涉</w:t>
            </w:r>
            <w:r>
              <w:rPr>
                <w:spacing w:val="-2"/>
                <w:sz w:val="24"/>
                <w:szCs w:val="24"/>
              </w:rPr>
              <w:t>及国家级公益林、天然林。</w:t>
            </w:r>
          </w:p>
          <w:p>
            <w:pPr>
              <w:pStyle w:val="6"/>
              <w:spacing w:before="195" w:line="480" w:lineRule="exact"/>
              <w:ind w:left="588"/>
              <w:rPr>
                <w:sz w:val="24"/>
                <w:szCs w:val="24"/>
              </w:rPr>
            </w:pPr>
            <w:r>
              <w:rPr>
                <w:spacing w:val="-2"/>
                <w:position w:val="18"/>
                <w:sz w:val="24"/>
                <w:szCs w:val="24"/>
              </w:rPr>
              <w:t>拟建项目占用基本农田，根据自然资规</w:t>
            </w:r>
            <w:r>
              <w:rPr>
                <w:rFonts w:ascii="Times New Roman" w:hAnsi="Times New Roman" w:eastAsia="Times New Roman" w:cs="Times New Roman"/>
                <w:spacing w:val="-2"/>
                <w:position w:val="18"/>
                <w:sz w:val="24"/>
                <w:szCs w:val="24"/>
              </w:rPr>
              <w:t>[2019]1</w:t>
            </w:r>
            <w:r>
              <w:rPr>
                <w:rFonts w:ascii="Times New Roman" w:hAnsi="Times New Roman" w:eastAsia="Times New Roman" w:cs="Times New Roman"/>
                <w:spacing w:val="71"/>
                <w:position w:val="18"/>
                <w:sz w:val="24"/>
                <w:szCs w:val="24"/>
              </w:rPr>
              <w:t xml:space="preserve"> </w:t>
            </w:r>
            <w:r>
              <w:rPr>
                <w:spacing w:val="-2"/>
                <w:position w:val="18"/>
                <w:sz w:val="24"/>
                <w:szCs w:val="24"/>
              </w:rPr>
              <w:t xml:space="preserve">号第 </w:t>
            </w:r>
            <w:r>
              <w:rPr>
                <w:rFonts w:ascii="Times New Roman" w:hAnsi="Times New Roman" w:eastAsia="Times New Roman" w:cs="Times New Roman"/>
                <w:spacing w:val="-2"/>
                <w:position w:val="18"/>
                <w:sz w:val="24"/>
                <w:szCs w:val="24"/>
              </w:rPr>
              <w:t>8</w:t>
            </w:r>
            <w:r>
              <w:rPr>
                <w:rFonts w:ascii="Times New Roman" w:hAnsi="Times New Roman" w:eastAsia="Times New Roman" w:cs="Times New Roman"/>
                <w:spacing w:val="49"/>
                <w:w w:val="101"/>
                <w:position w:val="18"/>
                <w:sz w:val="24"/>
                <w:szCs w:val="24"/>
              </w:rPr>
              <w:t xml:space="preserve"> </w:t>
            </w:r>
            <w:r>
              <w:rPr>
                <w:spacing w:val="-2"/>
                <w:position w:val="18"/>
                <w:sz w:val="24"/>
                <w:szCs w:val="24"/>
              </w:rPr>
              <w:t>条规定，项目取得相关</w:t>
            </w:r>
          </w:p>
          <w:p>
            <w:pPr>
              <w:pStyle w:val="6"/>
              <w:spacing w:line="220" w:lineRule="auto"/>
              <w:ind w:left="131"/>
              <w:rPr>
                <w:sz w:val="24"/>
                <w:szCs w:val="24"/>
              </w:rPr>
            </w:pPr>
            <w:r>
              <w:rPr>
                <w:spacing w:val="-6"/>
                <w:sz w:val="24"/>
                <w:szCs w:val="24"/>
              </w:rPr>
              <w:t>国土手续后方能进行建设。</w:t>
            </w:r>
          </w:p>
          <w:p>
            <w:pPr>
              <w:pStyle w:val="6"/>
              <w:spacing w:before="194" w:line="480" w:lineRule="exact"/>
              <w:ind w:left="588"/>
              <w:rPr>
                <w:sz w:val="24"/>
                <w:szCs w:val="24"/>
              </w:rPr>
            </w:pPr>
            <w:r>
              <w:rPr>
                <w:position w:val="18"/>
                <w:sz w:val="24"/>
                <w:szCs w:val="24"/>
              </w:rPr>
              <w:t>根据《达州市通川区水土保持局关于（</w:t>
            </w:r>
            <w:r>
              <w:rPr>
                <w:rFonts w:ascii="Times New Roman" w:hAnsi="Times New Roman" w:eastAsia="Times New Roman" w:cs="Times New Roman"/>
                <w:position w:val="18"/>
                <w:sz w:val="24"/>
                <w:szCs w:val="24"/>
              </w:rPr>
              <w:t xml:space="preserve">2015-2030  </w:t>
            </w:r>
            <w:r>
              <w:rPr>
                <w:position w:val="18"/>
                <w:sz w:val="24"/>
                <w:szCs w:val="24"/>
              </w:rPr>
              <w:t>年）水土保持规划区域分布</w:t>
            </w:r>
          </w:p>
          <w:p>
            <w:pPr>
              <w:pStyle w:val="6"/>
              <w:spacing w:before="1" w:line="219" w:lineRule="auto"/>
              <w:ind w:left="131"/>
              <w:rPr>
                <w:sz w:val="24"/>
                <w:szCs w:val="24"/>
              </w:rPr>
            </w:pPr>
            <w:r>
              <w:rPr>
                <w:spacing w:val="-3"/>
                <w:sz w:val="24"/>
                <w:szCs w:val="24"/>
              </w:rPr>
              <w:t>图的公示》，工程选址位于通川区水土流失重点预防区。</w:t>
            </w:r>
          </w:p>
          <w:p>
            <w:pPr>
              <w:pStyle w:val="6"/>
              <w:spacing w:before="196" w:line="369" w:lineRule="auto"/>
              <w:ind w:left="108" w:right="35" w:firstLine="480"/>
              <w:rPr>
                <w:sz w:val="24"/>
                <w:szCs w:val="24"/>
              </w:rPr>
            </w:pPr>
            <w:r>
              <w:rPr>
                <w:spacing w:val="-7"/>
                <w:sz w:val="24"/>
                <w:szCs w:val="24"/>
              </w:rPr>
              <w:t>凤探</w:t>
            </w:r>
            <w:r>
              <w:rPr>
                <w:spacing w:val="-23"/>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井钻井工程周边属丘陵地貌，</w:t>
            </w:r>
            <w:r>
              <w:rPr>
                <w:spacing w:val="47"/>
                <w:sz w:val="24"/>
                <w:szCs w:val="24"/>
              </w:rPr>
              <w:t xml:space="preserve"> </w:t>
            </w:r>
            <w:r>
              <w:rPr>
                <w:spacing w:val="-7"/>
                <w:sz w:val="24"/>
                <w:szCs w:val="24"/>
              </w:rPr>
              <w:t>场地周边地形起伏较大。井场占地范围土</w:t>
            </w:r>
            <w:r>
              <w:rPr>
                <w:sz w:val="24"/>
                <w:szCs w:val="24"/>
              </w:rPr>
              <w:t xml:space="preserve"> </w:t>
            </w:r>
            <w:r>
              <w:rPr>
                <w:spacing w:val="-7"/>
                <w:sz w:val="24"/>
                <w:szCs w:val="24"/>
              </w:rPr>
              <w:t>地利用类型主要为耕地、林地，</w:t>
            </w:r>
            <w:r>
              <w:rPr>
                <w:spacing w:val="-58"/>
                <w:sz w:val="24"/>
                <w:szCs w:val="24"/>
              </w:rPr>
              <w:t xml:space="preserve"> </w:t>
            </w:r>
            <w:r>
              <w:rPr>
                <w:spacing w:val="-7"/>
                <w:sz w:val="24"/>
                <w:szCs w:val="24"/>
              </w:rPr>
              <w:t>站场周边土地利用类型主</w:t>
            </w:r>
            <w:r>
              <w:rPr>
                <w:spacing w:val="-8"/>
                <w:sz w:val="24"/>
                <w:szCs w:val="24"/>
              </w:rPr>
              <w:t>要为水田、旱地、林地等，</w:t>
            </w:r>
            <w:r>
              <w:rPr>
                <w:sz w:val="24"/>
                <w:szCs w:val="24"/>
              </w:rPr>
              <w:t xml:space="preserve"> </w:t>
            </w:r>
            <w:r>
              <w:rPr>
                <w:spacing w:val="-16"/>
                <w:sz w:val="24"/>
                <w:szCs w:val="24"/>
              </w:rPr>
              <w:t>无珍稀野生动植物分布，</w:t>
            </w:r>
            <w:r>
              <w:rPr>
                <w:spacing w:val="71"/>
                <w:sz w:val="24"/>
                <w:szCs w:val="24"/>
              </w:rPr>
              <w:t xml:space="preserve"> </w:t>
            </w:r>
            <w:r>
              <w:rPr>
                <w:spacing w:val="-16"/>
                <w:sz w:val="24"/>
                <w:szCs w:val="24"/>
              </w:rPr>
              <w:t>植被以人工植被为主，</w:t>
            </w:r>
            <w:r>
              <w:rPr>
                <w:spacing w:val="53"/>
                <w:sz w:val="24"/>
                <w:szCs w:val="24"/>
              </w:rPr>
              <w:t xml:space="preserve"> </w:t>
            </w:r>
            <w:r>
              <w:rPr>
                <w:spacing w:val="-16"/>
                <w:sz w:val="24"/>
                <w:szCs w:val="24"/>
              </w:rPr>
              <w:t>野生动物为当地常见动物，</w:t>
            </w:r>
            <w:r>
              <w:rPr>
                <w:spacing w:val="58"/>
                <w:sz w:val="24"/>
                <w:szCs w:val="24"/>
              </w:rPr>
              <w:t xml:space="preserve"> </w:t>
            </w:r>
            <w:r>
              <w:rPr>
                <w:spacing w:val="-16"/>
                <w:sz w:val="24"/>
                <w:szCs w:val="24"/>
              </w:rPr>
              <w:t>项目生</w:t>
            </w:r>
          </w:p>
          <w:p>
            <w:pPr>
              <w:pStyle w:val="6"/>
              <w:spacing w:line="219" w:lineRule="auto"/>
              <w:ind w:left="108"/>
              <w:rPr>
                <w:sz w:val="24"/>
                <w:szCs w:val="24"/>
              </w:rPr>
            </w:pPr>
            <w:r>
              <w:rPr>
                <w:spacing w:val="-2"/>
                <w:sz w:val="24"/>
                <w:szCs w:val="24"/>
              </w:rPr>
              <w:t>态保护目标为井场占地及影响范围内的植被及周边野生动物。</w:t>
            </w:r>
          </w:p>
          <w:p>
            <w:pPr>
              <w:pStyle w:val="6"/>
              <w:spacing w:before="195"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）环境空气保护目标</w:t>
            </w:r>
          </w:p>
        </w:tc>
      </w:tr>
    </w:tbl>
    <w:p>
      <w:pPr>
        <w:pStyle w:val="2"/>
        <w:spacing w:line="228" w:lineRule="exact"/>
        <w:rPr>
          <w:sz w:val="19"/>
        </w:rPr>
      </w:pPr>
    </w:p>
    <w:p>
      <w:pPr>
        <w:spacing w:line="228" w:lineRule="exact"/>
        <w:rPr>
          <w:sz w:val="19"/>
          <w:szCs w:val="19"/>
        </w:rPr>
        <w:sectPr>
          <w:footerReference r:id="rId80"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18" w:hRule="atLeast"/>
        </w:trPr>
        <w:tc>
          <w:tcPr>
            <w:tcW w:w="9291" w:type="dxa"/>
            <w:vAlign w:val="top"/>
          </w:tcPr>
          <w:p>
            <w:pPr>
              <w:pStyle w:val="6"/>
              <w:spacing w:before="183" w:line="369" w:lineRule="auto"/>
              <w:ind w:left="573" w:right="101" w:firstLine="476"/>
              <w:jc w:val="both"/>
              <w:rPr>
                <w:sz w:val="24"/>
                <w:szCs w:val="24"/>
              </w:rPr>
            </w:pPr>
            <w:r>
              <w:pict>
                <v:rect id="_x0000_s1279" o:spid="_x0000_s1279" o:spt="1" style="position:absolute;left:0pt;margin-left:22.75pt;margin-top:0.95pt;height:695.5pt;width:0.5pt;mso-position-horizontal-relative:page;mso-position-vertical-relative:page;z-index:251826176;mso-width-relative:page;mso-height-relative:page;" fillcolor="#000000" filled="t" stroked="f" coordsize="21600,21600">
                  <v:path/>
                  <v:fill on="t" focussize="0,0"/>
                  <v:stroke on="f"/>
                  <v:imagedata o:title=""/>
                  <o:lock v:ext="edit"/>
                </v:rect>
              </w:pict>
            </w:r>
            <w:r>
              <w:rPr>
                <w:spacing w:val="-6"/>
                <w:sz w:val="24"/>
                <w:szCs w:val="24"/>
              </w:rPr>
              <w:t>本项目大气环境影响评价参照三级评价进行分析，</w:t>
            </w:r>
            <w:r>
              <w:rPr>
                <w:spacing w:val="49"/>
                <w:sz w:val="24"/>
                <w:szCs w:val="24"/>
              </w:rPr>
              <w:t xml:space="preserve"> </w:t>
            </w:r>
            <w:r>
              <w:rPr>
                <w:spacing w:val="-6"/>
                <w:sz w:val="24"/>
                <w:szCs w:val="24"/>
              </w:rPr>
              <w:t>根据《环境影响评价</w:t>
            </w:r>
            <w:r>
              <w:rPr>
                <w:spacing w:val="-7"/>
                <w:sz w:val="24"/>
                <w:szCs w:val="24"/>
              </w:rPr>
              <w:t>技术导</w:t>
            </w:r>
            <w:r>
              <w:rPr>
                <w:sz w:val="24"/>
                <w:szCs w:val="24"/>
              </w:rPr>
              <w:t xml:space="preserve"> 则</w:t>
            </w:r>
            <w:r>
              <w:rPr>
                <w:rFonts w:ascii="Times New Roman" w:hAnsi="Times New Roman" w:eastAsia="Times New Roman" w:cs="Times New Roman"/>
                <w:sz w:val="24"/>
                <w:szCs w:val="24"/>
              </w:rPr>
              <w:t>-</w:t>
            </w:r>
            <w:r>
              <w:rPr>
                <w:sz w:val="24"/>
                <w:szCs w:val="24"/>
              </w:rPr>
              <w:t>大气环境》（</w:t>
            </w:r>
            <w:r>
              <w:rPr>
                <w:rFonts w:ascii="Times New Roman" w:hAnsi="Times New Roman" w:eastAsia="Times New Roman" w:cs="Times New Roman"/>
                <w:sz w:val="24"/>
                <w:szCs w:val="24"/>
              </w:rPr>
              <w:t>HJ2.2-2018</w:t>
            </w:r>
            <w:r>
              <w:rPr>
                <w:sz w:val="24"/>
                <w:szCs w:val="24"/>
              </w:rPr>
              <w:t>）“</w:t>
            </w:r>
            <w:r>
              <w:rPr>
                <w:rFonts w:ascii="Times New Roman" w:hAnsi="Times New Roman" w:eastAsia="Times New Roman" w:cs="Times New Roman"/>
                <w:sz w:val="24"/>
                <w:szCs w:val="24"/>
              </w:rPr>
              <w:t>5</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16"/>
                <w:sz w:val="24"/>
                <w:szCs w:val="24"/>
              </w:rPr>
              <w:t xml:space="preserve"> </w:t>
            </w:r>
            <w:r>
              <w:rPr>
                <w:spacing w:val="-1"/>
                <w:sz w:val="24"/>
                <w:szCs w:val="24"/>
              </w:rPr>
              <w:t>评价范围确定</w:t>
            </w:r>
            <w:r>
              <w:rPr>
                <w:rFonts w:ascii="Times New Roman" w:hAnsi="Times New Roman" w:eastAsia="Times New Roman" w:cs="Times New Roman"/>
                <w:spacing w:val="-1"/>
                <w:sz w:val="24"/>
                <w:szCs w:val="24"/>
              </w:rPr>
              <w:t>-</w:t>
            </w:r>
            <w:r>
              <w:rPr>
                <w:spacing w:val="-1"/>
                <w:sz w:val="24"/>
                <w:szCs w:val="24"/>
              </w:rPr>
              <w:t>三级评价项目不需设置大气环境</w:t>
            </w:r>
          </w:p>
          <w:p>
            <w:pPr>
              <w:pStyle w:val="6"/>
              <w:spacing w:line="218" w:lineRule="auto"/>
              <w:ind w:left="568"/>
              <w:rPr>
                <w:sz w:val="24"/>
                <w:szCs w:val="24"/>
              </w:rPr>
            </w:pPr>
            <w:r>
              <w:rPr>
                <w:spacing w:val="-2"/>
                <w:sz w:val="24"/>
                <w:szCs w:val="24"/>
              </w:rPr>
              <w:t>影响评价范围”，评价对井口周边</w:t>
            </w:r>
            <w:r>
              <w:rPr>
                <w:spacing w:val="-48"/>
                <w:sz w:val="24"/>
                <w:szCs w:val="24"/>
              </w:rPr>
              <w:t xml:space="preserve"> </w:t>
            </w:r>
            <w:r>
              <w:rPr>
                <w:rFonts w:ascii="Times New Roman" w:hAnsi="Times New Roman" w:eastAsia="Times New Roman" w:cs="Times New Roman"/>
                <w:spacing w:val="-2"/>
                <w:sz w:val="24"/>
                <w:szCs w:val="24"/>
              </w:rPr>
              <w:t>500m</w:t>
            </w:r>
            <w:r>
              <w:rPr>
                <w:rFonts w:ascii="Times New Roman" w:hAnsi="Times New Roman" w:eastAsia="Times New Roman" w:cs="Times New Roman"/>
                <w:spacing w:val="16"/>
                <w:sz w:val="24"/>
                <w:szCs w:val="24"/>
              </w:rPr>
              <w:t xml:space="preserve"> </w:t>
            </w:r>
            <w:r>
              <w:rPr>
                <w:spacing w:val="-2"/>
                <w:sz w:val="24"/>
                <w:szCs w:val="24"/>
              </w:rPr>
              <w:t>范围保</w:t>
            </w:r>
            <w:r>
              <w:rPr>
                <w:spacing w:val="-3"/>
                <w:sz w:val="24"/>
                <w:szCs w:val="24"/>
              </w:rPr>
              <w:t>护目标进行调查。</w:t>
            </w:r>
          </w:p>
          <w:p>
            <w:pPr>
              <w:pStyle w:val="6"/>
              <w:spacing w:before="197" w:line="369" w:lineRule="auto"/>
              <w:ind w:left="570" w:right="35" w:firstLine="478"/>
              <w:jc w:val="both"/>
              <w:rPr>
                <w:sz w:val="24"/>
                <w:szCs w:val="24"/>
              </w:rPr>
            </w:pPr>
            <w:r>
              <w:rPr>
                <w:spacing w:val="-5"/>
                <w:sz w:val="24"/>
                <w:szCs w:val="24"/>
              </w:rPr>
              <w:t>本项目井口周边</w:t>
            </w:r>
            <w:r>
              <w:rPr>
                <w:spacing w:val="-32"/>
                <w:sz w:val="24"/>
                <w:szCs w:val="24"/>
              </w:rPr>
              <w:t xml:space="preserve"> </w:t>
            </w:r>
            <w:r>
              <w:rPr>
                <w:rFonts w:ascii="Times New Roman" w:hAnsi="Times New Roman" w:eastAsia="Times New Roman" w:cs="Times New Roman"/>
                <w:spacing w:val="-5"/>
                <w:sz w:val="24"/>
                <w:szCs w:val="24"/>
              </w:rPr>
              <w:t xml:space="preserve">500m </w:t>
            </w:r>
            <w:r>
              <w:rPr>
                <w:spacing w:val="-5"/>
                <w:sz w:val="24"/>
                <w:szCs w:val="24"/>
              </w:rPr>
              <w:t>无自然保护区、风景名胜区和其他需要特殊保护的区域，</w:t>
            </w:r>
            <w:r>
              <w:rPr>
                <w:sz w:val="24"/>
                <w:szCs w:val="24"/>
              </w:rPr>
              <w:t xml:space="preserve"> </w:t>
            </w:r>
            <w:r>
              <w:rPr>
                <w:spacing w:val="-8"/>
                <w:sz w:val="24"/>
                <w:szCs w:val="24"/>
              </w:rPr>
              <w:t>无居住区、文化区；</w:t>
            </w:r>
            <w:r>
              <w:rPr>
                <w:spacing w:val="59"/>
                <w:sz w:val="24"/>
                <w:szCs w:val="24"/>
              </w:rPr>
              <w:t xml:space="preserve"> </w:t>
            </w:r>
            <w:r>
              <w:rPr>
                <w:spacing w:val="-8"/>
                <w:sz w:val="24"/>
                <w:szCs w:val="24"/>
              </w:rPr>
              <w:t>大气环境保护目标主要为周边</w:t>
            </w:r>
            <w:r>
              <w:rPr>
                <w:spacing w:val="-9"/>
                <w:sz w:val="24"/>
                <w:szCs w:val="24"/>
              </w:rPr>
              <w:t>农村地区分散居民，</w:t>
            </w:r>
            <w:r>
              <w:rPr>
                <w:spacing w:val="-33"/>
                <w:sz w:val="24"/>
                <w:szCs w:val="24"/>
              </w:rPr>
              <w:t xml:space="preserve"> </w:t>
            </w:r>
            <w:r>
              <w:rPr>
                <w:spacing w:val="-9"/>
                <w:sz w:val="24"/>
                <w:szCs w:val="24"/>
              </w:rPr>
              <w:t>根据建设单</w:t>
            </w:r>
          </w:p>
          <w:p>
            <w:pPr>
              <w:pStyle w:val="6"/>
              <w:spacing w:line="218" w:lineRule="auto"/>
              <w:ind w:left="568"/>
              <w:rPr>
                <w:sz w:val="24"/>
                <w:szCs w:val="24"/>
              </w:rPr>
            </w:pPr>
            <w:r>
              <w:rPr>
                <w:spacing w:val="-2"/>
                <w:sz w:val="24"/>
                <w:szCs w:val="24"/>
              </w:rPr>
              <w:t>位提供《凤探</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井钻前工程</w:t>
            </w:r>
            <w:r>
              <w:rPr>
                <w:spacing w:val="-48"/>
                <w:sz w:val="24"/>
                <w:szCs w:val="24"/>
              </w:rPr>
              <w:t xml:space="preserve"> </w:t>
            </w:r>
            <w:r>
              <w:rPr>
                <w:rFonts w:ascii="Times New Roman" w:hAnsi="Times New Roman" w:eastAsia="Times New Roman" w:cs="Times New Roman"/>
                <w:spacing w:val="-2"/>
                <w:sz w:val="24"/>
                <w:szCs w:val="24"/>
              </w:rPr>
              <w:t xml:space="preserve">500 </w:t>
            </w:r>
            <w:r>
              <w:rPr>
                <w:spacing w:val="-2"/>
                <w:sz w:val="24"/>
                <w:szCs w:val="24"/>
              </w:rPr>
              <w:t>米范围内人口、房屋调查报告》，统计见下表。</w:t>
            </w:r>
          </w:p>
          <w:p>
            <w:pPr>
              <w:pStyle w:val="6"/>
              <w:spacing w:before="195" w:line="220" w:lineRule="auto"/>
              <w:ind w:left="1693"/>
              <w:rPr>
                <w:sz w:val="24"/>
                <w:szCs w:val="24"/>
              </w:rPr>
            </w:pPr>
            <w:r>
              <w:rPr>
                <w:spacing w:val="-1"/>
                <w:sz w:val="24"/>
                <w:szCs w:val="24"/>
                <w14:textOutline w14:w="4354" w14:cap="flat" w14:cmpd="sng">
                  <w14:solidFill>
                    <w14:srgbClr w14:val="000000"/>
                  </w14:solidFill>
                  <w14:prstDash w14:val="solid"/>
                  <w14:miter w14:val="10"/>
                </w14:textOutline>
              </w:rPr>
              <w:t>表</w:t>
            </w:r>
            <w:r>
              <w:rPr>
                <w:spacing w:val="-46"/>
                <w:sz w:val="24"/>
                <w:szCs w:val="24"/>
              </w:rPr>
              <w:t xml:space="preserve"> </w:t>
            </w:r>
            <w:r>
              <w:rPr>
                <w:rFonts w:ascii="Times New Roman" w:hAnsi="Times New Roman" w:eastAsia="Times New Roman" w:cs="Times New Roman"/>
                <w:b/>
                <w:bCs/>
                <w:spacing w:val="-1"/>
                <w:sz w:val="24"/>
                <w:szCs w:val="24"/>
              </w:rPr>
              <w:t xml:space="preserve">3.4-1 </w:t>
            </w:r>
            <w:r>
              <w:rPr>
                <w:spacing w:val="-1"/>
                <w:sz w:val="24"/>
                <w:szCs w:val="24"/>
                <w14:textOutline w14:w="4354" w14:cap="flat" w14:cmpd="sng">
                  <w14:solidFill>
                    <w14:srgbClr w14:val="000000"/>
                  </w14:solidFill>
                  <w14:prstDash w14:val="solid"/>
                  <w14:miter w14:val="10"/>
                </w14:textOutline>
              </w:rPr>
              <w:t>井口周边</w:t>
            </w:r>
            <w:r>
              <w:rPr>
                <w:spacing w:val="-48"/>
                <w:sz w:val="24"/>
                <w:szCs w:val="24"/>
              </w:rPr>
              <w:t xml:space="preserve"> </w:t>
            </w:r>
            <w:r>
              <w:rPr>
                <w:rFonts w:ascii="Times New Roman" w:hAnsi="Times New Roman" w:eastAsia="Times New Roman" w:cs="Times New Roman"/>
                <w:b/>
                <w:bCs/>
                <w:spacing w:val="-1"/>
                <w:sz w:val="24"/>
                <w:szCs w:val="24"/>
              </w:rPr>
              <w:t>500m</w:t>
            </w:r>
            <w:r>
              <w:rPr>
                <w:rFonts w:ascii="Times New Roman" w:hAnsi="Times New Roman" w:eastAsia="Times New Roman" w:cs="Times New Roman"/>
                <w:b/>
                <w:bCs/>
                <w:spacing w:val="17"/>
                <w:sz w:val="24"/>
                <w:szCs w:val="24"/>
              </w:rPr>
              <w:t xml:space="preserve"> </w:t>
            </w:r>
            <w:r>
              <w:rPr>
                <w:spacing w:val="-1"/>
                <w:sz w:val="24"/>
                <w:szCs w:val="24"/>
                <w14:textOutline w14:w="4354" w14:cap="flat" w14:cmpd="sng">
                  <w14:solidFill>
                    <w14:srgbClr w14:val="000000"/>
                  </w14:solidFill>
                  <w14:prstDash w14:val="solid"/>
                  <w14:miter w14:val="10"/>
                </w14:textOutline>
              </w:rPr>
              <w:t>范围内主要环境空气保护目标一览表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197"/>
              <w:gridCol w:w="754"/>
              <w:gridCol w:w="921"/>
              <w:gridCol w:w="1070"/>
              <w:gridCol w:w="981"/>
              <w:gridCol w:w="2212"/>
              <w:gridCol w:w="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39" w:type="dxa"/>
                  <w:vMerge w:val="restart"/>
                  <w:tcBorders>
                    <w:bottom w:val="nil"/>
                  </w:tcBorders>
                  <w:vAlign w:val="top"/>
                </w:tcPr>
                <w:p>
                  <w:pPr>
                    <w:pStyle w:val="6"/>
                    <w:spacing w:before="258" w:line="220" w:lineRule="auto"/>
                    <w:ind w:left="198"/>
                    <w:rPr>
                      <w:sz w:val="18"/>
                      <w:szCs w:val="18"/>
                    </w:rPr>
                  </w:pPr>
                  <w:r>
                    <w:rPr>
                      <w:spacing w:val="-3"/>
                      <w:sz w:val="18"/>
                      <w:szCs w:val="18"/>
                    </w:rPr>
                    <w:t>范围</w:t>
                  </w:r>
                </w:p>
              </w:tc>
              <w:tc>
                <w:tcPr>
                  <w:tcW w:w="1197" w:type="dxa"/>
                  <w:vMerge w:val="restart"/>
                  <w:tcBorders>
                    <w:bottom w:val="nil"/>
                  </w:tcBorders>
                  <w:vAlign w:val="top"/>
                </w:tcPr>
                <w:p>
                  <w:pPr>
                    <w:pStyle w:val="6"/>
                    <w:spacing w:before="141" w:line="230" w:lineRule="auto"/>
                    <w:ind w:left="513" w:right="145" w:hanging="360"/>
                    <w:rPr>
                      <w:sz w:val="18"/>
                      <w:szCs w:val="18"/>
                    </w:rPr>
                  </w:pPr>
                  <w:r>
                    <w:rPr>
                      <w:spacing w:val="-2"/>
                      <w:sz w:val="18"/>
                      <w:szCs w:val="18"/>
                    </w:rPr>
                    <w:t>环境保护目</w:t>
                  </w:r>
                  <w:r>
                    <w:rPr>
                      <w:spacing w:val="1"/>
                      <w:sz w:val="18"/>
                      <w:szCs w:val="18"/>
                    </w:rPr>
                    <w:t xml:space="preserve"> </w:t>
                  </w:r>
                  <w:r>
                    <w:rPr>
                      <w:sz w:val="18"/>
                      <w:szCs w:val="18"/>
                    </w:rPr>
                    <w:t>标</w:t>
                  </w:r>
                </w:p>
              </w:tc>
              <w:tc>
                <w:tcPr>
                  <w:tcW w:w="754" w:type="dxa"/>
                  <w:vMerge w:val="restart"/>
                  <w:tcBorders>
                    <w:bottom w:val="nil"/>
                  </w:tcBorders>
                  <w:vAlign w:val="top"/>
                </w:tcPr>
                <w:p>
                  <w:pPr>
                    <w:pStyle w:val="6"/>
                    <w:spacing w:before="257" w:line="221" w:lineRule="auto"/>
                    <w:ind w:left="200"/>
                    <w:rPr>
                      <w:sz w:val="18"/>
                      <w:szCs w:val="18"/>
                    </w:rPr>
                  </w:pPr>
                  <w:r>
                    <w:rPr>
                      <w:spacing w:val="-2"/>
                      <w:sz w:val="18"/>
                      <w:szCs w:val="18"/>
                    </w:rPr>
                    <w:t>方位</w:t>
                  </w:r>
                </w:p>
              </w:tc>
              <w:tc>
                <w:tcPr>
                  <w:tcW w:w="921" w:type="dxa"/>
                  <w:vMerge w:val="restart"/>
                  <w:tcBorders>
                    <w:bottom w:val="nil"/>
                  </w:tcBorders>
                  <w:vAlign w:val="top"/>
                </w:tcPr>
                <w:p>
                  <w:pPr>
                    <w:pStyle w:val="6"/>
                    <w:spacing w:before="142" w:line="239" w:lineRule="auto"/>
                    <w:ind w:left="196"/>
                    <w:rPr>
                      <w:sz w:val="18"/>
                      <w:szCs w:val="18"/>
                    </w:rPr>
                  </w:pPr>
                  <w:r>
                    <w:rPr>
                      <w:spacing w:val="-3"/>
                      <w:sz w:val="18"/>
                      <w:szCs w:val="18"/>
                    </w:rPr>
                    <w:t>与井口</w:t>
                  </w:r>
                </w:p>
                <w:p>
                  <w:pPr>
                    <w:pStyle w:val="6"/>
                    <w:spacing w:line="234" w:lineRule="auto"/>
                    <w:ind w:left="187"/>
                    <w:rPr>
                      <w:rFonts w:ascii="Times New Roman" w:hAnsi="Times New Roman" w:eastAsia="Times New Roman" w:cs="Times New Roman"/>
                      <w:sz w:val="18"/>
                      <w:szCs w:val="18"/>
                    </w:rPr>
                  </w:pPr>
                  <w:r>
                    <w:rPr>
                      <w:spacing w:val="-2"/>
                      <w:sz w:val="18"/>
                      <w:szCs w:val="18"/>
                    </w:rPr>
                    <w:t>距离</w:t>
                  </w:r>
                  <w:r>
                    <w:rPr>
                      <w:rFonts w:ascii="Times New Roman" w:hAnsi="Times New Roman" w:eastAsia="Times New Roman" w:cs="Times New Roman"/>
                      <w:spacing w:val="-2"/>
                      <w:sz w:val="18"/>
                      <w:szCs w:val="18"/>
                    </w:rPr>
                    <w:t>/m</w:t>
                  </w:r>
                </w:p>
              </w:tc>
              <w:tc>
                <w:tcPr>
                  <w:tcW w:w="2051" w:type="dxa"/>
                  <w:gridSpan w:val="2"/>
                  <w:vAlign w:val="top"/>
                </w:tcPr>
                <w:p>
                  <w:pPr>
                    <w:pStyle w:val="6"/>
                    <w:spacing w:before="85" w:line="220" w:lineRule="auto"/>
                    <w:ind w:left="760"/>
                    <w:rPr>
                      <w:sz w:val="18"/>
                      <w:szCs w:val="18"/>
                    </w:rPr>
                  </w:pPr>
                  <w:r>
                    <w:rPr>
                      <w:spacing w:val="-2"/>
                      <w:sz w:val="18"/>
                      <w:szCs w:val="18"/>
                    </w:rPr>
                    <w:t>经纬度</w:t>
                  </w:r>
                </w:p>
              </w:tc>
              <w:tc>
                <w:tcPr>
                  <w:tcW w:w="2212" w:type="dxa"/>
                  <w:vMerge w:val="restart"/>
                  <w:tcBorders>
                    <w:bottom w:val="nil"/>
                  </w:tcBorders>
                  <w:vAlign w:val="top"/>
                </w:tcPr>
                <w:p>
                  <w:pPr>
                    <w:pStyle w:val="6"/>
                    <w:spacing w:before="257" w:line="220" w:lineRule="auto"/>
                    <w:ind w:left="480"/>
                    <w:rPr>
                      <w:sz w:val="18"/>
                      <w:szCs w:val="18"/>
                    </w:rPr>
                  </w:pPr>
                  <w:r>
                    <w:rPr>
                      <w:spacing w:val="-1"/>
                      <w:sz w:val="18"/>
                      <w:szCs w:val="18"/>
                    </w:rPr>
                    <w:t>影响规模、功能</w:t>
                  </w:r>
                </w:p>
              </w:tc>
              <w:tc>
                <w:tcPr>
                  <w:tcW w:w="736" w:type="dxa"/>
                  <w:vMerge w:val="restart"/>
                  <w:tcBorders>
                    <w:bottom w:val="nil"/>
                  </w:tcBorders>
                  <w:vAlign w:val="top"/>
                </w:tcPr>
                <w:p>
                  <w:pPr>
                    <w:pStyle w:val="6"/>
                    <w:spacing w:before="142" w:line="239" w:lineRule="auto"/>
                    <w:ind w:left="191"/>
                    <w:rPr>
                      <w:sz w:val="18"/>
                      <w:szCs w:val="18"/>
                    </w:rPr>
                  </w:pPr>
                  <w:r>
                    <w:rPr>
                      <w:spacing w:val="-2"/>
                      <w:sz w:val="18"/>
                      <w:szCs w:val="18"/>
                    </w:rPr>
                    <w:t>影响</w:t>
                  </w:r>
                </w:p>
                <w:p>
                  <w:pPr>
                    <w:pStyle w:val="6"/>
                    <w:spacing w:line="219" w:lineRule="auto"/>
                    <w:ind w:left="205"/>
                    <w:rPr>
                      <w:sz w:val="18"/>
                      <w:szCs w:val="18"/>
                    </w:rPr>
                  </w:pPr>
                  <w:r>
                    <w:rPr>
                      <w:spacing w:val="-6"/>
                      <w:sz w:val="18"/>
                      <w:szCs w:val="18"/>
                    </w:rPr>
                    <w:t>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tcBorders>
                  <w:vAlign w:val="top"/>
                </w:tcPr>
                <w:p>
                  <w:pPr>
                    <w:rPr>
                      <w:rFonts w:ascii="Arial"/>
                      <w:sz w:val="21"/>
                    </w:rPr>
                  </w:pPr>
                </w:p>
              </w:tc>
              <w:tc>
                <w:tcPr>
                  <w:tcW w:w="1197" w:type="dxa"/>
                  <w:vMerge w:val="continue"/>
                  <w:tcBorders>
                    <w:top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1070" w:type="dxa"/>
                  <w:vAlign w:val="top"/>
                </w:tcPr>
                <w:p>
                  <w:pPr>
                    <w:pStyle w:val="6"/>
                    <w:spacing w:before="78" w:line="220" w:lineRule="auto"/>
                    <w:ind w:left="324"/>
                    <w:rPr>
                      <w:rFonts w:ascii="Times New Roman" w:hAnsi="Times New Roman" w:eastAsia="Times New Roman" w:cs="Times New Roman"/>
                      <w:sz w:val="18"/>
                      <w:szCs w:val="18"/>
                    </w:rPr>
                  </w:pPr>
                  <w:r>
                    <w:rPr>
                      <w:spacing w:val="19"/>
                      <w:sz w:val="18"/>
                      <w:szCs w:val="18"/>
                    </w:rPr>
                    <w:t>经度</w:t>
                  </w:r>
                  <w:r>
                    <w:rPr>
                      <w:rFonts w:ascii="Times New Roman" w:hAnsi="Times New Roman" w:eastAsia="Times New Roman" w:cs="Times New Roman"/>
                      <w:spacing w:val="19"/>
                      <w:sz w:val="18"/>
                      <w:szCs w:val="18"/>
                    </w:rPr>
                    <w:t>°</w:t>
                  </w:r>
                </w:p>
              </w:tc>
              <w:tc>
                <w:tcPr>
                  <w:tcW w:w="981" w:type="dxa"/>
                  <w:vAlign w:val="top"/>
                </w:tcPr>
                <w:p>
                  <w:pPr>
                    <w:pStyle w:val="6"/>
                    <w:spacing w:before="78" w:line="220" w:lineRule="auto"/>
                    <w:ind w:left="278"/>
                    <w:rPr>
                      <w:rFonts w:ascii="Times New Roman" w:hAnsi="Times New Roman" w:eastAsia="Times New Roman" w:cs="Times New Roman"/>
                      <w:sz w:val="18"/>
                      <w:szCs w:val="18"/>
                    </w:rPr>
                  </w:pPr>
                  <w:r>
                    <w:rPr>
                      <w:spacing w:val="20"/>
                      <w:sz w:val="18"/>
                      <w:szCs w:val="18"/>
                    </w:rPr>
                    <w:t>纬度</w:t>
                  </w:r>
                  <w:r>
                    <w:rPr>
                      <w:rFonts w:ascii="Times New Roman" w:hAnsi="Times New Roman" w:eastAsia="Times New Roman" w:cs="Times New Roman"/>
                      <w:spacing w:val="20"/>
                      <w:sz w:val="18"/>
                      <w:szCs w:val="18"/>
                    </w:rPr>
                    <w:t>°</w:t>
                  </w:r>
                </w:p>
              </w:tc>
              <w:tc>
                <w:tcPr>
                  <w:tcW w:w="2212"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39"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2" w:line="242"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p>
                  <w:pPr>
                    <w:spacing w:line="186"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300m</w:t>
                  </w:r>
                </w:p>
              </w:tc>
              <w:tc>
                <w:tcPr>
                  <w:tcW w:w="1197" w:type="dxa"/>
                  <w:vAlign w:val="top"/>
                </w:tcPr>
                <w:p>
                  <w:pPr>
                    <w:spacing w:before="177" w:line="186"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p>
              </w:tc>
              <w:tc>
                <w:tcPr>
                  <w:tcW w:w="754" w:type="dxa"/>
                  <w:vAlign w:val="top"/>
                </w:tcPr>
                <w:p>
                  <w:pPr>
                    <w:pStyle w:val="6"/>
                    <w:spacing w:before="144" w:line="223" w:lineRule="auto"/>
                    <w:ind w:left="291"/>
                    <w:rPr>
                      <w:sz w:val="18"/>
                      <w:szCs w:val="18"/>
                    </w:rPr>
                  </w:pPr>
                  <w:r>
                    <w:rPr>
                      <w:sz w:val="18"/>
                      <w:szCs w:val="18"/>
                    </w:rPr>
                    <w:t>北</w:t>
                  </w:r>
                </w:p>
              </w:tc>
              <w:tc>
                <w:tcPr>
                  <w:tcW w:w="921" w:type="dxa"/>
                  <w:vAlign w:val="top"/>
                </w:tcPr>
                <w:p>
                  <w:pPr>
                    <w:spacing w:before="176"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w:t>
                  </w:r>
                </w:p>
              </w:tc>
              <w:tc>
                <w:tcPr>
                  <w:tcW w:w="1070" w:type="dxa"/>
                  <w:vAlign w:val="top"/>
                </w:tcPr>
                <w:p>
                  <w:pPr>
                    <w:spacing w:before="17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107.242141</w:t>
                  </w:r>
                </w:p>
              </w:tc>
              <w:tc>
                <w:tcPr>
                  <w:tcW w:w="981" w:type="dxa"/>
                  <w:vAlign w:val="top"/>
                </w:tcPr>
                <w:p>
                  <w:pPr>
                    <w:spacing w:before="17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31.443767</w:t>
                  </w:r>
                </w:p>
              </w:tc>
              <w:tc>
                <w:tcPr>
                  <w:tcW w:w="2212" w:type="dxa"/>
                  <w:vAlign w:val="top"/>
                </w:tcPr>
                <w:p>
                  <w:pPr>
                    <w:pStyle w:val="6"/>
                    <w:spacing w:before="26" w:line="224" w:lineRule="auto"/>
                    <w:ind w:left="120" w:right="113"/>
                    <w:rPr>
                      <w:sz w:val="18"/>
                      <w:szCs w:val="18"/>
                    </w:rPr>
                  </w:pPr>
                  <w:r>
                    <w:rPr>
                      <w:spacing w:val="-5"/>
                      <w:sz w:val="18"/>
                      <w:szCs w:val="18"/>
                    </w:rPr>
                    <w:t>供销社蔬菜冷藏储存库，</w:t>
                  </w:r>
                  <w:r>
                    <w:rPr>
                      <w:spacing w:val="6"/>
                      <w:sz w:val="18"/>
                      <w:szCs w:val="18"/>
                    </w:rPr>
                    <w:t xml:space="preserve"> </w:t>
                  </w:r>
                  <w:r>
                    <w:rPr>
                      <w:spacing w:val="-1"/>
                      <w:sz w:val="18"/>
                      <w:szCs w:val="18"/>
                    </w:rPr>
                    <w:t>本次不作为环境保护目标</w:t>
                  </w:r>
                </w:p>
              </w:tc>
              <w:tc>
                <w:tcPr>
                  <w:tcW w:w="73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222" w:lineRule="auto"/>
                    <w:ind w:left="191"/>
                    <w:rPr>
                      <w:sz w:val="18"/>
                      <w:szCs w:val="18"/>
                    </w:rPr>
                  </w:pPr>
                  <w:r>
                    <w:rPr>
                      <w:spacing w:val="-2"/>
                      <w:sz w:val="18"/>
                      <w:szCs w:val="18"/>
                    </w:rPr>
                    <w:t>钻前</w:t>
                  </w:r>
                </w:p>
                <w:p>
                  <w:pPr>
                    <w:pStyle w:val="6"/>
                    <w:spacing w:before="19" w:line="222" w:lineRule="auto"/>
                    <w:ind w:left="190"/>
                    <w:rPr>
                      <w:sz w:val="18"/>
                      <w:szCs w:val="18"/>
                    </w:rPr>
                  </w:pPr>
                  <w:r>
                    <w:rPr>
                      <w:spacing w:val="-2"/>
                      <w:sz w:val="18"/>
                      <w:szCs w:val="18"/>
                    </w:rPr>
                    <w:t>施工</w:t>
                  </w:r>
                </w:p>
                <w:p>
                  <w:pPr>
                    <w:pStyle w:val="6"/>
                    <w:spacing w:before="15" w:line="222" w:lineRule="auto"/>
                    <w:ind w:left="190"/>
                    <w:rPr>
                      <w:sz w:val="18"/>
                      <w:szCs w:val="18"/>
                    </w:rPr>
                  </w:pPr>
                  <w:r>
                    <w:rPr>
                      <w:spacing w:val="-2"/>
                      <w:sz w:val="18"/>
                      <w:szCs w:val="18"/>
                    </w:rPr>
                    <w:t>扬尘</w:t>
                  </w:r>
                </w:p>
                <w:p>
                  <w:pPr>
                    <w:pStyle w:val="6"/>
                    <w:spacing w:before="16" w:line="219" w:lineRule="auto"/>
                    <w:ind w:left="190"/>
                    <w:rPr>
                      <w:sz w:val="18"/>
                      <w:szCs w:val="18"/>
                    </w:rPr>
                  </w:pPr>
                  <w:r>
                    <w:rPr>
                      <w:spacing w:val="-2"/>
                      <w:sz w:val="18"/>
                      <w:szCs w:val="18"/>
                    </w:rPr>
                    <w:t>及机</w:t>
                  </w:r>
                </w:p>
                <w:p>
                  <w:pPr>
                    <w:pStyle w:val="6"/>
                    <w:spacing w:before="22" w:line="220" w:lineRule="auto"/>
                    <w:ind w:left="194"/>
                    <w:rPr>
                      <w:sz w:val="18"/>
                      <w:szCs w:val="18"/>
                    </w:rPr>
                  </w:pPr>
                  <w:r>
                    <w:rPr>
                      <w:spacing w:val="-3"/>
                      <w:sz w:val="18"/>
                      <w:szCs w:val="18"/>
                    </w:rPr>
                    <w:t>具废</w:t>
                  </w:r>
                </w:p>
                <w:p>
                  <w:pPr>
                    <w:pStyle w:val="6"/>
                    <w:spacing w:before="18" w:line="221" w:lineRule="auto"/>
                    <w:ind w:left="283"/>
                    <w:rPr>
                      <w:sz w:val="18"/>
                      <w:szCs w:val="18"/>
                    </w:rPr>
                  </w:pPr>
                  <w:r>
                    <w:rPr>
                      <w:sz w:val="18"/>
                      <w:szCs w:val="18"/>
                    </w:rPr>
                    <w:t>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79" w:line="220" w:lineRule="auto"/>
                    <w:ind w:left="238"/>
                    <w:rPr>
                      <w:sz w:val="18"/>
                      <w:szCs w:val="18"/>
                    </w:rPr>
                  </w:pPr>
                  <w:r>
                    <w:rPr>
                      <w:rFonts w:ascii="Times New Roman" w:hAnsi="Times New Roman" w:eastAsia="Times New Roman" w:cs="Times New Roman"/>
                      <w:spacing w:val="-1"/>
                      <w:sz w:val="18"/>
                      <w:szCs w:val="18"/>
                    </w:rPr>
                    <w:t>2#</w:t>
                  </w:r>
                  <w:r>
                    <w:rPr>
                      <w:spacing w:val="-1"/>
                      <w:sz w:val="18"/>
                      <w:szCs w:val="18"/>
                    </w:rPr>
                    <w:t>居民点</w:t>
                  </w:r>
                </w:p>
              </w:tc>
              <w:tc>
                <w:tcPr>
                  <w:tcW w:w="754" w:type="dxa"/>
                  <w:vAlign w:val="top"/>
                </w:tcPr>
                <w:p>
                  <w:pPr>
                    <w:pStyle w:val="6"/>
                    <w:spacing w:before="78" w:line="223" w:lineRule="auto"/>
                    <w:ind w:left="291"/>
                    <w:rPr>
                      <w:sz w:val="18"/>
                      <w:szCs w:val="18"/>
                    </w:rPr>
                  </w:pPr>
                  <w:r>
                    <w:rPr>
                      <w:sz w:val="18"/>
                      <w:szCs w:val="18"/>
                    </w:rPr>
                    <w:t>北</w:t>
                  </w:r>
                </w:p>
              </w:tc>
              <w:tc>
                <w:tcPr>
                  <w:tcW w:w="921" w:type="dxa"/>
                  <w:vAlign w:val="top"/>
                </w:tcPr>
                <w:p>
                  <w:pPr>
                    <w:spacing w:before="111"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189</w:t>
                  </w:r>
                </w:p>
              </w:tc>
              <w:tc>
                <w:tcPr>
                  <w:tcW w:w="1070" w:type="dxa"/>
                  <w:vAlign w:val="top"/>
                </w:tcPr>
                <w:p>
                  <w:pPr>
                    <w:spacing w:before="111"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107.241894</w:t>
                  </w:r>
                </w:p>
              </w:tc>
              <w:tc>
                <w:tcPr>
                  <w:tcW w:w="981" w:type="dxa"/>
                  <w:vAlign w:val="top"/>
                </w:tcPr>
                <w:p>
                  <w:pPr>
                    <w:spacing w:before="111"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31.443776</w:t>
                  </w:r>
                </w:p>
              </w:tc>
              <w:tc>
                <w:tcPr>
                  <w:tcW w:w="2212" w:type="dxa"/>
                  <w:vAlign w:val="top"/>
                </w:tcPr>
                <w:p>
                  <w:pPr>
                    <w:pStyle w:val="6"/>
                    <w:spacing w:before="78" w:line="220" w:lineRule="auto"/>
                    <w:ind w:left="390"/>
                    <w:rPr>
                      <w:sz w:val="18"/>
                      <w:szCs w:val="18"/>
                    </w:rPr>
                  </w:pPr>
                  <w:r>
                    <w:rPr>
                      <w:spacing w:val="-4"/>
                      <w:sz w:val="18"/>
                      <w:szCs w:val="18"/>
                    </w:rPr>
                    <w:t>散户居民</w:t>
                  </w:r>
                  <w:r>
                    <w:rPr>
                      <w:spacing w:val="-22"/>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39"/>
                      <w:sz w:val="18"/>
                      <w:szCs w:val="18"/>
                    </w:rPr>
                    <w:t xml:space="preserve"> </w:t>
                  </w:r>
                  <w:r>
                    <w:rPr>
                      <w:rFonts w:ascii="Times New Roman" w:hAnsi="Times New Roman" w:eastAsia="Times New Roman" w:cs="Times New Roman"/>
                      <w:spacing w:val="-4"/>
                      <w:sz w:val="18"/>
                      <w:szCs w:val="18"/>
                    </w:rPr>
                    <w:t>3</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1" w:line="220" w:lineRule="auto"/>
                    <w:ind w:left="242"/>
                    <w:rPr>
                      <w:sz w:val="18"/>
                      <w:szCs w:val="18"/>
                    </w:rPr>
                  </w:pPr>
                  <w:r>
                    <w:rPr>
                      <w:rFonts w:ascii="Times New Roman" w:hAnsi="Times New Roman" w:eastAsia="Times New Roman" w:cs="Times New Roman"/>
                      <w:spacing w:val="-1"/>
                      <w:sz w:val="18"/>
                      <w:szCs w:val="18"/>
                    </w:rPr>
                    <w:t>3#</w:t>
                  </w:r>
                  <w:r>
                    <w:rPr>
                      <w:spacing w:val="-1"/>
                      <w:sz w:val="18"/>
                      <w:szCs w:val="18"/>
                    </w:rPr>
                    <w:t>居民点</w:t>
                  </w:r>
                </w:p>
              </w:tc>
              <w:tc>
                <w:tcPr>
                  <w:tcW w:w="754" w:type="dxa"/>
                  <w:vAlign w:val="top"/>
                </w:tcPr>
                <w:p>
                  <w:pPr>
                    <w:pStyle w:val="6"/>
                    <w:spacing w:before="81" w:line="223" w:lineRule="auto"/>
                    <w:ind w:left="291"/>
                    <w:rPr>
                      <w:sz w:val="18"/>
                      <w:szCs w:val="18"/>
                    </w:rPr>
                  </w:pPr>
                  <w:r>
                    <w:rPr>
                      <w:sz w:val="18"/>
                      <w:szCs w:val="18"/>
                    </w:rPr>
                    <w:t>北</w:t>
                  </w:r>
                </w:p>
              </w:tc>
              <w:tc>
                <w:tcPr>
                  <w:tcW w:w="921" w:type="dxa"/>
                  <w:vAlign w:val="top"/>
                </w:tcPr>
                <w:p>
                  <w:pPr>
                    <w:spacing w:before="114"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166-</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6"/>
                      <w:sz w:val="18"/>
                      <w:szCs w:val="18"/>
                    </w:rPr>
                    <w:t>169</w:t>
                  </w:r>
                </w:p>
              </w:tc>
              <w:tc>
                <w:tcPr>
                  <w:tcW w:w="1070" w:type="dxa"/>
                  <w:vAlign w:val="top"/>
                </w:tcPr>
                <w:p>
                  <w:pPr>
                    <w:spacing w:before="114"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107.242795</w:t>
                  </w:r>
                </w:p>
              </w:tc>
              <w:tc>
                <w:tcPr>
                  <w:tcW w:w="981" w:type="dxa"/>
                  <w:vAlign w:val="top"/>
                </w:tcPr>
                <w:p>
                  <w:pPr>
                    <w:spacing w:before="114"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31.443566</w:t>
                  </w:r>
                </w:p>
              </w:tc>
              <w:tc>
                <w:tcPr>
                  <w:tcW w:w="2212" w:type="dxa"/>
                  <w:vAlign w:val="top"/>
                </w:tcPr>
                <w:p>
                  <w:pPr>
                    <w:pStyle w:val="6"/>
                    <w:spacing w:before="80" w:line="220" w:lineRule="auto"/>
                    <w:ind w:left="390"/>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1" w:line="220" w:lineRule="auto"/>
                    <w:ind w:left="237"/>
                    <w:rPr>
                      <w:sz w:val="18"/>
                      <w:szCs w:val="18"/>
                    </w:rPr>
                  </w:pPr>
                  <w:r>
                    <w:rPr>
                      <w:rFonts w:ascii="Times New Roman" w:hAnsi="Times New Roman" w:eastAsia="Times New Roman" w:cs="Times New Roman"/>
                      <w:spacing w:val="-1"/>
                      <w:sz w:val="18"/>
                      <w:szCs w:val="18"/>
                    </w:rPr>
                    <w:t>4#</w:t>
                  </w:r>
                  <w:r>
                    <w:rPr>
                      <w:spacing w:val="-1"/>
                      <w:sz w:val="18"/>
                      <w:szCs w:val="18"/>
                    </w:rPr>
                    <w:t>居民点</w:t>
                  </w:r>
                </w:p>
              </w:tc>
              <w:tc>
                <w:tcPr>
                  <w:tcW w:w="754" w:type="dxa"/>
                  <w:vAlign w:val="top"/>
                </w:tcPr>
                <w:p>
                  <w:pPr>
                    <w:pStyle w:val="6"/>
                    <w:spacing w:before="81" w:line="223" w:lineRule="auto"/>
                    <w:ind w:left="291"/>
                    <w:rPr>
                      <w:sz w:val="18"/>
                      <w:szCs w:val="18"/>
                    </w:rPr>
                  </w:pPr>
                  <w:r>
                    <w:rPr>
                      <w:sz w:val="18"/>
                      <w:szCs w:val="18"/>
                    </w:rPr>
                    <w:t>北</w:t>
                  </w:r>
                </w:p>
              </w:tc>
              <w:tc>
                <w:tcPr>
                  <w:tcW w:w="921" w:type="dxa"/>
                  <w:vAlign w:val="top"/>
                </w:tcPr>
                <w:p>
                  <w:pPr>
                    <w:spacing w:before="114"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246-253</w:t>
                  </w:r>
                </w:p>
              </w:tc>
              <w:tc>
                <w:tcPr>
                  <w:tcW w:w="1070" w:type="dxa"/>
                  <w:vAlign w:val="top"/>
                </w:tcPr>
                <w:p>
                  <w:pPr>
                    <w:spacing w:before="114"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107.244791</w:t>
                  </w:r>
                </w:p>
              </w:tc>
              <w:tc>
                <w:tcPr>
                  <w:tcW w:w="981" w:type="dxa"/>
                  <w:vAlign w:val="top"/>
                </w:tcPr>
                <w:p>
                  <w:pPr>
                    <w:spacing w:before="114"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31.441351</w:t>
                  </w:r>
                </w:p>
              </w:tc>
              <w:tc>
                <w:tcPr>
                  <w:tcW w:w="2212" w:type="dxa"/>
                  <w:vAlign w:val="top"/>
                </w:tcPr>
                <w:p>
                  <w:pPr>
                    <w:pStyle w:val="6"/>
                    <w:spacing w:before="81" w:line="220" w:lineRule="auto"/>
                    <w:ind w:left="390"/>
                    <w:rPr>
                      <w:sz w:val="18"/>
                      <w:szCs w:val="18"/>
                    </w:rPr>
                  </w:pPr>
                  <w:r>
                    <w:rPr>
                      <w:spacing w:val="-2"/>
                      <w:sz w:val="18"/>
                      <w:szCs w:val="18"/>
                    </w:rPr>
                    <w:t>散户居民</w:t>
                  </w:r>
                  <w:r>
                    <w:rPr>
                      <w:spacing w:val="-40"/>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39"/>
                      <w:sz w:val="18"/>
                      <w:szCs w:val="18"/>
                    </w:rPr>
                    <w:t xml:space="preserve"> </w:t>
                  </w:r>
                  <w:r>
                    <w:rPr>
                      <w:rFonts w:ascii="Times New Roman" w:hAnsi="Times New Roman" w:eastAsia="Times New Roman" w:cs="Times New Roman"/>
                      <w:spacing w:val="-2"/>
                      <w:sz w:val="18"/>
                      <w:szCs w:val="18"/>
                    </w:rPr>
                    <w:t>9</w:t>
                  </w:r>
                  <w:r>
                    <w:rPr>
                      <w:rFonts w:ascii="Times New Roman" w:hAnsi="Times New Roman" w:eastAsia="Times New Roman" w:cs="Times New Roman"/>
                      <w:spacing w:val="10"/>
                      <w:sz w:val="18"/>
                      <w:szCs w:val="18"/>
                    </w:rPr>
                    <w:t xml:space="preserve"> </w:t>
                  </w:r>
                  <w:r>
                    <w:rPr>
                      <w:spacing w:val="-2"/>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79" w:line="220" w:lineRule="auto"/>
                    <w:ind w:left="243"/>
                    <w:rPr>
                      <w:sz w:val="18"/>
                      <w:szCs w:val="18"/>
                    </w:rPr>
                  </w:pPr>
                  <w:r>
                    <w:rPr>
                      <w:rFonts w:ascii="Times New Roman" w:hAnsi="Times New Roman" w:eastAsia="Times New Roman" w:cs="Times New Roman"/>
                      <w:spacing w:val="-2"/>
                      <w:sz w:val="18"/>
                      <w:szCs w:val="18"/>
                    </w:rPr>
                    <w:t>5#</w:t>
                  </w:r>
                  <w:r>
                    <w:rPr>
                      <w:spacing w:val="-2"/>
                      <w:sz w:val="18"/>
                      <w:szCs w:val="18"/>
                    </w:rPr>
                    <w:t>居民点</w:t>
                  </w:r>
                </w:p>
              </w:tc>
              <w:tc>
                <w:tcPr>
                  <w:tcW w:w="754" w:type="dxa"/>
                  <w:vAlign w:val="top"/>
                </w:tcPr>
                <w:p>
                  <w:pPr>
                    <w:pStyle w:val="6"/>
                    <w:spacing w:before="79" w:line="220" w:lineRule="auto"/>
                    <w:ind w:left="205"/>
                    <w:rPr>
                      <w:sz w:val="18"/>
                      <w:szCs w:val="18"/>
                    </w:rPr>
                  </w:pPr>
                  <w:r>
                    <w:rPr>
                      <w:spacing w:val="-4"/>
                      <w:sz w:val="18"/>
                      <w:szCs w:val="18"/>
                    </w:rPr>
                    <w:t>东北</w:t>
                  </w:r>
                </w:p>
              </w:tc>
              <w:tc>
                <w:tcPr>
                  <w:tcW w:w="921" w:type="dxa"/>
                  <w:vAlign w:val="top"/>
                </w:tcPr>
                <w:p>
                  <w:pPr>
                    <w:spacing w:before="114" w:line="186" w:lineRule="auto"/>
                    <w:ind w:left="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231</w:t>
                  </w:r>
                </w:p>
              </w:tc>
              <w:tc>
                <w:tcPr>
                  <w:tcW w:w="1070" w:type="dxa"/>
                  <w:vAlign w:val="top"/>
                </w:tcPr>
                <w:p>
                  <w:pPr>
                    <w:spacing w:before="115"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107.244265</w:t>
                  </w:r>
                </w:p>
              </w:tc>
              <w:tc>
                <w:tcPr>
                  <w:tcW w:w="981" w:type="dxa"/>
                  <w:vAlign w:val="top"/>
                </w:tcPr>
                <w:p>
                  <w:pPr>
                    <w:spacing w:before="115"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31.440435</w:t>
                  </w:r>
                </w:p>
              </w:tc>
              <w:tc>
                <w:tcPr>
                  <w:tcW w:w="2212" w:type="dxa"/>
                  <w:vAlign w:val="top"/>
                </w:tcPr>
                <w:p>
                  <w:pPr>
                    <w:pStyle w:val="6"/>
                    <w:spacing w:before="79" w:line="220" w:lineRule="auto"/>
                    <w:ind w:left="390"/>
                    <w:rPr>
                      <w:sz w:val="18"/>
                      <w:szCs w:val="18"/>
                    </w:rPr>
                  </w:pPr>
                  <w:r>
                    <w:rPr>
                      <w:spacing w:val="-4"/>
                      <w:sz w:val="18"/>
                      <w:szCs w:val="18"/>
                    </w:rPr>
                    <w:t>散户居民</w:t>
                  </w:r>
                  <w:r>
                    <w:rPr>
                      <w:spacing w:val="-17"/>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0" w:line="220" w:lineRule="auto"/>
                    <w:ind w:left="242"/>
                    <w:rPr>
                      <w:sz w:val="18"/>
                      <w:szCs w:val="18"/>
                    </w:rPr>
                  </w:pPr>
                  <w:r>
                    <w:rPr>
                      <w:rFonts w:ascii="Times New Roman" w:hAnsi="Times New Roman" w:eastAsia="Times New Roman" w:cs="Times New Roman"/>
                      <w:spacing w:val="-2"/>
                      <w:sz w:val="18"/>
                      <w:szCs w:val="18"/>
                    </w:rPr>
                    <w:t>6#</w:t>
                  </w:r>
                  <w:r>
                    <w:rPr>
                      <w:spacing w:val="-2"/>
                      <w:sz w:val="18"/>
                      <w:szCs w:val="18"/>
                    </w:rPr>
                    <w:t>居民点</w:t>
                  </w:r>
                </w:p>
              </w:tc>
              <w:tc>
                <w:tcPr>
                  <w:tcW w:w="754" w:type="dxa"/>
                  <w:vAlign w:val="top"/>
                </w:tcPr>
                <w:p>
                  <w:pPr>
                    <w:pStyle w:val="6"/>
                    <w:spacing w:before="79" w:line="220" w:lineRule="auto"/>
                    <w:ind w:left="205"/>
                    <w:rPr>
                      <w:sz w:val="18"/>
                      <w:szCs w:val="18"/>
                    </w:rPr>
                  </w:pPr>
                  <w:r>
                    <w:rPr>
                      <w:spacing w:val="-4"/>
                      <w:sz w:val="18"/>
                      <w:szCs w:val="18"/>
                    </w:rPr>
                    <w:t>东北</w:t>
                  </w:r>
                </w:p>
              </w:tc>
              <w:tc>
                <w:tcPr>
                  <w:tcW w:w="921" w:type="dxa"/>
                  <w:vAlign w:val="top"/>
                </w:tcPr>
                <w:p>
                  <w:pPr>
                    <w:spacing w:before="115" w:line="186" w:lineRule="auto"/>
                    <w:ind w:left="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265</w:t>
                  </w:r>
                </w:p>
              </w:tc>
              <w:tc>
                <w:tcPr>
                  <w:tcW w:w="1070" w:type="dxa"/>
                  <w:vAlign w:val="top"/>
                </w:tcPr>
                <w:p>
                  <w:pPr>
                    <w:spacing w:before="115"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107.241819</w:t>
                  </w:r>
                </w:p>
              </w:tc>
              <w:tc>
                <w:tcPr>
                  <w:tcW w:w="981" w:type="dxa"/>
                  <w:vAlign w:val="top"/>
                </w:tcPr>
                <w:p>
                  <w:pPr>
                    <w:spacing w:before="115"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31.440133</w:t>
                  </w:r>
                </w:p>
              </w:tc>
              <w:tc>
                <w:tcPr>
                  <w:tcW w:w="2212" w:type="dxa"/>
                  <w:vAlign w:val="top"/>
                </w:tcPr>
                <w:p>
                  <w:pPr>
                    <w:pStyle w:val="6"/>
                    <w:spacing w:before="79" w:line="220" w:lineRule="auto"/>
                    <w:ind w:left="390"/>
                    <w:rPr>
                      <w:sz w:val="18"/>
                      <w:szCs w:val="18"/>
                    </w:rPr>
                  </w:pPr>
                  <w:r>
                    <w:rPr>
                      <w:spacing w:val="-4"/>
                      <w:sz w:val="18"/>
                      <w:szCs w:val="18"/>
                    </w:rPr>
                    <w:t>散户居民</w:t>
                  </w:r>
                  <w:r>
                    <w:rPr>
                      <w:spacing w:val="-22"/>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39"/>
                      <w:sz w:val="18"/>
                      <w:szCs w:val="18"/>
                    </w:rPr>
                    <w:t xml:space="preserve"> </w:t>
                  </w:r>
                  <w:r>
                    <w:rPr>
                      <w:rFonts w:ascii="Times New Roman" w:hAnsi="Times New Roman" w:eastAsia="Times New Roman" w:cs="Times New Roman"/>
                      <w:spacing w:val="-4"/>
                      <w:sz w:val="18"/>
                      <w:szCs w:val="18"/>
                    </w:rPr>
                    <w:t>3</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0" w:line="220" w:lineRule="auto"/>
                    <w:ind w:left="241"/>
                    <w:rPr>
                      <w:sz w:val="18"/>
                      <w:szCs w:val="18"/>
                    </w:rPr>
                  </w:pPr>
                  <w:r>
                    <w:rPr>
                      <w:rFonts w:ascii="Times New Roman" w:hAnsi="Times New Roman" w:eastAsia="Times New Roman" w:cs="Times New Roman"/>
                      <w:spacing w:val="-1"/>
                      <w:sz w:val="18"/>
                      <w:szCs w:val="18"/>
                    </w:rPr>
                    <w:t>7#</w:t>
                  </w:r>
                  <w:r>
                    <w:rPr>
                      <w:spacing w:val="-1"/>
                      <w:sz w:val="18"/>
                      <w:szCs w:val="18"/>
                    </w:rPr>
                    <w:t>居民点</w:t>
                  </w:r>
                </w:p>
              </w:tc>
              <w:tc>
                <w:tcPr>
                  <w:tcW w:w="754" w:type="dxa"/>
                  <w:vAlign w:val="top"/>
                </w:tcPr>
                <w:p>
                  <w:pPr>
                    <w:pStyle w:val="6"/>
                    <w:spacing w:before="80" w:line="222" w:lineRule="auto"/>
                    <w:ind w:left="203"/>
                    <w:rPr>
                      <w:sz w:val="18"/>
                      <w:szCs w:val="18"/>
                    </w:rPr>
                  </w:pPr>
                  <w:r>
                    <w:rPr>
                      <w:spacing w:val="-3"/>
                      <w:sz w:val="18"/>
                      <w:szCs w:val="18"/>
                    </w:rPr>
                    <w:t>西南</w:t>
                  </w:r>
                </w:p>
              </w:tc>
              <w:tc>
                <w:tcPr>
                  <w:tcW w:w="921" w:type="dxa"/>
                  <w:vAlign w:val="top"/>
                </w:tcPr>
                <w:p>
                  <w:pPr>
                    <w:spacing w:before="115"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229-280</w:t>
                  </w:r>
                </w:p>
              </w:tc>
              <w:tc>
                <w:tcPr>
                  <w:tcW w:w="1070" w:type="dxa"/>
                  <w:vAlign w:val="top"/>
                </w:tcPr>
                <w:p>
                  <w:pPr>
                    <w:spacing w:before="115"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107.241540</w:t>
                  </w:r>
                </w:p>
              </w:tc>
              <w:tc>
                <w:tcPr>
                  <w:tcW w:w="981" w:type="dxa"/>
                  <w:vAlign w:val="top"/>
                </w:tcPr>
                <w:p>
                  <w:pPr>
                    <w:spacing w:before="115"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31.440847</w:t>
                  </w:r>
                </w:p>
              </w:tc>
              <w:tc>
                <w:tcPr>
                  <w:tcW w:w="2212" w:type="dxa"/>
                  <w:vAlign w:val="top"/>
                </w:tcPr>
                <w:p>
                  <w:pPr>
                    <w:pStyle w:val="6"/>
                    <w:spacing w:before="79" w:line="220" w:lineRule="auto"/>
                    <w:ind w:left="345"/>
                    <w:rPr>
                      <w:sz w:val="18"/>
                      <w:szCs w:val="18"/>
                    </w:rPr>
                  </w:pPr>
                  <w:r>
                    <w:rPr>
                      <w:spacing w:val="-4"/>
                      <w:sz w:val="18"/>
                      <w:szCs w:val="18"/>
                    </w:rPr>
                    <w:t>散户居民</w:t>
                  </w:r>
                  <w:r>
                    <w:rPr>
                      <w:spacing w:val="-30"/>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户</w:t>
                  </w:r>
                  <w:r>
                    <w:rPr>
                      <w:spacing w:val="-26"/>
                      <w:sz w:val="18"/>
                      <w:szCs w:val="18"/>
                    </w:rPr>
                    <w:t xml:space="preserve"> </w:t>
                  </w:r>
                  <w:r>
                    <w:rPr>
                      <w:rFonts w:ascii="Times New Roman" w:hAnsi="Times New Roman" w:eastAsia="Times New Roman" w:cs="Times New Roman"/>
                      <w:spacing w:val="-4"/>
                      <w:sz w:val="18"/>
                      <w:szCs w:val="18"/>
                    </w:rPr>
                    <w:t>12</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1" w:line="220" w:lineRule="auto"/>
                    <w:ind w:left="246"/>
                    <w:rPr>
                      <w:sz w:val="18"/>
                      <w:szCs w:val="18"/>
                    </w:rPr>
                  </w:pPr>
                  <w:r>
                    <w:rPr>
                      <w:rFonts w:ascii="Times New Roman" w:hAnsi="Times New Roman" w:eastAsia="Times New Roman" w:cs="Times New Roman"/>
                      <w:spacing w:val="-2"/>
                      <w:sz w:val="18"/>
                      <w:szCs w:val="18"/>
                    </w:rPr>
                    <w:t>8#</w:t>
                  </w:r>
                  <w:r>
                    <w:rPr>
                      <w:spacing w:val="-2"/>
                      <w:sz w:val="18"/>
                      <w:szCs w:val="18"/>
                    </w:rPr>
                    <w:t>居民点</w:t>
                  </w:r>
                </w:p>
              </w:tc>
              <w:tc>
                <w:tcPr>
                  <w:tcW w:w="754" w:type="dxa"/>
                  <w:vAlign w:val="top"/>
                </w:tcPr>
                <w:p>
                  <w:pPr>
                    <w:pStyle w:val="6"/>
                    <w:spacing w:before="80" w:line="222" w:lineRule="auto"/>
                    <w:ind w:left="203"/>
                    <w:rPr>
                      <w:sz w:val="18"/>
                      <w:szCs w:val="18"/>
                    </w:rPr>
                  </w:pPr>
                  <w:r>
                    <w:rPr>
                      <w:spacing w:val="-3"/>
                      <w:sz w:val="18"/>
                      <w:szCs w:val="18"/>
                    </w:rPr>
                    <w:t>西南</w:t>
                  </w:r>
                </w:p>
              </w:tc>
              <w:tc>
                <w:tcPr>
                  <w:tcW w:w="921" w:type="dxa"/>
                  <w:vAlign w:val="top"/>
                </w:tcPr>
                <w:p>
                  <w:pPr>
                    <w:spacing w:before="113"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169-224</w:t>
                  </w:r>
                </w:p>
              </w:tc>
              <w:tc>
                <w:tcPr>
                  <w:tcW w:w="1070" w:type="dxa"/>
                  <w:vAlign w:val="top"/>
                </w:tcPr>
                <w:p>
                  <w:pPr>
                    <w:spacing w:before="113"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107.242141</w:t>
                  </w:r>
                </w:p>
              </w:tc>
              <w:tc>
                <w:tcPr>
                  <w:tcW w:w="981" w:type="dxa"/>
                  <w:vAlign w:val="top"/>
                </w:tcPr>
                <w:p>
                  <w:pPr>
                    <w:spacing w:before="113"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31.443767</w:t>
                  </w:r>
                </w:p>
              </w:tc>
              <w:tc>
                <w:tcPr>
                  <w:tcW w:w="2212" w:type="dxa"/>
                  <w:vAlign w:val="top"/>
                </w:tcPr>
                <w:p>
                  <w:pPr>
                    <w:pStyle w:val="6"/>
                    <w:spacing w:before="80" w:line="220" w:lineRule="auto"/>
                    <w:ind w:left="345"/>
                    <w:rPr>
                      <w:sz w:val="18"/>
                      <w:szCs w:val="18"/>
                    </w:rPr>
                  </w:pPr>
                  <w:r>
                    <w:rPr>
                      <w:spacing w:val="-4"/>
                      <w:sz w:val="18"/>
                      <w:szCs w:val="18"/>
                    </w:rPr>
                    <w:t>散户居民</w:t>
                  </w:r>
                  <w:r>
                    <w:rPr>
                      <w:spacing w:val="-30"/>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户</w:t>
                  </w:r>
                  <w:r>
                    <w:rPr>
                      <w:spacing w:val="-26"/>
                      <w:sz w:val="18"/>
                      <w:szCs w:val="18"/>
                    </w:rPr>
                    <w:t xml:space="preserve"> </w:t>
                  </w:r>
                  <w:r>
                    <w:rPr>
                      <w:rFonts w:ascii="Times New Roman" w:hAnsi="Times New Roman" w:eastAsia="Times New Roman" w:cs="Times New Roman"/>
                      <w:spacing w:val="-4"/>
                      <w:sz w:val="18"/>
                      <w:szCs w:val="18"/>
                    </w:rPr>
                    <w:t>13</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tcBorders>
                  <w:vAlign w:val="top"/>
                </w:tcPr>
                <w:p>
                  <w:pPr>
                    <w:rPr>
                      <w:rFonts w:ascii="Arial"/>
                      <w:sz w:val="21"/>
                    </w:rPr>
                  </w:pPr>
                </w:p>
              </w:tc>
              <w:tc>
                <w:tcPr>
                  <w:tcW w:w="1197" w:type="dxa"/>
                  <w:vAlign w:val="top"/>
                </w:tcPr>
                <w:p>
                  <w:pPr>
                    <w:pStyle w:val="6"/>
                    <w:spacing w:before="83" w:line="220" w:lineRule="auto"/>
                    <w:ind w:left="242"/>
                    <w:rPr>
                      <w:sz w:val="18"/>
                      <w:szCs w:val="18"/>
                    </w:rPr>
                  </w:pPr>
                  <w:r>
                    <w:rPr>
                      <w:rFonts w:ascii="Times New Roman" w:hAnsi="Times New Roman" w:eastAsia="Times New Roman" w:cs="Times New Roman"/>
                      <w:spacing w:val="-1"/>
                      <w:sz w:val="18"/>
                      <w:szCs w:val="18"/>
                    </w:rPr>
                    <w:t>9#</w:t>
                  </w:r>
                  <w:r>
                    <w:rPr>
                      <w:spacing w:val="-1"/>
                      <w:sz w:val="18"/>
                      <w:szCs w:val="18"/>
                    </w:rPr>
                    <w:t>居民点</w:t>
                  </w:r>
                </w:p>
              </w:tc>
              <w:tc>
                <w:tcPr>
                  <w:tcW w:w="754" w:type="dxa"/>
                  <w:vAlign w:val="top"/>
                </w:tcPr>
                <w:p>
                  <w:pPr>
                    <w:pStyle w:val="6"/>
                    <w:spacing w:before="83" w:line="223" w:lineRule="auto"/>
                    <w:ind w:left="293"/>
                    <w:rPr>
                      <w:sz w:val="18"/>
                      <w:szCs w:val="18"/>
                    </w:rPr>
                  </w:pPr>
                  <w:r>
                    <w:rPr>
                      <w:sz w:val="18"/>
                      <w:szCs w:val="18"/>
                    </w:rPr>
                    <w:t>西</w:t>
                  </w:r>
                </w:p>
              </w:tc>
              <w:tc>
                <w:tcPr>
                  <w:tcW w:w="921" w:type="dxa"/>
                  <w:vAlign w:val="top"/>
                </w:tcPr>
                <w:p>
                  <w:pPr>
                    <w:spacing w:before="116" w:line="186" w:lineRule="auto"/>
                    <w:ind w:left="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225</w:t>
                  </w:r>
                </w:p>
              </w:tc>
              <w:tc>
                <w:tcPr>
                  <w:tcW w:w="1070" w:type="dxa"/>
                  <w:vAlign w:val="top"/>
                </w:tcPr>
                <w:p>
                  <w:pPr>
                    <w:spacing w:before="116"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107.235708</w:t>
                  </w:r>
                </w:p>
              </w:tc>
              <w:tc>
                <w:tcPr>
                  <w:tcW w:w="981" w:type="dxa"/>
                  <w:vAlign w:val="top"/>
                </w:tcPr>
                <w:p>
                  <w:pPr>
                    <w:spacing w:before="116"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31.444013</w:t>
                  </w:r>
                </w:p>
              </w:tc>
              <w:tc>
                <w:tcPr>
                  <w:tcW w:w="2212" w:type="dxa"/>
                  <w:vAlign w:val="top"/>
                </w:tcPr>
                <w:p>
                  <w:pPr>
                    <w:pStyle w:val="6"/>
                    <w:spacing w:before="82" w:line="220" w:lineRule="auto"/>
                    <w:ind w:left="390"/>
                    <w:rPr>
                      <w:sz w:val="18"/>
                      <w:szCs w:val="18"/>
                    </w:rPr>
                  </w:pPr>
                  <w:r>
                    <w:rPr>
                      <w:spacing w:val="-4"/>
                      <w:sz w:val="18"/>
                      <w:szCs w:val="18"/>
                    </w:rPr>
                    <w:t>散户居民</w:t>
                  </w:r>
                  <w:r>
                    <w:rPr>
                      <w:spacing w:val="-17"/>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52" w:line="239"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p>
                  <w:pPr>
                    <w:spacing w:line="186"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500m</w:t>
                  </w:r>
                </w:p>
              </w:tc>
              <w:tc>
                <w:tcPr>
                  <w:tcW w:w="1197" w:type="dxa"/>
                  <w:vAlign w:val="top"/>
                </w:tcPr>
                <w:p>
                  <w:pPr>
                    <w:pStyle w:val="6"/>
                    <w:spacing w:before="83" w:line="220" w:lineRule="auto"/>
                    <w:ind w:left="210"/>
                    <w:rPr>
                      <w:sz w:val="18"/>
                      <w:szCs w:val="18"/>
                    </w:rPr>
                  </w:pPr>
                  <w:r>
                    <w:rPr>
                      <w:rFonts w:ascii="Times New Roman" w:hAnsi="Times New Roman" w:eastAsia="Times New Roman" w:cs="Times New Roman"/>
                      <w:spacing w:val="-3"/>
                      <w:sz w:val="18"/>
                      <w:szCs w:val="18"/>
                    </w:rPr>
                    <w:t>10#</w:t>
                  </w:r>
                  <w:r>
                    <w:rPr>
                      <w:spacing w:val="-3"/>
                      <w:sz w:val="18"/>
                      <w:szCs w:val="18"/>
                    </w:rPr>
                    <w:t>居民点</w:t>
                  </w:r>
                </w:p>
              </w:tc>
              <w:tc>
                <w:tcPr>
                  <w:tcW w:w="754" w:type="dxa"/>
                  <w:vAlign w:val="top"/>
                </w:tcPr>
                <w:p>
                  <w:pPr>
                    <w:pStyle w:val="6"/>
                    <w:spacing w:before="83" w:line="222" w:lineRule="auto"/>
                    <w:ind w:left="203"/>
                    <w:rPr>
                      <w:sz w:val="18"/>
                      <w:szCs w:val="18"/>
                    </w:rPr>
                  </w:pPr>
                  <w:r>
                    <w:rPr>
                      <w:spacing w:val="-3"/>
                      <w:sz w:val="18"/>
                      <w:szCs w:val="18"/>
                    </w:rPr>
                    <w:t>西南</w:t>
                  </w:r>
                </w:p>
              </w:tc>
              <w:tc>
                <w:tcPr>
                  <w:tcW w:w="921" w:type="dxa"/>
                  <w:vAlign w:val="top"/>
                </w:tcPr>
                <w:p>
                  <w:pPr>
                    <w:spacing w:before="116" w:line="186" w:lineRule="auto"/>
                    <w:ind w:left="3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368</w:t>
                  </w:r>
                </w:p>
              </w:tc>
              <w:tc>
                <w:tcPr>
                  <w:tcW w:w="1070" w:type="dxa"/>
                  <w:vAlign w:val="top"/>
                </w:tcPr>
                <w:p>
                  <w:pPr>
                    <w:spacing w:before="116"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107.240360</w:t>
                  </w:r>
                </w:p>
              </w:tc>
              <w:tc>
                <w:tcPr>
                  <w:tcW w:w="981" w:type="dxa"/>
                  <w:vAlign w:val="top"/>
                </w:tcPr>
                <w:p>
                  <w:pPr>
                    <w:spacing w:before="116"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31.438367</w:t>
                  </w:r>
                </w:p>
              </w:tc>
              <w:tc>
                <w:tcPr>
                  <w:tcW w:w="2212" w:type="dxa"/>
                  <w:vAlign w:val="top"/>
                </w:tcPr>
                <w:p>
                  <w:pPr>
                    <w:pStyle w:val="6"/>
                    <w:spacing w:before="83" w:line="220" w:lineRule="auto"/>
                    <w:ind w:left="390"/>
                    <w:rPr>
                      <w:sz w:val="18"/>
                      <w:szCs w:val="18"/>
                    </w:rPr>
                  </w:pPr>
                  <w:r>
                    <w:rPr>
                      <w:spacing w:val="-4"/>
                      <w:sz w:val="18"/>
                      <w:szCs w:val="18"/>
                    </w:rPr>
                    <w:t>散户居民</w:t>
                  </w:r>
                  <w:r>
                    <w:rPr>
                      <w:spacing w:val="-17"/>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1" w:line="220" w:lineRule="auto"/>
                    <w:ind w:left="210"/>
                    <w:rPr>
                      <w:sz w:val="18"/>
                      <w:szCs w:val="18"/>
                    </w:rPr>
                  </w:pPr>
                  <w:r>
                    <w:rPr>
                      <w:rFonts w:ascii="Times New Roman" w:hAnsi="Times New Roman" w:eastAsia="Times New Roman" w:cs="Times New Roman"/>
                      <w:spacing w:val="-3"/>
                      <w:sz w:val="18"/>
                      <w:szCs w:val="18"/>
                    </w:rPr>
                    <w:t>11#</w:t>
                  </w:r>
                  <w:r>
                    <w:rPr>
                      <w:spacing w:val="-3"/>
                      <w:sz w:val="18"/>
                      <w:szCs w:val="18"/>
                    </w:rPr>
                    <w:t>居民点</w:t>
                  </w:r>
                </w:p>
              </w:tc>
              <w:tc>
                <w:tcPr>
                  <w:tcW w:w="754" w:type="dxa"/>
                  <w:vAlign w:val="top"/>
                </w:tcPr>
                <w:p>
                  <w:pPr>
                    <w:pStyle w:val="6"/>
                    <w:spacing w:before="81" w:line="223" w:lineRule="auto"/>
                    <w:ind w:left="293"/>
                    <w:rPr>
                      <w:sz w:val="18"/>
                      <w:szCs w:val="18"/>
                    </w:rPr>
                  </w:pPr>
                  <w:r>
                    <w:rPr>
                      <w:sz w:val="18"/>
                      <w:szCs w:val="18"/>
                    </w:rPr>
                    <w:t>西</w:t>
                  </w:r>
                </w:p>
              </w:tc>
              <w:tc>
                <w:tcPr>
                  <w:tcW w:w="921" w:type="dxa"/>
                  <w:vAlign w:val="top"/>
                </w:tcPr>
                <w:p>
                  <w:pPr>
                    <w:spacing w:before="116" w:line="186"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413</w:t>
                  </w:r>
                </w:p>
              </w:tc>
              <w:tc>
                <w:tcPr>
                  <w:tcW w:w="1070" w:type="dxa"/>
                  <w:vAlign w:val="top"/>
                </w:tcPr>
                <w:p>
                  <w:pPr>
                    <w:spacing w:before="11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107.238193</w:t>
                  </w:r>
                </w:p>
              </w:tc>
              <w:tc>
                <w:tcPr>
                  <w:tcW w:w="981" w:type="dxa"/>
                  <w:vAlign w:val="top"/>
                </w:tcPr>
                <w:p>
                  <w:pPr>
                    <w:spacing w:before="11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31.441351</w:t>
                  </w:r>
                </w:p>
              </w:tc>
              <w:tc>
                <w:tcPr>
                  <w:tcW w:w="2212" w:type="dxa"/>
                  <w:vAlign w:val="top"/>
                </w:tcPr>
                <w:p>
                  <w:pPr>
                    <w:pStyle w:val="6"/>
                    <w:spacing w:before="81" w:line="220" w:lineRule="auto"/>
                    <w:ind w:left="390"/>
                    <w:rPr>
                      <w:sz w:val="18"/>
                      <w:szCs w:val="18"/>
                    </w:rPr>
                  </w:pPr>
                  <w:r>
                    <w:rPr>
                      <w:spacing w:val="-4"/>
                      <w:sz w:val="18"/>
                      <w:szCs w:val="18"/>
                    </w:rPr>
                    <w:t>散户居民</w:t>
                  </w:r>
                  <w:r>
                    <w:rPr>
                      <w:spacing w:val="-23"/>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38"/>
                      <w:sz w:val="18"/>
                      <w:szCs w:val="18"/>
                    </w:rPr>
                    <w:t xml:space="preserve"> </w:t>
                  </w:r>
                  <w:r>
                    <w:rPr>
                      <w:rFonts w:ascii="Times New Roman" w:hAnsi="Times New Roman" w:eastAsia="Times New Roman" w:cs="Times New Roman"/>
                      <w:spacing w:val="-4"/>
                      <w:sz w:val="18"/>
                      <w:szCs w:val="18"/>
                    </w:rPr>
                    <w:t>5</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1" w:line="220" w:lineRule="auto"/>
                    <w:ind w:left="210"/>
                    <w:rPr>
                      <w:sz w:val="18"/>
                      <w:szCs w:val="18"/>
                    </w:rPr>
                  </w:pPr>
                  <w:r>
                    <w:rPr>
                      <w:rFonts w:ascii="Times New Roman" w:hAnsi="Times New Roman" w:eastAsia="Times New Roman" w:cs="Times New Roman"/>
                      <w:spacing w:val="-3"/>
                      <w:sz w:val="18"/>
                      <w:szCs w:val="18"/>
                    </w:rPr>
                    <w:t>12#</w:t>
                  </w:r>
                  <w:r>
                    <w:rPr>
                      <w:spacing w:val="-3"/>
                      <w:sz w:val="18"/>
                      <w:szCs w:val="18"/>
                    </w:rPr>
                    <w:t>居民点</w:t>
                  </w:r>
                </w:p>
              </w:tc>
              <w:tc>
                <w:tcPr>
                  <w:tcW w:w="754" w:type="dxa"/>
                  <w:vAlign w:val="top"/>
                </w:tcPr>
                <w:p>
                  <w:pPr>
                    <w:pStyle w:val="6"/>
                    <w:spacing w:before="81" w:line="223" w:lineRule="auto"/>
                    <w:ind w:left="203"/>
                    <w:rPr>
                      <w:sz w:val="18"/>
                      <w:szCs w:val="18"/>
                    </w:rPr>
                  </w:pPr>
                  <w:r>
                    <w:rPr>
                      <w:spacing w:val="-3"/>
                      <w:sz w:val="18"/>
                      <w:szCs w:val="18"/>
                    </w:rPr>
                    <w:t>西北</w:t>
                  </w:r>
                </w:p>
              </w:tc>
              <w:tc>
                <w:tcPr>
                  <w:tcW w:w="921" w:type="dxa"/>
                  <w:vAlign w:val="top"/>
                </w:tcPr>
                <w:p>
                  <w:pPr>
                    <w:spacing w:before="116"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405-430</w:t>
                  </w:r>
                </w:p>
              </w:tc>
              <w:tc>
                <w:tcPr>
                  <w:tcW w:w="1070" w:type="dxa"/>
                  <w:vAlign w:val="top"/>
                </w:tcPr>
                <w:p>
                  <w:pPr>
                    <w:spacing w:before="116"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107.238300</w:t>
                  </w:r>
                </w:p>
              </w:tc>
              <w:tc>
                <w:tcPr>
                  <w:tcW w:w="981" w:type="dxa"/>
                  <w:vAlign w:val="top"/>
                </w:tcPr>
                <w:p>
                  <w:pPr>
                    <w:spacing w:before="116"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31.443493</w:t>
                  </w:r>
                </w:p>
              </w:tc>
              <w:tc>
                <w:tcPr>
                  <w:tcW w:w="2212" w:type="dxa"/>
                  <w:vAlign w:val="top"/>
                </w:tcPr>
                <w:p>
                  <w:pPr>
                    <w:pStyle w:val="6"/>
                    <w:spacing w:before="80" w:line="220" w:lineRule="auto"/>
                    <w:ind w:left="345"/>
                    <w:rPr>
                      <w:sz w:val="18"/>
                      <w:szCs w:val="18"/>
                    </w:rPr>
                  </w:pPr>
                  <w:r>
                    <w:rPr>
                      <w:spacing w:val="-4"/>
                      <w:sz w:val="18"/>
                      <w:szCs w:val="18"/>
                    </w:rPr>
                    <w:t>散户居民</w:t>
                  </w:r>
                  <w:r>
                    <w:rPr>
                      <w:spacing w:val="-30"/>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户</w:t>
                  </w:r>
                  <w:r>
                    <w:rPr>
                      <w:spacing w:val="-26"/>
                      <w:sz w:val="18"/>
                      <w:szCs w:val="18"/>
                    </w:rPr>
                    <w:t xml:space="preserve"> </w:t>
                  </w:r>
                  <w:r>
                    <w:rPr>
                      <w:rFonts w:ascii="Times New Roman" w:hAnsi="Times New Roman" w:eastAsia="Times New Roman" w:cs="Times New Roman"/>
                      <w:spacing w:val="-4"/>
                      <w:sz w:val="18"/>
                      <w:szCs w:val="18"/>
                    </w:rPr>
                    <w:t>15</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2" w:line="220" w:lineRule="auto"/>
                    <w:ind w:left="210"/>
                    <w:rPr>
                      <w:sz w:val="18"/>
                      <w:szCs w:val="18"/>
                    </w:rPr>
                  </w:pPr>
                  <w:r>
                    <w:rPr>
                      <w:rFonts w:ascii="Times New Roman" w:hAnsi="Times New Roman" w:eastAsia="Times New Roman" w:cs="Times New Roman"/>
                      <w:spacing w:val="-3"/>
                      <w:sz w:val="18"/>
                      <w:szCs w:val="18"/>
                    </w:rPr>
                    <w:t>13#</w:t>
                  </w:r>
                  <w:r>
                    <w:rPr>
                      <w:spacing w:val="-3"/>
                      <w:sz w:val="18"/>
                      <w:szCs w:val="18"/>
                    </w:rPr>
                    <w:t>居民点</w:t>
                  </w:r>
                </w:p>
              </w:tc>
              <w:tc>
                <w:tcPr>
                  <w:tcW w:w="754" w:type="dxa"/>
                  <w:vAlign w:val="top"/>
                </w:tcPr>
                <w:p>
                  <w:pPr>
                    <w:pStyle w:val="6"/>
                    <w:spacing w:before="81" w:line="223" w:lineRule="auto"/>
                    <w:ind w:left="203"/>
                    <w:rPr>
                      <w:sz w:val="18"/>
                      <w:szCs w:val="18"/>
                    </w:rPr>
                  </w:pPr>
                  <w:r>
                    <w:rPr>
                      <w:spacing w:val="-3"/>
                      <w:sz w:val="18"/>
                      <w:szCs w:val="18"/>
                    </w:rPr>
                    <w:t>西北</w:t>
                  </w:r>
                </w:p>
              </w:tc>
              <w:tc>
                <w:tcPr>
                  <w:tcW w:w="921" w:type="dxa"/>
                  <w:vAlign w:val="top"/>
                </w:tcPr>
                <w:p>
                  <w:pPr>
                    <w:spacing w:before="117"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462-</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183</w:t>
                  </w:r>
                </w:p>
              </w:tc>
              <w:tc>
                <w:tcPr>
                  <w:tcW w:w="1070" w:type="dxa"/>
                  <w:vAlign w:val="top"/>
                </w:tcPr>
                <w:p>
                  <w:pPr>
                    <w:spacing w:before="11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107.238214</w:t>
                  </w:r>
                </w:p>
              </w:tc>
              <w:tc>
                <w:tcPr>
                  <w:tcW w:w="981" w:type="dxa"/>
                  <w:vAlign w:val="top"/>
                </w:tcPr>
                <w:p>
                  <w:pPr>
                    <w:spacing w:before="11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31.444390</w:t>
                  </w:r>
                </w:p>
              </w:tc>
              <w:tc>
                <w:tcPr>
                  <w:tcW w:w="2212" w:type="dxa"/>
                  <w:vAlign w:val="top"/>
                </w:tcPr>
                <w:p>
                  <w:pPr>
                    <w:pStyle w:val="6"/>
                    <w:spacing w:before="81" w:line="220" w:lineRule="auto"/>
                    <w:ind w:left="345"/>
                    <w:rPr>
                      <w:sz w:val="18"/>
                      <w:szCs w:val="18"/>
                    </w:rPr>
                  </w:pPr>
                  <w:r>
                    <w:rPr>
                      <w:spacing w:val="-4"/>
                      <w:sz w:val="18"/>
                      <w:szCs w:val="18"/>
                    </w:rPr>
                    <w:t>散户居民</w:t>
                  </w:r>
                  <w:r>
                    <w:rPr>
                      <w:spacing w:val="-30"/>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户</w:t>
                  </w:r>
                  <w:r>
                    <w:rPr>
                      <w:spacing w:val="-26"/>
                      <w:sz w:val="18"/>
                      <w:szCs w:val="18"/>
                    </w:rPr>
                    <w:t xml:space="preserve"> </w:t>
                  </w:r>
                  <w:r>
                    <w:rPr>
                      <w:rFonts w:ascii="Times New Roman" w:hAnsi="Times New Roman" w:eastAsia="Times New Roman" w:cs="Times New Roman"/>
                      <w:spacing w:val="-4"/>
                      <w:sz w:val="18"/>
                      <w:szCs w:val="18"/>
                    </w:rPr>
                    <w:t>16</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2" w:line="220" w:lineRule="auto"/>
                    <w:ind w:left="210"/>
                    <w:rPr>
                      <w:sz w:val="18"/>
                      <w:szCs w:val="18"/>
                    </w:rPr>
                  </w:pPr>
                  <w:r>
                    <w:rPr>
                      <w:rFonts w:ascii="Times New Roman" w:hAnsi="Times New Roman" w:eastAsia="Times New Roman" w:cs="Times New Roman"/>
                      <w:spacing w:val="-3"/>
                      <w:sz w:val="18"/>
                      <w:szCs w:val="18"/>
                    </w:rPr>
                    <w:t>14#</w:t>
                  </w:r>
                  <w:r>
                    <w:rPr>
                      <w:spacing w:val="-3"/>
                      <w:sz w:val="18"/>
                      <w:szCs w:val="18"/>
                    </w:rPr>
                    <w:t>居民点</w:t>
                  </w:r>
                </w:p>
              </w:tc>
              <w:tc>
                <w:tcPr>
                  <w:tcW w:w="754" w:type="dxa"/>
                  <w:vAlign w:val="top"/>
                </w:tcPr>
                <w:p>
                  <w:pPr>
                    <w:pStyle w:val="6"/>
                    <w:spacing w:before="82" w:line="223" w:lineRule="auto"/>
                    <w:ind w:left="291"/>
                    <w:rPr>
                      <w:sz w:val="18"/>
                      <w:szCs w:val="18"/>
                    </w:rPr>
                  </w:pPr>
                  <w:r>
                    <w:rPr>
                      <w:sz w:val="18"/>
                      <w:szCs w:val="18"/>
                    </w:rPr>
                    <w:t>北</w:t>
                  </w:r>
                </w:p>
              </w:tc>
              <w:tc>
                <w:tcPr>
                  <w:tcW w:w="921" w:type="dxa"/>
                  <w:vAlign w:val="top"/>
                </w:tcPr>
                <w:p>
                  <w:pPr>
                    <w:spacing w:before="115"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367-389</w:t>
                  </w:r>
                </w:p>
              </w:tc>
              <w:tc>
                <w:tcPr>
                  <w:tcW w:w="1070" w:type="dxa"/>
                  <w:vAlign w:val="top"/>
                </w:tcPr>
                <w:p>
                  <w:pPr>
                    <w:spacing w:before="115" w:line="186"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107.241105</w:t>
                  </w:r>
                </w:p>
              </w:tc>
              <w:tc>
                <w:tcPr>
                  <w:tcW w:w="981" w:type="dxa"/>
                  <w:vAlign w:val="top"/>
                </w:tcPr>
                <w:p>
                  <w:pPr>
                    <w:spacing w:before="115"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31.445571</w:t>
                  </w:r>
                </w:p>
              </w:tc>
              <w:tc>
                <w:tcPr>
                  <w:tcW w:w="2212" w:type="dxa"/>
                  <w:vAlign w:val="top"/>
                </w:tcPr>
                <w:p>
                  <w:pPr>
                    <w:pStyle w:val="6"/>
                    <w:spacing w:before="81" w:line="220" w:lineRule="auto"/>
                    <w:ind w:left="390"/>
                    <w:rPr>
                      <w:sz w:val="18"/>
                      <w:szCs w:val="18"/>
                    </w:rPr>
                  </w:pPr>
                  <w:r>
                    <w:rPr>
                      <w:spacing w:val="-2"/>
                      <w:sz w:val="18"/>
                      <w:szCs w:val="18"/>
                    </w:rPr>
                    <w:t>散户居民</w:t>
                  </w:r>
                  <w:r>
                    <w:rPr>
                      <w:spacing w:val="-40"/>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39"/>
                      <w:sz w:val="18"/>
                      <w:szCs w:val="18"/>
                    </w:rPr>
                    <w:t xml:space="preserve"> </w:t>
                  </w:r>
                  <w:r>
                    <w:rPr>
                      <w:rFonts w:ascii="Times New Roman" w:hAnsi="Times New Roman" w:eastAsia="Times New Roman" w:cs="Times New Roman"/>
                      <w:spacing w:val="-2"/>
                      <w:sz w:val="18"/>
                      <w:szCs w:val="18"/>
                    </w:rPr>
                    <w:t>9</w:t>
                  </w:r>
                  <w:r>
                    <w:rPr>
                      <w:rFonts w:ascii="Times New Roman" w:hAnsi="Times New Roman" w:eastAsia="Times New Roman" w:cs="Times New Roman"/>
                      <w:spacing w:val="10"/>
                      <w:sz w:val="18"/>
                      <w:szCs w:val="18"/>
                    </w:rPr>
                    <w:t xml:space="preserve"> </w:t>
                  </w:r>
                  <w:r>
                    <w:rPr>
                      <w:spacing w:val="-2"/>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4" w:line="220" w:lineRule="auto"/>
                    <w:ind w:left="210"/>
                    <w:rPr>
                      <w:sz w:val="18"/>
                      <w:szCs w:val="18"/>
                    </w:rPr>
                  </w:pPr>
                  <w:r>
                    <w:rPr>
                      <w:rFonts w:ascii="Times New Roman" w:hAnsi="Times New Roman" w:eastAsia="Times New Roman" w:cs="Times New Roman"/>
                      <w:spacing w:val="-3"/>
                      <w:sz w:val="18"/>
                      <w:szCs w:val="18"/>
                    </w:rPr>
                    <w:t>15#</w:t>
                  </w:r>
                  <w:r>
                    <w:rPr>
                      <w:spacing w:val="-3"/>
                      <w:sz w:val="18"/>
                      <w:szCs w:val="18"/>
                    </w:rPr>
                    <w:t>居民点</w:t>
                  </w:r>
                </w:p>
              </w:tc>
              <w:tc>
                <w:tcPr>
                  <w:tcW w:w="754" w:type="dxa"/>
                  <w:vAlign w:val="top"/>
                </w:tcPr>
                <w:p>
                  <w:pPr>
                    <w:pStyle w:val="6"/>
                    <w:spacing w:before="84" w:line="223" w:lineRule="auto"/>
                    <w:ind w:left="291"/>
                    <w:rPr>
                      <w:sz w:val="18"/>
                      <w:szCs w:val="18"/>
                    </w:rPr>
                  </w:pPr>
                  <w:r>
                    <w:rPr>
                      <w:sz w:val="18"/>
                      <w:szCs w:val="18"/>
                    </w:rPr>
                    <w:t>北</w:t>
                  </w:r>
                </w:p>
              </w:tc>
              <w:tc>
                <w:tcPr>
                  <w:tcW w:w="921" w:type="dxa"/>
                  <w:vAlign w:val="top"/>
                </w:tcPr>
                <w:p>
                  <w:pPr>
                    <w:spacing w:before="117" w:line="186"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tc>
              <w:tc>
                <w:tcPr>
                  <w:tcW w:w="1070" w:type="dxa"/>
                  <w:vAlign w:val="top"/>
                </w:tcPr>
                <w:p>
                  <w:pPr>
                    <w:spacing w:before="11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107.242597</w:t>
                  </w:r>
                </w:p>
              </w:tc>
              <w:tc>
                <w:tcPr>
                  <w:tcW w:w="981" w:type="dxa"/>
                  <w:vAlign w:val="top"/>
                </w:tcPr>
                <w:p>
                  <w:pPr>
                    <w:spacing w:before="11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31.445127</w:t>
                  </w:r>
                </w:p>
              </w:tc>
              <w:tc>
                <w:tcPr>
                  <w:tcW w:w="2212" w:type="dxa"/>
                  <w:vAlign w:val="top"/>
                </w:tcPr>
                <w:p>
                  <w:pPr>
                    <w:pStyle w:val="6"/>
                    <w:spacing w:before="84" w:line="220" w:lineRule="auto"/>
                    <w:ind w:left="390"/>
                    <w:rPr>
                      <w:sz w:val="18"/>
                      <w:szCs w:val="18"/>
                    </w:rPr>
                  </w:pPr>
                  <w:r>
                    <w:rPr>
                      <w:spacing w:val="-4"/>
                      <w:sz w:val="18"/>
                      <w:szCs w:val="18"/>
                    </w:rPr>
                    <w:t>散户居民</w:t>
                  </w:r>
                  <w:r>
                    <w:rPr>
                      <w:spacing w:val="-17"/>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5" w:line="220" w:lineRule="auto"/>
                    <w:ind w:left="210"/>
                    <w:rPr>
                      <w:sz w:val="18"/>
                      <w:szCs w:val="18"/>
                    </w:rPr>
                  </w:pPr>
                  <w:r>
                    <w:rPr>
                      <w:rFonts w:ascii="Times New Roman" w:hAnsi="Times New Roman" w:eastAsia="Times New Roman" w:cs="Times New Roman"/>
                      <w:spacing w:val="-3"/>
                      <w:sz w:val="18"/>
                      <w:szCs w:val="18"/>
                    </w:rPr>
                    <w:t>16#</w:t>
                  </w:r>
                  <w:r>
                    <w:rPr>
                      <w:spacing w:val="-3"/>
                      <w:sz w:val="18"/>
                      <w:szCs w:val="18"/>
                    </w:rPr>
                    <w:t>居民点</w:t>
                  </w:r>
                </w:p>
              </w:tc>
              <w:tc>
                <w:tcPr>
                  <w:tcW w:w="754" w:type="dxa"/>
                  <w:vAlign w:val="top"/>
                </w:tcPr>
                <w:p>
                  <w:pPr>
                    <w:pStyle w:val="6"/>
                    <w:spacing w:before="84" w:line="220" w:lineRule="auto"/>
                    <w:ind w:left="205"/>
                    <w:rPr>
                      <w:sz w:val="18"/>
                      <w:szCs w:val="18"/>
                    </w:rPr>
                  </w:pPr>
                  <w:r>
                    <w:rPr>
                      <w:spacing w:val="-4"/>
                      <w:sz w:val="18"/>
                      <w:szCs w:val="18"/>
                    </w:rPr>
                    <w:t>东北</w:t>
                  </w:r>
                </w:p>
              </w:tc>
              <w:tc>
                <w:tcPr>
                  <w:tcW w:w="921" w:type="dxa"/>
                  <w:vAlign w:val="top"/>
                </w:tcPr>
                <w:p>
                  <w:pPr>
                    <w:spacing w:before="11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362-375</w:t>
                  </w:r>
                </w:p>
              </w:tc>
              <w:tc>
                <w:tcPr>
                  <w:tcW w:w="1070" w:type="dxa"/>
                  <w:vAlign w:val="top"/>
                </w:tcPr>
                <w:p>
                  <w:pPr>
                    <w:spacing w:before="118"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107.243568</w:t>
                  </w:r>
                </w:p>
              </w:tc>
              <w:tc>
                <w:tcPr>
                  <w:tcW w:w="981" w:type="dxa"/>
                  <w:vAlign w:val="top"/>
                </w:tcPr>
                <w:p>
                  <w:pPr>
                    <w:spacing w:before="118"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31.445392</w:t>
                  </w:r>
                </w:p>
              </w:tc>
              <w:tc>
                <w:tcPr>
                  <w:tcW w:w="2212" w:type="dxa"/>
                  <w:vAlign w:val="top"/>
                </w:tcPr>
                <w:p>
                  <w:pPr>
                    <w:pStyle w:val="6"/>
                    <w:spacing w:before="84" w:line="220" w:lineRule="auto"/>
                    <w:ind w:left="390"/>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2" w:line="220" w:lineRule="auto"/>
                    <w:ind w:left="210"/>
                    <w:rPr>
                      <w:sz w:val="18"/>
                      <w:szCs w:val="18"/>
                    </w:rPr>
                  </w:pPr>
                  <w:r>
                    <w:rPr>
                      <w:rFonts w:ascii="Times New Roman" w:hAnsi="Times New Roman" w:eastAsia="Times New Roman" w:cs="Times New Roman"/>
                      <w:spacing w:val="-3"/>
                      <w:sz w:val="18"/>
                      <w:szCs w:val="18"/>
                    </w:rPr>
                    <w:t>17#</w:t>
                  </w:r>
                  <w:r>
                    <w:rPr>
                      <w:spacing w:val="-3"/>
                      <w:sz w:val="18"/>
                      <w:szCs w:val="18"/>
                    </w:rPr>
                    <w:t>居民点</w:t>
                  </w:r>
                </w:p>
              </w:tc>
              <w:tc>
                <w:tcPr>
                  <w:tcW w:w="754" w:type="dxa"/>
                  <w:vAlign w:val="top"/>
                </w:tcPr>
                <w:p>
                  <w:pPr>
                    <w:pStyle w:val="6"/>
                    <w:spacing w:before="81" w:line="220" w:lineRule="auto"/>
                    <w:ind w:left="205"/>
                    <w:rPr>
                      <w:sz w:val="18"/>
                      <w:szCs w:val="18"/>
                    </w:rPr>
                  </w:pPr>
                  <w:r>
                    <w:rPr>
                      <w:spacing w:val="-4"/>
                      <w:sz w:val="18"/>
                      <w:szCs w:val="18"/>
                    </w:rPr>
                    <w:t>东北</w:t>
                  </w:r>
                </w:p>
              </w:tc>
              <w:tc>
                <w:tcPr>
                  <w:tcW w:w="921" w:type="dxa"/>
                  <w:vAlign w:val="top"/>
                </w:tcPr>
                <w:p>
                  <w:pPr>
                    <w:spacing w:before="117"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408-</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190</w:t>
                  </w:r>
                </w:p>
              </w:tc>
              <w:tc>
                <w:tcPr>
                  <w:tcW w:w="1070" w:type="dxa"/>
                  <w:vAlign w:val="top"/>
                </w:tcPr>
                <w:p>
                  <w:pPr>
                    <w:spacing w:before="11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107.244303</w:t>
                  </w:r>
                </w:p>
              </w:tc>
              <w:tc>
                <w:tcPr>
                  <w:tcW w:w="981" w:type="dxa"/>
                  <w:vAlign w:val="top"/>
                </w:tcPr>
                <w:p>
                  <w:pPr>
                    <w:spacing w:before="11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31.445950</w:t>
                  </w:r>
                </w:p>
              </w:tc>
              <w:tc>
                <w:tcPr>
                  <w:tcW w:w="2212" w:type="dxa"/>
                  <w:vAlign w:val="top"/>
                </w:tcPr>
                <w:p>
                  <w:pPr>
                    <w:pStyle w:val="6"/>
                    <w:spacing w:before="81" w:line="220" w:lineRule="auto"/>
                    <w:ind w:left="345"/>
                    <w:rPr>
                      <w:sz w:val="18"/>
                      <w:szCs w:val="18"/>
                    </w:rPr>
                  </w:pPr>
                  <w:r>
                    <w:rPr>
                      <w:spacing w:val="-3"/>
                      <w:sz w:val="18"/>
                      <w:szCs w:val="18"/>
                    </w:rPr>
                    <w:t>散户居民</w:t>
                  </w:r>
                  <w:r>
                    <w:rPr>
                      <w:spacing w:val="-40"/>
                      <w:sz w:val="18"/>
                      <w:szCs w:val="18"/>
                    </w:rPr>
                    <w:t xml:space="preserve"> </w:t>
                  </w:r>
                  <w:r>
                    <w:rPr>
                      <w:rFonts w:ascii="Times New Roman" w:hAnsi="Times New Roman" w:eastAsia="Times New Roman" w:cs="Times New Roman"/>
                      <w:spacing w:val="-3"/>
                      <w:sz w:val="18"/>
                      <w:szCs w:val="18"/>
                    </w:rPr>
                    <w:t xml:space="preserve">4 </w:t>
                  </w:r>
                  <w:r>
                    <w:rPr>
                      <w:spacing w:val="-3"/>
                      <w:sz w:val="18"/>
                      <w:szCs w:val="18"/>
                    </w:rPr>
                    <w:t>户</w:t>
                  </w:r>
                  <w:r>
                    <w:rPr>
                      <w:spacing w:val="-26"/>
                      <w:sz w:val="18"/>
                      <w:szCs w:val="18"/>
                    </w:rPr>
                    <w:t xml:space="preserve"> </w:t>
                  </w:r>
                  <w:r>
                    <w:rPr>
                      <w:rFonts w:ascii="Times New Roman" w:hAnsi="Times New Roman" w:eastAsia="Times New Roman" w:cs="Times New Roman"/>
                      <w:spacing w:val="-3"/>
                      <w:sz w:val="18"/>
                      <w:szCs w:val="18"/>
                    </w:rPr>
                    <w:t>18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2" w:line="220" w:lineRule="auto"/>
                    <w:ind w:left="210"/>
                    <w:rPr>
                      <w:sz w:val="18"/>
                      <w:szCs w:val="18"/>
                    </w:rPr>
                  </w:pPr>
                  <w:r>
                    <w:rPr>
                      <w:rFonts w:ascii="Times New Roman" w:hAnsi="Times New Roman" w:eastAsia="Times New Roman" w:cs="Times New Roman"/>
                      <w:spacing w:val="-3"/>
                      <w:sz w:val="18"/>
                      <w:szCs w:val="18"/>
                    </w:rPr>
                    <w:t>18#</w:t>
                  </w:r>
                  <w:r>
                    <w:rPr>
                      <w:spacing w:val="-3"/>
                      <w:sz w:val="18"/>
                      <w:szCs w:val="18"/>
                    </w:rPr>
                    <w:t>居民点</w:t>
                  </w:r>
                </w:p>
              </w:tc>
              <w:tc>
                <w:tcPr>
                  <w:tcW w:w="754" w:type="dxa"/>
                  <w:vAlign w:val="top"/>
                </w:tcPr>
                <w:p>
                  <w:pPr>
                    <w:pStyle w:val="6"/>
                    <w:spacing w:before="81" w:line="220" w:lineRule="auto"/>
                    <w:ind w:left="205"/>
                    <w:rPr>
                      <w:sz w:val="18"/>
                      <w:szCs w:val="18"/>
                    </w:rPr>
                  </w:pPr>
                  <w:r>
                    <w:rPr>
                      <w:spacing w:val="-4"/>
                      <w:sz w:val="18"/>
                      <w:szCs w:val="18"/>
                    </w:rPr>
                    <w:t>东北</w:t>
                  </w:r>
                </w:p>
              </w:tc>
              <w:tc>
                <w:tcPr>
                  <w:tcW w:w="921" w:type="dxa"/>
                  <w:vAlign w:val="top"/>
                </w:tcPr>
                <w:p>
                  <w:pPr>
                    <w:spacing w:before="117" w:line="186"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451</w:t>
                  </w:r>
                </w:p>
              </w:tc>
              <w:tc>
                <w:tcPr>
                  <w:tcW w:w="1070" w:type="dxa"/>
                  <w:vAlign w:val="top"/>
                </w:tcPr>
                <w:p>
                  <w:pPr>
                    <w:spacing w:before="11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107.245810</w:t>
                  </w:r>
                </w:p>
              </w:tc>
              <w:tc>
                <w:tcPr>
                  <w:tcW w:w="981" w:type="dxa"/>
                  <w:vAlign w:val="top"/>
                </w:tcPr>
                <w:p>
                  <w:pPr>
                    <w:spacing w:before="11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31.445044</w:t>
                  </w:r>
                </w:p>
              </w:tc>
              <w:tc>
                <w:tcPr>
                  <w:tcW w:w="2212" w:type="dxa"/>
                  <w:vAlign w:val="top"/>
                </w:tcPr>
                <w:p>
                  <w:pPr>
                    <w:pStyle w:val="6"/>
                    <w:spacing w:before="81" w:line="220" w:lineRule="auto"/>
                    <w:ind w:left="390"/>
                    <w:rPr>
                      <w:sz w:val="18"/>
                      <w:szCs w:val="18"/>
                    </w:rPr>
                  </w:pPr>
                  <w:r>
                    <w:rPr>
                      <w:spacing w:val="-4"/>
                      <w:sz w:val="18"/>
                      <w:szCs w:val="18"/>
                    </w:rPr>
                    <w:t>散户居民</w:t>
                  </w:r>
                  <w:r>
                    <w:rPr>
                      <w:spacing w:val="-17"/>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3" w:line="220" w:lineRule="auto"/>
                    <w:ind w:left="210"/>
                    <w:rPr>
                      <w:sz w:val="18"/>
                      <w:szCs w:val="18"/>
                    </w:rPr>
                  </w:pPr>
                  <w:r>
                    <w:rPr>
                      <w:rFonts w:ascii="Times New Roman" w:hAnsi="Times New Roman" w:eastAsia="Times New Roman" w:cs="Times New Roman"/>
                      <w:spacing w:val="-3"/>
                      <w:sz w:val="18"/>
                      <w:szCs w:val="18"/>
                    </w:rPr>
                    <w:t>19#</w:t>
                  </w:r>
                  <w:r>
                    <w:rPr>
                      <w:spacing w:val="-3"/>
                      <w:sz w:val="18"/>
                      <w:szCs w:val="18"/>
                    </w:rPr>
                    <w:t>居民点</w:t>
                  </w:r>
                </w:p>
              </w:tc>
              <w:tc>
                <w:tcPr>
                  <w:tcW w:w="754" w:type="dxa"/>
                  <w:vAlign w:val="top"/>
                </w:tcPr>
                <w:p>
                  <w:pPr>
                    <w:pStyle w:val="6"/>
                    <w:spacing w:before="82" w:line="220" w:lineRule="auto"/>
                    <w:ind w:left="295"/>
                    <w:rPr>
                      <w:sz w:val="18"/>
                      <w:szCs w:val="18"/>
                    </w:rPr>
                  </w:pPr>
                  <w:r>
                    <w:rPr>
                      <w:sz w:val="18"/>
                      <w:szCs w:val="18"/>
                    </w:rPr>
                    <w:t>东</w:t>
                  </w:r>
                </w:p>
              </w:tc>
              <w:tc>
                <w:tcPr>
                  <w:tcW w:w="921" w:type="dxa"/>
                  <w:vAlign w:val="top"/>
                </w:tcPr>
                <w:p>
                  <w:pPr>
                    <w:spacing w:before="118"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407-431</w:t>
                  </w:r>
                </w:p>
              </w:tc>
              <w:tc>
                <w:tcPr>
                  <w:tcW w:w="1070" w:type="dxa"/>
                  <w:vAlign w:val="top"/>
                </w:tcPr>
                <w:p>
                  <w:pPr>
                    <w:spacing w:before="118"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107.246674</w:t>
                  </w:r>
                </w:p>
              </w:tc>
              <w:tc>
                <w:tcPr>
                  <w:tcW w:w="981" w:type="dxa"/>
                  <w:vAlign w:val="top"/>
                </w:tcPr>
                <w:p>
                  <w:pPr>
                    <w:spacing w:before="118"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31.443392</w:t>
                  </w:r>
                </w:p>
              </w:tc>
              <w:tc>
                <w:tcPr>
                  <w:tcW w:w="2212" w:type="dxa"/>
                  <w:vAlign w:val="top"/>
                </w:tcPr>
                <w:p>
                  <w:pPr>
                    <w:pStyle w:val="6"/>
                    <w:spacing w:before="82" w:line="220" w:lineRule="auto"/>
                    <w:ind w:left="390"/>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2" w:line="220" w:lineRule="auto"/>
                    <w:ind w:left="193"/>
                    <w:rPr>
                      <w:sz w:val="18"/>
                      <w:szCs w:val="18"/>
                    </w:rPr>
                  </w:pPr>
                  <w:r>
                    <w:rPr>
                      <w:rFonts w:ascii="Times New Roman" w:hAnsi="Times New Roman" w:eastAsia="Times New Roman" w:cs="Times New Roman"/>
                      <w:spacing w:val="-1"/>
                      <w:sz w:val="18"/>
                      <w:szCs w:val="18"/>
                    </w:rPr>
                    <w:t>20#</w:t>
                  </w:r>
                  <w:r>
                    <w:rPr>
                      <w:spacing w:val="-1"/>
                      <w:sz w:val="18"/>
                      <w:szCs w:val="18"/>
                    </w:rPr>
                    <w:t>居民点</w:t>
                  </w:r>
                </w:p>
              </w:tc>
              <w:tc>
                <w:tcPr>
                  <w:tcW w:w="754" w:type="dxa"/>
                  <w:vAlign w:val="top"/>
                </w:tcPr>
                <w:p>
                  <w:pPr>
                    <w:pStyle w:val="6"/>
                    <w:spacing w:before="81" w:line="220" w:lineRule="auto"/>
                    <w:ind w:left="295"/>
                    <w:rPr>
                      <w:sz w:val="18"/>
                      <w:szCs w:val="18"/>
                    </w:rPr>
                  </w:pPr>
                  <w:r>
                    <w:rPr>
                      <w:sz w:val="18"/>
                      <w:szCs w:val="18"/>
                    </w:rPr>
                    <w:t>东</w:t>
                  </w:r>
                </w:p>
              </w:tc>
              <w:tc>
                <w:tcPr>
                  <w:tcW w:w="921" w:type="dxa"/>
                  <w:vAlign w:val="top"/>
                </w:tcPr>
                <w:p>
                  <w:pPr>
                    <w:spacing w:before="115"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315-344</w:t>
                  </w:r>
                </w:p>
              </w:tc>
              <w:tc>
                <w:tcPr>
                  <w:tcW w:w="1070" w:type="dxa"/>
                  <w:vAlign w:val="top"/>
                </w:tcPr>
                <w:p>
                  <w:pPr>
                    <w:spacing w:before="115"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107.246041</w:t>
                  </w:r>
                </w:p>
              </w:tc>
              <w:tc>
                <w:tcPr>
                  <w:tcW w:w="981" w:type="dxa"/>
                  <w:vAlign w:val="top"/>
                </w:tcPr>
                <w:p>
                  <w:pPr>
                    <w:spacing w:before="115"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31.442550</w:t>
                  </w:r>
                </w:p>
              </w:tc>
              <w:tc>
                <w:tcPr>
                  <w:tcW w:w="2212" w:type="dxa"/>
                  <w:vAlign w:val="top"/>
                </w:tcPr>
                <w:p>
                  <w:pPr>
                    <w:pStyle w:val="6"/>
                    <w:spacing w:before="81" w:line="220" w:lineRule="auto"/>
                    <w:ind w:left="390"/>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4" w:line="220" w:lineRule="auto"/>
                    <w:ind w:left="193"/>
                    <w:rPr>
                      <w:sz w:val="18"/>
                      <w:szCs w:val="18"/>
                    </w:rPr>
                  </w:pPr>
                  <w:r>
                    <w:rPr>
                      <w:rFonts w:ascii="Times New Roman" w:hAnsi="Times New Roman" w:eastAsia="Times New Roman" w:cs="Times New Roman"/>
                      <w:spacing w:val="-1"/>
                      <w:sz w:val="18"/>
                      <w:szCs w:val="18"/>
                    </w:rPr>
                    <w:t>21#</w:t>
                  </w:r>
                  <w:r>
                    <w:rPr>
                      <w:spacing w:val="-1"/>
                      <w:sz w:val="18"/>
                      <w:szCs w:val="18"/>
                    </w:rPr>
                    <w:t>居民点</w:t>
                  </w:r>
                </w:p>
              </w:tc>
              <w:tc>
                <w:tcPr>
                  <w:tcW w:w="754" w:type="dxa"/>
                  <w:vAlign w:val="top"/>
                </w:tcPr>
                <w:p>
                  <w:pPr>
                    <w:pStyle w:val="6"/>
                    <w:spacing w:before="84" w:line="220" w:lineRule="auto"/>
                    <w:ind w:left="295"/>
                    <w:rPr>
                      <w:sz w:val="18"/>
                      <w:szCs w:val="18"/>
                    </w:rPr>
                  </w:pPr>
                  <w:r>
                    <w:rPr>
                      <w:sz w:val="18"/>
                      <w:szCs w:val="18"/>
                    </w:rPr>
                    <w:t>东</w:t>
                  </w:r>
                </w:p>
              </w:tc>
              <w:tc>
                <w:tcPr>
                  <w:tcW w:w="921" w:type="dxa"/>
                  <w:vAlign w:val="top"/>
                </w:tcPr>
                <w:p>
                  <w:pPr>
                    <w:spacing w:before="117"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475-481</w:t>
                  </w:r>
                </w:p>
              </w:tc>
              <w:tc>
                <w:tcPr>
                  <w:tcW w:w="1070" w:type="dxa"/>
                  <w:vAlign w:val="top"/>
                </w:tcPr>
                <w:p>
                  <w:pPr>
                    <w:spacing w:before="11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107.247403</w:t>
                  </w:r>
                </w:p>
              </w:tc>
              <w:tc>
                <w:tcPr>
                  <w:tcW w:w="981" w:type="dxa"/>
                  <w:vAlign w:val="top"/>
                </w:tcPr>
                <w:p>
                  <w:pPr>
                    <w:spacing w:before="117"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31.442806</w:t>
                  </w:r>
                </w:p>
              </w:tc>
              <w:tc>
                <w:tcPr>
                  <w:tcW w:w="2212" w:type="dxa"/>
                  <w:vAlign w:val="top"/>
                </w:tcPr>
                <w:p>
                  <w:pPr>
                    <w:pStyle w:val="6"/>
                    <w:spacing w:before="84" w:line="220" w:lineRule="auto"/>
                    <w:ind w:left="345"/>
                    <w:rPr>
                      <w:sz w:val="18"/>
                      <w:szCs w:val="18"/>
                    </w:rPr>
                  </w:pPr>
                  <w:r>
                    <w:rPr>
                      <w:spacing w:val="-3"/>
                      <w:sz w:val="18"/>
                      <w:szCs w:val="18"/>
                    </w:rPr>
                    <w:t>散户居民</w:t>
                  </w:r>
                  <w:r>
                    <w:rPr>
                      <w:spacing w:val="-40"/>
                      <w:sz w:val="18"/>
                      <w:szCs w:val="18"/>
                    </w:rPr>
                    <w:t xml:space="preserve"> </w:t>
                  </w:r>
                  <w:r>
                    <w:rPr>
                      <w:rFonts w:ascii="Times New Roman" w:hAnsi="Times New Roman" w:eastAsia="Times New Roman" w:cs="Times New Roman"/>
                      <w:spacing w:val="-3"/>
                      <w:sz w:val="18"/>
                      <w:szCs w:val="18"/>
                    </w:rPr>
                    <w:t xml:space="preserve">4 </w:t>
                  </w:r>
                  <w:r>
                    <w:rPr>
                      <w:spacing w:val="-3"/>
                      <w:sz w:val="18"/>
                      <w:szCs w:val="18"/>
                    </w:rPr>
                    <w:t>户</w:t>
                  </w:r>
                  <w:r>
                    <w:rPr>
                      <w:spacing w:val="-26"/>
                      <w:sz w:val="18"/>
                      <w:szCs w:val="18"/>
                    </w:rPr>
                    <w:t xml:space="preserve"> </w:t>
                  </w:r>
                  <w:r>
                    <w:rPr>
                      <w:rFonts w:ascii="Times New Roman" w:hAnsi="Times New Roman" w:eastAsia="Times New Roman" w:cs="Times New Roman"/>
                      <w:spacing w:val="-3"/>
                      <w:sz w:val="18"/>
                      <w:szCs w:val="18"/>
                    </w:rPr>
                    <w:t>19</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5" w:line="220" w:lineRule="auto"/>
                    <w:ind w:left="193"/>
                    <w:rPr>
                      <w:sz w:val="18"/>
                      <w:szCs w:val="18"/>
                    </w:rPr>
                  </w:pPr>
                  <w:r>
                    <w:rPr>
                      <w:rFonts w:ascii="Times New Roman" w:hAnsi="Times New Roman" w:eastAsia="Times New Roman" w:cs="Times New Roman"/>
                      <w:spacing w:val="-1"/>
                      <w:sz w:val="18"/>
                      <w:szCs w:val="18"/>
                    </w:rPr>
                    <w:t>22#</w:t>
                  </w:r>
                  <w:r>
                    <w:rPr>
                      <w:spacing w:val="-1"/>
                      <w:sz w:val="18"/>
                      <w:szCs w:val="18"/>
                    </w:rPr>
                    <w:t>居民点</w:t>
                  </w:r>
                </w:p>
              </w:tc>
              <w:tc>
                <w:tcPr>
                  <w:tcW w:w="754" w:type="dxa"/>
                  <w:vAlign w:val="top"/>
                </w:tcPr>
                <w:p>
                  <w:pPr>
                    <w:pStyle w:val="6"/>
                    <w:spacing w:before="85" w:line="220" w:lineRule="auto"/>
                    <w:ind w:left="295"/>
                    <w:rPr>
                      <w:sz w:val="18"/>
                      <w:szCs w:val="18"/>
                    </w:rPr>
                  </w:pPr>
                  <w:r>
                    <w:rPr>
                      <w:sz w:val="18"/>
                      <w:szCs w:val="18"/>
                    </w:rPr>
                    <w:t>东</w:t>
                  </w:r>
                </w:p>
              </w:tc>
              <w:tc>
                <w:tcPr>
                  <w:tcW w:w="921" w:type="dxa"/>
                  <w:vAlign w:val="top"/>
                </w:tcPr>
                <w:p>
                  <w:pPr>
                    <w:spacing w:before="11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394-400</w:t>
                  </w:r>
                </w:p>
              </w:tc>
              <w:tc>
                <w:tcPr>
                  <w:tcW w:w="1070" w:type="dxa"/>
                  <w:vAlign w:val="top"/>
                </w:tcPr>
                <w:p>
                  <w:pPr>
                    <w:spacing w:before="118"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107.246572</w:t>
                  </w:r>
                </w:p>
              </w:tc>
              <w:tc>
                <w:tcPr>
                  <w:tcW w:w="981" w:type="dxa"/>
                  <w:vAlign w:val="top"/>
                </w:tcPr>
                <w:p>
                  <w:pPr>
                    <w:spacing w:before="118" w:line="186"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31.441186</w:t>
                  </w:r>
                </w:p>
              </w:tc>
              <w:tc>
                <w:tcPr>
                  <w:tcW w:w="2212" w:type="dxa"/>
                  <w:vAlign w:val="top"/>
                </w:tcPr>
                <w:p>
                  <w:pPr>
                    <w:pStyle w:val="6"/>
                    <w:spacing w:before="85" w:line="220" w:lineRule="auto"/>
                    <w:ind w:left="390"/>
                    <w:rPr>
                      <w:sz w:val="18"/>
                      <w:szCs w:val="18"/>
                    </w:rPr>
                  </w:pPr>
                  <w:r>
                    <w:rPr>
                      <w:spacing w:val="-2"/>
                      <w:sz w:val="18"/>
                      <w:szCs w:val="18"/>
                    </w:rPr>
                    <w:t>散户居民</w:t>
                  </w:r>
                  <w:r>
                    <w:rPr>
                      <w:spacing w:val="-39"/>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40"/>
                      <w:sz w:val="18"/>
                      <w:szCs w:val="18"/>
                    </w:rPr>
                    <w:t xml:space="preserve"> </w:t>
                  </w:r>
                  <w:r>
                    <w:rPr>
                      <w:rFonts w:ascii="Times New Roman" w:hAnsi="Times New Roman" w:eastAsia="Times New Roman" w:cs="Times New Roman"/>
                      <w:spacing w:val="-2"/>
                      <w:sz w:val="18"/>
                      <w:szCs w:val="18"/>
                    </w:rPr>
                    <w:t>7</w:t>
                  </w:r>
                  <w:r>
                    <w:rPr>
                      <w:rFonts w:ascii="Times New Roman" w:hAnsi="Times New Roman" w:eastAsia="Times New Roman" w:cs="Times New Roman"/>
                      <w:spacing w:val="10"/>
                      <w:sz w:val="18"/>
                      <w:szCs w:val="18"/>
                    </w:rPr>
                    <w:t xml:space="preserve"> </w:t>
                  </w:r>
                  <w:r>
                    <w:rPr>
                      <w:spacing w:val="-2"/>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2" w:line="220" w:lineRule="auto"/>
                    <w:ind w:left="193"/>
                    <w:rPr>
                      <w:sz w:val="18"/>
                      <w:szCs w:val="18"/>
                    </w:rPr>
                  </w:pPr>
                  <w:r>
                    <w:rPr>
                      <w:rFonts w:ascii="Times New Roman" w:hAnsi="Times New Roman" w:eastAsia="Times New Roman" w:cs="Times New Roman"/>
                      <w:spacing w:val="-1"/>
                      <w:sz w:val="18"/>
                      <w:szCs w:val="18"/>
                    </w:rPr>
                    <w:t>23#</w:t>
                  </w:r>
                  <w:r>
                    <w:rPr>
                      <w:spacing w:val="-1"/>
                      <w:sz w:val="18"/>
                      <w:szCs w:val="18"/>
                    </w:rPr>
                    <w:t>居民点</w:t>
                  </w:r>
                </w:p>
              </w:tc>
              <w:tc>
                <w:tcPr>
                  <w:tcW w:w="754" w:type="dxa"/>
                  <w:vAlign w:val="top"/>
                </w:tcPr>
                <w:p>
                  <w:pPr>
                    <w:pStyle w:val="6"/>
                    <w:spacing w:before="82" w:line="220" w:lineRule="auto"/>
                    <w:ind w:left="205"/>
                    <w:rPr>
                      <w:sz w:val="18"/>
                      <w:szCs w:val="18"/>
                    </w:rPr>
                  </w:pPr>
                  <w:r>
                    <w:rPr>
                      <w:spacing w:val="-4"/>
                      <w:sz w:val="18"/>
                      <w:szCs w:val="18"/>
                    </w:rPr>
                    <w:t>东南</w:t>
                  </w:r>
                </w:p>
              </w:tc>
              <w:tc>
                <w:tcPr>
                  <w:tcW w:w="921" w:type="dxa"/>
                  <w:vAlign w:val="top"/>
                </w:tcPr>
                <w:p>
                  <w:pPr>
                    <w:spacing w:before="11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388-396</w:t>
                  </w:r>
                </w:p>
              </w:tc>
              <w:tc>
                <w:tcPr>
                  <w:tcW w:w="1070" w:type="dxa"/>
                  <w:vAlign w:val="top"/>
                </w:tcPr>
                <w:p>
                  <w:pPr>
                    <w:spacing w:before="118"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107.245810</w:t>
                  </w:r>
                </w:p>
              </w:tc>
              <w:tc>
                <w:tcPr>
                  <w:tcW w:w="981" w:type="dxa"/>
                  <w:vAlign w:val="top"/>
                </w:tcPr>
                <w:p>
                  <w:pPr>
                    <w:spacing w:before="118"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31.439996</w:t>
                  </w:r>
                </w:p>
              </w:tc>
              <w:tc>
                <w:tcPr>
                  <w:tcW w:w="2212" w:type="dxa"/>
                  <w:vAlign w:val="top"/>
                </w:tcPr>
                <w:p>
                  <w:pPr>
                    <w:pStyle w:val="6"/>
                    <w:spacing w:before="82" w:line="220" w:lineRule="auto"/>
                    <w:ind w:left="390"/>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9" w:type="dxa"/>
                  <w:vMerge w:val="continue"/>
                  <w:tcBorders>
                    <w:top w:val="nil"/>
                    <w:bottom w:val="nil"/>
                  </w:tcBorders>
                  <w:vAlign w:val="top"/>
                </w:tcPr>
                <w:p>
                  <w:pPr>
                    <w:rPr>
                      <w:rFonts w:ascii="Arial"/>
                      <w:sz w:val="21"/>
                    </w:rPr>
                  </w:pPr>
                </w:p>
              </w:tc>
              <w:tc>
                <w:tcPr>
                  <w:tcW w:w="1197" w:type="dxa"/>
                  <w:vAlign w:val="top"/>
                </w:tcPr>
                <w:p>
                  <w:pPr>
                    <w:pStyle w:val="6"/>
                    <w:spacing w:before="83" w:line="220" w:lineRule="auto"/>
                    <w:ind w:left="193"/>
                    <w:rPr>
                      <w:sz w:val="18"/>
                      <w:szCs w:val="18"/>
                    </w:rPr>
                  </w:pPr>
                  <w:r>
                    <w:rPr>
                      <w:rFonts w:ascii="Times New Roman" w:hAnsi="Times New Roman" w:eastAsia="Times New Roman" w:cs="Times New Roman"/>
                      <w:spacing w:val="-1"/>
                      <w:sz w:val="18"/>
                      <w:szCs w:val="18"/>
                    </w:rPr>
                    <w:t>24#</w:t>
                  </w:r>
                  <w:r>
                    <w:rPr>
                      <w:spacing w:val="-1"/>
                      <w:sz w:val="18"/>
                      <w:szCs w:val="18"/>
                    </w:rPr>
                    <w:t>居民点</w:t>
                  </w:r>
                </w:p>
              </w:tc>
              <w:tc>
                <w:tcPr>
                  <w:tcW w:w="754" w:type="dxa"/>
                  <w:vAlign w:val="top"/>
                </w:tcPr>
                <w:p>
                  <w:pPr>
                    <w:pStyle w:val="6"/>
                    <w:spacing w:before="82" w:line="220" w:lineRule="auto"/>
                    <w:ind w:left="205"/>
                    <w:rPr>
                      <w:sz w:val="18"/>
                      <w:szCs w:val="18"/>
                    </w:rPr>
                  </w:pPr>
                  <w:r>
                    <w:rPr>
                      <w:spacing w:val="-4"/>
                      <w:sz w:val="18"/>
                      <w:szCs w:val="18"/>
                    </w:rPr>
                    <w:t>东南</w:t>
                  </w:r>
                </w:p>
              </w:tc>
              <w:tc>
                <w:tcPr>
                  <w:tcW w:w="921" w:type="dxa"/>
                  <w:vAlign w:val="top"/>
                </w:tcPr>
                <w:p>
                  <w:pPr>
                    <w:spacing w:before="118" w:line="186" w:lineRule="auto"/>
                    <w:ind w:left="3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367</w:t>
                  </w:r>
                </w:p>
              </w:tc>
              <w:tc>
                <w:tcPr>
                  <w:tcW w:w="1070" w:type="dxa"/>
                  <w:vAlign w:val="top"/>
                </w:tcPr>
                <w:p>
                  <w:pPr>
                    <w:spacing w:before="118"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107.244673</w:t>
                  </w:r>
                </w:p>
              </w:tc>
              <w:tc>
                <w:tcPr>
                  <w:tcW w:w="981" w:type="dxa"/>
                  <w:vAlign w:val="top"/>
                </w:tcPr>
                <w:p>
                  <w:pPr>
                    <w:spacing w:before="118"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31.439548</w:t>
                  </w:r>
                </w:p>
              </w:tc>
              <w:tc>
                <w:tcPr>
                  <w:tcW w:w="2212" w:type="dxa"/>
                  <w:vAlign w:val="top"/>
                </w:tcPr>
                <w:p>
                  <w:pPr>
                    <w:pStyle w:val="6"/>
                    <w:spacing w:before="82" w:line="220" w:lineRule="auto"/>
                    <w:ind w:left="390"/>
                    <w:rPr>
                      <w:sz w:val="18"/>
                      <w:szCs w:val="18"/>
                    </w:rPr>
                  </w:pPr>
                  <w:r>
                    <w:rPr>
                      <w:spacing w:val="-4"/>
                      <w:sz w:val="18"/>
                      <w:szCs w:val="18"/>
                    </w:rPr>
                    <w:t>散户居民</w:t>
                  </w:r>
                  <w:r>
                    <w:rPr>
                      <w:spacing w:val="-17"/>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10"/>
                      <w:sz w:val="18"/>
                      <w:szCs w:val="18"/>
                    </w:rPr>
                    <w:t xml:space="preserve"> </w:t>
                  </w:r>
                  <w:r>
                    <w:rPr>
                      <w:spacing w:val="-4"/>
                      <w:sz w:val="18"/>
                      <w:szCs w:val="18"/>
                    </w:rPr>
                    <w:t>人</w:t>
                  </w:r>
                </w:p>
              </w:tc>
              <w:tc>
                <w:tcPr>
                  <w:tcW w:w="7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39" w:type="dxa"/>
                  <w:vMerge w:val="continue"/>
                  <w:tcBorders>
                    <w:top w:val="nil"/>
                  </w:tcBorders>
                  <w:vAlign w:val="top"/>
                </w:tcPr>
                <w:p>
                  <w:pPr>
                    <w:rPr>
                      <w:rFonts w:ascii="Arial"/>
                      <w:sz w:val="21"/>
                    </w:rPr>
                  </w:pPr>
                </w:p>
              </w:tc>
              <w:tc>
                <w:tcPr>
                  <w:tcW w:w="1197" w:type="dxa"/>
                  <w:vAlign w:val="top"/>
                </w:tcPr>
                <w:p>
                  <w:pPr>
                    <w:pStyle w:val="6"/>
                    <w:spacing w:before="83" w:line="220" w:lineRule="auto"/>
                    <w:ind w:left="193"/>
                    <w:rPr>
                      <w:sz w:val="18"/>
                      <w:szCs w:val="18"/>
                    </w:rPr>
                  </w:pPr>
                  <w:r>
                    <w:rPr>
                      <w:rFonts w:ascii="Times New Roman" w:hAnsi="Times New Roman" w:eastAsia="Times New Roman" w:cs="Times New Roman"/>
                      <w:spacing w:val="-1"/>
                      <w:sz w:val="18"/>
                      <w:szCs w:val="18"/>
                    </w:rPr>
                    <w:t>25#</w:t>
                  </w:r>
                  <w:r>
                    <w:rPr>
                      <w:spacing w:val="-1"/>
                      <w:sz w:val="18"/>
                      <w:szCs w:val="18"/>
                    </w:rPr>
                    <w:t>居民点</w:t>
                  </w:r>
                </w:p>
              </w:tc>
              <w:tc>
                <w:tcPr>
                  <w:tcW w:w="754" w:type="dxa"/>
                  <w:vAlign w:val="top"/>
                </w:tcPr>
                <w:p>
                  <w:pPr>
                    <w:pStyle w:val="6"/>
                    <w:spacing w:before="83" w:line="222" w:lineRule="auto"/>
                    <w:ind w:left="203"/>
                    <w:rPr>
                      <w:sz w:val="18"/>
                      <w:szCs w:val="18"/>
                    </w:rPr>
                  </w:pPr>
                  <w:r>
                    <w:rPr>
                      <w:spacing w:val="-3"/>
                      <w:sz w:val="18"/>
                      <w:szCs w:val="18"/>
                    </w:rPr>
                    <w:t>西南</w:t>
                  </w:r>
                </w:p>
              </w:tc>
              <w:tc>
                <w:tcPr>
                  <w:tcW w:w="921" w:type="dxa"/>
                  <w:vAlign w:val="top"/>
                </w:tcPr>
                <w:p>
                  <w:pPr>
                    <w:spacing w:before="11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339-426</w:t>
                  </w:r>
                </w:p>
              </w:tc>
              <w:tc>
                <w:tcPr>
                  <w:tcW w:w="1070" w:type="dxa"/>
                  <w:vAlign w:val="top"/>
                </w:tcPr>
                <w:p>
                  <w:pPr>
                    <w:spacing w:before="118"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107.241347</w:t>
                  </w:r>
                </w:p>
              </w:tc>
              <w:tc>
                <w:tcPr>
                  <w:tcW w:w="981" w:type="dxa"/>
                  <w:vAlign w:val="top"/>
                </w:tcPr>
                <w:p>
                  <w:pPr>
                    <w:spacing w:before="118"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31.438989</w:t>
                  </w:r>
                </w:p>
              </w:tc>
              <w:tc>
                <w:tcPr>
                  <w:tcW w:w="2212" w:type="dxa"/>
                  <w:vAlign w:val="top"/>
                </w:tcPr>
                <w:p>
                  <w:pPr>
                    <w:pStyle w:val="6"/>
                    <w:spacing w:before="82" w:line="220" w:lineRule="auto"/>
                    <w:ind w:left="345"/>
                    <w:rPr>
                      <w:sz w:val="18"/>
                      <w:szCs w:val="18"/>
                    </w:rPr>
                  </w:pPr>
                  <w:r>
                    <w:rPr>
                      <w:spacing w:val="-3"/>
                      <w:sz w:val="18"/>
                      <w:szCs w:val="18"/>
                    </w:rPr>
                    <w:t>散户居民</w:t>
                  </w:r>
                  <w:r>
                    <w:rPr>
                      <w:spacing w:val="-40"/>
                      <w:sz w:val="18"/>
                      <w:szCs w:val="18"/>
                    </w:rPr>
                    <w:t xml:space="preserve"> </w:t>
                  </w:r>
                  <w:r>
                    <w:rPr>
                      <w:rFonts w:ascii="Times New Roman" w:hAnsi="Times New Roman" w:eastAsia="Times New Roman" w:cs="Times New Roman"/>
                      <w:spacing w:val="-3"/>
                      <w:sz w:val="18"/>
                      <w:szCs w:val="18"/>
                    </w:rPr>
                    <w:t xml:space="preserve">4 </w:t>
                  </w:r>
                  <w:r>
                    <w:rPr>
                      <w:spacing w:val="-3"/>
                      <w:sz w:val="18"/>
                      <w:szCs w:val="18"/>
                    </w:rPr>
                    <w:t>户</w:t>
                  </w:r>
                  <w:r>
                    <w:rPr>
                      <w:spacing w:val="-26"/>
                      <w:sz w:val="18"/>
                      <w:szCs w:val="18"/>
                    </w:rPr>
                    <w:t xml:space="preserve"> </w:t>
                  </w:r>
                  <w:r>
                    <w:rPr>
                      <w:rFonts w:ascii="Times New Roman" w:hAnsi="Times New Roman" w:eastAsia="Times New Roman" w:cs="Times New Roman"/>
                      <w:spacing w:val="-3"/>
                      <w:sz w:val="18"/>
                      <w:szCs w:val="18"/>
                    </w:rPr>
                    <w:t>18</w:t>
                  </w:r>
                  <w:r>
                    <w:rPr>
                      <w:rFonts w:ascii="Times New Roman" w:hAnsi="Times New Roman" w:eastAsia="Times New Roman" w:cs="Times New Roman"/>
                      <w:spacing w:val="10"/>
                      <w:sz w:val="18"/>
                      <w:szCs w:val="18"/>
                    </w:rPr>
                    <w:t xml:space="preserve"> </w:t>
                  </w:r>
                  <w:r>
                    <w:rPr>
                      <w:spacing w:val="-3"/>
                      <w:sz w:val="18"/>
                      <w:szCs w:val="18"/>
                    </w:rPr>
                    <w:t>人</w:t>
                  </w:r>
                </w:p>
              </w:tc>
              <w:tc>
                <w:tcPr>
                  <w:tcW w:w="736" w:type="dxa"/>
                  <w:vMerge w:val="continue"/>
                  <w:tcBorders>
                    <w:top w:val="nil"/>
                  </w:tcBorders>
                  <w:vAlign w:val="top"/>
                </w:tcPr>
                <w:p>
                  <w:pPr>
                    <w:rPr>
                      <w:rFonts w:ascii="Arial"/>
                      <w:sz w:val="21"/>
                    </w:rPr>
                  </w:pPr>
                </w:p>
              </w:tc>
            </w:tr>
          </w:tbl>
          <w:p>
            <w:pPr>
              <w:pStyle w:val="6"/>
              <w:spacing w:before="177" w:line="220"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）声环境敏感目标</w:t>
            </w:r>
          </w:p>
          <w:p>
            <w:pPr>
              <w:pStyle w:val="6"/>
              <w:spacing w:before="194" w:line="218" w:lineRule="auto"/>
              <w:ind w:left="1048"/>
              <w:rPr>
                <w:sz w:val="24"/>
                <w:szCs w:val="24"/>
              </w:rPr>
            </w:pPr>
            <w:r>
              <w:rPr>
                <w:spacing w:val="4"/>
                <w:sz w:val="24"/>
                <w:szCs w:val="24"/>
              </w:rPr>
              <w:t>根据《环境影响评价技术导则 声环境》（</w:t>
            </w:r>
            <w:r>
              <w:rPr>
                <w:rFonts w:ascii="Times New Roman" w:hAnsi="Times New Roman" w:eastAsia="Times New Roman" w:cs="Times New Roman"/>
                <w:sz w:val="24"/>
                <w:szCs w:val="24"/>
              </w:rPr>
              <w:t>HJ</w:t>
            </w:r>
            <w:r>
              <w:rPr>
                <w:rFonts w:ascii="Times New Roman" w:hAnsi="Times New Roman" w:eastAsia="Times New Roman" w:cs="Times New Roman"/>
                <w:spacing w:val="4"/>
                <w:sz w:val="24"/>
                <w:szCs w:val="24"/>
              </w:rPr>
              <w:t>2.4-202</w:t>
            </w:r>
            <w:r>
              <w:rPr>
                <w:rFonts w:ascii="Times New Roman" w:hAnsi="Times New Roman" w:eastAsia="Times New Roman" w:cs="Times New Roman"/>
                <w:spacing w:val="3"/>
                <w:sz w:val="24"/>
                <w:szCs w:val="24"/>
              </w:rPr>
              <w:t>1</w:t>
            </w:r>
            <w:r>
              <w:rPr>
                <w:spacing w:val="13"/>
                <w:sz w:val="24"/>
                <w:szCs w:val="24"/>
              </w:rPr>
              <w:t>），</w:t>
            </w:r>
            <w:r>
              <w:rPr>
                <w:spacing w:val="3"/>
                <w:sz w:val="24"/>
                <w:szCs w:val="24"/>
              </w:rPr>
              <w:t>本次重点关注井口</w:t>
            </w:r>
          </w:p>
        </w:tc>
      </w:tr>
    </w:tbl>
    <w:p>
      <w:pPr>
        <w:pStyle w:val="2"/>
        <w:rPr>
          <w:sz w:val="21"/>
        </w:rPr>
      </w:pPr>
    </w:p>
    <w:p>
      <w:pPr>
        <w:rPr>
          <w:sz w:val="21"/>
          <w:szCs w:val="21"/>
        </w:rPr>
        <w:sectPr>
          <w:footerReference r:id="rId81" w:type="default"/>
          <w:pgSz w:w="11907" w:h="16839"/>
          <w:pgMar w:top="400" w:right="1298" w:bottom="1178"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13716" w:hRule="atLeast"/>
        </w:trPr>
        <w:tc>
          <w:tcPr>
            <w:tcW w:w="9291" w:type="dxa"/>
            <w:vAlign w:val="top"/>
          </w:tcPr>
          <w:p>
            <w:pPr>
              <w:pStyle w:val="6"/>
              <w:spacing w:before="181" w:line="219" w:lineRule="auto"/>
              <w:jc w:val="right"/>
              <w:rPr>
                <w:sz w:val="24"/>
                <w:szCs w:val="24"/>
              </w:rPr>
            </w:pPr>
            <w:r>
              <w:pict>
                <v:rect id="_x0000_s1280" o:spid="_x0000_s1280" o:spt="1" style="position:absolute;left:0pt;margin-left:22.75pt;margin-top:0.95pt;height:685.45pt;width:0.5pt;mso-position-horizontal-relative:page;mso-position-vertical-relative:page;z-index:251827200;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spacing w:val="-7"/>
                <w:sz w:val="24"/>
                <w:szCs w:val="24"/>
              </w:rPr>
              <w:t>200m</w:t>
            </w:r>
            <w:r>
              <w:rPr>
                <w:rFonts w:ascii="Times New Roman" w:hAnsi="Times New Roman" w:eastAsia="Times New Roman" w:cs="Times New Roman"/>
                <w:spacing w:val="15"/>
                <w:w w:val="101"/>
                <w:sz w:val="24"/>
                <w:szCs w:val="24"/>
              </w:rPr>
              <w:t xml:space="preserve"> </w:t>
            </w:r>
            <w:r>
              <w:rPr>
                <w:spacing w:val="-7"/>
                <w:sz w:val="24"/>
                <w:szCs w:val="24"/>
              </w:rPr>
              <w:t>范围内声环境保护目标。根据调查， 声环境保护目标分布情况详见下表</w:t>
            </w:r>
            <w:r>
              <w:rPr>
                <w:spacing w:val="-48"/>
                <w:sz w:val="24"/>
                <w:szCs w:val="24"/>
              </w:rPr>
              <w:t xml:space="preserve"> </w:t>
            </w:r>
            <w:r>
              <w:rPr>
                <w:rFonts w:ascii="Times New Roman" w:hAnsi="Times New Roman" w:eastAsia="Times New Roman" w:cs="Times New Roman"/>
                <w:spacing w:val="-8"/>
                <w:sz w:val="24"/>
                <w:szCs w:val="24"/>
              </w:rPr>
              <w:t>3.4-2</w:t>
            </w:r>
            <w:r>
              <w:rPr>
                <w:spacing w:val="-8"/>
                <w:sz w:val="24"/>
                <w:szCs w:val="24"/>
              </w:rPr>
              <w:t>。</w:t>
            </w:r>
          </w:p>
          <w:p>
            <w:pPr>
              <w:pStyle w:val="6"/>
              <w:spacing w:before="195" w:line="220" w:lineRule="auto"/>
              <w:ind w:left="2024"/>
              <w:rPr>
                <w:sz w:val="24"/>
                <w:szCs w:val="24"/>
              </w:rPr>
            </w:pPr>
            <w:r>
              <w:rPr>
                <w:spacing w:val="-1"/>
                <w:sz w:val="24"/>
                <w:szCs w:val="24"/>
                <w14:textOutline w14:w="4354" w14:cap="flat" w14:cmpd="sng">
                  <w14:solidFill>
                    <w14:srgbClr w14:val="000000"/>
                  </w14:solidFill>
                  <w14:prstDash w14:val="solid"/>
                  <w14:miter w14:val="10"/>
                </w14:textOutline>
              </w:rPr>
              <w:t>表</w:t>
            </w:r>
            <w:r>
              <w:rPr>
                <w:spacing w:val="-47"/>
                <w:sz w:val="24"/>
                <w:szCs w:val="24"/>
              </w:rPr>
              <w:t xml:space="preserve"> </w:t>
            </w:r>
            <w:r>
              <w:rPr>
                <w:rFonts w:ascii="Times New Roman" w:hAnsi="Times New Roman" w:eastAsia="Times New Roman" w:cs="Times New Roman"/>
                <w:b/>
                <w:bCs/>
                <w:spacing w:val="-1"/>
                <w:sz w:val="24"/>
                <w:szCs w:val="24"/>
              </w:rPr>
              <w:t xml:space="preserve">3.4-2  </w:t>
            </w:r>
            <w:r>
              <w:rPr>
                <w:spacing w:val="-1"/>
                <w:sz w:val="24"/>
                <w:szCs w:val="24"/>
                <w14:textOutline w14:w="4354" w14:cap="flat" w14:cmpd="sng">
                  <w14:solidFill>
                    <w14:srgbClr w14:val="000000"/>
                  </w14:solidFill>
                  <w14:prstDash w14:val="solid"/>
                  <w14:miter w14:val="10"/>
                </w14:textOutline>
              </w:rPr>
              <w:t>井场</w:t>
            </w:r>
            <w:r>
              <w:rPr>
                <w:spacing w:val="-51"/>
                <w:sz w:val="24"/>
                <w:szCs w:val="24"/>
              </w:rPr>
              <w:t xml:space="preserve"> </w:t>
            </w:r>
            <w:r>
              <w:rPr>
                <w:rFonts w:ascii="Times New Roman" w:hAnsi="Times New Roman" w:eastAsia="Times New Roman" w:cs="Times New Roman"/>
                <w:b/>
                <w:bCs/>
                <w:spacing w:val="-1"/>
                <w:sz w:val="24"/>
                <w:szCs w:val="24"/>
              </w:rPr>
              <w:t>200m</w:t>
            </w:r>
            <w:r>
              <w:rPr>
                <w:rFonts w:ascii="Times New Roman" w:hAnsi="Times New Roman" w:eastAsia="Times New Roman" w:cs="Times New Roman"/>
                <w:b/>
                <w:bCs/>
                <w:spacing w:val="16"/>
                <w:w w:val="101"/>
                <w:sz w:val="24"/>
                <w:szCs w:val="24"/>
              </w:rPr>
              <w:t xml:space="preserve"> </w:t>
            </w:r>
            <w:r>
              <w:rPr>
                <w:spacing w:val="-1"/>
                <w:sz w:val="24"/>
                <w:szCs w:val="24"/>
                <w14:textOutline w14:w="4354" w14:cap="flat" w14:cmpd="sng">
                  <w14:solidFill>
                    <w14:srgbClr w14:val="000000"/>
                  </w14:solidFill>
                  <w14:prstDash w14:val="solid"/>
                  <w14:miter w14:val="10"/>
                </w14:textOutline>
              </w:rPr>
              <w:t>范围内声环境主要保护目标一览表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708"/>
              <w:gridCol w:w="852"/>
              <w:gridCol w:w="1132"/>
              <w:gridCol w:w="1276"/>
              <w:gridCol w:w="1984"/>
              <w:gridCol w:w="15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08" w:type="dxa"/>
                  <w:vMerge w:val="restart"/>
                  <w:tcBorders>
                    <w:bottom w:val="nil"/>
                  </w:tcBorders>
                  <w:vAlign w:val="top"/>
                </w:tcPr>
                <w:p>
                  <w:pPr>
                    <w:pStyle w:val="6"/>
                    <w:spacing w:before="141" w:line="230" w:lineRule="auto"/>
                    <w:ind w:left="412" w:right="191" w:hanging="214"/>
                    <w:rPr>
                      <w:sz w:val="18"/>
                      <w:szCs w:val="18"/>
                    </w:rPr>
                  </w:pPr>
                  <w:r>
                    <w:rPr>
                      <w:spacing w:val="-2"/>
                      <w:sz w:val="18"/>
                      <w:szCs w:val="18"/>
                    </w:rPr>
                    <w:t>环境保护</w:t>
                  </w:r>
                  <w:r>
                    <w:rPr>
                      <w:sz w:val="18"/>
                      <w:szCs w:val="18"/>
                    </w:rPr>
                    <w:t xml:space="preserve"> </w:t>
                  </w:r>
                  <w:r>
                    <w:rPr>
                      <w:spacing w:val="-11"/>
                      <w:sz w:val="18"/>
                      <w:szCs w:val="18"/>
                    </w:rPr>
                    <w:t>目标</w:t>
                  </w:r>
                </w:p>
              </w:tc>
              <w:tc>
                <w:tcPr>
                  <w:tcW w:w="708" w:type="dxa"/>
                  <w:vMerge w:val="restart"/>
                  <w:tcBorders>
                    <w:bottom w:val="nil"/>
                  </w:tcBorders>
                  <w:vAlign w:val="top"/>
                </w:tcPr>
                <w:p>
                  <w:pPr>
                    <w:pStyle w:val="6"/>
                    <w:spacing w:before="257" w:line="221" w:lineRule="auto"/>
                    <w:ind w:left="176"/>
                    <w:rPr>
                      <w:sz w:val="18"/>
                      <w:szCs w:val="18"/>
                    </w:rPr>
                  </w:pPr>
                  <w:r>
                    <w:rPr>
                      <w:spacing w:val="-2"/>
                      <w:sz w:val="18"/>
                      <w:szCs w:val="18"/>
                    </w:rPr>
                    <w:t>方位</w:t>
                  </w:r>
                </w:p>
              </w:tc>
              <w:tc>
                <w:tcPr>
                  <w:tcW w:w="852" w:type="dxa"/>
                  <w:vMerge w:val="restart"/>
                  <w:tcBorders>
                    <w:bottom w:val="nil"/>
                  </w:tcBorders>
                  <w:vAlign w:val="top"/>
                </w:tcPr>
                <w:p>
                  <w:pPr>
                    <w:pStyle w:val="6"/>
                    <w:spacing w:before="143" w:line="236" w:lineRule="auto"/>
                    <w:ind w:left="153" w:right="149" w:firstLine="9"/>
                    <w:rPr>
                      <w:rFonts w:ascii="Times New Roman" w:hAnsi="Times New Roman" w:eastAsia="Times New Roman" w:cs="Times New Roman"/>
                      <w:sz w:val="18"/>
                      <w:szCs w:val="18"/>
                    </w:rPr>
                  </w:pPr>
                  <w:r>
                    <w:rPr>
                      <w:spacing w:val="-4"/>
                      <w:sz w:val="18"/>
                      <w:szCs w:val="18"/>
                    </w:rPr>
                    <w:t>与井口</w:t>
                  </w:r>
                  <w:r>
                    <w:rPr>
                      <w:sz w:val="18"/>
                      <w:szCs w:val="18"/>
                    </w:rPr>
                    <w:t xml:space="preserve"> </w:t>
                  </w:r>
                  <w:r>
                    <w:rPr>
                      <w:spacing w:val="-2"/>
                      <w:sz w:val="18"/>
                      <w:szCs w:val="18"/>
                    </w:rPr>
                    <w:t>距离</w:t>
                  </w:r>
                  <w:r>
                    <w:rPr>
                      <w:rFonts w:ascii="Times New Roman" w:hAnsi="Times New Roman" w:eastAsia="Times New Roman" w:cs="Times New Roman"/>
                      <w:spacing w:val="-2"/>
                      <w:sz w:val="18"/>
                      <w:szCs w:val="18"/>
                    </w:rPr>
                    <w:t>/m</w:t>
                  </w:r>
                </w:p>
              </w:tc>
              <w:tc>
                <w:tcPr>
                  <w:tcW w:w="2408" w:type="dxa"/>
                  <w:gridSpan w:val="2"/>
                  <w:vAlign w:val="top"/>
                </w:tcPr>
                <w:p>
                  <w:pPr>
                    <w:pStyle w:val="6"/>
                    <w:spacing w:before="85" w:line="220" w:lineRule="auto"/>
                    <w:ind w:left="938"/>
                    <w:rPr>
                      <w:sz w:val="18"/>
                      <w:szCs w:val="18"/>
                    </w:rPr>
                  </w:pPr>
                  <w:r>
                    <w:rPr>
                      <w:spacing w:val="-2"/>
                      <w:sz w:val="18"/>
                      <w:szCs w:val="18"/>
                    </w:rPr>
                    <w:t>经纬度</w:t>
                  </w:r>
                </w:p>
              </w:tc>
              <w:tc>
                <w:tcPr>
                  <w:tcW w:w="1984" w:type="dxa"/>
                  <w:vMerge w:val="restart"/>
                  <w:tcBorders>
                    <w:bottom w:val="nil"/>
                  </w:tcBorders>
                  <w:vAlign w:val="top"/>
                </w:tcPr>
                <w:p>
                  <w:pPr>
                    <w:pStyle w:val="6"/>
                    <w:spacing w:before="257" w:line="220" w:lineRule="auto"/>
                    <w:ind w:left="367"/>
                    <w:rPr>
                      <w:sz w:val="18"/>
                      <w:szCs w:val="18"/>
                    </w:rPr>
                  </w:pPr>
                  <w:r>
                    <w:rPr>
                      <w:spacing w:val="-2"/>
                      <w:sz w:val="18"/>
                      <w:szCs w:val="18"/>
                    </w:rPr>
                    <w:t>影响规模、功能</w:t>
                  </w:r>
                </w:p>
              </w:tc>
              <w:tc>
                <w:tcPr>
                  <w:tcW w:w="1550" w:type="dxa"/>
                  <w:vMerge w:val="restart"/>
                  <w:tcBorders>
                    <w:bottom w:val="nil"/>
                  </w:tcBorders>
                  <w:vAlign w:val="top"/>
                </w:tcPr>
                <w:p>
                  <w:pPr>
                    <w:pStyle w:val="6"/>
                    <w:spacing w:before="257" w:line="220" w:lineRule="auto"/>
                    <w:ind w:left="418"/>
                    <w:rPr>
                      <w:sz w:val="18"/>
                      <w:szCs w:val="18"/>
                    </w:rPr>
                  </w:pPr>
                  <w:r>
                    <w:rPr>
                      <w:spacing w:val="-2"/>
                      <w:sz w:val="18"/>
                      <w:szCs w:val="18"/>
                    </w:rPr>
                    <w:t>影响因素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08"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1132" w:type="dxa"/>
                  <w:vAlign w:val="top"/>
                </w:tcPr>
                <w:p>
                  <w:pPr>
                    <w:pStyle w:val="6"/>
                    <w:spacing w:before="79" w:line="220" w:lineRule="auto"/>
                    <w:ind w:left="355"/>
                    <w:rPr>
                      <w:rFonts w:ascii="Times New Roman" w:hAnsi="Times New Roman" w:eastAsia="Times New Roman" w:cs="Times New Roman"/>
                      <w:sz w:val="18"/>
                      <w:szCs w:val="18"/>
                    </w:rPr>
                  </w:pPr>
                  <w:r>
                    <w:rPr>
                      <w:spacing w:val="19"/>
                      <w:sz w:val="18"/>
                      <w:szCs w:val="18"/>
                    </w:rPr>
                    <w:t>经度</w:t>
                  </w:r>
                  <w:r>
                    <w:rPr>
                      <w:rFonts w:ascii="Times New Roman" w:hAnsi="Times New Roman" w:eastAsia="Times New Roman" w:cs="Times New Roman"/>
                      <w:spacing w:val="19"/>
                      <w:sz w:val="18"/>
                      <w:szCs w:val="18"/>
                    </w:rPr>
                    <w:t>°</w:t>
                  </w:r>
                </w:p>
              </w:tc>
              <w:tc>
                <w:tcPr>
                  <w:tcW w:w="1276" w:type="dxa"/>
                  <w:vAlign w:val="top"/>
                </w:tcPr>
                <w:p>
                  <w:pPr>
                    <w:pStyle w:val="6"/>
                    <w:spacing w:before="79" w:line="220" w:lineRule="auto"/>
                    <w:ind w:left="427"/>
                    <w:rPr>
                      <w:rFonts w:ascii="Times New Roman" w:hAnsi="Times New Roman" w:eastAsia="Times New Roman" w:cs="Times New Roman"/>
                      <w:sz w:val="18"/>
                      <w:szCs w:val="18"/>
                    </w:rPr>
                  </w:pPr>
                  <w:r>
                    <w:rPr>
                      <w:spacing w:val="20"/>
                      <w:sz w:val="18"/>
                      <w:szCs w:val="18"/>
                    </w:rPr>
                    <w:t>纬度</w:t>
                  </w:r>
                  <w:r>
                    <w:rPr>
                      <w:rFonts w:ascii="Times New Roman" w:hAnsi="Times New Roman" w:eastAsia="Times New Roman" w:cs="Times New Roman"/>
                      <w:spacing w:val="20"/>
                      <w:sz w:val="18"/>
                      <w:szCs w:val="18"/>
                    </w:rPr>
                    <w:t>°</w:t>
                  </w:r>
                </w:p>
              </w:tc>
              <w:tc>
                <w:tcPr>
                  <w:tcW w:w="1984" w:type="dxa"/>
                  <w:vMerge w:val="continue"/>
                  <w:tcBorders>
                    <w:top w:val="nil"/>
                  </w:tcBorders>
                  <w:vAlign w:val="top"/>
                </w:tcPr>
                <w:p>
                  <w:pPr>
                    <w:rPr>
                      <w:rFonts w:ascii="Arial"/>
                      <w:sz w:val="21"/>
                    </w:rPr>
                  </w:pPr>
                </w:p>
              </w:tc>
              <w:tc>
                <w:tcPr>
                  <w:tcW w:w="15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08" w:type="dxa"/>
                  <w:vAlign w:val="top"/>
                </w:tcPr>
                <w:p>
                  <w:pPr>
                    <w:pStyle w:val="6"/>
                    <w:spacing w:before="79" w:line="220" w:lineRule="auto"/>
                    <w:ind w:left="195"/>
                    <w:rPr>
                      <w:sz w:val="18"/>
                      <w:szCs w:val="18"/>
                    </w:rPr>
                  </w:pPr>
                  <w:r>
                    <w:rPr>
                      <w:rFonts w:ascii="Times New Roman" w:hAnsi="Times New Roman" w:eastAsia="Times New Roman" w:cs="Times New Roman"/>
                      <w:spacing w:val="-1"/>
                      <w:sz w:val="18"/>
                      <w:szCs w:val="18"/>
                    </w:rPr>
                    <w:t>2#</w:t>
                  </w:r>
                  <w:r>
                    <w:rPr>
                      <w:spacing w:val="-1"/>
                      <w:sz w:val="18"/>
                      <w:szCs w:val="18"/>
                    </w:rPr>
                    <w:t>居民点</w:t>
                  </w:r>
                </w:p>
              </w:tc>
              <w:tc>
                <w:tcPr>
                  <w:tcW w:w="708" w:type="dxa"/>
                  <w:vAlign w:val="top"/>
                </w:tcPr>
                <w:p>
                  <w:pPr>
                    <w:pStyle w:val="6"/>
                    <w:spacing w:before="79" w:line="223" w:lineRule="auto"/>
                    <w:ind w:left="269"/>
                    <w:rPr>
                      <w:sz w:val="18"/>
                      <w:szCs w:val="18"/>
                    </w:rPr>
                  </w:pPr>
                  <w:r>
                    <w:rPr>
                      <w:sz w:val="18"/>
                      <w:szCs w:val="18"/>
                    </w:rPr>
                    <w:t>北</w:t>
                  </w:r>
                </w:p>
              </w:tc>
              <w:tc>
                <w:tcPr>
                  <w:tcW w:w="852" w:type="dxa"/>
                  <w:vAlign w:val="top"/>
                </w:tcPr>
                <w:p>
                  <w:pPr>
                    <w:spacing w:before="115" w:line="186"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189</w:t>
                  </w:r>
                </w:p>
              </w:tc>
              <w:tc>
                <w:tcPr>
                  <w:tcW w:w="1132" w:type="dxa"/>
                  <w:vAlign w:val="top"/>
                </w:tcPr>
                <w:p>
                  <w:pPr>
                    <w:spacing w:before="115"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107.241894</w:t>
                  </w:r>
                </w:p>
              </w:tc>
              <w:tc>
                <w:tcPr>
                  <w:tcW w:w="1276" w:type="dxa"/>
                  <w:vAlign w:val="top"/>
                </w:tcPr>
                <w:p>
                  <w:pPr>
                    <w:spacing w:before="115" w:line="186"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31.443776</w:t>
                  </w:r>
                </w:p>
              </w:tc>
              <w:tc>
                <w:tcPr>
                  <w:tcW w:w="1984" w:type="dxa"/>
                  <w:vAlign w:val="top"/>
                </w:tcPr>
                <w:p>
                  <w:pPr>
                    <w:pStyle w:val="6"/>
                    <w:spacing w:before="79" w:line="220" w:lineRule="auto"/>
                    <w:ind w:left="275"/>
                    <w:rPr>
                      <w:sz w:val="18"/>
                      <w:szCs w:val="18"/>
                    </w:rPr>
                  </w:pPr>
                  <w:r>
                    <w:rPr>
                      <w:spacing w:val="-4"/>
                      <w:sz w:val="18"/>
                      <w:szCs w:val="18"/>
                    </w:rPr>
                    <w:t>散户居民</w:t>
                  </w:r>
                  <w:r>
                    <w:rPr>
                      <w:spacing w:val="-22"/>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39"/>
                      <w:sz w:val="18"/>
                      <w:szCs w:val="18"/>
                    </w:rPr>
                    <w:t xml:space="preserve"> </w:t>
                  </w:r>
                  <w:r>
                    <w:rPr>
                      <w:rFonts w:ascii="Times New Roman" w:hAnsi="Times New Roman" w:eastAsia="Times New Roman" w:cs="Times New Roman"/>
                      <w:spacing w:val="-4"/>
                      <w:sz w:val="18"/>
                      <w:szCs w:val="18"/>
                    </w:rPr>
                    <w:t>3</w:t>
                  </w:r>
                  <w:r>
                    <w:rPr>
                      <w:rFonts w:ascii="Times New Roman" w:hAnsi="Times New Roman" w:eastAsia="Times New Roman" w:cs="Times New Roman"/>
                      <w:spacing w:val="10"/>
                      <w:sz w:val="18"/>
                      <w:szCs w:val="18"/>
                    </w:rPr>
                    <w:t xml:space="preserve"> </w:t>
                  </w:r>
                  <w:r>
                    <w:rPr>
                      <w:spacing w:val="-4"/>
                      <w:sz w:val="18"/>
                      <w:szCs w:val="18"/>
                    </w:rPr>
                    <w:t>人</w:t>
                  </w:r>
                </w:p>
              </w:tc>
              <w:tc>
                <w:tcPr>
                  <w:tcW w:w="1550" w:type="dxa"/>
                  <w:vMerge w:val="restart"/>
                  <w:tcBorders>
                    <w:bottom w:val="nil"/>
                  </w:tcBorders>
                  <w:vAlign w:val="top"/>
                </w:tcPr>
                <w:p>
                  <w:pPr>
                    <w:spacing w:line="251" w:lineRule="auto"/>
                    <w:rPr>
                      <w:rFonts w:ascii="Arial"/>
                      <w:sz w:val="21"/>
                    </w:rPr>
                  </w:pPr>
                </w:p>
                <w:p>
                  <w:pPr>
                    <w:pStyle w:val="6"/>
                    <w:spacing w:before="59" w:line="231" w:lineRule="auto"/>
                    <w:ind w:left="607" w:right="144" w:hanging="460"/>
                    <w:rPr>
                      <w:sz w:val="18"/>
                      <w:szCs w:val="18"/>
                    </w:rPr>
                  </w:pPr>
                  <w:r>
                    <w:rPr>
                      <w:spacing w:val="-2"/>
                      <w:sz w:val="18"/>
                      <w:szCs w:val="18"/>
                    </w:rPr>
                    <w:t>钻前施工及钻井</w:t>
                  </w:r>
                  <w:r>
                    <w:rPr>
                      <w:spacing w:val="5"/>
                      <w:sz w:val="18"/>
                      <w:szCs w:val="18"/>
                    </w:rPr>
                    <w:t xml:space="preserve"> </w:t>
                  </w:r>
                  <w:r>
                    <w:rPr>
                      <w:spacing w:val="-4"/>
                      <w:sz w:val="18"/>
                      <w:szCs w:val="18"/>
                    </w:rPr>
                    <w:t>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8" w:type="dxa"/>
                  <w:vAlign w:val="top"/>
                </w:tcPr>
                <w:p>
                  <w:pPr>
                    <w:pStyle w:val="6"/>
                    <w:spacing w:before="81" w:line="220" w:lineRule="auto"/>
                    <w:ind w:left="199"/>
                    <w:rPr>
                      <w:sz w:val="18"/>
                      <w:szCs w:val="18"/>
                    </w:rPr>
                  </w:pPr>
                  <w:r>
                    <w:rPr>
                      <w:rFonts w:ascii="Times New Roman" w:hAnsi="Times New Roman" w:eastAsia="Times New Roman" w:cs="Times New Roman"/>
                      <w:spacing w:val="-1"/>
                      <w:sz w:val="18"/>
                      <w:szCs w:val="18"/>
                    </w:rPr>
                    <w:t>3#</w:t>
                  </w:r>
                  <w:r>
                    <w:rPr>
                      <w:spacing w:val="-1"/>
                      <w:sz w:val="18"/>
                      <w:szCs w:val="18"/>
                    </w:rPr>
                    <w:t>居民点</w:t>
                  </w:r>
                </w:p>
              </w:tc>
              <w:tc>
                <w:tcPr>
                  <w:tcW w:w="708" w:type="dxa"/>
                  <w:vAlign w:val="top"/>
                </w:tcPr>
                <w:p>
                  <w:pPr>
                    <w:pStyle w:val="6"/>
                    <w:spacing w:before="81" w:line="223" w:lineRule="auto"/>
                    <w:ind w:left="269"/>
                    <w:rPr>
                      <w:sz w:val="18"/>
                      <w:szCs w:val="18"/>
                    </w:rPr>
                  </w:pPr>
                  <w:r>
                    <w:rPr>
                      <w:sz w:val="18"/>
                      <w:szCs w:val="18"/>
                    </w:rPr>
                    <w:t>北</w:t>
                  </w:r>
                </w:p>
              </w:tc>
              <w:tc>
                <w:tcPr>
                  <w:tcW w:w="852" w:type="dxa"/>
                  <w:vAlign w:val="top"/>
                </w:tcPr>
                <w:p>
                  <w:pPr>
                    <w:spacing w:before="116" w:line="186" w:lineRule="auto"/>
                    <w:ind w:left="1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166-</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6"/>
                      <w:sz w:val="18"/>
                      <w:szCs w:val="18"/>
                    </w:rPr>
                    <w:t>169</w:t>
                  </w:r>
                </w:p>
              </w:tc>
              <w:tc>
                <w:tcPr>
                  <w:tcW w:w="1132" w:type="dxa"/>
                  <w:vAlign w:val="top"/>
                </w:tcPr>
                <w:p>
                  <w:pPr>
                    <w:spacing w:before="116"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107.242795</w:t>
                  </w:r>
                </w:p>
              </w:tc>
              <w:tc>
                <w:tcPr>
                  <w:tcW w:w="1276" w:type="dxa"/>
                  <w:vAlign w:val="top"/>
                </w:tcPr>
                <w:p>
                  <w:pPr>
                    <w:spacing w:before="116" w:line="186"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31.443566</w:t>
                  </w:r>
                </w:p>
              </w:tc>
              <w:tc>
                <w:tcPr>
                  <w:tcW w:w="1984" w:type="dxa"/>
                  <w:vAlign w:val="top"/>
                </w:tcPr>
                <w:p>
                  <w:pPr>
                    <w:pStyle w:val="6"/>
                    <w:spacing w:before="80" w:line="220" w:lineRule="auto"/>
                    <w:ind w:left="275"/>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155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08" w:type="dxa"/>
                  <w:vAlign w:val="top"/>
                </w:tcPr>
                <w:p>
                  <w:pPr>
                    <w:pStyle w:val="6"/>
                    <w:spacing w:before="84" w:line="220" w:lineRule="auto"/>
                    <w:ind w:left="202"/>
                    <w:rPr>
                      <w:sz w:val="18"/>
                      <w:szCs w:val="18"/>
                    </w:rPr>
                  </w:pPr>
                  <w:r>
                    <w:rPr>
                      <w:rFonts w:ascii="Times New Roman" w:hAnsi="Times New Roman" w:eastAsia="Times New Roman" w:cs="Times New Roman"/>
                      <w:spacing w:val="-2"/>
                      <w:sz w:val="18"/>
                      <w:szCs w:val="18"/>
                    </w:rPr>
                    <w:t>8#</w:t>
                  </w:r>
                  <w:r>
                    <w:rPr>
                      <w:spacing w:val="-2"/>
                      <w:sz w:val="18"/>
                      <w:szCs w:val="18"/>
                    </w:rPr>
                    <w:t>居民点</w:t>
                  </w:r>
                </w:p>
              </w:tc>
              <w:tc>
                <w:tcPr>
                  <w:tcW w:w="708" w:type="dxa"/>
                  <w:vAlign w:val="top"/>
                </w:tcPr>
                <w:p>
                  <w:pPr>
                    <w:pStyle w:val="6"/>
                    <w:spacing w:before="84" w:line="222" w:lineRule="auto"/>
                    <w:ind w:left="179"/>
                    <w:rPr>
                      <w:sz w:val="18"/>
                      <w:szCs w:val="18"/>
                    </w:rPr>
                  </w:pPr>
                  <w:r>
                    <w:rPr>
                      <w:spacing w:val="-3"/>
                      <w:sz w:val="18"/>
                      <w:szCs w:val="18"/>
                    </w:rPr>
                    <w:t>西南</w:t>
                  </w:r>
                </w:p>
              </w:tc>
              <w:tc>
                <w:tcPr>
                  <w:tcW w:w="852" w:type="dxa"/>
                  <w:vAlign w:val="top"/>
                </w:tcPr>
                <w:p>
                  <w:pPr>
                    <w:spacing w:before="117" w:line="186" w:lineRule="auto"/>
                    <w:ind w:left="1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169-224</w:t>
                  </w:r>
                </w:p>
              </w:tc>
              <w:tc>
                <w:tcPr>
                  <w:tcW w:w="1132" w:type="dxa"/>
                  <w:vAlign w:val="top"/>
                </w:tcPr>
                <w:p>
                  <w:pPr>
                    <w:spacing w:before="117"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107.242141</w:t>
                  </w:r>
                </w:p>
              </w:tc>
              <w:tc>
                <w:tcPr>
                  <w:tcW w:w="1276" w:type="dxa"/>
                  <w:vAlign w:val="top"/>
                </w:tcPr>
                <w:p>
                  <w:pPr>
                    <w:spacing w:before="117" w:line="186"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31.443767</w:t>
                  </w:r>
                </w:p>
              </w:tc>
              <w:tc>
                <w:tcPr>
                  <w:tcW w:w="1984" w:type="dxa"/>
                  <w:vAlign w:val="top"/>
                </w:tcPr>
                <w:p>
                  <w:pPr>
                    <w:pStyle w:val="6"/>
                    <w:spacing w:before="83" w:line="220" w:lineRule="auto"/>
                    <w:ind w:left="230"/>
                    <w:rPr>
                      <w:sz w:val="18"/>
                      <w:szCs w:val="18"/>
                    </w:rPr>
                  </w:pPr>
                  <w:r>
                    <w:rPr>
                      <w:spacing w:val="-4"/>
                      <w:sz w:val="18"/>
                      <w:szCs w:val="18"/>
                    </w:rPr>
                    <w:t>散户居民</w:t>
                  </w:r>
                  <w:r>
                    <w:rPr>
                      <w:spacing w:val="-30"/>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户</w:t>
                  </w:r>
                  <w:r>
                    <w:rPr>
                      <w:spacing w:val="-26"/>
                      <w:sz w:val="18"/>
                      <w:szCs w:val="18"/>
                    </w:rPr>
                    <w:t xml:space="preserve"> </w:t>
                  </w:r>
                  <w:r>
                    <w:rPr>
                      <w:rFonts w:ascii="Times New Roman" w:hAnsi="Times New Roman" w:eastAsia="Times New Roman" w:cs="Times New Roman"/>
                      <w:spacing w:val="-4"/>
                      <w:sz w:val="18"/>
                      <w:szCs w:val="18"/>
                    </w:rPr>
                    <w:t>13</w:t>
                  </w:r>
                  <w:r>
                    <w:rPr>
                      <w:rFonts w:ascii="Times New Roman" w:hAnsi="Times New Roman" w:eastAsia="Times New Roman" w:cs="Times New Roman"/>
                      <w:spacing w:val="10"/>
                      <w:sz w:val="18"/>
                      <w:szCs w:val="18"/>
                    </w:rPr>
                    <w:t xml:space="preserve"> </w:t>
                  </w:r>
                  <w:r>
                    <w:rPr>
                      <w:spacing w:val="-4"/>
                      <w:sz w:val="18"/>
                      <w:szCs w:val="18"/>
                    </w:rPr>
                    <w:t>人</w:t>
                  </w:r>
                </w:p>
              </w:tc>
              <w:tc>
                <w:tcPr>
                  <w:tcW w:w="1550" w:type="dxa"/>
                  <w:vMerge w:val="continue"/>
                  <w:tcBorders>
                    <w:top w:val="nil"/>
                  </w:tcBorders>
                  <w:vAlign w:val="top"/>
                </w:tcPr>
                <w:p>
                  <w:pPr>
                    <w:rPr>
                      <w:rFonts w:ascii="Arial"/>
                      <w:sz w:val="21"/>
                    </w:rPr>
                  </w:pPr>
                </w:p>
              </w:tc>
            </w:tr>
          </w:tbl>
          <w:p>
            <w:pPr>
              <w:pStyle w:val="6"/>
              <w:spacing w:before="177" w:line="220"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spacing w:val="-1"/>
                <w:sz w:val="24"/>
                <w:szCs w:val="24"/>
                <w14:textOutline w14:w="4354" w14:cap="flat" w14:cmpd="sng">
                  <w14:solidFill>
                    <w14:srgbClr w14:val="000000"/>
                  </w14:solidFill>
                  <w14:prstDash w14:val="solid"/>
                  <w14:miter w14:val="10"/>
                </w14:textOutline>
              </w:rPr>
              <w:t>）地表水环境保护目标</w:t>
            </w:r>
          </w:p>
          <w:p>
            <w:pPr>
              <w:pStyle w:val="6"/>
              <w:spacing w:before="194" w:line="480" w:lineRule="exact"/>
              <w:ind w:left="1048"/>
              <w:rPr>
                <w:sz w:val="24"/>
                <w:szCs w:val="24"/>
              </w:rPr>
            </w:pPr>
            <w:r>
              <w:rPr>
                <w:spacing w:val="-7"/>
                <w:position w:val="18"/>
                <w:sz w:val="24"/>
                <w:szCs w:val="24"/>
              </w:rPr>
              <w:t>井口</w:t>
            </w:r>
            <w:r>
              <w:rPr>
                <w:spacing w:val="-46"/>
                <w:position w:val="18"/>
                <w:sz w:val="24"/>
                <w:szCs w:val="24"/>
              </w:rPr>
              <w:t xml:space="preserve"> </w:t>
            </w:r>
            <w:r>
              <w:rPr>
                <w:rFonts w:ascii="Times New Roman" w:hAnsi="Times New Roman" w:eastAsia="Times New Roman" w:cs="Times New Roman"/>
                <w:spacing w:val="-7"/>
                <w:position w:val="18"/>
                <w:sz w:val="24"/>
                <w:szCs w:val="24"/>
              </w:rPr>
              <w:t>500m</w:t>
            </w:r>
            <w:r>
              <w:rPr>
                <w:rFonts w:ascii="Times New Roman" w:hAnsi="Times New Roman" w:eastAsia="Times New Roman" w:cs="Times New Roman"/>
                <w:spacing w:val="18"/>
                <w:position w:val="18"/>
                <w:sz w:val="24"/>
                <w:szCs w:val="24"/>
              </w:rPr>
              <w:t xml:space="preserve"> </w:t>
            </w:r>
            <w:r>
              <w:rPr>
                <w:spacing w:val="-7"/>
                <w:position w:val="18"/>
                <w:sz w:val="24"/>
                <w:szCs w:val="24"/>
              </w:rPr>
              <w:t>范围内无河流、水库分布；</w:t>
            </w:r>
            <w:r>
              <w:rPr>
                <w:spacing w:val="68"/>
                <w:position w:val="18"/>
                <w:sz w:val="24"/>
                <w:szCs w:val="24"/>
              </w:rPr>
              <w:t xml:space="preserve"> </w:t>
            </w:r>
            <w:r>
              <w:rPr>
                <w:rFonts w:ascii="Times New Roman" w:hAnsi="Times New Roman" w:eastAsia="Times New Roman" w:cs="Times New Roman"/>
                <w:spacing w:val="-7"/>
                <w:position w:val="18"/>
                <w:sz w:val="24"/>
                <w:szCs w:val="24"/>
              </w:rPr>
              <w:t>5000</w:t>
            </w:r>
            <w:r>
              <w:rPr>
                <w:rFonts w:ascii="Times New Roman" w:hAnsi="Times New Roman" w:eastAsia="Times New Roman" w:cs="Times New Roman"/>
                <w:spacing w:val="-8"/>
                <w:position w:val="18"/>
                <w:sz w:val="24"/>
                <w:szCs w:val="24"/>
              </w:rPr>
              <w:t>m</w:t>
            </w:r>
            <w:r>
              <w:rPr>
                <w:rFonts w:ascii="Times New Roman" w:hAnsi="Times New Roman" w:eastAsia="Times New Roman" w:cs="Times New Roman"/>
                <w:spacing w:val="18"/>
                <w:w w:val="101"/>
                <w:position w:val="18"/>
                <w:sz w:val="24"/>
                <w:szCs w:val="24"/>
              </w:rPr>
              <w:t xml:space="preserve"> </w:t>
            </w:r>
            <w:r>
              <w:rPr>
                <w:spacing w:val="-8"/>
                <w:position w:val="18"/>
                <w:sz w:val="24"/>
                <w:szCs w:val="24"/>
              </w:rPr>
              <w:t>范围内共有</w:t>
            </w:r>
            <w:r>
              <w:rPr>
                <w:spacing w:val="-54"/>
                <w:position w:val="18"/>
                <w:sz w:val="24"/>
                <w:szCs w:val="24"/>
              </w:rPr>
              <w:t xml:space="preserve"> </w:t>
            </w:r>
            <w:r>
              <w:rPr>
                <w:rFonts w:ascii="Times New Roman" w:hAnsi="Times New Roman" w:eastAsia="Times New Roman" w:cs="Times New Roman"/>
                <w:spacing w:val="-8"/>
                <w:position w:val="18"/>
                <w:sz w:val="24"/>
                <w:szCs w:val="24"/>
              </w:rPr>
              <w:t>4</w:t>
            </w:r>
            <w:r>
              <w:rPr>
                <w:rFonts w:ascii="Times New Roman" w:hAnsi="Times New Roman" w:eastAsia="Times New Roman" w:cs="Times New Roman"/>
                <w:spacing w:val="14"/>
                <w:position w:val="18"/>
                <w:sz w:val="24"/>
                <w:szCs w:val="24"/>
              </w:rPr>
              <w:t xml:space="preserve"> </w:t>
            </w:r>
            <w:r>
              <w:rPr>
                <w:spacing w:val="-8"/>
                <w:position w:val="18"/>
                <w:sz w:val="24"/>
                <w:szCs w:val="24"/>
              </w:rPr>
              <w:t>座水库和</w:t>
            </w:r>
            <w:r>
              <w:rPr>
                <w:spacing w:val="-46"/>
                <w:position w:val="18"/>
                <w:sz w:val="24"/>
                <w:szCs w:val="24"/>
              </w:rPr>
              <w:t xml:space="preserve"> </w:t>
            </w:r>
            <w:r>
              <w:rPr>
                <w:rFonts w:ascii="Times New Roman" w:hAnsi="Times New Roman" w:eastAsia="Times New Roman" w:cs="Times New Roman"/>
                <w:spacing w:val="-8"/>
                <w:position w:val="18"/>
                <w:sz w:val="24"/>
                <w:szCs w:val="24"/>
              </w:rPr>
              <w:t>5</w:t>
            </w:r>
            <w:r>
              <w:rPr>
                <w:rFonts w:ascii="Times New Roman" w:hAnsi="Times New Roman" w:eastAsia="Times New Roman" w:cs="Times New Roman"/>
                <w:spacing w:val="14"/>
                <w:position w:val="18"/>
                <w:sz w:val="24"/>
                <w:szCs w:val="24"/>
              </w:rPr>
              <w:t xml:space="preserve"> </w:t>
            </w:r>
            <w:r>
              <w:rPr>
                <w:spacing w:val="-8"/>
                <w:position w:val="18"/>
                <w:sz w:val="24"/>
                <w:szCs w:val="24"/>
              </w:rPr>
              <w:t>条河流</w:t>
            </w:r>
          </w:p>
          <w:p>
            <w:pPr>
              <w:pStyle w:val="6"/>
              <w:spacing w:before="1" w:line="219" w:lineRule="auto"/>
              <w:ind w:left="574"/>
              <w:rPr>
                <w:sz w:val="24"/>
                <w:szCs w:val="24"/>
              </w:rPr>
            </w:pPr>
            <w:r>
              <w:rPr>
                <w:spacing w:val="-3"/>
                <w:sz w:val="24"/>
                <w:szCs w:val="24"/>
              </w:rPr>
              <w:t>（含溪）。地表水保护目标详见下表。</w:t>
            </w:r>
          </w:p>
          <w:p>
            <w:pPr>
              <w:pStyle w:val="6"/>
              <w:spacing w:before="195" w:line="220" w:lineRule="auto"/>
              <w:ind w:left="2967"/>
              <w:rPr>
                <w:sz w:val="24"/>
                <w:szCs w:val="24"/>
              </w:rPr>
            </w:pPr>
            <w:r>
              <w:rPr>
                <w:spacing w:val="-1"/>
                <w:sz w:val="24"/>
                <w:szCs w:val="24"/>
                <w14:textOutline w14:w="4354" w14:cap="flat" w14:cmpd="sng">
                  <w14:solidFill>
                    <w14:srgbClr w14:val="000000"/>
                  </w14:solidFill>
                  <w14:prstDash w14:val="solid"/>
                  <w14:miter w14:val="10"/>
                </w14:textOutline>
              </w:rPr>
              <w:t>表</w:t>
            </w:r>
            <w:r>
              <w:rPr>
                <w:spacing w:val="-38"/>
                <w:sz w:val="24"/>
                <w:szCs w:val="24"/>
              </w:rPr>
              <w:t xml:space="preserve"> </w:t>
            </w:r>
            <w:r>
              <w:rPr>
                <w:rFonts w:ascii="Times New Roman" w:hAnsi="Times New Roman" w:eastAsia="Times New Roman" w:cs="Times New Roman"/>
                <w:b/>
                <w:bCs/>
                <w:spacing w:val="-1"/>
                <w:sz w:val="24"/>
                <w:szCs w:val="24"/>
              </w:rPr>
              <w:t xml:space="preserve">3.4-3  </w:t>
            </w:r>
            <w:r>
              <w:rPr>
                <w:spacing w:val="-1"/>
                <w:sz w:val="24"/>
                <w:szCs w:val="24"/>
                <w14:textOutline w14:w="4354" w14:cap="flat" w14:cmpd="sng">
                  <w14:solidFill>
                    <w14:srgbClr w14:val="000000"/>
                  </w14:solidFill>
                  <w14:prstDash w14:val="solid"/>
                  <w14:miter w14:val="10"/>
                </w14:textOutline>
              </w:rPr>
              <w:t>地表水环境保护目标一览表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5"/>
              <w:gridCol w:w="1080"/>
              <w:gridCol w:w="1566"/>
              <w:gridCol w:w="1560"/>
              <w:gridCol w:w="2109"/>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95" w:type="dxa"/>
                  <w:vMerge w:val="restart"/>
                  <w:tcBorders>
                    <w:bottom w:val="nil"/>
                  </w:tcBorders>
                  <w:vAlign w:val="top"/>
                </w:tcPr>
                <w:p>
                  <w:pPr>
                    <w:pStyle w:val="6"/>
                    <w:spacing w:before="245" w:line="223" w:lineRule="auto"/>
                    <w:ind w:left="444"/>
                    <w:rPr>
                      <w:sz w:val="21"/>
                      <w:szCs w:val="21"/>
                    </w:rPr>
                  </w:pPr>
                  <w:r>
                    <w:rPr>
                      <w:spacing w:val="-3"/>
                      <w:sz w:val="21"/>
                      <w:szCs w:val="21"/>
                    </w:rPr>
                    <w:t>名称</w:t>
                  </w:r>
                </w:p>
              </w:tc>
              <w:tc>
                <w:tcPr>
                  <w:tcW w:w="4206" w:type="dxa"/>
                  <w:gridSpan w:val="3"/>
                  <w:vAlign w:val="top"/>
                </w:tcPr>
                <w:p>
                  <w:pPr>
                    <w:pStyle w:val="6"/>
                    <w:spacing w:before="70" w:line="221" w:lineRule="auto"/>
                    <w:ind w:left="1689"/>
                    <w:rPr>
                      <w:sz w:val="21"/>
                      <w:szCs w:val="21"/>
                    </w:rPr>
                  </w:pPr>
                  <w:r>
                    <w:rPr>
                      <w:spacing w:val="-2"/>
                      <w:sz w:val="21"/>
                      <w:szCs w:val="21"/>
                    </w:rPr>
                    <w:t>位置关系</w:t>
                  </w:r>
                </w:p>
              </w:tc>
              <w:tc>
                <w:tcPr>
                  <w:tcW w:w="2109" w:type="dxa"/>
                  <w:vMerge w:val="restart"/>
                  <w:tcBorders>
                    <w:bottom w:val="nil"/>
                  </w:tcBorders>
                  <w:vAlign w:val="top"/>
                </w:tcPr>
                <w:p>
                  <w:pPr>
                    <w:pStyle w:val="6"/>
                    <w:spacing w:before="245" w:line="221" w:lineRule="auto"/>
                    <w:ind w:left="223"/>
                    <w:rPr>
                      <w:sz w:val="21"/>
                      <w:szCs w:val="21"/>
                    </w:rPr>
                  </w:pPr>
                  <w:r>
                    <w:rPr>
                      <w:spacing w:val="-1"/>
                      <w:sz w:val="21"/>
                      <w:szCs w:val="21"/>
                    </w:rPr>
                    <w:t>保护目标敏感特征</w:t>
                  </w:r>
                </w:p>
              </w:tc>
              <w:tc>
                <w:tcPr>
                  <w:tcW w:w="1000" w:type="dxa"/>
                  <w:vMerge w:val="restart"/>
                  <w:tcBorders>
                    <w:bottom w:val="nil"/>
                  </w:tcBorders>
                  <w:vAlign w:val="top"/>
                </w:tcPr>
                <w:p>
                  <w:pPr>
                    <w:pStyle w:val="6"/>
                    <w:spacing w:before="109" w:line="229" w:lineRule="auto"/>
                    <w:ind w:left="400" w:right="179" w:hanging="211"/>
                    <w:rPr>
                      <w:sz w:val="21"/>
                      <w:szCs w:val="21"/>
                    </w:rPr>
                  </w:pPr>
                  <w:r>
                    <w:rPr>
                      <w:spacing w:val="-2"/>
                      <w:sz w:val="21"/>
                      <w:szCs w:val="21"/>
                    </w:rPr>
                    <w:t>影响因</w:t>
                  </w:r>
                  <w:r>
                    <w:rPr>
                      <w:sz w:val="21"/>
                      <w:szCs w:val="21"/>
                    </w:rPr>
                    <w:t xml:space="preserve"> 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Merge w:val="continue"/>
                  <w:tcBorders>
                    <w:top w:val="nil"/>
                  </w:tcBorders>
                  <w:vAlign w:val="top"/>
                </w:tcPr>
                <w:p>
                  <w:pPr>
                    <w:rPr>
                      <w:rFonts w:ascii="Arial"/>
                      <w:sz w:val="21"/>
                    </w:rPr>
                  </w:pPr>
                </w:p>
              </w:tc>
              <w:tc>
                <w:tcPr>
                  <w:tcW w:w="1080" w:type="dxa"/>
                  <w:vAlign w:val="top"/>
                </w:tcPr>
                <w:p>
                  <w:pPr>
                    <w:pStyle w:val="6"/>
                    <w:spacing w:before="65" w:line="222" w:lineRule="auto"/>
                    <w:ind w:left="333"/>
                    <w:rPr>
                      <w:sz w:val="21"/>
                      <w:szCs w:val="21"/>
                    </w:rPr>
                  </w:pPr>
                  <w:r>
                    <w:rPr>
                      <w:spacing w:val="-2"/>
                      <w:sz w:val="21"/>
                      <w:szCs w:val="21"/>
                    </w:rPr>
                    <w:t>方位</w:t>
                  </w:r>
                </w:p>
              </w:tc>
              <w:tc>
                <w:tcPr>
                  <w:tcW w:w="1566" w:type="dxa"/>
                  <w:vAlign w:val="top"/>
                </w:tcPr>
                <w:p>
                  <w:pPr>
                    <w:pStyle w:val="6"/>
                    <w:spacing w:before="66" w:line="235" w:lineRule="auto"/>
                    <w:ind w:left="155"/>
                    <w:rPr>
                      <w:rFonts w:ascii="Times New Roman" w:hAnsi="Times New Roman" w:eastAsia="Times New Roman" w:cs="Times New Roman"/>
                      <w:sz w:val="21"/>
                      <w:szCs w:val="21"/>
                    </w:rPr>
                  </w:pPr>
                  <w:r>
                    <w:rPr>
                      <w:spacing w:val="-2"/>
                      <w:sz w:val="21"/>
                      <w:szCs w:val="21"/>
                    </w:rPr>
                    <w:t>与井口距离</w:t>
                  </w:r>
                  <w:r>
                    <w:rPr>
                      <w:rFonts w:ascii="Times New Roman" w:hAnsi="Times New Roman" w:eastAsia="Times New Roman" w:cs="Times New Roman"/>
                      <w:spacing w:val="-2"/>
                      <w:sz w:val="21"/>
                      <w:szCs w:val="21"/>
                    </w:rPr>
                    <w:t>/m</w:t>
                  </w:r>
                </w:p>
              </w:tc>
              <w:tc>
                <w:tcPr>
                  <w:tcW w:w="1560" w:type="dxa"/>
                  <w:vAlign w:val="top"/>
                </w:tcPr>
                <w:p>
                  <w:pPr>
                    <w:pStyle w:val="6"/>
                    <w:spacing w:before="66" w:line="234" w:lineRule="auto"/>
                    <w:ind w:left="154"/>
                    <w:rPr>
                      <w:rFonts w:ascii="Times New Roman" w:hAnsi="Times New Roman" w:eastAsia="Times New Roman" w:cs="Times New Roman"/>
                      <w:sz w:val="21"/>
                      <w:szCs w:val="21"/>
                    </w:rPr>
                  </w:pPr>
                  <w:r>
                    <w:rPr>
                      <w:spacing w:val="-2"/>
                      <w:sz w:val="21"/>
                      <w:szCs w:val="21"/>
                    </w:rPr>
                    <w:t>与井口高差</w:t>
                  </w:r>
                  <w:r>
                    <w:rPr>
                      <w:rFonts w:ascii="Times New Roman" w:hAnsi="Times New Roman" w:eastAsia="Times New Roman" w:cs="Times New Roman"/>
                      <w:spacing w:val="-2"/>
                      <w:sz w:val="21"/>
                      <w:szCs w:val="21"/>
                    </w:rPr>
                    <w:t>/m</w:t>
                  </w:r>
                </w:p>
              </w:tc>
              <w:tc>
                <w:tcPr>
                  <w:tcW w:w="2109" w:type="dxa"/>
                  <w:vMerge w:val="continue"/>
                  <w:tcBorders>
                    <w:top w:val="nil"/>
                  </w:tcBorders>
                  <w:vAlign w:val="top"/>
                </w:tcPr>
                <w:p>
                  <w:pPr>
                    <w:rPr>
                      <w:rFonts w:ascii="Arial"/>
                      <w:sz w:val="21"/>
                    </w:rPr>
                  </w:pPr>
                </w:p>
              </w:tc>
              <w:tc>
                <w:tcPr>
                  <w:tcW w:w="100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Align w:val="top"/>
                </w:tcPr>
                <w:p>
                  <w:pPr>
                    <w:pStyle w:val="6"/>
                    <w:spacing w:before="80" w:line="221" w:lineRule="auto"/>
                    <w:ind w:left="232"/>
                    <w:rPr>
                      <w:sz w:val="21"/>
                      <w:szCs w:val="21"/>
                    </w:rPr>
                  </w:pPr>
                  <w:r>
                    <w:rPr>
                      <w:spacing w:val="-2"/>
                      <w:sz w:val="21"/>
                      <w:szCs w:val="21"/>
                    </w:rPr>
                    <w:t>江陵水库</w:t>
                  </w:r>
                </w:p>
              </w:tc>
              <w:tc>
                <w:tcPr>
                  <w:tcW w:w="1080" w:type="dxa"/>
                  <w:vAlign w:val="top"/>
                </w:tcPr>
                <w:p>
                  <w:pPr>
                    <w:pStyle w:val="6"/>
                    <w:spacing w:before="80" w:line="221" w:lineRule="auto"/>
                    <w:ind w:left="340"/>
                    <w:rPr>
                      <w:sz w:val="21"/>
                      <w:szCs w:val="21"/>
                    </w:rPr>
                  </w:pPr>
                  <w:r>
                    <w:rPr>
                      <w:spacing w:val="-4"/>
                      <w:sz w:val="21"/>
                      <w:szCs w:val="21"/>
                    </w:rPr>
                    <w:t>东南</w:t>
                  </w:r>
                </w:p>
              </w:tc>
              <w:tc>
                <w:tcPr>
                  <w:tcW w:w="1566" w:type="dxa"/>
                  <w:vAlign w:val="top"/>
                </w:tcPr>
                <w:p>
                  <w:pPr>
                    <w:spacing w:before="119"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3555</w:t>
                  </w:r>
                </w:p>
              </w:tc>
              <w:tc>
                <w:tcPr>
                  <w:tcW w:w="1560" w:type="dxa"/>
                  <w:vAlign w:val="top"/>
                </w:tcPr>
                <w:p>
                  <w:pPr>
                    <w:spacing w:before="102" w:line="187" w:lineRule="auto"/>
                    <w:ind w:left="6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2109" w:type="dxa"/>
                  <w:vMerge w:val="restart"/>
                  <w:tcBorders>
                    <w:bottom w:val="nil"/>
                  </w:tcBorders>
                  <w:vAlign w:val="top"/>
                </w:tcPr>
                <w:p>
                  <w:pPr>
                    <w:spacing w:line="380" w:lineRule="auto"/>
                    <w:rPr>
                      <w:rFonts w:ascii="Arial"/>
                      <w:sz w:val="21"/>
                    </w:rPr>
                  </w:pPr>
                </w:p>
                <w:p>
                  <w:pPr>
                    <w:pStyle w:val="6"/>
                    <w:spacing w:before="69" w:line="231" w:lineRule="auto"/>
                    <w:ind w:left="223" w:right="101" w:hanging="103"/>
                    <w:rPr>
                      <w:sz w:val="21"/>
                      <w:szCs w:val="21"/>
                    </w:rPr>
                  </w:pPr>
                  <w:r>
                    <w:rPr>
                      <w:spacing w:val="-1"/>
                      <w:sz w:val="21"/>
                      <w:szCs w:val="21"/>
                    </w:rPr>
                    <w:t>景观娱乐用水、渔业</w:t>
                  </w:r>
                  <w:r>
                    <w:rPr>
                      <w:sz w:val="21"/>
                      <w:szCs w:val="21"/>
                    </w:rPr>
                    <w:t xml:space="preserve"> </w:t>
                  </w:r>
                  <w:r>
                    <w:rPr>
                      <w:spacing w:val="-1"/>
                      <w:sz w:val="21"/>
                      <w:szCs w:val="21"/>
                    </w:rPr>
                    <w:t>用水、农灌、泄洪</w:t>
                  </w:r>
                </w:p>
              </w:tc>
              <w:tc>
                <w:tcPr>
                  <w:tcW w:w="1000"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8" w:line="233" w:lineRule="auto"/>
                    <w:ind w:left="115" w:right="105" w:firstLine="73"/>
                    <w:jc w:val="both"/>
                    <w:rPr>
                      <w:sz w:val="21"/>
                      <w:szCs w:val="21"/>
                    </w:rPr>
                  </w:pPr>
                  <w:r>
                    <w:rPr>
                      <w:spacing w:val="-2"/>
                      <w:sz w:val="21"/>
                      <w:szCs w:val="21"/>
                    </w:rPr>
                    <w:t>废水和</w:t>
                  </w:r>
                  <w:r>
                    <w:rPr>
                      <w:spacing w:val="1"/>
                      <w:sz w:val="21"/>
                      <w:szCs w:val="21"/>
                    </w:rPr>
                    <w:t xml:space="preserve"> </w:t>
                  </w:r>
                  <w:r>
                    <w:rPr>
                      <w:spacing w:val="23"/>
                      <w:sz w:val="21"/>
                      <w:szCs w:val="21"/>
                    </w:rPr>
                    <w:t>固废泄</w:t>
                  </w:r>
                  <w:r>
                    <w:rPr>
                      <w:sz w:val="21"/>
                      <w:szCs w:val="21"/>
                    </w:rPr>
                    <w:t xml:space="preserve"> </w:t>
                  </w:r>
                  <w:r>
                    <w:rPr>
                      <w:spacing w:val="-17"/>
                      <w:sz w:val="21"/>
                      <w:szCs w:val="21"/>
                    </w:rPr>
                    <w:t>漏、渗漏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Align w:val="top"/>
                </w:tcPr>
                <w:p>
                  <w:pPr>
                    <w:pStyle w:val="6"/>
                    <w:spacing w:before="78" w:line="221" w:lineRule="auto"/>
                    <w:ind w:left="126"/>
                    <w:rPr>
                      <w:sz w:val="21"/>
                      <w:szCs w:val="21"/>
                    </w:rPr>
                  </w:pPr>
                  <w:r>
                    <w:rPr>
                      <w:spacing w:val="-2"/>
                      <w:sz w:val="21"/>
                      <w:szCs w:val="21"/>
                    </w:rPr>
                    <w:t>杜家湾水库</w:t>
                  </w:r>
                </w:p>
              </w:tc>
              <w:tc>
                <w:tcPr>
                  <w:tcW w:w="1080" w:type="dxa"/>
                  <w:vAlign w:val="top"/>
                </w:tcPr>
                <w:p>
                  <w:pPr>
                    <w:pStyle w:val="6"/>
                    <w:spacing w:before="78" w:line="224" w:lineRule="auto"/>
                    <w:ind w:left="441"/>
                    <w:rPr>
                      <w:sz w:val="21"/>
                      <w:szCs w:val="21"/>
                    </w:rPr>
                  </w:pPr>
                  <w:r>
                    <w:rPr>
                      <w:sz w:val="21"/>
                      <w:szCs w:val="21"/>
                    </w:rPr>
                    <w:t>北</w:t>
                  </w:r>
                </w:p>
              </w:tc>
              <w:tc>
                <w:tcPr>
                  <w:tcW w:w="1566" w:type="dxa"/>
                  <w:vAlign w:val="top"/>
                </w:tcPr>
                <w:p>
                  <w:pPr>
                    <w:spacing w:before="117"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4676</w:t>
                  </w:r>
                </w:p>
              </w:tc>
              <w:tc>
                <w:tcPr>
                  <w:tcW w:w="1560" w:type="dxa"/>
                  <w:vAlign w:val="top"/>
                </w:tcPr>
                <w:p>
                  <w:pPr>
                    <w:spacing w:before="102"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+13.36</w:t>
                  </w:r>
                </w:p>
              </w:tc>
              <w:tc>
                <w:tcPr>
                  <w:tcW w:w="2109" w:type="dxa"/>
                  <w:vMerge w:val="continue"/>
                  <w:tcBorders>
                    <w:top w:val="nil"/>
                    <w:bottom w:val="nil"/>
                  </w:tcBorders>
                  <w:vAlign w:val="top"/>
                </w:tcPr>
                <w:p>
                  <w:pPr>
                    <w:rPr>
                      <w:rFonts w:ascii="Arial"/>
                      <w:sz w:val="21"/>
                    </w:rPr>
                  </w:pP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Align w:val="top"/>
                </w:tcPr>
                <w:p>
                  <w:pPr>
                    <w:pStyle w:val="6"/>
                    <w:spacing w:before="78" w:line="221" w:lineRule="auto"/>
                    <w:ind w:left="232"/>
                    <w:rPr>
                      <w:sz w:val="21"/>
                      <w:szCs w:val="21"/>
                    </w:rPr>
                  </w:pPr>
                  <w:r>
                    <w:rPr>
                      <w:spacing w:val="-2"/>
                      <w:sz w:val="21"/>
                      <w:szCs w:val="21"/>
                    </w:rPr>
                    <w:t>新农水库</w:t>
                  </w:r>
                </w:p>
              </w:tc>
              <w:tc>
                <w:tcPr>
                  <w:tcW w:w="1080" w:type="dxa"/>
                  <w:vAlign w:val="top"/>
                </w:tcPr>
                <w:p>
                  <w:pPr>
                    <w:pStyle w:val="6"/>
                    <w:spacing w:before="78" w:line="223" w:lineRule="auto"/>
                    <w:ind w:left="441"/>
                    <w:rPr>
                      <w:sz w:val="21"/>
                      <w:szCs w:val="21"/>
                    </w:rPr>
                  </w:pPr>
                  <w:r>
                    <w:rPr>
                      <w:sz w:val="21"/>
                      <w:szCs w:val="21"/>
                    </w:rPr>
                    <w:t>南</w:t>
                  </w:r>
                </w:p>
              </w:tc>
              <w:tc>
                <w:tcPr>
                  <w:tcW w:w="1566" w:type="dxa"/>
                  <w:vAlign w:val="top"/>
                </w:tcPr>
                <w:p>
                  <w:pPr>
                    <w:spacing w:before="117"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1248</w:t>
                  </w:r>
                </w:p>
              </w:tc>
              <w:tc>
                <w:tcPr>
                  <w:tcW w:w="1560" w:type="dxa"/>
                  <w:vAlign w:val="top"/>
                </w:tcPr>
                <w:p>
                  <w:pPr>
                    <w:spacing w:before="103"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6"/>
                      <w:sz w:val="21"/>
                      <w:szCs w:val="21"/>
                    </w:rPr>
                    <w:t>128</w:t>
                  </w:r>
                </w:p>
              </w:tc>
              <w:tc>
                <w:tcPr>
                  <w:tcW w:w="2109" w:type="dxa"/>
                  <w:vMerge w:val="continue"/>
                  <w:tcBorders>
                    <w:top w:val="nil"/>
                    <w:bottom w:val="nil"/>
                  </w:tcBorders>
                  <w:vAlign w:val="top"/>
                </w:tcPr>
                <w:p>
                  <w:pPr>
                    <w:rPr>
                      <w:rFonts w:ascii="Arial"/>
                      <w:sz w:val="21"/>
                    </w:rPr>
                  </w:pP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295" w:type="dxa"/>
                  <w:vAlign w:val="top"/>
                </w:tcPr>
                <w:p>
                  <w:pPr>
                    <w:pStyle w:val="6"/>
                    <w:spacing w:before="78" w:line="221" w:lineRule="auto"/>
                    <w:ind w:left="232"/>
                    <w:rPr>
                      <w:sz w:val="21"/>
                      <w:szCs w:val="21"/>
                    </w:rPr>
                  </w:pPr>
                  <w:r>
                    <w:rPr>
                      <w:spacing w:val="-2"/>
                      <w:sz w:val="21"/>
                      <w:szCs w:val="21"/>
                    </w:rPr>
                    <w:t>光明水库</w:t>
                  </w:r>
                </w:p>
              </w:tc>
              <w:tc>
                <w:tcPr>
                  <w:tcW w:w="1080" w:type="dxa"/>
                  <w:vAlign w:val="top"/>
                </w:tcPr>
                <w:p>
                  <w:pPr>
                    <w:pStyle w:val="6"/>
                    <w:spacing w:before="78" w:line="221" w:lineRule="auto"/>
                    <w:ind w:left="340"/>
                    <w:rPr>
                      <w:sz w:val="21"/>
                      <w:szCs w:val="21"/>
                    </w:rPr>
                  </w:pPr>
                  <w:r>
                    <w:rPr>
                      <w:spacing w:val="-4"/>
                      <w:sz w:val="21"/>
                      <w:szCs w:val="21"/>
                    </w:rPr>
                    <w:t>东南</w:t>
                  </w:r>
                </w:p>
              </w:tc>
              <w:tc>
                <w:tcPr>
                  <w:tcW w:w="1566" w:type="dxa"/>
                  <w:vAlign w:val="top"/>
                </w:tcPr>
                <w:p>
                  <w:pPr>
                    <w:spacing w:before="117"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2176</w:t>
                  </w:r>
                </w:p>
              </w:tc>
              <w:tc>
                <w:tcPr>
                  <w:tcW w:w="1560" w:type="dxa"/>
                  <w:vAlign w:val="top"/>
                </w:tcPr>
                <w:p>
                  <w:pPr>
                    <w:spacing w:before="103"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2109" w:type="dxa"/>
                  <w:vMerge w:val="continue"/>
                  <w:tcBorders>
                    <w:top w:val="nil"/>
                  </w:tcBorders>
                  <w:vAlign w:val="top"/>
                </w:tcPr>
                <w:p>
                  <w:pPr>
                    <w:rPr>
                      <w:rFonts w:ascii="Arial"/>
                      <w:sz w:val="21"/>
                    </w:rPr>
                  </w:pP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Align w:val="top"/>
                </w:tcPr>
                <w:p>
                  <w:pPr>
                    <w:pStyle w:val="6"/>
                    <w:spacing w:before="83" w:line="221" w:lineRule="auto"/>
                    <w:ind w:left="337"/>
                    <w:rPr>
                      <w:sz w:val="21"/>
                      <w:szCs w:val="21"/>
                    </w:rPr>
                  </w:pPr>
                  <w:r>
                    <w:rPr>
                      <w:spacing w:val="-2"/>
                      <w:sz w:val="21"/>
                      <w:szCs w:val="21"/>
                    </w:rPr>
                    <w:t>洞滩河</w:t>
                  </w:r>
                </w:p>
              </w:tc>
              <w:tc>
                <w:tcPr>
                  <w:tcW w:w="1080" w:type="dxa"/>
                  <w:vAlign w:val="top"/>
                </w:tcPr>
                <w:p>
                  <w:pPr>
                    <w:pStyle w:val="6"/>
                    <w:spacing w:before="82" w:line="221" w:lineRule="auto"/>
                    <w:ind w:left="445"/>
                    <w:rPr>
                      <w:sz w:val="21"/>
                      <w:szCs w:val="21"/>
                    </w:rPr>
                  </w:pPr>
                  <w:r>
                    <w:rPr>
                      <w:sz w:val="21"/>
                      <w:szCs w:val="21"/>
                    </w:rPr>
                    <w:t>东</w:t>
                  </w:r>
                </w:p>
              </w:tc>
              <w:tc>
                <w:tcPr>
                  <w:tcW w:w="1566" w:type="dxa"/>
                  <w:vAlign w:val="top"/>
                </w:tcPr>
                <w:p>
                  <w:pPr>
                    <w:spacing w:before="121"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1283</w:t>
                  </w:r>
                </w:p>
              </w:tc>
              <w:tc>
                <w:tcPr>
                  <w:tcW w:w="1560" w:type="dxa"/>
                  <w:vAlign w:val="top"/>
                </w:tcPr>
                <w:p>
                  <w:pPr>
                    <w:spacing w:before="106"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w:t>
                  </w:r>
                </w:p>
              </w:tc>
              <w:tc>
                <w:tcPr>
                  <w:tcW w:w="2109" w:type="dxa"/>
                  <w:vAlign w:val="top"/>
                </w:tcPr>
                <w:p>
                  <w:pPr>
                    <w:pStyle w:val="6"/>
                    <w:spacing w:before="67" w:line="221" w:lineRule="auto"/>
                    <w:ind w:left="644"/>
                    <w:rPr>
                      <w:sz w:val="21"/>
                      <w:szCs w:val="21"/>
                    </w:rPr>
                  </w:pPr>
                  <w:r>
                    <w:rPr>
                      <w:rFonts w:ascii="Times New Roman" w:hAnsi="Times New Roman" w:eastAsia="Times New Roman" w:cs="Times New Roman"/>
                      <w:spacing w:val="-1"/>
                      <w:sz w:val="21"/>
                      <w:szCs w:val="21"/>
                    </w:rPr>
                    <w:t>Ⅲ</w:t>
                  </w:r>
                  <w:r>
                    <w:rPr>
                      <w:spacing w:val="-1"/>
                      <w:sz w:val="21"/>
                      <w:szCs w:val="21"/>
                    </w:rPr>
                    <w:t>类水域</w:t>
                  </w: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Align w:val="top"/>
                </w:tcPr>
                <w:p>
                  <w:pPr>
                    <w:pStyle w:val="6"/>
                    <w:spacing w:before="83" w:line="221" w:lineRule="auto"/>
                    <w:ind w:left="464"/>
                    <w:rPr>
                      <w:sz w:val="21"/>
                      <w:szCs w:val="21"/>
                    </w:rPr>
                  </w:pPr>
                  <w:r>
                    <w:rPr>
                      <w:spacing w:val="-8"/>
                      <w:sz w:val="21"/>
                      <w:szCs w:val="21"/>
                    </w:rPr>
                    <w:t>巴河</w:t>
                  </w:r>
                </w:p>
              </w:tc>
              <w:tc>
                <w:tcPr>
                  <w:tcW w:w="1080" w:type="dxa"/>
                  <w:vAlign w:val="top"/>
                </w:tcPr>
                <w:p>
                  <w:pPr>
                    <w:pStyle w:val="6"/>
                    <w:spacing w:before="83" w:line="221" w:lineRule="auto"/>
                    <w:ind w:left="441"/>
                    <w:rPr>
                      <w:sz w:val="21"/>
                      <w:szCs w:val="21"/>
                    </w:rPr>
                  </w:pPr>
                  <w:r>
                    <w:rPr>
                      <w:sz w:val="21"/>
                      <w:szCs w:val="21"/>
                    </w:rPr>
                    <w:t>南</w:t>
                  </w:r>
                </w:p>
              </w:tc>
              <w:tc>
                <w:tcPr>
                  <w:tcW w:w="1566" w:type="dxa"/>
                  <w:vAlign w:val="top"/>
                </w:tcPr>
                <w:p>
                  <w:pPr>
                    <w:spacing w:before="121"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3248</w:t>
                  </w:r>
                </w:p>
              </w:tc>
              <w:tc>
                <w:tcPr>
                  <w:tcW w:w="1560" w:type="dxa"/>
                  <w:vAlign w:val="top"/>
                </w:tcPr>
                <w:p>
                  <w:pPr>
                    <w:spacing w:before="107"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2109" w:type="dxa"/>
                  <w:vAlign w:val="top"/>
                </w:tcPr>
                <w:p>
                  <w:pPr>
                    <w:pStyle w:val="6"/>
                    <w:spacing w:before="68" w:line="221" w:lineRule="auto"/>
                    <w:ind w:left="644"/>
                    <w:rPr>
                      <w:sz w:val="21"/>
                      <w:szCs w:val="21"/>
                    </w:rPr>
                  </w:pPr>
                  <w:r>
                    <w:rPr>
                      <w:rFonts w:ascii="Times New Roman" w:hAnsi="Times New Roman" w:eastAsia="Times New Roman" w:cs="Times New Roman"/>
                      <w:spacing w:val="-1"/>
                      <w:sz w:val="21"/>
                      <w:szCs w:val="21"/>
                    </w:rPr>
                    <w:t>Ⅲ</w:t>
                  </w:r>
                  <w:r>
                    <w:rPr>
                      <w:spacing w:val="-1"/>
                      <w:sz w:val="21"/>
                      <w:szCs w:val="21"/>
                    </w:rPr>
                    <w:t>类水域</w:t>
                  </w: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5" w:type="dxa"/>
                  <w:vAlign w:val="top"/>
                </w:tcPr>
                <w:p>
                  <w:pPr>
                    <w:pStyle w:val="6"/>
                    <w:spacing w:before="83" w:line="221" w:lineRule="auto"/>
                    <w:ind w:left="337"/>
                    <w:rPr>
                      <w:sz w:val="21"/>
                      <w:szCs w:val="21"/>
                    </w:rPr>
                  </w:pPr>
                  <w:r>
                    <w:rPr>
                      <w:spacing w:val="-2"/>
                      <w:sz w:val="21"/>
                      <w:szCs w:val="21"/>
                    </w:rPr>
                    <w:t>长滩河</w:t>
                  </w:r>
                </w:p>
              </w:tc>
              <w:tc>
                <w:tcPr>
                  <w:tcW w:w="1080" w:type="dxa"/>
                  <w:vAlign w:val="top"/>
                </w:tcPr>
                <w:p>
                  <w:pPr>
                    <w:pStyle w:val="6"/>
                    <w:spacing w:before="83" w:line="221" w:lineRule="auto"/>
                    <w:ind w:left="338"/>
                    <w:rPr>
                      <w:sz w:val="21"/>
                      <w:szCs w:val="21"/>
                    </w:rPr>
                  </w:pPr>
                  <w:r>
                    <w:rPr>
                      <w:spacing w:val="-6"/>
                      <w:sz w:val="21"/>
                      <w:szCs w:val="21"/>
                    </w:rPr>
                    <w:t>西南</w:t>
                  </w:r>
                </w:p>
              </w:tc>
              <w:tc>
                <w:tcPr>
                  <w:tcW w:w="1566" w:type="dxa"/>
                  <w:vAlign w:val="top"/>
                </w:tcPr>
                <w:p>
                  <w:pPr>
                    <w:spacing w:before="122"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4160</w:t>
                  </w:r>
                </w:p>
              </w:tc>
              <w:tc>
                <w:tcPr>
                  <w:tcW w:w="1560" w:type="dxa"/>
                  <w:vAlign w:val="top"/>
                </w:tcPr>
                <w:p>
                  <w:pPr>
                    <w:spacing w:before="105"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2109" w:type="dxa"/>
                  <w:vAlign w:val="top"/>
                </w:tcPr>
                <w:p>
                  <w:pPr>
                    <w:pStyle w:val="6"/>
                    <w:spacing w:before="66" w:line="221" w:lineRule="auto"/>
                    <w:ind w:left="644"/>
                    <w:rPr>
                      <w:sz w:val="21"/>
                      <w:szCs w:val="21"/>
                    </w:rPr>
                  </w:pPr>
                  <w:r>
                    <w:rPr>
                      <w:rFonts w:ascii="Times New Roman" w:hAnsi="Times New Roman" w:eastAsia="Times New Roman" w:cs="Times New Roman"/>
                      <w:spacing w:val="-1"/>
                      <w:sz w:val="21"/>
                      <w:szCs w:val="21"/>
                    </w:rPr>
                    <w:t>Ⅲ</w:t>
                  </w:r>
                  <w:r>
                    <w:rPr>
                      <w:spacing w:val="-1"/>
                      <w:sz w:val="21"/>
                      <w:szCs w:val="21"/>
                    </w:rPr>
                    <w:t>类水域</w:t>
                  </w: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95" w:type="dxa"/>
                  <w:vAlign w:val="top"/>
                </w:tcPr>
                <w:p>
                  <w:pPr>
                    <w:pStyle w:val="6"/>
                    <w:spacing w:before="185" w:line="221" w:lineRule="auto"/>
                    <w:ind w:left="336"/>
                    <w:rPr>
                      <w:sz w:val="21"/>
                      <w:szCs w:val="21"/>
                    </w:rPr>
                  </w:pPr>
                  <w:r>
                    <w:rPr>
                      <w:spacing w:val="-2"/>
                      <w:sz w:val="21"/>
                      <w:szCs w:val="21"/>
                    </w:rPr>
                    <w:t>黎家河</w:t>
                  </w:r>
                </w:p>
              </w:tc>
              <w:tc>
                <w:tcPr>
                  <w:tcW w:w="1080" w:type="dxa"/>
                  <w:vAlign w:val="top"/>
                </w:tcPr>
                <w:p>
                  <w:pPr>
                    <w:pStyle w:val="6"/>
                    <w:spacing w:before="184" w:line="221" w:lineRule="auto"/>
                    <w:ind w:left="340"/>
                    <w:rPr>
                      <w:sz w:val="21"/>
                      <w:szCs w:val="21"/>
                    </w:rPr>
                  </w:pPr>
                  <w:r>
                    <w:rPr>
                      <w:spacing w:val="-4"/>
                      <w:sz w:val="21"/>
                      <w:szCs w:val="21"/>
                    </w:rPr>
                    <w:t>东北</w:t>
                  </w:r>
                </w:p>
              </w:tc>
              <w:tc>
                <w:tcPr>
                  <w:tcW w:w="1566" w:type="dxa"/>
                  <w:vAlign w:val="top"/>
                </w:tcPr>
                <w:p>
                  <w:pPr>
                    <w:spacing w:before="223"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1485</w:t>
                  </w:r>
                </w:p>
              </w:tc>
              <w:tc>
                <w:tcPr>
                  <w:tcW w:w="1560" w:type="dxa"/>
                  <w:vAlign w:val="top"/>
                </w:tcPr>
                <w:p>
                  <w:pPr>
                    <w:spacing w:before="209"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-320</w:t>
                  </w:r>
                </w:p>
              </w:tc>
              <w:tc>
                <w:tcPr>
                  <w:tcW w:w="2109" w:type="dxa"/>
                  <w:vAlign w:val="top"/>
                </w:tcPr>
                <w:p>
                  <w:pPr>
                    <w:pStyle w:val="6"/>
                    <w:spacing w:before="33" w:line="222" w:lineRule="auto"/>
                    <w:ind w:left="537" w:right="112" w:hanging="417"/>
                    <w:rPr>
                      <w:sz w:val="21"/>
                      <w:szCs w:val="21"/>
                    </w:rPr>
                  </w:pPr>
                  <w:r>
                    <w:rPr>
                      <w:spacing w:val="-3"/>
                      <w:sz w:val="21"/>
                      <w:szCs w:val="21"/>
                    </w:rPr>
                    <w:t>未划分水域功能，为</w:t>
                  </w:r>
                  <w:r>
                    <w:rPr>
                      <w:spacing w:val="7"/>
                      <w:sz w:val="21"/>
                      <w:szCs w:val="21"/>
                    </w:rPr>
                    <w:t xml:space="preserve"> </w:t>
                  </w:r>
                  <w:r>
                    <w:rPr>
                      <w:spacing w:val="-2"/>
                      <w:sz w:val="21"/>
                      <w:szCs w:val="21"/>
                    </w:rPr>
                    <w:t>洞滩河支流</w:t>
                  </w:r>
                </w:p>
              </w:tc>
              <w:tc>
                <w:tcPr>
                  <w:tcW w:w="10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95" w:type="dxa"/>
                  <w:vAlign w:val="top"/>
                </w:tcPr>
                <w:p>
                  <w:pPr>
                    <w:pStyle w:val="6"/>
                    <w:spacing w:before="185" w:line="221" w:lineRule="auto"/>
                    <w:ind w:left="335"/>
                    <w:rPr>
                      <w:sz w:val="21"/>
                      <w:szCs w:val="21"/>
                    </w:rPr>
                  </w:pPr>
                  <w:r>
                    <w:rPr>
                      <w:spacing w:val="-1"/>
                      <w:sz w:val="21"/>
                      <w:szCs w:val="21"/>
                    </w:rPr>
                    <w:t>黄梅溪</w:t>
                  </w:r>
                </w:p>
              </w:tc>
              <w:tc>
                <w:tcPr>
                  <w:tcW w:w="1080" w:type="dxa"/>
                  <w:vAlign w:val="top"/>
                </w:tcPr>
                <w:p>
                  <w:pPr>
                    <w:pStyle w:val="6"/>
                    <w:spacing w:before="185" w:line="224" w:lineRule="auto"/>
                    <w:ind w:left="443"/>
                    <w:rPr>
                      <w:sz w:val="21"/>
                      <w:szCs w:val="21"/>
                    </w:rPr>
                  </w:pPr>
                  <w:r>
                    <w:rPr>
                      <w:sz w:val="21"/>
                      <w:szCs w:val="21"/>
                    </w:rPr>
                    <w:t>西</w:t>
                  </w:r>
                </w:p>
              </w:tc>
              <w:tc>
                <w:tcPr>
                  <w:tcW w:w="1566" w:type="dxa"/>
                  <w:vAlign w:val="top"/>
                </w:tcPr>
                <w:p>
                  <w:pPr>
                    <w:spacing w:before="224"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1387</w:t>
                  </w:r>
                </w:p>
              </w:tc>
              <w:tc>
                <w:tcPr>
                  <w:tcW w:w="1560" w:type="dxa"/>
                  <w:vAlign w:val="top"/>
                </w:tcPr>
                <w:p>
                  <w:pPr>
                    <w:spacing w:before="209"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-334</w:t>
                  </w:r>
                </w:p>
              </w:tc>
              <w:tc>
                <w:tcPr>
                  <w:tcW w:w="2109" w:type="dxa"/>
                  <w:vAlign w:val="top"/>
                </w:tcPr>
                <w:p>
                  <w:pPr>
                    <w:pStyle w:val="6"/>
                    <w:spacing w:before="33" w:line="222" w:lineRule="auto"/>
                    <w:ind w:left="664" w:right="112" w:hanging="544"/>
                    <w:rPr>
                      <w:sz w:val="21"/>
                      <w:szCs w:val="21"/>
                    </w:rPr>
                  </w:pPr>
                  <w:r>
                    <w:rPr>
                      <w:spacing w:val="-3"/>
                      <w:sz w:val="21"/>
                      <w:szCs w:val="21"/>
                    </w:rPr>
                    <w:t>未划分水域功能，为</w:t>
                  </w:r>
                  <w:r>
                    <w:rPr>
                      <w:spacing w:val="7"/>
                      <w:sz w:val="21"/>
                      <w:szCs w:val="21"/>
                    </w:rPr>
                    <w:t xml:space="preserve"> </w:t>
                  </w:r>
                  <w:r>
                    <w:rPr>
                      <w:spacing w:val="-7"/>
                      <w:sz w:val="21"/>
                      <w:szCs w:val="21"/>
                    </w:rPr>
                    <w:t>巴河支流</w:t>
                  </w:r>
                </w:p>
              </w:tc>
              <w:tc>
                <w:tcPr>
                  <w:tcW w:w="100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610" w:type="dxa"/>
                  <w:gridSpan w:val="6"/>
                  <w:vAlign w:val="top"/>
                </w:tcPr>
                <w:p>
                  <w:pPr>
                    <w:pStyle w:val="6"/>
                    <w:spacing w:before="30" w:line="224" w:lineRule="auto"/>
                    <w:ind w:left="4043" w:right="125" w:hanging="3912"/>
                    <w:rPr>
                      <w:sz w:val="18"/>
                      <w:szCs w:val="18"/>
                    </w:rPr>
                  </w:pPr>
                  <w:r>
                    <w:rPr>
                      <w:spacing w:val="-3"/>
                      <w:sz w:val="18"/>
                      <w:szCs w:val="18"/>
                    </w:rPr>
                    <w:t>注</w:t>
                  </w:r>
                  <w:r>
                    <w:rPr>
                      <w:spacing w:val="-23"/>
                      <w:sz w:val="18"/>
                      <w:szCs w:val="18"/>
                    </w:rPr>
                    <w:t xml:space="preserve"> </w:t>
                  </w:r>
                  <w:r>
                    <w:rPr>
                      <w:rFonts w:ascii="Times New Roman" w:hAnsi="Times New Roman" w:eastAsia="Times New Roman" w:cs="Times New Roman"/>
                      <w:spacing w:val="-3"/>
                      <w:sz w:val="18"/>
                      <w:szCs w:val="18"/>
                    </w:rPr>
                    <w:t>1</w:t>
                  </w:r>
                  <w:r>
                    <w:rPr>
                      <w:spacing w:val="-3"/>
                      <w:sz w:val="18"/>
                      <w:szCs w:val="18"/>
                    </w:rPr>
                    <w:t>：</w:t>
                  </w:r>
                  <w:r>
                    <w:rPr>
                      <w:rFonts w:ascii="Times New Roman" w:hAnsi="Times New Roman" w:eastAsia="Times New Roman" w:cs="Times New Roman"/>
                      <w:spacing w:val="-3"/>
                      <w:sz w:val="18"/>
                      <w:szCs w:val="18"/>
                    </w:rPr>
                    <w:t>“+”</w:t>
                  </w:r>
                  <w:r>
                    <w:rPr>
                      <w:spacing w:val="-3"/>
                      <w:sz w:val="18"/>
                      <w:szCs w:val="18"/>
                    </w:rPr>
                    <w:t>表示水库或江河地面高程高于项目井口地面高程，</w:t>
                  </w:r>
                  <w:r>
                    <w:rPr>
                      <w:spacing w:val="41"/>
                      <w:sz w:val="18"/>
                      <w:szCs w:val="18"/>
                    </w:rPr>
                    <w:t xml:space="preserve"> </w:t>
                  </w:r>
                  <w:r>
                    <w:rPr>
                      <w:rFonts w:ascii="Times New Roman" w:hAnsi="Times New Roman" w:eastAsia="Times New Roman" w:cs="Times New Roman"/>
                      <w:spacing w:val="-3"/>
                      <w:sz w:val="18"/>
                      <w:szCs w:val="18"/>
                    </w:rPr>
                    <w:t>“-”</w:t>
                  </w:r>
                  <w:r>
                    <w:rPr>
                      <w:spacing w:val="-3"/>
                      <w:sz w:val="18"/>
                      <w:szCs w:val="18"/>
                    </w:rPr>
                    <w:t>表示水库或江河</w:t>
                  </w:r>
                  <w:r>
                    <w:rPr>
                      <w:spacing w:val="-4"/>
                      <w:sz w:val="18"/>
                      <w:szCs w:val="18"/>
                    </w:rPr>
                    <w:t>地面高程低于项目井口地面</w:t>
                  </w:r>
                  <w:r>
                    <w:rPr>
                      <w:sz w:val="18"/>
                      <w:szCs w:val="18"/>
                    </w:rPr>
                    <w:t xml:space="preserve"> </w:t>
                  </w:r>
                  <w:r>
                    <w:rPr>
                      <w:spacing w:val="-9"/>
                      <w:sz w:val="18"/>
                      <w:szCs w:val="18"/>
                    </w:rPr>
                    <w:t>高程。</w:t>
                  </w:r>
                </w:p>
              </w:tc>
            </w:tr>
          </w:tbl>
          <w:p>
            <w:pPr>
              <w:pStyle w:val="6"/>
              <w:spacing w:before="178" w:line="220"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spacing w:val="-1"/>
                <w:sz w:val="24"/>
                <w:szCs w:val="24"/>
                <w14:textOutline w14:w="4354" w14:cap="flat" w14:cmpd="sng">
                  <w14:solidFill>
                    <w14:srgbClr w14:val="000000"/>
                  </w14:solidFill>
                  <w14:prstDash w14:val="solid"/>
                  <w14:miter w14:val="10"/>
                </w14:textOutline>
              </w:rPr>
              <w:t>）地下水环境保护目标</w:t>
            </w:r>
          </w:p>
          <w:p>
            <w:pPr>
              <w:pStyle w:val="6"/>
              <w:spacing w:before="195" w:line="369" w:lineRule="auto"/>
              <w:ind w:left="570" w:right="102" w:firstLine="479"/>
              <w:jc w:val="both"/>
              <w:rPr>
                <w:sz w:val="24"/>
                <w:szCs w:val="24"/>
              </w:rPr>
            </w:pPr>
            <w:r>
              <w:rPr>
                <w:spacing w:val="-9"/>
                <w:sz w:val="24"/>
                <w:szCs w:val="24"/>
              </w:rPr>
              <w:t>经调查， 拟建项目地下水评价范围内无乡</w:t>
            </w:r>
            <w:r>
              <w:rPr>
                <w:spacing w:val="-10"/>
                <w:sz w:val="24"/>
                <w:szCs w:val="24"/>
              </w:rPr>
              <w:t>镇地下水集中式饮用水源分布，</w:t>
            </w:r>
            <w:r>
              <w:rPr>
                <w:spacing w:val="50"/>
                <w:sz w:val="24"/>
                <w:szCs w:val="24"/>
              </w:rPr>
              <w:t xml:space="preserve"> </w:t>
            </w:r>
            <w:r>
              <w:rPr>
                <w:spacing w:val="-10"/>
                <w:sz w:val="24"/>
                <w:szCs w:val="24"/>
              </w:rPr>
              <w:t>居民</w:t>
            </w:r>
            <w:r>
              <w:rPr>
                <w:sz w:val="24"/>
                <w:szCs w:val="24"/>
              </w:rPr>
              <w:t xml:space="preserve"> </w:t>
            </w:r>
            <w:r>
              <w:rPr>
                <w:spacing w:val="-9"/>
                <w:sz w:val="24"/>
                <w:szCs w:val="24"/>
              </w:rPr>
              <w:t>主要以自来水和分散式井泉水作为生活饮用水，</w:t>
            </w:r>
            <w:r>
              <w:rPr>
                <w:spacing w:val="67"/>
                <w:sz w:val="24"/>
                <w:szCs w:val="24"/>
              </w:rPr>
              <w:t xml:space="preserve"> </w:t>
            </w:r>
            <w:r>
              <w:rPr>
                <w:spacing w:val="-9"/>
                <w:sz w:val="24"/>
                <w:szCs w:val="24"/>
              </w:rPr>
              <w:t>因此，</w:t>
            </w:r>
            <w:r>
              <w:rPr>
                <w:spacing w:val="-10"/>
                <w:sz w:val="24"/>
                <w:szCs w:val="24"/>
              </w:rPr>
              <w:t xml:space="preserve"> 拟建项目地下水环境保护目</w:t>
            </w:r>
          </w:p>
          <w:p>
            <w:pPr>
              <w:pStyle w:val="6"/>
              <w:spacing w:line="218" w:lineRule="auto"/>
              <w:ind w:left="569"/>
              <w:rPr>
                <w:sz w:val="24"/>
                <w:szCs w:val="24"/>
              </w:rPr>
            </w:pPr>
            <w:r>
              <w:rPr>
                <w:spacing w:val="-1"/>
                <w:sz w:val="24"/>
                <w:szCs w:val="24"/>
              </w:rPr>
              <w:t>标为评价范围内的分散式饮用水井和侏罗系上统蓬莱镇</w:t>
            </w:r>
            <w:r>
              <w:rPr>
                <w:spacing w:val="-2"/>
                <w:sz w:val="24"/>
                <w:szCs w:val="24"/>
              </w:rPr>
              <w:t>组构造裂隙水含水层。</w:t>
            </w:r>
          </w:p>
          <w:p>
            <w:pPr>
              <w:pStyle w:val="6"/>
              <w:spacing w:before="198" w:line="369" w:lineRule="auto"/>
              <w:ind w:left="564" w:right="99" w:firstLine="484"/>
              <w:jc w:val="both"/>
              <w:rPr>
                <w:sz w:val="24"/>
                <w:szCs w:val="24"/>
              </w:rPr>
            </w:pPr>
            <w:r>
              <w:rPr>
                <w:spacing w:val="-8"/>
                <w:sz w:val="24"/>
                <w:szCs w:val="24"/>
              </w:rPr>
              <w:t>根据实地踏勘，</w:t>
            </w:r>
            <w:r>
              <w:rPr>
                <w:spacing w:val="64"/>
                <w:sz w:val="24"/>
                <w:szCs w:val="24"/>
              </w:rPr>
              <w:t xml:space="preserve"> </w:t>
            </w:r>
            <w:r>
              <w:rPr>
                <w:spacing w:val="-8"/>
                <w:sz w:val="24"/>
                <w:szCs w:val="24"/>
              </w:rPr>
              <w:t xml:space="preserve">凤探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1"/>
                <w:w w:val="101"/>
                <w:sz w:val="24"/>
                <w:szCs w:val="24"/>
              </w:rPr>
              <w:t xml:space="preserve"> </w:t>
            </w:r>
            <w:r>
              <w:rPr>
                <w:spacing w:val="-8"/>
                <w:sz w:val="24"/>
                <w:szCs w:val="24"/>
              </w:rPr>
              <w:t xml:space="preserve">井周边分布有分散式井泉 </w:t>
            </w:r>
            <w:r>
              <w:rPr>
                <w:rFonts w:ascii="Times New Roman" w:hAnsi="Times New Roman" w:eastAsia="Times New Roman" w:cs="Times New Roman"/>
                <w:spacing w:val="-8"/>
                <w:sz w:val="24"/>
                <w:szCs w:val="24"/>
              </w:rPr>
              <w:t xml:space="preserve">16  </w:t>
            </w:r>
            <w:r>
              <w:rPr>
                <w:spacing w:val="-8"/>
                <w:sz w:val="24"/>
                <w:szCs w:val="24"/>
              </w:rPr>
              <w:t>口</w:t>
            </w:r>
            <w:r>
              <w:rPr>
                <w:spacing w:val="-9"/>
                <w:sz w:val="24"/>
                <w:szCs w:val="24"/>
              </w:rPr>
              <w:t>，与项目井口的距离在</w:t>
            </w:r>
            <w:r>
              <w:rPr>
                <w:sz w:val="24"/>
                <w:szCs w:val="24"/>
              </w:rPr>
              <w:t xml:space="preserve"> </w:t>
            </w:r>
            <w:r>
              <w:rPr>
                <w:rFonts w:ascii="Times New Roman" w:hAnsi="Times New Roman" w:eastAsia="Times New Roman" w:cs="Times New Roman"/>
                <w:spacing w:val="-5"/>
                <w:sz w:val="24"/>
                <w:szCs w:val="24"/>
              </w:rPr>
              <w:t xml:space="preserve">247m~2758m </w:t>
            </w:r>
            <w:r>
              <w:rPr>
                <w:spacing w:val="-5"/>
                <w:sz w:val="24"/>
                <w:szCs w:val="24"/>
              </w:rPr>
              <w:t>之间，</w:t>
            </w:r>
            <w:r>
              <w:rPr>
                <w:spacing w:val="-37"/>
                <w:sz w:val="24"/>
                <w:szCs w:val="24"/>
              </w:rPr>
              <w:t xml:space="preserve"> </w:t>
            </w:r>
            <w:r>
              <w:rPr>
                <w:spacing w:val="-5"/>
                <w:sz w:val="24"/>
                <w:szCs w:val="24"/>
              </w:rPr>
              <w:t>下游的最近分散式井泉距离井口距离为</w:t>
            </w:r>
            <w:r>
              <w:rPr>
                <w:spacing w:val="-50"/>
                <w:sz w:val="24"/>
                <w:szCs w:val="24"/>
              </w:rPr>
              <w:t xml:space="preserve"> </w:t>
            </w:r>
            <w:r>
              <w:rPr>
                <w:rFonts w:ascii="Times New Roman" w:hAnsi="Times New Roman" w:eastAsia="Times New Roman" w:cs="Times New Roman"/>
                <w:spacing w:val="-5"/>
                <w:sz w:val="24"/>
                <w:szCs w:val="24"/>
              </w:rPr>
              <w:t>314m</w:t>
            </w:r>
            <w:r>
              <w:rPr>
                <w:spacing w:val="-5"/>
                <w:sz w:val="24"/>
                <w:szCs w:val="24"/>
              </w:rPr>
              <w:t>。其中项目地下水</w:t>
            </w:r>
            <w:r>
              <w:rPr>
                <w:sz w:val="24"/>
                <w:szCs w:val="24"/>
              </w:rPr>
              <w:t xml:space="preserve"> </w:t>
            </w:r>
            <w:r>
              <w:rPr>
                <w:spacing w:val="-4"/>
                <w:sz w:val="24"/>
                <w:szCs w:val="24"/>
              </w:rPr>
              <w:t xml:space="preserve">流向上游及两侧分布有 </w:t>
            </w:r>
            <w:r>
              <w:rPr>
                <w:rFonts w:ascii="Times New Roman" w:hAnsi="Times New Roman" w:eastAsia="Times New Roman" w:cs="Times New Roman"/>
                <w:spacing w:val="-4"/>
                <w:sz w:val="24"/>
                <w:szCs w:val="24"/>
              </w:rPr>
              <w:t xml:space="preserve">5  </w:t>
            </w:r>
            <w:r>
              <w:rPr>
                <w:spacing w:val="-4"/>
                <w:sz w:val="24"/>
                <w:szCs w:val="24"/>
              </w:rPr>
              <w:t xml:space="preserve">口井泉，下游分布有 </w:t>
            </w:r>
            <w:r>
              <w:rPr>
                <w:rFonts w:ascii="Times New Roman" w:hAnsi="Times New Roman" w:eastAsia="Times New Roman" w:cs="Times New Roman"/>
                <w:spacing w:val="-4"/>
                <w:sz w:val="24"/>
                <w:szCs w:val="24"/>
              </w:rPr>
              <w:t xml:space="preserve">11  </w:t>
            </w:r>
            <w:r>
              <w:rPr>
                <w:spacing w:val="-4"/>
                <w:sz w:val="24"/>
                <w:szCs w:val="24"/>
              </w:rPr>
              <w:t>口水井，以上井泉地下水类型均</w:t>
            </w:r>
            <w:r>
              <w:rPr>
                <w:spacing w:val="17"/>
                <w:sz w:val="24"/>
                <w:szCs w:val="24"/>
              </w:rPr>
              <w:t xml:space="preserve"> </w:t>
            </w:r>
            <w:r>
              <w:rPr>
                <w:spacing w:val="-1"/>
                <w:sz w:val="24"/>
                <w:szCs w:val="24"/>
              </w:rPr>
              <w:t xml:space="preserve">为侏罗系上统蓬莱镇组风化带裂隙水。以上居民水井深度介于 </w:t>
            </w:r>
            <w:r>
              <w:rPr>
                <w:rFonts w:ascii="Times New Roman" w:hAnsi="Times New Roman" w:eastAsia="Times New Roman" w:cs="Times New Roman"/>
                <w:spacing w:val="-1"/>
                <w:sz w:val="24"/>
                <w:szCs w:val="24"/>
              </w:rPr>
              <w:t>24m~35m</w:t>
            </w:r>
            <w:r>
              <w:rPr>
                <w:rFonts w:ascii="Times New Roman" w:hAnsi="Times New Roman" w:eastAsia="Times New Roman" w:cs="Times New Roman"/>
                <w:spacing w:val="49"/>
                <w:sz w:val="24"/>
                <w:szCs w:val="24"/>
              </w:rPr>
              <w:t xml:space="preserve"> </w:t>
            </w:r>
            <w:r>
              <w:rPr>
                <w:spacing w:val="-1"/>
                <w:sz w:val="24"/>
                <w:szCs w:val="24"/>
              </w:rPr>
              <w:t>之间</w:t>
            </w:r>
            <w:r>
              <w:rPr>
                <w:spacing w:val="-2"/>
                <w:sz w:val="24"/>
                <w:szCs w:val="24"/>
              </w:rPr>
              <w:t>，水</w:t>
            </w:r>
          </w:p>
          <w:p>
            <w:pPr>
              <w:pStyle w:val="6"/>
              <w:spacing w:before="1" w:line="227" w:lineRule="auto"/>
              <w:ind w:left="568"/>
              <w:rPr>
                <w:sz w:val="24"/>
                <w:szCs w:val="24"/>
              </w:rPr>
            </w:pPr>
            <w:r>
              <w:rPr>
                <w:spacing w:val="-1"/>
                <w:sz w:val="24"/>
                <w:szCs w:val="24"/>
              </w:rPr>
              <w:t>位埋深</w:t>
            </w:r>
            <w:r>
              <w:rPr>
                <w:spacing w:val="-51"/>
                <w:sz w:val="24"/>
                <w:szCs w:val="24"/>
              </w:rPr>
              <w:t xml:space="preserve"> </w:t>
            </w:r>
            <w:r>
              <w:rPr>
                <w:rFonts w:ascii="Times New Roman" w:hAnsi="Times New Roman" w:eastAsia="Times New Roman" w:cs="Times New Roman"/>
                <w:spacing w:val="-1"/>
                <w:sz w:val="24"/>
                <w:szCs w:val="24"/>
              </w:rPr>
              <w:t>3.7~8.3m</w:t>
            </w:r>
            <w:r>
              <w:rPr>
                <w:rFonts w:ascii="Times New Roman" w:hAnsi="Times New Roman" w:eastAsia="Times New Roman" w:cs="Times New Roman"/>
                <w:spacing w:val="-30"/>
                <w:sz w:val="24"/>
                <w:szCs w:val="24"/>
              </w:rPr>
              <w:t xml:space="preserve"> </w:t>
            </w:r>
            <w:r>
              <w:rPr>
                <w:spacing w:val="-1"/>
                <w:sz w:val="24"/>
                <w:szCs w:val="24"/>
              </w:rPr>
              <w:t>，泉水类型均为下降泉，具体的地下</w:t>
            </w:r>
            <w:r>
              <w:rPr>
                <w:spacing w:val="-2"/>
                <w:sz w:val="24"/>
                <w:szCs w:val="24"/>
              </w:rPr>
              <w:t>水环境保护目标如下表。</w:t>
            </w:r>
          </w:p>
        </w:tc>
      </w:tr>
    </w:tbl>
    <w:p>
      <w:pPr>
        <w:pStyle w:val="2"/>
        <w:rPr>
          <w:sz w:val="21"/>
        </w:rPr>
      </w:pPr>
    </w:p>
    <w:p>
      <w:pPr>
        <w:rPr>
          <w:sz w:val="21"/>
          <w:szCs w:val="21"/>
        </w:rPr>
        <w:sectPr>
          <w:footerReference r:id="rId82"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12" w:hRule="atLeast"/>
        </w:trPr>
        <w:tc>
          <w:tcPr>
            <w:tcW w:w="9291" w:type="dxa"/>
            <w:vAlign w:val="top"/>
          </w:tcPr>
          <w:p>
            <w:pPr>
              <w:spacing w:line="290" w:lineRule="auto"/>
              <w:rPr>
                <w:rFonts w:ascii="Arial"/>
                <w:sz w:val="21"/>
              </w:rPr>
            </w:pPr>
            <w:r>
              <w:pict>
                <v:rect id="_x0000_s1281" o:spid="_x0000_s1281" o:spt="1" style="position:absolute;left:0pt;margin-left:22.75pt;margin-top:0.95pt;height:675.25pt;width:0.5pt;mso-position-horizontal-relative:page;mso-position-vertical-relative:page;z-index:251828224;mso-width-relative:page;mso-height-relative:page;" fillcolor="#000000" filled="t" stroked="f" coordsize="21600,21600">
                  <v:path/>
                  <v:fill on="t" focussize="0,0"/>
                  <v:stroke on="f"/>
                  <v:imagedata o:title=""/>
                  <o:lock v:ext="edit"/>
                </v:rect>
              </w:pict>
            </w:r>
          </w:p>
          <w:p>
            <w:pPr>
              <w:spacing w:line="290" w:lineRule="auto"/>
              <w:rPr>
                <w:rFonts w:ascii="Arial"/>
                <w:sz w:val="21"/>
              </w:rPr>
            </w:pPr>
          </w:p>
          <w:p>
            <w:pPr>
              <w:pStyle w:val="6"/>
              <w:spacing w:before="78" w:line="220" w:lineRule="auto"/>
              <w:ind w:left="3267"/>
              <w:rPr>
                <w:sz w:val="24"/>
                <w:szCs w:val="24"/>
              </w:rPr>
            </w:pPr>
            <w:r>
              <w:rPr>
                <w:spacing w:val="-1"/>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pacing w:val="-1"/>
                <w:sz w:val="24"/>
                <w:szCs w:val="24"/>
              </w:rPr>
              <w:t xml:space="preserve">3.4-4    </w:t>
            </w:r>
            <w:r>
              <w:rPr>
                <w:spacing w:val="-1"/>
                <w:sz w:val="24"/>
                <w:szCs w:val="24"/>
                <w14:textOutline w14:w="4354" w14:cap="flat" w14:cmpd="sng">
                  <w14:solidFill>
                    <w14:srgbClr w14:val="000000"/>
                  </w14:solidFill>
                  <w14:prstDash w14:val="solid"/>
                  <w14:miter w14:val="10"/>
                </w14:textOutline>
              </w:rPr>
              <w:t>地下水环境保护目标</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197"/>
              <w:gridCol w:w="982"/>
              <w:gridCol w:w="396"/>
              <w:gridCol w:w="616"/>
              <w:gridCol w:w="717"/>
              <w:gridCol w:w="715"/>
              <w:gridCol w:w="775"/>
              <w:gridCol w:w="688"/>
              <w:gridCol w:w="592"/>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86" w:type="dxa"/>
                  <w:vAlign w:val="top"/>
                </w:tcPr>
                <w:p>
                  <w:pPr>
                    <w:pStyle w:val="6"/>
                    <w:spacing w:before="250" w:line="220" w:lineRule="auto"/>
                    <w:ind w:left="168"/>
                    <w:rPr>
                      <w:sz w:val="18"/>
                      <w:szCs w:val="18"/>
                    </w:rPr>
                  </w:pPr>
                  <w:r>
                    <w:rPr>
                      <w:spacing w:val="-3"/>
                      <w:sz w:val="18"/>
                      <w:szCs w:val="18"/>
                    </w:rPr>
                    <w:t>编号</w:t>
                  </w:r>
                </w:p>
              </w:tc>
              <w:tc>
                <w:tcPr>
                  <w:tcW w:w="1197" w:type="dxa"/>
                  <w:vAlign w:val="top"/>
                </w:tcPr>
                <w:p>
                  <w:pPr>
                    <w:pStyle w:val="6"/>
                    <w:spacing w:before="251" w:line="220" w:lineRule="auto"/>
                    <w:ind w:left="332"/>
                    <w:rPr>
                      <w:sz w:val="18"/>
                      <w:szCs w:val="18"/>
                    </w:rPr>
                  </w:pPr>
                  <w:r>
                    <w:rPr>
                      <w:spacing w:val="-3"/>
                      <w:sz w:val="18"/>
                      <w:szCs w:val="18"/>
                    </w:rPr>
                    <w:t>经度</w:t>
                  </w:r>
                  <w:r>
                    <w:rPr>
                      <w:spacing w:val="-67"/>
                      <w:sz w:val="18"/>
                      <w:szCs w:val="18"/>
                    </w:rPr>
                    <w:t xml:space="preserve"> </w:t>
                  </w:r>
                  <w:r>
                    <w:rPr>
                      <w:spacing w:val="-3"/>
                      <w:sz w:val="18"/>
                      <w:szCs w:val="18"/>
                    </w:rPr>
                    <w:t>°</w:t>
                  </w:r>
                </w:p>
              </w:tc>
              <w:tc>
                <w:tcPr>
                  <w:tcW w:w="982" w:type="dxa"/>
                  <w:vAlign w:val="top"/>
                </w:tcPr>
                <w:p>
                  <w:pPr>
                    <w:pStyle w:val="6"/>
                    <w:spacing w:before="251" w:line="220" w:lineRule="auto"/>
                    <w:ind w:left="226"/>
                    <w:rPr>
                      <w:sz w:val="18"/>
                      <w:szCs w:val="18"/>
                    </w:rPr>
                  </w:pPr>
                  <w:r>
                    <w:rPr>
                      <w:spacing w:val="-3"/>
                      <w:sz w:val="18"/>
                      <w:szCs w:val="18"/>
                    </w:rPr>
                    <w:t>纬度</w:t>
                  </w:r>
                  <w:r>
                    <w:rPr>
                      <w:spacing w:val="-66"/>
                      <w:sz w:val="18"/>
                      <w:szCs w:val="18"/>
                    </w:rPr>
                    <w:t xml:space="preserve"> </w:t>
                  </w:r>
                  <w:r>
                    <w:rPr>
                      <w:spacing w:val="-3"/>
                      <w:sz w:val="18"/>
                      <w:szCs w:val="18"/>
                    </w:rPr>
                    <w:t>°</w:t>
                  </w:r>
                </w:p>
              </w:tc>
              <w:tc>
                <w:tcPr>
                  <w:tcW w:w="396" w:type="dxa"/>
                  <w:textDirection w:val="tbRlV"/>
                  <w:vAlign w:val="top"/>
                </w:tcPr>
                <w:p>
                  <w:pPr>
                    <w:pStyle w:val="6"/>
                    <w:spacing w:before="106" w:line="208" w:lineRule="auto"/>
                    <w:ind w:left="133"/>
                    <w:rPr>
                      <w:sz w:val="18"/>
                      <w:szCs w:val="18"/>
                    </w:rPr>
                  </w:pPr>
                  <w:r>
                    <w:rPr>
                      <w:sz w:val="18"/>
                      <w:szCs w:val="18"/>
                    </w:rPr>
                    <w:t>类</w:t>
                  </w:r>
                  <w:r>
                    <w:rPr>
                      <w:spacing w:val="-35"/>
                      <w:sz w:val="18"/>
                      <w:szCs w:val="18"/>
                    </w:rPr>
                    <w:t xml:space="preserve"> </w:t>
                  </w:r>
                  <w:r>
                    <w:rPr>
                      <w:sz w:val="18"/>
                      <w:szCs w:val="18"/>
                    </w:rPr>
                    <w:t>型</w:t>
                  </w:r>
                </w:p>
              </w:tc>
              <w:tc>
                <w:tcPr>
                  <w:tcW w:w="616" w:type="dxa"/>
                  <w:vAlign w:val="top"/>
                </w:tcPr>
                <w:p>
                  <w:pPr>
                    <w:pStyle w:val="6"/>
                    <w:spacing w:before="147" w:line="226" w:lineRule="auto"/>
                    <w:ind w:left="111" w:right="108" w:firstLine="18"/>
                    <w:rPr>
                      <w:rFonts w:ascii="Times New Roman" w:hAnsi="Times New Roman" w:eastAsia="Times New Roman" w:cs="Times New Roman"/>
                      <w:sz w:val="18"/>
                      <w:szCs w:val="18"/>
                    </w:rPr>
                  </w:pPr>
                  <w:r>
                    <w:rPr>
                      <w:spacing w:val="-4"/>
                      <w:sz w:val="18"/>
                      <w:szCs w:val="18"/>
                    </w:rPr>
                    <w:t>井径</w:t>
                  </w:r>
                  <w:r>
                    <w:rPr>
                      <w:sz w:val="18"/>
                      <w:szCs w:val="18"/>
                    </w:rPr>
                    <w:t xml:space="preserve"> </w:t>
                  </w:r>
                  <w:r>
                    <w:rPr>
                      <w:rFonts w:ascii="Times New Roman" w:hAnsi="Times New Roman" w:eastAsia="Times New Roman" w:cs="Times New Roman"/>
                      <w:spacing w:val="-3"/>
                      <w:sz w:val="18"/>
                      <w:szCs w:val="18"/>
                    </w:rPr>
                    <w:t>(mm)</w:t>
                  </w:r>
                </w:p>
              </w:tc>
              <w:tc>
                <w:tcPr>
                  <w:tcW w:w="717" w:type="dxa"/>
                  <w:vAlign w:val="top"/>
                </w:tcPr>
                <w:p>
                  <w:pPr>
                    <w:pStyle w:val="6"/>
                    <w:spacing w:before="134" w:line="243" w:lineRule="auto"/>
                    <w:ind w:left="116" w:right="119" w:firstLine="64"/>
                    <w:rPr>
                      <w:sz w:val="18"/>
                      <w:szCs w:val="18"/>
                    </w:rPr>
                  </w:pPr>
                  <w:r>
                    <w:rPr>
                      <w:spacing w:val="-4"/>
                      <w:sz w:val="18"/>
                      <w:szCs w:val="18"/>
                    </w:rPr>
                    <w:t>井深</w:t>
                  </w:r>
                  <w:r>
                    <w:rPr>
                      <w:sz w:val="18"/>
                      <w:szCs w:val="18"/>
                    </w:rPr>
                    <w:t xml:space="preserve"> </w:t>
                  </w:r>
                  <w:r>
                    <w:rPr>
                      <w:spacing w:val="-9"/>
                      <w:sz w:val="18"/>
                      <w:szCs w:val="18"/>
                    </w:rPr>
                    <w:t>（</w:t>
                  </w:r>
                  <w:r>
                    <w:rPr>
                      <w:rFonts w:ascii="Times New Roman" w:hAnsi="Times New Roman" w:eastAsia="Times New Roman" w:cs="Times New Roman"/>
                      <w:spacing w:val="-9"/>
                      <w:sz w:val="18"/>
                      <w:szCs w:val="18"/>
                    </w:rPr>
                    <w:t>m</w:t>
                  </w:r>
                  <w:r>
                    <w:rPr>
                      <w:spacing w:val="-9"/>
                      <w:sz w:val="18"/>
                      <w:szCs w:val="18"/>
                    </w:rPr>
                    <w:t>）</w:t>
                  </w:r>
                </w:p>
              </w:tc>
              <w:tc>
                <w:tcPr>
                  <w:tcW w:w="715" w:type="dxa"/>
                  <w:vAlign w:val="top"/>
                </w:tcPr>
                <w:p>
                  <w:pPr>
                    <w:pStyle w:val="6"/>
                    <w:spacing w:before="134" w:line="243" w:lineRule="auto"/>
                    <w:ind w:left="117" w:right="116" w:firstLine="65"/>
                    <w:rPr>
                      <w:sz w:val="18"/>
                      <w:szCs w:val="18"/>
                    </w:rPr>
                  </w:pPr>
                  <w:r>
                    <w:rPr>
                      <w:spacing w:val="-4"/>
                      <w:sz w:val="18"/>
                      <w:szCs w:val="18"/>
                    </w:rPr>
                    <w:t>埋深</w:t>
                  </w:r>
                  <w:r>
                    <w:rPr>
                      <w:sz w:val="18"/>
                      <w:szCs w:val="18"/>
                    </w:rPr>
                    <w:t xml:space="preserve"> </w:t>
                  </w:r>
                  <w:r>
                    <w:rPr>
                      <w:spacing w:val="-9"/>
                      <w:sz w:val="18"/>
                      <w:szCs w:val="18"/>
                    </w:rPr>
                    <w:t>（</w:t>
                  </w:r>
                  <w:r>
                    <w:rPr>
                      <w:rFonts w:ascii="Times New Roman" w:hAnsi="Times New Roman" w:eastAsia="Times New Roman" w:cs="Times New Roman"/>
                      <w:spacing w:val="-9"/>
                      <w:sz w:val="18"/>
                      <w:szCs w:val="18"/>
                    </w:rPr>
                    <w:t>m</w:t>
                  </w:r>
                  <w:r>
                    <w:rPr>
                      <w:spacing w:val="-9"/>
                      <w:sz w:val="18"/>
                      <w:szCs w:val="18"/>
                    </w:rPr>
                    <w:t>）</w:t>
                  </w:r>
                </w:p>
              </w:tc>
              <w:tc>
                <w:tcPr>
                  <w:tcW w:w="775" w:type="dxa"/>
                  <w:vAlign w:val="top"/>
                </w:tcPr>
                <w:p>
                  <w:pPr>
                    <w:pStyle w:val="6"/>
                    <w:spacing w:before="134" w:line="243" w:lineRule="auto"/>
                    <w:ind w:left="149" w:right="145" w:firstLine="69"/>
                    <w:rPr>
                      <w:sz w:val="18"/>
                      <w:szCs w:val="18"/>
                    </w:rPr>
                  </w:pPr>
                  <w:r>
                    <w:rPr>
                      <w:spacing w:val="-6"/>
                      <w:sz w:val="18"/>
                      <w:szCs w:val="18"/>
                    </w:rPr>
                    <w:t>高程</w:t>
                  </w:r>
                  <w:r>
                    <w:rPr>
                      <w:sz w:val="18"/>
                      <w:szCs w:val="18"/>
                    </w:rPr>
                    <w:t xml:space="preserve"> </w:t>
                  </w:r>
                  <w:r>
                    <w:rPr>
                      <w:spacing w:val="-9"/>
                      <w:sz w:val="18"/>
                      <w:szCs w:val="18"/>
                    </w:rPr>
                    <w:t>（</w:t>
                  </w:r>
                  <w:r>
                    <w:rPr>
                      <w:rFonts w:ascii="Times New Roman" w:hAnsi="Times New Roman" w:eastAsia="Times New Roman" w:cs="Times New Roman"/>
                      <w:spacing w:val="-9"/>
                      <w:sz w:val="18"/>
                      <w:szCs w:val="18"/>
                    </w:rPr>
                    <w:t>m</w:t>
                  </w:r>
                  <w:r>
                    <w:rPr>
                      <w:spacing w:val="-9"/>
                      <w:sz w:val="18"/>
                      <w:szCs w:val="18"/>
                    </w:rPr>
                    <w:t>）</w:t>
                  </w:r>
                </w:p>
              </w:tc>
              <w:tc>
                <w:tcPr>
                  <w:tcW w:w="688" w:type="dxa"/>
                  <w:vAlign w:val="top"/>
                </w:tcPr>
                <w:p>
                  <w:pPr>
                    <w:pStyle w:val="6"/>
                    <w:spacing w:before="29" w:line="219" w:lineRule="auto"/>
                    <w:ind w:left="168"/>
                    <w:rPr>
                      <w:sz w:val="18"/>
                      <w:szCs w:val="18"/>
                    </w:rPr>
                  </w:pPr>
                  <w:r>
                    <w:rPr>
                      <w:spacing w:val="-2"/>
                      <w:sz w:val="18"/>
                      <w:szCs w:val="18"/>
                    </w:rPr>
                    <w:t>供水</w:t>
                  </w:r>
                </w:p>
                <w:p>
                  <w:pPr>
                    <w:pStyle w:val="6"/>
                    <w:spacing w:before="22" w:line="225" w:lineRule="auto"/>
                    <w:ind w:left="259"/>
                    <w:rPr>
                      <w:sz w:val="18"/>
                      <w:szCs w:val="18"/>
                    </w:rPr>
                  </w:pPr>
                  <w:r>
                    <w:rPr>
                      <w:sz w:val="18"/>
                      <w:szCs w:val="18"/>
                    </w:rPr>
                    <w:t>量</w:t>
                  </w:r>
                </w:p>
                <w:p>
                  <w:pPr>
                    <w:spacing w:before="14" w:line="202"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(m</w:t>
                  </w:r>
                  <w:r>
                    <w:rPr>
                      <w:rFonts w:ascii="Times New Roman" w:hAnsi="Times New Roman" w:eastAsia="Times New Roman" w:cs="Times New Roman"/>
                      <w:spacing w:val="-2"/>
                      <w:position w:val="5"/>
                      <w:sz w:val="12"/>
                      <w:szCs w:val="12"/>
                    </w:rPr>
                    <w:t>3</w:t>
                  </w:r>
                  <w:r>
                    <w:rPr>
                      <w:rFonts w:ascii="Times New Roman" w:hAnsi="Times New Roman" w:eastAsia="Times New Roman" w:cs="Times New Roman"/>
                      <w:spacing w:val="-2"/>
                      <w:sz w:val="18"/>
                      <w:szCs w:val="18"/>
                    </w:rPr>
                    <w:t>/d)</w:t>
                  </w:r>
                </w:p>
              </w:tc>
              <w:tc>
                <w:tcPr>
                  <w:tcW w:w="592" w:type="dxa"/>
                  <w:vAlign w:val="top"/>
                </w:tcPr>
                <w:p>
                  <w:pPr>
                    <w:pStyle w:val="6"/>
                    <w:spacing w:before="133" w:line="230" w:lineRule="auto"/>
                    <w:ind w:left="123" w:right="110" w:firstLine="15"/>
                    <w:rPr>
                      <w:sz w:val="18"/>
                      <w:szCs w:val="18"/>
                    </w:rPr>
                  </w:pPr>
                  <w:r>
                    <w:rPr>
                      <w:spacing w:val="-12"/>
                      <w:sz w:val="18"/>
                      <w:szCs w:val="18"/>
                    </w:rPr>
                    <w:t>出露</w:t>
                  </w:r>
                  <w:r>
                    <w:rPr>
                      <w:sz w:val="18"/>
                      <w:szCs w:val="18"/>
                    </w:rPr>
                    <w:t xml:space="preserve"> </w:t>
                  </w:r>
                  <w:r>
                    <w:rPr>
                      <w:spacing w:val="-4"/>
                      <w:sz w:val="18"/>
                      <w:szCs w:val="18"/>
                    </w:rPr>
                    <w:t>层位</w:t>
                  </w:r>
                </w:p>
              </w:tc>
              <w:tc>
                <w:tcPr>
                  <w:tcW w:w="1246" w:type="dxa"/>
                  <w:vAlign w:val="top"/>
                </w:tcPr>
                <w:p>
                  <w:pPr>
                    <w:pStyle w:val="6"/>
                    <w:spacing w:before="132" w:line="231" w:lineRule="auto"/>
                    <w:ind w:left="268" w:right="170" w:hanging="87"/>
                    <w:rPr>
                      <w:sz w:val="18"/>
                      <w:szCs w:val="18"/>
                    </w:rPr>
                  </w:pPr>
                  <w:r>
                    <w:rPr>
                      <w:spacing w:val="-3"/>
                      <w:sz w:val="18"/>
                      <w:szCs w:val="18"/>
                    </w:rPr>
                    <w:t>与工程相对</w:t>
                  </w:r>
                  <w:r>
                    <w:rPr>
                      <w:spacing w:val="3"/>
                      <w:sz w:val="18"/>
                      <w:szCs w:val="18"/>
                    </w:rPr>
                    <w:t xml:space="preserve"> </w:t>
                  </w:r>
                  <w:r>
                    <w:rPr>
                      <w:spacing w:val="-2"/>
                      <w:sz w:val="18"/>
                      <w:szCs w:val="18"/>
                    </w:rPr>
                    <w:t>位置关系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2"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Q1</w:t>
                  </w:r>
                </w:p>
              </w:tc>
              <w:tc>
                <w:tcPr>
                  <w:tcW w:w="1197" w:type="dxa"/>
                  <w:vAlign w:val="top"/>
                </w:tcPr>
                <w:p>
                  <w:pPr>
                    <w:spacing w:before="175"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107.240969</w:t>
                  </w:r>
                </w:p>
              </w:tc>
              <w:tc>
                <w:tcPr>
                  <w:tcW w:w="982" w:type="dxa"/>
                  <w:vAlign w:val="top"/>
                </w:tcPr>
                <w:p>
                  <w:pPr>
                    <w:spacing w:before="175"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31.438383</w:t>
                  </w:r>
                </w:p>
              </w:tc>
              <w:tc>
                <w:tcPr>
                  <w:tcW w:w="396" w:type="dxa"/>
                  <w:vAlign w:val="top"/>
                </w:tcPr>
                <w:p>
                  <w:pPr>
                    <w:pStyle w:val="6"/>
                    <w:spacing w:before="142" w:line="220" w:lineRule="auto"/>
                    <w:ind w:left="112"/>
                    <w:rPr>
                      <w:sz w:val="18"/>
                      <w:szCs w:val="18"/>
                    </w:rPr>
                  </w:pPr>
                  <w:r>
                    <w:rPr>
                      <w:sz w:val="18"/>
                      <w:szCs w:val="18"/>
                    </w:rPr>
                    <w:t>泉</w:t>
                  </w:r>
                </w:p>
              </w:tc>
              <w:tc>
                <w:tcPr>
                  <w:tcW w:w="616" w:type="dxa"/>
                  <w:vAlign w:val="top"/>
                </w:tcPr>
                <w:p>
                  <w:pPr>
                    <w:spacing w:before="172"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2"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2"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5"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562.39</w:t>
                  </w:r>
                </w:p>
              </w:tc>
              <w:tc>
                <w:tcPr>
                  <w:tcW w:w="688" w:type="dxa"/>
                  <w:vAlign w:val="top"/>
                </w:tcPr>
                <w:p>
                  <w:pPr>
                    <w:spacing w:before="175"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1.34</w:t>
                  </w:r>
                </w:p>
              </w:tc>
              <w:tc>
                <w:tcPr>
                  <w:tcW w:w="592" w:type="dxa"/>
                  <w:vAlign w:val="top"/>
                </w:tcPr>
                <w:p>
                  <w:pPr>
                    <w:spacing w:before="156"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25" w:line="224" w:lineRule="auto"/>
                    <w:ind w:left="308" w:right="170" w:hanging="131"/>
                    <w:rPr>
                      <w:rFonts w:ascii="Times New Roman" w:hAnsi="Times New Roman" w:eastAsia="Times New Roman" w:cs="Times New Roman"/>
                      <w:sz w:val="18"/>
                      <w:szCs w:val="18"/>
                    </w:rPr>
                  </w:pPr>
                  <w:r>
                    <w:rPr>
                      <w:spacing w:val="-2"/>
                      <w:sz w:val="18"/>
                      <w:szCs w:val="18"/>
                    </w:rPr>
                    <w:t>井口东南下</w:t>
                  </w:r>
                  <w:r>
                    <w:rPr>
                      <w:spacing w:val="1"/>
                      <w:sz w:val="18"/>
                      <w:szCs w:val="18"/>
                    </w:rPr>
                    <w:t xml:space="preserve"> </w:t>
                  </w:r>
                  <w:r>
                    <w:rPr>
                      <w:spacing w:val="-3"/>
                      <w:sz w:val="18"/>
                      <w:szCs w:val="18"/>
                    </w:rPr>
                    <w:t>游</w:t>
                  </w:r>
                  <w:r>
                    <w:rPr>
                      <w:spacing w:val="-37"/>
                      <w:sz w:val="18"/>
                      <w:szCs w:val="18"/>
                    </w:rPr>
                    <w:t xml:space="preserve"> </w:t>
                  </w:r>
                  <w:r>
                    <w:rPr>
                      <w:rFonts w:ascii="Times New Roman" w:hAnsi="Times New Roman" w:eastAsia="Times New Roman" w:cs="Times New Roman"/>
                      <w:spacing w:val="-3"/>
                      <w:sz w:val="18"/>
                      <w:szCs w:val="18"/>
                    </w:rPr>
                    <w:t>729m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3"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Q2</w:t>
                  </w:r>
                </w:p>
              </w:tc>
              <w:tc>
                <w:tcPr>
                  <w:tcW w:w="1197" w:type="dxa"/>
                  <w:vAlign w:val="top"/>
                </w:tcPr>
                <w:p>
                  <w:pPr>
                    <w:spacing w:before="176"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107.239892</w:t>
                  </w:r>
                </w:p>
              </w:tc>
              <w:tc>
                <w:tcPr>
                  <w:tcW w:w="982" w:type="dxa"/>
                  <w:vAlign w:val="top"/>
                </w:tcPr>
                <w:p>
                  <w:pPr>
                    <w:spacing w:before="176"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31.442131</w:t>
                  </w:r>
                </w:p>
              </w:tc>
              <w:tc>
                <w:tcPr>
                  <w:tcW w:w="396" w:type="dxa"/>
                  <w:vAlign w:val="top"/>
                </w:tcPr>
                <w:p>
                  <w:pPr>
                    <w:pStyle w:val="6"/>
                    <w:spacing w:before="143" w:line="220" w:lineRule="auto"/>
                    <w:ind w:left="112"/>
                    <w:rPr>
                      <w:sz w:val="18"/>
                      <w:szCs w:val="18"/>
                    </w:rPr>
                  </w:pPr>
                  <w:r>
                    <w:rPr>
                      <w:sz w:val="18"/>
                      <w:szCs w:val="18"/>
                    </w:rPr>
                    <w:t>泉</w:t>
                  </w:r>
                </w:p>
              </w:tc>
              <w:tc>
                <w:tcPr>
                  <w:tcW w:w="616" w:type="dxa"/>
                  <w:vAlign w:val="top"/>
                </w:tcPr>
                <w:p>
                  <w:pPr>
                    <w:spacing w:before="173"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3"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3"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6"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571.98</w:t>
                  </w:r>
                </w:p>
              </w:tc>
              <w:tc>
                <w:tcPr>
                  <w:tcW w:w="688" w:type="dxa"/>
                  <w:vAlign w:val="top"/>
                </w:tcPr>
                <w:p>
                  <w:pPr>
                    <w:spacing w:before="176"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0.75</w:t>
                  </w:r>
                </w:p>
              </w:tc>
              <w:tc>
                <w:tcPr>
                  <w:tcW w:w="592" w:type="dxa"/>
                  <w:vAlign w:val="top"/>
                </w:tcPr>
                <w:p>
                  <w:pPr>
                    <w:spacing w:before="156"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25" w:line="224" w:lineRule="auto"/>
                    <w:ind w:left="308" w:right="170" w:hanging="131"/>
                    <w:rPr>
                      <w:rFonts w:ascii="Times New Roman" w:hAnsi="Times New Roman" w:eastAsia="Times New Roman" w:cs="Times New Roman"/>
                      <w:sz w:val="18"/>
                      <w:szCs w:val="18"/>
                    </w:rPr>
                  </w:pPr>
                  <w:r>
                    <w:rPr>
                      <w:spacing w:val="-2"/>
                      <w:sz w:val="18"/>
                      <w:szCs w:val="18"/>
                    </w:rPr>
                    <w:t>井口东南下</w:t>
                  </w:r>
                  <w:r>
                    <w:rPr>
                      <w:spacing w:val="1"/>
                      <w:sz w:val="18"/>
                      <w:szCs w:val="18"/>
                    </w:rPr>
                    <w:t xml:space="preserve"> </w:t>
                  </w:r>
                  <w:r>
                    <w:rPr>
                      <w:spacing w:val="-3"/>
                      <w:sz w:val="18"/>
                      <w:szCs w:val="18"/>
                    </w:rPr>
                    <w:t>游</w:t>
                  </w:r>
                  <w:r>
                    <w:rPr>
                      <w:spacing w:val="-37"/>
                      <w:sz w:val="18"/>
                      <w:szCs w:val="18"/>
                    </w:rPr>
                    <w:t xml:space="preserve"> </w:t>
                  </w:r>
                  <w:r>
                    <w:rPr>
                      <w:rFonts w:ascii="Times New Roman" w:hAnsi="Times New Roman" w:eastAsia="Times New Roman" w:cs="Times New Roman"/>
                      <w:spacing w:val="-3"/>
                      <w:sz w:val="18"/>
                      <w:szCs w:val="18"/>
                    </w:rPr>
                    <w:t>314m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86" w:type="dxa"/>
                  <w:vAlign w:val="top"/>
                </w:tcPr>
                <w:p>
                  <w:pPr>
                    <w:spacing w:before="173"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Q3</w:t>
                  </w:r>
                </w:p>
              </w:tc>
              <w:tc>
                <w:tcPr>
                  <w:tcW w:w="1197" w:type="dxa"/>
                  <w:vAlign w:val="top"/>
                </w:tcPr>
                <w:p>
                  <w:pPr>
                    <w:spacing w:before="176"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107.236720</w:t>
                  </w:r>
                </w:p>
              </w:tc>
              <w:tc>
                <w:tcPr>
                  <w:tcW w:w="982" w:type="dxa"/>
                  <w:vAlign w:val="top"/>
                </w:tcPr>
                <w:p>
                  <w:pPr>
                    <w:spacing w:before="176"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31.442464</w:t>
                  </w:r>
                </w:p>
              </w:tc>
              <w:tc>
                <w:tcPr>
                  <w:tcW w:w="396" w:type="dxa"/>
                  <w:vAlign w:val="top"/>
                </w:tcPr>
                <w:p>
                  <w:pPr>
                    <w:pStyle w:val="6"/>
                    <w:spacing w:before="141" w:line="220" w:lineRule="auto"/>
                    <w:ind w:left="112"/>
                    <w:rPr>
                      <w:sz w:val="18"/>
                      <w:szCs w:val="18"/>
                    </w:rPr>
                  </w:pPr>
                  <w:r>
                    <w:rPr>
                      <w:sz w:val="18"/>
                      <w:szCs w:val="18"/>
                    </w:rPr>
                    <w:t>泉</w:t>
                  </w:r>
                </w:p>
              </w:tc>
              <w:tc>
                <w:tcPr>
                  <w:tcW w:w="616" w:type="dxa"/>
                  <w:vAlign w:val="top"/>
                </w:tcPr>
                <w:p>
                  <w:pPr>
                    <w:spacing w:before="173"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3"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3"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6"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648.57</w:t>
                  </w:r>
                </w:p>
              </w:tc>
              <w:tc>
                <w:tcPr>
                  <w:tcW w:w="688" w:type="dxa"/>
                  <w:vAlign w:val="top"/>
                </w:tcPr>
                <w:p>
                  <w:pPr>
                    <w:spacing w:before="176"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0.92</w:t>
                  </w:r>
                </w:p>
              </w:tc>
              <w:tc>
                <w:tcPr>
                  <w:tcW w:w="592" w:type="dxa"/>
                  <w:vAlign w:val="top"/>
                </w:tcPr>
                <w:p>
                  <w:pPr>
                    <w:spacing w:before="157"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27" w:line="222" w:lineRule="auto"/>
                    <w:ind w:left="327" w:right="170" w:hanging="150"/>
                    <w:rPr>
                      <w:rFonts w:ascii="Times New Roman" w:hAnsi="Times New Roman" w:eastAsia="Times New Roman" w:cs="Times New Roman"/>
                      <w:sz w:val="18"/>
                      <w:szCs w:val="18"/>
                    </w:rPr>
                  </w:pPr>
                  <w:r>
                    <w:rPr>
                      <w:spacing w:val="-2"/>
                      <w:sz w:val="18"/>
                      <w:szCs w:val="18"/>
                    </w:rPr>
                    <w:t>井口西南侧</w:t>
                  </w:r>
                  <w:r>
                    <w:rPr>
                      <w:spacing w:val="1"/>
                      <w:sz w:val="18"/>
                      <w:szCs w:val="18"/>
                    </w:rPr>
                    <w:t xml:space="preserve"> </w:t>
                  </w:r>
                  <w:r>
                    <w:rPr>
                      <w:spacing w:val="-6"/>
                      <w:sz w:val="18"/>
                      <w:szCs w:val="18"/>
                    </w:rPr>
                    <w:t>向</w:t>
                  </w:r>
                  <w:r>
                    <w:rPr>
                      <w:spacing w:val="-40"/>
                      <w:sz w:val="18"/>
                      <w:szCs w:val="18"/>
                    </w:rPr>
                    <w:t xml:space="preserve"> </w:t>
                  </w:r>
                  <w:r>
                    <w:rPr>
                      <w:rFonts w:ascii="Times New Roman" w:hAnsi="Times New Roman" w:eastAsia="Times New Roman" w:cs="Times New Roman"/>
                      <w:spacing w:val="-6"/>
                      <w:sz w:val="18"/>
                      <w:szCs w:val="18"/>
                    </w:rPr>
                    <w:t>253m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6"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Q4</w:t>
                  </w:r>
                </w:p>
              </w:tc>
              <w:tc>
                <w:tcPr>
                  <w:tcW w:w="1197" w:type="dxa"/>
                  <w:vAlign w:val="top"/>
                </w:tcPr>
                <w:p>
                  <w:pPr>
                    <w:spacing w:before="179"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107.227538</w:t>
                  </w:r>
                </w:p>
              </w:tc>
              <w:tc>
                <w:tcPr>
                  <w:tcW w:w="982" w:type="dxa"/>
                  <w:vAlign w:val="top"/>
                </w:tcPr>
                <w:p>
                  <w:pPr>
                    <w:spacing w:before="179"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31.437814</w:t>
                  </w:r>
                </w:p>
              </w:tc>
              <w:tc>
                <w:tcPr>
                  <w:tcW w:w="396" w:type="dxa"/>
                  <w:vAlign w:val="top"/>
                </w:tcPr>
                <w:p>
                  <w:pPr>
                    <w:pStyle w:val="6"/>
                    <w:spacing w:before="144" w:line="220" w:lineRule="auto"/>
                    <w:ind w:left="112"/>
                    <w:rPr>
                      <w:sz w:val="18"/>
                      <w:szCs w:val="18"/>
                    </w:rPr>
                  </w:pPr>
                  <w:r>
                    <w:rPr>
                      <w:sz w:val="18"/>
                      <w:szCs w:val="18"/>
                    </w:rPr>
                    <w:t>泉</w:t>
                  </w:r>
                </w:p>
              </w:tc>
              <w:tc>
                <w:tcPr>
                  <w:tcW w:w="616" w:type="dxa"/>
                  <w:vAlign w:val="top"/>
                </w:tcPr>
                <w:p>
                  <w:pPr>
                    <w:spacing w:before="176"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6"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6"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9"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515.58</w:t>
                  </w:r>
                </w:p>
              </w:tc>
              <w:tc>
                <w:tcPr>
                  <w:tcW w:w="688" w:type="dxa"/>
                  <w:vAlign w:val="top"/>
                </w:tcPr>
                <w:p>
                  <w:pPr>
                    <w:spacing w:before="179"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1.15</w:t>
                  </w:r>
                </w:p>
              </w:tc>
              <w:tc>
                <w:tcPr>
                  <w:tcW w:w="592" w:type="dxa"/>
                  <w:vAlign w:val="top"/>
                </w:tcPr>
                <w:p>
                  <w:pPr>
                    <w:spacing w:before="160"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27" w:line="223" w:lineRule="auto"/>
                    <w:ind w:left="265" w:right="170" w:hanging="88"/>
                    <w:rPr>
                      <w:rFonts w:ascii="Times New Roman" w:hAnsi="Times New Roman" w:eastAsia="Times New Roman" w:cs="Times New Roman"/>
                      <w:sz w:val="18"/>
                      <w:szCs w:val="18"/>
                    </w:rPr>
                  </w:pPr>
                  <w:r>
                    <w:rPr>
                      <w:spacing w:val="-2"/>
                      <w:sz w:val="18"/>
                      <w:szCs w:val="18"/>
                    </w:rPr>
                    <w:t>井口西南下</w:t>
                  </w:r>
                  <w:r>
                    <w:rPr>
                      <w:spacing w:val="1"/>
                      <w:sz w:val="18"/>
                      <w:szCs w:val="18"/>
                    </w:rPr>
                    <w:t xml:space="preserve"> </w:t>
                  </w:r>
                  <w:r>
                    <w:rPr>
                      <w:spacing w:val="-5"/>
                      <w:sz w:val="18"/>
                      <w:szCs w:val="18"/>
                    </w:rPr>
                    <w:t>游</w:t>
                  </w:r>
                  <w:r>
                    <w:rPr>
                      <w:spacing w:val="-20"/>
                      <w:sz w:val="18"/>
                      <w:szCs w:val="18"/>
                    </w:rPr>
                    <w:t xml:space="preserve"> </w:t>
                  </w:r>
                  <w:r>
                    <w:rPr>
                      <w:rFonts w:ascii="Times New Roman" w:hAnsi="Times New Roman" w:eastAsia="Times New Roman" w:cs="Times New Roman"/>
                      <w:spacing w:val="-5"/>
                      <w:sz w:val="18"/>
                      <w:szCs w:val="18"/>
                    </w:rPr>
                    <w:t>1243m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4"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Q5</w:t>
                  </w:r>
                </w:p>
              </w:tc>
              <w:tc>
                <w:tcPr>
                  <w:tcW w:w="1197" w:type="dxa"/>
                  <w:vAlign w:val="top"/>
                </w:tcPr>
                <w:p>
                  <w:pPr>
                    <w:spacing w:before="177"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107.238582</w:t>
                  </w:r>
                </w:p>
              </w:tc>
              <w:tc>
                <w:tcPr>
                  <w:tcW w:w="982" w:type="dxa"/>
                  <w:vAlign w:val="top"/>
                </w:tcPr>
                <w:p>
                  <w:pPr>
                    <w:spacing w:before="177"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31.446642</w:t>
                  </w:r>
                </w:p>
              </w:tc>
              <w:tc>
                <w:tcPr>
                  <w:tcW w:w="396" w:type="dxa"/>
                  <w:vAlign w:val="top"/>
                </w:tcPr>
                <w:p>
                  <w:pPr>
                    <w:pStyle w:val="6"/>
                    <w:spacing w:before="144" w:line="220" w:lineRule="auto"/>
                    <w:ind w:left="112"/>
                    <w:rPr>
                      <w:sz w:val="18"/>
                      <w:szCs w:val="18"/>
                    </w:rPr>
                  </w:pPr>
                  <w:r>
                    <w:rPr>
                      <w:sz w:val="18"/>
                      <w:szCs w:val="18"/>
                    </w:rPr>
                    <w:t>泉</w:t>
                  </w:r>
                </w:p>
              </w:tc>
              <w:tc>
                <w:tcPr>
                  <w:tcW w:w="616" w:type="dxa"/>
                  <w:vAlign w:val="top"/>
                </w:tcPr>
                <w:p>
                  <w:pPr>
                    <w:spacing w:before="174"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4"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4"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7"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665.45</w:t>
                  </w:r>
                </w:p>
              </w:tc>
              <w:tc>
                <w:tcPr>
                  <w:tcW w:w="688" w:type="dxa"/>
                  <w:vAlign w:val="top"/>
                </w:tcPr>
                <w:p>
                  <w:pPr>
                    <w:spacing w:before="177"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0.84</w:t>
                  </w:r>
                </w:p>
              </w:tc>
              <w:tc>
                <w:tcPr>
                  <w:tcW w:w="592" w:type="dxa"/>
                  <w:vAlign w:val="top"/>
                </w:tcPr>
                <w:p>
                  <w:pPr>
                    <w:spacing w:before="158"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27" w:line="223" w:lineRule="auto"/>
                    <w:ind w:left="308" w:right="170" w:hanging="131"/>
                    <w:rPr>
                      <w:rFonts w:ascii="Times New Roman" w:hAnsi="Times New Roman" w:eastAsia="Times New Roman" w:cs="Times New Roman"/>
                      <w:sz w:val="18"/>
                      <w:szCs w:val="18"/>
                    </w:rPr>
                  </w:pPr>
                  <w:r>
                    <w:rPr>
                      <w:spacing w:val="-2"/>
                      <w:sz w:val="18"/>
                      <w:szCs w:val="18"/>
                    </w:rPr>
                    <w:t>井口东南上</w:t>
                  </w:r>
                  <w:r>
                    <w:rPr>
                      <w:spacing w:val="1"/>
                      <w:sz w:val="18"/>
                      <w:szCs w:val="18"/>
                    </w:rPr>
                    <w:t xml:space="preserve"> </w:t>
                  </w:r>
                  <w:r>
                    <w:rPr>
                      <w:spacing w:val="-2"/>
                      <w:sz w:val="18"/>
                      <w:szCs w:val="18"/>
                    </w:rPr>
                    <w:t>游</w:t>
                  </w:r>
                  <w:r>
                    <w:rPr>
                      <w:spacing w:val="-41"/>
                      <w:sz w:val="18"/>
                      <w:szCs w:val="18"/>
                    </w:rPr>
                    <w:t xml:space="preserve"> </w:t>
                  </w:r>
                  <w:r>
                    <w:rPr>
                      <w:rFonts w:ascii="Times New Roman" w:hAnsi="Times New Roman" w:eastAsia="Times New Roman" w:cs="Times New Roman"/>
                      <w:spacing w:val="-2"/>
                      <w:sz w:val="18"/>
                      <w:szCs w:val="18"/>
                    </w:rPr>
                    <w:t>247m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86" w:type="dxa"/>
                  <w:vAlign w:val="top"/>
                </w:tcPr>
                <w:p>
                  <w:pPr>
                    <w:spacing w:before="175"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Q6</w:t>
                  </w:r>
                </w:p>
              </w:tc>
              <w:tc>
                <w:tcPr>
                  <w:tcW w:w="1197" w:type="dxa"/>
                  <w:vAlign w:val="top"/>
                </w:tcPr>
                <w:p>
                  <w:pPr>
                    <w:spacing w:before="178"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107.240040</w:t>
                  </w:r>
                </w:p>
              </w:tc>
              <w:tc>
                <w:tcPr>
                  <w:tcW w:w="982" w:type="dxa"/>
                  <w:vAlign w:val="top"/>
                </w:tcPr>
                <w:p>
                  <w:pPr>
                    <w:spacing w:before="178"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31.448235</w:t>
                  </w:r>
                </w:p>
              </w:tc>
              <w:tc>
                <w:tcPr>
                  <w:tcW w:w="396" w:type="dxa"/>
                  <w:vAlign w:val="top"/>
                </w:tcPr>
                <w:p>
                  <w:pPr>
                    <w:pStyle w:val="6"/>
                    <w:spacing w:before="143" w:line="220" w:lineRule="auto"/>
                    <w:ind w:left="112"/>
                    <w:rPr>
                      <w:sz w:val="18"/>
                      <w:szCs w:val="18"/>
                    </w:rPr>
                  </w:pPr>
                  <w:r>
                    <w:rPr>
                      <w:sz w:val="18"/>
                      <w:szCs w:val="18"/>
                    </w:rPr>
                    <w:t>泉</w:t>
                  </w:r>
                </w:p>
              </w:tc>
              <w:tc>
                <w:tcPr>
                  <w:tcW w:w="616" w:type="dxa"/>
                  <w:vAlign w:val="top"/>
                </w:tcPr>
                <w:p>
                  <w:pPr>
                    <w:spacing w:before="175"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5"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5"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8"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685.78</w:t>
                  </w:r>
                </w:p>
              </w:tc>
              <w:tc>
                <w:tcPr>
                  <w:tcW w:w="688" w:type="dxa"/>
                  <w:vAlign w:val="top"/>
                </w:tcPr>
                <w:p>
                  <w:pPr>
                    <w:spacing w:before="178"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0.91</w:t>
                  </w:r>
                </w:p>
              </w:tc>
              <w:tc>
                <w:tcPr>
                  <w:tcW w:w="592" w:type="dxa"/>
                  <w:vAlign w:val="top"/>
                </w:tcPr>
                <w:p>
                  <w:pPr>
                    <w:spacing w:before="159"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28" w:line="222" w:lineRule="auto"/>
                    <w:ind w:left="308" w:right="170" w:hanging="131"/>
                    <w:rPr>
                      <w:rFonts w:ascii="Times New Roman" w:hAnsi="Times New Roman" w:eastAsia="Times New Roman" w:cs="Times New Roman"/>
                      <w:sz w:val="18"/>
                      <w:szCs w:val="18"/>
                    </w:rPr>
                  </w:pPr>
                  <w:r>
                    <w:rPr>
                      <w:spacing w:val="-2"/>
                      <w:sz w:val="18"/>
                      <w:szCs w:val="18"/>
                    </w:rPr>
                    <w:t>井口东北上</w:t>
                  </w:r>
                  <w:r>
                    <w:rPr>
                      <w:spacing w:val="1"/>
                      <w:sz w:val="18"/>
                      <w:szCs w:val="18"/>
                    </w:rPr>
                    <w:t xml:space="preserve"> </w:t>
                  </w:r>
                  <w:r>
                    <w:rPr>
                      <w:spacing w:val="-2"/>
                      <w:sz w:val="18"/>
                      <w:szCs w:val="18"/>
                    </w:rPr>
                    <w:t>游</w:t>
                  </w:r>
                  <w:r>
                    <w:rPr>
                      <w:spacing w:val="-42"/>
                      <w:sz w:val="18"/>
                      <w:szCs w:val="18"/>
                    </w:rPr>
                    <w:t xml:space="preserve"> </w:t>
                  </w:r>
                  <w:r>
                    <w:rPr>
                      <w:rFonts w:ascii="Times New Roman" w:hAnsi="Times New Roman" w:eastAsia="Times New Roman" w:cs="Times New Roman"/>
                      <w:spacing w:val="-2"/>
                      <w:sz w:val="18"/>
                      <w:szCs w:val="18"/>
                    </w:rPr>
                    <w:t>473m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80"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S7</w:t>
                  </w:r>
                </w:p>
              </w:tc>
              <w:tc>
                <w:tcPr>
                  <w:tcW w:w="1197"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107.247581</w:t>
                  </w:r>
                </w:p>
              </w:tc>
              <w:tc>
                <w:tcPr>
                  <w:tcW w:w="982" w:type="dxa"/>
                  <w:vAlign w:val="top"/>
                </w:tcPr>
                <w:p>
                  <w:pPr>
                    <w:spacing w:before="180"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31.443427</w:t>
                  </w:r>
                </w:p>
              </w:tc>
              <w:tc>
                <w:tcPr>
                  <w:tcW w:w="396" w:type="dxa"/>
                  <w:vAlign w:val="top"/>
                </w:tcPr>
                <w:p>
                  <w:pPr>
                    <w:pStyle w:val="6"/>
                    <w:spacing w:before="145" w:line="220" w:lineRule="auto"/>
                    <w:ind w:left="111"/>
                    <w:rPr>
                      <w:sz w:val="18"/>
                      <w:szCs w:val="18"/>
                    </w:rPr>
                  </w:pPr>
                  <w:r>
                    <w:rPr>
                      <w:sz w:val="18"/>
                      <w:szCs w:val="18"/>
                    </w:rPr>
                    <w:t>井</w:t>
                  </w:r>
                </w:p>
              </w:tc>
              <w:tc>
                <w:tcPr>
                  <w:tcW w:w="616"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tc>
              <w:tc>
                <w:tcPr>
                  <w:tcW w:w="717" w:type="dxa"/>
                  <w:vAlign w:val="top"/>
                </w:tcPr>
                <w:p>
                  <w:pPr>
                    <w:spacing w:before="180"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715" w:type="dxa"/>
                  <w:vAlign w:val="top"/>
                </w:tcPr>
                <w:p>
                  <w:pPr>
                    <w:spacing w:before="180" w:line="186"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8.3</w:t>
                  </w:r>
                </w:p>
              </w:tc>
              <w:tc>
                <w:tcPr>
                  <w:tcW w:w="775" w:type="dxa"/>
                  <w:vAlign w:val="top"/>
                </w:tcPr>
                <w:p>
                  <w:pPr>
                    <w:spacing w:before="180"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456.02</w:t>
                  </w:r>
                </w:p>
              </w:tc>
              <w:tc>
                <w:tcPr>
                  <w:tcW w:w="688" w:type="dxa"/>
                  <w:vAlign w:val="top"/>
                </w:tcPr>
                <w:p>
                  <w:pPr>
                    <w:spacing w:before="180"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0.96</w:t>
                  </w:r>
                </w:p>
              </w:tc>
              <w:tc>
                <w:tcPr>
                  <w:tcW w:w="592" w:type="dxa"/>
                  <w:vAlign w:val="top"/>
                </w:tcPr>
                <w:p>
                  <w:pPr>
                    <w:spacing w:before="161"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27" w:line="223" w:lineRule="auto"/>
                    <w:ind w:left="308" w:right="170" w:hanging="131"/>
                    <w:rPr>
                      <w:rFonts w:ascii="Times New Roman" w:hAnsi="Times New Roman" w:eastAsia="Times New Roman" w:cs="Times New Roman"/>
                      <w:sz w:val="18"/>
                      <w:szCs w:val="18"/>
                    </w:rPr>
                  </w:pPr>
                  <w:r>
                    <w:rPr>
                      <w:spacing w:val="-2"/>
                      <w:sz w:val="18"/>
                      <w:szCs w:val="18"/>
                    </w:rPr>
                    <w:t>井口东南下</w:t>
                  </w:r>
                  <w:r>
                    <w:rPr>
                      <w:spacing w:val="1"/>
                      <w:sz w:val="18"/>
                      <w:szCs w:val="18"/>
                    </w:rPr>
                    <w:t xml:space="preserve"> </w:t>
                  </w:r>
                  <w:r>
                    <w:rPr>
                      <w:spacing w:val="-3"/>
                      <w:sz w:val="18"/>
                      <w:szCs w:val="18"/>
                    </w:rPr>
                    <w:t>游</w:t>
                  </w:r>
                  <w:r>
                    <w:rPr>
                      <w:spacing w:val="-37"/>
                      <w:sz w:val="18"/>
                      <w:szCs w:val="18"/>
                    </w:rPr>
                    <w:t xml:space="preserve"> </w:t>
                  </w:r>
                  <w:r>
                    <w:rPr>
                      <w:rFonts w:ascii="Times New Roman" w:hAnsi="Times New Roman" w:eastAsia="Times New Roman" w:cs="Times New Roman"/>
                      <w:spacing w:val="-3"/>
                      <w:sz w:val="18"/>
                      <w:szCs w:val="18"/>
                    </w:rPr>
                    <w:t>916m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5"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Q8</w:t>
                  </w:r>
                </w:p>
              </w:tc>
              <w:tc>
                <w:tcPr>
                  <w:tcW w:w="1197" w:type="dxa"/>
                  <w:vAlign w:val="top"/>
                </w:tcPr>
                <w:p>
                  <w:pPr>
                    <w:spacing w:before="178"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107.234676</w:t>
                  </w:r>
                </w:p>
              </w:tc>
              <w:tc>
                <w:tcPr>
                  <w:tcW w:w="982" w:type="dxa"/>
                  <w:vAlign w:val="top"/>
                </w:tcPr>
                <w:p>
                  <w:pPr>
                    <w:spacing w:before="178"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31.439505</w:t>
                  </w:r>
                </w:p>
              </w:tc>
              <w:tc>
                <w:tcPr>
                  <w:tcW w:w="396" w:type="dxa"/>
                  <w:vAlign w:val="top"/>
                </w:tcPr>
                <w:p>
                  <w:pPr>
                    <w:pStyle w:val="6"/>
                    <w:spacing w:before="145" w:line="220" w:lineRule="auto"/>
                    <w:ind w:left="112"/>
                    <w:rPr>
                      <w:sz w:val="18"/>
                      <w:szCs w:val="18"/>
                    </w:rPr>
                  </w:pPr>
                  <w:r>
                    <w:rPr>
                      <w:sz w:val="18"/>
                      <w:szCs w:val="18"/>
                    </w:rPr>
                    <w:t>泉</w:t>
                  </w:r>
                </w:p>
              </w:tc>
              <w:tc>
                <w:tcPr>
                  <w:tcW w:w="616" w:type="dxa"/>
                  <w:vAlign w:val="top"/>
                </w:tcPr>
                <w:p>
                  <w:pPr>
                    <w:spacing w:before="175"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5"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5"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8"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638.56</w:t>
                  </w:r>
                </w:p>
              </w:tc>
              <w:tc>
                <w:tcPr>
                  <w:tcW w:w="688" w:type="dxa"/>
                  <w:vAlign w:val="top"/>
                </w:tcPr>
                <w:p>
                  <w:pPr>
                    <w:spacing w:before="178"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0.79</w:t>
                  </w:r>
                </w:p>
              </w:tc>
              <w:tc>
                <w:tcPr>
                  <w:tcW w:w="592" w:type="dxa"/>
                  <w:vAlign w:val="top"/>
                </w:tcPr>
                <w:p>
                  <w:pPr>
                    <w:spacing w:before="159"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27" w:line="223" w:lineRule="auto"/>
                    <w:ind w:left="327" w:right="170" w:hanging="150"/>
                    <w:rPr>
                      <w:rFonts w:ascii="Times New Roman" w:hAnsi="Times New Roman" w:eastAsia="Times New Roman" w:cs="Times New Roman"/>
                      <w:sz w:val="18"/>
                      <w:szCs w:val="18"/>
                    </w:rPr>
                  </w:pPr>
                  <w:r>
                    <w:rPr>
                      <w:spacing w:val="-2"/>
                      <w:sz w:val="18"/>
                      <w:szCs w:val="18"/>
                    </w:rPr>
                    <w:t>井口西南侧</w:t>
                  </w:r>
                  <w:r>
                    <w:rPr>
                      <w:spacing w:val="1"/>
                      <w:sz w:val="18"/>
                      <w:szCs w:val="18"/>
                    </w:rPr>
                    <w:t xml:space="preserve"> </w:t>
                  </w:r>
                  <w:r>
                    <w:rPr>
                      <w:spacing w:val="-7"/>
                      <w:sz w:val="18"/>
                      <w:szCs w:val="18"/>
                    </w:rPr>
                    <w:t>向</w:t>
                  </w:r>
                  <w:r>
                    <w:rPr>
                      <w:spacing w:val="-35"/>
                      <w:sz w:val="18"/>
                      <w:szCs w:val="18"/>
                    </w:rPr>
                    <w:t xml:space="preserve"> </w:t>
                  </w:r>
                  <w:r>
                    <w:rPr>
                      <w:rFonts w:ascii="Times New Roman" w:hAnsi="Times New Roman" w:eastAsia="Times New Roman" w:cs="Times New Roman"/>
                      <w:spacing w:val="-7"/>
                      <w:sz w:val="18"/>
                      <w:szCs w:val="18"/>
                    </w:rPr>
                    <w:t>631m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86" w:type="dxa"/>
                  <w:vAlign w:val="top"/>
                </w:tcPr>
                <w:p>
                  <w:pPr>
                    <w:spacing w:before="176" w:line="194"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Q9</w:t>
                  </w:r>
                </w:p>
              </w:tc>
              <w:tc>
                <w:tcPr>
                  <w:tcW w:w="1197" w:type="dxa"/>
                  <w:vAlign w:val="top"/>
                </w:tcPr>
                <w:p>
                  <w:pPr>
                    <w:spacing w:before="179"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107.236163</w:t>
                  </w:r>
                </w:p>
              </w:tc>
              <w:tc>
                <w:tcPr>
                  <w:tcW w:w="982" w:type="dxa"/>
                  <w:vAlign w:val="top"/>
                </w:tcPr>
                <w:p>
                  <w:pPr>
                    <w:spacing w:before="179"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31.448135</w:t>
                  </w:r>
                </w:p>
              </w:tc>
              <w:tc>
                <w:tcPr>
                  <w:tcW w:w="396" w:type="dxa"/>
                  <w:vAlign w:val="top"/>
                </w:tcPr>
                <w:p>
                  <w:pPr>
                    <w:pStyle w:val="6"/>
                    <w:spacing w:before="144" w:line="220" w:lineRule="auto"/>
                    <w:ind w:left="112"/>
                    <w:rPr>
                      <w:sz w:val="18"/>
                      <w:szCs w:val="18"/>
                    </w:rPr>
                  </w:pPr>
                  <w:r>
                    <w:rPr>
                      <w:sz w:val="18"/>
                      <w:szCs w:val="18"/>
                    </w:rPr>
                    <w:t>泉</w:t>
                  </w:r>
                </w:p>
              </w:tc>
              <w:tc>
                <w:tcPr>
                  <w:tcW w:w="616" w:type="dxa"/>
                  <w:vAlign w:val="top"/>
                </w:tcPr>
                <w:p>
                  <w:pPr>
                    <w:spacing w:before="176"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6"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6"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79"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633.72</w:t>
                  </w:r>
                </w:p>
              </w:tc>
              <w:tc>
                <w:tcPr>
                  <w:tcW w:w="688" w:type="dxa"/>
                  <w:vAlign w:val="top"/>
                </w:tcPr>
                <w:p>
                  <w:pPr>
                    <w:spacing w:before="179" w:line="186"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0.82</w:t>
                  </w:r>
                </w:p>
              </w:tc>
              <w:tc>
                <w:tcPr>
                  <w:tcW w:w="592" w:type="dxa"/>
                  <w:vAlign w:val="top"/>
                </w:tcPr>
                <w:p>
                  <w:pPr>
                    <w:spacing w:before="159"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29" w:line="221" w:lineRule="auto"/>
                    <w:ind w:left="327" w:right="170" w:hanging="150"/>
                    <w:rPr>
                      <w:rFonts w:ascii="Times New Roman" w:hAnsi="Times New Roman" w:eastAsia="Times New Roman" w:cs="Times New Roman"/>
                      <w:sz w:val="18"/>
                      <w:szCs w:val="18"/>
                    </w:rPr>
                  </w:pPr>
                  <w:r>
                    <w:rPr>
                      <w:spacing w:val="-2"/>
                      <w:sz w:val="18"/>
                      <w:szCs w:val="18"/>
                    </w:rPr>
                    <w:t>井口西北侧</w:t>
                  </w:r>
                  <w:r>
                    <w:rPr>
                      <w:spacing w:val="1"/>
                      <w:sz w:val="18"/>
                      <w:szCs w:val="18"/>
                    </w:rPr>
                    <w:t xml:space="preserve"> </w:t>
                  </w:r>
                  <w:r>
                    <w:rPr>
                      <w:spacing w:val="-6"/>
                      <w:sz w:val="18"/>
                      <w:szCs w:val="18"/>
                    </w:rPr>
                    <w:t>向</w:t>
                  </w:r>
                  <w:r>
                    <w:rPr>
                      <w:spacing w:val="-40"/>
                      <w:sz w:val="18"/>
                      <w:szCs w:val="18"/>
                    </w:rPr>
                    <w:t xml:space="preserve"> </w:t>
                  </w:r>
                  <w:r>
                    <w:rPr>
                      <w:rFonts w:ascii="Times New Roman" w:hAnsi="Times New Roman" w:eastAsia="Times New Roman" w:cs="Times New Roman"/>
                      <w:spacing w:val="-6"/>
                      <w:sz w:val="18"/>
                      <w:szCs w:val="18"/>
                    </w:rPr>
                    <w:t>442m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8" w:line="194"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Q10</w:t>
                  </w:r>
                </w:p>
              </w:tc>
              <w:tc>
                <w:tcPr>
                  <w:tcW w:w="1197" w:type="dxa"/>
                  <w:vAlign w:val="top"/>
                </w:tcPr>
                <w:p>
                  <w:pPr>
                    <w:spacing w:before="181"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107.238290</w:t>
                  </w:r>
                </w:p>
              </w:tc>
              <w:tc>
                <w:tcPr>
                  <w:tcW w:w="982" w:type="dxa"/>
                  <w:vAlign w:val="top"/>
                </w:tcPr>
                <w:p>
                  <w:pPr>
                    <w:spacing w:before="181"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31.435712</w:t>
                  </w:r>
                </w:p>
              </w:tc>
              <w:tc>
                <w:tcPr>
                  <w:tcW w:w="396" w:type="dxa"/>
                  <w:vAlign w:val="top"/>
                </w:tcPr>
                <w:p>
                  <w:pPr>
                    <w:pStyle w:val="6"/>
                    <w:spacing w:before="146" w:line="220" w:lineRule="auto"/>
                    <w:ind w:left="112"/>
                    <w:rPr>
                      <w:sz w:val="18"/>
                      <w:szCs w:val="18"/>
                    </w:rPr>
                  </w:pPr>
                  <w:r>
                    <w:rPr>
                      <w:sz w:val="18"/>
                      <w:szCs w:val="18"/>
                    </w:rPr>
                    <w:t>泉</w:t>
                  </w:r>
                </w:p>
              </w:tc>
              <w:tc>
                <w:tcPr>
                  <w:tcW w:w="616" w:type="dxa"/>
                  <w:vAlign w:val="top"/>
                </w:tcPr>
                <w:p>
                  <w:pPr>
                    <w:spacing w:before="178"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8"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8"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81"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628.57</w:t>
                  </w:r>
                </w:p>
              </w:tc>
              <w:tc>
                <w:tcPr>
                  <w:tcW w:w="688" w:type="dxa"/>
                  <w:vAlign w:val="top"/>
                </w:tcPr>
                <w:p>
                  <w:pPr>
                    <w:spacing w:before="181"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1.36</w:t>
                  </w:r>
                </w:p>
              </w:tc>
              <w:tc>
                <w:tcPr>
                  <w:tcW w:w="592" w:type="dxa"/>
                  <w:vAlign w:val="top"/>
                </w:tcPr>
                <w:p>
                  <w:pPr>
                    <w:spacing w:before="162"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31" w:line="221" w:lineRule="auto"/>
                    <w:ind w:left="308" w:right="170" w:hanging="131"/>
                    <w:rPr>
                      <w:rFonts w:ascii="Times New Roman" w:hAnsi="Times New Roman" w:eastAsia="Times New Roman" w:cs="Times New Roman"/>
                      <w:sz w:val="18"/>
                      <w:szCs w:val="18"/>
                    </w:rPr>
                  </w:pPr>
                  <w:r>
                    <w:rPr>
                      <w:spacing w:val="-2"/>
                      <w:sz w:val="18"/>
                      <w:szCs w:val="18"/>
                    </w:rPr>
                    <w:t>井口东南下</w:t>
                  </w:r>
                  <w:r>
                    <w:rPr>
                      <w:spacing w:val="1"/>
                      <w:sz w:val="18"/>
                      <w:szCs w:val="18"/>
                    </w:rPr>
                    <w:t xml:space="preserve"> </w:t>
                  </w:r>
                  <w:r>
                    <w:rPr>
                      <w:spacing w:val="-3"/>
                      <w:sz w:val="18"/>
                      <w:szCs w:val="18"/>
                    </w:rPr>
                    <w:t>游</w:t>
                  </w:r>
                  <w:r>
                    <w:rPr>
                      <w:spacing w:val="-37"/>
                      <w:sz w:val="18"/>
                      <w:szCs w:val="18"/>
                    </w:rPr>
                    <w:t xml:space="preserve"> </w:t>
                  </w:r>
                  <w:r>
                    <w:rPr>
                      <w:rFonts w:ascii="Times New Roman" w:hAnsi="Times New Roman" w:eastAsia="Times New Roman" w:cs="Times New Roman"/>
                      <w:spacing w:val="-3"/>
                      <w:sz w:val="18"/>
                      <w:szCs w:val="18"/>
                    </w:rPr>
                    <w:t>967m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76" w:line="194" w:lineRule="auto"/>
                    <w:ind w:left="19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Q11</w:t>
                  </w:r>
                </w:p>
              </w:tc>
              <w:tc>
                <w:tcPr>
                  <w:tcW w:w="1197"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107.229126</w:t>
                  </w:r>
                </w:p>
              </w:tc>
              <w:tc>
                <w:tcPr>
                  <w:tcW w:w="982" w:type="dxa"/>
                  <w:vAlign w:val="top"/>
                </w:tcPr>
                <w:p>
                  <w:pPr>
                    <w:spacing w:before="180"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31.447409</w:t>
                  </w:r>
                </w:p>
              </w:tc>
              <w:tc>
                <w:tcPr>
                  <w:tcW w:w="396" w:type="dxa"/>
                  <w:vAlign w:val="top"/>
                </w:tcPr>
                <w:p>
                  <w:pPr>
                    <w:pStyle w:val="6"/>
                    <w:spacing w:before="147" w:line="220" w:lineRule="auto"/>
                    <w:ind w:left="112"/>
                    <w:rPr>
                      <w:sz w:val="18"/>
                      <w:szCs w:val="18"/>
                    </w:rPr>
                  </w:pPr>
                  <w:r>
                    <w:rPr>
                      <w:sz w:val="18"/>
                      <w:szCs w:val="18"/>
                    </w:rPr>
                    <w:t>泉</w:t>
                  </w:r>
                </w:p>
              </w:tc>
              <w:tc>
                <w:tcPr>
                  <w:tcW w:w="616" w:type="dxa"/>
                  <w:vAlign w:val="top"/>
                </w:tcPr>
                <w:p>
                  <w:pPr>
                    <w:spacing w:before="176"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6"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6"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80"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487.05</w:t>
                  </w:r>
                </w:p>
              </w:tc>
              <w:tc>
                <w:tcPr>
                  <w:tcW w:w="688" w:type="dxa"/>
                  <w:vAlign w:val="top"/>
                </w:tcPr>
                <w:p>
                  <w:pPr>
                    <w:spacing w:before="180"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1.85</w:t>
                  </w:r>
                </w:p>
              </w:tc>
              <w:tc>
                <w:tcPr>
                  <w:tcW w:w="592" w:type="dxa"/>
                  <w:vAlign w:val="top"/>
                </w:tcPr>
                <w:p>
                  <w:pPr>
                    <w:spacing w:before="160"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29" w:line="222" w:lineRule="auto"/>
                    <w:ind w:left="308" w:right="170" w:hanging="131"/>
                    <w:rPr>
                      <w:rFonts w:ascii="Times New Roman" w:hAnsi="Times New Roman" w:eastAsia="Times New Roman" w:cs="Times New Roman"/>
                      <w:sz w:val="18"/>
                      <w:szCs w:val="18"/>
                    </w:rPr>
                  </w:pPr>
                  <w:r>
                    <w:rPr>
                      <w:spacing w:val="-2"/>
                      <w:sz w:val="18"/>
                      <w:szCs w:val="18"/>
                    </w:rPr>
                    <w:t>井口西北下</w:t>
                  </w:r>
                  <w:r>
                    <w:rPr>
                      <w:spacing w:val="1"/>
                      <w:sz w:val="18"/>
                      <w:szCs w:val="18"/>
                    </w:rPr>
                    <w:t xml:space="preserve"> </w:t>
                  </w:r>
                  <w:r>
                    <w:rPr>
                      <w:spacing w:val="-3"/>
                      <w:sz w:val="18"/>
                      <w:szCs w:val="18"/>
                    </w:rPr>
                    <w:t>游</w:t>
                  </w:r>
                  <w:r>
                    <w:rPr>
                      <w:spacing w:val="-37"/>
                      <w:sz w:val="18"/>
                      <w:szCs w:val="18"/>
                    </w:rPr>
                    <w:t xml:space="preserve"> </w:t>
                  </w:r>
                  <w:r>
                    <w:rPr>
                      <w:rFonts w:ascii="Times New Roman" w:hAnsi="Times New Roman" w:eastAsia="Times New Roman" w:cs="Times New Roman"/>
                      <w:spacing w:val="-3"/>
                      <w:sz w:val="18"/>
                      <w:szCs w:val="18"/>
                    </w:rPr>
                    <w:t>901m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86" w:type="dxa"/>
                  <w:vAlign w:val="top"/>
                </w:tcPr>
                <w:p>
                  <w:pPr>
                    <w:spacing w:before="177" w:line="194"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Q12</w:t>
                  </w:r>
                </w:p>
              </w:tc>
              <w:tc>
                <w:tcPr>
                  <w:tcW w:w="1197"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107.233107</w:t>
                  </w:r>
                </w:p>
              </w:tc>
              <w:tc>
                <w:tcPr>
                  <w:tcW w:w="982" w:type="dxa"/>
                  <w:vAlign w:val="top"/>
                </w:tcPr>
                <w:p>
                  <w:pPr>
                    <w:spacing w:before="180"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31.427357</w:t>
                  </w:r>
                </w:p>
              </w:tc>
              <w:tc>
                <w:tcPr>
                  <w:tcW w:w="396" w:type="dxa"/>
                  <w:vAlign w:val="top"/>
                </w:tcPr>
                <w:p>
                  <w:pPr>
                    <w:pStyle w:val="6"/>
                    <w:spacing w:before="147" w:line="220" w:lineRule="auto"/>
                    <w:ind w:left="112"/>
                    <w:rPr>
                      <w:sz w:val="18"/>
                      <w:szCs w:val="18"/>
                    </w:rPr>
                  </w:pPr>
                  <w:r>
                    <w:rPr>
                      <w:sz w:val="18"/>
                      <w:szCs w:val="18"/>
                    </w:rPr>
                    <w:t>泉</w:t>
                  </w:r>
                </w:p>
              </w:tc>
              <w:tc>
                <w:tcPr>
                  <w:tcW w:w="616" w:type="dxa"/>
                  <w:vAlign w:val="top"/>
                </w:tcPr>
                <w:p>
                  <w:pPr>
                    <w:spacing w:before="177" w:line="232"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7" w:type="dxa"/>
                  <w:vAlign w:val="top"/>
                </w:tcPr>
                <w:p>
                  <w:pPr>
                    <w:spacing w:before="177" w:line="232"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5" w:type="dxa"/>
                  <w:vAlign w:val="top"/>
                </w:tcPr>
                <w:p>
                  <w:pPr>
                    <w:spacing w:before="177" w:line="232"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5" w:type="dxa"/>
                  <w:vAlign w:val="top"/>
                </w:tcPr>
                <w:p>
                  <w:pPr>
                    <w:spacing w:before="180"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536.61</w:t>
                  </w:r>
                </w:p>
              </w:tc>
              <w:tc>
                <w:tcPr>
                  <w:tcW w:w="688" w:type="dxa"/>
                  <w:vAlign w:val="top"/>
                </w:tcPr>
                <w:p>
                  <w:pPr>
                    <w:spacing w:before="180"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1.73</w:t>
                  </w:r>
                </w:p>
              </w:tc>
              <w:tc>
                <w:tcPr>
                  <w:tcW w:w="592" w:type="dxa"/>
                  <w:vAlign w:val="top"/>
                </w:tcPr>
                <w:p>
                  <w:pPr>
                    <w:spacing w:before="161"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J</w:t>
                  </w:r>
                  <w:r>
                    <w:rPr>
                      <w:rFonts w:ascii="Times New Roman" w:hAnsi="Times New Roman" w:eastAsia="Times New Roman" w:cs="Times New Roman"/>
                      <w:spacing w:val="-1"/>
                      <w:position w:val="-1"/>
                      <w:sz w:val="12"/>
                      <w:szCs w:val="12"/>
                    </w:rPr>
                    <w:t>3</w:t>
                  </w:r>
                  <w:r>
                    <w:rPr>
                      <w:rFonts w:ascii="Times New Roman" w:hAnsi="Times New Roman" w:eastAsia="Times New Roman" w:cs="Times New Roman"/>
                      <w:spacing w:val="-1"/>
                      <w:sz w:val="18"/>
                      <w:szCs w:val="18"/>
                    </w:rPr>
                    <w:t>p</w:t>
                  </w:r>
                  <w:r>
                    <w:rPr>
                      <w:rFonts w:ascii="Times New Roman" w:hAnsi="Times New Roman" w:eastAsia="Times New Roman" w:cs="Times New Roman"/>
                      <w:spacing w:val="-1"/>
                      <w:position w:val="5"/>
                      <w:sz w:val="12"/>
                      <w:szCs w:val="12"/>
                    </w:rPr>
                    <w:t>2</w:t>
                  </w:r>
                </w:p>
              </w:tc>
              <w:tc>
                <w:tcPr>
                  <w:tcW w:w="1246" w:type="dxa"/>
                  <w:vAlign w:val="top"/>
                </w:tcPr>
                <w:p>
                  <w:pPr>
                    <w:pStyle w:val="6"/>
                    <w:spacing w:before="29" w:line="221" w:lineRule="auto"/>
                    <w:ind w:left="265" w:right="170" w:hanging="88"/>
                    <w:rPr>
                      <w:rFonts w:ascii="Times New Roman" w:hAnsi="Times New Roman" w:eastAsia="Times New Roman" w:cs="Times New Roman"/>
                      <w:sz w:val="18"/>
                      <w:szCs w:val="18"/>
                    </w:rPr>
                  </w:pPr>
                  <w:r>
                    <w:rPr>
                      <w:spacing w:val="-2"/>
                      <w:sz w:val="18"/>
                      <w:szCs w:val="18"/>
                    </w:rPr>
                    <w:t>井口西南下</w:t>
                  </w:r>
                  <w:r>
                    <w:rPr>
                      <w:spacing w:val="1"/>
                      <w:sz w:val="18"/>
                      <w:szCs w:val="18"/>
                    </w:rPr>
                    <w:t xml:space="preserve"> </w:t>
                  </w:r>
                  <w:r>
                    <w:rPr>
                      <w:spacing w:val="-5"/>
                      <w:sz w:val="18"/>
                      <w:szCs w:val="18"/>
                    </w:rPr>
                    <w:t>游</w:t>
                  </w:r>
                  <w:r>
                    <w:rPr>
                      <w:spacing w:val="-20"/>
                      <w:sz w:val="18"/>
                      <w:szCs w:val="18"/>
                    </w:rPr>
                    <w:t xml:space="preserve"> </w:t>
                  </w:r>
                  <w:r>
                    <w:rPr>
                      <w:rFonts w:ascii="Times New Roman" w:hAnsi="Times New Roman" w:eastAsia="Times New Roman" w:cs="Times New Roman"/>
                      <w:spacing w:val="-5"/>
                      <w:sz w:val="18"/>
                      <w:szCs w:val="18"/>
                    </w:rPr>
                    <w:t>1964m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6" w:type="dxa"/>
                  <w:vAlign w:val="top"/>
                </w:tcPr>
                <w:p>
                  <w:pPr>
                    <w:spacing w:before="183" w:line="186" w:lineRule="auto"/>
                    <w:ind w:left="2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S13</w:t>
                  </w:r>
                </w:p>
              </w:tc>
              <w:tc>
                <w:tcPr>
                  <w:tcW w:w="1197" w:type="dxa"/>
                  <w:vAlign w:val="top"/>
                </w:tcPr>
                <w:p>
                  <w:pPr>
                    <w:spacing w:before="183"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107.217206</w:t>
                  </w:r>
                </w:p>
              </w:tc>
              <w:tc>
                <w:tcPr>
                  <w:tcW w:w="982" w:type="dxa"/>
                  <w:vAlign w:val="top"/>
                </w:tcPr>
                <w:p>
                  <w:pPr>
                    <w:spacing w:before="183"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31.427550</w:t>
                  </w:r>
                </w:p>
              </w:tc>
              <w:tc>
                <w:tcPr>
                  <w:tcW w:w="396" w:type="dxa"/>
                  <w:vAlign w:val="top"/>
                </w:tcPr>
                <w:p>
                  <w:pPr>
                    <w:pStyle w:val="6"/>
                    <w:spacing w:before="148" w:line="220" w:lineRule="auto"/>
                    <w:ind w:left="111"/>
                    <w:rPr>
                      <w:sz w:val="18"/>
                      <w:szCs w:val="18"/>
                    </w:rPr>
                  </w:pPr>
                  <w:r>
                    <w:rPr>
                      <w:sz w:val="18"/>
                      <w:szCs w:val="18"/>
                    </w:rPr>
                    <w:t>井</w:t>
                  </w:r>
                </w:p>
              </w:tc>
              <w:tc>
                <w:tcPr>
                  <w:tcW w:w="616" w:type="dxa"/>
                  <w:vAlign w:val="top"/>
                </w:tcPr>
                <w:p>
                  <w:pPr>
                    <w:spacing w:before="183"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tc>
              <w:tc>
                <w:tcPr>
                  <w:tcW w:w="717" w:type="dxa"/>
                  <w:vAlign w:val="top"/>
                </w:tcPr>
                <w:p>
                  <w:pPr>
                    <w:spacing w:before="183" w:line="186"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tc>
              <w:tc>
                <w:tcPr>
                  <w:tcW w:w="715" w:type="dxa"/>
                  <w:vAlign w:val="top"/>
                </w:tcPr>
                <w:p>
                  <w:pPr>
                    <w:spacing w:before="183"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c>
                <w:tcPr>
                  <w:tcW w:w="775" w:type="dxa"/>
                  <w:vAlign w:val="top"/>
                </w:tcPr>
                <w:p>
                  <w:pPr>
                    <w:spacing w:before="183"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429.37</w:t>
                  </w:r>
                </w:p>
              </w:tc>
              <w:tc>
                <w:tcPr>
                  <w:tcW w:w="688" w:type="dxa"/>
                  <w:vAlign w:val="top"/>
                </w:tcPr>
                <w:p>
                  <w:pPr>
                    <w:spacing w:before="183"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1.36</w:t>
                  </w:r>
                </w:p>
              </w:tc>
              <w:tc>
                <w:tcPr>
                  <w:tcW w:w="592" w:type="dxa"/>
                  <w:vAlign w:val="top"/>
                </w:tcPr>
                <w:p>
                  <w:pPr>
                    <w:spacing w:before="163"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32" w:line="221" w:lineRule="auto"/>
                    <w:ind w:left="265" w:right="170" w:hanging="88"/>
                    <w:rPr>
                      <w:rFonts w:ascii="Times New Roman" w:hAnsi="Times New Roman" w:eastAsia="Times New Roman" w:cs="Times New Roman"/>
                      <w:sz w:val="18"/>
                      <w:szCs w:val="18"/>
                    </w:rPr>
                  </w:pPr>
                  <w:r>
                    <w:rPr>
                      <w:spacing w:val="-2"/>
                      <w:sz w:val="18"/>
                      <w:szCs w:val="18"/>
                    </w:rPr>
                    <w:t>井口西南下</w:t>
                  </w:r>
                  <w:r>
                    <w:rPr>
                      <w:spacing w:val="1"/>
                      <w:sz w:val="18"/>
                      <w:szCs w:val="18"/>
                    </w:rPr>
                    <w:t xml:space="preserve"> </w:t>
                  </w:r>
                  <w:r>
                    <w:rPr>
                      <w:spacing w:val="-2"/>
                      <w:sz w:val="18"/>
                      <w:szCs w:val="18"/>
                    </w:rPr>
                    <w:t>游</w:t>
                  </w:r>
                  <w:r>
                    <w:rPr>
                      <w:spacing w:val="-39"/>
                      <w:sz w:val="18"/>
                      <w:szCs w:val="18"/>
                    </w:rPr>
                    <w:t xml:space="preserve"> </w:t>
                  </w:r>
                  <w:r>
                    <w:rPr>
                      <w:rFonts w:ascii="Times New Roman" w:hAnsi="Times New Roman" w:eastAsia="Times New Roman" w:cs="Times New Roman"/>
                      <w:spacing w:val="-2"/>
                      <w:sz w:val="18"/>
                      <w:szCs w:val="18"/>
                    </w:rPr>
                    <w:t>2725m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6" w:type="dxa"/>
                  <w:vAlign w:val="top"/>
                </w:tcPr>
                <w:p>
                  <w:pPr>
                    <w:spacing w:before="180" w:line="186" w:lineRule="auto"/>
                    <w:ind w:left="2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S14</w:t>
                  </w:r>
                </w:p>
              </w:tc>
              <w:tc>
                <w:tcPr>
                  <w:tcW w:w="1197"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107.229223</w:t>
                  </w:r>
                </w:p>
              </w:tc>
              <w:tc>
                <w:tcPr>
                  <w:tcW w:w="982" w:type="dxa"/>
                  <w:vAlign w:val="top"/>
                </w:tcPr>
                <w:p>
                  <w:pPr>
                    <w:spacing w:before="180"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31.420898</w:t>
                  </w:r>
                </w:p>
              </w:tc>
              <w:tc>
                <w:tcPr>
                  <w:tcW w:w="396" w:type="dxa"/>
                  <w:vAlign w:val="top"/>
                </w:tcPr>
                <w:p>
                  <w:pPr>
                    <w:pStyle w:val="6"/>
                    <w:spacing w:before="148" w:line="220" w:lineRule="auto"/>
                    <w:ind w:left="111"/>
                    <w:rPr>
                      <w:sz w:val="18"/>
                      <w:szCs w:val="18"/>
                    </w:rPr>
                  </w:pPr>
                  <w:r>
                    <w:rPr>
                      <w:sz w:val="18"/>
                      <w:szCs w:val="18"/>
                    </w:rPr>
                    <w:t>井</w:t>
                  </w:r>
                </w:p>
              </w:tc>
              <w:tc>
                <w:tcPr>
                  <w:tcW w:w="616"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tc>
              <w:tc>
                <w:tcPr>
                  <w:tcW w:w="717" w:type="dxa"/>
                  <w:vAlign w:val="top"/>
                </w:tcPr>
                <w:p>
                  <w:pPr>
                    <w:spacing w:before="180"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tc>
              <w:tc>
                <w:tcPr>
                  <w:tcW w:w="715" w:type="dxa"/>
                  <w:vAlign w:val="top"/>
                </w:tcPr>
                <w:p>
                  <w:pPr>
                    <w:spacing w:before="180" w:line="186"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w:t>
                  </w:r>
                </w:p>
              </w:tc>
              <w:tc>
                <w:tcPr>
                  <w:tcW w:w="775" w:type="dxa"/>
                  <w:vAlign w:val="top"/>
                </w:tcPr>
                <w:p>
                  <w:pPr>
                    <w:spacing w:before="180"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445.50</w:t>
                  </w:r>
                </w:p>
              </w:tc>
              <w:tc>
                <w:tcPr>
                  <w:tcW w:w="688" w:type="dxa"/>
                  <w:vAlign w:val="top"/>
                </w:tcPr>
                <w:p>
                  <w:pPr>
                    <w:spacing w:before="180"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1.42</w:t>
                  </w:r>
                </w:p>
              </w:tc>
              <w:tc>
                <w:tcPr>
                  <w:tcW w:w="592" w:type="dxa"/>
                  <w:vAlign w:val="top"/>
                </w:tcPr>
                <w:p>
                  <w:pPr>
                    <w:spacing w:before="161"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30" w:line="222" w:lineRule="auto"/>
                    <w:ind w:left="265" w:right="170" w:hanging="88"/>
                    <w:rPr>
                      <w:rFonts w:ascii="Times New Roman" w:hAnsi="Times New Roman" w:eastAsia="Times New Roman" w:cs="Times New Roman"/>
                      <w:sz w:val="18"/>
                      <w:szCs w:val="18"/>
                    </w:rPr>
                  </w:pPr>
                  <w:r>
                    <w:rPr>
                      <w:spacing w:val="-2"/>
                      <w:sz w:val="18"/>
                      <w:szCs w:val="18"/>
                    </w:rPr>
                    <w:t>井口西南下</w:t>
                  </w:r>
                  <w:r>
                    <w:rPr>
                      <w:spacing w:val="1"/>
                      <w:sz w:val="18"/>
                      <w:szCs w:val="18"/>
                    </w:rPr>
                    <w:t xml:space="preserve"> </w:t>
                  </w:r>
                  <w:r>
                    <w:rPr>
                      <w:spacing w:val="-2"/>
                      <w:sz w:val="18"/>
                      <w:szCs w:val="18"/>
                    </w:rPr>
                    <w:t>游</w:t>
                  </w:r>
                  <w:r>
                    <w:rPr>
                      <w:spacing w:val="-39"/>
                      <w:sz w:val="18"/>
                      <w:szCs w:val="18"/>
                    </w:rPr>
                    <w:t xml:space="preserve"> </w:t>
                  </w:r>
                  <w:r>
                    <w:rPr>
                      <w:rFonts w:ascii="Times New Roman" w:hAnsi="Times New Roman" w:eastAsia="Times New Roman" w:cs="Times New Roman"/>
                      <w:spacing w:val="-2"/>
                      <w:sz w:val="18"/>
                      <w:szCs w:val="18"/>
                    </w:rPr>
                    <w:t>2758m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6" w:type="dxa"/>
                  <w:vAlign w:val="top"/>
                </w:tcPr>
                <w:p>
                  <w:pPr>
                    <w:spacing w:before="180" w:line="186" w:lineRule="auto"/>
                    <w:ind w:left="2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S15</w:t>
                  </w:r>
                </w:p>
              </w:tc>
              <w:tc>
                <w:tcPr>
                  <w:tcW w:w="1197"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107.240960</w:t>
                  </w:r>
                </w:p>
              </w:tc>
              <w:tc>
                <w:tcPr>
                  <w:tcW w:w="982" w:type="dxa"/>
                  <w:vAlign w:val="top"/>
                </w:tcPr>
                <w:p>
                  <w:pPr>
                    <w:spacing w:before="180" w:line="186" w:lineRule="auto"/>
                    <w:ind w:left="1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31.424911</w:t>
                  </w:r>
                </w:p>
              </w:tc>
              <w:tc>
                <w:tcPr>
                  <w:tcW w:w="396" w:type="dxa"/>
                  <w:vAlign w:val="top"/>
                </w:tcPr>
                <w:p>
                  <w:pPr>
                    <w:pStyle w:val="6"/>
                    <w:spacing w:before="147" w:line="220" w:lineRule="auto"/>
                    <w:ind w:left="111"/>
                    <w:rPr>
                      <w:sz w:val="18"/>
                      <w:szCs w:val="18"/>
                    </w:rPr>
                  </w:pPr>
                  <w:r>
                    <w:rPr>
                      <w:sz w:val="18"/>
                      <w:szCs w:val="18"/>
                    </w:rPr>
                    <w:t>井</w:t>
                  </w:r>
                </w:p>
              </w:tc>
              <w:tc>
                <w:tcPr>
                  <w:tcW w:w="616"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tc>
              <w:tc>
                <w:tcPr>
                  <w:tcW w:w="717" w:type="dxa"/>
                  <w:vAlign w:val="top"/>
                </w:tcPr>
                <w:p>
                  <w:pPr>
                    <w:spacing w:before="180" w:line="186"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715" w:type="dxa"/>
                  <w:vAlign w:val="top"/>
                </w:tcPr>
                <w:p>
                  <w:pPr>
                    <w:spacing w:before="180"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775" w:type="dxa"/>
                  <w:vAlign w:val="top"/>
                </w:tcPr>
                <w:p>
                  <w:pPr>
                    <w:spacing w:before="180"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474.54</w:t>
                  </w:r>
                </w:p>
              </w:tc>
              <w:tc>
                <w:tcPr>
                  <w:tcW w:w="688" w:type="dxa"/>
                  <w:vAlign w:val="top"/>
                </w:tcPr>
                <w:p>
                  <w:pPr>
                    <w:spacing w:before="180"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1.94</w:t>
                  </w:r>
                </w:p>
              </w:tc>
              <w:tc>
                <w:tcPr>
                  <w:tcW w:w="592" w:type="dxa"/>
                  <w:vAlign w:val="top"/>
                </w:tcPr>
                <w:p>
                  <w:pPr>
                    <w:spacing w:before="161"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29" w:line="222" w:lineRule="auto"/>
                    <w:ind w:left="265" w:right="170" w:hanging="88"/>
                    <w:rPr>
                      <w:rFonts w:ascii="Times New Roman" w:hAnsi="Times New Roman" w:eastAsia="Times New Roman" w:cs="Times New Roman"/>
                      <w:sz w:val="18"/>
                      <w:szCs w:val="18"/>
                    </w:rPr>
                  </w:pPr>
                  <w:r>
                    <w:rPr>
                      <w:spacing w:val="-2"/>
                      <w:sz w:val="18"/>
                      <w:szCs w:val="18"/>
                    </w:rPr>
                    <w:t>井口东南下</w:t>
                  </w:r>
                  <w:r>
                    <w:rPr>
                      <w:spacing w:val="1"/>
                      <w:sz w:val="18"/>
                      <w:szCs w:val="18"/>
                    </w:rPr>
                    <w:t xml:space="preserve"> </w:t>
                  </w:r>
                  <w:r>
                    <w:rPr>
                      <w:spacing w:val="-2"/>
                      <w:sz w:val="18"/>
                      <w:szCs w:val="18"/>
                    </w:rPr>
                    <w:t>游</w:t>
                  </w:r>
                  <w:r>
                    <w:rPr>
                      <w:spacing w:val="-39"/>
                      <w:sz w:val="18"/>
                      <w:szCs w:val="18"/>
                    </w:rPr>
                    <w:t xml:space="preserve"> </w:t>
                  </w:r>
                  <w:r>
                    <w:rPr>
                      <w:rFonts w:ascii="Times New Roman" w:hAnsi="Times New Roman" w:eastAsia="Times New Roman" w:cs="Times New Roman"/>
                      <w:spacing w:val="-2"/>
                      <w:sz w:val="18"/>
                      <w:szCs w:val="18"/>
                    </w:rPr>
                    <w:t>2194m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86" w:type="dxa"/>
                  <w:vAlign w:val="top"/>
                </w:tcPr>
                <w:p>
                  <w:pPr>
                    <w:spacing w:before="180" w:line="186" w:lineRule="auto"/>
                    <w:ind w:left="2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S16</w:t>
                  </w:r>
                </w:p>
              </w:tc>
              <w:tc>
                <w:tcPr>
                  <w:tcW w:w="1197" w:type="dxa"/>
                  <w:vAlign w:val="top"/>
                </w:tcPr>
                <w:p>
                  <w:pPr>
                    <w:spacing w:before="181"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107.245209</w:t>
                  </w:r>
                </w:p>
              </w:tc>
              <w:tc>
                <w:tcPr>
                  <w:tcW w:w="982" w:type="dxa"/>
                  <w:vAlign w:val="top"/>
                </w:tcPr>
                <w:p>
                  <w:pPr>
                    <w:spacing w:before="181" w:line="186"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31.432560</w:t>
                  </w:r>
                </w:p>
              </w:tc>
              <w:tc>
                <w:tcPr>
                  <w:tcW w:w="396" w:type="dxa"/>
                  <w:vAlign w:val="top"/>
                </w:tcPr>
                <w:p>
                  <w:pPr>
                    <w:pStyle w:val="6"/>
                    <w:spacing w:before="145" w:line="220" w:lineRule="auto"/>
                    <w:ind w:left="111"/>
                    <w:rPr>
                      <w:sz w:val="18"/>
                      <w:szCs w:val="18"/>
                    </w:rPr>
                  </w:pPr>
                  <w:r>
                    <w:rPr>
                      <w:sz w:val="18"/>
                      <w:szCs w:val="18"/>
                    </w:rPr>
                    <w:t>井</w:t>
                  </w:r>
                </w:p>
              </w:tc>
              <w:tc>
                <w:tcPr>
                  <w:tcW w:w="616" w:type="dxa"/>
                  <w:vAlign w:val="top"/>
                </w:tcPr>
                <w:p>
                  <w:pPr>
                    <w:spacing w:before="180" w:line="186" w:lineRule="auto"/>
                    <w:ind w:left="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tc>
              <w:tc>
                <w:tcPr>
                  <w:tcW w:w="717" w:type="dxa"/>
                  <w:vAlign w:val="top"/>
                </w:tcPr>
                <w:p>
                  <w:pPr>
                    <w:spacing w:before="181" w:line="186"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c>
                <w:tcPr>
                  <w:tcW w:w="715" w:type="dxa"/>
                  <w:vAlign w:val="top"/>
                </w:tcPr>
                <w:p>
                  <w:pPr>
                    <w:spacing w:before="181" w:line="186" w:lineRule="auto"/>
                    <w:ind w:left="2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c>
              <w:tc>
                <w:tcPr>
                  <w:tcW w:w="775" w:type="dxa"/>
                  <w:vAlign w:val="top"/>
                </w:tcPr>
                <w:p>
                  <w:pPr>
                    <w:spacing w:before="181"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476.14</w:t>
                  </w:r>
                </w:p>
              </w:tc>
              <w:tc>
                <w:tcPr>
                  <w:tcW w:w="688" w:type="dxa"/>
                  <w:vAlign w:val="top"/>
                </w:tcPr>
                <w:p>
                  <w:pPr>
                    <w:spacing w:before="181"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1.47</w:t>
                  </w:r>
                </w:p>
              </w:tc>
              <w:tc>
                <w:tcPr>
                  <w:tcW w:w="592" w:type="dxa"/>
                  <w:vAlign w:val="top"/>
                </w:tcPr>
                <w:p>
                  <w:pPr>
                    <w:spacing w:before="161" w:line="209" w:lineRule="auto"/>
                    <w:ind w:left="158"/>
                    <w:rPr>
                      <w:rFonts w:ascii="Times New Roman" w:hAnsi="Times New Roman" w:eastAsia="Times New Roman" w:cs="Times New Roman"/>
                      <w:sz w:val="12"/>
                      <w:szCs w:val="12"/>
                    </w:rPr>
                  </w:pPr>
                  <w:r>
                    <w:rPr>
                      <w:rFonts w:ascii="Times New Roman" w:hAnsi="Times New Roman" w:eastAsia="Times New Roman" w:cs="Times New Roman"/>
                      <w:spacing w:val="2"/>
                      <w:sz w:val="18"/>
                      <w:szCs w:val="18"/>
                    </w:rPr>
                    <w:t>J</w:t>
                  </w:r>
                  <w:r>
                    <w:rPr>
                      <w:rFonts w:ascii="Times New Roman" w:hAnsi="Times New Roman" w:eastAsia="Times New Roman" w:cs="Times New Roman"/>
                      <w:spacing w:val="2"/>
                      <w:position w:val="-1"/>
                      <w:sz w:val="12"/>
                      <w:szCs w:val="12"/>
                    </w:rPr>
                    <w:t>3</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position w:val="5"/>
                      <w:sz w:val="12"/>
                      <w:szCs w:val="12"/>
                    </w:rPr>
                    <w:t>1</w:t>
                  </w:r>
                </w:p>
              </w:tc>
              <w:tc>
                <w:tcPr>
                  <w:tcW w:w="1246" w:type="dxa"/>
                  <w:vAlign w:val="top"/>
                </w:tcPr>
                <w:p>
                  <w:pPr>
                    <w:pStyle w:val="6"/>
                    <w:spacing w:before="30" w:line="223" w:lineRule="auto"/>
                    <w:ind w:left="265" w:right="170" w:hanging="88"/>
                    <w:rPr>
                      <w:rFonts w:ascii="Times New Roman" w:hAnsi="Times New Roman" w:eastAsia="Times New Roman" w:cs="Times New Roman"/>
                      <w:sz w:val="18"/>
                      <w:szCs w:val="18"/>
                    </w:rPr>
                  </w:pPr>
                  <w:r>
                    <w:rPr>
                      <w:spacing w:val="-2"/>
                      <w:sz w:val="18"/>
                      <w:szCs w:val="18"/>
                    </w:rPr>
                    <w:t>井口东南下</w:t>
                  </w:r>
                  <w:r>
                    <w:rPr>
                      <w:spacing w:val="1"/>
                      <w:sz w:val="18"/>
                      <w:szCs w:val="18"/>
                    </w:rPr>
                    <w:t xml:space="preserve"> </w:t>
                  </w:r>
                  <w:r>
                    <w:rPr>
                      <w:spacing w:val="-5"/>
                      <w:sz w:val="18"/>
                      <w:szCs w:val="18"/>
                    </w:rPr>
                    <w:t>游</w:t>
                  </w:r>
                  <w:r>
                    <w:rPr>
                      <w:spacing w:val="-21"/>
                      <w:sz w:val="18"/>
                      <w:szCs w:val="18"/>
                    </w:rPr>
                    <w:t xml:space="preserve"> </w:t>
                  </w:r>
                  <w:r>
                    <w:rPr>
                      <w:rFonts w:ascii="Times New Roman" w:hAnsi="Times New Roman" w:eastAsia="Times New Roman" w:cs="Times New Roman"/>
                      <w:spacing w:val="-5"/>
                      <w:sz w:val="18"/>
                      <w:szCs w:val="18"/>
                    </w:rPr>
                    <w:t>1507m</w:t>
                  </w:r>
                </w:p>
              </w:tc>
            </w:tr>
          </w:tbl>
          <w:p>
            <w:pPr>
              <w:pStyle w:val="6"/>
              <w:spacing w:before="177" w:line="220" w:lineRule="auto"/>
              <w:ind w:left="105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6</w:t>
            </w:r>
            <w:r>
              <w:rPr>
                <w:spacing w:val="-2"/>
                <w:sz w:val="24"/>
                <w:szCs w:val="24"/>
                <w14:textOutline w14:w="4354" w14:cap="flat" w14:cmpd="sng">
                  <w14:solidFill>
                    <w14:srgbClr w14:val="000000"/>
                  </w14:solidFill>
                  <w14:prstDash w14:val="solid"/>
                  <w14:miter w14:val="10"/>
                </w14:textOutline>
              </w:rPr>
              <w:t>）土壤环境敏感目标</w:t>
            </w:r>
          </w:p>
          <w:p>
            <w:pPr>
              <w:pStyle w:val="6"/>
              <w:spacing w:before="194" w:line="219" w:lineRule="auto"/>
              <w:ind w:left="1048"/>
              <w:rPr>
                <w:sz w:val="24"/>
                <w:szCs w:val="24"/>
              </w:rPr>
            </w:pPr>
            <w:r>
              <w:rPr>
                <w:spacing w:val="-2"/>
                <w:sz w:val="24"/>
                <w:szCs w:val="24"/>
              </w:rPr>
              <w:t>井口周边</w:t>
            </w:r>
            <w:r>
              <w:rPr>
                <w:spacing w:val="-55"/>
                <w:sz w:val="24"/>
                <w:szCs w:val="24"/>
              </w:rPr>
              <w:t xml:space="preserve"> </w:t>
            </w:r>
            <w:r>
              <w:rPr>
                <w:rFonts w:ascii="Times New Roman" w:hAnsi="Times New Roman" w:eastAsia="Times New Roman" w:cs="Times New Roman"/>
                <w:spacing w:val="-2"/>
                <w:sz w:val="24"/>
                <w:szCs w:val="24"/>
              </w:rPr>
              <w:t>200m</w:t>
            </w:r>
            <w:r>
              <w:rPr>
                <w:rFonts w:ascii="Times New Roman" w:hAnsi="Times New Roman" w:eastAsia="Times New Roman" w:cs="Times New Roman"/>
                <w:spacing w:val="15"/>
                <w:w w:val="101"/>
                <w:sz w:val="24"/>
                <w:szCs w:val="24"/>
              </w:rPr>
              <w:t xml:space="preserve"> </w:t>
            </w:r>
            <w:r>
              <w:rPr>
                <w:spacing w:val="-2"/>
                <w:sz w:val="24"/>
                <w:szCs w:val="24"/>
              </w:rPr>
              <w:t>范围内分布的耕地。土壤水环境保护目标见下表。</w:t>
            </w:r>
          </w:p>
          <w:p>
            <w:pPr>
              <w:pStyle w:val="6"/>
              <w:spacing w:before="195" w:line="220" w:lineRule="auto"/>
              <w:ind w:left="3087"/>
              <w:rPr>
                <w:sz w:val="24"/>
                <w:szCs w:val="24"/>
              </w:rPr>
            </w:pPr>
            <w:r>
              <w:rPr>
                <w:spacing w:val="-1"/>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pacing w:val="-1"/>
                <w:sz w:val="24"/>
                <w:szCs w:val="24"/>
              </w:rPr>
              <w:t xml:space="preserve">3.4-6  </w:t>
            </w:r>
            <w:r>
              <w:rPr>
                <w:spacing w:val="-1"/>
                <w:sz w:val="24"/>
                <w:szCs w:val="24"/>
                <w14:textOutline w14:w="4354" w14:cap="flat" w14:cmpd="sng">
                  <w14:solidFill>
                    <w14:srgbClr w14:val="000000"/>
                  </w14:solidFill>
                  <w14:prstDash w14:val="solid"/>
                  <w14:miter w14:val="10"/>
                </w14:textOutline>
              </w:rPr>
              <w:t>土壤环境保护目标一览表</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276"/>
              <w:gridCol w:w="2126"/>
              <w:gridCol w:w="2692"/>
              <w:gridCol w:w="1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25" w:type="dxa"/>
                  <w:vAlign w:val="top"/>
                </w:tcPr>
                <w:p>
                  <w:pPr>
                    <w:pStyle w:val="6"/>
                    <w:spacing w:before="37" w:line="238" w:lineRule="auto"/>
                    <w:ind w:left="207"/>
                    <w:rPr>
                      <w:sz w:val="21"/>
                      <w:szCs w:val="21"/>
                    </w:rPr>
                  </w:pPr>
                  <w:r>
                    <w:rPr>
                      <w:spacing w:val="-2"/>
                      <w:sz w:val="21"/>
                      <w:szCs w:val="21"/>
                    </w:rPr>
                    <w:t>环境</w:t>
                  </w:r>
                </w:p>
                <w:p>
                  <w:pPr>
                    <w:pStyle w:val="6"/>
                    <w:spacing w:line="208" w:lineRule="auto"/>
                    <w:ind w:left="208"/>
                    <w:rPr>
                      <w:sz w:val="21"/>
                      <w:szCs w:val="21"/>
                    </w:rPr>
                  </w:pPr>
                  <w:r>
                    <w:rPr>
                      <w:spacing w:val="-2"/>
                      <w:sz w:val="21"/>
                      <w:szCs w:val="21"/>
                    </w:rPr>
                    <w:t>要素</w:t>
                  </w:r>
                </w:p>
              </w:tc>
              <w:tc>
                <w:tcPr>
                  <w:tcW w:w="1276" w:type="dxa"/>
                  <w:vAlign w:val="top"/>
                </w:tcPr>
                <w:p>
                  <w:pPr>
                    <w:pStyle w:val="6"/>
                    <w:spacing w:before="37" w:line="223" w:lineRule="auto"/>
                    <w:ind w:left="536" w:right="109" w:hanging="420"/>
                    <w:rPr>
                      <w:sz w:val="21"/>
                      <w:szCs w:val="21"/>
                    </w:rPr>
                  </w:pPr>
                  <w:r>
                    <w:rPr>
                      <w:spacing w:val="-1"/>
                      <w:sz w:val="21"/>
                      <w:szCs w:val="21"/>
                    </w:rPr>
                    <w:t>环境保护目</w:t>
                  </w:r>
                  <w:r>
                    <w:rPr>
                      <w:sz w:val="21"/>
                      <w:szCs w:val="21"/>
                    </w:rPr>
                    <w:t xml:space="preserve"> 标</w:t>
                  </w:r>
                </w:p>
              </w:tc>
              <w:tc>
                <w:tcPr>
                  <w:tcW w:w="2126" w:type="dxa"/>
                  <w:vAlign w:val="top"/>
                </w:tcPr>
                <w:p>
                  <w:pPr>
                    <w:pStyle w:val="6"/>
                    <w:spacing w:before="171" w:line="221" w:lineRule="auto"/>
                    <w:ind w:left="645"/>
                    <w:rPr>
                      <w:sz w:val="21"/>
                      <w:szCs w:val="21"/>
                    </w:rPr>
                  </w:pPr>
                  <w:r>
                    <w:rPr>
                      <w:spacing w:val="-2"/>
                      <w:sz w:val="21"/>
                      <w:szCs w:val="21"/>
                    </w:rPr>
                    <w:t>位置关系</w:t>
                  </w:r>
                </w:p>
              </w:tc>
              <w:tc>
                <w:tcPr>
                  <w:tcW w:w="2692" w:type="dxa"/>
                  <w:vAlign w:val="top"/>
                </w:tcPr>
                <w:p>
                  <w:pPr>
                    <w:pStyle w:val="6"/>
                    <w:spacing w:before="170" w:line="221" w:lineRule="auto"/>
                    <w:ind w:left="721"/>
                    <w:rPr>
                      <w:sz w:val="21"/>
                      <w:szCs w:val="21"/>
                    </w:rPr>
                  </w:pPr>
                  <w:r>
                    <w:rPr>
                      <w:spacing w:val="-1"/>
                      <w:sz w:val="21"/>
                      <w:szCs w:val="21"/>
                    </w:rPr>
                    <w:t>环境敏感特性</w:t>
                  </w:r>
                </w:p>
              </w:tc>
              <w:tc>
                <w:tcPr>
                  <w:tcW w:w="1691" w:type="dxa"/>
                  <w:vAlign w:val="top"/>
                </w:tcPr>
                <w:p>
                  <w:pPr>
                    <w:pStyle w:val="6"/>
                    <w:spacing w:before="170" w:line="221" w:lineRule="auto"/>
                    <w:ind w:left="429"/>
                    <w:rPr>
                      <w:sz w:val="21"/>
                      <w:szCs w:val="21"/>
                    </w:rPr>
                  </w:pPr>
                  <w:r>
                    <w:rPr>
                      <w:spacing w:val="-2"/>
                      <w:sz w:val="21"/>
                      <w:szCs w:val="21"/>
                    </w:rPr>
                    <w:t>影响因素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25" w:type="dxa"/>
                  <w:vAlign w:val="top"/>
                </w:tcPr>
                <w:p>
                  <w:pPr>
                    <w:pStyle w:val="6"/>
                    <w:spacing w:before="165" w:line="241" w:lineRule="auto"/>
                    <w:ind w:left="208"/>
                    <w:rPr>
                      <w:sz w:val="21"/>
                      <w:szCs w:val="21"/>
                    </w:rPr>
                  </w:pPr>
                  <w:r>
                    <w:rPr>
                      <w:spacing w:val="-2"/>
                      <w:sz w:val="21"/>
                      <w:szCs w:val="21"/>
                    </w:rPr>
                    <w:t>土壤</w:t>
                  </w:r>
                </w:p>
                <w:p>
                  <w:pPr>
                    <w:pStyle w:val="6"/>
                    <w:spacing w:line="221" w:lineRule="auto"/>
                    <w:ind w:left="207"/>
                    <w:rPr>
                      <w:sz w:val="21"/>
                      <w:szCs w:val="21"/>
                    </w:rPr>
                  </w:pPr>
                  <w:r>
                    <w:rPr>
                      <w:spacing w:val="-2"/>
                      <w:sz w:val="21"/>
                      <w:szCs w:val="21"/>
                    </w:rPr>
                    <w:t>环境</w:t>
                  </w:r>
                </w:p>
              </w:tc>
              <w:tc>
                <w:tcPr>
                  <w:tcW w:w="1276" w:type="dxa"/>
                  <w:vAlign w:val="top"/>
                </w:tcPr>
                <w:p>
                  <w:pPr>
                    <w:pStyle w:val="6"/>
                    <w:spacing w:before="302" w:line="223" w:lineRule="auto"/>
                    <w:ind w:left="223"/>
                    <w:rPr>
                      <w:sz w:val="21"/>
                      <w:szCs w:val="21"/>
                    </w:rPr>
                  </w:pPr>
                  <w:r>
                    <w:rPr>
                      <w:spacing w:val="-2"/>
                      <w:sz w:val="21"/>
                      <w:szCs w:val="21"/>
                    </w:rPr>
                    <w:t>周边农田</w:t>
                  </w:r>
                </w:p>
              </w:tc>
              <w:tc>
                <w:tcPr>
                  <w:tcW w:w="2126" w:type="dxa"/>
                  <w:vAlign w:val="top"/>
                </w:tcPr>
                <w:p>
                  <w:pPr>
                    <w:pStyle w:val="6"/>
                    <w:spacing w:before="165" w:line="231" w:lineRule="auto"/>
                    <w:ind w:left="480" w:right="323" w:hanging="148"/>
                    <w:rPr>
                      <w:sz w:val="21"/>
                      <w:szCs w:val="21"/>
                    </w:rPr>
                  </w:pPr>
                  <w:r>
                    <w:rPr>
                      <w:spacing w:val="-1"/>
                      <w:sz w:val="21"/>
                      <w:szCs w:val="21"/>
                    </w:rPr>
                    <w:t>本项目井场周边</w:t>
                  </w:r>
                  <w:r>
                    <w:rPr>
                      <w:sz w:val="21"/>
                      <w:szCs w:val="21"/>
                    </w:rPr>
                    <w:t xml:space="preserve"> </w:t>
                  </w:r>
                  <w:r>
                    <w:rPr>
                      <w:rFonts w:ascii="Times New Roman" w:hAnsi="Times New Roman" w:eastAsia="Times New Roman" w:cs="Times New Roman"/>
                      <w:spacing w:val="-2"/>
                      <w:sz w:val="21"/>
                      <w:szCs w:val="21"/>
                    </w:rPr>
                    <w:t>200m</w:t>
                  </w:r>
                  <w:r>
                    <w:rPr>
                      <w:rFonts w:ascii="Times New Roman" w:hAnsi="Times New Roman" w:eastAsia="Times New Roman" w:cs="Times New Roman"/>
                      <w:spacing w:val="12"/>
                      <w:sz w:val="21"/>
                      <w:szCs w:val="21"/>
                    </w:rPr>
                    <w:t xml:space="preserve"> </w:t>
                  </w:r>
                  <w:r>
                    <w:rPr>
                      <w:spacing w:val="-2"/>
                      <w:sz w:val="21"/>
                      <w:szCs w:val="21"/>
                    </w:rPr>
                    <w:t>范围内</w:t>
                  </w:r>
                </w:p>
              </w:tc>
              <w:tc>
                <w:tcPr>
                  <w:tcW w:w="2692" w:type="dxa"/>
                  <w:vAlign w:val="top"/>
                </w:tcPr>
                <w:p>
                  <w:pPr>
                    <w:pStyle w:val="6"/>
                    <w:spacing w:before="165" w:line="231" w:lineRule="auto"/>
                    <w:ind w:left="932" w:right="102" w:hanging="817"/>
                    <w:rPr>
                      <w:sz w:val="21"/>
                      <w:szCs w:val="21"/>
                    </w:rPr>
                  </w:pPr>
                  <w:r>
                    <w:rPr>
                      <w:spacing w:val="-8"/>
                      <w:sz w:val="21"/>
                      <w:szCs w:val="21"/>
                    </w:rPr>
                    <w:t>主要为旱地和水田，</w:t>
                  </w:r>
                  <w:r>
                    <w:rPr>
                      <w:spacing w:val="-61"/>
                      <w:sz w:val="21"/>
                      <w:szCs w:val="21"/>
                    </w:rPr>
                    <w:t xml:space="preserve"> </w:t>
                  </w:r>
                  <w:r>
                    <w:rPr>
                      <w:spacing w:val="-8"/>
                      <w:sz w:val="21"/>
                      <w:szCs w:val="21"/>
                    </w:rPr>
                    <w:t>主要种</w:t>
                  </w:r>
                  <w:r>
                    <w:rPr>
                      <w:sz w:val="21"/>
                      <w:szCs w:val="21"/>
                    </w:rPr>
                    <w:t xml:space="preserve"> </w:t>
                  </w:r>
                  <w:r>
                    <w:rPr>
                      <w:spacing w:val="-2"/>
                      <w:sz w:val="21"/>
                      <w:szCs w:val="21"/>
                    </w:rPr>
                    <w:t>植李子树</w:t>
                  </w:r>
                </w:p>
              </w:tc>
              <w:tc>
                <w:tcPr>
                  <w:tcW w:w="1691" w:type="dxa"/>
                  <w:vAlign w:val="top"/>
                </w:tcPr>
                <w:p>
                  <w:pPr>
                    <w:pStyle w:val="6"/>
                    <w:spacing w:before="30" w:line="228" w:lineRule="auto"/>
                    <w:ind w:left="113" w:right="105"/>
                    <w:jc w:val="both"/>
                    <w:rPr>
                      <w:sz w:val="21"/>
                      <w:szCs w:val="21"/>
                    </w:rPr>
                  </w:pPr>
                  <w:r>
                    <w:rPr>
                      <w:spacing w:val="-1"/>
                      <w:sz w:val="21"/>
                      <w:szCs w:val="21"/>
                    </w:rPr>
                    <w:t>废水溢流等事故</w:t>
                  </w:r>
                  <w:r>
                    <w:rPr>
                      <w:spacing w:val="2"/>
                      <w:sz w:val="21"/>
                      <w:szCs w:val="21"/>
                    </w:rPr>
                    <w:t xml:space="preserve"> </w:t>
                  </w:r>
                  <w:r>
                    <w:rPr>
                      <w:spacing w:val="-14"/>
                      <w:sz w:val="21"/>
                      <w:szCs w:val="21"/>
                    </w:rPr>
                    <w:t>排放污染； 固体</w:t>
                  </w:r>
                  <w:r>
                    <w:rPr>
                      <w:spacing w:val="1"/>
                      <w:sz w:val="21"/>
                      <w:szCs w:val="21"/>
                    </w:rPr>
                    <w:t xml:space="preserve"> </w:t>
                  </w:r>
                  <w:r>
                    <w:rPr>
                      <w:spacing w:val="16"/>
                      <w:sz w:val="21"/>
                      <w:szCs w:val="21"/>
                    </w:rPr>
                    <w:t>废物堆放污染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5" w:type="dxa"/>
                  <w:vMerge w:val="restart"/>
                  <w:tcBorders>
                    <w:bottom w:val="nil"/>
                  </w:tcBorders>
                  <w:vAlign w:val="top"/>
                </w:tcPr>
                <w:p>
                  <w:pPr>
                    <w:pStyle w:val="6"/>
                    <w:spacing w:before="208" w:line="241" w:lineRule="auto"/>
                    <w:ind w:left="208"/>
                    <w:rPr>
                      <w:sz w:val="21"/>
                      <w:szCs w:val="21"/>
                    </w:rPr>
                  </w:pPr>
                  <w:r>
                    <w:rPr>
                      <w:spacing w:val="-2"/>
                      <w:sz w:val="21"/>
                      <w:szCs w:val="21"/>
                    </w:rPr>
                    <w:t>生态</w:t>
                  </w:r>
                </w:p>
                <w:p>
                  <w:pPr>
                    <w:pStyle w:val="6"/>
                    <w:spacing w:line="221" w:lineRule="auto"/>
                    <w:ind w:left="207"/>
                    <w:rPr>
                      <w:sz w:val="21"/>
                      <w:szCs w:val="21"/>
                    </w:rPr>
                  </w:pPr>
                  <w:r>
                    <w:rPr>
                      <w:spacing w:val="-2"/>
                      <w:sz w:val="21"/>
                      <w:szCs w:val="21"/>
                    </w:rPr>
                    <w:t>环境</w:t>
                  </w:r>
                </w:p>
              </w:tc>
              <w:tc>
                <w:tcPr>
                  <w:tcW w:w="1276" w:type="dxa"/>
                  <w:vAlign w:val="top"/>
                </w:tcPr>
                <w:p>
                  <w:pPr>
                    <w:pStyle w:val="6"/>
                    <w:spacing w:before="66" w:line="220" w:lineRule="auto"/>
                    <w:ind w:left="430"/>
                    <w:rPr>
                      <w:sz w:val="21"/>
                      <w:szCs w:val="21"/>
                    </w:rPr>
                  </w:pPr>
                  <w:r>
                    <w:rPr>
                      <w:spacing w:val="-2"/>
                      <w:sz w:val="21"/>
                      <w:szCs w:val="21"/>
                    </w:rPr>
                    <w:t>耕地</w:t>
                  </w:r>
                </w:p>
              </w:tc>
              <w:tc>
                <w:tcPr>
                  <w:tcW w:w="2126" w:type="dxa"/>
                  <w:vAlign w:val="top"/>
                </w:tcPr>
                <w:p>
                  <w:pPr>
                    <w:pStyle w:val="6"/>
                    <w:spacing w:before="67" w:line="221" w:lineRule="auto"/>
                    <w:ind w:left="648"/>
                    <w:rPr>
                      <w:sz w:val="21"/>
                      <w:szCs w:val="21"/>
                    </w:rPr>
                  </w:pPr>
                  <w:r>
                    <w:rPr>
                      <w:spacing w:val="-2"/>
                      <w:sz w:val="21"/>
                      <w:szCs w:val="21"/>
                    </w:rPr>
                    <w:t>工程占地</w:t>
                  </w:r>
                </w:p>
              </w:tc>
              <w:tc>
                <w:tcPr>
                  <w:tcW w:w="2692" w:type="dxa"/>
                  <w:vMerge w:val="restart"/>
                  <w:tcBorders>
                    <w:bottom w:val="nil"/>
                  </w:tcBorders>
                  <w:vAlign w:val="top"/>
                </w:tcPr>
                <w:p>
                  <w:pPr>
                    <w:pStyle w:val="6"/>
                    <w:spacing w:before="73" w:line="221" w:lineRule="auto"/>
                    <w:ind w:left="115"/>
                    <w:rPr>
                      <w:sz w:val="21"/>
                      <w:szCs w:val="21"/>
                    </w:rPr>
                  </w:pPr>
                  <w:r>
                    <w:rPr>
                      <w:spacing w:val="-10"/>
                      <w:sz w:val="21"/>
                      <w:szCs w:val="21"/>
                    </w:rPr>
                    <w:t>属农林生态系统，</w:t>
                  </w:r>
                  <w:r>
                    <w:rPr>
                      <w:spacing w:val="-36"/>
                      <w:sz w:val="21"/>
                      <w:szCs w:val="21"/>
                    </w:rPr>
                    <w:t xml:space="preserve"> </w:t>
                  </w:r>
                  <w:r>
                    <w:rPr>
                      <w:spacing w:val="-10"/>
                      <w:sz w:val="21"/>
                      <w:szCs w:val="21"/>
                    </w:rPr>
                    <w:t>受人类活</w:t>
                  </w:r>
                </w:p>
                <w:p>
                  <w:pPr>
                    <w:pStyle w:val="6"/>
                    <w:spacing w:before="19" w:line="221" w:lineRule="auto"/>
                    <w:ind w:left="114"/>
                    <w:rPr>
                      <w:sz w:val="21"/>
                      <w:szCs w:val="21"/>
                    </w:rPr>
                  </w:pPr>
                  <w:r>
                    <w:rPr>
                      <w:spacing w:val="-10"/>
                      <w:sz w:val="21"/>
                      <w:szCs w:val="21"/>
                    </w:rPr>
                    <w:t>动影响强烈，</w:t>
                  </w:r>
                  <w:r>
                    <w:rPr>
                      <w:spacing w:val="-35"/>
                      <w:sz w:val="21"/>
                      <w:szCs w:val="21"/>
                    </w:rPr>
                    <w:t xml:space="preserve"> </w:t>
                  </w:r>
                  <w:r>
                    <w:rPr>
                      <w:spacing w:val="-10"/>
                      <w:sz w:val="21"/>
                      <w:szCs w:val="21"/>
                    </w:rPr>
                    <w:t>植被以农作物</w:t>
                  </w:r>
                </w:p>
                <w:p>
                  <w:pPr>
                    <w:pStyle w:val="6"/>
                    <w:spacing w:before="19" w:line="221" w:lineRule="auto"/>
                    <w:ind w:left="303"/>
                    <w:rPr>
                      <w:sz w:val="21"/>
                      <w:szCs w:val="21"/>
                    </w:rPr>
                  </w:pPr>
                  <w:r>
                    <w:rPr>
                      <w:spacing w:val="-11"/>
                      <w:sz w:val="21"/>
                      <w:szCs w:val="21"/>
                    </w:rPr>
                    <w:t>为主， 无珍稀保护植物</w:t>
                  </w:r>
                </w:p>
              </w:tc>
              <w:tc>
                <w:tcPr>
                  <w:tcW w:w="1691" w:type="dxa"/>
                  <w:vMerge w:val="restart"/>
                  <w:tcBorders>
                    <w:bottom w:val="nil"/>
                  </w:tcBorders>
                  <w:vAlign w:val="top"/>
                </w:tcPr>
                <w:p>
                  <w:pPr>
                    <w:pStyle w:val="6"/>
                    <w:spacing w:before="207" w:line="231" w:lineRule="auto"/>
                    <w:ind w:left="113" w:right="105" w:firstLine="12"/>
                    <w:rPr>
                      <w:sz w:val="21"/>
                      <w:szCs w:val="21"/>
                    </w:rPr>
                  </w:pPr>
                  <w:r>
                    <w:rPr>
                      <w:spacing w:val="-15"/>
                      <w:sz w:val="21"/>
                      <w:szCs w:val="21"/>
                    </w:rPr>
                    <w:t>临时占地，</w:t>
                  </w:r>
                  <w:r>
                    <w:rPr>
                      <w:spacing w:val="-18"/>
                      <w:sz w:val="21"/>
                      <w:szCs w:val="21"/>
                    </w:rPr>
                    <w:t xml:space="preserve"> </w:t>
                  </w:r>
                  <w:r>
                    <w:rPr>
                      <w:spacing w:val="-15"/>
                      <w:sz w:val="21"/>
                      <w:szCs w:val="21"/>
                    </w:rPr>
                    <w:t>植被</w:t>
                  </w:r>
                  <w:r>
                    <w:rPr>
                      <w:sz w:val="21"/>
                      <w:szCs w:val="21"/>
                    </w:rPr>
                    <w:t xml:space="preserve"> </w:t>
                  </w:r>
                  <w:r>
                    <w:rPr>
                      <w:spacing w:val="-1"/>
                      <w:sz w:val="21"/>
                      <w:szCs w:val="21"/>
                    </w:rPr>
                    <w:t>破坏、水土流失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25" w:type="dxa"/>
                  <w:vMerge w:val="continue"/>
                  <w:tcBorders>
                    <w:top w:val="nil"/>
                  </w:tcBorders>
                  <w:vAlign w:val="top"/>
                </w:tcPr>
                <w:p>
                  <w:pPr>
                    <w:rPr>
                      <w:rFonts w:ascii="Arial"/>
                      <w:sz w:val="21"/>
                    </w:rPr>
                  </w:pPr>
                </w:p>
              </w:tc>
              <w:tc>
                <w:tcPr>
                  <w:tcW w:w="1276" w:type="dxa"/>
                  <w:vAlign w:val="top"/>
                </w:tcPr>
                <w:p>
                  <w:pPr>
                    <w:pStyle w:val="6"/>
                    <w:spacing w:before="170" w:line="221" w:lineRule="auto"/>
                    <w:ind w:left="431"/>
                    <w:rPr>
                      <w:sz w:val="21"/>
                      <w:szCs w:val="21"/>
                    </w:rPr>
                  </w:pPr>
                  <w:r>
                    <w:rPr>
                      <w:spacing w:val="-2"/>
                      <w:sz w:val="21"/>
                      <w:szCs w:val="21"/>
                    </w:rPr>
                    <w:t>植被</w:t>
                  </w:r>
                </w:p>
              </w:tc>
              <w:tc>
                <w:tcPr>
                  <w:tcW w:w="2126" w:type="dxa"/>
                  <w:vAlign w:val="top"/>
                </w:tcPr>
                <w:p>
                  <w:pPr>
                    <w:pStyle w:val="6"/>
                    <w:spacing w:before="33" w:line="224" w:lineRule="auto"/>
                    <w:ind w:left="327" w:right="139" w:hanging="183"/>
                    <w:rPr>
                      <w:rFonts w:ascii="Times New Roman" w:hAnsi="Times New Roman" w:eastAsia="Times New Roman" w:cs="Times New Roman"/>
                      <w:sz w:val="21"/>
                      <w:szCs w:val="21"/>
                    </w:rPr>
                  </w:pPr>
                  <w:r>
                    <w:rPr>
                      <w:spacing w:val="-2"/>
                      <w:sz w:val="21"/>
                      <w:szCs w:val="21"/>
                    </w:rPr>
                    <w:t>井场周围</w:t>
                  </w:r>
                  <w:r>
                    <w:rPr>
                      <w:spacing w:val="-38"/>
                      <w:sz w:val="21"/>
                      <w:szCs w:val="21"/>
                    </w:rPr>
                    <w:t xml:space="preserve"> </w:t>
                  </w:r>
                  <w:r>
                    <w:rPr>
                      <w:rFonts w:ascii="Times New Roman" w:hAnsi="Times New Roman" w:eastAsia="Times New Roman" w:cs="Times New Roman"/>
                      <w:spacing w:val="-2"/>
                      <w:sz w:val="21"/>
                      <w:szCs w:val="21"/>
                    </w:rPr>
                    <w:t xml:space="preserve">500m </w:t>
                  </w:r>
                  <w:r>
                    <w:rPr>
                      <w:spacing w:val="-2"/>
                      <w:sz w:val="21"/>
                      <w:szCs w:val="21"/>
                    </w:rPr>
                    <w:t>范围</w:t>
                  </w:r>
                  <w:r>
                    <w:rPr>
                      <w:sz w:val="21"/>
                      <w:szCs w:val="21"/>
                    </w:rPr>
                    <w:t xml:space="preserve"> </w:t>
                  </w:r>
                  <w:r>
                    <w:rPr>
                      <w:spacing w:val="-2"/>
                      <w:sz w:val="21"/>
                      <w:szCs w:val="21"/>
                    </w:rPr>
                    <w:t>及道路两侧</w:t>
                  </w:r>
                  <w:r>
                    <w:rPr>
                      <w:spacing w:val="-38"/>
                      <w:sz w:val="21"/>
                      <w:szCs w:val="21"/>
                    </w:rPr>
                    <w:t xml:space="preserve"> </w:t>
                  </w:r>
                  <w:r>
                    <w:rPr>
                      <w:rFonts w:ascii="Times New Roman" w:hAnsi="Times New Roman" w:eastAsia="Times New Roman" w:cs="Times New Roman"/>
                      <w:spacing w:val="-2"/>
                      <w:sz w:val="21"/>
                      <w:szCs w:val="21"/>
                    </w:rPr>
                    <w:t>50m</w:t>
                  </w:r>
                </w:p>
              </w:tc>
              <w:tc>
                <w:tcPr>
                  <w:tcW w:w="2692" w:type="dxa"/>
                  <w:vMerge w:val="continue"/>
                  <w:tcBorders>
                    <w:top w:val="nil"/>
                  </w:tcBorders>
                  <w:vAlign w:val="top"/>
                </w:tcPr>
                <w:p>
                  <w:pPr>
                    <w:rPr>
                      <w:rFonts w:ascii="Arial"/>
                      <w:sz w:val="21"/>
                    </w:rPr>
                  </w:pPr>
                </w:p>
              </w:tc>
              <w:tc>
                <w:tcPr>
                  <w:tcW w:w="1691" w:type="dxa"/>
                  <w:vMerge w:val="continue"/>
                  <w:tcBorders>
                    <w:top w:val="nil"/>
                  </w:tcBorders>
                  <w:vAlign w:val="top"/>
                </w:tcPr>
                <w:p>
                  <w:pPr>
                    <w:rPr>
                      <w:rFonts w:ascii="Arial"/>
                      <w:sz w:val="21"/>
                    </w:rPr>
                  </w:pPr>
                </w:p>
              </w:tc>
            </w:tr>
          </w:tbl>
          <w:p>
            <w:pPr>
              <w:pStyle w:val="6"/>
              <w:spacing w:before="178" w:line="220" w:lineRule="auto"/>
              <w:ind w:left="105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7</w:t>
            </w:r>
            <w:r>
              <w:rPr>
                <w:spacing w:val="-2"/>
                <w:sz w:val="24"/>
                <w:szCs w:val="24"/>
                <w14:textOutline w14:w="4354" w14:cap="flat" w14:cmpd="sng">
                  <w14:solidFill>
                    <w14:srgbClr w14:val="000000"/>
                  </w14:solidFill>
                  <w14:prstDash w14:val="solid"/>
                  <w14:miter w14:val="10"/>
                </w14:textOutline>
              </w:rPr>
              <w:t>）环境风险保护目标</w:t>
            </w:r>
          </w:p>
        </w:tc>
      </w:tr>
    </w:tbl>
    <w:p>
      <w:pPr>
        <w:pStyle w:val="2"/>
        <w:rPr>
          <w:sz w:val="21"/>
        </w:rPr>
      </w:pPr>
    </w:p>
    <w:p>
      <w:pPr>
        <w:rPr>
          <w:sz w:val="21"/>
          <w:szCs w:val="21"/>
        </w:rPr>
        <w:sectPr>
          <w:footerReference r:id="rId83" w:type="default"/>
          <w:pgSz w:w="11907" w:h="16839"/>
          <w:pgMar w:top="400" w:right="1298" w:bottom="1178"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733" w:hRule="atLeast"/>
        </w:trPr>
        <w:tc>
          <w:tcPr>
            <w:tcW w:w="9291" w:type="dxa"/>
            <w:vAlign w:val="top"/>
          </w:tcPr>
          <w:p>
            <w:pPr>
              <w:pStyle w:val="6"/>
              <w:spacing w:before="183" w:line="369" w:lineRule="auto"/>
              <w:ind w:left="570" w:right="104" w:firstLine="478"/>
              <w:jc w:val="both"/>
              <w:rPr>
                <w:sz w:val="24"/>
                <w:szCs w:val="24"/>
              </w:rPr>
            </w:pPr>
            <w:r>
              <w:pict>
                <v:rect id="_x0000_s1282" o:spid="_x0000_s1282" o:spt="1" style="position:absolute;left:0pt;margin-left:22.75pt;margin-top:0.95pt;height:686.05pt;width:0.5pt;mso-position-horizontal-relative:page;mso-position-vertical-relative:page;z-index:251829248;mso-width-relative:page;mso-height-relative:page;" fillcolor="#000000" filled="t" stroked="f" coordsize="21600,21600">
                  <v:path/>
                  <v:fill on="t" focussize="0,0"/>
                  <v:stroke on="f"/>
                  <v:imagedata o:title=""/>
                  <o:lock v:ext="edit"/>
                </v:rect>
              </w:pict>
            </w:r>
            <w:r>
              <w:rPr>
                <w:spacing w:val="4"/>
                <w:sz w:val="24"/>
                <w:szCs w:val="24"/>
              </w:rPr>
              <w:t xml:space="preserve">本项目环境风险保护目标主要包括井场周边 </w:t>
            </w:r>
            <w:r>
              <w:rPr>
                <w:rFonts w:ascii="Times New Roman" w:hAnsi="Times New Roman" w:eastAsia="Times New Roman" w:cs="Times New Roman"/>
                <w:spacing w:val="4"/>
                <w:sz w:val="24"/>
                <w:szCs w:val="24"/>
              </w:rPr>
              <w:t>500</w:t>
            </w:r>
            <w:r>
              <w:rPr>
                <w:rFonts w:ascii="Times New Roman" w:hAnsi="Times New Roman" w:eastAsia="Times New Roman" w:cs="Times New Roman"/>
                <w:spacing w:val="3"/>
                <w:sz w:val="24"/>
                <w:szCs w:val="24"/>
              </w:rPr>
              <w:t xml:space="preserve">m  </w:t>
            </w:r>
            <w:r>
              <w:rPr>
                <w:spacing w:val="3"/>
                <w:sz w:val="24"/>
                <w:szCs w:val="24"/>
              </w:rPr>
              <w:t>居民点分布情况以及井场</w:t>
            </w:r>
            <w:r>
              <w:rPr>
                <w:sz w:val="24"/>
                <w:szCs w:val="24"/>
              </w:rPr>
              <w:t xml:space="preserve"> </w:t>
            </w:r>
            <w:r>
              <w:rPr>
                <w:rFonts w:ascii="Times New Roman" w:hAnsi="Times New Roman" w:eastAsia="Times New Roman" w:cs="Times New Roman"/>
                <w:spacing w:val="-6"/>
                <w:sz w:val="24"/>
                <w:szCs w:val="24"/>
              </w:rPr>
              <w:t>5000m</w:t>
            </w:r>
            <w:r>
              <w:rPr>
                <w:rFonts w:ascii="Times New Roman" w:hAnsi="Times New Roman" w:eastAsia="Times New Roman" w:cs="Times New Roman"/>
                <w:spacing w:val="16"/>
                <w:sz w:val="24"/>
                <w:szCs w:val="24"/>
              </w:rPr>
              <w:t xml:space="preserve"> </w:t>
            </w:r>
            <w:r>
              <w:rPr>
                <w:spacing w:val="-6"/>
                <w:sz w:val="24"/>
                <w:szCs w:val="24"/>
              </w:rPr>
              <w:t>范围内的城镇、学校、医院等人口相对密集的场所等，</w:t>
            </w:r>
            <w:r>
              <w:rPr>
                <w:spacing w:val="50"/>
                <w:sz w:val="24"/>
                <w:szCs w:val="24"/>
              </w:rPr>
              <w:t xml:space="preserve"> </w:t>
            </w:r>
            <w:r>
              <w:rPr>
                <w:spacing w:val="-6"/>
                <w:sz w:val="24"/>
                <w:szCs w:val="24"/>
              </w:rPr>
              <w:t>环境</w:t>
            </w:r>
            <w:r>
              <w:rPr>
                <w:spacing w:val="-7"/>
                <w:sz w:val="24"/>
                <w:szCs w:val="24"/>
              </w:rPr>
              <w:t>风险保护目标详</w:t>
            </w:r>
          </w:p>
          <w:p>
            <w:pPr>
              <w:pStyle w:val="6"/>
              <w:spacing w:line="219" w:lineRule="auto"/>
              <w:ind w:left="572"/>
              <w:rPr>
                <w:sz w:val="24"/>
                <w:szCs w:val="24"/>
              </w:rPr>
            </w:pPr>
            <w:r>
              <w:rPr>
                <w:spacing w:val="-10"/>
                <w:sz w:val="24"/>
                <w:szCs w:val="24"/>
              </w:rPr>
              <w:t>见下表。</w:t>
            </w:r>
          </w:p>
          <w:p>
            <w:pPr>
              <w:pStyle w:val="6"/>
              <w:spacing w:before="194" w:line="220" w:lineRule="auto"/>
              <w:ind w:left="3087"/>
              <w:rPr>
                <w:sz w:val="24"/>
                <w:szCs w:val="24"/>
              </w:rPr>
            </w:pPr>
            <w:r>
              <w:rPr>
                <w:spacing w:val="-1"/>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pacing w:val="-1"/>
                <w:sz w:val="24"/>
                <w:szCs w:val="24"/>
              </w:rPr>
              <w:t xml:space="preserve">3.4-7  </w:t>
            </w:r>
            <w:r>
              <w:rPr>
                <w:spacing w:val="-1"/>
                <w:sz w:val="24"/>
                <w:szCs w:val="24"/>
                <w14:textOutline w14:w="4354" w14:cap="flat" w14:cmpd="sng">
                  <w14:solidFill>
                    <w14:srgbClr w14:val="000000"/>
                  </w14:solidFill>
                  <w14:prstDash w14:val="solid"/>
                  <w14:miter w14:val="10"/>
                </w14:textOutline>
              </w:rPr>
              <w:t>环境风险保护目标一览表</w:t>
            </w:r>
          </w:p>
          <w:p>
            <w:pPr>
              <w:spacing w:line="15"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696"/>
              <w:gridCol w:w="1552"/>
              <w:gridCol w:w="885"/>
              <w:gridCol w:w="1099"/>
              <w:gridCol w:w="1557"/>
              <w:gridCol w:w="1135"/>
              <w:gridCol w:w="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03" w:type="dxa"/>
                  <w:vMerge w:val="restart"/>
                  <w:tcBorders>
                    <w:bottom w:val="nil"/>
                  </w:tcBorders>
                  <w:vAlign w:val="top"/>
                </w:tcPr>
                <w:p>
                  <w:pPr>
                    <w:pStyle w:val="6"/>
                    <w:spacing w:before="208" w:line="231" w:lineRule="auto"/>
                    <w:ind w:left="160" w:right="139" w:hanging="16"/>
                    <w:rPr>
                      <w:sz w:val="21"/>
                      <w:szCs w:val="21"/>
                    </w:rPr>
                  </w:pPr>
                  <w:r>
                    <w:rPr>
                      <w:spacing w:val="-3"/>
                      <w:sz w:val="21"/>
                      <w:szCs w:val="21"/>
                    </w:rPr>
                    <w:t>环境</w:t>
                  </w:r>
                  <w:r>
                    <w:rPr>
                      <w:sz w:val="21"/>
                      <w:szCs w:val="21"/>
                    </w:rPr>
                    <w:t xml:space="preserve"> </w:t>
                  </w:r>
                  <w:r>
                    <w:rPr>
                      <w:spacing w:val="-12"/>
                      <w:sz w:val="21"/>
                      <w:szCs w:val="21"/>
                    </w:rPr>
                    <w:t>因素</w:t>
                  </w:r>
                </w:p>
              </w:tc>
              <w:tc>
                <w:tcPr>
                  <w:tcW w:w="2248" w:type="dxa"/>
                  <w:gridSpan w:val="2"/>
                  <w:vMerge w:val="restart"/>
                  <w:tcBorders>
                    <w:bottom w:val="nil"/>
                  </w:tcBorders>
                  <w:vAlign w:val="top"/>
                </w:tcPr>
                <w:p>
                  <w:pPr>
                    <w:spacing w:line="275" w:lineRule="auto"/>
                    <w:rPr>
                      <w:rFonts w:ascii="Arial"/>
                      <w:sz w:val="21"/>
                    </w:rPr>
                  </w:pPr>
                </w:p>
                <w:p>
                  <w:pPr>
                    <w:pStyle w:val="6"/>
                    <w:spacing w:before="69" w:line="221" w:lineRule="auto"/>
                    <w:ind w:left="288"/>
                    <w:rPr>
                      <w:sz w:val="21"/>
                      <w:szCs w:val="21"/>
                    </w:rPr>
                  </w:pPr>
                  <w:r>
                    <w:rPr>
                      <w:spacing w:val="-1"/>
                      <w:sz w:val="21"/>
                      <w:szCs w:val="21"/>
                    </w:rPr>
                    <w:t>环境敏感目标名称</w:t>
                  </w:r>
                </w:p>
              </w:tc>
              <w:tc>
                <w:tcPr>
                  <w:tcW w:w="4676" w:type="dxa"/>
                  <w:gridSpan w:val="4"/>
                  <w:vAlign w:val="top"/>
                </w:tcPr>
                <w:p>
                  <w:pPr>
                    <w:pStyle w:val="6"/>
                    <w:spacing w:before="67" w:line="221" w:lineRule="auto"/>
                    <w:ind w:left="1820"/>
                    <w:rPr>
                      <w:sz w:val="21"/>
                      <w:szCs w:val="21"/>
                    </w:rPr>
                  </w:pPr>
                  <w:r>
                    <w:rPr>
                      <w:spacing w:val="-2"/>
                      <w:sz w:val="21"/>
                      <w:szCs w:val="21"/>
                    </w:rPr>
                    <w:t>敏感点特征</w:t>
                  </w:r>
                </w:p>
              </w:tc>
              <w:tc>
                <w:tcPr>
                  <w:tcW w:w="983" w:type="dxa"/>
                  <w:vMerge w:val="restart"/>
                  <w:tcBorders>
                    <w:bottom w:val="nil"/>
                  </w:tcBorders>
                  <w:vAlign w:val="top"/>
                </w:tcPr>
                <w:p>
                  <w:pPr>
                    <w:spacing w:line="276" w:lineRule="auto"/>
                    <w:rPr>
                      <w:rFonts w:ascii="Arial"/>
                      <w:sz w:val="21"/>
                    </w:rPr>
                  </w:pPr>
                </w:p>
                <w:p>
                  <w:pPr>
                    <w:pStyle w:val="6"/>
                    <w:spacing w:before="68" w:line="222" w:lineRule="auto"/>
                    <w:ind w:left="288"/>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3" w:type="dxa"/>
                  <w:vMerge w:val="continue"/>
                  <w:tcBorders>
                    <w:top w:val="nil"/>
                  </w:tcBorders>
                  <w:vAlign w:val="top"/>
                </w:tcPr>
                <w:p>
                  <w:pPr>
                    <w:rPr>
                      <w:rFonts w:ascii="Arial"/>
                      <w:sz w:val="21"/>
                    </w:rPr>
                  </w:pPr>
                </w:p>
              </w:tc>
              <w:tc>
                <w:tcPr>
                  <w:tcW w:w="2248" w:type="dxa"/>
                  <w:gridSpan w:val="2"/>
                  <w:vMerge w:val="continue"/>
                  <w:tcBorders>
                    <w:top w:val="nil"/>
                  </w:tcBorders>
                  <w:vAlign w:val="top"/>
                </w:tcPr>
                <w:p>
                  <w:pPr>
                    <w:rPr>
                      <w:rFonts w:ascii="Arial"/>
                      <w:sz w:val="21"/>
                    </w:rPr>
                  </w:pPr>
                </w:p>
              </w:tc>
              <w:tc>
                <w:tcPr>
                  <w:tcW w:w="885" w:type="dxa"/>
                  <w:vAlign w:val="top"/>
                </w:tcPr>
                <w:p>
                  <w:pPr>
                    <w:pStyle w:val="6"/>
                    <w:spacing w:before="166" w:line="222" w:lineRule="auto"/>
                    <w:ind w:left="238"/>
                    <w:rPr>
                      <w:sz w:val="21"/>
                      <w:szCs w:val="21"/>
                    </w:rPr>
                  </w:pPr>
                  <w:r>
                    <w:rPr>
                      <w:spacing w:val="-2"/>
                      <w:sz w:val="21"/>
                      <w:szCs w:val="21"/>
                    </w:rPr>
                    <w:t>方位</w:t>
                  </w:r>
                </w:p>
              </w:tc>
              <w:tc>
                <w:tcPr>
                  <w:tcW w:w="1099" w:type="dxa"/>
                  <w:vAlign w:val="top"/>
                </w:tcPr>
                <w:p>
                  <w:pPr>
                    <w:pStyle w:val="6"/>
                    <w:spacing w:before="30" w:line="224" w:lineRule="auto"/>
                    <w:ind w:left="267" w:right="124" w:hanging="133"/>
                    <w:rPr>
                      <w:sz w:val="21"/>
                      <w:szCs w:val="21"/>
                    </w:rPr>
                  </w:pPr>
                  <w:r>
                    <w:rPr>
                      <w:spacing w:val="-2"/>
                      <w:sz w:val="21"/>
                      <w:szCs w:val="21"/>
                    </w:rPr>
                    <w:t>井口距离</w:t>
                  </w:r>
                  <w:r>
                    <w:rPr>
                      <w:spacing w:val="1"/>
                      <w:sz w:val="21"/>
                      <w:szCs w:val="21"/>
                    </w:rPr>
                    <w:t xml:space="preserve"> </w:t>
                  </w:r>
                  <w:r>
                    <w:rPr>
                      <w:spacing w:val="-5"/>
                      <w:sz w:val="21"/>
                      <w:szCs w:val="21"/>
                    </w:rPr>
                    <w:t>（</w:t>
                  </w:r>
                  <w:r>
                    <w:rPr>
                      <w:rFonts w:ascii="Times New Roman" w:hAnsi="Times New Roman" w:eastAsia="Times New Roman" w:cs="Times New Roman"/>
                      <w:spacing w:val="-5"/>
                      <w:sz w:val="21"/>
                      <w:szCs w:val="21"/>
                    </w:rPr>
                    <w:t>m</w:t>
                  </w:r>
                  <w:r>
                    <w:rPr>
                      <w:spacing w:val="-5"/>
                      <w:sz w:val="21"/>
                      <w:szCs w:val="21"/>
                    </w:rPr>
                    <w:t>）</w:t>
                  </w:r>
                </w:p>
              </w:tc>
              <w:tc>
                <w:tcPr>
                  <w:tcW w:w="1557" w:type="dxa"/>
                  <w:vAlign w:val="top"/>
                </w:tcPr>
                <w:p>
                  <w:pPr>
                    <w:pStyle w:val="6"/>
                    <w:spacing w:before="166" w:line="222" w:lineRule="auto"/>
                    <w:ind w:left="576"/>
                    <w:rPr>
                      <w:sz w:val="21"/>
                      <w:szCs w:val="21"/>
                    </w:rPr>
                  </w:pPr>
                  <w:r>
                    <w:rPr>
                      <w:spacing w:val="-2"/>
                      <w:sz w:val="21"/>
                      <w:szCs w:val="21"/>
                    </w:rPr>
                    <w:t>属性</w:t>
                  </w:r>
                </w:p>
              </w:tc>
              <w:tc>
                <w:tcPr>
                  <w:tcW w:w="1135" w:type="dxa"/>
                  <w:vAlign w:val="top"/>
                </w:tcPr>
                <w:p>
                  <w:pPr>
                    <w:pStyle w:val="6"/>
                    <w:spacing w:before="166" w:line="221" w:lineRule="auto"/>
                    <w:ind w:left="361"/>
                    <w:rPr>
                      <w:sz w:val="21"/>
                      <w:szCs w:val="21"/>
                    </w:rPr>
                  </w:pPr>
                  <w:r>
                    <w:rPr>
                      <w:spacing w:val="-2"/>
                      <w:sz w:val="21"/>
                      <w:szCs w:val="21"/>
                    </w:rPr>
                    <w:t>特征</w:t>
                  </w:r>
                </w:p>
              </w:tc>
              <w:tc>
                <w:tcPr>
                  <w:tcW w:w="98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31" w:lineRule="auto"/>
                    <w:ind w:left="144" w:right="139" w:firstLine="2"/>
                    <w:rPr>
                      <w:sz w:val="21"/>
                      <w:szCs w:val="21"/>
                    </w:rPr>
                  </w:pPr>
                  <w:r>
                    <w:rPr>
                      <w:spacing w:val="-5"/>
                      <w:sz w:val="21"/>
                      <w:szCs w:val="21"/>
                    </w:rPr>
                    <w:t>大气</w:t>
                  </w:r>
                  <w:r>
                    <w:rPr>
                      <w:sz w:val="21"/>
                      <w:szCs w:val="21"/>
                    </w:rPr>
                    <w:t xml:space="preserve"> </w:t>
                  </w:r>
                  <w:r>
                    <w:rPr>
                      <w:spacing w:val="-3"/>
                      <w:sz w:val="21"/>
                      <w:szCs w:val="21"/>
                    </w:rPr>
                    <w:t>环境</w:t>
                  </w:r>
                </w:p>
              </w:tc>
              <w:tc>
                <w:tcPr>
                  <w:tcW w:w="2248" w:type="dxa"/>
                  <w:gridSpan w:val="2"/>
                  <w:vAlign w:val="top"/>
                </w:tcPr>
                <w:p>
                  <w:pPr>
                    <w:pStyle w:val="6"/>
                    <w:spacing w:before="62" w:line="221" w:lineRule="auto"/>
                    <w:ind w:left="235"/>
                    <w:rPr>
                      <w:sz w:val="21"/>
                      <w:szCs w:val="21"/>
                    </w:rPr>
                  </w:pPr>
                  <w:r>
                    <w:rPr>
                      <w:rFonts w:ascii="Times New Roman" w:hAnsi="Times New Roman" w:eastAsia="Times New Roman" w:cs="Times New Roman"/>
                      <w:spacing w:val="-1"/>
                      <w:sz w:val="21"/>
                      <w:szCs w:val="21"/>
                    </w:rPr>
                    <w:t xml:space="preserve">500m </w:t>
                  </w:r>
                  <w:r>
                    <w:rPr>
                      <w:spacing w:val="-1"/>
                      <w:sz w:val="21"/>
                      <w:szCs w:val="21"/>
                    </w:rPr>
                    <w:t>范围内居民点</w:t>
                  </w:r>
                </w:p>
              </w:tc>
              <w:tc>
                <w:tcPr>
                  <w:tcW w:w="885" w:type="dxa"/>
                  <w:vAlign w:val="top"/>
                </w:tcPr>
                <w:p>
                  <w:pPr>
                    <w:pStyle w:val="6"/>
                    <w:spacing w:before="63" w:line="223" w:lineRule="auto"/>
                    <w:ind w:left="257"/>
                    <w:rPr>
                      <w:sz w:val="21"/>
                      <w:szCs w:val="21"/>
                    </w:rPr>
                  </w:pPr>
                  <w:r>
                    <w:rPr>
                      <w:spacing w:val="-7"/>
                      <w:sz w:val="21"/>
                      <w:szCs w:val="21"/>
                    </w:rPr>
                    <w:t>四周</w:t>
                  </w:r>
                </w:p>
              </w:tc>
              <w:tc>
                <w:tcPr>
                  <w:tcW w:w="1099" w:type="dxa"/>
                  <w:vAlign w:val="top"/>
                </w:tcPr>
                <w:p>
                  <w:pPr>
                    <w:spacing w:before="101"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0-500</w:t>
                  </w:r>
                </w:p>
              </w:tc>
              <w:tc>
                <w:tcPr>
                  <w:tcW w:w="1557" w:type="dxa"/>
                  <w:vAlign w:val="top"/>
                </w:tcPr>
                <w:p>
                  <w:pPr>
                    <w:pStyle w:val="6"/>
                    <w:spacing w:before="62" w:line="220" w:lineRule="auto"/>
                    <w:ind w:left="154"/>
                    <w:rPr>
                      <w:sz w:val="21"/>
                      <w:szCs w:val="21"/>
                    </w:rPr>
                  </w:pPr>
                  <w:r>
                    <w:rPr>
                      <w:spacing w:val="-1"/>
                      <w:sz w:val="21"/>
                      <w:szCs w:val="21"/>
                    </w:rPr>
                    <w:t>农村分散居民</w:t>
                  </w:r>
                </w:p>
              </w:tc>
              <w:tc>
                <w:tcPr>
                  <w:tcW w:w="1135" w:type="dxa"/>
                  <w:vAlign w:val="top"/>
                </w:tcPr>
                <w:p>
                  <w:pPr>
                    <w:pStyle w:val="6"/>
                    <w:spacing w:before="63" w:line="223" w:lineRule="auto"/>
                    <w:ind w:left="278"/>
                    <w:rPr>
                      <w:sz w:val="21"/>
                      <w:szCs w:val="21"/>
                    </w:rPr>
                  </w:pPr>
                  <w:r>
                    <w:rPr>
                      <w:rFonts w:ascii="Times New Roman" w:hAnsi="Times New Roman" w:eastAsia="Times New Roman" w:cs="Times New Roman"/>
                      <w:spacing w:val="-1"/>
                      <w:sz w:val="21"/>
                      <w:szCs w:val="21"/>
                    </w:rPr>
                    <w:t>211</w:t>
                  </w:r>
                  <w:r>
                    <w:rPr>
                      <w:rFonts w:ascii="Times New Roman" w:hAnsi="Times New Roman" w:eastAsia="Times New Roman" w:cs="Times New Roman"/>
                      <w:spacing w:val="10"/>
                      <w:sz w:val="21"/>
                      <w:szCs w:val="21"/>
                    </w:rPr>
                    <w:t xml:space="preserve"> </w:t>
                  </w:r>
                  <w:r>
                    <w:rPr>
                      <w:spacing w:val="-1"/>
                      <w:sz w:val="21"/>
                      <w:szCs w:val="21"/>
                    </w:rPr>
                    <w:t>人</w:t>
                  </w:r>
                </w:p>
              </w:tc>
              <w:tc>
                <w:tcPr>
                  <w:tcW w:w="983" w:type="dxa"/>
                  <w:vAlign w:val="top"/>
                </w:tcPr>
                <w:p>
                  <w:pPr>
                    <w:pStyle w:val="6"/>
                    <w:spacing w:before="62"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1"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p>
              </w:tc>
              <w:tc>
                <w:tcPr>
                  <w:tcW w:w="1552" w:type="dxa"/>
                  <w:vAlign w:val="top"/>
                </w:tcPr>
                <w:p>
                  <w:pPr>
                    <w:pStyle w:val="6"/>
                    <w:spacing w:before="63" w:line="220" w:lineRule="auto"/>
                    <w:ind w:left="465"/>
                    <w:rPr>
                      <w:sz w:val="21"/>
                      <w:szCs w:val="21"/>
                    </w:rPr>
                  </w:pPr>
                  <w:r>
                    <w:rPr>
                      <w:spacing w:val="-2"/>
                      <w:sz w:val="21"/>
                      <w:szCs w:val="21"/>
                    </w:rPr>
                    <w:t>和平村</w:t>
                  </w:r>
                </w:p>
              </w:tc>
              <w:tc>
                <w:tcPr>
                  <w:tcW w:w="885" w:type="dxa"/>
                  <w:vAlign w:val="top"/>
                </w:tcPr>
                <w:p>
                  <w:pPr>
                    <w:pStyle w:val="6"/>
                    <w:spacing w:before="62" w:line="221" w:lineRule="auto"/>
                    <w:ind w:left="244"/>
                    <w:rPr>
                      <w:sz w:val="21"/>
                      <w:szCs w:val="21"/>
                    </w:rPr>
                  </w:pPr>
                  <w:r>
                    <w:rPr>
                      <w:spacing w:val="-4"/>
                      <w:sz w:val="21"/>
                      <w:szCs w:val="21"/>
                    </w:rPr>
                    <w:t>东北</w:t>
                  </w:r>
                </w:p>
              </w:tc>
              <w:tc>
                <w:tcPr>
                  <w:tcW w:w="1099" w:type="dxa"/>
                  <w:vAlign w:val="top"/>
                </w:tcPr>
                <w:p>
                  <w:pPr>
                    <w:spacing w:before="101"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828</w:t>
                  </w:r>
                </w:p>
              </w:tc>
              <w:tc>
                <w:tcPr>
                  <w:tcW w:w="1557" w:type="dxa"/>
                  <w:vAlign w:val="top"/>
                </w:tcPr>
                <w:p>
                  <w:pPr>
                    <w:pStyle w:val="6"/>
                    <w:spacing w:before="63" w:line="220" w:lineRule="auto"/>
                    <w:ind w:left="154"/>
                    <w:rPr>
                      <w:sz w:val="21"/>
                      <w:szCs w:val="21"/>
                    </w:rPr>
                  </w:pPr>
                  <w:r>
                    <w:rPr>
                      <w:spacing w:val="-1"/>
                      <w:sz w:val="21"/>
                      <w:szCs w:val="21"/>
                    </w:rPr>
                    <w:t>农村分散居民</w:t>
                  </w:r>
                </w:p>
              </w:tc>
              <w:tc>
                <w:tcPr>
                  <w:tcW w:w="1135" w:type="dxa"/>
                  <w:vAlign w:val="top"/>
                </w:tcPr>
                <w:p>
                  <w:pPr>
                    <w:pStyle w:val="6"/>
                    <w:spacing w:before="63"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1112 </w:t>
                  </w:r>
                  <w:r>
                    <w:rPr>
                      <w:spacing w:val="-6"/>
                      <w:sz w:val="21"/>
                      <w:szCs w:val="21"/>
                    </w:rPr>
                    <w:t>人</w:t>
                  </w:r>
                </w:p>
              </w:tc>
              <w:tc>
                <w:tcPr>
                  <w:tcW w:w="983" w:type="dxa"/>
                  <w:vAlign w:val="top"/>
                </w:tcPr>
                <w:p>
                  <w:pPr>
                    <w:pStyle w:val="6"/>
                    <w:spacing w:before="62"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p>
              </w:tc>
              <w:tc>
                <w:tcPr>
                  <w:tcW w:w="1552" w:type="dxa"/>
                  <w:vAlign w:val="top"/>
                </w:tcPr>
                <w:p>
                  <w:pPr>
                    <w:pStyle w:val="6"/>
                    <w:spacing w:before="63" w:line="221" w:lineRule="auto"/>
                    <w:ind w:left="465"/>
                    <w:rPr>
                      <w:sz w:val="21"/>
                      <w:szCs w:val="21"/>
                    </w:rPr>
                  </w:pPr>
                  <w:r>
                    <w:rPr>
                      <w:spacing w:val="-2"/>
                      <w:sz w:val="21"/>
                      <w:szCs w:val="21"/>
                    </w:rPr>
                    <w:t>江陵镇</w:t>
                  </w:r>
                </w:p>
              </w:tc>
              <w:tc>
                <w:tcPr>
                  <w:tcW w:w="885" w:type="dxa"/>
                  <w:vAlign w:val="top"/>
                </w:tcPr>
                <w:p>
                  <w:pPr>
                    <w:pStyle w:val="6"/>
                    <w:spacing w:before="63" w:line="223" w:lineRule="auto"/>
                    <w:ind w:left="345"/>
                    <w:rPr>
                      <w:sz w:val="21"/>
                      <w:szCs w:val="21"/>
                    </w:rPr>
                  </w:pPr>
                  <w:r>
                    <w:rPr>
                      <w:sz w:val="21"/>
                      <w:szCs w:val="21"/>
                    </w:rPr>
                    <w:t>南</w:t>
                  </w:r>
                </w:p>
              </w:tc>
              <w:tc>
                <w:tcPr>
                  <w:tcW w:w="1099" w:type="dxa"/>
                  <w:vAlign w:val="top"/>
                </w:tcPr>
                <w:p>
                  <w:pPr>
                    <w:spacing w:before="102"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3615</w:t>
                  </w:r>
                </w:p>
              </w:tc>
              <w:tc>
                <w:tcPr>
                  <w:tcW w:w="1557" w:type="dxa"/>
                  <w:vAlign w:val="top"/>
                </w:tcPr>
                <w:p>
                  <w:pPr>
                    <w:pStyle w:val="6"/>
                    <w:spacing w:before="63" w:line="221" w:lineRule="auto"/>
                    <w:ind w:left="574"/>
                    <w:rPr>
                      <w:sz w:val="21"/>
                      <w:szCs w:val="21"/>
                    </w:rPr>
                  </w:pPr>
                  <w:r>
                    <w:rPr>
                      <w:spacing w:val="-2"/>
                      <w:sz w:val="21"/>
                      <w:szCs w:val="21"/>
                    </w:rPr>
                    <w:t>集镇</w:t>
                  </w:r>
                </w:p>
              </w:tc>
              <w:tc>
                <w:tcPr>
                  <w:tcW w:w="1135" w:type="dxa"/>
                  <w:vAlign w:val="top"/>
                </w:tcPr>
                <w:p>
                  <w:pPr>
                    <w:pStyle w:val="6"/>
                    <w:spacing w:before="64"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1650 </w:t>
                  </w:r>
                  <w:r>
                    <w:rPr>
                      <w:spacing w:val="-6"/>
                      <w:sz w:val="21"/>
                      <w:szCs w:val="21"/>
                    </w:rPr>
                    <w:t>人</w:t>
                  </w:r>
                </w:p>
              </w:tc>
              <w:tc>
                <w:tcPr>
                  <w:tcW w:w="983" w:type="dxa"/>
                  <w:vAlign w:val="top"/>
                </w:tcPr>
                <w:p>
                  <w:pPr>
                    <w:pStyle w:val="6"/>
                    <w:spacing w:before="63"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p>
              </w:tc>
              <w:tc>
                <w:tcPr>
                  <w:tcW w:w="1552" w:type="dxa"/>
                  <w:vAlign w:val="top"/>
                </w:tcPr>
                <w:p>
                  <w:pPr>
                    <w:pStyle w:val="6"/>
                    <w:spacing w:before="63" w:line="220" w:lineRule="auto"/>
                    <w:ind w:left="463"/>
                    <w:rPr>
                      <w:sz w:val="21"/>
                      <w:szCs w:val="21"/>
                    </w:rPr>
                  </w:pPr>
                  <w:r>
                    <w:rPr>
                      <w:spacing w:val="-1"/>
                      <w:sz w:val="21"/>
                      <w:szCs w:val="21"/>
                    </w:rPr>
                    <w:t>黄梅村</w:t>
                  </w:r>
                </w:p>
              </w:tc>
              <w:tc>
                <w:tcPr>
                  <w:tcW w:w="885" w:type="dxa"/>
                  <w:vAlign w:val="top"/>
                </w:tcPr>
                <w:p>
                  <w:pPr>
                    <w:pStyle w:val="6"/>
                    <w:spacing w:before="63" w:line="223" w:lineRule="auto"/>
                    <w:ind w:left="242"/>
                    <w:rPr>
                      <w:sz w:val="21"/>
                      <w:szCs w:val="21"/>
                    </w:rPr>
                  </w:pPr>
                  <w:r>
                    <w:rPr>
                      <w:spacing w:val="-3"/>
                      <w:sz w:val="21"/>
                      <w:szCs w:val="21"/>
                    </w:rPr>
                    <w:t>西南</w:t>
                  </w:r>
                </w:p>
              </w:tc>
              <w:tc>
                <w:tcPr>
                  <w:tcW w:w="1099" w:type="dxa"/>
                  <w:vAlign w:val="top"/>
                </w:tcPr>
                <w:p>
                  <w:pPr>
                    <w:spacing w:before="10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2943</w:t>
                  </w:r>
                </w:p>
              </w:tc>
              <w:tc>
                <w:tcPr>
                  <w:tcW w:w="1557" w:type="dxa"/>
                  <w:vAlign w:val="top"/>
                </w:tcPr>
                <w:p>
                  <w:pPr>
                    <w:pStyle w:val="6"/>
                    <w:spacing w:before="63" w:line="220" w:lineRule="auto"/>
                    <w:ind w:left="154"/>
                    <w:rPr>
                      <w:sz w:val="21"/>
                      <w:szCs w:val="21"/>
                    </w:rPr>
                  </w:pPr>
                  <w:r>
                    <w:rPr>
                      <w:spacing w:val="-1"/>
                      <w:sz w:val="21"/>
                      <w:szCs w:val="21"/>
                    </w:rPr>
                    <w:t>农村分散居民</w:t>
                  </w:r>
                </w:p>
              </w:tc>
              <w:tc>
                <w:tcPr>
                  <w:tcW w:w="1135" w:type="dxa"/>
                  <w:vAlign w:val="top"/>
                </w:tcPr>
                <w:p>
                  <w:pPr>
                    <w:pStyle w:val="6"/>
                    <w:spacing w:before="64"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1032 </w:t>
                  </w:r>
                  <w:r>
                    <w:rPr>
                      <w:spacing w:val="-6"/>
                      <w:sz w:val="21"/>
                      <w:szCs w:val="21"/>
                    </w:rPr>
                    <w:t>人</w:t>
                  </w:r>
                </w:p>
              </w:tc>
              <w:tc>
                <w:tcPr>
                  <w:tcW w:w="983" w:type="dxa"/>
                  <w:vAlign w:val="top"/>
                </w:tcPr>
                <w:p>
                  <w:pPr>
                    <w:pStyle w:val="6"/>
                    <w:spacing w:before="63" w:line="221" w:lineRule="auto"/>
                    <w:ind w:left="210"/>
                    <w:rPr>
                      <w:sz w:val="21"/>
                      <w:szCs w:val="21"/>
                    </w:rPr>
                  </w:pPr>
                  <w:r>
                    <w:rPr>
                      <w:spacing w:val="-8"/>
                      <w:sz w:val="21"/>
                      <w:szCs w:val="21"/>
                    </w:rPr>
                    <w:t>白衣镇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4"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1552" w:type="dxa"/>
                  <w:vAlign w:val="top"/>
                </w:tcPr>
                <w:p>
                  <w:pPr>
                    <w:pStyle w:val="6"/>
                    <w:spacing w:before="65" w:line="220" w:lineRule="auto"/>
                    <w:ind w:left="466"/>
                    <w:rPr>
                      <w:sz w:val="21"/>
                      <w:szCs w:val="21"/>
                    </w:rPr>
                  </w:pPr>
                  <w:r>
                    <w:rPr>
                      <w:spacing w:val="-3"/>
                      <w:sz w:val="21"/>
                      <w:szCs w:val="21"/>
                    </w:rPr>
                    <w:t>棋盘村</w:t>
                  </w:r>
                </w:p>
              </w:tc>
              <w:tc>
                <w:tcPr>
                  <w:tcW w:w="885" w:type="dxa"/>
                  <w:vAlign w:val="top"/>
                </w:tcPr>
                <w:p>
                  <w:pPr>
                    <w:pStyle w:val="6"/>
                    <w:spacing w:before="65" w:line="223" w:lineRule="auto"/>
                    <w:ind w:left="242"/>
                    <w:rPr>
                      <w:sz w:val="21"/>
                      <w:szCs w:val="21"/>
                    </w:rPr>
                  </w:pPr>
                  <w:r>
                    <w:rPr>
                      <w:spacing w:val="-3"/>
                      <w:sz w:val="21"/>
                      <w:szCs w:val="21"/>
                    </w:rPr>
                    <w:t>西南</w:t>
                  </w:r>
                </w:p>
              </w:tc>
              <w:tc>
                <w:tcPr>
                  <w:tcW w:w="1099" w:type="dxa"/>
                  <w:vAlign w:val="top"/>
                </w:tcPr>
                <w:p>
                  <w:pPr>
                    <w:spacing w:before="104"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4601</w:t>
                  </w:r>
                </w:p>
              </w:tc>
              <w:tc>
                <w:tcPr>
                  <w:tcW w:w="1557" w:type="dxa"/>
                  <w:vAlign w:val="top"/>
                </w:tcPr>
                <w:p>
                  <w:pPr>
                    <w:pStyle w:val="6"/>
                    <w:spacing w:before="65" w:line="220" w:lineRule="auto"/>
                    <w:ind w:left="154"/>
                    <w:rPr>
                      <w:sz w:val="21"/>
                      <w:szCs w:val="21"/>
                    </w:rPr>
                  </w:pPr>
                  <w:r>
                    <w:rPr>
                      <w:spacing w:val="-1"/>
                      <w:sz w:val="21"/>
                      <w:szCs w:val="21"/>
                    </w:rPr>
                    <w:t>农村分散居民</w:t>
                  </w:r>
                </w:p>
              </w:tc>
              <w:tc>
                <w:tcPr>
                  <w:tcW w:w="1135" w:type="dxa"/>
                  <w:vAlign w:val="top"/>
                </w:tcPr>
                <w:p>
                  <w:pPr>
                    <w:pStyle w:val="6"/>
                    <w:spacing w:before="66" w:line="223" w:lineRule="auto"/>
                    <w:ind w:left="158"/>
                    <w:rPr>
                      <w:sz w:val="21"/>
                      <w:szCs w:val="21"/>
                    </w:rPr>
                  </w:pPr>
                  <w:r>
                    <w:rPr>
                      <w:spacing w:val="-4"/>
                      <w:sz w:val="21"/>
                      <w:szCs w:val="21"/>
                    </w:rPr>
                    <w:t>约</w:t>
                  </w:r>
                  <w:r>
                    <w:rPr>
                      <w:spacing w:val="-44"/>
                      <w:sz w:val="21"/>
                      <w:szCs w:val="21"/>
                    </w:rPr>
                    <w:t xml:space="preserve"> </w:t>
                  </w:r>
                  <w:r>
                    <w:rPr>
                      <w:rFonts w:ascii="Times New Roman" w:hAnsi="Times New Roman" w:eastAsia="Times New Roman" w:cs="Times New Roman"/>
                      <w:spacing w:val="-4"/>
                      <w:sz w:val="21"/>
                      <w:szCs w:val="21"/>
                    </w:rPr>
                    <w:t>945</w:t>
                  </w:r>
                  <w:r>
                    <w:rPr>
                      <w:rFonts w:ascii="Times New Roman" w:hAnsi="Times New Roman" w:eastAsia="Times New Roman" w:cs="Times New Roman"/>
                      <w:spacing w:val="8"/>
                      <w:sz w:val="21"/>
                      <w:szCs w:val="21"/>
                    </w:rPr>
                    <w:t xml:space="preserve"> </w:t>
                  </w:r>
                  <w:r>
                    <w:rPr>
                      <w:spacing w:val="-4"/>
                      <w:sz w:val="21"/>
                      <w:szCs w:val="21"/>
                    </w:rPr>
                    <w:t>人</w:t>
                  </w:r>
                </w:p>
              </w:tc>
              <w:tc>
                <w:tcPr>
                  <w:tcW w:w="983" w:type="dxa"/>
                  <w:vAlign w:val="top"/>
                </w:tcPr>
                <w:p>
                  <w:pPr>
                    <w:pStyle w:val="6"/>
                    <w:spacing w:before="65"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4"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p>
              </w:tc>
              <w:tc>
                <w:tcPr>
                  <w:tcW w:w="1552" w:type="dxa"/>
                  <w:vAlign w:val="top"/>
                </w:tcPr>
                <w:p>
                  <w:pPr>
                    <w:pStyle w:val="6"/>
                    <w:spacing w:before="66" w:line="220" w:lineRule="auto"/>
                    <w:ind w:left="465"/>
                    <w:rPr>
                      <w:sz w:val="21"/>
                      <w:szCs w:val="21"/>
                    </w:rPr>
                  </w:pPr>
                  <w:r>
                    <w:rPr>
                      <w:spacing w:val="-2"/>
                      <w:sz w:val="21"/>
                      <w:szCs w:val="21"/>
                    </w:rPr>
                    <w:t>元盘村</w:t>
                  </w:r>
                </w:p>
              </w:tc>
              <w:tc>
                <w:tcPr>
                  <w:tcW w:w="885" w:type="dxa"/>
                  <w:vAlign w:val="top"/>
                </w:tcPr>
                <w:p>
                  <w:pPr>
                    <w:pStyle w:val="6"/>
                    <w:spacing w:before="66" w:line="224" w:lineRule="auto"/>
                    <w:ind w:left="242"/>
                    <w:rPr>
                      <w:sz w:val="21"/>
                      <w:szCs w:val="21"/>
                    </w:rPr>
                  </w:pPr>
                  <w:r>
                    <w:rPr>
                      <w:spacing w:val="-3"/>
                      <w:sz w:val="21"/>
                      <w:szCs w:val="21"/>
                    </w:rPr>
                    <w:t>西北</w:t>
                  </w:r>
                </w:p>
              </w:tc>
              <w:tc>
                <w:tcPr>
                  <w:tcW w:w="1099" w:type="dxa"/>
                  <w:vAlign w:val="top"/>
                </w:tcPr>
                <w:p>
                  <w:pPr>
                    <w:spacing w:before="10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2440</w:t>
                  </w:r>
                </w:p>
              </w:tc>
              <w:tc>
                <w:tcPr>
                  <w:tcW w:w="1557" w:type="dxa"/>
                  <w:vAlign w:val="top"/>
                </w:tcPr>
                <w:p>
                  <w:pPr>
                    <w:pStyle w:val="6"/>
                    <w:spacing w:before="66" w:line="220" w:lineRule="auto"/>
                    <w:ind w:left="154"/>
                    <w:rPr>
                      <w:sz w:val="21"/>
                      <w:szCs w:val="21"/>
                    </w:rPr>
                  </w:pPr>
                  <w:r>
                    <w:rPr>
                      <w:spacing w:val="-1"/>
                      <w:sz w:val="21"/>
                      <w:szCs w:val="21"/>
                    </w:rPr>
                    <w:t>农村分散居民</w:t>
                  </w:r>
                </w:p>
              </w:tc>
              <w:tc>
                <w:tcPr>
                  <w:tcW w:w="1135" w:type="dxa"/>
                  <w:vAlign w:val="top"/>
                </w:tcPr>
                <w:p>
                  <w:pPr>
                    <w:pStyle w:val="6"/>
                    <w:spacing w:before="66"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1058 </w:t>
                  </w:r>
                  <w:r>
                    <w:rPr>
                      <w:spacing w:val="-6"/>
                      <w:sz w:val="21"/>
                      <w:szCs w:val="21"/>
                    </w:rPr>
                    <w:t>人</w:t>
                  </w:r>
                </w:p>
              </w:tc>
              <w:tc>
                <w:tcPr>
                  <w:tcW w:w="983" w:type="dxa"/>
                  <w:vAlign w:val="top"/>
                </w:tcPr>
                <w:p>
                  <w:pPr>
                    <w:pStyle w:val="6"/>
                    <w:spacing w:before="65" w:line="221" w:lineRule="auto"/>
                    <w:ind w:left="181"/>
                    <w:rPr>
                      <w:sz w:val="21"/>
                      <w:szCs w:val="21"/>
                    </w:rPr>
                  </w:pPr>
                  <w:r>
                    <w:rPr>
                      <w:spacing w:val="-2"/>
                      <w:sz w:val="21"/>
                      <w:szCs w:val="21"/>
                    </w:rPr>
                    <w:t>元石镇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1"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w:t>
                  </w:r>
                </w:p>
              </w:tc>
              <w:tc>
                <w:tcPr>
                  <w:tcW w:w="1552" w:type="dxa"/>
                  <w:vAlign w:val="top"/>
                </w:tcPr>
                <w:p>
                  <w:pPr>
                    <w:pStyle w:val="6"/>
                    <w:spacing w:before="63" w:line="220" w:lineRule="auto"/>
                    <w:ind w:left="465"/>
                    <w:rPr>
                      <w:sz w:val="21"/>
                      <w:szCs w:val="21"/>
                    </w:rPr>
                  </w:pPr>
                  <w:r>
                    <w:rPr>
                      <w:spacing w:val="-2"/>
                      <w:sz w:val="21"/>
                      <w:szCs w:val="21"/>
                    </w:rPr>
                    <w:t>香炉村</w:t>
                  </w:r>
                </w:p>
              </w:tc>
              <w:tc>
                <w:tcPr>
                  <w:tcW w:w="885" w:type="dxa"/>
                  <w:vAlign w:val="top"/>
                </w:tcPr>
                <w:p>
                  <w:pPr>
                    <w:pStyle w:val="6"/>
                    <w:spacing w:before="63" w:line="224" w:lineRule="auto"/>
                    <w:ind w:left="242"/>
                    <w:rPr>
                      <w:sz w:val="21"/>
                      <w:szCs w:val="21"/>
                    </w:rPr>
                  </w:pPr>
                  <w:r>
                    <w:rPr>
                      <w:spacing w:val="-3"/>
                      <w:sz w:val="21"/>
                      <w:szCs w:val="21"/>
                    </w:rPr>
                    <w:t>西北</w:t>
                  </w:r>
                </w:p>
              </w:tc>
              <w:tc>
                <w:tcPr>
                  <w:tcW w:w="1099" w:type="dxa"/>
                  <w:vAlign w:val="top"/>
                </w:tcPr>
                <w:p>
                  <w:pPr>
                    <w:spacing w:before="101"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3865</w:t>
                  </w:r>
                </w:p>
              </w:tc>
              <w:tc>
                <w:tcPr>
                  <w:tcW w:w="1557" w:type="dxa"/>
                  <w:vAlign w:val="top"/>
                </w:tcPr>
                <w:p>
                  <w:pPr>
                    <w:pStyle w:val="6"/>
                    <w:spacing w:before="63" w:line="220" w:lineRule="auto"/>
                    <w:ind w:left="154"/>
                    <w:rPr>
                      <w:sz w:val="21"/>
                      <w:szCs w:val="21"/>
                    </w:rPr>
                  </w:pPr>
                  <w:r>
                    <w:rPr>
                      <w:spacing w:val="-1"/>
                      <w:sz w:val="21"/>
                      <w:szCs w:val="21"/>
                    </w:rPr>
                    <w:t>农村分散居民</w:t>
                  </w:r>
                </w:p>
              </w:tc>
              <w:tc>
                <w:tcPr>
                  <w:tcW w:w="1135" w:type="dxa"/>
                  <w:vAlign w:val="top"/>
                </w:tcPr>
                <w:p>
                  <w:pPr>
                    <w:pStyle w:val="6"/>
                    <w:spacing w:before="63"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1012 </w:t>
                  </w:r>
                  <w:r>
                    <w:rPr>
                      <w:spacing w:val="-6"/>
                      <w:sz w:val="21"/>
                      <w:szCs w:val="21"/>
                    </w:rPr>
                    <w:t>人</w:t>
                  </w:r>
                </w:p>
              </w:tc>
              <w:tc>
                <w:tcPr>
                  <w:tcW w:w="983" w:type="dxa"/>
                  <w:vAlign w:val="top"/>
                </w:tcPr>
                <w:p>
                  <w:pPr>
                    <w:pStyle w:val="6"/>
                    <w:spacing w:before="62" w:line="221" w:lineRule="auto"/>
                    <w:ind w:left="181"/>
                    <w:rPr>
                      <w:sz w:val="21"/>
                      <w:szCs w:val="21"/>
                    </w:rPr>
                  </w:pPr>
                  <w:r>
                    <w:rPr>
                      <w:spacing w:val="-2"/>
                      <w:sz w:val="21"/>
                      <w:szCs w:val="21"/>
                    </w:rPr>
                    <w:t>元石镇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w:t>
                  </w:r>
                </w:p>
              </w:tc>
              <w:tc>
                <w:tcPr>
                  <w:tcW w:w="1552" w:type="dxa"/>
                  <w:vAlign w:val="top"/>
                </w:tcPr>
                <w:p>
                  <w:pPr>
                    <w:pStyle w:val="6"/>
                    <w:spacing w:before="62" w:line="220" w:lineRule="auto"/>
                    <w:ind w:left="465"/>
                    <w:rPr>
                      <w:sz w:val="21"/>
                      <w:szCs w:val="21"/>
                    </w:rPr>
                  </w:pPr>
                  <w:r>
                    <w:rPr>
                      <w:spacing w:val="-2"/>
                      <w:sz w:val="21"/>
                      <w:szCs w:val="21"/>
                    </w:rPr>
                    <w:t>柏桠村</w:t>
                  </w:r>
                </w:p>
              </w:tc>
              <w:tc>
                <w:tcPr>
                  <w:tcW w:w="885" w:type="dxa"/>
                  <w:vAlign w:val="top"/>
                </w:tcPr>
                <w:p>
                  <w:pPr>
                    <w:pStyle w:val="6"/>
                    <w:spacing w:before="62" w:line="224" w:lineRule="auto"/>
                    <w:ind w:left="242"/>
                    <w:rPr>
                      <w:sz w:val="21"/>
                      <w:szCs w:val="21"/>
                    </w:rPr>
                  </w:pPr>
                  <w:r>
                    <w:rPr>
                      <w:spacing w:val="-3"/>
                      <w:sz w:val="21"/>
                      <w:szCs w:val="21"/>
                    </w:rPr>
                    <w:t>西北</w:t>
                  </w:r>
                </w:p>
              </w:tc>
              <w:tc>
                <w:tcPr>
                  <w:tcW w:w="1099" w:type="dxa"/>
                  <w:vAlign w:val="top"/>
                </w:tcPr>
                <w:p>
                  <w:pPr>
                    <w:spacing w:before="101"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3728</w:t>
                  </w:r>
                </w:p>
              </w:tc>
              <w:tc>
                <w:tcPr>
                  <w:tcW w:w="1557" w:type="dxa"/>
                  <w:vAlign w:val="top"/>
                </w:tcPr>
                <w:p>
                  <w:pPr>
                    <w:pStyle w:val="6"/>
                    <w:spacing w:before="62" w:line="220" w:lineRule="auto"/>
                    <w:ind w:left="154"/>
                    <w:rPr>
                      <w:sz w:val="21"/>
                      <w:szCs w:val="21"/>
                    </w:rPr>
                  </w:pPr>
                  <w:r>
                    <w:rPr>
                      <w:spacing w:val="-1"/>
                      <w:sz w:val="21"/>
                      <w:szCs w:val="21"/>
                    </w:rPr>
                    <w:t>农村分散居民</w:t>
                  </w:r>
                </w:p>
              </w:tc>
              <w:tc>
                <w:tcPr>
                  <w:tcW w:w="1135" w:type="dxa"/>
                  <w:vAlign w:val="top"/>
                </w:tcPr>
                <w:p>
                  <w:pPr>
                    <w:pStyle w:val="6"/>
                    <w:spacing w:before="63"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1423 </w:t>
                  </w:r>
                  <w:r>
                    <w:rPr>
                      <w:spacing w:val="-6"/>
                      <w:sz w:val="21"/>
                      <w:szCs w:val="21"/>
                    </w:rPr>
                    <w:t>人</w:t>
                  </w:r>
                </w:p>
              </w:tc>
              <w:tc>
                <w:tcPr>
                  <w:tcW w:w="983" w:type="dxa"/>
                  <w:vAlign w:val="top"/>
                </w:tcPr>
                <w:p>
                  <w:pPr>
                    <w:pStyle w:val="6"/>
                    <w:spacing w:before="62" w:line="221" w:lineRule="auto"/>
                    <w:ind w:left="181"/>
                    <w:rPr>
                      <w:sz w:val="21"/>
                      <w:szCs w:val="21"/>
                    </w:rPr>
                  </w:pPr>
                  <w:r>
                    <w:rPr>
                      <w:spacing w:val="-2"/>
                      <w:sz w:val="21"/>
                      <w:szCs w:val="21"/>
                    </w:rPr>
                    <w:t>元石镇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1"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w:t>
                  </w:r>
                </w:p>
              </w:tc>
              <w:tc>
                <w:tcPr>
                  <w:tcW w:w="1552" w:type="dxa"/>
                  <w:vAlign w:val="top"/>
                </w:tcPr>
                <w:p>
                  <w:pPr>
                    <w:pStyle w:val="6"/>
                    <w:spacing w:before="63" w:line="220" w:lineRule="auto"/>
                    <w:ind w:left="465"/>
                    <w:rPr>
                      <w:sz w:val="21"/>
                      <w:szCs w:val="21"/>
                    </w:rPr>
                  </w:pPr>
                  <w:r>
                    <w:rPr>
                      <w:spacing w:val="-2"/>
                      <w:sz w:val="21"/>
                      <w:szCs w:val="21"/>
                    </w:rPr>
                    <w:t>江北村</w:t>
                  </w:r>
                </w:p>
              </w:tc>
              <w:tc>
                <w:tcPr>
                  <w:tcW w:w="885" w:type="dxa"/>
                  <w:vAlign w:val="top"/>
                </w:tcPr>
                <w:p>
                  <w:pPr>
                    <w:pStyle w:val="6"/>
                    <w:spacing w:before="62" w:line="221" w:lineRule="auto"/>
                    <w:ind w:left="350"/>
                    <w:rPr>
                      <w:sz w:val="21"/>
                      <w:szCs w:val="21"/>
                    </w:rPr>
                  </w:pPr>
                  <w:r>
                    <w:rPr>
                      <w:sz w:val="21"/>
                      <w:szCs w:val="21"/>
                    </w:rPr>
                    <w:t>东</w:t>
                  </w:r>
                </w:p>
              </w:tc>
              <w:tc>
                <w:tcPr>
                  <w:tcW w:w="1099" w:type="dxa"/>
                  <w:vAlign w:val="top"/>
                </w:tcPr>
                <w:p>
                  <w:pPr>
                    <w:spacing w:before="101"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2480</w:t>
                  </w:r>
                </w:p>
              </w:tc>
              <w:tc>
                <w:tcPr>
                  <w:tcW w:w="1557" w:type="dxa"/>
                  <w:vAlign w:val="top"/>
                </w:tcPr>
                <w:p>
                  <w:pPr>
                    <w:pStyle w:val="6"/>
                    <w:spacing w:before="63" w:line="220" w:lineRule="auto"/>
                    <w:ind w:left="154"/>
                    <w:rPr>
                      <w:sz w:val="21"/>
                      <w:szCs w:val="21"/>
                    </w:rPr>
                  </w:pPr>
                  <w:r>
                    <w:rPr>
                      <w:spacing w:val="-1"/>
                      <w:sz w:val="21"/>
                      <w:szCs w:val="21"/>
                    </w:rPr>
                    <w:t>农村分散居民</w:t>
                  </w:r>
                </w:p>
              </w:tc>
              <w:tc>
                <w:tcPr>
                  <w:tcW w:w="1135" w:type="dxa"/>
                  <w:vAlign w:val="top"/>
                </w:tcPr>
                <w:p>
                  <w:pPr>
                    <w:pStyle w:val="6"/>
                    <w:spacing w:before="63"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1088 </w:t>
                  </w:r>
                  <w:r>
                    <w:rPr>
                      <w:spacing w:val="-6"/>
                      <w:sz w:val="21"/>
                      <w:szCs w:val="21"/>
                    </w:rPr>
                    <w:t>人</w:t>
                  </w:r>
                </w:p>
              </w:tc>
              <w:tc>
                <w:tcPr>
                  <w:tcW w:w="983" w:type="dxa"/>
                  <w:vAlign w:val="top"/>
                </w:tcPr>
                <w:p>
                  <w:pPr>
                    <w:pStyle w:val="6"/>
                    <w:spacing w:before="62"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w:t>
                  </w:r>
                </w:p>
              </w:tc>
              <w:tc>
                <w:tcPr>
                  <w:tcW w:w="1552" w:type="dxa"/>
                  <w:vAlign w:val="top"/>
                </w:tcPr>
                <w:p>
                  <w:pPr>
                    <w:pStyle w:val="6"/>
                    <w:spacing w:before="63" w:line="220" w:lineRule="auto"/>
                    <w:ind w:left="465"/>
                    <w:rPr>
                      <w:sz w:val="21"/>
                      <w:szCs w:val="21"/>
                    </w:rPr>
                  </w:pPr>
                  <w:r>
                    <w:rPr>
                      <w:spacing w:val="-2"/>
                      <w:sz w:val="21"/>
                      <w:szCs w:val="21"/>
                    </w:rPr>
                    <w:t>草庙村</w:t>
                  </w:r>
                </w:p>
              </w:tc>
              <w:tc>
                <w:tcPr>
                  <w:tcW w:w="885" w:type="dxa"/>
                  <w:vAlign w:val="top"/>
                </w:tcPr>
                <w:p>
                  <w:pPr>
                    <w:pStyle w:val="6"/>
                    <w:spacing w:before="63" w:line="223" w:lineRule="auto"/>
                    <w:ind w:left="242"/>
                    <w:rPr>
                      <w:sz w:val="21"/>
                      <w:szCs w:val="21"/>
                    </w:rPr>
                  </w:pPr>
                  <w:r>
                    <w:rPr>
                      <w:spacing w:val="-3"/>
                      <w:sz w:val="21"/>
                      <w:szCs w:val="21"/>
                    </w:rPr>
                    <w:t>西南</w:t>
                  </w:r>
                </w:p>
              </w:tc>
              <w:tc>
                <w:tcPr>
                  <w:tcW w:w="1099" w:type="dxa"/>
                  <w:vAlign w:val="top"/>
                </w:tcPr>
                <w:p>
                  <w:pPr>
                    <w:spacing w:before="102"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3744</w:t>
                  </w:r>
                </w:p>
              </w:tc>
              <w:tc>
                <w:tcPr>
                  <w:tcW w:w="1557" w:type="dxa"/>
                  <w:vAlign w:val="top"/>
                </w:tcPr>
                <w:p>
                  <w:pPr>
                    <w:pStyle w:val="6"/>
                    <w:spacing w:before="63" w:line="220" w:lineRule="auto"/>
                    <w:ind w:left="154"/>
                    <w:rPr>
                      <w:sz w:val="21"/>
                      <w:szCs w:val="21"/>
                    </w:rPr>
                  </w:pPr>
                  <w:r>
                    <w:rPr>
                      <w:spacing w:val="-1"/>
                      <w:sz w:val="21"/>
                      <w:szCs w:val="21"/>
                    </w:rPr>
                    <w:t>农村分散居民</w:t>
                  </w:r>
                </w:p>
              </w:tc>
              <w:tc>
                <w:tcPr>
                  <w:tcW w:w="1135" w:type="dxa"/>
                  <w:vAlign w:val="top"/>
                </w:tcPr>
                <w:p>
                  <w:pPr>
                    <w:pStyle w:val="6"/>
                    <w:spacing w:before="64" w:line="223" w:lineRule="auto"/>
                    <w:ind w:left="158"/>
                    <w:rPr>
                      <w:sz w:val="21"/>
                      <w:szCs w:val="21"/>
                    </w:rPr>
                  </w:pPr>
                  <w:r>
                    <w:rPr>
                      <w:spacing w:val="-4"/>
                      <w:sz w:val="21"/>
                      <w:szCs w:val="21"/>
                    </w:rPr>
                    <w:t>约</w:t>
                  </w:r>
                  <w:r>
                    <w:rPr>
                      <w:spacing w:val="-44"/>
                      <w:sz w:val="21"/>
                      <w:szCs w:val="21"/>
                    </w:rPr>
                    <w:t xml:space="preserve"> </w:t>
                  </w:r>
                  <w:r>
                    <w:rPr>
                      <w:rFonts w:ascii="Times New Roman" w:hAnsi="Times New Roman" w:eastAsia="Times New Roman" w:cs="Times New Roman"/>
                      <w:spacing w:val="-4"/>
                      <w:sz w:val="21"/>
                      <w:szCs w:val="21"/>
                    </w:rPr>
                    <w:t>963</w:t>
                  </w:r>
                  <w:r>
                    <w:rPr>
                      <w:rFonts w:ascii="Times New Roman" w:hAnsi="Times New Roman" w:eastAsia="Times New Roman" w:cs="Times New Roman"/>
                      <w:spacing w:val="8"/>
                      <w:sz w:val="21"/>
                      <w:szCs w:val="21"/>
                    </w:rPr>
                    <w:t xml:space="preserve"> </w:t>
                  </w:r>
                  <w:r>
                    <w:rPr>
                      <w:spacing w:val="-4"/>
                      <w:sz w:val="21"/>
                      <w:szCs w:val="21"/>
                    </w:rPr>
                    <w:t>人</w:t>
                  </w:r>
                </w:p>
              </w:tc>
              <w:tc>
                <w:tcPr>
                  <w:tcW w:w="983" w:type="dxa"/>
                  <w:vAlign w:val="top"/>
                </w:tcPr>
                <w:p>
                  <w:pPr>
                    <w:pStyle w:val="6"/>
                    <w:spacing w:before="63"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4"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52" w:type="dxa"/>
                  <w:vAlign w:val="top"/>
                </w:tcPr>
                <w:p>
                  <w:pPr>
                    <w:pStyle w:val="6"/>
                    <w:spacing w:before="65" w:line="220" w:lineRule="auto"/>
                    <w:ind w:left="464"/>
                    <w:rPr>
                      <w:sz w:val="21"/>
                      <w:szCs w:val="21"/>
                    </w:rPr>
                  </w:pPr>
                  <w:r>
                    <w:rPr>
                      <w:spacing w:val="-2"/>
                      <w:sz w:val="21"/>
                      <w:szCs w:val="21"/>
                    </w:rPr>
                    <w:t>青龙村</w:t>
                  </w:r>
                </w:p>
              </w:tc>
              <w:tc>
                <w:tcPr>
                  <w:tcW w:w="885" w:type="dxa"/>
                  <w:vAlign w:val="top"/>
                </w:tcPr>
                <w:p>
                  <w:pPr>
                    <w:pStyle w:val="6"/>
                    <w:spacing w:before="66" w:line="224" w:lineRule="auto"/>
                    <w:ind w:left="346"/>
                    <w:rPr>
                      <w:sz w:val="21"/>
                      <w:szCs w:val="21"/>
                    </w:rPr>
                  </w:pPr>
                  <w:r>
                    <w:rPr>
                      <w:sz w:val="21"/>
                      <w:szCs w:val="21"/>
                    </w:rPr>
                    <w:t>北</w:t>
                  </w:r>
                </w:p>
              </w:tc>
              <w:tc>
                <w:tcPr>
                  <w:tcW w:w="1099" w:type="dxa"/>
                  <w:vAlign w:val="top"/>
                </w:tcPr>
                <w:p>
                  <w:pPr>
                    <w:spacing w:before="104"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4972</w:t>
                  </w:r>
                </w:p>
              </w:tc>
              <w:tc>
                <w:tcPr>
                  <w:tcW w:w="1557" w:type="dxa"/>
                  <w:vAlign w:val="top"/>
                </w:tcPr>
                <w:p>
                  <w:pPr>
                    <w:pStyle w:val="6"/>
                    <w:spacing w:before="65" w:line="220" w:lineRule="auto"/>
                    <w:ind w:left="154"/>
                    <w:rPr>
                      <w:sz w:val="21"/>
                      <w:szCs w:val="21"/>
                    </w:rPr>
                  </w:pPr>
                  <w:r>
                    <w:rPr>
                      <w:spacing w:val="-1"/>
                      <w:sz w:val="21"/>
                      <w:szCs w:val="21"/>
                    </w:rPr>
                    <w:t>农村分散居民</w:t>
                  </w:r>
                </w:p>
              </w:tc>
              <w:tc>
                <w:tcPr>
                  <w:tcW w:w="1135" w:type="dxa"/>
                  <w:vAlign w:val="top"/>
                </w:tcPr>
                <w:p>
                  <w:pPr>
                    <w:pStyle w:val="6"/>
                    <w:spacing w:before="66" w:line="223" w:lineRule="auto"/>
                    <w:ind w:left="158"/>
                    <w:rPr>
                      <w:sz w:val="21"/>
                      <w:szCs w:val="21"/>
                    </w:rPr>
                  </w:pPr>
                  <w:r>
                    <w:rPr>
                      <w:spacing w:val="-4"/>
                      <w:sz w:val="21"/>
                      <w:szCs w:val="21"/>
                    </w:rPr>
                    <w:t>约</w:t>
                  </w:r>
                  <w:r>
                    <w:rPr>
                      <w:spacing w:val="-44"/>
                      <w:sz w:val="21"/>
                      <w:szCs w:val="21"/>
                    </w:rPr>
                    <w:t xml:space="preserve"> </w:t>
                  </w:r>
                  <w:r>
                    <w:rPr>
                      <w:rFonts w:ascii="Times New Roman" w:hAnsi="Times New Roman" w:eastAsia="Times New Roman" w:cs="Times New Roman"/>
                      <w:spacing w:val="-4"/>
                      <w:sz w:val="21"/>
                      <w:szCs w:val="21"/>
                    </w:rPr>
                    <w:t>982</w:t>
                  </w:r>
                  <w:r>
                    <w:rPr>
                      <w:rFonts w:ascii="Times New Roman" w:hAnsi="Times New Roman" w:eastAsia="Times New Roman" w:cs="Times New Roman"/>
                      <w:spacing w:val="8"/>
                      <w:sz w:val="21"/>
                      <w:szCs w:val="21"/>
                    </w:rPr>
                    <w:t xml:space="preserve"> </w:t>
                  </w:r>
                  <w:r>
                    <w:rPr>
                      <w:spacing w:val="-4"/>
                      <w:sz w:val="21"/>
                      <w:szCs w:val="21"/>
                    </w:rPr>
                    <w:t>人</w:t>
                  </w:r>
                </w:p>
              </w:tc>
              <w:tc>
                <w:tcPr>
                  <w:tcW w:w="983" w:type="dxa"/>
                  <w:vAlign w:val="top"/>
                </w:tcPr>
                <w:p>
                  <w:pPr>
                    <w:pStyle w:val="6"/>
                    <w:spacing w:before="65" w:line="220" w:lineRule="auto"/>
                    <w:ind w:left="181"/>
                    <w:rPr>
                      <w:sz w:val="21"/>
                      <w:szCs w:val="21"/>
                    </w:rPr>
                  </w:pPr>
                  <w:r>
                    <w:rPr>
                      <w:spacing w:val="-2"/>
                      <w:sz w:val="21"/>
                      <w:szCs w:val="21"/>
                    </w:rPr>
                    <w:t>板庙镇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4"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52" w:type="dxa"/>
                  <w:vAlign w:val="top"/>
                </w:tcPr>
                <w:p>
                  <w:pPr>
                    <w:pStyle w:val="6"/>
                    <w:spacing w:before="65" w:line="221" w:lineRule="auto"/>
                    <w:ind w:left="365"/>
                    <w:rPr>
                      <w:sz w:val="21"/>
                      <w:szCs w:val="21"/>
                    </w:rPr>
                  </w:pPr>
                  <w:r>
                    <w:rPr>
                      <w:spacing w:val="-3"/>
                      <w:sz w:val="21"/>
                      <w:szCs w:val="21"/>
                    </w:rPr>
                    <w:t>马垭社区</w:t>
                  </w:r>
                </w:p>
              </w:tc>
              <w:tc>
                <w:tcPr>
                  <w:tcW w:w="885" w:type="dxa"/>
                  <w:vAlign w:val="top"/>
                </w:tcPr>
                <w:p>
                  <w:pPr>
                    <w:pStyle w:val="6"/>
                    <w:spacing w:before="66" w:line="224" w:lineRule="auto"/>
                    <w:ind w:left="346"/>
                    <w:rPr>
                      <w:sz w:val="21"/>
                      <w:szCs w:val="21"/>
                    </w:rPr>
                  </w:pPr>
                  <w:r>
                    <w:rPr>
                      <w:sz w:val="21"/>
                      <w:szCs w:val="21"/>
                    </w:rPr>
                    <w:t>北</w:t>
                  </w:r>
                </w:p>
              </w:tc>
              <w:tc>
                <w:tcPr>
                  <w:tcW w:w="1099" w:type="dxa"/>
                  <w:vAlign w:val="top"/>
                </w:tcPr>
                <w:p>
                  <w:pPr>
                    <w:spacing w:before="10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2780</w:t>
                  </w:r>
                </w:p>
              </w:tc>
              <w:tc>
                <w:tcPr>
                  <w:tcW w:w="1557" w:type="dxa"/>
                  <w:vAlign w:val="top"/>
                </w:tcPr>
                <w:p>
                  <w:pPr>
                    <w:pStyle w:val="6"/>
                    <w:spacing w:before="66" w:line="220" w:lineRule="auto"/>
                    <w:ind w:left="154"/>
                    <w:rPr>
                      <w:sz w:val="21"/>
                      <w:szCs w:val="21"/>
                    </w:rPr>
                  </w:pPr>
                  <w:r>
                    <w:rPr>
                      <w:spacing w:val="-1"/>
                      <w:sz w:val="21"/>
                      <w:szCs w:val="21"/>
                    </w:rPr>
                    <w:t>农村分散居民</w:t>
                  </w:r>
                </w:p>
              </w:tc>
              <w:tc>
                <w:tcPr>
                  <w:tcW w:w="1135" w:type="dxa"/>
                  <w:vAlign w:val="top"/>
                </w:tcPr>
                <w:p>
                  <w:pPr>
                    <w:pStyle w:val="6"/>
                    <w:spacing w:before="66"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1256 </w:t>
                  </w:r>
                  <w:r>
                    <w:rPr>
                      <w:spacing w:val="-6"/>
                      <w:sz w:val="21"/>
                      <w:szCs w:val="21"/>
                    </w:rPr>
                    <w:t>人</w:t>
                  </w:r>
                </w:p>
              </w:tc>
              <w:tc>
                <w:tcPr>
                  <w:tcW w:w="983" w:type="dxa"/>
                  <w:vAlign w:val="top"/>
                </w:tcPr>
                <w:p>
                  <w:pPr>
                    <w:pStyle w:val="6"/>
                    <w:spacing w:before="66" w:line="220" w:lineRule="auto"/>
                    <w:ind w:left="181"/>
                    <w:rPr>
                      <w:sz w:val="21"/>
                      <w:szCs w:val="21"/>
                    </w:rPr>
                  </w:pPr>
                  <w:r>
                    <w:rPr>
                      <w:spacing w:val="-2"/>
                      <w:sz w:val="21"/>
                      <w:szCs w:val="21"/>
                    </w:rPr>
                    <w:t>板庙镇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52" w:type="dxa"/>
                  <w:vAlign w:val="top"/>
                </w:tcPr>
                <w:p>
                  <w:pPr>
                    <w:pStyle w:val="6"/>
                    <w:spacing w:before="63" w:line="221" w:lineRule="auto"/>
                    <w:ind w:left="358"/>
                    <w:rPr>
                      <w:sz w:val="21"/>
                      <w:szCs w:val="21"/>
                    </w:rPr>
                  </w:pPr>
                  <w:r>
                    <w:rPr>
                      <w:spacing w:val="-2"/>
                      <w:sz w:val="21"/>
                      <w:szCs w:val="21"/>
                    </w:rPr>
                    <w:t>千佛社区</w:t>
                  </w:r>
                </w:p>
              </w:tc>
              <w:tc>
                <w:tcPr>
                  <w:tcW w:w="885" w:type="dxa"/>
                  <w:vAlign w:val="top"/>
                </w:tcPr>
                <w:p>
                  <w:pPr>
                    <w:pStyle w:val="6"/>
                    <w:spacing w:before="63" w:line="221" w:lineRule="auto"/>
                    <w:ind w:left="244"/>
                    <w:rPr>
                      <w:sz w:val="21"/>
                      <w:szCs w:val="21"/>
                    </w:rPr>
                  </w:pPr>
                  <w:r>
                    <w:rPr>
                      <w:spacing w:val="-4"/>
                      <w:sz w:val="21"/>
                      <w:szCs w:val="21"/>
                    </w:rPr>
                    <w:t>东北</w:t>
                  </w:r>
                </w:p>
              </w:tc>
              <w:tc>
                <w:tcPr>
                  <w:tcW w:w="1099" w:type="dxa"/>
                  <w:vAlign w:val="top"/>
                </w:tcPr>
                <w:p>
                  <w:pPr>
                    <w:spacing w:before="102"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3042</w:t>
                  </w:r>
                </w:p>
              </w:tc>
              <w:tc>
                <w:tcPr>
                  <w:tcW w:w="1557" w:type="dxa"/>
                  <w:vAlign w:val="top"/>
                </w:tcPr>
                <w:p>
                  <w:pPr>
                    <w:pStyle w:val="6"/>
                    <w:spacing w:before="64" w:line="220" w:lineRule="auto"/>
                    <w:ind w:left="154"/>
                    <w:rPr>
                      <w:sz w:val="21"/>
                      <w:szCs w:val="21"/>
                    </w:rPr>
                  </w:pPr>
                  <w:r>
                    <w:rPr>
                      <w:spacing w:val="-1"/>
                      <w:sz w:val="21"/>
                      <w:szCs w:val="21"/>
                    </w:rPr>
                    <w:t>农村分散居民</w:t>
                  </w:r>
                </w:p>
              </w:tc>
              <w:tc>
                <w:tcPr>
                  <w:tcW w:w="1135" w:type="dxa"/>
                  <w:vAlign w:val="top"/>
                </w:tcPr>
                <w:p>
                  <w:pPr>
                    <w:pStyle w:val="6"/>
                    <w:spacing w:before="64" w:line="223" w:lineRule="auto"/>
                    <w:ind w:left="158"/>
                    <w:rPr>
                      <w:sz w:val="21"/>
                      <w:szCs w:val="21"/>
                    </w:rPr>
                  </w:pPr>
                  <w:r>
                    <w:rPr>
                      <w:spacing w:val="-5"/>
                      <w:sz w:val="21"/>
                      <w:szCs w:val="21"/>
                    </w:rPr>
                    <w:t>约</w:t>
                  </w:r>
                  <w:r>
                    <w:rPr>
                      <w:spacing w:val="-39"/>
                      <w:sz w:val="21"/>
                      <w:szCs w:val="21"/>
                    </w:rPr>
                    <w:t xml:space="preserve"> </w:t>
                  </w:r>
                  <w:r>
                    <w:rPr>
                      <w:rFonts w:ascii="Times New Roman" w:hAnsi="Times New Roman" w:eastAsia="Times New Roman" w:cs="Times New Roman"/>
                      <w:spacing w:val="-5"/>
                      <w:sz w:val="21"/>
                      <w:szCs w:val="21"/>
                    </w:rPr>
                    <w:t>864</w:t>
                  </w:r>
                  <w:r>
                    <w:rPr>
                      <w:rFonts w:ascii="Times New Roman" w:hAnsi="Times New Roman" w:eastAsia="Times New Roman" w:cs="Times New Roman"/>
                      <w:spacing w:val="8"/>
                      <w:sz w:val="21"/>
                      <w:szCs w:val="21"/>
                    </w:rPr>
                    <w:t xml:space="preserve"> </w:t>
                  </w:r>
                  <w:r>
                    <w:rPr>
                      <w:spacing w:val="-5"/>
                      <w:sz w:val="21"/>
                      <w:szCs w:val="21"/>
                    </w:rPr>
                    <w:t>人</w:t>
                  </w:r>
                </w:p>
              </w:tc>
              <w:tc>
                <w:tcPr>
                  <w:tcW w:w="983" w:type="dxa"/>
                  <w:vAlign w:val="top"/>
                </w:tcPr>
                <w:p>
                  <w:pPr>
                    <w:pStyle w:val="6"/>
                    <w:spacing w:before="64" w:line="220" w:lineRule="auto"/>
                    <w:ind w:left="181"/>
                    <w:rPr>
                      <w:sz w:val="21"/>
                      <w:szCs w:val="21"/>
                    </w:rPr>
                  </w:pPr>
                  <w:r>
                    <w:rPr>
                      <w:spacing w:val="-2"/>
                      <w:sz w:val="21"/>
                      <w:szCs w:val="21"/>
                    </w:rPr>
                    <w:t>板庙镇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552" w:type="dxa"/>
                  <w:vAlign w:val="top"/>
                </w:tcPr>
                <w:p>
                  <w:pPr>
                    <w:pStyle w:val="6"/>
                    <w:spacing w:before="63" w:line="220" w:lineRule="auto"/>
                    <w:ind w:left="465"/>
                    <w:rPr>
                      <w:sz w:val="21"/>
                      <w:szCs w:val="21"/>
                    </w:rPr>
                  </w:pPr>
                  <w:r>
                    <w:rPr>
                      <w:spacing w:val="-2"/>
                      <w:sz w:val="21"/>
                      <w:szCs w:val="21"/>
                    </w:rPr>
                    <w:t>沿河村</w:t>
                  </w:r>
                </w:p>
              </w:tc>
              <w:tc>
                <w:tcPr>
                  <w:tcW w:w="885" w:type="dxa"/>
                  <w:vAlign w:val="top"/>
                </w:tcPr>
                <w:p>
                  <w:pPr>
                    <w:pStyle w:val="6"/>
                    <w:spacing w:before="63" w:line="223" w:lineRule="auto"/>
                    <w:ind w:left="242"/>
                    <w:rPr>
                      <w:sz w:val="21"/>
                      <w:szCs w:val="21"/>
                    </w:rPr>
                  </w:pPr>
                  <w:r>
                    <w:rPr>
                      <w:spacing w:val="-3"/>
                      <w:sz w:val="21"/>
                      <w:szCs w:val="21"/>
                    </w:rPr>
                    <w:t>西南</w:t>
                  </w:r>
                </w:p>
              </w:tc>
              <w:tc>
                <w:tcPr>
                  <w:tcW w:w="1099" w:type="dxa"/>
                  <w:vAlign w:val="top"/>
                </w:tcPr>
                <w:p>
                  <w:pPr>
                    <w:spacing w:before="102"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4388</w:t>
                  </w:r>
                </w:p>
              </w:tc>
              <w:tc>
                <w:tcPr>
                  <w:tcW w:w="1557" w:type="dxa"/>
                  <w:vAlign w:val="top"/>
                </w:tcPr>
                <w:p>
                  <w:pPr>
                    <w:pStyle w:val="6"/>
                    <w:spacing w:before="63" w:line="220" w:lineRule="auto"/>
                    <w:ind w:left="154"/>
                    <w:rPr>
                      <w:sz w:val="21"/>
                      <w:szCs w:val="21"/>
                    </w:rPr>
                  </w:pPr>
                  <w:r>
                    <w:rPr>
                      <w:spacing w:val="-1"/>
                      <w:sz w:val="21"/>
                      <w:szCs w:val="21"/>
                    </w:rPr>
                    <w:t>农村分散居民</w:t>
                  </w:r>
                </w:p>
              </w:tc>
              <w:tc>
                <w:tcPr>
                  <w:tcW w:w="1135" w:type="dxa"/>
                  <w:vAlign w:val="top"/>
                </w:tcPr>
                <w:p>
                  <w:pPr>
                    <w:pStyle w:val="6"/>
                    <w:spacing w:before="64" w:line="223" w:lineRule="auto"/>
                    <w:ind w:left="158"/>
                    <w:rPr>
                      <w:sz w:val="21"/>
                      <w:szCs w:val="21"/>
                    </w:rPr>
                  </w:pPr>
                  <w:r>
                    <w:rPr>
                      <w:spacing w:val="-5"/>
                      <w:sz w:val="21"/>
                      <w:szCs w:val="21"/>
                    </w:rPr>
                    <w:t>约</w:t>
                  </w:r>
                  <w:r>
                    <w:rPr>
                      <w:spacing w:val="-39"/>
                      <w:sz w:val="21"/>
                      <w:szCs w:val="21"/>
                    </w:rPr>
                    <w:t xml:space="preserve"> </w:t>
                  </w:r>
                  <w:r>
                    <w:rPr>
                      <w:rFonts w:ascii="Times New Roman" w:hAnsi="Times New Roman" w:eastAsia="Times New Roman" w:cs="Times New Roman"/>
                      <w:spacing w:val="-5"/>
                      <w:sz w:val="21"/>
                      <w:szCs w:val="21"/>
                    </w:rPr>
                    <w:t>893</w:t>
                  </w:r>
                  <w:r>
                    <w:rPr>
                      <w:rFonts w:ascii="Times New Roman" w:hAnsi="Times New Roman" w:eastAsia="Times New Roman" w:cs="Times New Roman"/>
                      <w:spacing w:val="8"/>
                      <w:sz w:val="21"/>
                      <w:szCs w:val="21"/>
                    </w:rPr>
                    <w:t xml:space="preserve"> </w:t>
                  </w:r>
                  <w:r>
                    <w:rPr>
                      <w:spacing w:val="-5"/>
                      <w:sz w:val="21"/>
                      <w:szCs w:val="21"/>
                    </w:rPr>
                    <w:t>人</w:t>
                  </w:r>
                </w:p>
              </w:tc>
              <w:tc>
                <w:tcPr>
                  <w:tcW w:w="983" w:type="dxa"/>
                  <w:vAlign w:val="top"/>
                </w:tcPr>
                <w:p>
                  <w:pPr>
                    <w:pStyle w:val="6"/>
                    <w:spacing w:before="63"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552" w:type="dxa"/>
                  <w:vAlign w:val="top"/>
                </w:tcPr>
                <w:p>
                  <w:pPr>
                    <w:pStyle w:val="6"/>
                    <w:spacing w:before="64" w:line="220" w:lineRule="auto"/>
                    <w:ind w:left="465"/>
                    <w:rPr>
                      <w:sz w:val="21"/>
                      <w:szCs w:val="21"/>
                    </w:rPr>
                  </w:pPr>
                  <w:r>
                    <w:rPr>
                      <w:spacing w:val="-2"/>
                      <w:sz w:val="21"/>
                      <w:szCs w:val="21"/>
                    </w:rPr>
                    <w:t>石楼村</w:t>
                  </w:r>
                </w:p>
              </w:tc>
              <w:tc>
                <w:tcPr>
                  <w:tcW w:w="885" w:type="dxa"/>
                  <w:vAlign w:val="top"/>
                </w:tcPr>
                <w:p>
                  <w:pPr>
                    <w:pStyle w:val="6"/>
                    <w:spacing w:before="63" w:line="221" w:lineRule="auto"/>
                    <w:ind w:left="244"/>
                    <w:rPr>
                      <w:sz w:val="21"/>
                      <w:szCs w:val="21"/>
                    </w:rPr>
                  </w:pPr>
                  <w:r>
                    <w:rPr>
                      <w:spacing w:val="-4"/>
                      <w:sz w:val="21"/>
                      <w:szCs w:val="21"/>
                    </w:rPr>
                    <w:t>东南</w:t>
                  </w:r>
                </w:p>
              </w:tc>
              <w:tc>
                <w:tcPr>
                  <w:tcW w:w="1099" w:type="dxa"/>
                  <w:vAlign w:val="top"/>
                </w:tcPr>
                <w:p>
                  <w:pPr>
                    <w:spacing w:before="102"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3530</w:t>
                  </w:r>
                </w:p>
              </w:tc>
              <w:tc>
                <w:tcPr>
                  <w:tcW w:w="1557" w:type="dxa"/>
                  <w:vAlign w:val="top"/>
                </w:tcPr>
                <w:p>
                  <w:pPr>
                    <w:pStyle w:val="6"/>
                    <w:spacing w:before="64" w:line="220" w:lineRule="auto"/>
                    <w:ind w:left="154"/>
                    <w:rPr>
                      <w:sz w:val="21"/>
                      <w:szCs w:val="21"/>
                    </w:rPr>
                  </w:pPr>
                  <w:r>
                    <w:rPr>
                      <w:spacing w:val="-1"/>
                      <w:sz w:val="21"/>
                      <w:szCs w:val="21"/>
                    </w:rPr>
                    <w:t>农村分散居民</w:t>
                  </w:r>
                </w:p>
              </w:tc>
              <w:tc>
                <w:tcPr>
                  <w:tcW w:w="1135" w:type="dxa"/>
                  <w:vAlign w:val="top"/>
                </w:tcPr>
                <w:p>
                  <w:pPr>
                    <w:pStyle w:val="6"/>
                    <w:spacing w:before="64" w:line="223" w:lineRule="auto"/>
                    <w:ind w:left="158"/>
                    <w:rPr>
                      <w:sz w:val="21"/>
                      <w:szCs w:val="21"/>
                    </w:rPr>
                  </w:pPr>
                  <w:r>
                    <w:rPr>
                      <w:spacing w:val="-4"/>
                      <w:sz w:val="21"/>
                      <w:szCs w:val="21"/>
                    </w:rPr>
                    <w:t>约</w:t>
                  </w:r>
                  <w:r>
                    <w:rPr>
                      <w:spacing w:val="-44"/>
                      <w:sz w:val="21"/>
                      <w:szCs w:val="21"/>
                    </w:rPr>
                    <w:t xml:space="preserve"> </w:t>
                  </w:r>
                  <w:r>
                    <w:rPr>
                      <w:rFonts w:ascii="Times New Roman" w:hAnsi="Times New Roman" w:eastAsia="Times New Roman" w:cs="Times New Roman"/>
                      <w:spacing w:val="-4"/>
                      <w:sz w:val="21"/>
                      <w:szCs w:val="21"/>
                    </w:rPr>
                    <w:t>926</w:t>
                  </w:r>
                  <w:r>
                    <w:rPr>
                      <w:rFonts w:ascii="Times New Roman" w:hAnsi="Times New Roman" w:eastAsia="Times New Roman" w:cs="Times New Roman"/>
                      <w:spacing w:val="8"/>
                      <w:sz w:val="21"/>
                      <w:szCs w:val="21"/>
                    </w:rPr>
                    <w:t xml:space="preserve"> </w:t>
                  </w:r>
                  <w:r>
                    <w:rPr>
                      <w:spacing w:val="-4"/>
                      <w:sz w:val="21"/>
                      <w:szCs w:val="21"/>
                    </w:rPr>
                    <w:t>人</w:t>
                  </w:r>
                </w:p>
              </w:tc>
              <w:tc>
                <w:tcPr>
                  <w:tcW w:w="983" w:type="dxa"/>
                  <w:vAlign w:val="top"/>
                </w:tcPr>
                <w:p>
                  <w:pPr>
                    <w:pStyle w:val="6"/>
                    <w:spacing w:before="63"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2"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552" w:type="dxa"/>
                  <w:vAlign w:val="top"/>
                </w:tcPr>
                <w:p>
                  <w:pPr>
                    <w:pStyle w:val="6"/>
                    <w:spacing w:before="63" w:line="220" w:lineRule="auto"/>
                    <w:ind w:left="467"/>
                    <w:rPr>
                      <w:sz w:val="21"/>
                      <w:szCs w:val="21"/>
                    </w:rPr>
                  </w:pPr>
                  <w:r>
                    <w:rPr>
                      <w:spacing w:val="-2"/>
                      <w:sz w:val="21"/>
                      <w:szCs w:val="21"/>
                    </w:rPr>
                    <w:t>北江村</w:t>
                  </w:r>
                </w:p>
              </w:tc>
              <w:tc>
                <w:tcPr>
                  <w:tcW w:w="885" w:type="dxa"/>
                  <w:vAlign w:val="top"/>
                </w:tcPr>
                <w:p>
                  <w:pPr>
                    <w:pStyle w:val="6"/>
                    <w:spacing w:before="63" w:line="221" w:lineRule="auto"/>
                    <w:ind w:left="350"/>
                    <w:rPr>
                      <w:sz w:val="21"/>
                      <w:szCs w:val="21"/>
                    </w:rPr>
                  </w:pPr>
                  <w:r>
                    <w:rPr>
                      <w:sz w:val="21"/>
                      <w:szCs w:val="21"/>
                    </w:rPr>
                    <w:t>东</w:t>
                  </w:r>
                </w:p>
              </w:tc>
              <w:tc>
                <w:tcPr>
                  <w:tcW w:w="1099" w:type="dxa"/>
                  <w:vAlign w:val="top"/>
                </w:tcPr>
                <w:p>
                  <w:pPr>
                    <w:spacing w:before="10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2931</w:t>
                  </w:r>
                </w:p>
              </w:tc>
              <w:tc>
                <w:tcPr>
                  <w:tcW w:w="1557" w:type="dxa"/>
                  <w:vAlign w:val="top"/>
                </w:tcPr>
                <w:p>
                  <w:pPr>
                    <w:pStyle w:val="6"/>
                    <w:spacing w:before="30" w:line="220" w:lineRule="auto"/>
                    <w:ind w:left="154"/>
                    <w:rPr>
                      <w:sz w:val="21"/>
                      <w:szCs w:val="21"/>
                    </w:rPr>
                  </w:pPr>
                  <w:r>
                    <w:rPr>
                      <w:spacing w:val="-1"/>
                      <w:sz w:val="21"/>
                      <w:szCs w:val="21"/>
                    </w:rPr>
                    <w:t>农村分散居民</w:t>
                  </w:r>
                </w:p>
              </w:tc>
              <w:tc>
                <w:tcPr>
                  <w:tcW w:w="1135" w:type="dxa"/>
                  <w:vAlign w:val="top"/>
                </w:tcPr>
                <w:p>
                  <w:pPr>
                    <w:pStyle w:val="6"/>
                    <w:spacing w:before="64"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1210 </w:t>
                  </w:r>
                  <w:r>
                    <w:rPr>
                      <w:spacing w:val="-6"/>
                      <w:sz w:val="21"/>
                      <w:szCs w:val="21"/>
                    </w:rPr>
                    <w:t>人</w:t>
                  </w:r>
                </w:p>
              </w:tc>
              <w:tc>
                <w:tcPr>
                  <w:tcW w:w="983" w:type="dxa"/>
                  <w:vAlign w:val="top"/>
                </w:tcPr>
                <w:p>
                  <w:pPr>
                    <w:pStyle w:val="6"/>
                    <w:spacing w:before="63" w:line="221" w:lineRule="auto"/>
                    <w:ind w:left="183"/>
                    <w:rPr>
                      <w:sz w:val="21"/>
                      <w:szCs w:val="21"/>
                    </w:rPr>
                  </w:pPr>
                  <w:r>
                    <w:rPr>
                      <w:spacing w:val="-2"/>
                      <w:sz w:val="21"/>
                      <w:szCs w:val="21"/>
                    </w:rPr>
                    <w:t>北山镇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4"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552" w:type="dxa"/>
                  <w:vAlign w:val="top"/>
                </w:tcPr>
                <w:p>
                  <w:pPr>
                    <w:pStyle w:val="6"/>
                    <w:spacing w:before="66" w:line="220" w:lineRule="auto"/>
                    <w:ind w:left="464"/>
                    <w:rPr>
                      <w:sz w:val="21"/>
                      <w:szCs w:val="21"/>
                    </w:rPr>
                  </w:pPr>
                  <w:r>
                    <w:rPr>
                      <w:spacing w:val="-2"/>
                      <w:sz w:val="21"/>
                      <w:szCs w:val="21"/>
                    </w:rPr>
                    <w:t>青龙村</w:t>
                  </w:r>
                </w:p>
              </w:tc>
              <w:tc>
                <w:tcPr>
                  <w:tcW w:w="885" w:type="dxa"/>
                  <w:vAlign w:val="top"/>
                </w:tcPr>
                <w:p>
                  <w:pPr>
                    <w:pStyle w:val="6"/>
                    <w:spacing w:before="66" w:line="223" w:lineRule="auto"/>
                    <w:ind w:left="345"/>
                    <w:rPr>
                      <w:sz w:val="21"/>
                      <w:szCs w:val="21"/>
                    </w:rPr>
                  </w:pPr>
                  <w:r>
                    <w:rPr>
                      <w:sz w:val="21"/>
                      <w:szCs w:val="21"/>
                    </w:rPr>
                    <w:t>南</w:t>
                  </w:r>
                </w:p>
              </w:tc>
              <w:tc>
                <w:tcPr>
                  <w:tcW w:w="1099" w:type="dxa"/>
                  <w:vAlign w:val="top"/>
                </w:tcPr>
                <w:p>
                  <w:pPr>
                    <w:spacing w:before="104"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3163</w:t>
                  </w:r>
                </w:p>
              </w:tc>
              <w:tc>
                <w:tcPr>
                  <w:tcW w:w="1557" w:type="dxa"/>
                  <w:vAlign w:val="top"/>
                </w:tcPr>
                <w:p>
                  <w:pPr>
                    <w:pStyle w:val="6"/>
                    <w:spacing w:before="32" w:line="220" w:lineRule="auto"/>
                    <w:ind w:left="154"/>
                    <w:rPr>
                      <w:sz w:val="21"/>
                      <w:szCs w:val="21"/>
                    </w:rPr>
                  </w:pPr>
                  <w:r>
                    <w:rPr>
                      <w:spacing w:val="-1"/>
                      <w:sz w:val="21"/>
                      <w:szCs w:val="21"/>
                    </w:rPr>
                    <w:t>农村分散居民</w:t>
                  </w:r>
                </w:p>
              </w:tc>
              <w:tc>
                <w:tcPr>
                  <w:tcW w:w="1135" w:type="dxa"/>
                  <w:vAlign w:val="top"/>
                </w:tcPr>
                <w:p>
                  <w:pPr>
                    <w:pStyle w:val="6"/>
                    <w:spacing w:before="66"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1187 </w:t>
                  </w:r>
                  <w:r>
                    <w:rPr>
                      <w:spacing w:val="-6"/>
                      <w:sz w:val="21"/>
                      <w:szCs w:val="21"/>
                    </w:rPr>
                    <w:t>人</w:t>
                  </w:r>
                </w:p>
              </w:tc>
              <w:tc>
                <w:tcPr>
                  <w:tcW w:w="983" w:type="dxa"/>
                  <w:vAlign w:val="top"/>
                </w:tcPr>
                <w:p>
                  <w:pPr>
                    <w:pStyle w:val="6"/>
                    <w:spacing w:before="65"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4"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552" w:type="dxa"/>
                  <w:vAlign w:val="top"/>
                </w:tcPr>
                <w:p>
                  <w:pPr>
                    <w:pStyle w:val="6"/>
                    <w:spacing w:before="65" w:line="220" w:lineRule="auto"/>
                    <w:ind w:left="467"/>
                    <w:rPr>
                      <w:sz w:val="21"/>
                      <w:szCs w:val="21"/>
                    </w:rPr>
                  </w:pPr>
                  <w:r>
                    <w:rPr>
                      <w:spacing w:val="-2"/>
                      <w:sz w:val="21"/>
                      <w:szCs w:val="21"/>
                    </w:rPr>
                    <w:t>五滩村</w:t>
                  </w:r>
                </w:p>
              </w:tc>
              <w:tc>
                <w:tcPr>
                  <w:tcW w:w="885" w:type="dxa"/>
                  <w:vAlign w:val="top"/>
                </w:tcPr>
                <w:p>
                  <w:pPr>
                    <w:pStyle w:val="6"/>
                    <w:spacing w:before="65" w:line="223" w:lineRule="auto"/>
                    <w:ind w:left="242"/>
                    <w:rPr>
                      <w:sz w:val="21"/>
                      <w:szCs w:val="21"/>
                    </w:rPr>
                  </w:pPr>
                  <w:r>
                    <w:rPr>
                      <w:spacing w:val="-3"/>
                      <w:sz w:val="21"/>
                      <w:szCs w:val="21"/>
                    </w:rPr>
                    <w:t>西南</w:t>
                  </w:r>
                </w:p>
              </w:tc>
              <w:tc>
                <w:tcPr>
                  <w:tcW w:w="1099" w:type="dxa"/>
                  <w:vAlign w:val="top"/>
                </w:tcPr>
                <w:p>
                  <w:pPr>
                    <w:spacing w:before="104"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4940</w:t>
                  </w:r>
                </w:p>
              </w:tc>
              <w:tc>
                <w:tcPr>
                  <w:tcW w:w="1557" w:type="dxa"/>
                  <w:vAlign w:val="top"/>
                </w:tcPr>
                <w:p>
                  <w:pPr>
                    <w:pStyle w:val="6"/>
                    <w:spacing w:before="29" w:line="220" w:lineRule="auto"/>
                    <w:ind w:left="154"/>
                    <w:rPr>
                      <w:sz w:val="21"/>
                      <w:szCs w:val="21"/>
                    </w:rPr>
                  </w:pPr>
                  <w:r>
                    <w:rPr>
                      <w:spacing w:val="-1"/>
                      <w:sz w:val="21"/>
                      <w:szCs w:val="21"/>
                    </w:rPr>
                    <w:t>农村分散居民</w:t>
                  </w:r>
                </w:p>
              </w:tc>
              <w:tc>
                <w:tcPr>
                  <w:tcW w:w="1135" w:type="dxa"/>
                  <w:vAlign w:val="top"/>
                </w:tcPr>
                <w:p>
                  <w:pPr>
                    <w:pStyle w:val="6"/>
                    <w:spacing w:before="66" w:line="223" w:lineRule="auto"/>
                    <w:ind w:left="119"/>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 xml:space="preserve">1039 </w:t>
                  </w:r>
                  <w:r>
                    <w:rPr>
                      <w:spacing w:val="-6"/>
                      <w:sz w:val="21"/>
                      <w:szCs w:val="21"/>
                    </w:rPr>
                    <w:t>人</w:t>
                  </w:r>
                </w:p>
              </w:tc>
              <w:tc>
                <w:tcPr>
                  <w:tcW w:w="983" w:type="dxa"/>
                  <w:vAlign w:val="top"/>
                </w:tcPr>
                <w:p>
                  <w:pPr>
                    <w:pStyle w:val="6"/>
                    <w:spacing w:before="65"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101"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552" w:type="dxa"/>
                  <w:vAlign w:val="top"/>
                </w:tcPr>
                <w:p>
                  <w:pPr>
                    <w:pStyle w:val="6"/>
                    <w:spacing w:before="62" w:line="220" w:lineRule="auto"/>
                    <w:ind w:left="468"/>
                    <w:rPr>
                      <w:sz w:val="21"/>
                      <w:szCs w:val="21"/>
                    </w:rPr>
                  </w:pPr>
                  <w:r>
                    <w:rPr>
                      <w:spacing w:val="-2"/>
                      <w:sz w:val="21"/>
                      <w:szCs w:val="21"/>
                    </w:rPr>
                    <w:t>苏坪村</w:t>
                  </w:r>
                </w:p>
              </w:tc>
              <w:tc>
                <w:tcPr>
                  <w:tcW w:w="885" w:type="dxa"/>
                  <w:vAlign w:val="top"/>
                </w:tcPr>
                <w:p>
                  <w:pPr>
                    <w:pStyle w:val="6"/>
                    <w:spacing w:before="62" w:line="221" w:lineRule="auto"/>
                    <w:ind w:left="244"/>
                    <w:rPr>
                      <w:sz w:val="21"/>
                      <w:szCs w:val="21"/>
                    </w:rPr>
                  </w:pPr>
                  <w:r>
                    <w:rPr>
                      <w:spacing w:val="-4"/>
                      <w:sz w:val="21"/>
                      <w:szCs w:val="21"/>
                    </w:rPr>
                    <w:t>东北</w:t>
                  </w:r>
                </w:p>
              </w:tc>
              <w:tc>
                <w:tcPr>
                  <w:tcW w:w="1099" w:type="dxa"/>
                  <w:vAlign w:val="top"/>
                </w:tcPr>
                <w:p>
                  <w:pPr>
                    <w:spacing w:before="101"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4546</w:t>
                  </w:r>
                </w:p>
              </w:tc>
              <w:tc>
                <w:tcPr>
                  <w:tcW w:w="1557" w:type="dxa"/>
                  <w:vAlign w:val="top"/>
                </w:tcPr>
                <w:p>
                  <w:pPr>
                    <w:pStyle w:val="6"/>
                    <w:spacing w:before="29" w:line="220" w:lineRule="auto"/>
                    <w:ind w:left="154"/>
                    <w:rPr>
                      <w:sz w:val="21"/>
                      <w:szCs w:val="21"/>
                    </w:rPr>
                  </w:pPr>
                  <w:r>
                    <w:rPr>
                      <w:spacing w:val="-1"/>
                      <w:sz w:val="21"/>
                      <w:szCs w:val="21"/>
                    </w:rPr>
                    <w:t>农村分散居民</w:t>
                  </w:r>
                </w:p>
              </w:tc>
              <w:tc>
                <w:tcPr>
                  <w:tcW w:w="1135" w:type="dxa"/>
                  <w:vAlign w:val="top"/>
                </w:tcPr>
                <w:p>
                  <w:pPr>
                    <w:pStyle w:val="6"/>
                    <w:spacing w:before="63" w:line="223" w:lineRule="auto"/>
                    <w:ind w:left="158"/>
                    <w:rPr>
                      <w:sz w:val="21"/>
                      <w:szCs w:val="21"/>
                    </w:rPr>
                  </w:pPr>
                  <w:r>
                    <w:rPr>
                      <w:spacing w:val="-5"/>
                      <w:sz w:val="21"/>
                      <w:szCs w:val="21"/>
                    </w:rPr>
                    <w:t>约</w:t>
                  </w:r>
                  <w:r>
                    <w:rPr>
                      <w:spacing w:val="-39"/>
                      <w:sz w:val="21"/>
                      <w:szCs w:val="21"/>
                    </w:rPr>
                    <w:t xml:space="preserve"> </w:t>
                  </w:r>
                  <w:r>
                    <w:rPr>
                      <w:rFonts w:ascii="Times New Roman" w:hAnsi="Times New Roman" w:eastAsia="Times New Roman" w:cs="Times New Roman"/>
                      <w:spacing w:val="-5"/>
                      <w:sz w:val="21"/>
                      <w:szCs w:val="21"/>
                    </w:rPr>
                    <w:t>893</w:t>
                  </w:r>
                  <w:r>
                    <w:rPr>
                      <w:rFonts w:ascii="Times New Roman" w:hAnsi="Times New Roman" w:eastAsia="Times New Roman" w:cs="Times New Roman"/>
                      <w:spacing w:val="8"/>
                      <w:sz w:val="21"/>
                      <w:szCs w:val="21"/>
                    </w:rPr>
                    <w:t xml:space="preserve"> </w:t>
                  </w:r>
                  <w:r>
                    <w:rPr>
                      <w:spacing w:val="-5"/>
                      <w:sz w:val="21"/>
                      <w:szCs w:val="21"/>
                    </w:rPr>
                    <w:t>人</w:t>
                  </w:r>
                </w:p>
              </w:tc>
              <w:tc>
                <w:tcPr>
                  <w:tcW w:w="983" w:type="dxa"/>
                  <w:vAlign w:val="top"/>
                </w:tcPr>
                <w:p>
                  <w:pPr>
                    <w:pStyle w:val="6"/>
                    <w:spacing w:before="62" w:line="221" w:lineRule="auto"/>
                    <w:ind w:left="183"/>
                    <w:rPr>
                      <w:sz w:val="21"/>
                      <w:szCs w:val="21"/>
                    </w:rPr>
                  </w:pPr>
                  <w:r>
                    <w:rPr>
                      <w:spacing w:val="-2"/>
                      <w:sz w:val="21"/>
                      <w:szCs w:val="21"/>
                    </w:rPr>
                    <w:t>北山镇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204"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552" w:type="dxa"/>
                  <w:vAlign w:val="top"/>
                </w:tcPr>
                <w:p>
                  <w:pPr>
                    <w:pStyle w:val="6"/>
                    <w:spacing w:before="30" w:line="224" w:lineRule="auto"/>
                    <w:ind w:left="676" w:right="142" w:hanging="528"/>
                    <w:rPr>
                      <w:sz w:val="21"/>
                      <w:szCs w:val="21"/>
                    </w:rPr>
                  </w:pPr>
                  <w:r>
                    <w:rPr>
                      <w:spacing w:val="-1"/>
                      <w:sz w:val="21"/>
                      <w:szCs w:val="21"/>
                    </w:rPr>
                    <w:t>平昌县元石小</w:t>
                  </w:r>
                  <w:r>
                    <w:rPr>
                      <w:sz w:val="21"/>
                      <w:szCs w:val="21"/>
                    </w:rPr>
                    <w:t xml:space="preserve"> 学</w:t>
                  </w:r>
                </w:p>
              </w:tc>
              <w:tc>
                <w:tcPr>
                  <w:tcW w:w="885" w:type="dxa"/>
                  <w:vAlign w:val="top"/>
                </w:tcPr>
                <w:p>
                  <w:pPr>
                    <w:pStyle w:val="6"/>
                    <w:spacing w:before="166" w:line="224" w:lineRule="auto"/>
                    <w:ind w:left="242"/>
                    <w:rPr>
                      <w:sz w:val="21"/>
                      <w:szCs w:val="21"/>
                    </w:rPr>
                  </w:pPr>
                  <w:r>
                    <w:rPr>
                      <w:spacing w:val="-3"/>
                      <w:sz w:val="21"/>
                      <w:szCs w:val="21"/>
                    </w:rPr>
                    <w:t>西北</w:t>
                  </w:r>
                </w:p>
              </w:tc>
              <w:tc>
                <w:tcPr>
                  <w:tcW w:w="1099" w:type="dxa"/>
                  <w:vAlign w:val="top"/>
                </w:tcPr>
                <w:p>
                  <w:pPr>
                    <w:spacing w:before="204"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4719</w:t>
                  </w:r>
                </w:p>
              </w:tc>
              <w:tc>
                <w:tcPr>
                  <w:tcW w:w="1557" w:type="dxa"/>
                  <w:vAlign w:val="top"/>
                </w:tcPr>
                <w:p>
                  <w:pPr>
                    <w:pStyle w:val="6"/>
                    <w:spacing w:before="166" w:line="221" w:lineRule="auto"/>
                    <w:ind w:left="578"/>
                    <w:rPr>
                      <w:sz w:val="21"/>
                      <w:szCs w:val="21"/>
                    </w:rPr>
                  </w:pPr>
                  <w:r>
                    <w:rPr>
                      <w:spacing w:val="-3"/>
                      <w:sz w:val="21"/>
                      <w:szCs w:val="21"/>
                    </w:rPr>
                    <w:t>学校</w:t>
                  </w:r>
                </w:p>
              </w:tc>
              <w:tc>
                <w:tcPr>
                  <w:tcW w:w="1135" w:type="dxa"/>
                  <w:vAlign w:val="top"/>
                </w:tcPr>
                <w:p>
                  <w:pPr>
                    <w:pStyle w:val="6"/>
                    <w:spacing w:before="166" w:line="223" w:lineRule="auto"/>
                    <w:ind w:left="158"/>
                    <w:rPr>
                      <w:sz w:val="21"/>
                      <w:szCs w:val="21"/>
                    </w:rPr>
                  </w:pPr>
                  <w:r>
                    <w:rPr>
                      <w:spacing w:val="-5"/>
                      <w:sz w:val="21"/>
                      <w:szCs w:val="21"/>
                    </w:rPr>
                    <w:t>约</w:t>
                  </w:r>
                  <w:r>
                    <w:rPr>
                      <w:spacing w:val="-39"/>
                      <w:sz w:val="21"/>
                      <w:szCs w:val="21"/>
                    </w:rPr>
                    <w:t xml:space="preserve"> </w:t>
                  </w:r>
                  <w:r>
                    <w:rPr>
                      <w:rFonts w:ascii="Times New Roman" w:hAnsi="Times New Roman" w:eastAsia="Times New Roman" w:cs="Times New Roman"/>
                      <w:spacing w:val="-5"/>
                      <w:sz w:val="21"/>
                      <w:szCs w:val="21"/>
                    </w:rPr>
                    <w:t>800</w:t>
                  </w:r>
                  <w:r>
                    <w:rPr>
                      <w:rFonts w:ascii="Times New Roman" w:hAnsi="Times New Roman" w:eastAsia="Times New Roman" w:cs="Times New Roman"/>
                      <w:spacing w:val="8"/>
                      <w:sz w:val="21"/>
                      <w:szCs w:val="21"/>
                    </w:rPr>
                    <w:t xml:space="preserve"> </w:t>
                  </w:r>
                  <w:r>
                    <w:rPr>
                      <w:spacing w:val="-5"/>
                      <w:sz w:val="21"/>
                      <w:szCs w:val="21"/>
                    </w:rPr>
                    <w:t>人</w:t>
                  </w:r>
                </w:p>
              </w:tc>
              <w:tc>
                <w:tcPr>
                  <w:tcW w:w="983" w:type="dxa"/>
                  <w:vAlign w:val="top"/>
                </w:tcPr>
                <w:p>
                  <w:pPr>
                    <w:pStyle w:val="6"/>
                    <w:spacing w:before="165" w:line="221" w:lineRule="auto"/>
                    <w:ind w:left="181"/>
                    <w:rPr>
                      <w:sz w:val="21"/>
                      <w:szCs w:val="21"/>
                    </w:rPr>
                  </w:pPr>
                  <w:r>
                    <w:rPr>
                      <w:spacing w:val="-2"/>
                      <w:sz w:val="21"/>
                      <w:szCs w:val="21"/>
                    </w:rPr>
                    <w:t>元石镇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204"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552" w:type="dxa"/>
                  <w:vAlign w:val="top"/>
                </w:tcPr>
                <w:p>
                  <w:pPr>
                    <w:pStyle w:val="6"/>
                    <w:spacing w:before="29" w:line="224" w:lineRule="auto"/>
                    <w:ind w:left="574" w:right="142" w:hanging="424"/>
                    <w:rPr>
                      <w:sz w:val="21"/>
                      <w:szCs w:val="21"/>
                    </w:rPr>
                  </w:pPr>
                  <w:r>
                    <w:rPr>
                      <w:spacing w:val="-2"/>
                      <w:sz w:val="21"/>
                      <w:szCs w:val="21"/>
                    </w:rPr>
                    <w:t>江陵镇草庙村</w:t>
                  </w:r>
                  <w:r>
                    <w:rPr>
                      <w:spacing w:val="4"/>
                      <w:sz w:val="21"/>
                      <w:szCs w:val="21"/>
                    </w:rPr>
                    <w:t xml:space="preserve"> </w:t>
                  </w:r>
                  <w:r>
                    <w:rPr>
                      <w:spacing w:val="-3"/>
                      <w:sz w:val="21"/>
                      <w:szCs w:val="21"/>
                    </w:rPr>
                    <w:t>小学</w:t>
                  </w:r>
                </w:p>
              </w:tc>
              <w:tc>
                <w:tcPr>
                  <w:tcW w:w="885" w:type="dxa"/>
                  <w:vAlign w:val="top"/>
                </w:tcPr>
                <w:p>
                  <w:pPr>
                    <w:pStyle w:val="6"/>
                    <w:spacing w:before="165" w:line="221" w:lineRule="auto"/>
                    <w:ind w:left="244"/>
                    <w:rPr>
                      <w:sz w:val="21"/>
                      <w:szCs w:val="21"/>
                    </w:rPr>
                  </w:pPr>
                  <w:r>
                    <w:rPr>
                      <w:spacing w:val="-4"/>
                      <w:sz w:val="21"/>
                      <w:szCs w:val="21"/>
                    </w:rPr>
                    <w:t>东南</w:t>
                  </w:r>
                </w:p>
              </w:tc>
              <w:tc>
                <w:tcPr>
                  <w:tcW w:w="1099" w:type="dxa"/>
                  <w:vAlign w:val="top"/>
                </w:tcPr>
                <w:p>
                  <w:pPr>
                    <w:spacing w:before="204"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3264</w:t>
                  </w:r>
                </w:p>
              </w:tc>
              <w:tc>
                <w:tcPr>
                  <w:tcW w:w="1557" w:type="dxa"/>
                  <w:vAlign w:val="top"/>
                </w:tcPr>
                <w:p>
                  <w:pPr>
                    <w:pStyle w:val="6"/>
                    <w:spacing w:before="166" w:line="221" w:lineRule="auto"/>
                    <w:ind w:left="578"/>
                    <w:rPr>
                      <w:sz w:val="21"/>
                      <w:szCs w:val="21"/>
                    </w:rPr>
                  </w:pPr>
                  <w:r>
                    <w:rPr>
                      <w:spacing w:val="-3"/>
                      <w:sz w:val="21"/>
                      <w:szCs w:val="21"/>
                    </w:rPr>
                    <w:t>学校</w:t>
                  </w:r>
                </w:p>
              </w:tc>
              <w:tc>
                <w:tcPr>
                  <w:tcW w:w="1135" w:type="dxa"/>
                  <w:vAlign w:val="top"/>
                </w:tcPr>
                <w:p>
                  <w:pPr>
                    <w:pStyle w:val="6"/>
                    <w:spacing w:before="166" w:line="223" w:lineRule="auto"/>
                    <w:ind w:left="158"/>
                    <w:rPr>
                      <w:sz w:val="21"/>
                      <w:szCs w:val="21"/>
                    </w:rPr>
                  </w:pPr>
                  <w:r>
                    <w:rPr>
                      <w:spacing w:val="-8"/>
                      <w:sz w:val="21"/>
                      <w:szCs w:val="21"/>
                    </w:rPr>
                    <w:t>约</w:t>
                  </w:r>
                  <w:r>
                    <w:rPr>
                      <w:spacing w:val="-24"/>
                      <w:sz w:val="21"/>
                      <w:szCs w:val="21"/>
                    </w:rPr>
                    <w:t xml:space="preserve"> </w:t>
                  </w:r>
                  <w:r>
                    <w:rPr>
                      <w:rFonts w:ascii="Times New Roman" w:hAnsi="Times New Roman" w:eastAsia="Times New Roman" w:cs="Times New Roman"/>
                      <w:spacing w:val="-8"/>
                      <w:sz w:val="21"/>
                      <w:szCs w:val="21"/>
                    </w:rPr>
                    <w:t>105</w:t>
                  </w:r>
                  <w:r>
                    <w:rPr>
                      <w:rFonts w:ascii="Times New Roman" w:hAnsi="Times New Roman" w:eastAsia="Times New Roman" w:cs="Times New Roman"/>
                      <w:spacing w:val="8"/>
                      <w:sz w:val="21"/>
                      <w:szCs w:val="21"/>
                    </w:rPr>
                    <w:t xml:space="preserve"> </w:t>
                  </w:r>
                  <w:r>
                    <w:rPr>
                      <w:spacing w:val="-8"/>
                      <w:sz w:val="21"/>
                      <w:szCs w:val="21"/>
                    </w:rPr>
                    <w:t>人</w:t>
                  </w:r>
                </w:p>
              </w:tc>
              <w:tc>
                <w:tcPr>
                  <w:tcW w:w="983" w:type="dxa"/>
                  <w:vAlign w:val="top"/>
                </w:tcPr>
                <w:p>
                  <w:pPr>
                    <w:pStyle w:val="6"/>
                    <w:spacing w:before="165"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204"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552" w:type="dxa"/>
                  <w:vAlign w:val="top"/>
                </w:tcPr>
                <w:p>
                  <w:pPr>
                    <w:pStyle w:val="6"/>
                    <w:spacing w:before="29" w:line="224" w:lineRule="auto"/>
                    <w:ind w:left="251" w:right="142" w:hanging="102"/>
                    <w:rPr>
                      <w:sz w:val="21"/>
                      <w:szCs w:val="21"/>
                    </w:rPr>
                  </w:pPr>
                  <w:r>
                    <w:rPr>
                      <w:spacing w:val="-1"/>
                      <w:sz w:val="21"/>
                      <w:szCs w:val="21"/>
                    </w:rPr>
                    <w:t>通川区江陵镇</w:t>
                  </w:r>
                  <w:r>
                    <w:rPr>
                      <w:sz w:val="21"/>
                      <w:szCs w:val="21"/>
                    </w:rPr>
                    <w:t xml:space="preserve"> </w:t>
                  </w:r>
                  <w:r>
                    <w:rPr>
                      <w:spacing w:val="-1"/>
                      <w:sz w:val="21"/>
                      <w:szCs w:val="21"/>
                    </w:rPr>
                    <w:t>初级中学校</w:t>
                  </w:r>
                </w:p>
              </w:tc>
              <w:tc>
                <w:tcPr>
                  <w:tcW w:w="885" w:type="dxa"/>
                  <w:vAlign w:val="top"/>
                </w:tcPr>
                <w:p>
                  <w:pPr>
                    <w:pStyle w:val="6"/>
                    <w:spacing w:before="165" w:line="223" w:lineRule="auto"/>
                    <w:ind w:left="345"/>
                    <w:rPr>
                      <w:sz w:val="21"/>
                      <w:szCs w:val="21"/>
                    </w:rPr>
                  </w:pPr>
                  <w:r>
                    <w:rPr>
                      <w:sz w:val="21"/>
                      <w:szCs w:val="21"/>
                    </w:rPr>
                    <w:t>南</w:t>
                  </w:r>
                </w:p>
              </w:tc>
              <w:tc>
                <w:tcPr>
                  <w:tcW w:w="1099" w:type="dxa"/>
                  <w:vAlign w:val="top"/>
                </w:tcPr>
                <w:p>
                  <w:pPr>
                    <w:spacing w:before="204"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3240</w:t>
                  </w:r>
                </w:p>
              </w:tc>
              <w:tc>
                <w:tcPr>
                  <w:tcW w:w="1557" w:type="dxa"/>
                  <w:vAlign w:val="top"/>
                </w:tcPr>
                <w:p>
                  <w:pPr>
                    <w:pStyle w:val="6"/>
                    <w:spacing w:before="166" w:line="221" w:lineRule="auto"/>
                    <w:ind w:left="578"/>
                    <w:rPr>
                      <w:sz w:val="21"/>
                      <w:szCs w:val="21"/>
                    </w:rPr>
                  </w:pPr>
                  <w:r>
                    <w:rPr>
                      <w:spacing w:val="-3"/>
                      <w:sz w:val="21"/>
                      <w:szCs w:val="21"/>
                    </w:rPr>
                    <w:t>学校</w:t>
                  </w:r>
                </w:p>
              </w:tc>
              <w:tc>
                <w:tcPr>
                  <w:tcW w:w="1135" w:type="dxa"/>
                  <w:vAlign w:val="top"/>
                </w:tcPr>
                <w:p>
                  <w:pPr>
                    <w:pStyle w:val="6"/>
                    <w:spacing w:before="166" w:line="223" w:lineRule="auto"/>
                    <w:ind w:left="119"/>
                    <w:rPr>
                      <w:sz w:val="21"/>
                      <w:szCs w:val="21"/>
                    </w:rPr>
                  </w:pPr>
                  <w:r>
                    <w:rPr>
                      <w:spacing w:val="-4"/>
                      <w:sz w:val="21"/>
                      <w:szCs w:val="21"/>
                    </w:rPr>
                    <w:t>约</w:t>
                  </w:r>
                  <w:r>
                    <w:rPr>
                      <w:spacing w:val="-54"/>
                      <w:sz w:val="21"/>
                      <w:szCs w:val="21"/>
                    </w:rPr>
                    <w:t xml:space="preserve"> </w:t>
                  </w:r>
                  <w:r>
                    <w:rPr>
                      <w:rFonts w:ascii="Times New Roman" w:hAnsi="Times New Roman" w:eastAsia="Times New Roman" w:cs="Times New Roman"/>
                      <w:spacing w:val="-4"/>
                      <w:sz w:val="21"/>
                      <w:szCs w:val="21"/>
                    </w:rPr>
                    <w:t xml:space="preserve">3000 </w:t>
                  </w:r>
                  <w:r>
                    <w:rPr>
                      <w:spacing w:val="-4"/>
                      <w:sz w:val="21"/>
                      <w:szCs w:val="21"/>
                    </w:rPr>
                    <w:t>人</w:t>
                  </w:r>
                </w:p>
              </w:tc>
              <w:tc>
                <w:tcPr>
                  <w:tcW w:w="983" w:type="dxa"/>
                  <w:vAlign w:val="top"/>
                </w:tcPr>
                <w:p>
                  <w:pPr>
                    <w:pStyle w:val="6"/>
                    <w:spacing w:before="165"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205"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552" w:type="dxa"/>
                  <w:vAlign w:val="top"/>
                </w:tcPr>
                <w:p>
                  <w:pPr>
                    <w:pStyle w:val="6"/>
                    <w:spacing w:before="29" w:line="224" w:lineRule="auto"/>
                    <w:ind w:left="358" w:right="142" w:hanging="208"/>
                    <w:rPr>
                      <w:sz w:val="21"/>
                      <w:szCs w:val="21"/>
                    </w:rPr>
                  </w:pPr>
                  <w:r>
                    <w:rPr>
                      <w:spacing w:val="-2"/>
                      <w:sz w:val="21"/>
                      <w:szCs w:val="21"/>
                    </w:rPr>
                    <w:t>江陵镇中心学</w:t>
                  </w:r>
                  <w:r>
                    <w:rPr>
                      <w:spacing w:val="4"/>
                      <w:sz w:val="21"/>
                      <w:szCs w:val="21"/>
                    </w:rPr>
                    <w:t xml:space="preserve"> </w:t>
                  </w:r>
                  <w:r>
                    <w:rPr>
                      <w:spacing w:val="-2"/>
                      <w:sz w:val="21"/>
                      <w:szCs w:val="21"/>
                    </w:rPr>
                    <w:t>校幼儿园</w:t>
                  </w:r>
                </w:p>
              </w:tc>
              <w:tc>
                <w:tcPr>
                  <w:tcW w:w="885" w:type="dxa"/>
                  <w:vAlign w:val="top"/>
                </w:tcPr>
                <w:p>
                  <w:pPr>
                    <w:pStyle w:val="6"/>
                    <w:spacing w:before="166" w:line="223" w:lineRule="auto"/>
                    <w:ind w:left="345"/>
                    <w:rPr>
                      <w:sz w:val="21"/>
                      <w:szCs w:val="21"/>
                    </w:rPr>
                  </w:pPr>
                  <w:r>
                    <w:rPr>
                      <w:sz w:val="21"/>
                      <w:szCs w:val="21"/>
                    </w:rPr>
                    <w:t>南</w:t>
                  </w:r>
                </w:p>
              </w:tc>
              <w:tc>
                <w:tcPr>
                  <w:tcW w:w="1099" w:type="dxa"/>
                  <w:vAlign w:val="top"/>
                </w:tcPr>
                <w:p>
                  <w:pPr>
                    <w:spacing w:before="205"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3208</w:t>
                  </w:r>
                </w:p>
              </w:tc>
              <w:tc>
                <w:tcPr>
                  <w:tcW w:w="1557" w:type="dxa"/>
                  <w:vAlign w:val="top"/>
                </w:tcPr>
                <w:p>
                  <w:pPr>
                    <w:pStyle w:val="6"/>
                    <w:spacing w:before="166" w:line="221" w:lineRule="auto"/>
                    <w:ind w:left="578"/>
                    <w:rPr>
                      <w:sz w:val="21"/>
                      <w:szCs w:val="21"/>
                    </w:rPr>
                  </w:pPr>
                  <w:r>
                    <w:rPr>
                      <w:spacing w:val="-3"/>
                      <w:sz w:val="21"/>
                      <w:szCs w:val="21"/>
                    </w:rPr>
                    <w:t>学校</w:t>
                  </w:r>
                </w:p>
              </w:tc>
              <w:tc>
                <w:tcPr>
                  <w:tcW w:w="1135" w:type="dxa"/>
                  <w:vAlign w:val="top"/>
                </w:tcPr>
                <w:p>
                  <w:pPr>
                    <w:pStyle w:val="6"/>
                    <w:spacing w:before="167" w:line="223" w:lineRule="auto"/>
                    <w:ind w:left="210"/>
                    <w:rPr>
                      <w:sz w:val="21"/>
                      <w:szCs w:val="21"/>
                    </w:rPr>
                  </w:pPr>
                  <w:r>
                    <w:rPr>
                      <w:spacing w:val="-6"/>
                      <w:sz w:val="21"/>
                      <w:szCs w:val="21"/>
                    </w:rPr>
                    <w:t>约</w:t>
                  </w:r>
                  <w:r>
                    <w:rPr>
                      <w:spacing w:val="-40"/>
                      <w:sz w:val="21"/>
                      <w:szCs w:val="21"/>
                    </w:rPr>
                    <w:t xml:space="preserve"> </w:t>
                  </w:r>
                  <w:r>
                    <w:rPr>
                      <w:rFonts w:ascii="Times New Roman" w:hAnsi="Times New Roman" w:eastAsia="Times New Roman" w:cs="Times New Roman"/>
                      <w:spacing w:val="-6"/>
                      <w:sz w:val="21"/>
                      <w:szCs w:val="21"/>
                    </w:rPr>
                    <w:t>80</w:t>
                  </w:r>
                  <w:r>
                    <w:rPr>
                      <w:rFonts w:ascii="Times New Roman" w:hAnsi="Times New Roman" w:eastAsia="Times New Roman" w:cs="Times New Roman"/>
                      <w:spacing w:val="7"/>
                      <w:sz w:val="21"/>
                      <w:szCs w:val="21"/>
                    </w:rPr>
                    <w:t xml:space="preserve"> </w:t>
                  </w:r>
                  <w:r>
                    <w:rPr>
                      <w:spacing w:val="-6"/>
                      <w:sz w:val="21"/>
                      <w:szCs w:val="21"/>
                    </w:rPr>
                    <w:t>人</w:t>
                  </w:r>
                </w:p>
              </w:tc>
              <w:tc>
                <w:tcPr>
                  <w:tcW w:w="983" w:type="dxa"/>
                  <w:vAlign w:val="top"/>
                </w:tcPr>
                <w:p>
                  <w:pPr>
                    <w:pStyle w:val="6"/>
                    <w:spacing w:before="166" w:line="221" w:lineRule="auto"/>
                    <w:ind w:left="181"/>
                    <w:rPr>
                      <w:sz w:val="21"/>
                      <w:szCs w:val="21"/>
                    </w:rPr>
                  </w:pPr>
                  <w:r>
                    <w:rPr>
                      <w:spacing w:val="-2"/>
                      <w:sz w:val="21"/>
                      <w:szCs w:val="21"/>
                    </w:rPr>
                    <w:t>江陵镇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206"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552" w:type="dxa"/>
                  <w:vAlign w:val="top"/>
                </w:tcPr>
                <w:p>
                  <w:pPr>
                    <w:pStyle w:val="6"/>
                    <w:spacing w:before="32" w:line="224" w:lineRule="auto"/>
                    <w:ind w:left="574" w:right="142" w:hanging="425"/>
                    <w:rPr>
                      <w:sz w:val="21"/>
                      <w:szCs w:val="21"/>
                    </w:rPr>
                  </w:pPr>
                  <w:r>
                    <w:rPr>
                      <w:spacing w:val="-1"/>
                      <w:sz w:val="21"/>
                      <w:szCs w:val="21"/>
                    </w:rPr>
                    <w:t>青风镇千佛村</w:t>
                  </w:r>
                  <w:r>
                    <w:rPr>
                      <w:sz w:val="21"/>
                      <w:szCs w:val="21"/>
                    </w:rPr>
                    <w:t xml:space="preserve"> </w:t>
                  </w:r>
                  <w:r>
                    <w:rPr>
                      <w:spacing w:val="-3"/>
                      <w:sz w:val="21"/>
                      <w:szCs w:val="21"/>
                    </w:rPr>
                    <w:t>小学</w:t>
                  </w:r>
                </w:p>
              </w:tc>
              <w:tc>
                <w:tcPr>
                  <w:tcW w:w="885" w:type="dxa"/>
                  <w:vAlign w:val="top"/>
                </w:tcPr>
                <w:p>
                  <w:pPr>
                    <w:pStyle w:val="6"/>
                    <w:spacing w:before="167" w:line="221" w:lineRule="auto"/>
                    <w:ind w:left="244"/>
                    <w:rPr>
                      <w:sz w:val="21"/>
                      <w:szCs w:val="21"/>
                    </w:rPr>
                  </w:pPr>
                  <w:r>
                    <w:rPr>
                      <w:spacing w:val="-4"/>
                      <w:sz w:val="21"/>
                      <w:szCs w:val="21"/>
                    </w:rPr>
                    <w:t>东北</w:t>
                  </w:r>
                </w:p>
              </w:tc>
              <w:tc>
                <w:tcPr>
                  <w:tcW w:w="1099" w:type="dxa"/>
                  <w:vAlign w:val="top"/>
                </w:tcPr>
                <w:p>
                  <w:pPr>
                    <w:spacing w:before="206"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3092</w:t>
                  </w:r>
                </w:p>
              </w:tc>
              <w:tc>
                <w:tcPr>
                  <w:tcW w:w="1557" w:type="dxa"/>
                  <w:vAlign w:val="top"/>
                </w:tcPr>
                <w:p>
                  <w:pPr>
                    <w:pStyle w:val="6"/>
                    <w:spacing w:before="167" w:line="221" w:lineRule="auto"/>
                    <w:ind w:left="578"/>
                    <w:rPr>
                      <w:sz w:val="21"/>
                      <w:szCs w:val="21"/>
                    </w:rPr>
                  </w:pPr>
                  <w:r>
                    <w:rPr>
                      <w:spacing w:val="-3"/>
                      <w:sz w:val="21"/>
                      <w:szCs w:val="21"/>
                    </w:rPr>
                    <w:t>学校</w:t>
                  </w:r>
                </w:p>
              </w:tc>
              <w:tc>
                <w:tcPr>
                  <w:tcW w:w="1135" w:type="dxa"/>
                  <w:vAlign w:val="top"/>
                </w:tcPr>
                <w:p>
                  <w:pPr>
                    <w:pStyle w:val="6"/>
                    <w:spacing w:before="168" w:line="223" w:lineRule="auto"/>
                    <w:ind w:left="158"/>
                    <w:rPr>
                      <w:sz w:val="21"/>
                      <w:szCs w:val="21"/>
                    </w:rPr>
                  </w:pPr>
                  <w:r>
                    <w:rPr>
                      <w:spacing w:val="-8"/>
                      <w:sz w:val="21"/>
                      <w:szCs w:val="21"/>
                    </w:rPr>
                    <w:t>约</w:t>
                  </w:r>
                  <w:r>
                    <w:rPr>
                      <w:spacing w:val="-24"/>
                      <w:sz w:val="21"/>
                      <w:szCs w:val="21"/>
                    </w:rPr>
                    <w:t xml:space="preserve"> </w:t>
                  </w:r>
                  <w:r>
                    <w:rPr>
                      <w:rFonts w:ascii="Times New Roman" w:hAnsi="Times New Roman" w:eastAsia="Times New Roman" w:cs="Times New Roman"/>
                      <w:spacing w:val="-8"/>
                      <w:sz w:val="21"/>
                      <w:szCs w:val="21"/>
                    </w:rPr>
                    <w:t>120</w:t>
                  </w:r>
                  <w:r>
                    <w:rPr>
                      <w:rFonts w:ascii="Times New Roman" w:hAnsi="Times New Roman" w:eastAsia="Times New Roman" w:cs="Times New Roman"/>
                      <w:spacing w:val="8"/>
                      <w:sz w:val="21"/>
                      <w:szCs w:val="21"/>
                    </w:rPr>
                    <w:t xml:space="preserve"> </w:t>
                  </w:r>
                  <w:r>
                    <w:rPr>
                      <w:spacing w:val="-8"/>
                      <w:sz w:val="21"/>
                      <w:szCs w:val="21"/>
                    </w:rPr>
                    <w:t>人</w:t>
                  </w:r>
                </w:p>
              </w:tc>
              <w:tc>
                <w:tcPr>
                  <w:tcW w:w="983" w:type="dxa"/>
                  <w:vAlign w:val="top"/>
                </w:tcPr>
                <w:p>
                  <w:pPr>
                    <w:pStyle w:val="6"/>
                    <w:spacing w:before="167" w:line="220" w:lineRule="auto"/>
                    <w:ind w:left="181"/>
                    <w:rPr>
                      <w:sz w:val="21"/>
                      <w:szCs w:val="21"/>
                    </w:rPr>
                  </w:pPr>
                  <w:r>
                    <w:rPr>
                      <w:spacing w:val="-2"/>
                      <w:sz w:val="21"/>
                      <w:szCs w:val="21"/>
                    </w:rPr>
                    <w:t>板庙镇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3" w:type="dxa"/>
                  <w:vMerge w:val="continue"/>
                  <w:tcBorders>
                    <w:top w:val="nil"/>
                    <w:bottom w:val="nil"/>
                  </w:tcBorders>
                  <w:vAlign w:val="top"/>
                </w:tcPr>
                <w:p>
                  <w:pPr>
                    <w:rPr>
                      <w:rFonts w:ascii="Arial"/>
                      <w:sz w:val="21"/>
                    </w:rPr>
                  </w:pPr>
                </w:p>
              </w:tc>
              <w:tc>
                <w:tcPr>
                  <w:tcW w:w="696" w:type="dxa"/>
                  <w:vAlign w:val="top"/>
                </w:tcPr>
                <w:p>
                  <w:pPr>
                    <w:spacing w:before="205"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552" w:type="dxa"/>
                  <w:vAlign w:val="top"/>
                </w:tcPr>
                <w:p>
                  <w:pPr>
                    <w:pStyle w:val="6"/>
                    <w:spacing w:before="30" w:line="224" w:lineRule="auto"/>
                    <w:ind w:left="575" w:right="142" w:hanging="422"/>
                    <w:rPr>
                      <w:sz w:val="21"/>
                      <w:szCs w:val="21"/>
                    </w:rPr>
                  </w:pPr>
                  <w:r>
                    <w:rPr>
                      <w:spacing w:val="-2"/>
                      <w:sz w:val="21"/>
                      <w:szCs w:val="21"/>
                    </w:rPr>
                    <w:t>北山镇苏坪村</w:t>
                  </w:r>
                  <w:r>
                    <w:rPr>
                      <w:spacing w:val="1"/>
                      <w:sz w:val="21"/>
                      <w:szCs w:val="21"/>
                    </w:rPr>
                    <w:t xml:space="preserve"> </w:t>
                  </w:r>
                  <w:r>
                    <w:rPr>
                      <w:spacing w:val="-3"/>
                      <w:sz w:val="21"/>
                      <w:szCs w:val="21"/>
                    </w:rPr>
                    <w:t>小学</w:t>
                  </w:r>
                </w:p>
              </w:tc>
              <w:tc>
                <w:tcPr>
                  <w:tcW w:w="885" w:type="dxa"/>
                  <w:vAlign w:val="top"/>
                </w:tcPr>
                <w:p>
                  <w:pPr>
                    <w:pStyle w:val="6"/>
                    <w:spacing w:before="164" w:line="221" w:lineRule="auto"/>
                    <w:ind w:left="244"/>
                    <w:rPr>
                      <w:sz w:val="21"/>
                      <w:szCs w:val="21"/>
                    </w:rPr>
                  </w:pPr>
                  <w:r>
                    <w:rPr>
                      <w:spacing w:val="-4"/>
                      <w:sz w:val="21"/>
                      <w:szCs w:val="21"/>
                    </w:rPr>
                    <w:t>东北</w:t>
                  </w:r>
                </w:p>
              </w:tc>
              <w:tc>
                <w:tcPr>
                  <w:tcW w:w="1099" w:type="dxa"/>
                  <w:vAlign w:val="top"/>
                </w:tcPr>
                <w:p>
                  <w:pPr>
                    <w:spacing w:before="205"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4530</w:t>
                  </w:r>
                </w:p>
              </w:tc>
              <w:tc>
                <w:tcPr>
                  <w:tcW w:w="1557" w:type="dxa"/>
                  <w:vAlign w:val="top"/>
                </w:tcPr>
                <w:p>
                  <w:pPr>
                    <w:pStyle w:val="6"/>
                    <w:spacing w:before="165" w:line="221" w:lineRule="auto"/>
                    <w:ind w:left="578"/>
                    <w:rPr>
                      <w:sz w:val="21"/>
                      <w:szCs w:val="21"/>
                    </w:rPr>
                  </w:pPr>
                  <w:r>
                    <w:rPr>
                      <w:spacing w:val="-3"/>
                      <w:sz w:val="21"/>
                      <w:szCs w:val="21"/>
                    </w:rPr>
                    <w:t>学校</w:t>
                  </w:r>
                </w:p>
              </w:tc>
              <w:tc>
                <w:tcPr>
                  <w:tcW w:w="1135" w:type="dxa"/>
                  <w:vAlign w:val="top"/>
                </w:tcPr>
                <w:p>
                  <w:pPr>
                    <w:pStyle w:val="6"/>
                    <w:spacing w:before="165" w:line="223" w:lineRule="auto"/>
                    <w:ind w:left="158"/>
                    <w:rPr>
                      <w:sz w:val="21"/>
                      <w:szCs w:val="21"/>
                    </w:rPr>
                  </w:pPr>
                  <w:r>
                    <w:rPr>
                      <w:spacing w:val="-8"/>
                      <w:sz w:val="21"/>
                      <w:szCs w:val="21"/>
                    </w:rPr>
                    <w:t>约</w:t>
                  </w:r>
                  <w:r>
                    <w:rPr>
                      <w:spacing w:val="-24"/>
                      <w:sz w:val="21"/>
                      <w:szCs w:val="21"/>
                    </w:rPr>
                    <w:t xml:space="preserve"> </w:t>
                  </w:r>
                  <w:r>
                    <w:rPr>
                      <w:rFonts w:ascii="Times New Roman" w:hAnsi="Times New Roman" w:eastAsia="Times New Roman" w:cs="Times New Roman"/>
                      <w:spacing w:val="-8"/>
                      <w:sz w:val="21"/>
                      <w:szCs w:val="21"/>
                    </w:rPr>
                    <w:t>116</w:t>
                  </w:r>
                  <w:r>
                    <w:rPr>
                      <w:rFonts w:ascii="Times New Roman" w:hAnsi="Times New Roman" w:eastAsia="Times New Roman" w:cs="Times New Roman"/>
                      <w:spacing w:val="8"/>
                      <w:sz w:val="21"/>
                      <w:szCs w:val="21"/>
                    </w:rPr>
                    <w:t xml:space="preserve"> </w:t>
                  </w:r>
                  <w:r>
                    <w:rPr>
                      <w:spacing w:val="-8"/>
                      <w:sz w:val="21"/>
                      <w:szCs w:val="21"/>
                    </w:rPr>
                    <w:t>人</w:t>
                  </w:r>
                </w:p>
              </w:tc>
              <w:tc>
                <w:tcPr>
                  <w:tcW w:w="983" w:type="dxa"/>
                  <w:vAlign w:val="top"/>
                </w:tcPr>
                <w:p>
                  <w:pPr>
                    <w:pStyle w:val="6"/>
                    <w:spacing w:before="164" w:line="221" w:lineRule="auto"/>
                    <w:ind w:left="183"/>
                    <w:rPr>
                      <w:sz w:val="21"/>
                      <w:szCs w:val="21"/>
                    </w:rPr>
                  </w:pPr>
                  <w:r>
                    <w:rPr>
                      <w:spacing w:val="-2"/>
                      <w:sz w:val="21"/>
                      <w:szCs w:val="21"/>
                    </w:rPr>
                    <w:t>北山镇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tcBorders>
                  <w:vAlign w:val="top"/>
                </w:tcPr>
                <w:p>
                  <w:pPr>
                    <w:rPr>
                      <w:rFonts w:ascii="Arial"/>
                      <w:sz w:val="21"/>
                    </w:rPr>
                  </w:pPr>
                </w:p>
              </w:tc>
              <w:tc>
                <w:tcPr>
                  <w:tcW w:w="696" w:type="dxa"/>
                  <w:vAlign w:val="top"/>
                </w:tcPr>
                <w:p>
                  <w:pPr>
                    <w:spacing w:before="102"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52" w:type="dxa"/>
                  <w:vAlign w:val="top"/>
                </w:tcPr>
                <w:p>
                  <w:pPr>
                    <w:pStyle w:val="6"/>
                    <w:spacing w:before="63" w:line="221" w:lineRule="auto"/>
                    <w:ind w:left="365"/>
                    <w:rPr>
                      <w:sz w:val="21"/>
                      <w:szCs w:val="21"/>
                    </w:rPr>
                  </w:pPr>
                  <w:r>
                    <w:rPr>
                      <w:spacing w:val="-3"/>
                      <w:sz w:val="21"/>
                      <w:szCs w:val="21"/>
                    </w:rPr>
                    <w:t>马垭小学</w:t>
                  </w:r>
                </w:p>
              </w:tc>
              <w:tc>
                <w:tcPr>
                  <w:tcW w:w="885" w:type="dxa"/>
                  <w:vAlign w:val="top"/>
                </w:tcPr>
                <w:p>
                  <w:pPr>
                    <w:pStyle w:val="6"/>
                    <w:spacing w:before="63" w:line="221" w:lineRule="auto"/>
                    <w:ind w:left="244"/>
                    <w:rPr>
                      <w:sz w:val="21"/>
                      <w:szCs w:val="21"/>
                    </w:rPr>
                  </w:pPr>
                  <w:r>
                    <w:rPr>
                      <w:spacing w:val="-4"/>
                      <w:sz w:val="21"/>
                      <w:szCs w:val="21"/>
                    </w:rPr>
                    <w:t>东北</w:t>
                  </w:r>
                </w:p>
              </w:tc>
              <w:tc>
                <w:tcPr>
                  <w:tcW w:w="1099" w:type="dxa"/>
                  <w:vAlign w:val="top"/>
                </w:tcPr>
                <w:p>
                  <w:pPr>
                    <w:spacing w:before="10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2815</w:t>
                  </w:r>
                </w:p>
              </w:tc>
              <w:tc>
                <w:tcPr>
                  <w:tcW w:w="1557" w:type="dxa"/>
                  <w:vAlign w:val="top"/>
                </w:tcPr>
                <w:p>
                  <w:pPr>
                    <w:pStyle w:val="6"/>
                    <w:spacing w:before="63" w:line="221" w:lineRule="auto"/>
                    <w:ind w:left="578"/>
                    <w:rPr>
                      <w:sz w:val="21"/>
                      <w:szCs w:val="21"/>
                    </w:rPr>
                  </w:pPr>
                  <w:r>
                    <w:rPr>
                      <w:spacing w:val="-3"/>
                      <w:sz w:val="21"/>
                      <w:szCs w:val="21"/>
                    </w:rPr>
                    <w:t>学校</w:t>
                  </w:r>
                </w:p>
              </w:tc>
              <w:tc>
                <w:tcPr>
                  <w:tcW w:w="1135" w:type="dxa"/>
                  <w:vAlign w:val="top"/>
                </w:tcPr>
                <w:p>
                  <w:pPr>
                    <w:pStyle w:val="6"/>
                    <w:spacing w:before="64" w:line="223" w:lineRule="auto"/>
                    <w:ind w:left="160"/>
                    <w:rPr>
                      <w:sz w:val="21"/>
                      <w:szCs w:val="21"/>
                    </w:rPr>
                  </w:pPr>
                  <w:r>
                    <w:rPr>
                      <w:spacing w:val="-9"/>
                      <w:sz w:val="21"/>
                      <w:szCs w:val="21"/>
                    </w:rPr>
                    <w:t>约</w:t>
                  </w:r>
                  <w:r>
                    <w:rPr>
                      <w:spacing w:val="-28"/>
                      <w:sz w:val="21"/>
                      <w:szCs w:val="21"/>
                    </w:rPr>
                    <w:t xml:space="preserve"> </w:t>
                  </w:r>
                  <w:r>
                    <w:rPr>
                      <w:rFonts w:ascii="Times New Roman" w:hAnsi="Times New Roman" w:eastAsia="Times New Roman" w:cs="Times New Roman"/>
                      <w:spacing w:val="-9"/>
                      <w:sz w:val="21"/>
                      <w:szCs w:val="21"/>
                    </w:rPr>
                    <w:t>110</w:t>
                  </w:r>
                  <w:r>
                    <w:rPr>
                      <w:rFonts w:ascii="Times New Roman" w:hAnsi="Times New Roman" w:eastAsia="Times New Roman" w:cs="Times New Roman"/>
                      <w:spacing w:val="10"/>
                      <w:sz w:val="21"/>
                      <w:szCs w:val="21"/>
                    </w:rPr>
                    <w:t xml:space="preserve"> </w:t>
                  </w:r>
                  <w:r>
                    <w:rPr>
                      <w:spacing w:val="-9"/>
                      <w:sz w:val="21"/>
                      <w:szCs w:val="21"/>
                    </w:rPr>
                    <w:t>人</w:t>
                  </w:r>
                </w:p>
              </w:tc>
              <w:tc>
                <w:tcPr>
                  <w:tcW w:w="983" w:type="dxa"/>
                  <w:vAlign w:val="top"/>
                </w:tcPr>
                <w:p>
                  <w:pPr>
                    <w:pStyle w:val="6"/>
                    <w:spacing w:before="63" w:line="220" w:lineRule="auto"/>
                    <w:ind w:left="181"/>
                    <w:rPr>
                      <w:sz w:val="21"/>
                      <w:szCs w:val="21"/>
                    </w:rPr>
                  </w:pPr>
                  <w:r>
                    <w:rPr>
                      <w:spacing w:val="-2"/>
                      <w:sz w:val="21"/>
                      <w:szCs w:val="21"/>
                    </w:rPr>
                    <w:t>板庙镇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03" w:type="dxa"/>
                  <w:tcBorders>
                    <w:bottom w:val="nil"/>
                  </w:tcBorders>
                  <w:vAlign w:val="top"/>
                </w:tcPr>
                <w:p>
                  <w:pPr>
                    <w:pStyle w:val="6"/>
                    <w:spacing w:before="29" w:line="222" w:lineRule="auto"/>
                    <w:ind w:left="146" w:right="139" w:hanging="2"/>
                    <w:rPr>
                      <w:sz w:val="21"/>
                      <w:szCs w:val="21"/>
                    </w:rPr>
                  </w:pPr>
                  <w:r>
                    <w:rPr>
                      <w:spacing w:val="-3"/>
                      <w:sz w:val="21"/>
                      <w:szCs w:val="21"/>
                    </w:rPr>
                    <w:t>地表</w:t>
                  </w:r>
                  <w:r>
                    <w:rPr>
                      <w:sz w:val="21"/>
                      <w:szCs w:val="21"/>
                    </w:rPr>
                    <w:t xml:space="preserve"> </w:t>
                  </w:r>
                  <w:r>
                    <w:rPr>
                      <w:spacing w:val="-5"/>
                      <w:sz w:val="21"/>
                      <w:szCs w:val="21"/>
                    </w:rPr>
                    <w:t>水环</w:t>
                  </w:r>
                </w:p>
              </w:tc>
              <w:tc>
                <w:tcPr>
                  <w:tcW w:w="2248" w:type="dxa"/>
                  <w:gridSpan w:val="2"/>
                  <w:tcBorders>
                    <w:bottom w:val="nil"/>
                  </w:tcBorders>
                  <w:vAlign w:val="top"/>
                </w:tcPr>
                <w:p>
                  <w:pPr>
                    <w:pStyle w:val="6"/>
                    <w:spacing w:before="164" w:line="221" w:lineRule="auto"/>
                    <w:ind w:left="501"/>
                    <w:rPr>
                      <w:sz w:val="21"/>
                      <w:szCs w:val="21"/>
                    </w:rPr>
                  </w:pPr>
                  <w:r>
                    <w:rPr>
                      <w:spacing w:val="-2"/>
                      <w:sz w:val="21"/>
                      <w:szCs w:val="21"/>
                    </w:rPr>
                    <w:t>受纳水体名称</w:t>
                  </w:r>
                </w:p>
              </w:tc>
              <w:tc>
                <w:tcPr>
                  <w:tcW w:w="885" w:type="dxa"/>
                  <w:tcBorders>
                    <w:bottom w:val="nil"/>
                  </w:tcBorders>
                  <w:vAlign w:val="top"/>
                </w:tcPr>
                <w:p>
                  <w:pPr>
                    <w:pStyle w:val="6"/>
                    <w:spacing w:before="164" w:line="222" w:lineRule="auto"/>
                    <w:ind w:left="238"/>
                    <w:rPr>
                      <w:sz w:val="21"/>
                      <w:szCs w:val="21"/>
                    </w:rPr>
                  </w:pPr>
                  <w:r>
                    <w:rPr>
                      <w:spacing w:val="-2"/>
                      <w:sz w:val="21"/>
                      <w:szCs w:val="21"/>
                    </w:rPr>
                    <w:t>方位</w:t>
                  </w:r>
                </w:p>
              </w:tc>
              <w:tc>
                <w:tcPr>
                  <w:tcW w:w="1099" w:type="dxa"/>
                  <w:tcBorders>
                    <w:bottom w:val="nil"/>
                  </w:tcBorders>
                  <w:vAlign w:val="top"/>
                </w:tcPr>
                <w:p>
                  <w:pPr>
                    <w:pStyle w:val="6"/>
                    <w:spacing w:before="29" w:line="222" w:lineRule="auto"/>
                    <w:ind w:left="126" w:right="118" w:firstLine="7"/>
                    <w:rPr>
                      <w:rFonts w:ascii="Times New Roman" w:hAnsi="Times New Roman" w:eastAsia="Times New Roman" w:cs="Times New Roman"/>
                      <w:sz w:val="21"/>
                      <w:szCs w:val="21"/>
                    </w:rPr>
                  </w:pPr>
                  <w:r>
                    <w:rPr>
                      <w:spacing w:val="-2"/>
                      <w:sz w:val="21"/>
                      <w:szCs w:val="21"/>
                    </w:rPr>
                    <w:t>距井口最</w:t>
                  </w:r>
                  <w:r>
                    <w:rPr>
                      <w:spacing w:val="2"/>
                      <w:sz w:val="21"/>
                      <w:szCs w:val="21"/>
                    </w:rPr>
                    <w:t xml:space="preserve"> </w:t>
                  </w:r>
                  <w:r>
                    <w:rPr>
                      <w:spacing w:val="-1"/>
                      <w:sz w:val="21"/>
                      <w:szCs w:val="21"/>
                    </w:rPr>
                    <w:t>近距离</w:t>
                  </w:r>
                  <w:r>
                    <w:rPr>
                      <w:rFonts w:ascii="Times New Roman" w:hAnsi="Times New Roman" w:eastAsia="Times New Roman" w:cs="Times New Roman"/>
                      <w:spacing w:val="-1"/>
                      <w:sz w:val="21"/>
                      <w:szCs w:val="21"/>
                    </w:rPr>
                    <w:t>/m</w:t>
                  </w:r>
                </w:p>
              </w:tc>
              <w:tc>
                <w:tcPr>
                  <w:tcW w:w="2692" w:type="dxa"/>
                  <w:gridSpan w:val="2"/>
                  <w:tcBorders>
                    <w:bottom w:val="nil"/>
                  </w:tcBorders>
                  <w:vAlign w:val="top"/>
                </w:tcPr>
                <w:p>
                  <w:pPr>
                    <w:pStyle w:val="6"/>
                    <w:spacing w:before="164" w:line="221" w:lineRule="auto"/>
                    <w:ind w:left="723"/>
                    <w:rPr>
                      <w:sz w:val="21"/>
                      <w:szCs w:val="21"/>
                    </w:rPr>
                  </w:pPr>
                  <w:r>
                    <w:rPr>
                      <w:spacing w:val="-2"/>
                      <w:sz w:val="21"/>
                      <w:szCs w:val="21"/>
                    </w:rPr>
                    <w:t>水域环境功能</w:t>
                  </w:r>
                </w:p>
              </w:tc>
              <w:tc>
                <w:tcPr>
                  <w:tcW w:w="983" w:type="dxa"/>
                  <w:tcBorders>
                    <w:bottom w:val="nil"/>
                  </w:tcBorders>
                  <w:vAlign w:val="top"/>
                </w:tcPr>
                <w:p>
                  <w:pPr>
                    <w:spacing w:before="199"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84" w:lineRule="auto"/>
              <w:rPr>
                <w:rFonts w:ascii="Arial"/>
                <w:sz w:val="2"/>
              </w:rPr>
            </w:pPr>
          </w:p>
        </w:tc>
      </w:tr>
    </w:tbl>
    <w:p>
      <w:pPr>
        <w:pStyle w:val="2"/>
        <w:rPr>
          <w:sz w:val="21"/>
        </w:rPr>
      </w:pPr>
    </w:p>
    <w:p>
      <w:pPr>
        <w:rPr>
          <w:sz w:val="21"/>
          <w:szCs w:val="21"/>
        </w:rPr>
        <w:sectPr>
          <w:footerReference r:id="rId84"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56"/>
        <w:gridCol w:w="87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91" w:hRule="atLeast"/>
        </w:trPr>
        <w:tc>
          <w:tcPr>
            <w:tcW w:w="521" w:type="dxa"/>
            <w:gridSpan w:val="2"/>
            <w:tcBorders>
              <w:bottom w:val="single" w:color="000000" w:sz="2" w:space="0"/>
              <w:right w:val="nil"/>
            </w:tcBorders>
            <w:vAlign w:val="top"/>
          </w:tcPr>
          <w:p>
            <w:pPr>
              <w:rPr>
                <w:rFonts w:ascii="Arial"/>
                <w:sz w:val="21"/>
              </w:rPr>
            </w:pPr>
            <w:r>
              <w:pict>
                <v:rect id="_x0000_s1283" o:spid="_x0000_s1283" o:spt="1" style="position:absolute;left:0pt;margin-left:22.7pt;margin-top:0.95pt;height:569.85pt;width:0.5pt;mso-position-horizontal-relative:page;mso-position-vertical-relative:page;z-index:251830272;mso-width-relative:page;mso-height-relative:page;" fillcolor="#000000" filled="t" stroked="f" coordsize="21600,21600">
                  <v:path/>
                  <v:fill on="t" focussize="0,0"/>
                  <v:stroke on="f"/>
                  <v:imagedata o:title=""/>
                  <o:lock v:ext="edit"/>
                </v:rect>
              </w:pict>
            </w:r>
          </w:p>
        </w:tc>
        <w:tc>
          <w:tcPr>
            <w:tcW w:w="8770" w:type="dxa"/>
            <w:tcBorders>
              <w:left w:val="nil"/>
              <w:bottom w:val="single" w:color="000000" w:sz="2" w:space="0"/>
            </w:tcBorders>
            <w:vAlign w:val="top"/>
          </w:tcPr>
          <w:p>
            <w:pPr>
              <w:spacing w:line="144" w:lineRule="auto"/>
              <w:rPr>
                <w:rFonts w:ascii="Arial"/>
                <w:sz w:val="2"/>
              </w:rPr>
            </w:pPr>
          </w:p>
          <w:tbl>
            <w:tblPr>
              <w:tblStyle w:val="5"/>
              <w:tblW w:w="8610"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2248"/>
              <w:gridCol w:w="885"/>
              <w:gridCol w:w="1099"/>
              <w:gridCol w:w="2692"/>
              <w:gridCol w:w="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restart"/>
                  <w:tcBorders>
                    <w:top w:val="nil"/>
                    <w:bottom w:val="nil"/>
                  </w:tcBorders>
                  <w:vAlign w:val="top"/>
                </w:tcPr>
                <w:p>
                  <w:pPr>
                    <w:pStyle w:val="6"/>
                    <w:spacing w:before="30" w:line="221" w:lineRule="auto"/>
                    <w:ind w:left="251"/>
                    <w:rPr>
                      <w:sz w:val="21"/>
                      <w:szCs w:val="21"/>
                    </w:rPr>
                  </w:pPr>
                  <w:r>
                    <w:rPr>
                      <w:sz w:val="21"/>
                      <w:szCs w:val="21"/>
                    </w:rPr>
                    <w:t>境</w:t>
                  </w:r>
                </w:p>
              </w:tc>
              <w:tc>
                <w:tcPr>
                  <w:tcW w:w="2248" w:type="dxa"/>
                  <w:tcBorders>
                    <w:top w:val="nil"/>
                  </w:tcBorders>
                  <w:vAlign w:val="top"/>
                </w:tcPr>
                <w:p>
                  <w:pPr>
                    <w:pStyle w:val="6"/>
                    <w:spacing w:before="62" w:line="221" w:lineRule="auto"/>
                    <w:ind w:left="709"/>
                    <w:rPr>
                      <w:sz w:val="21"/>
                      <w:szCs w:val="21"/>
                    </w:rPr>
                  </w:pPr>
                  <w:r>
                    <w:rPr>
                      <w:spacing w:val="-2"/>
                      <w:sz w:val="21"/>
                      <w:szCs w:val="21"/>
                    </w:rPr>
                    <w:t>江陵水库</w:t>
                  </w:r>
                </w:p>
              </w:tc>
              <w:tc>
                <w:tcPr>
                  <w:tcW w:w="885" w:type="dxa"/>
                  <w:tcBorders>
                    <w:top w:val="nil"/>
                  </w:tcBorders>
                  <w:vAlign w:val="top"/>
                </w:tcPr>
                <w:p>
                  <w:pPr>
                    <w:pStyle w:val="6"/>
                    <w:spacing w:before="62" w:line="221" w:lineRule="auto"/>
                    <w:ind w:left="244"/>
                    <w:rPr>
                      <w:sz w:val="21"/>
                      <w:szCs w:val="21"/>
                    </w:rPr>
                  </w:pPr>
                  <w:r>
                    <w:rPr>
                      <w:spacing w:val="-4"/>
                      <w:sz w:val="21"/>
                      <w:szCs w:val="21"/>
                    </w:rPr>
                    <w:t>东南</w:t>
                  </w:r>
                </w:p>
              </w:tc>
              <w:tc>
                <w:tcPr>
                  <w:tcW w:w="1099" w:type="dxa"/>
                  <w:tcBorders>
                    <w:top w:val="nil"/>
                  </w:tcBorders>
                  <w:vAlign w:val="top"/>
                </w:tcPr>
                <w:p>
                  <w:pPr>
                    <w:spacing w:before="101"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3555</w:t>
                  </w:r>
                </w:p>
              </w:tc>
              <w:tc>
                <w:tcPr>
                  <w:tcW w:w="2692" w:type="dxa"/>
                  <w:vMerge w:val="restart"/>
                  <w:tcBorders>
                    <w:top w:val="nil"/>
                    <w:bottom w:val="nil"/>
                  </w:tcBorders>
                  <w:vAlign w:val="top"/>
                </w:tcPr>
                <w:p>
                  <w:pPr>
                    <w:spacing w:line="380" w:lineRule="auto"/>
                    <w:rPr>
                      <w:rFonts w:ascii="Arial"/>
                      <w:sz w:val="21"/>
                    </w:rPr>
                  </w:pPr>
                </w:p>
                <w:p>
                  <w:pPr>
                    <w:pStyle w:val="6"/>
                    <w:spacing w:before="69" w:line="231" w:lineRule="auto"/>
                    <w:ind w:left="826" w:right="89" w:hanging="709"/>
                    <w:rPr>
                      <w:sz w:val="21"/>
                      <w:szCs w:val="21"/>
                    </w:rPr>
                  </w:pPr>
                  <w:r>
                    <w:rPr>
                      <w:spacing w:val="-4"/>
                      <w:sz w:val="21"/>
                      <w:szCs w:val="21"/>
                    </w:rPr>
                    <w:t>景观娱乐用水、渔业用水、</w:t>
                  </w:r>
                  <w:r>
                    <w:rPr>
                      <w:spacing w:val="6"/>
                      <w:sz w:val="21"/>
                      <w:szCs w:val="21"/>
                    </w:rPr>
                    <w:t xml:space="preserve"> </w:t>
                  </w:r>
                  <w:r>
                    <w:rPr>
                      <w:spacing w:val="-1"/>
                      <w:sz w:val="21"/>
                      <w:szCs w:val="21"/>
                    </w:rPr>
                    <w:t>农灌、泄洪</w:t>
                  </w:r>
                </w:p>
              </w:tc>
              <w:tc>
                <w:tcPr>
                  <w:tcW w:w="983" w:type="dxa"/>
                  <w:tcBorders>
                    <w:top w:val="nil"/>
                  </w:tcBorders>
                  <w:vAlign w:val="top"/>
                </w:tcPr>
                <w:p>
                  <w:pPr>
                    <w:spacing w:before="98"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63" w:line="221" w:lineRule="auto"/>
                    <w:ind w:left="604"/>
                    <w:rPr>
                      <w:sz w:val="21"/>
                      <w:szCs w:val="21"/>
                    </w:rPr>
                  </w:pPr>
                  <w:r>
                    <w:rPr>
                      <w:spacing w:val="-2"/>
                      <w:sz w:val="21"/>
                      <w:szCs w:val="21"/>
                    </w:rPr>
                    <w:t>杜家湾水库</w:t>
                  </w:r>
                </w:p>
              </w:tc>
              <w:tc>
                <w:tcPr>
                  <w:tcW w:w="885" w:type="dxa"/>
                  <w:vAlign w:val="top"/>
                </w:tcPr>
                <w:p>
                  <w:pPr>
                    <w:pStyle w:val="6"/>
                    <w:spacing w:before="64" w:line="224" w:lineRule="auto"/>
                    <w:ind w:left="346"/>
                    <w:rPr>
                      <w:sz w:val="21"/>
                      <w:szCs w:val="21"/>
                    </w:rPr>
                  </w:pPr>
                  <w:r>
                    <w:rPr>
                      <w:sz w:val="21"/>
                      <w:szCs w:val="21"/>
                    </w:rPr>
                    <w:t>北</w:t>
                  </w:r>
                </w:p>
              </w:tc>
              <w:tc>
                <w:tcPr>
                  <w:tcW w:w="1099" w:type="dxa"/>
                  <w:vAlign w:val="top"/>
                </w:tcPr>
                <w:p>
                  <w:pPr>
                    <w:spacing w:before="102"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4676</w:t>
                  </w:r>
                </w:p>
              </w:tc>
              <w:tc>
                <w:tcPr>
                  <w:tcW w:w="2692" w:type="dxa"/>
                  <w:vMerge w:val="continue"/>
                  <w:tcBorders>
                    <w:top w:val="nil"/>
                    <w:bottom w:val="nil"/>
                  </w:tcBorders>
                  <w:vAlign w:val="top"/>
                </w:tcPr>
                <w:p>
                  <w:pPr>
                    <w:rPr>
                      <w:rFonts w:ascii="Arial"/>
                      <w:sz w:val="21"/>
                    </w:rPr>
                  </w:pPr>
                </w:p>
              </w:tc>
              <w:tc>
                <w:tcPr>
                  <w:tcW w:w="983" w:type="dxa"/>
                  <w:vAlign w:val="top"/>
                </w:tcPr>
                <w:p>
                  <w:pPr>
                    <w:spacing w:before="99"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64" w:line="221" w:lineRule="auto"/>
                    <w:ind w:left="709"/>
                    <w:rPr>
                      <w:sz w:val="21"/>
                      <w:szCs w:val="21"/>
                    </w:rPr>
                  </w:pPr>
                  <w:r>
                    <w:rPr>
                      <w:spacing w:val="-2"/>
                      <w:sz w:val="21"/>
                      <w:szCs w:val="21"/>
                    </w:rPr>
                    <w:t>新农水库</w:t>
                  </w:r>
                </w:p>
              </w:tc>
              <w:tc>
                <w:tcPr>
                  <w:tcW w:w="885" w:type="dxa"/>
                  <w:vAlign w:val="top"/>
                </w:tcPr>
                <w:p>
                  <w:pPr>
                    <w:pStyle w:val="6"/>
                    <w:spacing w:before="64" w:line="223" w:lineRule="auto"/>
                    <w:ind w:left="345"/>
                    <w:rPr>
                      <w:sz w:val="21"/>
                      <w:szCs w:val="21"/>
                    </w:rPr>
                  </w:pPr>
                  <w:r>
                    <w:rPr>
                      <w:sz w:val="21"/>
                      <w:szCs w:val="21"/>
                    </w:rPr>
                    <w:t>南</w:t>
                  </w:r>
                </w:p>
              </w:tc>
              <w:tc>
                <w:tcPr>
                  <w:tcW w:w="1099" w:type="dxa"/>
                  <w:vAlign w:val="top"/>
                </w:tcPr>
                <w:p>
                  <w:pPr>
                    <w:spacing w:before="103"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1248</w:t>
                  </w:r>
                </w:p>
              </w:tc>
              <w:tc>
                <w:tcPr>
                  <w:tcW w:w="2692" w:type="dxa"/>
                  <w:vMerge w:val="continue"/>
                  <w:tcBorders>
                    <w:top w:val="nil"/>
                    <w:bottom w:val="nil"/>
                  </w:tcBorders>
                  <w:vAlign w:val="top"/>
                </w:tcPr>
                <w:p>
                  <w:pPr>
                    <w:rPr>
                      <w:rFonts w:ascii="Arial"/>
                      <w:sz w:val="21"/>
                    </w:rPr>
                  </w:pPr>
                </w:p>
              </w:tc>
              <w:tc>
                <w:tcPr>
                  <w:tcW w:w="983" w:type="dxa"/>
                  <w:vAlign w:val="top"/>
                </w:tcPr>
                <w:p>
                  <w:pPr>
                    <w:spacing w:before="99"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64" w:line="221" w:lineRule="auto"/>
                    <w:ind w:left="710"/>
                    <w:rPr>
                      <w:sz w:val="21"/>
                      <w:szCs w:val="21"/>
                    </w:rPr>
                  </w:pPr>
                  <w:r>
                    <w:rPr>
                      <w:spacing w:val="-2"/>
                      <w:sz w:val="21"/>
                      <w:szCs w:val="21"/>
                    </w:rPr>
                    <w:t>光明水库</w:t>
                  </w:r>
                </w:p>
              </w:tc>
              <w:tc>
                <w:tcPr>
                  <w:tcW w:w="885" w:type="dxa"/>
                  <w:vAlign w:val="top"/>
                </w:tcPr>
                <w:p>
                  <w:pPr>
                    <w:pStyle w:val="6"/>
                    <w:spacing w:before="64" w:line="221" w:lineRule="auto"/>
                    <w:ind w:left="244"/>
                    <w:rPr>
                      <w:sz w:val="21"/>
                      <w:szCs w:val="21"/>
                    </w:rPr>
                  </w:pPr>
                  <w:r>
                    <w:rPr>
                      <w:spacing w:val="-4"/>
                      <w:sz w:val="21"/>
                      <w:szCs w:val="21"/>
                    </w:rPr>
                    <w:t>东南</w:t>
                  </w:r>
                </w:p>
              </w:tc>
              <w:tc>
                <w:tcPr>
                  <w:tcW w:w="1099" w:type="dxa"/>
                  <w:vAlign w:val="top"/>
                </w:tcPr>
                <w:p>
                  <w:pPr>
                    <w:spacing w:before="103"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2176</w:t>
                  </w:r>
                </w:p>
              </w:tc>
              <w:tc>
                <w:tcPr>
                  <w:tcW w:w="2692" w:type="dxa"/>
                  <w:vMerge w:val="continue"/>
                  <w:tcBorders>
                    <w:top w:val="nil"/>
                  </w:tcBorders>
                  <w:vAlign w:val="top"/>
                </w:tcPr>
                <w:p>
                  <w:pPr>
                    <w:rPr>
                      <w:rFonts w:ascii="Arial"/>
                      <w:sz w:val="21"/>
                    </w:rPr>
                  </w:pPr>
                </w:p>
              </w:tc>
              <w:tc>
                <w:tcPr>
                  <w:tcW w:w="983" w:type="dxa"/>
                  <w:vAlign w:val="top"/>
                </w:tcPr>
                <w:p>
                  <w:pPr>
                    <w:spacing w:before="99" w:line="232"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67" w:line="221" w:lineRule="auto"/>
                    <w:ind w:left="813"/>
                    <w:rPr>
                      <w:sz w:val="21"/>
                      <w:szCs w:val="21"/>
                    </w:rPr>
                  </w:pPr>
                  <w:r>
                    <w:rPr>
                      <w:spacing w:val="-2"/>
                      <w:sz w:val="21"/>
                      <w:szCs w:val="21"/>
                    </w:rPr>
                    <w:t>洞滩河</w:t>
                  </w:r>
                </w:p>
              </w:tc>
              <w:tc>
                <w:tcPr>
                  <w:tcW w:w="885" w:type="dxa"/>
                  <w:vAlign w:val="top"/>
                </w:tcPr>
                <w:p>
                  <w:pPr>
                    <w:pStyle w:val="6"/>
                    <w:spacing w:before="66" w:line="221" w:lineRule="auto"/>
                    <w:ind w:left="350"/>
                    <w:rPr>
                      <w:sz w:val="21"/>
                      <w:szCs w:val="21"/>
                    </w:rPr>
                  </w:pPr>
                  <w:r>
                    <w:rPr>
                      <w:sz w:val="21"/>
                      <w:szCs w:val="21"/>
                    </w:rPr>
                    <w:t>东</w:t>
                  </w:r>
                </w:p>
              </w:tc>
              <w:tc>
                <w:tcPr>
                  <w:tcW w:w="1099" w:type="dxa"/>
                  <w:vAlign w:val="top"/>
                </w:tcPr>
                <w:p>
                  <w:pPr>
                    <w:spacing w:before="105"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1283</w:t>
                  </w:r>
                </w:p>
              </w:tc>
              <w:tc>
                <w:tcPr>
                  <w:tcW w:w="2692" w:type="dxa"/>
                  <w:vAlign w:val="top"/>
                </w:tcPr>
                <w:p>
                  <w:pPr>
                    <w:pStyle w:val="6"/>
                    <w:spacing w:before="66" w:line="221" w:lineRule="auto"/>
                    <w:ind w:left="934"/>
                    <w:rPr>
                      <w:sz w:val="21"/>
                      <w:szCs w:val="21"/>
                    </w:rPr>
                  </w:pPr>
                  <w:r>
                    <w:rPr>
                      <w:rFonts w:ascii="Times New Roman" w:hAnsi="Times New Roman" w:eastAsia="Times New Roman" w:cs="Times New Roman"/>
                      <w:spacing w:val="-1"/>
                      <w:sz w:val="21"/>
                      <w:szCs w:val="21"/>
                    </w:rPr>
                    <w:t>Ⅲ</w:t>
                  </w:r>
                  <w:r>
                    <w:rPr>
                      <w:spacing w:val="-1"/>
                      <w:sz w:val="21"/>
                      <w:szCs w:val="21"/>
                    </w:rPr>
                    <w:t>类水域</w:t>
                  </w:r>
                </w:p>
              </w:tc>
              <w:tc>
                <w:tcPr>
                  <w:tcW w:w="983" w:type="dxa"/>
                  <w:vAlign w:val="top"/>
                </w:tcPr>
                <w:p>
                  <w:pPr>
                    <w:spacing w:before="102" w:line="231"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67" w:line="223" w:lineRule="auto"/>
                    <w:ind w:left="940"/>
                    <w:rPr>
                      <w:sz w:val="21"/>
                      <w:szCs w:val="21"/>
                    </w:rPr>
                  </w:pPr>
                  <w:r>
                    <w:rPr>
                      <w:spacing w:val="-8"/>
                      <w:sz w:val="21"/>
                      <w:szCs w:val="21"/>
                    </w:rPr>
                    <w:t>巴河</w:t>
                  </w:r>
                </w:p>
              </w:tc>
              <w:tc>
                <w:tcPr>
                  <w:tcW w:w="885" w:type="dxa"/>
                  <w:vAlign w:val="top"/>
                </w:tcPr>
                <w:p>
                  <w:pPr>
                    <w:pStyle w:val="6"/>
                    <w:spacing w:before="67" w:line="223" w:lineRule="auto"/>
                    <w:ind w:left="345"/>
                    <w:rPr>
                      <w:sz w:val="21"/>
                      <w:szCs w:val="21"/>
                    </w:rPr>
                  </w:pPr>
                  <w:r>
                    <w:rPr>
                      <w:sz w:val="21"/>
                      <w:szCs w:val="21"/>
                    </w:rPr>
                    <w:t>南</w:t>
                  </w:r>
                </w:p>
              </w:tc>
              <w:tc>
                <w:tcPr>
                  <w:tcW w:w="1099" w:type="dxa"/>
                  <w:vAlign w:val="top"/>
                </w:tcPr>
                <w:p>
                  <w:pPr>
                    <w:spacing w:before="106"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3248</w:t>
                  </w:r>
                </w:p>
              </w:tc>
              <w:tc>
                <w:tcPr>
                  <w:tcW w:w="2692" w:type="dxa"/>
                  <w:vAlign w:val="top"/>
                </w:tcPr>
                <w:p>
                  <w:pPr>
                    <w:pStyle w:val="6"/>
                    <w:spacing w:before="67" w:line="221" w:lineRule="auto"/>
                    <w:ind w:left="934"/>
                    <w:rPr>
                      <w:sz w:val="21"/>
                      <w:szCs w:val="21"/>
                    </w:rPr>
                  </w:pPr>
                  <w:r>
                    <w:rPr>
                      <w:rFonts w:ascii="Times New Roman" w:hAnsi="Times New Roman" w:eastAsia="Times New Roman" w:cs="Times New Roman"/>
                      <w:spacing w:val="-1"/>
                      <w:sz w:val="21"/>
                      <w:szCs w:val="21"/>
                    </w:rPr>
                    <w:t>Ⅲ</w:t>
                  </w:r>
                  <w:r>
                    <w:rPr>
                      <w:spacing w:val="-1"/>
                      <w:sz w:val="21"/>
                      <w:szCs w:val="21"/>
                    </w:rPr>
                    <w:t>类水域</w:t>
                  </w:r>
                </w:p>
              </w:tc>
              <w:tc>
                <w:tcPr>
                  <w:tcW w:w="983" w:type="dxa"/>
                  <w:vAlign w:val="top"/>
                </w:tcPr>
                <w:p>
                  <w:pPr>
                    <w:spacing w:before="102" w:line="231"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66" w:line="221" w:lineRule="auto"/>
                    <w:ind w:left="813"/>
                    <w:rPr>
                      <w:sz w:val="21"/>
                      <w:szCs w:val="21"/>
                    </w:rPr>
                  </w:pPr>
                  <w:r>
                    <w:rPr>
                      <w:spacing w:val="-2"/>
                      <w:sz w:val="21"/>
                      <w:szCs w:val="21"/>
                    </w:rPr>
                    <w:t>长滩河</w:t>
                  </w:r>
                </w:p>
              </w:tc>
              <w:tc>
                <w:tcPr>
                  <w:tcW w:w="885" w:type="dxa"/>
                  <w:vAlign w:val="top"/>
                </w:tcPr>
                <w:p>
                  <w:pPr>
                    <w:pStyle w:val="6"/>
                    <w:spacing w:before="65" w:line="223" w:lineRule="auto"/>
                    <w:ind w:left="242"/>
                    <w:rPr>
                      <w:sz w:val="21"/>
                      <w:szCs w:val="21"/>
                    </w:rPr>
                  </w:pPr>
                  <w:r>
                    <w:rPr>
                      <w:spacing w:val="-3"/>
                      <w:sz w:val="21"/>
                      <w:szCs w:val="21"/>
                    </w:rPr>
                    <w:t>西南</w:t>
                  </w:r>
                </w:p>
              </w:tc>
              <w:tc>
                <w:tcPr>
                  <w:tcW w:w="1099" w:type="dxa"/>
                  <w:vAlign w:val="top"/>
                </w:tcPr>
                <w:p>
                  <w:pPr>
                    <w:spacing w:before="104"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4160</w:t>
                  </w:r>
                </w:p>
              </w:tc>
              <w:tc>
                <w:tcPr>
                  <w:tcW w:w="2692" w:type="dxa"/>
                  <w:vAlign w:val="top"/>
                </w:tcPr>
                <w:p>
                  <w:pPr>
                    <w:pStyle w:val="6"/>
                    <w:spacing w:before="65" w:line="221" w:lineRule="auto"/>
                    <w:ind w:left="934"/>
                    <w:rPr>
                      <w:sz w:val="21"/>
                      <w:szCs w:val="21"/>
                    </w:rPr>
                  </w:pPr>
                  <w:r>
                    <w:rPr>
                      <w:rFonts w:ascii="Times New Roman" w:hAnsi="Times New Roman" w:eastAsia="Times New Roman" w:cs="Times New Roman"/>
                      <w:spacing w:val="-1"/>
                      <w:sz w:val="21"/>
                      <w:szCs w:val="21"/>
                    </w:rPr>
                    <w:t>Ⅲ</w:t>
                  </w:r>
                  <w:r>
                    <w:rPr>
                      <w:spacing w:val="-1"/>
                      <w:sz w:val="21"/>
                      <w:szCs w:val="21"/>
                    </w:rPr>
                    <w:t>类水域</w:t>
                  </w:r>
                </w:p>
              </w:tc>
              <w:tc>
                <w:tcPr>
                  <w:tcW w:w="983" w:type="dxa"/>
                  <w:vAlign w:val="top"/>
                </w:tcPr>
                <w:p>
                  <w:pPr>
                    <w:spacing w:before="100"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3" w:type="dxa"/>
                  <w:vMerge w:val="continue"/>
                  <w:tcBorders>
                    <w:top w:val="nil"/>
                    <w:bottom w:val="nil"/>
                  </w:tcBorders>
                  <w:vAlign w:val="top"/>
                </w:tcPr>
                <w:p>
                  <w:pPr>
                    <w:rPr>
                      <w:rFonts w:ascii="Arial"/>
                      <w:sz w:val="21"/>
                    </w:rPr>
                  </w:pPr>
                </w:p>
              </w:tc>
              <w:tc>
                <w:tcPr>
                  <w:tcW w:w="2248" w:type="dxa"/>
                  <w:vAlign w:val="top"/>
                </w:tcPr>
                <w:p>
                  <w:pPr>
                    <w:pStyle w:val="6"/>
                    <w:spacing w:before="169" w:line="221" w:lineRule="auto"/>
                    <w:ind w:left="812"/>
                    <w:rPr>
                      <w:sz w:val="21"/>
                      <w:szCs w:val="21"/>
                    </w:rPr>
                  </w:pPr>
                  <w:r>
                    <w:rPr>
                      <w:spacing w:val="-2"/>
                      <w:sz w:val="21"/>
                      <w:szCs w:val="21"/>
                    </w:rPr>
                    <w:t>黎家河</w:t>
                  </w:r>
                </w:p>
              </w:tc>
              <w:tc>
                <w:tcPr>
                  <w:tcW w:w="885" w:type="dxa"/>
                  <w:vAlign w:val="top"/>
                </w:tcPr>
                <w:p>
                  <w:pPr>
                    <w:pStyle w:val="6"/>
                    <w:spacing w:before="168" w:line="221" w:lineRule="auto"/>
                    <w:ind w:left="244"/>
                    <w:rPr>
                      <w:sz w:val="21"/>
                      <w:szCs w:val="21"/>
                    </w:rPr>
                  </w:pPr>
                  <w:r>
                    <w:rPr>
                      <w:spacing w:val="-4"/>
                      <w:sz w:val="21"/>
                      <w:szCs w:val="21"/>
                    </w:rPr>
                    <w:t>东北</w:t>
                  </w:r>
                </w:p>
              </w:tc>
              <w:tc>
                <w:tcPr>
                  <w:tcW w:w="1099" w:type="dxa"/>
                  <w:vAlign w:val="top"/>
                </w:tcPr>
                <w:p>
                  <w:pPr>
                    <w:spacing w:before="207"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1485</w:t>
                  </w:r>
                </w:p>
              </w:tc>
              <w:tc>
                <w:tcPr>
                  <w:tcW w:w="2692" w:type="dxa"/>
                  <w:vAlign w:val="top"/>
                </w:tcPr>
                <w:p>
                  <w:pPr>
                    <w:pStyle w:val="6"/>
                    <w:spacing w:before="31" w:line="223" w:lineRule="auto"/>
                    <w:ind w:left="1141" w:right="101" w:hanging="1024"/>
                    <w:rPr>
                      <w:sz w:val="21"/>
                      <w:szCs w:val="21"/>
                    </w:rPr>
                  </w:pPr>
                  <w:r>
                    <w:rPr>
                      <w:spacing w:val="-5"/>
                      <w:sz w:val="21"/>
                      <w:szCs w:val="21"/>
                    </w:rPr>
                    <w:t>未划分水域功能，为洞滩河</w:t>
                  </w:r>
                  <w:r>
                    <w:rPr>
                      <w:spacing w:val="6"/>
                      <w:sz w:val="21"/>
                      <w:szCs w:val="21"/>
                    </w:rPr>
                    <w:t xml:space="preserve"> </w:t>
                  </w:r>
                  <w:r>
                    <w:rPr>
                      <w:spacing w:val="-2"/>
                      <w:sz w:val="21"/>
                      <w:szCs w:val="21"/>
                    </w:rPr>
                    <w:t>支流</w:t>
                  </w:r>
                </w:p>
              </w:tc>
              <w:tc>
                <w:tcPr>
                  <w:tcW w:w="983" w:type="dxa"/>
                  <w:vAlign w:val="top"/>
                </w:tcPr>
                <w:p>
                  <w:pPr>
                    <w:spacing w:before="204"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3" w:type="dxa"/>
                  <w:vMerge w:val="continue"/>
                  <w:tcBorders>
                    <w:top w:val="nil"/>
                  </w:tcBorders>
                  <w:vAlign w:val="top"/>
                </w:tcPr>
                <w:p>
                  <w:pPr>
                    <w:rPr>
                      <w:rFonts w:ascii="Arial"/>
                      <w:sz w:val="21"/>
                    </w:rPr>
                  </w:pPr>
                </w:p>
              </w:tc>
              <w:tc>
                <w:tcPr>
                  <w:tcW w:w="2248" w:type="dxa"/>
                  <w:vAlign w:val="top"/>
                </w:tcPr>
                <w:p>
                  <w:pPr>
                    <w:pStyle w:val="6"/>
                    <w:spacing w:before="169" w:line="221" w:lineRule="auto"/>
                    <w:ind w:left="811"/>
                    <w:rPr>
                      <w:sz w:val="21"/>
                      <w:szCs w:val="21"/>
                    </w:rPr>
                  </w:pPr>
                  <w:r>
                    <w:rPr>
                      <w:spacing w:val="-1"/>
                      <w:sz w:val="21"/>
                      <w:szCs w:val="21"/>
                    </w:rPr>
                    <w:t>黄梅溪</w:t>
                  </w:r>
                </w:p>
              </w:tc>
              <w:tc>
                <w:tcPr>
                  <w:tcW w:w="885" w:type="dxa"/>
                  <w:vAlign w:val="top"/>
                </w:tcPr>
                <w:p>
                  <w:pPr>
                    <w:pStyle w:val="6"/>
                    <w:spacing w:before="169" w:line="224" w:lineRule="auto"/>
                    <w:ind w:left="348"/>
                    <w:rPr>
                      <w:sz w:val="21"/>
                      <w:szCs w:val="21"/>
                    </w:rPr>
                  </w:pPr>
                  <w:r>
                    <w:rPr>
                      <w:sz w:val="21"/>
                      <w:szCs w:val="21"/>
                    </w:rPr>
                    <w:t>西</w:t>
                  </w:r>
                </w:p>
              </w:tc>
              <w:tc>
                <w:tcPr>
                  <w:tcW w:w="1099" w:type="dxa"/>
                  <w:vAlign w:val="top"/>
                </w:tcPr>
                <w:p>
                  <w:pPr>
                    <w:spacing w:before="208"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1387</w:t>
                  </w:r>
                </w:p>
              </w:tc>
              <w:tc>
                <w:tcPr>
                  <w:tcW w:w="2692" w:type="dxa"/>
                  <w:vAlign w:val="top"/>
                </w:tcPr>
                <w:p>
                  <w:pPr>
                    <w:pStyle w:val="6"/>
                    <w:spacing w:before="33" w:line="222" w:lineRule="auto"/>
                    <w:ind w:left="1247" w:right="101" w:hanging="1130"/>
                    <w:rPr>
                      <w:sz w:val="21"/>
                      <w:szCs w:val="21"/>
                    </w:rPr>
                  </w:pPr>
                  <w:r>
                    <w:rPr>
                      <w:spacing w:val="-5"/>
                      <w:sz w:val="21"/>
                      <w:szCs w:val="21"/>
                    </w:rPr>
                    <w:t>未划分水域功能，为巴河支</w:t>
                  </w:r>
                  <w:r>
                    <w:rPr>
                      <w:spacing w:val="6"/>
                      <w:sz w:val="21"/>
                      <w:szCs w:val="21"/>
                    </w:rPr>
                    <w:t xml:space="preserve"> </w:t>
                  </w:r>
                  <w:r>
                    <w:rPr>
                      <w:sz w:val="21"/>
                      <w:szCs w:val="21"/>
                    </w:rPr>
                    <w:t>流</w:t>
                  </w:r>
                </w:p>
              </w:tc>
              <w:tc>
                <w:tcPr>
                  <w:tcW w:w="983" w:type="dxa"/>
                  <w:vAlign w:val="top"/>
                </w:tcPr>
                <w:p>
                  <w:pPr>
                    <w:spacing w:before="204"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3" w:type="dxa"/>
                  <w:vMerge w:val="restart"/>
                  <w:tcBorders>
                    <w:bottom w:val="nil"/>
                  </w:tcBorders>
                  <w:vAlign w:val="top"/>
                </w:tcPr>
                <w:p>
                  <w:pPr>
                    <w:pStyle w:val="6"/>
                    <w:spacing w:before="74" w:line="222" w:lineRule="auto"/>
                    <w:ind w:left="144"/>
                    <w:rPr>
                      <w:sz w:val="21"/>
                      <w:szCs w:val="21"/>
                    </w:rPr>
                  </w:pPr>
                  <w:r>
                    <w:rPr>
                      <w:spacing w:val="-2"/>
                      <w:sz w:val="21"/>
                      <w:szCs w:val="21"/>
                    </w:rPr>
                    <w:t>地下</w:t>
                  </w:r>
                </w:p>
                <w:p>
                  <w:pPr>
                    <w:pStyle w:val="6"/>
                    <w:spacing w:before="18" w:line="221" w:lineRule="auto"/>
                    <w:ind w:left="147"/>
                    <w:rPr>
                      <w:sz w:val="21"/>
                      <w:szCs w:val="21"/>
                    </w:rPr>
                  </w:pPr>
                  <w:r>
                    <w:rPr>
                      <w:spacing w:val="-3"/>
                      <w:sz w:val="21"/>
                      <w:szCs w:val="21"/>
                    </w:rPr>
                    <w:t>水环</w:t>
                  </w:r>
                </w:p>
                <w:p>
                  <w:pPr>
                    <w:pStyle w:val="6"/>
                    <w:spacing w:before="23" w:line="221" w:lineRule="auto"/>
                    <w:ind w:left="251"/>
                    <w:rPr>
                      <w:sz w:val="21"/>
                      <w:szCs w:val="21"/>
                    </w:rPr>
                  </w:pPr>
                  <w:r>
                    <w:rPr>
                      <w:sz w:val="21"/>
                      <w:szCs w:val="21"/>
                    </w:rPr>
                    <w:t>境</w:t>
                  </w:r>
                </w:p>
              </w:tc>
              <w:tc>
                <w:tcPr>
                  <w:tcW w:w="3133" w:type="dxa"/>
                  <w:gridSpan w:val="2"/>
                  <w:vAlign w:val="top"/>
                </w:tcPr>
                <w:p>
                  <w:pPr>
                    <w:pStyle w:val="6"/>
                    <w:spacing w:before="68" w:line="221" w:lineRule="auto"/>
                    <w:ind w:left="833"/>
                    <w:rPr>
                      <w:sz w:val="21"/>
                      <w:szCs w:val="21"/>
                    </w:rPr>
                  </w:pPr>
                  <w:r>
                    <w:rPr>
                      <w:spacing w:val="-1"/>
                      <w:sz w:val="21"/>
                      <w:szCs w:val="21"/>
                    </w:rPr>
                    <w:t>环境敏感区名称</w:t>
                  </w:r>
                </w:p>
              </w:tc>
              <w:tc>
                <w:tcPr>
                  <w:tcW w:w="3791" w:type="dxa"/>
                  <w:gridSpan w:val="2"/>
                  <w:vAlign w:val="top"/>
                </w:tcPr>
                <w:p>
                  <w:pPr>
                    <w:pStyle w:val="6"/>
                    <w:spacing w:before="68" w:line="221" w:lineRule="auto"/>
                    <w:ind w:left="1270"/>
                    <w:rPr>
                      <w:sz w:val="21"/>
                      <w:szCs w:val="21"/>
                    </w:rPr>
                  </w:pPr>
                  <w:r>
                    <w:rPr>
                      <w:spacing w:val="-1"/>
                      <w:sz w:val="21"/>
                      <w:szCs w:val="21"/>
                    </w:rPr>
                    <w:t>环境敏感特征</w:t>
                  </w:r>
                </w:p>
              </w:tc>
              <w:tc>
                <w:tcPr>
                  <w:tcW w:w="983" w:type="dxa"/>
                  <w:vAlign w:val="top"/>
                </w:tcPr>
                <w:p>
                  <w:pPr>
                    <w:spacing w:before="104" w:line="229"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03" w:type="dxa"/>
                  <w:vMerge w:val="continue"/>
                  <w:tcBorders>
                    <w:top w:val="nil"/>
                  </w:tcBorders>
                  <w:vAlign w:val="top"/>
                </w:tcPr>
                <w:p>
                  <w:pPr>
                    <w:rPr>
                      <w:rFonts w:ascii="Arial"/>
                      <w:sz w:val="21"/>
                    </w:rPr>
                  </w:pPr>
                </w:p>
              </w:tc>
              <w:tc>
                <w:tcPr>
                  <w:tcW w:w="3133" w:type="dxa"/>
                  <w:gridSpan w:val="2"/>
                  <w:vAlign w:val="top"/>
                </w:tcPr>
                <w:p>
                  <w:pPr>
                    <w:pStyle w:val="6"/>
                    <w:spacing w:before="170" w:line="221" w:lineRule="auto"/>
                    <w:ind w:left="113"/>
                    <w:rPr>
                      <w:sz w:val="21"/>
                      <w:szCs w:val="21"/>
                    </w:rPr>
                  </w:pPr>
                  <w:r>
                    <w:rPr>
                      <w:spacing w:val="-2"/>
                      <w:sz w:val="21"/>
                      <w:szCs w:val="21"/>
                    </w:rPr>
                    <w:t>居民分散式饮用水源（井、泉）</w:t>
                  </w:r>
                </w:p>
              </w:tc>
              <w:tc>
                <w:tcPr>
                  <w:tcW w:w="3791" w:type="dxa"/>
                  <w:gridSpan w:val="2"/>
                  <w:vAlign w:val="top"/>
                </w:tcPr>
                <w:p>
                  <w:pPr>
                    <w:pStyle w:val="6"/>
                    <w:spacing w:before="34" w:line="224" w:lineRule="auto"/>
                    <w:ind w:left="1376" w:right="104" w:hanging="1261"/>
                    <w:rPr>
                      <w:sz w:val="21"/>
                      <w:szCs w:val="21"/>
                    </w:rPr>
                  </w:pPr>
                  <w:r>
                    <w:rPr>
                      <w:spacing w:val="-1"/>
                      <w:sz w:val="21"/>
                      <w:szCs w:val="21"/>
                    </w:rPr>
                    <w:t>地下水类型均为侏罗系上统蓬莱镇组风</w:t>
                  </w:r>
                  <w:r>
                    <w:rPr>
                      <w:spacing w:val="11"/>
                      <w:sz w:val="21"/>
                      <w:szCs w:val="21"/>
                    </w:rPr>
                    <w:t xml:space="preserve"> </w:t>
                  </w:r>
                  <w:r>
                    <w:rPr>
                      <w:spacing w:val="-2"/>
                      <w:sz w:val="21"/>
                      <w:szCs w:val="21"/>
                    </w:rPr>
                    <w:t>化带裂隙水</w:t>
                  </w:r>
                </w:p>
              </w:tc>
              <w:tc>
                <w:tcPr>
                  <w:tcW w:w="983" w:type="dxa"/>
                  <w:vAlign w:val="top"/>
                </w:tcPr>
                <w:p>
                  <w:pPr>
                    <w:spacing w:before="206" w:line="233"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177" w:line="219" w:lineRule="auto"/>
              <w:ind w:left="533"/>
              <w:rPr>
                <w:sz w:val="24"/>
                <w:szCs w:val="24"/>
              </w:rPr>
            </w:pPr>
            <w:r>
              <w:rPr>
                <w:rFonts w:ascii="Times New Roman" w:hAnsi="Times New Roman" w:eastAsia="Times New Roman" w:cs="Times New Roman"/>
                <w:b/>
                <w:bCs/>
                <w:sz w:val="24"/>
                <w:szCs w:val="24"/>
              </w:rPr>
              <w:t>2</w:t>
            </w:r>
            <w:r>
              <w:rPr>
                <w:sz w:val="24"/>
                <w:szCs w:val="24"/>
                <w14:textOutline w14:w="4354" w14:cap="flat" w14:cmpd="sng">
                  <w14:solidFill>
                    <w14:srgbClr w14:val="000000"/>
                  </w14:solidFill>
                  <w14:prstDash w14:val="solid"/>
                  <w14:miter w14:val="10"/>
                </w14:textOutline>
              </w:rPr>
              <w:t>、新建进场道路周边生态保护目标分布情况</w:t>
            </w:r>
          </w:p>
          <w:p>
            <w:pPr>
              <w:pStyle w:val="6"/>
              <w:spacing w:before="196" w:line="369" w:lineRule="auto"/>
              <w:ind w:left="57" w:right="103" w:firstLine="480"/>
              <w:jc w:val="both"/>
              <w:rPr>
                <w:sz w:val="24"/>
                <w:szCs w:val="24"/>
              </w:rPr>
            </w:pPr>
            <w:r>
              <w:rPr>
                <w:spacing w:val="-6"/>
                <w:sz w:val="24"/>
                <w:szCs w:val="24"/>
              </w:rPr>
              <w:t>项目新建进场道路位于项目临时征地范围内，</w:t>
            </w:r>
            <w:r>
              <w:rPr>
                <w:spacing w:val="48"/>
                <w:sz w:val="24"/>
                <w:szCs w:val="24"/>
              </w:rPr>
              <w:t xml:space="preserve"> </w:t>
            </w:r>
            <w:r>
              <w:rPr>
                <w:spacing w:val="-6"/>
                <w:sz w:val="24"/>
                <w:szCs w:val="24"/>
              </w:rPr>
              <w:t>道路施工主要产</w:t>
            </w:r>
            <w:r>
              <w:rPr>
                <w:spacing w:val="-7"/>
                <w:sz w:val="24"/>
                <w:szCs w:val="24"/>
              </w:rPr>
              <w:t>生施工粉尘、施</w:t>
            </w:r>
            <w:r>
              <w:rPr>
                <w:sz w:val="24"/>
                <w:szCs w:val="24"/>
              </w:rPr>
              <w:t xml:space="preserve"> </w:t>
            </w:r>
            <w:r>
              <w:rPr>
                <w:spacing w:val="-1"/>
                <w:sz w:val="24"/>
                <w:szCs w:val="24"/>
              </w:rPr>
              <w:t>工噪声；容易对道路两侧</w:t>
            </w:r>
            <w:r>
              <w:rPr>
                <w:spacing w:val="-37"/>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27"/>
                <w:w w:val="101"/>
                <w:sz w:val="24"/>
                <w:szCs w:val="24"/>
              </w:rPr>
              <w:t xml:space="preserve"> </w:t>
            </w:r>
            <w:r>
              <w:rPr>
                <w:spacing w:val="-1"/>
                <w:sz w:val="24"/>
                <w:szCs w:val="24"/>
              </w:rPr>
              <w:t>范围内居民产生影响。根据现场调查，新建进场道</w:t>
            </w:r>
          </w:p>
          <w:p>
            <w:pPr>
              <w:pStyle w:val="6"/>
              <w:spacing w:before="1" w:line="218" w:lineRule="auto"/>
              <w:ind w:left="56"/>
              <w:rPr>
                <w:sz w:val="24"/>
                <w:szCs w:val="24"/>
              </w:rPr>
            </w:pPr>
            <w:r>
              <w:rPr>
                <w:spacing w:val="-4"/>
                <w:sz w:val="24"/>
                <w:szCs w:val="24"/>
              </w:rPr>
              <w:t>路周边生态保护目标分布情况如下：</w:t>
            </w:r>
          </w:p>
          <w:p>
            <w:pPr>
              <w:pStyle w:val="6"/>
              <w:spacing w:before="194" w:line="220" w:lineRule="auto"/>
              <w:ind w:left="668"/>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3.4-8  </w:t>
            </w:r>
            <w:r>
              <w:rPr>
                <w:sz w:val="24"/>
                <w:szCs w:val="24"/>
                <w14:textOutline w14:w="4354" w14:cap="flat" w14:cmpd="sng">
                  <w14:solidFill>
                    <w14:srgbClr w14:val="000000"/>
                  </w14:solidFill>
                  <w14:prstDash w14:val="solid"/>
                  <w14:miter w14:val="10"/>
                </w14:textOutline>
              </w:rPr>
              <w:t>新建道路两侧</w:t>
            </w:r>
            <w:r>
              <w:rPr>
                <w:spacing w:val="-53"/>
                <w:sz w:val="24"/>
                <w:szCs w:val="24"/>
              </w:rPr>
              <w:t xml:space="preserve"> </w:t>
            </w:r>
            <w:r>
              <w:rPr>
                <w:rFonts w:ascii="Times New Roman" w:hAnsi="Times New Roman" w:eastAsia="Times New Roman" w:cs="Times New Roman"/>
                <w:b/>
                <w:bCs/>
                <w:sz w:val="24"/>
                <w:szCs w:val="24"/>
              </w:rPr>
              <w:t xml:space="preserve">200m </w:t>
            </w:r>
            <w:r>
              <w:rPr>
                <w:sz w:val="24"/>
                <w:szCs w:val="24"/>
                <w14:textOutline w14:w="4354" w14:cap="flat" w14:cmpd="sng">
                  <w14:solidFill>
                    <w14:srgbClr w14:val="000000"/>
                  </w14:solidFill>
                  <w14:prstDash w14:val="solid"/>
                  <w14:miter w14:val="10"/>
                </w14:textOutline>
              </w:rPr>
              <w:t>大气、声环境及环境风险保护目标一览表</w:t>
            </w:r>
          </w:p>
          <w:p>
            <w:pPr>
              <w:spacing w:line="16" w:lineRule="exact"/>
            </w:pPr>
          </w:p>
          <w:tbl>
            <w:tblPr>
              <w:tblStyle w:val="5"/>
              <w:tblW w:w="8610"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1437"/>
              <w:gridCol w:w="1430"/>
              <w:gridCol w:w="1108"/>
              <w:gridCol w:w="1756"/>
              <w:gridCol w:w="15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307" w:type="dxa"/>
                  <w:vAlign w:val="top"/>
                </w:tcPr>
                <w:p>
                  <w:pPr>
                    <w:pStyle w:val="6"/>
                    <w:spacing w:before="36" w:line="222" w:lineRule="auto"/>
                    <w:ind w:left="552" w:right="123" w:hanging="420"/>
                    <w:rPr>
                      <w:sz w:val="21"/>
                      <w:szCs w:val="21"/>
                    </w:rPr>
                  </w:pPr>
                  <w:r>
                    <w:rPr>
                      <w:spacing w:val="-1"/>
                      <w:sz w:val="21"/>
                      <w:szCs w:val="21"/>
                    </w:rPr>
                    <w:t>环境保护目</w:t>
                  </w:r>
                  <w:r>
                    <w:rPr>
                      <w:sz w:val="21"/>
                      <w:szCs w:val="21"/>
                    </w:rPr>
                    <w:t xml:space="preserve"> 标</w:t>
                  </w:r>
                </w:p>
              </w:tc>
              <w:tc>
                <w:tcPr>
                  <w:tcW w:w="1437" w:type="dxa"/>
                  <w:vAlign w:val="top"/>
                </w:tcPr>
                <w:p>
                  <w:pPr>
                    <w:pStyle w:val="6"/>
                    <w:spacing w:before="36" w:line="222" w:lineRule="auto"/>
                    <w:ind w:left="410" w:right="188" w:hanging="212"/>
                    <w:rPr>
                      <w:sz w:val="21"/>
                      <w:szCs w:val="21"/>
                    </w:rPr>
                  </w:pPr>
                  <w:r>
                    <w:rPr>
                      <w:spacing w:val="-1"/>
                      <w:sz w:val="21"/>
                      <w:szCs w:val="21"/>
                    </w:rPr>
                    <w:t>相对进场道</w:t>
                  </w:r>
                  <w:r>
                    <w:rPr>
                      <w:sz w:val="21"/>
                      <w:szCs w:val="21"/>
                    </w:rPr>
                    <w:t xml:space="preserve"> </w:t>
                  </w:r>
                  <w:r>
                    <w:rPr>
                      <w:spacing w:val="-3"/>
                      <w:sz w:val="21"/>
                      <w:szCs w:val="21"/>
                    </w:rPr>
                    <w:t>路方位</w:t>
                  </w:r>
                </w:p>
              </w:tc>
              <w:tc>
                <w:tcPr>
                  <w:tcW w:w="1430" w:type="dxa"/>
                  <w:vAlign w:val="top"/>
                </w:tcPr>
                <w:p>
                  <w:pPr>
                    <w:pStyle w:val="6"/>
                    <w:spacing w:before="36" w:line="222" w:lineRule="auto"/>
                    <w:ind w:left="295" w:right="184" w:hanging="96"/>
                    <w:rPr>
                      <w:rFonts w:ascii="Times New Roman" w:hAnsi="Times New Roman" w:eastAsia="Times New Roman" w:cs="Times New Roman"/>
                      <w:sz w:val="21"/>
                      <w:szCs w:val="21"/>
                    </w:rPr>
                  </w:pPr>
                  <w:r>
                    <w:rPr>
                      <w:spacing w:val="-2"/>
                      <w:sz w:val="21"/>
                      <w:szCs w:val="21"/>
                    </w:rPr>
                    <w:t>与道路中心</w:t>
                  </w:r>
                  <w:r>
                    <w:rPr>
                      <w:sz w:val="21"/>
                      <w:szCs w:val="21"/>
                    </w:rPr>
                    <w:t xml:space="preserve"> </w:t>
                  </w:r>
                  <w:r>
                    <w:rPr>
                      <w:spacing w:val="-2"/>
                      <w:sz w:val="21"/>
                      <w:szCs w:val="21"/>
                    </w:rPr>
                    <w:t>线距离</w:t>
                  </w:r>
                  <w:r>
                    <w:rPr>
                      <w:rFonts w:ascii="Times New Roman" w:hAnsi="Times New Roman" w:eastAsia="Times New Roman" w:cs="Times New Roman"/>
                      <w:spacing w:val="-2"/>
                      <w:sz w:val="21"/>
                      <w:szCs w:val="21"/>
                    </w:rPr>
                    <w:t>/m</w:t>
                  </w:r>
                </w:p>
              </w:tc>
              <w:tc>
                <w:tcPr>
                  <w:tcW w:w="1108" w:type="dxa"/>
                  <w:vAlign w:val="top"/>
                </w:tcPr>
                <w:p>
                  <w:pPr>
                    <w:pStyle w:val="6"/>
                    <w:spacing w:before="36" w:line="222" w:lineRule="auto"/>
                    <w:ind w:left="346" w:right="128" w:hanging="202"/>
                    <w:rPr>
                      <w:rFonts w:ascii="Times New Roman" w:hAnsi="Times New Roman" w:eastAsia="Times New Roman" w:cs="Times New Roman"/>
                      <w:sz w:val="21"/>
                      <w:szCs w:val="21"/>
                    </w:rPr>
                  </w:pPr>
                  <w:r>
                    <w:rPr>
                      <w:spacing w:val="-3"/>
                      <w:sz w:val="21"/>
                      <w:szCs w:val="21"/>
                    </w:rPr>
                    <w:t>与道路高</w:t>
                  </w:r>
                  <w:r>
                    <w:rPr>
                      <w:spacing w:val="1"/>
                      <w:sz w:val="21"/>
                      <w:szCs w:val="21"/>
                    </w:rPr>
                    <w:t xml:space="preserve"> </w:t>
                  </w:r>
                  <w:r>
                    <w:rPr>
                      <w:spacing w:val="-4"/>
                      <w:sz w:val="21"/>
                      <w:szCs w:val="21"/>
                    </w:rPr>
                    <w:t>差</w:t>
                  </w:r>
                  <w:r>
                    <w:rPr>
                      <w:rFonts w:ascii="Times New Roman" w:hAnsi="Times New Roman" w:eastAsia="Times New Roman" w:cs="Times New Roman"/>
                      <w:spacing w:val="-4"/>
                      <w:sz w:val="21"/>
                      <w:szCs w:val="21"/>
                    </w:rPr>
                    <w:t>/m</w:t>
                  </w:r>
                </w:p>
              </w:tc>
              <w:tc>
                <w:tcPr>
                  <w:tcW w:w="1756" w:type="dxa"/>
                  <w:vAlign w:val="top"/>
                </w:tcPr>
                <w:p>
                  <w:pPr>
                    <w:pStyle w:val="6"/>
                    <w:spacing w:before="170" w:line="221" w:lineRule="auto"/>
                    <w:ind w:left="150"/>
                    <w:rPr>
                      <w:sz w:val="21"/>
                      <w:szCs w:val="21"/>
                    </w:rPr>
                  </w:pPr>
                  <w:r>
                    <w:rPr>
                      <w:spacing w:val="-12"/>
                      <w:sz w:val="21"/>
                      <w:szCs w:val="21"/>
                    </w:rPr>
                    <w:t>影响规模、</w:t>
                  </w:r>
                  <w:r>
                    <w:rPr>
                      <w:spacing w:val="-23"/>
                      <w:sz w:val="21"/>
                      <w:szCs w:val="21"/>
                    </w:rPr>
                    <w:t xml:space="preserve"> </w:t>
                  </w:r>
                  <w:r>
                    <w:rPr>
                      <w:spacing w:val="-12"/>
                      <w:sz w:val="21"/>
                      <w:szCs w:val="21"/>
                    </w:rPr>
                    <w:t>功能</w:t>
                  </w:r>
                </w:p>
              </w:tc>
              <w:tc>
                <w:tcPr>
                  <w:tcW w:w="1572" w:type="dxa"/>
                  <w:vAlign w:val="top"/>
                </w:tcPr>
                <w:p>
                  <w:pPr>
                    <w:pStyle w:val="6"/>
                    <w:spacing w:before="170" w:line="221" w:lineRule="auto"/>
                    <w:ind w:left="370"/>
                    <w:rPr>
                      <w:sz w:val="21"/>
                      <w:szCs w:val="21"/>
                    </w:rPr>
                  </w:pPr>
                  <w:r>
                    <w:rPr>
                      <w:spacing w:val="-2"/>
                      <w:sz w:val="21"/>
                      <w:szCs w:val="21"/>
                    </w:rPr>
                    <w:t>影响因素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7" w:type="dxa"/>
                  <w:vAlign w:val="top"/>
                </w:tcPr>
                <w:p>
                  <w:pPr>
                    <w:pStyle w:val="6"/>
                    <w:spacing w:before="82" w:line="220" w:lineRule="auto"/>
                    <w:ind w:left="293"/>
                    <w:rPr>
                      <w:sz w:val="18"/>
                      <w:szCs w:val="18"/>
                    </w:rPr>
                  </w:pPr>
                  <w:r>
                    <w:rPr>
                      <w:rFonts w:ascii="Times New Roman" w:hAnsi="Times New Roman" w:eastAsia="Times New Roman" w:cs="Times New Roman"/>
                      <w:spacing w:val="-1"/>
                      <w:sz w:val="18"/>
                      <w:szCs w:val="18"/>
                    </w:rPr>
                    <w:t>2#</w:t>
                  </w:r>
                  <w:r>
                    <w:rPr>
                      <w:spacing w:val="-1"/>
                      <w:sz w:val="18"/>
                      <w:szCs w:val="18"/>
                    </w:rPr>
                    <w:t>居民点</w:t>
                  </w:r>
                </w:p>
              </w:tc>
              <w:tc>
                <w:tcPr>
                  <w:tcW w:w="1437" w:type="dxa"/>
                  <w:vAlign w:val="top"/>
                </w:tcPr>
                <w:p>
                  <w:pPr>
                    <w:pStyle w:val="6"/>
                    <w:spacing w:before="67" w:line="221" w:lineRule="auto"/>
                    <w:ind w:left="520"/>
                    <w:rPr>
                      <w:sz w:val="21"/>
                      <w:szCs w:val="21"/>
                    </w:rPr>
                  </w:pPr>
                  <w:r>
                    <w:rPr>
                      <w:spacing w:val="-3"/>
                      <w:sz w:val="21"/>
                      <w:szCs w:val="21"/>
                    </w:rPr>
                    <w:t>西侧</w:t>
                  </w:r>
                </w:p>
              </w:tc>
              <w:tc>
                <w:tcPr>
                  <w:tcW w:w="1430" w:type="dxa"/>
                  <w:vAlign w:val="top"/>
                </w:tcPr>
                <w:p>
                  <w:pPr>
                    <w:spacing w:before="106"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30</w:t>
                  </w:r>
                </w:p>
              </w:tc>
              <w:tc>
                <w:tcPr>
                  <w:tcW w:w="1108" w:type="dxa"/>
                  <w:vAlign w:val="top"/>
                </w:tcPr>
                <w:p>
                  <w:pPr>
                    <w:spacing w:before="102" w:line="230"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p>
              </w:tc>
              <w:tc>
                <w:tcPr>
                  <w:tcW w:w="1756" w:type="dxa"/>
                  <w:vAlign w:val="top"/>
                </w:tcPr>
                <w:p>
                  <w:pPr>
                    <w:pStyle w:val="6"/>
                    <w:spacing w:before="82" w:line="220" w:lineRule="auto"/>
                    <w:ind w:left="163"/>
                    <w:rPr>
                      <w:sz w:val="18"/>
                      <w:szCs w:val="18"/>
                    </w:rPr>
                  </w:pPr>
                  <w:r>
                    <w:rPr>
                      <w:spacing w:val="-4"/>
                      <w:sz w:val="18"/>
                      <w:szCs w:val="18"/>
                    </w:rPr>
                    <w:t>散户居民</w:t>
                  </w:r>
                  <w:r>
                    <w:rPr>
                      <w:spacing w:val="-22"/>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39"/>
                      <w:sz w:val="18"/>
                      <w:szCs w:val="18"/>
                    </w:rPr>
                    <w:t xml:space="preserve"> </w:t>
                  </w:r>
                  <w:r>
                    <w:rPr>
                      <w:rFonts w:ascii="Times New Roman" w:hAnsi="Times New Roman" w:eastAsia="Times New Roman" w:cs="Times New Roman"/>
                      <w:spacing w:val="-4"/>
                      <w:sz w:val="18"/>
                      <w:szCs w:val="18"/>
                    </w:rPr>
                    <w:t>3</w:t>
                  </w:r>
                  <w:r>
                    <w:rPr>
                      <w:rFonts w:ascii="Times New Roman" w:hAnsi="Times New Roman" w:eastAsia="Times New Roman" w:cs="Times New Roman"/>
                      <w:spacing w:val="10"/>
                      <w:sz w:val="18"/>
                      <w:szCs w:val="18"/>
                    </w:rPr>
                    <w:t xml:space="preserve"> </w:t>
                  </w:r>
                  <w:r>
                    <w:rPr>
                      <w:spacing w:val="-4"/>
                      <w:sz w:val="18"/>
                      <w:szCs w:val="18"/>
                    </w:rPr>
                    <w:t>人</w:t>
                  </w:r>
                </w:p>
              </w:tc>
              <w:tc>
                <w:tcPr>
                  <w:tcW w:w="1572" w:type="dxa"/>
                  <w:vMerge w:val="restart"/>
                  <w:tcBorders>
                    <w:bottom w:val="nil"/>
                  </w:tcBorders>
                  <w:vAlign w:val="top"/>
                </w:tcPr>
                <w:p>
                  <w:pPr>
                    <w:pStyle w:val="6"/>
                    <w:spacing w:before="281" w:line="230" w:lineRule="auto"/>
                    <w:ind w:left="478" w:right="151" w:hanging="318"/>
                    <w:rPr>
                      <w:sz w:val="21"/>
                      <w:szCs w:val="21"/>
                    </w:rPr>
                  </w:pPr>
                  <w:r>
                    <w:rPr>
                      <w:spacing w:val="-1"/>
                      <w:sz w:val="21"/>
                      <w:szCs w:val="21"/>
                    </w:rPr>
                    <w:t>施工粉尘、施</w:t>
                  </w:r>
                  <w:r>
                    <w:rPr>
                      <w:sz w:val="21"/>
                      <w:szCs w:val="21"/>
                    </w:rPr>
                    <w:t xml:space="preserve"> </w:t>
                  </w:r>
                  <w:r>
                    <w:rPr>
                      <w:spacing w:val="-2"/>
                      <w:sz w:val="21"/>
                      <w:szCs w:val="21"/>
                    </w:rPr>
                    <w:t>工噪声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07" w:type="dxa"/>
                  <w:vAlign w:val="top"/>
                </w:tcPr>
                <w:p>
                  <w:pPr>
                    <w:pStyle w:val="6"/>
                    <w:spacing w:before="87" w:line="220" w:lineRule="auto"/>
                    <w:ind w:left="297"/>
                    <w:rPr>
                      <w:sz w:val="18"/>
                      <w:szCs w:val="18"/>
                    </w:rPr>
                  </w:pPr>
                  <w:r>
                    <w:rPr>
                      <w:rFonts w:ascii="Times New Roman" w:hAnsi="Times New Roman" w:eastAsia="Times New Roman" w:cs="Times New Roman"/>
                      <w:spacing w:val="-1"/>
                      <w:sz w:val="18"/>
                      <w:szCs w:val="18"/>
                    </w:rPr>
                    <w:t>3#</w:t>
                  </w:r>
                  <w:r>
                    <w:rPr>
                      <w:spacing w:val="-1"/>
                      <w:sz w:val="18"/>
                      <w:szCs w:val="18"/>
                    </w:rPr>
                    <w:t>居民点</w:t>
                  </w:r>
                </w:p>
              </w:tc>
              <w:tc>
                <w:tcPr>
                  <w:tcW w:w="1437" w:type="dxa"/>
                  <w:vAlign w:val="top"/>
                </w:tcPr>
                <w:p>
                  <w:pPr>
                    <w:pStyle w:val="6"/>
                    <w:spacing w:before="69" w:line="221" w:lineRule="auto"/>
                    <w:ind w:left="522"/>
                    <w:rPr>
                      <w:sz w:val="21"/>
                      <w:szCs w:val="21"/>
                    </w:rPr>
                  </w:pPr>
                  <w:r>
                    <w:rPr>
                      <w:spacing w:val="-4"/>
                      <w:sz w:val="21"/>
                      <w:szCs w:val="21"/>
                    </w:rPr>
                    <w:t>东侧</w:t>
                  </w:r>
                </w:p>
              </w:tc>
              <w:tc>
                <w:tcPr>
                  <w:tcW w:w="1430" w:type="dxa"/>
                  <w:vAlign w:val="top"/>
                </w:tcPr>
                <w:p>
                  <w:pPr>
                    <w:spacing w:before="108"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31</w:t>
                  </w:r>
                </w:p>
              </w:tc>
              <w:tc>
                <w:tcPr>
                  <w:tcW w:w="1108" w:type="dxa"/>
                  <w:vAlign w:val="top"/>
                </w:tcPr>
                <w:p>
                  <w:pPr>
                    <w:spacing w:before="104" w:line="229"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1756" w:type="dxa"/>
                  <w:vAlign w:val="top"/>
                </w:tcPr>
                <w:p>
                  <w:pPr>
                    <w:pStyle w:val="6"/>
                    <w:spacing w:before="86" w:line="220" w:lineRule="auto"/>
                    <w:ind w:left="163"/>
                    <w:rPr>
                      <w:sz w:val="18"/>
                      <w:szCs w:val="18"/>
                    </w:rPr>
                  </w:pPr>
                  <w:r>
                    <w:rPr>
                      <w:spacing w:val="-3"/>
                      <w:sz w:val="18"/>
                      <w:szCs w:val="18"/>
                    </w:rPr>
                    <w:t>散户居民</w:t>
                  </w:r>
                  <w:r>
                    <w:rPr>
                      <w:spacing w:val="-34"/>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36"/>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0"/>
                      <w:sz w:val="18"/>
                      <w:szCs w:val="18"/>
                    </w:rPr>
                    <w:t xml:space="preserve"> </w:t>
                  </w:r>
                  <w:r>
                    <w:rPr>
                      <w:spacing w:val="-3"/>
                      <w:sz w:val="18"/>
                      <w:szCs w:val="18"/>
                    </w:rPr>
                    <w:t>人</w:t>
                  </w:r>
                </w:p>
              </w:tc>
              <w:tc>
                <w:tcPr>
                  <w:tcW w:w="15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07" w:type="dxa"/>
                  <w:vAlign w:val="top"/>
                </w:tcPr>
                <w:p>
                  <w:pPr>
                    <w:pStyle w:val="6"/>
                    <w:spacing w:before="87" w:line="220" w:lineRule="auto"/>
                    <w:ind w:left="293"/>
                    <w:rPr>
                      <w:sz w:val="18"/>
                      <w:szCs w:val="18"/>
                    </w:rPr>
                  </w:pPr>
                  <w:r>
                    <w:rPr>
                      <w:rFonts w:ascii="Times New Roman" w:hAnsi="Times New Roman" w:eastAsia="Times New Roman" w:cs="Times New Roman"/>
                      <w:spacing w:val="-1"/>
                      <w:sz w:val="18"/>
                      <w:szCs w:val="18"/>
                    </w:rPr>
                    <w:t>4#</w:t>
                  </w:r>
                  <w:r>
                    <w:rPr>
                      <w:spacing w:val="-1"/>
                      <w:sz w:val="18"/>
                      <w:szCs w:val="18"/>
                    </w:rPr>
                    <w:t>居民点</w:t>
                  </w:r>
                </w:p>
              </w:tc>
              <w:tc>
                <w:tcPr>
                  <w:tcW w:w="1437" w:type="dxa"/>
                  <w:vAlign w:val="top"/>
                </w:tcPr>
                <w:p>
                  <w:pPr>
                    <w:pStyle w:val="6"/>
                    <w:spacing w:before="67" w:line="221" w:lineRule="auto"/>
                    <w:ind w:left="522"/>
                    <w:rPr>
                      <w:sz w:val="21"/>
                      <w:szCs w:val="21"/>
                    </w:rPr>
                  </w:pPr>
                  <w:r>
                    <w:rPr>
                      <w:spacing w:val="-4"/>
                      <w:sz w:val="21"/>
                      <w:szCs w:val="21"/>
                    </w:rPr>
                    <w:t>东侧</w:t>
                  </w:r>
                </w:p>
              </w:tc>
              <w:tc>
                <w:tcPr>
                  <w:tcW w:w="1430" w:type="dxa"/>
                  <w:vAlign w:val="top"/>
                </w:tcPr>
                <w:p>
                  <w:pPr>
                    <w:spacing w:before="106"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144</w:t>
                  </w:r>
                </w:p>
              </w:tc>
              <w:tc>
                <w:tcPr>
                  <w:tcW w:w="1108" w:type="dxa"/>
                  <w:vAlign w:val="top"/>
                </w:tcPr>
                <w:p>
                  <w:pPr>
                    <w:spacing w:before="106"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-4</w:t>
                  </w:r>
                </w:p>
              </w:tc>
              <w:tc>
                <w:tcPr>
                  <w:tcW w:w="1756" w:type="dxa"/>
                  <w:vAlign w:val="top"/>
                </w:tcPr>
                <w:p>
                  <w:pPr>
                    <w:pStyle w:val="6"/>
                    <w:spacing w:before="86" w:line="220" w:lineRule="auto"/>
                    <w:ind w:left="163"/>
                    <w:rPr>
                      <w:sz w:val="18"/>
                      <w:szCs w:val="18"/>
                    </w:rPr>
                  </w:pPr>
                  <w:r>
                    <w:rPr>
                      <w:spacing w:val="-2"/>
                      <w:sz w:val="18"/>
                      <w:szCs w:val="18"/>
                    </w:rPr>
                    <w:t>散户居民</w:t>
                  </w:r>
                  <w:r>
                    <w:rPr>
                      <w:spacing w:val="-40"/>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39"/>
                      <w:sz w:val="18"/>
                      <w:szCs w:val="18"/>
                    </w:rPr>
                    <w:t xml:space="preserve"> </w:t>
                  </w:r>
                  <w:r>
                    <w:rPr>
                      <w:rFonts w:ascii="Times New Roman" w:hAnsi="Times New Roman" w:eastAsia="Times New Roman" w:cs="Times New Roman"/>
                      <w:spacing w:val="-2"/>
                      <w:sz w:val="18"/>
                      <w:szCs w:val="18"/>
                    </w:rPr>
                    <w:t>9</w:t>
                  </w:r>
                  <w:r>
                    <w:rPr>
                      <w:rFonts w:ascii="Times New Roman" w:hAnsi="Times New Roman" w:eastAsia="Times New Roman" w:cs="Times New Roman"/>
                      <w:spacing w:val="10"/>
                      <w:sz w:val="18"/>
                      <w:szCs w:val="18"/>
                    </w:rPr>
                    <w:t xml:space="preserve"> </w:t>
                  </w:r>
                  <w:r>
                    <w:rPr>
                      <w:spacing w:val="-2"/>
                      <w:sz w:val="18"/>
                      <w:szCs w:val="18"/>
                    </w:rPr>
                    <w:t>人</w:t>
                  </w:r>
                </w:p>
              </w:tc>
              <w:tc>
                <w:tcPr>
                  <w:tcW w:w="1572" w:type="dxa"/>
                  <w:vMerge w:val="continue"/>
                  <w:tcBorders>
                    <w:top w:val="nil"/>
                  </w:tcBorders>
                  <w:vAlign w:val="top"/>
                </w:tcPr>
                <w:p>
                  <w:pPr>
                    <w:rPr>
                      <w:rFonts w:ascii="Arial"/>
                      <w:sz w:val="21"/>
                    </w:rPr>
                  </w:pPr>
                </w:p>
              </w:tc>
            </w:tr>
          </w:tbl>
          <w:p>
            <w:pPr>
              <w:pStyle w:val="6"/>
              <w:spacing w:before="178" w:line="219" w:lineRule="auto"/>
              <w:ind w:left="535"/>
              <w:rPr>
                <w:sz w:val="24"/>
                <w:szCs w:val="24"/>
              </w:rPr>
            </w:pPr>
            <w:r>
              <w:rPr>
                <w:spacing w:val="-2"/>
                <w:sz w:val="24"/>
                <w:szCs w:val="24"/>
              </w:rPr>
              <w:t>新建进场道路周边</w:t>
            </w:r>
            <w:r>
              <w:rPr>
                <w:spacing w:val="-51"/>
                <w:sz w:val="24"/>
                <w:szCs w:val="24"/>
              </w:rPr>
              <w:t xml:space="preserve"> </w:t>
            </w:r>
            <w:r>
              <w:rPr>
                <w:rFonts w:ascii="Times New Roman" w:hAnsi="Times New Roman" w:eastAsia="Times New Roman" w:cs="Times New Roman"/>
                <w:spacing w:val="-2"/>
                <w:sz w:val="24"/>
                <w:szCs w:val="24"/>
              </w:rPr>
              <w:t>200m</w:t>
            </w:r>
            <w:r>
              <w:rPr>
                <w:rFonts w:ascii="Times New Roman" w:hAnsi="Times New Roman" w:eastAsia="Times New Roman" w:cs="Times New Roman"/>
                <w:spacing w:val="16"/>
                <w:sz w:val="24"/>
                <w:szCs w:val="24"/>
              </w:rPr>
              <w:t xml:space="preserve"> </w:t>
            </w:r>
            <w:r>
              <w:rPr>
                <w:spacing w:val="-2"/>
                <w:sz w:val="24"/>
                <w:szCs w:val="24"/>
              </w:rPr>
              <w:t>范围内分布的耕地。土壤水环境保护目标见下表。</w:t>
            </w:r>
          </w:p>
          <w:p>
            <w:pPr>
              <w:pStyle w:val="6"/>
              <w:spacing w:before="195" w:line="220" w:lineRule="auto"/>
              <w:ind w:left="2574"/>
              <w:rPr>
                <w:sz w:val="24"/>
                <w:szCs w:val="24"/>
              </w:rPr>
            </w:pPr>
            <w:r>
              <w:rPr>
                <w:spacing w:val="-1"/>
                <w:sz w:val="24"/>
                <w:szCs w:val="24"/>
                <w14:textOutline w14:w="4354" w14:cap="flat" w14:cmpd="sng">
                  <w14:solidFill>
                    <w14:srgbClr w14:val="000000"/>
                  </w14:solidFill>
                  <w14:prstDash w14:val="solid"/>
                  <w14:miter w14:val="10"/>
                </w14:textOutline>
              </w:rPr>
              <w:t>表</w:t>
            </w:r>
            <w:r>
              <w:rPr>
                <w:spacing w:val="-41"/>
                <w:sz w:val="24"/>
                <w:szCs w:val="24"/>
              </w:rPr>
              <w:t xml:space="preserve"> </w:t>
            </w:r>
            <w:r>
              <w:rPr>
                <w:rFonts w:ascii="Times New Roman" w:hAnsi="Times New Roman" w:eastAsia="Times New Roman" w:cs="Times New Roman"/>
                <w:b/>
                <w:bCs/>
                <w:spacing w:val="-1"/>
                <w:sz w:val="24"/>
                <w:szCs w:val="24"/>
              </w:rPr>
              <w:t xml:space="preserve">3.4-9  </w:t>
            </w:r>
            <w:r>
              <w:rPr>
                <w:spacing w:val="-1"/>
                <w:sz w:val="24"/>
                <w:szCs w:val="24"/>
                <w14:textOutline w14:w="4354" w14:cap="flat" w14:cmpd="sng">
                  <w14:solidFill>
                    <w14:srgbClr w14:val="000000"/>
                  </w14:solidFill>
                  <w14:prstDash w14:val="solid"/>
                  <w14:miter w14:val="10"/>
                </w14:textOutline>
              </w:rPr>
              <w:t>土壤环境保护目标一览表</w:t>
            </w:r>
          </w:p>
          <w:p>
            <w:pPr>
              <w:spacing w:line="16" w:lineRule="exact"/>
            </w:pPr>
          </w:p>
          <w:tbl>
            <w:tblPr>
              <w:tblStyle w:val="5"/>
              <w:tblW w:w="8610"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1"/>
              <w:gridCol w:w="1166"/>
              <w:gridCol w:w="1981"/>
              <w:gridCol w:w="2639"/>
              <w:gridCol w:w="16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221" w:type="dxa"/>
                  <w:vAlign w:val="top"/>
                </w:tcPr>
                <w:p>
                  <w:pPr>
                    <w:pStyle w:val="6"/>
                    <w:spacing w:before="170" w:line="221" w:lineRule="auto"/>
                    <w:ind w:left="195"/>
                    <w:rPr>
                      <w:sz w:val="21"/>
                      <w:szCs w:val="21"/>
                    </w:rPr>
                  </w:pPr>
                  <w:r>
                    <w:rPr>
                      <w:spacing w:val="-2"/>
                      <w:sz w:val="21"/>
                      <w:szCs w:val="21"/>
                    </w:rPr>
                    <w:t>环境要素</w:t>
                  </w:r>
                </w:p>
              </w:tc>
              <w:tc>
                <w:tcPr>
                  <w:tcW w:w="1166" w:type="dxa"/>
                  <w:vAlign w:val="top"/>
                </w:tcPr>
                <w:p>
                  <w:pPr>
                    <w:pStyle w:val="6"/>
                    <w:spacing w:before="33" w:line="223" w:lineRule="auto"/>
                    <w:ind w:left="415" w:right="162" w:hanging="251"/>
                    <w:rPr>
                      <w:sz w:val="21"/>
                      <w:szCs w:val="21"/>
                    </w:rPr>
                  </w:pPr>
                  <w:r>
                    <w:rPr>
                      <w:spacing w:val="-2"/>
                      <w:sz w:val="21"/>
                      <w:szCs w:val="21"/>
                    </w:rPr>
                    <w:t>环境保护</w:t>
                  </w:r>
                  <w:r>
                    <w:rPr>
                      <w:spacing w:val="1"/>
                      <w:sz w:val="21"/>
                      <w:szCs w:val="21"/>
                    </w:rPr>
                    <w:t xml:space="preserve"> </w:t>
                  </w:r>
                  <w:r>
                    <w:rPr>
                      <w:spacing w:val="-12"/>
                      <w:sz w:val="21"/>
                      <w:szCs w:val="21"/>
                    </w:rPr>
                    <w:t>目标</w:t>
                  </w:r>
                </w:p>
              </w:tc>
              <w:tc>
                <w:tcPr>
                  <w:tcW w:w="1981" w:type="dxa"/>
                  <w:vAlign w:val="top"/>
                </w:tcPr>
                <w:p>
                  <w:pPr>
                    <w:pStyle w:val="6"/>
                    <w:spacing w:before="171" w:line="221" w:lineRule="auto"/>
                    <w:ind w:left="575"/>
                    <w:rPr>
                      <w:sz w:val="21"/>
                      <w:szCs w:val="21"/>
                    </w:rPr>
                  </w:pPr>
                  <w:r>
                    <w:rPr>
                      <w:spacing w:val="-2"/>
                      <w:sz w:val="21"/>
                      <w:szCs w:val="21"/>
                    </w:rPr>
                    <w:t>位置关系</w:t>
                  </w:r>
                </w:p>
              </w:tc>
              <w:tc>
                <w:tcPr>
                  <w:tcW w:w="2639" w:type="dxa"/>
                  <w:vAlign w:val="top"/>
                </w:tcPr>
                <w:p>
                  <w:pPr>
                    <w:pStyle w:val="6"/>
                    <w:spacing w:before="170" w:line="221" w:lineRule="auto"/>
                    <w:ind w:left="695"/>
                    <w:rPr>
                      <w:sz w:val="21"/>
                      <w:szCs w:val="21"/>
                    </w:rPr>
                  </w:pPr>
                  <w:r>
                    <w:rPr>
                      <w:spacing w:val="-1"/>
                      <w:sz w:val="21"/>
                      <w:szCs w:val="21"/>
                    </w:rPr>
                    <w:t>环境敏感特性</w:t>
                  </w:r>
                </w:p>
              </w:tc>
              <w:tc>
                <w:tcPr>
                  <w:tcW w:w="1603" w:type="dxa"/>
                  <w:vAlign w:val="top"/>
                </w:tcPr>
                <w:p>
                  <w:pPr>
                    <w:pStyle w:val="6"/>
                    <w:spacing w:before="170" w:line="221" w:lineRule="auto"/>
                    <w:ind w:left="386"/>
                    <w:rPr>
                      <w:sz w:val="21"/>
                      <w:szCs w:val="21"/>
                    </w:rPr>
                  </w:pPr>
                  <w:r>
                    <w:rPr>
                      <w:spacing w:val="-2"/>
                      <w:sz w:val="21"/>
                      <w:szCs w:val="21"/>
                    </w:rPr>
                    <w:t>影响因素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221" w:type="dxa"/>
                  <w:vAlign w:val="top"/>
                </w:tcPr>
                <w:p>
                  <w:pPr>
                    <w:pStyle w:val="6"/>
                    <w:spacing w:before="169" w:line="221" w:lineRule="auto"/>
                    <w:ind w:left="196"/>
                    <w:rPr>
                      <w:sz w:val="21"/>
                      <w:szCs w:val="21"/>
                    </w:rPr>
                  </w:pPr>
                  <w:r>
                    <w:rPr>
                      <w:spacing w:val="-2"/>
                      <w:sz w:val="21"/>
                      <w:szCs w:val="21"/>
                    </w:rPr>
                    <w:t>土壤环境</w:t>
                  </w:r>
                </w:p>
              </w:tc>
              <w:tc>
                <w:tcPr>
                  <w:tcW w:w="1166" w:type="dxa"/>
                  <w:vAlign w:val="top"/>
                </w:tcPr>
                <w:p>
                  <w:pPr>
                    <w:pStyle w:val="6"/>
                    <w:spacing w:before="169" w:line="223" w:lineRule="auto"/>
                    <w:ind w:left="165"/>
                    <w:rPr>
                      <w:sz w:val="21"/>
                      <w:szCs w:val="21"/>
                    </w:rPr>
                  </w:pPr>
                  <w:r>
                    <w:rPr>
                      <w:spacing w:val="-2"/>
                      <w:sz w:val="21"/>
                      <w:szCs w:val="21"/>
                    </w:rPr>
                    <w:t>周边农田</w:t>
                  </w:r>
                </w:p>
              </w:tc>
              <w:tc>
                <w:tcPr>
                  <w:tcW w:w="1981" w:type="dxa"/>
                  <w:vAlign w:val="top"/>
                </w:tcPr>
                <w:p>
                  <w:pPr>
                    <w:pStyle w:val="6"/>
                    <w:spacing w:before="33" w:line="221" w:lineRule="auto"/>
                    <w:ind w:left="283" w:right="145" w:hanging="127"/>
                    <w:rPr>
                      <w:sz w:val="21"/>
                      <w:szCs w:val="21"/>
                    </w:rPr>
                  </w:pPr>
                  <w:r>
                    <w:rPr>
                      <w:spacing w:val="-1"/>
                      <w:sz w:val="21"/>
                      <w:szCs w:val="21"/>
                    </w:rPr>
                    <w:t>本项目进场道路两</w:t>
                  </w:r>
                  <w:r>
                    <w:rPr>
                      <w:sz w:val="21"/>
                      <w:szCs w:val="21"/>
                    </w:rPr>
                    <w:t xml:space="preserve"> </w:t>
                  </w:r>
                  <w:r>
                    <w:rPr>
                      <w:spacing w:val="-1"/>
                      <w:sz w:val="21"/>
                      <w:szCs w:val="21"/>
                    </w:rPr>
                    <w:t>侧</w:t>
                  </w:r>
                  <w:r>
                    <w:rPr>
                      <w:spacing w:val="-48"/>
                      <w:sz w:val="21"/>
                      <w:szCs w:val="21"/>
                    </w:rPr>
                    <w:t xml:space="preserve"> </w:t>
                  </w:r>
                  <w:r>
                    <w:rPr>
                      <w:rFonts w:ascii="Times New Roman" w:hAnsi="Times New Roman" w:eastAsia="Times New Roman" w:cs="Times New Roman"/>
                      <w:spacing w:val="-1"/>
                      <w:sz w:val="21"/>
                      <w:szCs w:val="21"/>
                    </w:rPr>
                    <w:t xml:space="preserve">200m </w:t>
                  </w:r>
                  <w:r>
                    <w:rPr>
                      <w:spacing w:val="-1"/>
                      <w:sz w:val="21"/>
                      <w:szCs w:val="21"/>
                    </w:rPr>
                    <w:t>范围内</w:t>
                  </w:r>
                </w:p>
              </w:tc>
              <w:tc>
                <w:tcPr>
                  <w:tcW w:w="2639" w:type="dxa"/>
                  <w:vAlign w:val="top"/>
                </w:tcPr>
                <w:p>
                  <w:pPr>
                    <w:pStyle w:val="6"/>
                    <w:spacing w:before="33" w:line="221" w:lineRule="auto"/>
                    <w:ind w:left="906" w:right="101" w:hanging="791"/>
                    <w:rPr>
                      <w:sz w:val="21"/>
                      <w:szCs w:val="21"/>
                    </w:rPr>
                  </w:pPr>
                  <w:r>
                    <w:rPr>
                      <w:spacing w:val="-9"/>
                      <w:sz w:val="21"/>
                      <w:szCs w:val="21"/>
                    </w:rPr>
                    <w:t>主要为旱地和水田，主要种</w:t>
                  </w:r>
                  <w:r>
                    <w:rPr>
                      <w:spacing w:val="3"/>
                      <w:sz w:val="21"/>
                      <w:szCs w:val="21"/>
                    </w:rPr>
                    <w:t xml:space="preserve"> </w:t>
                  </w:r>
                  <w:r>
                    <w:rPr>
                      <w:spacing w:val="-2"/>
                      <w:sz w:val="21"/>
                      <w:szCs w:val="21"/>
                    </w:rPr>
                    <w:t>植李子树</w:t>
                  </w:r>
                </w:p>
              </w:tc>
              <w:tc>
                <w:tcPr>
                  <w:tcW w:w="1603" w:type="dxa"/>
                  <w:vAlign w:val="top"/>
                </w:tcPr>
                <w:p>
                  <w:pPr>
                    <w:pStyle w:val="6"/>
                    <w:spacing w:before="33" w:line="221" w:lineRule="auto"/>
                    <w:ind w:left="597" w:right="168" w:hanging="404"/>
                    <w:rPr>
                      <w:sz w:val="21"/>
                      <w:szCs w:val="21"/>
                    </w:rPr>
                  </w:pPr>
                  <w:r>
                    <w:rPr>
                      <w:spacing w:val="-4"/>
                      <w:sz w:val="21"/>
                      <w:szCs w:val="21"/>
                    </w:rPr>
                    <w:t>固体废物堆放</w:t>
                  </w:r>
                  <w:r>
                    <w:rPr>
                      <w:sz w:val="21"/>
                      <w:szCs w:val="21"/>
                    </w:rPr>
                    <w:t xml:space="preserve"> </w:t>
                  </w:r>
                  <w:r>
                    <w:rPr>
                      <w:spacing w:val="-2"/>
                      <w:sz w:val="21"/>
                      <w:szCs w:val="21"/>
                    </w:rPr>
                    <w:t>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221" w:type="dxa"/>
                  <w:vMerge w:val="restart"/>
                  <w:tcBorders>
                    <w:bottom w:val="nil"/>
                  </w:tcBorders>
                  <w:vAlign w:val="top"/>
                </w:tcPr>
                <w:p>
                  <w:pPr>
                    <w:rPr>
                      <w:rFonts w:ascii="Arial"/>
                      <w:sz w:val="21"/>
                    </w:rPr>
                  </w:pPr>
                </w:p>
                <w:p>
                  <w:pPr>
                    <w:pStyle w:val="6"/>
                    <w:spacing w:before="68" w:line="221" w:lineRule="auto"/>
                    <w:ind w:left="196"/>
                    <w:rPr>
                      <w:sz w:val="21"/>
                      <w:szCs w:val="21"/>
                    </w:rPr>
                  </w:pPr>
                  <w:r>
                    <w:rPr>
                      <w:spacing w:val="-2"/>
                      <w:sz w:val="21"/>
                      <w:szCs w:val="21"/>
                    </w:rPr>
                    <w:t>生态环境</w:t>
                  </w:r>
                </w:p>
              </w:tc>
              <w:tc>
                <w:tcPr>
                  <w:tcW w:w="1166" w:type="dxa"/>
                  <w:vAlign w:val="top"/>
                </w:tcPr>
                <w:p>
                  <w:pPr>
                    <w:pStyle w:val="6"/>
                    <w:spacing w:before="72" w:line="220" w:lineRule="auto"/>
                    <w:ind w:left="375"/>
                    <w:rPr>
                      <w:sz w:val="21"/>
                      <w:szCs w:val="21"/>
                    </w:rPr>
                  </w:pPr>
                  <w:r>
                    <w:rPr>
                      <w:spacing w:val="-2"/>
                      <w:sz w:val="21"/>
                      <w:szCs w:val="21"/>
                    </w:rPr>
                    <w:t>耕地</w:t>
                  </w:r>
                </w:p>
              </w:tc>
              <w:tc>
                <w:tcPr>
                  <w:tcW w:w="1981" w:type="dxa"/>
                  <w:vAlign w:val="top"/>
                </w:tcPr>
                <w:p>
                  <w:pPr>
                    <w:pStyle w:val="6"/>
                    <w:spacing w:before="72" w:line="221" w:lineRule="auto"/>
                    <w:ind w:left="578"/>
                    <w:rPr>
                      <w:sz w:val="21"/>
                      <w:szCs w:val="21"/>
                    </w:rPr>
                  </w:pPr>
                  <w:r>
                    <w:rPr>
                      <w:spacing w:val="-2"/>
                      <w:sz w:val="21"/>
                      <w:szCs w:val="21"/>
                    </w:rPr>
                    <w:t>工程占地</w:t>
                  </w:r>
                </w:p>
              </w:tc>
              <w:tc>
                <w:tcPr>
                  <w:tcW w:w="2639" w:type="dxa"/>
                  <w:vMerge w:val="restart"/>
                  <w:tcBorders>
                    <w:bottom w:val="nil"/>
                  </w:tcBorders>
                  <w:vAlign w:val="top"/>
                </w:tcPr>
                <w:p>
                  <w:pPr>
                    <w:pStyle w:val="6"/>
                    <w:spacing w:before="38" w:line="221" w:lineRule="auto"/>
                    <w:ind w:left="115"/>
                    <w:rPr>
                      <w:sz w:val="21"/>
                      <w:szCs w:val="21"/>
                    </w:rPr>
                  </w:pPr>
                  <w:r>
                    <w:rPr>
                      <w:spacing w:val="-9"/>
                      <w:sz w:val="21"/>
                      <w:szCs w:val="21"/>
                    </w:rPr>
                    <w:t>属农林生态系统，受人类活</w:t>
                  </w:r>
                </w:p>
                <w:p>
                  <w:pPr>
                    <w:pStyle w:val="6"/>
                    <w:spacing w:before="19" w:line="221" w:lineRule="auto"/>
                    <w:ind w:left="115"/>
                    <w:rPr>
                      <w:sz w:val="21"/>
                      <w:szCs w:val="21"/>
                    </w:rPr>
                  </w:pPr>
                  <w:r>
                    <w:rPr>
                      <w:spacing w:val="-9"/>
                      <w:sz w:val="21"/>
                      <w:szCs w:val="21"/>
                    </w:rPr>
                    <w:t>动影响强烈，植被以农作物</w:t>
                  </w:r>
                </w:p>
                <w:p>
                  <w:pPr>
                    <w:pStyle w:val="6"/>
                    <w:spacing w:before="22" w:line="193" w:lineRule="auto"/>
                    <w:ind w:left="277"/>
                    <w:rPr>
                      <w:sz w:val="21"/>
                      <w:szCs w:val="21"/>
                    </w:rPr>
                  </w:pPr>
                  <w:r>
                    <w:rPr>
                      <w:spacing w:val="-11"/>
                      <w:sz w:val="21"/>
                      <w:szCs w:val="21"/>
                    </w:rPr>
                    <w:t>为主， 无珍稀保护植物</w:t>
                  </w:r>
                </w:p>
              </w:tc>
              <w:tc>
                <w:tcPr>
                  <w:tcW w:w="1603" w:type="dxa"/>
                  <w:vMerge w:val="restart"/>
                  <w:tcBorders>
                    <w:bottom w:val="nil"/>
                  </w:tcBorders>
                  <w:vAlign w:val="top"/>
                </w:tcPr>
                <w:p>
                  <w:pPr>
                    <w:pStyle w:val="6"/>
                    <w:spacing w:before="171" w:line="231" w:lineRule="auto"/>
                    <w:ind w:left="114" w:right="105" w:firstLine="12"/>
                    <w:rPr>
                      <w:sz w:val="21"/>
                      <w:szCs w:val="21"/>
                    </w:rPr>
                  </w:pPr>
                  <w:r>
                    <w:rPr>
                      <w:spacing w:val="-16"/>
                      <w:sz w:val="21"/>
                      <w:szCs w:val="21"/>
                    </w:rPr>
                    <w:t>临时占地，植被</w:t>
                  </w:r>
                  <w:r>
                    <w:rPr>
                      <w:spacing w:val="5"/>
                      <w:sz w:val="21"/>
                      <w:szCs w:val="21"/>
                    </w:rPr>
                    <w:t xml:space="preserve"> </w:t>
                  </w:r>
                  <w:r>
                    <w:rPr>
                      <w:spacing w:val="-14"/>
                      <w:sz w:val="21"/>
                      <w:szCs w:val="21"/>
                    </w:rPr>
                    <w:t>破坏、水土流失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221" w:type="dxa"/>
                  <w:vMerge w:val="continue"/>
                  <w:tcBorders>
                    <w:top w:val="nil"/>
                    <w:bottom w:val="nil"/>
                  </w:tcBorders>
                  <w:vAlign w:val="top"/>
                </w:tcPr>
                <w:p>
                  <w:pPr>
                    <w:rPr>
                      <w:rFonts w:ascii="Arial"/>
                      <w:sz w:val="21"/>
                    </w:rPr>
                  </w:pPr>
                </w:p>
              </w:tc>
              <w:tc>
                <w:tcPr>
                  <w:tcW w:w="1166" w:type="dxa"/>
                  <w:tcBorders>
                    <w:bottom w:val="nil"/>
                  </w:tcBorders>
                  <w:vAlign w:val="top"/>
                </w:tcPr>
                <w:p>
                  <w:pPr>
                    <w:pStyle w:val="6"/>
                    <w:spacing w:before="136" w:line="221" w:lineRule="auto"/>
                    <w:ind w:left="376"/>
                    <w:rPr>
                      <w:sz w:val="21"/>
                      <w:szCs w:val="21"/>
                    </w:rPr>
                  </w:pPr>
                  <w:r>
                    <w:rPr>
                      <w:spacing w:val="-2"/>
                      <w:sz w:val="21"/>
                      <w:szCs w:val="21"/>
                    </w:rPr>
                    <w:t>植被</w:t>
                  </w:r>
                </w:p>
              </w:tc>
              <w:tc>
                <w:tcPr>
                  <w:tcW w:w="1981" w:type="dxa"/>
                  <w:tcBorders>
                    <w:bottom w:val="nil"/>
                  </w:tcBorders>
                  <w:vAlign w:val="top"/>
                </w:tcPr>
                <w:p>
                  <w:pPr>
                    <w:pStyle w:val="6"/>
                    <w:spacing w:before="136" w:line="221" w:lineRule="auto"/>
                    <w:ind w:left="363"/>
                    <w:rPr>
                      <w:rFonts w:ascii="Times New Roman" w:hAnsi="Times New Roman" w:eastAsia="Times New Roman" w:cs="Times New Roman"/>
                      <w:sz w:val="21"/>
                      <w:szCs w:val="21"/>
                    </w:rPr>
                  </w:pPr>
                  <w:r>
                    <w:rPr>
                      <w:spacing w:val="-3"/>
                      <w:sz w:val="21"/>
                      <w:szCs w:val="21"/>
                    </w:rPr>
                    <w:t>道路两侧</w:t>
                  </w:r>
                  <w:r>
                    <w:rPr>
                      <w:spacing w:val="-37"/>
                      <w:sz w:val="21"/>
                      <w:szCs w:val="21"/>
                    </w:rPr>
                    <w:t xml:space="preserve"> </w:t>
                  </w:r>
                  <w:r>
                    <w:rPr>
                      <w:rFonts w:ascii="Times New Roman" w:hAnsi="Times New Roman" w:eastAsia="Times New Roman" w:cs="Times New Roman"/>
                      <w:spacing w:val="-3"/>
                      <w:sz w:val="21"/>
                      <w:szCs w:val="21"/>
                    </w:rPr>
                    <w:t>50m</w:t>
                  </w:r>
                </w:p>
              </w:tc>
              <w:tc>
                <w:tcPr>
                  <w:tcW w:w="2639" w:type="dxa"/>
                  <w:vMerge w:val="continue"/>
                  <w:tcBorders>
                    <w:top w:val="nil"/>
                    <w:bottom w:val="nil"/>
                  </w:tcBorders>
                  <w:vAlign w:val="top"/>
                </w:tcPr>
                <w:p>
                  <w:pPr>
                    <w:rPr>
                      <w:rFonts w:ascii="Arial"/>
                      <w:sz w:val="21"/>
                    </w:rPr>
                  </w:pPr>
                </w:p>
              </w:tc>
              <w:tc>
                <w:tcPr>
                  <w:tcW w:w="1603" w:type="dxa"/>
                  <w:vMerge w:val="continue"/>
                  <w:tcBorders>
                    <w:top w:val="nil"/>
                    <w:bottom w:val="nil"/>
                  </w:tcBorders>
                  <w:vAlign w:val="top"/>
                </w:tcPr>
                <w:p>
                  <w:pPr>
                    <w:rPr>
                      <w:rFonts w:ascii="Arial"/>
                      <w:sz w:val="21"/>
                    </w:rPr>
                  </w:pPr>
                </w:p>
              </w:tc>
            </w:tr>
          </w:tbl>
          <w:p>
            <w:pPr>
              <w:spacing w:line="14" w:lineRule="auto"/>
              <w:rPr>
                <w:rFonts w:ascii="Arial"/>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7" w:hRule="atLeast"/>
        </w:trPr>
        <w:tc>
          <w:tcPr>
            <w:tcW w:w="465" w:type="dxa"/>
            <w:tcBorders>
              <w:top w:val="single" w:color="000000" w:sz="2" w:space="0"/>
              <w:right w:val="single" w:color="000000" w:sz="8" w:space="0"/>
            </w:tcBorders>
            <w:textDirection w:val="tbRlV"/>
            <w:vAlign w:val="top"/>
          </w:tcPr>
          <w:p>
            <w:pPr>
              <w:pStyle w:val="6"/>
              <w:spacing w:before="104" w:line="207" w:lineRule="auto"/>
              <w:ind w:left="672"/>
              <w:rPr>
                <w:sz w:val="24"/>
                <w:szCs w:val="24"/>
              </w:rPr>
            </w:pPr>
            <w:r>
              <w:rPr>
                <w:spacing w:val="53"/>
                <w:sz w:val="24"/>
                <w:szCs w:val="24"/>
              </w:rPr>
              <w:t>评价标准</w:t>
            </w:r>
          </w:p>
        </w:tc>
        <w:tc>
          <w:tcPr>
            <w:tcW w:w="8826" w:type="dxa"/>
            <w:gridSpan w:val="2"/>
            <w:tcBorders>
              <w:top w:val="single" w:color="000000" w:sz="2" w:space="0"/>
              <w:left w:val="single" w:color="000000" w:sz="8" w:space="0"/>
            </w:tcBorders>
            <w:vAlign w:val="top"/>
          </w:tcPr>
          <w:p>
            <w:pPr>
              <w:pStyle w:val="6"/>
              <w:spacing w:before="241" w:line="220" w:lineRule="auto"/>
              <w:ind w:left="95"/>
              <w:rPr>
                <w:sz w:val="24"/>
                <w:szCs w:val="24"/>
              </w:rPr>
            </w:pPr>
            <w:r>
              <w:rPr>
                <w:rFonts w:ascii="Times New Roman" w:hAnsi="Times New Roman" w:eastAsia="Times New Roman" w:cs="Times New Roman"/>
                <w:b/>
                <w:bCs/>
                <w:sz w:val="24"/>
                <w:szCs w:val="24"/>
              </w:rPr>
              <w:t xml:space="preserve">3.5 </w:t>
            </w:r>
            <w:r>
              <w:rPr>
                <w:sz w:val="24"/>
                <w:szCs w:val="24"/>
                <w14:textOutline w14:w="4354" w14:cap="flat" w14:cmpd="sng">
                  <w14:solidFill>
                    <w14:srgbClr w14:val="000000"/>
                  </w14:solidFill>
                  <w14:prstDash w14:val="solid"/>
                  <w14:miter w14:val="10"/>
                </w14:textOutline>
              </w:rPr>
              <w:t>环境质量标准</w:t>
            </w:r>
          </w:p>
          <w:p>
            <w:pPr>
              <w:pStyle w:val="6"/>
              <w:spacing w:before="227" w:line="220" w:lineRule="auto"/>
              <w:ind w:left="95"/>
              <w:rPr>
                <w:sz w:val="24"/>
                <w:szCs w:val="24"/>
              </w:rPr>
            </w:pPr>
            <w:r>
              <w:rPr>
                <w:rFonts w:ascii="Times New Roman" w:hAnsi="Times New Roman" w:eastAsia="Times New Roman" w:cs="Times New Roman"/>
                <w:b/>
                <w:bCs/>
                <w:sz w:val="24"/>
                <w:szCs w:val="24"/>
              </w:rPr>
              <w:t xml:space="preserve">3.5.1 </w:t>
            </w:r>
            <w:r>
              <w:rPr>
                <w:sz w:val="24"/>
                <w:szCs w:val="24"/>
                <w14:textOutline w14:w="4354" w14:cap="flat" w14:cmpd="sng">
                  <w14:solidFill>
                    <w14:srgbClr w14:val="000000"/>
                  </w14:solidFill>
                  <w14:prstDash w14:val="solid"/>
                  <w14:miter w14:val="10"/>
                </w14:textOutline>
              </w:rPr>
              <w:t>环境空气</w:t>
            </w:r>
          </w:p>
          <w:p>
            <w:pPr>
              <w:pStyle w:val="6"/>
              <w:spacing w:before="200" w:line="480" w:lineRule="exact"/>
              <w:ind w:left="581"/>
              <w:rPr>
                <w:sz w:val="24"/>
                <w:szCs w:val="24"/>
              </w:rPr>
            </w:pPr>
            <w:r>
              <w:rPr>
                <w:spacing w:val="-6"/>
                <w:position w:val="18"/>
                <w:sz w:val="24"/>
                <w:szCs w:val="24"/>
              </w:rPr>
              <w:t>本项目所在区域环境空气质量功能区划为二类区，</w:t>
            </w:r>
            <w:r>
              <w:rPr>
                <w:spacing w:val="49"/>
                <w:position w:val="18"/>
                <w:sz w:val="24"/>
                <w:szCs w:val="24"/>
              </w:rPr>
              <w:t xml:space="preserve"> </w:t>
            </w:r>
            <w:r>
              <w:rPr>
                <w:spacing w:val="-6"/>
                <w:position w:val="18"/>
                <w:sz w:val="24"/>
                <w:szCs w:val="24"/>
              </w:rPr>
              <w:t>环境空气执行《环境</w:t>
            </w:r>
            <w:r>
              <w:rPr>
                <w:spacing w:val="-7"/>
                <w:position w:val="18"/>
                <w:sz w:val="24"/>
                <w:szCs w:val="24"/>
              </w:rPr>
              <w:t>空气质</w:t>
            </w:r>
          </w:p>
          <w:p>
            <w:pPr>
              <w:pStyle w:val="6"/>
              <w:spacing w:line="219" w:lineRule="auto"/>
              <w:ind w:left="100"/>
              <w:rPr>
                <w:sz w:val="24"/>
                <w:szCs w:val="24"/>
              </w:rPr>
            </w:pPr>
            <w:r>
              <w:rPr>
                <w:spacing w:val="-1"/>
                <w:sz w:val="24"/>
                <w:szCs w:val="24"/>
              </w:rPr>
              <w:t>量标准》（</w:t>
            </w:r>
            <w:r>
              <w:rPr>
                <w:rFonts w:ascii="Times New Roman" w:hAnsi="Times New Roman" w:eastAsia="Times New Roman" w:cs="Times New Roman"/>
                <w:spacing w:val="-1"/>
                <w:sz w:val="24"/>
                <w:szCs w:val="24"/>
              </w:rPr>
              <w:t>GB3095-2012</w:t>
            </w:r>
            <w:r>
              <w:rPr>
                <w:spacing w:val="-1"/>
                <w:sz w:val="24"/>
                <w:szCs w:val="24"/>
              </w:rPr>
              <w:t>）中二级</w:t>
            </w:r>
            <w:r>
              <w:rPr>
                <w:spacing w:val="-2"/>
                <w:sz w:val="24"/>
                <w:szCs w:val="24"/>
              </w:rPr>
              <w:t>标准，具体标准值见下表。</w:t>
            </w:r>
          </w:p>
          <w:p>
            <w:pPr>
              <w:pStyle w:val="6"/>
              <w:spacing w:before="195" w:line="220" w:lineRule="auto"/>
              <w:ind w:left="3011"/>
              <w:rPr>
                <w:sz w:val="24"/>
                <w:szCs w:val="24"/>
              </w:rPr>
            </w:pPr>
            <w:r>
              <w:rPr>
                <w:spacing w:val="-1"/>
                <w:sz w:val="24"/>
                <w:szCs w:val="24"/>
                <w14:textOutline w14:w="4354" w14:cap="flat" w14:cmpd="sng">
                  <w14:solidFill>
                    <w14:srgbClr w14:val="000000"/>
                  </w14:solidFill>
                  <w14:prstDash w14:val="solid"/>
                  <w14:miter w14:val="10"/>
                </w14:textOutline>
              </w:rPr>
              <w:t>表</w:t>
            </w:r>
            <w:r>
              <w:rPr>
                <w:spacing w:val="-47"/>
                <w:sz w:val="24"/>
                <w:szCs w:val="24"/>
              </w:rPr>
              <w:t xml:space="preserve"> </w:t>
            </w:r>
            <w:r>
              <w:rPr>
                <w:rFonts w:ascii="Times New Roman" w:hAnsi="Times New Roman" w:eastAsia="Times New Roman" w:cs="Times New Roman"/>
                <w:b/>
                <w:bCs/>
                <w:spacing w:val="-1"/>
                <w:sz w:val="24"/>
                <w:szCs w:val="24"/>
              </w:rPr>
              <w:t xml:space="preserve">3.5-1 </w:t>
            </w:r>
            <w:r>
              <w:rPr>
                <w:spacing w:val="-1"/>
                <w:sz w:val="24"/>
                <w:szCs w:val="24"/>
                <w14:textOutline w14:w="4354" w14:cap="flat" w14:cmpd="sng">
                  <w14:solidFill>
                    <w14:srgbClr w14:val="000000"/>
                  </w14:solidFill>
                  <w14:prstDash w14:val="solid"/>
                  <w14:miter w14:val="10"/>
                </w14:textOutline>
              </w:rPr>
              <w:t>环境空气质量标准</w:t>
            </w:r>
          </w:p>
        </w:tc>
      </w:tr>
    </w:tbl>
    <w:p>
      <w:pPr>
        <w:pStyle w:val="2"/>
        <w:rPr>
          <w:sz w:val="21"/>
        </w:rPr>
      </w:pPr>
    </w:p>
    <w:p>
      <w:pPr>
        <w:rPr>
          <w:sz w:val="21"/>
          <w:szCs w:val="21"/>
        </w:rPr>
        <w:sectPr>
          <w:footerReference r:id="rId85"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2"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2"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3" w:hRule="atLeast"/>
        </w:trPr>
        <w:tc>
          <w:tcPr>
            <w:tcW w:w="9291" w:type="dxa"/>
            <w:vAlign w:val="top"/>
          </w:tcPr>
          <w:p>
            <w:pPr>
              <w:spacing w:line="18" w:lineRule="exact"/>
            </w:pPr>
            <w:r>
              <w:pict>
                <v:rect id="_x0000_s1284" o:spid="_x0000_s1284" o:spt="1" style="position:absolute;left:0pt;margin-left:22.75pt;margin-top:0.95pt;height:695.05pt;width:0.5pt;mso-position-horizontal-relative:page;mso-position-vertical-relative:page;z-index:251831296;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1"/>
              <w:gridCol w:w="2097"/>
              <w:gridCol w:w="2737"/>
              <w:gridCol w:w="24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tcBorders>
                    <w:top w:val="nil"/>
                  </w:tcBorders>
                  <w:vAlign w:val="top"/>
                </w:tcPr>
                <w:p>
                  <w:pPr>
                    <w:pStyle w:val="6"/>
                    <w:spacing w:before="63" w:line="221" w:lineRule="auto"/>
                    <w:ind w:left="357"/>
                    <w:rPr>
                      <w:sz w:val="21"/>
                      <w:szCs w:val="21"/>
                    </w:rPr>
                  </w:pPr>
                  <w:r>
                    <w:rPr>
                      <w:spacing w:val="-2"/>
                      <w:sz w:val="21"/>
                      <w:szCs w:val="21"/>
                    </w:rPr>
                    <w:t>污染物</w:t>
                  </w:r>
                </w:p>
              </w:tc>
              <w:tc>
                <w:tcPr>
                  <w:tcW w:w="2097" w:type="dxa"/>
                  <w:tcBorders>
                    <w:top w:val="nil"/>
                  </w:tcBorders>
                  <w:vAlign w:val="top"/>
                </w:tcPr>
                <w:p>
                  <w:pPr>
                    <w:pStyle w:val="6"/>
                    <w:spacing w:before="63" w:line="221" w:lineRule="auto"/>
                    <w:ind w:left="632"/>
                    <w:rPr>
                      <w:sz w:val="21"/>
                      <w:szCs w:val="21"/>
                    </w:rPr>
                  </w:pPr>
                  <w:r>
                    <w:rPr>
                      <w:spacing w:val="-1"/>
                      <w:sz w:val="21"/>
                      <w:szCs w:val="21"/>
                    </w:rPr>
                    <w:t>平均时间</w:t>
                  </w:r>
                </w:p>
              </w:tc>
              <w:tc>
                <w:tcPr>
                  <w:tcW w:w="2737" w:type="dxa"/>
                  <w:tcBorders>
                    <w:top w:val="nil"/>
                  </w:tcBorders>
                  <w:vAlign w:val="top"/>
                </w:tcPr>
                <w:p>
                  <w:pPr>
                    <w:pStyle w:val="6"/>
                    <w:spacing w:before="62" w:line="221" w:lineRule="auto"/>
                    <w:ind w:left="953"/>
                    <w:rPr>
                      <w:sz w:val="21"/>
                      <w:szCs w:val="21"/>
                    </w:rPr>
                  </w:pPr>
                  <w:r>
                    <w:rPr>
                      <w:spacing w:val="-2"/>
                      <w:sz w:val="21"/>
                      <w:szCs w:val="21"/>
                    </w:rPr>
                    <w:t>浓度限值</w:t>
                  </w:r>
                </w:p>
              </w:tc>
              <w:tc>
                <w:tcPr>
                  <w:tcW w:w="2445" w:type="dxa"/>
                  <w:tcBorders>
                    <w:top w:val="nil"/>
                  </w:tcBorders>
                  <w:vAlign w:val="top"/>
                </w:tcPr>
                <w:p>
                  <w:pPr>
                    <w:pStyle w:val="6"/>
                    <w:spacing w:before="63" w:line="221" w:lineRule="auto"/>
                    <w:ind w:left="805"/>
                    <w:rPr>
                      <w:sz w:val="21"/>
                      <w:szCs w:val="21"/>
                    </w:rPr>
                  </w:pPr>
                  <w:r>
                    <w:rPr>
                      <w:spacing w:val="-1"/>
                      <w:sz w:val="21"/>
                      <w:szCs w:val="21"/>
                    </w:rPr>
                    <w:t>选用标准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31" w:type="dxa"/>
                  <w:vMerge w:val="restart"/>
                  <w:tcBorders>
                    <w:bottom w:val="nil"/>
                  </w:tcBorders>
                  <w:vAlign w:val="top"/>
                </w:tcPr>
                <w:p>
                  <w:pPr>
                    <w:spacing w:line="390" w:lineRule="auto"/>
                    <w:rPr>
                      <w:rFonts w:ascii="Arial"/>
                      <w:sz w:val="21"/>
                    </w:rPr>
                  </w:pPr>
                </w:p>
                <w:p>
                  <w:pPr>
                    <w:spacing w:before="61" w:line="196" w:lineRule="auto"/>
                    <w:ind w:left="50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1"/>
                      <w:sz w:val="13"/>
                      <w:szCs w:val="13"/>
                    </w:rPr>
                    <w:t>2</w:t>
                  </w:r>
                </w:p>
              </w:tc>
              <w:tc>
                <w:tcPr>
                  <w:tcW w:w="2097" w:type="dxa"/>
                  <w:vAlign w:val="top"/>
                </w:tcPr>
                <w:p>
                  <w:pPr>
                    <w:pStyle w:val="6"/>
                    <w:spacing w:before="63" w:line="221" w:lineRule="auto"/>
                    <w:ind w:left="739"/>
                    <w:rPr>
                      <w:sz w:val="21"/>
                      <w:szCs w:val="21"/>
                    </w:rPr>
                  </w:pPr>
                  <w:r>
                    <w:rPr>
                      <w:spacing w:val="-2"/>
                      <w:sz w:val="21"/>
                      <w:szCs w:val="21"/>
                    </w:rPr>
                    <w:t>年平均</w:t>
                  </w:r>
                </w:p>
              </w:tc>
              <w:tc>
                <w:tcPr>
                  <w:tcW w:w="2737" w:type="dxa"/>
                  <w:vAlign w:val="top"/>
                </w:tcPr>
                <w:p>
                  <w:pPr>
                    <w:spacing w:before="82" w:line="208" w:lineRule="auto"/>
                    <w:ind w:left="1011"/>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60µg/m</w:t>
                  </w:r>
                  <w:r>
                    <w:rPr>
                      <w:rFonts w:ascii="Times New Roman" w:hAnsi="Times New Roman" w:eastAsia="Times New Roman" w:cs="Times New Roman"/>
                      <w:spacing w:val="-1"/>
                      <w:position w:val="6"/>
                      <w:sz w:val="13"/>
                      <w:szCs w:val="13"/>
                    </w:rPr>
                    <w:t>3</w:t>
                  </w:r>
                </w:p>
              </w:tc>
              <w:tc>
                <w:tcPr>
                  <w:tcW w:w="2445"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8" w:line="230" w:lineRule="auto"/>
                    <w:ind w:left="121" w:right="113" w:firstLine="57"/>
                    <w:rPr>
                      <w:sz w:val="21"/>
                      <w:szCs w:val="21"/>
                    </w:rPr>
                  </w:pPr>
                  <w:r>
                    <w:rPr>
                      <w:spacing w:val="-2"/>
                      <w:sz w:val="21"/>
                      <w:szCs w:val="21"/>
                    </w:rPr>
                    <w:t>《环境空气质量标准》</w:t>
                  </w:r>
                  <w:r>
                    <w:rPr>
                      <w:spacing w:val="3"/>
                      <w:sz w:val="21"/>
                      <w:szCs w:val="21"/>
                    </w:rPr>
                    <w:t xml:space="preserve"> </w:t>
                  </w:r>
                  <w:r>
                    <w:rPr>
                      <w:spacing w:val="-3"/>
                      <w:sz w:val="21"/>
                      <w:szCs w:val="21"/>
                    </w:rPr>
                    <w:t>（</w:t>
                  </w:r>
                  <w:r>
                    <w:rPr>
                      <w:rFonts w:ascii="Times New Roman" w:hAnsi="Times New Roman" w:eastAsia="Times New Roman" w:cs="Times New Roman"/>
                      <w:spacing w:val="-3"/>
                      <w:sz w:val="21"/>
                      <w:szCs w:val="21"/>
                    </w:rPr>
                    <w:t>GB3095-2012</w:t>
                  </w:r>
                  <w:r>
                    <w:rPr>
                      <w:spacing w:val="-3"/>
                      <w:sz w:val="21"/>
                      <w:szCs w:val="21"/>
                    </w:rPr>
                    <w:t>）二级标</w:t>
                  </w:r>
                </w:p>
                <w:p>
                  <w:pPr>
                    <w:pStyle w:val="6"/>
                    <w:spacing w:before="21" w:line="222" w:lineRule="auto"/>
                    <w:ind w:left="1122"/>
                    <w:rPr>
                      <w:sz w:val="21"/>
                      <w:szCs w:val="21"/>
                    </w:rPr>
                  </w:pPr>
                  <w:r>
                    <w:rPr>
                      <w:sz w:val="21"/>
                      <w:szCs w:val="21"/>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continue"/>
                  <w:tcBorders>
                    <w:top w:val="nil"/>
                    <w:bottom w:val="nil"/>
                  </w:tcBorders>
                  <w:vAlign w:val="top"/>
                </w:tcPr>
                <w:p>
                  <w:pPr>
                    <w:rPr>
                      <w:rFonts w:ascii="Arial"/>
                      <w:sz w:val="21"/>
                    </w:rPr>
                  </w:pPr>
                </w:p>
              </w:tc>
              <w:tc>
                <w:tcPr>
                  <w:tcW w:w="2097" w:type="dxa"/>
                  <w:vAlign w:val="top"/>
                </w:tcPr>
                <w:p>
                  <w:pPr>
                    <w:pStyle w:val="6"/>
                    <w:spacing w:before="63" w:line="221" w:lineRule="auto"/>
                    <w:ind w:left="499"/>
                    <w:rPr>
                      <w:sz w:val="21"/>
                      <w:szCs w:val="21"/>
                    </w:rPr>
                  </w:pP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spacing w:val="-3"/>
                      <w:sz w:val="21"/>
                      <w:szCs w:val="21"/>
                    </w:rPr>
                    <w:t>小时平均</w:t>
                  </w:r>
                </w:p>
              </w:tc>
              <w:tc>
                <w:tcPr>
                  <w:tcW w:w="2737" w:type="dxa"/>
                  <w:vAlign w:val="top"/>
                </w:tcPr>
                <w:p>
                  <w:pPr>
                    <w:spacing w:before="81" w:line="208" w:lineRule="auto"/>
                    <w:ind w:left="974"/>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150µg/m</w:t>
                  </w:r>
                  <w:r>
                    <w:rPr>
                      <w:rFonts w:ascii="Times New Roman" w:hAnsi="Times New Roman" w:eastAsia="Times New Roman" w:cs="Times New Roman"/>
                      <w:spacing w:val="-3"/>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31" w:type="dxa"/>
                  <w:vMerge w:val="continue"/>
                  <w:tcBorders>
                    <w:top w:val="nil"/>
                  </w:tcBorders>
                  <w:vAlign w:val="top"/>
                </w:tcPr>
                <w:p>
                  <w:pPr>
                    <w:rPr>
                      <w:rFonts w:ascii="Arial"/>
                      <w:sz w:val="21"/>
                    </w:rPr>
                  </w:pPr>
                </w:p>
              </w:tc>
              <w:tc>
                <w:tcPr>
                  <w:tcW w:w="2097" w:type="dxa"/>
                  <w:vAlign w:val="top"/>
                </w:tcPr>
                <w:p>
                  <w:pPr>
                    <w:pStyle w:val="6"/>
                    <w:spacing w:before="64" w:line="221" w:lineRule="auto"/>
                    <w:ind w:left="570"/>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8"/>
                      <w:sz w:val="21"/>
                      <w:szCs w:val="21"/>
                    </w:rPr>
                    <w:t xml:space="preserve"> </w:t>
                  </w:r>
                  <w:r>
                    <w:rPr>
                      <w:spacing w:val="-8"/>
                      <w:sz w:val="21"/>
                      <w:szCs w:val="21"/>
                    </w:rPr>
                    <w:t>小时平均</w:t>
                  </w:r>
                </w:p>
              </w:tc>
              <w:tc>
                <w:tcPr>
                  <w:tcW w:w="2737" w:type="dxa"/>
                  <w:vAlign w:val="top"/>
                </w:tcPr>
                <w:p>
                  <w:pPr>
                    <w:spacing w:before="81" w:line="208" w:lineRule="auto"/>
                    <w:ind w:left="96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500µg/m</w:t>
                  </w:r>
                  <w:r>
                    <w:rPr>
                      <w:rFonts w:ascii="Times New Roman" w:hAnsi="Times New Roman" w:eastAsia="Times New Roman" w:cs="Times New Roman"/>
                      <w:spacing w:val="-1"/>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restart"/>
                  <w:tcBorders>
                    <w:bottom w:val="nil"/>
                  </w:tcBorders>
                  <w:vAlign w:val="top"/>
                </w:tcPr>
                <w:p>
                  <w:pPr>
                    <w:spacing w:line="392" w:lineRule="auto"/>
                    <w:rPr>
                      <w:rFonts w:ascii="Arial"/>
                      <w:sz w:val="21"/>
                    </w:rPr>
                  </w:pPr>
                </w:p>
                <w:p>
                  <w:pPr>
                    <w:spacing w:before="61" w:line="196" w:lineRule="auto"/>
                    <w:ind w:left="472"/>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1"/>
                      <w:sz w:val="13"/>
                      <w:szCs w:val="13"/>
                    </w:rPr>
                    <w:t>2</w:t>
                  </w:r>
                </w:p>
              </w:tc>
              <w:tc>
                <w:tcPr>
                  <w:tcW w:w="2097" w:type="dxa"/>
                  <w:vAlign w:val="top"/>
                </w:tcPr>
                <w:p>
                  <w:pPr>
                    <w:pStyle w:val="6"/>
                    <w:spacing w:before="65" w:line="221" w:lineRule="auto"/>
                    <w:ind w:left="739"/>
                    <w:rPr>
                      <w:sz w:val="21"/>
                      <w:szCs w:val="21"/>
                    </w:rPr>
                  </w:pPr>
                  <w:r>
                    <w:rPr>
                      <w:spacing w:val="-2"/>
                      <w:sz w:val="21"/>
                      <w:szCs w:val="21"/>
                    </w:rPr>
                    <w:t>年平均</w:t>
                  </w:r>
                </w:p>
              </w:tc>
              <w:tc>
                <w:tcPr>
                  <w:tcW w:w="2737" w:type="dxa"/>
                  <w:vAlign w:val="top"/>
                </w:tcPr>
                <w:p>
                  <w:pPr>
                    <w:spacing w:before="84" w:line="208" w:lineRule="auto"/>
                    <w:ind w:left="1006"/>
                    <w:rPr>
                      <w:rFonts w:ascii="Times New Roman" w:hAnsi="Times New Roman" w:eastAsia="Times New Roman" w:cs="Times New Roman"/>
                      <w:sz w:val="13"/>
                      <w:szCs w:val="13"/>
                    </w:rPr>
                  </w:pPr>
                  <w:r>
                    <w:rPr>
                      <w:rFonts w:ascii="Times New Roman" w:hAnsi="Times New Roman" w:eastAsia="Times New Roman" w:cs="Times New Roman"/>
                      <w:sz w:val="21"/>
                      <w:szCs w:val="21"/>
                    </w:rPr>
                    <w:t>40µg/m</w:t>
                  </w:r>
                  <w:r>
                    <w:rPr>
                      <w:rFonts w:ascii="Times New Roman" w:hAnsi="Times New Roman" w:eastAsia="Times New Roman" w:cs="Times New Roman"/>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continue"/>
                  <w:tcBorders>
                    <w:top w:val="nil"/>
                    <w:bottom w:val="nil"/>
                  </w:tcBorders>
                  <w:vAlign w:val="top"/>
                </w:tcPr>
                <w:p>
                  <w:pPr>
                    <w:rPr>
                      <w:rFonts w:ascii="Arial"/>
                      <w:sz w:val="21"/>
                    </w:rPr>
                  </w:pPr>
                </w:p>
              </w:tc>
              <w:tc>
                <w:tcPr>
                  <w:tcW w:w="2097" w:type="dxa"/>
                  <w:vAlign w:val="top"/>
                </w:tcPr>
                <w:p>
                  <w:pPr>
                    <w:pStyle w:val="6"/>
                    <w:spacing w:before="67" w:line="221" w:lineRule="auto"/>
                    <w:ind w:left="499"/>
                    <w:rPr>
                      <w:sz w:val="21"/>
                      <w:szCs w:val="21"/>
                    </w:rPr>
                  </w:pP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spacing w:val="-3"/>
                      <w:sz w:val="21"/>
                      <w:szCs w:val="21"/>
                    </w:rPr>
                    <w:t>小时平均</w:t>
                  </w:r>
                </w:p>
              </w:tc>
              <w:tc>
                <w:tcPr>
                  <w:tcW w:w="2737" w:type="dxa"/>
                  <w:vAlign w:val="top"/>
                </w:tcPr>
                <w:p>
                  <w:pPr>
                    <w:spacing w:before="84" w:line="208" w:lineRule="auto"/>
                    <w:ind w:left="101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80µg/m</w:t>
                  </w:r>
                  <w:r>
                    <w:rPr>
                      <w:rFonts w:ascii="Times New Roman" w:hAnsi="Times New Roman" w:eastAsia="Times New Roman" w:cs="Times New Roman"/>
                      <w:spacing w:val="-1"/>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continue"/>
                  <w:tcBorders>
                    <w:top w:val="nil"/>
                  </w:tcBorders>
                  <w:vAlign w:val="top"/>
                </w:tcPr>
                <w:p>
                  <w:pPr>
                    <w:rPr>
                      <w:rFonts w:ascii="Arial"/>
                      <w:sz w:val="21"/>
                    </w:rPr>
                  </w:pPr>
                </w:p>
              </w:tc>
              <w:tc>
                <w:tcPr>
                  <w:tcW w:w="2097" w:type="dxa"/>
                  <w:vAlign w:val="top"/>
                </w:tcPr>
                <w:p>
                  <w:pPr>
                    <w:pStyle w:val="6"/>
                    <w:spacing w:before="65" w:line="221" w:lineRule="auto"/>
                    <w:ind w:left="570"/>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7"/>
                      <w:w w:val="101"/>
                      <w:sz w:val="21"/>
                      <w:szCs w:val="21"/>
                    </w:rPr>
                    <w:t xml:space="preserve"> </w:t>
                  </w:r>
                  <w:r>
                    <w:rPr>
                      <w:spacing w:val="-8"/>
                      <w:sz w:val="21"/>
                      <w:szCs w:val="21"/>
                    </w:rPr>
                    <w:t>小时平均</w:t>
                  </w:r>
                </w:p>
              </w:tc>
              <w:tc>
                <w:tcPr>
                  <w:tcW w:w="2737" w:type="dxa"/>
                  <w:vAlign w:val="top"/>
                </w:tcPr>
                <w:p>
                  <w:pPr>
                    <w:spacing w:before="82" w:line="208" w:lineRule="auto"/>
                    <w:ind w:left="954"/>
                    <w:rPr>
                      <w:rFonts w:ascii="Times New Roman" w:hAnsi="Times New Roman" w:eastAsia="Times New Roman" w:cs="Times New Roman"/>
                      <w:sz w:val="13"/>
                      <w:szCs w:val="13"/>
                    </w:rPr>
                  </w:pPr>
                  <w:r>
                    <w:rPr>
                      <w:rFonts w:ascii="Times New Roman" w:hAnsi="Times New Roman" w:eastAsia="Times New Roman" w:cs="Times New Roman"/>
                      <w:sz w:val="21"/>
                      <w:szCs w:val="21"/>
                    </w:rPr>
                    <w:t>200µg/m</w:t>
                  </w:r>
                  <w:r>
                    <w:rPr>
                      <w:rFonts w:ascii="Times New Roman" w:hAnsi="Times New Roman" w:eastAsia="Times New Roman" w:cs="Times New Roman"/>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restart"/>
                  <w:tcBorders>
                    <w:bottom w:val="nil"/>
                  </w:tcBorders>
                  <w:vAlign w:val="top"/>
                </w:tcPr>
                <w:p>
                  <w:pPr>
                    <w:spacing w:before="278"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w:t>
                  </w:r>
                </w:p>
              </w:tc>
              <w:tc>
                <w:tcPr>
                  <w:tcW w:w="2097" w:type="dxa"/>
                  <w:vAlign w:val="top"/>
                </w:tcPr>
                <w:p>
                  <w:pPr>
                    <w:pStyle w:val="6"/>
                    <w:spacing w:before="65" w:line="221" w:lineRule="auto"/>
                    <w:ind w:left="499"/>
                    <w:rPr>
                      <w:sz w:val="21"/>
                      <w:szCs w:val="21"/>
                    </w:rPr>
                  </w:pP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spacing w:val="-3"/>
                      <w:sz w:val="21"/>
                      <w:szCs w:val="21"/>
                    </w:rPr>
                    <w:t>小时平均</w:t>
                  </w:r>
                </w:p>
              </w:tc>
              <w:tc>
                <w:tcPr>
                  <w:tcW w:w="2737" w:type="dxa"/>
                  <w:vAlign w:val="top"/>
                </w:tcPr>
                <w:p>
                  <w:pPr>
                    <w:spacing w:before="83" w:line="208" w:lineRule="auto"/>
                    <w:ind w:left="1037"/>
                    <w:rPr>
                      <w:rFonts w:ascii="Times New Roman" w:hAnsi="Times New Roman" w:eastAsia="Times New Roman" w:cs="Times New Roman"/>
                      <w:sz w:val="13"/>
                      <w:szCs w:val="13"/>
                    </w:rPr>
                  </w:pPr>
                  <w:r>
                    <w:rPr>
                      <w:rFonts w:ascii="Times New Roman" w:hAnsi="Times New Roman" w:eastAsia="Times New Roman" w:cs="Times New Roman"/>
                      <w:sz w:val="21"/>
                      <w:szCs w:val="21"/>
                    </w:rPr>
                    <w:t>4mg/m</w:t>
                  </w:r>
                  <w:r>
                    <w:rPr>
                      <w:rFonts w:ascii="Times New Roman" w:hAnsi="Times New Roman" w:eastAsia="Times New Roman" w:cs="Times New Roman"/>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continue"/>
                  <w:tcBorders>
                    <w:top w:val="nil"/>
                  </w:tcBorders>
                  <w:vAlign w:val="top"/>
                </w:tcPr>
                <w:p>
                  <w:pPr>
                    <w:rPr>
                      <w:rFonts w:ascii="Arial"/>
                      <w:sz w:val="21"/>
                    </w:rPr>
                  </w:pPr>
                </w:p>
              </w:tc>
              <w:tc>
                <w:tcPr>
                  <w:tcW w:w="2097" w:type="dxa"/>
                  <w:vAlign w:val="top"/>
                </w:tcPr>
                <w:p>
                  <w:pPr>
                    <w:pStyle w:val="6"/>
                    <w:spacing w:before="65" w:line="221" w:lineRule="auto"/>
                    <w:ind w:left="570"/>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7"/>
                      <w:w w:val="101"/>
                      <w:sz w:val="21"/>
                      <w:szCs w:val="21"/>
                    </w:rPr>
                    <w:t xml:space="preserve"> </w:t>
                  </w:r>
                  <w:r>
                    <w:rPr>
                      <w:spacing w:val="-8"/>
                      <w:sz w:val="21"/>
                      <w:szCs w:val="21"/>
                    </w:rPr>
                    <w:t>小时平均</w:t>
                  </w:r>
                </w:p>
              </w:tc>
              <w:tc>
                <w:tcPr>
                  <w:tcW w:w="2737" w:type="dxa"/>
                  <w:vAlign w:val="top"/>
                </w:tcPr>
                <w:p>
                  <w:pPr>
                    <w:spacing w:before="83" w:line="208" w:lineRule="auto"/>
                    <w:ind w:left="1005"/>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10mg/m</w:t>
                  </w:r>
                  <w:r>
                    <w:rPr>
                      <w:rFonts w:ascii="Times New Roman" w:hAnsi="Times New Roman" w:eastAsia="Times New Roman" w:cs="Times New Roman"/>
                      <w:spacing w:val="-3"/>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31" w:type="dxa"/>
                  <w:vMerge w:val="restart"/>
                  <w:tcBorders>
                    <w:bottom w:val="nil"/>
                  </w:tcBorders>
                  <w:vAlign w:val="top"/>
                </w:tcPr>
                <w:p>
                  <w:pPr>
                    <w:spacing w:before="280" w:line="196" w:lineRule="auto"/>
                    <w:ind w:left="559"/>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1"/>
                      <w:sz w:val="13"/>
                      <w:szCs w:val="13"/>
                    </w:rPr>
                    <w:t>3</w:t>
                  </w:r>
                </w:p>
              </w:tc>
              <w:tc>
                <w:tcPr>
                  <w:tcW w:w="2097" w:type="dxa"/>
                  <w:vAlign w:val="top"/>
                </w:tcPr>
                <w:p>
                  <w:pPr>
                    <w:pStyle w:val="6"/>
                    <w:spacing w:before="65" w:line="221" w:lineRule="auto"/>
                    <w:ind w:left="249"/>
                    <w:rPr>
                      <w:sz w:val="21"/>
                      <w:szCs w:val="21"/>
                    </w:rPr>
                  </w:pPr>
                  <w:r>
                    <w:rPr>
                      <w:spacing w:val="-9"/>
                      <w:sz w:val="21"/>
                      <w:szCs w:val="21"/>
                    </w:rPr>
                    <w:t>日最大</w:t>
                  </w:r>
                  <w:r>
                    <w:rPr>
                      <w:spacing w:val="-37"/>
                      <w:sz w:val="21"/>
                      <w:szCs w:val="21"/>
                    </w:rPr>
                    <w:t xml:space="preserve"> </w:t>
                  </w:r>
                  <w:r>
                    <w:rPr>
                      <w:rFonts w:ascii="Times New Roman" w:hAnsi="Times New Roman" w:eastAsia="Times New Roman" w:cs="Times New Roman"/>
                      <w:spacing w:val="-9"/>
                      <w:sz w:val="21"/>
                      <w:szCs w:val="21"/>
                    </w:rPr>
                    <w:t>8</w:t>
                  </w:r>
                  <w:r>
                    <w:rPr>
                      <w:rFonts w:ascii="Times New Roman" w:hAnsi="Times New Roman" w:eastAsia="Times New Roman" w:cs="Times New Roman"/>
                      <w:spacing w:val="15"/>
                      <w:sz w:val="21"/>
                      <w:szCs w:val="21"/>
                    </w:rPr>
                    <w:t xml:space="preserve"> </w:t>
                  </w:r>
                  <w:r>
                    <w:rPr>
                      <w:spacing w:val="-9"/>
                      <w:sz w:val="21"/>
                      <w:szCs w:val="21"/>
                    </w:rPr>
                    <w:t>小时平均</w:t>
                  </w:r>
                </w:p>
              </w:tc>
              <w:tc>
                <w:tcPr>
                  <w:tcW w:w="2737" w:type="dxa"/>
                  <w:vAlign w:val="top"/>
                </w:tcPr>
                <w:p>
                  <w:pPr>
                    <w:spacing w:before="83" w:line="208" w:lineRule="auto"/>
                    <w:ind w:left="974"/>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160µg/m</w:t>
                  </w:r>
                  <w:r>
                    <w:rPr>
                      <w:rFonts w:ascii="Times New Roman" w:hAnsi="Times New Roman" w:eastAsia="Times New Roman" w:cs="Times New Roman"/>
                      <w:spacing w:val="-3"/>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continue"/>
                  <w:tcBorders>
                    <w:top w:val="nil"/>
                  </w:tcBorders>
                  <w:vAlign w:val="top"/>
                </w:tcPr>
                <w:p>
                  <w:pPr>
                    <w:rPr>
                      <w:rFonts w:ascii="Arial"/>
                      <w:sz w:val="21"/>
                    </w:rPr>
                  </w:pPr>
                </w:p>
              </w:tc>
              <w:tc>
                <w:tcPr>
                  <w:tcW w:w="2097" w:type="dxa"/>
                  <w:vAlign w:val="top"/>
                </w:tcPr>
                <w:p>
                  <w:pPr>
                    <w:pStyle w:val="6"/>
                    <w:spacing w:before="68" w:line="221" w:lineRule="auto"/>
                    <w:ind w:left="570"/>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7"/>
                      <w:w w:val="101"/>
                      <w:sz w:val="21"/>
                      <w:szCs w:val="21"/>
                    </w:rPr>
                    <w:t xml:space="preserve"> </w:t>
                  </w:r>
                  <w:r>
                    <w:rPr>
                      <w:spacing w:val="-8"/>
                      <w:sz w:val="21"/>
                      <w:szCs w:val="21"/>
                    </w:rPr>
                    <w:t>小时平均</w:t>
                  </w:r>
                </w:p>
              </w:tc>
              <w:tc>
                <w:tcPr>
                  <w:tcW w:w="2737" w:type="dxa"/>
                  <w:vAlign w:val="top"/>
                </w:tcPr>
                <w:p>
                  <w:pPr>
                    <w:spacing w:before="86" w:line="208" w:lineRule="auto"/>
                    <w:ind w:left="954"/>
                    <w:rPr>
                      <w:rFonts w:ascii="Times New Roman" w:hAnsi="Times New Roman" w:eastAsia="Times New Roman" w:cs="Times New Roman"/>
                      <w:sz w:val="13"/>
                      <w:szCs w:val="13"/>
                    </w:rPr>
                  </w:pPr>
                  <w:r>
                    <w:rPr>
                      <w:rFonts w:ascii="Times New Roman" w:hAnsi="Times New Roman" w:eastAsia="Times New Roman" w:cs="Times New Roman"/>
                      <w:sz w:val="21"/>
                      <w:szCs w:val="21"/>
                    </w:rPr>
                    <w:t>200µg/m</w:t>
                  </w:r>
                  <w:r>
                    <w:rPr>
                      <w:rFonts w:ascii="Times New Roman" w:hAnsi="Times New Roman" w:eastAsia="Times New Roman" w:cs="Times New Roman"/>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restart"/>
                  <w:tcBorders>
                    <w:bottom w:val="nil"/>
                  </w:tcBorders>
                  <w:vAlign w:val="top"/>
                </w:tcPr>
                <w:p>
                  <w:pPr>
                    <w:spacing w:before="283" w:line="187"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PM10</w:t>
                  </w:r>
                </w:p>
              </w:tc>
              <w:tc>
                <w:tcPr>
                  <w:tcW w:w="2097" w:type="dxa"/>
                  <w:vAlign w:val="top"/>
                </w:tcPr>
                <w:p>
                  <w:pPr>
                    <w:pStyle w:val="6"/>
                    <w:spacing w:before="68" w:line="221" w:lineRule="auto"/>
                    <w:ind w:left="739"/>
                    <w:rPr>
                      <w:sz w:val="21"/>
                      <w:szCs w:val="21"/>
                    </w:rPr>
                  </w:pPr>
                  <w:r>
                    <w:rPr>
                      <w:spacing w:val="-2"/>
                      <w:sz w:val="21"/>
                      <w:szCs w:val="21"/>
                    </w:rPr>
                    <w:t>年平均</w:t>
                  </w:r>
                </w:p>
              </w:tc>
              <w:tc>
                <w:tcPr>
                  <w:tcW w:w="2737" w:type="dxa"/>
                  <w:vAlign w:val="top"/>
                </w:tcPr>
                <w:p>
                  <w:pPr>
                    <w:spacing w:before="86" w:line="208" w:lineRule="auto"/>
                    <w:ind w:left="101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70µg/m</w:t>
                  </w:r>
                  <w:r>
                    <w:rPr>
                      <w:rFonts w:ascii="Times New Roman" w:hAnsi="Times New Roman" w:eastAsia="Times New Roman" w:cs="Times New Roman"/>
                      <w:spacing w:val="-1"/>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31" w:type="dxa"/>
                  <w:vMerge w:val="continue"/>
                  <w:tcBorders>
                    <w:top w:val="nil"/>
                  </w:tcBorders>
                  <w:vAlign w:val="top"/>
                </w:tcPr>
                <w:p>
                  <w:pPr>
                    <w:rPr>
                      <w:rFonts w:ascii="Arial"/>
                      <w:sz w:val="21"/>
                    </w:rPr>
                  </w:pPr>
                </w:p>
              </w:tc>
              <w:tc>
                <w:tcPr>
                  <w:tcW w:w="2097" w:type="dxa"/>
                  <w:vAlign w:val="top"/>
                </w:tcPr>
                <w:p>
                  <w:pPr>
                    <w:pStyle w:val="6"/>
                    <w:spacing w:before="67" w:line="221" w:lineRule="auto"/>
                    <w:ind w:left="499"/>
                    <w:rPr>
                      <w:sz w:val="21"/>
                      <w:szCs w:val="21"/>
                    </w:rPr>
                  </w:pP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spacing w:val="-3"/>
                      <w:sz w:val="21"/>
                      <w:szCs w:val="21"/>
                    </w:rPr>
                    <w:t>小时平均</w:t>
                  </w:r>
                </w:p>
              </w:tc>
              <w:tc>
                <w:tcPr>
                  <w:tcW w:w="2737" w:type="dxa"/>
                  <w:vAlign w:val="top"/>
                </w:tcPr>
                <w:p>
                  <w:pPr>
                    <w:spacing w:before="85" w:line="208" w:lineRule="auto"/>
                    <w:ind w:left="974"/>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150µg/m</w:t>
                  </w:r>
                  <w:r>
                    <w:rPr>
                      <w:rFonts w:ascii="Times New Roman" w:hAnsi="Times New Roman" w:eastAsia="Times New Roman" w:cs="Times New Roman"/>
                      <w:spacing w:val="-3"/>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restart"/>
                  <w:tcBorders>
                    <w:bottom w:val="nil"/>
                  </w:tcBorders>
                  <w:vAlign w:val="top"/>
                </w:tcPr>
                <w:p>
                  <w:pPr>
                    <w:spacing w:before="280" w:line="187"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PM2.5</w:t>
                  </w:r>
                </w:p>
              </w:tc>
              <w:tc>
                <w:tcPr>
                  <w:tcW w:w="2097" w:type="dxa"/>
                  <w:vAlign w:val="top"/>
                </w:tcPr>
                <w:p>
                  <w:pPr>
                    <w:pStyle w:val="6"/>
                    <w:spacing w:before="66" w:line="221" w:lineRule="auto"/>
                    <w:ind w:left="739"/>
                    <w:rPr>
                      <w:sz w:val="21"/>
                      <w:szCs w:val="21"/>
                    </w:rPr>
                  </w:pPr>
                  <w:r>
                    <w:rPr>
                      <w:spacing w:val="-2"/>
                      <w:sz w:val="21"/>
                      <w:szCs w:val="21"/>
                    </w:rPr>
                    <w:t>年平均</w:t>
                  </w:r>
                </w:p>
              </w:tc>
              <w:tc>
                <w:tcPr>
                  <w:tcW w:w="2737" w:type="dxa"/>
                  <w:vAlign w:val="top"/>
                </w:tcPr>
                <w:p>
                  <w:pPr>
                    <w:spacing w:before="84" w:line="208" w:lineRule="auto"/>
                    <w:ind w:left="1011"/>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35µg/m</w:t>
                  </w:r>
                  <w:r>
                    <w:rPr>
                      <w:rFonts w:ascii="Times New Roman" w:hAnsi="Times New Roman" w:eastAsia="Times New Roman" w:cs="Times New Roman"/>
                      <w:spacing w:val="-1"/>
                      <w:position w:val="6"/>
                      <w:sz w:val="13"/>
                      <w:szCs w:val="13"/>
                    </w:rPr>
                    <w:t>3</w:t>
                  </w:r>
                </w:p>
              </w:tc>
              <w:tc>
                <w:tcPr>
                  <w:tcW w:w="24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31" w:type="dxa"/>
                  <w:vMerge w:val="continue"/>
                  <w:tcBorders>
                    <w:top w:val="nil"/>
                  </w:tcBorders>
                  <w:vAlign w:val="top"/>
                </w:tcPr>
                <w:p>
                  <w:pPr>
                    <w:rPr>
                      <w:rFonts w:ascii="Arial"/>
                      <w:sz w:val="21"/>
                    </w:rPr>
                  </w:pPr>
                </w:p>
              </w:tc>
              <w:tc>
                <w:tcPr>
                  <w:tcW w:w="2097" w:type="dxa"/>
                  <w:vAlign w:val="top"/>
                </w:tcPr>
                <w:p>
                  <w:pPr>
                    <w:pStyle w:val="6"/>
                    <w:spacing w:before="67" w:line="221" w:lineRule="auto"/>
                    <w:ind w:left="499"/>
                    <w:rPr>
                      <w:sz w:val="21"/>
                      <w:szCs w:val="21"/>
                    </w:rPr>
                  </w:pP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spacing w:val="-3"/>
                      <w:sz w:val="21"/>
                      <w:szCs w:val="21"/>
                    </w:rPr>
                    <w:t>小时平均</w:t>
                  </w:r>
                </w:p>
              </w:tc>
              <w:tc>
                <w:tcPr>
                  <w:tcW w:w="2737" w:type="dxa"/>
                  <w:vAlign w:val="top"/>
                </w:tcPr>
                <w:p>
                  <w:pPr>
                    <w:spacing w:before="85" w:line="208" w:lineRule="auto"/>
                    <w:ind w:left="101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75µg/m</w:t>
                  </w:r>
                  <w:r>
                    <w:rPr>
                      <w:rFonts w:ascii="Times New Roman" w:hAnsi="Times New Roman" w:eastAsia="Times New Roman" w:cs="Times New Roman"/>
                      <w:spacing w:val="-1"/>
                      <w:position w:val="6"/>
                      <w:sz w:val="13"/>
                      <w:szCs w:val="13"/>
                    </w:rPr>
                    <w:t>3</w:t>
                  </w:r>
                </w:p>
              </w:tc>
              <w:tc>
                <w:tcPr>
                  <w:tcW w:w="244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331" w:type="dxa"/>
                  <w:vAlign w:val="top"/>
                </w:tcPr>
                <w:p>
                  <w:pPr>
                    <w:spacing w:line="281" w:lineRule="auto"/>
                    <w:rPr>
                      <w:rFonts w:ascii="Arial"/>
                      <w:sz w:val="21"/>
                    </w:rPr>
                  </w:pPr>
                </w:p>
                <w:p>
                  <w:pPr>
                    <w:spacing w:before="61" w:line="196"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S</w:t>
                  </w:r>
                </w:p>
              </w:tc>
              <w:tc>
                <w:tcPr>
                  <w:tcW w:w="2097" w:type="dxa"/>
                  <w:vAlign w:val="top"/>
                </w:tcPr>
                <w:p>
                  <w:pPr>
                    <w:pStyle w:val="6"/>
                    <w:spacing w:before="305" w:line="221" w:lineRule="auto"/>
                    <w:ind w:left="570"/>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7"/>
                      <w:w w:val="101"/>
                      <w:sz w:val="21"/>
                      <w:szCs w:val="21"/>
                    </w:rPr>
                    <w:t xml:space="preserve"> </w:t>
                  </w:r>
                  <w:r>
                    <w:rPr>
                      <w:spacing w:val="-8"/>
                      <w:sz w:val="21"/>
                      <w:szCs w:val="21"/>
                    </w:rPr>
                    <w:t>小时平均</w:t>
                  </w:r>
                </w:p>
              </w:tc>
              <w:tc>
                <w:tcPr>
                  <w:tcW w:w="2737" w:type="dxa"/>
                  <w:vAlign w:val="top"/>
                </w:tcPr>
                <w:p>
                  <w:pPr>
                    <w:spacing w:line="261" w:lineRule="auto"/>
                    <w:rPr>
                      <w:rFonts w:ascii="Arial"/>
                      <w:sz w:val="21"/>
                    </w:rPr>
                  </w:pPr>
                </w:p>
                <w:p>
                  <w:pPr>
                    <w:spacing w:before="60" w:line="208" w:lineRule="auto"/>
                    <w:ind w:left="1027"/>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10µg/m</w:t>
                  </w:r>
                  <w:r>
                    <w:rPr>
                      <w:rFonts w:ascii="Times New Roman" w:hAnsi="Times New Roman" w:eastAsia="Times New Roman" w:cs="Times New Roman"/>
                      <w:spacing w:val="-3"/>
                      <w:position w:val="6"/>
                      <w:sz w:val="13"/>
                      <w:szCs w:val="13"/>
                    </w:rPr>
                    <w:t>3</w:t>
                  </w:r>
                </w:p>
              </w:tc>
              <w:tc>
                <w:tcPr>
                  <w:tcW w:w="2445" w:type="dxa"/>
                  <w:vAlign w:val="top"/>
                </w:tcPr>
                <w:p>
                  <w:pPr>
                    <w:pStyle w:val="6"/>
                    <w:spacing w:before="33" w:line="230" w:lineRule="auto"/>
                    <w:ind w:left="116" w:right="98" w:firstLine="10"/>
                    <w:rPr>
                      <w:sz w:val="21"/>
                      <w:szCs w:val="21"/>
                    </w:rPr>
                  </w:pPr>
                  <w:r>
                    <w:rPr>
                      <w:spacing w:val="-1"/>
                      <w:sz w:val="21"/>
                      <w:szCs w:val="21"/>
                    </w:rPr>
                    <w:t>《环境影响评价导则 大</w:t>
                  </w:r>
                  <w:r>
                    <w:rPr>
                      <w:spacing w:val="3"/>
                      <w:sz w:val="21"/>
                      <w:szCs w:val="21"/>
                    </w:rPr>
                    <w:t xml:space="preserve"> </w:t>
                  </w:r>
                  <w:r>
                    <w:rPr>
                      <w:spacing w:val="-2"/>
                      <w:sz w:val="21"/>
                      <w:szCs w:val="21"/>
                    </w:rPr>
                    <w:t>气环境》（</w:t>
                  </w:r>
                  <w:r>
                    <w:rPr>
                      <w:rFonts w:ascii="Times New Roman" w:hAnsi="Times New Roman" w:eastAsia="Times New Roman" w:cs="Times New Roman"/>
                      <w:spacing w:val="-2"/>
                      <w:sz w:val="21"/>
                      <w:szCs w:val="21"/>
                    </w:rPr>
                    <w:t>HJ2.2-2018</w:t>
                  </w:r>
                  <w:r>
                    <w:rPr>
                      <w:spacing w:val="-2"/>
                      <w:sz w:val="21"/>
                      <w:szCs w:val="21"/>
                    </w:rPr>
                    <w:t>）</w:t>
                  </w:r>
                </w:p>
                <w:p>
                  <w:pPr>
                    <w:pStyle w:val="6"/>
                    <w:spacing w:before="22" w:line="203" w:lineRule="auto"/>
                    <w:ind w:left="930"/>
                    <w:rPr>
                      <w:rFonts w:ascii="Times New Roman" w:hAnsi="Times New Roman" w:eastAsia="Times New Roman" w:cs="Times New Roman"/>
                      <w:sz w:val="21"/>
                      <w:szCs w:val="21"/>
                    </w:rPr>
                  </w:pPr>
                  <w:r>
                    <w:rPr>
                      <w:spacing w:val="-8"/>
                      <w:sz w:val="21"/>
                      <w:szCs w:val="21"/>
                    </w:rPr>
                    <w:t>附录</w:t>
                  </w:r>
                  <w:r>
                    <w:rPr>
                      <w:spacing w:val="-50"/>
                      <w:sz w:val="21"/>
                      <w:szCs w:val="21"/>
                    </w:rPr>
                    <w:t xml:space="preserve"> </w:t>
                  </w:r>
                  <w:r>
                    <w:rPr>
                      <w:rFonts w:ascii="Times New Roman" w:hAnsi="Times New Roman" w:eastAsia="Times New Roman" w:cs="Times New Roman"/>
                      <w:spacing w:val="-8"/>
                      <w:sz w:val="21"/>
                      <w:szCs w:val="21"/>
                    </w:rPr>
                    <w: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331" w:type="dxa"/>
                  <w:vAlign w:val="top"/>
                </w:tcPr>
                <w:p>
                  <w:pPr>
                    <w:pStyle w:val="6"/>
                    <w:spacing w:before="171" w:line="221" w:lineRule="auto"/>
                    <w:ind w:left="148"/>
                    <w:rPr>
                      <w:sz w:val="21"/>
                      <w:szCs w:val="21"/>
                    </w:rPr>
                  </w:pPr>
                  <w:r>
                    <w:rPr>
                      <w:spacing w:val="-2"/>
                      <w:sz w:val="21"/>
                      <w:szCs w:val="21"/>
                    </w:rPr>
                    <w:t>非甲烷总烃</w:t>
                  </w:r>
                </w:p>
              </w:tc>
              <w:tc>
                <w:tcPr>
                  <w:tcW w:w="2097" w:type="dxa"/>
                  <w:vAlign w:val="top"/>
                </w:tcPr>
                <w:p>
                  <w:pPr>
                    <w:pStyle w:val="6"/>
                    <w:spacing w:before="171" w:line="221" w:lineRule="auto"/>
                    <w:ind w:left="570"/>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7"/>
                      <w:w w:val="101"/>
                      <w:sz w:val="21"/>
                      <w:szCs w:val="21"/>
                    </w:rPr>
                    <w:t xml:space="preserve"> </w:t>
                  </w:r>
                  <w:r>
                    <w:rPr>
                      <w:spacing w:val="-8"/>
                      <w:sz w:val="21"/>
                      <w:szCs w:val="21"/>
                    </w:rPr>
                    <w:t>小时平均</w:t>
                  </w:r>
                </w:p>
              </w:tc>
              <w:tc>
                <w:tcPr>
                  <w:tcW w:w="2737" w:type="dxa"/>
                  <w:vAlign w:val="top"/>
                </w:tcPr>
                <w:p>
                  <w:pPr>
                    <w:spacing w:before="189" w:line="208" w:lineRule="auto"/>
                    <w:ind w:left="901"/>
                    <w:rPr>
                      <w:rFonts w:ascii="Times New Roman" w:hAnsi="Times New Roman" w:eastAsia="Times New Roman" w:cs="Times New Roman"/>
                      <w:sz w:val="13"/>
                      <w:szCs w:val="13"/>
                    </w:rPr>
                  </w:pPr>
                  <w:r>
                    <w:rPr>
                      <w:rFonts w:ascii="Times New Roman" w:hAnsi="Times New Roman" w:eastAsia="Times New Roman" w:cs="Times New Roman"/>
                      <w:sz w:val="21"/>
                      <w:szCs w:val="21"/>
                    </w:rPr>
                    <w:t>2000µg/m</w:t>
                  </w:r>
                  <w:r>
                    <w:rPr>
                      <w:rFonts w:ascii="Times New Roman" w:hAnsi="Times New Roman" w:eastAsia="Times New Roman" w:cs="Times New Roman"/>
                      <w:position w:val="6"/>
                      <w:sz w:val="13"/>
                      <w:szCs w:val="13"/>
                    </w:rPr>
                    <w:t>3</w:t>
                  </w:r>
                </w:p>
              </w:tc>
              <w:tc>
                <w:tcPr>
                  <w:tcW w:w="2445" w:type="dxa"/>
                  <w:vAlign w:val="top"/>
                </w:tcPr>
                <w:p>
                  <w:pPr>
                    <w:pStyle w:val="6"/>
                    <w:spacing w:before="34" w:line="225" w:lineRule="auto"/>
                    <w:ind w:left="178" w:right="167"/>
                    <w:rPr>
                      <w:sz w:val="21"/>
                      <w:szCs w:val="21"/>
                    </w:rPr>
                  </w:pPr>
                  <w:r>
                    <w:rPr>
                      <w:spacing w:val="-1"/>
                      <w:sz w:val="21"/>
                      <w:szCs w:val="21"/>
                    </w:rPr>
                    <w:t>《大气污染物综合排放</w:t>
                  </w:r>
                  <w:r>
                    <w:rPr>
                      <w:spacing w:val="2"/>
                      <w:sz w:val="21"/>
                      <w:szCs w:val="21"/>
                    </w:rPr>
                    <w:t xml:space="preserve"> </w:t>
                  </w:r>
                  <w:r>
                    <w:rPr>
                      <w:spacing w:val="-1"/>
                      <w:sz w:val="21"/>
                      <w:szCs w:val="21"/>
                    </w:rPr>
                    <w:t>标准详解》中参考限值</w:t>
                  </w:r>
                </w:p>
              </w:tc>
            </w:tr>
          </w:tbl>
          <w:p>
            <w:pPr>
              <w:pStyle w:val="6"/>
              <w:spacing w:before="208" w:line="220" w:lineRule="auto"/>
              <w:ind w:left="562"/>
              <w:rPr>
                <w:sz w:val="24"/>
                <w:szCs w:val="24"/>
              </w:rPr>
            </w:pPr>
            <w:r>
              <w:rPr>
                <w:rFonts w:ascii="Times New Roman" w:hAnsi="Times New Roman" w:eastAsia="Times New Roman" w:cs="Times New Roman"/>
                <w:b/>
                <w:bCs/>
                <w:spacing w:val="-1"/>
                <w:sz w:val="24"/>
                <w:szCs w:val="24"/>
              </w:rPr>
              <w:t xml:space="preserve">3.5.2 </w:t>
            </w:r>
            <w:r>
              <w:rPr>
                <w:spacing w:val="-1"/>
                <w:sz w:val="24"/>
                <w:szCs w:val="24"/>
                <w14:textOutline w14:w="4354" w14:cap="flat" w14:cmpd="sng">
                  <w14:solidFill>
                    <w14:srgbClr w14:val="000000"/>
                  </w14:solidFill>
                  <w14:prstDash w14:val="solid"/>
                  <w14:miter w14:val="10"/>
                </w14:textOutline>
              </w:rPr>
              <w:t>地表水</w:t>
            </w:r>
          </w:p>
          <w:p>
            <w:pPr>
              <w:pStyle w:val="6"/>
              <w:spacing w:before="201" w:line="481" w:lineRule="exact"/>
              <w:ind w:left="1049"/>
              <w:rPr>
                <w:sz w:val="24"/>
                <w:szCs w:val="24"/>
              </w:rPr>
            </w:pPr>
            <w:r>
              <w:rPr>
                <w:spacing w:val="-1"/>
                <w:position w:val="18"/>
                <w:sz w:val="24"/>
                <w:szCs w:val="24"/>
              </w:rPr>
              <w:t>本项目周边距离项目最近的水体为东侧洞滩河，</w:t>
            </w:r>
            <w:r>
              <w:rPr>
                <w:spacing w:val="-2"/>
                <w:position w:val="18"/>
                <w:sz w:val="24"/>
                <w:szCs w:val="24"/>
              </w:rPr>
              <w:t>水质执行《地表水环境质量标</w:t>
            </w:r>
          </w:p>
          <w:p>
            <w:pPr>
              <w:pStyle w:val="6"/>
              <w:spacing w:line="219" w:lineRule="auto"/>
              <w:ind w:left="570"/>
              <w:rPr>
                <w:sz w:val="24"/>
                <w:szCs w:val="24"/>
              </w:rPr>
            </w:pPr>
            <w:r>
              <w:rPr>
                <w:spacing w:val="-2"/>
                <w:sz w:val="24"/>
                <w:szCs w:val="24"/>
              </w:rPr>
              <w:t>准》（</w:t>
            </w:r>
            <w:r>
              <w:rPr>
                <w:rFonts w:ascii="Times New Roman" w:hAnsi="Times New Roman" w:eastAsia="Times New Roman" w:cs="Times New Roman"/>
                <w:spacing w:val="-2"/>
                <w:sz w:val="24"/>
                <w:szCs w:val="24"/>
              </w:rPr>
              <w:t>GB3838-2002</w:t>
            </w:r>
            <w:r>
              <w:rPr>
                <w:spacing w:val="-2"/>
                <w:sz w:val="24"/>
                <w:szCs w:val="24"/>
              </w:rPr>
              <w:t>）中的</w:t>
            </w:r>
            <w:r>
              <w:rPr>
                <w:spacing w:val="-25"/>
                <w:sz w:val="24"/>
                <w:szCs w:val="24"/>
              </w:rPr>
              <w:t xml:space="preserve"> </w:t>
            </w:r>
            <w:r>
              <w:rPr>
                <w:rFonts w:ascii="Times New Roman" w:hAnsi="Times New Roman" w:eastAsia="Times New Roman" w:cs="Times New Roman"/>
                <w:spacing w:val="-2"/>
                <w:sz w:val="24"/>
                <w:szCs w:val="24"/>
              </w:rPr>
              <w:t xml:space="preserve">III </w:t>
            </w:r>
            <w:r>
              <w:rPr>
                <w:spacing w:val="-2"/>
                <w:sz w:val="24"/>
                <w:szCs w:val="24"/>
              </w:rPr>
              <w:t>类水域水质标准。具体标准限值详见下表。</w:t>
            </w:r>
          </w:p>
          <w:p>
            <w:pPr>
              <w:pStyle w:val="6"/>
              <w:spacing w:before="195" w:line="212" w:lineRule="auto"/>
              <w:ind w:left="2513"/>
              <w:rPr>
                <w:rFonts w:ascii="Times New Roman" w:hAnsi="Times New Roman" w:eastAsia="Times New Roman" w:cs="Times New Roman"/>
                <w:sz w:val="24"/>
                <w:szCs w:val="24"/>
              </w:rPr>
            </w:pPr>
            <w:r>
              <w:rPr>
                <w:spacing w:val="-4"/>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pacing w:val="-4"/>
                <w:sz w:val="24"/>
                <w:szCs w:val="24"/>
              </w:rPr>
              <w:t xml:space="preserve">3.5-2    </w:t>
            </w:r>
            <w:r>
              <w:rPr>
                <w:spacing w:val="-4"/>
                <w:sz w:val="24"/>
                <w:szCs w:val="24"/>
                <w14:textOutline w14:w="4354" w14:cap="flat" w14:cmpd="sng">
                  <w14:solidFill>
                    <w14:srgbClr w14:val="000000"/>
                  </w14:solidFill>
                  <w14:prstDash w14:val="solid"/>
                  <w14:miter w14:val="10"/>
                </w14:textOutline>
              </w:rPr>
              <w:t>地表水环境质量标准</w:t>
            </w:r>
            <w:r>
              <w:rPr>
                <w:spacing w:val="-4"/>
                <w:sz w:val="24"/>
                <w:szCs w:val="24"/>
              </w:rPr>
              <w:t xml:space="preserve">  </w:t>
            </w:r>
            <w:r>
              <w:rPr>
                <w:spacing w:val="-4"/>
                <w:sz w:val="24"/>
                <w:szCs w:val="24"/>
                <w14:textOutline w14:w="4354" w14:cap="flat" w14:cmpd="sng">
                  <w14:solidFill>
                    <w14:srgbClr w14:val="000000"/>
                  </w14:solidFill>
                  <w14:prstDash w14:val="solid"/>
                  <w14:miter w14:val="10"/>
                </w14:textOutline>
              </w:rPr>
              <w:t>单位：</w:t>
            </w:r>
            <w:r>
              <w:rPr>
                <w:spacing w:val="-4"/>
                <w:sz w:val="24"/>
                <w:szCs w:val="24"/>
              </w:rPr>
              <w:t xml:space="preserve"> </w:t>
            </w:r>
            <w:r>
              <w:rPr>
                <w:rFonts w:ascii="Times New Roman" w:hAnsi="Times New Roman" w:eastAsia="Times New Roman" w:cs="Times New Roman"/>
                <w:b/>
                <w:bCs/>
                <w:spacing w:val="-5"/>
                <w:sz w:val="24"/>
                <w:szCs w:val="24"/>
              </w:rPr>
              <w:t>mg/L</w:t>
            </w:r>
          </w:p>
          <w:p>
            <w:pPr>
              <w:spacing w:line="2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5"/>
              <w:gridCol w:w="1078"/>
              <w:gridCol w:w="1108"/>
              <w:gridCol w:w="971"/>
              <w:gridCol w:w="1111"/>
              <w:gridCol w:w="1099"/>
              <w:gridCol w:w="962"/>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45" w:type="dxa"/>
                  <w:vAlign w:val="top"/>
                </w:tcPr>
                <w:p>
                  <w:pPr>
                    <w:pStyle w:val="6"/>
                    <w:spacing w:before="68" w:line="221" w:lineRule="auto"/>
                    <w:ind w:left="421"/>
                    <w:rPr>
                      <w:sz w:val="21"/>
                      <w:szCs w:val="21"/>
                    </w:rPr>
                  </w:pPr>
                  <w:r>
                    <w:rPr>
                      <w:spacing w:val="-3"/>
                      <w:sz w:val="21"/>
                      <w:szCs w:val="21"/>
                    </w:rPr>
                    <w:t>项目</w:t>
                  </w:r>
                </w:p>
              </w:tc>
              <w:tc>
                <w:tcPr>
                  <w:tcW w:w="1078" w:type="dxa"/>
                  <w:vAlign w:val="top"/>
                </w:tcPr>
                <w:p>
                  <w:pPr>
                    <w:spacing w:before="105" w:line="191" w:lineRule="auto"/>
                    <w:ind w:left="403"/>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108" w:type="dxa"/>
                  <w:vAlign w:val="top"/>
                </w:tcPr>
                <w:p>
                  <w:pPr>
                    <w:spacing w:before="109" w:line="196" w:lineRule="auto"/>
                    <w:ind w:left="2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COD</w:t>
                  </w:r>
                  <w:r>
                    <w:rPr>
                      <w:rFonts w:ascii="Times New Roman" w:hAnsi="Times New Roman" w:eastAsia="Times New Roman" w:cs="Times New Roman"/>
                      <w:spacing w:val="1"/>
                      <w:position w:val="-1"/>
                      <w:sz w:val="13"/>
                      <w:szCs w:val="13"/>
                    </w:rPr>
                    <w:t>Cr</w:t>
                  </w:r>
                </w:p>
              </w:tc>
              <w:tc>
                <w:tcPr>
                  <w:tcW w:w="971" w:type="dxa"/>
                  <w:vAlign w:val="top"/>
                </w:tcPr>
                <w:p>
                  <w:pPr>
                    <w:spacing w:before="109" w:line="196" w:lineRule="auto"/>
                    <w:ind w:left="228"/>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1111" w:type="dxa"/>
                  <w:vAlign w:val="top"/>
                </w:tcPr>
                <w:p>
                  <w:pPr>
                    <w:spacing w:before="112" w:line="193" w:lineRule="auto"/>
                    <w:ind w:left="251"/>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sz w:val="21"/>
                      <w:szCs w:val="21"/>
                    </w:rPr>
                    <w:t>-N</w:t>
                  </w:r>
                </w:p>
              </w:tc>
              <w:tc>
                <w:tcPr>
                  <w:tcW w:w="1099" w:type="dxa"/>
                  <w:vAlign w:val="top"/>
                </w:tcPr>
                <w:p>
                  <w:pPr>
                    <w:pStyle w:val="6"/>
                    <w:spacing w:before="67" w:line="221" w:lineRule="auto"/>
                    <w:ind w:left="242"/>
                    <w:rPr>
                      <w:sz w:val="21"/>
                      <w:szCs w:val="21"/>
                    </w:rPr>
                  </w:pPr>
                  <w:r>
                    <w:rPr>
                      <w:spacing w:val="-2"/>
                      <w:sz w:val="21"/>
                      <w:szCs w:val="21"/>
                    </w:rPr>
                    <w:t>石油类</w:t>
                  </w:r>
                </w:p>
              </w:tc>
              <w:tc>
                <w:tcPr>
                  <w:tcW w:w="962" w:type="dxa"/>
                  <w:vAlign w:val="top"/>
                </w:tcPr>
                <w:p>
                  <w:pPr>
                    <w:pStyle w:val="6"/>
                    <w:spacing w:before="67" w:line="222" w:lineRule="auto"/>
                    <w:ind w:left="171"/>
                    <w:rPr>
                      <w:sz w:val="21"/>
                      <w:szCs w:val="21"/>
                    </w:rPr>
                  </w:pPr>
                  <w:r>
                    <w:rPr>
                      <w:spacing w:val="-1"/>
                      <w:sz w:val="21"/>
                      <w:szCs w:val="21"/>
                    </w:rPr>
                    <w:t>硫化物</w:t>
                  </w:r>
                </w:p>
              </w:tc>
              <w:tc>
                <w:tcPr>
                  <w:tcW w:w="1036" w:type="dxa"/>
                  <w:vAlign w:val="top"/>
                </w:tcPr>
                <w:p>
                  <w:pPr>
                    <w:pStyle w:val="6"/>
                    <w:spacing w:before="67" w:line="222" w:lineRule="auto"/>
                    <w:ind w:left="210"/>
                    <w:rPr>
                      <w:sz w:val="21"/>
                      <w:szCs w:val="21"/>
                    </w:rPr>
                  </w:pPr>
                  <w:r>
                    <w:rPr>
                      <w:spacing w:val="-2"/>
                      <w:sz w:val="21"/>
                      <w:szCs w:val="21"/>
                    </w:rPr>
                    <w:t>氯化物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245" w:type="dxa"/>
                  <w:vAlign w:val="top"/>
                </w:tcPr>
                <w:p>
                  <w:pPr>
                    <w:pStyle w:val="6"/>
                    <w:spacing w:before="64" w:line="221" w:lineRule="auto"/>
                    <w:ind w:left="209"/>
                    <w:rPr>
                      <w:sz w:val="21"/>
                      <w:szCs w:val="21"/>
                    </w:rPr>
                  </w:pPr>
                  <w:r>
                    <w:rPr>
                      <w:rFonts w:ascii="Times New Roman" w:hAnsi="Times New Roman" w:eastAsia="Times New Roman" w:cs="Times New Roman"/>
                      <w:spacing w:val="-1"/>
                      <w:sz w:val="21"/>
                      <w:szCs w:val="21"/>
                    </w:rPr>
                    <w:t>Ⅲ</w:t>
                  </w:r>
                  <w:r>
                    <w:rPr>
                      <w:spacing w:val="-1"/>
                      <w:sz w:val="21"/>
                      <w:szCs w:val="21"/>
                    </w:rPr>
                    <w:t>类标准</w:t>
                  </w:r>
                </w:p>
              </w:tc>
              <w:tc>
                <w:tcPr>
                  <w:tcW w:w="1078" w:type="dxa"/>
                  <w:vAlign w:val="top"/>
                </w:tcPr>
                <w:p>
                  <w:pPr>
                    <w:pStyle w:val="6"/>
                    <w:spacing w:before="65" w:line="23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108" w:type="dxa"/>
                  <w:vAlign w:val="top"/>
                </w:tcPr>
                <w:p>
                  <w:pPr>
                    <w:spacing w:before="100" w:line="219"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71" w:type="dxa"/>
                  <w:vAlign w:val="top"/>
                </w:tcPr>
                <w:p>
                  <w:pPr>
                    <w:spacing w:before="100" w:line="219"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1111" w:type="dxa"/>
                  <w:vAlign w:val="top"/>
                </w:tcPr>
                <w:p>
                  <w:pPr>
                    <w:spacing w:before="100" w:line="219" w:lineRule="auto"/>
                    <w:ind w:left="3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1099" w:type="dxa"/>
                  <w:vAlign w:val="top"/>
                </w:tcPr>
                <w:p>
                  <w:pPr>
                    <w:spacing w:before="100" w:line="219"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962" w:type="dxa"/>
                  <w:vAlign w:val="top"/>
                </w:tcPr>
                <w:p>
                  <w:pPr>
                    <w:spacing w:before="100" w:line="219"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1036" w:type="dxa"/>
                  <w:vAlign w:val="top"/>
                </w:tcPr>
                <w:p>
                  <w:pPr>
                    <w:spacing w:before="100" w:line="219"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r>
          </w:tbl>
          <w:p>
            <w:pPr>
              <w:pStyle w:val="6"/>
              <w:spacing w:before="211" w:line="220" w:lineRule="auto"/>
              <w:ind w:left="562"/>
              <w:rPr>
                <w:sz w:val="24"/>
                <w:szCs w:val="24"/>
              </w:rPr>
            </w:pPr>
            <w:r>
              <w:rPr>
                <w:rFonts w:ascii="Times New Roman" w:hAnsi="Times New Roman" w:eastAsia="Times New Roman" w:cs="Times New Roman"/>
                <w:b/>
                <w:bCs/>
                <w:spacing w:val="-1"/>
                <w:sz w:val="24"/>
                <w:szCs w:val="24"/>
              </w:rPr>
              <w:t xml:space="preserve">3.5.3 </w:t>
            </w:r>
            <w:r>
              <w:rPr>
                <w:spacing w:val="-1"/>
                <w:sz w:val="24"/>
                <w:szCs w:val="24"/>
                <w14:textOutline w14:w="4354" w14:cap="flat" w14:cmpd="sng">
                  <w14:solidFill>
                    <w14:srgbClr w14:val="000000"/>
                  </w14:solidFill>
                  <w14:prstDash w14:val="solid"/>
                  <w14:miter w14:val="10"/>
                </w14:textOutline>
              </w:rPr>
              <w:t>地下水</w:t>
            </w:r>
          </w:p>
          <w:p>
            <w:pPr>
              <w:pStyle w:val="6"/>
              <w:spacing w:before="201" w:line="480" w:lineRule="exact"/>
              <w:ind w:left="1049"/>
              <w:rPr>
                <w:sz w:val="24"/>
                <w:szCs w:val="24"/>
              </w:rPr>
            </w:pPr>
            <w:r>
              <w:rPr>
                <w:spacing w:val="-1"/>
                <w:position w:val="18"/>
                <w:sz w:val="24"/>
                <w:szCs w:val="24"/>
              </w:rPr>
              <w:t>本项目所在区域地下水执行《地下水质量标准》（</w:t>
            </w:r>
            <w:r>
              <w:rPr>
                <w:rFonts w:ascii="Times New Roman" w:hAnsi="Times New Roman" w:eastAsia="Times New Roman" w:cs="Times New Roman"/>
                <w:spacing w:val="-1"/>
                <w:position w:val="18"/>
                <w:sz w:val="24"/>
                <w:szCs w:val="24"/>
              </w:rPr>
              <w:t>GB/T148</w:t>
            </w:r>
            <w:r>
              <w:rPr>
                <w:rFonts w:ascii="Times New Roman" w:hAnsi="Times New Roman" w:eastAsia="Times New Roman" w:cs="Times New Roman"/>
                <w:spacing w:val="-2"/>
                <w:position w:val="18"/>
                <w:sz w:val="24"/>
                <w:szCs w:val="24"/>
              </w:rPr>
              <w:t>48-2017</w:t>
            </w:r>
            <w:r>
              <w:rPr>
                <w:spacing w:val="-2"/>
                <w:position w:val="18"/>
                <w:sz w:val="24"/>
                <w:szCs w:val="24"/>
              </w:rPr>
              <w:t>）中</w:t>
            </w:r>
            <w:r>
              <w:rPr>
                <w:rFonts w:ascii="Times New Roman" w:hAnsi="Times New Roman" w:eastAsia="Times New Roman" w:cs="Times New Roman"/>
                <w:spacing w:val="-2"/>
                <w:position w:val="18"/>
                <w:sz w:val="24"/>
                <w:szCs w:val="24"/>
              </w:rPr>
              <w:t>Ⅲ</w:t>
            </w:r>
            <w:r>
              <w:rPr>
                <w:spacing w:val="-2"/>
                <w:position w:val="18"/>
                <w:sz w:val="24"/>
                <w:szCs w:val="24"/>
              </w:rPr>
              <w:t>类标</w:t>
            </w:r>
          </w:p>
          <w:p>
            <w:pPr>
              <w:pStyle w:val="6"/>
              <w:spacing w:before="1" w:line="219" w:lineRule="auto"/>
              <w:ind w:left="570"/>
              <w:rPr>
                <w:sz w:val="24"/>
                <w:szCs w:val="24"/>
              </w:rPr>
            </w:pPr>
            <w:r>
              <w:rPr>
                <w:spacing w:val="-4"/>
                <w:sz w:val="24"/>
                <w:szCs w:val="24"/>
              </w:rPr>
              <w:t>准。具体标准值见下表。</w:t>
            </w:r>
          </w:p>
          <w:p>
            <w:pPr>
              <w:pStyle w:val="6"/>
              <w:spacing w:before="194" w:line="220" w:lineRule="auto"/>
              <w:ind w:left="2787"/>
              <w:rPr>
                <w:sz w:val="24"/>
                <w:szCs w:val="24"/>
              </w:rPr>
            </w:pPr>
            <w:r>
              <w:rPr>
                <w:spacing w:val="-1"/>
                <w:sz w:val="24"/>
                <w:szCs w:val="24"/>
                <w14:textOutline w14:w="4354" w14:cap="flat" w14:cmpd="sng">
                  <w14:solidFill>
                    <w14:srgbClr w14:val="000000"/>
                  </w14:solidFill>
                  <w14:prstDash w14:val="solid"/>
                  <w14:miter w14:val="10"/>
                </w14:textOutline>
              </w:rPr>
              <w:t>表</w:t>
            </w:r>
            <w:r>
              <w:rPr>
                <w:spacing w:val="-42"/>
                <w:sz w:val="24"/>
                <w:szCs w:val="24"/>
              </w:rPr>
              <w:t xml:space="preserve"> </w:t>
            </w:r>
            <w:r>
              <w:rPr>
                <w:rFonts w:ascii="Times New Roman" w:hAnsi="Times New Roman" w:eastAsia="Times New Roman" w:cs="Times New Roman"/>
                <w:b/>
                <w:bCs/>
                <w:spacing w:val="-1"/>
                <w:sz w:val="24"/>
                <w:szCs w:val="24"/>
              </w:rPr>
              <w:t xml:space="preserve">3.5-3    </w:t>
            </w:r>
            <w:r>
              <w:rPr>
                <w:spacing w:val="-1"/>
                <w:sz w:val="24"/>
                <w:szCs w:val="24"/>
                <w14:textOutline w14:w="4354" w14:cap="flat" w14:cmpd="sng">
                  <w14:solidFill>
                    <w14:srgbClr w14:val="000000"/>
                  </w14:solidFill>
                  <w14:prstDash w14:val="solid"/>
                  <w14:miter w14:val="10"/>
                </w14:textOutline>
              </w:rPr>
              <w:t>地下水质量标准限值［摘要］</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730"/>
              <w:gridCol w:w="1657"/>
              <w:gridCol w:w="814"/>
              <w:gridCol w:w="2094"/>
              <w:gridCol w:w="15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8" w:type="dxa"/>
                  <w:vAlign w:val="top"/>
                </w:tcPr>
                <w:p>
                  <w:pPr>
                    <w:pStyle w:val="6"/>
                    <w:spacing w:before="166" w:line="222" w:lineRule="auto"/>
                    <w:ind w:left="172"/>
                    <w:rPr>
                      <w:sz w:val="21"/>
                      <w:szCs w:val="21"/>
                    </w:rPr>
                  </w:pPr>
                  <w:r>
                    <w:rPr>
                      <w:spacing w:val="-2"/>
                      <w:sz w:val="21"/>
                      <w:szCs w:val="21"/>
                    </w:rPr>
                    <w:t>序号</w:t>
                  </w:r>
                </w:p>
              </w:tc>
              <w:tc>
                <w:tcPr>
                  <w:tcW w:w="1730" w:type="dxa"/>
                  <w:vAlign w:val="top"/>
                </w:tcPr>
                <w:p>
                  <w:pPr>
                    <w:pStyle w:val="6"/>
                    <w:spacing w:before="166" w:line="221" w:lineRule="auto"/>
                    <w:ind w:left="662"/>
                    <w:rPr>
                      <w:sz w:val="21"/>
                      <w:szCs w:val="21"/>
                    </w:rPr>
                  </w:pPr>
                  <w:r>
                    <w:rPr>
                      <w:spacing w:val="-3"/>
                      <w:sz w:val="21"/>
                      <w:szCs w:val="21"/>
                    </w:rPr>
                    <w:t>项目</w:t>
                  </w:r>
                </w:p>
              </w:tc>
              <w:tc>
                <w:tcPr>
                  <w:tcW w:w="1657" w:type="dxa"/>
                  <w:vAlign w:val="top"/>
                </w:tcPr>
                <w:p>
                  <w:pPr>
                    <w:pStyle w:val="6"/>
                    <w:spacing w:before="30" w:line="223" w:lineRule="auto"/>
                    <w:ind w:left="401" w:right="304" w:hanging="93"/>
                    <w:rPr>
                      <w:sz w:val="21"/>
                      <w:szCs w:val="21"/>
                    </w:rPr>
                  </w:pPr>
                  <w:r>
                    <w:rPr>
                      <w:rFonts w:ascii="Times New Roman" w:hAnsi="Times New Roman" w:eastAsia="Times New Roman" w:cs="Times New Roman"/>
                      <w:spacing w:val="-1"/>
                      <w:sz w:val="21"/>
                      <w:szCs w:val="21"/>
                    </w:rPr>
                    <w:t>Ⅲ</w:t>
                  </w:r>
                  <w:r>
                    <w:rPr>
                      <w:spacing w:val="-1"/>
                      <w:sz w:val="21"/>
                      <w:szCs w:val="21"/>
                    </w:rPr>
                    <w:t>类标准值</w:t>
                  </w:r>
                  <w:r>
                    <w:rPr>
                      <w:spacing w:val="1"/>
                      <w:sz w:val="21"/>
                      <w:szCs w:val="21"/>
                    </w:rPr>
                    <w:t xml:space="preserve"> </w:t>
                  </w:r>
                  <w:r>
                    <w:rPr>
                      <w:spacing w:val="-3"/>
                      <w:sz w:val="21"/>
                      <w:szCs w:val="21"/>
                    </w:rPr>
                    <w:t>（</w:t>
                  </w:r>
                  <w:r>
                    <w:rPr>
                      <w:rFonts w:ascii="Times New Roman" w:hAnsi="Times New Roman" w:eastAsia="Times New Roman" w:cs="Times New Roman"/>
                      <w:spacing w:val="-3"/>
                      <w:sz w:val="21"/>
                      <w:szCs w:val="21"/>
                    </w:rPr>
                    <w:t>mg/L</w:t>
                  </w:r>
                  <w:r>
                    <w:rPr>
                      <w:spacing w:val="-3"/>
                      <w:sz w:val="21"/>
                      <w:szCs w:val="21"/>
                    </w:rPr>
                    <w:t>）</w:t>
                  </w:r>
                </w:p>
              </w:tc>
              <w:tc>
                <w:tcPr>
                  <w:tcW w:w="814" w:type="dxa"/>
                  <w:vAlign w:val="top"/>
                </w:tcPr>
                <w:p>
                  <w:pPr>
                    <w:pStyle w:val="6"/>
                    <w:spacing w:before="166" w:line="222" w:lineRule="auto"/>
                    <w:ind w:left="201"/>
                    <w:rPr>
                      <w:sz w:val="21"/>
                      <w:szCs w:val="21"/>
                    </w:rPr>
                  </w:pPr>
                  <w:r>
                    <w:rPr>
                      <w:spacing w:val="-2"/>
                      <w:sz w:val="21"/>
                      <w:szCs w:val="21"/>
                    </w:rPr>
                    <w:t>序号</w:t>
                  </w:r>
                </w:p>
              </w:tc>
              <w:tc>
                <w:tcPr>
                  <w:tcW w:w="2094" w:type="dxa"/>
                  <w:vAlign w:val="top"/>
                </w:tcPr>
                <w:p>
                  <w:pPr>
                    <w:pStyle w:val="6"/>
                    <w:spacing w:before="166" w:line="221" w:lineRule="auto"/>
                    <w:ind w:left="846"/>
                    <w:rPr>
                      <w:sz w:val="21"/>
                      <w:szCs w:val="21"/>
                    </w:rPr>
                  </w:pPr>
                  <w:r>
                    <w:rPr>
                      <w:spacing w:val="-3"/>
                      <w:sz w:val="21"/>
                      <w:szCs w:val="21"/>
                    </w:rPr>
                    <w:t>项目</w:t>
                  </w:r>
                </w:p>
              </w:tc>
              <w:tc>
                <w:tcPr>
                  <w:tcW w:w="1557" w:type="dxa"/>
                  <w:vAlign w:val="top"/>
                </w:tcPr>
                <w:p>
                  <w:pPr>
                    <w:pStyle w:val="6"/>
                    <w:spacing w:before="30" w:line="223" w:lineRule="auto"/>
                    <w:ind w:left="351" w:right="254" w:hanging="93"/>
                    <w:rPr>
                      <w:sz w:val="21"/>
                      <w:szCs w:val="21"/>
                    </w:rPr>
                  </w:pPr>
                  <w:r>
                    <w:rPr>
                      <w:rFonts w:ascii="Times New Roman" w:hAnsi="Times New Roman" w:eastAsia="Times New Roman" w:cs="Times New Roman"/>
                      <w:spacing w:val="-1"/>
                      <w:sz w:val="21"/>
                      <w:szCs w:val="21"/>
                    </w:rPr>
                    <w:t>Ⅲ</w:t>
                  </w:r>
                  <w:r>
                    <w:rPr>
                      <w:spacing w:val="-1"/>
                      <w:sz w:val="21"/>
                      <w:szCs w:val="21"/>
                    </w:rPr>
                    <w:t>类标准值</w:t>
                  </w:r>
                  <w:r>
                    <w:rPr>
                      <w:spacing w:val="1"/>
                      <w:sz w:val="21"/>
                      <w:szCs w:val="21"/>
                    </w:rPr>
                    <w:t xml:space="preserve"> </w:t>
                  </w:r>
                  <w:r>
                    <w:rPr>
                      <w:spacing w:val="-3"/>
                      <w:sz w:val="21"/>
                      <w:szCs w:val="21"/>
                    </w:rPr>
                    <w:t>（</w:t>
                  </w:r>
                  <w:r>
                    <w:rPr>
                      <w:rFonts w:ascii="Times New Roman" w:hAnsi="Times New Roman" w:eastAsia="Times New Roman" w:cs="Times New Roman"/>
                      <w:spacing w:val="-3"/>
                      <w:sz w:val="21"/>
                      <w:szCs w:val="21"/>
                    </w:rPr>
                    <w:t>mg/L</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8" w:type="dxa"/>
                  <w:vAlign w:val="top"/>
                </w:tcPr>
                <w:p>
                  <w:pPr>
                    <w:spacing w:before="99" w:line="187" w:lineRule="auto"/>
                    <w:ind w:left="3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30" w:type="dxa"/>
                  <w:vAlign w:val="top"/>
                </w:tcPr>
                <w:p>
                  <w:pPr>
                    <w:pStyle w:val="6"/>
                    <w:spacing w:before="60" w:line="214" w:lineRule="auto"/>
                    <w:ind w:left="102"/>
                    <w:rPr>
                      <w:sz w:val="21"/>
                      <w:szCs w:val="21"/>
                    </w:rPr>
                  </w:pPr>
                  <w:r>
                    <w:rPr>
                      <w:rFonts w:ascii="Times New Roman" w:hAnsi="Times New Roman" w:eastAsia="Times New Roman" w:cs="Times New Roman"/>
                      <w:spacing w:val="-1"/>
                      <w:sz w:val="21"/>
                      <w:szCs w:val="21"/>
                    </w:rPr>
                    <w:t xml:space="preserve">pH </w:t>
                  </w:r>
                  <w:r>
                    <w:rPr>
                      <w:spacing w:val="-1"/>
                      <w:sz w:val="21"/>
                      <w:szCs w:val="21"/>
                    </w:rPr>
                    <w:t>值（无量纲）</w:t>
                  </w:r>
                </w:p>
              </w:tc>
              <w:tc>
                <w:tcPr>
                  <w:tcW w:w="1657" w:type="dxa"/>
                  <w:vAlign w:val="top"/>
                </w:tcPr>
                <w:p>
                  <w:pPr>
                    <w:spacing w:before="98"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6.5~8.5</w:t>
                  </w:r>
                </w:p>
              </w:tc>
              <w:tc>
                <w:tcPr>
                  <w:tcW w:w="814" w:type="dxa"/>
                  <w:vAlign w:val="top"/>
                </w:tcPr>
                <w:p>
                  <w:pPr>
                    <w:spacing w:before="98"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2094" w:type="dxa"/>
                  <w:vAlign w:val="top"/>
                </w:tcPr>
                <w:p>
                  <w:pPr>
                    <w:pStyle w:val="6"/>
                    <w:spacing w:before="60" w:line="223" w:lineRule="auto"/>
                    <w:ind w:left="945"/>
                    <w:rPr>
                      <w:sz w:val="21"/>
                      <w:szCs w:val="21"/>
                    </w:rPr>
                  </w:pPr>
                  <w:r>
                    <w:rPr>
                      <w:sz w:val="21"/>
                      <w:szCs w:val="21"/>
                    </w:rPr>
                    <w:t>镉</w:t>
                  </w:r>
                </w:p>
              </w:tc>
              <w:tc>
                <w:tcPr>
                  <w:tcW w:w="1557" w:type="dxa"/>
                  <w:vAlign w:val="top"/>
                </w:tcPr>
                <w:p>
                  <w:pPr>
                    <w:spacing w:before="95" w:line="219" w:lineRule="auto"/>
                    <w:ind w:left="484"/>
                    <w:rPr>
                      <w:rFonts w:ascii="Times New Roman" w:hAnsi="Times New Roman" w:eastAsia="Times New Roman" w:cs="Times New Roman"/>
                      <w:sz w:val="21"/>
                      <w:szCs w:val="21"/>
                    </w:rPr>
                  </w:pPr>
                  <w:r>
                    <w:rPr>
                      <w:rFonts w:ascii="Times New Roman" w:hAnsi="Times New Roman" w:eastAsia="Times New Roman" w:cs="Times New Roman"/>
                      <w:sz w:val="21"/>
                      <w:szCs w:val="21"/>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58" w:type="dxa"/>
                  <w:vAlign w:val="top"/>
                </w:tcPr>
                <w:p>
                  <w:pPr>
                    <w:spacing w:before="99"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30" w:type="dxa"/>
                  <w:vAlign w:val="top"/>
                </w:tcPr>
                <w:p>
                  <w:pPr>
                    <w:pStyle w:val="6"/>
                    <w:spacing w:before="60" w:line="220" w:lineRule="auto"/>
                    <w:ind w:left="658"/>
                    <w:rPr>
                      <w:sz w:val="21"/>
                      <w:szCs w:val="21"/>
                    </w:rPr>
                  </w:pPr>
                  <w:r>
                    <w:rPr>
                      <w:spacing w:val="-2"/>
                      <w:sz w:val="21"/>
                      <w:szCs w:val="21"/>
                    </w:rPr>
                    <w:t>氨氮</w:t>
                  </w:r>
                </w:p>
              </w:tc>
              <w:tc>
                <w:tcPr>
                  <w:tcW w:w="1657" w:type="dxa"/>
                  <w:vAlign w:val="top"/>
                </w:tcPr>
                <w:p>
                  <w:pPr>
                    <w:spacing w:before="96" w:line="219" w:lineRule="auto"/>
                    <w:ind w:left="6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814" w:type="dxa"/>
                  <w:vAlign w:val="top"/>
                </w:tcPr>
                <w:p>
                  <w:pPr>
                    <w:spacing w:before="9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2094" w:type="dxa"/>
                  <w:vAlign w:val="top"/>
                </w:tcPr>
                <w:p>
                  <w:pPr>
                    <w:pStyle w:val="6"/>
                    <w:spacing w:before="60" w:line="222" w:lineRule="auto"/>
                    <w:ind w:left="945"/>
                    <w:rPr>
                      <w:sz w:val="21"/>
                      <w:szCs w:val="21"/>
                    </w:rPr>
                  </w:pPr>
                  <w:r>
                    <w:rPr>
                      <w:sz w:val="21"/>
                      <w:szCs w:val="21"/>
                    </w:rPr>
                    <w:t>铁</w:t>
                  </w:r>
                </w:p>
              </w:tc>
              <w:tc>
                <w:tcPr>
                  <w:tcW w:w="1557" w:type="dxa"/>
                  <w:vAlign w:val="top"/>
                </w:tcPr>
                <w:p>
                  <w:pPr>
                    <w:spacing w:before="96" w:line="219"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8" w:type="dxa"/>
                  <w:vAlign w:val="top"/>
                </w:tcPr>
                <w:p>
                  <w:pPr>
                    <w:spacing w:before="99"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30" w:type="dxa"/>
                  <w:vAlign w:val="top"/>
                </w:tcPr>
                <w:p>
                  <w:pPr>
                    <w:pStyle w:val="6"/>
                    <w:spacing w:before="61" w:line="222" w:lineRule="auto"/>
                    <w:ind w:left="554"/>
                    <w:rPr>
                      <w:sz w:val="21"/>
                      <w:szCs w:val="21"/>
                    </w:rPr>
                  </w:pPr>
                  <w:r>
                    <w:rPr>
                      <w:spacing w:val="-2"/>
                      <w:sz w:val="21"/>
                      <w:szCs w:val="21"/>
                    </w:rPr>
                    <w:t>硝酸盐</w:t>
                  </w:r>
                </w:p>
              </w:tc>
              <w:tc>
                <w:tcPr>
                  <w:tcW w:w="1657" w:type="dxa"/>
                  <w:vAlign w:val="top"/>
                </w:tcPr>
                <w:p>
                  <w:pPr>
                    <w:spacing w:before="96" w:line="219"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814" w:type="dxa"/>
                  <w:vAlign w:val="top"/>
                </w:tcPr>
                <w:p>
                  <w:pPr>
                    <w:spacing w:before="9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2094" w:type="dxa"/>
                  <w:vAlign w:val="top"/>
                </w:tcPr>
                <w:p>
                  <w:pPr>
                    <w:pStyle w:val="6"/>
                    <w:spacing w:before="61" w:line="227" w:lineRule="auto"/>
                    <w:ind w:left="946"/>
                    <w:rPr>
                      <w:sz w:val="21"/>
                      <w:szCs w:val="21"/>
                    </w:rPr>
                  </w:pPr>
                  <w:r>
                    <w:rPr>
                      <w:sz w:val="21"/>
                      <w:szCs w:val="21"/>
                    </w:rPr>
                    <w:t>锰</w:t>
                  </w:r>
                </w:p>
              </w:tc>
              <w:tc>
                <w:tcPr>
                  <w:tcW w:w="1557" w:type="dxa"/>
                  <w:vAlign w:val="top"/>
                </w:tcPr>
                <w:p>
                  <w:pPr>
                    <w:spacing w:before="96" w:line="219"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758" w:type="dxa"/>
                  <w:vAlign w:val="top"/>
                </w:tcPr>
                <w:p>
                  <w:pPr>
                    <w:spacing w:before="100"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30" w:type="dxa"/>
                  <w:vAlign w:val="top"/>
                </w:tcPr>
                <w:p>
                  <w:pPr>
                    <w:pStyle w:val="6"/>
                    <w:spacing w:before="61" w:line="222" w:lineRule="auto"/>
                    <w:ind w:left="449"/>
                    <w:rPr>
                      <w:sz w:val="21"/>
                      <w:szCs w:val="21"/>
                    </w:rPr>
                  </w:pPr>
                  <w:r>
                    <w:rPr>
                      <w:spacing w:val="-2"/>
                      <w:sz w:val="21"/>
                      <w:szCs w:val="21"/>
                    </w:rPr>
                    <w:t>亚硝酸盐</w:t>
                  </w:r>
                </w:p>
              </w:tc>
              <w:tc>
                <w:tcPr>
                  <w:tcW w:w="1657" w:type="dxa"/>
                  <w:vAlign w:val="top"/>
                </w:tcPr>
                <w:p>
                  <w:pPr>
                    <w:spacing w:before="97" w:line="219" w:lineRule="auto"/>
                    <w:ind w:left="6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814" w:type="dxa"/>
                  <w:vAlign w:val="top"/>
                </w:tcPr>
                <w:p>
                  <w:pPr>
                    <w:spacing w:before="10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2094" w:type="dxa"/>
                  <w:vAlign w:val="top"/>
                </w:tcPr>
                <w:p>
                  <w:pPr>
                    <w:pStyle w:val="6"/>
                    <w:spacing w:before="62" w:line="221" w:lineRule="auto"/>
                    <w:ind w:left="426"/>
                    <w:rPr>
                      <w:sz w:val="21"/>
                      <w:szCs w:val="21"/>
                    </w:rPr>
                  </w:pPr>
                  <w:r>
                    <w:rPr>
                      <w:spacing w:val="-2"/>
                      <w:sz w:val="21"/>
                      <w:szCs w:val="21"/>
                    </w:rPr>
                    <w:t>溶解性总固体</w:t>
                  </w:r>
                </w:p>
              </w:tc>
              <w:tc>
                <w:tcPr>
                  <w:tcW w:w="1557" w:type="dxa"/>
                  <w:vAlign w:val="top"/>
                </w:tcPr>
                <w:p>
                  <w:pPr>
                    <w:spacing w:before="97" w:line="219" w:lineRule="auto"/>
                    <w:ind w:left="5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8" w:type="dxa"/>
                  <w:vAlign w:val="top"/>
                </w:tcPr>
                <w:p>
                  <w:pPr>
                    <w:spacing w:before="102" w:line="184" w:lineRule="auto"/>
                    <w:ind w:left="33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30" w:type="dxa"/>
                  <w:vAlign w:val="top"/>
                </w:tcPr>
                <w:p>
                  <w:pPr>
                    <w:pStyle w:val="6"/>
                    <w:spacing w:before="60" w:line="221" w:lineRule="auto"/>
                    <w:ind w:left="341"/>
                    <w:rPr>
                      <w:sz w:val="21"/>
                      <w:szCs w:val="21"/>
                    </w:rPr>
                  </w:pPr>
                  <w:r>
                    <w:rPr>
                      <w:spacing w:val="-1"/>
                      <w:sz w:val="21"/>
                      <w:szCs w:val="21"/>
                    </w:rPr>
                    <w:t>挥发性酚类</w:t>
                  </w:r>
                </w:p>
              </w:tc>
              <w:tc>
                <w:tcPr>
                  <w:tcW w:w="1657" w:type="dxa"/>
                  <w:vAlign w:val="top"/>
                </w:tcPr>
                <w:p>
                  <w:pPr>
                    <w:spacing w:before="96" w:line="219"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≤0.002</w:t>
                  </w:r>
                </w:p>
              </w:tc>
              <w:tc>
                <w:tcPr>
                  <w:tcW w:w="814" w:type="dxa"/>
                  <w:vAlign w:val="top"/>
                </w:tcPr>
                <w:p>
                  <w:pPr>
                    <w:spacing w:before="9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2094" w:type="dxa"/>
                  <w:vAlign w:val="top"/>
                </w:tcPr>
                <w:p>
                  <w:pPr>
                    <w:pStyle w:val="6"/>
                    <w:spacing w:before="61" w:line="220" w:lineRule="auto"/>
                    <w:ind w:left="738"/>
                    <w:rPr>
                      <w:sz w:val="21"/>
                      <w:szCs w:val="21"/>
                    </w:rPr>
                  </w:pPr>
                  <w:r>
                    <w:rPr>
                      <w:spacing w:val="-2"/>
                      <w:sz w:val="21"/>
                      <w:szCs w:val="21"/>
                    </w:rPr>
                    <w:t>耗氧量</w:t>
                  </w:r>
                </w:p>
              </w:tc>
              <w:tc>
                <w:tcPr>
                  <w:tcW w:w="1557" w:type="dxa"/>
                  <w:vAlign w:val="top"/>
                </w:tcPr>
                <w:p>
                  <w:pPr>
                    <w:spacing w:before="96" w:line="219"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58" w:type="dxa"/>
                  <w:tcBorders>
                    <w:bottom w:val="nil"/>
                  </w:tcBorders>
                  <w:vAlign w:val="top"/>
                </w:tcPr>
                <w:p>
                  <w:pPr>
                    <w:spacing w:before="100"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30" w:type="dxa"/>
                  <w:tcBorders>
                    <w:bottom w:val="nil"/>
                  </w:tcBorders>
                  <w:vAlign w:val="top"/>
                </w:tcPr>
                <w:p>
                  <w:pPr>
                    <w:pStyle w:val="6"/>
                    <w:spacing w:before="61" w:line="221" w:lineRule="auto"/>
                    <w:ind w:left="552"/>
                    <w:rPr>
                      <w:sz w:val="21"/>
                      <w:szCs w:val="21"/>
                    </w:rPr>
                  </w:pPr>
                  <w:r>
                    <w:rPr>
                      <w:spacing w:val="-1"/>
                      <w:sz w:val="21"/>
                      <w:szCs w:val="21"/>
                    </w:rPr>
                    <w:t>氰化物</w:t>
                  </w:r>
                </w:p>
              </w:tc>
              <w:tc>
                <w:tcPr>
                  <w:tcW w:w="1657" w:type="dxa"/>
                  <w:tcBorders>
                    <w:bottom w:val="nil"/>
                  </w:tcBorders>
                  <w:vAlign w:val="top"/>
                </w:tcPr>
                <w:p>
                  <w:pPr>
                    <w:spacing w:before="97" w:line="219"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814" w:type="dxa"/>
                  <w:tcBorders>
                    <w:bottom w:val="nil"/>
                  </w:tcBorders>
                  <w:vAlign w:val="top"/>
                </w:tcPr>
                <w:p>
                  <w:pPr>
                    <w:spacing w:before="10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2094" w:type="dxa"/>
                  <w:tcBorders>
                    <w:bottom w:val="nil"/>
                  </w:tcBorders>
                  <w:vAlign w:val="top"/>
                </w:tcPr>
                <w:p>
                  <w:pPr>
                    <w:pStyle w:val="6"/>
                    <w:spacing w:before="61" w:line="222" w:lineRule="auto"/>
                    <w:ind w:left="737"/>
                    <w:rPr>
                      <w:sz w:val="21"/>
                      <w:szCs w:val="21"/>
                    </w:rPr>
                  </w:pPr>
                  <w:r>
                    <w:rPr>
                      <w:spacing w:val="-1"/>
                      <w:sz w:val="21"/>
                      <w:szCs w:val="21"/>
                    </w:rPr>
                    <w:t>硫酸盐</w:t>
                  </w:r>
                </w:p>
              </w:tc>
              <w:tc>
                <w:tcPr>
                  <w:tcW w:w="1557" w:type="dxa"/>
                  <w:tcBorders>
                    <w:bottom w:val="nil"/>
                  </w:tcBorders>
                  <w:vAlign w:val="top"/>
                </w:tcPr>
                <w:p>
                  <w:pPr>
                    <w:spacing w:before="97" w:line="219"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r>
          </w:tbl>
          <w:p>
            <w:pPr>
              <w:spacing w:line="111" w:lineRule="auto"/>
              <w:rPr>
                <w:rFonts w:ascii="Arial"/>
                <w:sz w:val="2"/>
              </w:rPr>
            </w:pPr>
          </w:p>
        </w:tc>
      </w:tr>
    </w:tbl>
    <w:p>
      <w:pPr>
        <w:pStyle w:val="2"/>
        <w:rPr>
          <w:sz w:val="21"/>
        </w:rPr>
      </w:pPr>
    </w:p>
    <w:p>
      <w:pPr>
        <w:rPr>
          <w:sz w:val="21"/>
          <w:szCs w:val="21"/>
        </w:rPr>
        <w:sectPr>
          <w:footerReference r:id="rId86"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2"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2"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01" w:hRule="atLeast"/>
        </w:trPr>
        <w:tc>
          <w:tcPr>
            <w:tcW w:w="9291" w:type="dxa"/>
            <w:vAlign w:val="top"/>
          </w:tcPr>
          <w:p>
            <w:pPr>
              <w:spacing w:line="19" w:lineRule="exact"/>
            </w:pPr>
            <w:r>
              <w:pict>
                <v:rect id="_x0000_s1285" o:spid="_x0000_s1285" o:spt="1" style="position:absolute;left:0pt;margin-left:22.75pt;margin-top:0.95pt;height:688.95pt;width:0.5pt;mso-position-horizontal-relative:page;mso-position-vertical-relative:page;z-index:251832320;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730"/>
              <w:gridCol w:w="1657"/>
              <w:gridCol w:w="814"/>
              <w:gridCol w:w="2094"/>
              <w:gridCol w:w="15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58" w:type="dxa"/>
                  <w:tcBorders>
                    <w:top w:val="nil"/>
                  </w:tcBorders>
                  <w:vAlign w:val="top"/>
                </w:tcPr>
                <w:p>
                  <w:pPr>
                    <w:spacing w:before="104" w:line="184"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30" w:type="dxa"/>
                  <w:tcBorders>
                    <w:top w:val="nil"/>
                  </w:tcBorders>
                  <w:vAlign w:val="top"/>
                </w:tcPr>
                <w:p>
                  <w:pPr>
                    <w:pStyle w:val="6"/>
                    <w:spacing w:before="63" w:line="221" w:lineRule="auto"/>
                    <w:ind w:left="761"/>
                    <w:rPr>
                      <w:sz w:val="21"/>
                      <w:szCs w:val="21"/>
                    </w:rPr>
                  </w:pPr>
                  <w:r>
                    <w:rPr>
                      <w:sz w:val="21"/>
                      <w:szCs w:val="21"/>
                    </w:rPr>
                    <w:t>砷</w:t>
                  </w:r>
                </w:p>
              </w:tc>
              <w:tc>
                <w:tcPr>
                  <w:tcW w:w="1657" w:type="dxa"/>
                  <w:tcBorders>
                    <w:top w:val="nil"/>
                  </w:tcBorders>
                  <w:vAlign w:val="top"/>
                </w:tcPr>
                <w:p>
                  <w:pPr>
                    <w:spacing w:before="98" w:line="219"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p>
              </w:tc>
              <w:tc>
                <w:tcPr>
                  <w:tcW w:w="814" w:type="dxa"/>
                  <w:tcBorders>
                    <w:top w:val="nil"/>
                  </w:tcBorders>
                  <w:vAlign w:val="top"/>
                </w:tcPr>
                <w:p>
                  <w:pPr>
                    <w:spacing w:before="101"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2094" w:type="dxa"/>
                  <w:tcBorders>
                    <w:top w:val="nil"/>
                  </w:tcBorders>
                  <w:vAlign w:val="top"/>
                </w:tcPr>
                <w:p>
                  <w:pPr>
                    <w:pStyle w:val="6"/>
                    <w:spacing w:before="63" w:line="222" w:lineRule="auto"/>
                    <w:ind w:left="741"/>
                    <w:rPr>
                      <w:sz w:val="21"/>
                      <w:szCs w:val="21"/>
                    </w:rPr>
                  </w:pPr>
                  <w:r>
                    <w:rPr>
                      <w:spacing w:val="-2"/>
                      <w:sz w:val="21"/>
                      <w:szCs w:val="21"/>
                    </w:rPr>
                    <w:t>氯化物</w:t>
                  </w:r>
                </w:p>
              </w:tc>
              <w:tc>
                <w:tcPr>
                  <w:tcW w:w="1557" w:type="dxa"/>
                  <w:tcBorders>
                    <w:top w:val="nil"/>
                  </w:tcBorders>
                  <w:vAlign w:val="top"/>
                </w:tcPr>
                <w:p>
                  <w:pPr>
                    <w:spacing w:before="98" w:line="219"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58" w:type="dxa"/>
                  <w:vAlign w:val="top"/>
                </w:tcPr>
                <w:p>
                  <w:pPr>
                    <w:spacing w:before="204" w:line="187" w:lineRule="auto"/>
                    <w:ind w:left="33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30" w:type="dxa"/>
                  <w:vAlign w:val="top"/>
                </w:tcPr>
                <w:p>
                  <w:pPr>
                    <w:pStyle w:val="6"/>
                    <w:spacing w:before="165" w:line="221" w:lineRule="auto"/>
                    <w:ind w:left="762"/>
                    <w:rPr>
                      <w:sz w:val="21"/>
                      <w:szCs w:val="21"/>
                    </w:rPr>
                  </w:pPr>
                  <w:r>
                    <w:rPr>
                      <w:sz w:val="21"/>
                      <w:szCs w:val="21"/>
                    </w:rPr>
                    <w:t>汞</w:t>
                  </w:r>
                </w:p>
              </w:tc>
              <w:tc>
                <w:tcPr>
                  <w:tcW w:w="1657" w:type="dxa"/>
                  <w:vAlign w:val="top"/>
                </w:tcPr>
                <w:p>
                  <w:pPr>
                    <w:spacing w:before="200" w:line="219"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≤0.001</w:t>
                  </w:r>
                </w:p>
              </w:tc>
              <w:tc>
                <w:tcPr>
                  <w:tcW w:w="814" w:type="dxa"/>
                  <w:vAlign w:val="top"/>
                </w:tcPr>
                <w:p>
                  <w:pPr>
                    <w:spacing w:before="204"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094" w:type="dxa"/>
                  <w:vAlign w:val="top"/>
                </w:tcPr>
                <w:p>
                  <w:pPr>
                    <w:pStyle w:val="6"/>
                    <w:spacing w:before="28" w:line="222" w:lineRule="auto"/>
                    <w:ind w:left="235" w:right="233" w:firstLine="297"/>
                    <w:rPr>
                      <w:sz w:val="21"/>
                      <w:szCs w:val="21"/>
                    </w:rPr>
                  </w:pPr>
                  <w:r>
                    <w:rPr>
                      <w:spacing w:val="-3"/>
                      <w:sz w:val="21"/>
                      <w:szCs w:val="21"/>
                    </w:rPr>
                    <w:t>总大肠菌群   （</w:t>
                  </w:r>
                  <w:r>
                    <w:rPr>
                      <w:rFonts w:ascii="Times New Roman" w:hAnsi="Times New Roman" w:eastAsia="Times New Roman" w:cs="Times New Roman"/>
                      <w:spacing w:val="-3"/>
                      <w:sz w:val="21"/>
                      <w:szCs w:val="21"/>
                    </w:rPr>
                    <w:t>MPNb/100mL</w:t>
                  </w:r>
                  <w:r>
                    <w:rPr>
                      <w:spacing w:val="-3"/>
                      <w:sz w:val="21"/>
                      <w:szCs w:val="21"/>
                    </w:rPr>
                    <w:t>）</w:t>
                  </w:r>
                </w:p>
              </w:tc>
              <w:tc>
                <w:tcPr>
                  <w:tcW w:w="1557" w:type="dxa"/>
                  <w:vAlign w:val="top"/>
                </w:tcPr>
                <w:p>
                  <w:pPr>
                    <w:spacing w:before="200" w:line="219"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8" w:type="dxa"/>
                  <w:vAlign w:val="top"/>
                </w:tcPr>
                <w:p>
                  <w:pPr>
                    <w:spacing w:before="10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730" w:type="dxa"/>
                  <w:vAlign w:val="top"/>
                </w:tcPr>
                <w:p>
                  <w:pPr>
                    <w:pStyle w:val="6"/>
                    <w:spacing w:before="63" w:line="219" w:lineRule="auto"/>
                    <w:ind w:left="341"/>
                    <w:rPr>
                      <w:sz w:val="21"/>
                      <w:szCs w:val="21"/>
                    </w:rPr>
                  </w:pPr>
                  <w:r>
                    <w:rPr>
                      <w:spacing w:val="-4"/>
                      <w:sz w:val="21"/>
                      <w:szCs w:val="21"/>
                    </w:rPr>
                    <w:t>铬（六价）</w:t>
                  </w:r>
                </w:p>
              </w:tc>
              <w:tc>
                <w:tcPr>
                  <w:tcW w:w="1657" w:type="dxa"/>
                  <w:vAlign w:val="top"/>
                </w:tcPr>
                <w:p>
                  <w:pPr>
                    <w:spacing w:before="98" w:line="219"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814" w:type="dxa"/>
                  <w:vAlign w:val="top"/>
                </w:tcPr>
                <w:p>
                  <w:pPr>
                    <w:spacing w:before="101"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21</w:t>
                  </w:r>
                </w:p>
              </w:tc>
              <w:tc>
                <w:tcPr>
                  <w:tcW w:w="2094" w:type="dxa"/>
                  <w:vAlign w:val="top"/>
                </w:tcPr>
                <w:p>
                  <w:pPr>
                    <w:pStyle w:val="6"/>
                    <w:spacing w:before="62" w:line="221" w:lineRule="auto"/>
                    <w:jc w:val="right"/>
                    <w:rPr>
                      <w:sz w:val="21"/>
                      <w:szCs w:val="21"/>
                    </w:rPr>
                  </w:pPr>
                  <w:r>
                    <w:rPr>
                      <w:spacing w:val="-5"/>
                      <w:sz w:val="21"/>
                      <w:szCs w:val="21"/>
                    </w:rPr>
                    <w:t>菌落总数（</w:t>
                  </w:r>
                  <w:r>
                    <w:rPr>
                      <w:rFonts w:ascii="Times New Roman" w:hAnsi="Times New Roman" w:eastAsia="Times New Roman" w:cs="Times New Roman"/>
                      <w:spacing w:val="-5"/>
                      <w:sz w:val="21"/>
                      <w:szCs w:val="21"/>
                    </w:rPr>
                    <w:t>CFU/mL</w:t>
                  </w:r>
                  <w:r>
                    <w:rPr>
                      <w:spacing w:val="-5"/>
                      <w:sz w:val="21"/>
                      <w:szCs w:val="21"/>
                    </w:rPr>
                    <w:t>）</w:t>
                  </w:r>
                </w:p>
              </w:tc>
              <w:tc>
                <w:tcPr>
                  <w:tcW w:w="1557" w:type="dxa"/>
                  <w:vAlign w:val="top"/>
                </w:tcPr>
                <w:p>
                  <w:pPr>
                    <w:spacing w:before="98" w:line="219"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58" w:type="dxa"/>
                  <w:vAlign w:val="top"/>
                </w:tcPr>
                <w:p>
                  <w:pPr>
                    <w:spacing w:before="102"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730" w:type="dxa"/>
                  <w:vAlign w:val="top"/>
                </w:tcPr>
                <w:p>
                  <w:pPr>
                    <w:pStyle w:val="6"/>
                    <w:spacing w:before="63" w:line="221" w:lineRule="auto"/>
                    <w:ind w:left="558"/>
                    <w:rPr>
                      <w:sz w:val="21"/>
                      <w:szCs w:val="21"/>
                    </w:rPr>
                  </w:pPr>
                  <w:r>
                    <w:rPr>
                      <w:spacing w:val="-3"/>
                      <w:sz w:val="21"/>
                      <w:szCs w:val="21"/>
                    </w:rPr>
                    <w:t>总硬度</w:t>
                  </w:r>
                </w:p>
              </w:tc>
              <w:tc>
                <w:tcPr>
                  <w:tcW w:w="1657" w:type="dxa"/>
                  <w:vAlign w:val="top"/>
                </w:tcPr>
                <w:p>
                  <w:pPr>
                    <w:spacing w:before="98" w:line="219" w:lineRule="auto"/>
                    <w:ind w:left="6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814" w:type="dxa"/>
                  <w:vAlign w:val="top"/>
                </w:tcPr>
                <w:p>
                  <w:pPr>
                    <w:spacing w:before="102"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2094" w:type="dxa"/>
                  <w:vAlign w:val="top"/>
                </w:tcPr>
                <w:p>
                  <w:pPr>
                    <w:spacing w:before="99" w:line="190" w:lineRule="auto"/>
                    <w:ind w:left="7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557" w:type="dxa"/>
                  <w:vAlign w:val="top"/>
                </w:tcPr>
                <w:p>
                  <w:pPr>
                    <w:spacing w:before="98" w:line="219" w:lineRule="auto"/>
                    <w:ind w:left="6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8"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730" w:type="dxa"/>
                  <w:vAlign w:val="top"/>
                </w:tcPr>
                <w:p>
                  <w:pPr>
                    <w:pStyle w:val="6"/>
                    <w:spacing w:before="66" w:line="225" w:lineRule="auto"/>
                    <w:ind w:left="761"/>
                    <w:rPr>
                      <w:sz w:val="21"/>
                      <w:szCs w:val="21"/>
                    </w:rPr>
                  </w:pPr>
                  <w:r>
                    <w:rPr>
                      <w:sz w:val="21"/>
                      <w:szCs w:val="21"/>
                    </w:rPr>
                    <w:t>铅</w:t>
                  </w:r>
                </w:p>
              </w:tc>
              <w:tc>
                <w:tcPr>
                  <w:tcW w:w="1657" w:type="dxa"/>
                  <w:vAlign w:val="top"/>
                </w:tcPr>
                <w:p>
                  <w:pPr>
                    <w:spacing w:before="101" w:line="219"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p>
              </w:tc>
              <w:tc>
                <w:tcPr>
                  <w:tcW w:w="814" w:type="dxa"/>
                  <w:vAlign w:val="top"/>
                </w:tcPr>
                <w:p>
                  <w:pPr>
                    <w:spacing w:before="104"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2094" w:type="dxa"/>
                  <w:vAlign w:val="top"/>
                </w:tcPr>
                <w:p>
                  <w:pPr>
                    <w:pStyle w:val="6"/>
                    <w:spacing w:before="66" w:line="232" w:lineRule="auto"/>
                    <w:ind w:left="686"/>
                    <w:rPr>
                      <w:rFonts w:ascii="Times New Roman" w:hAnsi="Times New Roman" w:eastAsia="Times New Roman" w:cs="Times New Roman"/>
                      <w:sz w:val="21"/>
                      <w:szCs w:val="21"/>
                    </w:rPr>
                  </w:pPr>
                  <w:r>
                    <w:rPr>
                      <w:spacing w:val="-2"/>
                      <w:sz w:val="21"/>
                      <w:szCs w:val="21"/>
                    </w:rPr>
                    <w:t>石油类</w:t>
                  </w:r>
                  <w:r>
                    <w:rPr>
                      <w:rFonts w:ascii="Times New Roman" w:hAnsi="Times New Roman" w:eastAsia="Times New Roman" w:cs="Times New Roman"/>
                      <w:spacing w:val="-2"/>
                      <w:sz w:val="21"/>
                      <w:szCs w:val="21"/>
                    </w:rPr>
                    <w:t>*</w:t>
                  </w:r>
                </w:p>
              </w:tc>
              <w:tc>
                <w:tcPr>
                  <w:tcW w:w="1557" w:type="dxa"/>
                  <w:vAlign w:val="top"/>
                </w:tcPr>
                <w:p>
                  <w:pPr>
                    <w:spacing w:before="101" w:line="219"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8" w:type="dxa"/>
                  <w:vAlign w:val="top"/>
                </w:tcPr>
                <w:p>
                  <w:pPr>
                    <w:spacing w:before="103"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730" w:type="dxa"/>
                  <w:vAlign w:val="top"/>
                </w:tcPr>
                <w:p>
                  <w:pPr>
                    <w:pStyle w:val="6"/>
                    <w:spacing w:before="63" w:line="221" w:lineRule="auto"/>
                    <w:ind w:left="554"/>
                    <w:rPr>
                      <w:sz w:val="21"/>
                      <w:szCs w:val="21"/>
                    </w:rPr>
                  </w:pPr>
                  <w:r>
                    <w:rPr>
                      <w:spacing w:val="-2"/>
                      <w:sz w:val="21"/>
                      <w:szCs w:val="21"/>
                    </w:rPr>
                    <w:t>氟化物</w:t>
                  </w:r>
                </w:p>
              </w:tc>
              <w:tc>
                <w:tcPr>
                  <w:tcW w:w="1657" w:type="dxa"/>
                  <w:vAlign w:val="top"/>
                </w:tcPr>
                <w:p>
                  <w:pPr>
                    <w:spacing w:before="99" w:line="219" w:lineRule="auto"/>
                    <w:ind w:left="6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814" w:type="dxa"/>
                  <w:vAlign w:val="top"/>
                </w:tcPr>
                <w:p>
                  <w:pPr>
                    <w:spacing w:before="99" w:line="229"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094" w:type="dxa"/>
                  <w:vAlign w:val="top"/>
                </w:tcPr>
                <w:p>
                  <w:pPr>
                    <w:spacing w:before="99" w:line="229" w:lineRule="auto"/>
                    <w:ind w:left="10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pPr>
                    <w:spacing w:before="99" w:line="229" w:lineRule="auto"/>
                    <w:ind w:left="7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10" w:type="dxa"/>
                  <w:gridSpan w:val="6"/>
                  <w:vAlign w:val="top"/>
                </w:tcPr>
                <w:p>
                  <w:pPr>
                    <w:pStyle w:val="6"/>
                    <w:spacing w:before="64" w:line="221" w:lineRule="auto"/>
                    <w:ind w:left="116"/>
                    <w:rPr>
                      <w:sz w:val="21"/>
                      <w:szCs w:val="21"/>
                    </w:rPr>
                  </w:pPr>
                  <w:r>
                    <w:rPr>
                      <w:spacing w:val="-1"/>
                      <w:sz w:val="21"/>
                      <w:szCs w:val="21"/>
                    </w:rPr>
                    <w:t>注</w:t>
                  </w:r>
                  <w:r>
                    <w:rPr>
                      <w:spacing w:val="-9"/>
                      <w:sz w:val="21"/>
                      <w:szCs w:val="21"/>
                    </w:rPr>
                    <w:t xml:space="preserve"> </w:t>
                  </w:r>
                  <w:r>
                    <w:rPr>
                      <w:rFonts w:ascii="Times New Roman" w:hAnsi="Times New Roman" w:eastAsia="Times New Roman" w:cs="Times New Roman"/>
                      <w:spacing w:val="-1"/>
                      <w:sz w:val="21"/>
                      <w:szCs w:val="21"/>
                    </w:rPr>
                    <w:t>1</w:t>
                  </w:r>
                  <w:r>
                    <w:rPr>
                      <w:spacing w:val="-1"/>
                      <w:sz w:val="21"/>
                      <w:szCs w:val="21"/>
                    </w:rPr>
                    <w:t>：</w:t>
                  </w:r>
                  <w:r>
                    <w:rPr>
                      <w:rFonts w:ascii="Times New Roman" w:hAnsi="Times New Roman" w:eastAsia="Times New Roman" w:cs="Times New Roman"/>
                      <w:spacing w:val="-1"/>
                      <w:sz w:val="21"/>
                      <w:szCs w:val="21"/>
                    </w:rPr>
                    <w:t>“*”COD</w:t>
                  </w:r>
                  <w:r>
                    <w:rPr>
                      <w:spacing w:val="-1"/>
                      <w:sz w:val="21"/>
                      <w:szCs w:val="21"/>
                    </w:rPr>
                    <w:t>、石油类参照执行《地表水环境质量标准》（</w:t>
                  </w:r>
                  <w:r>
                    <w:rPr>
                      <w:rFonts w:ascii="Times New Roman" w:hAnsi="Times New Roman" w:eastAsia="Times New Roman" w:cs="Times New Roman"/>
                      <w:spacing w:val="-1"/>
                      <w:sz w:val="21"/>
                      <w:szCs w:val="21"/>
                    </w:rPr>
                    <w:t>GB3838-2002</w:t>
                  </w:r>
                  <w:r>
                    <w:rPr>
                      <w:spacing w:val="-1"/>
                      <w:sz w:val="21"/>
                      <w:szCs w:val="21"/>
                    </w:rPr>
                    <w:t>）</w:t>
                  </w:r>
                  <w:r>
                    <w:rPr>
                      <w:rFonts w:ascii="Times New Roman" w:hAnsi="Times New Roman" w:eastAsia="Times New Roman" w:cs="Times New Roman"/>
                      <w:spacing w:val="-1"/>
                      <w:sz w:val="21"/>
                      <w:szCs w:val="21"/>
                    </w:rPr>
                    <w:t>Ⅲ</w:t>
                  </w:r>
                  <w:r>
                    <w:rPr>
                      <w:spacing w:val="-1"/>
                      <w:sz w:val="21"/>
                      <w:szCs w:val="21"/>
                    </w:rPr>
                    <w:t>类标准限值。</w:t>
                  </w:r>
                </w:p>
              </w:tc>
            </w:tr>
          </w:tbl>
          <w:p>
            <w:pPr>
              <w:pStyle w:val="6"/>
              <w:spacing w:before="209" w:line="220" w:lineRule="auto"/>
              <w:ind w:left="562"/>
              <w:rPr>
                <w:sz w:val="24"/>
                <w:szCs w:val="24"/>
              </w:rPr>
            </w:pPr>
            <w:r>
              <w:rPr>
                <w:rFonts w:ascii="Times New Roman" w:hAnsi="Times New Roman" w:eastAsia="Times New Roman" w:cs="Times New Roman"/>
                <w:b/>
                <w:bCs/>
                <w:spacing w:val="-2"/>
                <w:sz w:val="24"/>
                <w:szCs w:val="24"/>
              </w:rPr>
              <w:t>3.5.4</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10"/>
                </w14:textOutline>
              </w:rPr>
              <w:t>声环境</w:t>
            </w:r>
          </w:p>
          <w:p>
            <w:pPr>
              <w:pStyle w:val="6"/>
              <w:spacing w:before="200" w:line="480" w:lineRule="exact"/>
              <w:ind w:left="1048"/>
              <w:rPr>
                <w:sz w:val="24"/>
                <w:szCs w:val="24"/>
              </w:rPr>
            </w:pPr>
            <w:r>
              <w:rPr>
                <w:spacing w:val="-11"/>
                <w:position w:val="18"/>
                <w:sz w:val="24"/>
                <w:szCs w:val="24"/>
              </w:rPr>
              <w:t>根据当地声环境管控要求，</w:t>
            </w:r>
            <w:r>
              <w:rPr>
                <w:spacing w:val="56"/>
                <w:position w:val="18"/>
                <w:sz w:val="24"/>
                <w:szCs w:val="24"/>
              </w:rPr>
              <w:t xml:space="preserve"> </w:t>
            </w:r>
            <w:r>
              <w:rPr>
                <w:spacing w:val="-11"/>
                <w:position w:val="18"/>
                <w:sz w:val="24"/>
                <w:szCs w:val="24"/>
              </w:rPr>
              <w:t>本项目所在区域现状属于</w:t>
            </w:r>
            <w:r>
              <w:rPr>
                <w:spacing w:val="-53"/>
                <w:position w:val="18"/>
                <w:sz w:val="24"/>
                <w:szCs w:val="24"/>
              </w:rPr>
              <w:t xml:space="preserve"> </w:t>
            </w:r>
            <w:r>
              <w:rPr>
                <w:rFonts w:ascii="Times New Roman" w:hAnsi="Times New Roman" w:eastAsia="Times New Roman" w:cs="Times New Roman"/>
                <w:spacing w:val="-11"/>
                <w:position w:val="18"/>
                <w:sz w:val="24"/>
                <w:szCs w:val="24"/>
              </w:rPr>
              <w:t xml:space="preserve">2 </w:t>
            </w:r>
            <w:r>
              <w:rPr>
                <w:spacing w:val="-11"/>
                <w:position w:val="18"/>
                <w:sz w:val="24"/>
                <w:szCs w:val="24"/>
              </w:rPr>
              <w:t>类声环境功能区，</w:t>
            </w:r>
            <w:r>
              <w:rPr>
                <w:spacing w:val="48"/>
                <w:position w:val="18"/>
                <w:sz w:val="24"/>
                <w:szCs w:val="24"/>
              </w:rPr>
              <w:t xml:space="preserve"> </w:t>
            </w:r>
            <w:r>
              <w:rPr>
                <w:spacing w:val="-11"/>
                <w:position w:val="18"/>
                <w:sz w:val="24"/>
                <w:szCs w:val="24"/>
              </w:rPr>
              <w:t>执行</w:t>
            </w:r>
          </w:p>
          <w:p>
            <w:pPr>
              <w:pStyle w:val="6"/>
              <w:spacing w:line="219" w:lineRule="auto"/>
              <w:ind w:left="569"/>
              <w:rPr>
                <w:sz w:val="24"/>
                <w:szCs w:val="24"/>
              </w:rPr>
            </w:pPr>
            <w:r>
              <w:rPr>
                <w:spacing w:val="-1"/>
                <w:sz w:val="24"/>
                <w:szCs w:val="24"/>
              </w:rPr>
              <w:t>《声环境质量标准》（</w:t>
            </w:r>
            <w:r>
              <w:rPr>
                <w:rFonts w:ascii="Times New Roman" w:hAnsi="Times New Roman" w:eastAsia="Times New Roman" w:cs="Times New Roman"/>
                <w:spacing w:val="-1"/>
                <w:sz w:val="24"/>
                <w:szCs w:val="24"/>
              </w:rPr>
              <w:t>GB3096-2008</w:t>
            </w:r>
            <w:r>
              <w:rPr>
                <w:spacing w:val="-1"/>
                <w:sz w:val="24"/>
                <w:szCs w:val="24"/>
              </w:rPr>
              <w:t>）</w:t>
            </w:r>
            <w:r>
              <w:rPr>
                <w:rFonts w:ascii="Times New Roman" w:hAnsi="Times New Roman" w:eastAsia="Times New Roman" w:cs="Times New Roman"/>
                <w:spacing w:val="-1"/>
                <w:sz w:val="24"/>
                <w:szCs w:val="24"/>
              </w:rPr>
              <w:t xml:space="preserve">2 </w:t>
            </w:r>
            <w:r>
              <w:rPr>
                <w:spacing w:val="-1"/>
                <w:sz w:val="24"/>
                <w:szCs w:val="24"/>
              </w:rPr>
              <w:t>类标准。具体标</w:t>
            </w:r>
            <w:r>
              <w:rPr>
                <w:spacing w:val="-2"/>
                <w:sz w:val="24"/>
                <w:szCs w:val="24"/>
              </w:rPr>
              <w:t>准值见下表。</w:t>
            </w:r>
          </w:p>
          <w:p>
            <w:pPr>
              <w:pStyle w:val="6"/>
              <w:spacing w:before="195" w:line="220" w:lineRule="auto"/>
              <w:ind w:left="3570"/>
              <w:rPr>
                <w:sz w:val="24"/>
                <w:szCs w:val="24"/>
              </w:rPr>
            </w:pPr>
            <w:r>
              <w:rPr>
                <w:spacing w:val="-1"/>
                <w:sz w:val="24"/>
                <w:szCs w:val="24"/>
                <w14:textOutline w14:w="4354" w14:cap="flat" w14:cmpd="sng">
                  <w14:solidFill>
                    <w14:srgbClr w14:val="000000"/>
                  </w14:solidFill>
                  <w14:prstDash w14:val="solid"/>
                  <w14:miter w14:val="10"/>
                </w14:textOutline>
              </w:rPr>
              <w:t>表</w:t>
            </w:r>
            <w:r>
              <w:rPr>
                <w:spacing w:val="-49"/>
                <w:sz w:val="24"/>
                <w:szCs w:val="24"/>
              </w:rPr>
              <w:t xml:space="preserve"> </w:t>
            </w:r>
            <w:r>
              <w:rPr>
                <w:rFonts w:ascii="Times New Roman" w:hAnsi="Times New Roman" w:eastAsia="Times New Roman" w:cs="Times New Roman"/>
                <w:b/>
                <w:bCs/>
                <w:spacing w:val="-1"/>
                <w:sz w:val="24"/>
                <w:szCs w:val="24"/>
              </w:rPr>
              <w:t xml:space="preserve">3.5-4  </w:t>
            </w:r>
            <w:r>
              <w:rPr>
                <w:spacing w:val="-1"/>
                <w:sz w:val="24"/>
                <w:szCs w:val="24"/>
                <w14:textOutline w14:w="4354" w14:cap="flat" w14:cmpd="sng">
                  <w14:solidFill>
                    <w14:srgbClr w14:val="000000"/>
                  </w14:solidFill>
                  <w14:prstDash w14:val="solid"/>
                  <w14:miter w14:val="10"/>
                </w14:textOutline>
              </w:rPr>
              <w:t>声环境质量标准</w:t>
            </w:r>
          </w:p>
          <w:p>
            <w:pPr>
              <w:spacing w:line="1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8"/>
              <w:gridCol w:w="2944"/>
              <w:gridCol w:w="29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2718" w:type="dxa"/>
                  <w:vAlign w:val="top"/>
                </w:tcPr>
                <w:p>
                  <w:pPr>
                    <w:pStyle w:val="6"/>
                    <w:spacing w:before="69" w:line="221" w:lineRule="auto"/>
                    <w:ind w:left="944"/>
                    <w:rPr>
                      <w:sz w:val="21"/>
                      <w:szCs w:val="21"/>
                    </w:rPr>
                  </w:pPr>
                  <w:r>
                    <w:rPr>
                      <w:spacing w:val="-2"/>
                      <w:sz w:val="21"/>
                      <w:szCs w:val="21"/>
                    </w:rPr>
                    <w:t>标准类别</w:t>
                  </w:r>
                </w:p>
              </w:tc>
              <w:tc>
                <w:tcPr>
                  <w:tcW w:w="5892" w:type="dxa"/>
                  <w:gridSpan w:val="2"/>
                  <w:vAlign w:val="top"/>
                </w:tcPr>
                <w:p>
                  <w:pPr>
                    <w:pStyle w:val="6"/>
                    <w:spacing w:before="70" w:line="214" w:lineRule="auto"/>
                    <w:ind w:left="1933"/>
                    <w:rPr>
                      <w:sz w:val="21"/>
                      <w:szCs w:val="21"/>
                    </w:rPr>
                  </w:pPr>
                  <w:r>
                    <w:rPr>
                      <w:spacing w:val="-1"/>
                      <w:sz w:val="21"/>
                      <w:szCs w:val="21"/>
                    </w:rPr>
                    <w:t>等效声级</w:t>
                  </w:r>
                  <w:r>
                    <w:rPr>
                      <w:spacing w:val="-49"/>
                      <w:sz w:val="21"/>
                      <w:szCs w:val="21"/>
                    </w:rPr>
                    <w:t xml:space="preserve"> </w:t>
                  </w:r>
                  <w:r>
                    <w:rPr>
                      <w:rFonts w:ascii="Times New Roman" w:hAnsi="Times New Roman" w:eastAsia="Times New Roman" w:cs="Times New Roman"/>
                      <w:spacing w:val="-1"/>
                      <w:sz w:val="21"/>
                      <w:szCs w:val="21"/>
                    </w:rPr>
                    <w:t>LAeq</w:t>
                  </w:r>
                  <w:r>
                    <w:rPr>
                      <w:spacing w:val="-1"/>
                      <w:sz w:val="21"/>
                      <w:szCs w:val="21"/>
                    </w:rPr>
                    <w:t>（</w:t>
                  </w:r>
                  <w:r>
                    <w:rPr>
                      <w:rFonts w:ascii="Times New Roman" w:hAnsi="Times New Roman" w:eastAsia="Times New Roman" w:cs="Times New Roman"/>
                      <w:spacing w:val="-1"/>
                      <w:sz w:val="21"/>
                      <w:szCs w:val="21"/>
                    </w:rPr>
                    <w:t>dB</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718" w:type="dxa"/>
                  <w:vAlign w:val="top"/>
                </w:tcPr>
                <w:p>
                  <w:pPr>
                    <w:pStyle w:val="6"/>
                    <w:spacing w:before="68" w:line="221" w:lineRule="auto"/>
                    <w:ind w:left="1177"/>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8"/>
                      <w:sz w:val="21"/>
                      <w:szCs w:val="21"/>
                    </w:rPr>
                    <w:t xml:space="preserve"> </w:t>
                  </w:r>
                  <w:r>
                    <w:rPr>
                      <w:spacing w:val="-2"/>
                      <w:sz w:val="21"/>
                      <w:szCs w:val="21"/>
                    </w:rPr>
                    <w:t>类</w:t>
                  </w:r>
                </w:p>
              </w:tc>
              <w:tc>
                <w:tcPr>
                  <w:tcW w:w="2944" w:type="dxa"/>
                  <w:vAlign w:val="top"/>
                </w:tcPr>
                <w:p>
                  <w:pPr>
                    <w:pStyle w:val="6"/>
                    <w:spacing w:before="69" w:line="223" w:lineRule="auto"/>
                    <w:ind w:left="1057"/>
                    <w:rPr>
                      <w:rFonts w:ascii="Times New Roman" w:hAnsi="Times New Roman" w:eastAsia="Times New Roman" w:cs="Times New Roman"/>
                      <w:sz w:val="21"/>
                      <w:szCs w:val="21"/>
                    </w:rPr>
                  </w:pPr>
                  <w:r>
                    <w:rPr>
                      <w:spacing w:val="-22"/>
                      <w:sz w:val="21"/>
                      <w:szCs w:val="21"/>
                    </w:rPr>
                    <w:t>昼间：</w:t>
                  </w:r>
                  <w:r>
                    <w:rPr>
                      <w:spacing w:val="3"/>
                      <w:sz w:val="21"/>
                      <w:szCs w:val="21"/>
                    </w:rPr>
                    <w:t xml:space="preserve"> </w:t>
                  </w:r>
                  <w:r>
                    <w:rPr>
                      <w:rFonts w:ascii="Times New Roman" w:hAnsi="Times New Roman" w:eastAsia="Times New Roman" w:cs="Times New Roman"/>
                      <w:spacing w:val="-22"/>
                      <w:sz w:val="21"/>
                      <w:szCs w:val="21"/>
                    </w:rPr>
                    <w:t>60</w:t>
                  </w:r>
                </w:p>
              </w:tc>
              <w:tc>
                <w:tcPr>
                  <w:tcW w:w="2948" w:type="dxa"/>
                  <w:vAlign w:val="top"/>
                </w:tcPr>
                <w:p>
                  <w:pPr>
                    <w:pStyle w:val="6"/>
                    <w:spacing w:before="68" w:line="221" w:lineRule="auto"/>
                    <w:ind w:left="1060"/>
                    <w:rPr>
                      <w:rFonts w:ascii="Times New Roman" w:hAnsi="Times New Roman" w:eastAsia="Times New Roman" w:cs="Times New Roman"/>
                      <w:sz w:val="21"/>
                      <w:szCs w:val="21"/>
                    </w:rPr>
                  </w:pPr>
                  <w:r>
                    <w:rPr>
                      <w:spacing w:val="-23"/>
                      <w:sz w:val="21"/>
                      <w:szCs w:val="21"/>
                    </w:rPr>
                    <w:t>夜间：</w:t>
                  </w:r>
                  <w:r>
                    <w:rPr>
                      <w:spacing w:val="4"/>
                      <w:sz w:val="21"/>
                      <w:szCs w:val="21"/>
                    </w:rPr>
                    <w:t xml:space="preserve"> </w:t>
                  </w:r>
                  <w:r>
                    <w:rPr>
                      <w:rFonts w:ascii="Times New Roman" w:hAnsi="Times New Roman" w:eastAsia="Times New Roman" w:cs="Times New Roman"/>
                      <w:spacing w:val="-23"/>
                      <w:sz w:val="21"/>
                      <w:szCs w:val="21"/>
                    </w:rPr>
                    <w:t>50</w:t>
                  </w:r>
                </w:p>
              </w:tc>
            </w:tr>
          </w:tbl>
          <w:p>
            <w:pPr>
              <w:pStyle w:val="6"/>
              <w:spacing w:before="211" w:line="221" w:lineRule="auto"/>
              <w:ind w:left="562"/>
              <w:rPr>
                <w:sz w:val="24"/>
                <w:szCs w:val="24"/>
              </w:rPr>
            </w:pPr>
            <w:r>
              <w:rPr>
                <w:rFonts w:ascii="Times New Roman" w:hAnsi="Times New Roman" w:eastAsia="Times New Roman" w:cs="Times New Roman"/>
                <w:b/>
                <w:bCs/>
                <w:spacing w:val="-2"/>
                <w:sz w:val="24"/>
                <w:szCs w:val="24"/>
              </w:rPr>
              <w:t>3.5.5</w:t>
            </w:r>
            <w:r>
              <w:rPr>
                <w:rFonts w:ascii="Times New Roman" w:hAnsi="Times New Roman" w:eastAsia="Times New Roman" w:cs="Times New Roman"/>
                <w:b/>
                <w:bCs/>
                <w:spacing w:val="15"/>
                <w:sz w:val="24"/>
                <w:szCs w:val="24"/>
              </w:rPr>
              <w:t xml:space="preserve"> </w:t>
            </w:r>
            <w:r>
              <w:rPr>
                <w:spacing w:val="-2"/>
                <w:sz w:val="24"/>
                <w:szCs w:val="24"/>
                <w14:textOutline w14:w="4354" w14:cap="flat" w14:cmpd="sng">
                  <w14:solidFill>
                    <w14:srgbClr w14:val="000000"/>
                  </w14:solidFill>
                  <w14:prstDash w14:val="solid"/>
                  <w14:miter w14:val="10"/>
                </w14:textOutline>
              </w:rPr>
              <w:t>土壤</w:t>
            </w:r>
          </w:p>
          <w:p>
            <w:pPr>
              <w:pStyle w:val="6"/>
              <w:spacing w:before="203" w:line="369" w:lineRule="auto"/>
              <w:ind w:left="568" w:right="101" w:firstLine="480"/>
              <w:rPr>
                <w:rFonts w:ascii="Times New Roman" w:hAnsi="Times New Roman" w:eastAsia="Times New Roman" w:cs="Times New Roman"/>
                <w:sz w:val="24"/>
                <w:szCs w:val="24"/>
              </w:rPr>
            </w:pPr>
            <w:r>
              <w:rPr>
                <w:spacing w:val="8"/>
                <w:sz w:val="24"/>
                <w:szCs w:val="24"/>
              </w:rPr>
              <w:t>本项目井场内土壤执行《土壤环境质量</w:t>
            </w:r>
            <w:r>
              <w:rPr>
                <w:spacing w:val="49"/>
                <w:sz w:val="24"/>
                <w:szCs w:val="24"/>
              </w:rPr>
              <w:t xml:space="preserve"> </w:t>
            </w:r>
            <w:r>
              <w:rPr>
                <w:spacing w:val="8"/>
                <w:sz w:val="24"/>
                <w:szCs w:val="24"/>
              </w:rPr>
              <w:t>建设用地土壤污染风险管控标准》</w:t>
            </w:r>
            <w:r>
              <w:rPr>
                <w:sz w:val="24"/>
                <w:szCs w:val="24"/>
              </w:rPr>
              <w:t xml:space="preserve"> </w:t>
            </w:r>
            <w:r>
              <w:rPr>
                <w:spacing w:val="-6"/>
                <w:sz w:val="24"/>
                <w:szCs w:val="24"/>
              </w:rPr>
              <w:t>（</w:t>
            </w:r>
            <w:r>
              <w:rPr>
                <w:rFonts w:ascii="Times New Roman" w:hAnsi="Times New Roman" w:eastAsia="Times New Roman" w:cs="Times New Roman"/>
                <w:spacing w:val="-6"/>
                <w:sz w:val="24"/>
                <w:szCs w:val="24"/>
              </w:rPr>
              <w:t>GB36600-2018</w:t>
            </w:r>
            <w:r>
              <w:rPr>
                <w:spacing w:val="-6"/>
                <w:sz w:val="24"/>
                <w:szCs w:val="24"/>
              </w:rPr>
              <w:t>）第二类用地筛选值标准，</w:t>
            </w:r>
            <w:r>
              <w:rPr>
                <w:spacing w:val="37"/>
                <w:sz w:val="24"/>
                <w:szCs w:val="24"/>
              </w:rPr>
              <w:t xml:space="preserve"> </w:t>
            </w:r>
            <w:r>
              <w:rPr>
                <w:spacing w:val="-6"/>
                <w:sz w:val="24"/>
                <w:szCs w:val="24"/>
              </w:rPr>
              <w:t>井场外土壤执行《土壤环境质</w:t>
            </w:r>
            <w:r>
              <w:rPr>
                <w:spacing w:val="-7"/>
                <w:sz w:val="24"/>
                <w:szCs w:val="24"/>
              </w:rPr>
              <w:t>量农用地</w:t>
            </w:r>
            <w:r>
              <w:rPr>
                <w:sz w:val="24"/>
                <w:szCs w:val="24"/>
              </w:rPr>
              <w:t xml:space="preserve"> </w:t>
            </w:r>
            <w:r>
              <w:rPr>
                <w:spacing w:val="-8"/>
                <w:sz w:val="24"/>
                <w:szCs w:val="24"/>
              </w:rPr>
              <w:t>土壤污染风险管控标准（试行） 》（</w:t>
            </w:r>
            <w:r>
              <w:rPr>
                <w:rFonts w:ascii="Times New Roman" w:hAnsi="Times New Roman" w:eastAsia="Times New Roman" w:cs="Times New Roman"/>
                <w:spacing w:val="-8"/>
                <w:sz w:val="24"/>
                <w:szCs w:val="24"/>
              </w:rPr>
              <w:t>GBl5618-2018</w:t>
            </w:r>
            <w:r>
              <w:rPr>
                <w:spacing w:val="-8"/>
                <w:sz w:val="24"/>
                <w:szCs w:val="24"/>
              </w:rPr>
              <w:t>）筛选值标准；</w:t>
            </w:r>
            <w:r>
              <w:rPr>
                <w:spacing w:val="62"/>
                <w:sz w:val="24"/>
                <w:szCs w:val="24"/>
              </w:rPr>
              <w:t xml:space="preserve"> </w:t>
            </w:r>
            <w:r>
              <w:rPr>
                <w:spacing w:val="-8"/>
                <w:sz w:val="24"/>
                <w:szCs w:val="24"/>
              </w:rPr>
              <w:t>石</w:t>
            </w:r>
            <w:r>
              <w:rPr>
                <w:spacing w:val="-9"/>
                <w:sz w:val="24"/>
                <w:szCs w:val="24"/>
              </w:rPr>
              <w:t>油烃执行《土</w:t>
            </w:r>
            <w:r>
              <w:rPr>
                <w:sz w:val="24"/>
                <w:szCs w:val="24"/>
              </w:rPr>
              <w:t xml:space="preserve"> </w:t>
            </w:r>
            <w:r>
              <w:rPr>
                <w:spacing w:val="-2"/>
                <w:sz w:val="24"/>
                <w:szCs w:val="24"/>
              </w:rPr>
              <w:t>壤环境质量 建设用地土壤污染风险管控标准（试行）</w:t>
            </w:r>
            <w:r>
              <w:rPr>
                <w:spacing w:val="-15"/>
                <w:sz w:val="24"/>
                <w:szCs w:val="24"/>
              </w:rPr>
              <w:t xml:space="preserve"> </w:t>
            </w:r>
            <w:r>
              <w:rPr>
                <w:spacing w:val="-2"/>
                <w:sz w:val="24"/>
                <w:szCs w:val="24"/>
              </w:rPr>
              <w:t>》（</w:t>
            </w:r>
            <w:r>
              <w:rPr>
                <w:rFonts w:ascii="Times New Roman" w:hAnsi="Times New Roman" w:eastAsia="Times New Roman" w:cs="Times New Roman"/>
                <w:spacing w:val="-2"/>
                <w:sz w:val="24"/>
                <w:szCs w:val="24"/>
              </w:rPr>
              <w:t>GB36600-2018</w:t>
            </w:r>
            <w:r>
              <w:rPr>
                <w:spacing w:val="-2"/>
                <w:sz w:val="24"/>
                <w:szCs w:val="24"/>
              </w:rPr>
              <w:t>）其他项</w:t>
            </w:r>
            <w:r>
              <w:rPr>
                <w:sz w:val="24"/>
                <w:szCs w:val="24"/>
              </w:rPr>
              <w:t xml:space="preserve"> </w:t>
            </w:r>
            <w:r>
              <w:rPr>
                <w:spacing w:val="23"/>
                <w:sz w:val="24"/>
                <w:szCs w:val="24"/>
              </w:rPr>
              <w:t>目第二类用地筛选值；</w:t>
            </w:r>
            <w:r>
              <w:rPr>
                <w:spacing w:val="-39"/>
                <w:sz w:val="24"/>
                <w:szCs w:val="24"/>
              </w:rPr>
              <w:t xml:space="preserve"> </w:t>
            </w:r>
            <w:r>
              <w:rPr>
                <w:spacing w:val="23"/>
                <w:sz w:val="24"/>
                <w:szCs w:val="24"/>
              </w:rPr>
              <w:t>钡执行《四川省建设用地土壤污染风</w:t>
            </w:r>
            <w:r>
              <w:rPr>
                <w:spacing w:val="-66"/>
                <w:sz w:val="24"/>
                <w:szCs w:val="24"/>
              </w:rPr>
              <w:t xml:space="preserve"> </w:t>
            </w:r>
            <w:r>
              <w:rPr>
                <w:spacing w:val="23"/>
                <w:sz w:val="24"/>
                <w:szCs w:val="24"/>
              </w:rPr>
              <w:t>险管控标准</w:t>
            </w:r>
            <w:r>
              <w:rPr>
                <w:spacing w:val="-67"/>
                <w:sz w:val="24"/>
                <w:szCs w:val="24"/>
              </w:rPr>
              <w:t xml:space="preserve"> </w:t>
            </w:r>
            <w:r>
              <w:rPr>
                <w:spacing w:val="23"/>
                <w:sz w:val="24"/>
                <w:szCs w:val="24"/>
              </w:rPr>
              <w:t>》</w:t>
            </w:r>
            <w:r>
              <w:rPr>
                <w:sz w:val="24"/>
                <w:szCs w:val="24"/>
              </w:rPr>
              <w:t xml:space="preserve"> </w:t>
            </w:r>
            <w:r>
              <w:rPr>
                <w:spacing w:val="-4"/>
                <w:sz w:val="24"/>
                <w:szCs w:val="24"/>
              </w:rPr>
              <w:t>（</w:t>
            </w:r>
            <w:r>
              <w:rPr>
                <w:rFonts w:ascii="Times New Roman" w:hAnsi="Times New Roman" w:eastAsia="Times New Roman" w:cs="Times New Roman"/>
                <w:spacing w:val="-4"/>
                <w:sz w:val="24"/>
                <w:szCs w:val="24"/>
              </w:rPr>
              <w:t>DB51/2978-2023</w:t>
            </w:r>
            <w:r>
              <w:rPr>
                <w:spacing w:val="-4"/>
                <w:sz w:val="24"/>
                <w:szCs w:val="24"/>
              </w:rPr>
              <w:t>）表一第二类用地筛选值。</w:t>
            </w:r>
            <w:r>
              <w:rPr>
                <w:spacing w:val="-21"/>
                <w:sz w:val="24"/>
                <w:szCs w:val="24"/>
              </w:rPr>
              <w:t xml:space="preserve"> </w:t>
            </w:r>
            <w:r>
              <w:rPr>
                <w:spacing w:val="-4"/>
                <w:sz w:val="24"/>
                <w:szCs w:val="24"/>
              </w:rPr>
              <w:t>土壤环境中含盐量（</w:t>
            </w:r>
            <w:r>
              <w:rPr>
                <w:rFonts w:ascii="Times New Roman" w:hAnsi="Times New Roman" w:eastAsia="Times New Roman" w:cs="Times New Roman"/>
                <w:spacing w:val="-4"/>
                <w:sz w:val="24"/>
                <w:szCs w:val="24"/>
              </w:rPr>
              <w:t>SSC</w:t>
            </w:r>
            <w:r>
              <w:rPr>
                <w:spacing w:val="-4"/>
                <w:sz w:val="24"/>
                <w:szCs w:val="24"/>
              </w:rPr>
              <w:t>）参照</w:t>
            </w:r>
            <w:r>
              <w:rPr>
                <w:spacing w:val="-38"/>
                <w:sz w:val="24"/>
                <w:szCs w:val="24"/>
              </w:rPr>
              <w:t xml:space="preserve"> </w:t>
            </w:r>
            <w:r>
              <w:rPr>
                <w:spacing w:val="-4"/>
                <w:sz w:val="24"/>
                <w:szCs w:val="24"/>
              </w:rPr>
              <w:t>《环</w:t>
            </w:r>
            <w:r>
              <w:rPr>
                <w:sz w:val="24"/>
                <w:szCs w:val="24"/>
              </w:rPr>
              <w:t xml:space="preserve"> </w:t>
            </w:r>
            <w:r>
              <w:rPr>
                <w:spacing w:val="-1"/>
                <w:sz w:val="24"/>
                <w:szCs w:val="24"/>
              </w:rPr>
              <w:t>境影响评价技术导则 土壤环境（试行）》（</w:t>
            </w:r>
            <w:r>
              <w:rPr>
                <w:rFonts w:ascii="Times New Roman" w:hAnsi="Times New Roman" w:eastAsia="Times New Roman" w:cs="Times New Roman"/>
                <w:spacing w:val="-1"/>
                <w:sz w:val="24"/>
                <w:szCs w:val="24"/>
              </w:rPr>
              <w:t xml:space="preserve">HJ  </w:t>
            </w:r>
            <w:r>
              <w:rPr>
                <w:rFonts w:ascii="Times New Roman" w:hAnsi="Times New Roman" w:eastAsia="Times New Roman" w:cs="Times New Roman"/>
                <w:spacing w:val="-2"/>
                <w:sz w:val="24"/>
                <w:szCs w:val="24"/>
              </w:rPr>
              <w:t>964-2018</w:t>
            </w:r>
            <w:r>
              <w:rPr>
                <w:spacing w:val="-2"/>
                <w:sz w:val="24"/>
                <w:szCs w:val="24"/>
              </w:rPr>
              <w:t>）附录</w:t>
            </w:r>
            <w:r>
              <w:rPr>
                <w:spacing w:val="-44"/>
                <w:sz w:val="24"/>
                <w:szCs w:val="24"/>
              </w:rPr>
              <w:t xml:space="preserve"> </w:t>
            </w:r>
            <w:r>
              <w:rPr>
                <w:rFonts w:ascii="Times New Roman" w:hAnsi="Times New Roman" w:eastAsia="Times New Roman" w:cs="Times New Roman"/>
                <w:spacing w:val="-2"/>
                <w:sz w:val="24"/>
                <w:szCs w:val="24"/>
              </w:rPr>
              <w:t>D.1</w:t>
            </w:r>
            <w:r>
              <w:rPr>
                <w:rFonts w:ascii="Times New Roman" w:hAnsi="Times New Roman" w:eastAsia="Times New Roman" w:cs="Times New Roman"/>
                <w:spacing w:val="32"/>
                <w:sz w:val="24"/>
                <w:szCs w:val="24"/>
              </w:rPr>
              <w:t xml:space="preserve"> </w:t>
            </w:r>
            <w:r>
              <w:rPr>
                <w:spacing w:val="-2"/>
                <w:sz w:val="24"/>
                <w:szCs w:val="24"/>
              </w:rPr>
              <w:t>中土壤盐化分</w:t>
            </w:r>
            <w:r>
              <w:rPr>
                <w:sz w:val="24"/>
                <w:szCs w:val="24"/>
              </w:rPr>
              <w:t xml:space="preserve"> </w:t>
            </w:r>
            <w:r>
              <w:rPr>
                <w:spacing w:val="-12"/>
                <w:sz w:val="24"/>
                <w:szCs w:val="24"/>
              </w:rPr>
              <w:t>级标准；</w:t>
            </w:r>
            <w:r>
              <w:rPr>
                <w:spacing w:val="-38"/>
                <w:sz w:val="24"/>
                <w:szCs w:val="24"/>
              </w:rPr>
              <w:t xml:space="preserve"> </w:t>
            </w:r>
            <w:r>
              <w:rPr>
                <w:spacing w:val="-12"/>
                <w:sz w:val="24"/>
                <w:szCs w:val="24"/>
              </w:rPr>
              <w:t>土壤环境中</w:t>
            </w:r>
            <w:r>
              <w:rPr>
                <w:spacing w:val="-60"/>
                <w:sz w:val="24"/>
                <w:szCs w:val="24"/>
              </w:rPr>
              <w:t xml:space="preserve"> </w:t>
            </w:r>
            <w:r>
              <w:rPr>
                <w:rFonts w:ascii="Times New Roman" w:hAnsi="Times New Roman" w:eastAsia="Times New Roman" w:cs="Times New Roman"/>
                <w:spacing w:val="-12"/>
                <w:sz w:val="24"/>
                <w:szCs w:val="24"/>
              </w:rPr>
              <w:t xml:space="preserve">pH </w:t>
            </w:r>
            <w:r>
              <w:rPr>
                <w:spacing w:val="-12"/>
                <w:sz w:val="24"/>
                <w:szCs w:val="24"/>
              </w:rPr>
              <w:t>标准参照《环境影响评价技术导则</w:t>
            </w:r>
            <w:r>
              <w:rPr>
                <w:spacing w:val="32"/>
                <w:sz w:val="24"/>
                <w:szCs w:val="24"/>
              </w:rPr>
              <w:t xml:space="preserve"> </w:t>
            </w:r>
            <w:r>
              <w:rPr>
                <w:spacing w:val="-12"/>
                <w:sz w:val="24"/>
                <w:szCs w:val="24"/>
              </w:rPr>
              <w:t>土壤环境（试行）》（</w:t>
            </w:r>
            <w:r>
              <w:rPr>
                <w:rFonts w:ascii="Times New Roman" w:hAnsi="Times New Roman" w:eastAsia="Times New Roman" w:cs="Times New Roman"/>
                <w:spacing w:val="-13"/>
                <w:sz w:val="24"/>
                <w:szCs w:val="24"/>
              </w:rPr>
              <w:t>HJ</w:t>
            </w:r>
          </w:p>
          <w:p>
            <w:pPr>
              <w:pStyle w:val="6"/>
              <w:spacing w:before="1" w:line="218" w:lineRule="auto"/>
              <w:ind w:left="568"/>
              <w:rPr>
                <w:sz w:val="24"/>
                <w:szCs w:val="24"/>
              </w:rPr>
            </w:pPr>
            <w:r>
              <w:rPr>
                <w:rFonts w:ascii="Times New Roman" w:hAnsi="Times New Roman" w:eastAsia="Times New Roman" w:cs="Times New Roman"/>
                <w:spacing w:val="-6"/>
                <w:sz w:val="24"/>
                <w:szCs w:val="24"/>
              </w:rPr>
              <w:t>964-2018</w:t>
            </w:r>
            <w:r>
              <w:rPr>
                <w:spacing w:val="-6"/>
                <w:sz w:val="24"/>
                <w:szCs w:val="24"/>
              </w:rPr>
              <w:t>）附录</w:t>
            </w:r>
            <w:r>
              <w:rPr>
                <w:spacing w:val="-45"/>
                <w:sz w:val="24"/>
                <w:szCs w:val="24"/>
              </w:rPr>
              <w:t xml:space="preserve"> </w:t>
            </w:r>
            <w:r>
              <w:rPr>
                <w:rFonts w:ascii="Times New Roman" w:hAnsi="Times New Roman" w:eastAsia="Times New Roman" w:cs="Times New Roman"/>
                <w:spacing w:val="-6"/>
                <w:sz w:val="24"/>
                <w:szCs w:val="24"/>
              </w:rPr>
              <w:t>D.2</w:t>
            </w:r>
            <w:r>
              <w:rPr>
                <w:rFonts w:ascii="Times New Roman" w:hAnsi="Times New Roman" w:eastAsia="Times New Roman" w:cs="Times New Roman"/>
                <w:spacing w:val="32"/>
                <w:sz w:val="24"/>
                <w:szCs w:val="24"/>
              </w:rPr>
              <w:t xml:space="preserve"> </w:t>
            </w:r>
            <w:r>
              <w:rPr>
                <w:spacing w:val="-6"/>
                <w:sz w:val="24"/>
                <w:szCs w:val="24"/>
              </w:rPr>
              <w:t>中土壤酸化、碱化分级标准。</w:t>
            </w:r>
            <w:r>
              <w:rPr>
                <w:spacing w:val="50"/>
                <w:sz w:val="24"/>
                <w:szCs w:val="24"/>
              </w:rPr>
              <w:t xml:space="preserve"> </w:t>
            </w:r>
            <w:r>
              <w:rPr>
                <w:spacing w:val="-6"/>
                <w:sz w:val="24"/>
                <w:szCs w:val="24"/>
              </w:rPr>
              <w:t>具体标准值详</w:t>
            </w:r>
            <w:r>
              <w:rPr>
                <w:spacing w:val="-7"/>
                <w:sz w:val="24"/>
                <w:szCs w:val="24"/>
              </w:rPr>
              <w:t>见下表。</w:t>
            </w:r>
          </w:p>
          <w:p>
            <w:pPr>
              <w:pStyle w:val="6"/>
              <w:spacing w:before="195" w:line="219" w:lineRule="auto"/>
              <w:ind w:left="2062"/>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3.5-5    </w:t>
            </w:r>
            <w:r>
              <w:rPr>
                <w:sz w:val="24"/>
                <w:szCs w:val="24"/>
                <w14:textOutline w14:w="4354" w14:cap="flat" w14:cmpd="sng">
                  <w14:solidFill>
                    <w14:srgbClr w14:val="000000"/>
                  </w14:solidFill>
                  <w14:prstDash w14:val="solid"/>
                  <w14:miter w14:val="10"/>
                </w14:textOutline>
              </w:rPr>
              <w:t>建设用地土壤污染风险筛选值（基本项目）</w:t>
            </w:r>
          </w:p>
          <w:p>
            <w:pPr>
              <w:spacing w:line="18"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5"/>
              <w:gridCol w:w="844"/>
              <w:gridCol w:w="2046"/>
              <w:gridCol w:w="852"/>
              <w:gridCol w:w="1749"/>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215" w:type="dxa"/>
                  <w:vAlign w:val="top"/>
                </w:tcPr>
                <w:p>
                  <w:pPr>
                    <w:pStyle w:val="6"/>
                    <w:spacing w:before="83" w:line="220" w:lineRule="auto"/>
                    <w:ind w:left="933"/>
                    <w:rPr>
                      <w:sz w:val="18"/>
                      <w:szCs w:val="18"/>
                    </w:rPr>
                  </w:pPr>
                  <w:r>
                    <w:rPr>
                      <w:spacing w:val="-3"/>
                      <w:sz w:val="18"/>
                      <w:szCs w:val="18"/>
                    </w:rPr>
                    <w:t>项目</w:t>
                  </w:r>
                </w:p>
              </w:tc>
              <w:tc>
                <w:tcPr>
                  <w:tcW w:w="844" w:type="dxa"/>
                  <w:vAlign w:val="top"/>
                </w:tcPr>
                <w:p>
                  <w:pPr>
                    <w:pStyle w:val="6"/>
                    <w:spacing w:before="82" w:line="220" w:lineRule="auto"/>
                    <w:ind w:left="157"/>
                    <w:rPr>
                      <w:sz w:val="18"/>
                      <w:szCs w:val="18"/>
                    </w:rPr>
                  </w:pPr>
                  <w:r>
                    <w:rPr>
                      <w:spacing w:val="-2"/>
                      <w:sz w:val="18"/>
                      <w:szCs w:val="18"/>
                    </w:rPr>
                    <w:t>筛选值</w:t>
                  </w:r>
                </w:p>
              </w:tc>
              <w:tc>
                <w:tcPr>
                  <w:tcW w:w="2046" w:type="dxa"/>
                  <w:vAlign w:val="top"/>
                </w:tcPr>
                <w:p>
                  <w:pPr>
                    <w:pStyle w:val="6"/>
                    <w:spacing w:before="83" w:line="220" w:lineRule="auto"/>
                    <w:ind w:left="848"/>
                    <w:rPr>
                      <w:sz w:val="18"/>
                      <w:szCs w:val="18"/>
                    </w:rPr>
                  </w:pPr>
                  <w:r>
                    <w:rPr>
                      <w:spacing w:val="-3"/>
                      <w:sz w:val="18"/>
                      <w:szCs w:val="18"/>
                    </w:rPr>
                    <w:t>项目</w:t>
                  </w:r>
                </w:p>
              </w:tc>
              <w:tc>
                <w:tcPr>
                  <w:tcW w:w="852" w:type="dxa"/>
                  <w:vAlign w:val="top"/>
                </w:tcPr>
                <w:p>
                  <w:pPr>
                    <w:pStyle w:val="6"/>
                    <w:spacing w:before="82" w:line="220" w:lineRule="auto"/>
                    <w:ind w:left="162"/>
                    <w:rPr>
                      <w:sz w:val="18"/>
                      <w:szCs w:val="18"/>
                    </w:rPr>
                  </w:pPr>
                  <w:r>
                    <w:rPr>
                      <w:spacing w:val="-2"/>
                      <w:sz w:val="18"/>
                      <w:szCs w:val="18"/>
                    </w:rPr>
                    <w:t>筛选值</w:t>
                  </w:r>
                </w:p>
              </w:tc>
              <w:tc>
                <w:tcPr>
                  <w:tcW w:w="1749" w:type="dxa"/>
                  <w:vAlign w:val="top"/>
                </w:tcPr>
                <w:p>
                  <w:pPr>
                    <w:pStyle w:val="6"/>
                    <w:spacing w:before="83" w:line="220" w:lineRule="auto"/>
                    <w:ind w:left="701"/>
                    <w:rPr>
                      <w:sz w:val="18"/>
                      <w:szCs w:val="18"/>
                    </w:rPr>
                  </w:pPr>
                  <w:r>
                    <w:rPr>
                      <w:spacing w:val="-3"/>
                      <w:sz w:val="18"/>
                      <w:szCs w:val="18"/>
                    </w:rPr>
                    <w:t>项目</w:t>
                  </w:r>
                </w:p>
              </w:tc>
              <w:tc>
                <w:tcPr>
                  <w:tcW w:w="904" w:type="dxa"/>
                  <w:vAlign w:val="top"/>
                </w:tcPr>
                <w:p>
                  <w:pPr>
                    <w:pStyle w:val="6"/>
                    <w:spacing w:before="82" w:line="220" w:lineRule="auto"/>
                    <w:ind w:left="187"/>
                    <w:rPr>
                      <w:sz w:val="18"/>
                      <w:szCs w:val="18"/>
                    </w:rPr>
                  </w:pPr>
                  <w:r>
                    <w:rPr>
                      <w:spacing w:val="-2"/>
                      <w:sz w:val="18"/>
                      <w:szCs w:val="18"/>
                    </w:rPr>
                    <w:t>筛选值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10" w:type="dxa"/>
                  <w:gridSpan w:val="6"/>
                  <w:vAlign w:val="top"/>
                </w:tcPr>
                <w:p>
                  <w:pPr>
                    <w:pStyle w:val="6"/>
                    <w:spacing w:before="77" w:line="219" w:lineRule="auto"/>
                    <w:ind w:left="3680"/>
                    <w:rPr>
                      <w:sz w:val="18"/>
                      <w:szCs w:val="18"/>
                    </w:rPr>
                  </w:pPr>
                  <w:r>
                    <w:rPr>
                      <w:spacing w:val="-2"/>
                      <w:sz w:val="18"/>
                      <w:szCs w:val="18"/>
                    </w:rPr>
                    <w:t>重金属和无机物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215" w:type="dxa"/>
                  <w:vAlign w:val="top"/>
                </w:tcPr>
                <w:p>
                  <w:pPr>
                    <w:pStyle w:val="6"/>
                    <w:spacing w:before="78" w:line="220" w:lineRule="auto"/>
                    <w:ind w:left="1021"/>
                    <w:rPr>
                      <w:sz w:val="18"/>
                      <w:szCs w:val="18"/>
                    </w:rPr>
                  </w:pPr>
                  <w:r>
                    <w:rPr>
                      <w:sz w:val="18"/>
                      <w:szCs w:val="18"/>
                    </w:rPr>
                    <w:t>砷</w:t>
                  </w:r>
                </w:p>
              </w:tc>
              <w:tc>
                <w:tcPr>
                  <w:tcW w:w="844" w:type="dxa"/>
                  <w:vAlign w:val="top"/>
                </w:tcPr>
                <w:p>
                  <w:pPr>
                    <w:spacing w:before="111"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2046" w:type="dxa"/>
                  <w:vAlign w:val="top"/>
                </w:tcPr>
                <w:p>
                  <w:pPr>
                    <w:pStyle w:val="6"/>
                    <w:spacing w:before="78" w:line="222" w:lineRule="auto"/>
                    <w:ind w:left="935"/>
                    <w:rPr>
                      <w:sz w:val="18"/>
                      <w:szCs w:val="18"/>
                    </w:rPr>
                  </w:pPr>
                  <w:r>
                    <w:rPr>
                      <w:sz w:val="18"/>
                      <w:szCs w:val="18"/>
                    </w:rPr>
                    <w:t>镉</w:t>
                  </w:r>
                </w:p>
              </w:tc>
              <w:tc>
                <w:tcPr>
                  <w:tcW w:w="852" w:type="dxa"/>
                  <w:vAlign w:val="top"/>
                </w:tcPr>
                <w:p>
                  <w:pPr>
                    <w:spacing w:before="111"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1749" w:type="dxa"/>
                  <w:vAlign w:val="top"/>
                </w:tcPr>
                <w:p>
                  <w:pPr>
                    <w:pStyle w:val="6"/>
                    <w:spacing w:before="78" w:line="218" w:lineRule="auto"/>
                    <w:ind w:left="429"/>
                    <w:rPr>
                      <w:sz w:val="18"/>
                      <w:szCs w:val="18"/>
                    </w:rPr>
                  </w:pPr>
                  <w:r>
                    <w:rPr>
                      <w:spacing w:val="-3"/>
                      <w:sz w:val="18"/>
                      <w:szCs w:val="18"/>
                    </w:rPr>
                    <w:t>铬（六价）</w:t>
                  </w:r>
                </w:p>
              </w:tc>
              <w:tc>
                <w:tcPr>
                  <w:tcW w:w="904" w:type="dxa"/>
                  <w:vAlign w:val="top"/>
                </w:tcPr>
                <w:p>
                  <w:pPr>
                    <w:spacing w:before="114" w:line="183" w:lineRule="auto"/>
                    <w:ind w:left="3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215" w:type="dxa"/>
                  <w:vAlign w:val="top"/>
                </w:tcPr>
                <w:p>
                  <w:pPr>
                    <w:pStyle w:val="6"/>
                    <w:spacing w:before="81" w:line="221" w:lineRule="auto"/>
                    <w:ind w:left="1021"/>
                    <w:rPr>
                      <w:sz w:val="18"/>
                      <w:szCs w:val="18"/>
                    </w:rPr>
                  </w:pPr>
                  <w:r>
                    <w:rPr>
                      <w:sz w:val="18"/>
                      <w:szCs w:val="18"/>
                    </w:rPr>
                    <w:t>铜</w:t>
                  </w:r>
                </w:p>
              </w:tc>
              <w:tc>
                <w:tcPr>
                  <w:tcW w:w="844" w:type="dxa"/>
                  <w:vAlign w:val="top"/>
                </w:tcPr>
                <w:p>
                  <w:pPr>
                    <w:spacing w:before="114" w:line="186"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w:t>
                  </w:r>
                </w:p>
              </w:tc>
              <w:tc>
                <w:tcPr>
                  <w:tcW w:w="2046" w:type="dxa"/>
                  <w:vAlign w:val="top"/>
                </w:tcPr>
                <w:p>
                  <w:pPr>
                    <w:pStyle w:val="6"/>
                    <w:spacing w:before="81" w:line="224" w:lineRule="auto"/>
                    <w:ind w:left="937"/>
                    <w:rPr>
                      <w:sz w:val="18"/>
                      <w:szCs w:val="18"/>
                    </w:rPr>
                  </w:pPr>
                  <w:r>
                    <w:rPr>
                      <w:sz w:val="18"/>
                      <w:szCs w:val="18"/>
                    </w:rPr>
                    <w:t>铅</w:t>
                  </w:r>
                </w:p>
              </w:tc>
              <w:tc>
                <w:tcPr>
                  <w:tcW w:w="852" w:type="dxa"/>
                  <w:vAlign w:val="top"/>
                </w:tcPr>
                <w:p>
                  <w:pPr>
                    <w:spacing w:before="114" w:line="186"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800</w:t>
                  </w:r>
                </w:p>
              </w:tc>
              <w:tc>
                <w:tcPr>
                  <w:tcW w:w="1749" w:type="dxa"/>
                  <w:vAlign w:val="top"/>
                </w:tcPr>
                <w:p>
                  <w:pPr>
                    <w:pStyle w:val="6"/>
                    <w:spacing w:before="81" w:line="220" w:lineRule="auto"/>
                    <w:ind w:left="790"/>
                    <w:rPr>
                      <w:sz w:val="18"/>
                      <w:szCs w:val="18"/>
                    </w:rPr>
                  </w:pPr>
                  <w:r>
                    <w:rPr>
                      <w:sz w:val="18"/>
                      <w:szCs w:val="18"/>
                    </w:rPr>
                    <w:t>汞</w:t>
                  </w:r>
                </w:p>
              </w:tc>
              <w:tc>
                <w:tcPr>
                  <w:tcW w:w="904" w:type="dxa"/>
                  <w:vAlign w:val="top"/>
                </w:tcPr>
                <w:p>
                  <w:pPr>
                    <w:spacing w:before="114" w:line="186" w:lineRule="auto"/>
                    <w:ind w:left="3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215" w:type="dxa"/>
                  <w:vAlign w:val="top"/>
                </w:tcPr>
                <w:p>
                  <w:pPr>
                    <w:pStyle w:val="6"/>
                    <w:spacing w:before="81" w:line="220" w:lineRule="auto"/>
                    <w:ind w:left="1021"/>
                    <w:rPr>
                      <w:sz w:val="18"/>
                      <w:szCs w:val="18"/>
                    </w:rPr>
                  </w:pPr>
                  <w:r>
                    <w:rPr>
                      <w:sz w:val="18"/>
                      <w:szCs w:val="18"/>
                    </w:rPr>
                    <w:t>镍</w:t>
                  </w:r>
                </w:p>
              </w:tc>
              <w:tc>
                <w:tcPr>
                  <w:tcW w:w="844" w:type="dxa"/>
                  <w:vAlign w:val="top"/>
                </w:tcPr>
                <w:p>
                  <w:pPr>
                    <w:spacing w:before="114"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w:t>
                  </w:r>
                </w:p>
              </w:tc>
              <w:tc>
                <w:tcPr>
                  <w:tcW w:w="2046" w:type="dxa"/>
                  <w:vAlign w:val="top"/>
                </w:tcPr>
                <w:p>
                  <w:pPr>
                    <w:spacing w:before="110" w:line="232" w:lineRule="auto"/>
                    <w:ind w:left="99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52" w:type="dxa"/>
                  <w:vAlign w:val="top"/>
                </w:tcPr>
                <w:p>
                  <w:pPr>
                    <w:spacing w:before="110" w:line="232" w:lineRule="auto"/>
                    <w:ind w:left="39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749" w:type="dxa"/>
                  <w:vAlign w:val="top"/>
                </w:tcPr>
                <w:p>
                  <w:pPr>
                    <w:spacing w:before="110" w:line="232" w:lineRule="auto"/>
                    <w:ind w:left="84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04" w:type="dxa"/>
                  <w:vAlign w:val="top"/>
                </w:tcPr>
                <w:p>
                  <w:pPr>
                    <w:spacing w:before="110" w:line="232" w:lineRule="auto"/>
                    <w:ind w:left="42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10" w:type="dxa"/>
                  <w:gridSpan w:val="6"/>
                  <w:vAlign w:val="top"/>
                </w:tcPr>
                <w:p>
                  <w:pPr>
                    <w:pStyle w:val="6"/>
                    <w:spacing w:before="77" w:line="219" w:lineRule="auto"/>
                    <w:ind w:left="3767"/>
                    <w:rPr>
                      <w:sz w:val="18"/>
                      <w:szCs w:val="18"/>
                    </w:rPr>
                  </w:pPr>
                  <w:r>
                    <w:rPr>
                      <w:spacing w:val="-1"/>
                      <w:sz w:val="18"/>
                      <w:szCs w:val="18"/>
                    </w:rPr>
                    <w:t>挥发性有机物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78" w:line="220" w:lineRule="auto"/>
                    <w:ind w:left="767"/>
                    <w:rPr>
                      <w:sz w:val="18"/>
                      <w:szCs w:val="18"/>
                    </w:rPr>
                  </w:pPr>
                  <w:r>
                    <w:rPr>
                      <w:spacing w:val="-5"/>
                      <w:sz w:val="18"/>
                      <w:szCs w:val="18"/>
                    </w:rPr>
                    <w:t>四氯化碳</w:t>
                  </w:r>
                </w:p>
              </w:tc>
              <w:tc>
                <w:tcPr>
                  <w:tcW w:w="844" w:type="dxa"/>
                  <w:vAlign w:val="top"/>
                </w:tcPr>
                <w:p>
                  <w:pPr>
                    <w:spacing w:before="113" w:line="186"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2046" w:type="dxa"/>
                  <w:vAlign w:val="top"/>
                </w:tcPr>
                <w:p>
                  <w:pPr>
                    <w:pStyle w:val="6"/>
                    <w:spacing w:before="78" w:line="220" w:lineRule="auto"/>
                    <w:ind w:left="848"/>
                    <w:rPr>
                      <w:sz w:val="18"/>
                      <w:szCs w:val="18"/>
                    </w:rPr>
                  </w:pPr>
                  <w:r>
                    <w:rPr>
                      <w:spacing w:val="-3"/>
                      <w:sz w:val="18"/>
                      <w:szCs w:val="18"/>
                    </w:rPr>
                    <w:t>氯仿</w:t>
                  </w:r>
                </w:p>
              </w:tc>
              <w:tc>
                <w:tcPr>
                  <w:tcW w:w="852" w:type="dxa"/>
                  <w:vAlign w:val="top"/>
                </w:tcPr>
                <w:p>
                  <w:pPr>
                    <w:spacing w:before="113" w:line="186"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c>
              <w:tc>
                <w:tcPr>
                  <w:tcW w:w="1749" w:type="dxa"/>
                  <w:vAlign w:val="top"/>
                </w:tcPr>
                <w:p>
                  <w:pPr>
                    <w:pStyle w:val="6"/>
                    <w:spacing w:before="78" w:line="220" w:lineRule="auto"/>
                    <w:ind w:left="612"/>
                    <w:rPr>
                      <w:sz w:val="18"/>
                      <w:szCs w:val="18"/>
                    </w:rPr>
                  </w:pPr>
                  <w:r>
                    <w:rPr>
                      <w:spacing w:val="-3"/>
                      <w:sz w:val="18"/>
                      <w:szCs w:val="18"/>
                    </w:rPr>
                    <w:t>氯甲烷</w:t>
                  </w:r>
                </w:p>
              </w:tc>
              <w:tc>
                <w:tcPr>
                  <w:tcW w:w="904" w:type="dxa"/>
                  <w:vAlign w:val="top"/>
                </w:tcPr>
                <w:p>
                  <w:pPr>
                    <w:spacing w:before="113" w:line="186" w:lineRule="auto"/>
                    <w:ind w:left="3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79" w:line="220" w:lineRule="auto"/>
                    <w:ind w:left="555"/>
                    <w:rPr>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23"/>
                      <w:sz w:val="18"/>
                      <w:szCs w:val="18"/>
                    </w:rPr>
                    <w:t xml:space="preserve"> </w:t>
                  </w:r>
                  <w:r>
                    <w:rPr>
                      <w:spacing w:val="-5"/>
                      <w:sz w:val="18"/>
                      <w:szCs w:val="18"/>
                    </w:rPr>
                    <w:t>，</w:t>
                  </w:r>
                  <w:r>
                    <w:rPr>
                      <w:rFonts w:ascii="Times New Roman" w:hAnsi="Times New Roman" w:eastAsia="Times New Roman" w:cs="Times New Roman"/>
                      <w:spacing w:val="-5"/>
                      <w:sz w:val="18"/>
                      <w:szCs w:val="18"/>
                    </w:rPr>
                    <w:t>1-</w:t>
                  </w:r>
                  <w:r>
                    <w:rPr>
                      <w:spacing w:val="-5"/>
                      <w:sz w:val="18"/>
                      <w:szCs w:val="18"/>
                    </w:rPr>
                    <w:t>二氯乙烷</w:t>
                  </w:r>
                </w:p>
              </w:tc>
              <w:tc>
                <w:tcPr>
                  <w:tcW w:w="844" w:type="dxa"/>
                  <w:vAlign w:val="top"/>
                </w:tcPr>
                <w:p>
                  <w:pPr>
                    <w:spacing w:before="114" w:line="186" w:lineRule="auto"/>
                    <w:ind w:left="38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2046" w:type="dxa"/>
                  <w:vAlign w:val="top"/>
                </w:tcPr>
                <w:p>
                  <w:pPr>
                    <w:pStyle w:val="6"/>
                    <w:spacing w:before="79" w:line="220" w:lineRule="auto"/>
                    <w:ind w:left="471"/>
                    <w:rPr>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23"/>
                      <w:sz w:val="18"/>
                      <w:szCs w:val="18"/>
                    </w:rPr>
                    <w:t xml:space="preserve"> </w:t>
                  </w:r>
                  <w:r>
                    <w:rPr>
                      <w:spacing w:val="-5"/>
                      <w:sz w:val="18"/>
                      <w:szCs w:val="18"/>
                    </w:rPr>
                    <w:t>，</w:t>
                  </w:r>
                  <w:r>
                    <w:rPr>
                      <w:rFonts w:ascii="Times New Roman" w:hAnsi="Times New Roman" w:eastAsia="Times New Roman" w:cs="Times New Roman"/>
                      <w:spacing w:val="-5"/>
                      <w:sz w:val="18"/>
                      <w:szCs w:val="18"/>
                    </w:rPr>
                    <w:t>2-</w:t>
                  </w:r>
                  <w:r>
                    <w:rPr>
                      <w:spacing w:val="-5"/>
                      <w:sz w:val="18"/>
                      <w:szCs w:val="18"/>
                    </w:rPr>
                    <w:t>二氯乙烷</w:t>
                  </w:r>
                </w:p>
              </w:tc>
              <w:tc>
                <w:tcPr>
                  <w:tcW w:w="852" w:type="dxa"/>
                  <w:vAlign w:val="top"/>
                </w:tcPr>
                <w:p>
                  <w:pPr>
                    <w:spacing w:before="116" w:line="183" w:lineRule="auto"/>
                    <w:ind w:left="38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749" w:type="dxa"/>
                  <w:vAlign w:val="top"/>
                </w:tcPr>
                <w:p>
                  <w:pPr>
                    <w:pStyle w:val="6"/>
                    <w:spacing w:before="78" w:line="220" w:lineRule="auto"/>
                    <w:ind w:left="323"/>
                    <w:rPr>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23"/>
                      <w:sz w:val="18"/>
                      <w:szCs w:val="18"/>
                    </w:rPr>
                    <w:t xml:space="preserve"> </w:t>
                  </w:r>
                  <w:r>
                    <w:rPr>
                      <w:spacing w:val="-5"/>
                      <w:sz w:val="18"/>
                      <w:szCs w:val="18"/>
                    </w:rPr>
                    <w:t>，</w:t>
                  </w:r>
                  <w:r>
                    <w:rPr>
                      <w:rFonts w:ascii="Times New Roman" w:hAnsi="Times New Roman" w:eastAsia="Times New Roman" w:cs="Times New Roman"/>
                      <w:spacing w:val="-5"/>
                      <w:sz w:val="18"/>
                      <w:szCs w:val="18"/>
                    </w:rPr>
                    <w:t>1-</w:t>
                  </w:r>
                  <w:r>
                    <w:rPr>
                      <w:spacing w:val="-5"/>
                      <w:sz w:val="18"/>
                      <w:szCs w:val="18"/>
                    </w:rPr>
                    <w:t>二氯乙烯</w:t>
                  </w:r>
                </w:p>
              </w:tc>
              <w:tc>
                <w:tcPr>
                  <w:tcW w:w="904" w:type="dxa"/>
                  <w:vAlign w:val="top"/>
                </w:tcPr>
                <w:p>
                  <w:pPr>
                    <w:spacing w:before="114" w:line="186" w:lineRule="auto"/>
                    <w:ind w:left="3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215" w:type="dxa"/>
                  <w:tcBorders>
                    <w:bottom w:val="nil"/>
                  </w:tcBorders>
                  <w:vAlign w:val="top"/>
                </w:tcPr>
                <w:p>
                  <w:pPr>
                    <w:pStyle w:val="6"/>
                    <w:spacing w:before="78" w:line="220" w:lineRule="auto"/>
                    <w:ind w:left="422"/>
                    <w:rPr>
                      <w:sz w:val="18"/>
                      <w:szCs w:val="18"/>
                    </w:rPr>
                  </w:pPr>
                  <w:r>
                    <w:rPr>
                      <w:spacing w:val="-5"/>
                      <w:sz w:val="18"/>
                      <w:szCs w:val="18"/>
                    </w:rPr>
                    <w:t>顺</w:t>
                  </w:r>
                  <w:r>
                    <w:rPr>
                      <w:rFonts w:ascii="Times New Roman" w:hAnsi="Times New Roman" w:eastAsia="Times New Roman" w:cs="Times New Roman"/>
                      <w:spacing w:val="-5"/>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w:t>
                  </w:r>
                  <w:r>
                    <w:rPr>
                      <w:rFonts w:ascii="Times New Roman" w:hAnsi="Times New Roman" w:eastAsia="Times New Roman" w:cs="Times New Roman"/>
                      <w:spacing w:val="-22"/>
                      <w:sz w:val="18"/>
                      <w:szCs w:val="18"/>
                    </w:rPr>
                    <w:t xml:space="preserve"> </w:t>
                  </w:r>
                  <w:r>
                    <w:rPr>
                      <w:spacing w:val="-5"/>
                      <w:sz w:val="18"/>
                      <w:szCs w:val="18"/>
                    </w:rPr>
                    <w:t>，</w:t>
                  </w:r>
                  <w:r>
                    <w:rPr>
                      <w:rFonts w:ascii="Times New Roman" w:hAnsi="Times New Roman" w:eastAsia="Times New Roman" w:cs="Times New Roman"/>
                      <w:spacing w:val="-5"/>
                      <w:sz w:val="18"/>
                      <w:szCs w:val="18"/>
                    </w:rPr>
                    <w:t>2-</w:t>
                  </w:r>
                  <w:r>
                    <w:rPr>
                      <w:spacing w:val="-5"/>
                      <w:sz w:val="18"/>
                      <w:szCs w:val="18"/>
                    </w:rPr>
                    <w:t>二氯乙烯</w:t>
                  </w:r>
                </w:p>
              </w:tc>
              <w:tc>
                <w:tcPr>
                  <w:tcW w:w="844" w:type="dxa"/>
                  <w:tcBorders>
                    <w:bottom w:val="nil"/>
                  </w:tcBorders>
                  <w:vAlign w:val="top"/>
                </w:tcPr>
                <w:p>
                  <w:pPr>
                    <w:spacing w:before="112" w:line="186" w:lineRule="auto"/>
                    <w:ind w:left="2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596</w:t>
                  </w:r>
                </w:p>
              </w:tc>
              <w:tc>
                <w:tcPr>
                  <w:tcW w:w="2046" w:type="dxa"/>
                  <w:tcBorders>
                    <w:bottom w:val="nil"/>
                  </w:tcBorders>
                  <w:vAlign w:val="top"/>
                </w:tcPr>
                <w:p>
                  <w:pPr>
                    <w:pStyle w:val="6"/>
                    <w:spacing w:before="78" w:line="220" w:lineRule="auto"/>
                    <w:ind w:left="337"/>
                    <w:rPr>
                      <w:sz w:val="18"/>
                      <w:szCs w:val="18"/>
                    </w:rPr>
                  </w:pPr>
                  <w:r>
                    <w:rPr>
                      <w:spacing w:val="-5"/>
                      <w:sz w:val="18"/>
                      <w:szCs w:val="18"/>
                    </w:rPr>
                    <w:t>反</w:t>
                  </w:r>
                  <w:r>
                    <w:rPr>
                      <w:rFonts w:ascii="Times New Roman" w:hAnsi="Times New Roman" w:eastAsia="Times New Roman" w:cs="Times New Roman"/>
                      <w:spacing w:val="-5"/>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w:t>
                  </w:r>
                  <w:r>
                    <w:rPr>
                      <w:rFonts w:ascii="Times New Roman" w:hAnsi="Times New Roman" w:eastAsia="Times New Roman" w:cs="Times New Roman"/>
                      <w:spacing w:val="-22"/>
                      <w:sz w:val="18"/>
                      <w:szCs w:val="18"/>
                    </w:rPr>
                    <w:t xml:space="preserve"> </w:t>
                  </w:r>
                  <w:r>
                    <w:rPr>
                      <w:spacing w:val="-5"/>
                      <w:sz w:val="18"/>
                      <w:szCs w:val="18"/>
                    </w:rPr>
                    <w:t>，</w:t>
                  </w:r>
                  <w:r>
                    <w:rPr>
                      <w:rFonts w:ascii="Times New Roman" w:hAnsi="Times New Roman" w:eastAsia="Times New Roman" w:cs="Times New Roman"/>
                      <w:spacing w:val="-5"/>
                      <w:sz w:val="18"/>
                      <w:szCs w:val="18"/>
                    </w:rPr>
                    <w:t>2-</w:t>
                  </w:r>
                  <w:r>
                    <w:rPr>
                      <w:spacing w:val="-5"/>
                      <w:sz w:val="18"/>
                      <w:szCs w:val="18"/>
                    </w:rPr>
                    <w:t>二氯乙烯</w:t>
                  </w:r>
                </w:p>
              </w:tc>
              <w:tc>
                <w:tcPr>
                  <w:tcW w:w="852" w:type="dxa"/>
                  <w:tcBorders>
                    <w:bottom w:val="nil"/>
                  </w:tcBorders>
                  <w:vAlign w:val="top"/>
                </w:tcPr>
                <w:p>
                  <w:pPr>
                    <w:spacing w:before="112"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w:t>
                  </w:r>
                </w:p>
              </w:tc>
              <w:tc>
                <w:tcPr>
                  <w:tcW w:w="1749" w:type="dxa"/>
                  <w:tcBorders>
                    <w:bottom w:val="nil"/>
                  </w:tcBorders>
                  <w:vAlign w:val="top"/>
                </w:tcPr>
                <w:p>
                  <w:pPr>
                    <w:pStyle w:val="6"/>
                    <w:spacing w:before="79" w:line="220" w:lineRule="auto"/>
                    <w:ind w:left="521"/>
                    <w:rPr>
                      <w:sz w:val="18"/>
                      <w:szCs w:val="18"/>
                    </w:rPr>
                  </w:pPr>
                  <w:r>
                    <w:rPr>
                      <w:spacing w:val="-2"/>
                      <w:sz w:val="18"/>
                      <w:szCs w:val="18"/>
                    </w:rPr>
                    <w:t>二氯甲烷</w:t>
                  </w:r>
                </w:p>
              </w:tc>
              <w:tc>
                <w:tcPr>
                  <w:tcW w:w="904" w:type="dxa"/>
                  <w:tcBorders>
                    <w:bottom w:val="nil"/>
                  </w:tcBorders>
                  <w:vAlign w:val="top"/>
                </w:tcPr>
                <w:p>
                  <w:pPr>
                    <w:spacing w:before="112" w:line="186" w:lineRule="auto"/>
                    <w:ind w:left="3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616</w:t>
                  </w:r>
                </w:p>
              </w:tc>
            </w:tr>
          </w:tbl>
          <w:p>
            <w:pPr>
              <w:spacing w:line="88" w:lineRule="auto"/>
              <w:rPr>
                <w:rFonts w:ascii="Arial"/>
                <w:sz w:val="2"/>
              </w:rPr>
            </w:pPr>
          </w:p>
        </w:tc>
      </w:tr>
    </w:tbl>
    <w:p>
      <w:pPr>
        <w:pStyle w:val="2"/>
        <w:rPr>
          <w:sz w:val="21"/>
        </w:rPr>
      </w:pPr>
    </w:p>
    <w:p>
      <w:pPr>
        <w:rPr>
          <w:sz w:val="21"/>
          <w:szCs w:val="21"/>
        </w:rPr>
        <w:sectPr>
          <w:footerReference r:id="rId87" w:type="default"/>
          <w:pgSz w:w="11907" w:h="16839"/>
          <w:pgMar w:top="400" w:right="1298" w:bottom="1181"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2"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2"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57" w:hRule="atLeast"/>
        </w:trPr>
        <w:tc>
          <w:tcPr>
            <w:tcW w:w="9291" w:type="dxa"/>
            <w:vAlign w:val="top"/>
          </w:tcPr>
          <w:p>
            <w:pPr>
              <w:spacing w:line="18" w:lineRule="exact"/>
            </w:pPr>
            <w:r>
              <w:pict>
                <v:rect id="_x0000_s1286" o:spid="_x0000_s1286" o:spt="1" style="position:absolute;left:0pt;margin-left:22.75pt;margin-top:0.95pt;height:681.75pt;width:0.5pt;mso-position-horizontal-relative:page;mso-position-vertical-relative:page;z-index:251833344;mso-width-relative:page;mso-height-relative:page;" fillcolor="#000000" filled="t" stroked="f" coordsize="21600,21600">
                  <v:path/>
                  <v:fill on="t" focussize="0,0"/>
                  <v:stroke on="f"/>
                  <v:imagedata o:title=""/>
                  <o:lock v:ext="edit"/>
                </v:rect>
              </w:pict>
            </w: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5"/>
              <w:gridCol w:w="844"/>
              <w:gridCol w:w="2046"/>
              <w:gridCol w:w="852"/>
              <w:gridCol w:w="1749"/>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215" w:type="dxa"/>
                  <w:tcBorders>
                    <w:top w:val="nil"/>
                  </w:tcBorders>
                  <w:vAlign w:val="top"/>
                </w:tcPr>
                <w:p>
                  <w:pPr>
                    <w:pStyle w:val="6"/>
                    <w:spacing w:before="143" w:line="220" w:lineRule="auto"/>
                    <w:ind w:left="555"/>
                    <w:rPr>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23"/>
                      <w:sz w:val="18"/>
                      <w:szCs w:val="18"/>
                    </w:rPr>
                    <w:t xml:space="preserve"> </w:t>
                  </w:r>
                  <w:r>
                    <w:rPr>
                      <w:spacing w:val="-5"/>
                      <w:sz w:val="18"/>
                      <w:szCs w:val="18"/>
                    </w:rPr>
                    <w:t>，</w:t>
                  </w:r>
                  <w:r>
                    <w:rPr>
                      <w:rFonts w:ascii="Times New Roman" w:hAnsi="Times New Roman" w:eastAsia="Times New Roman" w:cs="Times New Roman"/>
                      <w:spacing w:val="-5"/>
                      <w:sz w:val="18"/>
                      <w:szCs w:val="18"/>
                    </w:rPr>
                    <w:t>2-</w:t>
                  </w:r>
                  <w:r>
                    <w:rPr>
                      <w:spacing w:val="-5"/>
                      <w:sz w:val="18"/>
                      <w:szCs w:val="18"/>
                    </w:rPr>
                    <w:t>二氯丙烷</w:t>
                  </w:r>
                </w:p>
              </w:tc>
              <w:tc>
                <w:tcPr>
                  <w:tcW w:w="844" w:type="dxa"/>
                  <w:tcBorders>
                    <w:top w:val="nil"/>
                  </w:tcBorders>
                  <w:vAlign w:val="top"/>
                </w:tcPr>
                <w:p>
                  <w:pPr>
                    <w:spacing w:before="178" w:line="183" w:lineRule="auto"/>
                    <w:ind w:left="38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046" w:type="dxa"/>
                  <w:tcBorders>
                    <w:top w:val="nil"/>
                  </w:tcBorders>
                  <w:vAlign w:val="top"/>
                </w:tcPr>
                <w:p>
                  <w:pPr>
                    <w:pStyle w:val="6"/>
                    <w:spacing w:before="143" w:line="220" w:lineRule="auto"/>
                    <w:ind w:left="199"/>
                    <w:rPr>
                      <w:sz w:val="18"/>
                      <w:szCs w:val="18"/>
                    </w:rPr>
                  </w:pPr>
                  <w:r>
                    <w:rPr>
                      <w:rFonts w:ascii="Times New Roman" w:hAnsi="Times New Roman" w:eastAsia="Times New Roman" w:cs="Times New Roman"/>
                      <w:spacing w:val="-9"/>
                      <w:sz w:val="18"/>
                      <w:szCs w:val="18"/>
                    </w:rPr>
                    <w:t>1</w:t>
                  </w:r>
                  <w:r>
                    <w:rPr>
                      <w:rFonts w:ascii="Times New Roman" w:hAnsi="Times New Roman" w:eastAsia="Times New Roman" w:cs="Times New Roman"/>
                      <w:spacing w:val="-21"/>
                      <w:sz w:val="18"/>
                      <w:szCs w:val="18"/>
                    </w:rPr>
                    <w:t xml:space="preserve"> </w:t>
                  </w:r>
                  <w:r>
                    <w:rPr>
                      <w:spacing w:val="-9"/>
                      <w:sz w:val="18"/>
                      <w:szCs w:val="18"/>
                    </w:rPr>
                    <w:t>，</w:t>
                  </w:r>
                  <w:r>
                    <w:rPr>
                      <w:rFonts w:ascii="Times New Roman" w:hAnsi="Times New Roman" w:eastAsia="Times New Roman" w:cs="Times New Roman"/>
                      <w:spacing w:val="-9"/>
                      <w:sz w:val="18"/>
                      <w:szCs w:val="18"/>
                    </w:rPr>
                    <w:t>1</w:t>
                  </w:r>
                  <w:r>
                    <w:rPr>
                      <w:rFonts w:ascii="Times New Roman" w:hAnsi="Times New Roman" w:eastAsia="Times New Roman" w:cs="Times New Roman"/>
                      <w:spacing w:val="-22"/>
                      <w:sz w:val="18"/>
                      <w:szCs w:val="18"/>
                    </w:rPr>
                    <w:t xml:space="preserve"> </w:t>
                  </w:r>
                  <w:r>
                    <w:rPr>
                      <w:spacing w:val="-9"/>
                      <w:sz w:val="18"/>
                      <w:szCs w:val="18"/>
                    </w:rPr>
                    <w:t>，</w:t>
                  </w:r>
                  <w:r>
                    <w:rPr>
                      <w:rFonts w:ascii="Times New Roman" w:hAnsi="Times New Roman" w:eastAsia="Times New Roman" w:cs="Times New Roman"/>
                      <w:spacing w:val="-9"/>
                      <w:sz w:val="18"/>
                      <w:szCs w:val="18"/>
                    </w:rPr>
                    <w:t>1</w:t>
                  </w:r>
                  <w:r>
                    <w:rPr>
                      <w:rFonts w:ascii="Times New Roman" w:hAnsi="Times New Roman" w:eastAsia="Times New Roman" w:cs="Times New Roman"/>
                      <w:spacing w:val="-22"/>
                      <w:sz w:val="18"/>
                      <w:szCs w:val="18"/>
                    </w:rPr>
                    <w:t xml:space="preserve"> </w:t>
                  </w:r>
                  <w:r>
                    <w:rPr>
                      <w:spacing w:val="-9"/>
                      <w:sz w:val="18"/>
                      <w:szCs w:val="18"/>
                    </w:rPr>
                    <w:t>，</w:t>
                  </w:r>
                  <w:r>
                    <w:rPr>
                      <w:rFonts w:ascii="Times New Roman" w:hAnsi="Times New Roman" w:eastAsia="Times New Roman" w:cs="Times New Roman"/>
                      <w:spacing w:val="-9"/>
                      <w:sz w:val="18"/>
                      <w:szCs w:val="18"/>
                    </w:rPr>
                    <w:t>2-</w:t>
                  </w:r>
                  <w:r>
                    <w:rPr>
                      <w:rFonts w:ascii="Times New Roman" w:hAnsi="Times New Roman" w:eastAsia="Times New Roman" w:cs="Times New Roman"/>
                      <w:spacing w:val="-21"/>
                      <w:sz w:val="18"/>
                      <w:szCs w:val="18"/>
                    </w:rPr>
                    <w:t xml:space="preserve"> </w:t>
                  </w:r>
                  <w:r>
                    <w:rPr>
                      <w:spacing w:val="-9"/>
                      <w:sz w:val="18"/>
                      <w:szCs w:val="18"/>
                    </w:rPr>
                    <w:t>四氯乙烷</w:t>
                  </w:r>
                </w:p>
              </w:tc>
              <w:tc>
                <w:tcPr>
                  <w:tcW w:w="852" w:type="dxa"/>
                  <w:tcBorders>
                    <w:top w:val="nil"/>
                  </w:tcBorders>
                  <w:vAlign w:val="top"/>
                </w:tcPr>
                <w:p>
                  <w:pPr>
                    <w:spacing w:before="176"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749" w:type="dxa"/>
                  <w:tcBorders>
                    <w:top w:val="nil"/>
                  </w:tcBorders>
                  <w:vAlign w:val="top"/>
                </w:tcPr>
                <w:p>
                  <w:pPr>
                    <w:pStyle w:val="6"/>
                    <w:spacing w:before="26" w:line="224" w:lineRule="auto"/>
                    <w:ind w:left="789" w:right="118" w:hanging="646"/>
                    <w:rPr>
                      <w:sz w:val="18"/>
                      <w:szCs w:val="18"/>
                    </w:rPr>
                  </w:pPr>
                  <w:r>
                    <w:rPr>
                      <w:rFonts w:ascii="Times New Roman" w:hAnsi="Times New Roman" w:eastAsia="Times New Roman" w:cs="Times New Roman"/>
                      <w:spacing w:val="-11"/>
                      <w:sz w:val="18"/>
                      <w:szCs w:val="18"/>
                    </w:rPr>
                    <w:t>1</w:t>
                  </w:r>
                  <w:r>
                    <w:rPr>
                      <w:rFonts w:ascii="Times New Roman" w:hAnsi="Times New Roman" w:eastAsia="Times New Roman" w:cs="Times New Roman"/>
                      <w:spacing w:val="-14"/>
                      <w:sz w:val="18"/>
                      <w:szCs w:val="18"/>
                    </w:rPr>
                    <w:t xml:space="preserve"> </w:t>
                  </w:r>
                  <w:r>
                    <w:rPr>
                      <w:spacing w:val="-11"/>
                      <w:sz w:val="18"/>
                      <w:szCs w:val="18"/>
                    </w:rPr>
                    <w:t>，</w:t>
                  </w:r>
                  <w:r>
                    <w:rPr>
                      <w:rFonts w:ascii="Times New Roman" w:hAnsi="Times New Roman" w:eastAsia="Times New Roman" w:cs="Times New Roman"/>
                      <w:spacing w:val="-11"/>
                      <w:sz w:val="18"/>
                      <w:szCs w:val="18"/>
                    </w:rPr>
                    <w:t>1</w:t>
                  </w:r>
                  <w:r>
                    <w:rPr>
                      <w:rFonts w:ascii="Times New Roman" w:hAnsi="Times New Roman" w:eastAsia="Times New Roman" w:cs="Times New Roman"/>
                      <w:spacing w:val="-22"/>
                      <w:sz w:val="18"/>
                      <w:szCs w:val="18"/>
                    </w:rPr>
                    <w:t xml:space="preserve"> </w:t>
                  </w:r>
                  <w:r>
                    <w:rPr>
                      <w:spacing w:val="-11"/>
                      <w:sz w:val="18"/>
                      <w:szCs w:val="18"/>
                    </w:rPr>
                    <w:t>，</w:t>
                  </w:r>
                  <w:r>
                    <w:rPr>
                      <w:rFonts w:ascii="Times New Roman" w:hAnsi="Times New Roman" w:eastAsia="Times New Roman" w:cs="Times New Roman"/>
                      <w:spacing w:val="-11"/>
                      <w:sz w:val="18"/>
                      <w:szCs w:val="18"/>
                    </w:rPr>
                    <w:t>2</w:t>
                  </w:r>
                  <w:r>
                    <w:rPr>
                      <w:rFonts w:ascii="Times New Roman" w:hAnsi="Times New Roman" w:eastAsia="Times New Roman" w:cs="Times New Roman"/>
                      <w:spacing w:val="-22"/>
                      <w:sz w:val="18"/>
                      <w:szCs w:val="18"/>
                    </w:rPr>
                    <w:t xml:space="preserve"> </w:t>
                  </w:r>
                  <w:r>
                    <w:rPr>
                      <w:spacing w:val="-11"/>
                      <w:sz w:val="18"/>
                      <w:szCs w:val="18"/>
                    </w:rPr>
                    <w:t>，</w:t>
                  </w:r>
                  <w:r>
                    <w:rPr>
                      <w:rFonts w:ascii="Times New Roman" w:hAnsi="Times New Roman" w:eastAsia="Times New Roman" w:cs="Times New Roman"/>
                      <w:spacing w:val="-11"/>
                      <w:sz w:val="18"/>
                      <w:szCs w:val="18"/>
                    </w:rPr>
                    <w:t>2-</w:t>
                  </w:r>
                  <w:r>
                    <w:rPr>
                      <w:rFonts w:ascii="Times New Roman" w:hAnsi="Times New Roman" w:eastAsia="Times New Roman" w:cs="Times New Roman"/>
                      <w:spacing w:val="-21"/>
                      <w:sz w:val="18"/>
                      <w:szCs w:val="18"/>
                    </w:rPr>
                    <w:t xml:space="preserve"> </w:t>
                  </w:r>
                  <w:r>
                    <w:rPr>
                      <w:spacing w:val="-11"/>
                      <w:sz w:val="18"/>
                      <w:szCs w:val="18"/>
                    </w:rPr>
                    <w:t>四氯乙</w:t>
                  </w:r>
                  <w:r>
                    <w:rPr>
                      <w:sz w:val="18"/>
                      <w:szCs w:val="18"/>
                    </w:rPr>
                    <w:t xml:space="preserve"> 烷</w:t>
                  </w:r>
                </w:p>
              </w:tc>
              <w:tc>
                <w:tcPr>
                  <w:tcW w:w="904" w:type="dxa"/>
                  <w:tcBorders>
                    <w:top w:val="nil"/>
                  </w:tcBorders>
                  <w:vAlign w:val="top"/>
                </w:tcPr>
                <w:p>
                  <w:pPr>
                    <w:spacing w:before="176" w:line="186" w:lineRule="auto"/>
                    <w:ind w:left="3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77" w:line="220" w:lineRule="auto"/>
                    <w:ind w:left="767"/>
                    <w:rPr>
                      <w:sz w:val="18"/>
                      <w:szCs w:val="18"/>
                    </w:rPr>
                  </w:pPr>
                  <w:r>
                    <w:rPr>
                      <w:spacing w:val="-5"/>
                      <w:sz w:val="18"/>
                      <w:szCs w:val="18"/>
                    </w:rPr>
                    <w:t>四氯乙烯</w:t>
                  </w:r>
                </w:p>
              </w:tc>
              <w:tc>
                <w:tcPr>
                  <w:tcW w:w="844" w:type="dxa"/>
                  <w:vAlign w:val="top"/>
                </w:tcPr>
                <w:p>
                  <w:pPr>
                    <w:spacing w:before="11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w:t>
                  </w:r>
                </w:p>
              </w:tc>
              <w:tc>
                <w:tcPr>
                  <w:tcW w:w="2046" w:type="dxa"/>
                  <w:vAlign w:val="top"/>
                </w:tcPr>
                <w:p>
                  <w:pPr>
                    <w:pStyle w:val="6"/>
                    <w:spacing w:before="78" w:line="220" w:lineRule="auto"/>
                    <w:ind w:left="334"/>
                    <w:rPr>
                      <w:sz w:val="18"/>
                      <w:szCs w:val="18"/>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19"/>
                      <w:sz w:val="18"/>
                      <w:szCs w:val="18"/>
                    </w:rPr>
                    <w:t xml:space="preserve"> </w:t>
                  </w:r>
                  <w:r>
                    <w:rPr>
                      <w:spacing w:val="-7"/>
                      <w:sz w:val="18"/>
                      <w:szCs w:val="18"/>
                    </w:rPr>
                    <w:t>，</w:t>
                  </w:r>
                  <w:r>
                    <w:rPr>
                      <w:rFonts w:ascii="Times New Roman" w:hAnsi="Times New Roman" w:eastAsia="Times New Roman" w:cs="Times New Roman"/>
                      <w:spacing w:val="-7"/>
                      <w:sz w:val="18"/>
                      <w:szCs w:val="18"/>
                    </w:rPr>
                    <w:t>1</w:t>
                  </w:r>
                  <w:r>
                    <w:rPr>
                      <w:rFonts w:ascii="Times New Roman" w:hAnsi="Times New Roman" w:eastAsia="Times New Roman" w:cs="Times New Roman"/>
                      <w:spacing w:val="-22"/>
                      <w:sz w:val="18"/>
                      <w:szCs w:val="18"/>
                    </w:rPr>
                    <w:t xml:space="preserve"> </w:t>
                  </w:r>
                  <w:r>
                    <w:rPr>
                      <w:spacing w:val="-7"/>
                      <w:sz w:val="18"/>
                      <w:szCs w:val="18"/>
                    </w:rPr>
                    <w:t>，</w:t>
                  </w:r>
                  <w:r>
                    <w:rPr>
                      <w:rFonts w:ascii="Times New Roman" w:hAnsi="Times New Roman" w:eastAsia="Times New Roman" w:cs="Times New Roman"/>
                      <w:spacing w:val="-7"/>
                      <w:sz w:val="18"/>
                      <w:szCs w:val="18"/>
                    </w:rPr>
                    <w:t>1-</w:t>
                  </w:r>
                  <w:r>
                    <w:rPr>
                      <w:spacing w:val="-7"/>
                      <w:sz w:val="18"/>
                      <w:szCs w:val="18"/>
                    </w:rPr>
                    <w:t>三氯乙烷</w:t>
                  </w:r>
                </w:p>
              </w:tc>
              <w:tc>
                <w:tcPr>
                  <w:tcW w:w="852" w:type="dxa"/>
                  <w:vAlign w:val="top"/>
                </w:tcPr>
                <w:p>
                  <w:pPr>
                    <w:spacing w:before="113" w:line="186"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840</w:t>
                  </w:r>
                </w:p>
              </w:tc>
              <w:tc>
                <w:tcPr>
                  <w:tcW w:w="1749" w:type="dxa"/>
                  <w:vAlign w:val="top"/>
                </w:tcPr>
                <w:p>
                  <w:pPr>
                    <w:pStyle w:val="6"/>
                    <w:spacing w:before="78" w:line="220" w:lineRule="auto"/>
                    <w:ind w:left="187"/>
                    <w:rPr>
                      <w:sz w:val="18"/>
                      <w:szCs w:val="18"/>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18"/>
                      <w:sz w:val="18"/>
                      <w:szCs w:val="18"/>
                    </w:rPr>
                    <w:t xml:space="preserve"> </w:t>
                  </w:r>
                  <w:r>
                    <w:rPr>
                      <w:spacing w:val="-7"/>
                      <w:sz w:val="18"/>
                      <w:szCs w:val="18"/>
                    </w:rPr>
                    <w:t>，</w:t>
                  </w:r>
                  <w:r>
                    <w:rPr>
                      <w:rFonts w:ascii="Times New Roman" w:hAnsi="Times New Roman" w:eastAsia="Times New Roman" w:cs="Times New Roman"/>
                      <w:spacing w:val="-7"/>
                      <w:sz w:val="18"/>
                      <w:szCs w:val="18"/>
                    </w:rPr>
                    <w:t>1</w:t>
                  </w:r>
                  <w:r>
                    <w:rPr>
                      <w:rFonts w:ascii="Times New Roman" w:hAnsi="Times New Roman" w:eastAsia="Times New Roman" w:cs="Times New Roman"/>
                      <w:spacing w:val="-22"/>
                      <w:sz w:val="18"/>
                      <w:szCs w:val="18"/>
                    </w:rPr>
                    <w:t xml:space="preserve"> </w:t>
                  </w:r>
                  <w:r>
                    <w:rPr>
                      <w:spacing w:val="-7"/>
                      <w:sz w:val="18"/>
                      <w:szCs w:val="18"/>
                    </w:rPr>
                    <w:t>，</w:t>
                  </w:r>
                  <w:r>
                    <w:rPr>
                      <w:rFonts w:ascii="Times New Roman" w:hAnsi="Times New Roman" w:eastAsia="Times New Roman" w:cs="Times New Roman"/>
                      <w:spacing w:val="-7"/>
                      <w:sz w:val="18"/>
                      <w:szCs w:val="18"/>
                    </w:rPr>
                    <w:t>2-</w:t>
                  </w:r>
                  <w:r>
                    <w:rPr>
                      <w:spacing w:val="-7"/>
                      <w:sz w:val="18"/>
                      <w:szCs w:val="18"/>
                    </w:rPr>
                    <w:t>三氯乙烷</w:t>
                  </w:r>
                </w:p>
              </w:tc>
              <w:tc>
                <w:tcPr>
                  <w:tcW w:w="904" w:type="dxa"/>
                  <w:vAlign w:val="top"/>
                </w:tcPr>
                <w:p>
                  <w:pPr>
                    <w:spacing w:before="113" w:line="186"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78" w:line="220" w:lineRule="auto"/>
                    <w:ind w:left="750"/>
                    <w:rPr>
                      <w:sz w:val="18"/>
                      <w:szCs w:val="18"/>
                    </w:rPr>
                  </w:pPr>
                  <w:r>
                    <w:rPr>
                      <w:spacing w:val="-2"/>
                      <w:sz w:val="18"/>
                      <w:szCs w:val="18"/>
                    </w:rPr>
                    <w:t>三氯乙烯</w:t>
                  </w:r>
                </w:p>
              </w:tc>
              <w:tc>
                <w:tcPr>
                  <w:tcW w:w="844" w:type="dxa"/>
                  <w:vAlign w:val="top"/>
                </w:tcPr>
                <w:p>
                  <w:pPr>
                    <w:spacing w:before="114" w:line="186"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2046" w:type="dxa"/>
                  <w:vAlign w:val="top"/>
                </w:tcPr>
                <w:p>
                  <w:pPr>
                    <w:pStyle w:val="6"/>
                    <w:spacing w:before="78" w:line="220" w:lineRule="auto"/>
                    <w:ind w:left="334"/>
                    <w:rPr>
                      <w:sz w:val="18"/>
                      <w:szCs w:val="18"/>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18"/>
                      <w:sz w:val="18"/>
                      <w:szCs w:val="18"/>
                    </w:rPr>
                    <w:t xml:space="preserve"> </w:t>
                  </w:r>
                  <w:r>
                    <w:rPr>
                      <w:spacing w:val="-7"/>
                      <w:sz w:val="18"/>
                      <w:szCs w:val="18"/>
                    </w:rPr>
                    <w:t>，</w:t>
                  </w:r>
                  <w:r>
                    <w:rPr>
                      <w:rFonts w:ascii="Times New Roman" w:hAnsi="Times New Roman" w:eastAsia="Times New Roman" w:cs="Times New Roman"/>
                      <w:spacing w:val="-7"/>
                      <w:sz w:val="18"/>
                      <w:szCs w:val="18"/>
                    </w:rPr>
                    <w:t>2</w:t>
                  </w:r>
                  <w:r>
                    <w:rPr>
                      <w:rFonts w:ascii="Times New Roman" w:hAnsi="Times New Roman" w:eastAsia="Times New Roman" w:cs="Times New Roman"/>
                      <w:spacing w:val="-22"/>
                      <w:sz w:val="18"/>
                      <w:szCs w:val="18"/>
                    </w:rPr>
                    <w:t xml:space="preserve"> </w:t>
                  </w:r>
                  <w:r>
                    <w:rPr>
                      <w:spacing w:val="-7"/>
                      <w:sz w:val="18"/>
                      <w:szCs w:val="18"/>
                    </w:rPr>
                    <w:t>，</w:t>
                  </w:r>
                  <w:r>
                    <w:rPr>
                      <w:rFonts w:ascii="Times New Roman" w:hAnsi="Times New Roman" w:eastAsia="Times New Roman" w:cs="Times New Roman"/>
                      <w:spacing w:val="-7"/>
                      <w:sz w:val="18"/>
                      <w:szCs w:val="18"/>
                    </w:rPr>
                    <w:t>3-</w:t>
                  </w:r>
                  <w:r>
                    <w:rPr>
                      <w:spacing w:val="-7"/>
                      <w:sz w:val="18"/>
                      <w:szCs w:val="18"/>
                    </w:rPr>
                    <w:t>三氯丙烷</w:t>
                  </w:r>
                </w:p>
              </w:tc>
              <w:tc>
                <w:tcPr>
                  <w:tcW w:w="852" w:type="dxa"/>
                  <w:vAlign w:val="top"/>
                </w:tcPr>
                <w:p>
                  <w:pPr>
                    <w:spacing w:before="114" w:line="186"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1749" w:type="dxa"/>
                  <w:vAlign w:val="top"/>
                </w:tcPr>
                <w:p>
                  <w:pPr>
                    <w:pStyle w:val="6"/>
                    <w:spacing w:before="78" w:line="220" w:lineRule="auto"/>
                    <w:ind w:left="612"/>
                    <w:rPr>
                      <w:sz w:val="18"/>
                      <w:szCs w:val="18"/>
                    </w:rPr>
                  </w:pPr>
                  <w:r>
                    <w:rPr>
                      <w:spacing w:val="-3"/>
                      <w:sz w:val="18"/>
                      <w:szCs w:val="18"/>
                    </w:rPr>
                    <w:t>氯乙烯</w:t>
                  </w:r>
                </w:p>
              </w:tc>
              <w:tc>
                <w:tcPr>
                  <w:tcW w:w="904" w:type="dxa"/>
                  <w:vAlign w:val="top"/>
                </w:tcPr>
                <w:p>
                  <w:pPr>
                    <w:spacing w:before="114" w:line="186" w:lineRule="auto"/>
                    <w:ind w:left="2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15" w:type="dxa"/>
                  <w:vAlign w:val="top"/>
                </w:tcPr>
                <w:p>
                  <w:pPr>
                    <w:pStyle w:val="6"/>
                    <w:spacing w:before="78" w:line="219" w:lineRule="auto"/>
                    <w:ind w:left="1024"/>
                    <w:rPr>
                      <w:sz w:val="18"/>
                      <w:szCs w:val="18"/>
                    </w:rPr>
                  </w:pPr>
                  <w:r>
                    <w:rPr>
                      <w:sz w:val="18"/>
                      <w:szCs w:val="18"/>
                    </w:rPr>
                    <w:t>苯</w:t>
                  </w:r>
                </w:p>
              </w:tc>
              <w:tc>
                <w:tcPr>
                  <w:tcW w:w="844" w:type="dxa"/>
                  <w:vAlign w:val="top"/>
                </w:tcPr>
                <w:p>
                  <w:pPr>
                    <w:spacing w:before="112" w:line="186" w:lineRule="auto"/>
                    <w:ind w:left="377"/>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046" w:type="dxa"/>
                  <w:vAlign w:val="top"/>
                </w:tcPr>
                <w:p>
                  <w:pPr>
                    <w:pStyle w:val="6"/>
                    <w:spacing w:before="78" w:line="219" w:lineRule="auto"/>
                    <w:ind w:left="848"/>
                    <w:rPr>
                      <w:sz w:val="18"/>
                      <w:szCs w:val="18"/>
                    </w:rPr>
                  </w:pPr>
                  <w:r>
                    <w:rPr>
                      <w:spacing w:val="-3"/>
                      <w:sz w:val="18"/>
                      <w:szCs w:val="18"/>
                    </w:rPr>
                    <w:t>氯苯</w:t>
                  </w:r>
                </w:p>
              </w:tc>
              <w:tc>
                <w:tcPr>
                  <w:tcW w:w="852" w:type="dxa"/>
                  <w:vAlign w:val="top"/>
                </w:tcPr>
                <w:p>
                  <w:pPr>
                    <w:spacing w:before="112" w:line="186" w:lineRule="auto"/>
                    <w:ind w:left="2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w:t>
                  </w:r>
                </w:p>
              </w:tc>
              <w:tc>
                <w:tcPr>
                  <w:tcW w:w="1749" w:type="dxa"/>
                  <w:vAlign w:val="top"/>
                </w:tcPr>
                <w:p>
                  <w:pPr>
                    <w:pStyle w:val="6"/>
                    <w:spacing w:before="78" w:line="219" w:lineRule="auto"/>
                    <w:ind w:left="412"/>
                    <w:rPr>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0"/>
                      <w:sz w:val="18"/>
                      <w:szCs w:val="18"/>
                    </w:rPr>
                    <w:t xml:space="preserve"> </w:t>
                  </w:r>
                  <w:r>
                    <w:rPr>
                      <w:spacing w:val="-6"/>
                      <w:sz w:val="18"/>
                      <w:szCs w:val="18"/>
                    </w:rPr>
                    <w:t>，</w:t>
                  </w:r>
                  <w:r>
                    <w:rPr>
                      <w:rFonts w:ascii="Times New Roman" w:hAnsi="Times New Roman" w:eastAsia="Times New Roman" w:cs="Times New Roman"/>
                      <w:spacing w:val="-6"/>
                      <w:sz w:val="18"/>
                      <w:szCs w:val="18"/>
                    </w:rPr>
                    <w:t>2-</w:t>
                  </w:r>
                  <w:r>
                    <w:rPr>
                      <w:spacing w:val="-6"/>
                      <w:sz w:val="18"/>
                      <w:szCs w:val="18"/>
                    </w:rPr>
                    <w:t>二氯苯</w:t>
                  </w:r>
                </w:p>
              </w:tc>
              <w:tc>
                <w:tcPr>
                  <w:tcW w:w="904" w:type="dxa"/>
                  <w:vAlign w:val="top"/>
                </w:tcPr>
                <w:p>
                  <w:pPr>
                    <w:spacing w:before="112" w:line="186"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82" w:line="219" w:lineRule="auto"/>
                    <w:ind w:left="644"/>
                    <w:rPr>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0"/>
                      <w:sz w:val="18"/>
                      <w:szCs w:val="18"/>
                    </w:rPr>
                    <w:t xml:space="preserve"> </w:t>
                  </w:r>
                  <w:r>
                    <w:rPr>
                      <w:spacing w:val="-6"/>
                      <w:sz w:val="18"/>
                      <w:szCs w:val="18"/>
                    </w:rPr>
                    <w:t>，</w:t>
                  </w:r>
                  <w:r>
                    <w:rPr>
                      <w:rFonts w:ascii="Times New Roman" w:hAnsi="Times New Roman" w:eastAsia="Times New Roman" w:cs="Times New Roman"/>
                      <w:spacing w:val="-6"/>
                      <w:sz w:val="18"/>
                      <w:szCs w:val="18"/>
                    </w:rPr>
                    <w:t>4-</w:t>
                  </w:r>
                  <w:r>
                    <w:rPr>
                      <w:spacing w:val="-6"/>
                      <w:sz w:val="18"/>
                      <w:szCs w:val="18"/>
                    </w:rPr>
                    <w:t>二氯苯</w:t>
                  </w:r>
                </w:p>
              </w:tc>
              <w:tc>
                <w:tcPr>
                  <w:tcW w:w="844" w:type="dxa"/>
                  <w:vAlign w:val="top"/>
                </w:tcPr>
                <w:p>
                  <w:pPr>
                    <w:spacing w:before="115"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2046" w:type="dxa"/>
                  <w:vAlign w:val="top"/>
                </w:tcPr>
                <w:p>
                  <w:pPr>
                    <w:pStyle w:val="6"/>
                    <w:spacing w:before="82" w:line="219" w:lineRule="auto"/>
                    <w:ind w:left="863"/>
                    <w:rPr>
                      <w:sz w:val="18"/>
                      <w:szCs w:val="18"/>
                    </w:rPr>
                  </w:pPr>
                  <w:r>
                    <w:rPr>
                      <w:spacing w:val="-7"/>
                      <w:sz w:val="18"/>
                      <w:szCs w:val="18"/>
                    </w:rPr>
                    <w:t>乙苯</w:t>
                  </w:r>
                </w:p>
              </w:tc>
              <w:tc>
                <w:tcPr>
                  <w:tcW w:w="852" w:type="dxa"/>
                  <w:vAlign w:val="top"/>
                </w:tcPr>
                <w:p>
                  <w:pPr>
                    <w:spacing w:before="115"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1749" w:type="dxa"/>
                  <w:vAlign w:val="top"/>
                </w:tcPr>
                <w:p>
                  <w:pPr>
                    <w:pStyle w:val="6"/>
                    <w:spacing w:before="82" w:line="219" w:lineRule="auto"/>
                    <w:ind w:left="612"/>
                    <w:rPr>
                      <w:sz w:val="18"/>
                      <w:szCs w:val="18"/>
                    </w:rPr>
                  </w:pPr>
                  <w:r>
                    <w:rPr>
                      <w:spacing w:val="-3"/>
                      <w:sz w:val="18"/>
                      <w:szCs w:val="18"/>
                    </w:rPr>
                    <w:t>苯乙烯</w:t>
                  </w:r>
                </w:p>
              </w:tc>
              <w:tc>
                <w:tcPr>
                  <w:tcW w:w="904" w:type="dxa"/>
                  <w:vAlign w:val="top"/>
                </w:tcPr>
                <w:p>
                  <w:pPr>
                    <w:spacing w:before="115" w:line="186"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82" w:line="219" w:lineRule="auto"/>
                    <w:ind w:left="953"/>
                    <w:rPr>
                      <w:sz w:val="18"/>
                      <w:szCs w:val="18"/>
                    </w:rPr>
                  </w:pPr>
                  <w:r>
                    <w:rPr>
                      <w:spacing w:val="-8"/>
                      <w:sz w:val="18"/>
                      <w:szCs w:val="18"/>
                    </w:rPr>
                    <w:t>甲苯</w:t>
                  </w:r>
                </w:p>
              </w:tc>
              <w:tc>
                <w:tcPr>
                  <w:tcW w:w="844" w:type="dxa"/>
                  <w:vAlign w:val="top"/>
                </w:tcPr>
                <w:p>
                  <w:pPr>
                    <w:spacing w:before="115" w:line="186"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1200</w:t>
                  </w:r>
                </w:p>
              </w:tc>
              <w:tc>
                <w:tcPr>
                  <w:tcW w:w="2046" w:type="dxa"/>
                  <w:vAlign w:val="top"/>
                </w:tcPr>
                <w:p>
                  <w:pPr>
                    <w:pStyle w:val="6"/>
                    <w:spacing w:before="82" w:line="233" w:lineRule="auto"/>
                    <w:ind w:left="269"/>
                    <w:rPr>
                      <w:sz w:val="18"/>
                      <w:szCs w:val="18"/>
                    </w:rPr>
                  </w:pPr>
                  <w:r>
                    <w:rPr>
                      <w:spacing w:val="-3"/>
                      <w:sz w:val="18"/>
                      <w:szCs w:val="18"/>
                    </w:rPr>
                    <w:t>间二甲苯</w:t>
                  </w:r>
                  <w:r>
                    <w:rPr>
                      <w:rFonts w:ascii="Times New Roman" w:hAnsi="Times New Roman" w:eastAsia="Times New Roman" w:cs="Times New Roman"/>
                      <w:spacing w:val="-3"/>
                      <w:sz w:val="18"/>
                      <w:szCs w:val="18"/>
                    </w:rPr>
                    <w:t>+</w:t>
                  </w:r>
                  <w:r>
                    <w:rPr>
                      <w:spacing w:val="-3"/>
                      <w:sz w:val="18"/>
                      <w:szCs w:val="18"/>
                    </w:rPr>
                    <w:t>对二甲苯</w:t>
                  </w:r>
                </w:p>
              </w:tc>
              <w:tc>
                <w:tcPr>
                  <w:tcW w:w="852" w:type="dxa"/>
                  <w:vAlign w:val="top"/>
                </w:tcPr>
                <w:p>
                  <w:pPr>
                    <w:spacing w:before="115" w:line="186"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570</w:t>
                  </w:r>
                </w:p>
              </w:tc>
              <w:tc>
                <w:tcPr>
                  <w:tcW w:w="1749" w:type="dxa"/>
                  <w:vAlign w:val="top"/>
                </w:tcPr>
                <w:p>
                  <w:pPr>
                    <w:pStyle w:val="6"/>
                    <w:spacing w:before="82" w:line="219" w:lineRule="auto"/>
                    <w:ind w:left="518"/>
                    <w:rPr>
                      <w:sz w:val="18"/>
                      <w:szCs w:val="18"/>
                    </w:rPr>
                  </w:pPr>
                  <w:r>
                    <w:rPr>
                      <w:spacing w:val="-2"/>
                      <w:sz w:val="18"/>
                      <w:szCs w:val="18"/>
                    </w:rPr>
                    <w:t>邻二甲苯</w:t>
                  </w:r>
                </w:p>
              </w:tc>
              <w:tc>
                <w:tcPr>
                  <w:tcW w:w="904" w:type="dxa"/>
                  <w:vAlign w:val="top"/>
                </w:tcPr>
                <w:p>
                  <w:pPr>
                    <w:spacing w:before="115" w:line="186" w:lineRule="auto"/>
                    <w:ind w:left="3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10" w:type="dxa"/>
                  <w:gridSpan w:val="6"/>
                  <w:vAlign w:val="top"/>
                </w:tcPr>
                <w:p>
                  <w:pPr>
                    <w:pStyle w:val="6"/>
                    <w:spacing w:before="80" w:line="219" w:lineRule="auto"/>
                    <w:ind w:left="3682"/>
                    <w:rPr>
                      <w:sz w:val="18"/>
                      <w:szCs w:val="18"/>
                    </w:rPr>
                  </w:pPr>
                  <w:r>
                    <w:rPr>
                      <w:spacing w:val="-2"/>
                      <w:sz w:val="18"/>
                      <w:szCs w:val="18"/>
                    </w:rPr>
                    <w:t>半挥发性有机物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81" w:line="219" w:lineRule="auto"/>
                    <w:ind w:left="843"/>
                    <w:rPr>
                      <w:sz w:val="18"/>
                      <w:szCs w:val="18"/>
                    </w:rPr>
                  </w:pPr>
                  <w:r>
                    <w:rPr>
                      <w:spacing w:val="-2"/>
                      <w:sz w:val="18"/>
                      <w:szCs w:val="18"/>
                    </w:rPr>
                    <w:t>硝基苯</w:t>
                  </w:r>
                </w:p>
              </w:tc>
              <w:tc>
                <w:tcPr>
                  <w:tcW w:w="844" w:type="dxa"/>
                  <w:vAlign w:val="top"/>
                </w:tcPr>
                <w:p>
                  <w:pPr>
                    <w:spacing w:before="116" w:line="186" w:lineRule="auto"/>
                    <w:ind w:left="3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w:t>
                  </w:r>
                </w:p>
              </w:tc>
              <w:tc>
                <w:tcPr>
                  <w:tcW w:w="2046" w:type="dxa"/>
                  <w:vAlign w:val="top"/>
                </w:tcPr>
                <w:p>
                  <w:pPr>
                    <w:pStyle w:val="6"/>
                    <w:spacing w:before="81" w:line="219" w:lineRule="auto"/>
                    <w:ind w:left="848"/>
                    <w:rPr>
                      <w:sz w:val="18"/>
                      <w:szCs w:val="18"/>
                    </w:rPr>
                  </w:pPr>
                  <w:r>
                    <w:rPr>
                      <w:spacing w:val="-3"/>
                      <w:sz w:val="18"/>
                      <w:szCs w:val="18"/>
                    </w:rPr>
                    <w:t>苯胺</w:t>
                  </w:r>
                </w:p>
              </w:tc>
              <w:tc>
                <w:tcPr>
                  <w:tcW w:w="852" w:type="dxa"/>
                  <w:vAlign w:val="top"/>
                </w:tcPr>
                <w:p>
                  <w:pPr>
                    <w:spacing w:before="116" w:line="186" w:lineRule="auto"/>
                    <w:ind w:left="2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260</w:t>
                  </w:r>
                </w:p>
              </w:tc>
              <w:tc>
                <w:tcPr>
                  <w:tcW w:w="1749" w:type="dxa"/>
                  <w:vAlign w:val="top"/>
                </w:tcPr>
                <w:p>
                  <w:pPr>
                    <w:pStyle w:val="6"/>
                    <w:spacing w:before="81" w:line="221" w:lineRule="auto"/>
                    <w:ind w:left="621"/>
                    <w:rPr>
                      <w:sz w:val="18"/>
                      <w:szCs w:val="18"/>
                    </w:rPr>
                  </w:pPr>
                  <w:r>
                    <w:rPr>
                      <w:rFonts w:ascii="Times New Roman" w:hAnsi="Times New Roman" w:eastAsia="Times New Roman" w:cs="Times New Roman"/>
                      <w:sz w:val="18"/>
                      <w:szCs w:val="18"/>
                    </w:rPr>
                    <w:t>2-</w:t>
                  </w:r>
                  <w:r>
                    <w:rPr>
                      <w:sz w:val="18"/>
                      <w:szCs w:val="18"/>
                    </w:rPr>
                    <w:t>氯酚</w:t>
                  </w:r>
                </w:p>
              </w:tc>
              <w:tc>
                <w:tcPr>
                  <w:tcW w:w="904" w:type="dxa"/>
                  <w:vAlign w:val="top"/>
                </w:tcPr>
                <w:p>
                  <w:pPr>
                    <w:spacing w:before="116" w:line="186"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5" w:type="dxa"/>
                  <w:vAlign w:val="top"/>
                </w:tcPr>
                <w:p>
                  <w:pPr>
                    <w:pStyle w:val="6"/>
                    <w:spacing w:before="81" w:line="233" w:lineRule="auto"/>
                    <w:ind w:left="623"/>
                    <w:rPr>
                      <w:sz w:val="18"/>
                      <w:szCs w:val="18"/>
                    </w:rPr>
                  </w:pPr>
                  <w:r>
                    <w:rPr>
                      <w:spacing w:val="-3"/>
                      <w:sz w:val="18"/>
                      <w:szCs w:val="18"/>
                    </w:rPr>
                    <w:t>苯并〔</w:t>
                  </w:r>
                  <w:r>
                    <w:rPr>
                      <w:rFonts w:ascii="Times New Roman" w:hAnsi="Times New Roman" w:eastAsia="Times New Roman" w:cs="Times New Roman"/>
                      <w:spacing w:val="-3"/>
                      <w:sz w:val="18"/>
                      <w:szCs w:val="18"/>
                    </w:rPr>
                    <w:t>a</w:t>
                  </w:r>
                  <w:r>
                    <w:rPr>
                      <w:spacing w:val="-3"/>
                      <w:sz w:val="18"/>
                      <w:szCs w:val="18"/>
                    </w:rPr>
                    <w:t>〕蒽</w:t>
                  </w:r>
                </w:p>
              </w:tc>
              <w:tc>
                <w:tcPr>
                  <w:tcW w:w="844" w:type="dxa"/>
                  <w:vAlign w:val="top"/>
                </w:tcPr>
                <w:p>
                  <w:pPr>
                    <w:spacing w:before="117" w:line="186" w:lineRule="auto"/>
                    <w:ind w:left="3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2046" w:type="dxa"/>
                  <w:vAlign w:val="top"/>
                </w:tcPr>
                <w:p>
                  <w:pPr>
                    <w:pStyle w:val="6"/>
                    <w:spacing w:before="81" w:line="233" w:lineRule="auto"/>
                    <w:ind w:left="538"/>
                    <w:rPr>
                      <w:sz w:val="18"/>
                      <w:szCs w:val="18"/>
                    </w:rPr>
                  </w:pPr>
                  <w:r>
                    <w:rPr>
                      <w:spacing w:val="-3"/>
                      <w:sz w:val="18"/>
                      <w:szCs w:val="18"/>
                    </w:rPr>
                    <w:t>苯并〔</w:t>
                  </w:r>
                  <w:r>
                    <w:rPr>
                      <w:rFonts w:ascii="Times New Roman" w:hAnsi="Times New Roman" w:eastAsia="Times New Roman" w:cs="Times New Roman"/>
                      <w:spacing w:val="-3"/>
                      <w:sz w:val="18"/>
                      <w:szCs w:val="18"/>
                    </w:rPr>
                    <w:t>a</w:t>
                  </w:r>
                  <w:r>
                    <w:rPr>
                      <w:spacing w:val="-3"/>
                      <w:sz w:val="18"/>
                      <w:szCs w:val="18"/>
                    </w:rPr>
                    <w:t>〕芘</w:t>
                  </w:r>
                </w:p>
              </w:tc>
              <w:tc>
                <w:tcPr>
                  <w:tcW w:w="852" w:type="dxa"/>
                  <w:vAlign w:val="top"/>
                </w:tcPr>
                <w:p>
                  <w:pPr>
                    <w:spacing w:before="117"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c>
              <w:tc>
                <w:tcPr>
                  <w:tcW w:w="1749" w:type="dxa"/>
                  <w:vAlign w:val="top"/>
                </w:tcPr>
                <w:p>
                  <w:pPr>
                    <w:pStyle w:val="6"/>
                    <w:spacing w:before="81" w:line="233" w:lineRule="auto"/>
                    <w:ind w:left="295"/>
                    <w:rPr>
                      <w:sz w:val="18"/>
                      <w:szCs w:val="18"/>
                    </w:rPr>
                  </w:pPr>
                  <w:r>
                    <w:rPr>
                      <w:spacing w:val="-3"/>
                      <w:sz w:val="18"/>
                      <w:szCs w:val="18"/>
                    </w:rPr>
                    <w:t>苯并〔</w:t>
                  </w:r>
                  <w:r>
                    <w:rPr>
                      <w:rFonts w:ascii="Times New Roman" w:hAnsi="Times New Roman" w:eastAsia="Times New Roman" w:cs="Times New Roman"/>
                      <w:spacing w:val="-3"/>
                      <w:sz w:val="18"/>
                      <w:szCs w:val="18"/>
                    </w:rPr>
                    <w:t>b</w:t>
                  </w:r>
                  <w:r>
                    <w:rPr>
                      <w:spacing w:val="-3"/>
                      <w:sz w:val="18"/>
                      <w:szCs w:val="18"/>
                    </w:rPr>
                    <w:t>〕荧蒽</w:t>
                  </w:r>
                </w:p>
              </w:tc>
              <w:tc>
                <w:tcPr>
                  <w:tcW w:w="904" w:type="dxa"/>
                  <w:vAlign w:val="top"/>
                </w:tcPr>
                <w:p>
                  <w:pPr>
                    <w:spacing w:before="117"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15" w:type="dxa"/>
                  <w:vAlign w:val="top"/>
                </w:tcPr>
                <w:p>
                  <w:pPr>
                    <w:pStyle w:val="6"/>
                    <w:spacing w:before="81" w:line="233" w:lineRule="auto"/>
                    <w:ind w:left="527"/>
                    <w:rPr>
                      <w:sz w:val="18"/>
                      <w:szCs w:val="18"/>
                    </w:rPr>
                  </w:pPr>
                  <w:r>
                    <w:rPr>
                      <w:spacing w:val="-3"/>
                      <w:sz w:val="18"/>
                      <w:szCs w:val="18"/>
                    </w:rPr>
                    <w:t>苯并〔</w:t>
                  </w:r>
                  <w:r>
                    <w:rPr>
                      <w:rFonts w:ascii="Times New Roman" w:hAnsi="Times New Roman" w:eastAsia="Times New Roman" w:cs="Times New Roman"/>
                      <w:spacing w:val="-3"/>
                      <w:sz w:val="18"/>
                      <w:szCs w:val="18"/>
                    </w:rPr>
                    <w:t>k</w:t>
                  </w:r>
                  <w:r>
                    <w:rPr>
                      <w:spacing w:val="-3"/>
                      <w:sz w:val="18"/>
                      <w:szCs w:val="18"/>
                    </w:rPr>
                    <w:t>〕荧蒽</w:t>
                  </w:r>
                </w:p>
              </w:tc>
              <w:tc>
                <w:tcPr>
                  <w:tcW w:w="844" w:type="dxa"/>
                  <w:vAlign w:val="top"/>
                </w:tcPr>
                <w:p>
                  <w:pPr>
                    <w:spacing w:before="115" w:line="186" w:lineRule="auto"/>
                    <w:ind w:left="3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151</w:t>
                  </w:r>
                </w:p>
              </w:tc>
              <w:tc>
                <w:tcPr>
                  <w:tcW w:w="2046" w:type="dxa"/>
                  <w:vAlign w:val="top"/>
                </w:tcPr>
                <w:p>
                  <w:pPr>
                    <w:pStyle w:val="6"/>
                    <w:spacing w:before="82" w:line="221" w:lineRule="auto"/>
                    <w:ind w:left="935"/>
                    <w:rPr>
                      <w:sz w:val="18"/>
                      <w:szCs w:val="18"/>
                    </w:rPr>
                  </w:pPr>
                  <w:r>
                    <w:rPr>
                      <w:sz w:val="18"/>
                      <w:szCs w:val="18"/>
                    </w:rPr>
                    <w:t>䓛</w:t>
                  </w:r>
                </w:p>
              </w:tc>
              <w:tc>
                <w:tcPr>
                  <w:tcW w:w="852" w:type="dxa"/>
                  <w:vAlign w:val="top"/>
                </w:tcPr>
                <w:p>
                  <w:pPr>
                    <w:spacing w:before="115" w:line="186" w:lineRule="auto"/>
                    <w:ind w:left="26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1293</w:t>
                  </w:r>
                </w:p>
              </w:tc>
              <w:tc>
                <w:tcPr>
                  <w:tcW w:w="1749" w:type="dxa"/>
                  <w:vAlign w:val="top"/>
                </w:tcPr>
                <w:p>
                  <w:pPr>
                    <w:pStyle w:val="6"/>
                    <w:spacing w:before="81" w:line="233" w:lineRule="auto"/>
                    <w:ind w:left="166"/>
                    <w:rPr>
                      <w:sz w:val="18"/>
                      <w:szCs w:val="18"/>
                    </w:rPr>
                  </w:pPr>
                  <w:r>
                    <w:rPr>
                      <w:spacing w:val="-5"/>
                      <w:sz w:val="18"/>
                      <w:szCs w:val="18"/>
                    </w:rPr>
                    <w:t>二苯并〔</w:t>
                  </w:r>
                  <w:r>
                    <w:rPr>
                      <w:rFonts w:ascii="Times New Roman" w:hAnsi="Times New Roman" w:eastAsia="Times New Roman" w:cs="Times New Roman"/>
                      <w:spacing w:val="-5"/>
                      <w:sz w:val="18"/>
                      <w:szCs w:val="18"/>
                    </w:rPr>
                    <w:t>a</w:t>
                  </w:r>
                  <w:r>
                    <w:rPr>
                      <w:rFonts w:ascii="Times New Roman" w:hAnsi="Times New Roman" w:eastAsia="Times New Roman" w:cs="Times New Roman"/>
                      <w:spacing w:val="-18"/>
                      <w:sz w:val="18"/>
                      <w:szCs w:val="18"/>
                    </w:rPr>
                    <w:t xml:space="preserve"> </w:t>
                  </w:r>
                  <w:r>
                    <w:rPr>
                      <w:spacing w:val="-5"/>
                      <w:sz w:val="18"/>
                      <w:szCs w:val="18"/>
                    </w:rPr>
                    <w:t>，</w:t>
                  </w:r>
                  <w:r>
                    <w:rPr>
                      <w:rFonts w:ascii="Times New Roman" w:hAnsi="Times New Roman" w:eastAsia="Times New Roman" w:cs="Times New Roman"/>
                      <w:spacing w:val="-5"/>
                      <w:sz w:val="18"/>
                      <w:szCs w:val="18"/>
                    </w:rPr>
                    <w:t>h</w:t>
                  </w:r>
                  <w:r>
                    <w:rPr>
                      <w:spacing w:val="-5"/>
                      <w:sz w:val="18"/>
                      <w:szCs w:val="18"/>
                    </w:rPr>
                    <w:t>〕蒽</w:t>
                  </w:r>
                </w:p>
              </w:tc>
              <w:tc>
                <w:tcPr>
                  <w:tcW w:w="904" w:type="dxa"/>
                  <w:vAlign w:val="top"/>
                </w:tcPr>
                <w:p>
                  <w:pPr>
                    <w:spacing w:before="115" w:line="186" w:lineRule="auto"/>
                    <w:ind w:left="35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215" w:type="dxa"/>
                  <w:vAlign w:val="top"/>
                </w:tcPr>
                <w:p>
                  <w:pPr>
                    <w:pStyle w:val="6"/>
                    <w:spacing w:before="85" w:line="233" w:lineRule="auto"/>
                    <w:ind w:left="235"/>
                    <w:rPr>
                      <w:sz w:val="18"/>
                      <w:szCs w:val="18"/>
                    </w:rPr>
                  </w:pPr>
                  <w:r>
                    <w:rPr>
                      <w:spacing w:val="-5"/>
                      <w:sz w:val="18"/>
                      <w:szCs w:val="18"/>
                    </w:rPr>
                    <w:t>茚并〔</w:t>
                  </w:r>
                  <w:r>
                    <w:rPr>
                      <w:rFonts w:ascii="Times New Roman" w:hAnsi="Times New Roman" w:eastAsia="Times New Roman" w:cs="Times New Roman"/>
                      <w:spacing w:val="-5"/>
                      <w:sz w:val="18"/>
                      <w:szCs w:val="18"/>
                    </w:rPr>
                    <w:t>1</w:t>
                  </w:r>
                  <w:r>
                    <w:rPr>
                      <w:rFonts w:ascii="Times New Roman" w:hAnsi="Times New Roman" w:eastAsia="Times New Roman" w:cs="Times New Roman"/>
                      <w:spacing w:val="-18"/>
                      <w:sz w:val="18"/>
                      <w:szCs w:val="18"/>
                    </w:rPr>
                    <w:t xml:space="preserve"> </w:t>
                  </w:r>
                  <w:r>
                    <w:rPr>
                      <w:spacing w:val="-5"/>
                      <w:sz w:val="18"/>
                      <w:szCs w:val="18"/>
                    </w:rPr>
                    <w:t>，</w:t>
                  </w:r>
                  <w:r>
                    <w:rPr>
                      <w:rFonts w:ascii="Times New Roman" w:hAnsi="Times New Roman" w:eastAsia="Times New Roman" w:cs="Times New Roman"/>
                      <w:spacing w:val="-5"/>
                      <w:sz w:val="18"/>
                      <w:szCs w:val="18"/>
                    </w:rPr>
                    <w:t>2</w:t>
                  </w:r>
                  <w:r>
                    <w:rPr>
                      <w:rFonts w:ascii="Times New Roman" w:hAnsi="Times New Roman" w:eastAsia="Times New Roman" w:cs="Times New Roman"/>
                      <w:spacing w:val="-22"/>
                      <w:sz w:val="18"/>
                      <w:szCs w:val="18"/>
                    </w:rPr>
                    <w:t xml:space="preserve"> </w:t>
                  </w:r>
                  <w:r>
                    <w:rPr>
                      <w:spacing w:val="-5"/>
                      <w:sz w:val="18"/>
                      <w:szCs w:val="18"/>
                    </w:rPr>
                    <w:t>，</w:t>
                  </w:r>
                  <w:r>
                    <w:rPr>
                      <w:rFonts w:ascii="Times New Roman" w:hAnsi="Times New Roman" w:eastAsia="Times New Roman" w:cs="Times New Roman"/>
                      <w:spacing w:val="-5"/>
                      <w:sz w:val="18"/>
                      <w:szCs w:val="18"/>
                    </w:rPr>
                    <w:t>3-cd</w:t>
                  </w:r>
                  <w:r>
                    <w:rPr>
                      <w:spacing w:val="-5"/>
                      <w:sz w:val="18"/>
                      <w:szCs w:val="18"/>
                    </w:rPr>
                    <w:t>〕芘</w:t>
                  </w:r>
                </w:p>
              </w:tc>
              <w:tc>
                <w:tcPr>
                  <w:tcW w:w="844" w:type="dxa"/>
                  <w:vAlign w:val="top"/>
                </w:tcPr>
                <w:p>
                  <w:pPr>
                    <w:spacing w:before="118" w:line="186" w:lineRule="auto"/>
                    <w:ind w:left="3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2046" w:type="dxa"/>
                  <w:vAlign w:val="top"/>
                </w:tcPr>
                <w:p>
                  <w:pPr>
                    <w:pStyle w:val="6"/>
                    <w:spacing w:before="85" w:line="220" w:lineRule="auto"/>
                    <w:ind w:left="937"/>
                    <w:rPr>
                      <w:sz w:val="18"/>
                      <w:szCs w:val="18"/>
                    </w:rPr>
                  </w:pPr>
                  <w:r>
                    <w:rPr>
                      <w:sz w:val="18"/>
                      <w:szCs w:val="18"/>
                    </w:rPr>
                    <w:t>萘</w:t>
                  </w:r>
                </w:p>
              </w:tc>
              <w:tc>
                <w:tcPr>
                  <w:tcW w:w="852" w:type="dxa"/>
                  <w:vAlign w:val="top"/>
                </w:tcPr>
                <w:p>
                  <w:pPr>
                    <w:spacing w:before="118"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tc>
              <w:tc>
                <w:tcPr>
                  <w:tcW w:w="1749" w:type="dxa"/>
                  <w:vAlign w:val="top"/>
                </w:tcPr>
                <w:p>
                  <w:pPr>
                    <w:spacing w:before="115" w:line="232" w:lineRule="auto"/>
                    <w:ind w:left="84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04" w:type="dxa"/>
                  <w:vAlign w:val="top"/>
                </w:tcPr>
                <w:p>
                  <w:pPr>
                    <w:spacing w:before="115" w:line="232" w:lineRule="auto"/>
                    <w:ind w:left="42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6"/>
              <w:spacing w:before="178" w:line="212" w:lineRule="auto"/>
              <w:ind w:left="1383"/>
              <w:rPr>
                <w:rFonts w:ascii="Times New Roman" w:hAnsi="Times New Roman" w:eastAsia="Times New Roman" w:cs="Times New Roman"/>
                <w:sz w:val="24"/>
                <w:szCs w:val="24"/>
              </w:rPr>
            </w:pPr>
            <w:r>
              <w:rPr>
                <w:spacing w:val="-2"/>
                <w:sz w:val="24"/>
                <w:szCs w:val="24"/>
                <w14:textOutline w14:w="4354" w14:cap="flat" w14:cmpd="sng">
                  <w14:solidFill>
                    <w14:srgbClr w14:val="000000"/>
                  </w14:solidFill>
                  <w14:prstDash w14:val="solid"/>
                  <w14:miter w14:val="10"/>
                </w14:textOutline>
              </w:rPr>
              <w:t>表</w:t>
            </w:r>
            <w:r>
              <w:rPr>
                <w:spacing w:val="-54"/>
                <w:sz w:val="24"/>
                <w:szCs w:val="24"/>
              </w:rPr>
              <w:t xml:space="preserve"> </w:t>
            </w:r>
            <w:r>
              <w:rPr>
                <w:rFonts w:ascii="Times New Roman" w:hAnsi="Times New Roman" w:eastAsia="Times New Roman" w:cs="Times New Roman"/>
                <w:b/>
                <w:bCs/>
                <w:spacing w:val="-2"/>
                <w:sz w:val="24"/>
                <w:szCs w:val="24"/>
              </w:rPr>
              <w:t xml:space="preserve">3.3-6  </w:t>
            </w:r>
            <w:r>
              <w:rPr>
                <w:spacing w:val="-2"/>
                <w:sz w:val="24"/>
                <w:szCs w:val="24"/>
                <w14:textOutline w14:w="4354" w14:cap="flat" w14:cmpd="sng">
                  <w14:solidFill>
                    <w14:srgbClr w14:val="000000"/>
                  </w14:solidFill>
                  <w14:prstDash w14:val="solid"/>
                  <w14:miter w14:val="10"/>
                </w14:textOutline>
              </w:rPr>
              <w:t>建设用地土壤污染风险筛选值（其他项目）</w:t>
            </w:r>
            <w:r>
              <w:rPr>
                <w:spacing w:val="84"/>
                <w:sz w:val="24"/>
                <w:szCs w:val="24"/>
              </w:rPr>
              <w:t xml:space="preserve"> </w:t>
            </w:r>
            <w:r>
              <w:rPr>
                <w:spacing w:val="-2"/>
                <w:sz w:val="24"/>
                <w:szCs w:val="24"/>
                <w14:textOutline w14:w="4354" w14:cap="flat" w14:cmpd="sng">
                  <w14:solidFill>
                    <w14:srgbClr w14:val="000000"/>
                  </w14:solidFill>
                  <w14:prstDash w14:val="solid"/>
                  <w14:miter w14:val="10"/>
                </w14:textOutline>
              </w:rPr>
              <w:t>单位：</w:t>
            </w:r>
            <w:r>
              <w:rPr>
                <w:rFonts w:ascii="Times New Roman" w:hAnsi="Times New Roman" w:eastAsia="Times New Roman" w:cs="Times New Roman"/>
                <w:b/>
                <w:bCs/>
                <w:spacing w:val="-2"/>
                <w:sz w:val="24"/>
                <w:szCs w:val="24"/>
              </w:rPr>
              <w:t>m</w:t>
            </w:r>
            <w:r>
              <w:rPr>
                <w:rFonts w:ascii="Times New Roman" w:hAnsi="Times New Roman" w:eastAsia="Times New Roman" w:cs="Times New Roman"/>
                <w:b/>
                <w:bCs/>
                <w:spacing w:val="-3"/>
                <w:sz w:val="24"/>
                <w:szCs w:val="24"/>
              </w:rPr>
              <w:t>g/kg</w:t>
            </w:r>
          </w:p>
          <w:p>
            <w:pPr>
              <w:spacing w:line="2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3394"/>
              <w:gridCol w:w="45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691" w:type="dxa"/>
                  <w:vAlign w:val="top"/>
                </w:tcPr>
                <w:p>
                  <w:pPr>
                    <w:pStyle w:val="6"/>
                    <w:spacing w:before="70" w:line="222" w:lineRule="auto"/>
                    <w:ind w:left="139"/>
                    <w:rPr>
                      <w:sz w:val="21"/>
                      <w:szCs w:val="21"/>
                    </w:rPr>
                  </w:pPr>
                  <w:r>
                    <w:rPr>
                      <w:spacing w:val="-2"/>
                      <w:sz w:val="21"/>
                      <w:szCs w:val="21"/>
                    </w:rPr>
                    <w:t>序号</w:t>
                  </w:r>
                </w:p>
              </w:tc>
              <w:tc>
                <w:tcPr>
                  <w:tcW w:w="3394" w:type="dxa"/>
                  <w:vAlign w:val="top"/>
                </w:tcPr>
                <w:p>
                  <w:pPr>
                    <w:pStyle w:val="6"/>
                    <w:spacing w:before="70" w:line="221" w:lineRule="auto"/>
                    <w:ind w:left="1178"/>
                    <w:rPr>
                      <w:sz w:val="21"/>
                      <w:szCs w:val="21"/>
                    </w:rPr>
                  </w:pPr>
                  <w:r>
                    <w:rPr>
                      <w:spacing w:val="-2"/>
                      <w:sz w:val="21"/>
                      <w:szCs w:val="21"/>
                    </w:rPr>
                    <w:t>污染物项目</w:t>
                  </w:r>
                </w:p>
              </w:tc>
              <w:tc>
                <w:tcPr>
                  <w:tcW w:w="4525" w:type="dxa"/>
                  <w:vAlign w:val="top"/>
                </w:tcPr>
                <w:p>
                  <w:pPr>
                    <w:pStyle w:val="6"/>
                    <w:spacing w:before="69" w:line="221" w:lineRule="auto"/>
                    <w:ind w:left="1427"/>
                    <w:rPr>
                      <w:sz w:val="21"/>
                      <w:szCs w:val="21"/>
                    </w:rPr>
                  </w:pPr>
                  <w:r>
                    <w:rPr>
                      <w:spacing w:val="-1"/>
                      <w:sz w:val="21"/>
                      <w:szCs w:val="21"/>
                    </w:rPr>
                    <w:t>第二类用地筛选值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91" w:type="dxa"/>
                  <w:vAlign w:val="top"/>
                </w:tcPr>
                <w:p>
                  <w:pPr>
                    <w:spacing w:before="106" w:line="187" w:lineRule="auto"/>
                    <w:ind w:left="31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394" w:type="dxa"/>
                  <w:vAlign w:val="top"/>
                </w:tcPr>
                <w:p>
                  <w:pPr>
                    <w:pStyle w:val="6"/>
                    <w:spacing w:before="65" w:line="221" w:lineRule="auto"/>
                    <w:ind w:left="1389"/>
                    <w:rPr>
                      <w:sz w:val="21"/>
                      <w:szCs w:val="21"/>
                    </w:rPr>
                  </w:pPr>
                  <w:r>
                    <w:rPr>
                      <w:spacing w:val="-2"/>
                      <w:sz w:val="21"/>
                      <w:szCs w:val="21"/>
                    </w:rPr>
                    <w:t>石油烃</w:t>
                  </w:r>
                </w:p>
              </w:tc>
              <w:tc>
                <w:tcPr>
                  <w:tcW w:w="4525" w:type="dxa"/>
                  <w:vAlign w:val="top"/>
                </w:tcPr>
                <w:p>
                  <w:pPr>
                    <w:spacing w:before="106" w:line="187" w:lineRule="auto"/>
                    <w:ind w:left="20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r>
          </w:tbl>
          <w:p>
            <w:pPr>
              <w:pStyle w:val="6"/>
              <w:spacing w:before="178" w:line="212" w:lineRule="auto"/>
              <w:ind w:left="1623"/>
              <w:rPr>
                <w:rFonts w:ascii="Times New Roman" w:hAnsi="Times New Roman" w:eastAsia="Times New Roman" w:cs="Times New Roman"/>
                <w:sz w:val="24"/>
                <w:szCs w:val="24"/>
              </w:rPr>
            </w:pPr>
            <w:r>
              <w:rPr>
                <w:spacing w:val="-3"/>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pacing w:val="-3"/>
                <w:sz w:val="24"/>
                <w:szCs w:val="24"/>
              </w:rPr>
              <w:t xml:space="preserve">3.3-7    </w:t>
            </w:r>
            <w:r>
              <w:rPr>
                <w:spacing w:val="-3"/>
                <w:sz w:val="24"/>
                <w:szCs w:val="24"/>
                <w14:textOutline w14:w="4354" w14:cap="flat" w14:cmpd="sng">
                  <w14:solidFill>
                    <w14:srgbClr w14:val="000000"/>
                  </w14:solidFill>
                  <w14:prstDash w14:val="solid"/>
                  <w14:miter w14:val="10"/>
                </w14:textOutline>
              </w:rPr>
              <w:t>四川省建设用地土壤污染风险筛选值</w:t>
            </w:r>
            <w:r>
              <w:rPr>
                <w:spacing w:val="8"/>
                <w:sz w:val="24"/>
                <w:szCs w:val="24"/>
              </w:rPr>
              <w:t xml:space="preserve">  </w:t>
            </w:r>
            <w:r>
              <w:rPr>
                <w:spacing w:val="-3"/>
                <w:sz w:val="24"/>
                <w:szCs w:val="24"/>
                <w14:textOutline w14:w="4354" w14:cap="flat" w14:cmpd="sng">
                  <w14:solidFill>
                    <w14:srgbClr w14:val="000000"/>
                  </w14:solidFill>
                  <w14:prstDash w14:val="solid"/>
                  <w14:miter w14:val="10"/>
                </w14:textOutline>
              </w:rPr>
              <w:t>单位：</w:t>
            </w:r>
            <w:r>
              <w:rPr>
                <w:spacing w:val="-22"/>
                <w:sz w:val="24"/>
                <w:szCs w:val="24"/>
              </w:rPr>
              <w:t xml:space="preserve"> </w:t>
            </w:r>
            <w:r>
              <w:rPr>
                <w:rFonts w:ascii="Times New Roman" w:hAnsi="Times New Roman" w:eastAsia="Times New Roman" w:cs="Times New Roman"/>
                <w:b/>
                <w:bCs/>
                <w:spacing w:val="-3"/>
                <w:sz w:val="24"/>
                <w:szCs w:val="24"/>
              </w:rPr>
              <w:t>mg</w:t>
            </w:r>
            <w:r>
              <w:rPr>
                <w:rFonts w:ascii="Times New Roman" w:hAnsi="Times New Roman" w:eastAsia="Times New Roman" w:cs="Times New Roman"/>
                <w:b/>
                <w:bCs/>
                <w:spacing w:val="-4"/>
                <w:sz w:val="24"/>
                <w:szCs w:val="24"/>
              </w:rPr>
              <w:t>/kg</w:t>
            </w:r>
          </w:p>
          <w:p>
            <w:pPr>
              <w:spacing w:line="26"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9"/>
              <w:gridCol w:w="3541"/>
              <w:gridCol w:w="41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69" w:type="dxa"/>
                  <w:vAlign w:val="top"/>
                </w:tcPr>
                <w:p>
                  <w:pPr>
                    <w:pStyle w:val="6"/>
                    <w:spacing w:before="67" w:line="222" w:lineRule="auto"/>
                    <w:ind w:left="278"/>
                    <w:rPr>
                      <w:sz w:val="21"/>
                      <w:szCs w:val="21"/>
                    </w:rPr>
                  </w:pPr>
                  <w:r>
                    <w:rPr>
                      <w:spacing w:val="-2"/>
                      <w:sz w:val="21"/>
                      <w:szCs w:val="21"/>
                    </w:rPr>
                    <w:t>序号</w:t>
                  </w:r>
                </w:p>
              </w:tc>
              <w:tc>
                <w:tcPr>
                  <w:tcW w:w="3541" w:type="dxa"/>
                  <w:vAlign w:val="top"/>
                </w:tcPr>
                <w:p>
                  <w:pPr>
                    <w:pStyle w:val="6"/>
                    <w:spacing w:before="68" w:line="221" w:lineRule="auto"/>
                    <w:ind w:left="1251"/>
                    <w:rPr>
                      <w:sz w:val="21"/>
                      <w:szCs w:val="21"/>
                    </w:rPr>
                  </w:pPr>
                  <w:r>
                    <w:rPr>
                      <w:spacing w:val="-2"/>
                      <w:sz w:val="21"/>
                      <w:szCs w:val="21"/>
                    </w:rPr>
                    <w:t>污染物项目</w:t>
                  </w:r>
                </w:p>
              </w:tc>
              <w:tc>
                <w:tcPr>
                  <w:tcW w:w="4100" w:type="dxa"/>
                  <w:vAlign w:val="top"/>
                </w:tcPr>
                <w:p>
                  <w:pPr>
                    <w:pStyle w:val="6"/>
                    <w:spacing w:before="67" w:line="221" w:lineRule="auto"/>
                    <w:ind w:left="1215"/>
                    <w:rPr>
                      <w:sz w:val="21"/>
                      <w:szCs w:val="21"/>
                    </w:rPr>
                  </w:pPr>
                  <w:r>
                    <w:rPr>
                      <w:spacing w:val="-1"/>
                      <w:sz w:val="21"/>
                      <w:szCs w:val="21"/>
                    </w:rPr>
                    <w:t>第二类用地筛选值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69" w:type="dxa"/>
                  <w:vAlign w:val="top"/>
                </w:tcPr>
                <w:p>
                  <w:pPr>
                    <w:spacing w:before="105" w:line="187" w:lineRule="auto"/>
                    <w:ind w:left="45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541" w:type="dxa"/>
                  <w:vAlign w:val="top"/>
                </w:tcPr>
                <w:p>
                  <w:pPr>
                    <w:pStyle w:val="6"/>
                    <w:spacing w:before="66" w:line="223" w:lineRule="auto"/>
                    <w:ind w:left="1669"/>
                    <w:rPr>
                      <w:sz w:val="21"/>
                      <w:szCs w:val="21"/>
                    </w:rPr>
                  </w:pPr>
                  <w:r>
                    <w:rPr>
                      <w:sz w:val="21"/>
                      <w:szCs w:val="21"/>
                    </w:rPr>
                    <w:t>钡</w:t>
                  </w:r>
                </w:p>
              </w:tc>
              <w:tc>
                <w:tcPr>
                  <w:tcW w:w="4100" w:type="dxa"/>
                  <w:vAlign w:val="top"/>
                </w:tcPr>
                <w:p>
                  <w:pPr>
                    <w:spacing w:before="104" w:line="187" w:lineRule="auto"/>
                    <w:ind w:left="18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8660</w:t>
                  </w:r>
                </w:p>
              </w:tc>
            </w:tr>
          </w:tbl>
          <w:p>
            <w:pPr>
              <w:pStyle w:val="6"/>
              <w:spacing w:before="177" w:line="220" w:lineRule="auto"/>
              <w:ind w:left="2907"/>
              <w:rPr>
                <w:sz w:val="24"/>
                <w:szCs w:val="24"/>
              </w:rPr>
            </w:pPr>
            <w:r>
              <w:rPr>
                <w:spacing w:val="-1"/>
                <w:sz w:val="24"/>
                <w:szCs w:val="24"/>
                <w14:textOutline w14:w="4354" w14:cap="flat" w14:cmpd="sng">
                  <w14:solidFill>
                    <w14:srgbClr w14:val="000000"/>
                  </w14:solidFill>
                  <w14:prstDash w14:val="solid"/>
                  <w14:miter w14:val="10"/>
                </w14:textOutline>
              </w:rPr>
              <w:t>表</w:t>
            </w:r>
            <w:r>
              <w:rPr>
                <w:spacing w:val="-35"/>
                <w:sz w:val="24"/>
                <w:szCs w:val="24"/>
              </w:rPr>
              <w:t xml:space="preserve"> </w:t>
            </w:r>
            <w:r>
              <w:rPr>
                <w:rFonts w:ascii="Times New Roman" w:hAnsi="Times New Roman" w:eastAsia="Times New Roman" w:cs="Times New Roman"/>
                <w:b/>
                <w:bCs/>
                <w:spacing w:val="-1"/>
                <w:sz w:val="24"/>
                <w:szCs w:val="24"/>
              </w:rPr>
              <w:t xml:space="preserve">3.3-8    </w:t>
            </w:r>
            <w:r>
              <w:rPr>
                <w:spacing w:val="-1"/>
                <w:sz w:val="24"/>
                <w:szCs w:val="24"/>
                <w14:textOutline w14:w="4354" w14:cap="flat" w14:cmpd="sng">
                  <w14:solidFill>
                    <w14:srgbClr w14:val="000000"/>
                  </w14:solidFill>
                  <w14:prstDash w14:val="solid"/>
                  <w14:miter w14:val="10"/>
                </w14:textOutline>
              </w:rPr>
              <w:t>农用地土壤污染风险筛选值</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859"/>
              <w:gridCol w:w="960"/>
              <w:gridCol w:w="1362"/>
              <w:gridCol w:w="1500"/>
              <w:gridCol w:w="1499"/>
              <w:gridCol w:w="16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84" w:type="dxa"/>
                  <w:vMerge w:val="restart"/>
                  <w:tcBorders>
                    <w:bottom w:val="nil"/>
                  </w:tcBorders>
                  <w:vAlign w:val="top"/>
                </w:tcPr>
                <w:p>
                  <w:pPr>
                    <w:pStyle w:val="6"/>
                    <w:spacing w:before="243" w:line="222" w:lineRule="auto"/>
                    <w:ind w:left="187"/>
                    <w:rPr>
                      <w:sz w:val="21"/>
                      <w:szCs w:val="21"/>
                    </w:rPr>
                  </w:pPr>
                  <w:r>
                    <w:rPr>
                      <w:spacing w:val="-2"/>
                      <w:sz w:val="21"/>
                      <w:szCs w:val="21"/>
                    </w:rPr>
                    <w:t>序号</w:t>
                  </w:r>
                </w:p>
              </w:tc>
              <w:tc>
                <w:tcPr>
                  <w:tcW w:w="1819" w:type="dxa"/>
                  <w:gridSpan w:val="2"/>
                  <w:vMerge w:val="restart"/>
                  <w:tcBorders>
                    <w:bottom w:val="nil"/>
                  </w:tcBorders>
                  <w:vAlign w:val="top"/>
                </w:tcPr>
                <w:p>
                  <w:pPr>
                    <w:pStyle w:val="6"/>
                    <w:spacing w:before="243" w:line="221" w:lineRule="auto"/>
                    <w:ind w:left="389"/>
                    <w:rPr>
                      <w:sz w:val="21"/>
                      <w:szCs w:val="21"/>
                    </w:rPr>
                  </w:pPr>
                  <w:r>
                    <w:rPr>
                      <w:spacing w:val="-2"/>
                      <w:sz w:val="21"/>
                      <w:szCs w:val="21"/>
                    </w:rPr>
                    <w:t>污染物项目</w:t>
                  </w:r>
                </w:p>
              </w:tc>
              <w:tc>
                <w:tcPr>
                  <w:tcW w:w="6007" w:type="dxa"/>
                  <w:gridSpan w:val="4"/>
                  <w:vAlign w:val="top"/>
                </w:tcPr>
                <w:p>
                  <w:pPr>
                    <w:pStyle w:val="6"/>
                    <w:spacing w:before="68" w:line="213" w:lineRule="auto"/>
                    <w:ind w:left="2004"/>
                    <w:rPr>
                      <w:sz w:val="21"/>
                      <w:szCs w:val="21"/>
                    </w:rPr>
                  </w:pPr>
                  <w:r>
                    <w:rPr>
                      <w:spacing w:val="-1"/>
                      <w:sz w:val="21"/>
                      <w:szCs w:val="21"/>
                    </w:rPr>
                    <w:t>风险筛选值（</w:t>
                  </w:r>
                  <w:r>
                    <w:rPr>
                      <w:rFonts w:ascii="Times New Roman" w:hAnsi="Times New Roman" w:eastAsia="Times New Roman" w:cs="Times New Roman"/>
                      <w:spacing w:val="-1"/>
                      <w:sz w:val="21"/>
                      <w:szCs w:val="21"/>
                    </w:rPr>
                    <w:t>mg/kg</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continue"/>
                  <w:tcBorders>
                    <w:top w:val="nil"/>
                  </w:tcBorders>
                  <w:vAlign w:val="top"/>
                </w:tcPr>
                <w:p>
                  <w:pPr>
                    <w:rPr>
                      <w:rFonts w:ascii="Arial"/>
                      <w:sz w:val="21"/>
                    </w:rPr>
                  </w:pPr>
                </w:p>
              </w:tc>
              <w:tc>
                <w:tcPr>
                  <w:tcW w:w="1819" w:type="dxa"/>
                  <w:gridSpan w:val="2"/>
                  <w:vMerge w:val="continue"/>
                  <w:tcBorders>
                    <w:top w:val="nil"/>
                  </w:tcBorders>
                  <w:vAlign w:val="top"/>
                </w:tcPr>
                <w:p>
                  <w:pPr>
                    <w:rPr>
                      <w:rFonts w:ascii="Arial"/>
                      <w:sz w:val="21"/>
                    </w:rPr>
                  </w:pPr>
                </w:p>
              </w:tc>
              <w:tc>
                <w:tcPr>
                  <w:tcW w:w="1362" w:type="dxa"/>
                  <w:vAlign w:val="top"/>
                </w:tcPr>
                <w:p>
                  <w:pPr>
                    <w:spacing w:before="98" w:line="191" w:lineRule="auto"/>
                    <w:ind w:left="360"/>
                    <w:rPr>
                      <w:rFonts w:ascii="Times New Roman" w:hAnsi="Times New Roman" w:eastAsia="Times New Roman" w:cs="Times New Roman"/>
                      <w:sz w:val="21"/>
                      <w:szCs w:val="21"/>
                    </w:rPr>
                  </w:pPr>
                  <w:r>
                    <w:rPr>
                      <w:rFonts w:ascii="Times New Roman" w:hAnsi="Times New Roman" w:eastAsia="Times New Roman" w:cs="Times New Roman"/>
                      <w:sz w:val="21"/>
                      <w:szCs w:val="21"/>
                    </w:rPr>
                    <w:t>pH≤5.5</w:t>
                  </w:r>
                </w:p>
              </w:tc>
              <w:tc>
                <w:tcPr>
                  <w:tcW w:w="1500" w:type="dxa"/>
                  <w:vAlign w:val="top"/>
                </w:tcPr>
                <w:p>
                  <w:pPr>
                    <w:pStyle w:val="6"/>
                    <w:spacing w:before="63" w:line="21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5.5</w:t>
                  </w:r>
                  <w:r>
                    <w:rPr>
                      <w:spacing w:val="-1"/>
                      <w:sz w:val="21"/>
                      <w:szCs w:val="21"/>
                    </w:rPr>
                    <w:t>＜</w:t>
                  </w:r>
                  <w:r>
                    <w:rPr>
                      <w:rFonts w:ascii="Times New Roman" w:hAnsi="Times New Roman" w:eastAsia="Times New Roman" w:cs="Times New Roman"/>
                      <w:spacing w:val="-1"/>
                      <w:sz w:val="21"/>
                      <w:szCs w:val="21"/>
                    </w:rPr>
                    <w:t>pH≤6.5</w:t>
                  </w:r>
                </w:p>
              </w:tc>
              <w:tc>
                <w:tcPr>
                  <w:tcW w:w="1499" w:type="dxa"/>
                  <w:vAlign w:val="top"/>
                </w:tcPr>
                <w:p>
                  <w:pPr>
                    <w:pStyle w:val="6"/>
                    <w:spacing w:before="63" w:line="21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w:t>
                  </w:r>
                  <w:r>
                    <w:rPr>
                      <w:spacing w:val="-1"/>
                      <w:sz w:val="21"/>
                      <w:szCs w:val="21"/>
                    </w:rPr>
                    <w:t>＜</w:t>
                  </w:r>
                  <w:r>
                    <w:rPr>
                      <w:rFonts w:ascii="Times New Roman" w:hAnsi="Times New Roman" w:eastAsia="Times New Roman" w:cs="Times New Roman"/>
                      <w:spacing w:val="-1"/>
                      <w:sz w:val="21"/>
                      <w:szCs w:val="21"/>
                    </w:rPr>
                    <w:t>pH≤7.5</w:t>
                  </w:r>
                </w:p>
              </w:tc>
              <w:tc>
                <w:tcPr>
                  <w:tcW w:w="1646" w:type="dxa"/>
                  <w:vAlign w:val="top"/>
                </w:tcPr>
                <w:p>
                  <w:pPr>
                    <w:pStyle w:val="6"/>
                    <w:spacing w:before="63" w:line="214" w:lineRule="auto"/>
                    <w:ind w:left="454"/>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sz w:val="21"/>
                      <w:szCs w:val="21"/>
                    </w:rPr>
                    <w:t>＞</w:t>
                  </w:r>
                  <w:r>
                    <w:rPr>
                      <w:rFonts w:ascii="Times New Roman" w:hAnsi="Times New Roman" w:eastAsia="Times New Roman" w:cs="Times New Roman"/>
                      <w:sz w:val="21"/>
                      <w:szCs w:val="21"/>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restart"/>
                  <w:tcBorders>
                    <w:bottom w:val="nil"/>
                  </w:tcBorders>
                  <w:vAlign w:val="top"/>
                </w:tcPr>
                <w:p>
                  <w:pPr>
                    <w:spacing w:before="277" w:line="187" w:lineRule="auto"/>
                    <w:ind w:left="36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9" w:type="dxa"/>
                  <w:vMerge w:val="restart"/>
                  <w:tcBorders>
                    <w:bottom w:val="nil"/>
                  </w:tcBorders>
                  <w:vAlign w:val="top"/>
                </w:tcPr>
                <w:p>
                  <w:pPr>
                    <w:pStyle w:val="6"/>
                    <w:spacing w:before="239" w:line="223" w:lineRule="auto"/>
                    <w:ind w:left="326"/>
                    <w:rPr>
                      <w:sz w:val="21"/>
                      <w:szCs w:val="21"/>
                    </w:rPr>
                  </w:pPr>
                  <w:r>
                    <w:rPr>
                      <w:sz w:val="21"/>
                      <w:szCs w:val="21"/>
                    </w:rPr>
                    <w:t>镉</w:t>
                  </w:r>
                </w:p>
              </w:tc>
              <w:tc>
                <w:tcPr>
                  <w:tcW w:w="960" w:type="dxa"/>
                  <w:vAlign w:val="top"/>
                </w:tcPr>
                <w:p>
                  <w:pPr>
                    <w:pStyle w:val="6"/>
                    <w:spacing w:before="63" w:line="221" w:lineRule="auto"/>
                    <w:ind w:left="277"/>
                    <w:rPr>
                      <w:sz w:val="21"/>
                      <w:szCs w:val="21"/>
                    </w:rPr>
                  </w:pPr>
                  <w:r>
                    <w:rPr>
                      <w:spacing w:val="-3"/>
                      <w:sz w:val="21"/>
                      <w:szCs w:val="21"/>
                    </w:rPr>
                    <w:t>水田</w:t>
                  </w:r>
                </w:p>
              </w:tc>
              <w:tc>
                <w:tcPr>
                  <w:tcW w:w="1362" w:type="dxa"/>
                  <w:vAlign w:val="top"/>
                </w:tcPr>
                <w:p>
                  <w:pPr>
                    <w:spacing w:before="102"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500" w:type="dxa"/>
                  <w:vAlign w:val="top"/>
                </w:tcPr>
                <w:p>
                  <w:pPr>
                    <w:spacing w:before="102"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1499" w:type="dxa"/>
                  <w:vAlign w:val="top"/>
                </w:tcPr>
                <w:p>
                  <w:pPr>
                    <w:spacing w:before="102"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1646" w:type="dxa"/>
                  <w:vAlign w:val="top"/>
                </w:tcPr>
                <w:p>
                  <w:pPr>
                    <w:spacing w:before="102"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4" w:type="dxa"/>
                  <w:vMerge w:val="continue"/>
                  <w:tcBorders>
                    <w:top w:val="nil"/>
                  </w:tcBorders>
                  <w:vAlign w:val="top"/>
                </w:tcPr>
                <w:p>
                  <w:pPr>
                    <w:rPr>
                      <w:rFonts w:ascii="Arial"/>
                      <w:sz w:val="21"/>
                    </w:rPr>
                  </w:pPr>
                </w:p>
              </w:tc>
              <w:tc>
                <w:tcPr>
                  <w:tcW w:w="859" w:type="dxa"/>
                  <w:vMerge w:val="continue"/>
                  <w:tcBorders>
                    <w:top w:val="nil"/>
                  </w:tcBorders>
                  <w:vAlign w:val="top"/>
                </w:tcPr>
                <w:p>
                  <w:pPr>
                    <w:rPr>
                      <w:rFonts w:ascii="Arial"/>
                      <w:sz w:val="21"/>
                    </w:rPr>
                  </w:pPr>
                </w:p>
              </w:tc>
              <w:tc>
                <w:tcPr>
                  <w:tcW w:w="960" w:type="dxa"/>
                  <w:vAlign w:val="top"/>
                </w:tcPr>
                <w:p>
                  <w:pPr>
                    <w:pStyle w:val="6"/>
                    <w:spacing w:before="64" w:line="221" w:lineRule="auto"/>
                    <w:ind w:left="276"/>
                    <w:rPr>
                      <w:sz w:val="21"/>
                      <w:szCs w:val="21"/>
                    </w:rPr>
                  </w:pPr>
                  <w:r>
                    <w:rPr>
                      <w:spacing w:val="-2"/>
                      <w:sz w:val="21"/>
                      <w:szCs w:val="21"/>
                    </w:rPr>
                    <w:t>其他</w:t>
                  </w:r>
                </w:p>
              </w:tc>
              <w:tc>
                <w:tcPr>
                  <w:tcW w:w="1362" w:type="dxa"/>
                  <w:vAlign w:val="top"/>
                </w:tcPr>
                <w:p>
                  <w:pPr>
                    <w:spacing w:before="103"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0.3</w:t>
                  </w:r>
                </w:p>
              </w:tc>
              <w:tc>
                <w:tcPr>
                  <w:tcW w:w="1500" w:type="dxa"/>
                  <w:vAlign w:val="top"/>
                </w:tcPr>
                <w:p>
                  <w:pPr>
                    <w:spacing w:before="103"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499" w:type="dxa"/>
                  <w:vAlign w:val="top"/>
                </w:tcPr>
                <w:p>
                  <w:pPr>
                    <w:spacing w:before="103"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646" w:type="dxa"/>
                  <w:vAlign w:val="top"/>
                </w:tcPr>
                <w:p>
                  <w:pPr>
                    <w:spacing w:before="103"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restart"/>
                  <w:tcBorders>
                    <w:bottom w:val="nil"/>
                  </w:tcBorders>
                  <w:vAlign w:val="top"/>
                </w:tcPr>
                <w:p>
                  <w:pPr>
                    <w:spacing w:before="280" w:line="187" w:lineRule="auto"/>
                    <w:ind w:left="34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59" w:type="dxa"/>
                  <w:vMerge w:val="restart"/>
                  <w:tcBorders>
                    <w:bottom w:val="nil"/>
                  </w:tcBorders>
                  <w:vAlign w:val="top"/>
                </w:tcPr>
                <w:p>
                  <w:pPr>
                    <w:pStyle w:val="6"/>
                    <w:spacing w:before="242" w:line="221" w:lineRule="auto"/>
                    <w:ind w:left="328"/>
                    <w:rPr>
                      <w:sz w:val="21"/>
                      <w:szCs w:val="21"/>
                    </w:rPr>
                  </w:pPr>
                  <w:r>
                    <w:rPr>
                      <w:sz w:val="21"/>
                      <w:szCs w:val="21"/>
                    </w:rPr>
                    <w:t>汞</w:t>
                  </w:r>
                </w:p>
              </w:tc>
              <w:tc>
                <w:tcPr>
                  <w:tcW w:w="960" w:type="dxa"/>
                  <w:vAlign w:val="top"/>
                </w:tcPr>
                <w:p>
                  <w:pPr>
                    <w:pStyle w:val="6"/>
                    <w:spacing w:before="66" w:line="221" w:lineRule="auto"/>
                    <w:ind w:left="277"/>
                    <w:rPr>
                      <w:sz w:val="21"/>
                      <w:szCs w:val="21"/>
                    </w:rPr>
                  </w:pPr>
                  <w:r>
                    <w:rPr>
                      <w:spacing w:val="-3"/>
                      <w:sz w:val="21"/>
                      <w:szCs w:val="21"/>
                    </w:rPr>
                    <w:t>水田</w:t>
                  </w:r>
                </w:p>
              </w:tc>
              <w:tc>
                <w:tcPr>
                  <w:tcW w:w="1362" w:type="dxa"/>
                  <w:vAlign w:val="top"/>
                </w:tcPr>
                <w:p>
                  <w:pPr>
                    <w:spacing w:before="105"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500" w:type="dxa"/>
                  <w:vAlign w:val="top"/>
                </w:tcPr>
                <w:p>
                  <w:pPr>
                    <w:spacing w:before="105"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499" w:type="dxa"/>
                  <w:vAlign w:val="top"/>
                </w:tcPr>
                <w:p>
                  <w:pPr>
                    <w:spacing w:before="105"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1646" w:type="dxa"/>
                  <w:vAlign w:val="top"/>
                </w:tcPr>
                <w:p>
                  <w:pPr>
                    <w:spacing w:before="105" w:line="187" w:lineRule="auto"/>
                    <w:ind w:left="71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continue"/>
                  <w:tcBorders>
                    <w:top w:val="nil"/>
                  </w:tcBorders>
                  <w:vAlign w:val="top"/>
                </w:tcPr>
                <w:p>
                  <w:pPr>
                    <w:rPr>
                      <w:rFonts w:ascii="Arial"/>
                      <w:sz w:val="21"/>
                    </w:rPr>
                  </w:pPr>
                </w:p>
              </w:tc>
              <w:tc>
                <w:tcPr>
                  <w:tcW w:w="859" w:type="dxa"/>
                  <w:vMerge w:val="continue"/>
                  <w:tcBorders>
                    <w:top w:val="nil"/>
                  </w:tcBorders>
                  <w:vAlign w:val="top"/>
                </w:tcPr>
                <w:p>
                  <w:pPr>
                    <w:rPr>
                      <w:rFonts w:ascii="Arial"/>
                      <w:sz w:val="21"/>
                    </w:rPr>
                  </w:pPr>
                </w:p>
              </w:tc>
              <w:tc>
                <w:tcPr>
                  <w:tcW w:w="960" w:type="dxa"/>
                  <w:vAlign w:val="top"/>
                </w:tcPr>
                <w:p>
                  <w:pPr>
                    <w:pStyle w:val="6"/>
                    <w:spacing w:before="65" w:line="221" w:lineRule="auto"/>
                    <w:ind w:left="276"/>
                    <w:rPr>
                      <w:sz w:val="21"/>
                      <w:szCs w:val="21"/>
                    </w:rPr>
                  </w:pPr>
                  <w:r>
                    <w:rPr>
                      <w:spacing w:val="-2"/>
                      <w:sz w:val="21"/>
                      <w:szCs w:val="21"/>
                    </w:rPr>
                    <w:t>其他</w:t>
                  </w:r>
                </w:p>
              </w:tc>
              <w:tc>
                <w:tcPr>
                  <w:tcW w:w="1362" w:type="dxa"/>
                  <w:vAlign w:val="top"/>
                </w:tcPr>
                <w:p>
                  <w:pPr>
                    <w:spacing w:before="105" w:line="187" w:lineRule="auto"/>
                    <w:ind w:left="57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w:t>
                  </w:r>
                </w:p>
              </w:tc>
              <w:tc>
                <w:tcPr>
                  <w:tcW w:w="1500" w:type="dxa"/>
                  <w:vAlign w:val="top"/>
                </w:tcPr>
                <w:p>
                  <w:pPr>
                    <w:spacing w:before="105" w:line="187" w:lineRule="auto"/>
                    <w:ind w:left="6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w:t>
                  </w:r>
                </w:p>
              </w:tc>
              <w:tc>
                <w:tcPr>
                  <w:tcW w:w="1499" w:type="dxa"/>
                  <w:vAlign w:val="top"/>
                </w:tcPr>
                <w:p>
                  <w:pPr>
                    <w:spacing w:before="105" w:line="187" w:lineRule="auto"/>
                    <w:ind w:left="6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646" w:type="dxa"/>
                  <w:vAlign w:val="top"/>
                </w:tcPr>
                <w:p>
                  <w:pPr>
                    <w:spacing w:before="105" w:line="187" w:lineRule="auto"/>
                    <w:ind w:left="6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restart"/>
                  <w:tcBorders>
                    <w:bottom w:val="nil"/>
                  </w:tcBorders>
                  <w:vAlign w:val="top"/>
                </w:tcPr>
                <w:p>
                  <w:pPr>
                    <w:spacing w:before="279"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859" w:type="dxa"/>
                  <w:vMerge w:val="restart"/>
                  <w:tcBorders>
                    <w:bottom w:val="nil"/>
                  </w:tcBorders>
                  <w:vAlign w:val="top"/>
                </w:tcPr>
                <w:p>
                  <w:pPr>
                    <w:pStyle w:val="6"/>
                    <w:spacing w:before="240" w:line="221" w:lineRule="auto"/>
                    <w:ind w:left="327"/>
                    <w:rPr>
                      <w:sz w:val="21"/>
                      <w:szCs w:val="21"/>
                    </w:rPr>
                  </w:pPr>
                  <w:r>
                    <w:rPr>
                      <w:sz w:val="21"/>
                      <w:szCs w:val="21"/>
                    </w:rPr>
                    <w:t>砷</w:t>
                  </w:r>
                </w:p>
              </w:tc>
              <w:tc>
                <w:tcPr>
                  <w:tcW w:w="960" w:type="dxa"/>
                  <w:vAlign w:val="top"/>
                </w:tcPr>
                <w:p>
                  <w:pPr>
                    <w:pStyle w:val="6"/>
                    <w:spacing w:before="64" w:line="221" w:lineRule="auto"/>
                    <w:ind w:left="277"/>
                    <w:rPr>
                      <w:sz w:val="21"/>
                      <w:szCs w:val="21"/>
                    </w:rPr>
                  </w:pPr>
                  <w:r>
                    <w:rPr>
                      <w:spacing w:val="-3"/>
                      <w:sz w:val="21"/>
                      <w:szCs w:val="21"/>
                    </w:rPr>
                    <w:t>水田</w:t>
                  </w:r>
                </w:p>
              </w:tc>
              <w:tc>
                <w:tcPr>
                  <w:tcW w:w="1362" w:type="dxa"/>
                  <w:vAlign w:val="top"/>
                </w:tcPr>
                <w:p>
                  <w:pPr>
                    <w:spacing w:before="103" w:line="187" w:lineRule="auto"/>
                    <w:ind w:left="5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500" w:type="dxa"/>
                  <w:vAlign w:val="top"/>
                </w:tcPr>
                <w:p>
                  <w:pPr>
                    <w:spacing w:before="103" w:line="187" w:lineRule="auto"/>
                    <w:ind w:left="6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499" w:type="dxa"/>
                  <w:vAlign w:val="top"/>
                </w:tcPr>
                <w:p>
                  <w:pPr>
                    <w:spacing w:before="103" w:line="187" w:lineRule="auto"/>
                    <w:ind w:left="6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646" w:type="dxa"/>
                  <w:vAlign w:val="top"/>
                </w:tcPr>
                <w:p>
                  <w:pPr>
                    <w:spacing w:before="103" w:line="187" w:lineRule="auto"/>
                    <w:ind w:left="7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continue"/>
                  <w:tcBorders>
                    <w:top w:val="nil"/>
                  </w:tcBorders>
                  <w:vAlign w:val="top"/>
                </w:tcPr>
                <w:p>
                  <w:pPr>
                    <w:rPr>
                      <w:rFonts w:ascii="Arial"/>
                      <w:sz w:val="21"/>
                    </w:rPr>
                  </w:pPr>
                </w:p>
              </w:tc>
              <w:tc>
                <w:tcPr>
                  <w:tcW w:w="859" w:type="dxa"/>
                  <w:vMerge w:val="continue"/>
                  <w:tcBorders>
                    <w:top w:val="nil"/>
                  </w:tcBorders>
                  <w:vAlign w:val="top"/>
                </w:tcPr>
                <w:p>
                  <w:pPr>
                    <w:rPr>
                      <w:rFonts w:ascii="Arial"/>
                      <w:sz w:val="21"/>
                    </w:rPr>
                  </w:pPr>
                </w:p>
              </w:tc>
              <w:tc>
                <w:tcPr>
                  <w:tcW w:w="960" w:type="dxa"/>
                  <w:vAlign w:val="top"/>
                </w:tcPr>
                <w:p>
                  <w:pPr>
                    <w:pStyle w:val="6"/>
                    <w:spacing w:before="66" w:line="221" w:lineRule="auto"/>
                    <w:ind w:left="276"/>
                    <w:rPr>
                      <w:sz w:val="21"/>
                      <w:szCs w:val="21"/>
                    </w:rPr>
                  </w:pPr>
                  <w:r>
                    <w:rPr>
                      <w:spacing w:val="-2"/>
                      <w:sz w:val="21"/>
                      <w:szCs w:val="21"/>
                    </w:rPr>
                    <w:t>其他</w:t>
                  </w:r>
                </w:p>
              </w:tc>
              <w:tc>
                <w:tcPr>
                  <w:tcW w:w="1362" w:type="dxa"/>
                  <w:vAlign w:val="top"/>
                </w:tcPr>
                <w:p>
                  <w:pPr>
                    <w:spacing w:before="104"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500" w:type="dxa"/>
                  <w:vAlign w:val="top"/>
                </w:tcPr>
                <w:p>
                  <w:pPr>
                    <w:spacing w:before="104" w:line="187" w:lineRule="auto"/>
                    <w:ind w:left="6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499" w:type="dxa"/>
                  <w:vAlign w:val="top"/>
                </w:tcPr>
                <w:p>
                  <w:pPr>
                    <w:spacing w:before="104" w:line="187" w:lineRule="auto"/>
                    <w:ind w:left="6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646" w:type="dxa"/>
                  <w:vAlign w:val="top"/>
                </w:tcPr>
                <w:p>
                  <w:pPr>
                    <w:spacing w:before="104" w:line="187" w:lineRule="auto"/>
                    <w:ind w:left="7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restart"/>
                  <w:tcBorders>
                    <w:bottom w:val="nil"/>
                  </w:tcBorders>
                  <w:vAlign w:val="top"/>
                </w:tcPr>
                <w:p>
                  <w:pPr>
                    <w:spacing w:before="280"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59" w:type="dxa"/>
                  <w:vMerge w:val="restart"/>
                  <w:tcBorders>
                    <w:bottom w:val="nil"/>
                  </w:tcBorders>
                  <w:vAlign w:val="top"/>
                </w:tcPr>
                <w:p>
                  <w:pPr>
                    <w:pStyle w:val="6"/>
                    <w:spacing w:before="241" w:line="225" w:lineRule="auto"/>
                    <w:ind w:left="327"/>
                    <w:rPr>
                      <w:sz w:val="21"/>
                      <w:szCs w:val="21"/>
                    </w:rPr>
                  </w:pPr>
                  <w:r>
                    <w:rPr>
                      <w:sz w:val="21"/>
                      <w:szCs w:val="21"/>
                    </w:rPr>
                    <w:t>铅</w:t>
                  </w:r>
                </w:p>
              </w:tc>
              <w:tc>
                <w:tcPr>
                  <w:tcW w:w="960" w:type="dxa"/>
                  <w:vAlign w:val="top"/>
                </w:tcPr>
                <w:p>
                  <w:pPr>
                    <w:pStyle w:val="6"/>
                    <w:spacing w:before="65" w:line="221" w:lineRule="auto"/>
                    <w:ind w:left="277"/>
                    <w:rPr>
                      <w:sz w:val="21"/>
                      <w:szCs w:val="21"/>
                    </w:rPr>
                  </w:pPr>
                  <w:r>
                    <w:rPr>
                      <w:spacing w:val="-3"/>
                      <w:sz w:val="21"/>
                      <w:szCs w:val="21"/>
                    </w:rPr>
                    <w:t>水田</w:t>
                  </w:r>
                </w:p>
              </w:tc>
              <w:tc>
                <w:tcPr>
                  <w:tcW w:w="1362" w:type="dxa"/>
                  <w:vAlign w:val="top"/>
                </w:tcPr>
                <w:p>
                  <w:pPr>
                    <w:spacing w:before="104"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00" w:type="dxa"/>
                  <w:vAlign w:val="top"/>
                </w:tcPr>
                <w:p>
                  <w:pPr>
                    <w:spacing w:before="104"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499" w:type="dxa"/>
                  <w:vAlign w:val="top"/>
                </w:tcPr>
                <w:p>
                  <w:pPr>
                    <w:spacing w:before="104"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140</w:t>
                  </w:r>
                </w:p>
              </w:tc>
              <w:tc>
                <w:tcPr>
                  <w:tcW w:w="1646" w:type="dxa"/>
                  <w:vAlign w:val="top"/>
                </w:tcPr>
                <w:p>
                  <w:pPr>
                    <w:spacing w:before="104" w:line="187" w:lineRule="auto"/>
                    <w:ind w:left="6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4" w:type="dxa"/>
                  <w:vMerge w:val="continue"/>
                  <w:tcBorders>
                    <w:top w:val="nil"/>
                  </w:tcBorders>
                  <w:vAlign w:val="top"/>
                </w:tcPr>
                <w:p>
                  <w:pPr>
                    <w:rPr>
                      <w:rFonts w:ascii="Arial"/>
                      <w:sz w:val="21"/>
                    </w:rPr>
                  </w:pPr>
                </w:p>
              </w:tc>
              <w:tc>
                <w:tcPr>
                  <w:tcW w:w="859" w:type="dxa"/>
                  <w:vMerge w:val="continue"/>
                  <w:tcBorders>
                    <w:top w:val="nil"/>
                  </w:tcBorders>
                  <w:vAlign w:val="top"/>
                </w:tcPr>
                <w:p>
                  <w:pPr>
                    <w:rPr>
                      <w:rFonts w:ascii="Arial"/>
                      <w:sz w:val="21"/>
                    </w:rPr>
                  </w:pPr>
                </w:p>
              </w:tc>
              <w:tc>
                <w:tcPr>
                  <w:tcW w:w="960" w:type="dxa"/>
                  <w:vAlign w:val="top"/>
                </w:tcPr>
                <w:p>
                  <w:pPr>
                    <w:pStyle w:val="6"/>
                    <w:spacing w:before="66" w:line="221" w:lineRule="auto"/>
                    <w:ind w:left="276"/>
                    <w:rPr>
                      <w:sz w:val="21"/>
                      <w:szCs w:val="21"/>
                    </w:rPr>
                  </w:pPr>
                  <w:r>
                    <w:rPr>
                      <w:spacing w:val="-2"/>
                      <w:sz w:val="21"/>
                      <w:szCs w:val="21"/>
                    </w:rPr>
                    <w:t>其他</w:t>
                  </w:r>
                </w:p>
              </w:tc>
              <w:tc>
                <w:tcPr>
                  <w:tcW w:w="1362" w:type="dxa"/>
                  <w:vAlign w:val="top"/>
                </w:tcPr>
                <w:p>
                  <w:pPr>
                    <w:spacing w:before="105" w:line="18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500" w:type="dxa"/>
                  <w:vAlign w:val="top"/>
                </w:tcPr>
                <w:p>
                  <w:pPr>
                    <w:spacing w:before="105" w:line="187" w:lineRule="auto"/>
                    <w:ind w:left="6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499" w:type="dxa"/>
                  <w:vAlign w:val="top"/>
                </w:tcPr>
                <w:p>
                  <w:pPr>
                    <w:spacing w:before="105"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646" w:type="dxa"/>
                  <w:vAlign w:val="top"/>
                </w:tcPr>
                <w:p>
                  <w:pPr>
                    <w:spacing w:before="105" w:line="187" w:lineRule="auto"/>
                    <w:ind w:left="68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restart"/>
                  <w:tcBorders>
                    <w:bottom w:val="nil"/>
                  </w:tcBorders>
                  <w:vAlign w:val="top"/>
                </w:tcPr>
                <w:p>
                  <w:pPr>
                    <w:spacing w:before="285" w:line="184"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59" w:type="dxa"/>
                  <w:vMerge w:val="restart"/>
                  <w:tcBorders>
                    <w:bottom w:val="nil"/>
                  </w:tcBorders>
                  <w:vAlign w:val="top"/>
                </w:tcPr>
                <w:p>
                  <w:pPr>
                    <w:pStyle w:val="6"/>
                    <w:spacing w:before="243" w:line="223" w:lineRule="auto"/>
                    <w:ind w:left="327"/>
                    <w:rPr>
                      <w:sz w:val="21"/>
                      <w:szCs w:val="21"/>
                    </w:rPr>
                  </w:pPr>
                  <w:r>
                    <w:rPr>
                      <w:sz w:val="21"/>
                      <w:szCs w:val="21"/>
                    </w:rPr>
                    <w:t>铬</w:t>
                  </w:r>
                </w:p>
              </w:tc>
              <w:tc>
                <w:tcPr>
                  <w:tcW w:w="960" w:type="dxa"/>
                  <w:vAlign w:val="top"/>
                </w:tcPr>
                <w:p>
                  <w:pPr>
                    <w:pStyle w:val="6"/>
                    <w:spacing w:before="68" w:line="221" w:lineRule="auto"/>
                    <w:ind w:left="277"/>
                    <w:rPr>
                      <w:sz w:val="21"/>
                      <w:szCs w:val="21"/>
                    </w:rPr>
                  </w:pPr>
                  <w:r>
                    <w:rPr>
                      <w:spacing w:val="-3"/>
                      <w:sz w:val="21"/>
                      <w:szCs w:val="21"/>
                    </w:rPr>
                    <w:t>水田</w:t>
                  </w:r>
                </w:p>
              </w:tc>
              <w:tc>
                <w:tcPr>
                  <w:tcW w:w="1362" w:type="dxa"/>
                  <w:vAlign w:val="top"/>
                </w:tcPr>
                <w:p>
                  <w:pPr>
                    <w:spacing w:before="107" w:line="187" w:lineRule="auto"/>
                    <w:ind w:left="5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500" w:type="dxa"/>
                  <w:vAlign w:val="top"/>
                </w:tcPr>
                <w:p>
                  <w:pPr>
                    <w:spacing w:before="107"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499" w:type="dxa"/>
                  <w:vAlign w:val="top"/>
                </w:tcPr>
                <w:p>
                  <w:pPr>
                    <w:spacing w:before="107" w:line="187" w:lineRule="auto"/>
                    <w:ind w:left="5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646" w:type="dxa"/>
                  <w:vAlign w:val="top"/>
                </w:tcPr>
                <w:p>
                  <w:pPr>
                    <w:spacing w:before="107"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continue"/>
                  <w:tcBorders>
                    <w:top w:val="nil"/>
                  </w:tcBorders>
                  <w:vAlign w:val="top"/>
                </w:tcPr>
                <w:p>
                  <w:pPr>
                    <w:rPr>
                      <w:rFonts w:ascii="Arial"/>
                      <w:sz w:val="21"/>
                    </w:rPr>
                  </w:pPr>
                </w:p>
              </w:tc>
              <w:tc>
                <w:tcPr>
                  <w:tcW w:w="859" w:type="dxa"/>
                  <w:vMerge w:val="continue"/>
                  <w:tcBorders>
                    <w:top w:val="nil"/>
                  </w:tcBorders>
                  <w:vAlign w:val="top"/>
                </w:tcPr>
                <w:p>
                  <w:pPr>
                    <w:rPr>
                      <w:rFonts w:ascii="Arial"/>
                      <w:sz w:val="21"/>
                    </w:rPr>
                  </w:pPr>
                </w:p>
              </w:tc>
              <w:tc>
                <w:tcPr>
                  <w:tcW w:w="960" w:type="dxa"/>
                  <w:vAlign w:val="top"/>
                </w:tcPr>
                <w:p>
                  <w:pPr>
                    <w:pStyle w:val="6"/>
                    <w:spacing w:before="67" w:line="221" w:lineRule="auto"/>
                    <w:ind w:left="276"/>
                    <w:rPr>
                      <w:sz w:val="21"/>
                      <w:szCs w:val="21"/>
                    </w:rPr>
                  </w:pPr>
                  <w:r>
                    <w:rPr>
                      <w:spacing w:val="-2"/>
                      <w:sz w:val="21"/>
                      <w:szCs w:val="21"/>
                    </w:rPr>
                    <w:t>其他</w:t>
                  </w:r>
                </w:p>
              </w:tc>
              <w:tc>
                <w:tcPr>
                  <w:tcW w:w="1362" w:type="dxa"/>
                  <w:vAlign w:val="top"/>
                </w:tcPr>
                <w:p>
                  <w:pPr>
                    <w:spacing w:before="107" w:line="187"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500" w:type="dxa"/>
                  <w:vAlign w:val="top"/>
                </w:tcPr>
                <w:p>
                  <w:pPr>
                    <w:spacing w:before="107"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499" w:type="dxa"/>
                  <w:vAlign w:val="top"/>
                </w:tcPr>
                <w:p>
                  <w:pPr>
                    <w:spacing w:before="107" w:line="187" w:lineRule="auto"/>
                    <w:ind w:left="5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646" w:type="dxa"/>
                  <w:vAlign w:val="top"/>
                </w:tcPr>
                <w:p>
                  <w:pPr>
                    <w:spacing w:before="107" w:line="187" w:lineRule="auto"/>
                    <w:ind w:left="6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restart"/>
                  <w:tcBorders>
                    <w:bottom w:val="nil"/>
                  </w:tcBorders>
                  <w:vAlign w:val="top"/>
                </w:tcPr>
                <w:p>
                  <w:pPr>
                    <w:spacing w:before="281"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59" w:type="dxa"/>
                  <w:vMerge w:val="restart"/>
                  <w:tcBorders>
                    <w:bottom w:val="nil"/>
                  </w:tcBorders>
                  <w:vAlign w:val="top"/>
                </w:tcPr>
                <w:p>
                  <w:pPr>
                    <w:pStyle w:val="6"/>
                    <w:spacing w:before="242" w:line="222" w:lineRule="auto"/>
                    <w:ind w:left="327"/>
                    <w:rPr>
                      <w:sz w:val="21"/>
                      <w:szCs w:val="21"/>
                    </w:rPr>
                  </w:pPr>
                  <w:r>
                    <w:rPr>
                      <w:sz w:val="21"/>
                      <w:szCs w:val="21"/>
                    </w:rPr>
                    <w:t>铜</w:t>
                  </w:r>
                </w:p>
              </w:tc>
              <w:tc>
                <w:tcPr>
                  <w:tcW w:w="960" w:type="dxa"/>
                  <w:vAlign w:val="top"/>
                </w:tcPr>
                <w:p>
                  <w:pPr>
                    <w:pStyle w:val="6"/>
                    <w:spacing w:before="67" w:line="221" w:lineRule="auto"/>
                    <w:ind w:left="279"/>
                    <w:rPr>
                      <w:sz w:val="21"/>
                      <w:szCs w:val="21"/>
                    </w:rPr>
                  </w:pPr>
                  <w:r>
                    <w:rPr>
                      <w:spacing w:val="-3"/>
                      <w:sz w:val="21"/>
                      <w:szCs w:val="21"/>
                    </w:rPr>
                    <w:t>果园</w:t>
                  </w:r>
                </w:p>
              </w:tc>
              <w:tc>
                <w:tcPr>
                  <w:tcW w:w="1362" w:type="dxa"/>
                  <w:vAlign w:val="top"/>
                </w:tcPr>
                <w:p>
                  <w:pPr>
                    <w:spacing w:before="105" w:line="187"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500" w:type="dxa"/>
                  <w:vAlign w:val="top"/>
                </w:tcPr>
                <w:p>
                  <w:pPr>
                    <w:spacing w:before="105"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499" w:type="dxa"/>
                  <w:vAlign w:val="top"/>
                </w:tcPr>
                <w:p>
                  <w:pPr>
                    <w:spacing w:before="105" w:line="187" w:lineRule="auto"/>
                    <w:ind w:left="5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646" w:type="dxa"/>
                  <w:vAlign w:val="top"/>
                </w:tcPr>
                <w:p>
                  <w:pPr>
                    <w:spacing w:before="105" w:line="187" w:lineRule="auto"/>
                    <w:ind w:left="6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4" w:type="dxa"/>
                  <w:vMerge w:val="continue"/>
                  <w:tcBorders>
                    <w:top w:val="nil"/>
                  </w:tcBorders>
                  <w:vAlign w:val="top"/>
                </w:tcPr>
                <w:p>
                  <w:pPr>
                    <w:rPr>
                      <w:rFonts w:ascii="Arial"/>
                      <w:sz w:val="21"/>
                    </w:rPr>
                  </w:pPr>
                </w:p>
              </w:tc>
              <w:tc>
                <w:tcPr>
                  <w:tcW w:w="859" w:type="dxa"/>
                  <w:vMerge w:val="continue"/>
                  <w:tcBorders>
                    <w:top w:val="nil"/>
                  </w:tcBorders>
                  <w:vAlign w:val="top"/>
                </w:tcPr>
                <w:p>
                  <w:pPr>
                    <w:rPr>
                      <w:rFonts w:ascii="Arial"/>
                      <w:sz w:val="21"/>
                    </w:rPr>
                  </w:pPr>
                </w:p>
              </w:tc>
              <w:tc>
                <w:tcPr>
                  <w:tcW w:w="960" w:type="dxa"/>
                  <w:vAlign w:val="top"/>
                </w:tcPr>
                <w:p>
                  <w:pPr>
                    <w:pStyle w:val="6"/>
                    <w:spacing w:before="68" w:line="221" w:lineRule="auto"/>
                    <w:ind w:left="276"/>
                    <w:rPr>
                      <w:sz w:val="21"/>
                      <w:szCs w:val="21"/>
                    </w:rPr>
                  </w:pPr>
                  <w:r>
                    <w:rPr>
                      <w:spacing w:val="-2"/>
                      <w:sz w:val="21"/>
                      <w:szCs w:val="21"/>
                    </w:rPr>
                    <w:t>其他</w:t>
                  </w:r>
                </w:p>
              </w:tc>
              <w:tc>
                <w:tcPr>
                  <w:tcW w:w="1362" w:type="dxa"/>
                  <w:vAlign w:val="top"/>
                </w:tcPr>
                <w:p>
                  <w:pPr>
                    <w:spacing w:before="106"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500" w:type="dxa"/>
                  <w:vAlign w:val="top"/>
                </w:tcPr>
                <w:p>
                  <w:pPr>
                    <w:spacing w:before="106"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499" w:type="dxa"/>
                  <w:vAlign w:val="top"/>
                </w:tcPr>
                <w:p>
                  <w:pPr>
                    <w:spacing w:before="106"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646" w:type="dxa"/>
                  <w:vAlign w:val="top"/>
                </w:tcPr>
                <w:p>
                  <w:pPr>
                    <w:spacing w:before="106" w:line="187" w:lineRule="auto"/>
                    <w:ind w:left="68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84" w:type="dxa"/>
                  <w:vAlign w:val="top"/>
                </w:tcPr>
                <w:p>
                  <w:pPr>
                    <w:spacing w:before="110" w:line="184" w:lineRule="auto"/>
                    <w:ind w:left="34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19" w:type="dxa"/>
                  <w:gridSpan w:val="2"/>
                  <w:vAlign w:val="top"/>
                </w:tcPr>
                <w:p>
                  <w:pPr>
                    <w:pStyle w:val="6"/>
                    <w:spacing w:before="69" w:line="221" w:lineRule="auto"/>
                    <w:ind w:left="807"/>
                    <w:rPr>
                      <w:sz w:val="21"/>
                      <w:szCs w:val="21"/>
                    </w:rPr>
                  </w:pPr>
                  <w:r>
                    <w:rPr>
                      <w:sz w:val="21"/>
                      <w:szCs w:val="21"/>
                    </w:rPr>
                    <w:t>镍</w:t>
                  </w:r>
                </w:p>
              </w:tc>
              <w:tc>
                <w:tcPr>
                  <w:tcW w:w="1362" w:type="dxa"/>
                  <w:vAlign w:val="top"/>
                </w:tcPr>
                <w:p>
                  <w:pPr>
                    <w:spacing w:before="107" w:line="187" w:lineRule="auto"/>
                    <w:ind w:left="5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500" w:type="dxa"/>
                  <w:vAlign w:val="top"/>
                </w:tcPr>
                <w:p>
                  <w:pPr>
                    <w:spacing w:before="107" w:line="187" w:lineRule="auto"/>
                    <w:ind w:left="6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499" w:type="dxa"/>
                  <w:vAlign w:val="top"/>
                </w:tcPr>
                <w:p>
                  <w:pPr>
                    <w:spacing w:before="107" w:line="187"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646" w:type="dxa"/>
                  <w:vAlign w:val="top"/>
                </w:tcPr>
                <w:p>
                  <w:pPr>
                    <w:spacing w:before="107" w:line="187" w:lineRule="auto"/>
                    <w:ind w:left="68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84" w:type="dxa"/>
                  <w:vAlign w:val="top"/>
                </w:tcPr>
                <w:p>
                  <w:pPr>
                    <w:spacing w:before="106" w:line="187" w:lineRule="auto"/>
                    <w:ind w:left="34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19" w:type="dxa"/>
                  <w:gridSpan w:val="2"/>
                  <w:vAlign w:val="top"/>
                </w:tcPr>
                <w:p>
                  <w:pPr>
                    <w:pStyle w:val="6"/>
                    <w:spacing w:before="68" w:line="221" w:lineRule="auto"/>
                    <w:ind w:left="807"/>
                    <w:rPr>
                      <w:sz w:val="21"/>
                      <w:szCs w:val="21"/>
                    </w:rPr>
                  </w:pPr>
                  <w:r>
                    <w:rPr>
                      <w:sz w:val="21"/>
                      <w:szCs w:val="21"/>
                    </w:rPr>
                    <w:t>锌</w:t>
                  </w:r>
                </w:p>
              </w:tc>
              <w:tc>
                <w:tcPr>
                  <w:tcW w:w="1362" w:type="dxa"/>
                  <w:vAlign w:val="top"/>
                </w:tcPr>
                <w:p>
                  <w:pPr>
                    <w:spacing w:before="106" w:line="187" w:lineRule="auto"/>
                    <w:ind w:left="5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500" w:type="dxa"/>
                  <w:vAlign w:val="top"/>
                </w:tcPr>
                <w:p>
                  <w:pPr>
                    <w:spacing w:before="106"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499" w:type="dxa"/>
                  <w:vAlign w:val="top"/>
                </w:tcPr>
                <w:p>
                  <w:pPr>
                    <w:spacing w:before="106" w:line="187" w:lineRule="auto"/>
                    <w:ind w:left="5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646" w:type="dxa"/>
                  <w:vAlign w:val="top"/>
                </w:tcPr>
                <w:p>
                  <w:pPr>
                    <w:spacing w:before="106"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r>
          </w:tbl>
          <w:p>
            <w:pPr>
              <w:pStyle w:val="6"/>
              <w:spacing w:before="178" w:line="220" w:lineRule="auto"/>
              <w:ind w:left="3087"/>
              <w:rPr>
                <w:sz w:val="24"/>
                <w:szCs w:val="24"/>
              </w:rPr>
            </w:pPr>
            <w:r>
              <w:rPr>
                <w:spacing w:val="-1"/>
                <w:sz w:val="24"/>
                <w:szCs w:val="24"/>
                <w14:textOutline w14:w="4354" w14:cap="flat" w14:cmpd="sng">
                  <w14:solidFill>
                    <w14:srgbClr w14:val="000000"/>
                  </w14:solidFill>
                  <w14:prstDash w14:val="solid"/>
                  <w14:miter w14:val="10"/>
                </w14:textOutline>
              </w:rPr>
              <w:t>表</w:t>
            </w:r>
            <w:r>
              <w:rPr>
                <w:spacing w:val="-40"/>
                <w:sz w:val="24"/>
                <w:szCs w:val="24"/>
              </w:rPr>
              <w:t xml:space="preserve"> </w:t>
            </w:r>
            <w:r>
              <w:rPr>
                <w:rFonts w:ascii="Times New Roman" w:hAnsi="Times New Roman" w:eastAsia="Times New Roman" w:cs="Times New Roman"/>
                <w:b/>
                <w:bCs/>
                <w:spacing w:val="-1"/>
                <w:sz w:val="24"/>
                <w:szCs w:val="24"/>
              </w:rPr>
              <w:t xml:space="preserve">3.5-9  </w:t>
            </w:r>
            <w:r>
              <w:rPr>
                <w:spacing w:val="-1"/>
                <w:sz w:val="24"/>
                <w:szCs w:val="24"/>
                <w14:textOutline w14:w="4354" w14:cap="flat" w14:cmpd="sng">
                  <w14:solidFill>
                    <w14:srgbClr w14:val="000000"/>
                  </w14:solidFill>
                  <w14:prstDash w14:val="solid"/>
                  <w14:miter w14:val="10"/>
                </w14:textOutline>
              </w:rPr>
              <w:t>土壤酸化、碱化分级标准</w:t>
            </w:r>
          </w:p>
          <w:p>
            <w:pPr>
              <w:spacing w:line="16" w:lineRule="exact"/>
            </w:pPr>
          </w:p>
          <w:tbl>
            <w:tblPr>
              <w:tblStyle w:val="5"/>
              <w:tblW w:w="8605" w:type="dxa"/>
              <w:tblInd w:w="5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60"/>
              <w:gridCol w:w="44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160" w:type="dxa"/>
                  <w:vAlign w:val="top"/>
                </w:tcPr>
                <w:p>
                  <w:pPr>
                    <w:pStyle w:val="6"/>
                    <w:spacing w:before="62" w:line="214" w:lineRule="auto"/>
                    <w:ind w:left="1590"/>
                    <w:rPr>
                      <w:sz w:val="21"/>
                      <w:szCs w:val="21"/>
                    </w:rPr>
                  </w:pPr>
                  <w:r>
                    <w:rPr>
                      <w:sz w:val="21"/>
                      <w:szCs w:val="21"/>
                    </w:rPr>
                    <w:t>土壤</w:t>
                  </w:r>
                  <w:r>
                    <w:rPr>
                      <w:spacing w:val="-53"/>
                      <w:sz w:val="21"/>
                      <w:szCs w:val="21"/>
                    </w:rPr>
                    <w:t xml:space="preserve"> </w:t>
                  </w:r>
                  <w:r>
                    <w:rPr>
                      <w:rFonts w:ascii="Times New Roman" w:hAnsi="Times New Roman" w:eastAsia="Times New Roman" w:cs="Times New Roman"/>
                      <w:sz w:val="21"/>
                      <w:szCs w:val="21"/>
                    </w:rPr>
                    <w:t xml:space="preserve">pH </w:t>
                  </w:r>
                  <w:r>
                    <w:rPr>
                      <w:sz w:val="21"/>
                      <w:szCs w:val="21"/>
                    </w:rPr>
                    <w:t>值</w:t>
                  </w:r>
                </w:p>
              </w:tc>
              <w:tc>
                <w:tcPr>
                  <w:tcW w:w="4445" w:type="dxa"/>
                  <w:vAlign w:val="top"/>
                </w:tcPr>
                <w:p>
                  <w:pPr>
                    <w:pStyle w:val="6"/>
                    <w:spacing w:before="63" w:line="221" w:lineRule="auto"/>
                    <w:ind w:left="1285"/>
                    <w:rPr>
                      <w:sz w:val="21"/>
                      <w:szCs w:val="21"/>
                    </w:rPr>
                  </w:pPr>
                  <w:r>
                    <w:rPr>
                      <w:spacing w:val="-1"/>
                      <w:sz w:val="21"/>
                      <w:szCs w:val="21"/>
                    </w:rPr>
                    <w:t>土壤酸化、碱化强度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160" w:type="dxa"/>
                  <w:tcBorders>
                    <w:bottom w:val="nil"/>
                  </w:tcBorders>
                  <w:vAlign w:val="top"/>
                </w:tcPr>
                <w:p>
                  <w:pPr>
                    <w:pStyle w:val="6"/>
                    <w:spacing w:before="61" w:line="214" w:lineRule="auto"/>
                    <w:ind w:left="1712"/>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sz w:val="21"/>
                      <w:szCs w:val="21"/>
                    </w:rPr>
                    <w:t>＜</w:t>
                  </w:r>
                  <w:r>
                    <w:rPr>
                      <w:rFonts w:ascii="Times New Roman" w:hAnsi="Times New Roman" w:eastAsia="Times New Roman" w:cs="Times New Roman"/>
                      <w:sz w:val="21"/>
                      <w:szCs w:val="21"/>
                    </w:rPr>
                    <w:t>3.5</w:t>
                  </w:r>
                </w:p>
              </w:tc>
              <w:tc>
                <w:tcPr>
                  <w:tcW w:w="4445" w:type="dxa"/>
                  <w:tcBorders>
                    <w:bottom w:val="nil"/>
                  </w:tcBorders>
                  <w:vAlign w:val="top"/>
                </w:tcPr>
                <w:p>
                  <w:pPr>
                    <w:pStyle w:val="6"/>
                    <w:spacing w:before="61" w:line="221" w:lineRule="auto"/>
                    <w:ind w:left="1707"/>
                    <w:rPr>
                      <w:sz w:val="21"/>
                      <w:szCs w:val="21"/>
                    </w:rPr>
                  </w:pPr>
                  <w:r>
                    <w:rPr>
                      <w:spacing w:val="-2"/>
                      <w:sz w:val="21"/>
                      <w:szCs w:val="21"/>
                    </w:rPr>
                    <w:t>极重度酸化</w:t>
                  </w:r>
                </w:p>
              </w:tc>
            </w:tr>
          </w:tbl>
          <w:p>
            <w:pPr>
              <w:spacing w:line="91" w:lineRule="auto"/>
              <w:rPr>
                <w:rFonts w:ascii="Arial"/>
                <w:sz w:val="2"/>
              </w:rPr>
            </w:pPr>
          </w:p>
        </w:tc>
      </w:tr>
    </w:tbl>
    <w:p>
      <w:pPr>
        <w:pStyle w:val="2"/>
        <w:rPr>
          <w:sz w:val="21"/>
        </w:rPr>
      </w:pPr>
    </w:p>
    <w:p>
      <w:pPr>
        <w:rPr>
          <w:sz w:val="21"/>
          <w:szCs w:val="21"/>
        </w:rPr>
        <w:sectPr>
          <w:footerReference r:id="rId88"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1"/>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68" w:hRule="atLeast"/>
        </w:trPr>
        <w:tc>
          <w:tcPr>
            <w:tcW w:w="9291" w:type="dxa"/>
            <w:vAlign w:val="top"/>
          </w:tcPr>
          <w:p>
            <w:pPr>
              <w:spacing w:line="14" w:lineRule="exact"/>
            </w:pPr>
            <w:r>
              <w:pict>
                <v:rect id="_x0000_s1287" o:spid="_x0000_s1287" o:spt="1" style="position:absolute;left:0pt;margin-left:22.75pt;margin-top:0.95pt;height:677.75pt;width:0.5pt;mso-position-horizontal-relative:page;mso-position-vertical-relative:page;z-index:251834368;mso-width-relative:page;mso-height-relative:page;" fillcolor="#000000" filled="t" stroked="f" coordsize="21600,21600">
                  <v:path/>
                  <v:fill on="t" focussize="0,0"/>
                  <v:stroke on="f"/>
                  <v:imagedata o:title=""/>
                  <o:lock v:ext="edit"/>
                </v:rect>
              </w:pict>
            </w:r>
          </w:p>
          <w:tbl>
            <w:tblPr>
              <w:tblStyle w:val="5"/>
              <w:tblW w:w="8605" w:type="dxa"/>
              <w:tblInd w:w="5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60"/>
              <w:gridCol w:w="44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160" w:type="dxa"/>
                  <w:tcBorders>
                    <w:top w:val="nil"/>
                  </w:tcBorders>
                  <w:vAlign w:val="top"/>
                </w:tcPr>
                <w:p>
                  <w:pPr>
                    <w:pStyle w:val="6"/>
                    <w:spacing w:before="63" w:line="214" w:lineRule="auto"/>
                    <w:ind w:left="15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3.5≤pH</w:t>
                  </w:r>
                  <w:r>
                    <w:rPr>
                      <w:spacing w:val="-1"/>
                      <w:sz w:val="21"/>
                      <w:szCs w:val="21"/>
                    </w:rPr>
                    <w:t>＜</w:t>
                  </w:r>
                  <w:r>
                    <w:rPr>
                      <w:rFonts w:ascii="Times New Roman" w:hAnsi="Times New Roman" w:eastAsia="Times New Roman" w:cs="Times New Roman"/>
                      <w:spacing w:val="-1"/>
                      <w:sz w:val="21"/>
                      <w:szCs w:val="21"/>
                    </w:rPr>
                    <w:t>4.0</w:t>
                  </w:r>
                </w:p>
              </w:tc>
              <w:tc>
                <w:tcPr>
                  <w:tcW w:w="4445" w:type="dxa"/>
                  <w:tcBorders>
                    <w:top w:val="nil"/>
                  </w:tcBorders>
                  <w:vAlign w:val="top"/>
                </w:tcPr>
                <w:p>
                  <w:pPr>
                    <w:pStyle w:val="6"/>
                    <w:spacing w:before="63" w:line="221" w:lineRule="auto"/>
                    <w:ind w:left="1811"/>
                    <w:rPr>
                      <w:sz w:val="21"/>
                      <w:szCs w:val="21"/>
                    </w:rPr>
                  </w:pPr>
                  <w:r>
                    <w:rPr>
                      <w:spacing w:val="-2"/>
                      <w:sz w:val="21"/>
                      <w:szCs w:val="21"/>
                    </w:rPr>
                    <w:t>重度酸化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60" w:type="dxa"/>
                  <w:vAlign w:val="top"/>
                </w:tcPr>
                <w:p>
                  <w:pPr>
                    <w:pStyle w:val="6"/>
                    <w:spacing w:before="61" w:line="214" w:lineRule="auto"/>
                    <w:ind w:left="1527"/>
                    <w:rPr>
                      <w:rFonts w:ascii="Times New Roman" w:hAnsi="Times New Roman" w:eastAsia="Times New Roman" w:cs="Times New Roman"/>
                      <w:sz w:val="21"/>
                      <w:szCs w:val="21"/>
                    </w:rPr>
                  </w:pPr>
                  <w:r>
                    <w:rPr>
                      <w:rFonts w:ascii="Times New Roman" w:hAnsi="Times New Roman" w:eastAsia="Times New Roman" w:cs="Times New Roman"/>
                      <w:sz w:val="21"/>
                      <w:szCs w:val="21"/>
                    </w:rPr>
                    <w:t>4.0≤pH</w:t>
                  </w:r>
                  <w:r>
                    <w:rPr>
                      <w:sz w:val="21"/>
                      <w:szCs w:val="21"/>
                    </w:rPr>
                    <w:t>＜</w:t>
                  </w:r>
                  <w:r>
                    <w:rPr>
                      <w:rFonts w:ascii="Times New Roman" w:hAnsi="Times New Roman" w:eastAsia="Times New Roman" w:cs="Times New Roman"/>
                      <w:sz w:val="21"/>
                      <w:szCs w:val="21"/>
                    </w:rPr>
                    <w:t>4.5</w:t>
                  </w:r>
                </w:p>
              </w:tc>
              <w:tc>
                <w:tcPr>
                  <w:tcW w:w="4445" w:type="dxa"/>
                  <w:vAlign w:val="top"/>
                </w:tcPr>
                <w:p>
                  <w:pPr>
                    <w:pStyle w:val="6"/>
                    <w:spacing w:before="61" w:line="221" w:lineRule="auto"/>
                    <w:ind w:left="1830"/>
                    <w:rPr>
                      <w:sz w:val="21"/>
                      <w:szCs w:val="21"/>
                    </w:rPr>
                  </w:pPr>
                  <w:r>
                    <w:rPr>
                      <w:spacing w:val="-7"/>
                      <w:sz w:val="21"/>
                      <w:szCs w:val="21"/>
                    </w:rPr>
                    <w:t>中度酸化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160" w:type="dxa"/>
                  <w:vAlign w:val="top"/>
                </w:tcPr>
                <w:p>
                  <w:pPr>
                    <w:pStyle w:val="6"/>
                    <w:spacing w:before="61" w:line="214" w:lineRule="auto"/>
                    <w:ind w:left="1527"/>
                    <w:rPr>
                      <w:rFonts w:ascii="Times New Roman" w:hAnsi="Times New Roman" w:eastAsia="Times New Roman" w:cs="Times New Roman"/>
                      <w:sz w:val="21"/>
                      <w:szCs w:val="21"/>
                    </w:rPr>
                  </w:pPr>
                  <w:r>
                    <w:rPr>
                      <w:rFonts w:ascii="Times New Roman" w:hAnsi="Times New Roman" w:eastAsia="Times New Roman" w:cs="Times New Roman"/>
                      <w:sz w:val="21"/>
                      <w:szCs w:val="21"/>
                    </w:rPr>
                    <w:t>4.5≤pH</w:t>
                  </w:r>
                  <w:r>
                    <w:rPr>
                      <w:sz w:val="21"/>
                      <w:szCs w:val="21"/>
                    </w:rPr>
                    <w:t>＜</w:t>
                  </w:r>
                  <w:r>
                    <w:rPr>
                      <w:rFonts w:ascii="Times New Roman" w:hAnsi="Times New Roman" w:eastAsia="Times New Roman" w:cs="Times New Roman"/>
                      <w:sz w:val="21"/>
                      <w:szCs w:val="21"/>
                    </w:rPr>
                    <w:t>5.5</w:t>
                  </w:r>
                </w:p>
              </w:tc>
              <w:tc>
                <w:tcPr>
                  <w:tcW w:w="4445" w:type="dxa"/>
                  <w:vAlign w:val="top"/>
                </w:tcPr>
                <w:p>
                  <w:pPr>
                    <w:pStyle w:val="6"/>
                    <w:spacing w:before="61" w:line="221" w:lineRule="auto"/>
                    <w:ind w:left="1811"/>
                    <w:rPr>
                      <w:sz w:val="21"/>
                      <w:szCs w:val="21"/>
                    </w:rPr>
                  </w:pPr>
                  <w:r>
                    <w:rPr>
                      <w:spacing w:val="-2"/>
                      <w:sz w:val="21"/>
                      <w:szCs w:val="21"/>
                    </w:rPr>
                    <w:t>轻度酸化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60" w:type="dxa"/>
                  <w:vAlign w:val="top"/>
                </w:tcPr>
                <w:p>
                  <w:pPr>
                    <w:pStyle w:val="6"/>
                    <w:spacing w:before="64" w:line="214" w:lineRule="auto"/>
                    <w:ind w:left="1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5.5≤pH</w:t>
                  </w:r>
                  <w:r>
                    <w:rPr>
                      <w:spacing w:val="-1"/>
                      <w:sz w:val="21"/>
                      <w:szCs w:val="21"/>
                    </w:rPr>
                    <w:t>＜</w:t>
                  </w:r>
                  <w:r>
                    <w:rPr>
                      <w:rFonts w:ascii="Times New Roman" w:hAnsi="Times New Roman" w:eastAsia="Times New Roman" w:cs="Times New Roman"/>
                      <w:spacing w:val="-1"/>
                      <w:sz w:val="21"/>
                      <w:szCs w:val="21"/>
                    </w:rPr>
                    <w:t>8.5</w:t>
                  </w:r>
                </w:p>
              </w:tc>
              <w:tc>
                <w:tcPr>
                  <w:tcW w:w="4445" w:type="dxa"/>
                  <w:vAlign w:val="top"/>
                </w:tcPr>
                <w:p>
                  <w:pPr>
                    <w:pStyle w:val="6"/>
                    <w:spacing w:before="64" w:line="221" w:lineRule="auto"/>
                    <w:ind w:left="1601"/>
                    <w:rPr>
                      <w:sz w:val="21"/>
                      <w:szCs w:val="21"/>
                    </w:rPr>
                  </w:pPr>
                  <w:r>
                    <w:rPr>
                      <w:spacing w:val="-2"/>
                      <w:sz w:val="21"/>
                      <w:szCs w:val="21"/>
                    </w:rPr>
                    <w:t>无酸化或碱化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60" w:type="dxa"/>
                  <w:vAlign w:val="top"/>
                </w:tcPr>
                <w:p>
                  <w:pPr>
                    <w:pStyle w:val="6"/>
                    <w:spacing w:before="62" w:line="214" w:lineRule="auto"/>
                    <w:ind w:left="1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8.5≤pH</w:t>
                  </w:r>
                  <w:r>
                    <w:rPr>
                      <w:spacing w:val="-1"/>
                      <w:sz w:val="21"/>
                      <w:szCs w:val="21"/>
                    </w:rPr>
                    <w:t>＜</w:t>
                  </w:r>
                  <w:r>
                    <w:rPr>
                      <w:rFonts w:ascii="Times New Roman" w:hAnsi="Times New Roman" w:eastAsia="Times New Roman" w:cs="Times New Roman"/>
                      <w:spacing w:val="-1"/>
                      <w:sz w:val="21"/>
                      <w:szCs w:val="21"/>
                    </w:rPr>
                    <w:t>9.0</w:t>
                  </w:r>
                </w:p>
              </w:tc>
              <w:tc>
                <w:tcPr>
                  <w:tcW w:w="4445" w:type="dxa"/>
                  <w:vAlign w:val="top"/>
                </w:tcPr>
                <w:p>
                  <w:pPr>
                    <w:pStyle w:val="6"/>
                    <w:spacing w:before="62" w:line="221" w:lineRule="auto"/>
                    <w:ind w:left="1811"/>
                    <w:rPr>
                      <w:sz w:val="21"/>
                      <w:szCs w:val="21"/>
                    </w:rPr>
                  </w:pPr>
                  <w:r>
                    <w:rPr>
                      <w:spacing w:val="-2"/>
                      <w:sz w:val="21"/>
                      <w:szCs w:val="21"/>
                    </w:rPr>
                    <w:t>轻度碱化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60" w:type="dxa"/>
                  <w:vAlign w:val="top"/>
                </w:tcPr>
                <w:p>
                  <w:pPr>
                    <w:pStyle w:val="6"/>
                    <w:spacing w:before="63" w:line="214" w:lineRule="auto"/>
                    <w:ind w:left="15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9.0≤pH</w:t>
                  </w:r>
                  <w:r>
                    <w:rPr>
                      <w:spacing w:val="-1"/>
                      <w:sz w:val="21"/>
                      <w:szCs w:val="21"/>
                    </w:rPr>
                    <w:t>＜</w:t>
                  </w:r>
                  <w:r>
                    <w:rPr>
                      <w:rFonts w:ascii="Times New Roman" w:hAnsi="Times New Roman" w:eastAsia="Times New Roman" w:cs="Times New Roman"/>
                      <w:spacing w:val="-1"/>
                      <w:sz w:val="21"/>
                      <w:szCs w:val="21"/>
                    </w:rPr>
                    <w:t>9.5</w:t>
                  </w:r>
                </w:p>
              </w:tc>
              <w:tc>
                <w:tcPr>
                  <w:tcW w:w="4445" w:type="dxa"/>
                  <w:vAlign w:val="top"/>
                </w:tcPr>
                <w:p>
                  <w:pPr>
                    <w:pStyle w:val="6"/>
                    <w:spacing w:before="63" w:line="221" w:lineRule="auto"/>
                    <w:ind w:left="1830"/>
                    <w:rPr>
                      <w:sz w:val="21"/>
                      <w:szCs w:val="21"/>
                    </w:rPr>
                  </w:pPr>
                  <w:r>
                    <w:rPr>
                      <w:spacing w:val="-7"/>
                      <w:sz w:val="21"/>
                      <w:szCs w:val="21"/>
                    </w:rPr>
                    <w:t>中度碱化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160" w:type="dxa"/>
                  <w:vAlign w:val="top"/>
                </w:tcPr>
                <w:p>
                  <w:pPr>
                    <w:pStyle w:val="6"/>
                    <w:spacing w:before="63" w:line="214" w:lineRule="auto"/>
                    <w:ind w:left="1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9.5≤pH</w:t>
                  </w:r>
                  <w:r>
                    <w:rPr>
                      <w:spacing w:val="-1"/>
                      <w:sz w:val="21"/>
                      <w:szCs w:val="21"/>
                    </w:rPr>
                    <w:t>＜</w:t>
                  </w:r>
                  <w:r>
                    <w:rPr>
                      <w:rFonts w:ascii="Times New Roman" w:hAnsi="Times New Roman" w:eastAsia="Times New Roman" w:cs="Times New Roman"/>
                      <w:spacing w:val="-1"/>
                      <w:sz w:val="21"/>
                      <w:szCs w:val="21"/>
                    </w:rPr>
                    <w:t>10.0</w:t>
                  </w:r>
                </w:p>
              </w:tc>
              <w:tc>
                <w:tcPr>
                  <w:tcW w:w="4445" w:type="dxa"/>
                  <w:vAlign w:val="top"/>
                </w:tcPr>
                <w:p>
                  <w:pPr>
                    <w:pStyle w:val="6"/>
                    <w:spacing w:before="64" w:line="221" w:lineRule="auto"/>
                    <w:ind w:left="1811"/>
                    <w:rPr>
                      <w:sz w:val="21"/>
                      <w:szCs w:val="21"/>
                    </w:rPr>
                  </w:pPr>
                  <w:r>
                    <w:rPr>
                      <w:spacing w:val="-2"/>
                      <w:sz w:val="21"/>
                      <w:szCs w:val="21"/>
                    </w:rPr>
                    <w:t>重度碱化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60" w:type="dxa"/>
                  <w:vAlign w:val="top"/>
                </w:tcPr>
                <w:p>
                  <w:pPr>
                    <w:spacing w:before="101" w:line="191" w:lineRule="auto"/>
                    <w:ind w:left="1708"/>
                    <w:rPr>
                      <w:rFonts w:ascii="Times New Roman" w:hAnsi="Times New Roman" w:eastAsia="Times New Roman" w:cs="Times New Roman"/>
                      <w:sz w:val="21"/>
                      <w:szCs w:val="21"/>
                    </w:rPr>
                  </w:pPr>
                  <w:r>
                    <w:rPr>
                      <w:rFonts w:ascii="Times New Roman" w:hAnsi="Times New Roman" w:eastAsia="Times New Roman" w:cs="Times New Roman"/>
                      <w:sz w:val="21"/>
                      <w:szCs w:val="21"/>
                    </w:rPr>
                    <w:t>pH≥10.0</w:t>
                  </w:r>
                </w:p>
              </w:tc>
              <w:tc>
                <w:tcPr>
                  <w:tcW w:w="4445" w:type="dxa"/>
                  <w:vAlign w:val="top"/>
                </w:tcPr>
                <w:p>
                  <w:pPr>
                    <w:pStyle w:val="6"/>
                    <w:spacing w:before="66" w:line="221" w:lineRule="auto"/>
                    <w:ind w:left="1707"/>
                    <w:rPr>
                      <w:sz w:val="21"/>
                      <w:szCs w:val="21"/>
                    </w:rPr>
                  </w:pPr>
                  <w:r>
                    <w:rPr>
                      <w:spacing w:val="-2"/>
                      <w:sz w:val="21"/>
                      <w:szCs w:val="21"/>
                    </w:rPr>
                    <w:t>极重度碱化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605" w:type="dxa"/>
                  <w:gridSpan w:val="2"/>
                  <w:vAlign w:val="top"/>
                </w:tcPr>
                <w:p>
                  <w:pPr>
                    <w:pStyle w:val="6"/>
                    <w:spacing w:before="30" w:line="222" w:lineRule="auto"/>
                    <w:ind w:left="114" w:right="145" w:hanging="1"/>
                    <w:rPr>
                      <w:sz w:val="21"/>
                      <w:szCs w:val="21"/>
                    </w:rPr>
                  </w:pPr>
                  <w:r>
                    <w:rPr>
                      <w:sz w:val="21"/>
                      <w:szCs w:val="21"/>
                    </w:rPr>
                    <w:t>注：土壤酸化、碱化强度指受人为影响后呈现的土壤</w:t>
                  </w:r>
                  <w:r>
                    <w:rPr>
                      <w:spacing w:val="-52"/>
                      <w:sz w:val="21"/>
                      <w:szCs w:val="21"/>
                    </w:rPr>
                    <w:t xml:space="preserve"> </w:t>
                  </w:r>
                  <w:r>
                    <w:rPr>
                      <w:rFonts w:ascii="Times New Roman" w:hAnsi="Times New Roman" w:eastAsia="Times New Roman" w:cs="Times New Roman"/>
                      <w:sz w:val="21"/>
                      <w:szCs w:val="21"/>
                    </w:rPr>
                    <w:t xml:space="preserve">pH </w:t>
                  </w:r>
                  <w:r>
                    <w:rPr>
                      <w:sz w:val="21"/>
                      <w:szCs w:val="21"/>
                    </w:rPr>
                    <w:t>值，可根据区域自然背景状</w:t>
                  </w:r>
                  <w:r>
                    <w:rPr>
                      <w:spacing w:val="-1"/>
                      <w:sz w:val="21"/>
                      <w:szCs w:val="21"/>
                    </w:rPr>
                    <w:t>况适当</w:t>
                  </w:r>
                  <w:r>
                    <w:rPr>
                      <w:sz w:val="21"/>
                      <w:szCs w:val="21"/>
                    </w:rPr>
                    <w:t xml:space="preserve"> </w:t>
                  </w:r>
                  <w:r>
                    <w:rPr>
                      <w:spacing w:val="-9"/>
                      <w:sz w:val="21"/>
                      <w:szCs w:val="21"/>
                    </w:rPr>
                    <w:t>调整。</w:t>
                  </w:r>
                </w:p>
              </w:tc>
            </w:tr>
          </w:tbl>
          <w:p>
            <w:pPr>
              <w:pStyle w:val="6"/>
              <w:spacing w:before="178" w:line="220" w:lineRule="auto"/>
              <w:ind w:left="2487"/>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3.3-10    </w:t>
            </w:r>
            <w:r>
              <w:rPr>
                <w:sz w:val="24"/>
                <w:szCs w:val="24"/>
                <w14:textOutline w14:w="4354" w14:cap="flat" w14:cmpd="sng">
                  <w14:solidFill>
                    <w14:srgbClr w14:val="000000"/>
                  </w14:solidFill>
                  <w14:prstDash w14:val="solid"/>
                  <w14:miter w14:val="10"/>
                </w14:textOutline>
              </w:rPr>
              <w:t>土壤环境质量</w:t>
            </w:r>
            <w:r>
              <w:rPr>
                <w:rFonts w:ascii="Times New Roman" w:hAnsi="Times New Roman" w:eastAsia="Times New Roman" w:cs="Times New Roman"/>
                <w:b/>
                <w:bCs/>
                <w:sz w:val="24"/>
                <w:szCs w:val="24"/>
              </w:rPr>
              <w:t>---</w:t>
            </w:r>
            <w:r>
              <w:rPr>
                <w:sz w:val="24"/>
                <w:szCs w:val="24"/>
                <w14:textOutline w14:w="4354" w14:cap="flat" w14:cmpd="sng">
                  <w14:solidFill>
                    <w14:srgbClr w14:val="000000"/>
                  </w14:solidFill>
                  <w14:prstDash w14:val="solid"/>
                  <w14:miter w14:val="10"/>
                </w14:textOutline>
              </w:rPr>
              <w:t>土壤盐化分</w:t>
            </w:r>
            <w:r>
              <w:rPr>
                <w:spacing w:val="-1"/>
                <w:sz w:val="24"/>
                <w:szCs w:val="24"/>
                <w14:textOutline w14:w="4354" w14:cap="flat" w14:cmpd="sng">
                  <w14:solidFill>
                    <w14:srgbClr w14:val="000000"/>
                  </w14:solidFill>
                  <w14:prstDash w14:val="solid"/>
                  <w14:miter w14:val="10"/>
                </w14:textOutline>
              </w:rPr>
              <w:t>级标准</w:t>
            </w:r>
          </w:p>
          <w:p>
            <w:pPr>
              <w:spacing w:line="15" w:lineRule="exact"/>
            </w:pPr>
          </w:p>
          <w:tbl>
            <w:tblPr>
              <w:tblStyle w:val="5"/>
              <w:tblW w:w="8605" w:type="dxa"/>
              <w:tblInd w:w="5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0"/>
              <w:gridCol w:w="3342"/>
              <w:gridCol w:w="33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00" w:type="dxa"/>
                  <w:vMerge w:val="restart"/>
                  <w:tcBorders>
                    <w:bottom w:val="nil"/>
                  </w:tcBorders>
                  <w:vAlign w:val="top"/>
                </w:tcPr>
                <w:p>
                  <w:pPr>
                    <w:pStyle w:val="6"/>
                    <w:spacing w:before="244" w:line="221" w:lineRule="auto"/>
                    <w:ind w:left="747"/>
                    <w:rPr>
                      <w:sz w:val="21"/>
                      <w:szCs w:val="21"/>
                    </w:rPr>
                  </w:pPr>
                  <w:r>
                    <w:rPr>
                      <w:spacing w:val="-3"/>
                      <w:sz w:val="21"/>
                      <w:szCs w:val="21"/>
                    </w:rPr>
                    <w:t>分级</w:t>
                  </w:r>
                </w:p>
              </w:tc>
              <w:tc>
                <w:tcPr>
                  <w:tcW w:w="6705" w:type="dxa"/>
                  <w:gridSpan w:val="2"/>
                  <w:vAlign w:val="top"/>
                </w:tcPr>
                <w:p>
                  <w:pPr>
                    <w:pStyle w:val="6"/>
                    <w:spacing w:before="70" w:line="213" w:lineRule="auto"/>
                    <w:ind w:left="2009"/>
                    <w:rPr>
                      <w:sz w:val="21"/>
                      <w:szCs w:val="21"/>
                    </w:rPr>
                  </w:pPr>
                  <w:r>
                    <w:rPr>
                      <w:spacing w:val="-1"/>
                      <w:sz w:val="21"/>
                      <w:szCs w:val="21"/>
                    </w:rPr>
                    <w:t>土壤含盐量（</w:t>
                  </w:r>
                  <w:r>
                    <w:rPr>
                      <w:rFonts w:ascii="Times New Roman" w:hAnsi="Times New Roman" w:eastAsia="Times New Roman" w:cs="Times New Roman"/>
                      <w:spacing w:val="-1"/>
                      <w:sz w:val="21"/>
                      <w:szCs w:val="21"/>
                    </w:rPr>
                    <w:t>SSC</w:t>
                  </w:r>
                  <w:r>
                    <w:rPr>
                      <w:spacing w:val="-1"/>
                      <w:sz w:val="21"/>
                      <w:szCs w:val="21"/>
                    </w:rPr>
                    <w:t>）</w:t>
                  </w:r>
                  <w:r>
                    <w:rPr>
                      <w:rFonts w:ascii="Times New Roman" w:hAnsi="Times New Roman" w:eastAsia="Times New Roman" w:cs="Times New Roman"/>
                      <w:spacing w:val="-1"/>
                      <w:sz w:val="21"/>
                      <w:szCs w:val="21"/>
                    </w:rPr>
                    <w:t>/</w:t>
                  </w:r>
                  <w:r>
                    <w:rPr>
                      <w:spacing w:val="-1"/>
                      <w:sz w:val="21"/>
                      <w:szCs w:val="21"/>
                    </w:rPr>
                    <w:t>（</w:t>
                  </w:r>
                  <w:r>
                    <w:rPr>
                      <w:rFonts w:ascii="Times New Roman" w:hAnsi="Times New Roman" w:eastAsia="Times New Roman" w:cs="Times New Roman"/>
                      <w:spacing w:val="-1"/>
                      <w:sz w:val="21"/>
                      <w:szCs w:val="21"/>
                    </w:rPr>
                    <w:t>g/kg</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00" w:type="dxa"/>
                  <w:vMerge w:val="continue"/>
                  <w:tcBorders>
                    <w:top w:val="nil"/>
                  </w:tcBorders>
                  <w:vAlign w:val="top"/>
                </w:tcPr>
                <w:p>
                  <w:pPr>
                    <w:rPr>
                      <w:rFonts w:ascii="Arial"/>
                      <w:sz w:val="21"/>
                    </w:rPr>
                  </w:pPr>
                </w:p>
              </w:tc>
              <w:tc>
                <w:tcPr>
                  <w:tcW w:w="3342" w:type="dxa"/>
                  <w:vAlign w:val="top"/>
                </w:tcPr>
                <w:p>
                  <w:pPr>
                    <w:pStyle w:val="6"/>
                    <w:spacing w:before="64" w:line="220" w:lineRule="auto"/>
                    <w:ind w:left="414"/>
                    <w:rPr>
                      <w:sz w:val="21"/>
                      <w:szCs w:val="21"/>
                    </w:rPr>
                  </w:pPr>
                  <w:r>
                    <w:rPr>
                      <w:spacing w:val="-1"/>
                      <w:sz w:val="21"/>
                      <w:szCs w:val="21"/>
                    </w:rPr>
                    <w:t>滨海、半湿润和半干旱地区</w:t>
                  </w:r>
                </w:p>
              </w:tc>
              <w:tc>
                <w:tcPr>
                  <w:tcW w:w="3363" w:type="dxa"/>
                  <w:vAlign w:val="top"/>
                </w:tcPr>
                <w:p>
                  <w:pPr>
                    <w:pStyle w:val="6"/>
                    <w:spacing w:before="64" w:line="220" w:lineRule="auto"/>
                    <w:ind w:left="528"/>
                    <w:rPr>
                      <w:sz w:val="21"/>
                      <w:szCs w:val="21"/>
                    </w:rPr>
                  </w:pPr>
                  <w:r>
                    <w:rPr>
                      <w:spacing w:val="-1"/>
                      <w:sz w:val="21"/>
                      <w:szCs w:val="21"/>
                    </w:rPr>
                    <w:t>干旱、半荒漠和荒漠地区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00" w:type="dxa"/>
                  <w:vAlign w:val="top"/>
                </w:tcPr>
                <w:p>
                  <w:pPr>
                    <w:pStyle w:val="6"/>
                    <w:spacing w:before="65" w:line="221" w:lineRule="auto"/>
                    <w:ind w:left="642"/>
                    <w:rPr>
                      <w:sz w:val="21"/>
                      <w:szCs w:val="21"/>
                    </w:rPr>
                  </w:pPr>
                  <w:r>
                    <w:rPr>
                      <w:spacing w:val="-2"/>
                      <w:sz w:val="21"/>
                      <w:szCs w:val="21"/>
                    </w:rPr>
                    <w:t>未盐化</w:t>
                  </w:r>
                </w:p>
              </w:tc>
              <w:tc>
                <w:tcPr>
                  <w:tcW w:w="3342" w:type="dxa"/>
                  <w:vAlign w:val="top"/>
                </w:tcPr>
                <w:p>
                  <w:pPr>
                    <w:spacing w:before="103" w:line="187" w:lineRule="auto"/>
                    <w:ind w:left="1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SSC&lt;1</w:t>
                  </w:r>
                </w:p>
              </w:tc>
              <w:tc>
                <w:tcPr>
                  <w:tcW w:w="3363" w:type="dxa"/>
                  <w:vAlign w:val="top"/>
                </w:tcPr>
                <w:p>
                  <w:pPr>
                    <w:spacing w:before="103" w:line="187" w:lineRule="auto"/>
                    <w:ind w:left="1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SSC&lt;2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00" w:type="dxa"/>
                  <w:vAlign w:val="top"/>
                </w:tcPr>
                <w:p>
                  <w:pPr>
                    <w:pStyle w:val="6"/>
                    <w:spacing w:before="65" w:line="221" w:lineRule="auto"/>
                    <w:ind w:left="536"/>
                    <w:rPr>
                      <w:sz w:val="21"/>
                      <w:szCs w:val="21"/>
                    </w:rPr>
                  </w:pPr>
                  <w:r>
                    <w:rPr>
                      <w:spacing w:val="-2"/>
                      <w:sz w:val="21"/>
                      <w:szCs w:val="21"/>
                    </w:rPr>
                    <w:t>轻度盐化</w:t>
                  </w:r>
                </w:p>
              </w:tc>
              <w:tc>
                <w:tcPr>
                  <w:tcW w:w="3342" w:type="dxa"/>
                  <w:vAlign w:val="top"/>
                </w:tcPr>
                <w:p>
                  <w:pPr>
                    <w:spacing w:before="101" w:line="219" w:lineRule="auto"/>
                    <w:ind w:left="12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1≤SSC&lt;2</w:t>
                  </w:r>
                </w:p>
              </w:tc>
              <w:tc>
                <w:tcPr>
                  <w:tcW w:w="3363" w:type="dxa"/>
                  <w:vAlign w:val="top"/>
                </w:tcPr>
                <w:p>
                  <w:pPr>
                    <w:spacing w:before="101" w:line="219" w:lineRule="auto"/>
                    <w:ind w:left="1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2≤SSC&lt;3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900" w:type="dxa"/>
                  <w:vAlign w:val="top"/>
                </w:tcPr>
                <w:p>
                  <w:pPr>
                    <w:pStyle w:val="6"/>
                    <w:spacing w:before="66" w:line="221" w:lineRule="auto"/>
                    <w:ind w:left="555"/>
                    <w:rPr>
                      <w:sz w:val="21"/>
                      <w:szCs w:val="21"/>
                    </w:rPr>
                  </w:pPr>
                  <w:r>
                    <w:rPr>
                      <w:spacing w:val="-7"/>
                      <w:sz w:val="21"/>
                      <w:szCs w:val="21"/>
                    </w:rPr>
                    <w:t>中度盐化</w:t>
                  </w:r>
                </w:p>
              </w:tc>
              <w:tc>
                <w:tcPr>
                  <w:tcW w:w="3342" w:type="dxa"/>
                  <w:vAlign w:val="top"/>
                </w:tcPr>
                <w:p>
                  <w:pPr>
                    <w:spacing w:before="101" w:line="219" w:lineRule="auto"/>
                    <w:ind w:left="12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2≤SSC&lt;4</w:t>
                  </w:r>
                </w:p>
              </w:tc>
              <w:tc>
                <w:tcPr>
                  <w:tcW w:w="3363" w:type="dxa"/>
                  <w:vAlign w:val="top"/>
                </w:tcPr>
                <w:p>
                  <w:pPr>
                    <w:spacing w:before="101" w:line="219" w:lineRule="auto"/>
                    <w:ind w:left="1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3≤SSC&lt;5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00" w:type="dxa"/>
                  <w:vAlign w:val="top"/>
                </w:tcPr>
                <w:p>
                  <w:pPr>
                    <w:pStyle w:val="6"/>
                    <w:spacing w:before="69" w:line="221" w:lineRule="auto"/>
                    <w:ind w:left="536"/>
                    <w:rPr>
                      <w:sz w:val="21"/>
                      <w:szCs w:val="21"/>
                    </w:rPr>
                  </w:pPr>
                  <w:r>
                    <w:rPr>
                      <w:spacing w:val="-2"/>
                      <w:sz w:val="21"/>
                      <w:szCs w:val="21"/>
                    </w:rPr>
                    <w:t>重度盐化</w:t>
                  </w:r>
                </w:p>
              </w:tc>
              <w:tc>
                <w:tcPr>
                  <w:tcW w:w="3342" w:type="dxa"/>
                  <w:vAlign w:val="top"/>
                </w:tcPr>
                <w:p>
                  <w:pPr>
                    <w:spacing w:before="104" w:line="219" w:lineRule="auto"/>
                    <w:ind w:left="1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4≤SSC&lt;6</w:t>
                  </w:r>
                </w:p>
              </w:tc>
              <w:tc>
                <w:tcPr>
                  <w:tcW w:w="3363" w:type="dxa"/>
                  <w:vAlign w:val="top"/>
                </w:tcPr>
                <w:p>
                  <w:pPr>
                    <w:spacing w:before="104" w:line="219" w:lineRule="auto"/>
                    <w:ind w:left="12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5≤SSC&lt;10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00" w:type="dxa"/>
                  <w:vAlign w:val="top"/>
                </w:tcPr>
                <w:p>
                  <w:pPr>
                    <w:pStyle w:val="6"/>
                    <w:spacing w:before="70" w:line="221" w:lineRule="auto"/>
                    <w:ind w:left="432"/>
                    <w:rPr>
                      <w:sz w:val="21"/>
                      <w:szCs w:val="21"/>
                    </w:rPr>
                  </w:pPr>
                  <w:r>
                    <w:rPr>
                      <w:spacing w:val="-2"/>
                      <w:sz w:val="21"/>
                      <w:szCs w:val="21"/>
                    </w:rPr>
                    <w:t>极重度盐化</w:t>
                  </w:r>
                </w:p>
              </w:tc>
              <w:tc>
                <w:tcPr>
                  <w:tcW w:w="3342" w:type="dxa"/>
                  <w:vAlign w:val="top"/>
                </w:tcPr>
                <w:p>
                  <w:pPr>
                    <w:spacing w:before="105" w:line="219" w:lineRule="auto"/>
                    <w:ind w:left="1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SSC≥6</w:t>
                  </w:r>
                </w:p>
              </w:tc>
              <w:tc>
                <w:tcPr>
                  <w:tcW w:w="3363" w:type="dxa"/>
                  <w:vAlign w:val="top"/>
                </w:tcPr>
                <w:p>
                  <w:pPr>
                    <w:spacing w:before="105" w:line="219" w:lineRule="auto"/>
                    <w:ind w:left="13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SSC≥10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05" w:type="dxa"/>
                  <w:gridSpan w:val="3"/>
                  <w:vAlign w:val="top"/>
                </w:tcPr>
                <w:p>
                  <w:pPr>
                    <w:pStyle w:val="6"/>
                    <w:spacing w:before="67" w:line="221" w:lineRule="auto"/>
                    <w:ind w:left="116"/>
                    <w:rPr>
                      <w:sz w:val="21"/>
                      <w:szCs w:val="21"/>
                    </w:rPr>
                  </w:pPr>
                  <w:r>
                    <w:rPr>
                      <w:spacing w:val="-1"/>
                      <w:sz w:val="21"/>
                      <w:szCs w:val="21"/>
                    </w:rPr>
                    <w:t>注：根据区域自然背景状况适当调整。</w:t>
                  </w:r>
                </w:p>
              </w:tc>
            </w:tr>
          </w:tbl>
          <w:p>
            <w:pPr>
              <w:pStyle w:val="6"/>
              <w:spacing w:before="226" w:line="220" w:lineRule="auto"/>
              <w:ind w:left="562"/>
              <w:rPr>
                <w:sz w:val="24"/>
                <w:szCs w:val="24"/>
              </w:rPr>
            </w:pPr>
            <w:r>
              <w:rPr>
                <w:rFonts w:ascii="Times New Roman" w:hAnsi="Times New Roman" w:eastAsia="Times New Roman" w:cs="Times New Roman"/>
                <w:b/>
                <w:bCs/>
                <w:sz w:val="24"/>
                <w:szCs w:val="24"/>
              </w:rPr>
              <w:t xml:space="preserve">3.6 </w:t>
            </w:r>
            <w:r>
              <w:rPr>
                <w:sz w:val="24"/>
                <w:szCs w:val="24"/>
                <w14:textOutline w14:w="4354" w14:cap="flat" w14:cmpd="sng">
                  <w14:solidFill>
                    <w14:srgbClr w14:val="000000"/>
                  </w14:solidFill>
                  <w14:prstDash w14:val="solid"/>
                  <w14:miter w14:val="10"/>
                </w14:textOutline>
              </w:rPr>
              <w:t>污染物排放标准</w:t>
            </w:r>
          </w:p>
          <w:p>
            <w:pPr>
              <w:pStyle w:val="6"/>
              <w:spacing w:before="227" w:line="220" w:lineRule="auto"/>
              <w:ind w:left="562"/>
              <w:rPr>
                <w:sz w:val="24"/>
                <w:szCs w:val="24"/>
              </w:rPr>
            </w:pPr>
            <w:r>
              <w:rPr>
                <w:rFonts w:ascii="Times New Roman" w:hAnsi="Times New Roman" w:eastAsia="Times New Roman" w:cs="Times New Roman"/>
                <w:b/>
                <w:bCs/>
                <w:sz w:val="24"/>
                <w:szCs w:val="24"/>
              </w:rPr>
              <w:t xml:space="preserve">3.6.1 </w:t>
            </w:r>
            <w:r>
              <w:rPr>
                <w:sz w:val="24"/>
                <w:szCs w:val="24"/>
                <w14:textOutline w14:w="4354" w14:cap="flat" w14:cmpd="sng">
                  <w14:solidFill>
                    <w14:srgbClr w14:val="000000"/>
                  </w14:solidFill>
                  <w14:prstDash w14:val="solid"/>
                  <w14:miter w14:val="10"/>
                </w14:textOutline>
              </w:rPr>
              <w:t>废气</w:t>
            </w:r>
          </w:p>
          <w:p>
            <w:pPr>
              <w:pStyle w:val="6"/>
              <w:spacing w:before="201" w:line="480" w:lineRule="exact"/>
              <w:ind w:left="1049"/>
              <w:rPr>
                <w:sz w:val="24"/>
                <w:szCs w:val="24"/>
              </w:rPr>
            </w:pPr>
            <w:r>
              <w:rPr>
                <w:spacing w:val="6"/>
                <w:position w:val="18"/>
                <w:sz w:val="24"/>
                <w:szCs w:val="24"/>
              </w:rPr>
              <w:t>本项目位于达州市，施工期扬尘排放执行《四川省施工场地扬</w:t>
            </w:r>
            <w:r>
              <w:rPr>
                <w:spacing w:val="5"/>
                <w:position w:val="18"/>
                <w:sz w:val="24"/>
                <w:szCs w:val="24"/>
              </w:rPr>
              <w:t>尘排放标准》</w:t>
            </w:r>
          </w:p>
          <w:p>
            <w:pPr>
              <w:pStyle w:val="6"/>
              <w:spacing w:line="219" w:lineRule="auto"/>
              <w:ind w:left="574"/>
              <w:rPr>
                <w:sz w:val="24"/>
                <w:szCs w:val="24"/>
              </w:rPr>
            </w:pPr>
            <w:r>
              <w:rPr>
                <w:spacing w:val="-4"/>
                <w:sz w:val="24"/>
                <w:szCs w:val="24"/>
              </w:rPr>
              <w:t>（</w:t>
            </w:r>
            <w:r>
              <w:rPr>
                <w:rFonts w:ascii="Times New Roman" w:hAnsi="Times New Roman" w:eastAsia="Times New Roman" w:cs="Times New Roman"/>
                <w:spacing w:val="-4"/>
                <w:sz w:val="24"/>
                <w:szCs w:val="24"/>
              </w:rPr>
              <w:t>DB51/2682-2020</w:t>
            </w:r>
            <w:r>
              <w:rPr>
                <w:spacing w:val="-4"/>
                <w:sz w:val="24"/>
                <w:szCs w:val="24"/>
              </w:rPr>
              <w:t xml:space="preserve">）中表 </w:t>
            </w:r>
            <w:r>
              <w:rPr>
                <w:rFonts w:ascii="Times New Roman" w:hAnsi="Times New Roman" w:eastAsia="Times New Roman" w:cs="Times New Roman"/>
                <w:spacing w:val="-4"/>
                <w:sz w:val="24"/>
                <w:szCs w:val="24"/>
              </w:rPr>
              <w:t xml:space="preserve">1 </w:t>
            </w:r>
            <w:r>
              <w:rPr>
                <w:spacing w:val="-4"/>
                <w:sz w:val="24"/>
                <w:szCs w:val="24"/>
              </w:rPr>
              <w:t>规定的浓度限值。</w:t>
            </w:r>
          </w:p>
          <w:p>
            <w:pPr>
              <w:pStyle w:val="6"/>
              <w:spacing w:before="194" w:line="220" w:lineRule="auto"/>
              <w:ind w:left="1042"/>
              <w:rPr>
                <w:sz w:val="24"/>
                <w:szCs w:val="24"/>
              </w:rPr>
            </w:pPr>
            <w:r>
              <w:rPr>
                <w:sz w:val="24"/>
                <w:szCs w:val="24"/>
                <w14:textOutline w14:w="4354" w14:cap="flat" w14:cmpd="sng">
                  <w14:solidFill>
                    <w14:srgbClr w14:val="000000"/>
                  </w14:solidFill>
                  <w14:prstDash w14:val="solid"/>
                  <w14:miter w14:val="10"/>
                </w14:textOutline>
              </w:rPr>
              <w:t>表</w:t>
            </w:r>
            <w:r>
              <w:rPr>
                <w:spacing w:val="-51"/>
                <w:sz w:val="24"/>
                <w:szCs w:val="24"/>
              </w:rPr>
              <w:t xml:space="preserve"> </w:t>
            </w:r>
            <w:r>
              <w:rPr>
                <w:rFonts w:ascii="Times New Roman" w:hAnsi="Times New Roman" w:eastAsia="Times New Roman" w:cs="Times New Roman"/>
                <w:b/>
                <w:bCs/>
                <w:sz w:val="24"/>
                <w:szCs w:val="24"/>
              </w:rPr>
              <w:t xml:space="preserve">3.6-1  </w:t>
            </w:r>
            <w:r>
              <w:rPr>
                <w:sz w:val="24"/>
                <w:szCs w:val="24"/>
                <w14:textOutline w14:w="4354" w14:cap="flat" w14:cmpd="sng">
                  <w14:solidFill>
                    <w14:srgbClr w14:val="000000"/>
                  </w14:solidFill>
                  <w14:prstDash w14:val="solid"/>
                  <w14:miter w14:val="10"/>
                </w14:textOutline>
              </w:rPr>
              <w:t>《四川省施工场地扬尘排放标准》（</w:t>
            </w:r>
            <w:r>
              <w:rPr>
                <w:rFonts w:ascii="Times New Roman" w:hAnsi="Times New Roman" w:eastAsia="Times New Roman" w:cs="Times New Roman"/>
                <w:b/>
                <w:bCs/>
                <w:sz w:val="24"/>
                <w:szCs w:val="24"/>
              </w:rPr>
              <w:t>DB51/2682-2020</w:t>
            </w:r>
            <w:r>
              <w:rPr>
                <w:sz w:val="24"/>
                <w:szCs w:val="24"/>
                <w14:textOutline w14:w="4354" w14:cap="flat" w14:cmpd="sng">
                  <w14:solidFill>
                    <w14:srgbClr w14:val="000000"/>
                  </w14:solidFill>
                  <w14:prstDash w14:val="solid"/>
                  <w14:miter w14:val="10"/>
                </w14:textOutline>
              </w:rPr>
              <w:t>）排放标准</w:t>
            </w:r>
          </w:p>
          <w:p>
            <w:pPr>
              <w:spacing w:line="17" w:lineRule="exact"/>
            </w:pPr>
          </w:p>
          <w:tbl>
            <w:tblPr>
              <w:tblStyle w:val="5"/>
              <w:tblW w:w="8610"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4"/>
              <w:gridCol w:w="1373"/>
              <w:gridCol w:w="3685"/>
              <w:gridCol w:w="2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34" w:type="dxa"/>
                  <w:vAlign w:val="top"/>
                </w:tcPr>
                <w:p>
                  <w:pPr>
                    <w:pStyle w:val="6"/>
                    <w:spacing w:before="68" w:line="221" w:lineRule="auto"/>
                    <w:ind w:left="301"/>
                    <w:rPr>
                      <w:sz w:val="21"/>
                      <w:szCs w:val="21"/>
                    </w:rPr>
                  </w:pPr>
                  <w:r>
                    <w:rPr>
                      <w:spacing w:val="-2"/>
                      <w:sz w:val="21"/>
                      <w:szCs w:val="21"/>
                    </w:rPr>
                    <w:t>监测项目</w:t>
                  </w:r>
                </w:p>
              </w:tc>
              <w:tc>
                <w:tcPr>
                  <w:tcW w:w="1373" w:type="dxa"/>
                  <w:vAlign w:val="top"/>
                </w:tcPr>
                <w:p>
                  <w:pPr>
                    <w:pStyle w:val="6"/>
                    <w:spacing w:before="68" w:line="221" w:lineRule="auto"/>
                    <w:ind w:left="497"/>
                    <w:rPr>
                      <w:sz w:val="21"/>
                      <w:szCs w:val="21"/>
                    </w:rPr>
                  </w:pPr>
                  <w:r>
                    <w:rPr>
                      <w:spacing w:val="-6"/>
                      <w:sz w:val="21"/>
                      <w:szCs w:val="21"/>
                    </w:rPr>
                    <w:t>区域</w:t>
                  </w:r>
                </w:p>
              </w:tc>
              <w:tc>
                <w:tcPr>
                  <w:tcW w:w="3685" w:type="dxa"/>
                  <w:vAlign w:val="top"/>
                </w:tcPr>
                <w:p>
                  <w:pPr>
                    <w:pStyle w:val="6"/>
                    <w:spacing w:before="67" w:line="222" w:lineRule="auto"/>
                    <w:ind w:left="1429"/>
                    <w:rPr>
                      <w:sz w:val="21"/>
                      <w:szCs w:val="21"/>
                    </w:rPr>
                  </w:pPr>
                  <w:r>
                    <w:rPr>
                      <w:spacing w:val="-1"/>
                      <w:sz w:val="21"/>
                      <w:szCs w:val="21"/>
                    </w:rPr>
                    <w:t>施工阶段</w:t>
                  </w:r>
                </w:p>
              </w:tc>
              <w:tc>
                <w:tcPr>
                  <w:tcW w:w="2118" w:type="dxa"/>
                  <w:vAlign w:val="top"/>
                </w:tcPr>
                <w:p>
                  <w:pPr>
                    <w:pStyle w:val="6"/>
                    <w:spacing w:before="68" w:line="213" w:lineRule="auto"/>
                    <w:ind w:left="255"/>
                    <w:rPr>
                      <w:sz w:val="21"/>
                      <w:szCs w:val="21"/>
                    </w:rPr>
                  </w:pPr>
                  <w:r>
                    <w:rPr>
                      <w:spacing w:val="-1"/>
                      <w:sz w:val="21"/>
                      <w:szCs w:val="21"/>
                    </w:rPr>
                    <w:t>颗粒物（</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6"/>
                      <w:sz w:val="13"/>
                      <w:szCs w:val="13"/>
                    </w:rPr>
                    <w:t>3</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434" w:type="dxa"/>
                  <w:vMerge w:val="restart"/>
                  <w:tcBorders>
                    <w:bottom w:val="nil"/>
                  </w:tcBorders>
                  <w:vAlign w:val="top"/>
                </w:tcPr>
                <w:p>
                  <w:pPr>
                    <w:spacing w:before="279" w:line="187" w:lineRule="auto"/>
                    <w:ind w:left="5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TSP</w:t>
                  </w:r>
                </w:p>
              </w:tc>
              <w:tc>
                <w:tcPr>
                  <w:tcW w:w="1373" w:type="dxa"/>
                  <w:vMerge w:val="restart"/>
                  <w:tcBorders>
                    <w:bottom w:val="nil"/>
                  </w:tcBorders>
                  <w:vAlign w:val="top"/>
                </w:tcPr>
                <w:p>
                  <w:pPr>
                    <w:pStyle w:val="6"/>
                    <w:spacing w:before="240" w:line="220" w:lineRule="auto"/>
                    <w:ind w:left="375"/>
                    <w:rPr>
                      <w:sz w:val="21"/>
                      <w:szCs w:val="21"/>
                    </w:rPr>
                  </w:pPr>
                  <w:r>
                    <w:rPr>
                      <w:spacing w:val="-1"/>
                      <w:sz w:val="21"/>
                      <w:szCs w:val="21"/>
                    </w:rPr>
                    <w:t>达州市</w:t>
                  </w:r>
                </w:p>
              </w:tc>
              <w:tc>
                <w:tcPr>
                  <w:tcW w:w="3685" w:type="dxa"/>
                  <w:vAlign w:val="top"/>
                </w:tcPr>
                <w:p>
                  <w:pPr>
                    <w:pStyle w:val="6"/>
                    <w:spacing w:before="64" w:line="234" w:lineRule="auto"/>
                    <w:ind w:left="321"/>
                    <w:rPr>
                      <w:sz w:val="21"/>
                      <w:szCs w:val="21"/>
                    </w:rPr>
                  </w:pPr>
                  <w:r>
                    <w:rPr>
                      <w:spacing w:val="-1"/>
                      <w:sz w:val="21"/>
                      <w:szCs w:val="21"/>
                    </w:rPr>
                    <w:t>拆除工程</w:t>
                  </w:r>
                  <w:r>
                    <w:rPr>
                      <w:rFonts w:ascii="Times New Roman" w:hAnsi="Times New Roman" w:eastAsia="Times New Roman" w:cs="Times New Roman"/>
                      <w:spacing w:val="-1"/>
                      <w:sz w:val="21"/>
                      <w:szCs w:val="21"/>
                    </w:rPr>
                    <w:t>/</w:t>
                  </w:r>
                  <w:r>
                    <w:rPr>
                      <w:spacing w:val="-1"/>
                      <w:sz w:val="21"/>
                      <w:szCs w:val="21"/>
                    </w:rPr>
                    <w:t>土方开挖</w:t>
                  </w:r>
                  <w:r>
                    <w:rPr>
                      <w:rFonts w:ascii="Times New Roman" w:hAnsi="Times New Roman" w:eastAsia="Times New Roman" w:cs="Times New Roman"/>
                      <w:spacing w:val="-1"/>
                      <w:sz w:val="21"/>
                      <w:szCs w:val="21"/>
                    </w:rPr>
                    <w:t>/</w:t>
                  </w:r>
                  <w:r>
                    <w:rPr>
                      <w:spacing w:val="-1"/>
                      <w:sz w:val="21"/>
                      <w:szCs w:val="21"/>
                    </w:rPr>
                    <w:t>土方回填阶段</w:t>
                  </w:r>
                </w:p>
              </w:tc>
              <w:tc>
                <w:tcPr>
                  <w:tcW w:w="2118" w:type="dxa"/>
                  <w:vAlign w:val="top"/>
                </w:tcPr>
                <w:p>
                  <w:pPr>
                    <w:spacing w:before="103" w:line="187" w:lineRule="auto"/>
                    <w:ind w:left="9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34" w:type="dxa"/>
                  <w:vMerge w:val="continue"/>
                  <w:tcBorders>
                    <w:top w:val="nil"/>
                  </w:tcBorders>
                  <w:vAlign w:val="top"/>
                </w:tcPr>
                <w:p>
                  <w:pPr>
                    <w:rPr>
                      <w:rFonts w:ascii="Arial"/>
                      <w:sz w:val="21"/>
                    </w:rPr>
                  </w:pPr>
                </w:p>
              </w:tc>
              <w:tc>
                <w:tcPr>
                  <w:tcW w:w="1373" w:type="dxa"/>
                  <w:vMerge w:val="continue"/>
                  <w:tcBorders>
                    <w:top w:val="nil"/>
                  </w:tcBorders>
                  <w:vAlign w:val="top"/>
                </w:tcPr>
                <w:p>
                  <w:pPr>
                    <w:rPr>
                      <w:rFonts w:ascii="Arial"/>
                      <w:sz w:val="21"/>
                    </w:rPr>
                  </w:pPr>
                </w:p>
              </w:tc>
              <w:tc>
                <w:tcPr>
                  <w:tcW w:w="3685" w:type="dxa"/>
                  <w:vAlign w:val="top"/>
                </w:tcPr>
                <w:p>
                  <w:pPr>
                    <w:pStyle w:val="6"/>
                    <w:spacing w:before="70" w:line="221" w:lineRule="auto"/>
                    <w:ind w:left="1220"/>
                    <w:rPr>
                      <w:sz w:val="21"/>
                      <w:szCs w:val="21"/>
                    </w:rPr>
                  </w:pPr>
                  <w:r>
                    <w:rPr>
                      <w:spacing w:val="-1"/>
                      <w:sz w:val="21"/>
                      <w:szCs w:val="21"/>
                    </w:rPr>
                    <w:t>其他工程阶段</w:t>
                  </w:r>
                </w:p>
              </w:tc>
              <w:tc>
                <w:tcPr>
                  <w:tcW w:w="2118" w:type="dxa"/>
                  <w:vAlign w:val="top"/>
                </w:tcPr>
                <w:p>
                  <w:pPr>
                    <w:spacing w:before="108" w:line="187" w:lineRule="auto"/>
                    <w:ind w:left="8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0.25</w:t>
                  </w:r>
                </w:p>
              </w:tc>
            </w:tr>
          </w:tbl>
          <w:p>
            <w:pPr>
              <w:pStyle w:val="6"/>
              <w:spacing w:before="178" w:line="369" w:lineRule="auto"/>
              <w:ind w:left="572" w:right="104" w:firstLine="481"/>
              <w:rPr>
                <w:sz w:val="24"/>
                <w:szCs w:val="24"/>
              </w:rPr>
            </w:pPr>
            <w:r>
              <w:rPr>
                <w:spacing w:val="-5"/>
                <w:sz w:val="24"/>
                <w:szCs w:val="24"/>
              </w:rPr>
              <w:t>另外， 钻探设备中的柴油机应尽量采用符合《非道路移动机械用柴油机</w:t>
            </w:r>
            <w:r>
              <w:rPr>
                <w:spacing w:val="-6"/>
                <w:sz w:val="24"/>
                <w:szCs w:val="24"/>
              </w:rPr>
              <w:t>排气污</w:t>
            </w:r>
            <w:r>
              <w:rPr>
                <w:sz w:val="24"/>
                <w:szCs w:val="24"/>
              </w:rPr>
              <w:t xml:space="preserve"> </w:t>
            </w:r>
            <w:r>
              <w:rPr>
                <w:spacing w:val="-1"/>
                <w:sz w:val="24"/>
                <w:szCs w:val="24"/>
              </w:rPr>
              <w:t>染物排放限值及测量方法（中国第三、四阶段）》（</w:t>
            </w:r>
            <w:r>
              <w:rPr>
                <w:rFonts w:ascii="Times New Roman" w:hAnsi="Times New Roman" w:eastAsia="Times New Roman" w:cs="Times New Roman"/>
                <w:spacing w:val="-1"/>
                <w:sz w:val="24"/>
                <w:szCs w:val="24"/>
              </w:rPr>
              <w:t>GB20891-2014</w:t>
            </w:r>
            <w:r>
              <w:rPr>
                <w:spacing w:val="-1"/>
                <w:sz w:val="24"/>
                <w:szCs w:val="24"/>
              </w:rPr>
              <w:t>）及其</w:t>
            </w:r>
            <w:r>
              <w:rPr>
                <w:spacing w:val="-22"/>
                <w:sz w:val="24"/>
                <w:szCs w:val="24"/>
              </w:rPr>
              <w:t xml:space="preserve"> </w:t>
            </w:r>
            <w:r>
              <w:rPr>
                <w:rFonts w:ascii="Times New Roman" w:hAnsi="Times New Roman" w:eastAsia="Times New Roman" w:cs="Times New Roman"/>
                <w:spacing w:val="-1"/>
                <w:sz w:val="24"/>
                <w:szCs w:val="24"/>
              </w:rPr>
              <w:t>2020</w:t>
            </w:r>
            <w:r>
              <w:rPr>
                <w:rFonts w:ascii="Times New Roman" w:hAnsi="Times New Roman" w:eastAsia="Times New Roman" w:cs="Times New Roman"/>
                <w:spacing w:val="30"/>
                <w:sz w:val="24"/>
                <w:szCs w:val="24"/>
              </w:rPr>
              <w:t xml:space="preserve"> </w:t>
            </w:r>
            <w:r>
              <w:rPr>
                <w:spacing w:val="-1"/>
                <w:sz w:val="24"/>
                <w:szCs w:val="24"/>
              </w:rPr>
              <w:t>年</w:t>
            </w:r>
          </w:p>
          <w:p>
            <w:pPr>
              <w:pStyle w:val="6"/>
              <w:spacing w:before="1" w:line="219" w:lineRule="auto"/>
              <w:ind w:left="568"/>
              <w:rPr>
                <w:sz w:val="24"/>
                <w:szCs w:val="24"/>
              </w:rPr>
            </w:pPr>
            <w:r>
              <w:rPr>
                <w:spacing w:val="-5"/>
                <w:sz w:val="24"/>
                <w:szCs w:val="24"/>
              </w:rPr>
              <w:t>修改单中的设备。</w:t>
            </w:r>
          </w:p>
          <w:p>
            <w:pPr>
              <w:pStyle w:val="6"/>
              <w:spacing w:before="196" w:line="369" w:lineRule="auto"/>
              <w:ind w:left="568" w:right="118" w:firstLine="479"/>
              <w:rPr>
                <w:sz w:val="24"/>
                <w:szCs w:val="24"/>
              </w:rPr>
            </w:pPr>
            <w:r>
              <w:rPr>
                <w:spacing w:val="6"/>
                <w:sz w:val="24"/>
                <w:szCs w:val="24"/>
              </w:rPr>
              <w:t>钻井施工过程中参照执行《陆上石油天然气开采工业</w:t>
            </w:r>
            <w:r>
              <w:rPr>
                <w:spacing w:val="5"/>
                <w:sz w:val="24"/>
                <w:szCs w:val="24"/>
              </w:rPr>
              <w:t>大气污染物排放标准》</w:t>
            </w:r>
            <w:r>
              <w:rPr>
                <w:sz w:val="24"/>
                <w:szCs w:val="24"/>
              </w:rPr>
              <w:t xml:space="preserve"> </w:t>
            </w:r>
            <w:r>
              <w:rPr>
                <w:rFonts w:ascii="Times New Roman" w:hAnsi="Times New Roman" w:eastAsia="Times New Roman" w:cs="Times New Roman"/>
                <w:sz w:val="24"/>
                <w:szCs w:val="24"/>
              </w:rPr>
              <w:t>(GB39728</w:t>
            </w:r>
            <w:r>
              <w:rPr>
                <w:sz w:val="24"/>
                <w:szCs w:val="24"/>
              </w:rPr>
              <w:t>—</w:t>
            </w:r>
            <w:r>
              <w:rPr>
                <w:rFonts w:ascii="Times New Roman" w:hAnsi="Times New Roman" w:eastAsia="Times New Roman" w:cs="Times New Roman"/>
                <w:sz w:val="24"/>
                <w:szCs w:val="24"/>
              </w:rPr>
              <w:t>2020)</w:t>
            </w:r>
            <w:r>
              <w:rPr>
                <w:sz w:val="24"/>
                <w:szCs w:val="24"/>
              </w:rPr>
              <w:t>、《挥发性有机物无组织排放控制标准》（</w:t>
            </w:r>
            <w:r>
              <w:rPr>
                <w:rFonts w:ascii="Times New Roman" w:hAnsi="Times New Roman" w:eastAsia="Times New Roman" w:cs="Times New Roman"/>
                <w:sz w:val="24"/>
                <w:szCs w:val="24"/>
              </w:rPr>
              <w:t>GB37822-2019</w:t>
            </w:r>
            <w:r>
              <w:rPr>
                <w:sz w:val="24"/>
                <w:szCs w:val="24"/>
              </w:rPr>
              <w:t>）中相</w:t>
            </w:r>
          </w:p>
          <w:p>
            <w:pPr>
              <w:pStyle w:val="6"/>
              <w:spacing w:line="220" w:lineRule="auto"/>
              <w:ind w:left="572"/>
              <w:rPr>
                <w:sz w:val="24"/>
                <w:szCs w:val="24"/>
              </w:rPr>
            </w:pPr>
            <w:r>
              <w:rPr>
                <w:spacing w:val="-10"/>
                <w:sz w:val="24"/>
                <w:szCs w:val="24"/>
              </w:rPr>
              <w:t>关要求。</w:t>
            </w:r>
          </w:p>
          <w:p>
            <w:pPr>
              <w:pStyle w:val="6"/>
              <w:spacing w:before="227" w:line="220" w:lineRule="auto"/>
              <w:ind w:left="562"/>
              <w:rPr>
                <w:sz w:val="24"/>
                <w:szCs w:val="24"/>
              </w:rPr>
            </w:pPr>
            <w:r>
              <w:rPr>
                <w:rFonts w:ascii="Times New Roman" w:hAnsi="Times New Roman" w:eastAsia="Times New Roman" w:cs="Times New Roman"/>
                <w:b/>
                <w:bCs/>
                <w:sz w:val="24"/>
                <w:szCs w:val="24"/>
              </w:rPr>
              <w:t xml:space="preserve">3.6.2 </w:t>
            </w:r>
            <w:r>
              <w:rPr>
                <w:sz w:val="24"/>
                <w:szCs w:val="24"/>
                <w14:textOutline w14:w="4354" w14:cap="flat" w14:cmpd="sng">
                  <w14:solidFill>
                    <w14:srgbClr w14:val="000000"/>
                  </w14:solidFill>
                  <w14:prstDash w14:val="solid"/>
                  <w14:miter w14:val="10"/>
                </w14:textOutline>
              </w:rPr>
              <w:t>废水</w:t>
            </w:r>
          </w:p>
        </w:tc>
      </w:tr>
    </w:tbl>
    <w:p>
      <w:pPr>
        <w:pStyle w:val="2"/>
        <w:rPr>
          <w:sz w:val="21"/>
        </w:rPr>
      </w:pPr>
    </w:p>
    <w:p>
      <w:pPr>
        <w:rPr>
          <w:sz w:val="21"/>
          <w:szCs w:val="21"/>
        </w:rPr>
        <w:sectPr>
          <w:footerReference r:id="rId89" w:type="default"/>
          <w:pgSz w:w="11907" w:h="16839"/>
          <w:pgMar w:top="400" w:right="1298" w:bottom="1180" w:left="1300" w:header="0" w:footer="920" w:gutter="0"/>
          <w:cols w:space="720" w:num="1"/>
        </w:sectPr>
      </w:pPr>
    </w:p>
    <w:p>
      <w:pPr>
        <w:spacing w:before="13"/>
      </w:pPr>
    </w:p>
    <w:p>
      <w:pPr>
        <w:spacing w:before="13"/>
      </w:pPr>
    </w:p>
    <w:p>
      <w:pPr>
        <w:spacing w:before="13"/>
      </w:pPr>
    </w:p>
    <w:p>
      <w:pPr>
        <w:spacing w:before="13"/>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729"/>
        <w:gridCol w:w="2247"/>
        <w:gridCol w:w="2864"/>
        <w:gridCol w:w="2864"/>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6"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8826" w:type="dxa"/>
            <w:gridSpan w:val="5"/>
            <w:tcBorders>
              <w:top w:val="single" w:color="000000" w:sz="6" w:space="0"/>
              <w:right w:val="single" w:color="000000" w:sz="6" w:space="0"/>
            </w:tcBorders>
            <w:vAlign w:val="top"/>
          </w:tcPr>
          <w:p>
            <w:pPr>
              <w:pStyle w:val="6"/>
              <w:spacing w:before="183" w:line="369" w:lineRule="auto"/>
              <w:ind w:left="108" w:right="101" w:firstLine="479"/>
              <w:jc w:val="both"/>
              <w:rPr>
                <w:sz w:val="24"/>
                <w:szCs w:val="24"/>
              </w:rPr>
            </w:pPr>
            <w:r>
              <w:rPr>
                <w:spacing w:val="-6"/>
                <w:sz w:val="24"/>
                <w:szCs w:val="24"/>
              </w:rPr>
              <w:t>钻前生活污水依托周边居民现有旱厕收集后用作</w:t>
            </w:r>
            <w:r>
              <w:rPr>
                <w:spacing w:val="-7"/>
                <w:sz w:val="24"/>
                <w:szCs w:val="24"/>
              </w:rPr>
              <w:t>农肥；</w:t>
            </w:r>
            <w:r>
              <w:rPr>
                <w:spacing w:val="39"/>
                <w:sz w:val="24"/>
                <w:szCs w:val="24"/>
              </w:rPr>
              <w:t xml:space="preserve"> </w:t>
            </w:r>
            <w:r>
              <w:rPr>
                <w:spacing w:val="-7"/>
                <w:sz w:val="24"/>
                <w:szCs w:val="24"/>
              </w:rPr>
              <w:t>钻井期生活污水经</w:t>
            </w:r>
            <w:r>
              <w:rPr>
                <w:spacing w:val="-31"/>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座</w:t>
            </w:r>
            <w:r>
              <w:rPr>
                <w:sz w:val="24"/>
                <w:szCs w:val="24"/>
              </w:rPr>
              <w:t xml:space="preserve"> </w:t>
            </w:r>
            <w:r>
              <w:rPr>
                <w:spacing w:val="-1"/>
                <w:sz w:val="24"/>
                <w:szCs w:val="24"/>
              </w:rPr>
              <w:t>环保厕所收集处理后经罐车拉运至江陵镇污水处理厂处理达标后外排。钻井施工阶</w:t>
            </w:r>
            <w:r>
              <w:rPr>
                <w:sz w:val="24"/>
                <w:szCs w:val="24"/>
              </w:rPr>
              <w:t xml:space="preserve"> </w:t>
            </w:r>
            <w:r>
              <w:rPr>
                <w:spacing w:val="-5"/>
                <w:sz w:val="24"/>
                <w:szCs w:val="24"/>
              </w:rPr>
              <w:t>段废水除现场清洁化生产处理回用外，</w:t>
            </w:r>
            <w:r>
              <w:rPr>
                <w:spacing w:val="37"/>
                <w:sz w:val="24"/>
                <w:szCs w:val="24"/>
              </w:rPr>
              <w:t xml:space="preserve"> </w:t>
            </w:r>
            <w:r>
              <w:rPr>
                <w:spacing w:val="-5"/>
                <w:sz w:val="24"/>
                <w:szCs w:val="24"/>
              </w:rPr>
              <w:t>全部由钻井</w:t>
            </w:r>
            <w:r>
              <w:rPr>
                <w:spacing w:val="-6"/>
                <w:sz w:val="24"/>
                <w:szCs w:val="24"/>
              </w:rPr>
              <w:t>废水专用罐车外运至四川瑞利生</w:t>
            </w:r>
            <w:r>
              <w:rPr>
                <w:sz w:val="24"/>
                <w:szCs w:val="24"/>
              </w:rPr>
              <w:t xml:space="preserve"> </w:t>
            </w:r>
            <w:r>
              <w:rPr>
                <w:spacing w:val="6"/>
                <w:sz w:val="24"/>
                <w:szCs w:val="24"/>
              </w:rPr>
              <w:t>物科技有限公司或其他有资质的单位处置达标后排放，</w:t>
            </w:r>
            <w:r>
              <w:rPr>
                <w:spacing w:val="5"/>
                <w:sz w:val="24"/>
                <w:szCs w:val="24"/>
              </w:rPr>
              <w:t>拟建项目所在地无废水外</w:t>
            </w:r>
          </w:p>
          <w:p>
            <w:pPr>
              <w:pStyle w:val="6"/>
              <w:spacing w:line="218" w:lineRule="auto"/>
              <w:ind w:left="108"/>
              <w:rPr>
                <w:sz w:val="24"/>
                <w:szCs w:val="24"/>
              </w:rPr>
            </w:pPr>
            <w:r>
              <w:rPr>
                <w:spacing w:val="-2"/>
                <w:sz w:val="24"/>
                <w:szCs w:val="24"/>
              </w:rPr>
              <w:t>排，本评价重点对废水外委依托可行性开展分析评价。</w:t>
            </w:r>
          </w:p>
          <w:p>
            <w:pPr>
              <w:pStyle w:val="6"/>
              <w:spacing w:before="230" w:line="220" w:lineRule="auto"/>
              <w:ind w:left="102"/>
              <w:rPr>
                <w:sz w:val="24"/>
                <w:szCs w:val="24"/>
              </w:rPr>
            </w:pPr>
            <w:r>
              <w:rPr>
                <w:rFonts w:ascii="Times New Roman" w:hAnsi="Times New Roman" w:eastAsia="Times New Roman" w:cs="Times New Roman"/>
                <w:b/>
                <w:bCs/>
                <w:spacing w:val="-2"/>
                <w:sz w:val="24"/>
                <w:szCs w:val="24"/>
              </w:rPr>
              <w:t>3.6.3</w:t>
            </w:r>
            <w:r>
              <w:rPr>
                <w:rFonts w:ascii="Times New Roman" w:hAnsi="Times New Roman" w:eastAsia="Times New Roman" w:cs="Times New Roman"/>
                <w:b/>
                <w:bCs/>
                <w:spacing w:val="20"/>
                <w:w w:val="101"/>
                <w:sz w:val="24"/>
                <w:szCs w:val="24"/>
              </w:rPr>
              <w:t xml:space="preserve"> </w:t>
            </w:r>
            <w:r>
              <w:rPr>
                <w:spacing w:val="-2"/>
                <w:sz w:val="24"/>
                <w:szCs w:val="24"/>
                <w14:textOutline w14:w="4354" w14:cap="flat" w14:cmpd="sng">
                  <w14:solidFill>
                    <w14:srgbClr w14:val="000000"/>
                  </w14:solidFill>
                  <w14:prstDash w14:val="solid"/>
                  <w14:miter w14:val="10"/>
                </w14:textOutline>
              </w:rPr>
              <w:t>噪声</w:t>
            </w:r>
          </w:p>
          <w:p>
            <w:pPr>
              <w:pStyle w:val="6"/>
              <w:spacing w:before="200" w:line="480" w:lineRule="exact"/>
              <w:ind w:left="587"/>
              <w:rPr>
                <w:sz w:val="24"/>
                <w:szCs w:val="24"/>
              </w:rPr>
            </w:pPr>
            <w:r>
              <w:rPr>
                <w:spacing w:val="-2"/>
                <w:position w:val="18"/>
                <w:sz w:val="24"/>
                <w:szCs w:val="24"/>
              </w:rPr>
              <w:t>施工噪声执行《建筑施工场界环境噪声排放标准》（</w:t>
            </w:r>
            <w:r>
              <w:rPr>
                <w:rFonts w:ascii="Times New Roman" w:hAnsi="Times New Roman" w:eastAsia="Times New Roman" w:cs="Times New Roman"/>
                <w:spacing w:val="-2"/>
                <w:position w:val="18"/>
                <w:sz w:val="24"/>
                <w:szCs w:val="24"/>
              </w:rPr>
              <w:t>GB1</w:t>
            </w:r>
            <w:r>
              <w:rPr>
                <w:rFonts w:ascii="Times New Roman" w:hAnsi="Times New Roman" w:eastAsia="Times New Roman" w:cs="Times New Roman"/>
                <w:spacing w:val="-3"/>
                <w:position w:val="18"/>
                <w:sz w:val="24"/>
                <w:szCs w:val="24"/>
              </w:rPr>
              <w:t>2523-2011</w:t>
            </w:r>
            <w:r>
              <w:rPr>
                <w:spacing w:val="-3"/>
                <w:position w:val="18"/>
                <w:sz w:val="24"/>
                <w:szCs w:val="24"/>
              </w:rPr>
              <w:t>）施工阶段</w:t>
            </w:r>
          </w:p>
          <w:p>
            <w:pPr>
              <w:pStyle w:val="6"/>
              <w:spacing w:line="219" w:lineRule="auto"/>
              <w:ind w:left="109"/>
              <w:rPr>
                <w:sz w:val="24"/>
                <w:szCs w:val="24"/>
              </w:rPr>
            </w:pPr>
            <w:r>
              <w:rPr>
                <w:spacing w:val="-4"/>
                <w:sz w:val="24"/>
                <w:szCs w:val="24"/>
              </w:rPr>
              <w:t>标准。标准值详见下表。</w:t>
            </w:r>
          </w:p>
          <w:p>
            <w:pPr>
              <w:pStyle w:val="6"/>
              <w:spacing w:before="196" w:line="220" w:lineRule="auto"/>
              <w:ind w:left="2205"/>
              <w:rPr>
                <w:sz w:val="24"/>
                <w:szCs w:val="24"/>
              </w:rPr>
            </w:pPr>
            <w:r>
              <w:rPr>
                <w:sz w:val="24"/>
                <w:szCs w:val="24"/>
                <w14:textOutline w14:w="4354" w14:cap="flat" w14:cmpd="sng">
                  <w14:solidFill>
                    <w14:srgbClr w14:val="000000"/>
                  </w14:solidFill>
                  <w14:prstDash w14:val="solid"/>
                  <w14:miter w14:val="10"/>
                </w14:textOutline>
              </w:rPr>
              <w:t>表</w:t>
            </w:r>
            <w:r>
              <w:rPr>
                <w:spacing w:val="-53"/>
                <w:sz w:val="24"/>
                <w:szCs w:val="24"/>
              </w:rPr>
              <w:t xml:space="preserve"> </w:t>
            </w:r>
            <w:r>
              <w:rPr>
                <w:rFonts w:ascii="Times New Roman" w:hAnsi="Times New Roman" w:eastAsia="Times New Roman" w:cs="Times New Roman"/>
                <w:b/>
                <w:bCs/>
                <w:sz w:val="24"/>
                <w:szCs w:val="24"/>
              </w:rPr>
              <w:t xml:space="preserve">3.6-3    </w:t>
            </w:r>
            <w:r>
              <w:rPr>
                <w:sz w:val="24"/>
                <w:szCs w:val="24"/>
                <w14:textOutline w14:w="4354" w14:cap="flat" w14:cmpd="sng">
                  <w14:solidFill>
                    <w14:srgbClr w14:val="000000"/>
                  </w14:solidFill>
                  <w14:prstDash w14:val="solid"/>
                  <w14:miter w14:val="10"/>
                </w14:textOutline>
              </w:rPr>
              <w:t>建筑施工场界环境噪声排放标准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5" w:type="dxa"/>
            <w:vMerge w:val="continue"/>
            <w:tcBorders>
              <w:top w:val="nil"/>
              <w:left w:val="single" w:color="000000" w:sz="6" w:space="0"/>
              <w:bottom w:val="nil"/>
            </w:tcBorders>
            <w:vAlign w:val="top"/>
          </w:tcPr>
          <w:p>
            <w:pPr>
              <w:rPr>
                <w:rFonts w:ascii="Arial"/>
                <w:sz w:val="21"/>
              </w:rPr>
            </w:pPr>
          </w:p>
        </w:tc>
        <w:tc>
          <w:tcPr>
            <w:tcW w:w="729" w:type="dxa"/>
            <w:tcBorders>
              <w:right w:val="nil"/>
            </w:tcBorders>
            <w:vAlign w:val="top"/>
          </w:tcPr>
          <w:p>
            <w:pPr>
              <w:rPr>
                <w:rFonts w:ascii="Arial"/>
                <w:sz w:val="21"/>
              </w:rPr>
            </w:pPr>
            <w:r>
              <w:pict>
                <v:rect id="_x0000_s1288" o:spid="_x0000_s1288" o:spt="1" style="position:absolute;left:0pt;margin-left:5.1pt;margin-top:0.45pt;height:17.05pt;width:0.5pt;mso-position-horizontal-relative:page;mso-position-vertical-relative:page;z-index:251836416;mso-width-relative:page;mso-height-relative:page;" fillcolor="#000000" filled="t" stroked="f" coordsize="21600,21600">
                  <v:path/>
                  <v:fill on="t" focussize="0,0"/>
                  <v:stroke on="f"/>
                  <v:imagedata o:title=""/>
                  <o:lock v:ext="edit"/>
                </v:rect>
              </w:pict>
            </w:r>
          </w:p>
        </w:tc>
        <w:tc>
          <w:tcPr>
            <w:tcW w:w="2247" w:type="dxa"/>
            <w:tcBorders>
              <w:left w:val="nil"/>
            </w:tcBorders>
            <w:vAlign w:val="top"/>
          </w:tcPr>
          <w:p>
            <w:pPr>
              <w:pStyle w:val="6"/>
              <w:spacing w:before="67" w:line="222" w:lineRule="auto"/>
              <w:ind w:left="608"/>
              <w:rPr>
                <w:sz w:val="21"/>
                <w:szCs w:val="21"/>
              </w:rPr>
            </w:pPr>
            <w:r>
              <w:rPr>
                <w:spacing w:val="-2"/>
                <w:sz w:val="21"/>
                <w:szCs w:val="21"/>
              </w:rPr>
              <w:t>序号</w:t>
            </w:r>
          </w:p>
        </w:tc>
        <w:tc>
          <w:tcPr>
            <w:tcW w:w="2864" w:type="dxa"/>
            <w:vAlign w:val="top"/>
          </w:tcPr>
          <w:p>
            <w:pPr>
              <w:pStyle w:val="6"/>
              <w:spacing w:before="67" w:line="214" w:lineRule="auto"/>
              <w:ind w:left="747"/>
              <w:rPr>
                <w:sz w:val="21"/>
                <w:szCs w:val="21"/>
              </w:rPr>
            </w:pPr>
            <w:r>
              <w:rPr>
                <w:spacing w:val="-1"/>
                <w:sz w:val="21"/>
                <w:szCs w:val="21"/>
              </w:rPr>
              <w:t>昼间（</w:t>
            </w:r>
            <w:r>
              <w:rPr>
                <w:rFonts w:ascii="Times New Roman" w:hAnsi="Times New Roman" w:eastAsia="Times New Roman" w:cs="Times New Roman"/>
                <w:spacing w:val="-1"/>
                <w:sz w:val="21"/>
                <w:szCs w:val="21"/>
              </w:rPr>
              <w:t>dB(A)</w:t>
            </w:r>
            <w:r>
              <w:rPr>
                <w:spacing w:val="-1"/>
                <w:sz w:val="21"/>
                <w:szCs w:val="21"/>
              </w:rPr>
              <w:t>）</w:t>
            </w:r>
          </w:p>
        </w:tc>
        <w:tc>
          <w:tcPr>
            <w:tcW w:w="2864" w:type="dxa"/>
            <w:tcBorders>
              <w:right w:val="single" w:color="000000" w:sz="8" w:space="0"/>
            </w:tcBorders>
            <w:vAlign w:val="top"/>
          </w:tcPr>
          <w:p>
            <w:pPr>
              <w:pStyle w:val="6"/>
              <w:spacing w:before="67" w:line="214" w:lineRule="auto"/>
              <w:ind w:left="756"/>
              <w:rPr>
                <w:sz w:val="21"/>
                <w:szCs w:val="21"/>
              </w:rPr>
            </w:pPr>
            <w:r>
              <w:rPr>
                <w:spacing w:val="-2"/>
                <w:sz w:val="21"/>
                <w:szCs w:val="21"/>
              </w:rPr>
              <w:t>夜间（</w:t>
            </w:r>
            <w:r>
              <w:rPr>
                <w:rFonts w:ascii="Times New Roman" w:hAnsi="Times New Roman" w:eastAsia="Times New Roman" w:cs="Times New Roman"/>
                <w:spacing w:val="-2"/>
                <w:sz w:val="21"/>
                <w:szCs w:val="21"/>
              </w:rPr>
              <w:t>dB(A)</w:t>
            </w:r>
            <w:r>
              <w:rPr>
                <w:spacing w:val="-2"/>
                <w:sz w:val="21"/>
                <w:szCs w:val="21"/>
              </w:rPr>
              <w:t>）</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5" w:type="dxa"/>
            <w:vMerge w:val="continue"/>
            <w:tcBorders>
              <w:top w:val="nil"/>
              <w:left w:val="single" w:color="000000" w:sz="6" w:space="0"/>
              <w:bottom w:val="nil"/>
            </w:tcBorders>
            <w:vAlign w:val="top"/>
          </w:tcPr>
          <w:p>
            <w:pPr>
              <w:rPr>
                <w:rFonts w:ascii="Arial"/>
                <w:sz w:val="21"/>
              </w:rPr>
            </w:pPr>
          </w:p>
        </w:tc>
        <w:tc>
          <w:tcPr>
            <w:tcW w:w="729" w:type="dxa"/>
            <w:tcBorders>
              <w:right w:val="nil"/>
            </w:tcBorders>
            <w:vAlign w:val="top"/>
          </w:tcPr>
          <w:p>
            <w:pPr>
              <w:rPr>
                <w:rFonts w:ascii="Arial"/>
                <w:sz w:val="21"/>
              </w:rPr>
            </w:pPr>
            <w:r>
              <w:pict>
                <v:rect id="_x0000_s1289" o:spid="_x0000_s1289" o:spt="1" style="position:absolute;left:0pt;margin-left:5.1pt;margin-top:0.5pt;height:17.05pt;width:0.5pt;mso-position-horizontal-relative:page;mso-position-vertical-relative:page;z-index:251835392;mso-width-relative:page;mso-height-relative:page;" fillcolor="#000000" filled="t" stroked="f" coordsize="21600,21600">
                  <v:path/>
                  <v:fill on="t" focussize="0,0"/>
                  <v:stroke on="f"/>
                  <v:imagedata o:title=""/>
                  <o:lock v:ext="edit"/>
                </v:rect>
              </w:pict>
            </w:r>
          </w:p>
        </w:tc>
        <w:tc>
          <w:tcPr>
            <w:tcW w:w="2247" w:type="dxa"/>
            <w:tcBorders>
              <w:left w:val="nil"/>
            </w:tcBorders>
            <w:vAlign w:val="top"/>
          </w:tcPr>
          <w:p>
            <w:pPr>
              <w:spacing w:before="107" w:line="187" w:lineRule="auto"/>
              <w:ind w:left="7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864" w:type="dxa"/>
            <w:vAlign w:val="top"/>
          </w:tcPr>
          <w:p>
            <w:pPr>
              <w:spacing w:before="106" w:line="187" w:lineRule="auto"/>
              <w:ind w:left="1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2864" w:type="dxa"/>
            <w:tcBorders>
              <w:right w:val="single" w:color="000000" w:sz="8" w:space="0"/>
            </w:tcBorders>
            <w:vAlign w:val="top"/>
          </w:tcPr>
          <w:p>
            <w:pPr>
              <w:spacing w:before="109" w:line="184" w:lineRule="auto"/>
              <w:ind w:left="13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6" w:hRule="atLeast"/>
        </w:trPr>
        <w:tc>
          <w:tcPr>
            <w:tcW w:w="465" w:type="dxa"/>
            <w:vMerge w:val="continue"/>
            <w:tcBorders>
              <w:top w:val="nil"/>
              <w:left w:val="single" w:color="000000" w:sz="6" w:space="0"/>
            </w:tcBorders>
            <w:vAlign w:val="top"/>
          </w:tcPr>
          <w:p>
            <w:pPr>
              <w:rPr>
                <w:rFonts w:ascii="Arial"/>
                <w:sz w:val="21"/>
              </w:rPr>
            </w:pPr>
          </w:p>
        </w:tc>
        <w:tc>
          <w:tcPr>
            <w:tcW w:w="8826" w:type="dxa"/>
            <w:gridSpan w:val="5"/>
            <w:tcBorders>
              <w:right w:val="single" w:color="000000" w:sz="6" w:space="0"/>
            </w:tcBorders>
            <w:vAlign w:val="top"/>
          </w:tcPr>
          <w:p>
            <w:pPr>
              <w:pStyle w:val="6"/>
              <w:spacing w:before="214" w:line="220" w:lineRule="auto"/>
              <w:ind w:left="102"/>
              <w:rPr>
                <w:sz w:val="24"/>
                <w:szCs w:val="24"/>
              </w:rPr>
            </w:pPr>
            <w:r>
              <w:rPr>
                <w:rFonts w:ascii="Times New Roman" w:hAnsi="Times New Roman" w:eastAsia="Times New Roman" w:cs="Times New Roman"/>
                <w:b/>
                <w:bCs/>
                <w:spacing w:val="-4"/>
                <w:sz w:val="24"/>
                <w:szCs w:val="24"/>
              </w:rPr>
              <w:t>3.6.4</w:t>
            </w:r>
            <w:r>
              <w:rPr>
                <w:rFonts w:ascii="Times New Roman" w:hAnsi="Times New Roman" w:eastAsia="Times New Roman" w:cs="Times New Roman"/>
                <w:b/>
                <w:bCs/>
                <w:spacing w:val="35"/>
                <w:sz w:val="24"/>
                <w:szCs w:val="24"/>
              </w:rPr>
              <w:t xml:space="preserve"> </w:t>
            </w:r>
            <w:r>
              <w:rPr>
                <w:spacing w:val="-4"/>
                <w:sz w:val="24"/>
                <w:szCs w:val="24"/>
                <w14:textOutline w14:w="4354" w14:cap="flat" w14:cmpd="sng">
                  <w14:solidFill>
                    <w14:srgbClr w14:val="000000"/>
                  </w14:solidFill>
                  <w14:prstDash w14:val="solid"/>
                  <w14:miter w14:val="10"/>
                </w14:textOutline>
              </w:rPr>
              <w:t>固体废物</w:t>
            </w:r>
          </w:p>
          <w:p>
            <w:pPr>
              <w:pStyle w:val="6"/>
              <w:spacing w:before="200" w:line="480" w:lineRule="exact"/>
              <w:ind w:left="589"/>
              <w:rPr>
                <w:sz w:val="24"/>
                <w:szCs w:val="24"/>
              </w:rPr>
            </w:pPr>
            <w:r>
              <w:rPr>
                <w:spacing w:val="-1"/>
                <w:position w:val="18"/>
                <w:sz w:val="24"/>
                <w:szCs w:val="24"/>
              </w:rPr>
              <w:t>本项目产生的固体废物主要为钻井工程的废弃钻井泥</w:t>
            </w:r>
            <w:r>
              <w:rPr>
                <w:spacing w:val="-2"/>
                <w:position w:val="18"/>
                <w:sz w:val="24"/>
                <w:szCs w:val="24"/>
              </w:rPr>
              <w:t>浆及岩屑、沉淀罐污泥、</w:t>
            </w:r>
          </w:p>
          <w:p>
            <w:pPr>
              <w:pStyle w:val="6"/>
              <w:spacing w:before="1" w:line="218" w:lineRule="auto"/>
              <w:ind w:left="107"/>
              <w:rPr>
                <w:sz w:val="24"/>
                <w:szCs w:val="24"/>
              </w:rPr>
            </w:pPr>
            <w:r>
              <w:rPr>
                <w:spacing w:val="-1"/>
                <w:sz w:val="24"/>
                <w:szCs w:val="24"/>
              </w:rPr>
              <w:t>废油、废弃的含油抹布及劳保用品、废弃设备零件、废包装</w:t>
            </w:r>
            <w:r>
              <w:rPr>
                <w:spacing w:val="-2"/>
                <w:sz w:val="24"/>
                <w:szCs w:val="24"/>
              </w:rPr>
              <w:t>材料及生活垃圾等。</w:t>
            </w:r>
          </w:p>
          <w:p>
            <w:pPr>
              <w:pStyle w:val="6"/>
              <w:spacing w:before="197" w:line="369" w:lineRule="auto"/>
              <w:ind w:left="110" w:right="37" w:firstLine="478"/>
              <w:rPr>
                <w:sz w:val="24"/>
                <w:szCs w:val="24"/>
              </w:rPr>
            </w:pPr>
            <w:r>
              <w:rPr>
                <w:spacing w:val="-6"/>
                <w:sz w:val="24"/>
                <w:szCs w:val="24"/>
              </w:rPr>
              <w:t>本项目产生的废弃水基钻井泥浆及岩屑不含有毒有害重金属等物质，</w:t>
            </w:r>
            <w:r>
              <w:rPr>
                <w:spacing w:val="47"/>
                <w:sz w:val="24"/>
                <w:szCs w:val="24"/>
              </w:rPr>
              <w:t xml:space="preserve"> </w:t>
            </w:r>
            <w:r>
              <w:rPr>
                <w:spacing w:val="-6"/>
                <w:sz w:val="24"/>
                <w:szCs w:val="24"/>
              </w:rPr>
              <w:t>主要成分</w:t>
            </w:r>
            <w:r>
              <w:rPr>
                <w:sz w:val="24"/>
                <w:szCs w:val="24"/>
              </w:rPr>
              <w:t xml:space="preserve"> </w:t>
            </w:r>
            <w:r>
              <w:rPr>
                <w:spacing w:val="-6"/>
                <w:sz w:val="24"/>
                <w:szCs w:val="24"/>
              </w:rPr>
              <w:t>为水、无机盐、普通有机聚合物等无毒物质，</w:t>
            </w:r>
            <w:r>
              <w:rPr>
                <w:spacing w:val="57"/>
                <w:sz w:val="24"/>
                <w:szCs w:val="24"/>
              </w:rPr>
              <w:t xml:space="preserve"> </w:t>
            </w:r>
            <w:r>
              <w:rPr>
                <w:spacing w:val="-6"/>
                <w:sz w:val="24"/>
                <w:szCs w:val="24"/>
              </w:rPr>
              <w:t>类比该区域构造带其他井场废弃水基</w:t>
            </w:r>
            <w:r>
              <w:rPr>
                <w:sz w:val="24"/>
                <w:szCs w:val="24"/>
              </w:rPr>
              <w:t xml:space="preserve"> </w:t>
            </w:r>
            <w:r>
              <w:rPr>
                <w:spacing w:val="-8"/>
                <w:sz w:val="24"/>
                <w:szCs w:val="24"/>
              </w:rPr>
              <w:t>泥浆及岩屑相关参数资料， 废弃水基泥浆及岩屑浸出液</w:t>
            </w:r>
            <w:r>
              <w:rPr>
                <w:spacing w:val="-48"/>
                <w:sz w:val="24"/>
                <w:szCs w:val="24"/>
              </w:rPr>
              <w:t xml:space="preserve"> </w:t>
            </w:r>
            <w:r>
              <w:rPr>
                <w:rFonts w:ascii="Times New Roman" w:hAnsi="Times New Roman" w:eastAsia="Times New Roman" w:cs="Times New Roman"/>
                <w:spacing w:val="-8"/>
                <w:sz w:val="24"/>
                <w:szCs w:val="24"/>
              </w:rPr>
              <w:t xml:space="preserve">pH </w:t>
            </w:r>
            <w:r>
              <w:rPr>
                <w:spacing w:val="-8"/>
                <w:sz w:val="24"/>
                <w:szCs w:val="24"/>
              </w:rPr>
              <w:t>值可达到</w:t>
            </w:r>
            <w:r>
              <w:rPr>
                <w:spacing w:val="-32"/>
                <w:sz w:val="24"/>
                <w:szCs w:val="24"/>
              </w:rPr>
              <w:t xml:space="preserve"> </w:t>
            </w:r>
            <w:r>
              <w:rPr>
                <w:rFonts w:ascii="Times New Roman" w:hAnsi="Times New Roman" w:eastAsia="Times New Roman" w:cs="Times New Roman"/>
                <w:spacing w:val="-8"/>
                <w:sz w:val="24"/>
                <w:szCs w:val="24"/>
              </w:rPr>
              <w:t>11</w:t>
            </w:r>
            <w:r>
              <w:rPr>
                <w:spacing w:val="-8"/>
                <w:sz w:val="24"/>
                <w:szCs w:val="24"/>
              </w:rPr>
              <w:t>，超过</w:t>
            </w:r>
            <w:r>
              <w:rPr>
                <w:spacing w:val="-49"/>
                <w:sz w:val="24"/>
                <w:szCs w:val="24"/>
              </w:rPr>
              <w:t xml:space="preserve"> </w:t>
            </w:r>
            <w:r>
              <w:rPr>
                <w:rFonts w:ascii="Times New Roman" w:hAnsi="Times New Roman" w:eastAsia="Times New Roman" w:cs="Times New Roman"/>
                <w:spacing w:val="-8"/>
                <w:sz w:val="24"/>
                <w:szCs w:val="24"/>
              </w:rPr>
              <w:t>6~9</w:t>
            </w:r>
            <w:r>
              <w:rPr>
                <w:spacing w:val="-8"/>
                <w:sz w:val="24"/>
                <w:szCs w:val="24"/>
              </w:rPr>
              <w:t>，</w:t>
            </w:r>
            <w:r>
              <w:rPr>
                <w:sz w:val="24"/>
                <w:szCs w:val="24"/>
              </w:rPr>
              <w:t xml:space="preserve"> </w:t>
            </w:r>
            <w:r>
              <w:rPr>
                <w:spacing w:val="-1"/>
                <w:sz w:val="24"/>
                <w:szCs w:val="24"/>
              </w:rPr>
              <w:t>故水基岩屑及泥浆和沉淀污泥钻井固废按《一般工业固体废物贮存和填埋污染</w:t>
            </w:r>
            <w:r>
              <w:rPr>
                <w:spacing w:val="-2"/>
                <w:sz w:val="24"/>
                <w:szCs w:val="24"/>
              </w:rPr>
              <w:t>控制</w:t>
            </w:r>
          </w:p>
          <w:p>
            <w:pPr>
              <w:pStyle w:val="6"/>
              <w:spacing w:line="219" w:lineRule="auto"/>
              <w:ind w:left="109"/>
              <w:rPr>
                <w:sz w:val="24"/>
                <w:szCs w:val="24"/>
              </w:rPr>
            </w:pPr>
            <w:r>
              <w:rPr>
                <w:spacing w:val="-1"/>
                <w:sz w:val="24"/>
                <w:szCs w:val="24"/>
              </w:rPr>
              <w:t>标准》（</w:t>
            </w:r>
            <w:r>
              <w:rPr>
                <w:rFonts w:ascii="Times New Roman" w:hAnsi="Times New Roman" w:eastAsia="Times New Roman" w:cs="Times New Roman"/>
                <w:spacing w:val="-1"/>
                <w:sz w:val="24"/>
                <w:szCs w:val="24"/>
              </w:rPr>
              <w:t>GB18599-2020</w:t>
            </w:r>
            <w:r>
              <w:rPr>
                <w:spacing w:val="-1"/>
                <w:sz w:val="24"/>
                <w:szCs w:val="24"/>
              </w:rPr>
              <w:t>）中第Ⅱ类一般工</w:t>
            </w:r>
            <w:r>
              <w:rPr>
                <w:spacing w:val="-2"/>
                <w:sz w:val="24"/>
                <w:szCs w:val="24"/>
              </w:rPr>
              <w:t>业固体废物进行控制。</w:t>
            </w:r>
          </w:p>
          <w:p>
            <w:pPr>
              <w:pStyle w:val="6"/>
              <w:spacing w:before="196" w:line="369" w:lineRule="auto"/>
              <w:ind w:left="107" w:right="36" w:firstLine="480"/>
              <w:rPr>
                <w:sz w:val="24"/>
                <w:szCs w:val="24"/>
              </w:rPr>
            </w:pPr>
            <w:r>
              <w:rPr>
                <w:spacing w:val="-1"/>
                <w:sz w:val="24"/>
                <w:szCs w:val="24"/>
              </w:rPr>
              <w:t>根据《危险废物环境管理指南 陆上石油天然气开采》， 本项目产生的</w:t>
            </w:r>
            <w:r>
              <w:rPr>
                <w:spacing w:val="-2"/>
                <w:sz w:val="24"/>
                <w:szCs w:val="24"/>
              </w:rPr>
              <w:t>废油基</w:t>
            </w:r>
            <w:r>
              <w:rPr>
                <w:sz w:val="24"/>
                <w:szCs w:val="24"/>
              </w:rPr>
              <w:t xml:space="preserve"> </w:t>
            </w:r>
            <w:r>
              <w:rPr>
                <w:spacing w:val="-7"/>
                <w:sz w:val="24"/>
                <w:szCs w:val="24"/>
              </w:rPr>
              <w:t>钻机泥浆及岩屑、废油、废弃的含油抹布及劳保用品均属于危险废物，</w:t>
            </w:r>
            <w:r>
              <w:rPr>
                <w:spacing w:val="70"/>
                <w:sz w:val="24"/>
                <w:szCs w:val="24"/>
              </w:rPr>
              <w:t xml:space="preserve"> </w:t>
            </w:r>
            <w:r>
              <w:rPr>
                <w:spacing w:val="-7"/>
                <w:sz w:val="24"/>
                <w:szCs w:val="24"/>
              </w:rPr>
              <w:t xml:space="preserve">执行《危险 </w:t>
            </w:r>
            <w:r>
              <w:rPr>
                <w:spacing w:val="-4"/>
                <w:sz w:val="24"/>
                <w:szCs w:val="24"/>
              </w:rPr>
              <w:t>废物贮存污染控制标准》（</w:t>
            </w:r>
            <w:r>
              <w:rPr>
                <w:rFonts w:ascii="Times New Roman" w:hAnsi="Times New Roman" w:eastAsia="Times New Roman" w:cs="Times New Roman"/>
                <w:spacing w:val="-4"/>
                <w:sz w:val="24"/>
                <w:szCs w:val="24"/>
              </w:rPr>
              <w:t>GB18597-2023</w:t>
            </w:r>
            <w:r>
              <w:rPr>
                <w:spacing w:val="-45"/>
                <w:sz w:val="24"/>
                <w:szCs w:val="24"/>
              </w:rPr>
              <w:t>），</w:t>
            </w:r>
            <w:r>
              <w:rPr>
                <w:spacing w:val="-4"/>
                <w:sz w:val="24"/>
                <w:szCs w:val="24"/>
              </w:rPr>
              <w:t>在井场清洁生产平</w:t>
            </w:r>
            <w:r>
              <w:rPr>
                <w:spacing w:val="-5"/>
                <w:sz w:val="24"/>
                <w:szCs w:val="24"/>
              </w:rPr>
              <w:t>台内设危废暂存间，</w:t>
            </w:r>
          </w:p>
          <w:p>
            <w:pPr>
              <w:pStyle w:val="6"/>
              <w:spacing w:line="219" w:lineRule="auto"/>
              <w:ind w:left="111"/>
              <w:rPr>
                <w:sz w:val="24"/>
                <w:szCs w:val="24"/>
              </w:rPr>
            </w:pPr>
            <w:r>
              <w:rPr>
                <w:spacing w:val="-2"/>
                <w:sz w:val="24"/>
                <w:szCs w:val="24"/>
              </w:rPr>
              <w:t>分类桶装暂存后交由具有相应危废处置资质单位妥善处置。</w:t>
            </w:r>
          </w:p>
          <w:p>
            <w:pPr>
              <w:pStyle w:val="6"/>
              <w:spacing w:before="194" w:line="220" w:lineRule="auto"/>
              <w:ind w:left="590"/>
              <w:rPr>
                <w:sz w:val="24"/>
                <w:szCs w:val="24"/>
              </w:rPr>
            </w:pPr>
            <w:r>
              <w:rPr>
                <w:spacing w:val="-2"/>
                <w:sz w:val="24"/>
                <w:szCs w:val="24"/>
              </w:rPr>
              <w:t>生活垃圾设垃圾箱收集后交当地市政环卫清运处置。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465" w:type="dxa"/>
            <w:tcBorders>
              <w:left w:val="single" w:color="000000" w:sz="6" w:space="0"/>
              <w:bottom w:val="single" w:color="000000" w:sz="6" w:space="0"/>
            </w:tcBorders>
            <w:textDirection w:val="tbRlV"/>
            <w:vAlign w:val="top"/>
          </w:tcPr>
          <w:p>
            <w:pPr>
              <w:pStyle w:val="6"/>
              <w:spacing w:before="111" w:line="209" w:lineRule="auto"/>
              <w:ind w:left="697"/>
              <w:rPr>
                <w:sz w:val="24"/>
                <w:szCs w:val="24"/>
              </w:rPr>
            </w:pPr>
            <w:r>
              <w:rPr>
                <w:spacing w:val="35"/>
                <w:sz w:val="24"/>
                <w:szCs w:val="24"/>
              </w:rPr>
              <w:t>其他</w:t>
            </w:r>
          </w:p>
        </w:tc>
        <w:tc>
          <w:tcPr>
            <w:tcW w:w="8826" w:type="dxa"/>
            <w:gridSpan w:val="5"/>
            <w:tcBorders>
              <w:bottom w:val="single" w:color="000000" w:sz="6" w:space="0"/>
              <w:right w:val="single" w:color="000000" w:sz="6" w:space="0"/>
            </w:tcBorders>
            <w:vAlign w:val="top"/>
          </w:tcPr>
          <w:p>
            <w:pPr>
              <w:pStyle w:val="6"/>
              <w:spacing w:before="191" w:line="369" w:lineRule="auto"/>
              <w:ind w:left="128" w:right="105" w:firstLine="461"/>
              <w:jc w:val="both"/>
              <w:rPr>
                <w:sz w:val="24"/>
                <w:szCs w:val="24"/>
              </w:rPr>
            </w:pPr>
            <w:r>
              <w:rPr>
                <w:spacing w:val="-11"/>
                <w:sz w:val="24"/>
                <w:szCs w:val="24"/>
              </w:rPr>
              <w:t>本项目为天然气勘探井钻井工程，</w:t>
            </w:r>
            <w:r>
              <w:rPr>
                <w:spacing w:val="52"/>
                <w:sz w:val="24"/>
                <w:szCs w:val="24"/>
              </w:rPr>
              <w:t xml:space="preserve"> </w:t>
            </w:r>
            <w:r>
              <w:rPr>
                <w:spacing w:val="-11"/>
                <w:sz w:val="24"/>
                <w:szCs w:val="24"/>
              </w:rPr>
              <w:t>不涉及地面集输工程</w:t>
            </w:r>
            <w:r>
              <w:rPr>
                <w:spacing w:val="-12"/>
                <w:sz w:val="24"/>
                <w:szCs w:val="24"/>
              </w:rPr>
              <w:t>，</w:t>
            </w:r>
            <w:r>
              <w:rPr>
                <w:spacing w:val="51"/>
                <w:sz w:val="24"/>
                <w:szCs w:val="24"/>
              </w:rPr>
              <w:t xml:space="preserve"> </w:t>
            </w:r>
            <w:r>
              <w:rPr>
                <w:spacing w:val="-12"/>
                <w:sz w:val="24"/>
                <w:szCs w:val="24"/>
              </w:rPr>
              <w:t>各类污染采取了相应</w:t>
            </w:r>
            <w:r>
              <w:rPr>
                <w:sz w:val="24"/>
                <w:szCs w:val="24"/>
              </w:rPr>
              <w:t xml:space="preserve"> </w:t>
            </w:r>
            <w:r>
              <w:rPr>
                <w:spacing w:val="-15"/>
                <w:sz w:val="24"/>
                <w:szCs w:val="24"/>
              </w:rPr>
              <w:t>的处理， 可实现资源利用或达标排放，</w:t>
            </w:r>
            <w:r>
              <w:rPr>
                <w:spacing w:val="79"/>
                <w:sz w:val="24"/>
                <w:szCs w:val="24"/>
              </w:rPr>
              <w:t xml:space="preserve"> </w:t>
            </w:r>
            <w:r>
              <w:rPr>
                <w:spacing w:val="-15"/>
                <w:sz w:val="24"/>
                <w:szCs w:val="24"/>
              </w:rPr>
              <w:t>同时随着钻井工程的完成而消失，</w:t>
            </w:r>
            <w:r>
              <w:rPr>
                <w:spacing w:val="57"/>
                <w:sz w:val="24"/>
                <w:szCs w:val="24"/>
              </w:rPr>
              <w:t xml:space="preserve"> </w:t>
            </w:r>
            <w:r>
              <w:rPr>
                <w:spacing w:val="-15"/>
                <w:sz w:val="24"/>
                <w:szCs w:val="24"/>
              </w:rPr>
              <w:t>不会造成</w:t>
            </w:r>
          </w:p>
          <w:p>
            <w:pPr>
              <w:pStyle w:val="6"/>
              <w:spacing w:line="220" w:lineRule="auto"/>
              <w:ind w:left="109"/>
              <w:rPr>
                <w:sz w:val="24"/>
                <w:szCs w:val="24"/>
              </w:rPr>
            </w:pPr>
            <w:r>
              <w:rPr>
                <w:spacing w:val="-3"/>
                <w:sz w:val="24"/>
                <w:szCs w:val="24"/>
              </w:rPr>
              <w:t>长期影响，建议不设总量控制指标。</w:t>
            </w:r>
          </w:p>
        </w:tc>
      </w:tr>
    </w:tbl>
    <w:p>
      <w:pPr>
        <w:pStyle w:val="2"/>
        <w:rPr>
          <w:sz w:val="21"/>
        </w:rPr>
      </w:pPr>
    </w:p>
    <w:p>
      <w:pPr>
        <w:rPr>
          <w:sz w:val="21"/>
          <w:szCs w:val="21"/>
        </w:rPr>
        <w:sectPr>
          <w:footerReference r:id="rId90" w:type="default"/>
          <w:pgSz w:w="11907" w:h="16839"/>
          <w:pgMar w:top="400" w:right="1298" w:bottom="1180" w:left="1300" w:header="0" w:footer="920" w:gutter="0"/>
          <w:cols w:space="720" w:num="1"/>
        </w:sectPr>
      </w:pPr>
    </w:p>
    <w:p>
      <w:pPr>
        <w:pStyle w:val="2"/>
        <w:spacing w:line="247" w:lineRule="auto"/>
        <w:rPr>
          <w:sz w:val="21"/>
        </w:r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98" w:line="219" w:lineRule="auto"/>
        <w:ind w:left="3462"/>
        <w:rPr>
          <w:rFonts w:ascii="黑体" w:hAnsi="黑体" w:eastAsia="黑体" w:cs="黑体"/>
          <w:sz w:val="30"/>
          <w:szCs w:val="30"/>
        </w:rPr>
      </w:pPr>
      <w:r>
        <w:rPr>
          <w:rFonts w:ascii="黑体" w:hAnsi="黑体" w:eastAsia="黑体" w:cs="黑体"/>
          <w:spacing w:val="-3"/>
          <w:sz w:val="30"/>
          <w:szCs w:val="30"/>
        </w:rPr>
        <w:t>四、生态环境影响分析</w:t>
      </w:r>
    </w:p>
    <w:p>
      <w:pPr>
        <w:spacing w:before="25"/>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0" w:hRule="atLeast"/>
        </w:trPr>
        <w:tc>
          <w:tcPr>
            <w:tcW w:w="465" w:type="dxa"/>
            <w:tcBorders>
              <w:right w:val="single" w:color="000000" w:sz="2" w:space="0"/>
            </w:tcBorders>
            <w:textDirection w:val="tbRlV"/>
            <w:vAlign w:val="top"/>
          </w:tcPr>
          <w:p>
            <w:pPr>
              <w:pStyle w:val="6"/>
              <w:spacing w:before="121" w:line="209" w:lineRule="auto"/>
              <w:ind w:left="5301"/>
              <w:rPr>
                <w:sz w:val="24"/>
                <w:szCs w:val="24"/>
              </w:rPr>
            </w:pPr>
            <w:r>
              <w:rPr>
                <w:spacing w:val="21"/>
                <w:w w:val="117"/>
                <w:sz w:val="24"/>
                <w:szCs w:val="24"/>
              </w:rPr>
              <w:t>生态环境影响分析</w:t>
            </w:r>
          </w:p>
        </w:tc>
        <w:tc>
          <w:tcPr>
            <w:tcW w:w="9385" w:type="dxa"/>
            <w:tcBorders>
              <w:left w:val="single" w:color="000000" w:sz="2" w:space="0"/>
            </w:tcBorders>
            <w:vAlign w:val="top"/>
          </w:tcPr>
          <w:p>
            <w:pPr>
              <w:pStyle w:val="6"/>
              <w:spacing w:before="232" w:line="220" w:lineRule="auto"/>
              <w:ind w:left="105"/>
              <w:rPr>
                <w:sz w:val="24"/>
                <w:szCs w:val="24"/>
              </w:rPr>
            </w:pPr>
            <w:r>
              <w:rPr>
                <w:rFonts w:ascii="Times New Roman" w:hAnsi="Times New Roman" w:eastAsia="Times New Roman" w:cs="Times New Roman"/>
                <w:b/>
                <w:bCs/>
                <w:sz w:val="24"/>
                <w:szCs w:val="24"/>
              </w:rPr>
              <w:t xml:space="preserve">4.1 </w:t>
            </w:r>
            <w:r>
              <w:rPr>
                <w:sz w:val="24"/>
                <w:szCs w:val="24"/>
                <w14:textOutline w14:w="4354" w14:cap="flat" w14:cmpd="sng">
                  <w14:solidFill>
                    <w14:srgbClr w14:val="000000"/>
                  </w14:solidFill>
                  <w14:prstDash w14:val="solid"/>
                  <w14:miter w14:val="10"/>
                </w14:textOutline>
              </w:rPr>
              <w:t>生态环境影响分析</w:t>
            </w:r>
          </w:p>
          <w:p>
            <w:pPr>
              <w:pStyle w:val="6"/>
              <w:spacing w:before="194"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）土地利用的影响分析</w:t>
            </w:r>
          </w:p>
          <w:p>
            <w:pPr>
              <w:pStyle w:val="6"/>
              <w:spacing w:before="194" w:line="369" w:lineRule="auto"/>
              <w:ind w:left="108" w:right="100" w:firstLine="480"/>
              <w:rPr>
                <w:sz w:val="24"/>
                <w:szCs w:val="24"/>
              </w:rPr>
            </w:pPr>
            <w:r>
              <w:rPr>
                <w:spacing w:val="-5"/>
                <w:sz w:val="24"/>
                <w:szCs w:val="24"/>
              </w:rPr>
              <w:t xml:space="preserve">本项目临时占地 </w:t>
            </w:r>
            <w:r>
              <w:rPr>
                <w:rFonts w:ascii="Times New Roman" w:hAnsi="Times New Roman" w:eastAsia="Times New Roman" w:cs="Times New Roman"/>
                <w:spacing w:val="-5"/>
                <w:sz w:val="24"/>
                <w:szCs w:val="24"/>
              </w:rPr>
              <w:t>24261m</w:t>
            </w:r>
            <w:r>
              <w:rPr>
                <w:rFonts w:ascii="Times New Roman" w:hAnsi="Times New Roman" w:eastAsia="Times New Roman" w:cs="Times New Roman"/>
                <w:spacing w:val="-5"/>
                <w:position w:val="9"/>
                <w:sz w:val="16"/>
                <w:szCs w:val="16"/>
              </w:rPr>
              <w:t>2</w:t>
            </w:r>
            <w:r>
              <w:rPr>
                <w:rFonts w:ascii="Times New Roman" w:hAnsi="Times New Roman" w:eastAsia="Times New Roman" w:cs="Times New Roman"/>
                <w:spacing w:val="-10"/>
                <w:position w:val="9"/>
                <w:sz w:val="16"/>
                <w:szCs w:val="16"/>
              </w:rPr>
              <w:t xml:space="preserve"> </w:t>
            </w:r>
            <w:r>
              <w:rPr>
                <w:spacing w:val="-5"/>
                <w:sz w:val="24"/>
                <w:szCs w:val="24"/>
              </w:rPr>
              <w:t>，占地仅为施工期临时占地，</w:t>
            </w:r>
            <w:r>
              <w:rPr>
                <w:spacing w:val="61"/>
                <w:sz w:val="24"/>
                <w:szCs w:val="24"/>
              </w:rPr>
              <w:t xml:space="preserve"> </w:t>
            </w:r>
            <w:r>
              <w:rPr>
                <w:spacing w:val="-5"/>
                <w:sz w:val="24"/>
                <w:szCs w:val="24"/>
              </w:rPr>
              <w:t>占地主要表现为破坏地表植</w:t>
            </w:r>
            <w:r>
              <w:rPr>
                <w:sz w:val="24"/>
                <w:szCs w:val="24"/>
              </w:rPr>
              <w:t xml:space="preserve"> </w:t>
            </w:r>
            <w:r>
              <w:rPr>
                <w:spacing w:val="-3"/>
                <w:sz w:val="24"/>
                <w:szCs w:val="24"/>
              </w:rPr>
              <w:t>被和土壤结构， 改变地形地貌以及自然景观，使区域植</w:t>
            </w:r>
            <w:r>
              <w:rPr>
                <w:spacing w:val="-4"/>
                <w:sz w:val="24"/>
                <w:szCs w:val="24"/>
              </w:rPr>
              <w:t>被盖度稍微降低、</w:t>
            </w:r>
            <w:r>
              <w:rPr>
                <w:spacing w:val="-64"/>
                <w:sz w:val="24"/>
                <w:szCs w:val="24"/>
              </w:rPr>
              <w:t xml:space="preserve"> </w:t>
            </w:r>
            <w:r>
              <w:rPr>
                <w:spacing w:val="-4"/>
                <w:sz w:val="24"/>
                <w:szCs w:val="24"/>
              </w:rPr>
              <w:t>自然景观局部</w:t>
            </w:r>
          </w:p>
          <w:p>
            <w:pPr>
              <w:pStyle w:val="6"/>
              <w:spacing w:before="1" w:line="218" w:lineRule="auto"/>
              <w:ind w:left="116"/>
              <w:rPr>
                <w:sz w:val="24"/>
                <w:szCs w:val="24"/>
              </w:rPr>
            </w:pPr>
            <w:r>
              <w:rPr>
                <w:spacing w:val="-2"/>
                <w:sz w:val="24"/>
                <w:szCs w:val="24"/>
              </w:rPr>
              <w:t>改变。项目占地以耕地为主，场地内种植李子树。施工期临时占地对生态影响主要有：</w:t>
            </w:r>
          </w:p>
          <w:p>
            <w:pPr>
              <w:pStyle w:val="6"/>
              <w:spacing w:before="195" w:line="481" w:lineRule="exact"/>
              <w:ind w:left="587"/>
              <w:rPr>
                <w:sz w:val="24"/>
                <w:szCs w:val="24"/>
              </w:rPr>
            </w:pPr>
            <w:r>
              <w:rPr>
                <w:spacing w:val="-2"/>
                <w:position w:val="18"/>
                <w:sz w:val="24"/>
                <w:szCs w:val="24"/>
              </w:rPr>
              <w:t>①临时占地将破坏地表原有植被作物， 其中对现有经济作物而言将减少近</w:t>
            </w:r>
            <w:r>
              <w:rPr>
                <w:spacing w:val="-3"/>
                <w:position w:val="18"/>
                <w:sz w:val="24"/>
                <w:szCs w:val="24"/>
              </w:rPr>
              <w:t>两年的收</w:t>
            </w:r>
          </w:p>
          <w:p>
            <w:pPr>
              <w:pStyle w:val="6"/>
              <w:spacing w:before="1" w:line="220" w:lineRule="auto"/>
              <w:ind w:left="110"/>
              <w:rPr>
                <w:sz w:val="24"/>
                <w:szCs w:val="24"/>
              </w:rPr>
            </w:pPr>
            <w:r>
              <w:rPr>
                <w:spacing w:val="-17"/>
                <w:sz w:val="24"/>
                <w:szCs w:val="24"/>
              </w:rPr>
              <w:t>成；</w:t>
            </w:r>
          </w:p>
          <w:p>
            <w:pPr>
              <w:pStyle w:val="6"/>
              <w:spacing w:before="192" w:line="480" w:lineRule="exact"/>
              <w:ind w:left="586"/>
              <w:rPr>
                <w:sz w:val="24"/>
                <w:szCs w:val="24"/>
              </w:rPr>
            </w:pPr>
            <w:r>
              <w:rPr>
                <w:spacing w:val="1"/>
                <w:position w:val="18"/>
                <w:sz w:val="24"/>
                <w:szCs w:val="24"/>
              </w:rPr>
              <w:t>②施工作业使占地范围内的土壤紧实度增加，对土地复耕后作物根系发育和生长不</w:t>
            </w:r>
          </w:p>
          <w:p>
            <w:pPr>
              <w:pStyle w:val="6"/>
              <w:spacing w:before="1" w:line="221" w:lineRule="auto"/>
              <w:ind w:left="109"/>
              <w:rPr>
                <w:sz w:val="24"/>
                <w:szCs w:val="24"/>
              </w:rPr>
            </w:pPr>
            <w:r>
              <w:rPr>
                <w:spacing w:val="-17"/>
                <w:sz w:val="24"/>
                <w:szCs w:val="24"/>
              </w:rPr>
              <w:t>利；</w:t>
            </w:r>
          </w:p>
          <w:p>
            <w:pPr>
              <w:pStyle w:val="6"/>
              <w:spacing w:before="191" w:line="480" w:lineRule="exact"/>
              <w:ind w:left="586"/>
              <w:rPr>
                <w:sz w:val="24"/>
                <w:szCs w:val="24"/>
              </w:rPr>
            </w:pPr>
            <w:r>
              <w:rPr>
                <w:spacing w:val="-2"/>
                <w:position w:val="18"/>
                <w:sz w:val="24"/>
                <w:szCs w:val="24"/>
              </w:rPr>
              <w:t>③在干燥天气下，施工扬尘，使占地周围作物叶面覆盖降尘， 光合</w:t>
            </w:r>
            <w:r>
              <w:rPr>
                <w:spacing w:val="-3"/>
                <w:position w:val="18"/>
                <w:sz w:val="24"/>
                <w:szCs w:val="24"/>
              </w:rPr>
              <w:t>作用弱，影响作</w:t>
            </w:r>
          </w:p>
          <w:p>
            <w:pPr>
              <w:pStyle w:val="6"/>
              <w:spacing w:before="2" w:line="220" w:lineRule="auto"/>
              <w:ind w:left="108"/>
              <w:rPr>
                <w:sz w:val="24"/>
                <w:szCs w:val="24"/>
              </w:rPr>
            </w:pPr>
            <w:r>
              <w:rPr>
                <w:spacing w:val="-9"/>
                <w:sz w:val="24"/>
                <w:szCs w:val="24"/>
              </w:rPr>
              <w:t>物生长。</w:t>
            </w:r>
          </w:p>
          <w:p>
            <w:pPr>
              <w:pStyle w:val="6"/>
              <w:spacing w:before="194" w:line="369" w:lineRule="auto"/>
              <w:ind w:left="106" w:right="106" w:firstLine="484"/>
              <w:rPr>
                <w:sz w:val="24"/>
                <w:szCs w:val="24"/>
              </w:rPr>
            </w:pPr>
            <w:r>
              <w:rPr>
                <w:spacing w:val="1"/>
                <w:sz w:val="24"/>
                <w:szCs w:val="24"/>
              </w:rPr>
              <w:t>工程的建设会对当地耕地拥有者造成一定的经济损失，通过采取直接给受损方</w:t>
            </w:r>
            <w:r>
              <w:rPr>
                <w:sz w:val="24"/>
                <w:szCs w:val="24"/>
              </w:rPr>
              <w:t xml:space="preserve">一定 </w:t>
            </w:r>
            <w:r>
              <w:rPr>
                <w:spacing w:val="1"/>
                <w:sz w:val="24"/>
                <w:szCs w:val="24"/>
              </w:rPr>
              <w:t>经济补偿后，对耕地拥有者生活质量的影响较小。项目建设完毕后，在临时用地范围内</w:t>
            </w:r>
            <w:r>
              <w:rPr>
                <w:spacing w:val="3"/>
                <w:sz w:val="24"/>
                <w:szCs w:val="24"/>
              </w:rPr>
              <w:t xml:space="preserve"> </w:t>
            </w:r>
            <w:r>
              <w:rPr>
                <w:spacing w:val="1"/>
                <w:sz w:val="24"/>
                <w:szCs w:val="24"/>
              </w:rPr>
              <w:t>进行恢复种植（通过经济补偿方式，一次性给予受损</w:t>
            </w:r>
            <w:r>
              <w:rPr>
                <w:sz w:val="24"/>
                <w:szCs w:val="24"/>
              </w:rPr>
              <w:t>害方，由他们进行恢复种植</w:t>
            </w:r>
            <w:r>
              <w:rPr>
                <w:spacing w:val="-43"/>
                <w:sz w:val="24"/>
                <w:szCs w:val="24"/>
              </w:rPr>
              <w:t>），</w:t>
            </w:r>
            <w:r>
              <w:rPr>
                <w:spacing w:val="-16"/>
                <w:sz w:val="24"/>
                <w:szCs w:val="24"/>
              </w:rPr>
              <w:t xml:space="preserve"> </w:t>
            </w:r>
            <w:r>
              <w:rPr>
                <w:sz w:val="24"/>
                <w:szCs w:val="24"/>
              </w:rPr>
              <w:t>不</w:t>
            </w:r>
          </w:p>
          <w:p>
            <w:pPr>
              <w:pStyle w:val="6"/>
              <w:spacing w:before="1" w:line="218" w:lineRule="auto"/>
              <w:ind w:left="107"/>
              <w:rPr>
                <w:sz w:val="24"/>
                <w:szCs w:val="24"/>
              </w:rPr>
            </w:pPr>
            <w:r>
              <w:rPr>
                <w:spacing w:val="-2"/>
                <w:sz w:val="24"/>
                <w:szCs w:val="24"/>
              </w:rPr>
              <w:t>会造成项目占用区域植被的减少，对生态环境影响较小。</w:t>
            </w:r>
          </w:p>
          <w:p>
            <w:pPr>
              <w:pStyle w:val="6"/>
              <w:spacing w:before="195" w:line="480" w:lineRule="exact"/>
              <w:ind w:left="589"/>
              <w:rPr>
                <w:sz w:val="24"/>
                <w:szCs w:val="24"/>
              </w:rPr>
            </w:pPr>
            <w:r>
              <w:rPr>
                <w:spacing w:val="1"/>
                <w:position w:val="18"/>
                <w:sz w:val="24"/>
                <w:szCs w:val="24"/>
              </w:rPr>
              <w:t>若完井测试结果若表明气井有开采价值，则征用井场、道路等部分用地，对当地土</w:t>
            </w:r>
          </w:p>
          <w:p>
            <w:pPr>
              <w:pStyle w:val="6"/>
              <w:spacing w:before="2" w:line="220" w:lineRule="auto"/>
              <w:ind w:left="108"/>
              <w:rPr>
                <w:sz w:val="24"/>
                <w:szCs w:val="24"/>
              </w:rPr>
            </w:pPr>
            <w:r>
              <w:rPr>
                <w:spacing w:val="-5"/>
                <w:sz w:val="24"/>
                <w:szCs w:val="24"/>
              </w:rPr>
              <w:t>地资源的影响较小。</w:t>
            </w:r>
          </w:p>
          <w:p>
            <w:pPr>
              <w:pStyle w:val="6"/>
              <w:spacing w:before="192" w:line="219"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）井场建设对永久基本农田环境影响分析</w:t>
            </w:r>
          </w:p>
          <w:p>
            <w:pPr>
              <w:pStyle w:val="6"/>
              <w:spacing w:before="196" w:line="220" w:lineRule="auto"/>
              <w:ind w:left="607"/>
              <w:rPr>
                <w:sz w:val="24"/>
                <w:szCs w:val="24"/>
              </w:rPr>
            </w:pPr>
            <w:r>
              <w:rPr>
                <w:rFonts w:ascii="Times New Roman" w:hAnsi="Times New Roman" w:eastAsia="Times New Roman" w:cs="Times New Roman"/>
                <w:spacing w:val="-6"/>
                <w:sz w:val="24"/>
                <w:szCs w:val="24"/>
              </w:rPr>
              <w:t>1</w:t>
            </w:r>
            <w:r>
              <w:rPr>
                <w:spacing w:val="-6"/>
                <w:sz w:val="24"/>
                <w:szCs w:val="24"/>
              </w:rPr>
              <w:t>）对农作物的影响</w:t>
            </w:r>
          </w:p>
          <w:p>
            <w:pPr>
              <w:pStyle w:val="6"/>
              <w:spacing w:before="196" w:line="369" w:lineRule="auto"/>
              <w:ind w:left="107" w:right="100" w:firstLine="484"/>
              <w:rPr>
                <w:sz w:val="24"/>
                <w:szCs w:val="24"/>
              </w:rPr>
            </w:pPr>
            <w:r>
              <w:rPr>
                <w:spacing w:val="-2"/>
                <w:sz w:val="24"/>
                <w:szCs w:val="24"/>
              </w:rPr>
              <w:t>项目施工期间， 临时占地将破坏地表原有植被作物，其中对</w:t>
            </w:r>
            <w:r>
              <w:rPr>
                <w:spacing w:val="-3"/>
                <w:sz w:val="24"/>
                <w:szCs w:val="24"/>
              </w:rPr>
              <w:t>现有经济作物而言将减</w:t>
            </w:r>
            <w:r>
              <w:rPr>
                <w:sz w:val="24"/>
                <w:szCs w:val="24"/>
              </w:rPr>
              <w:t xml:space="preserve"> </w:t>
            </w:r>
            <w:r>
              <w:rPr>
                <w:spacing w:val="-2"/>
                <w:sz w:val="24"/>
                <w:szCs w:val="24"/>
              </w:rPr>
              <w:t>少近两年的收成。使耕地拥有者造成一定的经济损失， 这部分损失应给予赔偿，赔偿的</w:t>
            </w:r>
            <w:r>
              <w:rPr>
                <w:spacing w:val="2"/>
                <w:sz w:val="24"/>
                <w:szCs w:val="24"/>
              </w:rPr>
              <w:t xml:space="preserve"> </w:t>
            </w:r>
            <w:r>
              <w:rPr>
                <w:spacing w:val="1"/>
                <w:sz w:val="24"/>
                <w:szCs w:val="24"/>
              </w:rPr>
              <w:t>金额与当地政府和农民协商解决。虽然施工临时占地引起了一定量的生物量损失，并且</w:t>
            </w:r>
            <w:r>
              <w:rPr>
                <w:spacing w:val="2"/>
                <w:sz w:val="24"/>
                <w:szCs w:val="24"/>
              </w:rPr>
              <w:t xml:space="preserve"> </w:t>
            </w:r>
            <w:r>
              <w:rPr>
                <w:spacing w:val="-1"/>
                <w:sz w:val="24"/>
                <w:szCs w:val="24"/>
              </w:rPr>
              <w:t>改变了所占土地上生物多样性及生物种类，</w:t>
            </w:r>
            <w:r>
              <w:rPr>
                <w:spacing w:val="-23"/>
                <w:sz w:val="24"/>
                <w:szCs w:val="24"/>
              </w:rPr>
              <w:t xml:space="preserve"> </w:t>
            </w:r>
            <w:r>
              <w:rPr>
                <w:spacing w:val="-1"/>
                <w:sz w:val="24"/>
                <w:szCs w:val="24"/>
              </w:rPr>
              <w:t>但这只</w:t>
            </w:r>
            <w:r>
              <w:rPr>
                <w:spacing w:val="-2"/>
                <w:sz w:val="24"/>
                <w:szCs w:val="24"/>
              </w:rPr>
              <w:t>是暂时性的，只要施工单位在施工中</w:t>
            </w:r>
            <w:r>
              <w:rPr>
                <w:sz w:val="24"/>
                <w:szCs w:val="24"/>
              </w:rPr>
              <w:t xml:space="preserve"> </w:t>
            </w:r>
            <w:r>
              <w:rPr>
                <w:spacing w:val="1"/>
                <w:sz w:val="24"/>
                <w:szCs w:val="24"/>
              </w:rPr>
              <w:t>采取有利于土地及植被恢复的措施减少对其影响，特别是临时占用耕地的，要及时恢复</w:t>
            </w:r>
            <w:r>
              <w:rPr>
                <w:spacing w:val="2"/>
                <w:sz w:val="24"/>
                <w:szCs w:val="24"/>
              </w:rPr>
              <w:t xml:space="preserve"> </w:t>
            </w:r>
            <w:r>
              <w:rPr>
                <w:spacing w:val="-2"/>
                <w:sz w:val="24"/>
                <w:szCs w:val="24"/>
              </w:rPr>
              <w:t>其原有土地功能，并做好占地补偿工作及施工后的植被恢复措施， 其环境影响是可以接</w:t>
            </w:r>
          </w:p>
          <w:p>
            <w:pPr>
              <w:pStyle w:val="6"/>
              <w:spacing w:before="1" w:line="221" w:lineRule="auto"/>
              <w:ind w:left="113"/>
              <w:rPr>
                <w:sz w:val="24"/>
                <w:szCs w:val="24"/>
              </w:rPr>
            </w:pPr>
            <w:r>
              <w:rPr>
                <w:spacing w:val="-11"/>
                <w:sz w:val="24"/>
                <w:szCs w:val="24"/>
              </w:rPr>
              <w:t>受的。</w:t>
            </w:r>
          </w:p>
          <w:p>
            <w:pPr>
              <w:pStyle w:val="6"/>
              <w:spacing w:before="191" w:line="219" w:lineRule="auto"/>
              <w:ind w:left="584"/>
              <w:rPr>
                <w:sz w:val="24"/>
                <w:szCs w:val="24"/>
              </w:rPr>
            </w:pPr>
            <w:r>
              <w:rPr>
                <w:rFonts w:ascii="Times New Roman" w:hAnsi="Times New Roman" w:eastAsia="Times New Roman" w:cs="Times New Roman"/>
                <w:spacing w:val="-3"/>
                <w:sz w:val="24"/>
                <w:szCs w:val="24"/>
              </w:rPr>
              <w:t>2</w:t>
            </w:r>
            <w:r>
              <w:rPr>
                <w:spacing w:val="-3"/>
                <w:sz w:val="24"/>
                <w:szCs w:val="24"/>
              </w:rPr>
              <w:t>）对基本农田的影响</w:t>
            </w:r>
          </w:p>
        </w:tc>
      </w:tr>
    </w:tbl>
    <w:p>
      <w:pPr>
        <w:pStyle w:val="2"/>
        <w:spacing w:line="230" w:lineRule="exact"/>
        <w:rPr>
          <w:sz w:val="20"/>
        </w:rPr>
      </w:pPr>
    </w:p>
    <w:p>
      <w:pPr>
        <w:spacing w:line="230" w:lineRule="exact"/>
        <w:rPr>
          <w:sz w:val="20"/>
          <w:szCs w:val="20"/>
        </w:rPr>
        <w:sectPr>
          <w:footerReference r:id="rId91"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930"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3" w:line="369" w:lineRule="auto"/>
              <w:ind w:left="108" w:right="106" w:firstLine="479"/>
              <w:rPr>
                <w:sz w:val="24"/>
                <w:szCs w:val="24"/>
              </w:rPr>
            </w:pPr>
            <w:r>
              <w:rPr>
                <w:spacing w:val="-2"/>
                <w:sz w:val="24"/>
                <w:szCs w:val="24"/>
              </w:rPr>
              <w:t>基本农田是耕地保护工作的重中之重， 直接关系国家粮食安全</w:t>
            </w:r>
            <w:r>
              <w:rPr>
                <w:spacing w:val="-3"/>
                <w:sz w:val="24"/>
                <w:szCs w:val="24"/>
              </w:rPr>
              <w:t>、人民生活，尤其是</w:t>
            </w:r>
            <w:r>
              <w:rPr>
                <w:sz w:val="24"/>
                <w:szCs w:val="24"/>
              </w:rPr>
              <w:t xml:space="preserve"> </w:t>
            </w:r>
            <w:r>
              <w:rPr>
                <w:spacing w:val="1"/>
                <w:sz w:val="24"/>
                <w:szCs w:val="24"/>
              </w:rPr>
              <w:t>广大农民的切身利益。在当前我国人口持续增加，经济建设不可避免要占用部分耕地， 因此，保护耕地特别是保护基本农田尤为重要。党中央、国务院一直高度重视耕地保护</w:t>
            </w:r>
          </w:p>
          <w:p>
            <w:pPr>
              <w:pStyle w:val="6"/>
              <w:spacing w:before="1" w:line="218" w:lineRule="auto"/>
              <w:ind w:left="111"/>
              <w:rPr>
                <w:sz w:val="24"/>
                <w:szCs w:val="24"/>
              </w:rPr>
            </w:pPr>
            <w:r>
              <w:rPr>
                <w:spacing w:val="-2"/>
                <w:sz w:val="24"/>
                <w:szCs w:val="24"/>
              </w:rPr>
              <w:t>工作，特别强调要确保基本农田总量不减少、用途不改变、质量不下降。</w:t>
            </w:r>
          </w:p>
          <w:p>
            <w:pPr>
              <w:pStyle w:val="6"/>
              <w:spacing w:before="196" w:line="369" w:lineRule="auto"/>
              <w:ind w:left="110" w:right="102" w:firstLine="478"/>
              <w:rPr>
                <w:sz w:val="24"/>
                <w:szCs w:val="24"/>
              </w:rPr>
            </w:pPr>
            <w:r>
              <w:rPr>
                <w:spacing w:val="1"/>
                <w:sz w:val="24"/>
                <w:szCs w:val="24"/>
              </w:rPr>
              <w:t>本项目占用部分基本农田。由于对部分农田开挖，使被开挖地段的土壤层耕作层发</w:t>
            </w:r>
            <w:r>
              <w:rPr>
                <w:sz w:val="24"/>
                <w:szCs w:val="24"/>
              </w:rPr>
              <w:t xml:space="preserve"> </w:t>
            </w:r>
            <w:r>
              <w:rPr>
                <w:spacing w:val="-1"/>
                <w:sz w:val="24"/>
                <w:szCs w:val="24"/>
              </w:rPr>
              <w:t>生破坏，导致耕地质量下降，主要表现为可能耽误近</w:t>
            </w:r>
            <w:r>
              <w:rPr>
                <w:spacing w:val="-18"/>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7"/>
                <w:sz w:val="24"/>
                <w:szCs w:val="24"/>
              </w:rPr>
              <w:t xml:space="preserve"> </w:t>
            </w:r>
            <w:r>
              <w:rPr>
                <w:spacing w:val="-1"/>
                <w:sz w:val="24"/>
                <w:szCs w:val="24"/>
              </w:rPr>
              <w:t>年农作物生产，这种影响是临时</w:t>
            </w:r>
          </w:p>
          <w:p>
            <w:pPr>
              <w:pStyle w:val="6"/>
              <w:spacing w:line="222" w:lineRule="auto"/>
              <w:ind w:left="128"/>
              <w:rPr>
                <w:sz w:val="24"/>
                <w:szCs w:val="24"/>
              </w:rPr>
            </w:pPr>
            <w:r>
              <w:rPr>
                <w:spacing w:val="-16"/>
                <w:sz w:val="24"/>
                <w:szCs w:val="24"/>
              </w:rPr>
              <w:t>的。</w:t>
            </w:r>
          </w:p>
          <w:p>
            <w:pPr>
              <w:pStyle w:val="6"/>
              <w:spacing w:before="193" w:line="369" w:lineRule="auto"/>
              <w:ind w:left="109" w:right="99" w:firstLine="478"/>
              <w:rPr>
                <w:sz w:val="24"/>
                <w:szCs w:val="24"/>
              </w:rPr>
            </w:pPr>
            <w:r>
              <w:rPr>
                <w:spacing w:val="-2"/>
                <w:sz w:val="24"/>
                <w:szCs w:val="24"/>
              </w:rPr>
              <w:t>环评要求，</w:t>
            </w:r>
            <w:r>
              <w:rPr>
                <w:spacing w:val="-7"/>
                <w:sz w:val="24"/>
                <w:szCs w:val="24"/>
              </w:rPr>
              <w:t xml:space="preserve"> </w:t>
            </w:r>
            <w:r>
              <w:rPr>
                <w:spacing w:val="-2"/>
                <w:sz w:val="24"/>
                <w:szCs w:val="24"/>
              </w:rPr>
              <w:t>施工单位对临时占地除了在施工中采取措施减少基本农田破坏外，在施</w:t>
            </w:r>
            <w:r>
              <w:rPr>
                <w:sz w:val="24"/>
                <w:szCs w:val="24"/>
              </w:rPr>
              <w:t xml:space="preserve"> </w:t>
            </w:r>
            <w:r>
              <w:rPr>
                <w:spacing w:val="1"/>
                <w:sz w:val="24"/>
                <w:szCs w:val="24"/>
              </w:rPr>
              <w:t>工结束后，除补偿因临时占地对农田产量的直接损失外，还将考虑施工结束后因土壤结</w:t>
            </w:r>
            <w:r>
              <w:rPr>
                <w:spacing w:val="5"/>
                <w:sz w:val="24"/>
                <w:szCs w:val="24"/>
              </w:rPr>
              <w:t xml:space="preserve"> </w:t>
            </w:r>
            <w:r>
              <w:rPr>
                <w:spacing w:val="-2"/>
                <w:sz w:val="24"/>
                <w:szCs w:val="24"/>
              </w:rPr>
              <w:t>构破坏、养分流失而造成的影响，对农作物产量的间接损失以及土壤恢复进行补偿， 以</w:t>
            </w:r>
            <w:r>
              <w:rPr>
                <w:spacing w:val="3"/>
                <w:sz w:val="24"/>
                <w:szCs w:val="24"/>
              </w:rPr>
              <w:t xml:space="preserve"> </w:t>
            </w:r>
            <w:r>
              <w:rPr>
                <w:spacing w:val="-2"/>
                <w:sz w:val="24"/>
                <w:szCs w:val="24"/>
              </w:rPr>
              <w:t>用于耕作层土恢复。在恢复期对土壤进行熟化和培肥，</w:t>
            </w:r>
            <w:r>
              <w:rPr>
                <w:spacing w:val="-6"/>
                <w:sz w:val="24"/>
                <w:szCs w:val="24"/>
              </w:rPr>
              <w:t xml:space="preserve"> </w:t>
            </w:r>
            <w:r>
              <w:rPr>
                <w:spacing w:val="-2"/>
                <w:sz w:val="24"/>
                <w:szCs w:val="24"/>
              </w:rPr>
              <w:t>切实做好耕地质量调查及监测工</w:t>
            </w:r>
            <w:r>
              <w:rPr>
                <w:sz w:val="24"/>
                <w:szCs w:val="24"/>
              </w:rPr>
              <w:t xml:space="preserve"> </w:t>
            </w:r>
            <w:r>
              <w:rPr>
                <w:spacing w:val="1"/>
                <w:sz w:val="24"/>
                <w:szCs w:val="24"/>
              </w:rPr>
              <w:t>作，及时掌握耕地质量变化状况，直至恢复到原来的生产力水平。本项目已委托单位编</w:t>
            </w:r>
            <w:r>
              <w:rPr>
                <w:spacing w:val="6"/>
                <w:sz w:val="24"/>
                <w:szCs w:val="24"/>
              </w:rPr>
              <w:t xml:space="preserve"> </w:t>
            </w:r>
            <w:r>
              <w:rPr>
                <w:spacing w:val="1"/>
                <w:sz w:val="24"/>
                <w:szCs w:val="24"/>
              </w:rPr>
              <w:t>制土地复垦方案，临时用地使用完成后，建设单位应按经批准的土地复垦方案及时组织</w:t>
            </w:r>
          </w:p>
          <w:p>
            <w:pPr>
              <w:pStyle w:val="6"/>
              <w:spacing w:line="219" w:lineRule="auto"/>
              <w:ind w:left="114"/>
              <w:rPr>
                <w:sz w:val="24"/>
                <w:szCs w:val="24"/>
              </w:rPr>
            </w:pPr>
            <w:r>
              <w:rPr>
                <w:spacing w:val="-3"/>
                <w:sz w:val="24"/>
                <w:szCs w:val="24"/>
              </w:rPr>
              <w:t>复垦，确保被压占破坏土地恢复原土地使用状态。</w:t>
            </w:r>
          </w:p>
          <w:p>
            <w:pPr>
              <w:pStyle w:val="6"/>
              <w:spacing w:before="194" w:line="480" w:lineRule="exact"/>
              <w:ind w:left="587"/>
              <w:rPr>
                <w:sz w:val="24"/>
                <w:szCs w:val="24"/>
              </w:rPr>
            </w:pPr>
            <w:r>
              <w:rPr>
                <w:spacing w:val="1"/>
                <w:position w:val="18"/>
                <w:sz w:val="24"/>
                <w:szCs w:val="24"/>
              </w:rPr>
              <w:t>在采取积极的赔偿措施、施工管理、耕地恢复措施后，工程施工对永久基本农田的</w:t>
            </w:r>
          </w:p>
          <w:p>
            <w:pPr>
              <w:pStyle w:val="6"/>
              <w:spacing w:before="1" w:line="220" w:lineRule="auto"/>
              <w:ind w:left="108"/>
              <w:rPr>
                <w:sz w:val="24"/>
                <w:szCs w:val="24"/>
              </w:rPr>
            </w:pPr>
            <w:r>
              <w:rPr>
                <w:spacing w:val="-7"/>
                <w:sz w:val="24"/>
                <w:szCs w:val="24"/>
              </w:rPr>
              <w:t>影响可接受。</w:t>
            </w:r>
          </w:p>
          <w:p>
            <w:pPr>
              <w:pStyle w:val="6"/>
              <w:spacing w:before="193"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3</w:t>
            </w:r>
            <w:r>
              <w:rPr>
                <w:spacing w:val="-2"/>
                <w:sz w:val="24"/>
                <w:szCs w:val="24"/>
                <w14:textOutline w14:w="4354" w14:cap="flat" w14:cmpd="sng">
                  <w14:solidFill>
                    <w14:srgbClr w14:val="000000"/>
                  </w14:solidFill>
                  <w14:prstDash w14:val="solid"/>
                  <w14:miter w14:val="10"/>
                </w14:textOutline>
              </w:rPr>
              <w:t>）水土流失影响分析</w:t>
            </w:r>
          </w:p>
          <w:p>
            <w:pPr>
              <w:pStyle w:val="6"/>
              <w:spacing w:before="195" w:line="369" w:lineRule="auto"/>
              <w:ind w:left="107" w:right="106" w:firstLine="484"/>
              <w:rPr>
                <w:sz w:val="24"/>
                <w:szCs w:val="24"/>
              </w:rPr>
            </w:pPr>
            <w:r>
              <w:rPr>
                <w:spacing w:val="-2"/>
                <w:sz w:val="24"/>
                <w:szCs w:val="24"/>
              </w:rPr>
              <w:t>一般项目建设对水土流失的影响主要表现在以下两</w:t>
            </w:r>
            <w:r>
              <w:rPr>
                <w:spacing w:val="-3"/>
                <w:sz w:val="24"/>
                <w:szCs w:val="24"/>
              </w:rPr>
              <w:t>方面： 由于地表开挖破坏植被，</w:t>
            </w:r>
            <w:r>
              <w:rPr>
                <w:sz w:val="24"/>
                <w:szCs w:val="24"/>
              </w:rPr>
              <w:t xml:space="preserve"> </w:t>
            </w:r>
            <w:r>
              <w:rPr>
                <w:spacing w:val="1"/>
                <w:sz w:val="24"/>
                <w:szCs w:val="24"/>
              </w:rPr>
              <w:t>造成地面裸露，降雨时加深土壤侵蚀和水土流失；各类临时占地破坏原有植被，使当地</w:t>
            </w:r>
            <w:r>
              <w:rPr>
                <w:spacing w:val="2"/>
                <w:sz w:val="24"/>
                <w:szCs w:val="24"/>
              </w:rPr>
              <w:t xml:space="preserve"> </w:t>
            </w:r>
            <w:r>
              <w:rPr>
                <w:spacing w:val="-2"/>
                <w:sz w:val="24"/>
                <w:szCs w:val="24"/>
              </w:rPr>
              <w:t>水土流失情况加剧。为有效降低施工建设活动对水土流失的影响， 现提出以下水土</w:t>
            </w:r>
            <w:r>
              <w:rPr>
                <w:spacing w:val="-3"/>
                <w:sz w:val="24"/>
                <w:szCs w:val="24"/>
              </w:rPr>
              <w:t>流失</w:t>
            </w:r>
          </w:p>
          <w:p>
            <w:pPr>
              <w:pStyle w:val="6"/>
              <w:spacing w:before="1" w:line="220" w:lineRule="auto"/>
              <w:ind w:left="123"/>
              <w:rPr>
                <w:sz w:val="24"/>
                <w:szCs w:val="24"/>
              </w:rPr>
            </w:pPr>
            <w:r>
              <w:rPr>
                <w:spacing w:val="-10"/>
                <w:sz w:val="24"/>
                <w:szCs w:val="24"/>
              </w:rPr>
              <w:t>防治措施。</w:t>
            </w:r>
          </w:p>
          <w:p>
            <w:pPr>
              <w:pStyle w:val="6"/>
              <w:spacing w:before="194" w:line="369" w:lineRule="auto"/>
              <w:ind w:left="108" w:right="106" w:firstLine="498"/>
              <w:rPr>
                <w:sz w:val="24"/>
                <w:szCs w:val="24"/>
              </w:rPr>
            </w:pPr>
            <w:r>
              <w:rPr>
                <w:rFonts w:ascii="Times New Roman" w:hAnsi="Times New Roman" w:eastAsia="Times New Roman" w:cs="Times New Roman"/>
                <w:spacing w:val="-3"/>
                <w:sz w:val="24"/>
                <w:szCs w:val="24"/>
              </w:rPr>
              <w:t>1</w:t>
            </w:r>
            <w:r>
              <w:rPr>
                <w:spacing w:val="-3"/>
                <w:sz w:val="24"/>
                <w:szCs w:val="24"/>
              </w:rPr>
              <w:t>）项目在修建井场、池体等施工时通过采取修建排水沟、护坡、临时堆土场设挡土</w:t>
            </w:r>
            <w:r>
              <w:rPr>
                <w:spacing w:val="11"/>
                <w:sz w:val="24"/>
                <w:szCs w:val="24"/>
              </w:rPr>
              <w:t xml:space="preserve"> </w:t>
            </w:r>
            <w:r>
              <w:rPr>
                <w:spacing w:val="-2"/>
                <w:sz w:val="24"/>
                <w:szCs w:val="24"/>
              </w:rPr>
              <w:t>墙和排水沟等措施， 有效控制水土流失量。施工结束后，通过对施工迹地地表植</w:t>
            </w:r>
            <w:r>
              <w:rPr>
                <w:spacing w:val="-3"/>
                <w:sz w:val="24"/>
                <w:szCs w:val="24"/>
              </w:rPr>
              <w:t>被的恢</w:t>
            </w:r>
          </w:p>
          <w:p>
            <w:pPr>
              <w:pStyle w:val="6"/>
              <w:spacing w:before="1" w:line="219" w:lineRule="auto"/>
              <w:ind w:left="114"/>
              <w:rPr>
                <w:sz w:val="24"/>
                <w:szCs w:val="24"/>
              </w:rPr>
            </w:pPr>
            <w:r>
              <w:rPr>
                <w:spacing w:val="-4"/>
                <w:sz w:val="24"/>
                <w:szCs w:val="24"/>
              </w:rPr>
              <w:t>复，水土流失将得到有效控制。</w:t>
            </w:r>
          </w:p>
          <w:p>
            <w:pPr>
              <w:pStyle w:val="6"/>
              <w:spacing w:before="195" w:line="480" w:lineRule="exact"/>
              <w:ind w:left="584"/>
              <w:rPr>
                <w:sz w:val="24"/>
                <w:szCs w:val="24"/>
              </w:rPr>
            </w:pPr>
            <w:r>
              <w:rPr>
                <w:rFonts w:ascii="Times New Roman" w:hAnsi="Times New Roman" w:eastAsia="Times New Roman" w:cs="Times New Roman"/>
                <w:spacing w:val="-11"/>
                <w:position w:val="18"/>
                <w:sz w:val="24"/>
                <w:szCs w:val="24"/>
              </w:rPr>
              <w:t>2</w:t>
            </w:r>
            <w:r>
              <w:rPr>
                <w:spacing w:val="-11"/>
                <w:position w:val="18"/>
                <w:sz w:val="24"/>
                <w:szCs w:val="24"/>
              </w:rPr>
              <w:t>）对于工程施工所用的临时路线，</w:t>
            </w:r>
            <w:r>
              <w:rPr>
                <w:spacing w:val="54"/>
                <w:position w:val="18"/>
                <w:sz w:val="24"/>
                <w:szCs w:val="24"/>
              </w:rPr>
              <w:t xml:space="preserve"> </w:t>
            </w:r>
            <w:r>
              <w:rPr>
                <w:spacing w:val="-11"/>
                <w:position w:val="18"/>
                <w:sz w:val="24"/>
                <w:szCs w:val="24"/>
              </w:rPr>
              <w:t>尽量选择已有的便道，</w:t>
            </w:r>
            <w:r>
              <w:rPr>
                <w:spacing w:val="44"/>
                <w:position w:val="18"/>
                <w:sz w:val="24"/>
                <w:szCs w:val="24"/>
              </w:rPr>
              <w:t xml:space="preserve"> </w:t>
            </w:r>
            <w:r>
              <w:rPr>
                <w:spacing w:val="-11"/>
                <w:position w:val="18"/>
                <w:sz w:val="24"/>
                <w:szCs w:val="24"/>
              </w:rPr>
              <w:t>或者选择植被生长差的地</w:t>
            </w:r>
          </w:p>
          <w:p>
            <w:pPr>
              <w:pStyle w:val="6"/>
              <w:spacing w:before="1" w:line="218" w:lineRule="auto"/>
              <w:ind w:left="109"/>
              <w:rPr>
                <w:sz w:val="24"/>
                <w:szCs w:val="24"/>
              </w:rPr>
            </w:pPr>
            <w:r>
              <w:rPr>
                <w:spacing w:val="-1"/>
                <w:sz w:val="24"/>
                <w:szCs w:val="24"/>
              </w:rPr>
              <w:t>段。对于施工机械车辆应固定其行驶路线，禁止乱压乱碾，任意破</w:t>
            </w:r>
            <w:r>
              <w:rPr>
                <w:spacing w:val="-2"/>
                <w:sz w:val="24"/>
                <w:szCs w:val="24"/>
              </w:rPr>
              <w:t>坏地表植被。</w:t>
            </w:r>
          </w:p>
          <w:p>
            <w:pPr>
              <w:pStyle w:val="6"/>
              <w:spacing w:before="195" w:line="220" w:lineRule="auto"/>
              <w:ind w:left="588"/>
              <w:rPr>
                <w:sz w:val="24"/>
                <w:szCs w:val="24"/>
              </w:rPr>
            </w:pPr>
            <w:r>
              <w:rPr>
                <w:rFonts w:ascii="Times New Roman" w:hAnsi="Times New Roman" w:eastAsia="Times New Roman" w:cs="Times New Roman"/>
                <w:spacing w:val="-7"/>
                <w:sz w:val="24"/>
                <w:szCs w:val="24"/>
              </w:rPr>
              <w:t>3</w:t>
            </w:r>
            <w:r>
              <w:rPr>
                <w:spacing w:val="-7"/>
                <w:sz w:val="24"/>
                <w:szCs w:val="24"/>
              </w:rPr>
              <w:t>）加强道路两侧树木的保护工作，</w:t>
            </w:r>
            <w:r>
              <w:rPr>
                <w:spacing w:val="62"/>
                <w:sz w:val="24"/>
                <w:szCs w:val="24"/>
              </w:rPr>
              <w:t xml:space="preserve"> </w:t>
            </w:r>
            <w:r>
              <w:rPr>
                <w:spacing w:val="-7"/>
                <w:sz w:val="24"/>
                <w:szCs w:val="24"/>
              </w:rPr>
              <w:t>道路两侧原有的</w:t>
            </w:r>
            <w:r>
              <w:rPr>
                <w:spacing w:val="-8"/>
                <w:sz w:val="24"/>
                <w:szCs w:val="24"/>
              </w:rPr>
              <w:t>树木应加以保护。</w:t>
            </w:r>
          </w:p>
          <w:p>
            <w:pPr>
              <w:pStyle w:val="6"/>
              <w:spacing w:before="195" w:line="479" w:lineRule="exact"/>
              <w:ind w:left="582"/>
              <w:rPr>
                <w:sz w:val="24"/>
                <w:szCs w:val="24"/>
              </w:rPr>
            </w:pPr>
            <w:r>
              <w:rPr>
                <w:rFonts w:ascii="Times New Roman" w:hAnsi="Times New Roman" w:eastAsia="Times New Roman" w:cs="Times New Roman"/>
                <w:spacing w:val="-11"/>
                <w:position w:val="18"/>
                <w:sz w:val="24"/>
                <w:szCs w:val="24"/>
              </w:rPr>
              <w:t>4</w:t>
            </w:r>
            <w:r>
              <w:rPr>
                <w:spacing w:val="-11"/>
                <w:position w:val="18"/>
                <w:sz w:val="24"/>
                <w:szCs w:val="24"/>
              </w:rPr>
              <w:t>）项目施工过程中涉及挖方量大的项目应加快施工进度，</w:t>
            </w:r>
            <w:r>
              <w:rPr>
                <w:spacing w:val="59"/>
                <w:position w:val="18"/>
                <w:sz w:val="24"/>
                <w:szCs w:val="24"/>
              </w:rPr>
              <w:t xml:space="preserve"> </w:t>
            </w:r>
            <w:r>
              <w:rPr>
                <w:spacing w:val="-11"/>
                <w:position w:val="18"/>
                <w:sz w:val="24"/>
                <w:szCs w:val="24"/>
              </w:rPr>
              <w:t>缩短施工时间，</w:t>
            </w:r>
            <w:r>
              <w:rPr>
                <w:spacing w:val="40"/>
                <w:position w:val="18"/>
                <w:sz w:val="24"/>
                <w:szCs w:val="24"/>
              </w:rPr>
              <w:t xml:space="preserve"> </w:t>
            </w:r>
            <w:r>
              <w:rPr>
                <w:spacing w:val="-11"/>
                <w:position w:val="18"/>
                <w:sz w:val="24"/>
                <w:szCs w:val="24"/>
              </w:rPr>
              <w:t>对产生的</w:t>
            </w:r>
          </w:p>
          <w:p>
            <w:pPr>
              <w:pStyle w:val="6"/>
              <w:spacing w:before="1" w:line="219" w:lineRule="auto"/>
              <w:ind w:left="107"/>
              <w:rPr>
                <w:sz w:val="24"/>
                <w:szCs w:val="24"/>
              </w:rPr>
            </w:pPr>
            <w:r>
              <w:rPr>
                <w:spacing w:val="-7"/>
                <w:sz w:val="24"/>
                <w:szCs w:val="24"/>
              </w:rPr>
              <w:t>挖方及时进行平整处理。此外，</w:t>
            </w:r>
            <w:r>
              <w:rPr>
                <w:spacing w:val="40"/>
                <w:sz w:val="24"/>
                <w:szCs w:val="24"/>
              </w:rPr>
              <w:t xml:space="preserve"> </w:t>
            </w:r>
            <w:r>
              <w:rPr>
                <w:spacing w:val="-7"/>
                <w:sz w:val="24"/>
                <w:szCs w:val="24"/>
              </w:rPr>
              <w:t>施工时应避免在雨天、大风等</w:t>
            </w:r>
            <w:r>
              <w:rPr>
                <w:spacing w:val="-8"/>
                <w:sz w:val="24"/>
                <w:szCs w:val="24"/>
              </w:rPr>
              <w:t>天气条件不利情况下施工，</w:t>
            </w:r>
          </w:p>
        </w:tc>
      </w:tr>
    </w:tbl>
    <w:p>
      <w:pPr>
        <w:pStyle w:val="2"/>
        <w:rPr>
          <w:sz w:val="21"/>
        </w:rPr>
      </w:pPr>
    </w:p>
    <w:p>
      <w:pPr>
        <w:rPr>
          <w:sz w:val="21"/>
          <w:szCs w:val="21"/>
        </w:rPr>
        <w:sectPr>
          <w:footerReference r:id="rId92"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2" w:line="480" w:lineRule="exact"/>
              <w:ind w:left="108"/>
              <w:rPr>
                <w:sz w:val="24"/>
                <w:szCs w:val="24"/>
              </w:rPr>
            </w:pPr>
            <w:r>
              <w:rPr>
                <w:spacing w:val="-2"/>
                <w:position w:val="18"/>
                <w:sz w:val="24"/>
                <w:szCs w:val="24"/>
              </w:rPr>
              <w:t>做到水土流失最小化，如遇特殊天气施工， 应用施工布料对现挖松散临时弃土进</w:t>
            </w:r>
            <w:r>
              <w:rPr>
                <w:spacing w:val="-3"/>
                <w:position w:val="18"/>
                <w:sz w:val="24"/>
                <w:szCs w:val="24"/>
              </w:rPr>
              <w:t>行临时</w:t>
            </w:r>
          </w:p>
          <w:p>
            <w:pPr>
              <w:pStyle w:val="6"/>
              <w:spacing w:line="219" w:lineRule="auto"/>
              <w:ind w:left="107"/>
              <w:rPr>
                <w:sz w:val="24"/>
                <w:szCs w:val="24"/>
              </w:rPr>
            </w:pPr>
            <w:r>
              <w:rPr>
                <w:spacing w:val="-3"/>
                <w:sz w:val="24"/>
                <w:szCs w:val="24"/>
              </w:rPr>
              <w:t>遮掩，保证有效控制水土流失。</w:t>
            </w:r>
          </w:p>
          <w:p>
            <w:pPr>
              <w:pStyle w:val="6"/>
              <w:spacing w:before="194"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spacing w:val="-1"/>
                <w:sz w:val="24"/>
                <w:szCs w:val="24"/>
                <w14:textOutline w14:w="4354" w14:cap="flat" w14:cmpd="sng">
                  <w14:solidFill>
                    <w14:srgbClr w14:val="000000"/>
                  </w14:solidFill>
                  <w14:prstDash w14:val="solid"/>
                  <w14:miter w14:val="10"/>
                </w14:textOutline>
              </w:rPr>
              <w:t>）对项目所在区域植物影响分析</w:t>
            </w:r>
          </w:p>
          <w:p>
            <w:pPr>
              <w:pStyle w:val="6"/>
              <w:spacing w:before="195" w:line="369" w:lineRule="auto"/>
              <w:ind w:left="110" w:right="102" w:firstLine="481"/>
              <w:rPr>
                <w:sz w:val="24"/>
                <w:szCs w:val="24"/>
              </w:rPr>
            </w:pPr>
            <w:r>
              <w:rPr>
                <w:spacing w:val="-2"/>
                <w:sz w:val="24"/>
                <w:szCs w:val="24"/>
              </w:rPr>
              <w:t>项目区受人类活动影响强烈，主要为属于农田生态系统， 区</w:t>
            </w:r>
            <w:r>
              <w:rPr>
                <w:spacing w:val="-3"/>
                <w:sz w:val="24"/>
                <w:szCs w:val="24"/>
              </w:rPr>
              <w:t>域内未发现重点保护及</w:t>
            </w:r>
            <w:r>
              <w:rPr>
                <w:sz w:val="24"/>
                <w:szCs w:val="24"/>
              </w:rPr>
              <w:t xml:space="preserve"> </w:t>
            </w:r>
            <w:r>
              <w:rPr>
                <w:spacing w:val="-2"/>
                <w:sz w:val="24"/>
                <w:szCs w:val="24"/>
              </w:rPr>
              <w:t>珍稀植物。本项目对植被的影响主要表现在占地对少量农作物的破坏， 占用</w:t>
            </w:r>
            <w:r>
              <w:rPr>
                <w:spacing w:val="-3"/>
                <w:sz w:val="24"/>
                <w:szCs w:val="24"/>
              </w:rPr>
              <w:t>的早地工程</w:t>
            </w:r>
            <w:r>
              <w:rPr>
                <w:sz w:val="24"/>
                <w:szCs w:val="24"/>
              </w:rPr>
              <w:t xml:space="preserve"> </w:t>
            </w:r>
            <w:r>
              <w:rPr>
                <w:spacing w:val="-2"/>
                <w:sz w:val="24"/>
                <w:szCs w:val="24"/>
              </w:rPr>
              <w:t>建设单位按相关规定对当地居民进行赔偿： 在工程施工完毕后，将对井场钻井设备</w:t>
            </w:r>
            <w:r>
              <w:rPr>
                <w:spacing w:val="-3"/>
                <w:sz w:val="24"/>
                <w:szCs w:val="24"/>
              </w:rPr>
              <w:t>进行</w:t>
            </w:r>
          </w:p>
          <w:p>
            <w:pPr>
              <w:pStyle w:val="6"/>
              <w:spacing w:line="219" w:lineRule="auto"/>
              <w:ind w:left="108"/>
              <w:rPr>
                <w:sz w:val="24"/>
                <w:szCs w:val="24"/>
              </w:rPr>
            </w:pPr>
            <w:r>
              <w:rPr>
                <w:spacing w:val="-2"/>
                <w:sz w:val="24"/>
                <w:szCs w:val="24"/>
              </w:rPr>
              <w:t>拆除、搬迁，开展土地复垦，项目建设对区域植被影响小。</w:t>
            </w:r>
          </w:p>
          <w:p>
            <w:pPr>
              <w:pStyle w:val="6"/>
              <w:spacing w:before="194" w:line="221" w:lineRule="auto"/>
              <w:ind w:left="607"/>
              <w:rPr>
                <w:sz w:val="24"/>
                <w:szCs w:val="24"/>
              </w:rPr>
            </w:pPr>
            <w:r>
              <w:rPr>
                <w:rFonts w:ascii="Times New Roman" w:hAnsi="Times New Roman" w:eastAsia="Times New Roman" w:cs="Times New Roman"/>
                <w:spacing w:val="-6"/>
                <w:sz w:val="24"/>
                <w:szCs w:val="24"/>
              </w:rPr>
              <w:t>1</w:t>
            </w:r>
            <w:r>
              <w:rPr>
                <w:spacing w:val="-6"/>
                <w:sz w:val="24"/>
                <w:szCs w:val="24"/>
              </w:rPr>
              <w:t>）对生物量的影响</w:t>
            </w:r>
          </w:p>
          <w:p>
            <w:pPr>
              <w:pStyle w:val="6"/>
              <w:spacing w:before="196" w:line="369" w:lineRule="auto"/>
              <w:ind w:left="107" w:right="100" w:firstLine="480"/>
              <w:rPr>
                <w:sz w:val="24"/>
                <w:szCs w:val="24"/>
              </w:rPr>
            </w:pPr>
            <w:r>
              <w:rPr>
                <w:spacing w:val="-2"/>
                <w:sz w:val="24"/>
                <w:szCs w:val="24"/>
              </w:rPr>
              <w:t>井场等工程建设将清除地表植被， 剥离地表覆盖层，势必降低</w:t>
            </w:r>
            <w:r>
              <w:rPr>
                <w:spacing w:val="-3"/>
                <w:sz w:val="24"/>
                <w:szCs w:val="24"/>
              </w:rPr>
              <w:t>植被覆盖率，导致区</w:t>
            </w:r>
            <w:r>
              <w:rPr>
                <w:sz w:val="24"/>
                <w:szCs w:val="24"/>
              </w:rPr>
              <w:t xml:space="preserve"> </w:t>
            </w:r>
            <w:r>
              <w:rPr>
                <w:spacing w:val="-4"/>
                <w:sz w:val="24"/>
                <w:szCs w:val="24"/>
              </w:rPr>
              <w:t>域植被的损失。</w:t>
            </w:r>
            <w:r>
              <w:rPr>
                <w:spacing w:val="-26"/>
                <w:sz w:val="24"/>
                <w:szCs w:val="24"/>
              </w:rPr>
              <w:t xml:space="preserve"> </w:t>
            </w:r>
            <w:r>
              <w:rPr>
                <w:spacing w:val="-4"/>
                <w:sz w:val="24"/>
                <w:szCs w:val="24"/>
              </w:rPr>
              <w:t>一般工程临时占地对农作物的影</w:t>
            </w:r>
            <w:r>
              <w:rPr>
                <w:spacing w:val="-5"/>
                <w:sz w:val="24"/>
                <w:szCs w:val="24"/>
              </w:rPr>
              <w:t>响主要为当季影响，在施工结束后， 第</w:t>
            </w:r>
            <w:r>
              <w:rPr>
                <w:sz w:val="24"/>
                <w:szCs w:val="24"/>
              </w:rPr>
              <w:t xml:space="preserve"> </w:t>
            </w:r>
            <w:r>
              <w:rPr>
                <w:spacing w:val="-1"/>
                <w:sz w:val="24"/>
                <w:szCs w:val="24"/>
              </w:rPr>
              <w:t xml:space="preserve">二年即可复种，根据同类工程调查，复垦地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2"/>
                <w:sz w:val="24"/>
                <w:szCs w:val="24"/>
              </w:rPr>
              <w:t xml:space="preserve"> </w:t>
            </w:r>
            <w:r>
              <w:rPr>
                <w:spacing w:val="-2"/>
                <w:sz w:val="24"/>
                <w:szCs w:val="24"/>
              </w:rPr>
              <w:t>年即可恢复到原有产量。植被生物量损</w:t>
            </w:r>
            <w:r>
              <w:rPr>
                <w:sz w:val="24"/>
                <w:szCs w:val="24"/>
              </w:rPr>
              <w:t xml:space="preserve"> </w:t>
            </w:r>
            <w:r>
              <w:rPr>
                <w:spacing w:val="1"/>
                <w:sz w:val="24"/>
                <w:szCs w:val="24"/>
              </w:rPr>
              <w:t>失的植被类型主要为农作物，对天然植被生物量损失较低。项目的</w:t>
            </w:r>
            <w:r>
              <w:rPr>
                <w:rFonts w:hint="eastAsia"/>
                <w:spacing w:val="1"/>
                <w:sz w:val="24"/>
                <w:szCs w:val="24"/>
              </w:rPr>
              <w:t>建设用地</w:t>
            </w:r>
            <w:r>
              <w:rPr>
                <w:spacing w:val="1"/>
                <w:sz w:val="24"/>
                <w:szCs w:val="24"/>
              </w:rPr>
              <w:t>表农作物或</w:t>
            </w:r>
            <w:r>
              <w:rPr>
                <w:spacing w:val="5"/>
                <w:sz w:val="24"/>
                <w:szCs w:val="24"/>
              </w:rPr>
              <w:t xml:space="preserve"> </w:t>
            </w:r>
            <w:r>
              <w:rPr>
                <w:spacing w:val="1"/>
                <w:sz w:val="24"/>
                <w:szCs w:val="24"/>
              </w:rPr>
              <w:t>植被产生一定的扰动和破坏，但是这种影响会随着项目闭井后逐步消减。若对项目占地</w:t>
            </w:r>
            <w:r>
              <w:rPr>
                <w:spacing w:val="7"/>
                <w:sz w:val="24"/>
                <w:szCs w:val="24"/>
              </w:rPr>
              <w:t xml:space="preserve"> </w:t>
            </w:r>
            <w:r>
              <w:rPr>
                <w:spacing w:val="1"/>
                <w:sz w:val="24"/>
                <w:szCs w:val="24"/>
              </w:rPr>
              <w:t>采取植被恢复或绿化措施，在建设期损失的地表植被生物总量和生产力会得到一定的补</w:t>
            </w:r>
          </w:p>
          <w:p>
            <w:pPr>
              <w:pStyle w:val="6"/>
              <w:spacing w:line="220" w:lineRule="auto"/>
              <w:ind w:left="107"/>
              <w:rPr>
                <w:sz w:val="24"/>
                <w:szCs w:val="24"/>
              </w:rPr>
            </w:pPr>
            <w:r>
              <w:rPr>
                <w:spacing w:val="-11"/>
                <w:sz w:val="24"/>
                <w:szCs w:val="24"/>
              </w:rPr>
              <w:t>偿。</w:t>
            </w:r>
          </w:p>
          <w:p>
            <w:pPr>
              <w:pStyle w:val="6"/>
              <w:spacing w:before="193" w:line="220" w:lineRule="auto"/>
              <w:ind w:left="584"/>
              <w:rPr>
                <w:sz w:val="24"/>
                <w:szCs w:val="24"/>
              </w:rPr>
            </w:pPr>
            <w:r>
              <w:rPr>
                <w:rFonts w:ascii="Times New Roman" w:hAnsi="Times New Roman" w:eastAsia="Times New Roman" w:cs="Times New Roman"/>
                <w:spacing w:val="-3"/>
                <w:sz w:val="24"/>
                <w:szCs w:val="24"/>
              </w:rPr>
              <w:t>2</w:t>
            </w:r>
            <w:r>
              <w:rPr>
                <w:spacing w:val="-3"/>
                <w:sz w:val="24"/>
                <w:szCs w:val="24"/>
              </w:rPr>
              <w:t>）对多样性的影响</w:t>
            </w:r>
          </w:p>
          <w:p>
            <w:pPr>
              <w:pStyle w:val="6"/>
              <w:spacing w:before="197" w:line="369" w:lineRule="auto"/>
              <w:ind w:left="107" w:right="33" w:firstLine="509"/>
              <w:rPr>
                <w:sz w:val="24"/>
                <w:szCs w:val="24"/>
              </w:rPr>
            </w:pPr>
            <w:r>
              <w:rPr>
                <w:sz w:val="24"/>
                <w:szCs w:val="24"/>
              </w:rPr>
              <w:t>由于地表工程建设等因素，造成植物生境的破坏，使得植被覆盖率降低，植物生产</w:t>
            </w:r>
            <w:r>
              <w:rPr>
                <w:spacing w:val="8"/>
                <w:sz w:val="24"/>
                <w:szCs w:val="24"/>
              </w:rPr>
              <w:t xml:space="preserve"> </w:t>
            </w:r>
            <w:r>
              <w:rPr>
                <w:spacing w:val="-14"/>
                <w:sz w:val="24"/>
                <w:szCs w:val="24"/>
              </w:rPr>
              <w:t>能力下降， 生物多样性降低，</w:t>
            </w:r>
            <w:r>
              <w:rPr>
                <w:spacing w:val="44"/>
                <w:sz w:val="24"/>
                <w:szCs w:val="24"/>
              </w:rPr>
              <w:t xml:space="preserve"> </w:t>
            </w:r>
            <w:r>
              <w:rPr>
                <w:spacing w:val="-14"/>
                <w:sz w:val="24"/>
                <w:szCs w:val="24"/>
              </w:rPr>
              <w:t>从而导致环境功能的下降，</w:t>
            </w:r>
            <w:r>
              <w:rPr>
                <w:spacing w:val="42"/>
                <w:sz w:val="24"/>
                <w:szCs w:val="24"/>
              </w:rPr>
              <w:t xml:space="preserve"> </w:t>
            </w:r>
            <w:r>
              <w:rPr>
                <w:spacing w:val="-15"/>
                <w:sz w:val="24"/>
                <w:szCs w:val="24"/>
              </w:rPr>
              <w:t>使评价范围内的总生物量减少，</w:t>
            </w:r>
            <w:r>
              <w:rPr>
                <w:sz w:val="24"/>
                <w:szCs w:val="24"/>
              </w:rPr>
              <w:t xml:space="preserve"> </w:t>
            </w:r>
            <w:r>
              <w:rPr>
                <w:spacing w:val="1"/>
                <w:sz w:val="24"/>
                <w:szCs w:val="24"/>
              </w:rPr>
              <w:t>对局部区域的生物量有一定影响。根据现场调查，工程建设破坏的植被以人工生态系统</w:t>
            </w:r>
            <w:r>
              <w:rPr>
                <w:spacing w:val="2"/>
                <w:sz w:val="24"/>
                <w:szCs w:val="24"/>
              </w:rPr>
              <w:t xml:space="preserve"> </w:t>
            </w:r>
            <w:r>
              <w:rPr>
                <w:spacing w:val="-9"/>
                <w:sz w:val="24"/>
                <w:szCs w:val="24"/>
              </w:rPr>
              <w:t>为主， 项目选址不涉及自然保护区、森林公园等特有生物多样性保护区； 在施工结束后，</w:t>
            </w:r>
            <w:r>
              <w:rPr>
                <w:spacing w:val="2"/>
                <w:sz w:val="24"/>
                <w:szCs w:val="24"/>
              </w:rPr>
              <w:t xml:space="preserve"> </w:t>
            </w:r>
            <w:r>
              <w:rPr>
                <w:spacing w:val="1"/>
                <w:sz w:val="24"/>
                <w:szCs w:val="24"/>
              </w:rPr>
              <w:t>及时采用当地乡土树种进行植被恢复。落实相关措施后，不会造成区域生物多样性的降</w:t>
            </w:r>
            <w:r>
              <w:rPr>
                <w:spacing w:val="2"/>
                <w:sz w:val="24"/>
                <w:szCs w:val="24"/>
              </w:rPr>
              <w:t xml:space="preserve"> </w:t>
            </w:r>
            <w:r>
              <w:rPr>
                <w:spacing w:val="1"/>
                <w:sz w:val="24"/>
                <w:szCs w:val="24"/>
              </w:rPr>
              <w:t>低及保护植物数量的减少，不会造成生物物种入侵以及对当地及邻近地区植物种类的生</w:t>
            </w:r>
            <w:r>
              <w:rPr>
                <w:spacing w:val="7"/>
                <w:sz w:val="24"/>
                <w:szCs w:val="24"/>
              </w:rPr>
              <w:t xml:space="preserve"> </w:t>
            </w:r>
            <w:r>
              <w:rPr>
                <w:spacing w:val="-2"/>
                <w:sz w:val="24"/>
                <w:szCs w:val="24"/>
              </w:rPr>
              <w:t>存和繁衍造成影响。对整个地区生态系统的功能和稳定性不会产生大的影响， 更也</w:t>
            </w:r>
            <w:r>
              <w:rPr>
                <w:spacing w:val="-3"/>
                <w:sz w:val="24"/>
                <w:szCs w:val="24"/>
              </w:rPr>
              <w:t>不会</w:t>
            </w:r>
          </w:p>
          <w:p>
            <w:pPr>
              <w:pStyle w:val="6"/>
              <w:spacing w:line="220" w:lineRule="auto"/>
              <w:ind w:left="126"/>
              <w:rPr>
                <w:sz w:val="24"/>
                <w:szCs w:val="24"/>
              </w:rPr>
            </w:pPr>
            <w:r>
              <w:rPr>
                <w:spacing w:val="-7"/>
                <w:sz w:val="24"/>
                <w:szCs w:val="24"/>
              </w:rPr>
              <w:t>引起物种的损失。</w:t>
            </w:r>
          </w:p>
          <w:p>
            <w:pPr>
              <w:pStyle w:val="6"/>
              <w:spacing w:before="194" w:line="220" w:lineRule="auto"/>
              <w:ind w:left="588"/>
              <w:rPr>
                <w:sz w:val="24"/>
                <w:szCs w:val="24"/>
              </w:rPr>
            </w:pPr>
            <w:r>
              <w:rPr>
                <w:rFonts w:ascii="Times New Roman" w:hAnsi="Times New Roman" w:eastAsia="Times New Roman" w:cs="Times New Roman"/>
                <w:spacing w:val="-4"/>
                <w:sz w:val="24"/>
                <w:szCs w:val="24"/>
              </w:rPr>
              <w:t>3</w:t>
            </w:r>
            <w:r>
              <w:rPr>
                <w:spacing w:val="-4"/>
                <w:sz w:val="24"/>
                <w:szCs w:val="24"/>
              </w:rPr>
              <w:t>）失火风险</w:t>
            </w:r>
          </w:p>
          <w:p>
            <w:pPr>
              <w:pStyle w:val="6"/>
              <w:spacing w:before="195" w:line="480" w:lineRule="exact"/>
              <w:ind w:left="588"/>
              <w:rPr>
                <w:sz w:val="24"/>
                <w:szCs w:val="24"/>
              </w:rPr>
            </w:pPr>
            <w:r>
              <w:rPr>
                <w:spacing w:val="-2"/>
                <w:position w:val="18"/>
                <w:sz w:val="24"/>
                <w:szCs w:val="24"/>
              </w:rPr>
              <w:t>根据施工规范，</w:t>
            </w:r>
            <w:r>
              <w:rPr>
                <w:spacing w:val="-11"/>
                <w:position w:val="18"/>
                <w:sz w:val="24"/>
                <w:szCs w:val="24"/>
              </w:rPr>
              <w:t xml:space="preserve"> </w:t>
            </w:r>
            <w:r>
              <w:rPr>
                <w:spacing w:val="-2"/>
                <w:position w:val="18"/>
                <w:sz w:val="24"/>
                <w:szCs w:val="24"/>
              </w:rPr>
              <w:t>在燃烧池周边设置防火带，加上井场施工自身的防火要求，将严格</w:t>
            </w:r>
          </w:p>
          <w:p>
            <w:pPr>
              <w:pStyle w:val="6"/>
              <w:spacing w:line="219" w:lineRule="auto"/>
              <w:ind w:right="12"/>
              <w:jc w:val="right"/>
              <w:rPr>
                <w:sz w:val="24"/>
                <w:szCs w:val="24"/>
              </w:rPr>
            </w:pPr>
            <w:r>
              <w:rPr>
                <w:spacing w:val="-11"/>
                <w:sz w:val="24"/>
                <w:szCs w:val="24"/>
              </w:rPr>
              <w:t>控制施工人员的管理，</w:t>
            </w:r>
            <w:r>
              <w:rPr>
                <w:spacing w:val="43"/>
                <w:sz w:val="24"/>
                <w:szCs w:val="24"/>
              </w:rPr>
              <w:t xml:space="preserve"> </w:t>
            </w:r>
            <w:r>
              <w:rPr>
                <w:spacing w:val="-11"/>
                <w:sz w:val="24"/>
                <w:szCs w:val="24"/>
              </w:rPr>
              <w:t>规范使用火。做好相关管控措施后，</w:t>
            </w:r>
            <w:r>
              <w:rPr>
                <w:spacing w:val="40"/>
                <w:sz w:val="24"/>
                <w:szCs w:val="24"/>
              </w:rPr>
              <w:t xml:space="preserve"> </w:t>
            </w:r>
            <w:r>
              <w:rPr>
                <w:spacing w:val="-11"/>
                <w:sz w:val="24"/>
                <w:szCs w:val="24"/>
              </w:rPr>
              <w:t>造成周边植被起火风险性小。</w:t>
            </w:r>
          </w:p>
          <w:p>
            <w:pPr>
              <w:pStyle w:val="6"/>
              <w:spacing w:before="194"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spacing w:val="-1"/>
                <w:sz w:val="24"/>
                <w:szCs w:val="24"/>
                <w14:textOutline w14:w="4354" w14:cap="flat" w14:cmpd="sng">
                  <w14:solidFill>
                    <w14:srgbClr w14:val="000000"/>
                  </w14:solidFill>
                  <w14:prstDash w14:val="solid"/>
                  <w14:miter w14:val="10"/>
                </w14:textOutline>
              </w:rPr>
              <w:t>）对区域景观格局的影响分析</w:t>
            </w:r>
          </w:p>
          <w:p>
            <w:pPr>
              <w:pStyle w:val="6"/>
              <w:spacing w:before="194" w:line="220" w:lineRule="auto"/>
              <w:ind w:left="588"/>
              <w:rPr>
                <w:sz w:val="24"/>
                <w:szCs w:val="24"/>
              </w:rPr>
            </w:pPr>
            <w:r>
              <w:rPr>
                <w:spacing w:val="-2"/>
                <w:sz w:val="24"/>
                <w:szCs w:val="24"/>
              </w:rPr>
              <w:t>根据调查， 区域内景观单元异质性程度高，工程的开展可使区域景观异质</w:t>
            </w:r>
            <w:r>
              <w:rPr>
                <w:spacing w:val="-3"/>
                <w:sz w:val="24"/>
                <w:szCs w:val="24"/>
              </w:rPr>
              <w:t>化程度进</w:t>
            </w:r>
          </w:p>
        </w:tc>
      </w:tr>
    </w:tbl>
    <w:p>
      <w:pPr>
        <w:pStyle w:val="2"/>
        <w:rPr>
          <w:sz w:val="21"/>
        </w:rPr>
      </w:pPr>
    </w:p>
    <w:p>
      <w:pPr>
        <w:rPr>
          <w:sz w:val="21"/>
          <w:szCs w:val="21"/>
        </w:rPr>
        <w:sectPr>
          <w:footerReference r:id="rId93"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3" w:line="369" w:lineRule="auto"/>
              <w:ind w:left="107" w:right="100" w:firstLine="4"/>
              <w:jc w:val="both"/>
              <w:rPr>
                <w:sz w:val="24"/>
                <w:szCs w:val="24"/>
              </w:rPr>
            </w:pPr>
            <w:r>
              <w:rPr>
                <w:spacing w:val="-2"/>
                <w:sz w:val="24"/>
                <w:szCs w:val="24"/>
              </w:rPr>
              <w:t>一步提高，引起局部生态景观的变化。但由于井场面积较小， 工程工矿</w:t>
            </w:r>
            <w:r>
              <w:rPr>
                <w:spacing w:val="-3"/>
                <w:sz w:val="24"/>
                <w:szCs w:val="24"/>
              </w:rPr>
              <w:t>景观的加入对评</w:t>
            </w:r>
            <w:r>
              <w:rPr>
                <w:sz w:val="24"/>
                <w:szCs w:val="24"/>
              </w:rPr>
              <w:t xml:space="preserve"> </w:t>
            </w:r>
            <w:r>
              <w:rPr>
                <w:spacing w:val="-2"/>
                <w:sz w:val="24"/>
                <w:szCs w:val="24"/>
              </w:rPr>
              <w:t>价范围现有景观格局并没有太大改变， 除人工建筑景观外其他景观的多样性指数、优势</w:t>
            </w:r>
            <w:r>
              <w:rPr>
                <w:spacing w:val="3"/>
                <w:sz w:val="24"/>
                <w:szCs w:val="24"/>
              </w:rPr>
              <w:t xml:space="preserve"> </w:t>
            </w:r>
            <w:r>
              <w:rPr>
                <w:spacing w:val="-2"/>
                <w:sz w:val="24"/>
                <w:szCs w:val="24"/>
              </w:rPr>
              <w:t>度均没有太大变化， 各景观内部景观要素的组成稳定。但工程的实施将会使区域景观斑</w:t>
            </w:r>
            <w:r>
              <w:rPr>
                <w:sz w:val="24"/>
                <w:szCs w:val="24"/>
              </w:rPr>
              <w:t xml:space="preserve"> </w:t>
            </w:r>
            <w:r>
              <w:rPr>
                <w:spacing w:val="1"/>
                <w:sz w:val="24"/>
                <w:szCs w:val="24"/>
              </w:rPr>
              <w:t>块的破碎程度有一定的增加，但对自然景观内部功能的发挥阻碍作用较小，板块之间继</w:t>
            </w:r>
          </w:p>
          <w:p>
            <w:pPr>
              <w:pStyle w:val="6"/>
              <w:spacing w:line="219" w:lineRule="auto"/>
              <w:ind w:left="111"/>
              <w:rPr>
                <w:sz w:val="24"/>
                <w:szCs w:val="24"/>
              </w:rPr>
            </w:pPr>
            <w:r>
              <w:rPr>
                <w:spacing w:val="-4"/>
                <w:sz w:val="24"/>
                <w:szCs w:val="24"/>
              </w:rPr>
              <w:t>续保持着较高的连通性。</w:t>
            </w:r>
          </w:p>
          <w:p>
            <w:pPr>
              <w:pStyle w:val="6"/>
              <w:spacing w:before="194" w:line="219" w:lineRule="auto"/>
              <w:ind w:left="607"/>
              <w:rPr>
                <w:sz w:val="24"/>
                <w:szCs w:val="24"/>
              </w:rPr>
            </w:pPr>
            <w:r>
              <w:rPr>
                <w:spacing w:val="-2"/>
                <w:sz w:val="24"/>
                <w:szCs w:val="24"/>
              </w:rPr>
              <w:t>因此，本工程的实施不会对区域的现有景观生态格局与功能产生较大影响。</w:t>
            </w:r>
          </w:p>
          <w:p>
            <w:pPr>
              <w:pStyle w:val="6"/>
              <w:spacing w:before="194"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6</w:t>
            </w:r>
            <w:r>
              <w:rPr>
                <w:spacing w:val="-1"/>
                <w:sz w:val="24"/>
                <w:szCs w:val="24"/>
                <w14:textOutline w14:w="4354" w14:cap="flat" w14:cmpd="sng">
                  <w14:solidFill>
                    <w14:srgbClr w14:val="000000"/>
                  </w14:solidFill>
                  <w14:prstDash w14:val="solid"/>
                  <w14:miter w14:val="10"/>
                </w14:textOutline>
              </w:rPr>
              <w:t>）对陆生动物群落及动物资源的影响</w:t>
            </w:r>
          </w:p>
          <w:p>
            <w:pPr>
              <w:pStyle w:val="6"/>
              <w:spacing w:before="196" w:line="369" w:lineRule="auto"/>
              <w:ind w:left="108" w:right="101" w:firstLine="483"/>
              <w:jc w:val="both"/>
              <w:rPr>
                <w:sz w:val="24"/>
                <w:szCs w:val="24"/>
              </w:rPr>
            </w:pPr>
            <w:r>
              <w:rPr>
                <w:spacing w:val="-12"/>
                <w:sz w:val="24"/>
                <w:szCs w:val="24"/>
              </w:rPr>
              <w:t>项目占地范围内主要为旱地、</w:t>
            </w:r>
            <w:r>
              <w:rPr>
                <w:spacing w:val="53"/>
                <w:sz w:val="24"/>
                <w:szCs w:val="24"/>
              </w:rPr>
              <w:t xml:space="preserve"> </w:t>
            </w:r>
            <w:r>
              <w:rPr>
                <w:spacing w:val="-12"/>
                <w:sz w:val="24"/>
                <w:szCs w:val="24"/>
              </w:rPr>
              <w:t>水田、 林地，不涉及天然林、</w:t>
            </w:r>
            <w:r>
              <w:rPr>
                <w:spacing w:val="52"/>
                <w:sz w:val="24"/>
                <w:szCs w:val="24"/>
              </w:rPr>
              <w:t xml:space="preserve"> </w:t>
            </w:r>
            <w:r>
              <w:rPr>
                <w:spacing w:val="-12"/>
                <w:sz w:val="24"/>
                <w:szCs w:val="24"/>
              </w:rPr>
              <w:t xml:space="preserve">公益林；周边 </w:t>
            </w:r>
            <w:r>
              <w:rPr>
                <w:rFonts w:ascii="Times New Roman" w:hAnsi="Times New Roman" w:eastAsia="Times New Roman" w:cs="Times New Roman"/>
                <w:spacing w:val="-12"/>
                <w:sz w:val="24"/>
                <w:szCs w:val="24"/>
              </w:rPr>
              <w:t xml:space="preserve">500m  </w:t>
            </w:r>
            <w:r>
              <w:rPr>
                <w:spacing w:val="-12"/>
                <w:sz w:val="24"/>
                <w:szCs w:val="24"/>
              </w:rPr>
              <w:t>范</w:t>
            </w:r>
            <w:r>
              <w:rPr>
                <w:sz w:val="24"/>
                <w:szCs w:val="24"/>
              </w:rPr>
              <w:t xml:space="preserve"> 围主要为旱地、水田、林地等。</w:t>
            </w:r>
            <w:r>
              <w:rPr>
                <w:spacing w:val="-68"/>
                <w:sz w:val="24"/>
                <w:szCs w:val="24"/>
              </w:rPr>
              <w:t xml:space="preserve"> </w:t>
            </w:r>
            <w:r>
              <w:rPr>
                <w:sz w:val="24"/>
                <w:szCs w:val="24"/>
              </w:rPr>
              <w:t>占地周边未发现无珍稀保护植物</w:t>
            </w:r>
            <w:r>
              <w:rPr>
                <w:spacing w:val="-1"/>
                <w:sz w:val="24"/>
                <w:szCs w:val="24"/>
              </w:rPr>
              <w:t>和古树名木。对植被的</w:t>
            </w:r>
            <w:r>
              <w:rPr>
                <w:sz w:val="24"/>
                <w:szCs w:val="24"/>
              </w:rPr>
              <w:t xml:space="preserve"> </w:t>
            </w:r>
            <w:r>
              <w:rPr>
                <w:spacing w:val="-5"/>
                <w:sz w:val="24"/>
                <w:szCs w:val="24"/>
              </w:rPr>
              <w:t>影响主要是占用耕地影响农作物，总体对植被影响小， 通过大部分区域复垦为耕地， 种</w:t>
            </w:r>
          </w:p>
          <w:p>
            <w:pPr>
              <w:pStyle w:val="6"/>
              <w:spacing w:before="1" w:line="219" w:lineRule="auto"/>
              <w:ind w:left="109"/>
              <w:rPr>
                <w:sz w:val="24"/>
                <w:szCs w:val="24"/>
              </w:rPr>
            </w:pPr>
            <w:r>
              <w:rPr>
                <w:spacing w:val="-3"/>
                <w:sz w:val="24"/>
                <w:szCs w:val="24"/>
              </w:rPr>
              <w:t>植植被恢复生态。对区域植被影响小。</w:t>
            </w:r>
          </w:p>
          <w:p>
            <w:pPr>
              <w:pStyle w:val="6"/>
              <w:spacing w:before="196" w:line="369" w:lineRule="auto"/>
              <w:ind w:left="107" w:right="102" w:firstLine="479"/>
              <w:jc w:val="both"/>
              <w:rPr>
                <w:sz w:val="24"/>
                <w:szCs w:val="24"/>
              </w:rPr>
            </w:pPr>
            <w:r>
              <w:rPr>
                <w:spacing w:val="-5"/>
                <w:sz w:val="24"/>
                <w:szCs w:val="24"/>
              </w:rPr>
              <w:t>评价区域内野生动物少， 主要为少量鼠类、鸟类等动物，</w:t>
            </w:r>
            <w:r>
              <w:rPr>
                <w:spacing w:val="-6"/>
                <w:sz w:val="24"/>
                <w:szCs w:val="24"/>
              </w:rPr>
              <w:t xml:space="preserve"> 井场周边未发现珍稀濒危</w:t>
            </w:r>
            <w:r>
              <w:rPr>
                <w:sz w:val="24"/>
                <w:szCs w:val="24"/>
              </w:rPr>
              <w:t xml:space="preserve"> 野生动物集中栖息地。钻井噪声主要对井口</w:t>
            </w:r>
            <w:r>
              <w:rPr>
                <w:spacing w:val="-1"/>
                <w:sz w:val="24"/>
                <w:szCs w:val="24"/>
              </w:rPr>
              <w:t xml:space="preserve">周边约 </w:t>
            </w:r>
            <w:r>
              <w:rPr>
                <w:rFonts w:ascii="Times New Roman" w:hAnsi="Times New Roman" w:eastAsia="Times New Roman" w:cs="Times New Roman"/>
                <w:spacing w:val="-1"/>
                <w:sz w:val="24"/>
                <w:szCs w:val="24"/>
              </w:rPr>
              <w:t xml:space="preserve">200m  </w:t>
            </w:r>
            <w:r>
              <w:rPr>
                <w:spacing w:val="-1"/>
                <w:sz w:val="24"/>
                <w:szCs w:val="24"/>
              </w:rPr>
              <w:t>区域产生影响，钻井噪声会对</w:t>
            </w:r>
            <w:r>
              <w:rPr>
                <w:sz w:val="24"/>
                <w:szCs w:val="24"/>
              </w:rPr>
              <w:t xml:space="preserve"> </w:t>
            </w:r>
            <w:r>
              <w:rPr>
                <w:spacing w:val="-2"/>
                <w:sz w:val="24"/>
                <w:szCs w:val="24"/>
              </w:rPr>
              <w:t>周边的少量普通动物产生短时间的轻微影响，野生动物生存环境较大， 通过钻井期</w:t>
            </w:r>
            <w:r>
              <w:rPr>
                <w:spacing w:val="-3"/>
                <w:sz w:val="24"/>
                <w:szCs w:val="24"/>
              </w:rPr>
              <w:t>间周</w:t>
            </w:r>
            <w:r>
              <w:rPr>
                <w:sz w:val="24"/>
                <w:szCs w:val="24"/>
              </w:rPr>
              <w:t xml:space="preserve"> 边 </w:t>
            </w:r>
            <w:r>
              <w:rPr>
                <w:rFonts w:ascii="Times New Roman" w:hAnsi="Times New Roman" w:eastAsia="Times New Roman" w:cs="Times New Roman"/>
                <w:sz w:val="24"/>
                <w:szCs w:val="24"/>
              </w:rPr>
              <w:t xml:space="preserve">200m  </w:t>
            </w:r>
            <w:r>
              <w:rPr>
                <w:sz w:val="24"/>
                <w:szCs w:val="24"/>
              </w:rPr>
              <w:t>野生动物自然向噪声影响</w:t>
            </w:r>
            <w:r>
              <w:rPr>
                <w:spacing w:val="-1"/>
                <w:sz w:val="24"/>
                <w:szCs w:val="24"/>
              </w:rPr>
              <w:t>范围外迁徙，鸟类可以自然迁徙到邻近区域，噪声对</w:t>
            </w:r>
          </w:p>
          <w:p>
            <w:pPr>
              <w:pStyle w:val="6"/>
              <w:spacing w:before="1" w:line="218" w:lineRule="auto"/>
              <w:ind w:left="108"/>
              <w:rPr>
                <w:sz w:val="24"/>
                <w:szCs w:val="24"/>
              </w:rPr>
            </w:pPr>
            <w:r>
              <w:rPr>
                <w:spacing w:val="-1"/>
                <w:sz w:val="24"/>
                <w:szCs w:val="24"/>
              </w:rPr>
              <w:t>野生动物影响小，且是临时的，不会造成区域陆生动物群落的改变及动物资源的</w:t>
            </w:r>
            <w:r>
              <w:rPr>
                <w:spacing w:val="-2"/>
                <w:sz w:val="24"/>
                <w:szCs w:val="24"/>
              </w:rPr>
              <w:t>减少。</w:t>
            </w:r>
          </w:p>
          <w:p>
            <w:pPr>
              <w:pStyle w:val="6"/>
              <w:spacing w:before="196" w:line="220" w:lineRule="auto"/>
              <w:ind w:left="597"/>
              <w:rPr>
                <w:sz w:val="24"/>
                <w:szCs w:val="24"/>
              </w:rPr>
            </w:pPr>
            <w:r>
              <w:rPr>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z w:val="24"/>
                <w:szCs w:val="24"/>
              </w:rPr>
              <w:t>7</w:t>
            </w:r>
            <w:r>
              <w:rPr>
                <w:sz w:val="24"/>
                <w:szCs w:val="24"/>
                <w14:textOutline w14:w="4354" w14:cap="flat" w14:cmpd="sng">
                  <w14:solidFill>
                    <w14:srgbClr w14:val="000000"/>
                  </w14:solidFill>
                  <w14:prstDash w14:val="solid"/>
                  <w14:miter w14:val="10"/>
                </w14:textOutline>
              </w:rPr>
              <w:t>）测试放喷对生态环境的影响分析</w:t>
            </w:r>
          </w:p>
          <w:p>
            <w:pPr>
              <w:pStyle w:val="6"/>
              <w:spacing w:before="197" w:line="369" w:lineRule="auto"/>
              <w:ind w:left="106" w:right="99" w:firstLine="481"/>
              <w:jc w:val="both"/>
              <w:rPr>
                <w:sz w:val="24"/>
                <w:szCs w:val="24"/>
              </w:rPr>
            </w:pPr>
            <w:r>
              <w:rPr>
                <w:spacing w:val="-1"/>
                <w:sz w:val="24"/>
                <w:szCs w:val="24"/>
              </w:rPr>
              <w:t xml:space="preserve">钻井测试放喷对生态环境的影响主要是放喷产生的热辐射和 </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22"/>
                <w:w w:val="101"/>
                <w:position w:val="-1"/>
                <w:sz w:val="16"/>
                <w:szCs w:val="16"/>
              </w:rPr>
              <w:t xml:space="preserve"> </w:t>
            </w:r>
            <w:r>
              <w:rPr>
                <w:spacing w:val="-2"/>
                <w:sz w:val="24"/>
                <w:szCs w:val="24"/>
              </w:rPr>
              <w:t>对生态的影响。钻</w:t>
            </w:r>
            <w:r>
              <w:rPr>
                <w:sz w:val="24"/>
                <w:szCs w:val="24"/>
              </w:rPr>
              <w:t xml:space="preserve"> </w:t>
            </w:r>
            <w:r>
              <w:rPr>
                <w:spacing w:val="1"/>
                <w:sz w:val="24"/>
                <w:szCs w:val="24"/>
              </w:rPr>
              <w:t>井过程中需要进行测试放喷。测试放喷是指在钻井后期为测定气井的天然气产量而人为</w:t>
            </w:r>
            <w:r>
              <w:rPr>
                <w:spacing w:val="3"/>
                <w:sz w:val="24"/>
                <w:szCs w:val="24"/>
              </w:rPr>
              <w:t xml:space="preserve"> </w:t>
            </w:r>
            <w:r>
              <w:rPr>
                <w:spacing w:val="-1"/>
                <w:sz w:val="24"/>
                <w:szCs w:val="24"/>
              </w:rPr>
              <w:t xml:space="preserve">进行的天然气放喷。天然气燃烧产生的热辐射影响，可能灼伤放喷点周围 </w:t>
            </w:r>
            <w:r>
              <w:rPr>
                <w:rFonts w:ascii="Times New Roman" w:hAnsi="Times New Roman" w:eastAsia="Times New Roman" w:cs="Times New Roman"/>
                <w:spacing w:val="-1"/>
                <w:sz w:val="24"/>
                <w:szCs w:val="24"/>
              </w:rPr>
              <w:t xml:space="preserve">20~50m  </w:t>
            </w:r>
            <w:r>
              <w:rPr>
                <w:spacing w:val="-1"/>
                <w:sz w:val="24"/>
                <w:szCs w:val="24"/>
              </w:rPr>
              <w:t>范围</w:t>
            </w:r>
            <w:r>
              <w:rPr>
                <w:spacing w:val="12"/>
                <w:sz w:val="24"/>
                <w:szCs w:val="24"/>
              </w:rPr>
              <w:t xml:space="preserve"> </w:t>
            </w:r>
            <w:r>
              <w:rPr>
                <w:spacing w:val="-6"/>
                <w:sz w:val="24"/>
                <w:szCs w:val="24"/>
              </w:rPr>
              <w:t>的农作物。天然气测试放喷在专门的燃烧池中点火放喷，</w:t>
            </w:r>
            <w:r>
              <w:rPr>
                <w:spacing w:val="27"/>
                <w:sz w:val="24"/>
                <w:szCs w:val="24"/>
              </w:rPr>
              <w:t xml:space="preserve"> </w:t>
            </w:r>
            <w:r>
              <w:rPr>
                <w:spacing w:val="-6"/>
                <w:sz w:val="24"/>
                <w:szCs w:val="24"/>
              </w:rPr>
              <w:t>燃</w:t>
            </w:r>
            <w:r>
              <w:rPr>
                <w:spacing w:val="-7"/>
                <w:sz w:val="24"/>
                <w:szCs w:val="24"/>
              </w:rPr>
              <w:t>烧池是由三面</w:t>
            </w:r>
            <w:r>
              <w:rPr>
                <w:spacing w:val="-49"/>
                <w:sz w:val="24"/>
                <w:szCs w:val="24"/>
              </w:rPr>
              <w:t xml:space="preserve"> </w:t>
            </w:r>
            <w:r>
              <w:rPr>
                <w:rFonts w:ascii="Times New Roman" w:hAnsi="Times New Roman" w:eastAsia="Times New Roman" w:cs="Times New Roman"/>
                <w:spacing w:val="-7"/>
                <w:sz w:val="24"/>
                <w:szCs w:val="24"/>
              </w:rPr>
              <w:t>3.5m</w:t>
            </w:r>
            <w:r>
              <w:rPr>
                <w:rFonts w:ascii="Times New Roman" w:hAnsi="Times New Roman" w:eastAsia="Times New Roman" w:cs="Times New Roman"/>
                <w:spacing w:val="17"/>
                <w:w w:val="101"/>
                <w:sz w:val="24"/>
                <w:szCs w:val="24"/>
              </w:rPr>
              <w:t xml:space="preserve"> </w:t>
            </w:r>
            <w:r>
              <w:rPr>
                <w:spacing w:val="-7"/>
                <w:sz w:val="24"/>
                <w:szCs w:val="24"/>
              </w:rPr>
              <w:t>高的砖墙</w:t>
            </w:r>
            <w:r>
              <w:rPr>
                <w:sz w:val="24"/>
                <w:szCs w:val="24"/>
              </w:rPr>
              <w:t xml:space="preserve"> </w:t>
            </w:r>
            <w:r>
              <w:rPr>
                <w:spacing w:val="-5"/>
                <w:sz w:val="24"/>
                <w:szCs w:val="24"/>
              </w:rPr>
              <w:t>组成， 采用燃烧池放喷， 可以有效减少放喷天然气燃烧产生的热辐射对测试区周围的土</w:t>
            </w:r>
            <w:r>
              <w:rPr>
                <w:spacing w:val="1"/>
                <w:sz w:val="24"/>
                <w:szCs w:val="24"/>
              </w:rPr>
              <w:t xml:space="preserve"> </w:t>
            </w:r>
            <w:r>
              <w:rPr>
                <w:spacing w:val="-1"/>
                <w:sz w:val="24"/>
                <w:szCs w:val="24"/>
              </w:rPr>
              <w:t xml:space="preserve">壤和植被的灼伤。含硫天然气点火燃烧产生 </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28"/>
                <w:w w:val="101"/>
                <w:position w:val="-1"/>
                <w:sz w:val="16"/>
                <w:szCs w:val="16"/>
              </w:rPr>
              <w:t xml:space="preserve"> </w:t>
            </w:r>
            <w:r>
              <w:rPr>
                <w:spacing w:val="-1"/>
                <w:sz w:val="24"/>
                <w:szCs w:val="24"/>
              </w:rPr>
              <w:t>一定程度上影响</w:t>
            </w:r>
            <w:r>
              <w:rPr>
                <w:spacing w:val="-2"/>
                <w:sz w:val="24"/>
                <w:szCs w:val="24"/>
              </w:rPr>
              <w:t>植被生长，尤其是对农</w:t>
            </w:r>
            <w:r>
              <w:rPr>
                <w:sz w:val="24"/>
                <w:szCs w:val="24"/>
              </w:rPr>
              <w:t xml:space="preserve"> </w:t>
            </w:r>
            <w:r>
              <w:rPr>
                <w:spacing w:val="-8"/>
                <w:sz w:val="24"/>
                <w:szCs w:val="24"/>
              </w:rPr>
              <w:t>作物影响明显， 影响一季度农作物。主要在燃烧池附近区域， 但这种影响是可逆的， 放</w:t>
            </w:r>
            <w:r>
              <w:rPr>
                <w:spacing w:val="12"/>
                <w:sz w:val="24"/>
                <w:szCs w:val="24"/>
              </w:rPr>
              <w:t xml:space="preserve"> </w:t>
            </w:r>
            <w:r>
              <w:rPr>
                <w:spacing w:val="1"/>
                <w:sz w:val="24"/>
                <w:szCs w:val="24"/>
              </w:rPr>
              <w:t>喷结束后，对植物的影响降低直至消除，同时项目区域无自然保护区、风景区等生态敏</w:t>
            </w:r>
          </w:p>
          <w:p>
            <w:pPr>
              <w:pStyle w:val="6"/>
              <w:spacing w:line="219" w:lineRule="auto"/>
              <w:ind w:left="109"/>
              <w:rPr>
                <w:sz w:val="24"/>
                <w:szCs w:val="24"/>
              </w:rPr>
            </w:pPr>
            <w:r>
              <w:rPr>
                <w:spacing w:val="-2"/>
                <w:sz w:val="24"/>
                <w:szCs w:val="24"/>
              </w:rPr>
              <w:t>感区域，为农业生态环境，放喷对生态环境的影响可逐步恢复。</w:t>
            </w:r>
          </w:p>
          <w:p>
            <w:pPr>
              <w:pStyle w:val="6"/>
              <w:spacing w:before="195"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8</w:t>
            </w:r>
            <w:r>
              <w:rPr>
                <w:spacing w:val="-1"/>
                <w:sz w:val="24"/>
                <w:szCs w:val="24"/>
                <w14:textOutline w14:w="4354" w14:cap="flat" w14:cmpd="sng">
                  <w14:solidFill>
                    <w14:srgbClr w14:val="000000"/>
                  </w14:solidFill>
                  <w14:prstDash w14:val="solid"/>
                  <w14:miter w14:val="10"/>
                </w14:textOutline>
              </w:rPr>
              <w:t>）闭井期生态环境的影响分析</w:t>
            </w:r>
          </w:p>
          <w:p>
            <w:pPr>
              <w:pStyle w:val="6"/>
              <w:spacing w:before="194" w:line="480" w:lineRule="exact"/>
              <w:ind w:left="593"/>
              <w:rPr>
                <w:sz w:val="24"/>
                <w:szCs w:val="24"/>
              </w:rPr>
            </w:pPr>
            <w:r>
              <w:rPr>
                <w:spacing w:val="1"/>
                <w:position w:val="18"/>
                <w:sz w:val="24"/>
                <w:szCs w:val="24"/>
              </w:rPr>
              <w:t>天然气开采属典型“地下决定地上”型项目，井下确无开采价值时，则对</w:t>
            </w:r>
            <w:r>
              <w:rPr>
                <w:position w:val="18"/>
                <w:sz w:val="24"/>
                <w:szCs w:val="24"/>
              </w:rPr>
              <w:t>井筒实施</w:t>
            </w:r>
          </w:p>
          <w:p>
            <w:pPr>
              <w:pStyle w:val="6"/>
              <w:spacing w:before="1" w:line="219" w:lineRule="auto"/>
              <w:ind w:left="107"/>
              <w:rPr>
                <w:sz w:val="24"/>
                <w:szCs w:val="24"/>
              </w:rPr>
            </w:pPr>
            <w:r>
              <w:rPr>
                <w:spacing w:val="-1"/>
                <w:sz w:val="24"/>
                <w:szCs w:val="24"/>
              </w:rPr>
              <w:t>封井作业，井场实施生态恢复作业。通过井场设施拆迁，设</w:t>
            </w:r>
            <w:r>
              <w:rPr>
                <w:spacing w:val="-2"/>
                <w:sz w:val="24"/>
                <w:szCs w:val="24"/>
              </w:rPr>
              <w:t>备基础、构建筑将拆除，</w:t>
            </w:r>
            <w:r>
              <w:rPr>
                <w:spacing w:val="-22"/>
                <w:sz w:val="24"/>
                <w:szCs w:val="24"/>
              </w:rPr>
              <w:t xml:space="preserve"> </w:t>
            </w:r>
            <w:r>
              <w:rPr>
                <w:spacing w:val="-2"/>
                <w:sz w:val="24"/>
                <w:szCs w:val="24"/>
              </w:rPr>
              <w:t>场</w:t>
            </w:r>
          </w:p>
        </w:tc>
      </w:tr>
    </w:tbl>
    <w:p>
      <w:pPr>
        <w:pStyle w:val="2"/>
        <w:rPr>
          <w:sz w:val="21"/>
        </w:rPr>
      </w:pPr>
    </w:p>
    <w:p>
      <w:pPr>
        <w:rPr>
          <w:sz w:val="21"/>
          <w:szCs w:val="21"/>
        </w:rPr>
        <w:sectPr>
          <w:footerReference r:id="rId94"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9"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3" w:line="369" w:lineRule="auto"/>
              <w:ind w:left="110" w:right="102" w:hanging="2"/>
              <w:jc w:val="both"/>
              <w:rPr>
                <w:sz w:val="24"/>
                <w:szCs w:val="24"/>
              </w:rPr>
            </w:pPr>
            <w:r>
              <w:rPr>
                <w:spacing w:val="-2"/>
                <w:sz w:val="24"/>
                <w:szCs w:val="24"/>
              </w:rPr>
              <w:t>地土地平整和生态恢复， 燃烧池、应急池等填方区填方处置后，井场占地除井口保留井</w:t>
            </w:r>
            <w:r>
              <w:rPr>
                <w:sz w:val="24"/>
                <w:szCs w:val="24"/>
              </w:rPr>
              <w:t xml:space="preserve"> </w:t>
            </w:r>
            <w:r>
              <w:rPr>
                <w:spacing w:val="1"/>
                <w:sz w:val="24"/>
                <w:szCs w:val="24"/>
              </w:rPr>
              <w:t>安装置外，场地实施生态恢复作业，封井作业后现场无“三废”、噪声排放。闭井后拟 建项目对生态环境影响因素将不再存在，无废气、废水、废渣等污染物产生和排放影响</w:t>
            </w:r>
          </w:p>
          <w:p>
            <w:pPr>
              <w:pStyle w:val="6"/>
              <w:spacing w:line="220" w:lineRule="auto"/>
              <w:ind w:left="110"/>
              <w:rPr>
                <w:sz w:val="24"/>
                <w:szCs w:val="24"/>
              </w:rPr>
            </w:pPr>
            <w:r>
              <w:rPr>
                <w:spacing w:val="-8"/>
                <w:sz w:val="24"/>
                <w:szCs w:val="24"/>
              </w:rPr>
              <w:t>生态环境。</w:t>
            </w:r>
          </w:p>
          <w:p>
            <w:pPr>
              <w:pStyle w:val="6"/>
              <w:spacing w:before="195" w:line="369" w:lineRule="auto"/>
              <w:ind w:left="109" w:right="101" w:firstLine="478"/>
              <w:jc w:val="both"/>
              <w:rPr>
                <w:sz w:val="24"/>
                <w:szCs w:val="24"/>
              </w:rPr>
            </w:pPr>
            <w:r>
              <w:rPr>
                <w:spacing w:val="1"/>
                <w:sz w:val="24"/>
                <w:szCs w:val="24"/>
              </w:rPr>
              <w:t>对井场道路，结合本项目测试定产情况，若将进入地面采气阶段，则由建设单位完</w:t>
            </w:r>
            <w:r>
              <w:rPr>
                <w:spacing w:val="2"/>
                <w:sz w:val="24"/>
                <w:szCs w:val="24"/>
              </w:rPr>
              <w:t xml:space="preserve"> </w:t>
            </w:r>
            <w:r>
              <w:rPr>
                <w:spacing w:val="1"/>
                <w:sz w:val="24"/>
                <w:szCs w:val="24"/>
              </w:rPr>
              <w:t>善新建道路、井场等永久占地手续和实施道路边坡修整和硬化作业；若完井测试情况不</w:t>
            </w:r>
            <w:r>
              <w:rPr>
                <w:spacing w:val="5"/>
                <w:sz w:val="24"/>
                <w:szCs w:val="24"/>
              </w:rPr>
              <w:t xml:space="preserve"> </w:t>
            </w:r>
            <w:r>
              <w:rPr>
                <w:spacing w:val="-2"/>
                <w:sz w:val="24"/>
                <w:szCs w:val="24"/>
              </w:rPr>
              <w:t>佳，井场将封井封场处理，则需按照临时占地恢复要求，对井场道路实施生态恢</w:t>
            </w:r>
            <w:r>
              <w:rPr>
                <w:spacing w:val="-3"/>
                <w:sz w:val="24"/>
                <w:szCs w:val="24"/>
              </w:rPr>
              <w:t>复， 同</w:t>
            </w:r>
            <w:r>
              <w:rPr>
                <w:sz w:val="24"/>
                <w:szCs w:val="24"/>
              </w:rPr>
              <w:t xml:space="preserve"> </w:t>
            </w:r>
            <w:r>
              <w:rPr>
                <w:spacing w:val="-5"/>
                <w:sz w:val="24"/>
                <w:szCs w:val="24"/>
              </w:rPr>
              <w:t>时应广泛征询周边居民对井场道路恢复或保留的意见， 尽可能的方便周边居民出行， 以</w:t>
            </w:r>
          </w:p>
          <w:p>
            <w:pPr>
              <w:pStyle w:val="6"/>
              <w:spacing w:line="219" w:lineRule="auto"/>
              <w:ind w:left="109"/>
              <w:rPr>
                <w:sz w:val="24"/>
                <w:szCs w:val="24"/>
              </w:rPr>
            </w:pPr>
            <w:r>
              <w:rPr>
                <w:spacing w:val="-4"/>
                <w:sz w:val="24"/>
                <w:szCs w:val="24"/>
              </w:rPr>
              <w:t>便构筑和谐企民关系。</w:t>
            </w:r>
          </w:p>
          <w:p>
            <w:pPr>
              <w:pStyle w:val="6"/>
              <w:spacing w:before="242" w:line="220" w:lineRule="auto"/>
              <w:ind w:left="105"/>
              <w:rPr>
                <w:sz w:val="24"/>
                <w:szCs w:val="24"/>
              </w:rPr>
            </w:pPr>
            <w:r>
              <w:rPr>
                <w:rFonts w:ascii="Times New Roman" w:hAnsi="Times New Roman" w:eastAsia="Times New Roman" w:cs="Times New Roman"/>
                <w:b/>
                <w:bCs/>
                <w:sz w:val="24"/>
                <w:szCs w:val="24"/>
              </w:rPr>
              <w:t xml:space="preserve">4.2 </w:t>
            </w:r>
            <w:r>
              <w:rPr>
                <w:sz w:val="24"/>
                <w:szCs w:val="24"/>
                <w14:textOutline w14:w="4354" w14:cap="flat" w14:cmpd="sng">
                  <w14:solidFill>
                    <w14:srgbClr w14:val="000000"/>
                  </w14:solidFill>
                  <w14:prstDash w14:val="solid"/>
                  <w14:miter w14:val="10"/>
                </w14:textOutline>
              </w:rPr>
              <w:t>钻前施工产排污情况及环境影响分析</w:t>
            </w:r>
          </w:p>
          <w:p>
            <w:pPr>
              <w:pStyle w:val="6"/>
              <w:spacing w:before="228" w:line="220" w:lineRule="auto"/>
              <w:ind w:left="105"/>
              <w:rPr>
                <w:sz w:val="24"/>
                <w:szCs w:val="24"/>
              </w:rPr>
            </w:pPr>
            <w:r>
              <w:rPr>
                <w:rFonts w:ascii="Times New Roman" w:hAnsi="Times New Roman" w:eastAsia="Times New Roman" w:cs="Times New Roman"/>
                <w:b/>
                <w:bCs/>
                <w:spacing w:val="-1"/>
                <w:sz w:val="24"/>
                <w:szCs w:val="24"/>
              </w:rPr>
              <w:t xml:space="preserve">4.2.1 </w:t>
            </w:r>
            <w:r>
              <w:rPr>
                <w:spacing w:val="-1"/>
                <w:sz w:val="24"/>
                <w:szCs w:val="24"/>
                <w14:textOutline w14:w="4354" w14:cap="flat" w14:cmpd="sng">
                  <w14:solidFill>
                    <w14:srgbClr w14:val="000000"/>
                  </w14:solidFill>
                  <w14:prstDash w14:val="solid"/>
                  <w14:miter w14:val="10"/>
                </w14:textOutline>
              </w:rPr>
              <w:t>废气</w:t>
            </w:r>
          </w:p>
          <w:p>
            <w:pPr>
              <w:pStyle w:val="6"/>
              <w:spacing w:before="202" w:line="369" w:lineRule="auto"/>
              <w:ind w:left="109" w:right="34" w:firstLine="478"/>
              <w:jc w:val="both"/>
              <w:rPr>
                <w:sz w:val="24"/>
                <w:szCs w:val="24"/>
              </w:rPr>
            </w:pPr>
            <w:r>
              <w:rPr>
                <w:spacing w:val="1"/>
                <w:sz w:val="24"/>
                <w:szCs w:val="24"/>
              </w:rPr>
              <w:t>钻前施工对环境空气的影响主要是道路扬尘及燃油动力机械废气。扬尘主要来自施</w:t>
            </w:r>
            <w:r>
              <w:rPr>
                <w:spacing w:val="6"/>
                <w:sz w:val="24"/>
                <w:szCs w:val="24"/>
              </w:rPr>
              <w:t xml:space="preserve"> </w:t>
            </w:r>
            <w:r>
              <w:rPr>
                <w:spacing w:val="-1"/>
                <w:sz w:val="24"/>
                <w:szCs w:val="24"/>
              </w:rPr>
              <w:t xml:space="preserve">工现场运输车辆、筑路机械作业过程中扬起的灰尘。这些扬尘粒径在 </w:t>
            </w:r>
            <w:r>
              <w:rPr>
                <w:rFonts w:ascii="Times New Roman" w:hAnsi="Times New Roman" w:eastAsia="Times New Roman" w:cs="Times New Roman"/>
                <w:spacing w:val="-1"/>
                <w:sz w:val="24"/>
                <w:szCs w:val="24"/>
              </w:rPr>
              <w:t xml:space="preserve">3~80um  </w:t>
            </w:r>
            <w:r>
              <w:rPr>
                <w:spacing w:val="-1"/>
                <w:sz w:val="24"/>
                <w:szCs w:val="24"/>
              </w:rPr>
              <w:t>之间，比</w:t>
            </w:r>
            <w:r>
              <w:rPr>
                <w:spacing w:val="9"/>
                <w:sz w:val="24"/>
                <w:szCs w:val="24"/>
              </w:rPr>
              <w:t xml:space="preserve"> </w:t>
            </w:r>
            <w:r>
              <w:rPr>
                <w:spacing w:val="-12"/>
                <w:sz w:val="24"/>
                <w:szCs w:val="24"/>
              </w:rPr>
              <w:t>重在</w:t>
            </w:r>
            <w:r>
              <w:rPr>
                <w:spacing w:val="-32"/>
                <w:sz w:val="24"/>
                <w:szCs w:val="24"/>
              </w:rPr>
              <w:t xml:space="preserve"> </w:t>
            </w:r>
            <w:r>
              <w:rPr>
                <w:rFonts w:ascii="Times New Roman" w:hAnsi="Times New Roman" w:eastAsia="Times New Roman" w:cs="Times New Roman"/>
                <w:spacing w:val="-12"/>
                <w:sz w:val="24"/>
                <w:szCs w:val="24"/>
              </w:rPr>
              <w:t>1.2~1.3</w:t>
            </w:r>
            <w:r>
              <w:rPr>
                <w:spacing w:val="-12"/>
                <w:sz w:val="24"/>
                <w:szCs w:val="24"/>
              </w:rPr>
              <w:t>。从粒径分析，</w:t>
            </w:r>
            <w:r>
              <w:rPr>
                <w:spacing w:val="29"/>
                <w:sz w:val="24"/>
                <w:szCs w:val="24"/>
              </w:rPr>
              <w:t xml:space="preserve"> </w:t>
            </w:r>
            <w:r>
              <w:rPr>
                <w:spacing w:val="-12"/>
                <w:sz w:val="24"/>
                <w:szCs w:val="24"/>
              </w:rPr>
              <w:t>施工扬尘易于沉降。项目所在区域风速</w:t>
            </w:r>
            <w:r>
              <w:rPr>
                <w:spacing w:val="-13"/>
                <w:sz w:val="24"/>
                <w:szCs w:val="24"/>
              </w:rPr>
              <w:t>小，</w:t>
            </w:r>
            <w:r>
              <w:rPr>
                <w:spacing w:val="29"/>
                <w:sz w:val="24"/>
                <w:szCs w:val="24"/>
              </w:rPr>
              <w:t xml:space="preserve"> </w:t>
            </w:r>
            <w:r>
              <w:rPr>
                <w:spacing w:val="-13"/>
                <w:sz w:val="24"/>
                <w:szCs w:val="24"/>
              </w:rPr>
              <w:t>产生的扬尘量小，</w:t>
            </w:r>
            <w:r>
              <w:rPr>
                <w:sz w:val="24"/>
                <w:szCs w:val="24"/>
              </w:rPr>
              <w:t xml:space="preserve"> </w:t>
            </w:r>
            <w:r>
              <w:rPr>
                <w:spacing w:val="1"/>
                <w:sz w:val="24"/>
                <w:szCs w:val="24"/>
              </w:rPr>
              <w:t>同时在易产尘施工点采取定点洒水湿式作业措施，可有效降低局部施工产尘点扬尘。在</w:t>
            </w:r>
          </w:p>
          <w:p>
            <w:pPr>
              <w:pStyle w:val="6"/>
              <w:spacing w:before="1" w:line="219" w:lineRule="auto"/>
              <w:ind w:left="108"/>
              <w:rPr>
                <w:sz w:val="24"/>
                <w:szCs w:val="24"/>
              </w:rPr>
            </w:pPr>
            <w:r>
              <w:rPr>
                <w:spacing w:val="-1"/>
                <w:sz w:val="24"/>
                <w:szCs w:val="24"/>
              </w:rPr>
              <w:t>加强洒水防尘作业后，对环境的影响是局部的，并</w:t>
            </w:r>
            <w:r>
              <w:rPr>
                <w:spacing w:val="-2"/>
                <w:sz w:val="24"/>
                <w:szCs w:val="24"/>
              </w:rPr>
              <w:t>随着施工的结束而结束。</w:t>
            </w:r>
          </w:p>
          <w:p>
            <w:pPr>
              <w:pStyle w:val="6"/>
              <w:spacing w:before="195" w:line="369" w:lineRule="auto"/>
              <w:ind w:left="109" w:right="99" w:firstLine="481"/>
              <w:jc w:val="both"/>
              <w:rPr>
                <w:sz w:val="24"/>
                <w:szCs w:val="24"/>
              </w:rPr>
            </w:pPr>
            <w:r>
              <w:rPr>
                <w:spacing w:val="-6"/>
                <w:sz w:val="24"/>
                <w:szCs w:val="24"/>
              </w:rPr>
              <w:t>各类燃油动力机械在现场进行场地挖填、运输、施工等作</w:t>
            </w:r>
            <w:r>
              <w:rPr>
                <w:spacing w:val="-7"/>
                <w:sz w:val="24"/>
                <w:szCs w:val="24"/>
              </w:rPr>
              <w:t>业时， 排放的废气中含</w:t>
            </w:r>
            <w:r>
              <w:rPr>
                <w:spacing w:val="-51"/>
                <w:sz w:val="24"/>
                <w:szCs w:val="24"/>
              </w:rPr>
              <w:t xml:space="preserve"> </w:t>
            </w:r>
            <w:r>
              <w:rPr>
                <w:rFonts w:ascii="Times New Roman" w:hAnsi="Times New Roman" w:eastAsia="Times New Roman" w:cs="Times New Roman"/>
                <w:spacing w:val="-7"/>
                <w:sz w:val="24"/>
                <w:szCs w:val="24"/>
              </w:rPr>
              <w:t>CO</w:t>
            </w:r>
            <w:r>
              <w:rPr>
                <w:rFonts w:ascii="Times New Roman" w:hAnsi="Times New Roman" w:eastAsia="Times New Roman" w:cs="Times New Roman"/>
                <w:sz w:val="24"/>
                <w:szCs w:val="24"/>
              </w:rPr>
              <w:t xml:space="preserve"> </w:t>
            </w:r>
            <w:r>
              <w:rPr>
                <w:spacing w:val="-12"/>
                <w:sz w:val="24"/>
                <w:szCs w:val="24"/>
              </w:rPr>
              <w:t>和</w:t>
            </w:r>
            <w:r>
              <w:rPr>
                <w:spacing w:val="-45"/>
                <w:sz w:val="24"/>
                <w:szCs w:val="24"/>
              </w:rPr>
              <w:t xml:space="preserve"> </w:t>
            </w:r>
            <w:r>
              <w:rPr>
                <w:rFonts w:ascii="Times New Roman" w:hAnsi="Times New Roman" w:eastAsia="Times New Roman" w:cs="Times New Roman"/>
                <w:spacing w:val="-12"/>
                <w:sz w:val="24"/>
                <w:szCs w:val="24"/>
              </w:rPr>
              <w:t xml:space="preserve">NOx </w:t>
            </w:r>
            <w:r>
              <w:rPr>
                <w:spacing w:val="-12"/>
                <w:sz w:val="24"/>
                <w:szCs w:val="24"/>
              </w:rPr>
              <w:t>等污染物，</w:t>
            </w:r>
            <w:r>
              <w:rPr>
                <w:spacing w:val="38"/>
                <w:sz w:val="24"/>
                <w:szCs w:val="24"/>
              </w:rPr>
              <w:t xml:space="preserve"> </w:t>
            </w:r>
            <w:r>
              <w:rPr>
                <w:spacing w:val="-12"/>
                <w:sz w:val="24"/>
                <w:szCs w:val="24"/>
              </w:rPr>
              <w:t>由于施工的燃油机械为间断施工，</w:t>
            </w:r>
            <w:r>
              <w:rPr>
                <w:spacing w:val="46"/>
                <w:sz w:val="24"/>
                <w:szCs w:val="24"/>
              </w:rPr>
              <w:t xml:space="preserve"> </w:t>
            </w:r>
            <w:r>
              <w:rPr>
                <w:spacing w:val="-12"/>
                <w:sz w:val="24"/>
                <w:szCs w:val="24"/>
              </w:rPr>
              <w:t>加之污染物排放量小，</w:t>
            </w:r>
            <w:r>
              <w:rPr>
                <w:spacing w:val="-41"/>
                <w:sz w:val="24"/>
                <w:szCs w:val="24"/>
              </w:rPr>
              <w:t xml:space="preserve"> </w:t>
            </w:r>
            <w:r>
              <w:rPr>
                <w:spacing w:val="-12"/>
                <w:sz w:val="24"/>
                <w:szCs w:val="24"/>
              </w:rPr>
              <w:t>对环境空气</w:t>
            </w:r>
          </w:p>
          <w:p>
            <w:pPr>
              <w:pStyle w:val="6"/>
              <w:spacing w:before="1" w:line="219" w:lineRule="auto"/>
              <w:ind w:left="128"/>
              <w:rPr>
                <w:sz w:val="24"/>
                <w:szCs w:val="24"/>
              </w:rPr>
            </w:pPr>
            <w:r>
              <w:rPr>
                <w:spacing w:val="-2"/>
                <w:sz w:val="24"/>
                <w:szCs w:val="24"/>
              </w:rPr>
              <w:t>的不利影响很小，施工结束后，影响将消失。</w:t>
            </w:r>
          </w:p>
          <w:p>
            <w:pPr>
              <w:pStyle w:val="6"/>
              <w:spacing w:before="225" w:line="220" w:lineRule="auto"/>
              <w:ind w:left="105"/>
              <w:rPr>
                <w:sz w:val="24"/>
                <w:szCs w:val="24"/>
              </w:rPr>
            </w:pPr>
            <w:r>
              <w:rPr>
                <w:rFonts w:ascii="Times New Roman" w:hAnsi="Times New Roman" w:eastAsia="Times New Roman" w:cs="Times New Roman"/>
                <w:b/>
                <w:bCs/>
                <w:spacing w:val="-1"/>
                <w:sz w:val="24"/>
                <w:szCs w:val="24"/>
              </w:rPr>
              <w:t xml:space="preserve">4.2.2 </w:t>
            </w:r>
            <w:r>
              <w:rPr>
                <w:spacing w:val="-1"/>
                <w:sz w:val="24"/>
                <w:szCs w:val="24"/>
                <w14:textOutline w14:w="4354" w14:cap="flat" w14:cmpd="sng">
                  <w14:solidFill>
                    <w14:srgbClr w14:val="000000"/>
                  </w14:solidFill>
                  <w14:prstDash w14:val="solid"/>
                  <w14:miter w14:val="10"/>
                </w14:textOutline>
              </w:rPr>
              <w:t>废水</w:t>
            </w:r>
          </w:p>
          <w:p>
            <w:pPr>
              <w:pStyle w:val="6"/>
              <w:spacing w:before="202" w:line="480" w:lineRule="exact"/>
              <w:ind w:left="588"/>
              <w:rPr>
                <w:sz w:val="24"/>
                <w:szCs w:val="24"/>
              </w:rPr>
            </w:pPr>
            <w:r>
              <w:rPr>
                <w:spacing w:val="-2"/>
                <w:position w:val="18"/>
                <w:sz w:val="24"/>
                <w:szCs w:val="24"/>
              </w:rPr>
              <w:t>钻前工程废水主要包括施工废水和施工人员生活污水。</w:t>
            </w:r>
          </w:p>
          <w:p>
            <w:pPr>
              <w:pStyle w:val="6"/>
              <w:spacing w:line="217" w:lineRule="auto"/>
              <w:ind w:left="587"/>
              <w:rPr>
                <w:sz w:val="24"/>
                <w:szCs w:val="24"/>
              </w:rPr>
            </w:pPr>
            <w:r>
              <w:rPr>
                <w:spacing w:val="-2"/>
                <w:sz w:val="24"/>
                <w:szCs w:val="24"/>
              </w:rPr>
              <w:t>①施工废水</w:t>
            </w:r>
          </w:p>
          <w:p>
            <w:pPr>
              <w:pStyle w:val="6"/>
              <w:spacing w:before="198" w:line="480" w:lineRule="exact"/>
              <w:ind w:left="587"/>
              <w:rPr>
                <w:sz w:val="24"/>
                <w:szCs w:val="24"/>
              </w:rPr>
            </w:pPr>
            <w:r>
              <w:rPr>
                <w:spacing w:val="-3"/>
                <w:position w:val="18"/>
                <w:sz w:val="24"/>
                <w:szCs w:val="24"/>
              </w:rPr>
              <w:t>施工废水主要为井场基础建设时砂石骨料加工等产生的含</w:t>
            </w:r>
            <w:r>
              <w:rPr>
                <w:spacing w:val="-44"/>
                <w:position w:val="18"/>
                <w:sz w:val="24"/>
                <w:szCs w:val="24"/>
              </w:rPr>
              <w:t xml:space="preserve"> </w:t>
            </w:r>
            <w:r>
              <w:rPr>
                <w:rFonts w:ascii="Times New Roman" w:hAnsi="Times New Roman" w:eastAsia="Times New Roman" w:cs="Times New Roman"/>
                <w:spacing w:val="-3"/>
                <w:position w:val="18"/>
                <w:sz w:val="24"/>
                <w:szCs w:val="24"/>
              </w:rPr>
              <w:t xml:space="preserve">SS </w:t>
            </w:r>
            <w:r>
              <w:rPr>
                <w:spacing w:val="-3"/>
                <w:position w:val="18"/>
                <w:sz w:val="24"/>
                <w:szCs w:val="24"/>
              </w:rPr>
              <w:t>废水，施工</w:t>
            </w:r>
            <w:r>
              <w:rPr>
                <w:spacing w:val="-4"/>
                <w:position w:val="18"/>
                <w:sz w:val="24"/>
                <w:szCs w:val="24"/>
              </w:rPr>
              <w:t>废水经沉淀</w:t>
            </w:r>
          </w:p>
          <w:p>
            <w:pPr>
              <w:pStyle w:val="6"/>
              <w:spacing w:line="220" w:lineRule="auto"/>
              <w:ind w:left="108"/>
              <w:rPr>
                <w:sz w:val="24"/>
                <w:szCs w:val="24"/>
              </w:rPr>
            </w:pPr>
            <w:r>
              <w:rPr>
                <w:spacing w:val="-5"/>
                <w:sz w:val="24"/>
                <w:szCs w:val="24"/>
              </w:rPr>
              <w:t>池沉淀处理后回用。</w:t>
            </w:r>
          </w:p>
          <w:p>
            <w:pPr>
              <w:pStyle w:val="6"/>
              <w:spacing w:before="195" w:line="217" w:lineRule="auto"/>
              <w:ind w:left="586"/>
              <w:rPr>
                <w:sz w:val="24"/>
                <w:szCs w:val="24"/>
              </w:rPr>
            </w:pPr>
            <w:r>
              <w:rPr>
                <w:spacing w:val="-2"/>
                <w:sz w:val="24"/>
                <w:szCs w:val="24"/>
              </w:rPr>
              <w:t>②生活污水</w:t>
            </w:r>
          </w:p>
          <w:p>
            <w:pPr>
              <w:pStyle w:val="6"/>
              <w:spacing w:before="198" w:line="369" w:lineRule="auto"/>
              <w:ind w:left="112" w:right="104" w:firstLine="476"/>
              <w:rPr>
                <w:sz w:val="24"/>
                <w:szCs w:val="24"/>
              </w:rPr>
            </w:pPr>
            <w:r>
              <w:rPr>
                <w:spacing w:val="-9"/>
                <w:sz w:val="24"/>
                <w:szCs w:val="24"/>
              </w:rPr>
              <w:t>钻前工程施工人员约为</w:t>
            </w:r>
            <w:r>
              <w:rPr>
                <w:spacing w:val="-50"/>
                <w:sz w:val="24"/>
                <w:szCs w:val="24"/>
              </w:rPr>
              <w:t xml:space="preserve"> </w:t>
            </w:r>
            <w:r>
              <w:rPr>
                <w:rFonts w:ascii="Times New Roman" w:hAnsi="Times New Roman" w:eastAsia="Times New Roman" w:cs="Times New Roman"/>
                <w:spacing w:val="-9"/>
                <w:sz w:val="24"/>
                <w:szCs w:val="24"/>
              </w:rPr>
              <w:t xml:space="preserve">30 </w:t>
            </w:r>
            <w:r>
              <w:rPr>
                <w:spacing w:val="-9"/>
                <w:sz w:val="24"/>
                <w:szCs w:val="24"/>
              </w:rPr>
              <w:t>人，</w:t>
            </w:r>
            <w:r>
              <w:rPr>
                <w:spacing w:val="-42"/>
                <w:sz w:val="24"/>
                <w:szCs w:val="24"/>
              </w:rPr>
              <w:t xml:space="preserve"> </w:t>
            </w:r>
            <w:r>
              <w:rPr>
                <w:spacing w:val="-9"/>
                <w:sz w:val="24"/>
                <w:szCs w:val="24"/>
              </w:rPr>
              <w:t>生活用水量按</w:t>
            </w:r>
            <w:r>
              <w:rPr>
                <w:spacing w:val="-31"/>
                <w:sz w:val="24"/>
                <w:szCs w:val="24"/>
              </w:rPr>
              <w:t xml:space="preserve"> </w:t>
            </w:r>
            <w:r>
              <w:rPr>
                <w:rFonts w:ascii="Times New Roman" w:hAnsi="Times New Roman" w:eastAsia="Times New Roman" w:cs="Times New Roman"/>
                <w:spacing w:val="-9"/>
                <w:sz w:val="24"/>
                <w:szCs w:val="24"/>
              </w:rPr>
              <w:t xml:space="preserve">120L/d </w:t>
            </w:r>
            <w:r>
              <w:rPr>
                <w:spacing w:val="-9"/>
                <w:sz w:val="24"/>
                <w:szCs w:val="24"/>
              </w:rPr>
              <w:t>人计算， 工期约为</w:t>
            </w:r>
            <w:r>
              <w:rPr>
                <w:spacing w:val="-50"/>
                <w:sz w:val="24"/>
                <w:szCs w:val="24"/>
              </w:rPr>
              <w:t xml:space="preserve"> </w:t>
            </w:r>
            <w:r>
              <w:rPr>
                <w:rFonts w:ascii="Times New Roman" w:hAnsi="Times New Roman" w:eastAsia="Times New Roman" w:cs="Times New Roman"/>
                <w:spacing w:val="-10"/>
                <w:sz w:val="24"/>
                <w:szCs w:val="24"/>
              </w:rPr>
              <w:t>30</w:t>
            </w:r>
            <w:r>
              <w:rPr>
                <w:rFonts w:ascii="Times New Roman" w:hAnsi="Times New Roman" w:eastAsia="Times New Roman" w:cs="Times New Roman"/>
                <w:spacing w:val="14"/>
                <w:sz w:val="24"/>
                <w:szCs w:val="24"/>
              </w:rPr>
              <w:t xml:space="preserve"> </w:t>
            </w:r>
            <w:r>
              <w:rPr>
                <w:spacing w:val="-10"/>
                <w:sz w:val="24"/>
                <w:szCs w:val="24"/>
              </w:rPr>
              <w:t>天，</w:t>
            </w:r>
            <w:r>
              <w:rPr>
                <w:spacing w:val="-40"/>
                <w:sz w:val="24"/>
                <w:szCs w:val="24"/>
              </w:rPr>
              <w:t xml:space="preserve"> </w:t>
            </w:r>
            <w:r>
              <w:rPr>
                <w:spacing w:val="-10"/>
                <w:sz w:val="24"/>
                <w:szCs w:val="24"/>
              </w:rPr>
              <w:t>则生</w:t>
            </w:r>
            <w:r>
              <w:rPr>
                <w:sz w:val="24"/>
                <w:szCs w:val="24"/>
              </w:rPr>
              <w:t xml:space="preserve"> </w:t>
            </w:r>
            <w:r>
              <w:rPr>
                <w:spacing w:val="-3"/>
                <w:sz w:val="24"/>
                <w:szCs w:val="24"/>
              </w:rPr>
              <w:t xml:space="preserve">活用水量为 </w:t>
            </w:r>
            <w:r>
              <w:rPr>
                <w:rFonts w:ascii="Times New Roman" w:hAnsi="Times New Roman" w:eastAsia="Times New Roman" w:cs="Times New Roman"/>
                <w:spacing w:val="-3"/>
                <w:sz w:val="24"/>
                <w:szCs w:val="24"/>
              </w:rPr>
              <w:t>108m</w:t>
            </w:r>
            <w:r>
              <w:rPr>
                <w:rFonts w:ascii="Times New Roman" w:hAnsi="Times New Roman" w:eastAsia="Times New Roman" w:cs="Times New Roman"/>
                <w:spacing w:val="-3"/>
                <w:position w:val="8"/>
                <w:sz w:val="16"/>
                <w:szCs w:val="16"/>
              </w:rPr>
              <w:t>3</w:t>
            </w:r>
            <w:r>
              <w:rPr>
                <w:spacing w:val="-3"/>
                <w:sz w:val="24"/>
                <w:szCs w:val="24"/>
              </w:rPr>
              <w:t>（</w:t>
            </w:r>
            <w:r>
              <w:rPr>
                <w:rFonts w:ascii="Times New Roman" w:hAnsi="Times New Roman" w:eastAsia="Times New Roman" w:cs="Times New Roman"/>
                <w:spacing w:val="-3"/>
                <w:sz w:val="24"/>
                <w:szCs w:val="24"/>
              </w:rPr>
              <w:t>3.6m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sz w:val="24"/>
                <w:szCs w:val="24"/>
              </w:rPr>
              <w:t>/d</w:t>
            </w:r>
            <w:r>
              <w:rPr>
                <w:spacing w:val="15"/>
                <w:sz w:val="24"/>
                <w:szCs w:val="24"/>
              </w:rPr>
              <w:t>），</w:t>
            </w:r>
            <w:r>
              <w:rPr>
                <w:spacing w:val="-3"/>
                <w:sz w:val="24"/>
                <w:szCs w:val="24"/>
              </w:rPr>
              <w:t xml:space="preserve">排污系数取 </w:t>
            </w:r>
            <w:r>
              <w:rPr>
                <w:rFonts w:ascii="Times New Roman" w:hAnsi="Times New Roman" w:eastAsia="Times New Roman" w:cs="Times New Roman"/>
                <w:spacing w:val="-3"/>
                <w:sz w:val="24"/>
                <w:szCs w:val="24"/>
              </w:rPr>
              <w:t>0.9</w:t>
            </w:r>
            <w:r>
              <w:rPr>
                <w:spacing w:val="-3"/>
                <w:sz w:val="24"/>
                <w:szCs w:val="24"/>
              </w:rPr>
              <w:t xml:space="preserve">，生活污水量为 </w:t>
            </w:r>
            <w:r>
              <w:rPr>
                <w:rFonts w:ascii="Times New Roman" w:hAnsi="Times New Roman" w:eastAsia="Times New Roman" w:cs="Times New Roman"/>
                <w:spacing w:val="-3"/>
                <w:sz w:val="24"/>
                <w:szCs w:val="24"/>
              </w:rPr>
              <w:t>97.2m</w:t>
            </w:r>
            <w:r>
              <w:rPr>
                <w:spacing w:val="-3"/>
                <w:sz w:val="24"/>
                <w:szCs w:val="24"/>
              </w:rPr>
              <w:t>（</w:t>
            </w:r>
            <w:r>
              <w:rPr>
                <w:rFonts w:ascii="Times New Roman" w:hAnsi="Times New Roman" w:eastAsia="Times New Roman" w:cs="Times New Roman"/>
                <w:spacing w:val="-3"/>
                <w:sz w:val="24"/>
                <w:szCs w:val="24"/>
              </w:rPr>
              <w:t>3.24m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sz w:val="24"/>
                <w:szCs w:val="24"/>
              </w:rPr>
              <w:t>/d</w:t>
            </w:r>
            <w:r>
              <w:rPr>
                <w:spacing w:val="-3"/>
                <w:sz w:val="24"/>
                <w:szCs w:val="24"/>
              </w:rPr>
              <w:t>）。生</w:t>
            </w:r>
          </w:p>
          <w:p>
            <w:pPr>
              <w:pStyle w:val="6"/>
              <w:spacing w:line="212" w:lineRule="auto"/>
              <w:jc w:val="right"/>
              <w:rPr>
                <w:sz w:val="24"/>
                <w:szCs w:val="24"/>
              </w:rPr>
            </w:pPr>
            <w:r>
              <w:rPr>
                <w:spacing w:val="-13"/>
                <w:sz w:val="24"/>
                <w:szCs w:val="24"/>
              </w:rPr>
              <w:t>活污水主要污染物为</w:t>
            </w:r>
            <w:r>
              <w:rPr>
                <w:spacing w:val="-54"/>
                <w:sz w:val="24"/>
                <w:szCs w:val="24"/>
              </w:rPr>
              <w:t xml:space="preserve"> </w:t>
            </w:r>
            <w:r>
              <w:rPr>
                <w:rFonts w:ascii="Times New Roman" w:hAnsi="Times New Roman" w:eastAsia="Times New Roman" w:cs="Times New Roman"/>
                <w:spacing w:val="-13"/>
                <w:sz w:val="24"/>
                <w:szCs w:val="24"/>
              </w:rPr>
              <w:t>COD</w:t>
            </w:r>
            <w:r>
              <w:rPr>
                <w:spacing w:val="-13"/>
                <w:sz w:val="24"/>
                <w:szCs w:val="24"/>
              </w:rPr>
              <w:t>、</w:t>
            </w:r>
            <w:r>
              <w:rPr>
                <w:rFonts w:ascii="Times New Roman" w:hAnsi="Times New Roman" w:eastAsia="Times New Roman" w:cs="Times New Roman"/>
                <w:spacing w:val="-13"/>
                <w:sz w:val="24"/>
                <w:szCs w:val="24"/>
              </w:rPr>
              <w:t>BOD</w:t>
            </w:r>
            <w:r>
              <w:rPr>
                <w:rFonts w:ascii="Times New Roman" w:hAnsi="Times New Roman" w:eastAsia="Times New Roman" w:cs="Times New Roman"/>
                <w:spacing w:val="-13"/>
                <w:position w:val="-1"/>
                <w:sz w:val="16"/>
                <w:szCs w:val="16"/>
              </w:rPr>
              <w:t>5</w:t>
            </w:r>
            <w:r>
              <w:rPr>
                <w:spacing w:val="-13"/>
                <w:sz w:val="24"/>
                <w:szCs w:val="24"/>
              </w:rPr>
              <w:t>、</w:t>
            </w:r>
            <w:r>
              <w:rPr>
                <w:rFonts w:ascii="Times New Roman" w:hAnsi="Times New Roman" w:eastAsia="Times New Roman" w:cs="Times New Roman"/>
                <w:spacing w:val="-13"/>
                <w:sz w:val="24"/>
                <w:szCs w:val="24"/>
              </w:rPr>
              <w:t xml:space="preserve">SS </w:t>
            </w:r>
            <w:r>
              <w:rPr>
                <w:spacing w:val="-9"/>
                <w:sz w:val="24"/>
                <w:szCs w:val="24"/>
              </w:rPr>
              <w:t>和</w:t>
            </w:r>
            <w:r>
              <w:rPr>
                <w:rFonts w:ascii="Times New Roman" w:hAnsi="Times New Roman" w:eastAsia="Times New Roman" w:cs="Times New Roman"/>
                <w:spacing w:val="-9"/>
                <w:sz w:val="24"/>
                <w:szCs w:val="24"/>
              </w:rPr>
              <w:t>NH</w:t>
            </w:r>
            <w:r>
              <w:rPr>
                <w:rFonts w:ascii="Times New Roman" w:hAnsi="Times New Roman" w:eastAsia="Times New Roman" w:cs="Times New Roman"/>
                <w:spacing w:val="-9"/>
                <w:position w:val="-1"/>
                <w:sz w:val="16"/>
                <w:szCs w:val="16"/>
              </w:rPr>
              <w:t>3</w:t>
            </w:r>
            <w:r>
              <w:rPr>
                <w:rFonts w:ascii="Times New Roman" w:hAnsi="Times New Roman" w:eastAsia="Times New Roman" w:cs="Times New Roman"/>
                <w:spacing w:val="-9"/>
                <w:sz w:val="24"/>
                <w:szCs w:val="24"/>
              </w:rPr>
              <w:t>-N</w:t>
            </w:r>
            <w:r>
              <w:rPr>
                <w:spacing w:val="-9"/>
                <w:sz w:val="24"/>
                <w:szCs w:val="24"/>
              </w:rPr>
              <w:t>，浓度分别为</w:t>
            </w:r>
            <w:r>
              <w:rPr>
                <w:rFonts w:ascii="Times New Roman" w:hAnsi="Times New Roman" w:eastAsia="Times New Roman" w:cs="Times New Roman"/>
                <w:spacing w:val="-9"/>
                <w:sz w:val="24"/>
                <w:szCs w:val="24"/>
              </w:rPr>
              <w:t>400mg/L</w:t>
            </w:r>
            <w:r>
              <w:rPr>
                <w:spacing w:val="-9"/>
                <w:sz w:val="24"/>
                <w:szCs w:val="24"/>
              </w:rPr>
              <w:t>、</w:t>
            </w:r>
            <w:r>
              <w:rPr>
                <w:rFonts w:ascii="Times New Roman" w:hAnsi="Times New Roman" w:eastAsia="Times New Roman" w:cs="Times New Roman"/>
                <w:spacing w:val="-9"/>
                <w:sz w:val="24"/>
                <w:szCs w:val="24"/>
              </w:rPr>
              <w:t>200mg/L</w:t>
            </w:r>
            <w:r>
              <w:rPr>
                <w:spacing w:val="-9"/>
                <w:sz w:val="24"/>
                <w:szCs w:val="24"/>
              </w:rPr>
              <w:t>、</w:t>
            </w:r>
            <w:r>
              <w:rPr>
                <w:rFonts w:ascii="Times New Roman" w:hAnsi="Times New Roman" w:eastAsia="Times New Roman" w:cs="Times New Roman"/>
                <w:spacing w:val="-9"/>
                <w:sz w:val="24"/>
                <w:szCs w:val="24"/>
              </w:rPr>
              <w:t>250mg/L</w:t>
            </w:r>
            <w:r>
              <w:rPr>
                <w:spacing w:val="-9"/>
                <w:sz w:val="24"/>
                <w:szCs w:val="24"/>
              </w:rPr>
              <w:t>、</w:t>
            </w:r>
          </w:p>
        </w:tc>
      </w:tr>
    </w:tbl>
    <w:p>
      <w:pPr>
        <w:pStyle w:val="2"/>
        <w:rPr>
          <w:sz w:val="21"/>
        </w:rPr>
      </w:pPr>
    </w:p>
    <w:p>
      <w:pPr>
        <w:rPr>
          <w:sz w:val="21"/>
          <w:szCs w:val="21"/>
        </w:rPr>
        <w:sectPr>
          <w:footerReference r:id="rId95"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96"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2" w:line="480" w:lineRule="exact"/>
              <w:ind w:left="104"/>
              <w:rPr>
                <w:sz w:val="24"/>
                <w:szCs w:val="24"/>
              </w:rPr>
            </w:pPr>
            <w:r>
              <w:rPr>
                <w:rFonts w:ascii="Times New Roman" w:hAnsi="Times New Roman" w:eastAsia="Times New Roman" w:cs="Times New Roman"/>
                <w:spacing w:val="-4"/>
                <w:position w:val="18"/>
                <w:sz w:val="24"/>
                <w:szCs w:val="24"/>
              </w:rPr>
              <w:t>25mg/L</w:t>
            </w:r>
            <w:r>
              <w:rPr>
                <w:spacing w:val="-4"/>
                <w:position w:val="18"/>
                <w:sz w:val="24"/>
                <w:szCs w:val="24"/>
              </w:rPr>
              <w:t>。钻前工程施工人员租住附近民房，</w:t>
            </w:r>
            <w:r>
              <w:rPr>
                <w:spacing w:val="69"/>
                <w:position w:val="18"/>
                <w:sz w:val="24"/>
                <w:szCs w:val="24"/>
              </w:rPr>
              <w:t xml:space="preserve"> </w:t>
            </w:r>
            <w:r>
              <w:rPr>
                <w:spacing w:val="-4"/>
                <w:position w:val="18"/>
                <w:sz w:val="24"/>
                <w:szCs w:val="24"/>
              </w:rPr>
              <w:t>不</w:t>
            </w:r>
            <w:r>
              <w:rPr>
                <w:spacing w:val="-5"/>
                <w:position w:val="18"/>
                <w:sz w:val="24"/>
                <w:szCs w:val="24"/>
              </w:rPr>
              <w:t>设施工营地，生活污水利用附近农户已建</w:t>
            </w:r>
          </w:p>
          <w:p>
            <w:pPr>
              <w:pStyle w:val="6"/>
              <w:spacing w:before="1" w:line="218" w:lineRule="auto"/>
              <w:ind w:left="111"/>
              <w:rPr>
                <w:sz w:val="24"/>
                <w:szCs w:val="24"/>
              </w:rPr>
            </w:pPr>
            <w:r>
              <w:rPr>
                <w:spacing w:val="-3"/>
                <w:sz w:val="24"/>
                <w:szCs w:val="24"/>
              </w:rPr>
              <w:t>旱厕等设施处置，作为农肥使用。</w:t>
            </w:r>
          </w:p>
          <w:p>
            <w:pPr>
              <w:pStyle w:val="6"/>
              <w:spacing w:before="229" w:line="220" w:lineRule="auto"/>
              <w:ind w:left="105"/>
              <w:rPr>
                <w:sz w:val="24"/>
                <w:szCs w:val="24"/>
              </w:rPr>
            </w:pPr>
            <w:r>
              <w:rPr>
                <w:rFonts w:ascii="Times New Roman" w:hAnsi="Times New Roman" w:eastAsia="Times New Roman" w:cs="Times New Roman"/>
                <w:b/>
                <w:bCs/>
                <w:spacing w:val="-3"/>
                <w:sz w:val="24"/>
                <w:szCs w:val="24"/>
              </w:rPr>
              <w:t>4.2.3</w:t>
            </w:r>
            <w:r>
              <w:rPr>
                <w:rFonts w:ascii="Times New Roman" w:hAnsi="Times New Roman" w:eastAsia="Times New Roman" w:cs="Times New Roman"/>
                <w:b/>
                <w:bCs/>
                <w:spacing w:val="25"/>
                <w:sz w:val="24"/>
                <w:szCs w:val="24"/>
              </w:rPr>
              <w:t xml:space="preserve"> </w:t>
            </w:r>
            <w:r>
              <w:rPr>
                <w:spacing w:val="-3"/>
                <w:sz w:val="24"/>
                <w:szCs w:val="24"/>
                <w14:textOutline w14:w="4354" w14:cap="flat" w14:cmpd="sng">
                  <w14:solidFill>
                    <w14:srgbClr w14:val="000000"/>
                  </w14:solidFill>
                  <w14:prstDash w14:val="solid"/>
                  <w14:miter w14:val="10"/>
                </w14:textOutline>
              </w:rPr>
              <w:t>噪声</w:t>
            </w:r>
          </w:p>
          <w:p>
            <w:pPr>
              <w:pStyle w:val="6"/>
              <w:spacing w:before="201" w:line="369" w:lineRule="auto"/>
              <w:ind w:left="109" w:right="106" w:firstLine="478"/>
              <w:jc w:val="both"/>
              <w:rPr>
                <w:sz w:val="24"/>
                <w:szCs w:val="24"/>
              </w:rPr>
            </w:pPr>
            <w:r>
              <w:rPr>
                <w:spacing w:val="-2"/>
                <w:sz w:val="24"/>
                <w:szCs w:val="24"/>
              </w:rPr>
              <w:t>钻前工程施工噪声主要来自施工机械和运输车辆辐射的噪声，</w:t>
            </w:r>
            <w:r>
              <w:rPr>
                <w:spacing w:val="-11"/>
                <w:sz w:val="24"/>
                <w:szCs w:val="24"/>
              </w:rPr>
              <w:t xml:space="preserve"> </w:t>
            </w:r>
            <w:r>
              <w:rPr>
                <w:spacing w:val="-2"/>
                <w:sz w:val="24"/>
                <w:szCs w:val="24"/>
              </w:rPr>
              <w:t>施工噪声影响虽然是</w:t>
            </w:r>
            <w:r>
              <w:rPr>
                <w:sz w:val="24"/>
                <w:szCs w:val="24"/>
              </w:rPr>
              <w:t xml:space="preserve"> </w:t>
            </w:r>
            <w:r>
              <w:rPr>
                <w:spacing w:val="-2"/>
                <w:sz w:val="24"/>
                <w:szCs w:val="24"/>
              </w:rPr>
              <w:t>暂时的，</w:t>
            </w:r>
            <w:r>
              <w:rPr>
                <w:spacing w:val="-6"/>
                <w:sz w:val="24"/>
                <w:szCs w:val="24"/>
              </w:rPr>
              <w:t xml:space="preserve"> </w:t>
            </w:r>
            <w:r>
              <w:rPr>
                <w:spacing w:val="-2"/>
                <w:sz w:val="24"/>
                <w:szCs w:val="24"/>
              </w:rPr>
              <w:t>但施工过程中采用的施工机械一般都具有噪声高、无规则等特点，如不加以控</w:t>
            </w:r>
            <w:r>
              <w:rPr>
                <w:sz w:val="24"/>
                <w:szCs w:val="24"/>
              </w:rPr>
              <w:t xml:space="preserve"> </w:t>
            </w:r>
            <w:r>
              <w:rPr>
                <w:spacing w:val="1"/>
                <w:sz w:val="24"/>
                <w:szCs w:val="24"/>
              </w:rPr>
              <w:t>制，将会对施工区域周边环境产生一定的影响。钻井过程中设备噪声也会对周围环境产</w:t>
            </w:r>
          </w:p>
          <w:p>
            <w:pPr>
              <w:pStyle w:val="6"/>
              <w:spacing w:line="220" w:lineRule="auto"/>
              <w:ind w:left="110"/>
              <w:rPr>
                <w:sz w:val="24"/>
                <w:szCs w:val="24"/>
              </w:rPr>
            </w:pPr>
            <w:r>
              <w:rPr>
                <w:spacing w:val="-6"/>
                <w:sz w:val="24"/>
                <w:szCs w:val="24"/>
              </w:rPr>
              <w:t>生一定的影响。</w:t>
            </w:r>
          </w:p>
          <w:p>
            <w:pPr>
              <w:pStyle w:val="6"/>
              <w:spacing w:before="194" w:line="369" w:lineRule="auto"/>
              <w:ind w:left="112" w:right="103" w:firstLine="477"/>
              <w:jc w:val="both"/>
              <w:rPr>
                <w:sz w:val="24"/>
                <w:szCs w:val="24"/>
              </w:rPr>
            </w:pPr>
            <w:r>
              <w:rPr>
                <w:spacing w:val="-3"/>
                <w:sz w:val="24"/>
                <w:szCs w:val="24"/>
              </w:rPr>
              <w:t>本项目噪声预测模式采用《环境影响评价技术导则声环境》（</w:t>
            </w:r>
            <w:r>
              <w:rPr>
                <w:rFonts w:ascii="Times New Roman" w:hAnsi="Times New Roman" w:eastAsia="Times New Roman" w:cs="Times New Roman"/>
                <w:spacing w:val="-3"/>
                <w:sz w:val="24"/>
                <w:szCs w:val="24"/>
              </w:rPr>
              <w:t>HJ2.4-2021</w:t>
            </w:r>
            <w:r>
              <w:rPr>
                <w:spacing w:val="-3"/>
                <w:sz w:val="24"/>
                <w:szCs w:val="24"/>
              </w:rPr>
              <w:t>）中推荐的</w:t>
            </w:r>
            <w:r>
              <w:rPr>
                <w:sz w:val="24"/>
                <w:szCs w:val="24"/>
              </w:rPr>
              <w:t xml:space="preserve"> </w:t>
            </w:r>
            <w:r>
              <w:rPr>
                <w:spacing w:val="1"/>
                <w:sz w:val="24"/>
                <w:szCs w:val="24"/>
              </w:rPr>
              <w:t>室外声源计算方法的点声源的几何发散衰减公式。对于工业企业稳态机械设备，当声源</w:t>
            </w:r>
          </w:p>
          <w:p>
            <w:pPr>
              <w:pStyle w:val="6"/>
              <w:spacing w:before="1" w:line="231" w:lineRule="auto"/>
              <w:ind w:left="113"/>
              <w:rPr>
                <w:sz w:val="24"/>
                <w:szCs w:val="24"/>
              </w:rPr>
            </w:pPr>
            <w:r>
              <w:rPr>
                <w:spacing w:val="-2"/>
                <w:sz w:val="24"/>
                <w:szCs w:val="24"/>
              </w:rPr>
              <w:t>处于自由空间且仅考虑声源的几何发散衰减，则距离点声源</w:t>
            </w:r>
            <w:r>
              <w:rPr>
                <w:spacing w:val="-51"/>
                <w:sz w:val="24"/>
                <w:szCs w:val="24"/>
              </w:rPr>
              <w:t xml:space="preserve"> </w:t>
            </w:r>
            <w:r>
              <w:rPr>
                <w:rFonts w:ascii="Times New Roman" w:hAnsi="Times New Roman" w:eastAsia="Times New Roman" w:cs="Times New Roman"/>
                <w:spacing w:val="-2"/>
                <w:sz w:val="24"/>
                <w:szCs w:val="24"/>
              </w:rPr>
              <w:t xml:space="preserve">r </w:t>
            </w:r>
            <w:r>
              <w:rPr>
                <w:spacing w:val="-2"/>
                <w:sz w:val="24"/>
                <w:szCs w:val="24"/>
              </w:rPr>
              <w:t>处的声压级为：</w:t>
            </w:r>
          </w:p>
          <w:p>
            <w:pPr>
              <w:spacing w:line="548" w:lineRule="exact"/>
              <w:ind w:firstLine="2898"/>
            </w:pPr>
            <w:r>
              <w:rPr>
                <w:position w:val="-10"/>
              </w:rPr>
              <w:drawing>
                <wp:inline distT="0" distB="0" distL="0" distR="0">
                  <wp:extent cx="2267585" cy="34798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07"/>
                          <a:stretch>
                            <a:fillRect/>
                          </a:stretch>
                        </pic:blipFill>
                        <pic:spPr>
                          <a:xfrm>
                            <a:off x="0" y="0"/>
                            <a:ext cx="2268219" cy="347980"/>
                          </a:xfrm>
                          <a:prstGeom prst="rect">
                            <a:avLst/>
                          </a:prstGeom>
                        </pic:spPr>
                      </pic:pic>
                    </a:graphicData>
                  </a:graphic>
                </wp:inline>
              </w:drawing>
            </w:r>
          </w:p>
          <w:p>
            <w:pPr>
              <w:pStyle w:val="6"/>
              <w:spacing w:before="179" w:line="214" w:lineRule="auto"/>
              <w:ind w:left="593"/>
              <w:rPr>
                <w:sz w:val="24"/>
                <w:szCs w:val="24"/>
              </w:rPr>
            </w:pPr>
            <w:r>
              <w:rPr>
                <w:spacing w:val="-33"/>
                <w:sz w:val="24"/>
                <w:szCs w:val="24"/>
              </w:rPr>
              <w:t>式中：</w:t>
            </w:r>
            <w:r>
              <w:rPr>
                <w:spacing w:val="1"/>
                <w:sz w:val="24"/>
                <w:szCs w:val="24"/>
              </w:rPr>
              <w:t xml:space="preserve"> </w:t>
            </w:r>
            <w:r>
              <w:rPr>
                <w:rFonts w:ascii="Times New Roman" w:hAnsi="Times New Roman" w:eastAsia="Times New Roman" w:cs="Times New Roman"/>
                <w:spacing w:val="-33"/>
                <w:sz w:val="24"/>
                <w:szCs w:val="24"/>
              </w:rPr>
              <w:t>L</w:t>
            </w:r>
            <w:r>
              <w:rPr>
                <w:rFonts w:ascii="Times New Roman" w:hAnsi="Times New Roman" w:eastAsia="Times New Roman" w:cs="Times New Roman"/>
                <w:spacing w:val="-11"/>
                <w:position w:val="-1"/>
                <w:sz w:val="16"/>
                <w:szCs w:val="16"/>
              </w:rPr>
              <w:t>p</w:t>
            </w:r>
            <w:r>
              <w:rPr>
                <w:rFonts w:ascii="Times New Roman" w:hAnsi="Times New Roman" w:eastAsia="Times New Roman" w:cs="Times New Roman"/>
                <w:spacing w:val="-11"/>
                <w:sz w:val="24"/>
                <w:szCs w:val="24"/>
              </w:rPr>
              <w:t>(r)</w:t>
            </w:r>
            <w:r>
              <w:rPr>
                <w:spacing w:val="-11"/>
                <w:sz w:val="24"/>
                <w:szCs w:val="24"/>
              </w:rPr>
              <w:t>——预测点处声压级，</w:t>
            </w:r>
            <w:r>
              <w:rPr>
                <w:spacing w:val="62"/>
                <w:sz w:val="24"/>
                <w:szCs w:val="24"/>
              </w:rPr>
              <w:t xml:space="preserve"> </w:t>
            </w:r>
            <w:r>
              <w:rPr>
                <w:rFonts w:ascii="Times New Roman" w:hAnsi="Times New Roman" w:eastAsia="Times New Roman" w:cs="Times New Roman"/>
                <w:spacing w:val="-11"/>
                <w:sz w:val="24"/>
                <w:szCs w:val="24"/>
              </w:rPr>
              <w:t>dB</w:t>
            </w:r>
            <w:r>
              <w:rPr>
                <w:spacing w:val="-11"/>
                <w:sz w:val="24"/>
                <w:szCs w:val="24"/>
              </w:rPr>
              <w:t>；</w:t>
            </w:r>
          </w:p>
          <w:p>
            <w:pPr>
              <w:pStyle w:val="6"/>
              <w:spacing w:before="201" w:line="214" w:lineRule="auto"/>
              <w:ind w:left="1303"/>
              <w:rPr>
                <w:sz w:val="24"/>
                <w:szCs w:val="24"/>
              </w:rPr>
            </w:pPr>
            <w:r>
              <w:rPr>
                <w:rFonts w:ascii="Times New Roman" w:hAnsi="Times New Roman" w:eastAsia="Times New Roman" w:cs="Times New Roman"/>
                <w:spacing w:val="-9"/>
                <w:sz w:val="24"/>
                <w:szCs w:val="24"/>
              </w:rPr>
              <w:t>L</w:t>
            </w:r>
            <w:r>
              <w:rPr>
                <w:rFonts w:ascii="Times New Roman" w:hAnsi="Times New Roman" w:eastAsia="Times New Roman" w:cs="Times New Roman"/>
                <w:spacing w:val="-9"/>
                <w:position w:val="-1"/>
                <w:sz w:val="16"/>
                <w:szCs w:val="16"/>
              </w:rPr>
              <w:t>p</w:t>
            </w:r>
            <w:r>
              <w:rPr>
                <w:rFonts w:ascii="Times New Roman" w:hAnsi="Times New Roman" w:eastAsia="Times New Roman" w:cs="Times New Roman"/>
                <w:spacing w:val="-9"/>
                <w:sz w:val="24"/>
                <w:szCs w:val="24"/>
              </w:rPr>
              <w:t>(r</w:t>
            </w:r>
            <w:r>
              <w:rPr>
                <w:rFonts w:ascii="Times New Roman" w:hAnsi="Times New Roman" w:eastAsia="Times New Roman" w:cs="Times New Roman"/>
                <w:spacing w:val="-9"/>
                <w:position w:val="-1"/>
                <w:sz w:val="16"/>
                <w:szCs w:val="16"/>
              </w:rPr>
              <w:t>0</w:t>
            </w:r>
            <w:r>
              <w:rPr>
                <w:rFonts w:ascii="Times New Roman" w:hAnsi="Times New Roman" w:eastAsia="Times New Roman" w:cs="Times New Roman"/>
                <w:spacing w:val="-9"/>
                <w:sz w:val="24"/>
                <w:szCs w:val="24"/>
              </w:rPr>
              <w:t>)</w:t>
            </w:r>
            <w:r>
              <w:rPr>
                <w:spacing w:val="-9"/>
                <w:sz w:val="24"/>
                <w:szCs w:val="24"/>
              </w:rPr>
              <w:t>——参考位置</w:t>
            </w:r>
            <w:r>
              <w:rPr>
                <w:spacing w:val="-54"/>
                <w:sz w:val="24"/>
                <w:szCs w:val="24"/>
              </w:rPr>
              <w:t xml:space="preserve"> </w:t>
            </w:r>
            <w:r>
              <w:rPr>
                <w:rFonts w:ascii="Times New Roman" w:hAnsi="Times New Roman" w:eastAsia="Times New Roman" w:cs="Times New Roman"/>
                <w:spacing w:val="-9"/>
                <w:sz w:val="24"/>
                <w:szCs w:val="24"/>
              </w:rPr>
              <w:t>r</w:t>
            </w:r>
            <w:r>
              <w:rPr>
                <w:rFonts w:ascii="Times New Roman" w:hAnsi="Times New Roman" w:eastAsia="Times New Roman" w:cs="Times New Roman"/>
                <w:spacing w:val="-9"/>
                <w:position w:val="-1"/>
                <w:sz w:val="16"/>
                <w:szCs w:val="16"/>
              </w:rPr>
              <w:t>0</w:t>
            </w:r>
            <w:r>
              <w:rPr>
                <w:rFonts w:ascii="Times New Roman" w:hAnsi="Times New Roman" w:eastAsia="Times New Roman" w:cs="Times New Roman"/>
                <w:spacing w:val="14"/>
                <w:w w:val="101"/>
                <w:position w:val="-1"/>
                <w:sz w:val="16"/>
                <w:szCs w:val="16"/>
              </w:rPr>
              <w:t xml:space="preserve"> </w:t>
            </w:r>
            <w:r>
              <w:rPr>
                <w:spacing w:val="-9"/>
                <w:sz w:val="24"/>
                <w:szCs w:val="24"/>
              </w:rPr>
              <w:t>处的声压级，</w:t>
            </w:r>
            <w:r>
              <w:rPr>
                <w:spacing w:val="61"/>
                <w:sz w:val="24"/>
                <w:szCs w:val="24"/>
              </w:rPr>
              <w:t xml:space="preserve"> </w:t>
            </w:r>
            <w:r>
              <w:rPr>
                <w:rFonts w:ascii="Times New Roman" w:hAnsi="Times New Roman" w:eastAsia="Times New Roman" w:cs="Times New Roman"/>
                <w:spacing w:val="-9"/>
                <w:sz w:val="24"/>
                <w:szCs w:val="24"/>
              </w:rPr>
              <w:t>dB</w:t>
            </w:r>
            <w:r>
              <w:rPr>
                <w:spacing w:val="-9"/>
                <w:sz w:val="24"/>
                <w:szCs w:val="24"/>
              </w:rPr>
              <w:t>；</w:t>
            </w:r>
          </w:p>
          <w:p>
            <w:pPr>
              <w:pStyle w:val="6"/>
              <w:spacing w:before="202" w:line="234" w:lineRule="auto"/>
              <w:ind w:left="1300"/>
              <w:rPr>
                <w:sz w:val="24"/>
                <w:szCs w:val="24"/>
              </w:rPr>
            </w:pPr>
            <w:r>
              <w:rPr>
                <w:rFonts w:ascii="Times New Roman" w:hAnsi="Times New Roman" w:eastAsia="Times New Roman" w:cs="Times New Roman"/>
                <w:spacing w:val="-4"/>
                <w:sz w:val="24"/>
                <w:szCs w:val="24"/>
              </w:rPr>
              <w:t>r</w:t>
            </w:r>
            <w:r>
              <w:rPr>
                <w:spacing w:val="-4"/>
                <w:sz w:val="24"/>
                <w:szCs w:val="24"/>
              </w:rPr>
              <w:t>——预测点距声源的距离；</w:t>
            </w:r>
          </w:p>
          <w:p>
            <w:pPr>
              <w:pStyle w:val="6"/>
              <w:spacing w:before="176" w:line="233" w:lineRule="auto"/>
              <w:ind w:left="1300"/>
              <w:rPr>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position w:val="-1"/>
                <w:sz w:val="16"/>
                <w:szCs w:val="16"/>
              </w:rPr>
              <w:t>0</w:t>
            </w:r>
            <w:r>
              <w:rPr>
                <w:sz w:val="24"/>
                <w:szCs w:val="24"/>
              </w:rPr>
              <w:t>——参考位置距声源的距离。</w:t>
            </w:r>
          </w:p>
          <w:p>
            <w:pPr>
              <w:pStyle w:val="6"/>
              <w:spacing w:before="176" w:line="220" w:lineRule="auto"/>
              <w:ind w:left="592"/>
              <w:rPr>
                <w:sz w:val="24"/>
                <w:szCs w:val="24"/>
              </w:rPr>
            </w:pPr>
            <w:r>
              <w:rPr>
                <w:spacing w:val="-1"/>
                <w:sz w:val="24"/>
                <w:szCs w:val="24"/>
                <w14:textOutline w14:w="4354" w14:cap="flat" w14:cmpd="sng">
                  <w14:solidFill>
                    <w14:srgbClr w14:val="000000"/>
                  </w14:solidFill>
                  <w14:prstDash w14:val="solid"/>
                  <w14:miter w14:val="10"/>
                </w14:textOutline>
              </w:rPr>
              <w:t>预测点贡献值计算：</w:t>
            </w:r>
          </w:p>
          <w:p>
            <w:pPr>
              <w:spacing w:before="16" w:line="885" w:lineRule="exact"/>
              <w:ind w:firstLine="2508"/>
            </w:pPr>
            <w:r>
              <w:rPr>
                <w:position w:val="-17"/>
              </w:rPr>
              <w:drawing>
                <wp:inline distT="0" distB="0" distL="0" distR="0">
                  <wp:extent cx="2762885" cy="5619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08"/>
                          <a:stretch>
                            <a:fillRect/>
                          </a:stretch>
                        </pic:blipFill>
                        <pic:spPr>
                          <a:xfrm>
                            <a:off x="0" y="0"/>
                            <a:ext cx="2762885" cy="561975"/>
                          </a:xfrm>
                          <a:prstGeom prst="rect">
                            <a:avLst/>
                          </a:prstGeom>
                        </pic:spPr>
                      </pic:pic>
                    </a:graphicData>
                  </a:graphic>
                </wp:inline>
              </w:drawing>
            </w:r>
          </w:p>
          <w:p>
            <w:pPr>
              <w:pStyle w:val="6"/>
              <w:spacing w:before="180" w:line="212" w:lineRule="auto"/>
              <w:ind w:left="593"/>
              <w:rPr>
                <w:sz w:val="24"/>
                <w:szCs w:val="24"/>
              </w:rPr>
            </w:pPr>
            <w:r>
              <w:rPr>
                <w:spacing w:val="-10"/>
                <w:sz w:val="24"/>
                <w:szCs w:val="24"/>
              </w:rPr>
              <w:t xml:space="preserve">式中： </w:t>
            </w:r>
            <w:r>
              <w:rPr>
                <w:rFonts w:ascii="Times New Roman" w:hAnsi="Times New Roman" w:eastAsia="Times New Roman" w:cs="Times New Roman"/>
                <w:spacing w:val="-10"/>
                <w:sz w:val="24"/>
                <w:szCs w:val="24"/>
              </w:rPr>
              <w:t>Leqg—</w:t>
            </w:r>
            <w:r>
              <w:rPr>
                <w:spacing w:val="-10"/>
                <w:sz w:val="24"/>
                <w:szCs w:val="24"/>
              </w:rPr>
              <w:t>建设项目声源在预测点产生的噪声贡</w:t>
            </w:r>
            <w:r>
              <w:rPr>
                <w:spacing w:val="-11"/>
                <w:sz w:val="24"/>
                <w:szCs w:val="24"/>
              </w:rPr>
              <w:t>献值，</w:t>
            </w:r>
            <w:r>
              <w:rPr>
                <w:spacing w:val="63"/>
                <w:sz w:val="24"/>
                <w:szCs w:val="24"/>
              </w:rPr>
              <w:t xml:space="preserve"> </w:t>
            </w:r>
            <w:r>
              <w:rPr>
                <w:rFonts w:ascii="Times New Roman" w:hAnsi="Times New Roman" w:eastAsia="Times New Roman" w:cs="Times New Roman"/>
                <w:spacing w:val="-11"/>
                <w:sz w:val="24"/>
                <w:szCs w:val="24"/>
              </w:rPr>
              <w:t>dB</w:t>
            </w:r>
            <w:r>
              <w:rPr>
                <w:spacing w:val="-11"/>
                <w:sz w:val="24"/>
                <w:szCs w:val="24"/>
              </w:rPr>
              <w:t>；</w:t>
            </w:r>
          </w:p>
          <w:p>
            <w:pPr>
              <w:pStyle w:val="6"/>
              <w:spacing w:before="204" w:line="480" w:lineRule="exact"/>
              <w:ind w:left="1306"/>
              <w:rPr>
                <w:sz w:val="24"/>
                <w:szCs w:val="24"/>
              </w:rPr>
            </w:pPr>
            <w:r>
              <w:rPr>
                <w:rFonts w:ascii="Times New Roman" w:hAnsi="Times New Roman" w:eastAsia="Times New Roman" w:cs="Times New Roman"/>
                <w:spacing w:val="-12"/>
                <w:position w:val="17"/>
                <w:sz w:val="24"/>
                <w:szCs w:val="24"/>
              </w:rPr>
              <w:t>T——</w:t>
            </w:r>
            <w:r>
              <w:rPr>
                <w:spacing w:val="-12"/>
                <w:position w:val="17"/>
                <w:sz w:val="24"/>
                <w:szCs w:val="24"/>
              </w:rPr>
              <w:t>用于计算等效声级的时间，</w:t>
            </w:r>
            <w:r>
              <w:rPr>
                <w:spacing w:val="76"/>
                <w:position w:val="17"/>
                <w:sz w:val="24"/>
                <w:szCs w:val="24"/>
              </w:rPr>
              <w:t xml:space="preserve"> </w:t>
            </w:r>
            <w:r>
              <w:rPr>
                <w:rFonts w:ascii="Times New Roman" w:hAnsi="Times New Roman" w:eastAsia="Times New Roman" w:cs="Times New Roman"/>
                <w:spacing w:val="-12"/>
                <w:position w:val="17"/>
                <w:sz w:val="24"/>
                <w:szCs w:val="24"/>
              </w:rPr>
              <w:t>s</w:t>
            </w:r>
            <w:r>
              <w:rPr>
                <w:spacing w:val="-12"/>
                <w:position w:val="17"/>
                <w:sz w:val="24"/>
                <w:szCs w:val="24"/>
              </w:rPr>
              <w:t>；</w:t>
            </w:r>
          </w:p>
          <w:p>
            <w:pPr>
              <w:pStyle w:val="6"/>
              <w:spacing w:before="1" w:line="219" w:lineRule="auto"/>
              <w:ind w:left="1296"/>
              <w:rPr>
                <w:sz w:val="24"/>
                <w:szCs w:val="24"/>
              </w:rPr>
            </w:pPr>
            <w:r>
              <w:rPr>
                <w:rFonts w:ascii="Times New Roman" w:hAnsi="Times New Roman" w:eastAsia="Times New Roman" w:cs="Times New Roman"/>
                <w:spacing w:val="-5"/>
                <w:sz w:val="24"/>
                <w:szCs w:val="24"/>
              </w:rPr>
              <w:t>N——</w:t>
            </w:r>
            <w:r>
              <w:rPr>
                <w:spacing w:val="-5"/>
                <w:sz w:val="24"/>
                <w:szCs w:val="24"/>
              </w:rPr>
              <w:t>室外声源个数；</w:t>
            </w:r>
          </w:p>
          <w:p>
            <w:pPr>
              <w:pStyle w:val="6"/>
              <w:spacing w:before="195" w:line="480" w:lineRule="exact"/>
              <w:ind w:left="1301"/>
              <w:rPr>
                <w:sz w:val="24"/>
                <w:szCs w:val="24"/>
              </w:rPr>
            </w:pPr>
            <w:r>
              <w:rPr>
                <w:rFonts w:ascii="Times New Roman" w:hAnsi="Times New Roman" w:eastAsia="Times New Roman" w:cs="Times New Roman"/>
                <w:spacing w:val="-9"/>
                <w:position w:val="17"/>
                <w:sz w:val="24"/>
                <w:szCs w:val="24"/>
              </w:rPr>
              <w:t>t</w:t>
            </w:r>
            <w:r>
              <w:rPr>
                <w:rFonts w:ascii="Times New Roman" w:hAnsi="Times New Roman" w:eastAsia="Times New Roman" w:cs="Times New Roman"/>
                <w:spacing w:val="-9"/>
                <w:position w:val="16"/>
                <w:sz w:val="16"/>
                <w:szCs w:val="16"/>
              </w:rPr>
              <w:t>i</w:t>
            </w:r>
            <w:r>
              <w:rPr>
                <w:rFonts w:ascii="Times New Roman" w:hAnsi="Times New Roman" w:eastAsia="Times New Roman" w:cs="Times New Roman"/>
                <w:spacing w:val="-9"/>
                <w:position w:val="17"/>
                <w:sz w:val="24"/>
                <w:szCs w:val="24"/>
              </w:rPr>
              <w:t>——</w:t>
            </w:r>
            <w:r>
              <w:rPr>
                <w:spacing w:val="-9"/>
                <w:position w:val="17"/>
                <w:sz w:val="24"/>
                <w:szCs w:val="24"/>
              </w:rPr>
              <w:t>在</w:t>
            </w:r>
            <w:r>
              <w:rPr>
                <w:spacing w:val="-46"/>
                <w:position w:val="17"/>
                <w:sz w:val="24"/>
                <w:szCs w:val="24"/>
              </w:rPr>
              <w:t xml:space="preserve"> </w:t>
            </w:r>
            <w:r>
              <w:rPr>
                <w:rFonts w:ascii="Times New Roman" w:hAnsi="Times New Roman" w:eastAsia="Times New Roman" w:cs="Times New Roman"/>
                <w:spacing w:val="-9"/>
                <w:position w:val="17"/>
                <w:sz w:val="24"/>
                <w:szCs w:val="24"/>
              </w:rPr>
              <w:t>T</w:t>
            </w:r>
            <w:r>
              <w:rPr>
                <w:rFonts w:ascii="Times New Roman" w:hAnsi="Times New Roman" w:eastAsia="Times New Roman" w:cs="Times New Roman"/>
                <w:spacing w:val="20"/>
                <w:position w:val="17"/>
                <w:sz w:val="24"/>
                <w:szCs w:val="24"/>
              </w:rPr>
              <w:t xml:space="preserve"> </w:t>
            </w:r>
            <w:r>
              <w:rPr>
                <w:spacing w:val="-9"/>
                <w:position w:val="17"/>
                <w:sz w:val="24"/>
                <w:szCs w:val="24"/>
              </w:rPr>
              <w:t>时间内</w:t>
            </w:r>
            <w:r>
              <w:rPr>
                <w:spacing w:val="-52"/>
                <w:position w:val="17"/>
                <w:sz w:val="24"/>
                <w:szCs w:val="24"/>
              </w:rPr>
              <w:t xml:space="preserve"> </w:t>
            </w:r>
            <w:r>
              <w:rPr>
                <w:rFonts w:ascii="Times New Roman" w:hAnsi="Times New Roman" w:eastAsia="Times New Roman" w:cs="Times New Roman"/>
                <w:spacing w:val="-9"/>
                <w:position w:val="17"/>
                <w:sz w:val="24"/>
                <w:szCs w:val="24"/>
              </w:rPr>
              <w:t>i</w:t>
            </w:r>
            <w:r>
              <w:rPr>
                <w:rFonts w:ascii="Times New Roman" w:hAnsi="Times New Roman" w:eastAsia="Times New Roman" w:cs="Times New Roman"/>
                <w:spacing w:val="14"/>
                <w:position w:val="17"/>
                <w:sz w:val="24"/>
                <w:szCs w:val="24"/>
              </w:rPr>
              <w:t xml:space="preserve"> </w:t>
            </w:r>
            <w:r>
              <w:rPr>
                <w:spacing w:val="-9"/>
                <w:position w:val="17"/>
                <w:sz w:val="24"/>
                <w:szCs w:val="24"/>
              </w:rPr>
              <w:t xml:space="preserve">声源工作时间， </w:t>
            </w:r>
            <w:r>
              <w:rPr>
                <w:rFonts w:ascii="Times New Roman" w:hAnsi="Times New Roman" w:eastAsia="Times New Roman" w:cs="Times New Roman"/>
                <w:spacing w:val="-9"/>
                <w:position w:val="17"/>
                <w:sz w:val="24"/>
                <w:szCs w:val="24"/>
              </w:rPr>
              <w:t>s</w:t>
            </w:r>
            <w:r>
              <w:rPr>
                <w:spacing w:val="-9"/>
                <w:position w:val="17"/>
                <w:sz w:val="24"/>
                <w:szCs w:val="24"/>
              </w:rPr>
              <w:t>；</w:t>
            </w:r>
          </w:p>
          <w:p>
            <w:pPr>
              <w:pStyle w:val="6"/>
              <w:spacing w:line="219" w:lineRule="auto"/>
              <w:ind w:left="1303"/>
              <w:rPr>
                <w:sz w:val="24"/>
                <w:szCs w:val="24"/>
              </w:rPr>
            </w:pPr>
            <w:r>
              <w:rPr>
                <w:rFonts w:ascii="Times New Roman" w:hAnsi="Times New Roman" w:eastAsia="Times New Roman" w:cs="Times New Roman"/>
                <w:spacing w:val="-5"/>
                <w:sz w:val="24"/>
                <w:szCs w:val="24"/>
              </w:rPr>
              <w:t>M——</w:t>
            </w:r>
            <w:r>
              <w:rPr>
                <w:spacing w:val="-5"/>
                <w:sz w:val="24"/>
                <w:szCs w:val="24"/>
              </w:rPr>
              <w:t>等效室外声源个数；</w:t>
            </w:r>
          </w:p>
          <w:p>
            <w:pPr>
              <w:pStyle w:val="6"/>
              <w:spacing w:before="195" w:line="214" w:lineRule="auto"/>
              <w:ind w:left="1301"/>
              <w:rPr>
                <w:sz w:val="24"/>
                <w:szCs w:val="24"/>
              </w:rPr>
            </w:pPr>
            <w:r>
              <w:rPr>
                <w:rFonts w:ascii="Times New Roman" w:hAnsi="Times New Roman" w:eastAsia="Times New Roman" w:cs="Times New Roman"/>
                <w:spacing w:val="-9"/>
                <w:sz w:val="24"/>
                <w:szCs w:val="24"/>
              </w:rPr>
              <w:t>t</w:t>
            </w:r>
            <w:r>
              <w:rPr>
                <w:rFonts w:ascii="Times New Roman" w:hAnsi="Times New Roman" w:eastAsia="Times New Roman" w:cs="Times New Roman"/>
                <w:spacing w:val="-9"/>
                <w:position w:val="-1"/>
                <w:sz w:val="16"/>
                <w:szCs w:val="16"/>
              </w:rPr>
              <w:t>j</w:t>
            </w:r>
            <w:r>
              <w:rPr>
                <w:rFonts w:ascii="Times New Roman" w:hAnsi="Times New Roman" w:eastAsia="Times New Roman" w:cs="Times New Roman"/>
                <w:spacing w:val="-9"/>
                <w:sz w:val="24"/>
                <w:szCs w:val="24"/>
              </w:rPr>
              <w:t>——</w:t>
            </w:r>
            <w:r>
              <w:rPr>
                <w:spacing w:val="-9"/>
                <w:sz w:val="24"/>
                <w:szCs w:val="24"/>
              </w:rPr>
              <w:t>在</w:t>
            </w:r>
            <w:r>
              <w:rPr>
                <w:spacing w:val="-53"/>
                <w:sz w:val="24"/>
                <w:szCs w:val="24"/>
              </w:rPr>
              <w:t xml:space="preserve"> </w:t>
            </w:r>
            <w:r>
              <w:rPr>
                <w:rFonts w:ascii="Times New Roman" w:hAnsi="Times New Roman" w:eastAsia="Times New Roman" w:cs="Times New Roman"/>
                <w:spacing w:val="-9"/>
                <w:sz w:val="24"/>
                <w:szCs w:val="24"/>
              </w:rPr>
              <w:t>T</w:t>
            </w:r>
            <w:r>
              <w:rPr>
                <w:rFonts w:ascii="Times New Roman" w:hAnsi="Times New Roman" w:eastAsia="Times New Roman" w:cs="Times New Roman"/>
                <w:spacing w:val="20"/>
                <w:w w:val="101"/>
                <w:sz w:val="24"/>
                <w:szCs w:val="24"/>
              </w:rPr>
              <w:t xml:space="preserve"> </w:t>
            </w:r>
            <w:r>
              <w:rPr>
                <w:spacing w:val="-9"/>
                <w:sz w:val="24"/>
                <w:szCs w:val="24"/>
              </w:rPr>
              <w:t>时间内</w:t>
            </w:r>
            <w:r>
              <w:rPr>
                <w:rFonts w:ascii="Times New Roman" w:hAnsi="Times New Roman" w:eastAsia="Times New Roman" w:cs="Times New Roman"/>
                <w:spacing w:val="-9"/>
                <w:sz w:val="24"/>
                <w:szCs w:val="24"/>
              </w:rPr>
              <w:t>j</w:t>
            </w:r>
            <w:r>
              <w:rPr>
                <w:rFonts w:ascii="Times New Roman" w:hAnsi="Times New Roman" w:eastAsia="Times New Roman" w:cs="Times New Roman"/>
                <w:spacing w:val="14"/>
                <w:sz w:val="24"/>
                <w:szCs w:val="24"/>
              </w:rPr>
              <w:t xml:space="preserve"> </w:t>
            </w:r>
            <w:r>
              <w:rPr>
                <w:spacing w:val="-9"/>
                <w:sz w:val="24"/>
                <w:szCs w:val="24"/>
              </w:rPr>
              <w:t>声源工作时间，</w:t>
            </w:r>
            <w:r>
              <w:rPr>
                <w:spacing w:val="66"/>
                <w:sz w:val="24"/>
                <w:szCs w:val="24"/>
              </w:rPr>
              <w:t xml:space="preserve"> </w:t>
            </w:r>
            <w:r>
              <w:rPr>
                <w:rFonts w:ascii="Times New Roman" w:hAnsi="Times New Roman" w:eastAsia="Times New Roman" w:cs="Times New Roman"/>
                <w:spacing w:val="-9"/>
                <w:sz w:val="24"/>
                <w:szCs w:val="24"/>
              </w:rPr>
              <w:t>s</w:t>
            </w:r>
            <w:r>
              <w:rPr>
                <w:spacing w:val="-9"/>
                <w:sz w:val="24"/>
                <w:szCs w:val="24"/>
              </w:rPr>
              <w:t>；</w:t>
            </w:r>
          </w:p>
          <w:p>
            <w:pPr>
              <w:pStyle w:val="6"/>
              <w:spacing w:before="202" w:line="220" w:lineRule="auto"/>
              <w:ind w:left="595"/>
              <w:rPr>
                <w:sz w:val="24"/>
                <w:szCs w:val="24"/>
              </w:rPr>
            </w:pPr>
            <w:r>
              <w:rPr>
                <w:spacing w:val="-1"/>
                <w:sz w:val="24"/>
                <w:szCs w:val="24"/>
                <w14:textOutline w14:w="4354" w14:cap="flat" w14:cmpd="sng">
                  <w14:solidFill>
                    <w14:srgbClr w14:val="000000"/>
                  </w14:solidFill>
                  <w14:prstDash w14:val="solid"/>
                  <w14:miter w14:val="10"/>
                </w14:textOutline>
              </w:rPr>
              <w:t>声源在敏感点处的贡献值叠加背景值即为该敏感点处噪声预测值计算：</w:t>
            </w:r>
          </w:p>
          <w:p>
            <w:pPr>
              <w:spacing w:before="14" w:line="413" w:lineRule="exact"/>
              <w:ind w:firstLine="3187"/>
            </w:pPr>
            <w:r>
              <w:rPr>
                <w:position w:val="-8"/>
              </w:rPr>
              <w:drawing>
                <wp:inline distT="0" distB="0" distL="0" distR="0">
                  <wp:extent cx="1902460" cy="2616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09"/>
                          <a:stretch>
                            <a:fillRect/>
                          </a:stretch>
                        </pic:blipFill>
                        <pic:spPr>
                          <a:xfrm>
                            <a:off x="0" y="0"/>
                            <a:ext cx="1902460" cy="262254"/>
                          </a:xfrm>
                          <a:prstGeom prst="rect">
                            <a:avLst/>
                          </a:prstGeom>
                        </pic:spPr>
                      </pic:pic>
                    </a:graphicData>
                  </a:graphic>
                </wp:inline>
              </w:drawing>
            </w:r>
          </w:p>
          <w:p>
            <w:pPr>
              <w:pStyle w:val="6"/>
              <w:spacing w:before="180" w:line="480" w:lineRule="exact"/>
              <w:ind w:left="593"/>
              <w:rPr>
                <w:sz w:val="24"/>
                <w:szCs w:val="24"/>
              </w:rPr>
            </w:pPr>
            <w:r>
              <w:rPr>
                <w:spacing w:val="-33"/>
                <w:position w:val="18"/>
                <w:sz w:val="24"/>
                <w:szCs w:val="24"/>
              </w:rPr>
              <w:t>式中：</w:t>
            </w:r>
            <w:r>
              <w:rPr>
                <w:spacing w:val="-3"/>
                <w:position w:val="18"/>
                <w:sz w:val="24"/>
                <w:szCs w:val="24"/>
              </w:rPr>
              <w:t xml:space="preserve"> </w:t>
            </w:r>
            <w:r>
              <w:rPr>
                <w:rFonts w:ascii="Times New Roman" w:hAnsi="Times New Roman" w:eastAsia="Times New Roman" w:cs="Times New Roman"/>
                <w:spacing w:val="-33"/>
                <w:position w:val="18"/>
                <w:sz w:val="24"/>
                <w:szCs w:val="24"/>
              </w:rPr>
              <w:t>L</w:t>
            </w:r>
            <w:r>
              <w:rPr>
                <w:rFonts w:ascii="Times New Roman" w:hAnsi="Times New Roman" w:eastAsia="Times New Roman" w:cs="Times New Roman"/>
                <w:spacing w:val="-7"/>
                <w:position w:val="17"/>
                <w:sz w:val="16"/>
                <w:szCs w:val="16"/>
              </w:rPr>
              <w:t>eqg</w:t>
            </w:r>
            <w:r>
              <w:rPr>
                <w:rFonts w:ascii="Times New Roman" w:hAnsi="Times New Roman" w:eastAsia="Times New Roman" w:cs="Times New Roman"/>
                <w:spacing w:val="-7"/>
                <w:position w:val="18"/>
                <w:sz w:val="24"/>
                <w:szCs w:val="24"/>
              </w:rPr>
              <w:t>—</w:t>
            </w:r>
            <w:r>
              <w:rPr>
                <w:spacing w:val="-7"/>
                <w:position w:val="18"/>
                <w:sz w:val="24"/>
                <w:szCs w:val="24"/>
              </w:rPr>
              <w:t>建设项目声源在预测点的等效声级贡献值，</w:t>
            </w:r>
            <w:r>
              <w:rPr>
                <w:spacing w:val="63"/>
                <w:position w:val="18"/>
                <w:sz w:val="24"/>
                <w:szCs w:val="24"/>
              </w:rPr>
              <w:t xml:space="preserve"> </w:t>
            </w:r>
            <w:r>
              <w:rPr>
                <w:rFonts w:ascii="Times New Roman" w:hAnsi="Times New Roman" w:eastAsia="Times New Roman" w:cs="Times New Roman"/>
                <w:spacing w:val="-7"/>
                <w:position w:val="18"/>
                <w:sz w:val="24"/>
                <w:szCs w:val="24"/>
              </w:rPr>
              <w:t>dB</w:t>
            </w:r>
            <w:r>
              <w:rPr>
                <w:spacing w:val="-7"/>
                <w:position w:val="18"/>
                <w:sz w:val="24"/>
                <w:szCs w:val="24"/>
              </w:rPr>
              <w:t>（</w:t>
            </w:r>
            <w:r>
              <w:rPr>
                <w:rFonts w:ascii="Times New Roman" w:hAnsi="Times New Roman" w:eastAsia="Times New Roman" w:cs="Times New Roman"/>
                <w:spacing w:val="-7"/>
                <w:position w:val="18"/>
                <w:sz w:val="24"/>
                <w:szCs w:val="24"/>
              </w:rPr>
              <w:t>A</w:t>
            </w:r>
            <w:r>
              <w:rPr>
                <w:spacing w:val="-11"/>
                <w:position w:val="18"/>
                <w:sz w:val="24"/>
                <w:szCs w:val="24"/>
              </w:rPr>
              <w:t>）；</w:t>
            </w:r>
          </w:p>
          <w:p>
            <w:pPr>
              <w:pStyle w:val="6"/>
              <w:spacing w:before="1" w:line="219" w:lineRule="auto"/>
              <w:ind w:left="1303"/>
              <w:rPr>
                <w:sz w:val="24"/>
                <w:szCs w:val="24"/>
              </w:rPr>
            </w:pP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1"/>
                <w:sz w:val="16"/>
                <w:szCs w:val="16"/>
              </w:rPr>
              <w:t>eqb</w:t>
            </w:r>
            <w:r>
              <w:rPr>
                <w:rFonts w:ascii="Times New Roman" w:hAnsi="Times New Roman" w:eastAsia="Times New Roman" w:cs="Times New Roman"/>
                <w:spacing w:val="-2"/>
                <w:sz w:val="24"/>
                <w:szCs w:val="24"/>
              </w:rPr>
              <w:t>—</w:t>
            </w:r>
            <w:r>
              <w:rPr>
                <w:spacing w:val="-2"/>
                <w:sz w:val="24"/>
                <w:szCs w:val="24"/>
              </w:rPr>
              <w:t>预测点的背景值，</w:t>
            </w:r>
            <w:r>
              <w:rPr>
                <w:rFonts w:ascii="Times New Roman" w:hAnsi="Times New Roman" w:eastAsia="Times New Roman" w:cs="Times New Roman"/>
                <w:spacing w:val="-2"/>
                <w:sz w:val="24"/>
                <w:szCs w:val="24"/>
              </w:rPr>
              <w:t>dB</w:t>
            </w:r>
            <w:r>
              <w:rPr>
                <w:spacing w:val="-2"/>
                <w:sz w:val="24"/>
                <w:szCs w:val="24"/>
              </w:rPr>
              <w:t>（</w:t>
            </w:r>
            <w:r>
              <w:rPr>
                <w:rFonts w:ascii="Times New Roman" w:hAnsi="Times New Roman" w:eastAsia="Times New Roman" w:cs="Times New Roman"/>
                <w:spacing w:val="-2"/>
                <w:sz w:val="24"/>
                <w:szCs w:val="24"/>
              </w:rPr>
              <w:t>A</w:t>
            </w:r>
            <w:r>
              <w:rPr>
                <w:spacing w:val="-2"/>
                <w:sz w:val="24"/>
                <w:szCs w:val="24"/>
              </w:rPr>
              <w:t>）。</w:t>
            </w:r>
          </w:p>
          <w:p>
            <w:pPr>
              <w:pStyle w:val="6"/>
              <w:spacing w:before="195" w:line="217" w:lineRule="auto"/>
              <w:ind w:left="589"/>
              <w:rPr>
                <w:sz w:val="24"/>
                <w:szCs w:val="24"/>
              </w:rPr>
            </w:pPr>
            <w:r>
              <w:rPr>
                <w:spacing w:val="-3"/>
                <w:sz w:val="24"/>
                <w:szCs w:val="24"/>
                <w14:textOutline w14:w="4354" w14:cap="flat" w14:cmpd="sng">
                  <w14:solidFill>
                    <w14:srgbClr w14:val="000000"/>
                  </w14:solidFill>
                  <w14:prstDash w14:val="solid"/>
                  <w14:miter w14:val="10"/>
                </w14:textOutline>
              </w:rPr>
              <w:t>①源强</w:t>
            </w:r>
          </w:p>
        </w:tc>
      </w:tr>
    </w:tbl>
    <w:p>
      <w:pPr>
        <w:pStyle w:val="2"/>
        <w:rPr>
          <w:sz w:val="21"/>
        </w:rPr>
      </w:pPr>
    </w:p>
    <w:p>
      <w:pPr>
        <w:rPr>
          <w:sz w:val="21"/>
          <w:szCs w:val="21"/>
        </w:rPr>
        <w:sectPr>
          <w:footerReference r:id="rId96"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85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29" w:hRule="atLeast"/>
        </w:trPr>
        <w:tc>
          <w:tcPr>
            <w:tcW w:w="9850" w:type="dxa"/>
            <w:vAlign w:val="top"/>
          </w:tcPr>
          <w:p>
            <w:pPr>
              <w:pStyle w:val="6"/>
              <w:spacing w:before="182" w:line="480" w:lineRule="exact"/>
              <w:ind w:left="1048"/>
              <w:rPr>
                <w:sz w:val="24"/>
                <w:szCs w:val="24"/>
              </w:rPr>
            </w:pPr>
            <w:r>
              <w:pict>
                <v:rect id="_x0000_s1290" o:spid="_x0000_s1290" o:spt="1" style="position:absolute;left:0pt;margin-left:22.75pt;margin-top:0.95pt;height:676.1pt;width:0.5pt;mso-position-horizontal-relative:page;mso-position-vertical-relative:page;z-index:251837440;mso-width-relative:page;mso-height-relative:page;" fillcolor="#000000" filled="t" stroked="f" coordsize="21600,21600">
                  <v:path/>
                  <v:fill on="t" focussize="0,0"/>
                  <v:stroke on="f"/>
                  <v:imagedata o:title=""/>
                  <o:lock v:ext="edit"/>
                </v:rect>
              </w:pict>
            </w:r>
            <w:r>
              <w:rPr>
                <w:spacing w:val="1"/>
                <w:position w:val="18"/>
                <w:sz w:val="24"/>
                <w:szCs w:val="24"/>
              </w:rPr>
              <w:t>根据工程分析可知，钻前工程施工期的噪声主要是推土机、挖掘机、载重汽车等运</w:t>
            </w:r>
          </w:p>
          <w:p>
            <w:pPr>
              <w:pStyle w:val="6"/>
              <w:spacing w:before="1" w:line="218" w:lineRule="auto"/>
              <w:ind w:left="572"/>
              <w:rPr>
                <w:sz w:val="24"/>
                <w:szCs w:val="24"/>
              </w:rPr>
            </w:pPr>
            <w:r>
              <w:rPr>
                <w:spacing w:val="-6"/>
                <w:sz w:val="24"/>
                <w:szCs w:val="24"/>
              </w:rPr>
              <w:t>行中产生的。</w:t>
            </w:r>
            <w:r>
              <w:rPr>
                <w:spacing w:val="44"/>
                <w:sz w:val="24"/>
                <w:szCs w:val="24"/>
              </w:rPr>
              <w:t xml:space="preserve"> </w:t>
            </w:r>
            <w:r>
              <w:rPr>
                <w:spacing w:val="-6"/>
                <w:sz w:val="24"/>
                <w:szCs w:val="24"/>
              </w:rPr>
              <w:t>根据工程设计，本项目钻前工</w:t>
            </w:r>
            <w:r>
              <w:rPr>
                <w:spacing w:val="-7"/>
                <w:sz w:val="24"/>
                <w:szCs w:val="24"/>
              </w:rPr>
              <w:t>程仅在白天施工，夜间不施工。</w:t>
            </w:r>
          </w:p>
          <w:p>
            <w:pPr>
              <w:pStyle w:val="6"/>
              <w:spacing w:before="195" w:line="220" w:lineRule="auto"/>
              <w:ind w:left="2523"/>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4.2-1  </w:t>
            </w:r>
            <w:r>
              <w:rPr>
                <w:sz w:val="24"/>
                <w:szCs w:val="24"/>
                <w14:textOutline w14:w="4354" w14:cap="flat" w14:cmpd="sng">
                  <w14:solidFill>
                    <w14:srgbClr w14:val="000000"/>
                  </w14:solidFill>
                  <w14:prstDash w14:val="solid"/>
                  <w14:miter w14:val="10"/>
                </w14:textOutline>
              </w:rPr>
              <w:t>工业企业噪声源强调查清单（室外</w:t>
            </w:r>
            <w:r>
              <w:rPr>
                <w:spacing w:val="-1"/>
                <w:sz w:val="24"/>
                <w:szCs w:val="24"/>
                <w14:textOutline w14:w="4354" w14:cap="flat" w14:cmpd="sng">
                  <w14:solidFill>
                    <w14:srgbClr w14:val="000000"/>
                  </w14:solidFill>
                  <w14:prstDash w14:val="solid"/>
                  <w14:miter w14:val="10"/>
                </w14:textOutline>
              </w:rPr>
              <w:t>声源）</w:t>
            </w:r>
          </w:p>
          <w:p>
            <w:pPr>
              <w:spacing w:line="15" w:lineRule="exact"/>
            </w:pPr>
          </w:p>
          <w:tbl>
            <w:tblPr>
              <w:tblStyle w:val="5"/>
              <w:tblW w:w="9169"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482"/>
              <w:gridCol w:w="1099"/>
              <w:gridCol w:w="717"/>
              <w:gridCol w:w="722"/>
              <w:gridCol w:w="1361"/>
              <w:gridCol w:w="1843"/>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76" w:type="dxa"/>
                  <w:vMerge w:val="restart"/>
                  <w:tcBorders>
                    <w:bottom w:val="nil"/>
                  </w:tcBorders>
                  <w:vAlign w:val="top"/>
                </w:tcPr>
                <w:p>
                  <w:pPr>
                    <w:spacing w:line="262" w:lineRule="auto"/>
                    <w:rPr>
                      <w:rFonts w:ascii="Arial"/>
                      <w:sz w:val="21"/>
                    </w:rPr>
                  </w:pPr>
                </w:p>
                <w:p>
                  <w:pPr>
                    <w:pStyle w:val="6"/>
                    <w:spacing w:before="68" w:line="222" w:lineRule="auto"/>
                    <w:ind w:left="131"/>
                    <w:rPr>
                      <w:sz w:val="21"/>
                      <w:szCs w:val="21"/>
                    </w:rPr>
                  </w:pPr>
                  <w:r>
                    <w:rPr>
                      <w:spacing w:val="-2"/>
                      <w:sz w:val="21"/>
                      <w:szCs w:val="21"/>
                    </w:rPr>
                    <w:t>序号</w:t>
                  </w:r>
                </w:p>
              </w:tc>
              <w:tc>
                <w:tcPr>
                  <w:tcW w:w="1482" w:type="dxa"/>
                  <w:vMerge w:val="restart"/>
                  <w:tcBorders>
                    <w:bottom w:val="nil"/>
                  </w:tcBorders>
                  <w:vAlign w:val="top"/>
                </w:tcPr>
                <w:p>
                  <w:pPr>
                    <w:spacing w:line="262" w:lineRule="auto"/>
                    <w:rPr>
                      <w:rFonts w:ascii="Arial"/>
                      <w:sz w:val="21"/>
                    </w:rPr>
                  </w:pPr>
                </w:p>
                <w:p>
                  <w:pPr>
                    <w:pStyle w:val="6"/>
                    <w:spacing w:before="68" w:line="221" w:lineRule="auto"/>
                    <w:ind w:left="329"/>
                    <w:rPr>
                      <w:sz w:val="21"/>
                      <w:szCs w:val="21"/>
                    </w:rPr>
                  </w:pPr>
                  <w:r>
                    <w:rPr>
                      <w:spacing w:val="-3"/>
                      <w:sz w:val="21"/>
                      <w:szCs w:val="21"/>
                    </w:rPr>
                    <w:t>声源名称</w:t>
                  </w:r>
                </w:p>
              </w:tc>
              <w:tc>
                <w:tcPr>
                  <w:tcW w:w="2538" w:type="dxa"/>
                  <w:gridSpan w:val="3"/>
                  <w:vAlign w:val="top"/>
                </w:tcPr>
                <w:p>
                  <w:pPr>
                    <w:pStyle w:val="6"/>
                    <w:spacing w:before="67" w:line="236" w:lineRule="auto"/>
                    <w:ind w:left="540"/>
                    <w:rPr>
                      <w:rFonts w:ascii="Times New Roman" w:hAnsi="Times New Roman" w:eastAsia="Times New Roman" w:cs="Times New Roman"/>
                      <w:sz w:val="21"/>
                      <w:szCs w:val="21"/>
                    </w:rPr>
                  </w:pPr>
                  <w:r>
                    <w:rPr>
                      <w:spacing w:val="-2"/>
                      <w:sz w:val="21"/>
                      <w:szCs w:val="21"/>
                    </w:rPr>
                    <w:t>空间相对位置</w:t>
                  </w:r>
                  <w:r>
                    <w:rPr>
                      <w:rFonts w:ascii="Times New Roman" w:hAnsi="Times New Roman" w:eastAsia="Times New Roman" w:cs="Times New Roman"/>
                      <w:spacing w:val="-2"/>
                      <w:sz w:val="21"/>
                      <w:szCs w:val="21"/>
                    </w:rPr>
                    <w:t>/m</w:t>
                  </w:r>
                </w:p>
              </w:tc>
              <w:tc>
                <w:tcPr>
                  <w:tcW w:w="1361" w:type="dxa"/>
                  <w:vAlign w:val="top"/>
                </w:tcPr>
                <w:p>
                  <w:pPr>
                    <w:pStyle w:val="6"/>
                    <w:spacing w:before="68" w:line="221" w:lineRule="auto"/>
                    <w:ind w:left="270"/>
                    <w:rPr>
                      <w:sz w:val="21"/>
                      <w:szCs w:val="21"/>
                    </w:rPr>
                  </w:pPr>
                  <w:r>
                    <w:rPr>
                      <w:spacing w:val="-3"/>
                      <w:sz w:val="21"/>
                      <w:szCs w:val="21"/>
                    </w:rPr>
                    <w:t>声源源强</w:t>
                  </w:r>
                </w:p>
              </w:tc>
              <w:tc>
                <w:tcPr>
                  <w:tcW w:w="1843" w:type="dxa"/>
                  <w:vMerge w:val="restart"/>
                  <w:tcBorders>
                    <w:bottom w:val="nil"/>
                  </w:tcBorders>
                  <w:vAlign w:val="top"/>
                </w:tcPr>
                <w:p>
                  <w:pPr>
                    <w:spacing w:line="262" w:lineRule="auto"/>
                    <w:rPr>
                      <w:rFonts w:ascii="Arial"/>
                      <w:sz w:val="21"/>
                    </w:rPr>
                  </w:pPr>
                </w:p>
                <w:p>
                  <w:pPr>
                    <w:pStyle w:val="6"/>
                    <w:spacing w:before="68" w:line="221" w:lineRule="auto"/>
                    <w:ind w:left="304"/>
                    <w:rPr>
                      <w:sz w:val="21"/>
                      <w:szCs w:val="21"/>
                    </w:rPr>
                  </w:pPr>
                  <w:r>
                    <w:rPr>
                      <w:spacing w:val="-2"/>
                      <w:sz w:val="21"/>
                      <w:szCs w:val="21"/>
                    </w:rPr>
                    <w:t>声源控制措施</w:t>
                  </w:r>
                </w:p>
              </w:tc>
              <w:tc>
                <w:tcPr>
                  <w:tcW w:w="1269" w:type="dxa"/>
                  <w:vMerge w:val="restart"/>
                  <w:tcBorders>
                    <w:bottom w:val="nil"/>
                  </w:tcBorders>
                  <w:vAlign w:val="top"/>
                </w:tcPr>
                <w:p>
                  <w:pPr>
                    <w:spacing w:line="262" w:lineRule="auto"/>
                    <w:rPr>
                      <w:rFonts w:ascii="Arial"/>
                      <w:sz w:val="21"/>
                    </w:rPr>
                  </w:pPr>
                </w:p>
                <w:p>
                  <w:pPr>
                    <w:pStyle w:val="6"/>
                    <w:spacing w:before="68" w:line="221" w:lineRule="auto"/>
                    <w:ind w:left="219"/>
                    <w:rPr>
                      <w:sz w:val="21"/>
                      <w:szCs w:val="21"/>
                    </w:rPr>
                  </w:pPr>
                  <w:r>
                    <w:rPr>
                      <w:spacing w:val="-2"/>
                      <w:sz w:val="21"/>
                      <w:szCs w:val="21"/>
                    </w:rPr>
                    <w:t>运行时段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676" w:type="dxa"/>
                  <w:vMerge w:val="continue"/>
                  <w:tcBorders>
                    <w:top w:val="nil"/>
                  </w:tcBorders>
                  <w:vAlign w:val="top"/>
                </w:tcPr>
                <w:p>
                  <w:pPr>
                    <w:rPr>
                      <w:rFonts w:ascii="Arial"/>
                      <w:sz w:val="21"/>
                    </w:rPr>
                  </w:pPr>
                </w:p>
              </w:tc>
              <w:tc>
                <w:tcPr>
                  <w:tcW w:w="1482" w:type="dxa"/>
                  <w:vMerge w:val="continue"/>
                  <w:tcBorders>
                    <w:top w:val="nil"/>
                  </w:tcBorders>
                  <w:vAlign w:val="top"/>
                </w:tcPr>
                <w:p>
                  <w:pPr>
                    <w:rPr>
                      <w:rFonts w:ascii="Arial"/>
                      <w:sz w:val="21"/>
                    </w:rPr>
                  </w:pPr>
                </w:p>
              </w:tc>
              <w:tc>
                <w:tcPr>
                  <w:tcW w:w="1099" w:type="dxa"/>
                  <w:vAlign w:val="top"/>
                </w:tcPr>
                <w:p>
                  <w:pPr>
                    <w:spacing w:before="193" w:line="184" w:lineRule="auto"/>
                    <w:ind w:left="471"/>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717" w:type="dxa"/>
                  <w:vAlign w:val="top"/>
                </w:tcPr>
                <w:p>
                  <w:pPr>
                    <w:spacing w:before="193"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c>
                <w:tcPr>
                  <w:tcW w:w="722" w:type="dxa"/>
                  <w:vAlign w:val="top"/>
                </w:tcPr>
                <w:p>
                  <w:pPr>
                    <w:spacing w:before="193" w:line="184"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Z</w:t>
                  </w:r>
                </w:p>
              </w:tc>
              <w:tc>
                <w:tcPr>
                  <w:tcW w:w="1361" w:type="dxa"/>
                  <w:vAlign w:val="top"/>
                </w:tcPr>
                <w:p>
                  <w:pPr>
                    <w:pStyle w:val="6"/>
                    <w:spacing w:before="29" w:line="221" w:lineRule="auto"/>
                    <w:ind w:left="270"/>
                    <w:rPr>
                      <w:sz w:val="21"/>
                      <w:szCs w:val="21"/>
                    </w:rPr>
                  </w:pPr>
                  <w:r>
                    <w:rPr>
                      <w:spacing w:val="-3"/>
                      <w:sz w:val="21"/>
                      <w:szCs w:val="21"/>
                    </w:rPr>
                    <w:t>声功率级</w:t>
                  </w:r>
                </w:p>
                <w:p>
                  <w:pPr>
                    <w:spacing w:before="41" w:line="184"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/dB(A)</w:t>
                  </w:r>
                </w:p>
              </w:tc>
              <w:tc>
                <w:tcPr>
                  <w:tcW w:w="1843" w:type="dxa"/>
                  <w:vMerge w:val="continue"/>
                  <w:tcBorders>
                    <w:top w:val="nil"/>
                  </w:tcBorders>
                  <w:vAlign w:val="top"/>
                </w:tcPr>
                <w:p>
                  <w:pPr>
                    <w:rPr>
                      <w:rFonts w:ascii="Arial"/>
                      <w:sz w:val="21"/>
                    </w:rPr>
                  </w:pPr>
                </w:p>
              </w:tc>
              <w:tc>
                <w:tcPr>
                  <w:tcW w:w="126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6" w:type="dxa"/>
                  <w:vAlign w:val="top"/>
                </w:tcPr>
                <w:p>
                  <w:pPr>
                    <w:spacing w:before="105" w:line="187"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82" w:type="dxa"/>
                  <w:vAlign w:val="top"/>
                </w:tcPr>
                <w:p>
                  <w:pPr>
                    <w:pStyle w:val="6"/>
                    <w:spacing w:before="66" w:line="220" w:lineRule="auto"/>
                    <w:ind w:left="428"/>
                    <w:rPr>
                      <w:sz w:val="21"/>
                      <w:szCs w:val="21"/>
                    </w:rPr>
                  </w:pPr>
                  <w:r>
                    <w:rPr>
                      <w:spacing w:val="-2"/>
                      <w:sz w:val="21"/>
                      <w:szCs w:val="21"/>
                    </w:rPr>
                    <w:t>推土机</w:t>
                  </w:r>
                </w:p>
              </w:tc>
              <w:tc>
                <w:tcPr>
                  <w:tcW w:w="1099" w:type="dxa"/>
                  <w:vAlign w:val="top"/>
                </w:tcPr>
                <w:p>
                  <w:pPr>
                    <w:spacing w:before="105"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-8</w:t>
                  </w:r>
                </w:p>
              </w:tc>
              <w:tc>
                <w:tcPr>
                  <w:tcW w:w="717" w:type="dxa"/>
                  <w:vAlign w:val="top"/>
                </w:tcPr>
                <w:p>
                  <w:pPr>
                    <w:spacing w:before="105"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-20</w:t>
                  </w:r>
                </w:p>
              </w:tc>
              <w:tc>
                <w:tcPr>
                  <w:tcW w:w="722" w:type="dxa"/>
                  <w:vAlign w:val="top"/>
                </w:tcPr>
                <w:p>
                  <w:pPr>
                    <w:spacing w:before="105"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61" w:type="dxa"/>
                  <w:vAlign w:val="top"/>
                </w:tcPr>
                <w:p>
                  <w:pPr>
                    <w:spacing w:before="105"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843" w:type="dxa"/>
                  <w:vAlign w:val="top"/>
                </w:tcPr>
                <w:p>
                  <w:pPr>
                    <w:pStyle w:val="6"/>
                    <w:spacing w:before="67" w:line="221" w:lineRule="auto"/>
                    <w:ind w:left="415"/>
                    <w:rPr>
                      <w:sz w:val="21"/>
                      <w:szCs w:val="21"/>
                    </w:rPr>
                  </w:pPr>
                  <w:r>
                    <w:rPr>
                      <w:spacing w:val="-4"/>
                      <w:sz w:val="21"/>
                      <w:szCs w:val="21"/>
                    </w:rPr>
                    <w:t>隔声、减振</w:t>
                  </w:r>
                </w:p>
              </w:tc>
              <w:tc>
                <w:tcPr>
                  <w:tcW w:w="1269" w:type="dxa"/>
                  <w:vAlign w:val="top"/>
                </w:tcPr>
                <w:p>
                  <w:pPr>
                    <w:pStyle w:val="6"/>
                    <w:spacing w:before="66" w:line="221" w:lineRule="auto"/>
                    <w:ind w:left="218"/>
                    <w:rPr>
                      <w:sz w:val="21"/>
                      <w:szCs w:val="21"/>
                    </w:rPr>
                  </w:pPr>
                  <w:r>
                    <w:rPr>
                      <w:spacing w:val="-1"/>
                      <w:sz w:val="21"/>
                      <w:szCs w:val="21"/>
                    </w:rPr>
                    <w:t>昼间间断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6" w:type="dxa"/>
                  <w:vAlign w:val="top"/>
                </w:tcPr>
                <w:p>
                  <w:pPr>
                    <w:spacing w:before="103" w:line="187" w:lineRule="auto"/>
                    <w:ind w:left="28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82" w:type="dxa"/>
                  <w:vAlign w:val="top"/>
                </w:tcPr>
                <w:p>
                  <w:pPr>
                    <w:pStyle w:val="6"/>
                    <w:spacing w:before="64" w:line="220" w:lineRule="auto"/>
                    <w:ind w:left="427"/>
                    <w:rPr>
                      <w:sz w:val="21"/>
                      <w:szCs w:val="21"/>
                    </w:rPr>
                  </w:pPr>
                  <w:r>
                    <w:rPr>
                      <w:spacing w:val="-2"/>
                      <w:sz w:val="21"/>
                      <w:szCs w:val="21"/>
                    </w:rPr>
                    <w:t>挖掘机</w:t>
                  </w:r>
                </w:p>
              </w:tc>
              <w:tc>
                <w:tcPr>
                  <w:tcW w:w="1099" w:type="dxa"/>
                  <w:vAlign w:val="top"/>
                </w:tcPr>
                <w:p>
                  <w:pPr>
                    <w:spacing w:before="106" w:line="184" w:lineRule="auto"/>
                    <w:ind w:left="50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17" w:type="dxa"/>
                  <w:vAlign w:val="top"/>
                </w:tcPr>
                <w:p>
                  <w:pPr>
                    <w:spacing w:before="103"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8"/>
                      <w:sz w:val="21"/>
                      <w:szCs w:val="21"/>
                    </w:rPr>
                    <w:t>11</w:t>
                  </w:r>
                </w:p>
              </w:tc>
              <w:tc>
                <w:tcPr>
                  <w:tcW w:w="722" w:type="dxa"/>
                  <w:vAlign w:val="top"/>
                </w:tcPr>
                <w:p>
                  <w:pPr>
                    <w:spacing w:before="103"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61" w:type="dxa"/>
                  <w:vAlign w:val="top"/>
                </w:tcPr>
                <w:p>
                  <w:pPr>
                    <w:spacing w:before="103"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c>
                <w:tcPr>
                  <w:tcW w:w="1843" w:type="dxa"/>
                  <w:vAlign w:val="top"/>
                </w:tcPr>
                <w:p>
                  <w:pPr>
                    <w:pStyle w:val="6"/>
                    <w:spacing w:before="65" w:line="221" w:lineRule="auto"/>
                    <w:ind w:left="415"/>
                    <w:rPr>
                      <w:sz w:val="21"/>
                      <w:szCs w:val="21"/>
                    </w:rPr>
                  </w:pPr>
                  <w:r>
                    <w:rPr>
                      <w:spacing w:val="-4"/>
                      <w:sz w:val="21"/>
                      <w:szCs w:val="21"/>
                    </w:rPr>
                    <w:t>隔声、减振</w:t>
                  </w:r>
                </w:p>
              </w:tc>
              <w:tc>
                <w:tcPr>
                  <w:tcW w:w="1269" w:type="dxa"/>
                  <w:vAlign w:val="top"/>
                </w:tcPr>
                <w:p>
                  <w:pPr>
                    <w:pStyle w:val="6"/>
                    <w:spacing w:before="64" w:line="221" w:lineRule="auto"/>
                    <w:ind w:left="218"/>
                    <w:rPr>
                      <w:sz w:val="21"/>
                      <w:szCs w:val="21"/>
                    </w:rPr>
                  </w:pPr>
                  <w:r>
                    <w:rPr>
                      <w:spacing w:val="-1"/>
                      <w:sz w:val="21"/>
                      <w:szCs w:val="21"/>
                    </w:rPr>
                    <w:t>昼间间断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6" w:type="dxa"/>
                  <w:vAlign w:val="top"/>
                </w:tcPr>
                <w:p>
                  <w:pPr>
                    <w:spacing w:before="103"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82" w:type="dxa"/>
                  <w:vAlign w:val="top"/>
                </w:tcPr>
                <w:p>
                  <w:pPr>
                    <w:pStyle w:val="6"/>
                    <w:spacing w:before="64" w:line="221" w:lineRule="auto"/>
                    <w:ind w:left="326"/>
                    <w:rPr>
                      <w:sz w:val="21"/>
                      <w:szCs w:val="21"/>
                    </w:rPr>
                  </w:pPr>
                  <w:r>
                    <w:rPr>
                      <w:spacing w:val="-2"/>
                      <w:sz w:val="21"/>
                      <w:szCs w:val="21"/>
                    </w:rPr>
                    <w:t>载重汽车</w:t>
                  </w:r>
                </w:p>
              </w:tc>
              <w:tc>
                <w:tcPr>
                  <w:tcW w:w="1099" w:type="dxa"/>
                  <w:vAlign w:val="top"/>
                </w:tcPr>
                <w:p>
                  <w:pPr>
                    <w:spacing w:before="103"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7"/>
                      <w:sz w:val="21"/>
                      <w:szCs w:val="21"/>
                    </w:rPr>
                    <w:t>13</w:t>
                  </w:r>
                </w:p>
              </w:tc>
              <w:tc>
                <w:tcPr>
                  <w:tcW w:w="717" w:type="dxa"/>
                  <w:vAlign w:val="top"/>
                </w:tcPr>
                <w:p>
                  <w:pPr>
                    <w:spacing w:before="104"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8"/>
                      <w:sz w:val="21"/>
                      <w:szCs w:val="21"/>
                    </w:rPr>
                    <w:t>11</w:t>
                  </w:r>
                </w:p>
              </w:tc>
              <w:tc>
                <w:tcPr>
                  <w:tcW w:w="722" w:type="dxa"/>
                  <w:vAlign w:val="top"/>
                </w:tcPr>
                <w:p>
                  <w:pPr>
                    <w:spacing w:before="10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61" w:type="dxa"/>
                  <w:vAlign w:val="top"/>
                </w:tcPr>
                <w:p>
                  <w:pPr>
                    <w:spacing w:before="103"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1843" w:type="dxa"/>
                  <w:vAlign w:val="top"/>
                </w:tcPr>
                <w:p>
                  <w:pPr>
                    <w:pStyle w:val="6"/>
                    <w:spacing w:before="65" w:line="221" w:lineRule="auto"/>
                    <w:ind w:left="415"/>
                    <w:rPr>
                      <w:sz w:val="21"/>
                      <w:szCs w:val="21"/>
                    </w:rPr>
                  </w:pPr>
                  <w:r>
                    <w:rPr>
                      <w:spacing w:val="-4"/>
                      <w:sz w:val="21"/>
                      <w:szCs w:val="21"/>
                    </w:rPr>
                    <w:t>隔声、减振</w:t>
                  </w:r>
                </w:p>
              </w:tc>
              <w:tc>
                <w:tcPr>
                  <w:tcW w:w="1269" w:type="dxa"/>
                  <w:vAlign w:val="top"/>
                </w:tcPr>
                <w:p>
                  <w:pPr>
                    <w:pStyle w:val="6"/>
                    <w:spacing w:before="64" w:line="221" w:lineRule="auto"/>
                    <w:ind w:left="218"/>
                    <w:rPr>
                      <w:sz w:val="21"/>
                      <w:szCs w:val="21"/>
                    </w:rPr>
                  </w:pPr>
                  <w:r>
                    <w:rPr>
                      <w:spacing w:val="-1"/>
                      <w:sz w:val="21"/>
                      <w:szCs w:val="21"/>
                    </w:rPr>
                    <w:t>昼间间断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6" w:type="dxa"/>
                  <w:vAlign w:val="top"/>
                </w:tcPr>
                <w:p>
                  <w:pPr>
                    <w:spacing w:before="10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82" w:type="dxa"/>
                  <w:vAlign w:val="top"/>
                </w:tcPr>
                <w:p>
                  <w:pPr>
                    <w:pStyle w:val="6"/>
                    <w:spacing w:before="65" w:line="220" w:lineRule="auto"/>
                    <w:ind w:left="428"/>
                    <w:rPr>
                      <w:sz w:val="21"/>
                      <w:szCs w:val="21"/>
                    </w:rPr>
                  </w:pPr>
                  <w:r>
                    <w:rPr>
                      <w:spacing w:val="-2"/>
                      <w:sz w:val="21"/>
                      <w:szCs w:val="21"/>
                    </w:rPr>
                    <w:t>钻孔机</w:t>
                  </w:r>
                </w:p>
              </w:tc>
              <w:tc>
                <w:tcPr>
                  <w:tcW w:w="1099" w:type="dxa"/>
                  <w:vAlign w:val="top"/>
                </w:tcPr>
                <w:p>
                  <w:pPr>
                    <w:spacing w:before="104"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7"/>
                      <w:sz w:val="21"/>
                      <w:szCs w:val="21"/>
                    </w:rPr>
                    <w:t>18</w:t>
                  </w:r>
                </w:p>
              </w:tc>
              <w:tc>
                <w:tcPr>
                  <w:tcW w:w="717" w:type="dxa"/>
                  <w:vAlign w:val="top"/>
                </w:tcPr>
                <w:p>
                  <w:pPr>
                    <w:spacing w:before="104"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w:t>
                  </w:r>
                </w:p>
              </w:tc>
              <w:tc>
                <w:tcPr>
                  <w:tcW w:w="722" w:type="dxa"/>
                  <w:vAlign w:val="top"/>
                </w:tcPr>
                <w:p>
                  <w:pPr>
                    <w:spacing w:before="10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61" w:type="dxa"/>
                  <w:vAlign w:val="top"/>
                </w:tcPr>
                <w:p>
                  <w:pPr>
                    <w:spacing w:before="104"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843" w:type="dxa"/>
                  <w:vAlign w:val="top"/>
                </w:tcPr>
                <w:p>
                  <w:pPr>
                    <w:pStyle w:val="6"/>
                    <w:spacing w:before="66" w:line="221" w:lineRule="auto"/>
                    <w:ind w:left="415"/>
                    <w:rPr>
                      <w:sz w:val="21"/>
                      <w:szCs w:val="21"/>
                    </w:rPr>
                  </w:pPr>
                  <w:r>
                    <w:rPr>
                      <w:spacing w:val="-4"/>
                      <w:sz w:val="21"/>
                      <w:szCs w:val="21"/>
                    </w:rPr>
                    <w:t>隔声、减振</w:t>
                  </w:r>
                </w:p>
              </w:tc>
              <w:tc>
                <w:tcPr>
                  <w:tcW w:w="1269" w:type="dxa"/>
                  <w:vAlign w:val="top"/>
                </w:tcPr>
                <w:p>
                  <w:pPr>
                    <w:pStyle w:val="6"/>
                    <w:spacing w:before="65" w:line="221" w:lineRule="auto"/>
                    <w:ind w:left="218"/>
                    <w:rPr>
                      <w:sz w:val="21"/>
                      <w:szCs w:val="21"/>
                    </w:rPr>
                  </w:pPr>
                  <w:r>
                    <w:rPr>
                      <w:spacing w:val="-1"/>
                      <w:sz w:val="21"/>
                      <w:szCs w:val="21"/>
                    </w:rPr>
                    <w:t>昼间间断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76" w:type="dxa"/>
                  <w:vAlign w:val="top"/>
                </w:tcPr>
                <w:p>
                  <w:pPr>
                    <w:spacing w:before="107" w:line="184"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82" w:type="dxa"/>
                  <w:vAlign w:val="top"/>
                </w:tcPr>
                <w:p>
                  <w:pPr>
                    <w:pStyle w:val="6"/>
                    <w:spacing w:before="66" w:line="220" w:lineRule="auto"/>
                    <w:ind w:left="435"/>
                    <w:rPr>
                      <w:sz w:val="21"/>
                      <w:szCs w:val="21"/>
                    </w:rPr>
                  </w:pPr>
                  <w:r>
                    <w:rPr>
                      <w:spacing w:val="-3"/>
                      <w:sz w:val="21"/>
                      <w:szCs w:val="21"/>
                    </w:rPr>
                    <w:t>空压机</w:t>
                  </w:r>
                </w:p>
              </w:tc>
              <w:tc>
                <w:tcPr>
                  <w:tcW w:w="1099" w:type="dxa"/>
                  <w:vAlign w:val="top"/>
                </w:tcPr>
                <w:p>
                  <w:pPr>
                    <w:spacing w:before="104"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-27</w:t>
                  </w:r>
                </w:p>
              </w:tc>
              <w:tc>
                <w:tcPr>
                  <w:tcW w:w="717"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22" w:type="dxa"/>
                  <w:vAlign w:val="top"/>
                </w:tcPr>
                <w:p>
                  <w:pPr>
                    <w:spacing w:before="10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61" w:type="dxa"/>
                  <w:vAlign w:val="top"/>
                </w:tcPr>
                <w:p>
                  <w:pPr>
                    <w:spacing w:before="104"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1843" w:type="dxa"/>
                  <w:vAlign w:val="top"/>
                </w:tcPr>
                <w:p>
                  <w:pPr>
                    <w:pStyle w:val="6"/>
                    <w:spacing w:before="66" w:line="221" w:lineRule="auto"/>
                    <w:ind w:left="127"/>
                    <w:rPr>
                      <w:sz w:val="21"/>
                      <w:szCs w:val="21"/>
                    </w:rPr>
                  </w:pPr>
                  <w:r>
                    <w:rPr>
                      <w:spacing w:val="-11"/>
                      <w:sz w:val="21"/>
                      <w:szCs w:val="21"/>
                    </w:rPr>
                    <w:t>隔声、减振、消声</w:t>
                  </w:r>
                </w:p>
              </w:tc>
              <w:tc>
                <w:tcPr>
                  <w:tcW w:w="1269" w:type="dxa"/>
                  <w:vAlign w:val="top"/>
                </w:tcPr>
                <w:p>
                  <w:pPr>
                    <w:pStyle w:val="6"/>
                    <w:spacing w:before="65" w:line="221" w:lineRule="auto"/>
                    <w:ind w:left="218"/>
                    <w:rPr>
                      <w:sz w:val="21"/>
                      <w:szCs w:val="21"/>
                    </w:rPr>
                  </w:pPr>
                  <w:r>
                    <w:rPr>
                      <w:spacing w:val="-1"/>
                      <w:sz w:val="21"/>
                      <w:szCs w:val="21"/>
                    </w:rPr>
                    <w:t>昼间间断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6" w:type="dxa"/>
                  <w:vAlign w:val="top"/>
                </w:tcPr>
                <w:p>
                  <w:pPr>
                    <w:spacing w:before="108" w:line="187" w:lineRule="auto"/>
                    <w:ind w:left="29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82" w:type="dxa"/>
                  <w:vAlign w:val="top"/>
                </w:tcPr>
                <w:p>
                  <w:pPr>
                    <w:pStyle w:val="6"/>
                    <w:spacing w:before="69" w:line="221" w:lineRule="auto"/>
                    <w:ind w:left="427"/>
                    <w:rPr>
                      <w:sz w:val="21"/>
                      <w:szCs w:val="21"/>
                    </w:rPr>
                  </w:pPr>
                  <w:r>
                    <w:rPr>
                      <w:spacing w:val="-1"/>
                      <w:sz w:val="21"/>
                      <w:szCs w:val="21"/>
                    </w:rPr>
                    <w:t>振捣棒</w:t>
                  </w:r>
                </w:p>
              </w:tc>
              <w:tc>
                <w:tcPr>
                  <w:tcW w:w="1099" w:type="dxa"/>
                  <w:vAlign w:val="top"/>
                </w:tcPr>
                <w:p>
                  <w:pPr>
                    <w:spacing w:before="108"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717" w:type="dxa"/>
                  <w:vAlign w:val="top"/>
                </w:tcPr>
                <w:p>
                  <w:pPr>
                    <w:spacing w:before="108"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-39</w:t>
                  </w:r>
                </w:p>
              </w:tc>
              <w:tc>
                <w:tcPr>
                  <w:tcW w:w="722" w:type="dxa"/>
                  <w:vAlign w:val="top"/>
                </w:tcPr>
                <w:p>
                  <w:pPr>
                    <w:spacing w:before="108" w:line="187"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61" w:type="dxa"/>
                  <w:vAlign w:val="top"/>
                </w:tcPr>
                <w:p>
                  <w:pPr>
                    <w:spacing w:before="108"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86</w:t>
                  </w:r>
                </w:p>
              </w:tc>
              <w:tc>
                <w:tcPr>
                  <w:tcW w:w="1843" w:type="dxa"/>
                  <w:vAlign w:val="top"/>
                </w:tcPr>
                <w:p>
                  <w:pPr>
                    <w:pStyle w:val="6"/>
                    <w:spacing w:before="70" w:line="221" w:lineRule="auto"/>
                    <w:ind w:left="415"/>
                    <w:rPr>
                      <w:sz w:val="21"/>
                      <w:szCs w:val="21"/>
                    </w:rPr>
                  </w:pPr>
                  <w:r>
                    <w:rPr>
                      <w:spacing w:val="-4"/>
                      <w:sz w:val="21"/>
                      <w:szCs w:val="21"/>
                    </w:rPr>
                    <w:t>隔声、减振</w:t>
                  </w:r>
                </w:p>
              </w:tc>
              <w:tc>
                <w:tcPr>
                  <w:tcW w:w="1269" w:type="dxa"/>
                  <w:vAlign w:val="top"/>
                </w:tcPr>
                <w:p>
                  <w:pPr>
                    <w:pStyle w:val="6"/>
                    <w:spacing w:before="69" w:line="221" w:lineRule="auto"/>
                    <w:ind w:left="218"/>
                    <w:rPr>
                      <w:sz w:val="21"/>
                      <w:szCs w:val="21"/>
                    </w:rPr>
                  </w:pPr>
                  <w:r>
                    <w:rPr>
                      <w:spacing w:val="-1"/>
                      <w:sz w:val="21"/>
                      <w:szCs w:val="21"/>
                    </w:rPr>
                    <w:t>昼间间断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169" w:type="dxa"/>
                  <w:gridSpan w:val="8"/>
                  <w:vAlign w:val="top"/>
                </w:tcPr>
                <w:p>
                  <w:pPr>
                    <w:pStyle w:val="6"/>
                    <w:spacing w:before="70" w:line="223" w:lineRule="auto"/>
                    <w:ind w:left="116"/>
                    <w:rPr>
                      <w:sz w:val="21"/>
                      <w:szCs w:val="21"/>
                    </w:rPr>
                  </w:pPr>
                  <w:r>
                    <w:rPr>
                      <w:spacing w:val="-2"/>
                      <w:sz w:val="21"/>
                      <w:szCs w:val="21"/>
                    </w:rPr>
                    <w:t>注：以厂界中心为原点（</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9"/>
                      <w:sz w:val="21"/>
                      <w:szCs w:val="21"/>
                    </w:rPr>
                    <w:t xml:space="preserve"> </w:t>
                  </w:r>
                  <w:r>
                    <w:rPr>
                      <w:spacing w:val="-2"/>
                      <w:sz w:val="21"/>
                      <w:szCs w:val="21"/>
                    </w:rPr>
                    <w:t>，</w:t>
                  </w:r>
                  <w:r>
                    <w:rPr>
                      <w:rFonts w:ascii="Times New Roman" w:hAnsi="Times New Roman" w:eastAsia="Times New Roman" w:cs="Times New Roman"/>
                      <w:spacing w:val="-2"/>
                      <w:sz w:val="21"/>
                      <w:szCs w:val="21"/>
                    </w:rPr>
                    <w:t>0,0</w:t>
                  </w:r>
                  <w:r>
                    <w:rPr>
                      <w:spacing w:val="-11"/>
                      <w:sz w:val="21"/>
                      <w:szCs w:val="21"/>
                    </w:rPr>
                    <w:t>），</w:t>
                  </w:r>
                </w:p>
              </w:tc>
            </w:tr>
          </w:tbl>
          <w:p>
            <w:pPr>
              <w:pStyle w:val="6"/>
              <w:spacing w:before="178" w:line="217" w:lineRule="auto"/>
              <w:ind w:left="1048"/>
              <w:rPr>
                <w:sz w:val="24"/>
                <w:szCs w:val="24"/>
              </w:rPr>
            </w:pPr>
            <w:r>
              <w:rPr>
                <w:spacing w:val="-1"/>
                <w:sz w:val="24"/>
                <w:szCs w:val="24"/>
                <w14:textOutline w14:w="4354" w14:cap="flat" w14:cmpd="sng">
                  <w14:solidFill>
                    <w14:srgbClr w14:val="000000"/>
                  </w14:solidFill>
                  <w14:prstDash w14:val="solid"/>
                  <w14:miter w14:val="10"/>
                </w14:textOutline>
              </w:rPr>
              <w:t>②厂界预测分析</w:t>
            </w:r>
          </w:p>
          <w:p>
            <w:pPr>
              <w:pStyle w:val="6"/>
              <w:spacing w:before="198" w:line="369" w:lineRule="auto"/>
              <w:ind w:left="566" w:right="106" w:firstLine="482"/>
              <w:rPr>
                <w:sz w:val="24"/>
                <w:szCs w:val="24"/>
              </w:rPr>
            </w:pPr>
            <w:r>
              <w:rPr>
                <w:spacing w:val="1"/>
                <w:sz w:val="24"/>
                <w:szCs w:val="24"/>
              </w:rPr>
              <w:t>利用噪声衰减公式对施工机械噪声的影响范围（作业点</w:t>
            </w:r>
            <w:r>
              <w:rPr>
                <w:sz w:val="24"/>
                <w:szCs w:val="24"/>
              </w:rPr>
              <w:t xml:space="preserve">至噪声值达到标准的距离） </w:t>
            </w:r>
            <w:r>
              <w:rPr>
                <w:spacing w:val="1"/>
                <w:sz w:val="24"/>
                <w:szCs w:val="24"/>
              </w:rPr>
              <w:t>进行预测，在不考虑任何声屏障和噪声防治措施的情况下，施工机械在不同距离处噪声</w:t>
            </w:r>
          </w:p>
          <w:p>
            <w:pPr>
              <w:pStyle w:val="6"/>
              <w:spacing w:before="1" w:line="219" w:lineRule="auto"/>
              <w:ind w:left="568"/>
              <w:rPr>
                <w:sz w:val="24"/>
                <w:szCs w:val="24"/>
              </w:rPr>
            </w:pPr>
            <w:r>
              <w:rPr>
                <w:spacing w:val="-2"/>
                <w:sz w:val="24"/>
                <w:szCs w:val="24"/>
              </w:rPr>
              <w:t>影响见表</w:t>
            </w:r>
            <w:r>
              <w:rPr>
                <w:spacing w:val="-52"/>
                <w:sz w:val="24"/>
                <w:szCs w:val="24"/>
              </w:rPr>
              <w:t xml:space="preserve"> </w:t>
            </w:r>
            <w:r>
              <w:rPr>
                <w:rFonts w:ascii="Times New Roman" w:hAnsi="Times New Roman" w:eastAsia="Times New Roman" w:cs="Times New Roman"/>
                <w:spacing w:val="-2"/>
                <w:sz w:val="24"/>
                <w:szCs w:val="24"/>
              </w:rPr>
              <w:t>4.2-2</w:t>
            </w:r>
            <w:r>
              <w:rPr>
                <w:spacing w:val="-2"/>
                <w:sz w:val="24"/>
                <w:szCs w:val="24"/>
              </w:rPr>
              <w:t>。</w:t>
            </w:r>
          </w:p>
          <w:p>
            <w:pPr>
              <w:pStyle w:val="6"/>
              <w:spacing w:before="194" w:line="219" w:lineRule="auto"/>
              <w:ind w:left="1748"/>
              <w:rPr>
                <w:sz w:val="24"/>
                <w:szCs w:val="24"/>
              </w:rPr>
            </w:pPr>
            <w:r>
              <w:rPr>
                <w:spacing w:val="-3"/>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pacing w:val="-3"/>
                <w:sz w:val="24"/>
                <w:szCs w:val="24"/>
              </w:rPr>
              <w:t xml:space="preserve">4.2-2    </w:t>
            </w:r>
            <w:r>
              <w:rPr>
                <w:spacing w:val="-3"/>
                <w:sz w:val="24"/>
                <w:szCs w:val="24"/>
                <w14:textOutline w14:w="4354" w14:cap="flat" w14:cmpd="sng">
                  <w14:solidFill>
                    <w14:srgbClr w14:val="000000"/>
                  </w14:solidFill>
                  <w14:prstDash w14:val="solid"/>
                  <w14:miter w14:val="10"/>
                </w14:textOutline>
              </w:rPr>
              <w:t>钻前施工机械噪声影响范围预测结果</w:t>
            </w:r>
            <w:r>
              <w:rPr>
                <w:spacing w:val="-3"/>
                <w:sz w:val="24"/>
                <w:szCs w:val="24"/>
              </w:rPr>
              <w:t xml:space="preserve">  </w:t>
            </w:r>
            <w:r>
              <w:rPr>
                <w:spacing w:val="-3"/>
                <w:sz w:val="24"/>
                <w:szCs w:val="24"/>
                <w14:textOutline w14:w="4354" w14:cap="flat" w14:cmpd="sng">
                  <w14:solidFill>
                    <w14:srgbClr w14:val="000000"/>
                  </w14:solidFill>
                  <w14:prstDash w14:val="solid"/>
                  <w14:miter w14:val="10"/>
                </w14:textOutline>
              </w:rPr>
              <w:t>单位：</w:t>
            </w:r>
            <w:r>
              <w:rPr>
                <w:spacing w:val="-3"/>
                <w:sz w:val="24"/>
                <w:szCs w:val="24"/>
              </w:rPr>
              <w:t xml:space="preserve"> </w:t>
            </w:r>
            <w:r>
              <w:rPr>
                <w:rFonts w:ascii="Times New Roman" w:hAnsi="Times New Roman" w:eastAsia="Times New Roman" w:cs="Times New Roman"/>
                <w:b/>
                <w:bCs/>
                <w:spacing w:val="-3"/>
                <w:sz w:val="24"/>
                <w:szCs w:val="24"/>
              </w:rPr>
              <w:t>dB</w:t>
            </w: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A</w:t>
            </w:r>
            <w:r>
              <w:rPr>
                <w:spacing w:val="-3"/>
                <w:sz w:val="24"/>
                <w:szCs w:val="24"/>
                <w14:textOutline w14:w="4354" w14:cap="flat" w14:cmpd="sng">
                  <w14:solidFill>
                    <w14:srgbClr w14:val="000000"/>
                  </w14:solidFill>
                  <w14:prstDash w14:val="solid"/>
                  <w14:miter w14:val="10"/>
                </w14:textOutline>
              </w:rPr>
              <w:t>）</w:t>
            </w:r>
          </w:p>
          <w:p>
            <w:pPr>
              <w:spacing w:line="18" w:lineRule="exact"/>
            </w:pPr>
          </w:p>
          <w:tbl>
            <w:tblPr>
              <w:tblStyle w:val="5"/>
              <w:tblW w:w="9164" w:type="dxa"/>
              <w:tblInd w:w="5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8"/>
              <w:gridCol w:w="933"/>
              <w:gridCol w:w="933"/>
              <w:gridCol w:w="935"/>
              <w:gridCol w:w="933"/>
              <w:gridCol w:w="935"/>
              <w:gridCol w:w="935"/>
              <w:gridCol w:w="935"/>
              <w:gridCol w:w="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78" w:type="dxa"/>
                  <w:vAlign w:val="top"/>
                </w:tcPr>
                <w:p>
                  <w:pPr>
                    <w:pStyle w:val="6"/>
                    <w:spacing w:before="70" w:line="221" w:lineRule="auto"/>
                    <w:ind w:left="533"/>
                    <w:rPr>
                      <w:sz w:val="21"/>
                      <w:szCs w:val="21"/>
                    </w:rPr>
                  </w:pPr>
                  <w:r>
                    <w:rPr>
                      <w:spacing w:val="-4"/>
                      <w:sz w:val="21"/>
                      <w:szCs w:val="21"/>
                    </w:rPr>
                    <w:t>噪声源</w:t>
                  </w:r>
                </w:p>
              </w:tc>
              <w:tc>
                <w:tcPr>
                  <w:tcW w:w="933" w:type="dxa"/>
                  <w:vAlign w:val="top"/>
                </w:tcPr>
                <w:p>
                  <w:pPr>
                    <w:spacing w:before="108"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10m</w:t>
                  </w:r>
                </w:p>
              </w:tc>
              <w:tc>
                <w:tcPr>
                  <w:tcW w:w="933" w:type="dxa"/>
                  <w:vAlign w:val="top"/>
                </w:tcPr>
                <w:p>
                  <w:pPr>
                    <w:spacing w:before="108" w:line="187"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30m</w:t>
                  </w:r>
                </w:p>
              </w:tc>
              <w:tc>
                <w:tcPr>
                  <w:tcW w:w="935" w:type="dxa"/>
                  <w:vAlign w:val="top"/>
                </w:tcPr>
                <w:p>
                  <w:pPr>
                    <w:spacing w:before="108"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50m</w:t>
                  </w:r>
                </w:p>
              </w:tc>
              <w:tc>
                <w:tcPr>
                  <w:tcW w:w="933" w:type="dxa"/>
                  <w:vAlign w:val="top"/>
                </w:tcPr>
                <w:p>
                  <w:pPr>
                    <w:spacing w:before="108" w:line="187"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70m</w:t>
                  </w:r>
                </w:p>
              </w:tc>
              <w:tc>
                <w:tcPr>
                  <w:tcW w:w="935" w:type="dxa"/>
                  <w:vAlign w:val="top"/>
                </w:tcPr>
                <w:p>
                  <w:pPr>
                    <w:spacing w:before="108"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100m</w:t>
                  </w:r>
                </w:p>
              </w:tc>
              <w:tc>
                <w:tcPr>
                  <w:tcW w:w="935" w:type="dxa"/>
                  <w:vAlign w:val="top"/>
                </w:tcPr>
                <w:p>
                  <w:pPr>
                    <w:spacing w:before="108"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130m</w:t>
                  </w:r>
                </w:p>
              </w:tc>
              <w:tc>
                <w:tcPr>
                  <w:tcW w:w="935" w:type="dxa"/>
                  <w:vAlign w:val="top"/>
                </w:tcPr>
                <w:p>
                  <w:pPr>
                    <w:spacing w:before="108"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150m</w:t>
                  </w:r>
                </w:p>
              </w:tc>
              <w:tc>
                <w:tcPr>
                  <w:tcW w:w="947" w:type="dxa"/>
                  <w:vAlign w:val="top"/>
                </w:tcPr>
                <w:p>
                  <w:pPr>
                    <w:spacing w:before="108"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678" w:type="dxa"/>
                  <w:vAlign w:val="top"/>
                </w:tcPr>
                <w:p>
                  <w:pPr>
                    <w:pStyle w:val="6"/>
                    <w:spacing w:before="65" w:line="220" w:lineRule="auto"/>
                    <w:ind w:left="523"/>
                    <w:rPr>
                      <w:sz w:val="21"/>
                      <w:szCs w:val="21"/>
                    </w:rPr>
                  </w:pPr>
                  <w:r>
                    <w:rPr>
                      <w:spacing w:val="-2"/>
                      <w:sz w:val="21"/>
                      <w:szCs w:val="21"/>
                    </w:rPr>
                    <w:t>推土机</w:t>
                  </w:r>
                </w:p>
              </w:tc>
              <w:tc>
                <w:tcPr>
                  <w:tcW w:w="933" w:type="dxa"/>
                  <w:vAlign w:val="top"/>
                </w:tcPr>
                <w:p>
                  <w:pPr>
                    <w:spacing w:before="103"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33" w:type="dxa"/>
                  <w:vAlign w:val="top"/>
                </w:tcPr>
                <w:p>
                  <w:pPr>
                    <w:spacing w:before="106" w:line="184"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935" w:type="dxa"/>
                  <w:vAlign w:val="top"/>
                </w:tcPr>
                <w:p>
                  <w:pPr>
                    <w:spacing w:before="103"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933" w:type="dxa"/>
                  <w:vAlign w:val="top"/>
                </w:tcPr>
                <w:p>
                  <w:pPr>
                    <w:spacing w:before="103"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935" w:type="dxa"/>
                  <w:vAlign w:val="top"/>
                </w:tcPr>
                <w:p>
                  <w:pPr>
                    <w:spacing w:before="103"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935" w:type="dxa"/>
                  <w:vAlign w:val="top"/>
                </w:tcPr>
                <w:p>
                  <w:pPr>
                    <w:spacing w:before="103"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935"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947" w:type="dxa"/>
                  <w:vAlign w:val="top"/>
                </w:tcPr>
                <w:p>
                  <w:pPr>
                    <w:spacing w:before="103"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678" w:type="dxa"/>
                  <w:vAlign w:val="top"/>
                </w:tcPr>
                <w:p>
                  <w:pPr>
                    <w:pStyle w:val="6"/>
                    <w:spacing w:before="65" w:line="220" w:lineRule="auto"/>
                    <w:ind w:left="522"/>
                    <w:rPr>
                      <w:sz w:val="21"/>
                      <w:szCs w:val="21"/>
                    </w:rPr>
                  </w:pPr>
                  <w:r>
                    <w:rPr>
                      <w:spacing w:val="-1"/>
                      <w:sz w:val="21"/>
                      <w:szCs w:val="21"/>
                    </w:rPr>
                    <w:t>挖掘机</w:t>
                  </w:r>
                </w:p>
              </w:tc>
              <w:tc>
                <w:tcPr>
                  <w:tcW w:w="933"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933"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35"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933" w:type="dxa"/>
                  <w:vAlign w:val="top"/>
                </w:tcPr>
                <w:p>
                  <w:pPr>
                    <w:spacing w:before="10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935" w:type="dxa"/>
                  <w:vAlign w:val="top"/>
                </w:tcPr>
                <w:p>
                  <w:pPr>
                    <w:spacing w:before="104"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935" w:type="dxa"/>
                  <w:vAlign w:val="top"/>
                </w:tcPr>
                <w:p>
                  <w:pPr>
                    <w:spacing w:before="104"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935"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47" w:type="dxa"/>
                  <w:vAlign w:val="top"/>
                </w:tcPr>
                <w:p>
                  <w:pPr>
                    <w:spacing w:before="104"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678" w:type="dxa"/>
                  <w:vAlign w:val="top"/>
                </w:tcPr>
                <w:p>
                  <w:pPr>
                    <w:pStyle w:val="6"/>
                    <w:spacing w:before="67" w:line="221" w:lineRule="auto"/>
                    <w:ind w:left="421"/>
                    <w:rPr>
                      <w:sz w:val="21"/>
                      <w:szCs w:val="21"/>
                    </w:rPr>
                  </w:pPr>
                  <w:r>
                    <w:rPr>
                      <w:spacing w:val="-2"/>
                      <w:sz w:val="21"/>
                      <w:szCs w:val="21"/>
                    </w:rPr>
                    <w:t>载重汽车</w:t>
                  </w:r>
                </w:p>
              </w:tc>
              <w:tc>
                <w:tcPr>
                  <w:tcW w:w="933" w:type="dxa"/>
                  <w:vAlign w:val="top"/>
                </w:tcPr>
                <w:p>
                  <w:pPr>
                    <w:spacing w:before="106"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933" w:type="dxa"/>
                  <w:vAlign w:val="top"/>
                </w:tcPr>
                <w:p>
                  <w:pPr>
                    <w:spacing w:before="106"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935" w:type="dxa"/>
                  <w:vAlign w:val="top"/>
                </w:tcPr>
                <w:p>
                  <w:pPr>
                    <w:spacing w:before="106"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933" w:type="dxa"/>
                  <w:vAlign w:val="top"/>
                </w:tcPr>
                <w:p>
                  <w:pPr>
                    <w:spacing w:before="106"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935" w:type="dxa"/>
                  <w:vAlign w:val="top"/>
                </w:tcPr>
                <w:p>
                  <w:pPr>
                    <w:spacing w:before="106"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935" w:type="dxa"/>
                  <w:vAlign w:val="top"/>
                </w:tcPr>
                <w:p>
                  <w:pPr>
                    <w:spacing w:before="106"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35" w:type="dxa"/>
                  <w:vAlign w:val="top"/>
                </w:tcPr>
                <w:p>
                  <w:pPr>
                    <w:spacing w:before="106"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947" w:type="dxa"/>
                  <w:vAlign w:val="top"/>
                </w:tcPr>
                <w:p>
                  <w:pPr>
                    <w:spacing w:before="106"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678" w:type="dxa"/>
                  <w:vAlign w:val="top"/>
                </w:tcPr>
                <w:p>
                  <w:pPr>
                    <w:pStyle w:val="6"/>
                    <w:spacing w:before="69" w:line="220" w:lineRule="auto"/>
                    <w:ind w:left="523"/>
                    <w:rPr>
                      <w:sz w:val="21"/>
                      <w:szCs w:val="21"/>
                    </w:rPr>
                  </w:pPr>
                  <w:r>
                    <w:rPr>
                      <w:spacing w:val="-2"/>
                      <w:sz w:val="21"/>
                      <w:szCs w:val="21"/>
                    </w:rPr>
                    <w:t>钻孔机</w:t>
                  </w:r>
                </w:p>
              </w:tc>
              <w:tc>
                <w:tcPr>
                  <w:tcW w:w="933" w:type="dxa"/>
                  <w:vAlign w:val="top"/>
                </w:tcPr>
                <w:p>
                  <w:pPr>
                    <w:spacing w:before="108"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33" w:type="dxa"/>
                  <w:vAlign w:val="top"/>
                </w:tcPr>
                <w:p>
                  <w:pPr>
                    <w:spacing w:before="111" w:line="184"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935" w:type="dxa"/>
                  <w:vAlign w:val="top"/>
                </w:tcPr>
                <w:p>
                  <w:pPr>
                    <w:spacing w:before="108"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933" w:type="dxa"/>
                  <w:vAlign w:val="top"/>
                </w:tcPr>
                <w:p>
                  <w:pPr>
                    <w:spacing w:before="108"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935" w:type="dxa"/>
                  <w:vAlign w:val="top"/>
                </w:tcPr>
                <w:p>
                  <w:pPr>
                    <w:spacing w:before="108"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935" w:type="dxa"/>
                  <w:vAlign w:val="top"/>
                </w:tcPr>
                <w:p>
                  <w:pPr>
                    <w:spacing w:before="108"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935" w:type="dxa"/>
                  <w:vAlign w:val="top"/>
                </w:tcPr>
                <w:p>
                  <w:pPr>
                    <w:spacing w:before="108"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947" w:type="dxa"/>
                  <w:vAlign w:val="top"/>
                </w:tcPr>
                <w:p>
                  <w:pPr>
                    <w:spacing w:before="108"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678" w:type="dxa"/>
                  <w:vAlign w:val="top"/>
                </w:tcPr>
                <w:p>
                  <w:pPr>
                    <w:pStyle w:val="6"/>
                    <w:spacing w:before="72" w:line="220" w:lineRule="auto"/>
                    <w:ind w:left="530"/>
                    <w:rPr>
                      <w:sz w:val="21"/>
                      <w:szCs w:val="21"/>
                    </w:rPr>
                  </w:pPr>
                  <w:r>
                    <w:rPr>
                      <w:spacing w:val="-3"/>
                      <w:sz w:val="21"/>
                      <w:szCs w:val="21"/>
                    </w:rPr>
                    <w:t>空压机</w:t>
                  </w:r>
                </w:p>
              </w:tc>
              <w:tc>
                <w:tcPr>
                  <w:tcW w:w="933" w:type="dxa"/>
                  <w:vAlign w:val="top"/>
                </w:tcPr>
                <w:p>
                  <w:pPr>
                    <w:spacing w:before="11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933" w:type="dxa"/>
                  <w:vAlign w:val="top"/>
                </w:tcPr>
                <w:p>
                  <w:pPr>
                    <w:spacing w:before="11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935" w:type="dxa"/>
                  <w:vAlign w:val="top"/>
                </w:tcPr>
                <w:p>
                  <w:pPr>
                    <w:spacing w:before="11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33" w:type="dxa"/>
                  <w:vAlign w:val="top"/>
                </w:tcPr>
                <w:p>
                  <w:pPr>
                    <w:spacing w:before="110" w:line="187" w:lineRule="auto"/>
                    <w:ind w:left="36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935" w:type="dxa"/>
                  <w:vAlign w:val="top"/>
                </w:tcPr>
                <w:p>
                  <w:pPr>
                    <w:spacing w:before="110"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935" w:type="dxa"/>
                  <w:vAlign w:val="top"/>
                </w:tcPr>
                <w:p>
                  <w:pPr>
                    <w:spacing w:before="110"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935" w:type="dxa"/>
                  <w:vAlign w:val="top"/>
                </w:tcPr>
                <w:p>
                  <w:pPr>
                    <w:spacing w:before="11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947" w:type="dxa"/>
                  <w:vAlign w:val="top"/>
                </w:tcPr>
                <w:p>
                  <w:pPr>
                    <w:spacing w:before="110" w:line="187" w:lineRule="auto"/>
                    <w:ind w:left="3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78" w:type="dxa"/>
                  <w:tcBorders>
                    <w:bottom w:val="single" w:color="000000" w:sz="6" w:space="0"/>
                  </w:tcBorders>
                  <w:vAlign w:val="top"/>
                </w:tcPr>
                <w:p>
                  <w:pPr>
                    <w:pStyle w:val="6"/>
                    <w:spacing w:before="73" w:line="221" w:lineRule="auto"/>
                    <w:ind w:left="522"/>
                    <w:rPr>
                      <w:sz w:val="21"/>
                      <w:szCs w:val="21"/>
                    </w:rPr>
                  </w:pPr>
                  <w:r>
                    <w:rPr>
                      <w:spacing w:val="-1"/>
                      <w:sz w:val="21"/>
                      <w:szCs w:val="21"/>
                    </w:rPr>
                    <w:t>振捣棒</w:t>
                  </w:r>
                </w:p>
              </w:tc>
              <w:tc>
                <w:tcPr>
                  <w:tcW w:w="933" w:type="dxa"/>
                  <w:tcBorders>
                    <w:bottom w:val="single" w:color="000000" w:sz="6" w:space="0"/>
                  </w:tcBorders>
                  <w:vAlign w:val="top"/>
                </w:tcPr>
                <w:p>
                  <w:pPr>
                    <w:spacing w:before="112" w:line="187" w:lineRule="auto"/>
                    <w:ind w:left="3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933" w:type="dxa"/>
                  <w:tcBorders>
                    <w:bottom w:val="single" w:color="000000" w:sz="6" w:space="0"/>
                  </w:tcBorders>
                  <w:vAlign w:val="top"/>
                </w:tcPr>
                <w:p>
                  <w:pPr>
                    <w:spacing w:before="112"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935" w:type="dxa"/>
                  <w:tcBorders>
                    <w:bottom w:val="single" w:color="000000" w:sz="6" w:space="0"/>
                  </w:tcBorders>
                  <w:vAlign w:val="top"/>
                </w:tcPr>
                <w:p>
                  <w:pPr>
                    <w:spacing w:before="112"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933" w:type="dxa"/>
                  <w:tcBorders>
                    <w:bottom w:val="single" w:color="000000" w:sz="6" w:space="0"/>
                  </w:tcBorders>
                  <w:vAlign w:val="top"/>
                </w:tcPr>
                <w:p>
                  <w:pPr>
                    <w:spacing w:before="112"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935" w:type="dxa"/>
                  <w:tcBorders>
                    <w:bottom w:val="single" w:color="000000" w:sz="6" w:space="0"/>
                  </w:tcBorders>
                  <w:vAlign w:val="top"/>
                </w:tcPr>
                <w:p>
                  <w:pPr>
                    <w:spacing w:before="112" w:line="187" w:lineRule="auto"/>
                    <w:ind w:left="3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35" w:type="dxa"/>
                  <w:tcBorders>
                    <w:bottom w:val="single" w:color="000000" w:sz="6" w:space="0"/>
                  </w:tcBorders>
                  <w:vAlign w:val="top"/>
                </w:tcPr>
                <w:p>
                  <w:pPr>
                    <w:spacing w:before="112" w:line="187" w:lineRule="auto"/>
                    <w:ind w:left="36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935" w:type="dxa"/>
                  <w:tcBorders>
                    <w:bottom w:val="single" w:color="000000" w:sz="6" w:space="0"/>
                  </w:tcBorders>
                  <w:vAlign w:val="top"/>
                </w:tcPr>
                <w:p>
                  <w:pPr>
                    <w:spacing w:before="112"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947" w:type="dxa"/>
                  <w:tcBorders>
                    <w:bottom w:val="single" w:color="000000" w:sz="6" w:space="0"/>
                  </w:tcBorders>
                  <w:vAlign w:val="top"/>
                </w:tcPr>
                <w:p>
                  <w:pPr>
                    <w:spacing w:before="112"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54</w:t>
                  </w:r>
                </w:p>
              </w:tc>
            </w:tr>
          </w:tbl>
          <w:p>
            <w:pPr>
              <w:pStyle w:val="6"/>
              <w:spacing w:before="178" w:line="369" w:lineRule="auto"/>
              <w:ind w:left="573" w:right="101" w:firstLine="504"/>
              <w:jc w:val="both"/>
              <w:rPr>
                <w:sz w:val="24"/>
                <w:szCs w:val="24"/>
              </w:rPr>
            </w:pPr>
            <w:r>
              <w:rPr>
                <w:spacing w:val="-12"/>
                <w:sz w:val="24"/>
                <w:szCs w:val="24"/>
              </w:rPr>
              <w:t>由上表可知，</w:t>
            </w:r>
            <w:r>
              <w:rPr>
                <w:spacing w:val="70"/>
                <w:sz w:val="24"/>
                <w:szCs w:val="24"/>
              </w:rPr>
              <w:t xml:space="preserve"> </w:t>
            </w:r>
            <w:r>
              <w:rPr>
                <w:spacing w:val="-12"/>
                <w:sz w:val="24"/>
                <w:szCs w:val="24"/>
              </w:rPr>
              <w:t>在不考虑任何声屏障和噪声防治措施的情况下，</w:t>
            </w:r>
            <w:r>
              <w:rPr>
                <w:spacing w:val="55"/>
                <w:sz w:val="24"/>
                <w:szCs w:val="24"/>
              </w:rPr>
              <w:t xml:space="preserve"> </w:t>
            </w:r>
            <w:r>
              <w:rPr>
                <w:spacing w:val="-12"/>
                <w:sz w:val="24"/>
                <w:szCs w:val="24"/>
              </w:rPr>
              <w:t>在距离</w:t>
            </w:r>
            <w:r>
              <w:rPr>
                <w:spacing w:val="-48"/>
                <w:sz w:val="24"/>
                <w:szCs w:val="24"/>
              </w:rPr>
              <w:t xml:space="preserve"> </w:t>
            </w:r>
            <w:r>
              <w:rPr>
                <w:rFonts w:ascii="Times New Roman" w:hAnsi="Times New Roman" w:eastAsia="Times New Roman" w:cs="Times New Roman"/>
                <w:spacing w:val="-12"/>
                <w:sz w:val="24"/>
                <w:szCs w:val="24"/>
              </w:rPr>
              <w:t>50m</w:t>
            </w:r>
            <w:r>
              <w:rPr>
                <w:rFonts w:ascii="Times New Roman" w:hAnsi="Times New Roman" w:eastAsia="Times New Roman" w:cs="Times New Roman"/>
                <w:spacing w:val="15"/>
                <w:sz w:val="24"/>
                <w:szCs w:val="24"/>
              </w:rPr>
              <w:t xml:space="preserve"> </w:t>
            </w:r>
            <w:r>
              <w:rPr>
                <w:spacing w:val="-12"/>
                <w:sz w:val="24"/>
                <w:szCs w:val="24"/>
              </w:rPr>
              <w:t>处施工机</w:t>
            </w:r>
            <w:r>
              <w:rPr>
                <w:sz w:val="24"/>
                <w:szCs w:val="24"/>
              </w:rPr>
              <w:t xml:space="preserve"> </w:t>
            </w:r>
            <w:r>
              <w:rPr>
                <w:spacing w:val="-1"/>
                <w:sz w:val="24"/>
                <w:szCs w:val="24"/>
              </w:rPr>
              <w:t xml:space="preserve">具对声环境的贡献值为 </w:t>
            </w:r>
            <w:r>
              <w:rPr>
                <w:rFonts w:ascii="Times New Roman" w:hAnsi="Times New Roman" w:eastAsia="Times New Roman" w:cs="Times New Roman"/>
                <w:spacing w:val="-1"/>
                <w:sz w:val="24"/>
                <w:szCs w:val="24"/>
              </w:rPr>
              <w:t>48~66dB</w:t>
            </w:r>
            <w:r>
              <w:rPr>
                <w:spacing w:val="-1"/>
                <w:sz w:val="24"/>
                <w:szCs w:val="24"/>
              </w:rPr>
              <w:t>（</w:t>
            </w:r>
            <w:r>
              <w:rPr>
                <w:rFonts w:ascii="Times New Roman" w:hAnsi="Times New Roman" w:eastAsia="Times New Roman" w:cs="Times New Roman"/>
                <w:spacing w:val="-1"/>
                <w:sz w:val="24"/>
                <w:szCs w:val="24"/>
              </w:rPr>
              <w:t>A</w:t>
            </w:r>
            <w:r>
              <w:rPr>
                <w:spacing w:val="-3"/>
                <w:sz w:val="24"/>
                <w:szCs w:val="24"/>
              </w:rPr>
              <w:t>），</w:t>
            </w:r>
            <w:r>
              <w:rPr>
                <w:spacing w:val="-1"/>
                <w:sz w:val="24"/>
                <w:szCs w:val="24"/>
              </w:rPr>
              <w:t>在距离</w:t>
            </w:r>
            <w:r>
              <w:rPr>
                <w:spacing w:val="43"/>
                <w:sz w:val="24"/>
                <w:szCs w:val="24"/>
              </w:rPr>
              <w:t xml:space="preserve"> </w:t>
            </w:r>
            <w:r>
              <w:rPr>
                <w:rFonts w:ascii="Times New Roman" w:hAnsi="Times New Roman" w:eastAsia="Times New Roman" w:cs="Times New Roman"/>
                <w:spacing w:val="-1"/>
                <w:sz w:val="24"/>
                <w:szCs w:val="24"/>
              </w:rPr>
              <w:t xml:space="preserve">100m  </w:t>
            </w:r>
            <w:r>
              <w:rPr>
                <w:spacing w:val="-1"/>
                <w:sz w:val="24"/>
                <w:szCs w:val="24"/>
              </w:rPr>
              <w:t>处施工机具对声</w:t>
            </w:r>
            <w:r>
              <w:rPr>
                <w:spacing w:val="-2"/>
                <w:sz w:val="24"/>
                <w:szCs w:val="24"/>
              </w:rPr>
              <w:t>环境的贡献值为</w:t>
            </w:r>
          </w:p>
          <w:p>
            <w:pPr>
              <w:pStyle w:val="6"/>
              <w:spacing w:before="1" w:line="218" w:lineRule="auto"/>
              <w:ind w:left="562"/>
              <w:rPr>
                <w:sz w:val="24"/>
                <w:szCs w:val="24"/>
              </w:rPr>
            </w:pPr>
            <w:r>
              <w:rPr>
                <w:rFonts w:ascii="Times New Roman" w:hAnsi="Times New Roman" w:eastAsia="Times New Roman" w:cs="Times New Roman"/>
                <w:spacing w:val="-1"/>
                <w:sz w:val="24"/>
                <w:szCs w:val="24"/>
              </w:rPr>
              <w:t>42~60dB</w:t>
            </w:r>
            <w:r>
              <w:rPr>
                <w:spacing w:val="-1"/>
                <w:sz w:val="24"/>
                <w:szCs w:val="24"/>
              </w:rPr>
              <w:t>（</w:t>
            </w:r>
            <w:r>
              <w:rPr>
                <w:rFonts w:ascii="Times New Roman" w:hAnsi="Times New Roman" w:eastAsia="Times New Roman" w:cs="Times New Roman"/>
                <w:spacing w:val="-1"/>
                <w:sz w:val="24"/>
                <w:szCs w:val="24"/>
              </w:rPr>
              <w:t>A</w:t>
            </w:r>
            <w:r>
              <w:rPr>
                <w:spacing w:val="-3"/>
                <w:sz w:val="24"/>
                <w:szCs w:val="24"/>
              </w:rPr>
              <w:t>），</w:t>
            </w:r>
            <w:r>
              <w:rPr>
                <w:spacing w:val="-1"/>
                <w:sz w:val="24"/>
                <w:szCs w:val="24"/>
              </w:rPr>
              <w:t>在距离</w:t>
            </w:r>
            <w:r>
              <w:rPr>
                <w:spacing w:val="-40"/>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5"/>
                <w:sz w:val="24"/>
                <w:szCs w:val="24"/>
              </w:rPr>
              <w:t xml:space="preserve"> </w:t>
            </w:r>
            <w:r>
              <w:rPr>
                <w:spacing w:val="-1"/>
                <w:sz w:val="24"/>
                <w:szCs w:val="24"/>
              </w:rPr>
              <w:t>处施工机具对</w:t>
            </w:r>
            <w:r>
              <w:rPr>
                <w:spacing w:val="-2"/>
                <w:sz w:val="24"/>
                <w:szCs w:val="24"/>
              </w:rPr>
              <w:t>声环境的贡献值为</w:t>
            </w:r>
            <w:r>
              <w:rPr>
                <w:spacing w:val="-50"/>
                <w:sz w:val="24"/>
                <w:szCs w:val="24"/>
              </w:rPr>
              <w:t xml:space="preserve"> </w:t>
            </w:r>
            <w:r>
              <w:rPr>
                <w:rFonts w:ascii="Times New Roman" w:hAnsi="Times New Roman" w:eastAsia="Times New Roman" w:cs="Times New Roman"/>
                <w:spacing w:val="-2"/>
                <w:sz w:val="24"/>
                <w:szCs w:val="24"/>
              </w:rPr>
              <w:t>36~54dB</w:t>
            </w:r>
            <w:r>
              <w:rPr>
                <w:spacing w:val="-2"/>
                <w:sz w:val="24"/>
                <w:szCs w:val="24"/>
              </w:rPr>
              <w:t>（</w:t>
            </w:r>
            <w:r>
              <w:rPr>
                <w:rFonts w:ascii="Times New Roman" w:hAnsi="Times New Roman" w:eastAsia="Times New Roman" w:cs="Times New Roman"/>
                <w:spacing w:val="-2"/>
                <w:sz w:val="24"/>
                <w:szCs w:val="24"/>
              </w:rPr>
              <w:t>A</w:t>
            </w:r>
            <w:r>
              <w:rPr>
                <w:spacing w:val="-2"/>
                <w:sz w:val="24"/>
                <w:szCs w:val="24"/>
              </w:rPr>
              <w:t>）。</w:t>
            </w:r>
          </w:p>
          <w:p>
            <w:pPr>
              <w:pStyle w:val="6"/>
              <w:spacing w:before="198" w:line="369" w:lineRule="auto"/>
              <w:ind w:left="571" w:firstLine="477"/>
              <w:jc w:val="both"/>
              <w:rPr>
                <w:sz w:val="24"/>
                <w:szCs w:val="24"/>
              </w:rPr>
            </w:pPr>
            <w:r>
              <w:rPr>
                <w:spacing w:val="-2"/>
                <w:sz w:val="24"/>
                <w:szCs w:val="24"/>
              </w:rPr>
              <w:t>本项目平台井场钻前工程夜间不施工， 不存在施工噪声夜间</w:t>
            </w:r>
            <w:r>
              <w:rPr>
                <w:spacing w:val="-3"/>
                <w:sz w:val="24"/>
                <w:szCs w:val="24"/>
              </w:rPr>
              <w:t>超标环境影响；在不采</w:t>
            </w:r>
            <w:r>
              <w:rPr>
                <w:sz w:val="24"/>
                <w:szCs w:val="24"/>
              </w:rPr>
              <w:t xml:space="preserve">  </w:t>
            </w:r>
            <w:r>
              <w:rPr>
                <w:spacing w:val="-10"/>
                <w:sz w:val="24"/>
                <w:szCs w:val="24"/>
              </w:rPr>
              <w:t>取任何土建施工噪声防治措施的情况下，</w:t>
            </w:r>
            <w:r>
              <w:rPr>
                <w:spacing w:val="56"/>
                <w:sz w:val="24"/>
                <w:szCs w:val="24"/>
              </w:rPr>
              <w:t xml:space="preserve"> </w:t>
            </w:r>
            <w:r>
              <w:rPr>
                <w:spacing w:val="-10"/>
                <w:sz w:val="24"/>
                <w:szCs w:val="24"/>
              </w:rPr>
              <w:t>通</w:t>
            </w:r>
            <w:r>
              <w:rPr>
                <w:spacing w:val="-11"/>
                <w:sz w:val="24"/>
                <w:szCs w:val="24"/>
              </w:rPr>
              <w:t>过施工期噪声预测可知，</w:t>
            </w:r>
            <w:r>
              <w:rPr>
                <w:spacing w:val="55"/>
                <w:sz w:val="24"/>
                <w:szCs w:val="24"/>
              </w:rPr>
              <w:t xml:space="preserve"> </w:t>
            </w:r>
            <w:r>
              <w:rPr>
                <w:spacing w:val="-11"/>
                <w:sz w:val="24"/>
                <w:szCs w:val="24"/>
              </w:rPr>
              <w:t>在临近厂界</w:t>
            </w:r>
            <w:r>
              <w:rPr>
                <w:spacing w:val="-50"/>
                <w:sz w:val="24"/>
                <w:szCs w:val="24"/>
              </w:rPr>
              <w:t xml:space="preserve"> </w:t>
            </w:r>
            <w:r>
              <w:rPr>
                <w:rFonts w:ascii="Times New Roman" w:hAnsi="Times New Roman" w:eastAsia="Times New Roman" w:cs="Times New Roman"/>
                <w:spacing w:val="-11"/>
                <w:sz w:val="24"/>
                <w:szCs w:val="24"/>
              </w:rPr>
              <w:t>30m</w:t>
            </w:r>
            <w:r>
              <w:rPr>
                <w:rFonts w:ascii="Times New Roman" w:hAnsi="Times New Roman" w:eastAsia="Times New Roman" w:cs="Times New Roman"/>
                <w:spacing w:val="15"/>
                <w:w w:val="101"/>
                <w:sz w:val="24"/>
                <w:szCs w:val="24"/>
              </w:rPr>
              <w:t xml:space="preserve"> </w:t>
            </w:r>
            <w:r>
              <w:rPr>
                <w:spacing w:val="-11"/>
                <w:sz w:val="24"/>
                <w:szCs w:val="24"/>
              </w:rPr>
              <w:t>范</w:t>
            </w:r>
            <w:r>
              <w:rPr>
                <w:sz w:val="24"/>
                <w:szCs w:val="24"/>
              </w:rPr>
              <w:t xml:space="preserve">  </w:t>
            </w:r>
            <w:r>
              <w:rPr>
                <w:spacing w:val="-2"/>
                <w:sz w:val="24"/>
                <w:szCs w:val="24"/>
              </w:rPr>
              <w:t>围内使用高噪声设备可能造成施工场界噪声</w:t>
            </w:r>
            <w:r>
              <w:rPr>
                <w:spacing w:val="-3"/>
                <w:sz w:val="24"/>
                <w:szCs w:val="24"/>
              </w:rPr>
              <w:t>不能满足《建筑施工场界环境噪声排放标准》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GB12523-2011</w:t>
            </w:r>
            <w:r>
              <w:rPr>
                <w:spacing w:val="-1"/>
                <w:sz w:val="24"/>
                <w:szCs w:val="24"/>
              </w:rPr>
              <w:t>）规定的昼间</w:t>
            </w:r>
            <w:r>
              <w:rPr>
                <w:spacing w:val="-50"/>
                <w:sz w:val="24"/>
                <w:szCs w:val="24"/>
              </w:rPr>
              <w:t xml:space="preserve"> </w:t>
            </w:r>
            <w:r>
              <w:rPr>
                <w:rFonts w:ascii="Times New Roman" w:hAnsi="Times New Roman" w:eastAsia="Times New Roman" w:cs="Times New Roman"/>
                <w:spacing w:val="-1"/>
                <w:sz w:val="24"/>
                <w:szCs w:val="24"/>
              </w:rPr>
              <w:t>70</w:t>
            </w:r>
            <w:r>
              <w:rPr>
                <w:rFonts w:ascii="Times New Roman" w:hAnsi="Times New Roman" w:eastAsia="Times New Roman" w:cs="Times New Roman"/>
                <w:spacing w:val="-2"/>
                <w:sz w:val="24"/>
                <w:szCs w:val="24"/>
              </w:rPr>
              <w:t>dB</w:t>
            </w:r>
            <w:r>
              <w:rPr>
                <w:spacing w:val="-2"/>
                <w:sz w:val="24"/>
                <w:szCs w:val="24"/>
              </w:rPr>
              <w:t>（</w:t>
            </w:r>
            <w:r>
              <w:rPr>
                <w:rFonts w:ascii="Times New Roman" w:hAnsi="Times New Roman" w:eastAsia="Times New Roman" w:cs="Times New Roman"/>
                <w:spacing w:val="-2"/>
                <w:sz w:val="24"/>
                <w:szCs w:val="24"/>
              </w:rPr>
              <w:t>A</w:t>
            </w:r>
            <w:r>
              <w:rPr>
                <w:spacing w:val="-2"/>
                <w:sz w:val="24"/>
                <w:szCs w:val="24"/>
              </w:rPr>
              <w:t>）限值要求，需要采取适当措施降低环境影响。</w:t>
            </w:r>
          </w:p>
          <w:p>
            <w:pPr>
              <w:pStyle w:val="6"/>
              <w:spacing w:before="1" w:line="218" w:lineRule="auto"/>
              <w:ind w:right="41"/>
              <w:jc w:val="right"/>
              <w:rPr>
                <w:sz w:val="24"/>
                <w:szCs w:val="24"/>
              </w:rPr>
            </w:pPr>
            <w:r>
              <w:rPr>
                <w:spacing w:val="-6"/>
                <w:sz w:val="24"/>
                <w:szCs w:val="24"/>
              </w:rPr>
              <w:t>在钻前工程施工过程中， 应尽量将高噪声设备安排在</w:t>
            </w:r>
            <w:r>
              <w:rPr>
                <w:spacing w:val="-7"/>
                <w:sz w:val="24"/>
                <w:szCs w:val="24"/>
              </w:rPr>
              <w:t>井场内远离周边居民点的位置布置，</w:t>
            </w:r>
          </w:p>
        </w:tc>
      </w:tr>
    </w:tbl>
    <w:p>
      <w:pPr>
        <w:pStyle w:val="2"/>
        <w:rPr>
          <w:sz w:val="21"/>
        </w:rPr>
      </w:pPr>
    </w:p>
    <w:p>
      <w:pPr>
        <w:rPr>
          <w:sz w:val="21"/>
          <w:szCs w:val="21"/>
        </w:rPr>
        <w:sectPr>
          <w:footerReference r:id="rId97"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81"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2" w:line="480" w:lineRule="exact"/>
              <w:ind w:left="114"/>
              <w:rPr>
                <w:sz w:val="24"/>
                <w:szCs w:val="24"/>
              </w:rPr>
            </w:pPr>
            <w:r>
              <w:rPr>
                <w:spacing w:val="-2"/>
                <w:position w:val="18"/>
                <w:sz w:val="24"/>
                <w:szCs w:val="24"/>
              </w:rPr>
              <w:t>并选择合理的施工时间，</w:t>
            </w:r>
            <w:r>
              <w:rPr>
                <w:spacing w:val="-11"/>
                <w:position w:val="18"/>
                <w:sz w:val="24"/>
                <w:szCs w:val="24"/>
              </w:rPr>
              <w:t xml:space="preserve"> </w:t>
            </w:r>
            <w:r>
              <w:rPr>
                <w:spacing w:val="-2"/>
                <w:position w:val="18"/>
                <w:sz w:val="24"/>
                <w:szCs w:val="24"/>
              </w:rPr>
              <w:t>避开周边居民休息时间进行施工，尽量将施工噪声对居民的影</w:t>
            </w:r>
          </w:p>
          <w:p>
            <w:pPr>
              <w:pStyle w:val="6"/>
              <w:spacing w:line="219" w:lineRule="auto"/>
              <w:ind w:left="120"/>
              <w:rPr>
                <w:sz w:val="24"/>
                <w:szCs w:val="24"/>
              </w:rPr>
            </w:pPr>
            <w:r>
              <w:rPr>
                <w:spacing w:val="-5"/>
                <w:sz w:val="24"/>
                <w:szCs w:val="24"/>
              </w:rPr>
              <w:t>响降到最小，避免噪声扰民。</w:t>
            </w:r>
          </w:p>
          <w:p>
            <w:pPr>
              <w:pStyle w:val="6"/>
              <w:spacing w:before="195" w:line="217" w:lineRule="auto"/>
              <w:ind w:left="588"/>
              <w:rPr>
                <w:sz w:val="24"/>
                <w:szCs w:val="24"/>
              </w:rPr>
            </w:pPr>
            <w:r>
              <w:rPr>
                <w:sz w:val="24"/>
                <w:szCs w:val="24"/>
                <w14:textOutline w14:w="4354" w14:cap="flat" w14:cmpd="sng">
                  <w14:solidFill>
                    <w14:srgbClr w14:val="000000"/>
                  </w14:solidFill>
                  <w14:prstDash w14:val="solid"/>
                  <w14:miter w14:val="10"/>
                </w14:textOutline>
              </w:rPr>
              <w:t>③钻前阶段敏感点噪声影响</w:t>
            </w:r>
          </w:p>
          <w:p>
            <w:pPr>
              <w:pStyle w:val="6"/>
              <w:spacing w:before="197" w:line="480" w:lineRule="exact"/>
              <w:ind w:left="588"/>
              <w:rPr>
                <w:sz w:val="24"/>
                <w:szCs w:val="24"/>
              </w:rPr>
            </w:pPr>
            <w:r>
              <w:rPr>
                <w:spacing w:val="-1"/>
                <w:position w:val="18"/>
                <w:sz w:val="24"/>
                <w:szCs w:val="24"/>
              </w:rPr>
              <w:t xml:space="preserve">根据现场调查，工程周边 </w:t>
            </w:r>
            <w:r>
              <w:rPr>
                <w:rFonts w:ascii="Times New Roman" w:hAnsi="Times New Roman" w:eastAsia="Times New Roman" w:cs="Times New Roman"/>
                <w:spacing w:val="-1"/>
                <w:position w:val="18"/>
                <w:sz w:val="24"/>
                <w:szCs w:val="24"/>
              </w:rPr>
              <w:t xml:space="preserve">200m  </w:t>
            </w:r>
            <w:r>
              <w:rPr>
                <w:spacing w:val="-1"/>
                <w:position w:val="18"/>
                <w:sz w:val="24"/>
                <w:szCs w:val="24"/>
              </w:rPr>
              <w:t>范围内有少量散户居民分布，具体分布情况详见前</w:t>
            </w:r>
          </w:p>
          <w:p>
            <w:pPr>
              <w:pStyle w:val="6"/>
              <w:spacing w:line="219" w:lineRule="auto"/>
              <w:ind w:left="110"/>
              <w:rPr>
                <w:sz w:val="24"/>
                <w:szCs w:val="24"/>
              </w:rPr>
            </w:pPr>
            <w:r>
              <w:rPr>
                <w:spacing w:val="-1"/>
                <w:sz w:val="24"/>
                <w:szCs w:val="24"/>
              </w:rPr>
              <w:t>文表</w:t>
            </w:r>
            <w:r>
              <w:rPr>
                <w:spacing w:val="-51"/>
                <w:sz w:val="24"/>
                <w:szCs w:val="24"/>
              </w:rPr>
              <w:t xml:space="preserve"> </w:t>
            </w:r>
            <w:r>
              <w:rPr>
                <w:rFonts w:ascii="Times New Roman" w:hAnsi="Times New Roman" w:eastAsia="Times New Roman" w:cs="Times New Roman"/>
                <w:spacing w:val="-1"/>
                <w:sz w:val="24"/>
                <w:szCs w:val="24"/>
              </w:rPr>
              <w:t>3.4-2</w:t>
            </w:r>
            <w:r>
              <w:rPr>
                <w:spacing w:val="-1"/>
                <w:sz w:val="24"/>
                <w:szCs w:val="24"/>
              </w:rPr>
              <w:t>。施工过程噪声影响预测见表</w:t>
            </w:r>
            <w:r>
              <w:rPr>
                <w:spacing w:val="-57"/>
                <w:sz w:val="24"/>
                <w:szCs w:val="24"/>
              </w:rPr>
              <w:t xml:space="preserve"> </w:t>
            </w:r>
            <w:r>
              <w:rPr>
                <w:rFonts w:ascii="Times New Roman" w:hAnsi="Times New Roman" w:eastAsia="Times New Roman" w:cs="Times New Roman"/>
                <w:spacing w:val="-1"/>
                <w:sz w:val="24"/>
                <w:szCs w:val="24"/>
              </w:rPr>
              <w:t>4.2-3</w:t>
            </w:r>
            <w:r>
              <w:rPr>
                <w:spacing w:val="-1"/>
                <w:sz w:val="24"/>
                <w:szCs w:val="24"/>
              </w:rPr>
              <w:t>。</w:t>
            </w:r>
          </w:p>
          <w:p>
            <w:pPr>
              <w:pStyle w:val="6"/>
              <w:spacing w:before="194" w:line="220" w:lineRule="auto"/>
              <w:ind w:left="865"/>
              <w:rPr>
                <w:sz w:val="24"/>
                <w:szCs w:val="24"/>
              </w:rPr>
            </w:pPr>
            <w:r>
              <w:rPr>
                <w:spacing w:val="-3"/>
                <w:sz w:val="24"/>
                <w:szCs w:val="24"/>
                <w14:textOutline w14:w="4354" w14:cap="flat" w14:cmpd="sng">
                  <w14:solidFill>
                    <w14:srgbClr w14:val="000000"/>
                  </w14:solidFill>
                  <w14:prstDash w14:val="solid"/>
                  <w14:miter w14:val="10"/>
                </w14:textOutline>
              </w:rPr>
              <w:t>表</w:t>
            </w:r>
            <w:r>
              <w:rPr>
                <w:spacing w:val="-38"/>
                <w:sz w:val="24"/>
                <w:szCs w:val="24"/>
              </w:rPr>
              <w:t xml:space="preserve"> </w:t>
            </w:r>
            <w:r>
              <w:rPr>
                <w:rFonts w:ascii="Times New Roman" w:hAnsi="Times New Roman" w:eastAsia="Times New Roman" w:cs="Times New Roman"/>
                <w:b/>
                <w:bCs/>
                <w:spacing w:val="-3"/>
                <w:sz w:val="24"/>
                <w:szCs w:val="24"/>
              </w:rPr>
              <w:t xml:space="preserve">4.2-3    </w:t>
            </w:r>
            <w:r>
              <w:rPr>
                <w:spacing w:val="-3"/>
                <w:sz w:val="24"/>
                <w:szCs w:val="24"/>
                <w14:textOutline w14:w="4354" w14:cap="flat" w14:cmpd="sng">
                  <w14:solidFill>
                    <w14:srgbClr w14:val="000000"/>
                  </w14:solidFill>
                  <w14:prstDash w14:val="solid"/>
                  <w14:miter w14:val="10"/>
                </w14:textOutline>
              </w:rPr>
              <w:t>钻前工程施工对敏感目标影响预测（昼间）</w:t>
            </w:r>
            <w:r>
              <w:rPr>
                <w:spacing w:val="-3"/>
                <w:sz w:val="24"/>
                <w:szCs w:val="24"/>
              </w:rPr>
              <w:t xml:space="preserve">   </w:t>
            </w:r>
            <w:r>
              <w:rPr>
                <w:spacing w:val="-3"/>
                <w:sz w:val="24"/>
                <w:szCs w:val="24"/>
                <w14:textOutline w14:w="4354" w14:cap="flat" w14:cmpd="sng">
                  <w14:solidFill>
                    <w14:srgbClr w14:val="000000"/>
                  </w14:solidFill>
                  <w14:prstDash w14:val="solid"/>
                  <w14:miter w14:val="10"/>
                </w14:textOutline>
              </w:rPr>
              <w:t>单位：</w:t>
            </w:r>
            <w:r>
              <w:rPr>
                <w:spacing w:val="-3"/>
                <w:sz w:val="24"/>
                <w:szCs w:val="24"/>
              </w:rPr>
              <w:t xml:space="preserve"> </w:t>
            </w:r>
            <w:r>
              <w:rPr>
                <w:rFonts w:ascii="Times New Roman" w:hAnsi="Times New Roman" w:eastAsia="Times New Roman" w:cs="Times New Roman"/>
                <w:b/>
                <w:bCs/>
                <w:spacing w:val="-3"/>
                <w:sz w:val="24"/>
                <w:szCs w:val="24"/>
              </w:rPr>
              <w:t>dB</w:t>
            </w: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A</w:t>
            </w:r>
            <w:r>
              <w:rPr>
                <w:spacing w:val="-3"/>
                <w:sz w:val="24"/>
                <w:szCs w:val="24"/>
                <w14:textOutline w14:w="4354" w14:cap="flat" w14:cmpd="sng">
                  <w14:solidFill>
                    <w14:srgbClr w14:val="000000"/>
                  </w14:solidFill>
                  <w14:prstDash w14:val="solid"/>
                  <w14:miter w14:val="10"/>
                </w14:textOutline>
              </w:rPr>
              <w:t>）</w:t>
            </w:r>
          </w:p>
          <w:p>
            <w:pPr>
              <w:spacing w:line="17"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36"/>
              <w:gridCol w:w="933"/>
              <w:gridCol w:w="940"/>
              <w:gridCol w:w="938"/>
              <w:gridCol w:w="1111"/>
              <w:gridCol w:w="1358"/>
              <w:gridCol w:w="1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42" w:type="dxa"/>
                  <w:vAlign w:val="top"/>
                </w:tcPr>
                <w:p>
                  <w:pPr>
                    <w:pStyle w:val="6"/>
                    <w:spacing w:before="34" w:line="223" w:lineRule="auto"/>
                    <w:ind w:left="461" w:right="135" w:hanging="310"/>
                    <w:rPr>
                      <w:sz w:val="21"/>
                      <w:szCs w:val="21"/>
                    </w:rPr>
                  </w:pPr>
                  <w:r>
                    <w:rPr>
                      <w:spacing w:val="-2"/>
                      <w:sz w:val="21"/>
                      <w:szCs w:val="21"/>
                    </w:rPr>
                    <w:t>声环境保护目</w:t>
                  </w:r>
                  <w:r>
                    <w:rPr>
                      <w:spacing w:val="1"/>
                      <w:sz w:val="21"/>
                      <w:szCs w:val="21"/>
                    </w:rPr>
                    <w:t xml:space="preserve"> </w:t>
                  </w:r>
                  <w:r>
                    <w:rPr>
                      <w:spacing w:val="-2"/>
                      <w:sz w:val="21"/>
                      <w:szCs w:val="21"/>
                    </w:rPr>
                    <w:t>标名称</w:t>
                  </w:r>
                </w:p>
              </w:tc>
              <w:tc>
                <w:tcPr>
                  <w:tcW w:w="936" w:type="dxa"/>
                  <w:vAlign w:val="top"/>
                </w:tcPr>
                <w:p>
                  <w:pPr>
                    <w:pStyle w:val="6"/>
                    <w:spacing w:before="170" w:line="221" w:lineRule="auto"/>
                    <w:ind w:left="158"/>
                    <w:rPr>
                      <w:sz w:val="21"/>
                      <w:szCs w:val="21"/>
                    </w:rPr>
                  </w:pPr>
                  <w:r>
                    <w:rPr>
                      <w:spacing w:val="-2"/>
                      <w:sz w:val="21"/>
                      <w:szCs w:val="21"/>
                    </w:rPr>
                    <w:t>背景值</w:t>
                  </w:r>
                </w:p>
              </w:tc>
              <w:tc>
                <w:tcPr>
                  <w:tcW w:w="933" w:type="dxa"/>
                  <w:vAlign w:val="top"/>
                </w:tcPr>
                <w:p>
                  <w:pPr>
                    <w:pStyle w:val="6"/>
                    <w:spacing w:before="170" w:line="221" w:lineRule="auto"/>
                    <w:ind w:left="157"/>
                    <w:rPr>
                      <w:sz w:val="21"/>
                      <w:szCs w:val="21"/>
                    </w:rPr>
                  </w:pPr>
                  <w:r>
                    <w:rPr>
                      <w:spacing w:val="-2"/>
                      <w:sz w:val="21"/>
                      <w:szCs w:val="21"/>
                    </w:rPr>
                    <w:t>现状值</w:t>
                  </w:r>
                </w:p>
              </w:tc>
              <w:tc>
                <w:tcPr>
                  <w:tcW w:w="940" w:type="dxa"/>
                  <w:vAlign w:val="top"/>
                </w:tcPr>
                <w:p>
                  <w:pPr>
                    <w:pStyle w:val="6"/>
                    <w:spacing w:before="170" w:line="221" w:lineRule="auto"/>
                    <w:ind w:left="162"/>
                    <w:rPr>
                      <w:sz w:val="21"/>
                      <w:szCs w:val="21"/>
                    </w:rPr>
                  </w:pPr>
                  <w:r>
                    <w:rPr>
                      <w:spacing w:val="-2"/>
                      <w:sz w:val="21"/>
                      <w:szCs w:val="21"/>
                    </w:rPr>
                    <w:t>标准值</w:t>
                  </w:r>
                </w:p>
              </w:tc>
              <w:tc>
                <w:tcPr>
                  <w:tcW w:w="938" w:type="dxa"/>
                  <w:vAlign w:val="top"/>
                </w:tcPr>
                <w:p>
                  <w:pPr>
                    <w:pStyle w:val="6"/>
                    <w:spacing w:before="170" w:line="221" w:lineRule="auto"/>
                    <w:ind w:left="162"/>
                    <w:rPr>
                      <w:sz w:val="21"/>
                      <w:szCs w:val="21"/>
                    </w:rPr>
                  </w:pPr>
                  <w:r>
                    <w:rPr>
                      <w:spacing w:val="-2"/>
                      <w:sz w:val="21"/>
                      <w:szCs w:val="21"/>
                    </w:rPr>
                    <w:t>贡献值</w:t>
                  </w:r>
                </w:p>
              </w:tc>
              <w:tc>
                <w:tcPr>
                  <w:tcW w:w="1111" w:type="dxa"/>
                  <w:vAlign w:val="top"/>
                </w:tcPr>
                <w:p>
                  <w:pPr>
                    <w:pStyle w:val="6"/>
                    <w:spacing w:before="170" w:line="221" w:lineRule="auto"/>
                    <w:ind w:left="248"/>
                    <w:rPr>
                      <w:sz w:val="21"/>
                      <w:szCs w:val="21"/>
                    </w:rPr>
                  </w:pPr>
                  <w:r>
                    <w:rPr>
                      <w:spacing w:val="-2"/>
                      <w:sz w:val="21"/>
                      <w:szCs w:val="21"/>
                    </w:rPr>
                    <w:t>预测值</w:t>
                  </w:r>
                </w:p>
              </w:tc>
              <w:tc>
                <w:tcPr>
                  <w:tcW w:w="1358" w:type="dxa"/>
                  <w:tcBorders>
                    <w:right w:val="single" w:color="000000" w:sz="4" w:space="0"/>
                  </w:tcBorders>
                  <w:vAlign w:val="top"/>
                </w:tcPr>
                <w:p>
                  <w:pPr>
                    <w:pStyle w:val="6"/>
                    <w:spacing w:before="170" w:line="221" w:lineRule="auto"/>
                    <w:ind w:left="160"/>
                    <w:rPr>
                      <w:sz w:val="21"/>
                      <w:szCs w:val="21"/>
                    </w:rPr>
                  </w:pPr>
                  <w:r>
                    <w:rPr>
                      <w:spacing w:val="-1"/>
                      <w:sz w:val="21"/>
                      <w:szCs w:val="21"/>
                    </w:rPr>
                    <w:t>较现状增量</w:t>
                  </w:r>
                </w:p>
              </w:tc>
              <w:tc>
                <w:tcPr>
                  <w:tcW w:w="1411" w:type="dxa"/>
                  <w:tcBorders>
                    <w:left w:val="single" w:color="000000" w:sz="4" w:space="0"/>
                  </w:tcBorders>
                  <w:vAlign w:val="top"/>
                </w:tcPr>
                <w:p>
                  <w:pPr>
                    <w:pStyle w:val="6"/>
                    <w:spacing w:before="171" w:line="221" w:lineRule="auto"/>
                    <w:ind w:left="182"/>
                    <w:rPr>
                      <w:sz w:val="21"/>
                      <w:szCs w:val="21"/>
                    </w:rPr>
                  </w:pPr>
                  <w:r>
                    <w:rPr>
                      <w:spacing w:val="-1"/>
                      <w:sz w:val="21"/>
                      <w:szCs w:val="21"/>
                    </w:rPr>
                    <w:t>达标性判定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542" w:type="dxa"/>
                  <w:vAlign w:val="top"/>
                </w:tcPr>
                <w:p>
                  <w:pPr>
                    <w:pStyle w:val="6"/>
                    <w:spacing w:before="46" w:line="218" w:lineRule="auto"/>
                    <w:ind w:left="352"/>
                    <w:rPr>
                      <w:sz w:val="21"/>
                      <w:szCs w:val="21"/>
                    </w:rPr>
                  </w:pPr>
                  <w:r>
                    <w:rPr>
                      <w:rFonts w:ascii="Times New Roman" w:hAnsi="Times New Roman" w:eastAsia="Times New Roman" w:cs="Times New Roman"/>
                      <w:spacing w:val="-1"/>
                      <w:sz w:val="21"/>
                      <w:szCs w:val="21"/>
                    </w:rPr>
                    <w:t>2#</w:t>
                  </w:r>
                  <w:r>
                    <w:rPr>
                      <w:spacing w:val="-1"/>
                      <w:sz w:val="21"/>
                      <w:szCs w:val="21"/>
                    </w:rPr>
                    <w:t>居民点</w:t>
                  </w:r>
                </w:p>
              </w:tc>
              <w:tc>
                <w:tcPr>
                  <w:tcW w:w="936" w:type="dxa"/>
                  <w:vAlign w:val="top"/>
                </w:tcPr>
                <w:p>
                  <w:pPr>
                    <w:spacing w:before="84"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33" w:type="dxa"/>
                  <w:vAlign w:val="top"/>
                </w:tcPr>
                <w:p>
                  <w:pPr>
                    <w:spacing w:before="84"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40" w:type="dxa"/>
                  <w:vAlign w:val="top"/>
                </w:tcPr>
                <w:p>
                  <w:pPr>
                    <w:spacing w:before="8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38" w:type="dxa"/>
                  <w:vAlign w:val="top"/>
                </w:tcPr>
                <w:p>
                  <w:pPr>
                    <w:spacing w:before="84"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50.99</w:t>
                  </w:r>
                </w:p>
              </w:tc>
              <w:tc>
                <w:tcPr>
                  <w:tcW w:w="1111" w:type="dxa"/>
                  <w:vAlign w:val="top"/>
                </w:tcPr>
                <w:p>
                  <w:pPr>
                    <w:spacing w:before="84"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55.76</w:t>
                  </w:r>
                </w:p>
              </w:tc>
              <w:tc>
                <w:tcPr>
                  <w:tcW w:w="1358" w:type="dxa"/>
                  <w:tcBorders>
                    <w:right w:val="single" w:color="000000" w:sz="4" w:space="0"/>
                  </w:tcBorders>
                  <w:vAlign w:val="top"/>
                </w:tcPr>
                <w:p>
                  <w:pPr>
                    <w:spacing w:before="84" w:line="187" w:lineRule="auto"/>
                    <w:ind w:left="51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1.45</w:t>
                  </w:r>
                </w:p>
              </w:tc>
              <w:tc>
                <w:tcPr>
                  <w:tcW w:w="1411" w:type="dxa"/>
                  <w:tcBorders>
                    <w:left w:val="single" w:color="000000" w:sz="4" w:space="0"/>
                  </w:tcBorders>
                  <w:vAlign w:val="top"/>
                </w:tcPr>
                <w:p>
                  <w:pPr>
                    <w:pStyle w:val="6"/>
                    <w:spacing w:before="46" w:line="218" w:lineRule="auto"/>
                    <w:ind w:left="49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542" w:type="dxa"/>
                  <w:vAlign w:val="top"/>
                </w:tcPr>
                <w:p>
                  <w:pPr>
                    <w:pStyle w:val="6"/>
                    <w:spacing w:before="44" w:line="217" w:lineRule="auto"/>
                    <w:ind w:left="356"/>
                    <w:rPr>
                      <w:sz w:val="21"/>
                      <w:szCs w:val="21"/>
                    </w:rPr>
                  </w:pPr>
                  <w:r>
                    <w:rPr>
                      <w:rFonts w:ascii="Times New Roman" w:hAnsi="Times New Roman" w:eastAsia="Times New Roman" w:cs="Times New Roman"/>
                      <w:spacing w:val="-2"/>
                      <w:sz w:val="21"/>
                      <w:szCs w:val="21"/>
                    </w:rPr>
                    <w:t>3#</w:t>
                  </w:r>
                  <w:r>
                    <w:rPr>
                      <w:spacing w:val="-2"/>
                      <w:sz w:val="21"/>
                      <w:szCs w:val="21"/>
                    </w:rPr>
                    <w:t>居民点</w:t>
                  </w:r>
                </w:p>
              </w:tc>
              <w:tc>
                <w:tcPr>
                  <w:tcW w:w="936" w:type="dxa"/>
                  <w:vAlign w:val="top"/>
                </w:tcPr>
                <w:p>
                  <w:pPr>
                    <w:spacing w:before="82"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33" w:type="dxa"/>
                  <w:vAlign w:val="top"/>
                </w:tcPr>
                <w:p>
                  <w:pPr>
                    <w:spacing w:before="82"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40" w:type="dxa"/>
                  <w:vAlign w:val="top"/>
                </w:tcPr>
                <w:p>
                  <w:pPr>
                    <w:spacing w:before="8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38" w:type="dxa"/>
                  <w:vAlign w:val="top"/>
                </w:tcPr>
                <w:p>
                  <w:pPr>
                    <w:spacing w:before="82"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51.01</w:t>
                  </w:r>
                </w:p>
              </w:tc>
              <w:tc>
                <w:tcPr>
                  <w:tcW w:w="1111" w:type="dxa"/>
                  <w:vAlign w:val="top"/>
                </w:tcPr>
                <w:p>
                  <w:pPr>
                    <w:spacing w:before="85" w:line="184"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55.77</w:t>
                  </w:r>
                </w:p>
              </w:tc>
              <w:tc>
                <w:tcPr>
                  <w:tcW w:w="1358" w:type="dxa"/>
                  <w:tcBorders>
                    <w:right w:val="single" w:color="000000" w:sz="4" w:space="0"/>
                  </w:tcBorders>
                  <w:vAlign w:val="top"/>
                </w:tcPr>
                <w:p>
                  <w:pPr>
                    <w:spacing w:before="82" w:line="187" w:lineRule="auto"/>
                    <w:ind w:left="51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1.46</w:t>
                  </w:r>
                </w:p>
              </w:tc>
              <w:tc>
                <w:tcPr>
                  <w:tcW w:w="1411" w:type="dxa"/>
                  <w:tcBorders>
                    <w:left w:val="single" w:color="000000" w:sz="4" w:space="0"/>
                  </w:tcBorders>
                  <w:vAlign w:val="top"/>
                </w:tcPr>
                <w:p>
                  <w:pPr>
                    <w:pStyle w:val="6"/>
                    <w:spacing w:before="44" w:line="217" w:lineRule="auto"/>
                    <w:ind w:left="497"/>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42" w:type="dxa"/>
                  <w:vAlign w:val="top"/>
                </w:tcPr>
                <w:p>
                  <w:pPr>
                    <w:pStyle w:val="6"/>
                    <w:spacing w:before="45" w:line="220" w:lineRule="auto"/>
                    <w:ind w:left="360"/>
                    <w:rPr>
                      <w:sz w:val="21"/>
                      <w:szCs w:val="21"/>
                    </w:rPr>
                  </w:pPr>
                  <w:r>
                    <w:rPr>
                      <w:rFonts w:ascii="Times New Roman" w:hAnsi="Times New Roman" w:eastAsia="Times New Roman" w:cs="Times New Roman"/>
                      <w:spacing w:val="-2"/>
                      <w:sz w:val="21"/>
                      <w:szCs w:val="21"/>
                    </w:rPr>
                    <w:t>8#</w:t>
                  </w:r>
                  <w:r>
                    <w:rPr>
                      <w:spacing w:val="-2"/>
                      <w:sz w:val="21"/>
                      <w:szCs w:val="21"/>
                    </w:rPr>
                    <w:t>居民点</w:t>
                  </w:r>
                </w:p>
              </w:tc>
              <w:tc>
                <w:tcPr>
                  <w:tcW w:w="936" w:type="dxa"/>
                  <w:vAlign w:val="top"/>
                </w:tcPr>
                <w:p>
                  <w:pPr>
                    <w:spacing w:before="87"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33" w:type="dxa"/>
                  <w:vAlign w:val="top"/>
                </w:tcPr>
                <w:p>
                  <w:pPr>
                    <w:spacing w:before="87"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40" w:type="dxa"/>
                  <w:vAlign w:val="top"/>
                </w:tcPr>
                <w:p>
                  <w:pPr>
                    <w:spacing w:before="87"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38" w:type="dxa"/>
                  <w:vAlign w:val="top"/>
                </w:tcPr>
                <w:p>
                  <w:pPr>
                    <w:spacing w:before="87"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48.41</w:t>
                  </w:r>
                </w:p>
              </w:tc>
              <w:tc>
                <w:tcPr>
                  <w:tcW w:w="1111" w:type="dxa"/>
                  <w:vAlign w:val="top"/>
                </w:tcPr>
                <w:p>
                  <w:pPr>
                    <w:spacing w:before="8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55.06</w:t>
                  </w:r>
                </w:p>
              </w:tc>
              <w:tc>
                <w:tcPr>
                  <w:tcW w:w="1358" w:type="dxa"/>
                  <w:tcBorders>
                    <w:right w:val="single" w:color="000000" w:sz="4" w:space="0"/>
                  </w:tcBorders>
                  <w:vAlign w:val="top"/>
                </w:tcPr>
                <w:p>
                  <w:pPr>
                    <w:spacing w:before="87"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w:t>
                  </w:r>
                </w:p>
              </w:tc>
              <w:tc>
                <w:tcPr>
                  <w:tcW w:w="1411" w:type="dxa"/>
                  <w:tcBorders>
                    <w:left w:val="single" w:color="000000" w:sz="4" w:space="0"/>
                  </w:tcBorders>
                  <w:vAlign w:val="top"/>
                </w:tcPr>
                <w:p>
                  <w:pPr>
                    <w:pStyle w:val="6"/>
                    <w:spacing w:before="45" w:line="220" w:lineRule="auto"/>
                    <w:ind w:left="497"/>
                    <w:rPr>
                      <w:sz w:val="21"/>
                      <w:szCs w:val="21"/>
                    </w:rPr>
                  </w:pPr>
                  <w:r>
                    <w:rPr>
                      <w:spacing w:val="-2"/>
                      <w:sz w:val="21"/>
                      <w:szCs w:val="21"/>
                    </w:rPr>
                    <w:t>达标</w:t>
                  </w:r>
                </w:p>
              </w:tc>
            </w:tr>
          </w:tbl>
          <w:p>
            <w:pPr>
              <w:spacing w:line="339" w:lineRule="auto"/>
              <w:rPr>
                <w:rFonts w:ascii="Arial"/>
                <w:sz w:val="21"/>
              </w:rPr>
            </w:pPr>
          </w:p>
          <w:p>
            <w:pPr>
              <w:pStyle w:val="6"/>
              <w:spacing w:before="78" w:line="220" w:lineRule="auto"/>
              <w:ind w:left="1727"/>
              <w:rPr>
                <w:sz w:val="24"/>
                <w:szCs w:val="24"/>
              </w:rPr>
            </w:pPr>
            <w:r>
              <w:rPr>
                <w:spacing w:val="-1"/>
                <w:sz w:val="24"/>
                <w:szCs w:val="24"/>
                <w14:textOutline w14:w="4354" w14:cap="flat" w14:cmpd="sng">
                  <w14:solidFill>
                    <w14:srgbClr w14:val="000000"/>
                  </w14:solidFill>
                  <w14:prstDash w14:val="solid"/>
                  <w14:miter w14:val="10"/>
                </w14:textOutline>
              </w:rPr>
              <w:t>图</w:t>
            </w:r>
            <w:r>
              <w:rPr>
                <w:spacing w:val="-44"/>
                <w:sz w:val="24"/>
                <w:szCs w:val="24"/>
              </w:rPr>
              <w:t xml:space="preserve"> </w:t>
            </w:r>
            <w:r>
              <w:rPr>
                <w:rFonts w:ascii="Times New Roman" w:hAnsi="Times New Roman" w:eastAsia="Times New Roman" w:cs="Times New Roman"/>
                <w:b/>
                <w:bCs/>
                <w:spacing w:val="-1"/>
                <w:sz w:val="24"/>
                <w:szCs w:val="24"/>
              </w:rPr>
              <w:t xml:space="preserve">4.2-1  </w:t>
            </w:r>
            <w:r>
              <w:rPr>
                <w:spacing w:val="-1"/>
                <w:sz w:val="24"/>
                <w:szCs w:val="24"/>
                <w14:textOutline w14:w="4354" w14:cap="flat" w14:cmpd="sng">
                  <w14:solidFill>
                    <w14:srgbClr w14:val="000000"/>
                  </w14:solidFill>
                  <w14:prstDash w14:val="solid"/>
                  <w14:miter w14:val="10"/>
                </w14:textOutline>
              </w:rPr>
              <w:t>项目钻前工程施工对敏感目标贡献值等声值线图</w:t>
            </w:r>
          </w:p>
          <w:p>
            <w:pPr>
              <w:pStyle w:val="6"/>
              <w:spacing w:before="198" w:line="369" w:lineRule="auto"/>
              <w:ind w:left="106" w:right="17" w:firstLine="481"/>
              <w:rPr>
                <w:sz w:val="24"/>
                <w:szCs w:val="24"/>
              </w:rPr>
            </w:pPr>
            <w:r>
              <w:rPr>
                <w:spacing w:val="-1"/>
                <w:sz w:val="24"/>
                <w:szCs w:val="24"/>
              </w:rPr>
              <w:t xml:space="preserve">根据上表预测情况，本项目昼间钻前施工过程对周边 </w:t>
            </w:r>
            <w:r>
              <w:rPr>
                <w:rFonts w:ascii="Times New Roman" w:hAnsi="Times New Roman" w:eastAsia="Times New Roman" w:cs="Times New Roman"/>
                <w:spacing w:val="-1"/>
                <w:sz w:val="24"/>
                <w:szCs w:val="24"/>
              </w:rPr>
              <w:t xml:space="preserve">200m  </w:t>
            </w:r>
            <w:r>
              <w:rPr>
                <w:spacing w:val="-1"/>
                <w:sz w:val="24"/>
                <w:szCs w:val="24"/>
              </w:rPr>
              <w:t>范围内居民的噪声预测 值能满足《声环境质量标准》（</w:t>
            </w:r>
            <w:r>
              <w:rPr>
                <w:rFonts w:ascii="Times New Roman" w:hAnsi="Times New Roman" w:eastAsia="Times New Roman" w:cs="Times New Roman"/>
                <w:spacing w:val="-1"/>
                <w:sz w:val="24"/>
                <w:szCs w:val="24"/>
              </w:rPr>
              <w:t>GB3096-2008</w:t>
            </w:r>
            <w:r>
              <w:rPr>
                <w:spacing w:val="-1"/>
                <w:sz w:val="24"/>
                <w:szCs w:val="24"/>
              </w:rPr>
              <w:t>）中</w:t>
            </w:r>
            <w:r>
              <w:rPr>
                <w:spacing w:val="32"/>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类标准，噪声</w:t>
            </w:r>
            <w:r>
              <w:rPr>
                <w:spacing w:val="-2"/>
                <w:sz w:val="24"/>
                <w:szCs w:val="24"/>
              </w:rPr>
              <w:t xml:space="preserve">将对井场周边居民点 </w:t>
            </w:r>
            <w:r>
              <w:rPr>
                <w:spacing w:val="-5"/>
                <w:sz w:val="24"/>
                <w:szCs w:val="24"/>
              </w:rPr>
              <w:t>产生的影响较小；且钻前施工全部在昼间进行， 夜间不施工， 故夜间不会对</w:t>
            </w:r>
            <w:r>
              <w:rPr>
                <w:spacing w:val="-6"/>
                <w:sz w:val="24"/>
                <w:szCs w:val="24"/>
              </w:rPr>
              <w:t xml:space="preserve">附近居民产 </w:t>
            </w:r>
            <w:r>
              <w:rPr>
                <w:spacing w:val="1"/>
                <w:sz w:val="24"/>
                <w:szCs w:val="24"/>
              </w:rPr>
              <w:t>生影响。在钻前工程施工过程中，应尽量选择合理的施工时间，高</w:t>
            </w:r>
            <w:r>
              <w:rPr>
                <w:sz w:val="24"/>
                <w:szCs w:val="24"/>
              </w:rPr>
              <w:t xml:space="preserve">噪声设备作业可尽量 </w:t>
            </w:r>
            <w:r>
              <w:rPr>
                <w:spacing w:val="-15"/>
                <w:sz w:val="24"/>
                <w:szCs w:val="24"/>
              </w:rPr>
              <w:t>避开周边居民午间休息时间，</w:t>
            </w:r>
            <w:r>
              <w:rPr>
                <w:spacing w:val="62"/>
                <w:sz w:val="24"/>
                <w:szCs w:val="24"/>
              </w:rPr>
              <w:t xml:space="preserve"> </w:t>
            </w:r>
            <w:r>
              <w:rPr>
                <w:spacing w:val="-15"/>
                <w:sz w:val="24"/>
                <w:szCs w:val="24"/>
              </w:rPr>
              <w:t>最大限度的避免噪声扰民；</w:t>
            </w:r>
            <w:r>
              <w:rPr>
                <w:spacing w:val="67"/>
                <w:sz w:val="24"/>
                <w:szCs w:val="24"/>
              </w:rPr>
              <w:t xml:space="preserve"> </w:t>
            </w:r>
            <w:r>
              <w:rPr>
                <w:spacing w:val="-15"/>
                <w:sz w:val="24"/>
                <w:szCs w:val="24"/>
              </w:rPr>
              <w:t>同时， 各井场周围分布有树木、</w:t>
            </w:r>
            <w:r>
              <w:rPr>
                <w:sz w:val="24"/>
                <w:szCs w:val="24"/>
              </w:rPr>
              <w:t xml:space="preserve"> </w:t>
            </w:r>
            <w:r>
              <w:rPr>
                <w:spacing w:val="-5"/>
                <w:sz w:val="24"/>
                <w:szCs w:val="24"/>
              </w:rPr>
              <w:t>山体等自然声屏障， 对噪声的传播会起到一定的阻隔作用；另外， 本次钻井</w:t>
            </w:r>
            <w:r>
              <w:rPr>
                <w:spacing w:val="-6"/>
                <w:sz w:val="24"/>
                <w:szCs w:val="24"/>
              </w:rPr>
              <w:t xml:space="preserve">工程钻前工 </w:t>
            </w:r>
            <w:r>
              <w:rPr>
                <w:spacing w:val="-5"/>
                <w:sz w:val="24"/>
                <w:szCs w:val="24"/>
              </w:rPr>
              <w:t>程施工期较短， 且仅昼间施工， 施工噪声对环境影响程度有限，且周边居民</w:t>
            </w:r>
            <w:r>
              <w:rPr>
                <w:spacing w:val="-6"/>
                <w:sz w:val="24"/>
                <w:szCs w:val="24"/>
              </w:rPr>
              <w:t xml:space="preserve">分布较少， </w:t>
            </w:r>
            <w:r>
              <w:rPr>
                <w:spacing w:val="1"/>
                <w:sz w:val="24"/>
                <w:szCs w:val="24"/>
              </w:rPr>
              <w:t>施工噪声影响随施工的结束而消失，不会形成施工噪声的长期声环境影响，其环境影响</w:t>
            </w:r>
          </w:p>
          <w:p>
            <w:pPr>
              <w:pStyle w:val="6"/>
              <w:spacing w:line="219" w:lineRule="auto"/>
              <w:ind w:left="110"/>
              <w:rPr>
                <w:sz w:val="24"/>
                <w:szCs w:val="24"/>
              </w:rPr>
            </w:pPr>
            <w:r>
              <w:rPr>
                <w:spacing w:val="-3"/>
                <w:sz w:val="24"/>
                <w:szCs w:val="24"/>
              </w:rPr>
              <w:t>可控制在当地环境可接受范围内。</w:t>
            </w:r>
          </w:p>
          <w:p>
            <w:pPr>
              <w:pStyle w:val="6"/>
              <w:spacing w:before="229" w:line="220" w:lineRule="auto"/>
              <w:ind w:left="105"/>
              <w:rPr>
                <w:sz w:val="24"/>
                <w:szCs w:val="24"/>
              </w:rPr>
            </w:pPr>
            <w:r>
              <w:rPr>
                <w:rFonts w:ascii="Times New Roman" w:hAnsi="Times New Roman" w:eastAsia="Times New Roman" w:cs="Times New Roman"/>
                <w:b/>
                <w:bCs/>
                <w:spacing w:val="-3"/>
                <w:sz w:val="24"/>
                <w:szCs w:val="24"/>
              </w:rPr>
              <w:t>4.2.4</w:t>
            </w:r>
            <w:r>
              <w:rPr>
                <w:rFonts w:ascii="Times New Roman" w:hAnsi="Times New Roman" w:eastAsia="Times New Roman" w:cs="Times New Roman"/>
                <w:b/>
                <w:bCs/>
                <w:spacing w:val="30"/>
                <w:sz w:val="24"/>
                <w:szCs w:val="24"/>
              </w:rPr>
              <w:t xml:space="preserve"> </w:t>
            </w:r>
            <w:r>
              <w:rPr>
                <w:spacing w:val="-3"/>
                <w:sz w:val="24"/>
                <w:szCs w:val="24"/>
                <w14:textOutline w14:w="4354" w14:cap="flat" w14:cmpd="sng">
                  <w14:solidFill>
                    <w14:srgbClr w14:val="000000"/>
                  </w14:solidFill>
                  <w14:prstDash w14:val="solid"/>
                  <w14:miter w14:val="10"/>
                </w14:textOutline>
              </w:rPr>
              <w:t>固废</w:t>
            </w:r>
          </w:p>
          <w:p>
            <w:pPr>
              <w:pStyle w:val="6"/>
              <w:spacing w:before="201" w:line="480" w:lineRule="exact"/>
              <w:ind w:left="588"/>
              <w:rPr>
                <w:sz w:val="24"/>
                <w:szCs w:val="24"/>
              </w:rPr>
            </w:pPr>
            <w:r>
              <w:rPr>
                <w:spacing w:val="-1"/>
                <w:position w:val="18"/>
                <w:sz w:val="24"/>
                <w:szCs w:val="24"/>
              </w:rPr>
              <w:t>钻前施工产生的固体废物主要为基础开挖产生的土石方和施工人员的生</w:t>
            </w:r>
            <w:r>
              <w:rPr>
                <w:spacing w:val="-2"/>
                <w:position w:val="18"/>
                <w:sz w:val="24"/>
                <w:szCs w:val="24"/>
              </w:rPr>
              <w:t>活垃圾。</w:t>
            </w:r>
          </w:p>
          <w:p>
            <w:pPr>
              <w:pStyle w:val="6"/>
              <w:spacing w:line="217" w:lineRule="auto"/>
              <w:ind w:left="587"/>
              <w:rPr>
                <w:sz w:val="24"/>
                <w:szCs w:val="24"/>
              </w:rPr>
            </w:pPr>
            <w:r>
              <w:rPr>
                <w:spacing w:val="-2"/>
                <w:sz w:val="24"/>
                <w:szCs w:val="24"/>
              </w:rPr>
              <w:t>①土石方</w:t>
            </w:r>
          </w:p>
          <w:p>
            <w:pPr>
              <w:pStyle w:val="6"/>
              <w:spacing w:before="200" w:line="369" w:lineRule="auto"/>
              <w:ind w:left="109" w:right="104" w:firstLine="478"/>
              <w:rPr>
                <w:sz w:val="24"/>
                <w:szCs w:val="24"/>
              </w:rPr>
            </w:pPr>
            <w:r>
              <w:rPr>
                <w:spacing w:val="-3"/>
                <w:sz w:val="24"/>
                <w:szCs w:val="24"/>
              </w:rPr>
              <w:t>井场及井场道路开挖土石方</w:t>
            </w:r>
            <w:r>
              <w:rPr>
                <w:spacing w:val="-54"/>
                <w:sz w:val="24"/>
                <w:szCs w:val="24"/>
              </w:rPr>
              <w:t xml:space="preserve"> </w:t>
            </w:r>
            <w:r>
              <w:rPr>
                <w:rFonts w:ascii="Times New Roman" w:hAnsi="Times New Roman" w:eastAsia="Times New Roman" w:cs="Times New Roman"/>
                <w:spacing w:val="-3"/>
                <w:sz w:val="24"/>
                <w:szCs w:val="24"/>
              </w:rPr>
              <w:t>21530m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0"/>
                <w:w w:val="101"/>
                <w:position w:val="9"/>
                <w:sz w:val="16"/>
                <w:szCs w:val="16"/>
              </w:rPr>
              <w:t xml:space="preserve">  </w:t>
            </w:r>
            <w:r>
              <w:rPr>
                <w:spacing w:val="-3"/>
                <w:sz w:val="24"/>
                <w:szCs w:val="24"/>
              </w:rPr>
              <w:t>（</w:t>
            </w:r>
            <w:r>
              <w:rPr>
                <w:spacing w:val="-4"/>
                <w:sz w:val="24"/>
                <w:szCs w:val="24"/>
              </w:rPr>
              <w:t>包括耕植土</w:t>
            </w:r>
            <w:r>
              <w:rPr>
                <w:spacing w:val="-56"/>
                <w:sz w:val="24"/>
                <w:szCs w:val="24"/>
              </w:rPr>
              <w:t xml:space="preserve"> </w:t>
            </w:r>
            <w:r>
              <w:rPr>
                <w:rFonts w:ascii="Times New Roman" w:hAnsi="Times New Roman" w:eastAsia="Times New Roman" w:cs="Times New Roman"/>
                <w:spacing w:val="-4"/>
                <w:sz w:val="24"/>
                <w:szCs w:val="24"/>
              </w:rPr>
              <w:t>4751m</w:t>
            </w:r>
            <w:r>
              <w:rPr>
                <w:rFonts w:ascii="Times New Roman" w:hAnsi="Times New Roman" w:eastAsia="Times New Roman" w:cs="Times New Roman"/>
                <w:spacing w:val="-4"/>
                <w:position w:val="9"/>
                <w:sz w:val="16"/>
                <w:szCs w:val="16"/>
              </w:rPr>
              <w:t xml:space="preserve">3 </w:t>
            </w:r>
            <w:r>
              <w:rPr>
                <w:spacing w:val="-10"/>
                <w:sz w:val="24"/>
                <w:szCs w:val="24"/>
              </w:rPr>
              <w:t>），</w:t>
            </w:r>
            <w:r>
              <w:rPr>
                <w:spacing w:val="-4"/>
                <w:sz w:val="24"/>
                <w:szCs w:val="24"/>
              </w:rPr>
              <w:t>全部回填，无弃方产</w:t>
            </w:r>
            <w:r>
              <w:rPr>
                <w:sz w:val="24"/>
                <w:szCs w:val="24"/>
              </w:rPr>
              <w:t xml:space="preserve"> </w:t>
            </w:r>
            <w:r>
              <w:rPr>
                <w:spacing w:val="-3"/>
                <w:sz w:val="24"/>
                <w:szCs w:val="24"/>
              </w:rPr>
              <w:t>生。耕植土堆放区设置在井场外西北侧，临时占地约</w:t>
            </w:r>
            <w:r>
              <w:rPr>
                <w:spacing w:val="-55"/>
                <w:sz w:val="24"/>
                <w:szCs w:val="24"/>
              </w:rPr>
              <w:t xml:space="preserve"> </w:t>
            </w:r>
            <w:r>
              <w:rPr>
                <w:rFonts w:ascii="Times New Roman" w:hAnsi="Times New Roman" w:eastAsia="Times New Roman" w:cs="Times New Roman"/>
                <w:spacing w:val="-3"/>
                <w:sz w:val="24"/>
                <w:szCs w:val="24"/>
              </w:rPr>
              <w:t>2055m</w:t>
            </w:r>
            <w:r>
              <w:rPr>
                <w:rFonts w:ascii="Times New Roman" w:hAnsi="Times New Roman" w:eastAsia="Times New Roman" w:cs="Times New Roman"/>
                <w:spacing w:val="-3"/>
                <w:position w:val="9"/>
                <w:sz w:val="16"/>
                <w:szCs w:val="16"/>
              </w:rPr>
              <w:t>2</w:t>
            </w:r>
            <w:r>
              <w:rPr>
                <w:spacing w:val="-3"/>
                <w:sz w:val="24"/>
                <w:szCs w:val="24"/>
              </w:rPr>
              <w:t>，设计堆放高度</w:t>
            </w:r>
            <w:r>
              <w:rPr>
                <w:spacing w:val="-50"/>
                <w:sz w:val="24"/>
                <w:szCs w:val="24"/>
              </w:rPr>
              <w:t xml:space="preserve"> </w:t>
            </w:r>
            <w:r>
              <w:rPr>
                <w:rFonts w:ascii="Times New Roman" w:hAnsi="Times New Roman" w:eastAsia="Times New Roman" w:cs="Times New Roman"/>
                <w:spacing w:val="-3"/>
                <w:sz w:val="24"/>
                <w:szCs w:val="24"/>
              </w:rPr>
              <w:t>3.0m</w:t>
            </w:r>
            <w:r>
              <w:rPr>
                <w:spacing w:val="-3"/>
                <w:sz w:val="24"/>
                <w:szCs w:val="24"/>
              </w:rPr>
              <w:t>，耕植</w:t>
            </w:r>
            <w:r>
              <w:rPr>
                <w:sz w:val="24"/>
                <w:szCs w:val="24"/>
              </w:rPr>
              <w:t xml:space="preserve"> </w:t>
            </w:r>
            <w:r>
              <w:rPr>
                <w:spacing w:val="-7"/>
                <w:sz w:val="24"/>
                <w:szCs w:val="24"/>
              </w:rPr>
              <w:t>土对打堆放量约为</w:t>
            </w:r>
            <w:r>
              <w:rPr>
                <w:spacing w:val="-32"/>
                <w:sz w:val="24"/>
                <w:szCs w:val="24"/>
              </w:rPr>
              <w:t xml:space="preserve"> </w:t>
            </w:r>
            <w:r>
              <w:rPr>
                <w:rFonts w:ascii="Times New Roman" w:hAnsi="Times New Roman" w:eastAsia="Times New Roman" w:cs="Times New Roman"/>
                <w:spacing w:val="-7"/>
                <w:sz w:val="24"/>
                <w:szCs w:val="24"/>
              </w:rPr>
              <w:t>6165m</w:t>
            </w:r>
            <w:r>
              <w:rPr>
                <w:rFonts w:ascii="Times New Roman" w:hAnsi="Times New Roman" w:eastAsia="Times New Roman" w:cs="Times New Roman"/>
                <w:spacing w:val="-7"/>
                <w:position w:val="9"/>
                <w:sz w:val="16"/>
                <w:szCs w:val="16"/>
              </w:rPr>
              <w:t>3</w:t>
            </w:r>
            <w:r>
              <w:rPr>
                <w:rFonts w:ascii="Times New Roman" w:hAnsi="Times New Roman" w:eastAsia="Times New Roman" w:cs="Times New Roman"/>
                <w:spacing w:val="-10"/>
                <w:position w:val="9"/>
                <w:sz w:val="16"/>
                <w:szCs w:val="16"/>
              </w:rPr>
              <w:t xml:space="preserve"> </w:t>
            </w:r>
            <w:r>
              <w:rPr>
                <w:spacing w:val="-7"/>
                <w:sz w:val="24"/>
                <w:szCs w:val="24"/>
              </w:rPr>
              <w:t>，能够满足耕植土堆放需求。</w:t>
            </w:r>
            <w:r>
              <w:rPr>
                <w:spacing w:val="44"/>
                <w:sz w:val="24"/>
                <w:szCs w:val="24"/>
              </w:rPr>
              <w:t xml:space="preserve"> </w:t>
            </w:r>
            <w:r>
              <w:rPr>
                <w:spacing w:val="-7"/>
                <w:sz w:val="24"/>
                <w:szCs w:val="24"/>
              </w:rPr>
              <w:t>耕植土堆放区表面覆盖彩条布，</w:t>
            </w:r>
            <w:r>
              <w:rPr>
                <w:sz w:val="24"/>
                <w:szCs w:val="24"/>
              </w:rPr>
              <w:t xml:space="preserve"> </w:t>
            </w:r>
            <w:r>
              <w:rPr>
                <w:spacing w:val="-8"/>
                <w:sz w:val="24"/>
                <w:szCs w:val="24"/>
              </w:rPr>
              <w:t>待工程结束后， 将表土用于后期生态恢复， 最终做到土石方平衡； 井场土边坡区域、道</w:t>
            </w:r>
            <w:r>
              <w:rPr>
                <w:spacing w:val="7"/>
                <w:sz w:val="24"/>
                <w:szCs w:val="24"/>
              </w:rPr>
              <w:t xml:space="preserve"> </w:t>
            </w:r>
            <w:r>
              <w:rPr>
                <w:spacing w:val="-2"/>
                <w:sz w:val="24"/>
                <w:szCs w:val="24"/>
              </w:rPr>
              <w:t>路土边坡区域、耕植土堆放区在土建工程完工后，及时播撒草种， 防止地表水</w:t>
            </w:r>
            <w:r>
              <w:rPr>
                <w:spacing w:val="-3"/>
                <w:sz w:val="24"/>
                <w:szCs w:val="24"/>
              </w:rPr>
              <w:t>冲刷造成</w:t>
            </w:r>
          </w:p>
          <w:p>
            <w:pPr>
              <w:pStyle w:val="6"/>
              <w:spacing w:line="219" w:lineRule="auto"/>
              <w:ind w:left="111"/>
              <w:rPr>
                <w:sz w:val="24"/>
                <w:szCs w:val="24"/>
              </w:rPr>
            </w:pPr>
            <w:r>
              <w:rPr>
                <w:spacing w:val="-2"/>
                <w:sz w:val="24"/>
                <w:szCs w:val="24"/>
              </w:rPr>
              <w:t>水土流失和边坡失稳。</w:t>
            </w:r>
          </w:p>
        </w:tc>
      </w:tr>
    </w:tbl>
    <w:p>
      <w:pPr>
        <w:pStyle w:val="2"/>
        <w:rPr>
          <w:sz w:val="21"/>
        </w:rPr>
      </w:pPr>
    </w:p>
    <w:p>
      <w:pPr>
        <w:rPr>
          <w:sz w:val="21"/>
          <w:szCs w:val="21"/>
        </w:rPr>
        <w:sectPr>
          <w:footerReference r:id="rId98"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1"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2" w:line="217" w:lineRule="auto"/>
              <w:ind w:left="586"/>
              <w:rPr>
                <w:sz w:val="24"/>
                <w:szCs w:val="24"/>
              </w:rPr>
            </w:pPr>
            <w:r>
              <w:rPr>
                <w:spacing w:val="-2"/>
                <w:sz w:val="24"/>
                <w:szCs w:val="24"/>
              </w:rPr>
              <w:t>②生活垃圾</w:t>
            </w:r>
          </w:p>
          <w:p>
            <w:pPr>
              <w:pStyle w:val="6"/>
              <w:spacing w:before="198" w:line="369" w:lineRule="auto"/>
              <w:ind w:left="107" w:right="99" w:firstLine="479"/>
              <w:rPr>
                <w:sz w:val="24"/>
                <w:szCs w:val="24"/>
              </w:rPr>
            </w:pPr>
            <w:r>
              <w:rPr>
                <w:spacing w:val="-2"/>
                <w:sz w:val="24"/>
                <w:szCs w:val="24"/>
              </w:rPr>
              <w:t>施工人员多为临时聘请的当地民工，租住在附近农户中， 其产生的生</w:t>
            </w:r>
            <w:r>
              <w:rPr>
                <w:spacing w:val="-3"/>
                <w:sz w:val="24"/>
                <w:szCs w:val="24"/>
              </w:rPr>
              <w:t>活垃圾利用附</w:t>
            </w:r>
            <w:r>
              <w:rPr>
                <w:sz w:val="24"/>
                <w:szCs w:val="24"/>
              </w:rPr>
              <w:t xml:space="preserve"> </w:t>
            </w:r>
            <w:r>
              <w:rPr>
                <w:spacing w:val="-2"/>
                <w:sz w:val="24"/>
                <w:szCs w:val="24"/>
              </w:rPr>
              <w:t>近农户现有的设施进行收集处置。施工场地内生活垃圾产生量少， 钻前工程施工人</w:t>
            </w:r>
            <w:r>
              <w:rPr>
                <w:spacing w:val="-3"/>
                <w:sz w:val="24"/>
                <w:szCs w:val="24"/>
              </w:rPr>
              <w:t>员按</w:t>
            </w:r>
            <w:r>
              <w:rPr>
                <w:sz w:val="24"/>
                <w:szCs w:val="24"/>
              </w:rPr>
              <w:t xml:space="preserve"> </w:t>
            </w:r>
            <w:r>
              <w:rPr>
                <w:rFonts w:ascii="Times New Roman" w:hAnsi="Times New Roman" w:eastAsia="Times New Roman" w:cs="Times New Roman"/>
                <w:spacing w:val="-3"/>
                <w:sz w:val="24"/>
                <w:szCs w:val="24"/>
              </w:rPr>
              <w:t>30</w:t>
            </w:r>
            <w:r>
              <w:rPr>
                <w:rFonts w:ascii="Times New Roman" w:hAnsi="Times New Roman" w:eastAsia="Times New Roman" w:cs="Times New Roman"/>
                <w:spacing w:val="37"/>
                <w:sz w:val="24"/>
                <w:szCs w:val="24"/>
              </w:rPr>
              <w:t xml:space="preserve"> </w:t>
            </w:r>
            <w:r>
              <w:rPr>
                <w:spacing w:val="-3"/>
                <w:sz w:val="24"/>
                <w:szCs w:val="24"/>
              </w:rPr>
              <w:t>人</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25"/>
                <w:w w:val="101"/>
                <w:sz w:val="24"/>
                <w:szCs w:val="24"/>
              </w:rPr>
              <w:t xml:space="preserve"> </w:t>
            </w:r>
            <w:r>
              <w:rPr>
                <w:spacing w:val="-3"/>
                <w:sz w:val="24"/>
                <w:szCs w:val="24"/>
              </w:rPr>
              <w:t>计算，生活垃圾按</w:t>
            </w:r>
            <w:r>
              <w:rPr>
                <w:spacing w:val="-34"/>
                <w:sz w:val="24"/>
                <w:szCs w:val="24"/>
              </w:rPr>
              <w:t xml:space="preserve"> </w:t>
            </w:r>
            <w:r>
              <w:rPr>
                <w:rFonts w:ascii="Times New Roman" w:hAnsi="Times New Roman" w:eastAsia="Times New Roman" w:cs="Times New Roman"/>
                <w:spacing w:val="-3"/>
                <w:sz w:val="24"/>
                <w:szCs w:val="24"/>
              </w:rPr>
              <w:t>0.5kg/</w:t>
            </w:r>
            <w:r>
              <w:rPr>
                <w:spacing w:val="-3"/>
                <w:sz w:val="24"/>
                <w:szCs w:val="24"/>
              </w:rPr>
              <w:t>（人·</w:t>
            </w:r>
            <w:r>
              <w:rPr>
                <w:rFonts w:ascii="Times New Roman" w:hAnsi="Times New Roman" w:eastAsia="Times New Roman" w:cs="Times New Roman"/>
                <w:spacing w:val="-3"/>
                <w:sz w:val="24"/>
                <w:szCs w:val="24"/>
              </w:rPr>
              <w:t>d</w:t>
            </w:r>
            <w:r>
              <w:rPr>
                <w:spacing w:val="-3"/>
                <w:sz w:val="24"/>
                <w:szCs w:val="24"/>
              </w:rPr>
              <w:t xml:space="preserve">）计算，每日产生量约为 </w:t>
            </w:r>
            <w:r>
              <w:rPr>
                <w:rFonts w:ascii="Times New Roman" w:hAnsi="Times New Roman" w:eastAsia="Times New Roman" w:cs="Times New Roman"/>
                <w:spacing w:val="-3"/>
                <w:sz w:val="24"/>
                <w:szCs w:val="24"/>
              </w:rPr>
              <w:t>15kg</w:t>
            </w:r>
            <w:r>
              <w:rPr>
                <w:spacing w:val="-3"/>
                <w:sz w:val="24"/>
                <w:szCs w:val="24"/>
              </w:rPr>
              <w:t xml:space="preserve">，施工期按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6"/>
                <w:sz w:val="24"/>
                <w:szCs w:val="24"/>
              </w:rPr>
              <w:t xml:space="preserve"> </w:t>
            </w:r>
            <w:r>
              <w:rPr>
                <w:spacing w:val="-3"/>
                <w:sz w:val="24"/>
                <w:szCs w:val="24"/>
              </w:rPr>
              <w:t>个</w:t>
            </w:r>
          </w:p>
          <w:p>
            <w:pPr>
              <w:pStyle w:val="6"/>
              <w:spacing w:line="219" w:lineRule="auto"/>
              <w:ind w:left="114"/>
              <w:rPr>
                <w:sz w:val="24"/>
                <w:szCs w:val="24"/>
              </w:rPr>
            </w:pPr>
            <w:r>
              <w:rPr>
                <w:spacing w:val="-1"/>
                <w:sz w:val="24"/>
                <w:szCs w:val="24"/>
              </w:rPr>
              <w:t>月计，共产生量约</w:t>
            </w:r>
            <w:r>
              <w:rPr>
                <w:spacing w:val="-51"/>
                <w:sz w:val="24"/>
                <w:szCs w:val="24"/>
              </w:rPr>
              <w:t xml:space="preserve"> </w:t>
            </w:r>
            <w:r>
              <w:rPr>
                <w:rFonts w:ascii="Times New Roman" w:hAnsi="Times New Roman" w:eastAsia="Times New Roman" w:cs="Times New Roman"/>
                <w:spacing w:val="-1"/>
                <w:sz w:val="24"/>
                <w:szCs w:val="24"/>
              </w:rPr>
              <w:t>0.45t</w:t>
            </w:r>
            <w:r>
              <w:rPr>
                <w:spacing w:val="-1"/>
                <w:sz w:val="24"/>
                <w:szCs w:val="24"/>
              </w:rPr>
              <w:t>。设置垃圾箱收集</w:t>
            </w:r>
            <w:r>
              <w:rPr>
                <w:spacing w:val="-2"/>
                <w:sz w:val="24"/>
                <w:szCs w:val="24"/>
              </w:rPr>
              <w:t>，交当地环卫部门外运处置。</w:t>
            </w:r>
          </w:p>
          <w:p>
            <w:pPr>
              <w:pStyle w:val="6"/>
              <w:spacing w:before="227" w:line="220" w:lineRule="auto"/>
              <w:ind w:left="105"/>
              <w:rPr>
                <w:sz w:val="24"/>
                <w:szCs w:val="24"/>
              </w:rPr>
            </w:pPr>
            <w:r>
              <w:rPr>
                <w:rFonts w:ascii="Times New Roman" w:hAnsi="Times New Roman" w:eastAsia="Times New Roman" w:cs="Times New Roman"/>
                <w:b/>
                <w:bCs/>
                <w:sz w:val="24"/>
                <w:szCs w:val="24"/>
              </w:rPr>
              <w:t xml:space="preserve">4.3 </w:t>
            </w:r>
            <w:r>
              <w:rPr>
                <w:sz w:val="24"/>
                <w:szCs w:val="24"/>
                <w14:textOutline w14:w="4354" w14:cap="flat" w14:cmpd="sng">
                  <w14:solidFill>
                    <w14:srgbClr w14:val="000000"/>
                  </w14:solidFill>
                  <w14:prstDash w14:val="solid"/>
                  <w14:miter w14:val="10"/>
                </w14:textOutline>
              </w:rPr>
              <w:t>钻井工程产排污情况及环境影响分析</w:t>
            </w:r>
          </w:p>
          <w:p>
            <w:pPr>
              <w:pStyle w:val="6"/>
              <w:spacing w:before="233" w:line="220" w:lineRule="auto"/>
              <w:ind w:left="105"/>
              <w:rPr>
                <w:sz w:val="24"/>
                <w:szCs w:val="24"/>
              </w:rPr>
            </w:pPr>
            <w:r>
              <w:rPr>
                <w:rFonts w:ascii="Times New Roman" w:hAnsi="Times New Roman" w:eastAsia="Times New Roman" w:cs="Times New Roman"/>
                <w:b/>
                <w:bCs/>
                <w:sz w:val="24"/>
                <w:szCs w:val="24"/>
              </w:rPr>
              <w:t xml:space="preserve">4.3.1 </w:t>
            </w:r>
            <w:r>
              <w:rPr>
                <w:sz w:val="24"/>
                <w:szCs w:val="24"/>
                <w14:textOutline w14:w="4354" w14:cap="flat" w14:cmpd="sng">
                  <w14:solidFill>
                    <w14:srgbClr w14:val="000000"/>
                  </w14:solidFill>
                  <w14:prstDash w14:val="solid"/>
                  <w14:miter w14:val="10"/>
                </w14:textOutline>
              </w:rPr>
              <w:t>环境空气影响分析</w:t>
            </w:r>
          </w:p>
          <w:p>
            <w:pPr>
              <w:pStyle w:val="6"/>
              <w:spacing w:before="202" w:line="369" w:lineRule="auto"/>
              <w:ind w:left="128" w:right="106" w:firstLine="461"/>
              <w:jc w:val="both"/>
              <w:rPr>
                <w:sz w:val="24"/>
                <w:szCs w:val="24"/>
              </w:rPr>
            </w:pPr>
            <w:r>
              <w:rPr>
                <w:spacing w:val="1"/>
                <w:sz w:val="24"/>
                <w:szCs w:val="24"/>
              </w:rPr>
              <w:t>本项目为天然气钻井工程，不涉及后期的站场运营，因此大气环境影响为钻井期间 的施工机械、施工车辆产生的尾气，无运营</w:t>
            </w:r>
            <w:r>
              <w:rPr>
                <w:sz w:val="24"/>
                <w:szCs w:val="24"/>
              </w:rPr>
              <w:t>期污染物排放，项目废气主要包括备用柴油</w:t>
            </w:r>
          </w:p>
          <w:p>
            <w:pPr>
              <w:pStyle w:val="6"/>
              <w:spacing w:before="1" w:line="218" w:lineRule="auto"/>
              <w:ind w:left="112"/>
              <w:rPr>
                <w:sz w:val="24"/>
                <w:szCs w:val="24"/>
              </w:rPr>
            </w:pPr>
            <w:r>
              <w:rPr>
                <w:spacing w:val="-2"/>
                <w:sz w:val="24"/>
                <w:szCs w:val="24"/>
              </w:rPr>
              <w:t>发电机燃烧产生的废气、测试放喷和事故放喷废气等。</w:t>
            </w:r>
          </w:p>
          <w:p>
            <w:pPr>
              <w:pStyle w:val="6"/>
              <w:spacing w:before="196" w:line="219"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spacing w:val="-2"/>
                <w:sz w:val="24"/>
                <w:szCs w:val="24"/>
                <w14:textOutline w14:w="4354" w14:cap="flat" w14:cmpd="sng">
                  <w14:solidFill>
                    <w14:srgbClr w14:val="000000"/>
                  </w14:solidFill>
                  <w14:prstDash w14:val="solid"/>
                  <w14:miter w14:val="10"/>
                </w14:textOutline>
              </w:rPr>
              <w:t>）柴油机废气</w:t>
            </w:r>
          </w:p>
          <w:p>
            <w:pPr>
              <w:pStyle w:val="6"/>
              <w:spacing w:before="197" w:line="369" w:lineRule="auto"/>
              <w:ind w:left="107" w:right="99" w:firstLine="481"/>
              <w:jc w:val="both"/>
              <w:rPr>
                <w:sz w:val="24"/>
                <w:szCs w:val="24"/>
              </w:rPr>
            </w:pPr>
            <w:r>
              <w:rPr>
                <w:sz w:val="24"/>
                <w:szCs w:val="24"/>
              </w:rPr>
              <w:t>本项目采用</w:t>
            </w:r>
            <w:r>
              <w:rPr>
                <w:spacing w:val="-57"/>
                <w:sz w:val="24"/>
                <w:szCs w:val="24"/>
              </w:rPr>
              <w:t xml:space="preserve"> </w:t>
            </w:r>
            <w:r>
              <w:rPr>
                <w:rFonts w:ascii="Times New Roman" w:hAnsi="Times New Roman" w:eastAsia="Times New Roman" w:cs="Times New Roman"/>
                <w:sz w:val="24"/>
                <w:szCs w:val="24"/>
              </w:rPr>
              <w:t xml:space="preserve">ZJ80D </w:t>
            </w:r>
            <w:r>
              <w:rPr>
                <w:sz w:val="24"/>
                <w:szCs w:val="24"/>
              </w:rPr>
              <w:t>钻机钻井，钻井作业时，利用</w:t>
            </w:r>
            <w:r>
              <w:rPr>
                <w:spacing w:val="-1"/>
                <w:sz w:val="24"/>
                <w:szCs w:val="24"/>
              </w:rPr>
              <w:t>柴油机给钻机上的各种设备如泥浆</w:t>
            </w:r>
            <w:r>
              <w:rPr>
                <w:sz w:val="24"/>
                <w:szCs w:val="24"/>
              </w:rPr>
              <w:t xml:space="preserve"> </w:t>
            </w:r>
            <w:r>
              <w:rPr>
                <w:spacing w:val="1"/>
                <w:sz w:val="24"/>
                <w:szCs w:val="24"/>
              </w:rPr>
              <w:t>泵、天车、转盘等提供动力。柴油机为成套产品，有自带的尾气处理系统，其燃料燃烧</w:t>
            </w:r>
            <w:r>
              <w:rPr>
                <w:spacing w:val="8"/>
                <w:sz w:val="24"/>
                <w:szCs w:val="24"/>
              </w:rPr>
              <w:t xml:space="preserve"> </w:t>
            </w:r>
            <w:r>
              <w:rPr>
                <w:spacing w:val="-2"/>
                <w:sz w:val="24"/>
                <w:szCs w:val="24"/>
              </w:rPr>
              <w:t>会排放少量废气，主要污染物为</w:t>
            </w:r>
            <w:r>
              <w:rPr>
                <w:spacing w:val="-29"/>
                <w:sz w:val="24"/>
                <w:szCs w:val="24"/>
              </w:rPr>
              <w:t xml:space="preserve"> </w:t>
            </w:r>
            <w:r>
              <w:rPr>
                <w:rFonts w:ascii="Times New Roman" w:hAnsi="Times New Roman" w:eastAsia="Times New Roman" w:cs="Times New Roman"/>
                <w:spacing w:val="-2"/>
                <w:sz w:val="24"/>
                <w:szCs w:val="24"/>
              </w:rPr>
              <w:t>NOx</w:t>
            </w:r>
            <w:r>
              <w:rPr>
                <w:rFonts w:ascii="Times New Roman" w:hAnsi="Times New Roman" w:eastAsia="Times New Roman" w:cs="Times New Roman"/>
                <w:spacing w:val="-34"/>
                <w:sz w:val="24"/>
                <w:szCs w:val="24"/>
              </w:rPr>
              <w:t xml:space="preserve"> </w:t>
            </w:r>
            <w:r>
              <w:rPr>
                <w:spacing w:val="-2"/>
                <w:sz w:val="24"/>
                <w:szCs w:val="24"/>
              </w:rPr>
              <w:t>、</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4"/>
                <w:sz w:val="24"/>
                <w:szCs w:val="24"/>
              </w:rPr>
              <w:t xml:space="preserve"> </w:t>
            </w:r>
            <w:r>
              <w:rPr>
                <w:spacing w:val="-2"/>
                <w:sz w:val="24"/>
                <w:szCs w:val="24"/>
              </w:rPr>
              <w:t>、</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2"/>
                <w:position w:val="-1"/>
                <w:sz w:val="16"/>
                <w:szCs w:val="16"/>
              </w:rPr>
              <w:t>2</w:t>
            </w:r>
            <w:r>
              <w:rPr>
                <w:rFonts w:ascii="Times New Roman" w:hAnsi="Times New Roman" w:eastAsia="Times New Roman" w:cs="Times New Roman"/>
                <w:spacing w:val="-13"/>
                <w:position w:val="-1"/>
                <w:sz w:val="16"/>
                <w:szCs w:val="16"/>
              </w:rPr>
              <w:t xml:space="preserve"> </w:t>
            </w:r>
            <w:r>
              <w:rPr>
                <w:spacing w:val="-2"/>
                <w:sz w:val="24"/>
                <w:szCs w:val="24"/>
              </w:rPr>
              <w:t>、</w:t>
            </w:r>
            <w:r>
              <w:rPr>
                <w:rFonts w:ascii="Times New Roman" w:hAnsi="Times New Roman" w:eastAsia="Times New Roman" w:cs="Times New Roman"/>
                <w:spacing w:val="-3"/>
                <w:sz w:val="24"/>
                <w:szCs w:val="24"/>
              </w:rPr>
              <w:t>HC</w:t>
            </w:r>
            <w:r>
              <w:rPr>
                <w:rFonts w:ascii="Times New Roman" w:hAnsi="Times New Roman" w:eastAsia="Times New Roman" w:cs="Times New Roman"/>
                <w:spacing w:val="45"/>
                <w:sz w:val="24"/>
                <w:szCs w:val="24"/>
              </w:rPr>
              <w:t xml:space="preserve"> </w:t>
            </w:r>
            <w:r>
              <w:rPr>
                <w:spacing w:val="-3"/>
                <w:sz w:val="24"/>
                <w:szCs w:val="24"/>
              </w:rPr>
              <w:t>和少量烟尘等，进入大气中后将</w:t>
            </w:r>
            <w:r>
              <w:rPr>
                <w:sz w:val="24"/>
                <w:szCs w:val="24"/>
              </w:rPr>
              <w:t xml:space="preserve"> </w:t>
            </w:r>
            <w:r>
              <w:rPr>
                <w:spacing w:val="1"/>
                <w:sz w:val="24"/>
                <w:szCs w:val="24"/>
              </w:rPr>
              <w:t>很快被稀释，且其影响的持续时间较短，钻井期间的大气污染物将随钻井工程的结束而</w:t>
            </w:r>
          </w:p>
          <w:p>
            <w:pPr>
              <w:pStyle w:val="6"/>
              <w:spacing w:line="219" w:lineRule="auto"/>
              <w:ind w:left="113"/>
              <w:rPr>
                <w:sz w:val="24"/>
                <w:szCs w:val="24"/>
              </w:rPr>
            </w:pPr>
            <w:r>
              <w:rPr>
                <w:spacing w:val="-4"/>
                <w:sz w:val="24"/>
                <w:szCs w:val="24"/>
              </w:rPr>
              <w:t>消除，故对环境空气影响较小。</w:t>
            </w:r>
          </w:p>
          <w:p>
            <w:pPr>
              <w:pStyle w:val="6"/>
              <w:spacing w:before="196"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2</w:t>
            </w:r>
            <w:r>
              <w:rPr>
                <w:spacing w:val="-3"/>
                <w:sz w:val="24"/>
                <w:szCs w:val="24"/>
                <w14:textOutline w14:w="4354" w14:cap="flat" w14:cmpd="sng">
                  <w14:solidFill>
                    <w14:srgbClr w14:val="000000"/>
                  </w14:solidFill>
                  <w14:prstDash w14:val="solid"/>
                  <w14:miter w14:val="10"/>
                </w14:textOutline>
              </w:rPr>
              <w:t>）测试放喷废气</w:t>
            </w:r>
          </w:p>
          <w:p>
            <w:pPr>
              <w:pStyle w:val="6"/>
              <w:spacing w:before="194" w:line="369" w:lineRule="auto"/>
              <w:ind w:left="109" w:right="36" w:firstLine="478"/>
              <w:jc w:val="both"/>
              <w:rPr>
                <w:sz w:val="24"/>
                <w:szCs w:val="24"/>
              </w:rPr>
            </w:pPr>
            <w:r>
              <w:rPr>
                <w:spacing w:val="-7"/>
                <w:sz w:val="24"/>
                <w:szCs w:val="24"/>
              </w:rPr>
              <w:t>放喷废气来自测试放喷过程中天然气燃烧， 天然气采用空中燃烧可降低废气的毒性，</w:t>
            </w:r>
            <w:r>
              <w:rPr>
                <w:spacing w:val="14"/>
                <w:sz w:val="24"/>
                <w:szCs w:val="24"/>
              </w:rPr>
              <w:t xml:space="preserve"> </w:t>
            </w:r>
            <w:r>
              <w:rPr>
                <w:spacing w:val="-10"/>
                <w:sz w:val="24"/>
                <w:szCs w:val="24"/>
              </w:rPr>
              <w:t>测试放喷时间一般约</w:t>
            </w:r>
            <w:r>
              <w:rPr>
                <w:spacing w:val="-41"/>
                <w:sz w:val="24"/>
                <w:szCs w:val="24"/>
              </w:rPr>
              <w:t xml:space="preserve"> </w:t>
            </w:r>
            <w:r>
              <w:rPr>
                <w:rFonts w:ascii="Times New Roman" w:hAnsi="Times New Roman" w:eastAsia="Times New Roman" w:cs="Times New Roman"/>
                <w:spacing w:val="-10"/>
                <w:sz w:val="24"/>
                <w:szCs w:val="24"/>
              </w:rPr>
              <w:t>2~4h</w:t>
            </w:r>
            <w:r>
              <w:rPr>
                <w:spacing w:val="-10"/>
                <w:sz w:val="24"/>
                <w:szCs w:val="24"/>
              </w:rPr>
              <w:t>，属短期排放，</w:t>
            </w:r>
            <w:r>
              <w:rPr>
                <w:spacing w:val="56"/>
                <w:sz w:val="24"/>
                <w:szCs w:val="24"/>
              </w:rPr>
              <w:t xml:space="preserve"> </w:t>
            </w:r>
            <w:r>
              <w:rPr>
                <w:spacing w:val="-10"/>
                <w:sz w:val="24"/>
                <w:szCs w:val="24"/>
              </w:rPr>
              <w:t>将随测试放喷的结束而消失，</w:t>
            </w:r>
            <w:r>
              <w:rPr>
                <w:spacing w:val="58"/>
                <w:sz w:val="24"/>
                <w:szCs w:val="24"/>
              </w:rPr>
              <w:t xml:space="preserve"> </w:t>
            </w:r>
            <w:r>
              <w:rPr>
                <w:spacing w:val="-10"/>
                <w:sz w:val="24"/>
                <w:szCs w:val="24"/>
              </w:rPr>
              <w:t>通常因时间短而</w:t>
            </w:r>
          </w:p>
          <w:p>
            <w:pPr>
              <w:pStyle w:val="6"/>
              <w:spacing w:line="220" w:lineRule="auto"/>
              <w:ind w:left="107"/>
              <w:rPr>
                <w:sz w:val="24"/>
                <w:szCs w:val="24"/>
              </w:rPr>
            </w:pPr>
            <w:r>
              <w:rPr>
                <w:spacing w:val="-4"/>
                <w:sz w:val="24"/>
                <w:szCs w:val="24"/>
              </w:rPr>
              <w:t>视为非正常工况废气。</w:t>
            </w:r>
          </w:p>
          <w:p>
            <w:pPr>
              <w:pStyle w:val="6"/>
              <w:spacing w:before="194"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3</w:t>
            </w:r>
            <w:r>
              <w:rPr>
                <w:spacing w:val="-3"/>
                <w:sz w:val="24"/>
                <w:szCs w:val="24"/>
                <w14:textOutline w14:w="4354" w14:cap="flat" w14:cmpd="sng">
                  <w14:solidFill>
                    <w14:srgbClr w14:val="000000"/>
                  </w14:solidFill>
                  <w14:prstDash w14:val="solid"/>
                  <w14:miter w14:val="10"/>
                </w14:textOutline>
              </w:rPr>
              <w:t>）事故放喷废气</w:t>
            </w:r>
          </w:p>
          <w:p>
            <w:pPr>
              <w:pStyle w:val="6"/>
              <w:spacing w:before="195" w:line="369" w:lineRule="auto"/>
              <w:ind w:left="111" w:right="104" w:firstLine="477"/>
              <w:jc w:val="both"/>
              <w:rPr>
                <w:sz w:val="24"/>
                <w:szCs w:val="24"/>
              </w:rPr>
            </w:pPr>
            <w:r>
              <w:rPr>
                <w:spacing w:val="-2"/>
                <w:sz w:val="24"/>
                <w:szCs w:val="24"/>
              </w:rPr>
              <w:t>事故放喷是由于地层高压异常导致的，</w:t>
            </w:r>
            <w:r>
              <w:rPr>
                <w:spacing w:val="-11"/>
                <w:sz w:val="24"/>
                <w:szCs w:val="24"/>
              </w:rPr>
              <w:t xml:space="preserve"> </w:t>
            </w:r>
            <w:r>
              <w:rPr>
                <w:spacing w:val="-2"/>
                <w:sz w:val="24"/>
                <w:szCs w:val="24"/>
              </w:rPr>
              <w:t>在石油天然气行业是低概率事件，为非正常</w:t>
            </w:r>
            <w:r>
              <w:rPr>
                <w:sz w:val="24"/>
                <w:szCs w:val="24"/>
              </w:rPr>
              <w:t xml:space="preserve"> </w:t>
            </w:r>
            <w:r>
              <w:rPr>
                <w:spacing w:val="-3"/>
                <w:sz w:val="24"/>
                <w:szCs w:val="24"/>
              </w:rPr>
              <w:t xml:space="preserve">工况。事故放喷主产物是天然气燃烧后产生的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5"/>
                <w:position w:val="-1"/>
                <w:sz w:val="16"/>
                <w:szCs w:val="16"/>
              </w:rPr>
              <w:t xml:space="preserve"> </w:t>
            </w:r>
            <w:r>
              <w:rPr>
                <w:spacing w:val="-3"/>
                <w:sz w:val="24"/>
                <w:szCs w:val="24"/>
              </w:rPr>
              <w:t>、</w:t>
            </w:r>
            <w:r>
              <w:rPr>
                <w:rFonts w:ascii="Times New Roman" w:hAnsi="Times New Roman" w:eastAsia="Times New Roman" w:cs="Times New Roman"/>
                <w:spacing w:val="-3"/>
                <w:sz w:val="24"/>
                <w:szCs w:val="24"/>
              </w:rPr>
              <w:t>NOx</w:t>
            </w:r>
            <w:r>
              <w:rPr>
                <w:rFonts w:ascii="Times New Roman" w:hAnsi="Times New Roman" w:eastAsia="Times New Roman" w:cs="Times New Roman"/>
                <w:spacing w:val="-34"/>
                <w:sz w:val="24"/>
                <w:szCs w:val="24"/>
              </w:rPr>
              <w:t xml:space="preserve"> </w:t>
            </w:r>
            <w:r>
              <w:rPr>
                <w:spacing w:val="-3"/>
                <w:sz w:val="24"/>
                <w:szCs w:val="24"/>
              </w:rPr>
              <w:t>、</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
                <w:position w:val="-1"/>
                <w:sz w:val="16"/>
                <w:szCs w:val="16"/>
              </w:rPr>
              <w:t xml:space="preserve">2  </w:t>
            </w:r>
            <w:r>
              <w:rPr>
                <w:spacing w:val="-3"/>
                <w:sz w:val="24"/>
                <w:szCs w:val="24"/>
              </w:rPr>
              <w:t xml:space="preserve">和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O</w:t>
            </w:r>
            <w:r>
              <w:rPr>
                <w:spacing w:val="-3"/>
                <w:sz w:val="24"/>
                <w:szCs w:val="24"/>
              </w:rPr>
              <w:t>。事故放喷时间</w:t>
            </w:r>
            <w:r>
              <w:rPr>
                <w:sz w:val="24"/>
                <w:szCs w:val="24"/>
              </w:rPr>
              <w:t xml:space="preserve"> </w:t>
            </w:r>
            <w:r>
              <w:rPr>
                <w:spacing w:val="1"/>
                <w:sz w:val="24"/>
                <w:szCs w:val="24"/>
              </w:rPr>
              <w:t>持续较短，通过专用的放喷管线将天然气引至燃烧池进行点火放喷。建设单位应制定事</w:t>
            </w:r>
          </w:p>
          <w:p>
            <w:pPr>
              <w:pStyle w:val="6"/>
              <w:spacing w:before="1" w:line="219" w:lineRule="auto"/>
              <w:ind w:left="112"/>
              <w:rPr>
                <w:sz w:val="24"/>
                <w:szCs w:val="24"/>
              </w:rPr>
            </w:pPr>
            <w:r>
              <w:rPr>
                <w:spacing w:val="-2"/>
                <w:sz w:val="24"/>
                <w:szCs w:val="24"/>
              </w:rPr>
              <w:t>故放喷应急预案，定期演练，提高环境风险应对能力。</w:t>
            </w:r>
          </w:p>
          <w:p>
            <w:pPr>
              <w:pStyle w:val="6"/>
              <w:spacing w:before="195" w:line="369" w:lineRule="auto"/>
              <w:ind w:left="113" w:right="101" w:firstLine="476"/>
              <w:jc w:val="both"/>
              <w:rPr>
                <w:sz w:val="24"/>
                <w:szCs w:val="24"/>
              </w:rPr>
            </w:pPr>
            <w:r>
              <w:rPr>
                <w:spacing w:val="-1"/>
                <w:sz w:val="24"/>
                <w:szCs w:val="24"/>
              </w:rPr>
              <w:t xml:space="preserve">本项目在放喷前，建设单位应对距离井口 </w:t>
            </w:r>
            <w:r>
              <w:rPr>
                <w:rFonts w:ascii="Times New Roman" w:hAnsi="Times New Roman" w:eastAsia="Times New Roman" w:cs="Times New Roman"/>
                <w:spacing w:val="-1"/>
                <w:sz w:val="24"/>
                <w:szCs w:val="24"/>
              </w:rPr>
              <w:t xml:space="preserve">500m  </w:t>
            </w:r>
            <w:r>
              <w:rPr>
                <w:spacing w:val="-1"/>
                <w:sz w:val="24"/>
                <w:szCs w:val="24"/>
              </w:rPr>
              <w:t>范围内的居民进行告知，并建立警</w:t>
            </w:r>
            <w:r>
              <w:rPr>
                <w:spacing w:val="15"/>
                <w:sz w:val="24"/>
                <w:szCs w:val="24"/>
              </w:rPr>
              <w:t xml:space="preserve"> </w:t>
            </w:r>
            <w:r>
              <w:rPr>
                <w:spacing w:val="-1"/>
                <w:sz w:val="24"/>
                <w:szCs w:val="24"/>
              </w:rPr>
              <w:t>戒点进行</w:t>
            </w:r>
            <w:r>
              <w:rPr>
                <w:spacing w:val="-22"/>
                <w:sz w:val="24"/>
                <w:szCs w:val="24"/>
              </w:rPr>
              <w:t xml:space="preserve"> </w:t>
            </w:r>
            <w:r>
              <w:rPr>
                <w:rFonts w:ascii="Times New Roman" w:hAnsi="Times New Roman" w:eastAsia="Times New Roman" w:cs="Times New Roman"/>
                <w:spacing w:val="-1"/>
                <w:sz w:val="24"/>
                <w:szCs w:val="24"/>
              </w:rPr>
              <w:t>24h</w:t>
            </w:r>
            <w:r>
              <w:rPr>
                <w:rFonts w:ascii="Times New Roman" w:hAnsi="Times New Roman" w:eastAsia="Times New Roman" w:cs="Times New Roman"/>
                <w:spacing w:val="40"/>
                <w:sz w:val="24"/>
                <w:szCs w:val="24"/>
              </w:rPr>
              <w:t xml:space="preserve"> </w:t>
            </w:r>
            <w:r>
              <w:rPr>
                <w:spacing w:val="-1"/>
                <w:sz w:val="24"/>
                <w:szCs w:val="24"/>
              </w:rPr>
              <w:t>警戒，严禁居民靠近，以减轻放喷废气对这些居民的影响。同时由于测试</w:t>
            </w:r>
          </w:p>
          <w:p>
            <w:pPr>
              <w:pStyle w:val="6"/>
              <w:spacing w:before="1" w:line="218" w:lineRule="auto"/>
              <w:ind w:left="108"/>
              <w:rPr>
                <w:sz w:val="24"/>
                <w:szCs w:val="24"/>
              </w:rPr>
            </w:pPr>
            <w:r>
              <w:rPr>
                <w:spacing w:val="-10"/>
                <w:sz w:val="24"/>
                <w:szCs w:val="24"/>
              </w:rPr>
              <w:t>放喷时间一般为</w:t>
            </w:r>
            <w:r>
              <w:rPr>
                <w:spacing w:val="-50"/>
                <w:sz w:val="24"/>
                <w:szCs w:val="24"/>
              </w:rPr>
              <w:t xml:space="preserve"> </w:t>
            </w:r>
            <w:r>
              <w:rPr>
                <w:rFonts w:ascii="Times New Roman" w:hAnsi="Times New Roman" w:eastAsia="Times New Roman" w:cs="Times New Roman"/>
                <w:spacing w:val="-10"/>
                <w:sz w:val="24"/>
                <w:szCs w:val="24"/>
              </w:rPr>
              <w:t>3h</w:t>
            </w:r>
            <w:r>
              <w:rPr>
                <w:spacing w:val="-10"/>
                <w:sz w:val="24"/>
                <w:szCs w:val="24"/>
              </w:rPr>
              <w:t>，属短期排放，</w:t>
            </w:r>
            <w:r>
              <w:rPr>
                <w:spacing w:val="65"/>
                <w:sz w:val="24"/>
                <w:szCs w:val="24"/>
              </w:rPr>
              <w:t xml:space="preserve"> </w:t>
            </w:r>
            <w:r>
              <w:rPr>
                <w:spacing w:val="-10"/>
                <w:sz w:val="24"/>
                <w:szCs w:val="24"/>
              </w:rPr>
              <w:t>不会形成长期环境影响，</w:t>
            </w:r>
            <w:r>
              <w:rPr>
                <w:spacing w:val="64"/>
                <w:sz w:val="24"/>
                <w:szCs w:val="24"/>
              </w:rPr>
              <w:t xml:space="preserve"> </w:t>
            </w:r>
            <w:r>
              <w:rPr>
                <w:spacing w:val="-10"/>
                <w:sz w:val="24"/>
                <w:szCs w:val="24"/>
              </w:rPr>
              <w:t>短期影响也可控</w:t>
            </w:r>
            <w:r>
              <w:rPr>
                <w:spacing w:val="-11"/>
                <w:sz w:val="24"/>
                <w:szCs w:val="24"/>
              </w:rPr>
              <w:t>制在周边居</w:t>
            </w:r>
          </w:p>
        </w:tc>
      </w:tr>
    </w:tbl>
    <w:p>
      <w:pPr>
        <w:pStyle w:val="2"/>
        <w:rPr>
          <w:sz w:val="21"/>
        </w:rPr>
      </w:pPr>
    </w:p>
    <w:p>
      <w:pPr>
        <w:rPr>
          <w:sz w:val="21"/>
          <w:szCs w:val="21"/>
        </w:rPr>
        <w:sectPr>
          <w:footerReference r:id="rId99"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71"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2" w:line="480" w:lineRule="exact"/>
              <w:ind w:left="131"/>
              <w:rPr>
                <w:sz w:val="24"/>
                <w:szCs w:val="24"/>
              </w:rPr>
            </w:pPr>
            <w:r>
              <w:rPr>
                <w:spacing w:val="-3"/>
                <w:position w:val="18"/>
                <w:sz w:val="24"/>
                <w:szCs w:val="24"/>
              </w:rPr>
              <w:t>民健康安全限值以下，污染物排放随测试放喷的结束而停止。</w:t>
            </w:r>
          </w:p>
          <w:p>
            <w:pPr>
              <w:pStyle w:val="6"/>
              <w:spacing w:before="1" w:line="218" w:lineRule="auto"/>
              <w:ind w:left="591"/>
              <w:rPr>
                <w:sz w:val="24"/>
                <w:szCs w:val="24"/>
              </w:rPr>
            </w:pPr>
            <w:r>
              <w:rPr>
                <w:spacing w:val="-2"/>
                <w:sz w:val="24"/>
                <w:szCs w:val="24"/>
              </w:rPr>
              <w:t>综上，本项目钻井期间对周边大气环境影响较</w:t>
            </w:r>
            <w:r>
              <w:rPr>
                <w:spacing w:val="-3"/>
                <w:sz w:val="24"/>
                <w:szCs w:val="24"/>
              </w:rPr>
              <w:t>小。</w:t>
            </w:r>
          </w:p>
          <w:p>
            <w:pPr>
              <w:pStyle w:val="6"/>
              <w:spacing w:before="228" w:line="220" w:lineRule="auto"/>
              <w:ind w:left="105"/>
              <w:rPr>
                <w:sz w:val="24"/>
                <w:szCs w:val="24"/>
              </w:rPr>
            </w:pPr>
            <w:r>
              <w:rPr>
                <w:rFonts w:ascii="Times New Roman" w:hAnsi="Times New Roman" w:eastAsia="Times New Roman" w:cs="Times New Roman"/>
                <w:b/>
                <w:bCs/>
                <w:sz w:val="24"/>
                <w:szCs w:val="24"/>
              </w:rPr>
              <w:t xml:space="preserve">4.3.2 </w:t>
            </w:r>
            <w:r>
              <w:rPr>
                <w:sz w:val="24"/>
                <w:szCs w:val="24"/>
                <w14:textOutline w14:w="4354" w14:cap="flat" w14:cmpd="sng">
                  <w14:solidFill>
                    <w14:srgbClr w14:val="000000"/>
                  </w14:solidFill>
                  <w14:prstDash w14:val="solid"/>
                  <w14:miter w14:val="10"/>
                </w14:textOutline>
              </w:rPr>
              <w:t>地表水环境影响分析</w:t>
            </w:r>
          </w:p>
          <w:p>
            <w:pPr>
              <w:pStyle w:val="6"/>
              <w:spacing w:before="203" w:line="369" w:lineRule="auto"/>
              <w:ind w:left="108" w:right="17" w:firstLine="479"/>
              <w:jc w:val="both"/>
              <w:rPr>
                <w:sz w:val="24"/>
                <w:szCs w:val="24"/>
              </w:rPr>
            </w:pPr>
            <w:r>
              <w:rPr>
                <w:spacing w:val="-7"/>
                <w:sz w:val="24"/>
                <w:szCs w:val="24"/>
              </w:rPr>
              <w:t>拟建项目严格实施雨污分流，井场四周设置有雨水排水沟，</w:t>
            </w:r>
            <w:r>
              <w:rPr>
                <w:spacing w:val="29"/>
                <w:sz w:val="24"/>
                <w:szCs w:val="24"/>
              </w:rPr>
              <w:t xml:space="preserve"> </w:t>
            </w:r>
            <w:r>
              <w:rPr>
                <w:spacing w:val="-7"/>
                <w:sz w:val="24"/>
                <w:szCs w:val="24"/>
              </w:rPr>
              <w:t>场外雨水随雨水沟排</w:t>
            </w:r>
            <w:r>
              <w:rPr>
                <w:spacing w:val="-8"/>
                <w:sz w:val="24"/>
                <w:szCs w:val="24"/>
              </w:rPr>
              <w:t>放。</w:t>
            </w:r>
            <w:r>
              <w:rPr>
                <w:sz w:val="24"/>
                <w:szCs w:val="24"/>
              </w:rPr>
              <w:t xml:space="preserve"> </w:t>
            </w:r>
            <w:r>
              <w:rPr>
                <w:spacing w:val="1"/>
                <w:sz w:val="24"/>
                <w:szCs w:val="24"/>
              </w:rPr>
              <w:t>钻井期间产生的废水主要包括钻井废水、洗井废水、酸化废水、</w:t>
            </w:r>
            <w:r>
              <w:rPr>
                <w:sz w:val="24"/>
                <w:szCs w:val="24"/>
              </w:rPr>
              <w:t xml:space="preserve">方井雨水、集酸池废水 </w:t>
            </w:r>
            <w:r>
              <w:rPr>
                <w:spacing w:val="1"/>
                <w:sz w:val="24"/>
                <w:szCs w:val="24"/>
              </w:rPr>
              <w:t>和生活污水。钻井废水、洗井废水、酸化废水和方井雨水均汇至</w:t>
            </w:r>
            <w:r>
              <w:rPr>
                <w:sz w:val="24"/>
                <w:szCs w:val="24"/>
              </w:rPr>
              <w:t xml:space="preserve">井场清洁化操作平台进 </w:t>
            </w:r>
            <w:r>
              <w:rPr>
                <w:spacing w:val="-1"/>
                <w:sz w:val="24"/>
                <w:szCs w:val="24"/>
              </w:rPr>
              <w:t>行随钻预处理。</w:t>
            </w:r>
            <w:r>
              <w:rPr>
                <w:spacing w:val="-29"/>
                <w:sz w:val="24"/>
                <w:szCs w:val="24"/>
              </w:rPr>
              <w:t xml:space="preserve"> </w:t>
            </w:r>
            <w:r>
              <w:rPr>
                <w:spacing w:val="-1"/>
                <w:sz w:val="24"/>
                <w:szCs w:val="24"/>
              </w:rPr>
              <w:t>集酸池废水完钻后外运处置。生活污水经环保</w:t>
            </w:r>
            <w:r>
              <w:rPr>
                <w:spacing w:val="-2"/>
                <w:sz w:val="24"/>
                <w:szCs w:val="24"/>
              </w:rPr>
              <w:t>厕所收集处理后经罐车拉</w:t>
            </w:r>
          </w:p>
          <w:p>
            <w:pPr>
              <w:pStyle w:val="6"/>
              <w:spacing w:line="219" w:lineRule="auto"/>
              <w:ind w:left="108"/>
              <w:rPr>
                <w:sz w:val="24"/>
                <w:szCs w:val="24"/>
              </w:rPr>
            </w:pPr>
            <w:r>
              <w:rPr>
                <w:spacing w:val="-3"/>
                <w:sz w:val="24"/>
                <w:szCs w:val="24"/>
              </w:rPr>
              <w:t>运至江陵镇污水处理厂处理，不外排。</w:t>
            </w:r>
          </w:p>
          <w:p>
            <w:pPr>
              <w:pStyle w:val="6"/>
              <w:spacing w:before="194" w:line="220" w:lineRule="auto"/>
              <w:ind w:left="59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1</w:t>
            </w:r>
            <w:r>
              <w:rPr>
                <w:spacing w:val="-4"/>
                <w:sz w:val="24"/>
                <w:szCs w:val="24"/>
                <w14:textOutline w14:w="4354" w14:cap="flat" w14:cmpd="sng">
                  <w14:solidFill>
                    <w14:srgbClr w14:val="000000"/>
                  </w14:solidFill>
                  <w14:prstDash w14:val="solid"/>
                  <w14:miter w14:val="10"/>
                </w14:textOutline>
              </w:rPr>
              <w:t>）场地雨水</w:t>
            </w:r>
          </w:p>
          <w:p>
            <w:pPr>
              <w:pStyle w:val="6"/>
              <w:spacing w:before="197" w:line="369" w:lineRule="auto"/>
              <w:ind w:left="106" w:right="17" w:firstLine="510"/>
              <w:jc w:val="both"/>
              <w:rPr>
                <w:sz w:val="24"/>
                <w:szCs w:val="24"/>
              </w:rPr>
            </w:pPr>
            <w:r>
              <w:rPr>
                <w:spacing w:val="-3"/>
                <w:sz w:val="24"/>
                <w:szCs w:val="24"/>
              </w:rPr>
              <w:t>由于本项目井场采用清污分流制， 雨水依靠井场设置的地面坡度，</w:t>
            </w:r>
            <w:r>
              <w:rPr>
                <w:spacing w:val="-4"/>
                <w:sz w:val="24"/>
                <w:szCs w:val="24"/>
              </w:rPr>
              <w:t xml:space="preserve">就地散排至井场 </w:t>
            </w:r>
            <w:r>
              <w:rPr>
                <w:spacing w:val="-5"/>
                <w:sz w:val="24"/>
                <w:szCs w:val="24"/>
              </w:rPr>
              <w:t>四周设置的排水沟， 排出场外； 井场设置有污水截流沟，截留井场散落的污</w:t>
            </w:r>
            <w:r>
              <w:rPr>
                <w:spacing w:val="-6"/>
                <w:sz w:val="24"/>
                <w:szCs w:val="24"/>
              </w:rPr>
              <w:t xml:space="preserve">水，截流沟 </w:t>
            </w:r>
            <w:r>
              <w:rPr>
                <w:spacing w:val="-2"/>
                <w:sz w:val="24"/>
                <w:szCs w:val="24"/>
              </w:rPr>
              <w:t>中的污水泵入废水罐中， 以避免进入雨水排水系统。且井场设备</w:t>
            </w:r>
            <w:r>
              <w:rPr>
                <w:spacing w:val="-3"/>
                <w:sz w:val="24"/>
                <w:szCs w:val="24"/>
              </w:rPr>
              <w:t xml:space="preserve">区域除方井外的区域均 </w:t>
            </w:r>
            <w:r>
              <w:rPr>
                <w:spacing w:val="-10"/>
                <w:sz w:val="24"/>
                <w:szCs w:val="24"/>
              </w:rPr>
              <w:t>设挡雨棚， 因此设备区域的雨水由挡雨棚汇集后进入场内清水沟，</w:t>
            </w:r>
            <w:r>
              <w:rPr>
                <w:spacing w:val="49"/>
                <w:sz w:val="24"/>
                <w:szCs w:val="24"/>
              </w:rPr>
              <w:t xml:space="preserve"> </w:t>
            </w:r>
            <w:r>
              <w:rPr>
                <w:spacing w:val="-10"/>
                <w:sz w:val="24"/>
                <w:szCs w:val="24"/>
              </w:rPr>
              <w:t>经隔油池后排出场外。</w:t>
            </w:r>
            <w:r>
              <w:rPr>
                <w:sz w:val="24"/>
                <w:szCs w:val="24"/>
              </w:rPr>
              <w:t xml:space="preserve"> </w:t>
            </w:r>
            <w:r>
              <w:rPr>
                <w:spacing w:val="-2"/>
                <w:sz w:val="24"/>
                <w:szCs w:val="24"/>
              </w:rPr>
              <w:t>仅方井区域的雨水收集在方井内，通过污水泵泵入废水罐中， 罐</w:t>
            </w:r>
            <w:r>
              <w:rPr>
                <w:spacing w:val="-3"/>
                <w:sz w:val="24"/>
                <w:szCs w:val="24"/>
              </w:rPr>
              <w:t xml:space="preserve">车外运处置。根据达州 </w:t>
            </w:r>
            <w:r>
              <w:rPr>
                <w:spacing w:val="-8"/>
                <w:sz w:val="24"/>
                <w:szCs w:val="24"/>
              </w:rPr>
              <w:t>市通川区气象资料，</w:t>
            </w:r>
            <w:r>
              <w:rPr>
                <w:spacing w:val="48"/>
                <w:sz w:val="24"/>
                <w:szCs w:val="24"/>
              </w:rPr>
              <w:t xml:space="preserve"> </w:t>
            </w:r>
            <w:r>
              <w:rPr>
                <w:spacing w:val="-8"/>
                <w:sz w:val="24"/>
                <w:szCs w:val="24"/>
              </w:rPr>
              <w:t>年均降雨量为</w:t>
            </w:r>
            <w:r>
              <w:rPr>
                <w:spacing w:val="-31"/>
                <w:sz w:val="24"/>
                <w:szCs w:val="24"/>
              </w:rPr>
              <w:t xml:space="preserve"> </w:t>
            </w:r>
            <w:r>
              <w:rPr>
                <w:rFonts w:ascii="Times New Roman" w:hAnsi="Times New Roman" w:eastAsia="Times New Roman" w:cs="Times New Roman"/>
                <w:spacing w:val="-8"/>
                <w:sz w:val="24"/>
                <w:szCs w:val="24"/>
              </w:rPr>
              <w:t>1211.4mm</w:t>
            </w:r>
            <w:r>
              <w:rPr>
                <w:spacing w:val="-8"/>
                <w:sz w:val="24"/>
                <w:szCs w:val="24"/>
              </w:rPr>
              <w:t>，结合本项目井场方井区域占地（</w:t>
            </w:r>
            <w:r>
              <w:rPr>
                <w:rFonts w:ascii="Times New Roman" w:hAnsi="Times New Roman" w:eastAsia="Times New Roman" w:cs="Times New Roman"/>
                <w:spacing w:val="-8"/>
                <w:sz w:val="24"/>
                <w:szCs w:val="24"/>
              </w:rPr>
              <w:t>20m</w:t>
            </w:r>
            <w:r>
              <w:rPr>
                <w:rFonts w:ascii="Times New Roman" w:hAnsi="Times New Roman" w:eastAsia="Times New Roman" w:cs="Times New Roman"/>
                <w:spacing w:val="-8"/>
                <w:position w:val="9"/>
                <w:sz w:val="16"/>
                <w:szCs w:val="16"/>
              </w:rPr>
              <w:t xml:space="preserve">2 </w:t>
            </w:r>
            <w:r>
              <w:rPr>
                <w:spacing w:val="-8"/>
                <w:sz w:val="24"/>
                <w:szCs w:val="24"/>
              </w:rPr>
              <w:t xml:space="preserve">）计 </w:t>
            </w:r>
            <w:r>
              <w:rPr>
                <w:spacing w:val="-6"/>
                <w:sz w:val="24"/>
                <w:szCs w:val="24"/>
              </w:rPr>
              <w:t>算，</w:t>
            </w:r>
            <w:r>
              <w:rPr>
                <w:spacing w:val="-59"/>
                <w:sz w:val="24"/>
                <w:szCs w:val="24"/>
              </w:rPr>
              <w:t xml:space="preserve"> </w:t>
            </w:r>
            <w:r>
              <w:rPr>
                <w:spacing w:val="-6"/>
                <w:sz w:val="24"/>
                <w:szCs w:val="24"/>
              </w:rPr>
              <w:t>钻井工期约</w:t>
            </w:r>
            <w:r>
              <w:rPr>
                <w:spacing w:val="-49"/>
                <w:sz w:val="24"/>
                <w:szCs w:val="24"/>
              </w:rPr>
              <w:t xml:space="preserve"> </w:t>
            </w:r>
            <w:r>
              <w:rPr>
                <w:rFonts w:ascii="Times New Roman" w:hAnsi="Times New Roman" w:eastAsia="Times New Roman" w:cs="Times New Roman"/>
                <w:spacing w:val="-6"/>
                <w:sz w:val="24"/>
                <w:szCs w:val="24"/>
              </w:rPr>
              <w:t xml:space="preserve">5 </w:t>
            </w:r>
            <w:r>
              <w:rPr>
                <w:spacing w:val="-6"/>
                <w:sz w:val="24"/>
                <w:szCs w:val="24"/>
              </w:rPr>
              <w:t>个月，</w:t>
            </w:r>
            <w:r>
              <w:rPr>
                <w:spacing w:val="-54"/>
                <w:sz w:val="24"/>
                <w:szCs w:val="24"/>
              </w:rPr>
              <w:t xml:space="preserve"> </w:t>
            </w:r>
            <w:r>
              <w:rPr>
                <w:spacing w:val="-6"/>
                <w:sz w:val="24"/>
                <w:szCs w:val="24"/>
              </w:rPr>
              <w:t>方井区域的最大雨水量约</w:t>
            </w:r>
            <w:r>
              <w:rPr>
                <w:spacing w:val="-31"/>
                <w:sz w:val="24"/>
                <w:szCs w:val="24"/>
              </w:rPr>
              <w:t xml:space="preserve"> </w:t>
            </w:r>
            <w:r>
              <w:rPr>
                <w:rFonts w:ascii="Times New Roman" w:hAnsi="Times New Roman" w:eastAsia="Times New Roman" w:cs="Times New Roman"/>
                <w:spacing w:val="-7"/>
                <w:sz w:val="24"/>
                <w:szCs w:val="24"/>
              </w:rPr>
              <w:t>10.09m</w:t>
            </w:r>
            <w:r>
              <w:rPr>
                <w:rFonts w:ascii="Times New Roman" w:hAnsi="Times New Roman" w:eastAsia="Times New Roman" w:cs="Times New Roman"/>
                <w:spacing w:val="-7"/>
                <w:position w:val="9"/>
                <w:sz w:val="16"/>
                <w:szCs w:val="16"/>
              </w:rPr>
              <w:t>3</w:t>
            </w:r>
            <w:r>
              <w:rPr>
                <w:spacing w:val="-7"/>
                <w:sz w:val="24"/>
                <w:szCs w:val="24"/>
              </w:rPr>
              <w:t xml:space="preserve">。方井雨水定期通过污水泵泵 </w:t>
            </w:r>
            <w:r>
              <w:rPr>
                <w:spacing w:val="-2"/>
                <w:sz w:val="24"/>
                <w:szCs w:val="24"/>
              </w:rPr>
              <w:t>入废水罐中处理，能够满足拟建项目储存方井雨水的要求。结合本项目特征， 方井雨水</w:t>
            </w:r>
          </w:p>
          <w:p>
            <w:pPr>
              <w:pStyle w:val="6"/>
              <w:spacing w:before="1" w:line="219" w:lineRule="auto"/>
              <w:ind w:left="116"/>
              <w:rPr>
                <w:sz w:val="24"/>
                <w:szCs w:val="24"/>
              </w:rPr>
            </w:pPr>
            <w:r>
              <w:rPr>
                <w:spacing w:val="-5"/>
                <w:sz w:val="24"/>
                <w:szCs w:val="24"/>
              </w:rPr>
              <w:t>收集后用于钻井液配置。</w:t>
            </w:r>
          </w:p>
          <w:p>
            <w:pPr>
              <w:pStyle w:val="6"/>
              <w:spacing w:before="195" w:line="480" w:lineRule="exact"/>
              <w:ind w:left="589"/>
              <w:rPr>
                <w:sz w:val="24"/>
                <w:szCs w:val="24"/>
              </w:rPr>
            </w:pPr>
            <w:r>
              <w:rPr>
                <w:spacing w:val="1"/>
                <w:position w:val="18"/>
                <w:sz w:val="24"/>
                <w:szCs w:val="24"/>
              </w:rPr>
              <w:t>本次钻井工程井场分为清洁区和污染区，通过挡墙隔离。清洁区雨水通过场地内的</w:t>
            </w:r>
          </w:p>
          <w:p>
            <w:pPr>
              <w:pStyle w:val="6"/>
              <w:spacing w:line="219" w:lineRule="auto"/>
              <w:ind w:left="122"/>
              <w:rPr>
                <w:sz w:val="24"/>
                <w:szCs w:val="24"/>
              </w:rPr>
            </w:pPr>
            <w:r>
              <w:rPr>
                <w:spacing w:val="-2"/>
                <w:sz w:val="24"/>
                <w:szCs w:val="24"/>
              </w:rPr>
              <w:t>隔油池处理后外排自然水系。油罐区设置</w:t>
            </w:r>
            <w:r>
              <w:rPr>
                <w:spacing w:val="-27"/>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座</w:t>
            </w:r>
            <w:r>
              <w:rPr>
                <w:spacing w:val="-56"/>
                <w:sz w:val="24"/>
                <w:szCs w:val="24"/>
              </w:rPr>
              <w:t xml:space="preserve"> </w:t>
            </w:r>
            <w:r>
              <w:rPr>
                <w:rFonts w:ascii="Times New Roman" w:hAnsi="Times New Roman" w:eastAsia="Times New Roman" w:cs="Times New Roman"/>
                <w:spacing w:val="-2"/>
                <w:sz w:val="24"/>
                <w:szCs w:val="24"/>
              </w:rPr>
              <w:t>4m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11"/>
                <w:w w:val="102"/>
                <w:position w:val="9"/>
                <w:sz w:val="16"/>
                <w:szCs w:val="16"/>
              </w:rPr>
              <w:t xml:space="preserve"> </w:t>
            </w:r>
            <w:r>
              <w:rPr>
                <w:spacing w:val="-2"/>
                <w:sz w:val="24"/>
                <w:szCs w:val="24"/>
              </w:rPr>
              <w:t>集液池处理排入自然水系。</w:t>
            </w:r>
          </w:p>
          <w:p>
            <w:pPr>
              <w:pStyle w:val="6"/>
              <w:spacing w:before="194" w:line="220" w:lineRule="auto"/>
              <w:ind w:left="59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2</w:t>
            </w:r>
            <w:r>
              <w:rPr>
                <w:spacing w:val="-4"/>
                <w:sz w:val="24"/>
                <w:szCs w:val="24"/>
                <w14:textOutline w14:w="4354" w14:cap="flat" w14:cmpd="sng">
                  <w14:solidFill>
                    <w14:srgbClr w14:val="000000"/>
                  </w14:solidFill>
                  <w14:prstDash w14:val="solid"/>
                  <w14:miter w14:val="10"/>
                </w14:textOutline>
              </w:rPr>
              <w:t>）钻井废水</w:t>
            </w:r>
          </w:p>
          <w:p>
            <w:pPr>
              <w:pStyle w:val="6"/>
              <w:spacing w:before="195" w:line="480" w:lineRule="exact"/>
              <w:ind w:left="588"/>
              <w:rPr>
                <w:sz w:val="24"/>
                <w:szCs w:val="24"/>
              </w:rPr>
            </w:pPr>
            <w:r>
              <w:rPr>
                <w:spacing w:val="-2"/>
                <w:position w:val="18"/>
                <w:sz w:val="24"/>
                <w:szCs w:val="24"/>
              </w:rPr>
              <w:t>钻井过程中产生的钻井废水主要包括导管钻、</w:t>
            </w:r>
            <w:r>
              <w:rPr>
                <w:spacing w:val="-11"/>
                <w:position w:val="18"/>
                <w:sz w:val="24"/>
                <w:szCs w:val="24"/>
              </w:rPr>
              <w:t xml:space="preserve"> </w:t>
            </w:r>
            <w:r>
              <w:rPr>
                <w:spacing w:val="-2"/>
                <w:position w:val="18"/>
                <w:sz w:val="24"/>
                <w:szCs w:val="24"/>
              </w:rPr>
              <w:t>一开～五开水基钻井液钻进阶段产生</w:t>
            </w:r>
          </w:p>
          <w:p>
            <w:pPr>
              <w:pStyle w:val="6"/>
              <w:spacing w:before="1" w:line="219" w:lineRule="auto"/>
              <w:ind w:left="128"/>
              <w:rPr>
                <w:sz w:val="24"/>
                <w:szCs w:val="24"/>
              </w:rPr>
            </w:pPr>
            <w:r>
              <w:rPr>
                <w:spacing w:val="-12"/>
                <w:sz w:val="24"/>
                <w:szCs w:val="24"/>
              </w:rPr>
              <w:t>的废水。</w:t>
            </w:r>
          </w:p>
          <w:p>
            <w:pPr>
              <w:pStyle w:val="6"/>
              <w:spacing w:before="196" w:line="369" w:lineRule="auto"/>
              <w:ind w:left="110" w:right="103" w:firstLine="478"/>
              <w:rPr>
                <w:sz w:val="24"/>
                <w:szCs w:val="24"/>
              </w:rPr>
            </w:pPr>
            <w:r>
              <w:rPr>
                <w:spacing w:val="1"/>
                <w:sz w:val="24"/>
                <w:szCs w:val="24"/>
              </w:rPr>
              <w:t>钻井过程中，钻井液在返回地面后，大部分水随泥浆进入泥浆循环系统回用，小部</w:t>
            </w:r>
            <w:r>
              <w:rPr>
                <w:spacing w:val="6"/>
                <w:sz w:val="24"/>
                <w:szCs w:val="24"/>
              </w:rPr>
              <w:t xml:space="preserve"> </w:t>
            </w:r>
            <w:r>
              <w:rPr>
                <w:spacing w:val="1"/>
                <w:sz w:val="24"/>
                <w:szCs w:val="24"/>
              </w:rPr>
              <w:t>分水随振动筛、离心机和除砂除泥器分离出的钻屑进入清洁生产操作平台，经固液分离</w:t>
            </w:r>
            <w:r>
              <w:rPr>
                <w:sz w:val="24"/>
                <w:szCs w:val="24"/>
              </w:rPr>
              <w:t xml:space="preserve"> </w:t>
            </w:r>
            <w:r>
              <w:rPr>
                <w:spacing w:val="-2"/>
                <w:sz w:val="24"/>
                <w:szCs w:val="24"/>
              </w:rPr>
              <w:t>后在回用罐中暂存后，优先回用于配置钻井液， 不可回用部分进入废水罐，</w:t>
            </w:r>
            <w:r>
              <w:rPr>
                <w:spacing w:val="-3"/>
                <w:sz w:val="24"/>
                <w:szCs w:val="24"/>
              </w:rPr>
              <w:t>经预处理后</w:t>
            </w:r>
          </w:p>
          <w:p>
            <w:pPr>
              <w:pStyle w:val="6"/>
              <w:spacing w:line="219" w:lineRule="auto"/>
              <w:ind w:left="121"/>
              <w:rPr>
                <w:sz w:val="24"/>
                <w:szCs w:val="24"/>
              </w:rPr>
            </w:pPr>
            <w:r>
              <w:rPr>
                <w:spacing w:val="-4"/>
                <w:sz w:val="24"/>
                <w:szCs w:val="24"/>
              </w:rPr>
              <w:t>随钻委托有资质的第三方单位外运处理。</w:t>
            </w:r>
          </w:p>
          <w:p>
            <w:pPr>
              <w:pStyle w:val="6"/>
              <w:spacing w:before="195" w:line="480" w:lineRule="exact"/>
              <w:ind w:left="588"/>
              <w:rPr>
                <w:sz w:val="24"/>
                <w:szCs w:val="24"/>
              </w:rPr>
            </w:pPr>
            <w:r>
              <w:rPr>
                <w:spacing w:val="-2"/>
                <w:position w:val="18"/>
                <w:sz w:val="24"/>
                <w:szCs w:val="24"/>
              </w:rPr>
              <w:t>根据《排放源统计调查产排污核算方法和系数手册》中</w:t>
            </w:r>
            <w:r>
              <w:rPr>
                <w:spacing w:val="-13"/>
                <w:position w:val="18"/>
                <w:sz w:val="24"/>
                <w:szCs w:val="24"/>
              </w:rPr>
              <w:t xml:space="preserve"> </w:t>
            </w:r>
            <w:r>
              <w:rPr>
                <w:rFonts w:ascii="Times New Roman" w:hAnsi="Times New Roman" w:eastAsia="Times New Roman" w:cs="Times New Roman"/>
                <w:spacing w:val="-2"/>
                <w:position w:val="18"/>
                <w:sz w:val="24"/>
                <w:szCs w:val="24"/>
              </w:rPr>
              <w:t>1120</w:t>
            </w:r>
            <w:r>
              <w:rPr>
                <w:spacing w:val="-2"/>
                <w:position w:val="18"/>
                <w:sz w:val="24"/>
                <w:szCs w:val="24"/>
              </w:rPr>
              <w:t>《石油和天然气开采专</w:t>
            </w:r>
          </w:p>
          <w:p>
            <w:pPr>
              <w:pStyle w:val="6"/>
              <w:spacing w:before="1" w:line="219" w:lineRule="auto"/>
              <w:ind w:left="107"/>
              <w:rPr>
                <w:sz w:val="24"/>
                <w:szCs w:val="24"/>
              </w:rPr>
            </w:pPr>
            <w:r>
              <w:rPr>
                <w:spacing w:val="-2"/>
                <w:sz w:val="24"/>
                <w:szCs w:val="24"/>
              </w:rPr>
              <w:t>业及辅助性活动行业系数手册》，结合产污系数详见下表。</w:t>
            </w:r>
          </w:p>
        </w:tc>
      </w:tr>
    </w:tbl>
    <w:p>
      <w:pPr>
        <w:pStyle w:val="2"/>
        <w:spacing w:line="228" w:lineRule="exact"/>
        <w:rPr>
          <w:sz w:val="19"/>
        </w:rPr>
      </w:pPr>
    </w:p>
    <w:p>
      <w:pPr>
        <w:spacing w:line="228" w:lineRule="exact"/>
        <w:rPr>
          <w:sz w:val="19"/>
          <w:szCs w:val="19"/>
        </w:rPr>
        <w:sectPr>
          <w:footerReference r:id="rId100"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39"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1" w:line="220" w:lineRule="auto"/>
              <w:ind w:left="3208"/>
              <w:rPr>
                <w:sz w:val="24"/>
                <w:szCs w:val="24"/>
              </w:rPr>
            </w:pPr>
            <w:r>
              <w:rPr>
                <w:spacing w:val="-1"/>
                <w:sz w:val="24"/>
                <w:szCs w:val="24"/>
                <w14:textOutline w14:w="4354" w14:cap="flat" w14:cmpd="sng">
                  <w14:solidFill>
                    <w14:srgbClr w14:val="000000"/>
                  </w14:solidFill>
                  <w14:prstDash w14:val="solid"/>
                  <w14:miter w14:val="10"/>
                </w14:textOutline>
              </w:rPr>
              <w:t>表</w:t>
            </w:r>
            <w:r>
              <w:rPr>
                <w:spacing w:val="-44"/>
                <w:sz w:val="24"/>
                <w:szCs w:val="24"/>
              </w:rPr>
              <w:t xml:space="preserve"> </w:t>
            </w:r>
            <w:r>
              <w:rPr>
                <w:rFonts w:ascii="Times New Roman" w:hAnsi="Times New Roman" w:eastAsia="Times New Roman" w:cs="Times New Roman"/>
                <w:b/>
                <w:bCs/>
                <w:spacing w:val="-1"/>
                <w:sz w:val="24"/>
                <w:szCs w:val="24"/>
              </w:rPr>
              <w:t xml:space="preserve">4.3-1    </w:t>
            </w:r>
            <w:r>
              <w:rPr>
                <w:spacing w:val="-1"/>
                <w:sz w:val="24"/>
                <w:szCs w:val="24"/>
                <w14:textOutline w14:w="4354" w14:cap="flat" w14:cmpd="sng">
                  <w14:solidFill>
                    <w14:srgbClr w14:val="000000"/>
                  </w14:solidFill>
                  <w14:prstDash w14:val="solid"/>
                  <w14:miter w14:val="10"/>
                </w14:textOutline>
              </w:rPr>
              <w:t>钻井废水产污系数</w:t>
            </w:r>
          </w:p>
          <w:p>
            <w:pPr>
              <w:spacing w:line="17" w:lineRule="exact"/>
            </w:pPr>
          </w:p>
          <w:tbl>
            <w:tblPr>
              <w:tblStyle w:val="5"/>
              <w:tblW w:w="916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8"/>
              <w:gridCol w:w="2905"/>
              <w:gridCol w:w="33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08" w:type="dxa"/>
                  <w:vAlign w:val="top"/>
                </w:tcPr>
                <w:p>
                  <w:pPr>
                    <w:pStyle w:val="6"/>
                    <w:spacing w:before="67" w:line="223" w:lineRule="auto"/>
                    <w:ind w:left="1042"/>
                    <w:rPr>
                      <w:sz w:val="21"/>
                      <w:szCs w:val="21"/>
                    </w:rPr>
                  </w:pPr>
                  <w:r>
                    <w:rPr>
                      <w:spacing w:val="-2"/>
                      <w:sz w:val="21"/>
                      <w:szCs w:val="21"/>
                    </w:rPr>
                    <w:t>工艺名称</w:t>
                  </w:r>
                </w:p>
              </w:tc>
              <w:tc>
                <w:tcPr>
                  <w:tcW w:w="2905" w:type="dxa"/>
                  <w:vAlign w:val="top"/>
                </w:tcPr>
                <w:p>
                  <w:pPr>
                    <w:pStyle w:val="6"/>
                    <w:spacing w:before="67" w:line="221" w:lineRule="auto"/>
                    <w:ind w:left="1037"/>
                    <w:rPr>
                      <w:sz w:val="21"/>
                      <w:szCs w:val="21"/>
                    </w:rPr>
                  </w:pPr>
                  <w:r>
                    <w:rPr>
                      <w:spacing w:val="-2"/>
                      <w:sz w:val="21"/>
                      <w:szCs w:val="21"/>
                    </w:rPr>
                    <w:t>规模等级</w:t>
                  </w:r>
                </w:p>
              </w:tc>
              <w:tc>
                <w:tcPr>
                  <w:tcW w:w="3351" w:type="dxa"/>
                  <w:vAlign w:val="top"/>
                </w:tcPr>
                <w:p>
                  <w:pPr>
                    <w:pStyle w:val="6"/>
                    <w:spacing w:before="68" w:line="234" w:lineRule="auto"/>
                    <w:ind w:left="754"/>
                    <w:rPr>
                      <w:sz w:val="21"/>
                      <w:szCs w:val="21"/>
                    </w:rPr>
                  </w:pPr>
                  <w:r>
                    <w:rPr>
                      <w:spacing w:val="-1"/>
                      <w:sz w:val="21"/>
                      <w:szCs w:val="21"/>
                    </w:rPr>
                    <w:t>废水产生系数</w:t>
                  </w:r>
                  <w:r>
                    <w:rPr>
                      <w:spacing w:val="-47"/>
                      <w:sz w:val="21"/>
                      <w:szCs w:val="21"/>
                    </w:rPr>
                    <w:t xml:space="preserve"> </w:t>
                  </w:r>
                  <w:r>
                    <w:rPr>
                      <w:rFonts w:ascii="Times New Roman" w:hAnsi="Times New Roman" w:eastAsia="Times New Roman" w:cs="Times New Roman"/>
                      <w:spacing w:val="-1"/>
                      <w:sz w:val="21"/>
                      <w:szCs w:val="21"/>
                    </w:rPr>
                    <w:t>t/</w:t>
                  </w:r>
                  <w:r>
                    <w:rPr>
                      <w:spacing w:val="-1"/>
                      <w:sz w:val="21"/>
                      <w:szCs w:val="21"/>
                    </w:rPr>
                    <w:t>百米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08" w:type="dxa"/>
                  <w:vMerge w:val="restart"/>
                  <w:tcBorders>
                    <w:bottom w:val="nil"/>
                  </w:tcBorders>
                  <w:vAlign w:val="top"/>
                </w:tcPr>
                <w:p>
                  <w:pPr>
                    <w:spacing w:line="343" w:lineRule="auto"/>
                    <w:rPr>
                      <w:rFonts w:ascii="Arial"/>
                      <w:sz w:val="21"/>
                    </w:rPr>
                  </w:pPr>
                </w:p>
                <w:p>
                  <w:pPr>
                    <w:pStyle w:val="6"/>
                    <w:spacing w:before="69" w:line="221" w:lineRule="auto"/>
                    <w:ind w:left="1039"/>
                    <w:rPr>
                      <w:sz w:val="21"/>
                      <w:szCs w:val="21"/>
                    </w:rPr>
                  </w:pPr>
                  <w:r>
                    <w:rPr>
                      <w:spacing w:val="-1"/>
                      <w:sz w:val="21"/>
                      <w:szCs w:val="21"/>
                    </w:rPr>
                    <w:t>普通气井</w:t>
                  </w:r>
                </w:p>
              </w:tc>
              <w:tc>
                <w:tcPr>
                  <w:tcW w:w="2905" w:type="dxa"/>
                  <w:vAlign w:val="top"/>
                </w:tcPr>
                <w:p>
                  <w:pPr>
                    <w:pStyle w:val="6"/>
                    <w:spacing w:before="64" w:line="234" w:lineRule="auto"/>
                    <w:ind w:left="970"/>
                    <w:rPr>
                      <w:sz w:val="21"/>
                      <w:szCs w:val="21"/>
                    </w:rPr>
                  </w:pPr>
                  <w:r>
                    <w:rPr>
                      <w:rFonts w:ascii="Times New Roman" w:hAnsi="Times New Roman" w:eastAsia="Times New Roman" w:cs="Times New Roman"/>
                      <w:sz w:val="21"/>
                      <w:szCs w:val="21"/>
                    </w:rPr>
                    <w:t xml:space="preserve">≤2km </w:t>
                  </w:r>
                  <w:r>
                    <w:rPr>
                      <w:sz w:val="21"/>
                      <w:szCs w:val="21"/>
                    </w:rPr>
                    <w:t>进尺</w:t>
                  </w:r>
                </w:p>
              </w:tc>
              <w:tc>
                <w:tcPr>
                  <w:tcW w:w="3351" w:type="dxa"/>
                  <w:vAlign w:val="top"/>
                </w:tcPr>
                <w:p>
                  <w:pPr>
                    <w:spacing w:before="102" w:line="187" w:lineRule="auto"/>
                    <w:ind w:left="14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08" w:type="dxa"/>
                  <w:vMerge w:val="continue"/>
                  <w:tcBorders>
                    <w:top w:val="nil"/>
                    <w:bottom w:val="nil"/>
                  </w:tcBorders>
                  <w:vAlign w:val="top"/>
                </w:tcPr>
                <w:p>
                  <w:pPr>
                    <w:rPr>
                      <w:rFonts w:ascii="Arial"/>
                      <w:sz w:val="21"/>
                    </w:rPr>
                  </w:pPr>
                </w:p>
              </w:tc>
              <w:tc>
                <w:tcPr>
                  <w:tcW w:w="2905" w:type="dxa"/>
                  <w:vAlign w:val="top"/>
                </w:tcPr>
                <w:p>
                  <w:pPr>
                    <w:pStyle w:val="6"/>
                    <w:spacing w:before="65" w:line="220" w:lineRule="auto"/>
                    <w:ind w:left="919"/>
                    <w:rPr>
                      <w:sz w:val="21"/>
                      <w:szCs w:val="21"/>
                    </w:rPr>
                  </w:pPr>
                  <w:r>
                    <w:rPr>
                      <w:rFonts w:ascii="Times New Roman" w:hAnsi="Times New Roman" w:eastAsia="Times New Roman" w:cs="Times New Roman"/>
                      <w:sz w:val="21"/>
                      <w:szCs w:val="21"/>
                    </w:rPr>
                    <w:t xml:space="preserve">2~4km </w:t>
                  </w:r>
                  <w:r>
                    <w:rPr>
                      <w:sz w:val="21"/>
                      <w:szCs w:val="21"/>
                    </w:rPr>
                    <w:t>进尺</w:t>
                  </w:r>
                </w:p>
              </w:tc>
              <w:tc>
                <w:tcPr>
                  <w:tcW w:w="3351" w:type="dxa"/>
                  <w:vAlign w:val="top"/>
                </w:tcPr>
                <w:p>
                  <w:pPr>
                    <w:spacing w:before="104" w:line="187" w:lineRule="auto"/>
                    <w:ind w:left="14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08" w:type="dxa"/>
                  <w:vMerge w:val="continue"/>
                  <w:tcBorders>
                    <w:top w:val="nil"/>
                  </w:tcBorders>
                  <w:vAlign w:val="top"/>
                </w:tcPr>
                <w:p>
                  <w:pPr>
                    <w:rPr>
                      <w:rFonts w:ascii="Arial"/>
                      <w:sz w:val="21"/>
                    </w:rPr>
                  </w:pPr>
                </w:p>
              </w:tc>
              <w:tc>
                <w:tcPr>
                  <w:tcW w:w="2905" w:type="dxa"/>
                  <w:vAlign w:val="top"/>
                </w:tcPr>
                <w:p>
                  <w:pPr>
                    <w:pStyle w:val="6"/>
                    <w:spacing w:before="66" w:line="234" w:lineRule="auto"/>
                    <w:ind w:left="970"/>
                    <w:rPr>
                      <w:sz w:val="21"/>
                      <w:szCs w:val="21"/>
                    </w:rPr>
                  </w:pPr>
                  <w:r>
                    <w:rPr>
                      <w:rFonts w:ascii="Times New Roman" w:hAnsi="Times New Roman" w:eastAsia="Times New Roman" w:cs="Times New Roman"/>
                      <w:sz w:val="21"/>
                      <w:szCs w:val="21"/>
                    </w:rPr>
                    <w:t xml:space="preserve">≥4km </w:t>
                  </w:r>
                  <w:r>
                    <w:rPr>
                      <w:sz w:val="21"/>
                      <w:szCs w:val="21"/>
                    </w:rPr>
                    <w:t>进尺</w:t>
                  </w:r>
                </w:p>
              </w:tc>
              <w:tc>
                <w:tcPr>
                  <w:tcW w:w="3351" w:type="dxa"/>
                  <w:vAlign w:val="top"/>
                </w:tcPr>
                <w:p>
                  <w:pPr>
                    <w:spacing w:before="105" w:line="187" w:lineRule="auto"/>
                    <w:ind w:left="14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52.64</w:t>
                  </w:r>
                </w:p>
              </w:tc>
            </w:tr>
          </w:tbl>
          <w:p>
            <w:pPr>
              <w:pStyle w:val="6"/>
              <w:spacing w:before="179" w:line="369" w:lineRule="auto"/>
              <w:ind w:left="107" w:right="101" w:firstLine="480"/>
              <w:jc w:val="both"/>
              <w:rPr>
                <w:sz w:val="24"/>
                <w:szCs w:val="24"/>
              </w:rPr>
            </w:pPr>
            <w:r>
              <w:rPr>
                <w:spacing w:val="-1"/>
                <w:sz w:val="24"/>
                <w:szCs w:val="24"/>
              </w:rPr>
              <w:t xml:space="preserve">根据建设单位提供的钻井经验数据，常规钻井过程中钻井废水回用率已达到 </w:t>
            </w:r>
            <w:r>
              <w:rPr>
                <w:rFonts w:ascii="Times New Roman" w:hAnsi="Times New Roman" w:eastAsia="Times New Roman" w:cs="Times New Roman"/>
                <w:spacing w:val="-1"/>
                <w:sz w:val="24"/>
                <w:szCs w:val="24"/>
              </w:rPr>
              <w:t>90%</w:t>
            </w:r>
            <w:r>
              <w:rPr>
                <w:spacing w:val="-1"/>
                <w:sz w:val="24"/>
                <w:szCs w:val="24"/>
              </w:rPr>
              <w:t>以</w:t>
            </w:r>
            <w:r>
              <w:rPr>
                <w:spacing w:val="2"/>
                <w:sz w:val="24"/>
                <w:szCs w:val="24"/>
              </w:rPr>
              <w:t xml:space="preserve"> </w:t>
            </w:r>
            <w:r>
              <w:rPr>
                <w:spacing w:val="1"/>
                <w:sz w:val="24"/>
                <w:szCs w:val="24"/>
              </w:rPr>
              <w:t>上，主要回用于泥浆配制或设备冲洗等，钻井过程中水损耗及废水处理后的剩余废水量</w:t>
            </w:r>
            <w:r>
              <w:rPr>
                <w:spacing w:val="2"/>
                <w:sz w:val="24"/>
                <w:szCs w:val="24"/>
              </w:rPr>
              <w:t xml:space="preserve"> </w:t>
            </w:r>
            <w:r>
              <w:rPr>
                <w:spacing w:val="-3"/>
                <w:sz w:val="24"/>
                <w:szCs w:val="24"/>
              </w:rPr>
              <w:t xml:space="preserve">共约用水量的 </w:t>
            </w:r>
            <w:r>
              <w:rPr>
                <w:rFonts w:ascii="Times New Roman" w:hAnsi="Times New Roman" w:eastAsia="Times New Roman" w:cs="Times New Roman"/>
                <w:spacing w:val="-3"/>
                <w:sz w:val="24"/>
                <w:szCs w:val="24"/>
              </w:rPr>
              <w:t>10%</w:t>
            </w:r>
            <w:r>
              <w:rPr>
                <w:spacing w:val="-3"/>
                <w:sz w:val="24"/>
                <w:szCs w:val="24"/>
              </w:rPr>
              <w:t xml:space="preserve">，其中地层损耗量约占 </w:t>
            </w:r>
            <w:r>
              <w:rPr>
                <w:rFonts w:ascii="Times New Roman" w:hAnsi="Times New Roman" w:eastAsia="Times New Roman" w:cs="Times New Roman"/>
                <w:spacing w:val="-3"/>
                <w:sz w:val="24"/>
                <w:szCs w:val="24"/>
              </w:rPr>
              <w:t>3%</w:t>
            </w:r>
            <w:r>
              <w:rPr>
                <w:spacing w:val="-3"/>
                <w:sz w:val="24"/>
                <w:szCs w:val="24"/>
              </w:rPr>
              <w:t>，泥浆带走约</w:t>
            </w:r>
            <w:r>
              <w:rPr>
                <w:spacing w:val="-3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4"/>
                <w:sz w:val="24"/>
                <w:szCs w:val="24"/>
              </w:rPr>
              <w:t>%</w:t>
            </w:r>
            <w:r>
              <w:rPr>
                <w:spacing w:val="-4"/>
                <w:sz w:val="24"/>
                <w:szCs w:val="24"/>
              </w:rPr>
              <w:t xml:space="preserve">，剩余废水量约 </w:t>
            </w:r>
            <w:r>
              <w:rPr>
                <w:rFonts w:ascii="Times New Roman" w:hAnsi="Times New Roman" w:eastAsia="Times New Roman" w:cs="Times New Roman"/>
                <w:spacing w:val="-4"/>
                <w:sz w:val="24"/>
                <w:szCs w:val="24"/>
              </w:rPr>
              <w:t>5%</w:t>
            </w:r>
            <w:r>
              <w:rPr>
                <w:spacing w:val="-4"/>
                <w:sz w:val="24"/>
                <w:szCs w:val="24"/>
              </w:rPr>
              <w:t>，剩</w:t>
            </w:r>
            <w:r>
              <w:rPr>
                <w:sz w:val="24"/>
                <w:szCs w:val="24"/>
              </w:rPr>
              <w:t xml:space="preserve"> </w:t>
            </w:r>
            <w:r>
              <w:rPr>
                <w:spacing w:val="-1"/>
                <w:sz w:val="24"/>
                <w:szCs w:val="24"/>
              </w:rPr>
              <w:t>余废水经井场内废水罐暂存后，</w:t>
            </w:r>
            <w:r>
              <w:rPr>
                <w:spacing w:val="-22"/>
                <w:sz w:val="24"/>
                <w:szCs w:val="24"/>
              </w:rPr>
              <w:t xml:space="preserve"> </w:t>
            </w:r>
            <w:r>
              <w:rPr>
                <w:spacing w:val="-1"/>
                <w:sz w:val="24"/>
                <w:szCs w:val="24"/>
              </w:rPr>
              <w:t>委托四川瑞利生</w:t>
            </w:r>
            <w:r>
              <w:rPr>
                <w:spacing w:val="-2"/>
                <w:sz w:val="24"/>
                <w:szCs w:val="24"/>
              </w:rPr>
              <w:t>物科技有限公司或其他有资质的单位处</w:t>
            </w:r>
          </w:p>
          <w:p>
            <w:pPr>
              <w:pStyle w:val="6"/>
              <w:spacing w:before="1" w:line="218" w:lineRule="auto"/>
              <w:ind w:left="106"/>
              <w:rPr>
                <w:sz w:val="24"/>
                <w:szCs w:val="24"/>
              </w:rPr>
            </w:pPr>
            <w:r>
              <w:rPr>
                <w:spacing w:val="-1"/>
                <w:sz w:val="24"/>
                <w:szCs w:val="24"/>
              </w:rPr>
              <w:t>置达标后排放。项目“一开</w:t>
            </w:r>
            <w:r>
              <w:rPr>
                <w:rFonts w:ascii="Times New Roman" w:hAnsi="Times New Roman" w:eastAsia="Times New Roman" w:cs="Times New Roman"/>
                <w:spacing w:val="-1"/>
                <w:sz w:val="24"/>
                <w:szCs w:val="24"/>
              </w:rPr>
              <w:t>~</w:t>
            </w:r>
            <w:r>
              <w:rPr>
                <w:spacing w:val="-1"/>
                <w:sz w:val="24"/>
                <w:szCs w:val="24"/>
              </w:rPr>
              <w:t>五开段”采用水基钻井液，钻井废水产生情况见</w:t>
            </w:r>
            <w:r>
              <w:rPr>
                <w:spacing w:val="-2"/>
                <w:sz w:val="24"/>
                <w:szCs w:val="24"/>
              </w:rPr>
              <w:t>下表。</w:t>
            </w:r>
          </w:p>
          <w:p>
            <w:pPr>
              <w:pStyle w:val="6"/>
              <w:spacing w:before="195" w:line="220" w:lineRule="auto"/>
              <w:ind w:left="2968"/>
              <w:rPr>
                <w:sz w:val="24"/>
                <w:szCs w:val="24"/>
              </w:rPr>
            </w:pPr>
            <w:r>
              <w:rPr>
                <w:spacing w:val="-1"/>
                <w:sz w:val="24"/>
                <w:szCs w:val="24"/>
                <w14:textOutline w14:w="4354" w14:cap="flat" w14:cmpd="sng">
                  <w14:solidFill>
                    <w14:srgbClr w14:val="000000"/>
                  </w14:solidFill>
                  <w14:prstDash w14:val="solid"/>
                  <w14:miter w14:val="10"/>
                </w14:textOutline>
              </w:rPr>
              <w:t>表</w:t>
            </w:r>
            <w:r>
              <w:rPr>
                <w:spacing w:val="-40"/>
                <w:sz w:val="24"/>
                <w:szCs w:val="24"/>
              </w:rPr>
              <w:t xml:space="preserve"> </w:t>
            </w:r>
            <w:r>
              <w:rPr>
                <w:rFonts w:ascii="Times New Roman" w:hAnsi="Times New Roman" w:eastAsia="Times New Roman" w:cs="Times New Roman"/>
                <w:b/>
                <w:bCs/>
                <w:spacing w:val="-1"/>
                <w:sz w:val="24"/>
                <w:szCs w:val="24"/>
              </w:rPr>
              <w:t xml:space="preserve">4.3-2    </w:t>
            </w:r>
            <w:r>
              <w:rPr>
                <w:spacing w:val="-1"/>
                <w:sz w:val="24"/>
                <w:szCs w:val="24"/>
                <w14:textOutline w14:w="4354" w14:cap="flat" w14:cmpd="sng">
                  <w14:solidFill>
                    <w14:srgbClr w14:val="000000"/>
                  </w14:solidFill>
                  <w14:prstDash w14:val="solid"/>
                  <w14:miter w14:val="10"/>
                </w14:textOutline>
              </w:rPr>
              <w:t>钻井废水产生排放情况</w:t>
            </w:r>
          </w:p>
          <w:p>
            <w:pPr>
              <w:spacing w:line="16"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058"/>
              <w:gridCol w:w="1058"/>
              <w:gridCol w:w="924"/>
              <w:gridCol w:w="890"/>
              <w:gridCol w:w="993"/>
              <w:gridCol w:w="991"/>
              <w:gridCol w:w="991"/>
              <w:gridCol w:w="1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56" w:type="dxa"/>
                  <w:vAlign w:val="top"/>
                </w:tcPr>
                <w:p>
                  <w:pPr>
                    <w:pStyle w:val="6"/>
                    <w:spacing w:before="170" w:line="237" w:lineRule="auto"/>
                    <w:ind w:left="115" w:right="13" w:firstLine="3"/>
                    <w:rPr>
                      <w:sz w:val="21"/>
                      <w:szCs w:val="21"/>
                    </w:rPr>
                  </w:pPr>
                  <w:r>
                    <w:rPr>
                      <w:spacing w:val="-2"/>
                      <w:sz w:val="21"/>
                      <w:szCs w:val="21"/>
                    </w:rPr>
                    <w:t>井段深</w:t>
                  </w:r>
                  <w:r>
                    <w:rPr>
                      <w:sz w:val="21"/>
                      <w:szCs w:val="21"/>
                    </w:rPr>
                    <w:t xml:space="preserve">  </w:t>
                  </w:r>
                  <w:r>
                    <w:rPr>
                      <w:spacing w:val="-18"/>
                      <w:sz w:val="21"/>
                      <w:szCs w:val="21"/>
                    </w:rPr>
                    <w:t>度（</w:t>
                  </w:r>
                  <w:r>
                    <w:rPr>
                      <w:rFonts w:ascii="Times New Roman" w:hAnsi="Times New Roman" w:eastAsia="Times New Roman" w:cs="Times New Roman"/>
                      <w:spacing w:val="-18"/>
                      <w:sz w:val="21"/>
                      <w:szCs w:val="21"/>
                    </w:rPr>
                    <w:t>m</w:t>
                  </w:r>
                  <w:r>
                    <w:rPr>
                      <w:spacing w:val="-18"/>
                      <w:sz w:val="21"/>
                      <w:szCs w:val="21"/>
                    </w:rPr>
                    <w:t>）</w:t>
                  </w:r>
                </w:p>
              </w:tc>
              <w:tc>
                <w:tcPr>
                  <w:tcW w:w="1058" w:type="dxa"/>
                  <w:vAlign w:val="top"/>
                </w:tcPr>
                <w:p>
                  <w:pPr>
                    <w:pStyle w:val="6"/>
                    <w:spacing w:before="33" w:line="221" w:lineRule="auto"/>
                    <w:ind w:left="111"/>
                    <w:rPr>
                      <w:sz w:val="21"/>
                      <w:szCs w:val="21"/>
                    </w:rPr>
                  </w:pPr>
                  <w:r>
                    <w:rPr>
                      <w:spacing w:val="-1"/>
                      <w:sz w:val="21"/>
                      <w:szCs w:val="21"/>
                    </w:rPr>
                    <w:t>废水产生</w:t>
                  </w:r>
                </w:p>
                <w:p>
                  <w:pPr>
                    <w:pStyle w:val="6"/>
                    <w:spacing w:before="20" w:line="223" w:lineRule="auto"/>
                    <w:ind w:left="224" w:right="150" w:hanging="60"/>
                    <w:rPr>
                      <w:sz w:val="21"/>
                      <w:szCs w:val="21"/>
                    </w:rPr>
                  </w:pPr>
                  <w:r>
                    <w:rPr>
                      <w:spacing w:val="-2"/>
                      <w:sz w:val="21"/>
                      <w:szCs w:val="21"/>
                    </w:rPr>
                    <w:t>系数（</w:t>
                  </w:r>
                  <w:r>
                    <w:rPr>
                      <w:rFonts w:ascii="Times New Roman" w:hAnsi="Times New Roman" w:eastAsia="Times New Roman" w:cs="Times New Roman"/>
                      <w:spacing w:val="-2"/>
                      <w:sz w:val="21"/>
                      <w:szCs w:val="21"/>
                    </w:rPr>
                    <w:t>t/</w:t>
                  </w:r>
                  <w:r>
                    <w:rPr>
                      <w:rFonts w:ascii="Times New Roman" w:hAnsi="Times New Roman" w:eastAsia="Times New Roman" w:cs="Times New Roman"/>
                      <w:sz w:val="21"/>
                      <w:szCs w:val="21"/>
                    </w:rPr>
                    <w:t xml:space="preserve"> </w:t>
                  </w:r>
                  <w:r>
                    <w:rPr>
                      <w:spacing w:val="-6"/>
                      <w:sz w:val="21"/>
                      <w:szCs w:val="21"/>
                    </w:rPr>
                    <w:t>百米）</w:t>
                  </w:r>
                </w:p>
              </w:tc>
              <w:tc>
                <w:tcPr>
                  <w:tcW w:w="1058" w:type="dxa"/>
                  <w:vAlign w:val="top"/>
                </w:tcPr>
                <w:p>
                  <w:pPr>
                    <w:pStyle w:val="6"/>
                    <w:spacing w:before="34" w:line="228" w:lineRule="auto"/>
                    <w:ind w:left="213" w:right="104" w:hanging="99"/>
                    <w:jc w:val="both"/>
                    <w:rPr>
                      <w:sz w:val="21"/>
                      <w:szCs w:val="21"/>
                    </w:rPr>
                  </w:pPr>
                  <w:r>
                    <w:rPr>
                      <w:spacing w:val="-2"/>
                      <w:sz w:val="21"/>
                      <w:szCs w:val="21"/>
                    </w:rPr>
                    <w:t>井段废水</w:t>
                  </w:r>
                  <w:r>
                    <w:rPr>
                      <w:spacing w:val="1"/>
                      <w:sz w:val="21"/>
                      <w:szCs w:val="21"/>
                    </w:rPr>
                    <w:t xml:space="preserve"> </w:t>
                  </w:r>
                  <w:r>
                    <w:rPr>
                      <w:spacing w:val="-1"/>
                      <w:sz w:val="21"/>
                      <w:szCs w:val="21"/>
                    </w:rPr>
                    <w:t>产生量</w:t>
                  </w:r>
                  <w:r>
                    <w:rPr>
                      <w:sz w:val="21"/>
                      <w:szCs w:val="21"/>
                    </w:rPr>
                    <w:t xml:space="preserve">  </w:t>
                  </w:r>
                  <w:r>
                    <w:rPr>
                      <w:spacing w:val="-3"/>
                      <w:sz w:val="21"/>
                      <w:szCs w:val="21"/>
                    </w:rPr>
                    <w:t>（</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position w:val="6"/>
                      <w:sz w:val="13"/>
                      <w:szCs w:val="13"/>
                    </w:rPr>
                    <w:t>3</w:t>
                  </w:r>
                  <w:r>
                    <w:rPr>
                      <w:spacing w:val="-3"/>
                      <w:sz w:val="21"/>
                      <w:szCs w:val="21"/>
                    </w:rPr>
                    <w:t>）</w:t>
                  </w:r>
                </w:p>
              </w:tc>
              <w:tc>
                <w:tcPr>
                  <w:tcW w:w="924" w:type="dxa"/>
                  <w:vAlign w:val="top"/>
                </w:tcPr>
                <w:p>
                  <w:pPr>
                    <w:pStyle w:val="6"/>
                    <w:spacing w:before="34" w:line="228" w:lineRule="auto"/>
                    <w:ind w:left="146" w:right="141" w:firstLine="5"/>
                    <w:jc w:val="both"/>
                    <w:rPr>
                      <w:sz w:val="21"/>
                      <w:szCs w:val="21"/>
                    </w:rPr>
                  </w:pPr>
                  <w:r>
                    <w:rPr>
                      <w:spacing w:val="-2"/>
                      <w:sz w:val="21"/>
                      <w:szCs w:val="21"/>
                    </w:rPr>
                    <w:t>补充新</w:t>
                  </w:r>
                  <w:r>
                    <w:rPr>
                      <w:sz w:val="21"/>
                      <w:szCs w:val="21"/>
                    </w:rPr>
                    <w:t xml:space="preserve"> 鲜水量 </w:t>
                  </w:r>
                  <w:r>
                    <w:rPr>
                      <w:spacing w:val="-6"/>
                      <w:sz w:val="21"/>
                      <w:szCs w:val="21"/>
                    </w:rPr>
                    <w:t>（</w:t>
                  </w:r>
                  <w:r>
                    <w:rPr>
                      <w:rFonts w:ascii="Times New Roman" w:hAnsi="Times New Roman" w:eastAsia="Times New Roman" w:cs="Times New Roman"/>
                      <w:spacing w:val="-6"/>
                      <w:sz w:val="21"/>
                      <w:szCs w:val="21"/>
                    </w:rPr>
                    <w:t>m</w:t>
                  </w:r>
                  <w:r>
                    <w:rPr>
                      <w:rFonts w:ascii="Times New Roman" w:hAnsi="Times New Roman" w:eastAsia="Times New Roman" w:cs="Times New Roman"/>
                      <w:spacing w:val="-6"/>
                      <w:position w:val="6"/>
                      <w:sz w:val="13"/>
                      <w:szCs w:val="13"/>
                    </w:rPr>
                    <w:t>3</w:t>
                  </w:r>
                  <w:r>
                    <w:rPr>
                      <w:spacing w:val="-6"/>
                      <w:sz w:val="21"/>
                      <w:szCs w:val="21"/>
                    </w:rPr>
                    <w:t>）</w:t>
                  </w:r>
                </w:p>
              </w:tc>
              <w:tc>
                <w:tcPr>
                  <w:tcW w:w="890" w:type="dxa"/>
                  <w:vAlign w:val="top"/>
                </w:tcPr>
                <w:p>
                  <w:pPr>
                    <w:pStyle w:val="6"/>
                    <w:spacing w:before="34" w:line="221" w:lineRule="auto"/>
                    <w:ind w:left="134"/>
                    <w:rPr>
                      <w:sz w:val="21"/>
                      <w:szCs w:val="21"/>
                    </w:rPr>
                  </w:pPr>
                  <w:r>
                    <w:rPr>
                      <w:spacing w:val="-1"/>
                      <w:sz w:val="21"/>
                      <w:szCs w:val="21"/>
                    </w:rPr>
                    <w:t>初期雨</w:t>
                  </w:r>
                </w:p>
                <w:p>
                  <w:pPr>
                    <w:pStyle w:val="6"/>
                    <w:spacing w:before="18" w:line="221" w:lineRule="auto"/>
                    <w:ind w:left="243"/>
                    <w:rPr>
                      <w:sz w:val="21"/>
                      <w:szCs w:val="21"/>
                    </w:rPr>
                  </w:pPr>
                  <w:r>
                    <w:rPr>
                      <w:spacing w:val="-3"/>
                      <w:sz w:val="21"/>
                      <w:szCs w:val="21"/>
                    </w:rPr>
                    <w:t>水量</w:t>
                  </w:r>
                </w:p>
                <w:p>
                  <w:pPr>
                    <w:pStyle w:val="6"/>
                    <w:spacing w:before="22" w:line="206" w:lineRule="auto"/>
                    <w:ind w:left="129"/>
                    <w:rPr>
                      <w:sz w:val="21"/>
                      <w:szCs w:val="21"/>
                    </w:rPr>
                  </w:pPr>
                  <w:r>
                    <w:rPr>
                      <w:spacing w:val="-3"/>
                      <w:sz w:val="21"/>
                      <w:szCs w:val="21"/>
                    </w:rPr>
                    <w:t>（</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position w:val="6"/>
                      <w:sz w:val="13"/>
                      <w:szCs w:val="13"/>
                    </w:rPr>
                    <w:t>3</w:t>
                  </w:r>
                  <w:r>
                    <w:rPr>
                      <w:spacing w:val="-3"/>
                      <w:sz w:val="21"/>
                      <w:szCs w:val="21"/>
                    </w:rPr>
                    <w:t>）</w:t>
                  </w:r>
                </w:p>
              </w:tc>
              <w:tc>
                <w:tcPr>
                  <w:tcW w:w="993" w:type="dxa"/>
                  <w:vAlign w:val="top"/>
                </w:tcPr>
                <w:p>
                  <w:pPr>
                    <w:pStyle w:val="6"/>
                    <w:spacing w:before="170" w:line="243" w:lineRule="auto"/>
                    <w:ind w:left="182" w:right="174" w:firstLine="26"/>
                    <w:rPr>
                      <w:sz w:val="21"/>
                      <w:szCs w:val="21"/>
                    </w:rPr>
                  </w:pPr>
                  <w:r>
                    <w:rPr>
                      <w:spacing w:val="-9"/>
                      <w:sz w:val="21"/>
                      <w:szCs w:val="21"/>
                    </w:rPr>
                    <w:t>回用量</w:t>
                  </w:r>
                  <w:r>
                    <w:rPr>
                      <w:spacing w:val="1"/>
                      <w:sz w:val="21"/>
                      <w:szCs w:val="21"/>
                    </w:rPr>
                    <w:t xml:space="preserve"> </w:t>
                  </w:r>
                  <w:r>
                    <w:rPr>
                      <w:spacing w:val="-6"/>
                      <w:sz w:val="21"/>
                      <w:szCs w:val="21"/>
                    </w:rPr>
                    <w:t>（</w:t>
                  </w:r>
                  <w:r>
                    <w:rPr>
                      <w:rFonts w:ascii="Times New Roman" w:hAnsi="Times New Roman" w:eastAsia="Times New Roman" w:cs="Times New Roman"/>
                      <w:spacing w:val="-6"/>
                      <w:sz w:val="21"/>
                      <w:szCs w:val="21"/>
                    </w:rPr>
                    <w:t>m</w:t>
                  </w:r>
                  <w:r>
                    <w:rPr>
                      <w:rFonts w:ascii="Times New Roman" w:hAnsi="Times New Roman" w:eastAsia="Times New Roman" w:cs="Times New Roman"/>
                      <w:spacing w:val="-6"/>
                      <w:position w:val="6"/>
                      <w:sz w:val="13"/>
                      <w:szCs w:val="13"/>
                    </w:rPr>
                    <w:t>3</w:t>
                  </w:r>
                  <w:r>
                    <w:rPr>
                      <w:spacing w:val="-6"/>
                      <w:sz w:val="21"/>
                      <w:szCs w:val="21"/>
                    </w:rPr>
                    <w:t>）</w:t>
                  </w:r>
                </w:p>
              </w:tc>
              <w:tc>
                <w:tcPr>
                  <w:tcW w:w="991" w:type="dxa"/>
                  <w:vAlign w:val="top"/>
                </w:tcPr>
                <w:p>
                  <w:pPr>
                    <w:pStyle w:val="6"/>
                    <w:spacing w:before="172" w:line="236" w:lineRule="auto"/>
                    <w:ind w:left="115" w:right="30" w:firstLine="71"/>
                    <w:rPr>
                      <w:sz w:val="21"/>
                      <w:szCs w:val="21"/>
                    </w:rPr>
                  </w:pPr>
                  <w:r>
                    <w:rPr>
                      <w:spacing w:val="-2"/>
                      <w:sz w:val="21"/>
                      <w:szCs w:val="21"/>
                    </w:rPr>
                    <w:t>地层损</w:t>
                  </w:r>
                  <w:r>
                    <w:rPr>
                      <w:sz w:val="21"/>
                      <w:szCs w:val="21"/>
                    </w:rPr>
                    <w:t xml:space="preserve">  </w:t>
                  </w:r>
                  <w:r>
                    <w:rPr>
                      <w:spacing w:val="-4"/>
                      <w:sz w:val="21"/>
                      <w:szCs w:val="21"/>
                    </w:rPr>
                    <w:t>耗（</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position w:val="6"/>
                      <w:sz w:val="13"/>
                      <w:szCs w:val="13"/>
                    </w:rPr>
                    <w:t>3</w:t>
                  </w:r>
                  <w:r>
                    <w:rPr>
                      <w:spacing w:val="-4"/>
                      <w:sz w:val="21"/>
                      <w:szCs w:val="21"/>
                    </w:rPr>
                    <w:t>）</w:t>
                  </w:r>
                </w:p>
              </w:tc>
              <w:tc>
                <w:tcPr>
                  <w:tcW w:w="991" w:type="dxa"/>
                  <w:vAlign w:val="top"/>
                </w:tcPr>
                <w:p>
                  <w:pPr>
                    <w:pStyle w:val="6"/>
                    <w:spacing w:before="171" w:line="237" w:lineRule="auto"/>
                    <w:ind w:left="117" w:right="29" w:firstLine="71"/>
                    <w:rPr>
                      <w:sz w:val="21"/>
                      <w:szCs w:val="21"/>
                    </w:rPr>
                  </w:pPr>
                  <w:r>
                    <w:rPr>
                      <w:spacing w:val="-3"/>
                      <w:sz w:val="21"/>
                      <w:szCs w:val="21"/>
                    </w:rPr>
                    <w:t>泥浆带</w:t>
                  </w:r>
                  <w:r>
                    <w:rPr>
                      <w:sz w:val="21"/>
                      <w:szCs w:val="21"/>
                    </w:rPr>
                    <w:t xml:space="preserve">  </w:t>
                  </w:r>
                  <w:r>
                    <w:rPr>
                      <w:spacing w:val="-4"/>
                      <w:sz w:val="21"/>
                      <w:szCs w:val="21"/>
                    </w:rPr>
                    <w:t>走（</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position w:val="6"/>
                      <w:sz w:val="13"/>
                      <w:szCs w:val="13"/>
                    </w:rPr>
                    <w:t>3</w:t>
                  </w:r>
                  <w:r>
                    <w:rPr>
                      <w:spacing w:val="-4"/>
                      <w:sz w:val="21"/>
                      <w:szCs w:val="21"/>
                    </w:rPr>
                    <w:t>）</w:t>
                  </w:r>
                </w:p>
              </w:tc>
              <w:tc>
                <w:tcPr>
                  <w:tcW w:w="1408" w:type="dxa"/>
                  <w:vAlign w:val="top"/>
                </w:tcPr>
                <w:p>
                  <w:pPr>
                    <w:pStyle w:val="6"/>
                    <w:spacing w:before="33" w:line="221" w:lineRule="auto"/>
                    <w:ind w:left="185"/>
                    <w:rPr>
                      <w:sz w:val="21"/>
                      <w:szCs w:val="21"/>
                    </w:rPr>
                  </w:pPr>
                  <w:r>
                    <w:rPr>
                      <w:spacing w:val="-1"/>
                      <w:sz w:val="21"/>
                      <w:szCs w:val="21"/>
                    </w:rPr>
                    <w:t>剩余废水量</w:t>
                  </w:r>
                </w:p>
                <w:p>
                  <w:pPr>
                    <w:pStyle w:val="6"/>
                    <w:spacing w:before="20" w:line="235" w:lineRule="auto"/>
                    <w:ind w:left="111"/>
                    <w:rPr>
                      <w:sz w:val="21"/>
                      <w:szCs w:val="21"/>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r>
                    <w:rPr>
                      <w:spacing w:val="-20"/>
                      <w:sz w:val="21"/>
                      <w:szCs w:val="21"/>
                    </w:rPr>
                    <w:t>（外运处理</w:t>
                  </w:r>
                </w:p>
                <w:p>
                  <w:pPr>
                    <w:pStyle w:val="6"/>
                    <w:spacing w:before="5" w:line="206" w:lineRule="auto"/>
                    <w:ind w:left="502"/>
                    <w:rPr>
                      <w:sz w:val="21"/>
                      <w:szCs w:val="21"/>
                    </w:rPr>
                  </w:pPr>
                  <w:r>
                    <w:rPr>
                      <w:spacing w:val="-6"/>
                      <w:sz w:val="21"/>
                      <w:szCs w:val="21"/>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6" w:type="dxa"/>
                  <w:vAlign w:val="top"/>
                </w:tcPr>
                <w:p>
                  <w:pPr>
                    <w:spacing w:before="106"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058" w:type="dxa"/>
                  <w:vAlign w:val="top"/>
                </w:tcPr>
                <w:p>
                  <w:pPr>
                    <w:spacing w:before="106"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54.94</w:t>
                  </w:r>
                </w:p>
              </w:tc>
              <w:tc>
                <w:tcPr>
                  <w:tcW w:w="1058" w:type="dxa"/>
                  <w:vAlign w:val="top"/>
                </w:tcPr>
                <w:p>
                  <w:pPr>
                    <w:spacing w:before="106" w:line="187"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1098.80</w:t>
                  </w:r>
                </w:p>
              </w:tc>
              <w:tc>
                <w:tcPr>
                  <w:tcW w:w="924" w:type="dxa"/>
                  <w:vMerge w:val="restart"/>
                  <w:tcBorders>
                    <w:bottom w:val="nil"/>
                  </w:tcBorders>
                  <w:vAlign w:val="top"/>
                </w:tcPr>
                <w:p>
                  <w:pPr>
                    <w:spacing w:line="388" w:lineRule="auto"/>
                    <w:rPr>
                      <w:rFonts w:ascii="Arial"/>
                      <w:sz w:val="21"/>
                    </w:rPr>
                  </w:pPr>
                </w:p>
                <w:p>
                  <w:pPr>
                    <w:spacing w:before="60" w:line="233"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0" w:type="dxa"/>
                  <w:vMerge w:val="restart"/>
                  <w:tcBorders>
                    <w:bottom w:val="nil"/>
                  </w:tcBorders>
                  <w:vAlign w:val="top"/>
                </w:tcPr>
                <w:p>
                  <w:pPr>
                    <w:spacing w:line="388" w:lineRule="auto"/>
                    <w:rPr>
                      <w:rFonts w:ascii="Arial"/>
                      <w:sz w:val="21"/>
                    </w:rPr>
                  </w:pPr>
                </w:p>
                <w:p>
                  <w:pPr>
                    <w:spacing w:before="60" w:line="233" w:lineRule="auto"/>
                    <w:ind w:left="41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3" w:type="dxa"/>
                  <w:vMerge w:val="restart"/>
                  <w:tcBorders>
                    <w:bottom w:val="nil"/>
                  </w:tcBorders>
                  <w:vAlign w:val="top"/>
                </w:tcPr>
                <w:p>
                  <w:pPr>
                    <w:spacing w:line="388" w:lineRule="auto"/>
                    <w:rPr>
                      <w:rFonts w:ascii="Arial"/>
                      <w:sz w:val="21"/>
                    </w:rPr>
                  </w:pPr>
                </w:p>
                <w:p>
                  <w:pPr>
                    <w:spacing w:before="60" w:line="233" w:lineRule="auto"/>
                    <w:ind w:left="46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Merge w:val="restart"/>
                  <w:tcBorders>
                    <w:bottom w:val="nil"/>
                  </w:tcBorders>
                  <w:vAlign w:val="top"/>
                </w:tcPr>
                <w:p>
                  <w:pPr>
                    <w:spacing w:line="388" w:lineRule="auto"/>
                    <w:rPr>
                      <w:rFonts w:ascii="Arial"/>
                      <w:sz w:val="21"/>
                    </w:rPr>
                  </w:pPr>
                </w:p>
                <w:p>
                  <w:pPr>
                    <w:spacing w:before="60" w:line="233" w:lineRule="auto"/>
                    <w:ind w:left="46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Merge w:val="restart"/>
                  <w:tcBorders>
                    <w:bottom w:val="nil"/>
                  </w:tcBorders>
                  <w:vAlign w:val="top"/>
                </w:tcPr>
                <w:p>
                  <w:pPr>
                    <w:spacing w:line="388" w:lineRule="auto"/>
                    <w:rPr>
                      <w:rFonts w:ascii="Arial"/>
                      <w:sz w:val="21"/>
                    </w:rPr>
                  </w:pPr>
                </w:p>
                <w:p>
                  <w:pPr>
                    <w:spacing w:before="60" w:line="233" w:lineRule="auto"/>
                    <w:ind w:left="46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8" w:type="dxa"/>
                  <w:vMerge w:val="restart"/>
                  <w:tcBorders>
                    <w:bottom w:val="nil"/>
                  </w:tcBorders>
                  <w:vAlign w:val="top"/>
                </w:tcPr>
                <w:p>
                  <w:pPr>
                    <w:spacing w:line="388" w:lineRule="auto"/>
                    <w:rPr>
                      <w:rFonts w:ascii="Arial"/>
                      <w:sz w:val="21"/>
                    </w:rPr>
                  </w:pPr>
                </w:p>
                <w:p>
                  <w:pPr>
                    <w:spacing w:before="60" w:line="233"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6" w:type="dxa"/>
                  <w:vAlign w:val="top"/>
                </w:tcPr>
                <w:p>
                  <w:pPr>
                    <w:spacing w:before="104"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1058" w:type="dxa"/>
                  <w:vAlign w:val="top"/>
                </w:tcPr>
                <w:p>
                  <w:pPr>
                    <w:spacing w:before="104"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46.61</w:t>
                  </w:r>
                </w:p>
              </w:tc>
              <w:tc>
                <w:tcPr>
                  <w:tcW w:w="1058" w:type="dxa"/>
                  <w:vAlign w:val="top"/>
                </w:tcPr>
                <w:p>
                  <w:pPr>
                    <w:spacing w:before="104"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932.20</w:t>
                  </w:r>
                </w:p>
              </w:tc>
              <w:tc>
                <w:tcPr>
                  <w:tcW w:w="924" w:type="dxa"/>
                  <w:vMerge w:val="continue"/>
                  <w:tcBorders>
                    <w:top w:val="nil"/>
                    <w:bottom w:val="nil"/>
                  </w:tcBorders>
                  <w:vAlign w:val="top"/>
                </w:tcPr>
                <w:p>
                  <w:pPr>
                    <w:rPr>
                      <w:rFonts w:ascii="Arial"/>
                      <w:sz w:val="21"/>
                    </w:rPr>
                  </w:pPr>
                </w:p>
              </w:tc>
              <w:tc>
                <w:tcPr>
                  <w:tcW w:w="890" w:type="dxa"/>
                  <w:vMerge w:val="continue"/>
                  <w:tcBorders>
                    <w:top w:val="nil"/>
                    <w:bottom w:val="nil"/>
                  </w:tcBorders>
                  <w:vAlign w:val="top"/>
                </w:tcPr>
                <w:p>
                  <w:pPr>
                    <w:rPr>
                      <w:rFonts w:ascii="Arial"/>
                      <w:sz w:val="21"/>
                    </w:rPr>
                  </w:pPr>
                </w:p>
              </w:tc>
              <w:tc>
                <w:tcPr>
                  <w:tcW w:w="993" w:type="dxa"/>
                  <w:vMerge w:val="continue"/>
                  <w:tcBorders>
                    <w:top w:val="nil"/>
                    <w:bottom w:val="nil"/>
                  </w:tcBorders>
                  <w:vAlign w:val="top"/>
                </w:tcPr>
                <w:p>
                  <w:pPr>
                    <w:rPr>
                      <w:rFonts w:ascii="Arial"/>
                      <w:sz w:val="21"/>
                    </w:rPr>
                  </w:pPr>
                </w:p>
              </w:tc>
              <w:tc>
                <w:tcPr>
                  <w:tcW w:w="991" w:type="dxa"/>
                  <w:vMerge w:val="continue"/>
                  <w:tcBorders>
                    <w:top w:val="nil"/>
                    <w:bottom w:val="nil"/>
                  </w:tcBorders>
                  <w:vAlign w:val="top"/>
                </w:tcPr>
                <w:p>
                  <w:pPr>
                    <w:rPr>
                      <w:rFonts w:ascii="Arial"/>
                      <w:sz w:val="21"/>
                    </w:rPr>
                  </w:pPr>
                </w:p>
              </w:tc>
              <w:tc>
                <w:tcPr>
                  <w:tcW w:w="991" w:type="dxa"/>
                  <w:vMerge w:val="continue"/>
                  <w:tcBorders>
                    <w:top w:val="nil"/>
                    <w:bottom w:val="nil"/>
                  </w:tcBorders>
                  <w:vAlign w:val="top"/>
                </w:tcPr>
                <w:p>
                  <w:pPr>
                    <w:rPr>
                      <w:rFonts w:ascii="Arial"/>
                      <w:sz w:val="21"/>
                    </w:rPr>
                  </w:pPr>
                </w:p>
              </w:tc>
              <w:tc>
                <w:tcPr>
                  <w:tcW w:w="140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6"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7135</w:t>
                  </w:r>
                </w:p>
              </w:tc>
              <w:tc>
                <w:tcPr>
                  <w:tcW w:w="1058"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52.64</w:t>
                  </w:r>
                </w:p>
              </w:tc>
              <w:tc>
                <w:tcPr>
                  <w:tcW w:w="1058" w:type="dxa"/>
                  <w:vAlign w:val="top"/>
                </w:tcPr>
                <w:p>
                  <w:pPr>
                    <w:spacing w:before="104" w:line="187"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1650.26</w:t>
                  </w:r>
                </w:p>
              </w:tc>
              <w:tc>
                <w:tcPr>
                  <w:tcW w:w="924" w:type="dxa"/>
                  <w:vMerge w:val="continue"/>
                  <w:tcBorders>
                    <w:top w:val="nil"/>
                  </w:tcBorders>
                  <w:vAlign w:val="top"/>
                </w:tcPr>
                <w:p>
                  <w:pPr>
                    <w:rPr>
                      <w:rFonts w:ascii="Arial"/>
                      <w:sz w:val="21"/>
                    </w:rPr>
                  </w:pPr>
                </w:p>
              </w:tc>
              <w:tc>
                <w:tcPr>
                  <w:tcW w:w="890"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991" w:type="dxa"/>
                  <w:vMerge w:val="continue"/>
                  <w:tcBorders>
                    <w:top w:val="nil"/>
                  </w:tcBorders>
                  <w:vAlign w:val="top"/>
                </w:tcPr>
                <w:p>
                  <w:pPr>
                    <w:rPr>
                      <w:rFonts w:ascii="Arial"/>
                      <w:sz w:val="21"/>
                    </w:rPr>
                  </w:pPr>
                </w:p>
              </w:tc>
              <w:tc>
                <w:tcPr>
                  <w:tcW w:w="991" w:type="dxa"/>
                  <w:vMerge w:val="continue"/>
                  <w:tcBorders>
                    <w:top w:val="nil"/>
                  </w:tcBorders>
                  <w:vAlign w:val="top"/>
                </w:tcPr>
                <w:p>
                  <w:pPr>
                    <w:rPr>
                      <w:rFonts w:ascii="Arial"/>
                      <w:sz w:val="21"/>
                    </w:rPr>
                  </w:pPr>
                </w:p>
              </w:tc>
              <w:tc>
                <w:tcPr>
                  <w:tcW w:w="140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14" w:type="dxa"/>
                  <w:gridSpan w:val="2"/>
                  <w:vAlign w:val="top"/>
                </w:tcPr>
                <w:p>
                  <w:pPr>
                    <w:pStyle w:val="6"/>
                    <w:spacing w:before="67" w:line="222" w:lineRule="auto"/>
                    <w:ind w:left="757"/>
                    <w:rPr>
                      <w:sz w:val="21"/>
                      <w:szCs w:val="21"/>
                    </w:rPr>
                  </w:pPr>
                  <w:r>
                    <w:rPr>
                      <w:spacing w:val="-3"/>
                      <w:sz w:val="21"/>
                      <w:szCs w:val="21"/>
                    </w:rPr>
                    <w:t>小计</w:t>
                  </w:r>
                </w:p>
              </w:tc>
              <w:tc>
                <w:tcPr>
                  <w:tcW w:w="1058" w:type="dxa"/>
                  <w:vAlign w:val="top"/>
                </w:tcPr>
                <w:p>
                  <w:pPr>
                    <w:spacing w:before="101" w:line="187" w:lineRule="auto"/>
                    <w:ind w:left="1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3681.26</w:t>
                  </w:r>
                </w:p>
              </w:tc>
              <w:tc>
                <w:tcPr>
                  <w:tcW w:w="924" w:type="dxa"/>
                  <w:vAlign w:val="top"/>
                </w:tcPr>
                <w:p>
                  <w:pPr>
                    <w:spacing w:before="106"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358.04</w:t>
                  </w:r>
                </w:p>
              </w:tc>
              <w:tc>
                <w:tcPr>
                  <w:tcW w:w="890" w:type="dxa"/>
                  <w:vAlign w:val="top"/>
                </w:tcPr>
                <w:p>
                  <w:pPr>
                    <w:spacing w:before="106"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10.09</w:t>
                  </w:r>
                </w:p>
              </w:tc>
              <w:tc>
                <w:tcPr>
                  <w:tcW w:w="993" w:type="dxa"/>
                  <w:vAlign w:val="top"/>
                </w:tcPr>
                <w:p>
                  <w:pPr>
                    <w:spacing w:before="106"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3313.14</w:t>
                  </w:r>
                </w:p>
              </w:tc>
              <w:tc>
                <w:tcPr>
                  <w:tcW w:w="991" w:type="dxa"/>
                  <w:vAlign w:val="top"/>
                </w:tcPr>
                <w:p>
                  <w:pPr>
                    <w:spacing w:before="106"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110.44</w:t>
                  </w:r>
                </w:p>
              </w:tc>
              <w:tc>
                <w:tcPr>
                  <w:tcW w:w="991" w:type="dxa"/>
                  <w:vAlign w:val="top"/>
                </w:tcPr>
                <w:p>
                  <w:pPr>
                    <w:spacing w:before="106"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73.63</w:t>
                  </w:r>
                </w:p>
              </w:tc>
              <w:tc>
                <w:tcPr>
                  <w:tcW w:w="1408" w:type="dxa"/>
                  <w:vAlign w:val="top"/>
                </w:tcPr>
                <w:p>
                  <w:pPr>
                    <w:spacing w:before="106"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184.06</w:t>
                  </w:r>
                </w:p>
              </w:tc>
            </w:tr>
          </w:tbl>
          <w:p>
            <w:pPr>
              <w:pStyle w:val="6"/>
              <w:spacing w:before="182" w:line="373" w:lineRule="auto"/>
              <w:ind w:left="107" w:right="99" w:firstLine="480"/>
              <w:jc w:val="both"/>
              <w:rPr>
                <w:sz w:val="24"/>
                <w:szCs w:val="24"/>
              </w:rPr>
            </w:pPr>
            <w:r>
              <w:rPr>
                <w:spacing w:val="1"/>
                <w:sz w:val="24"/>
                <w:szCs w:val="24"/>
              </w:rPr>
              <w:t>钻井废水主要污染物成分为钻井泥浆成分，其性质是钻井泥浆的高倍稀释废水。采</w:t>
            </w:r>
            <w:r>
              <w:rPr>
                <w:spacing w:val="3"/>
                <w:sz w:val="24"/>
                <w:szCs w:val="24"/>
              </w:rPr>
              <w:t xml:space="preserve"> </w:t>
            </w:r>
            <w:r>
              <w:rPr>
                <w:spacing w:val="-3"/>
                <w:sz w:val="24"/>
                <w:szCs w:val="24"/>
              </w:rPr>
              <w:t>用的水基钻井泥浆不含重金属， 钻井废水无重金属污染，具有色度高、</w:t>
            </w:r>
            <w:r>
              <w:rPr>
                <w:rFonts w:ascii="Times New Roman" w:hAnsi="Times New Roman" w:eastAsia="Times New Roman" w:cs="Times New Roman"/>
                <w:spacing w:val="-3"/>
                <w:sz w:val="24"/>
                <w:szCs w:val="24"/>
              </w:rPr>
              <w:t>COD</w:t>
            </w:r>
            <w:r>
              <w:rPr>
                <w:spacing w:val="-3"/>
                <w:sz w:val="24"/>
                <w:szCs w:val="24"/>
              </w:rPr>
              <w:t>、悬浮物浓</w:t>
            </w:r>
            <w:r>
              <w:rPr>
                <w:spacing w:val="15"/>
                <w:sz w:val="24"/>
                <w:szCs w:val="24"/>
              </w:rPr>
              <w:t xml:space="preserve"> </w:t>
            </w:r>
            <w:r>
              <w:rPr>
                <w:spacing w:val="-4"/>
                <w:sz w:val="24"/>
                <w:szCs w:val="24"/>
              </w:rPr>
              <w:t>度高的特点。根据</w:t>
            </w:r>
            <w:r>
              <w:rPr>
                <w:spacing w:val="-27"/>
                <w:sz w:val="24"/>
                <w:szCs w:val="24"/>
              </w:rPr>
              <w:t xml:space="preserve"> </w:t>
            </w:r>
            <w:r>
              <w:rPr>
                <w:rFonts w:ascii="Times New Roman" w:hAnsi="Times New Roman" w:eastAsia="Times New Roman" w:cs="Times New Roman"/>
                <w:spacing w:val="-4"/>
                <w:sz w:val="24"/>
                <w:szCs w:val="24"/>
              </w:rPr>
              <w:t>1120</w:t>
            </w:r>
            <w:r>
              <w:rPr>
                <w:spacing w:val="-4"/>
                <w:sz w:val="24"/>
                <w:szCs w:val="24"/>
              </w:rPr>
              <w:t>《石油和天然气开采专业及辅助性活动行业系数手册》</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29"/>
                <w:sz w:val="24"/>
                <w:szCs w:val="24"/>
              </w:rPr>
              <w:t xml:space="preserve"> </w:t>
            </w:r>
            <w:r>
              <w:rPr>
                <w:spacing w:val="-4"/>
                <w:sz w:val="24"/>
                <w:szCs w:val="24"/>
              </w:rPr>
              <w:t>的产</w:t>
            </w:r>
            <w:r>
              <w:rPr>
                <w:sz w:val="24"/>
                <w:szCs w:val="24"/>
              </w:rPr>
              <w:t xml:space="preserve"> </w:t>
            </w:r>
            <w:r>
              <w:rPr>
                <w:spacing w:val="-9"/>
                <w:sz w:val="24"/>
                <w:szCs w:val="24"/>
              </w:rPr>
              <w:t>污系数， 钻井作业（普通气井） ≤</w:t>
            </w:r>
            <w:r>
              <w:rPr>
                <w:rFonts w:ascii="Times New Roman" w:hAnsi="Times New Roman" w:eastAsia="Times New Roman" w:cs="Times New Roman"/>
                <w:spacing w:val="-9"/>
                <w:sz w:val="24"/>
                <w:szCs w:val="24"/>
              </w:rPr>
              <w:t xml:space="preserve">2 </w:t>
            </w:r>
            <w:r>
              <w:rPr>
                <w:spacing w:val="-9"/>
                <w:sz w:val="24"/>
                <w:szCs w:val="24"/>
              </w:rPr>
              <w:t>千米进尺为</w:t>
            </w:r>
            <w:r>
              <w:rPr>
                <w:spacing w:val="-45"/>
                <w:sz w:val="24"/>
                <w:szCs w:val="24"/>
              </w:rPr>
              <w:t xml:space="preserve"> </w:t>
            </w:r>
            <w:r>
              <w:rPr>
                <w:rFonts w:ascii="Times New Roman" w:hAnsi="Times New Roman" w:eastAsia="Times New Roman" w:cs="Times New Roman"/>
                <w:spacing w:val="-9"/>
                <w:sz w:val="24"/>
                <w:szCs w:val="24"/>
              </w:rPr>
              <w:t>241855g/</w:t>
            </w:r>
            <w:r>
              <w:rPr>
                <w:spacing w:val="-9"/>
                <w:sz w:val="24"/>
                <w:szCs w:val="24"/>
              </w:rPr>
              <w:t xml:space="preserve">百米， </w:t>
            </w:r>
            <w:r>
              <w:rPr>
                <w:rFonts w:ascii="Times New Roman" w:hAnsi="Times New Roman" w:eastAsia="Times New Roman" w:cs="Times New Roman"/>
                <w:spacing w:val="-9"/>
                <w:sz w:val="24"/>
                <w:szCs w:val="24"/>
              </w:rPr>
              <w:t xml:space="preserve">2~4 </w:t>
            </w:r>
            <w:r>
              <w:rPr>
                <w:spacing w:val="-9"/>
                <w:sz w:val="24"/>
                <w:szCs w:val="24"/>
              </w:rPr>
              <w:t>千米进尺为</w:t>
            </w:r>
            <w:r>
              <w:rPr>
                <w:spacing w:val="-54"/>
                <w:sz w:val="24"/>
                <w:szCs w:val="24"/>
              </w:rPr>
              <w:t xml:space="preserve"> </w:t>
            </w:r>
            <w:r>
              <w:rPr>
                <w:rFonts w:ascii="Times New Roman" w:hAnsi="Times New Roman" w:eastAsia="Times New Roman" w:cs="Times New Roman"/>
                <w:spacing w:val="-9"/>
                <w:sz w:val="24"/>
                <w:szCs w:val="24"/>
              </w:rPr>
              <w:t>204602g/</w:t>
            </w:r>
            <w:r>
              <w:rPr>
                <w:rFonts w:ascii="Times New Roman" w:hAnsi="Times New Roman" w:eastAsia="Times New Roman" w:cs="Times New Roman"/>
                <w:sz w:val="24"/>
                <w:szCs w:val="24"/>
              </w:rPr>
              <w:t xml:space="preserve"> </w:t>
            </w:r>
            <w:r>
              <w:rPr>
                <w:spacing w:val="-2"/>
                <w:sz w:val="24"/>
                <w:szCs w:val="24"/>
              </w:rPr>
              <w:t>百米，≥</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8"/>
                <w:sz w:val="24"/>
                <w:szCs w:val="24"/>
              </w:rPr>
              <w:t xml:space="preserve"> </w:t>
            </w:r>
            <w:r>
              <w:rPr>
                <w:spacing w:val="-2"/>
                <w:sz w:val="24"/>
                <w:szCs w:val="24"/>
              </w:rPr>
              <w:t>千米进尺为</w:t>
            </w:r>
            <w:r>
              <w:rPr>
                <w:spacing w:val="-33"/>
                <w:sz w:val="24"/>
                <w:szCs w:val="24"/>
              </w:rPr>
              <w:t xml:space="preserve"> </w:t>
            </w:r>
            <w:r>
              <w:rPr>
                <w:rFonts w:ascii="Times New Roman" w:hAnsi="Times New Roman" w:eastAsia="Times New Roman" w:cs="Times New Roman"/>
                <w:spacing w:val="-2"/>
                <w:sz w:val="24"/>
                <w:szCs w:val="24"/>
              </w:rPr>
              <w:t>244810g/</w:t>
            </w:r>
            <w:r>
              <w:rPr>
                <w:spacing w:val="-2"/>
                <w:sz w:val="24"/>
                <w:szCs w:val="24"/>
              </w:rPr>
              <w:t xml:space="preserve">百米，经计算钻井废水中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8"/>
                <w:w w:val="101"/>
                <w:sz w:val="24"/>
                <w:szCs w:val="24"/>
              </w:rPr>
              <w:t xml:space="preserve"> </w:t>
            </w:r>
            <w:r>
              <w:rPr>
                <w:spacing w:val="-2"/>
                <w:sz w:val="24"/>
                <w:szCs w:val="24"/>
              </w:rPr>
              <w:t>浓度为</w:t>
            </w:r>
            <w:r>
              <w:rPr>
                <w:spacing w:val="-37"/>
                <w:sz w:val="24"/>
                <w:szCs w:val="24"/>
              </w:rPr>
              <w:t xml:space="preserve"> </w:t>
            </w:r>
            <w:r>
              <w:rPr>
                <w:rFonts w:ascii="Times New Roman" w:hAnsi="Times New Roman" w:eastAsia="Times New Roman" w:cs="Times New Roman"/>
                <w:spacing w:val="-2"/>
                <w:sz w:val="24"/>
                <w:szCs w:val="24"/>
              </w:rPr>
              <w:t>457</w:t>
            </w:r>
            <w:r>
              <w:rPr>
                <w:rFonts w:ascii="Times New Roman" w:hAnsi="Times New Roman" w:eastAsia="Times New Roman" w:cs="Times New Roman"/>
                <w:spacing w:val="-3"/>
                <w:sz w:val="24"/>
                <w:szCs w:val="24"/>
              </w:rPr>
              <w:t>6mg/L</w:t>
            </w:r>
            <w:r>
              <w:rPr>
                <w:rFonts w:ascii="Times New Roman" w:hAnsi="Times New Roman" w:eastAsia="Times New Roman" w:cs="Times New Roman"/>
                <w:spacing w:val="-31"/>
                <w:sz w:val="24"/>
                <w:szCs w:val="24"/>
              </w:rPr>
              <w:t xml:space="preserve"> </w:t>
            </w:r>
            <w:r>
              <w:rPr>
                <w:spacing w:val="-3"/>
                <w:sz w:val="24"/>
                <w:szCs w:val="24"/>
              </w:rPr>
              <w:t>，经过</w:t>
            </w:r>
            <w:r>
              <w:rPr>
                <w:sz w:val="24"/>
                <w:szCs w:val="24"/>
              </w:rPr>
              <w:t xml:space="preserve"> </w:t>
            </w:r>
            <w:r>
              <w:rPr>
                <w:spacing w:val="1"/>
                <w:sz w:val="24"/>
                <w:szCs w:val="24"/>
              </w:rPr>
              <w:t>清洁生产平台内的隔油罐、沉淀罐预处理后浓度降低。经类比调查和建设单位提供的钻</w:t>
            </w:r>
            <w:r>
              <w:rPr>
                <w:spacing w:val="9"/>
                <w:sz w:val="24"/>
                <w:szCs w:val="24"/>
              </w:rPr>
              <w:t xml:space="preserve"> </w:t>
            </w:r>
            <w:r>
              <w:rPr>
                <w:spacing w:val="-2"/>
                <w:sz w:val="24"/>
                <w:szCs w:val="24"/>
              </w:rPr>
              <w:t xml:space="preserve">井经验数据，钻井废水中石油类浓度在 </w:t>
            </w:r>
            <w:r>
              <w:rPr>
                <w:rFonts w:ascii="Times New Roman" w:hAnsi="Times New Roman" w:eastAsia="Times New Roman" w:cs="Times New Roman"/>
                <w:spacing w:val="-2"/>
                <w:sz w:val="24"/>
                <w:szCs w:val="24"/>
              </w:rPr>
              <w:t xml:space="preserve">100mg/L  </w:t>
            </w:r>
            <w:r>
              <w:rPr>
                <w:spacing w:val="-2"/>
                <w:sz w:val="24"/>
                <w:szCs w:val="24"/>
              </w:rPr>
              <w:t>以下，评价考虑</w:t>
            </w:r>
            <w:r>
              <w:rPr>
                <w:spacing w:val="-3"/>
                <w:sz w:val="24"/>
                <w:szCs w:val="24"/>
              </w:rPr>
              <w:t>最大值，故除</w:t>
            </w:r>
            <w:r>
              <w:rPr>
                <w:spacing w:val="-24"/>
                <w:sz w:val="24"/>
                <w:szCs w:val="24"/>
              </w:rPr>
              <w:t xml:space="preserve"> </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40"/>
                <w:sz w:val="24"/>
                <w:szCs w:val="24"/>
              </w:rPr>
              <w:t xml:space="preserve"> </w:t>
            </w:r>
            <w:r>
              <w:rPr>
                <w:spacing w:val="-3"/>
                <w:sz w:val="24"/>
                <w:szCs w:val="24"/>
              </w:rPr>
              <w:t>外</w:t>
            </w:r>
            <w:r>
              <w:rPr>
                <w:sz w:val="24"/>
                <w:szCs w:val="24"/>
              </w:rPr>
              <w:t xml:space="preserve"> </w:t>
            </w:r>
            <w:r>
              <w:rPr>
                <w:spacing w:val="1"/>
                <w:sz w:val="24"/>
                <w:szCs w:val="24"/>
              </w:rPr>
              <w:t>的其他污染因子类比同类型钻井工程废水水质情况，则钻井废水中主要污染物浓度见表</w:t>
            </w:r>
          </w:p>
          <w:p>
            <w:pPr>
              <w:pStyle w:val="6"/>
              <w:spacing w:before="1" w:line="178" w:lineRule="auto"/>
              <w:ind w:left="102"/>
              <w:rPr>
                <w:sz w:val="24"/>
                <w:szCs w:val="24"/>
              </w:rPr>
            </w:pPr>
            <w:r>
              <w:rPr>
                <w:rFonts w:ascii="Times New Roman" w:hAnsi="Times New Roman" w:eastAsia="Times New Roman" w:cs="Times New Roman"/>
                <w:spacing w:val="-1"/>
                <w:sz w:val="24"/>
                <w:szCs w:val="24"/>
              </w:rPr>
              <w:t>4.3-3</w:t>
            </w:r>
            <w:r>
              <w:rPr>
                <w:spacing w:val="-1"/>
                <w:sz w:val="24"/>
                <w:szCs w:val="24"/>
              </w:rPr>
              <w:t>。</w:t>
            </w:r>
          </w:p>
          <w:p>
            <w:pPr>
              <w:pStyle w:val="6"/>
              <w:spacing w:before="204" w:line="220" w:lineRule="auto"/>
              <w:ind w:left="2123"/>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4.3-3    </w:t>
            </w:r>
            <w:r>
              <w:rPr>
                <w:sz w:val="24"/>
                <w:szCs w:val="24"/>
                <w14:textOutline w14:w="4354" w14:cap="flat" w14:cmpd="sng">
                  <w14:solidFill>
                    <w14:srgbClr w14:val="000000"/>
                  </w14:solidFill>
                  <w14:prstDash w14:val="solid"/>
                  <w14:miter w14:val="10"/>
                </w14:textOutline>
              </w:rPr>
              <w:t>钻井废水中污染物浓度类比预测情况表</w:t>
            </w:r>
          </w:p>
          <w:p>
            <w:pPr>
              <w:spacing w:line="17"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8"/>
              <w:gridCol w:w="1274"/>
              <w:gridCol w:w="1274"/>
              <w:gridCol w:w="1617"/>
              <w:gridCol w:w="1361"/>
              <w:gridCol w:w="1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38" w:type="dxa"/>
                  <w:vAlign w:val="top"/>
                </w:tcPr>
                <w:p>
                  <w:pPr>
                    <w:pStyle w:val="6"/>
                    <w:spacing w:before="68" w:line="221" w:lineRule="auto"/>
                    <w:ind w:left="768"/>
                    <w:rPr>
                      <w:sz w:val="21"/>
                      <w:szCs w:val="21"/>
                    </w:rPr>
                  </w:pPr>
                  <w:r>
                    <w:rPr>
                      <w:spacing w:val="-2"/>
                      <w:sz w:val="21"/>
                      <w:szCs w:val="21"/>
                    </w:rPr>
                    <w:t>污染物</w:t>
                  </w:r>
                </w:p>
              </w:tc>
              <w:tc>
                <w:tcPr>
                  <w:tcW w:w="1274" w:type="dxa"/>
                  <w:vAlign w:val="top"/>
                </w:tcPr>
                <w:p>
                  <w:pPr>
                    <w:pStyle w:val="6"/>
                    <w:spacing w:before="67" w:line="214" w:lineRule="auto"/>
                    <w:jc w:val="right"/>
                    <w:rPr>
                      <w:sz w:val="21"/>
                      <w:szCs w:val="21"/>
                    </w:rPr>
                  </w:pPr>
                  <w:r>
                    <w:rPr>
                      <w:rFonts w:ascii="Times New Roman" w:hAnsi="Times New Roman" w:eastAsia="Times New Roman" w:cs="Times New Roman"/>
                      <w:spacing w:val="-9"/>
                      <w:sz w:val="21"/>
                      <w:szCs w:val="21"/>
                    </w:rPr>
                    <w:t>pH</w:t>
                  </w:r>
                  <w:r>
                    <w:rPr>
                      <w:spacing w:val="-9"/>
                      <w:sz w:val="21"/>
                      <w:szCs w:val="21"/>
                    </w:rPr>
                    <w:t>（无量纲）</w:t>
                  </w:r>
                </w:p>
              </w:tc>
              <w:tc>
                <w:tcPr>
                  <w:tcW w:w="1274" w:type="dxa"/>
                  <w:vAlign w:val="top"/>
                </w:tcPr>
                <w:p>
                  <w:pPr>
                    <w:pStyle w:val="6"/>
                    <w:spacing w:before="68" w:line="213" w:lineRule="auto"/>
                    <w:ind w:left="51"/>
                    <w:rPr>
                      <w:sz w:val="21"/>
                      <w:szCs w:val="21"/>
                    </w:rPr>
                  </w:pPr>
                  <w:r>
                    <w:rPr>
                      <w:rFonts w:ascii="Times New Roman" w:hAnsi="Times New Roman" w:eastAsia="Times New Roman" w:cs="Times New Roman"/>
                      <w:spacing w:val="-2"/>
                      <w:sz w:val="21"/>
                      <w:szCs w:val="21"/>
                    </w:rPr>
                    <w:t>SS</w:t>
                  </w:r>
                  <w:r>
                    <w:rPr>
                      <w:spacing w:val="-2"/>
                      <w:sz w:val="21"/>
                      <w:szCs w:val="21"/>
                    </w:rPr>
                    <w:t>（</w:t>
                  </w:r>
                  <w:r>
                    <w:rPr>
                      <w:rFonts w:ascii="Times New Roman" w:hAnsi="Times New Roman" w:eastAsia="Times New Roman" w:cs="Times New Roman"/>
                      <w:spacing w:val="-2"/>
                      <w:sz w:val="21"/>
                      <w:szCs w:val="21"/>
                    </w:rPr>
                    <w:t>mg/L</w:t>
                  </w:r>
                  <w:r>
                    <w:rPr>
                      <w:spacing w:val="-2"/>
                      <w:sz w:val="21"/>
                      <w:szCs w:val="21"/>
                    </w:rPr>
                    <w:t>）</w:t>
                  </w:r>
                </w:p>
              </w:tc>
              <w:tc>
                <w:tcPr>
                  <w:tcW w:w="1617" w:type="dxa"/>
                  <w:vAlign w:val="top"/>
                </w:tcPr>
                <w:p>
                  <w:pPr>
                    <w:pStyle w:val="6"/>
                    <w:spacing w:before="68" w:line="213" w:lineRule="auto"/>
                    <w:ind w:left="25"/>
                    <w:rPr>
                      <w:sz w:val="21"/>
                      <w:szCs w:val="21"/>
                    </w:rPr>
                  </w:pPr>
                  <w:r>
                    <w:rPr>
                      <w:spacing w:val="-1"/>
                      <w:sz w:val="21"/>
                      <w:szCs w:val="21"/>
                    </w:rPr>
                    <w:t>石油类（</w:t>
                  </w:r>
                  <w:r>
                    <w:rPr>
                      <w:rFonts w:ascii="Times New Roman" w:hAnsi="Times New Roman" w:eastAsia="Times New Roman" w:cs="Times New Roman"/>
                      <w:spacing w:val="-1"/>
                      <w:sz w:val="21"/>
                      <w:szCs w:val="21"/>
                    </w:rPr>
                    <w:t>mg/L</w:t>
                  </w:r>
                  <w:r>
                    <w:rPr>
                      <w:spacing w:val="-1"/>
                      <w:sz w:val="21"/>
                      <w:szCs w:val="21"/>
                    </w:rPr>
                    <w:t>）</w:t>
                  </w:r>
                </w:p>
              </w:tc>
              <w:tc>
                <w:tcPr>
                  <w:tcW w:w="1361" w:type="dxa"/>
                  <w:vAlign w:val="top"/>
                </w:tcPr>
                <w:p>
                  <w:pPr>
                    <w:pStyle w:val="6"/>
                    <w:spacing w:before="68" w:line="213" w:lineRule="auto"/>
                    <w:ind w:left="25"/>
                    <w:rPr>
                      <w:sz w:val="21"/>
                      <w:szCs w:val="21"/>
                    </w:rPr>
                  </w:pPr>
                  <w:r>
                    <w:rPr>
                      <w:rFonts w:ascii="Times New Roman" w:hAnsi="Times New Roman" w:eastAsia="Times New Roman" w:cs="Times New Roman"/>
                      <w:spacing w:val="-1"/>
                      <w:sz w:val="21"/>
                      <w:szCs w:val="21"/>
                    </w:rPr>
                    <w:t>COD</w:t>
                  </w:r>
                  <w:r>
                    <w:rPr>
                      <w:spacing w:val="-1"/>
                      <w:sz w:val="21"/>
                      <w:szCs w:val="21"/>
                    </w:rPr>
                    <w:t>（</w:t>
                  </w:r>
                  <w:r>
                    <w:rPr>
                      <w:rFonts w:ascii="Times New Roman" w:hAnsi="Times New Roman" w:eastAsia="Times New Roman" w:cs="Times New Roman"/>
                      <w:spacing w:val="-1"/>
                      <w:sz w:val="21"/>
                      <w:szCs w:val="21"/>
                    </w:rPr>
                    <w:t>mg/L</w:t>
                  </w:r>
                  <w:r>
                    <w:rPr>
                      <w:spacing w:val="-1"/>
                      <w:sz w:val="21"/>
                      <w:szCs w:val="21"/>
                    </w:rPr>
                    <w:t>）</w:t>
                  </w:r>
                </w:p>
              </w:tc>
              <w:tc>
                <w:tcPr>
                  <w:tcW w:w="1405" w:type="dxa"/>
                  <w:vAlign w:val="top"/>
                </w:tcPr>
                <w:p>
                  <w:pPr>
                    <w:pStyle w:val="6"/>
                    <w:spacing w:before="68" w:line="213" w:lineRule="auto"/>
                    <w:ind w:left="104"/>
                    <w:rPr>
                      <w:sz w:val="21"/>
                      <w:szCs w:val="21"/>
                    </w:rPr>
                  </w:pPr>
                  <w:r>
                    <w:rPr>
                      <w:rFonts w:ascii="Times New Roman" w:hAnsi="Times New Roman" w:eastAsia="Times New Roman" w:cs="Times New Roman"/>
                      <w:spacing w:val="-2"/>
                      <w:sz w:val="21"/>
                      <w:szCs w:val="21"/>
                    </w:rPr>
                    <w:t>Cl</w:t>
                  </w:r>
                  <w:r>
                    <w:rPr>
                      <w:rFonts w:ascii="Times New Roman" w:hAnsi="Times New Roman" w:eastAsia="Times New Roman" w:cs="Times New Roman"/>
                      <w:spacing w:val="-2"/>
                      <w:position w:val="6"/>
                      <w:sz w:val="13"/>
                      <w:szCs w:val="13"/>
                    </w:rPr>
                    <w:t>-</w:t>
                  </w:r>
                  <w:r>
                    <w:rPr>
                      <w:sz w:val="21"/>
                      <w:szCs w:val="21"/>
                    </w:rPr>
                    <w:t>（</w:t>
                  </w:r>
                  <w:r>
                    <w:rPr>
                      <w:rFonts w:ascii="Times New Roman" w:hAnsi="Times New Roman" w:eastAsia="Times New Roman" w:cs="Times New Roman"/>
                      <w:sz w:val="21"/>
                      <w:szCs w:val="21"/>
                    </w:rPr>
                    <w:t>mg/L</w:t>
                  </w: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238" w:type="dxa"/>
                  <w:vAlign w:val="top"/>
                </w:tcPr>
                <w:p>
                  <w:pPr>
                    <w:pStyle w:val="6"/>
                    <w:spacing w:before="63" w:line="221" w:lineRule="auto"/>
                    <w:ind w:left="451"/>
                    <w:rPr>
                      <w:sz w:val="21"/>
                      <w:szCs w:val="21"/>
                    </w:rPr>
                  </w:pPr>
                  <w:r>
                    <w:rPr>
                      <w:spacing w:val="-1"/>
                      <w:sz w:val="21"/>
                      <w:szCs w:val="21"/>
                    </w:rPr>
                    <w:t>钻井废水浓度</w:t>
                  </w:r>
                </w:p>
              </w:tc>
              <w:tc>
                <w:tcPr>
                  <w:tcW w:w="1274" w:type="dxa"/>
                  <w:vAlign w:val="top"/>
                </w:tcPr>
                <w:p>
                  <w:pPr>
                    <w:pStyle w:val="6"/>
                    <w:spacing w:before="64" w:line="234"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274" w:type="dxa"/>
                  <w:vAlign w:val="top"/>
                </w:tcPr>
                <w:p>
                  <w:pPr>
                    <w:spacing w:before="102"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617" w:type="dxa"/>
                  <w:vAlign w:val="top"/>
                </w:tcPr>
                <w:p>
                  <w:pPr>
                    <w:spacing w:before="102" w:line="187" w:lineRule="auto"/>
                    <w:ind w:left="6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361" w:type="dxa"/>
                  <w:vAlign w:val="top"/>
                </w:tcPr>
                <w:p>
                  <w:pPr>
                    <w:spacing w:before="102" w:line="187" w:lineRule="auto"/>
                    <w:ind w:left="4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4576</w:t>
                  </w:r>
                </w:p>
              </w:tc>
              <w:tc>
                <w:tcPr>
                  <w:tcW w:w="1405" w:type="dxa"/>
                  <w:vAlign w:val="top"/>
                </w:tcPr>
                <w:p>
                  <w:pPr>
                    <w:spacing w:before="102"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238" w:type="dxa"/>
                  <w:vAlign w:val="top"/>
                </w:tcPr>
                <w:p>
                  <w:pPr>
                    <w:pStyle w:val="6"/>
                    <w:spacing w:before="68" w:line="221" w:lineRule="auto"/>
                    <w:ind w:left="33"/>
                    <w:rPr>
                      <w:sz w:val="21"/>
                      <w:szCs w:val="21"/>
                    </w:rPr>
                  </w:pPr>
                  <w:r>
                    <w:rPr>
                      <w:spacing w:val="-1"/>
                      <w:sz w:val="21"/>
                      <w:szCs w:val="21"/>
                    </w:rPr>
                    <w:t>预处理后钻井废水浓度</w:t>
                  </w:r>
                </w:p>
              </w:tc>
              <w:tc>
                <w:tcPr>
                  <w:tcW w:w="1274" w:type="dxa"/>
                  <w:vAlign w:val="top"/>
                </w:tcPr>
                <w:p>
                  <w:pPr>
                    <w:pStyle w:val="6"/>
                    <w:spacing w:before="68" w:line="23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274" w:type="dxa"/>
                  <w:vAlign w:val="top"/>
                </w:tcPr>
                <w:p>
                  <w:pPr>
                    <w:spacing w:before="107" w:line="187"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617" w:type="dxa"/>
                  <w:vAlign w:val="top"/>
                </w:tcPr>
                <w:p>
                  <w:pPr>
                    <w:spacing w:before="110" w:line="184" w:lineRule="auto"/>
                    <w:ind w:left="72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61" w:type="dxa"/>
                  <w:vAlign w:val="top"/>
                </w:tcPr>
                <w:p>
                  <w:pPr>
                    <w:spacing w:before="107"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405" w:type="dxa"/>
                  <w:vAlign w:val="top"/>
                </w:tcPr>
                <w:p>
                  <w:pPr>
                    <w:spacing w:before="107"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r>
          </w:tbl>
          <w:p>
            <w:pPr>
              <w:pStyle w:val="6"/>
              <w:spacing w:before="177" w:line="220" w:lineRule="auto"/>
              <w:ind w:left="59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3</w:t>
            </w:r>
            <w:r>
              <w:rPr>
                <w:spacing w:val="-4"/>
                <w:sz w:val="24"/>
                <w:szCs w:val="24"/>
                <w14:textOutline w14:w="4354" w14:cap="flat" w14:cmpd="sng">
                  <w14:solidFill>
                    <w14:srgbClr w14:val="000000"/>
                  </w14:solidFill>
                  <w14:prstDash w14:val="solid"/>
                  <w14:miter w14:val="10"/>
                </w14:textOutline>
              </w:rPr>
              <w:t>）洗井废水</w:t>
            </w:r>
          </w:p>
          <w:p>
            <w:pPr>
              <w:pStyle w:val="6"/>
              <w:spacing w:before="194" w:line="219" w:lineRule="auto"/>
              <w:ind w:left="586"/>
              <w:rPr>
                <w:sz w:val="24"/>
                <w:szCs w:val="24"/>
              </w:rPr>
            </w:pPr>
            <w:r>
              <w:rPr>
                <w:spacing w:val="1"/>
                <w:sz w:val="24"/>
                <w:szCs w:val="24"/>
              </w:rPr>
              <w:t>进行洗井时，采用清水对套管进行清洗。根据《排放源统计调查产排污核算方法和</w:t>
            </w:r>
          </w:p>
        </w:tc>
      </w:tr>
    </w:tbl>
    <w:p>
      <w:pPr>
        <w:pStyle w:val="2"/>
        <w:rPr>
          <w:sz w:val="21"/>
        </w:rPr>
      </w:pPr>
    </w:p>
    <w:p>
      <w:pPr>
        <w:rPr>
          <w:sz w:val="21"/>
          <w:szCs w:val="21"/>
        </w:rPr>
        <w:sectPr>
          <w:footerReference r:id="rId101"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24"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1" w:line="375" w:lineRule="auto"/>
              <w:ind w:left="108" w:right="99" w:firstLine="4"/>
              <w:jc w:val="both"/>
              <w:rPr>
                <w:sz w:val="24"/>
                <w:szCs w:val="24"/>
              </w:rPr>
            </w:pPr>
            <w:r>
              <w:rPr>
                <w:spacing w:val="-2"/>
                <w:sz w:val="24"/>
                <w:szCs w:val="24"/>
              </w:rPr>
              <w:t>系数手册》中</w:t>
            </w:r>
            <w:r>
              <w:rPr>
                <w:spacing w:val="-12"/>
                <w:sz w:val="24"/>
                <w:szCs w:val="24"/>
              </w:rPr>
              <w:t xml:space="preserve"> </w:t>
            </w:r>
            <w:r>
              <w:rPr>
                <w:rFonts w:ascii="Times New Roman" w:hAnsi="Times New Roman" w:eastAsia="Times New Roman" w:cs="Times New Roman"/>
                <w:spacing w:val="-2"/>
                <w:sz w:val="24"/>
                <w:szCs w:val="24"/>
              </w:rPr>
              <w:t>1120</w:t>
            </w:r>
            <w:r>
              <w:rPr>
                <w:spacing w:val="-2"/>
                <w:sz w:val="24"/>
                <w:szCs w:val="24"/>
              </w:rPr>
              <w:t>《石油和天然气开采专业及辅助性活动行业系数手册》产污系数，洗</w:t>
            </w:r>
            <w:r>
              <w:rPr>
                <w:sz w:val="24"/>
                <w:szCs w:val="24"/>
              </w:rPr>
              <w:t xml:space="preserve"> </w:t>
            </w:r>
            <w:r>
              <w:rPr>
                <w:spacing w:val="-1"/>
                <w:sz w:val="24"/>
                <w:szCs w:val="24"/>
              </w:rPr>
              <w:t xml:space="preserve">井液产生量为 </w:t>
            </w:r>
            <w:r>
              <w:rPr>
                <w:rFonts w:ascii="Times New Roman" w:hAnsi="Times New Roman" w:eastAsia="Times New Roman" w:cs="Times New Roman"/>
                <w:spacing w:val="-1"/>
                <w:sz w:val="24"/>
                <w:szCs w:val="24"/>
              </w:rPr>
              <w:t>25.29t/</w:t>
            </w:r>
            <w:r>
              <w:rPr>
                <w:spacing w:val="-1"/>
                <w:sz w:val="24"/>
                <w:szCs w:val="24"/>
              </w:rPr>
              <w:t>井。根据建设单位提供的钻井经验数据，常规钻井过程中洗井用水</w:t>
            </w:r>
            <w:r>
              <w:rPr>
                <w:sz w:val="24"/>
                <w:szCs w:val="24"/>
              </w:rPr>
              <w:t xml:space="preserve"> </w:t>
            </w:r>
            <w:r>
              <w:rPr>
                <w:spacing w:val="-3"/>
                <w:sz w:val="24"/>
                <w:szCs w:val="24"/>
              </w:rPr>
              <w:t xml:space="preserve">损耗量约 </w:t>
            </w:r>
            <w:r>
              <w:rPr>
                <w:rFonts w:ascii="Times New Roman" w:hAnsi="Times New Roman" w:eastAsia="Times New Roman" w:cs="Times New Roman"/>
                <w:spacing w:val="-3"/>
                <w:sz w:val="24"/>
                <w:szCs w:val="24"/>
              </w:rPr>
              <w:t>10%</w:t>
            </w:r>
            <w:r>
              <w:rPr>
                <w:spacing w:val="-3"/>
                <w:sz w:val="24"/>
                <w:szCs w:val="24"/>
              </w:rPr>
              <w:t xml:space="preserve">，则洗井用水量为 </w:t>
            </w:r>
            <w:r>
              <w:rPr>
                <w:rFonts w:ascii="Times New Roman" w:hAnsi="Times New Roman" w:eastAsia="Times New Roman" w:cs="Times New Roman"/>
                <w:spacing w:val="-3"/>
                <w:sz w:val="24"/>
                <w:szCs w:val="24"/>
              </w:rPr>
              <w:t>28.1m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0"/>
                <w:position w:val="9"/>
                <w:sz w:val="16"/>
                <w:szCs w:val="16"/>
              </w:rPr>
              <w:t xml:space="preserve"> </w:t>
            </w:r>
            <w:r>
              <w:rPr>
                <w:spacing w:val="-3"/>
                <w:sz w:val="24"/>
                <w:szCs w:val="24"/>
              </w:rPr>
              <w:t xml:space="preserve">，洗井废水产生量为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4"/>
                <w:sz w:val="24"/>
                <w:szCs w:val="24"/>
              </w:rPr>
              <w:t>5.29m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9"/>
                <w:position w:val="9"/>
                <w:sz w:val="16"/>
                <w:szCs w:val="16"/>
              </w:rPr>
              <w:t xml:space="preserve"> </w:t>
            </w:r>
            <w:r>
              <w:rPr>
                <w:spacing w:val="-4"/>
                <w:sz w:val="24"/>
                <w:szCs w:val="24"/>
              </w:rPr>
              <w:t>，从井底返排的洗</w:t>
            </w:r>
            <w:r>
              <w:rPr>
                <w:sz w:val="24"/>
                <w:szCs w:val="24"/>
              </w:rPr>
              <w:t xml:space="preserve"> </w:t>
            </w:r>
            <w:r>
              <w:rPr>
                <w:spacing w:val="-2"/>
                <w:sz w:val="24"/>
                <w:szCs w:val="24"/>
              </w:rPr>
              <w:t>井废水采用污水泵泵至井场清洁化操作平台废水处理罐随钻处理， 少部分洗井废水从放</w:t>
            </w:r>
            <w:r>
              <w:rPr>
                <w:spacing w:val="4"/>
                <w:sz w:val="24"/>
                <w:szCs w:val="24"/>
              </w:rPr>
              <w:t xml:space="preserve"> </w:t>
            </w:r>
            <w:r>
              <w:rPr>
                <w:spacing w:val="1"/>
                <w:sz w:val="24"/>
                <w:szCs w:val="24"/>
              </w:rPr>
              <w:t>喷口返排，经燃烧池侧面的排酸沟进入集酸池，最后委托四川瑞利生物科技有限公司或</w:t>
            </w:r>
            <w:r>
              <w:rPr>
                <w:spacing w:val="6"/>
                <w:sz w:val="24"/>
                <w:szCs w:val="24"/>
              </w:rPr>
              <w:t xml:space="preserve"> </w:t>
            </w:r>
            <w:r>
              <w:rPr>
                <w:spacing w:val="7"/>
                <w:sz w:val="24"/>
                <w:szCs w:val="24"/>
              </w:rPr>
              <w:t>其他有资质的单位处置达标后排放。经类比调查，洗井作业产生的废水水质情况见表</w:t>
            </w:r>
          </w:p>
          <w:p>
            <w:pPr>
              <w:pStyle w:val="6"/>
              <w:spacing w:line="178" w:lineRule="auto"/>
              <w:ind w:left="102"/>
              <w:rPr>
                <w:sz w:val="24"/>
                <w:szCs w:val="24"/>
              </w:rPr>
            </w:pPr>
            <w:r>
              <w:rPr>
                <w:rFonts w:ascii="Times New Roman" w:hAnsi="Times New Roman" w:eastAsia="Times New Roman" w:cs="Times New Roman"/>
                <w:spacing w:val="-1"/>
                <w:sz w:val="24"/>
                <w:szCs w:val="24"/>
              </w:rPr>
              <w:t>4.3-4</w:t>
            </w:r>
            <w:r>
              <w:rPr>
                <w:spacing w:val="-1"/>
                <w:sz w:val="24"/>
                <w:szCs w:val="24"/>
              </w:rPr>
              <w:t>。</w:t>
            </w:r>
          </w:p>
          <w:p>
            <w:pPr>
              <w:pStyle w:val="6"/>
              <w:spacing w:before="203" w:line="220" w:lineRule="auto"/>
              <w:ind w:left="2214"/>
              <w:rPr>
                <w:sz w:val="24"/>
                <w:szCs w:val="24"/>
              </w:rPr>
            </w:pPr>
            <w:r>
              <w:rPr>
                <w:sz w:val="24"/>
                <w:szCs w:val="24"/>
                <w14:textOutline w14:w="4354" w14:cap="flat" w14:cmpd="sng">
                  <w14:solidFill>
                    <w14:srgbClr w14:val="000000"/>
                  </w14:solidFill>
                  <w14:prstDash w14:val="solid"/>
                  <w14:miter w14:val="10"/>
                </w14:textOutline>
              </w:rPr>
              <w:t>表</w:t>
            </w:r>
            <w:r>
              <w:rPr>
                <w:spacing w:val="-51"/>
                <w:sz w:val="24"/>
                <w:szCs w:val="24"/>
              </w:rPr>
              <w:t xml:space="preserve"> </w:t>
            </w:r>
            <w:r>
              <w:rPr>
                <w:rFonts w:ascii="Times New Roman" w:hAnsi="Times New Roman" w:eastAsia="Times New Roman" w:cs="Times New Roman"/>
                <w:b/>
                <w:bCs/>
                <w:sz w:val="24"/>
                <w:szCs w:val="24"/>
              </w:rPr>
              <w:t xml:space="preserve">4.3-4 </w:t>
            </w:r>
            <w:r>
              <w:rPr>
                <w:sz w:val="24"/>
                <w:szCs w:val="24"/>
                <w14:textOutline w14:w="4354" w14:cap="flat" w14:cmpd="sng">
                  <w14:solidFill>
                    <w14:srgbClr w14:val="000000"/>
                  </w14:solidFill>
                  <w14:prstDash w14:val="solid"/>
                  <w14:miter w14:val="10"/>
                </w14:textOutline>
              </w:rPr>
              <w:t>洗井废水中污染物浓度类比预测</w:t>
            </w:r>
            <w:r>
              <w:rPr>
                <w:spacing w:val="-1"/>
                <w:sz w:val="24"/>
                <w:szCs w:val="24"/>
                <w14:textOutline w14:w="4354" w14:cap="flat" w14:cmpd="sng">
                  <w14:solidFill>
                    <w14:srgbClr w14:val="000000"/>
                  </w14:solidFill>
                  <w14:prstDash w14:val="solid"/>
                  <w14:miter w14:val="10"/>
                </w14:textOutline>
              </w:rPr>
              <w:t>情况表</w:t>
            </w:r>
          </w:p>
          <w:p>
            <w:pPr>
              <w:spacing w:line="16"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8"/>
              <w:gridCol w:w="1423"/>
              <w:gridCol w:w="1187"/>
              <w:gridCol w:w="1658"/>
              <w:gridCol w:w="1423"/>
              <w:gridCol w:w="14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048" w:type="dxa"/>
                  <w:vAlign w:val="top"/>
                </w:tcPr>
                <w:p>
                  <w:pPr>
                    <w:pStyle w:val="6"/>
                    <w:spacing w:before="68" w:line="221" w:lineRule="auto"/>
                    <w:ind w:left="715"/>
                    <w:rPr>
                      <w:sz w:val="21"/>
                      <w:szCs w:val="21"/>
                    </w:rPr>
                  </w:pPr>
                  <w:r>
                    <w:rPr>
                      <w:spacing w:val="-2"/>
                      <w:sz w:val="21"/>
                      <w:szCs w:val="21"/>
                    </w:rPr>
                    <w:t>污染物</w:t>
                  </w:r>
                </w:p>
              </w:tc>
              <w:tc>
                <w:tcPr>
                  <w:tcW w:w="1423" w:type="dxa"/>
                  <w:vAlign w:val="top"/>
                </w:tcPr>
                <w:p>
                  <w:pPr>
                    <w:pStyle w:val="6"/>
                    <w:spacing w:before="67" w:line="214" w:lineRule="auto"/>
                    <w:ind w:right="4"/>
                    <w:jc w:val="right"/>
                    <w:rPr>
                      <w:sz w:val="21"/>
                      <w:szCs w:val="21"/>
                    </w:rPr>
                  </w:pPr>
                  <w:r>
                    <w:rPr>
                      <w:rFonts w:ascii="Times New Roman" w:hAnsi="Times New Roman" w:eastAsia="Times New Roman" w:cs="Times New Roman"/>
                      <w:sz w:val="21"/>
                      <w:szCs w:val="21"/>
                    </w:rPr>
                    <w:t>pH</w:t>
                  </w:r>
                  <w:r>
                    <w:rPr>
                      <w:sz w:val="21"/>
                      <w:szCs w:val="21"/>
                    </w:rPr>
                    <w:t>（无量纲）</w:t>
                  </w:r>
                </w:p>
              </w:tc>
              <w:tc>
                <w:tcPr>
                  <w:tcW w:w="1187" w:type="dxa"/>
                  <w:vAlign w:val="top"/>
                </w:tcPr>
                <w:p>
                  <w:pPr>
                    <w:spacing w:before="102" w:line="191"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SS(mg/L)</w:t>
                  </w:r>
                </w:p>
              </w:tc>
              <w:tc>
                <w:tcPr>
                  <w:tcW w:w="1658" w:type="dxa"/>
                  <w:vAlign w:val="top"/>
                </w:tcPr>
                <w:p>
                  <w:pPr>
                    <w:pStyle w:val="6"/>
                    <w:spacing w:before="68" w:line="213" w:lineRule="auto"/>
                    <w:ind w:left="223"/>
                    <w:rPr>
                      <w:rFonts w:ascii="Times New Roman" w:hAnsi="Times New Roman" w:eastAsia="Times New Roman" w:cs="Times New Roman"/>
                      <w:sz w:val="21"/>
                      <w:szCs w:val="21"/>
                    </w:rPr>
                  </w:pPr>
                  <w:r>
                    <w:rPr>
                      <w:spacing w:val="-1"/>
                      <w:sz w:val="21"/>
                      <w:szCs w:val="21"/>
                    </w:rPr>
                    <w:t>石油类</w:t>
                  </w:r>
                  <w:r>
                    <w:rPr>
                      <w:rFonts w:ascii="Times New Roman" w:hAnsi="Times New Roman" w:eastAsia="Times New Roman" w:cs="Times New Roman"/>
                      <w:spacing w:val="-1"/>
                      <w:sz w:val="21"/>
                      <w:szCs w:val="21"/>
                    </w:rPr>
                    <w:t>(mg/L)</w:t>
                  </w:r>
                </w:p>
              </w:tc>
              <w:tc>
                <w:tcPr>
                  <w:tcW w:w="1423" w:type="dxa"/>
                  <w:vAlign w:val="top"/>
                </w:tcPr>
                <w:p>
                  <w:pPr>
                    <w:spacing w:before="102" w:line="191"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COD(mg/L)</w:t>
                  </w:r>
                </w:p>
              </w:tc>
              <w:tc>
                <w:tcPr>
                  <w:tcW w:w="1430" w:type="dxa"/>
                  <w:vAlign w:val="top"/>
                </w:tcPr>
                <w:p>
                  <w:pPr>
                    <w:spacing w:before="102" w:line="191"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Cl</w:t>
                  </w:r>
                  <w:r>
                    <w:rPr>
                      <w:rFonts w:ascii="Times New Roman" w:hAnsi="Times New Roman" w:eastAsia="Times New Roman" w:cs="Times New Roman"/>
                      <w:spacing w:val="-1"/>
                      <w:position w:val="6"/>
                      <w:sz w:val="13"/>
                      <w:szCs w:val="13"/>
                    </w:rPr>
                    <w:t>-</w:t>
                  </w:r>
                  <w:r>
                    <w:rPr>
                      <w:rFonts w:ascii="Times New Roman" w:hAnsi="Times New Roman" w:eastAsia="Times New Roman" w:cs="Times New Roman"/>
                      <w:spacing w:val="-1"/>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48" w:type="dxa"/>
                  <w:vAlign w:val="top"/>
                </w:tcPr>
                <w:p>
                  <w:pPr>
                    <w:pStyle w:val="6"/>
                    <w:spacing w:before="65" w:line="221" w:lineRule="auto"/>
                    <w:ind w:left="398"/>
                    <w:rPr>
                      <w:sz w:val="21"/>
                      <w:szCs w:val="21"/>
                    </w:rPr>
                  </w:pPr>
                  <w:r>
                    <w:rPr>
                      <w:spacing w:val="-1"/>
                      <w:sz w:val="21"/>
                      <w:szCs w:val="21"/>
                    </w:rPr>
                    <w:t>洗井废水浓度</w:t>
                  </w:r>
                </w:p>
              </w:tc>
              <w:tc>
                <w:tcPr>
                  <w:tcW w:w="1423" w:type="dxa"/>
                  <w:vAlign w:val="top"/>
                </w:tcPr>
                <w:p>
                  <w:pPr>
                    <w:pStyle w:val="6"/>
                    <w:spacing w:before="65" w:line="236" w:lineRule="auto"/>
                    <w:ind w:left="5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187" w:type="dxa"/>
                  <w:vAlign w:val="top"/>
                </w:tcPr>
                <w:p>
                  <w:pPr>
                    <w:spacing w:before="104"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1658" w:type="dxa"/>
                  <w:vAlign w:val="top"/>
                </w:tcPr>
                <w:p>
                  <w:pPr>
                    <w:spacing w:before="104" w:line="187" w:lineRule="auto"/>
                    <w:ind w:left="7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423" w:type="dxa"/>
                  <w:vAlign w:val="top"/>
                </w:tcPr>
                <w:p>
                  <w:pPr>
                    <w:spacing w:before="104" w:line="187" w:lineRule="auto"/>
                    <w:ind w:left="5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430" w:type="dxa"/>
                  <w:vAlign w:val="top"/>
                </w:tcPr>
                <w:p>
                  <w:pPr>
                    <w:spacing w:before="104" w:line="187" w:lineRule="auto"/>
                    <w:ind w:left="5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48" w:type="dxa"/>
                  <w:vAlign w:val="top"/>
                </w:tcPr>
                <w:p>
                  <w:pPr>
                    <w:pStyle w:val="6"/>
                    <w:spacing w:before="67" w:line="221" w:lineRule="auto"/>
                    <w:ind w:left="202"/>
                    <w:rPr>
                      <w:sz w:val="21"/>
                      <w:szCs w:val="21"/>
                    </w:rPr>
                  </w:pPr>
                  <w:r>
                    <w:rPr>
                      <w:spacing w:val="-3"/>
                      <w:sz w:val="21"/>
                      <w:szCs w:val="21"/>
                    </w:rPr>
                    <w:t>隔油、沉淀处理后</w:t>
                  </w:r>
                </w:p>
              </w:tc>
              <w:tc>
                <w:tcPr>
                  <w:tcW w:w="1423" w:type="dxa"/>
                  <w:vAlign w:val="top"/>
                </w:tcPr>
                <w:p>
                  <w:pPr>
                    <w:pStyle w:val="6"/>
                    <w:spacing w:before="67" w:line="237" w:lineRule="auto"/>
                    <w:ind w:left="5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187" w:type="dxa"/>
                  <w:vAlign w:val="top"/>
                </w:tcPr>
                <w:p>
                  <w:pPr>
                    <w:spacing w:before="105" w:line="187" w:lineRule="auto"/>
                    <w:ind w:left="40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658" w:type="dxa"/>
                  <w:vAlign w:val="top"/>
                </w:tcPr>
                <w:p>
                  <w:pPr>
                    <w:spacing w:before="108" w:line="184" w:lineRule="auto"/>
                    <w:ind w:left="7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23" w:type="dxa"/>
                  <w:vAlign w:val="top"/>
                </w:tcPr>
                <w:p>
                  <w:pPr>
                    <w:spacing w:before="105" w:line="187" w:lineRule="auto"/>
                    <w:ind w:left="52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430" w:type="dxa"/>
                  <w:vAlign w:val="top"/>
                </w:tcPr>
                <w:p>
                  <w:pPr>
                    <w:spacing w:before="105" w:line="187" w:lineRule="auto"/>
                    <w:ind w:left="5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r>
          </w:tbl>
          <w:p>
            <w:pPr>
              <w:pStyle w:val="6"/>
              <w:spacing w:before="177"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（4）酸化废水</w:t>
            </w:r>
          </w:p>
          <w:p>
            <w:pPr>
              <w:pStyle w:val="6"/>
              <w:spacing w:before="196" w:line="369" w:lineRule="auto"/>
              <w:ind w:left="108" w:right="102" w:firstLine="481"/>
              <w:jc w:val="both"/>
              <w:rPr>
                <w:sz w:val="24"/>
                <w:szCs w:val="24"/>
              </w:rPr>
            </w:pPr>
            <w:r>
              <w:rPr>
                <w:spacing w:val="1"/>
                <w:sz w:val="24"/>
                <w:szCs w:val="24"/>
              </w:rPr>
              <w:t>按照本工程钻井设计，套管固井完毕后，为了消除井筒附近地层渗透率降低的不良</w:t>
            </w:r>
            <w:r>
              <w:rPr>
                <w:sz w:val="24"/>
                <w:szCs w:val="24"/>
              </w:rPr>
              <w:t xml:space="preserve"> </w:t>
            </w:r>
            <w:r>
              <w:rPr>
                <w:spacing w:val="1"/>
                <w:sz w:val="24"/>
                <w:szCs w:val="24"/>
              </w:rPr>
              <w:t xml:space="preserve">影响，以达到增产的目的，在测试放喷前需要对气井进行酸化作业处理，酸化液的主要 </w:t>
            </w:r>
            <w:r>
              <w:rPr>
                <w:spacing w:val="-1"/>
                <w:sz w:val="24"/>
                <w:szCs w:val="24"/>
              </w:rPr>
              <w:t xml:space="preserve">成分为 </w:t>
            </w:r>
            <w:r>
              <w:rPr>
                <w:rFonts w:ascii="Times New Roman" w:hAnsi="Times New Roman" w:eastAsia="Times New Roman" w:cs="Times New Roman"/>
                <w:spacing w:val="-1"/>
                <w:sz w:val="24"/>
                <w:szCs w:val="24"/>
              </w:rPr>
              <w:t>HCl</w:t>
            </w:r>
            <w:r>
              <w:rPr>
                <w:spacing w:val="-1"/>
                <w:sz w:val="24"/>
                <w:szCs w:val="24"/>
              </w:rPr>
              <w:t>，根据工程设计及建设单位经验数据，单</w:t>
            </w:r>
            <w:r>
              <w:rPr>
                <w:spacing w:val="-2"/>
                <w:sz w:val="24"/>
                <w:szCs w:val="24"/>
              </w:rPr>
              <w:t xml:space="preserve">口酸化液的用量约 </w:t>
            </w:r>
            <w:r>
              <w:rPr>
                <w:rFonts w:ascii="Times New Roman" w:hAnsi="Times New Roman" w:eastAsia="Times New Roman" w:cs="Times New Roman"/>
                <w:spacing w:val="-2"/>
                <w:sz w:val="24"/>
                <w:szCs w:val="24"/>
              </w:rPr>
              <w:t>200m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10"/>
                <w:position w:val="9"/>
                <w:sz w:val="16"/>
                <w:szCs w:val="16"/>
              </w:rPr>
              <w:t xml:space="preserve"> </w:t>
            </w:r>
            <w:r>
              <w:rPr>
                <w:spacing w:val="-2"/>
                <w:sz w:val="24"/>
                <w:szCs w:val="24"/>
              </w:rPr>
              <w:t>，在完井</w:t>
            </w:r>
            <w:r>
              <w:rPr>
                <w:sz w:val="24"/>
                <w:szCs w:val="24"/>
              </w:rPr>
              <w:t xml:space="preserve"> </w:t>
            </w:r>
            <w:r>
              <w:rPr>
                <w:spacing w:val="-2"/>
                <w:sz w:val="24"/>
                <w:szCs w:val="24"/>
              </w:rPr>
              <w:t xml:space="preserve">测试阶段从井底返排出来约 </w:t>
            </w:r>
            <w:r>
              <w:rPr>
                <w:rFonts w:ascii="Times New Roman" w:hAnsi="Times New Roman" w:eastAsia="Times New Roman" w:cs="Times New Roman"/>
                <w:spacing w:val="-2"/>
                <w:sz w:val="24"/>
                <w:szCs w:val="24"/>
              </w:rPr>
              <w:t>90%</w:t>
            </w:r>
            <w:r>
              <w:rPr>
                <w:spacing w:val="-2"/>
                <w:sz w:val="24"/>
                <w:szCs w:val="24"/>
              </w:rPr>
              <w:t xml:space="preserve">（约 </w:t>
            </w:r>
            <w:r>
              <w:rPr>
                <w:rFonts w:ascii="Times New Roman" w:hAnsi="Times New Roman" w:eastAsia="Times New Roman" w:cs="Times New Roman"/>
                <w:spacing w:val="-2"/>
                <w:sz w:val="24"/>
                <w:szCs w:val="24"/>
              </w:rPr>
              <w:t>180m</w:t>
            </w:r>
            <w:r>
              <w:rPr>
                <w:rFonts w:ascii="Times New Roman" w:hAnsi="Times New Roman" w:eastAsia="Times New Roman" w:cs="Times New Roman"/>
                <w:spacing w:val="-2"/>
                <w:position w:val="9"/>
                <w:sz w:val="16"/>
                <w:szCs w:val="16"/>
              </w:rPr>
              <w:t xml:space="preserve">3 </w:t>
            </w:r>
            <w:r>
              <w:rPr>
                <w:spacing w:val="-8"/>
                <w:sz w:val="24"/>
                <w:szCs w:val="24"/>
              </w:rPr>
              <w:t>），</w:t>
            </w:r>
            <w:r>
              <w:rPr>
                <w:spacing w:val="-2"/>
                <w:sz w:val="24"/>
                <w:szCs w:val="24"/>
              </w:rPr>
              <w:t>进入废水罐中预处理（隔油、</w:t>
            </w:r>
            <w:r>
              <w:rPr>
                <w:spacing w:val="-3"/>
                <w:sz w:val="24"/>
                <w:szCs w:val="24"/>
              </w:rPr>
              <w:t>沉淀、中</w:t>
            </w:r>
            <w:r>
              <w:rPr>
                <w:sz w:val="24"/>
                <w:szCs w:val="24"/>
              </w:rPr>
              <w:t xml:space="preserve"> </w:t>
            </w:r>
            <w:r>
              <w:rPr>
                <w:spacing w:val="-4"/>
                <w:sz w:val="24"/>
                <w:szCs w:val="24"/>
              </w:rPr>
              <w:t>和处理）</w:t>
            </w:r>
            <w:r>
              <w:rPr>
                <w:spacing w:val="-37"/>
                <w:sz w:val="24"/>
                <w:szCs w:val="24"/>
              </w:rPr>
              <w:t xml:space="preserve"> </w:t>
            </w:r>
            <w:r>
              <w:rPr>
                <w:spacing w:val="-4"/>
                <w:sz w:val="24"/>
                <w:szCs w:val="24"/>
              </w:rPr>
              <w:t>后临时储存于应急池， 委托四川瑞利生物科技有限公司或其</w:t>
            </w:r>
            <w:r>
              <w:rPr>
                <w:spacing w:val="-5"/>
                <w:sz w:val="24"/>
                <w:szCs w:val="24"/>
              </w:rPr>
              <w:t>他有资质的单位处</w:t>
            </w:r>
          </w:p>
          <w:p>
            <w:pPr>
              <w:pStyle w:val="6"/>
              <w:spacing w:before="1" w:line="219" w:lineRule="auto"/>
              <w:ind w:left="106"/>
              <w:rPr>
                <w:sz w:val="24"/>
                <w:szCs w:val="24"/>
              </w:rPr>
            </w:pPr>
            <w:r>
              <w:rPr>
                <w:spacing w:val="-1"/>
                <w:sz w:val="24"/>
                <w:szCs w:val="24"/>
              </w:rPr>
              <w:t>置达标后排放。经类比调查，酸化作业产生的废水水质情况见下表。</w:t>
            </w:r>
          </w:p>
          <w:p>
            <w:pPr>
              <w:pStyle w:val="6"/>
              <w:spacing w:before="194" w:line="220" w:lineRule="auto"/>
              <w:ind w:left="2123"/>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4.3-5    </w:t>
            </w:r>
            <w:r>
              <w:rPr>
                <w:sz w:val="24"/>
                <w:szCs w:val="24"/>
                <w14:textOutline w14:w="4354" w14:cap="flat" w14:cmpd="sng">
                  <w14:solidFill>
                    <w14:srgbClr w14:val="000000"/>
                  </w14:solidFill>
                  <w14:prstDash w14:val="solid"/>
                  <w14:miter w14:val="10"/>
                </w14:textOutline>
              </w:rPr>
              <w:t>酸化废水中污染物浓度类比预测情况表</w:t>
            </w:r>
          </w:p>
          <w:p>
            <w:pPr>
              <w:spacing w:line="17"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3"/>
              <w:gridCol w:w="1300"/>
              <w:gridCol w:w="1206"/>
              <w:gridCol w:w="1389"/>
              <w:gridCol w:w="1387"/>
              <w:gridCol w:w="1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493" w:type="dxa"/>
                  <w:vAlign w:val="top"/>
                </w:tcPr>
                <w:p>
                  <w:pPr>
                    <w:pStyle w:val="6"/>
                    <w:spacing w:before="154" w:line="221" w:lineRule="auto"/>
                    <w:ind w:left="938"/>
                    <w:rPr>
                      <w:sz w:val="21"/>
                      <w:szCs w:val="21"/>
                    </w:rPr>
                  </w:pPr>
                  <w:r>
                    <w:rPr>
                      <w:spacing w:val="-2"/>
                      <w:sz w:val="21"/>
                      <w:szCs w:val="21"/>
                    </w:rPr>
                    <w:t>污染物</w:t>
                  </w:r>
                </w:p>
              </w:tc>
              <w:tc>
                <w:tcPr>
                  <w:tcW w:w="1300" w:type="dxa"/>
                  <w:vAlign w:val="top"/>
                </w:tcPr>
                <w:p>
                  <w:pPr>
                    <w:spacing w:before="55" w:line="191"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p>
                  <w:pPr>
                    <w:pStyle w:val="6"/>
                    <w:spacing w:before="29" w:line="206" w:lineRule="auto"/>
                    <w:ind w:left="135"/>
                    <w:rPr>
                      <w:sz w:val="21"/>
                      <w:szCs w:val="21"/>
                    </w:rPr>
                  </w:pPr>
                  <w:r>
                    <w:rPr>
                      <w:spacing w:val="-5"/>
                      <w:sz w:val="21"/>
                      <w:szCs w:val="21"/>
                    </w:rPr>
                    <w:t>（无量纲）</w:t>
                  </w:r>
                </w:p>
              </w:tc>
              <w:tc>
                <w:tcPr>
                  <w:tcW w:w="1206" w:type="dxa"/>
                  <w:vAlign w:val="top"/>
                </w:tcPr>
                <w:p>
                  <w:pPr>
                    <w:spacing w:before="189" w:line="191"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SS(mg/L)</w:t>
                  </w:r>
                </w:p>
              </w:tc>
              <w:tc>
                <w:tcPr>
                  <w:tcW w:w="1389" w:type="dxa"/>
                  <w:vAlign w:val="top"/>
                </w:tcPr>
                <w:p>
                  <w:pPr>
                    <w:pStyle w:val="6"/>
                    <w:spacing w:before="34" w:line="287" w:lineRule="exact"/>
                    <w:ind w:left="384"/>
                    <w:rPr>
                      <w:sz w:val="21"/>
                      <w:szCs w:val="21"/>
                    </w:rPr>
                  </w:pPr>
                  <w:r>
                    <w:rPr>
                      <w:spacing w:val="-2"/>
                      <w:position w:val="5"/>
                      <w:sz w:val="21"/>
                      <w:szCs w:val="21"/>
                    </w:rPr>
                    <w:t>石油类</w:t>
                  </w:r>
                </w:p>
                <w:p>
                  <w:pPr>
                    <w:spacing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c>
                <w:tcPr>
                  <w:tcW w:w="1387" w:type="dxa"/>
                  <w:vAlign w:val="top"/>
                </w:tcPr>
                <w:p>
                  <w:pPr>
                    <w:spacing w:before="189" w:line="191"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COD(mg/L)</w:t>
                  </w:r>
                </w:p>
              </w:tc>
              <w:tc>
                <w:tcPr>
                  <w:tcW w:w="1394" w:type="dxa"/>
                  <w:vAlign w:val="top"/>
                </w:tcPr>
                <w:p>
                  <w:pPr>
                    <w:spacing w:before="189" w:line="191"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Cl</w:t>
                  </w:r>
                  <w:r>
                    <w:rPr>
                      <w:rFonts w:ascii="Times New Roman" w:hAnsi="Times New Roman" w:eastAsia="Times New Roman" w:cs="Times New Roman"/>
                      <w:spacing w:val="-1"/>
                      <w:position w:val="6"/>
                      <w:sz w:val="13"/>
                      <w:szCs w:val="13"/>
                    </w:rPr>
                    <w:t>-</w:t>
                  </w:r>
                  <w:r>
                    <w:rPr>
                      <w:rFonts w:ascii="Times New Roman" w:hAnsi="Times New Roman" w:eastAsia="Times New Roman" w:cs="Times New Roman"/>
                      <w:spacing w:val="-1"/>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93" w:type="dxa"/>
                  <w:vAlign w:val="top"/>
                </w:tcPr>
                <w:p>
                  <w:pPr>
                    <w:pStyle w:val="6"/>
                    <w:spacing w:before="64" w:line="221" w:lineRule="auto"/>
                    <w:ind w:left="623"/>
                    <w:rPr>
                      <w:sz w:val="21"/>
                      <w:szCs w:val="21"/>
                    </w:rPr>
                  </w:pPr>
                  <w:r>
                    <w:rPr>
                      <w:spacing w:val="-1"/>
                      <w:sz w:val="21"/>
                      <w:szCs w:val="21"/>
                    </w:rPr>
                    <w:t>酸化废水浓度</w:t>
                  </w:r>
                </w:p>
              </w:tc>
              <w:tc>
                <w:tcPr>
                  <w:tcW w:w="1300" w:type="dxa"/>
                  <w:vAlign w:val="top"/>
                </w:tcPr>
                <w:p>
                  <w:pPr>
                    <w:spacing w:before="103" w:line="187" w:lineRule="auto"/>
                    <w:ind w:left="5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206" w:type="dxa"/>
                  <w:vAlign w:val="top"/>
                </w:tcPr>
                <w:p>
                  <w:pPr>
                    <w:spacing w:before="103"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389" w:type="dxa"/>
                  <w:vAlign w:val="top"/>
                </w:tcPr>
                <w:p>
                  <w:pPr>
                    <w:spacing w:before="103" w:line="187"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387" w:type="dxa"/>
                  <w:vAlign w:val="top"/>
                </w:tcPr>
                <w:p>
                  <w:pPr>
                    <w:spacing w:before="103"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c>
                <w:tcPr>
                  <w:tcW w:w="1394" w:type="dxa"/>
                  <w:vAlign w:val="top"/>
                </w:tcPr>
                <w:p>
                  <w:pPr>
                    <w:spacing w:before="103"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493" w:type="dxa"/>
                  <w:vAlign w:val="top"/>
                </w:tcPr>
                <w:p>
                  <w:pPr>
                    <w:pStyle w:val="6"/>
                    <w:spacing w:before="66" w:line="221" w:lineRule="auto"/>
                    <w:ind w:left="214"/>
                    <w:rPr>
                      <w:sz w:val="21"/>
                      <w:szCs w:val="21"/>
                    </w:rPr>
                  </w:pPr>
                  <w:r>
                    <w:rPr>
                      <w:spacing w:val="-2"/>
                      <w:sz w:val="21"/>
                      <w:szCs w:val="21"/>
                    </w:rPr>
                    <w:t>隔油、沉淀、中和处理</w:t>
                  </w:r>
                </w:p>
              </w:tc>
              <w:tc>
                <w:tcPr>
                  <w:tcW w:w="1300" w:type="dxa"/>
                  <w:vAlign w:val="top"/>
                </w:tcPr>
                <w:p>
                  <w:pPr>
                    <w:spacing w:before="105" w:line="187"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1206" w:type="dxa"/>
                  <w:vAlign w:val="top"/>
                </w:tcPr>
                <w:p>
                  <w:pPr>
                    <w:spacing w:before="105" w:line="187" w:lineRule="auto"/>
                    <w:ind w:left="41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389" w:type="dxa"/>
                  <w:vAlign w:val="top"/>
                </w:tcPr>
                <w:p>
                  <w:pPr>
                    <w:spacing w:before="108" w:line="184" w:lineRule="auto"/>
                    <w:ind w:left="64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87" w:type="dxa"/>
                  <w:vAlign w:val="top"/>
                </w:tcPr>
                <w:p>
                  <w:pPr>
                    <w:spacing w:before="105" w:line="187" w:lineRule="auto"/>
                    <w:ind w:left="4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3000</w:t>
                  </w:r>
                </w:p>
              </w:tc>
              <w:tc>
                <w:tcPr>
                  <w:tcW w:w="1394" w:type="dxa"/>
                  <w:vAlign w:val="top"/>
                </w:tcPr>
                <w:p>
                  <w:pPr>
                    <w:spacing w:before="105"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r>
          </w:tbl>
          <w:p>
            <w:pPr>
              <w:pStyle w:val="6"/>
              <w:spacing w:before="177" w:line="220" w:lineRule="auto"/>
              <w:ind w:left="59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5</w:t>
            </w:r>
            <w:r>
              <w:rPr>
                <w:spacing w:val="-4"/>
                <w:sz w:val="24"/>
                <w:szCs w:val="24"/>
                <w14:textOutline w14:w="4354" w14:cap="flat" w14:cmpd="sng">
                  <w14:solidFill>
                    <w14:srgbClr w14:val="000000"/>
                  </w14:solidFill>
                  <w14:prstDash w14:val="solid"/>
                  <w14:miter w14:val="10"/>
                </w14:textOutline>
              </w:rPr>
              <w:t>）生活污水</w:t>
            </w:r>
          </w:p>
          <w:p>
            <w:pPr>
              <w:pStyle w:val="6"/>
              <w:spacing w:before="195" w:line="377" w:lineRule="auto"/>
              <w:ind w:left="108" w:right="101" w:firstLine="479"/>
              <w:rPr>
                <w:sz w:val="24"/>
                <w:szCs w:val="24"/>
              </w:rPr>
            </w:pPr>
            <w:r>
              <w:rPr>
                <w:spacing w:val="-8"/>
                <w:sz w:val="24"/>
                <w:szCs w:val="24"/>
              </w:rPr>
              <w:t>井队人员为</w:t>
            </w:r>
            <w:r>
              <w:rPr>
                <w:spacing w:val="-47"/>
                <w:sz w:val="24"/>
                <w:szCs w:val="24"/>
              </w:rPr>
              <w:t xml:space="preserve"> </w:t>
            </w:r>
            <w:r>
              <w:rPr>
                <w:rFonts w:ascii="Times New Roman" w:hAnsi="Times New Roman" w:eastAsia="Times New Roman" w:cs="Times New Roman"/>
                <w:spacing w:val="-8"/>
                <w:sz w:val="24"/>
                <w:szCs w:val="24"/>
              </w:rPr>
              <w:t xml:space="preserve">40 </w:t>
            </w:r>
            <w:r>
              <w:rPr>
                <w:spacing w:val="-8"/>
                <w:sz w:val="24"/>
                <w:szCs w:val="24"/>
              </w:rPr>
              <w:t>人，</w:t>
            </w:r>
            <w:r>
              <w:rPr>
                <w:spacing w:val="-46"/>
                <w:sz w:val="24"/>
                <w:szCs w:val="24"/>
              </w:rPr>
              <w:t xml:space="preserve"> </w:t>
            </w:r>
            <w:r>
              <w:rPr>
                <w:spacing w:val="-8"/>
                <w:sz w:val="24"/>
                <w:szCs w:val="24"/>
              </w:rPr>
              <w:t>类比其他钻井情况，</w:t>
            </w:r>
            <w:r>
              <w:rPr>
                <w:spacing w:val="46"/>
                <w:sz w:val="24"/>
                <w:szCs w:val="24"/>
              </w:rPr>
              <w:t xml:space="preserve"> </w:t>
            </w:r>
            <w:r>
              <w:rPr>
                <w:spacing w:val="-8"/>
                <w:sz w:val="24"/>
                <w:szCs w:val="24"/>
              </w:rPr>
              <w:t>钻井期间施工人员生活用水按每人每天</w:t>
            </w:r>
            <w:r>
              <w:rPr>
                <w:spacing w:val="-44"/>
                <w:sz w:val="24"/>
                <w:szCs w:val="24"/>
              </w:rPr>
              <w:t xml:space="preserve"> </w:t>
            </w:r>
            <w:r>
              <w:rPr>
                <w:rFonts w:ascii="Times New Roman" w:hAnsi="Times New Roman" w:eastAsia="Times New Roman" w:cs="Times New Roman"/>
                <w:spacing w:val="-8"/>
                <w:sz w:val="24"/>
                <w:szCs w:val="24"/>
              </w:rPr>
              <w:t>80L</w:t>
            </w:r>
            <w:r>
              <w:rPr>
                <w:rFonts w:ascii="Times New Roman" w:hAnsi="Times New Roman" w:eastAsia="Times New Roman" w:cs="Times New Roman"/>
                <w:sz w:val="24"/>
                <w:szCs w:val="24"/>
              </w:rPr>
              <w:t xml:space="preserve"> </w:t>
            </w:r>
            <w:r>
              <w:rPr>
                <w:spacing w:val="-5"/>
                <w:sz w:val="24"/>
                <w:szCs w:val="24"/>
              </w:rPr>
              <w:t>计，</w:t>
            </w:r>
            <w:r>
              <w:rPr>
                <w:spacing w:val="-26"/>
                <w:sz w:val="24"/>
                <w:szCs w:val="24"/>
              </w:rPr>
              <w:t xml:space="preserve"> </w:t>
            </w:r>
            <w:r>
              <w:rPr>
                <w:spacing w:val="-5"/>
                <w:sz w:val="24"/>
                <w:szCs w:val="24"/>
              </w:rPr>
              <w:t>整个钻井周期（包括钻井周期</w:t>
            </w:r>
            <w:r>
              <w:rPr>
                <w:spacing w:val="-48"/>
                <w:sz w:val="24"/>
                <w:szCs w:val="24"/>
              </w:rPr>
              <w:t xml:space="preserve"> </w:t>
            </w:r>
            <w:r>
              <w:rPr>
                <w:rFonts w:ascii="Times New Roman" w:hAnsi="Times New Roman" w:eastAsia="Times New Roman" w:cs="Times New Roman"/>
                <w:spacing w:val="-5"/>
                <w:sz w:val="24"/>
                <w:szCs w:val="24"/>
              </w:rPr>
              <w:t xml:space="preserve">5 </w:t>
            </w:r>
            <w:r>
              <w:rPr>
                <w:spacing w:val="-5"/>
                <w:sz w:val="24"/>
                <w:szCs w:val="24"/>
              </w:rPr>
              <w:t>个月和完井测试阶段</w:t>
            </w:r>
            <w:r>
              <w:rPr>
                <w:spacing w:val="-32"/>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个月，合计</w:t>
            </w:r>
            <w:r>
              <w:rPr>
                <w:spacing w:val="-50"/>
                <w:sz w:val="24"/>
                <w:szCs w:val="24"/>
              </w:rPr>
              <w:t xml:space="preserve"> </w:t>
            </w:r>
            <w:r>
              <w:rPr>
                <w:rFonts w:ascii="Times New Roman" w:hAnsi="Times New Roman" w:eastAsia="Times New Roman" w:cs="Times New Roman"/>
                <w:spacing w:val="-5"/>
                <w:sz w:val="24"/>
                <w:szCs w:val="24"/>
              </w:rPr>
              <w:t xml:space="preserve">6 </w:t>
            </w:r>
            <w:r>
              <w:rPr>
                <w:spacing w:val="-5"/>
                <w:sz w:val="24"/>
                <w:szCs w:val="24"/>
              </w:rPr>
              <w:t xml:space="preserve">个月，按 </w:t>
            </w:r>
            <w:r>
              <w:rPr>
                <w:rFonts w:ascii="Times New Roman" w:hAnsi="Times New Roman" w:eastAsia="Times New Roman" w:cs="Times New Roman"/>
                <w:spacing w:val="-5"/>
                <w:sz w:val="24"/>
                <w:szCs w:val="24"/>
              </w:rPr>
              <w:t>180d</w:t>
            </w:r>
            <w:r>
              <w:rPr>
                <w:rFonts w:ascii="Times New Roman" w:hAnsi="Times New Roman" w:eastAsia="Times New Roman" w:cs="Times New Roman"/>
                <w:sz w:val="24"/>
                <w:szCs w:val="24"/>
              </w:rPr>
              <w:t xml:space="preserve"> </w:t>
            </w:r>
            <w:r>
              <w:rPr>
                <w:spacing w:val="-2"/>
                <w:sz w:val="24"/>
                <w:szCs w:val="24"/>
              </w:rPr>
              <w:t xml:space="preserve">计算）内生活用水量约为 </w:t>
            </w:r>
            <w:r>
              <w:rPr>
                <w:rFonts w:ascii="Times New Roman" w:hAnsi="Times New Roman" w:eastAsia="Times New Roman" w:cs="Times New Roman"/>
                <w:spacing w:val="-2"/>
                <w:sz w:val="24"/>
                <w:szCs w:val="24"/>
              </w:rPr>
              <w:t>576m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10"/>
                <w:position w:val="9"/>
                <w:sz w:val="16"/>
                <w:szCs w:val="16"/>
              </w:rPr>
              <w:t xml:space="preserve"> </w:t>
            </w:r>
            <w:r>
              <w:rPr>
                <w:spacing w:val="-2"/>
                <w:sz w:val="24"/>
                <w:szCs w:val="24"/>
              </w:rPr>
              <w:t xml:space="preserve">，污水按用水量的 </w:t>
            </w:r>
            <w:r>
              <w:rPr>
                <w:rFonts w:ascii="Times New Roman" w:hAnsi="Times New Roman" w:eastAsia="Times New Roman" w:cs="Times New Roman"/>
                <w:spacing w:val="-2"/>
                <w:sz w:val="24"/>
                <w:szCs w:val="24"/>
              </w:rPr>
              <w:t>90%</w:t>
            </w:r>
            <w:r>
              <w:rPr>
                <w:spacing w:val="-2"/>
                <w:sz w:val="24"/>
                <w:szCs w:val="24"/>
              </w:rPr>
              <w:t>计，则整个钻</w:t>
            </w:r>
            <w:r>
              <w:rPr>
                <w:spacing w:val="-3"/>
                <w:sz w:val="24"/>
                <w:szCs w:val="24"/>
              </w:rPr>
              <w:t>井工程期间生活污</w:t>
            </w:r>
            <w:r>
              <w:rPr>
                <w:sz w:val="24"/>
                <w:szCs w:val="24"/>
              </w:rPr>
              <w:t xml:space="preserve"> </w:t>
            </w:r>
            <w:r>
              <w:rPr>
                <w:spacing w:val="-1"/>
                <w:sz w:val="24"/>
                <w:szCs w:val="24"/>
              </w:rPr>
              <w:t xml:space="preserve">水产生量共计 </w:t>
            </w:r>
            <w:r>
              <w:rPr>
                <w:rFonts w:ascii="Times New Roman" w:hAnsi="Times New Roman" w:eastAsia="Times New Roman" w:cs="Times New Roman"/>
                <w:spacing w:val="-1"/>
                <w:sz w:val="24"/>
                <w:szCs w:val="24"/>
              </w:rPr>
              <w:t>518.4m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20"/>
                <w:w w:val="102"/>
                <w:position w:val="9"/>
                <w:sz w:val="16"/>
                <w:szCs w:val="16"/>
              </w:rPr>
              <w:t xml:space="preserve"> </w:t>
            </w:r>
            <w:r>
              <w:rPr>
                <w:spacing w:val="-1"/>
                <w:sz w:val="24"/>
                <w:szCs w:val="24"/>
              </w:rPr>
              <w:t>（约</w:t>
            </w:r>
            <w:r>
              <w:rPr>
                <w:spacing w:val="29"/>
                <w:sz w:val="24"/>
                <w:szCs w:val="24"/>
              </w:rPr>
              <w:t xml:space="preserve"> </w:t>
            </w:r>
            <w:r>
              <w:rPr>
                <w:rFonts w:ascii="Times New Roman" w:hAnsi="Times New Roman" w:eastAsia="Times New Roman" w:cs="Times New Roman"/>
                <w:spacing w:val="-1"/>
                <w:sz w:val="24"/>
                <w:szCs w:val="24"/>
              </w:rPr>
              <w:t>2.88m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spacing w:val="6"/>
                <w:sz w:val="24"/>
                <w:szCs w:val="24"/>
              </w:rPr>
              <w:t>），</w:t>
            </w:r>
            <w:r>
              <w:rPr>
                <w:spacing w:val="-1"/>
                <w:sz w:val="24"/>
                <w:szCs w:val="24"/>
              </w:rPr>
              <w:t>生</w:t>
            </w:r>
            <w:r>
              <w:rPr>
                <w:spacing w:val="-2"/>
                <w:sz w:val="24"/>
                <w:szCs w:val="24"/>
              </w:rPr>
              <w:t>活污水产生量较少，主要污染物及源强为：</w:t>
            </w:r>
          </w:p>
          <w:p>
            <w:pPr>
              <w:pStyle w:val="6"/>
              <w:spacing w:before="1" w:line="181" w:lineRule="auto"/>
              <w:ind w:left="107"/>
              <w:rPr>
                <w:sz w:val="24"/>
                <w:szCs w:val="24"/>
              </w:rPr>
            </w:pPr>
            <w:r>
              <w:rPr>
                <w:rFonts w:ascii="Times New Roman" w:hAnsi="Times New Roman" w:eastAsia="Times New Roman" w:cs="Times New Roman"/>
                <w:spacing w:val="-2"/>
                <w:sz w:val="24"/>
                <w:szCs w:val="24"/>
              </w:rPr>
              <w:t>COD400mg/L</w:t>
            </w:r>
            <w:r>
              <w:rPr>
                <w:rFonts w:ascii="Times New Roman" w:hAnsi="Times New Roman" w:eastAsia="Times New Roman" w:cs="Times New Roman"/>
                <w:spacing w:val="-31"/>
                <w:sz w:val="24"/>
                <w:szCs w:val="24"/>
              </w:rPr>
              <w:t xml:space="preserve"> </w:t>
            </w:r>
            <w:r>
              <w:rPr>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6"/>
                <w:szCs w:val="16"/>
              </w:rPr>
              <w:t>5</w:t>
            </w:r>
            <w:r>
              <w:rPr>
                <w:rFonts w:ascii="Times New Roman" w:hAnsi="Times New Roman" w:eastAsia="Times New Roman" w:cs="Times New Roman"/>
                <w:spacing w:val="-2"/>
                <w:sz w:val="24"/>
                <w:szCs w:val="24"/>
              </w:rPr>
              <w:t>200mg/L</w:t>
            </w:r>
            <w:r>
              <w:rPr>
                <w:rFonts w:ascii="Times New Roman" w:hAnsi="Times New Roman" w:eastAsia="Times New Roman" w:cs="Times New Roman"/>
                <w:spacing w:val="-30"/>
                <w:sz w:val="24"/>
                <w:szCs w:val="24"/>
              </w:rPr>
              <w:t xml:space="preserve"> </w:t>
            </w:r>
            <w:r>
              <w:rPr>
                <w:spacing w:val="-2"/>
                <w:sz w:val="24"/>
                <w:szCs w:val="24"/>
              </w:rPr>
              <w:t>，</w:t>
            </w:r>
            <w:r>
              <w:rPr>
                <w:rFonts w:ascii="Times New Roman" w:hAnsi="Times New Roman" w:eastAsia="Times New Roman" w:cs="Times New Roman"/>
                <w:spacing w:val="-2"/>
                <w:sz w:val="24"/>
                <w:szCs w:val="24"/>
              </w:rPr>
              <w:t>SS250mg/L</w:t>
            </w:r>
            <w:r>
              <w:rPr>
                <w:rFonts w:ascii="Times New Roman" w:hAnsi="Times New Roman" w:eastAsia="Times New Roman" w:cs="Times New Roman"/>
                <w:spacing w:val="-34"/>
                <w:sz w:val="24"/>
                <w:szCs w:val="24"/>
              </w:rPr>
              <w:t xml:space="preserve"> </w:t>
            </w:r>
            <w:r>
              <w:rPr>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6"/>
                <w:szCs w:val="16"/>
              </w:rPr>
              <w:t>3</w:t>
            </w:r>
            <w:r>
              <w:rPr>
                <w:rFonts w:ascii="Times New Roman" w:hAnsi="Times New Roman" w:eastAsia="Times New Roman" w:cs="Times New Roman"/>
                <w:spacing w:val="-2"/>
                <w:sz w:val="24"/>
                <w:szCs w:val="24"/>
              </w:rPr>
              <w:t>-N25m</w:t>
            </w:r>
            <w:r>
              <w:rPr>
                <w:rFonts w:ascii="Times New Roman" w:hAnsi="Times New Roman" w:eastAsia="Times New Roman" w:cs="Times New Roman"/>
                <w:spacing w:val="-3"/>
                <w:sz w:val="24"/>
                <w:szCs w:val="24"/>
              </w:rPr>
              <w:t>g/L</w:t>
            </w:r>
            <w:r>
              <w:rPr>
                <w:spacing w:val="-3"/>
                <w:sz w:val="24"/>
                <w:szCs w:val="24"/>
              </w:rPr>
              <w:t>。</w:t>
            </w:r>
          </w:p>
          <w:p>
            <w:pPr>
              <w:pStyle w:val="6"/>
              <w:spacing w:before="204" w:line="480" w:lineRule="exact"/>
              <w:ind w:left="588"/>
              <w:rPr>
                <w:sz w:val="24"/>
                <w:szCs w:val="24"/>
              </w:rPr>
            </w:pPr>
            <w:r>
              <w:rPr>
                <w:spacing w:val="-1"/>
                <w:position w:val="18"/>
                <w:sz w:val="24"/>
                <w:szCs w:val="24"/>
              </w:rPr>
              <w:t xml:space="preserve">井场旁和生活区各分别建设环保厕所 </w:t>
            </w:r>
            <w:r>
              <w:rPr>
                <w:rFonts w:ascii="Times New Roman" w:hAnsi="Times New Roman" w:eastAsia="Times New Roman" w:cs="Times New Roman"/>
                <w:spacing w:val="-1"/>
                <w:position w:val="18"/>
                <w:sz w:val="24"/>
                <w:szCs w:val="24"/>
              </w:rPr>
              <w:t>1</w:t>
            </w:r>
            <w:r>
              <w:rPr>
                <w:rFonts w:ascii="Times New Roman" w:hAnsi="Times New Roman" w:eastAsia="Times New Roman" w:cs="Times New Roman"/>
                <w:spacing w:val="38"/>
                <w:position w:val="18"/>
                <w:sz w:val="24"/>
                <w:szCs w:val="24"/>
              </w:rPr>
              <w:t xml:space="preserve"> </w:t>
            </w:r>
            <w:r>
              <w:rPr>
                <w:spacing w:val="-1"/>
                <w:position w:val="18"/>
                <w:sz w:val="24"/>
                <w:szCs w:val="24"/>
              </w:rPr>
              <w:t>座，</w:t>
            </w:r>
            <w:r>
              <w:rPr>
                <w:spacing w:val="-2"/>
                <w:position w:val="18"/>
                <w:sz w:val="24"/>
                <w:szCs w:val="24"/>
              </w:rPr>
              <w:t>生活污水经环保厕所收集处理后经罐车</w:t>
            </w:r>
          </w:p>
          <w:p>
            <w:pPr>
              <w:pStyle w:val="6"/>
              <w:spacing w:line="219" w:lineRule="auto"/>
              <w:ind w:left="110"/>
              <w:rPr>
                <w:sz w:val="24"/>
                <w:szCs w:val="24"/>
              </w:rPr>
            </w:pPr>
            <w:r>
              <w:rPr>
                <w:spacing w:val="-2"/>
                <w:sz w:val="24"/>
                <w:szCs w:val="24"/>
              </w:rPr>
              <w:t>拉运至江陵镇污水处理厂处理，完钻后对厕所进行填埋。</w:t>
            </w:r>
          </w:p>
        </w:tc>
      </w:tr>
    </w:tbl>
    <w:p>
      <w:pPr>
        <w:pStyle w:val="2"/>
        <w:rPr>
          <w:sz w:val="21"/>
        </w:rPr>
      </w:pPr>
    </w:p>
    <w:p>
      <w:pPr>
        <w:rPr>
          <w:sz w:val="21"/>
          <w:szCs w:val="21"/>
        </w:rPr>
        <w:sectPr>
          <w:footerReference r:id="rId102"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3"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1" w:line="219" w:lineRule="auto"/>
              <w:ind w:left="591"/>
              <w:rPr>
                <w:sz w:val="24"/>
                <w:szCs w:val="24"/>
              </w:rPr>
            </w:pPr>
            <w:r>
              <w:pict>
                <v:rect id="_x0000_s1291" o:spid="_x0000_s1291" o:spt="1" style="position:absolute;left:0pt;margin-left:86.65pt;margin-top:180.1pt;height:8.65pt;width:14.35pt;mso-position-horizontal-relative:page;mso-position-vertical-relative:page;z-index:251875328;mso-width-relative:page;mso-height-relative:page;" fillcolor="#FFFFFF" filled="t" stroked="f" coordsize="21600,21600">
                  <v:path/>
                  <v:fill on="t" focussize="0,0"/>
                  <v:stroke on="f"/>
                  <v:imagedata o:title=""/>
                  <o:lock v:ext="edit"/>
                </v:rect>
              </w:pict>
            </w:r>
            <w:r>
              <w:pict>
                <v:rect id="_x0000_s1292" o:spid="_x0000_s1292" o:spt="1" style="position:absolute;left:0pt;margin-left:312.1pt;margin-top:84.45pt;height:90.75pt;width:0.2pt;mso-position-horizontal-relative:page;mso-position-vertical-relative:page;z-index:251838464;mso-width-relative:page;mso-height-relative:page;" fillcolor="#000000" filled="t" stroked="f" coordsize="21600,21600">
                  <v:path/>
                  <v:fill on="t" focussize="0,0"/>
                  <v:stroke on="f"/>
                  <v:imagedata o:title=""/>
                  <o:lock v:ext="edit"/>
                </v:rect>
              </w:pict>
            </w:r>
            <w:r>
              <w:pict>
                <v:rect id="_x0000_s1293" o:spid="_x0000_s1293" o:spt="1" style="position:absolute;left:0pt;margin-left:266.9pt;margin-top:305.2pt;height:0.2pt;width:81.55pt;mso-position-horizontal-relative:page;mso-position-vertical-relative:page;z-index:251844608;mso-width-relative:page;mso-height-relative:page;" fillcolor="#000000" filled="t" stroked="f" coordsize="21600,21600">
                  <v:path/>
                  <v:fill on="t" focussize="0,0"/>
                  <v:stroke on="f"/>
                  <v:imagedata o:title=""/>
                  <o:lock v:ext="edit"/>
                </v:rect>
              </w:pict>
            </w:r>
            <w:r>
              <w:pict>
                <v:shape id="_x0000_s1294" o:spid="_x0000_s1294" style="position:absolute;left:0pt;margin-left:13.95pt;margin-top:161.85pt;height:0.2pt;width:50.85pt;mso-position-horizontal-relative:page;mso-position-vertical-relative:page;z-index:251845632;mso-width-relative:page;mso-height-relative:page;" filled="f" stroked="t" coordsize="1016,4" path="m1,1l1014,1e">
                  <v:fill on="f" focussize="0,0"/>
                  <v:stroke weight="0.19pt" color="#000000" miterlimit="10" endcap="round"/>
                  <v:imagedata o:title=""/>
                  <o:lock v:ext="edit"/>
                </v:shape>
              </w:pict>
            </w:r>
            <w:r>
              <w:drawing>
                <wp:anchor distT="0" distB="0" distL="0" distR="0" simplePos="0" relativeHeight="251841536" behindDoc="0" locked="0" layoutInCell="1" allowOverlap="1">
                  <wp:simplePos x="0" y="0"/>
                  <wp:positionH relativeFrom="rightMargin">
                    <wp:posOffset>-1534160</wp:posOffset>
                  </wp:positionH>
                  <wp:positionV relativeFrom="topMargin">
                    <wp:posOffset>2315845</wp:posOffset>
                  </wp:positionV>
                  <wp:extent cx="6350" cy="155257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0"/>
                          <a:stretch>
                            <a:fillRect/>
                          </a:stretch>
                        </pic:blipFill>
                        <pic:spPr>
                          <a:xfrm>
                            <a:off x="0" y="0"/>
                            <a:ext cx="6350" cy="1552864"/>
                          </a:xfrm>
                          <a:prstGeom prst="rect">
                            <a:avLst/>
                          </a:prstGeom>
                        </pic:spPr>
                      </pic:pic>
                    </a:graphicData>
                  </a:graphic>
                </wp:anchor>
              </w:drawing>
            </w:r>
            <w:r>
              <w:pict>
                <v:shape id="_x0000_s1295" o:spid="_x0000_s1295" o:spt="202" type="#_x0000_t202" style="position:absolute;left:0pt;margin-left:282.1pt;margin-top:59.1pt;height:26.8pt;width:49.45pt;mso-position-horizontal-relative:page;mso-position-vertical-relative:page;z-index:2518609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938"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3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75" w:hRule="atLeast"/>
                          </w:trPr>
                          <w:tc>
                            <w:tcPr>
                              <w:tcW w:w="938" w:type="dxa"/>
                              <w:vAlign w:val="top"/>
                            </w:tcPr>
                            <w:p>
                              <w:pPr>
                                <w:pStyle w:val="6"/>
                                <w:spacing w:before="26" w:line="230" w:lineRule="auto"/>
                                <w:ind w:left="210" w:right="105" w:hanging="88"/>
                                <w:rPr>
                                  <w:sz w:val="17"/>
                                  <w:szCs w:val="17"/>
                                </w:rPr>
                              </w:pPr>
                              <w:r>
                                <w:rPr>
                                  <w:spacing w:val="4"/>
                                  <w:sz w:val="17"/>
                                  <w:szCs w:val="17"/>
                                </w:rPr>
                                <w:t>清洁化操</w:t>
                              </w:r>
                              <w:r>
                                <w:rPr>
                                  <w:spacing w:val="2"/>
                                  <w:sz w:val="17"/>
                                  <w:szCs w:val="17"/>
                                </w:rPr>
                                <w:t xml:space="preserve"> </w:t>
                              </w:r>
                              <w:r>
                                <w:rPr>
                                  <w:spacing w:val="3"/>
                                  <w:sz w:val="17"/>
                                  <w:szCs w:val="17"/>
                                </w:rPr>
                                <w:t>作平台</w:t>
                              </w:r>
                            </w:p>
                          </w:tc>
                        </w:tr>
                      </w:tbl>
                      <w:p>
                        <w:pPr>
                          <w:rPr>
                            <w:rFonts w:ascii="Arial"/>
                            <w:sz w:val="21"/>
                          </w:rPr>
                        </w:pPr>
                      </w:p>
                    </w:txbxContent>
                  </v:textbox>
                </v:shape>
              </w:pict>
            </w:r>
            <w:r>
              <w:pict>
                <v:shape id="_x0000_s1296" o:spid="_x0000_s1296" o:spt="202" type="#_x0000_t202" style="position:absolute;left:0pt;margin-left:373.05pt;margin-top:60.9pt;height:23.15pt;width:62.7pt;mso-position-horizontal-relative:page;mso-position-vertical-relative:page;z-index:251857920;mso-width-relative:page;mso-height-relative:page;" filled="f" stroked="f" coordsize="21600,21600">
                  <v:path/>
                  <v:fill on="f" focussize="0,0"/>
                  <v:stroke on="f"/>
                  <v:imagedata o:title=""/>
                  <o:lock v:ext="edit" aspectratio="f"/>
                  <v:textbox inset="0mm,0mm,0mm,0mm">
                    <w:txbxContent>
                      <w:p>
                        <w:pPr>
                          <w:pStyle w:val="6"/>
                          <w:spacing w:before="19" w:line="230" w:lineRule="auto"/>
                          <w:ind w:left="20" w:right="20" w:firstLine="84"/>
                          <w:rPr>
                            <w:sz w:val="17"/>
                            <w:szCs w:val="17"/>
                          </w:rPr>
                        </w:pPr>
                        <w:r>
                          <w:rPr>
                            <w:spacing w:val="2"/>
                            <w:sz w:val="17"/>
                            <w:szCs w:val="17"/>
                          </w:rPr>
                          <w:t>附在水基泥浆</w:t>
                        </w:r>
                        <w:r>
                          <w:rPr>
                            <w:sz w:val="17"/>
                            <w:szCs w:val="17"/>
                          </w:rPr>
                          <w:t xml:space="preserve">  </w:t>
                        </w:r>
                        <w:r>
                          <w:rPr>
                            <w:spacing w:val="3"/>
                            <w:sz w:val="17"/>
                            <w:szCs w:val="17"/>
                          </w:rPr>
                          <w:t>中，交砖厂处理</w:t>
                        </w:r>
                      </w:p>
                    </w:txbxContent>
                  </v:textbox>
                </v:shape>
              </w:pict>
            </w:r>
            <w:r>
              <w:pict>
                <v:shape id="_x0000_s1297" o:spid="_x0000_s1297" o:spt="202" type="#_x0000_t202" style="position:absolute;left:0pt;margin-left:119.2pt;margin-top:61.8pt;height:21.35pt;width:35.2pt;mso-position-horizontal-relative:page;mso-position-vertical-relative:page;z-index:2518589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53"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66" w:hRule="atLeast"/>
                          </w:trPr>
                          <w:tc>
                            <w:tcPr>
                              <w:tcW w:w="653" w:type="dxa"/>
                              <w:vAlign w:val="top"/>
                            </w:tcPr>
                            <w:p>
                              <w:pPr>
                                <w:pStyle w:val="6"/>
                                <w:spacing w:before="77" w:line="231" w:lineRule="auto"/>
                                <w:ind w:left="151"/>
                                <w:rPr>
                                  <w:sz w:val="17"/>
                                  <w:szCs w:val="17"/>
                                </w:rPr>
                              </w:pPr>
                              <w:r>
                                <w:rPr>
                                  <w:spacing w:val="5"/>
                                  <w:sz w:val="17"/>
                                  <w:szCs w:val="17"/>
                                </w:rPr>
                                <w:t>钻井</w:t>
                              </w:r>
                            </w:p>
                          </w:tc>
                        </w:tr>
                      </w:tbl>
                      <w:p>
                        <w:pPr>
                          <w:rPr>
                            <w:rFonts w:ascii="Arial"/>
                            <w:sz w:val="21"/>
                          </w:rPr>
                        </w:pPr>
                      </w:p>
                    </w:txbxContent>
                  </v:textbox>
                </v:shape>
              </w:pict>
            </w:r>
            <w:r>
              <w:pict>
                <v:shape id="_x0000_s1298" o:spid="_x0000_s1298" o:spt="202" type="#_x0000_t202" style="position:absolute;left:0pt;margin-left:162.05pt;margin-top:68.45pt;height:9pt;width:26.85pt;mso-position-horizontal-relative:page;mso-position-vertical-relative:page;z-index:251882496;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hd w:val="clear" w:fill="FFFFFE"/>
                          </w:rPr>
                          <w:t>3570.83</w:t>
                        </w:r>
                      </w:p>
                    </w:txbxContent>
                  </v:textbox>
                </v:shape>
              </w:pict>
            </w:r>
            <w:r>
              <w:pict>
                <v:shape id="_x0000_s1299" o:spid="_x0000_s1299" o:spt="202" type="#_x0000_t202" style="position:absolute;left:0pt;margin-left:252.5pt;margin-top:68.45pt;height:9pt;width:23.2pt;mso-position-horizontal-relative:page;mso-position-vertical-relative:page;z-index:251880448;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hd w:val="clear" w:fill="FFFFFE"/>
                          </w:rPr>
                          <w:t>257.69</w:t>
                        </w:r>
                      </w:p>
                    </w:txbxContent>
                  </v:textbox>
                </v:shape>
              </w:pict>
            </w:r>
            <w:r>
              <w:pict>
                <v:shape id="_x0000_s1300" o:spid="_x0000_s1300" o:spt="202" type="#_x0000_t202" style="position:absolute;left:0pt;margin-left:340.5pt;margin-top:68.45pt;height:9pt;width:19.5pt;mso-position-horizontal-relative:page;mso-position-vertical-relative:page;z-index:251878400;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pacing w:val="-1"/>
                            <w:shd w:val="clear" w:fill="FFFFFE"/>
                          </w:rPr>
                          <w:t>73.63</w:t>
                        </w:r>
                      </w:p>
                    </w:txbxContent>
                  </v:textbox>
                </v:shape>
              </w:pict>
            </w:r>
            <w:r>
              <w:pict>
                <v:shape id="_x0000_s1301" o:spid="_x0000_s1301" o:spt="202" type="#_x0000_t202" style="position:absolute;left:0pt;margin-left:83pt;margin-top:68.8pt;height:9pt;width:23.15pt;mso-position-horizontal-relative:page;mso-position-vertical-relative:page;z-index:251874304;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hd w:val="clear" w:fill="FFFFFE"/>
                          </w:rPr>
                          <w:t>358.04</w:t>
                        </w:r>
                      </w:p>
                    </w:txbxContent>
                  </v:textbox>
                </v:shape>
              </w:pict>
            </w:r>
            <w:r>
              <w:pict>
                <v:shape id="_x0000_s1302" o:spid="_x0000_s1302" o:spt="202" type="#_x0000_t202" style="position:absolute;left:0pt;margin-left:196.1pt;margin-top:59.1pt;height:26.8pt;width:49.45pt;mso-position-horizontal-relative:page;mso-position-vertical-relative:page;z-index:2518599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938"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3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75" w:hRule="atLeast"/>
                          </w:trPr>
                          <w:tc>
                            <w:tcPr>
                              <w:tcW w:w="938" w:type="dxa"/>
                              <w:vAlign w:val="top"/>
                            </w:tcPr>
                            <w:p>
                              <w:pPr>
                                <w:pStyle w:val="6"/>
                                <w:spacing w:before="26" w:line="230" w:lineRule="auto"/>
                                <w:ind w:left="298" w:right="107" w:hanging="177"/>
                                <w:rPr>
                                  <w:sz w:val="17"/>
                                  <w:szCs w:val="17"/>
                                </w:rPr>
                              </w:pPr>
                              <w:r>
                                <w:rPr>
                                  <w:spacing w:val="4"/>
                                  <w:sz w:val="17"/>
                                  <w:szCs w:val="17"/>
                                </w:rPr>
                                <w:t>泥浆循环</w:t>
                              </w:r>
                              <w:r>
                                <w:rPr>
                                  <w:spacing w:val="1"/>
                                  <w:sz w:val="17"/>
                                  <w:szCs w:val="17"/>
                                </w:rPr>
                                <w:t xml:space="preserve"> </w:t>
                              </w:r>
                              <w:r>
                                <w:rPr>
                                  <w:spacing w:val="4"/>
                                  <w:sz w:val="17"/>
                                  <w:szCs w:val="17"/>
                                </w:rPr>
                                <w:t>系统</w:t>
                              </w:r>
                            </w:p>
                          </w:tc>
                        </w:tr>
                      </w:tbl>
                      <w:p>
                        <w:pPr>
                          <w:rPr>
                            <w:rFonts w:ascii="Arial"/>
                            <w:sz w:val="21"/>
                          </w:rPr>
                        </w:pPr>
                      </w:p>
                    </w:txbxContent>
                  </v:textbox>
                </v:shape>
              </w:pict>
            </w:r>
            <w:r>
              <w:drawing>
                <wp:anchor distT="0" distB="0" distL="0" distR="0" simplePos="0" relativeHeight="251872256" behindDoc="0" locked="0" layoutInCell="1" allowOverlap="1">
                  <wp:simplePos x="0" y="0"/>
                  <wp:positionH relativeFrom="rightMargin">
                    <wp:posOffset>-5140960</wp:posOffset>
                  </wp:positionH>
                  <wp:positionV relativeFrom="topMargin">
                    <wp:posOffset>887095</wp:posOffset>
                  </wp:positionV>
                  <wp:extent cx="716280" cy="222948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11"/>
                          <a:stretch>
                            <a:fillRect/>
                          </a:stretch>
                        </pic:blipFill>
                        <pic:spPr>
                          <a:xfrm>
                            <a:off x="0" y="0"/>
                            <a:ext cx="716277" cy="2229780"/>
                          </a:xfrm>
                          <a:prstGeom prst="rect">
                            <a:avLst/>
                          </a:prstGeom>
                        </pic:spPr>
                      </pic:pic>
                    </a:graphicData>
                  </a:graphic>
                </wp:anchor>
              </w:drawing>
            </w:r>
            <w:r>
              <w:pict>
                <v:shape id="_x0000_s1303" o:spid="_x0000_s1303" o:spt="202" type="#_x0000_t202" style="position:absolute;left:0pt;margin-left:63.1pt;margin-top:69.6pt;height:179.65pt;width:58.4pt;mso-position-horizontal-relative:page;mso-position-vertical-relative:page;z-index:251876352;mso-width-relative:page;mso-height-relative:page;" filled="f" stroked="f" coordsize="21600,21600">
                  <v:path/>
                  <v:fill on="f" focussize="0,0"/>
                  <v:stroke on="f"/>
                  <v:imagedata o:title=""/>
                  <o:lock v:ext="edit" aspectratio="f"/>
                  <v:textbox inset="0mm,0mm,0mm,0mm">
                    <w:txbxConten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46" w:line="185" w:lineRule="auto"/>
                          <w:ind w:left="474"/>
                        </w:pPr>
                        <w:r>
                          <w:rPr>
                            <w:spacing w:val="-1"/>
                          </w:rPr>
                          <w:t>28.1</w:t>
                        </w:r>
                      </w:p>
                    </w:txbxContent>
                  </v:textbox>
                </v:shape>
              </w:pict>
            </w:r>
            <w:r>
              <w:pict>
                <v:shape id="_x0000_s1304" o:spid="_x0000_s1304" o:spt="202" type="#_x0000_t202" style="position:absolute;left:0pt;margin-left:116.15pt;margin-top:96.4pt;height:8.5pt;width:17.1pt;mso-position-horizontal-relative:page;mso-position-vertical-relative:page;z-index:251856896;mso-width-relative:page;mso-height-relative:page;" filled="f" stroked="f" coordsize="21600,21600">
                  <v:path/>
                  <v:fill on="f" focussize="0,0"/>
                  <v:stroke on="f"/>
                  <v:imagedata o:title=""/>
                  <o:lock v:ext="edit" aspectratio="f"/>
                  <v:textbox inset="0mm,0mm,0mm,0mm">
                    <w:txbxContent>
                      <w:p>
                        <w:pPr>
                          <w:pStyle w:val="6"/>
                          <w:spacing w:before="19" w:line="184" w:lineRule="auto"/>
                          <w:ind w:left="20"/>
                          <w:rPr>
                            <w:sz w:val="13"/>
                            <w:szCs w:val="13"/>
                          </w:rPr>
                        </w:pPr>
                        <w:r>
                          <w:rPr>
                            <w:spacing w:val="-4"/>
                            <w:sz w:val="13"/>
                            <w:szCs w:val="13"/>
                            <w:shd w:val="clear" w:fill="FFFFFE"/>
                          </w:rPr>
                          <w:t>10.09</w:t>
                        </w:r>
                      </w:p>
                    </w:txbxContent>
                  </v:textbox>
                </v:shape>
              </w:pict>
            </w:r>
            <w:r>
              <w:pict>
                <v:group id="_x0000_s1305" o:spid="_x0000_s1305" o:spt="203" style="position:absolute;left:0pt;margin-left:122.2pt;margin-top:82.5pt;height:35.55pt;width:4.4pt;mso-position-horizontal-relative:page;mso-position-vertical-relative:page;z-index:251843584;mso-width-relative:page;mso-height-relative:page;" coordsize="88,710">
                  <o:lock v:ext="edit"/>
                  <v:shape id="_x0000_s1306" o:spid="_x0000_s1306" style="position:absolute;left:41;top:75;height:635;width:11;" filled="f" stroked="t" coordsize="11,635" path="m8,633l1,1e">
                    <v:fill on="f" focussize="0,0"/>
                    <v:stroke weight="0.19pt" color="#000000" miterlimit="10" endcap="round"/>
                    <v:imagedata o:title=""/>
                    <o:lock v:ext="edit"/>
                  </v:shape>
                  <v:shape id="_x0000_s1307" o:spid="_x0000_s1307" style="position:absolute;left:0;top:0;height:88;width:88;" fillcolor="#000000" filled="t" stroked="f" coordsize="88,88" path="m0,88l43,0,87,87,0,88xe">
                    <v:fill on="t" focussize="0,0"/>
                    <v:stroke on="f"/>
                    <v:imagedata o:title=""/>
                    <o:lock v:ext="edit"/>
                  </v:shape>
                </v:group>
              </w:pict>
            </w:r>
            <w:r>
              <w:drawing>
                <wp:anchor distT="0" distB="0" distL="0" distR="0" simplePos="0" relativeHeight="251883520" behindDoc="0" locked="0" layoutInCell="1" allowOverlap="1">
                  <wp:simplePos x="0" y="0"/>
                  <wp:positionH relativeFrom="rightMargin">
                    <wp:posOffset>-4245610</wp:posOffset>
                  </wp:positionH>
                  <wp:positionV relativeFrom="topMargin">
                    <wp:posOffset>1029970</wp:posOffset>
                  </wp:positionV>
                  <wp:extent cx="1009015" cy="23050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12"/>
                          <a:stretch>
                            <a:fillRect/>
                          </a:stretch>
                        </pic:blipFill>
                        <pic:spPr>
                          <a:xfrm>
                            <a:off x="0" y="0"/>
                            <a:ext cx="1008753" cy="230482"/>
                          </a:xfrm>
                          <a:prstGeom prst="rect">
                            <a:avLst/>
                          </a:prstGeom>
                        </pic:spPr>
                      </pic:pic>
                    </a:graphicData>
                  </a:graphic>
                </wp:anchor>
              </w:drawing>
            </w:r>
            <w:r>
              <w:pict>
                <v:shape id="_x0000_s1308" o:spid="_x0000_s1308" o:spt="202" type="#_x0000_t202" style="position:absolute;left:0pt;margin-left:288.55pt;margin-top:112.9pt;height:8.9pt;width:22.9pt;mso-position-horizontal-relative:page;mso-position-vertical-relative:page;z-index:251855872;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15"/>
                            <w:szCs w:val="15"/>
                          </w:rPr>
                        </w:pPr>
                        <w:r>
                          <w:rPr>
                            <w:rFonts w:ascii="Times New Roman" w:hAnsi="Times New Roman" w:eastAsia="Times New Roman" w:cs="Times New Roman"/>
                            <w:sz w:val="15"/>
                            <w:szCs w:val="15"/>
                          </w:rPr>
                          <w:t>184.06</w:t>
                        </w:r>
                      </w:p>
                    </w:txbxContent>
                  </v:textbox>
                </v:shape>
              </w:pict>
            </w:r>
            <w:r>
              <w:pict>
                <v:shape id="_x0000_s1309" o:spid="_x0000_s1309" o:spt="202" type="#_x0000_t202" style="position:absolute;left:0pt;margin-left:349.05pt;margin-top:170.9pt;height:8.9pt;width:23.45pt;mso-position-horizontal-relative:page;mso-position-vertical-relative:page;z-index:251853824;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541.24</w:t>
                        </w:r>
                      </w:p>
                    </w:txbxContent>
                  </v:textbox>
                </v:shape>
              </w:pict>
            </w:r>
            <w:r>
              <w:pict>
                <v:shape id="_x0000_s1310" o:spid="_x0000_s1310" o:spt="202" type="#_x0000_t202" style="position:absolute;left:0pt;margin-left:278.45pt;margin-top:171.35pt;height:8.9pt;width:19.5pt;mso-position-horizontal-relative:page;mso-position-vertical-relative:page;z-index:251849728;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25.29</w:t>
                        </w:r>
                      </w:p>
                    </w:txbxContent>
                  </v:textbox>
                </v:shape>
              </w:pict>
            </w:r>
            <w:r>
              <w:pict>
                <v:shape id="_x0000_s1311" o:spid="_x0000_s1311" o:spt="202" type="#_x0000_t202" style="position:absolute;left:0pt;margin-left:207.25pt;margin-top:171.75pt;height:23.15pt;width:63.15pt;mso-position-horizontal-relative:page;mso-position-vertical-relative:page;z-index:251851776;mso-width-relative:page;mso-height-relative:page;" filled="f" stroked="f" coordsize="21600,21600">
                  <v:path/>
                  <v:fill on="f" focussize="0,0"/>
                  <v:stroke on="f"/>
                  <v:imagedata o:title=""/>
                  <o:lock v:ext="edit" aspectratio="f"/>
                  <v:textbox inset="0mm,0mm,0mm,0mm">
                    <w:txbxContent>
                      <w:p>
                        <w:pPr>
                          <w:pStyle w:val="6"/>
                          <w:spacing w:before="19" w:line="230" w:lineRule="auto"/>
                          <w:ind w:left="457" w:right="20" w:hanging="438"/>
                          <w:rPr>
                            <w:sz w:val="17"/>
                            <w:szCs w:val="17"/>
                          </w:rPr>
                        </w:pPr>
                        <w:r>
                          <w:rPr>
                            <w:spacing w:val="4"/>
                            <w:sz w:val="17"/>
                            <w:szCs w:val="17"/>
                          </w:rPr>
                          <w:t>集酸坑、废水暂</w:t>
                        </w:r>
                        <w:r>
                          <w:rPr>
                            <w:spacing w:val="3"/>
                            <w:sz w:val="17"/>
                            <w:szCs w:val="17"/>
                          </w:rPr>
                          <w:t xml:space="preserve"> </w:t>
                        </w:r>
                        <w:r>
                          <w:rPr>
                            <w:spacing w:val="6"/>
                            <w:sz w:val="17"/>
                            <w:szCs w:val="17"/>
                          </w:rPr>
                          <w:t>存罐</w:t>
                        </w:r>
                      </w:p>
                    </w:txbxContent>
                  </v:textbox>
                </v:shape>
              </w:pict>
            </w:r>
            <w:r>
              <w:pict>
                <v:shape id="_x0000_s1312" o:spid="_x0000_s1312" o:spt="202" type="#_x0000_t202" style="position:absolute;left:0pt;margin-left:377.3pt;margin-top:167.55pt;height:23.15pt;width:80.9pt;mso-position-horizontal-relative:page;mso-position-vertical-relative:page;z-index:251850752;mso-width-relative:page;mso-height-relative:page;" filled="f" stroked="f" coordsize="21600,21600">
                  <v:path/>
                  <v:fill on="f" focussize="0,0"/>
                  <v:stroke on="f"/>
                  <v:imagedata o:title=""/>
                  <o:lock v:ext="edit" aspectratio="f"/>
                  <v:textbox inset="0mm,0mm,0mm,0mm">
                    <w:txbxContent>
                      <w:p>
                        <w:pPr>
                          <w:pStyle w:val="6"/>
                          <w:spacing w:before="20" w:line="229" w:lineRule="auto"/>
                          <w:ind w:left="20" w:right="20" w:firstLine="88"/>
                          <w:rPr>
                            <w:sz w:val="17"/>
                            <w:szCs w:val="17"/>
                          </w:rPr>
                        </w:pPr>
                        <w:r>
                          <w:rPr>
                            <w:spacing w:val="5"/>
                            <w:sz w:val="17"/>
                            <w:szCs w:val="17"/>
                          </w:rPr>
                          <w:t>废水罐或应急池暂</w:t>
                        </w:r>
                        <w:r>
                          <w:rPr>
                            <w:spacing w:val="1"/>
                            <w:sz w:val="17"/>
                            <w:szCs w:val="17"/>
                          </w:rPr>
                          <w:t xml:space="preserve">  </w:t>
                        </w:r>
                        <w:r>
                          <w:rPr>
                            <w:spacing w:val="5"/>
                            <w:sz w:val="17"/>
                            <w:szCs w:val="17"/>
                          </w:rPr>
                          <w:t>存，外运污水处理厂</w:t>
                        </w:r>
                      </w:p>
                    </w:txbxContent>
                  </v:textbox>
                </v:shape>
              </w:pict>
            </w:r>
            <w:r>
              <w:pict>
                <v:shape id="_x0000_s1313" o:spid="_x0000_s1313" o:spt="202" type="#_x0000_t202" style="position:absolute;left:0pt;margin-left:169.25pt;margin-top:179.3pt;height:9pt;width:19.6pt;mso-position-horizontal-relative:page;mso-position-vertical-relative:page;z-index:251867136;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hd w:val="clear" w:fill="FFFFFE"/>
                          </w:rPr>
                          <w:t>25.29</w:t>
                        </w:r>
                      </w:p>
                    </w:txbxContent>
                  </v:textbox>
                </v:shape>
              </w:pict>
            </w:r>
            <w:r>
              <w:pict>
                <v:group id="_x0000_s1314" o:spid="_x0000_s1314" o:spt="203" style="position:absolute;left:0pt;margin-left:272.4pt;margin-top:176.7pt;height:4.4pt;width:39.85pt;mso-position-horizontal-relative:page;mso-position-vertical-relative:page;z-index:251839488;mso-width-relative:page;mso-height-relative:page;" coordsize="796,88">
                  <o:lock v:ext="edit"/>
                  <v:shape id="_x0000_s1315" o:spid="_x0000_s1315" style="position:absolute;left:0;top:42;height:4;width:721;" filled="f" stroked="t" coordsize="721,4" path="m1,1l719,1e">
                    <v:fill on="f" focussize="0,0"/>
                    <v:stroke weight="0.19pt" color="#000000" miterlimit="10" endcap="round"/>
                    <v:imagedata o:title=""/>
                    <o:lock v:ext="edit"/>
                  </v:shape>
                  <v:shape id="_x0000_s1316" o:spid="_x0000_s1316" style="position:absolute;left:708;top:0;height:88;width:88;" fillcolor="#000000" filled="t" stroked="f" coordsize="88,88" path="m0,0l87,43,0,87,0,0xe">
                    <v:fill on="t" focussize="0,0"/>
                    <v:stroke on="f"/>
                    <v:imagedata o:title=""/>
                    <o:lock v:ext="edit"/>
                  </v:shape>
                </v:group>
              </w:pict>
            </w:r>
            <w:r>
              <w:drawing>
                <wp:anchor distT="0" distB="0" distL="0" distR="0" simplePos="0" relativeHeight="251840512" behindDoc="0" locked="0" layoutInCell="1" allowOverlap="1">
                  <wp:simplePos x="0" y="0"/>
                  <wp:positionH relativeFrom="rightMargin">
                    <wp:posOffset>-2018030</wp:posOffset>
                  </wp:positionH>
                  <wp:positionV relativeFrom="topMargin">
                    <wp:posOffset>2206625</wp:posOffset>
                  </wp:positionV>
                  <wp:extent cx="55880" cy="5588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13"/>
                          <a:stretch>
                            <a:fillRect/>
                          </a:stretch>
                        </pic:blipFill>
                        <pic:spPr>
                          <a:xfrm>
                            <a:off x="0" y="0"/>
                            <a:ext cx="55861" cy="55826"/>
                          </a:xfrm>
                          <a:prstGeom prst="rect">
                            <a:avLst/>
                          </a:prstGeom>
                        </pic:spPr>
                      </pic:pic>
                    </a:graphicData>
                  </a:graphic>
                </wp:anchor>
              </w:drawing>
            </w:r>
            <w:r>
              <w:drawing>
                <wp:anchor distT="0" distB="0" distL="0" distR="0" simplePos="0" relativeHeight="251842560" behindDoc="0" locked="0" layoutInCell="1" allowOverlap="1">
                  <wp:simplePos x="0" y="0"/>
                  <wp:positionH relativeFrom="rightMargin">
                    <wp:posOffset>-1990725</wp:posOffset>
                  </wp:positionH>
                  <wp:positionV relativeFrom="topMargin">
                    <wp:posOffset>2234565</wp:posOffset>
                  </wp:positionV>
                  <wp:extent cx="837565" cy="8953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14"/>
                          <a:stretch>
                            <a:fillRect/>
                          </a:stretch>
                        </pic:blipFill>
                        <pic:spPr>
                          <a:xfrm>
                            <a:off x="0" y="0"/>
                            <a:ext cx="837524" cy="89806"/>
                          </a:xfrm>
                          <a:prstGeom prst="rect">
                            <a:avLst/>
                          </a:prstGeom>
                        </pic:spPr>
                      </pic:pic>
                    </a:graphicData>
                  </a:graphic>
                </wp:anchor>
              </w:drawing>
            </w:r>
            <w:r>
              <w:pict>
                <v:group id="_x0000_s1317" o:spid="_x0000_s1317" o:spt="203" style="position:absolute;left:0pt;margin-left:153pt;margin-top:180.85pt;height:4.4pt;width:51.75pt;mso-position-horizontal-relative:page;mso-position-vertical-relative:page;z-index:251866112;mso-width-relative:page;mso-height-relative:page;" coordsize="1035,88">
                  <o:lock v:ext="edit"/>
                  <v:shape id="_x0000_s1318" o:spid="_x0000_s1318" style="position:absolute;left:0;top:42;height:4;width:960;" filled="f" stroked="t" coordsize="960,4" path="m1,1l957,1e">
                    <v:fill on="f" focussize="0,0"/>
                    <v:stroke weight="0.19pt" color="#000000" miterlimit="10" endcap="round"/>
                    <v:imagedata o:title=""/>
                    <o:lock v:ext="edit"/>
                  </v:shape>
                  <v:shape id="_x0000_s1319" o:spid="_x0000_s1319" style="position:absolute;left:946;top:0;height:88;width:88;" fillcolor="#000000" filled="t" stroked="f" coordsize="88,88" path="m0,0l87,43,0,87,0,0xe">
                    <v:fill on="t" focussize="0,0"/>
                    <v:stroke on="f"/>
                    <v:imagedata o:title=""/>
                    <o:lock v:ext="edit"/>
                  </v:shape>
                </v:group>
              </w:pict>
            </w:r>
            <w:r>
              <w:pict>
                <v:shape id="_x0000_s1320" o:spid="_x0000_s1320" o:spt="202" type="#_x0000_t202" style="position:absolute;left:0pt;margin-left:244.5pt;margin-top:231.7pt;height:23.15pt;width:72.15pt;mso-position-horizontal-relative:page;mso-position-vertical-relative:page;z-index:251852800;mso-width-relative:page;mso-height-relative:page;" filled="f" stroked="f" coordsize="21600,21600">
                  <v:path/>
                  <v:fill on="f" focussize="0,0"/>
                  <v:stroke on="f"/>
                  <v:imagedata o:title=""/>
                  <o:lock v:ext="edit" aspectratio="f"/>
                  <v:textbox inset="0mm,0mm,0mm,0mm">
                    <w:txbxContent>
                      <w:p>
                        <w:pPr>
                          <w:pStyle w:val="6"/>
                          <w:spacing w:before="20" w:line="229" w:lineRule="auto"/>
                          <w:ind w:left="106" w:right="20" w:hanging="87"/>
                          <w:rPr>
                            <w:sz w:val="17"/>
                            <w:szCs w:val="17"/>
                          </w:rPr>
                        </w:pPr>
                        <w:r>
                          <w:rPr>
                            <w:spacing w:val="5"/>
                            <w:sz w:val="17"/>
                            <w:szCs w:val="17"/>
                          </w:rPr>
                          <w:t>罐车拉运至江陵镇</w:t>
                        </w:r>
                        <w:r>
                          <w:rPr>
                            <w:spacing w:val="1"/>
                            <w:sz w:val="17"/>
                            <w:szCs w:val="17"/>
                          </w:rPr>
                          <w:t xml:space="preserve"> </w:t>
                        </w:r>
                        <w:r>
                          <w:rPr>
                            <w:spacing w:val="4"/>
                            <w:sz w:val="17"/>
                            <w:szCs w:val="17"/>
                          </w:rPr>
                          <w:t>污水处理厂处置</w:t>
                        </w:r>
                      </w:p>
                    </w:txbxContent>
                  </v:textbox>
                </v:shape>
              </w:pict>
            </w:r>
            <w:r>
              <w:pict>
                <v:shape id="_x0000_s1321" o:spid="_x0000_s1321" o:spt="202" type="#_x0000_t202" style="position:absolute;left:0pt;margin-left:205.7pt;margin-top:239.2pt;height:9.05pt;width:19.55pt;mso-position-horizontal-relative:page;mso-position-vertical-relative:page;z-index:251871232;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hd w:val="clear" w:fill="FFFFFE"/>
                          </w:rPr>
                          <w:t>518.4</w:t>
                        </w:r>
                      </w:p>
                    </w:txbxContent>
                  </v:textbox>
                </v:shape>
              </w:pict>
            </w:r>
            <w:r>
              <w:pict>
                <v:shape id="_x0000_s1322" o:spid="_x0000_s1322" o:spt="202" type="#_x0000_t202" style="position:absolute;left:0pt;margin-left:87.9pt;margin-top:240.35pt;height:9pt;width:12.35pt;mso-position-horizontal-relative:page;mso-position-vertical-relative:page;z-index:251873280;mso-width-relative:page;mso-height-relative:page;" filled="f" stroked="f" coordsize="21600,21600">
                  <v:path/>
                  <v:fill on="f" focussize="0,0"/>
                  <v:stroke on="f"/>
                  <v:imagedata o:title=""/>
                  <o:lock v:ext="edit" aspectratio="f"/>
                  <v:textbox inset="0mm,0mm,0mm,0mm">
                    <w:txbxContent>
                      <w:p>
                        <w:pPr>
                          <w:pStyle w:val="6"/>
                          <w:spacing w:before="20" w:line="184" w:lineRule="auto"/>
                          <w:ind w:left="20"/>
                        </w:pPr>
                        <w:r>
                          <w:rPr>
                            <w:spacing w:val="-1"/>
                            <w:shd w:val="clear" w:fill="FFFFFE"/>
                          </w:rPr>
                          <w:t>576</w:t>
                        </w:r>
                      </w:p>
                    </w:txbxContent>
                  </v:textbox>
                </v:shape>
              </w:pict>
            </w:r>
            <w:r>
              <w:pict>
                <v:group id="_x0000_s1323" o:spid="_x0000_s1323" o:spt="203" style="position:absolute;left:0pt;margin-left:188.2pt;margin-top:240.7pt;height:4.4pt;width:54pt;mso-position-horizontal-relative:page;mso-position-vertical-relative:page;z-index:251870208;mso-width-relative:page;mso-height-relative:page;" coordsize="1080,88">
                  <o:lock v:ext="edit"/>
                  <v:shape id="_x0000_s1324" o:spid="_x0000_s1324" style="position:absolute;left:0;top:42;height:4;width:1005;" filled="f" stroked="t" coordsize="1005,4" path="m1,1l1002,1e">
                    <v:fill on="f" focussize="0,0"/>
                    <v:stroke weight="0.19pt" color="#000000" miterlimit="10" endcap="round"/>
                    <v:imagedata o:title=""/>
                    <o:lock v:ext="edit"/>
                  </v:shape>
                  <v:shape id="_x0000_s1325" o:spid="_x0000_s1325" style="position:absolute;left:991;top:0;height:88;width:88;" fillcolor="#000000" filled="t" stroked="f" coordsize="88,88" path="m0,0l87,43,0,87,0,0xe">
                    <v:fill on="t" focussize="0,0"/>
                    <v:stroke on="f"/>
                    <v:imagedata o:title=""/>
                    <o:lock v:ext="edit"/>
                  </v:shape>
                </v:group>
              </w:pict>
            </w:r>
            <w:r>
              <w:drawing>
                <wp:anchor distT="0" distB="0" distL="0" distR="0" simplePos="0" relativeHeight="251862016" behindDoc="0" locked="0" layoutInCell="1" allowOverlap="1">
                  <wp:simplePos x="0" y="0"/>
                  <wp:positionH relativeFrom="rightMargin">
                    <wp:posOffset>-4055110</wp:posOffset>
                  </wp:positionH>
                  <wp:positionV relativeFrom="topMargin">
                    <wp:posOffset>3474720</wp:posOffset>
                  </wp:positionV>
                  <wp:extent cx="305435" cy="2508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15"/>
                          <a:stretch>
                            <a:fillRect/>
                          </a:stretch>
                        </pic:blipFill>
                        <pic:spPr>
                          <a:xfrm>
                            <a:off x="0" y="0"/>
                            <a:ext cx="305317" cy="250618"/>
                          </a:xfrm>
                          <a:prstGeom prst="rect">
                            <a:avLst/>
                          </a:prstGeom>
                        </pic:spPr>
                      </pic:pic>
                    </a:graphicData>
                  </a:graphic>
                </wp:anchor>
              </w:drawing>
            </w:r>
            <w:r>
              <w:pict>
                <v:shape id="_x0000_s1326" o:spid="_x0000_s1326" o:spt="202" type="#_x0000_t202" style="position:absolute;left:0pt;margin-left:32.25pt;margin-top:291.65pt;height:23.2pt;width:45.8pt;mso-position-horizontal-relative:page;mso-position-vertical-relative:page;z-index:251848704;mso-width-relative:page;mso-height-relative:page;" filled="f" stroked="f" coordsize="21600,21600">
                  <v:path/>
                  <v:fill on="f" focussize="0,0"/>
                  <v:stroke on="f"/>
                  <v:imagedata o:title=""/>
                  <o:lock v:ext="edit" aspectratio="f"/>
                  <v:textbox inset="0mm,0mm,0mm,0mm">
                    <w:txbxContent>
                      <w:p>
                        <w:pPr>
                          <w:pStyle w:val="6"/>
                          <w:spacing w:before="19" w:line="230" w:lineRule="auto"/>
                          <w:ind w:left="280" w:right="20" w:hanging="260"/>
                          <w:rPr>
                            <w:sz w:val="17"/>
                            <w:szCs w:val="17"/>
                          </w:rPr>
                        </w:pPr>
                        <w:r>
                          <w:rPr>
                            <w:spacing w:val="5"/>
                            <w:sz w:val="17"/>
                            <w:szCs w:val="17"/>
                          </w:rPr>
                          <w:t>外来成品酸</w:t>
                        </w:r>
                        <w:r>
                          <w:rPr>
                            <w:sz w:val="17"/>
                            <w:szCs w:val="17"/>
                          </w:rPr>
                          <w:t xml:space="preserve"> </w:t>
                        </w:r>
                        <w:r>
                          <w:rPr>
                            <w:spacing w:val="5"/>
                            <w:sz w:val="17"/>
                            <w:szCs w:val="17"/>
                          </w:rPr>
                          <w:t>化液</w:t>
                        </w:r>
                      </w:p>
                    </w:txbxContent>
                  </v:textbox>
                </v:shape>
              </w:pict>
            </w:r>
            <w:r>
              <w:pict>
                <v:shape id="_x0000_s1327" o:spid="_x0000_s1327" o:spt="202" type="#_x0000_t202" style="position:absolute;left:0pt;margin-left:333.4pt;margin-top:296.85pt;height:8.9pt;width:12.75pt;mso-position-horizontal-relative:page;mso-position-vertical-relative:page;z-index:251847680;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180</w:t>
                        </w:r>
                      </w:p>
                    </w:txbxContent>
                  </v:textbox>
                </v:shape>
              </w:pict>
            </w:r>
            <w:r>
              <w:pict>
                <v:shape id="_x0000_s1328" o:spid="_x0000_s1328" o:spt="202" type="#_x0000_t202" style="position:absolute;left:0pt;margin-left:216.4pt;margin-top:296.95pt;height:12.6pt;width:45.95pt;mso-position-horizontal-relative:page;mso-position-vertical-relative:page;z-index:251846656;mso-width-relative:page;mso-height-relative:page;" filled="f" stroked="f" coordsize="21600,21600">
                  <v:path/>
                  <v:fill on="f" focussize="0,0"/>
                  <v:stroke on="f"/>
                  <v:imagedata o:title=""/>
                  <o:lock v:ext="edit" aspectratio="f"/>
                  <v:textbox inset="0mm,0mm,0mm,0mm">
                    <w:txbxContent>
                      <w:p>
                        <w:pPr>
                          <w:pStyle w:val="6"/>
                          <w:spacing w:before="20" w:line="229" w:lineRule="auto"/>
                          <w:ind w:left="20"/>
                          <w:rPr>
                            <w:sz w:val="17"/>
                            <w:szCs w:val="17"/>
                          </w:rPr>
                        </w:pPr>
                        <w:r>
                          <w:rPr>
                            <w:spacing w:val="5"/>
                            <w:sz w:val="17"/>
                            <w:szCs w:val="17"/>
                          </w:rPr>
                          <w:t>废水罐暂存</w:t>
                        </w:r>
                      </w:p>
                    </w:txbxContent>
                  </v:textbox>
                </v:shape>
              </w:pict>
            </w:r>
            <w:r>
              <w:pict>
                <v:shape id="_x0000_s1329" o:spid="_x0000_s1329" o:spt="202" type="#_x0000_t202" style="position:absolute;left:0pt;margin-left:176.4pt;margin-top:299.15pt;height:9.05pt;width:12pt;mso-position-horizontal-relative:page;mso-position-vertical-relative:page;z-index:251865088;mso-width-relative:page;mso-height-relative:page;" filled="f" stroked="f" coordsize="21600,21600">
                  <v:path/>
                  <v:fill on="f" focussize="0,0"/>
                  <v:stroke on="f"/>
                  <v:imagedata o:title=""/>
                  <o:lock v:ext="edit" aspectratio="f"/>
                  <v:textbox inset="0mm,0mm,0mm,0mm">
                    <w:txbxContent>
                      <w:p>
                        <w:pPr>
                          <w:pStyle w:val="6"/>
                          <w:spacing w:before="20" w:line="185" w:lineRule="auto"/>
                          <w:ind w:left="20"/>
                        </w:pPr>
                        <w:r>
                          <w:rPr>
                            <w:spacing w:val="-3"/>
                            <w:shd w:val="clear" w:fill="FFFFFE"/>
                          </w:rPr>
                          <w:t>180</w:t>
                        </w:r>
                      </w:p>
                    </w:txbxContent>
                  </v:textbox>
                </v:shape>
              </w:pict>
            </w:r>
            <w:r>
              <w:pict>
                <v:shape id="_x0000_s1330" o:spid="_x0000_s1330" o:spt="202" type="#_x0000_t202" style="position:absolute;left:0pt;margin-left:95.15pt;margin-top:299.15pt;height:9pt;width:12.45pt;mso-position-horizontal-relative:page;mso-position-vertical-relative:page;z-index:251869184;mso-width-relative:page;mso-height-relative:page;" filled="f" stroked="f" coordsize="21600,21600">
                  <v:path/>
                  <v:fill on="f" focussize="0,0"/>
                  <v:stroke on="f"/>
                  <v:imagedata o:title=""/>
                  <o:lock v:ext="edit" aspectratio="f"/>
                  <v:textbox inset="0mm,0mm,0mm,0mm">
                    <w:txbxContent>
                      <w:p>
                        <w:pPr>
                          <w:pStyle w:val="6"/>
                          <w:spacing w:before="19" w:line="185" w:lineRule="auto"/>
                          <w:ind w:left="20"/>
                        </w:pPr>
                        <w:r>
                          <w:rPr>
                            <w:spacing w:val="-1"/>
                            <w:shd w:val="clear" w:fill="FFFFFE"/>
                          </w:rPr>
                          <w:t>200</w:t>
                        </w:r>
                      </w:p>
                    </w:txbxContent>
                  </v:textbox>
                </v:shape>
              </w:pict>
            </w:r>
            <w:r>
              <w:pict>
                <v:group id="_x0000_s1331" o:spid="_x0000_s1331" o:spt="203" style="position:absolute;left:0pt;margin-left:82.05pt;margin-top:300.5pt;height:4.4pt;width:38.5pt;mso-position-horizontal-relative:page;mso-position-vertical-relative:page;z-index:251868160;mso-width-relative:page;mso-height-relative:page;" coordsize="770,88">
                  <o:lock v:ext="edit"/>
                  <v:shape id="_x0000_s1332" o:spid="_x0000_s1332" style="position:absolute;left:0;top:42;height:4;width:695;" filled="f" stroked="t" coordsize="695,4" path="m1,1l692,1e">
                    <v:fill on="f" focussize="0,0"/>
                    <v:stroke weight="0.19pt" color="#000000" miterlimit="10" endcap="round"/>
                    <v:imagedata o:title=""/>
                    <o:lock v:ext="edit"/>
                  </v:shape>
                  <v:shape id="_x0000_s1333" o:spid="_x0000_s1333" style="position:absolute;left:681;top:0;height:88;width:88;" fillcolor="#000000" filled="t" stroked="f" coordsize="88,88" path="m0,0l87,43,0,87,0,0xe">
                    <v:fill on="t" focussize="0,0"/>
                    <v:stroke on="f"/>
                    <v:imagedata o:title=""/>
                    <o:lock v:ext="edit"/>
                  </v:shape>
                </v:group>
              </w:pict>
            </w:r>
            <w:r>
              <w:pict>
                <v:group id="_x0000_s1334" o:spid="_x0000_s1334" o:spt="203" style="position:absolute;left:0pt;margin-left:153pt;margin-top:300.5pt;height:4.4pt;width:58.05pt;mso-position-horizontal-relative:page;mso-position-vertical-relative:page;z-index:251864064;mso-width-relative:page;mso-height-relative:page;" coordsize="1160,88">
                  <o:lock v:ext="edit"/>
                  <v:shape id="_x0000_s1335" o:spid="_x0000_s1335" style="position:absolute;left:0;top:42;height:4;width:1085;" filled="f" stroked="t" coordsize="1085,4" path="m1,1l1083,1e">
                    <v:fill on="f" focussize="0,0"/>
                    <v:stroke weight="0.19pt" color="#000000" miterlimit="10" endcap="round"/>
                    <v:imagedata o:title=""/>
                    <o:lock v:ext="edit"/>
                  </v:shape>
                  <v:shape id="_x0000_s1336" o:spid="_x0000_s1336" style="position:absolute;left:1072;top:0;height:88;width:88;" fillcolor="#000000" filled="t" stroked="f" coordsize="88,88" path="m0,0l87,43,0,87,0,0xe">
                    <v:fill on="t" focussize="0,0"/>
                    <v:stroke on="f"/>
                    <v:imagedata o:title=""/>
                    <o:lock v:ext="edit"/>
                  </v:shape>
                </v:group>
              </w:pict>
            </w:r>
            <w:r>
              <w:pict>
                <v:group id="_x0000_s1337" o:spid="_x0000_s1337" o:spt="203" style="position:absolute;left:0pt;margin-left:153pt;margin-top:70.25pt;height:4.4pt;width:44.45pt;mso-position-horizontal-relative:page;mso-position-vertical-relative:page;z-index:251881472;mso-width-relative:page;mso-height-relative:page;" coordsize="889,88">
                  <o:lock v:ext="edit"/>
                  <v:shape id="_x0000_s1338" o:spid="_x0000_s1338" style="position:absolute;left:0;top:42;height:4;width:814;" filled="f" stroked="t" coordsize="814,4" path="m1,1l811,1e">
                    <v:fill on="f" focussize="0,0"/>
                    <v:stroke weight="0.19pt" color="#000000" miterlimit="10" endcap="round"/>
                    <v:imagedata o:title=""/>
                    <o:lock v:ext="edit"/>
                  </v:shape>
                  <v:shape id="_x0000_s1339" o:spid="_x0000_s1339" style="position:absolute;left:800;top:0;height:88;width:88;" fillcolor="#000000" filled="t" stroked="f" coordsize="88,88" path="m0,0l87,43,0,87,0,0xe">
                    <v:fill on="t" focussize="0,0"/>
                    <v:stroke on="f"/>
                    <v:imagedata o:title=""/>
                    <o:lock v:ext="edit"/>
                  </v:shape>
                </v:group>
              </w:pict>
            </w:r>
            <w:r>
              <w:pict>
                <v:group id="_x0000_s1340" o:spid="_x0000_s1340" o:spt="203" style="position:absolute;left:0pt;margin-left:244.15pt;margin-top:70.25pt;height:4.4pt;width:39.3pt;mso-position-horizontal-relative:page;mso-position-vertical-relative:page;z-index:251879424;mso-width-relative:page;mso-height-relative:page;" coordsize="785,88">
                  <o:lock v:ext="edit"/>
                  <v:shape id="_x0000_s1341" o:spid="_x0000_s1341" style="position:absolute;left:0;top:42;height:4;width:710;" filled="f" stroked="t" coordsize="710,4" path="m1,1l708,1e">
                    <v:fill on="f" focussize="0,0"/>
                    <v:stroke weight="0.19pt" color="#000000" miterlimit="10" endcap="round"/>
                    <v:imagedata o:title=""/>
                    <o:lock v:ext="edit"/>
                  </v:shape>
                  <v:shape id="_x0000_s1342" o:spid="_x0000_s1342" style="position:absolute;left:697;top:0;height:88;width:88;" fillcolor="#000000" filled="t" stroked="f" coordsize="88,88" path="m0,0l87,43,0,87,0,0xe">
                    <v:fill on="t" focussize="0,0"/>
                    <v:stroke on="f"/>
                    <v:imagedata o:title=""/>
                    <o:lock v:ext="edit"/>
                  </v:shape>
                </v:group>
              </w:pict>
            </w:r>
            <w:r>
              <w:pict>
                <v:group id="_x0000_s1343" o:spid="_x0000_s1343" o:spt="203" style="position:absolute;left:0pt;margin-left:330.15pt;margin-top:70.25pt;height:4.4pt;width:39.3pt;mso-position-horizontal-relative:page;mso-position-vertical-relative:page;z-index:251877376;mso-width-relative:page;mso-height-relative:page;" coordsize="785,88">
                  <o:lock v:ext="edit"/>
                  <v:shape id="_x0000_s1344" o:spid="_x0000_s1344" style="position:absolute;left:0;top:42;height:4;width:710;" filled="f" stroked="t" coordsize="710,4" path="m1,1l708,1e">
                    <v:fill on="f" focussize="0,0"/>
                    <v:stroke weight="0.19pt" color="#000000" miterlimit="10" endcap="round"/>
                    <v:imagedata o:title=""/>
                    <o:lock v:ext="edit"/>
                  </v:shape>
                  <v:shape id="_x0000_s1345" o:spid="_x0000_s1345" style="position:absolute;left:697;top:0;height:88;width:88;" fillcolor="#000000" filled="t" stroked="f" coordsize="88,88" path="m0,0l87,43,0,87,0,0xe">
                    <v:fill on="t" focussize="0,0"/>
                    <v:stroke on="f"/>
                    <v:imagedata o:title=""/>
                    <o:lock v:ext="edit"/>
                  </v:shape>
                </v:group>
              </w:pict>
            </w:r>
            <w:r>
              <w:pict>
                <v:shape id="_x0000_s1346" o:spid="_x0000_s1346" o:spt="202" type="#_x0000_t202" style="position:absolute;left:0pt;margin-left:155.95pt;margin-top:266.9pt;height:11.2pt;width:41.7pt;mso-position-horizontal-relative:page;mso-position-vertical-relative:page;z-index:251863040;mso-width-relative:page;mso-height-relative:page;" filled="f" stroked="f" coordsize="21600,21600">
                  <v:path/>
                  <v:fill on="f" focussize="0,0"/>
                  <v:stroke on="f"/>
                  <v:imagedata o:title=""/>
                  <o:lock v:ext="edit" aspectratio="f"/>
                  <v:textbox inset="0mm,0mm,0mm,0mm">
                    <w:txbxContent>
                      <w:p>
                        <w:pPr>
                          <w:pStyle w:val="6"/>
                          <w:spacing w:before="20" w:line="226" w:lineRule="auto"/>
                          <w:ind w:left="20"/>
                          <w:rPr>
                            <w:sz w:val="15"/>
                            <w:szCs w:val="15"/>
                          </w:rPr>
                        </w:pPr>
                        <w:r>
                          <w:rPr>
                            <w:spacing w:val="7"/>
                            <w:sz w:val="15"/>
                            <w:szCs w:val="15"/>
                          </w:rPr>
                          <w:t>地层损耗20</w:t>
                        </w:r>
                      </w:p>
                    </w:txbxContent>
                  </v:textbox>
                </v:shape>
              </w:pict>
            </w:r>
            <w:r>
              <w:pict>
                <v:shape id="_x0000_s1347" o:spid="_x0000_s1347" o:spt="202" type="#_x0000_t202" style="position:absolute;left:0pt;margin-left:148.6pt;margin-top:95pt;height:9.9pt;width:36.3pt;mso-position-horizontal-relative:page;mso-position-vertical-relative:page;z-index:251884544;mso-width-relative:page;mso-height-relative:page;" filled="f" stroked="f" coordsize="21600,21600">
                  <v:path/>
                  <v:fill on="f" focussize="0,0"/>
                  <v:stroke on="f"/>
                  <v:imagedata o:title=""/>
                  <o:lock v:ext="edit" aspectratio="f"/>
                  <v:textbox inset="0mm,0mm,0mm,0mm">
                    <w:txbxContent>
                      <w:p>
                        <w:pPr>
                          <w:pStyle w:val="6"/>
                          <w:spacing w:before="19" w:line="224" w:lineRule="auto"/>
                          <w:ind w:left="20"/>
                          <w:rPr>
                            <w:sz w:val="13"/>
                            <w:szCs w:val="13"/>
                          </w:rPr>
                        </w:pPr>
                        <w:r>
                          <w:rPr>
                            <w:spacing w:val="-3"/>
                            <w:sz w:val="13"/>
                            <w:szCs w:val="13"/>
                            <w:shd w:val="clear" w:fill="FFFFFE"/>
                          </w:rPr>
                          <w:t>回用3313.14</w:t>
                        </w:r>
                      </w:p>
                    </w:txbxContent>
                  </v:textbox>
                </v:shape>
              </w:pict>
            </w:r>
            <w:r>
              <w:rPr>
                <w:spacing w:val="-4"/>
                <w:sz w:val="24"/>
                <w:szCs w:val="24"/>
              </w:rPr>
              <w:t>综上，本项目水平衡图详见下图所示：</w:t>
            </w:r>
          </w:p>
          <w:p>
            <w:pPr>
              <w:pStyle w:val="6"/>
              <w:spacing w:before="200" w:line="226" w:lineRule="auto"/>
              <w:ind w:left="3044"/>
              <w:rPr>
                <w:sz w:val="15"/>
                <w:szCs w:val="15"/>
              </w:rPr>
            </w:pPr>
            <w:r>
              <w:rPr>
                <w:spacing w:val="5"/>
                <w:sz w:val="15"/>
                <w:szCs w:val="15"/>
              </w:rPr>
              <w:t>地层损耗110.44</w:t>
            </w:r>
          </w:p>
          <w:p>
            <w:pPr>
              <w:spacing w:before="3" w:line="395" w:lineRule="exact"/>
              <w:ind w:firstLine="3056"/>
            </w:pPr>
            <w:r>
              <w:rPr>
                <w:position w:val="-7"/>
              </w:rPr>
              <w:drawing>
                <wp:inline distT="0" distB="0" distL="0" distR="0">
                  <wp:extent cx="304800" cy="25019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16"/>
                          <a:stretch>
                            <a:fillRect/>
                          </a:stretch>
                        </pic:blipFill>
                        <pic:spPr>
                          <a:xfrm>
                            <a:off x="0" y="0"/>
                            <a:ext cx="305317" cy="250609"/>
                          </a:xfrm>
                          <a:prstGeom prst="rect">
                            <a:avLst/>
                          </a:prstGeom>
                        </pic:spPr>
                      </pic:pic>
                    </a:graphicData>
                  </a:graphic>
                </wp:inline>
              </w:drawing>
            </w:r>
          </w:p>
          <w:p>
            <w:pPr>
              <w:spacing w:before="33"/>
            </w:pPr>
          </w:p>
          <w:p>
            <w:pPr>
              <w:spacing w:before="33"/>
            </w:pPr>
          </w:p>
          <w:p>
            <w:pPr>
              <w:spacing w:before="33"/>
            </w:pPr>
          </w:p>
          <w:p>
            <w:pPr>
              <w:spacing w:before="33"/>
            </w:pPr>
          </w:p>
          <w:tbl>
            <w:tblPr>
              <w:tblStyle w:val="5"/>
              <w:tblW w:w="1357" w:type="dxa"/>
              <w:tblInd w:w="231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35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66" w:hRule="atLeast"/>
              </w:trPr>
              <w:tc>
                <w:tcPr>
                  <w:tcW w:w="1357" w:type="dxa"/>
                  <w:vAlign w:val="top"/>
                </w:tcPr>
                <w:p>
                  <w:pPr>
                    <w:pStyle w:val="6"/>
                    <w:spacing w:before="80" w:line="230" w:lineRule="auto"/>
                    <w:ind w:left="153"/>
                    <w:rPr>
                      <w:sz w:val="17"/>
                      <w:szCs w:val="17"/>
                    </w:rPr>
                  </w:pPr>
                  <w:r>
                    <w:rPr>
                      <w:spacing w:val="4"/>
                      <w:sz w:val="17"/>
                      <w:szCs w:val="17"/>
                    </w:rPr>
                    <w:t>方井初期雨水</w:t>
                  </w:r>
                </w:p>
              </w:tc>
            </w:tr>
          </w:tbl>
          <w:p>
            <w:pPr>
              <w:pStyle w:val="6"/>
              <w:spacing w:before="211" w:line="179" w:lineRule="auto"/>
              <w:ind w:left="3101"/>
              <w:rPr>
                <w:sz w:val="15"/>
                <w:szCs w:val="15"/>
              </w:rPr>
            </w:pPr>
            <w:r>
              <w:pict>
                <v:shape id="_x0000_s1348" o:spid="_x0000_s1348" o:spt="202" type="#_x0000_t202" style="position:absolute;left:0pt;margin-left:11.7pt;margin-top:11.3pt;height:11.25pt;width:49.3pt;z-index:251854848;mso-width-relative:page;mso-height-relative:page;" filled="f" stroked="f" coordsize="21600,21600">
                  <v:path/>
                  <v:fill on="f" focussize="0,0"/>
                  <v:stroke on="f"/>
                  <v:imagedata o:title=""/>
                  <o:lock v:ext="edit" aspectratio="f"/>
                  <v:textbox inset="0mm,0mm,0mm,0mm">
                    <w:txbxContent>
                      <w:p>
                        <w:pPr>
                          <w:pStyle w:val="6"/>
                          <w:spacing w:before="19" w:line="227" w:lineRule="auto"/>
                          <w:ind w:left="20"/>
                          <w:rPr>
                            <w:sz w:val="15"/>
                            <w:szCs w:val="15"/>
                          </w:rPr>
                        </w:pPr>
                        <w:r>
                          <w:rPr>
                            <w:spacing w:val="5"/>
                            <w:sz w:val="15"/>
                            <w:szCs w:val="15"/>
                          </w:rPr>
                          <w:t>新鲜水962.14</w:t>
                        </w:r>
                      </w:p>
                    </w:txbxContent>
                  </v:textbox>
                </v:shape>
              </w:pict>
            </w:r>
            <w:r>
              <w:rPr>
                <w:spacing w:val="6"/>
                <w:sz w:val="15"/>
                <w:szCs w:val="15"/>
              </w:rPr>
              <w:t>地层损耗2.81</w:t>
            </w:r>
          </w:p>
          <w:p>
            <w:pPr>
              <w:spacing w:line="373" w:lineRule="exact"/>
              <w:ind w:firstLine="3033"/>
            </w:pPr>
            <w:r>
              <w:rPr>
                <w:position w:val="-7"/>
              </w:rPr>
              <w:drawing>
                <wp:inline distT="0" distB="0" distL="0" distR="0">
                  <wp:extent cx="304800" cy="23685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17"/>
                          <a:stretch>
                            <a:fillRect/>
                          </a:stretch>
                        </pic:blipFill>
                        <pic:spPr>
                          <a:xfrm>
                            <a:off x="0" y="0"/>
                            <a:ext cx="305317" cy="237151"/>
                          </a:xfrm>
                          <a:prstGeom prst="rect">
                            <a:avLst/>
                          </a:prstGeom>
                        </pic:spPr>
                      </pic:pic>
                    </a:graphicData>
                  </a:graphic>
                </wp:inline>
              </w:drawing>
            </w:r>
          </w:p>
          <w:tbl>
            <w:tblPr>
              <w:tblStyle w:val="5"/>
              <w:tblW w:w="653" w:type="dxa"/>
              <w:tblInd w:w="240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55" w:hRule="atLeast"/>
              </w:trPr>
              <w:tc>
                <w:tcPr>
                  <w:tcW w:w="653" w:type="dxa"/>
                  <w:vAlign w:val="top"/>
                </w:tcPr>
                <w:p>
                  <w:pPr>
                    <w:pStyle w:val="6"/>
                    <w:spacing w:before="71" w:line="231" w:lineRule="auto"/>
                    <w:ind w:left="150"/>
                    <w:rPr>
                      <w:sz w:val="17"/>
                      <w:szCs w:val="17"/>
                    </w:rPr>
                  </w:pPr>
                  <w:r>
                    <w:rPr>
                      <w:spacing w:val="6"/>
                      <w:sz w:val="17"/>
                      <w:szCs w:val="17"/>
                    </w:rPr>
                    <w:t>洗井</w:t>
                  </w:r>
                </w:p>
              </w:tc>
            </w:tr>
          </w:tbl>
          <w:p>
            <w:pPr>
              <w:spacing w:line="250" w:lineRule="auto"/>
              <w:rPr>
                <w:rFonts w:ascii="Arial"/>
                <w:sz w:val="21"/>
              </w:rPr>
            </w:pPr>
          </w:p>
          <w:p>
            <w:pPr>
              <w:pStyle w:val="6"/>
              <w:spacing w:before="50" w:line="177" w:lineRule="auto"/>
              <w:ind w:left="3577"/>
              <w:rPr>
                <w:sz w:val="15"/>
                <w:szCs w:val="15"/>
              </w:rPr>
            </w:pPr>
            <w:r>
              <w:rPr>
                <w:spacing w:val="4"/>
                <w:sz w:val="15"/>
                <w:szCs w:val="15"/>
              </w:rPr>
              <w:t>损耗57.6</w:t>
            </w:r>
          </w:p>
          <w:p>
            <w:pPr>
              <w:spacing w:line="374" w:lineRule="exact"/>
              <w:ind w:firstLine="3349"/>
            </w:pPr>
            <w:r>
              <w:rPr>
                <w:position w:val="-7"/>
              </w:rPr>
              <w:drawing>
                <wp:inline distT="0" distB="0" distL="0" distR="0">
                  <wp:extent cx="304800" cy="23749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18"/>
                          <a:stretch>
                            <a:fillRect/>
                          </a:stretch>
                        </pic:blipFill>
                        <pic:spPr>
                          <a:xfrm>
                            <a:off x="0" y="0"/>
                            <a:ext cx="305317" cy="237515"/>
                          </a:xfrm>
                          <a:prstGeom prst="rect">
                            <a:avLst/>
                          </a:prstGeom>
                        </pic:spPr>
                      </pic:pic>
                    </a:graphicData>
                  </a:graphic>
                </wp:inline>
              </w:drawing>
            </w:r>
          </w:p>
          <w:tbl>
            <w:tblPr>
              <w:tblStyle w:val="5"/>
              <w:tblW w:w="1357" w:type="dxa"/>
              <w:tblInd w:w="240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35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57" w:hRule="atLeast"/>
              </w:trPr>
              <w:tc>
                <w:tcPr>
                  <w:tcW w:w="1357" w:type="dxa"/>
                  <w:vAlign w:val="top"/>
                </w:tcPr>
                <w:p>
                  <w:pPr>
                    <w:pStyle w:val="6"/>
                    <w:spacing w:before="75" w:line="230" w:lineRule="auto"/>
                    <w:ind w:left="329"/>
                    <w:rPr>
                      <w:sz w:val="17"/>
                      <w:szCs w:val="17"/>
                    </w:rPr>
                  </w:pPr>
                  <w:r>
                    <w:rPr>
                      <w:spacing w:val="4"/>
                      <w:sz w:val="17"/>
                      <w:szCs w:val="17"/>
                    </w:rPr>
                    <w:t>生活用水</w:t>
                  </w:r>
                </w:p>
              </w:tc>
            </w:tr>
          </w:tbl>
          <w:p>
            <w:pPr>
              <w:spacing w:before="29"/>
            </w:pPr>
          </w:p>
          <w:p>
            <w:pPr>
              <w:spacing w:before="28"/>
            </w:pPr>
          </w:p>
          <w:p>
            <w:pPr>
              <w:spacing w:before="28"/>
            </w:pPr>
          </w:p>
          <w:tbl>
            <w:tblPr>
              <w:tblStyle w:val="5"/>
              <w:tblW w:w="653" w:type="dxa"/>
              <w:tblInd w:w="240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366" w:hRule="atLeast"/>
              </w:trPr>
              <w:tc>
                <w:tcPr>
                  <w:tcW w:w="653" w:type="dxa"/>
                  <w:vAlign w:val="top"/>
                </w:tcPr>
                <w:p>
                  <w:pPr>
                    <w:pStyle w:val="6"/>
                    <w:spacing w:before="87" w:line="231" w:lineRule="auto"/>
                    <w:ind w:left="151"/>
                    <w:rPr>
                      <w:sz w:val="17"/>
                      <w:szCs w:val="17"/>
                    </w:rPr>
                  </w:pPr>
                  <w:r>
                    <w:rPr>
                      <w:spacing w:val="5"/>
                      <w:sz w:val="17"/>
                      <w:szCs w:val="17"/>
                    </w:rPr>
                    <w:t>酸化</w:t>
                  </w:r>
                </w:p>
              </w:tc>
            </w:tr>
          </w:tbl>
          <w:p>
            <w:pPr>
              <w:pStyle w:val="6"/>
              <w:spacing w:before="319" w:line="233" w:lineRule="auto"/>
              <w:ind w:left="2611"/>
              <w:rPr>
                <w:sz w:val="24"/>
                <w:szCs w:val="24"/>
              </w:rPr>
            </w:pPr>
            <w:r>
              <w:rPr>
                <w:spacing w:val="-7"/>
                <w:sz w:val="24"/>
                <w:szCs w:val="24"/>
                <w14:textOutline w14:w="4354" w14:cap="flat" w14:cmpd="sng">
                  <w14:solidFill>
                    <w14:srgbClr w14:val="000000"/>
                  </w14:solidFill>
                  <w14:prstDash w14:val="solid"/>
                  <w14:miter w14:val="10"/>
                </w14:textOutline>
              </w:rPr>
              <w:t>图</w:t>
            </w:r>
            <w:r>
              <w:rPr>
                <w:spacing w:val="-51"/>
                <w:sz w:val="24"/>
                <w:szCs w:val="24"/>
              </w:rPr>
              <w:t xml:space="preserve"> </w:t>
            </w:r>
            <w:r>
              <w:rPr>
                <w:rFonts w:ascii="Times New Roman" w:hAnsi="Times New Roman" w:eastAsia="Times New Roman" w:cs="Times New Roman"/>
                <w:b/>
                <w:bCs/>
                <w:spacing w:val="-7"/>
                <w:sz w:val="24"/>
                <w:szCs w:val="24"/>
              </w:rPr>
              <w:t xml:space="preserve">4.3-1    </w:t>
            </w:r>
            <w:r>
              <w:rPr>
                <w:spacing w:val="-7"/>
                <w:sz w:val="24"/>
                <w:szCs w:val="24"/>
                <w14:textOutline w14:w="4354" w14:cap="flat" w14:cmpd="sng">
                  <w14:solidFill>
                    <w14:srgbClr w14:val="000000"/>
                  </w14:solidFill>
                  <w14:prstDash w14:val="solid"/>
                  <w14:miter w14:val="10"/>
                </w14:textOutline>
              </w:rPr>
              <w:t>本项目水平衡图（单位：</w:t>
            </w:r>
            <w:r>
              <w:rPr>
                <w:spacing w:val="21"/>
                <w:sz w:val="24"/>
                <w:szCs w:val="24"/>
              </w:rPr>
              <w:t xml:space="preserve"> </w:t>
            </w:r>
            <w:r>
              <w:rPr>
                <w:rFonts w:ascii="Times New Roman" w:hAnsi="Times New Roman" w:eastAsia="Times New Roman" w:cs="Times New Roman"/>
                <w:b/>
                <w:bCs/>
                <w:spacing w:val="-8"/>
                <w:sz w:val="24"/>
                <w:szCs w:val="24"/>
              </w:rPr>
              <w:t>m</w:t>
            </w:r>
            <w:r>
              <w:rPr>
                <w:rFonts w:ascii="Times New Roman" w:hAnsi="Times New Roman" w:eastAsia="Times New Roman" w:cs="Times New Roman"/>
                <w:b/>
                <w:bCs/>
                <w:spacing w:val="-8"/>
                <w:position w:val="7"/>
                <w:sz w:val="16"/>
                <w:szCs w:val="16"/>
              </w:rPr>
              <w:t>3</w:t>
            </w:r>
            <w:r>
              <w:rPr>
                <w:spacing w:val="-8"/>
                <w:sz w:val="24"/>
                <w:szCs w:val="24"/>
                <w14:textOutline w14:w="4354" w14:cap="flat" w14:cmpd="sng">
                  <w14:solidFill>
                    <w14:srgbClr w14:val="000000"/>
                  </w14:solidFill>
                  <w14:prstDash w14:val="solid"/>
                  <w14:miter w14:val="10"/>
                </w14:textOutline>
              </w:rPr>
              <w:t>）</w:t>
            </w:r>
          </w:p>
          <w:p>
            <w:pPr>
              <w:pStyle w:val="6"/>
              <w:spacing w:before="212" w:line="220" w:lineRule="auto"/>
              <w:ind w:left="105"/>
              <w:rPr>
                <w:sz w:val="24"/>
                <w:szCs w:val="24"/>
              </w:rPr>
            </w:pPr>
            <w:r>
              <w:rPr>
                <w:rFonts w:ascii="Times New Roman" w:hAnsi="Times New Roman" w:eastAsia="Times New Roman" w:cs="Times New Roman"/>
                <w:b/>
                <w:bCs/>
                <w:sz w:val="24"/>
                <w:szCs w:val="24"/>
              </w:rPr>
              <w:t xml:space="preserve">4.3.3 </w:t>
            </w:r>
            <w:r>
              <w:rPr>
                <w:sz w:val="24"/>
                <w:szCs w:val="24"/>
                <w14:textOutline w14:w="4354" w14:cap="flat" w14:cmpd="sng">
                  <w14:solidFill>
                    <w14:srgbClr w14:val="000000"/>
                  </w14:solidFill>
                  <w14:prstDash w14:val="solid"/>
                  <w14:miter w14:val="10"/>
                </w14:textOutline>
              </w:rPr>
              <w:t>声环境影响分析</w:t>
            </w:r>
          </w:p>
          <w:p>
            <w:pPr>
              <w:pStyle w:val="6"/>
              <w:spacing w:before="201" w:line="220" w:lineRule="auto"/>
              <w:ind w:left="592"/>
              <w:rPr>
                <w:sz w:val="24"/>
                <w:szCs w:val="24"/>
              </w:rPr>
            </w:pPr>
            <w:r>
              <w:rPr>
                <w:spacing w:val="-3"/>
                <w:sz w:val="24"/>
                <w:szCs w:val="24"/>
              </w:rPr>
              <w:t>项目噪声主要包括钻井噪声及放喷测试噪声。</w:t>
            </w:r>
          </w:p>
          <w:p>
            <w:pPr>
              <w:pStyle w:val="6"/>
              <w:spacing w:before="193"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）预测模式</w:t>
            </w:r>
          </w:p>
          <w:p>
            <w:pPr>
              <w:pStyle w:val="6"/>
              <w:spacing w:before="196" w:line="369" w:lineRule="auto"/>
              <w:ind w:left="112" w:right="101" w:firstLine="477"/>
              <w:jc w:val="both"/>
              <w:rPr>
                <w:sz w:val="24"/>
                <w:szCs w:val="24"/>
              </w:rPr>
            </w:pPr>
            <w:r>
              <w:rPr>
                <w:spacing w:val="-3"/>
                <w:sz w:val="24"/>
                <w:szCs w:val="24"/>
              </w:rPr>
              <w:t>本项目噪声预测模式采用《环境影响评价技术导则声环境》（</w:t>
            </w:r>
            <w:r>
              <w:rPr>
                <w:rFonts w:ascii="Times New Roman" w:hAnsi="Times New Roman" w:eastAsia="Times New Roman" w:cs="Times New Roman"/>
                <w:spacing w:val="-3"/>
                <w:sz w:val="24"/>
                <w:szCs w:val="24"/>
              </w:rPr>
              <w:t>HJ2.4-2021</w:t>
            </w:r>
            <w:r>
              <w:rPr>
                <w:spacing w:val="-3"/>
                <w:sz w:val="24"/>
                <w:szCs w:val="24"/>
              </w:rPr>
              <w:t>）中推荐的</w:t>
            </w:r>
            <w:r>
              <w:rPr>
                <w:spacing w:val="2"/>
                <w:sz w:val="24"/>
                <w:szCs w:val="24"/>
              </w:rPr>
              <w:t xml:space="preserve"> </w:t>
            </w:r>
            <w:r>
              <w:rPr>
                <w:spacing w:val="1"/>
                <w:sz w:val="24"/>
                <w:szCs w:val="24"/>
              </w:rPr>
              <w:t>室外声源计算方法的点声源的几何发散衰减公式。对于工业企业稳态机械设备，当声源</w:t>
            </w:r>
          </w:p>
          <w:p>
            <w:pPr>
              <w:pStyle w:val="6"/>
              <w:spacing w:line="231" w:lineRule="auto"/>
              <w:ind w:left="113"/>
              <w:rPr>
                <w:sz w:val="24"/>
                <w:szCs w:val="24"/>
              </w:rPr>
            </w:pPr>
            <w:r>
              <w:rPr>
                <w:spacing w:val="-2"/>
                <w:sz w:val="24"/>
                <w:szCs w:val="24"/>
              </w:rPr>
              <w:t>处于自由空间且仅考虑声源的几何发散衰减，则距离点声源</w:t>
            </w:r>
            <w:r>
              <w:rPr>
                <w:spacing w:val="-51"/>
                <w:sz w:val="24"/>
                <w:szCs w:val="24"/>
              </w:rPr>
              <w:t xml:space="preserve"> </w:t>
            </w:r>
            <w:r>
              <w:rPr>
                <w:rFonts w:ascii="Times New Roman" w:hAnsi="Times New Roman" w:eastAsia="Times New Roman" w:cs="Times New Roman"/>
                <w:spacing w:val="-2"/>
                <w:sz w:val="24"/>
                <w:szCs w:val="24"/>
              </w:rPr>
              <w:t xml:space="preserve">r </w:t>
            </w:r>
            <w:r>
              <w:rPr>
                <w:spacing w:val="-2"/>
                <w:sz w:val="24"/>
                <w:szCs w:val="24"/>
              </w:rPr>
              <w:t>处的声压级为：</w:t>
            </w:r>
          </w:p>
          <w:p>
            <w:pPr>
              <w:spacing w:line="547" w:lineRule="exact"/>
              <w:ind w:firstLine="2898"/>
            </w:pPr>
            <w:r>
              <w:rPr>
                <w:position w:val="-10"/>
              </w:rPr>
              <w:drawing>
                <wp:inline distT="0" distB="0" distL="0" distR="0">
                  <wp:extent cx="2267585" cy="34734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07"/>
                          <a:stretch>
                            <a:fillRect/>
                          </a:stretch>
                        </pic:blipFill>
                        <pic:spPr>
                          <a:xfrm>
                            <a:off x="0" y="0"/>
                            <a:ext cx="2268219" cy="347345"/>
                          </a:xfrm>
                          <a:prstGeom prst="rect">
                            <a:avLst/>
                          </a:prstGeom>
                        </pic:spPr>
                      </pic:pic>
                    </a:graphicData>
                  </a:graphic>
                </wp:inline>
              </w:drawing>
            </w:r>
          </w:p>
          <w:p>
            <w:pPr>
              <w:pStyle w:val="6"/>
              <w:spacing w:before="180" w:line="214" w:lineRule="auto"/>
              <w:ind w:left="593"/>
              <w:rPr>
                <w:sz w:val="24"/>
                <w:szCs w:val="24"/>
              </w:rPr>
            </w:pPr>
            <w:r>
              <w:rPr>
                <w:spacing w:val="-33"/>
                <w:sz w:val="24"/>
                <w:szCs w:val="24"/>
              </w:rPr>
              <w:t>式中：</w:t>
            </w:r>
            <w:r>
              <w:rPr>
                <w:spacing w:val="2"/>
                <w:sz w:val="24"/>
                <w:szCs w:val="24"/>
              </w:rPr>
              <w:t xml:space="preserve"> </w:t>
            </w:r>
            <w:r>
              <w:rPr>
                <w:rFonts w:ascii="Times New Roman" w:hAnsi="Times New Roman" w:eastAsia="Times New Roman" w:cs="Times New Roman"/>
                <w:spacing w:val="-33"/>
                <w:sz w:val="24"/>
                <w:szCs w:val="24"/>
              </w:rPr>
              <w:t>L</w:t>
            </w:r>
            <w:r>
              <w:rPr>
                <w:rFonts w:ascii="Times New Roman" w:hAnsi="Times New Roman" w:eastAsia="Times New Roman" w:cs="Times New Roman"/>
                <w:spacing w:val="-7"/>
                <w:position w:val="-1"/>
                <w:sz w:val="16"/>
                <w:szCs w:val="16"/>
              </w:rPr>
              <w:t>p</w:t>
            </w:r>
            <w:r>
              <w:rPr>
                <w:rFonts w:ascii="Times New Roman" w:hAnsi="Times New Roman" w:eastAsia="Times New Roman" w:cs="Times New Roman"/>
                <w:spacing w:val="-7"/>
                <w:sz w:val="24"/>
                <w:szCs w:val="24"/>
              </w:rPr>
              <w:t>(r)</w:t>
            </w:r>
            <w:r>
              <w:rPr>
                <w:spacing w:val="-7"/>
                <w:sz w:val="24"/>
                <w:szCs w:val="24"/>
              </w:rPr>
              <w:t xml:space="preserve">——预测点处声压级， </w:t>
            </w:r>
            <w:r>
              <w:rPr>
                <w:rFonts w:ascii="Times New Roman" w:hAnsi="Times New Roman" w:eastAsia="Times New Roman" w:cs="Times New Roman"/>
                <w:spacing w:val="-7"/>
                <w:sz w:val="24"/>
                <w:szCs w:val="24"/>
              </w:rPr>
              <w:t>dB</w:t>
            </w:r>
            <w:r>
              <w:rPr>
                <w:spacing w:val="-7"/>
                <w:sz w:val="24"/>
                <w:szCs w:val="24"/>
              </w:rPr>
              <w:t>；</w:t>
            </w:r>
          </w:p>
          <w:p>
            <w:pPr>
              <w:pStyle w:val="6"/>
              <w:spacing w:before="202" w:line="214" w:lineRule="auto"/>
              <w:ind w:left="1303"/>
              <w:rPr>
                <w:sz w:val="24"/>
                <w:szCs w:val="24"/>
              </w:rPr>
            </w:pPr>
            <w:r>
              <w:rPr>
                <w:rFonts w:ascii="Times New Roman" w:hAnsi="Times New Roman" w:eastAsia="Times New Roman" w:cs="Times New Roman"/>
                <w:spacing w:val="-9"/>
                <w:sz w:val="24"/>
                <w:szCs w:val="24"/>
              </w:rPr>
              <w:t>L</w:t>
            </w:r>
            <w:r>
              <w:rPr>
                <w:rFonts w:ascii="Times New Roman" w:hAnsi="Times New Roman" w:eastAsia="Times New Roman" w:cs="Times New Roman"/>
                <w:spacing w:val="-9"/>
                <w:position w:val="-1"/>
                <w:sz w:val="16"/>
                <w:szCs w:val="16"/>
              </w:rPr>
              <w:t>p</w:t>
            </w:r>
            <w:r>
              <w:rPr>
                <w:rFonts w:ascii="Times New Roman" w:hAnsi="Times New Roman" w:eastAsia="Times New Roman" w:cs="Times New Roman"/>
                <w:spacing w:val="-9"/>
                <w:sz w:val="24"/>
                <w:szCs w:val="24"/>
              </w:rPr>
              <w:t>(r</w:t>
            </w:r>
            <w:r>
              <w:rPr>
                <w:rFonts w:ascii="Times New Roman" w:hAnsi="Times New Roman" w:eastAsia="Times New Roman" w:cs="Times New Roman"/>
                <w:spacing w:val="-9"/>
                <w:position w:val="-1"/>
                <w:sz w:val="16"/>
                <w:szCs w:val="16"/>
              </w:rPr>
              <w:t>0</w:t>
            </w:r>
            <w:r>
              <w:rPr>
                <w:rFonts w:ascii="Times New Roman" w:hAnsi="Times New Roman" w:eastAsia="Times New Roman" w:cs="Times New Roman"/>
                <w:spacing w:val="-9"/>
                <w:sz w:val="24"/>
                <w:szCs w:val="24"/>
              </w:rPr>
              <w:t>)</w:t>
            </w:r>
            <w:r>
              <w:rPr>
                <w:spacing w:val="-9"/>
                <w:sz w:val="24"/>
                <w:szCs w:val="24"/>
              </w:rPr>
              <w:t>——参考位置</w:t>
            </w:r>
            <w:r>
              <w:rPr>
                <w:spacing w:val="-54"/>
                <w:sz w:val="24"/>
                <w:szCs w:val="24"/>
              </w:rPr>
              <w:t xml:space="preserve"> </w:t>
            </w:r>
            <w:r>
              <w:rPr>
                <w:rFonts w:ascii="Times New Roman" w:hAnsi="Times New Roman" w:eastAsia="Times New Roman" w:cs="Times New Roman"/>
                <w:spacing w:val="-9"/>
                <w:sz w:val="24"/>
                <w:szCs w:val="24"/>
              </w:rPr>
              <w:t>r</w:t>
            </w:r>
            <w:r>
              <w:rPr>
                <w:rFonts w:ascii="Times New Roman" w:hAnsi="Times New Roman" w:eastAsia="Times New Roman" w:cs="Times New Roman"/>
                <w:spacing w:val="-9"/>
                <w:position w:val="-1"/>
                <w:sz w:val="16"/>
                <w:szCs w:val="16"/>
              </w:rPr>
              <w:t>0</w:t>
            </w:r>
            <w:r>
              <w:rPr>
                <w:rFonts w:ascii="Times New Roman" w:hAnsi="Times New Roman" w:eastAsia="Times New Roman" w:cs="Times New Roman"/>
                <w:spacing w:val="14"/>
                <w:w w:val="101"/>
                <w:position w:val="-1"/>
                <w:sz w:val="16"/>
                <w:szCs w:val="16"/>
              </w:rPr>
              <w:t xml:space="preserve"> </w:t>
            </w:r>
            <w:r>
              <w:rPr>
                <w:spacing w:val="-9"/>
                <w:sz w:val="24"/>
                <w:szCs w:val="24"/>
              </w:rPr>
              <w:t>处的声压级，</w:t>
            </w:r>
            <w:r>
              <w:rPr>
                <w:spacing w:val="61"/>
                <w:sz w:val="24"/>
                <w:szCs w:val="24"/>
              </w:rPr>
              <w:t xml:space="preserve"> </w:t>
            </w:r>
            <w:r>
              <w:rPr>
                <w:rFonts w:ascii="Times New Roman" w:hAnsi="Times New Roman" w:eastAsia="Times New Roman" w:cs="Times New Roman"/>
                <w:spacing w:val="-9"/>
                <w:sz w:val="24"/>
                <w:szCs w:val="24"/>
              </w:rPr>
              <w:t>dB</w:t>
            </w:r>
            <w:r>
              <w:rPr>
                <w:spacing w:val="-9"/>
                <w:sz w:val="24"/>
                <w:szCs w:val="24"/>
              </w:rPr>
              <w:t>；</w:t>
            </w:r>
          </w:p>
          <w:p>
            <w:pPr>
              <w:pStyle w:val="6"/>
              <w:spacing w:before="201" w:line="234" w:lineRule="auto"/>
              <w:ind w:left="1300"/>
              <w:rPr>
                <w:sz w:val="24"/>
                <w:szCs w:val="24"/>
              </w:rPr>
            </w:pPr>
            <w:r>
              <w:rPr>
                <w:rFonts w:ascii="Times New Roman" w:hAnsi="Times New Roman" w:eastAsia="Times New Roman" w:cs="Times New Roman"/>
                <w:spacing w:val="-4"/>
                <w:sz w:val="24"/>
                <w:szCs w:val="24"/>
              </w:rPr>
              <w:t>r</w:t>
            </w:r>
            <w:r>
              <w:rPr>
                <w:spacing w:val="-4"/>
                <w:sz w:val="24"/>
                <w:szCs w:val="24"/>
              </w:rPr>
              <w:t>——预测点距声源的距离；</w:t>
            </w:r>
          </w:p>
          <w:p>
            <w:pPr>
              <w:pStyle w:val="6"/>
              <w:spacing w:before="177" w:line="233" w:lineRule="auto"/>
              <w:ind w:left="1300"/>
              <w:rPr>
                <w:sz w:val="24"/>
                <w:szCs w:val="24"/>
              </w:rPr>
            </w:pPr>
            <w:r>
              <w:rPr>
                <w:rFonts w:ascii="Times New Roman" w:hAnsi="Times New Roman" w:eastAsia="Times New Roman" w:cs="Times New Roman"/>
                <w:spacing w:val="-1"/>
                <w:sz w:val="24"/>
                <w:szCs w:val="24"/>
              </w:rPr>
              <w:t>r</w:t>
            </w:r>
            <w:r>
              <w:rPr>
                <w:rFonts w:ascii="Times New Roman" w:hAnsi="Times New Roman" w:eastAsia="Times New Roman" w:cs="Times New Roman"/>
                <w:spacing w:val="-1"/>
                <w:position w:val="-1"/>
                <w:sz w:val="16"/>
                <w:szCs w:val="16"/>
              </w:rPr>
              <w:t>0</w:t>
            </w:r>
            <w:r>
              <w:rPr>
                <w:spacing w:val="-1"/>
                <w:sz w:val="24"/>
                <w:szCs w:val="24"/>
              </w:rPr>
              <w:t>——参考位置距声源的距离。</w:t>
            </w:r>
          </w:p>
          <w:p>
            <w:pPr>
              <w:pStyle w:val="6"/>
              <w:spacing w:before="176" w:line="220" w:lineRule="auto"/>
              <w:ind w:left="592"/>
              <w:rPr>
                <w:sz w:val="24"/>
                <w:szCs w:val="24"/>
              </w:rPr>
            </w:pPr>
            <w:r>
              <w:rPr>
                <w:spacing w:val="-1"/>
                <w:sz w:val="24"/>
                <w:szCs w:val="24"/>
                <w14:textOutline w14:w="4354" w14:cap="flat" w14:cmpd="sng">
                  <w14:solidFill>
                    <w14:srgbClr w14:val="000000"/>
                  </w14:solidFill>
                  <w14:prstDash w14:val="solid"/>
                  <w14:miter w14:val="10"/>
                </w14:textOutline>
              </w:rPr>
              <w:t>预测点贡献值计算：</w:t>
            </w:r>
          </w:p>
          <w:p>
            <w:pPr>
              <w:spacing w:before="15" w:line="881" w:lineRule="exact"/>
              <w:ind w:firstLine="2508"/>
            </w:pPr>
            <w:r>
              <w:rPr>
                <w:position w:val="-17"/>
              </w:rPr>
              <w:drawing>
                <wp:inline distT="0" distB="0" distL="0" distR="0">
                  <wp:extent cx="2762885" cy="55943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08"/>
                          <a:stretch>
                            <a:fillRect/>
                          </a:stretch>
                        </pic:blipFill>
                        <pic:spPr>
                          <a:xfrm>
                            <a:off x="0" y="0"/>
                            <a:ext cx="2762885" cy="559689"/>
                          </a:xfrm>
                          <a:prstGeom prst="rect">
                            <a:avLst/>
                          </a:prstGeom>
                        </pic:spPr>
                      </pic:pic>
                    </a:graphicData>
                  </a:graphic>
                </wp:inline>
              </w:drawing>
            </w:r>
          </w:p>
        </w:tc>
      </w:tr>
    </w:tbl>
    <w:p>
      <w:pPr>
        <w:pStyle w:val="2"/>
        <w:rPr>
          <w:sz w:val="21"/>
        </w:rPr>
      </w:pPr>
    </w:p>
    <w:p>
      <w:pPr>
        <w:rPr>
          <w:sz w:val="21"/>
          <w:szCs w:val="21"/>
        </w:rPr>
        <w:sectPr>
          <w:footerReference r:id="rId103"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9"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2" w:line="212" w:lineRule="auto"/>
              <w:ind w:left="593"/>
              <w:rPr>
                <w:sz w:val="24"/>
                <w:szCs w:val="24"/>
              </w:rPr>
            </w:pPr>
            <w:r>
              <w:rPr>
                <w:spacing w:val="-10"/>
                <w:sz w:val="24"/>
                <w:szCs w:val="24"/>
              </w:rPr>
              <w:t xml:space="preserve">式中： </w:t>
            </w:r>
            <w:r>
              <w:rPr>
                <w:rFonts w:ascii="Times New Roman" w:hAnsi="Times New Roman" w:eastAsia="Times New Roman" w:cs="Times New Roman"/>
                <w:spacing w:val="-10"/>
                <w:sz w:val="24"/>
                <w:szCs w:val="24"/>
              </w:rPr>
              <w:t>Leqg—</w:t>
            </w:r>
            <w:r>
              <w:rPr>
                <w:spacing w:val="-10"/>
                <w:sz w:val="24"/>
                <w:szCs w:val="24"/>
              </w:rPr>
              <w:t>建设项目声源在预测点产生的噪声贡献</w:t>
            </w:r>
            <w:r>
              <w:rPr>
                <w:spacing w:val="-11"/>
                <w:sz w:val="24"/>
                <w:szCs w:val="24"/>
              </w:rPr>
              <w:t>值，</w:t>
            </w:r>
            <w:r>
              <w:rPr>
                <w:spacing w:val="62"/>
                <w:sz w:val="24"/>
                <w:szCs w:val="24"/>
              </w:rPr>
              <w:t xml:space="preserve"> </w:t>
            </w:r>
            <w:r>
              <w:rPr>
                <w:rFonts w:ascii="Times New Roman" w:hAnsi="Times New Roman" w:eastAsia="Times New Roman" w:cs="Times New Roman"/>
                <w:spacing w:val="-11"/>
                <w:sz w:val="24"/>
                <w:szCs w:val="24"/>
              </w:rPr>
              <w:t>dB</w:t>
            </w:r>
            <w:r>
              <w:rPr>
                <w:spacing w:val="-11"/>
                <w:sz w:val="24"/>
                <w:szCs w:val="24"/>
              </w:rPr>
              <w:t>；</w:t>
            </w:r>
          </w:p>
          <w:p>
            <w:pPr>
              <w:pStyle w:val="6"/>
              <w:spacing w:before="204" w:line="480" w:lineRule="exact"/>
              <w:ind w:left="1306"/>
              <w:rPr>
                <w:sz w:val="24"/>
                <w:szCs w:val="24"/>
              </w:rPr>
            </w:pPr>
            <w:r>
              <w:rPr>
                <w:rFonts w:ascii="Times New Roman" w:hAnsi="Times New Roman" w:eastAsia="Times New Roman" w:cs="Times New Roman"/>
                <w:spacing w:val="-12"/>
                <w:position w:val="17"/>
                <w:sz w:val="24"/>
                <w:szCs w:val="24"/>
              </w:rPr>
              <w:t>T——</w:t>
            </w:r>
            <w:r>
              <w:rPr>
                <w:spacing w:val="-12"/>
                <w:position w:val="17"/>
                <w:sz w:val="24"/>
                <w:szCs w:val="24"/>
              </w:rPr>
              <w:t>用于计算等效声级的时间，</w:t>
            </w:r>
            <w:r>
              <w:rPr>
                <w:spacing w:val="76"/>
                <w:position w:val="17"/>
                <w:sz w:val="24"/>
                <w:szCs w:val="24"/>
              </w:rPr>
              <w:t xml:space="preserve"> </w:t>
            </w:r>
            <w:r>
              <w:rPr>
                <w:rFonts w:ascii="Times New Roman" w:hAnsi="Times New Roman" w:eastAsia="Times New Roman" w:cs="Times New Roman"/>
                <w:spacing w:val="-12"/>
                <w:position w:val="17"/>
                <w:sz w:val="24"/>
                <w:szCs w:val="24"/>
              </w:rPr>
              <w:t>s</w:t>
            </w:r>
            <w:r>
              <w:rPr>
                <w:spacing w:val="-12"/>
                <w:position w:val="17"/>
                <w:sz w:val="24"/>
                <w:szCs w:val="24"/>
              </w:rPr>
              <w:t>；</w:t>
            </w:r>
          </w:p>
          <w:p>
            <w:pPr>
              <w:pStyle w:val="6"/>
              <w:spacing w:line="219" w:lineRule="auto"/>
              <w:ind w:left="1296"/>
              <w:rPr>
                <w:sz w:val="24"/>
                <w:szCs w:val="24"/>
              </w:rPr>
            </w:pPr>
            <w:r>
              <w:rPr>
                <w:rFonts w:ascii="Times New Roman" w:hAnsi="Times New Roman" w:eastAsia="Times New Roman" w:cs="Times New Roman"/>
                <w:spacing w:val="-5"/>
                <w:sz w:val="24"/>
                <w:szCs w:val="24"/>
              </w:rPr>
              <w:t>N——</w:t>
            </w:r>
            <w:r>
              <w:rPr>
                <w:spacing w:val="-5"/>
                <w:sz w:val="24"/>
                <w:szCs w:val="24"/>
              </w:rPr>
              <w:t>室外声源个数；</w:t>
            </w:r>
          </w:p>
          <w:p>
            <w:pPr>
              <w:pStyle w:val="6"/>
              <w:spacing w:before="194" w:line="480" w:lineRule="exact"/>
              <w:ind w:left="1301"/>
              <w:rPr>
                <w:sz w:val="24"/>
                <w:szCs w:val="24"/>
              </w:rPr>
            </w:pPr>
            <w:r>
              <w:rPr>
                <w:rFonts w:ascii="Times New Roman" w:hAnsi="Times New Roman" w:eastAsia="Times New Roman" w:cs="Times New Roman"/>
                <w:spacing w:val="-13"/>
                <w:position w:val="17"/>
                <w:sz w:val="24"/>
                <w:szCs w:val="24"/>
              </w:rPr>
              <w:t>t</w:t>
            </w:r>
            <w:r>
              <w:rPr>
                <w:rFonts w:ascii="Times New Roman" w:hAnsi="Times New Roman" w:eastAsia="Times New Roman" w:cs="Times New Roman"/>
                <w:spacing w:val="-13"/>
                <w:position w:val="16"/>
                <w:sz w:val="16"/>
                <w:szCs w:val="16"/>
              </w:rPr>
              <w:t>i</w:t>
            </w:r>
            <w:r>
              <w:rPr>
                <w:rFonts w:ascii="Times New Roman" w:hAnsi="Times New Roman" w:eastAsia="Times New Roman" w:cs="Times New Roman"/>
                <w:spacing w:val="-13"/>
                <w:position w:val="17"/>
                <w:sz w:val="24"/>
                <w:szCs w:val="24"/>
              </w:rPr>
              <w:t>——</w:t>
            </w:r>
            <w:r>
              <w:rPr>
                <w:spacing w:val="-13"/>
                <w:position w:val="17"/>
                <w:sz w:val="24"/>
                <w:szCs w:val="24"/>
              </w:rPr>
              <w:t>在</w:t>
            </w:r>
            <w:r>
              <w:rPr>
                <w:spacing w:val="-45"/>
                <w:position w:val="17"/>
                <w:sz w:val="24"/>
                <w:szCs w:val="24"/>
              </w:rPr>
              <w:t xml:space="preserve"> </w:t>
            </w:r>
            <w:r>
              <w:rPr>
                <w:rFonts w:ascii="Times New Roman" w:hAnsi="Times New Roman" w:eastAsia="Times New Roman" w:cs="Times New Roman"/>
                <w:spacing w:val="-13"/>
                <w:position w:val="17"/>
                <w:sz w:val="24"/>
                <w:szCs w:val="24"/>
              </w:rPr>
              <w:t>T</w:t>
            </w:r>
            <w:r>
              <w:rPr>
                <w:rFonts w:ascii="Times New Roman" w:hAnsi="Times New Roman" w:eastAsia="Times New Roman" w:cs="Times New Roman"/>
                <w:spacing w:val="21"/>
                <w:position w:val="17"/>
                <w:sz w:val="24"/>
                <w:szCs w:val="24"/>
              </w:rPr>
              <w:t xml:space="preserve"> </w:t>
            </w:r>
            <w:r>
              <w:rPr>
                <w:spacing w:val="-13"/>
                <w:position w:val="17"/>
                <w:sz w:val="24"/>
                <w:szCs w:val="24"/>
              </w:rPr>
              <w:t>时间内</w:t>
            </w:r>
            <w:r>
              <w:rPr>
                <w:spacing w:val="-53"/>
                <w:position w:val="17"/>
                <w:sz w:val="24"/>
                <w:szCs w:val="24"/>
              </w:rPr>
              <w:t xml:space="preserve"> </w:t>
            </w:r>
            <w:r>
              <w:rPr>
                <w:rFonts w:ascii="Times New Roman" w:hAnsi="Times New Roman" w:eastAsia="Times New Roman" w:cs="Times New Roman"/>
                <w:spacing w:val="-13"/>
                <w:position w:val="17"/>
                <w:sz w:val="24"/>
                <w:szCs w:val="24"/>
              </w:rPr>
              <w:t>i</w:t>
            </w:r>
            <w:r>
              <w:rPr>
                <w:rFonts w:ascii="Times New Roman" w:hAnsi="Times New Roman" w:eastAsia="Times New Roman" w:cs="Times New Roman"/>
                <w:spacing w:val="15"/>
                <w:position w:val="17"/>
                <w:sz w:val="24"/>
                <w:szCs w:val="24"/>
              </w:rPr>
              <w:t xml:space="preserve"> </w:t>
            </w:r>
            <w:r>
              <w:rPr>
                <w:spacing w:val="-13"/>
                <w:position w:val="17"/>
                <w:sz w:val="24"/>
                <w:szCs w:val="24"/>
              </w:rPr>
              <w:t>声源工作时间，</w:t>
            </w:r>
            <w:r>
              <w:rPr>
                <w:spacing w:val="65"/>
                <w:position w:val="17"/>
                <w:sz w:val="24"/>
                <w:szCs w:val="24"/>
              </w:rPr>
              <w:t xml:space="preserve"> </w:t>
            </w:r>
            <w:r>
              <w:rPr>
                <w:rFonts w:ascii="Times New Roman" w:hAnsi="Times New Roman" w:eastAsia="Times New Roman" w:cs="Times New Roman"/>
                <w:spacing w:val="-13"/>
                <w:position w:val="17"/>
                <w:sz w:val="24"/>
                <w:szCs w:val="24"/>
              </w:rPr>
              <w:t>s</w:t>
            </w:r>
            <w:r>
              <w:rPr>
                <w:spacing w:val="-13"/>
                <w:position w:val="17"/>
                <w:sz w:val="24"/>
                <w:szCs w:val="24"/>
              </w:rPr>
              <w:t>；</w:t>
            </w:r>
          </w:p>
          <w:p>
            <w:pPr>
              <w:pStyle w:val="6"/>
              <w:spacing w:line="219" w:lineRule="auto"/>
              <w:ind w:left="1303"/>
              <w:rPr>
                <w:sz w:val="24"/>
                <w:szCs w:val="24"/>
              </w:rPr>
            </w:pPr>
            <w:r>
              <w:rPr>
                <w:rFonts w:ascii="Times New Roman" w:hAnsi="Times New Roman" w:eastAsia="Times New Roman" w:cs="Times New Roman"/>
                <w:spacing w:val="-5"/>
                <w:sz w:val="24"/>
                <w:szCs w:val="24"/>
              </w:rPr>
              <w:t>M——</w:t>
            </w:r>
            <w:r>
              <w:rPr>
                <w:spacing w:val="-5"/>
                <w:sz w:val="24"/>
                <w:szCs w:val="24"/>
              </w:rPr>
              <w:t>等效室外声源个数；</w:t>
            </w:r>
          </w:p>
          <w:p>
            <w:pPr>
              <w:pStyle w:val="6"/>
              <w:spacing w:before="195" w:line="214" w:lineRule="auto"/>
              <w:ind w:left="1301"/>
              <w:rPr>
                <w:sz w:val="24"/>
                <w:szCs w:val="24"/>
              </w:rPr>
            </w:pPr>
            <w:r>
              <w:rPr>
                <w:rFonts w:ascii="Times New Roman" w:hAnsi="Times New Roman" w:eastAsia="Times New Roman" w:cs="Times New Roman"/>
                <w:spacing w:val="-9"/>
                <w:sz w:val="24"/>
                <w:szCs w:val="24"/>
              </w:rPr>
              <w:t>t</w:t>
            </w:r>
            <w:r>
              <w:rPr>
                <w:rFonts w:ascii="Times New Roman" w:hAnsi="Times New Roman" w:eastAsia="Times New Roman" w:cs="Times New Roman"/>
                <w:spacing w:val="-9"/>
                <w:position w:val="-1"/>
                <w:sz w:val="16"/>
                <w:szCs w:val="16"/>
              </w:rPr>
              <w:t>j</w:t>
            </w:r>
            <w:r>
              <w:rPr>
                <w:rFonts w:ascii="Times New Roman" w:hAnsi="Times New Roman" w:eastAsia="Times New Roman" w:cs="Times New Roman"/>
                <w:spacing w:val="-9"/>
                <w:sz w:val="24"/>
                <w:szCs w:val="24"/>
              </w:rPr>
              <w:t>——</w:t>
            </w:r>
            <w:r>
              <w:rPr>
                <w:spacing w:val="-9"/>
                <w:sz w:val="24"/>
                <w:szCs w:val="24"/>
              </w:rPr>
              <w:t>在</w:t>
            </w:r>
            <w:r>
              <w:rPr>
                <w:spacing w:val="-53"/>
                <w:sz w:val="24"/>
                <w:szCs w:val="24"/>
              </w:rPr>
              <w:t xml:space="preserve"> </w:t>
            </w:r>
            <w:r>
              <w:rPr>
                <w:rFonts w:ascii="Times New Roman" w:hAnsi="Times New Roman" w:eastAsia="Times New Roman" w:cs="Times New Roman"/>
                <w:spacing w:val="-9"/>
                <w:sz w:val="24"/>
                <w:szCs w:val="24"/>
              </w:rPr>
              <w:t>T</w:t>
            </w:r>
            <w:r>
              <w:rPr>
                <w:rFonts w:ascii="Times New Roman" w:hAnsi="Times New Roman" w:eastAsia="Times New Roman" w:cs="Times New Roman"/>
                <w:spacing w:val="20"/>
                <w:w w:val="101"/>
                <w:sz w:val="24"/>
                <w:szCs w:val="24"/>
              </w:rPr>
              <w:t xml:space="preserve"> </w:t>
            </w:r>
            <w:r>
              <w:rPr>
                <w:spacing w:val="-9"/>
                <w:sz w:val="24"/>
                <w:szCs w:val="24"/>
              </w:rPr>
              <w:t>时间内</w:t>
            </w:r>
            <w:r>
              <w:rPr>
                <w:rFonts w:ascii="Times New Roman" w:hAnsi="Times New Roman" w:eastAsia="Times New Roman" w:cs="Times New Roman"/>
                <w:spacing w:val="-9"/>
                <w:sz w:val="24"/>
                <w:szCs w:val="24"/>
              </w:rPr>
              <w:t>j</w:t>
            </w:r>
            <w:r>
              <w:rPr>
                <w:rFonts w:ascii="Times New Roman" w:hAnsi="Times New Roman" w:eastAsia="Times New Roman" w:cs="Times New Roman"/>
                <w:spacing w:val="14"/>
                <w:sz w:val="24"/>
                <w:szCs w:val="24"/>
              </w:rPr>
              <w:t xml:space="preserve"> </w:t>
            </w:r>
            <w:r>
              <w:rPr>
                <w:spacing w:val="-9"/>
                <w:sz w:val="24"/>
                <w:szCs w:val="24"/>
              </w:rPr>
              <w:t>声源工作时间，</w:t>
            </w:r>
            <w:r>
              <w:rPr>
                <w:spacing w:val="66"/>
                <w:sz w:val="24"/>
                <w:szCs w:val="24"/>
              </w:rPr>
              <w:t xml:space="preserve"> </w:t>
            </w:r>
            <w:r>
              <w:rPr>
                <w:rFonts w:ascii="Times New Roman" w:hAnsi="Times New Roman" w:eastAsia="Times New Roman" w:cs="Times New Roman"/>
                <w:spacing w:val="-9"/>
                <w:sz w:val="24"/>
                <w:szCs w:val="24"/>
              </w:rPr>
              <w:t>s</w:t>
            </w:r>
            <w:r>
              <w:rPr>
                <w:spacing w:val="-9"/>
                <w:sz w:val="24"/>
                <w:szCs w:val="24"/>
              </w:rPr>
              <w:t>。</w:t>
            </w:r>
          </w:p>
          <w:p>
            <w:pPr>
              <w:pStyle w:val="6"/>
              <w:spacing w:before="201" w:line="220" w:lineRule="auto"/>
              <w:ind w:left="595"/>
              <w:rPr>
                <w:sz w:val="24"/>
                <w:szCs w:val="24"/>
              </w:rPr>
            </w:pPr>
            <w:r>
              <w:rPr>
                <w:spacing w:val="-1"/>
                <w:sz w:val="24"/>
                <w:szCs w:val="24"/>
                <w14:textOutline w14:w="4354" w14:cap="flat" w14:cmpd="sng">
                  <w14:solidFill>
                    <w14:srgbClr w14:val="000000"/>
                  </w14:solidFill>
                  <w14:prstDash w14:val="solid"/>
                  <w14:miter w14:val="10"/>
                </w14:textOutline>
              </w:rPr>
              <w:t>声源在敏感点处的贡献值叠加背景值即为该敏感点处噪声预测值计算：</w:t>
            </w:r>
          </w:p>
          <w:p>
            <w:pPr>
              <w:spacing w:before="17" w:line="412" w:lineRule="exact"/>
              <w:ind w:firstLine="3187"/>
            </w:pPr>
            <w:r>
              <w:rPr>
                <w:position w:val="-8"/>
              </w:rPr>
              <w:drawing>
                <wp:inline distT="0" distB="0" distL="0" distR="0">
                  <wp:extent cx="1902460" cy="2609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19"/>
                          <a:stretch>
                            <a:fillRect/>
                          </a:stretch>
                        </pic:blipFill>
                        <pic:spPr>
                          <a:xfrm>
                            <a:off x="0" y="0"/>
                            <a:ext cx="1902460" cy="261619"/>
                          </a:xfrm>
                          <a:prstGeom prst="rect">
                            <a:avLst/>
                          </a:prstGeom>
                        </pic:spPr>
                      </pic:pic>
                    </a:graphicData>
                  </a:graphic>
                </wp:inline>
              </w:drawing>
            </w:r>
          </w:p>
          <w:p>
            <w:pPr>
              <w:pStyle w:val="6"/>
              <w:spacing w:before="179" w:line="480" w:lineRule="exact"/>
              <w:ind w:left="593"/>
              <w:rPr>
                <w:sz w:val="24"/>
                <w:szCs w:val="24"/>
              </w:rPr>
            </w:pPr>
            <w:r>
              <w:rPr>
                <w:spacing w:val="-33"/>
                <w:position w:val="18"/>
                <w:sz w:val="24"/>
                <w:szCs w:val="24"/>
              </w:rPr>
              <w:t>式中：</w:t>
            </w:r>
            <w:r>
              <w:rPr>
                <w:spacing w:val="-3"/>
                <w:position w:val="18"/>
                <w:sz w:val="24"/>
                <w:szCs w:val="24"/>
              </w:rPr>
              <w:t xml:space="preserve"> </w:t>
            </w:r>
            <w:r>
              <w:rPr>
                <w:rFonts w:ascii="Times New Roman" w:hAnsi="Times New Roman" w:eastAsia="Times New Roman" w:cs="Times New Roman"/>
                <w:spacing w:val="-33"/>
                <w:position w:val="18"/>
                <w:sz w:val="24"/>
                <w:szCs w:val="24"/>
              </w:rPr>
              <w:t>L</w:t>
            </w:r>
            <w:r>
              <w:rPr>
                <w:rFonts w:ascii="Times New Roman" w:hAnsi="Times New Roman" w:eastAsia="Times New Roman" w:cs="Times New Roman"/>
                <w:spacing w:val="-7"/>
                <w:position w:val="17"/>
                <w:sz w:val="16"/>
                <w:szCs w:val="16"/>
              </w:rPr>
              <w:t>eqg</w:t>
            </w:r>
            <w:r>
              <w:rPr>
                <w:rFonts w:ascii="Times New Roman" w:hAnsi="Times New Roman" w:eastAsia="Times New Roman" w:cs="Times New Roman"/>
                <w:spacing w:val="-7"/>
                <w:position w:val="18"/>
                <w:sz w:val="24"/>
                <w:szCs w:val="24"/>
              </w:rPr>
              <w:t>—</w:t>
            </w:r>
            <w:r>
              <w:rPr>
                <w:spacing w:val="-7"/>
                <w:position w:val="18"/>
                <w:sz w:val="24"/>
                <w:szCs w:val="24"/>
              </w:rPr>
              <w:t>建设项目声源在预测点的等效声级贡献值，</w:t>
            </w:r>
            <w:r>
              <w:rPr>
                <w:spacing w:val="63"/>
                <w:position w:val="18"/>
                <w:sz w:val="24"/>
                <w:szCs w:val="24"/>
              </w:rPr>
              <w:t xml:space="preserve"> </w:t>
            </w:r>
            <w:r>
              <w:rPr>
                <w:rFonts w:ascii="Times New Roman" w:hAnsi="Times New Roman" w:eastAsia="Times New Roman" w:cs="Times New Roman"/>
                <w:spacing w:val="-7"/>
                <w:position w:val="18"/>
                <w:sz w:val="24"/>
                <w:szCs w:val="24"/>
              </w:rPr>
              <w:t>dB</w:t>
            </w:r>
            <w:r>
              <w:rPr>
                <w:spacing w:val="-7"/>
                <w:position w:val="18"/>
                <w:sz w:val="24"/>
                <w:szCs w:val="24"/>
              </w:rPr>
              <w:t>（</w:t>
            </w:r>
            <w:r>
              <w:rPr>
                <w:rFonts w:ascii="Times New Roman" w:hAnsi="Times New Roman" w:eastAsia="Times New Roman" w:cs="Times New Roman"/>
                <w:spacing w:val="-7"/>
                <w:position w:val="18"/>
                <w:sz w:val="24"/>
                <w:szCs w:val="24"/>
              </w:rPr>
              <w:t>A</w:t>
            </w:r>
            <w:r>
              <w:rPr>
                <w:spacing w:val="-11"/>
                <w:position w:val="18"/>
                <w:sz w:val="24"/>
                <w:szCs w:val="24"/>
              </w:rPr>
              <w:t>）；</w:t>
            </w:r>
          </w:p>
          <w:p>
            <w:pPr>
              <w:pStyle w:val="6"/>
              <w:spacing w:before="1" w:line="219" w:lineRule="auto"/>
              <w:ind w:left="1303"/>
              <w:rPr>
                <w:sz w:val="24"/>
                <w:szCs w:val="24"/>
              </w:rPr>
            </w:pP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1"/>
                <w:sz w:val="16"/>
                <w:szCs w:val="16"/>
              </w:rPr>
              <w:t>eqb</w:t>
            </w:r>
            <w:r>
              <w:rPr>
                <w:rFonts w:ascii="Times New Roman" w:hAnsi="Times New Roman" w:eastAsia="Times New Roman" w:cs="Times New Roman"/>
                <w:spacing w:val="-2"/>
                <w:sz w:val="24"/>
                <w:szCs w:val="24"/>
              </w:rPr>
              <w:t>—</w:t>
            </w:r>
            <w:r>
              <w:rPr>
                <w:spacing w:val="-2"/>
                <w:sz w:val="24"/>
                <w:szCs w:val="24"/>
              </w:rPr>
              <w:t>预测点的背景值，</w:t>
            </w:r>
            <w:r>
              <w:rPr>
                <w:rFonts w:ascii="Times New Roman" w:hAnsi="Times New Roman" w:eastAsia="Times New Roman" w:cs="Times New Roman"/>
                <w:spacing w:val="-2"/>
                <w:sz w:val="24"/>
                <w:szCs w:val="24"/>
              </w:rPr>
              <w:t>dB</w:t>
            </w:r>
            <w:r>
              <w:rPr>
                <w:spacing w:val="-2"/>
                <w:sz w:val="24"/>
                <w:szCs w:val="24"/>
              </w:rPr>
              <w:t>（</w:t>
            </w:r>
            <w:r>
              <w:rPr>
                <w:rFonts w:ascii="Times New Roman" w:hAnsi="Times New Roman" w:eastAsia="Times New Roman" w:cs="Times New Roman"/>
                <w:spacing w:val="-2"/>
                <w:sz w:val="24"/>
                <w:szCs w:val="24"/>
              </w:rPr>
              <w:t>A</w:t>
            </w:r>
            <w:r>
              <w:rPr>
                <w:spacing w:val="-2"/>
                <w:sz w:val="24"/>
                <w:szCs w:val="24"/>
              </w:rPr>
              <w:t>）。</w:t>
            </w:r>
          </w:p>
          <w:p>
            <w:pPr>
              <w:pStyle w:val="6"/>
              <w:spacing w:before="195"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spacing w:val="-1"/>
                <w:sz w:val="24"/>
                <w:szCs w:val="24"/>
                <w14:textOutline w14:w="4354" w14:cap="flat" w14:cmpd="sng">
                  <w14:solidFill>
                    <w14:srgbClr w14:val="000000"/>
                  </w14:solidFill>
                  <w14:prstDash w14:val="solid"/>
                  <w14:miter w14:val="10"/>
                </w14:textOutline>
              </w:rPr>
              <w:t>）源强及影响分析</w:t>
            </w:r>
          </w:p>
          <w:p>
            <w:pPr>
              <w:pStyle w:val="6"/>
              <w:spacing w:before="195" w:line="369" w:lineRule="auto"/>
              <w:ind w:left="107" w:right="101" w:firstLine="481"/>
              <w:jc w:val="both"/>
              <w:rPr>
                <w:sz w:val="24"/>
                <w:szCs w:val="24"/>
              </w:rPr>
            </w:pPr>
            <w:r>
              <w:rPr>
                <w:spacing w:val="1"/>
                <w:sz w:val="24"/>
                <w:szCs w:val="24"/>
              </w:rPr>
              <w:t>本项目采用柴油发电机作为备用电源。钻井噪声主要来源于钻机、泥浆泵、振动筛</w:t>
            </w:r>
            <w:r>
              <w:rPr>
                <w:sz w:val="24"/>
                <w:szCs w:val="24"/>
              </w:rPr>
              <w:t xml:space="preserve"> </w:t>
            </w:r>
            <w:r>
              <w:rPr>
                <w:spacing w:val="-2"/>
                <w:sz w:val="24"/>
                <w:szCs w:val="24"/>
              </w:rPr>
              <w:t xml:space="preserve">等连续噪声， 噪声源强在 </w:t>
            </w:r>
            <w:r>
              <w:rPr>
                <w:rFonts w:ascii="Times New Roman" w:hAnsi="Times New Roman" w:eastAsia="Times New Roman" w:cs="Times New Roman"/>
                <w:spacing w:val="-2"/>
                <w:sz w:val="24"/>
                <w:szCs w:val="24"/>
              </w:rPr>
              <w:t>75~100dB(A)</w:t>
            </w:r>
            <w:r>
              <w:rPr>
                <w:spacing w:val="-2"/>
                <w:sz w:val="24"/>
                <w:szCs w:val="24"/>
              </w:rPr>
              <w:t>。目前钻井噪声处理难度较</w:t>
            </w:r>
            <w:r>
              <w:rPr>
                <w:spacing w:val="-3"/>
                <w:sz w:val="24"/>
                <w:szCs w:val="24"/>
              </w:rPr>
              <w:t>大，要减轻钻井噪声</w:t>
            </w:r>
            <w:r>
              <w:rPr>
                <w:sz w:val="24"/>
                <w:szCs w:val="24"/>
              </w:rPr>
              <w:t xml:space="preserve"> </w:t>
            </w:r>
            <w:r>
              <w:rPr>
                <w:spacing w:val="1"/>
                <w:sz w:val="24"/>
                <w:szCs w:val="24"/>
              </w:rPr>
              <w:t>影响，主要还是通过钻井过程中采取相应的降噪措施。在钻井过程中采取的噪声防治措</w:t>
            </w:r>
            <w:r>
              <w:rPr>
                <w:spacing w:val="2"/>
                <w:sz w:val="24"/>
                <w:szCs w:val="24"/>
              </w:rPr>
              <w:t xml:space="preserve"> </w:t>
            </w:r>
            <w:r>
              <w:rPr>
                <w:spacing w:val="-2"/>
                <w:sz w:val="24"/>
                <w:szCs w:val="24"/>
              </w:rPr>
              <w:t>施有：柴油机和发电机自带铁皮设备机房； 在钻井过程中平稳操作，避免产生非正常的</w:t>
            </w:r>
            <w:r>
              <w:rPr>
                <w:sz w:val="24"/>
                <w:szCs w:val="24"/>
              </w:rPr>
              <w:t xml:space="preserve"> </w:t>
            </w:r>
            <w:r>
              <w:rPr>
                <w:spacing w:val="1"/>
                <w:sz w:val="24"/>
                <w:szCs w:val="24"/>
              </w:rPr>
              <w:t>噪声；泥浆泵、振动筛等采用弹性垫料，可起到一定降噪效果。通过以上措施可以降低</w:t>
            </w:r>
          </w:p>
          <w:p>
            <w:pPr>
              <w:pStyle w:val="6"/>
              <w:spacing w:before="1" w:line="212" w:lineRule="auto"/>
              <w:ind w:left="119"/>
              <w:rPr>
                <w:sz w:val="24"/>
                <w:szCs w:val="24"/>
              </w:rPr>
            </w:pPr>
            <w:r>
              <w:rPr>
                <w:spacing w:val="-3"/>
                <w:sz w:val="24"/>
                <w:szCs w:val="24"/>
              </w:rPr>
              <w:t>噪声约</w:t>
            </w:r>
            <w:r>
              <w:rPr>
                <w:spacing w:val="-44"/>
                <w:sz w:val="24"/>
                <w:szCs w:val="24"/>
              </w:rPr>
              <w:t xml:space="preserve"> </w:t>
            </w:r>
            <w:r>
              <w:rPr>
                <w:rFonts w:ascii="Times New Roman" w:hAnsi="Times New Roman" w:eastAsia="Times New Roman" w:cs="Times New Roman"/>
                <w:spacing w:val="-3"/>
                <w:sz w:val="24"/>
                <w:szCs w:val="24"/>
              </w:rPr>
              <w:t>5~10dB(A)</w:t>
            </w:r>
            <w:r>
              <w:rPr>
                <w:spacing w:val="-3"/>
                <w:sz w:val="24"/>
                <w:szCs w:val="24"/>
              </w:rPr>
              <w:t>。</w:t>
            </w:r>
          </w:p>
          <w:p>
            <w:pPr>
              <w:pStyle w:val="6"/>
              <w:spacing w:before="204" w:line="220" w:lineRule="auto"/>
              <w:ind w:left="2003"/>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4.3-6    </w:t>
            </w:r>
            <w:r>
              <w:rPr>
                <w:sz w:val="24"/>
                <w:szCs w:val="24"/>
                <w14:textOutline w14:w="4354" w14:cap="flat" w14:cmpd="sng">
                  <w14:solidFill>
                    <w14:srgbClr w14:val="000000"/>
                  </w14:solidFill>
                  <w14:prstDash w14:val="solid"/>
                  <w14:miter w14:val="10"/>
                </w14:textOutline>
              </w:rPr>
              <w:t>工业企业噪声源强调查</w:t>
            </w:r>
            <w:r>
              <w:rPr>
                <w:spacing w:val="-1"/>
                <w:sz w:val="24"/>
                <w:szCs w:val="24"/>
                <w14:textOutline w14:w="4354" w14:cap="flat" w14:cmpd="sng">
                  <w14:solidFill>
                    <w14:srgbClr w14:val="000000"/>
                  </w14:solidFill>
                  <w14:prstDash w14:val="solid"/>
                  <w14:miter w14:val="10"/>
                </w14:textOutline>
              </w:rPr>
              <w:t>清单（室外声源）</w:t>
            </w:r>
          </w:p>
          <w:p>
            <w:pPr>
              <w:spacing w:line="16"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6"/>
              <w:gridCol w:w="1494"/>
              <w:gridCol w:w="989"/>
              <w:gridCol w:w="847"/>
              <w:gridCol w:w="563"/>
              <w:gridCol w:w="585"/>
              <w:gridCol w:w="1272"/>
              <w:gridCol w:w="1843"/>
              <w:gridCol w:w="11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46" w:type="dxa"/>
                  <w:vMerge w:val="restart"/>
                  <w:tcBorders>
                    <w:bottom w:val="nil"/>
                  </w:tcBorders>
                  <w:textDirection w:val="tbRlV"/>
                  <w:vAlign w:val="top"/>
                </w:tcPr>
                <w:p>
                  <w:pPr>
                    <w:pStyle w:val="6"/>
                    <w:spacing w:before="114" w:line="211" w:lineRule="auto"/>
                    <w:ind w:left="195"/>
                    <w:rPr>
                      <w:sz w:val="21"/>
                      <w:szCs w:val="21"/>
                    </w:rPr>
                  </w:pPr>
                  <w:r>
                    <w:rPr>
                      <w:spacing w:val="31"/>
                      <w:sz w:val="21"/>
                      <w:szCs w:val="21"/>
                    </w:rPr>
                    <w:t>序号</w:t>
                  </w:r>
                </w:p>
              </w:tc>
              <w:tc>
                <w:tcPr>
                  <w:tcW w:w="1494" w:type="dxa"/>
                  <w:vMerge w:val="restart"/>
                  <w:tcBorders>
                    <w:bottom w:val="nil"/>
                  </w:tcBorders>
                  <w:vAlign w:val="top"/>
                </w:tcPr>
                <w:p>
                  <w:pPr>
                    <w:spacing w:line="262" w:lineRule="auto"/>
                    <w:rPr>
                      <w:rFonts w:ascii="Arial"/>
                      <w:sz w:val="21"/>
                    </w:rPr>
                  </w:pPr>
                </w:p>
                <w:p>
                  <w:pPr>
                    <w:pStyle w:val="6"/>
                    <w:spacing w:before="68" w:line="221" w:lineRule="auto"/>
                    <w:ind w:left="334"/>
                    <w:rPr>
                      <w:sz w:val="21"/>
                      <w:szCs w:val="21"/>
                    </w:rPr>
                  </w:pPr>
                  <w:r>
                    <w:rPr>
                      <w:spacing w:val="-3"/>
                      <w:sz w:val="21"/>
                      <w:szCs w:val="21"/>
                    </w:rPr>
                    <w:t>声源名称</w:t>
                  </w:r>
                </w:p>
              </w:tc>
              <w:tc>
                <w:tcPr>
                  <w:tcW w:w="989" w:type="dxa"/>
                  <w:vMerge w:val="restart"/>
                  <w:tcBorders>
                    <w:bottom w:val="nil"/>
                  </w:tcBorders>
                  <w:vAlign w:val="top"/>
                </w:tcPr>
                <w:p>
                  <w:pPr>
                    <w:spacing w:line="262" w:lineRule="auto"/>
                    <w:rPr>
                      <w:rFonts w:ascii="Arial"/>
                      <w:sz w:val="21"/>
                    </w:rPr>
                  </w:pPr>
                </w:p>
                <w:p>
                  <w:pPr>
                    <w:pStyle w:val="6"/>
                    <w:spacing w:before="68" w:line="222" w:lineRule="auto"/>
                    <w:ind w:left="288"/>
                    <w:rPr>
                      <w:sz w:val="21"/>
                      <w:szCs w:val="21"/>
                    </w:rPr>
                  </w:pPr>
                  <w:r>
                    <w:rPr>
                      <w:spacing w:val="-2"/>
                      <w:sz w:val="21"/>
                      <w:szCs w:val="21"/>
                    </w:rPr>
                    <w:t>方位</w:t>
                  </w:r>
                </w:p>
              </w:tc>
              <w:tc>
                <w:tcPr>
                  <w:tcW w:w="1995" w:type="dxa"/>
                  <w:gridSpan w:val="3"/>
                  <w:vAlign w:val="top"/>
                </w:tcPr>
                <w:p>
                  <w:pPr>
                    <w:pStyle w:val="6"/>
                    <w:spacing w:before="70" w:line="236" w:lineRule="auto"/>
                    <w:ind w:left="268"/>
                    <w:rPr>
                      <w:rFonts w:ascii="Times New Roman" w:hAnsi="Times New Roman" w:eastAsia="Times New Roman" w:cs="Times New Roman"/>
                      <w:sz w:val="21"/>
                      <w:szCs w:val="21"/>
                    </w:rPr>
                  </w:pPr>
                  <w:r>
                    <w:rPr>
                      <w:spacing w:val="-2"/>
                      <w:sz w:val="21"/>
                      <w:szCs w:val="21"/>
                    </w:rPr>
                    <w:t>空间相对位置</w:t>
                  </w:r>
                  <w:r>
                    <w:rPr>
                      <w:rFonts w:ascii="Times New Roman" w:hAnsi="Times New Roman" w:eastAsia="Times New Roman" w:cs="Times New Roman"/>
                      <w:spacing w:val="-2"/>
                      <w:sz w:val="21"/>
                      <w:szCs w:val="21"/>
                    </w:rPr>
                    <w:t>/m</w:t>
                  </w:r>
                </w:p>
              </w:tc>
              <w:tc>
                <w:tcPr>
                  <w:tcW w:w="1272" w:type="dxa"/>
                  <w:vAlign w:val="top"/>
                </w:tcPr>
                <w:p>
                  <w:pPr>
                    <w:pStyle w:val="6"/>
                    <w:spacing w:before="70" w:line="221" w:lineRule="auto"/>
                    <w:ind w:left="227"/>
                    <w:rPr>
                      <w:sz w:val="21"/>
                      <w:szCs w:val="21"/>
                    </w:rPr>
                  </w:pPr>
                  <w:r>
                    <w:rPr>
                      <w:spacing w:val="-3"/>
                      <w:sz w:val="21"/>
                      <w:szCs w:val="21"/>
                    </w:rPr>
                    <w:t>声源源强</w:t>
                  </w:r>
                </w:p>
              </w:tc>
              <w:tc>
                <w:tcPr>
                  <w:tcW w:w="1843" w:type="dxa"/>
                  <w:vMerge w:val="restart"/>
                  <w:tcBorders>
                    <w:bottom w:val="nil"/>
                  </w:tcBorders>
                  <w:vAlign w:val="top"/>
                </w:tcPr>
                <w:p>
                  <w:pPr>
                    <w:spacing w:line="262" w:lineRule="auto"/>
                    <w:rPr>
                      <w:rFonts w:ascii="Arial"/>
                      <w:sz w:val="21"/>
                    </w:rPr>
                  </w:pPr>
                </w:p>
                <w:p>
                  <w:pPr>
                    <w:pStyle w:val="6"/>
                    <w:spacing w:before="68" w:line="221" w:lineRule="auto"/>
                    <w:ind w:left="301"/>
                    <w:rPr>
                      <w:sz w:val="21"/>
                      <w:szCs w:val="21"/>
                    </w:rPr>
                  </w:pPr>
                  <w:r>
                    <w:rPr>
                      <w:spacing w:val="-2"/>
                      <w:sz w:val="21"/>
                      <w:szCs w:val="21"/>
                    </w:rPr>
                    <w:t>声源控制措施</w:t>
                  </w:r>
                </w:p>
              </w:tc>
              <w:tc>
                <w:tcPr>
                  <w:tcW w:w="1130" w:type="dxa"/>
                  <w:vMerge w:val="restart"/>
                  <w:tcBorders>
                    <w:bottom w:val="nil"/>
                  </w:tcBorders>
                  <w:vAlign w:val="top"/>
                </w:tcPr>
                <w:p>
                  <w:pPr>
                    <w:spacing w:line="262" w:lineRule="auto"/>
                    <w:rPr>
                      <w:rFonts w:ascii="Arial"/>
                      <w:sz w:val="21"/>
                    </w:rPr>
                  </w:pPr>
                </w:p>
                <w:p>
                  <w:pPr>
                    <w:pStyle w:val="6"/>
                    <w:spacing w:before="68" w:line="221" w:lineRule="auto"/>
                    <w:ind w:left="149"/>
                    <w:rPr>
                      <w:sz w:val="21"/>
                      <w:szCs w:val="21"/>
                    </w:rPr>
                  </w:pPr>
                  <w:r>
                    <w:rPr>
                      <w:spacing w:val="-2"/>
                      <w:sz w:val="21"/>
                      <w:szCs w:val="21"/>
                    </w:rPr>
                    <w:t>运行时段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446" w:type="dxa"/>
                  <w:vMerge w:val="continue"/>
                  <w:tcBorders>
                    <w:top w:val="nil"/>
                  </w:tcBorders>
                  <w:textDirection w:val="tbRlV"/>
                  <w:vAlign w:val="top"/>
                </w:tcPr>
                <w:p>
                  <w:pPr>
                    <w:rPr>
                      <w:rFonts w:ascii="Arial"/>
                      <w:sz w:val="21"/>
                    </w:rPr>
                  </w:pPr>
                </w:p>
              </w:tc>
              <w:tc>
                <w:tcPr>
                  <w:tcW w:w="1494" w:type="dxa"/>
                  <w:vMerge w:val="continue"/>
                  <w:tcBorders>
                    <w:top w:val="nil"/>
                  </w:tcBorders>
                  <w:vAlign w:val="top"/>
                </w:tcPr>
                <w:p>
                  <w:pPr>
                    <w:rPr>
                      <w:rFonts w:ascii="Arial"/>
                      <w:sz w:val="21"/>
                    </w:rPr>
                  </w:pPr>
                </w:p>
              </w:tc>
              <w:tc>
                <w:tcPr>
                  <w:tcW w:w="989" w:type="dxa"/>
                  <w:vMerge w:val="continue"/>
                  <w:tcBorders>
                    <w:top w:val="nil"/>
                  </w:tcBorders>
                  <w:vAlign w:val="top"/>
                </w:tcPr>
                <w:p>
                  <w:pPr>
                    <w:rPr>
                      <w:rFonts w:ascii="Arial"/>
                      <w:sz w:val="21"/>
                    </w:rPr>
                  </w:pPr>
                </w:p>
              </w:tc>
              <w:tc>
                <w:tcPr>
                  <w:tcW w:w="847" w:type="dxa"/>
                  <w:vAlign w:val="top"/>
                </w:tcPr>
                <w:p>
                  <w:pPr>
                    <w:spacing w:before="193" w:line="184" w:lineRule="auto"/>
                    <w:ind w:left="346"/>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563" w:type="dxa"/>
                  <w:vAlign w:val="top"/>
                </w:tcPr>
                <w:p>
                  <w:pPr>
                    <w:spacing w:before="193" w:line="184"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c>
                <w:tcPr>
                  <w:tcW w:w="585" w:type="dxa"/>
                  <w:vAlign w:val="top"/>
                </w:tcPr>
                <w:p>
                  <w:pPr>
                    <w:spacing w:before="193" w:line="184" w:lineRule="auto"/>
                    <w:ind w:left="228"/>
                    <w:rPr>
                      <w:rFonts w:ascii="Times New Roman" w:hAnsi="Times New Roman" w:eastAsia="Times New Roman" w:cs="Times New Roman"/>
                      <w:sz w:val="21"/>
                      <w:szCs w:val="21"/>
                    </w:rPr>
                  </w:pPr>
                  <w:r>
                    <w:rPr>
                      <w:rFonts w:ascii="Times New Roman" w:hAnsi="Times New Roman" w:eastAsia="Times New Roman" w:cs="Times New Roman"/>
                      <w:sz w:val="21"/>
                      <w:szCs w:val="21"/>
                    </w:rPr>
                    <w:t>Z</w:t>
                  </w:r>
                </w:p>
              </w:tc>
              <w:tc>
                <w:tcPr>
                  <w:tcW w:w="1272" w:type="dxa"/>
                  <w:vAlign w:val="top"/>
                </w:tcPr>
                <w:p>
                  <w:pPr>
                    <w:pStyle w:val="6"/>
                    <w:spacing w:before="29" w:line="221" w:lineRule="auto"/>
                    <w:ind w:left="227"/>
                    <w:rPr>
                      <w:sz w:val="21"/>
                      <w:szCs w:val="21"/>
                    </w:rPr>
                  </w:pPr>
                  <w:r>
                    <w:rPr>
                      <w:spacing w:val="-3"/>
                      <w:sz w:val="21"/>
                      <w:szCs w:val="21"/>
                    </w:rPr>
                    <w:t>声功率级</w:t>
                  </w:r>
                </w:p>
                <w:p>
                  <w:pPr>
                    <w:spacing w:before="41" w:line="184"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/dB(A)</w:t>
                  </w:r>
                </w:p>
              </w:tc>
              <w:tc>
                <w:tcPr>
                  <w:tcW w:w="1843" w:type="dxa"/>
                  <w:vMerge w:val="continue"/>
                  <w:tcBorders>
                    <w:top w:val="nil"/>
                  </w:tcBorders>
                  <w:vAlign w:val="top"/>
                </w:tcPr>
                <w:p>
                  <w:pPr>
                    <w:rPr>
                      <w:rFonts w:ascii="Arial"/>
                      <w:sz w:val="21"/>
                    </w:rPr>
                  </w:pPr>
                </w:p>
              </w:tc>
              <w:tc>
                <w:tcPr>
                  <w:tcW w:w="113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6" w:type="dxa"/>
                  <w:vAlign w:val="top"/>
                </w:tcPr>
                <w:p>
                  <w:pPr>
                    <w:spacing w:before="105" w:line="187" w:lineRule="auto"/>
                    <w:ind w:left="19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4" w:type="dxa"/>
                  <w:vAlign w:val="top"/>
                </w:tcPr>
                <w:p>
                  <w:pPr>
                    <w:pStyle w:val="6"/>
                    <w:spacing w:before="66" w:line="220" w:lineRule="auto"/>
                    <w:ind w:left="541"/>
                    <w:rPr>
                      <w:sz w:val="21"/>
                      <w:szCs w:val="21"/>
                    </w:rPr>
                  </w:pPr>
                  <w:r>
                    <w:rPr>
                      <w:spacing w:val="-2"/>
                      <w:sz w:val="21"/>
                      <w:szCs w:val="21"/>
                    </w:rPr>
                    <w:t>钻机</w:t>
                  </w:r>
                </w:p>
              </w:tc>
              <w:tc>
                <w:tcPr>
                  <w:tcW w:w="989" w:type="dxa"/>
                  <w:vAlign w:val="top"/>
                </w:tcPr>
                <w:p>
                  <w:pPr>
                    <w:pStyle w:val="6"/>
                    <w:spacing w:before="67" w:line="221" w:lineRule="auto"/>
                    <w:ind w:left="182"/>
                    <w:rPr>
                      <w:sz w:val="21"/>
                      <w:szCs w:val="21"/>
                    </w:rPr>
                  </w:pPr>
                  <w:r>
                    <w:rPr>
                      <w:spacing w:val="-2"/>
                      <w:sz w:val="21"/>
                      <w:szCs w:val="21"/>
                    </w:rPr>
                    <w:t>井口处</w:t>
                  </w:r>
                </w:p>
              </w:tc>
              <w:tc>
                <w:tcPr>
                  <w:tcW w:w="847" w:type="dxa"/>
                  <w:vAlign w:val="top"/>
                </w:tcPr>
                <w:p>
                  <w:pPr>
                    <w:spacing w:before="105" w:line="187"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563" w:type="dxa"/>
                  <w:vAlign w:val="top"/>
                </w:tcPr>
                <w:p>
                  <w:pPr>
                    <w:spacing w:before="105" w:line="187" w:lineRule="auto"/>
                    <w:ind w:left="232"/>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585" w:type="dxa"/>
                  <w:vAlign w:val="top"/>
                </w:tcPr>
                <w:p>
                  <w:pPr>
                    <w:spacing w:before="105"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10.5</w:t>
                  </w:r>
                </w:p>
              </w:tc>
              <w:tc>
                <w:tcPr>
                  <w:tcW w:w="1272" w:type="dxa"/>
                  <w:vAlign w:val="top"/>
                </w:tcPr>
                <w:p>
                  <w:pPr>
                    <w:spacing w:before="105"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843" w:type="dxa"/>
                  <w:vAlign w:val="top"/>
                </w:tcPr>
                <w:p>
                  <w:pPr>
                    <w:pStyle w:val="6"/>
                    <w:spacing w:before="67" w:line="221" w:lineRule="auto"/>
                    <w:ind w:left="415"/>
                    <w:rPr>
                      <w:sz w:val="21"/>
                      <w:szCs w:val="21"/>
                    </w:rPr>
                  </w:pPr>
                  <w:r>
                    <w:rPr>
                      <w:spacing w:val="-4"/>
                      <w:sz w:val="21"/>
                      <w:szCs w:val="21"/>
                    </w:rPr>
                    <w:t>隔声、减振</w:t>
                  </w:r>
                </w:p>
              </w:tc>
              <w:tc>
                <w:tcPr>
                  <w:tcW w:w="1130" w:type="dxa"/>
                  <w:vAlign w:val="top"/>
                </w:tcPr>
                <w:p>
                  <w:pPr>
                    <w:pStyle w:val="6"/>
                    <w:spacing w:before="66" w:line="221" w:lineRule="auto"/>
                    <w:ind w:left="148"/>
                    <w:rPr>
                      <w:sz w:val="21"/>
                      <w:szCs w:val="21"/>
                    </w:rPr>
                  </w:pPr>
                  <w:r>
                    <w:rPr>
                      <w:spacing w:val="-1"/>
                      <w:sz w:val="21"/>
                      <w:szCs w:val="21"/>
                    </w:rPr>
                    <w:t>昼夜连续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6" w:type="dxa"/>
                  <w:vAlign w:val="top"/>
                </w:tcPr>
                <w:p>
                  <w:pPr>
                    <w:spacing w:before="106" w:line="187" w:lineRule="auto"/>
                    <w:ind w:left="17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94" w:type="dxa"/>
                  <w:vAlign w:val="top"/>
                </w:tcPr>
                <w:p>
                  <w:pPr>
                    <w:pStyle w:val="6"/>
                    <w:spacing w:before="67" w:line="220" w:lineRule="auto"/>
                    <w:ind w:left="230"/>
                    <w:rPr>
                      <w:sz w:val="21"/>
                      <w:szCs w:val="21"/>
                    </w:rPr>
                  </w:pPr>
                  <w:r>
                    <w:rPr>
                      <w:spacing w:val="-3"/>
                      <w:sz w:val="21"/>
                      <w:szCs w:val="21"/>
                    </w:rPr>
                    <w:t>空气压缩机</w:t>
                  </w:r>
                </w:p>
              </w:tc>
              <w:tc>
                <w:tcPr>
                  <w:tcW w:w="989" w:type="dxa"/>
                  <w:vAlign w:val="top"/>
                </w:tcPr>
                <w:p>
                  <w:pPr>
                    <w:pStyle w:val="6"/>
                    <w:spacing w:before="66" w:line="221" w:lineRule="auto"/>
                    <w:ind w:left="189"/>
                    <w:rPr>
                      <w:sz w:val="21"/>
                      <w:szCs w:val="21"/>
                    </w:rPr>
                  </w:pPr>
                  <w:r>
                    <w:rPr>
                      <w:spacing w:val="-4"/>
                      <w:sz w:val="21"/>
                      <w:szCs w:val="21"/>
                    </w:rPr>
                    <w:t>东北侧</w:t>
                  </w:r>
                </w:p>
              </w:tc>
              <w:tc>
                <w:tcPr>
                  <w:tcW w:w="847" w:type="dxa"/>
                  <w:vAlign w:val="top"/>
                </w:tcPr>
                <w:p>
                  <w:pPr>
                    <w:spacing w:before="105"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16</w:t>
                  </w:r>
                </w:p>
              </w:tc>
              <w:tc>
                <w:tcPr>
                  <w:tcW w:w="563" w:type="dxa"/>
                  <w:vAlign w:val="top"/>
                </w:tcPr>
                <w:p>
                  <w:pPr>
                    <w:spacing w:before="105"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32</w:t>
                  </w:r>
                </w:p>
              </w:tc>
              <w:tc>
                <w:tcPr>
                  <w:tcW w:w="585" w:type="dxa"/>
                  <w:vAlign w:val="top"/>
                </w:tcPr>
                <w:p>
                  <w:pPr>
                    <w:spacing w:before="10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pPr>
                    <w:spacing w:before="105"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843" w:type="dxa"/>
                  <w:vAlign w:val="top"/>
                </w:tcPr>
                <w:p>
                  <w:pPr>
                    <w:pStyle w:val="6"/>
                    <w:spacing w:before="67" w:line="221" w:lineRule="auto"/>
                    <w:ind w:left="127"/>
                    <w:rPr>
                      <w:sz w:val="21"/>
                      <w:szCs w:val="21"/>
                    </w:rPr>
                  </w:pPr>
                  <w:r>
                    <w:rPr>
                      <w:spacing w:val="-9"/>
                      <w:sz w:val="21"/>
                      <w:szCs w:val="21"/>
                    </w:rPr>
                    <w:t>隔声、减振、消声</w:t>
                  </w:r>
                </w:p>
              </w:tc>
              <w:tc>
                <w:tcPr>
                  <w:tcW w:w="1130" w:type="dxa"/>
                  <w:vAlign w:val="top"/>
                </w:tcPr>
                <w:p>
                  <w:pPr>
                    <w:pStyle w:val="6"/>
                    <w:spacing w:before="66" w:line="221" w:lineRule="auto"/>
                    <w:ind w:left="148"/>
                    <w:rPr>
                      <w:sz w:val="21"/>
                      <w:szCs w:val="21"/>
                    </w:rPr>
                  </w:pPr>
                  <w:r>
                    <w:rPr>
                      <w:spacing w:val="-1"/>
                      <w:sz w:val="21"/>
                      <w:szCs w:val="21"/>
                    </w:rPr>
                    <w:t>昼夜连续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6" w:type="dxa"/>
                  <w:vAlign w:val="top"/>
                </w:tcPr>
                <w:p>
                  <w:pPr>
                    <w:spacing w:before="103" w:line="187" w:lineRule="auto"/>
                    <w:ind w:left="17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94" w:type="dxa"/>
                  <w:vAlign w:val="top"/>
                </w:tcPr>
                <w:p>
                  <w:pPr>
                    <w:pStyle w:val="6"/>
                    <w:spacing w:before="64" w:line="221" w:lineRule="auto"/>
                    <w:ind w:left="435"/>
                    <w:rPr>
                      <w:sz w:val="21"/>
                      <w:szCs w:val="21"/>
                    </w:rPr>
                  </w:pPr>
                  <w:r>
                    <w:rPr>
                      <w:spacing w:val="-2"/>
                      <w:sz w:val="21"/>
                      <w:szCs w:val="21"/>
                    </w:rPr>
                    <w:t>钻井泵</w:t>
                  </w:r>
                </w:p>
              </w:tc>
              <w:tc>
                <w:tcPr>
                  <w:tcW w:w="989" w:type="dxa"/>
                  <w:vAlign w:val="top"/>
                </w:tcPr>
                <w:p>
                  <w:pPr>
                    <w:pStyle w:val="6"/>
                    <w:spacing w:before="64" w:line="221" w:lineRule="auto"/>
                    <w:ind w:left="293"/>
                    <w:rPr>
                      <w:sz w:val="21"/>
                      <w:szCs w:val="21"/>
                    </w:rPr>
                  </w:pPr>
                  <w:r>
                    <w:rPr>
                      <w:spacing w:val="-6"/>
                      <w:sz w:val="21"/>
                      <w:szCs w:val="21"/>
                    </w:rPr>
                    <w:t>西侧</w:t>
                  </w:r>
                </w:p>
              </w:tc>
              <w:tc>
                <w:tcPr>
                  <w:tcW w:w="847" w:type="dxa"/>
                  <w:vAlign w:val="top"/>
                </w:tcPr>
                <w:p>
                  <w:pPr>
                    <w:spacing w:before="103"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-23</w:t>
                  </w:r>
                </w:p>
              </w:tc>
              <w:tc>
                <w:tcPr>
                  <w:tcW w:w="563" w:type="dxa"/>
                  <w:vAlign w:val="top"/>
                </w:tcPr>
                <w:p>
                  <w:pPr>
                    <w:spacing w:before="10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w:t>
                  </w:r>
                </w:p>
              </w:tc>
              <w:tc>
                <w:tcPr>
                  <w:tcW w:w="585"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pPr>
                    <w:spacing w:before="103"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85~90</w:t>
                  </w:r>
                </w:p>
              </w:tc>
              <w:tc>
                <w:tcPr>
                  <w:tcW w:w="1843" w:type="dxa"/>
                  <w:vAlign w:val="top"/>
                </w:tcPr>
                <w:p>
                  <w:pPr>
                    <w:pStyle w:val="6"/>
                    <w:spacing w:before="65" w:line="221" w:lineRule="auto"/>
                    <w:ind w:left="415"/>
                    <w:rPr>
                      <w:sz w:val="21"/>
                      <w:szCs w:val="21"/>
                    </w:rPr>
                  </w:pPr>
                  <w:r>
                    <w:rPr>
                      <w:spacing w:val="-4"/>
                      <w:sz w:val="21"/>
                      <w:szCs w:val="21"/>
                    </w:rPr>
                    <w:t>隔声、减振</w:t>
                  </w:r>
                </w:p>
              </w:tc>
              <w:tc>
                <w:tcPr>
                  <w:tcW w:w="1130" w:type="dxa"/>
                  <w:vAlign w:val="top"/>
                </w:tcPr>
                <w:p>
                  <w:pPr>
                    <w:pStyle w:val="6"/>
                    <w:spacing w:before="64" w:line="221" w:lineRule="auto"/>
                    <w:ind w:left="148"/>
                    <w:rPr>
                      <w:sz w:val="21"/>
                      <w:szCs w:val="21"/>
                    </w:rPr>
                  </w:pPr>
                  <w:r>
                    <w:rPr>
                      <w:spacing w:val="-1"/>
                      <w:sz w:val="21"/>
                      <w:szCs w:val="21"/>
                    </w:rPr>
                    <w:t>昼夜连续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6" w:type="dxa"/>
                  <w:vAlign w:val="top"/>
                </w:tcPr>
                <w:p>
                  <w:pPr>
                    <w:spacing w:before="104" w:line="187" w:lineRule="auto"/>
                    <w:ind w:left="17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94" w:type="dxa"/>
                  <w:vAlign w:val="top"/>
                </w:tcPr>
                <w:p>
                  <w:pPr>
                    <w:pStyle w:val="6"/>
                    <w:spacing w:before="65" w:line="221" w:lineRule="auto"/>
                    <w:ind w:left="434"/>
                    <w:rPr>
                      <w:sz w:val="21"/>
                      <w:szCs w:val="21"/>
                    </w:rPr>
                  </w:pPr>
                  <w:r>
                    <w:rPr>
                      <w:spacing w:val="-1"/>
                      <w:sz w:val="21"/>
                      <w:szCs w:val="21"/>
                    </w:rPr>
                    <w:t>振动筛</w:t>
                  </w:r>
                </w:p>
              </w:tc>
              <w:tc>
                <w:tcPr>
                  <w:tcW w:w="989" w:type="dxa"/>
                  <w:vAlign w:val="top"/>
                </w:tcPr>
                <w:p>
                  <w:pPr>
                    <w:pStyle w:val="6"/>
                    <w:spacing w:before="65" w:line="221" w:lineRule="auto"/>
                    <w:ind w:left="187"/>
                    <w:rPr>
                      <w:sz w:val="21"/>
                      <w:szCs w:val="21"/>
                    </w:rPr>
                  </w:pPr>
                  <w:r>
                    <w:rPr>
                      <w:spacing w:val="-4"/>
                      <w:sz w:val="21"/>
                      <w:szCs w:val="21"/>
                    </w:rPr>
                    <w:t>西南侧</w:t>
                  </w:r>
                </w:p>
              </w:tc>
              <w:tc>
                <w:tcPr>
                  <w:tcW w:w="847" w:type="dxa"/>
                  <w:vAlign w:val="top"/>
                </w:tcPr>
                <w:p>
                  <w:pPr>
                    <w:spacing w:before="104"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7"/>
                      <w:sz w:val="21"/>
                      <w:szCs w:val="21"/>
                    </w:rPr>
                    <w:t>18</w:t>
                  </w:r>
                </w:p>
              </w:tc>
              <w:tc>
                <w:tcPr>
                  <w:tcW w:w="563" w:type="dxa"/>
                  <w:vAlign w:val="top"/>
                </w:tcPr>
                <w:p>
                  <w:pPr>
                    <w:spacing w:before="104"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w:t>
                  </w:r>
                </w:p>
              </w:tc>
              <w:tc>
                <w:tcPr>
                  <w:tcW w:w="585" w:type="dxa"/>
                  <w:vAlign w:val="top"/>
                </w:tcPr>
                <w:p>
                  <w:pPr>
                    <w:spacing w:before="10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272" w:type="dxa"/>
                  <w:vAlign w:val="top"/>
                </w:tcPr>
                <w:p>
                  <w:pPr>
                    <w:spacing w:before="104"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75~85</w:t>
                  </w:r>
                </w:p>
              </w:tc>
              <w:tc>
                <w:tcPr>
                  <w:tcW w:w="1843" w:type="dxa"/>
                  <w:vAlign w:val="top"/>
                </w:tcPr>
                <w:p>
                  <w:pPr>
                    <w:pStyle w:val="6"/>
                    <w:spacing w:before="66" w:line="221" w:lineRule="auto"/>
                    <w:ind w:left="415"/>
                    <w:rPr>
                      <w:sz w:val="21"/>
                      <w:szCs w:val="21"/>
                    </w:rPr>
                  </w:pPr>
                  <w:r>
                    <w:rPr>
                      <w:spacing w:val="-4"/>
                      <w:sz w:val="21"/>
                      <w:szCs w:val="21"/>
                    </w:rPr>
                    <w:t>隔声、减振</w:t>
                  </w:r>
                </w:p>
              </w:tc>
              <w:tc>
                <w:tcPr>
                  <w:tcW w:w="1130" w:type="dxa"/>
                  <w:vAlign w:val="top"/>
                </w:tcPr>
                <w:p>
                  <w:pPr>
                    <w:pStyle w:val="6"/>
                    <w:spacing w:before="65" w:line="221" w:lineRule="auto"/>
                    <w:ind w:left="148"/>
                    <w:rPr>
                      <w:sz w:val="21"/>
                      <w:szCs w:val="21"/>
                    </w:rPr>
                  </w:pPr>
                  <w:r>
                    <w:rPr>
                      <w:spacing w:val="-1"/>
                      <w:sz w:val="21"/>
                      <w:szCs w:val="21"/>
                    </w:rPr>
                    <w:t>昼夜连续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6" w:type="dxa"/>
                  <w:vAlign w:val="top"/>
                </w:tcPr>
                <w:p>
                  <w:pPr>
                    <w:spacing w:before="107" w:line="184" w:lineRule="auto"/>
                    <w:ind w:left="17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94" w:type="dxa"/>
                  <w:vAlign w:val="top"/>
                </w:tcPr>
                <w:p>
                  <w:pPr>
                    <w:pStyle w:val="6"/>
                    <w:spacing w:before="66" w:line="220" w:lineRule="auto"/>
                    <w:ind w:left="249"/>
                    <w:rPr>
                      <w:sz w:val="21"/>
                      <w:szCs w:val="21"/>
                    </w:rPr>
                  </w:pPr>
                  <w:r>
                    <w:rPr>
                      <w:spacing w:val="-6"/>
                      <w:sz w:val="21"/>
                      <w:szCs w:val="21"/>
                    </w:rPr>
                    <w:t>电动化机组</w:t>
                  </w:r>
                </w:p>
              </w:tc>
              <w:tc>
                <w:tcPr>
                  <w:tcW w:w="989" w:type="dxa"/>
                  <w:vAlign w:val="top"/>
                </w:tcPr>
                <w:p>
                  <w:pPr>
                    <w:pStyle w:val="6"/>
                    <w:spacing w:before="65" w:line="221" w:lineRule="auto"/>
                    <w:ind w:left="290"/>
                    <w:rPr>
                      <w:sz w:val="21"/>
                      <w:szCs w:val="21"/>
                    </w:rPr>
                  </w:pPr>
                  <w:r>
                    <w:rPr>
                      <w:spacing w:val="-4"/>
                      <w:sz w:val="21"/>
                      <w:szCs w:val="21"/>
                    </w:rPr>
                    <w:t>南侧</w:t>
                  </w:r>
                </w:p>
              </w:tc>
              <w:tc>
                <w:tcPr>
                  <w:tcW w:w="847" w:type="dxa"/>
                  <w:vAlign w:val="top"/>
                </w:tcPr>
                <w:p>
                  <w:pPr>
                    <w:spacing w:before="104"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w:t>
                  </w:r>
                </w:p>
              </w:tc>
              <w:tc>
                <w:tcPr>
                  <w:tcW w:w="563" w:type="dxa"/>
                  <w:vAlign w:val="top"/>
                </w:tcPr>
                <w:p>
                  <w:pPr>
                    <w:spacing w:before="104"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-37</w:t>
                  </w:r>
                </w:p>
              </w:tc>
              <w:tc>
                <w:tcPr>
                  <w:tcW w:w="585"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pPr>
                    <w:spacing w:before="104"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843" w:type="dxa"/>
                  <w:vAlign w:val="top"/>
                </w:tcPr>
                <w:p>
                  <w:pPr>
                    <w:pStyle w:val="6"/>
                    <w:spacing w:before="66" w:line="221" w:lineRule="auto"/>
                    <w:ind w:left="415"/>
                    <w:rPr>
                      <w:sz w:val="21"/>
                      <w:szCs w:val="21"/>
                    </w:rPr>
                  </w:pPr>
                  <w:r>
                    <w:rPr>
                      <w:spacing w:val="-4"/>
                      <w:sz w:val="21"/>
                      <w:szCs w:val="21"/>
                    </w:rPr>
                    <w:t>隔声、减振</w:t>
                  </w:r>
                </w:p>
              </w:tc>
              <w:tc>
                <w:tcPr>
                  <w:tcW w:w="1130" w:type="dxa"/>
                  <w:vAlign w:val="top"/>
                </w:tcPr>
                <w:p>
                  <w:pPr>
                    <w:pStyle w:val="6"/>
                    <w:spacing w:before="65" w:line="221" w:lineRule="auto"/>
                    <w:ind w:left="148"/>
                    <w:rPr>
                      <w:sz w:val="21"/>
                      <w:szCs w:val="21"/>
                    </w:rPr>
                  </w:pPr>
                  <w:r>
                    <w:rPr>
                      <w:spacing w:val="-1"/>
                      <w:sz w:val="21"/>
                      <w:szCs w:val="21"/>
                    </w:rPr>
                    <w:t>昼夜连续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dxa"/>
                  <w:vAlign w:val="top"/>
                </w:tcPr>
                <w:p>
                  <w:pPr>
                    <w:spacing w:before="105" w:line="187" w:lineRule="auto"/>
                    <w:ind w:left="17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94" w:type="dxa"/>
                  <w:vAlign w:val="top"/>
                </w:tcPr>
                <w:p>
                  <w:pPr>
                    <w:pStyle w:val="6"/>
                    <w:spacing w:before="66" w:line="220" w:lineRule="auto"/>
                    <w:ind w:left="435"/>
                    <w:rPr>
                      <w:sz w:val="21"/>
                      <w:szCs w:val="21"/>
                    </w:rPr>
                  </w:pPr>
                  <w:r>
                    <w:rPr>
                      <w:spacing w:val="-2"/>
                      <w:sz w:val="21"/>
                      <w:szCs w:val="21"/>
                    </w:rPr>
                    <w:t>柴油机</w:t>
                  </w:r>
                </w:p>
              </w:tc>
              <w:tc>
                <w:tcPr>
                  <w:tcW w:w="989" w:type="dxa"/>
                  <w:vAlign w:val="top"/>
                </w:tcPr>
                <w:p>
                  <w:pPr>
                    <w:pStyle w:val="6"/>
                    <w:spacing w:before="66" w:line="221" w:lineRule="auto"/>
                    <w:ind w:left="290"/>
                    <w:rPr>
                      <w:sz w:val="21"/>
                      <w:szCs w:val="21"/>
                    </w:rPr>
                  </w:pPr>
                  <w:r>
                    <w:rPr>
                      <w:spacing w:val="-4"/>
                      <w:sz w:val="21"/>
                      <w:szCs w:val="21"/>
                    </w:rPr>
                    <w:t>南侧</w:t>
                  </w:r>
                </w:p>
              </w:tc>
              <w:tc>
                <w:tcPr>
                  <w:tcW w:w="847" w:type="dxa"/>
                  <w:vAlign w:val="top"/>
                </w:tcPr>
                <w:p>
                  <w:pPr>
                    <w:spacing w:before="108" w:line="184"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563" w:type="dxa"/>
                  <w:vAlign w:val="top"/>
                </w:tcPr>
                <w:p>
                  <w:pPr>
                    <w:spacing w:before="105"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-37</w:t>
                  </w:r>
                </w:p>
              </w:tc>
              <w:tc>
                <w:tcPr>
                  <w:tcW w:w="585"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95~100</w:t>
                  </w:r>
                </w:p>
              </w:tc>
              <w:tc>
                <w:tcPr>
                  <w:tcW w:w="1843" w:type="dxa"/>
                  <w:vAlign w:val="top"/>
                </w:tcPr>
                <w:p>
                  <w:pPr>
                    <w:pStyle w:val="6"/>
                    <w:spacing w:before="66" w:line="221" w:lineRule="auto"/>
                    <w:ind w:left="415"/>
                    <w:rPr>
                      <w:sz w:val="21"/>
                      <w:szCs w:val="21"/>
                    </w:rPr>
                  </w:pPr>
                  <w:r>
                    <w:rPr>
                      <w:spacing w:val="-4"/>
                      <w:sz w:val="21"/>
                      <w:szCs w:val="21"/>
                    </w:rPr>
                    <w:t>隔声、减振</w:t>
                  </w:r>
                </w:p>
              </w:tc>
              <w:tc>
                <w:tcPr>
                  <w:tcW w:w="1130" w:type="dxa"/>
                  <w:vAlign w:val="top"/>
                </w:tcPr>
                <w:p>
                  <w:pPr>
                    <w:pStyle w:val="6"/>
                    <w:spacing w:before="66" w:line="222" w:lineRule="auto"/>
                    <w:ind w:left="363"/>
                    <w:rPr>
                      <w:sz w:val="21"/>
                      <w:szCs w:val="21"/>
                    </w:rPr>
                  </w:pPr>
                  <w:r>
                    <w:rPr>
                      <w:spacing w:val="-5"/>
                      <w:sz w:val="21"/>
                      <w:szCs w:val="21"/>
                    </w:rPr>
                    <w:t>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6" w:type="dxa"/>
                  <w:vAlign w:val="top"/>
                </w:tcPr>
                <w:p>
                  <w:pPr>
                    <w:spacing w:before="112" w:line="184" w:lineRule="auto"/>
                    <w:ind w:left="17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94" w:type="dxa"/>
                  <w:vAlign w:val="top"/>
                </w:tcPr>
                <w:p>
                  <w:pPr>
                    <w:pStyle w:val="6"/>
                    <w:spacing w:before="70" w:line="220" w:lineRule="auto"/>
                    <w:ind w:left="438"/>
                    <w:rPr>
                      <w:sz w:val="21"/>
                      <w:szCs w:val="21"/>
                    </w:rPr>
                  </w:pPr>
                  <w:r>
                    <w:rPr>
                      <w:spacing w:val="-2"/>
                      <w:sz w:val="21"/>
                      <w:szCs w:val="21"/>
                    </w:rPr>
                    <w:t>发电机</w:t>
                  </w:r>
                </w:p>
              </w:tc>
              <w:tc>
                <w:tcPr>
                  <w:tcW w:w="989" w:type="dxa"/>
                  <w:vAlign w:val="top"/>
                </w:tcPr>
                <w:p>
                  <w:pPr>
                    <w:pStyle w:val="6"/>
                    <w:spacing w:before="70" w:line="221" w:lineRule="auto"/>
                    <w:ind w:left="290"/>
                    <w:rPr>
                      <w:sz w:val="21"/>
                      <w:szCs w:val="21"/>
                    </w:rPr>
                  </w:pPr>
                  <w:r>
                    <w:rPr>
                      <w:spacing w:val="-4"/>
                      <w:sz w:val="21"/>
                      <w:szCs w:val="21"/>
                    </w:rPr>
                    <w:t>南侧</w:t>
                  </w:r>
                </w:p>
              </w:tc>
              <w:tc>
                <w:tcPr>
                  <w:tcW w:w="847" w:type="dxa"/>
                  <w:vAlign w:val="top"/>
                </w:tcPr>
                <w:p>
                  <w:pPr>
                    <w:spacing w:before="109"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w:t>
                  </w:r>
                </w:p>
              </w:tc>
              <w:tc>
                <w:tcPr>
                  <w:tcW w:w="563" w:type="dxa"/>
                  <w:vAlign w:val="top"/>
                </w:tcPr>
                <w:p>
                  <w:pPr>
                    <w:spacing w:before="109"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w:t>
                  </w:r>
                </w:p>
              </w:tc>
              <w:tc>
                <w:tcPr>
                  <w:tcW w:w="585" w:type="dxa"/>
                  <w:vAlign w:val="top"/>
                </w:tcPr>
                <w:p>
                  <w:pPr>
                    <w:spacing w:before="109"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pPr>
                    <w:spacing w:before="109"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90-95</w:t>
                  </w:r>
                </w:p>
              </w:tc>
              <w:tc>
                <w:tcPr>
                  <w:tcW w:w="1843" w:type="dxa"/>
                  <w:vAlign w:val="top"/>
                </w:tcPr>
                <w:p>
                  <w:pPr>
                    <w:pStyle w:val="6"/>
                    <w:spacing w:before="70" w:line="221" w:lineRule="auto"/>
                    <w:ind w:left="415"/>
                    <w:rPr>
                      <w:sz w:val="21"/>
                      <w:szCs w:val="21"/>
                    </w:rPr>
                  </w:pPr>
                  <w:r>
                    <w:rPr>
                      <w:spacing w:val="-4"/>
                      <w:sz w:val="21"/>
                      <w:szCs w:val="21"/>
                    </w:rPr>
                    <w:t>隔声、减振</w:t>
                  </w:r>
                </w:p>
              </w:tc>
              <w:tc>
                <w:tcPr>
                  <w:tcW w:w="1130" w:type="dxa"/>
                  <w:vAlign w:val="top"/>
                </w:tcPr>
                <w:p>
                  <w:pPr>
                    <w:pStyle w:val="6"/>
                    <w:spacing w:before="70" w:line="222" w:lineRule="auto"/>
                    <w:ind w:left="363"/>
                    <w:rPr>
                      <w:sz w:val="21"/>
                      <w:szCs w:val="21"/>
                    </w:rPr>
                  </w:pPr>
                  <w:r>
                    <w:rPr>
                      <w:spacing w:val="-3"/>
                      <w:sz w:val="21"/>
                      <w:szCs w:val="21"/>
                    </w:rPr>
                    <w:t>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169" w:type="dxa"/>
                  <w:gridSpan w:val="9"/>
                  <w:vAlign w:val="top"/>
                </w:tcPr>
                <w:p>
                  <w:pPr>
                    <w:pStyle w:val="6"/>
                    <w:spacing w:before="71" w:line="221" w:lineRule="auto"/>
                    <w:ind w:left="116"/>
                    <w:rPr>
                      <w:sz w:val="21"/>
                      <w:szCs w:val="21"/>
                    </w:rPr>
                  </w:pPr>
                  <w:r>
                    <w:rPr>
                      <w:spacing w:val="-5"/>
                      <w:sz w:val="21"/>
                      <w:szCs w:val="21"/>
                    </w:rPr>
                    <w:t>注：以井口为中心（</w:t>
                  </w:r>
                  <w:r>
                    <w:rPr>
                      <w:rFonts w:ascii="Times New Roman" w:hAnsi="Times New Roman" w:eastAsia="Times New Roman" w:cs="Times New Roman"/>
                      <w:spacing w:val="-5"/>
                      <w:sz w:val="21"/>
                      <w:szCs w:val="21"/>
                    </w:rPr>
                    <w:t>0</w:t>
                  </w:r>
                  <w:r>
                    <w:rPr>
                      <w:rFonts w:ascii="Times New Roman" w:hAnsi="Times New Roman" w:eastAsia="Times New Roman" w:cs="Times New Roman"/>
                      <w:spacing w:val="-18"/>
                      <w:sz w:val="21"/>
                      <w:szCs w:val="21"/>
                    </w:rPr>
                    <w:t xml:space="preserve"> </w:t>
                  </w:r>
                  <w:r>
                    <w:rPr>
                      <w:spacing w:val="-5"/>
                      <w:sz w:val="21"/>
                      <w:szCs w:val="21"/>
                    </w:rPr>
                    <w:t>，</w:t>
                  </w:r>
                  <w:r>
                    <w:rPr>
                      <w:rFonts w:ascii="Times New Roman" w:hAnsi="Times New Roman" w:eastAsia="Times New Roman" w:cs="Times New Roman"/>
                      <w:spacing w:val="-5"/>
                      <w:sz w:val="21"/>
                      <w:szCs w:val="21"/>
                    </w:rPr>
                    <w:t>0</w:t>
                  </w:r>
                  <w:r>
                    <w:rPr>
                      <w:rFonts w:ascii="Times New Roman" w:hAnsi="Times New Roman" w:eastAsia="Times New Roman" w:cs="Times New Roman"/>
                      <w:spacing w:val="-29"/>
                      <w:sz w:val="21"/>
                      <w:szCs w:val="21"/>
                    </w:rPr>
                    <w:t xml:space="preserve"> </w:t>
                  </w:r>
                  <w:r>
                    <w:rPr>
                      <w:spacing w:val="-5"/>
                      <w:sz w:val="21"/>
                      <w:szCs w:val="21"/>
                    </w:rPr>
                    <w:t>，</w:t>
                  </w:r>
                  <w:r>
                    <w:rPr>
                      <w:rFonts w:ascii="Times New Roman" w:hAnsi="Times New Roman" w:eastAsia="Times New Roman" w:cs="Times New Roman"/>
                      <w:spacing w:val="-5"/>
                      <w:sz w:val="21"/>
                      <w:szCs w:val="21"/>
                    </w:rPr>
                    <w:t>0</w:t>
                  </w:r>
                  <w:r>
                    <w:rPr>
                      <w:spacing w:val="-5"/>
                      <w:sz w:val="21"/>
                      <w:szCs w:val="21"/>
                    </w:rPr>
                    <w:t>）。</w:t>
                  </w:r>
                </w:p>
              </w:tc>
            </w:tr>
          </w:tbl>
          <w:p>
            <w:pPr>
              <w:pStyle w:val="6"/>
              <w:spacing w:before="178"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3</w:t>
            </w:r>
            <w:r>
              <w:rPr>
                <w:spacing w:val="-3"/>
                <w:sz w:val="24"/>
                <w:szCs w:val="24"/>
                <w14:textOutline w14:w="4354" w14:cap="flat" w14:cmpd="sng">
                  <w14:solidFill>
                    <w14:srgbClr w14:val="000000"/>
                  </w14:solidFill>
                  <w14:prstDash w14:val="solid"/>
                  <w14:miter w14:val="10"/>
                </w14:textOutline>
              </w:rPr>
              <w:t>）场界噪声预测</w:t>
            </w:r>
          </w:p>
          <w:p>
            <w:pPr>
              <w:pStyle w:val="6"/>
              <w:spacing w:before="194" w:line="480" w:lineRule="exact"/>
              <w:ind w:left="589"/>
              <w:rPr>
                <w:sz w:val="24"/>
                <w:szCs w:val="24"/>
              </w:rPr>
            </w:pPr>
            <w:r>
              <w:rPr>
                <w:spacing w:val="1"/>
                <w:position w:val="18"/>
                <w:sz w:val="24"/>
                <w:szCs w:val="24"/>
              </w:rPr>
              <w:t>本项目设柴油机与发电机组为备用电源，评价分为市政供电和柴油发电机两种供电</w:t>
            </w:r>
          </w:p>
          <w:p>
            <w:pPr>
              <w:pStyle w:val="6"/>
              <w:spacing w:line="220" w:lineRule="auto"/>
              <w:ind w:left="109"/>
              <w:rPr>
                <w:sz w:val="24"/>
                <w:szCs w:val="24"/>
              </w:rPr>
            </w:pPr>
            <w:r>
              <w:rPr>
                <w:spacing w:val="-2"/>
                <w:sz w:val="24"/>
                <w:szCs w:val="24"/>
              </w:rPr>
              <w:t>方式预测钻井工程施工过程中厂界噪声进行预测。</w:t>
            </w:r>
          </w:p>
        </w:tc>
      </w:tr>
    </w:tbl>
    <w:p>
      <w:pPr>
        <w:pStyle w:val="2"/>
        <w:rPr>
          <w:sz w:val="21"/>
        </w:rPr>
      </w:pPr>
    </w:p>
    <w:p>
      <w:pPr>
        <w:rPr>
          <w:sz w:val="21"/>
          <w:szCs w:val="21"/>
        </w:rPr>
        <w:sectPr>
          <w:footerReference r:id="rId104" w:type="default"/>
          <w:pgSz w:w="11907" w:h="16839"/>
          <w:pgMar w:top="400" w:right="1020" w:bottom="1180"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850"/>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89" w:hRule="atLeast"/>
        </w:trPr>
        <w:tc>
          <w:tcPr>
            <w:tcW w:w="9850" w:type="dxa"/>
            <w:vAlign w:val="top"/>
          </w:tcPr>
          <w:p>
            <w:pPr>
              <w:pStyle w:val="6"/>
              <w:spacing w:before="181" w:line="233" w:lineRule="auto"/>
              <w:ind w:left="1043"/>
              <w:rPr>
                <w:sz w:val="24"/>
                <w:szCs w:val="24"/>
              </w:rPr>
            </w:pPr>
            <w:r>
              <w:pict>
                <v:rect id="_x0000_s1349" o:spid="_x0000_s1349" o:spt="1" style="position:absolute;left:0pt;margin-left:22.75pt;margin-top:0.95pt;height:693.85pt;width:0.5pt;mso-position-horizontal-relative:page;mso-position-vertical-relative:page;z-index:251885568;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z w:val="24"/>
                <w:szCs w:val="24"/>
              </w:rPr>
              <w:t>A.</w:t>
            </w:r>
            <w:r>
              <w:rPr>
                <w:sz w:val="24"/>
                <w:szCs w:val="24"/>
                <w14:textOutline w14:w="4354" w14:cap="flat" w14:cmpd="sng">
                  <w14:solidFill>
                    <w14:srgbClr w14:val="000000"/>
                  </w14:solidFill>
                  <w14:prstDash w14:val="solid"/>
                  <w14:miter w14:val="10"/>
                </w14:textOutline>
              </w:rPr>
              <w:t>市政供电情况下噪声预测</w:t>
            </w:r>
          </w:p>
          <w:p>
            <w:pPr>
              <w:pStyle w:val="6"/>
              <w:spacing w:before="177" w:line="219" w:lineRule="auto"/>
              <w:ind w:left="1054"/>
              <w:rPr>
                <w:sz w:val="24"/>
                <w:szCs w:val="24"/>
              </w:rPr>
            </w:pPr>
            <w:r>
              <w:rPr>
                <w:spacing w:val="-3"/>
                <w:sz w:val="24"/>
                <w:szCs w:val="24"/>
              </w:rPr>
              <w:t>市政供电情况下场界噪声预测详见下表。</w:t>
            </w:r>
          </w:p>
          <w:p>
            <w:pPr>
              <w:pStyle w:val="6"/>
              <w:spacing w:before="195" w:line="219" w:lineRule="auto"/>
              <w:ind w:left="2765"/>
              <w:rPr>
                <w:sz w:val="24"/>
                <w:szCs w:val="24"/>
              </w:rPr>
            </w:pPr>
            <w:r>
              <w:rPr>
                <w:sz w:val="24"/>
                <w:szCs w:val="24"/>
                <w14:textOutline w14:w="4354" w14:cap="flat" w14:cmpd="sng">
                  <w14:solidFill>
                    <w14:srgbClr w14:val="000000"/>
                  </w14:solidFill>
                  <w14:prstDash w14:val="solid"/>
                  <w14:miter w14:val="10"/>
                </w14:textOutline>
              </w:rPr>
              <w:t>表</w:t>
            </w:r>
            <w:r>
              <w:rPr>
                <w:spacing w:val="-51"/>
                <w:sz w:val="24"/>
                <w:szCs w:val="24"/>
              </w:rPr>
              <w:t xml:space="preserve"> </w:t>
            </w:r>
            <w:r>
              <w:rPr>
                <w:rFonts w:ascii="Times New Roman" w:hAnsi="Times New Roman" w:eastAsia="Times New Roman" w:cs="Times New Roman"/>
                <w:b/>
                <w:bCs/>
                <w:sz w:val="24"/>
                <w:szCs w:val="24"/>
              </w:rPr>
              <w:t xml:space="preserve">4.3-7  </w:t>
            </w:r>
            <w:r>
              <w:rPr>
                <w:sz w:val="24"/>
                <w:szCs w:val="24"/>
                <w14:textOutline w14:w="4354" w14:cap="flat" w14:cmpd="sng">
                  <w14:solidFill>
                    <w14:srgbClr w14:val="000000"/>
                  </w14:solidFill>
                  <w14:prstDash w14:val="solid"/>
                  <w14:miter w14:val="10"/>
                </w14:textOutline>
              </w:rPr>
              <w:t>市政供电情况下场界噪声预测</w:t>
            </w:r>
            <w:r>
              <w:rPr>
                <w:spacing w:val="-1"/>
                <w:sz w:val="24"/>
                <w:szCs w:val="24"/>
                <w14:textOutline w14:w="4354" w14:cap="flat" w14:cmpd="sng">
                  <w14:solidFill>
                    <w14:srgbClr w14:val="000000"/>
                  </w14:solidFill>
                  <w14:prstDash w14:val="solid"/>
                  <w14:miter w14:val="10"/>
                </w14:textOutline>
              </w:rPr>
              <w:t>一览表</w:t>
            </w:r>
          </w:p>
          <w:p>
            <w:pPr>
              <w:spacing w:line="17" w:lineRule="exact"/>
            </w:pPr>
          </w:p>
          <w:tbl>
            <w:tblPr>
              <w:tblStyle w:val="5"/>
              <w:tblW w:w="9169"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1843"/>
              <w:gridCol w:w="1843"/>
              <w:gridCol w:w="1844"/>
              <w:gridCol w:w="1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92" w:type="dxa"/>
                  <w:vMerge w:val="restart"/>
                  <w:tcBorders>
                    <w:bottom w:val="nil"/>
                  </w:tcBorders>
                  <w:vAlign w:val="top"/>
                </w:tcPr>
                <w:p>
                  <w:pPr>
                    <w:pStyle w:val="6"/>
                    <w:spacing w:before="243" w:line="221" w:lineRule="auto"/>
                    <w:ind w:left="691"/>
                    <w:rPr>
                      <w:sz w:val="21"/>
                      <w:szCs w:val="21"/>
                    </w:rPr>
                  </w:pPr>
                  <w:r>
                    <w:rPr>
                      <w:spacing w:val="-2"/>
                      <w:sz w:val="21"/>
                      <w:szCs w:val="21"/>
                    </w:rPr>
                    <w:t>场界</w:t>
                  </w:r>
                </w:p>
              </w:tc>
              <w:tc>
                <w:tcPr>
                  <w:tcW w:w="3686" w:type="dxa"/>
                  <w:gridSpan w:val="2"/>
                  <w:vAlign w:val="top"/>
                </w:tcPr>
                <w:p>
                  <w:pPr>
                    <w:pStyle w:val="6"/>
                    <w:spacing w:before="67" w:line="214" w:lineRule="auto"/>
                    <w:ind w:left="843"/>
                    <w:rPr>
                      <w:sz w:val="21"/>
                      <w:szCs w:val="21"/>
                    </w:rPr>
                  </w:pPr>
                  <w:r>
                    <w:rPr>
                      <w:spacing w:val="-1"/>
                      <w:sz w:val="21"/>
                      <w:szCs w:val="21"/>
                    </w:rPr>
                    <w:t>场界噪声值（</w:t>
                  </w:r>
                  <w:r>
                    <w:rPr>
                      <w:rFonts w:ascii="Times New Roman" w:hAnsi="Times New Roman" w:eastAsia="Times New Roman" w:cs="Times New Roman"/>
                      <w:spacing w:val="-1"/>
                      <w:sz w:val="21"/>
                      <w:szCs w:val="21"/>
                    </w:rPr>
                    <w:t>dB(A)</w:t>
                  </w:r>
                  <w:r>
                    <w:rPr>
                      <w:spacing w:val="-1"/>
                      <w:sz w:val="21"/>
                      <w:szCs w:val="21"/>
                    </w:rPr>
                    <w:t>）</w:t>
                  </w:r>
                </w:p>
              </w:tc>
              <w:tc>
                <w:tcPr>
                  <w:tcW w:w="3691" w:type="dxa"/>
                  <w:gridSpan w:val="2"/>
                  <w:vAlign w:val="top"/>
                </w:tcPr>
                <w:p>
                  <w:pPr>
                    <w:pStyle w:val="6"/>
                    <w:spacing w:before="67" w:line="214" w:lineRule="auto"/>
                    <w:ind w:left="950"/>
                    <w:rPr>
                      <w:sz w:val="21"/>
                      <w:szCs w:val="21"/>
                    </w:rPr>
                  </w:pPr>
                  <w:r>
                    <w:rPr>
                      <w:spacing w:val="-1"/>
                      <w:sz w:val="21"/>
                      <w:szCs w:val="21"/>
                    </w:rPr>
                    <w:t>超标范围（</w:t>
                  </w:r>
                  <w:r>
                    <w:rPr>
                      <w:rFonts w:ascii="Times New Roman" w:hAnsi="Times New Roman" w:eastAsia="Times New Roman" w:cs="Times New Roman"/>
                      <w:spacing w:val="-1"/>
                      <w:sz w:val="21"/>
                      <w:szCs w:val="21"/>
                    </w:rPr>
                    <w:t>dB(A)</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92" w:type="dxa"/>
                  <w:vMerge w:val="continue"/>
                  <w:tcBorders>
                    <w:top w:val="nil"/>
                  </w:tcBorders>
                  <w:vAlign w:val="top"/>
                </w:tcPr>
                <w:p>
                  <w:pPr>
                    <w:rPr>
                      <w:rFonts w:ascii="Arial"/>
                      <w:sz w:val="21"/>
                    </w:rPr>
                  </w:pPr>
                </w:p>
              </w:tc>
              <w:tc>
                <w:tcPr>
                  <w:tcW w:w="1843" w:type="dxa"/>
                  <w:vAlign w:val="top"/>
                </w:tcPr>
                <w:p>
                  <w:pPr>
                    <w:pStyle w:val="6"/>
                    <w:spacing w:before="64" w:line="223" w:lineRule="auto"/>
                    <w:ind w:left="714"/>
                    <w:rPr>
                      <w:sz w:val="21"/>
                      <w:szCs w:val="21"/>
                    </w:rPr>
                  </w:pPr>
                  <w:r>
                    <w:rPr>
                      <w:spacing w:val="-2"/>
                      <w:sz w:val="21"/>
                      <w:szCs w:val="21"/>
                    </w:rPr>
                    <w:t>昼间</w:t>
                  </w:r>
                </w:p>
              </w:tc>
              <w:tc>
                <w:tcPr>
                  <w:tcW w:w="1843" w:type="dxa"/>
                  <w:vAlign w:val="top"/>
                </w:tcPr>
                <w:p>
                  <w:pPr>
                    <w:pStyle w:val="6"/>
                    <w:spacing w:before="63" w:line="221" w:lineRule="auto"/>
                    <w:ind w:left="718"/>
                    <w:rPr>
                      <w:sz w:val="21"/>
                      <w:szCs w:val="21"/>
                    </w:rPr>
                  </w:pPr>
                  <w:r>
                    <w:rPr>
                      <w:spacing w:val="-3"/>
                      <w:sz w:val="21"/>
                      <w:szCs w:val="21"/>
                    </w:rPr>
                    <w:t>夜间</w:t>
                  </w:r>
                </w:p>
              </w:tc>
              <w:tc>
                <w:tcPr>
                  <w:tcW w:w="1844" w:type="dxa"/>
                  <w:vAlign w:val="top"/>
                </w:tcPr>
                <w:p>
                  <w:pPr>
                    <w:pStyle w:val="6"/>
                    <w:spacing w:before="64" w:line="223" w:lineRule="auto"/>
                    <w:ind w:left="714"/>
                    <w:rPr>
                      <w:sz w:val="21"/>
                      <w:szCs w:val="21"/>
                    </w:rPr>
                  </w:pPr>
                  <w:r>
                    <w:rPr>
                      <w:spacing w:val="-2"/>
                      <w:sz w:val="21"/>
                      <w:szCs w:val="21"/>
                    </w:rPr>
                    <w:t>昼间</w:t>
                  </w:r>
                </w:p>
              </w:tc>
              <w:tc>
                <w:tcPr>
                  <w:tcW w:w="1847" w:type="dxa"/>
                  <w:vAlign w:val="top"/>
                </w:tcPr>
                <w:p>
                  <w:pPr>
                    <w:pStyle w:val="6"/>
                    <w:spacing w:before="63" w:line="221" w:lineRule="auto"/>
                    <w:ind w:left="721"/>
                    <w:rPr>
                      <w:sz w:val="21"/>
                      <w:szCs w:val="21"/>
                    </w:rPr>
                  </w:pPr>
                  <w:r>
                    <w:rPr>
                      <w:spacing w:val="-3"/>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92" w:type="dxa"/>
                  <w:vAlign w:val="top"/>
                </w:tcPr>
                <w:p>
                  <w:pPr>
                    <w:pStyle w:val="6"/>
                    <w:spacing w:before="64" w:line="221" w:lineRule="auto"/>
                    <w:ind w:left="593"/>
                    <w:rPr>
                      <w:sz w:val="21"/>
                      <w:szCs w:val="21"/>
                    </w:rPr>
                  </w:pPr>
                  <w:r>
                    <w:rPr>
                      <w:spacing w:val="-3"/>
                      <w:sz w:val="21"/>
                      <w:szCs w:val="21"/>
                    </w:rPr>
                    <w:t>东场界</w:t>
                  </w:r>
                </w:p>
              </w:tc>
              <w:tc>
                <w:tcPr>
                  <w:tcW w:w="1843" w:type="dxa"/>
                  <w:vAlign w:val="top"/>
                </w:tcPr>
                <w:p>
                  <w:pPr>
                    <w:spacing w:before="103"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52.73</w:t>
                  </w:r>
                </w:p>
              </w:tc>
              <w:tc>
                <w:tcPr>
                  <w:tcW w:w="1843" w:type="dxa"/>
                  <w:vAlign w:val="top"/>
                </w:tcPr>
                <w:p>
                  <w:pPr>
                    <w:spacing w:before="103"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52.73</w:t>
                  </w:r>
                </w:p>
              </w:tc>
              <w:tc>
                <w:tcPr>
                  <w:tcW w:w="1844" w:type="dxa"/>
                  <w:vAlign w:val="top"/>
                </w:tcPr>
                <w:p>
                  <w:pPr>
                    <w:spacing w:before="99" w:line="233"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99" w:line="233"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92" w:type="dxa"/>
                  <w:vAlign w:val="top"/>
                </w:tcPr>
                <w:p>
                  <w:pPr>
                    <w:pStyle w:val="6"/>
                    <w:spacing w:before="66" w:line="221" w:lineRule="auto"/>
                    <w:ind w:left="588"/>
                    <w:rPr>
                      <w:sz w:val="21"/>
                      <w:szCs w:val="21"/>
                    </w:rPr>
                  </w:pPr>
                  <w:r>
                    <w:rPr>
                      <w:spacing w:val="-2"/>
                      <w:sz w:val="21"/>
                      <w:szCs w:val="21"/>
                    </w:rPr>
                    <w:t>南场界</w:t>
                  </w:r>
                </w:p>
              </w:tc>
              <w:tc>
                <w:tcPr>
                  <w:tcW w:w="1843" w:type="dxa"/>
                  <w:vAlign w:val="top"/>
                </w:tcPr>
                <w:p>
                  <w:pPr>
                    <w:spacing w:before="104"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48.45</w:t>
                  </w:r>
                </w:p>
              </w:tc>
              <w:tc>
                <w:tcPr>
                  <w:tcW w:w="1843" w:type="dxa"/>
                  <w:vAlign w:val="top"/>
                </w:tcPr>
                <w:p>
                  <w:pPr>
                    <w:spacing w:before="104"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48.45</w:t>
                  </w:r>
                </w:p>
              </w:tc>
              <w:tc>
                <w:tcPr>
                  <w:tcW w:w="1844" w:type="dxa"/>
                  <w:vAlign w:val="top"/>
                </w:tcPr>
                <w:p>
                  <w:pPr>
                    <w:spacing w:before="101" w:line="229"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101" w:line="229"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92" w:type="dxa"/>
                  <w:vAlign w:val="top"/>
                </w:tcPr>
                <w:p>
                  <w:pPr>
                    <w:pStyle w:val="6"/>
                    <w:spacing w:before="69" w:line="221" w:lineRule="auto"/>
                    <w:ind w:left="591"/>
                    <w:rPr>
                      <w:sz w:val="21"/>
                      <w:szCs w:val="21"/>
                    </w:rPr>
                  </w:pPr>
                  <w:r>
                    <w:rPr>
                      <w:spacing w:val="-3"/>
                      <w:sz w:val="21"/>
                      <w:szCs w:val="21"/>
                    </w:rPr>
                    <w:t>西场界</w:t>
                  </w:r>
                </w:p>
              </w:tc>
              <w:tc>
                <w:tcPr>
                  <w:tcW w:w="1843" w:type="dxa"/>
                  <w:vAlign w:val="top"/>
                </w:tcPr>
                <w:p>
                  <w:pPr>
                    <w:spacing w:before="108"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50.55</w:t>
                  </w:r>
                </w:p>
              </w:tc>
              <w:tc>
                <w:tcPr>
                  <w:tcW w:w="1843" w:type="dxa"/>
                  <w:vAlign w:val="top"/>
                </w:tcPr>
                <w:p>
                  <w:pPr>
                    <w:spacing w:before="108"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50.55</w:t>
                  </w:r>
                </w:p>
              </w:tc>
              <w:tc>
                <w:tcPr>
                  <w:tcW w:w="1844" w:type="dxa"/>
                  <w:vAlign w:val="top"/>
                </w:tcPr>
                <w:p>
                  <w:pPr>
                    <w:spacing w:before="104" w:line="229"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104" w:line="229"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92" w:type="dxa"/>
                  <w:vAlign w:val="top"/>
                </w:tcPr>
                <w:p>
                  <w:pPr>
                    <w:pStyle w:val="6"/>
                    <w:spacing w:before="70" w:line="221" w:lineRule="auto"/>
                    <w:ind w:left="589"/>
                    <w:rPr>
                      <w:sz w:val="21"/>
                      <w:szCs w:val="21"/>
                    </w:rPr>
                  </w:pPr>
                  <w:r>
                    <w:rPr>
                      <w:spacing w:val="-2"/>
                      <w:sz w:val="21"/>
                      <w:szCs w:val="21"/>
                    </w:rPr>
                    <w:t>北场界</w:t>
                  </w:r>
                </w:p>
              </w:tc>
              <w:tc>
                <w:tcPr>
                  <w:tcW w:w="1843" w:type="dxa"/>
                  <w:vAlign w:val="top"/>
                </w:tcPr>
                <w:p>
                  <w:pPr>
                    <w:spacing w:before="108"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44.92</w:t>
                  </w:r>
                </w:p>
              </w:tc>
              <w:tc>
                <w:tcPr>
                  <w:tcW w:w="1843" w:type="dxa"/>
                  <w:vAlign w:val="top"/>
                </w:tcPr>
                <w:p>
                  <w:pPr>
                    <w:spacing w:before="108"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44.92</w:t>
                  </w:r>
                </w:p>
              </w:tc>
              <w:tc>
                <w:tcPr>
                  <w:tcW w:w="1844" w:type="dxa"/>
                  <w:vAlign w:val="top"/>
                </w:tcPr>
                <w:p>
                  <w:pPr>
                    <w:spacing w:before="104" w:line="229"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104" w:line="229"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169" w:type="dxa"/>
                  <w:gridSpan w:val="5"/>
                  <w:vAlign w:val="top"/>
                </w:tcPr>
                <w:p>
                  <w:pPr>
                    <w:pStyle w:val="6"/>
                    <w:spacing w:before="67" w:line="214" w:lineRule="auto"/>
                    <w:ind w:left="116"/>
                    <w:rPr>
                      <w:sz w:val="21"/>
                      <w:szCs w:val="21"/>
                    </w:rPr>
                  </w:pPr>
                  <w:r>
                    <w:rPr>
                      <w:spacing w:val="-2"/>
                      <w:sz w:val="21"/>
                      <w:szCs w:val="21"/>
                    </w:rPr>
                    <w:t>注：标准限值昼间</w:t>
                  </w:r>
                  <w:r>
                    <w:rPr>
                      <w:spacing w:val="-37"/>
                      <w:sz w:val="21"/>
                      <w:szCs w:val="21"/>
                    </w:rPr>
                    <w:t xml:space="preserve"> </w:t>
                  </w:r>
                  <w:r>
                    <w:rPr>
                      <w:rFonts w:ascii="Times New Roman" w:hAnsi="Times New Roman" w:eastAsia="Times New Roman" w:cs="Times New Roman"/>
                      <w:spacing w:val="-2"/>
                      <w:sz w:val="21"/>
                      <w:szCs w:val="21"/>
                    </w:rPr>
                    <w:t>70dB(A)</w:t>
                  </w:r>
                  <w:r>
                    <w:rPr>
                      <w:spacing w:val="-2"/>
                      <w:sz w:val="21"/>
                      <w:szCs w:val="21"/>
                    </w:rPr>
                    <w:t>，夜间</w:t>
                  </w:r>
                  <w:r>
                    <w:rPr>
                      <w:spacing w:val="-24"/>
                      <w:sz w:val="21"/>
                      <w:szCs w:val="21"/>
                    </w:rPr>
                    <w:t xml:space="preserve"> </w:t>
                  </w:r>
                  <w:r>
                    <w:rPr>
                      <w:rFonts w:ascii="Times New Roman" w:hAnsi="Times New Roman" w:eastAsia="Times New Roman" w:cs="Times New Roman"/>
                      <w:spacing w:val="-2"/>
                      <w:sz w:val="21"/>
                      <w:szCs w:val="21"/>
                    </w:rPr>
                    <w:t>55dB(A)</w:t>
                  </w:r>
                  <w:r>
                    <w:rPr>
                      <w:spacing w:val="-2"/>
                      <w:sz w:val="21"/>
                      <w:szCs w:val="21"/>
                    </w:rPr>
                    <w:t>。</w:t>
                  </w:r>
                </w:p>
              </w:tc>
            </w:tr>
          </w:tbl>
          <w:p>
            <w:pPr>
              <w:spacing w:line="5944" w:lineRule="exact"/>
              <w:ind w:firstLine="971"/>
            </w:pPr>
            <w:r>
              <w:rPr>
                <w:position w:val="-118"/>
              </w:rPr>
              <w:drawing>
                <wp:inline distT="0" distB="0" distL="0" distR="0">
                  <wp:extent cx="5299075" cy="377444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20"/>
                          <a:stretch>
                            <a:fillRect/>
                          </a:stretch>
                        </pic:blipFill>
                        <pic:spPr>
                          <a:xfrm>
                            <a:off x="0" y="0"/>
                            <a:ext cx="5299075" cy="3774440"/>
                          </a:xfrm>
                          <a:prstGeom prst="rect">
                            <a:avLst/>
                          </a:prstGeom>
                        </pic:spPr>
                      </pic:pic>
                    </a:graphicData>
                  </a:graphic>
                </wp:inline>
              </w:drawing>
            </w:r>
          </w:p>
          <w:p>
            <w:pPr>
              <w:pStyle w:val="6"/>
              <w:spacing w:before="179" w:line="480" w:lineRule="exact"/>
              <w:ind w:left="2307"/>
              <w:rPr>
                <w:sz w:val="24"/>
                <w:szCs w:val="24"/>
              </w:rPr>
            </w:pPr>
            <w:r>
              <w:rPr>
                <w:spacing w:val="-1"/>
                <w:position w:val="18"/>
                <w:sz w:val="24"/>
                <w:szCs w:val="24"/>
                <w14:textOutline w14:w="4354" w14:cap="flat" w14:cmpd="sng">
                  <w14:solidFill>
                    <w14:srgbClr w14:val="000000"/>
                  </w14:solidFill>
                  <w14:prstDash w14:val="solid"/>
                  <w14:miter w14:val="10"/>
                </w14:textOutline>
              </w:rPr>
              <w:t>图</w:t>
            </w:r>
            <w:r>
              <w:rPr>
                <w:spacing w:val="-45"/>
                <w:position w:val="18"/>
                <w:sz w:val="24"/>
                <w:szCs w:val="24"/>
              </w:rPr>
              <w:t xml:space="preserve"> </w:t>
            </w:r>
            <w:r>
              <w:rPr>
                <w:rFonts w:ascii="Times New Roman" w:hAnsi="Times New Roman" w:eastAsia="Times New Roman" w:cs="Times New Roman"/>
                <w:b/>
                <w:bCs/>
                <w:spacing w:val="-1"/>
                <w:position w:val="18"/>
                <w:sz w:val="24"/>
                <w:szCs w:val="24"/>
              </w:rPr>
              <w:t xml:space="preserve">4.3-2  </w:t>
            </w:r>
            <w:r>
              <w:rPr>
                <w:spacing w:val="-1"/>
                <w:position w:val="18"/>
                <w:sz w:val="24"/>
                <w:szCs w:val="24"/>
                <w14:textOutline w14:w="4354" w14:cap="flat" w14:cmpd="sng">
                  <w14:solidFill>
                    <w14:srgbClr w14:val="000000"/>
                  </w14:solidFill>
                  <w14:prstDash w14:val="solid"/>
                  <w14:miter w14:val="10"/>
                </w14:textOutline>
              </w:rPr>
              <w:t>市政供电情况下场界昼间噪声预测等声值线图</w:t>
            </w:r>
          </w:p>
          <w:p>
            <w:pPr>
              <w:pStyle w:val="6"/>
              <w:spacing w:before="1" w:line="232" w:lineRule="auto"/>
              <w:ind w:left="1046"/>
              <w:rPr>
                <w:sz w:val="24"/>
                <w:szCs w:val="24"/>
              </w:rPr>
            </w:pPr>
            <w:r>
              <w:rPr>
                <w:rFonts w:ascii="Times New Roman" w:hAnsi="Times New Roman" w:eastAsia="Times New Roman" w:cs="Times New Roman"/>
                <w:b/>
                <w:bCs/>
                <w:sz w:val="24"/>
                <w:szCs w:val="24"/>
              </w:rPr>
              <w:t>B.</w:t>
            </w:r>
            <w:r>
              <w:rPr>
                <w:sz w:val="24"/>
                <w:szCs w:val="24"/>
                <w14:textOutline w14:w="4354" w14:cap="flat" w14:cmpd="sng">
                  <w14:solidFill>
                    <w14:srgbClr w14:val="000000"/>
                  </w14:solidFill>
                  <w14:prstDash w14:val="solid"/>
                  <w14:miter w14:val="10"/>
                </w14:textOutline>
              </w:rPr>
              <w:t>备用柴油发电机组供电情况下预测</w:t>
            </w:r>
          </w:p>
          <w:p>
            <w:pPr>
              <w:pStyle w:val="6"/>
              <w:spacing w:before="178" w:line="219" w:lineRule="auto"/>
              <w:ind w:left="1051"/>
              <w:rPr>
                <w:sz w:val="24"/>
                <w:szCs w:val="24"/>
              </w:rPr>
            </w:pPr>
            <w:r>
              <w:rPr>
                <w:spacing w:val="-2"/>
                <w:sz w:val="24"/>
                <w:szCs w:val="24"/>
              </w:rPr>
              <w:t>备用柴油发电机组供电情况下场界噪声预测详见下表。</w:t>
            </w:r>
          </w:p>
          <w:p>
            <w:pPr>
              <w:pStyle w:val="6"/>
              <w:spacing w:before="195" w:line="219" w:lineRule="auto"/>
              <w:ind w:left="2283"/>
              <w:rPr>
                <w:sz w:val="24"/>
                <w:szCs w:val="24"/>
              </w:rPr>
            </w:pPr>
            <w:r>
              <w:rPr>
                <w:sz w:val="24"/>
                <w:szCs w:val="24"/>
                <w14:textOutline w14:w="4354" w14:cap="flat" w14:cmpd="sng">
                  <w14:solidFill>
                    <w14:srgbClr w14:val="000000"/>
                  </w14:solidFill>
                  <w14:prstDash w14:val="solid"/>
                  <w14:miter w14:val="10"/>
                </w14:textOutline>
              </w:rPr>
              <w:t>表</w:t>
            </w:r>
            <w:r>
              <w:rPr>
                <w:spacing w:val="-50"/>
                <w:sz w:val="24"/>
                <w:szCs w:val="24"/>
              </w:rPr>
              <w:t xml:space="preserve"> </w:t>
            </w:r>
            <w:r>
              <w:rPr>
                <w:rFonts w:ascii="Times New Roman" w:hAnsi="Times New Roman" w:eastAsia="Times New Roman" w:cs="Times New Roman"/>
                <w:b/>
                <w:bCs/>
                <w:sz w:val="24"/>
                <w:szCs w:val="24"/>
              </w:rPr>
              <w:t xml:space="preserve">4.3-8  </w:t>
            </w:r>
            <w:r>
              <w:rPr>
                <w:sz w:val="24"/>
                <w:szCs w:val="24"/>
                <w14:textOutline w14:w="4354" w14:cap="flat" w14:cmpd="sng">
                  <w14:solidFill>
                    <w14:srgbClr w14:val="000000"/>
                  </w14:solidFill>
                  <w14:prstDash w14:val="solid"/>
                  <w14:miter w14:val="10"/>
                </w14:textOutline>
              </w:rPr>
              <w:t>柴油发电机组供电情况下场界噪声预测一览表</w:t>
            </w:r>
          </w:p>
          <w:p>
            <w:pPr>
              <w:spacing w:line="18" w:lineRule="exact"/>
            </w:pPr>
          </w:p>
          <w:tbl>
            <w:tblPr>
              <w:tblStyle w:val="5"/>
              <w:tblW w:w="9169"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1843"/>
              <w:gridCol w:w="1843"/>
              <w:gridCol w:w="1844"/>
              <w:gridCol w:w="1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92" w:type="dxa"/>
                  <w:vMerge w:val="restart"/>
                  <w:tcBorders>
                    <w:bottom w:val="nil"/>
                  </w:tcBorders>
                  <w:vAlign w:val="top"/>
                </w:tcPr>
                <w:p>
                  <w:pPr>
                    <w:pStyle w:val="6"/>
                    <w:spacing w:before="243" w:line="221" w:lineRule="auto"/>
                    <w:ind w:left="691"/>
                    <w:rPr>
                      <w:sz w:val="21"/>
                      <w:szCs w:val="21"/>
                    </w:rPr>
                  </w:pPr>
                  <w:r>
                    <w:rPr>
                      <w:spacing w:val="-2"/>
                      <w:sz w:val="21"/>
                      <w:szCs w:val="21"/>
                    </w:rPr>
                    <w:t>场界</w:t>
                  </w:r>
                </w:p>
              </w:tc>
              <w:tc>
                <w:tcPr>
                  <w:tcW w:w="3686" w:type="dxa"/>
                  <w:gridSpan w:val="2"/>
                  <w:vAlign w:val="top"/>
                </w:tcPr>
                <w:p>
                  <w:pPr>
                    <w:pStyle w:val="6"/>
                    <w:spacing w:before="67" w:line="214" w:lineRule="auto"/>
                    <w:ind w:left="843"/>
                    <w:rPr>
                      <w:sz w:val="21"/>
                      <w:szCs w:val="21"/>
                    </w:rPr>
                  </w:pPr>
                  <w:r>
                    <w:rPr>
                      <w:spacing w:val="-1"/>
                      <w:sz w:val="21"/>
                      <w:szCs w:val="21"/>
                    </w:rPr>
                    <w:t>场界噪声值（</w:t>
                  </w:r>
                  <w:r>
                    <w:rPr>
                      <w:rFonts w:ascii="Times New Roman" w:hAnsi="Times New Roman" w:eastAsia="Times New Roman" w:cs="Times New Roman"/>
                      <w:spacing w:val="-1"/>
                      <w:sz w:val="21"/>
                      <w:szCs w:val="21"/>
                    </w:rPr>
                    <w:t>dB(A)</w:t>
                  </w:r>
                  <w:r>
                    <w:rPr>
                      <w:spacing w:val="-1"/>
                      <w:sz w:val="21"/>
                      <w:szCs w:val="21"/>
                    </w:rPr>
                    <w:t>）</w:t>
                  </w:r>
                </w:p>
              </w:tc>
              <w:tc>
                <w:tcPr>
                  <w:tcW w:w="3691" w:type="dxa"/>
                  <w:gridSpan w:val="2"/>
                  <w:vAlign w:val="top"/>
                </w:tcPr>
                <w:p>
                  <w:pPr>
                    <w:pStyle w:val="6"/>
                    <w:spacing w:before="67" w:line="214" w:lineRule="auto"/>
                    <w:ind w:left="950"/>
                    <w:rPr>
                      <w:sz w:val="21"/>
                      <w:szCs w:val="21"/>
                    </w:rPr>
                  </w:pPr>
                  <w:r>
                    <w:rPr>
                      <w:spacing w:val="-1"/>
                      <w:sz w:val="21"/>
                      <w:szCs w:val="21"/>
                    </w:rPr>
                    <w:t>超标范围（</w:t>
                  </w:r>
                  <w:r>
                    <w:rPr>
                      <w:rFonts w:ascii="Times New Roman" w:hAnsi="Times New Roman" w:eastAsia="Times New Roman" w:cs="Times New Roman"/>
                      <w:spacing w:val="-1"/>
                      <w:sz w:val="21"/>
                      <w:szCs w:val="21"/>
                    </w:rPr>
                    <w:t>dB(A)</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92" w:type="dxa"/>
                  <w:vMerge w:val="continue"/>
                  <w:tcBorders>
                    <w:top w:val="nil"/>
                  </w:tcBorders>
                  <w:vAlign w:val="top"/>
                </w:tcPr>
                <w:p>
                  <w:pPr>
                    <w:rPr>
                      <w:rFonts w:ascii="Arial"/>
                      <w:sz w:val="21"/>
                    </w:rPr>
                  </w:pPr>
                </w:p>
              </w:tc>
              <w:tc>
                <w:tcPr>
                  <w:tcW w:w="1843" w:type="dxa"/>
                  <w:vAlign w:val="top"/>
                </w:tcPr>
                <w:p>
                  <w:pPr>
                    <w:pStyle w:val="6"/>
                    <w:spacing w:before="63" w:line="223" w:lineRule="auto"/>
                    <w:ind w:left="714"/>
                    <w:rPr>
                      <w:sz w:val="21"/>
                      <w:szCs w:val="21"/>
                    </w:rPr>
                  </w:pPr>
                  <w:r>
                    <w:rPr>
                      <w:spacing w:val="-2"/>
                      <w:sz w:val="21"/>
                      <w:szCs w:val="21"/>
                    </w:rPr>
                    <w:t>昼间</w:t>
                  </w:r>
                </w:p>
              </w:tc>
              <w:tc>
                <w:tcPr>
                  <w:tcW w:w="1843" w:type="dxa"/>
                  <w:vAlign w:val="top"/>
                </w:tcPr>
                <w:p>
                  <w:pPr>
                    <w:pStyle w:val="6"/>
                    <w:spacing w:before="62" w:line="221" w:lineRule="auto"/>
                    <w:ind w:left="718"/>
                    <w:rPr>
                      <w:sz w:val="21"/>
                      <w:szCs w:val="21"/>
                    </w:rPr>
                  </w:pPr>
                  <w:r>
                    <w:rPr>
                      <w:spacing w:val="-3"/>
                      <w:sz w:val="21"/>
                      <w:szCs w:val="21"/>
                    </w:rPr>
                    <w:t>夜间</w:t>
                  </w:r>
                </w:p>
              </w:tc>
              <w:tc>
                <w:tcPr>
                  <w:tcW w:w="1844" w:type="dxa"/>
                  <w:vAlign w:val="top"/>
                </w:tcPr>
                <w:p>
                  <w:pPr>
                    <w:pStyle w:val="6"/>
                    <w:spacing w:before="63" w:line="223" w:lineRule="auto"/>
                    <w:ind w:left="714"/>
                    <w:rPr>
                      <w:sz w:val="21"/>
                      <w:szCs w:val="21"/>
                    </w:rPr>
                  </w:pPr>
                  <w:r>
                    <w:rPr>
                      <w:spacing w:val="-2"/>
                      <w:sz w:val="21"/>
                      <w:szCs w:val="21"/>
                    </w:rPr>
                    <w:t>昼间</w:t>
                  </w:r>
                </w:p>
              </w:tc>
              <w:tc>
                <w:tcPr>
                  <w:tcW w:w="1847" w:type="dxa"/>
                  <w:vAlign w:val="top"/>
                </w:tcPr>
                <w:p>
                  <w:pPr>
                    <w:pStyle w:val="6"/>
                    <w:spacing w:before="62" w:line="221" w:lineRule="auto"/>
                    <w:ind w:left="721"/>
                    <w:rPr>
                      <w:sz w:val="21"/>
                      <w:szCs w:val="21"/>
                    </w:rPr>
                  </w:pPr>
                  <w:r>
                    <w:rPr>
                      <w:spacing w:val="-3"/>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92" w:type="dxa"/>
                  <w:vAlign w:val="top"/>
                </w:tcPr>
                <w:p>
                  <w:pPr>
                    <w:pStyle w:val="6"/>
                    <w:spacing w:before="63" w:line="221" w:lineRule="auto"/>
                    <w:ind w:left="593"/>
                    <w:rPr>
                      <w:sz w:val="21"/>
                      <w:szCs w:val="21"/>
                    </w:rPr>
                  </w:pPr>
                  <w:r>
                    <w:rPr>
                      <w:spacing w:val="-3"/>
                      <w:sz w:val="21"/>
                      <w:szCs w:val="21"/>
                    </w:rPr>
                    <w:t>东场界</w:t>
                  </w:r>
                </w:p>
              </w:tc>
              <w:tc>
                <w:tcPr>
                  <w:tcW w:w="1843" w:type="dxa"/>
                  <w:vAlign w:val="top"/>
                </w:tcPr>
                <w:p>
                  <w:pPr>
                    <w:spacing w:before="102"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55.73</w:t>
                  </w:r>
                </w:p>
              </w:tc>
              <w:tc>
                <w:tcPr>
                  <w:tcW w:w="1843" w:type="dxa"/>
                  <w:vAlign w:val="top"/>
                </w:tcPr>
                <w:p>
                  <w:pPr>
                    <w:spacing w:before="102"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55.73</w:t>
                  </w:r>
                </w:p>
              </w:tc>
              <w:tc>
                <w:tcPr>
                  <w:tcW w:w="1844" w:type="dxa"/>
                  <w:vAlign w:val="top"/>
                </w:tcPr>
                <w:p>
                  <w:pPr>
                    <w:spacing w:before="98" w:line="233"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102" w:line="187" w:lineRule="auto"/>
                    <w:ind w:left="7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92" w:type="dxa"/>
                  <w:vAlign w:val="top"/>
                </w:tcPr>
                <w:p>
                  <w:pPr>
                    <w:pStyle w:val="6"/>
                    <w:spacing w:before="66" w:line="221" w:lineRule="auto"/>
                    <w:ind w:left="588"/>
                    <w:rPr>
                      <w:sz w:val="21"/>
                      <w:szCs w:val="21"/>
                    </w:rPr>
                  </w:pPr>
                  <w:r>
                    <w:rPr>
                      <w:spacing w:val="-2"/>
                      <w:sz w:val="21"/>
                      <w:szCs w:val="21"/>
                    </w:rPr>
                    <w:t>南场界</w:t>
                  </w:r>
                </w:p>
              </w:tc>
              <w:tc>
                <w:tcPr>
                  <w:tcW w:w="1843" w:type="dxa"/>
                  <w:vAlign w:val="top"/>
                </w:tcPr>
                <w:p>
                  <w:pPr>
                    <w:spacing w:before="104"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52.84</w:t>
                  </w:r>
                </w:p>
              </w:tc>
              <w:tc>
                <w:tcPr>
                  <w:tcW w:w="1843" w:type="dxa"/>
                  <w:vAlign w:val="top"/>
                </w:tcPr>
                <w:p>
                  <w:pPr>
                    <w:spacing w:before="104"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52.84</w:t>
                  </w:r>
                </w:p>
              </w:tc>
              <w:tc>
                <w:tcPr>
                  <w:tcW w:w="1844" w:type="dxa"/>
                  <w:vAlign w:val="top"/>
                </w:tcPr>
                <w:p>
                  <w:pPr>
                    <w:spacing w:before="101" w:line="232"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101" w:line="232"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92" w:type="dxa"/>
                  <w:vAlign w:val="top"/>
                </w:tcPr>
                <w:p>
                  <w:pPr>
                    <w:pStyle w:val="6"/>
                    <w:spacing w:before="64" w:line="221" w:lineRule="auto"/>
                    <w:ind w:left="591"/>
                    <w:rPr>
                      <w:sz w:val="21"/>
                      <w:szCs w:val="21"/>
                    </w:rPr>
                  </w:pPr>
                  <w:r>
                    <w:rPr>
                      <w:spacing w:val="-3"/>
                      <w:sz w:val="21"/>
                      <w:szCs w:val="21"/>
                    </w:rPr>
                    <w:t>西场界</w:t>
                  </w:r>
                </w:p>
              </w:tc>
              <w:tc>
                <w:tcPr>
                  <w:tcW w:w="1843" w:type="dxa"/>
                  <w:vAlign w:val="top"/>
                </w:tcPr>
                <w:p>
                  <w:pPr>
                    <w:spacing w:before="102"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53.01</w:t>
                  </w:r>
                </w:p>
              </w:tc>
              <w:tc>
                <w:tcPr>
                  <w:tcW w:w="1843" w:type="dxa"/>
                  <w:vAlign w:val="top"/>
                </w:tcPr>
                <w:p>
                  <w:pPr>
                    <w:spacing w:before="102" w:line="187"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53.01</w:t>
                  </w:r>
                </w:p>
              </w:tc>
              <w:tc>
                <w:tcPr>
                  <w:tcW w:w="1844" w:type="dxa"/>
                  <w:vAlign w:val="top"/>
                </w:tcPr>
                <w:p>
                  <w:pPr>
                    <w:spacing w:before="99" w:line="233"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vAlign w:val="top"/>
                </w:tcPr>
                <w:p>
                  <w:pPr>
                    <w:spacing w:before="99" w:line="233"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792" w:type="dxa"/>
                  <w:tcBorders>
                    <w:bottom w:val="nil"/>
                  </w:tcBorders>
                  <w:vAlign w:val="top"/>
                </w:tcPr>
                <w:p>
                  <w:pPr>
                    <w:pStyle w:val="6"/>
                    <w:spacing w:before="64" w:line="221" w:lineRule="auto"/>
                    <w:ind w:left="589"/>
                    <w:rPr>
                      <w:sz w:val="21"/>
                      <w:szCs w:val="21"/>
                    </w:rPr>
                  </w:pPr>
                  <w:r>
                    <w:rPr>
                      <w:spacing w:val="-2"/>
                      <w:sz w:val="21"/>
                      <w:szCs w:val="21"/>
                    </w:rPr>
                    <w:t>北场界</w:t>
                  </w:r>
                </w:p>
              </w:tc>
              <w:tc>
                <w:tcPr>
                  <w:tcW w:w="1843" w:type="dxa"/>
                  <w:tcBorders>
                    <w:bottom w:val="nil"/>
                  </w:tcBorders>
                  <w:vAlign w:val="top"/>
                </w:tcPr>
                <w:p>
                  <w:pPr>
                    <w:spacing w:before="103"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47.28</w:t>
                  </w:r>
                </w:p>
              </w:tc>
              <w:tc>
                <w:tcPr>
                  <w:tcW w:w="1843" w:type="dxa"/>
                  <w:tcBorders>
                    <w:bottom w:val="nil"/>
                  </w:tcBorders>
                  <w:vAlign w:val="top"/>
                </w:tcPr>
                <w:p>
                  <w:pPr>
                    <w:spacing w:before="103"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47.28</w:t>
                  </w:r>
                </w:p>
              </w:tc>
              <w:tc>
                <w:tcPr>
                  <w:tcW w:w="1844" w:type="dxa"/>
                  <w:tcBorders>
                    <w:bottom w:val="nil"/>
                  </w:tcBorders>
                  <w:vAlign w:val="top"/>
                </w:tcPr>
                <w:p>
                  <w:pPr>
                    <w:spacing w:before="99" w:line="230"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7" w:type="dxa"/>
                  <w:tcBorders>
                    <w:bottom w:val="nil"/>
                  </w:tcBorders>
                  <w:vAlign w:val="top"/>
                </w:tcPr>
                <w:p>
                  <w:pPr>
                    <w:spacing w:before="99" w:line="230" w:lineRule="auto"/>
                    <w:ind w:left="8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84" w:lineRule="auto"/>
              <w:rPr>
                <w:rFonts w:ascii="Arial"/>
                <w:sz w:val="2"/>
              </w:rPr>
            </w:pPr>
          </w:p>
        </w:tc>
      </w:tr>
    </w:tbl>
    <w:p>
      <w:pPr>
        <w:pStyle w:val="2"/>
        <w:rPr>
          <w:sz w:val="21"/>
        </w:rPr>
      </w:pPr>
    </w:p>
    <w:p>
      <w:pPr>
        <w:rPr>
          <w:sz w:val="21"/>
          <w:szCs w:val="21"/>
        </w:rPr>
        <w:sectPr>
          <w:footerReference r:id="rId105" w:type="default"/>
          <w:pgSz w:w="11907" w:h="16839"/>
          <w:pgMar w:top="400" w:right="1020" w:bottom="1180" w:left="1020" w:header="0" w:footer="920" w:gutter="0"/>
          <w:cols w:space="720" w:num="1"/>
        </w:sectPr>
      </w:pPr>
    </w:p>
    <w:p>
      <w:pPr>
        <w:spacing w:before="13"/>
      </w:pPr>
      <w:r>
        <w:drawing>
          <wp:anchor distT="0" distB="0" distL="0" distR="0" simplePos="0" relativeHeight="251886592" behindDoc="0" locked="0" layoutInCell="0" allowOverlap="1">
            <wp:simplePos x="0" y="0"/>
            <wp:positionH relativeFrom="page">
              <wp:posOffset>1290955</wp:posOffset>
            </wp:positionH>
            <wp:positionV relativeFrom="page">
              <wp:posOffset>1141730</wp:posOffset>
            </wp:positionV>
            <wp:extent cx="5265420" cy="375031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21"/>
                    <a:stretch>
                      <a:fillRect/>
                    </a:stretch>
                  </pic:blipFill>
                  <pic:spPr>
                    <a:xfrm>
                      <a:off x="0" y="0"/>
                      <a:ext cx="5265420" cy="3750310"/>
                    </a:xfrm>
                    <a:prstGeom prst="rect">
                      <a:avLst/>
                    </a:prstGeom>
                  </pic:spPr>
                </pic:pic>
              </a:graphicData>
            </a:graphic>
          </wp:anchor>
        </w:drawing>
      </w: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85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5" w:hRule="atLeast"/>
        </w:trPr>
        <w:tc>
          <w:tcPr>
            <w:tcW w:w="9850" w:type="dxa"/>
            <w:vAlign w:val="top"/>
          </w:tcPr>
          <w:p>
            <w:pPr>
              <w:spacing w:line="144" w:lineRule="auto"/>
              <w:rPr>
                <w:rFonts w:ascii="Arial"/>
                <w:sz w:val="2"/>
              </w:rPr>
            </w:pPr>
            <w:r>
              <w:pict>
                <v:rect id="_x0000_s1350" o:spid="_x0000_s1350" o:spt="1" style="position:absolute;left:0pt;margin-left:22.75pt;margin-top:0.95pt;height:695.9pt;width:0.5pt;mso-position-horizontal-relative:page;mso-position-vertical-relative:page;z-index:251887616;mso-width-relative:page;mso-height-relative:page;" fillcolor="#000000" filled="t" stroked="f" coordsize="21600,21600">
                  <v:path/>
                  <v:fill on="t" focussize="0,0"/>
                  <v:stroke on="f"/>
                  <v:imagedata o:title=""/>
                  <o:lock v:ext="edit"/>
                </v:rect>
              </w:pict>
            </w:r>
          </w:p>
          <w:tbl>
            <w:tblPr>
              <w:tblStyle w:val="5"/>
              <w:tblW w:w="9169" w:type="dxa"/>
              <w:tblInd w:w="561" w:type="dxa"/>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69"/>
            </w:tblGrid>
            <w:tr>
              <w:tblPrEx>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45" w:hRule="atLeast"/>
              </w:trPr>
              <w:tc>
                <w:tcPr>
                  <w:tcW w:w="9169" w:type="dxa"/>
                  <w:vAlign w:val="top"/>
                </w:tcPr>
                <w:p>
                  <w:pPr>
                    <w:pStyle w:val="6"/>
                    <w:spacing w:before="63" w:line="214" w:lineRule="auto"/>
                    <w:ind w:left="116"/>
                    <w:rPr>
                      <w:sz w:val="21"/>
                      <w:szCs w:val="21"/>
                    </w:rPr>
                  </w:pPr>
                  <w:r>
                    <w:rPr>
                      <w:spacing w:val="-2"/>
                      <w:sz w:val="21"/>
                      <w:szCs w:val="21"/>
                    </w:rPr>
                    <w:t>注：标准限值昼间</w:t>
                  </w:r>
                  <w:r>
                    <w:rPr>
                      <w:spacing w:val="-37"/>
                      <w:sz w:val="21"/>
                      <w:szCs w:val="21"/>
                    </w:rPr>
                    <w:t xml:space="preserve"> </w:t>
                  </w:r>
                  <w:r>
                    <w:rPr>
                      <w:rFonts w:ascii="Times New Roman" w:hAnsi="Times New Roman" w:eastAsia="Times New Roman" w:cs="Times New Roman"/>
                      <w:spacing w:val="-2"/>
                      <w:sz w:val="21"/>
                      <w:szCs w:val="21"/>
                    </w:rPr>
                    <w:t>70dB(A)</w:t>
                  </w:r>
                  <w:r>
                    <w:rPr>
                      <w:spacing w:val="-2"/>
                      <w:sz w:val="21"/>
                      <w:szCs w:val="21"/>
                    </w:rPr>
                    <w:t>，夜间</w:t>
                  </w:r>
                  <w:r>
                    <w:rPr>
                      <w:spacing w:val="-24"/>
                      <w:sz w:val="21"/>
                      <w:szCs w:val="21"/>
                    </w:rPr>
                    <w:t xml:space="preserve"> </w:t>
                  </w:r>
                  <w:r>
                    <w:rPr>
                      <w:rFonts w:ascii="Times New Roman" w:hAnsi="Times New Roman" w:eastAsia="Times New Roman" w:cs="Times New Roman"/>
                      <w:spacing w:val="-2"/>
                      <w:sz w:val="21"/>
                      <w:szCs w:val="21"/>
                    </w:rPr>
                    <w:t>55dB(A)</w:t>
                  </w:r>
                  <w:r>
                    <w:rPr>
                      <w:spacing w:val="-2"/>
                      <w:sz w:val="21"/>
                      <w:szCs w:val="21"/>
                    </w:rPr>
                    <w:t>。</w:t>
                  </w:r>
                </w:p>
              </w:tc>
            </w:tr>
          </w:tbl>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219" w:lineRule="auto"/>
              <w:ind w:left="1825"/>
              <w:rPr>
                <w:sz w:val="24"/>
                <w:szCs w:val="24"/>
              </w:rPr>
            </w:pPr>
            <w:r>
              <w:rPr>
                <w:spacing w:val="-1"/>
                <w:sz w:val="24"/>
                <w:szCs w:val="24"/>
                <w14:textOutline w14:w="4354" w14:cap="flat" w14:cmpd="sng">
                  <w14:solidFill>
                    <w14:srgbClr w14:val="000000"/>
                  </w14:solidFill>
                  <w14:prstDash w14:val="solid"/>
                  <w14:miter w14:val="10"/>
                </w14:textOutline>
              </w:rPr>
              <w:t>图</w:t>
            </w:r>
            <w:r>
              <w:rPr>
                <w:spacing w:val="-38"/>
                <w:sz w:val="24"/>
                <w:szCs w:val="24"/>
              </w:rPr>
              <w:t xml:space="preserve"> </w:t>
            </w:r>
            <w:r>
              <w:rPr>
                <w:rFonts w:ascii="Times New Roman" w:hAnsi="Times New Roman" w:eastAsia="Times New Roman" w:cs="Times New Roman"/>
                <w:b/>
                <w:bCs/>
                <w:spacing w:val="-1"/>
                <w:sz w:val="24"/>
                <w:szCs w:val="24"/>
              </w:rPr>
              <w:t xml:space="preserve">4.3-3  </w:t>
            </w:r>
            <w:r>
              <w:rPr>
                <w:spacing w:val="-1"/>
                <w:sz w:val="24"/>
                <w:szCs w:val="24"/>
                <w14:textOutline w14:w="4354" w14:cap="flat" w14:cmpd="sng">
                  <w14:solidFill>
                    <w14:srgbClr w14:val="000000"/>
                  </w14:solidFill>
                  <w14:prstDash w14:val="solid"/>
                  <w14:miter w14:val="10"/>
                </w14:textOutline>
              </w:rPr>
              <w:t>柴油发电机组供电情况下场界昼间噪声预测等声值线图</w:t>
            </w:r>
          </w:p>
          <w:p>
            <w:pPr>
              <w:pStyle w:val="6"/>
              <w:spacing w:before="197" w:line="369" w:lineRule="auto"/>
              <w:ind w:left="571" w:right="102" w:firstLine="506"/>
              <w:jc w:val="both"/>
              <w:rPr>
                <w:sz w:val="24"/>
                <w:szCs w:val="24"/>
              </w:rPr>
            </w:pPr>
            <w:r>
              <w:rPr>
                <w:spacing w:val="-1"/>
                <w:sz w:val="24"/>
                <w:szCs w:val="24"/>
              </w:rPr>
              <w:t>由上表</w:t>
            </w:r>
            <w:r>
              <w:rPr>
                <w:spacing w:val="-49"/>
                <w:sz w:val="24"/>
                <w:szCs w:val="24"/>
              </w:rPr>
              <w:t xml:space="preserve"> </w:t>
            </w:r>
            <w:r>
              <w:rPr>
                <w:rFonts w:ascii="Times New Roman" w:hAnsi="Times New Roman" w:eastAsia="Times New Roman" w:cs="Times New Roman"/>
                <w:spacing w:val="-1"/>
                <w:sz w:val="24"/>
                <w:szCs w:val="24"/>
              </w:rPr>
              <w:t xml:space="preserve">4.3-7 </w:t>
            </w:r>
            <w:r>
              <w:rPr>
                <w:spacing w:val="-1"/>
                <w:sz w:val="24"/>
                <w:szCs w:val="24"/>
              </w:rPr>
              <w:t>和</w:t>
            </w:r>
            <w:r>
              <w:rPr>
                <w:spacing w:val="-54"/>
                <w:sz w:val="24"/>
                <w:szCs w:val="24"/>
              </w:rPr>
              <w:t xml:space="preserve"> </w:t>
            </w:r>
            <w:r>
              <w:rPr>
                <w:rFonts w:ascii="Times New Roman" w:hAnsi="Times New Roman" w:eastAsia="Times New Roman" w:cs="Times New Roman"/>
                <w:spacing w:val="-1"/>
                <w:sz w:val="24"/>
                <w:szCs w:val="24"/>
              </w:rPr>
              <w:t xml:space="preserve">4.3-8 </w:t>
            </w:r>
            <w:r>
              <w:rPr>
                <w:spacing w:val="-1"/>
                <w:sz w:val="24"/>
                <w:szCs w:val="24"/>
              </w:rPr>
              <w:t>可知，市政供电时昼间、夜间场界噪声贡献值均满足《建筑施</w:t>
            </w:r>
            <w:r>
              <w:rPr>
                <w:sz w:val="24"/>
                <w:szCs w:val="24"/>
              </w:rPr>
              <w:t xml:space="preserve"> 工场界环境噪声排放标准》（</w:t>
            </w:r>
            <w:r>
              <w:rPr>
                <w:rFonts w:ascii="Times New Roman" w:hAnsi="Times New Roman" w:eastAsia="Times New Roman" w:cs="Times New Roman"/>
                <w:sz w:val="24"/>
                <w:szCs w:val="24"/>
              </w:rPr>
              <w:t>GB12523-2011</w:t>
            </w:r>
            <w:r>
              <w:rPr>
                <w:sz w:val="24"/>
                <w:szCs w:val="24"/>
              </w:rPr>
              <w:t>）标</w:t>
            </w:r>
            <w:r>
              <w:rPr>
                <w:spacing w:val="-1"/>
                <w:sz w:val="24"/>
                <w:szCs w:val="24"/>
              </w:rPr>
              <w:t>准限值；柴油发电机配套供电时场界昼</w:t>
            </w:r>
            <w:r>
              <w:rPr>
                <w:sz w:val="24"/>
                <w:szCs w:val="24"/>
              </w:rPr>
              <w:t xml:space="preserve"> 间满足《建筑施工场界环境噪声排放标准》（</w:t>
            </w:r>
            <w:r>
              <w:rPr>
                <w:rFonts w:ascii="Times New Roman" w:hAnsi="Times New Roman" w:eastAsia="Times New Roman" w:cs="Times New Roman"/>
                <w:sz w:val="24"/>
                <w:szCs w:val="24"/>
              </w:rPr>
              <w:t>GB12523-</w:t>
            </w:r>
            <w:r>
              <w:rPr>
                <w:rFonts w:ascii="Times New Roman" w:hAnsi="Times New Roman" w:eastAsia="Times New Roman" w:cs="Times New Roman"/>
                <w:spacing w:val="-1"/>
                <w:sz w:val="24"/>
                <w:szCs w:val="24"/>
              </w:rPr>
              <w:t>2011</w:t>
            </w:r>
            <w:r>
              <w:rPr>
                <w:spacing w:val="-1"/>
                <w:sz w:val="24"/>
                <w:szCs w:val="24"/>
              </w:rPr>
              <w:t>）标准限值，夜间东侧场界</w:t>
            </w:r>
            <w:r>
              <w:rPr>
                <w:sz w:val="24"/>
                <w:szCs w:val="24"/>
              </w:rPr>
              <w:t xml:space="preserve"> </w:t>
            </w:r>
            <w:r>
              <w:rPr>
                <w:spacing w:val="-6"/>
                <w:sz w:val="24"/>
                <w:szCs w:val="24"/>
              </w:rPr>
              <w:t>噪声贡献值超标，</w:t>
            </w:r>
            <w:r>
              <w:rPr>
                <w:spacing w:val="35"/>
                <w:sz w:val="24"/>
                <w:szCs w:val="24"/>
              </w:rPr>
              <w:t xml:space="preserve"> </w:t>
            </w:r>
            <w:r>
              <w:rPr>
                <w:spacing w:val="-6"/>
                <w:sz w:val="24"/>
                <w:szCs w:val="24"/>
              </w:rPr>
              <w:t>超标范围为</w:t>
            </w:r>
            <w:r>
              <w:rPr>
                <w:spacing w:val="-31"/>
                <w:sz w:val="24"/>
                <w:szCs w:val="24"/>
              </w:rPr>
              <w:t xml:space="preserve"> </w:t>
            </w:r>
            <w:r>
              <w:rPr>
                <w:rFonts w:ascii="Times New Roman" w:hAnsi="Times New Roman" w:eastAsia="Times New Roman" w:cs="Times New Roman"/>
                <w:spacing w:val="-6"/>
                <w:sz w:val="24"/>
                <w:szCs w:val="24"/>
              </w:rPr>
              <w:t>1.73dB(A)</w:t>
            </w:r>
            <w:r>
              <w:rPr>
                <w:spacing w:val="-6"/>
                <w:sz w:val="24"/>
                <w:szCs w:val="24"/>
              </w:rPr>
              <w:t>，其</w:t>
            </w:r>
            <w:r>
              <w:rPr>
                <w:spacing w:val="-7"/>
                <w:sz w:val="24"/>
                <w:szCs w:val="24"/>
              </w:rPr>
              <w:t>余场界达标。柴油发电时钻井施工在夜间噪</w:t>
            </w:r>
          </w:p>
          <w:p>
            <w:pPr>
              <w:pStyle w:val="6"/>
              <w:spacing w:line="220" w:lineRule="auto"/>
              <w:ind w:left="573"/>
              <w:rPr>
                <w:sz w:val="24"/>
                <w:szCs w:val="24"/>
              </w:rPr>
            </w:pPr>
            <w:r>
              <w:rPr>
                <w:spacing w:val="-7"/>
                <w:sz w:val="24"/>
                <w:szCs w:val="24"/>
              </w:rPr>
              <w:t>声影响较大。</w:t>
            </w:r>
          </w:p>
          <w:p>
            <w:pPr>
              <w:pStyle w:val="6"/>
              <w:spacing w:before="194" w:line="220" w:lineRule="auto"/>
              <w:ind w:left="105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spacing w:val="-1"/>
                <w:sz w:val="24"/>
                <w:szCs w:val="24"/>
                <w14:textOutline w14:w="4354" w14:cap="flat" w14:cmpd="sng">
                  <w14:solidFill>
                    <w14:srgbClr w14:val="000000"/>
                  </w14:solidFill>
                  <w14:prstDash w14:val="solid"/>
                  <w14:miter w14:val="10"/>
                </w14:textOutline>
              </w:rPr>
              <w:t>）环境保护目标噪声预测分析</w:t>
            </w:r>
          </w:p>
          <w:p>
            <w:pPr>
              <w:pStyle w:val="6"/>
              <w:spacing w:before="193" w:line="480" w:lineRule="exact"/>
              <w:ind w:left="1054"/>
              <w:rPr>
                <w:sz w:val="24"/>
                <w:szCs w:val="24"/>
              </w:rPr>
            </w:pPr>
            <w:r>
              <w:rPr>
                <w:spacing w:val="-1"/>
                <w:position w:val="18"/>
                <w:sz w:val="24"/>
                <w:szCs w:val="24"/>
              </w:rPr>
              <w:t xml:space="preserve">结合钻井工程特点，本次评价对井口 </w:t>
            </w:r>
            <w:r>
              <w:rPr>
                <w:rFonts w:ascii="Times New Roman" w:hAnsi="Times New Roman" w:eastAsia="Times New Roman" w:cs="Times New Roman"/>
                <w:spacing w:val="-1"/>
                <w:position w:val="18"/>
                <w:sz w:val="24"/>
                <w:szCs w:val="24"/>
              </w:rPr>
              <w:t xml:space="preserve">200m  </w:t>
            </w:r>
            <w:r>
              <w:rPr>
                <w:spacing w:val="-1"/>
                <w:position w:val="18"/>
                <w:sz w:val="24"/>
                <w:szCs w:val="24"/>
              </w:rPr>
              <w:t>范围内的居民点进行预测。采用市政供</w:t>
            </w:r>
          </w:p>
          <w:p>
            <w:pPr>
              <w:pStyle w:val="6"/>
              <w:spacing w:before="1" w:line="218" w:lineRule="auto"/>
              <w:ind w:left="596"/>
              <w:rPr>
                <w:sz w:val="24"/>
                <w:szCs w:val="24"/>
              </w:rPr>
            </w:pPr>
            <w:r>
              <w:rPr>
                <w:spacing w:val="-3"/>
                <w:sz w:val="24"/>
                <w:szCs w:val="24"/>
              </w:rPr>
              <w:t>电和柴油发电机两种供电方式对环境保护目标处的噪声进行预测。</w:t>
            </w:r>
          </w:p>
          <w:p>
            <w:pPr>
              <w:pStyle w:val="6"/>
              <w:spacing w:before="195" w:line="233" w:lineRule="auto"/>
              <w:ind w:left="1043"/>
              <w:rPr>
                <w:sz w:val="24"/>
                <w:szCs w:val="24"/>
              </w:rPr>
            </w:pPr>
            <w:r>
              <w:rPr>
                <w:rFonts w:ascii="Times New Roman" w:hAnsi="Times New Roman" w:eastAsia="Times New Roman" w:cs="Times New Roman"/>
                <w:b/>
                <w:bCs/>
                <w:sz w:val="24"/>
                <w:szCs w:val="24"/>
              </w:rPr>
              <w:t>A.</w:t>
            </w:r>
            <w:r>
              <w:rPr>
                <w:sz w:val="24"/>
                <w:szCs w:val="24"/>
                <w14:textOutline w14:w="4354" w14:cap="flat" w14:cmpd="sng">
                  <w14:solidFill>
                    <w14:srgbClr w14:val="000000"/>
                  </w14:solidFill>
                  <w14:prstDash w14:val="solid"/>
                  <w14:miter w14:val="10"/>
                </w14:textOutline>
              </w:rPr>
              <w:t>市政供电情况下环境保护目标处噪声预测</w:t>
            </w:r>
          </w:p>
          <w:p>
            <w:pPr>
              <w:pStyle w:val="6"/>
              <w:spacing w:before="177" w:line="219" w:lineRule="auto"/>
              <w:ind w:left="1054"/>
              <w:rPr>
                <w:sz w:val="24"/>
                <w:szCs w:val="24"/>
              </w:rPr>
            </w:pPr>
            <w:r>
              <w:rPr>
                <w:spacing w:val="-3"/>
                <w:sz w:val="24"/>
                <w:szCs w:val="24"/>
              </w:rPr>
              <w:t>市政供电情况下环境保护目标处噪声预测值见表。</w:t>
            </w:r>
          </w:p>
          <w:p>
            <w:pPr>
              <w:pStyle w:val="6"/>
              <w:spacing w:before="195" w:line="219" w:lineRule="auto"/>
              <w:ind w:left="2163"/>
              <w:rPr>
                <w:sz w:val="24"/>
                <w:szCs w:val="24"/>
              </w:rPr>
            </w:pPr>
            <w:r>
              <w:rPr>
                <w:sz w:val="24"/>
                <w:szCs w:val="24"/>
                <w14:textOutline w14:w="4354" w14:cap="flat" w14:cmpd="sng">
                  <w14:solidFill>
                    <w14:srgbClr w14:val="000000"/>
                  </w14:solidFill>
                  <w14:prstDash w14:val="solid"/>
                  <w14:miter w14:val="10"/>
                </w14:textOutline>
              </w:rPr>
              <w:t>表</w:t>
            </w:r>
            <w:r>
              <w:rPr>
                <w:spacing w:val="-50"/>
                <w:sz w:val="24"/>
                <w:szCs w:val="24"/>
              </w:rPr>
              <w:t xml:space="preserve"> </w:t>
            </w:r>
            <w:r>
              <w:rPr>
                <w:rFonts w:ascii="Times New Roman" w:hAnsi="Times New Roman" w:eastAsia="Times New Roman" w:cs="Times New Roman"/>
                <w:b/>
                <w:bCs/>
                <w:sz w:val="24"/>
                <w:szCs w:val="24"/>
              </w:rPr>
              <w:t xml:space="preserve">4.3-9  </w:t>
            </w:r>
            <w:r>
              <w:rPr>
                <w:sz w:val="24"/>
                <w:szCs w:val="24"/>
                <w14:textOutline w14:w="4354" w14:cap="flat" w14:cmpd="sng">
                  <w14:solidFill>
                    <w14:srgbClr w14:val="000000"/>
                  </w14:solidFill>
                  <w14:prstDash w14:val="solid"/>
                  <w14:miter w14:val="10"/>
                </w14:textOutline>
              </w:rPr>
              <w:t>市政供电情况下环境保护目标处噪声预测情况表</w:t>
            </w:r>
          </w:p>
          <w:p>
            <w:pPr>
              <w:spacing w:line="18" w:lineRule="exact"/>
            </w:pPr>
          </w:p>
          <w:tbl>
            <w:tblPr>
              <w:tblStyle w:val="5"/>
              <w:tblW w:w="9169"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499"/>
              <w:gridCol w:w="504"/>
              <w:gridCol w:w="415"/>
              <w:gridCol w:w="425"/>
              <w:gridCol w:w="424"/>
              <w:gridCol w:w="427"/>
              <w:gridCol w:w="707"/>
              <w:gridCol w:w="708"/>
              <w:gridCol w:w="710"/>
              <w:gridCol w:w="708"/>
              <w:gridCol w:w="708"/>
              <w:gridCol w:w="567"/>
              <w:gridCol w:w="710"/>
              <w:gridCol w:w="6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59" w:type="dxa"/>
                  <w:vMerge w:val="restart"/>
                  <w:tcBorders>
                    <w:bottom w:val="nil"/>
                  </w:tcBorders>
                  <w:vAlign w:val="top"/>
                </w:tcPr>
                <w:p>
                  <w:pPr>
                    <w:pStyle w:val="6"/>
                    <w:spacing w:before="90" w:line="220" w:lineRule="auto"/>
                    <w:ind w:left="128"/>
                    <w:rPr>
                      <w:sz w:val="18"/>
                      <w:szCs w:val="18"/>
                    </w:rPr>
                  </w:pPr>
                  <w:r>
                    <w:rPr>
                      <w:spacing w:val="-2"/>
                      <w:sz w:val="18"/>
                      <w:szCs w:val="18"/>
                    </w:rPr>
                    <w:t>声环境保</w:t>
                  </w:r>
                </w:p>
                <w:p>
                  <w:pPr>
                    <w:pStyle w:val="6"/>
                    <w:spacing w:before="18" w:line="220" w:lineRule="auto"/>
                    <w:ind w:left="125"/>
                    <w:rPr>
                      <w:sz w:val="18"/>
                      <w:szCs w:val="18"/>
                    </w:rPr>
                  </w:pPr>
                  <w:r>
                    <w:rPr>
                      <w:spacing w:val="-2"/>
                      <w:sz w:val="18"/>
                      <w:szCs w:val="18"/>
                    </w:rPr>
                    <w:t>护目标名</w:t>
                  </w:r>
                </w:p>
                <w:p>
                  <w:pPr>
                    <w:pStyle w:val="6"/>
                    <w:spacing w:before="17" w:line="222" w:lineRule="auto"/>
                    <w:ind w:left="392"/>
                    <w:rPr>
                      <w:sz w:val="18"/>
                      <w:szCs w:val="18"/>
                    </w:rPr>
                  </w:pPr>
                  <w:r>
                    <w:rPr>
                      <w:sz w:val="18"/>
                      <w:szCs w:val="18"/>
                    </w:rPr>
                    <w:t>称</w:t>
                  </w:r>
                </w:p>
              </w:tc>
              <w:tc>
                <w:tcPr>
                  <w:tcW w:w="1003" w:type="dxa"/>
                  <w:gridSpan w:val="2"/>
                  <w:vAlign w:val="top"/>
                </w:tcPr>
                <w:p>
                  <w:pPr>
                    <w:pStyle w:val="6"/>
                    <w:spacing w:before="82" w:line="220" w:lineRule="auto"/>
                    <w:ind w:left="238"/>
                    <w:rPr>
                      <w:sz w:val="18"/>
                      <w:szCs w:val="18"/>
                    </w:rPr>
                  </w:pPr>
                  <w:r>
                    <w:rPr>
                      <w:spacing w:val="-3"/>
                      <w:sz w:val="18"/>
                      <w:szCs w:val="18"/>
                    </w:rPr>
                    <w:t>背景值</w:t>
                  </w:r>
                </w:p>
              </w:tc>
              <w:tc>
                <w:tcPr>
                  <w:tcW w:w="840" w:type="dxa"/>
                  <w:gridSpan w:val="2"/>
                  <w:vAlign w:val="top"/>
                </w:tcPr>
                <w:p>
                  <w:pPr>
                    <w:pStyle w:val="6"/>
                    <w:spacing w:before="82" w:line="220" w:lineRule="auto"/>
                    <w:ind w:left="153"/>
                    <w:rPr>
                      <w:sz w:val="18"/>
                      <w:szCs w:val="18"/>
                    </w:rPr>
                  </w:pPr>
                  <w:r>
                    <w:rPr>
                      <w:spacing w:val="-2"/>
                      <w:sz w:val="18"/>
                      <w:szCs w:val="18"/>
                    </w:rPr>
                    <w:t>现状值</w:t>
                  </w:r>
                </w:p>
              </w:tc>
              <w:tc>
                <w:tcPr>
                  <w:tcW w:w="851" w:type="dxa"/>
                  <w:gridSpan w:val="2"/>
                  <w:vAlign w:val="top"/>
                </w:tcPr>
                <w:p>
                  <w:pPr>
                    <w:pStyle w:val="6"/>
                    <w:spacing w:before="82" w:line="220" w:lineRule="auto"/>
                    <w:ind w:left="160"/>
                    <w:rPr>
                      <w:sz w:val="18"/>
                      <w:szCs w:val="18"/>
                    </w:rPr>
                  </w:pPr>
                  <w:r>
                    <w:rPr>
                      <w:spacing w:val="-2"/>
                      <w:sz w:val="18"/>
                      <w:szCs w:val="18"/>
                    </w:rPr>
                    <w:t>标准值</w:t>
                  </w:r>
                </w:p>
              </w:tc>
              <w:tc>
                <w:tcPr>
                  <w:tcW w:w="1415" w:type="dxa"/>
                  <w:gridSpan w:val="2"/>
                  <w:vAlign w:val="top"/>
                </w:tcPr>
                <w:p>
                  <w:pPr>
                    <w:pStyle w:val="6"/>
                    <w:spacing w:before="82" w:line="220" w:lineRule="auto"/>
                    <w:ind w:left="443"/>
                    <w:rPr>
                      <w:sz w:val="18"/>
                      <w:szCs w:val="18"/>
                    </w:rPr>
                  </w:pPr>
                  <w:r>
                    <w:rPr>
                      <w:spacing w:val="-3"/>
                      <w:sz w:val="18"/>
                      <w:szCs w:val="18"/>
                    </w:rPr>
                    <w:t>贡献值</w:t>
                  </w:r>
                </w:p>
              </w:tc>
              <w:tc>
                <w:tcPr>
                  <w:tcW w:w="1418" w:type="dxa"/>
                  <w:gridSpan w:val="2"/>
                  <w:vAlign w:val="top"/>
                </w:tcPr>
                <w:p>
                  <w:pPr>
                    <w:pStyle w:val="6"/>
                    <w:spacing w:before="82" w:line="220" w:lineRule="auto"/>
                    <w:ind w:left="446"/>
                    <w:rPr>
                      <w:sz w:val="18"/>
                      <w:szCs w:val="18"/>
                    </w:rPr>
                  </w:pPr>
                  <w:r>
                    <w:rPr>
                      <w:spacing w:val="-2"/>
                      <w:sz w:val="18"/>
                      <w:szCs w:val="18"/>
                    </w:rPr>
                    <w:t>预测值</w:t>
                  </w:r>
                </w:p>
              </w:tc>
              <w:tc>
                <w:tcPr>
                  <w:tcW w:w="1275" w:type="dxa"/>
                  <w:gridSpan w:val="2"/>
                  <w:vAlign w:val="top"/>
                </w:tcPr>
                <w:p>
                  <w:pPr>
                    <w:pStyle w:val="6"/>
                    <w:spacing w:before="82" w:line="220" w:lineRule="auto"/>
                    <w:ind w:left="193"/>
                    <w:rPr>
                      <w:sz w:val="18"/>
                      <w:szCs w:val="18"/>
                    </w:rPr>
                  </w:pPr>
                  <w:r>
                    <w:rPr>
                      <w:spacing w:val="-2"/>
                      <w:sz w:val="18"/>
                      <w:szCs w:val="18"/>
                    </w:rPr>
                    <w:t>较现状增量</w:t>
                  </w:r>
                </w:p>
              </w:tc>
              <w:tc>
                <w:tcPr>
                  <w:tcW w:w="1408" w:type="dxa"/>
                  <w:gridSpan w:val="2"/>
                  <w:vAlign w:val="top"/>
                </w:tcPr>
                <w:p>
                  <w:pPr>
                    <w:pStyle w:val="6"/>
                    <w:spacing w:before="83" w:line="220" w:lineRule="auto"/>
                    <w:ind w:left="260"/>
                    <w:rPr>
                      <w:sz w:val="18"/>
                      <w:szCs w:val="18"/>
                    </w:rPr>
                  </w:pPr>
                  <w:r>
                    <w:rPr>
                      <w:spacing w:val="-2"/>
                      <w:sz w:val="18"/>
                      <w:szCs w:val="18"/>
                    </w:rPr>
                    <w:t>达标性判定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59" w:type="dxa"/>
                  <w:vMerge w:val="continue"/>
                  <w:tcBorders>
                    <w:top w:val="nil"/>
                  </w:tcBorders>
                  <w:vAlign w:val="top"/>
                </w:tcPr>
                <w:p>
                  <w:pPr>
                    <w:rPr>
                      <w:rFonts w:ascii="Arial"/>
                      <w:sz w:val="21"/>
                    </w:rPr>
                  </w:pPr>
                </w:p>
              </w:tc>
              <w:tc>
                <w:tcPr>
                  <w:tcW w:w="499" w:type="dxa"/>
                  <w:textDirection w:val="tbRlV"/>
                  <w:vAlign w:val="top"/>
                </w:tcPr>
                <w:p>
                  <w:pPr>
                    <w:pStyle w:val="6"/>
                    <w:spacing w:before="157" w:line="211" w:lineRule="auto"/>
                    <w:ind w:left="27"/>
                    <w:rPr>
                      <w:sz w:val="18"/>
                      <w:szCs w:val="18"/>
                    </w:rPr>
                  </w:pPr>
                  <w:r>
                    <w:rPr>
                      <w:spacing w:val="26"/>
                      <w:sz w:val="18"/>
                      <w:szCs w:val="18"/>
                    </w:rPr>
                    <w:t>昼间</w:t>
                  </w:r>
                </w:p>
              </w:tc>
              <w:tc>
                <w:tcPr>
                  <w:tcW w:w="504" w:type="dxa"/>
                  <w:textDirection w:val="tbRlV"/>
                  <w:vAlign w:val="top"/>
                </w:tcPr>
                <w:p>
                  <w:pPr>
                    <w:pStyle w:val="6"/>
                    <w:spacing w:before="159" w:line="205" w:lineRule="auto"/>
                    <w:ind w:left="27"/>
                    <w:rPr>
                      <w:sz w:val="18"/>
                      <w:szCs w:val="18"/>
                    </w:rPr>
                  </w:pPr>
                  <w:r>
                    <w:rPr>
                      <w:spacing w:val="26"/>
                      <w:sz w:val="18"/>
                      <w:szCs w:val="18"/>
                    </w:rPr>
                    <w:t>夜间</w:t>
                  </w:r>
                </w:p>
              </w:tc>
              <w:tc>
                <w:tcPr>
                  <w:tcW w:w="415" w:type="dxa"/>
                  <w:textDirection w:val="tbRlV"/>
                  <w:vAlign w:val="top"/>
                </w:tcPr>
                <w:p>
                  <w:pPr>
                    <w:pStyle w:val="6"/>
                    <w:spacing w:before="116" w:line="211" w:lineRule="auto"/>
                    <w:ind w:left="27"/>
                    <w:rPr>
                      <w:sz w:val="18"/>
                      <w:szCs w:val="18"/>
                    </w:rPr>
                  </w:pPr>
                  <w:r>
                    <w:rPr>
                      <w:spacing w:val="26"/>
                      <w:sz w:val="18"/>
                      <w:szCs w:val="18"/>
                    </w:rPr>
                    <w:t>昼间</w:t>
                  </w:r>
                </w:p>
              </w:tc>
              <w:tc>
                <w:tcPr>
                  <w:tcW w:w="425" w:type="dxa"/>
                  <w:textDirection w:val="tbRlV"/>
                  <w:vAlign w:val="top"/>
                </w:tcPr>
                <w:p>
                  <w:pPr>
                    <w:pStyle w:val="6"/>
                    <w:spacing w:before="120" w:line="205" w:lineRule="auto"/>
                    <w:ind w:left="27"/>
                    <w:rPr>
                      <w:sz w:val="18"/>
                      <w:szCs w:val="18"/>
                    </w:rPr>
                  </w:pPr>
                  <w:r>
                    <w:rPr>
                      <w:spacing w:val="26"/>
                      <w:sz w:val="18"/>
                      <w:szCs w:val="18"/>
                    </w:rPr>
                    <w:t>夜间</w:t>
                  </w:r>
                </w:p>
              </w:tc>
              <w:tc>
                <w:tcPr>
                  <w:tcW w:w="424" w:type="dxa"/>
                  <w:textDirection w:val="tbRlV"/>
                  <w:vAlign w:val="top"/>
                </w:tcPr>
                <w:p>
                  <w:pPr>
                    <w:pStyle w:val="6"/>
                    <w:spacing w:before="120" w:line="211" w:lineRule="auto"/>
                    <w:ind w:left="27"/>
                    <w:rPr>
                      <w:sz w:val="18"/>
                      <w:szCs w:val="18"/>
                    </w:rPr>
                  </w:pPr>
                  <w:r>
                    <w:rPr>
                      <w:spacing w:val="26"/>
                      <w:sz w:val="18"/>
                      <w:szCs w:val="18"/>
                    </w:rPr>
                    <w:t>昼间</w:t>
                  </w:r>
                </w:p>
              </w:tc>
              <w:tc>
                <w:tcPr>
                  <w:tcW w:w="427" w:type="dxa"/>
                  <w:textDirection w:val="tbRlV"/>
                  <w:vAlign w:val="top"/>
                </w:tcPr>
                <w:p>
                  <w:pPr>
                    <w:pStyle w:val="6"/>
                    <w:spacing w:before="119" w:line="205" w:lineRule="auto"/>
                    <w:ind w:left="27"/>
                    <w:rPr>
                      <w:sz w:val="18"/>
                      <w:szCs w:val="18"/>
                    </w:rPr>
                  </w:pPr>
                  <w:r>
                    <w:rPr>
                      <w:spacing w:val="26"/>
                      <w:sz w:val="18"/>
                      <w:szCs w:val="18"/>
                    </w:rPr>
                    <w:t>夜间</w:t>
                  </w:r>
                </w:p>
              </w:tc>
              <w:tc>
                <w:tcPr>
                  <w:tcW w:w="707" w:type="dxa"/>
                  <w:vAlign w:val="top"/>
                </w:tcPr>
                <w:p>
                  <w:pPr>
                    <w:pStyle w:val="6"/>
                    <w:spacing w:before="145" w:line="222" w:lineRule="auto"/>
                    <w:ind w:left="176"/>
                    <w:rPr>
                      <w:sz w:val="18"/>
                      <w:szCs w:val="18"/>
                    </w:rPr>
                  </w:pPr>
                  <w:r>
                    <w:rPr>
                      <w:spacing w:val="-2"/>
                      <w:sz w:val="18"/>
                      <w:szCs w:val="18"/>
                    </w:rPr>
                    <w:t>昼间</w:t>
                  </w:r>
                </w:p>
              </w:tc>
              <w:tc>
                <w:tcPr>
                  <w:tcW w:w="708" w:type="dxa"/>
                  <w:vAlign w:val="top"/>
                </w:tcPr>
                <w:p>
                  <w:pPr>
                    <w:pStyle w:val="6"/>
                    <w:spacing w:before="144" w:line="220" w:lineRule="auto"/>
                    <w:ind w:left="181"/>
                    <w:rPr>
                      <w:sz w:val="18"/>
                      <w:szCs w:val="18"/>
                    </w:rPr>
                  </w:pPr>
                  <w:r>
                    <w:rPr>
                      <w:spacing w:val="-3"/>
                      <w:sz w:val="18"/>
                      <w:szCs w:val="18"/>
                    </w:rPr>
                    <w:t>夜间</w:t>
                  </w:r>
                </w:p>
              </w:tc>
              <w:tc>
                <w:tcPr>
                  <w:tcW w:w="710" w:type="dxa"/>
                  <w:vAlign w:val="top"/>
                </w:tcPr>
                <w:p>
                  <w:pPr>
                    <w:pStyle w:val="6"/>
                    <w:spacing w:before="145" w:line="222" w:lineRule="auto"/>
                    <w:ind w:left="178"/>
                    <w:rPr>
                      <w:sz w:val="18"/>
                      <w:szCs w:val="18"/>
                    </w:rPr>
                  </w:pPr>
                  <w:r>
                    <w:rPr>
                      <w:spacing w:val="-2"/>
                      <w:sz w:val="18"/>
                      <w:szCs w:val="18"/>
                    </w:rPr>
                    <w:t>昼间</w:t>
                  </w:r>
                </w:p>
              </w:tc>
              <w:tc>
                <w:tcPr>
                  <w:tcW w:w="708" w:type="dxa"/>
                  <w:vAlign w:val="top"/>
                </w:tcPr>
                <w:p>
                  <w:pPr>
                    <w:pStyle w:val="6"/>
                    <w:spacing w:before="144" w:line="220" w:lineRule="auto"/>
                    <w:ind w:left="182"/>
                    <w:rPr>
                      <w:sz w:val="18"/>
                      <w:szCs w:val="18"/>
                    </w:rPr>
                  </w:pPr>
                  <w:r>
                    <w:rPr>
                      <w:spacing w:val="-3"/>
                      <w:sz w:val="18"/>
                      <w:szCs w:val="18"/>
                    </w:rPr>
                    <w:t>夜间</w:t>
                  </w:r>
                </w:p>
              </w:tc>
              <w:tc>
                <w:tcPr>
                  <w:tcW w:w="708" w:type="dxa"/>
                  <w:vAlign w:val="top"/>
                </w:tcPr>
                <w:p>
                  <w:pPr>
                    <w:pStyle w:val="6"/>
                    <w:spacing w:before="145" w:line="222" w:lineRule="auto"/>
                    <w:ind w:left="178"/>
                    <w:rPr>
                      <w:sz w:val="18"/>
                      <w:szCs w:val="18"/>
                    </w:rPr>
                  </w:pPr>
                  <w:r>
                    <w:rPr>
                      <w:spacing w:val="-2"/>
                      <w:sz w:val="18"/>
                      <w:szCs w:val="18"/>
                    </w:rPr>
                    <w:t>昼间</w:t>
                  </w:r>
                </w:p>
              </w:tc>
              <w:tc>
                <w:tcPr>
                  <w:tcW w:w="567" w:type="dxa"/>
                  <w:textDirection w:val="tbRlV"/>
                  <w:vAlign w:val="top"/>
                </w:tcPr>
                <w:p>
                  <w:pPr>
                    <w:pStyle w:val="6"/>
                    <w:spacing w:before="190" w:line="205" w:lineRule="auto"/>
                    <w:ind w:left="27"/>
                    <w:rPr>
                      <w:sz w:val="18"/>
                      <w:szCs w:val="18"/>
                    </w:rPr>
                  </w:pPr>
                  <w:r>
                    <w:rPr>
                      <w:spacing w:val="26"/>
                      <w:sz w:val="18"/>
                      <w:szCs w:val="18"/>
                    </w:rPr>
                    <w:t>夜间</w:t>
                  </w:r>
                </w:p>
              </w:tc>
              <w:tc>
                <w:tcPr>
                  <w:tcW w:w="710" w:type="dxa"/>
                  <w:vAlign w:val="top"/>
                </w:tcPr>
                <w:p>
                  <w:pPr>
                    <w:pStyle w:val="6"/>
                    <w:spacing w:before="145" w:line="222" w:lineRule="auto"/>
                    <w:ind w:left="181"/>
                    <w:rPr>
                      <w:sz w:val="18"/>
                      <w:szCs w:val="18"/>
                    </w:rPr>
                  </w:pPr>
                  <w:r>
                    <w:rPr>
                      <w:spacing w:val="-2"/>
                      <w:sz w:val="18"/>
                      <w:szCs w:val="18"/>
                    </w:rPr>
                    <w:t>昼间</w:t>
                  </w:r>
                </w:p>
              </w:tc>
              <w:tc>
                <w:tcPr>
                  <w:tcW w:w="698" w:type="dxa"/>
                  <w:vAlign w:val="top"/>
                </w:tcPr>
                <w:p>
                  <w:pPr>
                    <w:pStyle w:val="6"/>
                    <w:spacing w:before="144" w:line="220" w:lineRule="auto"/>
                    <w:ind w:left="175"/>
                    <w:rPr>
                      <w:sz w:val="18"/>
                      <w:szCs w:val="18"/>
                    </w:rPr>
                  </w:pPr>
                  <w:r>
                    <w:rPr>
                      <w:spacing w:val="-3"/>
                      <w:sz w:val="18"/>
                      <w:szCs w:val="18"/>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59" w:type="dxa"/>
                  <w:vAlign w:val="top"/>
                </w:tcPr>
                <w:p>
                  <w:pPr>
                    <w:pStyle w:val="6"/>
                    <w:spacing w:before="83" w:line="220" w:lineRule="auto"/>
                    <w:ind w:left="121"/>
                    <w:rPr>
                      <w:sz w:val="18"/>
                      <w:szCs w:val="18"/>
                    </w:rPr>
                  </w:pPr>
                  <w:r>
                    <w:rPr>
                      <w:rFonts w:ascii="Times New Roman" w:hAnsi="Times New Roman" w:eastAsia="Times New Roman" w:cs="Times New Roman"/>
                      <w:spacing w:val="-1"/>
                      <w:sz w:val="18"/>
                      <w:szCs w:val="18"/>
                    </w:rPr>
                    <w:t>2#</w:t>
                  </w:r>
                  <w:r>
                    <w:rPr>
                      <w:spacing w:val="-1"/>
                      <w:sz w:val="18"/>
                      <w:szCs w:val="18"/>
                    </w:rPr>
                    <w:t>居民点</w:t>
                  </w:r>
                </w:p>
              </w:tc>
              <w:tc>
                <w:tcPr>
                  <w:tcW w:w="499" w:type="dxa"/>
                  <w:vAlign w:val="top"/>
                </w:tcPr>
                <w:p>
                  <w:pPr>
                    <w:spacing w:before="120" w:line="183"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504" w:type="dxa"/>
                  <w:vAlign w:val="top"/>
                </w:tcPr>
                <w:p>
                  <w:pPr>
                    <w:spacing w:before="118" w:line="186"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15" w:type="dxa"/>
                  <w:vAlign w:val="top"/>
                </w:tcPr>
                <w:p>
                  <w:pPr>
                    <w:spacing w:before="118" w:line="186"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425" w:type="dxa"/>
                  <w:vAlign w:val="top"/>
                </w:tcPr>
                <w:p>
                  <w:pPr>
                    <w:spacing w:before="118" w:line="186"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424" w:type="dxa"/>
                  <w:vAlign w:val="top"/>
                </w:tcPr>
                <w:p>
                  <w:pPr>
                    <w:spacing w:before="118" w:line="186"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7" w:type="dxa"/>
                  <w:vAlign w:val="top"/>
                </w:tcPr>
                <w:p>
                  <w:pPr>
                    <w:spacing w:before="118" w:line="186"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707" w:type="dxa"/>
                  <w:vAlign w:val="top"/>
                </w:tcPr>
                <w:p>
                  <w:pPr>
                    <w:spacing w:before="118" w:line="186" w:lineRule="auto"/>
                    <w:ind w:left="1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43.88</w:t>
                  </w:r>
                </w:p>
              </w:tc>
              <w:tc>
                <w:tcPr>
                  <w:tcW w:w="708" w:type="dxa"/>
                  <w:vAlign w:val="top"/>
                </w:tcPr>
                <w:p>
                  <w:pPr>
                    <w:spacing w:before="118" w:line="186"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43.88</w:t>
                  </w:r>
                </w:p>
              </w:tc>
              <w:tc>
                <w:tcPr>
                  <w:tcW w:w="710" w:type="dxa"/>
                  <w:vAlign w:val="top"/>
                </w:tcPr>
                <w:p>
                  <w:pPr>
                    <w:spacing w:before="118"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55.32</w:t>
                  </w:r>
                </w:p>
              </w:tc>
              <w:tc>
                <w:tcPr>
                  <w:tcW w:w="708" w:type="dxa"/>
                  <w:vAlign w:val="top"/>
                </w:tcPr>
                <w:p>
                  <w:pPr>
                    <w:spacing w:before="118" w:line="186"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46.95</w:t>
                  </w:r>
                </w:p>
              </w:tc>
              <w:tc>
                <w:tcPr>
                  <w:tcW w:w="708" w:type="dxa"/>
                  <w:vAlign w:val="top"/>
                </w:tcPr>
                <w:p>
                  <w:pPr>
                    <w:spacing w:before="118" w:line="186"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0.32</w:t>
                  </w:r>
                </w:p>
              </w:tc>
              <w:tc>
                <w:tcPr>
                  <w:tcW w:w="567" w:type="dxa"/>
                  <w:vAlign w:val="top"/>
                </w:tcPr>
                <w:p>
                  <w:pPr>
                    <w:spacing w:before="118"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2.95</w:t>
                  </w:r>
                </w:p>
              </w:tc>
              <w:tc>
                <w:tcPr>
                  <w:tcW w:w="710" w:type="dxa"/>
                  <w:vAlign w:val="top"/>
                </w:tcPr>
                <w:p>
                  <w:pPr>
                    <w:pStyle w:val="6"/>
                    <w:spacing w:before="83" w:line="220" w:lineRule="auto"/>
                    <w:ind w:left="181"/>
                    <w:rPr>
                      <w:sz w:val="18"/>
                      <w:szCs w:val="18"/>
                    </w:rPr>
                  </w:pPr>
                  <w:r>
                    <w:rPr>
                      <w:spacing w:val="-2"/>
                      <w:sz w:val="18"/>
                      <w:szCs w:val="18"/>
                    </w:rPr>
                    <w:t>达标</w:t>
                  </w:r>
                </w:p>
              </w:tc>
              <w:tc>
                <w:tcPr>
                  <w:tcW w:w="698" w:type="dxa"/>
                  <w:vAlign w:val="top"/>
                </w:tcPr>
                <w:p>
                  <w:pPr>
                    <w:pStyle w:val="6"/>
                    <w:spacing w:before="83" w:line="220" w:lineRule="auto"/>
                    <w:ind w:left="171"/>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Align w:val="top"/>
                </w:tcPr>
                <w:p>
                  <w:pPr>
                    <w:pStyle w:val="6"/>
                    <w:spacing w:before="87" w:line="220" w:lineRule="auto"/>
                    <w:ind w:left="124"/>
                    <w:rPr>
                      <w:sz w:val="18"/>
                      <w:szCs w:val="18"/>
                    </w:rPr>
                  </w:pPr>
                  <w:r>
                    <w:rPr>
                      <w:rFonts w:ascii="Times New Roman" w:hAnsi="Times New Roman" w:eastAsia="Times New Roman" w:cs="Times New Roman"/>
                      <w:spacing w:val="-1"/>
                      <w:sz w:val="18"/>
                      <w:szCs w:val="18"/>
                    </w:rPr>
                    <w:t>3#</w:t>
                  </w:r>
                  <w:r>
                    <w:rPr>
                      <w:spacing w:val="-1"/>
                      <w:sz w:val="18"/>
                      <w:szCs w:val="18"/>
                    </w:rPr>
                    <w:t>居民点</w:t>
                  </w:r>
                </w:p>
              </w:tc>
              <w:tc>
                <w:tcPr>
                  <w:tcW w:w="499" w:type="dxa"/>
                  <w:vAlign w:val="top"/>
                </w:tcPr>
                <w:p>
                  <w:pPr>
                    <w:spacing w:before="122" w:line="183"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504" w:type="dxa"/>
                  <w:vAlign w:val="top"/>
                </w:tcPr>
                <w:p>
                  <w:pPr>
                    <w:spacing w:before="120" w:line="186"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15" w:type="dxa"/>
                  <w:vAlign w:val="top"/>
                </w:tcPr>
                <w:p>
                  <w:pPr>
                    <w:spacing w:before="120" w:line="186"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425" w:type="dxa"/>
                  <w:vAlign w:val="top"/>
                </w:tcPr>
                <w:p>
                  <w:pPr>
                    <w:spacing w:before="120" w:line="186"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424" w:type="dxa"/>
                  <w:vAlign w:val="top"/>
                </w:tcPr>
                <w:p>
                  <w:pPr>
                    <w:spacing w:before="120" w:line="186"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7" w:type="dxa"/>
                  <w:vAlign w:val="top"/>
                </w:tcPr>
                <w:p>
                  <w:pPr>
                    <w:spacing w:before="120" w:line="186"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707" w:type="dxa"/>
                  <w:vAlign w:val="top"/>
                </w:tcPr>
                <w:p>
                  <w:pPr>
                    <w:spacing w:before="120" w:line="186" w:lineRule="auto"/>
                    <w:ind w:left="1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44.27</w:t>
                  </w:r>
                </w:p>
              </w:tc>
              <w:tc>
                <w:tcPr>
                  <w:tcW w:w="708" w:type="dxa"/>
                  <w:vAlign w:val="top"/>
                </w:tcPr>
                <w:p>
                  <w:pPr>
                    <w:spacing w:before="120" w:line="186"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44.27</w:t>
                  </w:r>
                </w:p>
              </w:tc>
              <w:tc>
                <w:tcPr>
                  <w:tcW w:w="710" w:type="dxa"/>
                  <w:vAlign w:val="top"/>
                </w:tcPr>
                <w:p>
                  <w:pPr>
                    <w:spacing w:before="120"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55.35</w:t>
                  </w:r>
                </w:p>
              </w:tc>
              <w:tc>
                <w:tcPr>
                  <w:tcW w:w="708" w:type="dxa"/>
                  <w:vAlign w:val="top"/>
                </w:tcPr>
                <w:p>
                  <w:pPr>
                    <w:spacing w:before="120" w:line="186"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47.15</w:t>
                  </w:r>
                </w:p>
              </w:tc>
              <w:tc>
                <w:tcPr>
                  <w:tcW w:w="708" w:type="dxa"/>
                  <w:vAlign w:val="top"/>
                </w:tcPr>
                <w:p>
                  <w:pPr>
                    <w:spacing w:before="120" w:line="186"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0.35</w:t>
                  </w:r>
                </w:p>
              </w:tc>
              <w:tc>
                <w:tcPr>
                  <w:tcW w:w="567" w:type="dxa"/>
                  <w:vAlign w:val="top"/>
                </w:tcPr>
                <w:p>
                  <w:pPr>
                    <w:spacing w:before="120" w:line="186"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3.15</w:t>
                  </w:r>
                </w:p>
              </w:tc>
              <w:tc>
                <w:tcPr>
                  <w:tcW w:w="710" w:type="dxa"/>
                  <w:vAlign w:val="top"/>
                </w:tcPr>
                <w:p>
                  <w:pPr>
                    <w:pStyle w:val="6"/>
                    <w:spacing w:before="87" w:line="220" w:lineRule="auto"/>
                    <w:ind w:left="181"/>
                    <w:rPr>
                      <w:sz w:val="18"/>
                      <w:szCs w:val="18"/>
                    </w:rPr>
                  </w:pPr>
                  <w:r>
                    <w:rPr>
                      <w:spacing w:val="-2"/>
                      <w:sz w:val="18"/>
                      <w:szCs w:val="18"/>
                    </w:rPr>
                    <w:t>达标</w:t>
                  </w:r>
                </w:p>
              </w:tc>
              <w:tc>
                <w:tcPr>
                  <w:tcW w:w="698" w:type="dxa"/>
                  <w:vAlign w:val="top"/>
                </w:tcPr>
                <w:p>
                  <w:pPr>
                    <w:pStyle w:val="6"/>
                    <w:spacing w:before="87" w:line="220" w:lineRule="auto"/>
                    <w:ind w:left="171"/>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59" w:type="dxa"/>
                  <w:vAlign w:val="top"/>
                </w:tcPr>
                <w:p>
                  <w:pPr>
                    <w:pStyle w:val="6"/>
                    <w:spacing w:before="88" w:line="220" w:lineRule="auto"/>
                    <w:ind w:left="128"/>
                    <w:rPr>
                      <w:sz w:val="18"/>
                      <w:szCs w:val="18"/>
                    </w:rPr>
                  </w:pPr>
                  <w:r>
                    <w:rPr>
                      <w:rFonts w:ascii="Times New Roman" w:hAnsi="Times New Roman" w:eastAsia="Times New Roman" w:cs="Times New Roman"/>
                      <w:spacing w:val="-2"/>
                      <w:sz w:val="18"/>
                      <w:szCs w:val="18"/>
                    </w:rPr>
                    <w:t>8#</w:t>
                  </w:r>
                  <w:r>
                    <w:rPr>
                      <w:spacing w:val="-2"/>
                      <w:sz w:val="18"/>
                      <w:szCs w:val="18"/>
                    </w:rPr>
                    <w:t>居民点</w:t>
                  </w:r>
                </w:p>
              </w:tc>
              <w:tc>
                <w:tcPr>
                  <w:tcW w:w="499" w:type="dxa"/>
                  <w:vAlign w:val="top"/>
                </w:tcPr>
                <w:p>
                  <w:pPr>
                    <w:spacing w:before="124" w:line="183"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504" w:type="dxa"/>
                  <w:vAlign w:val="top"/>
                </w:tcPr>
                <w:p>
                  <w:pPr>
                    <w:spacing w:before="121" w:line="186"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15" w:type="dxa"/>
                  <w:vAlign w:val="top"/>
                </w:tcPr>
                <w:p>
                  <w:pPr>
                    <w:spacing w:before="121" w:line="186"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425" w:type="dxa"/>
                  <w:vAlign w:val="top"/>
                </w:tcPr>
                <w:p>
                  <w:pPr>
                    <w:spacing w:before="121" w:line="186"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424" w:type="dxa"/>
                  <w:vAlign w:val="top"/>
                </w:tcPr>
                <w:p>
                  <w:pPr>
                    <w:spacing w:before="121" w:line="186"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7" w:type="dxa"/>
                  <w:vAlign w:val="top"/>
                </w:tcPr>
                <w:p>
                  <w:pPr>
                    <w:spacing w:before="121" w:line="186"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707" w:type="dxa"/>
                  <w:vAlign w:val="top"/>
                </w:tcPr>
                <w:p>
                  <w:pPr>
                    <w:spacing w:before="121" w:line="186" w:lineRule="auto"/>
                    <w:ind w:left="1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44.74</w:t>
                  </w:r>
                </w:p>
              </w:tc>
              <w:tc>
                <w:tcPr>
                  <w:tcW w:w="708" w:type="dxa"/>
                  <w:vAlign w:val="top"/>
                </w:tcPr>
                <w:p>
                  <w:pPr>
                    <w:spacing w:before="121" w:line="186"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44.74</w:t>
                  </w:r>
                </w:p>
              </w:tc>
              <w:tc>
                <w:tcPr>
                  <w:tcW w:w="710" w:type="dxa"/>
                  <w:vAlign w:val="top"/>
                </w:tcPr>
                <w:p>
                  <w:pPr>
                    <w:spacing w:before="121" w:line="186"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55.39</w:t>
                  </w:r>
                </w:p>
              </w:tc>
              <w:tc>
                <w:tcPr>
                  <w:tcW w:w="708" w:type="dxa"/>
                  <w:vAlign w:val="top"/>
                </w:tcPr>
                <w:p>
                  <w:pPr>
                    <w:spacing w:before="121" w:line="186"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47.40</w:t>
                  </w:r>
                </w:p>
              </w:tc>
              <w:tc>
                <w:tcPr>
                  <w:tcW w:w="708" w:type="dxa"/>
                  <w:vAlign w:val="top"/>
                </w:tcPr>
                <w:p>
                  <w:pPr>
                    <w:spacing w:before="121" w:line="186"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0.39</w:t>
                  </w:r>
                </w:p>
              </w:tc>
              <w:tc>
                <w:tcPr>
                  <w:tcW w:w="567" w:type="dxa"/>
                  <w:vAlign w:val="top"/>
                </w:tcPr>
                <w:p>
                  <w:pPr>
                    <w:spacing w:before="121"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c>
                <w:tcPr>
                  <w:tcW w:w="710" w:type="dxa"/>
                  <w:vAlign w:val="top"/>
                </w:tcPr>
                <w:p>
                  <w:pPr>
                    <w:pStyle w:val="6"/>
                    <w:spacing w:before="88" w:line="220" w:lineRule="auto"/>
                    <w:ind w:left="181"/>
                    <w:rPr>
                      <w:sz w:val="18"/>
                      <w:szCs w:val="18"/>
                    </w:rPr>
                  </w:pPr>
                  <w:r>
                    <w:rPr>
                      <w:spacing w:val="-2"/>
                      <w:sz w:val="18"/>
                      <w:szCs w:val="18"/>
                    </w:rPr>
                    <w:t>达标</w:t>
                  </w:r>
                </w:p>
              </w:tc>
              <w:tc>
                <w:tcPr>
                  <w:tcW w:w="698" w:type="dxa"/>
                  <w:vAlign w:val="top"/>
                </w:tcPr>
                <w:p>
                  <w:pPr>
                    <w:pStyle w:val="6"/>
                    <w:spacing w:before="88" w:line="220" w:lineRule="auto"/>
                    <w:ind w:left="171"/>
                    <w:rPr>
                      <w:sz w:val="18"/>
                      <w:szCs w:val="18"/>
                    </w:rPr>
                  </w:pPr>
                  <w:r>
                    <w:rPr>
                      <w:spacing w:val="-2"/>
                      <w:sz w:val="18"/>
                      <w:szCs w:val="18"/>
                    </w:rPr>
                    <w:t>达标</w:t>
                  </w:r>
                </w:p>
              </w:tc>
            </w:tr>
          </w:tbl>
          <w:p>
            <w:pPr>
              <w:spacing w:line="14" w:lineRule="auto"/>
              <w:rPr>
                <w:rFonts w:ascii="Arial"/>
                <w:sz w:val="2"/>
              </w:rPr>
            </w:pPr>
          </w:p>
        </w:tc>
      </w:tr>
    </w:tbl>
    <w:p>
      <w:pPr>
        <w:pStyle w:val="2"/>
        <w:rPr>
          <w:sz w:val="21"/>
        </w:rPr>
      </w:pPr>
    </w:p>
    <w:p>
      <w:pPr>
        <w:rPr>
          <w:sz w:val="21"/>
          <w:szCs w:val="21"/>
        </w:rPr>
        <w:sectPr>
          <w:footerReference r:id="rId106"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7"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spacing w:before="4" w:line="5868" w:lineRule="exact"/>
              <w:ind w:firstLine="564"/>
            </w:pPr>
            <w:r>
              <w:rPr>
                <w:position w:val="-117"/>
              </w:rPr>
              <w:drawing>
                <wp:inline distT="0" distB="0" distL="0" distR="0">
                  <wp:extent cx="5231130" cy="372618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22"/>
                          <a:stretch>
                            <a:fillRect/>
                          </a:stretch>
                        </pic:blipFill>
                        <pic:spPr>
                          <a:xfrm>
                            <a:off x="0" y="0"/>
                            <a:ext cx="5231764" cy="3726180"/>
                          </a:xfrm>
                          <a:prstGeom prst="rect">
                            <a:avLst/>
                          </a:prstGeom>
                        </pic:spPr>
                      </pic:pic>
                    </a:graphicData>
                  </a:graphic>
                </wp:inline>
              </w:drawing>
            </w:r>
          </w:p>
          <w:p>
            <w:pPr>
              <w:pStyle w:val="6"/>
              <w:spacing w:before="178" w:line="219" w:lineRule="auto"/>
              <w:ind w:left="1005"/>
              <w:rPr>
                <w:sz w:val="24"/>
                <w:szCs w:val="24"/>
              </w:rPr>
            </w:pPr>
            <w:r>
              <w:rPr>
                <w:sz w:val="24"/>
                <w:szCs w:val="24"/>
                <w14:textOutline w14:w="4354" w14:cap="flat" w14:cmpd="sng">
                  <w14:solidFill>
                    <w14:srgbClr w14:val="000000"/>
                  </w14:solidFill>
                  <w14:prstDash w14:val="solid"/>
                  <w14:miter w14:val="10"/>
                </w14:textOutline>
              </w:rPr>
              <w:t>图</w:t>
            </w:r>
            <w:r>
              <w:rPr>
                <w:spacing w:val="-52"/>
                <w:sz w:val="24"/>
                <w:szCs w:val="24"/>
              </w:rPr>
              <w:t xml:space="preserve"> </w:t>
            </w:r>
            <w:r>
              <w:rPr>
                <w:rFonts w:ascii="Times New Roman" w:hAnsi="Times New Roman" w:eastAsia="Times New Roman" w:cs="Times New Roman"/>
                <w:b/>
                <w:bCs/>
                <w:sz w:val="24"/>
                <w:szCs w:val="24"/>
              </w:rPr>
              <w:t xml:space="preserve">4.3-4  </w:t>
            </w:r>
            <w:r>
              <w:rPr>
                <w:sz w:val="24"/>
                <w:szCs w:val="24"/>
                <w14:textOutline w14:w="4354" w14:cap="flat" w14:cmpd="sng">
                  <w14:solidFill>
                    <w14:srgbClr w14:val="000000"/>
                  </w14:solidFill>
                  <w14:prstDash w14:val="solid"/>
                  <w14:miter w14:val="10"/>
                </w14:textOutline>
              </w:rPr>
              <w:t>市政供电情况下环境保护</w:t>
            </w:r>
            <w:r>
              <w:rPr>
                <w:spacing w:val="-1"/>
                <w:sz w:val="24"/>
                <w:szCs w:val="24"/>
                <w14:textOutline w14:w="4354" w14:cap="flat" w14:cmpd="sng">
                  <w14:solidFill>
                    <w14:srgbClr w14:val="000000"/>
                  </w14:solidFill>
                  <w14:prstDash w14:val="solid"/>
                  <w14:miter w14:val="10"/>
                </w14:textOutline>
              </w:rPr>
              <w:t>目标处昼间等效噪声预测等声值线图</w:t>
            </w:r>
          </w:p>
          <w:p>
            <w:pPr>
              <w:spacing w:before="17" w:line="5887" w:lineRule="exact"/>
              <w:ind w:firstLine="545"/>
            </w:pPr>
            <w:r>
              <w:rPr>
                <w:position w:val="-117"/>
              </w:rPr>
              <w:drawing>
                <wp:inline distT="0" distB="0" distL="0" distR="0">
                  <wp:extent cx="5256530" cy="373761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23"/>
                          <a:stretch>
                            <a:fillRect/>
                          </a:stretch>
                        </pic:blipFill>
                        <pic:spPr>
                          <a:xfrm>
                            <a:off x="0" y="0"/>
                            <a:ext cx="5256530" cy="3738244"/>
                          </a:xfrm>
                          <a:prstGeom prst="rect">
                            <a:avLst/>
                          </a:prstGeom>
                        </pic:spPr>
                      </pic:pic>
                    </a:graphicData>
                  </a:graphic>
                </wp:inline>
              </w:drawing>
            </w:r>
          </w:p>
          <w:p>
            <w:pPr>
              <w:pStyle w:val="6"/>
              <w:spacing w:before="182" w:line="480" w:lineRule="exact"/>
              <w:ind w:left="1005"/>
              <w:rPr>
                <w:sz w:val="24"/>
                <w:szCs w:val="24"/>
              </w:rPr>
            </w:pPr>
            <w:r>
              <w:rPr>
                <w:position w:val="18"/>
                <w:sz w:val="24"/>
                <w:szCs w:val="24"/>
                <w14:textOutline w14:w="4354" w14:cap="flat" w14:cmpd="sng">
                  <w14:solidFill>
                    <w14:srgbClr w14:val="000000"/>
                  </w14:solidFill>
                  <w14:prstDash w14:val="solid"/>
                  <w14:miter w14:val="10"/>
                </w14:textOutline>
              </w:rPr>
              <w:t>图</w:t>
            </w:r>
            <w:r>
              <w:rPr>
                <w:spacing w:val="-52"/>
                <w:position w:val="18"/>
                <w:sz w:val="24"/>
                <w:szCs w:val="24"/>
              </w:rPr>
              <w:t xml:space="preserve"> </w:t>
            </w:r>
            <w:r>
              <w:rPr>
                <w:rFonts w:ascii="Times New Roman" w:hAnsi="Times New Roman" w:eastAsia="Times New Roman" w:cs="Times New Roman"/>
                <w:b/>
                <w:bCs/>
                <w:position w:val="18"/>
                <w:sz w:val="24"/>
                <w:szCs w:val="24"/>
              </w:rPr>
              <w:t xml:space="preserve">4.3-5  </w:t>
            </w:r>
            <w:r>
              <w:rPr>
                <w:position w:val="18"/>
                <w:sz w:val="24"/>
                <w:szCs w:val="24"/>
                <w14:textOutline w14:w="4354" w14:cap="flat" w14:cmpd="sng">
                  <w14:solidFill>
                    <w14:srgbClr w14:val="000000"/>
                  </w14:solidFill>
                  <w14:prstDash w14:val="solid"/>
                  <w14:miter w14:val="10"/>
                </w14:textOutline>
              </w:rPr>
              <w:t>市政供电情况下环境保护</w:t>
            </w:r>
            <w:r>
              <w:rPr>
                <w:spacing w:val="-1"/>
                <w:position w:val="18"/>
                <w:sz w:val="24"/>
                <w:szCs w:val="24"/>
                <w14:textOutline w14:w="4354" w14:cap="flat" w14:cmpd="sng">
                  <w14:solidFill>
                    <w14:srgbClr w14:val="000000"/>
                  </w14:solidFill>
                  <w14:prstDash w14:val="solid"/>
                  <w14:miter w14:val="10"/>
                </w14:textOutline>
              </w:rPr>
              <w:t>目标处夜间等效噪声预测等声值线图</w:t>
            </w:r>
          </w:p>
          <w:p>
            <w:pPr>
              <w:pStyle w:val="6"/>
              <w:spacing w:line="232" w:lineRule="auto"/>
              <w:ind w:left="586"/>
              <w:rPr>
                <w:sz w:val="24"/>
                <w:szCs w:val="24"/>
              </w:rPr>
            </w:pPr>
            <w:r>
              <w:rPr>
                <w:rFonts w:ascii="Times New Roman" w:hAnsi="Times New Roman" w:eastAsia="Times New Roman" w:cs="Times New Roman"/>
                <w:b/>
                <w:bCs/>
                <w:sz w:val="24"/>
                <w:szCs w:val="24"/>
              </w:rPr>
              <w:t>B.</w:t>
            </w:r>
            <w:r>
              <w:rPr>
                <w:sz w:val="24"/>
                <w:szCs w:val="24"/>
                <w14:textOutline w14:w="4354" w14:cap="flat" w14:cmpd="sng">
                  <w14:solidFill>
                    <w14:srgbClr w14:val="000000"/>
                  </w14:solidFill>
                  <w14:prstDash w14:val="solid"/>
                  <w14:miter w14:val="10"/>
                </w14:textOutline>
              </w:rPr>
              <w:t>柴油发电机组供电情况下环境保护目标处噪声预测</w:t>
            </w:r>
          </w:p>
          <w:p>
            <w:pPr>
              <w:pStyle w:val="6"/>
              <w:spacing w:before="177" w:line="219" w:lineRule="auto"/>
              <w:ind w:left="588"/>
              <w:rPr>
                <w:sz w:val="24"/>
                <w:szCs w:val="24"/>
              </w:rPr>
            </w:pPr>
            <w:r>
              <w:rPr>
                <w:spacing w:val="-2"/>
                <w:sz w:val="24"/>
                <w:szCs w:val="24"/>
              </w:rPr>
              <w:t>柴油发电机组供电情况下环境保护目标处噪声预测值见下表。</w:t>
            </w:r>
          </w:p>
        </w:tc>
      </w:tr>
    </w:tbl>
    <w:p>
      <w:pPr>
        <w:pStyle w:val="2"/>
        <w:rPr>
          <w:sz w:val="21"/>
        </w:rPr>
      </w:pPr>
    </w:p>
    <w:p>
      <w:pPr>
        <w:rPr>
          <w:sz w:val="21"/>
          <w:szCs w:val="21"/>
        </w:rPr>
        <w:sectPr>
          <w:footerReference r:id="rId107"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5" w:hRule="atLeast"/>
        </w:trPr>
        <w:tc>
          <w:tcPr>
            <w:tcW w:w="465" w:type="dxa"/>
            <w:tcBorders>
              <w:bottom w:val="nil"/>
              <w:right w:val="single" w:color="000000" w:sz="2" w:space="0"/>
            </w:tcBorders>
            <w:vAlign w:val="top"/>
          </w:tcPr>
          <w:p>
            <w:pPr>
              <w:rPr>
                <w:rFonts w:ascii="Arial"/>
                <w:sz w:val="21"/>
              </w:rPr>
            </w:pPr>
          </w:p>
        </w:tc>
        <w:tc>
          <w:tcPr>
            <w:tcW w:w="9385" w:type="dxa"/>
            <w:tcBorders>
              <w:left w:val="single" w:color="000000" w:sz="2" w:space="0"/>
              <w:bottom w:val="nil"/>
            </w:tcBorders>
            <w:vAlign w:val="top"/>
          </w:tcPr>
          <w:p>
            <w:pPr>
              <w:pStyle w:val="6"/>
              <w:spacing w:before="181" w:line="219" w:lineRule="auto"/>
              <w:ind w:left="1161"/>
              <w:rPr>
                <w:sz w:val="24"/>
                <w:szCs w:val="24"/>
              </w:rPr>
            </w:pPr>
            <w:r>
              <w:rPr>
                <w:sz w:val="24"/>
                <w:szCs w:val="24"/>
                <w14:textOutline w14:w="4354" w14:cap="flat" w14:cmpd="sng">
                  <w14:solidFill>
                    <w14:srgbClr w14:val="000000"/>
                  </w14:solidFill>
                  <w14:prstDash w14:val="solid"/>
                  <w14:miter w14:val="10"/>
                </w14:textOutline>
              </w:rPr>
              <w:t>表</w:t>
            </w:r>
            <w:r>
              <w:rPr>
                <w:spacing w:val="-44"/>
                <w:sz w:val="24"/>
                <w:szCs w:val="24"/>
              </w:rPr>
              <w:t xml:space="preserve"> </w:t>
            </w:r>
            <w:r>
              <w:rPr>
                <w:rFonts w:ascii="Times New Roman" w:hAnsi="Times New Roman" w:eastAsia="Times New Roman" w:cs="Times New Roman"/>
                <w:b/>
                <w:bCs/>
                <w:sz w:val="24"/>
                <w:szCs w:val="24"/>
              </w:rPr>
              <w:t xml:space="preserve">4.3-10  </w:t>
            </w:r>
            <w:r>
              <w:rPr>
                <w:sz w:val="24"/>
                <w:szCs w:val="24"/>
                <w14:textOutline w14:w="4354" w14:cap="flat" w14:cmpd="sng">
                  <w14:solidFill>
                    <w14:srgbClr w14:val="000000"/>
                  </w14:solidFill>
                  <w14:prstDash w14:val="solid"/>
                  <w14:miter w14:val="10"/>
                </w14:textOutline>
              </w:rPr>
              <w:t>柴油发电机组供电情况下环境保护目标处噪声预测情况表</w:t>
            </w:r>
          </w:p>
          <w:p>
            <w:pPr>
              <w:spacing w:line="18"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648"/>
              <w:gridCol w:w="650"/>
              <w:gridCol w:w="651"/>
              <w:gridCol w:w="653"/>
              <w:gridCol w:w="422"/>
              <w:gridCol w:w="422"/>
              <w:gridCol w:w="688"/>
              <w:gridCol w:w="691"/>
              <w:gridCol w:w="689"/>
              <w:gridCol w:w="688"/>
              <w:gridCol w:w="650"/>
              <w:gridCol w:w="653"/>
              <w:gridCol w:w="427"/>
              <w:gridCol w:w="4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96" w:type="dxa"/>
                  <w:vMerge w:val="restart"/>
                  <w:tcBorders>
                    <w:bottom w:val="nil"/>
                  </w:tcBorders>
                  <w:vAlign w:val="top"/>
                </w:tcPr>
                <w:p>
                  <w:pPr>
                    <w:pStyle w:val="6"/>
                    <w:spacing w:before="153" w:line="233" w:lineRule="auto"/>
                    <w:ind w:left="132" w:right="126" w:firstLine="2"/>
                    <w:jc w:val="both"/>
                    <w:rPr>
                      <w:sz w:val="18"/>
                      <w:szCs w:val="18"/>
                    </w:rPr>
                  </w:pPr>
                  <w:r>
                    <w:rPr>
                      <w:spacing w:val="-4"/>
                      <w:sz w:val="18"/>
                      <w:szCs w:val="18"/>
                    </w:rPr>
                    <w:t>声环境</w:t>
                  </w:r>
                  <w:r>
                    <w:rPr>
                      <w:sz w:val="18"/>
                      <w:szCs w:val="18"/>
                    </w:rPr>
                    <w:t xml:space="preserve"> </w:t>
                  </w:r>
                  <w:r>
                    <w:rPr>
                      <w:spacing w:val="-3"/>
                      <w:sz w:val="18"/>
                      <w:szCs w:val="18"/>
                    </w:rPr>
                    <w:t>保护目</w:t>
                  </w:r>
                  <w:r>
                    <w:rPr>
                      <w:sz w:val="18"/>
                      <w:szCs w:val="18"/>
                    </w:rPr>
                    <w:t xml:space="preserve"> </w:t>
                  </w:r>
                  <w:r>
                    <w:rPr>
                      <w:spacing w:val="-3"/>
                      <w:sz w:val="18"/>
                      <w:szCs w:val="18"/>
                    </w:rPr>
                    <w:t>标名称</w:t>
                  </w:r>
                </w:p>
              </w:tc>
              <w:tc>
                <w:tcPr>
                  <w:tcW w:w="1298" w:type="dxa"/>
                  <w:gridSpan w:val="2"/>
                  <w:vAlign w:val="top"/>
                </w:tcPr>
                <w:p>
                  <w:pPr>
                    <w:pStyle w:val="6"/>
                    <w:spacing w:before="147" w:line="220" w:lineRule="auto"/>
                    <w:ind w:left="382"/>
                    <w:rPr>
                      <w:sz w:val="18"/>
                      <w:szCs w:val="18"/>
                    </w:rPr>
                  </w:pPr>
                  <w:r>
                    <w:rPr>
                      <w:spacing w:val="-3"/>
                      <w:sz w:val="18"/>
                      <w:szCs w:val="18"/>
                    </w:rPr>
                    <w:t>背景值</w:t>
                  </w:r>
                </w:p>
              </w:tc>
              <w:tc>
                <w:tcPr>
                  <w:tcW w:w="1304" w:type="dxa"/>
                  <w:gridSpan w:val="2"/>
                  <w:vAlign w:val="top"/>
                </w:tcPr>
                <w:p>
                  <w:pPr>
                    <w:pStyle w:val="6"/>
                    <w:spacing w:before="147" w:line="220" w:lineRule="auto"/>
                    <w:ind w:left="386"/>
                    <w:rPr>
                      <w:sz w:val="18"/>
                      <w:szCs w:val="18"/>
                    </w:rPr>
                  </w:pPr>
                  <w:r>
                    <w:rPr>
                      <w:spacing w:val="-2"/>
                      <w:sz w:val="18"/>
                      <w:szCs w:val="18"/>
                    </w:rPr>
                    <w:t>现状值</w:t>
                  </w:r>
                </w:p>
              </w:tc>
              <w:tc>
                <w:tcPr>
                  <w:tcW w:w="844" w:type="dxa"/>
                  <w:gridSpan w:val="2"/>
                  <w:vAlign w:val="top"/>
                </w:tcPr>
                <w:p>
                  <w:pPr>
                    <w:pStyle w:val="6"/>
                    <w:spacing w:before="147" w:line="220" w:lineRule="auto"/>
                    <w:ind w:left="157"/>
                    <w:rPr>
                      <w:sz w:val="18"/>
                      <w:szCs w:val="18"/>
                    </w:rPr>
                  </w:pPr>
                  <w:r>
                    <w:rPr>
                      <w:spacing w:val="-2"/>
                      <w:sz w:val="18"/>
                      <w:szCs w:val="18"/>
                    </w:rPr>
                    <w:t>标准值</w:t>
                  </w:r>
                </w:p>
              </w:tc>
              <w:tc>
                <w:tcPr>
                  <w:tcW w:w="1379" w:type="dxa"/>
                  <w:gridSpan w:val="2"/>
                  <w:vAlign w:val="top"/>
                </w:tcPr>
                <w:p>
                  <w:pPr>
                    <w:pStyle w:val="6"/>
                    <w:spacing w:before="147" w:line="220" w:lineRule="auto"/>
                    <w:ind w:left="423"/>
                    <w:rPr>
                      <w:sz w:val="18"/>
                      <w:szCs w:val="18"/>
                    </w:rPr>
                  </w:pPr>
                  <w:r>
                    <w:rPr>
                      <w:spacing w:val="-3"/>
                      <w:sz w:val="18"/>
                      <w:szCs w:val="18"/>
                    </w:rPr>
                    <w:t>贡献值</w:t>
                  </w:r>
                </w:p>
              </w:tc>
              <w:tc>
                <w:tcPr>
                  <w:tcW w:w="1377" w:type="dxa"/>
                  <w:gridSpan w:val="2"/>
                  <w:vAlign w:val="top"/>
                </w:tcPr>
                <w:p>
                  <w:pPr>
                    <w:pStyle w:val="6"/>
                    <w:spacing w:before="147" w:line="220" w:lineRule="auto"/>
                    <w:ind w:left="424"/>
                    <w:rPr>
                      <w:sz w:val="18"/>
                      <w:szCs w:val="18"/>
                    </w:rPr>
                  </w:pPr>
                  <w:r>
                    <w:rPr>
                      <w:spacing w:val="-2"/>
                      <w:sz w:val="18"/>
                      <w:szCs w:val="18"/>
                    </w:rPr>
                    <w:t>预测值</w:t>
                  </w:r>
                </w:p>
              </w:tc>
              <w:tc>
                <w:tcPr>
                  <w:tcW w:w="1303" w:type="dxa"/>
                  <w:gridSpan w:val="2"/>
                  <w:vAlign w:val="top"/>
                </w:tcPr>
                <w:p>
                  <w:pPr>
                    <w:pStyle w:val="6"/>
                    <w:spacing w:before="147" w:line="220" w:lineRule="auto"/>
                    <w:ind w:left="207"/>
                    <w:rPr>
                      <w:sz w:val="18"/>
                      <w:szCs w:val="18"/>
                    </w:rPr>
                  </w:pPr>
                  <w:r>
                    <w:rPr>
                      <w:spacing w:val="-2"/>
                      <w:sz w:val="18"/>
                      <w:szCs w:val="18"/>
                    </w:rPr>
                    <w:t>较现状增量</w:t>
                  </w:r>
                </w:p>
              </w:tc>
              <w:tc>
                <w:tcPr>
                  <w:tcW w:w="868" w:type="dxa"/>
                  <w:gridSpan w:val="2"/>
                  <w:vAlign w:val="top"/>
                </w:tcPr>
                <w:p>
                  <w:pPr>
                    <w:pStyle w:val="6"/>
                    <w:spacing w:before="30" w:line="220" w:lineRule="auto"/>
                    <w:ind w:left="166"/>
                    <w:rPr>
                      <w:sz w:val="18"/>
                      <w:szCs w:val="18"/>
                    </w:rPr>
                  </w:pPr>
                  <w:r>
                    <w:rPr>
                      <w:spacing w:val="-2"/>
                      <w:sz w:val="18"/>
                      <w:szCs w:val="18"/>
                    </w:rPr>
                    <w:t>达标性</w:t>
                  </w:r>
                </w:p>
                <w:p>
                  <w:pPr>
                    <w:pStyle w:val="6"/>
                    <w:spacing w:before="20" w:line="203" w:lineRule="auto"/>
                    <w:ind w:left="258"/>
                    <w:rPr>
                      <w:sz w:val="18"/>
                      <w:szCs w:val="18"/>
                    </w:rPr>
                  </w:pPr>
                  <w:r>
                    <w:rPr>
                      <w:spacing w:val="-2"/>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96" w:type="dxa"/>
                  <w:vMerge w:val="continue"/>
                  <w:tcBorders>
                    <w:top w:val="nil"/>
                  </w:tcBorders>
                  <w:vAlign w:val="top"/>
                </w:tcPr>
                <w:p>
                  <w:pPr>
                    <w:rPr>
                      <w:rFonts w:ascii="Arial"/>
                      <w:sz w:val="21"/>
                    </w:rPr>
                  </w:pPr>
                </w:p>
              </w:tc>
              <w:tc>
                <w:tcPr>
                  <w:tcW w:w="648" w:type="dxa"/>
                  <w:vAlign w:val="top"/>
                </w:tcPr>
                <w:p>
                  <w:pPr>
                    <w:pStyle w:val="6"/>
                    <w:spacing w:before="147" w:line="222" w:lineRule="auto"/>
                    <w:ind w:left="146"/>
                    <w:rPr>
                      <w:sz w:val="18"/>
                      <w:szCs w:val="18"/>
                    </w:rPr>
                  </w:pPr>
                  <w:r>
                    <w:rPr>
                      <w:spacing w:val="-2"/>
                      <w:sz w:val="18"/>
                      <w:szCs w:val="18"/>
                    </w:rPr>
                    <w:t>昼间</w:t>
                  </w:r>
                </w:p>
              </w:tc>
              <w:tc>
                <w:tcPr>
                  <w:tcW w:w="650" w:type="dxa"/>
                  <w:vAlign w:val="top"/>
                </w:tcPr>
                <w:p>
                  <w:pPr>
                    <w:pStyle w:val="6"/>
                    <w:spacing w:before="146" w:line="220" w:lineRule="auto"/>
                    <w:ind w:left="149"/>
                    <w:rPr>
                      <w:sz w:val="18"/>
                      <w:szCs w:val="18"/>
                    </w:rPr>
                  </w:pPr>
                  <w:r>
                    <w:rPr>
                      <w:spacing w:val="-3"/>
                      <w:sz w:val="18"/>
                      <w:szCs w:val="18"/>
                    </w:rPr>
                    <w:t>夜间</w:t>
                  </w:r>
                </w:p>
              </w:tc>
              <w:tc>
                <w:tcPr>
                  <w:tcW w:w="651" w:type="dxa"/>
                  <w:vAlign w:val="top"/>
                </w:tcPr>
                <w:p>
                  <w:pPr>
                    <w:pStyle w:val="6"/>
                    <w:spacing w:before="147" w:line="222" w:lineRule="auto"/>
                    <w:ind w:left="148"/>
                    <w:rPr>
                      <w:sz w:val="18"/>
                      <w:szCs w:val="18"/>
                    </w:rPr>
                  </w:pPr>
                  <w:r>
                    <w:rPr>
                      <w:spacing w:val="-2"/>
                      <w:sz w:val="18"/>
                      <w:szCs w:val="18"/>
                    </w:rPr>
                    <w:t>昼间</w:t>
                  </w:r>
                </w:p>
              </w:tc>
              <w:tc>
                <w:tcPr>
                  <w:tcW w:w="653" w:type="dxa"/>
                  <w:vAlign w:val="top"/>
                </w:tcPr>
                <w:p>
                  <w:pPr>
                    <w:pStyle w:val="6"/>
                    <w:spacing w:before="146" w:line="220" w:lineRule="auto"/>
                    <w:ind w:left="152"/>
                    <w:rPr>
                      <w:sz w:val="18"/>
                      <w:szCs w:val="18"/>
                    </w:rPr>
                  </w:pPr>
                  <w:r>
                    <w:rPr>
                      <w:spacing w:val="-3"/>
                      <w:sz w:val="18"/>
                      <w:szCs w:val="18"/>
                    </w:rPr>
                    <w:t>夜间</w:t>
                  </w:r>
                </w:p>
              </w:tc>
              <w:tc>
                <w:tcPr>
                  <w:tcW w:w="422" w:type="dxa"/>
                  <w:textDirection w:val="tbRlV"/>
                  <w:vAlign w:val="top"/>
                </w:tcPr>
                <w:p>
                  <w:pPr>
                    <w:pStyle w:val="6"/>
                    <w:spacing w:before="121" w:line="211" w:lineRule="auto"/>
                    <w:ind w:left="29"/>
                    <w:rPr>
                      <w:sz w:val="18"/>
                      <w:szCs w:val="18"/>
                    </w:rPr>
                  </w:pPr>
                  <w:r>
                    <w:rPr>
                      <w:spacing w:val="26"/>
                      <w:sz w:val="18"/>
                      <w:szCs w:val="18"/>
                    </w:rPr>
                    <w:t>昼间</w:t>
                  </w:r>
                </w:p>
              </w:tc>
              <w:tc>
                <w:tcPr>
                  <w:tcW w:w="422" w:type="dxa"/>
                  <w:textDirection w:val="tbRlV"/>
                  <w:vAlign w:val="top"/>
                </w:tcPr>
                <w:p>
                  <w:pPr>
                    <w:pStyle w:val="6"/>
                    <w:spacing w:before="120" w:line="205" w:lineRule="auto"/>
                    <w:ind w:left="29"/>
                    <w:rPr>
                      <w:sz w:val="18"/>
                      <w:szCs w:val="18"/>
                    </w:rPr>
                  </w:pPr>
                  <w:r>
                    <w:rPr>
                      <w:spacing w:val="26"/>
                      <w:sz w:val="18"/>
                      <w:szCs w:val="18"/>
                    </w:rPr>
                    <w:t>夜间</w:t>
                  </w:r>
                </w:p>
              </w:tc>
              <w:tc>
                <w:tcPr>
                  <w:tcW w:w="688" w:type="dxa"/>
                  <w:vAlign w:val="top"/>
                </w:tcPr>
                <w:p>
                  <w:pPr>
                    <w:pStyle w:val="6"/>
                    <w:spacing w:before="147" w:line="222" w:lineRule="auto"/>
                    <w:ind w:left="166"/>
                    <w:rPr>
                      <w:sz w:val="18"/>
                      <w:szCs w:val="18"/>
                    </w:rPr>
                  </w:pPr>
                  <w:r>
                    <w:rPr>
                      <w:spacing w:val="-2"/>
                      <w:sz w:val="18"/>
                      <w:szCs w:val="18"/>
                    </w:rPr>
                    <w:t>昼间</w:t>
                  </w:r>
                </w:p>
              </w:tc>
              <w:tc>
                <w:tcPr>
                  <w:tcW w:w="691" w:type="dxa"/>
                  <w:vAlign w:val="top"/>
                </w:tcPr>
                <w:p>
                  <w:pPr>
                    <w:pStyle w:val="6"/>
                    <w:spacing w:before="146" w:line="220" w:lineRule="auto"/>
                    <w:ind w:left="173"/>
                    <w:rPr>
                      <w:sz w:val="18"/>
                      <w:szCs w:val="18"/>
                    </w:rPr>
                  </w:pPr>
                  <w:r>
                    <w:rPr>
                      <w:spacing w:val="-3"/>
                      <w:sz w:val="18"/>
                      <w:szCs w:val="18"/>
                    </w:rPr>
                    <w:t>夜间</w:t>
                  </w:r>
                </w:p>
              </w:tc>
              <w:tc>
                <w:tcPr>
                  <w:tcW w:w="689" w:type="dxa"/>
                  <w:vAlign w:val="top"/>
                </w:tcPr>
                <w:p>
                  <w:pPr>
                    <w:pStyle w:val="6"/>
                    <w:spacing w:before="147" w:line="222" w:lineRule="auto"/>
                    <w:ind w:left="167"/>
                    <w:rPr>
                      <w:sz w:val="18"/>
                      <w:szCs w:val="18"/>
                    </w:rPr>
                  </w:pPr>
                  <w:r>
                    <w:rPr>
                      <w:spacing w:val="-2"/>
                      <w:sz w:val="18"/>
                      <w:szCs w:val="18"/>
                    </w:rPr>
                    <w:t>昼间</w:t>
                  </w:r>
                </w:p>
              </w:tc>
              <w:tc>
                <w:tcPr>
                  <w:tcW w:w="688" w:type="dxa"/>
                  <w:vAlign w:val="top"/>
                </w:tcPr>
                <w:p>
                  <w:pPr>
                    <w:pStyle w:val="6"/>
                    <w:spacing w:before="146" w:line="220" w:lineRule="auto"/>
                    <w:ind w:left="171"/>
                    <w:rPr>
                      <w:sz w:val="18"/>
                      <w:szCs w:val="18"/>
                    </w:rPr>
                  </w:pPr>
                  <w:r>
                    <w:rPr>
                      <w:spacing w:val="-3"/>
                      <w:sz w:val="18"/>
                      <w:szCs w:val="18"/>
                    </w:rPr>
                    <w:t>夜间</w:t>
                  </w:r>
                </w:p>
              </w:tc>
              <w:tc>
                <w:tcPr>
                  <w:tcW w:w="650" w:type="dxa"/>
                  <w:vAlign w:val="top"/>
                </w:tcPr>
                <w:p>
                  <w:pPr>
                    <w:pStyle w:val="6"/>
                    <w:spacing w:before="147" w:line="222" w:lineRule="auto"/>
                    <w:ind w:left="151"/>
                    <w:rPr>
                      <w:sz w:val="18"/>
                      <w:szCs w:val="18"/>
                    </w:rPr>
                  </w:pPr>
                  <w:r>
                    <w:rPr>
                      <w:spacing w:val="-2"/>
                      <w:sz w:val="18"/>
                      <w:szCs w:val="18"/>
                    </w:rPr>
                    <w:t>昼间</w:t>
                  </w:r>
                </w:p>
              </w:tc>
              <w:tc>
                <w:tcPr>
                  <w:tcW w:w="653" w:type="dxa"/>
                  <w:vAlign w:val="top"/>
                </w:tcPr>
                <w:p>
                  <w:pPr>
                    <w:pStyle w:val="6"/>
                    <w:spacing w:before="146" w:line="220" w:lineRule="auto"/>
                    <w:ind w:left="156"/>
                    <w:rPr>
                      <w:sz w:val="18"/>
                      <w:szCs w:val="18"/>
                    </w:rPr>
                  </w:pPr>
                  <w:r>
                    <w:rPr>
                      <w:spacing w:val="-3"/>
                      <w:sz w:val="18"/>
                      <w:szCs w:val="18"/>
                    </w:rPr>
                    <w:t>夜间</w:t>
                  </w:r>
                </w:p>
              </w:tc>
              <w:tc>
                <w:tcPr>
                  <w:tcW w:w="427" w:type="dxa"/>
                  <w:textDirection w:val="tbRlV"/>
                  <w:vAlign w:val="top"/>
                </w:tcPr>
                <w:p>
                  <w:pPr>
                    <w:pStyle w:val="6"/>
                    <w:spacing w:before="120" w:line="211" w:lineRule="auto"/>
                    <w:ind w:left="29"/>
                    <w:rPr>
                      <w:sz w:val="18"/>
                      <w:szCs w:val="18"/>
                    </w:rPr>
                  </w:pPr>
                  <w:r>
                    <w:rPr>
                      <w:spacing w:val="26"/>
                      <w:sz w:val="18"/>
                      <w:szCs w:val="18"/>
                    </w:rPr>
                    <w:t>昼间</w:t>
                  </w:r>
                </w:p>
              </w:tc>
              <w:tc>
                <w:tcPr>
                  <w:tcW w:w="441" w:type="dxa"/>
                  <w:textDirection w:val="tbRlV"/>
                  <w:vAlign w:val="top"/>
                </w:tcPr>
                <w:p>
                  <w:pPr>
                    <w:pStyle w:val="6"/>
                    <w:spacing w:before="129" w:line="205" w:lineRule="auto"/>
                    <w:ind w:left="29"/>
                    <w:rPr>
                      <w:sz w:val="18"/>
                      <w:szCs w:val="18"/>
                    </w:rPr>
                  </w:pPr>
                  <w:r>
                    <w:rPr>
                      <w:spacing w:val="26"/>
                      <w:sz w:val="18"/>
                      <w:szCs w:val="18"/>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96" w:type="dxa"/>
                  <w:vAlign w:val="top"/>
                </w:tcPr>
                <w:p>
                  <w:pPr>
                    <w:pStyle w:val="6"/>
                    <w:spacing w:before="34" w:line="216" w:lineRule="auto"/>
                    <w:ind w:left="320" w:right="123" w:hanging="192"/>
                    <w:rPr>
                      <w:sz w:val="18"/>
                      <w:szCs w:val="18"/>
                    </w:rPr>
                  </w:pPr>
                  <w:r>
                    <w:rPr>
                      <w:rFonts w:ascii="Times New Roman" w:hAnsi="Times New Roman" w:eastAsia="Times New Roman" w:cs="Times New Roman"/>
                      <w:spacing w:val="-1"/>
                      <w:sz w:val="18"/>
                      <w:szCs w:val="18"/>
                    </w:rPr>
                    <w:t>2#</w:t>
                  </w:r>
                  <w:r>
                    <w:rPr>
                      <w:spacing w:val="-1"/>
                      <w:sz w:val="18"/>
                      <w:szCs w:val="18"/>
                    </w:rPr>
                    <w:t>居民</w:t>
                  </w:r>
                  <w:r>
                    <w:rPr>
                      <w:spacing w:val="1"/>
                      <w:sz w:val="18"/>
                      <w:szCs w:val="18"/>
                    </w:rPr>
                    <w:t xml:space="preserve"> </w:t>
                  </w:r>
                  <w:r>
                    <w:rPr>
                      <w:sz w:val="18"/>
                      <w:szCs w:val="18"/>
                    </w:rPr>
                    <w:t>点</w:t>
                  </w:r>
                </w:p>
              </w:tc>
              <w:tc>
                <w:tcPr>
                  <w:tcW w:w="648" w:type="dxa"/>
                  <w:vAlign w:val="top"/>
                </w:tcPr>
                <w:p>
                  <w:pPr>
                    <w:spacing w:before="187" w:line="183"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84" w:line="186" w:lineRule="auto"/>
                    <w:ind w:left="2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651" w:type="dxa"/>
                  <w:vAlign w:val="top"/>
                </w:tcPr>
                <w:p>
                  <w:pPr>
                    <w:spacing w:before="187" w:line="183"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3" w:type="dxa"/>
                  <w:vAlign w:val="top"/>
                </w:tcPr>
                <w:p>
                  <w:pPr>
                    <w:spacing w:before="184"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22" w:type="dxa"/>
                  <w:vAlign w:val="top"/>
                </w:tcPr>
                <w:p>
                  <w:pPr>
                    <w:spacing w:before="184" w:line="186"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2" w:type="dxa"/>
                  <w:vAlign w:val="top"/>
                </w:tcPr>
                <w:p>
                  <w:pPr>
                    <w:spacing w:before="184" w:line="186"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88" w:type="dxa"/>
                  <w:vAlign w:val="top"/>
                </w:tcPr>
                <w:p>
                  <w:pPr>
                    <w:spacing w:before="184" w:line="186" w:lineRule="auto"/>
                    <w:ind w:left="1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46.22</w:t>
                  </w:r>
                </w:p>
              </w:tc>
              <w:tc>
                <w:tcPr>
                  <w:tcW w:w="691" w:type="dxa"/>
                  <w:vAlign w:val="top"/>
                </w:tcPr>
                <w:p>
                  <w:pPr>
                    <w:spacing w:before="184" w:line="186"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46.22</w:t>
                  </w:r>
                </w:p>
              </w:tc>
              <w:tc>
                <w:tcPr>
                  <w:tcW w:w="689" w:type="dxa"/>
                  <w:vAlign w:val="top"/>
                </w:tcPr>
                <w:p>
                  <w:pPr>
                    <w:spacing w:before="184"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55.54</w:t>
                  </w:r>
                </w:p>
              </w:tc>
              <w:tc>
                <w:tcPr>
                  <w:tcW w:w="688" w:type="dxa"/>
                  <w:vAlign w:val="top"/>
                </w:tcPr>
                <w:p>
                  <w:pPr>
                    <w:spacing w:before="184"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48.26</w:t>
                  </w:r>
                </w:p>
              </w:tc>
              <w:tc>
                <w:tcPr>
                  <w:tcW w:w="650" w:type="dxa"/>
                  <w:vAlign w:val="top"/>
                </w:tcPr>
                <w:p>
                  <w:pPr>
                    <w:spacing w:before="184" w:line="186" w:lineRule="auto"/>
                    <w:ind w:left="1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0.54</w:t>
                  </w:r>
                </w:p>
              </w:tc>
              <w:tc>
                <w:tcPr>
                  <w:tcW w:w="653" w:type="dxa"/>
                  <w:vAlign w:val="top"/>
                </w:tcPr>
                <w:p>
                  <w:pPr>
                    <w:spacing w:before="184" w:line="186"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4.26</w:t>
                  </w:r>
                </w:p>
              </w:tc>
              <w:tc>
                <w:tcPr>
                  <w:tcW w:w="427" w:type="dxa"/>
                  <w:textDirection w:val="tbRlV"/>
                  <w:vAlign w:val="top"/>
                </w:tcPr>
                <w:p>
                  <w:pPr>
                    <w:pStyle w:val="6"/>
                    <w:spacing w:before="120" w:line="209" w:lineRule="auto"/>
                    <w:ind w:left="34"/>
                    <w:rPr>
                      <w:sz w:val="18"/>
                      <w:szCs w:val="18"/>
                    </w:rPr>
                  </w:pPr>
                  <w:r>
                    <w:rPr>
                      <w:spacing w:val="26"/>
                      <w:sz w:val="18"/>
                      <w:szCs w:val="18"/>
                    </w:rPr>
                    <w:t>达标</w:t>
                  </w:r>
                </w:p>
              </w:tc>
              <w:tc>
                <w:tcPr>
                  <w:tcW w:w="441" w:type="dxa"/>
                  <w:textDirection w:val="tbRlV"/>
                  <w:vAlign w:val="top"/>
                </w:tcPr>
                <w:p>
                  <w:pPr>
                    <w:pStyle w:val="6"/>
                    <w:spacing w:before="129" w:line="209" w:lineRule="auto"/>
                    <w:ind w:left="34"/>
                    <w:rPr>
                      <w:sz w:val="18"/>
                      <w:szCs w:val="18"/>
                    </w:rPr>
                  </w:pPr>
                  <w:r>
                    <w:rPr>
                      <w:spacing w:val="26"/>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96" w:type="dxa"/>
                  <w:vAlign w:val="top"/>
                </w:tcPr>
                <w:p>
                  <w:pPr>
                    <w:pStyle w:val="6"/>
                    <w:spacing w:before="37" w:line="216" w:lineRule="auto"/>
                    <w:ind w:left="319" w:right="123" w:hanging="188"/>
                    <w:rPr>
                      <w:sz w:val="18"/>
                      <w:szCs w:val="18"/>
                    </w:rPr>
                  </w:pPr>
                  <w:r>
                    <w:rPr>
                      <w:rFonts w:ascii="Times New Roman" w:hAnsi="Times New Roman" w:eastAsia="Times New Roman" w:cs="Times New Roman"/>
                      <w:spacing w:val="-2"/>
                      <w:sz w:val="18"/>
                      <w:szCs w:val="18"/>
                    </w:rPr>
                    <w:t>3#</w:t>
                  </w:r>
                  <w:r>
                    <w:rPr>
                      <w:spacing w:val="-2"/>
                      <w:sz w:val="18"/>
                      <w:szCs w:val="18"/>
                    </w:rPr>
                    <w:t>居民</w:t>
                  </w:r>
                  <w:r>
                    <w:rPr>
                      <w:spacing w:val="2"/>
                      <w:sz w:val="18"/>
                      <w:szCs w:val="18"/>
                    </w:rPr>
                    <w:t xml:space="preserve"> </w:t>
                  </w:r>
                  <w:r>
                    <w:rPr>
                      <w:sz w:val="18"/>
                      <w:szCs w:val="18"/>
                    </w:rPr>
                    <w:t>点</w:t>
                  </w:r>
                </w:p>
              </w:tc>
              <w:tc>
                <w:tcPr>
                  <w:tcW w:w="648" w:type="dxa"/>
                  <w:vAlign w:val="top"/>
                </w:tcPr>
                <w:p>
                  <w:pPr>
                    <w:spacing w:before="193" w:line="183"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91" w:line="186" w:lineRule="auto"/>
                    <w:ind w:left="2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651" w:type="dxa"/>
                  <w:vAlign w:val="top"/>
                </w:tcPr>
                <w:p>
                  <w:pPr>
                    <w:spacing w:before="193" w:line="183"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3" w:type="dxa"/>
                  <w:vAlign w:val="top"/>
                </w:tcPr>
                <w:p>
                  <w:pPr>
                    <w:spacing w:before="191"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22" w:type="dxa"/>
                  <w:vAlign w:val="top"/>
                </w:tcPr>
                <w:p>
                  <w:pPr>
                    <w:spacing w:before="191" w:line="186"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422" w:type="dxa"/>
                  <w:vAlign w:val="top"/>
                </w:tcPr>
                <w:p>
                  <w:pPr>
                    <w:spacing w:before="191" w:line="186"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88" w:type="dxa"/>
                  <w:vAlign w:val="top"/>
                </w:tcPr>
                <w:p>
                  <w:pPr>
                    <w:spacing w:before="191" w:line="186" w:lineRule="auto"/>
                    <w:ind w:left="1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46.73</w:t>
                  </w:r>
                </w:p>
              </w:tc>
              <w:tc>
                <w:tcPr>
                  <w:tcW w:w="691" w:type="dxa"/>
                  <w:vAlign w:val="top"/>
                </w:tcPr>
                <w:p>
                  <w:pPr>
                    <w:spacing w:before="191" w:line="186"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46.73</w:t>
                  </w:r>
                </w:p>
              </w:tc>
              <w:tc>
                <w:tcPr>
                  <w:tcW w:w="689" w:type="dxa"/>
                  <w:vAlign w:val="top"/>
                </w:tcPr>
                <w:p>
                  <w:pPr>
                    <w:spacing w:before="191"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55.60</w:t>
                  </w:r>
                </w:p>
              </w:tc>
              <w:tc>
                <w:tcPr>
                  <w:tcW w:w="688" w:type="dxa"/>
                  <w:vAlign w:val="top"/>
                </w:tcPr>
                <w:p>
                  <w:pPr>
                    <w:spacing w:before="191"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48.59</w:t>
                  </w:r>
                </w:p>
              </w:tc>
              <w:tc>
                <w:tcPr>
                  <w:tcW w:w="650" w:type="dxa"/>
                  <w:vAlign w:val="top"/>
                </w:tcPr>
                <w:p>
                  <w:pPr>
                    <w:spacing w:before="191" w:line="186" w:lineRule="auto"/>
                    <w:ind w:left="2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w:t>
                  </w:r>
                </w:p>
              </w:tc>
              <w:tc>
                <w:tcPr>
                  <w:tcW w:w="653" w:type="dxa"/>
                  <w:vAlign w:val="top"/>
                </w:tcPr>
                <w:p>
                  <w:pPr>
                    <w:spacing w:before="191" w:line="186"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4.59</w:t>
                  </w:r>
                </w:p>
              </w:tc>
              <w:tc>
                <w:tcPr>
                  <w:tcW w:w="427" w:type="dxa"/>
                  <w:textDirection w:val="tbRlV"/>
                  <w:vAlign w:val="top"/>
                </w:tcPr>
                <w:p>
                  <w:pPr>
                    <w:pStyle w:val="6"/>
                    <w:spacing w:before="120" w:line="209" w:lineRule="auto"/>
                    <w:ind w:left="38"/>
                    <w:rPr>
                      <w:sz w:val="18"/>
                      <w:szCs w:val="18"/>
                    </w:rPr>
                  </w:pPr>
                  <w:r>
                    <w:rPr>
                      <w:sz w:val="18"/>
                      <w:szCs w:val="18"/>
                    </w:rPr>
                    <w:t>达</w:t>
                  </w:r>
                  <w:r>
                    <w:rPr>
                      <w:spacing w:val="-35"/>
                      <w:sz w:val="18"/>
                      <w:szCs w:val="18"/>
                    </w:rPr>
                    <w:t xml:space="preserve"> </w:t>
                  </w:r>
                  <w:r>
                    <w:rPr>
                      <w:sz w:val="18"/>
                      <w:szCs w:val="18"/>
                    </w:rPr>
                    <w:t>标</w:t>
                  </w:r>
                </w:p>
              </w:tc>
              <w:tc>
                <w:tcPr>
                  <w:tcW w:w="441" w:type="dxa"/>
                  <w:textDirection w:val="tbRlV"/>
                  <w:vAlign w:val="top"/>
                </w:tcPr>
                <w:p>
                  <w:pPr>
                    <w:pStyle w:val="6"/>
                    <w:spacing w:before="129" w:line="209" w:lineRule="auto"/>
                    <w:ind w:left="38"/>
                    <w:rPr>
                      <w:sz w:val="18"/>
                      <w:szCs w:val="18"/>
                    </w:rPr>
                  </w:pPr>
                  <w:r>
                    <w:rPr>
                      <w:sz w:val="18"/>
                      <w:szCs w:val="18"/>
                    </w:rPr>
                    <w:t>达</w:t>
                  </w:r>
                  <w:r>
                    <w:rPr>
                      <w:spacing w:val="-35"/>
                      <w:sz w:val="18"/>
                      <w:szCs w:val="18"/>
                    </w:rPr>
                    <w:t xml:space="preserve"> </w:t>
                  </w:r>
                  <w:r>
                    <w:rPr>
                      <w:sz w:val="18"/>
                      <w:szCs w:val="18"/>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96" w:type="dxa"/>
                  <w:vAlign w:val="top"/>
                </w:tcPr>
                <w:p>
                  <w:pPr>
                    <w:pStyle w:val="6"/>
                    <w:spacing w:before="41" w:line="216" w:lineRule="auto"/>
                    <w:ind w:left="320" w:right="123" w:hanging="185"/>
                    <w:rPr>
                      <w:sz w:val="18"/>
                      <w:szCs w:val="18"/>
                    </w:rPr>
                  </w:pPr>
                  <w:r>
                    <w:rPr>
                      <w:rFonts w:ascii="Times New Roman" w:hAnsi="Times New Roman" w:eastAsia="Times New Roman" w:cs="Times New Roman"/>
                      <w:spacing w:val="-3"/>
                      <w:sz w:val="18"/>
                      <w:szCs w:val="18"/>
                    </w:rPr>
                    <w:t>8#</w:t>
                  </w:r>
                  <w:r>
                    <w:rPr>
                      <w:spacing w:val="-3"/>
                      <w:sz w:val="18"/>
                      <w:szCs w:val="18"/>
                    </w:rPr>
                    <w:t>居民</w:t>
                  </w:r>
                  <w:r>
                    <w:rPr>
                      <w:spacing w:val="2"/>
                      <w:sz w:val="18"/>
                      <w:szCs w:val="18"/>
                    </w:rPr>
                    <w:t xml:space="preserve"> </w:t>
                  </w:r>
                  <w:r>
                    <w:rPr>
                      <w:sz w:val="18"/>
                      <w:szCs w:val="18"/>
                    </w:rPr>
                    <w:t>点</w:t>
                  </w:r>
                </w:p>
              </w:tc>
              <w:tc>
                <w:tcPr>
                  <w:tcW w:w="648" w:type="dxa"/>
                  <w:vAlign w:val="top"/>
                </w:tcPr>
                <w:p>
                  <w:pPr>
                    <w:spacing w:before="195" w:line="183"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92" w:line="186" w:lineRule="auto"/>
                    <w:ind w:left="2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651" w:type="dxa"/>
                  <w:vAlign w:val="top"/>
                </w:tcPr>
                <w:p>
                  <w:pPr>
                    <w:spacing w:before="195" w:line="183"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3" w:type="dxa"/>
                  <w:vAlign w:val="top"/>
                </w:tcPr>
                <w:p>
                  <w:pPr>
                    <w:spacing w:before="192"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22" w:type="dxa"/>
                  <w:vAlign w:val="top"/>
                </w:tcPr>
                <w:p>
                  <w:pPr>
                    <w:spacing w:before="192" w:line="186"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2" w:type="dxa"/>
                  <w:vAlign w:val="top"/>
                </w:tcPr>
                <w:p>
                  <w:pPr>
                    <w:spacing w:before="192" w:line="186"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88" w:type="dxa"/>
                  <w:vAlign w:val="top"/>
                </w:tcPr>
                <w:p>
                  <w:pPr>
                    <w:spacing w:before="192" w:line="186" w:lineRule="auto"/>
                    <w:ind w:left="1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48.58</w:t>
                  </w:r>
                </w:p>
              </w:tc>
              <w:tc>
                <w:tcPr>
                  <w:tcW w:w="691" w:type="dxa"/>
                  <w:vAlign w:val="top"/>
                </w:tcPr>
                <w:p>
                  <w:pPr>
                    <w:spacing w:before="192" w:line="186"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48.58</w:t>
                  </w:r>
                </w:p>
              </w:tc>
              <w:tc>
                <w:tcPr>
                  <w:tcW w:w="689" w:type="dxa"/>
                  <w:vAlign w:val="top"/>
                </w:tcPr>
                <w:p>
                  <w:pPr>
                    <w:spacing w:before="192"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55.89</w:t>
                  </w:r>
                </w:p>
              </w:tc>
              <w:tc>
                <w:tcPr>
                  <w:tcW w:w="688" w:type="dxa"/>
                  <w:vAlign w:val="top"/>
                </w:tcPr>
                <w:p>
                  <w:pPr>
                    <w:spacing w:before="192" w:line="186"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49.88</w:t>
                  </w:r>
                </w:p>
              </w:tc>
              <w:tc>
                <w:tcPr>
                  <w:tcW w:w="650" w:type="dxa"/>
                  <w:vAlign w:val="top"/>
                </w:tcPr>
                <w:p>
                  <w:pPr>
                    <w:spacing w:before="192" w:line="186" w:lineRule="auto"/>
                    <w:ind w:left="1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0.89</w:t>
                  </w:r>
                </w:p>
              </w:tc>
              <w:tc>
                <w:tcPr>
                  <w:tcW w:w="653" w:type="dxa"/>
                  <w:vAlign w:val="top"/>
                </w:tcPr>
                <w:p>
                  <w:pPr>
                    <w:spacing w:before="192" w:line="186" w:lineRule="auto"/>
                    <w:ind w:left="1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5.88</w:t>
                  </w:r>
                </w:p>
              </w:tc>
              <w:tc>
                <w:tcPr>
                  <w:tcW w:w="427" w:type="dxa"/>
                  <w:textDirection w:val="tbRlV"/>
                  <w:vAlign w:val="top"/>
                </w:tcPr>
                <w:p>
                  <w:pPr>
                    <w:pStyle w:val="6"/>
                    <w:spacing w:before="120" w:line="209" w:lineRule="auto"/>
                    <w:ind w:left="41"/>
                    <w:rPr>
                      <w:sz w:val="18"/>
                      <w:szCs w:val="18"/>
                    </w:rPr>
                  </w:pPr>
                  <w:r>
                    <w:rPr>
                      <w:spacing w:val="26"/>
                      <w:sz w:val="18"/>
                      <w:szCs w:val="18"/>
                    </w:rPr>
                    <w:t>达标</w:t>
                  </w:r>
                </w:p>
              </w:tc>
              <w:tc>
                <w:tcPr>
                  <w:tcW w:w="441" w:type="dxa"/>
                  <w:textDirection w:val="tbRlV"/>
                  <w:vAlign w:val="top"/>
                </w:tcPr>
                <w:p>
                  <w:pPr>
                    <w:pStyle w:val="6"/>
                    <w:spacing w:before="129" w:line="209" w:lineRule="auto"/>
                    <w:ind w:left="41"/>
                    <w:rPr>
                      <w:sz w:val="18"/>
                      <w:szCs w:val="18"/>
                    </w:rPr>
                  </w:pPr>
                  <w:r>
                    <w:rPr>
                      <w:spacing w:val="26"/>
                      <w:sz w:val="18"/>
                      <w:szCs w:val="18"/>
                    </w:rPr>
                    <w:t>达标</w:t>
                  </w:r>
                </w:p>
              </w:tc>
            </w:tr>
          </w:tbl>
          <w:p>
            <w:pPr>
              <w:spacing w:line="14" w:lineRule="auto"/>
              <w:rPr>
                <w:rFonts w:ascii="Arial"/>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3" w:hRule="atLeast"/>
        </w:trPr>
        <w:tc>
          <w:tcPr>
            <w:tcW w:w="465" w:type="dxa"/>
            <w:tcBorders>
              <w:top w:val="nil"/>
              <w:bottom w:val="nil"/>
              <w:right w:val="single" w:color="000000" w:sz="2" w:space="0"/>
            </w:tcBorders>
            <w:vAlign w:val="top"/>
          </w:tcPr>
          <w:p>
            <w:pPr>
              <w:rPr>
                <w:rFonts w:ascii="Arial"/>
                <w:sz w:val="21"/>
              </w:rPr>
            </w:pPr>
          </w:p>
        </w:tc>
        <w:tc>
          <w:tcPr>
            <w:tcW w:w="9385" w:type="dxa"/>
            <w:tcBorders>
              <w:top w:val="nil"/>
              <w:left w:val="single" w:color="000000" w:sz="2" w:space="0"/>
              <w:bottom w:val="nil"/>
            </w:tcBorders>
            <w:vAlign w:val="top"/>
          </w:tcPr>
          <w:p>
            <w:pPr>
              <w:spacing w:before="4" w:line="6438" w:lineRule="exact"/>
              <w:ind w:firstLine="148"/>
            </w:pPr>
            <w:r>
              <w:rPr>
                <w:position w:val="-128"/>
              </w:rPr>
              <w:drawing>
                <wp:inline distT="0" distB="0" distL="0" distR="0">
                  <wp:extent cx="5760085" cy="408813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24"/>
                          <a:stretch>
                            <a:fillRect/>
                          </a:stretch>
                        </pic:blipFill>
                        <pic:spPr>
                          <a:xfrm>
                            <a:off x="0" y="0"/>
                            <a:ext cx="5760719" cy="4088384"/>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465" w:type="dxa"/>
            <w:tcBorders>
              <w:top w:val="nil"/>
              <w:right w:val="single" w:color="000000" w:sz="2" w:space="0"/>
            </w:tcBorders>
            <w:vAlign w:val="top"/>
          </w:tcPr>
          <w:p>
            <w:pPr>
              <w:rPr>
                <w:rFonts w:ascii="Arial"/>
                <w:sz w:val="21"/>
              </w:rPr>
            </w:pPr>
          </w:p>
        </w:tc>
        <w:tc>
          <w:tcPr>
            <w:tcW w:w="9385" w:type="dxa"/>
            <w:tcBorders>
              <w:top w:val="nil"/>
              <w:left w:val="single" w:color="000000" w:sz="2" w:space="0"/>
            </w:tcBorders>
            <w:vAlign w:val="top"/>
          </w:tcPr>
          <w:p>
            <w:pPr>
              <w:pStyle w:val="6"/>
              <w:spacing w:before="193" w:line="219" w:lineRule="auto"/>
              <w:ind w:left="643"/>
              <w:rPr>
                <w:sz w:val="24"/>
                <w:szCs w:val="24"/>
              </w:rPr>
            </w:pPr>
            <w:r>
              <w:rPr>
                <w:sz w:val="24"/>
                <w:szCs w:val="24"/>
                <w14:textOutline w14:w="4354" w14:cap="flat" w14:cmpd="sng">
                  <w14:solidFill>
                    <w14:srgbClr w14:val="000000"/>
                  </w14:solidFill>
                  <w14:prstDash w14:val="solid"/>
                  <w14:miter w14:val="10"/>
                </w14:textOutline>
              </w:rPr>
              <w:t>图</w:t>
            </w:r>
            <w:r>
              <w:rPr>
                <w:spacing w:val="-51"/>
                <w:sz w:val="24"/>
                <w:szCs w:val="24"/>
              </w:rPr>
              <w:t xml:space="preserve"> </w:t>
            </w:r>
            <w:r>
              <w:rPr>
                <w:rFonts w:ascii="Times New Roman" w:hAnsi="Times New Roman" w:eastAsia="Times New Roman" w:cs="Times New Roman"/>
                <w:b/>
                <w:bCs/>
                <w:sz w:val="24"/>
                <w:szCs w:val="24"/>
              </w:rPr>
              <w:t xml:space="preserve">4.3-6  </w:t>
            </w:r>
            <w:r>
              <w:rPr>
                <w:sz w:val="24"/>
                <w:szCs w:val="24"/>
                <w14:textOutline w14:w="4354" w14:cap="flat" w14:cmpd="sng">
                  <w14:solidFill>
                    <w14:srgbClr w14:val="000000"/>
                  </w14:solidFill>
                  <w14:prstDash w14:val="solid"/>
                  <w14:miter w14:val="10"/>
                </w14:textOutline>
              </w:rPr>
              <w:t>柴油发电机供电情况下环境保护目标处昼</w:t>
            </w:r>
            <w:r>
              <w:rPr>
                <w:spacing w:val="-1"/>
                <w:sz w:val="24"/>
                <w:szCs w:val="24"/>
                <w14:textOutline w14:w="4354" w14:cap="flat" w14:cmpd="sng">
                  <w14:solidFill>
                    <w14:srgbClr w14:val="000000"/>
                  </w14:solidFill>
                  <w14:prstDash w14:val="solid"/>
                  <w14:miter w14:val="10"/>
                </w14:textOutline>
              </w:rPr>
              <w:t>间等效噪声预测等声值线图</w:t>
            </w:r>
          </w:p>
        </w:tc>
      </w:tr>
    </w:tbl>
    <w:p>
      <w:pPr>
        <w:pStyle w:val="2"/>
        <w:rPr>
          <w:sz w:val="21"/>
        </w:rPr>
      </w:pPr>
    </w:p>
    <w:p>
      <w:pPr>
        <w:rPr>
          <w:sz w:val="21"/>
          <w:szCs w:val="21"/>
        </w:rPr>
        <w:sectPr>
          <w:footerReference r:id="rId108"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0" w:hRule="atLeast"/>
        </w:trPr>
        <w:tc>
          <w:tcPr>
            <w:tcW w:w="465" w:type="dxa"/>
            <w:tcBorders>
              <w:bottom w:val="nil"/>
              <w:right w:val="single" w:color="000000" w:sz="2" w:space="0"/>
            </w:tcBorders>
            <w:vAlign w:val="top"/>
          </w:tcPr>
          <w:p>
            <w:pPr>
              <w:rPr>
                <w:rFonts w:ascii="Arial"/>
                <w:sz w:val="21"/>
              </w:rPr>
            </w:pPr>
          </w:p>
        </w:tc>
        <w:tc>
          <w:tcPr>
            <w:tcW w:w="9385" w:type="dxa"/>
            <w:tcBorders>
              <w:left w:val="single" w:color="000000" w:sz="2" w:space="0"/>
              <w:bottom w:val="nil"/>
            </w:tcBorders>
            <w:vAlign w:val="top"/>
          </w:tcPr>
          <w:p>
            <w:pPr>
              <w:spacing w:before="4" w:line="6445" w:lineRule="exact"/>
              <w:ind w:firstLine="148"/>
            </w:pPr>
            <w:r>
              <w:rPr>
                <w:position w:val="-128"/>
              </w:rPr>
              <w:drawing>
                <wp:inline distT="0" distB="0" distL="0" distR="0">
                  <wp:extent cx="5760085" cy="40925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25"/>
                          <a:stretch>
                            <a:fillRect/>
                          </a:stretch>
                        </pic:blipFill>
                        <pic:spPr>
                          <a:xfrm>
                            <a:off x="0" y="0"/>
                            <a:ext cx="5760719" cy="4092829"/>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3" w:hRule="atLeast"/>
        </w:trPr>
        <w:tc>
          <w:tcPr>
            <w:tcW w:w="465" w:type="dxa"/>
            <w:tcBorders>
              <w:top w:val="nil"/>
              <w:right w:val="single" w:color="000000" w:sz="2" w:space="0"/>
            </w:tcBorders>
            <w:vAlign w:val="top"/>
          </w:tcPr>
          <w:p>
            <w:pPr>
              <w:rPr>
                <w:rFonts w:ascii="Arial"/>
                <w:sz w:val="21"/>
              </w:rPr>
            </w:pPr>
          </w:p>
        </w:tc>
        <w:tc>
          <w:tcPr>
            <w:tcW w:w="9385" w:type="dxa"/>
            <w:tcBorders>
              <w:top w:val="nil"/>
              <w:left w:val="single" w:color="000000" w:sz="2" w:space="0"/>
            </w:tcBorders>
            <w:vAlign w:val="top"/>
          </w:tcPr>
          <w:p>
            <w:pPr>
              <w:pStyle w:val="6"/>
              <w:spacing w:before="185" w:line="219" w:lineRule="auto"/>
              <w:ind w:left="643"/>
              <w:rPr>
                <w:sz w:val="24"/>
                <w:szCs w:val="24"/>
              </w:rPr>
            </w:pPr>
            <w:r>
              <w:rPr>
                <w:sz w:val="24"/>
                <w:szCs w:val="24"/>
                <w14:textOutline w14:w="4354" w14:cap="flat" w14:cmpd="sng">
                  <w14:solidFill>
                    <w14:srgbClr w14:val="000000"/>
                  </w14:solidFill>
                  <w14:prstDash w14:val="solid"/>
                  <w14:miter w14:val="10"/>
                </w14:textOutline>
              </w:rPr>
              <w:t>图</w:t>
            </w:r>
            <w:r>
              <w:rPr>
                <w:spacing w:val="-51"/>
                <w:sz w:val="24"/>
                <w:szCs w:val="24"/>
              </w:rPr>
              <w:t xml:space="preserve"> </w:t>
            </w:r>
            <w:r>
              <w:rPr>
                <w:rFonts w:ascii="Times New Roman" w:hAnsi="Times New Roman" w:eastAsia="Times New Roman" w:cs="Times New Roman"/>
                <w:b/>
                <w:bCs/>
                <w:sz w:val="24"/>
                <w:szCs w:val="24"/>
              </w:rPr>
              <w:t xml:space="preserve">4.3-7  </w:t>
            </w:r>
            <w:r>
              <w:rPr>
                <w:sz w:val="24"/>
                <w:szCs w:val="24"/>
                <w14:textOutline w14:w="4354" w14:cap="flat" w14:cmpd="sng">
                  <w14:solidFill>
                    <w14:srgbClr w14:val="000000"/>
                  </w14:solidFill>
                  <w14:prstDash w14:val="solid"/>
                  <w14:miter w14:val="10"/>
                </w14:textOutline>
              </w:rPr>
              <w:t>柴油发电机供电情况下环境保护目标处夜</w:t>
            </w:r>
            <w:r>
              <w:rPr>
                <w:spacing w:val="-1"/>
                <w:sz w:val="24"/>
                <w:szCs w:val="24"/>
                <w14:textOutline w14:w="4354" w14:cap="flat" w14:cmpd="sng">
                  <w14:solidFill>
                    <w14:srgbClr w14:val="000000"/>
                  </w14:solidFill>
                  <w14:prstDash w14:val="solid"/>
                  <w14:miter w14:val="10"/>
                </w14:textOutline>
              </w:rPr>
              <w:t>间等效噪声预测等声值线图</w:t>
            </w:r>
          </w:p>
          <w:p>
            <w:pPr>
              <w:pStyle w:val="6"/>
              <w:spacing w:before="196" w:line="369" w:lineRule="auto"/>
              <w:ind w:left="107" w:right="102" w:firstLine="480"/>
              <w:rPr>
                <w:sz w:val="24"/>
                <w:szCs w:val="24"/>
              </w:rPr>
            </w:pPr>
            <w:r>
              <w:rPr>
                <w:spacing w:val="-6"/>
                <w:sz w:val="24"/>
                <w:szCs w:val="24"/>
              </w:rPr>
              <w:t>根据上表</w:t>
            </w:r>
            <w:r>
              <w:rPr>
                <w:spacing w:val="-56"/>
                <w:sz w:val="24"/>
                <w:szCs w:val="24"/>
              </w:rPr>
              <w:t xml:space="preserve"> </w:t>
            </w:r>
            <w:r>
              <w:rPr>
                <w:rFonts w:ascii="Times New Roman" w:hAnsi="Times New Roman" w:eastAsia="Times New Roman" w:cs="Times New Roman"/>
                <w:spacing w:val="-6"/>
                <w:sz w:val="24"/>
                <w:szCs w:val="24"/>
              </w:rPr>
              <w:t xml:space="preserve">4.3-9 </w:t>
            </w:r>
            <w:r>
              <w:rPr>
                <w:spacing w:val="-6"/>
                <w:sz w:val="24"/>
                <w:szCs w:val="24"/>
              </w:rPr>
              <w:t>和</w:t>
            </w:r>
            <w:r>
              <w:rPr>
                <w:spacing w:val="-56"/>
                <w:sz w:val="24"/>
                <w:szCs w:val="24"/>
              </w:rPr>
              <w:t xml:space="preserve"> </w:t>
            </w:r>
            <w:r>
              <w:rPr>
                <w:rFonts w:ascii="Times New Roman" w:hAnsi="Times New Roman" w:eastAsia="Times New Roman" w:cs="Times New Roman"/>
                <w:spacing w:val="-6"/>
                <w:sz w:val="24"/>
                <w:szCs w:val="24"/>
              </w:rPr>
              <w:t>4.3-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 xml:space="preserve">10 </w:t>
            </w:r>
            <w:r>
              <w:rPr>
                <w:spacing w:val="-6"/>
                <w:sz w:val="24"/>
                <w:szCs w:val="24"/>
              </w:rPr>
              <w:t>可知，钻井工程施工过程中，市政供电情况</w:t>
            </w:r>
            <w:r>
              <w:rPr>
                <w:spacing w:val="-7"/>
                <w:sz w:val="24"/>
                <w:szCs w:val="24"/>
              </w:rPr>
              <w:t>下井口周边</w:t>
            </w:r>
            <w:r>
              <w:rPr>
                <w:spacing w:val="-53"/>
                <w:sz w:val="24"/>
                <w:szCs w:val="24"/>
              </w:rPr>
              <w:t xml:space="preserve"> </w:t>
            </w:r>
            <w:r>
              <w:rPr>
                <w:rFonts w:ascii="Times New Roman" w:hAnsi="Times New Roman" w:eastAsia="Times New Roman" w:cs="Times New Roman"/>
                <w:spacing w:val="-7"/>
                <w:sz w:val="24"/>
                <w:szCs w:val="24"/>
              </w:rPr>
              <w:t>200m</w:t>
            </w:r>
            <w:r>
              <w:rPr>
                <w:rFonts w:ascii="Times New Roman" w:hAnsi="Times New Roman" w:eastAsia="Times New Roman" w:cs="Times New Roman"/>
                <w:sz w:val="24"/>
                <w:szCs w:val="24"/>
              </w:rPr>
              <w:t xml:space="preserve"> </w:t>
            </w:r>
            <w:r>
              <w:rPr>
                <w:spacing w:val="1"/>
                <w:sz w:val="24"/>
                <w:szCs w:val="24"/>
              </w:rPr>
              <w:t>范围内环境保护目标处噪声影响值昼间、夜间全部达标；采用柴油发电机供电时井口周</w:t>
            </w:r>
            <w:r>
              <w:rPr>
                <w:spacing w:val="2"/>
                <w:sz w:val="24"/>
                <w:szCs w:val="24"/>
              </w:rPr>
              <w:t xml:space="preserve"> </w:t>
            </w:r>
            <w:r>
              <w:rPr>
                <w:sz w:val="24"/>
                <w:szCs w:val="24"/>
              </w:rPr>
              <w:t xml:space="preserve">边 </w:t>
            </w:r>
            <w:r>
              <w:rPr>
                <w:rFonts w:ascii="Times New Roman" w:hAnsi="Times New Roman" w:eastAsia="Times New Roman" w:cs="Times New Roman"/>
                <w:sz w:val="24"/>
                <w:szCs w:val="24"/>
              </w:rPr>
              <w:t xml:space="preserve">200m  </w:t>
            </w:r>
            <w:r>
              <w:rPr>
                <w:sz w:val="24"/>
                <w:szCs w:val="24"/>
              </w:rPr>
              <w:t>范围内环境保护目标处噪</w:t>
            </w:r>
            <w:r>
              <w:rPr>
                <w:spacing w:val="-1"/>
                <w:sz w:val="24"/>
                <w:szCs w:val="24"/>
              </w:rPr>
              <w:t>声影响值昼间、夜间全部达标，均满足《声环境质量</w:t>
            </w:r>
          </w:p>
          <w:p>
            <w:pPr>
              <w:pStyle w:val="6"/>
              <w:spacing w:line="219" w:lineRule="auto"/>
              <w:ind w:left="109"/>
              <w:rPr>
                <w:sz w:val="24"/>
                <w:szCs w:val="24"/>
              </w:rPr>
            </w:pPr>
            <w:r>
              <w:rPr>
                <w:spacing w:val="-3"/>
                <w:sz w:val="24"/>
                <w:szCs w:val="24"/>
              </w:rPr>
              <w:t>标准》（</w:t>
            </w:r>
            <w:r>
              <w:rPr>
                <w:rFonts w:ascii="Times New Roman" w:hAnsi="Times New Roman" w:eastAsia="Times New Roman" w:cs="Times New Roman"/>
                <w:spacing w:val="-3"/>
                <w:sz w:val="24"/>
                <w:szCs w:val="24"/>
              </w:rPr>
              <w:t>GB3096-2008</w:t>
            </w:r>
            <w:r>
              <w:rPr>
                <w:spacing w:val="-3"/>
                <w:sz w:val="24"/>
                <w:szCs w:val="24"/>
              </w:rPr>
              <w:t>）中</w:t>
            </w:r>
            <w:r>
              <w:rPr>
                <w:spacing w:val="-27"/>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类标准。</w:t>
            </w:r>
          </w:p>
          <w:p>
            <w:pPr>
              <w:pStyle w:val="6"/>
              <w:spacing w:before="197" w:line="369" w:lineRule="auto"/>
              <w:ind w:left="106" w:right="99" w:firstLine="510"/>
              <w:rPr>
                <w:sz w:val="24"/>
                <w:szCs w:val="24"/>
              </w:rPr>
            </w:pPr>
            <w:r>
              <w:rPr>
                <w:sz w:val="24"/>
                <w:szCs w:val="24"/>
              </w:rPr>
              <w:t>由于钻井作业为野外作业，针对高噪声设备进行降噪处理技术上和经济难度较大，</w:t>
            </w:r>
            <w:r>
              <w:rPr>
                <w:spacing w:val="7"/>
                <w:sz w:val="24"/>
                <w:szCs w:val="24"/>
              </w:rPr>
              <w:t xml:space="preserve"> </w:t>
            </w:r>
            <w:r>
              <w:rPr>
                <w:spacing w:val="1"/>
                <w:sz w:val="24"/>
                <w:szCs w:val="24"/>
              </w:rPr>
              <w:t>对设备基础安装时加装弹性垫料，高噪声设备设机房和消声器，正常情况下采用市政供</w:t>
            </w:r>
            <w:r>
              <w:rPr>
                <w:spacing w:val="3"/>
                <w:sz w:val="24"/>
                <w:szCs w:val="24"/>
              </w:rPr>
              <w:t xml:space="preserve"> </w:t>
            </w:r>
            <w:r>
              <w:rPr>
                <w:spacing w:val="-5"/>
                <w:sz w:val="24"/>
                <w:szCs w:val="24"/>
              </w:rPr>
              <w:t>电钻井。另外， 本项目应根据施工时居民点处的实测噪声值情况， 采取协商补偿、临时</w:t>
            </w:r>
            <w:r>
              <w:rPr>
                <w:spacing w:val="1"/>
                <w:sz w:val="24"/>
                <w:szCs w:val="24"/>
              </w:rPr>
              <w:t xml:space="preserve"> </w:t>
            </w:r>
            <w:r>
              <w:rPr>
                <w:sz w:val="24"/>
                <w:szCs w:val="24"/>
              </w:rPr>
              <w:t>避让措施（可租用当地民房、在噪声达标距离之外进行妥善安置等</w:t>
            </w:r>
            <w:r>
              <w:rPr>
                <w:spacing w:val="-41"/>
                <w:sz w:val="24"/>
                <w:szCs w:val="24"/>
              </w:rPr>
              <w:t>），</w:t>
            </w:r>
            <w:r>
              <w:rPr>
                <w:spacing w:val="3"/>
                <w:sz w:val="24"/>
                <w:szCs w:val="24"/>
              </w:rPr>
              <w:t xml:space="preserve"> </w:t>
            </w:r>
            <w:r>
              <w:rPr>
                <w:sz w:val="24"/>
                <w:szCs w:val="24"/>
              </w:rPr>
              <w:t xml:space="preserve">同时开工前通过 </w:t>
            </w:r>
            <w:r>
              <w:rPr>
                <w:spacing w:val="-2"/>
                <w:sz w:val="24"/>
                <w:szCs w:val="24"/>
              </w:rPr>
              <w:t>与当地村委会、居民提前沟通， 并做好宣传、讲解及安抚工作，以取得居民点农户的谅</w:t>
            </w:r>
            <w:r>
              <w:rPr>
                <w:sz w:val="24"/>
                <w:szCs w:val="24"/>
              </w:rPr>
              <w:t xml:space="preserve"> </w:t>
            </w:r>
            <w:r>
              <w:rPr>
                <w:spacing w:val="1"/>
                <w:sz w:val="24"/>
                <w:szCs w:val="24"/>
              </w:rPr>
              <w:t>解，最终降低噪声对周围农户所产生的影响。钻井噪声影响是暂时性的，钻井结束后影</w:t>
            </w:r>
          </w:p>
          <w:p>
            <w:pPr>
              <w:pStyle w:val="6"/>
              <w:spacing w:line="220" w:lineRule="auto"/>
              <w:ind w:left="120"/>
              <w:rPr>
                <w:sz w:val="24"/>
                <w:szCs w:val="24"/>
              </w:rPr>
            </w:pPr>
            <w:r>
              <w:rPr>
                <w:spacing w:val="-10"/>
                <w:sz w:val="24"/>
                <w:szCs w:val="24"/>
              </w:rPr>
              <w:t>响即消失。</w:t>
            </w:r>
          </w:p>
          <w:p>
            <w:pPr>
              <w:pStyle w:val="6"/>
              <w:spacing w:before="194"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spacing w:val="-1"/>
                <w:sz w:val="24"/>
                <w:szCs w:val="24"/>
                <w14:textOutline w14:w="4354" w14:cap="flat" w14:cmpd="sng">
                  <w14:solidFill>
                    <w14:srgbClr w14:val="000000"/>
                  </w14:solidFill>
                  <w14:prstDash w14:val="solid"/>
                  <w14:miter w14:val="10"/>
                </w14:textOutline>
              </w:rPr>
              <w:t>）测试放喷噪声影响分析</w:t>
            </w:r>
          </w:p>
          <w:p>
            <w:pPr>
              <w:pStyle w:val="6"/>
              <w:spacing w:before="194" w:line="480" w:lineRule="exact"/>
              <w:ind w:right="57"/>
              <w:jc w:val="right"/>
              <w:rPr>
                <w:sz w:val="24"/>
                <w:szCs w:val="24"/>
              </w:rPr>
            </w:pPr>
            <w:r>
              <w:rPr>
                <w:spacing w:val="-2"/>
                <w:position w:val="18"/>
                <w:sz w:val="24"/>
                <w:szCs w:val="24"/>
              </w:rPr>
              <w:t>测试放喷时产生的高压气流噪声为</w:t>
            </w:r>
            <w:r>
              <w:rPr>
                <w:spacing w:val="-32"/>
                <w:position w:val="18"/>
                <w:sz w:val="24"/>
                <w:szCs w:val="24"/>
              </w:rPr>
              <w:t xml:space="preserve"> </w:t>
            </w:r>
            <w:r>
              <w:rPr>
                <w:rFonts w:ascii="Times New Roman" w:hAnsi="Times New Roman" w:eastAsia="Times New Roman" w:cs="Times New Roman"/>
                <w:spacing w:val="-2"/>
                <w:position w:val="18"/>
                <w:sz w:val="24"/>
                <w:szCs w:val="24"/>
              </w:rPr>
              <w:t>100~110dB(A)</w:t>
            </w:r>
            <w:r>
              <w:rPr>
                <w:spacing w:val="-2"/>
                <w:position w:val="18"/>
                <w:sz w:val="24"/>
                <w:szCs w:val="24"/>
              </w:rPr>
              <w:t>，持续时间约</w:t>
            </w:r>
            <w:r>
              <w:rPr>
                <w:spacing w:val="-55"/>
                <w:position w:val="18"/>
                <w:sz w:val="24"/>
                <w:szCs w:val="24"/>
              </w:rPr>
              <w:t xml:space="preserve"> </w:t>
            </w:r>
            <w:r>
              <w:rPr>
                <w:rFonts w:ascii="Times New Roman" w:hAnsi="Times New Roman" w:eastAsia="Times New Roman" w:cs="Times New Roman"/>
                <w:spacing w:val="-3"/>
                <w:position w:val="18"/>
                <w:sz w:val="24"/>
                <w:szCs w:val="24"/>
              </w:rPr>
              <w:t>2~4h</w:t>
            </w:r>
            <w:r>
              <w:rPr>
                <w:spacing w:val="-3"/>
                <w:position w:val="18"/>
                <w:sz w:val="24"/>
                <w:szCs w:val="24"/>
              </w:rPr>
              <w:t>，在昼间进行，</w:t>
            </w:r>
          </w:p>
          <w:p>
            <w:pPr>
              <w:pStyle w:val="6"/>
              <w:spacing w:before="1" w:line="218" w:lineRule="auto"/>
              <w:ind w:left="108"/>
              <w:rPr>
                <w:sz w:val="24"/>
                <w:szCs w:val="24"/>
              </w:rPr>
            </w:pPr>
            <w:r>
              <w:rPr>
                <w:spacing w:val="-2"/>
                <w:sz w:val="24"/>
                <w:szCs w:val="24"/>
              </w:rPr>
              <w:t>放喷情况下燃烧池</w:t>
            </w:r>
            <w:r>
              <w:rPr>
                <w:spacing w:val="-55"/>
                <w:sz w:val="24"/>
                <w:szCs w:val="24"/>
              </w:rPr>
              <w:t xml:space="preserve"> </w:t>
            </w:r>
            <w:r>
              <w:rPr>
                <w:rFonts w:ascii="Times New Roman" w:hAnsi="Times New Roman" w:eastAsia="Times New Roman" w:cs="Times New Roman"/>
                <w:spacing w:val="-2"/>
                <w:sz w:val="24"/>
                <w:szCs w:val="24"/>
              </w:rPr>
              <w:t>200m</w:t>
            </w:r>
            <w:r>
              <w:rPr>
                <w:rFonts w:ascii="Times New Roman" w:hAnsi="Times New Roman" w:eastAsia="Times New Roman" w:cs="Times New Roman"/>
                <w:spacing w:val="17"/>
                <w:sz w:val="24"/>
                <w:szCs w:val="24"/>
              </w:rPr>
              <w:t xml:space="preserve"> </w:t>
            </w:r>
            <w:r>
              <w:rPr>
                <w:spacing w:val="-2"/>
                <w:sz w:val="24"/>
                <w:szCs w:val="24"/>
              </w:rPr>
              <w:t>范围内的环境保护目标处噪声预测值见下表。</w:t>
            </w:r>
          </w:p>
        </w:tc>
      </w:tr>
    </w:tbl>
    <w:p>
      <w:pPr>
        <w:pStyle w:val="2"/>
        <w:rPr>
          <w:sz w:val="21"/>
        </w:rPr>
      </w:pPr>
    </w:p>
    <w:p>
      <w:pPr>
        <w:rPr>
          <w:sz w:val="21"/>
          <w:szCs w:val="21"/>
        </w:rPr>
        <w:sectPr>
          <w:footerReference r:id="rId109"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5" w:hRule="atLeast"/>
        </w:trPr>
        <w:tc>
          <w:tcPr>
            <w:tcW w:w="465" w:type="dxa"/>
            <w:tcBorders>
              <w:bottom w:val="nil"/>
              <w:right w:val="single" w:color="000000" w:sz="2" w:space="0"/>
            </w:tcBorders>
            <w:vAlign w:val="top"/>
          </w:tcPr>
          <w:p>
            <w:pPr>
              <w:rPr>
                <w:rFonts w:ascii="Arial"/>
                <w:sz w:val="21"/>
              </w:rPr>
            </w:pPr>
          </w:p>
        </w:tc>
        <w:tc>
          <w:tcPr>
            <w:tcW w:w="9385" w:type="dxa"/>
            <w:tcBorders>
              <w:left w:val="single" w:color="000000" w:sz="2" w:space="0"/>
              <w:bottom w:val="nil"/>
            </w:tcBorders>
            <w:vAlign w:val="top"/>
          </w:tcPr>
          <w:p>
            <w:pPr>
              <w:pStyle w:val="6"/>
              <w:spacing w:before="182" w:line="220" w:lineRule="auto"/>
              <w:ind w:left="1828"/>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4.3-11    </w:t>
            </w:r>
            <w:r>
              <w:rPr>
                <w:sz w:val="24"/>
                <w:szCs w:val="24"/>
                <w14:textOutline w14:w="4354" w14:cap="flat" w14:cmpd="sng">
                  <w14:solidFill>
                    <w14:srgbClr w14:val="000000"/>
                  </w14:solidFill>
                  <w14:prstDash w14:val="solid"/>
                  <w14:miter w14:val="10"/>
                </w14:textOutline>
              </w:rPr>
              <w:t>放喷情况下环境保</w:t>
            </w:r>
            <w:r>
              <w:rPr>
                <w:spacing w:val="-1"/>
                <w:sz w:val="24"/>
                <w:szCs w:val="24"/>
                <w14:textOutline w14:w="4354" w14:cap="flat" w14:cmpd="sng">
                  <w14:solidFill>
                    <w14:srgbClr w14:val="000000"/>
                  </w14:solidFill>
                  <w14:prstDash w14:val="solid"/>
                  <w14:miter w14:val="10"/>
                </w14:textOutline>
              </w:rPr>
              <w:t>护目标处噪声预测情况表</w:t>
            </w:r>
          </w:p>
          <w:p>
            <w:pPr>
              <w:spacing w:line="16"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648"/>
              <w:gridCol w:w="650"/>
              <w:gridCol w:w="653"/>
              <w:gridCol w:w="650"/>
              <w:gridCol w:w="425"/>
              <w:gridCol w:w="422"/>
              <w:gridCol w:w="688"/>
              <w:gridCol w:w="689"/>
              <w:gridCol w:w="688"/>
              <w:gridCol w:w="688"/>
              <w:gridCol w:w="653"/>
              <w:gridCol w:w="651"/>
              <w:gridCol w:w="427"/>
              <w:gridCol w:w="4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96" w:type="dxa"/>
                  <w:vMerge w:val="restart"/>
                  <w:tcBorders>
                    <w:bottom w:val="nil"/>
                  </w:tcBorders>
                  <w:vAlign w:val="top"/>
                </w:tcPr>
                <w:p>
                  <w:pPr>
                    <w:pStyle w:val="6"/>
                    <w:spacing w:before="153" w:line="233" w:lineRule="auto"/>
                    <w:ind w:left="132" w:right="126" w:firstLine="2"/>
                    <w:jc w:val="both"/>
                    <w:rPr>
                      <w:sz w:val="18"/>
                      <w:szCs w:val="18"/>
                    </w:rPr>
                  </w:pPr>
                  <w:r>
                    <w:rPr>
                      <w:spacing w:val="-4"/>
                      <w:sz w:val="18"/>
                      <w:szCs w:val="18"/>
                    </w:rPr>
                    <w:t>声环境</w:t>
                  </w:r>
                  <w:r>
                    <w:rPr>
                      <w:sz w:val="18"/>
                      <w:szCs w:val="18"/>
                    </w:rPr>
                    <w:t xml:space="preserve"> </w:t>
                  </w:r>
                  <w:r>
                    <w:rPr>
                      <w:spacing w:val="-3"/>
                      <w:sz w:val="18"/>
                      <w:szCs w:val="18"/>
                    </w:rPr>
                    <w:t>保护目</w:t>
                  </w:r>
                  <w:r>
                    <w:rPr>
                      <w:sz w:val="18"/>
                      <w:szCs w:val="18"/>
                    </w:rPr>
                    <w:t xml:space="preserve"> </w:t>
                  </w:r>
                  <w:r>
                    <w:rPr>
                      <w:spacing w:val="-3"/>
                      <w:sz w:val="18"/>
                      <w:szCs w:val="18"/>
                    </w:rPr>
                    <w:t>标名称</w:t>
                  </w:r>
                </w:p>
              </w:tc>
              <w:tc>
                <w:tcPr>
                  <w:tcW w:w="1298" w:type="dxa"/>
                  <w:gridSpan w:val="2"/>
                  <w:vAlign w:val="top"/>
                </w:tcPr>
                <w:p>
                  <w:pPr>
                    <w:pStyle w:val="6"/>
                    <w:spacing w:before="147" w:line="220" w:lineRule="auto"/>
                    <w:ind w:left="384"/>
                    <w:rPr>
                      <w:sz w:val="18"/>
                      <w:szCs w:val="18"/>
                    </w:rPr>
                  </w:pPr>
                  <w:r>
                    <w:rPr>
                      <w:spacing w:val="-3"/>
                      <w:sz w:val="18"/>
                      <w:szCs w:val="18"/>
                    </w:rPr>
                    <w:t>背景值</w:t>
                  </w:r>
                </w:p>
              </w:tc>
              <w:tc>
                <w:tcPr>
                  <w:tcW w:w="1303" w:type="dxa"/>
                  <w:gridSpan w:val="2"/>
                  <w:vAlign w:val="top"/>
                </w:tcPr>
                <w:p>
                  <w:pPr>
                    <w:pStyle w:val="6"/>
                    <w:spacing w:before="147" w:line="220" w:lineRule="auto"/>
                    <w:ind w:left="386"/>
                    <w:rPr>
                      <w:sz w:val="18"/>
                      <w:szCs w:val="18"/>
                    </w:rPr>
                  </w:pPr>
                  <w:r>
                    <w:rPr>
                      <w:spacing w:val="-3"/>
                      <w:sz w:val="18"/>
                      <w:szCs w:val="18"/>
                    </w:rPr>
                    <w:t>现状值</w:t>
                  </w:r>
                </w:p>
              </w:tc>
              <w:tc>
                <w:tcPr>
                  <w:tcW w:w="847" w:type="dxa"/>
                  <w:gridSpan w:val="2"/>
                  <w:vAlign w:val="top"/>
                </w:tcPr>
                <w:p>
                  <w:pPr>
                    <w:pStyle w:val="6"/>
                    <w:spacing w:before="147" w:line="220" w:lineRule="auto"/>
                    <w:ind w:left="158"/>
                    <w:rPr>
                      <w:sz w:val="18"/>
                      <w:szCs w:val="18"/>
                    </w:rPr>
                  </w:pPr>
                  <w:r>
                    <w:rPr>
                      <w:spacing w:val="-2"/>
                      <w:sz w:val="18"/>
                      <w:szCs w:val="18"/>
                    </w:rPr>
                    <w:t>标准值</w:t>
                  </w:r>
                </w:p>
              </w:tc>
              <w:tc>
                <w:tcPr>
                  <w:tcW w:w="1377" w:type="dxa"/>
                  <w:gridSpan w:val="2"/>
                  <w:vAlign w:val="top"/>
                </w:tcPr>
                <w:p>
                  <w:pPr>
                    <w:pStyle w:val="6"/>
                    <w:spacing w:before="147" w:line="220" w:lineRule="auto"/>
                    <w:ind w:left="423"/>
                    <w:rPr>
                      <w:sz w:val="18"/>
                      <w:szCs w:val="18"/>
                    </w:rPr>
                  </w:pPr>
                  <w:r>
                    <w:rPr>
                      <w:spacing w:val="-3"/>
                      <w:sz w:val="18"/>
                      <w:szCs w:val="18"/>
                    </w:rPr>
                    <w:t>贡献值</w:t>
                  </w:r>
                </w:p>
              </w:tc>
              <w:tc>
                <w:tcPr>
                  <w:tcW w:w="1376" w:type="dxa"/>
                  <w:gridSpan w:val="2"/>
                  <w:vAlign w:val="top"/>
                </w:tcPr>
                <w:p>
                  <w:pPr>
                    <w:pStyle w:val="6"/>
                    <w:spacing w:before="147" w:line="220" w:lineRule="auto"/>
                    <w:ind w:left="424"/>
                    <w:rPr>
                      <w:sz w:val="18"/>
                      <w:szCs w:val="18"/>
                    </w:rPr>
                  </w:pPr>
                  <w:r>
                    <w:rPr>
                      <w:spacing w:val="-2"/>
                      <w:sz w:val="18"/>
                      <w:szCs w:val="18"/>
                    </w:rPr>
                    <w:t>预测值</w:t>
                  </w:r>
                </w:p>
              </w:tc>
              <w:tc>
                <w:tcPr>
                  <w:tcW w:w="1304" w:type="dxa"/>
                  <w:gridSpan w:val="2"/>
                  <w:vAlign w:val="top"/>
                </w:tcPr>
                <w:p>
                  <w:pPr>
                    <w:pStyle w:val="6"/>
                    <w:spacing w:before="147" w:line="220" w:lineRule="auto"/>
                    <w:ind w:left="208"/>
                    <w:rPr>
                      <w:sz w:val="18"/>
                      <w:szCs w:val="18"/>
                    </w:rPr>
                  </w:pPr>
                  <w:r>
                    <w:rPr>
                      <w:spacing w:val="-2"/>
                      <w:sz w:val="18"/>
                      <w:szCs w:val="18"/>
                    </w:rPr>
                    <w:t>较现状增量</w:t>
                  </w:r>
                </w:p>
              </w:tc>
              <w:tc>
                <w:tcPr>
                  <w:tcW w:w="868" w:type="dxa"/>
                  <w:gridSpan w:val="2"/>
                  <w:vAlign w:val="top"/>
                </w:tcPr>
                <w:p>
                  <w:pPr>
                    <w:pStyle w:val="6"/>
                    <w:spacing w:before="30" w:line="220" w:lineRule="auto"/>
                    <w:ind w:left="169"/>
                    <w:rPr>
                      <w:sz w:val="18"/>
                      <w:szCs w:val="18"/>
                    </w:rPr>
                  </w:pPr>
                  <w:r>
                    <w:rPr>
                      <w:spacing w:val="-2"/>
                      <w:sz w:val="18"/>
                      <w:szCs w:val="18"/>
                    </w:rPr>
                    <w:t>达标性</w:t>
                  </w:r>
                </w:p>
                <w:p>
                  <w:pPr>
                    <w:pStyle w:val="6"/>
                    <w:spacing w:before="20" w:line="203" w:lineRule="auto"/>
                    <w:ind w:left="260"/>
                    <w:rPr>
                      <w:sz w:val="18"/>
                      <w:szCs w:val="18"/>
                    </w:rPr>
                  </w:pPr>
                  <w:r>
                    <w:rPr>
                      <w:spacing w:val="-2"/>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96" w:type="dxa"/>
                  <w:vMerge w:val="continue"/>
                  <w:tcBorders>
                    <w:top w:val="nil"/>
                  </w:tcBorders>
                  <w:vAlign w:val="top"/>
                </w:tcPr>
                <w:p>
                  <w:pPr>
                    <w:rPr>
                      <w:rFonts w:ascii="Arial"/>
                      <w:sz w:val="21"/>
                    </w:rPr>
                  </w:pPr>
                </w:p>
              </w:tc>
              <w:tc>
                <w:tcPr>
                  <w:tcW w:w="648" w:type="dxa"/>
                  <w:vAlign w:val="top"/>
                </w:tcPr>
                <w:p>
                  <w:pPr>
                    <w:pStyle w:val="6"/>
                    <w:spacing w:before="147" w:line="222" w:lineRule="auto"/>
                    <w:ind w:left="146"/>
                    <w:rPr>
                      <w:sz w:val="18"/>
                      <w:szCs w:val="18"/>
                    </w:rPr>
                  </w:pPr>
                  <w:r>
                    <w:rPr>
                      <w:spacing w:val="-2"/>
                      <w:sz w:val="18"/>
                      <w:szCs w:val="18"/>
                    </w:rPr>
                    <w:t>昼间</w:t>
                  </w:r>
                </w:p>
              </w:tc>
              <w:tc>
                <w:tcPr>
                  <w:tcW w:w="650" w:type="dxa"/>
                  <w:vAlign w:val="top"/>
                </w:tcPr>
                <w:p>
                  <w:pPr>
                    <w:pStyle w:val="6"/>
                    <w:spacing w:before="146" w:line="220" w:lineRule="auto"/>
                    <w:ind w:left="149"/>
                    <w:rPr>
                      <w:sz w:val="18"/>
                      <w:szCs w:val="18"/>
                    </w:rPr>
                  </w:pPr>
                  <w:r>
                    <w:rPr>
                      <w:spacing w:val="-3"/>
                      <w:sz w:val="18"/>
                      <w:szCs w:val="18"/>
                    </w:rPr>
                    <w:t>夜间</w:t>
                  </w:r>
                </w:p>
              </w:tc>
              <w:tc>
                <w:tcPr>
                  <w:tcW w:w="653" w:type="dxa"/>
                  <w:vAlign w:val="top"/>
                </w:tcPr>
                <w:p>
                  <w:pPr>
                    <w:pStyle w:val="6"/>
                    <w:spacing w:before="147" w:line="222" w:lineRule="auto"/>
                    <w:ind w:left="148"/>
                    <w:rPr>
                      <w:sz w:val="18"/>
                      <w:szCs w:val="18"/>
                    </w:rPr>
                  </w:pPr>
                  <w:r>
                    <w:rPr>
                      <w:spacing w:val="-2"/>
                      <w:sz w:val="18"/>
                      <w:szCs w:val="18"/>
                    </w:rPr>
                    <w:t>昼间</w:t>
                  </w:r>
                </w:p>
              </w:tc>
              <w:tc>
                <w:tcPr>
                  <w:tcW w:w="650" w:type="dxa"/>
                  <w:vAlign w:val="top"/>
                </w:tcPr>
                <w:p>
                  <w:pPr>
                    <w:pStyle w:val="6"/>
                    <w:spacing w:before="146" w:line="220" w:lineRule="auto"/>
                    <w:ind w:left="152"/>
                    <w:rPr>
                      <w:sz w:val="18"/>
                      <w:szCs w:val="18"/>
                    </w:rPr>
                  </w:pPr>
                  <w:r>
                    <w:rPr>
                      <w:spacing w:val="-3"/>
                      <w:sz w:val="18"/>
                      <w:szCs w:val="18"/>
                    </w:rPr>
                    <w:t>夜间</w:t>
                  </w:r>
                </w:p>
              </w:tc>
              <w:tc>
                <w:tcPr>
                  <w:tcW w:w="425" w:type="dxa"/>
                  <w:textDirection w:val="tbRlV"/>
                  <w:vAlign w:val="top"/>
                </w:tcPr>
                <w:p>
                  <w:pPr>
                    <w:pStyle w:val="6"/>
                    <w:spacing w:before="123" w:line="211" w:lineRule="auto"/>
                    <w:ind w:left="29"/>
                    <w:rPr>
                      <w:sz w:val="18"/>
                      <w:szCs w:val="18"/>
                    </w:rPr>
                  </w:pPr>
                  <w:r>
                    <w:rPr>
                      <w:spacing w:val="26"/>
                      <w:sz w:val="18"/>
                      <w:szCs w:val="18"/>
                    </w:rPr>
                    <w:t>昼间</w:t>
                  </w:r>
                </w:p>
              </w:tc>
              <w:tc>
                <w:tcPr>
                  <w:tcW w:w="422" w:type="dxa"/>
                  <w:textDirection w:val="tbRlV"/>
                  <w:vAlign w:val="top"/>
                </w:tcPr>
                <w:p>
                  <w:pPr>
                    <w:pStyle w:val="6"/>
                    <w:spacing w:before="120" w:line="205" w:lineRule="auto"/>
                    <w:ind w:left="29"/>
                    <w:rPr>
                      <w:sz w:val="18"/>
                      <w:szCs w:val="18"/>
                    </w:rPr>
                  </w:pPr>
                  <w:r>
                    <w:rPr>
                      <w:spacing w:val="26"/>
                      <w:sz w:val="18"/>
                      <w:szCs w:val="18"/>
                    </w:rPr>
                    <w:t>夜间</w:t>
                  </w:r>
                </w:p>
              </w:tc>
              <w:tc>
                <w:tcPr>
                  <w:tcW w:w="688" w:type="dxa"/>
                  <w:vAlign w:val="top"/>
                </w:tcPr>
                <w:p>
                  <w:pPr>
                    <w:pStyle w:val="6"/>
                    <w:spacing w:before="147" w:line="222" w:lineRule="auto"/>
                    <w:ind w:left="166"/>
                    <w:rPr>
                      <w:sz w:val="18"/>
                      <w:szCs w:val="18"/>
                    </w:rPr>
                  </w:pPr>
                  <w:r>
                    <w:rPr>
                      <w:spacing w:val="-2"/>
                      <w:sz w:val="18"/>
                      <w:szCs w:val="18"/>
                    </w:rPr>
                    <w:t>昼间</w:t>
                  </w:r>
                </w:p>
              </w:tc>
              <w:tc>
                <w:tcPr>
                  <w:tcW w:w="689" w:type="dxa"/>
                  <w:vAlign w:val="top"/>
                </w:tcPr>
                <w:p>
                  <w:pPr>
                    <w:pStyle w:val="6"/>
                    <w:spacing w:before="146" w:line="220" w:lineRule="auto"/>
                    <w:ind w:left="171"/>
                    <w:rPr>
                      <w:sz w:val="18"/>
                      <w:szCs w:val="18"/>
                    </w:rPr>
                  </w:pPr>
                  <w:r>
                    <w:rPr>
                      <w:spacing w:val="-3"/>
                      <w:sz w:val="18"/>
                      <w:szCs w:val="18"/>
                    </w:rPr>
                    <w:t>夜间</w:t>
                  </w:r>
                </w:p>
              </w:tc>
              <w:tc>
                <w:tcPr>
                  <w:tcW w:w="688" w:type="dxa"/>
                  <w:vAlign w:val="top"/>
                </w:tcPr>
                <w:p>
                  <w:pPr>
                    <w:pStyle w:val="6"/>
                    <w:spacing w:before="147" w:line="222" w:lineRule="auto"/>
                    <w:ind w:left="167"/>
                    <w:rPr>
                      <w:sz w:val="18"/>
                      <w:szCs w:val="18"/>
                    </w:rPr>
                  </w:pPr>
                  <w:r>
                    <w:rPr>
                      <w:spacing w:val="-2"/>
                      <w:sz w:val="18"/>
                      <w:szCs w:val="18"/>
                    </w:rPr>
                    <w:t>昼间</w:t>
                  </w:r>
                </w:p>
              </w:tc>
              <w:tc>
                <w:tcPr>
                  <w:tcW w:w="688" w:type="dxa"/>
                  <w:vAlign w:val="top"/>
                </w:tcPr>
                <w:p>
                  <w:pPr>
                    <w:pStyle w:val="6"/>
                    <w:spacing w:before="146" w:line="220" w:lineRule="auto"/>
                    <w:ind w:left="172"/>
                    <w:rPr>
                      <w:sz w:val="18"/>
                      <w:szCs w:val="18"/>
                    </w:rPr>
                  </w:pPr>
                  <w:r>
                    <w:rPr>
                      <w:spacing w:val="-3"/>
                      <w:sz w:val="18"/>
                      <w:szCs w:val="18"/>
                    </w:rPr>
                    <w:t>夜间</w:t>
                  </w:r>
                </w:p>
              </w:tc>
              <w:tc>
                <w:tcPr>
                  <w:tcW w:w="653" w:type="dxa"/>
                  <w:vAlign w:val="top"/>
                </w:tcPr>
                <w:p>
                  <w:pPr>
                    <w:pStyle w:val="6"/>
                    <w:spacing w:before="147" w:line="222" w:lineRule="auto"/>
                    <w:ind w:left="152"/>
                    <w:rPr>
                      <w:sz w:val="18"/>
                      <w:szCs w:val="18"/>
                    </w:rPr>
                  </w:pPr>
                  <w:r>
                    <w:rPr>
                      <w:spacing w:val="-2"/>
                      <w:sz w:val="18"/>
                      <w:szCs w:val="18"/>
                    </w:rPr>
                    <w:t>昼间</w:t>
                  </w:r>
                </w:p>
              </w:tc>
              <w:tc>
                <w:tcPr>
                  <w:tcW w:w="651" w:type="dxa"/>
                  <w:vAlign w:val="top"/>
                </w:tcPr>
                <w:p>
                  <w:pPr>
                    <w:pStyle w:val="6"/>
                    <w:spacing w:before="146" w:line="220" w:lineRule="auto"/>
                    <w:ind w:left="156"/>
                    <w:rPr>
                      <w:sz w:val="18"/>
                      <w:szCs w:val="18"/>
                    </w:rPr>
                  </w:pPr>
                  <w:r>
                    <w:rPr>
                      <w:spacing w:val="-3"/>
                      <w:sz w:val="18"/>
                      <w:szCs w:val="18"/>
                    </w:rPr>
                    <w:t>夜间</w:t>
                  </w:r>
                </w:p>
              </w:tc>
              <w:tc>
                <w:tcPr>
                  <w:tcW w:w="427" w:type="dxa"/>
                  <w:textDirection w:val="tbRlV"/>
                  <w:vAlign w:val="top"/>
                </w:tcPr>
                <w:p>
                  <w:pPr>
                    <w:pStyle w:val="6"/>
                    <w:spacing w:before="118" w:line="211" w:lineRule="auto"/>
                    <w:ind w:left="29"/>
                    <w:rPr>
                      <w:sz w:val="18"/>
                      <w:szCs w:val="18"/>
                    </w:rPr>
                  </w:pPr>
                  <w:r>
                    <w:rPr>
                      <w:spacing w:val="26"/>
                      <w:sz w:val="18"/>
                      <w:szCs w:val="18"/>
                    </w:rPr>
                    <w:t>昼间</w:t>
                  </w:r>
                </w:p>
              </w:tc>
              <w:tc>
                <w:tcPr>
                  <w:tcW w:w="441" w:type="dxa"/>
                  <w:textDirection w:val="tbRlV"/>
                  <w:vAlign w:val="top"/>
                </w:tcPr>
                <w:p>
                  <w:pPr>
                    <w:pStyle w:val="6"/>
                    <w:spacing w:before="129" w:line="205" w:lineRule="auto"/>
                    <w:ind w:left="29"/>
                    <w:rPr>
                      <w:sz w:val="18"/>
                      <w:szCs w:val="18"/>
                    </w:rPr>
                  </w:pPr>
                  <w:r>
                    <w:rPr>
                      <w:spacing w:val="26"/>
                      <w:sz w:val="18"/>
                      <w:szCs w:val="18"/>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96" w:type="dxa"/>
                  <w:vAlign w:val="top"/>
                </w:tcPr>
                <w:p>
                  <w:pPr>
                    <w:pStyle w:val="6"/>
                    <w:spacing w:before="34" w:line="216" w:lineRule="auto"/>
                    <w:ind w:left="320" w:right="123" w:hanging="189"/>
                    <w:rPr>
                      <w:sz w:val="18"/>
                      <w:szCs w:val="18"/>
                    </w:rPr>
                  </w:pPr>
                  <w:r>
                    <w:rPr>
                      <w:rFonts w:ascii="Times New Roman" w:hAnsi="Times New Roman" w:eastAsia="Times New Roman" w:cs="Times New Roman"/>
                      <w:spacing w:val="-2"/>
                      <w:sz w:val="18"/>
                      <w:szCs w:val="18"/>
                    </w:rPr>
                    <w:t>7#</w:t>
                  </w:r>
                  <w:r>
                    <w:rPr>
                      <w:spacing w:val="-2"/>
                      <w:sz w:val="18"/>
                      <w:szCs w:val="18"/>
                    </w:rPr>
                    <w:t>居民</w:t>
                  </w:r>
                  <w:r>
                    <w:rPr>
                      <w:spacing w:val="2"/>
                      <w:sz w:val="18"/>
                      <w:szCs w:val="18"/>
                    </w:rPr>
                    <w:t xml:space="preserve"> </w:t>
                  </w:r>
                  <w:r>
                    <w:rPr>
                      <w:sz w:val="18"/>
                      <w:szCs w:val="18"/>
                    </w:rPr>
                    <w:t>点</w:t>
                  </w:r>
                </w:p>
              </w:tc>
              <w:tc>
                <w:tcPr>
                  <w:tcW w:w="648" w:type="dxa"/>
                  <w:vAlign w:val="top"/>
                </w:tcPr>
                <w:p>
                  <w:pPr>
                    <w:spacing w:before="187" w:line="183"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84"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653" w:type="dxa"/>
                  <w:vAlign w:val="top"/>
                </w:tcPr>
                <w:p>
                  <w:pPr>
                    <w:spacing w:before="187" w:line="183"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650" w:type="dxa"/>
                  <w:vAlign w:val="top"/>
                </w:tcPr>
                <w:p>
                  <w:pPr>
                    <w:spacing w:before="184"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25" w:type="dxa"/>
                  <w:vAlign w:val="top"/>
                </w:tcPr>
                <w:p>
                  <w:pPr>
                    <w:spacing w:before="184" w:line="186"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2" w:type="dxa"/>
                  <w:vAlign w:val="top"/>
                </w:tcPr>
                <w:p>
                  <w:pPr>
                    <w:spacing w:before="184"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88" w:type="dxa"/>
                  <w:vAlign w:val="top"/>
                </w:tcPr>
                <w:p>
                  <w:pPr>
                    <w:spacing w:before="184" w:line="186"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63.30</w:t>
                  </w:r>
                </w:p>
              </w:tc>
              <w:tc>
                <w:tcPr>
                  <w:tcW w:w="689" w:type="dxa"/>
                  <w:vAlign w:val="top"/>
                </w:tcPr>
                <w:p>
                  <w:pPr>
                    <w:spacing w:before="184"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63.30</w:t>
                  </w:r>
                </w:p>
              </w:tc>
              <w:tc>
                <w:tcPr>
                  <w:tcW w:w="688" w:type="dxa"/>
                  <w:vAlign w:val="top"/>
                </w:tcPr>
                <w:p>
                  <w:pPr>
                    <w:spacing w:before="184"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63.90</w:t>
                  </w:r>
                </w:p>
              </w:tc>
              <w:tc>
                <w:tcPr>
                  <w:tcW w:w="688" w:type="dxa"/>
                  <w:vAlign w:val="top"/>
                </w:tcPr>
                <w:p>
                  <w:pPr>
                    <w:spacing w:before="184"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63.35</w:t>
                  </w:r>
                </w:p>
              </w:tc>
              <w:tc>
                <w:tcPr>
                  <w:tcW w:w="653" w:type="dxa"/>
                  <w:vAlign w:val="top"/>
                </w:tcPr>
                <w:p>
                  <w:pPr>
                    <w:spacing w:before="184" w:line="186" w:lineRule="auto"/>
                    <w:ind w:left="2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8.9</w:t>
                  </w:r>
                </w:p>
              </w:tc>
              <w:tc>
                <w:tcPr>
                  <w:tcW w:w="651" w:type="dxa"/>
                  <w:vAlign w:val="top"/>
                </w:tcPr>
                <w:p>
                  <w:pPr>
                    <w:spacing w:before="184"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19.35</w:t>
                  </w:r>
                </w:p>
              </w:tc>
              <w:tc>
                <w:tcPr>
                  <w:tcW w:w="427" w:type="dxa"/>
                  <w:textDirection w:val="tbRlV"/>
                  <w:vAlign w:val="top"/>
                </w:tcPr>
                <w:p>
                  <w:pPr>
                    <w:pStyle w:val="6"/>
                    <w:spacing w:before="117" w:line="209" w:lineRule="auto"/>
                    <w:ind w:left="34"/>
                    <w:rPr>
                      <w:sz w:val="18"/>
                      <w:szCs w:val="18"/>
                    </w:rPr>
                  </w:pPr>
                  <w:r>
                    <w:rPr>
                      <w:spacing w:val="26"/>
                      <w:sz w:val="18"/>
                      <w:szCs w:val="18"/>
                    </w:rPr>
                    <w:t>超标</w:t>
                  </w:r>
                </w:p>
              </w:tc>
              <w:tc>
                <w:tcPr>
                  <w:tcW w:w="441" w:type="dxa"/>
                  <w:textDirection w:val="tbRlV"/>
                  <w:vAlign w:val="top"/>
                </w:tcPr>
                <w:p>
                  <w:pPr>
                    <w:pStyle w:val="6"/>
                    <w:spacing w:before="129" w:line="209" w:lineRule="auto"/>
                    <w:ind w:left="34"/>
                    <w:rPr>
                      <w:sz w:val="18"/>
                      <w:szCs w:val="18"/>
                    </w:rPr>
                  </w:pPr>
                  <w:r>
                    <w:rPr>
                      <w:spacing w:val="26"/>
                      <w:sz w:val="18"/>
                      <w:szCs w:val="18"/>
                    </w:rPr>
                    <w:t>超标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96" w:type="dxa"/>
                  <w:vAlign w:val="top"/>
                </w:tcPr>
                <w:p>
                  <w:pPr>
                    <w:pStyle w:val="6"/>
                    <w:spacing w:before="37" w:line="216" w:lineRule="auto"/>
                    <w:ind w:left="320" w:right="123" w:hanging="185"/>
                    <w:rPr>
                      <w:sz w:val="18"/>
                      <w:szCs w:val="18"/>
                    </w:rPr>
                  </w:pPr>
                  <w:r>
                    <w:rPr>
                      <w:rFonts w:ascii="Times New Roman" w:hAnsi="Times New Roman" w:eastAsia="Times New Roman" w:cs="Times New Roman"/>
                      <w:spacing w:val="-3"/>
                      <w:sz w:val="18"/>
                      <w:szCs w:val="18"/>
                    </w:rPr>
                    <w:t>8#</w:t>
                  </w:r>
                  <w:r>
                    <w:rPr>
                      <w:spacing w:val="-3"/>
                      <w:sz w:val="18"/>
                      <w:szCs w:val="18"/>
                    </w:rPr>
                    <w:t>居民</w:t>
                  </w:r>
                  <w:r>
                    <w:rPr>
                      <w:spacing w:val="2"/>
                      <w:sz w:val="18"/>
                      <w:szCs w:val="18"/>
                    </w:rPr>
                    <w:t xml:space="preserve"> </w:t>
                  </w:r>
                  <w:r>
                    <w:rPr>
                      <w:sz w:val="18"/>
                      <w:szCs w:val="18"/>
                    </w:rPr>
                    <w:t>点</w:t>
                  </w:r>
                </w:p>
              </w:tc>
              <w:tc>
                <w:tcPr>
                  <w:tcW w:w="648" w:type="dxa"/>
                  <w:vAlign w:val="top"/>
                </w:tcPr>
                <w:p>
                  <w:pPr>
                    <w:spacing w:before="193" w:line="183"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91"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653" w:type="dxa"/>
                  <w:vAlign w:val="top"/>
                </w:tcPr>
                <w:p>
                  <w:pPr>
                    <w:spacing w:before="193" w:line="183"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91"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25" w:type="dxa"/>
                  <w:vAlign w:val="top"/>
                </w:tcPr>
                <w:p>
                  <w:pPr>
                    <w:spacing w:before="191" w:line="186"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2" w:type="dxa"/>
                  <w:vAlign w:val="top"/>
                </w:tcPr>
                <w:p>
                  <w:pPr>
                    <w:spacing w:before="191"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88" w:type="dxa"/>
                  <w:vAlign w:val="top"/>
                </w:tcPr>
                <w:p>
                  <w:pPr>
                    <w:spacing w:before="191" w:line="186"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67.54</w:t>
                  </w:r>
                </w:p>
              </w:tc>
              <w:tc>
                <w:tcPr>
                  <w:tcW w:w="689" w:type="dxa"/>
                  <w:vAlign w:val="top"/>
                </w:tcPr>
                <w:p>
                  <w:pPr>
                    <w:spacing w:before="191"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67.54</w:t>
                  </w:r>
                </w:p>
              </w:tc>
              <w:tc>
                <w:tcPr>
                  <w:tcW w:w="688" w:type="dxa"/>
                  <w:vAlign w:val="top"/>
                </w:tcPr>
                <w:p>
                  <w:pPr>
                    <w:spacing w:before="191"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67.78</w:t>
                  </w:r>
                </w:p>
              </w:tc>
              <w:tc>
                <w:tcPr>
                  <w:tcW w:w="688" w:type="dxa"/>
                  <w:vAlign w:val="top"/>
                </w:tcPr>
                <w:p>
                  <w:pPr>
                    <w:spacing w:before="191"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67.56</w:t>
                  </w:r>
                </w:p>
              </w:tc>
              <w:tc>
                <w:tcPr>
                  <w:tcW w:w="653" w:type="dxa"/>
                  <w:vAlign w:val="top"/>
                </w:tcPr>
                <w:p>
                  <w:pPr>
                    <w:spacing w:before="191"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12.78</w:t>
                  </w:r>
                </w:p>
              </w:tc>
              <w:tc>
                <w:tcPr>
                  <w:tcW w:w="651" w:type="dxa"/>
                  <w:vAlign w:val="top"/>
                </w:tcPr>
                <w:p>
                  <w:pPr>
                    <w:spacing w:before="191" w:line="186"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23.56</w:t>
                  </w:r>
                </w:p>
              </w:tc>
              <w:tc>
                <w:tcPr>
                  <w:tcW w:w="427" w:type="dxa"/>
                  <w:textDirection w:val="tbRlV"/>
                  <w:vAlign w:val="top"/>
                </w:tcPr>
                <w:p>
                  <w:pPr>
                    <w:pStyle w:val="6"/>
                    <w:spacing w:before="117" w:line="209" w:lineRule="auto"/>
                    <w:ind w:left="38"/>
                    <w:rPr>
                      <w:sz w:val="18"/>
                      <w:szCs w:val="18"/>
                    </w:rPr>
                  </w:pPr>
                  <w:r>
                    <w:rPr>
                      <w:sz w:val="18"/>
                      <w:szCs w:val="18"/>
                    </w:rPr>
                    <w:t>超</w:t>
                  </w:r>
                  <w:r>
                    <w:rPr>
                      <w:spacing w:val="-35"/>
                      <w:sz w:val="18"/>
                      <w:szCs w:val="18"/>
                    </w:rPr>
                    <w:t xml:space="preserve"> </w:t>
                  </w:r>
                  <w:r>
                    <w:rPr>
                      <w:sz w:val="18"/>
                      <w:szCs w:val="18"/>
                    </w:rPr>
                    <w:t>标</w:t>
                  </w:r>
                </w:p>
              </w:tc>
              <w:tc>
                <w:tcPr>
                  <w:tcW w:w="441" w:type="dxa"/>
                  <w:textDirection w:val="tbRlV"/>
                  <w:vAlign w:val="top"/>
                </w:tcPr>
                <w:p>
                  <w:pPr>
                    <w:pStyle w:val="6"/>
                    <w:spacing w:before="129" w:line="209" w:lineRule="auto"/>
                    <w:ind w:left="38"/>
                    <w:rPr>
                      <w:sz w:val="18"/>
                      <w:szCs w:val="18"/>
                    </w:rPr>
                  </w:pPr>
                  <w:r>
                    <w:rPr>
                      <w:sz w:val="18"/>
                      <w:szCs w:val="18"/>
                    </w:rPr>
                    <w:t>超</w:t>
                  </w:r>
                  <w:r>
                    <w:rPr>
                      <w:spacing w:val="-35"/>
                      <w:sz w:val="18"/>
                      <w:szCs w:val="18"/>
                    </w:rPr>
                    <w:t xml:space="preserve"> </w:t>
                  </w:r>
                  <w:r>
                    <w:rPr>
                      <w:sz w:val="18"/>
                      <w:szCs w:val="18"/>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96" w:type="dxa"/>
                  <w:vAlign w:val="top"/>
                </w:tcPr>
                <w:p>
                  <w:pPr>
                    <w:pStyle w:val="6"/>
                    <w:spacing w:before="41" w:line="216" w:lineRule="auto"/>
                    <w:ind w:left="319" w:right="123" w:hanging="188"/>
                    <w:rPr>
                      <w:sz w:val="18"/>
                      <w:szCs w:val="18"/>
                    </w:rPr>
                  </w:pPr>
                  <w:r>
                    <w:rPr>
                      <w:rFonts w:ascii="Times New Roman" w:hAnsi="Times New Roman" w:eastAsia="Times New Roman" w:cs="Times New Roman"/>
                      <w:spacing w:val="-2"/>
                      <w:sz w:val="18"/>
                      <w:szCs w:val="18"/>
                    </w:rPr>
                    <w:t>9#</w:t>
                  </w:r>
                  <w:r>
                    <w:rPr>
                      <w:spacing w:val="-2"/>
                      <w:sz w:val="18"/>
                      <w:szCs w:val="18"/>
                    </w:rPr>
                    <w:t>居民</w:t>
                  </w:r>
                  <w:r>
                    <w:rPr>
                      <w:spacing w:val="2"/>
                      <w:sz w:val="18"/>
                      <w:szCs w:val="18"/>
                    </w:rPr>
                    <w:t xml:space="preserve"> </w:t>
                  </w:r>
                  <w:r>
                    <w:rPr>
                      <w:sz w:val="18"/>
                      <w:szCs w:val="18"/>
                    </w:rPr>
                    <w:t>点</w:t>
                  </w:r>
                </w:p>
              </w:tc>
              <w:tc>
                <w:tcPr>
                  <w:tcW w:w="648" w:type="dxa"/>
                  <w:vAlign w:val="top"/>
                </w:tcPr>
                <w:p>
                  <w:pPr>
                    <w:spacing w:before="195" w:line="183"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92"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653" w:type="dxa"/>
                  <w:vAlign w:val="top"/>
                </w:tcPr>
                <w:p>
                  <w:pPr>
                    <w:spacing w:before="195" w:line="183"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650" w:type="dxa"/>
                  <w:vAlign w:val="top"/>
                </w:tcPr>
                <w:p>
                  <w:pPr>
                    <w:spacing w:before="192"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425" w:type="dxa"/>
                  <w:vAlign w:val="top"/>
                </w:tcPr>
                <w:p>
                  <w:pPr>
                    <w:spacing w:before="192" w:line="186"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422" w:type="dxa"/>
                  <w:vAlign w:val="top"/>
                </w:tcPr>
                <w:p>
                  <w:pPr>
                    <w:spacing w:before="192"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88" w:type="dxa"/>
                  <w:vAlign w:val="top"/>
                </w:tcPr>
                <w:p>
                  <w:pPr>
                    <w:spacing w:before="192" w:line="186"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61.44</w:t>
                  </w:r>
                </w:p>
              </w:tc>
              <w:tc>
                <w:tcPr>
                  <w:tcW w:w="689" w:type="dxa"/>
                  <w:vAlign w:val="top"/>
                </w:tcPr>
                <w:p>
                  <w:pPr>
                    <w:spacing w:before="192"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61.44</w:t>
                  </w:r>
                </w:p>
              </w:tc>
              <w:tc>
                <w:tcPr>
                  <w:tcW w:w="688" w:type="dxa"/>
                  <w:vAlign w:val="top"/>
                </w:tcPr>
                <w:p>
                  <w:pPr>
                    <w:spacing w:before="192" w:line="186"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62.33</w:t>
                  </w:r>
                </w:p>
              </w:tc>
              <w:tc>
                <w:tcPr>
                  <w:tcW w:w="688" w:type="dxa"/>
                  <w:vAlign w:val="top"/>
                </w:tcPr>
                <w:p>
                  <w:pPr>
                    <w:spacing w:before="192" w:line="186"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61.52</w:t>
                  </w:r>
                </w:p>
              </w:tc>
              <w:tc>
                <w:tcPr>
                  <w:tcW w:w="653" w:type="dxa"/>
                  <w:vAlign w:val="top"/>
                </w:tcPr>
                <w:p>
                  <w:pPr>
                    <w:spacing w:before="192" w:line="186" w:lineRule="auto"/>
                    <w:ind w:left="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7.33</w:t>
                  </w:r>
                </w:p>
              </w:tc>
              <w:tc>
                <w:tcPr>
                  <w:tcW w:w="651" w:type="dxa"/>
                  <w:vAlign w:val="top"/>
                </w:tcPr>
                <w:p>
                  <w:pPr>
                    <w:spacing w:before="192" w:line="186"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17.52</w:t>
                  </w:r>
                </w:p>
              </w:tc>
              <w:tc>
                <w:tcPr>
                  <w:tcW w:w="427" w:type="dxa"/>
                  <w:textDirection w:val="tbRlV"/>
                  <w:vAlign w:val="top"/>
                </w:tcPr>
                <w:p>
                  <w:pPr>
                    <w:pStyle w:val="6"/>
                    <w:spacing w:before="117" w:line="209" w:lineRule="auto"/>
                    <w:ind w:left="41"/>
                    <w:rPr>
                      <w:sz w:val="18"/>
                      <w:szCs w:val="18"/>
                    </w:rPr>
                  </w:pPr>
                  <w:r>
                    <w:rPr>
                      <w:spacing w:val="26"/>
                      <w:sz w:val="18"/>
                      <w:szCs w:val="18"/>
                    </w:rPr>
                    <w:t>超标</w:t>
                  </w:r>
                </w:p>
              </w:tc>
              <w:tc>
                <w:tcPr>
                  <w:tcW w:w="441" w:type="dxa"/>
                  <w:textDirection w:val="tbRlV"/>
                  <w:vAlign w:val="top"/>
                </w:tcPr>
                <w:p>
                  <w:pPr>
                    <w:pStyle w:val="6"/>
                    <w:spacing w:before="129" w:line="209" w:lineRule="auto"/>
                    <w:ind w:left="41"/>
                    <w:rPr>
                      <w:sz w:val="18"/>
                      <w:szCs w:val="18"/>
                    </w:rPr>
                  </w:pPr>
                  <w:r>
                    <w:rPr>
                      <w:spacing w:val="26"/>
                      <w:sz w:val="18"/>
                      <w:szCs w:val="18"/>
                    </w:rPr>
                    <w:t>超标</w:t>
                  </w:r>
                </w:p>
              </w:tc>
            </w:tr>
          </w:tbl>
          <w:p>
            <w:pPr>
              <w:spacing w:line="14" w:lineRule="auto"/>
              <w:rPr>
                <w:rFonts w:ascii="Arial"/>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6" w:hRule="atLeast"/>
        </w:trPr>
        <w:tc>
          <w:tcPr>
            <w:tcW w:w="465" w:type="dxa"/>
            <w:tcBorders>
              <w:top w:val="nil"/>
              <w:bottom w:val="nil"/>
              <w:right w:val="single" w:color="000000" w:sz="2" w:space="0"/>
            </w:tcBorders>
            <w:vAlign w:val="top"/>
          </w:tcPr>
          <w:p>
            <w:pPr>
              <w:rPr>
                <w:rFonts w:ascii="Arial"/>
                <w:sz w:val="21"/>
              </w:rPr>
            </w:pPr>
          </w:p>
        </w:tc>
        <w:tc>
          <w:tcPr>
            <w:tcW w:w="9385" w:type="dxa"/>
            <w:tcBorders>
              <w:top w:val="nil"/>
              <w:left w:val="single" w:color="000000" w:sz="2" w:space="0"/>
              <w:bottom w:val="nil"/>
            </w:tcBorders>
            <w:vAlign w:val="top"/>
          </w:tcPr>
          <w:p>
            <w:pPr>
              <w:spacing w:before="4" w:line="6541" w:lineRule="exact"/>
              <w:ind w:firstLine="148"/>
            </w:pPr>
            <w:r>
              <w:rPr>
                <w:position w:val="-130"/>
              </w:rPr>
              <w:drawing>
                <wp:inline distT="0" distB="0" distL="0" distR="0">
                  <wp:extent cx="5760085" cy="415353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26"/>
                          <a:stretch>
                            <a:fillRect/>
                          </a:stretch>
                        </pic:blipFill>
                        <pic:spPr>
                          <a:xfrm>
                            <a:off x="0" y="0"/>
                            <a:ext cx="5760719" cy="4153789"/>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465" w:type="dxa"/>
            <w:tcBorders>
              <w:top w:val="nil"/>
              <w:right w:val="single" w:color="000000" w:sz="2" w:space="0"/>
            </w:tcBorders>
            <w:vAlign w:val="top"/>
          </w:tcPr>
          <w:p>
            <w:pPr>
              <w:rPr>
                <w:rFonts w:ascii="Arial"/>
                <w:sz w:val="21"/>
              </w:rPr>
            </w:pPr>
          </w:p>
        </w:tc>
        <w:tc>
          <w:tcPr>
            <w:tcW w:w="9385" w:type="dxa"/>
            <w:tcBorders>
              <w:top w:val="nil"/>
              <w:left w:val="single" w:color="000000" w:sz="2" w:space="0"/>
            </w:tcBorders>
            <w:vAlign w:val="top"/>
          </w:tcPr>
          <w:p>
            <w:pPr>
              <w:pStyle w:val="6"/>
              <w:spacing w:before="193" w:line="220" w:lineRule="auto"/>
              <w:ind w:left="1185"/>
              <w:rPr>
                <w:sz w:val="24"/>
                <w:szCs w:val="24"/>
              </w:rPr>
            </w:pPr>
            <w:r>
              <w:rPr>
                <w:spacing w:val="-1"/>
                <w:sz w:val="24"/>
                <w:szCs w:val="24"/>
                <w14:textOutline w14:w="4354" w14:cap="flat" w14:cmpd="sng">
                  <w14:solidFill>
                    <w14:srgbClr w14:val="000000"/>
                  </w14:solidFill>
                  <w14:prstDash w14:val="solid"/>
                  <w14:miter w14:val="10"/>
                </w14:textOutline>
              </w:rPr>
              <w:t>图</w:t>
            </w:r>
            <w:r>
              <w:rPr>
                <w:spacing w:val="-33"/>
                <w:sz w:val="24"/>
                <w:szCs w:val="24"/>
              </w:rPr>
              <w:t xml:space="preserve"> </w:t>
            </w:r>
            <w:r>
              <w:rPr>
                <w:rFonts w:ascii="Times New Roman" w:hAnsi="Times New Roman" w:eastAsia="Times New Roman" w:cs="Times New Roman"/>
                <w:b/>
                <w:bCs/>
                <w:spacing w:val="-1"/>
                <w:sz w:val="24"/>
                <w:szCs w:val="24"/>
              </w:rPr>
              <w:t xml:space="preserve">4.3-8    </w:t>
            </w:r>
            <w:r>
              <w:rPr>
                <w:spacing w:val="-1"/>
                <w:sz w:val="24"/>
                <w:szCs w:val="24"/>
                <w14:textOutline w14:w="4354" w14:cap="flat" w14:cmpd="sng">
                  <w14:solidFill>
                    <w14:srgbClr w14:val="000000"/>
                  </w14:solidFill>
                  <w14:prstDash w14:val="solid"/>
                  <w14:miter w14:val="10"/>
                </w14:textOutline>
              </w:rPr>
              <w:t>昼间放喷时环境保护目标处昼间等效噪声预测等声值线图</w:t>
            </w:r>
          </w:p>
        </w:tc>
      </w:tr>
    </w:tbl>
    <w:p>
      <w:pPr>
        <w:pStyle w:val="2"/>
        <w:rPr>
          <w:sz w:val="21"/>
        </w:rPr>
      </w:pPr>
    </w:p>
    <w:p>
      <w:pPr>
        <w:rPr>
          <w:sz w:val="21"/>
          <w:szCs w:val="21"/>
        </w:rPr>
        <w:sectPr>
          <w:footerReference r:id="rId110"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3" w:hRule="atLeast"/>
        </w:trPr>
        <w:tc>
          <w:tcPr>
            <w:tcW w:w="465" w:type="dxa"/>
            <w:tcBorders>
              <w:bottom w:val="nil"/>
              <w:right w:val="single" w:color="000000" w:sz="2" w:space="0"/>
            </w:tcBorders>
            <w:vAlign w:val="top"/>
          </w:tcPr>
          <w:p>
            <w:pPr>
              <w:rPr>
                <w:rFonts w:ascii="Arial"/>
                <w:sz w:val="21"/>
              </w:rPr>
            </w:pPr>
          </w:p>
        </w:tc>
        <w:tc>
          <w:tcPr>
            <w:tcW w:w="9385" w:type="dxa"/>
            <w:tcBorders>
              <w:left w:val="single" w:color="000000" w:sz="2" w:space="0"/>
              <w:bottom w:val="nil"/>
            </w:tcBorders>
            <w:vAlign w:val="top"/>
          </w:tcPr>
          <w:p>
            <w:pPr>
              <w:spacing w:before="4" w:line="6548" w:lineRule="exact"/>
              <w:ind w:firstLine="148"/>
            </w:pPr>
            <w:r>
              <w:rPr>
                <w:position w:val="-130"/>
              </w:rPr>
              <w:drawing>
                <wp:inline distT="0" distB="0" distL="0" distR="0">
                  <wp:extent cx="5760085" cy="41579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27"/>
                          <a:stretch>
                            <a:fillRect/>
                          </a:stretch>
                        </pic:blipFill>
                        <pic:spPr>
                          <a:xfrm>
                            <a:off x="0" y="0"/>
                            <a:ext cx="5760719" cy="4158234"/>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4" w:hRule="atLeast"/>
        </w:trPr>
        <w:tc>
          <w:tcPr>
            <w:tcW w:w="465" w:type="dxa"/>
            <w:tcBorders>
              <w:top w:val="nil"/>
              <w:right w:val="single" w:color="000000" w:sz="2" w:space="0"/>
            </w:tcBorders>
            <w:vAlign w:val="top"/>
          </w:tcPr>
          <w:p>
            <w:pPr>
              <w:rPr>
                <w:rFonts w:ascii="Arial"/>
                <w:sz w:val="21"/>
              </w:rPr>
            </w:pPr>
          </w:p>
        </w:tc>
        <w:tc>
          <w:tcPr>
            <w:tcW w:w="9385" w:type="dxa"/>
            <w:tcBorders>
              <w:top w:val="nil"/>
              <w:left w:val="single" w:color="000000" w:sz="2" w:space="0"/>
            </w:tcBorders>
            <w:vAlign w:val="top"/>
          </w:tcPr>
          <w:p>
            <w:pPr>
              <w:pStyle w:val="6"/>
              <w:spacing w:before="185" w:line="220" w:lineRule="auto"/>
              <w:ind w:left="1245"/>
              <w:rPr>
                <w:sz w:val="24"/>
                <w:szCs w:val="24"/>
              </w:rPr>
            </w:pPr>
            <w:r>
              <w:rPr>
                <w:spacing w:val="-1"/>
                <w:sz w:val="24"/>
                <w:szCs w:val="24"/>
                <w14:textOutline w14:w="4354" w14:cap="flat" w14:cmpd="sng">
                  <w14:solidFill>
                    <w14:srgbClr w14:val="000000"/>
                  </w14:solidFill>
                  <w14:prstDash w14:val="solid"/>
                  <w14:miter w14:val="10"/>
                </w14:textOutline>
              </w:rPr>
              <w:t>图</w:t>
            </w:r>
            <w:r>
              <w:rPr>
                <w:spacing w:val="-35"/>
                <w:sz w:val="24"/>
                <w:szCs w:val="24"/>
              </w:rPr>
              <w:t xml:space="preserve"> </w:t>
            </w:r>
            <w:r>
              <w:rPr>
                <w:rFonts w:ascii="Times New Roman" w:hAnsi="Times New Roman" w:eastAsia="Times New Roman" w:cs="Times New Roman"/>
                <w:b/>
                <w:bCs/>
                <w:spacing w:val="-1"/>
                <w:sz w:val="24"/>
                <w:szCs w:val="24"/>
              </w:rPr>
              <w:t xml:space="preserve">4.3-9  </w:t>
            </w:r>
            <w:r>
              <w:rPr>
                <w:spacing w:val="-1"/>
                <w:sz w:val="24"/>
                <w:szCs w:val="24"/>
                <w14:textOutline w14:w="4354" w14:cap="flat" w14:cmpd="sng">
                  <w14:solidFill>
                    <w14:srgbClr w14:val="000000"/>
                  </w14:solidFill>
                  <w14:prstDash w14:val="solid"/>
                  <w14:miter w14:val="10"/>
                </w14:textOutline>
              </w:rPr>
              <w:t>夜间放喷时环境保护目标处夜间等效噪声预测等声值线图</w:t>
            </w:r>
          </w:p>
          <w:p>
            <w:pPr>
              <w:pStyle w:val="6"/>
              <w:spacing w:before="196" w:line="369" w:lineRule="auto"/>
              <w:ind w:left="106" w:right="99" w:firstLine="482"/>
              <w:jc w:val="both"/>
              <w:rPr>
                <w:sz w:val="24"/>
                <w:szCs w:val="24"/>
              </w:rPr>
            </w:pPr>
            <w:r>
              <w:rPr>
                <w:spacing w:val="-2"/>
                <w:sz w:val="24"/>
                <w:szCs w:val="24"/>
              </w:rPr>
              <w:t>测试放喷过程环境保护目标处昼间、夜间影响值均超标，</w:t>
            </w:r>
            <w:r>
              <w:rPr>
                <w:spacing w:val="-5"/>
                <w:sz w:val="24"/>
                <w:szCs w:val="24"/>
              </w:rPr>
              <w:t xml:space="preserve"> </w:t>
            </w:r>
            <w:r>
              <w:rPr>
                <w:spacing w:val="-2"/>
                <w:sz w:val="24"/>
                <w:szCs w:val="24"/>
              </w:rPr>
              <w:t>但测试放喷时间短，随着</w:t>
            </w:r>
            <w:r>
              <w:rPr>
                <w:sz w:val="24"/>
                <w:szCs w:val="24"/>
              </w:rPr>
              <w:t xml:space="preserve"> </w:t>
            </w:r>
            <w:r>
              <w:rPr>
                <w:spacing w:val="-2"/>
                <w:sz w:val="24"/>
                <w:szCs w:val="24"/>
              </w:rPr>
              <w:t>测试的结束，噪声影响也消失， 影响可以接受。本项目应根据施工时居民点处的实测噪</w:t>
            </w:r>
            <w:r>
              <w:rPr>
                <w:spacing w:val="6"/>
                <w:sz w:val="24"/>
                <w:szCs w:val="24"/>
              </w:rPr>
              <w:t xml:space="preserve"> </w:t>
            </w:r>
            <w:r>
              <w:rPr>
                <w:spacing w:val="1"/>
                <w:sz w:val="24"/>
                <w:szCs w:val="24"/>
              </w:rPr>
              <w:t>声值情况，采取协商补偿、临时避让措施（可租用当地民房、在噪声达标距离之外进行</w:t>
            </w:r>
            <w:r>
              <w:rPr>
                <w:spacing w:val="6"/>
                <w:sz w:val="24"/>
                <w:szCs w:val="24"/>
              </w:rPr>
              <w:t xml:space="preserve"> </w:t>
            </w:r>
            <w:r>
              <w:rPr>
                <w:sz w:val="24"/>
                <w:szCs w:val="24"/>
              </w:rPr>
              <w:t>妥善安置等</w:t>
            </w:r>
            <w:r>
              <w:rPr>
                <w:spacing w:val="-41"/>
                <w:sz w:val="24"/>
                <w:szCs w:val="24"/>
              </w:rPr>
              <w:t>），</w:t>
            </w:r>
            <w:r>
              <w:rPr>
                <w:spacing w:val="4"/>
                <w:sz w:val="24"/>
                <w:szCs w:val="24"/>
              </w:rPr>
              <w:t xml:space="preserve"> </w:t>
            </w:r>
            <w:r>
              <w:rPr>
                <w:sz w:val="24"/>
                <w:szCs w:val="24"/>
              </w:rPr>
              <w:t xml:space="preserve">同时放喷前通过与当地村委会、居民提前沟通，并做好宣传、讲解及安 </w:t>
            </w:r>
            <w:r>
              <w:rPr>
                <w:spacing w:val="-2"/>
                <w:sz w:val="24"/>
                <w:szCs w:val="24"/>
              </w:rPr>
              <w:t>抚工作， 以取得居民点农户的谅解，最终降低噪声对周围农户所产生的影响。放喷噪声</w:t>
            </w:r>
          </w:p>
          <w:p>
            <w:pPr>
              <w:pStyle w:val="6"/>
              <w:spacing w:line="219" w:lineRule="auto"/>
              <w:ind w:left="108"/>
              <w:rPr>
                <w:sz w:val="24"/>
                <w:szCs w:val="24"/>
              </w:rPr>
            </w:pPr>
            <w:r>
              <w:rPr>
                <w:spacing w:val="-3"/>
                <w:sz w:val="24"/>
                <w:szCs w:val="24"/>
              </w:rPr>
              <w:t>影响是暂时性的，放喷结束后影响即消失。</w:t>
            </w:r>
          </w:p>
          <w:p>
            <w:pPr>
              <w:pStyle w:val="6"/>
              <w:spacing w:before="228" w:line="220" w:lineRule="auto"/>
              <w:ind w:left="105"/>
              <w:rPr>
                <w:sz w:val="24"/>
                <w:szCs w:val="24"/>
              </w:rPr>
            </w:pPr>
            <w:r>
              <w:rPr>
                <w:rFonts w:ascii="Times New Roman" w:hAnsi="Times New Roman" w:eastAsia="Times New Roman" w:cs="Times New Roman"/>
                <w:b/>
                <w:bCs/>
                <w:spacing w:val="-3"/>
                <w:sz w:val="24"/>
                <w:szCs w:val="24"/>
              </w:rPr>
              <w:t>4.3.4</w:t>
            </w:r>
            <w:r>
              <w:rPr>
                <w:rFonts w:ascii="Times New Roman" w:hAnsi="Times New Roman" w:eastAsia="Times New Roman" w:cs="Times New Roman"/>
                <w:b/>
                <w:bCs/>
                <w:spacing w:val="38"/>
                <w:sz w:val="24"/>
                <w:szCs w:val="24"/>
              </w:rPr>
              <w:t xml:space="preserve"> </w:t>
            </w:r>
            <w:r>
              <w:rPr>
                <w:spacing w:val="-3"/>
                <w:sz w:val="24"/>
                <w:szCs w:val="24"/>
                <w14:textOutline w14:w="4354" w14:cap="flat" w14:cmpd="sng">
                  <w14:solidFill>
                    <w14:srgbClr w14:val="000000"/>
                  </w14:solidFill>
                  <w14:prstDash w14:val="solid"/>
                  <w14:miter w14:val="10"/>
                </w14:textOutline>
              </w:rPr>
              <w:t>固体废物影响分析</w:t>
            </w:r>
          </w:p>
          <w:p>
            <w:pPr>
              <w:pStyle w:val="6"/>
              <w:spacing w:before="202" w:line="369" w:lineRule="auto"/>
              <w:ind w:left="108" w:right="108" w:firstLine="479"/>
              <w:jc w:val="both"/>
              <w:rPr>
                <w:sz w:val="24"/>
                <w:szCs w:val="24"/>
              </w:rPr>
            </w:pPr>
            <w:r>
              <w:rPr>
                <w:spacing w:val="1"/>
                <w:sz w:val="24"/>
                <w:szCs w:val="24"/>
              </w:rPr>
              <w:t xml:space="preserve">钻井过程中的固体废物主要有废弃水基岩屑、废弃水基泥浆、废水罐污泥、废油基 </w:t>
            </w:r>
            <w:r>
              <w:rPr>
                <w:spacing w:val="-2"/>
                <w:sz w:val="24"/>
                <w:szCs w:val="24"/>
              </w:rPr>
              <w:t>岩屑及泥浆、废油、废弃的含油抹布及劳保用品、废弃设备零件、废弃包装材</w:t>
            </w:r>
            <w:r>
              <w:rPr>
                <w:spacing w:val="-3"/>
                <w:sz w:val="24"/>
                <w:szCs w:val="24"/>
              </w:rPr>
              <w:t>料等， 以</w:t>
            </w:r>
          </w:p>
          <w:p>
            <w:pPr>
              <w:pStyle w:val="6"/>
              <w:spacing w:before="1" w:line="219" w:lineRule="auto"/>
              <w:ind w:left="107"/>
              <w:rPr>
                <w:sz w:val="24"/>
                <w:szCs w:val="24"/>
              </w:rPr>
            </w:pPr>
            <w:r>
              <w:rPr>
                <w:spacing w:val="-4"/>
                <w:sz w:val="24"/>
                <w:szCs w:val="24"/>
              </w:rPr>
              <w:t>及井队员工产生的生活垃圾。</w:t>
            </w:r>
          </w:p>
          <w:p>
            <w:pPr>
              <w:pStyle w:val="6"/>
              <w:spacing w:before="195" w:line="220" w:lineRule="auto"/>
              <w:ind w:left="597"/>
              <w:rPr>
                <w:sz w:val="24"/>
                <w:szCs w:val="24"/>
              </w:rPr>
            </w:pPr>
            <w:r>
              <w:rPr>
                <w:spacing w:val="-6"/>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6"/>
                <w:sz w:val="24"/>
                <w:szCs w:val="24"/>
              </w:rPr>
              <w:t>1</w:t>
            </w:r>
            <w:r>
              <w:rPr>
                <w:spacing w:val="-6"/>
                <w:sz w:val="24"/>
                <w:szCs w:val="24"/>
                <w14:textOutline w14:w="4354" w14:cap="flat" w14:cmpd="sng">
                  <w14:solidFill>
                    <w14:srgbClr w14:val="000000"/>
                  </w14:solidFill>
                  <w14:prstDash w14:val="solid"/>
                  <w14:miter w14:val="10"/>
                </w14:textOutline>
              </w:rPr>
              <w:t>）钻井岩屑</w:t>
            </w:r>
          </w:p>
          <w:p>
            <w:pPr>
              <w:pStyle w:val="6"/>
              <w:spacing w:before="194" w:line="217" w:lineRule="auto"/>
              <w:ind w:left="587"/>
              <w:rPr>
                <w:sz w:val="24"/>
                <w:szCs w:val="24"/>
              </w:rPr>
            </w:pPr>
            <w:r>
              <w:rPr>
                <w:spacing w:val="-2"/>
                <w:sz w:val="24"/>
                <w:szCs w:val="24"/>
              </w:rPr>
              <w:t>①水基岩屑</w:t>
            </w:r>
          </w:p>
          <w:p>
            <w:pPr>
              <w:pStyle w:val="6"/>
              <w:spacing w:before="197" w:line="480" w:lineRule="exact"/>
              <w:ind w:right="29"/>
              <w:jc w:val="right"/>
              <w:rPr>
                <w:sz w:val="24"/>
                <w:szCs w:val="24"/>
              </w:rPr>
            </w:pPr>
            <w:r>
              <w:rPr>
                <w:spacing w:val="-6"/>
                <w:position w:val="18"/>
                <w:sz w:val="24"/>
                <w:szCs w:val="24"/>
              </w:rPr>
              <w:t>岩屑是在钻井液钻井过程中钻头切屑地层岩石而</w:t>
            </w:r>
            <w:r>
              <w:rPr>
                <w:spacing w:val="-7"/>
                <w:position w:val="18"/>
                <w:sz w:val="24"/>
                <w:szCs w:val="24"/>
              </w:rPr>
              <w:t>产生的碎屑， 其产生量与井眼长度，</w:t>
            </w:r>
          </w:p>
          <w:p>
            <w:pPr>
              <w:pStyle w:val="6"/>
              <w:spacing w:before="1" w:line="218" w:lineRule="auto"/>
              <w:ind w:left="107"/>
              <w:rPr>
                <w:sz w:val="24"/>
                <w:szCs w:val="24"/>
              </w:rPr>
            </w:pPr>
            <w:r>
              <w:rPr>
                <w:spacing w:val="1"/>
                <w:sz w:val="24"/>
                <w:szCs w:val="24"/>
              </w:rPr>
              <w:t>平均井径及岩性有关，且要考虑松散系数和含泥浆、含水情况，难以精确计算。根据建</w:t>
            </w:r>
          </w:p>
        </w:tc>
      </w:tr>
    </w:tbl>
    <w:p>
      <w:pPr>
        <w:pStyle w:val="2"/>
        <w:rPr>
          <w:sz w:val="21"/>
        </w:rPr>
      </w:pPr>
    </w:p>
    <w:p>
      <w:pPr>
        <w:rPr>
          <w:sz w:val="21"/>
          <w:szCs w:val="21"/>
        </w:rPr>
        <w:sectPr>
          <w:footerReference r:id="rId111"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5"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3" w:line="369" w:lineRule="auto"/>
              <w:ind w:left="108" w:right="97" w:firstLine="3"/>
              <w:jc w:val="both"/>
              <w:rPr>
                <w:rFonts w:ascii="Times New Roman" w:hAnsi="Times New Roman" w:eastAsia="Times New Roman" w:cs="Times New Roman"/>
                <w:sz w:val="16"/>
                <w:szCs w:val="16"/>
              </w:rPr>
            </w:pPr>
            <w:r>
              <w:rPr>
                <w:spacing w:val="1"/>
                <w:sz w:val="24"/>
                <w:szCs w:val="24"/>
              </w:rPr>
              <w:t>设单位提供的多年大量钻井数据的统计以及类比同类型钻井工程得出经验系数，平</w:t>
            </w:r>
            <w:r>
              <w:rPr>
                <w:sz w:val="24"/>
                <w:szCs w:val="24"/>
              </w:rPr>
              <w:t xml:space="preserve">均每 </w:t>
            </w:r>
            <w:r>
              <w:rPr>
                <w:spacing w:val="-3"/>
                <w:sz w:val="24"/>
                <w:szCs w:val="24"/>
              </w:rPr>
              <w:t xml:space="preserve">钻 </w:t>
            </w:r>
            <w:r>
              <w:rPr>
                <w:rFonts w:ascii="Times New Roman" w:hAnsi="Times New Roman" w:eastAsia="Times New Roman" w:cs="Times New Roman"/>
                <w:spacing w:val="-3"/>
                <w:sz w:val="24"/>
                <w:szCs w:val="24"/>
              </w:rPr>
              <w:t>1m</w:t>
            </w:r>
            <w:r>
              <w:rPr>
                <w:rFonts w:ascii="Times New Roman" w:hAnsi="Times New Roman" w:eastAsia="Times New Roman" w:cs="Times New Roman"/>
                <w:spacing w:val="32"/>
                <w:w w:val="101"/>
                <w:sz w:val="24"/>
                <w:szCs w:val="24"/>
              </w:rPr>
              <w:t xml:space="preserve"> </w:t>
            </w:r>
            <w:r>
              <w:rPr>
                <w:spacing w:val="-3"/>
                <w:sz w:val="24"/>
                <w:szCs w:val="24"/>
              </w:rPr>
              <w:t>进尺产生水基岩屑约</w:t>
            </w:r>
            <w:r>
              <w:rPr>
                <w:spacing w:val="-27"/>
                <w:sz w:val="24"/>
                <w:szCs w:val="24"/>
              </w:rPr>
              <w:t xml:space="preserve"> </w:t>
            </w:r>
            <w:r>
              <w:rPr>
                <w:rFonts w:ascii="Times New Roman" w:hAnsi="Times New Roman" w:eastAsia="Times New Roman" w:cs="Times New Roman"/>
                <w:spacing w:val="-3"/>
                <w:sz w:val="24"/>
                <w:szCs w:val="24"/>
              </w:rPr>
              <w:t>0.3m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0"/>
                <w:position w:val="9"/>
                <w:sz w:val="16"/>
                <w:szCs w:val="16"/>
              </w:rPr>
              <w:t xml:space="preserve"> </w:t>
            </w:r>
            <w:r>
              <w:rPr>
                <w:spacing w:val="-3"/>
                <w:sz w:val="24"/>
                <w:szCs w:val="24"/>
              </w:rPr>
              <w:t>，本项目</w:t>
            </w:r>
            <w:r>
              <w:rPr>
                <w:spacing w:val="-74"/>
                <w:sz w:val="24"/>
                <w:szCs w:val="24"/>
              </w:rPr>
              <w:t xml:space="preserve"> </w:t>
            </w:r>
            <w:r>
              <w:rPr>
                <w:spacing w:val="-3"/>
                <w:sz w:val="24"/>
                <w:szCs w:val="24"/>
              </w:rPr>
              <w:t>“一开</w:t>
            </w:r>
            <w:r>
              <w:rPr>
                <w:rFonts w:ascii="Times New Roman" w:hAnsi="Times New Roman" w:eastAsia="Times New Roman" w:cs="Times New Roman"/>
                <w:spacing w:val="-3"/>
                <w:sz w:val="24"/>
                <w:szCs w:val="24"/>
              </w:rPr>
              <w:t>~</w:t>
            </w:r>
            <w:r>
              <w:rPr>
                <w:spacing w:val="-4"/>
                <w:sz w:val="24"/>
                <w:szCs w:val="24"/>
              </w:rPr>
              <w:t>五开”均采用水基钻井液钻进，水基</w:t>
            </w:r>
            <w:r>
              <w:rPr>
                <w:sz w:val="24"/>
                <w:szCs w:val="24"/>
              </w:rPr>
              <w:t xml:space="preserve"> </w:t>
            </w:r>
            <w:r>
              <w:rPr>
                <w:spacing w:val="-5"/>
                <w:sz w:val="24"/>
                <w:szCs w:val="24"/>
              </w:rPr>
              <w:t>钻井液钻井深度</w:t>
            </w:r>
            <w:r>
              <w:rPr>
                <w:spacing w:val="-51"/>
                <w:sz w:val="24"/>
                <w:szCs w:val="24"/>
              </w:rPr>
              <w:t xml:space="preserve"> </w:t>
            </w:r>
            <w:r>
              <w:rPr>
                <w:rFonts w:ascii="Times New Roman" w:hAnsi="Times New Roman" w:eastAsia="Times New Roman" w:cs="Times New Roman"/>
                <w:spacing w:val="-5"/>
                <w:sz w:val="24"/>
                <w:szCs w:val="24"/>
              </w:rPr>
              <w:t>7135m</w:t>
            </w:r>
            <w:r>
              <w:rPr>
                <w:spacing w:val="-5"/>
                <w:sz w:val="24"/>
                <w:szCs w:val="24"/>
              </w:rPr>
              <w:t>，故钻井产生的废弃水基钻井岩屑量为</w:t>
            </w:r>
            <w:r>
              <w:rPr>
                <w:spacing w:val="-54"/>
                <w:sz w:val="24"/>
                <w:szCs w:val="24"/>
              </w:rPr>
              <w:t xml:space="preserve"> </w:t>
            </w:r>
            <w:r>
              <w:rPr>
                <w:rFonts w:ascii="Times New Roman" w:hAnsi="Times New Roman" w:eastAsia="Times New Roman" w:cs="Times New Roman"/>
                <w:spacing w:val="-5"/>
                <w:sz w:val="24"/>
                <w:szCs w:val="24"/>
              </w:rPr>
              <w:t>2140.5m</w:t>
            </w:r>
            <w:r>
              <w:rPr>
                <w:rFonts w:ascii="Times New Roman" w:hAnsi="Times New Roman" w:eastAsia="Times New Roman" w:cs="Times New Roman"/>
                <w:spacing w:val="-5"/>
                <w:position w:val="9"/>
                <w:sz w:val="16"/>
                <w:szCs w:val="16"/>
              </w:rPr>
              <w:t>3</w:t>
            </w:r>
            <w:r>
              <w:rPr>
                <w:spacing w:val="-5"/>
                <w:sz w:val="24"/>
                <w:szCs w:val="24"/>
              </w:rPr>
              <w:t>（密</w:t>
            </w:r>
            <w:r>
              <w:rPr>
                <w:spacing w:val="-6"/>
                <w:sz w:val="24"/>
                <w:szCs w:val="24"/>
              </w:rPr>
              <w:t xml:space="preserve">度以 </w:t>
            </w:r>
            <w:r>
              <w:rPr>
                <w:rFonts w:ascii="Times New Roman" w:hAnsi="Times New Roman" w:eastAsia="Times New Roman" w:cs="Times New Roman"/>
                <w:spacing w:val="-6"/>
                <w:sz w:val="24"/>
                <w:szCs w:val="24"/>
              </w:rPr>
              <w:t>1.5g/cm</w:t>
            </w:r>
            <w:r>
              <w:rPr>
                <w:rFonts w:ascii="Times New Roman" w:hAnsi="Times New Roman" w:eastAsia="Times New Roman" w:cs="Times New Roman"/>
                <w:spacing w:val="-6"/>
                <w:position w:val="9"/>
                <w:sz w:val="16"/>
                <w:szCs w:val="16"/>
              </w:rPr>
              <w:t>3</w:t>
            </w:r>
          </w:p>
          <w:p>
            <w:pPr>
              <w:pStyle w:val="6"/>
              <w:spacing w:before="1" w:line="234" w:lineRule="auto"/>
              <w:ind w:left="108"/>
              <w:rPr>
                <w:sz w:val="24"/>
                <w:szCs w:val="24"/>
              </w:rPr>
            </w:pPr>
            <w:r>
              <w:rPr>
                <w:spacing w:val="-3"/>
                <w:sz w:val="24"/>
                <w:szCs w:val="24"/>
              </w:rPr>
              <w:t>计，约</w:t>
            </w:r>
            <w:r>
              <w:rPr>
                <w:spacing w:val="-49"/>
                <w:sz w:val="24"/>
                <w:szCs w:val="24"/>
              </w:rPr>
              <w:t xml:space="preserve"> </w:t>
            </w:r>
            <w:r>
              <w:rPr>
                <w:rFonts w:ascii="Times New Roman" w:hAnsi="Times New Roman" w:eastAsia="Times New Roman" w:cs="Times New Roman"/>
                <w:spacing w:val="-3"/>
                <w:sz w:val="24"/>
                <w:szCs w:val="24"/>
              </w:rPr>
              <w:t>3210.75t</w:t>
            </w:r>
            <w:r>
              <w:rPr>
                <w:spacing w:val="-3"/>
                <w:sz w:val="24"/>
                <w:szCs w:val="24"/>
              </w:rPr>
              <w:t>）。</w:t>
            </w:r>
          </w:p>
          <w:p>
            <w:pPr>
              <w:pStyle w:val="6"/>
              <w:spacing w:before="175" w:line="217" w:lineRule="auto"/>
              <w:ind w:left="586"/>
              <w:rPr>
                <w:sz w:val="24"/>
                <w:szCs w:val="24"/>
              </w:rPr>
            </w:pPr>
            <w:r>
              <w:rPr>
                <w:spacing w:val="-2"/>
                <w:sz w:val="24"/>
                <w:szCs w:val="24"/>
              </w:rPr>
              <w:t>②油基岩屑</w:t>
            </w:r>
          </w:p>
          <w:p>
            <w:pPr>
              <w:pStyle w:val="6"/>
              <w:spacing w:before="199" w:line="369" w:lineRule="auto"/>
              <w:ind w:left="107" w:right="11" w:firstLine="484"/>
              <w:rPr>
                <w:sz w:val="24"/>
                <w:szCs w:val="24"/>
              </w:rPr>
            </w:pPr>
            <w:r>
              <w:rPr>
                <w:spacing w:val="-2"/>
                <w:sz w:val="24"/>
                <w:szCs w:val="24"/>
              </w:rPr>
              <w:t>油基岩屑产生于油基泥浆钻井过程中钻头切屑地层岩石</w:t>
            </w:r>
            <w:r>
              <w:rPr>
                <w:spacing w:val="-3"/>
                <w:sz w:val="24"/>
                <w:szCs w:val="24"/>
              </w:rPr>
              <w:t xml:space="preserve">而产生的碎屑， 其产生量与 </w:t>
            </w:r>
            <w:r>
              <w:rPr>
                <w:spacing w:val="-2"/>
                <w:sz w:val="24"/>
                <w:szCs w:val="24"/>
              </w:rPr>
              <w:t>井眼长度，平均井径及岩性有关。根据钻探公司的统计经验数据，</w:t>
            </w:r>
            <w:r>
              <w:rPr>
                <w:spacing w:val="-8"/>
                <w:sz w:val="24"/>
                <w:szCs w:val="24"/>
              </w:rPr>
              <w:t xml:space="preserve"> </w:t>
            </w:r>
            <w:r>
              <w:rPr>
                <w:spacing w:val="-2"/>
                <w:sz w:val="24"/>
                <w:szCs w:val="24"/>
              </w:rPr>
              <w:t xml:space="preserve">废油基钻井岩屑产生 </w:t>
            </w:r>
            <w:r>
              <w:rPr>
                <w:spacing w:val="-5"/>
                <w:sz w:val="24"/>
                <w:szCs w:val="24"/>
              </w:rPr>
              <w:t>量约为每米井身</w:t>
            </w:r>
            <w:r>
              <w:rPr>
                <w:spacing w:val="-51"/>
                <w:sz w:val="24"/>
                <w:szCs w:val="24"/>
              </w:rPr>
              <w:t xml:space="preserve"> </w:t>
            </w:r>
            <w:r>
              <w:rPr>
                <w:rFonts w:ascii="Times New Roman" w:hAnsi="Times New Roman" w:eastAsia="Times New Roman" w:cs="Times New Roman"/>
                <w:spacing w:val="-5"/>
                <w:sz w:val="24"/>
                <w:szCs w:val="24"/>
              </w:rPr>
              <w:t>0.15m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12"/>
                <w:position w:val="9"/>
                <w:sz w:val="16"/>
                <w:szCs w:val="16"/>
              </w:rPr>
              <w:t xml:space="preserve"> </w:t>
            </w:r>
            <w:r>
              <w:rPr>
                <w:spacing w:val="-5"/>
                <w:sz w:val="24"/>
                <w:szCs w:val="24"/>
              </w:rPr>
              <w:t>，拟建项目</w:t>
            </w:r>
            <w:r>
              <w:rPr>
                <w:rFonts w:ascii="Times New Roman" w:hAnsi="Times New Roman" w:eastAsia="Times New Roman" w:cs="Times New Roman"/>
                <w:spacing w:val="-5"/>
                <w:sz w:val="24"/>
                <w:szCs w:val="24"/>
              </w:rPr>
              <w:t>“</w:t>
            </w:r>
            <w:r>
              <w:rPr>
                <w:spacing w:val="-5"/>
                <w:sz w:val="24"/>
                <w:szCs w:val="24"/>
              </w:rPr>
              <w:t>六开段（</w:t>
            </w:r>
            <w:r>
              <w:rPr>
                <w:rFonts w:ascii="Times New Roman" w:hAnsi="Times New Roman" w:eastAsia="Times New Roman" w:cs="Times New Roman"/>
                <w:spacing w:val="-5"/>
                <w:sz w:val="24"/>
                <w:szCs w:val="24"/>
              </w:rPr>
              <w:t>7135</w:t>
            </w:r>
            <w:r>
              <w:rPr>
                <w:rFonts w:ascii="Times New Roman" w:hAnsi="Times New Roman" w:eastAsia="Times New Roman" w:cs="Times New Roman"/>
                <w:spacing w:val="-6"/>
                <w:sz w:val="24"/>
                <w:szCs w:val="24"/>
              </w:rPr>
              <w:t>~7230m</w:t>
            </w:r>
            <w:r>
              <w:rPr>
                <w:spacing w:val="-6"/>
                <w:sz w:val="24"/>
                <w:szCs w:val="24"/>
              </w:rPr>
              <w:t>）</w:t>
            </w:r>
            <w:r>
              <w:rPr>
                <w:rFonts w:ascii="Times New Roman" w:hAnsi="Times New Roman" w:eastAsia="Times New Roman" w:cs="Times New Roman"/>
                <w:spacing w:val="-6"/>
                <w:sz w:val="24"/>
                <w:szCs w:val="24"/>
              </w:rPr>
              <w:t>”</w:t>
            </w:r>
            <w:r>
              <w:rPr>
                <w:spacing w:val="-6"/>
                <w:sz w:val="24"/>
                <w:szCs w:val="24"/>
              </w:rPr>
              <w:t>采用油基钻井液钻进，</w:t>
            </w:r>
            <w:r>
              <w:rPr>
                <w:spacing w:val="62"/>
                <w:sz w:val="24"/>
                <w:szCs w:val="24"/>
              </w:rPr>
              <w:t xml:space="preserve"> </w:t>
            </w:r>
            <w:r>
              <w:rPr>
                <w:spacing w:val="-6"/>
                <w:sz w:val="24"/>
                <w:szCs w:val="24"/>
              </w:rPr>
              <w:t xml:space="preserve">油基 </w:t>
            </w:r>
            <w:r>
              <w:rPr>
                <w:spacing w:val="-7"/>
                <w:sz w:val="24"/>
                <w:szCs w:val="24"/>
              </w:rPr>
              <w:t>钻井液钻井井深为</w:t>
            </w:r>
            <w:r>
              <w:rPr>
                <w:spacing w:val="-50"/>
                <w:sz w:val="24"/>
                <w:szCs w:val="24"/>
              </w:rPr>
              <w:t xml:space="preserve"> </w:t>
            </w:r>
            <w:r>
              <w:rPr>
                <w:rFonts w:ascii="Times New Roman" w:hAnsi="Times New Roman" w:eastAsia="Times New Roman" w:cs="Times New Roman"/>
                <w:spacing w:val="-7"/>
                <w:sz w:val="24"/>
                <w:szCs w:val="24"/>
              </w:rPr>
              <w:t>95m</w:t>
            </w:r>
            <w:r>
              <w:rPr>
                <w:spacing w:val="-7"/>
                <w:sz w:val="24"/>
                <w:szCs w:val="24"/>
              </w:rPr>
              <w:t>，故油基岩屑产生量约</w:t>
            </w:r>
            <w:r>
              <w:rPr>
                <w:spacing w:val="-32"/>
                <w:sz w:val="24"/>
                <w:szCs w:val="24"/>
              </w:rPr>
              <w:t xml:space="preserve"> </w:t>
            </w:r>
            <w:r>
              <w:rPr>
                <w:rFonts w:ascii="Times New Roman" w:hAnsi="Times New Roman" w:eastAsia="Times New Roman" w:cs="Times New Roman"/>
                <w:spacing w:val="-7"/>
                <w:sz w:val="24"/>
                <w:szCs w:val="24"/>
              </w:rPr>
              <w:t>14.25m</w:t>
            </w:r>
            <w:r>
              <w:rPr>
                <w:rFonts w:ascii="Times New Roman" w:hAnsi="Times New Roman" w:eastAsia="Times New Roman" w:cs="Times New Roman"/>
                <w:spacing w:val="-7"/>
                <w:position w:val="9"/>
                <w:sz w:val="16"/>
                <w:szCs w:val="16"/>
              </w:rPr>
              <w:t>3</w:t>
            </w:r>
            <w:r>
              <w:rPr>
                <w:rFonts w:ascii="Times New Roman" w:hAnsi="Times New Roman" w:eastAsia="Times New Roman" w:cs="Times New Roman"/>
                <w:spacing w:val="16"/>
                <w:w w:val="102"/>
                <w:position w:val="9"/>
                <w:sz w:val="16"/>
                <w:szCs w:val="16"/>
              </w:rPr>
              <w:t xml:space="preserve"> </w:t>
            </w:r>
            <w:r>
              <w:rPr>
                <w:spacing w:val="-7"/>
                <w:sz w:val="24"/>
                <w:szCs w:val="24"/>
              </w:rPr>
              <w:t xml:space="preserve">（密度以 </w:t>
            </w:r>
            <w:r>
              <w:rPr>
                <w:rFonts w:ascii="Times New Roman" w:hAnsi="Times New Roman" w:eastAsia="Times New Roman" w:cs="Times New Roman"/>
                <w:spacing w:val="-7"/>
                <w:sz w:val="24"/>
                <w:szCs w:val="24"/>
              </w:rPr>
              <w:t>1.8g/c</w:t>
            </w:r>
            <w:r>
              <w:rPr>
                <w:rFonts w:ascii="Times New Roman" w:hAnsi="Times New Roman" w:eastAsia="Times New Roman" w:cs="Times New Roman"/>
                <w:spacing w:val="-8"/>
                <w:sz w:val="24"/>
                <w:szCs w:val="24"/>
              </w:rPr>
              <w:t>m</w:t>
            </w:r>
            <w:r>
              <w:rPr>
                <w:rFonts w:ascii="Times New Roman" w:hAnsi="Times New Roman" w:eastAsia="Times New Roman" w:cs="Times New Roman"/>
                <w:spacing w:val="-8"/>
                <w:position w:val="9"/>
                <w:sz w:val="16"/>
                <w:szCs w:val="16"/>
              </w:rPr>
              <w:t>3</w:t>
            </w:r>
            <w:r>
              <w:rPr>
                <w:rFonts w:ascii="Times New Roman" w:hAnsi="Times New Roman" w:eastAsia="Times New Roman" w:cs="Times New Roman"/>
                <w:spacing w:val="11"/>
                <w:w w:val="101"/>
                <w:position w:val="9"/>
                <w:sz w:val="16"/>
                <w:szCs w:val="16"/>
              </w:rPr>
              <w:t xml:space="preserve"> </w:t>
            </w:r>
            <w:r>
              <w:rPr>
                <w:spacing w:val="-8"/>
                <w:sz w:val="24"/>
                <w:szCs w:val="24"/>
              </w:rPr>
              <w:t>计，约</w:t>
            </w:r>
            <w:r>
              <w:rPr>
                <w:spacing w:val="-55"/>
                <w:sz w:val="24"/>
                <w:szCs w:val="24"/>
              </w:rPr>
              <w:t xml:space="preserve"> </w:t>
            </w:r>
            <w:r>
              <w:rPr>
                <w:rFonts w:ascii="Times New Roman" w:hAnsi="Times New Roman" w:eastAsia="Times New Roman" w:cs="Times New Roman"/>
                <w:spacing w:val="-8"/>
                <w:sz w:val="24"/>
                <w:szCs w:val="24"/>
              </w:rPr>
              <w:t>25.65t</w:t>
            </w:r>
            <w:r>
              <w:rPr>
                <w:spacing w:val="-8"/>
                <w:sz w:val="24"/>
                <w:szCs w:val="24"/>
              </w:rPr>
              <w:t>）。</w:t>
            </w:r>
            <w:r>
              <w:rPr>
                <w:sz w:val="24"/>
                <w:szCs w:val="24"/>
              </w:rPr>
              <w:t xml:space="preserve"> </w:t>
            </w:r>
            <w:r>
              <w:rPr>
                <w:spacing w:val="-3"/>
                <w:sz w:val="24"/>
                <w:szCs w:val="24"/>
              </w:rPr>
              <w:t>根据《国家危险废物名录》（</w:t>
            </w:r>
            <w:r>
              <w:rPr>
                <w:rFonts w:ascii="Times New Roman" w:hAnsi="Times New Roman" w:eastAsia="Times New Roman" w:cs="Times New Roman"/>
                <w:spacing w:val="-3"/>
                <w:sz w:val="24"/>
                <w:szCs w:val="24"/>
              </w:rPr>
              <w:t xml:space="preserve">2021 </w:t>
            </w:r>
            <w:r>
              <w:rPr>
                <w:spacing w:val="-3"/>
                <w:sz w:val="24"/>
                <w:szCs w:val="24"/>
              </w:rPr>
              <w:t>版</w:t>
            </w:r>
            <w:r>
              <w:rPr>
                <w:spacing w:val="-18"/>
                <w:sz w:val="24"/>
                <w:szCs w:val="24"/>
              </w:rPr>
              <w:t>）</w:t>
            </w:r>
            <w:r>
              <w:rPr>
                <w:spacing w:val="-46"/>
                <w:sz w:val="24"/>
                <w:szCs w:val="24"/>
              </w:rPr>
              <w:t xml:space="preserve"> </w:t>
            </w:r>
            <w:r>
              <w:rPr>
                <w:spacing w:val="-18"/>
                <w:sz w:val="24"/>
                <w:szCs w:val="24"/>
              </w:rPr>
              <w:t>，</w:t>
            </w:r>
            <w:r>
              <w:rPr>
                <w:spacing w:val="-3"/>
                <w:sz w:val="24"/>
                <w:szCs w:val="24"/>
              </w:rPr>
              <w:t>油基钻</w:t>
            </w:r>
            <w:r>
              <w:rPr>
                <w:spacing w:val="-4"/>
                <w:sz w:val="24"/>
                <w:szCs w:val="24"/>
              </w:rPr>
              <w:t>井产生的岩屑属于</w:t>
            </w:r>
            <w:r>
              <w:rPr>
                <w:rFonts w:ascii="Times New Roman" w:hAnsi="Times New Roman" w:eastAsia="Times New Roman" w:cs="Times New Roman"/>
                <w:spacing w:val="-4"/>
                <w:sz w:val="24"/>
                <w:szCs w:val="24"/>
              </w:rPr>
              <w:t xml:space="preserve">“HW08 </w:t>
            </w:r>
            <w:r>
              <w:rPr>
                <w:spacing w:val="-4"/>
                <w:sz w:val="24"/>
                <w:szCs w:val="24"/>
              </w:rPr>
              <w:t xml:space="preserve">废矿物油与含 </w:t>
            </w:r>
            <w:r>
              <w:rPr>
                <w:spacing w:val="2"/>
                <w:sz w:val="24"/>
                <w:szCs w:val="24"/>
              </w:rPr>
              <w:t>矿物油废物（</w:t>
            </w:r>
            <w:r>
              <w:rPr>
                <w:rFonts w:ascii="Times New Roman" w:hAnsi="Times New Roman" w:eastAsia="Times New Roman" w:cs="Times New Roman"/>
                <w:spacing w:val="2"/>
                <w:sz w:val="24"/>
                <w:szCs w:val="24"/>
              </w:rPr>
              <w:t>072-001-08</w:t>
            </w:r>
            <w:r>
              <w:rPr>
                <w:spacing w:val="2"/>
                <w:sz w:val="24"/>
                <w:szCs w:val="24"/>
              </w:rPr>
              <w:t>）</w:t>
            </w:r>
            <w:r>
              <w:rPr>
                <w:rFonts w:ascii="Times New Roman" w:hAnsi="Times New Roman" w:eastAsia="Times New Roman" w:cs="Times New Roman"/>
                <w:spacing w:val="2"/>
                <w:sz w:val="24"/>
                <w:szCs w:val="24"/>
              </w:rPr>
              <w:t>ℽ</w:t>
            </w:r>
            <w:r>
              <w:rPr>
                <w:rFonts w:ascii="Times New Roman" w:hAnsi="Times New Roman" w:eastAsia="Times New Roman" w:cs="Times New Roman"/>
                <w:spacing w:val="-13"/>
                <w:sz w:val="24"/>
                <w:szCs w:val="24"/>
              </w:rPr>
              <w:t xml:space="preserve"> </w:t>
            </w:r>
            <w:r>
              <w:rPr>
                <w:spacing w:val="2"/>
                <w:sz w:val="24"/>
                <w:szCs w:val="24"/>
              </w:rPr>
              <w:t>,本项目产生的油基岩屑暂存在岩屑堆放区油基岩屑收集罐</w:t>
            </w:r>
          </w:p>
          <w:p>
            <w:pPr>
              <w:pStyle w:val="6"/>
              <w:spacing w:line="219" w:lineRule="auto"/>
              <w:ind w:left="137"/>
              <w:rPr>
                <w:sz w:val="24"/>
                <w:szCs w:val="24"/>
              </w:rPr>
            </w:pPr>
            <w:r>
              <w:rPr>
                <w:spacing w:val="-2"/>
                <w:sz w:val="24"/>
                <w:szCs w:val="24"/>
              </w:rPr>
              <w:t>内，定期交具有相应危废处理资质的单位进行处置。</w:t>
            </w:r>
          </w:p>
          <w:p>
            <w:pPr>
              <w:pStyle w:val="6"/>
              <w:spacing w:before="196" w:line="369" w:lineRule="auto"/>
              <w:ind w:left="107" w:right="100" w:firstLine="480"/>
              <w:rPr>
                <w:sz w:val="24"/>
                <w:szCs w:val="24"/>
              </w:rPr>
            </w:pPr>
            <w:r>
              <w:rPr>
                <w:sz w:val="24"/>
                <w:szCs w:val="24"/>
              </w:rPr>
              <w:t>根据《国家危险废物名录（</w:t>
            </w:r>
            <w:r>
              <w:rPr>
                <w:rFonts w:ascii="Times New Roman" w:hAnsi="Times New Roman" w:eastAsia="Times New Roman" w:cs="Times New Roman"/>
                <w:sz w:val="24"/>
                <w:szCs w:val="24"/>
              </w:rPr>
              <w:t xml:space="preserve">2021 </w:t>
            </w:r>
            <w:r>
              <w:rPr>
                <w:sz w:val="24"/>
                <w:szCs w:val="24"/>
              </w:rPr>
              <w:t>版）》，对于石</w:t>
            </w:r>
            <w:r>
              <w:rPr>
                <w:spacing w:val="-1"/>
                <w:sz w:val="24"/>
                <w:szCs w:val="24"/>
              </w:rPr>
              <w:t>油与天然气开采行业，以废矿物油</w:t>
            </w:r>
            <w:r>
              <w:rPr>
                <w:sz w:val="24"/>
                <w:szCs w:val="24"/>
              </w:rPr>
              <w:t xml:space="preserve"> </w:t>
            </w:r>
            <w:r>
              <w:rPr>
                <w:spacing w:val="1"/>
                <w:sz w:val="24"/>
                <w:szCs w:val="24"/>
              </w:rPr>
              <w:t>为连续相配制的钻井泥浆，最后产生的废弃钻井泥浆、油泥油脚、油基岩屑、含油污泥</w:t>
            </w:r>
            <w:r>
              <w:rPr>
                <w:spacing w:val="2"/>
                <w:sz w:val="24"/>
                <w:szCs w:val="24"/>
              </w:rPr>
              <w:t xml:space="preserve"> </w:t>
            </w:r>
            <w:r>
              <w:rPr>
                <w:sz w:val="24"/>
                <w:szCs w:val="24"/>
              </w:rPr>
              <w:t>才属于危险废物（</w:t>
            </w:r>
            <w:r>
              <w:rPr>
                <w:rFonts w:ascii="Times New Roman" w:hAnsi="Times New Roman" w:eastAsia="Times New Roman" w:cs="Times New Roman"/>
                <w:sz w:val="24"/>
                <w:szCs w:val="24"/>
              </w:rPr>
              <w:t>HW08</w:t>
            </w:r>
            <w:r>
              <w:rPr>
                <w:spacing w:val="2"/>
                <w:sz w:val="24"/>
                <w:szCs w:val="24"/>
              </w:rPr>
              <w:t>），</w:t>
            </w:r>
            <w:r>
              <w:rPr>
                <w:sz w:val="24"/>
                <w:szCs w:val="24"/>
              </w:rPr>
              <w:t>同时根据《危险废物排出管理清单（</w:t>
            </w:r>
            <w:r>
              <w:rPr>
                <w:rFonts w:ascii="Times New Roman" w:hAnsi="Times New Roman" w:eastAsia="Times New Roman" w:cs="Times New Roman"/>
                <w:sz w:val="24"/>
                <w:szCs w:val="24"/>
              </w:rPr>
              <w:t xml:space="preserve">2021  </w:t>
            </w:r>
            <w:r>
              <w:rPr>
                <w:sz w:val="24"/>
                <w:szCs w:val="24"/>
              </w:rPr>
              <w:t xml:space="preserve">年版）》，以水 </w:t>
            </w:r>
            <w:r>
              <w:rPr>
                <w:spacing w:val="1"/>
                <w:sz w:val="24"/>
                <w:szCs w:val="24"/>
              </w:rPr>
              <w:t>为连续配制钻井泥浆用于石油和天然气开采过程中产生的废弃钻井泥浆及岩屑（不包括</w:t>
            </w:r>
          </w:p>
          <w:p>
            <w:pPr>
              <w:pStyle w:val="6"/>
              <w:spacing w:before="1" w:line="219" w:lineRule="auto"/>
              <w:ind w:left="107"/>
              <w:rPr>
                <w:sz w:val="24"/>
                <w:szCs w:val="24"/>
              </w:rPr>
            </w:pPr>
            <w:r>
              <w:rPr>
                <w:spacing w:val="-3"/>
                <w:sz w:val="24"/>
                <w:szCs w:val="24"/>
              </w:rPr>
              <w:t>废弃聚磺体系泥浆及岩屑）不属于危险废物。</w:t>
            </w:r>
          </w:p>
          <w:p>
            <w:pPr>
              <w:pStyle w:val="6"/>
              <w:spacing w:before="194" w:line="219" w:lineRule="auto"/>
              <w:ind w:left="591"/>
              <w:rPr>
                <w:sz w:val="24"/>
                <w:szCs w:val="24"/>
              </w:rPr>
            </w:pPr>
            <w:r>
              <w:rPr>
                <w:spacing w:val="-1"/>
                <w:sz w:val="24"/>
                <w:szCs w:val="24"/>
              </w:rPr>
              <w:t>综上，本项目废弃的钻井岩屑处理情况详见下表。</w:t>
            </w:r>
          </w:p>
          <w:p>
            <w:pPr>
              <w:pStyle w:val="6"/>
              <w:spacing w:before="195" w:line="220" w:lineRule="auto"/>
              <w:ind w:left="2666"/>
              <w:rPr>
                <w:sz w:val="24"/>
                <w:szCs w:val="24"/>
              </w:rPr>
            </w:pPr>
            <w:r>
              <w:rPr>
                <w:spacing w:val="-1"/>
                <w:sz w:val="24"/>
                <w:szCs w:val="24"/>
                <w14:textOutline w14:w="4354" w14:cap="flat" w14:cmpd="sng">
                  <w14:solidFill>
                    <w14:srgbClr w14:val="000000"/>
                  </w14:solidFill>
                  <w14:prstDash w14:val="solid"/>
                  <w14:miter w14:val="10"/>
                </w14:textOutline>
              </w:rPr>
              <w:t>表</w:t>
            </w:r>
            <w:r>
              <w:rPr>
                <w:spacing w:val="-34"/>
                <w:sz w:val="24"/>
                <w:szCs w:val="24"/>
              </w:rPr>
              <w:t xml:space="preserve"> </w:t>
            </w:r>
            <w:r>
              <w:rPr>
                <w:rFonts w:ascii="Times New Roman" w:hAnsi="Times New Roman" w:eastAsia="Times New Roman" w:cs="Times New Roman"/>
                <w:b/>
                <w:bCs/>
                <w:spacing w:val="-1"/>
                <w:sz w:val="24"/>
                <w:szCs w:val="24"/>
              </w:rPr>
              <w:t xml:space="preserve">4.3-12    </w:t>
            </w:r>
            <w:r>
              <w:rPr>
                <w:spacing w:val="-1"/>
                <w:sz w:val="24"/>
                <w:szCs w:val="24"/>
                <w14:textOutline w14:w="4354" w14:cap="flat" w14:cmpd="sng">
                  <w14:solidFill>
                    <w14:srgbClr w14:val="000000"/>
                  </w14:solidFill>
                  <w14:prstDash w14:val="solid"/>
                  <w14:miter w14:val="10"/>
                </w14:textOutline>
              </w:rPr>
              <w:t>钻井岩屑产生及处置情况表</w:t>
            </w:r>
          </w:p>
          <w:p>
            <w:pPr>
              <w:spacing w:line="17" w:lineRule="exact"/>
            </w:pPr>
          </w:p>
          <w:tbl>
            <w:tblPr>
              <w:tblStyle w:val="5"/>
              <w:tblW w:w="916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8"/>
              <w:gridCol w:w="974"/>
              <w:gridCol w:w="4767"/>
              <w:gridCol w:w="2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28" w:type="dxa"/>
                  <w:vAlign w:val="top"/>
                </w:tcPr>
                <w:p>
                  <w:pPr>
                    <w:pStyle w:val="6"/>
                    <w:spacing w:before="170" w:line="221" w:lineRule="auto"/>
                    <w:ind w:left="200"/>
                    <w:rPr>
                      <w:sz w:val="21"/>
                      <w:szCs w:val="21"/>
                    </w:rPr>
                  </w:pPr>
                  <w:r>
                    <w:rPr>
                      <w:spacing w:val="-2"/>
                      <w:sz w:val="21"/>
                      <w:szCs w:val="21"/>
                    </w:rPr>
                    <w:t>岩屑类别</w:t>
                  </w:r>
                </w:p>
              </w:tc>
              <w:tc>
                <w:tcPr>
                  <w:tcW w:w="974" w:type="dxa"/>
                  <w:vAlign w:val="top"/>
                </w:tcPr>
                <w:p>
                  <w:pPr>
                    <w:pStyle w:val="6"/>
                    <w:spacing w:before="34" w:line="223" w:lineRule="auto"/>
                    <w:ind w:left="257" w:right="169" w:hanging="83"/>
                    <w:rPr>
                      <w:sz w:val="21"/>
                      <w:szCs w:val="21"/>
                    </w:rPr>
                  </w:pPr>
                  <w:r>
                    <w:rPr>
                      <w:spacing w:val="-2"/>
                      <w:sz w:val="21"/>
                      <w:szCs w:val="21"/>
                    </w:rPr>
                    <w:t>产生量</w:t>
                  </w:r>
                  <w:r>
                    <w:rPr>
                      <w:sz w:val="21"/>
                      <w:szCs w:val="21"/>
                    </w:rPr>
                    <w:t xml:space="preserve"> </w:t>
                  </w:r>
                  <w:r>
                    <w:rPr>
                      <w:spacing w:val="-5"/>
                      <w:sz w:val="21"/>
                      <w:szCs w:val="21"/>
                    </w:rPr>
                    <w:t>（</w:t>
                  </w:r>
                  <w:r>
                    <w:rPr>
                      <w:rFonts w:ascii="Times New Roman" w:hAnsi="Times New Roman" w:eastAsia="Times New Roman" w:cs="Times New Roman"/>
                      <w:spacing w:val="-5"/>
                      <w:sz w:val="21"/>
                      <w:szCs w:val="21"/>
                    </w:rPr>
                    <w:t>t</w:t>
                  </w:r>
                  <w:r>
                    <w:rPr>
                      <w:spacing w:val="-5"/>
                      <w:sz w:val="21"/>
                      <w:szCs w:val="21"/>
                    </w:rPr>
                    <w:t>）</w:t>
                  </w:r>
                </w:p>
              </w:tc>
              <w:tc>
                <w:tcPr>
                  <w:tcW w:w="4767" w:type="dxa"/>
                  <w:vAlign w:val="top"/>
                </w:tcPr>
                <w:p>
                  <w:pPr>
                    <w:pStyle w:val="6"/>
                    <w:spacing w:before="171" w:line="222" w:lineRule="auto"/>
                    <w:ind w:left="1974"/>
                    <w:rPr>
                      <w:sz w:val="21"/>
                      <w:szCs w:val="21"/>
                    </w:rPr>
                  </w:pPr>
                  <w:r>
                    <w:rPr>
                      <w:spacing w:val="-3"/>
                      <w:sz w:val="21"/>
                      <w:szCs w:val="21"/>
                    </w:rPr>
                    <w:t>处置去向</w:t>
                  </w:r>
                </w:p>
              </w:tc>
              <w:tc>
                <w:tcPr>
                  <w:tcW w:w="2200" w:type="dxa"/>
                  <w:vAlign w:val="top"/>
                </w:tcPr>
                <w:p>
                  <w:pPr>
                    <w:pStyle w:val="6"/>
                    <w:spacing w:before="170" w:line="221" w:lineRule="auto"/>
                    <w:ind w:left="580"/>
                    <w:rPr>
                      <w:sz w:val="21"/>
                      <w:szCs w:val="21"/>
                    </w:rPr>
                  </w:pPr>
                  <w:r>
                    <w:rPr>
                      <w:spacing w:val="-1"/>
                      <w:sz w:val="21"/>
                      <w:szCs w:val="21"/>
                    </w:rPr>
                    <w:t>类别及代码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28" w:type="dxa"/>
                  <w:vAlign w:val="top"/>
                </w:tcPr>
                <w:p>
                  <w:pPr>
                    <w:pStyle w:val="6"/>
                    <w:spacing w:before="30" w:line="223" w:lineRule="auto"/>
                    <w:ind w:left="199" w:right="188"/>
                    <w:rPr>
                      <w:sz w:val="21"/>
                      <w:szCs w:val="21"/>
                    </w:rPr>
                  </w:pPr>
                  <w:r>
                    <w:rPr>
                      <w:spacing w:val="-2"/>
                      <w:sz w:val="21"/>
                      <w:szCs w:val="21"/>
                    </w:rPr>
                    <w:t>废弃水基</w:t>
                  </w:r>
                  <w:r>
                    <w:rPr>
                      <w:spacing w:val="2"/>
                      <w:sz w:val="21"/>
                      <w:szCs w:val="21"/>
                    </w:rPr>
                    <w:t xml:space="preserve"> </w:t>
                  </w:r>
                  <w:r>
                    <w:rPr>
                      <w:spacing w:val="-2"/>
                      <w:sz w:val="21"/>
                      <w:szCs w:val="21"/>
                    </w:rPr>
                    <w:t>钻井岩屑</w:t>
                  </w:r>
                </w:p>
              </w:tc>
              <w:tc>
                <w:tcPr>
                  <w:tcW w:w="974" w:type="dxa"/>
                  <w:vAlign w:val="top"/>
                </w:tcPr>
                <w:p>
                  <w:pPr>
                    <w:spacing w:before="207"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3210.75</w:t>
                  </w:r>
                </w:p>
              </w:tc>
              <w:tc>
                <w:tcPr>
                  <w:tcW w:w="4767" w:type="dxa"/>
                  <w:vAlign w:val="top"/>
                </w:tcPr>
                <w:p>
                  <w:pPr>
                    <w:pStyle w:val="6"/>
                    <w:spacing w:before="30" w:line="223" w:lineRule="auto"/>
                    <w:ind w:left="723" w:right="171" w:hanging="540"/>
                    <w:rPr>
                      <w:sz w:val="21"/>
                      <w:szCs w:val="21"/>
                    </w:rPr>
                  </w:pPr>
                  <w:r>
                    <w:rPr>
                      <w:spacing w:val="-1"/>
                      <w:sz w:val="21"/>
                      <w:szCs w:val="21"/>
                    </w:rPr>
                    <w:t>废弃水基钻井岩屑经清洁生产操作平台岩屑堆放</w:t>
                  </w:r>
                  <w:r>
                    <w:rPr>
                      <w:spacing w:val="17"/>
                      <w:sz w:val="21"/>
                      <w:szCs w:val="21"/>
                    </w:rPr>
                    <w:t xml:space="preserve"> </w:t>
                  </w:r>
                  <w:r>
                    <w:rPr>
                      <w:spacing w:val="-2"/>
                      <w:sz w:val="21"/>
                      <w:szCs w:val="21"/>
                    </w:rPr>
                    <w:t>区收集后交由有资质的单位综合利用</w:t>
                  </w:r>
                </w:p>
              </w:tc>
              <w:tc>
                <w:tcPr>
                  <w:tcW w:w="2200" w:type="dxa"/>
                  <w:vAlign w:val="top"/>
                </w:tcPr>
                <w:p>
                  <w:pPr>
                    <w:pStyle w:val="6"/>
                    <w:spacing w:before="30" w:line="223" w:lineRule="auto"/>
                    <w:ind w:left="414" w:right="407" w:firstLine="64"/>
                    <w:rPr>
                      <w:sz w:val="21"/>
                      <w:szCs w:val="21"/>
                    </w:rPr>
                  </w:pPr>
                  <w:r>
                    <w:rPr>
                      <w:spacing w:val="-13"/>
                      <w:sz w:val="21"/>
                      <w:szCs w:val="21"/>
                    </w:rPr>
                    <w:t>其他废物，</w:t>
                  </w:r>
                  <w:r>
                    <w:rPr>
                      <w:spacing w:val="-22"/>
                      <w:sz w:val="21"/>
                      <w:szCs w:val="21"/>
                    </w:rPr>
                    <w:t xml:space="preserve"> </w:t>
                  </w:r>
                  <w:r>
                    <w:rPr>
                      <w:rFonts w:ascii="Times New Roman" w:hAnsi="Times New Roman" w:eastAsia="Times New Roman" w:cs="Times New Roman"/>
                      <w:spacing w:val="-13"/>
                      <w:sz w:val="21"/>
                      <w:szCs w:val="21"/>
                    </w:rPr>
                    <w:t>99</w:t>
                  </w:r>
                  <w:r>
                    <w:rPr>
                      <w:rFonts w:ascii="Times New Roman" w:hAnsi="Times New Roman" w:eastAsia="Times New Roman" w:cs="Times New Roman"/>
                      <w:sz w:val="21"/>
                      <w:szCs w:val="21"/>
                    </w:rPr>
                    <w:t xml:space="preserve">  </w:t>
                  </w:r>
                  <w:r>
                    <w:rPr>
                      <w:spacing w:val="-3"/>
                      <w:sz w:val="21"/>
                      <w:szCs w:val="21"/>
                    </w:rPr>
                    <w:t>（</w:t>
                  </w:r>
                  <w:r>
                    <w:rPr>
                      <w:rFonts w:ascii="Times New Roman" w:hAnsi="Times New Roman" w:eastAsia="Times New Roman" w:cs="Times New Roman"/>
                      <w:spacing w:val="-3"/>
                      <w:sz w:val="21"/>
                      <w:szCs w:val="21"/>
                    </w:rPr>
                    <w:t>747-001-99</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228" w:type="dxa"/>
                  <w:vAlign w:val="top"/>
                </w:tcPr>
                <w:p>
                  <w:pPr>
                    <w:pStyle w:val="6"/>
                    <w:spacing w:before="35" w:line="224" w:lineRule="auto"/>
                    <w:ind w:left="199" w:right="188"/>
                    <w:rPr>
                      <w:sz w:val="21"/>
                      <w:szCs w:val="21"/>
                    </w:rPr>
                  </w:pPr>
                  <w:r>
                    <w:rPr>
                      <w:spacing w:val="-2"/>
                      <w:sz w:val="21"/>
                      <w:szCs w:val="21"/>
                    </w:rPr>
                    <w:t>废弃油基</w:t>
                  </w:r>
                  <w:r>
                    <w:rPr>
                      <w:spacing w:val="2"/>
                      <w:sz w:val="21"/>
                      <w:szCs w:val="21"/>
                    </w:rPr>
                    <w:t xml:space="preserve"> </w:t>
                  </w:r>
                  <w:r>
                    <w:rPr>
                      <w:spacing w:val="-2"/>
                      <w:sz w:val="21"/>
                      <w:szCs w:val="21"/>
                    </w:rPr>
                    <w:t>钻井岩屑</w:t>
                  </w:r>
                </w:p>
              </w:tc>
              <w:tc>
                <w:tcPr>
                  <w:tcW w:w="974" w:type="dxa"/>
                  <w:vAlign w:val="top"/>
                </w:tcPr>
                <w:p>
                  <w:pPr>
                    <w:spacing w:before="208"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25.65</w:t>
                  </w:r>
                </w:p>
              </w:tc>
              <w:tc>
                <w:tcPr>
                  <w:tcW w:w="4767" w:type="dxa"/>
                  <w:vAlign w:val="top"/>
                </w:tcPr>
                <w:p>
                  <w:pPr>
                    <w:pStyle w:val="6"/>
                    <w:spacing w:before="35" w:line="224" w:lineRule="auto"/>
                    <w:ind w:left="2182" w:right="99" w:hanging="2067"/>
                    <w:rPr>
                      <w:sz w:val="21"/>
                      <w:szCs w:val="21"/>
                    </w:rPr>
                  </w:pPr>
                  <w:r>
                    <w:rPr>
                      <w:spacing w:val="-4"/>
                      <w:sz w:val="21"/>
                      <w:szCs w:val="21"/>
                    </w:rPr>
                    <w:t>油基岩屑经收集后，交有危废处置资质的单位进行</w:t>
                  </w:r>
                  <w:r>
                    <w:rPr>
                      <w:spacing w:val="13"/>
                      <w:sz w:val="21"/>
                      <w:szCs w:val="21"/>
                    </w:rPr>
                    <w:t xml:space="preserve"> </w:t>
                  </w:r>
                  <w:r>
                    <w:rPr>
                      <w:spacing w:val="-3"/>
                      <w:sz w:val="21"/>
                      <w:szCs w:val="21"/>
                    </w:rPr>
                    <w:t>处置</w:t>
                  </w:r>
                </w:p>
              </w:tc>
              <w:tc>
                <w:tcPr>
                  <w:tcW w:w="2200" w:type="dxa"/>
                  <w:vAlign w:val="top"/>
                </w:tcPr>
                <w:p>
                  <w:pPr>
                    <w:pStyle w:val="6"/>
                    <w:spacing w:before="35" w:line="224" w:lineRule="auto"/>
                    <w:ind w:left="413" w:right="287" w:hanging="109"/>
                    <w:rPr>
                      <w:sz w:val="21"/>
                      <w:szCs w:val="21"/>
                    </w:rPr>
                  </w:pPr>
                  <w:r>
                    <w:rPr>
                      <w:spacing w:val="-10"/>
                      <w:sz w:val="21"/>
                      <w:szCs w:val="21"/>
                    </w:rPr>
                    <w:t>危险废物，</w:t>
                  </w:r>
                  <w:r>
                    <w:rPr>
                      <w:spacing w:val="-24"/>
                      <w:sz w:val="21"/>
                      <w:szCs w:val="21"/>
                    </w:rPr>
                    <w:t xml:space="preserve"> </w:t>
                  </w:r>
                  <w:r>
                    <w:rPr>
                      <w:rFonts w:ascii="Times New Roman" w:hAnsi="Times New Roman" w:eastAsia="Times New Roman" w:cs="Times New Roman"/>
                      <w:spacing w:val="-10"/>
                      <w:sz w:val="21"/>
                      <w:szCs w:val="21"/>
                    </w:rPr>
                    <w:t>HW08</w:t>
                  </w:r>
                  <w:r>
                    <w:rPr>
                      <w:rFonts w:ascii="Times New Roman" w:hAnsi="Times New Roman" w:eastAsia="Times New Roman" w:cs="Times New Roman"/>
                      <w:sz w:val="21"/>
                      <w:szCs w:val="21"/>
                    </w:rPr>
                    <w:t xml:space="preserve"> </w:t>
                  </w:r>
                  <w:r>
                    <w:rPr>
                      <w:spacing w:val="-1"/>
                      <w:sz w:val="21"/>
                      <w:szCs w:val="21"/>
                    </w:rPr>
                    <w:t>（</w:t>
                  </w:r>
                  <w:r>
                    <w:rPr>
                      <w:rFonts w:ascii="Times New Roman" w:hAnsi="Times New Roman" w:eastAsia="Times New Roman" w:cs="Times New Roman"/>
                      <w:spacing w:val="-1"/>
                      <w:sz w:val="21"/>
                      <w:szCs w:val="21"/>
                    </w:rPr>
                    <w:t>072-001-08</w:t>
                  </w:r>
                  <w:r>
                    <w:rPr>
                      <w:spacing w:val="-1"/>
                      <w:sz w:val="21"/>
                      <w:szCs w:val="21"/>
                    </w:rPr>
                    <w:t>）</w:t>
                  </w:r>
                </w:p>
              </w:tc>
            </w:tr>
          </w:tbl>
          <w:p>
            <w:pPr>
              <w:pStyle w:val="6"/>
              <w:spacing w:before="177"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）废弃水基泥浆</w:t>
            </w:r>
          </w:p>
          <w:p>
            <w:pPr>
              <w:pStyle w:val="6"/>
              <w:spacing w:before="196" w:line="369" w:lineRule="auto"/>
              <w:ind w:left="109" w:right="100" w:firstLine="479"/>
              <w:jc w:val="both"/>
              <w:rPr>
                <w:sz w:val="24"/>
                <w:szCs w:val="24"/>
              </w:rPr>
            </w:pPr>
            <w:r>
              <w:rPr>
                <w:spacing w:val="1"/>
                <w:sz w:val="24"/>
                <w:szCs w:val="24"/>
              </w:rPr>
              <w:t>本项目六开采用油基钻井液钻井。根据类比调查，油基泥浆在钻井过程中除少量损</w:t>
            </w:r>
            <w:r>
              <w:rPr>
                <w:sz w:val="24"/>
                <w:szCs w:val="24"/>
              </w:rPr>
              <w:t xml:space="preserve"> </w:t>
            </w:r>
            <w:r>
              <w:rPr>
                <w:spacing w:val="-2"/>
                <w:sz w:val="24"/>
                <w:szCs w:val="24"/>
              </w:rPr>
              <w:t>耗和附着于岩屑外， 其余部分可实现全部循环利用。完钻后剩余油基泥浆储存于储备罐</w:t>
            </w:r>
          </w:p>
          <w:p>
            <w:pPr>
              <w:pStyle w:val="6"/>
              <w:spacing w:line="219" w:lineRule="auto"/>
              <w:ind w:left="137"/>
              <w:rPr>
                <w:sz w:val="24"/>
                <w:szCs w:val="24"/>
              </w:rPr>
            </w:pPr>
            <w:r>
              <w:rPr>
                <w:spacing w:val="-2"/>
                <w:sz w:val="24"/>
                <w:szCs w:val="24"/>
              </w:rPr>
              <w:t>内，最后转运至公司其他井场重复利用。因此，项目完钻后无油基</w:t>
            </w:r>
            <w:r>
              <w:rPr>
                <w:spacing w:val="-3"/>
                <w:sz w:val="24"/>
                <w:szCs w:val="24"/>
              </w:rPr>
              <w:t>泥浆遗留。</w:t>
            </w:r>
          </w:p>
          <w:p>
            <w:pPr>
              <w:pStyle w:val="6"/>
              <w:spacing w:before="195" w:line="480" w:lineRule="exact"/>
              <w:ind w:left="589"/>
              <w:rPr>
                <w:sz w:val="24"/>
                <w:szCs w:val="24"/>
              </w:rPr>
            </w:pPr>
            <w:r>
              <w:rPr>
                <w:spacing w:val="-2"/>
                <w:position w:val="18"/>
                <w:sz w:val="24"/>
                <w:szCs w:val="24"/>
              </w:rPr>
              <w:t>本项目一开</w:t>
            </w:r>
            <w:r>
              <w:rPr>
                <w:rFonts w:ascii="Times New Roman" w:hAnsi="Times New Roman" w:eastAsia="Times New Roman" w:cs="Times New Roman"/>
                <w:spacing w:val="-2"/>
                <w:position w:val="18"/>
                <w:sz w:val="24"/>
                <w:szCs w:val="24"/>
              </w:rPr>
              <w:t>~</w:t>
            </w:r>
            <w:r>
              <w:rPr>
                <w:spacing w:val="-2"/>
                <w:position w:val="18"/>
                <w:sz w:val="24"/>
                <w:szCs w:val="24"/>
              </w:rPr>
              <w:t>五开段采用水基钻井液钻井。水基</w:t>
            </w:r>
            <w:r>
              <w:rPr>
                <w:spacing w:val="-3"/>
                <w:position w:val="18"/>
                <w:sz w:val="24"/>
                <w:szCs w:val="24"/>
              </w:rPr>
              <w:t>钻井泥浆主要是由黏土、钻屑、加重</w:t>
            </w:r>
          </w:p>
          <w:p>
            <w:pPr>
              <w:pStyle w:val="6"/>
              <w:spacing w:before="1" w:line="212" w:lineRule="auto"/>
              <w:ind w:left="108"/>
              <w:rPr>
                <w:sz w:val="24"/>
                <w:szCs w:val="24"/>
              </w:rPr>
            </w:pPr>
            <w:r>
              <w:rPr>
                <w:spacing w:val="-6"/>
                <w:sz w:val="24"/>
                <w:szCs w:val="24"/>
              </w:rPr>
              <w:t>材料、化学添加剂、无机盐等组成的多相稳定悬浮液，</w:t>
            </w:r>
            <w:r>
              <w:rPr>
                <w:spacing w:val="52"/>
                <w:sz w:val="24"/>
                <w:szCs w:val="24"/>
              </w:rPr>
              <w:t xml:space="preserve"> </w:t>
            </w:r>
            <w:r>
              <w:rPr>
                <w:rFonts w:ascii="Times New Roman" w:hAnsi="Times New Roman" w:eastAsia="Times New Roman" w:cs="Times New Roman"/>
                <w:spacing w:val="-6"/>
                <w:sz w:val="24"/>
                <w:szCs w:val="24"/>
              </w:rPr>
              <w:t xml:space="preserve">pH </w:t>
            </w:r>
            <w:r>
              <w:rPr>
                <w:spacing w:val="-6"/>
                <w:sz w:val="24"/>
                <w:szCs w:val="24"/>
              </w:rPr>
              <w:t>值较高。导致环境污染的有害</w:t>
            </w:r>
          </w:p>
        </w:tc>
      </w:tr>
    </w:tbl>
    <w:p>
      <w:pPr>
        <w:pStyle w:val="2"/>
        <w:rPr>
          <w:sz w:val="21"/>
        </w:rPr>
      </w:pPr>
    </w:p>
    <w:p>
      <w:pPr>
        <w:rPr>
          <w:sz w:val="21"/>
          <w:szCs w:val="21"/>
        </w:rPr>
        <w:sectPr>
          <w:footerReference r:id="rId112"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3"/>
        <w:gridCol w:w="127"/>
        <w:gridCol w:w="1191"/>
        <w:gridCol w:w="1191"/>
        <w:gridCol w:w="1133"/>
        <w:gridCol w:w="3820"/>
        <w:gridCol w:w="1688"/>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4"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9385" w:type="dxa"/>
            <w:gridSpan w:val="8"/>
            <w:tcBorders>
              <w:top w:val="single" w:color="000000" w:sz="6" w:space="0"/>
              <w:right w:val="single" w:color="000000" w:sz="6" w:space="0"/>
            </w:tcBorders>
            <w:vAlign w:val="top"/>
          </w:tcPr>
          <w:p>
            <w:pPr>
              <w:pStyle w:val="6"/>
              <w:spacing w:before="183" w:line="369" w:lineRule="auto"/>
              <w:ind w:left="107" w:right="16" w:firstLine="2"/>
              <w:jc w:val="both"/>
              <w:rPr>
                <w:sz w:val="24"/>
                <w:szCs w:val="24"/>
              </w:rPr>
            </w:pPr>
            <w:r>
              <w:rPr>
                <w:spacing w:val="-2"/>
                <w:sz w:val="24"/>
                <w:szCs w:val="24"/>
              </w:rPr>
              <w:t>成分为盐类、杀菌剂、化学添加剂等， 高分子有机化合物</w:t>
            </w:r>
            <w:r>
              <w:rPr>
                <w:spacing w:val="-3"/>
                <w:sz w:val="24"/>
                <w:szCs w:val="24"/>
              </w:rPr>
              <w:t xml:space="preserve">经生物降解后产生的低分子有 </w:t>
            </w:r>
            <w:r>
              <w:rPr>
                <w:spacing w:val="-5"/>
                <w:sz w:val="24"/>
                <w:szCs w:val="24"/>
              </w:rPr>
              <w:t>机化合物和碱性物质。钻井过程中产生的废钻井泥浆主要来源于以</w:t>
            </w:r>
            <w:r>
              <w:rPr>
                <w:spacing w:val="-6"/>
                <w:sz w:val="24"/>
                <w:szCs w:val="24"/>
              </w:rPr>
              <w:t>下</w:t>
            </w:r>
            <w:r>
              <w:rPr>
                <w:spacing w:val="-48"/>
                <w:sz w:val="24"/>
                <w:szCs w:val="24"/>
              </w:rPr>
              <w:t xml:space="preserve"> </w:t>
            </w:r>
            <w:r>
              <w:rPr>
                <w:rFonts w:ascii="Times New Roman" w:hAnsi="Times New Roman" w:eastAsia="Times New Roman" w:cs="Times New Roman"/>
                <w:spacing w:val="-6"/>
                <w:sz w:val="24"/>
                <w:szCs w:val="24"/>
              </w:rPr>
              <w:t xml:space="preserve">5 </w:t>
            </w:r>
            <w:r>
              <w:rPr>
                <w:spacing w:val="-6"/>
                <w:sz w:val="24"/>
                <w:szCs w:val="24"/>
              </w:rPr>
              <w:t xml:space="preserve">个方面： </w:t>
            </w:r>
            <w:r>
              <w:rPr>
                <w:rFonts w:ascii="Times New Roman" w:hAnsi="Times New Roman" w:eastAsia="Times New Roman" w:cs="Times New Roman"/>
                <w:spacing w:val="-6"/>
                <w:sz w:val="24"/>
                <w:szCs w:val="24"/>
              </w:rPr>
              <w:t>1</w:t>
            </w:r>
            <w:r>
              <w:rPr>
                <w:spacing w:val="-6"/>
                <w:sz w:val="24"/>
                <w:szCs w:val="24"/>
              </w:rPr>
              <w:t xml:space="preserve">）被更 </w:t>
            </w:r>
            <w:r>
              <w:rPr>
                <w:spacing w:val="-11"/>
                <w:sz w:val="24"/>
                <w:szCs w:val="24"/>
              </w:rPr>
              <w:t>换的不适于钻井工程和地质要求的钻井泥浆；</w:t>
            </w:r>
            <w:r>
              <w:rPr>
                <w:spacing w:val="49"/>
                <w:sz w:val="24"/>
                <w:szCs w:val="24"/>
              </w:rPr>
              <w:t xml:space="preserve"> </w:t>
            </w:r>
            <w:r>
              <w:rPr>
                <w:rFonts w:ascii="Times New Roman" w:hAnsi="Times New Roman" w:eastAsia="Times New Roman" w:cs="Times New Roman"/>
                <w:spacing w:val="-11"/>
                <w:sz w:val="24"/>
                <w:szCs w:val="24"/>
              </w:rPr>
              <w:t>2</w:t>
            </w:r>
            <w:r>
              <w:rPr>
                <w:spacing w:val="-11"/>
                <w:sz w:val="24"/>
                <w:szCs w:val="24"/>
              </w:rPr>
              <w:t>）在钻井过程中，</w:t>
            </w:r>
            <w:r>
              <w:rPr>
                <w:spacing w:val="60"/>
                <w:sz w:val="24"/>
                <w:szCs w:val="24"/>
              </w:rPr>
              <w:t xml:space="preserve"> </w:t>
            </w:r>
            <w:r>
              <w:rPr>
                <w:spacing w:val="-11"/>
                <w:sz w:val="24"/>
                <w:szCs w:val="24"/>
              </w:rPr>
              <w:t>因部分性能不合格而被 排放的钻井泥浆；</w:t>
            </w:r>
            <w:r>
              <w:rPr>
                <w:spacing w:val="49"/>
                <w:sz w:val="24"/>
                <w:szCs w:val="24"/>
              </w:rPr>
              <w:t xml:space="preserve"> </w:t>
            </w:r>
            <w:r>
              <w:rPr>
                <w:rFonts w:ascii="Times New Roman" w:hAnsi="Times New Roman" w:eastAsia="Times New Roman" w:cs="Times New Roman"/>
                <w:spacing w:val="-11"/>
                <w:sz w:val="24"/>
                <w:szCs w:val="24"/>
              </w:rPr>
              <w:t>3</w:t>
            </w:r>
            <w:r>
              <w:rPr>
                <w:spacing w:val="-11"/>
                <w:sz w:val="24"/>
                <w:szCs w:val="24"/>
              </w:rPr>
              <w:t>）完井时井筒内被清水替出的钻井泥浆；</w:t>
            </w:r>
            <w:r>
              <w:rPr>
                <w:spacing w:val="44"/>
                <w:sz w:val="24"/>
                <w:szCs w:val="24"/>
              </w:rPr>
              <w:t xml:space="preserve"> </w:t>
            </w:r>
            <w:r>
              <w:rPr>
                <w:rFonts w:ascii="Times New Roman" w:hAnsi="Times New Roman" w:eastAsia="Times New Roman" w:cs="Times New Roman"/>
                <w:spacing w:val="-11"/>
                <w:sz w:val="24"/>
                <w:szCs w:val="24"/>
              </w:rPr>
              <w:t>4</w:t>
            </w:r>
            <w:r>
              <w:rPr>
                <w:spacing w:val="-11"/>
                <w:sz w:val="24"/>
                <w:szCs w:val="24"/>
              </w:rPr>
              <w:t>）由钻井泥浆循环</w:t>
            </w:r>
            <w:r>
              <w:rPr>
                <w:spacing w:val="-12"/>
                <w:sz w:val="24"/>
                <w:szCs w:val="24"/>
              </w:rPr>
              <w:t>系统跑、</w:t>
            </w:r>
          </w:p>
          <w:p>
            <w:pPr>
              <w:pStyle w:val="6"/>
              <w:spacing w:before="1" w:line="218" w:lineRule="auto"/>
              <w:ind w:left="133"/>
              <w:rPr>
                <w:sz w:val="24"/>
                <w:szCs w:val="24"/>
              </w:rPr>
            </w:pPr>
            <w:r>
              <w:rPr>
                <w:spacing w:val="-7"/>
                <w:sz w:val="24"/>
                <w:szCs w:val="24"/>
              </w:rPr>
              <w:t>冒、滴、漏而排出的钻井泥浆；</w:t>
            </w:r>
            <w:r>
              <w:rPr>
                <w:spacing w:val="70"/>
                <w:sz w:val="24"/>
                <w:szCs w:val="24"/>
              </w:rPr>
              <w:t xml:space="preserve"> </w:t>
            </w:r>
            <w:r>
              <w:rPr>
                <w:rFonts w:ascii="Times New Roman" w:hAnsi="Times New Roman" w:eastAsia="Times New Roman" w:cs="Times New Roman"/>
                <w:spacing w:val="-7"/>
                <w:sz w:val="24"/>
                <w:szCs w:val="24"/>
              </w:rPr>
              <w:t>5</w:t>
            </w:r>
            <w:r>
              <w:rPr>
                <w:spacing w:val="-7"/>
                <w:sz w:val="24"/>
                <w:szCs w:val="24"/>
              </w:rPr>
              <w:t>）钻屑与钻井液分离时，钻屑表面黏附的钻井液。</w:t>
            </w:r>
          </w:p>
          <w:p>
            <w:pPr>
              <w:pStyle w:val="6"/>
              <w:spacing w:before="197" w:line="369" w:lineRule="auto"/>
              <w:ind w:left="107" w:right="32" w:firstLine="486"/>
              <w:jc w:val="both"/>
              <w:rPr>
                <w:sz w:val="24"/>
                <w:szCs w:val="24"/>
              </w:rPr>
            </w:pPr>
            <w:r>
              <w:rPr>
                <w:spacing w:val="-11"/>
                <w:sz w:val="24"/>
                <w:szCs w:val="24"/>
              </w:rPr>
              <w:t>结合《国家危险废物名录（</w:t>
            </w:r>
            <w:r>
              <w:rPr>
                <w:rFonts w:ascii="Times New Roman" w:hAnsi="Times New Roman" w:eastAsia="Times New Roman" w:cs="Times New Roman"/>
                <w:spacing w:val="-11"/>
                <w:sz w:val="24"/>
                <w:szCs w:val="24"/>
              </w:rPr>
              <w:t xml:space="preserve">2021 </w:t>
            </w:r>
            <w:r>
              <w:rPr>
                <w:spacing w:val="-11"/>
                <w:sz w:val="24"/>
                <w:szCs w:val="24"/>
              </w:rPr>
              <w:t>年版）》和《危险废物排出管理清单（</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2"/>
                <w:sz w:val="24"/>
                <w:szCs w:val="24"/>
              </w:rPr>
              <w:t xml:space="preserve">021 </w:t>
            </w:r>
            <w:r>
              <w:rPr>
                <w:spacing w:val="-12"/>
                <w:sz w:val="24"/>
                <w:szCs w:val="24"/>
              </w:rPr>
              <w:t>年版）》，</w:t>
            </w:r>
            <w:r>
              <w:rPr>
                <w:sz w:val="24"/>
                <w:szCs w:val="24"/>
              </w:rPr>
              <w:t xml:space="preserve"> </w:t>
            </w:r>
            <w:r>
              <w:rPr>
                <w:spacing w:val="1"/>
                <w:sz w:val="24"/>
                <w:szCs w:val="24"/>
              </w:rPr>
              <w:t>采用水基钻井液钻井产生的泥浆作为一般固废管控处置。根据对本项目钻井泥浆配备情</w:t>
            </w:r>
            <w:r>
              <w:rPr>
                <w:spacing w:val="3"/>
                <w:sz w:val="24"/>
                <w:szCs w:val="24"/>
              </w:rPr>
              <w:t xml:space="preserve"> </w:t>
            </w:r>
            <w:r>
              <w:rPr>
                <w:spacing w:val="-1"/>
                <w:sz w:val="24"/>
                <w:szCs w:val="24"/>
              </w:rPr>
              <w:t xml:space="preserve">况和使用情况分析，泥浆循环系统产生含水率为 </w:t>
            </w:r>
            <w:r>
              <w:rPr>
                <w:rFonts w:ascii="Times New Roman" w:hAnsi="Times New Roman" w:eastAsia="Times New Roman" w:cs="Times New Roman"/>
                <w:spacing w:val="-1"/>
                <w:sz w:val="24"/>
                <w:szCs w:val="24"/>
              </w:rPr>
              <w:t>92%</w:t>
            </w:r>
            <w:r>
              <w:rPr>
                <w:spacing w:val="-1"/>
                <w:sz w:val="24"/>
                <w:szCs w:val="24"/>
              </w:rPr>
              <w:t>的泥浆，经不落地系统压滤为含水</w:t>
            </w:r>
            <w:r>
              <w:rPr>
                <w:spacing w:val="4"/>
                <w:sz w:val="24"/>
                <w:szCs w:val="24"/>
              </w:rPr>
              <w:t xml:space="preserve"> </w:t>
            </w:r>
            <w:r>
              <w:rPr>
                <w:spacing w:val="-9"/>
                <w:sz w:val="24"/>
                <w:szCs w:val="24"/>
              </w:rPr>
              <w:t>率</w:t>
            </w:r>
            <w:r>
              <w:rPr>
                <w:spacing w:val="-48"/>
                <w:sz w:val="24"/>
                <w:szCs w:val="24"/>
              </w:rPr>
              <w:t xml:space="preserve"> </w:t>
            </w:r>
            <w:r>
              <w:rPr>
                <w:rFonts w:ascii="Times New Roman" w:hAnsi="Times New Roman" w:eastAsia="Times New Roman" w:cs="Times New Roman"/>
                <w:spacing w:val="-9"/>
                <w:sz w:val="24"/>
                <w:szCs w:val="24"/>
              </w:rPr>
              <w:t>60%</w:t>
            </w:r>
            <w:r>
              <w:rPr>
                <w:spacing w:val="-9"/>
                <w:sz w:val="24"/>
                <w:szCs w:val="24"/>
              </w:rPr>
              <w:t>的泥浆， 共计约</w:t>
            </w:r>
            <w:r>
              <w:rPr>
                <w:spacing w:val="-32"/>
                <w:sz w:val="24"/>
                <w:szCs w:val="24"/>
              </w:rPr>
              <w:t xml:space="preserve"> </w:t>
            </w:r>
            <w:r>
              <w:rPr>
                <w:rFonts w:ascii="Times New Roman" w:hAnsi="Times New Roman" w:eastAsia="Times New Roman" w:cs="Times New Roman"/>
                <w:spacing w:val="-9"/>
                <w:sz w:val="24"/>
                <w:szCs w:val="24"/>
              </w:rPr>
              <w:t>122.72m</w:t>
            </w:r>
            <w:r>
              <w:rPr>
                <w:rFonts w:ascii="Times New Roman" w:hAnsi="Times New Roman" w:eastAsia="Times New Roman" w:cs="Times New Roman"/>
                <w:spacing w:val="-9"/>
                <w:position w:val="9"/>
                <w:sz w:val="16"/>
                <w:szCs w:val="16"/>
              </w:rPr>
              <w:t xml:space="preserve">3  </w:t>
            </w:r>
            <w:r>
              <w:rPr>
                <w:spacing w:val="-9"/>
                <w:sz w:val="24"/>
                <w:szCs w:val="24"/>
              </w:rPr>
              <w:t xml:space="preserve">（密度以 </w:t>
            </w:r>
            <w:r>
              <w:rPr>
                <w:rFonts w:ascii="Times New Roman" w:hAnsi="Times New Roman" w:eastAsia="Times New Roman" w:cs="Times New Roman"/>
                <w:spacing w:val="-9"/>
                <w:sz w:val="24"/>
                <w:szCs w:val="24"/>
              </w:rPr>
              <w:t>1.5g/cm</w:t>
            </w:r>
            <w:r>
              <w:rPr>
                <w:rFonts w:ascii="Times New Roman" w:hAnsi="Times New Roman" w:eastAsia="Times New Roman" w:cs="Times New Roman"/>
                <w:spacing w:val="-9"/>
                <w:position w:val="9"/>
                <w:sz w:val="16"/>
                <w:szCs w:val="16"/>
              </w:rPr>
              <w:t>3</w:t>
            </w:r>
            <w:r>
              <w:rPr>
                <w:rFonts w:ascii="Times New Roman" w:hAnsi="Times New Roman" w:eastAsia="Times New Roman" w:cs="Times New Roman"/>
                <w:spacing w:val="12"/>
                <w:position w:val="9"/>
                <w:sz w:val="16"/>
                <w:szCs w:val="16"/>
              </w:rPr>
              <w:t xml:space="preserve"> </w:t>
            </w:r>
            <w:r>
              <w:rPr>
                <w:spacing w:val="-9"/>
                <w:sz w:val="24"/>
                <w:szCs w:val="24"/>
              </w:rPr>
              <w:t>计，</w:t>
            </w:r>
            <w:r>
              <w:rPr>
                <w:spacing w:val="-35"/>
                <w:sz w:val="24"/>
                <w:szCs w:val="24"/>
              </w:rPr>
              <w:t xml:space="preserve"> </w:t>
            </w:r>
            <w:r>
              <w:rPr>
                <w:spacing w:val="-9"/>
                <w:sz w:val="24"/>
                <w:szCs w:val="24"/>
              </w:rPr>
              <w:t>约</w:t>
            </w:r>
            <w:r>
              <w:rPr>
                <w:spacing w:val="-32"/>
                <w:sz w:val="24"/>
                <w:szCs w:val="24"/>
              </w:rPr>
              <w:t xml:space="preserve"> </w:t>
            </w:r>
            <w:r>
              <w:rPr>
                <w:rFonts w:ascii="Times New Roman" w:hAnsi="Times New Roman" w:eastAsia="Times New Roman" w:cs="Times New Roman"/>
                <w:spacing w:val="-9"/>
                <w:sz w:val="24"/>
                <w:szCs w:val="24"/>
              </w:rPr>
              <w:t>184.08t</w:t>
            </w:r>
            <w:r>
              <w:rPr>
                <w:spacing w:val="-8"/>
                <w:sz w:val="24"/>
                <w:szCs w:val="24"/>
              </w:rPr>
              <w:t>），</w:t>
            </w:r>
            <w:r>
              <w:rPr>
                <w:spacing w:val="-9"/>
                <w:sz w:val="24"/>
                <w:szCs w:val="24"/>
              </w:rPr>
              <w:t>全部外运地方砖厂</w:t>
            </w:r>
          </w:p>
          <w:p>
            <w:pPr>
              <w:pStyle w:val="6"/>
              <w:spacing w:line="220" w:lineRule="auto"/>
              <w:ind w:left="109"/>
              <w:rPr>
                <w:sz w:val="24"/>
                <w:szCs w:val="24"/>
              </w:rPr>
            </w:pPr>
            <w:r>
              <w:rPr>
                <w:spacing w:val="-6"/>
                <w:sz w:val="24"/>
                <w:szCs w:val="24"/>
              </w:rPr>
              <w:t>制砖综合利用。</w:t>
            </w:r>
          </w:p>
          <w:p>
            <w:pPr>
              <w:pStyle w:val="6"/>
              <w:spacing w:before="193" w:line="219" w:lineRule="auto"/>
              <w:ind w:left="589"/>
              <w:rPr>
                <w:sz w:val="24"/>
                <w:szCs w:val="24"/>
              </w:rPr>
            </w:pPr>
            <w:r>
              <w:rPr>
                <w:spacing w:val="-2"/>
                <w:sz w:val="24"/>
                <w:szCs w:val="24"/>
              </w:rPr>
              <w:t>本项目产生的废弃水基钻井泥浆处理情况详见下表。</w:t>
            </w:r>
          </w:p>
          <w:p>
            <w:pPr>
              <w:pStyle w:val="6"/>
              <w:spacing w:before="194" w:line="220" w:lineRule="auto"/>
              <w:ind w:left="2666"/>
              <w:rPr>
                <w:sz w:val="24"/>
                <w:szCs w:val="24"/>
              </w:rPr>
            </w:pPr>
            <w:r>
              <w:rPr>
                <w:spacing w:val="-1"/>
                <w:sz w:val="24"/>
                <w:szCs w:val="24"/>
                <w14:textOutline w14:w="4354" w14:cap="flat" w14:cmpd="sng">
                  <w14:solidFill>
                    <w14:srgbClr w14:val="000000"/>
                  </w14:solidFill>
                  <w14:prstDash w14:val="solid"/>
                  <w14:miter w14:val="10"/>
                </w14:textOutline>
              </w:rPr>
              <w:t>表</w:t>
            </w:r>
            <w:r>
              <w:rPr>
                <w:spacing w:val="-34"/>
                <w:sz w:val="24"/>
                <w:szCs w:val="24"/>
              </w:rPr>
              <w:t xml:space="preserve"> </w:t>
            </w:r>
            <w:r>
              <w:rPr>
                <w:rFonts w:ascii="Times New Roman" w:hAnsi="Times New Roman" w:eastAsia="Times New Roman" w:cs="Times New Roman"/>
                <w:b/>
                <w:bCs/>
                <w:spacing w:val="-1"/>
                <w:sz w:val="24"/>
                <w:szCs w:val="24"/>
              </w:rPr>
              <w:t xml:space="preserve">4.3-13    </w:t>
            </w:r>
            <w:r>
              <w:rPr>
                <w:spacing w:val="-1"/>
                <w:sz w:val="24"/>
                <w:szCs w:val="24"/>
                <w14:textOutline w14:w="4354" w14:cap="flat" w14:cmpd="sng">
                  <w14:solidFill>
                    <w14:srgbClr w14:val="000000"/>
                  </w14:solidFill>
                  <w14:prstDash w14:val="solid"/>
                  <w14:miter w14:val="10"/>
                </w14:textOutline>
              </w:rPr>
              <w:t>钻井泥浆产生及处置情况表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5" w:type="dxa"/>
            <w:vMerge w:val="continue"/>
            <w:tcBorders>
              <w:top w:val="nil"/>
              <w:left w:val="single" w:color="000000" w:sz="6" w:space="0"/>
              <w:bottom w:val="nil"/>
            </w:tcBorders>
            <w:vAlign w:val="top"/>
          </w:tcPr>
          <w:p>
            <w:pPr>
              <w:rPr>
                <w:rFonts w:ascii="Arial"/>
                <w:sz w:val="21"/>
              </w:rPr>
            </w:pPr>
          </w:p>
        </w:tc>
        <w:tc>
          <w:tcPr>
            <w:tcW w:w="240" w:type="dxa"/>
            <w:gridSpan w:val="2"/>
            <w:tcBorders>
              <w:right w:val="nil"/>
            </w:tcBorders>
            <w:vAlign w:val="top"/>
          </w:tcPr>
          <w:p>
            <w:pPr>
              <w:rPr>
                <w:rFonts w:ascii="Arial"/>
                <w:sz w:val="21"/>
              </w:rPr>
            </w:pPr>
            <w:r>
              <w:pict>
                <v:rect id="_x0000_s1351" o:spid="_x0000_s1351" o:spt="1" style="position:absolute;left:0pt;margin-left:5.1pt;margin-top:0.5pt;height:17.05pt;width:0.5pt;mso-position-horizontal-relative:page;mso-position-vertical-relative:page;z-index:251888640;mso-width-relative:page;mso-height-relative:page;" fillcolor="#000000" filled="t" stroked="f" coordsize="21600,21600">
                  <v:path/>
                  <v:fill on="t" focussize="0,0"/>
                  <v:stroke on="f"/>
                  <v:imagedata o:title=""/>
                  <o:lock v:ext="edit"/>
                </v:rect>
              </w:pict>
            </w:r>
          </w:p>
        </w:tc>
        <w:tc>
          <w:tcPr>
            <w:tcW w:w="1191" w:type="dxa"/>
            <w:tcBorders>
              <w:left w:val="nil"/>
            </w:tcBorders>
            <w:vAlign w:val="top"/>
          </w:tcPr>
          <w:p>
            <w:pPr>
              <w:pStyle w:val="6"/>
              <w:spacing w:before="68" w:line="221" w:lineRule="auto"/>
              <w:ind w:left="116"/>
              <w:rPr>
                <w:sz w:val="21"/>
                <w:szCs w:val="21"/>
              </w:rPr>
            </w:pPr>
            <w:r>
              <w:rPr>
                <w:spacing w:val="-2"/>
                <w:sz w:val="21"/>
                <w:szCs w:val="21"/>
              </w:rPr>
              <w:t>泥浆类别</w:t>
            </w:r>
          </w:p>
        </w:tc>
        <w:tc>
          <w:tcPr>
            <w:tcW w:w="1191" w:type="dxa"/>
            <w:vAlign w:val="top"/>
          </w:tcPr>
          <w:p>
            <w:pPr>
              <w:pStyle w:val="6"/>
              <w:spacing w:before="68" w:line="234" w:lineRule="auto"/>
              <w:ind w:left="109"/>
              <w:rPr>
                <w:sz w:val="21"/>
                <w:szCs w:val="21"/>
              </w:rPr>
            </w:pPr>
            <w:r>
              <w:rPr>
                <w:spacing w:val="-1"/>
                <w:sz w:val="21"/>
                <w:szCs w:val="21"/>
              </w:rPr>
              <w:t>井段（</w:t>
            </w:r>
            <w:r>
              <w:rPr>
                <w:rFonts w:ascii="Times New Roman" w:hAnsi="Times New Roman" w:eastAsia="Times New Roman" w:cs="Times New Roman"/>
                <w:spacing w:val="-1"/>
                <w:sz w:val="21"/>
                <w:szCs w:val="21"/>
              </w:rPr>
              <w:t>m</w:t>
            </w:r>
            <w:r>
              <w:rPr>
                <w:spacing w:val="-1"/>
                <w:sz w:val="21"/>
                <w:szCs w:val="21"/>
              </w:rPr>
              <w:t>）</w:t>
            </w:r>
          </w:p>
        </w:tc>
        <w:tc>
          <w:tcPr>
            <w:tcW w:w="1133" w:type="dxa"/>
            <w:vAlign w:val="top"/>
          </w:tcPr>
          <w:p>
            <w:pPr>
              <w:pStyle w:val="6"/>
              <w:spacing w:before="68" w:line="234" w:lineRule="auto"/>
              <w:jc w:val="right"/>
              <w:rPr>
                <w:sz w:val="21"/>
                <w:szCs w:val="21"/>
              </w:rPr>
            </w:pPr>
            <w:r>
              <w:rPr>
                <w:spacing w:val="-18"/>
                <w:sz w:val="21"/>
                <w:szCs w:val="21"/>
              </w:rPr>
              <w:t>产生量（</w:t>
            </w:r>
            <w:r>
              <w:rPr>
                <w:rFonts w:ascii="Times New Roman" w:hAnsi="Times New Roman" w:eastAsia="Times New Roman" w:cs="Times New Roman"/>
                <w:spacing w:val="-18"/>
                <w:sz w:val="21"/>
                <w:szCs w:val="21"/>
              </w:rPr>
              <w:t>t</w:t>
            </w:r>
            <w:r>
              <w:rPr>
                <w:spacing w:val="-18"/>
                <w:sz w:val="21"/>
                <w:szCs w:val="21"/>
              </w:rPr>
              <w:t>）</w:t>
            </w:r>
          </w:p>
        </w:tc>
        <w:tc>
          <w:tcPr>
            <w:tcW w:w="3820" w:type="dxa"/>
            <w:vAlign w:val="top"/>
          </w:tcPr>
          <w:p>
            <w:pPr>
              <w:pStyle w:val="6"/>
              <w:spacing w:before="69" w:line="222" w:lineRule="auto"/>
              <w:ind w:left="1503"/>
              <w:rPr>
                <w:sz w:val="21"/>
                <w:szCs w:val="21"/>
              </w:rPr>
            </w:pPr>
            <w:r>
              <w:rPr>
                <w:spacing w:val="-3"/>
                <w:sz w:val="21"/>
                <w:szCs w:val="21"/>
              </w:rPr>
              <w:t>处置去向</w:t>
            </w:r>
          </w:p>
        </w:tc>
        <w:tc>
          <w:tcPr>
            <w:tcW w:w="1688" w:type="dxa"/>
            <w:tcBorders>
              <w:right w:val="single" w:color="000000" w:sz="8" w:space="0"/>
            </w:tcBorders>
            <w:vAlign w:val="top"/>
          </w:tcPr>
          <w:p>
            <w:pPr>
              <w:pStyle w:val="6"/>
              <w:spacing w:before="68" w:line="221" w:lineRule="auto"/>
              <w:ind w:left="331"/>
              <w:rPr>
                <w:sz w:val="21"/>
                <w:szCs w:val="21"/>
              </w:rPr>
            </w:pPr>
            <w:r>
              <w:rPr>
                <w:spacing w:val="-1"/>
                <w:sz w:val="21"/>
                <w:szCs w:val="21"/>
              </w:rPr>
              <w:t>类别及代码</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tcBorders>
              <w:right w:val="single" w:color="000000" w:sz="8" w:space="0"/>
            </w:tcBorders>
            <w:vAlign w:val="top"/>
          </w:tcPr>
          <w:p>
            <w:pPr>
              <w:rPr>
                <w:rFonts w:ascii="Arial"/>
                <w:sz w:val="21"/>
              </w:rPr>
            </w:pPr>
          </w:p>
        </w:tc>
        <w:tc>
          <w:tcPr>
            <w:tcW w:w="1318" w:type="dxa"/>
            <w:gridSpan w:val="2"/>
            <w:tcBorders>
              <w:left w:val="single" w:color="000000" w:sz="8" w:space="0"/>
            </w:tcBorders>
            <w:vAlign w:val="top"/>
          </w:tcPr>
          <w:p>
            <w:pPr>
              <w:pStyle w:val="6"/>
              <w:spacing w:before="36" w:line="221" w:lineRule="auto"/>
              <w:ind w:left="334" w:right="134" w:hanging="209"/>
              <w:rPr>
                <w:sz w:val="21"/>
                <w:szCs w:val="21"/>
              </w:rPr>
            </w:pPr>
            <w:r>
              <w:rPr>
                <w:spacing w:val="-1"/>
                <w:sz w:val="21"/>
                <w:szCs w:val="21"/>
              </w:rPr>
              <w:t>废弃水基钻</w:t>
            </w:r>
            <w:r>
              <w:rPr>
                <w:sz w:val="21"/>
                <w:szCs w:val="21"/>
              </w:rPr>
              <w:t xml:space="preserve"> </w:t>
            </w:r>
            <w:r>
              <w:rPr>
                <w:spacing w:val="-2"/>
                <w:sz w:val="21"/>
                <w:szCs w:val="21"/>
              </w:rPr>
              <w:t>井泥浆</w:t>
            </w:r>
          </w:p>
        </w:tc>
        <w:tc>
          <w:tcPr>
            <w:tcW w:w="1191" w:type="dxa"/>
            <w:vAlign w:val="top"/>
          </w:tcPr>
          <w:p>
            <w:pPr>
              <w:spacing w:before="21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0~7135</w:t>
            </w:r>
          </w:p>
        </w:tc>
        <w:tc>
          <w:tcPr>
            <w:tcW w:w="1133" w:type="dxa"/>
            <w:vAlign w:val="top"/>
          </w:tcPr>
          <w:p>
            <w:pPr>
              <w:spacing w:before="211"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184.08</w:t>
            </w:r>
          </w:p>
        </w:tc>
        <w:tc>
          <w:tcPr>
            <w:tcW w:w="3820" w:type="dxa"/>
            <w:vAlign w:val="top"/>
          </w:tcPr>
          <w:p>
            <w:pPr>
              <w:pStyle w:val="6"/>
              <w:spacing w:before="35" w:line="221" w:lineRule="auto"/>
              <w:ind w:left="135"/>
              <w:rPr>
                <w:sz w:val="21"/>
                <w:szCs w:val="21"/>
              </w:rPr>
            </w:pPr>
            <w:r>
              <w:rPr>
                <w:spacing w:val="-1"/>
                <w:sz w:val="21"/>
                <w:szCs w:val="21"/>
              </w:rPr>
              <w:t>水基岩屑经清洁生产操作平台岩屑堆放</w:t>
            </w:r>
          </w:p>
          <w:p>
            <w:pPr>
              <w:pStyle w:val="6"/>
              <w:spacing w:before="22" w:line="202" w:lineRule="auto"/>
              <w:ind w:left="251"/>
              <w:rPr>
                <w:sz w:val="21"/>
                <w:szCs w:val="21"/>
              </w:rPr>
            </w:pPr>
            <w:r>
              <w:rPr>
                <w:spacing w:val="-2"/>
                <w:sz w:val="21"/>
                <w:szCs w:val="21"/>
              </w:rPr>
              <w:t>区收集后交由有资质的砖厂单位处置</w:t>
            </w:r>
          </w:p>
        </w:tc>
        <w:tc>
          <w:tcPr>
            <w:tcW w:w="1688" w:type="dxa"/>
            <w:tcBorders>
              <w:right w:val="single" w:color="000000" w:sz="8" w:space="0"/>
            </w:tcBorders>
            <w:vAlign w:val="top"/>
          </w:tcPr>
          <w:p>
            <w:pPr>
              <w:pStyle w:val="6"/>
              <w:spacing w:before="36" w:line="221" w:lineRule="auto"/>
              <w:ind w:left="161" w:right="140" w:firstLine="64"/>
              <w:rPr>
                <w:sz w:val="21"/>
                <w:szCs w:val="21"/>
              </w:rPr>
            </w:pPr>
            <w:r>
              <w:rPr>
                <w:spacing w:val="-13"/>
                <w:sz w:val="21"/>
                <w:szCs w:val="21"/>
              </w:rPr>
              <w:t>其他废物，</w:t>
            </w:r>
            <w:r>
              <w:rPr>
                <w:spacing w:val="-22"/>
                <w:sz w:val="21"/>
                <w:szCs w:val="21"/>
              </w:rPr>
              <w:t xml:space="preserve"> </w:t>
            </w:r>
            <w:r>
              <w:rPr>
                <w:rFonts w:ascii="Times New Roman" w:hAnsi="Times New Roman" w:eastAsia="Times New Roman" w:cs="Times New Roman"/>
                <w:spacing w:val="-13"/>
                <w:sz w:val="21"/>
                <w:szCs w:val="21"/>
              </w:rPr>
              <w:t>99</w:t>
            </w:r>
            <w:r>
              <w:rPr>
                <w:rFonts w:ascii="Times New Roman" w:hAnsi="Times New Roman" w:eastAsia="Times New Roman" w:cs="Times New Roman"/>
                <w:sz w:val="21"/>
                <w:szCs w:val="21"/>
              </w:rPr>
              <w:t xml:space="preserve">  </w:t>
            </w:r>
            <w:r>
              <w:rPr>
                <w:spacing w:val="-3"/>
                <w:sz w:val="21"/>
                <w:szCs w:val="21"/>
              </w:rPr>
              <w:t>（</w:t>
            </w:r>
            <w:r>
              <w:rPr>
                <w:rFonts w:ascii="Times New Roman" w:hAnsi="Times New Roman" w:eastAsia="Times New Roman" w:cs="Times New Roman"/>
                <w:spacing w:val="-3"/>
                <w:sz w:val="21"/>
                <w:szCs w:val="21"/>
              </w:rPr>
              <w:t>747-002-99</w:t>
            </w:r>
            <w:r>
              <w:rPr>
                <w:spacing w:val="-3"/>
                <w:sz w:val="21"/>
                <w:szCs w:val="21"/>
              </w:rPr>
              <w:t>）</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4"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9385" w:type="dxa"/>
            <w:gridSpan w:val="8"/>
            <w:tcBorders>
              <w:bottom w:val="single" w:color="000000" w:sz="6" w:space="0"/>
              <w:right w:val="single" w:color="000000" w:sz="6" w:space="0"/>
            </w:tcBorders>
            <w:vAlign w:val="top"/>
          </w:tcPr>
          <w:p>
            <w:pPr>
              <w:pStyle w:val="6"/>
              <w:spacing w:before="183"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3</w:t>
            </w:r>
            <w:r>
              <w:rPr>
                <w:spacing w:val="-2"/>
                <w:sz w:val="24"/>
                <w:szCs w:val="24"/>
                <w14:textOutline w14:w="4354" w14:cap="flat" w14:cmpd="sng">
                  <w14:solidFill>
                    <w14:srgbClr w14:val="000000"/>
                  </w14:solidFill>
                  <w14:prstDash w14:val="solid"/>
                  <w14:miter w14:val="10"/>
                </w14:textOutline>
              </w:rPr>
              <w:t>）沉淀罐污泥</w:t>
            </w:r>
          </w:p>
          <w:p>
            <w:pPr>
              <w:pStyle w:val="6"/>
              <w:spacing w:before="195" w:line="369" w:lineRule="auto"/>
              <w:ind w:left="106" w:right="99" w:firstLine="481"/>
              <w:jc w:val="both"/>
              <w:rPr>
                <w:sz w:val="24"/>
                <w:szCs w:val="24"/>
              </w:rPr>
            </w:pPr>
            <w:r>
              <w:rPr>
                <w:spacing w:val="-2"/>
                <w:sz w:val="24"/>
                <w:szCs w:val="24"/>
              </w:rPr>
              <w:t>钻井废水在被带出地面时，需进入沉淀罐进行沉淀处理， 产生</w:t>
            </w:r>
            <w:r>
              <w:rPr>
                <w:spacing w:val="-3"/>
                <w:sz w:val="24"/>
                <w:szCs w:val="24"/>
              </w:rPr>
              <w:t>沉淀污泥。污泥的主</w:t>
            </w:r>
            <w:r>
              <w:rPr>
                <w:sz w:val="24"/>
                <w:szCs w:val="24"/>
              </w:rPr>
              <w:t xml:space="preserve"> </w:t>
            </w:r>
            <w:r>
              <w:rPr>
                <w:spacing w:val="-6"/>
                <w:sz w:val="24"/>
                <w:szCs w:val="24"/>
              </w:rPr>
              <w:t>要成分为钻井液、岩屑，</w:t>
            </w:r>
            <w:r>
              <w:rPr>
                <w:spacing w:val="44"/>
                <w:sz w:val="24"/>
                <w:szCs w:val="24"/>
              </w:rPr>
              <w:t xml:space="preserve"> </w:t>
            </w:r>
            <w:r>
              <w:rPr>
                <w:spacing w:val="-6"/>
                <w:sz w:val="24"/>
                <w:szCs w:val="24"/>
              </w:rPr>
              <w:t>产生量约</w:t>
            </w:r>
            <w:r>
              <w:rPr>
                <w:spacing w:val="-49"/>
                <w:sz w:val="24"/>
                <w:szCs w:val="24"/>
              </w:rPr>
              <w:t xml:space="preserve"> </w:t>
            </w:r>
            <w:r>
              <w:rPr>
                <w:rFonts w:ascii="Times New Roman" w:hAnsi="Times New Roman" w:eastAsia="Times New Roman" w:cs="Times New Roman"/>
                <w:spacing w:val="-6"/>
                <w:sz w:val="24"/>
                <w:szCs w:val="24"/>
              </w:rPr>
              <w:t>60t</w:t>
            </w:r>
            <w:r>
              <w:rPr>
                <w:spacing w:val="-6"/>
                <w:sz w:val="24"/>
                <w:szCs w:val="24"/>
              </w:rPr>
              <w:t>，为一般工业</w:t>
            </w:r>
            <w:r>
              <w:rPr>
                <w:spacing w:val="-7"/>
                <w:sz w:val="24"/>
                <w:szCs w:val="24"/>
              </w:rPr>
              <w:t>固废。暂存于岩屑堆放区定期交砖厂</w:t>
            </w:r>
            <w:r>
              <w:rPr>
                <w:sz w:val="24"/>
                <w:szCs w:val="24"/>
              </w:rPr>
              <w:t xml:space="preserve"> </w:t>
            </w:r>
            <w:r>
              <w:rPr>
                <w:spacing w:val="-1"/>
                <w:sz w:val="24"/>
                <w:szCs w:val="24"/>
              </w:rPr>
              <w:t>进行综合利用处置。按照《一般固体废物分类与代码》（</w:t>
            </w:r>
            <w:r>
              <w:rPr>
                <w:rFonts w:ascii="Times New Roman" w:hAnsi="Times New Roman" w:eastAsia="Times New Roman" w:cs="Times New Roman"/>
                <w:spacing w:val="-1"/>
                <w:sz w:val="24"/>
                <w:szCs w:val="24"/>
              </w:rPr>
              <w:t>GB/T 39198-2020</w:t>
            </w:r>
            <w:r>
              <w:rPr>
                <w:spacing w:val="-1"/>
                <w:sz w:val="24"/>
                <w:szCs w:val="24"/>
              </w:rPr>
              <w:t>）对一般固废</w:t>
            </w:r>
          </w:p>
          <w:p>
            <w:pPr>
              <w:pStyle w:val="6"/>
              <w:spacing w:line="219" w:lineRule="auto"/>
              <w:ind w:left="106"/>
              <w:rPr>
                <w:sz w:val="24"/>
                <w:szCs w:val="24"/>
              </w:rPr>
            </w:pPr>
            <w:r>
              <w:rPr>
                <w:sz w:val="24"/>
                <w:szCs w:val="24"/>
              </w:rPr>
              <w:t>进行编码，水基钻井液钻井过程中产生的废水罐污泥一般</w:t>
            </w:r>
            <w:r>
              <w:rPr>
                <w:spacing w:val="-1"/>
                <w:sz w:val="24"/>
                <w:szCs w:val="24"/>
              </w:rPr>
              <w:t>固体废物代码为</w:t>
            </w:r>
            <w:r>
              <w:rPr>
                <w:spacing w:val="-51"/>
                <w:sz w:val="24"/>
                <w:szCs w:val="24"/>
              </w:rPr>
              <w:t xml:space="preserve"> </w:t>
            </w:r>
            <w:r>
              <w:rPr>
                <w:rFonts w:ascii="Times New Roman" w:hAnsi="Times New Roman" w:eastAsia="Times New Roman" w:cs="Times New Roman"/>
                <w:spacing w:val="-1"/>
                <w:sz w:val="24"/>
                <w:szCs w:val="24"/>
              </w:rPr>
              <w:t>747-003-99</w:t>
            </w:r>
            <w:r>
              <w:rPr>
                <w:spacing w:val="-1"/>
                <w:sz w:val="24"/>
                <w:szCs w:val="24"/>
              </w:rPr>
              <w:t>。</w:t>
            </w:r>
          </w:p>
          <w:p>
            <w:pPr>
              <w:pStyle w:val="6"/>
              <w:spacing w:before="195" w:line="220" w:lineRule="auto"/>
              <w:ind w:left="597"/>
              <w:rPr>
                <w:sz w:val="24"/>
                <w:szCs w:val="24"/>
              </w:rPr>
            </w:pPr>
            <w:r>
              <w:rPr>
                <w:spacing w:val="-6"/>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6"/>
                <w:sz w:val="24"/>
                <w:szCs w:val="24"/>
              </w:rPr>
              <w:t>4</w:t>
            </w:r>
            <w:r>
              <w:rPr>
                <w:spacing w:val="-6"/>
                <w:sz w:val="24"/>
                <w:szCs w:val="24"/>
                <w14:textOutline w14:w="4354" w14:cap="flat" w14:cmpd="sng">
                  <w14:solidFill>
                    <w14:srgbClr w14:val="000000"/>
                  </w14:solidFill>
                  <w14:prstDash w14:val="solid"/>
                  <w14:miter w14:val="10"/>
                </w14:textOutline>
              </w:rPr>
              <w:t>）废油</w:t>
            </w:r>
          </w:p>
          <w:p>
            <w:pPr>
              <w:pStyle w:val="6"/>
              <w:spacing w:before="196" w:line="369" w:lineRule="auto"/>
              <w:ind w:left="107" w:right="99" w:firstLine="480"/>
              <w:jc w:val="both"/>
              <w:rPr>
                <w:sz w:val="24"/>
                <w:szCs w:val="24"/>
              </w:rPr>
            </w:pPr>
            <w:r>
              <w:rPr>
                <w:spacing w:val="1"/>
                <w:sz w:val="24"/>
                <w:szCs w:val="24"/>
              </w:rPr>
              <w:t>钻井过程中废油的主要来源有：机械（泥浆泵、转盘、链条等）润滑废油；液压控</w:t>
            </w:r>
            <w:r>
              <w:rPr>
                <w:spacing w:val="2"/>
                <w:sz w:val="24"/>
                <w:szCs w:val="24"/>
              </w:rPr>
              <w:t xml:space="preserve"> </w:t>
            </w:r>
            <w:r>
              <w:rPr>
                <w:spacing w:val="-2"/>
                <w:sz w:val="24"/>
                <w:szCs w:val="24"/>
              </w:rPr>
              <w:t>制管线泄漏的控制液，如液压大钳、封井器及液压表传压管线泄漏的控制液； 清洗、保</w:t>
            </w:r>
            <w:r>
              <w:rPr>
                <w:sz w:val="24"/>
                <w:szCs w:val="24"/>
              </w:rPr>
              <w:t xml:space="preserve"> </w:t>
            </w:r>
            <w:r>
              <w:rPr>
                <w:spacing w:val="-2"/>
                <w:sz w:val="24"/>
                <w:szCs w:val="24"/>
              </w:rPr>
              <w:t>养产生的废油， 如更换零部件和清洗钻具、套管时产生的废油，集液池、隔油池收</w:t>
            </w:r>
            <w:r>
              <w:rPr>
                <w:spacing w:val="-3"/>
                <w:sz w:val="24"/>
                <w:szCs w:val="24"/>
              </w:rPr>
              <w:t>集的</w:t>
            </w:r>
            <w:r>
              <w:rPr>
                <w:sz w:val="24"/>
                <w:szCs w:val="24"/>
              </w:rPr>
              <w:t xml:space="preserve"> </w:t>
            </w:r>
            <w:r>
              <w:rPr>
                <w:spacing w:val="-1"/>
                <w:sz w:val="24"/>
                <w:szCs w:val="24"/>
              </w:rPr>
              <w:t>废油；根据设计，废油产生量约</w:t>
            </w:r>
            <w:r>
              <w:rPr>
                <w:spacing w:val="-25"/>
                <w:sz w:val="24"/>
                <w:szCs w:val="24"/>
              </w:rPr>
              <w:t xml:space="preserve"> </w:t>
            </w:r>
            <w:r>
              <w:rPr>
                <w:rFonts w:ascii="Times New Roman" w:hAnsi="Times New Roman" w:eastAsia="Times New Roman" w:cs="Times New Roman"/>
                <w:spacing w:val="-1"/>
                <w:sz w:val="24"/>
                <w:szCs w:val="24"/>
              </w:rPr>
              <w:t>0.5t</w:t>
            </w:r>
            <w:r>
              <w:rPr>
                <w:spacing w:val="-1"/>
                <w:sz w:val="24"/>
                <w:szCs w:val="24"/>
              </w:rPr>
              <w:t>，属于危险废物（</w:t>
            </w:r>
            <w:r>
              <w:rPr>
                <w:rFonts w:ascii="Times New Roman" w:hAnsi="Times New Roman" w:eastAsia="Times New Roman" w:cs="Times New Roman"/>
                <w:spacing w:val="-1"/>
                <w:sz w:val="24"/>
                <w:szCs w:val="24"/>
              </w:rPr>
              <w:t>HW08</w:t>
            </w:r>
            <w:r>
              <w:rPr>
                <w:rFonts w:ascii="Times New Roman" w:hAnsi="Times New Roman" w:eastAsia="Times New Roman" w:cs="Times New Roman"/>
                <w:spacing w:val="-31"/>
                <w:sz w:val="24"/>
                <w:szCs w:val="24"/>
              </w:rPr>
              <w:t xml:space="preserve"> </w:t>
            </w:r>
            <w:r>
              <w:rPr>
                <w:spacing w:val="-1"/>
                <w:sz w:val="24"/>
                <w:szCs w:val="24"/>
              </w:rPr>
              <w:t>，</w:t>
            </w:r>
            <w:r>
              <w:rPr>
                <w:rFonts w:ascii="Times New Roman" w:hAnsi="Times New Roman" w:eastAsia="Times New Roman" w:cs="Times New Roman"/>
                <w:spacing w:val="-1"/>
                <w:sz w:val="24"/>
                <w:szCs w:val="24"/>
              </w:rPr>
              <w:t>900-2</w:t>
            </w:r>
            <w:r>
              <w:rPr>
                <w:rFonts w:ascii="Times New Roman" w:hAnsi="Times New Roman" w:eastAsia="Times New Roman" w:cs="Times New Roman"/>
                <w:spacing w:val="-2"/>
                <w:sz w:val="24"/>
                <w:szCs w:val="24"/>
              </w:rPr>
              <w:t>17-08</w:t>
            </w:r>
            <w:r>
              <w:rPr>
                <w:spacing w:val="-2"/>
                <w:sz w:val="24"/>
                <w:szCs w:val="24"/>
              </w:rPr>
              <w:t>）。现场配备</w:t>
            </w:r>
            <w:r>
              <w:rPr>
                <w:sz w:val="24"/>
                <w:szCs w:val="24"/>
              </w:rPr>
              <w:t xml:space="preserve"> </w:t>
            </w:r>
            <w:r>
              <w:rPr>
                <w:spacing w:val="6"/>
                <w:sz w:val="24"/>
                <w:szCs w:val="24"/>
              </w:rPr>
              <w:t>废油回收桶贮存堆放于危废暂存间内，危废暂存间设在清洁生产平台内，</w:t>
            </w:r>
            <w:r>
              <w:rPr>
                <w:spacing w:val="-55"/>
                <w:sz w:val="24"/>
                <w:szCs w:val="24"/>
              </w:rPr>
              <w:t xml:space="preserve"> </w:t>
            </w:r>
            <w:r>
              <w:rPr>
                <w:spacing w:val="6"/>
                <w:sz w:val="24"/>
                <w:szCs w:val="24"/>
              </w:rPr>
              <w:t>占地面积约</w:t>
            </w:r>
            <w:r>
              <w:rPr>
                <w:sz w:val="24"/>
                <w:szCs w:val="24"/>
              </w:rPr>
              <w:t xml:space="preserve">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5"/>
                <w:position w:val="9"/>
                <w:sz w:val="16"/>
                <w:szCs w:val="16"/>
              </w:rPr>
              <w:t>2</w:t>
            </w:r>
            <w:r>
              <w:rPr>
                <w:rFonts w:ascii="Times New Roman" w:hAnsi="Times New Roman" w:eastAsia="Times New Roman" w:cs="Times New Roman"/>
                <w:spacing w:val="-10"/>
                <w:position w:val="9"/>
                <w:sz w:val="16"/>
                <w:szCs w:val="16"/>
              </w:rPr>
              <w:t xml:space="preserve"> </w:t>
            </w:r>
            <w:r>
              <w:rPr>
                <w:spacing w:val="-5"/>
                <w:sz w:val="24"/>
                <w:szCs w:val="24"/>
              </w:rPr>
              <w:t>，危废暂存间采取“六防”（防风、防雨、防晒、防渗、防漏、</w:t>
            </w:r>
            <w:r>
              <w:rPr>
                <w:spacing w:val="-6"/>
                <w:sz w:val="24"/>
                <w:szCs w:val="24"/>
              </w:rPr>
              <w:t>防腐</w:t>
            </w:r>
            <w:r>
              <w:rPr>
                <w:spacing w:val="-4"/>
                <w:sz w:val="24"/>
                <w:szCs w:val="24"/>
              </w:rPr>
              <w:t>），</w:t>
            </w:r>
            <w:r>
              <w:rPr>
                <w:spacing w:val="69"/>
                <w:sz w:val="24"/>
                <w:szCs w:val="24"/>
              </w:rPr>
              <w:t xml:space="preserve"> </w:t>
            </w:r>
            <w:r>
              <w:rPr>
                <w:spacing w:val="-6"/>
                <w:sz w:val="24"/>
                <w:szCs w:val="24"/>
              </w:rPr>
              <w:t>设置围堰</w:t>
            </w:r>
          </w:p>
          <w:p>
            <w:pPr>
              <w:pStyle w:val="6"/>
              <w:spacing w:before="1" w:line="219" w:lineRule="auto"/>
              <w:ind w:left="111"/>
              <w:rPr>
                <w:sz w:val="24"/>
                <w:szCs w:val="24"/>
              </w:rPr>
            </w:pPr>
            <w:r>
              <w:rPr>
                <w:spacing w:val="-3"/>
                <w:sz w:val="24"/>
                <w:szCs w:val="24"/>
              </w:rPr>
              <w:t>或托盘，完钻后委托有资质的单位清运处置。</w:t>
            </w:r>
          </w:p>
          <w:p>
            <w:pPr>
              <w:pStyle w:val="6"/>
              <w:spacing w:before="194" w:line="219"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spacing w:val="-1"/>
                <w:sz w:val="24"/>
                <w:szCs w:val="24"/>
                <w14:textOutline w14:w="4354" w14:cap="flat" w14:cmpd="sng">
                  <w14:solidFill>
                    <w14:srgbClr w14:val="000000"/>
                  </w14:solidFill>
                  <w14:prstDash w14:val="solid"/>
                  <w14:miter w14:val="10"/>
                </w14:textOutline>
              </w:rPr>
              <w:t>）废弃的含油抹布及劳保用品</w:t>
            </w:r>
          </w:p>
          <w:p>
            <w:pPr>
              <w:pStyle w:val="6"/>
              <w:spacing w:before="195" w:line="220" w:lineRule="auto"/>
              <w:ind w:right="29"/>
              <w:jc w:val="right"/>
              <w:rPr>
                <w:sz w:val="24"/>
                <w:szCs w:val="24"/>
              </w:rPr>
            </w:pPr>
            <w:r>
              <w:rPr>
                <w:spacing w:val="-15"/>
                <w:sz w:val="24"/>
                <w:szCs w:val="24"/>
              </w:rPr>
              <w:t>钻井期间， 钻井设备维修时，</w:t>
            </w:r>
            <w:r>
              <w:rPr>
                <w:spacing w:val="41"/>
                <w:sz w:val="24"/>
                <w:szCs w:val="24"/>
              </w:rPr>
              <w:t xml:space="preserve"> </w:t>
            </w:r>
            <w:r>
              <w:rPr>
                <w:spacing w:val="-15"/>
                <w:sz w:val="24"/>
                <w:szCs w:val="24"/>
              </w:rPr>
              <w:t>应在地面设防渗漏托盘，</w:t>
            </w:r>
            <w:r>
              <w:rPr>
                <w:spacing w:val="45"/>
                <w:sz w:val="24"/>
                <w:szCs w:val="24"/>
              </w:rPr>
              <w:t xml:space="preserve"> </w:t>
            </w:r>
            <w:r>
              <w:rPr>
                <w:spacing w:val="-15"/>
                <w:sz w:val="24"/>
                <w:szCs w:val="24"/>
              </w:rPr>
              <w:t>维修全过程应在托盘内进行，</w:t>
            </w:r>
          </w:p>
        </w:tc>
      </w:tr>
    </w:tbl>
    <w:p>
      <w:pPr>
        <w:pStyle w:val="2"/>
        <w:rPr>
          <w:sz w:val="21"/>
        </w:rPr>
      </w:pPr>
    </w:p>
    <w:p>
      <w:pPr>
        <w:rPr>
          <w:sz w:val="21"/>
          <w:szCs w:val="21"/>
        </w:rPr>
        <w:sectPr>
          <w:footerReference r:id="rId113"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850"/>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64" w:hRule="atLeast"/>
        </w:trPr>
        <w:tc>
          <w:tcPr>
            <w:tcW w:w="9850" w:type="dxa"/>
            <w:vAlign w:val="top"/>
          </w:tcPr>
          <w:p>
            <w:pPr>
              <w:pStyle w:val="6"/>
              <w:spacing w:before="183" w:line="369" w:lineRule="auto"/>
              <w:ind w:left="570" w:right="115" w:hanging="4"/>
              <w:jc w:val="both"/>
              <w:rPr>
                <w:sz w:val="24"/>
                <w:szCs w:val="24"/>
              </w:rPr>
            </w:pPr>
            <w:r>
              <w:pict>
                <v:rect id="_x0000_s1352" o:spid="_x0000_s1352" o:spt="1" style="position:absolute;left:0pt;margin-left:22.75pt;margin-top:0.95pt;height:687.6pt;width:0.5pt;mso-position-horizontal-relative:page;mso-position-vertical-relative:page;z-index:251889664;mso-width-relative:page;mso-height-relative:page;" fillcolor="#000000" filled="t" stroked="f" coordsize="21600,21600">
                  <v:path/>
                  <v:fill on="t" focussize="0,0"/>
                  <v:stroke on="f"/>
                  <v:imagedata o:title=""/>
                  <o:lock v:ext="edit"/>
                </v:rect>
              </w:pict>
            </w:r>
            <w:r>
              <w:rPr>
                <w:spacing w:val="1"/>
                <w:sz w:val="24"/>
                <w:szCs w:val="24"/>
              </w:rPr>
              <w:t>避免漏油现象，设备维修过程中产生废弃的含油抹布及</w:t>
            </w:r>
            <w:r>
              <w:rPr>
                <w:sz w:val="24"/>
                <w:szCs w:val="24"/>
              </w:rPr>
              <w:t xml:space="preserve">劳保用品，产生量约 </w:t>
            </w:r>
            <w:r>
              <w:rPr>
                <w:rFonts w:ascii="Times New Roman" w:hAnsi="Times New Roman" w:eastAsia="Times New Roman" w:cs="Times New Roman"/>
                <w:sz w:val="24"/>
                <w:szCs w:val="24"/>
              </w:rPr>
              <w:t>0.1t</w:t>
            </w:r>
            <w:r>
              <w:rPr>
                <w:sz w:val="24"/>
                <w:szCs w:val="24"/>
              </w:rPr>
              <w:t xml:space="preserve">，属于 </w:t>
            </w:r>
            <w:r>
              <w:rPr>
                <w:spacing w:val="-6"/>
                <w:sz w:val="24"/>
                <w:szCs w:val="24"/>
              </w:rPr>
              <w:t>危险废物（</w:t>
            </w:r>
            <w:r>
              <w:rPr>
                <w:rFonts w:ascii="Times New Roman" w:hAnsi="Times New Roman" w:eastAsia="Times New Roman" w:cs="Times New Roman"/>
                <w:spacing w:val="-6"/>
                <w:sz w:val="24"/>
                <w:szCs w:val="24"/>
              </w:rPr>
              <w:t>HW49</w:t>
            </w:r>
            <w:r>
              <w:rPr>
                <w:rFonts w:ascii="Times New Roman" w:hAnsi="Times New Roman" w:eastAsia="Times New Roman" w:cs="Times New Roman"/>
                <w:spacing w:val="-31"/>
                <w:sz w:val="24"/>
                <w:szCs w:val="24"/>
              </w:rPr>
              <w:t xml:space="preserve"> </w:t>
            </w:r>
            <w:r>
              <w:rPr>
                <w:spacing w:val="-6"/>
                <w:sz w:val="24"/>
                <w:szCs w:val="24"/>
              </w:rPr>
              <w:t>，</w:t>
            </w:r>
            <w:r>
              <w:rPr>
                <w:rFonts w:ascii="Times New Roman" w:hAnsi="Times New Roman" w:eastAsia="Times New Roman" w:cs="Times New Roman"/>
                <w:spacing w:val="-6"/>
                <w:sz w:val="24"/>
                <w:szCs w:val="24"/>
              </w:rPr>
              <w:t>900-041-49</w:t>
            </w:r>
            <w:r>
              <w:rPr>
                <w:spacing w:val="1"/>
                <w:sz w:val="24"/>
                <w:szCs w:val="24"/>
              </w:rPr>
              <w:t>），</w:t>
            </w:r>
            <w:r>
              <w:rPr>
                <w:spacing w:val="-6"/>
                <w:sz w:val="24"/>
                <w:szCs w:val="24"/>
              </w:rPr>
              <w:t>经桶装收集后暂存于危废暂存间内，</w:t>
            </w:r>
            <w:r>
              <w:rPr>
                <w:spacing w:val="60"/>
                <w:sz w:val="24"/>
                <w:szCs w:val="24"/>
              </w:rPr>
              <w:t xml:space="preserve"> </w:t>
            </w:r>
            <w:r>
              <w:rPr>
                <w:spacing w:val="-6"/>
                <w:sz w:val="24"/>
                <w:szCs w:val="24"/>
              </w:rPr>
              <w:t>完钻后交</w:t>
            </w:r>
            <w:r>
              <w:rPr>
                <w:spacing w:val="-7"/>
                <w:sz w:val="24"/>
                <w:szCs w:val="24"/>
              </w:rPr>
              <w:t>由有资</w:t>
            </w:r>
          </w:p>
          <w:p>
            <w:pPr>
              <w:pStyle w:val="6"/>
              <w:spacing w:line="220" w:lineRule="auto"/>
              <w:ind w:left="569"/>
              <w:rPr>
                <w:sz w:val="24"/>
                <w:szCs w:val="24"/>
              </w:rPr>
            </w:pPr>
            <w:r>
              <w:rPr>
                <w:spacing w:val="-6"/>
                <w:sz w:val="24"/>
                <w:szCs w:val="24"/>
              </w:rPr>
              <w:t>质的单位处置。</w:t>
            </w:r>
          </w:p>
          <w:p>
            <w:pPr>
              <w:pStyle w:val="6"/>
              <w:spacing w:before="193" w:line="220" w:lineRule="auto"/>
              <w:ind w:left="105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6</w:t>
            </w:r>
            <w:r>
              <w:rPr>
                <w:spacing w:val="-2"/>
                <w:sz w:val="24"/>
                <w:szCs w:val="24"/>
                <w14:textOutline w14:w="4354" w14:cap="flat" w14:cmpd="sng">
                  <w14:solidFill>
                    <w14:srgbClr w14:val="000000"/>
                  </w14:solidFill>
                  <w14:prstDash w14:val="solid"/>
                  <w14:miter w14:val="10"/>
                </w14:textOutline>
              </w:rPr>
              <w:t>）废弃设备零件</w:t>
            </w:r>
          </w:p>
          <w:p>
            <w:pPr>
              <w:pStyle w:val="6"/>
              <w:spacing w:before="195" w:line="369" w:lineRule="auto"/>
              <w:ind w:left="567" w:right="102" w:firstLine="479"/>
              <w:jc w:val="both"/>
              <w:rPr>
                <w:sz w:val="24"/>
                <w:szCs w:val="24"/>
              </w:rPr>
            </w:pPr>
            <w:r>
              <w:rPr>
                <w:spacing w:val="-2"/>
                <w:sz w:val="24"/>
                <w:szCs w:val="24"/>
              </w:rPr>
              <w:t xml:space="preserve">在井场外生活区内设有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58"/>
                <w:sz w:val="24"/>
                <w:szCs w:val="24"/>
              </w:rPr>
              <w:t xml:space="preserve"> </w:t>
            </w:r>
            <w:r>
              <w:rPr>
                <w:spacing w:val="-2"/>
                <w:sz w:val="24"/>
                <w:szCs w:val="24"/>
              </w:rPr>
              <w:t>间值班室，值班室内除了钻井人员值班，还设有隔间进行</w:t>
            </w:r>
            <w:r>
              <w:rPr>
                <w:sz w:val="24"/>
                <w:szCs w:val="24"/>
              </w:rPr>
              <w:t xml:space="preserve"> </w:t>
            </w:r>
            <w:r>
              <w:rPr>
                <w:spacing w:val="-2"/>
                <w:sz w:val="24"/>
                <w:szCs w:val="24"/>
              </w:rPr>
              <w:t>钻井设备维修， 主要是设备故障时进行设备维修和更换零部件，更换下来不可再使用的</w:t>
            </w:r>
            <w:r>
              <w:rPr>
                <w:spacing w:val="2"/>
                <w:sz w:val="24"/>
                <w:szCs w:val="24"/>
              </w:rPr>
              <w:t xml:space="preserve"> </w:t>
            </w:r>
            <w:r>
              <w:rPr>
                <w:spacing w:val="-3"/>
                <w:sz w:val="24"/>
                <w:szCs w:val="24"/>
              </w:rPr>
              <w:t xml:space="preserve">废弃设备零部件，产生约 </w:t>
            </w:r>
            <w:r>
              <w:rPr>
                <w:rFonts w:ascii="Times New Roman" w:hAnsi="Times New Roman" w:eastAsia="Times New Roman" w:cs="Times New Roman"/>
                <w:spacing w:val="-3"/>
                <w:sz w:val="24"/>
                <w:szCs w:val="24"/>
              </w:rPr>
              <w:t>1.5t</w:t>
            </w:r>
            <w:r>
              <w:rPr>
                <w:spacing w:val="-3"/>
                <w:sz w:val="24"/>
                <w:szCs w:val="24"/>
              </w:rPr>
              <w:t xml:space="preserve">（类别为其他废物 </w:t>
            </w:r>
            <w:r>
              <w:rPr>
                <w:rFonts w:ascii="Times New Roman" w:hAnsi="Times New Roman" w:eastAsia="Times New Roman" w:cs="Times New Roman"/>
                <w:spacing w:val="-3"/>
                <w:sz w:val="24"/>
                <w:szCs w:val="24"/>
              </w:rPr>
              <w:t>99</w:t>
            </w:r>
            <w:r>
              <w:rPr>
                <w:rFonts w:ascii="Times New Roman" w:hAnsi="Times New Roman" w:eastAsia="Times New Roman" w:cs="Times New Roman"/>
                <w:spacing w:val="-30"/>
                <w:sz w:val="24"/>
                <w:szCs w:val="24"/>
              </w:rPr>
              <w:t xml:space="preserve"> </w:t>
            </w:r>
            <w:r>
              <w:rPr>
                <w:spacing w:val="-3"/>
                <w:sz w:val="24"/>
                <w:szCs w:val="24"/>
              </w:rPr>
              <w:t>，代码为</w:t>
            </w:r>
            <w:r>
              <w:rPr>
                <w:spacing w:val="-29"/>
                <w:sz w:val="24"/>
                <w:szCs w:val="24"/>
              </w:rPr>
              <w:t xml:space="preserve"> </w:t>
            </w:r>
            <w:r>
              <w:rPr>
                <w:rFonts w:ascii="Times New Roman" w:hAnsi="Times New Roman" w:eastAsia="Times New Roman" w:cs="Times New Roman"/>
                <w:spacing w:val="-3"/>
                <w:sz w:val="24"/>
                <w:szCs w:val="24"/>
              </w:rPr>
              <w:t>747-003-99</w:t>
            </w:r>
            <w:r>
              <w:rPr>
                <w:spacing w:val="1"/>
                <w:sz w:val="24"/>
                <w:szCs w:val="24"/>
              </w:rPr>
              <w:t>），</w:t>
            </w:r>
            <w:r>
              <w:rPr>
                <w:spacing w:val="-3"/>
                <w:sz w:val="24"/>
                <w:szCs w:val="24"/>
              </w:rPr>
              <w:t>经收集后外</w:t>
            </w:r>
          </w:p>
          <w:p>
            <w:pPr>
              <w:pStyle w:val="6"/>
              <w:spacing w:line="219" w:lineRule="auto"/>
              <w:ind w:left="568"/>
              <w:rPr>
                <w:sz w:val="24"/>
                <w:szCs w:val="24"/>
              </w:rPr>
            </w:pPr>
            <w:r>
              <w:rPr>
                <w:spacing w:val="-6"/>
                <w:sz w:val="24"/>
                <w:szCs w:val="24"/>
              </w:rPr>
              <w:t>售废品回收站。</w:t>
            </w:r>
          </w:p>
          <w:p>
            <w:pPr>
              <w:pStyle w:val="6"/>
              <w:spacing w:before="194" w:line="219" w:lineRule="auto"/>
              <w:ind w:left="105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7</w:t>
            </w:r>
            <w:r>
              <w:rPr>
                <w:spacing w:val="-2"/>
                <w:sz w:val="24"/>
                <w:szCs w:val="24"/>
                <w14:textOutline w14:w="4354" w14:cap="flat" w14:cmpd="sng">
                  <w14:solidFill>
                    <w14:srgbClr w14:val="000000"/>
                  </w14:solidFill>
                  <w14:prstDash w14:val="solid"/>
                  <w14:miter w14:val="10"/>
                </w14:textOutline>
              </w:rPr>
              <w:t>）废弃包装材料</w:t>
            </w:r>
          </w:p>
          <w:p>
            <w:pPr>
              <w:pStyle w:val="6"/>
              <w:spacing w:before="196" w:line="369" w:lineRule="auto"/>
              <w:ind w:left="571" w:right="107" w:firstLine="476"/>
              <w:jc w:val="both"/>
              <w:rPr>
                <w:sz w:val="24"/>
                <w:szCs w:val="24"/>
              </w:rPr>
            </w:pPr>
            <w:r>
              <w:rPr>
                <w:spacing w:val="1"/>
                <w:sz w:val="24"/>
                <w:szCs w:val="24"/>
              </w:rPr>
              <w:t>废包装材料主要为钻井材料使用后的包装袋，根据建设单位提供的资料，产生量约</w:t>
            </w:r>
            <w:r>
              <w:rPr>
                <w:spacing w:val="3"/>
                <w:sz w:val="24"/>
                <w:szCs w:val="24"/>
              </w:rPr>
              <w:t xml:space="preserve"> </w:t>
            </w:r>
            <w:r>
              <w:rPr>
                <w:spacing w:val="-2"/>
                <w:sz w:val="24"/>
                <w:szCs w:val="24"/>
              </w:rPr>
              <w:t>为</w:t>
            </w:r>
            <w:r>
              <w:rPr>
                <w:spacing w:val="-29"/>
                <w:sz w:val="24"/>
                <w:szCs w:val="24"/>
              </w:rPr>
              <w:t xml:space="preserve"> </w:t>
            </w:r>
            <w:r>
              <w:rPr>
                <w:rFonts w:ascii="Times New Roman" w:hAnsi="Times New Roman" w:eastAsia="Times New Roman" w:cs="Times New Roman"/>
                <w:spacing w:val="-2"/>
                <w:sz w:val="24"/>
                <w:szCs w:val="24"/>
              </w:rPr>
              <w:t>0.1t</w:t>
            </w:r>
            <w:r>
              <w:rPr>
                <w:spacing w:val="-2"/>
                <w:sz w:val="24"/>
                <w:szCs w:val="24"/>
              </w:rPr>
              <w:t xml:space="preserve">（类别为其他废物 </w:t>
            </w:r>
            <w:r>
              <w:rPr>
                <w:rFonts w:ascii="Times New Roman" w:hAnsi="Times New Roman" w:eastAsia="Times New Roman" w:cs="Times New Roman"/>
                <w:spacing w:val="-2"/>
                <w:sz w:val="24"/>
                <w:szCs w:val="24"/>
              </w:rPr>
              <w:t>99</w:t>
            </w:r>
            <w:r>
              <w:rPr>
                <w:spacing w:val="-2"/>
                <w:sz w:val="24"/>
                <w:szCs w:val="24"/>
              </w:rPr>
              <w:t>，代码为</w:t>
            </w:r>
            <w:r>
              <w:rPr>
                <w:spacing w:val="-3"/>
                <w:sz w:val="24"/>
                <w:szCs w:val="24"/>
              </w:rPr>
              <w:t xml:space="preserve"> </w:t>
            </w:r>
            <w:r>
              <w:rPr>
                <w:rFonts w:ascii="Times New Roman" w:hAnsi="Times New Roman" w:eastAsia="Times New Roman" w:cs="Times New Roman"/>
                <w:spacing w:val="-3"/>
                <w:sz w:val="24"/>
                <w:szCs w:val="24"/>
              </w:rPr>
              <w:t>747-004-99</w:t>
            </w:r>
            <w:r>
              <w:rPr>
                <w:spacing w:val="-2"/>
                <w:sz w:val="24"/>
                <w:szCs w:val="24"/>
              </w:rPr>
              <w:t>），</w:t>
            </w:r>
            <w:r>
              <w:rPr>
                <w:spacing w:val="-3"/>
                <w:sz w:val="24"/>
                <w:szCs w:val="24"/>
              </w:rPr>
              <w:t>收集后全部回收利用或外售废品回</w:t>
            </w:r>
          </w:p>
          <w:p>
            <w:pPr>
              <w:pStyle w:val="6"/>
              <w:spacing w:before="1" w:line="219" w:lineRule="auto"/>
              <w:ind w:left="576"/>
              <w:rPr>
                <w:sz w:val="24"/>
                <w:szCs w:val="24"/>
              </w:rPr>
            </w:pPr>
            <w:r>
              <w:rPr>
                <w:spacing w:val="-12"/>
                <w:sz w:val="24"/>
                <w:szCs w:val="24"/>
              </w:rPr>
              <w:t>收站。</w:t>
            </w:r>
          </w:p>
          <w:p>
            <w:pPr>
              <w:pStyle w:val="6"/>
              <w:spacing w:before="195" w:line="220" w:lineRule="auto"/>
              <w:ind w:left="105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8</w:t>
            </w:r>
            <w:r>
              <w:rPr>
                <w:spacing w:val="-4"/>
                <w:sz w:val="24"/>
                <w:szCs w:val="24"/>
                <w14:textOutline w14:w="4354" w14:cap="flat" w14:cmpd="sng">
                  <w14:solidFill>
                    <w14:srgbClr w14:val="000000"/>
                  </w14:solidFill>
                  <w14:prstDash w14:val="solid"/>
                  <w14:miter w14:val="10"/>
                </w14:textOutline>
              </w:rPr>
              <w:t>）生活垃圾</w:t>
            </w:r>
          </w:p>
          <w:p>
            <w:pPr>
              <w:pStyle w:val="6"/>
              <w:spacing w:before="194" w:line="369" w:lineRule="auto"/>
              <w:ind w:left="564" w:right="99" w:firstLine="484"/>
              <w:jc w:val="both"/>
              <w:rPr>
                <w:sz w:val="24"/>
                <w:szCs w:val="24"/>
              </w:rPr>
            </w:pPr>
            <w:r>
              <w:rPr>
                <w:spacing w:val="-9"/>
                <w:sz w:val="24"/>
                <w:szCs w:val="24"/>
              </w:rPr>
              <w:t>钻井期， 钻井队人员共为</w:t>
            </w:r>
            <w:r>
              <w:rPr>
                <w:spacing w:val="-54"/>
                <w:sz w:val="24"/>
                <w:szCs w:val="24"/>
              </w:rPr>
              <w:t xml:space="preserve"> </w:t>
            </w:r>
            <w:r>
              <w:rPr>
                <w:rFonts w:ascii="Times New Roman" w:hAnsi="Times New Roman" w:eastAsia="Times New Roman" w:cs="Times New Roman"/>
                <w:spacing w:val="-9"/>
                <w:sz w:val="24"/>
                <w:szCs w:val="24"/>
              </w:rPr>
              <w:t xml:space="preserve">40 </w:t>
            </w:r>
            <w:r>
              <w:rPr>
                <w:spacing w:val="-9"/>
                <w:sz w:val="24"/>
                <w:szCs w:val="24"/>
              </w:rPr>
              <w:t>人，</w:t>
            </w:r>
            <w:r>
              <w:rPr>
                <w:spacing w:val="-51"/>
                <w:sz w:val="24"/>
                <w:szCs w:val="24"/>
              </w:rPr>
              <w:t xml:space="preserve"> </w:t>
            </w:r>
            <w:r>
              <w:rPr>
                <w:spacing w:val="-9"/>
                <w:sz w:val="24"/>
                <w:szCs w:val="24"/>
              </w:rPr>
              <w:t>生活垃圾按</w:t>
            </w:r>
            <w:r>
              <w:rPr>
                <w:spacing w:val="-51"/>
                <w:sz w:val="24"/>
                <w:szCs w:val="24"/>
              </w:rPr>
              <w:t xml:space="preserve"> </w:t>
            </w:r>
            <w:r>
              <w:rPr>
                <w:rFonts w:ascii="Times New Roman" w:hAnsi="Times New Roman" w:eastAsia="Times New Roman" w:cs="Times New Roman"/>
                <w:spacing w:val="-9"/>
                <w:sz w:val="24"/>
                <w:szCs w:val="24"/>
              </w:rPr>
              <w:t>0.5kg/</w:t>
            </w:r>
            <w:r>
              <w:rPr>
                <w:spacing w:val="-9"/>
                <w:sz w:val="24"/>
                <w:szCs w:val="24"/>
              </w:rPr>
              <w:t>人•</w:t>
            </w:r>
            <w:r>
              <w:rPr>
                <w:rFonts w:ascii="Times New Roman" w:hAnsi="Times New Roman" w:eastAsia="Times New Roman" w:cs="Times New Roman"/>
                <w:spacing w:val="-9"/>
                <w:sz w:val="24"/>
                <w:szCs w:val="24"/>
              </w:rPr>
              <w:t xml:space="preserve">d </w:t>
            </w:r>
            <w:r>
              <w:rPr>
                <w:spacing w:val="-9"/>
                <w:sz w:val="24"/>
                <w:szCs w:val="24"/>
              </w:rPr>
              <w:t>计算， 则生活垃圾产生量约</w:t>
            </w:r>
            <w:r>
              <w:rPr>
                <w:sz w:val="24"/>
                <w:szCs w:val="24"/>
              </w:rPr>
              <w:t xml:space="preserve"> </w:t>
            </w:r>
            <w:r>
              <w:rPr>
                <w:rFonts w:ascii="Times New Roman" w:hAnsi="Times New Roman" w:eastAsia="Times New Roman" w:cs="Times New Roman"/>
                <w:spacing w:val="-2"/>
                <w:sz w:val="24"/>
                <w:szCs w:val="24"/>
              </w:rPr>
              <w:t>20kg/d</w:t>
            </w:r>
            <w:r>
              <w:rPr>
                <w:spacing w:val="-2"/>
                <w:sz w:val="24"/>
                <w:szCs w:val="24"/>
              </w:rPr>
              <w:t>（钻井期</w:t>
            </w:r>
            <w:r>
              <w:rPr>
                <w:spacing w:val="-27"/>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7"/>
                <w:sz w:val="24"/>
                <w:szCs w:val="24"/>
              </w:rPr>
              <w:t xml:space="preserve"> </w:t>
            </w:r>
            <w:r>
              <w:rPr>
                <w:spacing w:val="-2"/>
                <w:sz w:val="24"/>
                <w:szCs w:val="24"/>
              </w:rPr>
              <w:t>个月，包括纯钻井和完井测试工期，按</w:t>
            </w:r>
            <w:r>
              <w:rPr>
                <w:spacing w:val="-25"/>
                <w:sz w:val="24"/>
                <w:szCs w:val="24"/>
              </w:rPr>
              <w:t xml:space="preserve"> </w:t>
            </w:r>
            <w:r>
              <w:rPr>
                <w:rFonts w:ascii="Times New Roman" w:hAnsi="Times New Roman" w:eastAsia="Times New Roman" w:cs="Times New Roman"/>
                <w:spacing w:val="-2"/>
                <w:sz w:val="24"/>
                <w:szCs w:val="24"/>
              </w:rPr>
              <w:t>180d</w:t>
            </w:r>
            <w:r>
              <w:rPr>
                <w:rFonts w:ascii="Times New Roman" w:hAnsi="Times New Roman" w:eastAsia="Times New Roman" w:cs="Times New Roman"/>
                <w:spacing w:val="17"/>
                <w:sz w:val="24"/>
                <w:szCs w:val="24"/>
              </w:rPr>
              <w:t xml:space="preserve"> </w:t>
            </w:r>
            <w:r>
              <w:rPr>
                <w:spacing w:val="-3"/>
                <w:sz w:val="24"/>
                <w:szCs w:val="24"/>
              </w:rPr>
              <w:t>计算，共</w:t>
            </w:r>
            <w:r>
              <w:rPr>
                <w:spacing w:val="-33"/>
                <w:sz w:val="24"/>
                <w:szCs w:val="24"/>
              </w:rPr>
              <w:t xml:space="preserve"> </w:t>
            </w:r>
            <w:r>
              <w:rPr>
                <w:rFonts w:ascii="Times New Roman" w:hAnsi="Times New Roman" w:eastAsia="Times New Roman" w:cs="Times New Roman"/>
                <w:spacing w:val="-3"/>
                <w:sz w:val="24"/>
                <w:szCs w:val="24"/>
              </w:rPr>
              <w:t>3.6t</w:t>
            </w:r>
            <w:r>
              <w:rPr>
                <w:spacing w:val="-3"/>
                <w:sz w:val="24"/>
                <w:szCs w:val="24"/>
              </w:rPr>
              <w:t>）。生活垃</w:t>
            </w:r>
          </w:p>
          <w:p>
            <w:pPr>
              <w:pStyle w:val="6"/>
              <w:spacing w:before="1" w:line="219" w:lineRule="auto"/>
              <w:ind w:left="569"/>
              <w:rPr>
                <w:sz w:val="24"/>
                <w:szCs w:val="24"/>
              </w:rPr>
            </w:pPr>
            <w:r>
              <w:rPr>
                <w:spacing w:val="-1"/>
                <w:sz w:val="24"/>
                <w:szCs w:val="24"/>
              </w:rPr>
              <w:t>圾均存放在井场区域和生活区垃圾箱内，定期外运当地环卫集中收集处置。</w:t>
            </w:r>
          </w:p>
          <w:p>
            <w:pPr>
              <w:pStyle w:val="6"/>
              <w:spacing w:before="195" w:line="219" w:lineRule="auto"/>
              <w:ind w:left="1048"/>
              <w:rPr>
                <w:sz w:val="24"/>
                <w:szCs w:val="24"/>
              </w:rPr>
            </w:pPr>
            <w:r>
              <w:rPr>
                <w:spacing w:val="-7"/>
                <w:sz w:val="24"/>
                <w:szCs w:val="24"/>
              </w:rPr>
              <w:t>拟建项目固体废物产生量、</w:t>
            </w:r>
            <w:r>
              <w:rPr>
                <w:spacing w:val="44"/>
                <w:sz w:val="24"/>
                <w:szCs w:val="24"/>
              </w:rPr>
              <w:t xml:space="preserve"> </w:t>
            </w:r>
            <w:r>
              <w:rPr>
                <w:spacing w:val="-7"/>
                <w:sz w:val="24"/>
                <w:szCs w:val="24"/>
              </w:rPr>
              <w:t>储存、处置措施表见表</w:t>
            </w:r>
            <w:r>
              <w:rPr>
                <w:spacing w:val="-56"/>
                <w:sz w:val="24"/>
                <w:szCs w:val="24"/>
              </w:rPr>
              <w:t xml:space="preserve"> </w:t>
            </w:r>
            <w:r>
              <w:rPr>
                <w:rFonts w:ascii="Times New Roman" w:hAnsi="Times New Roman" w:eastAsia="Times New Roman" w:cs="Times New Roman"/>
                <w:spacing w:val="-7"/>
                <w:sz w:val="24"/>
                <w:szCs w:val="24"/>
              </w:rPr>
              <w:t>4.3-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8"/>
                <w:sz w:val="24"/>
                <w:szCs w:val="24"/>
              </w:rPr>
              <w:t>14</w:t>
            </w:r>
            <w:r>
              <w:rPr>
                <w:spacing w:val="-8"/>
                <w:sz w:val="24"/>
                <w:szCs w:val="24"/>
              </w:rPr>
              <w:t>。</w:t>
            </w:r>
          </w:p>
          <w:p>
            <w:pPr>
              <w:pStyle w:val="6"/>
              <w:spacing w:before="195" w:line="219" w:lineRule="auto"/>
              <w:ind w:left="2163"/>
              <w:rPr>
                <w:sz w:val="24"/>
                <w:szCs w:val="24"/>
              </w:rPr>
            </w:pPr>
            <w:r>
              <w:rPr>
                <w:sz w:val="24"/>
                <w:szCs w:val="24"/>
                <w14:textOutline w14:w="4354" w14:cap="flat" w14:cmpd="sng">
                  <w14:solidFill>
                    <w14:srgbClr w14:val="000000"/>
                  </w14:solidFill>
                  <w14:prstDash w14:val="solid"/>
                  <w14:miter w14:val="10"/>
                </w14:textOutline>
              </w:rPr>
              <w:t>表</w:t>
            </w:r>
            <w:r>
              <w:rPr>
                <w:spacing w:val="-50"/>
                <w:sz w:val="24"/>
                <w:szCs w:val="24"/>
              </w:rPr>
              <w:t xml:space="preserve"> </w:t>
            </w:r>
            <w:r>
              <w:rPr>
                <w:rFonts w:ascii="Times New Roman" w:hAnsi="Times New Roman" w:eastAsia="Times New Roman" w:cs="Times New Roman"/>
                <w:b/>
                <w:bCs/>
                <w:sz w:val="24"/>
                <w:szCs w:val="24"/>
              </w:rPr>
              <w:t xml:space="preserve">4.3-14    </w:t>
            </w:r>
            <w:r>
              <w:rPr>
                <w:sz w:val="24"/>
                <w:szCs w:val="24"/>
                <w14:textOutline w14:w="4354" w14:cap="flat" w14:cmpd="sng">
                  <w14:solidFill>
                    <w14:srgbClr w14:val="000000"/>
                  </w14:solidFill>
                  <w14:prstDash w14:val="solid"/>
                  <w14:miter w14:val="10"/>
                </w14:textOutline>
              </w:rPr>
              <w:t>拟建工程固体废物产生量、储存、处置措施表</w:t>
            </w:r>
          </w:p>
          <w:p>
            <w:pPr>
              <w:spacing w:line="18" w:lineRule="exact"/>
            </w:pPr>
          </w:p>
          <w:tbl>
            <w:tblPr>
              <w:tblStyle w:val="5"/>
              <w:tblW w:w="9169"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0"/>
              <w:gridCol w:w="1277"/>
              <w:gridCol w:w="708"/>
              <w:gridCol w:w="1384"/>
              <w:gridCol w:w="1859"/>
              <w:gridCol w:w="1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950" w:type="dxa"/>
                  <w:vAlign w:val="top"/>
                </w:tcPr>
                <w:p>
                  <w:pPr>
                    <w:pStyle w:val="6"/>
                    <w:spacing w:before="171" w:line="221" w:lineRule="auto"/>
                    <w:ind w:left="578"/>
                    <w:rPr>
                      <w:sz w:val="21"/>
                      <w:szCs w:val="21"/>
                    </w:rPr>
                  </w:pPr>
                  <w:r>
                    <w:rPr>
                      <w:spacing w:val="-6"/>
                      <w:sz w:val="21"/>
                      <w:szCs w:val="21"/>
                    </w:rPr>
                    <w:t>固废名称</w:t>
                  </w:r>
                </w:p>
              </w:tc>
              <w:tc>
                <w:tcPr>
                  <w:tcW w:w="1277" w:type="dxa"/>
                  <w:vAlign w:val="top"/>
                </w:tcPr>
                <w:p>
                  <w:pPr>
                    <w:pStyle w:val="6"/>
                    <w:spacing w:before="171" w:line="234" w:lineRule="auto"/>
                    <w:ind w:left="112"/>
                    <w:rPr>
                      <w:sz w:val="21"/>
                      <w:szCs w:val="21"/>
                    </w:rPr>
                  </w:pPr>
                  <w:r>
                    <w:rPr>
                      <w:spacing w:val="-1"/>
                      <w:sz w:val="21"/>
                      <w:szCs w:val="21"/>
                    </w:rPr>
                    <w:t>产生量（</w:t>
                  </w:r>
                  <w:r>
                    <w:rPr>
                      <w:rFonts w:ascii="Times New Roman" w:hAnsi="Times New Roman" w:eastAsia="Times New Roman" w:cs="Times New Roman"/>
                      <w:spacing w:val="-1"/>
                      <w:sz w:val="21"/>
                      <w:szCs w:val="21"/>
                    </w:rPr>
                    <w:t>t</w:t>
                  </w:r>
                  <w:r>
                    <w:rPr>
                      <w:spacing w:val="-1"/>
                      <w:sz w:val="21"/>
                      <w:szCs w:val="21"/>
                    </w:rPr>
                    <w:t>）</w:t>
                  </w:r>
                </w:p>
              </w:tc>
              <w:tc>
                <w:tcPr>
                  <w:tcW w:w="708" w:type="dxa"/>
                  <w:vAlign w:val="top"/>
                </w:tcPr>
                <w:p>
                  <w:pPr>
                    <w:pStyle w:val="6"/>
                    <w:spacing w:before="34" w:line="224" w:lineRule="auto"/>
                    <w:ind w:left="151" w:right="140" w:firstLine="15"/>
                    <w:rPr>
                      <w:sz w:val="21"/>
                      <w:szCs w:val="21"/>
                    </w:rPr>
                  </w:pPr>
                  <w:r>
                    <w:rPr>
                      <w:spacing w:val="-12"/>
                      <w:sz w:val="21"/>
                      <w:szCs w:val="21"/>
                    </w:rPr>
                    <w:t>固废</w:t>
                  </w:r>
                  <w:r>
                    <w:rPr>
                      <w:sz w:val="21"/>
                      <w:szCs w:val="21"/>
                    </w:rPr>
                    <w:t xml:space="preserve"> </w:t>
                  </w:r>
                  <w:r>
                    <w:rPr>
                      <w:spacing w:val="-5"/>
                      <w:sz w:val="21"/>
                      <w:szCs w:val="21"/>
                    </w:rPr>
                    <w:t>性质</w:t>
                  </w:r>
                </w:p>
              </w:tc>
              <w:tc>
                <w:tcPr>
                  <w:tcW w:w="1384" w:type="dxa"/>
                  <w:vAlign w:val="top"/>
                </w:tcPr>
                <w:p>
                  <w:pPr>
                    <w:pStyle w:val="6"/>
                    <w:spacing w:before="171" w:line="221" w:lineRule="auto"/>
                    <w:ind w:left="172"/>
                    <w:rPr>
                      <w:sz w:val="21"/>
                      <w:szCs w:val="21"/>
                    </w:rPr>
                  </w:pPr>
                  <w:r>
                    <w:rPr>
                      <w:spacing w:val="-2"/>
                      <w:sz w:val="21"/>
                      <w:szCs w:val="21"/>
                    </w:rPr>
                    <w:t>预处理方式</w:t>
                  </w:r>
                </w:p>
              </w:tc>
              <w:tc>
                <w:tcPr>
                  <w:tcW w:w="1859" w:type="dxa"/>
                  <w:vAlign w:val="top"/>
                </w:tcPr>
                <w:p>
                  <w:pPr>
                    <w:pStyle w:val="6"/>
                    <w:spacing w:before="170" w:line="221" w:lineRule="auto"/>
                    <w:ind w:left="521"/>
                    <w:rPr>
                      <w:sz w:val="21"/>
                      <w:szCs w:val="21"/>
                    </w:rPr>
                  </w:pPr>
                  <w:r>
                    <w:rPr>
                      <w:spacing w:val="-3"/>
                      <w:sz w:val="21"/>
                      <w:szCs w:val="21"/>
                    </w:rPr>
                    <w:t>暂存方式</w:t>
                  </w:r>
                </w:p>
              </w:tc>
              <w:tc>
                <w:tcPr>
                  <w:tcW w:w="1991" w:type="dxa"/>
                  <w:vAlign w:val="top"/>
                </w:tcPr>
                <w:p>
                  <w:pPr>
                    <w:pStyle w:val="6"/>
                    <w:spacing w:before="170" w:line="221" w:lineRule="auto"/>
                    <w:ind w:left="371"/>
                    <w:rPr>
                      <w:sz w:val="21"/>
                      <w:szCs w:val="21"/>
                    </w:rPr>
                  </w:pPr>
                  <w:r>
                    <w:rPr>
                      <w:spacing w:val="-2"/>
                      <w:sz w:val="21"/>
                      <w:szCs w:val="21"/>
                    </w:rPr>
                    <w:t>最终处置去向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50" w:type="dxa"/>
                  <w:vAlign w:val="top"/>
                </w:tcPr>
                <w:p>
                  <w:pPr>
                    <w:pStyle w:val="6"/>
                    <w:spacing w:before="65" w:line="221" w:lineRule="auto"/>
                    <w:ind w:left="139"/>
                    <w:rPr>
                      <w:sz w:val="21"/>
                      <w:szCs w:val="21"/>
                    </w:rPr>
                  </w:pPr>
                  <w:r>
                    <w:rPr>
                      <w:spacing w:val="-1"/>
                      <w:sz w:val="21"/>
                      <w:szCs w:val="21"/>
                    </w:rPr>
                    <w:t>废弃水基钻井岩屑</w:t>
                  </w:r>
                </w:p>
              </w:tc>
              <w:tc>
                <w:tcPr>
                  <w:tcW w:w="1277" w:type="dxa"/>
                  <w:vAlign w:val="top"/>
                </w:tcPr>
                <w:p>
                  <w:pPr>
                    <w:spacing w:before="104"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3210.75</w:t>
                  </w:r>
                </w:p>
              </w:tc>
              <w:tc>
                <w:tcPr>
                  <w:tcW w:w="708" w:type="dxa"/>
                  <w:vMerge w:val="restart"/>
                  <w:tcBorders>
                    <w:bottom w:val="nil"/>
                  </w:tcBorders>
                  <w:vAlign w:val="top"/>
                </w:tcPr>
                <w:p>
                  <w:pPr>
                    <w:spacing w:line="290" w:lineRule="auto"/>
                    <w:rPr>
                      <w:rFonts w:ascii="Arial"/>
                      <w:sz w:val="21"/>
                    </w:rPr>
                  </w:pPr>
                </w:p>
                <w:p>
                  <w:pPr>
                    <w:spacing w:line="291" w:lineRule="auto"/>
                    <w:rPr>
                      <w:rFonts w:ascii="Arial"/>
                      <w:sz w:val="21"/>
                    </w:rPr>
                  </w:pPr>
                </w:p>
                <w:p>
                  <w:pPr>
                    <w:pStyle w:val="6"/>
                    <w:spacing w:before="68" w:line="230" w:lineRule="auto"/>
                    <w:ind w:left="166" w:right="140" w:hanging="14"/>
                    <w:rPr>
                      <w:sz w:val="21"/>
                      <w:szCs w:val="21"/>
                    </w:rPr>
                  </w:pPr>
                  <w:r>
                    <w:rPr>
                      <w:spacing w:val="-5"/>
                      <w:sz w:val="21"/>
                      <w:szCs w:val="21"/>
                    </w:rPr>
                    <w:t>一般</w:t>
                  </w:r>
                  <w:r>
                    <w:rPr>
                      <w:sz w:val="21"/>
                      <w:szCs w:val="21"/>
                    </w:rPr>
                    <w:t xml:space="preserve"> </w:t>
                  </w:r>
                  <w:r>
                    <w:rPr>
                      <w:spacing w:val="-12"/>
                      <w:sz w:val="21"/>
                      <w:szCs w:val="21"/>
                    </w:rPr>
                    <w:t>固废</w:t>
                  </w:r>
                </w:p>
              </w:tc>
              <w:tc>
                <w:tcPr>
                  <w:tcW w:w="1384" w:type="dxa"/>
                  <w:vMerge w:val="restart"/>
                  <w:tcBorders>
                    <w:bottom w:val="nil"/>
                  </w:tcBorders>
                  <w:vAlign w:val="top"/>
                </w:tcPr>
                <w:p>
                  <w:pPr>
                    <w:pStyle w:val="6"/>
                    <w:spacing w:before="166" w:line="221" w:lineRule="auto"/>
                    <w:ind w:left="170"/>
                    <w:rPr>
                      <w:sz w:val="21"/>
                      <w:szCs w:val="21"/>
                    </w:rPr>
                  </w:pPr>
                  <w:r>
                    <w:rPr>
                      <w:spacing w:val="-1"/>
                      <w:sz w:val="21"/>
                      <w:szCs w:val="21"/>
                    </w:rPr>
                    <w:t>清洁生产操</w:t>
                  </w:r>
                </w:p>
                <w:p>
                  <w:pPr>
                    <w:pStyle w:val="6"/>
                    <w:spacing w:before="23" w:line="221" w:lineRule="auto"/>
                    <w:ind w:left="171"/>
                    <w:rPr>
                      <w:sz w:val="21"/>
                      <w:szCs w:val="21"/>
                    </w:rPr>
                  </w:pPr>
                  <w:r>
                    <w:rPr>
                      <w:spacing w:val="-2"/>
                      <w:sz w:val="21"/>
                      <w:szCs w:val="21"/>
                    </w:rPr>
                    <w:t>作平台减量</w:t>
                  </w:r>
                </w:p>
                <w:p>
                  <w:pPr>
                    <w:pStyle w:val="6"/>
                    <w:spacing w:before="19" w:line="222" w:lineRule="auto"/>
                    <w:ind w:left="382"/>
                    <w:rPr>
                      <w:sz w:val="21"/>
                      <w:szCs w:val="21"/>
                    </w:rPr>
                  </w:pPr>
                  <w:r>
                    <w:rPr>
                      <w:spacing w:val="-2"/>
                      <w:sz w:val="21"/>
                      <w:szCs w:val="21"/>
                    </w:rPr>
                    <w:t>化处置</w:t>
                  </w:r>
                </w:p>
              </w:tc>
              <w:tc>
                <w:tcPr>
                  <w:tcW w:w="1859" w:type="dxa"/>
                  <w:vMerge w:val="restart"/>
                  <w:tcBorders>
                    <w:bottom w:val="nil"/>
                  </w:tcBorders>
                  <w:vAlign w:val="top"/>
                </w:tcPr>
                <w:p>
                  <w:pPr>
                    <w:pStyle w:val="6"/>
                    <w:spacing w:before="166" w:line="221" w:lineRule="auto"/>
                    <w:ind w:left="113"/>
                    <w:rPr>
                      <w:sz w:val="21"/>
                      <w:szCs w:val="21"/>
                    </w:rPr>
                  </w:pPr>
                  <w:r>
                    <w:rPr>
                      <w:spacing w:val="-6"/>
                      <w:sz w:val="21"/>
                      <w:szCs w:val="21"/>
                    </w:rPr>
                    <w:t>岩屑堆放区，防渗</w:t>
                  </w:r>
                </w:p>
                <w:p>
                  <w:pPr>
                    <w:pStyle w:val="6"/>
                    <w:spacing w:before="21" w:line="221" w:lineRule="auto"/>
                    <w:ind w:left="119"/>
                    <w:rPr>
                      <w:sz w:val="21"/>
                      <w:szCs w:val="21"/>
                    </w:rPr>
                  </w:pPr>
                  <w:r>
                    <w:rPr>
                      <w:spacing w:val="-6"/>
                      <w:sz w:val="21"/>
                      <w:szCs w:val="21"/>
                    </w:rPr>
                    <w:t>并设置雨棚，储存</w:t>
                  </w:r>
                </w:p>
                <w:p>
                  <w:pPr>
                    <w:pStyle w:val="6"/>
                    <w:spacing w:before="20" w:line="221" w:lineRule="auto"/>
                    <w:ind w:left="334"/>
                    <w:rPr>
                      <w:rFonts w:ascii="Times New Roman" w:hAnsi="Times New Roman" w:eastAsia="Times New Roman" w:cs="Times New Roman"/>
                      <w:sz w:val="21"/>
                      <w:szCs w:val="21"/>
                    </w:rPr>
                  </w:pPr>
                  <w:r>
                    <w:rPr>
                      <w:spacing w:val="-5"/>
                      <w:sz w:val="21"/>
                      <w:szCs w:val="21"/>
                    </w:rPr>
                    <w:t>期不超过</w:t>
                  </w:r>
                  <w:r>
                    <w:rPr>
                      <w:spacing w:val="-27"/>
                      <w:sz w:val="21"/>
                      <w:szCs w:val="21"/>
                    </w:rPr>
                    <w:t xml:space="preserve"> </w:t>
                  </w:r>
                  <w:r>
                    <w:rPr>
                      <w:rFonts w:ascii="Times New Roman" w:hAnsi="Times New Roman" w:eastAsia="Times New Roman" w:cs="Times New Roman"/>
                      <w:spacing w:val="-5"/>
                      <w:sz w:val="21"/>
                      <w:szCs w:val="21"/>
                    </w:rPr>
                    <w:t>10d</w:t>
                  </w:r>
                </w:p>
              </w:tc>
              <w:tc>
                <w:tcPr>
                  <w:tcW w:w="1991" w:type="dxa"/>
                  <w:vMerge w:val="restart"/>
                  <w:tcBorders>
                    <w:bottom w:val="nil"/>
                  </w:tcBorders>
                  <w:vAlign w:val="top"/>
                </w:tcPr>
                <w:p>
                  <w:pPr>
                    <w:pStyle w:val="6"/>
                    <w:spacing w:before="29" w:line="221" w:lineRule="auto"/>
                    <w:ind w:left="114"/>
                    <w:rPr>
                      <w:sz w:val="21"/>
                      <w:szCs w:val="21"/>
                    </w:rPr>
                  </w:pPr>
                  <w:r>
                    <w:rPr>
                      <w:spacing w:val="-3"/>
                      <w:sz w:val="21"/>
                      <w:szCs w:val="21"/>
                    </w:rPr>
                    <w:t>储存期不超过</w:t>
                  </w:r>
                  <w:r>
                    <w:rPr>
                      <w:spacing w:val="-28"/>
                      <w:sz w:val="21"/>
                      <w:szCs w:val="21"/>
                    </w:rPr>
                    <w:t xml:space="preserve"> </w:t>
                  </w:r>
                  <w:r>
                    <w:rPr>
                      <w:rFonts w:ascii="Times New Roman" w:hAnsi="Times New Roman" w:eastAsia="Times New Roman" w:cs="Times New Roman"/>
                      <w:spacing w:val="-3"/>
                      <w:sz w:val="21"/>
                      <w:szCs w:val="21"/>
                    </w:rPr>
                    <w:t>10d</w:t>
                  </w:r>
                  <w:r>
                    <w:rPr>
                      <w:spacing w:val="-3"/>
                      <w:sz w:val="21"/>
                      <w:szCs w:val="21"/>
                    </w:rPr>
                    <w:t>，</w:t>
                  </w:r>
                </w:p>
                <w:p>
                  <w:pPr>
                    <w:pStyle w:val="6"/>
                    <w:spacing w:before="23" w:line="221" w:lineRule="auto"/>
                    <w:ind w:left="160"/>
                    <w:rPr>
                      <w:sz w:val="21"/>
                      <w:szCs w:val="21"/>
                    </w:rPr>
                  </w:pPr>
                  <w:r>
                    <w:rPr>
                      <w:spacing w:val="-1"/>
                      <w:sz w:val="21"/>
                      <w:szCs w:val="21"/>
                    </w:rPr>
                    <w:t>钻井中外运有资质</w:t>
                  </w:r>
                </w:p>
                <w:p>
                  <w:pPr>
                    <w:pStyle w:val="6"/>
                    <w:spacing w:before="19" w:line="221" w:lineRule="auto"/>
                    <w:ind w:left="177"/>
                    <w:rPr>
                      <w:sz w:val="21"/>
                      <w:szCs w:val="21"/>
                    </w:rPr>
                  </w:pPr>
                  <w:r>
                    <w:rPr>
                      <w:spacing w:val="-3"/>
                      <w:sz w:val="21"/>
                      <w:szCs w:val="21"/>
                    </w:rPr>
                    <w:t>的砖厂进行综合利</w:t>
                  </w:r>
                </w:p>
                <w:p>
                  <w:pPr>
                    <w:pStyle w:val="6"/>
                    <w:spacing w:before="22" w:line="207" w:lineRule="auto"/>
                    <w:ind w:left="686"/>
                    <w:rPr>
                      <w:sz w:val="21"/>
                      <w:szCs w:val="21"/>
                    </w:rPr>
                  </w:pPr>
                  <w:r>
                    <w:rPr>
                      <w:spacing w:val="-2"/>
                      <w:sz w:val="21"/>
                      <w:szCs w:val="21"/>
                    </w:rPr>
                    <w:t>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50" w:type="dxa"/>
                  <w:vAlign w:val="top"/>
                </w:tcPr>
                <w:p>
                  <w:pPr>
                    <w:pStyle w:val="6"/>
                    <w:spacing w:before="63" w:line="221" w:lineRule="auto"/>
                    <w:ind w:left="139"/>
                    <w:rPr>
                      <w:sz w:val="21"/>
                      <w:szCs w:val="21"/>
                    </w:rPr>
                  </w:pPr>
                  <w:r>
                    <w:rPr>
                      <w:spacing w:val="-1"/>
                      <w:sz w:val="21"/>
                      <w:szCs w:val="21"/>
                    </w:rPr>
                    <w:t>废弃水基钻井泥浆</w:t>
                  </w:r>
                </w:p>
              </w:tc>
              <w:tc>
                <w:tcPr>
                  <w:tcW w:w="1277" w:type="dxa"/>
                  <w:vAlign w:val="top"/>
                </w:tcPr>
                <w:p>
                  <w:pPr>
                    <w:spacing w:before="102"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184.08</w:t>
                  </w:r>
                </w:p>
              </w:tc>
              <w:tc>
                <w:tcPr>
                  <w:tcW w:w="708" w:type="dxa"/>
                  <w:vMerge w:val="continue"/>
                  <w:tcBorders>
                    <w:top w:val="nil"/>
                    <w:bottom w:val="nil"/>
                  </w:tcBorders>
                  <w:vAlign w:val="top"/>
                </w:tcPr>
                <w:p>
                  <w:pPr>
                    <w:rPr>
                      <w:rFonts w:ascii="Arial"/>
                      <w:sz w:val="21"/>
                    </w:rPr>
                  </w:pPr>
                </w:p>
              </w:tc>
              <w:tc>
                <w:tcPr>
                  <w:tcW w:w="1384" w:type="dxa"/>
                  <w:vMerge w:val="continue"/>
                  <w:tcBorders>
                    <w:top w:val="nil"/>
                    <w:bottom w:val="nil"/>
                  </w:tcBorders>
                  <w:vAlign w:val="top"/>
                </w:tcPr>
                <w:p>
                  <w:pPr>
                    <w:rPr>
                      <w:rFonts w:ascii="Arial"/>
                      <w:sz w:val="21"/>
                    </w:rPr>
                  </w:pPr>
                </w:p>
              </w:tc>
              <w:tc>
                <w:tcPr>
                  <w:tcW w:w="1859" w:type="dxa"/>
                  <w:vMerge w:val="continue"/>
                  <w:tcBorders>
                    <w:top w:val="nil"/>
                    <w:bottom w:val="nil"/>
                  </w:tcBorders>
                  <w:vAlign w:val="top"/>
                </w:tcPr>
                <w:p>
                  <w:pPr>
                    <w:rPr>
                      <w:rFonts w:ascii="Arial"/>
                      <w:sz w:val="21"/>
                    </w:rPr>
                  </w:pPr>
                </w:p>
              </w:tc>
              <w:tc>
                <w:tcPr>
                  <w:tcW w:w="199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950" w:type="dxa"/>
                  <w:vAlign w:val="top"/>
                </w:tcPr>
                <w:p>
                  <w:pPr>
                    <w:pStyle w:val="6"/>
                    <w:spacing w:before="90" w:line="221" w:lineRule="auto"/>
                    <w:ind w:left="454"/>
                    <w:rPr>
                      <w:sz w:val="21"/>
                      <w:szCs w:val="21"/>
                    </w:rPr>
                  </w:pPr>
                  <w:r>
                    <w:rPr>
                      <w:spacing w:val="-1"/>
                      <w:sz w:val="21"/>
                      <w:szCs w:val="21"/>
                    </w:rPr>
                    <w:t>沉淀罐污泥</w:t>
                  </w:r>
                </w:p>
              </w:tc>
              <w:tc>
                <w:tcPr>
                  <w:tcW w:w="1277" w:type="dxa"/>
                  <w:vAlign w:val="top"/>
                </w:tcPr>
                <w:p>
                  <w:pPr>
                    <w:spacing w:before="129"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08" w:type="dxa"/>
                  <w:vMerge w:val="continue"/>
                  <w:tcBorders>
                    <w:top w:val="nil"/>
                    <w:bottom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859" w:type="dxa"/>
                  <w:vMerge w:val="continue"/>
                  <w:tcBorders>
                    <w:top w:val="nil"/>
                  </w:tcBorders>
                  <w:vAlign w:val="top"/>
                </w:tcPr>
                <w:p>
                  <w:pPr>
                    <w:rPr>
                      <w:rFonts w:ascii="Arial"/>
                      <w:sz w:val="21"/>
                    </w:rPr>
                  </w:pPr>
                </w:p>
              </w:tc>
              <w:tc>
                <w:tcPr>
                  <w:tcW w:w="19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50" w:type="dxa"/>
                  <w:vAlign w:val="top"/>
                </w:tcPr>
                <w:p>
                  <w:pPr>
                    <w:pStyle w:val="6"/>
                    <w:spacing w:before="65" w:line="220" w:lineRule="auto"/>
                    <w:ind w:left="453"/>
                    <w:rPr>
                      <w:sz w:val="21"/>
                      <w:szCs w:val="21"/>
                    </w:rPr>
                  </w:pPr>
                  <w:r>
                    <w:rPr>
                      <w:spacing w:val="-1"/>
                      <w:sz w:val="21"/>
                      <w:szCs w:val="21"/>
                    </w:rPr>
                    <w:t>废包装材料</w:t>
                  </w:r>
                </w:p>
              </w:tc>
              <w:tc>
                <w:tcPr>
                  <w:tcW w:w="1277" w:type="dxa"/>
                  <w:vAlign w:val="top"/>
                </w:tcPr>
                <w:p>
                  <w:pPr>
                    <w:spacing w:before="104" w:line="187" w:lineRule="auto"/>
                    <w:ind w:left="5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708" w:type="dxa"/>
                  <w:vMerge w:val="continue"/>
                  <w:tcBorders>
                    <w:top w:val="nil"/>
                    <w:bottom w:val="nil"/>
                  </w:tcBorders>
                  <w:vAlign w:val="top"/>
                </w:tcPr>
                <w:p>
                  <w:pPr>
                    <w:rPr>
                      <w:rFonts w:ascii="Arial"/>
                      <w:sz w:val="21"/>
                    </w:rPr>
                  </w:pPr>
                </w:p>
              </w:tc>
              <w:tc>
                <w:tcPr>
                  <w:tcW w:w="1384" w:type="dxa"/>
                  <w:vMerge w:val="restart"/>
                  <w:tcBorders>
                    <w:bottom w:val="nil"/>
                  </w:tcBorders>
                  <w:vAlign w:val="top"/>
                </w:tcPr>
                <w:p>
                  <w:pPr>
                    <w:spacing w:before="276"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9" w:type="dxa"/>
                  <w:vMerge w:val="restart"/>
                  <w:tcBorders>
                    <w:bottom w:val="nil"/>
                  </w:tcBorders>
                  <w:vAlign w:val="top"/>
                </w:tcPr>
                <w:p>
                  <w:pPr>
                    <w:pStyle w:val="6"/>
                    <w:spacing w:before="240" w:line="221" w:lineRule="auto"/>
                    <w:ind w:left="514"/>
                    <w:rPr>
                      <w:sz w:val="21"/>
                      <w:szCs w:val="21"/>
                    </w:rPr>
                  </w:pPr>
                  <w:r>
                    <w:rPr>
                      <w:spacing w:val="-2"/>
                      <w:sz w:val="21"/>
                      <w:szCs w:val="21"/>
                    </w:rPr>
                    <w:t>袋装收集</w:t>
                  </w:r>
                </w:p>
              </w:tc>
              <w:tc>
                <w:tcPr>
                  <w:tcW w:w="1991" w:type="dxa"/>
                  <w:vMerge w:val="restart"/>
                  <w:tcBorders>
                    <w:bottom w:val="nil"/>
                  </w:tcBorders>
                  <w:vAlign w:val="top"/>
                </w:tcPr>
                <w:p>
                  <w:pPr>
                    <w:pStyle w:val="6"/>
                    <w:spacing w:before="240" w:line="221" w:lineRule="auto"/>
                    <w:ind w:left="267"/>
                    <w:rPr>
                      <w:sz w:val="21"/>
                      <w:szCs w:val="21"/>
                    </w:rPr>
                  </w:pPr>
                  <w:r>
                    <w:rPr>
                      <w:spacing w:val="-2"/>
                      <w:sz w:val="21"/>
                      <w:szCs w:val="21"/>
                    </w:rPr>
                    <w:t>外售废品回收站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950" w:type="dxa"/>
                  <w:vAlign w:val="top"/>
                </w:tcPr>
                <w:p>
                  <w:pPr>
                    <w:pStyle w:val="6"/>
                    <w:spacing w:before="63" w:line="221" w:lineRule="auto"/>
                    <w:ind w:left="350"/>
                    <w:rPr>
                      <w:sz w:val="21"/>
                      <w:szCs w:val="21"/>
                    </w:rPr>
                  </w:pPr>
                  <w:r>
                    <w:rPr>
                      <w:spacing w:val="-1"/>
                      <w:sz w:val="21"/>
                      <w:szCs w:val="21"/>
                    </w:rPr>
                    <w:t>废弃设备零件</w:t>
                  </w:r>
                </w:p>
              </w:tc>
              <w:tc>
                <w:tcPr>
                  <w:tcW w:w="1277" w:type="dxa"/>
                  <w:vAlign w:val="top"/>
                </w:tcPr>
                <w:p>
                  <w:pPr>
                    <w:spacing w:before="102" w:line="187" w:lineRule="auto"/>
                    <w:ind w:left="52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708" w:type="dxa"/>
                  <w:vMerge w:val="continue"/>
                  <w:tcBorders>
                    <w:top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859" w:type="dxa"/>
                  <w:vMerge w:val="continue"/>
                  <w:tcBorders>
                    <w:top w:val="nil"/>
                  </w:tcBorders>
                  <w:vAlign w:val="top"/>
                </w:tcPr>
                <w:p>
                  <w:pPr>
                    <w:rPr>
                      <w:rFonts w:ascii="Arial"/>
                      <w:sz w:val="21"/>
                    </w:rPr>
                  </w:pPr>
                </w:p>
              </w:tc>
              <w:tc>
                <w:tcPr>
                  <w:tcW w:w="19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50" w:type="dxa"/>
                  <w:vAlign w:val="top"/>
                </w:tcPr>
                <w:p>
                  <w:pPr>
                    <w:pStyle w:val="6"/>
                    <w:spacing w:before="63" w:line="221" w:lineRule="auto"/>
                    <w:ind w:left="770"/>
                    <w:rPr>
                      <w:sz w:val="21"/>
                      <w:szCs w:val="21"/>
                    </w:rPr>
                  </w:pPr>
                  <w:r>
                    <w:rPr>
                      <w:spacing w:val="-2"/>
                      <w:sz w:val="21"/>
                      <w:szCs w:val="21"/>
                    </w:rPr>
                    <w:t>废油</w:t>
                  </w:r>
                </w:p>
              </w:tc>
              <w:tc>
                <w:tcPr>
                  <w:tcW w:w="1277" w:type="dxa"/>
                  <w:vAlign w:val="top"/>
                </w:tcPr>
                <w:p>
                  <w:pPr>
                    <w:spacing w:before="101" w:line="187" w:lineRule="auto"/>
                    <w:ind w:left="5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708" w:type="dxa"/>
                  <w:vMerge w:val="restart"/>
                  <w:tcBorders>
                    <w:bottom w:val="nil"/>
                  </w:tcBorders>
                  <w:vAlign w:val="top"/>
                </w:tcPr>
                <w:p>
                  <w:pPr>
                    <w:spacing w:line="367" w:lineRule="auto"/>
                    <w:rPr>
                      <w:rFonts w:ascii="Arial"/>
                      <w:sz w:val="21"/>
                    </w:rPr>
                  </w:pPr>
                </w:p>
                <w:p>
                  <w:pPr>
                    <w:pStyle w:val="6"/>
                    <w:spacing w:before="68" w:line="231" w:lineRule="auto"/>
                    <w:ind w:left="147" w:right="140" w:firstLine="3"/>
                    <w:rPr>
                      <w:sz w:val="21"/>
                      <w:szCs w:val="21"/>
                    </w:rPr>
                  </w:pPr>
                  <w:r>
                    <w:rPr>
                      <w:spacing w:val="-5"/>
                      <w:sz w:val="21"/>
                      <w:szCs w:val="21"/>
                    </w:rPr>
                    <w:t>危险</w:t>
                  </w:r>
                  <w:r>
                    <w:rPr>
                      <w:sz w:val="21"/>
                      <w:szCs w:val="21"/>
                    </w:rPr>
                    <w:t xml:space="preserve"> </w:t>
                  </w:r>
                  <w:r>
                    <w:rPr>
                      <w:spacing w:val="-3"/>
                      <w:sz w:val="21"/>
                      <w:szCs w:val="21"/>
                    </w:rPr>
                    <w:t>废物</w:t>
                  </w:r>
                </w:p>
              </w:tc>
              <w:tc>
                <w:tcPr>
                  <w:tcW w:w="1384"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before="60"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9" w:type="dxa"/>
                  <w:vMerge w:val="restart"/>
                  <w:tcBorders>
                    <w:bottom w:val="nil"/>
                  </w:tcBorders>
                  <w:vAlign w:val="top"/>
                </w:tcPr>
                <w:p>
                  <w:pPr>
                    <w:pStyle w:val="6"/>
                    <w:spacing w:before="29" w:line="221" w:lineRule="auto"/>
                    <w:ind w:left="202"/>
                    <w:rPr>
                      <w:sz w:val="21"/>
                      <w:szCs w:val="21"/>
                    </w:rPr>
                  </w:pPr>
                  <w:r>
                    <w:rPr>
                      <w:spacing w:val="-1"/>
                      <w:sz w:val="21"/>
                      <w:szCs w:val="21"/>
                    </w:rPr>
                    <w:t>桶装收集暂存于</w:t>
                  </w:r>
                </w:p>
                <w:p>
                  <w:pPr>
                    <w:pStyle w:val="6"/>
                    <w:spacing w:before="22" w:line="221" w:lineRule="auto"/>
                    <w:ind w:left="116"/>
                    <w:rPr>
                      <w:sz w:val="21"/>
                      <w:szCs w:val="21"/>
                    </w:rPr>
                  </w:pPr>
                  <w:r>
                    <w:rPr>
                      <w:spacing w:val="-11"/>
                      <w:sz w:val="21"/>
                      <w:szCs w:val="21"/>
                    </w:rPr>
                    <w:t>危废暂存间内，</w:t>
                  </w:r>
                  <w:r>
                    <w:rPr>
                      <w:spacing w:val="-53"/>
                      <w:sz w:val="21"/>
                      <w:szCs w:val="21"/>
                    </w:rPr>
                    <w:t xml:space="preserve"> </w:t>
                  </w:r>
                  <w:r>
                    <w:rPr>
                      <w:spacing w:val="-11"/>
                      <w:sz w:val="21"/>
                      <w:szCs w:val="21"/>
                    </w:rPr>
                    <w:t>危</w:t>
                  </w:r>
                </w:p>
                <w:p>
                  <w:pPr>
                    <w:pStyle w:val="6"/>
                    <w:spacing w:before="20" w:line="220" w:lineRule="auto"/>
                    <w:ind w:left="153"/>
                    <w:rPr>
                      <w:sz w:val="21"/>
                      <w:szCs w:val="21"/>
                    </w:rPr>
                  </w:pPr>
                  <w:r>
                    <w:rPr>
                      <w:spacing w:val="-1"/>
                      <w:sz w:val="21"/>
                      <w:szCs w:val="21"/>
                    </w:rPr>
                    <w:t>废暂存间采取</w:t>
                  </w:r>
                  <w:r>
                    <w:rPr>
                      <w:rFonts w:ascii="Times New Roman" w:hAnsi="Times New Roman" w:eastAsia="Times New Roman" w:cs="Times New Roman"/>
                      <w:spacing w:val="-1"/>
                      <w:sz w:val="21"/>
                      <w:szCs w:val="21"/>
                    </w:rPr>
                    <w:t>“</w:t>
                  </w:r>
                  <w:r>
                    <w:rPr>
                      <w:spacing w:val="-1"/>
                      <w:sz w:val="21"/>
                      <w:szCs w:val="21"/>
                    </w:rPr>
                    <w:t>六</w:t>
                  </w:r>
                </w:p>
                <w:p>
                  <w:pPr>
                    <w:pStyle w:val="6"/>
                    <w:spacing w:before="23" w:line="221" w:lineRule="auto"/>
                    <w:ind w:left="168"/>
                    <w:rPr>
                      <w:sz w:val="21"/>
                      <w:szCs w:val="21"/>
                    </w:rPr>
                  </w:pPr>
                  <w:r>
                    <w:rPr>
                      <w:spacing w:val="-14"/>
                      <w:sz w:val="21"/>
                      <w:szCs w:val="21"/>
                    </w:rPr>
                    <w:t>防</w:t>
                  </w:r>
                  <w:r>
                    <w:rPr>
                      <w:rFonts w:ascii="Times New Roman" w:hAnsi="Times New Roman" w:eastAsia="Times New Roman" w:cs="Times New Roman"/>
                      <w:spacing w:val="-14"/>
                      <w:sz w:val="21"/>
                      <w:szCs w:val="21"/>
                    </w:rPr>
                    <w:t>”</w:t>
                  </w:r>
                  <w:r>
                    <w:rPr>
                      <w:spacing w:val="-14"/>
                      <w:sz w:val="21"/>
                      <w:szCs w:val="21"/>
                    </w:rPr>
                    <w:t>措施，</w:t>
                  </w:r>
                  <w:r>
                    <w:rPr>
                      <w:spacing w:val="-13"/>
                      <w:sz w:val="21"/>
                      <w:szCs w:val="21"/>
                    </w:rPr>
                    <w:t xml:space="preserve"> </w:t>
                  </w:r>
                  <w:r>
                    <w:rPr>
                      <w:spacing w:val="-14"/>
                      <w:sz w:val="21"/>
                      <w:szCs w:val="21"/>
                    </w:rPr>
                    <w:t>并设置</w:t>
                  </w:r>
                </w:p>
                <w:p>
                  <w:pPr>
                    <w:pStyle w:val="6"/>
                    <w:spacing w:before="20" w:line="209" w:lineRule="auto"/>
                    <w:ind w:left="428"/>
                    <w:rPr>
                      <w:sz w:val="21"/>
                      <w:szCs w:val="21"/>
                    </w:rPr>
                  </w:pPr>
                  <w:r>
                    <w:rPr>
                      <w:spacing w:val="-5"/>
                      <w:sz w:val="21"/>
                      <w:szCs w:val="21"/>
                    </w:rPr>
                    <w:t>围堰或托盘</w:t>
                  </w:r>
                </w:p>
              </w:tc>
              <w:tc>
                <w:tcPr>
                  <w:tcW w:w="1991" w:type="dxa"/>
                  <w:vMerge w:val="restart"/>
                  <w:tcBorders>
                    <w:bottom w:val="nil"/>
                  </w:tcBorders>
                  <w:vAlign w:val="top"/>
                </w:tcPr>
                <w:p>
                  <w:pPr>
                    <w:pStyle w:val="6"/>
                    <w:spacing w:before="302" w:line="221" w:lineRule="auto"/>
                    <w:ind w:left="162"/>
                    <w:rPr>
                      <w:sz w:val="21"/>
                      <w:szCs w:val="21"/>
                    </w:rPr>
                  </w:pPr>
                  <w:r>
                    <w:rPr>
                      <w:spacing w:val="-1"/>
                      <w:sz w:val="21"/>
                      <w:szCs w:val="21"/>
                    </w:rPr>
                    <w:t>完钻后交由有危废</w:t>
                  </w:r>
                </w:p>
                <w:p>
                  <w:pPr>
                    <w:pStyle w:val="6"/>
                    <w:spacing w:before="20" w:line="221" w:lineRule="auto"/>
                    <w:ind w:left="164"/>
                    <w:rPr>
                      <w:sz w:val="21"/>
                      <w:szCs w:val="21"/>
                    </w:rPr>
                  </w:pPr>
                  <w:r>
                    <w:rPr>
                      <w:spacing w:val="-2"/>
                      <w:sz w:val="21"/>
                      <w:szCs w:val="21"/>
                    </w:rPr>
                    <w:t>处置资质的单位清</w:t>
                  </w:r>
                </w:p>
                <w:p>
                  <w:pPr>
                    <w:pStyle w:val="6"/>
                    <w:spacing w:before="22" w:line="225" w:lineRule="auto"/>
                    <w:ind w:left="684"/>
                    <w:rPr>
                      <w:sz w:val="21"/>
                      <w:szCs w:val="21"/>
                    </w:rPr>
                  </w:pPr>
                  <w:r>
                    <w:rPr>
                      <w:spacing w:val="-2"/>
                      <w:sz w:val="21"/>
                      <w:szCs w:val="21"/>
                    </w:rPr>
                    <w:t>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1950" w:type="dxa"/>
                  <w:vAlign w:val="top"/>
                </w:tcPr>
                <w:p>
                  <w:pPr>
                    <w:pStyle w:val="6"/>
                    <w:spacing w:before="262" w:line="231" w:lineRule="auto"/>
                    <w:ind w:left="564" w:right="130" w:hanging="425"/>
                    <w:rPr>
                      <w:sz w:val="21"/>
                      <w:szCs w:val="21"/>
                    </w:rPr>
                  </w:pPr>
                  <w:r>
                    <w:rPr>
                      <w:spacing w:val="-1"/>
                      <w:sz w:val="21"/>
                      <w:szCs w:val="21"/>
                    </w:rPr>
                    <w:t>废弃的含油抹布及</w:t>
                  </w:r>
                  <w:r>
                    <w:rPr>
                      <w:spacing w:val="2"/>
                      <w:sz w:val="21"/>
                      <w:szCs w:val="21"/>
                    </w:rPr>
                    <w:t xml:space="preserve"> </w:t>
                  </w:r>
                  <w:r>
                    <w:rPr>
                      <w:spacing w:val="-3"/>
                      <w:sz w:val="21"/>
                      <w:szCs w:val="21"/>
                    </w:rPr>
                    <w:t>劳保用品</w:t>
                  </w:r>
                </w:p>
              </w:tc>
              <w:tc>
                <w:tcPr>
                  <w:tcW w:w="1277" w:type="dxa"/>
                  <w:vAlign w:val="top"/>
                </w:tcPr>
                <w:p>
                  <w:pPr>
                    <w:spacing w:line="376" w:lineRule="auto"/>
                    <w:rPr>
                      <w:rFonts w:ascii="Arial"/>
                      <w:sz w:val="21"/>
                    </w:rPr>
                  </w:pPr>
                </w:p>
                <w:p>
                  <w:pPr>
                    <w:spacing w:before="60" w:line="187" w:lineRule="auto"/>
                    <w:ind w:left="5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708" w:type="dxa"/>
                  <w:vMerge w:val="continue"/>
                  <w:tcBorders>
                    <w:top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859" w:type="dxa"/>
                  <w:vMerge w:val="continue"/>
                  <w:tcBorders>
                    <w:top w:val="nil"/>
                  </w:tcBorders>
                  <w:vAlign w:val="top"/>
                </w:tcPr>
                <w:p>
                  <w:pPr>
                    <w:rPr>
                      <w:rFonts w:ascii="Arial"/>
                      <w:sz w:val="21"/>
                    </w:rPr>
                  </w:pPr>
                </w:p>
              </w:tc>
              <w:tc>
                <w:tcPr>
                  <w:tcW w:w="19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1950" w:type="dxa"/>
                  <w:tcBorders>
                    <w:bottom w:val="nil"/>
                  </w:tcBorders>
                  <w:vAlign w:val="top"/>
                </w:tcPr>
                <w:p>
                  <w:pPr>
                    <w:spacing w:line="251" w:lineRule="auto"/>
                    <w:rPr>
                      <w:rFonts w:ascii="Arial"/>
                      <w:sz w:val="21"/>
                    </w:rPr>
                  </w:pPr>
                </w:p>
                <w:p>
                  <w:pPr>
                    <w:spacing w:line="252" w:lineRule="auto"/>
                    <w:rPr>
                      <w:rFonts w:ascii="Arial"/>
                      <w:sz w:val="21"/>
                    </w:rPr>
                  </w:pPr>
                </w:p>
                <w:p>
                  <w:pPr>
                    <w:pStyle w:val="6"/>
                    <w:spacing w:before="68" w:line="221" w:lineRule="auto"/>
                    <w:ind w:left="139"/>
                    <w:rPr>
                      <w:sz w:val="21"/>
                      <w:szCs w:val="21"/>
                    </w:rPr>
                  </w:pPr>
                  <w:r>
                    <w:rPr>
                      <w:spacing w:val="-1"/>
                      <w:sz w:val="21"/>
                      <w:szCs w:val="21"/>
                    </w:rPr>
                    <w:t>废弃油基钻井岩屑</w:t>
                  </w:r>
                </w:p>
              </w:tc>
              <w:tc>
                <w:tcPr>
                  <w:tcW w:w="1277" w:type="dxa"/>
                  <w:tcBorders>
                    <w:bottom w:val="nil"/>
                  </w:tcBorders>
                  <w:vAlign w:val="top"/>
                </w:tcPr>
                <w:p>
                  <w:pPr>
                    <w:spacing w:line="274" w:lineRule="auto"/>
                    <w:rPr>
                      <w:rFonts w:ascii="Arial"/>
                      <w:sz w:val="21"/>
                    </w:rPr>
                  </w:pPr>
                </w:p>
                <w:p>
                  <w:pPr>
                    <w:spacing w:line="275" w:lineRule="auto"/>
                    <w:rPr>
                      <w:rFonts w:ascii="Arial"/>
                      <w:sz w:val="21"/>
                    </w:rPr>
                  </w:pPr>
                </w:p>
                <w:p>
                  <w:pPr>
                    <w:spacing w:before="61"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25.65</w:t>
                  </w:r>
                </w:p>
              </w:tc>
              <w:tc>
                <w:tcPr>
                  <w:tcW w:w="708" w:type="dxa"/>
                  <w:tcBorders>
                    <w:bottom w:val="nil"/>
                  </w:tcBorders>
                  <w:vAlign w:val="top"/>
                </w:tcPr>
                <w:p>
                  <w:pPr>
                    <w:spacing w:line="367" w:lineRule="auto"/>
                    <w:rPr>
                      <w:rFonts w:ascii="Arial"/>
                      <w:sz w:val="21"/>
                    </w:rPr>
                  </w:pPr>
                </w:p>
                <w:p>
                  <w:pPr>
                    <w:pStyle w:val="6"/>
                    <w:spacing w:before="68" w:line="230" w:lineRule="auto"/>
                    <w:ind w:left="147" w:right="140" w:firstLine="3"/>
                    <w:rPr>
                      <w:sz w:val="21"/>
                      <w:szCs w:val="21"/>
                    </w:rPr>
                  </w:pPr>
                  <w:r>
                    <w:rPr>
                      <w:spacing w:val="-5"/>
                      <w:sz w:val="21"/>
                      <w:szCs w:val="21"/>
                    </w:rPr>
                    <w:t>危险</w:t>
                  </w:r>
                  <w:r>
                    <w:rPr>
                      <w:sz w:val="21"/>
                      <w:szCs w:val="21"/>
                    </w:rPr>
                    <w:t xml:space="preserve"> </w:t>
                  </w:r>
                  <w:r>
                    <w:rPr>
                      <w:spacing w:val="-3"/>
                      <w:sz w:val="21"/>
                      <w:szCs w:val="21"/>
                    </w:rPr>
                    <w:t>废物</w:t>
                  </w:r>
                </w:p>
              </w:tc>
              <w:tc>
                <w:tcPr>
                  <w:tcW w:w="1384" w:type="dxa"/>
                  <w:tcBorders>
                    <w:bottom w:val="nil"/>
                  </w:tcBorders>
                  <w:vAlign w:val="top"/>
                </w:tcPr>
                <w:p>
                  <w:pPr>
                    <w:pStyle w:val="6"/>
                    <w:spacing w:before="300" w:line="221" w:lineRule="auto"/>
                    <w:ind w:left="170"/>
                    <w:rPr>
                      <w:sz w:val="21"/>
                      <w:szCs w:val="21"/>
                    </w:rPr>
                  </w:pPr>
                  <w:r>
                    <w:rPr>
                      <w:spacing w:val="-1"/>
                      <w:sz w:val="21"/>
                      <w:szCs w:val="21"/>
                    </w:rPr>
                    <w:t>清洁生产平</w:t>
                  </w:r>
                </w:p>
                <w:p>
                  <w:pPr>
                    <w:pStyle w:val="6"/>
                    <w:spacing w:before="23" w:line="221" w:lineRule="auto"/>
                    <w:ind w:left="186"/>
                    <w:rPr>
                      <w:sz w:val="21"/>
                      <w:szCs w:val="21"/>
                    </w:rPr>
                  </w:pPr>
                  <w:r>
                    <w:rPr>
                      <w:spacing w:val="-5"/>
                      <w:sz w:val="21"/>
                      <w:szCs w:val="21"/>
                    </w:rPr>
                    <w:t>台岩屑堆放</w:t>
                  </w:r>
                </w:p>
                <w:p>
                  <w:pPr>
                    <w:pStyle w:val="6"/>
                    <w:spacing w:before="18" w:line="226" w:lineRule="auto"/>
                    <w:ind w:left="605"/>
                    <w:rPr>
                      <w:sz w:val="21"/>
                      <w:szCs w:val="21"/>
                    </w:rPr>
                  </w:pPr>
                  <w:r>
                    <w:rPr>
                      <w:sz w:val="21"/>
                      <w:szCs w:val="21"/>
                    </w:rPr>
                    <w:t>区</w:t>
                  </w:r>
                </w:p>
              </w:tc>
              <w:tc>
                <w:tcPr>
                  <w:tcW w:w="1859" w:type="dxa"/>
                  <w:tcBorders>
                    <w:bottom w:val="nil"/>
                  </w:tcBorders>
                  <w:vAlign w:val="top"/>
                </w:tcPr>
                <w:p>
                  <w:pPr>
                    <w:pStyle w:val="6"/>
                    <w:spacing w:before="31" w:line="232" w:lineRule="auto"/>
                    <w:ind w:left="113" w:right="115" w:firstLine="87"/>
                    <w:jc w:val="both"/>
                    <w:rPr>
                      <w:sz w:val="21"/>
                      <w:szCs w:val="21"/>
                    </w:rPr>
                  </w:pPr>
                  <w:r>
                    <w:rPr>
                      <w:spacing w:val="-3"/>
                      <w:sz w:val="21"/>
                      <w:szCs w:val="21"/>
                    </w:rPr>
                    <w:t xml:space="preserve">岩屑罐收集后暂 </w:t>
                  </w:r>
                  <w:r>
                    <w:rPr>
                      <w:spacing w:val="-7"/>
                      <w:sz w:val="21"/>
                      <w:szCs w:val="21"/>
                    </w:rPr>
                    <w:t>存于岩屑堆放区；</w:t>
                  </w:r>
                  <w:r>
                    <w:rPr>
                      <w:sz w:val="21"/>
                      <w:szCs w:val="21"/>
                    </w:rPr>
                    <w:t xml:space="preserve"> </w:t>
                  </w:r>
                  <w:r>
                    <w:rPr>
                      <w:spacing w:val="11"/>
                      <w:sz w:val="21"/>
                      <w:szCs w:val="21"/>
                    </w:rPr>
                    <w:t>岩屑堆放区按危</w:t>
                  </w:r>
                  <w:r>
                    <w:rPr>
                      <w:spacing w:val="4"/>
                      <w:sz w:val="21"/>
                      <w:szCs w:val="21"/>
                    </w:rPr>
                    <w:t xml:space="preserve"> </w:t>
                  </w:r>
                  <w:r>
                    <w:rPr>
                      <w:spacing w:val="11"/>
                      <w:sz w:val="21"/>
                      <w:szCs w:val="21"/>
                    </w:rPr>
                    <w:t>废贮存场地标准</w:t>
                  </w:r>
                  <w:r>
                    <w:rPr>
                      <w:spacing w:val="4"/>
                      <w:sz w:val="21"/>
                      <w:szCs w:val="21"/>
                    </w:rPr>
                    <w:t xml:space="preserve"> </w:t>
                  </w:r>
                  <w:r>
                    <w:rPr>
                      <w:spacing w:val="-7"/>
                      <w:sz w:val="21"/>
                      <w:szCs w:val="21"/>
                    </w:rPr>
                    <w:t>建设和使用管理；</w:t>
                  </w:r>
                </w:p>
              </w:tc>
              <w:tc>
                <w:tcPr>
                  <w:tcW w:w="1991" w:type="dxa"/>
                  <w:tcBorders>
                    <w:bottom w:val="nil"/>
                  </w:tcBorders>
                  <w:vAlign w:val="top"/>
                </w:tcPr>
                <w:p>
                  <w:pPr>
                    <w:pStyle w:val="6"/>
                    <w:spacing w:before="302" w:line="233" w:lineRule="auto"/>
                    <w:ind w:left="161" w:right="151" w:firstLine="1"/>
                    <w:jc w:val="both"/>
                    <w:rPr>
                      <w:sz w:val="21"/>
                      <w:szCs w:val="21"/>
                    </w:rPr>
                  </w:pPr>
                  <w:r>
                    <w:rPr>
                      <w:spacing w:val="-2"/>
                      <w:sz w:val="21"/>
                      <w:szCs w:val="21"/>
                    </w:rPr>
                    <w:t>分批分次外委交由</w:t>
                  </w:r>
                  <w:r>
                    <w:rPr>
                      <w:spacing w:val="6"/>
                      <w:sz w:val="21"/>
                      <w:szCs w:val="21"/>
                    </w:rPr>
                    <w:t xml:space="preserve"> </w:t>
                  </w:r>
                  <w:r>
                    <w:rPr>
                      <w:spacing w:val="-1"/>
                      <w:sz w:val="21"/>
                      <w:szCs w:val="21"/>
                    </w:rPr>
                    <w:t>有危废处置资质的</w:t>
                  </w:r>
                  <w:r>
                    <w:rPr>
                      <w:sz w:val="21"/>
                      <w:szCs w:val="21"/>
                    </w:rPr>
                    <w:t xml:space="preserve"> </w:t>
                  </w:r>
                  <w:r>
                    <w:rPr>
                      <w:spacing w:val="10"/>
                      <w:sz w:val="21"/>
                      <w:szCs w:val="21"/>
                    </w:rPr>
                    <w:t>单位妥善处置；</w:t>
                  </w:r>
                </w:p>
              </w:tc>
            </w:tr>
          </w:tbl>
          <w:p>
            <w:pPr>
              <w:spacing w:line="107" w:lineRule="auto"/>
              <w:rPr>
                <w:rFonts w:ascii="Arial"/>
                <w:sz w:val="2"/>
              </w:rPr>
            </w:pPr>
          </w:p>
        </w:tc>
      </w:tr>
    </w:tbl>
    <w:p>
      <w:pPr>
        <w:pStyle w:val="2"/>
        <w:rPr>
          <w:sz w:val="21"/>
        </w:rPr>
      </w:pPr>
    </w:p>
    <w:p>
      <w:pPr>
        <w:rPr>
          <w:sz w:val="21"/>
          <w:szCs w:val="21"/>
        </w:rPr>
        <w:sectPr>
          <w:footerReference r:id="rId114"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396"/>
        <w:gridCol w:w="1660"/>
        <w:gridCol w:w="1275"/>
        <w:gridCol w:w="707"/>
        <w:gridCol w:w="1383"/>
        <w:gridCol w:w="1857"/>
        <w:gridCol w:w="1985"/>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396" w:type="dxa"/>
            <w:tcBorders>
              <w:top w:val="single" w:color="000000" w:sz="6" w:space="0"/>
              <w:right w:val="nil"/>
            </w:tcBorders>
            <w:vAlign w:val="top"/>
          </w:tcPr>
          <w:p>
            <w:pPr>
              <w:rPr>
                <w:rFonts w:ascii="Arial"/>
                <w:sz w:val="21"/>
              </w:rPr>
            </w:pPr>
            <w:r>
              <w:pict>
                <v:rect id="_x0000_s1353" o:spid="_x0000_s1353" o:spt="1" style="position:absolute;left:0pt;margin-left:5.1pt;margin-top:1.4pt;height:27.3pt;width:0.5pt;mso-position-horizontal-relative:page;mso-position-vertical-relative:page;z-index:251890688;mso-width-relative:page;mso-height-relative:page;" fillcolor="#000000" filled="t" stroked="f" coordsize="21600,21600">
                  <v:path/>
                  <v:fill on="t" focussize="0,0"/>
                  <v:stroke on="f"/>
                  <v:imagedata o:title=""/>
                  <o:lock v:ext="edit"/>
                </v:rect>
              </w:pict>
            </w:r>
          </w:p>
        </w:tc>
        <w:tc>
          <w:tcPr>
            <w:tcW w:w="1660" w:type="dxa"/>
            <w:tcBorders>
              <w:top w:val="single" w:color="000000" w:sz="6" w:space="0"/>
              <w:left w:val="nil"/>
            </w:tcBorders>
            <w:vAlign w:val="top"/>
          </w:tcPr>
          <w:p>
            <w:pPr>
              <w:pStyle w:val="6"/>
              <w:spacing w:before="180" w:line="221" w:lineRule="auto"/>
              <w:ind w:left="272"/>
              <w:rPr>
                <w:sz w:val="21"/>
                <w:szCs w:val="21"/>
              </w:rPr>
            </w:pPr>
            <w:r>
              <w:rPr>
                <w:spacing w:val="-2"/>
                <w:sz w:val="21"/>
                <w:szCs w:val="21"/>
              </w:rPr>
              <w:t>生活垃圾</w:t>
            </w:r>
          </w:p>
        </w:tc>
        <w:tc>
          <w:tcPr>
            <w:tcW w:w="1275" w:type="dxa"/>
            <w:tcBorders>
              <w:top w:val="single" w:color="000000" w:sz="6" w:space="0"/>
            </w:tcBorders>
            <w:vAlign w:val="top"/>
          </w:tcPr>
          <w:p>
            <w:pPr>
              <w:spacing w:before="218"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3.6</w:t>
            </w:r>
          </w:p>
        </w:tc>
        <w:tc>
          <w:tcPr>
            <w:tcW w:w="707" w:type="dxa"/>
            <w:tcBorders>
              <w:top w:val="single" w:color="000000" w:sz="6" w:space="0"/>
            </w:tcBorders>
            <w:vAlign w:val="top"/>
          </w:tcPr>
          <w:p>
            <w:pPr>
              <w:pStyle w:val="6"/>
              <w:spacing w:before="43" w:line="224" w:lineRule="auto"/>
              <w:ind w:left="150" w:right="138"/>
              <w:rPr>
                <w:sz w:val="21"/>
                <w:szCs w:val="21"/>
              </w:rPr>
            </w:pPr>
            <w:r>
              <w:rPr>
                <w:spacing w:val="-4"/>
                <w:sz w:val="21"/>
                <w:szCs w:val="21"/>
              </w:rPr>
              <w:t>生活</w:t>
            </w:r>
            <w:r>
              <w:rPr>
                <w:sz w:val="21"/>
                <w:szCs w:val="21"/>
              </w:rPr>
              <w:t xml:space="preserve"> </w:t>
            </w:r>
            <w:r>
              <w:rPr>
                <w:spacing w:val="-4"/>
                <w:sz w:val="21"/>
                <w:szCs w:val="21"/>
              </w:rPr>
              <w:t>垃圾</w:t>
            </w:r>
          </w:p>
        </w:tc>
        <w:tc>
          <w:tcPr>
            <w:tcW w:w="1383" w:type="dxa"/>
            <w:tcBorders>
              <w:top w:val="single" w:color="000000" w:sz="6" w:space="0"/>
            </w:tcBorders>
            <w:vAlign w:val="top"/>
          </w:tcPr>
          <w:p>
            <w:pPr>
              <w:spacing w:before="215" w:line="233" w:lineRule="auto"/>
              <w:ind w:left="6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7" w:type="dxa"/>
            <w:tcBorders>
              <w:top w:val="single" w:color="000000" w:sz="6" w:space="0"/>
            </w:tcBorders>
            <w:vAlign w:val="top"/>
          </w:tcPr>
          <w:p>
            <w:pPr>
              <w:pStyle w:val="6"/>
              <w:spacing w:before="179" w:line="221" w:lineRule="auto"/>
              <w:ind w:left="412"/>
              <w:rPr>
                <w:sz w:val="21"/>
                <w:szCs w:val="21"/>
              </w:rPr>
            </w:pPr>
            <w:r>
              <w:rPr>
                <w:spacing w:val="-2"/>
                <w:sz w:val="21"/>
                <w:szCs w:val="21"/>
              </w:rPr>
              <w:t>垃圾箱收集</w:t>
            </w:r>
          </w:p>
        </w:tc>
        <w:tc>
          <w:tcPr>
            <w:tcW w:w="1985" w:type="dxa"/>
            <w:tcBorders>
              <w:top w:val="single" w:color="000000" w:sz="6" w:space="0"/>
              <w:right w:val="single" w:color="000000" w:sz="8" w:space="0"/>
            </w:tcBorders>
            <w:vAlign w:val="top"/>
          </w:tcPr>
          <w:p>
            <w:pPr>
              <w:pStyle w:val="6"/>
              <w:spacing w:before="43" w:line="224" w:lineRule="auto"/>
              <w:ind w:left="583" w:right="133" w:hanging="415"/>
              <w:rPr>
                <w:sz w:val="21"/>
                <w:szCs w:val="21"/>
              </w:rPr>
            </w:pPr>
            <w:r>
              <w:rPr>
                <w:spacing w:val="-2"/>
                <w:sz w:val="21"/>
                <w:szCs w:val="21"/>
              </w:rPr>
              <w:t>外运当地环卫部门</w:t>
            </w:r>
            <w:r>
              <w:rPr>
                <w:spacing w:val="5"/>
                <w:sz w:val="21"/>
                <w:szCs w:val="21"/>
              </w:rPr>
              <w:t xml:space="preserve"> </w:t>
            </w:r>
            <w:r>
              <w:rPr>
                <w:spacing w:val="-2"/>
                <w:sz w:val="21"/>
                <w:szCs w:val="21"/>
              </w:rPr>
              <w:t>集中处置</w:t>
            </w:r>
          </w:p>
        </w:tc>
        <w:tc>
          <w:tcPr>
            <w:tcW w:w="122"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7"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9385" w:type="dxa"/>
            <w:gridSpan w:val="8"/>
            <w:tcBorders>
              <w:bottom w:val="single" w:color="000000" w:sz="6" w:space="0"/>
              <w:right w:val="single" w:color="000000" w:sz="6" w:space="0"/>
            </w:tcBorders>
            <w:vAlign w:val="top"/>
          </w:tcPr>
          <w:p>
            <w:pPr>
              <w:pStyle w:val="6"/>
              <w:spacing w:before="179" w:line="369" w:lineRule="auto"/>
              <w:ind w:left="110" w:right="101" w:firstLine="478"/>
              <w:rPr>
                <w:sz w:val="24"/>
                <w:szCs w:val="24"/>
              </w:rPr>
            </w:pPr>
            <w:r>
              <w:rPr>
                <w:spacing w:val="-3"/>
                <w:sz w:val="24"/>
                <w:szCs w:val="24"/>
              </w:rPr>
              <w:t>根据《危险废物管理指南</w:t>
            </w:r>
            <w:r>
              <w:rPr>
                <w:spacing w:val="35"/>
                <w:sz w:val="24"/>
                <w:szCs w:val="24"/>
              </w:rPr>
              <w:t xml:space="preserve"> </w:t>
            </w:r>
            <w:r>
              <w:rPr>
                <w:spacing w:val="-3"/>
                <w:sz w:val="24"/>
                <w:szCs w:val="24"/>
              </w:rPr>
              <w:t>陆上石油天然气开采》《天然气开采含油污泥综</w:t>
            </w:r>
            <w:r>
              <w:rPr>
                <w:spacing w:val="-4"/>
                <w:sz w:val="24"/>
                <w:szCs w:val="24"/>
              </w:rPr>
              <w:t>合利用</w:t>
            </w:r>
            <w:r>
              <w:rPr>
                <w:sz w:val="24"/>
                <w:szCs w:val="24"/>
              </w:rPr>
              <w:t xml:space="preserve"> </w:t>
            </w:r>
            <w:r>
              <w:rPr>
                <w:spacing w:val="-2"/>
                <w:sz w:val="24"/>
                <w:szCs w:val="24"/>
              </w:rPr>
              <w:t>后剩余固相利用处置标准》（</w:t>
            </w:r>
            <w:r>
              <w:rPr>
                <w:rFonts w:ascii="Times New Roman" w:hAnsi="Times New Roman" w:eastAsia="Times New Roman" w:cs="Times New Roman"/>
                <w:spacing w:val="-2"/>
                <w:sz w:val="24"/>
                <w:szCs w:val="24"/>
              </w:rPr>
              <w:t>DB51/T2850-2021</w:t>
            </w:r>
            <w:r>
              <w:rPr>
                <w:spacing w:val="-3"/>
                <w:sz w:val="24"/>
                <w:szCs w:val="24"/>
              </w:rPr>
              <w:t>），</w:t>
            </w:r>
            <w:r>
              <w:rPr>
                <w:spacing w:val="-2"/>
                <w:sz w:val="24"/>
                <w:szCs w:val="24"/>
              </w:rPr>
              <w:t>同时参照</w:t>
            </w:r>
            <w:r>
              <w:rPr>
                <w:spacing w:val="-3"/>
                <w:sz w:val="24"/>
                <w:szCs w:val="24"/>
              </w:rPr>
              <w:t>《页岩气勘探开发油基岩屑</w:t>
            </w:r>
            <w:r>
              <w:rPr>
                <w:spacing w:val="1"/>
                <w:sz w:val="24"/>
                <w:szCs w:val="24"/>
              </w:rPr>
              <w:t xml:space="preserve"> </w:t>
            </w:r>
            <w:r>
              <w:rPr>
                <w:sz w:val="24"/>
                <w:szCs w:val="24"/>
              </w:rPr>
              <w:t>处理方法基控制指标》（</w:t>
            </w:r>
            <w:r>
              <w:rPr>
                <w:rFonts w:ascii="Times New Roman" w:hAnsi="Times New Roman" w:eastAsia="Times New Roman" w:cs="Times New Roman"/>
                <w:sz w:val="24"/>
                <w:szCs w:val="24"/>
              </w:rPr>
              <w:t>GB/T41518-2022</w:t>
            </w:r>
            <w:r>
              <w:rPr>
                <w:spacing w:val="7"/>
                <w:sz w:val="24"/>
                <w:szCs w:val="24"/>
              </w:rPr>
              <w:t>），</w:t>
            </w:r>
            <w:r>
              <w:rPr>
                <w:sz w:val="24"/>
                <w:szCs w:val="24"/>
              </w:rPr>
              <w:t>针对项目危险废物提出处置措施及环境管</w:t>
            </w:r>
          </w:p>
          <w:p>
            <w:pPr>
              <w:pStyle w:val="6"/>
              <w:spacing w:line="220" w:lineRule="auto"/>
              <w:ind w:left="111"/>
              <w:rPr>
                <w:sz w:val="24"/>
                <w:szCs w:val="24"/>
              </w:rPr>
            </w:pPr>
            <w:r>
              <w:rPr>
                <w:spacing w:val="-10"/>
                <w:sz w:val="24"/>
                <w:szCs w:val="24"/>
              </w:rPr>
              <w:t>理要求如下：</w:t>
            </w:r>
          </w:p>
          <w:p>
            <w:pPr>
              <w:pStyle w:val="6"/>
              <w:spacing w:before="194" w:line="369" w:lineRule="auto"/>
              <w:ind w:left="108" w:right="99" w:firstLine="478"/>
              <w:rPr>
                <w:sz w:val="24"/>
                <w:szCs w:val="24"/>
              </w:rPr>
            </w:pPr>
            <w:r>
              <w:rPr>
                <w:spacing w:val="1"/>
                <w:sz w:val="24"/>
                <w:szCs w:val="24"/>
              </w:rPr>
              <w:t>①收集：企业应采用清洁生产技术，从源头减少油基泥浆的用量和油基岩屑的产生</w:t>
            </w:r>
            <w:r>
              <w:rPr>
                <w:spacing w:val="2"/>
                <w:sz w:val="24"/>
                <w:szCs w:val="24"/>
              </w:rPr>
              <w:t xml:space="preserve"> </w:t>
            </w:r>
            <w:r>
              <w:rPr>
                <w:spacing w:val="1"/>
                <w:sz w:val="24"/>
                <w:szCs w:val="24"/>
              </w:rPr>
              <w:t>量；油基岩屑宜采用钢制容器或其他不宜被基础油腐蚀的容器进行收集；油基岩屑收集</w:t>
            </w:r>
          </w:p>
          <w:p>
            <w:pPr>
              <w:pStyle w:val="6"/>
              <w:spacing w:before="1" w:line="218" w:lineRule="auto"/>
              <w:ind w:left="126"/>
              <w:rPr>
                <w:sz w:val="24"/>
                <w:szCs w:val="24"/>
              </w:rPr>
            </w:pPr>
            <w:r>
              <w:rPr>
                <w:spacing w:val="-2"/>
                <w:sz w:val="24"/>
                <w:szCs w:val="24"/>
              </w:rPr>
              <w:t>区和临时贮存区应采取铺设防渗膜等防渗措施，避免油污</w:t>
            </w:r>
            <w:r>
              <w:rPr>
                <w:spacing w:val="-3"/>
                <w:sz w:val="24"/>
                <w:szCs w:val="24"/>
              </w:rPr>
              <w:t>落地等。</w:t>
            </w:r>
          </w:p>
          <w:p>
            <w:pPr>
              <w:pStyle w:val="6"/>
              <w:spacing w:before="196" w:line="217" w:lineRule="auto"/>
              <w:ind w:left="586"/>
              <w:rPr>
                <w:sz w:val="24"/>
                <w:szCs w:val="24"/>
              </w:rPr>
            </w:pPr>
            <w:r>
              <w:rPr>
                <w:spacing w:val="-2"/>
                <w:sz w:val="24"/>
                <w:szCs w:val="24"/>
              </w:rPr>
              <w:t>②运输：油基岩屑应采用密闭具有防渗漏措施的专用车辆运输。</w:t>
            </w:r>
          </w:p>
          <w:p>
            <w:pPr>
              <w:pStyle w:val="6"/>
              <w:spacing w:before="197" w:line="217" w:lineRule="auto"/>
              <w:ind w:left="586"/>
              <w:rPr>
                <w:sz w:val="24"/>
                <w:szCs w:val="24"/>
              </w:rPr>
            </w:pPr>
            <w:r>
              <w:rPr>
                <w:spacing w:val="-2"/>
                <w:sz w:val="24"/>
                <w:szCs w:val="24"/>
              </w:rPr>
              <w:t>③贮存：井场应设置临时贮存场，采取防渗、防雨、防流失措施。</w:t>
            </w:r>
          </w:p>
          <w:p>
            <w:pPr>
              <w:pStyle w:val="6"/>
              <w:spacing w:before="198" w:line="369" w:lineRule="auto"/>
              <w:ind w:left="109" w:right="103" w:firstLine="477"/>
              <w:rPr>
                <w:sz w:val="24"/>
                <w:szCs w:val="24"/>
              </w:rPr>
            </w:pPr>
            <w:r>
              <w:rPr>
                <w:spacing w:val="1"/>
                <w:sz w:val="24"/>
                <w:szCs w:val="24"/>
              </w:rPr>
              <w:t>④环境管理：油基岩屑产生单位、处理单位及资源化综合利用单位应建立环境保护</w:t>
            </w:r>
            <w:r>
              <w:rPr>
                <w:spacing w:val="7"/>
                <w:sz w:val="24"/>
                <w:szCs w:val="24"/>
              </w:rPr>
              <w:t xml:space="preserve"> </w:t>
            </w:r>
            <w:r>
              <w:rPr>
                <w:spacing w:val="-6"/>
                <w:sz w:val="24"/>
                <w:szCs w:val="24"/>
              </w:rPr>
              <w:t>管理责任制度， 设置环境保护部门及专（兼）职人员， 负责监督油基岩屑收集、运输、</w:t>
            </w:r>
            <w:r>
              <w:rPr>
                <w:spacing w:val="3"/>
                <w:sz w:val="24"/>
                <w:szCs w:val="24"/>
              </w:rPr>
              <w:t xml:space="preserve"> </w:t>
            </w:r>
            <w:r>
              <w:rPr>
                <w:spacing w:val="1"/>
                <w:sz w:val="24"/>
                <w:szCs w:val="24"/>
              </w:rPr>
              <w:t>贮存和处理、处置、资源化利用过程中的环境保护及相关管理工作。油基岩屑的产</w:t>
            </w:r>
            <w:r>
              <w:rPr>
                <w:sz w:val="24"/>
                <w:szCs w:val="24"/>
              </w:rPr>
              <w:t>生、</w:t>
            </w:r>
          </w:p>
          <w:p>
            <w:pPr>
              <w:pStyle w:val="6"/>
              <w:spacing w:before="1" w:line="219" w:lineRule="auto"/>
              <w:ind w:left="109"/>
              <w:rPr>
                <w:sz w:val="24"/>
                <w:szCs w:val="24"/>
              </w:rPr>
            </w:pPr>
            <w:r>
              <w:rPr>
                <w:spacing w:val="-3"/>
                <w:sz w:val="24"/>
                <w:szCs w:val="24"/>
              </w:rPr>
              <w:t>转运、处置及污染物排放监测记录应保存</w:t>
            </w:r>
            <w:r>
              <w:rPr>
                <w:spacing w:val="-20"/>
                <w:sz w:val="24"/>
                <w:szCs w:val="24"/>
              </w:rPr>
              <w:t xml:space="preserve"> </w:t>
            </w:r>
            <w:r>
              <w:rPr>
                <w:rFonts w:ascii="Times New Roman" w:hAnsi="Times New Roman" w:eastAsia="Times New Roman" w:cs="Times New Roman"/>
                <w:spacing w:val="-3"/>
                <w:sz w:val="24"/>
                <w:szCs w:val="24"/>
              </w:rPr>
              <w:t xml:space="preserve">10 </w:t>
            </w:r>
            <w:r>
              <w:rPr>
                <w:spacing w:val="-3"/>
                <w:sz w:val="24"/>
                <w:szCs w:val="24"/>
              </w:rPr>
              <w:t>年以上。</w:t>
            </w:r>
          </w:p>
          <w:p>
            <w:pPr>
              <w:pStyle w:val="6"/>
              <w:spacing w:before="197" w:line="369" w:lineRule="auto"/>
              <w:ind w:left="109" w:right="42" w:firstLine="478"/>
              <w:rPr>
                <w:sz w:val="24"/>
                <w:szCs w:val="24"/>
              </w:rPr>
            </w:pPr>
            <w:r>
              <w:rPr>
                <w:spacing w:val="1"/>
                <w:sz w:val="24"/>
                <w:szCs w:val="24"/>
              </w:rPr>
              <w:t>拟建项目返回地表的含屑钻井液经泥浆循环系统将脱出的油基泥浆全部回用于钻井 作业，剩余的油基岩屑经油基岩屑专用收集罐收集后暂存于清洁化操作平台岩屑堆放区</w:t>
            </w:r>
            <w:r>
              <w:rPr>
                <w:sz w:val="24"/>
                <w:szCs w:val="24"/>
              </w:rPr>
              <w:t xml:space="preserve"> </w:t>
            </w:r>
            <w:r>
              <w:rPr>
                <w:spacing w:val="-2"/>
                <w:sz w:val="24"/>
                <w:szCs w:val="24"/>
              </w:rPr>
              <w:t>（</w:t>
            </w:r>
            <w:r>
              <w:rPr>
                <w:rFonts w:ascii="Times New Roman" w:hAnsi="Times New Roman" w:eastAsia="Times New Roman" w:cs="Times New Roman"/>
                <w:spacing w:val="-2"/>
                <w:sz w:val="24"/>
                <w:szCs w:val="24"/>
              </w:rPr>
              <w:t>150m</w:t>
            </w:r>
            <w:r>
              <w:rPr>
                <w:rFonts w:ascii="Times New Roman" w:hAnsi="Times New Roman" w:eastAsia="Times New Roman" w:cs="Times New Roman"/>
                <w:spacing w:val="-2"/>
                <w:position w:val="9"/>
                <w:sz w:val="16"/>
                <w:szCs w:val="16"/>
              </w:rPr>
              <w:t xml:space="preserve">3 </w:t>
            </w:r>
            <w:r>
              <w:rPr>
                <w:spacing w:val="-3"/>
                <w:sz w:val="24"/>
                <w:szCs w:val="24"/>
              </w:rPr>
              <w:t>），</w:t>
            </w:r>
            <w:r>
              <w:rPr>
                <w:spacing w:val="-2"/>
                <w:sz w:val="24"/>
                <w:szCs w:val="24"/>
              </w:rPr>
              <w:t>岩屑堆放区采取“六防”（防风、防雨、防晒、防渗、防漏、防腐）措施。</w:t>
            </w:r>
            <w:r>
              <w:rPr>
                <w:spacing w:val="1"/>
                <w:sz w:val="24"/>
                <w:szCs w:val="24"/>
              </w:rPr>
              <w:t xml:space="preserve"> </w:t>
            </w:r>
            <w:r>
              <w:rPr>
                <w:spacing w:val="-2"/>
                <w:sz w:val="24"/>
                <w:szCs w:val="24"/>
              </w:rPr>
              <w:t>完钻后油基岩屑与废油一起交有资质单位处置， 危险废物的转运由内江瑞丰环</w:t>
            </w:r>
            <w:r>
              <w:rPr>
                <w:spacing w:val="-3"/>
                <w:sz w:val="24"/>
                <w:szCs w:val="24"/>
              </w:rPr>
              <w:t>保科技有</w:t>
            </w:r>
            <w:r>
              <w:rPr>
                <w:sz w:val="24"/>
                <w:szCs w:val="24"/>
              </w:rPr>
              <w:t xml:space="preserve"> </w:t>
            </w:r>
            <w:r>
              <w:rPr>
                <w:spacing w:val="-2"/>
                <w:sz w:val="24"/>
                <w:szCs w:val="24"/>
              </w:rPr>
              <w:t>限公司负责。拟建项目采取上述收集、运输、贮存及管理措施后， 危险废物对</w:t>
            </w:r>
            <w:r>
              <w:rPr>
                <w:spacing w:val="-3"/>
                <w:sz w:val="24"/>
                <w:szCs w:val="24"/>
              </w:rPr>
              <w:t>环境的影</w:t>
            </w:r>
          </w:p>
          <w:p>
            <w:pPr>
              <w:pStyle w:val="6"/>
              <w:spacing w:line="221" w:lineRule="auto"/>
              <w:ind w:left="120"/>
              <w:rPr>
                <w:sz w:val="24"/>
                <w:szCs w:val="24"/>
              </w:rPr>
            </w:pPr>
            <w:r>
              <w:rPr>
                <w:spacing w:val="-11"/>
                <w:sz w:val="24"/>
                <w:szCs w:val="24"/>
              </w:rPr>
              <w:t>响较小。</w:t>
            </w:r>
          </w:p>
          <w:p>
            <w:pPr>
              <w:pStyle w:val="6"/>
              <w:spacing w:before="225" w:line="220" w:lineRule="auto"/>
              <w:ind w:left="105"/>
              <w:rPr>
                <w:sz w:val="24"/>
                <w:szCs w:val="24"/>
              </w:rPr>
            </w:pPr>
            <w:r>
              <w:rPr>
                <w:rFonts w:ascii="Times New Roman" w:hAnsi="Times New Roman" w:eastAsia="Times New Roman" w:cs="Times New Roman"/>
                <w:b/>
                <w:bCs/>
                <w:sz w:val="24"/>
                <w:szCs w:val="24"/>
              </w:rPr>
              <w:t xml:space="preserve">4.3.5 </w:t>
            </w:r>
            <w:r>
              <w:rPr>
                <w:sz w:val="24"/>
                <w:szCs w:val="24"/>
                <w14:textOutline w14:w="4354" w14:cap="flat" w14:cmpd="sng">
                  <w14:solidFill>
                    <w14:srgbClr w14:val="000000"/>
                  </w14:solidFill>
                  <w14:prstDash w14:val="solid"/>
                  <w14:miter w14:val="10"/>
                </w14:textOutline>
              </w:rPr>
              <w:t>热辐射影响分析</w:t>
            </w:r>
          </w:p>
          <w:p>
            <w:pPr>
              <w:pStyle w:val="6"/>
              <w:spacing w:before="202" w:line="480" w:lineRule="exact"/>
              <w:ind w:left="589"/>
              <w:rPr>
                <w:sz w:val="24"/>
                <w:szCs w:val="24"/>
              </w:rPr>
            </w:pPr>
            <w:r>
              <w:rPr>
                <w:spacing w:val="1"/>
                <w:position w:val="18"/>
                <w:sz w:val="24"/>
                <w:szCs w:val="24"/>
              </w:rPr>
              <w:t>测试放喷为地面火炬，形成喷射火，天然气热值：</w:t>
            </w:r>
            <w:r>
              <w:rPr>
                <w:rFonts w:ascii="Times New Roman" w:hAnsi="Times New Roman" w:eastAsia="Times New Roman" w:cs="Times New Roman"/>
                <w:spacing w:val="1"/>
                <w:position w:val="18"/>
                <w:sz w:val="24"/>
                <w:szCs w:val="24"/>
              </w:rPr>
              <w:t>35588</w:t>
            </w:r>
            <w:r>
              <w:rPr>
                <w:rFonts w:ascii="Times New Roman" w:hAnsi="Times New Roman" w:eastAsia="Times New Roman" w:cs="Times New Roman"/>
                <w:position w:val="18"/>
                <w:sz w:val="24"/>
                <w:szCs w:val="24"/>
              </w:rPr>
              <w:t>kJ</w:t>
            </w:r>
            <w:r>
              <w:rPr>
                <w:rFonts w:ascii="Times New Roman" w:hAnsi="Times New Roman" w:eastAsia="Times New Roman" w:cs="Times New Roman"/>
                <w:spacing w:val="1"/>
                <w:position w:val="18"/>
                <w:sz w:val="24"/>
                <w:szCs w:val="24"/>
              </w:rPr>
              <w:t>/m</w:t>
            </w:r>
            <w:r>
              <w:rPr>
                <w:rFonts w:ascii="Times New Roman" w:hAnsi="Times New Roman" w:eastAsia="Times New Roman" w:cs="Times New Roman"/>
                <w:spacing w:val="1"/>
                <w:position w:val="27"/>
                <w:sz w:val="16"/>
                <w:szCs w:val="16"/>
              </w:rPr>
              <w:t>3</w:t>
            </w:r>
            <w:r>
              <w:rPr>
                <w:rFonts w:ascii="Times New Roman" w:hAnsi="Times New Roman" w:eastAsia="Times New Roman" w:cs="Times New Roman"/>
                <w:spacing w:val="7"/>
                <w:position w:val="27"/>
                <w:sz w:val="16"/>
                <w:szCs w:val="16"/>
              </w:rPr>
              <w:t xml:space="preserve"> </w:t>
            </w:r>
            <w:r>
              <w:rPr>
                <w:spacing w:val="1"/>
                <w:position w:val="18"/>
                <w:sz w:val="24"/>
                <w:szCs w:val="24"/>
              </w:rPr>
              <w:t>，测试放喷天然气质</w:t>
            </w:r>
          </w:p>
          <w:p>
            <w:pPr>
              <w:pStyle w:val="6"/>
              <w:spacing w:before="1" w:line="233" w:lineRule="auto"/>
              <w:ind w:left="108"/>
              <w:rPr>
                <w:sz w:val="24"/>
                <w:szCs w:val="24"/>
              </w:rPr>
            </w:pPr>
            <w:r>
              <w:rPr>
                <w:spacing w:val="-5"/>
                <w:sz w:val="24"/>
                <w:szCs w:val="24"/>
              </w:rPr>
              <w:t>量流速为：</w:t>
            </w:r>
            <w:r>
              <w:rPr>
                <w:spacing w:val="28"/>
                <w:sz w:val="24"/>
                <w:szCs w:val="24"/>
              </w:rPr>
              <w:t xml:space="preserve"> </w:t>
            </w:r>
            <w:r>
              <w:rPr>
                <w:rFonts w:ascii="Times New Roman" w:hAnsi="Times New Roman" w:eastAsia="Times New Roman" w:cs="Times New Roman"/>
                <w:spacing w:val="-5"/>
                <w:sz w:val="24"/>
                <w:szCs w:val="24"/>
              </w:rPr>
              <w:t>3.77m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5"/>
                <w:sz w:val="24"/>
                <w:szCs w:val="24"/>
              </w:rPr>
              <w:t>/s</w:t>
            </w:r>
            <w:r>
              <w:rPr>
                <w:spacing w:val="-5"/>
                <w:sz w:val="24"/>
                <w:szCs w:val="24"/>
              </w:rPr>
              <w:t>，属于短期排放，且逸散较快，对周围环</w:t>
            </w:r>
            <w:r>
              <w:rPr>
                <w:spacing w:val="-6"/>
                <w:sz w:val="24"/>
                <w:szCs w:val="24"/>
              </w:rPr>
              <w:t>境影响较小。</w:t>
            </w:r>
          </w:p>
          <w:p>
            <w:pPr>
              <w:pStyle w:val="6"/>
              <w:spacing w:before="210" w:line="488" w:lineRule="exact"/>
              <w:ind w:left="105"/>
              <w:rPr>
                <w:sz w:val="24"/>
                <w:szCs w:val="24"/>
              </w:rPr>
            </w:pPr>
            <w:r>
              <w:rPr>
                <w:rFonts w:ascii="Times New Roman" w:hAnsi="Times New Roman" w:eastAsia="Times New Roman" w:cs="Times New Roman"/>
                <w:b/>
                <w:bCs/>
                <w:position w:val="18"/>
                <w:sz w:val="24"/>
                <w:szCs w:val="24"/>
              </w:rPr>
              <w:t xml:space="preserve">4.3.6 </w:t>
            </w:r>
            <w:r>
              <w:rPr>
                <w:position w:val="18"/>
                <w:sz w:val="24"/>
                <w:szCs w:val="24"/>
                <w14:textOutline w14:w="4354" w14:cap="flat" w14:cmpd="sng">
                  <w14:solidFill>
                    <w14:srgbClr w14:val="000000"/>
                  </w14:solidFill>
                  <w14:prstDash w14:val="solid"/>
                  <w14:miter w14:val="10"/>
                </w14:textOutline>
              </w:rPr>
              <w:t>土壤环境影响分析</w:t>
            </w:r>
          </w:p>
          <w:p>
            <w:pPr>
              <w:pStyle w:val="6"/>
              <w:spacing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）钻前工程</w:t>
            </w:r>
          </w:p>
          <w:p>
            <w:pPr>
              <w:pStyle w:val="6"/>
              <w:spacing w:before="194" w:line="369" w:lineRule="auto"/>
              <w:ind w:left="116" w:right="112" w:firstLine="471"/>
              <w:rPr>
                <w:sz w:val="24"/>
                <w:szCs w:val="24"/>
              </w:rPr>
            </w:pPr>
            <w:r>
              <w:rPr>
                <w:spacing w:val="1"/>
                <w:sz w:val="24"/>
                <w:szCs w:val="24"/>
              </w:rPr>
              <w:t>钻前施工期土壤环境影响主要包括挖填方、机械碾压等活动影响土壤的理化</w:t>
            </w:r>
            <w:r>
              <w:rPr>
                <w:sz w:val="24"/>
                <w:szCs w:val="24"/>
              </w:rPr>
              <w:t xml:space="preserve">性质： </w:t>
            </w:r>
            <w:r>
              <w:rPr>
                <w:spacing w:val="-2"/>
                <w:sz w:val="24"/>
                <w:szCs w:val="24"/>
              </w:rPr>
              <w:t>改变土壤的孔隙度、含水率、饱和导水率等；另</w:t>
            </w:r>
            <w:r>
              <w:rPr>
                <w:spacing w:val="-3"/>
                <w:sz w:val="24"/>
                <w:szCs w:val="24"/>
              </w:rPr>
              <w:t>外，施工机械跑冒滴漏的少量废油， 通</w:t>
            </w:r>
          </w:p>
          <w:p>
            <w:pPr>
              <w:pStyle w:val="6"/>
              <w:spacing w:before="1" w:line="218" w:lineRule="auto"/>
              <w:ind w:left="109"/>
              <w:rPr>
                <w:sz w:val="24"/>
                <w:szCs w:val="24"/>
              </w:rPr>
            </w:pPr>
            <w:r>
              <w:rPr>
                <w:spacing w:val="-3"/>
                <w:sz w:val="24"/>
                <w:szCs w:val="24"/>
              </w:rPr>
              <w:t>过垂直入渗途会发生局部土壤污染。</w:t>
            </w:r>
          </w:p>
        </w:tc>
      </w:tr>
    </w:tbl>
    <w:p>
      <w:pPr>
        <w:pStyle w:val="2"/>
        <w:rPr>
          <w:sz w:val="21"/>
        </w:rPr>
      </w:pPr>
    </w:p>
    <w:p>
      <w:pPr>
        <w:rPr>
          <w:sz w:val="21"/>
          <w:szCs w:val="21"/>
        </w:rPr>
        <w:sectPr>
          <w:footerReference r:id="rId115"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1"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3" w:line="369" w:lineRule="auto"/>
              <w:ind w:left="107" w:right="36" w:firstLine="480"/>
              <w:rPr>
                <w:sz w:val="24"/>
                <w:szCs w:val="24"/>
              </w:rPr>
            </w:pPr>
            <w:r>
              <w:rPr>
                <w:spacing w:val="1"/>
                <w:sz w:val="24"/>
                <w:szCs w:val="24"/>
              </w:rPr>
              <w:t>钻前工程为临时占地，施工扰动、开挖、堆存的土壤，在钻井施工结束后，将进行</w:t>
            </w:r>
            <w:r>
              <w:rPr>
                <w:spacing w:val="3"/>
                <w:sz w:val="24"/>
                <w:szCs w:val="24"/>
              </w:rPr>
              <w:t xml:space="preserve"> </w:t>
            </w:r>
            <w:r>
              <w:rPr>
                <w:spacing w:val="1"/>
                <w:sz w:val="24"/>
                <w:szCs w:val="24"/>
              </w:rPr>
              <w:t>土地复垦，对各类池体进行回填，对池体表层进行覆土并种植浅根植物，随着时间的推</w:t>
            </w:r>
            <w:r>
              <w:rPr>
                <w:spacing w:val="2"/>
                <w:sz w:val="24"/>
                <w:szCs w:val="24"/>
              </w:rPr>
              <w:t xml:space="preserve"> </w:t>
            </w:r>
            <w:r>
              <w:rPr>
                <w:spacing w:val="1"/>
                <w:sz w:val="24"/>
                <w:szCs w:val="24"/>
              </w:rPr>
              <w:t>移，前期扰动的土壤，其理化性质将得到逐渐恢复；而机械设备跑冒滴漏的少量废油，</w:t>
            </w:r>
            <w:r>
              <w:rPr>
                <w:sz w:val="24"/>
                <w:szCs w:val="24"/>
              </w:rPr>
              <w:t xml:space="preserve"> </w:t>
            </w:r>
            <w:r>
              <w:rPr>
                <w:spacing w:val="-16"/>
                <w:sz w:val="24"/>
                <w:szCs w:val="24"/>
              </w:rPr>
              <w:t>由于其排放量极少，</w:t>
            </w:r>
            <w:r>
              <w:rPr>
                <w:spacing w:val="45"/>
                <w:sz w:val="24"/>
                <w:szCs w:val="24"/>
              </w:rPr>
              <w:t xml:space="preserve"> </w:t>
            </w:r>
            <w:r>
              <w:rPr>
                <w:spacing w:val="-16"/>
                <w:sz w:val="24"/>
                <w:szCs w:val="24"/>
              </w:rPr>
              <w:t>故其污染的土壤面积较小，</w:t>
            </w:r>
            <w:r>
              <w:rPr>
                <w:spacing w:val="43"/>
                <w:sz w:val="24"/>
                <w:szCs w:val="24"/>
              </w:rPr>
              <w:t xml:space="preserve"> </w:t>
            </w:r>
            <w:r>
              <w:rPr>
                <w:spacing w:val="-16"/>
                <w:sz w:val="24"/>
                <w:szCs w:val="24"/>
              </w:rPr>
              <w:t>污染深度较浅，</w:t>
            </w:r>
            <w:r>
              <w:rPr>
                <w:spacing w:val="54"/>
                <w:sz w:val="24"/>
                <w:szCs w:val="24"/>
              </w:rPr>
              <w:t xml:space="preserve"> </w:t>
            </w:r>
            <w:r>
              <w:rPr>
                <w:spacing w:val="-16"/>
                <w:sz w:val="24"/>
                <w:szCs w:val="24"/>
              </w:rPr>
              <w:t>随着</w:t>
            </w:r>
            <w:r>
              <w:rPr>
                <w:spacing w:val="-17"/>
                <w:sz w:val="24"/>
                <w:szCs w:val="24"/>
              </w:rPr>
              <w:t>土壤的回填和混合，</w:t>
            </w:r>
            <w:r>
              <w:rPr>
                <w:sz w:val="24"/>
                <w:szCs w:val="24"/>
              </w:rPr>
              <w:t xml:space="preserve"> </w:t>
            </w:r>
            <w:r>
              <w:rPr>
                <w:spacing w:val="1"/>
                <w:sz w:val="24"/>
                <w:szCs w:val="24"/>
              </w:rPr>
              <w:t>对土壤环境的影响微乎其微，不会影响土壤肥力，且石油烃类具有可降解性和挥发性，</w:t>
            </w:r>
          </w:p>
          <w:p>
            <w:pPr>
              <w:pStyle w:val="6"/>
              <w:spacing w:before="1" w:line="218" w:lineRule="auto"/>
              <w:ind w:left="121"/>
              <w:rPr>
                <w:sz w:val="24"/>
                <w:szCs w:val="24"/>
              </w:rPr>
            </w:pPr>
            <w:r>
              <w:rPr>
                <w:spacing w:val="-3"/>
                <w:sz w:val="24"/>
                <w:szCs w:val="24"/>
              </w:rPr>
              <w:t>随着时间的推移，会在土壤中逐步分解或挥发。</w:t>
            </w:r>
          </w:p>
          <w:p>
            <w:pPr>
              <w:pStyle w:val="6"/>
              <w:spacing w:before="195" w:line="219" w:lineRule="auto"/>
              <w:ind w:left="607"/>
              <w:rPr>
                <w:sz w:val="24"/>
                <w:szCs w:val="24"/>
              </w:rPr>
            </w:pPr>
            <w:r>
              <w:rPr>
                <w:spacing w:val="-3"/>
                <w:sz w:val="24"/>
                <w:szCs w:val="24"/>
              </w:rPr>
              <w:t>因此，拟建项目钻前施工对区域土壤环境的影响较小。</w:t>
            </w:r>
          </w:p>
          <w:p>
            <w:pPr>
              <w:pStyle w:val="6"/>
              <w:spacing w:before="195"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2</w:t>
            </w:r>
            <w:r>
              <w:rPr>
                <w:spacing w:val="-3"/>
                <w:sz w:val="24"/>
                <w:szCs w:val="24"/>
                <w14:textOutline w14:w="4354" w14:cap="flat" w14:cmpd="sng">
                  <w14:solidFill>
                    <w14:srgbClr w14:val="000000"/>
                  </w14:solidFill>
                  <w14:prstDash w14:val="solid"/>
                  <w14:miter w14:val="10"/>
                </w14:textOutline>
              </w:rPr>
              <w:t>）钻井工程</w:t>
            </w:r>
          </w:p>
          <w:p>
            <w:pPr>
              <w:pStyle w:val="6"/>
              <w:spacing w:before="195" w:line="369" w:lineRule="auto"/>
              <w:ind w:left="111" w:right="102" w:firstLine="480"/>
              <w:jc w:val="both"/>
              <w:rPr>
                <w:sz w:val="24"/>
                <w:szCs w:val="24"/>
              </w:rPr>
            </w:pPr>
            <w:r>
              <w:rPr>
                <w:spacing w:val="1"/>
                <w:sz w:val="24"/>
                <w:szCs w:val="24"/>
              </w:rPr>
              <w:t>项目钻井工程对土壤的影响主要有两方面，一是工程排放的污染物对土壤质地</w:t>
            </w:r>
            <w:r>
              <w:rPr>
                <w:sz w:val="24"/>
                <w:szCs w:val="24"/>
              </w:rPr>
              <w:t xml:space="preserve">性状 </w:t>
            </w:r>
            <w:r>
              <w:rPr>
                <w:spacing w:val="-5"/>
                <w:sz w:val="24"/>
                <w:szCs w:val="24"/>
              </w:rPr>
              <w:t xml:space="preserve">的影响， 对土壤的污染主要是落地油污、钻井液等泄漏后可能导致土壤污染； </w:t>
            </w:r>
            <w:r>
              <w:rPr>
                <w:spacing w:val="-6"/>
                <w:sz w:val="24"/>
                <w:szCs w:val="24"/>
              </w:rPr>
              <w:t>二是工程</w:t>
            </w:r>
            <w:r>
              <w:rPr>
                <w:sz w:val="24"/>
                <w:szCs w:val="24"/>
              </w:rPr>
              <w:t xml:space="preserve"> </w:t>
            </w:r>
            <w:r>
              <w:rPr>
                <w:spacing w:val="-5"/>
                <w:sz w:val="24"/>
                <w:szCs w:val="24"/>
              </w:rPr>
              <w:t>建设钻井和地面工程建设的开挖、填埋对土壤结构的破坏，  挖掘、碾压、践踏及堆积物</w:t>
            </w:r>
          </w:p>
          <w:p>
            <w:pPr>
              <w:pStyle w:val="6"/>
              <w:spacing w:before="1" w:line="218" w:lineRule="auto"/>
              <w:jc w:val="right"/>
              <w:rPr>
                <w:sz w:val="24"/>
                <w:szCs w:val="24"/>
              </w:rPr>
            </w:pPr>
            <w:r>
              <w:rPr>
                <w:spacing w:val="-7"/>
                <w:sz w:val="24"/>
                <w:szCs w:val="24"/>
              </w:rPr>
              <w:t>等均会使土壤结构破坏，</w:t>
            </w:r>
            <w:r>
              <w:rPr>
                <w:spacing w:val="68"/>
                <w:sz w:val="24"/>
                <w:szCs w:val="24"/>
              </w:rPr>
              <w:t xml:space="preserve"> </w:t>
            </w:r>
            <w:r>
              <w:rPr>
                <w:spacing w:val="-7"/>
                <w:sz w:val="24"/>
                <w:szCs w:val="24"/>
              </w:rPr>
              <w:t>土壤生产力下降。土壤环境影响类型与影响途径表见表</w:t>
            </w:r>
            <w:r>
              <w:rPr>
                <w:spacing w:val="-55"/>
                <w:sz w:val="24"/>
                <w:szCs w:val="24"/>
              </w:rPr>
              <w:t xml:space="preserve"> </w:t>
            </w:r>
            <w:r>
              <w:rPr>
                <w:rFonts w:ascii="Times New Roman" w:hAnsi="Times New Roman" w:eastAsia="Times New Roman" w:cs="Times New Roman"/>
                <w:spacing w:val="-7"/>
                <w:sz w:val="24"/>
                <w:szCs w:val="24"/>
              </w:rPr>
              <w:t>4.3-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15</w:t>
            </w:r>
            <w:r>
              <w:rPr>
                <w:spacing w:val="-7"/>
                <w:sz w:val="24"/>
                <w:szCs w:val="24"/>
              </w:rPr>
              <w:t>。</w:t>
            </w:r>
          </w:p>
          <w:p>
            <w:pPr>
              <w:pStyle w:val="6"/>
              <w:spacing w:before="195" w:line="219" w:lineRule="auto"/>
              <w:ind w:left="2185"/>
              <w:rPr>
                <w:sz w:val="24"/>
                <w:szCs w:val="24"/>
              </w:rPr>
            </w:pPr>
            <w:r>
              <w:rPr>
                <w:sz w:val="24"/>
                <w:szCs w:val="24"/>
                <w14:textOutline w14:w="4354" w14:cap="flat" w14:cmpd="sng">
                  <w14:solidFill>
                    <w14:srgbClr w14:val="000000"/>
                  </w14:solidFill>
                  <w14:prstDash w14:val="solid"/>
                  <w14:miter w14:val="10"/>
                </w14:textOutline>
              </w:rPr>
              <w:t>表</w:t>
            </w:r>
            <w:r>
              <w:rPr>
                <w:spacing w:val="-52"/>
                <w:sz w:val="24"/>
                <w:szCs w:val="24"/>
              </w:rPr>
              <w:t xml:space="preserve"> </w:t>
            </w:r>
            <w:r>
              <w:rPr>
                <w:rFonts w:ascii="Times New Roman" w:hAnsi="Times New Roman" w:eastAsia="Times New Roman" w:cs="Times New Roman"/>
                <w:b/>
                <w:bCs/>
                <w:sz w:val="24"/>
                <w:szCs w:val="24"/>
              </w:rPr>
              <w:t xml:space="preserve">4.3-15    </w:t>
            </w:r>
            <w:r>
              <w:rPr>
                <w:sz w:val="24"/>
                <w:szCs w:val="24"/>
                <w14:textOutline w14:w="4354" w14:cap="flat" w14:cmpd="sng">
                  <w14:solidFill>
                    <w14:srgbClr w14:val="000000"/>
                  </w14:solidFill>
                  <w14:prstDash w14:val="solid"/>
                  <w14:miter w14:val="10"/>
                </w14:textOutline>
              </w:rPr>
              <w:t>拟建工程土壤环境影响类型与</w:t>
            </w:r>
            <w:r>
              <w:rPr>
                <w:spacing w:val="-1"/>
                <w:sz w:val="24"/>
                <w:szCs w:val="24"/>
                <w14:textOutline w14:w="4354" w14:cap="flat" w14:cmpd="sng">
                  <w14:solidFill>
                    <w14:srgbClr w14:val="000000"/>
                  </w14:solidFill>
                  <w14:prstDash w14:val="solid"/>
                  <w14:miter w14:val="10"/>
                </w14:textOutline>
              </w:rPr>
              <w:t>途径表</w:t>
            </w:r>
          </w:p>
          <w:p>
            <w:pPr>
              <w:spacing w:line="18" w:lineRule="exact"/>
            </w:pPr>
          </w:p>
          <w:tbl>
            <w:tblPr>
              <w:tblStyle w:val="5"/>
              <w:tblW w:w="916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2"/>
              <w:gridCol w:w="1156"/>
              <w:gridCol w:w="1111"/>
              <w:gridCol w:w="1135"/>
              <w:gridCol w:w="991"/>
              <w:gridCol w:w="851"/>
              <w:gridCol w:w="991"/>
              <w:gridCol w:w="850"/>
              <w:gridCol w:w="8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42" w:type="dxa"/>
                  <w:vMerge w:val="restart"/>
                  <w:tcBorders>
                    <w:bottom w:val="nil"/>
                  </w:tcBorders>
                  <w:vAlign w:val="top"/>
                </w:tcPr>
                <w:p>
                  <w:pPr>
                    <w:pStyle w:val="6"/>
                    <w:spacing w:before="243" w:line="222" w:lineRule="auto"/>
                    <w:ind w:left="428"/>
                    <w:rPr>
                      <w:sz w:val="21"/>
                      <w:szCs w:val="21"/>
                    </w:rPr>
                  </w:pPr>
                  <w:r>
                    <w:rPr>
                      <w:spacing w:val="-4"/>
                      <w:sz w:val="21"/>
                      <w:szCs w:val="21"/>
                    </w:rPr>
                    <w:t>时段</w:t>
                  </w:r>
                </w:p>
              </w:tc>
              <w:tc>
                <w:tcPr>
                  <w:tcW w:w="4393" w:type="dxa"/>
                  <w:gridSpan w:val="4"/>
                  <w:vAlign w:val="top"/>
                </w:tcPr>
                <w:p>
                  <w:pPr>
                    <w:pStyle w:val="6"/>
                    <w:spacing w:before="68" w:line="221" w:lineRule="auto"/>
                    <w:ind w:left="1677"/>
                    <w:rPr>
                      <w:sz w:val="21"/>
                      <w:szCs w:val="21"/>
                    </w:rPr>
                  </w:pPr>
                  <w:r>
                    <w:rPr>
                      <w:spacing w:val="-2"/>
                      <w:sz w:val="21"/>
                      <w:szCs w:val="21"/>
                    </w:rPr>
                    <w:t>污染影响型</w:t>
                  </w:r>
                </w:p>
              </w:tc>
              <w:tc>
                <w:tcPr>
                  <w:tcW w:w="3531" w:type="dxa"/>
                  <w:gridSpan w:val="4"/>
                  <w:vAlign w:val="top"/>
                </w:tcPr>
                <w:p>
                  <w:pPr>
                    <w:pStyle w:val="6"/>
                    <w:spacing w:before="67" w:line="223" w:lineRule="auto"/>
                    <w:ind w:left="1246"/>
                    <w:rPr>
                      <w:sz w:val="21"/>
                      <w:szCs w:val="21"/>
                    </w:rPr>
                  </w:pPr>
                  <w:r>
                    <w:rPr>
                      <w:spacing w:val="-2"/>
                      <w:sz w:val="21"/>
                      <w:szCs w:val="21"/>
                    </w:rPr>
                    <w:t>生态影响型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42" w:type="dxa"/>
                  <w:vMerge w:val="continue"/>
                  <w:tcBorders>
                    <w:top w:val="nil"/>
                  </w:tcBorders>
                  <w:vAlign w:val="top"/>
                </w:tcPr>
                <w:p>
                  <w:pPr>
                    <w:rPr>
                      <w:rFonts w:ascii="Arial"/>
                      <w:sz w:val="21"/>
                    </w:rPr>
                  </w:pPr>
                </w:p>
              </w:tc>
              <w:tc>
                <w:tcPr>
                  <w:tcW w:w="1156" w:type="dxa"/>
                  <w:vAlign w:val="top"/>
                </w:tcPr>
                <w:p>
                  <w:pPr>
                    <w:pStyle w:val="6"/>
                    <w:spacing w:before="64" w:line="221" w:lineRule="auto"/>
                    <w:ind w:left="165"/>
                    <w:rPr>
                      <w:sz w:val="21"/>
                      <w:szCs w:val="21"/>
                    </w:rPr>
                  </w:pPr>
                  <w:r>
                    <w:rPr>
                      <w:spacing w:val="-2"/>
                      <w:sz w:val="21"/>
                      <w:szCs w:val="21"/>
                    </w:rPr>
                    <w:t>大气沉降</w:t>
                  </w:r>
                </w:p>
              </w:tc>
              <w:tc>
                <w:tcPr>
                  <w:tcW w:w="1111" w:type="dxa"/>
                  <w:vAlign w:val="top"/>
                </w:tcPr>
                <w:p>
                  <w:pPr>
                    <w:pStyle w:val="6"/>
                    <w:spacing w:before="65" w:line="221" w:lineRule="auto"/>
                    <w:ind w:left="140"/>
                    <w:rPr>
                      <w:sz w:val="21"/>
                      <w:szCs w:val="21"/>
                    </w:rPr>
                  </w:pPr>
                  <w:r>
                    <w:rPr>
                      <w:spacing w:val="-2"/>
                      <w:sz w:val="21"/>
                      <w:szCs w:val="21"/>
                    </w:rPr>
                    <w:t>地面漫流</w:t>
                  </w:r>
                </w:p>
              </w:tc>
              <w:tc>
                <w:tcPr>
                  <w:tcW w:w="1135" w:type="dxa"/>
                  <w:vAlign w:val="top"/>
                </w:tcPr>
                <w:p>
                  <w:pPr>
                    <w:pStyle w:val="6"/>
                    <w:spacing w:before="65" w:line="221" w:lineRule="auto"/>
                    <w:ind w:left="153"/>
                    <w:rPr>
                      <w:sz w:val="21"/>
                      <w:szCs w:val="21"/>
                    </w:rPr>
                  </w:pPr>
                  <w:r>
                    <w:rPr>
                      <w:spacing w:val="-2"/>
                      <w:sz w:val="21"/>
                      <w:szCs w:val="21"/>
                    </w:rPr>
                    <w:t>垂直入渗</w:t>
                  </w:r>
                </w:p>
              </w:tc>
              <w:tc>
                <w:tcPr>
                  <w:tcW w:w="991" w:type="dxa"/>
                  <w:vAlign w:val="top"/>
                </w:tcPr>
                <w:p>
                  <w:pPr>
                    <w:pStyle w:val="6"/>
                    <w:spacing w:before="65" w:line="221" w:lineRule="auto"/>
                    <w:ind w:left="292"/>
                    <w:rPr>
                      <w:sz w:val="21"/>
                      <w:szCs w:val="21"/>
                    </w:rPr>
                  </w:pPr>
                  <w:r>
                    <w:rPr>
                      <w:spacing w:val="-2"/>
                      <w:sz w:val="21"/>
                      <w:szCs w:val="21"/>
                    </w:rPr>
                    <w:t>其他</w:t>
                  </w:r>
                </w:p>
              </w:tc>
              <w:tc>
                <w:tcPr>
                  <w:tcW w:w="851" w:type="dxa"/>
                  <w:vAlign w:val="top"/>
                </w:tcPr>
                <w:p>
                  <w:pPr>
                    <w:pStyle w:val="6"/>
                    <w:spacing w:before="65" w:line="222" w:lineRule="auto"/>
                    <w:ind w:left="224"/>
                    <w:rPr>
                      <w:sz w:val="21"/>
                      <w:szCs w:val="21"/>
                    </w:rPr>
                  </w:pPr>
                  <w:r>
                    <w:rPr>
                      <w:spacing w:val="-2"/>
                      <w:sz w:val="21"/>
                      <w:szCs w:val="21"/>
                    </w:rPr>
                    <w:t>盐化</w:t>
                  </w:r>
                </w:p>
              </w:tc>
              <w:tc>
                <w:tcPr>
                  <w:tcW w:w="991" w:type="dxa"/>
                  <w:vAlign w:val="top"/>
                </w:tcPr>
                <w:p>
                  <w:pPr>
                    <w:pStyle w:val="6"/>
                    <w:spacing w:before="65" w:line="222" w:lineRule="auto"/>
                    <w:ind w:left="291"/>
                    <w:rPr>
                      <w:sz w:val="21"/>
                      <w:szCs w:val="21"/>
                    </w:rPr>
                  </w:pPr>
                  <w:r>
                    <w:rPr>
                      <w:spacing w:val="-2"/>
                      <w:sz w:val="21"/>
                      <w:szCs w:val="21"/>
                    </w:rPr>
                    <w:t>碱化</w:t>
                  </w:r>
                </w:p>
              </w:tc>
              <w:tc>
                <w:tcPr>
                  <w:tcW w:w="850" w:type="dxa"/>
                  <w:vAlign w:val="top"/>
                </w:tcPr>
                <w:p>
                  <w:pPr>
                    <w:pStyle w:val="6"/>
                    <w:spacing w:before="65" w:line="222" w:lineRule="auto"/>
                    <w:ind w:left="222"/>
                    <w:rPr>
                      <w:sz w:val="21"/>
                      <w:szCs w:val="21"/>
                    </w:rPr>
                  </w:pPr>
                  <w:r>
                    <w:rPr>
                      <w:spacing w:val="-2"/>
                      <w:sz w:val="21"/>
                      <w:szCs w:val="21"/>
                    </w:rPr>
                    <w:t>酸化</w:t>
                  </w:r>
                </w:p>
              </w:tc>
              <w:tc>
                <w:tcPr>
                  <w:tcW w:w="839" w:type="dxa"/>
                  <w:vAlign w:val="top"/>
                </w:tcPr>
                <w:p>
                  <w:pPr>
                    <w:pStyle w:val="6"/>
                    <w:spacing w:before="65" w:line="221" w:lineRule="auto"/>
                    <w:ind w:left="215"/>
                    <w:rPr>
                      <w:sz w:val="21"/>
                      <w:szCs w:val="21"/>
                    </w:rPr>
                  </w:pPr>
                  <w:r>
                    <w:rPr>
                      <w:spacing w:val="-2"/>
                      <w:sz w:val="21"/>
                      <w:szCs w:val="21"/>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42" w:type="dxa"/>
                  <w:vAlign w:val="top"/>
                </w:tcPr>
                <w:p>
                  <w:pPr>
                    <w:pStyle w:val="6"/>
                    <w:spacing w:before="67" w:line="221" w:lineRule="auto"/>
                    <w:ind w:left="207"/>
                    <w:rPr>
                      <w:sz w:val="21"/>
                      <w:szCs w:val="21"/>
                    </w:rPr>
                  </w:pPr>
                  <w:r>
                    <w:rPr>
                      <w:spacing w:val="-2"/>
                      <w:sz w:val="21"/>
                      <w:szCs w:val="21"/>
                    </w:rPr>
                    <w:t>钻井工程</w:t>
                  </w:r>
                </w:p>
              </w:tc>
              <w:tc>
                <w:tcPr>
                  <w:tcW w:w="1156" w:type="dxa"/>
                  <w:vAlign w:val="top"/>
                </w:tcPr>
                <w:p>
                  <w:pPr>
                    <w:rPr>
                      <w:rFonts w:ascii="Arial"/>
                      <w:sz w:val="21"/>
                    </w:rPr>
                  </w:pPr>
                </w:p>
              </w:tc>
              <w:tc>
                <w:tcPr>
                  <w:tcW w:w="1111" w:type="dxa"/>
                  <w:vAlign w:val="top"/>
                </w:tcPr>
                <w:p>
                  <w:pPr>
                    <w:spacing w:before="52" w:line="239" w:lineRule="auto"/>
                    <w:ind w:left="502"/>
                    <w:rPr>
                      <w:rFonts w:ascii="Arial" w:hAnsi="Arial" w:eastAsia="Arial" w:cs="Arial"/>
                      <w:sz w:val="21"/>
                      <w:szCs w:val="21"/>
                    </w:rPr>
                  </w:pPr>
                  <w:r>
                    <w:rPr>
                      <w:rFonts w:ascii="Arial" w:hAnsi="Arial" w:eastAsia="Arial" w:cs="Arial"/>
                      <w:sz w:val="21"/>
                      <w:szCs w:val="21"/>
                    </w:rPr>
                    <w:t>√</w:t>
                  </w:r>
                </w:p>
              </w:tc>
              <w:tc>
                <w:tcPr>
                  <w:tcW w:w="1135" w:type="dxa"/>
                  <w:vAlign w:val="top"/>
                </w:tcPr>
                <w:p>
                  <w:pPr>
                    <w:spacing w:before="52" w:line="239" w:lineRule="auto"/>
                    <w:ind w:left="515"/>
                    <w:rPr>
                      <w:rFonts w:ascii="Arial" w:hAnsi="Arial" w:eastAsia="Arial" w:cs="Arial"/>
                      <w:sz w:val="21"/>
                      <w:szCs w:val="21"/>
                    </w:rPr>
                  </w:pPr>
                  <w:r>
                    <w:rPr>
                      <w:rFonts w:ascii="Arial" w:hAnsi="Arial" w:eastAsia="Arial" w:cs="Arial"/>
                      <w:sz w:val="21"/>
                      <w:szCs w:val="21"/>
                    </w:rPr>
                    <w:t>√</w:t>
                  </w:r>
                </w:p>
              </w:tc>
              <w:tc>
                <w:tcPr>
                  <w:tcW w:w="991" w:type="dxa"/>
                  <w:vAlign w:val="top"/>
                </w:tcPr>
                <w:p>
                  <w:pPr>
                    <w:rPr>
                      <w:rFonts w:ascii="Arial"/>
                      <w:sz w:val="21"/>
                    </w:rPr>
                  </w:pPr>
                </w:p>
              </w:tc>
              <w:tc>
                <w:tcPr>
                  <w:tcW w:w="851" w:type="dxa"/>
                  <w:vAlign w:val="top"/>
                </w:tcPr>
                <w:p>
                  <w:pPr>
                    <w:rPr>
                      <w:rFonts w:ascii="Arial"/>
                      <w:sz w:val="21"/>
                    </w:rPr>
                  </w:pPr>
                </w:p>
              </w:tc>
              <w:tc>
                <w:tcPr>
                  <w:tcW w:w="991" w:type="dxa"/>
                  <w:vAlign w:val="top"/>
                </w:tcPr>
                <w:p>
                  <w:pPr>
                    <w:rPr>
                      <w:rFonts w:ascii="Arial"/>
                      <w:sz w:val="21"/>
                    </w:rPr>
                  </w:pPr>
                </w:p>
              </w:tc>
              <w:tc>
                <w:tcPr>
                  <w:tcW w:w="850" w:type="dxa"/>
                  <w:vAlign w:val="top"/>
                </w:tcPr>
                <w:p>
                  <w:pPr>
                    <w:rPr>
                      <w:rFonts w:ascii="Arial"/>
                      <w:sz w:val="21"/>
                    </w:rPr>
                  </w:pPr>
                </w:p>
              </w:tc>
              <w:tc>
                <w:tcPr>
                  <w:tcW w:w="839" w:type="dxa"/>
                  <w:vAlign w:val="top"/>
                </w:tcPr>
                <w:p>
                  <w:pPr>
                    <w:rPr>
                      <w:rFonts w:ascii="Arial"/>
                      <w:sz w:val="21"/>
                    </w:rPr>
                  </w:pPr>
                </w:p>
              </w:tc>
            </w:tr>
          </w:tbl>
          <w:p>
            <w:pPr>
              <w:pStyle w:val="6"/>
              <w:spacing w:before="178" w:line="217" w:lineRule="auto"/>
              <w:ind w:left="587"/>
              <w:rPr>
                <w:sz w:val="24"/>
                <w:szCs w:val="24"/>
              </w:rPr>
            </w:pPr>
            <w:r>
              <w:rPr>
                <w:spacing w:val="-2"/>
                <w:sz w:val="24"/>
                <w:szCs w:val="24"/>
              </w:rPr>
              <w:t>①破坏土壤结构</w:t>
            </w:r>
          </w:p>
          <w:p>
            <w:pPr>
              <w:pStyle w:val="6"/>
              <w:spacing w:before="199" w:line="369" w:lineRule="auto"/>
              <w:ind w:left="114" w:right="104" w:firstLine="475"/>
              <w:rPr>
                <w:sz w:val="24"/>
                <w:szCs w:val="24"/>
              </w:rPr>
            </w:pPr>
            <w:r>
              <w:rPr>
                <w:spacing w:val="8"/>
                <w:sz w:val="24"/>
                <w:szCs w:val="24"/>
              </w:rPr>
              <w:t>土壤结构是在当地自然条件下土壤经过长期的发育过程形成的较为稳定的结构系</w:t>
            </w:r>
            <w:r>
              <w:rPr>
                <w:sz w:val="24"/>
                <w:szCs w:val="24"/>
              </w:rPr>
              <w:t xml:space="preserve"> </w:t>
            </w:r>
            <w:r>
              <w:rPr>
                <w:spacing w:val="1"/>
                <w:sz w:val="24"/>
                <w:szCs w:val="24"/>
              </w:rPr>
              <w:t>统，在施工开挖过程中会破坏原有土壤结构。土壤中的分层特征和团粒结构</w:t>
            </w:r>
            <w:r>
              <w:rPr>
                <w:sz w:val="24"/>
                <w:szCs w:val="24"/>
              </w:rPr>
              <w:t>是经过长期</w:t>
            </w:r>
          </w:p>
          <w:p>
            <w:pPr>
              <w:pStyle w:val="6"/>
              <w:spacing w:line="220" w:lineRule="auto"/>
              <w:ind w:left="112"/>
              <w:rPr>
                <w:sz w:val="24"/>
                <w:szCs w:val="24"/>
              </w:rPr>
            </w:pPr>
            <w:r>
              <w:rPr>
                <w:spacing w:val="-2"/>
                <w:sz w:val="24"/>
                <w:szCs w:val="24"/>
              </w:rPr>
              <w:t>发展形成的，遭到破坏后，恢复需要较长的</w:t>
            </w:r>
            <w:r>
              <w:rPr>
                <w:spacing w:val="-3"/>
                <w:sz w:val="24"/>
                <w:szCs w:val="24"/>
              </w:rPr>
              <w:t>时间。</w:t>
            </w:r>
          </w:p>
          <w:p>
            <w:pPr>
              <w:pStyle w:val="6"/>
              <w:spacing w:before="194" w:line="217" w:lineRule="auto"/>
              <w:ind w:left="586"/>
              <w:rPr>
                <w:sz w:val="24"/>
                <w:szCs w:val="24"/>
              </w:rPr>
            </w:pPr>
            <w:r>
              <w:rPr>
                <w:spacing w:val="-1"/>
                <w:sz w:val="24"/>
                <w:szCs w:val="24"/>
              </w:rPr>
              <w:t>②改变土壤质地</w:t>
            </w:r>
          </w:p>
          <w:p>
            <w:pPr>
              <w:pStyle w:val="6"/>
              <w:spacing w:before="198" w:line="369" w:lineRule="auto"/>
              <w:ind w:left="107" w:right="106" w:firstLine="481"/>
              <w:rPr>
                <w:sz w:val="24"/>
                <w:szCs w:val="24"/>
              </w:rPr>
            </w:pPr>
            <w:r>
              <w:rPr>
                <w:spacing w:val="-2"/>
                <w:sz w:val="24"/>
                <w:szCs w:val="24"/>
              </w:rPr>
              <w:t>土壤质地因所处地形和土壤形成条件的不同而有较大的变</w:t>
            </w:r>
            <w:r>
              <w:rPr>
                <w:spacing w:val="-3"/>
                <w:sz w:val="24"/>
                <w:szCs w:val="24"/>
              </w:rPr>
              <w:t>化， 即使同一土壤剖面，</w:t>
            </w:r>
            <w:r>
              <w:rPr>
                <w:sz w:val="24"/>
                <w:szCs w:val="24"/>
              </w:rPr>
              <w:t xml:space="preserve"> </w:t>
            </w:r>
            <w:r>
              <w:rPr>
                <w:spacing w:val="1"/>
                <w:sz w:val="24"/>
                <w:szCs w:val="24"/>
              </w:rPr>
              <w:t>表层与底层的土壤质地也有明显的不同。由于土壤在形成过程中层次分明，表层为耕作</w:t>
            </w:r>
            <w:r>
              <w:rPr>
                <w:spacing w:val="2"/>
                <w:sz w:val="24"/>
                <w:szCs w:val="24"/>
              </w:rPr>
              <w:t xml:space="preserve"> </w:t>
            </w:r>
            <w:r>
              <w:rPr>
                <w:spacing w:val="-2"/>
                <w:sz w:val="24"/>
                <w:szCs w:val="24"/>
              </w:rPr>
              <w:t>层，中层一般为淋溶淀积层，底层是母质层。土壤类型不同， 各层次的理化性质和</w:t>
            </w:r>
            <w:r>
              <w:rPr>
                <w:spacing w:val="-3"/>
                <w:sz w:val="24"/>
                <w:szCs w:val="24"/>
              </w:rPr>
              <w:t>厚度</w:t>
            </w:r>
          </w:p>
          <w:p>
            <w:pPr>
              <w:pStyle w:val="6"/>
              <w:spacing w:before="1" w:line="218" w:lineRule="auto"/>
              <w:ind w:left="107"/>
              <w:rPr>
                <w:sz w:val="24"/>
                <w:szCs w:val="24"/>
              </w:rPr>
            </w:pPr>
            <w:r>
              <w:rPr>
                <w:spacing w:val="-5"/>
                <w:sz w:val="24"/>
                <w:szCs w:val="24"/>
              </w:rPr>
              <w:t>会存在较大的差别。</w:t>
            </w:r>
          </w:p>
          <w:p>
            <w:pPr>
              <w:pStyle w:val="6"/>
              <w:spacing w:before="197" w:line="217" w:lineRule="auto"/>
              <w:ind w:left="586"/>
              <w:rPr>
                <w:sz w:val="24"/>
                <w:szCs w:val="24"/>
              </w:rPr>
            </w:pPr>
            <w:r>
              <w:rPr>
                <w:spacing w:val="-1"/>
                <w:sz w:val="24"/>
                <w:szCs w:val="24"/>
              </w:rPr>
              <w:t>③影响土壤紧实度</w:t>
            </w:r>
          </w:p>
          <w:p>
            <w:pPr>
              <w:pStyle w:val="6"/>
              <w:spacing w:before="198" w:line="369" w:lineRule="auto"/>
              <w:ind w:left="111" w:right="107" w:firstLine="477"/>
              <w:rPr>
                <w:sz w:val="24"/>
                <w:szCs w:val="24"/>
              </w:rPr>
            </w:pPr>
            <w:r>
              <w:rPr>
                <w:spacing w:val="-2"/>
                <w:sz w:val="24"/>
                <w:szCs w:val="24"/>
              </w:rPr>
              <w:t>基础施工后一般在短时期难以恢复其原有的紧实度。表层过于疏</w:t>
            </w:r>
            <w:r>
              <w:rPr>
                <w:spacing w:val="-3"/>
                <w:sz w:val="24"/>
                <w:szCs w:val="24"/>
              </w:rPr>
              <w:t>松时， 因灌溉和降</w:t>
            </w:r>
            <w:r>
              <w:rPr>
                <w:sz w:val="24"/>
                <w:szCs w:val="24"/>
              </w:rPr>
              <w:t xml:space="preserve"> </w:t>
            </w:r>
            <w:r>
              <w:rPr>
                <w:spacing w:val="1"/>
                <w:sz w:val="24"/>
                <w:szCs w:val="24"/>
              </w:rPr>
              <w:t>水容易造成水份下渗，使土层明显下陷形成凹沟。过于紧实时又会影响植物根</w:t>
            </w:r>
            <w:r>
              <w:rPr>
                <w:sz w:val="24"/>
                <w:szCs w:val="24"/>
              </w:rPr>
              <w:t>系下扎。</w:t>
            </w:r>
          </w:p>
          <w:p>
            <w:pPr>
              <w:pStyle w:val="6"/>
              <w:spacing w:before="1" w:line="218" w:lineRule="auto"/>
              <w:ind w:left="107"/>
              <w:rPr>
                <w:sz w:val="24"/>
                <w:szCs w:val="24"/>
              </w:rPr>
            </w:pPr>
            <w:r>
              <w:rPr>
                <w:spacing w:val="1"/>
                <w:sz w:val="24"/>
                <w:szCs w:val="24"/>
              </w:rPr>
              <w:t>施工期间的车辆和重型机械的碾压也会造成管道两侧表层过于紧实，对植物生长产生不</w:t>
            </w:r>
          </w:p>
        </w:tc>
      </w:tr>
    </w:tbl>
    <w:p>
      <w:pPr>
        <w:pStyle w:val="2"/>
        <w:rPr>
          <w:sz w:val="21"/>
        </w:rPr>
      </w:pPr>
    </w:p>
    <w:p>
      <w:pPr>
        <w:rPr>
          <w:sz w:val="21"/>
          <w:szCs w:val="21"/>
        </w:rPr>
        <w:sectPr>
          <w:footerReference r:id="rId116"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71"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1" w:line="222" w:lineRule="auto"/>
              <w:ind w:left="146"/>
              <w:rPr>
                <w:sz w:val="24"/>
                <w:szCs w:val="24"/>
              </w:rPr>
            </w:pPr>
            <w:r>
              <w:rPr>
                <w:spacing w:val="-16"/>
                <w:sz w:val="24"/>
                <w:szCs w:val="24"/>
              </w:rPr>
              <w:t>良影响。</w:t>
            </w:r>
          </w:p>
          <w:p>
            <w:pPr>
              <w:pStyle w:val="6"/>
              <w:spacing w:before="192" w:line="217" w:lineRule="auto"/>
              <w:ind w:left="586"/>
              <w:rPr>
                <w:sz w:val="24"/>
                <w:szCs w:val="24"/>
              </w:rPr>
            </w:pPr>
            <w:r>
              <w:rPr>
                <w:spacing w:val="-1"/>
                <w:sz w:val="24"/>
                <w:szCs w:val="24"/>
              </w:rPr>
              <w:t>④项目建设临时占地对土壤环境的影响</w:t>
            </w:r>
          </w:p>
          <w:p>
            <w:pPr>
              <w:pStyle w:val="6"/>
              <w:spacing w:before="198" w:line="369" w:lineRule="auto"/>
              <w:ind w:left="107" w:right="15" w:firstLine="480"/>
              <w:rPr>
                <w:sz w:val="24"/>
                <w:szCs w:val="24"/>
              </w:rPr>
            </w:pPr>
            <w:r>
              <w:rPr>
                <w:sz w:val="24"/>
                <w:szCs w:val="24"/>
              </w:rPr>
              <w:t>拟建工程临时占用地主要是挖方的堆积、建设用材料的堆放、临时施工道路用地、</w:t>
            </w:r>
            <w:r>
              <w:rPr>
                <w:spacing w:val="1"/>
                <w:sz w:val="24"/>
                <w:szCs w:val="24"/>
              </w:rPr>
              <w:t xml:space="preserve">  </w:t>
            </w:r>
            <w:r>
              <w:rPr>
                <w:spacing w:val="-13"/>
                <w:sz w:val="24"/>
                <w:szCs w:val="24"/>
              </w:rPr>
              <w:t>施工机械场地等。</w:t>
            </w:r>
            <w:r>
              <w:rPr>
                <w:spacing w:val="40"/>
                <w:sz w:val="24"/>
                <w:szCs w:val="24"/>
              </w:rPr>
              <w:t xml:space="preserve"> </w:t>
            </w:r>
            <w:r>
              <w:rPr>
                <w:spacing w:val="-13"/>
                <w:sz w:val="24"/>
                <w:szCs w:val="24"/>
              </w:rPr>
              <w:t>临时占用的土地，</w:t>
            </w:r>
            <w:r>
              <w:rPr>
                <w:spacing w:val="-41"/>
                <w:sz w:val="24"/>
                <w:szCs w:val="24"/>
              </w:rPr>
              <w:t xml:space="preserve"> </w:t>
            </w:r>
            <w:r>
              <w:rPr>
                <w:spacing w:val="-13"/>
                <w:sz w:val="24"/>
                <w:szCs w:val="24"/>
              </w:rPr>
              <w:t>一部分是可以复垦利用的，</w:t>
            </w:r>
            <w:r>
              <w:rPr>
                <w:spacing w:val="39"/>
                <w:sz w:val="24"/>
                <w:szCs w:val="24"/>
              </w:rPr>
              <w:t xml:space="preserve"> </w:t>
            </w:r>
            <w:r>
              <w:rPr>
                <w:spacing w:val="-13"/>
                <w:sz w:val="24"/>
                <w:szCs w:val="24"/>
              </w:rPr>
              <w:t>但因施工中的机械碾压、</w:t>
            </w:r>
          </w:p>
          <w:p>
            <w:pPr>
              <w:pStyle w:val="6"/>
              <w:spacing w:before="1" w:line="218" w:lineRule="auto"/>
              <w:ind w:left="107"/>
              <w:rPr>
                <w:sz w:val="24"/>
                <w:szCs w:val="24"/>
              </w:rPr>
            </w:pPr>
            <w:r>
              <w:rPr>
                <w:spacing w:val="-1"/>
                <w:sz w:val="24"/>
                <w:szCs w:val="24"/>
              </w:rPr>
              <w:t>施工人员践踏、振动以等原因，对土壤的理化性质、肥力水平都有一定影</w:t>
            </w:r>
            <w:r>
              <w:rPr>
                <w:spacing w:val="-2"/>
                <w:sz w:val="24"/>
                <w:szCs w:val="24"/>
              </w:rPr>
              <w:t>响。</w:t>
            </w:r>
          </w:p>
          <w:p>
            <w:pPr>
              <w:pStyle w:val="6"/>
              <w:spacing w:before="196" w:line="217" w:lineRule="auto"/>
              <w:ind w:left="586"/>
              <w:rPr>
                <w:sz w:val="24"/>
                <w:szCs w:val="24"/>
              </w:rPr>
            </w:pPr>
            <w:r>
              <w:rPr>
                <w:spacing w:val="-1"/>
                <w:sz w:val="24"/>
                <w:szCs w:val="24"/>
              </w:rPr>
              <w:t>⑤施工废弃物对土壤环境的影响</w:t>
            </w:r>
          </w:p>
          <w:p>
            <w:pPr>
              <w:pStyle w:val="6"/>
              <w:spacing w:before="198" w:line="369" w:lineRule="auto"/>
              <w:ind w:left="112" w:right="105" w:firstLine="476"/>
              <w:rPr>
                <w:sz w:val="24"/>
                <w:szCs w:val="24"/>
              </w:rPr>
            </w:pPr>
            <w:r>
              <w:rPr>
                <w:spacing w:val="1"/>
                <w:sz w:val="24"/>
                <w:szCs w:val="24"/>
              </w:rPr>
              <w:t>拟建工程施工的产生的泥浆若落入土地，有可能把固体废弃物残留于土壤之中。这</w:t>
            </w:r>
            <w:r>
              <w:rPr>
                <w:spacing w:val="3"/>
                <w:sz w:val="24"/>
                <w:szCs w:val="24"/>
              </w:rPr>
              <w:t xml:space="preserve"> </w:t>
            </w:r>
            <w:r>
              <w:rPr>
                <w:spacing w:val="-2"/>
                <w:sz w:val="24"/>
                <w:szCs w:val="24"/>
              </w:rPr>
              <w:t>些固体废物一般都比较难于分解，影响环境景观和作物生长， 若埋于土壤</w:t>
            </w:r>
            <w:r>
              <w:rPr>
                <w:spacing w:val="-3"/>
                <w:sz w:val="24"/>
                <w:szCs w:val="24"/>
              </w:rPr>
              <w:t>中则会对作物</w:t>
            </w:r>
          </w:p>
          <w:p>
            <w:pPr>
              <w:pStyle w:val="6"/>
              <w:spacing w:line="219" w:lineRule="auto"/>
              <w:ind w:left="108"/>
              <w:rPr>
                <w:sz w:val="24"/>
                <w:szCs w:val="24"/>
              </w:rPr>
            </w:pPr>
            <w:r>
              <w:rPr>
                <w:spacing w:val="-4"/>
                <w:sz w:val="24"/>
                <w:szCs w:val="24"/>
              </w:rPr>
              <w:t>根系的生长和发育造成影响。</w:t>
            </w:r>
          </w:p>
          <w:p>
            <w:pPr>
              <w:pStyle w:val="6"/>
              <w:spacing w:before="195" w:line="217" w:lineRule="auto"/>
              <w:ind w:left="586"/>
              <w:rPr>
                <w:sz w:val="24"/>
                <w:szCs w:val="24"/>
              </w:rPr>
            </w:pPr>
            <w:r>
              <w:rPr>
                <w:spacing w:val="-1"/>
                <w:sz w:val="24"/>
                <w:szCs w:val="24"/>
              </w:rPr>
              <w:t>⑥项目建设对土壤养分现状的影响</w:t>
            </w:r>
          </w:p>
          <w:p>
            <w:pPr>
              <w:pStyle w:val="6"/>
              <w:spacing w:before="199" w:line="369" w:lineRule="auto"/>
              <w:ind w:left="110" w:right="18" w:firstLine="478"/>
              <w:rPr>
                <w:sz w:val="24"/>
                <w:szCs w:val="24"/>
              </w:rPr>
            </w:pPr>
            <w:r>
              <w:rPr>
                <w:spacing w:val="-3"/>
                <w:sz w:val="24"/>
                <w:szCs w:val="24"/>
              </w:rPr>
              <w:t>土体构型是土壤剖面中各种土层的组合情况。不同土层的特征及理化性质差异</w:t>
            </w:r>
            <w:r>
              <w:rPr>
                <w:spacing w:val="-4"/>
                <w:sz w:val="24"/>
                <w:szCs w:val="24"/>
              </w:rPr>
              <w:t>较大。</w:t>
            </w:r>
            <w:r>
              <w:rPr>
                <w:sz w:val="24"/>
                <w:szCs w:val="24"/>
              </w:rPr>
              <w:t xml:space="preserve"> </w:t>
            </w:r>
            <w:r>
              <w:rPr>
                <w:spacing w:val="1"/>
                <w:sz w:val="24"/>
                <w:szCs w:val="24"/>
              </w:rPr>
              <w:t>就养分状况分布而言，表土层远较心土层好，其有机质、</w:t>
            </w:r>
            <w:r>
              <w:rPr>
                <w:sz w:val="24"/>
                <w:szCs w:val="24"/>
              </w:rPr>
              <w:t xml:space="preserve">全氮、速效磷和速效钾等含量 </w:t>
            </w:r>
            <w:r>
              <w:rPr>
                <w:spacing w:val="-2"/>
                <w:sz w:val="24"/>
                <w:szCs w:val="24"/>
              </w:rPr>
              <w:t>高，紧密度与孔隙状况适中强。施工势必扰动原有土体构型， 使土壤养分分</w:t>
            </w:r>
            <w:r>
              <w:rPr>
                <w:spacing w:val="-3"/>
                <w:sz w:val="24"/>
                <w:szCs w:val="24"/>
              </w:rPr>
              <w:t>布状况受到</w:t>
            </w:r>
          </w:p>
          <w:p>
            <w:pPr>
              <w:pStyle w:val="6"/>
              <w:spacing w:before="1" w:line="218" w:lineRule="auto"/>
              <w:ind w:left="108"/>
              <w:rPr>
                <w:sz w:val="24"/>
                <w:szCs w:val="24"/>
              </w:rPr>
            </w:pPr>
            <w:r>
              <w:rPr>
                <w:spacing w:val="-1"/>
                <w:sz w:val="24"/>
                <w:szCs w:val="24"/>
              </w:rPr>
              <w:t>影响，严重者会造成土壤性质的恶化，并影响其表层生长的植被</w:t>
            </w:r>
            <w:r>
              <w:rPr>
                <w:spacing w:val="-2"/>
                <w:sz w:val="24"/>
                <w:szCs w:val="24"/>
              </w:rPr>
              <w:t>，甚至难于恢复。</w:t>
            </w:r>
          </w:p>
          <w:p>
            <w:pPr>
              <w:pStyle w:val="6"/>
              <w:spacing w:before="196" w:line="217" w:lineRule="auto"/>
              <w:ind w:left="586"/>
              <w:rPr>
                <w:sz w:val="24"/>
                <w:szCs w:val="24"/>
              </w:rPr>
            </w:pPr>
            <w:r>
              <w:rPr>
                <w:spacing w:val="-1"/>
                <w:sz w:val="24"/>
                <w:szCs w:val="24"/>
              </w:rPr>
              <w:t>⑦事故状态下对土壤的影响</w:t>
            </w:r>
          </w:p>
          <w:p>
            <w:pPr>
              <w:pStyle w:val="6"/>
              <w:spacing w:before="199" w:line="369" w:lineRule="auto"/>
              <w:ind w:left="107" w:right="104" w:firstLine="480"/>
              <w:rPr>
                <w:sz w:val="24"/>
                <w:szCs w:val="24"/>
              </w:rPr>
            </w:pPr>
            <w:r>
              <w:rPr>
                <w:spacing w:val="1"/>
                <w:sz w:val="24"/>
                <w:szCs w:val="24"/>
              </w:rPr>
              <w:t xml:space="preserve">拟建工程施工期间，事故情况（井喷、柴油罐泄漏）对土壤质量影响较大。根据区 </w:t>
            </w:r>
            <w:r>
              <w:rPr>
                <w:spacing w:val="-2"/>
                <w:sz w:val="24"/>
                <w:szCs w:val="24"/>
              </w:rPr>
              <w:t>域钻井情况，项目发生井喷的概率很小。当柴油罐穿孔泄漏，</w:t>
            </w:r>
            <w:r>
              <w:rPr>
                <w:spacing w:val="-4"/>
                <w:sz w:val="24"/>
                <w:szCs w:val="24"/>
              </w:rPr>
              <w:t xml:space="preserve"> </w:t>
            </w:r>
            <w:r>
              <w:rPr>
                <w:spacing w:val="-2"/>
                <w:sz w:val="24"/>
                <w:szCs w:val="24"/>
              </w:rPr>
              <w:t>在泄漏初期由于泄漏的柴</w:t>
            </w:r>
            <w:r>
              <w:rPr>
                <w:sz w:val="24"/>
                <w:szCs w:val="24"/>
              </w:rPr>
              <w:t xml:space="preserve"> </w:t>
            </w:r>
            <w:r>
              <w:rPr>
                <w:spacing w:val="-8"/>
                <w:sz w:val="24"/>
                <w:szCs w:val="24"/>
              </w:rPr>
              <w:t>油量少， 可收集在围堰内，不会泄漏至外环境； 但若长时间泄漏， 柴油可能溢出围堰，</w:t>
            </w:r>
            <w:r>
              <w:rPr>
                <w:spacing w:val="6"/>
                <w:sz w:val="24"/>
                <w:szCs w:val="24"/>
              </w:rPr>
              <w:t xml:space="preserve"> </w:t>
            </w:r>
            <w:r>
              <w:rPr>
                <w:spacing w:val="1"/>
                <w:sz w:val="24"/>
                <w:szCs w:val="24"/>
              </w:rPr>
              <w:t>造成大面积土壤环境的污染。泄漏的大量原油进入土壤环境中，油类物质在土壤中下渗</w:t>
            </w:r>
            <w:r>
              <w:rPr>
                <w:spacing w:val="2"/>
                <w:sz w:val="24"/>
                <w:szCs w:val="24"/>
              </w:rPr>
              <w:t xml:space="preserve"> </w:t>
            </w:r>
            <w:r>
              <w:rPr>
                <w:spacing w:val="-6"/>
                <w:sz w:val="24"/>
                <w:szCs w:val="24"/>
              </w:rPr>
              <w:t>至一定深度， 随泄漏历时的延长，下渗深度增加不大（油类物质一般在土壤内部</w:t>
            </w:r>
            <w:r>
              <w:rPr>
                <w:spacing w:val="-54"/>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7"/>
                <w:sz w:val="24"/>
                <w:szCs w:val="24"/>
              </w:rPr>
              <w:t xml:space="preserve">0cm </w:t>
            </w:r>
            <w:r>
              <w:rPr>
                <w:spacing w:val="-7"/>
                <w:sz w:val="24"/>
                <w:szCs w:val="24"/>
              </w:rPr>
              <w:t>左</w:t>
            </w:r>
          </w:p>
          <w:p>
            <w:pPr>
              <w:pStyle w:val="6"/>
              <w:spacing w:before="1" w:line="218" w:lineRule="auto"/>
              <w:ind w:right="13"/>
              <w:jc w:val="right"/>
              <w:rPr>
                <w:sz w:val="24"/>
                <w:szCs w:val="24"/>
              </w:rPr>
            </w:pPr>
            <w:r>
              <w:rPr>
                <w:spacing w:val="-14"/>
                <w:sz w:val="24"/>
                <w:szCs w:val="24"/>
              </w:rPr>
              <w:t>右范围内积聚</w:t>
            </w:r>
            <w:r>
              <w:rPr>
                <w:spacing w:val="-15"/>
                <w:sz w:val="24"/>
                <w:szCs w:val="24"/>
              </w:rPr>
              <w:t>）</w:t>
            </w:r>
            <w:r>
              <w:rPr>
                <w:spacing w:val="-1"/>
                <w:sz w:val="24"/>
                <w:szCs w:val="24"/>
              </w:rPr>
              <w:t xml:space="preserve"> </w:t>
            </w:r>
            <w:r>
              <w:rPr>
                <w:spacing w:val="-15"/>
                <w:sz w:val="24"/>
                <w:szCs w:val="24"/>
              </w:rPr>
              <w:t>，</w:t>
            </w:r>
            <w:r>
              <w:rPr>
                <w:spacing w:val="-14"/>
                <w:sz w:val="24"/>
                <w:szCs w:val="24"/>
              </w:rPr>
              <w:t>会影响土壤中微生物生存，</w:t>
            </w:r>
            <w:r>
              <w:rPr>
                <w:spacing w:val="45"/>
                <w:sz w:val="24"/>
                <w:szCs w:val="24"/>
              </w:rPr>
              <w:t xml:space="preserve"> </w:t>
            </w:r>
            <w:r>
              <w:rPr>
                <w:spacing w:val="-14"/>
                <w:sz w:val="24"/>
                <w:szCs w:val="24"/>
              </w:rPr>
              <w:t>破坏土壤结</w:t>
            </w:r>
            <w:r>
              <w:rPr>
                <w:spacing w:val="-15"/>
                <w:sz w:val="24"/>
                <w:szCs w:val="24"/>
              </w:rPr>
              <w:t>构，</w:t>
            </w:r>
            <w:r>
              <w:rPr>
                <w:spacing w:val="47"/>
                <w:sz w:val="24"/>
                <w:szCs w:val="24"/>
              </w:rPr>
              <w:t xml:space="preserve"> </w:t>
            </w:r>
            <w:r>
              <w:rPr>
                <w:spacing w:val="-15"/>
                <w:sz w:val="24"/>
                <w:szCs w:val="24"/>
              </w:rPr>
              <w:t>增加土壤中石油类污染物。</w:t>
            </w:r>
          </w:p>
          <w:p>
            <w:pPr>
              <w:pStyle w:val="6"/>
              <w:spacing w:before="229" w:line="220" w:lineRule="auto"/>
              <w:ind w:left="105"/>
              <w:rPr>
                <w:sz w:val="24"/>
                <w:szCs w:val="24"/>
              </w:rPr>
            </w:pPr>
            <w:r>
              <w:rPr>
                <w:rFonts w:ascii="Times New Roman" w:hAnsi="Times New Roman" w:eastAsia="Times New Roman" w:cs="Times New Roman"/>
                <w:b/>
                <w:bCs/>
                <w:sz w:val="24"/>
                <w:szCs w:val="24"/>
              </w:rPr>
              <w:t xml:space="preserve">4.3.7 </w:t>
            </w:r>
            <w:r>
              <w:rPr>
                <w:sz w:val="24"/>
                <w:szCs w:val="24"/>
                <w14:textOutline w14:w="4354" w14:cap="flat" w14:cmpd="sng">
                  <w14:solidFill>
                    <w14:srgbClr w14:val="000000"/>
                  </w14:solidFill>
                  <w14:prstDash w14:val="solid"/>
                  <w14:miter w14:val="10"/>
                </w14:textOutline>
              </w:rPr>
              <w:t>地下水环境影响分析（详见专</w:t>
            </w:r>
            <w:r>
              <w:rPr>
                <w:spacing w:val="-1"/>
                <w:sz w:val="24"/>
                <w:szCs w:val="24"/>
                <w14:textOutline w14:w="4354" w14:cap="flat" w14:cmpd="sng">
                  <w14:solidFill>
                    <w14:srgbClr w14:val="000000"/>
                  </w14:solidFill>
                  <w14:prstDash w14:val="solid"/>
                  <w14:miter w14:val="10"/>
                </w14:textOutline>
              </w:rPr>
              <w:t>题）</w:t>
            </w:r>
          </w:p>
          <w:p>
            <w:pPr>
              <w:pStyle w:val="6"/>
              <w:spacing w:before="203" w:line="369" w:lineRule="auto"/>
              <w:ind w:left="108" w:right="105" w:firstLine="483"/>
              <w:jc w:val="both"/>
              <w:rPr>
                <w:sz w:val="24"/>
                <w:szCs w:val="24"/>
              </w:rPr>
            </w:pPr>
            <w:r>
              <w:rPr>
                <w:spacing w:val="1"/>
                <w:sz w:val="24"/>
                <w:szCs w:val="24"/>
              </w:rPr>
              <w:t>浅层地下水是当地居民的主要生活饮用水源，项目区地下水循环是由多个小型</w:t>
            </w:r>
            <w:r>
              <w:rPr>
                <w:sz w:val="24"/>
                <w:szCs w:val="24"/>
              </w:rPr>
              <w:t xml:space="preserve">水循 </w:t>
            </w:r>
            <w:r>
              <w:rPr>
                <w:spacing w:val="1"/>
                <w:sz w:val="24"/>
                <w:szCs w:val="24"/>
              </w:rPr>
              <w:t>环单元组成，呈动态不稳定，地下水长期处于降雨、入渗、自然或人工排泄的周期循环</w:t>
            </w:r>
          </w:p>
          <w:p>
            <w:pPr>
              <w:pStyle w:val="6"/>
              <w:spacing w:line="220" w:lineRule="auto"/>
              <w:ind w:left="130"/>
              <w:rPr>
                <w:sz w:val="24"/>
                <w:szCs w:val="24"/>
              </w:rPr>
            </w:pPr>
            <w:r>
              <w:rPr>
                <w:spacing w:val="-17"/>
                <w:sz w:val="24"/>
                <w:szCs w:val="24"/>
              </w:rPr>
              <w:t>中。</w:t>
            </w:r>
          </w:p>
          <w:p>
            <w:pPr>
              <w:pStyle w:val="6"/>
              <w:spacing w:before="194" w:line="369" w:lineRule="auto"/>
              <w:ind w:left="108" w:right="106" w:firstLine="479"/>
              <w:jc w:val="both"/>
              <w:rPr>
                <w:sz w:val="24"/>
                <w:szCs w:val="24"/>
              </w:rPr>
            </w:pPr>
            <w:r>
              <w:rPr>
                <w:spacing w:val="1"/>
                <w:sz w:val="24"/>
                <w:szCs w:val="24"/>
              </w:rPr>
              <w:t xml:space="preserve">拟建工程建设施工过程中，钻井、固井等井下作业的地表污染物下渗可能污染浅层 </w:t>
            </w:r>
            <w:r>
              <w:rPr>
                <w:spacing w:val="-2"/>
                <w:sz w:val="24"/>
                <w:szCs w:val="24"/>
              </w:rPr>
              <w:t>地下水， 本项目在钻井施工过程中采取固井、封井措施，并配备堵漏材料，钻井</w:t>
            </w:r>
            <w:r>
              <w:rPr>
                <w:spacing w:val="-3"/>
                <w:sz w:val="24"/>
                <w:szCs w:val="24"/>
              </w:rPr>
              <w:t>废水随</w:t>
            </w:r>
            <w:r>
              <w:rPr>
                <w:sz w:val="24"/>
                <w:szCs w:val="24"/>
              </w:rPr>
              <w:t xml:space="preserve"> </w:t>
            </w:r>
            <w:r>
              <w:rPr>
                <w:spacing w:val="-5"/>
                <w:sz w:val="24"/>
                <w:szCs w:val="24"/>
              </w:rPr>
              <w:t>钻处理并回用， 设置废水、固废等暂存措施，设置专门的油罐区， 并对前述区域采取分</w:t>
            </w:r>
          </w:p>
          <w:p>
            <w:pPr>
              <w:pStyle w:val="6"/>
              <w:spacing w:before="1" w:line="219" w:lineRule="auto"/>
              <w:ind w:left="126"/>
              <w:rPr>
                <w:sz w:val="24"/>
                <w:szCs w:val="24"/>
              </w:rPr>
            </w:pPr>
            <w:r>
              <w:rPr>
                <w:spacing w:val="-2"/>
                <w:sz w:val="24"/>
                <w:szCs w:val="24"/>
              </w:rPr>
              <w:t>区防渗和设置围堰或托盘措施，在此基础上，工程对其所在区域地下水水质影响较小。</w:t>
            </w:r>
          </w:p>
        </w:tc>
      </w:tr>
    </w:tbl>
    <w:p>
      <w:pPr>
        <w:pStyle w:val="2"/>
        <w:spacing w:line="227" w:lineRule="exact"/>
        <w:rPr>
          <w:sz w:val="19"/>
        </w:rPr>
      </w:pPr>
    </w:p>
    <w:p>
      <w:pPr>
        <w:spacing w:line="227" w:lineRule="exact"/>
        <w:rPr>
          <w:sz w:val="19"/>
          <w:szCs w:val="19"/>
        </w:rPr>
        <w:sectPr>
          <w:footerReference r:id="rId117"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9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3" w:hRule="atLeast"/>
        </w:trPr>
        <w:tc>
          <w:tcPr>
            <w:tcW w:w="465" w:type="dxa"/>
            <w:tcBorders>
              <w:top w:val="single" w:color="000000" w:sz="6" w:space="0"/>
              <w:left w:val="single" w:color="000000" w:sz="6" w:space="0"/>
            </w:tcBorders>
            <w:vAlign w:val="top"/>
          </w:tcPr>
          <w:p>
            <w:pPr>
              <w:rPr>
                <w:rFonts w:ascii="Arial"/>
                <w:sz w:val="21"/>
              </w:rPr>
            </w:pPr>
          </w:p>
        </w:tc>
        <w:tc>
          <w:tcPr>
            <w:tcW w:w="9385" w:type="dxa"/>
            <w:tcBorders>
              <w:top w:val="single" w:color="000000" w:sz="6" w:space="0"/>
              <w:right w:val="single" w:color="000000" w:sz="6" w:space="0"/>
            </w:tcBorders>
            <w:vAlign w:val="top"/>
          </w:tcPr>
          <w:p>
            <w:pPr>
              <w:pStyle w:val="6"/>
              <w:spacing w:before="182" w:line="218" w:lineRule="auto"/>
              <w:ind w:left="588"/>
              <w:rPr>
                <w:sz w:val="24"/>
                <w:szCs w:val="24"/>
              </w:rPr>
            </w:pPr>
            <w:r>
              <w:rPr>
                <w:spacing w:val="-2"/>
                <w:sz w:val="24"/>
                <w:szCs w:val="24"/>
              </w:rPr>
              <w:t>地下水环境影响分析详见《凤探</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井钻井工程地下水环境影响专题评</w:t>
            </w:r>
            <w:r>
              <w:rPr>
                <w:spacing w:val="-3"/>
                <w:sz w:val="24"/>
                <w:szCs w:val="24"/>
              </w:rPr>
              <w:t>价》。</w:t>
            </w:r>
          </w:p>
          <w:p>
            <w:pPr>
              <w:pStyle w:val="6"/>
              <w:spacing w:before="229" w:line="220" w:lineRule="auto"/>
              <w:ind w:left="105"/>
              <w:rPr>
                <w:sz w:val="24"/>
                <w:szCs w:val="24"/>
              </w:rPr>
            </w:pPr>
            <w:r>
              <w:rPr>
                <w:rFonts w:ascii="Times New Roman" w:hAnsi="Times New Roman" w:eastAsia="Times New Roman" w:cs="Times New Roman"/>
                <w:b/>
                <w:bCs/>
                <w:sz w:val="24"/>
                <w:szCs w:val="24"/>
              </w:rPr>
              <w:t xml:space="preserve">4.3.8 </w:t>
            </w:r>
            <w:r>
              <w:rPr>
                <w:sz w:val="24"/>
                <w:szCs w:val="24"/>
                <w14:textOutline w14:w="4354" w14:cap="flat" w14:cmpd="sng">
                  <w14:solidFill>
                    <w14:srgbClr w14:val="000000"/>
                  </w14:solidFill>
                  <w14:prstDash w14:val="solid"/>
                  <w14:miter w14:val="10"/>
                </w14:textOutline>
              </w:rPr>
              <w:t>环境风险影响分析（详见专题）</w:t>
            </w:r>
          </w:p>
          <w:p>
            <w:pPr>
              <w:pStyle w:val="6"/>
              <w:spacing w:before="205" w:line="369" w:lineRule="auto"/>
              <w:ind w:left="107" w:firstLine="481"/>
              <w:jc w:val="both"/>
              <w:rPr>
                <w:sz w:val="24"/>
                <w:szCs w:val="24"/>
              </w:rPr>
            </w:pPr>
            <w:r>
              <w:rPr>
                <w:spacing w:val="1"/>
                <w:sz w:val="24"/>
                <w:szCs w:val="24"/>
              </w:rPr>
              <w:t>本项目环境风险主要存在于钻井工程阶段，环境风险表现为</w:t>
            </w:r>
            <w:r>
              <w:rPr>
                <w:sz w:val="24"/>
                <w:szCs w:val="24"/>
              </w:rPr>
              <w:t xml:space="preserve">井漏、井涌，甚至井喷  </w:t>
            </w:r>
            <w:r>
              <w:rPr>
                <w:spacing w:val="1"/>
                <w:sz w:val="24"/>
                <w:szCs w:val="24"/>
              </w:rPr>
              <w:t>环境风险事故。从工程分析本项目发生井喷失控事故时对人身安全</w:t>
            </w:r>
            <w:r>
              <w:rPr>
                <w:sz w:val="24"/>
                <w:szCs w:val="24"/>
              </w:rPr>
              <w:t xml:space="preserve">、健康、环境的后果  </w:t>
            </w:r>
            <w:r>
              <w:rPr>
                <w:spacing w:val="1"/>
                <w:sz w:val="24"/>
                <w:szCs w:val="24"/>
              </w:rPr>
              <w:t>影响重大，鉴于本次项目为陆地矿产资源地质勘查勘探井，对井下</w:t>
            </w:r>
            <w:r>
              <w:rPr>
                <w:sz w:val="24"/>
                <w:szCs w:val="24"/>
              </w:rPr>
              <w:t xml:space="preserve">地质环境情况的掌握  </w:t>
            </w:r>
            <w:r>
              <w:rPr>
                <w:spacing w:val="1"/>
                <w:sz w:val="24"/>
                <w:szCs w:val="24"/>
              </w:rPr>
              <w:t>有限，存在一定程度的不确定性和难预见性，故本项目必须严格落实《钻井井控</w:t>
            </w:r>
            <w:r>
              <w:rPr>
                <w:sz w:val="24"/>
                <w:szCs w:val="24"/>
              </w:rPr>
              <w:t xml:space="preserve">技术规  </w:t>
            </w:r>
            <w:r>
              <w:rPr>
                <w:spacing w:val="-2"/>
                <w:sz w:val="24"/>
                <w:szCs w:val="24"/>
              </w:rPr>
              <w:t>程》（</w:t>
            </w:r>
            <w:r>
              <w:rPr>
                <w:rFonts w:ascii="Times New Roman" w:hAnsi="Times New Roman" w:eastAsia="Times New Roman" w:cs="Times New Roman"/>
                <w:spacing w:val="-2"/>
                <w:sz w:val="24"/>
                <w:szCs w:val="24"/>
              </w:rPr>
              <w:t>SY/T6426-2005</w:t>
            </w:r>
            <w:r>
              <w:rPr>
                <w:spacing w:val="-2"/>
                <w:sz w:val="24"/>
                <w:szCs w:val="24"/>
              </w:rPr>
              <w:t>）、《含硫油</w:t>
            </w:r>
            <w:r>
              <w:rPr>
                <w:spacing w:val="-3"/>
                <w:sz w:val="24"/>
                <w:szCs w:val="24"/>
              </w:rPr>
              <w:t>气井安全钻井推荐作法》</w:t>
            </w:r>
            <w:r>
              <w:rPr>
                <w:rFonts w:ascii="Times New Roman" w:hAnsi="Times New Roman" w:eastAsia="Times New Roman" w:cs="Times New Roman"/>
                <w:spacing w:val="-3"/>
                <w:sz w:val="24"/>
                <w:szCs w:val="24"/>
              </w:rPr>
              <w:t>(SY/T5087-2017)</w:t>
            </w:r>
            <w:r>
              <w:rPr>
                <w:spacing w:val="-3"/>
                <w:sz w:val="24"/>
                <w:szCs w:val="24"/>
              </w:rPr>
              <w:t>、《石油天</w:t>
            </w:r>
            <w:r>
              <w:rPr>
                <w:sz w:val="24"/>
                <w:szCs w:val="24"/>
              </w:rPr>
              <w:t xml:space="preserve">  </w:t>
            </w:r>
            <w:r>
              <w:rPr>
                <w:spacing w:val="-3"/>
                <w:sz w:val="24"/>
                <w:szCs w:val="24"/>
              </w:rPr>
              <w:t>然气安全规程》（</w:t>
            </w:r>
            <w:r>
              <w:rPr>
                <w:rFonts w:ascii="Times New Roman" w:hAnsi="Times New Roman" w:eastAsia="Times New Roman" w:cs="Times New Roman"/>
                <w:spacing w:val="-3"/>
                <w:sz w:val="24"/>
                <w:szCs w:val="24"/>
              </w:rPr>
              <w:t>AQ2012-2007</w:t>
            </w:r>
            <w:r>
              <w:rPr>
                <w:spacing w:val="-4"/>
                <w:sz w:val="24"/>
                <w:szCs w:val="24"/>
              </w:rPr>
              <w:t>）、 《石油天然气钻井健康、安全与环境管理体系指南》</w:t>
            </w:r>
            <w:r>
              <w:rPr>
                <w:sz w:val="24"/>
                <w:szCs w:val="24"/>
              </w:rPr>
              <w:t xml:space="preserve"> </w:t>
            </w:r>
            <w:r>
              <w:rPr>
                <w:spacing w:val="-4"/>
                <w:sz w:val="24"/>
                <w:szCs w:val="24"/>
              </w:rPr>
              <w:t>（</w:t>
            </w:r>
            <w:r>
              <w:rPr>
                <w:rFonts w:ascii="Times New Roman" w:hAnsi="Times New Roman" w:eastAsia="Times New Roman" w:cs="Times New Roman"/>
                <w:spacing w:val="-4"/>
                <w:sz w:val="24"/>
                <w:szCs w:val="24"/>
              </w:rPr>
              <w:t>SY/T6283-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1997</w:t>
            </w:r>
            <w:r>
              <w:rPr>
                <w:spacing w:val="-4"/>
                <w:sz w:val="24"/>
                <w:szCs w:val="24"/>
              </w:rPr>
              <w:t>）和《石油</w:t>
            </w:r>
            <w:r>
              <w:rPr>
                <w:spacing w:val="-5"/>
                <w:sz w:val="24"/>
                <w:szCs w:val="24"/>
              </w:rPr>
              <w:t>天然气钻井健康、安全与环境管理导则》（</w:t>
            </w:r>
            <w:r>
              <w:rPr>
                <w:rFonts w:ascii="Times New Roman" w:hAnsi="Times New Roman" w:eastAsia="Times New Roman" w:cs="Times New Roman"/>
                <w:spacing w:val="-5"/>
                <w:sz w:val="24"/>
                <w:szCs w:val="24"/>
              </w:rPr>
              <w:t>Q-CNPC53-2001</w:t>
            </w:r>
            <w:r>
              <w:rPr>
                <w:spacing w:val="-5"/>
                <w:sz w:val="24"/>
                <w:szCs w:val="24"/>
              </w:rPr>
              <w:t>）</w:t>
            </w:r>
            <w:r>
              <w:rPr>
                <w:sz w:val="24"/>
                <w:szCs w:val="24"/>
              </w:rPr>
              <w:t xml:space="preserve"> </w:t>
            </w:r>
            <w:r>
              <w:rPr>
                <w:spacing w:val="-2"/>
                <w:sz w:val="24"/>
                <w:szCs w:val="24"/>
              </w:rPr>
              <w:t>等相关钻井和井控规范要求的前提下，</w:t>
            </w:r>
            <w:r>
              <w:rPr>
                <w:spacing w:val="-15"/>
                <w:sz w:val="24"/>
                <w:szCs w:val="24"/>
              </w:rPr>
              <w:t xml:space="preserve"> </w:t>
            </w:r>
            <w:r>
              <w:rPr>
                <w:spacing w:val="-2"/>
                <w:sz w:val="24"/>
                <w:szCs w:val="24"/>
              </w:rPr>
              <w:t>积极采取风险防范措施、放喷点火保障措施以及</w:t>
            </w:r>
            <w:r>
              <w:rPr>
                <w:sz w:val="24"/>
                <w:szCs w:val="24"/>
              </w:rPr>
              <w:t xml:space="preserve">  </w:t>
            </w:r>
            <w:r>
              <w:rPr>
                <w:spacing w:val="-2"/>
                <w:sz w:val="24"/>
                <w:szCs w:val="24"/>
              </w:rPr>
              <w:t>周边居民人员临时撤离措施等， 尽量避免环境风险事故的</w:t>
            </w:r>
            <w:r>
              <w:rPr>
                <w:spacing w:val="-3"/>
                <w:sz w:val="24"/>
                <w:szCs w:val="24"/>
              </w:rPr>
              <w:t>发生，同时完善环境风险应急</w:t>
            </w:r>
            <w:r>
              <w:rPr>
                <w:sz w:val="24"/>
                <w:szCs w:val="24"/>
              </w:rPr>
              <w:t xml:space="preserve">  </w:t>
            </w:r>
            <w:r>
              <w:rPr>
                <w:spacing w:val="1"/>
                <w:sz w:val="24"/>
                <w:szCs w:val="24"/>
              </w:rPr>
              <w:t>措施，组织编制、学习、演练应急预案以便在事故发生后将影响降</w:t>
            </w:r>
            <w:r>
              <w:rPr>
                <w:sz w:val="24"/>
                <w:szCs w:val="24"/>
              </w:rPr>
              <w:t>低到最低程度，确保</w:t>
            </w:r>
          </w:p>
          <w:p>
            <w:pPr>
              <w:pStyle w:val="6"/>
              <w:spacing w:before="1" w:line="218" w:lineRule="auto"/>
              <w:ind w:left="109"/>
              <w:rPr>
                <w:sz w:val="24"/>
                <w:szCs w:val="24"/>
              </w:rPr>
            </w:pPr>
            <w:r>
              <w:rPr>
                <w:spacing w:val="-3"/>
                <w:sz w:val="24"/>
                <w:szCs w:val="24"/>
              </w:rPr>
              <w:t>本次钻井工程环境风险防范措施有效可行。</w:t>
            </w:r>
          </w:p>
          <w:p>
            <w:pPr>
              <w:pStyle w:val="6"/>
              <w:spacing w:before="195" w:line="218" w:lineRule="auto"/>
              <w:ind w:left="589"/>
              <w:rPr>
                <w:sz w:val="24"/>
                <w:szCs w:val="24"/>
              </w:rPr>
            </w:pPr>
            <w:r>
              <w:rPr>
                <w:spacing w:val="-2"/>
                <w:sz w:val="24"/>
                <w:szCs w:val="24"/>
              </w:rPr>
              <w:t>本项目环境风险影响分析详见《凤探</w:t>
            </w:r>
            <w:r>
              <w:rPr>
                <w:spacing w:val="-31"/>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井钻井工程环境风险影响专题评价</w:t>
            </w:r>
            <w:r>
              <w:rPr>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465" w:type="dxa"/>
            <w:tcBorders>
              <w:left w:val="single" w:color="000000" w:sz="6" w:space="0"/>
            </w:tcBorders>
            <w:textDirection w:val="tbRlV"/>
            <w:vAlign w:val="top"/>
          </w:tcPr>
          <w:p>
            <w:pPr>
              <w:pStyle w:val="6"/>
              <w:spacing w:before="121" w:line="209" w:lineRule="auto"/>
              <w:ind w:left="43"/>
              <w:rPr>
                <w:sz w:val="24"/>
                <w:szCs w:val="24"/>
              </w:rPr>
            </w:pPr>
            <w:r>
              <w:rPr>
                <w:spacing w:val="24"/>
                <w:w w:val="117"/>
                <w:sz w:val="24"/>
                <w:szCs w:val="24"/>
              </w:rPr>
              <w:t>运营期生态环境影响分析</w:t>
            </w:r>
          </w:p>
        </w:tc>
        <w:tc>
          <w:tcPr>
            <w:tcW w:w="9385" w:type="dxa"/>
            <w:tcBorders>
              <w:right w:val="single" w:color="00000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78" w:line="369" w:lineRule="auto"/>
              <w:ind w:left="113" w:right="36" w:firstLine="476"/>
              <w:jc w:val="both"/>
              <w:rPr>
                <w:sz w:val="24"/>
                <w:szCs w:val="24"/>
              </w:rPr>
            </w:pPr>
            <w:r>
              <w:rPr>
                <w:spacing w:val="1"/>
                <w:sz w:val="24"/>
                <w:szCs w:val="24"/>
              </w:rPr>
              <w:t>本项目在勘探作业过程中，通过试气作业确定该井是否具备工业开采价值，若其不</w:t>
            </w:r>
            <w:r>
              <w:rPr>
                <w:sz w:val="24"/>
                <w:szCs w:val="24"/>
              </w:rPr>
              <w:t xml:space="preserve"> </w:t>
            </w:r>
            <w:r>
              <w:rPr>
                <w:spacing w:val="-2"/>
                <w:sz w:val="24"/>
                <w:szCs w:val="24"/>
              </w:rPr>
              <w:t>具备工业开采价值， 则按照封井规范进行退役封井处置；若具备工业</w:t>
            </w:r>
            <w:r>
              <w:rPr>
                <w:spacing w:val="-3"/>
                <w:sz w:val="24"/>
                <w:szCs w:val="24"/>
              </w:rPr>
              <w:t>开采条件，则进行</w:t>
            </w:r>
            <w:r>
              <w:rPr>
                <w:sz w:val="24"/>
                <w:szCs w:val="24"/>
              </w:rPr>
              <w:t xml:space="preserve"> </w:t>
            </w:r>
            <w:r>
              <w:rPr>
                <w:spacing w:val="-11"/>
                <w:sz w:val="24"/>
                <w:szCs w:val="24"/>
              </w:rPr>
              <w:t>临时封井， 后期另行进行后期产能开发。因此，</w:t>
            </w:r>
            <w:r>
              <w:rPr>
                <w:spacing w:val="64"/>
                <w:sz w:val="24"/>
                <w:szCs w:val="24"/>
              </w:rPr>
              <w:t xml:space="preserve"> </w:t>
            </w:r>
            <w:r>
              <w:rPr>
                <w:spacing w:val="-11"/>
                <w:sz w:val="24"/>
                <w:szCs w:val="24"/>
              </w:rPr>
              <w:t>本工程只涉及钻井期钻井、试气等作业，</w:t>
            </w:r>
          </w:p>
          <w:p>
            <w:pPr>
              <w:pStyle w:val="6"/>
              <w:spacing w:before="1" w:line="218" w:lineRule="auto"/>
              <w:ind w:left="110"/>
              <w:rPr>
                <w:sz w:val="24"/>
                <w:szCs w:val="24"/>
              </w:rPr>
            </w:pPr>
            <w:r>
              <w:rPr>
                <w:spacing w:val="-1"/>
                <w:sz w:val="24"/>
                <w:szCs w:val="24"/>
              </w:rPr>
              <w:t>后续开采、集输工程需另行环评手续。因此，本项目不涉及</w:t>
            </w:r>
            <w:r>
              <w:rPr>
                <w:spacing w:val="-2"/>
                <w:sz w:val="24"/>
                <w:szCs w:val="24"/>
              </w:rPr>
              <w:t>运营期生态环境影响。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465" w:type="dxa"/>
            <w:tcBorders>
              <w:left w:val="single" w:color="000000" w:sz="6" w:space="0"/>
              <w:bottom w:val="single" w:color="000000" w:sz="6" w:space="0"/>
            </w:tcBorders>
            <w:textDirection w:val="tbRlV"/>
            <w:vAlign w:val="top"/>
          </w:tcPr>
          <w:p>
            <w:pPr>
              <w:pStyle w:val="6"/>
              <w:spacing w:before="112" w:line="209" w:lineRule="auto"/>
              <w:ind w:left="45"/>
              <w:rPr>
                <w:sz w:val="24"/>
                <w:szCs w:val="24"/>
              </w:rPr>
            </w:pPr>
            <w:r>
              <w:rPr>
                <w:spacing w:val="24"/>
                <w:w w:val="117"/>
                <w:sz w:val="24"/>
                <w:szCs w:val="24"/>
              </w:rPr>
              <w:t>选址选线环境合理性分析</w:t>
            </w:r>
          </w:p>
        </w:tc>
        <w:tc>
          <w:tcPr>
            <w:tcW w:w="9385" w:type="dxa"/>
            <w:tcBorders>
              <w:bottom w:val="single" w:color="000000" w:sz="6" w:space="0"/>
              <w:right w:val="single" w:color="000000" w:sz="6" w:space="0"/>
            </w:tcBorders>
            <w:vAlign w:val="top"/>
          </w:tcPr>
          <w:p>
            <w:pPr>
              <w:pStyle w:val="6"/>
              <w:spacing w:before="237" w:line="220" w:lineRule="auto"/>
              <w:ind w:left="105"/>
              <w:rPr>
                <w:sz w:val="24"/>
                <w:szCs w:val="24"/>
              </w:rPr>
            </w:pPr>
            <w:r>
              <w:rPr>
                <w:rFonts w:ascii="Times New Roman" w:hAnsi="Times New Roman" w:eastAsia="Times New Roman" w:cs="Times New Roman"/>
                <w:b/>
                <w:bCs/>
                <w:sz w:val="24"/>
                <w:szCs w:val="24"/>
              </w:rPr>
              <w:t xml:space="preserve">4.4 </w:t>
            </w:r>
            <w:r>
              <w:rPr>
                <w:sz w:val="24"/>
                <w:szCs w:val="24"/>
                <w14:textOutline w14:w="4354" w14:cap="flat" w14:cmpd="sng">
                  <w14:solidFill>
                    <w14:srgbClr w14:val="000000"/>
                  </w14:solidFill>
                  <w14:prstDash w14:val="solid"/>
                  <w14:miter w14:val="10"/>
                </w14:textOutline>
              </w:rPr>
              <w:t>选址合理性分析</w:t>
            </w:r>
          </w:p>
          <w:p>
            <w:pPr>
              <w:pStyle w:val="6"/>
              <w:spacing w:before="195" w:line="369" w:lineRule="auto"/>
              <w:ind w:left="109" w:right="33" w:firstLine="478"/>
              <w:jc w:val="both"/>
              <w:rPr>
                <w:sz w:val="24"/>
                <w:szCs w:val="24"/>
              </w:rPr>
            </w:pPr>
            <w:r>
              <w:rPr>
                <w:spacing w:val="-8"/>
                <w:sz w:val="24"/>
                <w:szCs w:val="24"/>
              </w:rPr>
              <w:t>地下天然气勘探具有明显的行业特殊性，</w:t>
            </w:r>
            <w:r>
              <w:rPr>
                <w:spacing w:val="47"/>
                <w:sz w:val="24"/>
                <w:szCs w:val="24"/>
              </w:rPr>
              <w:t xml:space="preserve"> </w:t>
            </w:r>
            <w:r>
              <w:rPr>
                <w:spacing w:val="-8"/>
                <w:sz w:val="24"/>
                <w:szCs w:val="24"/>
              </w:rPr>
              <w:t>在选址上很大程度上是“井下决定井上”，</w:t>
            </w:r>
            <w:r>
              <w:rPr>
                <w:sz w:val="24"/>
                <w:szCs w:val="24"/>
              </w:rPr>
              <w:t xml:space="preserve"> </w:t>
            </w:r>
            <w:r>
              <w:rPr>
                <w:spacing w:val="-2"/>
                <w:sz w:val="24"/>
                <w:szCs w:val="24"/>
              </w:rPr>
              <w:t>这决定了气田开发区域在大区域中的相对位置， 首先需要考虑的是该区域是否含有天然</w:t>
            </w:r>
            <w:r>
              <w:rPr>
                <w:spacing w:val="1"/>
                <w:sz w:val="24"/>
                <w:szCs w:val="24"/>
              </w:rPr>
              <w:t xml:space="preserve"> </w:t>
            </w:r>
            <w:r>
              <w:rPr>
                <w:spacing w:val="-5"/>
                <w:sz w:val="24"/>
                <w:szCs w:val="24"/>
              </w:rPr>
              <w:t>气，是否具有开采价值。 因此， 在选择井口的时候具有很大的约束，是通过天然气所在</w:t>
            </w:r>
          </w:p>
          <w:p>
            <w:pPr>
              <w:pStyle w:val="6"/>
              <w:spacing w:line="219" w:lineRule="auto"/>
              <w:ind w:left="108"/>
              <w:rPr>
                <w:sz w:val="24"/>
                <w:szCs w:val="24"/>
              </w:rPr>
            </w:pPr>
            <w:r>
              <w:rPr>
                <w:spacing w:val="-1"/>
                <w:sz w:val="24"/>
                <w:szCs w:val="24"/>
              </w:rPr>
              <w:t>位置来确定井口位置，然后通过人为的方式使井</w:t>
            </w:r>
            <w:r>
              <w:rPr>
                <w:spacing w:val="-2"/>
                <w:sz w:val="24"/>
                <w:szCs w:val="24"/>
              </w:rPr>
              <w:t>口满足相应的环保要求。</w:t>
            </w:r>
          </w:p>
          <w:p>
            <w:pPr>
              <w:pStyle w:val="6"/>
              <w:spacing w:before="194" w:line="480" w:lineRule="exact"/>
              <w:ind w:left="589"/>
              <w:rPr>
                <w:sz w:val="24"/>
                <w:szCs w:val="24"/>
              </w:rPr>
            </w:pPr>
            <w:r>
              <w:rPr>
                <w:spacing w:val="1"/>
                <w:position w:val="18"/>
                <w:sz w:val="24"/>
                <w:szCs w:val="24"/>
              </w:rPr>
              <w:t>本项目井场选址避开自然保护区、风景名胜区、地质公园、饮用水水源保护区、重</w:t>
            </w:r>
          </w:p>
          <w:p>
            <w:pPr>
              <w:pStyle w:val="6"/>
              <w:spacing w:line="219" w:lineRule="auto"/>
              <w:ind w:left="120"/>
              <w:rPr>
                <w:sz w:val="24"/>
                <w:szCs w:val="24"/>
              </w:rPr>
            </w:pPr>
            <w:r>
              <w:rPr>
                <w:spacing w:val="-3"/>
                <w:sz w:val="24"/>
                <w:szCs w:val="24"/>
              </w:rPr>
              <w:t>点保护野生动物栖息地等环境敏感区后确定。</w:t>
            </w:r>
          </w:p>
        </w:tc>
      </w:tr>
    </w:tbl>
    <w:p>
      <w:pPr>
        <w:pStyle w:val="2"/>
        <w:rPr>
          <w:sz w:val="21"/>
        </w:rPr>
      </w:pPr>
    </w:p>
    <w:p>
      <w:pPr>
        <w:rPr>
          <w:sz w:val="21"/>
          <w:szCs w:val="21"/>
        </w:rPr>
        <w:sectPr>
          <w:footerReference r:id="rId118"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1" w:line="220" w:lineRule="auto"/>
              <w:ind w:left="607"/>
              <w:rPr>
                <w:sz w:val="24"/>
                <w:szCs w:val="24"/>
              </w:rPr>
            </w:pPr>
            <w:r>
              <w:rPr>
                <w:rFonts w:ascii="Times New Roman" w:hAnsi="Times New Roman" w:eastAsia="Times New Roman" w:cs="Times New Roman"/>
                <w:spacing w:val="-4"/>
                <w:sz w:val="24"/>
                <w:szCs w:val="24"/>
              </w:rPr>
              <w:t>1</w:t>
            </w:r>
            <w:r>
              <w:rPr>
                <w:spacing w:val="-4"/>
                <w:sz w:val="24"/>
                <w:szCs w:val="24"/>
              </w:rPr>
              <w:t>、城乡规划符合性分析</w:t>
            </w:r>
          </w:p>
          <w:p>
            <w:pPr>
              <w:pStyle w:val="6"/>
              <w:spacing w:before="195" w:line="480" w:lineRule="exact"/>
              <w:ind w:left="589"/>
              <w:rPr>
                <w:sz w:val="24"/>
                <w:szCs w:val="24"/>
              </w:rPr>
            </w:pPr>
            <w:r>
              <w:rPr>
                <w:spacing w:val="3"/>
                <w:position w:val="18"/>
                <w:sz w:val="24"/>
                <w:szCs w:val="24"/>
              </w:rPr>
              <w:t>本项目取得了达州市通川区自然资源局出具的《关于凤探</w:t>
            </w:r>
            <w:r>
              <w:rPr>
                <w:spacing w:val="47"/>
                <w:position w:val="18"/>
                <w:sz w:val="24"/>
                <w:szCs w:val="24"/>
              </w:rPr>
              <w:t xml:space="preserve"> </w:t>
            </w:r>
            <w:r>
              <w:rPr>
                <w:rFonts w:ascii="Times New Roman" w:hAnsi="Times New Roman" w:eastAsia="Times New Roman" w:cs="Times New Roman"/>
                <w:spacing w:val="3"/>
                <w:position w:val="18"/>
                <w:sz w:val="24"/>
                <w:szCs w:val="24"/>
              </w:rPr>
              <w:t xml:space="preserve">1  </w:t>
            </w:r>
            <w:r>
              <w:rPr>
                <w:spacing w:val="3"/>
                <w:position w:val="18"/>
                <w:sz w:val="24"/>
                <w:szCs w:val="24"/>
              </w:rPr>
              <w:t>井规划选址意见的回</w:t>
            </w:r>
          </w:p>
          <w:p>
            <w:pPr>
              <w:pStyle w:val="6"/>
              <w:spacing w:before="1" w:line="218" w:lineRule="auto"/>
              <w:ind w:right="14"/>
              <w:jc w:val="right"/>
              <w:rPr>
                <w:sz w:val="24"/>
                <w:szCs w:val="24"/>
              </w:rPr>
            </w:pPr>
            <w:r>
              <w:rPr>
                <w:spacing w:val="-10"/>
                <w:sz w:val="24"/>
                <w:szCs w:val="24"/>
              </w:rPr>
              <w:t>函》， 且选址不在江陵镇场镇规划建设用地范围内。因此，</w:t>
            </w:r>
            <w:r>
              <w:rPr>
                <w:spacing w:val="47"/>
                <w:sz w:val="24"/>
                <w:szCs w:val="24"/>
              </w:rPr>
              <w:t xml:space="preserve"> </w:t>
            </w:r>
            <w:r>
              <w:rPr>
                <w:spacing w:val="-10"/>
                <w:sz w:val="24"/>
                <w:szCs w:val="24"/>
              </w:rPr>
              <w:t>本</w:t>
            </w:r>
            <w:r>
              <w:rPr>
                <w:spacing w:val="-11"/>
                <w:sz w:val="24"/>
                <w:szCs w:val="24"/>
              </w:rPr>
              <w:t>项目符合通川区城乡规划。</w:t>
            </w:r>
          </w:p>
          <w:p>
            <w:pPr>
              <w:pStyle w:val="6"/>
              <w:spacing w:before="194" w:line="220" w:lineRule="auto"/>
              <w:ind w:left="584"/>
              <w:rPr>
                <w:sz w:val="24"/>
                <w:szCs w:val="24"/>
              </w:rPr>
            </w:pPr>
            <w:r>
              <w:rPr>
                <w:rFonts w:ascii="Times New Roman" w:hAnsi="Times New Roman" w:eastAsia="Times New Roman" w:cs="Times New Roman"/>
                <w:spacing w:val="-2"/>
                <w:sz w:val="24"/>
                <w:szCs w:val="24"/>
              </w:rPr>
              <w:t>2</w:t>
            </w:r>
            <w:r>
              <w:rPr>
                <w:spacing w:val="-2"/>
                <w:sz w:val="24"/>
                <w:szCs w:val="24"/>
              </w:rPr>
              <w:t>、生态敏感性分析</w:t>
            </w:r>
          </w:p>
          <w:p>
            <w:pPr>
              <w:pStyle w:val="6"/>
              <w:spacing w:before="195" w:line="369" w:lineRule="auto"/>
              <w:ind w:left="109" w:right="106" w:firstLine="479"/>
              <w:rPr>
                <w:sz w:val="24"/>
                <w:szCs w:val="24"/>
              </w:rPr>
            </w:pPr>
            <w:r>
              <w:rPr>
                <w:spacing w:val="-3"/>
                <w:sz w:val="24"/>
                <w:szCs w:val="24"/>
              </w:rPr>
              <w:t xml:space="preserve">凤探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53"/>
                <w:w w:val="101"/>
                <w:sz w:val="24"/>
                <w:szCs w:val="24"/>
              </w:rPr>
              <w:t xml:space="preserve"> </w:t>
            </w:r>
            <w:r>
              <w:rPr>
                <w:spacing w:val="-3"/>
                <w:sz w:val="24"/>
                <w:szCs w:val="24"/>
              </w:rPr>
              <w:t>井组位于农村地区，占地类型主要为耕地，评价范围内不涉及生态红线、自</w:t>
            </w:r>
            <w:r>
              <w:rPr>
                <w:sz w:val="24"/>
                <w:szCs w:val="24"/>
              </w:rPr>
              <w:t xml:space="preserve"> </w:t>
            </w:r>
            <w:r>
              <w:rPr>
                <w:spacing w:val="1"/>
                <w:sz w:val="24"/>
                <w:szCs w:val="24"/>
              </w:rPr>
              <w:t>然保护区、森林公园、地质公园、风景名胜区核心区、集中式饮用水源保护区等环境敏</w:t>
            </w:r>
            <w:r>
              <w:rPr>
                <w:sz w:val="24"/>
                <w:szCs w:val="24"/>
              </w:rPr>
              <w:t xml:space="preserve"> </w:t>
            </w:r>
            <w:r>
              <w:rPr>
                <w:spacing w:val="-2"/>
                <w:sz w:val="24"/>
                <w:szCs w:val="24"/>
              </w:rPr>
              <w:t>感区；不在《四川省生态功能区划》禁止开发区、重点保护区范围内， 生态环</w:t>
            </w:r>
            <w:r>
              <w:rPr>
                <w:spacing w:val="-3"/>
                <w:sz w:val="24"/>
                <w:szCs w:val="24"/>
              </w:rPr>
              <w:t>境总体不</w:t>
            </w:r>
          </w:p>
          <w:p>
            <w:pPr>
              <w:pStyle w:val="6"/>
              <w:spacing w:line="219" w:lineRule="auto"/>
              <w:ind w:left="109"/>
              <w:rPr>
                <w:sz w:val="24"/>
                <w:szCs w:val="24"/>
              </w:rPr>
            </w:pPr>
            <w:r>
              <w:rPr>
                <w:spacing w:val="-11"/>
                <w:sz w:val="24"/>
                <w:szCs w:val="24"/>
              </w:rPr>
              <w:t>敏感。</w:t>
            </w:r>
          </w:p>
          <w:p>
            <w:pPr>
              <w:pStyle w:val="6"/>
              <w:spacing w:before="195" w:line="220" w:lineRule="auto"/>
              <w:ind w:left="588"/>
              <w:rPr>
                <w:sz w:val="24"/>
                <w:szCs w:val="24"/>
              </w:rPr>
            </w:pPr>
            <w:r>
              <w:rPr>
                <w:rFonts w:ascii="Times New Roman" w:hAnsi="Times New Roman" w:eastAsia="Times New Roman" w:cs="Times New Roman"/>
                <w:spacing w:val="-2"/>
                <w:sz w:val="24"/>
                <w:szCs w:val="24"/>
              </w:rPr>
              <w:t>3</w:t>
            </w:r>
            <w:r>
              <w:rPr>
                <w:spacing w:val="-2"/>
                <w:sz w:val="24"/>
                <w:szCs w:val="24"/>
              </w:rPr>
              <w:t>、与行业规范符合性分析</w:t>
            </w:r>
          </w:p>
          <w:p>
            <w:pPr>
              <w:pStyle w:val="6"/>
              <w:spacing w:before="194" w:line="480" w:lineRule="exact"/>
              <w:ind w:left="589"/>
              <w:rPr>
                <w:sz w:val="24"/>
                <w:szCs w:val="24"/>
              </w:rPr>
            </w:pPr>
            <w:r>
              <w:rPr>
                <w:spacing w:val="-1"/>
                <w:position w:val="18"/>
                <w:sz w:val="24"/>
                <w:szCs w:val="24"/>
              </w:rPr>
              <w:t xml:space="preserve">本项目选址不涉及生态红线及其他生态敏感区，周边 </w:t>
            </w:r>
            <w:r>
              <w:rPr>
                <w:rFonts w:ascii="Times New Roman" w:hAnsi="Times New Roman" w:eastAsia="Times New Roman" w:cs="Times New Roman"/>
                <w:spacing w:val="-1"/>
                <w:position w:val="18"/>
                <w:sz w:val="24"/>
                <w:szCs w:val="24"/>
              </w:rPr>
              <w:t xml:space="preserve">500m  </w:t>
            </w:r>
            <w:r>
              <w:rPr>
                <w:spacing w:val="-1"/>
                <w:position w:val="18"/>
                <w:sz w:val="24"/>
                <w:szCs w:val="24"/>
              </w:rPr>
              <w:t>无学校、城镇、居民集</w:t>
            </w:r>
          </w:p>
          <w:p>
            <w:pPr>
              <w:pStyle w:val="6"/>
              <w:spacing w:before="1" w:line="219" w:lineRule="auto"/>
              <w:ind w:left="130"/>
              <w:rPr>
                <w:sz w:val="24"/>
                <w:szCs w:val="24"/>
              </w:rPr>
            </w:pPr>
            <w:r>
              <w:rPr>
                <w:spacing w:val="-7"/>
                <w:sz w:val="24"/>
                <w:szCs w:val="24"/>
              </w:rPr>
              <w:t>中区等环境敏感区。</w:t>
            </w:r>
          </w:p>
          <w:p>
            <w:pPr>
              <w:pStyle w:val="6"/>
              <w:spacing w:before="197" w:line="369" w:lineRule="auto"/>
              <w:ind w:left="107" w:right="32" w:firstLine="481"/>
              <w:rPr>
                <w:sz w:val="24"/>
                <w:szCs w:val="24"/>
              </w:rPr>
            </w:pPr>
            <w:r>
              <w:rPr>
                <w:spacing w:val="-6"/>
                <w:sz w:val="24"/>
                <w:szCs w:val="24"/>
              </w:rPr>
              <w:t xml:space="preserve">本项目井口 </w:t>
            </w:r>
            <w:r>
              <w:rPr>
                <w:rFonts w:ascii="Times New Roman" w:hAnsi="Times New Roman" w:eastAsia="Times New Roman" w:cs="Times New Roman"/>
                <w:spacing w:val="-6"/>
                <w:sz w:val="24"/>
                <w:szCs w:val="24"/>
              </w:rPr>
              <w:t>100m</w:t>
            </w:r>
            <w:r>
              <w:rPr>
                <w:rFonts w:ascii="Times New Roman" w:hAnsi="Times New Roman" w:eastAsia="Times New Roman" w:cs="Times New Roman"/>
                <w:spacing w:val="40"/>
                <w:w w:val="101"/>
                <w:sz w:val="24"/>
                <w:szCs w:val="24"/>
              </w:rPr>
              <w:t xml:space="preserve"> </w:t>
            </w:r>
            <w:r>
              <w:rPr>
                <w:spacing w:val="-6"/>
                <w:sz w:val="24"/>
                <w:szCs w:val="24"/>
              </w:rPr>
              <w:t>范围内无居民， 距离工程最近的学校位于井口东北侧约</w:t>
            </w:r>
            <w:r>
              <w:rPr>
                <w:spacing w:val="-44"/>
                <w:sz w:val="24"/>
                <w:szCs w:val="24"/>
              </w:rPr>
              <w:t xml:space="preserve"> </w:t>
            </w:r>
            <w:r>
              <w:rPr>
                <w:rFonts w:ascii="Times New Roman" w:hAnsi="Times New Roman" w:eastAsia="Times New Roman" w:cs="Times New Roman"/>
                <w:spacing w:val="-6"/>
                <w:sz w:val="24"/>
                <w:szCs w:val="24"/>
              </w:rPr>
              <w:t>2815m</w:t>
            </w:r>
            <w:r>
              <w:rPr>
                <w:rFonts w:ascii="Times New Roman" w:hAnsi="Times New Roman" w:eastAsia="Times New Roman" w:cs="Times New Roman"/>
                <w:spacing w:val="39"/>
                <w:sz w:val="24"/>
                <w:szCs w:val="24"/>
              </w:rPr>
              <w:t xml:space="preserve"> </w:t>
            </w:r>
            <w:r>
              <w:rPr>
                <w:spacing w:val="-6"/>
                <w:sz w:val="24"/>
                <w:szCs w:val="24"/>
              </w:rPr>
              <w:t>的</w:t>
            </w:r>
            <w:r>
              <w:rPr>
                <w:sz w:val="24"/>
                <w:szCs w:val="24"/>
              </w:rPr>
              <w:t xml:space="preserve"> </w:t>
            </w:r>
            <w:r>
              <w:rPr>
                <w:spacing w:val="-1"/>
                <w:sz w:val="24"/>
                <w:szCs w:val="24"/>
              </w:rPr>
              <w:t xml:space="preserve">马垭小学；距离工程最近的城镇为南侧 </w:t>
            </w:r>
            <w:r>
              <w:rPr>
                <w:rFonts w:ascii="Times New Roman" w:hAnsi="Times New Roman" w:eastAsia="Times New Roman" w:cs="Times New Roman"/>
                <w:spacing w:val="-1"/>
                <w:sz w:val="24"/>
                <w:szCs w:val="24"/>
              </w:rPr>
              <w:t xml:space="preserve">3.6kmm  </w:t>
            </w:r>
            <w:r>
              <w:rPr>
                <w:spacing w:val="-1"/>
                <w:sz w:val="24"/>
                <w:szCs w:val="24"/>
              </w:rPr>
              <w:t>的江陵镇。符合《钻前工程及井场布置</w:t>
            </w:r>
            <w:r>
              <w:rPr>
                <w:spacing w:val="7"/>
                <w:sz w:val="24"/>
                <w:szCs w:val="24"/>
              </w:rPr>
              <w:t xml:space="preserve"> </w:t>
            </w:r>
            <w:r>
              <w:rPr>
                <w:spacing w:val="-5"/>
                <w:sz w:val="24"/>
                <w:szCs w:val="24"/>
              </w:rPr>
              <w:t>技术要求》（</w:t>
            </w:r>
            <w:r>
              <w:rPr>
                <w:rFonts w:ascii="Times New Roman" w:hAnsi="Times New Roman" w:eastAsia="Times New Roman" w:cs="Times New Roman"/>
                <w:spacing w:val="-5"/>
                <w:sz w:val="24"/>
                <w:szCs w:val="24"/>
              </w:rPr>
              <w:t>SY/T5466-2013</w:t>
            </w:r>
            <w:r>
              <w:rPr>
                <w:spacing w:val="-5"/>
                <w:sz w:val="24"/>
                <w:szCs w:val="24"/>
              </w:rPr>
              <w:t>）</w:t>
            </w:r>
            <w:r>
              <w:rPr>
                <w:spacing w:val="-6"/>
                <w:sz w:val="24"/>
                <w:szCs w:val="24"/>
              </w:rPr>
              <w:t>中“天然气井井口距高压线及其他永久性设施不小于</w:t>
            </w:r>
            <w:r>
              <w:rPr>
                <w:spacing w:val="-51"/>
                <w:sz w:val="24"/>
                <w:szCs w:val="24"/>
              </w:rPr>
              <w:t xml:space="preserve"> </w:t>
            </w:r>
            <w:r>
              <w:rPr>
                <w:rFonts w:ascii="Times New Roman" w:hAnsi="Times New Roman" w:eastAsia="Times New Roman" w:cs="Times New Roman"/>
                <w:spacing w:val="-6"/>
                <w:sz w:val="24"/>
                <w:szCs w:val="24"/>
              </w:rPr>
              <w:t>75m</w:t>
            </w:r>
            <w:r>
              <w:rPr>
                <w:spacing w:val="-6"/>
                <w:sz w:val="24"/>
                <w:szCs w:val="24"/>
              </w:rPr>
              <w:t>，</w:t>
            </w:r>
            <w:r>
              <w:rPr>
                <w:sz w:val="24"/>
                <w:szCs w:val="24"/>
              </w:rPr>
              <w:t xml:space="preserve"> </w:t>
            </w:r>
            <w:r>
              <w:rPr>
                <w:spacing w:val="-2"/>
                <w:sz w:val="24"/>
                <w:szCs w:val="24"/>
              </w:rPr>
              <w:t xml:space="preserve">距民宅不小于 </w:t>
            </w:r>
            <w:r>
              <w:rPr>
                <w:rFonts w:ascii="Times New Roman" w:hAnsi="Times New Roman" w:eastAsia="Times New Roman" w:cs="Times New Roman"/>
                <w:spacing w:val="-2"/>
                <w:sz w:val="24"/>
                <w:szCs w:val="24"/>
              </w:rPr>
              <w:t>100m</w:t>
            </w:r>
            <w:r>
              <w:rPr>
                <w:spacing w:val="-2"/>
                <w:sz w:val="24"/>
                <w:szCs w:val="24"/>
              </w:rPr>
              <w:t>，距铁路高速公路不小于</w:t>
            </w:r>
            <w:r>
              <w:rPr>
                <w:spacing w:val="-5"/>
                <w:sz w:val="24"/>
                <w:szCs w:val="24"/>
              </w:rPr>
              <w:t xml:space="preserve"> </w:t>
            </w:r>
            <w:r>
              <w:rPr>
                <w:rFonts w:ascii="Times New Roman" w:hAnsi="Times New Roman" w:eastAsia="Times New Roman" w:cs="Times New Roman"/>
                <w:spacing w:val="-2"/>
                <w:sz w:val="24"/>
                <w:szCs w:val="24"/>
              </w:rPr>
              <w:t>200m</w:t>
            </w:r>
            <w:r>
              <w:rPr>
                <w:spacing w:val="-2"/>
                <w:sz w:val="24"/>
                <w:szCs w:val="24"/>
              </w:rPr>
              <w:t>，距学校、医院和大型油库等人口密</w:t>
            </w:r>
            <w:r>
              <w:rPr>
                <w:sz w:val="24"/>
                <w:szCs w:val="24"/>
              </w:rPr>
              <w:t xml:space="preserve"> </w:t>
            </w:r>
            <w:r>
              <w:rPr>
                <w:spacing w:val="15"/>
                <w:sz w:val="24"/>
                <w:szCs w:val="24"/>
              </w:rPr>
              <w:t xml:space="preserve">集性、高危性场所不小于 </w:t>
            </w:r>
            <w:r>
              <w:rPr>
                <w:rFonts w:ascii="Times New Roman" w:hAnsi="Times New Roman" w:eastAsia="Times New Roman" w:cs="Times New Roman"/>
                <w:spacing w:val="15"/>
                <w:sz w:val="24"/>
                <w:szCs w:val="24"/>
              </w:rPr>
              <w:t>500m</w:t>
            </w:r>
            <w:r>
              <w:rPr>
                <w:spacing w:val="15"/>
                <w:sz w:val="24"/>
                <w:szCs w:val="24"/>
              </w:rPr>
              <w:t>”。根据《含硫化氢天然气井公</w:t>
            </w:r>
            <w:r>
              <w:rPr>
                <w:spacing w:val="14"/>
                <w:sz w:val="24"/>
                <w:szCs w:val="24"/>
              </w:rPr>
              <w:t>众安全防护距离》</w:t>
            </w:r>
            <w:r>
              <w:rPr>
                <w:sz w:val="24"/>
                <w:szCs w:val="24"/>
              </w:rPr>
              <w:t xml:space="preserve"> （</w:t>
            </w:r>
            <w:r>
              <w:rPr>
                <w:rFonts w:ascii="Times New Roman" w:hAnsi="Times New Roman" w:eastAsia="Times New Roman" w:cs="Times New Roman"/>
                <w:sz w:val="24"/>
                <w:szCs w:val="24"/>
              </w:rPr>
              <w:t>AQ2018-2008</w:t>
            </w:r>
            <w:r>
              <w:rPr>
                <w:spacing w:val="-11"/>
                <w:sz w:val="24"/>
                <w:szCs w:val="24"/>
              </w:rPr>
              <w:t>），</w:t>
            </w:r>
            <w:r>
              <w:rPr>
                <w:sz w:val="24"/>
                <w:szCs w:val="24"/>
              </w:rPr>
              <w:t xml:space="preserve">“井口距民宅应不小于 </w:t>
            </w:r>
            <w:r>
              <w:rPr>
                <w:rFonts w:ascii="Times New Roman" w:hAnsi="Times New Roman" w:eastAsia="Times New Roman" w:cs="Times New Roman"/>
                <w:sz w:val="24"/>
                <w:szCs w:val="24"/>
              </w:rPr>
              <w:t>100m</w:t>
            </w:r>
            <w:r>
              <w:rPr>
                <w:sz w:val="24"/>
                <w:szCs w:val="24"/>
              </w:rPr>
              <w:t>；距铁路及</w:t>
            </w:r>
            <w:r>
              <w:rPr>
                <w:spacing w:val="-1"/>
                <w:sz w:val="24"/>
                <w:szCs w:val="24"/>
              </w:rPr>
              <w:t xml:space="preserve">高速公路应不小于 </w:t>
            </w:r>
            <w:r>
              <w:rPr>
                <w:rFonts w:ascii="Times New Roman" w:hAnsi="Times New Roman" w:eastAsia="Times New Roman" w:cs="Times New Roman"/>
                <w:spacing w:val="-1"/>
                <w:sz w:val="24"/>
                <w:szCs w:val="24"/>
              </w:rPr>
              <w:t>200m</w:t>
            </w:r>
            <w:r>
              <w:rPr>
                <w:spacing w:val="-1"/>
                <w:sz w:val="24"/>
                <w:szCs w:val="24"/>
              </w:rPr>
              <w:t>；</w:t>
            </w:r>
          </w:p>
          <w:p>
            <w:pPr>
              <w:pStyle w:val="6"/>
              <w:spacing w:before="1" w:line="219" w:lineRule="auto"/>
              <w:ind w:left="107"/>
              <w:rPr>
                <w:sz w:val="24"/>
                <w:szCs w:val="24"/>
              </w:rPr>
            </w:pPr>
            <w:r>
              <w:rPr>
                <w:spacing w:val="-1"/>
                <w:sz w:val="24"/>
                <w:szCs w:val="24"/>
              </w:rPr>
              <w:t>距公共设施及城镇中心应不小于</w:t>
            </w:r>
            <w:r>
              <w:rPr>
                <w:spacing w:val="-48"/>
                <w:sz w:val="24"/>
                <w:szCs w:val="24"/>
              </w:rPr>
              <w:t xml:space="preserve"> </w:t>
            </w:r>
            <w:r>
              <w:rPr>
                <w:rFonts w:ascii="Times New Roman" w:hAnsi="Times New Roman" w:eastAsia="Times New Roman" w:cs="Times New Roman"/>
                <w:spacing w:val="-1"/>
                <w:sz w:val="24"/>
                <w:szCs w:val="24"/>
              </w:rPr>
              <w:t>500m</w:t>
            </w:r>
            <w:r>
              <w:rPr>
                <w:rFonts w:ascii="Times New Roman" w:hAnsi="Times New Roman" w:eastAsia="Times New Roman" w:cs="Times New Roman"/>
                <w:spacing w:val="-28"/>
                <w:sz w:val="24"/>
                <w:szCs w:val="24"/>
              </w:rPr>
              <w:t xml:space="preserve"> </w:t>
            </w:r>
            <w:r>
              <w:rPr>
                <w:spacing w:val="-1"/>
                <w:sz w:val="24"/>
                <w:szCs w:val="24"/>
              </w:rPr>
              <w:t>”。</w:t>
            </w:r>
          </w:p>
          <w:p>
            <w:pPr>
              <w:pStyle w:val="6"/>
              <w:spacing w:before="195" w:line="369" w:lineRule="auto"/>
              <w:ind w:left="111" w:right="101" w:firstLine="477"/>
              <w:rPr>
                <w:sz w:val="24"/>
                <w:szCs w:val="24"/>
              </w:rPr>
            </w:pPr>
            <w:r>
              <w:rPr>
                <w:spacing w:val="-2"/>
                <w:sz w:val="24"/>
                <w:szCs w:val="24"/>
              </w:rPr>
              <w:t>根据现场调查，本项目井口</w:t>
            </w:r>
            <w:r>
              <w:rPr>
                <w:spacing w:val="-41"/>
                <w:sz w:val="24"/>
                <w:szCs w:val="24"/>
              </w:rPr>
              <w:t xml:space="preserve"> </w:t>
            </w:r>
            <w:r>
              <w:rPr>
                <w:rFonts w:ascii="Times New Roman" w:hAnsi="Times New Roman" w:eastAsia="Times New Roman" w:cs="Times New Roman"/>
                <w:spacing w:val="-2"/>
                <w:sz w:val="24"/>
                <w:szCs w:val="24"/>
              </w:rPr>
              <w:t>75m</w:t>
            </w:r>
            <w:r>
              <w:rPr>
                <w:rFonts w:ascii="Times New Roman" w:hAnsi="Times New Roman" w:eastAsia="Times New Roman" w:cs="Times New Roman"/>
                <w:spacing w:val="25"/>
                <w:w w:val="101"/>
                <w:sz w:val="24"/>
                <w:szCs w:val="24"/>
              </w:rPr>
              <w:t xml:space="preserve"> </w:t>
            </w:r>
            <w:r>
              <w:rPr>
                <w:spacing w:val="-2"/>
                <w:sz w:val="24"/>
                <w:szCs w:val="24"/>
              </w:rPr>
              <w:t>范围内无其他永久性设施；井口</w:t>
            </w:r>
            <w:r>
              <w:rPr>
                <w:spacing w:val="-22"/>
                <w:sz w:val="24"/>
                <w:szCs w:val="24"/>
              </w:rPr>
              <w:t xml:space="preserve"> </w:t>
            </w:r>
            <w:r>
              <w:rPr>
                <w:rFonts w:ascii="Times New Roman" w:hAnsi="Times New Roman" w:eastAsia="Times New Roman" w:cs="Times New Roman"/>
                <w:spacing w:val="-2"/>
                <w:sz w:val="24"/>
                <w:szCs w:val="24"/>
              </w:rPr>
              <w:t>100m</w:t>
            </w:r>
            <w:r>
              <w:rPr>
                <w:rFonts w:ascii="Times New Roman" w:hAnsi="Times New Roman" w:eastAsia="Times New Roman" w:cs="Times New Roman"/>
                <w:spacing w:val="26"/>
                <w:sz w:val="24"/>
                <w:szCs w:val="24"/>
              </w:rPr>
              <w:t xml:space="preserve"> </w:t>
            </w:r>
            <w:r>
              <w:rPr>
                <w:spacing w:val="-2"/>
                <w:sz w:val="24"/>
                <w:szCs w:val="24"/>
              </w:rPr>
              <w:t>范围内</w:t>
            </w:r>
            <w:r>
              <w:rPr>
                <w:spacing w:val="-3"/>
                <w:sz w:val="24"/>
                <w:szCs w:val="24"/>
              </w:rPr>
              <w:t>无居</w:t>
            </w:r>
            <w:r>
              <w:rPr>
                <w:sz w:val="24"/>
                <w:szCs w:val="24"/>
              </w:rPr>
              <w:t xml:space="preserve"> </w:t>
            </w:r>
            <w:r>
              <w:rPr>
                <w:spacing w:val="-6"/>
                <w:sz w:val="24"/>
                <w:szCs w:val="24"/>
              </w:rPr>
              <w:t>民；</w:t>
            </w:r>
            <w:r>
              <w:rPr>
                <w:rFonts w:ascii="Times New Roman" w:hAnsi="Times New Roman" w:eastAsia="Times New Roman" w:cs="Times New Roman"/>
                <w:spacing w:val="-6"/>
                <w:sz w:val="24"/>
                <w:szCs w:val="24"/>
              </w:rPr>
              <w:t>200m</w:t>
            </w:r>
            <w:r>
              <w:rPr>
                <w:rFonts w:ascii="Times New Roman" w:hAnsi="Times New Roman" w:eastAsia="Times New Roman" w:cs="Times New Roman"/>
                <w:spacing w:val="49"/>
                <w:w w:val="101"/>
                <w:sz w:val="24"/>
                <w:szCs w:val="24"/>
              </w:rPr>
              <w:t xml:space="preserve"> </w:t>
            </w:r>
            <w:r>
              <w:rPr>
                <w:spacing w:val="-6"/>
                <w:sz w:val="24"/>
                <w:szCs w:val="24"/>
              </w:rPr>
              <w:t>范围内无铁路、高速公路；</w:t>
            </w:r>
            <w:r>
              <w:rPr>
                <w:spacing w:val="68"/>
                <w:sz w:val="24"/>
                <w:szCs w:val="24"/>
              </w:rPr>
              <w:t xml:space="preserve"> </w:t>
            </w:r>
            <w:r>
              <w:rPr>
                <w:rFonts w:ascii="Times New Roman" w:hAnsi="Times New Roman" w:eastAsia="Times New Roman" w:cs="Times New Roman"/>
                <w:spacing w:val="-6"/>
                <w:sz w:val="24"/>
                <w:szCs w:val="24"/>
              </w:rPr>
              <w:t>500m</w:t>
            </w:r>
            <w:r>
              <w:rPr>
                <w:rFonts w:ascii="Times New Roman" w:hAnsi="Times New Roman" w:eastAsia="Times New Roman" w:cs="Times New Roman"/>
                <w:spacing w:val="35"/>
                <w:sz w:val="24"/>
                <w:szCs w:val="24"/>
              </w:rPr>
              <w:t xml:space="preserve"> </w:t>
            </w:r>
            <w:r>
              <w:rPr>
                <w:spacing w:val="-6"/>
                <w:sz w:val="24"/>
                <w:szCs w:val="24"/>
              </w:rPr>
              <w:t>范围内无学校、医院和大型油库等人口密集</w:t>
            </w:r>
            <w:r>
              <w:rPr>
                <w:sz w:val="24"/>
                <w:szCs w:val="24"/>
              </w:rPr>
              <w:t xml:space="preserve"> </w:t>
            </w:r>
            <w:r>
              <w:rPr>
                <w:spacing w:val="-8"/>
                <w:sz w:val="24"/>
                <w:szCs w:val="24"/>
              </w:rPr>
              <w:t>性、高危性场所，</w:t>
            </w:r>
            <w:r>
              <w:rPr>
                <w:spacing w:val="58"/>
                <w:sz w:val="24"/>
                <w:szCs w:val="24"/>
              </w:rPr>
              <w:t xml:space="preserve"> </w:t>
            </w:r>
            <w:r>
              <w:rPr>
                <w:spacing w:val="-8"/>
                <w:sz w:val="24"/>
                <w:szCs w:val="24"/>
              </w:rPr>
              <w:t>符合《钻前工程及井场布置技术要求》 （</w:t>
            </w:r>
            <w:r>
              <w:rPr>
                <w:rFonts w:ascii="Times New Roman" w:hAnsi="Times New Roman" w:eastAsia="Times New Roman" w:cs="Times New Roman"/>
                <w:spacing w:val="-8"/>
                <w:sz w:val="24"/>
                <w:szCs w:val="24"/>
              </w:rPr>
              <w:t>SY/T</w:t>
            </w:r>
            <w:r>
              <w:rPr>
                <w:rFonts w:ascii="Times New Roman" w:hAnsi="Times New Roman" w:eastAsia="Times New Roman" w:cs="Times New Roman"/>
                <w:spacing w:val="-9"/>
                <w:sz w:val="24"/>
                <w:szCs w:val="24"/>
              </w:rPr>
              <w:t>5466-2013</w:t>
            </w:r>
            <w:r>
              <w:rPr>
                <w:spacing w:val="-9"/>
                <w:sz w:val="24"/>
                <w:szCs w:val="24"/>
              </w:rPr>
              <w:t>）、《含硫化</w:t>
            </w:r>
          </w:p>
          <w:p>
            <w:pPr>
              <w:pStyle w:val="6"/>
              <w:spacing w:before="1" w:line="215" w:lineRule="auto"/>
              <w:ind w:left="108"/>
              <w:rPr>
                <w:sz w:val="24"/>
                <w:szCs w:val="24"/>
              </w:rPr>
            </w:pPr>
            <w:r>
              <w:rPr>
                <w:spacing w:val="-1"/>
                <w:sz w:val="24"/>
                <w:szCs w:val="24"/>
              </w:rPr>
              <w:t>氢天然气井公众安全防护距离》（</w:t>
            </w:r>
            <w:r>
              <w:rPr>
                <w:rFonts w:ascii="Times New Roman" w:hAnsi="Times New Roman" w:eastAsia="Times New Roman" w:cs="Times New Roman"/>
                <w:spacing w:val="-1"/>
                <w:sz w:val="24"/>
                <w:szCs w:val="24"/>
              </w:rPr>
              <w:t>AQ2018-2008</w:t>
            </w:r>
            <w:r>
              <w:rPr>
                <w:spacing w:val="-2"/>
                <w:sz w:val="24"/>
                <w:szCs w:val="24"/>
              </w:rPr>
              <w:t>）等规定要求。</w:t>
            </w:r>
          </w:p>
          <w:p>
            <w:pPr>
              <w:pStyle w:val="6"/>
              <w:spacing w:before="199" w:line="219" w:lineRule="auto"/>
              <w:ind w:left="582"/>
              <w:rPr>
                <w:sz w:val="24"/>
                <w:szCs w:val="24"/>
              </w:rPr>
            </w:pPr>
            <w:r>
              <w:rPr>
                <w:rFonts w:ascii="Times New Roman" w:hAnsi="Times New Roman" w:eastAsia="Times New Roman" w:cs="Times New Roman"/>
                <w:spacing w:val="-1"/>
                <w:sz w:val="24"/>
                <w:szCs w:val="24"/>
              </w:rPr>
              <w:t>4</w:t>
            </w:r>
            <w:r>
              <w:rPr>
                <w:spacing w:val="-1"/>
                <w:sz w:val="24"/>
                <w:szCs w:val="24"/>
              </w:rPr>
              <w:t>、占用基本农田不可避免性分析</w:t>
            </w:r>
          </w:p>
          <w:p>
            <w:pPr>
              <w:pStyle w:val="6"/>
              <w:spacing w:before="198" w:line="369" w:lineRule="auto"/>
              <w:ind w:left="109" w:right="99" w:firstLine="482"/>
              <w:rPr>
                <w:sz w:val="24"/>
                <w:szCs w:val="24"/>
              </w:rPr>
            </w:pPr>
            <w:r>
              <w:rPr>
                <w:spacing w:val="1"/>
                <w:sz w:val="24"/>
                <w:szCs w:val="24"/>
              </w:rPr>
              <w:t>项目为天然气勘探项目，属典型</w:t>
            </w:r>
            <w:r>
              <w:rPr>
                <w:rFonts w:ascii="Times New Roman" w:hAnsi="Times New Roman" w:eastAsia="Times New Roman" w:cs="Times New Roman"/>
                <w:spacing w:val="1"/>
                <w:sz w:val="24"/>
                <w:szCs w:val="24"/>
              </w:rPr>
              <w:t>“</w:t>
            </w:r>
            <w:r>
              <w:rPr>
                <w:spacing w:val="1"/>
                <w:sz w:val="24"/>
                <w:szCs w:val="24"/>
              </w:rPr>
              <w:t>地下决定地上</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9"/>
                <w:sz w:val="24"/>
                <w:szCs w:val="24"/>
              </w:rPr>
              <w:t xml:space="preserve"> </w:t>
            </w:r>
            <w:r>
              <w:rPr>
                <w:spacing w:val="1"/>
                <w:sz w:val="24"/>
                <w:szCs w:val="24"/>
              </w:rPr>
              <w:t>型项目，本项目所在区域为农村区</w:t>
            </w:r>
            <w:r>
              <w:rPr>
                <w:sz w:val="24"/>
                <w:szCs w:val="24"/>
              </w:rPr>
              <w:t xml:space="preserve"> </w:t>
            </w:r>
            <w:r>
              <w:rPr>
                <w:spacing w:val="-2"/>
                <w:sz w:val="24"/>
                <w:szCs w:val="24"/>
              </w:rPr>
              <w:t>域，周边除林地、居民建设宅基地等用地外，均属于基本农田，确难避让基本农田， 项</w:t>
            </w:r>
            <w:r>
              <w:rPr>
                <w:sz w:val="24"/>
                <w:szCs w:val="24"/>
              </w:rPr>
              <w:t xml:space="preserve"> </w:t>
            </w:r>
            <w:r>
              <w:rPr>
                <w:spacing w:val="-6"/>
                <w:sz w:val="24"/>
                <w:szCs w:val="24"/>
              </w:rPr>
              <w:t xml:space="preserve">目已取得达州市通川区自然资源局出具的《关于凤探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39"/>
                <w:sz w:val="24"/>
                <w:szCs w:val="24"/>
              </w:rPr>
              <w:t xml:space="preserve"> </w:t>
            </w:r>
            <w:r>
              <w:rPr>
                <w:spacing w:val="-6"/>
                <w:sz w:val="24"/>
                <w:szCs w:val="24"/>
              </w:rPr>
              <w:t>井规划选址意见的回函》</w:t>
            </w:r>
            <w:r>
              <w:rPr>
                <w:spacing w:val="43"/>
                <w:sz w:val="24"/>
                <w:szCs w:val="24"/>
              </w:rPr>
              <w:t xml:space="preserve"> </w:t>
            </w:r>
            <w:r>
              <w:rPr>
                <w:spacing w:val="-6"/>
                <w:sz w:val="24"/>
                <w:szCs w:val="24"/>
              </w:rPr>
              <w:t>。本项</w:t>
            </w:r>
            <w:r>
              <w:rPr>
                <w:sz w:val="24"/>
                <w:szCs w:val="24"/>
              </w:rPr>
              <w:t xml:space="preserve"> </w:t>
            </w:r>
            <w:r>
              <w:rPr>
                <w:spacing w:val="1"/>
                <w:sz w:val="24"/>
                <w:szCs w:val="24"/>
              </w:rPr>
              <w:t>目在井场选址过程中需避免进行林地的砍伐，减少对生态环境造成较大的破坏；同时也</w:t>
            </w:r>
            <w:r>
              <w:rPr>
                <w:spacing w:val="5"/>
                <w:sz w:val="24"/>
                <w:szCs w:val="24"/>
              </w:rPr>
              <w:t xml:space="preserve"> </w:t>
            </w:r>
            <w:r>
              <w:rPr>
                <w:spacing w:val="-1"/>
                <w:sz w:val="24"/>
                <w:szCs w:val="24"/>
              </w:rPr>
              <w:t>要规避居民点等敏感点，</w:t>
            </w:r>
            <w:r>
              <w:rPr>
                <w:spacing w:val="-22"/>
                <w:sz w:val="24"/>
                <w:szCs w:val="24"/>
              </w:rPr>
              <w:t xml:space="preserve"> </w:t>
            </w:r>
            <w:r>
              <w:rPr>
                <w:spacing w:val="-1"/>
                <w:sz w:val="24"/>
                <w:szCs w:val="24"/>
              </w:rPr>
              <w:t>控制环境风险后果</w:t>
            </w:r>
            <w:r>
              <w:rPr>
                <w:spacing w:val="-2"/>
                <w:sz w:val="24"/>
                <w:szCs w:val="24"/>
              </w:rPr>
              <w:t>影响。钻井工程项目选址主要位于耕地上，</w:t>
            </w:r>
          </w:p>
          <w:p>
            <w:pPr>
              <w:pStyle w:val="6"/>
              <w:spacing w:before="1" w:line="218" w:lineRule="auto"/>
              <w:ind w:left="109"/>
              <w:rPr>
                <w:sz w:val="24"/>
                <w:szCs w:val="24"/>
              </w:rPr>
            </w:pPr>
            <w:r>
              <w:rPr>
                <w:spacing w:val="1"/>
                <w:sz w:val="24"/>
                <w:szCs w:val="24"/>
              </w:rPr>
              <w:t>本项目属于临时工程，钻井结束后若无油气显示立即进行覆土还耕，对原有生态现状影</w:t>
            </w:r>
          </w:p>
        </w:tc>
      </w:tr>
    </w:tbl>
    <w:p>
      <w:pPr>
        <w:pStyle w:val="2"/>
        <w:rPr>
          <w:sz w:val="21"/>
        </w:rPr>
      </w:pPr>
    </w:p>
    <w:p>
      <w:pPr>
        <w:rPr>
          <w:sz w:val="21"/>
          <w:szCs w:val="21"/>
        </w:rPr>
        <w:sectPr>
          <w:footerReference r:id="rId119" w:type="default"/>
          <w:pgSz w:w="11907" w:h="16839"/>
          <w:pgMar w:top="400" w:right="1020" w:bottom="1181" w:left="1020" w:header="0" w:footer="920" w:gutter="0"/>
          <w:cols w:space="720" w:num="1"/>
        </w:sectPr>
      </w:pPr>
    </w:p>
    <w:p>
      <w:pPr>
        <w:spacing w:before="13"/>
      </w:pPr>
    </w:p>
    <w:p>
      <w:pPr>
        <w:spacing w:before="13"/>
      </w:pPr>
    </w:p>
    <w:p>
      <w:pPr>
        <w:spacing w:before="13"/>
      </w:pPr>
    </w:p>
    <w:p>
      <w:pPr>
        <w:spacing w:before="13"/>
      </w:pPr>
    </w:p>
    <w:tbl>
      <w:tblPr>
        <w:tblStyle w:val="5"/>
        <w:tblW w:w="9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3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9" w:hRule="atLeast"/>
        </w:trPr>
        <w:tc>
          <w:tcPr>
            <w:tcW w:w="465" w:type="dxa"/>
            <w:tcBorders>
              <w:right w:val="single" w:color="000000" w:sz="2" w:space="0"/>
            </w:tcBorders>
            <w:vAlign w:val="top"/>
          </w:tcPr>
          <w:p>
            <w:pPr>
              <w:rPr>
                <w:rFonts w:ascii="Arial"/>
                <w:sz w:val="21"/>
              </w:rPr>
            </w:pPr>
          </w:p>
        </w:tc>
        <w:tc>
          <w:tcPr>
            <w:tcW w:w="9385" w:type="dxa"/>
            <w:tcBorders>
              <w:left w:val="single" w:color="000000" w:sz="2" w:space="0"/>
            </w:tcBorders>
            <w:vAlign w:val="top"/>
          </w:tcPr>
          <w:p>
            <w:pPr>
              <w:pStyle w:val="6"/>
              <w:spacing w:before="181" w:line="219" w:lineRule="auto"/>
              <w:ind w:left="120"/>
              <w:rPr>
                <w:sz w:val="24"/>
                <w:szCs w:val="24"/>
              </w:rPr>
            </w:pPr>
            <w:r>
              <w:rPr>
                <w:spacing w:val="-3"/>
                <w:sz w:val="24"/>
                <w:szCs w:val="24"/>
              </w:rPr>
              <w:t>响较小。因此无法完全避免对基本农田的占用。</w:t>
            </w:r>
          </w:p>
          <w:p>
            <w:pPr>
              <w:pStyle w:val="6"/>
              <w:spacing w:before="196" w:line="369" w:lineRule="auto"/>
              <w:ind w:left="121" w:right="102" w:firstLine="466"/>
              <w:rPr>
                <w:sz w:val="24"/>
                <w:szCs w:val="24"/>
              </w:rPr>
            </w:pPr>
            <w:r>
              <w:rPr>
                <w:spacing w:val="8"/>
                <w:sz w:val="24"/>
                <w:szCs w:val="24"/>
              </w:rPr>
              <w:t>根据《四川省自然资源厅关于解决油气勘探开发用地问题的复函》</w:t>
            </w:r>
            <w:r>
              <w:rPr>
                <w:spacing w:val="7"/>
                <w:sz w:val="24"/>
                <w:szCs w:val="24"/>
              </w:rPr>
              <w:t>（川自然资函</w:t>
            </w:r>
            <w:r>
              <w:rPr>
                <w:sz w:val="24"/>
                <w:szCs w:val="24"/>
              </w:rPr>
              <w:t xml:space="preserve"> </w:t>
            </w:r>
            <w:r>
              <w:rPr>
                <w:spacing w:val="1"/>
                <w:sz w:val="24"/>
                <w:szCs w:val="24"/>
              </w:rPr>
              <w:t>〔</w:t>
            </w:r>
            <w:r>
              <w:rPr>
                <w:rFonts w:ascii="Times New Roman" w:hAnsi="Times New Roman" w:eastAsia="Times New Roman" w:cs="Times New Roman"/>
                <w:spacing w:val="1"/>
                <w:sz w:val="24"/>
                <w:szCs w:val="24"/>
              </w:rPr>
              <w:t>2019</w:t>
            </w:r>
            <w:r>
              <w:rPr>
                <w:spacing w:val="1"/>
                <w:sz w:val="24"/>
                <w:szCs w:val="24"/>
              </w:rPr>
              <w:t>〕</w:t>
            </w:r>
            <w:r>
              <w:rPr>
                <w:rFonts w:ascii="Times New Roman" w:hAnsi="Times New Roman" w:eastAsia="Times New Roman" w:cs="Times New Roman"/>
                <w:spacing w:val="1"/>
                <w:sz w:val="24"/>
                <w:szCs w:val="24"/>
              </w:rPr>
              <w:t xml:space="preserve">197  </w:t>
            </w:r>
            <w:r>
              <w:rPr>
                <w:spacing w:val="1"/>
                <w:sz w:val="24"/>
                <w:szCs w:val="24"/>
              </w:rPr>
              <w:t>号）文件要求，油气勘探开发</w:t>
            </w:r>
            <w:r>
              <w:rPr>
                <w:sz w:val="24"/>
                <w:szCs w:val="24"/>
              </w:rPr>
              <w:t xml:space="preserve">项目可在无法避让基本农田的情况下，办理 </w:t>
            </w:r>
            <w:r>
              <w:rPr>
                <w:spacing w:val="-2"/>
                <w:sz w:val="24"/>
                <w:szCs w:val="24"/>
              </w:rPr>
              <w:t xml:space="preserve">临时用地。目前建设单位正在办理凤探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47"/>
                <w:w w:val="101"/>
                <w:sz w:val="24"/>
                <w:szCs w:val="24"/>
              </w:rPr>
              <w:t xml:space="preserve"> </w:t>
            </w:r>
            <w:r>
              <w:rPr>
                <w:spacing w:val="-2"/>
                <w:sz w:val="24"/>
                <w:szCs w:val="24"/>
              </w:rPr>
              <w:t>井钻前工程临时用地、青苗及地上附着物等补</w:t>
            </w:r>
          </w:p>
          <w:p>
            <w:pPr>
              <w:pStyle w:val="6"/>
              <w:spacing w:before="1" w:line="218" w:lineRule="auto"/>
              <w:ind w:left="107"/>
              <w:rPr>
                <w:sz w:val="24"/>
                <w:szCs w:val="24"/>
              </w:rPr>
            </w:pPr>
            <w:r>
              <w:rPr>
                <w:spacing w:val="-1"/>
                <w:sz w:val="24"/>
                <w:szCs w:val="24"/>
              </w:rPr>
              <w:t>偿协议。同时，环评要求，建设单位在取得相关临时占用基本农田手续后</w:t>
            </w:r>
            <w:r>
              <w:rPr>
                <w:spacing w:val="-2"/>
                <w:sz w:val="24"/>
                <w:szCs w:val="24"/>
              </w:rPr>
              <w:t>方开工建设。</w:t>
            </w:r>
          </w:p>
          <w:p>
            <w:pPr>
              <w:pStyle w:val="6"/>
              <w:spacing w:before="195" w:line="480" w:lineRule="exact"/>
              <w:ind w:left="587"/>
              <w:rPr>
                <w:sz w:val="24"/>
                <w:szCs w:val="24"/>
              </w:rPr>
            </w:pPr>
            <w:r>
              <w:rPr>
                <w:spacing w:val="-1"/>
                <w:position w:val="18"/>
                <w:sz w:val="24"/>
                <w:szCs w:val="24"/>
              </w:rPr>
              <w:t>在采取补偿等措施后，对周边农户的生活影响较小。</w:t>
            </w:r>
            <w:r>
              <w:rPr>
                <w:spacing w:val="-2"/>
                <w:position w:val="18"/>
                <w:sz w:val="24"/>
                <w:szCs w:val="24"/>
              </w:rPr>
              <w:t xml:space="preserve">项目凤探 </w:t>
            </w:r>
            <w:r>
              <w:rPr>
                <w:rFonts w:ascii="Times New Roman" w:hAnsi="Times New Roman" w:eastAsia="Times New Roman" w:cs="Times New Roman"/>
                <w:spacing w:val="-2"/>
                <w:position w:val="18"/>
                <w:sz w:val="24"/>
                <w:szCs w:val="24"/>
              </w:rPr>
              <w:t>1</w:t>
            </w:r>
            <w:r>
              <w:rPr>
                <w:rFonts w:ascii="Times New Roman" w:hAnsi="Times New Roman" w:eastAsia="Times New Roman" w:cs="Times New Roman"/>
                <w:spacing w:val="36"/>
                <w:position w:val="18"/>
                <w:sz w:val="24"/>
                <w:szCs w:val="24"/>
              </w:rPr>
              <w:t xml:space="preserve"> </w:t>
            </w:r>
            <w:r>
              <w:rPr>
                <w:spacing w:val="-2"/>
                <w:position w:val="18"/>
                <w:sz w:val="24"/>
                <w:szCs w:val="24"/>
              </w:rPr>
              <w:t>井拟选地不涉及自</w:t>
            </w:r>
          </w:p>
          <w:p>
            <w:pPr>
              <w:pStyle w:val="6"/>
              <w:spacing w:line="219" w:lineRule="auto"/>
              <w:ind w:left="109"/>
              <w:rPr>
                <w:sz w:val="24"/>
                <w:szCs w:val="24"/>
              </w:rPr>
            </w:pPr>
            <w:r>
              <w:rPr>
                <w:spacing w:val="-2"/>
                <w:sz w:val="24"/>
                <w:szCs w:val="24"/>
              </w:rPr>
              <w:t>然保护区、风景名胜和饮用水源保护区等环境敏感目标。</w:t>
            </w:r>
          </w:p>
          <w:p>
            <w:pPr>
              <w:pStyle w:val="6"/>
              <w:spacing w:before="195" w:line="219" w:lineRule="auto"/>
              <w:ind w:left="591"/>
              <w:rPr>
                <w:sz w:val="24"/>
                <w:szCs w:val="24"/>
              </w:rPr>
            </w:pPr>
            <w:r>
              <w:rPr>
                <w:spacing w:val="-2"/>
                <w:sz w:val="24"/>
                <w:szCs w:val="24"/>
              </w:rPr>
              <w:t>综上所述，从环境保护角度分析，本项目选址合理。</w:t>
            </w:r>
          </w:p>
        </w:tc>
      </w:tr>
    </w:tbl>
    <w:p>
      <w:pPr>
        <w:pStyle w:val="2"/>
        <w:rPr>
          <w:sz w:val="21"/>
        </w:rPr>
      </w:pPr>
    </w:p>
    <w:p>
      <w:pPr>
        <w:rPr>
          <w:sz w:val="21"/>
          <w:szCs w:val="21"/>
        </w:rPr>
        <w:sectPr>
          <w:footerReference r:id="rId120" w:type="default"/>
          <w:pgSz w:w="11907" w:h="16839"/>
          <w:pgMar w:top="400" w:right="1020" w:bottom="1181" w:left="1020" w:header="0" w:footer="920" w:gutter="0"/>
          <w:cols w:space="720" w:num="1"/>
        </w:sectPr>
      </w:pPr>
    </w:p>
    <w:p>
      <w:pPr>
        <w:pStyle w:val="2"/>
        <w:spacing w:line="319" w:lineRule="auto"/>
        <w:rPr>
          <w:sz w:val="21"/>
        </w:rPr>
      </w:pPr>
    </w:p>
    <w:p>
      <w:pPr>
        <w:pStyle w:val="2"/>
        <w:spacing w:line="320" w:lineRule="auto"/>
        <w:rPr>
          <w:sz w:val="21"/>
        </w:rPr>
      </w:pPr>
    </w:p>
    <w:p>
      <w:pPr>
        <w:pStyle w:val="2"/>
        <w:spacing w:line="320" w:lineRule="auto"/>
        <w:rPr>
          <w:sz w:val="21"/>
        </w:rPr>
      </w:pPr>
    </w:p>
    <w:p>
      <w:pPr>
        <w:spacing w:before="97" w:line="219" w:lineRule="auto"/>
        <w:ind w:left="3100"/>
        <w:rPr>
          <w:rFonts w:ascii="黑体" w:hAnsi="黑体" w:eastAsia="黑体" w:cs="黑体"/>
          <w:sz w:val="30"/>
          <w:szCs w:val="30"/>
        </w:rPr>
      </w:pPr>
      <w:r>
        <w:rPr>
          <w:rFonts w:ascii="黑体" w:hAnsi="黑体" w:eastAsia="黑体" w:cs="黑体"/>
          <w:spacing w:val="-2"/>
          <w:sz w:val="30"/>
          <w:szCs w:val="30"/>
        </w:rPr>
        <w:t>五、主要生态环境保护措施</w:t>
      </w:r>
    </w:p>
    <w:p>
      <w:pPr>
        <w:spacing w:before="28"/>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8" w:hRule="atLeast"/>
        </w:trPr>
        <w:tc>
          <w:tcPr>
            <w:tcW w:w="465" w:type="dxa"/>
            <w:tcBorders>
              <w:right w:val="single" w:color="000000" w:sz="2" w:space="0"/>
            </w:tcBorders>
            <w:textDirection w:val="tbRlV"/>
            <w:vAlign w:val="top"/>
          </w:tcPr>
          <w:p>
            <w:pPr>
              <w:pStyle w:val="6"/>
              <w:spacing w:before="124" w:line="209" w:lineRule="auto"/>
              <w:ind w:left="4853"/>
              <w:rPr>
                <w:sz w:val="24"/>
                <w:szCs w:val="24"/>
              </w:rPr>
            </w:pPr>
            <w:r>
              <w:rPr>
                <w:spacing w:val="24"/>
                <w:w w:val="117"/>
                <w:sz w:val="24"/>
                <w:szCs w:val="24"/>
              </w:rPr>
              <w:t>施工期生态环境保护措施</w:t>
            </w:r>
          </w:p>
        </w:tc>
        <w:tc>
          <w:tcPr>
            <w:tcW w:w="9282" w:type="dxa"/>
            <w:tcBorders>
              <w:left w:val="single" w:color="000000" w:sz="2" w:space="0"/>
            </w:tcBorders>
            <w:vAlign w:val="top"/>
          </w:tcPr>
          <w:p>
            <w:pPr>
              <w:pStyle w:val="6"/>
              <w:spacing w:before="230" w:line="220" w:lineRule="auto"/>
              <w:ind w:left="107"/>
              <w:rPr>
                <w:sz w:val="24"/>
                <w:szCs w:val="24"/>
              </w:rPr>
            </w:pPr>
            <w:r>
              <w:rPr>
                <w:rFonts w:ascii="Times New Roman" w:hAnsi="Times New Roman" w:eastAsia="Times New Roman" w:cs="Times New Roman"/>
                <w:b/>
                <w:bCs/>
                <w:sz w:val="24"/>
                <w:szCs w:val="24"/>
              </w:rPr>
              <w:t xml:space="preserve">5.1 </w:t>
            </w:r>
            <w:r>
              <w:rPr>
                <w:sz w:val="24"/>
                <w:szCs w:val="24"/>
                <w14:textOutline w14:w="4354" w14:cap="flat" w14:cmpd="sng">
                  <w14:solidFill>
                    <w14:srgbClr w14:val="000000"/>
                  </w14:solidFill>
                  <w14:prstDash w14:val="solid"/>
                  <w14:miter w14:val="10"/>
                </w14:textOutline>
              </w:rPr>
              <w:t>生态保护与恢复措施可行性分析</w:t>
            </w:r>
          </w:p>
          <w:p>
            <w:pPr>
              <w:pStyle w:val="6"/>
              <w:spacing w:before="194" w:line="369" w:lineRule="auto"/>
              <w:ind w:left="108" w:right="100" w:firstLine="479"/>
              <w:jc w:val="both"/>
              <w:rPr>
                <w:sz w:val="24"/>
                <w:szCs w:val="24"/>
              </w:rPr>
            </w:pPr>
            <w:r>
              <w:rPr>
                <w:spacing w:val="-6"/>
                <w:sz w:val="24"/>
                <w:szCs w:val="24"/>
              </w:rPr>
              <w:t>根据天然气生态环境影响主要表现在钻前施工占地、表层土破坏影响；</w:t>
            </w:r>
            <w:r>
              <w:rPr>
                <w:spacing w:val="41"/>
                <w:sz w:val="24"/>
                <w:szCs w:val="24"/>
              </w:rPr>
              <w:t xml:space="preserve"> </w:t>
            </w:r>
            <w:r>
              <w:rPr>
                <w:spacing w:val="-6"/>
                <w:sz w:val="24"/>
                <w:szCs w:val="24"/>
              </w:rPr>
              <w:t>钻</w:t>
            </w:r>
            <w:r>
              <w:rPr>
                <w:spacing w:val="-7"/>
                <w:sz w:val="24"/>
                <w:szCs w:val="24"/>
              </w:rPr>
              <w:t>井过程产</w:t>
            </w:r>
            <w:r>
              <w:rPr>
                <w:sz w:val="24"/>
                <w:szCs w:val="24"/>
              </w:rPr>
              <w:t xml:space="preserve"> </w:t>
            </w:r>
            <w:r>
              <w:rPr>
                <w:spacing w:val="-6"/>
                <w:sz w:val="24"/>
                <w:szCs w:val="24"/>
              </w:rPr>
              <w:t>排污对生态环境的影响以及站场绿化、临时占地恢复等，</w:t>
            </w:r>
            <w:r>
              <w:rPr>
                <w:spacing w:val="49"/>
                <w:sz w:val="24"/>
                <w:szCs w:val="24"/>
              </w:rPr>
              <w:t xml:space="preserve"> </w:t>
            </w:r>
            <w:r>
              <w:rPr>
                <w:spacing w:val="-6"/>
                <w:sz w:val="24"/>
                <w:szCs w:val="24"/>
              </w:rPr>
              <w:t>根据项目所处不同阶段落实生</w:t>
            </w:r>
          </w:p>
          <w:p>
            <w:pPr>
              <w:pStyle w:val="6"/>
              <w:spacing w:line="220" w:lineRule="auto"/>
              <w:ind w:left="108"/>
              <w:rPr>
                <w:sz w:val="24"/>
                <w:szCs w:val="24"/>
              </w:rPr>
            </w:pPr>
            <w:r>
              <w:rPr>
                <w:spacing w:val="-5"/>
                <w:sz w:val="24"/>
                <w:szCs w:val="24"/>
              </w:rPr>
              <w:t>态保护措施。</w:t>
            </w:r>
          </w:p>
          <w:p>
            <w:pPr>
              <w:pStyle w:val="6"/>
              <w:spacing w:before="227" w:line="487" w:lineRule="exact"/>
              <w:ind w:left="107"/>
              <w:rPr>
                <w:sz w:val="24"/>
                <w:szCs w:val="24"/>
              </w:rPr>
            </w:pPr>
            <w:r>
              <w:rPr>
                <w:rFonts w:ascii="Times New Roman" w:hAnsi="Times New Roman" w:eastAsia="Times New Roman" w:cs="Times New Roman"/>
                <w:b/>
                <w:bCs/>
                <w:position w:val="18"/>
                <w:sz w:val="24"/>
                <w:szCs w:val="24"/>
              </w:rPr>
              <w:t xml:space="preserve">5.1.1 </w:t>
            </w:r>
            <w:r>
              <w:rPr>
                <w:position w:val="18"/>
                <w:sz w:val="24"/>
                <w:szCs w:val="24"/>
                <w14:textOutline w14:w="4354" w14:cap="flat" w14:cmpd="sng">
                  <w14:solidFill>
                    <w14:srgbClr w14:val="000000"/>
                  </w14:solidFill>
                  <w14:prstDash w14:val="solid"/>
                  <w14:miter w14:val="10"/>
                </w14:textOutline>
              </w:rPr>
              <w:t>钻前工程生态保护措施</w:t>
            </w:r>
          </w:p>
          <w:p>
            <w:pPr>
              <w:pStyle w:val="6"/>
              <w:spacing w:before="1" w:line="218"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spacing w:val="-1"/>
                <w:sz w:val="24"/>
                <w:szCs w:val="24"/>
                <w14:textOutline w14:w="4354" w14:cap="flat" w14:cmpd="sng">
                  <w14:solidFill>
                    <w14:srgbClr w14:val="000000"/>
                  </w14:solidFill>
                  <w14:prstDash w14:val="solid"/>
                  <w14:miter w14:val="10"/>
                </w14:textOutline>
              </w:rPr>
              <w:t>）耕植土保护措施</w:t>
            </w:r>
          </w:p>
          <w:p>
            <w:pPr>
              <w:pStyle w:val="6"/>
              <w:spacing w:before="196" w:line="369" w:lineRule="auto"/>
              <w:ind w:left="112" w:right="20" w:firstLine="475"/>
              <w:jc w:val="both"/>
              <w:rPr>
                <w:sz w:val="24"/>
                <w:szCs w:val="24"/>
              </w:rPr>
            </w:pPr>
            <w:r>
              <w:rPr>
                <w:spacing w:val="-6"/>
                <w:sz w:val="24"/>
                <w:szCs w:val="24"/>
              </w:rPr>
              <w:t>①项目井场外西北侧设置耕植土堆放区，</w:t>
            </w:r>
            <w:r>
              <w:rPr>
                <w:spacing w:val="39"/>
                <w:sz w:val="24"/>
                <w:szCs w:val="24"/>
              </w:rPr>
              <w:t xml:space="preserve"> </w:t>
            </w:r>
            <w:r>
              <w:rPr>
                <w:spacing w:val="-6"/>
                <w:sz w:val="24"/>
                <w:szCs w:val="24"/>
              </w:rPr>
              <w:t>钻前施工应</w:t>
            </w:r>
            <w:r>
              <w:rPr>
                <w:spacing w:val="-7"/>
                <w:sz w:val="24"/>
                <w:szCs w:val="24"/>
              </w:rPr>
              <w:t xml:space="preserve">做好表土保护工作。基础开挖 </w:t>
            </w:r>
            <w:r>
              <w:rPr>
                <w:spacing w:val="-11"/>
                <w:sz w:val="24"/>
                <w:szCs w:val="24"/>
              </w:rPr>
              <w:t>前，应预先剥离表层熟土，</w:t>
            </w:r>
            <w:r>
              <w:rPr>
                <w:spacing w:val="-22"/>
                <w:sz w:val="24"/>
                <w:szCs w:val="24"/>
              </w:rPr>
              <w:t xml:space="preserve"> </w:t>
            </w:r>
            <w:r>
              <w:rPr>
                <w:spacing w:val="-11"/>
                <w:sz w:val="24"/>
                <w:szCs w:val="24"/>
              </w:rPr>
              <w:t>堆放于井场外的耕植土堆场内， 用于完钻后临时用地的回填、</w:t>
            </w:r>
          </w:p>
          <w:p>
            <w:pPr>
              <w:pStyle w:val="6"/>
              <w:spacing w:line="220" w:lineRule="auto"/>
              <w:ind w:left="114"/>
              <w:rPr>
                <w:sz w:val="24"/>
                <w:szCs w:val="24"/>
              </w:rPr>
            </w:pPr>
            <w:r>
              <w:rPr>
                <w:spacing w:val="-5"/>
                <w:sz w:val="24"/>
                <w:szCs w:val="24"/>
              </w:rPr>
              <w:t>复垦、生态恢复表土。</w:t>
            </w:r>
          </w:p>
          <w:p>
            <w:pPr>
              <w:pStyle w:val="6"/>
              <w:spacing w:before="195" w:line="369" w:lineRule="auto"/>
              <w:ind w:left="108" w:right="39" w:firstLine="478"/>
              <w:jc w:val="both"/>
              <w:rPr>
                <w:sz w:val="24"/>
                <w:szCs w:val="24"/>
              </w:rPr>
            </w:pPr>
            <w:r>
              <w:rPr>
                <w:spacing w:val="-12"/>
                <w:sz w:val="24"/>
                <w:szCs w:val="24"/>
              </w:rPr>
              <w:t>②采用临时措施保持水土。即剥离表土堆放平整，</w:t>
            </w:r>
            <w:r>
              <w:rPr>
                <w:spacing w:val="87"/>
                <w:sz w:val="24"/>
                <w:szCs w:val="24"/>
              </w:rPr>
              <w:t xml:space="preserve"> </w:t>
            </w:r>
            <w:r>
              <w:rPr>
                <w:spacing w:val="-12"/>
                <w:sz w:val="24"/>
                <w:szCs w:val="24"/>
              </w:rPr>
              <w:t>四周修筑临时排水沟，</w:t>
            </w:r>
            <w:r>
              <w:rPr>
                <w:spacing w:val="46"/>
                <w:sz w:val="24"/>
                <w:szCs w:val="24"/>
              </w:rPr>
              <w:t xml:space="preserve"> </w:t>
            </w:r>
            <w:r>
              <w:rPr>
                <w:spacing w:val="-12"/>
                <w:sz w:val="24"/>
                <w:szCs w:val="24"/>
              </w:rPr>
              <w:t>排导地表</w:t>
            </w:r>
            <w:r>
              <w:rPr>
                <w:sz w:val="24"/>
                <w:szCs w:val="24"/>
              </w:rPr>
              <w:t xml:space="preserve"> </w:t>
            </w:r>
            <w:r>
              <w:rPr>
                <w:spacing w:val="-11"/>
                <w:sz w:val="24"/>
                <w:szCs w:val="24"/>
              </w:rPr>
              <w:t>径流，</w:t>
            </w:r>
            <w:r>
              <w:rPr>
                <w:spacing w:val="-37"/>
                <w:sz w:val="24"/>
                <w:szCs w:val="24"/>
              </w:rPr>
              <w:t xml:space="preserve"> </w:t>
            </w:r>
            <w:r>
              <w:rPr>
                <w:spacing w:val="-11"/>
                <w:sz w:val="24"/>
                <w:szCs w:val="24"/>
              </w:rPr>
              <w:t>排水沟为夯实土结构， 末端接入排水沟沉砂井。在表土临时堆场周围设置挡土墙，</w:t>
            </w:r>
            <w:r>
              <w:rPr>
                <w:sz w:val="24"/>
                <w:szCs w:val="24"/>
              </w:rPr>
              <w:t xml:space="preserve"> </w:t>
            </w:r>
            <w:r>
              <w:rPr>
                <w:spacing w:val="-10"/>
                <w:sz w:val="24"/>
                <w:szCs w:val="24"/>
              </w:rPr>
              <w:t>减小水土流失，</w:t>
            </w:r>
            <w:r>
              <w:rPr>
                <w:spacing w:val="46"/>
                <w:sz w:val="24"/>
                <w:szCs w:val="24"/>
              </w:rPr>
              <w:t xml:space="preserve"> </w:t>
            </w:r>
            <w:r>
              <w:rPr>
                <w:spacing w:val="-10"/>
                <w:sz w:val="24"/>
                <w:szCs w:val="24"/>
              </w:rPr>
              <w:t>挡土墙设计要求满足相关设计及安全要求。</w:t>
            </w:r>
            <w:r>
              <w:rPr>
                <w:spacing w:val="-11"/>
                <w:sz w:val="24"/>
                <w:szCs w:val="24"/>
              </w:rPr>
              <w:t>在表土堆放结束后，</w:t>
            </w:r>
            <w:r>
              <w:rPr>
                <w:spacing w:val="45"/>
                <w:sz w:val="24"/>
                <w:szCs w:val="24"/>
              </w:rPr>
              <w:t xml:space="preserve"> </w:t>
            </w:r>
            <w:r>
              <w:rPr>
                <w:spacing w:val="-11"/>
                <w:sz w:val="24"/>
                <w:szCs w:val="24"/>
              </w:rPr>
              <w:t>对表土</w:t>
            </w:r>
            <w:r>
              <w:rPr>
                <w:sz w:val="24"/>
                <w:szCs w:val="24"/>
              </w:rPr>
              <w:t xml:space="preserve"> </w:t>
            </w:r>
            <w:r>
              <w:rPr>
                <w:spacing w:val="-6"/>
                <w:sz w:val="24"/>
                <w:szCs w:val="24"/>
              </w:rPr>
              <w:t>临时堆场采用彩条布覆盖，</w:t>
            </w:r>
            <w:r>
              <w:rPr>
                <w:spacing w:val="47"/>
                <w:sz w:val="24"/>
                <w:szCs w:val="24"/>
              </w:rPr>
              <w:t xml:space="preserve"> </w:t>
            </w:r>
            <w:r>
              <w:rPr>
                <w:spacing w:val="-6"/>
                <w:sz w:val="24"/>
                <w:szCs w:val="24"/>
              </w:rPr>
              <w:t>减小因降雨而产生的水土流失。井场土边坡区域、道路土边</w:t>
            </w:r>
            <w:r>
              <w:rPr>
                <w:sz w:val="24"/>
                <w:szCs w:val="24"/>
              </w:rPr>
              <w:t xml:space="preserve"> </w:t>
            </w:r>
            <w:r>
              <w:rPr>
                <w:spacing w:val="-11"/>
                <w:sz w:val="24"/>
                <w:szCs w:val="24"/>
              </w:rPr>
              <w:t>坡区域、耕植土堆放区在土建工程完工后，</w:t>
            </w:r>
            <w:r>
              <w:rPr>
                <w:spacing w:val="56"/>
                <w:sz w:val="24"/>
                <w:szCs w:val="24"/>
              </w:rPr>
              <w:t xml:space="preserve"> </w:t>
            </w:r>
            <w:r>
              <w:rPr>
                <w:spacing w:val="-11"/>
                <w:sz w:val="24"/>
                <w:szCs w:val="24"/>
              </w:rPr>
              <w:t>及时播撒草种，</w:t>
            </w:r>
            <w:r>
              <w:rPr>
                <w:spacing w:val="62"/>
                <w:sz w:val="24"/>
                <w:szCs w:val="24"/>
              </w:rPr>
              <w:t xml:space="preserve"> </w:t>
            </w:r>
            <w:r>
              <w:rPr>
                <w:spacing w:val="-11"/>
                <w:sz w:val="24"/>
                <w:szCs w:val="24"/>
              </w:rPr>
              <w:t>防止地表水冲刷造成水土流</w:t>
            </w:r>
          </w:p>
          <w:p>
            <w:pPr>
              <w:pStyle w:val="6"/>
              <w:spacing w:before="1" w:line="219" w:lineRule="auto"/>
              <w:ind w:left="114"/>
              <w:rPr>
                <w:sz w:val="24"/>
                <w:szCs w:val="24"/>
              </w:rPr>
            </w:pPr>
            <w:r>
              <w:rPr>
                <w:spacing w:val="-7"/>
                <w:sz w:val="24"/>
                <w:szCs w:val="24"/>
              </w:rPr>
              <w:t>失和边坡失稳。</w:t>
            </w:r>
          </w:p>
          <w:p>
            <w:pPr>
              <w:pStyle w:val="6"/>
              <w:spacing w:before="196" w:line="369" w:lineRule="auto"/>
              <w:ind w:left="121" w:right="100" w:firstLine="464"/>
              <w:jc w:val="both"/>
              <w:rPr>
                <w:sz w:val="24"/>
                <w:szCs w:val="24"/>
              </w:rPr>
            </w:pPr>
            <w:r>
              <w:rPr>
                <w:spacing w:val="-6"/>
                <w:sz w:val="24"/>
                <w:szCs w:val="24"/>
              </w:rPr>
              <w:t>③对表土临时堆场应加强管理。堆土严格控制在临时用地红线内，</w:t>
            </w:r>
            <w:r>
              <w:rPr>
                <w:spacing w:val="40"/>
                <w:sz w:val="24"/>
                <w:szCs w:val="24"/>
              </w:rPr>
              <w:t xml:space="preserve"> </w:t>
            </w:r>
            <w:r>
              <w:rPr>
                <w:spacing w:val="-6"/>
                <w:sz w:val="24"/>
                <w:szCs w:val="24"/>
              </w:rPr>
              <w:t>禁止将表土堆在</w:t>
            </w:r>
            <w:r>
              <w:rPr>
                <w:sz w:val="24"/>
                <w:szCs w:val="24"/>
              </w:rPr>
              <w:t xml:space="preserve"> </w:t>
            </w:r>
            <w:r>
              <w:rPr>
                <w:spacing w:val="-1"/>
                <w:sz w:val="24"/>
                <w:szCs w:val="24"/>
              </w:rPr>
              <w:t xml:space="preserve">临时用地红线以外，对于表土的堆高不宜超过 </w:t>
            </w:r>
            <w:r>
              <w:rPr>
                <w:rFonts w:ascii="Times New Roman" w:hAnsi="Times New Roman" w:eastAsia="Times New Roman" w:cs="Times New Roman"/>
                <w:spacing w:val="-1"/>
                <w:sz w:val="24"/>
                <w:szCs w:val="24"/>
              </w:rPr>
              <w:t>5m</w:t>
            </w:r>
            <w:r>
              <w:rPr>
                <w:spacing w:val="-1"/>
                <w:sz w:val="24"/>
                <w:szCs w:val="24"/>
              </w:rPr>
              <w:t>，并应保证表土堆放的稳定性，防止</w:t>
            </w:r>
          </w:p>
          <w:p>
            <w:pPr>
              <w:pStyle w:val="6"/>
              <w:spacing w:line="219" w:lineRule="auto"/>
              <w:ind w:left="108"/>
              <w:rPr>
                <w:sz w:val="24"/>
                <w:szCs w:val="24"/>
              </w:rPr>
            </w:pPr>
            <w:r>
              <w:rPr>
                <w:spacing w:val="-8"/>
                <w:sz w:val="24"/>
                <w:szCs w:val="24"/>
              </w:rPr>
              <w:t>滑坡。 强降雨时不进行相关土石方工程的施工。</w:t>
            </w:r>
          </w:p>
          <w:p>
            <w:pPr>
              <w:pStyle w:val="6"/>
              <w:spacing w:before="194"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）水土保持措施</w:t>
            </w:r>
          </w:p>
          <w:p>
            <w:pPr>
              <w:pStyle w:val="6"/>
              <w:spacing w:before="195" w:line="480" w:lineRule="exact"/>
              <w:ind w:left="587"/>
              <w:rPr>
                <w:sz w:val="24"/>
                <w:szCs w:val="24"/>
              </w:rPr>
            </w:pPr>
            <w:r>
              <w:rPr>
                <w:spacing w:val="-11"/>
                <w:position w:val="18"/>
                <w:sz w:val="24"/>
                <w:szCs w:val="24"/>
              </w:rPr>
              <w:t>①在施工过程中及时将土石方回填、夯实，</w:t>
            </w:r>
            <w:r>
              <w:rPr>
                <w:spacing w:val="44"/>
                <w:position w:val="18"/>
                <w:sz w:val="24"/>
                <w:szCs w:val="24"/>
              </w:rPr>
              <w:t xml:space="preserve"> </w:t>
            </w:r>
            <w:r>
              <w:rPr>
                <w:spacing w:val="-11"/>
                <w:position w:val="18"/>
                <w:sz w:val="24"/>
                <w:szCs w:val="24"/>
              </w:rPr>
              <w:t>避免长</w:t>
            </w:r>
            <w:r>
              <w:rPr>
                <w:spacing w:val="-12"/>
                <w:position w:val="18"/>
                <w:sz w:val="24"/>
                <w:szCs w:val="24"/>
              </w:rPr>
              <w:t>时间堆放，</w:t>
            </w:r>
            <w:r>
              <w:rPr>
                <w:spacing w:val="69"/>
                <w:position w:val="18"/>
                <w:sz w:val="24"/>
                <w:szCs w:val="24"/>
              </w:rPr>
              <w:t xml:space="preserve"> </w:t>
            </w:r>
            <w:r>
              <w:rPr>
                <w:spacing w:val="-12"/>
                <w:position w:val="18"/>
                <w:sz w:val="24"/>
                <w:szCs w:val="24"/>
              </w:rPr>
              <w:t>同时尽量减少堆放坡</w:t>
            </w:r>
          </w:p>
          <w:p>
            <w:pPr>
              <w:pStyle w:val="6"/>
              <w:spacing w:line="220" w:lineRule="auto"/>
              <w:ind w:left="107"/>
              <w:rPr>
                <w:sz w:val="24"/>
                <w:szCs w:val="24"/>
              </w:rPr>
            </w:pPr>
            <w:r>
              <w:rPr>
                <w:spacing w:val="-17"/>
                <w:sz w:val="24"/>
                <w:szCs w:val="24"/>
              </w:rPr>
              <w:t>度；</w:t>
            </w:r>
          </w:p>
          <w:p>
            <w:pPr>
              <w:pStyle w:val="6"/>
              <w:spacing w:before="194" w:line="480" w:lineRule="exact"/>
              <w:ind w:left="586"/>
              <w:rPr>
                <w:sz w:val="24"/>
                <w:szCs w:val="24"/>
              </w:rPr>
            </w:pPr>
            <w:r>
              <w:rPr>
                <w:spacing w:val="-2"/>
                <w:position w:val="18"/>
                <w:sz w:val="24"/>
                <w:szCs w:val="24"/>
              </w:rPr>
              <w:t>②耕植土堆放场采用编织袋装土压边作为临时拦挡。在表土临时堆场底端截排水沟</w:t>
            </w:r>
          </w:p>
          <w:p>
            <w:pPr>
              <w:pStyle w:val="6"/>
              <w:spacing w:before="1" w:line="219" w:lineRule="auto"/>
              <w:ind w:left="113"/>
              <w:rPr>
                <w:sz w:val="24"/>
                <w:szCs w:val="24"/>
              </w:rPr>
            </w:pPr>
            <w:r>
              <w:rPr>
                <w:spacing w:val="-2"/>
                <w:sz w:val="24"/>
                <w:szCs w:val="24"/>
              </w:rPr>
              <w:t>交汇处设置临时沉沙池，场地内的雨水汇集后经沉沙池沉淀后排放。</w:t>
            </w:r>
          </w:p>
          <w:p>
            <w:pPr>
              <w:pStyle w:val="6"/>
              <w:spacing w:before="195" w:line="369" w:lineRule="auto"/>
              <w:ind w:left="117" w:right="101" w:firstLine="468"/>
              <w:rPr>
                <w:sz w:val="24"/>
                <w:szCs w:val="24"/>
              </w:rPr>
            </w:pPr>
            <w:r>
              <w:rPr>
                <w:spacing w:val="-16"/>
                <w:sz w:val="24"/>
                <w:szCs w:val="24"/>
              </w:rPr>
              <w:t>③挖方在边坡未修整前，</w:t>
            </w:r>
            <w:r>
              <w:rPr>
                <w:spacing w:val="50"/>
                <w:sz w:val="24"/>
                <w:szCs w:val="24"/>
              </w:rPr>
              <w:t xml:space="preserve"> </w:t>
            </w:r>
            <w:r>
              <w:rPr>
                <w:spacing w:val="-16"/>
                <w:sz w:val="24"/>
                <w:szCs w:val="24"/>
              </w:rPr>
              <w:t>如遇中到大雨或暴雨，</w:t>
            </w:r>
            <w:r>
              <w:rPr>
                <w:spacing w:val="46"/>
                <w:sz w:val="24"/>
                <w:szCs w:val="24"/>
              </w:rPr>
              <w:t xml:space="preserve"> </w:t>
            </w:r>
            <w:r>
              <w:rPr>
                <w:spacing w:val="-16"/>
                <w:sz w:val="24"/>
                <w:szCs w:val="24"/>
              </w:rPr>
              <w:t>应立即</w:t>
            </w:r>
            <w:r>
              <w:rPr>
                <w:spacing w:val="-17"/>
                <w:sz w:val="24"/>
                <w:szCs w:val="24"/>
              </w:rPr>
              <w:t>用花胶布覆盖边坡，</w:t>
            </w:r>
            <w:r>
              <w:rPr>
                <w:spacing w:val="74"/>
                <w:sz w:val="24"/>
                <w:szCs w:val="24"/>
              </w:rPr>
              <w:t xml:space="preserve"> </w:t>
            </w:r>
            <w:r>
              <w:rPr>
                <w:spacing w:val="-17"/>
                <w:sz w:val="24"/>
                <w:szCs w:val="24"/>
              </w:rPr>
              <w:t>以免被</w:t>
            </w:r>
            <w:r>
              <w:rPr>
                <w:sz w:val="24"/>
                <w:szCs w:val="24"/>
              </w:rPr>
              <w:t xml:space="preserve"> </w:t>
            </w:r>
            <w:r>
              <w:rPr>
                <w:spacing w:val="-9"/>
                <w:sz w:val="24"/>
                <w:szCs w:val="24"/>
              </w:rPr>
              <w:t>雨水浸泡和冲刷。开挖的土方在未进行填实和进行地表恢复前， 在遇大风或</w:t>
            </w:r>
            <w:r>
              <w:rPr>
                <w:spacing w:val="-10"/>
                <w:sz w:val="24"/>
                <w:szCs w:val="24"/>
              </w:rPr>
              <w:t>大雨，</w:t>
            </w:r>
            <w:r>
              <w:rPr>
                <w:spacing w:val="47"/>
                <w:sz w:val="24"/>
                <w:szCs w:val="24"/>
              </w:rPr>
              <w:t xml:space="preserve"> </w:t>
            </w:r>
            <w:r>
              <w:rPr>
                <w:spacing w:val="-10"/>
                <w:sz w:val="24"/>
                <w:szCs w:val="24"/>
              </w:rPr>
              <w:t>应用</w:t>
            </w:r>
          </w:p>
          <w:p>
            <w:pPr>
              <w:pStyle w:val="6"/>
              <w:spacing w:before="1" w:line="218" w:lineRule="auto"/>
              <w:ind w:left="109"/>
              <w:rPr>
                <w:sz w:val="24"/>
                <w:szCs w:val="24"/>
              </w:rPr>
            </w:pPr>
            <w:r>
              <w:rPr>
                <w:spacing w:val="-3"/>
                <w:sz w:val="24"/>
                <w:szCs w:val="24"/>
              </w:rPr>
              <w:t>篷布遮盖，以减少水蚀和风蚀量。</w:t>
            </w:r>
          </w:p>
          <w:p>
            <w:pPr>
              <w:pStyle w:val="6"/>
              <w:spacing w:before="196" w:line="217" w:lineRule="auto"/>
              <w:ind w:left="586"/>
              <w:rPr>
                <w:sz w:val="24"/>
                <w:szCs w:val="24"/>
              </w:rPr>
            </w:pPr>
            <w:r>
              <w:rPr>
                <w:spacing w:val="-2"/>
                <w:sz w:val="24"/>
                <w:szCs w:val="24"/>
              </w:rPr>
              <w:t>④工程场地建设时，严格控制施工区域，严禁超挖。</w:t>
            </w:r>
          </w:p>
        </w:tc>
      </w:tr>
    </w:tbl>
    <w:p>
      <w:pPr>
        <w:pStyle w:val="2"/>
        <w:rPr>
          <w:sz w:val="21"/>
        </w:rPr>
      </w:pPr>
    </w:p>
    <w:p>
      <w:pPr>
        <w:rPr>
          <w:sz w:val="21"/>
          <w:szCs w:val="21"/>
        </w:rPr>
        <w:sectPr>
          <w:footerReference r:id="rId121"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586"/>
              <w:rPr>
                <w:sz w:val="24"/>
                <w:szCs w:val="24"/>
              </w:rPr>
            </w:pPr>
            <w:r>
              <w:rPr>
                <w:spacing w:val="-10"/>
                <w:position w:val="18"/>
                <w:sz w:val="24"/>
                <w:szCs w:val="24"/>
              </w:rPr>
              <w:t>⑤在施工时应特别注意边坡坡度，</w:t>
            </w:r>
            <w:r>
              <w:rPr>
                <w:spacing w:val="38"/>
                <w:position w:val="18"/>
                <w:sz w:val="24"/>
                <w:szCs w:val="24"/>
              </w:rPr>
              <w:t xml:space="preserve"> </w:t>
            </w:r>
            <w:r>
              <w:rPr>
                <w:spacing w:val="-10"/>
                <w:position w:val="18"/>
                <w:sz w:val="24"/>
                <w:szCs w:val="24"/>
              </w:rPr>
              <w:t>边坡坡度应严格符合设</w:t>
            </w:r>
            <w:r>
              <w:rPr>
                <w:spacing w:val="-11"/>
                <w:position w:val="18"/>
                <w:sz w:val="24"/>
                <w:szCs w:val="24"/>
              </w:rPr>
              <w:t>计边坡坡度的要求，</w:t>
            </w:r>
            <w:r>
              <w:rPr>
                <w:spacing w:val="43"/>
                <w:position w:val="18"/>
                <w:sz w:val="24"/>
                <w:szCs w:val="24"/>
              </w:rPr>
              <w:t xml:space="preserve"> </w:t>
            </w:r>
            <w:r>
              <w:rPr>
                <w:spacing w:val="-11"/>
                <w:position w:val="18"/>
                <w:sz w:val="24"/>
                <w:szCs w:val="24"/>
              </w:rPr>
              <w:t>不得</w:t>
            </w:r>
          </w:p>
          <w:p>
            <w:pPr>
              <w:pStyle w:val="6"/>
              <w:spacing w:line="219" w:lineRule="auto"/>
              <w:ind w:left="109"/>
              <w:rPr>
                <w:sz w:val="24"/>
                <w:szCs w:val="24"/>
              </w:rPr>
            </w:pPr>
            <w:r>
              <w:rPr>
                <w:spacing w:val="-1"/>
                <w:sz w:val="24"/>
                <w:szCs w:val="24"/>
              </w:rPr>
              <w:t>使挖方边坡陡于设计边坡坡度，否则边坡既不稳定，又增加了挖方量，</w:t>
            </w:r>
            <w:r>
              <w:rPr>
                <w:spacing w:val="-2"/>
                <w:sz w:val="24"/>
                <w:szCs w:val="24"/>
              </w:rPr>
              <w:t>容易造成余土。</w:t>
            </w:r>
          </w:p>
          <w:p>
            <w:pPr>
              <w:pStyle w:val="6"/>
              <w:spacing w:before="195" w:line="369" w:lineRule="auto"/>
              <w:ind w:left="109" w:right="100" w:firstLine="477"/>
              <w:rPr>
                <w:sz w:val="24"/>
                <w:szCs w:val="24"/>
              </w:rPr>
            </w:pPr>
            <w:r>
              <w:rPr>
                <w:spacing w:val="-16"/>
                <w:sz w:val="24"/>
                <w:szCs w:val="24"/>
              </w:rPr>
              <w:t>⑥道路工程用条石护基，</w:t>
            </w:r>
            <w:r>
              <w:rPr>
                <w:spacing w:val="56"/>
                <w:sz w:val="24"/>
                <w:szCs w:val="24"/>
              </w:rPr>
              <w:t xml:space="preserve"> </w:t>
            </w:r>
            <w:r>
              <w:rPr>
                <w:spacing w:val="-16"/>
                <w:sz w:val="24"/>
                <w:szCs w:val="24"/>
              </w:rPr>
              <w:t>并修建排水沟，</w:t>
            </w:r>
            <w:r>
              <w:rPr>
                <w:spacing w:val="53"/>
                <w:sz w:val="24"/>
                <w:szCs w:val="24"/>
              </w:rPr>
              <w:t xml:space="preserve"> </w:t>
            </w:r>
            <w:r>
              <w:rPr>
                <w:spacing w:val="-16"/>
                <w:sz w:val="24"/>
                <w:szCs w:val="24"/>
              </w:rPr>
              <w:t>路面</w:t>
            </w:r>
            <w:r>
              <w:rPr>
                <w:spacing w:val="-17"/>
                <w:sz w:val="24"/>
                <w:szCs w:val="24"/>
              </w:rPr>
              <w:t>采用碎石铺垫，</w:t>
            </w:r>
            <w:r>
              <w:rPr>
                <w:spacing w:val="66"/>
                <w:sz w:val="24"/>
                <w:szCs w:val="24"/>
              </w:rPr>
              <w:t xml:space="preserve"> </w:t>
            </w:r>
            <w:r>
              <w:rPr>
                <w:spacing w:val="-17"/>
                <w:sz w:val="24"/>
                <w:szCs w:val="24"/>
              </w:rPr>
              <w:t>防止雨水冲刷。井场</w:t>
            </w:r>
            <w:r>
              <w:rPr>
                <w:sz w:val="24"/>
                <w:szCs w:val="24"/>
              </w:rPr>
              <w:t xml:space="preserve"> </w:t>
            </w:r>
            <w:r>
              <w:rPr>
                <w:spacing w:val="-11"/>
                <w:sz w:val="24"/>
                <w:szCs w:val="24"/>
              </w:rPr>
              <w:t>周围设置挡土、水墙，</w:t>
            </w:r>
            <w:r>
              <w:rPr>
                <w:spacing w:val="66"/>
                <w:sz w:val="24"/>
                <w:szCs w:val="24"/>
              </w:rPr>
              <w:t xml:space="preserve"> </w:t>
            </w:r>
            <w:r>
              <w:rPr>
                <w:spacing w:val="-11"/>
                <w:sz w:val="24"/>
                <w:szCs w:val="24"/>
              </w:rPr>
              <w:t>井场内设施基础采用水泥砼，</w:t>
            </w:r>
            <w:r>
              <w:rPr>
                <w:spacing w:val="52"/>
                <w:sz w:val="24"/>
                <w:szCs w:val="24"/>
              </w:rPr>
              <w:t xml:space="preserve"> </w:t>
            </w:r>
            <w:r>
              <w:rPr>
                <w:spacing w:val="-11"/>
                <w:sz w:val="24"/>
                <w:szCs w:val="24"/>
              </w:rPr>
              <w:t>其余地面均为碎石铺垫。井场内外</w:t>
            </w:r>
          </w:p>
          <w:p>
            <w:pPr>
              <w:pStyle w:val="6"/>
              <w:spacing w:line="219" w:lineRule="auto"/>
              <w:ind w:left="112"/>
              <w:rPr>
                <w:sz w:val="24"/>
                <w:szCs w:val="24"/>
              </w:rPr>
            </w:pPr>
            <w:r>
              <w:rPr>
                <w:spacing w:val="-1"/>
                <w:sz w:val="24"/>
                <w:szCs w:val="24"/>
              </w:rPr>
              <w:t>设置排水、截水沟，减少雨水对施工场地冲刷，排水沟两侧及沟底均</w:t>
            </w:r>
            <w:r>
              <w:rPr>
                <w:spacing w:val="-2"/>
                <w:sz w:val="24"/>
                <w:szCs w:val="24"/>
              </w:rPr>
              <w:t>为水泥砂浆抹面。</w:t>
            </w:r>
          </w:p>
          <w:p>
            <w:pPr>
              <w:pStyle w:val="6"/>
              <w:spacing w:before="194" w:line="219" w:lineRule="auto"/>
              <w:ind w:left="588"/>
              <w:rPr>
                <w:sz w:val="24"/>
                <w:szCs w:val="24"/>
              </w:rPr>
            </w:pPr>
            <w:r>
              <w:rPr>
                <w:spacing w:val="-3"/>
                <w:sz w:val="24"/>
                <w:szCs w:val="24"/>
              </w:rPr>
              <w:t>通过采取措施后，能有效降低水土流失。</w:t>
            </w:r>
          </w:p>
          <w:p>
            <w:pPr>
              <w:pStyle w:val="6"/>
              <w:spacing w:before="196"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）生态保护措施及生态恢复措施</w:t>
            </w:r>
          </w:p>
          <w:p>
            <w:pPr>
              <w:pStyle w:val="6"/>
              <w:spacing w:before="193" w:line="481" w:lineRule="exact"/>
              <w:ind w:left="587"/>
              <w:rPr>
                <w:sz w:val="24"/>
                <w:szCs w:val="24"/>
              </w:rPr>
            </w:pPr>
            <w:r>
              <w:rPr>
                <w:spacing w:val="-11"/>
                <w:position w:val="18"/>
                <w:sz w:val="24"/>
                <w:szCs w:val="24"/>
              </w:rPr>
              <w:t>①节约集约利用土地，</w:t>
            </w:r>
            <w:r>
              <w:rPr>
                <w:spacing w:val="58"/>
                <w:position w:val="18"/>
                <w:sz w:val="24"/>
                <w:szCs w:val="24"/>
              </w:rPr>
              <w:t xml:space="preserve"> </w:t>
            </w:r>
            <w:r>
              <w:rPr>
                <w:spacing w:val="-11"/>
                <w:position w:val="18"/>
                <w:sz w:val="24"/>
                <w:szCs w:val="24"/>
              </w:rPr>
              <w:t>尽量不占或者少占耕地，</w:t>
            </w:r>
            <w:r>
              <w:rPr>
                <w:spacing w:val="41"/>
                <w:position w:val="18"/>
                <w:sz w:val="24"/>
                <w:szCs w:val="24"/>
              </w:rPr>
              <w:t xml:space="preserve"> </w:t>
            </w:r>
            <w:r>
              <w:rPr>
                <w:spacing w:val="-11"/>
                <w:position w:val="18"/>
                <w:sz w:val="24"/>
                <w:szCs w:val="24"/>
              </w:rPr>
              <w:t>完钻后应对损毁的土地及时进行复</w:t>
            </w:r>
          </w:p>
          <w:p>
            <w:pPr>
              <w:pStyle w:val="6"/>
              <w:spacing w:before="1" w:line="227" w:lineRule="auto"/>
              <w:ind w:left="107"/>
              <w:rPr>
                <w:sz w:val="24"/>
                <w:szCs w:val="24"/>
              </w:rPr>
            </w:pPr>
            <w:r>
              <w:rPr>
                <w:spacing w:val="-11"/>
                <w:sz w:val="24"/>
                <w:szCs w:val="24"/>
              </w:rPr>
              <w:t>垦。</w:t>
            </w:r>
          </w:p>
          <w:p>
            <w:pPr>
              <w:pStyle w:val="6"/>
              <w:spacing w:before="185" w:line="369" w:lineRule="auto"/>
              <w:ind w:left="108" w:right="100" w:firstLine="478"/>
              <w:rPr>
                <w:sz w:val="24"/>
                <w:szCs w:val="24"/>
              </w:rPr>
            </w:pPr>
            <w:r>
              <w:rPr>
                <w:spacing w:val="-16"/>
                <w:sz w:val="24"/>
                <w:szCs w:val="24"/>
              </w:rPr>
              <w:t>③井场表面硬化，</w:t>
            </w:r>
            <w:r>
              <w:rPr>
                <w:spacing w:val="48"/>
                <w:sz w:val="24"/>
                <w:szCs w:val="24"/>
              </w:rPr>
              <w:t xml:space="preserve"> </w:t>
            </w:r>
            <w:r>
              <w:rPr>
                <w:spacing w:val="-16"/>
                <w:sz w:val="24"/>
                <w:szCs w:val="24"/>
              </w:rPr>
              <w:t>进行雨污分流；</w:t>
            </w:r>
            <w:r>
              <w:rPr>
                <w:spacing w:val="58"/>
                <w:sz w:val="24"/>
                <w:szCs w:val="24"/>
              </w:rPr>
              <w:t xml:space="preserve"> </w:t>
            </w:r>
            <w:r>
              <w:rPr>
                <w:spacing w:val="-16"/>
                <w:sz w:val="24"/>
                <w:szCs w:val="24"/>
              </w:rPr>
              <w:t>设置挡墙、排水沟；</w:t>
            </w:r>
            <w:r>
              <w:rPr>
                <w:spacing w:val="54"/>
                <w:sz w:val="24"/>
                <w:szCs w:val="24"/>
              </w:rPr>
              <w:t xml:space="preserve"> </w:t>
            </w:r>
            <w:r>
              <w:rPr>
                <w:spacing w:val="-16"/>
                <w:sz w:val="24"/>
                <w:szCs w:val="24"/>
              </w:rPr>
              <w:t>其它非硬化区场地表面铺一</w:t>
            </w:r>
            <w:r>
              <w:rPr>
                <w:sz w:val="24"/>
                <w:szCs w:val="24"/>
              </w:rPr>
              <w:t xml:space="preserve"> </w:t>
            </w:r>
            <w:r>
              <w:rPr>
                <w:spacing w:val="-10"/>
                <w:sz w:val="24"/>
                <w:szCs w:val="24"/>
              </w:rPr>
              <w:t>层碎石有效地防止雨水冲刷，</w:t>
            </w:r>
            <w:r>
              <w:rPr>
                <w:spacing w:val="43"/>
                <w:sz w:val="24"/>
                <w:szCs w:val="24"/>
              </w:rPr>
              <w:t xml:space="preserve"> </w:t>
            </w:r>
            <w:r>
              <w:rPr>
                <w:spacing w:val="-10"/>
                <w:sz w:val="24"/>
                <w:szCs w:val="24"/>
              </w:rPr>
              <w:t>场地周场围修临时截排水沟，</w:t>
            </w:r>
            <w:r>
              <w:rPr>
                <w:spacing w:val="39"/>
                <w:sz w:val="24"/>
                <w:szCs w:val="24"/>
              </w:rPr>
              <w:t xml:space="preserve"> </w:t>
            </w:r>
            <w:r>
              <w:rPr>
                <w:spacing w:val="-10"/>
                <w:sz w:val="24"/>
                <w:szCs w:val="24"/>
              </w:rPr>
              <w:t>井场挡土墙可有效减少水土</w:t>
            </w:r>
          </w:p>
          <w:p>
            <w:pPr>
              <w:pStyle w:val="6"/>
              <w:spacing w:before="1" w:line="220" w:lineRule="auto"/>
              <w:ind w:left="109"/>
              <w:rPr>
                <w:sz w:val="24"/>
                <w:szCs w:val="24"/>
              </w:rPr>
            </w:pPr>
            <w:r>
              <w:rPr>
                <w:spacing w:val="-11"/>
                <w:sz w:val="24"/>
                <w:szCs w:val="24"/>
              </w:rPr>
              <w:t>流失。</w:t>
            </w:r>
          </w:p>
          <w:p>
            <w:pPr>
              <w:pStyle w:val="6"/>
              <w:spacing w:before="193" w:line="480" w:lineRule="exact"/>
              <w:ind w:left="586"/>
              <w:rPr>
                <w:sz w:val="24"/>
                <w:szCs w:val="24"/>
              </w:rPr>
            </w:pPr>
            <w:r>
              <w:rPr>
                <w:spacing w:val="-6"/>
                <w:position w:val="18"/>
                <w:sz w:val="24"/>
                <w:szCs w:val="24"/>
              </w:rPr>
              <w:t>③放喷管线出口位置修建燃烧池，</w:t>
            </w:r>
            <w:r>
              <w:rPr>
                <w:spacing w:val="45"/>
                <w:position w:val="18"/>
                <w:sz w:val="24"/>
                <w:szCs w:val="24"/>
              </w:rPr>
              <w:t xml:space="preserve"> </w:t>
            </w:r>
            <w:r>
              <w:rPr>
                <w:spacing w:val="-6"/>
                <w:position w:val="18"/>
                <w:sz w:val="24"/>
                <w:szCs w:val="24"/>
              </w:rPr>
              <w:t>并对燃烧池修建挡墙。减小钻井和</w:t>
            </w:r>
            <w:r>
              <w:rPr>
                <w:spacing w:val="-7"/>
                <w:position w:val="18"/>
                <w:sz w:val="24"/>
                <w:szCs w:val="24"/>
              </w:rPr>
              <w:t>测试阶段燃烧</w:t>
            </w:r>
          </w:p>
          <w:p>
            <w:pPr>
              <w:pStyle w:val="6"/>
              <w:spacing w:line="219" w:lineRule="auto"/>
              <w:ind w:left="113"/>
              <w:rPr>
                <w:sz w:val="24"/>
                <w:szCs w:val="24"/>
              </w:rPr>
            </w:pPr>
            <w:r>
              <w:rPr>
                <w:spacing w:val="-4"/>
                <w:sz w:val="24"/>
                <w:szCs w:val="24"/>
              </w:rPr>
              <w:t>热辐射对生态植被的影响。</w:t>
            </w:r>
          </w:p>
          <w:p>
            <w:pPr>
              <w:pStyle w:val="6"/>
              <w:spacing w:before="197" w:line="369" w:lineRule="auto"/>
              <w:ind w:left="107" w:right="62" w:firstLine="478"/>
              <w:rPr>
                <w:sz w:val="24"/>
                <w:szCs w:val="24"/>
              </w:rPr>
            </w:pPr>
            <w:r>
              <w:rPr>
                <w:spacing w:val="-9"/>
                <w:sz w:val="24"/>
                <w:szCs w:val="24"/>
              </w:rPr>
              <w:t>④完钻后及时对井场以及临时设施（生活区） 和清洁生产操作</w:t>
            </w:r>
            <w:r>
              <w:rPr>
                <w:spacing w:val="-10"/>
                <w:sz w:val="24"/>
                <w:szCs w:val="24"/>
              </w:rPr>
              <w:t>平台等，</w:t>
            </w:r>
            <w:r>
              <w:rPr>
                <w:spacing w:val="44"/>
                <w:sz w:val="24"/>
                <w:szCs w:val="24"/>
              </w:rPr>
              <w:t xml:space="preserve"> </w:t>
            </w:r>
            <w:r>
              <w:rPr>
                <w:spacing w:val="-10"/>
                <w:sz w:val="24"/>
                <w:szCs w:val="24"/>
              </w:rPr>
              <w:t>进行生态恢</w:t>
            </w:r>
            <w:r>
              <w:rPr>
                <w:sz w:val="24"/>
                <w:szCs w:val="24"/>
              </w:rPr>
              <w:t xml:space="preserve"> </w:t>
            </w:r>
            <w:r>
              <w:rPr>
                <w:spacing w:val="-11"/>
                <w:sz w:val="24"/>
                <w:szCs w:val="24"/>
              </w:rPr>
              <w:t>复。完钻后对燃烧池、应急池进行覆土回填，</w:t>
            </w:r>
            <w:r>
              <w:rPr>
                <w:spacing w:val="68"/>
                <w:sz w:val="24"/>
                <w:szCs w:val="24"/>
              </w:rPr>
              <w:t xml:space="preserve"> </w:t>
            </w:r>
            <w:r>
              <w:rPr>
                <w:spacing w:val="-11"/>
                <w:sz w:val="24"/>
                <w:szCs w:val="24"/>
              </w:rPr>
              <w:t>种植普通杂草绿化恢复生态，</w:t>
            </w:r>
            <w:r>
              <w:rPr>
                <w:spacing w:val="54"/>
                <w:sz w:val="24"/>
                <w:szCs w:val="24"/>
              </w:rPr>
              <w:t xml:space="preserve"> </w:t>
            </w:r>
            <w:r>
              <w:rPr>
                <w:spacing w:val="-11"/>
                <w:sz w:val="24"/>
                <w:szCs w:val="24"/>
              </w:rPr>
              <w:t>覆土回填底</w:t>
            </w:r>
            <w:r>
              <w:rPr>
                <w:sz w:val="24"/>
                <w:szCs w:val="24"/>
              </w:rPr>
              <w:t xml:space="preserve"> </w:t>
            </w:r>
            <w:r>
              <w:rPr>
                <w:spacing w:val="-4"/>
                <w:sz w:val="24"/>
                <w:szCs w:val="24"/>
              </w:rPr>
              <w:t>层采用的砾石覆盖回填，回填厚度为</w:t>
            </w:r>
            <w:r>
              <w:rPr>
                <w:spacing w:val="-47"/>
                <w:sz w:val="24"/>
                <w:szCs w:val="24"/>
              </w:rPr>
              <w:t xml:space="preserve"> </w:t>
            </w:r>
            <w:r>
              <w:rPr>
                <w:rFonts w:ascii="Times New Roman" w:hAnsi="Times New Roman" w:eastAsia="Times New Roman" w:cs="Times New Roman"/>
                <w:spacing w:val="-4"/>
                <w:sz w:val="24"/>
                <w:szCs w:val="24"/>
              </w:rPr>
              <w:t>30cm</w:t>
            </w:r>
            <w:r>
              <w:rPr>
                <w:spacing w:val="-4"/>
                <w:sz w:val="24"/>
                <w:szCs w:val="24"/>
              </w:rPr>
              <w:t xml:space="preserve">；中间层采用厚度为 </w:t>
            </w:r>
            <w:r>
              <w:rPr>
                <w:rFonts w:ascii="Times New Roman" w:hAnsi="Times New Roman" w:eastAsia="Times New Roman" w:cs="Times New Roman"/>
                <w:spacing w:val="-4"/>
                <w:sz w:val="24"/>
                <w:szCs w:val="24"/>
              </w:rPr>
              <w:t>15cm</w:t>
            </w:r>
            <w:r>
              <w:rPr>
                <w:rFonts w:ascii="Times New Roman" w:hAnsi="Times New Roman" w:eastAsia="Times New Roman" w:cs="Times New Roman"/>
                <w:spacing w:val="29"/>
                <w:sz w:val="24"/>
                <w:szCs w:val="24"/>
              </w:rPr>
              <w:t xml:space="preserve"> </w:t>
            </w:r>
            <w:r>
              <w:rPr>
                <w:spacing w:val="-4"/>
                <w:sz w:val="24"/>
                <w:szCs w:val="24"/>
              </w:rPr>
              <w:t>的粗砂石土回填；</w:t>
            </w:r>
            <w:r>
              <w:rPr>
                <w:sz w:val="24"/>
                <w:szCs w:val="24"/>
              </w:rPr>
              <w:t xml:space="preserve"> </w:t>
            </w:r>
            <w:r>
              <w:rPr>
                <w:spacing w:val="2"/>
                <w:sz w:val="24"/>
                <w:szCs w:val="24"/>
              </w:rPr>
              <w:t xml:space="preserve">顶层采用厚度为 </w:t>
            </w:r>
            <w:r>
              <w:rPr>
                <w:rFonts w:ascii="Times New Roman" w:hAnsi="Times New Roman" w:eastAsia="Times New Roman" w:cs="Times New Roman"/>
                <w:spacing w:val="2"/>
                <w:sz w:val="24"/>
                <w:szCs w:val="24"/>
              </w:rPr>
              <w:t>35</w:t>
            </w:r>
            <w:r>
              <w:rPr>
                <w:rFonts w:ascii="Times New Roman" w:hAnsi="Times New Roman" w:eastAsia="Times New Roman" w:cs="Times New Roman"/>
                <w:sz w:val="24"/>
                <w:szCs w:val="24"/>
              </w:rPr>
              <w:t>cm</w:t>
            </w:r>
            <w:r>
              <w:rPr>
                <w:rFonts w:ascii="Times New Roman" w:hAnsi="Times New Roman" w:eastAsia="Times New Roman" w:cs="Times New Roman"/>
                <w:spacing w:val="24"/>
                <w:w w:val="101"/>
                <w:sz w:val="24"/>
                <w:szCs w:val="24"/>
              </w:rPr>
              <w:t xml:space="preserve">  </w:t>
            </w:r>
            <w:r>
              <w:rPr>
                <w:spacing w:val="2"/>
                <w:sz w:val="24"/>
                <w:szCs w:val="24"/>
              </w:rPr>
              <w:t>的预先剥离的表土进行覆盖（取土来自井场设置的耕植土堆放</w:t>
            </w:r>
            <w:r>
              <w:rPr>
                <w:sz w:val="24"/>
                <w:szCs w:val="24"/>
              </w:rPr>
              <w:t xml:space="preserve"> </w:t>
            </w:r>
            <w:r>
              <w:rPr>
                <w:spacing w:val="-17"/>
                <w:sz w:val="24"/>
                <w:szCs w:val="24"/>
              </w:rPr>
              <w:t>场）</w:t>
            </w:r>
            <w:r>
              <w:rPr>
                <w:spacing w:val="-52"/>
                <w:sz w:val="24"/>
                <w:szCs w:val="24"/>
              </w:rPr>
              <w:t xml:space="preserve"> </w:t>
            </w:r>
            <w:r>
              <w:rPr>
                <w:spacing w:val="-17"/>
                <w:sz w:val="24"/>
                <w:szCs w:val="24"/>
              </w:rPr>
              <w:t>。对临时建筑进行拆除，</w:t>
            </w:r>
            <w:r>
              <w:rPr>
                <w:spacing w:val="53"/>
                <w:sz w:val="24"/>
                <w:szCs w:val="24"/>
              </w:rPr>
              <w:t xml:space="preserve"> </w:t>
            </w:r>
            <w:r>
              <w:rPr>
                <w:spacing w:val="-17"/>
                <w:sz w:val="24"/>
                <w:szCs w:val="24"/>
              </w:rPr>
              <w:t>对临时用地进行整治，</w:t>
            </w:r>
            <w:r>
              <w:rPr>
                <w:spacing w:val="52"/>
                <w:sz w:val="24"/>
                <w:szCs w:val="24"/>
              </w:rPr>
              <w:t xml:space="preserve"> </w:t>
            </w:r>
            <w:r>
              <w:rPr>
                <w:spacing w:val="-17"/>
                <w:sz w:val="24"/>
                <w:szCs w:val="24"/>
              </w:rPr>
              <w:t>对临时工房等进行覆土，</w:t>
            </w:r>
            <w:r>
              <w:rPr>
                <w:spacing w:val="59"/>
                <w:sz w:val="24"/>
                <w:szCs w:val="24"/>
              </w:rPr>
              <w:t xml:space="preserve"> </w:t>
            </w:r>
            <w:r>
              <w:rPr>
                <w:spacing w:val="-17"/>
                <w:sz w:val="24"/>
                <w:szCs w:val="24"/>
              </w:rPr>
              <w:t>并采取种</w:t>
            </w:r>
          </w:p>
          <w:p>
            <w:pPr>
              <w:pStyle w:val="6"/>
              <w:spacing w:line="219" w:lineRule="auto"/>
              <w:ind w:left="109"/>
              <w:rPr>
                <w:sz w:val="24"/>
                <w:szCs w:val="24"/>
              </w:rPr>
            </w:pPr>
            <w:r>
              <w:rPr>
                <w:spacing w:val="-4"/>
                <w:sz w:val="24"/>
                <w:szCs w:val="24"/>
              </w:rPr>
              <w:t>植植被等生态恢复措施。</w:t>
            </w:r>
          </w:p>
          <w:p>
            <w:pPr>
              <w:pStyle w:val="6"/>
              <w:spacing w:before="196" w:line="369" w:lineRule="auto"/>
              <w:ind w:left="108" w:right="100" w:firstLine="478"/>
              <w:rPr>
                <w:sz w:val="24"/>
                <w:szCs w:val="24"/>
              </w:rPr>
            </w:pPr>
            <w:r>
              <w:rPr>
                <w:spacing w:val="-24"/>
                <w:sz w:val="24"/>
                <w:szCs w:val="24"/>
              </w:rPr>
              <w:t>⑤施工过程中，</w:t>
            </w:r>
            <w:r>
              <w:rPr>
                <w:spacing w:val="62"/>
                <w:sz w:val="24"/>
                <w:szCs w:val="24"/>
              </w:rPr>
              <w:t xml:space="preserve"> </w:t>
            </w:r>
            <w:r>
              <w:rPr>
                <w:spacing w:val="-24"/>
                <w:sz w:val="24"/>
                <w:szCs w:val="24"/>
              </w:rPr>
              <w:t>文明施工，</w:t>
            </w:r>
            <w:r>
              <w:rPr>
                <w:spacing w:val="17"/>
                <w:sz w:val="24"/>
                <w:szCs w:val="24"/>
              </w:rPr>
              <w:t xml:space="preserve"> </w:t>
            </w:r>
            <w:r>
              <w:rPr>
                <w:spacing w:val="-24"/>
                <w:sz w:val="24"/>
                <w:szCs w:val="24"/>
              </w:rPr>
              <w:t>有序作业，</w:t>
            </w:r>
            <w:r>
              <w:rPr>
                <w:spacing w:val="17"/>
                <w:sz w:val="24"/>
                <w:szCs w:val="24"/>
              </w:rPr>
              <w:t xml:space="preserve"> </w:t>
            </w:r>
            <w:r>
              <w:rPr>
                <w:spacing w:val="-24"/>
                <w:sz w:val="24"/>
                <w:szCs w:val="24"/>
              </w:rPr>
              <w:t>减少临时占地面积；</w:t>
            </w:r>
            <w:r>
              <w:rPr>
                <w:spacing w:val="57"/>
                <w:sz w:val="24"/>
                <w:szCs w:val="24"/>
              </w:rPr>
              <w:t xml:space="preserve"> </w:t>
            </w:r>
            <w:r>
              <w:rPr>
                <w:spacing w:val="-24"/>
                <w:sz w:val="24"/>
                <w:szCs w:val="24"/>
              </w:rPr>
              <w:t>尽量缩短施工期，</w:t>
            </w:r>
            <w:r>
              <w:rPr>
                <w:spacing w:val="54"/>
                <w:sz w:val="24"/>
                <w:szCs w:val="24"/>
              </w:rPr>
              <w:t xml:space="preserve"> </w:t>
            </w:r>
            <w:r>
              <w:rPr>
                <w:spacing w:val="-24"/>
                <w:sz w:val="24"/>
                <w:szCs w:val="24"/>
              </w:rPr>
              <w:t>使土</w:t>
            </w:r>
            <w:r>
              <w:rPr>
                <w:sz w:val="24"/>
                <w:szCs w:val="24"/>
              </w:rPr>
              <w:t xml:space="preserve"> </w:t>
            </w:r>
            <w:r>
              <w:rPr>
                <w:spacing w:val="-20"/>
                <w:sz w:val="24"/>
                <w:szCs w:val="24"/>
              </w:rPr>
              <w:t>壤暴露时间缩短；</w:t>
            </w:r>
            <w:r>
              <w:rPr>
                <w:spacing w:val="56"/>
                <w:sz w:val="24"/>
                <w:szCs w:val="24"/>
              </w:rPr>
              <w:t xml:space="preserve"> </w:t>
            </w:r>
            <w:r>
              <w:rPr>
                <w:spacing w:val="-20"/>
                <w:sz w:val="24"/>
                <w:szCs w:val="24"/>
              </w:rPr>
              <w:t>施工结束后，</w:t>
            </w:r>
            <w:r>
              <w:rPr>
                <w:spacing w:val="53"/>
                <w:sz w:val="24"/>
                <w:szCs w:val="24"/>
              </w:rPr>
              <w:t xml:space="preserve"> </w:t>
            </w:r>
            <w:r>
              <w:rPr>
                <w:spacing w:val="-20"/>
                <w:sz w:val="24"/>
                <w:szCs w:val="24"/>
              </w:rPr>
              <w:t>立即采取植被恢复措施，</w:t>
            </w:r>
            <w:r>
              <w:rPr>
                <w:spacing w:val="57"/>
                <w:sz w:val="24"/>
                <w:szCs w:val="24"/>
              </w:rPr>
              <w:t xml:space="preserve"> </w:t>
            </w:r>
            <w:r>
              <w:rPr>
                <w:spacing w:val="-20"/>
                <w:sz w:val="24"/>
                <w:szCs w:val="24"/>
              </w:rPr>
              <w:t>如人工绿化、植物护坡等；</w:t>
            </w:r>
            <w:r>
              <w:rPr>
                <w:spacing w:val="55"/>
                <w:sz w:val="24"/>
                <w:szCs w:val="24"/>
              </w:rPr>
              <w:t xml:space="preserve"> </w:t>
            </w:r>
            <w:r>
              <w:rPr>
                <w:spacing w:val="-20"/>
                <w:sz w:val="24"/>
                <w:szCs w:val="24"/>
              </w:rPr>
              <w:t>表</w:t>
            </w:r>
          </w:p>
          <w:p>
            <w:pPr>
              <w:pStyle w:val="6"/>
              <w:spacing w:line="219" w:lineRule="auto"/>
              <w:ind w:left="109"/>
              <w:rPr>
                <w:sz w:val="24"/>
                <w:szCs w:val="24"/>
              </w:rPr>
            </w:pPr>
            <w:r>
              <w:rPr>
                <w:spacing w:val="-8"/>
                <w:sz w:val="24"/>
                <w:szCs w:val="24"/>
              </w:rPr>
              <w:t>土临时堆放场应选择较平整的场地，</w:t>
            </w:r>
            <w:r>
              <w:rPr>
                <w:spacing w:val="69"/>
                <w:sz w:val="24"/>
                <w:szCs w:val="24"/>
              </w:rPr>
              <w:t xml:space="preserve"> </w:t>
            </w:r>
            <w:r>
              <w:rPr>
                <w:spacing w:val="-8"/>
                <w:sz w:val="24"/>
                <w:szCs w:val="24"/>
              </w:rPr>
              <w:t>且场地使用后尽快恢复植被。</w:t>
            </w:r>
          </w:p>
          <w:p>
            <w:pPr>
              <w:pStyle w:val="6"/>
              <w:spacing w:before="197" w:line="369" w:lineRule="auto"/>
              <w:ind w:left="108" w:right="39" w:firstLine="478"/>
              <w:rPr>
                <w:sz w:val="24"/>
                <w:szCs w:val="24"/>
              </w:rPr>
            </w:pPr>
            <w:r>
              <w:rPr>
                <w:spacing w:val="-5"/>
                <w:sz w:val="24"/>
                <w:szCs w:val="24"/>
              </w:rPr>
              <w:t>⑥项目占地范围内分布有少量林地， 用地单位应当向所在地的林业行政主管部门提</w:t>
            </w:r>
            <w:r>
              <w:rPr>
                <w:spacing w:val="7"/>
                <w:sz w:val="24"/>
                <w:szCs w:val="24"/>
              </w:rPr>
              <w:t xml:space="preserve"> </w:t>
            </w:r>
            <w:r>
              <w:rPr>
                <w:spacing w:val="-12"/>
                <w:sz w:val="24"/>
                <w:szCs w:val="24"/>
              </w:rPr>
              <w:t>出申请， 经审核后， 按照管理权限报上级林业行政主管部门审核，</w:t>
            </w:r>
            <w:r>
              <w:rPr>
                <w:spacing w:val="59"/>
                <w:sz w:val="24"/>
                <w:szCs w:val="24"/>
              </w:rPr>
              <w:t xml:space="preserve"> </w:t>
            </w:r>
            <w:r>
              <w:rPr>
                <w:spacing w:val="-12"/>
                <w:sz w:val="24"/>
                <w:szCs w:val="24"/>
              </w:rPr>
              <w:t>再由国土资源行政主</w:t>
            </w:r>
            <w:r>
              <w:rPr>
                <w:sz w:val="24"/>
                <w:szCs w:val="24"/>
              </w:rPr>
              <w:t xml:space="preserve"> </w:t>
            </w:r>
            <w:r>
              <w:rPr>
                <w:spacing w:val="-5"/>
                <w:sz w:val="24"/>
                <w:szCs w:val="24"/>
              </w:rPr>
              <w:t>管部门依法办理土地征占用审批手续， 并按照规定标准缴纳森林植被恢复费或采取异地</w:t>
            </w:r>
            <w:r>
              <w:rPr>
                <w:spacing w:val="15"/>
                <w:sz w:val="24"/>
                <w:szCs w:val="24"/>
              </w:rPr>
              <w:t xml:space="preserve"> </w:t>
            </w:r>
            <w:r>
              <w:rPr>
                <w:spacing w:val="-6"/>
                <w:sz w:val="24"/>
                <w:szCs w:val="24"/>
              </w:rPr>
              <w:t>补偿的方式进行保护。施工期加强对周边林地的保护，</w:t>
            </w:r>
            <w:r>
              <w:rPr>
                <w:spacing w:val="52"/>
                <w:sz w:val="24"/>
                <w:szCs w:val="24"/>
              </w:rPr>
              <w:t xml:space="preserve"> </w:t>
            </w:r>
            <w:r>
              <w:rPr>
                <w:spacing w:val="-6"/>
                <w:sz w:val="24"/>
                <w:szCs w:val="24"/>
              </w:rPr>
              <w:t>制止破坏林地、林木的行</w:t>
            </w:r>
            <w:r>
              <w:rPr>
                <w:spacing w:val="-7"/>
                <w:sz w:val="24"/>
                <w:szCs w:val="24"/>
              </w:rPr>
              <w:t>为、清</w:t>
            </w:r>
            <w:r>
              <w:rPr>
                <w:sz w:val="24"/>
                <w:szCs w:val="24"/>
              </w:rPr>
              <w:t xml:space="preserve"> </w:t>
            </w:r>
            <w:r>
              <w:rPr>
                <w:spacing w:val="-12"/>
                <w:sz w:val="24"/>
                <w:szCs w:val="24"/>
              </w:rPr>
              <w:t>除可能的火灾隐患， 做好病虫害预防工作， 对发生严重的病虫害、火灾或其他自然灾害，</w:t>
            </w:r>
          </w:p>
          <w:p>
            <w:pPr>
              <w:pStyle w:val="6"/>
              <w:spacing w:line="218" w:lineRule="auto"/>
              <w:ind w:left="108"/>
              <w:rPr>
                <w:sz w:val="24"/>
                <w:szCs w:val="24"/>
              </w:rPr>
            </w:pPr>
            <w:r>
              <w:rPr>
                <w:spacing w:val="-1"/>
                <w:sz w:val="24"/>
                <w:szCs w:val="24"/>
              </w:rPr>
              <w:t>应当立即报告当地人民政府和林业行政主管</w:t>
            </w:r>
            <w:r>
              <w:rPr>
                <w:spacing w:val="-2"/>
                <w:sz w:val="24"/>
                <w:szCs w:val="24"/>
              </w:rPr>
              <w:t>部门，采取措施进行防治。</w:t>
            </w:r>
          </w:p>
        </w:tc>
      </w:tr>
    </w:tbl>
    <w:p>
      <w:pPr>
        <w:pStyle w:val="2"/>
        <w:rPr>
          <w:sz w:val="21"/>
        </w:rPr>
      </w:pPr>
    </w:p>
    <w:p>
      <w:pPr>
        <w:rPr>
          <w:sz w:val="21"/>
          <w:szCs w:val="21"/>
        </w:rPr>
        <w:sectPr>
          <w:footerReference r:id="rId122"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1"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586"/>
              <w:rPr>
                <w:sz w:val="24"/>
                <w:szCs w:val="24"/>
              </w:rPr>
            </w:pPr>
            <w:r>
              <w:rPr>
                <w:spacing w:val="-9"/>
                <w:position w:val="18"/>
                <w:sz w:val="24"/>
                <w:szCs w:val="24"/>
              </w:rPr>
              <w:t>⑦施工期应采取标语、广播、电视、</w:t>
            </w:r>
            <w:r>
              <w:rPr>
                <w:spacing w:val="37"/>
                <w:position w:val="18"/>
                <w:sz w:val="24"/>
                <w:szCs w:val="24"/>
              </w:rPr>
              <w:t xml:space="preserve"> </w:t>
            </w:r>
            <w:r>
              <w:rPr>
                <w:spacing w:val="-9"/>
                <w:position w:val="18"/>
                <w:sz w:val="24"/>
                <w:szCs w:val="24"/>
              </w:rPr>
              <w:t>讲座等形式， 广泛开展林地管护要求、环境道</w:t>
            </w:r>
          </w:p>
          <w:p>
            <w:pPr>
              <w:pStyle w:val="6"/>
              <w:spacing w:before="1" w:line="218" w:lineRule="auto"/>
              <w:ind w:left="109"/>
              <w:rPr>
                <w:sz w:val="24"/>
                <w:szCs w:val="24"/>
              </w:rPr>
            </w:pPr>
            <w:r>
              <w:rPr>
                <w:spacing w:val="-2"/>
                <w:sz w:val="24"/>
                <w:szCs w:val="24"/>
              </w:rPr>
              <w:t>德、生态意识、生态保护知识及森林效能等方面的宣传教育。</w:t>
            </w:r>
          </w:p>
          <w:p>
            <w:pPr>
              <w:pStyle w:val="6"/>
              <w:spacing w:before="195" w:line="480" w:lineRule="exact"/>
              <w:ind w:left="586"/>
              <w:rPr>
                <w:sz w:val="24"/>
                <w:szCs w:val="24"/>
              </w:rPr>
            </w:pPr>
            <w:r>
              <w:rPr>
                <w:spacing w:val="-10"/>
                <w:position w:val="18"/>
                <w:sz w:val="24"/>
                <w:szCs w:val="24"/>
              </w:rPr>
              <w:t>⑧施工期加强施工管理，</w:t>
            </w:r>
            <w:r>
              <w:rPr>
                <w:spacing w:val="40"/>
                <w:position w:val="18"/>
                <w:sz w:val="24"/>
                <w:szCs w:val="24"/>
              </w:rPr>
              <w:t xml:space="preserve"> </w:t>
            </w:r>
            <w:r>
              <w:rPr>
                <w:spacing w:val="-10"/>
                <w:position w:val="18"/>
                <w:sz w:val="24"/>
                <w:szCs w:val="24"/>
              </w:rPr>
              <w:t>保护植物的生境条件</w:t>
            </w:r>
            <w:r>
              <w:rPr>
                <w:spacing w:val="-11"/>
                <w:position w:val="18"/>
                <w:sz w:val="24"/>
                <w:szCs w:val="24"/>
              </w:rPr>
              <w:t>，</w:t>
            </w:r>
            <w:r>
              <w:rPr>
                <w:spacing w:val="40"/>
                <w:position w:val="18"/>
                <w:sz w:val="24"/>
                <w:szCs w:val="24"/>
              </w:rPr>
              <w:t xml:space="preserve"> </w:t>
            </w:r>
            <w:r>
              <w:rPr>
                <w:spacing w:val="-11"/>
                <w:position w:val="18"/>
                <w:sz w:val="24"/>
                <w:szCs w:val="24"/>
              </w:rPr>
              <w:t>杜绝对征地范围以外的林地产生不</w:t>
            </w:r>
          </w:p>
          <w:p>
            <w:pPr>
              <w:pStyle w:val="6"/>
              <w:spacing w:line="219" w:lineRule="auto"/>
              <w:ind w:left="109"/>
              <w:rPr>
                <w:sz w:val="24"/>
                <w:szCs w:val="24"/>
              </w:rPr>
            </w:pPr>
            <w:r>
              <w:rPr>
                <w:spacing w:val="-2"/>
                <w:sz w:val="24"/>
                <w:szCs w:val="24"/>
              </w:rPr>
              <w:t>利影响的任何行为。</w:t>
            </w:r>
          </w:p>
          <w:p>
            <w:pPr>
              <w:pStyle w:val="6"/>
              <w:spacing w:before="194" w:line="219"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spacing w:val="-1"/>
                <w:sz w:val="24"/>
                <w:szCs w:val="24"/>
                <w14:textOutline w14:w="4354" w14:cap="flat" w14:cmpd="sng">
                  <w14:solidFill>
                    <w14:srgbClr w14:val="000000"/>
                  </w14:solidFill>
                  <w14:prstDash w14:val="solid"/>
                  <w14:miter w14:val="10"/>
                </w14:textOutline>
              </w:rPr>
              <w:t>）对基本农田的保护措施</w:t>
            </w:r>
          </w:p>
          <w:p>
            <w:pPr>
              <w:pStyle w:val="6"/>
              <w:spacing w:before="195" w:line="480" w:lineRule="exact"/>
              <w:ind w:left="587"/>
              <w:rPr>
                <w:sz w:val="24"/>
                <w:szCs w:val="24"/>
              </w:rPr>
            </w:pPr>
            <w:r>
              <w:rPr>
                <w:spacing w:val="-5"/>
                <w:position w:val="18"/>
                <w:sz w:val="24"/>
                <w:szCs w:val="24"/>
              </w:rPr>
              <w:t>①在工程的总体规划中必须考虑施工对农业生产的影响， 将农业损失纳入工程预算</w:t>
            </w:r>
          </w:p>
          <w:p>
            <w:pPr>
              <w:pStyle w:val="6"/>
              <w:spacing w:before="1" w:line="218" w:lineRule="auto"/>
              <w:ind w:left="131"/>
              <w:rPr>
                <w:sz w:val="24"/>
                <w:szCs w:val="24"/>
              </w:rPr>
            </w:pPr>
            <w:r>
              <w:rPr>
                <w:spacing w:val="-2"/>
                <w:sz w:val="24"/>
                <w:szCs w:val="24"/>
              </w:rPr>
              <w:t>中，尽量减少占用耕地的范围，降低工程对农业生态环境的的干扰和破坏。</w:t>
            </w:r>
          </w:p>
          <w:p>
            <w:pPr>
              <w:pStyle w:val="6"/>
              <w:spacing w:before="196" w:line="480" w:lineRule="exact"/>
              <w:ind w:left="586"/>
              <w:rPr>
                <w:sz w:val="24"/>
                <w:szCs w:val="24"/>
              </w:rPr>
            </w:pPr>
            <w:r>
              <w:rPr>
                <w:spacing w:val="-5"/>
                <w:position w:val="18"/>
                <w:sz w:val="24"/>
                <w:szCs w:val="24"/>
              </w:rPr>
              <w:t>②拟建项目所涉及占地都应按有关土地管理办法的要求， 逐级上报有审批权的政府</w:t>
            </w:r>
          </w:p>
          <w:p>
            <w:pPr>
              <w:pStyle w:val="6"/>
              <w:spacing w:before="1" w:line="219" w:lineRule="auto"/>
              <w:ind w:left="111"/>
              <w:rPr>
                <w:sz w:val="24"/>
                <w:szCs w:val="24"/>
              </w:rPr>
            </w:pPr>
            <w:r>
              <w:rPr>
                <w:spacing w:val="-8"/>
                <w:sz w:val="24"/>
                <w:szCs w:val="24"/>
              </w:rPr>
              <w:t>部门批准。</w:t>
            </w:r>
          </w:p>
          <w:p>
            <w:pPr>
              <w:pStyle w:val="6"/>
              <w:spacing w:before="195" w:line="480" w:lineRule="exact"/>
              <w:ind w:left="586"/>
              <w:rPr>
                <w:sz w:val="24"/>
                <w:szCs w:val="24"/>
              </w:rPr>
            </w:pPr>
            <w:r>
              <w:rPr>
                <w:spacing w:val="-1"/>
                <w:position w:val="18"/>
                <w:sz w:val="24"/>
                <w:szCs w:val="24"/>
              </w:rPr>
              <w:t>③提高施工效率，缩短施工时间，以保持耕作层肥力，缩短农业生</w:t>
            </w:r>
            <w:r>
              <w:rPr>
                <w:spacing w:val="-2"/>
                <w:position w:val="18"/>
                <w:sz w:val="24"/>
                <w:szCs w:val="24"/>
              </w:rPr>
              <w:t>产季节的损失。</w:t>
            </w:r>
          </w:p>
          <w:p>
            <w:pPr>
              <w:pStyle w:val="6"/>
              <w:spacing w:line="219" w:lineRule="auto"/>
              <w:ind w:left="127"/>
              <w:rPr>
                <w:sz w:val="24"/>
                <w:szCs w:val="24"/>
              </w:rPr>
            </w:pPr>
            <w:r>
              <w:rPr>
                <w:spacing w:val="-2"/>
                <w:sz w:val="24"/>
                <w:szCs w:val="24"/>
              </w:rPr>
              <w:t>因地制宜地选择施工季节，尽量避开农作物的生长和收获期，减少农业当季损失。</w:t>
            </w:r>
          </w:p>
          <w:p>
            <w:pPr>
              <w:pStyle w:val="6"/>
              <w:spacing w:before="196" w:line="369" w:lineRule="auto"/>
              <w:ind w:left="128" w:right="100" w:firstLine="458"/>
              <w:rPr>
                <w:sz w:val="24"/>
                <w:szCs w:val="24"/>
              </w:rPr>
            </w:pPr>
            <w:r>
              <w:rPr>
                <w:spacing w:val="-14"/>
                <w:sz w:val="24"/>
                <w:szCs w:val="24"/>
              </w:rPr>
              <w:t>④施工中要采取保护土壤措施，</w:t>
            </w:r>
            <w:r>
              <w:rPr>
                <w:spacing w:val="50"/>
                <w:sz w:val="24"/>
                <w:szCs w:val="24"/>
              </w:rPr>
              <w:t xml:space="preserve"> </w:t>
            </w:r>
            <w:r>
              <w:rPr>
                <w:spacing w:val="-14"/>
                <w:sz w:val="24"/>
                <w:szCs w:val="24"/>
              </w:rPr>
              <w:t>对农业熟化土壤要分层开挖，</w:t>
            </w:r>
            <w:r>
              <w:rPr>
                <w:spacing w:val="49"/>
                <w:sz w:val="24"/>
                <w:szCs w:val="24"/>
              </w:rPr>
              <w:t xml:space="preserve"> </w:t>
            </w:r>
            <w:r>
              <w:rPr>
                <w:spacing w:val="-14"/>
                <w:sz w:val="24"/>
                <w:szCs w:val="24"/>
              </w:rPr>
              <w:t>分别堆放， 分层复原</w:t>
            </w:r>
            <w:r>
              <w:rPr>
                <w:sz w:val="24"/>
                <w:szCs w:val="24"/>
              </w:rPr>
              <w:t xml:space="preserve"> </w:t>
            </w:r>
            <w:r>
              <w:rPr>
                <w:spacing w:val="-8"/>
                <w:sz w:val="24"/>
                <w:szCs w:val="24"/>
              </w:rPr>
              <w:t>的方法， 减少因施工生土上翻耕层养分损失农作物减产的后果， 同时要避免间断覆土造</w:t>
            </w:r>
          </w:p>
          <w:p>
            <w:pPr>
              <w:pStyle w:val="6"/>
              <w:spacing w:line="219" w:lineRule="auto"/>
              <w:ind w:left="110"/>
              <w:rPr>
                <w:sz w:val="24"/>
                <w:szCs w:val="24"/>
              </w:rPr>
            </w:pPr>
            <w:r>
              <w:rPr>
                <w:spacing w:val="-2"/>
                <w:sz w:val="24"/>
                <w:szCs w:val="24"/>
              </w:rPr>
              <w:t>成的土层不坚实形成的水土流失等问题。</w:t>
            </w:r>
          </w:p>
          <w:p>
            <w:pPr>
              <w:pStyle w:val="6"/>
              <w:spacing w:before="195" w:line="480" w:lineRule="exact"/>
              <w:ind w:left="586"/>
              <w:rPr>
                <w:sz w:val="24"/>
                <w:szCs w:val="24"/>
              </w:rPr>
            </w:pPr>
            <w:r>
              <w:rPr>
                <w:spacing w:val="-8"/>
                <w:position w:val="18"/>
                <w:sz w:val="24"/>
                <w:szCs w:val="24"/>
              </w:rPr>
              <w:t>⑤施工完成后做好现场清理及恢复工作，</w:t>
            </w:r>
            <w:r>
              <w:rPr>
                <w:spacing w:val="46"/>
                <w:position w:val="18"/>
                <w:sz w:val="24"/>
                <w:szCs w:val="24"/>
              </w:rPr>
              <w:t xml:space="preserve"> </w:t>
            </w:r>
            <w:r>
              <w:rPr>
                <w:spacing w:val="-8"/>
                <w:position w:val="18"/>
                <w:sz w:val="24"/>
                <w:szCs w:val="24"/>
              </w:rPr>
              <w:t>包括田</w:t>
            </w:r>
            <w:r>
              <w:rPr>
                <w:spacing w:val="-9"/>
                <w:position w:val="18"/>
                <w:sz w:val="24"/>
                <w:szCs w:val="24"/>
              </w:rPr>
              <w:t>埂、水渠妥善处置等，</w:t>
            </w:r>
            <w:r>
              <w:rPr>
                <w:spacing w:val="-39"/>
                <w:position w:val="18"/>
                <w:sz w:val="24"/>
                <w:szCs w:val="24"/>
              </w:rPr>
              <w:t xml:space="preserve"> </w:t>
            </w:r>
            <w:r>
              <w:rPr>
                <w:spacing w:val="-9"/>
                <w:position w:val="18"/>
                <w:sz w:val="24"/>
                <w:szCs w:val="24"/>
              </w:rPr>
              <w:t>尽可能降低</w:t>
            </w:r>
          </w:p>
          <w:p>
            <w:pPr>
              <w:pStyle w:val="6"/>
              <w:spacing w:before="1" w:line="219" w:lineRule="auto"/>
              <w:ind w:left="107"/>
              <w:rPr>
                <w:sz w:val="24"/>
                <w:szCs w:val="24"/>
              </w:rPr>
            </w:pPr>
            <w:r>
              <w:rPr>
                <w:spacing w:val="-3"/>
                <w:sz w:val="24"/>
                <w:szCs w:val="24"/>
              </w:rPr>
              <w:t>施工对农田生态系统带来的不利影响。</w:t>
            </w:r>
          </w:p>
          <w:p>
            <w:pPr>
              <w:pStyle w:val="6"/>
              <w:spacing w:before="195" w:line="480" w:lineRule="exact"/>
              <w:ind w:left="602"/>
              <w:rPr>
                <w:sz w:val="24"/>
                <w:szCs w:val="24"/>
              </w:rPr>
            </w:pPr>
            <w:r>
              <w:rPr>
                <w:spacing w:val="-16"/>
                <w:position w:val="18"/>
                <w:sz w:val="24"/>
                <w:szCs w:val="24"/>
              </w:rPr>
              <w:t>除了以上耕地恢复的措施外，</w:t>
            </w:r>
            <w:r>
              <w:rPr>
                <w:spacing w:val="51"/>
                <w:position w:val="18"/>
                <w:sz w:val="24"/>
                <w:szCs w:val="24"/>
              </w:rPr>
              <w:t xml:space="preserve"> </w:t>
            </w:r>
            <w:r>
              <w:rPr>
                <w:spacing w:val="-16"/>
                <w:position w:val="18"/>
                <w:sz w:val="24"/>
                <w:szCs w:val="24"/>
              </w:rPr>
              <w:t>在开挖地表土壤时，</w:t>
            </w:r>
            <w:r>
              <w:rPr>
                <w:spacing w:val="45"/>
                <w:position w:val="18"/>
                <w:sz w:val="24"/>
                <w:szCs w:val="24"/>
              </w:rPr>
              <w:t xml:space="preserve"> </w:t>
            </w:r>
            <w:r>
              <w:rPr>
                <w:spacing w:val="-16"/>
                <w:position w:val="18"/>
                <w:sz w:val="24"/>
                <w:szCs w:val="24"/>
              </w:rPr>
              <w:t>在地形地貌允许的地方，</w:t>
            </w:r>
            <w:r>
              <w:rPr>
                <w:spacing w:val="46"/>
                <w:position w:val="18"/>
                <w:sz w:val="24"/>
                <w:szCs w:val="24"/>
              </w:rPr>
              <w:t xml:space="preserve"> </w:t>
            </w:r>
            <w:r>
              <w:rPr>
                <w:spacing w:val="-16"/>
                <w:position w:val="18"/>
                <w:sz w:val="24"/>
                <w:szCs w:val="24"/>
              </w:rPr>
              <w:t>应尽可</w:t>
            </w:r>
          </w:p>
          <w:p>
            <w:pPr>
              <w:pStyle w:val="6"/>
              <w:spacing w:line="219" w:lineRule="auto"/>
              <w:jc w:val="right"/>
              <w:rPr>
                <w:sz w:val="24"/>
                <w:szCs w:val="24"/>
              </w:rPr>
            </w:pPr>
            <w:r>
              <w:rPr>
                <w:spacing w:val="-11"/>
                <w:sz w:val="24"/>
                <w:szCs w:val="24"/>
              </w:rPr>
              <w:t xml:space="preserve">能的把表土层单独堆放， 放到编织带内临时堆放。回填时， </w:t>
            </w:r>
            <w:r>
              <w:rPr>
                <w:spacing w:val="-12"/>
                <w:sz w:val="24"/>
                <w:szCs w:val="24"/>
              </w:rPr>
              <w:t>把表土覆盖在最上面的地表。</w:t>
            </w:r>
          </w:p>
          <w:p>
            <w:pPr>
              <w:pStyle w:val="6"/>
              <w:spacing w:before="229" w:line="220" w:lineRule="auto"/>
              <w:ind w:left="107"/>
              <w:rPr>
                <w:sz w:val="24"/>
                <w:szCs w:val="24"/>
              </w:rPr>
            </w:pPr>
            <w:r>
              <w:rPr>
                <w:rFonts w:ascii="Times New Roman" w:hAnsi="Times New Roman" w:eastAsia="Times New Roman" w:cs="Times New Roman"/>
                <w:b/>
                <w:bCs/>
                <w:sz w:val="24"/>
                <w:szCs w:val="24"/>
              </w:rPr>
              <w:t xml:space="preserve">5.1.2 </w:t>
            </w:r>
            <w:r>
              <w:rPr>
                <w:sz w:val="24"/>
                <w:szCs w:val="24"/>
                <w14:textOutline w14:w="4354" w14:cap="flat" w14:cmpd="sng">
                  <w14:solidFill>
                    <w14:srgbClr w14:val="000000"/>
                  </w14:solidFill>
                  <w14:prstDash w14:val="solid"/>
                  <w14:miter w14:val="10"/>
                </w14:textOutline>
              </w:rPr>
              <w:t>钻井工程生态保护措施</w:t>
            </w:r>
          </w:p>
          <w:p>
            <w:pPr>
              <w:pStyle w:val="6"/>
              <w:spacing w:before="202" w:line="369" w:lineRule="auto"/>
              <w:ind w:left="108" w:right="100" w:firstLine="479"/>
              <w:jc w:val="both"/>
              <w:rPr>
                <w:sz w:val="24"/>
                <w:szCs w:val="24"/>
              </w:rPr>
            </w:pPr>
            <w:r>
              <w:rPr>
                <w:spacing w:val="-2"/>
                <w:sz w:val="24"/>
                <w:szCs w:val="24"/>
              </w:rPr>
              <w:t>钻井过程应把施工活动限定在施工范围内，严禁施工人员和器械超出施工区域对工</w:t>
            </w:r>
            <w:r>
              <w:rPr>
                <w:spacing w:val="12"/>
                <w:sz w:val="24"/>
                <w:szCs w:val="24"/>
              </w:rPr>
              <w:t xml:space="preserve"> </w:t>
            </w:r>
            <w:r>
              <w:rPr>
                <w:spacing w:val="-6"/>
                <w:sz w:val="24"/>
                <w:szCs w:val="24"/>
              </w:rPr>
              <w:t>地周边的森林植被、植物物种造成破坏，</w:t>
            </w:r>
            <w:r>
              <w:rPr>
                <w:spacing w:val="49"/>
                <w:sz w:val="24"/>
                <w:szCs w:val="24"/>
              </w:rPr>
              <w:t xml:space="preserve"> </w:t>
            </w:r>
            <w:r>
              <w:rPr>
                <w:spacing w:val="-6"/>
                <w:sz w:val="24"/>
                <w:szCs w:val="24"/>
              </w:rPr>
              <w:t>这样可以有效保护施工点周边的植物种类和植</w:t>
            </w:r>
            <w:r>
              <w:rPr>
                <w:sz w:val="24"/>
                <w:szCs w:val="24"/>
              </w:rPr>
              <w:t xml:space="preserve"> </w:t>
            </w:r>
            <w:r>
              <w:rPr>
                <w:spacing w:val="-11"/>
                <w:sz w:val="24"/>
                <w:szCs w:val="24"/>
              </w:rPr>
              <w:t>被。在施工作业区域以内，</w:t>
            </w:r>
            <w:r>
              <w:rPr>
                <w:spacing w:val="68"/>
                <w:sz w:val="24"/>
                <w:szCs w:val="24"/>
              </w:rPr>
              <w:t xml:space="preserve"> </w:t>
            </w:r>
            <w:r>
              <w:rPr>
                <w:spacing w:val="-11"/>
                <w:sz w:val="24"/>
                <w:szCs w:val="24"/>
              </w:rPr>
              <w:t>除临时占地要进行开挖或侵占之外，</w:t>
            </w:r>
            <w:r>
              <w:rPr>
                <w:spacing w:val="50"/>
                <w:sz w:val="24"/>
                <w:szCs w:val="24"/>
              </w:rPr>
              <w:t xml:space="preserve"> </w:t>
            </w:r>
            <w:r>
              <w:rPr>
                <w:spacing w:val="-11"/>
                <w:sz w:val="24"/>
                <w:szCs w:val="24"/>
              </w:rPr>
              <w:t>不应有其他破坏植被的</w:t>
            </w:r>
          </w:p>
          <w:p>
            <w:pPr>
              <w:pStyle w:val="6"/>
              <w:spacing w:before="1" w:line="218" w:lineRule="auto"/>
              <w:ind w:left="107"/>
              <w:rPr>
                <w:sz w:val="24"/>
                <w:szCs w:val="24"/>
              </w:rPr>
            </w:pPr>
            <w:r>
              <w:rPr>
                <w:spacing w:val="-1"/>
                <w:sz w:val="24"/>
                <w:szCs w:val="24"/>
              </w:rPr>
              <w:t>施工活动。严禁施工材料乱堆乱放、施工垃圾随意丢弃，</w:t>
            </w:r>
            <w:r>
              <w:rPr>
                <w:spacing w:val="-2"/>
                <w:sz w:val="24"/>
                <w:szCs w:val="24"/>
              </w:rPr>
              <w:t>影响植物正常生长。</w:t>
            </w:r>
          </w:p>
          <w:p>
            <w:pPr>
              <w:pStyle w:val="6"/>
              <w:spacing w:before="226" w:line="220" w:lineRule="auto"/>
              <w:ind w:left="107"/>
              <w:rPr>
                <w:sz w:val="24"/>
                <w:szCs w:val="24"/>
              </w:rPr>
            </w:pPr>
            <w:r>
              <w:rPr>
                <w:rFonts w:ascii="Times New Roman" w:hAnsi="Times New Roman" w:eastAsia="Times New Roman" w:cs="Times New Roman"/>
                <w:b/>
                <w:bCs/>
                <w:sz w:val="24"/>
                <w:szCs w:val="24"/>
              </w:rPr>
              <w:t xml:space="preserve">5.1.3 </w:t>
            </w:r>
            <w:r>
              <w:rPr>
                <w:sz w:val="24"/>
                <w:szCs w:val="24"/>
                <w14:textOutline w14:w="4354" w14:cap="flat" w14:cmpd="sng">
                  <w14:solidFill>
                    <w14:srgbClr w14:val="000000"/>
                  </w14:solidFill>
                  <w14:prstDash w14:val="solid"/>
                  <w14:miter w14:val="10"/>
                </w14:textOutline>
              </w:rPr>
              <w:t>完钻后生态保护措施</w:t>
            </w:r>
          </w:p>
          <w:p>
            <w:pPr>
              <w:pStyle w:val="6"/>
              <w:spacing w:before="202" w:line="220" w:lineRule="auto"/>
              <w:ind w:left="591"/>
              <w:rPr>
                <w:sz w:val="24"/>
                <w:szCs w:val="24"/>
              </w:rPr>
            </w:pPr>
            <w:r>
              <w:rPr>
                <w:spacing w:val="-3"/>
                <w:sz w:val="24"/>
                <w:szCs w:val="24"/>
              </w:rPr>
              <w:t>工程结束后，由建设单位决定是否进行下一步施工计划；</w:t>
            </w:r>
          </w:p>
          <w:p>
            <w:pPr>
              <w:pStyle w:val="6"/>
              <w:spacing w:before="195" w:line="369" w:lineRule="auto"/>
              <w:ind w:left="114" w:right="101" w:firstLine="474"/>
              <w:rPr>
                <w:sz w:val="24"/>
                <w:szCs w:val="24"/>
              </w:rPr>
            </w:pPr>
            <w:r>
              <w:rPr>
                <w:spacing w:val="-11"/>
                <w:sz w:val="24"/>
                <w:szCs w:val="24"/>
              </w:rPr>
              <w:t>若有开采价值，</w:t>
            </w:r>
            <w:r>
              <w:rPr>
                <w:spacing w:val="58"/>
                <w:sz w:val="24"/>
                <w:szCs w:val="24"/>
              </w:rPr>
              <w:t xml:space="preserve"> </w:t>
            </w:r>
            <w:r>
              <w:rPr>
                <w:spacing w:val="-11"/>
                <w:sz w:val="24"/>
                <w:szCs w:val="24"/>
              </w:rPr>
              <w:t>则对井场及新建道路等区域延续使用，</w:t>
            </w:r>
            <w:r>
              <w:rPr>
                <w:spacing w:val="38"/>
                <w:sz w:val="24"/>
                <w:szCs w:val="24"/>
              </w:rPr>
              <w:t xml:space="preserve"> </w:t>
            </w:r>
            <w:r>
              <w:rPr>
                <w:spacing w:val="-11"/>
                <w:sz w:val="24"/>
                <w:szCs w:val="24"/>
              </w:rPr>
              <w:t>对其他临时占地进行生态恢</w:t>
            </w:r>
            <w:r>
              <w:rPr>
                <w:sz w:val="24"/>
                <w:szCs w:val="24"/>
              </w:rPr>
              <w:t xml:space="preserve"> </w:t>
            </w:r>
            <w:r>
              <w:rPr>
                <w:spacing w:val="-8"/>
                <w:sz w:val="24"/>
                <w:szCs w:val="24"/>
              </w:rPr>
              <w:t>复；</w:t>
            </w:r>
            <w:r>
              <w:rPr>
                <w:spacing w:val="-46"/>
                <w:sz w:val="24"/>
                <w:szCs w:val="24"/>
              </w:rPr>
              <w:t xml:space="preserve"> </w:t>
            </w:r>
            <w:r>
              <w:rPr>
                <w:spacing w:val="-8"/>
                <w:sz w:val="24"/>
                <w:szCs w:val="24"/>
              </w:rPr>
              <w:t>若无开采价值，</w:t>
            </w:r>
            <w:r>
              <w:rPr>
                <w:spacing w:val="51"/>
                <w:sz w:val="24"/>
                <w:szCs w:val="24"/>
              </w:rPr>
              <w:t xml:space="preserve"> </w:t>
            </w:r>
            <w:r>
              <w:rPr>
                <w:spacing w:val="-8"/>
                <w:sz w:val="24"/>
                <w:szCs w:val="24"/>
              </w:rPr>
              <w:t>则由建设单位决定井场设备全部搬迁。设备搬迁</w:t>
            </w:r>
            <w:r>
              <w:rPr>
                <w:spacing w:val="-9"/>
                <w:sz w:val="24"/>
                <w:szCs w:val="24"/>
              </w:rPr>
              <w:t>完成后即对场地内</w:t>
            </w:r>
          </w:p>
          <w:p>
            <w:pPr>
              <w:pStyle w:val="6"/>
              <w:spacing w:line="219" w:lineRule="auto"/>
              <w:ind w:left="112"/>
              <w:rPr>
                <w:sz w:val="24"/>
                <w:szCs w:val="24"/>
              </w:rPr>
            </w:pPr>
            <w:r>
              <w:rPr>
                <w:spacing w:val="-7"/>
                <w:sz w:val="24"/>
                <w:szCs w:val="24"/>
              </w:rPr>
              <w:t>设施进行拆除，</w:t>
            </w:r>
            <w:r>
              <w:rPr>
                <w:spacing w:val="73"/>
                <w:sz w:val="24"/>
                <w:szCs w:val="24"/>
              </w:rPr>
              <w:t xml:space="preserve"> </w:t>
            </w:r>
            <w:r>
              <w:rPr>
                <w:spacing w:val="-7"/>
                <w:sz w:val="24"/>
                <w:szCs w:val="24"/>
              </w:rPr>
              <w:t>如清除场地碎石、拆除硬化地面及设备基础、拆除环保厕所等。由此将</w:t>
            </w:r>
          </w:p>
        </w:tc>
      </w:tr>
    </w:tbl>
    <w:p>
      <w:pPr>
        <w:pStyle w:val="2"/>
        <w:rPr>
          <w:sz w:val="21"/>
        </w:rPr>
      </w:pPr>
    </w:p>
    <w:p>
      <w:pPr>
        <w:rPr>
          <w:sz w:val="21"/>
          <w:szCs w:val="21"/>
        </w:rPr>
        <w:sectPr>
          <w:footerReference r:id="rId123"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108"/>
              <w:rPr>
                <w:sz w:val="24"/>
                <w:szCs w:val="24"/>
              </w:rPr>
            </w:pPr>
            <w:r>
              <w:rPr>
                <w:spacing w:val="-6"/>
                <w:position w:val="18"/>
                <w:sz w:val="24"/>
                <w:szCs w:val="24"/>
              </w:rPr>
              <w:t>产生场地碎石、硬化地面及防渗、环保厕所等设施拆除废物，</w:t>
            </w:r>
            <w:r>
              <w:rPr>
                <w:spacing w:val="51"/>
                <w:position w:val="18"/>
                <w:sz w:val="24"/>
                <w:szCs w:val="24"/>
              </w:rPr>
              <w:t xml:space="preserve"> </w:t>
            </w:r>
            <w:r>
              <w:rPr>
                <w:spacing w:val="-6"/>
                <w:position w:val="18"/>
                <w:sz w:val="24"/>
                <w:szCs w:val="24"/>
              </w:rPr>
              <w:t>作为建筑废渣处理。设施</w:t>
            </w:r>
          </w:p>
          <w:p>
            <w:pPr>
              <w:pStyle w:val="6"/>
              <w:spacing w:line="219" w:lineRule="auto"/>
              <w:ind w:left="108"/>
              <w:rPr>
                <w:sz w:val="24"/>
                <w:szCs w:val="24"/>
              </w:rPr>
            </w:pPr>
            <w:r>
              <w:rPr>
                <w:spacing w:val="-1"/>
                <w:sz w:val="24"/>
                <w:szCs w:val="24"/>
              </w:rPr>
              <w:t>拆除后对占地区域内进行土地整治、植被恢复、土地复垦等。</w:t>
            </w:r>
          </w:p>
          <w:p>
            <w:pPr>
              <w:pStyle w:val="6"/>
              <w:spacing w:before="195" w:line="369" w:lineRule="auto"/>
              <w:ind w:left="108" w:right="100" w:firstLine="478"/>
              <w:rPr>
                <w:sz w:val="24"/>
                <w:szCs w:val="24"/>
              </w:rPr>
            </w:pPr>
            <w:r>
              <w:rPr>
                <w:spacing w:val="-10"/>
                <w:sz w:val="24"/>
                <w:szCs w:val="24"/>
              </w:rPr>
              <w:t>①临时用地先清除地表的建筑，</w:t>
            </w:r>
            <w:r>
              <w:rPr>
                <w:spacing w:val="41"/>
                <w:sz w:val="24"/>
                <w:szCs w:val="24"/>
              </w:rPr>
              <w:t xml:space="preserve"> </w:t>
            </w:r>
            <w:r>
              <w:rPr>
                <w:spacing w:val="-10"/>
                <w:sz w:val="24"/>
                <w:szCs w:val="24"/>
              </w:rPr>
              <w:t>再用井场建设</w:t>
            </w:r>
            <w:r>
              <w:rPr>
                <w:spacing w:val="-11"/>
                <w:sz w:val="24"/>
                <w:szCs w:val="24"/>
              </w:rPr>
              <w:t>时的表层耕植土作为种植土，</w:t>
            </w:r>
            <w:r>
              <w:rPr>
                <w:spacing w:val="37"/>
                <w:sz w:val="24"/>
                <w:szCs w:val="24"/>
              </w:rPr>
              <w:t xml:space="preserve"> </w:t>
            </w:r>
            <w:r>
              <w:rPr>
                <w:spacing w:val="-11"/>
                <w:sz w:val="24"/>
                <w:szCs w:val="24"/>
              </w:rPr>
              <w:t>进行植</w:t>
            </w:r>
            <w:r>
              <w:rPr>
                <w:sz w:val="24"/>
                <w:szCs w:val="24"/>
              </w:rPr>
              <w:t xml:space="preserve"> </w:t>
            </w:r>
            <w:r>
              <w:rPr>
                <w:spacing w:val="-8"/>
                <w:sz w:val="24"/>
                <w:szCs w:val="24"/>
              </w:rPr>
              <w:t>被恢复。恢复流程为：</w:t>
            </w:r>
            <w:r>
              <w:rPr>
                <w:spacing w:val="52"/>
                <w:sz w:val="24"/>
                <w:szCs w:val="24"/>
              </w:rPr>
              <w:t xml:space="preserve"> </w:t>
            </w:r>
            <w:r>
              <w:rPr>
                <w:spacing w:val="-8"/>
                <w:sz w:val="24"/>
                <w:szCs w:val="24"/>
              </w:rPr>
              <w:t>钻井完成→拆除建（构）</w:t>
            </w:r>
            <w:r>
              <w:rPr>
                <w:spacing w:val="-34"/>
                <w:sz w:val="24"/>
                <w:szCs w:val="24"/>
              </w:rPr>
              <w:t xml:space="preserve"> </w:t>
            </w:r>
            <w:r>
              <w:rPr>
                <w:spacing w:val="-8"/>
                <w:sz w:val="24"/>
                <w:szCs w:val="24"/>
              </w:rPr>
              <w:t>筑物→清</w:t>
            </w:r>
            <w:r>
              <w:rPr>
                <w:spacing w:val="-9"/>
                <w:sz w:val="24"/>
                <w:szCs w:val="24"/>
              </w:rPr>
              <w:t>理场地→人工松土→将土覆盖</w:t>
            </w:r>
          </w:p>
          <w:p>
            <w:pPr>
              <w:pStyle w:val="6"/>
              <w:spacing w:before="1" w:line="218" w:lineRule="auto"/>
              <w:ind w:left="118"/>
              <w:rPr>
                <w:sz w:val="24"/>
                <w:szCs w:val="24"/>
              </w:rPr>
            </w:pPr>
            <w:r>
              <w:rPr>
                <w:spacing w:val="-3"/>
                <w:sz w:val="24"/>
                <w:szCs w:val="24"/>
              </w:rPr>
              <w:t>→整理摊铺耕植土方→交付农民复耕。</w:t>
            </w:r>
          </w:p>
          <w:p>
            <w:pPr>
              <w:pStyle w:val="6"/>
              <w:spacing w:before="196" w:line="369" w:lineRule="auto"/>
              <w:ind w:left="106" w:right="35" w:firstLine="479"/>
              <w:rPr>
                <w:sz w:val="24"/>
                <w:szCs w:val="24"/>
              </w:rPr>
            </w:pPr>
            <w:r>
              <w:rPr>
                <w:spacing w:val="-2"/>
                <w:sz w:val="24"/>
                <w:szCs w:val="24"/>
              </w:rPr>
              <w:t>②完钻后及时对井场以及临时设施（生活区）、清洁生产操作平台、施工道路等，</w:t>
            </w:r>
            <w:r>
              <w:rPr>
                <w:spacing w:val="11"/>
                <w:sz w:val="24"/>
                <w:szCs w:val="24"/>
              </w:rPr>
              <w:t xml:space="preserve"> </w:t>
            </w:r>
            <w:r>
              <w:rPr>
                <w:spacing w:val="-11"/>
                <w:sz w:val="24"/>
                <w:szCs w:val="24"/>
              </w:rPr>
              <w:t>进行生态恢复， 可恢复为旱地、林地； 恢复</w:t>
            </w:r>
            <w:r>
              <w:rPr>
                <w:spacing w:val="-12"/>
                <w:sz w:val="24"/>
                <w:szCs w:val="24"/>
              </w:rPr>
              <w:t>用土利用钻前工程施工时剥离的表层耕植土，</w:t>
            </w:r>
          </w:p>
          <w:p>
            <w:pPr>
              <w:pStyle w:val="6"/>
              <w:spacing w:before="1" w:line="218" w:lineRule="auto"/>
              <w:ind w:left="107"/>
              <w:rPr>
                <w:sz w:val="24"/>
                <w:szCs w:val="24"/>
              </w:rPr>
            </w:pPr>
            <w:r>
              <w:rPr>
                <w:spacing w:val="-4"/>
                <w:sz w:val="24"/>
                <w:szCs w:val="24"/>
              </w:rPr>
              <w:t>表层耕植土放置在表层。</w:t>
            </w:r>
          </w:p>
          <w:p>
            <w:pPr>
              <w:pStyle w:val="6"/>
              <w:spacing w:before="197" w:line="369" w:lineRule="auto"/>
              <w:ind w:left="110" w:right="100" w:firstLine="476"/>
              <w:rPr>
                <w:sz w:val="24"/>
                <w:szCs w:val="24"/>
              </w:rPr>
            </w:pPr>
            <w:r>
              <w:rPr>
                <w:spacing w:val="-11"/>
                <w:sz w:val="24"/>
                <w:szCs w:val="24"/>
              </w:rPr>
              <w:t>③完钻后对燃烧池、对集酸池进行覆土回填，</w:t>
            </w:r>
            <w:r>
              <w:rPr>
                <w:spacing w:val="50"/>
                <w:sz w:val="24"/>
                <w:szCs w:val="24"/>
              </w:rPr>
              <w:t xml:space="preserve"> </w:t>
            </w:r>
            <w:r>
              <w:rPr>
                <w:spacing w:val="-11"/>
                <w:sz w:val="24"/>
                <w:szCs w:val="24"/>
              </w:rPr>
              <w:t>种植普通杂草绿化恢复生态，</w:t>
            </w:r>
            <w:r>
              <w:rPr>
                <w:spacing w:val="47"/>
                <w:sz w:val="24"/>
                <w:szCs w:val="24"/>
              </w:rPr>
              <w:t xml:space="preserve"> </w:t>
            </w:r>
            <w:r>
              <w:rPr>
                <w:spacing w:val="-11"/>
                <w:sz w:val="24"/>
                <w:szCs w:val="24"/>
              </w:rPr>
              <w:t>覆土回</w:t>
            </w:r>
            <w:r>
              <w:rPr>
                <w:sz w:val="24"/>
                <w:szCs w:val="24"/>
              </w:rPr>
              <w:t xml:space="preserve"> </w:t>
            </w:r>
            <w:r>
              <w:rPr>
                <w:spacing w:val="-8"/>
                <w:sz w:val="24"/>
                <w:szCs w:val="24"/>
              </w:rPr>
              <w:t>填底层采用的砾石覆盖回填，</w:t>
            </w:r>
            <w:r>
              <w:rPr>
                <w:spacing w:val="38"/>
                <w:sz w:val="24"/>
                <w:szCs w:val="24"/>
              </w:rPr>
              <w:t xml:space="preserve"> </w:t>
            </w:r>
            <w:r>
              <w:rPr>
                <w:spacing w:val="-8"/>
                <w:sz w:val="24"/>
                <w:szCs w:val="24"/>
              </w:rPr>
              <w:t>回填厚度为</w:t>
            </w:r>
            <w:r>
              <w:rPr>
                <w:spacing w:val="-50"/>
                <w:sz w:val="24"/>
                <w:szCs w:val="24"/>
              </w:rPr>
              <w:t xml:space="preserve"> </w:t>
            </w:r>
            <w:r>
              <w:rPr>
                <w:rFonts w:ascii="Times New Roman" w:hAnsi="Times New Roman" w:eastAsia="Times New Roman" w:cs="Times New Roman"/>
                <w:spacing w:val="-8"/>
                <w:sz w:val="24"/>
                <w:szCs w:val="24"/>
              </w:rPr>
              <w:t>30cm</w:t>
            </w:r>
            <w:r>
              <w:rPr>
                <w:spacing w:val="-8"/>
                <w:sz w:val="24"/>
                <w:szCs w:val="24"/>
              </w:rPr>
              <w:t>；中间层采用厚度为</w:t>
            </w:r>
            <w:r>
              <w:rPr>
                <w:spacing w:val="-31"/>
                <w:sz w:val="24"/>
                <w:szCs w:val="24"/>
              </w:rPr>
              <w:t xml:space="preserve"> </w:t>
            </w:r>
            <w:r>
              <w:rPr>
                <w:rFonts w:ascii="Times New Roman" w:hAnsi="Times New Roman" w:eastAsia="Times New Roman" w:cs="Times New Roman"/>
                <w:spacing w:val="-8"/>
                <w:sz w:val="24"/>
                <w:szCs w:val="24"/>
              </w:rPr>
              <w:t>15c</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29"/>
                <w:w w:val="101"/>
                <w:sz w:val="24"/>
                <w:szCs w:val="24"/>
              </w:rPr>
              <w:t xml:space="preserve"> </w:t>
            </w:r>
            <w:r>
              <w:rPr>
                <w:spacing w:val="-9"/>
                <w:sz w:val="24"/>
                <w:szCs w:val="24"/>
              </w:rPr>
              <w:t>的粗砂石土回</w:t>
            </w:r>
            <w:r>
              <w:rPr>
                <w:sz w:val="24"/>
                <w:szCs w:val="24"/>
              </w:rPr>
              <w:t xml:space="preserve"> </w:t>
            </w:r>
            <w:r>
              <w:rPr>
                <w:spacing w:val="-1"/>
                <w:sz w:val="24"/>
                <w:szCs w:val="24"/>
              </w:rPr>
              <w:t>填；顶层采用厚度为</w:t>
            </w:r>
            <w:r>
              <w:rPr>
                <w:spacing w:val="-40"/>
                <w:sz w:val="24"/>
                <w:szCs w:val="24"/>
              </w:rPr>
              <w:t xml:space="preserve"> </w:t>
            </w:r>
            <w:r>
              <w:rPr>
                <w:rFonts w:ascii="Times New Roman" w:hAnsi="Times New Roman" w:eastAsia="Times New Roman" w:cs="Times New Roman"/>
                <w:spacing w:val="-1"/>
                <w:sz w:val="24"/>
                <w:szCs w:val="24"/>
              </w:rPr>
              <w:t>35cm</w:t>
            </w:r>
            <w:r>
              <w:rPr>
                <w:rFonts w:ascii="Times New Roman" w:hAnsi="Times New Roman" w:eastAsia="Times New Roman" w:cs="Times New Roman"/>
                <w:spacing w:val="40"/>
                <w:sz w:val="24"/>
                <w:szCs w:val="24"/>
              </w:rPr>
              <w:t xml:space="preserve"> </w:t>
            </w:r>
            <w:r>
              <w:rPr>
                <w:spacing w:val="-1"/>
                <w:sz w:val="24"/>
                <w:szCs w:val="24"/>
              </w:rPr>
              <w:t>的预先剥离的表土进行覆盖</w:t>
            </w:r>
            <w:r>
              <w:rPr>
                <w:spacing w:val="-2"/>
                <w:sz w:val="24"/>
                <w:szCs w:val="24"/>
              </w:rPr>
              <w:t>（取土来自井场设置的耕植土堆</w:t>
            </w:r>
          </w:p>
          <w:p>
            <w:pPr>
              <w:pStyle w:val="6"/>
              <w:spacing w:before="1" w:line="220" w:lineRule="auto"/>
              <w:ind w:left="108"/>
              <w:rPr>
                <w:sz w:val="24"/>
                <w:szCs w:val="24"/>
              </w:rPr>
            </w:pPr>
            <w:r>
              <w:rPr>
                <w:spacing w:val="-9"/>
                <w:sz w:val="24"/>
                <w:szCs w:val="24"/>
              </w:rPr>
              <w:t>放区）。</w:t>
            </w:r>
          </w:p>
          <w:p>
            <w:pPr>
              <w:pStyle w:val="6"/>
              <w:spacing w:before="193" w:line="369" w:lineRule="auto"/>
              <w:ind w:left="108" w:right="103" w:firstLine="478"/>
              <w:rPr>
                <w:sz w:val="24"/>
                <w:szCs w:val="24"/>
              </w:rPr>
            </w:pPr>
            <w:r>
              <w:rPr>
                <w:spacing w:val="-2"/>
                <w:sz w:val="24"/>
                <w:szCs w:val="24"/>
              </w:rPr>
              <w:t>④完钻后，对原为林地的占地选择优良的乡土树种和已经适生的引进树草种种植，</w:t>
            </w:r>
            <w:r>
              <w:rPr>
                <w:spacing w:val="10"/>
                <w:sz w:val="24"/>
                <w:szCs w:val="24"/>
              </w:rPr>
              <w:t xml:space="preserve"> </w:t>
            </w:r>
            <w:r>
              <w:rPr>
                <w:spacing w:val="-6"/>
                <w:sz w:val="24"/>
                <w:szCs w:val="24"/>
              </w:rPr>
              <w:t>应以乔、灌、草结合的方式对临时占地范围内的植被进行恢复；</w:t>
            </w:r>
            <w:r>
              <w:rPr>
                <w:spacing w:val="49"/>
                <w:sz w:val="24"/>
                <w:szCs w:val="24"/>
              </w:rPr>
              <w:t xml:space="preserve"> </w:t>
            </w:r>
            <w:r>
              <w:rPr>
                <w:spacing w:val="-6"/>
                <w:sz w:val="24"/>
                <w:szCs w:val="24"/>
              </w:rPr>
              <w:t>耕地和林地的补偿</w:t>
            </w:r>
            <w:r>
              <w:rPr>
                <w:spacing w:val="-7"/>
                <w:sz w:val="24"/>
                <w:szCs w:val="24"/>
              </w:rPr>
              <w:t>措施</w:t>
            </w:r>
          </w:p>
          <w:p>
            <w:pPr>
              <w:pStyle w:val="6"/>
              <w:spacing w:line="219" w:lineRule="auto"/>
              <w:ind w:left="110"/>
              <w:rPr>
                <w:sz w:val="24"/>
                <w:szCs w:val="24"/>
              </w:rPr>
            </w:pPr>
            <w:r>
              <w:rPr>
                <w:spacing w:val="-5"/>
                <w:sz w:val="24"/>
                <w:szCs w:val="24"/>
              </w:rPr>
              <w:t>按照相关法规实行。</w:t>
            </w:r>
          </w:p>
          <w:p>
            <w:pPr>
              <w:pStyle w:val="6"/>
              <w:spacing w:before="196" w:line="217" w:lineRule="auto"/>
              <w:ind w:left="586"/>
              <w:rPr>
                <w:sz w:val="24"/>
                <w:szCs w:val="24"/>
              </w:rPr>
            </w:pPr>
            <w:r>
              <w:rPr>
                <w:spacing w:val="-8"/>
                <w:sz w:val="24"/>
                <w:szCs w:val="24"/>
              </w:rPr>
              <w:t>⑤土地复垦：</w:t>
            </w:r>
          </w:p>
          <w:p>
            <w:pPr>
              <w:pStyle w:val="6"/>
              <w:spacing w:before="197" w:line="480" w:lineRule="exact"/>
              <w:ind w:left="587"/>
              <w:rPr>
                <w:sz w:val="24"/>
                <w:szCs w:val="24"/>
              </w:rPr>
            </w:pPr>
            <w:r>
              <w:rPr>
                <w:rFonts w:ascii="Times New Roman" w:hAnsi="Times New Roman" w:eastAsia="Times New Roman" w:cs="Times New Roman"/>
                <w:spacing w:val="-8"/>
                <w:position w:val="17"/>
                <w:sz w:val="24"/>
                <w:szCs w:val="24"/>
              </w:rPr>
              <w:t xml:space="preserve">a  </w:t>
            </w:r>
            <w:r>
              <w:rPr>
                <w:spacing w:val="-8"/>
                <w:position w:val="17"/>
                <w:sz w:val="24"/>
                <w:szCs w:val="24"/>
              </w:rPr>
              <w:t>复垦方向： 总体全面复垦为耕地，</w:t>
            </w:r>
            <w:r>
              <w:rPr>
                <w:spacing w:val="43"/>
                <w:position w:val="17"/>
                <w:sz w:val="24"/>
                <w:szCs w:val="24"/>
              </w:rPr>
              <w:t xml:space="preserve"> </w:t>
            </w:r>
            <w:r>
              <w:rPr>
                <w:spacing w:val="-8"/>
                <w:position w:val="17"/>
                <w:sz w:val="24"/>
                <w:szCs w:val="24"/>
              </w:rPr>
              <w:t>对边坡</w:t>
            </w:r>
            <w:r>
              <w:rPr>
                <w:spacing w:val="-9"/>
                <w:position w:val="17"/>
                <w:sz w:val="24"/>
                <w:szCs w:val="24"/>
              </w:rPr>
              <w:t>等不局部复垦耕地条件的种植草本植物</w:t>
            </w:r>
          </w:p>
          <w:p>
            <w:pPr>
              <w:pStyle w:val="6"/>
              <w:spacing w:before="1" w:line="220" w:lineRule="auto"/>
              <w:ind w:left="110"/>
              <w:rPr>
                <w:sz w:val="24"/>
                <w:szCs w:val="24"/>
              </w:rPr>
            </w:pPr>
            <w:r>
              <w:rPr>
                <w:spacing w:val="-8"/>
                <w:sz w:val="24"/>
                <w:szCs w:val="24"/>
              </w:rPr>
              <w:t>恢复生态。</w:t>
            </w:r>
          </w:p>
          <w:p>
            <w:pPr>
              <w:pStyle w:val="6"/>
              <w:spacing w:before="193" w:line="480" w:lineRule="exact"/>
              <w:ind w:left="578"/>
              <w:rPr>
                <w:sz w:val="24"/>
                <w:szCs w:val="24"/>
              </w:rPr>
            </w:pPr>
            <w:r>
              <w:rPr>
                <w:rFonts w:ascii="Times New Roman" w:hAnsi="Times New Roman" w:eastAsia="Times New Roman" w:cs="Times New Roman"/>
                <w:spacing w:val="-2"/>
                <w:position w:val="17"/>
                <w:sz w:val="24"/>
                <w:szCs w:val="24"/>
              </w:rPr>
              <w:t>b</w:t>
            </w:r>
            <w:r>
              <w:rPr>
                <w:rFonts w:ascii="Times New Roman" w:hAnsi="Times New Roman" w:eastAsia="Times New Roman" w:cs="Times New Roman"/>
                <w:spacing w:val="42"/>
                <w:position w:val="17"/>
                <w:sz w:val="24"/>
                <w:szCs w:val="24"/>
              </w:rPr>
              <w:t xml:space="preserve"> </w:t>
            </w:r>
            <w:r>
              <w:rPr>
                <w:spacing w:val="-2"/>
                <w:position w:val="17"/>
                <w:sz w:val="24"/>
                <w:szCs w:val="24"/>
              </w:rPr>
              <w:t xml:space="preserve">复垦率及工期、植被恢复期：复垦率 </w:t>
            </w:r>
            <w:r>
              <w:rPr>
                <w:rFonts w:ascii="Times New Roman" w:hAnsi="Times New Roman" w:eastAsia="Times New Roman" w:cs="Times New Roman"/>
                <w:spacing w:val="-2"/>
                <w:position w:val="17"/>
                <w:sz w:val="24"/>
                <w:szCs w:val="24"/>
              </w:rPr>
              <w:t>100%</w:t>
            </w:r>
            <w:r>
              <w:rPr>
                <w:spacing w:val="-2"/>
                <w:position w:val="17"/>
                <w:sz w:val="24"/>
                <w:szCs w:val="24"/>
              </w:rPr>
              <w:t xml:space="preserve">，钻井完工后进行复垦，施工期 </w:t>
            </w:r>
            <w:r>
              <w:rPr>
                <w:rFonts w:ascii="Times New Roman" w:hAnsi="Times New Roman" w:eastAsia="Times New Roman" w:cs="Times New Roman"/>
                <w:spacing w:val="-2"/>
                <w:position w:val="17"/>
                <w:sz w:val="24"/>
                <w:szCs w:val="24"/>
              </w:rPr>
              <w:t>3</w:t>
            </w:r>
            <w:r>
              <w:rPr>
                <w:rFonts w:ascii="Times New Roman" w:hAnsi="Times New Roman" w:eastAsia="Times New Roman" w:cs="Times New Roman"/>
                <w:spacing w:val="35"/>
                <w:w w:val="101"/>
                <w:position w:val="17"/>
                <w:sz w:val="24"/>
                <w:szCs w:val="24"/>
              </w:rPr>
              <w:t xml:space="preserve"> </w:t>
            </w:r>
            <w:r>
              <w:rPr>
                <w:spacing w:val="-2"/>
                <w:position w:val="17"/>
                <w:sz w:val="24"/>
                <w:szCs w:val="24"/>
              </w:rPr>
              <w:t>个</w:t>
            </w:r>
          </w:p>
          <w:p>
            <w:pPr>
              <w:pStyle w:val="6"/>
              <w:spacing w:before="1" w:line="219" w:lineRule="auto"/>
              <w:ind w:left="114"/>
              <w:rPr>
                <w:sz w:val="24"/>
                <w:szCs w:val="24"/>
              </w:rPr>
            </w:pPr>
            <w:r>
              <w:rPr>
                <w:spacing w:val="-3"/>
                <w:sz w:val="24"/>
                <w:szCs w:val="24"/>
              </w:rPr>
              <w:t>月。复垦种植恢复期</w:t>
            </w:r>
            <w:r>
              <w:rPr>
                <w:spacing w:val="-49"/>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年。</w:t>
            </w:r>
          </w:p>
          <w:p>
            <w:pPr>
              <w:pStyle w:val="6"/>
              <w:spacing w:before="194" w:line="233" w:lineRule="auto"/>
              <w:ind w:left="587"/>
              <w:rPr>
                <w:sz w:val="24"/>
                <w:szCs w:val="24"/>
              </w:rPr>
            </w:pPr>
            <w:r>
              <w:rPr>
                <w:rFonts w:ascii="Times New Roman" w:hAnsi="Times New Roman" w:eastAsia="Times New Roman" w:cs="Times New Roman"/>
                <w:spacing w:val="-1"/>
                <w:sz w:val="24"/>
                <w:szCs w:val="24"/>
              </w:rPr>
              <w:t xml:space="preserve">c  </w:t>
            </w:r>
            <w:r>
              <w:rPr>
                <w:spacing w:val="-1"/>
                <w:sz w:val="24"/>
                <w:szCs w:val="24"/>
              </w:rPr>
              <w:t>复垦土壤：主要采用耕植土堆放区耕植土以及其他临</w:t>
            </w:r>
            <w:r>
              <w:rPr>
                <w:spacing w:val="-2"/>
                <w:sz w:val="24"/>
                <w:szCs w:val="24"/>
              </w:rPr>
              <w:t>时占地原有耕植土。</w:t>
            </w:r>
          </w:p>
          <w:p>
            <w:pPr>
              <w:pStyle w:val="6"/>
              <w:spacing w:before="180" w:line="369" w:lineRule="auto"/>
              <w:ind w:left="108" w:firstLine="478"/>
              <w:rPr>
                <w:sz w:val="24"/>
                <w:szCs w:val="24"/>
              </w:rPr>
            </w:pPr>
            <w:r>
              <w:rPr>
                <w:rFonts w:ascii="Times New Roman" w:hAnsi="Times New Roman" w:eastAsia="Times New Roman" w:cs="Times New Roman"/>
                <w:sz w:val="24"/>
                <w:szCs w:val="24"/>
              </w:rPr>
              <w:t xml:space="preserve">d  </w:t>
            </w:r>
            <w:r>
              <w:rPr>
                <w:sz w:val="24"/>
                <w:szCs w:val="24"/>
              </w:rPr>
              <w:t>复垦要求：对土壤进行翻耕、平整及</w:t>
            </w:r>
            <w:r>
              <w:rPr>
                <w:spacing w:val="-1"/>
                <w:sz w:val="24"/>
                <w:szCs w:val="24"/>
              </w:rPr>
              <w:t>培肥改良。满足《土地复垦质量控制标准》</w:t>
            </w:r>
            <w:r>
              <w:rPr>
                <w:sz w:val="24"/>
                <w:szCs w:val="24"/>
              </w:rPr>
              <w:t xml:space="preserve"> </w:t>
            </w:r>
            <w:r>
              <w:rPr>
                <w:spacing w:val="-6"/>
                <w:sz w:val="24"/>
                <w:szCs w:val="24"/>
              </w:rPr>
              <w:t>（</w:t>
            </w:r>
            <w:r>
              <w:rPr>
                <w:rFonts w:ascii="Times New Roman" w:hAnsi="Times New Roman" w:eastAsia="Times New Roman" w:cs="Times New Roman"/>
                <w:spacing w:val="-6"/>
                <w:sz w:val="24"/>
                <w:szCs w:val="24"/>
              </w:rPr>
              <w:t>TD/T1036-2013</w:t>
            </w:r>
            <w:r>
              <w:rPr>
                <w:spacing w:val="-6"/>
                <w:sz w:val="24"/>
                <w:szCs w:val="24"/>
              </w:rPr>
              <w:t>）中规定的要求：</w:t>
            </w:r>
            <w:r>
              <w:rPr>
                <w:spacing w:val="50"/>
                <w:sz w:val="24"/>
                <w:szCs w:val="24"/>
              </w:rPr>
              <w:t xml:space="preserve"> </w:t>
            </w:r>
            <w:r>
              <w:rPr>
                <w:spacing w:val="-6"/>
                <w:sz w:val="24"/>
                <w:szCs w:val="24"/>
              </w:rPr>
              <w:t>①旱地田面坡度不得超过</w:t>
            </w:r>
            <w:r>
              <w:rPr>
                <w:spacing w:val="-54"/>
                <w:sz w:val="24"/>
                <w:szCs w:val="24"/>
              </w:rPr>
              <w:t xml:space="preserve"> </w:t>
            </w:r>
            <w:r>
              <w:rPr>
                <w:rFonts w:ascii="Times New Roman" w:hAnsi="Times New Roman" w:eastAsia="Times New Roman" w:cs="Times New Roman"/>
                <w:spacing w:val="-6"/>
                <w:sz w:val="24"/>
                <w:szCs w:val="24"/>
              </w:rPr>
              <w:t>25°</w:t>
            </w:r>
            <w:r>
              <w:rPr>
                <w:spacing w:val="-6"/>
                <w:sz w:val="24"/>
                <w:szCs w:val="24"/>
              </w:rPr>
              <w:t>, 复垦地为水浇地、水</w:t>
            </w:r>
            <w:r>
              <w:rPr>
                <w:sz w:val="24"/>
                <w:szCs w:val="24"/>
              </w:rPr>
              <w:t xml:space="preserve"> </w:t>
            </w:r>
            <w:r>
              <w:rPr>
                <w:spacing w:val="-6"/>
                <w:sz w:val="24"/>
                <w:szCs w:val="24"/>
              </w:rPr>
              <w:t>田时， 地面坡度不宜超过</w:t>
            </w:r>
            <w:r>
              <w:rPr>
                <w:spacing w:val="-13"/>
                <w:sz w:val="24"/>
                <w:szCs w:val="24"/>
              </w:rPr>
              <w:t xml:space="preserve"> </w:t>
            </w:r>
            <w:r>
              <w:rPr>
                <w:rFonts w:ascii="Times New Roman" w:hAnsi="Times New Roman" w:eastAsia="Times New Roman" w:cs="Times New Roman"/>
                <w:spacing w:val="-6"/>
                <w:sz w:val="24"/>
                <w:szCs w:val="24"/>
              </w:rPr>
              <w:t>15°</w:t>
            </w:r>
            <w:r>
              <w:rPr>
                <w:spacing w:val="-6"/>
                <w:sz w:val="24"/>
                <w:szCs w:val="24"/>
              </w:rPr>
              <w:t>; ②有效土层厚度大于</w:t>
            </w:r>
            <w:r>
              <w:rPr>
                <w:spacing w:val="-56"/>
                <w:sz w:val="24"/>
                <w:szCs w:val="24"/>
              </w:rPr>
              <w:t xml:space="preserve"> </w:t>
            </w:r>
            <w:r>
              <w:rPr>
                <w:rFonts w:ascii="Times New Roman" w:hAnsi="Times New Roman" w:eastAsia="Times New Roman" w:cs="Times New Roman"/>
                <w:spacing w:val="-6"/>
                <w:sz w:val="24"/>
                <w:szCs w:val="24"/>
              </w:rPr>
              <w:t>40cm</w:t>
            </w:r>
            <w:r>
              <w:rPr>
                <w:spacing w:val="-6"/>
                <w:sz w:val="24"/>
                <w:szCs w:val="24"/>
              </w:rPr>
              <w:t>，土壤具有较好的肥力，土壤</w:t>
            </w:r>
            <w:r>
              <w:rPr>
                <w:sz w:val="24"/>
                <w:szCs w:val="24"/>
              </w:rPr>
              <w:t xml:space="preserve"> </w:t>
            </w:r>
            <w:r>
              <w:rPr>
                <w:spacing w:val="-7"/>
                <w:sz w:val="24"/>
                <w:szCs w:val="24"/>
              </w:rPr>
              <w:t>环境质量符合《土壤环境质量农用地土壤污染风险管控标准（试行）</w:t>
            </w:r>
            <w:r>
              <w:rPr>
                <w:spacing w:val="-56"/>
                <w:sz w:val="24"/>
                <w:szCs w:val="24"/>
              </w:rPr>
              <w:t xml:space="preserve"> </w:t>
            </w:r>
            <w:r>
              <w:rPr>
                <w:spacing w:val="-7"/>
                <w:sz w:val="24"/>
                <w:szCs w:val="24"/>
              </w:rPr>
              <w:t>》（</w:t>
            </w:r>
            <w:r>
              <w:rPr>
                <w:rFonts w:ascii="Times New Roman" w:hAnsi="Times New Roman" w:eastAsia="Times New Roman" w:cs="Times New Roman"/>
                <w:spacing w:val="-7"/>
                <w:sz w:val="24"/>
                <w:szCs w:val="24"/>
              </w:rPr>
              <w:t>GB15618-2018</w:t>
            </w:r>
            <w:r>
              <w:rPr>
                <w:spacing w:val="-7"/>
                <w:sz w:val="24"/>
                <w:szCs w:val="24"/>
              </w:rPr>
              <w:t>）</w:t>
            </w:r>
            <w:r>
              <w:rPr>
                <w:sz w:val="24"/>
                <w:szCs w:val="24"/>
              </w:rPr>
              <w:t xml:space="preserve"> </w:t>
            </w:r>
            <w:r>
              <w:rPr>
                <w:spacing w:val="-12"/>
                <w:sz w:val="24"/>
                <w:szCs w:val="24"/>
              </w:rPr>
              <w:t>规定的风险筛选值。复垦方案经过专门设计， 满足相关要求， 技术上可行。投资约较少，</w:t>
            </w:r>
          </w:p>
          <w:p>
            <w:pPr>
              <w:pStyle w:val="6"/>
              <w:spacing w:before="1" w:line="218" w:lineRule="auto"/>
              <w:ind w:left="110"/>
              <w:rPr>
                <w:sz w:val="24"/>
                <w:szCs w:val="24"/>
              </w:rPr>
            </w:pPr>
            <w:r>
              <w:rPr>
                <w:spacing w:val="-2"/>
                <w:sz w:val="24"/>
                <w:szCs w:val="24"/>
              </w:rPr>
              <w:t>经济上可行。可有效恢复占用基本农田和恢复生态环境。</w:t>
            </w:r>
          </w:p>
          <w:p>
            <w:pPr>
              <w:pStyle w:val="6"/>
              <w:spacing w:before="195" w:line="480" w:lineRule="exact"/>
              <w:ind w:left="586"/>
              <w:rPr>
                <w:sz w:val="24"/>
                <w:szCs w:val="24"/>
              </w:rPr>
            </w:pPr>
            <w:r>
              <w:rPr>
                <w:spacing w:val="5"/>
                <w:position w:val="18"/>
                <w:sz w:val="24"/>
                <w:szCs w:val="24"/>
              </w:rPr>
              <w:t>⑥钻井工程完工后井场道路的生态恢复应广泛征询周边居民对井</w:t>
            </w:r>
            <w:r>
              <w:rPr>
                <w:spacing w:val="4"/>
                <w:position w:val="18"/>
                <w:sz w:val="24"/>
                <w:szCs w:val="24"/>
              </w:rPr>
              <w:t>场道路恢复或保</w:t>
            </w:r>
          </w:p>
          <w:p>
            <w:pPr>
              <w:pStyle w:val="6"/>
              <w:spacing w:before="1" w:line="219" w:lineRule="auto"/>
              <w:ind w:left="126"/>
              <w:rPr>
                <w:sz w:val="24"/>
                <w:szCs w:val="24"/>
              </w:rPr>
            </w:pPr>
            <w:r>
              <w:rPr>
                <w:spacing w:val="-1"/>
                <w:sz w:val="24"/>
                <w:szCs w:val="24"/>
              </w:rPr>
              <w:t>留的意见，尽可能的方便周边居民出行，以便构筑和谐企民关系。</w:t>
            </w:r>
          </w:p>
        </w:tc>
      </w:tr>
    </w:tbl>
    <w:p>
      <w:pPr>
        <w:pStyle w:val="2"/>
        <w:rPr>
          <w:sz w:val="21"/>
        </w:rPr>
      </w:pPr>
    </w:p>
    <w:p>
      <w:pPr>
        <w:rPr>
          <w:sz w:val="21"/>
          <w:szCs w:val="21"/>
        </w:rPr>
        <w:sectPr>
          <w:footerReference r:id="rId124"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1" w:line="219" w:lineRule="auto"/>
              <w:ind w:left="615"/>
              <w:rPr>
                <w:sz w:val="24"/>
                <w:szCs w:val="24"/>
              </w:rPr>
            </w:pPr>
            <w:r>
              <w:rPr>
                <w:spacing w:val="-4"/>
                <w:sz w:val="24"/>
                <w:szCs w:val="24"/>
              </w:rPr>
              <w:t>以上措施简单可行，投资少，技术经济可行。</w:t>
            </w:r>
          </w:p>
          <w:p>
            <w:pPr>
              <w:pStyle w:val="6"/>
              <w:spacing w:before="243" w:line="480" w:lineRule="exact"/>
              <w:ind w:left="107"/>
              <w:rPr>
                <w:sz w:val="24"/>
                <w:szCs w:val="24"/>
              </w:rPr>
            </w:pPr>
            <w:r>
              <w:rPr>
                <w:rFonts w:ascii="Times New Roman" w:hAnsi="Times New Roman" w:eastAsia="Times New Roman" w:cs="Times New Roman"/>
                <w:b/>
                <w:bCs/>
                <w:position w:val="18"/>
                <w:sz w:val="24"/>
                <w:szCs w:val="24"/>
              </w:rPr>
              <w:t xml:space="preserve">5.2 </w:t>
            </w:r>
            <w:r>
              <w:rPr>
                <w:position w:val="18"/>
                <w:sz w:val="24"/>
                <w:szCs w:val="24"/>
                <w14:textOutline w14:w="4354" w14:cap="flat" w14:cmpd="sng">
                  <w14:solidFill>
                    <w14:srgbClr w14:val="000000"/>
                  </w14:solidFill>
                  <w14:prstDash w14:val="solid"/>
                  <w14:miter w14:val="10"/>
                </w14:textOutline>
              </w:rPr>
              <w:t>环境空气污染防治措施</w:t>
            </w:r>
          </w:p>
          <w:p>
            <w:pPr>
              <w:pStyle w:val="6"/>
              <w:spacing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）钻前工程</w:t>
            </w:r>
          </w:p>
          <w:p>
            <w:pPr>
              <w:pStyle w:val="6"/>
              <w:spacing w:before="196" w:line="369" w:lineRule="auto"/>
              <w:ind w:left="107" w:right="33" w:firstLine="480"/>
              <w:jc w:val="both"/>
              <w:rPr>
                <w:sz w:val="24"/>
                <w:szCs w:val="24"/>
              </w:rPr>
            </w:pPr>
            <w:r>
              <w:rPr>
                <w:spacing w:val="-2"/>
                <w:sz w:val="24"/>
                <w:szCs w:val="24"/>
              </w:rPr>
              <w:t>钻前工程环境空气污染物主要来自施工扬尘、施工机械尾气。施工扬尘为土石方开</w:t>
            </w:r>
            <w:r>
              <w:rPr>
                <w:spacing w:val="13"/>
                <w:sz w:val="24"/>
                <w:szCs w:val="24"/>
              </w:rPr>
              <w:t xml:space="preserve"> </w:t>
            </w:r>
            <w:r>
              <w:rPr>
                <w:spacing w:val="-8"/>
                <w:sz w:val="24"/>
                <w:szCs w:val="24"/>
              </w:rPr>
              <w:t>挖，</w:t>
            </w:r>
            <w:r>
              <w:rPr>
                <w:spacing w:val="-38"/>
                <w:sz w:val="24"/>
                <w:szCs w:val="24"/>
              </w:rPr>
              <w:t xml:space="preserve"> </w:t>
            </w:r>
            <w:r>
              <w:rPr>
                <w:spacing w:val="-8"/>
                <w:sz w:val="24"/>
                <w:szCs w:val="24"/>
              </w:rPr>
              <w:t>材料运输、卸放、拌和等过程中产生的，</w:t>
            </w:r>
            <w:r>
              <w:rPr>
                <w:spacing w:val="55"/>
                <w:sz w:val="24"/>
                <w:szCs w:val="24"/>
              </w:rPr>
              <w:t xml:space="preserve"> </w:t>
            </w:r>
            <w:r>
              <w:rPr>
                <w:spacing w:val="-8"/>
                <w:sz w:val="24"/>
                <w:szCs w:val="24"/>
              </w:rPr>
              <w:t>主要污染物为</w:t>
            </w:r>
            <w:r>
              <w:rPr>
                <w:spacing w:val="-51"/>
                <w:sz w:val="24"/>
                <w:szCs w:val="24"/>
              </w:rPr>
              <w:t xml:space="preserve"> </w:t>
            </w:r>
            <w:r>
              <w:rPr>
                <w:rFonts w:ascii="Times New Roman" w:hAnsi="Times New Roman" w:eastAsia="Times New Roman" w:cs="Times New Roman"/>
                <w:spacing w:val="-8"/>
                <w:sz w:val="24"/>
                <w:szCs w:val="24"/>
              </w:rPr>
              <w:t>TSP</w:t>
            </w:r>
            <w:r>
              <w:rPr>
                <w:spacing w:val="-8"/>
                <w:sz w:val="24"/>
                <w:szCs w:val="24"/>
              </w:rPr>
              <w:t>，采取了</w:t>
            </w:r>
            <w:r>
              <w:rPr>
                <w:spacing w:val="-9"/>
                <w:sz w:val="24"/>
                <w:szCs w:val="24"/>
              </w:rPr>
              <w:t>洒水防尘措施</w:t>
            </w:r>
            <w:r>
              <w:rPr>
                <w:sz w:val="24"/>
                <w:szCs w:val="24"/>
              </w:rPr>
              <w:t xml:space="preserve"> </w:t>
            </w:r>
            <w:r>
              <w:rPr>
                <w:spacing w:val="-10"/>
                <w:sz w:val="24"/>
                <w:szCs w:val="24"/>
              </w:rPr>
              <w:t>影响较小； 施工机械尾气为燃油发电机、车辆排放尾气，</w:t>
            </w:r>
            <w:r>
              <w:rPr>
                <w:spacing w:val="63"/>
                <w:sz w:val="24"/>
                <w:szCs w:val="24"/>
              </w:rPr>
              <w:t xml:space="preserve"> </w:t>
            </w:r>
            <w:r>
              <w:rPr>
                <w:spacing w:val="-10"/>
                <w:sz w:val="24"/>
                <w:szCs w:val="24"/>
              </w:rPr>
              <w:t>主要污染物为</w:t>
            </w:r>
            <w:r>
              <w:rPr>
                <w:spacing w:val="-62"/>
                <w:sz w:val="24"/>
                <w:szCs w:val="24"/>
              </w:rPr>
              <w:t xml:space="preserve"> </w:t>
            </w:r>
            <w:r>
              <w:rPr>
                <w:rFonts w:ascii="Times New Roman" w:hAnsi="Times New Roman" w:eastAsia="Times New Roman" w:cs="Times New Roman"/>
                <w:spacing w:val="-10"/>
                <w:sz w:val="24"/>
                <w:szCs w:val="24"/>
              </w:rPr>
              <w:t xml:space="preserve">NOx </w:t>
            </w:r>
            <w:r>
              <w:rPr>
                <w:spacing w:val="-10"/>
                <w:sz w:val="24"/>
                <w:szCs w:val="24"/>
              </w:rPr>
              <w:t>和</w:t>
            </w:r>
            <w:r>
              <w:rPr>
                <w:spacing w:val="-52"/>
                <w:sz w:val="24"/>
                <w:szCs w:val="24"/>
              </w:rPr>
              <w:t xml:space="preserve"> </w:t>
            </w:r>
            <w:r>
              <w:rPr>
                <w:rFonts w:ascii="Times New Roman" w:hAnsi="Times New Roman" w:eastAsia="Times New Roman" w:cs="Times New Roman"/>
                <w:spacing w:val="-10"/>
                <w:sz w:val="24"/>
                <w:szCs w:val="24"/>
              </w:rPr>
              <w:t>CO</w:t>
            </w:r>
            <w:r>
              <w:rPr>
                <w:spacing w:val="-10"/>
                <w:sz w:val="24"/>
                <w:szCs w:val="24"/>
              </w:rPr>
              <w:t xml:space="preserve">，由 </w:t>
            </w:r>
            <w:r>
              <w:rPr>
                <w:spacing w:val="-9"/>
                <w:sz w:val="24"/>
                <w:szCs w:val="24"/>
              </w:rPr>
              <w:t>于累计施工工时不长， 未对周边农业生产造成明显影响。钻前施工现场进行合理化管理，</w:t>
            </w:r>
            <w:r>
              <w:rPr>
                <w:spacing w:val="9"/>
                <w:sz w:val="24"/>
                <w:szCs w:val="24"/>
              </w:rPr>
              <w:t xml:space="preserve"> </w:t>
            </w:r>
            <w:r>
              <w:rPr>
                <w:spacing w:val="-20"/>
                <w:sz w:val="24"/>
                <w:szCs w:val="24"/>
              </w:rPr>
              <w:t>统一堆放材料，</w:t>
            </w:r>
            <w:r>
              <w:rPr>
                <w:spacing w:val="54"/>
                <w:sz w:val="24"/>
                <w:szCs w:val="24"/>
              </w:rPr>
              <w:t xml:space="preserve"> </w:t>
            </w:r>
            <w:r>
              <w:rPr>
                <w:spacing w:val="-20"/>
                <w:sz w:val="24"/>
                <w:szCs w:val="24"/>
              </w:rPr>
              <w:t>设置专门库房堆放水泥，</w:t>
            </w:r>
            <w:r>
              <w:rPr>
                <w:spacing w:val="51"/>
                <w:sz w:val="24"/>
                <w:szCs w:val="24"/>
              </w:rPr>
              <w:t xml:space="preserve"> </w:t>
            </w:r>
            <w:r>
              <w:rPr>
                <w:spacing w:val="-20"/>
                <w:sz w:val="24"/>
                <w:szCs w:val="24"/>
              </w:rPr>
              <w:t>尽量减少搬运环节，</w:t>
            </w:r>
            <w:r>
              <w:rPr>
                <w:spacing w:val="51"/>
                <w:sz w:val="24"/>
                <w:szCs w:val="24"/>
              </w:rPr>
              <w:t xml:space="preserve"> </w:t>
            </w:r>
            <w:r>
              <w:rPr>
                <w:spacing w:val="-20"/>
                <w:sz w:val="24"/>
                <w:szCs w:val="24"/>
              </w:rPr>
              <w:t>搬运时轻举轻放，</w:t>
            </w:r>
            <w:r>
              <w:rPr>
                <w:spacing w:val="66"/>
                <w:sz w:val="24"/>
                <w:szCs w:val="24"/>
              </w:rPr>
              <w:t xml:space="preserve"> </w:t>
            </w:r>
            <w:r>
              <w:rPr>
                <w:spacing w:val="-20"/>
                <w:sz w:val="24"/>
                <w:szCs w:val="24"/>
              </w:rPr>
              <w:t>防止包</w:t>
            </w:r>
            <w:r>
              <w:rPr>
                <w:sz w:val="24"/>
                <w:szCs w:val="24"/>
              </w:rPr>
              <w:t xml:space="preserve"> </w:t>
            </w:r>
            <w:r>
              <w:rPr>
                <w:spacing w:val="-6"/>
                <w:sz w:val="24"/>
                <w:szCs w:val="24"/>
              </w:rPr>
              <w:t>装袋破裂。施工现场设置围栏或部分围栏，</w:t>
            </w:r>
            <w:r>
              <w:rPr>
                <w:spacing w:val="48"/>
                <w:sz w:val="24"/>
                <w:szCs w:val="24"/>
              </w:rPr>
              <w:t xml:space="preserve"> </w:t>
            </w:r>
            <w:r>
              <w:rPr>
                <w:spacing w:val="-6"/>
                <w:sz w:val="24"/>
                <w:szCs w:val="24"/>
              </w:rPr>
              <w:t>缩小施工扬尘的扩散范围。保持运输车辆完</w:t>
            </w:r>
            <w:r>
              <w:rPr>
                <w:sz w:val="24"/>
                <w:szCs w:val="24"/>
              </w:rPr>
              <w:t xml:space="preserve"> </w:t>
            </w:r>
            <w:r>
              <w:rPr>
                <w:spacing w:val="-15"/>
                <w:sz w:val="24"/>
                <w:szCs w:val="24"/>
              </w:rPr>
              <w:t>好，</w:t>
            </w:r>
            <w:r>
              <w:rPr>
                <w:spacing w:val="-58"/>
                <w:sz w:val="24"/>
                <w:szCs w:val="24"/>
              </w:rPr>
              <w:t xml:space="preserve"> </w:t>
            </w:r>
            <w:r>
              <w:rPr>
                <w:spacing w:val="-15"/>
                <w:sz w:val="24"/>
                <w:szCs w:val="24"/>
              </w:rPr>
              <w:t>不过满装载，</w:t>
            </w:r>
            <w:r>
              <w:rPr>
                <w:spacing w:val="30"/>
                <w:sz w:val="24"/>
                <w:szCs w:val="24"/>
              </w:rPr>
              <w:t xml:space="preserve"> </w:t>
            </w:r>
            <w:r>
              <w:rPr>
                <w:spacing w:val="-15"/>
                <w:sz w:val="24"/>
                <w:szCs w:val="24"/>
              </w:rPr>
              <w:t>尽量采取遮盖、密闭措施，</w:t>
            </w:r>
            <w:r>
              <w:rPr>
                <w:spacing w:val="29"/>
                <w:sz w:val="24"/>
                <w:szCs w:val="24"/>
              </w:rPr>
              <w:t xml:space="preserve"> </w:t>
            </w:r>
            <w:r>
              <w:rPr>
                <w:spacing w:val="-15"/>
                <w:sz w:val="24"/>
                <w:szCs w:val="24"/>
              </w:rPr>
              <w:t>减少沿程抛洒。通过以上有</w:t>
            </w:r>
            <w:r>
              <w:rPr>
                <w:spacing w:val="-16"/>
                <w:sz w:val="24"/>
                <w:szCs w:val="24"/>
              </w:rPr>
              <w:t>效的管理措施，</w:t>
            </w:r>
          </w:p>
          <w:p>
            <w:pPr>
              <w:pStyle w:val="6"/>
              <w:spacing w:before="1" w:line="219" w:lineRule="auto"/>
              <w:ind w:left="110"/>
              <w:rPr>
                <w:sz w:val="24"/>
                <w:szCs w:val="24"/>
              </w:rPr>
            </w:pPr>
            <w:r>
              <w:rPr>
                <w:spacing w:val="-3"/>
                <w:sz w:val="24"/>
                <w:szCs w:val="24"/>
              </w:rPr>
              <w:t>可降低扬尘</w:t>
            </w:r>
            <w:r>
              <w:rPr>
                <w:spacing w:val="-43"/>
                <w:sz w:val="24"/>
                <w:szCs w:val="24"/>
              </w:rPr>
              <w:t xml:space="preserve"> </w:t>
            </w:r>
            <w:r>
              <w:rPr>
                <w:rFonts w:ascii="Times New Roman" w:hAnsi="Times New Roman" w:eastAsia="Times New Roman" w:cs="Times New Roman"/>
                <w:spacing w:val="-3"/>
                <w:sz w:val="24"/>
                <w:szCs w:val="24"/>
              </w:rPr>
              <w:t>50%~70%</w:t>
            </w:r>
            <w:r>
              <w:rPr>
                <w:spacing w:val="-3"/>
                <w:sz w:val="24"/>
                <w:szCs w:val="24"/>
              </w:rPr>
              <w:t>。方法可行有效。</w:t>
            </w:r>
          </w:p>
          <w:p>
            <w:pPr>
              <w:pStyle w:val="6"/>
              <w:spacing w:before="195"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2</w:t>
            </w:r>
            <w:r>
              <w:rPr>
                <w:spacing w:val="-3"/>
                <w:sz w:val="24"/>
                <w:szCs w:val="24"/>
                <w14:textOutline w14:w="4354" w14:cap="flat" w14:cmpd="sng">
                  <w14:solidFill>
                    <w14:srgbClr w14:val="000000"/>
                  </w14:solidFill>
                  <w14:prstDash w14:val="solid"/>
                  <w14:miter w14:val="10"/>
                </w14:textOutline>
              </w:rPr>
              <w:t>）钻井工程</w:t>
            </w:r>
          </w:p>
          <w:p>
            <w:pPr>
              <w:pStyle w:val="6"/>
              <w:spacing w:before="194" w:line="217" w:lineRule="auto"/>
              <w:ind w:left="587"/>
              <w:rPr>
                <w:sz w:val="24"/>
                <w:szCs w:val="24"/>
              </w:rPr>
            </w:pPr>
            <w:r>
              <w:rPr>
                <w:spacing w:val="-2"/>
                <w:sz w:val="24"/>
                <w:szCs w:val="24"/>
              </w:rPr>
              <w:t>①燃油废气</w:t>
            </w:r>
          </w:p>
          <w:p>
            <w:pPr>
              <w:pStyle w:val="6"/>
              <w:spacing w:before="197" w:line="480" w:lineRule="exact"/>
              <w:ind w:left="589"/>
              <w:rPr>
                <w:sz w:val="24"/>
                <w:szCs w:val="24"/>
              </w:rPr>
            </w:pPr>
            <w:r>
              <w:rPr>
                <w:spacing w:val="-10"/>
                <w:position w:val="18"/>
                <w:sz w:val="24"/>
                <w:szCs w:val="24"/>
              </w:rPr>
              <w:t>本项目备用柴油机使用优质柴油，</w:t>
            </w:r>
            <w:r>
              <w:rPr>
                <w:spacing w:val="39"/>
                <w:position w:val="18"/>
                <w:sz w:val="24"/>
                <w:szCs w:val="24"/>
              </w:rPr>
              <w:t xml:space="preserve"> </w:t>
            </w:r>
            <w:r>
              <w:rPr>
                <w:spacing w:val="-10"/>
                <w:position w:val="18"/>
                <w:sz w:val="24"/>
                <w:szCs w:val="24"/>
              </w:rPr>
              <w:t>产生的大气</w:t>
            </w:r>
            <w:r>
              <w:rPr>
                <w:spacing w:val="-11"/>
                <w:position w:val="18"/>
                <w:sz w:val="24"/>
                <w:szCs w:val="24"/>
              </w:rPr>
              <w:t>污染物浓度较低，</w:t>
            </w:r>
            <w:r>
              <w:rPr>
                <w:spacing w:val="39"/>
                <w:position w:val="18"/>
                <w:sz w:val="24"/>
                <w:szCs w:val="24"/>
              </w:rPr>
              <w:t xml:space="preserve"> </w:t>
            </w:r>
            <w:r>
              <w:rPr>
                <w:spacing w:val="-11"/>
                <w:position w:val="18"/>
                <w:sz w:val="24"/>
                <w:szCs w:val="24"/>
              </w:rPr>
              <w:t>且柴油机为成套设</w:t>
            </w:r>
          </w:p>
          <w:p>
            <w:pPr>
              <w:pStyle w:val="6"/>
              <w:spacing w:before="1" w:line="219" w:lineRule="auto"/>
              <w:ind w:left="111"/>
              <w:rPr>
                <w:sz w:val="24"/>
                <w:szCs w:val="24"/>
              </w:rPr>
            </w:pPr>
            <w:r>
              <w:rPr>
                <w:spacing w:val="-4"/>
                <w:sz w:val="24"/>
                <w:szCs w:val="24"/>
              </w:rPr>
              <w:t>备，经设备自带排气筒排放。</w:t>
            </w:r>
          </w:p>
          <w:p>
            <w:pPr>
              <w:pStyle w:val="6"/>
              <w:spacing w:before="195" w:line="217" w:lineRule="auto"/>
              <w:ind w:left="586"/>
              <w:rPr>
                <w:sz w:val="24"/>
                <w:szCs w:val="24"/>
              </w:rPr>
            </w:pPr>
            <w:r>
              <w:rPr>
                <w:spacing w:val="-2"/>
                <w:sz w:val="24"/>
                <w:szCs w:val="24"/>
              </w:rPr>
              <w:t>②测试放喷废气</w:t>
            </w:r>
          </w:p>
          <w:p>
            <w:pPr>
              <w:pStyle w:val="6"/>
              <w:spacing w:before="199" w:line="369" w:lineRule="auto"/>
              <w:ind w:left="108" w:right="35" w:firstLine="480"/>
              <w:rPr>
                <w:sz w:val="24"/>
                <w:szCs w:val="24"/>
              </w:rPr>
            </w:pPr>
            <w:r>
              <w:rPr>
                <w:spacing w:val="-8"/>
                <w:sz w:val="24"/>
                <w:szCs w:val="24"/>
              </w:rPr>
              <w:t>测试放喷废气主要采用地面燃烧处理，</w:t>
            </w:r>
            <w:r>
              <w:rPr>
                <w:spacing w:val="36"/>
                <w:sz w:val="24"/>
                <w:szCs w:val="24"/>
              </w:rPr>
              <w:t xml:space="preserve"> </w:t>
            </w:r>
            <w:r>
              <w:rPr>
                <w:spacing w:val="-8"/>
                <w:sz w:val="24"/>
                <w:szCs w:val="24"/>
              </w:rPr>
              <w:t>测试放喷管口高为</w:t>
            </w:r>
            <w:r>
              <w:rPr>
                <w:spacing w:val="-31"/>
                <w:sz w:val="24"/>
                <w:szCs w:val="24"/>
              </w:rPr>
              <w:t xml:space="preserve"> </w:t>
            </w:r>
            <w:r>
              <w:rPr>
                <w:rFonts w:ascii="Times New Roman" w:hAnsi="Times New Roman" w:eastAsia="Times New Roman" w:cs="Times New Roman"/>
                <w:spacing w:val="-8"/>
                <w:sz w:val="24"/>
                <w:szCs w:val="24"/>
              </w:rPr>
              <w:t>1m</w:t>
            </w:r>
            <w:r>
              <w:rPr>
                <w:spacing w:val="-9"/>
                <w:sz w:val="24"/>
                <w:szCs w:val="24"/>
              </w:rPr>
              <w:t>，采用短火焰灼烧器，</w:t>
            </w:r>
            <w:r>
              <w:rPr>
                <w:sz w:val="24"/>
                <w:szCs w:val="24"/>
              </w:rPr>
              <w:t xml:space="preserve"> </w:t>
            </w:r>
            <w:r>
              <w:rPr>
                <w:spacing w:val="-2"/>
                <w:sz w:val="24"/>
                <w:szCs w:val="24"/>
              </w:rPr>
              <w:t>修建燃烧池降低热辐射影响。放喷管线采用螺纹与标准法兰连接的专用抗硫管材。水泥</w:t>
            </w:r>
            <w:r>
              <w:rPr>
                <w:spacing w:val="17"/>
                <w:sz w:val="24"/>
                <w:szCs w:val="24"/>
              </w:rPr>
              <w:t xml:space="preserve"> </w:t>
            </w:r>
            <w:r>
              <w:rPr>
                <w:spacing w:val="-3"/>
                <w:sz w:val="24"/>
                <w:szCs w:val="24"/>
              </w:rPr>
              <w:t>基墩坑尺寸为长</w:t>
            </w:r>
            <w:r>
              <w:rPr>
                <w:spacing w:val="-40"/>
                <w:sz w:val="24"/>
                <w:szCs w:val="24"/>
              </w:rPr>
              <w:t xml:space="preserve"> </w:t>
            </w:r>
            <w:r>
              <w:rPr>
                <w:rFonts w:ascii="Times New Roman" w:hAnsi="Times New Roman" w:eastAsia="Times New Roman" w:cs="Times New Roman"/>
                <w:spacing w:val="-3"/>
                <w:sz w:val="24"/>
                <w:szCs w:val="24"/>
              </w:rPr>
              <w:t>0.8m×</w:t>
            </w:r>
            <w:r>
              <w:rPr>
                <w:spacing w:val="-3"/>
                <w:sz w:val="24"/>
                <w:szCs w:val="24"/>
              </w:rPr>
              <w:t>宽</w:t>
            </w:r>
            <w:r>
              <w:rPr>
                <w:spacing w:val="-39"/>
                <w:sz w:val="24"/>
                <w:szCs w:val="24"/>
              </w:rPr>
              <w:t xml:space="preserve"> </w:t>
            </w:r>
            <w:r>
              <w:rPr>
                <w:rFonts w:ascii="Times New Roman" w:hAnsi="Times New Roman" w:eastAsia="Times New Roman" w:cs="Times New Roman"/>
                <w:spacing w:val="-3"/>
                <w:sz w:val="24"/>
                <w:szCs w:val="24"/>
              </w:rPr>
              <w:t>0.8m×</w:t>
            </w:r>
            <w:r>
              <w:rPr>
                <w:spacing w:val="-3"/>
                <w:sz w:val="24"/>
                <w:szCs w:val="24"/>
              </w:rPr>
              <w:t xml:space="preserve">深 </w:t>
            </w:r>
            <w:r>
              <w:rPr>
                <w:rFonts w:ascii="Times New Roman" w:hAnsi="Times New Roman" w:eastAsia="Times New Roman" w:cs="Times New Roman"/>
                <w:spacing w:val="-3"/>
                <w:sz w:val="24"/>
                <w:szCs w:val="24"/>
              </w:rPr>
              <w:t>1.0m</w:t>
            </w:r>
            <w:r>
              <w:rPr>
                <w:spacing w:val="-3"/>
                <w:sz w:val="24"/>
                <w:szCs w:val="24"/>
              </w:rPr>
              <w:t>，遇地表松软时</w:t>
            </w:r>
            <w:r>
              <w:rPr>
                <w:spacing w:val="-4"/>
                <w:sz w:val="24"/>
                <w:szCs w:val="24"/>
              </w:rPr>
              <w:t xml:space="preserve">，基坑体积应大于 </w:t>
            </w:r>
            <w:r>
              <w:rPr>
                <w:rFonts w:ascii="Times New Roman" w:hAnsi="Times New Roman" w:eastAsia="Times New Roman" w:cs="Times New Roman"/>
                <w:spacing w:val="-4"/>
                <w:sz w:val="24"/>
                <w:szCs w:val="24"/>
              </w:rPr>
              <w:t>1.2m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9"/>
                <w:position w:val="9"/>
                <w:sz w:val="16"/>
                <w:szCs w:val="16"/>
              </w:rPr>
              <w:t xml:space="preserve"> </w:t>
            </w:r>
            <w:r>
              <w:rPr>
                <w:spacing w:val="-4"/>
                <w:sz w:val="24"/>
                <w:szCs w:val="24"/>
              </w:rPr>
              <w:t>；地脚</w:t>
            </w:r>
            <w:r>
              <w:rPr>
                <w:sz w:val="24"/>
                <w:szCs w:val="24"/>
              </w:rPr>
              <w:t xml:space="preserve"> </w:t>
            </w:r>
            <w:r>
              <w:rPr>
                <w:spacing w:val="-2"/>
                <w:sz w:val="24"/>
                <w:szCs w:val="24"/>
              </w:rPr>
              <w:t>螺栓直径不小于</w:t>
            </w:r>
            <w:r>
              <w:rPr>
                <w:spacing w:val="-55"/>
                <w:sz w:val="24"/>
                <w:szCs w:val="24"/>
              </w:rPr>
              <w:t xml:space="preserve"> </w:t>
            </w:r>
            <w:r>
              <w:rPr>
                <w:rFonts w:ascii="Times New Roman" w:hAnsi="Times New Roman" w:eastAsia="Times New Roman" w:cs="Times New Roman"/>
                <w:spacing w:val="-2"/>
                <w:sz w:val="24"/>
                <w:szCs w:val="24"/>
              </w:rPr>
              <w:t>20mm</w:t>
            </w:r>
            <w:r>
              <w:rPr>
                <w:spacing w:val="-2"/>
                <w:sz w:val="24"/>
                <w:szCs w:val="24"/>
              </w:rPr>
              <w:t>，预埋长度不小于</w:t>
            </w:r>
            <w:r>
              <w:rPr>
                <w:spacing w:val="-51"/>
                <w:sz w:val="24"/>
                <w:szCs w:val="24"/>
              </w:rPr>
              <w:t xml:space="preserve"> </w:t>
            </w:r>
            <w:r>
              <w:rPr>
                <w:rFonts w:ascii="Times New Roman" w:hAnsi="Times New Roman" w:eastAsia="Times New Roman" w:cs="Times New Roman"/>
                <w:spacing w:val="-2"/>
                <w:sz w:val="24"/>
                <w:szCs w:val="24"/>
              </w:rPr>
              <w:t>0.5m</w:t>
            </w:r>
            <w:r>
              <w:rPr>
                <w:spacing w:val="-2"/>
                <w:sz w:val="24"/>
                <w:szCs w:val="24"/>
              </w:rPr>
              <w:t>。燃烧池内</w:t>
            </w:r>
            <w:r>
              <w:rPr>
                <w:spacing w:val="-3"/>
                <w:sz w:val="24"/>
                <w:szCs w:val="24"/>
              </w:rPr>
              <w:t>层采用耐火砖修建。该技术在</w:t>
            </w:r>
          </w:p>
          <w:p>
            <w:pPr>
              <w:pStyle w:val="6"/>
              <w:spacing w:before="1" w:line="219" w:lineRule="auto"/>
              <w:ind w:left="108"/>
              <w:rPr>
                <w:sz w:val="24"/>
                <w:szCs w:val="24"/>
              </w:rPr>
            </w:pPr>
            <w:r>
              <w:rPr>
                <w:spacing w:val="-2"/>
                <w:sz w:val="24"/>
                <w:szCs w:val="24"/>
              </w:rPr>
              <w:t>钻井工程中广泛应用，技术成熟可靠，措施可行。</w:t>
            </w:r>
          </w:p>
          <w:p>
            <w:pPr>
              <w:pStyle w:val="6"/>
              <w:spacing w:before="195" w:line="217" w:lineRule="auto"/>
              <w:ind w:left="586"/>
              <w:rPr>
                <w:sz w:val="24"/>
                <w:szCs w:val="24"/>
              </w:rPr>
            </w:pPr>
            <w:r>
              <w:rPr>
                <w:spacing w:val="-1"/>
                <w:sz w:val="24"/>
                <w:szCs w:val="24"/>
              </w:rPr>
              <w:t>③非正常生产、事故放喷天然气经点燃后排放废气</w:t>
            </w:r>
          </w:p>
          <w:p>
            <w:pPr>
              <w:pStyle w:val="6"/>
              <w:spacing w:before="199" w:line="369" w:lineRule="auto"/>
              <w:ind w:left="114" w:right="99" w:firstLine="474"/>
              <w:rPr>
                <w:sz w:val="24"/>
                <w:szCs w:val="24"/>
              </w:rPr>
            </w:pPr>
            <w:r>
              <w:rPr>
                <w:spacing w:val="-11"/>
                <w:sz w:val="24"/>
                <w:szCs w:val="24"/>
              </w:rPr>
              <w:t>针对事故井喷时立即利用防喷器迅速封闭井口，</w:t>
            </w:r>
            <w:r>
              <w:rPr>
                <w:spacing w:val="52"/>
                <w:sz w:val="24"/>
                <w:szCs w:val="24"/>
              </w:rPr>
              <w:t xml:space="preserve"> </w:t>
            </w:r>
            <w:r>
              <w:rPr>
                <w:spacing w:val="-11"/>
                <w:sz w:val="24"/>
                <w:szCs w:val="24"/>
              </w:rPr>
              <w:t>若井口压力过高，</w:t>
            </w:r>
            <w:r>
              <w:rPr>
                <w:spacing w:val="43"/>
                <w:sz w:val="24"/>
                <w:szCs w:val="24"/>
              </w:rPr>
              <w:t xml:space="preserve"> </w:t>
            </w:r>
            <w:r>
              <w:rPr>
                <w:spacing w:val="-11"/>
                <w:sz w:val="24"/>
                <w:szCs w:val="24"/>
              </w:rPr>
              <w:t>则打开防喷管线</w:t>
            </w:r>
            <w:r>
              <w:rPr>
                <w:sz w:val="24"/>
                <w:szCs w:val="24"/>
              </w:rPr>
              <w:t xml:space="preserve"> </w:t>
            </w:r>
            <w:r>
              <w:rPr>
                <w:spacing w:val="-14"/>
                <w:sz w:val="24"/>
                <w:szCs w:val="24"/>
              </w:rPr>
              <w:t>阀门泄压， 即事故放喷，</w:t>
            </w:r>
            <w:r>
              <w:rPr>
                <w:spacing w:val="41"/>
                <w:sz w:val="24"/>
                <w:szCs w:val="24"/>
              </w:rPr>
              <w:t xml:space="preserve"> </w:t>
            </w:r>
            <w:r>
              <w:rPr>
                <w:spacing w:val="-14"/>
                <w:sz w:val="24"/>
                <w:szCs w:val="24"/>
              </w:rPr>
              <w:t>属于临时排放，</w:t>
            </w:r>
            <w:r>
              <w:rPr>
                <w:spacing w:val="34"/>
                <w:sz w:val="24"/>
                <w:szCs w:val="24"/>
              </w:rPr>
              <w:t xml:space="preserve"> </w:t>
            </w:r>
            <w:r>
              <w:rPr>
                <w:spacing w:val="-14"/>
                <w:sz w:val="24"/>
                <w:szCs w:val="24"/>
              </w:rPr>
              <w:t>放喷时间一般</w:t>
            </w:r>
            <w:r>
              <w:rPr>
                <w:spacing w:val="-54"/>
                <w:sz w:val="24"/>
                <w:szCs w:val="24"/>
              </w:rPr>
              <w:t xml:space="preserve"> </w:t>
            </w:r>
            <w:r>
              <w:rPr>
                <w:rFonts w:ascii="Times New Roman" w:hAnsi="Times New Roman" w:eastAsia="Times New Roman" w:cs="Times New Roman"/>
                <w:spacing w:val="-14"/>
                <w:sz w:val="24"/>
                <w:szCs w:val="24"/>
              </w:rPr>
              <w:t>2~4h</w:t>
            </w:r>
            <w:r>
              <w:rPr>
                <w:spacing w:val="-14"/>
                <w:sz w:val="24"/>
                <w:szCs w:val="24"/>
              </w:rPr>
              <w:t>，放喷的天然气经专用放喷</w:t>
            </w:r>
            <w:r>
              <w:rPr>
                <w:sz w:val="24"/>
                <w:szCs w:val="24"/>
              </w:rPr>
              <w:t xml:space="preserve"> </w:t>
            </w:r>
            <w:r>
              <w:rPr>
                <w:spacing w:val="-13"/>
                <w:sz w:val="24"/>
                <w:szCs w:val="24"/>
              </w:rPr>
              <w:t>管线引至燃烧池后点火燃烧，</w:t>
            </w:r>
            <w:r>
              <w:rPr>
                <w:spacing w:val="37"/>
                <w:sz w:val="24"/>
                <w:szCs w:val="24"/>
              </w:rPr>
              <w:t xml:space="preserve"> </w:t>
            </w:r>
            <w:r>
              <w:rPr>
                <w:spacing w:val="-13"/>
                <w:sz w:val="24"/>
                <w:szCs w:val="24"/>
              </w:rPr>
              <w:t>至少应在</w:t>
            </w:r>
            <w:r>
              <w:rPr>
                <w:spacing w:val="-31"/>
                <w:sz w:val="24"/>
                <w:szCs w:val="24"/>
              </w:rPr>
              <w:t xml:space="preserve"> </w:t>
            </w:r>
            <w:r>
              <w:rPr>
                <w:rFonts w:ascii="Times New Roman" w:hAnsi="Times New Roman" w:eastAsia="Times New Roman" w:cs="Times New Roman"/>
                <w:spacing w:val="-13"/>
                <w:sz w:val="24"/>
                <w:szCs w:val="24"/>
              </w:rPr>
              <w:t>15min</w:t>
            </w:r>
            <w:r>
              <w:rPr>
                <w:rFonts w:ascii="Times New Roman" w:hAnsi="Times New Roman" w:eastAsia="Times New Roman" w:cs="Times New Roman"/>
                <w:spacing w:val="38"/>
                <w:w w:val="101"/>
                <w:sz w:val="24"/>
                <w:szCs w:val="24"/>
              </w:rPr>
              <w:t xml:space="preserve"> </w:t>
            </w:r>
            <w:r>
              <w:rPr>
                <w:spacing w:val="-13"/>
                <w:sz w:val="24"/>
                <w:szCs w:val="24"/>
              </w:rPr>
              <w:t>内实施井口点火，</w:t>
            </w:r>
            <w:r>
              <w:rPr>
                <w:spacing w:val="31"/>
                <w:sz w:val="24"/>
                <w:szCs w:val="24"/>
              </w:rPr>
              <w:t xml:space="preserve"> </w:t>
            </w:r>
            <w:r>
              <w:rPr>
                <w:spacing w:val="-13"/>
                <w:sz w:val="24"/>
                <w:szCs w:val="24"/>
              </w:rPr>
              <w:t>减少</w:t>
            </w:r>
            <w:r>
              <w:rPr>
                <w:spacing w:val="-53"/>
                <w:sz w:val="24"/>
                <w:szCs w:val="24"/>
              </w:rPr>
              <w:t xml:space="preserve"> </w:t>
            </w:r>
            <w:r>
              <w:rPr>
                <w:rFonts w:ascii="Times New Roman" w:hAnsi="Times New Roman" w:eastAsia="Times New Roman" w:cs="Times New Roman"/>
                <w:spacing w:val="-13"/>
                <w:sz w:val="24"/>
                <w:szCs w:val="24"/>
              </w:rPr>
              <w:t>H</w:t>
            </w:r>
            <w:r>
              <w:rPr>
                <w:rFonts w:ascii="Times New Roman" w:hAnsi="Times New Roman" w:eastAsia="Times New Roman" w:cs="Times New Roman"/>
                <w:spacing w:val="-13"/>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13"/>
                <w:sz w:val="24"/>
                <w:szCs w:val="24"/>
              </w:rPr>
              <w:t>S</w:t>
            </w:r>
            <w:r>
              <w:rPr>
                <w:rFonts w:ascii="Times New Roman" w:hAnsi="Times New Roman" w:eastAsia="Times New Roman" w:cs="Times New Roman"/>
                <w:spacing w:val="30"/>
                <w:sz w:val="24"/>
                <w:szCs w:val="24"/>
              </w:rPr>
              <w:t xml:space="preserve"> </w:t>
            </w:r>
            <w:r>
              <w:rPr>
                <w:spacing w:val="-13"/>
                <w:sz w:val="24"/>
                <w:szCs w:val="24"/>
              </w:rPr>
              <w:t>的排放。该技</w:t>
            </w:r>
          </w:p>
          <w:p>
            <w:pPr>
              <w:pStyle w:val="6"/>
              <w:spacing w:line="219" w:lineRule="auto"/>
              <w:ind w:left="110"/>
              <w:rPr>
                <w:sz w:val="24"/>
                <w:szCs w:val="24"/>
              </w:rPr>
            </w:pPr>
            <w:r>
              <w:rPr>
                <w:spacing w:val="-2"/>
                <w:sz w:val="24"/>
                <w:szCs w:val="24"/>
              </w:rPr>
              <w:t>术在钻井工程中广泛应用，技术成熟可靠，措施可行。</w:t>
            </w:r>
          </w:p>
          <w:p>
            <w:pPr>
              <w:pStyle w:val="6"/>
              <w:spacing w:before="195" w:line="480" w:lineRule="exact"/>
              <w:ind w:left="591"/>
              <w:rPr>
                <w:sz w:val="24"/>
                <w:szCs w:val="24"/>
              </w:rPr>
            </w:pPr>
            <w:r>
              <w:rPr>
                <w:spacing w:val="-14"/>
                <w:position w:val="18"/>
                <w:sz w:val="24"/>
                <w:szCs w:val="24"/>
              </w:rPr>
              <w:t>综上所述， 项目新增废气主要为施工废气，</w:t>
            </w:r>
            <w:r>
              <w:rPr>
                <w:spacing w:val="70"/>
                <w:position w:val="18"/>
                <w:sz w:val="24"/>
                <w:szCs w:val="24"/>
              </w:rPr>
              <w:t xml:space="preserve"> </w:t>
            </w:r>
            <w:r>
              <w:rPr>
                <w:spacing w:val="-14"/>
                <w:position w:val="18"/>
                <w:sz w:val="24"/>
                <w:szCs w:val="24"/>
              </w:rPr>
              <w:t>同时根据钻</w:t>
            </w:r>
            <w:r>
              <w:rPr>
                <w:spacing w:val="-15"/>
                <w:position w:val="18"/>
                <w:sz w:val="24"/>
                <w:szCs w:val="24"/>
              </w:rPr>
              <w:t>井进度，</w:t>
            </w:r>
            <w:r>
              <w:rPr>
                <w:spacing w:val="50"/>
                <w:position w:val="18"/>
                <w:sz w:val="24"/>
                <w:szCs w:val="24"/>
              </w:rPr>
              <w:t xml:space="preserve"> </w:t>
            </w:r>
            <w:r>
              <w:rPr>
                <w:spacing w:val="-15"/>
                <w:position w:val="18"/>
                <w:sz w:val="24"/>
                <w:szCs w:val="24"/>
              </w:rPr>
              <w:t>项目钻井期为</w:t>
            </w:r>
            <w:r>
              <w:rPr>
                <w:spacing w:val="-48"/>
                <w:position w:val="18"/>
                <w:sz w:val="24"/>
                <w:szCs w:val="24"/>
              </w:rPr>
              <w:t xml:space="preserve"> </w:t>
            </w:r>
            <w:r>
              <w:rPr>
                <w:rFonts w:ascii="Times New Roman" w:hAnsi="Times New Roman" w:eastAsia="Times New Roman" w:cs="Times New Roman"/>
                <w:spacing w:val="-15"/>
                <w:position w:val="18"/>
                <w:sz w:val="24"/>
                <w:szCs w:val="24"/>
              </w:rPr>
              <w:t xml:space="preserve">6 </w:t>
            </w:r>
            <w:r>
              <w:rPr>
                <w:spacing w:val="-15"/>
                <w:position w:val="18"/>
                <w:sz w:val="24"/>
                <w:szCs w:val="24"/>
              </w:rPr>
              <w:t>个</w:t>
            </w:r>
          </w:p>
          <w:p>
            <w:pPr>
              <w:pStyle w:val="6"/>
              <w:spacing w:before="1" w:line="219" w:lineRule="auto"/>
              <w:ind w:left="114"/>
              <w:rPr>
                <w:sz w:val="24"/>
                <w:szCs w:val="24"/>
              </w:rPr>
            </w:pPr>
            <w:r>
              <w:rPr>
                <w:spacing w:val="-15"/>
                <w:sz w:val="24"/>
                <w:szCs w:val="24"/>
              </w:rPr>
              <w:t>月，</w:t>
            </w:r>
            <w:r>
              <w:rPr>
                <w:spacing w:val="-43"/>
                <w:sz w:val="24"/>
                <w:szCs w:val="24"/>
              </w:rPr>
              <w:t xml:space="preserve"> </w:t>
            </w:r>
            <w:r>
              <w:rPr>
                <w:spacing w:val="-15"/>
                <w:sz w:val="24"/>
                <w:szCs w:val="24"/>
              </w:rPr>
              <w:t>排气时间短，</w:t>
            </w:r>
            <w:r>
              <w:rPr>
                <w:spacing w:val="54"/>
                <w:sz w:val="24"/>
                <w:szCs w:val="24"/>
              </w:rPr>
              <w:t xml:space="preserve"> </w:t>
            </w:r>
            <w:r>
              <w:rPr>
                <w:spacing w:val="-15"/>
                <w:sz w:val="24"/>
                <w:szCs w:val="24"/>
              </w:rPr>
              <w:t>项目仅有施工期的特性，</w:t>
            </w:r>
            <w:r>
              <w:rPr>
                <w:spacing w:val="-32"/>
                <w:sz w:val="24"/>
                <w:szCs w:val="24"/>
              </w:rPr>
              <w:t xml:space="preserve"> </w:t>
            </w:r>
            <w:r>
              <w:rPr>
                <w:spacing w:val="-15"/>
                <w:sz w:val="24"/>
                <w:szCs w:val="24"/>
              </w:rPr>
              <w:t>不改变区域的环境空气功能，</w:t>
            </w:r>
            <w:r>
              <w:rPr>
                <w:spacing w:val="55"/>
                <w:sz w:val="24"/>
                <w:szCs w:val="24"/>
              </w:rPr>
              <w:t xml:space="preserve"> </w:t>
            </w:r>
            <w:r>
              <w:rPr>
                <w:spacing w:val="-16"/>
                <w:sz w:val="24"/>
                <w:szCs w:val="24"/>
              </w:rPr>
              <w:t>故项目对所在</w:t>
            </w:r>
          </w:p>
        </w:tc>
      </w:tr>
    </w:tbl>
    <w:p>
      <w:pPr>
        <w:pStyle w:val="2"/>
        <w:rPr>
          <w:sz w:val="21"/>
        </w:rPr>
      </w:pPr>
    </w:p>
    <w:p>
      <w:pPr>
        <w:rPr>
          <w:sz w:val="21"/>
          <w:szCs w:val="21"/>
        </w:rPr>
        <w:sectPr>
          <w:footerReference r:id="rId125"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220" w:lineRule="auto"/>
              <w:ind w:left="126"/>
              <w:rPr>
                <w:sz w:val="24"/>
                <w:szCs w:val="24"/>
              </w:rPr>
            </w:pPr>
            <w:r>
              <w:rPr>
                <w:spacing w:val="-5"/>
                <w:sz w:val="24"/>
                <w:szCs w:val="24"/>
              </w:rPr>
              <w:t>区域大气环境影响可接受。</w:t>
            </w:r>
          </w:p>
          <w:p>
            <w:pPr>
              <w:pStyle w:val="6"/>
              <w:spacing w:before="242" w:line="480" w:lineRule="exact"/>
              <w:ind w:left="107"/>
              <w:rPr>
                <w:sz w:val="24"/>
                <w:szCs w:val="24"/>
              </w:rPr>
            </w:pPr>
            <w:r>
              <w:rPr>
                <w:rFonts w:ascii="Times New Roman" w:hAnsi="Times New Roman" w:eastAsia="Times New Roman" w:cs="Times New Roman"/>
                <w:b/>
                <w:bCs/>
                <w:position w:val="18"/>
                <w:sz w:val="24"/>
                <w:szCs w:val="24"/>
              </w:rPr>
              <w:t xml:space="preserve">5.3 </w:t>
            </w:r>
            <w:r>
              <w:rPr>
                <w:position w:val="18"/>
                <w:sz w:val="24"/>
                <w:szCs w:val="24"/>
                <w14:textOutline w14:w="4354" w14:cap="flat" w14:cmpd="sng">
                  <w14:solidFill>
                    <w14:srgbClr w14:val="000000"/>
                  </w14:solidFill>
                  <w14:prstDash w14:val="solid"/>
                  <w14:miter w14:val="10"/>
                </w14:textOutline>
              </w:rPr>
              <w:t>地表水环境污染防治措施</w:t>
            </w:r>
          </w:p>
          <w:p>
            <w:pPr>
              <w:pStyle w:val="6"/>
              <w:spacing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）钻前工程</w:t>
            </w:r>
          </w:p>
          <w:p>
            <w:pPr>
              <w:pStyle w:val="6"/>
              <w:spacing w:before="194" w:line="369" w:lineRule="auto"/>
              <w:ind w:left="109" w:right="102" w:firstLine="478"/>
              <w:jc w:val="both"/>
              <w:rPr>
                <w:sz w:val="24"/>
                <w:szCs w:val="24"/>
              </w:rPr>
            </w:pPr>
            <w:r>
              <w:rPr>
                <w:spacing w:val="-2"/>
                <w:sz w:val="24"/>
                <w:szCs w:val="24"/>
              </w:rPr>
              <w:t>钻前工程生活污水依托周边居民现有污水收集设施收集后用作农肥，且工程周边主</w:t>
            </w:r>
            <w:r>
              <w:rPr>
                <w:spacing w:val="12"/>
                <w:sz w:val="24"/>
                <w:szCs w:val="24"/>
              </w:rPr>
              <w:t xml:space="preserve"> </w:t>
            </w:r>
            <w:r>
              <w:rPr>
                <w:spacing w:val="-9"/>
                <w:sz w:val="24"/>
                <w:szCs w:val="24"/>
              </w:rPr>
              <w:t>要为耕地， 满足生活污水用作农肥的条件。该处置方式在油气钻井工程中广泛应用，</w:t>
            </w:r>
            <w:r>
              <w:rPr>
                <w:spacing w:val="49"/>
                <w:sz w:val="24"/>
                <w:szCs w:val="24"/>
              </w:rPr>
              <w:t xml:space="preserve"> </w:t>
            </w:r>
            <w:r>
              <w:rPr>
                <w:spacing w:val="-9"/>
                <w:sz w:val="24"/>
                <w:szCs w:val="24"/>
              </w:rPr>
              <w:t>技</w:t>
            </w:r>
          </w:p>
          <w:p>
            <w:pPr>
              <w:pStyle w:val="6"/>
              <w:spacing w:line="219" w:lineRule="auto"/>
              <w:ind w:left="110"/>
              <w:rPr>
                <w:sz w:val="24"/>
                <w:szCs w:val="24"/>
              </w:rPr>
            </w:pPr>
            <w:r>
              <w:rPr>
                <w:spacing w:val="-4"/>
                <w:sz w:val="24"/>
                <w:szCs w:val="24"/>
              </w:rPr>
              <w:t>术成熟可靠，措施可行。</w:t>
            </w:r>
          </w:p>
          <w:p>
            <w:pPr>
              <w:pStyle w:val="6"/>
              <w:spacing w:before="194"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2</w:t>
            </w:r>
            <w:r>
              <w:rPr>
                <w:spacing w:val="-3"/>
                <w:sz w:val="24"/>
                <w:szCs w:val="24"/>
                <w14:textOutline w14:w="4354" w14:cap="flat" w14:cmpd="sng">
                  <w14:solidFill>
                    <w14:srgbClr w14:val="000000"/>
                  </w14:solidFill>
                  <w14:prstDash w14:val="solid"/>
                  <w14:miter w14:val="10"/>
                </w14:textOutline>
              </w:rPr>
              <w:t>）钻井工程</w:t>
            </w:r>
          </w:p>
          <w:p>
            <w:pPr>
              <w:pStyle w:val="6"/>
              <w:spacing w:before="196" w:line="369" w:lineRule="auto"/>
              <w:ind w:left="107" w:right="99" w:firstLine="480"/>
              <w:rPr>
                <w:sz w:val="24"/>
                <w:szCs w:val="24"/>
              </w:rPr>
            </w:pPr>
            <w:r>
              <w:rPr>
                <w:spacing w:val="-6"/>
                <w:sz w:val="24"/>
                <w:szCs w:val="24"/>
              </w:rPr>
              <w:t>钻井工程作业时产生的废水主要为场地雨水，</w:t>
            </w:r>
            <w:r>
              <w:rPr>
                <w:spacing w:val="39"/>
                <w:sz w:val="24"/>
                <w:szCs w:val="24"/>
              </w:rPr>
              <w:t xml:space="preserve"> </w:t>
            </w:r>
            <w:r>
              <w:rPr>
                <w:spacing w:val="-6"/>
                <w:sz w:val="24"/>
                <w:szCs w:val="24"/>
              </w:rPr>
              <w:t>钻井过程中产生的钻井废水、洗</w:t>
            </w:r>
            <w:r>
              <w:rPr>
                <w:spacing w:val="-7"/>
                <w:sz w:val="24"/>
                <w:szCs w:val="24"/>
              </w:rPr>
              <w:t>井废</w:t>
            </w:r>
            <w:r>
              <w:rPr>
                <w:sz w:val="24"/>
                <w:szCs w:val="24"/>
              </w:rPr>
              <w:t xml:space="preserve"> </w:t>
            </w:r>
            <w:r>
              <w:rPr>
                <w:spacing w:val="-2"/>
                <w:sz w:val="24"/>
                <w:szCs w:val="24"/>
              </w:rPr>
              <w:t>水、酸化废水，以及钻井队人员生活污水。井场分为清洁区和污染区，通过挡墙隔离，</w:t>
            </w:r>
            <w:r>
              <w:rPr>
                <w:spacing w:val="13"/>
                <w:sz w:val="24"/>
                <w:szCs w:val="24"/>
              </w:rPr>
              <w:t xml:space="preserve"> </w:t>
            </w:r>
            <w:r>
              <w:rPr>
                <w:spacing w:val="-5"/>
                <w:sz w:val="24"/>
                <w:szCs w:val="24"/>
              </w:rPr>
              <w:t>场地雨水经隔油处理后自然排放； 钻井过程中产生的废水经场内暂存预处理后委托四川</w:t>
            </w:r>
            <w:r>
              <w:rPr>
                <w:spacing w:val="15"/>
                <w:sz w:val="24"/>
                <w:szCs w:val="24"/>
              </w:rPr>
              <w:t xml:space="preserve"> </w:t>
            </w:r>
            <w:r>
              <w:rPr>
                <w:spacing w:val="-10"/>
                <w:sz w:val="24"/>
                <w:szCs w:val="24"/>
              </w:rPr>
              <w:t>瑞利生物科技有限公司或其他有资质的单位处置达标排放，</w:t>
            </w:r>
            <w:r>
              <w:rPr>
                <w:spacing w:val="40"/>
                <w:sz w:val="24"/>
                <w:szCs w:val="24"/>
              </w:rPr>
              <w:t xml:space="preserve"> </w:t>
            </w:r>
            <w:r>
              <w:rPr>
                <w:spacing w:val="-10"/>
                <w:sz w:val="24"/>
                <w:szCs w:val="24"/>
              </w:rPr>
              <w:t>属于依托排放；</w:t>
            </w:r>
            <w:r>
              <w:rPr>
                <w:spacing w:val="44"/>
                <w:sz w:val="24"/>
                <w:szCs w:val="24"/>
              </w:rPr>
              <w:t xml:space="preserve"> </w:t>
            </w:r>
            <w:r>
              <w:rPr>
                <w:spacing w:val="-10"/>
                <w:sz w:val="24"/>
                <w:szCs w:val="24"/>
              </w:rPr>
              <w:t>生活污水经</w:t>
            </w:r>
            <w:r>
              <w:rPr>
                <w:sz w:val="24"/>
                <w:szCs w:val="24"/>
              </w:rPr>
              <w:t xml:space="preserve"> </w:t>
            </w:r>
            <w:r>
              <w:rPr>
                <w:spacing w:val="-1"/>
                <w:sz w:val="24"/>
                <w:szCs w:val="24"/>
              </w:rPr>
              <w:t>环保厕所收集处理后经罐车拉运至江陵镇污水处理厂处理达标后外排。评</w:t>
            </w:r>
            <w:r>
              <w:rPr>
                <w:spacing w:val="-2"/>
                <w:sz w:val="24"/>
                <w:szCs w:val="24"/>
              </w:rPr>
              <w:t>价等级三级</w:t>
            </w:r>
            <w:r>
              <w:rPr>
                <w:spacing w:val="-56"/>
                <w:sz w:val="24"/>
                <w:szCs w:val="24"/>
              </w:rPr>
              <w:t xml:space="preserve"> </w:t>
            </w:r>
            <w:r>
              <w:rPr>
                <w:rFonts w:ascii="Times New Roman" w:hAnsi="Times New Roman" w:eastAsia="Times New Roman" w:cs="Times New Roman"/>
                <w:spacing w:val="-2"/>
                <w:sz w:val="24"/>
                <w:szCs w:val="24"/>
              </w:rPr>
              <w:t>B</w:t>
            </w:r>
            <w:r>
              <w:rPr>
                <w:rFonts w:ascii="Times New Roman" w:hAnsi="Times New Roman" w:eastAsia="Times New Roman" w:cs="Times New Roman"/>
                <w:sz w:val="24"/>
                <w:szCs w:val="24"/>
              </w:rPr>
              <w:t xml:space="preserve"> </w:t>
            </w:r>
            <w:r>
              <w:rPr>
                <w:spacing w:val="-6"/>
                <w:sz w:val="24"/>
                <w:szCs w:val="24"/>
              </w:rPr>
              <w:t>评价范围按照导则中三级</w:t>
            </w:r>
            <w:r>
              <w:rPr>
                <w:spacing w:val="-56"/>
                <w:sz w:val="24"/>
                <w:szCs w:val="24"/>
              </w:rPr>
              <w:t xml:space="preserve"> </w:t>
            </w:r>
            <w:r>
              <w:rPr>
                <w:rFonts w:ascii="Times New Roman" w:hAnsi="Times New Roman" w:eastAsia="Times New Roman" w:cs="Times New Roman"/>
                <w:spacing w:val="-6"/>
                <w:sz w:val="24"/>
                <w:szCs w:val="24"/>
              </w:rPr>
              <w:t>B</w:t>
            </w:r>
            <w:r>
              <w:rPr>
                <w:rFonts w:ascii="Times New Roman" w:hAnsi="Times New Roman" w:eastAsia="Times New Roman" w:cs="Times New Roman"/>
                <w:spacing w:val="30"/>
                <w:w w:val="101"/>
                <w:sz w:val="24"/>
                <w:szCs w:val="24"/>
              </w:rPr>
              <w:t xml:space="preserve"> </w:t>
            </w:r>
            <w:r>
              <w:rPr>
                <w:spacing w:val="-6"/>
                <w:sz w:val="24"/>
                <w:szCs w:val="24"/>
              </w:rPr>
              <w:t>的要求： “应</w:t>
            </w:r>
            <w:r>
              <w:rPr>
                <w:spacing w:val="-7"/>
                <w:sz w:val="24"/>
                <w:szCs w:val="24"/>
              </w:rPr>
              <w:t>满足其依托污水处理设施环境可行性分析的要</w:t>
            </w:r>
          </w:p>
          <w:p>
            <w:pPr>
              <w:pStyle w:val="6"/>
              <w:spacing w:before="1" w:line="220" w:lineRule="auto"/>
              <w:ind w:left="110"/>
              <w:rPr>
                <w:sz w:val="24"/>
                <w:szCs w:val="24"/>
              </w:rPr>
            </w:pPr>
            <w:r>
              <w:rPr>
                <w:spacing w:val="-11"/>
                <w:sz w:val="24"/>
                <w:szCs w:val="24"/>
              </w:rPr>
              <w:t>求”。</w:t>
            </w:r>
          </w:p>
          <w:p>
            <w:pPr>
              <w:pStyle w:val="6"/>
              <w:spacing w:before="193" w:line="220" w:lineRule="auto"/>
              <w:ind w:left="597"/>
              <w:rPr>
                <w:sz w:val="24"/>
                <w:szCs w:val="24"/>
              </w:rPr>
            </w:pPr>
            <w:r>
              <w:rPr>
                <w:rFonts w:ascii="Times New Roman" w:hAnsi="Times New Roman" w:eastAsia="Times New Roman" w:cs="Times New Roman"/>
                <w:b/>
                <w:bCs/>
                <w:spacing w:val="-4"/>
                <w:sz w:val="24"/>
                <w:szCs w:val="24"/>
              </w:rPr>
              <w:t>1</w:t>
            </w:r>
            <w:r>
              <w:rPr>
                <w:spacing w:val="-4"/>
                <w:sz w:val="24"/>
                <w:szCs w:val="24"/>
                <w14:textOutline w14:w="4354" w14:cap="flat" w14:cmpd="sng">
                  <w14:solidFill>
                    <w14:srgbClr w14:val="000000"/>
                  </w14:solidFill>
                  <w14:prstDash w14:val="solid"/>
                  <w14:miter w14:val="10"/>
                </w14:textOutline>
              </w:rPr>
              <w:t>）场地雨水</w:t>
            </w:r>
          </w:p>
          <w:p>
            <w:pPr>
              <w:pStyle w:val="6"/>
              <w:spacing w:before="196" w:line="369" w:lineRule="auto"/>
              <w:ind w:left="108" w:right="100" w:firstLine="480"/>
              <w:jc w:val="both"/>
              <w:rPr>
                <w:sz w:val="24"/>
                <w:szCs w:val="24"/>
              </w:rPr>
            </w:pPr>
            <w:r>
              <w:rPr>
                <w:spacing w:val="-12"/>
                <w:sz w:val="24"/>
                <w:szCs w:val="24"/>
              </w:rPr>
              <w:t>本项目井场实行清污分流，</w:t>
            </w:r>
            <w:r>
              <w:rPr>
                <w:spacing w:val="68"/>
                <w:sz w:val="24"/>
                <w:szCs w:val="24"/>
              </w:rPr>
              <w:t xml:space="preserve"> </w:t>
            </w:r>
            <w:r>
              <w:rPr>
                <w:spacing w:val="-12"/>
                <w:sz w:val="24"/>
                <w:szCs w:val="24"/>
              </w:rPr>
              <w:t>井场分为清洁区和污染区，</w:t>
            </w:r>
            <w:r>
              <w:rPr>
                <w:spacing w:val="51"/>
                <w:sz w:val="24"/>
                <w:szCs w:val="24"/>
              </w:rPr>
              <w:t xml:space="preserve"> </w:t>
            </w:r>
            <w:r>
              <w:rPr>
                <w:spacing w:val="-12"/>
                <w:sz w:val="24"/>
                <w:szCs w:val="24"/>
              </w:rPr>
              <w:t>通过挡墙隔离。污染区（泥</w:t>
            </w:r>
            <w:r>
              <w:rPr>
                <w:sz w:val="24"/>
                <w:szCs w:val="24"/>
              </w:rPr>
              <w:t xml:space="preserve"> </w:t>
            </w:r>
            <w:r>
              <w:rPr>
                <w:spacing w:val="-5"/>
                <w:sz w:val="24"/>
                <w:szCs w:val="24"/>
              </w:rPr>
              <w:t>浆循环区、井口区、动力机组区、清洁生产操作平台） 雨水随场内雨水沟汇集后进入集</w:t>
            </w:r>
            <w:r>
              <w:rPr>
                <w:spacing w:val="16"/>
                <w:sz w:val="24"/>
                <w:szCs w:val="24"/>
              </w:rPr>
              <w:t xml:space="preserve"> </w:t>
            </w:r>
            <w:r>
              <w:rPr>
                <w:spacing w:val="-9"/>
                <w:sz w:val="24"/>
                <w:szCs w:val="24"/>
              </w:rPr>
              <w:t>水坑收集， 与钻井废水一并处理后外运污水处理厂处置；</w:t>
            </w:r>
            <w:r>
              <w:rPr>
                <w:spacing w:val="52"/>
                <w:sz w:val="24"/>
                <w:szCs w:val="24"/>
              </w:rPr>
              <w:t xml:space="preserve"> </w:t>
            </w:r>
            <w:r>
              <w:rPr>
                <w:spacing w:val="-9"/>
                <w:sz w:val="24"/>
                <w:szCs w:val="24"/>
              </w:rPr>
              <w:t>清洁区雨水通过场地内的隔油</w:t>
            </w:r>
          </w:p>
          <w:p>
            <w:pPr>
              <w:pStyle w:val="6"/>
              <w:spacing w:line="219" w:lineRule="auto"/>
              <w:ind w:left="108"/>
              <w:rPr>
                <w:sz w:val="24"/>
                <w:szCs w:val="24"/>
              </w:rPr>
            </w:pPr>
            <w:r>
              <w:rPr>
                <w:spacing w:val="-8"/>
                <w:sz w:val="24"/>
                <w:szCs w:val="24"/>
              </w:rPr>
              <w:t>池处理后外排自然水系；</w:t>
            </w:r>
            <w:r>
              <w:rPr>
                <w:spacing w:val="86"/>
                <w:sz w:val="24"/>
                <w:szCs w:val="24"/>
              </w:rPr>
              <w:t xml:space="preserve"> </w:t>
            </w:r>
            <w:r>
              <w:rPr>
                <w:spacing w:val="-8"/>
                <w:sz w:val="24"/>
                <w:szCs w:val="24"/>
              </w:rPr>
              <w:t>油罐区设置</w:t>
            </w:r>
            <w:r>
              <w:rPr>
                <w:spacing w:val="-32"/>
                <w:sz w:val="24"/>
                <w:szCs w:val="24"/>
              </w:rPr>
              <w:t xml:space="preserve"> </w:t>
            </w:r>
            <w:r>
              <w:rPr>
                <w:rFonts w:ascii="Times New Roman" w:hAnsi="Times New Roman" w:eastAsia="Times New Roman" w:cs="Times New Roman"/>
                <w:spacing w:val="-8"/>
                <w:sz w:val="24"/>
                <w:szCs w:val="24"/>
              </w:rPr>
              <w:t xml:space="preserve">1 </w:t>
            </w:r>
            <w:r>
              <w:rPr>
                <w:spacing w:val="-8"/>
                <w:sz w:val="24"/>
                <w:szCs w:val="24"/>
              </w:rPr>
              <w:t>座</w:t>
            </w:r>
            <w:r>
              <w:rPr>
                <w:spacing w:val="-56"/>
                <w:sz w:val="24"/>
                <w:szCs w:val="24"/>
              </w:rPr>
              <w:t xml:space="preserve"> </w:t>
            </w:r>
            <w:r>
              <w:rPr>
                <w:rFonts w:ascii="Times New Roman" w:hAnsi="Times New Roman" w:eastAsia="Times New Roman" w:cs="Times New Roman"/>
                <w:spacing w:val="-8"/>
                <w:sz w:val="24"/>
                <w:szCs w:val="24"/>
              </w:rPr>
              <w:t>4m</w:t>
            </w:r>
            <w:r>
              <w:rPr>
                <w:rFonts w:ascii="Times New Roman" w:hAnsi="Times New Roman" w:eastAsia="Times New Roman" w:cs="Times New Roman"/>
                <w:spacing w:val="-8"/>
                <w:position w:val="9"/>
                <w:sz w:val="16"/>
                <w:szCs w:val="16"/>
              </w:rPr>
              <w:t>3</w:t>
            </w:r>
            <w:r>
              <w:rPr>
                <w:rFonts w:ascii="Times New Roman" w:hAnsi="Times New Roman" w:eastAsia="Times New Roman" w:cs="Times New Roman"/>
                <w:spacing w:val="9"/>
                <w:position w:val="9"/>
                <w:sz w:val="16"/>
                <w:szCs w:val="16"/>
              </w:rPr>
              <w:t xml:space="preserve"> </w:t>
            </w:r>
            <w:r>
              <w:rPr>
                <w:spacing w:val="-8"/>
                <w:sz w:val="24"/>
                <w:szCs w:val="24"/>
              </w:rPr>
              <w:t>集液池隔油处理排入自然水系。</w:t>
            </w:r>
          </w:p>
          <w:p>
            <w:pPr>
              <w:pStyle w:val="6"/>
              <w:spacing w:before="194" w:line="220" w:lineRule="auto"/>
              <w:ind w:left="587"/>
              <w:rPr>
                <w:sz w:val="24"/>
                <w:szCs w:val="24"/>
              </w:rPr>
            </w:pPr>
            <w:r>
              <w:rPr>
                <w:rFonts w:ascii="Times New Roman" w:hAnsi="Times New Roman" w:eastAsia="Times New Roman" w:cs="Times New Roman"/>
                <w:b/>
                <w:bCs/>
                <w:spacing w:val="-3"/>
                <w:sz w:val="24"/>
                <w:szCs w:val="24"/>
              </w:rPr>
              <w:t>2</w:t>
            </w:r>
            <w:r>
              <w:rPr>
                <w:spacing w:val="-3"/>
                <w:sz w:val="24"/>
                <w:szCs w:val="24"/>
                <w14:textOutline w14:w="4354" w14:cap="flat" w14:cmpd="sng">
                  <w14:solidFill>
                    <w14:srgbClr w14:val="000000"/>
                  </w14:solidFill>
                  <w14:prstDash w14:val="solid"/>
                  <w14:miter w14:val="10"/>
                </w14:textOutline>
              </w:rPr>
              <w:t>）钻井过程中产生的钻井废水、</w:t>
            </w:r>
            <w:r>
              <w:rPr>
                <w:spacing w:val="-31"/>
                <w:sz w:val="24"/>
                <w:szCs w:val="24"/>
              </w:rPr>
              <w:t xml:space="preserve"> </w:t>
            </w:r>
            <w:r>
              <w:rPr>
                <w:spacing w:val="-3"/>
                <w:sz w:val="24"/>
                <w:szCs w:val="24"/>
                <w14:textOutline w14:w="4354" w14:cap="flat" w14:cmpd="sng">
                  <w14:solidFill>
                    <w14:srgbClr w14:val="000000"/>
                  </w14:solidFill>
                  <w14:prstDash w14:val="solid"/>
                  <w14:miter w14:val="10"/>
                </w14:textOutline>
              </w:rPr>
              <w:t>洗井废水及酸化废水</w:t>
            </w:r>
          </w:p>
          <w:p>
            <w:pPr>
              <w:pStyle w:val="6"/>
              <w:spacing w:before="195" w:line="480" w:lineRule="exact"/>
              <w:ind w:left="589"/>
              <w:rPr>
                <w:sz w:val="24"/>
                <w:szCs w:val="24"/>
              </w:rPr>
            </w:pPr>
            <w:r>
              <w:rPr>
                <w:position w:val="18"/>
                <w:sz w:val="24"/>
                <w:szCs w:val="24"/>
                <w14:textOutline w14:w="4354" w14:cap="flat" w14:cmpd="sng">
                  <w14:solidFill>
                    <w14:srgbClr w14:val="000000"/>
                  </w14:solidFill>
                  <w14:prstDash w14:val="solid"/>
                  <w14:miter w14:val="10"/>
                </w14:textOutline>
              </w:rPr>
              <w:t>①废水污染防治措施</w:t>
            </w:r>
          </w:p>
          <w:p>
            <w:pPr>
              <w:pStyle w:val="6"/>
              <w:spacing w:line="233" w:lineRule="auto"/>
              <w:ind w:left="583"/>
              <w:rPr>
                <w:sz w:val="24"/>
                <w:szCs w:val="24"/>
              </w:rPr>
            </w:pPr>
            <w:r>
              <w:rPr>
                <w:rFonts w:ascii="Times New Roman" w:hAnsi="Times New Roman" w:eastAsia="Times New Roman" w:cs="Times New Roman"/>
                <w:b/>
                <w:bCs/>
                <w:sz w:val="24"/>
                <w:szCs w:val="24"/>
              </w:rPr>
              <w:t>A.</w:t>
            </w:r>
            <w:r>
              <w:rPr>
                <w:sz w:val="24"/>
                <w:szCs w:val="24"/>
                <w14:textOutline w14:w="4354" w14:cap="flat" w14:cmpd="sng">
                  <w14:solidFill>
                    <w14:srgbClr w14:val="000000"/>
                  </w14:solidFill>
                  <w14:prstDash w14:val="solid"/>
                  <w14:miter w14:val="10"/>
                </w14:textOutline>
              </w:rPr>
              <w:t>废水处理措施</w:t>
            </w:r>
          </w:p>
          <w:p>
            <w:pPr>
              <w:pStyle w:val="6"/>
              <w:spacing w:before="179" w:line="369" w:lineRule="auto"/>
              <w:ind w:left="108" w:right="87" w:firstLine="479"/>
              <w:rPr>
                <w:sz w:val="24"/>
                <w:szCs w:val="24"/>
              </w:rPr>
            </w:pPr>
            <w:r>
              <w:rPr>
                <w:spacing w:val="-14"/>
                <w:sz w:val="24"/>
                <w:szCs w:val="24"/>
              </w:rPr>
              <w:t>井场设有清洁生产操作平台，</w:t>
            </w:r>
            <w:r>
              <w:rPr>
                <w:spacing w:val="47"/>
                <w:sz w:val="24"/>
                <w:szCs w:val="24"/>
              </w:rPr>
              <w:t xml:space="preserve"> </w:t>
            </w:r>
            <w:r>
              <w:rPr>
                <w:spacing w:val="-14"/>
                <w:sz w:val="24"/>
                <w:szCs w:val="24"/>
              </w:rPr>
              <w:t>采用， 清洁化操作工艺，</w:t>
            </w:r>
            <w:r>
              <w:rPr>
                <w:spacing w:val="50"/>
                <w:sz w:val="24"/>
                <w:szCs w:val="24"/>
              </w:rPr>
              <w:t xml:space="preserve"> </w:t>
            </w:r>
            <w:r>
              <w:rPr>
                <w:spacing w:val="-14"/>
                <w:sz w:val="24"/>
                <w:szCs w:val="24"/>
              </w:rPr>
              <w:t>该工艺在钻井行业已得到广</w:t>
            </w:r>
            <w:r>
              <w:rPr>
                <w:sz w:val="24"/>
                <w:szCs w:val="24"/>
              </w:rPr>
              <w:t xml:space="preserve"> </w:t>
            </w:r>
            <w:r>
              <w:rPr>
                <w:spacing w:val="-10"/>
                <w:sz w:val="24"/>
                <w:szCs w:val="24"/>
              </w:rPr>
              <w:t>泛的应用，</w:t>
            </w:r>
            <w:r>
              <w:rPr>
                <w:spacing w:val="27"/>
                <w:sz w:val="24"/>
                <w:szCs w:val="24"/>
              </w:rPr>
              <w:t xml:space="preserve"> </w:t>
            </w:r>
            <w:r>
              <w:rPr>
                <w:spacing w:val="-10"/>
                <w:sz w:val="24"/>
                <w:szCs w:val="24"/>
              </w:rPr>
              <w:t>通过清洁生产操作平台，</w:t>
            </w:r>
            <w:r>
              <w:rPr>
                <w:spacing w:val="63"/>
                <w:sz w:val="24"/>
                <w:szCs w:val="24"/>
              </w:rPr>
              <w:t xml:space="preserve"> </w:t>
            </w:r>
            <w:r>
              <w:rPr>
                <w:spacing w:val="-10"/>
                <w:sz w:val="24"/>
                <w:szCs w:val="24"/>
              </w:rPr>
              <w:t>钻井过程中不断产</w:t>
            </w:r>
            <w:r>
              <w:rPr>
                <w:spacing w:val="-11"/>
                <w:sz w:val="24"/>
                <w:szCs w:val="24"/>
              </w:rPr>
              <w:t>生的废泥浆经清洁化流程处理，</w:t>
            </w:r>
            <w:r>
              <w:rPr>
                <w:sz w:val="24"/>
                <w:szCs w:val="24"/>
              </w:rPr>
              <w:t xml:space="preserve"> </w:t>
            </w:r>
            <w:r>
              <w:rPr>
                <w:spacing w:val="-1"/>
                <w:sz w:val="24"/>
                <w:szCs w:val="24"/>
              </w:rPr>
              <w:t>析出上清液重复利用于钻井过程中不断补充的钻井泥浆现场调配生产</w:t>
            </w:r>
            <w:r>
              <w:rPr>
                <w:spacing w:val="-2"/>
                <w:sz w:val="24"/>
                <w:szCs w:val="24"/>
              </w:rPr>
              <w:t>用水，同时钻具、</w:t>
            </w:r>
            <w:r>
              <w:rPr>
                <w:sz w:val="24"/>
                <w:szCs w:val="24"/>
              </w:rPr>
              <w:t xml:space="preserve"> </w:t>
            </w:r>
            <w:r>
              <w:rPr>
                <w:spacing w:val="-1"/>
                <w:sz w:val="24"/>
                <w:szCs w:val="24"/>
              </w:rPr>
              <w:t>钻台、泥浆循环系统等设备冲洗废水经收集后处理，上清液用于补充</w:t>
            </w:r>
            <w:r>
              <w:rPr>
                <w:spacing w:val="-2"/>
                <w:sz w:val="24"/>
                <w:szCs w:val="24"/>
              </w:rPr>
              <w:t>泥浆的调配用水、</w:t>
            </w:r>
            <w:r>
              <w:rPr>
                <w:sz w:val="24"/>
                <w:szCs w:val="24"/>
              </w:rPr>
              <w:t xml:space="preserve"> </w:t>
            </w:r>
            <w:r>
              <w:rPr>
                <w:spacing w:val="-5"/>
                <w:sz w:val="24"/>
                <w:szCs w:val="24"/>
              </w:rPr>
              <w:t>钻具清洁冲洗用水。钻井期间废水不断重复循</w:t>
            </w:r>
            <w:r>
              <w:rPr>
                <w:spacing w:val="-6"/>
                <w:sz w:val="24"/>
                <w:szCs w:val="24"/>
              </w:rPr>
              <w:t>环使用以实现钻井作业的清洁化生产，</w:t>
            </w:r>
            <w:r>
              <w:rPr>
                <w:spacing w:val="38"/>
                <w:sz w:val="24"/>
                <w:szCs w:val="24"/>
              </w:rPr>
              <w:t xml:space="preserve"> </w:t>
            </w:r>
            <w:r>
              <w:rPr>
                <w:spacing w:val="-6"/>
                <w:sz w:val="24"/>
                <w:szCs w:val="24"/>
              </w:rPr>
              <w:t>钻</w:t>
            </w:r>
          </w:p>
          <w:p>
            <w:pPr>
              <w:pStyle w:val="6"/>
              <w:spacing w:before="1" w:line="219" w:lineRule="auto"/>
              <w:ind w:left="108"/>
              <w:rPr>
                <w:sz w:val="24"/>
                <w:szCs w:val="24"/>
              </w:rPr>
            </w:pPr>
            <w:r>
              <w:rPr>
                <w:spacing w:val="-6"/>
                <w:sz w:val="24"/>
                <w:szCs w:val="24"/>
              </w:rPr>
              <w:t>井过程中无需要外运或外排的废水产生。为保障该井清洁化生产方案的顺利实施，</w:t>
            </w:r>
            <w:r>
              <w:rPr>
                <w:spacing w:val="54"/>
                <w:sz w:val="24"/>
                <w:szCs w:val="24"/>
              </w:rPr>
              <w:t xml:space="preserve"> </w:t>
            </w:r>
            <w:r>
              <w:rPr>
                <w:spacing w:val="-6"/>
                <w:sz w:val="24"/>
                <w:szCs w:val="24"/>
              </w:rPr>
              <w:t>利用</w:t>
            </w:r>
          </w:p>
        </w:tc>
      </w:tr>
    </w:tbl>
    <w:p>
      <w:pPr>
        <w:pStyle w:val="2"/>
        <w:rPr>
          <w:sz w:val="21"/>
        </w:rPr>
      </w:pPr>
    </w:p>
    <w:p>
      <w:pPr>
        <w:rPr>
          <w:sz w:val="21"/>
          <w:szCs w:val="21"/>
        </w:rPr>
        <w:sectPr>
          <w:footerReference r:id="rId126"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5"/>
        <w:gridCol w:w="1093"/>
        <w:gridCol w:w="5817"/>
        <w:gridCol w:w="237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35" w:hRule="atLeast"/>
        </w:trPr>
        <w:tc>
          <w:tcPr>
            <w:tcW w:w="465"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9282" w:type="dxa"/>
            <w:gridSpan w:val="3"/>
            <w:tcBorders>
              <w:top w:val="single" w:color="000000" w:sz="6" w:space="0"/>
              <w:left w:val="single" w:color="000000" w:sz="2" w:space="0"/>
              <w:right w:val="single" w:color="000000" w:sz="6" w:space="0"/>
            </w:tcBorders>
            <w:vAlign w:val="top"/>
          </w:tcPr>
          <w:p>
            <w:pPr>
              <w:pStyle w:val="6"/>
              <w:spacing w:before="181" w:line="220" w:lineRule="auto"/>
              <w:ind w:left="108"/>
              <w:rPr>
                <w:sz w:val="24"/>
                <w:szCs w:val="24"/>
              </w:rPr>
            </w:pPr>
            <w:r>
              <w:rPr>
                <w:spacing w:val="-2"/>
                <w:sz w:val="24"/>
                <w:szCs w:val="24"/>
              </w:rPr>
              <w:t>应急池作为工程钻井过程中实施的清洁化生产方案的事故水池备用。</w:t>
            </w:r>
          </w:p>
          <w:p>
            <w:pPr>
              <w:pStyle w:val="6"/>
              <w:spacing w:before="195" w:line="369" w:lineRule="auto"/>
              <w:ind w:left="109" w:right="100" w:firstLine="478"/>
              <w:jc w:val="both"/>
              <w:rPr>
                <w:sz w:val="24"/>
                <w:szCs w:val="24"/>
              </w:rPr>
            </w:pPr>
            <w:r>
              <w:rPr>
                <w:spacing w:val="-9"/>
                <w:sz w:val="24"/>
                <w:szCs w:val="24"/>
              </w:rPr>
              <w:t>清洁化操作工艺（清洁生产操作平台） 在钻井行业</w:t>
            </w:r>
            <w:r>
              <w:rPr>
                <w:spacing w:val="-10"/>
                <w:sz w:val="24"/>
                <w:szCs w:val="24"/>
              </w:rPr>
              <w:t>已经得到广泛的应用，</w:t>
            </w:r>
            <w:r>
              <w:rPr>
                <w:spacing w:val="47"/>
                <w:sz w:val="24"/>
                <w:szCs w:val="24"/>
              </w:rPr>
              <w:t xml:space="preserve"> </w:t>
            </w:r>
            <w:r>
              <w:rPr>
                <w:spacing w:val="-10"/>
                <w:sz w:val="24"/>
                <w:szCs w:val="24"/>
              </w:rPr>
              <w:t>通过清洁</w:t>
            </w:r>
            <w:r>
              <w:rPr>
                <w:sz w:val="24"/>
                <w:szCs w:val="24"/>
              </w:rPr>
              <w:t xml:space="preserve"> </w:t>
            </w:r>
            <w:r>
              <w:rPr>
                <w:spacing w:val="-14"/>
                <w:sz w:val="24"/>
                <w:szCs w:val="24"/>
              </w:rPr>
              <w:t>化操作工艺（清洁生产操作平台</w:t>
            </w:r>
            <w:r>
              <w:rPr>
                <w:spacing w:val="-22"/>
                <w:sz w:val="24"/>
                <w:szCs w:val="24"/>
              </w:rPr>
              <w:t>）</w:t>
            </w:r>
            <w:r>
              <w:rPr>
                <w:spacing w:val="36"/>
                <w:sz w:val="24"/>
                <w:szCs w:val="24"/>
              </w:rPr>
              <w:t xml:space="preserve"> </w:t>
            </w:r>
            <w:r>
              <w:rPr>
                <w:spacing w:val="-22"/>
                <w:sz w:val="24"/>
                <w:szCs w:val="24"/>
              </w:rPr>
              <w:t>，</w:t>
            </w:r>
            <w:r>
              <w:rPr>
                <w:spacing w:val="-14"/>
                <w:sz w:val="24"/>
                <w:szCs w:val="24"/>
              </w:rPr>
              <w:t>做到废水有效收集</w:t>
            </w:r>
            <w:r>
              <w:rPr>
                <w:spacing w:val="-15"/>
                <w:sz w:val="24"/>
                <w:szCs w:val="24"/>
              </w:rPr>
              <w:t>处理回用，</w:t>
            </w:r>
            <w:r>
              <w:rPr>
                <w:spacing w:val="53"/>
                <w:sz w:val="24"/>
                <w:szCs w:val="24"/>
              </w:rPr>
              <w:t xml:space="preserve"> </w:t>
            </w:r>
            <w:r>
              <w:rPr>
                <w:spacing w:val="-15"/>
                <w:sz w:val="24"/>
                <w:szCs w:val="24"/>
              </w:rPr>
              <w:t>减少最终废水量，</w:t>
            </w:r>
            <w:r>
              <w:rPr>
                <w:spacing w:val="54"/>
                <w:sz w:val="24"/>
                <w:szCs w:val="24"/>
              </w:rPr>
              <w:t xml:space="preserve"> </w:t>
            </w:r>
            <w:r>
              <w:rPr>
                <w:spacing w:val="-15"/>
                <w:sz w:val="24"/>
                <w:szCs w:val="24"/>
              </w:rPr>
              <w:t>有</w:t>
            </w:r>
          </w:p>
          <w:p>
            <w:pPr>
              <w:pStyle w:val="6"/>
              <w:spacing w:line="219" w:lineRule="auto"/>
              <w:ind w:left="109"/>
              <w:rPr>
                <w:sz w:val="24"/>
                <w:szCs w:val="24"/>
              </w:rPr>
            </w:pPr>
            <w:r>
              <w:rPr>
                <w:spacing w:val="-8"/>
                <w:sz w:val="24"/>
                <w:szCs w:val="24"/>
              </w:rPr>
              <w:t>利于减轻对环境的影响。</w:t>
            </w:r>
            <w:r>
              <w:rPr>
                <w:spacing w:val="60"/>
                <w:sz w:val="24"/>
                <w:szCs w:val="24"/>
              </w:rPr>
              <w:t xml:space="preserve"> </w:t>
            </w:r>
            <w:r>
              <w:rPr>
                <w:spacing w:val="-8"/>
                <w:sz w:val="24"/>
                <w:szCs w:val="24"/>
              </w:rPr>
              <w:t>措施可行，纳入工程投资，经济可行。</w:t>
            </w:r>
          </w:p>
          <w:p>
            <w:pPr>
              <w:pStyle w:val="6"/>
              <w:spacing w:before="195" w:line="233" w:lineRule="auto"/>
              <w:ind w:left="586"/>
              <w:rPr>
                <w:sz w:val="24"/>
                <w:szCs w:val="24"/>
              </w:rPr>
            </w:pPr>
            <w:r>
              <w:rPr>
                <w:rFonts w:ascii="Times New Roman" w:hAnsi="Times New Roman" w:eastAsia="Times New Roman" w:cs="Times New Roman"/>
                <w:b/>
                <w:bCs/>
                <w:sz w:val="24"/>
                <w:szCs w:val="24"/>
              </w:rPr>
              <w:t xml:space="preserve">B.  </w:t>
            </w:r>
            <w:r>
              <w:rPr>
                <w:sz w:val="24"/>
                <w:szCs w:val="24"/>
                <w14:textOutline w14:w="4354" w14:cap="flat" w14:cmpd="sng">
                  <w14:solidFill>
                    <w14:srgbClr w14:val="000000"/>
                  </w14:solidFill>
                  <w14:prstDash w14:val="solid"/>
                  <w14:miter w14:val="10"/>
                </w14:textOutline>
              </w:rPr>
              <w:t>废水井场贮存措施</w:t>
            </w:r>
          </w:p>
          <w:p>
            <w:pPr>
              <w:pStyle w:val="6"/>
              <w:spacing w:before="177" w:line="369" w:lineRule="auto"/>
              <w:ind w:left="127" w:right="100" w:firstLine="461"/>
              <w:jc w:val="both"/>
              <w:rPr>
                <w:sz w:val="24"/>
                <w:szCs w:val="24"/>
              </w:rPr>
            </w:pPr>
            <w:r>
              <w:rPr>
                <w:spacing w:val="-3"/>
                <w:sz w:val="24"/>
                <w:szCs w:val="24"/>
              </w:rPr>
              <w:t>钻井废水约</w:t>
            </w:r>
            <w:r>
              <w:rPr>
                <w:spacing w:val="-24"/>
                <w:sz w:val="24"/>
                <w:szCs w:val="24"/>
              </w:rPr>
              <w:t xml:space="preserve"> </w:t>
            </w:r>
            <w:r>
              <w:rPr>
                <w:rFonts w:ascii="Times New Roman" w:hAnsi="Times New Roman" w:eastAsia="Times New Roman" w:cs="Times New Roman"/>
                <w:spacing w:val="-3"/>
                <w:sz w:val="24"/>
                <w:szCs w:val="24"/>
              </w:rPr>
              <w:t>184.06m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0"/>
                <w:position w:val="9"/>
                <w:sz w:val="16"/>
                <w:szCs w:val="16"/>
              </w:rPr>
              <w:t xml:space="preserve"> </w:t>
            </w:r>
            <w:r>
              <w:rPr>
                <w:spacing w:val="-3"/>
                <w:sz w:val="24"/>
                <w:szCs w:val="24"/>
              </w:rPr>
              <w:t>，洗井废水约</w:t>
            </w:r>
            <w:r>
              <w:rPr>
                <w:spacing w:val="-26"/>
                <w:sz w:val="24"/>
                <w:szCs w:val="24"/>
              </w:rPr>
              <w:t xml:space="preserve"> </w:t>
            </w:r>
            <w:r>
              <w:rPr>
                <w:rFonts w:ascii="Times New Roman" w:hAnsi="Times New Roman" w:eastAsia="Times New Roman" w:cs="Times New Roman"/>
                <w:spacing w:val="-3"/>
                <w:sz w:val="24"/>
                <w:szCs w:val="24"/>
              </w:rPr>
              <w:t>25.29m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0"/>
                <w:position w:val="9"/>
                <w:sz w:val="16"/>
                <w:szCs w:val="16"/>
              </w:rPr>
              <w:t xml:space="preserve"> </w:t>
            </w:r>
            <w:r>
              <w:rPr>
                <w:spacing w:val="-3"/>
                <w:sz w:val="24"/>
                <w:szCs w:val="24"/>
              </w:rPr>
              <w:t>，经排砂管道直接进入清洁生</w:t>
            </w:r>
            <w:r>
              <w:rPr>
                <w:spacing w:val="-4"/>
                <w:sz w:val="24"/>
                <w:szCs w:val="24"/>
              </w:rPr>
              <w:t>产操作平</w:t>
            </w:r>
            <w:r>
              <w:rPr>
                <w:sz w:val="24"/>
                <w:szCs w:val="24"/>
              </w:rPr>
              <w:t xml:space="preserve"> </w:t>
            </w:r>
            <w:r>
              <w:rPr>
                <w:spacing w:val="-7"/>
                <w:sz w:val="24"/>
                <w:szCs w:val="24"/>
              </w:rPr>
              <w:t>台的废水罐中预处理后临时储存应急池；</w:t>
            </w:r>
            <w:r>
              <w:rPr>
                <w:spacing w:val="59"/>
                <w:sz w:val="24"/>
                <w:szCs w:val="24"/>
              </w:rPr>
              <w:t xml:space="preserve"> </w:t>
            </w:r>
            <w:r>
              <w:rPr>
                <w:spacing w:val="-7"/>
                <w:sz w:val="24"/>
                <w:szCs w:val="24"/>
              </w:rPr>
              <w:t>酸化废水约</w:t>
            </w:r>
            <w:r>
              <w:rPr>
                <w:spacing w:val="-31"/>
                <w:sz w:val="24"/>
                <w:szCs w:val="24"/>
              </w:rPr>
              <w:t xml:space="preserve"> </w:t>
            </w:r>
            <w:r>
              <w:rPr>
                <w:rFonts w:ascii="Times New Roman" w:hAnsi="Times New Roman" w:eastAsia="Times New Roman" w:cs="Times New Roman"/>
                <w:spacing w:val="-7"/>
                <w:sz w:val="24"/>
                <w:szCs w:val="24"/>
              </w:rPr>
              <w:t>180m</w:t>
            </w:r>
            <w:r>
              <w:rPr>
                <w:rFonts w:ascii="Times New Roman" w:hAnsi="Times New Roman" w:eastAsia="Times New Roman" w:cs="Times New Roman"/>
                <w:spacing w:val="-7"/>
                <w:position w:val="9"/>
                <w:sz w:val="16"/>
                <w:szCs w:val="16"/>
              </w:rPr>
              <w:t>3</w:t>
            </w:r>
            <w:r>
              <w:rPr>
                <w:rFonts w:ascii="Times New Roman" w:hAnsi="Times New Roman" w:eastAsia="Times New Roman" w:cs="Times New Roman"/>
                <w:spacing w:val="-9"/>
                <w:position w:val="9"/>
                <w:sz w:val="16"/>
                <w:szCs w:val="16"/>
              </w:rPr>
              <w:t xml:space="preserve"> </w:t>
            </w:r>
            <w:r>
              <w:rPr>
                <w:spacing w:val="-7"/>
                <w:sz w:val="24"/>
                <w:szCs w:val="24"/>
              </w:rPr>
              <w:t>，泵入废水罐中预处理</w:t>
            </w:r>
            <w:r>
              <w:rPr>
                <w:spacing w:val="-8"/>
                <w:sz w:val="24"/>
                <w:szCs w:val="24"/>
              </w:rPr>
              <w:t>后临</w:t>
            </w:r>
          </w:p>
          <w:p>
            <w:pPr>
              <w:pStyle w:val="6"/>
              <w:spacing w:line="219" w:lineRule="auto"/>
              <w:ind w:left="119"/>
              <w:rPr>
                <w:sz w:val="24"/>
                <w:szCs w:val="24"/>
              </w:rPr>
            </w:pPr>
            <w:r>
              <w:rPr>
                <w:spacing w:val="-7"/>
                <w:sz w:val="24"/>
                <w:szCs w:val="24"/>
              </w:rPr>
              <w:t>时储存应急池。</w:t>
            </w:r>
          </w:p>
          <w:p>
            <w:pPr>
              <w:pStyle w:val="6"/>
              <w:spacing w:before="196" w:line="369" w:lineRule="auto"/>
              <w:ind w:left="110" w:right="100" w:firstLine="477"/>
              <w:jc w:val="both"/>
              <w:rPr>
                <w:sz w:val="24"/>
                <w:szCs w:val="24"/>
              </w:rPr>
            </w:pPr>
            <w:r>
              <w:rPr>
                <w:spacing w:val="-6"/>
                <w:sz w:val="24"/>
                <w:szCs w:val="24"/>
              </w:rPr>
              <w:t>废水储存过程中员工要加强巡检，</w:t>
            </w:r>
            <w:r>
              <w:rPr>
                <w:spacing w:val="39"/>
                <w:sz w:val="24"/>
                <w:szCs w:val="24"/>
              </w:rPr>
              <w:t xml:space="preserve"> </w:t>
            </w:r>
            <w:r>
              <w:rPr>
                <w:spacing w:val="-6"/>
                <w:sz w:val="24"/>
                <w:szCs w:val="24"/>
              </w:rPr>
              <w:t>尽量减少跑冒滴漏并做好相应记录。钻井过程产</w:t>
            </w:r>
            <w:r>
              <w:rPr>
                <w:sz w:val="24"/>
                <w:szCs w:val="24"/>
              </w:rPr>
              <w:t xml:space="preserve"> </w:t>
            </w:r>
            <w:r>
              <w:rPr>
                <w:spacing w:val="-5"/>
                <w:sz w:val="24"/>
                <w:szCs w:val="24"/>
              </w:rPr>
              <w:t>生的废水经井场内预处理后临时储存， 最终委托四川瑞利生物科技有限公司或其他有资</w:t>
            </w:r>
          </w:p>
          <w:p>
            <w:pPr>
              <w:pStyle w:val="6"/>
              <w:spacing w:before="1" w:line="219" w:lineRule="auto"/>
              <w:ind w:left="109"/>
              <w:rPr>
                <w:sz w:val="24"/>
                <w:szCs w:val="24"/>
              </w:rPr>
            </w:pPr>
            <w:r>
              <w:rPr>
                <w:spacing w:val="-1"/>
                <w:sz w:val="24"/>
                <w:szCs w:val="24"/>
              </w:rPr>
              <w:t>质的单位处置。钻井过程中废水均可集中收集储存，</w:t>
            </w:r>
            <w:r>
              <w:rPr>
                <w:spacing w:val="-2"/>
                <w:sz w:val="24"/>
                <w:szCs w:val="24"/>
              </w:rPr>
              <w:t>收集储存贮存措施合理。</w:t>
            </w:r>
          </w:p>
          <w:p>
            <w:pPr>
              <w:pStyle w:val="6"/>
              <w:spacing w:before="195" w:line="217" w:lineRule="auto"/>
              <w:ind w:left="588"/>
              <w:rPr>
                <w:sz w:val="24"/>
                <w:szCs w:val="24"/>
              </w:rPr>
            </w:pPr>
            <w:r>
              <w:rPr>
                <w:sz w:val="24"/>
                <w:szCs w:val="24"/>
                <w14:textOutline w14:w="4354" w14:cap="flat" w14:cmpd="sng">
                  <w14:solidFill>
                    <w14:srgbClr w14:val="000000"/>
                  </w14:solidFill>
                  <w14:prstDash w14:val="solid"/>
                  <w14:miter w14:val="10"/>
                </w14:textOutline>
              </w:rPr>
              <w:t>②钻井作业废水处理方案可行性分析</w:t>
            </w:r>
          </w:p>
          <w:p>
            <w:pPr>
              <w:pStyle w:val="6"/>
              <w:spacing w:before="198" w:line="220" w:lineRule="auto"/>
              <w:ind w:left="580"/>
              <w:rPr>
                <w:sz w:val="24"/>
                <w:szCs w:val="24"/>
              </w:rPr>
            </w:pPr>
            <w:r>
              <w:rPr>
                <w:rFonts w:ascii="Times New Roman" w:hAnsi="Times New Roman" w:eastAsia="Times New Roman" w:cs="Times New Roman"/>
                <w:spacing w:val="-1"/>
                <w:sz w:val="24"/>
                <w:szCs w:val="24"/>
              </w:rPr>
              <w:t>A.</w:t>
            </w:r>
            <w:r>
              <w:rPr>
                <w:spacing w:val="-1"/>
                <w:sz w:val="24"/>
                <w:szCs w:val="24"/>
              </w:rPr>
              <w:t>预处理工艺流程</w:t>
            </w:r>
          </w:p>
          <w:p>
            <w:pPr>
              <w:pStyle w:val="6"/>
              <w:spacing w:before="194" w:line="369" w:lineRule="auto"/>
              <w:ind w:left="113" w:right="39" w:firstLine="477"/>
              <w:rPr>
                <w:sz w:val="24"/>
                <w:szCs w:val="24"/>
              </w:rPr>
            </w:pPr>
            <w:r>
              <w:rPr>
                <w:spacing w:val="-9"/>
                <w:sz w:val="24"/>
                <w:szCs w:val="24"/>
              </w:rPr>
              <w:t>预处理工艺采用隔油、混凝、沉淀分离的工艺，</w:t>
            </w:r>
            <w:r>
              <w:rPr>
                <w:spacing w:val="-10"/>
                <w:sz w:val="24"/>
                <w:szCs w:val="24"/>
              </w:rPr>
              <w:t xml:space="preserve"> 该工艺目前在钻井工程中广泛使用，</w:t>
            </w:r>
            <w:r>
              <w:rPr>
                <w:sz w:val="24"/>
                <w:szCs w:val="24"/>
              </w:rPr>
              <w:t xml:space="preserve"> </w:t>
            </w:r>
            <w:r>
              <w:rPr>
                <w:spacing w:val="-10"/>
                <w:sz w:val="24"/>
                <w:szCs w:val="24"/>
              </w:rPr>
              <w:t>处理后的出水上清液回用，</w:t>
            </w:r>
            <w:r>
              <w:rPr>
                <w:spacing w:val="40"/>
                <w:sz w:val="24"/>
                <w:szCs w:val="24"/>
              </w:rPr>
              <w:t xml:space="preserve"> </w:t>
            </w:r>
            <w:r>
              <w:rPr>
                <w:spacing w:val="-10"/>
                <w:sz w:val="24"/>
                <w:szCs w:val="24"/>
              </w:rPr>
              <w:t>其余贮于废水收集罐中，</w:t>
            </w:r>
            <w:r>
              <w:rPr>
                <w:spacing w:val="39"/>
                <w:sz w:val="24"/>
                <w:szCs w:val="24"/>
              </w:rPr>
              <w:t xml:space="preserve"> </w:t>
            </w:r>
            <w:r>
              <w:rPr>
                <w:spacing w:val="-10"/>
                <w:sz w:val="24"/>
                <w:szCs w:val="24"/>
              </w:rPr>
              <w:t>清洁生产操作平台废水预处理</w:t>
            </w:r>
            <w:r>
              <w:rPr>
                <w:spacing w:val="-11"/>
                <w:sz w:val="24"/>
                <w:szCs w:val="24"/>
              </w:rPr>
              <w:t>后罐</w:t>
            </w:r>
          </w:p>
          <w:p>
            <w:pPr>
              <w:pStyle w:val="6"/>
              <w:spacing w:before="1" w:line="218" w:lineRule="auto"/>
              <w:ind w:left="110"/>
              <w:rPr>
                <w:sz w:val="24"/>
                <w:szCs w:val="24"/>
              </w:rPr>
            </w:pPr>
            <w:r>
              <w:rPr>
                <w:spacing w:val="-2"/>
                <w:sz w:val="24"/>
                <w:szCs w:val="24"/>
              </w:rPr>
              <w:t>车外运至四川瑞利生物科技有限公司气田废水处理站处理。</w:t>
            </w:r>
          </w:p>
          <w:p>
            <w:pPr>
              <w:pStyle w:val="6"/>
              <w:spacing w:before="197" w:line="369" w:lineRule="auto"/>
              <w:ind w:left="108" w:right="100" w:firstLine="478"/>
              <w:rPr>
                <w:sz w:val="24"/>
                <w:szCs w:val="24"/>
              </w:rPr>
            </w:pPr>
            <w:r>
              <w:rPr>
                <w:spacing w:val="-5"/>
                <w:sz w:val="24"/>
                <w:szCs w:val="24"/>
              </w:rPr>
              <w:t>洗井废水由井筒排出后直接进入废水罐暂存， 并转至清洁生产操作平台进行现场预</w:t>
            </w:r>
            <w:r>
              <w:rPr>
                <w:spacing w:val="5"/>
                <w:sz w:val="24"/>
                <w:szCs w:val="24"/>
              </w:rPr>
              <w:t xml:space="preserve"> </w:t>
            </w:r>
            <w:r>
              <w:rPr>
                <w:spacing w:val="-15"/>
                <w:sz w:val="24"/>
                <w:szCs w:val="24"/>
              </w:rPr>
              <w:t>处理。由于该废水呈强酸性，</w:t>
            </w:r>
            <w:r>
              <w:rPr>
                <w:spacing w:val="56"/>
                <w:sz w:val="24"/>
                <w:szCs w:val="24"/>
              </w:rPr>
              <w:t xml:space="preserve"> </w:t>
            </w:r>
            <w:r>
              <w:rPr>
                <w:spacing w:val="-15"/>
                <w:sz w:val="24"/>
                <w:szCs w:val="24"/>
              </w:rPr>
              <w:t>并有大量的返排物质，</w:t>
            </w:r>
            <w:r>
              <w:rPr>
                <w:spacing w:val="51"/>
                <w:sz w:val="24"/>
                <w:szCs w:val="24"/>
              </w:rPr>
              <w:t xml:space="preserve"> </w:t>
            </w:r>
            <w:r>
              <w:rPr>
                <w:spacing w:val="-15"/>
                <w:sz w:val="24"/>
                <w:szCs w:val="24"/>
              </w:rPr>
              <w:t>包括一些高</w:t>
            </w:r>
            <w:r>
              <w:rPr>
                <w:spacing w:val="-16"/>
                <w:sz w:val="24"/>
                <w:szCs w:val="24"/>
              </w:rPr>
              <w:t>分子物质和盐酸，</w:t>
            </w:r>
            <w:r>
              <w:rPr>
                <w:spacing w:val="55"/>
                <w:sz w:val="24"/>
                <w:szCs w:val="24"/>
              </w:rPr>
              <w:t xml:space="preserve"> </w:t>
            </w:r>
            <w:r>
              <w:rPr>
                <w:spacing w:val="-16"/>
                <w:sz w:val="24"/>
                <w:szCs w:val="24"/>
              </w:rPr>
              <w:t>该体</w:t>
            </w:r>
            <w:r>
              <w:rPr>
                <w:sz w:val="24"/>
                <w:szCs w:val="24"/>
              </w:rPr>
              <w:t xml:space="preserve"> </w:t>
            </w:r>
            <w:r>
              <w:rPr>
                <w:spacing w:val="-10"/>
                <w:sz w:val="24"/>
                <w:szCs w:val="24"/>
              </w:rPr>
              <w:t>系在酸性条件下呈稳定动态平衡。因此通过加入生石灰（氧化钙</w:t>
            </w:r>
            <w:r>
              <w:rPr>
                <w:spacing w:val="-14"/>
                <w:sz w:val="24"/>
                <w:szCs w:val="24"/>
              </w:rPr>
              <w:t>）</w:t>
            </w:r>
            <w:r>
              <w:rPr>
                <w:spacing w:val="37"/>
                <w:sz w:val="24"/>
                <w:szCs w:val="24"/>
              </w:rPr>
              <w:t xml:space="preserve"> </w:t>
            </w:r>
            <w:r>
              <w:rPr>
                <w:spacing w:val="-14"/>
                <w:sz w:val="24"/>
                <w:szCs w:val="24"/>
              </w:rPr>
              <w:t>，</w:t>
            </w:r>
            <w:r>
              <w:rPr>
                <w:spacing w:val="-10"/>
                <w:sz w:val="24"/>
                <w:szCs w:val="24"/>
              </w:rPr>
              <w:t>即可完成中和，</w:t>
            </w:r>
            <w:r>
              <w:rPr>
                <w:spacing w:val="52"/>
                <w:sz w:val="24"/>
                <w:szCs w:val="24"/>
              </w:rPr>
              <w:t xml:space="preserve"> </w:t>
            </w:r>
            <w:r>
              <w:rPr>
                <w:spacing w:val="-10"/>
                <w:sz w:val="24"/>
                <w:szCs w:val="24"/>
              </w:rPr>
              <w:t>破</w:t>
            </w:r>
            <w:r>
              <w:rPr>
                <w:sz w:val="24"/>
                <w:szCs w:val="24"/>
              </w:rPr>
              <w:t xml:space="preserve"> </w:t>
            </w:r>
            <w:r>
              <w:rPr>
                <w:spacing w:val="-10"/>
                <w:sz w:val="24"/>
                <w:szCs w:val="24"/>
              </w:rPr>
              <w:t>坏其稳定结构，</w:t>
            </w:r>
            <w:r>
              <w:rPr>
                <w:spacing w:val="47"/>
                <w:sz w:val="24"/>
                <w:szCs w:val="24"/>
              </w:rPr>
              <w:t xml:space="preserve"> </w:t>
            </w:r>
            <w:r>
              <w:rPr>
                <w:spacing w:val="-10"/>
                <w:sz w:val="24"/>
                <w:szCs w:val="24"/>
              </w:rPr>
              <w:t>使其产生絮凝沉淀。沉淀后上清液暂存</w:t>
            </w:r>
            <w:r>
              <w:rPr>
                <w:spacing w:val="-11"/>
                <w:sz w:val="24"/>
                <w:szCs w:val="24"/>
              </w:rPr>
              <w:t>于废水罐中，</w:t>
            </w:r>
            <w:r>
              <w:rPr>
                <w:spacing w:val="48"/>
                <w:sz w:val="24"/>
                <w:szCs w:val="24"/>
              </w:rPr>
              <w:t xml:space="preserve"> </w:t>
            </w:r>
            <w:r>
              <w:rPr>
                <w:spacing w:val="-11"/>
                <w:sz w:val="24"/>
                <w:szCs w:val="24"/>
              </w:rPr>
              <w:t>完井后与钻井剩余</w:t>
            </w:r>
          </w:p>
          <w:p>
            <w:pPr>
              <w:pStyle w:val="6"/>
              <w:spacing w:before="1" w:line="218" w:lineRule="auto"/>
              <w:ind w:left="107"/>
              <w:rPr>
                <w:sz w:val="24"/>
                <w:szCs w:val="24"/>
              </w:rPr>
            </w:pPr>
            <w:r>
              <w:rPr>
                <w:spacing w:val="-2"/>
                <w:sz w:val="24"/>
                <w:szCs w:val="24"/>
              </w:rPr>
              <w:t>废水交由四川瑞利生物科技有限公司气田废水处理站处理。钻井过程中产生的废水井场</w:t>
            </w:r>
          </w:p>
          <w:p>
            <w:pPr>
              <w:pStyle w:val="6"/>
              <w:spacing w:before="196" w:line="201" w:lineRule="auto"/>
              <w:ind w:left="110"/>
              <w:rPr>
                <w:sz w:val="24"/>
                <w:szCs w:val="24"/>
              </w:rPr>
            </w:pPr>
            <w:r>
              <w:rPr>
                <w:spacing w:val="-4"/>
                <w:sz w:val="24"/>
                <w:szCs w:val="24"/>
              </w:rPr>
              <w:t>预处理流程见图</w:t>
            </w:r>
            <w:r>
              <w:rPr>
                <w:spacing w:val="-49"/>
                <w:sz w:val="24"/>
                <w:szCs w:val="24"/>
              </w:rPr>
              <w:t xml:space="preserve"> </w:t>
            </w:r>
            <w:r>
              <w:rPr>
                <w:rFonts w:ascii="Times New Roman" w:hAnsi="Times New Roman" w:eastAsia="Times New Roman" w:cs="Times New Roman"/>
                <w:spacing w:val="-4"/>
                <w:sz w:val="24"/>
                <w:szCs w:val="24"/>
              </w:rPr>
              <w:t>5.2-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spacing w:val="-4"/>
                <w:sz w:val="24"/>
                <w:szCs w:val="24"/>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4" w:hRule="atLeast"/>
        </w:trPr>
        <w:tc>
          <w:tcPr>
            <w:tcW w:w="465" w:type="dxa"/>
            <w:vMerge w:val="continue"/>
            <w:tcBorders>
              <w:top w:val="nil"/>
              <w:left w:val="single" w:color="000000" w:sz="6" w:space="0"/>
              <w:bottom w:val="nil"/>
              <w:right w:val="single" w:color="000000" w:sz="2" w:space="0"/>
            </w:tcBorders>
            <w:vAlign w:val="top"/>
          </w:tcPr>
          <w:p>
            <w:pPr>
              <w:rPr>
                <w:rFonts w:ascii="Arial"/>
                <w:sz w:val="21"/>
              </w:rPr>
            </w:pPr>
          </w:p>
        </w:tc>
        <w:tc>
          <w:tcPr>
            <w:tcW w:w="1093" w:type="dxa"/>
            <w:tcBorders>
              <w:left w:val="single" w:color="000000" w:sz="2"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2" w:line="221" w:lineRule="auto"/>
              <w:ind w:left="734"/>
              <w:rPr>
                <w:sz w:val="16"/>
                <w:szCs w:val="16"/>
              </w:rPr>
            </w:pPr>
            <w:r>
              <w:rPr>
                <w:spacing w:val="-1"/>
                <w:sz w:val="16"/>
                <w:szCs w:val="16"/>
              </w:rPr>
              <w:t>废水</w:t>
            </w:r>
          </w:p>
        </w:tc>
        <w:tc>
          <w:tcPr>
            <w:tcW w:w="5817" w:type="dxa"/>
            <w:vAlign w:val="top"/>
          </w:tcPr>
          <w:p>
            <w:pPr>
              <w:spacing w:line="53" w:lineRule="exact"/>
            </w:pPr>
            <w:r>
              <w:pict>
                <v:rect id="_x0000_s1354" o:spid="_x0000_s1354" o:spt="1" style="position:absolute;left:0pt;margin-left:232.65pt;margin-top:61.5pt;height:15.05pt;width:0.2pt;mso-position-horizontal-relative:page;mso-position-vertical-relative:page;z-index:251902976;mso-width-relative:page;mso-height-relative:page;" fillcolor="#000000" filled="t" stroked="f" coordsize="21600,21600">
                  <v:path/>
                  <v:fill on="t" focussize="0,0"/>
                  <v:stroke on="f"/>
                  <v:imagedata o:title=""/>
                  <o:lock v:ext="edit"/>
                </v:rect>
              </w:pict>
            </w:r>
            <w:r>
              <w:pict>
                <v:rect id="_x0000_s1355" o:spid="_x0000_s1355" o:spt="1" style="position:absolute;left:0pt;margin-left:148pt;margin-top:30.25pt;height:31.5pt;width:0.2pt;mso-position-horizontal-relative:page;mso-position-vertical-relative:page;z-index:251892736;mso-width-relative:page;mso-height-relative:page;" fillcolor="#000000" filled="t" stroked="f" coordsize="21600,21600">
                  <v:path/>
                  <v:fill on="t" focussize="0,0"/>
                  <v:stroke on="f"/>
                  <v:imagedata o:title=""/>
                  <o:lock v:ext="edit"/>
                </v:rect>
              </w:pict>
            </w:r>
            <w:r>
              <w:pict>
                <v:rect id="_x0000_s1356" o:spid="_x0000_s1356" o:spt="1" style="position:absolute;left:0pt;margin-left:125.45pt;margin-top:58.05pt;height:12.7pt;width:0.2pt;mso-position-horizontal-relative:page;mso-position-vertical-relative:page;z-index:251893760;mso-width-relative:page;mso-height-relative:page;" fillcolor="#000000" filled="t" stroked="f" coordsize="21600,21600">
                  <v:path/>
                  <v:fill on="t" focussize="0,0"/>
                  <v:stroke on="f"/>
                  <v:imagedata o:title=""/>
                  <o:lock v:ext="edit"/>
                </v:rect>
              </w:pict>
            </w:r>
            <w:r>
              <w:pict>
                <v:shape id="_x0000_s1357" o:spid="_x0000_s1357" o:spt="202" type="#_x0000_t202" style="position:absolute;left:0pt;margin-left:95.3pt;margin-top:3.35pt;height:22.5pt;width:62.8pt;mso-position-horizontal-relative:page;mso-position-vertical-relative:page;z-index:2518958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205"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0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89" w:hRule="atLeast"/>
                          </w:trPr>
                          <w:tc>
                            <w:tcPr>
                              <w:tcW w:w="1205" w:type="dxa"/>
                              <w:vAlign w:val="top"/>
                            </w:tcPr>
                            <w:p>
                              <w:pPr>
                                <w:pStyle w:val="6"/>
                                <w:spacing w:before="104" w:line="221" w:lineRule="auto"/>
                                <w:ind w:left="280"/>
                                <w:rPr>
                                  <w:sz w:val="16"/>
                                  <w:szCs w:val="16"/>
                                </w:rPr>
                              </w:pPr>
                              <w:r>
                                <w:rPr>
                                  <w:spacing w:val="-1"/>
                                  <w:sz w:val="16"/>
                                  <w:szCs w:val="16"/>
                                </w:rPr>
                                <w:t>配备泥浆</w:t>
                              </w:r>
                            </w:p>
                          </w:tc>
                        </w:tr>
                      </w:tbl>
                      <w:p>
                        <w:pPr>
                          <w:rPr>
                            <w:rFonts w:ascii="Arial"/>
                            <w:sz w:val="21"/>
                          </w:rPr>
                        </w:pPr>
                      </w:p>
                    </w:txbxContent>
                  </v:textbox>
                </v:shape>
              </w:pict>
            </w:r>
            <w:r>
              <w:pict>
                <v:group id="_x0000_s1358" o:spid="_x0000_s1358" o:spt="203" style="position:absolute;left:0pt;margin-left:156.8pt;margin-top:12.45pt;height:4.25pt;width:31.5pt;mso-position-horizontal-relative:page;mso-position-vertical-relative:page;z-index:251896832;mso-width-relative:page;mso-height-relative:page;" coordsize="630,85">
                  <o:lock v:ext="edit"/>
                  <v:shape id="_x0000_s1359" o:spid="_x0000_s1359" style="position:absolute;left:72;top:40;height:4;width:557;" filled="f" stroked="t" coordsize="557,4" path="m555,1l1,1e">
                    <v:fill on="f" focussize="0,0"/>
                    <v:stroke weight="0.18pt" color="#000000" miterlimit="10" endcap="round"/>
                    <v:imagedata o:title=""/>
                    <o:lock v:ext="edit"/>
                  </v:shape>
                  <v:shape id="_x0000_s1360" o:spid="_x0000_s1360" style="position:absolute;left:0;top:0;height:85;width:85;" fillcolor="#000000" filled="t" stroked="f" coordsize="85,85" path="m84,84l0,42,84,0,84,84xe">
                    <v:fill on="t" focussize="0,0"/>
                    <v:stroke on="f"/>
                    <v:imagedata o:title=""/>
                    <o:lock v:ext="edit"/>
                  </v:shape>
                </v:group>
              </w:pict>
            </w:r>
            <w:r>
              <w:drawing>
                <wp:anchor distT="0" distB="0" distL="0" distR="0" simplePos="0" relativeHeight="251897856" behindDoc="0" locked="0" layoutInCell="1" allowOverlap="1">
                  <wp:simplePos x="0" y="0"/>
                  <wp:positionH relativeFrom="rightMargin">
                    <wp:posOffset>-1839595</wp:posOffset>
                  </wp:positionH>
                  <wp:positionV relativeFrom="topMargin">
                    <wp:posOffset>311150</wp:posOffset>
                  </wp:positionV>
                  <wp:extent cx="53975" cy="8064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28"/>
                          <a:stretch>
                            <a:fillRect/>
                          </a:stretch>
                        </pic:blipFill>
                        <pic:spPr>
                          <a:xfrm>
                            <a:off x="0" y="0"/>
                            <a:ext cx="53678" cy="80518"/>
                          </a:xfrm>
                          <a:prstGeom prst="rect">
                            <a:avLst/>
                          </a:prstGeom>
                        </pic:spPr>
                      </pic:pic>
                    </a:graphicData>
                  </a:graphic>
                </wp:anchor>
              </w:drawing>
            </w:r>
            <w:r>
              <w:drawing>
                <wp:anchor distT="0" distB="0" distL="0" distR="0" simplePos="0" relativeHeight="251891712" behindDoc="0" locked="0" layoutInCell="1" allowOverlap="1">
                  <wp:simplePos x="0" y="0"/>
                  <wp:positionH relativeFrom="rightMargin">
                    <wp:posOffset>-3054350</wp:posOffset>
                  </wp:positionH>
                  <wp:positionV relativeFrom="topMargin">
                    <wp:posOffset>174625</wp:posOffset>
                  </wp:positionV>
                  <wp:extent cx="582930" cy="72326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29"/>
                          <a:stretch>
                            <a:fillRect/>
                          </a:stretch>
                        </pic:blipFill>
                        <pic:spPr>
                          <a:xfrm>
                            <a:off x="0" y="0"/>
                            <a:ext cx="583184" cy="723528"/>
                          </a:xfrm>
                          <a:prstGeom prst="rect">
                            <a:avLst/>
                          </a:prstGeom>
                        </pic:spPr>
                      </pic:pic>
                    </a:graphicData>
                  </a:graphic>
                </wp:anchor>
              </w:drawing>
            </w:r>
            <w:r>
              <w:pict>
                <v:shape id="_x0000_s1361" o:spid="_x0000_s1361" o:spt="202" type="#_x0000_t202" style="position:absolute;left:0pt;margin-left:25.85pt;margin-top:75.15pt;height:22.5pt;width:56.4pt;mso-position-horizontal-relative:page;mso-position-vertical-relative:page;z-index:2519040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77"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7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89" w:hRule="atLeast"/>
                          </w:trPr>
                          <w:tc>
                            <w:tcPr>
                              <w:tcW w:w="1077" w:type="dxa"/>
                              <w:vAlign w:val="top"/>
                            </w:tcPr>
                            <w:p>
                              <w:pPr>
                                <w:pStyle w:val="6"/>
                                <w:spacing w:before="110" w:line="221" w:lineRule="auto"/>
                                <w:ind w:left="133"/>
                                <w:rPr>
                                  <w:sz w:val="16"/>
                                  <w:szCs w:val="16"/>
                                </w:rPr>
                              </w:pPr>
                              <w:r>
                                <w:rPr>
                                  <w:sz w:val="16"/>
                                  <w:szCs w:val="16"/>
                                </w:rPr>
                                <w:t>废水收集罐</w:t>
                              </w:r>
                            </w:p>
                          </w:tc>
                        </w:tr>
                      </w:tbl>
                      <w:p>
                        <w:pPr>
                          <w:rPr>
                            <w:rFonts w:ascii="Arial"/>
                            <w:sz w:val="21"/>
                          </w:rPr>
                        </w:pPr>
                      </w:p>
                    </w:txbxContent>
                  </v:textbox>
                </v:shape>
              </w:pict>
            </w:r>
            <w:r>
              <w:pict>
                <v:shape id="_x0000_s1362" o:spid="_x0000_s1362" o:spt="202" type="#_x0000_t202" style="position:absolute;left:0pt;margin-left:209.9pt;margin-top:75.15pt;height:22.5pt;width:47.6pt;mso-position-horizontal-relative:page;mso-position-vertical-relative:page;z-index:25189990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901"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0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89" w:hRule="atLeast"/>
                          </w:trPr>
                          <w:tc>
                            <w:tcPr>
                              <w:tcW w:w="901" w:type="dxa"/>
                              <w:vAlign w:val="top"/>
                            </w:tcPr>
                            <w:p>
                              <w:pPr>
                                <w:pStyle w:val="6"/>
                                <w:spacing w:before="110" w:line="221" w:lineRule="auto"/>
                                <w:ind w:left="212"/>
                                <w:rPr>
                                  <w:sz w:val="16"/>
                                  <w:szCs w:val="16"/>
                                </w:rPr>
                              </w:pPr>
                              <w:r>
                                <w:rPr>
                                  <w:spacing w:val="-1"/>
                                  <w:sz w:val="16"/>
                                  <w:szCs w:val="16"/>
                                </w:rPr>
                                <w:t>废水罐</w:t>
                              </w:r>
                            </w:p>
                          </w:tc>
                        </w:tr>
                      </w:tbl>
                      <w:p>
                        <w:pPr>
                          <w:rPr>
                            <w:rFonts w:ascii="Arial"/>
                            <w:sz w:val="21"/>
                          </w:rPr>
                        </w:pPr>
                      </w:p>
                    </w:txbxContent>
                  </v:textbox>
                </v:shape>
              </w:pict>
            </w:r>
            <w:r>
              <w:pict>
                <v:group id="_x0000_s1363" o:spid="_x0000_s1363" o:spt="203" style="position:absolute;left:0pt;margin-left:178.55pt;margin-top:84.3pt;height:4.25pt;width:32.65pt;mso-position-horizontal-relative:page;mso-position-vertical-relative:page;z-index:251900928;mso-width-relative:page;mso-height-relative:page;" coordsize="653,85">
                  <o:lock v:ext="edit"/>
                  <v:shape id="_x0000_s1364" o:spid="_x0000_s1364" style="position:absolute;left:0;top:40;height:4;width:580;" filled="f" stroked="t" coordsize="580,4" path="m1,1l579,1e">
                    <v:fill on="f" focussize="0,0"/>
                    <v:stroke weight="0.18pt" color="#000000" miterlimit="10" endcap="round"/>
                    <v:imagedata o:title=""/>
                    <o:lock v:ext="edit"/>
                  </v:shape>
                  <v:shape id="_x0000_s1365" o:spid="_x0000_s1365" style="position:absolute;left:568;top:0;height:85;width:85;" fillcolor="#000000" filled="t" stroked="f" coordsize="85,85" path="m0,0l84,42,0,84,0,0xe">
                    <v:fill on="t" focussize="0,0"/>
                    <v:stroke on="f"/>
                    <v:imagedata o:title=""/>
                    <o:lock v:ext="edit"/>
                  </v:shape>
                </v:group>
              </w:pict>
            </w:r>
            <w:r>
              <w:pict>
                <v:group id="_x0000_s1366" o:spid="_x0000_s1366" o:spt="203" style="position:absolute;left:0pt;margin-left:256.1pt;margin-top:84.3pt;height:4.25pt;width:32.65pt;mso-position-horizontal-relative:page;mso-position-vertical-relative:page;z-index:251901952;mso-width-relative:page;mso-height-relative:page;" coordsize="653,85">
                  <o:lock v:ext="edit"/>
                  <v:shape id="_x0000_s1367" o:spid="_x0000_s1367" style="position:absolute;left:0;top:40;height:4;width:580;" filled="f" stroked="t" coordsize="580,4" path="m1,1l579,1e">
                    <v:fill on="f" focussize="0,0"/>
                    <v:stroke weight="0.18pt" color="#000000" miterlimit="10" endcap="round"/>
                    <v:imagedata o:title=""/>
                    <o:lock v:ext="edit"/>
                  </v:shape>
                  <v:shape id="_x0000_s1368" o:spid="_x0000_s1368" style="position:absolute;left:568;top:0;height:85;width:85;" fillcolor="#000000" filled="t" stroked="f" coordsize="85,85" path="m0,0l84,42,0,84,0,0xe">
                    <v:fill on="t" focussize="0,0"/>
                    <v:stroke on="f"/>
                    <v:imagedata o:title=""/>
                    <o:lock v:ext="edit"/>
                  </v:shape>
                </v:group>
              </w:pict>
            </w:r>
            <w:r>
              <w:pict>
                <v:group id="_x0000_s1369" o:spid="_x0000_s1369" o:spt="203" style="position:absolute;left:0pt;margin-left:1.6pt;margin-top:84.3pt;height:4.25pt;width:111.95pt;mso-position-horizontal-relative:page;mso-position-vertical-relative:page;z-index:251906048;mso-width-relative:page;mso-height-relative:page;" coordsize="2238,85">
                  <o:lock v:ext="edit"/>
                  <v:shape id="_x0000_s1370" o:spid="_x0000_s1370" style="position:absolute;left:0;top:40;height:4;width:439;" filled="f" stroked="t" coordsize="439,4" path="m1,1l436,1e">
                    <v:fill on="f" focussize="0,0"/>
                    <v:stroke weight="0.18pt" color="#000000" miterlimit="10" endcap="round"/>
                    <v:imagedata o:title=""/>
                    <o:lock v:ext="edit"/>
                  </v:shape>
                  <v:shape id="_x0000_s1371" o:spid="_x0000_s1371" style="position:absolute;left:426;top:0;height:85;width:85;" fillcolor="#000000" filled="t" stroked="f" coordsize="85,85" path="m0,0l84,42,0,84,0,0xe">
                    <v:fill on="t" focussize="0,0"/>
                    <v:stroke on="f"/>
                    <v:imagedata o:title=""/>
                    <o:lock v:ext="edit"/>
                  </v:shape>
                  <v:shape id="_x0000_s1372" o:spid="_x0000_s1372" style="position:absolute;left:1585;top:40;height:4;width:580;" filled="f" stroked="t" coordsize="580,4" path="m1,1l579,1e">
                    <v:fill on="f" focussize="0,0"/>
                    <v:stroke weight="0.18pt" color="#000000" miterlimit="10" endcap="round"/>
                    <v:imagedata o:title=""/>
                    <o:lock v:ext="edit"/>
                  </v:shape>
                  <v:shape id="_x0000_s1373" o:spid="_x0000_s1373" style="position:absolute;left:2153;top:0;height:85;width:85;" fillcolor="#000000" filled="t" stroked="f" coordsize="85,85" path="m0,0l84,42,0,84,0,0xe">
                    <v:fill on="t" focussize="0,0"/>
                    <v:stroke on="f"/>
                    <v:imagedata o:title=""/>
                    <o:lock v:ext="edit"/>
                  </v:shape>
                </v:group>
              </w:pict>
            </w:r>
            <w:r>
              <w:drawing>
                <wp:anchor distT="0" distB="0" distL="0" distR="0" simplePos="0" relativeHeight="251894784" behindDoc="0" locked="0" layoutInCell="1" allowOverlap="1">
                  <wp:simplePos x="0" y="0"/>
                  <wp:positionH relativeFrom="rightMargin">
                    <wp:posOffset>-1839595</wp:posOffset>
                  </wp:positionH>
                  <wp:positionV relativeFrom="topMargin">
                    <wp:posOffset>1222375</wp:posOffset>
                  </wp:positionV>
                  <wp:extent cx="53975" cy="34544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30"/>
                          <a:stretch>
                            <a:fillRect/>
                          </a:stretch>
                        </pic:blipFill>
                        <pic:spPr>
                          <a:xfrm>
                            <a:off x="0" y="0"/>
                            <a:ext cx="53678" cy="345733"/>
                          </a:xfrm>
                          <a:prstGeom prst="rect">
                            <a:avLst/>
                          </a:prstGeom>
                        </pic:spPr>
                      </pic:pic>
                    </a:graphicData>
                  </a:graphic>
                </wp:anchor>
              </w:drawing>
            </w:r>
            <w:r>
              <w:drawing>
                <wp:anchor distT="0" distB="0" distL="0" distR="0" simplePos="0" relativeHeight="251905024" behindDoc="0" locked="0" layoutInCell="1" allowOverlap="1">
                  <wp:simplePos x="0" y="0"/>
                  <wp:positionH relativeFrom="rightMargin">
                    <wp:posOffset>-3079750</wp:posOffset>
                  </wp:positionH>
                  <wp:positionV relativeFrom="topMargin">
                    <wp:posOffset>890270</wp:posOffset>
                  </wp:positionV>
                  <wp:extent cx="53975" cy="8064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31"/>
                          <a:stretch>
                            <a:fillRect/>
                          </a:stretch>
                        </pic:blipFill>
                        <pic:spPr>
                          <a:xfrm>
                            <a:off x="0" y="0"/>
                            <a:ext cx="53678" cy="80518"/>
                          </a:xfrm>
                          <a:prstGeom prst="rect">
                            <a:avLst/>
                          </a:prstGeom>
                        </pic:spPr>
                      </pic:pic>
                    </a:graphicData>
                  </a:graphic>
                </wp:anchor>
              </w:drawing>
            </w:r>
          </w:p>
          <w:tbl>
            <w:tblPr>
              <w:tblStyle w:val="5"/>
              <w:tblW w:w="1077" w:type="dxa"/>
              <w:tblInd w:w="376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7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5" w:hRule="atLeast"/>
              </w:trPr>
              <w:tc>
                <w:tcPr>
                  <w:tcW w:w="1077" w:type="dxa"/>
                  <w:vAlign w:val="top"/>
                </w:tcPr>
                <w:p>
                  <w:pPr>
                    <w:pStyle w:val="6"/>
                    <w:spacing w:before="27" w:line="221" w:lineRule="auto"/>
                    <w:ind w:left="63"/>
                    <w:rPr>
                      <w:sz w:val="16"/>
                      <w:szCs w:val="16"/>
                    </w:rPr>
                  </w:pPr>
                  <w:r>
                    <w:rPr>
                      <w:spacing w:val="-1"/>
                      <w:sz w:val="16"/>
                      <w:szCs w:val="16"/>
                    </w:rPr>
                    <w:t>高架水罐（罐</w:t>
                  </w:r>
                </w:p>
                <w:p>
                  <w:pPr>
                    <w:pStyle w:val="6"/>
                    <w:spacing w:before="16" w:line="221" w:lineRule="auto"/>
                    <w:ind w:left="158"/>
                    <w:rPr>
                      <w:sz w:val="16"/>
                      <w:szCs w:val="16"/>
                    </w:rPr>
                  </w:pPr>
                  <w:r>
                    <w:rPr>
                      <w:spacing w:val="-5"/>
                      <w:sz w:val="16"/>
                      <w:szCs w:val="16"/>
                    </w:rPr>
                    <w:t>内为清水）</w:t>
                  </w:r>
                </w:p>
              </w:tc>
            </w:tr>
          </w:tbl>
          <w:p>
            <w:pPr>
              <w:pStyle w:val="6"/>
              <w:spacing w:before="68" w:line="221" w:lineRule="auto"/>
              <w:ind w:left="654"/>
              <w:rPr>
                <w:sz w:val="16"/>
                <w:szCs w:val="16"/>
              </w:rPr>
            </w:pPr>
            <w:r>
              <w:rPr>
                <w:spacing w:val="-1"/>
                <w:sz w:val="16"/>
                <w:szCs w:val="16"/>
              </w:rPr>
              <w:t>废水</w:t>
            </w:r>
          </w:p>
          <w:p>
            <w:pPr>
              <w:pStyle w:val="6"/>
              <w:spacing w:before="163" w:line="220" w:lineRule="auto"/>
              <w:ind w:left="2344"/>
              <w:rPr>
                <w:sz w:val="16"/>
                <w:szCs w:val="16"/>
              </w:rPr>
            </w:pPr>
            <w:r>
              <w:pict>
                <v:shape id="_x0000_s1374" o:spid="_x0000_s1374" o:spt="202" type="#_x0000_t202" style="position:absolute;left:0pt;margin-left:146.95pt;margin-top:12.6pt;height:12.6pt;width:86.85pt;z-index:251898880;mso-width-relative:page;mso-height-relative:page;" filled="f" stroked="f" coordsize="21600,21600">
                  <v:path/>
                  <v:fill on="f" focussize="0,0"/>
                  <v:stroke on="f"/>
                  <v:imagedata o:title=""/>
                  <o:lock v:ext="edit" aspectratio="f"/>
                  <v:textbox inset="0mm,0mm,0mm,0mm">
                    <w:txbxContent>
                      <w:p>
                        <w:pPr>
                          <w:pStyle w:val="6"/>
                          <w:tabs>
                            <w:tab w:val="left" w:pos="522"/>
                          </w:tabs>
                          <w:spacing w:before="20" w:line="221" w:lineRule="auto"/>
                          <w:ind w:left="20"/>
                          <w:rPr>
                            <w:sz w:val="16"/>
                            <w:szCs w:val="16"/>
                          </w:rPr>
                        </w:pPr>
                        <w:r>
                          <w:rPr>
                            <w:sz w:val="16"/>
                            <w:szCs w:val="16"/>
                            <w:u w:val="single" w:color="auto"/>
                          </w:rPr>
                          <w:tab/>
                        </w:r>
                        <w:r>
                          <w:rPr>
                            <w:spacing w:val="-7"/>
                            <w:sz w:val="16"/>
                            <w:szCs w:val="16"/>
                            <w:u w:val="single" w:color="auto"/>
                          </w:rPr>
                          <w:t>回用水</w:t>
                        </w:r>
                        <w:r>
                          <w:rPr>
                            <w:sz w:val="16"/>
                            <w:szCs w:val="16"/>
                            <w:u w:val="single" w:color="auto"/>
                          </w:rPr>
                          <w:t xml:space="preserve">          </w:t>
                        </w:r>
                      </w:p>
                    </w:txbxContent>
                  </v:textbox>
                </v:shape>
              </w:pict>
            </w:r>
            <w:r>
              <w:rPr>
                <w:spacing w:val="-2"/>
                <w:sz w:val="16"/>
                <w:szCs w:val="16"/>
              </w:rPr>
              <w:t>药剂</w:t>
            </w:r>
          </w:p>
          <w:p>
            <w:pPr>
              <w:spacing w:line="256" w:lineRule="auto"/>
              <w:rPr>
                <w:rFonts w:ascii="Arial"/>
                <w:sz w:val="21"/>
              </w:rPr>
            </w:pPr>
          </w:p>
          <w:p>
            <w:pPr>
              <w:spacing w:before="1" w:line="124" w:lineRule="exact"/>
              <w:ind w:firstLine="2468"/>
            </w:pPr>
            <w:r>
              <w:rPr>
                <w:position w:val="-2"/>
              </w:rPr>
              <w:drawing>
                <wp:inline distT="0" distB="0" distL="0" distR="0">
                  <wp:extent cx="53340" cy="781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32"/>
                          <a:stretch>
                            <a:fillRect/>
                          </a:stretch>
                        </pic:blipFill>
                        <pic:spPr>
                          <a:xfrm>
                            <a:off x="0" y="0"/>
                            <a:ext cx="53678" cy="78695"/>
                          </a:xfrm>
                          <a:prstGeom prst="rect">
                            <a:avLst/>
                          </a:prstGeom>
                        </pic:spPr>
                      </pic:pic>
                    </a:graphicData>
                  </a:graphic>
                </wp:inline>
              </w:drawing>
            </w:r>
          </w:p>
          <w:tbl>
            <w:tblPr>
              <w:tblStyle w:val="5"/>
              <w:tblW w:w="1303" w:type="dxa"/>
              <w:tblInd w:w="226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30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386" w:hRule="atLeast"/>
              </w:trPr>
              <w:tc>
                <w:tcPr>
                  <w:tcW w:w="1303" w:type="dxa"/>
                  <w:vAlign w:val="top"/>
                </w:tcPr>
                <w:p>
                  <w:pPr>
                    <w:pStyle w:val="6"/>
                    <w:spacing w:before="107" w:line="221" w:lineRule="auto"/>
                    <w:ind w:left="249"/>
                    <w:rPr>
                      <w:sz w:val="16"/>
                      <w:szCs w:val="16"/>
                    </w:rPr>
                  </w:pPr>
                  <w:r>
                    <w:rPr>
                      <w:spacing w:val="-1"/>
                      <w:sz w:val="16"/>
                      <w:szCs w:val="16"/>
                    </w:rPr>
                    <w:t>废水处理罐</w:t>
                  </w:r>
                </w:p>
              </w:tc>
            </w:tr>
          </w:tbl>
          <w:p>
            <w:pPr>
              <w:pStyle w:val="6"/>
              <w:spacing w:before="132" w:line="223" w:lineRule="auto"/>
              <w:ind w:left="2634"/>
              <w:rPr>
                <w:sz w:val="16"/>
                <w:szCs w:val="16"/>
              </w:rPr>
            </w:pPr>
            <w:r>
              <w:rPr>
                <w:spacing w:val="-2"/>
                <w:sz w:val="16"/>
                <w:szCs w:val="16"/>
              </w:rPr>
              <w:t>污泥</w:t>
            </w:r>
          </w:p>
          <w:p>
            <w:pPr>
              <w:pStyle w:val="6"/>
              <w:spacing w:before="257" w:line="222" w:lineRule="auto"/>
              <w:ind w:left="2205"/>
              <w:rPr>
                <w:sz w:val="16"/>
                <w:szCs w:val="16"/>
              </w:rPr>
            </w:pPr>
            <w:r>
              <w:rPr>
                <w:spacing w:val="-1"/>
                <w:sz w:val="16"/>
                <w:szCs w:val="16"/>
              </w:rPr>
              <w:t>外运有资质单位处理</w:t>
            </w:r>
          </w:p>
        </w:tc>
        <w:tc>
          <w:tcPr>
            <w:tcW w:w="2372" w:type="dxa"/>
            <w:tcBorders>
              <w:right w:val="single" w:color="000000" w:sz="6"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2" w:line="224" w:lineRule="auto"/>
              <w:ind w:left="51"/>
              <w:rPr>
                <w:sz w:val="16"/>
                <w:szCs w:val="16"/>
              </w:rPr>
            </w:pPr>
            <w:r>
              <w:rPr>
                <w:spacing w:val="-2"/>
                <w:sz w:val="16"/>
                <w:szCs w:val="16"/>
              </w:rPr>
              <w:t>四川瑞利生物科技有限</w:t>
            </w:r>
          </w:p>
          <w:p>
            <w:pPr>
              <w:pStyle w:val="6"/>
              <w:spacing w:line="221" w:lineRule="auto"/>
              <w:ind w:left="121"/>
              <w:rPr>
                <w:sz w:val="16"/>
                <w:szCs w:val="16"/>
              </w:rPr>
            </w:pPr>
            <w:r>
              <w:rPr>
                <w:spacing w:val="-1"/>
                <w:sz w:val="16"/>
                <w:szCs w:val="16"/>
              </w:rPr>
              <w:t>公司气田废水处理站</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4" w:hRule="atLeast"/>
        </w:trPr>
        <w:tc>
          <w:tcPr>
            <w:tcW w:w="465"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9282" w:type="dxa"/>
            <w:gridSpan w:val="3"/>
            <w:tcBorders>
              <w:left w:val="single" w:color="000000" w:sz="2" w:space="0"/>
              <w:bottom w:val="single" w:color="000000" w:sz="6" w:space="0"/>
              <w:right w:val="single" w:color="000000" w:sz="6" w:space="0"/>
            </w:tcBorders>
            <w:vAlign w:val="top"/>
          </w:tcPr>
          <w:p>
            <w:pPr>
              <w:pStyle w:val="6"/>
              <w:spacing w:before="175" w:line="220" w:lineRule="auto"/>
              <w:ind w:left="2157"/>
              <w:rPr>
                <w:sz w:val="24"/>
                <w:szCs w:val="24"/>
              </w:rPr>
            </w:pPr>
            <w:r>
              <w:rPr>
                <w:spacing w:val="-1"/>
                <w:sz w:val="24"/>
                <w:szCs w:val="24"/>
                <w14:textOutline w14:w="4354" w14:cap="flat" w14:cmpd="sng">
                  <w14:solidFill>
                    <w14:srgbClr w14:val="000000"/>
                  </w14:solidFill>
                  <w14:prstDash w14:val="solid"/>
                  <w14:miter w14:val="10"/>
                </w14:textOutline>
              </w:rPr>
              <w:t>图</w:t>
            </w:r>
            <w:r>
              <w:rPr>
                <w:spacing w:val="-49"/>
                <w:sz w:val="24"/>
                <w:szCs w:val="24"/>
              </w:rPr>
              <w:t xml:space="preserve"> </w:t>
            </w:r>
            <w:r>
              <w:rPr>
                <w:rFonts w:ascii="Times New Roman" w:hAnsi="Times New Roman" w:eastAsia="Times New Roman" w:cs="Times New Roman"/>
                <w:b/>
                <w:bCs/>
                <w:spacing w:val="-1"/>
                <w:sz w:val="24"/>
                <w:szCs w:val="24"/>
              </w:rPr>
              <w:t xml:space="preserve">5.2-1  </w:t>
            </w:r>
            <w:r>
              <w:rPr>
                <w:spacing w:val="-1"/>
                <w:sz w:val="24"/>
                <w:szCs w:val="24"/>
                <w14:textOutline w14:w="4354" w14:cap="flat" w14:cmpd="sng">
                  <w14:solidFill>
                    <w14:srgbClr w14:val="000000"/>
                  </w14:solidFill>
                  <w14:prstDash w14:val="solid"/>
                  <w14:miter w14:val="10"/>
                </w14:textOutline>
              </w:rPr>
              <w:t>钻井产生的废水井场预处理流程</w:t>
            </w:r>
            <w:r>
              <w:rPr>
                <w:spacing w:val="-2"/>
                <w:sz w:val="24"/>
                <w:szCs w:val="24"/>
                <w14:textOutline w14:w="4354" w14:cap="flat" w14:cmpd="sng">
                  <w14:solidFill>
                    <w14:srgbClr w14:val="000000"/>
                  </w14:solidFill>
                  <w14:prstDash w14:val="solid"/>
                  <w14:miter w14:val="10"/>
                </w14:textOutline>
              </w:rPr>
              <w:t>示意图</w:t>
            </w:r>
          </w:p>
        </w:tc>
      </w:tr>
    </w:tbl>
    <w:p>
      <w:pPr>
        <w:pStyle w:val="2"/>
        <w:rPr>
          <w:sz w:val="21"/>
        </w:rPr>
      </w:pPr>
    </w:p>
    <w:p>
      <w:pPr>
        <w:rPr>
          <w:sz w:val="21"/>
          <w:szCs w:val="21"/>
        </w:rPr>
        <w:sectPr>
          <w:footerReference r:id="rId127"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06" w:right="16" w:firstLine="489"/>
              <w:rPr>
                <w:sz w:val="24"/>
                <w:szCs w:val="24"/>
              </w:rPr>
            </w:pPr>
            <w:r>
              <w:rPr>
                <w:spacing w:val="-7"/>
                <w:sz w:val="24"/>
                <w:szCs w:val="24"/>
              </w:rPr>
              <w:t>絮凝沉淀工艺：</w:t>
            </w:r>
            <w:r>
              <w:rPr>
                <w:spacing w:val="57"/>
                <w:sz w:val="24"/>
                <w:szCs w:val="24"/>
              </w:rPr>
              <w:t xml:space="preserve"> </w:t>
            </w:r>
            <w:r>
              <w:rPr>
                <w:spacing w:val="-7"/>
                <w:sz w:val="24"/>
                <w:szCs w:val="24"/>
              </w:rPr>
              <w:t xml:space="preserve">加入的药剂包括无机盐混凝剂、助剂、高效脱色剂、高分子有机絮 </w:t>
            </w:r>
            <w:r>
              <w:rPr>
                <w:spacing w:val="-6"/>
                <w:sz w:val="24"/>
                <w:szCs w:val="24"/>
              </w:rPr>
              <w:t>凝剂等，对钻井废水中的主要污染物</w:t>
            </w:r>
            <w:r>
              <w:rPr>
                <w:spacing w:val="-44"/>
                <w:sz w:val="24"/>
                <w:szCs w:val="24"/>
              </w:rPr>
              <w:t xml:space="preserve"> </w:t>
            </w:r>
            <w:r>
              <w:rPr>
                <w:rFonts w:ascii="Times New Roman" w:hAnsi="Times New Roman" w:eastAsia="Times New Roman" w:cs="Times New Roman"/>
                <w:spacing w:val="-6"/>
                <w:sz w:val="24"/>
                <w:szCs w:val="24"/>
              </w:rPr>
              <w:t>SS</w:t>
            </w:r>
            <w:r>
              <w:rPr>
                <w:rFonts w:ascii="Times New Roman" w:hAnsi="Times New Roman" w:eastAsia="Times New Roman" w:cs="Times New Roman"/>
                <w:spacing w:val="-33"/>
                <w:sz w:val="24"/>
                <w:szCs w:val="24"/>
              </w:rPr>
              <w:t xml:space="preserve"> </w:t>
            </w:r>
            <w:r>
              <w:rPr>
                <w:spacing w:val="-6"/>
                <w:sz w:val="24"/>
                <w:szCs w:val="24"/>
              </w:rPr>
              <w:t>、</w:t>
            </w:r>
            <w:r>
              <w:rPr>
                <w:rFonts w:ascii="Times New Roman" w:hAnsi="Times New Roman" w:eastAsia="Times New Roman" w:cs="Times New Roman"/>
                <w:spacing w:val="-6"/>
                <w:sz w:val="24"/>
                <w:szCs w:val="24"/>
              </w:rPr>
              <w:t>COD</w:t>
            </w:r>
            <w:r>
              <w:rPr>
                <w:spacing w:val="-6"/>
                <w:sz w:val="24"/>
                <w:szCs w:val="24"/>
              </w:rPr>
              <w:t>、石油类等进行混凝沉降， 结成絮</w:t>
            </w:r>
            <w:r>
              <w:rPr>
                <w:spacing w:val="-7"/>
                <w:sz w:val="24"/>
                <w:szCs w:val="24"/>
              </w:rPr>
              <w:t>凝体、</w:t>
            </w:r>
            <w:r>
              <w:rPr>
                <w:sz w:val="24"/>
                <w:szCs w:val="24"/>
              </w:rPr>
              <w:t xml:space="preserve"> </w:t>
            </w:r>
            <w:r>
              <w:rPr>
                <w:spacing w:val="-6"/>
                <w:sz w:val="24"/>
                <w:szCs w:val="24"/>
              </w:rPr>
              <w:t>矾花。待絮凝体达到一定体积后即在重力作用下脱离水相沉淀，</w:t>
            </w:r>
            <w:r>
              <w:rPr>
                <w:spacing w:val="52"/>
                <w:sz w:val="24"/>
                <w:szCs w:val="24"/>
              </w:rPr>
              <w:t xml:space="preserve"> </w:t>
            </w:r>
            <w:r>
              <w:rPr>
                <w:spacing w:val="-6"/>
                <w:sz w:val="24"/>
                <w:szCs w:val="24"/>
              </w:rPr>
              <w:t>进而从污水中析出凝聚</w:t>
            </w:r>
          </w:p>
          <w:p>
            <w:pPr>
              <w:pStyle w:val="6"/>
              <w:spacing w:before="1" w:line="218" w:lineRule="auto"/>
              <w:ind w:left="108"/>
              <w:rPr>
                <w:sz w:val="24"/>
                <w:szCs w:val="24"/>
              </w:rPr>
            </w:pPr>
            <w:r>
              <w:rPr>
                <w:spacing w:val="-3"/>
                <w:sz w:val="24"/>
                <w:szCs w:val="24"/>
              </w:rPr>
              <w:t>状浓缩性污泥，实现泥水分离。</w:t>
            </w:r>
          </w:p>
          <w:p>
            <w:pPr>
              <w:pStyle w:val="6"/>
              <w:spacing w:before="195" w:line="480" w:lineRule="exact"/>
              <w:ind w:left="588"/>
              <w:rPr>
                <w:sz w:val="24"/>
                <w:szCs w:val="24"/>
              </w:rPr>
            </w:pPr>
            <w:r>
              <w:rPr>
                <w:spacing w:val="-5"/>
                <w:position w:val="18"/>
                <w:sz w:val="24"/>
                <w:szCs w:val="24"/>
              </w:rPr>
              <w:t>类比同类型废水预处理工艺， 预处理后能够满足四川瑞利生物科技有限公司气田废</w:t>
            </w:r>
          </w:p>
          <w:p>
            <w:pPr>
              <w:pStyle w:val="6"/>
              <w:spacing w:line="219" w:lineRule="auto"/>
              <w:ind w:left="111"/>
              <w:rPr>
                <w:rFonts w:ascii="Times New Roman" w:hAnsi="Times New Roman" w:eastAsia="Times New Roman" w:cs="Times New Roman"/>
                <w:sz w:val="24"/>
                <w:szCs w:val="24"/>
              </w:rPr>
            </w:pPr>
            <w:r>
              <w:rPr>
                <w:spacing w:val="-1"/>
                <w:sz w:val="24"/>
                <w:szCs w:val="24"/>
              </w:rPr>
              <w:t>水处理站的进水水质要求，详见下文表</w:t>
            </w:r>
            <w:r>
              <w:rPr>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p>
          <w:p>
            <w:pPr>
              <w:pStyle w:val="6"/>
              <w:spacing w:before="194" w:line="220" w:lineRule="auto"/>
              <w:ind w:left="583"/>
              <w:rPr>
                <w:sz w:val="24"/>
                <w:szCs w:val="24"/>
              </w:rPr>
            </w:pPr>
            <w:r>
              <w:rPr>
                <w:rFonts w:ascii="Times New Roman" w:hAnsi="Times New Roman" w:eastAsia="Times New Roman" w:cs="Times New Roman"/>
                <w:spacing w:val="-1"/>
                <w:sz w:val="24"/>
                <w:szCs w:val="24"/>
              </w:rPr>
              <w:t>B.</w:t>
            </w:r>
            <w:r>
              <w:rPr>
                <w:spacing w:val="-1"/>
                <w:sz w:val="24"/>
                <w:szCs w:val="24"/>
              </w:rPr>
              <w:t>预处理能力</w:t>
            </w:r>
          </w:p>
          <w:p>
            <w:pPr>
              <w:pStyle w:val="6"/>
              <w:spacing w:before="194" w:line="481" w:lineRule="exact"/>
              <w:ind w:left="589"/>
              <w:rPr>
                <w:sz w:val="24"/>
                <w:szCs w:val="24"/>
              </w:rPr>
            </w:pPr>
            <w:r>
              <w:rPr>
                <w:spacing w:val="-3"/>
                <w:position w:val="17"/>
                <w:sz w:val="24"/>
                <w:szCs w:val="24"/>
              </w:rPr>
              <w:t>凤探</w:t>
            </w:r>
            <w:r>
              <w:rPr>
                <w:spacing w:val="-32"/>
                <w:position w:val="17"/>
                <w:sz w:val="24"/>
                <w:szCs w:val="24"/>
              </w:rPr>
              <w:t xml:space="preserve"> </w:t>
            </w:r>
            <w:r>
              <w:rPr>
                <w:rFonts w:ascii="Times New Roman" w:hAnsi="Times New Roman" w:eastAsia="Times New Roman" w:cs="Times New Roman"/>
                <w:spacing w:val="-3"/>
                <w:position w:val="17"/>
                <w:sz w:val="24"/>
                <w:szCs w:val="24"/>
              </w:rPr>
              <w:t xml:space="preserve">1 </w:t>
            </w:r>
            <w:r>
              <w:rPr>
                <w:spacing w:val="-3"/>
                <w:position w:val="17"/>
                <w:sz w:val="24"/>
                <w:szCs w:val="24"/>
              </w:rPr>
              <w:t>井井场作业废水预处理设施设计处理能力为</w:t>
            </w:r>
            <w:r>
              <w:rPr>
                <w:spacing w:val="-55"/>
                <w:position w:val="17"/>
                <w:sz w:val="24"/>
                <w:szCs w:val="24"/>
              </w:rPr>
              <w:t xml:space="preserve"> </w:t>
            </w:r>
            <w:r>
              <w:rPr>
                <w:rFonts w:ascii="Times New Roman" w:hAnsi="Times New Roman" w:eastAsia="Times New Roman" w:cs="Times New Roman"/>
                <w:spacing w:val="-3"/>
                <w:position w:val="17"/>
                <w:sz w:val="24"/>
                <w:szCs w:val="24"/>
              </w:rPr>
              <w:t>4</w:t>
            </w:r>
            <w:r>
              <w:rPr>
                <w:rFonts w:ascii="Times New Roman" w:hAnsi="Times New Roman" w:eastAsia="Times New Roman" w:cs="Times New Roman"/>
                <w:spacing w:val="-4"/>
                <w:position w:val="17"/>
                <w:sz w:val="24"/>
                <w:szCs w:val="24"/>
              </w:rPr>
              <w:t>0m</w:t>
            </w:r>
            <w:r>
              <w:rPr>
                <w:rFonts w:ascii="Times New Roman" w:hAnsi="Times New Roman" w:eastAsia="Times New Roman" w:cs="Times New Roman"/>
                <w:spacing w:val="-4"/>
                <w:position w:val="26"/>
                <w:sz w:val="16"/>
                <w:szCs w:val="16"/>
              </w:rPr>
              <w:t>3</w:t>
            </w:r>
            <w:r>
              <w:rPr>
                <w:rFonts w:ascii="Times New Roman" w:hAnsi="Times New Roman" w:eastAsia="Times New Roman" w:cs="Times New Roman"/>
                <w:spacing w:val="-4"/>
                <w:position w:val="17"/>
                <w:sz w:val="24"/>
                <w:szCs w:val="24"/>
              </w:rPr>
              <w:t>/d</w:t>
            </w:r>
            <w:r>
              <w:rPr>
                <w:spacing w:val="-4"/>
                <w:position w:val="17"/>
                <w:sz w:val="24"/>
                <w:szCs w:val="24"/>
              </w:rPr>
              <w:t>，完钻后剩余水基泥浆上</w:t>
            </w:r>
          </w:p>
          <w:p>
            <w:pPr>
              <w:pStyle w:val="6"/>
              <w:spacing w:line="219" w:lineRule="auto"/>
              <w:ind w:left="108"/>
              <w:rPr>
                <w:sz w:val="24"/>
                <w:szCs w:val="24"/>
              </w:rPr>
            </w:pPr>
            <w:r>
              <w:rPr>
                <w:spacing w:val="-2"/>
                <w:sz w:val="24"/>
                <w:szCs w:val="24"/>
              </w:rPr>
              <w:t>清液作为钻井废水处理，完钻后集中预处理，预计</w:t>
            </w:r>
            <w:r>
              <w:rPr>
                <w:spacing w:val="-27"/>
                <w:sz w:val="24"/>
                <w:szCs w:val="24"/>
              </w:rPr>
              <w:t xml:space="preserve"> </w:t>
            </w:r>
            <w:r>
              <w:rPr>
                <w:rFonts w:ascii="Times New Roman" w:hAnsi="Times New Roman" w:eastAsia="Times New Roman" w:cs="Times New Roman"/>
                <w:spacing w:val="-2"/>
                <w:sz w:val="24"/>
                <w:szCs w:val="24"/>
              </w:rPr>
              <w:t xml:space="preserve">10d </w:t>
            </w:r>
            <w:r>
              <w:rPr>
                <w:spacing w:val="-2"/>
                <w:sz w:val="24"/>
                <w:szCs w:val="24"/>
              </w:rPr>
              <w:t>完成钻井废水的预处理。</w:t>
            </w:r>
          </w:p>
          <w:p>
            <w:pPr>
              <w:pStyle w:val="6"/>
              <w:spacing w:before="195" w:line="480" w:lineRule="exact"/>
              <w:ind w:left="591"/>
              <w:rPr>
                <w:sz w:val="24"/>
                <w:szCs w:val="24"/>
              </w:rPr>
            </w:pPr>
            <w:r>
              <w:rPr>
                <w:spacing w:val="-10"/>
                <w:position w:val="18"/>
                <w:sz w:val="24"/>
                <w:szCs w:val="24"/>
              </w:rPr>
              <w:t>从以上分析可知，</w:t>
            </w:r>
            <w:r>
              <w:rPr>
                <w:spacing w:val="53"/>
                <w:position w:val="18"/>
                <w:sz w:val="24"/>
                <w:szCs w:val="24"/>
              </w:rPr>
              <w:t xml:space="preserve"> </w:t>
            </w:r>
            <w:r>
              <w:rPr>
                <w:spacing w:val="-10"/>
                <w:position w:val="18"/>
                <w:sz w:val="24"/>
                <w:szCs w:val="24"/>
              </w:rPr>
              <w:t>凤探</w:t>
            </w:r>
            <w:r>
              <w:rPr>
                <w:spacing w:val="-32"/>
                <w:position w:val="18"/>
                <w:sz w:val="24"/>
                <w:szCs w:val="24"/>
              </w:rPr>
              <w:t xml:space="preserve"> </w:t>
            </w:r>
            <w:r>
              <w:rPr>
                <w:rFonts w:ascii="Times New Roman" w:hAnsi="Times New Roman" w:eastAsia="Times New Roman" w:cs="Times New Roman"/>
                <w:spacing w:val="-10"/>
                <w:position w:val="18"/>
                <w:sz w:val="24"/>
                <w:szCs w:val="24"/>
              </w:rPr>
              <w:t xml:space="preserve">1 </w:t>
            </w:r>
            <w:r>
              <w:rPr>
                <w:spacing w:val="-10"/>
                <w:position w:val="18"/>
                <w:sz w:val="24"/>
                <w:szCs w:val="24"/>
              </w:rPr>
              <w:t>井井场作业废水预处理设施工艺成熟， 预处理能力满足场</w:t>
            </w:r>
          </w:p>
          <w:p>
            <w:pPr>
              <w:pStyle w:val="6"/>
              <w:spacing w:line="219" w:lineRule="auto"/>
              <w:ind w:left="137"/>
              <w:rPr>
                <w:sz w:val="24"/>
                <w:szCs w:val="24"/>
              </w:rPr>
            </w:pPr>
            <w:r>
              <w:rPr>
                <w:spacing w:val="-4"/>
                <w:sz w:val="24"/>
                <w:szCs w:val="24"/>
              </w:rPr>
              <w:t>内污水处理需要，预处理方案可行。</w:t>
            </w:r>
          </w:p>
          <w:p>
            <w:pPr>
              <w:pStyle w:val="6"/>
              <w:spacing w:before="195" w:line="217" w:lineRule="auto"/>
              <w:ind w:left="588"/>
              <w:rPr>
                <w:sz w:val="24"/>
                <w:szCs w:val="24"/>
              </w:rPr>
            </w:pPr>
            <w:r>
              <w:rPr>
                <w:spacing w:val="1"/>
                <w:sz w:val="24"/>
                <w:szCs w:val="24"/>
                <w14:textOutline w14:w="4354" w14:cap="flat" w14:cmpd="sng">
                  <w14:solidFill>
                    <w14:srgbClr w14:val="000000"/>
                  </w14:solidFill>
                  <w14:prstDash w14:val="solid"/>
                  <w14:miter w14:val="10"/>
                </w14:textOutline>
              </w:rPr>
              <w:t>③钻井作业废水依托四川瑞利生物科技有限</w:t>
            </w:r>
            <w:r>
              <w:rPr>
                <w:sz w:val="24"/>
                <w:szCs w:val="24"/>
                <w14:textOutline w14:w="4354" w14:cap="flat" w14:cmpd="sng">
                  <w14:solidFill>
                    <w14:srgbClr w14:val="000000"/>
                  </w14:solidFill>
                  <w14:prstDash w14:val="solid"/>
                  <w14:miter w14:val="10"/>
                </w14:textOutline>
              </w:rPr>
              <w:t>公司气田废水处理站可行性分析</w:t>
            </w:r>
          </w:p>
          <w:p>
            <w:pPr>
              <w:pStyle w:val="6"/>
              <w:spacing w:before="198" w:line="219" w:lineRule="auto"/>
              <w:ind w:left="580"/>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28"/>
                <w:sz w:val="24"/>
                <w:szCs w:val="24"/>
              </w:rPr>
              <w:t xml:space="preserve"> </w:t>
            </w:r>
            <w:r>
              <w:rPr>
                <w:spacing w:val="-1"/>
                <w:sz w:val="24"/>
                <w:szCs w:val="24"/>
              </w:rPr>
              <w:t>四川瑞利生物科技有限公司气田废水处理站建设及环</w:t>
            </w:r>
            <w:r>
              <w:rPr>
                <w:spacing w:val="-2"/>
                <w:sz w:val="24"/>
                <w:szCs w:val="24"/>
              </w:rPr>
              <w:t>保手续概况</w:t>
            </w:r>
          </w:p>
          <w:p>
            <w:pPr>
              <w:pStyle w:val="6"/>
              <w:spacing w:before="197" w:line="369" w:lineRule="auto"/>
              <w:ind w:left="107" w:right="68" w:firstLine="503"/>
              <w:rPr>
                <w:sz w:val="24"/>
                <w:szCs w:val="24"/>
              </w:rPr>
            </w:pPr>
            <w:r>
              <w:rPr>
                <w:spacing w:val="-1"/>
                <w:sz w:val="24"/>
                <w:szCs w:val="24"/>
              </w:rPr>
              <w:t>四川瑞利生物科技有限公司气田废水处理站（以下简</w:t>
            </w:r>
            <w:r>
              <w:rPr>
                <w:spacing w:val="-2"/>
                <w:sz w:val="24"/>
                <w:szCs w:val="24"/>
              </w:rPr>
              <w:t>称“瑞利气田废水处理站”）</w:t>
            </w:r>
            <w:r>
              <w:rPr>
                <w:sz w:val="24"/>
                <w:szCs w:val="24"/>
              </w:rPr>
              <w:t xml:space="preserve"> </w:t>
            </w:r>
            <w:r>
              <w:rPr>
                <w:spacing w:val="-5"/>
                <w:sz w:val="24"/>
                <w:szCs w:val="24"/>
              </w:rPr>
              <w:t>是由四川瑞利生物科技有限公司投资建设的， 该废水处理站位于泸州市龙马潭区罗汉街</w:t>
            </w:r>
            <w:r>
              <w:rPr>
                <w:spacing w:val="15"/>
                <w:sz w:val="24"/>
                <w:szCs w:val="24"/>
              </w:rPr>
              <w:t xml:space="preserve"> </w:t>
            </w:r>
            <w:r>
              <w:rPr>
                <w:spacing w:val="-10"/>
                <w:sz w:val="24"/>
                <w:szCs w:val="24"/>
              </w:rPr>
              <w:t>道（泸州市城东污水处理厂东侧</w:t>
            </w:r>
            <w:r>
              <w:rPr>
                <w:spacing w:val="-11"/>
                <w:sz w:val="24"/>
                <w:szCs w:val="24"/>
              </w:rPr>
              <w:t>）</w:t>
            </w:r>
            <w:r>
              <w:rPr>
                <w:spacing w:val="34"/>
                <w:sz w:val="24"/>
                <w:szCs w:val="24"/>
              </w:rPr>
              <w:t xml:space="preserve"> </w:t>
            </w:r>
            <w:r>
              <w:rPr>
                <w:spacing w:val="-11"/>
                <w:sz w:val="24"/>
                <w:szCs w:val="24"/>
              </w:rPr>
              <w:t>，</w:t>
            </w:r>
            <w:r>
              <w:rPr>
                <w:spacing w:val="-10"/>
                <w:sz w:val="24"/>
                <w:szCs w:val="24"/>
              </w:rPr>
              <w:t>处理废水主要为天然气开采作业废水，</w:t>
            </w:r>
            <w:r>
              <w:rPr>
                <w:spacing w:val="51"/>
                <w:sz w:val="24"/>
                <w:szCs w:val="24"/>
              </w:rPr>
              <w:t xml:space="preserve"> </w:t>
            </w:r>
            <w:r>
              <w:rPr>
                <w:spacing w:val="-10"/>
                <w:sz w:val="24"/>
                <w:szCs w:val="24"/>
              </w:rPr>
              <w:t>包括钻井废</w:t>
            </w:r>
            <w:r>
              <w:rPr>
                <w:sz w:val="24"/>
                <w:szCs w:val="24"/>
              </w:rPr>
              <w:t xml:space="preserve"> </w:t>
            </w:r>
            <w:r>
              <w:rPr>
                <w:spacing w:val="-5"/>
                <w:sz w:val="24"/>
                <w:szCs w:val="24"/>
              </w:rPr>
              <w:t>水、压裂返排液和气田水，</w:t>
            </w:r>
            <w:r>
              <w:rPr>
                <w:spacing w:val="-40"/>
                <w:sz w:val="24"/>
                <w:szCs w:val="24"/>
              </w:rPr>
              <w:t xml:space="preserve"> </w:t>
            </w:r>
            <w:r>
              <w:rPr>
                <w:spacing w:val="-5"/>
                <w:sz w:val="24"/>
                <w:szCs w:val="24"/>
              </w:rPr>
              <w:t>处理规模</w:t>
            </w:r>
            <w:r>
              <w:rPr>
                <w:spacing w:val="-50"/>
                <w:sz w:val="24"/>
                <w:szCs w:val="24"/>
              </w:rPr>
              <w:t xml:space="preserve"> </w:t>
            </w:r>
            <w:r>
              <w:rPr>
                <w:rFonts w:ascii="Times New Roman" w:hAnsi="Times New Roman" w:eastAsia="Times New Roman" w:cs="Times New Roman"/>
                <w:spacing w:val="-5"/>
                <w:sz w:val="24"/>
                <w:szCs w:val="24"/>
              </w:rPr>
              <w:t>900m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5"/>
                <w:sz w:val="24"/>
                <w:szCs w:val="24"/>
              </w:rPr>
              <w:t>/d</w:t>
            </w:r>
            <w:r>
              <w:rPr>
                <w:spacing w:val="-5"/>
                <w:sz w:val="24"/>
                <w:szCs w:val="24"/>
              </w:rPr>
              <w:t>。该废水处理站于</w:t>
            </w:r>
            <w:r>
              <w:rPr>
                <w:spacing w:val="-55"/>
                <w:sz w:val="24"/>
                <w:szCs w:val="24"/>
              </w:rPr>
              <w:t xml:space="preserve"> </w:t>
            </w:r>
            <w:r>
              <w:rPr>
                <w:rFonts w:ascii="Times New Roman" w:hAnsi="Times New Roman" w:eastAsia="Times New Roman" w:cs="Times New Roman"/>
                <w:spacing w:val="-5"/>
                <w:sz w:val="24"/>
                <w:szCs w:val="24"/>
              </w:rPr>
              <w:t xml:space="preserve">2020 </w:t>
            </w:r>
            <w:r>
              <w:rPr>
                <w:spacing w:val="-5"/>
                <w:sz w:val="24"/>
                <w:szCs w:val="24"/>
              </w:rPr>
              <w:t>年</w:t>
            </w:r>
            <w:r>
              <w:rPr>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sz w:val="24"/>
                <w:szCs w:val="24"/>
              </w:rPr>
              <w:t xml:space="preserve"> </w:t>
            </w:r>
            <w:r>
              <w:rPr>
                <w:spacing w:val="-5"/>
                <w:sz w:val="24"/>
                <w:szCs w:val="24"/>
              </w:rPr>
              <w:t>月编制完成环</w:t>
            </w:r>
            <w:r>
              <w:rPr>
                <w:sz w:val="24"/>
                <w:szCs w:val="24"/>
              </w:rPr>
              <w:t xml:space="preserve"> </w:t>
            </w:r>
            <w:r>
              <w:rPr>
                <w:spacing w:val="-4"/>
                <w:sz w:val="24"/>
                <w:szCs w:val="24"/>
              </w:rPr>
              <w:t>境影响报告书并于</w:t>
            </w:r>
            <w:r>
              <w:rPr>
                <w:spacing w:val="-43"/>
                <w:sz w:val="24"/>
                <w:szCs w:val="24"/>
              </w:rPr>
              <w:t xml:space="preserve"> </w:t>
            </w:r>
            <w:r>
              <w:rPr>
                <w:rFonts w:ascii="Times New Roman" w:hAnsi="Times New Roman" w:eastAsia="Times New Roman" w:cs="Times New Roman"/>
                <w:spacing w:val="-4"/>
                <w:sz w:val="24"/>
                <w:szCs w:val="24"/>
              </w:rPr>
              <w:t>2020</w:t>
            </w:r>
            <w:r>
              <w:rPr>
                <w:rFonts w:ascii="Times New Roman" w:hAnsi="Times New Roman" w:eastAsia="Times New Roman" w:cs="Times New Roman"/>
                <w:spacing w:val="23"/>
                <w:w w:val="101"/>
                <w:sz w:val="24"/>
                <w:szCs w:val="24"/>
              </w:rPr>
              <w:t xml:space="preserve"> </w:t>
            </w:r>
            <w:r>
              <w:rPr>
                <w:spacing w:val="-4"/>
                <w:sz w:val="24"/>
                <w:szCs w:val="24"/>
              </w:rPr>
              <w:t xml:space="preserve">年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27"/>
                <w:sz w:val="24"/>
                <w:szCs w:val="24"/>
              </w:rPr>
              <w:t xml:space="preserve"> </w:t>
            </w:r>
            <w:r>
              <w:rPr>
                <w:spacing w:val="-4"/>
                <w:sz w:val="24"/>
                <w:szCs w:val="24"/>
              </w:rPr>
              <w:t xml:space="preserve">月 </w:t>
            </w:r>
            <w:r>
              <w:rPr>
                <w:rFonts w:ascii="Times New Roman" w:hAnsi="Times New Roman" w:eastAsia="Times New Roman" w:cs="Times New Roman"/>
                <w:spacing w:val="-4"/>
                <w:sz w:val="24"/>
                <w:szCs w:val="24"/>
              </w:rPr>
              <w:t xml:space="preserve">17  </w:t>
            </w:r>
            <w:r>
              <w:rPr>
                <w:spacing w:val="-4"/>
                <w:sz w:val="24"/>
                <w:szCs w:val="24"/>
              </w:rPr>
              <w:t>日取得泸州市生态环境局《关于</w:t>
            </w:r>
            <w:r>
              <w:rPr>
                <w:spacing w:val="-5"/>
                <w:sz w:val="24"/>
                <w:szCs w:val="24"/>
              </w:rPr>
              <w:t>四川瑞利生物科技</w:t>
            </w:r>
            <w:r>
              <w:rPr>
                <w:sz w:val="24"/>
                <w:szCs w:val="24"/>
              </w:rPr>
              <w:t xml:space="preserve"> </w:t>
            </w:r>
            <w:r>
              <w:rPr>
                <w:spacing w:val="1"/>
                <w:sz w:val="24"/>
                <w:szCs w:val="24"/>
              </w:rPr>
              <w:t>有限公司气田废水处理站项目环境影响报告</w:t>
            </w:r>
            <w:r>
              <w:rPr>
                <w:sz w:val="24"/>
                <w:szCs w:val="24"/>
              </w:rPr>
              <w:t>书的批复》（泸市环建函</w:t>
            </w:r>
            <w:r>
              <w:rPr>
                <w:rFonts w:ascii="Times New Roman" w:hAnsi="Times New Roman" w:eastAsia="Times New Roman" w:cs="Times New Roman"/>
                <w:sz w:val="24"/>
                <w:szCs w:val="24"/>
              </w:rPr>
              <w:t xml:space="preserve">[2020]105  </w:t>
            </w:r>
            <w:r>
              <w:rPr>
                <w:sz w:val="24"/>
                <w:szCs w:val="24"/>
              </w:rPr>
              <w:t>号</w:t>
            </w:r>
            <w:r>
              <w:rPr>
                <w:spacing w:val="-13"/>
                <w:sz w:val="24"/>
                <w:szCs w:val="24"/>
              </w:rPr>
              <w:t>），</w:t>
            </w:r>
          </w:p>
          <w:p>
            <w:pPr>
              <w:pStyle w:val="6"/>
              <w:spacing w:before="1" w:line="218" w:lineRule="auto"/>
              <w:ind w:left="104"/>
              <w:rPr>
                <w:sz w:val="24"/>
                <w:szCs w:val="24"/>
              </w:rPr>
            </w:pPr>
            <w:r>
              <w:rPr>
                <w:rFonts w:ascii="Times New Roman" w:hAnsi="Times New Roman" w:eastAsia="Times New Roman" w:cs="Times New Roman"/>
                <w:spacing w:val="-6"/>
                <w:sz w:val="24"/>
                <w:szCs w:val="24"/>
              </w:rPr>
              <w:t xml:space="preserve">2021 </w:t>
            </w:r>
            <w:r>
              <w:rPr>
                <w:spacing w:val="-6"/>
                <w:sz w:val="24"/>
                <w:szCs w:val="24"/>
              </w:rPr>
              <w:t>年</w:t>
            </w:r>
            <w:r>
              <w:rPr>
                <w:spacing w:val="-48"/>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5"/>
                <w:sz w:val="24"/>
                <w:szCs w:val="24"/>
              </w:rPr>
              <w:t xml:space="preserve"> </w:t>
            </w:r>
            <w:r>
              <w:rPr>
                <w:spacing w:val="-6"/>
                <w:sz w:val="24"/>
                <w:szCs w:val="24"/>
              </w:rPr>
              <w:t>月</w:t>
            </w:r>
            <w:r>
              <w:rPr>
                <w:spacing w:val="-55"/>
                <w:sz w:val="24"/>
                <w:szCs w:val="24"/>
              </w:rPr>
              <w:t xml:space="preserve"> </w:t>
            </w:r>
            <w:r>
              <w:rPr>
                <w:rFonts w:ascii="Times New Roman" w:hAnsi="Times New Roman" w:eastAsia="Times New Roman" w:cs="Times New Roman"/>
                <w:spacing w:val="-6"/>
                <w:sz w:val="24"/>
                <w:szCs w:val="24"/>
              </w:rPr>
              <w:t xml:space="preserve">21  </w:t>
            </w:r>
            <w:r>
              <w:rPr>
                <w:spacing w:val="-6"/>
                <w:sz w:val="24"/>
                <w:szCs w:val="24"/>
              </w:rPr>
              <w:t>日取得排污许可证（证书编号：</w:t>
            </w:r>
            <w:r>
              <w:rPr>
                <w:spacing w:val="65"/>
                <w:sz w:val="24"/>
                <w:szCs w:val="24"/>
              </w:rPr>
              <w:t xml:space="preserve"> </w:t>
            </w:r>
            <w:r>
              <w:rPr>
                <w:rFonts w:ascii="Times New Roman" w:hAnsi="Times New Roman" w:eastAsia="Times New Roman" w:cs="Times New Roman"/>
                <w:spacing w:val="-6"/>
                <w:sz w:val="24"/>
                <w:szCs w:val="24"/>
              </w:rPr>
              <w:t>91510100309373470R001Y</w:t>
            </w:r>
            <w:r>
              <w:rPr>
                <w:spacing w:val="-6"/>
                <w:sz w:val="24"/>
                <w:szCs w:val="24"/>
              </w:rPr>
              <w:t>）。</w:t>
            </w:r>
          </w:p>
          <w:p>
            <w:pPr>
              <w:pStyle w:val="6"/>
              <w:spacing w:before="195" w:line="220" w:lineRule="auto"/>
              <w:ind w:left="634"/>
              <w:rPr>
                <w:sz w:val="24"/>
                <w:szCs w:val="24"/>
              </w:rPr>
            </w:pPr>
            <w:r>
              <w:rPr>
                <w:spacing w:val="-5"/>
                <w:sz w:val="24"/>
                <w:szCs w:val="24"/>
              </w:rPr>
              <w:t>目前该企业环保手续齐全，运行正常。</w:t>
            </w:r>
          </w:p>
          <w:p>
            <w:pPr>
              <w:pStyle w:val="6"/>
              <w:spacing w:before="194" w:line="220" w:lineRule="auto"/>
              <w:ind w:left="583"/>
              <w:rPr>
                <w:sz w:val="24"/>
                <w:szCs w:val="24"/>
              </w:rPr>
            </w:pPr>
            <w:r>
              <w:rPr>
                <w:rFonts w:ascii="Times New Roman" w:hAnsi="Times New Roman" w:eastAsia="Times New Roman" w:cs="Times New Roman"/>
                <w:spacing w:val="-1"/>
                <w:sz w:val="24"/>
                <w:szCs w:val="24"/>
              </w:rPr>
              <w:t>B.</w:t>
            </w:r>
            <w:r>
              <w:rPr>
                <w:spacing w:val="-1"/>
                <w:sz w:val="24"/>
                <w:szCs w:val="24"/>
              </w:rPr>
              <w:t>废水处理站处理工艺流程</w:t>
            </w:r>
          </w:p>
          <w:p>
            <w:pPr>
              <w:pStyle w:val="6"/>
              <w:spacing w:before="197" w:line="369" w:lineRule="auto"/>
              <w:ind w:left="107" w:right="86" w:firstLine="503"/>
              <w:rPr>
                <w:sz w:val="24"/>
                <w:szCs w:val="24"/>
              </w:rPr>
            </w:pPr>
            <w:r>
              <w:rPr>
                <w:spacing w:val="-9"/>
                <w:sz w:val="24"/>
                <w:szCs w:val="24"/>
              </w:rPr>
              <w:t>四川瑞利生物科技有限公司气田废水处理站采用：</w:t>
            </w:r>
            <w:r>
              <w:rPr>
                <w:spacing w:val="100"/>
                <w:sz w:val="24"/>
                <w:szCs w:val="24"/>
              </w:rPr>
              <w:t xml:space="preserve"> </w:t>
            </w:r>
            <w:r>
              <w:rPr>
                <w:spacing w:val="-9"/>
                <w:sz w:val="24"/>
                <w:szCs w:val="24"/>
              </w:rPr>
              <w:t>“缓冲调节</w:t>
            </w:r>
            <w:r>
              <w:rPr>
                <w:rFonts w:ascii="Times New Roman" w:hAnsi="Times New Roman" w:eastAsia="Times New Roman" w:cs="Times New Roman"/>
                <w:spacing w:val="-9"/>
                <w:sz w:val="24"/>
                <w:szCs w:val="24"/>
              </w:rPr>
              <w:t>+</w:t>
            </w:r>
            <w:r>
              <w:rPr>
                <w:spacing w:val="-9"/>
                <w:sz w:val="24"/>
                <w:szCs w:val="24"/>
              </w:rPr>
              <w:t>絮凝沉降</w:t>
            </w:r>
            <w:r>
              <w:rPr>
                <w:rFonts w:ascii="Times New Roman" w:hAnsi="Times New Roman" w:eastAsia="Times New Roman" w:cs="Times New Roman"/>
                <w:spacing w:val="-9"/>
                <w:sz w:val="24"/>
                <w:szCs w:val="24"/>
              </w:rPr>
              <w:t>+</w:t>
            </w:r>
            <w:r>
              <w:rPr>
                <w:spacing w:val="-9"/>
                <w:sz w:val="24"/>
                <w:szCs w:val="24"/>
              </w:rPr>
              <w:t>铁碳微电</w:t>
            </w:r>
            <w:r>
              <w:rPr>
                <w:sz w:val="24"/>
                <w:szCs w:val="24"/>
              </w:rPr>
              <w:t xml:space="preserve"> 解</w:t>
            </w:r>
            <w:r>
              <w:rPr>
                <w:rFonts w:ascii="Times New Roman" w:hAnsi="Times New Roman" w:eastAsia="Times New Roman" w:cs="Times New Roman"/>
                <w:sz w:val="24"/>
                <w:szCs w:val="24"/>
              </w:rPr>
              <w:t>+</w:t>
            </w:r>
            <w:r>
              <w:rPr>
                <w:sz w:val="24"/>
                <w:szCs w:val="24"/>
              </w:rPr>
              <w:t>二级絮凝沉降</w:t>
            </w:r>
            <w:r>
              <w:rPr>
                <w:rFonts w:ascii="Times New Roman" w:hAnsi="Times New Roman" w:eastAsia="Times New Roman" w:cs="Times New Roman"/>
                <w:sz w:val="24"/>
                <w:szCs w:val="24"/>
              </w:rPr>
              <w:t>+</w:t>
            </w:r>
            <w:r>
              <w:rPr>
                <w:sz w:val="24"/>
                <w:szCs w:val="24"/>
              </w:rPr>
              <w:t>缺氧脱氮</w:t>
            </w:r>
            <w:r>
              <w:rPr>
                <w:rFonts w:ascii="Times New Roman" w:hAnsi="Times New Roman" w:eastAsia="Times New Roman" w:cs="Times New Roman"/>
                <w:sz w:val="24"/>
                <w:szCs w:val="24"/>
              </w:rPr>
              <w:t>+</w:t>
            </w:r>
            <w:r>
              <w:rPr>
                <w:sz w:val="24"/>
                <w:szCs w:val="24"/>
              </w:rPr>
              <w:t>接触氧化</w:t>
            </w:r>
            <w:r>
              <w:rPr>
                <w:rFonts w:ascii="Times New Roman" w:hAnsi="Times New Roman" w:eastAsia="Times New Roman" w:cs="Times New Roman"/>
                <w:sz w:val="24"/>
                <w:szCs w:val="24"/>
              </w:rPr>
              <w:t>+</w:t>
            </w:r>
            <w:r>
              <w:rPr>
                <w:sz w:val="24"/>
                <w:szCs w:val="24"/>
              </w:rPr>
              <w:t>电催化氧化</w:t>
            </w:r>
            <w:r>
              <w:rPr>
                <w:rFonts w:ascii="Times New Roman" w:hAnsi="Times New Roman" w:eastAsia="Times New Roman" w:cs="Times New Roman"/>
                <w:sz w:val="24"/>
                <w:szCs w:val="24"/>
              </w:rPr>
              <w:t>+</w:t>
            </w:r>
            <w:r>
              <w:rPr>
                <w:sz w:val="24"/>
                <w:szCs w:val="24"/>
              </w:rPr>
              <w:t>膜</w:t>
            </w:r>
            <w:r>
              <w:rPr>
                <w:spacing w:val="-1"/>
                <w:sz w:val="24"/>
                <w:szCs w:val="24"/>
              </w:rPr>
              <w:t>法脱盐”。废水由运输车辆运送</w:t>
            </w:r>
            <w:r>
              <w:rPr>
                <w:sz w:val="24"/>
                <w:szCs w:val="24"/>
              </w:rPr>
              <w:t xml:space="preserve"> </w:t>
            </w:r>
            <w:r>
              <w:rPr>
                <w:spacing w:val="-1"/>
                <w:sz w:val="24"/>
                <w:szCs w:val="24"/>
              </w:rPr>
              <w:t>入场后，首先进入调节池以调节水质水量，之后泵提升进入一级沉淀池，</w:t>
            </w:r>
            <w:r>
              <w:rPr>
                <w:spacing w:val="-2"/>
                <w:sz w:val="24"/>
                <w:szCs w:val="24"/>
              </w:rPr>
              <w:t>加入絮凝剂、</w:t>
            </w:r>
            <w:r>
              <w:rPr>
                <w:sz w:val="24"/>
                <w:szCs w:val="24"/>
              </w:rPr>
              <w:t xml:space="preserve"> </w:t>
            </w:r>
            <w:r>
              <w:rPr>
                <w:spacing w:val="-6"/>
                <w:sz w:val="24"/>
                <w:szCs w:val="24"/>
              </w:rPr>
              <w:t>碳酸钠、重捕剂等去除废水中的悬浮物、硬度和重金属等污染物；</w:t>
            </w:r>
            <w:r>
              <w:rPr>
                <w:spacing w:val="48"/>
                <w:sz w:val="24"/>
                <w:szCs w:val="24"/>
              </w:rPr>
              <w:t xml:space="preserve"> </w:t>
            </w:r>
            <w:r>
              <w:rPr>
                <w:spacing w:val="-6"/>
                <w:sz w:val="24"/>
                <w:szCs w:val="24"/>
              </w:rPr>
              <w:t>初步净化后的污水由</w:t>
            </w:r>
            <w:r>
              <w:rPr>
                <w:sz w:val="24"/>
                <w:szCs w:val="24"/>
              </w:rPr>
              <w:t xml:space="preserve"> </w:t>
            </w:r>
            <w:r>
              <w:rPr>
                <w:spacing w:val="-1"/>
                <w:sz w:val="24"/>
                <w:szCs w:val="24"/>
              </w:rPr>
              <w:t xml:space="preserve">中间水池提升进入铁碳微电解池，通过 </w:t>
            </w:r>
            <w:r>
              <w:rPr>
                <w:rFonts w:ascii="Times New Roman" w:hAnsi="Times New Roman" w:eastAsia="Times New Roman" w:cs="Times New Roman"/>
                <w:spacing w:val="-1"/>
                <w:sz w:val="24"/>
                <w:szCs w:val="24"/>
              </w:rPr>
              <w:t>Fe/C</w:t>
            </w:r>
            <w:r>
              <w:rPr>
                <w:rFonts w:ascii="Times New Roman" w:hAnsi="Times New Roman" w:eastAsia="Times New Roman" w:cs="Times New Roman"/>
                <w:spacing w:val="59"/>
                <w:w w:val="101"/>
                <w:sz w:val="24"/>
                <w:szCs w:val="24"/>
              </w:rPr>
              <w:t xml:space="preserve"> </w:t>
            </w:r>
            <w:r>
              <w:rPr>
                <w:spacing w:val="-1"/>
                <w:sz w:val="24"/>
                <w:szCs w:val="24"/>
              </w:rPr>
              <w:t>原电池的氧化作用去除污水</w:t>
            </w:r>
            <w:r>
              <w:rPr>
                <w:spacing w:val="-2"/>
                <w:sz w:val="24"/>
                <w:szCs w:val="24"/>
              </w:rPr>
              <w:t>中的大部分有</w:t>
            </w:r>
            <w:r>
              <w:rPr>
                <w:sz w:val="24"/>
                <w:szCs w:val="24"/>
              </w:rPr>
              <w:t xml:space="preserve"> </w:t>
            </w:r>
            <w:r>
              <w:rPr>
                <w:spacing w:val="-6"/>
                <w:sz w:val="24"/>
                <w:szCs w:val="24"/>
              </w:rPr>
              <w:t>机污染物，提高废水可生化性， 出水中的铁</w:t>
            </w:r>
            <w:r>
              <w:rPr>
                <w:rFonts w:ascii="Times New Roman" w:hAnsi="Times New Roman" w:eastAsia="Times New Roman" w:cs="Times New Roman"/>
                <w:spacing w:val="-6"/>
                <w:sz w:val="24"/>
                <w:szCs w:val="24"/>
              </w:rPr>
              <w:t>/</w:t>
            </w:r>
            <w:r>
              <w:rPr>
                <w:spacing w:val="-6"/>
                <w:sz w:val="24"/>
                <w:szCs w:val="24"/>
              </w:rPr>
              <w:t>亚铁离子在碱性条件下于二级沉淀</w:t>
            </w:r>
            <w:r>
              <w:rPr>
                <w:spacing w:val="-7"/>
                <w:sz w:val="24"/>
                <w:szCs w:val="24"/>
              </w:rPr>
              <w:t>池中进一</w:t>
            </w:r>
          </w:p>
          <w:p>
            <w:pPr>
              <w:pStyle w:val="6"/>
              <w:spacing w:before="1" w:line="218" w:lineRule="auto"/>
              <w:ind w:left="111"/>
              <w:rPr>
                <w:sz w:val="24"/>
                <w:szCs w:val="24"/>
              </w:rPr>
            </w:pPr>
            <w:r>
              <w:rPr>
                <w:spacing w:val="2"/>
                <w:sz w:val="24"/>
                <w:szCs w:val="24"/>
              </w:rPr>
              <w:t>步絮凝沉淀；处理后的污水再经微生物的缺氧</w:t>
            </w:r>
            <w:r>
              <w:rPr>
                <w:rFonts w:ascii="Times New Roman" w:hAnsi="Times New Roman" w:eastAsia="Times New Roman" w:cs="Times New Roman"/>
                <w:spacing w:val="2"/>
                <w:sz w:val="24"/>
                <w:szCs w:val="24"/>
              </w:rPr>
              <w:t>-</w:t>
            </w:r>
            <w:r>
              <w:rPr>
                <w:spacing w:val="2"/>
                <w:sz w:val="24"/>
                <w:szCs w:val="24"/>
              </w:rPr>
              <w:t>好氧作用去除有机污染物，采用电催化</w:t>
            </w:r>
          </w:p>
        </w:tc>
      </w:tr>
    </w:tbl>
    <w:p>
      <w:pPr>
        <w:pStyle w:val="2"/>
        <w:rPr>
          <w:sz w:val="21"/>
        </w:rPr>
      </w:pPr>
    </w:p>
    <w:p>
      <w:pPr>
        <w:rPr>
          <w:sz w:val="21"/>
          <w:szCs w:val="21"/>
        </w:rPr>
        <w:sectPr>
          <w:footerReference r:id="rId128"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51"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109"/>
              <w:rPr>
                <w:sz w:val="24"/>
                <w:szCs w:val="24"/>
              </w:rPr>
            </w:pPr>
            <w:r>
              <w:pict>
                <v:rect id="_x0000_s1375" o:spid="_x0000_s1375" o:spt="1" style="position:absolute;left:0pt;margin-left:149pt;margin-top:381.2pt;height:12.7pt;width:0.7pt;mso-position-horizontal-relative:page;mso-position-vertical-relative:page;z-index:251921408;mso-width-relative:page;mso-height-relative:page;" fillcolor="#0930E8" filled="t" stroked="f" coordsize="21600,21600">
                  <v:path/>
                  <v:fill on="t" focussize="0,0"/>
                  <v:stroke on="f"/>
                  <v:imagedata o:title=""/>
                  <o:lock v:ext="edit"/>
                </v:rect>
              </w:pict>
            </w:r>
            <w:r>
              <w:pict>
                <v:rect id="_x0000_s1376" o:spid="_x0000_s1376" o:spt="1" style="position:absolute;left:0pt;margin-left:322.6pt;margin-top:133.35pt;height:4.5pt;width:4.75pt;mso-position-horizontal-relative:page;mso-position-vertical-relative:page;z-index:251936768;mso-width-relative:page;mso-height-relative:page;" fillcolor="#04ABFB" filled="t" stroked="f" coordsize="21600,21600">
                  <v:path/>
                  <v:fill on="t" focussize="0,0"/>
                  <v:stroke on="f"/>
                  <v:imagedata o:title=""/>
                  <o:lock v:ext="edit"/>
                </v:rect>
              </w:pict>
            </w:r>
            <w:r>
              <w:pict>
                <v:rect id="_x0000_s1377" o:spid="_x0000_s1377" o:spt="1" style="position:absolute;left:0pt;margin-left:209.5pt;margin-top:154.7pt;height:4.2pt;width:5.05pt;mso-position-horizontal-relative:page;mso-position-vertical-relative:page;z-index:251975680;mso-width-relative:page;mso-height-relative:page;" fillcolor="#000000" filled="t" stroked="f" coordsize="21600,21600">
                  <v:path/>
                  <v:fill on="t" focussize="0,0"/>
                  <v:stroke on="f"/>
                  <v:imagedata o:title=""/>
                  <o:lock v:ext="edit"/>
                </v:rect>
              </w:pict>
            </w:r>
            <w:r>
              <w:pict>
                <v:rect id="_x0000_s1378" o:spid="_x0000_s1378" o:spt="1" style="position:absolute;left:0pt;margin-left:223.7pt;margin-top:129.05pt;height:0.6pt;width:37.8pt;mso-position-horizontal-relative:page;mso-position-vertical-relative:page;z-index:251977728;mso-width-relative:page;mso-height-relative:page;" fillcolor="#04ABFB" filled="t" stroked="f" coordsize="21600,21600">
                  <v:path/>
                  <v:fill on="t" focussize="0,0"/>
                  <v:stroke on="f"/>
                  <v:imagedata o:title=""/>
                  <o:lock v:ext="edit"/>
                </v:rect>
              </w:pict>
            </w:r>
            <w:r>
              <w:pict>
                <v:rect id="_x0000_s1379" o:spid="_x0000_s1379" o:spt="1" style="position:absolute;left:0pt;margin-left:223.7pt;margin-top:166.15pt;height:0.6pt;width:37.8pt;mso-position-horizontal-relative:page;mso-position-vertical-relative:page;z-index:251976704;mso-width-relative:page;mso-height-relative:page;" fillcolor="#04ABFB" filled="t" stroked="f" coordsize="21600,21600">
                  <v:path/>
                  <v:fill on="t" focussize="0,0"/>
                  <v:stroke on="f"/>
                  <v:imagedata o:title=""/>
                  <o:lock v:ext="edit"/>
                </v:rect>
              </w:pict>
            </w:r>
            <w:r>
              <w:pict>
                <v:rect id="_x0000_s1380" o:spid="_x0000_s1380" o:spt="1" style="position:absolute;left:0pt;margin-left:158.15pt;margin-top:127.4pt;height:4.2pt;width:4.75pt;mso-position-horizontal-relative:page;mso-position-vertical-relative:page;z-index:251974656;mso-width-relative:page;mso-height-relative:page;" fillcolor="#0930E8" filled="t" stroked="f" coordsize="21600,21600">
                  <v:path/>
                  <v:fill on="t" focussize="0,0"/>
                  <v:stroke on="f"/>
                  <v:imagedata o:title=""/>
                  <o:lock v:ext="edit"/>
                </v:rect>
              </w:pict>
            </w:r>
            <w:r>
              <w:pict>
                <v:rect id="_x0000_s1381" o:spid="_x0000_s1381" o:spt="1" style="position:absolute;left:0pt;margin-left:227.2pt;margin-top:238.15pt;height:0.6pt;width:34.3pt;mso-position-horizontal-relative:page;mso-position-vertical-relative:page;z-index:251978752;mso-width-relative:page;mso-height-relative:page;" fillcolor="#04ABFB" filled="t" stroked="f" coordsize="21600,21600">
                  <v:path/>
                  <v:fill on="t" focussize="0,0"/>
                  <v:stroke on="f"/>
                  <v:imagedata o:title=""/>
                  <o:lock v:ext="edit"/>
                </v:rect>
              </w:pict>
            </w:r>
            <w:r>
              <w:pict>
                <v:rect id="_x0000_s1382" o:spid="_x0000_s1382" o:spt="1" style="position:absolute;left:0pt;margin-left:322.6pt;margin-top:181.55pt;height:4.15pt;width:4.75pt;mso-position-horizontal-relative:page;mso-position-vertical-relative:page;z-index:251940864;mso-width-relative:page;mso-height-relative:page;" fillcolor="#04ABFB" filled="t" stroked="f" coordsize="21600,21600">
                  <v:path/>
                  <v:fill on="t" focussize="0,0"/>
                  <v:stroke on="f"/>
                  <v:imagedata o:title=""/>
                  <o:lock v:ext="edit"/>
                </v:rect>
              </w:pict>
            </w:r>
            <w:r>
              <w:pict>
                <v:rect id="_x0000_s1383" o:spid="_x0000_s1383" o:spt="1" style="position:absolute;left:0pt;margin-left:276.95pt;margin-top:193.3pt;height:4.5pt;width:4.75pt;mso-position-horizontal-relative:page;mso-position-vertical-relative:page;z-index:251919360;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907072" behindDoc="1" locked="0" layoutInCell="1" allowOverlap="1">
                      <wp:simplePos x="0" y="0"/>
                      <wp:positionH relativeFrom="rightMargin">
                        <wp:posOffset>-3437255</wp:posOffset>
                      </wp:positionH>
                      <wp:positionV relativeFrom="topMargin">
                        <wp:posOffset>3100070</wp:posOffset>
                      </wp:positionV>
                      <wp:extent cx="8890" cy="240665"/>
                      <wp:effectExtent l="0" t="0" r="0" b="0"/>
                      <wp:wrapNone/>
                      <wp:docPr id="96" name="Rect 96"/>
                      <wp:cNvGraphicFramePr/>
                      <a:graphic xmlns:a="http://schemas.openxmlformats.org/drawingml/2006/main">
                        <a:graphicData uri="http://schemas.microsoft.com/office/word/2010/wordprocessingShape">
                          <wps:wsp>
                            <wps:cNvSpPr/>
                            <wps:spPr>
                              <a:xfrm>
                                <a:off x="-3437296" y="3100379"/>
                                <a:ext cx="8889" cy="240665"/>
                              </a:xfrm>
                              <a:prstGeom prst="rect">
                                <a:avLst/>
                              </a:prstGeom>
                              <a:solidFill>
                                <a:srgbClr val="40404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6" o:spid="_x0000_s1026" o:spt="1" style="position:absolute;left:0pt;margin-left:193.1pt;margin-top:244.85pt;height:18.95pt;width:0.7pt;mso-position-horizontal-relative:page;mso-position-vertical-relative:page;z-index:-251409408;mso-width-relative:page;mso-height-relative:page;" fillcolor="#404040" filled="t" stroked="f" coordsize="21600,21600" o:gfxdata="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aXYeNoAAAANAQAADwAAAAAAAAABACAAAAAiAAAAZHJzL2Rvd25yZXYu&#10;eG1sUEsBAhQAFAAAAAgAh07iQNmi/OIyAgAAbgQAAA4AAAAAAAAAAQAgAAAAKQEAAGRycy9lMm9E&#10;b2MueG1sUEsFBgAAAAAGAAYAWQEAAM0FAAAAAA==&#10;">
                      <v:fill on="t" focussize="0,0"/>
                      <v:stroke on="f" weight="0pt"/>
                      <v:imagedata o:title=""/>
                      <o:lock v:ext="edit" aspectratio="f"/>
                      <v:textbox inset="0mm,0mm,0mm,0mm"/>
                    </v:rect>
                  </w:pict>
                </mc:Fallback>
              </mc:AlternateContent>
            </w:r>
            <w:r>
              <w:pict>
                <v:rect id="_x0000_s1384" o:spid="_x0000_s1384" o:spt="1" style="position:absolute;left:0pt;margin-left:227.2pt;margin-top:273.45pt;height:0.6pt;width:34.3pt;mso-position-horizontal-relative:page;mso-position-vertical-relative:page;z-index:251971584;mso-width-relative:page;mso-height-relative:page;" fillcolor="#04ABFB" filled="t" stroked="f" coordsize="21600,21600">
                  <v:path/>
                  <v:fill on="t" focussize="0,0"/>
                  <v:stroke on="f"/>
                  <v:imagedata o:title=""/>
                  <o:lock v:ext="edit"/>
                </v:rect>
              </w:pict>
            </w:r>
            <w:r>
              <w:pict>
                <v:rect id="_x0000_s1385" o:spid="_x0000_s1385" o:spt="1" style="position:absolute;left:0pt;margin-left:225.7pt;margin-top:409.4pt;height:0.6pt;width:53.85pt;mso-position-horizontal-relative:page;mso-position-vertical-relative:page;z-index:251964416;mso-width-relative:page;mso-height-relative:page;" fillcolor="#000000" filled="t" stroked="f" coordsize="21600,21600">
                  <v:path/>
                  <v:fill on="t" focussize="0,0"/>
                  <v:stroke on="f"/>
                  <v:imagedata o:title=""/>
                  <o:lock v:ext="edit"/>
                </v:rect>
              </w:pict>
            </w:r>
            <w:r>
              <w:pict>
                <v:rect id="_x0000_s1386" o:spid="_x0000_s1386" o:spt="1" style="position:absolute;left:0pt;margin-left:154.85pt;margin-top:407.4pt;height:4.2pt;width:5.05pt;mso-position-horizontal-relative:page;mso-position-vertical-relative:page;z-index:251963392;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912192" behindDoc="1" locked="0" layoutInCell="1" allowOverlap="1">
                      <wp:simplePos x="0" y="0"/>
                      <wp:positionH relativeFrom="rightMargin">
                        <wp:posOffset>-3464560</wp:posOffset>
                      </wp:positionH>
                      <wp:positionV relativeFrom="topMargin">
                        <wp:posOffset>3325495</wp:posOffset>
                      </wp:positionV>
                      <wp:extent cx="60325" cy="51435"/>
                      <wp:effectExtent l="0" t="0" r="0" b="0"/>
                      <wp:wrapNone/>
                      <wp:docPr id="98" name="Rect 98"/>
                      <wp:cNvGraphicFramePr/>
                      <a:graphic xmlns:a="http://schemas.openxmlformats.org/drawingml/2006/main">
                        <a:graphicData uri="http://schemas.microsoft.com/office/word/2010/wordprocessingShape">
                          <wps:wsp>
                            <wps:cNvSpPr/>
                            <wps:spPr>
                              <a:xfrm>
                                <a:off x="-3464888" y="3325611"/>
                                <a:ext cx="60325" cy="51435"/>
                              </a:xfrm>
                              <a:prstGeom prst="rect">
                                <a:avLst/>
                              </a:prstGeom>
                              <a:solidFill>
                                <a:srgbClr val="40404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8" o:spid="_x0000_s1026" o:spt="1" style="position:absolute;left:0pt;margin-left:190.95pt;margin-top:262.6pt;height:4.05pt;width:4.75pt;mso-position-horizontal-relative:page;mso-position-vertical-relative:page;z-index:-251404288;mso-width-relative:page;mso-height-relative:page;" fillcolor="#404040" filled="t" stroked="f" coordsize="21600,21600" o:gfxdata="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tLfY9oAAAANAQAADwAAAAAAAAABACAAAAAiAAAAZHJzL2Rvd25yZXYueG1s&#10;UEsBAhQAFAAAAAgAh07iQIkK1DAvAgAAbgQAAA4AAAAAAAAAAQAgAAAAKQEAAGRycy9lMm9Eb2Mu&#10;eG1sUEsFBgAAAAAGAAYAWQEAAMo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910144" behindDoc="1" locked="0" layoutInCell="1" allowOverlap="1">
                      <wp:simplePos x="0" y="0"/>
                      <wp:positionH relativeFrom="rightMargin">
                        <wp:posOffset>-2577465</wp:posOffset>
                      </wp:positionH>
                      <wp:positionV relativeFrom="topMargin">
                        <wp:posOffset>1163955</wp:posOffset>
                      </wp:positionV>
                      <wp:extent cx="8890" cy="2750185"/>
                      <wp:effectExtent l="0" t="0" r="0" b="0"/>
                      <wp:wrapNone/>
                      <wp:docPr id="100" name="Rect 100"/>
                      <wp:cNvGraphicFramePr/>
                      <a:graphic xmlns:a="http://schemas.openxmlformats.org/drawingml/2006/main">
                        <a:graphicData uri="http://schemas.microsoft.com/office/word/2010/wordprocessingShape">
                          <wps:wsp>
                            <wps:cNvSpPr/>
                            <wps:spPr>
                              <a:xfrm>
                                <a:off x="-2577701" y="1164143"/>
                                <a:ext cx="8889" cy="2750185"/>
                              </a:xfrm>
                              <a:prstGeom prst="rect">
                                <a:avLst/>
                              </a:prstGeom>
                              <a:solidFill>
                                <a:srgbClr val="04ABFB"/>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0" o:spid="_x0000_s1026" o:spt="1" style="position:absolute;left:0pt;margin-left:260.8pt;margin-top:92.4pt;height:216.55pt;width:0.7pt;mso-position-horizontal-relative:page;mso-position-vertical-relative:page;z-index:-251406336;mso-width-relative:page;mso-height-relative:page;" fillcolor="#04ABFB" filled="t" stroked="f" coordsize="21600,21600" o:gfxdata="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QG8TLaAAAADQEAAA8AAAAAAAAAAQAgAAAAIgAAAGRycy9kb3ducmV2&#10;LnhtbFBLAQIUABQAAAAIAIdO4kDMH2gUMwIAAHEEAAAOAAAAAAAAAAEAIAAAACkBAABkcnMvZTJv&#10;RG9jLnhtbFBLBQYAAAAABgAGAFkBAADOBQAAAAA=&#10;">
                      <v:fill on="t" focussize="0,0"/>
                      <v:stroke on="f" weight="0pt"/>
                      <v:imagedata o:title=""/>
                      <o:lock v:ext="edit" aspectratio="f"/>
                      <v:textbox inset="0mm,0mm,0mm,0mm"/>
                    </v:rect>
                  </w:pict>
                </mc:Fallback>
              </mc:AlternateContent>
            </w:r>
            <w:r>
              <w:pict>
                <v:rect id="_x0000_s1387" o:spid="_x0000_s1387" o:spt="1" style="position:absolute;left:0pt;margin-left:278.85pt;margin-top:196.1pt;height:213.9pt;width:0.7pt;mso-position-horizontal-relative:page;mso-position-vertical-relative:page;z-index:251918336;mso-width-relative:page;mso-height-relative:page;" fillcolor="#000000" filled="t" stroked="f" coordsize="21600,21600">
                  <v:path/>
                  <v:fill on="t" focussize="0,0"/>
                  <v:stroke on="f"/>
                  <v:imagedata o:title=""/>
                  <o:lock v:ext="edit"/>
                </v:rect>
              </w:pict>
            </w:r>
            <w:r>
              <w:pict>
                <v:rect id="_x0000_s1388" o:spid="_x0000_s1388" o:spt="1" style="position:absolute;left:0pt;margin-left:324.5pt;margin-top:112.5pt;height:22.55pt;width:0.7pt;mso-position-horizontal-relative:page;mso-position-vertical-relative:page;z-index:251920384;mso-width-relative:page;mso-height-relative:page;" fillcolor="#04ABFB" filled="t" stroked="f" coordsize="21600,21600">
                  <v:path/>
                  <v:fill on="t" focussize="0,0"/>
                  <v:stroke on="f"/>
                  <v:imagedata o:title=""/>
                  <o:lock v:ext="edit"/>
                </v:rect>
              </w:pict>
            </w:r>
            <w:r>
              <w:pict>
                <v:rect id="_x0000_s1389" o:spid="_x0000_s1389" o:spt="1" style="position:absolute;left:0pt;margin-left:324.5pt;margin-top:151.4pt;height:31.45pt;width:0.7pt;mso-position-horizontal-relative:page;mso-position-vertical-relative:page;z-index:251935744;mso-width-relative:page;mso-height-relative:page;" fillcolor="#04ABFB" filled="t" stroked="f" coordsize="21600,21600">
                  <v:path/>
                  <v:fill on="t" focussize="0,0"/>
                  <v:stroke on="f"/>
                  <v:imagedata o:title=""/>
                  <o:lock v:ext="edit"/>
                </v:rect>
              </w:pict>
            </w:r>
            <w:r>
              <w:pict>
                <v:rect id="_x0000_s1390" o:spid="_x0000_s1390" o:spt="1" style="position:absolute;left:0pt;margin-left:212.15pt;margin-top:417pt;height:11.35pt;width:0.7pt;mso-position-horizontal-relative:page;mso-position-vertical-relative:page;z-index:251956224;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914240" behindDoc="1" locked="0" layoutInCell="1" allowOverlap="1">
                      <wp:simplePos x="0" y="0"/>
                      <wp:positionH relativeFrom="rightMargin">
                        <wp:posOffset>-3464560</wp:posOffset>
                      </wp:positionH>
                      <wp:positionV relativeFrom="topMargin">
                        <wp:posOffset>1014095</wp:posOffset>
                      </wp:positionV>
                      <wp:extent cx="60325" cy="51435"/>
                      <wp:effectExtent l="0" t="0" r="0" b="0"/>
                      <wp:wrapNone/>
                      <wp:docPr id="102" name="Rect 102"/>
                      <wp:cNvGraphicFramePr/>
                      <a:graphic xmlns:a="http://schemas.openxmlformats.org/drawingml/2006/main">
                        <a:graphicData uri="http://schemas.microsoft.com/office/word/2010/wordprocessingShape">
                          <wps:wsp>
                            <wps:cNvSpPr/>
                            <wps:spPr>
                              <a:xfrm>
                                <a:off x="-3464888" y="1014620"/>
                                <a:ext cx="60325" cy="51435"/>
                              </a:xfrm>
                              <a:prstGeom prst="rect">
                                <a:avLst/>
                              </a:prstGeom>
                              <a:solidFill>
                                <a:srgbClr val="40404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2" o:spid="_x0000_s1026" o:spt="1" style="position:absolute;left:0pt;margin-left:190.95pt;margin-top:80.6pt;height:4.05pt;width:4.75pt;mso-position-horizontal-relative:page;mso-position-vertical-relative:page;z-index:-251402240;mso-width-relative:page;mso-height-relative:page;" fillcolor="#404040" filled="t" stroked="f" coordsize="21600,21600" o:gfxdata="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qmNl7aAAAADQEAAA8AAAAAAAAAAQAgAAAAIgAAAGRycy9kb3ducmV2Lnht&#10;bFBLAQIUABQAAAAIAIdO4kAuC58LMAIAAHAEAAAOAAAAAAAAAAEAIAAAACkBAABkcnMvZTJvRG9j&#10;LnhtbFBLBQYAAAAABgAGAFkBAADLBQAAAAA=&#10;">
                      <v:fill on="t" focussize="0,0"/>
                      <v:stroke on="f" weight="0pt"/>
                      <v:imagedata o:title=""/>
                      <o:lock v:ext="edit" aspectratio="f"/>
                      <v:textbox inset="0mm,0mm,0mm,0mm"/>
                    </v:rect>
                  </w:pict>
                </mc:Fallback>
              </mc:AlternateContent>
            </w:r>
            <w:r>
              <w:pict>
                <v:shape id="_x0000_s1391" o:spid="_x0000_s1391" o:spt="202" type="#_x0000_t202" style="position:absolute;left:0pt;margin-left:128.5pt;margin-top:277.85pt;height:18.45pt;width:11.2pt;mso-position-horizontal-relative:page;mso-position-vertical-relative:page;z-index:251948032;mso-width-relative:page;mso-height-relative:page;" filled="f" stroked="f" coordsize="21600,21600">
                  <v:path/>
                  <v:fill on="f" focussize="0,0"/>
                  <v:stroke on="f"/>
                  <v:imagedata o:title=""/>
                  <o:lock v:ext="edit" aspectratio="f"/>
                  <v:textbox inset="0mm,0mm,0mm,0mm" style="layout-flow:vertical-ideographic;">
                    <w:txbxContent>
                      <w:p>
                        <w:pPr>
                          <w:pStyle w:val="6"/>
                          <w:spacing w:before="19" w:line="236" w:lineRule="auto"/>
                          <w:ind w:left="20"/>
                        </w:pPr>
                        <w:r>
                          <w:rPr>
                            <w:spacing w:val="3"/>
                          </w:rPr>
                          <w:t>回</w:t>
                        </w:r>
                        <w:r>
                          <w:rPr>
                            <w:spacing w:val="-28"/>
                          </w:rPr>
                          <w:t xml:space="preserve"> </w:t>
                        </w:r>
                        <w:r>
                          <w:rPr>
                            <w:spacing w:val="3"/>
                          </w:rPr>
                          <w:t>流</w:t>
                        </w:r>
                      </w:p>
                    </w:txbxContent>
                  </v:textbox>
                </v:shape>
              </w:pict>
            </w:r>
            <w:r>
              <w:pict>
                <v:shape id="_x0000_s1392" o:spid="_x0000_s1392" style="position:absolute;left:0pt;margin-left:223.7pt;margin-top:92.4pt;height:0.6pt;width:37.8pt;mso-position-horizontal-relative:page;mso-position-vertical-relative:page;z-index:251980800;mso-width-relative:page;mso-height-relative:page;" filled="f" stroked="t" coordsize="755,12" path="m6,5l748,5e">
                  <v:fill on="f" focussize="0,0"/>
                  <v:stroke weight="0.63pt" color="#04ABFB" miterlimit="10" endcap="round"/>
                  <v:imagedata o:title=""/>
                  <o:lock v:ext="edit"/>
                </v:shape>
              </w:pict>
            </w:r>
            <w:r>
              <w:pict>
                <v:shape id="_x0000_s1393" o:spid="_x0000_s1393" style="position:absolute;left:0pt;margin-left:260.8pt;margin-top:112.5pt;height:0.6pt;width:64.35pt;mso-position-horizontal-relative:page;mso-position-vertical-relative:page;z-index:-251407360;mso-width-relative:page;mso-height-relative:page;" filled="f" stroked="t" coordsize="1286,12" path="m6,5l1280,5e">
                  <v:fill on="f" focussize="0,0"/>
                  <v:stroke weight="0.63pt" color="#04ABFB" miterlimit="10" endcap="round"/>
                  <v:imagedata o:title=""/>
                  <o:lock v:ext="edit"/>
                </v:shape>
              </w:pict>
            </w:r>
            <w:r>
              <w:pict>
                <v:shape id="_x0000_s1394" o:spid="_x0000_s1394" o:spt="202" type="#_x0000_t202" style="position:absolute;left:0pt;margin-left:282.35pt;margin-top:153.55pt;height:18.45pt;width:11.15pt;mso-position-horizontal-relative:page;mso-position-vertical-relative:page;z-index:251951104;mso-width-relative:page;mso-height-relative:page;" filled="f" stroked="f" coordsize="21600,21600">
                  <v:path/>
                  <v:fill on="f" focussize="0,0"/>
                  <v:stroke on="f"/>
                  <v:imagedata o:title=""/>
                  <o:lock v:ext="edit" aspectratio="f"/>
                  <v:textbox inset="0mm,0mm,0mm,0mm" style="layout-flow:vertical-ideographic;">
                    <w:txbxContent>
                      <w:p>
                        <w:pPr>
                          <w:pStyle w:val="6"/>
                          <w:spacing w:before="19" w:line="234" w:lineRule="auto"/>
                          <w:ind w:left="20"/>
                        </w:pPr>
                        <w:r>
                          <w:rPr>
                            <w:spacing w:val="3"/>
                          </w:rPr>
                          <w:t>废</w:t>
                        </w:r>
                        <w:r>
                          <w:rPr>
                            <w:spacing w:val="-28"/>
                          </w:rPr>
                          <w:t xml:space="preserve"> </w:t>
                        </w:r>
                        <w:r>
                          <w:rPr>
                            <w:spacing w:val="3"/>
                          </w:rPr>
                          <w:t>水</w:t>
                        </w:r>
                      </w:p>
                    </w:txbxContent>
                  </v:textbox>
                </v:shape>
              </w:pict>
            </w:r>
            <w:r>
              <w:pict>
                <v:shape id="_x0000_s1395" o:spid="_x0000_s1395" style="position:absolute;left:0pt;margin-left:227.2pt;margin-top:308.35pt;height:0.6pt;width:34.3pt;mso-position-horizontal-relative:page;mso-position-vertical-relative:page;z-index:-251408384;mso-width-relative:page;mso-height-relative:page;" filled="f" stroked="t" coordsize="685,12" path="m678,5l6,5e">
                  <v:fill on="f" focussize="0,0"/>
                  <v:stroke weight="0.63pt" color="#04ABFB" miterlimit="10" endcap="round"/>
                  <v:imagedata o:title=""/>
                  <o:lock v:ext="edit"/>
                </v:shape>
              </w:pict>
            </w:r>
            <w:r>
              <w:pict>
                <v:shape id="_x0000_s1396" o:spid="_x0000_s1396" o:spt="202" type="#_x0000_t202" style="position:absolute;left:0pt;margin-left:283.9pt;margin-top:287.55pt;height:35.65pt;width:11.15pt;mso-position-horizontal-relative:page;mso-position-vertical-relative:page;z-index:251950080;mso-width-relative:page;mso-height-relative:page;" filled="f" stroked="f" coordsize="21600,21600">
                  <v:path/>
                  <v:fill on="f" focussize="0,0"/>
                  <v:stroke on="f"/>
                  <v:imagedata o:title=""/>
                  <o:lock v:ext="edit" aspectratio="f"/>
                  <v:textbox inset="0mm,0mm,0mm,0mm" style="layout-flow:vertical-ideographic;">
                    <w:txbxContent>
                      <w:p>
                        <w:pPr>
                          <w:pStyle w:val="6"/>
                          <w:spacing w:before="19" w:line="234" w:lineRule="auto"/>
                          <w:ind w:left="20"/>
                        </w:pPr>
                        <w:r>
                          <w:rPr>
                            <w:spacing w:val="28"/>
                          </w:rPr>
                          <w:t>反洗废水</w:t>
                        </w:r>
                      </w:p>
                    </w:txbxContent>
                  </v:textbox>
                </v:shape>
              </w:pict>
            </w:r>
            <w:r>
              <w:pict>
                <v:shape id="_x0000_s1397" o:spid="_x0000_s1397" style="position:absolute;left:0pt;margin-left:193.1pt;margin-top:70.5pt;height:11.35pt;width:0.7pt;mso-position-horizontal-relative:page;mso-position-vertical-relative:page;z-index:-251403264;mso-width-relative:page;mso-height-relative:page;" filled="f" stroked="t" coordsize="13,227" path="m6,5l6,220e">
                  <v:fill on="f" focussize="0,0"/>
                  <v:stroke weight="0.63pt" color="#404040" miterlimit="10" endcap="round"/>
                  <v:imagedata o:title=""/>
                  <o:lock v:ext="edit"/>
                </v:shape>
              </w:pict>
            </w:r>
            <w:r>
              <w:pict>
                <v:group id="_x0000_s1398" o:spid="_x0000_s1398" o:spt="203" style="position:absolute;left:0pt;margin-left:223.7pt;margin-top:77.5pt;height:11.95pt;width:23.4pt;mso-position-horizontal-relative:page;mso-position-vertical-relative:page;z-index:251955200;mso-width-relative:page;mso-height-relative:page;" coordsize="467,238">
                  <o:lock v:ext="edit"/>
                  <v:shape id="_x0000_s1399" o:spid="_x0000_s1399" style="position:absolute;left:0;top:56;height:182;width:425;" filled="f" stroked="t" coordsize="425,182" path="m6,175l417,175,417,5e">
                    <v:fill on="f" focussize="0,0"/>
                    <v:stroke weight="0.63pt" color="#000000" miterlimit="10" dashstyle="dash" endcap="round"/>
                    <v:imagedata o:title=""/>
                    <o:lock v:ext="edit"/>
                  </v:shape>
                  <v:shape id="_x0000_s1400" o:spid="_x0000_s1400" style="position:absolute;left:367;top:0;height:83;width:101;" fillcolor="#000000" filled="t" stroked="f" coordsize="101,83" path="m50,0l100,80,96,83c66,70,31,70,2,83l0,80,50,0xe">
                    <v:fill on="t" focussize="0,0"/>
                    <v:stroke on="f"/>
                    <v:imagedata o:title=""/>
                    <o:lock v:ext="edit"/>
                  </v:shape>
                </v:group>
              </w:pict>
            </w:r>
            <w:r>
              <w:pict>
                <v:shape id="_x0000_s1401" o:spid="_x0000_s1401" o:spt="202" type="#_x0000_t202" style="position:absolute;left:0pt;margin-left:347pt;margin-top:118.6pt;height:10.5pt;width:33.75pt;mso-position-horizontal-relative:page;mso-position-vertical-relative:page;z-index:251949056;mso-width-relative:page;mso-height-relative:page;" filled="f" stroked="f" coordsize="21600,21600">
                  <v:path/>
                  <v:fill on="f" focussize="0,0"/>
                  <v:stroke on="f"/>
                  <v:imagedata o:title=""/>
                  <o:lock v:ext="edit" aspectratio="f"/>
                  <v:textbox inset="0mm,0mm,0mm,0mm">
                    <w:txbxContent>
                      <w:p>
                        <w:pPr>
                          <w:pStyle w:val="6"/>
                          <w:spacing w:before="19" w:line="224" w:lineRule="auto"/>
                          <w:ind w:left="20"/>
                        </w:pPr>
                        <w:r>
                          <w:rPr>
                            <w:spacing w:val="18"/>
                          </w:rPr>
                          <w:t>恶臭废气</w:t>
                        </w:r>
                      </w:p>
                    </w:txbxContent>
                  </v:textbox>
                </v:shape>
              </w:pict>
            </w:r>
            <w:r>
              <w:pict>
                <v:group id="_x0000_s1402" o:spid="_x0000_s1402" o:spt="203" style="position:absolute;left:0pt;margin-left:350.05pt;margin-top:128.9pt;height:15.95pt;width:16pt;mso-position-horizontal-relative:page;mso-position-vertical-relative:page;z-index:251954176;mso-width-relative:page;mso-height-relative:page;" coordsize="320,318">
                  <o:lock v:ext="edit"/>
                  <v:shape id="_x0000_s1403" o:spid="_x0000_s1403" style="position:absolute;left:0;top:56;height:262;width:285;" filled="f" stroked="t" coordsize="285,262" path="m6,256l277,256,277,5e">
                    <v:fill on="f" focussize="0,0"/>
                    <v:stroke weight="0.63pt" color="#404040" miterlimit="10" dashstyle="dash" endcap="round"/>
                    <v:imagedata o:title=""/>
                    <o:lock v:ext="edit"/>
                  </v:shape>
                  <v:shape id="_x0000_s1404" o:spid="_x0000_s1404" style="position:absolute;left:225;top:0;height:81;width:95;" fillcolor="#404040" filled="t" stroked="f" coordsize="95,81" path="m51,0l91,80,94,80c64,67,29,67,0,80l1,80,51,0xe">
                    <v:fill on="t" focussize="0,0"/>
                    <v:stroke on="f"/>
                    <v:imagedata o:title=""/>
                    <o:lock v:ext="edit"/>
                  </v:shape>
                </v:group>
              </w:pict>
            </w:r>
            <w:r>
              <w:pict>
                <v:group id="_x0000_s1405" o:spid="_x0000_s1405" o:spt="203" style="position:absolute;left:0pt;margin-left:186.45pt;margin-top:137.1pt;height:21.8pt;width:13.6pt;mso-position-horizontal-relative:page;mso-position-vertical-relative:page;z-index:251981824;mso-width-relative:page;mso-height-relative:page;" coordsize="272,435">
                  <o:lock v:ext="edit"/>
                  <v:shape id="_x0000_s1406" o:spid="_x0000_s1406" o:spt="202" type="#_x0000_t202" style="position:absolute;left:-20;top:-20;height:499;width:312;" filled="f" stroked="f" coordsize="21600,21600">
                    <v:path/>
                    <v:fill on="f" focussize="0,0"/>
                    <v:stroke on="f"/>
                    <v:imagedata o:title=""/>
                    <o:lock v:ext="edit" aspectratio="f"/>
                    <v:textbox inset="0mm,0mm,0mm,0mm">
                      <w:txbxContent>
                        <w:p>
                          <w:pPr>
                            <w:pStyle w:val="6"/>
                            <w:spacing w:before="175" w:line="239" w:lineRule="auto"/>
                            <w:ind w:left="163"/>
                            <w:rPr>
                              <w:sz w:val="11"/>
                              <w:szCs w:val="11"/>
                            </w:rPr>
                          </w:pPr>
                          <w:r>
                            <w:rPr>
                              <w:spacing w:val="17"/>
                              <w:sz w:val="11"/>
                              <w:szCs w:val="11"/>
                            </w:rPr>
                            <w:t>流</w:t>
                          </w:r>
                        </w:p>
                      </w:txbxContent>
                    </v:textbox>
                  </v:shape>
                </v:group>
              </w:pict>
            </w:r>
            <w:r>
              <w:pict>
                <v:shape id="_x0000_s1407" o:spid="_x0000_s1407" o:spt="202" type="#_x0000_t202" style="position:absolute;left:0pt;margin-left:298.15pt;margin-top:136.75pt;height:16.05pt;width:53.35pt;mso-position-horizontal-relative:page;mso-position-vertical-relative:page;z-index:2519347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21"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02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70" w:hRule="atLeast"/>
                          </w:trPr>
                          <w:tc>
                            <w:tcPr>
                              <w:tcW w:w="1021" w:type="dxa"/>
                              <w:vAlign w:val="top"/>
                            </w:tcPr>
                            <w:p>
                              <w:pPr>
                                <w:pStyle w:val="6"/>
                                <w:spacing w:before="46" w:line="230" w:lineRule="auto"/>
                                <w:ind w:left="238"/>
                                <w:rPr>
                                  <w:sz w:val="16"/>
                                  <w:szCs w:val="16"/>
                                </w:rPr>
                              </w:pPr>
                              <w:r>
                                <w:rPr>
                                  <w:spacing w:val="24"/>
                                  <w:sz w:val="16"/>
                                  <w:szCs w:val="16"/>
                                </w:rPr>
                                <w:t>污泥池</w:t>
                              </w:r>
                            </w:p>
                          </w:tc>
                        </w:tr>
                      </w:tbl>
                      <w:p>
                        <w:pPr>
                          <w:rPr>
                            <w:rFonts w:ascii="Arial"/>
                            <w:sz w:val="21"/>
                          </w:rPr>
                        </w:pPr>
                      </w:p>
                    </w:txbxContent>
                  </v:textbox>
                </v:shape>
              </w:pict>
            </w:r>
            <w:r>
              <w:pict>
                <v:shape id="_x0000_s1408" o:spid="_x0000_s1408" style="position:absolute;left:0pt;margin-left:211.65pt;margin-top:144.5pt;height:49.1pt;width:86.45pt;mso-position-horizontal-relative:page;mso-position-vertical-relative:page;z-index:-251405312;mso-width-relative:page;mso-height-relative:page;" filled="f" stroked="t" coordsize="1728,981" path="m1721,975l1350,975,1350,36,1019,36,1024,34c1024,18,1010,5,992,5c975,5,961,18,961,34l959,36,6,36,6,224e">
                  <v:fill on="f" focussize="0,0"/>
                  <v:stroke weight="0.63pt" color="#000000" miterlimit="10" dashstyle="dash" endcap="round"/>
                  <v:imagedata o:title=""/>
                  <o:lock v:ext="edit"/>
                </v:shape>
              </w:pict>
            </w:r>
            <w:r>
              <w:pict>
                <v:shape id="_x0000_s1409" o:spid="_x0000_s1409" o:spt="202" type="#_x0000_t202" style="position:absolute;left:0pt;margin-left:347pt;margin-top:158.2pt;height:20pt;width:33.75pt;mso-position-horizontal-relative:page;mso-position-vertical-relative:page;z-index:251933696;mso-width-relative:page;mso-height-relative:page;" filled="f" stroked="f" coordsize="21600,21600">
                  <v:path/>
                  <v:fill on="f" focussize="0,0"/>
                  <v:stroke on="f"/>
                  <v:imagedata o:title=""/>
                  <o:lock v:ext="edit" aspectratio="f"/>
                  <v:textbox inset="0mm,0mm,0mm,0mm">
                    <w:txbxContent>
                      <w:p>
                        <w:pPr>
                          <w:pStyle w:val="6"/>
                          <w:spacing w:before="20" w:line="224" w:lineRule="auto"/>
                          <w:ind w:left="169"/>
                        </w:pPr>
                        <w:r>
                          <w:rPr>
                            <w:spacing w:val="8"/>
                          </w:rPr>
                          <w:t>噪</w:t>
                        </w:r>
                        <w:r>
                          <w:rPr>
                            <w:spacing w:val="-24"/>
                          </w:rPr>
                          <w:t xml:space="preserve"> </w:t>
                        </w:r>
                        <w:r>
                          <w:rPr>
                            <w:spacing w:val="8"/>
                          </w:rPr>
                          <w:t>声</w:t>
                        </w:r>
                      </w:p>
                      <w:p>
                        <w:pPr>
                          <w:pStyle w:val="6"/>
                          <w:spacing w:before="19" w:line="224" w:lineRule="auto"/>
                          <w:ind w:left="20"/>
                        </w:pPr>
                        <w:r>
                          <w:rPr>
                            <w:spacing w:val="18"/>
                          </w:rPr>
                          <w:t>恶臭废气</w:t>
                        </w:r>
                      </w:p>
                    </w:txbxContent>
                  </v:textbox>
                </v:shape>
              </w:pict>
            </w:r>
            <w:r>
              <w:pict>
                <v:group id="_x0000_s1410" o:spid="_x0000_s1410" o:spt="203" style="position:absolute;left:0pt;margin-left:352.05pt;margin-top:175.4pt;height:18.2pt;width:14pt;mso-position-horizontal-relative:page;mso-position-vertical-relative:page;z-index:251979776;mso-width-relative:page;mso-height-relative:page;" coordsize="280,364">
                  <o:lock v:ext="edit"/>
                  <v:shape id="_x0000_s1411" o:spid="_x0000_s1411" style="position:absolute;left:0;top:56;height:307;width:243;" filled="f" stroked="t" coordsize="243,307" path="m6,301l237,301,237,5e">
                    <v:fill on="f" focussize="0,0"/>
                    <v:stroke weight="0.63pt" color="#404040" miterlimit="10" dashstyle="dash" endcap="round"/>
                    <v:imagedata o:title=""/>
                    <o:lock v:ext="edit"/>
                  </v:shape>
                  <v:shape id="_x0000_s1412" o:spid="_x0000_s1412" style="position:absolute;left:185;top:0;height:81;width:95;" fillcolor="#404040" filled="t" stroked="f" coordsize="95,81" path="m51,0l91,80,94,79c64,66,29,66,0,79l1,80,51,0xe">
                    <v:fill on="t" focussize="0,0"/>
                    <v:stroke on="f"/>
                    <v:imagedata o:title=""/>
                    <o:lock v:ext="edit"/>
                  </v:shape>
                </v:group>
              </w:pict>
            </w:r>
            <w:r>
              <w:pict>
                <v:group id="_x0000_s1413" o:spid="_x0000_s1413" o:spt="203" style="position:absolute;left:0pt;margin-left:322.6pt;margin-top:200.6pt;height:26.7pt;width:4.75pt;mso-position-horizontal-relative:page;mso-position-vertical-relative:page;z-index:251957248;mso-width-relative:page;mso-height-relative:page;" coordsize="95,534">
                  <o:lock v:ext="edit"/>
                  <v:shape id="_x0000_s1414" o:spid="_x0000_s1414" style="position:absolute;left:37;top:0;height:477;width:13;" filled="f" stroked="t" coordsize="13,477" path="m6,5l6,470e">
                    <v:fill on="f" focussize="0,0"/>
                    <v:stroke weight="0.63pt" color="#04ABFB" miterlimit="10" endcap="round"/>
                    <v:imagedata o:title=""/>
                    <o:lock v:ext="edit"/>
                  </v:shape>
                  <v:shape id="_x0000_s1415" o:spid="_x0000_s1415" style="position:absolute;left:0;top:444;height:90;width:95;" fillcolor="#04ABFB" filled="t" stroked="f" coordsize="95,90" path="m44,89l4,0,0,3c29,16,64,16,94,3l94,0,44,89xe">
                    <v:fill on="t" focussize="0,0"/>
                    <v:stroke on="f"/>
                    <v:imagedata o:title=""/>
                    <o:lock v:ext="edit"/>
                  </v:shape>
                </v:group>
              </w:pict>
            </w:r>
            <w:r>
              <w:pict>
                <v:group id="_x0000_s1416" o:spid="_x0000_s1416" o:spt="203" style="position:absolute;left:0pt;margin-left:186.45pt;margin-top:209.55pt;height:22.25pt;width:13.6pt;mso-position-horizontal-relative:page;mso-position-vertical-relative:page;z-index:251972608;mso-width-relative:page;mso-height-relative:page;" coordsize="272,445">
                  <o:lock v:ext="edit"/>
                  <v:shape id="_x0000_s1417" o:spid="_x0000_s1417" o:spt="202" type="#_x0000_t202" style="position:absolute;left:-20;top:-20;height:507;width:312;" filled="f" stroked="f" coordsize="21600,21600">
                    <v:path/>
                    <v:fill on="f" focussize="0,0"/>
                    <v:stroke on="f"/>
                    <v:imagedata o:title=""/>
                    <o:lock v:ext="edit" aspectratio="f"/>
                    <v:textbox inset="0mm,0mm,0mm,0mm">
                      <w:txbxContent>
                        <w:p>
                          <w:pPr>
                            <w:pStyle w:val="6"/>
                            <w:spacing w:before="181" w:line="239" w:lineRule="auto"/>
                            <w:ind w:left="163"/>
                            <w:rPr>
                              <w:sz w:val="11"/>
                              <w:szCs w:val="11"/>
                            </w:rPr>
                          </w:pPr>
                          <w:r>
                            <w:rPr>
                              <w:spacing w:val="17"/>
                              <w:sz w:val="11"/>
                              <w:szCs w:val="11"/>
                            </w:rPr>
                            <w:t>流</w:t>
                          </w:r>
                        </w:p>
                      </w:txbxContent>
                    </v:textbox>
                  </v:shape>
                </v:group>
              </w:pict>
            </w:r>
            <w:r>
              <w:pict>
                <v:shape id="_x0000_s1418" o:spid="_x0000_s1418" o:spt="202" type="#_x0000_t202" style="position:absolute;left:0pt;margin-left:332.2pt;margin-top:209.15pt;height:10.6pt;width:17.7pt;mso-position-horizontal-relative:page;mso-position-vertical-relative:page;z-index:251942912;mso-width-relative:page;mso-height-relative:page;" filled="f" stroked="f" coordsize="21600,21600">
                  <v:path/>
                  <v:fill on="f" focussize="0,0"/>
                  <v:stroke on="f"/>
                  <v:imagedata o:title=""/>
                  <o:lock v:ext="edit" aspectratio="f"/>
                  <v:textbox inset="0mm,0mm,0mm,0mm">
                    <w:txbxContent>
                      <w:p>
                        <w:pPr>
                          <w:pStyle w:val="6"/>
                          <w:spacing w:before="19" w:line="226" w:lineRule="auto"/>
                          <w:ind w:left="20"/>
                        </w:pPr>
                        <w:r>
                          <w:rPr>
                            <w:spacing w:val="16"/>
                          </w:rPr>
                          <w:t>污泥</w:t>
                        </w:r>
                      </w:p>
                    </w:txbxContent>
                  </v:textbox>
                </v:shape>
              </w:pict>
            </w:r>
            <w:r>
              <w:pict>
                <v:shape id="_x0000_s1419" o:spid="_x0000_s1419" o:spt="202" type="#_x0000_t202" style="position:absolute;left:0pt;margin-left:304.35pt;margin-top:227.95pt;height:19.75pt;width:41.65pt;mso-position-horizontal-relative:page;mso-position-vertical-relative:page;z-index:251932672;mso-width-relative:page;mso-height-relative:page;" filled="f" stroked="f" coordsize="21600,21600">
                  <v:path/>
                  <v:fill on="f" focussize="0,0"/>
                  <v:stroke on="f"/>
                  <v:imagedata o:title=""/>
                  <o:lock v:ext="edit" aspectratio="f"/>
                  <v:textbox inset="0mm,0mm,0mm,0mm">
                    <w:txbxContent>
                      <w:p>
                        <w:pPr>
                          <w:pStyle w:val="6"/>
                          <w:spacing w:before="19" w:line="234" w:lineRule="auto"/>
                          <w:ind w:left="177" w:right="20" w:hanging="157"/>
                        </w:pPr>
                        <w:r>
                          <w:rPr>
                            <w:spacing w:val="18"/>
                          </w:rPr>
                          <w:t>外委资质单</w:t>
                        </w:r>
                        <w:r>
                          <w:rPr>
                            <w:spacing w:val="1"/>
                          </w:rPr>
                          <w:t xml:space="preserve"> </w:t>
                        </w:r>
                        <w:r>
                          <w:rPr>
                            <w:spacing w:val="18"/>
                          </w:rPr>
                          <w:t>位处理</w:t>
                        </w:r>
                      </w:p>
                    </w:txbxContent>
                  </v:textbox>
                </v:shape>
              </w:pict>
            </w:r>
            <w:r>
              <w:pict>
                <v:shape id="_x0000_s1420" o:spid="_x0000_s1420" o:spt="202" type="#_x0000_t202" style="position:absolute;left:0pt;margin-left:90.35pt;margin-top:229.25pt;height:19.9pt;width:41.1pt;mso-position-horizontal-relative:page;mso-position-vertical-relative:page;z-index:251941888;mso-width-relative:page;mso-height-relative:page;" filled="f" stroked="f" coordsize="21600,21600">
                  <v:path/>
                  <v:fill on="f" focussize="0,0"/>
                  <v:stroke on="f"/>
                  <v:imagedata o:title=""/>
                  <o:lock v:ext="edit" aspectratio="f"/>
                  <v:textbox inset="0mm,0mm,0mm,0mm">
                    <w:txbxContent>
                      <w:p>
                        <w:pPr>
                          <w:pStyle w:val="6"/>
                          <w:spacing w:before="20" w:line="250" w:lineRule="auto"/>
                          <w:ind w:left="20" w:right="20" w:firstLine="52"/>
                          <w:rPr>
                            <w:rFonts w:ascii="Times New Roman" w:hAnsi="Times New Roman" w:eastAsia="Times New Roman" w:cs="Times New Roman"/>
                          </w:rPr>
                        </w:pPr>
                        <w:r>
                          <w:rPr>
                            <w:spacing w:val="16"/>
                          </w:rPr>
                          <w:t>氢氧化钠</w:t>
                        </w:r>
                        <w:r>
                          <w:rPr>
                            <w:rFonts w:ascii="Times New Roman" w:hAnsi="Times New Roman" w:eastAsia="Times New Roman" w:cs="Times New Roman"/>
                            <w:spacing w:val="16"/>
                          </w:rPr>
                          <w:t>/</w:t>
                        </w:r>
                        <w:r>
                          <w:rPr>
                            <w:rFonts w:ascii="Times New Roman" w:hAnsi="Times New Roman" w:eastAsia="Times New Roman" w:cs="Times New Roman"/>
                          </w:rPr>
                          <w:t xml:space="preserve">  </w:t>
                        </w:r>
                        <w:r>
                          <w:rPr>
                            <w:rFonts w:ascii="Times New Roman" w:hAnsi="Times New Roman" w:eastAsia="Times New Roman" w:cs="Times New Roman"/>
                            <w:spacing w:val="10"/>
                          </w:rPr>
                          <w:t>PAC / PAM</w:t>
                        </w:r>
                      </w:p>
                    </w:txbxContent>
                  </v:textbox>
                </v:shape>
              </w:pict>
            </w:r>
            <w:r>
              <w:pict>
                <v:group id="_x0000_s1421" o:spid="_x0000_s1421" o:spt="203" style="position:absolute;left:0pt;margin-left:133.45pt;margin-top:236.2pt;height:4.25pt;width:25.95pt;mso-position-horizontal-relative:page;mso-position-vertical-relative:page;z-index:251984896;mso-width-relative:page;mso-height-relative:page;" coordsize="519,85">
                  <o:lock v:ext="edit"/>
                  <v:shape id="_x0000_s1422" o:spid="_x0000_s1422" style="position:absolute;left:0;top:38;height:12;width:455;" filled="f" stroked="t" coordsize="455,12" path="m6,5l447,5e">
                    <v:fill on="f" focussize="0,0"/>
                    <v:stroke weight="0.63pt" color="#0930E8" miterlimit="10" endcap="round"/>
                    <v:imagedata o:title=""/>
                    <o:lock v:ext="edit"/>
                  </v:shape>
                  <v:shape id="_x0000_s1423" o:spid="_x0000_s1423" style="position:absolute;left:417;top:0;height:85;width:101;" fillcolor="#0930E8" filled="t" stroked="f" coordsize="101,85" path="m100,44l0,80,4,84c19,58,19,27,4,0l0,0,100,44xe">
                    <v:fill on="t" focussize="0,0"/>
                    <v:stroke on="f"/>
                    <v:imagedata o:title=""/>
                    <o:lock v:ext="edit"/>
                  </v:shape>
                </v:group>
              </w:pict>
            </w:r>
            <w:r>
              <w:pict>
                <v:shape id="_x0000_s1424" o:spid="_x0000_s1424" o:spt="202" type="#_x0000_t202" style="position:absolute;left:0pt;margin-left:233.65pt;margin-top:245.85pt;height:19.8pt;width:17.8pt;mso-position-horizontal-relative:page;mso-position-vertical-relative:page;z-index:251938816;mso-width-relative:page;mso-height-relative:page;" filled="f" stroked="f" coordsize="21600,21600">
                  <v:path/>
                  <v:fill on="f" focussize="0,0"/>
                  <v:stroke on="f"/>
                  <v:imagedata o:title=""/>
                  <o:lock v:ext="edit" aspectratio="f"/>
                  <v:textbox inset="0mm,0mm,0mm,0mm">
                    <w:txbxContent>
                      <w:p>
                        <w:pPr>
                          <w:pStyle w:val="6"/>
                          <w:spacing w:before="19" w:line="235" w:lineRule="auto"/>
                          <w:ind w:left="20" w:right="20" w:firstLine="1"/>
                        </w:pPr>
                        <w:r>
                          <w:rPr>
                            <w:spacing w:val="16"/>
                          </w:rPr>
                          <w:t>恶臭</w:t>
                        </w:r>
                        <w:r>
                          <w:t xml:space="preserve"> </w:t>
                        </w:r>
                        <w:r>
                          <w:rPr>
                            <w:spacing w:val="17"/>
                          </w:rPr>
                          <w:t>废气</w:t>
                        </w:r>
                      </w:p>
                    </w:txbxContent>
                  </v:textbox>
                </v:shape>
              </w:pict>
            </w:r>
            <w:r>
              <w:pict>
                <v:shape id="_x0000_s1425" o:spid="_x0000_s1425" o:spt="202" type="#_x0000_t202" style="position:absolute;left:0pt;margin-left:192.6pt;margin-top:251.8pt;height:9.15pt;width:8.4pt;mso-position-horizontal-relative:page;mso-position-vertical-relative:page;z-index:251937792;mso-width-relative:page;mso-height-relative:page;" filled="f" stroked="f" coordsize="21600,21600">
                  <v:path/>
                  <v:fill on="f" focussize="0,0"/>
                  <v:stroke on="f"/>
                  <v:imagedata o:title=""/>
                  <o:lock v:ext="edit" aspectratio="f"/>
                  <v:textbox inset="0mm,0mm,0mm,0mm">
                    <w:txbxContent>
                      <w:p>
                        <w:pPr>
                          <w:pStyle w:val="6"/>
                          <w:spacing w:before="19" w:line="239" w:lineRule="auto"/>
                          <w:ind w:left="20"/>
                          <w:rPr>
                            <w:sz w:val="11"/>
                            <w:szCs w:val="11"/>
                          </w:rPr>
                        </w:pPr>
                        <w:r>
                          <w:rPr>
                            <w:spacing w:val="17"/>
                            <w:sz w:val="11"/>
                            <w:szCs w:val="11"/>
                          </w:rPr>
                          <w:t>流</w:t>
                        </w:r>
                      </w:p>
                    </w:txbxContent>
                  </v:textbox>
                </v:shape>
              </w:pict>
            </w:r>
            <w:r>
              <w:pict>
                <v:group id="_x0000_s1426" o:spid="_x0000_s1426" o:spt="203" style="position:absolute;left:0pt;margin-left:213.7pt;margin-top:253.5pt;height:13.45pt;width:19.4pt;mso-position-horizontal-relative:page;mso-position-vertical-relative:page;z-index:251973632;mso-width-relative:page;mso-height-relative:page;" coordsize="387,268">
                  <o:lock v:ext="edit"/>
                  <v:shape id="_x0000_s1427" o:spid="_x0000_s1427" style="position:absolute;left:0;top:32;height:236;width:325;" filled="f" stroked="t" coordsize="325,236" path="m6,229l6,5,317,5e">
                    <v:fill on="f" focussize="0,0"/>
                    <v:stroke weight="0.63pt" color="#000000" miterlimit="10" dashstyle="dash" endcap="round"/>
                    <v:imagedata o:title=""/>
                    <o:lock v:ext="edit"/>
                  </v:shape>
                  <v:shape id="_x0000_s1428" o:spid="_x0000_s1428" style="position:absolute;left:287;top:0;height:83;width:101;" fillcolor="#000000" filled="t" stroked="f" coordsize="101,83" path="m100,38l0,83,3,83c18,57,18,26,3,0l0,2,100,38xe">
                    <v:fill on="t" focussize="0,0"/>
                    <v:stroke on="f"/>
                    <v:imagedata o:title=""/>
                    <o:lock v:ext="edit"/>
                  </v:shape>
                </v:group>
              </w:pict>
            </w:r>
            <w:r>
              <w:pict>
                <v:group id="_x0000_s1429" o:spid="_x0000_s1429" o:spt="203" style="position:absolute;left:0pt;margin-left:144.25pt;margin-top:271.95pt;height:36.75pt;width:15.25pt;mso-position-horizontal-relative:page;mso-position-vertical-relative:page;z-index:251982848;mso-width-relative:page;mso-height-relative:page;" coordsize="305,735">
                  <o:lock v:ext="edit"/>
                  <v:shape id="_x0000_s1430" o:spid="_x0000_s1430" style="position:absolute;left:0;top:34;height:700;width:305;" filled="f" stroked="t" coordsize="305,700" path="m302,698l1,698,1,1,202,1e">
                    <v:fill on="f" focussize="0,0"/>
                    <v:stroke weight="0.16pt" color="#000000" miterlimit="10" endcap="round"/>
                    <v:imagedata o:title=""/>
                    <o:lock v:ext="edit"/>
                  </v:shape>
                  <v:shape id="_x0000_s1431" o:spid="_x0000_s1431" style="position:absolute;left:192;top:0;height:63;width:111;" fillcolor="#000000" filled="t" stroked="f" coordsize="111,63" path="m0,0l110,35,0,62,0,0xe">
                    <v:fill on="t" focussize="0,0"/>
                    <v:stroke on="f"/>
                    <v:imagedata o:title=""/>
                    <o:lock v:ext="edit"/>
                  </v:shape>
                </v:group>
              </w:pict>
            </w:r>
            <w:r>
              <w:pict>
                <v:group id="_x0000_s1432" o:spid="_x0000_s1432" o:spt="203" style="position:absolute;left:0pt;margin-left:186.45pt;margin-top:280.15pt;height:21.8pt;width:13.6pt;mso-position-horizontal-relative:page;mso-position-vertical-relative:page;z-index:251970560;mso-width-relative:page;mso-height-relative:page;" coordsize="272,435">
                  <o:lock v:ext="edit"/>
                  <v:shape id="_x0000_s1433" o:spid="_x0000_s1433" o:spt="202" type="#_x0000_t202" style="position:absolute;left:-20;top:-20;height:499;width:312;" filled="f" stroked="f" coordsize="21600,21600">
                    <v:path/>
                    <v:fill on="f" focussize="0,0"/>
                    <v:stroke on="f"/>
                    <v:imagedata o:title=""/>
                    <o:lock v:ext="edit" aspectratio="f"/>
                    <v:textbox inset="0mm,0mm,0mm,0mm">
                      <w:txbxContent>
                        <w:p>
                          <w:pPr>
                            <w:pStyle w:val="6"/>
                            <w:spacing w:before="177" w:line="239" w:lineRule="auto"/>
                            <w:ind w:left="163"/>
                            <w:rPr>
                              <w:sz w:val="11"/>
                              <w:szCs w:val="11"/>
                            </w:rPr>
                          </w:pPr>
                          <w:r>
                            <w:rPr>
                              <w:spacing w:val="17"/>
                              <w:sz w:val="11"/>
                              <w:szCs w:val="11"/>
                            </w:rPr>
                            <w:t>流</w:t>
                          </w:r>
                        </w:p>
                      </w:txbxContent>
                    </v:textbox>
                  </v:shape>
                </v:group>
              </w:pict>
            </w:r>
            <w:r>
              <w:pict>
                <v:shape id="_x0000_s1434" o:spid="_x0000_s1434" o:spt="202" type="#_x0000_t202" style="position:absolute;left:0pt;margin-left:134.85pt;margin-top:317.75pt;height:10.55pt;width:17.4pt;mso-position-horizontal-relative:page;mso-position-vertical-relative:page;z-index:251923456;mso-width-relative:page;mso-height-relative:page;" filled="f" stroked="f" coordsize="21600,21600">
                  <v:path/>
                  <v:fill on="f" focussize="0,0"/>
                  <v:stroke on="f"/>
                  <v:imagedata o:title=""/>
                  <o:lock v:ext="edit" aspectratio="f"/>
                  <v:textbox inset="0mm,0mm,0mm,0mm">
                    <w:txbxContent>
                      <w:p>
                        <w:pPr>
                          <w:pStyle w:val="6"/>
                          <w:spacing w:before="20" w:line="224" w:lineRule="auto"/>
                          <w:ind w:left="20"/>
                        </w:pPr>
                        <w:r>
                          <w:rPr>
                            <w:spacing w:val="13"/>
                          </w:rPr>
                          <w:t>曝气</w:t>
                        </w:r>
                      </w:p>
                    </w:txbxContent>
                  </v:textbox>
                </v:shape>
              </w:pict>
            </w:r>
            <w:r>
              <w:pict>
                <v:shape id="_x0000_s1435" o:spid="_x0000_s1435" o:spt="202" type="#_x0000_t202" style="position:absolute;left:0pt;margin-left:233.4pt;margin-top:319.3pt;height:10.45pt;width:25.8pt;mso-position-horizontal-relative:page;mso-position-vertical-relative:page;z-index:251930624;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pPr>
                        <w:r>
                          <w:rPr>
                            <w:spacing w:val="18"/>
                          </w:rPr>
                          <w:t>废滤布</w:t>
                        </w:r>
                      </w:p>
                    </w:txbxContent>
                  </v:textbox>
                </v:shape>
              </w:pict>
            </w:r>
            <w:r>
              <w:pict>
                <v:group id="_x0000_s1436" o:spid="_x0000_s1436" o:spt="203" style="position:absolute;left:0pt;margin-left:189.95pt;margin-top:315.05pt;height:18.65pt;width:5.05pt;mso-position-horizontal-relative:page;mso-position-vertical-relative:page;z-index:251958272;mso-width-relative:page;mso-height-relative:page;" coordsize="101,372">
                  <o:lock v:ext="edit"/>
                  <v:shape id="_x0000_s1437" o:spid="_x0000_s1437" style="position:absolute;left:43;top:0;height:316;width:34;" filled="f" stroked="t" coordsize="34,316" path="m26,5l26,140,6,140,6,309e">
                    <v:fill on="f" focussize="0,0"/>
                    <v:stroke weight="0.63pt" color="#404040" miterlimit="10" endcap="round"/>
                    <v:imagedata o:title=""/>
                    <o:lock v:ext="edit"/>
                  </v:shape>
                  <v:shape id="_x0000_s1438" o:spid="_x0000_s1438" style="position:absolute;left:0;top:290;height:83;width:101;" fillcolor="#404040" filled="t" stroked="f" coordsize="101,83" path="m50,82l0,1,3,0c33,13,68,13,97,0l100,1,50,82xe">
                    <v:fill on="t" focussize="0,0"/>
                    <v:stroke on="f"/>
                    <v:imagedata o:title=""/>
                    <o:lock v:ext="edit"/>
                  </v:shape>
                </v:group>
              </w:pict>
            </w:r>
            <w:r>
              <w:pict>
                <v:group id="_x0000_s1439" o:spid="_x0000_s1439" o:spt="203" style="position:absolute;left:0pt;margin-left:169.9pt;margin-top:315.35pt;height:13.75pt;width:5.05pt;mso-position-horizontal-relative:page;mso-position-vertical-relative:page;z-index:251965440;mso-width-relative:page;mso-height-relative:page;" coordsize="101,275">
                  <o:lock v:ext="edit"/>
                  <v:shape id="_x0000_s1440" o:spid="_x0000_s1440" style="position:absolute;left:43;top:65;height:208;width:13;" filled="f" stroked="t" coordsize="13,208" path="m6,202l6,5e">
                    <v:fill on="f" focussize="0,0"/>
                    <v:stroke weight="0.63pt" color="#00B050" miterlimit="10" endcap="round"/>
                    <v:imagedata o:title=""/>
                    <o:lock v:ext="edit"/>
                  </v:shape>
                  <v:shape id="_x0000_s1441" o:spid="_x0000_s1441" style="position:absolute;left:0;top:0;height:90;width:101;" fillcolor="#00B050" filled="t" stroked="f" coordsize="101,90" path="m50,0l100,89,95,88c65,74,30,74,1,88l0,89,50,0xe">
                    <v:fill on="t" focussize="0,0"/>
                    <v:stroke on="f"/>
                    <v:imagedata o:title=""/>
                    <o:lock v:ext="edit"/>
                  </v:shape>
                </v:group>
              </w:pict>
            </w:r>
            <w:r>
              <w:pict>
                <v:shape id="_x0000_s1442" o:spid="_x0000_s1442" o:spt="202" type="#_x0000_t202" style="position:absolute;left:0pt;margin-left:95.6pt;margin-top:337.05pt;height:21.85pt;width:42.3pt;mso-position-horizontal-relative:page;mso-position-vertical-relative:page;z-index:2519296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800"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800"/>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86" w:hRule="atLeast"/>
                          </w:trPr>
                          <w:tc>
                            <w:tcPr>
                              <w:tcW w:w="800" w:type="dxa"/>
                              <w:vAlign w:val="top"/>
                            </w:tcPr>
                            <w:p>
                              <w:pPr>
                                <w:pStyle w:val="6"/>
                                <w:spacing w:before="114" w:line="223" w:lineRule="auto"/>
                                <w:ind w:left="80"/>
                              </w:pPr>
                              <w:r>
                                <w:rPr>
                                  <w:spacing w:val="18"/>
                                </w:rPr>
                                <w:t>罗茨风机</w:t>
                              </w:r>
                            </w:p>
                          </w:tc>
                        </w:tr>
                      </w:tbl>
                      <w:p>
                        <w:pPr>
                          <w:rPr>
                            <w:rFonts w:ascii="Arial"/>
                            <w:sz w:val="21"/>
                          </w:rPr>
                        </w:pPr>
                      </w:p>
                    </w:txbxContent>
                  </v:textbox>
                </v:shape>
              </w:pict>
            </w:r>
            <w:r>
              <w:pict>
                <v:shape id="_x0000_s1443" o:spid="_x0000_s1443" style="position:absolute;left:0pt;margin-left:126.45pt;margin-top:328.45pt;height:10pt;width:46.3pt;mso-position-horizontal-relative:page;mso-position-vertical-relative:page;z-index:251985920;mso-width-relative:page;mso-height-relative:page;" filled="f" stroked="t" coordsize="925,200" path="m6,193l6,5,919,5e">
                  <v:fill on="f" focussize="0,0"/>
                  <v:stroke weight="0.63pt" color="#00B050" miterlimit="10" endcap="round"/>
                  <v:imagedata o:title=""/>
                  <o:lock v:ext="edit"/>
                </v:shape>
              </w:pict>
            </w:r>
            <w:r>
              <w:pict>
                <v:group id="_x0000_s1444" o:spid="_x0000_s1444" o:spt="203" style="position:absolute;left:0pt;margin-left:225.2pt;margin-top:330.1pt;height:11.05pt;width:23.4pt;mso-position-horizontal-relative:page;mso-position-vertical-relative:page;z-index:251952128;mso-width-relative:page;mso-height-relative:page;" coordsize="467,221">
                  <o:lock v:ext="edit"/>
                  <v:shape id="_x0000_s1445" o:spid="_x0000_s1445" style="position:absolute;left:0;top:56;height:163;width:425;" filled="f" stroked="t" coordsize="425,163" path="m6,157l417,157,417,5e">
                    <v:fill on="f" focussize="0,0"/>
                    <v:stroke weight="0.63pt" color="#404040" miterlimit="10" dashstyle="dash" endcap="round"/>
                    <v:imagedata o:title=""/>
                    <o:lock v:ext="edit"/>
                  </v:shape>
                  <v:shape id="_x0000_s1446" o:spid="_x0000_s1446" style="position:absolute;left:367;top:0;height:81;width:101;" fillcolor="#404040" filled="t" stroked="f" coordsize="101,81" path="m50,0l100,80,98,81c69,68,34,68,4,81l0,80,50,0xe">
                    <v:fill on="t" focussize="0,0"/>
                    <v:stroke on="f"/>
                    <v:imagedata o:title=""/>
                    <o:lock v:ext="edit"/>
                  </v:shape>
                </v:group>
              </w:pict>
            </w:r>
            <w:r>
              <w:pict>
                <v:group id="_x0000_s1447" o:spid="_x0000_s1447" o:spt="203" style="position:absolute;left:0pt;margin-left:136.45pt;margin-top:347.7pt;height:9.7pt;width:16.4pt;mso-position-horizontal-relative:page;mso-position-vertical-relative:page;z-index:251983872;mso-width-relative:page;mso-height-relative:page;" coordsize="327,193">
                  <o:lock v:ext="edit"/>
                  <v:shape id="_x0000_s1448" o:spid="_x0000_s1448" style="position:absolute;left:0;top:0;height:128;width:285;" filled="f" stroked="t" coordsize="285,128" path="m6,5l277,5,277,122e">
                    <v:fill on="f" focussize="0,0"/>
                    <v:stroke weight="0.63pt" color="#404040" miterlimit="10" dashstyle="dash" endcap="round"/>
                    <v:imagedata o:title=""/>
                    <o:lock v:ext="edit"/>
                  </v:shape>
                  <v:shape id="_x0000_s1449" o:spid="_x0000_s1449" style="position:absolute;left:227;top:104;height:90;width:101;" fillcolor="#404040" filled="t" stroked="f" coordsize="101,90" path="m50,89l0,0,4,1c34,14,68,14,98,1l100,0,50,89xe">
                    <v:fill on="t" focussize="0,0"/>
                    <v:stroke on="f"/>
                    <v:imagedata o:title=""/>
                    <o:lock v:ext="edit"/>
                  </v:shape>
                </v:group>
              </w:pict>
            </w:r>
            <w:r>
              <w:pict>
                <v:shape id="_x0000_s1450" o:spid="_x0000_s1450" o:spt="202" type="#_x0000_t202" style="position:absolute;left:0pt;margin-left:108.95pt;margin-top:376.85pt;height:10.45pt;width:41.75pt;mso-position-horizontal-relative:page;mso-position-vertical-relative:page;z-index:251928576;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pPr>
                        <w:r>
                          <w:rPr>
                            <w:spacing w:val="12"/>
                          </w:rPr>
                          <w:t xml:space="preserve">阻垢剂 </w:t>
                        </w:r>
                        <w:r>
                          <w:rPr>
                            <w:strike/>
                          </w:rPr>
                          <w:t xml:space="preserve">    </w:t>
                        </w:r>
                      </w:p>
                    </w:txbxContent>
                  </v:textbox>
                </v:shape>
              </w:pict>
            </w:r>
            <w:r>
              <w:pict>
                <v:group id="_x0000_s1451" o:spid="_x0000_s1451" o:spt="203" style="position:absolute;left:0pt;margin-left:225.7pt;margin-top:365.4pt;height:11.5pt;width:28.95pt;mso-position-horizontal-relative:page;mso-position-vertical-relative:page;z-index:251969536;mso-width-relative:page;mso-height-relative:page;" coordsize="579,230">
                  <o:lock v:ext="edit"/>
                  <v:shape id="_x0000_s1452" o:spid="_x0000_s1452" style="position:absolute;left:0;top:65;height:163;width:535;" filled="f" stroked="t" coordsize="535,163" path="m6,157l528,157,528,5e">
                    <v:fill on="f" focussize="0,0"/>
                    <v:stroke weight="0.63pt" color="#000000" miterlimit="10" dashstyle="dash" endcap="round"/>
                    <v:imagedata o:title=""/>
                    <o:lock v:ext="edit"/>
                  </v:shape>
                  <v:shape id="_x0000_s1453" o:spid="_x0000_s1453" style="position:absolute;left:483;top:0;height:90;width:96;" fillcolor="#000000" filled="t" stroked="f" coordsize="96,90" path="m45,0l95,89,94,87c64,74,29,74,0,87l4,89,45,0xe">
                    <v:fill on="t" focussize="0,0"/>
                    <v:stroke on="f"/>
                    <v:imagedata o:title=""/>
                    <o:lock v:ext="edit"/>
                  </v:shape>
                </v:group>
              </w:pict>
            </w:r>
            <w:r>
              <w:pict>
                <v:group id="_x0000_s1454" o:spid="_x0000_s1454" o:spt="203" style="position:absolute;left:0pt;margin-left:149pt;margin-top:391.35pt;height:4.25pt;width:44pt;mso-position-horizontal-relative:page;mso-position-vertical-relative:page;z-index:251917312;mso-width-relative:page;mso-height-relative:page;" coordsize="880,85">
                  <o:lock v:ext="edit"/>
                  <v:shape id="_x0000_s1455" o:spid="_x0000_s1455" style="position:absolute;left:0;top:38;height:12;width:815;" filled="f" stroked="t" coordsize="815,12" path="m6,5l808,5e">
                    <v:fill on="f" focussize="0,0"/>
                    <v:stroke weight="0.63pt" color="#0930E8" miterlimit="10" endcap="round"/>
                    <v:imagedata o:title=""/>
                    <o:lock v:ext="edit"/>
                  </v:shape>
                  <v:shape id="_x0000_s1456" o:spid="_x0000_s1456" style="position:absolute;left:778;top:0;height:85;width:101;" fillcolor="#0930E8" filled="t" stroked="f" coordsize="101,85" path="m100,44l0,80,2,84c17,58,17,26,2,0l0,0,100,44xe">
                    <v:fill on="t" focussize="0,0"/>
                    <v:stroke on="f"/>
                    <v:imagedata o:title=""/>
                    <o:lock v:ext="edit"/>
                  </v:shape>
                </v:group>
              </w:pict>
            </w:r>
            <w:r>
              <w:pict>
                <v:group id="_x0000_s1457" o:spid="_x0000_s1457" o:spt="203" style="position:absolute;left:0pt;margin-left:190.45pt;margin-top:383.9pt;height:18.2pt;width:4.75pt;mso-position-horizontal-relative:page;mso-position-vertical-relative:page;z-index:251968512;mso-width-relative:page;mso-height-relative:page;" coordsize="95,364">
                  <o:lock v:ext="edit"/>
                  <v:shape id="_x0000_s1458" o:spid="_x0000_s1458" style="position:absolute;left:43;top:0;height:307;width:13;" filled="f" stroked="t" coordsize="13,307" path="m6,5l6,86,6,86,6,301e">
                    <v:fill on="f" focussize="0,0"/>
                    <v:stroke weight="0.63pt" color="#000000" miterlimit="10" endcap="round"/>
                    <v:imagedata o:title=""/>
                    <o:lock v:ext="edit"/>
                  </v:shape>
                  <v:shape id="_x0000_s1459" o:spid="_x0000_s1459" style="position:absolute;left:0;top:274;height:90;width:95;" fillcolor="#000000" filled="t" stroked="f" coordsize="95,90" path="m50,89l0,0,0,2c29,15,64,15,94,2l90,0,50,89xe">
                    <v:fill on="t" focussize="0,0"/>
                    <v:stroke on="f"/>
                    <v:imagedata o:title=""/>
                    <o:lock v:ext="edit"/>
                  </v:shape>
                </v:group>
              </w:pict>
            </w:r>
            <w:r>
              <w:pict>
                <v:group id="_x0000_s1460" o:spid="_x0000_s1460" o:spt="203" style="position:absolute;left:0pt;margin-left:210.65pt;margin-top:390.45pt;height:11.95pt;width:22.4pt;mso-position-horizontal-relative:page;mso-position-vertical-relative:page;z-index:251953152;mso-width-relative:page;mso-height-relative:page;" coordsize="447,238">
                  <o:lock v:ext="edit"/>
                  <v:shape id="_x0000_s1461" o:spid="_x0000_s1461" style="position:absolute;left:0;top:38;height:200;width:385;" filled="f" stroked="t" coordsize="385,200" path="m6,193l6,5,377,5e">
                    <v:fill on="f" focussize="0,0"/>
                    <v:stroke weight="0.63pt" color="#404040" miterlimit="10" dashstyle="dash" endcap="round"/>
                    <v:imagedata o:title=""/>
                    <o:lock v:ext="edit"/>
                  </v:shape>
                  <v:shape id="_x0000_s1462" o:spid="_x0000_s1462" style="position:absolute;left:347;top:0;height:90;width:101;" fillcolor="#404040" filled="t" stroked="f" coordsize="101,90" path="m100,44l0,89,3,85c18,59,18,28,3,1l0,0,100,44xe">
                    <v:fill on="t" focussize="0,0"/>
                    <v:stroke on="f"/>
                    <v:imagedata o:title=""/>
                    <o:lock v:ext="edit"/>
                  </v:shape>
                </v:group>
              </w:pict>
            </w:r>
            <w:r>
              <w:pict>
                <v:shape id="_x0000_s1463" o:spid="_x0000_s1463" style="position:absolute;left:0pt;margin-left:94.6pt;margin-top:398.85pt;height:21.2pt;width:40.3pt;mso-position-horizontal-relative:page;mso-position-vertical-relative:page;z-index:251915264;mso-width-relative:page;mso-height-relative:page;" filled="f" stroked="t" coordsize="805,424" path="m1,421l803,421,803,1,1,1,1,421e">
                  <v:fill on="f" focussize="0,0"/>
                  <v:stroke weight="0.16pt" color="#404040" miterlimit="10" endcap="round"/>
                  <v:imagedata o:title=""/>
                  <o:lock v:ext="edit"/>
                </v:shape>
              </w:pict>
            </w:r>
            <w:r>
              <w:pict>
                <v:shape id="_x0000_s1464" o:spid="_x0000_s1464" o:spt="202" type="#_x0000_t202" style="position:absolute;left:0pt;margin-left:98.25pt;margin-top:399.8pt;height:25.75pt;width:60.2pt;mso-position-horizontal-relative:page;mso-position-vertical-relative:page;z-index:251922432;mso-width-relative:page;mso-height-relative:page;" filled="f" stroked="f" coordsize="21600,21600">
                  <v:path/>
                  <v:fill on="f" focussize="0,0"/>
                  <v:stroke on="f"/>
                  <v:imagedata o:title=""/>
                  <o:lock v:ext="edit" aspectratio="f"/>
                  <v:textbox inset="0mm,0mm,0mm,0mm">
                    <w:txbxContent>
                      <w:p>
                        <w:pPr>
                          <w:pStyle w:val="6"/>
                          <w:spacing w:before="20" w:line="239" w:lineRule="auto"/>
                          <w:ind w:left="181" w:right="20" w:hanging="161"/>
                          <w:rPr>
                            <w:sz w:val="11"/>
                            <w:szCs w:val="11"/>
                          </w:rPr>
                        </w:pPr>
                        <w:r>
                          <w:rPr>
                            <w:spacing w:val="18"/>
                          </w:rPr>
                          <w:t>化学清洗</w:t>
                        </w:r>
                        <w:r>
                          <w:rPr>
                            <w:spacing w:val="1"/>
                          </w:rPr>
                          <w:t xml:space="preserve"> </w:t>
                        </w:r>
                        <w:r>
                          <w:rPr>
                            <w:spacing w:val="2"/>
                            <w:u w:val="single" w:color="auto"/>
                          </w:rPr>
                          <w:t xml:space="preserve">      </w:t>
                        </w:r>
                        <w:r>
                          <w:rPr>
                            <w:spacing w:val="2"/>
                          </w:rPr>
                          <w:t xml:space="preserve"> </w:t>
                        </w:r>
                        <w:r>
                          <w:rPr>
                            <w:spacing w:val="19"/>
                            <w:position w:val="5"/>
                          </w:rPr>
                          <w:t>水箱</w:t>
                        </w:r>
                        <w:r>
                          <w:rPr>
                            <w:spacing w:val="3"/>
                            <w:position w:val="5"/>
                          </w:rPr>
                          <w:t xml:space="preserve">    </w:t>
                        </w:r>
                        <w:r>
                          <w:rPr>
                            <w:spacing w:val="19"/>
                            <w:position w:val="-5"/>
                            <w:sz w:val="11"/>
                            <w:szCs w:val="11"/>
                          </w:rPr>
                          <w:t>反冲洗</w:t>
                        </w:r>
                      </w:p>
                    </w:txbxContent>
                  </v:textbox>
                </v:shape>
              </w:pict>
            </w:r>
            <w:r>
              <w:pict>
                <v:shape id="_x0000_s1465" o:spid="_x0000_s1465" o:spt="202" type="#_x0000_t202" style="position:absolute;left:0pt;margin-left:230.5pt;margin-top:417.4pt;height:10.5pt;width:17.75pt;mso-position-horizontal-relative:page;mso-position-vertical-relative:page;z-index:251927552;mso-width-relative:page;mso-height-relative:page;" filled="f" stroked="f" coordsize="21600,21600">
                  <v:path/>
                  <v:fill on="f" focussize="0,0"/>
                  <v:stroke on="f"/>
                  <v:imagedata o:title=""/>
                  <o:lock v:ext="edit" aspectratio="f"/>
                  <v:textbox inset="0mm,0mm,0mm,0mm">
                    <w:txbxContent>
                      <w:p>
                        <w:pPr>
                          <w:pStyle w:val="6"/>
                          <w:spacing w:before="19" w:line="224" w:lineRule="auto"/>
                          <w:ind w:left="20"/>
                        </w:pPr>
                        <w:r>
                          <w:rPr>
                            <w:spacing w:val="17"/>
                          </w:rPr>
                          <w:t>浓水</w:t>
                        </w:r>
                      </w:p>
                    </w:txbxContent>
                  </v:textbox>
                </v:shape>
              </w:pict>
            </w:r>
            <w:r>
              <w:pict>
                <v:shape id="_x0000_s1466" o:spid="_x0000_s1466" o:spt="202" type="#_x0000_t202" style="position:absolute;left:0pt;margin-left:260.15pt;margin-top:418.4pt;height:19.8pt;width:57.7pt;mso-position-horizontal-relative:page;mso-position-vertical-relative:page;z-index:251925504;mso-width-relative:page;mso-height-relative:page;" filled="f" stroked="f" coordsize="21600,21600">
                  <v:path/>
                  <v:fill on="f" focussize="0,0"/>
                  <v:stroke on="f"/>
                  <v:imagedata o:title=""/>
                  <o:lock v:ext="edit" aspectratio="f"/>
                  <v:textbox inset="0mm,0mm,0mm,0mm">
                    <w:txbxContent>
                      <w:p>
                        <w:pPr>
                          <w:pStyle w:val="6"/>
                          <w:spacing w:before="20" w:line="234" w:lineRule="auto"/>
                          <w:ind w:left="352" w:right="20" w:hanging="333"/>
                        </w:pPr>
                        <w:r>
                          <w:rPr>
                            <w:spacing w:val="19"/>
                          </w:rPr>
                          <w:t>外委盐化工厂协</w:t>
                        </w:r>
                        <w:r>
                          <w:t xml:space="preserve"> </w:t>
                        </w:r>
                        <w:r>
                          <w:rPr>
                            <w:spacing w:val="13"/>
                          </w:rPr>
                          <w:t>同处理</w:t>
                        </w:r>
                      </w:p>
                    </w:txbxContent>
                  </v:textbox>
                </v:shape>
              </w:pict>
            </w:r>
            <w:r>
              <w:pict>
                <v:group id="_x0000_s1467" o:spid="_x0000_s1467" o:spt="203" style="position:absolute;left:0pt;margin-left:190.45pt;margin-top:417pt;height:53.55pt;width:4.75pt;mso-position-horizontal-relative:page;mso-position-vertical-relative:page;z-index:251960320;mso-width-relative:page;mso-height-relative:page;" coordsize="95,1070">
                  <o:lock v:ext="edit"/>
                  <v:shape id="_x0000_s1468" o:spid="_x0000_s1468" style="position:absolute;left:43;top:652;height:360;width:13;" filled="f" stroked="t" coordsize="13,360" path="m6,5l6,354e">
                    <v:fill on="f" focussize="0,0"/>
                    <v:stroke weight="0.63pt" color="#404040" miterlimit="10" endcap="round"/>
                    <v:imagedata o:title=""/>
                    <o:lock v:ext="edit"/>
                  </v:shape>
                  <v:shape id="_x0000_s1469" o:spid="_x0000_s1469" style="position:absolute;left:0;top:980;height:90;width:95;" fillcolor="#404040" filled="t" stroked="f" coordsize="95,90" path="m50,89l0,0,0,3c30,16,65,16,94,3l90,0,50,89xe">
                    <v:fill on="t" focussize="0,0"/>
                    <v:stroke on="f"/>
                    <v:imagedata o:title=""/>
                    <o:lock v:ext="edit"/>
                  </v:shape>
                  <v:shape id="_x0000_s1470" o:spid="_x0000_s1470" style="position:absolute;left:43;top:0;height:360;width:13;" filled="f" stroked="t" coordsize="13,360" path="m6,5l6,131,6,131,6,354e">
                    <v:fill on="f" focussize="0,0"/>
                    <v:stroke weight="0.63pt" color="#404040" miterlimit="10" endcap="round"/>
                    <v:imagedata o:title=""/>
                    <o:lock v:ext="edit"/>
                  </v:shape>
                  <v:shape id="_x0000_s1471" o:spid="_x0000_s1471" style="position:absolute;left:0;top:335;height:81;width:95;" fillcolor="#404040" filled="t" stroked="f" coordsize="95,81" path="m50,81l0,1,0,0c30,13,65,13,94,0l90,1,50,81xe">
                    <v:fill on="t" focussize="0,0"/>
                    <v:stroke on="f"/>
                    <v:imagedata o:title=""/>
                    <o:lock v:ext="edit"/>
                  </v:shape>
                </v:group>
              </w:pict>
            </w:r>
            <w:r>
              <w:pict>
                <v:group id="_x0000_s1472" o:spid="_x0000_s1472" o:spt="203" style="position:absolute;left:0pt;margin-left:212.15pt;margin-top:426pt;height:4.25pt;width:46.5pt;mso-position-horizontal-relative:page;mso-position-vertical-relative:page;z-index:251916288;mso-width-relative:page;mso-height-relative:page;" coordsize="930,85">
                  <o:lock v:ext="edit"/>
                  <v:shape id="_x0000_s1473" o:spid="_x0000_s1473" style="position:absolute;left:0;top:34;height:12;width:865;" filled="f" stroked="t" coordsize="865,12" path="m6,5l859,5e">
                    <v:fill on="f" focussize="0,0"/>
                    <v:stroke weight="0.63pt" color="#000000" miterlimit="10" dashstyle="dash" endcap="round"/>
                    <v:imagedata o:title=""/>
                    <o:lock v:ext="edit"/>
                  </v:shape>
                  <v:shape id="_x0000_s1474" o:spid="_x0000_s1474" style="position:absolute;left:837;top:0;height:85;width:91;" fillcolor="#000000" filled="t" stroked="f" coordsize="91,85" path="m91,40l1,84,0,83c14,57,14,26,0,0l1,4,91,40xe">
                    <v:fill on="t" focussize="0,0"/>
                    <v:stroke on="f"/>
                    <v:imagedata o:title=""/>
                    <o:lock v:ext="edit"/>
                  </v:shape>
                </v:group>
              </w:pict>
            </w:r>
            <w:r>
              <w:pict>
                <v:shape id="_x0000_s1475" o:spid="_x0000_s1475" o:spt="202" type="#_x0000_t202" style="position:absolute;left:0pt;margin-left:158.3pt;margin-top:367.9pt;height:17.4pt;width:68.85pt;mso-position-horizontal-relative:page;mso-position-vertical-relative:page;z-index:2519674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331"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33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97" w:hRule="atLeast"/>
                          </w:trPr>
                          <w:tc>
                            <w:tcPr>
                              <w:tcW w:w="1331" w:type="dxa"/>
                              <w:vAlign w:val="top"/>
                            </w:tcPr>
                            <w:p>
                              <w:pPr>
                                <w:pStyle w:val="6"/>
                                <w:spacing w:before="59" w:line="227" w:lineRule="auto"/>
                                <w:ind w:left="226"/>
                                <w:rPr>
                                  <w:sz w:val="16"/>
                                  <w:szCs w:val="16"/>
                                </w:rPr>
                              </w:pPr>
                              <w:r>
                                <w:rPr>
                                  <w:spacing w:val="21"/>
                                  <w:sz w:val="16"/>
                                  <w:szCs w:val="16"/>
                                </w:rPr>
                                <w:t>电催化氧化</w:t>
                              </w:r>
                            </w:p>
                          </w:tc>
                        </w:tr>
                      </w:tbl>
                      <w:p>
                        <w:pPr>
                          <w:rPr>
                            <w:rFonts w:ascii="Arial"/>
                            <w:sz w:val="21"/>
                          </w:rPr>
                        </w:pPr>
                      </w:p>
                    </w:txbxContent>
                  </v:textbox>
                </v:shape>
              </w:pict>
            </w:r>
            <w:r>
              <w:pict>
                <v:shape id="_x0000_s1476" o:spid="_x0000_s1476" o:spt="202" type="#_x0000_t202" style="position:absolute;left:0pt;margin-left:182.1pt;margin-top:455.95pt;height:9.05pt;width:21.8pt;mso-position-horizontal-relative:page;mso-position-vertical-relative:page;z-index:251962368;mso-width-relative:page;mso-height-relative:page;" filled="f" stroked="f" coordsize="21600,21600">
                  <v:path/>
                  <v:fill on="f" focussize="0,0"/>
                  <v:stroke on="f"/>
                  <v:imagedata o:title=""/>
                  <o:lock v:ext="edit" aspectratio="f"/>
                  <v:textbox inset="0mm,0mm,0mm,0mm">
                    <w:txbxContent>
                      <w:p>
                        <w:pPr>
                          <w:pStyle w:val="6"/>
                          <w:spacing w:before="20" w:line="235" w:lineRule="auto"/>
                          <w:ind w:left="20"/>
                          <w:rPr>
                            <w:sz w:val="11"/>
                            <w:szCs w:val="11"/>
                          </w:rPr>
                        </w:pPr>
                        <w:r>
                          <w:rPr>
                            <w:spacing w:val="21"/>
                            <w:sz w:val="11"/>
                            <w:szCs w:val="11"/>
                            <w:shd w:val="clear" w:fill="FFFFFE"/>
                          </w:rPr>
                          <w:t>泵提升</w:t>
                        </w:r>
                      </w:p>
                    </w:txbxContent>
                  </v:textbox>
                </v:shape>
              </w:pict>
            </w:r>
            <w:r>
              <w:pict>
                <v:shape id="_x0000_s1477" o:spid="_x0000_s1477" o:spt="202" type="#_x0000_t202" style="position:absolute;left:0pt;margin-left:186.15pt;margin-top:320.15pt;height:9.05pt;width:14.05pt;mso-position-horizontal-relative:page;mso-position-vertical-relative:page;z-index:251959296;mso-width-relative:page;mso-height-relative:page;" filled="f" stroked="f" coordsize="21600,21600">
                  <v:path/>
                  <v:fill on="f" focussize="0,0"/>
                  <v:stroke on="f"/>
                  <v:imagedata o:title=""/>
                  <o:lock v:ext="edit" aspectratio="f"/>
                  <v:textbox inset="0mm,0mm,0mm,0mm">
                    <w:txbxContent>
                      <w:p>
                        <w:pPr>
                          <w:pStyle w:val="6"/>
                          <w:spacing w:before="19" w:line="236" w:lineRule="auto"/>
                          <w:ind w:left="20"/>
                          <w:rPr>
                            <w:sz w:val="11"/>
                            <w:szCs w:val="11"/>
                          </w:rPr>
                        </w:pPr>
                        <w:r>
                          <w:rPr>
                            <w:spacing w:val="10"/>
                            <w:sz w:val="11"/>
                            <w:szCs w:val="11"/>
                            <w:shd w:val="clear" w:fill="FFFFFE"/>
                          </w:rPr>
                          <w:t>自流</w:t>
                        </w:r>
                      </w:p>
                    </w:txbxContent>
                  </v:textbox>
                </v:shape>
              </w:pict>
            </w:r>
            <w:r>
              <w:pict>
                <v:shape id="_x0000_s1478" o:spid="_x0000_s1478" o:spt="202" type="#_x0000_t202" style="position:absolute;left:0pt;margin-left:182.1pt;margin-top:423.4pt;height:9.05pt;width:21.8pt;mso-position-horizontal-relative:page;mso-position-vertical-relative:page;z-index:251961344;mso-width-relative:page;mso-height-relative:page;" filled="f" stroked="f" coordsize="21600,21600">
                  <v:path/>
                  <v:fill on="f" focussize="0,0"/>
                  <v:stroke on="f"/>
                  <v:imagedata o:title=""/>
                  <o:lock v:ext="edit" aspectratio="f"/>
                  <v:textbox inset="0mm,0mm,0mm,0mm">
                    <w:txbxContent>
                      <w:p>
                        <w:pPr>
                          <w:pStyle w:val="6"/>
                          <w:spacing w:before="20" w:line="235" w:lineRule="auto"/>
                          <w:ind w:left="20"/>
                          <w:rPr>
                            <w:sz w:val="11"/>
                            <w:szCs w:val="11"/>
                          </w:rPr>
                        </w:pPr>
                        <w:r>
                          <w:rPr>
                            <w:spacing w:val="21"/>
                            <w:sz w:val="11"/>
                            <w:szCs w:val="11"/>
                            <w:shd w:val="clear" w:fill="FFFFFE"/>
                          </w:rPr>
                          <w:t>泵提升</w:t>
                        </w:r>
                      </w:p>
                    </w:txbxContent>
                  </v:textbox>
                </v:shape>
              </w:pict>
            </w:r>
            <w:r>
              <w:rPr>
                <w:spacing w:val="-2"/>
                <w:position w:val="18"/>
                <w:sz w:val="24"/>
                <w:szCs w:val="24"/>
              </w:rPr>
              <w:t>氧化进一步去除难降解有机物，最后采用反渗透膜法脱盐。</w:t>
            </w:r>
          </w:p>
          <w:p>
            <w:pPr>
              <w:pStyle w:val="6"/>
              <w:spacing w:line="219" w:lineRule="auto"/>
              <w:ind w:left="592"/>
              <w:rPr>
                <w:sz w:val="24"/>
                <w:szCs w:val="24"/>
              </w:rPr>
            </w:pPr>
            <w:r>
              <w:rPr>
                <w:spacing w:val="-5"/>
                <w:sz w:val="24"/>
                <w:szCs w:val="24"/>
              </w:rPr>
              <w:t>该废水处理站处理工艺流程见下图：</w:t>
            </w:r>
          </w:p>
          <w:p>
            <w:pPr>
              <w:pStyle w:val="6"/>
              <w:spacing w:before="106" w:line="224" w:lineRule="auto"/>
              <w:ind w:left="3708"/>
            </w:pPr>
            <w:r>
              <w:rPr>
                <w:spacing w:val="17"/>
              </w:rPr>
              <w:t>废水</w:t>
            </w:r>
          </w:p>
          <w:p>
            <w:pPr>
              <w:pStyle w:val="6"/>
              <w:spacing w:before="18" w:line="179" w:lineRule="auto"/>
              <w:ind w:left="3548"/>
            </w:pPr>
            <w:r>
              <w:rPr>
                <w:spacing w:val="18"/>
              </w:rPr>
              <w:t>运输车辆</w:t>
            </w:r>
          </w:p>
          <w:p>
            <w:pPr>
              <w:pStyle w:val="6"/>
              <w:spacing w:line="222" w:lineRule="auto"/>
              <w:ind w:left="4624"/>
              <w:rPr>
                <w:sz w:val="11"/>
                <w:szCs w:val="11"/>
              </w:rPr>
            </w:pPr>
            <w:r>
              <w:rPr>
                <w:spacing w:val="22"/>
                <w:sz w:val="11"/>
                <w:szCs w:val="11"/>
              </w:rPr>
              <w:t>撇出浮油</w:t>
            </w:r>
          </w:p>
          <w:p>
            <w:pPr>
              <w:spacing w:line="166" w:lineRule="exact"/>
            </w:pPr>
          </w:p>
          <w:tbl>
            <w:tblPr>
              <w:tblStyle w:val="5"/>
              <w:tblW w:w="1221" w:type="dxa"/>
              <w:tblInd w:w="325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22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02" w:hRule="atLeast"/>
              </w:trPr>
              <w:tc>
                <w:tcPr>
                  <w:tcW w:w="1221" w:type="dxa"/>
                  <w:vAlign w:val="top"/>
                </w:tcPr>
                <w:p>
                  <w:pPr>
                    <w:pStyle w:val="6"/>
                    <w:spacing w:before="65" w:line="228" w:lineRule="auto"/>
                    <w:ind w:left="333"/>
                    <w:rPr>
                      <w:sz w:val="16"/>
                      <w:szCs w:val="16"/>
                    </w:rPr>
                  </w:pPr>
                  <w:r>
                    <w:rPr>
                      <w:spacing w:val="24"/>
                      <w:sz w:val="16"/>
                      <w:szCs w:val="16"/>
                    </w:rPr>
                    <w:t>调节池</w:t>
                  </w:r>
                </w:p>
              </w:tc>
            </w:tr>
          </w:tbl>
          <w:p>
            <w:pPr>
              <w:pStyle w:val="6"/>
              <w:ind w:left="3668"/>
              <w:rPr>
                <w:sz w:val="11"/>
                <w:szCs w:val="11"/>
              </w:rPr>
            </w:pPr>
            <w:r>
              <w:pict>
                <v:shape id="_x0000_s1479" o:spid="_x0000_s1479" o:spt="202" type="#_x0000_t202" style="position:absolute;left:0pt;margin-left:286.65pt;margin-top:-0.7pt;height:10.6pt;width:17.7pt;z-index:251947008;mso-width-relative:page;mso-height-relative:page;" filled="f" stroked="f" coordsize="21600,21600">
                  <v:path/>
                  <v:fill on="f" focussize="0,0"/>
                  <v:stroke on="f"/>
                  <v:imagedata o:title=""/>
                  <o:lock v:ext="edit" aspectratio="f"/>
                  <v:textbox inset="0mm,0mm,0mm,0mm">
                    <w:txbxContent>
                      <w:p>
                        <w:pPr>
                          <w:pStyle w:val="6"/>
                          <w:spacing w:before="19" w:line="226" w:lineRule="auto"/>
                          <w:ind w:left="20"/>
                        </w:pPr>
                        <w:r>
                          <w:rPr>
                            <w:spacing w:val="16"/>
                          </w:rPr>
                          <w:t>污泥</w:t>
                        </w:r>
                      </w:p>
                    </w:txbxContent>
                  </v:textbox>
                </v:shape>
              </w:pict>
            </w:r>
            <w:r>
              <w:pict>
                <v:shape id="_x0000_s1480" o:spid="_x0000_s1480" o:spt="202" type="#_x0000_t202" style="position:absolute;left:0pt;margin-left:82.95pt;margin-top:11.8pt;height:28.9pt;width:77.55pt;z-index:251945984;mso-width-relative:page;mso-height-relative:page;" filled="f" stroked="f" coordsize="21600,21600">
                  <v:path/>
                  <v:fill on="f" focussize="0,0"/>
                  <v:stroke on="f"/>
                  <v:imagedata o:title=""/>
                  <o:lock v:ext="edit" aspectratio="f"/>
                  <v:textbox inset="0mm,0mm,0mm,0mm">
                    <w:txbxContent>
                      <w:p>
                        <w:pPr>
                          <w:spacing w:before="19" w:line="236" w:lineRule="auto"/>
                          <w:ind w:left="127"/>
                          <w:rPr>
                            <w:rFonts w:ascii="Times New Roman" w:hAnsi="Times New Roman" w:eastAsia="Times New Roman" w:cs="Times New Roman"/>
                            <w:sz w:val="14"/>
                            <w:szCs w:val="14"/>
                          </w:rPr>
                        </w:pPr>
                        <w:r>
                          <w:rPr>
                            <w:rFonts w:ascii="Times New Roman" w:hAnsi="Times New Roman" w:eastAsia="Times New Roman" w:cs="Times New Roman"/>
                            <w:spacing w:val="10"/>
                            <w:sz w:val="14"/>
                            <w:szCs w:val="14"/>
                          </w:rPr>
                          <w:t>PAC / PAM</w:t>
                        </w:r>
                      </w:p>
                      <w:p>
                        <w:pPr>
                          <w:pStyle w:val="6"/>
                          <w:spacing w:before="1" w:line="236" w:lineRule="auto"/>
                          <w:ind w:left="65" w:right="20" w:hanging="45"/>
                        </w:pPr>
                        <w:r>
                          <w:rPr>
                            <w:spacing w:val="17"/>
                          </w:rPr>
                          <w:t>碳酸钠</w:t>
                        </w:r>
                        <w:r>
                          <w:rPr>
                            <w:rFonts w:ascii="Times New Roman" w:hAnsi="Times New Roman" w:eastAsia="Times New Roman" w:cs="Times New Roman"/>
                            <w:spacing w:val="17"/>
                          </w:rPr>
                          <w:t>/</w:t>
                        </w:r>
                        <w:r>
                          <w:rPr>
                            <w:spacing w:val="17"/>
                          </w:rPr>
                          <w:t>硫酸钠</w:t>
                        </w:r>
                        <w:r>
                          <w:rPr>
                            <w:spacing w:val="-23"/>
                          </w:rPr>
                          <w:t xml:space="preserve"> </w:t>
                        </w:r>
                        <w:r>
                          <w:rPr>
                            <w:spacing w:val="7"/>
                            <w:u w:val="single" w:color="0930E8"/>
                          </w:rPr>
                          <w:t xml:space="preserve">      </w:t>
                        </w:r>
                        <w:r>
                          <w:rPr>
                            <w:spacing w:val="2"/>
                          </w:rPr>
                          <w:t xml:space="preserve"> </w:t>
                        </w:r>
                        <w:r>
                          <w:rPr>
                            <w:rFonts w:ascii="Times New Roman" w:hAnsi="Times New Roman" w:eastAsia="Times New Roman" w:cs="Times New Roman"/>
                          </w:rPr>
                          <w:t>DTCR</w:t>
                        </w:r>
                        <w:r>
                          <w:rPr>
                            <w:spacing w:val="37"/>
                          </w:rPr>
                          <w:t>重捕剂</w:t>
                        </w:r>
                      </w:p>
                    </w:txbxContent>
                  </v:textbox>
                </v:shape>
              </w:pict>
            </w:r>
            <w:r>
              <w:pict>
                <v:shape id="_x0000_s1481" o:spid="_x0000_s1481" style="position:absolute;left:0pt;margin-left:190.75pt;margin-top:17.45pt;height:4.1pt;width:4.75pt;z-index:251944960;mso-width-relative:page;mso-height-relative:page;" fillcolor="#404040" filled="t" stroked="f" coordsize="95,81" path="m50,81l0,1,0,0c30,13,64,13,94,0l90,1,50,81xe">
                  <v:fill on="t" focussize="0,0"/>
                  <v:stroke on="f"/>
                  <v:imagedata o:title=""/>
                  <o:lock v:ext="edit"/>
                </v:shape>
              </w:pict>
            </w:r>
            <w:r>
              <w:rPr>
                <w:spacing w:val="21"/>
                <w:sz w:val="11"/>
                <w:szCs w:val="11"/>
                <w:shd w:val="clear" w:fill="FFFFFE"/>
              </w:rPr>
              <w:t>泵提升</w:t>
            </w:r>
            <w:r>
              <w:rPr>
                <w:position w:val="-11"/>
                <w:sz w:val="11"/>
                <w:szCs w:val="11"/>
                <w:shd w:val="clear" w:fill="FFFFFE"/>
              </w:rPr>
              <w:drawing>
                <wp:inline distT="0" distB="0" distL="0" distR="0">
                  <wp:extent cx="0" cy="23749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33"/>
                          <a:stretch>
                            <a:fillRect/>
                          </a:stretch>
                        </pic:blipFill>
                        <pic:spPr>
                          <a:xfrm>
                            <a:off x="0" y="0"/>
                            <a:ext cx="0" cy="238007"/>
                          </a:xfrm>
                          <a:prstGeom prst="rect">
                            <a:avLst/>
                          </a:prstGeom>
                        </pic:spPr>
                      </pic:pic>
                    </a:graphicData>
                  </a:graphic>
                </wp:inline>
              </w:drawing>
            </w:r>
            <w:r>
              <w:rPr>
                <w:spacing w:val="1"/>
                <w:sz w:val="11"/>
                <w:szCs w:val="11"/>
                <w:shd w:val="clear" w:fill="FFFFFE"/>
              </w:rPr>
              <w:t xml:space="preserve"> </w:t>
            </w:r>
          </w:p>
          <w:p>
            <w:pPr>
              <w:spacing w:line="55" w:lineRule="exact"/>
            </w:pPr>
          </w:p>
          <w:tbl>
            <w:tblPr>
              <w:tblStyle w:val="5"/>
              <w:tblW w:w="1221" w:type="dxa"/>
              <w:tblInd w:w="325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22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02" w:hRule="atLeast"/>
              </w:trPr>
              <w:tc>
                <w:tcPr>
                  <w:tcW w:w="1221" w:type="dxa"/>
                  <w:vAlign w:val="top"/>
                </w:tcPr>
                <w:p>
                  <w:pPr>
                    <w:pStyle w:val="6"/>
                    <w:spacing w:before="64" w:line="228" w:lineRule="auto"/>
                    <w:ind w:left="148"/>
                    <w:rPr>
                      <w:sz w:val="16"/>
                      <w:szCs w:val="16"/>
                    </w:rPr>
                  </w:pPr>
                  <w:r>
                    <w:rPr>
                      <w:spacing w:val="25"/>
                      <w:sz w:val="16"/>
                      <w:szCs w:val="16"/>
                    </w:rPr>
                    <w:t>一级沉淀池</w:t>
                  </w:r>
                </w:p>
              </w:tc>
            </w:tr>
          </w:tbl>
          <w:p>
            <w:pPr>
              <w:pStyle w:val="6"/>
              <w:spacing w:line="431" w:lineRule="exact"/>
              <w:ind w:firstLine="3725"/>
            </w:pPr>
            <w:r>
              <w:rPr>
                <w:position w:val="-8"/>
              </w:rPr>
              <w:pict>
                <v:group id="_x0000_s1482" o:spid="_x0000_s1482" o:spt="203" style="height:21.6pt;width:13.55pt;" coordsize="271,432">
                  <o:lock v:ext="edit"/>
                  <v:group id="_x0000_s1483" o:spid="_x0000_s1483" o:spt="203" style="position:absolute;left:0;top:-3;height:435;width:271;" coordsize="271,435">
                    <o:lock v:ext="edit"/>
                    <v:shape id="_x0000_s1484" o:spid="_x0000_s1484" style="position:absolute;left:133;top:0;height:379;width:13;" filled="f" stroked="t" coordsize="13,379" path="m6,5l6,372e">
                      <v:fill on="f" focussize="0,0"/>
                      <v:stroke weight="0.63pt" color="#404040" miterlimit="10" endcap="round"/>
                      <v:imagedata o:title=""/>
                      <o:lock v:ext="edit"/>
                    </v:shape>
                    <v:shape id="_x0000_s1485" o:spid="_x0000_s1485" style="position:absolute;left:90;top:351;height:83;width:95;" fillcolor="#404040" filled="t" stroked="f" coordsize="95,83" path="m50,83l0,2,0,0c30,13,64,13,94,0l90,2,50,83xe">
                      <v:fill on="t" focussize="0,0"/>
                      <v:stroke on="f"/>
                      <v:imagedata o:title=""/>
                      <o:lock v:ext="edit"/>
                    </v:shape>
                    <v:shape id="_x0000_s1486" o:spid="_x0000_s1486" style="position:absolute;left:0;top:140;height:161;width:271;" fillcolor="#FFFFFF" filled="t" stroked="f" coordsize="271,161" path="m0,160l270,160,270,0,0,0,0,160xe">
                      <v:fill on="t" focussize="0,0"/>
                      <v:stroke on="f"/>
                      <v:imagedata o:title=""/>
                      <o:lock v:ext="edit"/>
                    </v:shape>
                  </v:group>
                  <v:shape id="_x0000_s1487" o:spid="_x0000_s1487" o:spt="202" type="#_x0000_t202" style="position:absolute;left:-20;top:-23;height:475;width:311;" filled="f" stroked="f" coordsize="21600,21600">
                    <v:path/>
                    <v:fill on="f" focussize="0,0"/>
                    <v:stroke on="f"/>
                    <v:imagedata o:title=""/>
                    <o:lock v:ext="edit" aspectratio="f"/>
                    <v:textbox inset="0mm,0mm,0mm,0mm">
                      <w:txbxContent>
                        <w:p>
                          <w:pPr>
                            <w:spacing w:before="175" w:line="236" w:lineRule="auto"/>
                            <w:ind w:left="51"/>
                            <w:rPr>
                              <w:rFonts w:ascii="宋体" w:hAnsi="宋体" w:eastAsia="宋体" w:cs="宋体"/>
                              <w:sz w:val="11"/>
                              <w:szCs w:val="11"/>
                            </w:rPr>
                          </w:pPr>
                          <w:r>
                            <w:rPr>
                              <w:rFonts w:ascii="宋体" w:hAnsi="宋体" w:eastAsia="宋体" w:cs="宋体"/>
                              <w:sz w:val="11"/>
                              <w:szCs w:val="11"/>
                            </w:rPr>
                            <w:t>自</w:t>
                          </w:r>
                        </w:p>
                      </w:txbxContent>
                    </v:textbox>
                  </v:shape>
                  <w10:wrap type="none"/>
                  <w10:anchorlock/>
                </v:group>
              </w:pict>
            </w:r>
          </w:p>
          <w:tbl>
            <w:tblPr>
              <w:tblStyle w:val="5"/>
              <w:tblW w:w="1221" w:type="dxa"/>
              <w:tblInd w:w="325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22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92" w:hRule="atLeast"/>
              </w:trPr>
              <w:tc>
                <w:tcPr>
                  <w:tcW w:w="1221" w:type="dxa"/>
                  <w:vAlign w:val="top"/>
                </w:tcPr>
                <w:p>
                  <w:pPr>
                    <w:pStyle w:val="6"/>
                    <w:spacing w:before="61" w:line="227" w:lineRule="auto"/>
                    <w:ind w:left="256"/>
                    <w:rPr>
                      <w:sz w:val="16"/>
                      <w:szCs w:val="16"/>
                    </w:rPr>
                  </w:pPr>
                  <w:r>
                    <w:rPr>
                      <w:spacing w:val="20"/>
                      <w:sz w:val="16"/>
                      <w:szCs w:val="16"/>
                    </w:rPr>
                    <w:t>中间水池</w:t>
                  </w:r>
                </w:p>
              </w:tc>
            </w:tr>
          </w:tbl>
          <w:p>
            <w:pPr>
              <w:pStyle w:val="6"/>
              <w:ind w:left="3668"/>
              <w:rPr>
                <w:sz w:val="11"/>
                <w:szCs w:val="11"/>
              </w:rPr>
            </w:pPr>
            <w:r>
              <w:pict>
                <v:shape id="_x0000_s1488" o:spid="_x0000_s1488" o:spt="202" type="#_x0000_t202" style="position:absolute;left:0pt;margin-left:296.45pt;margin-top:10.65pt;height:17.4pt;width:56.85pt;z-index:2519398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91"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09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97" w:hRule="atLeast"/>
                          </w:trPr>
                          <w:tc>
                            <w:tcPr>
                              <w:tcW w:w="1091" w:type="dxa"/>
                              <w:vAlign w:val="top"/>
                            </w:tcPr>
                            <w:p>
                              <w:pPr>
                                <w:pStyle w:val="6"/>
                                <w:spacing w:before="61" w:line="227" w:lineRule="auto"/>
                                <w:ind w:left="80"/>
                                <w:rPr>
                                  <w:sz w:val="16"/>
                                  <w:szCs w:val="16"/>
                                </w:rPr>
                              </w:pPr>
                              <w:r>
                                <w:rPr>
                                  <w:spacing w:val="25"/>
                                  <w:sz w:val="16"/>
                                  <w:szCs w:val="16"/>
                                </w:rPr>
                                <w:t>板框压滤机</w:t>
                              </w:r>
                            </w:p>
                          </w:tc>
                        </w:tr>
                      </w:tbl>
                      <w:p>
                        <w:pPr>
                          <w:rPr>
                            <w:rFonts w:ascii="Arial"/>
                            <w:sz w:val="21"/>
                          </w:rPr>
                        </w:pPr>
                      </w:p>
                    </w:txbxContent>
                  </v:textbox>
                </v:shape>
              </w:pict>
            </w:r>
            <w:r>
              <w:pict>
                <v:shape id="_x0000_s1489" o:spid="_x0000_s1489" style="position:absolute;left:0pt;margin-left:190.75pt;margin-top:17.5pt;height:4.5pt;width:4.75pt;z-index:251943936;mso-width-relative:page;mso-height-relative:page;" fillcolor="#404040" filled="t" stroked="f" coordsize="95,90" path="m50,89l0,0,0,4c30,17,64,17,94,4l90,0,50,89xe">
                  <v:fill on="t" focussize="0,0"/>
                  <v:stroke on="f"/>
                  <v:imagedata o:title=""/>
                  <o:lock v:ext="edit"/>
                </v:shape>
              </w:pict>
            </w:r>
            <w:r>
              <w:rPr>
                <w:spacing w:val="21"/>
                <w:sz w:val="11"/>
                <w:szCs w:val="11"/>
                <w:shd w:val="clear" w:fill="FFFFFE"/>
              </w:rPr>
              <w:t>泵提升</w:t>
            </w:r>
            <w:r>
              <w:rPr>
                <w:position w:val="-12"/>
                <w:sz w:val="11"/>
                <w:szCs w:val="11"/>
                <w:shd w:val="clear" w:fill="FFFFFE"/>
              </w:rPr>
              <w:drawing>
                <wp:inline distT="0" distB="0" distL="0" distR="0">
                  <wp:extent cx="0" cy="2432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34"/>
                          <a:stretch>
                            <a:fillRect/>
                          </a:stretch>
                        </pic:blipFill>
                        <pic:spPr>
                          <a:xfrm>
                            <a:off x="0" y="0"/>
                            <a:ext cx="0" cy="243685"/>
                          </a:xfrm>
                          <a:prstGeom prst="rect">
                            <a:avLst/>
                          </a:prstGeom>
                        </pic:spPr>
                      </pic:pic>
                    </a:graphicData>
                  </a:graphic>
                </wp:inline>
              </w:drawing>
            </w:r>
            <w:r>
              <w:rPr>
                <w:spacing w:val="1"/>
                <w:sz w:val="11"/>
                <w:szCs w:val="11"/>
                <w:shd w:val="clear" w:fill="FFFFFE"/>
              </w:rPr>
              <w:t xml:space="preserve"> </w:t>
            </w:r>
          </w:p>
          <w:p>
            <w:pPr>
              <w:pStyle w:val="6"/>
              <w:spacing w:before="119" w:line="225" w:lineRule="auto"/>
              <w:ind w:left="2054"/>
            </w:pPr>
            <w:r>
              <w:pict>
                <v:shape id="_x0000_s1490" o:spid="_x0000_s1490" o:spt="202" type="#_x0000_t202" style="position:absolute;left:0pt;margin-left:156.15pt;margin-top:4.3pt;height:11.9pt;width:66.1pt;z-index:251931648;mso-width-relative:page;mso-height-relative:page;" filled="f" stroked="f" coordsize="21600,21600">
                  <v:path/>
                  <v:fill on="f" focussize="0,0"/>
                  <v:stroke on="f"/>
                  <v:imagedata o:title=""/>
                  <o:lock v:ext="edit" aspectratio="f"/>
                  <v:textbox inset="0mm,0mm,0mm,0mm">
                    <w:txbxContent>
                      <w:p>
                        <w:pPr>
                          <w:pStyle w:val="6"/>
                          <w:spacing w:before="20" w:line="227" w:lineRule="auto"/>
                          <w:ind w:left="20"/>
                          <w:rPr>
                            <w:sz w:val="16"/>
                            <w:szCs w:val="16"/>
                          </w:rPr>
                        </w:pPr>
                        <w:r>
                          <w:rPr>
                            <w:position w:val="1"/>
                            <w:sz w:val="16"/>
                            <w:szCs w:val="16"/>
                          </w:rPr>
                          <w:drawing>
                            <wp:inline distT="0" distB="0" distL="0" distR="0">
                              <wp:extent cx="57150" cy="5270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35"/>
                                      <a:stretch>
                                        <a:fillRect/>
                                      </a:stretch>
                                    </pic:blipFill>
                                    <pic:spPr>
                                      <a:xfrm>
                                        <a:off x="0" y="0"/>
                                        <a:ext cx="57391" cy="53298"/>
                                      </a:xfrm>
                                      <a:prstGeom prst="rect">
                                        <a:avLst/>
                                      </a:prstGeom>
                                    </pic:spPr>
                                  </pic:pic>
                                </a:graphicData>
                              </a:graphic>
                            </wp:inline>
                          </w:drawing>
                        </w:r>
                        <w:r>
                          <w:rPr>
                            <w:spacing w:val="-6"/>
                            <w:sz w:val="16"/>
                            <w:szCs w:val="16"/>
                          </w:rPr>
                          <w:t xml:space="preserve"> </w:t>
                        </w:r>
                        <w:r>
                          <w:rPr>
                            <w:spacing w:val="26"/>
                            <w:sz w:val="16"/>
                            <w:szCs w:val="16"/>
                          </w:rPr>
                          <w:t>铁碳微电解池</w:t>
                        </w:r>
                      </w:p>
                    </w:txbxContent>
                  </v:textbox>
                </v:shape>
              </w:pict>
            </w:r>
            <w:r>
              <w:rPr>
                <w:spacing w:val="13"/>
              </w:rPr>
              <w:t>盐</w:t>
            </w:r>
            <w:r>
              <w:rPr>
                <w:spacing w:val="17"/>
              </w:rPr>
              <w:t xml:space="preserve"> </w:t>
            </w:r>
            <w:r>
              <w:rPr>
                <w:spacing w:val="13"/>
              </w:rPr>
              <w:t>酸</w:t>
            </w:r>
            <w:r>
              <w:rPr>
                <w:spacing w:val="47"/>
              </w:rPr>
              <w:t xml:space="preserve"> </w:t>
            </w:r>
            <w:r>
              <w:rPr>
                <w:strike/>
              </w:rPr>
              <w:t xml:space="preserve">         </w:t>
            </w:r>
          </w:p>
          <w:p>
            <w:pPr>
              <w:pStyle w:val="6"/>
              <w:spacing w:before="38" w:line="443" w:lineRule="exact"/>
              <w:ind w:firstLine="3725"/>
            </w:pPr>
            <w:r>
              <w:rPr>
                <w:position w:val="-8"/>
              </w:rPr>
              <w:pict>
                <v:group id="_x0000_s1491" o:spid="_x0000_s1491" o:spt="203" style="height:22.25pt;width:13.55pt;" coordsize="271,445">
                  <o:lock v:ext="edit"/>
                  <v:group id="_x0000_s1492" o:spid="_x0000_s1492" o:spt="203" style="position:absolute;left:0;top:0;height:445;width:271;" coordsize="271,445">
                    <o:lock v:ext="edit"/>
                    <v:shape id="_x0000_s1493" o:spid="_x0000_s1493" style="position:absolute;left:133;top:0;height:387;width:13;" filled="f" stroked="t" coordsize="13,387" path="m6,5l6,381e">
                      <v:fill on="f" focussize="0,0"/>
                      <v:stroke weight="0.63pt" color="#404040" miterlimit="10" endcap="round"/>
                      <v:imagedata o:title=""/>
                      <o:lock v:ext="edit"/>
                    </v:shape>
                    <v:shape id="_x0000_s1494" o:spid="_x0000_s1494" style="position:absolute;left:90;top:354;height:90;width:95;" fillcolor="#404040" filled="t" stroked="f" coordsize="95,90" path="m50,89l0,0,0,2c30,15,64,15,94,2l90,0,50,89xe">
                      <v:fill on="t" focussize="0,0"/>
                      <v:stroke on="f"/>
                      <v:imagedata o:title=""/>
                      <o:lock v:ext="edit"/>
                    </v:shape>
                    <v:shape id="_x0000_s1495" o:spid="_x0000_s1495" style="position:absolute;left:0;top:149;height:153;width:271;" fillcolor="#FFFFFF" filled="t" stroked="f" coordsize="271,153" path="m0,152l270,152,270,0,0,0,0,152xe">
                      <v:fill on="t" focussize="0,0"/>
                      <v:stroke on="f"/>
                      <v:imagedata o:title=""/>
                      <o:lock v:ext="edit"/>
                    </v:shape>
                  </v:group>
                  <v:shape id="_x0000_s1496" o:spid="_x0000_s1496" o:spt="202" type="#_x0000_t202" style="position:absolute;left:-20;top:-20;height:485;width:311;" filled="f" stroked="f" coordsize="21600,21600">
                    <v:path/>
                    <v:fill on="f" focussize="0,0"/>
                    <v:stroke on="f"/>
                    <v:imagedata o:title=""/>
                    <o:lock v:ext="edit" aspectratio="f"/>
                    <v:textbox inset="0mm,0mm,0mm,0mm">
                      <w:txbxContent>
                        <w:p>
                          <w:pPr>
                            <w:spacing w:before="181" w:line="236" w:lineRule="auto"/>
                            <w:ind w:left="51"/>
                            <w:rPr>
                              <w:rFonts w:ascii="宋体" w:hAnsi="宋体" w:eastAsia="宋体" w:cs="宋体"/>
                              <w:sz w:val="11"/>
                              <w:szCs w:val="11"/>
                            </w:rPr>
                          </w:pPr>
                          <w:r>
                            <w:rPr>
                              <w:rFonts w:ascii="宋体" w:hAnsi="宋体" w:eastAsia="宋体" w:cs="宋体"/>
                              <w:sz w:val="11"/>
                              <w:szCs w:val="11"/>
                            </w:rPr>
                            <w:t>自</w:t>
                          </w:r>
                        </w:p>
                      </w:txbxContent>
                    </v:textbox>
                  </v:shape>
                  <w10:wrap type="none"/>
                  <w10:anchorlock/>
                </v:group>
              </w:pict>
            </w:r>
          </w:p>
          <w:tbl>
            <w:tblPr>
              <w:tblStyle w:val="5"/>
              <w:tblW w:w="1362" w:type="dxa"/>
              <w:tblInd w:w="318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60" w:hRule="atLeast"/>
              </w:trPr>
              <w:tc>
                <w:tcPr>
                  <w:tcW w:w="1362" w:type="dxa"/>
                  <w:vAlign w:val="top"/>
                </w:tcPr>
                <w:p>
                  <w:pPr>
                    <w:pStyle w:val="6"/>
                    <w:spacing w:before="40" w:line="228" w:lineRule="auto"/>
                    <w:ind w:left="218"/>
                    <w:rPr>
                      <w:sz w:val="16"/>
                      <w:szCs w:val="16"/>
                    </w:rPr>
                  </w:pPr>
                  <w:r>
                    <w:rPr>
                      <w:spacing w:val="25"/>
                      <w:sz w:val="16"/>
                      <w:szCs w:val="16"/>
                    </w:rPr>
                    <w:t>二级沉淀池</w:t>
                  </w:r>
                </w:p>
              </w:tc>
            </w:tr>
          </w:tbl>
          <w:p>
            <w:pPr>
              <w:pStyle w:val="6"/>
              <w:spacing w:before="133" w:line="161" w:lineRule="exact"/>
              <w:ind w:firstLine="3725"/>
            </w:pPr>
            <w:r>
              <w:rPr>
                <w:position w:val="-3"/>
              </w:rPr>
              <w:pict>
                <v:shape id="_x0000_s1497" o:spid="_x0000_s1497" o:spt="202" type="#_x0000_t202" style="height:8.05pt;width:13.55pt;" fillcolor="#FFFFFF" filled="t" stroked="f" coordsize="21600,21600">
                  <v:path/>
                  <v:fill on="t" focussize="0,0"/>
                  <v:stroke on="f"/>
                  <v:imagedata o:title=""/>
                  <o:lock v:ext="edit" aspectratio="f"/>
                  <v:textbox inset="0mm,0mm,0mm,0mm">
                    <w:txbxContent>
                      <w:p>
                        <w:pPr>
                          <w:spacing w:before="19" w:line="236" w:lineRule="auto"/>
                          <w:ind w:left="31"/>
                          <w:rPr>
                            <w:rFonts w:ascii="宋体" w:hAnsi="宋体" w:eastAsia="宋体" w:cs="宋体"/>
                            <w:sz w:val="11"/>
                            <w:szCs w:val="11"/>
                          </w:rPr>
                        </w:pPr>
                        <w:r>
                          <w:rPr>
                            <w:rFonts w:ascii="宋体" w:hAnsi="宋体" w:eastAsia="宋体" w:cs="宋体"/>
                            <w:sz w:val="11"/>
                            <w:szCs w:val="11"/>
                          </w:rPr>
                          <w:t>自</w:t>
                        </w:r>
                      </w:p>
                    </w:txbxContent>
                  </v:textbox>
                  <w10:wrap type="none"/>
                  <w10:anchorlock/>
                </v:shape>
              </w:pict>
            </w:r>
          </w:p>
          <w:p>
            <w:pPr>
              <w:spacing w:line="132" w:lineRule="exact"/>
            </w:pPr>
          </w:p>
          <w:tbl>
            <w:tblPr>
              <w:tblStyle w:val="5"/>
              <w:tblW w:w="1362" w:type="dxa"/>
              <w:tblInd w:w="318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66" w:hRule="atLeast"/>
              </w:trPr>
              <w:tc>
                <w:tcPr>
                  <w:tcW w:w="1362" w:type="dxa"/>
                  <w:vAlign w:val="top"/>
                </w:tcPr>
                <w:p>
                  <w:pPr>
                    <w:pStyle w:val="6"/>
                    <w:spacing w:before="47" w:line="227" w:lineRule="auto"/>
                    <w:ind w:left="402"/>
                    <w:rPr>
                      <w:sz w:val="16"/>
                      <w:szCs w:val="16"/>
                    </w:rPr>
                  </w:pPr>
                  <w:r>
                    <w:rPr>
                      <w:spacing w:val="24"/>
                      <w:sz w:val="16"/>
                      <w:szCs w:val="16"/>
                    </w:rPr>
                    <w:t>缺氧池</w:t>
                  </w:r>
                </w:p>
              </w:tc>
            </w:tr>
          </w:tbl>
          <w:p>
            <w:pPr>
              <w:pStyle w:val="6"/>
              <w:spacing w:line="431" w:lineRule="exact"/>
              <w:ind w:firstLine="3725"/>
            </w:pPr>
            <w:r>
              <w:rPr>
                <w:position w:val="-8"/>
              </w:rPr>
              <w:pict>
                <v:group id="_x0000_s1498" o:spid="_x0000_s1498" o:spt="203" style="height:21.6pt;width:13.55pt;" coordsize="271,432">
                  <o:lock v:ext="edit"/>
                  <v:group id="_x0000_s1499" o:spid="_x0000_s1499" o:spt="203" style="position:absolute;left:0;top:-3;height:435;width:271;" coordsize="271,435">
                    <o:lock v:ext="edit"/>
                    <v:shape id="_x0000_s1500" o:spid="_x0000_s1500" style="position:absolute;left:133;top:0;height:379;width:13;" filled="f" stroked="t" coordsize="13,379" path="m6,5l6,372e">
                      <v:fill on="f" focussize="0,0"/>
                      <v:stroke weight="0.63pt" color="#404040" miterlimit="10" endcap="round"/>
                      <v:imagedata o:title=""/>
                      <o:lock v:ext="edit"/>
                    </v:shape>
                    <v:shape id="_x0000_s1501" o:spid="_x0000_s1501" style="position:absolute;left:90;top:353;height:81;width:95;" fillcolor="#404040" filled="t" stroked="f" coordsize="95,81" path="m50,81l0,1,0,0c30,13,64,13,94,0l90,1,50,81xe">
                      <v:fill on="t" focussize="0,0"/>
                      <v:stroke on="f"/>
                      <v:imagedata o:title=""/>
                      <o:lock v:ext="edit"/>
                    </v:shape>
                    <v:shape id="_x0000_s1502" o:spid="_x0000_s1502" style="position:absolute;left:0;top:140;height:161;width:271;" fillcolor="#FFFFFF" filled="t" stroked="f" coordsize="271,161" path="m0,160l270,160,270,0,0,0,0,160xe">
                      <v:fill on="t" focussize="0,0"/>
                      <v:stroke on="f"/>
                      <v:imagedata o:title=""/>
                      <o:lock v:ext="edit"/>
                    </v:shape>
                  </v:group>
                  <v:shape id="_x0000_s1503" o:spid="_x0000_s1503" o:spt="202" type="#_x0000_t202" style="position:absolute;left:-20;top:-23;height:475;width:311;" filled="f" stroked="f" coordsize="21600,21600">
                    <v:path/>
                    <v:fill on="f" focussize="0,0"/>
                    <v:stroke on="f"/>
                    <v:imagedata o:title=""/>
                    <o:lock v:ext="edit" aspectratio="f"/>
                    <v:textbox inset="0mm,0mm,0mm,0mm">
                      <w:txbxContent>
                        <w:p>
                          <w:pPr>
                            <w:spacing w:before="177" w:line="236" w:lineRule="auto"/>
                            <w:ind w:left="51"/>
                            <w:rPr>
                              <w:rFonts w:ascii="宋体" w:hAnsi="宋体" w:eastAsia="宋体" w:cs="宋体"/>
                              <w:sz w:val="11"/>
                              <w:szCs w:val="11"/>
                            </w:rPr>
                          </w:pPr>
                          <w:r>
                            <w:rPr>
                              <w:rFonts w:ascii="宋体" w:hAnsi="宋体" w:eastAsia="宋体" w:cs="宋体"/>
                              <w:sz w:val="11"/>
                              <w:szCs w:val="11"/>
                            </w:rPr>
                            <w:t>自</w:t>
                          </w:r>
                        </w:p>
                      </w:txbxContent>
                    </v:textbox>
                  </v:shape>
                  <w10:wrap type="none"/>
                  <w10:anchorlock/>
                </v:group>
              </w:pict>
            </w:r>
          </w:p>
          <w:tbl>
            <w:tblPr>
              <w:tblStyle w:val="5"/>
              <w:tblW w:w="1362" w:type="dxa"/>
              <w:tblInd w:w="318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60" w:hRule="atLeast"/>
              </w:trPr>
              <w:tc>
                <w:tcPr>
                  <w:tcW w:w="1362" w:type="dxa"/>
                  <w:vAlign w:val="top"/>
                </w:tcPr>
                <w:p>
                  <w:pPr>
                    <w:pStyle w:val="6"/>
                    <w:spacing w:before="44" w:line="227" w:lineRule="auto"/>
                    <w:ind w:left="214"/>
                    <w:rPr>
                      <w:sz w:val="16"/>
                      <w:szCs w:val="16"/>
                    </w:rPr>
                  </w:pPr>
                  <w:r>
                    <w:rPr>
                      <w:spacing w:val="25"/>
                      <w:sz w:val="16"/>
                      <w:szCs w:val="16"/>
                    </w:rPr>
                    <w:t>接触氧化池</w:t>
                  </w:r>
                </w:p>
              </w:tc>
            </w:tr>
          </w:tbl>
          <w:p>
            <w:pPr>
              <w:spacing w:before="122"/>
            </w:pPr>
          </w:p>
          <w:tbl>
            <w:tblPr>
              <w:tblStyle w:val="5"/>
              <w:tblW w:w="1311" w:type="dxa"/>
              <w:tblInd w:w="319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31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75" w:hRule="atLeast"/>
              </w:trPr>
              <w:tc>
                <w:tcPr>
                  <w:tcW w:w="1311" w:type="dxa"/>
                  <w:vAlign w:val="top"/>
                </w:tcPr>
                <w:p>
                  <w:pPr>
                    <w:pStyle w:val="6"/>
                    <w:spacing w:before="53" w:line="227" w:lineRule="auto"/>
                    <w:ind w:left="99"/>
                    <w:rPr>
                      <w:sz w:val="16"/>
                      <w:szCs w:val="16"/>
                    </w:rPr>
                  </w:pPr>
                  <w:r>
                    <w:rPr>
                      <w:spacing w:val="25"/>
                      <w:sz w:val="16"/>
                      <w:szCs w:val="16"/>
                    </w:rPr>
                    <w:t>纤维滤布过滤</w:t>
                  </w:r>
                </w:p>
              </w:tc>
            </w:tr>
          </w:tbl>
          <w:p>
            <w:pPr>
              <w:pStyle w:val="6"/>
              <w:ind w:left="3648"/>
              <w:rPr>
                <w:sz w:val="11"/>
                <w:szCs w:val="11"/>
              </w:rPr>
            </w:pPr>
            <w:r>
              <w:pict>
                <v:rect id="_x0000_s1504" o:spid="_x0000_s1504" o:spt="1" style="position:absolute;left:0pt;margin-left:190.15pt;margin-top:16.85pt;height:4.25pt;width:4.75pt;z-index:251966464;mso-width-relative:page;mso-height-relative:page;" fillcolor="#404040" filled="t" stroked="f" coordsize="21600,21600">
                  <v:path/>
                  <v:fill on="t" focussize="0,0"/>
                  <v:stroke on="f"/>
                  <v:imagedata o:title=""/>
                  <o:lock v:ext="edit"/>
                </v:rect>
              </w:pict>
            </w:r>
            <w:r>
              <w:pict>
                <v:shape id="_x0000_s1505" o:spid="_x0000_s1505" o:spt="202" type="#_x0000_t202" style="position:absolute;left:0pt;margin-left:235.4pt;margin-top:-0.65pt;height:20.1pt;width:33.65pt;z-index:251926528;mso-width-relative:page;mso-height-relative:page;" filled="f" stroked="f" coordsize="21600,21600">
                  <v:path/>
                  <v:fill on="f" focussize="0,0"/>
                  <v:stroke on="f"/>
                  <v:imagedata o:title=""/>
                  <o:lock v:ext="edit" aspectratio="f"/>
                  <v:textbox inset="0mm,0mm,0mm,0mm">
                    <w:txbxContent>
                      <w:p>
                        <w:pPr>
                          <w:pStyle w:val="6"/>
                          <w:spacing w:before="19" w:line="226" w:lineRule="auto"/>
                          <w:ind w:left="179"/>
                        </w:pPr>
                        <w:r>
                          <w:rPr>
                            <w:spacing w:val="16"/>
                          </w:rPr>
                          <w:t>污泥</w:t>
                        </w:r>
                      </w:p>
                      <w:p>
                        <w:pPr>
                          <w:pStyle w:val="6"/>
                          <w:spacing w:before="19" w:line="226" w:lineRule="auto"/>
                          <w:ind w:left="20"/>
                        </w:pPr>
                        <w:r>
                          <w:rPr>
                            <w:spacing w:val="18"/>
                          </w:rPr>
                          <w:t>去污泥间</w:t>
                        </w:r>
                      </w:p>
                    </w:txbxContent>
                  </v:textbox>
                </v:shape>
              </w:pict>
            </w:r>
            <w:r>
              <w:pict>
                <v:shape id="_x0000_s1506" o:spid="_x0000_s1506" o:spt="202" type="#_x0000_t202" style="position:absolute;left:0pt;margin-left:140.95pt;margin-top:9.15pt;height:10.55pt;width:19.2pt;z-index:251924480;mso-width-relative:page;mso-height-relative:page;" filled="f" stroked="f" coordsize="21600,21600">
                  <v:path/>
                  <v:fill on="f" focussize="0,0"/>
                  <v:stroke on="f"/>
                  <v:imagedata o:title=""/>
                  <o:lock v:ext="edit" aspectratio="f"/>
                  <v:textbox inset="0mm,0mm,0mm,0mm">
                    <w:txbxContent>
                      <w:p>
                        <w:pPr>
                          <w:pStyle w:val="6"/>
                          <w:spacing w:before="20" w:line="224" w:lineRule="auto"/>
                          <w:ind w:left="20"/>
                        </w:pPr>
                        <w:r>
                          <w:rPr>
                            <w:spacing w:val="8"/>
                          </w:rPr>
                          <w:t>噪</w:t>
                        </w:r>
                        <w:r>
                          <w:rPr>
                            <w:spacing w:val="-24"/>
                          </w:rPr>
                          <w:t xml:space="preserve"> </w:t>
                        </w:r>
                        <w:r>
                          <w:rPr>
                            <w:spacing w:val="8"/>
                          </w:rPr>
                          <w:t>声</w:t>
                        </w:r>
                      </w:p>
                    </w:txbxContent>
                  </v:textbox>
                </v:shape>
              </w:pict>
            </w:r>
            <w:r>
              <w:rPr>
                <w:spacing w:val="20"/>
                <w:sz w:val="11"/>
                <w:szCs w:val="11"/>
                <w:shd w:val="clear" w:fill="FFFFFE"/>
              </w:rPr>
              <w:t>高压泵</w:t>
            </w:r>
            <w:r>
              <w:rPr>
                <w:position w:val="-12"/>
                <w:sz w:val="11"/>
                <w:szCs w:val="11"/>
                <w:shd w:val="clear" w:fill="FFFFFE"/>
              </w:rPr>
              <w:drawing>
                <wp:inline distT="0" distB="0" distL="0" distR="0">
                  <wp:extent cx="0" cy="23177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36"/>
                          <a:stretch>
                            <a:fillRect/>
                          </a:stretch>
                        </pic:blipFill>
                        <pic:spPr>
                          <a:xfrm>
                            <a:off x="0" y="0"/>
                            <a:ext cx="0" cy="232329"/>
                          </a:xfrm>
                          <a:prstGeom prst="rect">
                            <a:avLst/>
                          </a:prstGeom>
                        </pic:spPr>
                      </pic:pic>
                    </a:graphicData>
                  </a:graphic>
                </wp:inline>
              </w:drawing>
            </w:r>
          </w:p>
          <w:p>
            <w:pPr>
              <w:spacing w:line="405" w:lineRule="auto"/>
              <w:rPr>
                <w:rFonts w:ascii="Arial"/>
                <w:sz w:val="21"/>
              </w:rPr>
            </w:pPr>
          </w:p>
          <w:p>
            <w:pPr>
              <w:pStyle w:val="6"/>
              <w:spacing w:before="47" w:line="224" w:lineRule="auto"/>
              <w:ind w:left="4687"/>
            </w:pPr>
            <w:r>
              <w:rPr>
                <w:spacing w:val="19"/>
              </w:rPr>
              <w:t>废膜组件</w:t>
            </w:r>
          </w:p>
          <w:p>
            <w:pPr>
              <w:spacing w:line="93" w:lineRule="exact"/>
            </w:pPr>
          </w:p>
          <w:tbl>
            <w:tblPr>
              <w:tblStyle w:val="5"/>
              <w:tblW w:w="1321" w:type="dxa"/>
              <w:tblInd w:w="319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32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97" w:hRule="atLeast"/>
              </w:trPr>
              <w:tc>
                <w:tcPr>
                  <w:tcW w:w="1321" w:type="dxa"/>
                  <w:vAlign w:val="top"/>
                </w:tcPr>
                <w:p>
                  <w:pPr>
                    <w:spacing w:before="79"/>
                    <w:ind w:left="167"/>
                    <w:rPr>
                      <w:rFonts w:ascii="Times New Roman" w:hAnsi="Times New Roman" w:eastAsia="Times New Roman" w:cs="Times New Roman"/>
                      <w:sz w:val="16"/>
                      <w:szCs w:val="16"/>
                    </w:rPr>
                  </w:pPr>
                  <w:r>
                    <w:rPr>
                      <w:rFonts w:ascii="Times New Roman" w:hAnsi="Times New Roman" w:eastAsia="Times New Roman" w:cs="Times New Roman"/>
                      <w:spacing w:val="17"/>
                      <w:sz w:val="16"/>
                      <w:szCs w:val="16"/>
                    </w:rPr>
                    <w:t>MF+UF+RO</w:t>
                  </w:r>
                </w:p>
              </w:tc>
            </w:tr>
          </w:tbl>
          <w:p>
            <w:pPr>
              <w:spacing w:before="167"/>
            </w:pPr>
          </w:p>
          <w:tbl>
            <w:tblPr>
              <w:tblStyle w:val="5"/>
              <w:tblW w:w="1011" w:type="dxa"/>
              <w:tblInd w:w="3345"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01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34" w:hRule="atLeast"/>
              </w:trPr>
              <w:tc>
                <w:tcPr>
                  <w:tcW w:w="1011" w:type="dxa"/>
                  <w:vAlign w:val="top"/>
                </w:tcPr>
                <w:p>
                  <w:pPr>
                    <w:pStyle w:val="6"/>
                    <w:spacing w:before="29" w:line="225" w:lineRule="auto"/>
                    <w:ind w:left="232"/>
                    <w:rPr>
                      <w:sz w:val="16"/>
                      <w:szCs w:val="16"/>
                    </w:rPr>
                  </w:pPr>
                  <w:r>
                    <w:rPr>
                      <w:spacing w:val="24"/>
                      <w:sz w:val="16"/>
                      <w:szCs w:val="16"/>
                    </w:rPr>
                    <w:t>清水池</w:t>
                  </w:r>
                </w:p>
              </w:tc>
            </w:tr>
          </w:tbl>
          <w:p>
            <w:pPr>
              <w:spacing w:before="166"/>
            </w:pPr>
          </w:p>
          <w:tbl>
            <w:tblPr>
              <w:tblStyle w:val="5"/>
              <w:tblW w:w="1011" w:type="dxa"/>
              <w:tblInd w:w="3345"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1011"/>
            </w:tblGrid>
            <w:tr>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221" w:hRule="atLeast"/>
              </w:trPr>
              <w:tc>
                <w:tcPr>
                  <w:tcW w:w="1011" w:type="dxa"/>
                  <w:vAlign w:val="top"/>
                </w:tcPr>
                <w:p>
                  <w:pPr>
                    <w:pStyle w:val="6"/>
                    <w:spacing w:before="24" w:line="215" w:lineRule="auto"/>
                    <w:ind w:left="61"/>
                    <w:rPr>
                      <w:sz w:val="16"/>
                      <w:szCs w:val="16"/>
                    </w:rPr>
                  </w:pPr>
                  <w:r>
                    <w:rPr>
                      <w:spacing w:val="22"/>
                      <w:sz w:val="16"/>
                      <w:szCs w:val="16"/>
                    </w:rPr>
                    <w:t>出水计量槽</w:t>
                  </w:r>
                </w:p>
              </w:tc>
            </w:tr>
          </w:tbl>
          <w:p>
            <w:pPr>
              <w:spacing w:line="202" w:lineRule="exact"/>
              <w:ind w:left="3848"/>
            </w:pPr>
            <w:r>
              <w:rPr>
                <w:position w:val="-4"/>
              </w:rPr>
              <w:drawing>
                <wp:inline distT="0" distB="0" distL="0" distR="0">
                  <wp:extent cx="8255" cy="1276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37"/>
                          <a:stretch>
                            <a:fillRect/>
                          </a:stretch>
                        </pic:blipFill>
                        <pic:spPr>
                          <a:xfrm>
                            <a:off x="0" y="0"/>
                            <a:ext cx="8489" cy="128230"/>
                          </a:xfrm>
                          <a:prstGeom prst="rect">
                            <a:avLst/>
                          </a:prstGeom>
                        </pic:spPr>
                      </pic:pic>
                    </a:graphicData>
                  </a:graphic>
                </wp:inline>
              </w:drawing>
            </w:r>
          </w:p>
          <w:p>
            <w:pPr>
              <w:spacing w:line="69" w:lineRule="exact"/>
              <w:ind w:left="3805"/>
            </w:pPr>
            <w:r>
              <w:rPr>
                <w:position w:val="-1"/>
              </w:rPr>
              <w:drawing>
                <wp:inline distT="0" distB="0" distL="0" distR="0">
                  <wp:extent cx="59690" cy="4318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38"/>
                          <a:stretch>
                            <a:fillRect/>
                          </a:stretch>
                        </pic:blipFill>
                        <pic:spPr>
                          <a:xfrm>
                            <a:off x="0" y="0"/>
                            <a:ext cx="60277" cy="43532"/>
                          </a:xfrm>
                          <a:prstGeom prst="rect">
                            <a:avLst/>
                          </a:prstGeom>
                        </pic:spPr>
                      </pic:pic>
                    </a:graphicData>
                  </a:graphic>
                </wp:inline>
              </w:drawing>
            </w:r>
          </w:p>
          <w:p>
            <w:pPr>
              <w:pStyle w:val="6"/>
              <w:spacing w:before="28" w:line="223" w:lineRule="auto"/>
              <w:ind w:left="3127"/>
            </w:pPr>
            <w:r>
              <w:rPr>
                <w:spacing w:val="19"/>
              </w:rPr>
              <w:t>泸州城东污水处理厂</w:t>
            </w:r>
          </w:p>
          <w:p>
            <w:pPr>
              <w:pStyle w:val="6"/>
              <w:spacing w:before="21" w:line="223" w:lineRule="auto"/>
              <w:ind w:left="3289"/>
            </w:pPr>
            <w:r>
              <w:rPr>
                <w:spacing w:val="18"/>
              </w:rPr>
              <w:t>高坝段截污干管</w:t>
            </w:r>
          </w:p>
          <w:p>
            <w:pPr>
              <w:spacing w:line="398" w:lineRule="auto"/>
              <w:rPr>
                <w:rFonts w:ascii="Arial"/>
                <w:sz w:val="21"/>
              </w:rPr>
            </w:pPr>
          </w:p>
          <w:p>
            <w:pPr>
              <w:pStyle w:val="6"/>
              <w:spacing w:before="78" w:line="220" w:lineRule="auto"/>
              <w:ind w:left="1795"/>
              <w:rPr>
                <w:sz w:val="24"/>
                <w:szCs w:val="24"/>
              </w:rPr>
            </w:pPr>
            <w:r>
              <w:rPr>
                <w:spacing w:val="-1"/>
                <w:sz w:val="24"/>
                <w:szCs w:val="24"/>
                <w14:textOutline w14:w="4354" w14:cap="flat" w14:cmpd="sng">
                  <w14:solidFill>
                    <w14:srgbClr w14:val="000000"/>
                  </w14:solidFill>
                  <w14:prstDash w14:val="solid"/>
                  <w14:miter w14:val="10"/>
                </w14:textOutline>
              </w:rPr>
              <w:t>图</w:t>
            </w:r>
            <w:r>
              <w:rPr>
                <w:spacing w:val="-46"/>
                <w:sz w:val="24"/>
                <w:szCs w:val="24"/>
              </w:rPr>
              <w:t xml:space="preserve"> </w:t>
            </w:r>
            <w:r>
              <w:rPr>
                <w:rFonts w:ascii="Times New Roman" w:hAnsi="Times New Roman" w:eastAsia="Times New Roman" w:cs="Times New Roman"/>
                <w:b/>
                <w:bCs/>
                <w:spacing w:val="-1"/>
                <w:sz w:val="24"/>
                <w:szCs w:val="24"/>
              </w:rPr>
              <w:t xml:space="preserve">5.2-2  </w:t>
            </w:r>
            <w:r>
              <w:rPr>
                <w:spacing w:val="-1"/>
                <w:sz w:val="24"/>
                <w:szCs w:val="24"/>
                <w14:textOutline w14:w="4354" w14:cap="flat" w14:cmpd="sng">
                  <w14:solidFill>
                    <w14:srgbClr w14:val="000000"/>
                  </w14:solidFill>
                  <w14:prstDash w14:val="solid"/>
                  <w14:miter w14:val="10"/>
                </w14:textOutline>
              </w:rPr>
              <w:t>瑞利气田废水处理站废水处理工艺流程示意图</w:t>
            </w:r>
          </w:p>
          <w:p>
            <w:pPr>
              <w:pStyle w:val="6"/>
              <w:spacing w:before="195" w:line="219" w:lineRule="auto"/>
              <w:ind w:left="591"/>
              <w:rPr>
                <w:sz w:val="24"/>
                <w:szCs w:val="24"/>
              </w:rPr>
            </w:pPr>
            <w:r>
              <w:rPr>
                <w:spacing w:val="-4"/>
                <w:sz w:val="24"/>
                <w:szCs w:val="24"/>
              </w:rPr>
              <w:t>各工艺环节流程简述如下。</w:t>
            </w:r>
          </w:p>
          <w:p>
            <w:pPr>
              <w:pStyle w:val="6"/>
              <w:spacing w:before="197" w:line="369" w:lineRule="auto"/>
              <w:ind w:left="108" w:right="100" w:firstLine="484"/>
              <w:rPr>
                <w:sz w:val="24"/>
                <w:szCs w:val="24"/>
              </w:rPr>
            </w:pPr>
            <w:r>
              <w:rPr>
                <w:spacing w:val="-13"/>
                <w:sz w:val="24"/>
                <w:szCs w:val="24"/>
                <w14:textOutline w14:w="4354" w14:cap="flat" w14:cmpd="sng">
                  <w14:solidFill>
                    <w14:srgbClr w14:val="000000"/>
                  </w14:solidFill>
                  <w14:prstDash w14:val="solid"/>
                  <w14:miter w14:val="10"/>
                </w14:textOutline>
              </w:rPr>
              <w:t>调节均质：</w:t>
            </w:r>
            <w:r>
              <w:rPr>
                <w:spacing w:val="-37"/>
                <w:sz w:val="24"/>
                <w:szCs w:val="24"/>
              </w:rPr>
              <w:t xml:space="preserve"> </w:t>
            </w:r>
            <w:r>
              <w:rPr>
                <w:spacing w:val="-13"/>
                <w:sz w:val="24"/>
                <w:szCs w:val="24"/>
              </w:rPr>
              <w:t>气田作业废水经专业运输车辆运送入场后，</w:t>
            </w:r>
            <w:r>
              <w:rPr>
                <w:spacing w:val="47"/>
                <w:sz w:val="24"/>
                <w:szCs w:val="24"/>
              </w:rPr>
              <w:t xml:space="preserve"> </w:t>
            </w:r>
            <w:r>
              <w:rPr>
                <w:spacing w:val="-13"/>
                <w:sz w:val="24"/>
                <w:szCs w:val="24"/>
              </w:rPr>
              <w:t>首</w:t>
            </w:r>
            <w:r>
              <w:rPr>
                <w:spacing w:val="-14"/>
                <w:sz w:val="24"/>
                <w:szCs w:val="24"/>
              </w:rPr>
              <w:t>先进行水质检测，</w:t>
            </w:r>
            <w:r>
              <w:rPr>
                <w:spacing w:val="44"/>
                <w:sz w:val="24"/>
                <w:szCs w:val="24"/>
              </w:rPr>
              <w:t xml:space="preserve"> </w:t>
            </w:r>
            <w:r>
              <w:rPr>
                <w:spacing w:val="-14"/>
                <w:sz w:val="24"/>
                <w:szCs w:val="24"/>
              </w:rPr>
              <w:t>检测结</w:t>
            </w:r>
            <w:r>
              <w:rPr>
                <w:sz w:val="24"/>
                <w:szCs w:val="24"/>
              </w:rPr>
              <w:t xml:space="preserve"> </w:t>
            </w:r>
            <w:r>
              <w:rPr>
                <w:spacing w:val="-10"/>
                <w:sz w:val="24"/>
                <w:szCs w:val="24"/>
              </w:rPr>
              <w:t>果满足项目设计进水水质指标后，</w:t>
            </w:r>
            <w:r>
              <w:rPr>
                <w:spacing w:val="51"/>
                <w:sz w:val="24"/>
                <w:szCs w:val="24"/>
              </w:rPr>
              <w:t xml:space="preserve"> </w:t>
            </w:r>
            <w:r>
              <w:rPr>
                <w:spacing w:val="-10"/>
                <w:sz w:val="24"/>
                <w:szCs w:val="24"/>
              </w:rPr>
              <w:t>卸水进入调节池</w:t>
            </w:r>
            <w:r>
              <w:rPr>
                <w:spacing w:val="-11"/>
                <w:sz w:val="24"/>
                <w:szCs w:val="24"/>
              </w:rPr>
              <w:t>，</w:t>
            </w:r>
            <w:r>
              <w:rPr>
                <w:spacing w:val="44"/>
                <w:sz w:val="24"/>
                <w:szCs w:val="24"/>
              </w:rPr>
              <w:t xml:space="preserve"> </w:t>
            </w:r>
            <w:r>
              <w:rPr>
                <w:spacing w:val="-11"/>
                <w:sz w:val="24"/>
                <w:szCs w:val="24"/>
              </w:rPr>
              <w:t>进行水质水量调节。调节池有效容</w:t>
            </w:r>
            <w:r>
              <w:rPr>
                <w:sz w:val="24"/>
                <w:szCs w:val="24"/>
              </w:rPr>
              <w:t xml:space="preserve"> </w:t>
            </w:r>
            <w:r>
              <w:rPr>
                <w:spacing w:val="-8"/>
                <w:sz w:val="24"/>
                <w:szCs w:val="24"/>
              </w:rPr>
              <w:t>积为</w:t>
            </w:r>
            <w:r>
              <w:rPr>
                <w:spacing w:val="-32"/>
                <w:sz w:val="24"/>
                <w:szCs w:val="24"/>
              </w:rPr>
              <w:t xml:space="preserve"> </w:t>
            </w:r>
            <w:r>
              <w:rPr>
                <w:rFonts w:ascii="Times New Roman" w:hAnsi="Times New Roman" w:eastAsia="Times New Roman" w:cs="Times New Roman"/>
                <w:spacing w:val="-8"/>
                <w:sz w:val="24"/>
                <w:szCs w:val="24"/>
              </w:rPr>
              <w:t>1000m</w:t>
            </w:r>
            <w:r>
              <w:rPr>
                <w:rFonts w:ascii="Times New Roman" w:hAnsi="Times New Roman" w:eastAsia="Times New Roman" w:cs="Times New Roman"/>
                <w:spacing w:val="-8"/>
                <w:position w:val="9"/>
                <w:sz w:val="16"/>
                <w:szCs w:val="16"/>
              </w:rPr>
              <w:t>3</w:t>
            </w:r>
            <w:r>
              <w:rPr>
                <w:rFonts w:ascii="Times New Roman" w:hAnsi="Times New Roman" w:eastAsia="Times New Roman" w:cs="Times New Roman"/>
                <w:spacing w:val="-9"/>
                <w:position w:val="9"/>
                <w:sz w:val="16"/>
                <w:szCs w:val="16"/>
              </w:rPr>
              <w:t xml:space="preserve"> </w:t>
            </w:r>
            <w:r>
              <w:rPr>
                <w:spacing w:val="-8"/>
                <w:sz w:val="24"/>
                <w:szCs w:val="24"/>
              </w:rPr>
              <w:t>，可满足本废水处理站设计处理能力</w:t>
            </w:r>
            <w:r>
              <w:rPr>
                <w:spacing w:val="-31"/>
                <w:sz w:val="24"/>
                <w:szCs w:val="24"/>
              </w:rPr>
              <w:t xml:space="preserve"> </w:t>
            </w:r>
            <w:r>
              <w:rPr>
                <w:rFonts w:ascii="Times New Roman" w:hAnsi="Times New Roman" w:eastAsia="Times New Roman" w:cs="Times New Roman"/>
                <w:spacing w:val="-8"/>
                <w:sz w:val="24"/>
                <w:szCs w:val="24"/>
              </w:rPr>
              <w:t>1d</w:t>
            </w:r>
            <w:r>
              <w:rPr>
                <w:rFonts w:ascii="Times New Roman" w:hAnsi="Times New Roman" w:eastAsia="Times New Roman" w:cs="Times New Roman"/>
                <w:spacing w:val="28"/>
                <w:w w:val="101"/>
                <w:sz w:val="24"/>
                <w:szCs w:val="24"/>
              </w:rPr>
              <w:t xml:space="preserve"> </w:t>
            </w:r>
            <w:r>
              <w:rPr>
                <w:spacing w:val="-8"/>
                <w:sz w:val="24"/>
                <w:szCs w:val="24"/>
              </w:rPr>
              <w:t>的废水</w:t>
            </w:r>
            <w:r>
              <w:rPr>
                <w:spacing w:val="-9"/>
                <w:sz w:val="24"/>
                <w:szCs w:val="24"/>
              </w:rPr>
              <w:t>调蓄量，</w:t>
            </w:r>
            <w:r>
              <w:rPr>
                <w:spacing w:val="79"/>
                <w:sz w:val="24"/>
                <w:szCs w:val="24"/>
              </w:rPr>
              <w:t xml:space="preserve"> </w:t>
            </w:r>
            <w:r>
              <w:rPr>
                <w:spacing w:val="-9"/>
                <w:sz w:val="24"/>
                <w:szCs w:val="24"/>
              </w:rPr>
              <w:t>同时可分离浮油和</w:t>
            </w:r>
          </w:p>
          <w:p>
            <w:pPr>
              <w:pStyle w:val="6"/>
              <w:spacing w:before="1" w:line="219" w:lineRule="auto"/>
              <w:ind w:left="111"/>
              <w:rPr>
                <w:sz w:val="24"/>
                <w:szCs w:val="24"/>
              </w:rPr>
            </w:pPr>
            <w:r>
              <w:rPr>
                <w:spacing w:val="-6"/>
                <w:sz w:val="24"/>
                <w:szCs w:val="24"/>
              </w:rPr>
              <w:t>大粒径颗粒物。</w:t>
            </w:r>
          </w:p>
          <w:p>
            <w:pPr>
              <w:pStyle w:val="6"/>
              <w:spacing w:before="194" w:line="219" w:lineRule="auto"/>
              <w:ind w:left="594"/>
              <w:rPr>
                <w:sz w:val="24"/>
                <w:szCs w:val="24"/>
              </w:rPr>
            </w:pPr>
            <w:r>
              <w:rPr>
                <w:spacing w:val="-8"/>
                <w:sz w:val="24"/>
                <w:szCs w:val="24"/>
                <w14:textOutline w14:w="4354" w14:cap="flat" w14:cmpd="sng">
                  <w14:solidFill>
                    <w14:srgbClr w14:val="000000"/>
                  </w14:solidFill>
                  <w14:prstDash w14:val="solid"/>
                  <w14:miter w14:val="10"/>
                </w14:textOutline>
              </w:rPr>
              <w:t>一级沉淀：</w:t>
            </w:r>
            <w:r>
              <w:rPr>
                <w:spacing w:val="-47"/>
                <w:sz w:val="24"/>
                <w:szCs w:val="24"/>
              </w:rPr>
              <w:t xml:space="preserve"> </w:t>
            </w:r>
            <w:r>
              <w:rPr>
                <w:spacing w:val="-8"/>
                <w:sz w:val="24"/>
                <w:szCs w:val="24"/>
              </w:rPr>
              <w:t>均质均量调节后的废水提升进入一级沉淀池，</w:t>
            </w:r>
            <w:r>
              <w:rPr>
                <w:spacing w:val="37"/>
                <w:sz w:val="24"/>
                <w:szCs w:val="24"/>
              </w:rPr>
              <w:t xml:space="preserve"> </w:t>
            </w:r>
            <w:r>
              <w:rPr>
                <w:spacing w:val="-8"/>
                <w:sz w:val="24"/>
                <w:szCs w:val="24"/>
              </w:rPr>
              <w:t>投加盐</w:t>
            </w:r>
            <w:r>
              <w:rPr>
                <w:spacing w:val="-9"/>
                <w:sz w:val="24"/>
                <w:szCs w:val="24"/>
              </w:rPr>
              <w:t>酸和烧碱调节废水</w:t>
            </w:r>
          </w:p>
        </w:tc>
      </w:tr>
    </w:tbl>
    <w:p>
      <w:pPr>
        <w:pStyle w:val="2"/>
        <w:rPr>
          <w:sz w:val="21"/>
        </w:rPr>
      </w:pPr>
    </w:p>
    <w:p>
      <w:pPr>
        <w:rPr>
          <w:sz w:val="21"/>
          <w:szCs w:val="21"/>
        </w:rPr>
        <w:sectPr>
          <w:footerReference r:id="rId129"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4" w:line="369" w:lineRule="auto"/>
              <w:ind w:left="107" w:right="35" w:firstLine="1"/>
              <w:rPr>
                <w:sz w:val="24"/>
                <w:szCs w:val="24"/>
              </w:rPr>
            </w:pPr>
            <w:r>
              <w:rPr>
                <w:spacing w:val="-3"/>
                <w:sz w:val="24"/>
                <w:szCs w:val="24"/>
              </w:rPr>
              <w:t xml:space="preserve">酸碱度，在适宜酸碱度条件下，加入 </w:t>
            </w:r>
            <w:r>
              <w:rPr>
                <w:rFonts w:ascii="Times New Roman" w:hAnsi="Times New Roman" w:eastAsia="Times New Roman" w:cs="Times New Roman"/>
                <w:spacing w:val="-3"/>
                <w:sz w:val="24"/>
                <w:szCs w:val="24"/>
              </w:rPr>
              <w:t>PAC</w:t>
            </w:r>
            <w:r>
              <w:rPr>
                <w:rFonts w:ascii="Times New Roman" w:hAnsi="Times New Roman" w:eastAsia="Times New Roman" w:cs="Times New Roman"/>
                <w:spacing w:val="-22"/>
                <w:sz w:val="24"/>
                <w:szCs w:val="24"/>
              </w:rPr>
              <w:t xml:space="preserve"> </w:t>
            </w:r>
            <w:r>
              <w:rPr>
                <w:spacing w:val="-3"/>
                <w:sz w:val="24"/>
                <w:szCs w:val="24"/>
              </w:rPr>
              <w:t>、</w:t>
            </w:r>
            <w:r>
              <w:rPr>
                <w:rFonts w:ascii="Times New Roman" w:hAnsi="Times New Roman" w:eastAsia="Times New Roman" w:cs="Times New Roman"/>
                <w:spacing w:val="-3"/>
                <w:sz w:val="24"/>
                <w:szCs w:val="24"/>
              </w:rPr>
              <w:t xml:space="preserve">PAM  </w:t>
            </w:r>
            <w:r>
              <w:rPr>
                <w:spacing w:val="-3"/>
                <w:sz w:val="24"/>
                <w:szCs w:val="24"/>
              </w:rPr>
              <w:t>絮凝剂，通过搅拌机缓慢搅拌，使水</w:t>
            </w:r>
            <w:r>
              <w:rPr>
                <w:sz w:val="24"/>
                <w:szCs w:val="24"/>
              </w:rPr>
              <w:t xml:space="preserve"> </w:t>
            </w:r>
            <w:r>
              <w:rPr>
                <w:spacing w:val="-2"/>
                <w:sz w:val="24"/>
                <w:szCs w:val="24"/>
              </w:rPr>
              <w:t>中悬浮物、胶体、乳化油等形成絮状物，在重力沉降作用下与水相分离。加入碳酸钠，</w:t>
            </w:r>
            <w:r>
              <w:rPr>
                <w:spacing w:val="14"/>
                <w:sz w:val="24"/>
                <w:szCs w:val="24"/>
              </w:rPr>
              <w:t xml:space="preserve"> </w:t>
            </w:r>
            <w:r>
              <w:rPr>
                <w:spacing w:val="-10"/>
                <w:sz w:val="24"/>
                <w:szCs w:val="24"/>
              </w:rPr>
              <w:t>使</w:t>
            </w:r>
            <w:r>
              <w:rPr>
                <w:spacing w:val="-50"/>
                <w:sz w:val="24"/>
                <w:szCs w:val="24"/>
              </w:rPr>
              <w:t xml:space="preserve"> </w:t>
            </w:r>
            <w:r>
              <w:rPr>
                <w:rFonts w:ascii="Times New Roman" w:hAnsi="Times New Roman" w:eastAsia="Times New Roman" w:cs="Times New Roman"/>
                <w:spacing w:val="-10"/>
                <w:sz w:val="24"/>
                <w:szCs w:val="24"/>
              </w:rPr>
              <w:t>Ca</w:t>
            </w:r>
            <w:r>
              <w:rPr>
                <w:rFonts w:ascii="Times New Roman" w:hAnsi="Times New Roman" w:eastAsia="Times New Roman" w:cs="Times New Roman"/>
                <w:spacing w:val="-10"/>
                <w:position w:val="8"/>
                <w:sz w:val="16"/>
                <w:szCs w:val="16"/>
              </w:rPr>
              <w:t>2+</w:t>
            </w:r>
            <w:r>
              <w:rPr>
                <w:spacing w:val="-10"/>
                <w:sz w:val="24"/>
                <w:szCs w:val="24"/>
              </w:rPr>
              <w:t>，</w:t>
            </w:r>
            <w:r>
              <w:rPr>
                <w:rFonts w:ascii="Times New Roman" w:hAnsi="Times New Roman" w:eastAsia="Times New Roman" w:cs="Times New Roman"/>
                <w:spacing w:val="-10"/>
                <w:sz w:val="24"/>
                <w:szCs w:val="24"/>
              </w:rPr>
              <w:t>Mg</w:t>
            </w:r>
            <w:r>
              <w:rPr>
                <w:rFonts w:ascii="Times New Roman" w:hAnsi="Times New Roman" w:eastAsia="Times New Roman" w:cs="Times New Roman"/>
                <w:spacing w:val="-10"/>
                <w:position w:val="8"/>
                <w:sz w:val="16"/>
                <w:szCs w:val="16"/>
              </w:rPr>
              <w:t>2+</w:t>
            </w:r>
            <w:r>
              <w:rPr>
                <w:spacing w:val="-10"/>
                <w:sz w:val="24"/>
                <w:szCs w:val="24"/>
              </w:rPr>
              <w:t>等离子形成碳酸盐，</w:t>
            </w:r>
            <w:r>
              <w:rPr>
                <w:spacing w:val="51"/>
                <w:sz w:val="24"/>
                <w:szCs w:val="24"/>
              </w:rPr>
              <w:t xml:space="preserve"> </w:t>
            </w:r>
            <w:r>
              <w:rPr>
                <w:spacing w:val="-10"/>
                <w:sz w:val="24"/>
                <w:szCs w:val="24"/>
              </w:rPr>
              <w:t>去除总硬度，</w:t>
            </w:r>
            <w:r>
              <w:rPr>
                <w:spacing w:val="49"/>
                <w:sz w:val="24"/>
                <w:szCs w:val="24"/>
              </w:rPr>
              <w:t xml:space="preserve"> </w:t>
            </w:r>
            <w:r>
              <w:rPr>
                <w:spacing w:val="-10"/>
                <w:sz w:val="24"/>
                <w:szCs w:val="24"/>
              </w:rPr>
              <w:t>从而满足后续</w:t>
            </w:r>
            <w:r>
              <w:rPr>
                <w:spacing w:val="-56"/>
                <w:sz w:val="24"/>
                <w:szCs w:val="24"/>
              </w:rPr>
              <w:t xml:space="preserve"> </w:t>
            </w:r>
            <w:r>
              <w:rPr>
                <w:rFonts w:ascii="Times New Roman" w:hAnsi="Times New Roman" w:eastAsia="Times New Roman" w:cs="Times New Roman"/>
                <w:spacing w:val="-10"/>
                <w:sz w:val="24"/>
                <w:szCs w:val="24"/>
              </w:rPr>
              <w:t xml:space="preserve">RO </w:t>
            </w:r>
            <w:r>
              <w:rPr>
                <w:spacing w:val="-10"/>
                <w:sz w:val="24"/>
                <w:szCs w:val="24"/>
              </w:rPr>
              <w:t>膜处理单元。加入硫</w:t>
            </w:r>
            <w:r>
              <w:rPr>
                <w:sz w:val="24"/>
                <w:szCs w:val="24"/>
              </w:rPr>
              <w:t xml:space="preserve"> </w:t>
            </w:r>
            <w:r>
              <w:rPr>
                <w:spacing w:val="-11"/>
                <w:sz w:val="24"/>
                <w:szCs w:val="24"/>
              </w:rPr>
              <w:t>酸钠， 硫酸根离子与废水中的</w:t>
            </w:r>
            <w:r>
              <w:rPr>
                <w:spacing w:val="-55"/>
                <w:sz w:val="24"/>
                <w:szCs w:val="24"/>
              </w:rPr>
              <w:t xml:space="preserve"> </w:t>
            </w:r>
            <w:r>
              <w:rPr>
                <w:rFonts w:ascii="Times New Roman" w:hAnsi="Times New Roman" w:eastAsia="Times New Roman" w:cs="Times New Roman"/>
                <w:spacing w:val="-11"/>
                <w:sz w:val="24"/>
                <w:szCs w:val="24"/>
              </w:rPr>
              <w:t>Ba</w:t>
            </w:r>
            <w:r>
              <w:rPr>
                <w:rFonts w:ascii="Times New Roman" w:hAnsi="Times New Roman" w:eastAsia="Times New Roman" w:cs="Times New Roman"/>
                <w:spacing w:val="-11"/>
                <w:position w:val="9"/>
                <w:sz w:val="16"/>
                <w:szCs w:val="16"/>
              </w:rPr>
              <w:t>2+</w:t>
            </w:r>
            <w:r>
              <w:rPr>
                <w:spacing w:val="-11"/>
                <w:sz w:val="24"/>
                <w:szCs w:val="24"/>
              </w:rPr>
              <w:t>形成硫酸</w:t>
            </w:r>
            <w:r>
              <w:rPr>
                <w:spacing w:val="-12"/>
                <w:sz w:val="24"/>
                <w:szCs w:val="24"/>
              </w:rPr>
              <w:t>钡沉淀， 在此过程中，</w:t>
            </w:r>
            <w:r>
              <w:rPr>
                <w:spacing w:val="43"/>
                <w:sz w:val="24"/>
                <w:szCs w:val="24"/>
              </w:rPr>
              <w:t xml:space="preserve"> </w:t>
            </w:r>
            <w:r>
              <w:rPr>
                <w:spacing w:val="-12"/>
                <w:sz w:val="24"/>
                <w:szCs w:val="24"/>
              </w:rPr>
              <w:t>污水中的镭会与硫酸</w:t>
            </w:r>
            <w:r>
              <w:rPr>
                <w:sz w:val="24"/>
                <w:szCs w:val="24"/>
              </w:rPr>
              <w:t xml:space="preserve"> </w:t>
            </w:r>
            <w:r>
              <w:rPr>
                <w:spacing w:val="-8"/>
                <w:sz w:val="24"/>
                <w:szCs w:val="24"/>
              </w:rPr>
              <w:t>钡形成共晶沉淀物</w:t>
            </w:r>
            <w:r>
              <w:rPr>
                <w:spacing w:val="-56"/>
                <w:sz w:val="24"/>
                <w:szCs w:val="24"/>
              </w:rPr>
              <w:t xml:space="preserve"> </w:t>
            </w:r>
            <w:r>
              <w:rPr>
                <w:rFonts w:ascii="Times New Roman" w:hAnsi="Times New Roman" w:eastAsia="Times New Roman" w:cs="Times New Roman"/>
                <w:spacing w:val="-8"/>
                <w:sz w:val="24"/>
                <w:szCs w:val="24"/>
              </w:rPr>
              <w:t>Ba(Ra)SO</w:t>
            </w:r>
            <w:r>
              <w:rPr>
                <w:rFonts w:ascii="Times New Roman" w:hAnsi="Times New Roman" w:eastAsia="Times New Roman" w:cs="Times New Roman"/>
                <w:spacing w:val="-8"/>
                <w:position w:val="-1"/>
                <w:sz w:val="16"/>
                <w:szCs w:val="16"/>
              </w:rPr>
              <w:t>4</w:t>
            </w:r>
            <w:r>
              <w:rPr>
                <w:spacing w:val="-8"/>
                <w:sz w:val="24"/>
                <w:szCs w:val="24"/>
              </w:rPr>
              <w:t>，从而去除镭元素，</w:t>
            </w:r>
            <w:r>
              <w:rPr>
                <w:spacing w:val="31"/>
                <w:sz w:val="24"/>
                <w:szCs w:val="24"/>
              </w:rPr>
              <w:t xml:space="preserve"> </w:t>
            </w:r>
            <w:r>
              <w:rPr>
                <w:spacing w:val="-8"/>
                <w:sz w:val="24"/>
                <w:szCs w:val="24"/>
              </w:rPr>
              <w:t>降低污水放射性</w:t>
            </w:r>
            <w:r>
              <w:rPr>
                <w:spacing w:val="-9"/>
                <w:sz w:val="24"/>
                <w:szCs w:val="24"/>
              </w:rPr>
              <w:t>。投加</w:t>
            </w:r>
            <w:r>
              <w:rPr>
                <w:spacing w:val="-55"/>
                <w:sz w:val="24"/>
                <w:szCs w:val="24"/>
              </w:rPr>
              <w:t xml:space="preserve"> </w:t>
            </w:r>
            <w:r>
              <w:rPr>
                <w:rFonts w:ascii="Times New Roman" w:hAnsi="Times New Roman" w:eastAsia="Times New Roman" w:cs="Times New Roman"/>
                <w:spacing w:val="-9"/>
                <w:sz w:val="24"/>
                <w:szCs w:val="24"/>
              </w:rPr>
              <w:t xml:space="preserve">DTCR </w:t>
            </w:r>
            <w:r>
              <w:rPr>
                <w:spacing w:val="-9"/>
                <w:sz w:val="24"/>
                <w:szCs w:val="24"/>
              </w:rPr>
              <w:t>重捕剂，</w:t>
            </w:r>
            <w:r>
              <w:rPr>
                <w:sz w:val="24"/>
                <w:szCs w:val="24"/>
              </w:rPr>
              <w:t xml:space="preserve"> </w:t>
            </w:r>
            <w:r>
              <w:rPr>
                <w:spacing w:val="-4"/>
                <w:position w:val="-1"/>
                <w:sz w:val="24"/>
                <w:szCs w:val="24"/>
              </w:rPr>
              <w:t>与废水中的</w:t>
            </w:r>
            <w:r>
              <w:rPr>
                <w:spacing w:val="-51"/>
                <w:position w:val="-1"/>
                <w:sz w:val="24"/>
                <w:szCs w:val="24"/>
              </w:rPr>
              <w:t xml:space="preserve"> </w:t>
            </w:r>
            <w:r>
              <w:rPr>
                <w:rFonts w:ascii="Times New Roman" w:hAnsi="Times New Roman" w:eastAsia="Times New Roman" w:cs="Times New Roman"/>
                <w:spacing w:val="-4"/>
                <w:position w:val="-1"/>
                <w:sz w:val="24"/>
                <w:szCs w:val="24"/>
              </w:rPr>
              <w:t>Cu</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3"/>
                <w:position w:val="8"/>
                <w:sz w:val="16"/>
                <w:szCs w:val="16"/>
              </w:rPr>
              <w:t xml:space="preserve"> </w:t>
            </w:r>
            <w:r>
              <w:rPr>
                <w:spacing w:val="-4"/>
                <w:position w:val="-1"/>
                <w:sz w:val="24"/>
                <w:szCs w:val="24"/>
              </w:rPr>
              <w:t>、</w:t>
            </w:r>
            <w:r>
              <w:rPr>
                <w:rFonts w:ascii="Times New Roman" w:hAnsi="Times New Roman" w:eastAsia="Times New Roman" w:cs="Times New Roman"/>
                <w:spacing w:val="-4"/>
                <w:position w:val="-1"/>
                <w:sz w:val="24"/>
                <w:szCs w:val="24"/>
              </w:rPr>
              <w:t>Cd</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6"/>
                <w:position w:val="8"/>
                <w:sz w:val="16"/>
                <w:szCs w:val="16"/>
              </w:rPr>
              <w:t xml:space="preserve"> </w:t>
            </w:r>
            <w:r>
              <w:rPr>
                <w:spacing w:val="-4"/>
                <w:position w:val="-1"/>
                <w:sz w:val="24"/>
                <w:szCs w:val="24"/>
              </w:rPr>
              <w:t>、</w:t>
            </w:r>
            <w:r>
              <w:rPr>
                <w:rFonts w:ascii="Times New Roman" w:hAnsi="Times New Roman" w:eastAsia="Times New Roman" w:cs="Times New Roman"/>
                <w:spacing w:val="-4"/>
                <w:position w:val="-1"/>
                <w:sz w:val="24"/>
                <w:szCs w:val="24"/>
              </w:rPr>
              <w:t>Hg</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3"/>
                <w:position w:val="8"/>
                <w:sz w:val="16"/>
                <w:szCs w:val="16"/>
              </w:rPr>
              <w:t xml:space="preserve"> </w:t>
            </w:r>
            <w:r>
              <w:rPr>
                <w:spacing w:val="-4"/>
                <w:position w:val="-1"/>
                <w:sz w:val="24"/>
                <w:szCs w:val="24"/>
              </w:rPr>
              <w:t>、</w:t>
            </w:r>
            <w:r>
              <w:rPr>
                <w:rFonts w:ascii="Times New Roman" w:hAnsi="Times New Roman" w:eastAsia="Times New Roman" w:cs="Times New Roman"/>
                <w:spacing w:val="-4"/>
                <w:position w:val="-1"/>
                <w:sz w:val="24"/>
                <w:szCs w:val="24"/>
              </w:rPr>
              <w:t>Pb</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3"/>
                <w:position w:val="8"/>
                <w:sz w:val="16"/>
                <w:szCs w:val="16"/>
              </w:rPr>
              <w:t xml:space="preserve"> </w:t>
            </w:r>
            <w:r>
              <w:rPr>
                <w:spacing w:val="-4"/>
                <w:position w:val="-1"/>
                <w:sz w:val="24"/>
                <w:szCs w:val="24"/>
              </w:rPr>
              <w:t>、</w:t>
            </w:r>
            <w:r>
              <w:rPr>
                <w:rFonts w:ascii="Times New Roman" w:hAnsi="Times New Roman" w:eastAsia="Times New Roman" w:cs="Times New Roman"/>
                <w:spacing w:val="-4"/>
                <w:position w:val="-1"/>
                <w:sz w:val="24"/>
                <w:szCs w:val="24"/>
              </w:rPr>
              <w:t>Mn</w:t>
            </w:r>
            <w:r>
              <w:rPr>
                <w:rFonts w:ascii="Times New Roman" w:hAnsi="Times New Roman" w:eastAsia="Times New Roman" w:cs="Times New Roman"/>
                <w:spacing w:val="-4"/>
                <w:position w:val="8"/>
                <w:sz w:val="16"/>
                <w:szCs w:val="16"/>
              </w:rPr>
              <w:t>2+</w:t>
            </w:r>
            <w:r>
              <w:rPr>
                <w:spacing w:val="-4"/>
                <w:position w:val="-1"/>
                <w:sz w:val="24"/>
                <w:szCs w:val="24"/>
              </w:rPr>
              <w:t>、</w:t>
            </w:r>
            <w:r>
              <w:rPr>
                <w:rFonts w:ascii="Times New Roman" w:hAnsi="Times New Roman" w:eastAsia="Times New Roman" w:cs="Times New Roman"/>
                <w:spacing w:val="-4"/>
                <w:position w:val="-1"/>
                <w:sz w:val="24"/>
                <w:szCs w:val="24"/>
              </w:rPr>
              <w:t>Ni</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3"/>
                <w:position w:val="8"/>
                <w:sz w:val="16"/>
                <w:szCs w:val="16"/>
              </w:rPr>
              <w:t xml:space="preserve"> </w:t>
            </w:r>
            <w:r>
              <w:rPr>
                <w:spacing w:val="-4"/>
                <w:position w:val="-1"/>
                <w:sz w:val="24"/>
                <w:szCs w:val="24"/>
              </w:rPr>
              <w:t>、</w:t>
            </w:r>
            <w:r>
              <w:rPr>
                <w:rFonts w:ascii="Times New Roman" w:hAnsi="Times New Roman" w:eastAsia="Times New Roman" w:cs="Times New Roman"/>
                <w:spacing w:val="-4"/>
                <w:position w:val="-1"/>
                <w:sz w:val="24"/>
                <w:szCs w:val="24"/>
              </w:rPr>
              <w:t>Zn</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4"/>
                <w:position w:val="8"/>
                <w:sz w:val="16"/>
                <w:szCs w:val="16"/>
              </w:rPr>
              <w:t xml:space="preserve"> </w:t>
            </w:r>
            <w:r>
              <w:rPr>
                <w:spacing w:val="-4"/>
                <w:position w:val="-1"/>
                <w:sz w:val="24"/>
                <w:szCs w:val="24"/>
              </w:rPr>
              <w:t>、</w:t>
            </w:r>
            <w:r>
              <w:rPr>
                <w:rFonts w:ascii="Times New Roman" w:hAnsi="Times New Roman" w:eastAsia="Times New Roman" w:cs="Times New Roman"/>
                <w:spacing w:val="-4"/>
                <w:position w:val="-1"/>
                <w:sz w:val="24"/>
                <w:szCs w:val="24"/>
              </w:rPr>
              <w:t>Cr</w:t>
            </w:r>
            <w:r>
              <w:rPr>
                <w:rFonts w:ascii="Times New Roman" w:hAnsi="Times New Roman" w:eastAsia="Times New Roman" w:cs="Times New Roman"/>
                <w:spacing w:val="-5"/>
                <w:position w:val="8"/>
                <w:sz w:val="16"/>
                <w:szCs w:val="16"/>
              </w:rPr>
              <w:t>6+</w:t>
            </w:r>
            <w:r>
              <w:rPr>
                <w:spacing w:val="-5"/>
                <w:position w:val="-1"/>
                <w:sz w:val="24"/>
                <w:szCs w:val="24"/>
              </w:rPr>
              <w:t>等各种重金属离子进行螯</w:t>
            </w:r>
          </w:p>
          <w:p>
            <w:pPr>
              <w:pStyle w:val="6"/>
              <w:spacing w:line="219" w:lineRule="auto"/>
              <w:ind w:left="109"/>
              <w:rPr>
                <w:sz w:val="24"/>
                <w:szCs w:val="24"/>
              </w:rPr>
            </w:pPr>
            <w:r>
              <w:rPr>
                <w:spacing w:val="-1"/>
                <w:sz w:val="24"/>
                <w:szCs w:val="24"/>
              </w:rPr>
              <w:t>合反应，并在短时间内迅速生成不溶性、低含水量、容易过滤去除</w:t>
            </w:r>
            <w:r>
              <w:rPr>
                <w:spacing w:val="-2"/>
                <w:sz w:val="24"/>
                <w:szCs w:val="24"/>
              </w:rPr>
              <w:t>的絮状沉淀。</w:t>
            </w:r>
          </w:p>
          <w:p>
            <w:pPr>
              <w:pStyle w:val="6"/>
              <w:spacing w:before="196" w:line="369" w:lineRule="auto"/>
              <w:ind w:left="107" w:right="99" w:firstLine="482"/>
              <w:jc w:val="both"/>
              <w:rPr>
                <w:sz w:val="24"/>
                <w:szCs w:val="24"/>
              </w:rPr>
            </w:pPr>
            <w:r>
              <w:rPr>
                <w:spacing w:val="-4"/>
                <w:sz w:val="24"/>
                <w:szCs w:val="24"/>
                <w14:textOutline w14:w="4354" w14:cap="flat" w14:cmpd="sng">
                  <w14:solidFill>
                    <w14:srgbClr w14:val="000000"/>
                  </w14:solidFill>
                  <w14:prstDash w14:val="solid"/>
                  <w14:miter w14:val="10"/>
                </w14:textOutline>
              </w:rPr>
              <w:t>铁碳微电解：</w:t>
            </w:r>
            <w:r>
              <w:rPr>
                <w:spacing w:val="-4"/>
                <w:sz w:val="24"/>
                <w:szCs w:val="24"/>
              </w:rPr>
              <w:t xml:space="preserve"> 初步处理后的废水提升进入铁碳微电解池，投加盐酸调节 </w:t>
            </w:r>
            <w:r>
              <w:rPr>
                <w:rFonts w:ascii="Times New Roman" w:hAnsi="Times New Roman" w:eastAsia="Times New Roman" w:cs="Times New Roman"/>
                <w:spacing w:val="-4"/>
                <w:sz w:val="24"/>
                <w:szCs w:val="24"/>
              </w:rPr>
              <w:t>pH</w:t>
            </w:r>
            <w:r>
              <w:rPr>
                <w:rFonts w:ascii="Times New Roman" w:hAnsi="Times New Roman" w:eastAsia="Times New Roman" w:cs="Times New Roman"/>
                <w:spacing w:val="-22"/>
                <w:sz w:val="24"/>
                <w:szCs w:val="24"/>
              </w:rPr>
              <w:t xml:space="preserve"> </w:t>
            </w:r>
            <w:r>
              <w:rPr>
                <w:spacing w:val="-4"/>
                <w:sz w:val="24"/>
                <w:szCs w:val="24"/>
              </w:rPr>
              <w:t>，通过</w:t>
            </w:r>
            <w:r>
              <w:rPr>
                <w:sz w:val="24"/>
                <w:szCs w:val="24"/>
              </w:rPr>
              <w:t xml:space="preserve"> </w:t>
            </w:r>
            <w:r>
              <w:rPr>
                <w:spacing w:val="-3"/>
                <w:sz w:val="24"/>
                <w:szCs w:val="24"/>
              </w:rPr>
              <w:t>酸性条件下微电解处理装置中铁碳填料，</w:t>
            </w:r>
            <w:r>
              <w:rPr>
                <w:rFonts w:ascii="Times New Roman" w:hAnsi="Times New Roman" w:eastAsia="Times New Roman" w:cs="Times New Roman"/>
                <w:spacing w:val="-3"/>
                <w:sz w:val="24"/>
                <w:szCs w:val="24"/>
              </w:rPr>
              <w:t>Fe/C</w:t>
            </w:r>
            <w:r>
              <w:rPr>
                <w:rFonts w:ascii="Times New Roman" w:hAnsi="Times New Roman" w:eastAsia="Times New Roman" w:cs="Times New Roman"/>
                <w:spacing w:val="16"/>
                <w:w w:val="101"/>
                <w:sz w:val="24"/>
                <w:szCs w:val="24"/>
              </w:rPr>
              <w:t xml:space="preserve"> </w:t>
            </w:r>
            <w:r>
              <w:rPr>
                <w:spacing w:val="-3"/>
                <w:sz w:val="24"/>
                <w:szCs w:val="24"/>
              </w:rPr>
              <w:t>原电池的高级氧化作用使废水中难降</w:t>
            </w:r>
            <w:r>
              <w:rPr>
                <w:spacing w:val="-4"/>
                <w:sz w:val="24"/>
                <w:szCs w:val="24"/>
              </w:rPr>
              <w:t>解有</w:t>
            </w:r>
            <w:r>
              <w:rPr>
                <w:sz w:val="24"/>
                <w:szCs w:val="24"/>
              </w:rPr>
              <w:t xml:space="preserve"> </w:t>
            </w:r>
            <w:r>
              <w:rPr>
                <w:spacing w:val="-14"/>
                <w:sz w:val="24"/>
                <w:szCs w:val="24"/>
              </w:rPr>
              <w:t>机物分解， 去除废水中的大部分有机污染物，</w:t>
            </w:r>
            <w:r>
              <w:rPr>
                <w:spacing w:val="30"/>
                <w:sz w:val="24"/>
                <w:szCs w:val="24"/>
              </w:rPr>
              <w:t xml:space="preserve"> </w:t>
            </w:r>
            <w:r>
              <w:rPr>
                <w:spacing w:val="-14"/>
                <w:sz w:val="24"/>
                <w:szCs w:val="24"/>
              </w:rPr>
              <w:t>并提高废水的可生化性；</w:t>
            </w:r>
            <w:r>
              <w:rPr>
                <w:spacing w:val="47"/>
                <w:sz w:val="24"/>
                <w:szCs w:val="24"/>
              </w:rPr>
              <w:t xml:space="preserve"> </w:t>
            </w:r>
            <w:r>
              <w:rPr>
                <w:spacing w:val="-14"/>
                <w:sz w:val="24"/>
                <w:szCs w:val="24"/>
              </w:rPr>
              <w:t>出水中的铁</w:t>
            </w:r>
            <w:r>
              <w:rPr>
                <w:rFonts w:ascii="Times New Roman" w:hAnsi="Times New Roman" w:eastAsia="Times New Roman" w:cs="Times New Roman"/>
                <w:spacing w:val="-14"/>
                <w:sz w:val="24"/>
                <w:szCs w:val="24"/>
              </w:rPr>
              <w:t>/</w:t>
            </w:r>
            <w:r>
              <w:rPr>
                <w:spacing w:val="-14"/>
                <w:sz w:val="24"/>
                <w:szCs w:val="24"/>
              </w:rPr>
              <w:t>亚铁</w:t>
            </w:r>
          </w:p>
          <w:p>
            <w:pPr>
              <w:pStyle w:val="6"/>
              <w:spacing w:line="219" w:lineRule="auto"/>
              <w:ind w:left="112"/>
              <w:rPr>
                <w:sz w:val="24"/>
                <w:szCs w:val="24"/>
              </w:rPr>
            </w:pPr>
            <w:r>
              <w:rPr>
                <w:spacing w:val="-2"/>
                <w:sz w:val="24"/>
                <w:szCs w:val="24"/>
              </w:rPr>
              <w:t>离子在碱性条件下在二级沉淀池中进一步絮凝沉淀。</w:t>
            </w:r>
          </w:p>
          <w:p>
            <w:pPr>
              <w:pStyle w:val="6"/>
              <w:spacing w:before="195" w:line="369" w:lineRule="auto"/>
              <w:ind w:left="109" w:right="101" w:firstLine="485"/>
              <w:jc w:val="both"/>
              <w:rPr>
                <w:sz w:val="24"/>
                <w:szCs w:val="24"/>
              </w:rPr>
            </w:pPr>
            <w:r>
              <w:rPr>
                <w:spacing w:val="-3"/>
                <w:sz w:val="24"/>
                <w:szCs w:val="24"/>
                <w14:textOutline w14:w="4354" w14:cap="flat" w14:cmpd="sng">
                  <w14:solidFill>
                    <w14:srgbClr w14:val="000000"/>
                  </w14:solidFill>
                  <w14:prstDash w14:val="solid"/>
                  <w14:miter w14:val="10"/>
                </w14:textOutline>
              </w:rPr>
              <w:t>二级沉淀：</w:t>
            </w:r>
            <w:r>
              <w:rPr>
                <w:spacing w:val="-3"/>
                <w:sz w:val="24"/>
                <w:szCs w:val="24"/>
              </w:rPr>
              <w:t xml:space="preserve"> 铁碳微电解池出水中携带铁</w:t>
            </w:r>
            <w:r>
              <w:rPr>
                <w:rFonts w:ascii="Times New Roman" w:hAnsi="Times New Roman" w:eastAsia="Times New Roman" w:cs="Times New Roman"/>
                <w:spacing w:val="-3"/>
                <w:sz w:val="24"/>
                <w:szCs w:val="24"/>
              </w:rPr>
              <w:t>/</w:t>
            </w:r>
            <w:r>
              <w:rPr>
                <w:spacing w:val="-3"/>
                <w:sz w:val="24"/>
                <w:szCs w:val="24"/>
              </w:rPr>
              <w:t>亚铁离子，</w:t>
            </w:r>
            <w:r>
              <w:rPr>
                <w:spacing w:val="-4"/>
                <w:sz w:val="24"/>
                <w:szCs w:val="24"/>
              </w:rPr>
              <w:t>在二级沉淀池氢氧化钠调节</w:t>
            </w:r>
            <w:r>
              <w:rPr>
                <w:spacing w:val="-57"/>
                <w:sz w:val="24"/>
                <w:szCs w:val="24"/>
              </w:rPr>
              <w:t xml:space="preserve"> </w:t>
            </w:r>
            <w:r>
              <w:rPr>
                <w:rFonts w:ascii="Times New Roman" w:hAnsi="Times New Roman" w:eastAsia="Times New Roman" w:cs="Times New Roman"/>
                <w:spacing w:val="-4"/>
                <w:sz w:val="24"/>
                <w:szCs w:val="24"/>
              </w:rPr>
              <w:t>pH</w:t>
            </w:r>
            <w:r>
              <w:rPr>
                <w:rFonts w:ascii="Times New Roman" w:hAnsi="Times New Roman" w:eastAsia="Times New Roman" w:cs="Times New Roman"/>
                <w:sz w:val="24"/>
                <w:szCs w:val="24"/>
              </w:rPr>
              <w:t xml:space="preserve"> </w:t>
            </w:r>
            <w:r>
              <w:rPr>
                <w:spacing w:val="-2"/>
                <w:sz w:val="24"/>
                <w:szCs w:val="24"/>
              </w:rPr>
              <w:t>使废水呈碱性，再加入</w:t>
            </w:r>
            <w:r>
              <w:rPr>
                <w:spacing w:val="-46"/>
                <w:sz w:val="24"/>
                <w:szCs w:val="24"/>
              </w:rPr>
              <w:t xml:space="preserve"> </w:t>
            </w:r>
            <w:r>
              <w:rPr>
                <w:rFonts w:ascii="Times New Roman" w:hAnsi="Times New Roman" w:eastAsia="Times New Roman" w:cs="Times New Roman"/>
                <w:spacing w:val="-2"/>
                <w:sz w:val="24"/>
                <w:szCs w:val="24"/>
              </w:rPr>
              <w:t>PAC</w:t>
            </w:r>
            <w:r>
              <w:rPr>
                <w:rFonts w:ascii="Times New Roman" w:hAnsi="Times New Roman" w:eastAsia="Times New Roman" w:cs="Times New Roman"/>
                <w:spacing w:val="-34"/>
                <w:sz w:val="24"/>
                <w:szCs w:val="24"/>
              </w:rPr>
              <w:t xml:space="preserve"> </w:t>
            </w:r>
            <w:r>
              <w:rPr>
                <w:spacing w:val="-2"/>
                <w:sz w:val="24"/>
                <w:szCs w:val="24"/>
              </w:rPr>
              <w:t>、</w:t>
            </w:r>
            <w:r>
              <w:rPr>
                <w:rFonts w:ascii="Times New Roman" w:hAnsi="Times New Roman" w:eastAsia="Times New Roman" w:cs="Times New Roman"/>
                <w:spacing w:val="-2"/>
                <w:sz w:val="24"/>
                <w:szCs w:val="24"/>
              </w:rPr>
              <w:t>PAM</w:t>
            </w:r>
            <w:r>
              <w:rPr>
                <w:rFonts w:ascii="Times New Roman" w:hAnsi="Times New Roman" w:eastAsia="Times New Roman" w:cs="Times New Roman"/>
                <w:spacing w:val="27"/>
                <w:sz w:val="24"/>
                <w:szCs w:val="24"/>
              </w:rPr>
              <w:t xml:space="preserve"> </w:t>
            </w:r>
            <w:r>
              <w:rPr>
                <w:spacing w:val="-2"/>
                <w:sz w:val="24"/>
                <w:szCs w:val="24"/>
              </w:rPr>
              <w:t>絮凝</w:t>
            </w:r>
            <w:r>
              <w:rPr>
                <w:spacing w:val="-3"/>
                <w:sz w:val="24"/>
                <w:szCs w:val="24"/>
              </w:rPr>
              <w:t>剂，通过搅拌机缓慢搅拌，在碱性条件下铁</w:t>
            </w:r>
            <w:r>
              <w:rPr>
                <w:rFonts w:ascii="Times New Roman" w:hAnsi="Times New Roman" w:eastAsia="Times New Roman" w:cs="Times New Roman"/>
                <w:spacing w:val="-3"/>
                <w:sz w:val="24"/>
                <w:szCs w:val="24"/>
              </w:rPr>
              <w:t>/</w:t>
            </w:r>
            <w:r>
              <w:rPr>
                <w:spacing w:val="-3"/>
                <w:sz w:val="24"/>
                <w:szCs w:val="24"/>
              </w:rPr>
              <w:t>亚</w:t>
            </w:r>
          </w:p>
          <w:p>
            <w:pPr>
              <w:pStyle w:val="6"/>
              <w:spacing w:before="1" w:line="218" w:lineRule="auto"/>
              <w:ind w:left="107"/>
              <w:rPr>
                <w:sz w:val="24"/>
                <w:szCs w:val="24"/>
              </w:rPr>
            </w:pPr>
            <w:r>
              <w:rPr>
                <w:spacing w:val="-2"/>
                <w:sz w:val="24"/>
                <w:szCs w:val="24"/>
              </w:rPr>
              <w:t>铁离子与絮凝剂形成絮体，通过重力沉降作用分离去除。</w:t>
            </w:r>
          </w:p>
          <w:p>
            <w:pPr>
              <w:pStyle w:val="6"/>
              <w:spacing w:before="197" w:line="369" w:lineRule="auto"/>
              <w:ind w:left="110" w:right="99" w:firstLine="480"/>
              <w:jc w:val="both"/>
              <w:rPr>
                <w:sz w:val="24"/>
                <w:szCs w:val="24"/>
              </w:rPr>
            </w:pPr>
            <w:r>
              <w:rPr>
                <w:spacing w:val="-4"/>
                <w:sz w:val="24"/>
                <w:szCs w:val="24"/>
                <w14:textOutline w14:w="4354" w14:cap="flat" w14:cmpd="sng">
                  <w14:solidFill>
                    <w14:srgbClr w14:val="000000"/>
                  </w14:solidFill>
                  <w14:prstDash w14:val="solid"/>
                  <w14:miter w14:val="10"/>
                </w14:textOutline>
              </w:rPr>
              <w:t>缺氧脱氮：</w:t>
            </w:r>
            <w:r>
              <w:rPr>
                <w:spacing w:val="-40"/>
                <w:sz w:val="24"/>
                <w:szCs w:val="24"/>
              </w:rPr>
              <w:t xml:space="preserve"> </w:t>
            </w:r>
            <w:r>
              <w:rPr>
                <w:spacing w:val="-4"/>
                <w:sz w:val="24"/>
                <w:szCs w:val="24"/>
              </w:rPr>
              <w:t>二级沉淀池出水再经过缺氧脱氮、生物接触氧化两步生化处理工艺进一</w:t>
            </w:r>
            <w:r>
              <w:rPr>
                <w:sz w:val="24"/>
                <w:szCs w:val="24"/>
              </w:rPr>
              <w:t xml:space="preserve"> </w:t>
            </w:r>
            <w:r>
              <w:rPr>
                <w:spacing w:val="-6"/>
                <w:sz w:val="24"/>
                <w:szCs w:val="24"/>
              </w:rPr>
              <w:t>步去除有机污染物，</w:t>
            </w:r>
            <w:r>
              <w:rPr>
                <w:spacing w:val="49"/>
                <w:sz w:val="24"/>
                <w:szCs w:val="24"/>
              </w:rPr>
              <w:t xml:space="preserve"> </w:t>
            </w:r>
            <w:r>
              <w:rPr>
                <w:spacing w:val="-6"/>
                <w:sz w:val="24"/>
                <w:szCs w:val="24"/>
              </w:rPr>
              <w:t>并通过微生物的硝化和反硝化作用去除废水的氨氮。缺氧池在缺氧</w:t>
            </w:r>
            <w:r>
              <w:rPr>
                <w:sz w:val="24"/>
                <w:szCs w:val="24"/>
              </w:rPr>
              <w:t xml:space="preserve"> </w:t>
            </w:r>
            <w:r>
              <w:rPr>
                <w:spacing w:val="-4"/>
                <w:sz w:val="24"/>
                <w:szCs w:val="24"/>
              </w:rPr>
              <w:t>条件下，</w:t>
            </w:r>
            <w:r>
              <w:rPr>
                <w:spacing w:val="-30"/>
                <w:sz w:val="24"/>
                <w:szCs w:val="24"/>
              </w:rPr>
              <w:t xml:space="preserve"> </w:t>
            </w:r>
            <w:r>
              <w:rPr>
                <w:spacing w:val="-4"/>
                <w:sz w:val="24"/>
                <w:szCs w:val="24"/>
              </w:rPr>
              <w:t>一方面利用兼性厌氧菌将二级沉淀池出水中大分子有机物分解成易于好氧生化</w:t>
            </w:r>
            <w:r>
              <w:rPr>
                <w:sz w:val="24"/>
                <w:szCs w:val="24"/>
              </w:rPr>
              <w:t xml:space="preserve"> </w:t>
            </w:r>
            <w:r>
              <w:rPr>
                <w:spacing w:val="-10"/>
                <w:sz w:val="24"/>
                <w:szCs w:val="24"/>
              </w:rPr>
              <w:t>的小分子有机物，</w:t>
            </w:r>
            <w:r>
              <w:rPr>
                <w:spacing w:val="40"/>
                <w:sz w:val="24"/>
                <w:szCs w:val="24"/>
              </w:rPr>
              <w:t xml:space="preserve"> </w:t>
            </w:r>
            <w:r>
              <w:rPr>
                <w:spacing w:val="-10"/>
                <w:sz w:val="24"/>
                <w:szCs w:val="24"/>
              </w:rPr>
              <w:t>提高后续好氧处理单元的去除效果；</w:t>
            </w:r>
            <w:r>
              <w:rPr>
                <w:spacing w:val="47"/>
                <w:sz w:val="24"/>
                <w:szCs w:val="24"/>
              </w:rPr>
              <w:t xml:space="preserve"> </w:t>
            </w:r>
            <w:r>
              <w:rPr>
                <w:spacing w:val="-10"/>
                <w:sz w:val="24"/>
                <w:szCs w:val="24"/>
              </w:rPr>
              <w:t>另一方面利用反</w:t>
            </w:r>
            <w:r>
              <w:rPr>
                <w:spacing w:val="-11"/>
                <w:sz w:val="24"/>
                <w:szCs w:val="24"/>
              </w:rPr>
              <w:t>硝化菌反硝化作</w:t>
            </w:r>
            <w:r>
              <w:rPr>
                <w:sz w:val="24"/>
                <w:szCs w:val="24"/>
              </w:rPr>
              <w:t xml:space="preserve"> </w:t>
            </w:r>
            <w:r>
              <w:rPr>
                <w:spacing w:val="-5"/>
                <w:sz w:val="24"/>
                <w:szCs w:val="24"/>
              </w:rPr>
              <w:t>用将接触氧化池回流带入的硝酸盐或亚硝酸盐转化成氮气逸入到大气中， 从而达到脱氮</w:t>
            </w:r>
          </w:p>
          <w:p>
            <w:pPr>
              <w:pStyle w:val="6"/>
              <w:spacing w:line="222" w:lineRule="auto"/>
              <w:ind w:left="128"/>
              <w:rPr>
                <w:sz w:val="24"/>
                <w:szCs w:val="24"/>
              </w:rPr>
            </w:pPr>
            <w:r>
              <w:rPr>
                <w:spacing w:val="-12"/>
                <w:sz w:val="24"/>
                <w:szCs w:val="24"/>
              </w:rPr>
              <w:t>的目的。</w:t>
            </w:r>
          </w:p>
          <w:p>
            <w:pPr>
              <w:pStyle w:val="6"/>
              <w:spacing w:before="193" w:line="369" w:lineRule="auto"/>
              <w:ind w:left="109" w:right="101" w:firstLine="480"/>
              <w:jc w:val="both"/>
              <w:rPr>
                <w:sz w:val="24"/>
                <w:szCs w:val="24"/>
              </w:rPr>
            </w:pPr>
            <w:r>
              <w:rPr>
                <w:spacing w:val="-8"/>
                <w:sz w:val="24"/>
                <w:szCs w:val="24"/>
                <w14:textOutline w14:w="4354" w14:cap="flat" w14:cmpd="sng">
                  <w14:solidFill>
                    <w14:srgbClr w14:val="000000"/>
                  </w14:solidFill>
                  <w14:prstDash w14:val="solid"/>
                  <w14:miter w14:val="10"/>
                </w14:textOutline>
              </w:rPr>
              <w:t>接触氧化：</w:t>
            </w:r>
            <w:r>
              <w:rPr>
                <w:spacing w:val="-44"/>
                <w:sz w:val="24"/>
                <w:szCs w:val="24"/>
              </w:rPr>
              <w:t xml:space="preserve"> </w:t>
            </w:r>
            <w:r>
              <w:rPr>
                <w:spacing w:val="-8"/>
                <w:sz w:val="24"/>
                <w:szCs w:val="24"/>
              </w:rPr>
              <w:t>该处理工段位于铁碳微电解后，</w:t>
            </w:r>
            <w:r>
              <w:rPr>
                <w:spacing w:val="36"/>
                <w:sz w:val="24"/>
                <w:szCs w:val="24"/>
              </w:rPr>
              <w:t xml:space="preserve"> </w:t>
            </w:r>
            <w:r>
              <w:rPr>
                <w:spacing w:val="-8"/>
                <w:sz w:val="24"/>
                <w:szCs w:val="24"/>
              </w:rPr>
              <w:t>经过铁碳微电解处理后</w:t>
            </w:r>
            <w:r>
              <w:rPr>
                <w:spacing w:val="-9"/>
                <w:sz w:val="24"/>
                <w:szCs w:val="24"/>
              </w:rPr>
              <w:t>废水中的可生化</w:t>
            </w:r>
            <w:r>
              <w:rPr>
                <w:sz w:val="24"/>
                <w:szCs w:val="24"/>
              </w:rPr>
              <w:t xml:space="preserve"> </w:t>
            </w:r>
            <w:r>
              <w:rPr>
                <w:spacing w:val="-13"/>
                <w:sz w:val="24"/>
                <w:szCs w:val="24"/>
              </w:rPr>
              <w:t>性大大提高，</w:t>
            </w:r>
            <w:r>
              <w:rPr>
                <w:spacing w:val="60"/>
                <w:sz w:val="24"/>
                <w:szCs w:val="24"/>
              </w:rPr>
              <w:t xml:space="preserve"> </w:t>
            </w:r>
            <w:r>
              <w:rPr>
                <w:spacing w:val="-13"/>
                <w:sz w:val="24"/>
                <w:szCs w:val="24"/>
              </w:rPr>
              <w:t>好氧处理工艺采用接触氧化生物膜法技术，</w:t>
            </w:r>
            <w:r>
              <w:rPr>
                <w:spacing w:val="52"/>
                <w:sz w:val="24"/>
                <w:szCs w:val="24"/>
              </w:rPr>
              <w:t xml:space="preserve"> </w:t>
            </w:r>
            <w:r>
              <w:rPr>
                <w:spacing w:val="-13"/>
                <w:sz w:val="24"/>
                <w:szCs w:val="24"/>
              </w:rPr>
              <w:t>定向驯化耐盐微生物，</w:t>
            </w:r>
            <w:r>
              <w:rPr>
                <w:spacing w:val="-39"/>
                <w:sz w:val="24"/>
                <w:szCs w:val="24"/>
              </w:rPr>
              <w:t xml:space="preserve"> </w:t>
            </w:r>
            <w:r>
              <w:rPr>
                <w:spacing w:val="-13"/>
                <w:sz w:val="24"/>
                <w:szCs w:val="24"/>
              </w:rPr>
              <w:t>可显著</w:t>
            </w:r>
            <w:r>
              <w:rPr>
                <w:sz w:val="24"/>
                <w:szCs w:val="24"/>
              </w:rPr>
              <w:t xml:space="preserve"> </w:t>
            </w:r>
            <w:r>
              <w:rPr>
                <w:spacing w:val="-11"/>
                <w:sz w:val="24"/>
                <w:szCs w:val="24"/>
              </w:rPr>
              <w:t>去除废水中溶解性和胶体有机污染物，</w:t>
            </w:r>
            <w:r>
              <w:rPr>
                <w:spacing w:val="51"/>
                <w:sz w:val="24"/>
                <w:szCs w:val="24"/>
              </w:rPr>
              <w:t xml:space="preserve"> </w:t>
            </w:r>
            <w:r>
              <w:rPr>
                <w:spacing w:val="-11"/>
                <w:sz w:val="24"/>
                <w:szCs w:val="24"/>
              </w:rPr>
              <w:t>与缺氧池联用，</w:t>
            </w:r>
            <w:r>
              <w:rPr>
                <w:spacing w:val="69"/>
                <w:sz w:val="24"/>
                <w:szCs w:val="24"/>
              </w:rPr>
              <w:t xml:space="preserve"> </w:t>
            </w:r>
            <w:r>
              <w:rPr>
                <w:spacing w:val="-11"/>
                <w:sz w:val="24"/>
                <w:szCs w:val="24"/>
              </w:rPr>
              <w:t>同时达到硝化反硝化目的</w:t>
            </w:r>
            <w:r>
              <w:rPr>
                <w:spacing w:val="-12"/>
                <w:sz w:val="24"/>
                <w:szCs w:val="24"/>
              </w:rPr>
              <w:t>。接触</w:t>
            </w:r>
            <w:r>
              <w:rPr>
                <w:sz w:val="24"/>
                <w:szCs w:val="24"/>
              </w:rPr>
              <w:t xml:space="preserve"> </w:t>
            </w:r>
            <w:r>
              <w:rPr>
                <w:spacing w:val="-1"/>
                <w:sz w:val="24"/>
                <w:szCs w:val="24"/>
              </w:rPr>
              <w:t xml:space="preserve">氧化池在好氧条件下，耐盐好氧微生物将有机物彻底分解、释放 </w:t>
            </w:r>
            <w:r>
              <w:rPr>
                <w:rFonts w:ascii="Times New Roman" w:hAnsi="Times New Roman" w:eastAsia="Times New Roman" w:cs="Times New Roman"/>
                <w:spacing w:val="-1"/>
                <w:sz w:val="24"/>
                <w:szCs w:val="24"/>
              </w:rPr>
              <w:t>CO</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2"/>
                <w:position w:val="-1"/>
                <w:sz w:val="16"/>
                <w:szCs w:val="16"/>
              </w:rPr>
              <w:t xml:space="preserve"> </w:t>
            </w:r>
            <w:r>
              <w:rPr>
                <w:spacing w:val="-1"/>
                <w:sz w:val="24"/>
                <w:szCs w:val="24"/>
              </w:rPr>
              <w:t>，达</w:t>
            </w:r>
            <w:r>
              <w:rPr>
                <w:spacing w:val="-2"/>
                <w:sz w:val="24"/>
                <w:szCs w:val="24"/>
              </w:rPr>
              <w:t xml:space="preserve">到去除 </w:t>
            </w:r>
            <w:r>
              <w:rPr>
                <w:rFonts w:ascii="Times New Roman" w:hAnsi="Times New Roman" w:eastAsia="Times New Roman" w:cs="Times New Roman"/>
                <w:spacing w:val="-2"/>
                <w:sz w:val="24"/>
                <w:szCs w:val="24"/>
              </w:rPr>
              <w:t>BOD</w:t>
            </w:r>
            <w:r>
              <w:rPr>
                <w:rFonts w:ascii="Times New Roman" w:hAnsi="Times New Roman" w:eastAsia="Times New Roman" w:cs="Times New Roman"/>
                <w:sz w:val="24"/>
                <w:szCs w:val="24"/>
              </w:rPr>
              <w:t xml:space="preserve"> </w:t>
            </w:r>
            <w:r>
              <w:rPr>
                <w:spacing w:val="-12"/>
                <w:sz w:val="24"/>
                <w:szCs w:val="24"/>
              </w:rPr>
              <w:t>的目的； 同时， 硝化细菌将废水中氨氮及有机氨经生物矿化作用，</w:t>
            </w:r>
            <w:r>
              <w:rPr>
                <w:spacing w:val="59"/>
                <w:sz w:val="24"/>
                <w:szCs w:val="24"/>
              </w:rPr>
              <w:t xml:space="preserve"> </w:t>
            </w:r>
            <w:r>
              <w:rPr>
                <w:spacing w:val="-12"/>
                <w:sz w:val="24"/>
                <w:szCs w:val="24"/>
              </w:rPr>
              <w:t>转化成硝酸盐或亚硝</w:t>
            </w:r>
          </w:p>
          <w:p>
            <w:pPr>
              <w:pStyle w:val="6"/>
              <w:spacing w:before="1" w:line="218" w:lineRule="auto"/>
              <w:ind w:left="109"/>
              <w:rPr>
                <w:sz w:val="24"/>
                <w:szCs w:val="24"/>
              </w:rPr>
            </w:pPr>
            <w:r>
              <w:rPr>
                <w:spacing w:val="-3"/>
                <w:sz w:val="24"/>
                <w:szCs w:val="24"/>
              </w:rPr>
              <w:t>酸盐，为缺氧反硝化脱氮提供条件。</w:t>
            </w:r>
          </w:p>
          <w:p>
            <w:pPr>
              <w:pStyle w:val="6"/>
              <w:spacing w:before="197" w:line="369" w:lineRule="auto"/>
              <w:ind w:left="109" w:right="100" w:firstLine="487"/>
              <w:jc w:val="both"/>
              <w:rPr>
                <w:sz w:val="24"/>
                <w:szCs w:val="24"/>
              </w:rPr>
            </w:pPr>
            <w:r>
              <w:rPr>
                <w:spacing w:val="-9"/>
                <w:sz w:val="24"/>
                <w:szCs w:val="24"/>
                <w14:textOutline w14:w="4354" w14:cap="flat" w14:cmpd="sng">
                  <w14:solidFill>
                    <w14:srgbClr w14:val="000000"/>
                  </w14:solidFill>
                  <w14:prstDash w14:val="solid"/>
                  <w14:miter w14:val="10"/>
                </w14:textOutline>
              </w:rPr>
              <w:t>纤维滤布池：</w:t>
            </w:r>
            <w:r>
              <w:rPr>
                <w:spacing w:val="-9"/>
                <w:sz w:val="24"/>
                <w:szCs w:val="24"/>
              </w:rPr>
              <w:t xml:space="preserve"> 采用纤维滤布作为膜处理前端粗过滤，</w:t>
            </w:r>
            <w:r>
              <w:rPr>
                <w:spacing w:val="35"/>
                <w:sz w:val="24"/>
                <w:szCs w:val="24"/>
              </w:rPr>
              <w:t xml:space="preserve"> </w:t>
            </w:r>
            <w:r>
              <w:rPr>
                <w:spacing w:val="-9"/>
                <w:sz w:val="24"/>
                <w:szCs w:val="24"/>
              </w:rPr>
              <w:t>介质</w:t>
            </w:r>
            <w:r>
              <w:rPr>
                <w:spacing w:val="-10"/>
                <w:sz w:val="24"/>
                <w:szCs w:val="24"/>
              </w:rPr>
              <w:t>过滤是去除悬浮物的一种</w:t>
            </w:r>
            <w:r>
              <w:rPr>
                <w:sz w:val="24"/>
                <w:szCs w:val="24"/>
              </w:rPr>
              <w:t xml:space="preserve"> </w:t>
            </w:r>
            <w:r>
              <w:rPr>
                <w:spacing w:val="-9"/>
                <w:sz w:val="24"/>
                <w:szCs w:val="24"/>
              </w:rPr>
              <w:t>有效手段， 去除污水中的悬浮物、胶态杂质、吸附油等，</w:t>
            </w:r>
            <w:r>
              <w:rPr>
                <w:spacing w:val="51"/>
                <w:sz w:val="24"/>
                <w:szCs w:val="24"/>
              </w:rPr>
              <w:t xml:space="preserve"> </w:t>
            </w:r>
            <w:r>
              <w:rPr>
                <w:spacing w:val="-9"/>
                <w:sz w:val="24"/>
                <w:szCs w:val="24"/>
              </w:rPr>
              <w:t>使出水满足后深度净化处理的</w:t>
            </w:r>
          </w:p>
          <w:p>
            <w:pPr>
              <w:pStyle w:val="6"/>
              <w:spacing w:line="219" w:lineRule="auto"/>
              <w:ind w:left="106"/>
              <w:rPr>
                <w:sz w:val="24"/>
                <w:szCs w:val="24"/>
              </w:rPr>
            </w:pPr>
            <w:r>
              <w:rPr>
                <w:spacing w:val="-6"/>
                <w:sz w:val="24"/>
                <w:szCs w:val="24"/>
              </w:rPr>
              <w:t>进水水质要求。</w:t>
            </w:r>
          </w:p>
        </w:tc>
      </w:tr>
    </w:tbl>
    <w:p>
      <w:pPr>
        <w:pStyle w:val="2"/>
        <w:rPr>
          <w:sz w:val="21"/>
        </w:rPr>
      </w:pPr>
    </w:p>
    <w:p>
      <w:pPr>
        <w:rPr>
          <w:sz w:val="21"/>
          <w:szCs w:val="21"/>
        </w:rPr>
        <w:sectPr>
          <w:footerReference r:id="rId130"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1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10" w:right="100" w:firstLine="508"/>
              <w:rPr>
                <w:sz w:val="24"/>
                <w:szCs w:val="24"/>
              </w:rPr>
            </w:pPr>
            <w:r>
              <w:rPr>
                <w:spacing w:val="-8"/>
                <w:sz w:val="24"/>
                <w:szCs w:val="24"/>
                <w14:textOutline w14:w="4354" w14:cap="flat" w14:cmpd="sng">
                  <w14:solidFill>
                    <w14:srgbClr w14:val="000000"/>
                  </w14:solidFill>
                  <w14:prstDash w14:val="solid"/>
                  <w14:miter w14:val="10"/>
                </w14:textOutline>
              </w:rPr>
              <w:t>电催化氧化池：</w:t>
            </w:r>
            <w:r>
              <w:rPr>
                <w:spacing w:val="-8"/>
                <w:sz w:val="24"/>
                <w:szCs w:val="24"/>
              </w:rPr>
              <w:t>电催化氧化装置采用“掺杂金属氧化物钛基电极</w:t>
            </w:r>
            <w:r>
              <w:rPr>
                <w:spacing w:val="-88"/>
                <w:sz w:val="24"/>
                <w:szCs w:val="24"/>
              </w:rPr>
              <w:t xml:space="preserve"> </w:t>
            </w:r>
            <w:r>
              <w:rPr>
                <w:spacing w:val="-8"/>
                <w:sz w:val="24"/>
                <w:szCs w:val="24"/>
              </w:rPr>
              <w:t>”双功能电极</w:t>
            </w:r>
            <w:r>
              <w:rPr>
                <w:spacing w:val="-9"/>
                <w:sz w:val="24"/>
                <w:szCs w:val="24"/>
              </w:rPr>
              <w:t>，</w:t>
            </w:r>
            <w:r>
              <w:rPr>
                <w:spacing w:val="50"/>
                <w:sz w:val="24"/>
                <w:szCs w:val="24"/>
              </w:rPr>
              <w:t xml:space="preserve"> </w:t>
            </w:r>
            <w:r>
              <w:rPr>
                <w:spacing w:val="-9"/>
                <w:sz w:val="24"/>
                <w:szCs w:val="24"/>
              </w:rPr>
              <w:t>其</w:t>
            </w:r>
            <w:r>
              <w:rPr>
                <w:sz w:val="24"/>
                <w:szCs w:val="24"/>
              </w:rPr>
              <w:t xml:space="preserve"> </w:t>
            </w:r>
            <w:r>
              <w:rPr>
                <w:spacing w:val="4"/>
                <w:sz w:val="24"/>
                <w:szCs w:val="24"/>
              </w:rPr>
              <w:t>一面是添加稀土金属的多元金属氧化物电催化阳极面，具有高等级电催化氧化活性功</w:t>
            </w:r>
            <w:r>
              <w:rPr>
                <w:spacing w:val="18"/>
                <w:sz w:val="24"/>
                <w:szCs w:val="24"/>
              </w:rPr>
              <w:t xml:space="preserve"> </w:t>
            </w:r>
            <w:r>
              <w:rPr>
                <w:spacing w:val="-9"/>
                <w:sz w:val="24"/>
                <w:szCs w:val="24"/>
              </w:rPr>
              <w:t>能，</w:t>
            </w:r>
            <w:r>
              <w:rPr>
                <w:spacing w:val="-17"/>
                <w:sz w:val="24"/>
                <w:szCs w:val="24"/>
              </w:rPr>
              <w:t xml:space="preserve"> </w:t>
            </w:r>
            <w:r>
              <w:rPr>
                <w:spacing w:val="-9"/>
                <w:sz w:val="24"/>
                <w:szCs w:val="24"/>
              </w:rPr>
              <w:t>能使结构相对稳定的有机物降解、矿化；</w:t>
            </w:r>
            <w:r>
              <w:rPr>
                <w:spacing w:val="59"/>
                <w:sz w:val="24"/>
                <w:szCs w:val="24"/>
              </w:rPr>
              <w:t xml:space="preserve"> </w:t>
            </w:r>
            <w:r>
              <w:rPr>
                <w:spacing w:val="-9"/>
                <w:sz w:val="24"/>
                <w:szCs w:val="24"/>
              </w:rPr>
              <w:t>另一面是电催化阴极面，具有电化学还原</w:t>
            </w:r>
            <w:r>
              <w:rPr>
                <w:sz w:val="24"/>
                <w:szCs w:val="24"/>
              </w:rPr>
              <w:t xml:space="preserve"> </w:t>
            </w:r>
            <w:r>
              <w:rPr>
                <w:spacing w:val="-6"/>
                <w:sz w:val="24"/>
                <w:szCs w:val="24"/>
              </w:rPr>
              <w:t>活性功能， 使重金属离子电沉积去除。极板间距</w:t>
            </w:r>
            <w:r>
              <w:rPr>
                <w:spacing w:val="-43"/>
                <w:sz w:val="24"/>
                <w:szCs w:val="24"/>
              </w:rPr>
              <w:t xml:space="preserve"> </w:t>
            </w:r>
            <w:r>
              <w:rPr>
                <w:rFonts w:ascii="Times New Roman" w:hAnsi="Times New Roman" w:eastAsia="Times New Roman" w:cs="Times New Roman"/>
                <w:spacing w:val="-6"/>
                <w:sz w:val="24"/>
                <w:szCs w:val="24"/>
              </w:rPr>
              <w:t>5~10cm</w:t>
            </w:r>
            <w:r>
              <w:rPr>
                <w:spacing w:val="-6"/>
                <w:sz w:val="24"/>
                <w:szCs w:val="24"/>
              </w:rPr>
              <w:t>，运行电压</w:t>
            </w:r>
            <w:r>
              <w:rPr>
                <w:spacing w:val="-32"/>
                <w:sz w:val="24"/>
                <w:szCs w:val="24"/>
              </w:rPr>
              <w:t xml:space="preserve"> </w:t>
            </w:r>
            <w:r>
              <w:rPr>
                <w:rFonts w:ascii="Times New Roman" w:hAnsi="Times New Roman" w:eastAsia="Times New Roman" w:cs="Times New Roman"/>
                <w:spacing w:val="-6"/>
                <w:sz w:val="24"/>
                <w:szCs w:val="24"/>
              </w:rPr>
              <w:t>10~15V</w:t>
            </w:r>
            <w:r>
              <w:rPr>
                <w:rFonts w:ascii="Times New Roman" w:hAnsi="Times New Roman" w:eastAsia="Times New Roman" w:cs="Times New Roman"/>
                <w:spacing w:val="-31"/>
                <w:sz w:val="24"/>
                <w:szCs w:val="24"/>
              </w:rPr>
              <w:t xml:space="preserve"> </w:t>
            </w:r>
            <w:r>
              <w:rPr>
                <w:spacing w:val="-6"/>
                <w:sz w:val="24"/>
                <w:szCs w:val="24"/>
              </w:rPr>
              <w:t>，反应条件</w:t>
            </w:r>
            <w:r>
              <w:rPr>
                <w:sz w:val="24"/>
                <w:szCs w:val="24"/>
              </w:rPr>
              <w:t xml:space="preserve"> </w:t>
            </w:r>
            <w:r>
              <w:rPr>
                <w:spacing w:val="-14"/>
                <w:sz w:val="24"/>
                <w:szCs w:val="24"/>
              </w:rPr>
              <w:t>温和， 常温、常压；</w:t>
            </w:r>
            <w:r>
              <w:rPr>
                <w:spacing w:val="68"/>
                <w:sz w:val="24"/>
                <w:szCs w:val="24"/>
              </w:rPr>
              <w:t xml:space="preserve"> </w:t>
            </w:r>
            <w:r>
              <w:rPr>
                <w:spacing w:val="-14"/>
                <w:sz w:val="24"/>
                <w:szCs w:val="24"/>
              </w:rPr>
              <w:t>不需要外加药剂，</w:t>
            </w:r>
            <w:r>
              <w:rPr>
                <w:spacing w:val="58"/>
                <w:sz w:val="24"/>
                <w:szCs w:val="24"/>
              </w:rPr>
              <w:t xml:space="preserve"> </w:t>
            </w:r>
            <w:r>
              <w:rPr>
                <w:spacing w:val="-14"/>
                <w:sz w:val="24"/>
                <w:szCs w:val="24"/>
              </w:rPr>
              <w:t>不产生二次污染。对未能达标的生化处理出水进</w:t>
            </w:r>
          </w:p>
          <w:p>
            <w:pPr>
              <w:pStyle w:val="6"/>
              <w:spacing w:line="219" w:lineRule="auto"/>
              <w:ind w:left="112"/>
              <w:rPr>
                <w:sz w:val="24"/>
                <w:szCs w:val="24"/>
              </w:rPr>
            </w:pPr>
            <w:r>
              <w:rPr>
                <w:spacing w:val="-2"/>
                <w:sz w:val="24"/>
                <w:szCs w:val="24"/>
              </w:rPr>
              <w:t>行达标处理，降低后续膜处理装置的运行负荷。</w:t>
            </w:r>
          </w:p>
          <w:p>
            <w:pPr>
              <w:pStyle w:val="6"/>
              <w:spacing w:before="196" w:line="369" w:lineRule="auto"/>
              <w:ind w:left="107" w:right="97" w:firstLine="482"/>
              <w:rPr>
                <w:rFonts w:ascii="Times New Roman" w:hAnsi="Times New Roman" w:eastAsia="Times New Roman" w:cs="Times New Roman"/>
                <w:sz w:val="24"/>
                <w:szCs w:val="24"/>
              </w:rPr>
            </w:pPr>
            <w:r>
              <w:rPr>
                <w:spacing w:val="-6"/>
                <w:sz w:val="24"/>
                <w:szCs w:val="24"/>
                <w14:textOutline w14:w="4354" w14:cap="flat" w14:cmpd="sng">
                  <w14:solidFill>
                    <w14:srgbClr w14:val="000000"/>
                  </w14:solidFill>
                  <w14:prstDash w14:val="solid"/>
                  <w14:miter w14:val="10"/>
                </w14:textOutline>
              </w:rPr>
              <w:t>膜处理：</w:t>
            </w:r>
            <w:r>
              <w:rPr>
                <w:spacing w:val="-6"/>
                <w:sz w:val="24"/>
                <w:szCs w:val="24"/>
              </w:rPr>
              <w:t>采用微滤（</w:t>
            </w:r>
            <w:r>
              <w:rPr>
                <w:rFonts w:ascii="Times New Roman" w:hAnsi="Times New Roman" w:eastAsia="Times New Roman" w:cs="Times New Roman"/>
                <w:spacing w:val="-6"/>
                <w:sz w:val="24"/>
                <w:szCs w:val="24"/>
              </w:rPr>
              <w:t>MF</w:t>
            </w:r>
            <w:r>
              <w:rPr>
                <w:spacing w:val="-6"/>
                <w:sz w:val="24"/>
                <w:szCs w:val="24"/>
              </w:rPr>
              <w:t>）</w:t>
            </w:r>
            <w:r>
              <w:rPr>
                <w:rFonts w:ascii="Times New Roman" w:hAnsi="Times New Roman" w:eastAsia="Times New Roman" w:cs="Times New Roman"/>
                <w:spacing w:val="-6"/>
                <w:sz w:val="24"/>
                <w:szCs w:val="24"/>
              </w:rPr>
              <w:t>+</w:t>
            </w:r>
            <w:r>
              <w:rPr>
                <w:spacing w:val="-6"/>
                <w:sz w:val="24"/>
                <w:szCs w:val="24"/>
              </w:rPr>
              <w:t>超滤（</w:t>
            </w:r>
            <w:r>
              <w:rPr>
                <w:rFonts w:ascii="Times New Roman" w:hAnsi="Times New Roman" w:eastAsia="Times New Roman" w:cs="Times New Roman"/>
                <w:spacing w:val="-6"/>
                <w:sz w:val="24"/>
                <w:szCs w:val="24"/>
              </w:rPr>
              <w:t>UF</w:t>
            </w:r>
            <w:r>
              <w:rPr>
                <w:spacing w:val="-6"/>
                <w:sz w:val="24"/>
                <w:szCs w:val="24"/>
              </w:rPr>
              <w:t>）</w:t>
            </w:r>
            <w:r>
              <w:rPr>
                <w:rFonts w:ascii="Times New Roman" w:hAnsi="Times New Roman" w:eastAsia="Times New Roman" w:cs="Times New Roman"/>
                <w:spacing w:val="-6"/>
                <w:sz w:val="24"/>
                <w:szCs w:val="24"/>
              </w:rPr>
              <w:t>+</w:t>
            </w:r>
            <w:r>
              <w:rPr>
                <w:spacing w:val="-6"/>
                <w:sz w:val="24"/>
                <w:szCs w:val="24"/>
              </w:rPr>
              <w:t>反渗透（</w:t>
            </w:r>
            <w:r>
              <w:rPr>
                <w:rFonts w:ascii="Times New Roman" w:hAnsi="Times New Roman" w:eastAsia="Times New Roman" w:cs="Times New Roman"/>
                <w:spacing w:val="-6"/>
                <w:sz w:val="24"/>
                <w:szCs w:val="24"/>
              </w:rPr>
              <w:t>RO</w:t>
            </w:r>
            <w:r>
              <w:rPr>
                <w:spacing w:val="-6"/>
                <w:sz w:val="24"/>
                <w:szCs w:val="24"/>
              </w:rPr>
              <w:t>）组合工艺， 去除废水中氯化</w:t>
            </w:r>
            <w:r>
              <w:rPr>
                <w:spacing w:val="3"/>
                <w:sz w:val="24"/>
                <w:szCs w:val="24"/>
              </w:rPr>
              <w:t xml:space="preserve"> </w:t>
            </w:r>
            <w:r>
              <w:rPr>
                <w:spacing w:val="-13"/>
                <w:sz w:val="24"/>
                <w:szCs w:val="24"/>
              </w:rPr>
              <w:t>物盐、重金属离子，</w:t>
            </w:r>
            <w:r>
              <w:rPr>
                <w:spacing w:val="45"/>
                <w:sz w:val="24"/>
                <w:szCs w:val="24"/>
              </w:rPr>
              <w:t xml:space="preserve"> </w:t>
            </w:r>
            <w:r>
              <w:rPr>
                <w:spacing w:val="-13"/>
                <w:sz w:val="24"/>
                <w:szCs w:val="24"/>
              </w:rPr>
              <w:t>及放射性离子。 一级沉淀池中加入碳酸钠，</w:t>
            </w:r>
            <w:r>
              <w:rPr>
                <w:spacing w:val="48"/>
                <w:sz w:val="24"/>
                <w:szCs w:val="24"/>
              </w:rPr>
              <w:t xml:space="preserve"> </w:t>
            </w:r>
            <w:r>
              <w:rPr>
                <w:spacing w:val="-13"/>
                <w:sz w:val="24"/>
                <w:szCs w:val="24"/>
              </w:rPr>
              <w:t>去除</w:t>
            </w:r>
            <w:r>
              <w:rPr>
                <w:spacing w:val="-48"/>
                <w:sz w:val="24"/>
                <w:szCs w:val="24"/>
              </w:rPr>
              <w:t xml:space="preserve"> </w:t>
            </w:r>
            <w:r>
              <w:rPr>
                <w:rFonts w:ascii="Times New Roman" w:hAnsi="Times New Roman" w:eastAsia="Times New Roman" w:cs="Times New Roman"/>
                <w:spacing w:val="-13"/>
                <w:sz w:val="24"/>
                <w:szCs w:val="24"/>
              </w:rPr>
              <w:t>Ca</w:t>
            </w:r>
            <w:r>
              <w:rPr>
                <w:rFonts w:ascii="Times New Roman" w:hAnsi="Times New Roman" w:eastAsia="Times New Roman" w:cs="Times New Roman"/>
                <w:spacing w:val="-13"/>
                <w:position w:val="8"/>
                <w:sz w:val="16"/>
                <w:szCs w:val="16"/>
              </w:rPr>
              <w:t>2+</w:t>
            </w:r>
            <w:r>
              <w:rPr>
                <w:spacing w:val="-13"/>
                <w:sz w:val="24"/>
                <w:szCs w:val="24"/>
              </w:rPr>
              <w:t>，</w:t>
            </w:r>
            <w:r>
              <w:rPr>
                <w:rFonts w:ascii="Times New Roman" w:hAnsi="Times New Roman" w:eastAsia="Times New Roman" w:cs="Times New Roman"/>
                <w:spacing w:val="-13"/>
                <w:sz w:val="24"/>
                <w:szCs w:val="24"/>
              </w:rPr>
              <w:t>Mg</w:t>
            </w:r>
            <w:r>
              <w:rPr>
                <w:rFonts w:ascii="Times New Roman" w:hAnsi="Times New Roman" w:eastAsia="Times New Roman" w:cs="Times New Roman"/>
                <w:spacing w:val="-13"/>
                <w:position w:val="8"/>
                <w:sz w:val="16"/>
                <w:szCs w:val="16"/>
              </w:rPr>
              <w:t>2+</w:t>
            </w:r>
            <w:r>
              <w:rPr>
                <w:spacing w:val="-13"/>
                <w:sz w:val="24"/>
                <w:szCs w:val="24"/>
              </w:rPr>
              <w:t>等总硬</w:t>
            </w:r>
            <w:r>
              <w:rPr>
                <w:sz w:val="24"/>
                <w:szCs w:val="24"/>
              </w:rPr>
              <w:t xml:space="preserve"> </w:t>
            </w:r>
            <w:r>
              <w:rPr>
                <w:spacing w:val="-10"/>
                <w:sz w:val="24"/>
                <w:szCs w:val="24"/>
              </w:rPr>
              <w:t>度，</w:t>
            </w:r>
            <w:r>
              <w:rPr>
                <w:spacing w:val="-32"/>
                <w:sz w:val="24"/>
                <w:szCs w:val="24"/>
              </w:rPr>
              <w:t xml:space="preserve"> </w:t>
            </w:r>
            <w:r>
              <w:rPr>
                <w:spacing w:val="-10"/>
                <w:sz w:val="24"/>
                <w:szCs w:val="24"/>
              </w:rPr>
              <w:t>防止膜结垢。废水通过进水泵进入反渗透（</w:t>
            </w:r>
            <w:r>
              <w:rPr>
                <w:rFonts w:ascii="Times New Roman" w:hAnsi="Times New Roman" w:eastAsia="Times New Roman" w:cs="Times New Roman"/>
                <w:spacing w:val="-10"/>
                <w:sz w:val="24"/>
                <w:szCs w:val="24"/>
              </w:rPr>
              <w:t>RO</w:t>
            </w:r>
            <w:r>
              <w:rPr>
                <w:spacing w:val="-10"/>
                <w:sz w:val="24"/>
                <w:szCs w:val="24"/>
              </w:rPr>
              <w:t>）系统， 在进入</w:t>
            </w:r>
            <w:r>
              <w:rPr>
                <w:spacing w:val="-56"/>
                <w:sz w:val="24"/>
                <w:szCs w:val="24"/>
              </w:rPr>
              <w:t xml:space="preserve"> </w:t>
            </w:r>
            <w:r>
              <w:rPr>
                <w:rFonts w:ascii="Times New Roman" w:hAnsi="Times New Roman" w:eastAsia="Times New Roman" w:cs="Times New Roman"/>
                <w:spacing w:val="-11"/>
                <w:sz w:val="24"/>
                <w:szCs w:val="24"/>
              </w:rPr>
              <w:t xml:space="preserve">RO </w:t>
            </w:r>
            <w:r>
              <w:rPr>
                <w:spacing w:val="-11"/>
                <w:sz w:val="24"/>
                <w:szCs w:val="24"/>
              </w:rPr>
              <w:t>膜组件前，</w:t>
            </w:r>
            <w:r>
              <w:rPr>
                <w:spacing w:val="-38"/>
                <w:sz w:val="24"/>
                <w:szCs w:val="24"/>
              </w:rPr>
              <w:t xml:space="preserve"> </w:t>
            </w:r>
            <w:r>
              <w:rPr>
                <w:spacing w:val="-11"/>
                <w:sz w:val="24"/>
                <w:szCs w:val="24"/>
              </w:rPr>
              <w:t>先依</w:t>
            </w:r>
            <w:r>
              <w:rPr>
                <w:sz w:val="24"/>
                <w:szCs w:val="24"/>
              </w:rPr>
              <w:t xml:space="preserve"> </w:t>
            </w:r>
            <w:r>
              <w:rPr>
                <w:spacing w:val="-11"/>
                <w:sz w:val="24"/>
                <w:szCs w:val="24"/>
              </w:rPr>
              <w:t>次经过微滤（</w:t>
            </w:r>
            <w:r>
              <w:rPr>
                <w:rFonts w:ascii="Times New Roman" w:hAnsi="Times New Roman" w:eastAsia="Times New Roman" w:cs="Times New Roman"/>
                <w:spacing w:val="-11"/>
                <w:sz w:val="24"/>
                <w:szCs w:val="24"/>
              </w:rPr>
              <w:t>MF</w:t>
            </w:r>
            <w:r>
              <w:rPr>
                <w:spacing w:val="-11"/>
                <w:sz w:val="24"/>
                <w:szCs w:val="24"/>
              </w:rPr>
              <w:t>）、超滤（</w:t>
            </w:r>
            <w:r>
              <w:rPr>
                <w:rFonts w:ascii="Times New Roman" w:hAnsi="Times New Roman" w:eastAsia="Times New Roman" w:cs="Times New Roman"/>
                <w:spacing w:val="-11"/>
                <w:sz w:val="24"/>
                <w:szCs w:val="24"/>
              </w:rPr>
              <w:t>UF</w:t>
            </w:r>
            <w:r>
              <w:rPr>
                <w:spacing w:val="-11"/>
                <w:sz w:val="24"/>
                <w:szCs w:val="24"/>
              </w:rPr>
              <w:t>）预处理， 进一步去除废水中的胶体和细微颗粒，</w:t>
            </w:r>
            <w:r>
              <w:rPr>
                <w:spacing w:val="63"/>
                <w:sz w:val="24"/>
                <w:szCs w:val="24"/>
              </w:rPr>
              <w:t xml:space="preserve"> </w:t>
            </w:r>
            <w:r>
              <w:rPr>
                <w:spacing w:val="-11"/>
                <w:sz w:val="24"/>
                <w:szCs w:val="24"/>
              </w:rPr>
              <w:t>为</w:t>
            </w:r>
            <w:r>
              <w:rPr>
                <w:spacing w:val="-56"/>
                <w:sz w:val="24"/>
                <w:szCs w:val="24"/>
              </w:rPr>
              <w:t xml:space="preserve"> </w:t>
            </w:r>
            <w:r>
              <w:rPr>
                <w:rFonts w:ascii="Times New Roman" w:hAnsi="Times New Roman" w:eastAsia="Times New Roman" w:cs="Times New Roman"/>
                <w:spacing w:val="-11"/>
                <w:sz w:val="24"/>
                <w:szCs w:val="24"/>
              </w:rPr>
              <w:t>RO</w:t>
            </w:r>
          </w:p>
          <w:p>
            <w:pPr>
              <w:pStyle w:val="6"/>
              <w:spacing w:before="1" w:line="218" w:lineRule="auto"/>
              <w:ind w:left="107"/>
              <w:rPr>
                <w:sz w:val="24"/>
                <w:szCs w:val="24"/>
              </w:rPr>
            </w:pPr>
            <w:r>
              <w:rPr>
                <w:spacing w:val="-2"/>
                <w:sz w:val="24"/>
                <w:szCs w:val="24"/>
              </w:rPr>
              <w:t>膜组件提供一道保护屏障，保证</w:t>
            </w:r>
            <w:r>
              <w:rPr>
                <w:spacing w:val="-47"/>
                <w:sz w:val="24"/>
                <w:szCs w:val="24"/>
              </w:rPr>
              <w:t xml:space="preserve"> </w:t>
            </w:r>
            <w:r>
              <w:rPr>
                <w:rFonts w:ascii="Times New Roman" w:hAnsi="Times New Roman" w:eastAsia="Times New Roman" w:cs="Times New Roman"/>
                <w:spacing w:val="-2"/>
                <w:sz w:val="24"/>
                <w:szCs w:val="24"/>
              </w:rPr>
              <w:t xml:space="preserve">RO </w:t>
            </w:r>
            <w:r>
              <w:rPr>
                <w:spacing w:val="-2"/>
                <w:sz w:val="24"/>
                <w:szCs w:val="24"/>
              </w:rPr>
              <w:t>膜系统的稳定运行。</w:t>
            </w:r>
          </w:p>
          <w:p>
            <w:pPr>
              <w:pStyle w:val="6"/>
              <w:spacing w:before="195" w:line="480" w:lineRule="exact"/>
              <w:ind w:left="589"/>
              <w:rPr>
                <w:sz w:val="24"/>
                <w:szCs w:val="24"/>
              </w:rPr>
            </w:pPr>
            <w:r>
              <w:rPr>
                <w:spacing w:val="-7"/>
                <w:position w:val="18"/>
                <w:sz w:val="24"/>
                <w:szCs w:val="24"/>
                <w14:textOutline w14:w="4354" w14:cap="flat" w14:cmpd="sng">
                  <w14:solidFill>
                    <w14:srgbClr w14:val="000000"/>
                  </w14:solidFill>
                  <w14:prstDash w14:val="solid"/>
                  <w14:miter w14:val="10"/>
                </w14:textOutline>
              </w:rPr>
              <w:t>达标排放：</w:t>
            </w:r>
            <w:r>
              <w:rPr>
                <w:spacing w:val="-40"/>
                <w:position w:val="18"/>
                <w:sz w:val="24"/>
                <w:szCs w:val="24"/>
              </w:rPr>
              <w:t xml:space="preserve"> </w:t>
            </w:r>
            <w:r>
              <w:rPr>
                <w:spacing w:val="-7"/>
                <w:position w:val="18"/>
                <w:sz w:val="24"/>
                <w:szCs w:val="24"/>
              </w:rPr>
              <w:t>废水处理站处理达标后经过计量（设在线监测系统） 排入泸州城</w:t>
            </w:r>
            <w:r>
              <w:rPr>
                <w:spacing w:val="-8"/>
                <w:position w:val="18"/>
                <w:sz w:val="24"/>
                <w:szCs w:val="24"/>
              </w:rPr>
              <w:t>东污水</w:t>
            </w:r>
          </w:p>
          <w:p>
            <w:pPr>
              <w:pStyle w:val="6"/>
              <w:spacing w:before="1" w:line="219" w:lineRule="auto"/>
              <w:ind w:left="113"/>
              <w:rPr>
                <w:sz w:val="24"/>
                <w:szCs w:val="24"/>
              </w:rPr>
            </w:pPr>
            <w:r>
              <w:rPr>
                <w:spacing w:val="-5"/>
                <w:sz w:val="24"/>
                <w:szCs w:val="24"/>
              </w:rPr>
              <w:t>处理厂进一步处理。</w:t>
            </w:r>
          </w:p>
          <w:p>
            <w:pPr>
              <w:pStyle w:val="6"/>
              <w:spacing w:before="194" w:line="220" w:lineRule="auto"/>
              <w:ind w:left="587"/>
              <w:rPr>
                <w:sz w:val="24"/>
                <w:szCs w:val="24"/>
              </w:rPr>
            </w:pPr>
            <w:r>
              <w:rPr>
                <w:rFonts w:ascii="Times New Roman" w:hAnsi="Times New Roman" w:eastAsia="Times New Roman" w:cs="Times New Roman"/>
                <w:spacing w:val="-1"/>
                <w:sz w:val="24"/>
                <w:szCs w:val="24"/>
              </w:rPr>
              <w:t>C.</w:t>
            </w:r>
            <w:r>
              <w:rPr>
                <w:spacing w:val="-1"/>
                <w:sz w:val="24"/>
                <w:szCs w:val="24"/>
              </w:rPr>
              <w:t>进水水质要求</w:t>
            </w:r>
          </w:p>
          <w:p>
            <w:pPr>
              <w:pStyle w:val="6"/>
              <w:spacing w:before="194" w:line="480" w:lineRule="exact"/>
              <w:ind w:left="588"/>
              <w:rPr>
                <w:sz w:val="24"/>
                <w:szCs w:val="24"/>
              </w:rPr>
            </w:pPr>
            <w:r>
              <w:rPr>
                <w:spacing w:val="-5"/>
                <w:position w:val="18"/>
                <w:sz w:val="24"/>
                <w:szCs w:val="24"/>
              </w:rPr>
              <w:t>根据《四川瑞利生物科技有限公司气田废水处理站项目环境影响报告书》， 污水处</w:t>
            </w:r>
          </w:p>
          <w:p>
            <w:pPr>
              <w:pStyle w:val="6"/>
              <w:spacing w:before="1" w:line="219" w:lineRule="auto"/>
              <w:ind w:left="111"/>
              <w:rPr>
                <w:sz w:val="24"/>
                <w:szCs w:val="24"/>
              </w:rPr>
            </w:pPr>
            <w:r>
              <w:rPr>
                <w:spacing w:val="-1"/>
                <w:sz w:val="24"/>
                <w:szCs w:val="24"/>
              </w:rPr>
              <w:t>理站废水进水水质指标如下：</w:t>
            </w:r>
          </w:p>
          <w:p>
            <w:pPr>
              <w:pStyle w:val="6"/>
              <w:spacing w:before="195" w:line="212" w:lineRule="auto"/>
              <w:ind w:left="1374"/>
              <w:rPr>
                <w:sz w:val="24"/>
                <w:szCs w:val="24"/>
              </w:rPr>
            </w:pPr>
            <w:r>
              <w:rPr>
                <w:spacing w:val="-3"/>
                <w:sz w:val="24"/>
                <w:szCs w:val="24"/>
                <w14:textOutline w14:w="4354" w14:cap="flat" w14:cmpd="sng">
                  <w14:solidFill>
                    <w14:srgbClr w14:val="000000"/>
                  </w14:solidFill>
                  <w14:prstDash w14:val="solid"/>
                  <w14:miter w14:val="10"/>
                </w14:textOutline>
              </w:rPr>
              <w:t>表</w:t>
            </w:r>
            <w:r>
              <w:rPr>
                <w:spacing w:val="-49"/>
                <w:sz w:val="24"/>
                <w:szCs w:val="24"/>
              </w:rPr>
              <w:t xml:space="preserve"> </w:t>
            </w:r>
            <w:r>
              <w:rPr>
                <w:rFonts w:ascii="Times New Roman" w:hAnsi="Times New Roman" w:eastAsia="Times New Roman" w:cs="Times New Roman"/>
                <w:b/>
                <w:bCs/>
                <w:spacing w:val="-3"/>
                <w:sz w:val="24"/>
                <w:szCs w:val="24"/>
              </w:rPr>
              <w:t xml:space="preserve">5.2-2 </w:t>
            </w:r>
            <w:r>
              <w:rPr>
                <w:spacing w:val="-3"/>
                <w:sz w:val="24"/>
                <w:szCs w:val="24"/>
                <w14:textOutline w14:w="4354" w14:cap="flat" w14:cmpd="sng">
                  <w14:solidFill>
                    <w14:srgbClr w14:val="000000"/>
                  </w14:solidFill>
                  <w14:prstDash w14:val="solid"/>
                  <w14:miter w14:val="10"/>
                </w14:textOutline>
              </w:rPr>
              <w:t>污水处理站收水水质情况</w:t>
            </w:r>
            <w:r>
              <w:rPr>
                <w:spacing w:val="91"/>
                <w:sz w:val="24"/>
                <w:szCs w:val="24"/>
              </w:rPr>
              <w:t xml:space="preserve"> </w:t>
            </w:r>
            <w:r>
              <w:rPr>
                <w:spacing w:val="-3"/>
                <w:sz w:val="24"/>
                <w:szCs w:val="24"/>
                <w14:textOutline w14:w="4354" w14:cap="flat" w14:cmpd="sng">
                  <w14:solidFill>
                    <w14:srgbClr w14:val="000000"/>
                  </w14:solidFill>
                  <w14:prstDash w14:val="solid"/>
                  <w14:miter w14:val="10"/>
                </w14:textOutline>
              </w:rPr>
              <w:t>（单位：</w:t>
            </w:r>
            <w:r>
              <w:rPr>
                <w:rFonts w:ascii="Times New Roman" w:hAnsi="Times New Roman" w:eastAsia="Times New Roman" w:cs="Times New Roman"/>
                <w:b/>
                <w:bCs/>
                <w:spacing w:val="-3"/>
                <w:sz w:val="24"/>
                <w:szCs w:val="24"/>
              </w:rPr>
              <w:t xml:space="preserve">mg/L pH </w:t>
            </w:r>
            <w:r>
              <w:rPr>
                <w:spacing w:val="-3"/>
                <w:sz w:val="24"/>
                <w:szCs w:val="24"/>
                <w14:textOutline w14:w="4354" w14:cap="flat" w14:cmpd="sng">
                  <w14:solidFill>
                    <w14:srgbClr w14:val="000000"/>
                  </w14:solidFill>
                  <w14:prstDash w14:val="solid"/>
                  <w14:miter w14:val="10"/>
                </w14:textOutline>
              </w:rPr>
              <w:t>无</w:t>
            </w:r>
            <w:r>
              <w:rPr>
                <w:spacing w:val="-4"/>
                <w:sz w:val="24"/>
                <w:szCs w:val="24"/>
                <w14:textOutline w14:w="4354" w14:cap="flat" w14:cmpd="sng">
                  <w14:solidFill>
                    <w14:srgbClr w14:val="000000"/>
                  </w14:solidFill>
                  <w14:prstDash w14:val="solid"/>
                  <w14:miter w14:val="10"/>
                </w14:textOutline>
              </w:rPr>
              <w:t>量纲）</w:t>
            </w:r>
          </w:p>
          <w:p>
            <w:pPr>
              <w:spacing w:line="27" w:lineRule="exact"/>
            </w:pPr>
          </w:p>
          <w:tbl>
            <w:tblPr>
              <w:tblStyle w:val="5"/>
              <w:tblW w:w="906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1922"/>
              <w:gridCol w:w="1631"/>
              <w:gridCol w:w="1418"/>
              <w:gridCol w:w="1840"/>
              <w:gridCol w:w="13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92" w:type="dxa"/>
                  <w:vMerge w:val="restart"/>
                  <w:tcBorders>
                    <w:bottom w:val="nil"/>
                  </w:tcBorders>
                  <w:vAlign w:val="top"/>
                </w:tcPr>
                <w:p>
                  <w:pPr>
                    <w:pStyle w:val="6"/>
                    <w:spacing w:before="243" w:line="221" w:lineRule="auto"/>
                    <w:ind w:left="136"/>
                    <w:rPr>
                      <w:sz w:val="21"/>
                      <w:szCs w:val="21"/>
                    </w:rPr>
                  </w:pPr>
                  <w:r>
                    <w:rPr>
                      <w:spacing w:val="-2"/>
                      <w:sz w:val="21"/>
                      <w:szCs w:val="21"/>
                    </w:rPr>
                    <w:t>污染物</w:t>
                  </w:r>
                </w:p>
              </w:tc>
              <w:tc>
                <w:tcPr>
                  <w:tcW w:w="1922" w:type="dxa"/>
                  <w:vMerge w:val="restart"/>
                  <w:tcBorders>
                    <w:bottom w:val="nil"/>
                  </w:tcBorders>
                  <w:vAlign w:val="top"/>
                </w:tcPr>
                <w:p>
                  <w:pPr>
                    <w:pStyle w:val="6"/>
                    <w:spacing w:before="108" w:line="230" w:lineRule="auto"/>
                    <w:ind w:left="647" w:right="118" w:hanging="524"/>
                    <w:rPr>
                      <w:sz w:val="21"/>
                      <w:szCs w:val="21"/>
                    </w:rPr>
                  </w:pPr>
                  <w:r>
                    <w:rPr>
                      <w:spacing w:val="-1"/>
                      <w:sz w:val="21"/>
                      <w:szCs w:val="21"/>
                    </w:rPr>
                    <w:t>废水处理站进水水</w:t>
                  </w:r>
                  <w:r>
                    <w:rPr>
                      <w:spacing w:val="2"/>
                      <w:sz w:val="21"/>
                      <w:szCs w:val="21"/>
                    </w:rPr>
                    <w:t xml:space="preserve"> </w:t>
                  </w:r>
                  <w:r>
                    <w:rPr>
                      <w:spacing w:val="-2"/>
                      <w:sz w:val="21"/>
                      <w:szCs w:val="21"/>
                    </w:rPr>
                    <w:t>质要求</w:t>
                  </w:r>
                </w:p>
              </w:tc>
              <w:tc>
                <w:tcPr>
                  <w:tcW w:w="4889" w:type="dxa"/>
                  <w:gridSpan w:val="3"/>
                  <w:tcBorders>
                    <w:right w:val="single" w:color="000000" w:sz="4" w:space="0"/>
                  </w:tcBorders>
                  <w:vAlign w:val="top"/>
                </w:tcPr>
                <w:p>
                  <w:pPr>
                    <w:pStyle w:val="6"/>
                    <w:spacing w:before="67" w:line="220" w:lineRule="auto"/>
                    <w:ind w:left="1294"/>
                    <w:rPr>
                      <w:sz w:val="21"/>
                      <w:szCs w:val="21"/>
                    </w:rPr>
                  </w:pPr>
                  <w:r>
                    <w:rPr>
                      <w:spacing w:val="-1"/>
                      <w:sz w:val="21"/>
                      <w:szCs w:val="21"/>
                    </w:rPr>
                    <w:t>本项目废水预处理后浓度</w:t>
                  </w:r>
                </w:p>
              </w:tc>
              <w:tc>
                <w:tcPr>
                  <w:tcW w:w="1363" w:type="dxa"/>
                  <w:vMerge w:val="restart"/>
                  <w:tcBorders>
                    <w:left w:val="single" w:color="000000" w:sz="4" w:space="0"/>
                    <w:bottom w:val="nil"/>
                  </w:tcBorders>
                  <w:vAlign w:val="top"/>
                </w:tcPr>
                <w:p>
                  <w:pPr>
                    <w:pStyle w:val="6"/>
                    <w:spacing w:before="243" w:line="221" w:lineRule="auto"/>
                    <w:ind w:left="160"/>
                    <w:rPr>
                      <w:sz w:val="21"/>
                      <w:szCs w:val="21"/>
                    </w:rPr>
                  </w:pPr>
                  <w:r>
                    <w:rPr>
                      <w:spacing w:val="-2"/>
                      <w:sz w:val="21"/>
                      <w:szCs w:val="21"/>
                    </w:rPr>
                    <w:t>可行性结论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2" w:type="dxa"/>
                  <w:vMerge w:val="continue"/>
                  <w:tcBorders>
                    <w:top w:val="nil"/>
                  </w:tcBorders>
                  <w:vAlign w:val="top"/>
                </w:tcPr>
                <w:p>
                  <w:pPr>
                    <w:rPr>
                      <w:rFonts w:ascii="Arial"/>
                      <w:sz w:val="21"/>
                    </w:rPr>
                  </w:pPr>
                </w:p>
              </w:tc>
              <w:tc>
                <w:tcPr>
                  <w:tcW w:w="1922" w:type="dxa"/>
                  <w:vMerge w:val="continue"/>
                  <w:tcBorders>
                    <w:top w:val="nil"/>
                  </w:tcBorders>
                  <w:vAlign w:val="top"/>
                </w:tcPr>
                <w:p>
                  <w:pPr>
                    <w:rPr>
                      <w:rFonts w:ascii="Arial"/>
                      <w:sz w:val="21"/>
                    </w:rPr>
                  </w:pPr>
                </w:p>
              </w:tc>
              <w:tc>
                <w:tcPr>
                  <w:tcW w:w="1631" w:type="dxa"/>
                  <w:vAlign w:val="top"/>
                </w:tcPr>
                <w:p>
                  <w:pPr>
                    <w:pStyle w:val="6"/>
                    <w:spacing w:before="63" w:line="221" w:lineRule="auto"/>
                    <w:ind w:left="398"/>
                    <w:rPr>
                      <w:sz w:val="21"/>
                      <w:szCs w:val="21"/>
                    </w:rPr>
                  </w:pPr>
                  <w:r>
                    <w:rPr>
                      <w:spacing w:val="-2"/>
                      <w:sz w:val="21"/>
                      <w:szCs w:val="21"/>
                    </w:rPr>
                    <w:t>钻井废水</w:t>
                  </w:r>
                </w:p>
              </w:tc>
              <w:tc>
                <w:tcPr>
                  <w:tcW w:w="1418" w:type="dxa"/>
                  <w:vAlign w:val="top"/>
                </w:tcPr>
                <w:p>
                  <w:pPr>
                    <w:pStyle w:val="6"/>
                    <w:spacing w:before="63" w:line="221" w:lineRule="auto"/>
                    <w:ind w:left="293"/>
                    <w:rPr>
                      <w:sz w:val="21"/>
                      <w:szCs w:val="21"/>
                    </w:rPr>
                  </w:pPr>
                  <w:r>
                    <w:rPr>
                      <w:spacing w:val="-1"/>
                      <w:sz w:val="21"/>
                      <w:szCs w:val="21"/>
                    </w:rPr>
                    <w:t>洗井废水</w:t>
                  </w:r>
                </w:p>
              </w:tc>
              <w:tc>
                <w:tcPr>
                  <w:tcW w:w="1840" w:type="dxa"/>
                  <w:tcBorders>
                    <w:right w:val="single" w:color="000000" w:sz="4" w:space="0"/>
                  </w:tcBorders>
                  <w:vAlign w:val="top"/>
                </w:tcPr>
                <w:p>
                  <w:pPr>
                    <w:pStyle w:val="6"/>
                    <w:spacing w:before="63" w:line="221" w:lineRule="auto"/>
                    <w:ind w:left="509"/>
                    <w:rPr>
                      <w:sz w:val="21"/>
                      <w:szCs w:val="21"/>
                    </w:rPr>
                  </w:pPr>
                  <w:r>
                    <w:rPr>
                      <w:spacing w:val="-2"/>
                      <w:sz w:val="21"/>
                      <w:szCs w:val="21"/>
                    </w:rPr>
                    <w:t>酸化废水</w:t>
                  </w:r>
                </w:p>
              </w:tc>
              <w:tc>
                <w:tcPr>
                  <w:tcW w:w="1363" w:type="dxa"/>
                  <w:vMerge w:val="continue"/>
                  <w:tcBorders>
                    <w:top w:val="nil"/>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2" w:type="dxa"/>
                  <w:vAlign w:val="top"/>
                </w:tcPr>
                <w:p>
                  <w:pPr>
                    <w:spacing w:before="100" w:line="191" w:lineRule="auto"/>
                    <w:ind w:left="313"/>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922" w:type="dxa"/>
                  <w:vAlign w:val="top"/>
                </w:tcPr>
                <w:p>
                  <w:pPr>
                    <w:spacing w:before="103" w:line="187" w:lineRule="auto"/>
                    <w:ind w:left="7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5~</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6"/>
                      <w:sz w:val="21"/>
                      <w:szCs w:val="21"/>
                    </w:rPr>
                    <w:t>10</w:t>
                  </w:r>
                </w:p>
              </w:tc>
              <w:tc>
                <w:tcPr>
                  <w:tcW w:w="1631" w:type="dxa"/>
                  <w:vAlign w:val="top"/>
                </w:tcPr>
                <w:p>
                  <w:pPr>
                    <w:pStyle w:val="6"/>
                    <w:spacing w:before="64" w:line="23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418" w:type="dxa"/>
                  <w:vAlign w:val="top"/>
                </w:tcPr>
                <w:p>
                  <w:pPr>
                    <w:spacing w:before="103" w:line="187" w:lineRule="auto"/>
                    <w:ind w:left="5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1840" w:type="dxa"/>
                  <w:tcBorders>
                    <w:right w:val="single" w:color="000000" w:sz="4" w:space="0"/>
                  </w:tcBorders>
                  <w:vAlign w:val="top"/>
                </w:tcPr>
                <w:p>
                  <w:pPr>
                    <w:pStyle w:val="6"/>
                    <w:spacing w:before="64" w:line="237" w:lineRule="auto"/>
                    <w:ind w:left="71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1363" w:type="dxa"/>
                  <w:vMerge w:val="restart"/>
                  <w:tcBorders>
                    <w:left w:val="single" w:color="000000" w:sz="4" w:space="0"/>
                    <w:bottom w:val="nil"/>
                  </w:tcBorders>
                  <w:vAlign w:val="top"/>
                </w:tcPr>
                <w:p>
                  <w:pPr>
                    <w:pStyle w:val="6"/>
                    <w:spacing w:before="220" w:line="221" w:lineRule="auto"/>
                    <w:ind w:left="159"/>
                    <w:rPr>
                      <w:sz w:val="21"/>
                      <w:szCs w:val="21"/>
                    </w:rPr>
                  </w:pPr>
                  <w:r>
                    <w:rPr>
                      <w:spacing w:val="-1"/>
                      <w:sz w:val="21"/>
                      <w:szCs w:val="21"/>
                    </w:rPr>
                    <w:t>满足该废水</w:t>
                  </w:r>
                </w:p>
                <w:p>
                  <w:pPr>
                    <w:pStyle w:val="6"/>
                    <w:spacing w:before="19" w:line="221" w:lineRule="auto"/>
                    <w:ind w:left="163"/>
                    <w:rPr>
                      <w:sz w:val="21"/>
                      <w:szCs w:val="21"/>
                    </w:rPr>
                  </w:pPr>
                  <w:r>
                    <w:rPr>
                      <w:spacing w:val="-2"/>
                      <w:sz w:val="21"/>
                      <w:szCs w:val="21"/>
                    </w:rPr>
                    <w:t>处理站进水</w:t>
                  </w:r>
                </w:p>
                <w:p>
                  <w:pPr>
                    <w:pStyle w:val="6"/>
                    <w:spacing w:before="22" w:line="221" w:lineRule="auto"/>
                    <w:ind w:left="161"/>
                    <w:rPr>
                      <w:sz w:val="21"/>
                      <w:szCs w:val="21"/>
                    </w:rPr>
                  </w:pPr>
                  <w:r>
                    <w:rPr>
                      <w:spacing w:val="-2"/>
                      <w:sz w:val="21"/>
                      <w:szCs w:val="21"/>
                    </w:rPr>
                    <w:t>水质接纳要</w:t>
                  </w:r>
                </w:p>
                <w:p>
                  <w:pPr>
                    <w:pStyle w:val="6"/>
                    <w:spacing w:before="20" w:line="222" w:lineRule="auto"/>
                    <w:ind w:left="160"/>
                    <w:rPr>
                      <w:sz w:val="21"/>
                      <w:szCs w:val="21"/>
                    </w:rPr>
                  </w:pPr>
                  <w:r>
                    <w:rPr>
                      <w:spacing w:val="-2"/>
                      <w:sz w:val="21"/>
                      <w:szCs w:val="21"/>
                    </w:rPr>
                    <w:t>求，接纳可</w:t>
                  </w:r>
                </w:p>
                <w:p>
                  <w:pPr>
                    <w:pStyle w:val="6"/>
                    <w:spacing w:before="21" w:line="221" w:lineRule="auto"/>
                    <w:ind w:left="582"/>
                    <w:rPr>
                      <w:sz w:val="21"/>
                      <w:szCs w:val="21"/>
                    </w:rPr>
                  </w:pPr>
                  <w:r>
                    <w:rPr>
                      <w:sz w:val="21"/>
                      <w:szCs w:val="21"/>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92" w:type="dxa"/>
                  <w:vAlign w:val="top"/>
                </w:tcPr>
                <w:p>
                  <w:pPr>
                    <w:spacing w:before="104"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922" w:type="dxa"/>
                  <w:vAlign w:val="top"/>
                </w:tcPr>
                <w:p>
                  <w:pPr>
                    <w:spacing w:before="101" w:line="219" w:lineRule="auto"/>
                    <w:ind w:left="636"/>
                    <w:rPr>
                      <w:rFonts w:ascii="Times New Roman" w:hAnsi="Times New Roman" w:eastAsia="Times New Roman" w:cs="Times New Roman"/>
                      <w:sz w:val="21"/>
                      <w:szCs w:val="21"/>
                    </w:rPr>
                  </w:pPr>
                  <w:r>
                    <w:rPr>
                      <w:rFonts w:ascii="Times New Roman" w:hAnsi="Times New Roman" w:eastAsia="Times New Roman" w:cs="Times New Roman"/>
                      <w:sz w:val="21"/>
                      <w:szCs w:val="21"/>
                    </w:rPr>
                    <w:t>≤10000</w:t>
                  </w:r>
                </w:p>
              </w:tc>
              <w:tc>
                <w:tcPr>
                  <w:tcW w:w="1631" w:type="dxa"/>
                  <w:vAlign w:val="top"/>
                </w:tcPr>
                <w:p>
                  <w:pPr>
                    <w:spacing w:before="101" w:line="219"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418" w:type="dxa"/>
                  <w:vAlign w:val="top"/>
                </w:tcPr>
                <w:p>
                  <w:pPr>
                    <w:spacing w:before="101" w:line="219"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≤1000</w:t>
                  </w:r>
                </w:p>
              </w:tc>
              <w:tc>
                <w:tcPr>
                  <w:tcW w:w="1840" w:type="dxa"/>
                  <w:tcBorders>
                    <w:right w:val="single" w:color="000000" w:sz="4" w:space="0"/>
                  </w:tcBorders>
                  <w:vAlign w:val="top"/>
                </w:tcPr>
                <w:p>
                  <w:pPr>
                    <w:spacing w:before="101" w:line="219"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≤3000</w:t>
                  </w:r>
                </w:p>
              </w:tc>
              <w:tc>
                <w:tcPr>
                  <w:tcW w:w="1363" w:type="dxa"/>
                  <w:vMerge w:val="continue"/>
                  <w:tcBorders>
                    <w:top w:val="nil"/>
                    <w:left w:val="single" w:color="000000" w:sz="4" w:space="0"/>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2" w:type="dxa"/>
                  <w:vAlign w:val="top"/>
                </w:tcPr>
                <w:p>
                  <w:pPr>
                    <w:pStyle w:val="6"/>
                    <w:spacing w:before="69" w:line="222" w:lineRule="auto"/>
                    <w:ind w:left="137"/>
                    <w:rPr>
                      <w:sz w:val="21"/>
                      <w:szCs w:val="21"/>
                    </w:rPr>
                  </w:pPr>
                  <w:r>
                    <w:rPr>
                      <w:spacing w:val="-2"/>
                      <w:sz w:val="21"/>
                      <w:szCs w:val="21"/>
                    </w:rPr>
                    <w:t>悬浮物</w:t>
                  </w:r>
                </w:p>
              </w:tc>
              <w:tc>
                <w:tcPr>
                  <w:tcW w:w="1922" w:type="dxa"/>
                  <w:vAlign w:val="top"/>
                </w:tcPr>
                <w:p>
                  <w:pPr>
                    <w:spacing w:before="104" w:line="219" w:lineRule="auto"/>
                    <w:ind w:left="6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≤3000</w:t>
                  </w:r>
                </w:p>
              </w:tc>
              <w:tc>
                <w:tcPr>
                  <w:tcW w:w="1631" w:type="dxa"/>
                  <w:vAlign w:val="top"/>
                </w:tcPr>
                <w:p>
                  <w:pPr>
                    <w:spacing w:before="104" w:line="219"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≤1000</w:t>
                  </w:r>
                </w:p>
              </w:tc>
              <w:tc>
                <w:tcPr>
                  <w:tcW w:w="1418" w:type="dxa"/>
                  <w:vAlign w:val="top"/>
                </w:tcPr>
                <w:p>
                  <w:pPr>
                    <w:spacing w:before="104" w:line="219"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≤1000</w:t>
                  </w:r>
                </w:p>
              </w:tc>
              <w:tc>
                <w:tcPr>
                  <w:tcW w:w="1840" w:type="dxa"/>
                  <w:tcBorders>
                    <w:right w:val="single" w:color="000000" w:sz="4" w:space="0"/>
                  </w:tcBorders>
                  <w:vAlign w:val="top"/>
                </w:tcPr>
                <w:p>
                  <w:pPr>
                    <w:spacing w:before="104" w:line="219"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≤1000</w:t>
                  </w:r>
                </w:p>
              </w:tc>
              <w:tc>
                <w:tcPr>
                  <w:tcW w:w="1363" w:type="dxa"/>
                  <w:vMerge w:val="continue"/>
                  <w:tcBorders>
                    <w:top w:val="nil"/>
                    <w:left w:val="single" w:color="000000" w:sz="4" w:space="0"/>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2" w:type="dxa"/>
                  <w:vAlign w:val="top"/>
                </w:tcPr>
                <w:p>
                  <w:pPr>
                    <w:pStyle w:val="6"/>
                    <w:spacing w:before="69" w:line="222" w:lineRule="auto"/>
                    <w:ind w:left="138"/>
                    <w:rPr>
                      <w:sz w:val="21"/>
                      <w:szCs w:val="21"/>
                    </w:rPr>
                  </w:pPr>
                  <w:r>
                    <w:rPr>
                      <w:spacing w:val="-2"/>
                      <w:sz w:val="21"/>
                      <w:szCs w:val="21"/>
                    </w:rPr>
                    <w:t>氯化物</w:t>
                  </w:r>
                </w:p>
              </w:tc>
              <w:tc>
                <w:tcPr>
                  <w:tcW w:w="1922" w:type="dxa"/>
                  <w:vAlign w:val="top"/>
                </w:tcPr>
                <w:p>
                  <w:pPr>
                    <w:spacing w:before="105" w:line="219" w:lineRule="auto"/>
                    <w:ind w:left="636"/>
                    <w:rPr>
                      <w:rFonts w:ascii="Times New Roman" w:hAnsi="Times New Roman" w:eastAsia="Times New Roman" w:cs="Times New Roman"/>
                      <w:sz w:val="21"/>
                      <w:szCs w:val="21"/>
                    </w:rPr>
                  </w:pPr>
                  <w:r>
                    <w:rPr>
                      <w:rFonts w:ascii="Times New Roman" w:hAnsi="Times New Roman" w:eastAsia="Times New Roman" w:cs="Times New Roman"/>
                      <w:sz w:val="21"/>
                      <w:szCs w:val="21"/>
                    </w:rPr>
                    <w:t>≤15000</w:t>
                  </w:r>
                </w:p>
              </w:tc>
              <w:tc>
                <w:tcPr>
                  <w:tcW w:w="1631" w:type="dxa"/>
                  <w:vAlign w:val="top"/>
                </w:tcPr>
                <w:p>
                  <w:pPr>
                    <w:spacing w:before="105" w:line="219"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1418" w:type="dxa"/>
                  <w:vAlign w:val="top"/>
                </w:tcPr>
                <w:p>
                  <w:pPr>
                    <w:spacing w:before="105" w:line="219"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1840" w:type="dxa"/>
                  <w:tcBorders>
                    <w:right w:val="single" w:color="000000" w:sz="4" w:space="0"/>
                  </w:tcBorders>
                  <w:vAlign w:val="top"/>
                </w:tcPr>
                <w:p>
                  <w:pPr>
                    <w:spacing w:before="105" w:line="219"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1363" w:type="dxa"/>
                  <w:vMerge w:val="continue"/>
                  <w:tcBorders>
                    <w:top w:val="nil"/>
                    <w:left w:val="single" w:color="000000" w:sz="4" w:space="0"/>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92" w:type="dxa"/>
                  <w:vAlign w:val="top"/>
                </w:tcPr>
                <w:p>
                  <w:pPr>
                    <w:pStyle w:val="6"/>
                    <w:spacing w:before="67" w:line="221" w:lineRule="auto"/>
                    <w:ind w:left="136"/>
                    <w:rPr>
                      <w:sz w:val="21"/>
                      <w:szCs w:val="21"/>
                    </w:rPr>
                  </w:pPr>
                  <w:r>
                    <w:rPr>
                      <w:spacing w:val="-2"/>
                      <w:sz w:val="21"/>
                      <w:szCs w:val="21"/>
                    </w:rPr>
                    <w:t>石油类</w:t>
                  </w:r>
                </w:p>
              </w:tc>
              <w:tc>
                <w:tcPr>
                  <w:tcW w:w="1922" w:type="dxa"/>
                  <w:vAlign w:val="top"/>
                </w:tcPr>
                <w:p>
                  <w:pPr>
                    <w:spacing w:before="103" w:line="219" w:lineRule="auto"/>
                    <w:ind w:left="7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w:t>
                  </w:r>
                </w:p>
              </w:tc>
              <w:tc>
                <w:tcPr>
                  <w:tcW w:w="1631" w:type="dxa"/>
                  <w:vAlign w:val="top"/>
                </w:tcPr>
                <w:p>
                  <w:pPr>
                    <w:spacing w:before="103" w:line="219" w:lineRule="auto"/>
                    <w:ind w:left="7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1418" w:type="dxa"/>
                  <w:vAlign w:val="top"/>
                </w:tcPr>
                <w:p>
                  <w:pPr>
                    <w:spacing w:before="103" w:line="219" w:lineRule="auto"/>
                    <w:ind w:left="5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1840" w:type="dxa"/>
                  <w:tcBorders>
                    <w:right w:val="single" w:color="000000" w:sz="4" w:space="0"/>
                  </w:tcBorders>
                  <w:vAlign w:val="top"/>
                </w:tcPr>
                <w:p>
                  <w:pPr>
                    <w:spacing w:before="103" w:line="219" w:lineRule="auto"/>
                    <w:ind w:left="8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1363" w:type="dxa"/>
                  <w:vMerge w:val="continue"/>
                  <w:tcBorders>
                    <w:top w:val="nil"/>
                    <w:left w:val="single" w:color="000000" w:sz="4" w:space="0"/>
                  </w:tcBorders>
                  <w:vAlign w:val="top"/>
                </w:tcPr>
                <w:p>
                  <w:pPr>
                    <w:rPr>
                      <w:rFonts w:ascii="Arial"/>
                      <w:sz w:val="21"/>
                    </w:rPr>
                  </w:pPr>
                </w:p>
              </w:tc>
            </w:tr>
          </w:tbl>
          <w:p>
            <w:pPr>
              <w:pStyle w:val="6"/>
              <w:spacing w:before="178" w:line="480" w:lineRule="exact"/>
              <w:ind w:left="588"/>
              <w:rPr>
                <w:sz w:val="24"/>
                <w:szCs w:val="24"/>
              </w:rPr>
            </w:pPr>
            <w:r>
              <w:rPr>
                <w:spacing w:val="-5"/>
                <w:position w:val="18"/>
                <w:sz w:val="24"/>
                <w:szCs w:val="24"/>
              </w:rPr>
              <w:t>根据以上分析， 项目废水中污染物浓度低于四川瑞利生物科技有限公司气田废水处</w:t>
            </w:r>
          </w:p>
          <w:p>
            <w:pPr>
              <w:pStyle w:val="6"/>
              <w:spacing w:line="219" w:lineRule="auto"/>
              <w:ind w:left="111"/>
              <w:rPr>
                <w:sz w:val="24"/>
                <w:szCs w:val="24"/>
              </w:rPr>
            </w:pPr>
            <w:r>
              <w:rPr>
                <w:spacing w:val="-1"/>
                <w:sz w:val="24"/>
                <w:szCs w:val="24"/>
              </w:rPr>
              <w:t>理站收水水质要求，满足其收水水质要求。</w:t>
            </w:r>
          </w:p>
          <w:p>
            <w:pPr>
              <w:pStyle w:val="6"/>
              <w:spacing w:before="195" w:line="220" w:lineRule="auto"/>
              <w:ind w:left="583"/>
              <w:rPr>
                <w:sz w:val="24"/>
                <w:szCs w:val="24"/>
              </w:rPr>
            </w:pPr>
            <w:r>
              <w:rPr>
                <w:rFonts w:ascii="Times New Roman" w:hAnsi="Times New Roman" w:eastAsia="Times New Roman" w:cs="Times New Roman"/>
                <w:spacing w:val="-5"/>
                <w:sz w:val="24"/>
                <w:szCs w:val="24"/>
              </w:rPr>
              <w:t>D.</w:t>
            </w:r>
            <w:r>
              <w:rPr>
                <w:rFonts w:ascii="Times New Roman" w:hAnsi="Times New Roman" w:eastAsia="Times New Roman" w:cs="Times New Roman"/>
                <w:spacing w:val="-29"/>
                <w:sz w:val="24"/>
                <w:szCs w:val="24"/>
              </w:rPr>
              <w:t xml:space="preserve"> </w:t>
            </w:r>
            <w:r>
              <w:rPr>
                <w:spacing w:val="-5"/>
                <w:sz w:val="24"/>
                <w:szCs w:val="24"/>
              </w:rPr>
              <w:t>出水水质</w:t>
            </w:r>
          </w:p>
          <w:p>
            <w:pPr>
              <w:pStyle w:val="6"/>
              <w:spacing w:before="195" w:line="369" w:lineRule="auto"/>
              <w:ind w:left="112" w:right="32" w:firstLine="476"/>
              <w:rPr>
                <w:sz w:val="24"/>
                <w:szCs w:val="24"/>
              </w:rPr>
            </w:pPr>
            <w:r>
              <w:rPr>
                <w:spacing w:val="-6"/>
                <w:sz w:val="24"/>
                <w:szCs w:val="24"/>
              </w:rPr>
              <w:t>根据《四川瑞利生物科技有限公司气田废水处理站环境影响报告</w:t>
            </w:r>
            <w:r>
              <w:rPr>
                <w:spacing w:val="-7"/>
                <w:sz w:val="24"/>
                <w:szCs w:val="24"/>
              </w:rPr>
              <w:t>书》及其环评批复，</w:t>
            </w:r>
            <w:r>
              <w:rPr>
                <w:sz w:val="24"/>
                <w:szCs w:val="24"/>
              </w:rPr>
              <w:t xml:space="preserve"> </w:t>
            </w:r>
            <w:r>
              <w:rPr>
                <w:spacing w:val="-1"/>
                <w:sz w:val="24"/>
                <w:szCs w:val="24"/>
              </w:rPr>
              <w:t>该废水处理站出水水质达《污水综合排放标准》（</w:t>
            </w:r>
            <w:r>
              <w:rPr>
                <w:rFonts w:ascii="Times New Roman" w:hAnsi="Times New Roman" w:eastAsia="Times New Roman" w:cs="Times New Roman"/>
                <w:spacing w:val="-1"/>
                <w:sz w:val="24"/>
                <w:szCs w:val="24"/>
              </w:rPr>
              <w:t>GB8978-</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1996</w:t>
            </w:r>
            <w:r>
              <w:rPr>
                <w:spacing w:val="-1"/>
                <w:sz w:val="24"/>
                <w:szCs w:val="24"/>
              </w:rPr>
              <w:t>）三级标准，其中石油</w:t>
            </w:r>
          </w:p>
          <w:p>
            <w:pPr>
              <w:pStyle w:val="6"/>
              <w:spacing w:before="1" w:line="219" w:lineRule="auto"/>
              <w:ind w:left="108"/>
              <w:rPr>
                <w:sz w:val="24"/>
                <w:szCs w:val="24"/>
              </w:rPr>
            </w:pPr>
            <w:r>
              <w:rPr>
                <w:spacing w:val="-4"/>
                <w:sz w:val="24"/>
                <w:szCs w:val="24"/>
              </w:rPr>
              <w:t>类、氯化物达《污水排入城镇下水道水质标准》（</w:t>
            </w:r>
            <w:r>
              <w:rPr>
                <w:rFonts w:ascii="Times New Roman" w:hAnsi="Times New Roman" w:eastAsia="Times New Roman" w:cs="Times New Roman"/>
                <w:spacing w:val="-4"/>
                <w:sz w:val="24"/>
                <w:szCs w:val="24"/>
              </w:rPr>
              <w:t>GB/T31962-2015</w:t>
            </w:r>
            <w:r>
              <w:rPr>
                <w:spacing w:val="-4"/>
                <w:sz w:val="24"/>
                <w:szCs w:val="24"/>
              </w:rPr>
              <w:t>）</w:t>
            </w:r>
            <w:r>
              <w:rPr>
                <w:rFonts w:ascii="Times New Roman" w:hAnsi="Times New Roman" w:eastAsia="Times New Roman" w:cs="Times New Roman"/>
                <w:spacing w:val="-4"/>
                <w:sz w:val="24"/>
                <w:szCs w:val="24"/>
              </w:rPr>
              <w:t xml:space="preserve">A </w:t>
            </w:r>
            <w:r>
              <w:rPr>
                <w:spacing w:val="-5"/>
                <w:sz w:val="24"/>
                <w:szCs w:val="24"/>
              </w:rPr>
              <w:t>级标准后， 排入</w:t>
            </w:r>
          </w:p>
        </w:tc>
      </w:tr>
    </w:tbl>
    <w:p>
      <w:pPr>
        <w:pStyle w:val="2"/>
        <w:rPr>
          <w:sz w:val="21"/>
        </w:rPr>
      </w:pPr>
    </w:p>
    <w:p>
      <w:pPr>
        <w:rPr>
          <w:sz w:val="21"/>
          <w:szCs w:val="21"/>
        </w:rPr>
        <w:sectPr>
          <w:footerReference r:id="rId131"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74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896" w:hRule="atLeast"/>
        </w:trPr>
        <w:tc>
          <w:tcPr>
            <w:tcW w:w="9747" w:type="dxa"/>
            <w:vAlign w:val="top"/>
          </w:tcPr>
          <w:p>
            <w:pPr>
              <w:pStyle w:val="6"/>
              <w:spacing w:before="181" w:line="219" w:lineRule="auto"/>
              <w:ind w:left="572"/>
              <w:rPr>
                <w:sz w:val="24"/>
                <w:szCs w:val="24"/>
              </w:rPr>
            </w:pPr>
            <w:r>
              <w:pict>
                <v:rect id="_x0000_s1507" o:spid="_x0000_s1507" o:spt="1" style="position:absolute;left:0pt;margin-left:22.75pt;margin-top:0.95pt;height:694.2pt;width:0.5pt;mso-position-horizontal-relative:page;mso-position-vertical-relative:page;z-index:251986944;mso-width-relative:page;mso-height-relative:page;" fillcolor="#000000" filled="t" stroked="f" coordsize="21600,21600">
                  <v:path/>
                  <v:fill on="t" focussize="0,0"/>
                  <v:stroke on="f"/>
                  <v:imagedata o:title=""/>
                  <o:lock v:ext="edit"/>
                </v:rect>
              </w:pict>
            </w:r>
            <w:r>
              <w:rPr>
                <w:spacing w:val="-4"/>
                <w:sz w:val="24"/>
                <w:szCs w:val="24"/>
              </w:rPr>
              <w:t>泸州城东污水处理厂集中处理。</w:t>
            </w:r>
          </w:p>
          <w:p>
            <w:pPr>
              <w:pStyle w:val="6"/>
              <w:spacing w:before="196" w:line="369" w:lineRule="auto"/>
              <w:ind w:left="567" w:right="100" w:firstLine="503"/>
              <w:rPr>
                <w:sz w:val="24"/>
                <w:szCs w:val="24"/>
              </w:rPr>
            </w:pPr>
            <w:r>
              <w:rPr>
                <w:spacing w:val="-3"/>
                <w:sz w:val="24"/>
                <w:szCs w:val="24"/>
              </w:rPr>
              <w:t>四川瑞利生物科技有限公司已于</w:t>
            </w:r>
            <w:r>
              <w:rPr>
                <w:spacing w:val="-56"/>
                <w:sz w:val="24"/>
                <w:szCs w:val="24"/>
              </w:rPr>
              <w:t xml:space="preserve"> </w:t>
            </w:r>
            <w:r>
              <w:rPr>
                <w:rFonts w:ascii="Times New Roman" w:hAnsi="Times New Roman" w:eastAsia="Times New Roman" w:cs="Times New Roman"/>
                <w:spacing w:val="-3"/>
                <w:sz w:val="24"/>
                <w:szCs w:val="24"/>
              </w:rPr>
              <w:t xml:space="preserve">2021 </w:t>
            </w:r>
            <w:r>
              <w:rPr>
                <w:spacing w:val="-3"/>
                <w:sz w:val="24"/>
                <w:szCs w:val="24"/>
              </w:rPr>
              <w:t>年</w:t>
            </w:r>
            <w:r>
              <w:rPr>
                <w:spacing w:val="-66"/>
                <w:sz w:val="24"/>
                <w:szCs w:val="24"/>
              </w:rPr>
              <w:t xml:space="preserve"> </w:t>
            </w:r>
            <w:r>
              <w:rPr>
                <w:rFonts w:ascii="Times New Roman" w:hAnsi="Times New Roman" w:eastAsia="Times New Roman" w:cs="Times New Roman"/>
                <w:spacing w:val="-3"/>
                <w:sz w:val="24"/>
                <w:szCs w:val="24"/>
              </w:rPr>
              <w:t xml:space="preserve">4 </w:t>
            </w:r>
            <w:r>
              <w:rPr>
                <w:spacing w:val="-3"/>
                <w:sz w:val="24"/>
                <w:szCs w:val="24"/>
              </w:rPr>
              <w:t>月</w:t>
            </w:r>
            <w:r>
              <w:rPr>
                <w:spacing w:val="-62"/>
                <w:sz w:val="24"/>
                <w:szCs w:val="24"/>
              </w:rPr>
              <w:t xml:space="preserve"> </w:t>
            </w:r>
            <w:r>
              <w:rPr>
                <w:rFonts w:ascii="Times New Roman" w:hAnsi="Times New Roman" w:eastAsia="Times New Roman" w:cs="Times New Roman"/>
                <w:spacing w:val="-3"/>
                <w:sz w:val="24"/>
                <w:szCs w:val="24"/>
              </w:rPr>
              <w:t>21</w:t>
            </w:r>
            <w:r>
              <w:rPr>
                <w:rFonts w:ascii="Times New Roman" w:hAnsi="Times New Roman" w:eastAsia="Times New Roman" w:cs="Times New Roman"/>
                <w:spacing w:val="44"/>
                <w:sz w:val="24"/>
                <w:szCs w:val="24"/>
              </w:rPr>
              <w:t xml:space="preserve"> </w:t>
            </w:r>
            <w:r>
              <w:rPr>
                <w:spacing w:val="-3"/>
                <w:sz w:val="24"/>
                <w:szCs w:val="24"/>
              </w:rPr>
              <w:t>日取得泸州市生态环境局颁发的排</w:t>
            </w:r>
            <w:r>
              <w:rPr>
                <w:sz w:val="24"/>
                <w:szCs w:val="24"/>
              </w:rPr>
              <w:t xml:space="preserve"> </w:t>
            </w:r>
            <w:r>
              <w:rPr>
                <w:spacing w:val="2"/>
                <w:sz w:val="24"/>
                <w:szCs w:val="24"/>
              </w:rPr>
              <w:t>污许可证（证书编号：</w:t>
            </w:r>
            <w:r>
              <w:rPr>
                <w:rFonts w:ascii="Times New Roman" w:hAnsi="Times New Roman" w:eastAsia="Times New Roman" w:cs="Times New Roman"/>
                <w:spacing w:val="2"/>
                <w:sz w:val="24"/>
                <w:szCs w:val="24"/>
              </w:rPr>
              <w:t>91510100309</w:t>
            </w:r>
            <w:r>
              <w:rPr>
                <w:rFonts w:ascii="Times New Roman" w:hAnsi="Times New Roman" w:eastAsia="Times New Roman" w:cs="Times New Roman"/>
                <w:spacing w:val="1"/>
                <w:sz w:val="24"/>
                <w:szCs w:val="24"/>
              </w:rPr>
              <w:t>373470R001Y</w:t>
            </w:r>
            <w:r>
              <w:rPr>
                <w:spacing w:val="10"/>
                <w:sz w:val="24"/>
                <w:szCs w:val="24"/>
              </w:rPr>
              <w:t>），</w:t>
            </w:r>
            <w:r>
              <w:rPr>
                <w:spacing w:val="1"/>
                <w:sz w:val="24"/>
                <w:szCs w:val="24"/>
              </w:rPr>
              <w:t xml:space="preserve">根据在全国排污许可证管理信息 </w:t>
            </w:r>
            <w:r>
              <w:rPr>
                <w:spacing w:val="-13"/>
                <w:sz w:val="24"/>
                <w:szCs w:val="24"/>
              </w:rPr>
              <w:t>平台网站进行查询，</w:t>
            </w:r>
            <w:r>
              <w:rPr>
                <w:spacing w:val="50"/>
                <w:sz w:val="24"/>
                <w:szCs w:val="24"/>
              </w:rPr>
              <w:t xml:space="preserve"> </w:t>
            </w:r>
            <w:r>
              <w:rPr>
                <w:spacing w:val="-13"/>
                <w:sz w:val="24"/>
                <w:szCs w:val="24"/>
              </w:rPr>
              <w:t>企业已按要求填报执行报告</w:t>
            </w:r>
            <w:r>
              <w:rPr>
                <w:spacing w:val="-14"/>
                <w:sz w:val="24"/>
                <w:szCs w:val="24"/>
              </w:rPr>
              <w:t>，</w:t>
            </w:r>
            <w:r>
              <w:rPr>
                <w:spacing w:val="56"/>
                <w:sz w:val="24"/>
                <w:szCs w:val="24"/>
              </w:rPr>
              <w:t xml:space="preserve"> </w:t>
            </w:r>
            <w:r>
              <w:rPr>
                <w:spacing w:val="-14"/>
                <w:sz w:val="24"/>
                <w:szCs w:val="24"/>
              </w:rPr>
              <w:t>资料显示， 该废水处理站目前运行状</w:t>
            </w:r>
          </w:p>
          <w:p>
            <w:pPr>
              <w:pStyle w:val="6"/>
              <w:spacing w:line="219" w:lineRule="auto"/>
              <w:ind w:left="570"/>
              <w:rPr>
                <w:sz w:val="24"/>
                <w:szCs w:val="24"/>
              </w:rPr>
            </w:pPr>
            <w:r>
              <w:rPr>
                <w:spacing w:val="-3"/>
                <w:sz w:val="24"/>
                <w:szCs w:val="24"/>
              </w:rPr>
              <w:t>况良好，出水水质能够稳定达标排放。</w:t>
            </w:r>
          </w:p>
          <w:p>
            <w:pPr>
              <w:pStyle w:val="6"/>
              <w:spacing w:before="194" w:line="220" w:lineRule="auto"/>
              <w:ind w:left="1044"/>
              <w:rPr>
                <w:sz w:val="24"/>
                <w:szCs w:val="24"/>
              </w:rPr>
            </w:pPr>
            <w:r>
              <w:rPr>
                <w:rFonts w:ascii="Times New Roman" w:hAnsi="Times New Roman" w:eastAsia="Times New Roman" w:cs="Times New Roman"/>
                <w:spacing w:val="-1"/>
                <w:sz w:val="24"/>
                <w:szCs w:val="24"/>
              </w:rPr>
              <w:t>E.</w:t>
            </w:r>
            <w:r>
              <w:rPr>
                <w:spacing w:val="-1"/>
                <w:sz w:val="24"/>
                <w:szCs w:val="24"/>
              </w:rPr>
              <w:t>接纳能力分析</w:t>
            </w:r>
          </w:p>
          <w:p>
            <w:pPr>
              <w:pStyle w:val="6"/>
              <w:spacing w:before="197" w:line="369" w:lineRule="auto"/>
              <w:ind w:left="568" w:right="100" w:firstLine="479"/>
              <w:rPr>
                <w:sz w:val="24"/>
                <w:szCs w:val="24"/>
              </w:rPr>
            </w:pPr>
            <w:r>
              <w:rPr>
                <w:spacing w:val="-3"/>
                <w:sz w:val="24"/>
                <w:szCs w:val="24"/>
              </w:rPr>
              <w:t xml:space="preserve">通过了解，废水处理站设计处理规模为 </w:t>
            </w:r>
            <w:r>
              <w:rPr>
                <w:rFonts w:ascii="Times New Roman" w:hAnsi="Times New Roman" w:eastAsia="Times New Roman" w:cs="Times New Roman"/>
                <w:spacing w:val="-3"/>
                <w:sz w:val="24"/>
                <w:szCs w:val="24"/>
              </w:rPr>
              <w:t>900m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29"/>
                <w:sz w:val="24"/>
                <w:szCs w:val="24"/>
              </w:rPr>
              <w:t xml:space="preserve"> </w:t>
            </w:r>
            <w:r>
              <w:rPr>
                <w:spacing w:val="-3"/>
                <w:sz w:val="24"/>
                <w:szCs w:val="24"/>
              </w:rPr>
              <w:t>，</w:t>
            </w:r>
            <w:r>
              <w:rPr>
                <w:spacing w:val="-65"/>
                <w:sz w:val="24"/>
                <w:szCs w:val="24"/>
              </w:rPr>
              <w:t xml:space="preserve"> </w:t>
            </w:r>
            <w:r>
              <w:rPr>
                <w:spacing w:val="-3"/>
                <w:sz w:val="24"/>
                <w:szCs w:val="24"/>
              </w:rPr>
              <w:t>目前该废水处理站实际处理废水</w:t>
            </w:r>
            <w:r>
              <w:rPr>
                <w:sz w:val="24"/>
                <w:szCs w:val="24"/>
              </w:rPr>
              <w:t xml:space="preserve"> </w:t>
            </w:r>
            <w:r>
              <w:rPr>
                <w:spacing w:val="-2"/>
                <w:sz w:val="24"/>
                <w:szCs w:val="24"/>
              </w:rPr>
              <w:t xml:space="preserve">量约 </w:t>
            </w:r>
            <w:r>
              <w:rPr>
                <w:rFonts w:ascii="Times New Roman" w:hAnsi="Times New Roman" w:eastAsia="Times New Roman" w:cs="Times New Roman"/>
                <w:spacing w:val="-2"/>
                <w:sz w:val="24"/>
                <w:szCs w:val="24"/>
              </w:rPr>
              <w:t>750m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sz w:val="24"/>
                <w:szCs w:val="24"/>
              </w:rPr>
              <w:t>/d</w:t>
            </w:r>
            <w:r>
              <w:rPr>
                <w:spacing w:val="-2"/>
                <w:sz w:val="24"/>
                <w:szCs w:val="24"/>
              </w:rPr>
              <w:t xml:space="preserve">，剩余 </w:t>
            </w:r>
            <w:r>
              <w:rPr>
                <w:rFonts w:ascii="Times New Roman" w:hAnsi="Times New Roman" w:eastAsia="Times New Roman" w:cs="Times New Roman"/>
                <w:spacing w:val="-2"/>
                <w:sz w:val="24"/>
                <w:szCs w:val="24"/>
              </w:rPr>
              <w:t>150m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sz w:val="24"/>
                <w:szCs w:val="24"/>
              </w:rPr>
              <w:t>/d</w:t>
            </w:r>
            <w:r>
              <w:rPr>
                <w:spacing w:val="-2"/>
                <w:sz w:val="24"/>
                <w:szCs w:val="24"/>
              </w:rPr>
              <w:t>。本项目废水产生总量</w:t>
            </w:r>
            <w:r>
              <w:rPr>
                <w:spacing w:val="-3"/>
                <w:sz w:val="24"/>
                <w:szCs w:val="24"/>
              </w:rPr>
              <w:t xml:space="preserve">为 </w:t>
            </w:r>
            <w:r>
              <w:rPr>
                <w:rFonts w:ascii="Times New Roman" w:hAnsi="Times New Roman" w:eastAsia="Times New Roman" w:cs="Times New Roman"/>
                <w:spacing w:val="-3"/>
                <w:sz w:val="24"/>
                <w:szCs w:val="24"/>
              </w:rPr>
              <w:t>389.35m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9"/>
                <w:position w:val="8"/>
                <w:sz w:val="16"/>
                <w:szCs w:val="16"/>
              </w:rPr>
              <w:t xml:space="preserve"> </w:t>
            </w:r>
            <w:r>
              <w:rPr>
                <w:spacing w:val="-3"/>
                <w:sz w:val="24"/>
                <w:szCs w:val="24"/>
              </w:rPr>
              <w:t>，不属于长期持久性排</w:t>
            </w:r>
            <w:r>
              <w:rPr>
                <w:sz w:val="24"/>
                <w:szCs w:val="24"/>
              </w:rPr>
              <w:t xml:space="preserve"> </w:t>
            </w:r>
            <w:r>
              <w:rPr>
                <w:spacing w:val="-5"/>
                <w:sz w:val="24"/>
                <w:szCs w:val="24"/>
              </w:rPr>
              <w:t>污，</w:t>
            </w:r>
            <w:r>
              <w:rPr>
                <w:spacing w:val="-30"/>
                <w:sz w:val="24"/>
                <w:szCs w:val="24"/>
              </w:rPr>
              <w:t xml:space="preserve"> </w:t>
            </w:r>
            <w:r>
              <w:rPr>
                <w:spacing w:val="-5"/>
                <w:sz w:val="24"/>
                <w:szCs w:val="24"/>
              </w:rPr>
              <w:t xml:space="preserve">采用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31"/>
                <w:w w:val="101"/>
                <w:position w:val="9"/>
                <w:sz w:val="16"/>
                <w:szCs w:val="16"/>
              </w:rPr>
              <w:t xml:space="preserve"> </w:t>
            </w:r>
            <w:r>
              <w:rPr>
                <w:spacing w:val="-5"/>
                <w:sz w:val="24"/>
                <w:szCs w:val="24"/>
              </w:rPr>
              <w:t>的罐车拉运，每次拉运</w:t>
            </w:r>
            <w:r>
              <w:rPr>
                <w:spacing w:val="-4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1"/>
                <w:sz w:val="24"/>
                <w:szCs w:val="24"/>
              </w:rPr>
              <w:t xml:space="preserve"> </w:t>
            </w:r>
            <w:r>
              <w:rPr>
                <w:spacing w:val="-5"/>
                <w:sz w:val="24"/>
                <w:szCs w:val="24"/>
              </w:rPr>
              <w:t>车，每次</w:t>
            </w:r>
            <w:r>
              <w:rPr>
                <w:spacing w:val="-6"/>
                <w:sz w:val="24"/>
                <w:szCs w:val="24"/>
              </w:rPr>
              <w:t>运输废水约</w:t>
            </w:r>
            <w:r>
              <w:rPr>
                <w:spacing w:val="-47"/>
                <w:sz w:val="24"/>
                <w:szCs w:val="24"/>
              </w:rPr>
              <w:t xml:space="preserve"> </w:t>
            </w:r>
            <w:r>
              <w:rPr>
                <w:rFonts w:ascii="Times New Roman" w:hAnsi="Times New Roman" w:eastAsia="Times New Roman" w:cs="Times New Roman"/>
                <w:spacing w:val="-6"/>
                <w:sz w:val="24"/>
                <w:szCs w:val="24"/>
              </w:rPr>
              <w:t>40m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6"/>
                <w:sz w:val="24"/>
                <w:szCs w:val="24"/>
              </w:rPr>
              <w:t>/d</w:t>
            </w:r>
            <w:r>
              <w:rPr>
                <w:rFonts w:ascii="Times New Roman" w:hAnsi="Times New Roman" w:eastAsia="Times New Roman" w:cs="Times New Roman"/>
                <w:spacing w:val="-33"/>
                <w:sz w:val="24"/>
                <w:szCs w:val="24"/>
              </w:rPr>
              <w:t xml:space="preserve"> </w:t>
            </w:r>
            <w:r>
              <w:rPr>
                <w:spacing w:val="-6"/>
                <w:sz w:val="24"/>
                <w:szCs w:val="24"/>
              </w:rPr>
              <w:t>，通过罐车转运至</w:t>
            </w:r>
            <w:r>
              <w:rPr>
                <w:sz w:val="24"/>
                <w:szCs w:val="24"/>
              </w:rPr>
              <w:t xml:space="preserve"> </w:t>
            </w:r>
            <w:r>
              <w:rPr>
                <w:spacing w:val="-11"/>
                <w:sz w:val="24"/>
                <w:szCs w:val="24"/>
              </w:rPr>
              <w:t>污水处理站的调节池暂存，</w:t>
            </w:r>
            <w:r>
              <w:rPr>
                <w:spacing w:val="49"/>
                <w:sz w:val="24"/>
                <w:szCs w:val="24"/>
              </w:rPr>
              <w:t xml:space="preserve"> </w:t>
            </w:r>
            <w:r>
              <w:rPr>
                <w:spacing w:val="-11"/>
                <w:sz w:val="24"/>
                <w:szCs w:val="24"/>
              </w:rPr>
              <w:t>然后进行处理。根据调查，</w:t>
            </w:r>
            <w:r>
              <w:rPr>
                <w:spacing w:val="69"/>
                <w:sz w:val="24"/>
                <w:szCs w:val="24"/>
              </w:rPr>
              <w:t xml:space="preserve"> </w:t>
            </w:r>
            <w:r>
              <w:rPr>
                <w:spacing w:val="-11"/>
                <w:sz w:val="24"/>
                <w:szCs w:val="24"/>
              </w:rPr>
              <w:t>四川瑞利生物科技有限公司污水</w:t>
            </w:r>
            <w:r>
              <w:rPr>
                <w:sz w:val="24"/>
                <w:szCs w:val="24"/>
              </w:rPr>
              <w:t xml:space="preserve"> </w:t>
            </w:r>
            <w:r>
              <w:rPr>
                <w:spacing w:val="-3"/>
                <w:sz w:val="24"/>
                <w:szCs w:val="24"/>
              </w:rPr>
              <w:t xml:space="preserve">处理厂内拥有 </w:t>
            </w:r>
            <w:r>
              <w:rPr>
                <w:rFonts w:ascii="Times New Roman" w:hAnsi="Times New Roman" w:eastAsia="Times New Roman" w:cs="Times New Roman"/>
                <w:spacing w:val="-3"/>
                <w:sz w:val="24"/>
                <w:szCs w:val="24"/>
              </w:rPr>
              <w:t>1000m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29"/>
                <w:position w:val="9"/>
                <w:sz w:val="16"/>
                <w:szCs w:val="16"/>
              </w:rPr>
              <w:t xml:space="preserve"> </w:t>
            </w:r>
            <w:r>
              <w:rPr>
                <w:spacing w:val="-3"/>
                <w:sz w:val="24"/>
                <w:szCs w:val="24"/>
              </w:rPr>
              <w:t xml:space="preserve">的调节池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3"/>
                <w:sz w:val="24"/>
                <w:szCs w:val="24"/>
              </w:rPr>
              <w:t xml:space="preserve"> </w:t>
            </w:r>
            <w:r>
              <w:rPr>
                <w:spacing w:val="-3"/>
                <w:sz w:val="24"/>
                <w:szCs w:val="24"/>
              </w:rPr>
              <w:t>座，可对外来钻井完井废水进行储存，来水经</w:t>
            </w:r>
            <w:r>
              <w:rPr>
                <w:spacing w:val="-4"/>
                <w:sz w:val="24"/>
                <w:szCs w:val="24"/>
              </w:rPr>
              <w:t>过水质</w:t>
            </w:r>
            <w:r>
              <w:rPr>
                <w:sz w:val="24"/>
                <w:szCs w:val="24"/>
              </w:rPr>
              <w:t xml:space="preserve"> </w:t>
            </w:r>
            <w:r>
              <w:rPr>
                <w:spacing w:val="-14"/>
                <w:sz w:val="24"/>
                <w:szCs w:val="24"/>
              </w:rPr>
              <w:t>分析后， 通过调整水质、水量后，</w:t>
            </w:r>
            <w:r>
              <w:rPr>
                <w:spacing w:val="60"/>
                <w:sz w:val="24"/>
                <w:szCs w:val="24"/>
              </w:rPr>
              <w:t xml:space="preserve"> </w:t>
            </w:r>
            <w:r>
              <w:rPr>
                <w:spacing w:val="-14"/>
                <w:sz w:val="24"/>
                <w:szCs w:val="24"/>
              </w:rPr>
              <w:t>能够实现对不同废水的处理能力，</w:t>
            </w:r>
            <w:r>
              <w:rPr>
                <w:spacing w:val="70"/>
                <w:sz w:val="24"/>
                <w:szCs w:val="24"/>
              </w:rPr>
              <w:t xml:space="preserve"> </w:t>
            </w:r>
            <w:r>
              <w:rPr>
                <w:spacing w:val="-14"/>
                <w:sz w:val="24"/>
                <w:szCs w:val="24"/>
              </w:rPr>
              <w:t>因此处理站</w:t>
            </w:r>
            <w:r>
              <w:rPr>
                <w:spacing w:val="-15"/>
                <w:sz w:val="24"/>
                <w:szCs w:val="24"/>
              </w:rPr>
              <w:t>完全能</w:t>
            </w:r>
          </w:p>
          <w:p>
            <w:pPr>
              <w:pStyle w:val="6"/>
              <w:spacing w:before="1" w:line="219" w:lineRule="auto"/>
              <w:ind w:left="567"/>
              <w:rPr>
                <w:sz w:val="24"/>
                <w:szCs w:val="24"/>
              </w:rPr>
            </w:pPr>
            <w:r>
              <w:rPr>
                <w:spacing w:val="-3"/>
                <w:sz w:val="24"/>
                <w:szCs w:val="24"/>
              </w:rPr>
              <w:t>够盛装项目的工程废水。</w:t>
            </w:r>
          </w:p>
          <w:p>
            <w:pPr>
              <w:pStyle w:val="6"/>
              <w:spacing w:before="194" w:line="480" w:lineRule="exact"/>
              <w:ind w:left="1051"/>
              <w:rPr>
                <w:sz w:val="24"/>
                <w:szCs w:val="24"/>
              </w:rPr>
            </w:pPr>
            <w:r>
              <w:rPr>
                <w:spacing w:val="-5"/>
                <w:position w:val="18"/>
                <w:sz w:val="24"/>
                <w:szCs w:val="24"/>
              </w:rPr>
              <w:t>综上， 项目废水依托四川瑞利生物科技有限公司污水处理</w:t>
            </w:r>
            <w:r>
              <w:rPr>
                <w:spacing w:val="-6"/>
                <w:position w:val="18"/>
                <w:sz w:val="24"/>
                <w:szCs w:val="24"/>
              </w:rPr>
              <w:t>厂进行处理，在处理能力</w:t>
            </w:r>
          </w:p>
          <w:p>
            <w:pPr>
              <w:pStyle w:val="6"/>
              <w:spacing w:before="1" w:line="218" w:lineRule="auto"/>
              <w:ind w:left="567"/>
              <w:rPr>
                <w:sz w:val="24"/>
                <w:szCs w:val="24"/>
              </w:rPr>
            </w:pPr>
            <w:r>
              <w:rPr>
                <w:spacing w:val="-4"/>
                <w:sz w:val="24"/>
                <w:szCs w:val="24"/>
              </w:rPr>
              <w:t>及工艺技术上均依托可行。</w:t>
            </w:r>
          </w:p>
          <w:p>
            <w:pPr>
              <w:pStyle w:val="6"/>
              <w:spacing w:before="196" w:line="217" w:lineRule="auto"/>
              <w:ind w:left="1048"/>
              <w:rPr>
                <w:sz w:val="24"/>
                <w:szCs w:val="24"/>
              </w:rPr>
            </w:pPr>
            <w:r>
              <w:rPr>
                <w:sz w:val="24"/>
                <w:szCs w:val="24"/>
                <w14:textOutline w14:w="4354" w14:cap="flat" w14:cmpd="sng">
                  <w14:solidFill>
                    <w14:srgbClr w14:val="000000"/>
                  </w14:solidFill>
                  <w14:prstDash w14:val="solid"/>
                  <w14:miter w14:val="10"/>
                </w14:textOutline>
              </w:rPr>
              <w:t>④废水收集、储存管理及可行性分析</w:t>
            </w:r>
          </w:p>
          <w:p>
            <w:pPr>
              <w:pStyle w:val="6"/>
              <w:spacing w:before="199" w:line="369" w:lineRule="auto"/>
              <w:ind w:left="587" w:right="118" w:firstLine="461"/>
              <w:rPr>
                <w:sz w:val="24"/>
                <w:szCs w:val="24"/>
              </w:rPr>
            </w:pPr>
            <w:r>
              <w:rPr>
                <w:spacing w:val="-2"/>
                <w:sz w:val="24"/>
                <w:szCs w:val="24"/>
              </w:rPr>
              <w:t>清洁化操作区域设有一个废水处理区，共设置</w:t>
            </w:r>
            <w:r>
              <w:rPr>
                <w:spacing w:val="-33"/>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1"/>
                <w:sz w:val="24"/>
                <w:szCs w:val="24"/>
              </w:rPr>
              <w:t xml:space="preserve"> </w:t>
            </w:r>
            <w:r>
              <w:rPr>
                <w:spacing w:val="-2"/>
                <w:sz w:val="24"/>
                <w:szCs w:val="24"/>
              </w:rPr>
              <w:t>个</w:t>
            </w:r>
            <w:r>
              <w:rPr>
                <w:spacing w:val="-35"/>
                <w:sz w:val="24"/>
                <w:szCs w:val="24"/>
              </w:rPr>
              <w:t xml:space="preserve"> </w:t>
            </w:r>
            <w:r>
              <w:rPr>
                <w:rFonts w:ascii="Times New Roman" w:hAnsi="Times New Roman" w:eastAsia="Times New Roman" w:cs="Times New Roman"/>
                <w:spacing w:val="-2"/>
                <w:sz w:val="24"/>
                <w:szCs w:val="24"/>
              </w:rPr>
              <w:t>40m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31"/>
                <w:w w:val="101"/>
                <w:position w:val="9"/>
                <w:sz w:val="16"/>
                <w:szCs w:val="16"/>
              </w:rPr>
              <w:t xml:space="preserve"> </w:t>
            </w:r>
            <w:r>
              <w:rPr>
                <w:spacing w:val="-2"/>
                <w:sz w:val="24"/>
                <w:szCs w:val="24"/>
              </w:rPr>
              <w:t>的废水罐，废水罐</w:t>
            </w:r>
            <w:r>
              <w:rPr>
                <w:spacing w:val="-3"/>
                <w:sz w:val="24"/>
                <w:szCs w:val="24"/>
              </w:rPr>
              <w:t>总容积</w:t>
            </w:r>
            <w:r>
              <w:rPr>
                <w:sz w:val="24"/>
                <w:szCs w:val="24"/>
              </w:rPr>
              <w:t xml:space="preserve"> </w:t>
            </w:r>
            <w:r>
              <w:rPr>
                <w:rFonts w:ascii="Times New Roman" w:hAnsi="Times New Roman" w:eastAsia="Times New Roman" w:cs="Times New Roman"/>
                <w:spacing w:val="-1"/>
                <w:sz w:val="24"/>
                <w:szCs w:val="24"/>
              </w:rPr>
              <w:t>160m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2"/>
                <w:position w:val="9"/>
                <w:sz w:val="16"/>
                <w:szCs w:val="16"/>
              </w:rPr>
              <w:t xml:space="preserve"> </w:t>
            </w:r>
            <w:r>
              <w:rPr>
                <w:spacing w:val="-1"/>
                <w:sz w:val="24"/>
                <w:szCs w:val="24"/>
              </w:rPr>
              <w:t>，钻井期间应急池日常保持空置状态，作为不能及时外运的废水应急临时储存和</w:t>
            </w:r>
          </w:p>
          <w:p>
            <w:pPr>
              <w:pStyle w:val="6"/>
              <w:spacing w:line="220" w:lineRule="auto"/>
              <w:ind w:left="569"/>
              <w:rPr>
                <w:sz w:val="24"/>
                <w:szCs w:val="24"/>
              </w:rPr>
            </w:pPr>
            <w:r>
              <w:rPr>
                <w:spacing w:val="-5"/>
                <w:sz w:val="24"/>
                <w:szCs w:val="24"/>
              </w:rPr>
              <w:t>风险应急事故池。</w:t>
            </w:r>
          </w:p>
          <w:p>
            <w:pPr>
              <w:pStyle w:val="6"/>
              <w:spacing w:before="194" w:line="480" w:lineRule="exact"/>
              <w:ind w:left="1050"/>
              <w:rPr>
                <w:sz w:val="24"/>
                <w:szCs w:val="24"/>
              </w:rPr>
            </w:pPr>
            <w:r>
              <w:rPr>
                <w:spacing w:val="-11"/>
                <w:position w:val="18"/>
                <w:sz w:val="24"/>
                <w:szCs w:val="24"/>
              </w:rPr>
              <w:t>完钻后洗井、酸化期间，</w:t>
            </w:r>
            <w:r>
              <w:rPr>
                <w:spacing w:val="60"/>
                <w:position w:val="18"/>
                <w:sz w:val="24"/>
                <w:szCs w:val="24"/>
              </w:rPr>
              <w:t xml:space="preserve"> </w:t>
            </w:r>
            <w:r>
              <w:rPr>
                <w:spacing w:val="-11"/>
                <w:position w:val="18"/>
                <w:sz w:val="24"/>
                <w:szCs w:val="24"/>
              </w:rPr>
              <w:t>应急池作为废水临时储存池，</w:t>
            </w:r>
            <w:r>
              <w:rPr>
                <w:spacing w:val="58"/>
                <w:position w:val="18"/>
                <w:sz w:val="24"/>
                <w:szCs w:val="24"/>
              </w:rPr>
              <w:t xml:space="preserve"> </w:t>
            </w:r>
            <w:r>
              <w:rPr>
                <w:spacing w:val="-11"/>
                <w:position w:val="18"/>
                <w:sz w:val="24"/>
                <w:szCs w:val="24"/>
              </w:rPr>
              <w:t>应急池有效容积</w:t>
            </w:r>
            <w:r>
              <w:rPr>
                <w:spacing w:val="-47"/>
                <w:position w:val="18"/>
                <w:sz w:val="24"/>
                <w:szCs w:val="24"/>
              </w:rPr>
              <w:t xml:space="preserve"> </w:t>
            </w:r>
            <w:r>
              <w:rPr>
                <w:rFonts w:ascii="Times New Roman" w:hAnsi="Times New Roman" w:eastAsia="Times New Roman" w:cs="Times New Roman"/>
                <w:spacing w:val="-11"/>
                <w:position w:val="18"/>
                <w:sz w:val="24"/>
                <w:szCs w:val="24"/>
              </w:rPr>
              <w:t>500m</w:t>
            </w:r>
            <w:r>
              <w:rPr>
                <w:rFonts w:ascii="Times New Roman" w:hAnsi="Times New Roman" w:eastAsia="Times New Roman" w:cs="Times New Roman"/>
                <w:spacing w:val="-11"/>
                <w:position w:val="27"/>
                <w:sz w:val="16"/>
                <w:szCs w:val="16"/>
              </w:rPr>
              <w:t>3</w:t>
            </w:r>
            <w:r>
              <w:rPr>
                <w:rFonts w:ascii="Times New Roman" w:hAnsi="Times New Roman" w:eastAsia="Times New Roman" w:cs="Times New Roman"/>
                <w:spacing w:val="-10"/>
                <w:position w:val="27"/>
                <w:sz w:val="16"/>
                <w:szCs w:val="16"/>
              </w:rPr>
              <w:t xml:space="preserve"> </w:t>
            </w:r>
            <w:r>
              <w:rPr>
                <w:spacing w:val="-11"/>
                <w:position w:val="18"/>
                <w:sz w:val="24"/>
                <w:szCs w:val="24"/>
              </w:rPr>
              <w:t>，可</w:t>
            </w:r>
          </w:p>
          <w:p>
            <w:pPr>
              <w:pStyle w:val="6"/>
              <w:spacing w:line="219" w:lineRule="auto"/>
              <w:ind w:left="569"/>
              <w:rPr>
                <w:sz w:val="24"/>
                <w:szCs w:val="24"/>
              </w:rPr>
            </w:pPr>
            <w:r>
              <w:rPr>
                <w:spacing w:val="-1"/>
                <w:sz w:val="24"/>
                <w:szCs w:val="24"/>
              </w:rPr>
              <w:t>有效满足钻井期间、完井期间事故性排水的贮存需要，杜</w:t>
            </w:r>
            <w:r>
              <w:rPr>
                <w:spacing w:val="-2"/>
                <w:sz w:val="24"/>
                <w:szCs w:val="24"/>
              </w:rPr>
              <w:t>绝废水外溢污染事故。</w:t>
            </w:r>
          </w:p>
          <w:p>
            <w:pPr>
              <w:pStyle w:val="6"/>
              <w:spacing w:before="195" w:line="219" w:lineRule="auto"/>
              <w:ind w:left="1048"/>
              <w:rPr>
                <w:sz w:val="24"/>
                <w:szCs w:val="24"/>
              </w:rPr>
            </w:pPr>
            <w:r>
              <w:rPr>
                <w:spacing w:val="-2"/>
                <w:sz w:val="24"/>
                <w:szCs w:val="24"/>
              </w:rPr>
              <w:t>拟建工程废水收集措施见表</w:t>
            </w:r>
            <w:r>
              <w:rPr>
                <w:spacing w:val="-35"/>
                <w:sz w:val="24"/>
                <w:szCs w:val="24"/>
              </w:rPr>
              <w:t xml:space="preserve"> </w:t>
            </w:r>
            <w:r>
              <w:rPr>
                <w:rFonts w:ascii="Times New Roman" w:hAnsi="Times New Roman" w:eastAsia="Times New Roman" w:cs="Times New Roman"/>
                <w:spacing w:val="-2"/>
                <w:sz w:val="24"/>
                <w:szCs w:val="24"/>
              </w:rPr>
              <w:t>5.2-3</w:t>
            </w:r>
            <w:r>
              <w:rPr>
                <w:spacing w:val="-2"/>
                <w:sz w:val="24"/>
                <w:szCs w:val="24"/>
              </w:rPr>
              <w:t>。</w:t>
            </w:r>
          </w:p>
          <w:p>
            <w:pPr>
              <w:pStyle w:val="6"/>
              <w:spacing w:before="195" w:line="220" w:lineRule="auto"/>
              <w:ind w:left="3376"/>
              <w:rPr>
                <w:sz w:val="24"/>
                <w:szCs w:val="24"/>
              </w:rPr>
            </w:pPr>
            <w:r>
              <w:rPr>
                <w:spacing w:val="-1"/>
                <w:sz w:val="24"/>
                <w:szCs w:val="24"/>
                <w14:textOutline w14:w="4354" w14:cap="flat" w14:cmpd="sng">
                  <w14:solidFill>
                    <w14:srgbClr w14:val="000000"/>
                  </w14:solidFill>
                  <w14:prstDash w14:val="solid"/>
                  <w14:miter w14:val="10"/>
                </w14:textOutline>
              </w:rPr>
              <w:t>表</w:t>
            </w:r>
            <w:r>
              <w:rPr>
                <w:spacing w:val="-39"/>
                <w:sz w:val="24"/>
                <w:szCs w:val="24"/>
              </w:rPr>
              <w:t xml:space="preserve"> </w:t>
            </w:r>
            <w:r>
              <w:rPr>
                <w:rFonts w:ascii="Times New Roman" w:hAnsi="Times New Roman" w:eastAsia="Times New Roman" w:cs="Times New Roman"/>
                <w:b/>
                <w:bCs/>
                <w:spacing w:val="-1"/>
                <w:sz w:val="24"/>
                <w:szCs w:val="24"/>
              </w:rPr>
              <w:t xml:space="preserve">5.2-3    </w:t>
            </w:r>
            <w:r>
              <w:rPr>
                <w:spacing w:val="-1"/>
                <w:sz w:val="24"/>
                <w:szCs w:val="24"/>
                <w14:textOutline w14:w="4354" w14:cap="flat" w14:cmpd="sng">
                  <w14:solidFill>
                    <w14:srgbClr w14:val="000000"/>
                  </w14:solidFill>
                  <w14:prstDash w14:val="solid"/>
                  <w14:miter w14:val="10"/>
                </w14:textOutline>
              </w:rPr>
              <w:t>工程的废水收集措施表</w:t>
            </w:r>
          </w:p>
          <w:p>
            <w:pPr>
              <w:spacing w:line="16" w:lineRule="exact"/>
            </w:pPr>
          </w:p>
          <w:tbl>
            <w:tblPr>
              <w:tblStyle w:val="5"/>
              <w:tblW w:w="8984" w:type="dxa"/>
              <w:tblInd w:w="6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8"/>
              <w:gridCol w:w="1871"/>
              <w:gridCol w:w="1132"/>
              <w:gridCol w:w="3402"/>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58" w:type="dxa"/>
                  <w:vAlign w:val="top"/>
                </w:tcPr>
                <w:p>
                  <w:pPr>
                    <w:pStyle w:val="6"/>
                    <w:spacing w:before="34" w:line="224" w:lineRule="auto"/>
                    <w:ind w:left="484" w:right="154" w:hanging="319"/>
                    <w:rPr>
                      <w:sz w:val="21"/>
                      <w:szCs w:val="21"/>
                    </w:rPr>
                  </w:pPr>
                  <w:r>
                    <w:rPr>
                      <w:spacing w:val="-2"/>
                      <w:sz w:val="21"/>
                      <w:szCs w:val="21"/>
                    </w:rPr>
                    <w:t>污染物类</w:t>
                  </w:r>
                  <w:r>
                    <w:rPr>
                      <w:sz w:val="21"/>
                      <w:szCs w:val="21"/>
                    </w:rPr>
                    <w:t xml:space="preserve"> 型</w:t>
                  </w:r>
                </w:p>
              </w:tc>
              <w:tc>
                <w:tcPr>
                  <w:tcW w:w="1871" w:type="dxa"/>
                  <w:vAlign w:val="top"/>
                </w:tcPr>
                <w:p>
                  <w:pPr>
                    <w:pStyle w:val="6"/>
                    <w:spacing w:before="170" w:line="221" w:lineRule="auto"/>
                    <w:ind w:left="416"/>
                    <w:rPr>
                      <w:sz w:val="21"/>
                      <w:szCs w:val="21"/>
                    </w:rPr>
                  </w:pPr>
                  <w:r>
                    <w:rPr>
                      <w:spacing w:val="-2"/>
                      <w:sz w:val="21"/>
                      <w:szCs w:val="21"/>
                    </w:rPr>
                    <w:t>污染物种类</w:t>
                  </w:r>
                </w:p>
              </w:tc>
              <w:tc>
                <w:tcPr>
                  <w:tcW w:w="1132" w:type="dxa"/>
                  <w:vAlign w:val="top"/>
                </w:tcPr>
                <w:p>
                  <w:pPr>
                    <w:pStyle w:val="6"/>
                    <w:spacing w:before="34" w:line="224" w:lineRule="auto"/>
                    <w:ind w:left="249" w:right="142" w:hanging="94"/>
                    <w:rPr>
                      <w:sz w:val="21"/>
                      <w:szCs w:val="21"/>
                    </w:rPr>
                  </w:pPr>
                  <w:r>
                    <w:rPr>
                      <w:spacing w:val="-3"/>
                      <w:sz w:val="21"/>
                      <w:szCs w:val="21"/>
                    </w:rPr>
                    <w:t>总产生量</w:t>
                  </w:r>
                  <w:r>
                    <w:rPr>
                      <w:sz w:val="21"/>
                      <w:szCs w:val="21"/>
                    </w:rPr>
                    <w:t xml:space="preserve"> </w:t>
                  </w:r>
                  <w:r>
                    <w:rPr>
                      <w:spacing w:val="-3"/>
                      <w:sz w:val="21"/>
                      <w:szCs w:val="21"/>
                    </w:rPr>
                    <w:t>（</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position w:val="6"/>
                      <w:sz w:val="13"/>
                      <w:szCs w:val="13"/>
                    </w:rPr>
                    <w:t>3</w:t>
                  </w:r>
                  <w:r>
                    <w:rPr>
                      <w:spacing w:val="-3"/>
                      <w:sz w:val="21"/>
                      <w:szCs w:val="21"/>
                    </w:rPr>
                    <w:t>）</w:t>
                  </w:r>
                </w:p>
              </w:tc>
              <w:tc>
                <w:tcPr>
                  <w:tcW w:w="3402" w:type="dxa"/>
                  <w:vAlign w:val="top"/>
                </w:tcPr>
                <w:p>
                  <w:pPr>
                    <w:pStyle w:val="6"/>
                    <w:spacing w:before="170" w:line="221" w:lineRule="auto"/>
                    <w:ind w:left="1296"/>
                    <w:rPr>
                      <w:sz w:val="21"/>
                      <w:szCs w:val="21"/>
                    </w:rPr>
                  </w:pPr>
                  <w:r>
                    <w:rPr>
                      <w:spacing w:val="-4"/>
                      <w:sz w:val="21"/>
                      <w:szCs w:val="21"/>
                    </w:rPr>
                    <w:t>收集措施</w:t>
                  </w:r>
                </w:p>
              </w:tc>
              <w:tc>
                <w:tcPr>
                  <w:tcW w:w="1421" w:type="dxa"/>
                  <w:vAlign w:val="top"/>
                </w:tcPr>
                <w:p>
                  <w:pPr>
                    <w:pStyle w:val="6"/>
                    <w:spacing w:before="171" w:line="221" w:lineRule="auto"/>
                    <w:ind w:left="298"/>
                    <w:rPr>
                      <w:sz w:val="21"/>
                      <w:szCs w:val="21"/>
                    </w:rPr>
                  </w:pPr>
                  <w:r>
                    <w:rPr>
                      <w:spacing w:val="-3"/>
                      <w:sz w:val="21"/>
                      <w:szCs w:val="21"/>
                    </w:rPr>
                    <w:t>处理措施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158" w:type="dxa"/>
                  <w:vAlign w:val="top"/>
                </w:tcPr>
                <w:p>
                  <w:pPr>
                    <w:pStyle w:val="6"/>
                    <w:spacing w:before="303" w:line="221" w:lineRule="auto"/>
                    <w:ind w:left="164"/>
                    <w:rPr>
                      <w:sz w:val="21"/>
                      <w:szCs w:val="21"/>
                    </w:rPr>
                  </w:pPr>
                  <w:r>
                    <w:rPr>
                      <w:spacing w:val="-2"/>
                      <w:sz w:val="21"/>
                      <w:szCs w:val="21"/>
                    </w:rPr>
                    <w:t>钻井废水</w:t>
                  </w:r>
                </w:p>
              </w:tc>
              <w:tc>
                <w:tcPr>
                  <w:tcW w:w="1871" w:type="dxa"/>
                  <w:vAlign w:val="top"/>
                </w:tcPr>
                <w:p>
                  <w:pPr>
                    <w:pStyle w:val="6"/>
                    <w:spacing w:before="202" w:line="215" w:lineRule="auto"/>
                    <w:ind w:left="521" w:right="189" w:hanging="359"/>
                    <w:rPr>
                      <w:sz w:val="21"/>
                      <w:szCs w:val="21"/>
                    </w:rPr>
                  </w:pPr>
                  <w:r>
                    <w:rPr>
                      <w:rFonts w:ascii="Times New Roman" w:hAnsi="Times New Roman" w:eastAsia="Times New Roman" w:cs="Times New Roman"/>
                      <w:spacing w:val="-6"/>
                      <w:sz w:val="21"/>
                      <w:szCs w:val="21"/>
                    </w:rPr>
                    <w:t>COD</w:t>
                  </w:r>
                  <w:r>
                    <w:rPr>
                      <w:rFonts w:ascii="Times New Roman" w:hAnsi="Times New Roman" w:eastAsia="Times New Roman" w:cs="Times New Roman"/>
                      <w:spacing w:val="-22"/>
                      <w:sz w:val="21"/>
                      <w:szCs w:val="21"/>
                    </w:rPr>
                    <w:t xml:space="preserve"> </w:t>
                  </w:r>
                  <w:r>
                    <w:rPr>
                      <w:spacing w:val="-6"/>
                      <w:sz w:val="21"/>
                      <w:szCs w:val="21"/>
                    </w:rPr>
                    <w:t>、</w:t>
                  </w:r>
                  <w:r>
                    <w:rPr>
                      <w:rFonts w:ascii="Times New Roman" w:hAnsi="Times New Roman" w:eastAsia="Times New Roman" w:cs="Times New Roman"/>
                      <w:spacing w:val="-6"/>
                      <w:sz w:val="21"/>
                      <w:szCs w:val="21"/>
                    </w:rPr>
                    <w:t>SS</w:t>
                  </w:r>
                  <w:r>
                    <w:rPr>
                      <w:spacing w:val="-6"/>
                      <w:sz w:val="21"/>
                      <w:szCs w:val="21"/>
                    </w:rPr>
                    <w:t>、</w:t>
                  </w:r>
                  <w:r>
                    <w:rPr>
                      <w:rFonts w:ascii="Times New Roman" w:hAnsi="Times New Roman" w:eastAsia="Times New Roman" w:cs="Times New Roman"/>
                      <w:spacing w:val="-6"/>
                      <w:sz w:val="21"/>
                      <w:szCs w:val="21"/>
                    </w:rPr>
                    <w:t>Cl</w:t>
                  </w:r>
                  <w:r>
                    <w:rPr>
                      <w:rFonts w:ascii="Times New Roman" w:hAnsi="Times New Roman" w:eastAsia="Times New Roman" w:cs="Times New Roman"/>
                      <w:spacing w:val="-6"/>
                      <w:position w:val="6"/>
                      <w:sz w:val="13"/>
                      <w:szCs w:val="13"/>
                    </w:rPr>
                    <w:t>-</w:t>
                  </w:r>
                  <w:r>
                    <w:rPr>
                      <w:spacing w:val="-6"/>
                      <w:sz w:val="21"/>
                      <w:szCs w:val="21"/>
                    </w:rPr>
                    <w:t>、</w:t>
                  </w:r>
                  <w:r>
                    <w:rPr>
                      <w:sz w:val="21"/>
                      <w:szCs w:val="21"/>
                    </w:rPr>
                    <w:t xml:space="preserve"> </w:t>
                  </w:r>
                  <w:r>
                    <w:rPr>
                      <w:spacing w:val="-2"/>
                      <w:sz w:val="21"/>
                      <w:szCs w:val="21"/>
                    </w:rPr>
                    <w:t>石油类等</w:t>
                  </w:r>
                </w:p>
              </w:tc>
              <w:tc>
                <w:tcPr>
                  <w:tcW w:w="1132" w:type="dxa"/>
                  <w:vAlign w:val="top"/>
                </w:tcPr>
                <w:p>
                  <w:pPr>
                    <w:spacing w:line="280" w:lineRule="auto"/>
                    <w:rPr>
                      <w:rFonts w:ascii="Arial"/>
                      <w:sz w:val="21"/>
                    </w:rPr>
                  </w:pPr>
                </w:p>
                <w:p>
                  <w:pPr>
                    <w:spacing w:before="60" w:line="187"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184.06</w:t>
                  </w:r>
                </w:p>
              </w:tc>
              <w:tc>
                <w:tcPr>
                  <w:tcW w:w="3402" w:type="dxa"/>
                  <w:vAlign w:val="top"/>
                </w:tcPr>
                <w:p>
                  <w:pPr>
                    <w:pStyle w:val="6"/>
                    <w:spacing w:before="29" w:line="221" w:lineRule="auto"/>
                    <w:ind w:left="272"/>
                    <w:rPr>
                      <w:sz w:val="21"/>
                      <w:szCs w:val="21"/>
                    </w:rPr>
                  </w:pPr>
                  <w:r>
                    <w:rPr>
                      <w:spacing w:val="-13"/>
                      <w:sz w:val="21"/>
                      <w:szCs w:val="21"/>
                    </w:rPr>
                    <w:t xml:space="preserve">随钻处理， </w:t>
                  </w:r>
                  <w:r>
                    <w:rPr>
                      <w:rFonts w:ascii="Times New Roman" w:hAnsi="Times New Roman" w:eastAsia="Times New Roman" w:cs="Times New Roman"/>
                      <w:spacing w:val="-13"/>
                      <w:sz w:val="21"/>
                      <w:szCs w:val="21"/>
                    </w:rPr>
                    <w:t>160m</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14"/>
                      <w:w w:val="101"/>
                      <w:position w:val="6"/>
                      <w:sz w:val="13"/>
                      <w:szCs w:val="13"/>
                    </w:rPr>
                    <w:t xml:space="preserve"> </w:t>
                  </w:r>
                  <w:r>
                    <w:rPr>
                      <w:sz w:val="21"/>
                      <w:szCs w:val="21"/>
                    </w:rPr>
                    <w:t>废水罐收集，</w:t>
                  </w:r>
                </w:p>
                <w:p>
                  <w:pPr>
                    <w:pStyle w:val="6"/>
                    <w:spacing w:before="23" w:line="224" w:lineRule="auto"/>
                    <w:ind w:left="118" w:right="11" w:firstLine="39"/>
                    <w:rPr>
                      <w:sz w:val="21"/>
                      <w:szCs w:val="21"/>
                    </w:rPr>
                  </w:pPr>
                  <w:r>
                    <w:rPr>
                      <w:rFonts w:ascii="Times New Roman" w:hAnsi="Times New Roman" w:eastAsia="Times New Roman" w:cs="Times New Roman"/>
                      <w:spacing w:val="-2"/>
                      <w:sz w:val="21"/>
                      <w:szCs w:val="21"/>
                    </w:rPr>
                    <w:t>500m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33"/>
                      <w:position w:val="6"/>
                      <w:sz w:val="13"/>
                      <w:szCs w:val="13"/>
                    </w:rPr>
                    <w:t xml:space="preserve"> </w:t>
                  </w:r>
                  <w:r>
                    <w:rPr>
                      <w:spacing w:val="-2"/>
                      <w:sz w:val="21"/>
                      <w:szCs w:val="21"/>
                    </w:rPr>
                    <w:t>的应急池（收集事故或调配</w:t>
                  </w:r>
                  <w:r>
                    <w:rPr>
                      <w:sz w:val="21"/>
                      <w:szCs w:val="21"/>
                    </w:rPr>
                    <w:t xml:space="preserve">  </w:t>
                  </w:r>
                  <w:r>
                    <w:rPr>
                      <w:spacing w:val="-6"/>
                      <w:sz w:val="21"/>
                      <w:szCs w:val="21"/>
                    </w:rPr>
                    <w:t>不及状态下废水，正常情况下闲置）</w:t>
                  </w:r>
                </w:p>
              </w:tc>
              <w:tc>
                <w:tcPr>
                  <w:tcW w:w="1421" w:type="dxa"/>
                  <w:vMerge w:val="restart"/>
                  <w:tcBorders>
                    <w:bottom w:val="nil"/>
                  </w:tcBorders>
                  <w:vAlign w:val="top"/>
                </w:tcPr>
                <w:p>
                  <w:pPr>
                    <w:spacing w:line="378" w:lineRule="auto"/>
                    <w:rPr>
                      <w:rFonts w:ascii="Arial"/>
                      <w:sz w:val="21"/>
                    </w:rPr>
                  </w:pPr>
                </w:p>
                <w:p>
                  <w:pPr>
                    <w:pStyle w:val="6"/>
                    <w:spacing w:before="68" w:line="235" w:lineRule="auto"/>
                    <w:ind w:left="188" w:right="181" w:firstLine="1"/>
                    <w:jc w:val="both"/>
                    <w:rPr>
                      <w:sz w:val="21"/>
                      <w:szCs w:val="21"/>
                    </w:rPr>
                  </w:pPr>
                  <w:r>
                    <w:rPr>
                      <w:spacing w:val="-2"/>
                      <w:sz w:val="21"/>
                      <w:szCs w:val="21"/>
                    </w:rPr>
                    <w:t>预处理后委</w:t>
                  </w:r>
                  <w:r>
                    <w:rPr>
                      <w:spacing w:val="2"/>
                      <w:sz w:val="21"/>
                      <w:szCs w:val="21"/>
                    </w:rPr>
                    <w:t xml:space="preserve"> </w:t>
                  </w:r>
                  <w:r>
                    <w:rPr>
                      <w:spacing w:val="-1"/>
                      <w:sz w:val="21"/>
                      <w:szCs w:val="21"/>
                    </w:rPr>
                    <w:t>托四川瑞利</w:t>
                  </w:r>
                  <w:r>
                    <w:rPr>
                      <w:sz w:val="21"/>
                      <w:szCs w:val="21"/>
                    </w:rPr>
                    <w:t xml:space="preserve"> </w:t>
                  </w:r>
                  <w:r>
                    <w:rPr>
                      <w:spacing w:val="-1"/>
                      <w:sz w:val="21"/>
                      <w:szCs w:val="21"/>
                    </w:rPr>
                    <w:t>生物科技有</w:t>
                  </w:r>
                  <w:r>
                    <w:rPr>
                      <w:sz w:val="21"/>
                      <w:szCs w:val="21"/>
                    </w:rPr>
                    <w:t xml:space="preserve"> </w:t>
                  </w:r>
                  <w:r>
                    <w:rPr>
                      <w:spacing w:val="-1"/>
                      <w:sz w:val="21"/>
                      <w:szCs w:val="21"/>
                    </w:rPr>
                    <w:t>限公司处置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58" w:type="dxa"/>
                  <w:vAlign w:val="top"/>
                </w:tcPr>
                <w:p>
                  <w:pPr>
                    <w:pStyle w:val="6"/>
                    <w:spacing w:before="165" w:line="221" w:lineRule="auto"/>
                    <w:ind w:left="163"/>
                    <w:rPr>
                      <w:sz w:val="21"/>
                      <w:szCs w:val="21"/>
                    </w:rPr>
                  </w:pPr>
                  <w:r>
                    <w:rPr>
                      <w:spacing w:val="-1"/>
                      <w:sz w:val="21"/>
                      <w:szCs w:val="21"/>
                    </w:rPr>
                    <w:t>洗井废水</w:t>
                  </w:r>
                </w:p>
              </w:tc>
              <w:tc>
                <w:tcPr>
                  <w:tcW w:w="1871" w:type="dxa"/>
                  <w:vAlign w:val="top"/>
                </w:tcPr>
                <w:p>
                  <w:pPr>
                    <w:pStyle w:val="6"/>
                    <w:spacing w:before="63" w:line="209" w:lineRule="auto"/>
                    <w:ind w:left="520" w:right="174" w:hanging="368"/>
                    <w:rPr>
                      <w:sz w:val="21"/>
                      <w:szCs w:val="21"/>
                    </w:rPr>
                  </w:pPr>
                  <w:r>
                    <w:rPr>
                      <w:rFonts w:ascii="Times New Roman" w:hAnsi="Times New Roman" w:eastAsia="Times New Roman" w:cs="Times New Roman"/>
                      <w:spacing w:val="-6"/>
                      <w:sz w:val="21"/>
                      <w:szCs w:val="21"/>
                    </w:rPr>
                    <w:t>COD</w:t>
                  </w:r>
                  <w:r>
                    <w:rPr>
                      <w:rFonts w:ascii="Times New Roman" w:hAnsi="Times New Roman" w:eastAsia="Times New Roman" w:cs="Times New Roman"/>
                      <w:spacing w:val="-25"/>
                      <w:sz w:val="21"/>
                      <w:szCs w:val="21"/>
                    </w:rPr>
                    <w:t xml:space="preserve"> </w:t>
                  </w:r>
                  <w:r>
                    <w:rPr>
                      <w:spacing w:val="-6"/>
                      <w:sz w:val="21"/>
                      <w:szCs w:val="21"/>
                    </w:rPr>
                    <w:t>、</w:t>
                  </w:r>
                  <w:r>
                    <w:rPr>
                      <w:rFonts w:ascii="Times New Roman" w:hAnsi="Times New Roman" w:eastAsia="Times New Roman" w:cs="Times New Roman"/>
                      <w:spacing w:val="-6"/>
                      <w:sz w:val="21"/>
                      <w:szCs w:val="21"/>
                    </w:rPr>
                    <w:t>SS</w:t>
                  </w:r>
                  <w:r>
                    <w:rPr>
                      <w:spacing w:val="-6"/>
                      <w:sz w:val="21"/>
                      <w:szCs w:val="21"/>
                    </w:rPr>
                    <w:t>、</w:t>
                  </w:r>
                  <w:r>
                    <w:rPr>
                      <w:rFonts w:ascii="Times New Roman" w:hAnsi="Times New Roman" w:eastAsia="Times New Roman" w:cs="Times New Roman"/>
                      <w:spacing w:val="-6"/>
                      <w:sz w:val="21"/>
                      <w:szCs w:val="21"/>
                    </w:rPr>
                    <w:t>Cl-</w:t>
                  </w:r>
                  <w:r>
                    <w:rPr>
                      <w:spacing w:val="-6"/>
                      <w:sz w:val="21"/>
                      <w:szCs w:val="21"/>
                    </w:rPr>
                    <w:t>、</w:t>
                  </w:r>
                  <w:r>
                    <w:rPr>
                      <w:sz w:val="21"/>
                      <w:szCs w:val="21"/>
                    </w:rPr>
                    <w:t xml:space="preserve"> </w:t>
                  </w:r>
                  <w:r>
                    <w:rPr>
                      <w:spacing w:val="-2"/>
                      <w:sz w:val="21"/>
                      <w:szCs w:val="21"/>
                    </w:rPr>
                    <w:t>石油类等</w:t>
                  </w:r>
                </w:p>
              </w:tc>
              <w:tc>
                <w:tcPr>
                  <w:tcW w:w="1132" w:type="dxa"/>
                  <w:vAlign w:val="top"/>
                </w:tcPr>
                <w:p>
                  <w:pPr>
                    <w:spacing w:before="204"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25.29</w:t>
                  </w:r>
                </w:p>
              </w:tc>
              <w:tc>
                <w:tcPr>
                  <w:tcW w:w="3402" w:type="dxa"/>
                  <w:vMerge w:val="restart"/>
                  <w:tcBorders>
                    <w:bottom w:val="nil"/>
                  </w:tcBorders>
                  <w:vAlign w:val="top"/>
                </w:tcPr>
                <w:p>
                  <w:pPr>
                    <w:spacing w:line="371" w:lineRule="auto"/>
                    <w:rPr>
                      <w:rFonts w:ascii="Arial"/>
                      <w:sz w:val="21"/>
                    </w:rPr>
                  </w:pPr>
                </w:p>
                <w:p>
                  <w:pPr>
                    <w:pStyle w:val="6"/>
                    <w:spacing w:before="68" w:line="223" w:lineRule="auto"/>
                    <w:ind w:left="997"/>
                    <w:rPr>
                      <w:sz w:val="21"/>
                      <w:szCs w:val="21"/>
                    </w:rPr>
                  </w:pPr>
                  <w:r>
                    <w:rPr>
                      <w:rFonts w:ascii="Times New Roman" w:hAnsi="Times New Roman" w:eastAsia="Times New Roman" w:cs="Times New Roman"/>
                      <w:spacing w:val="-4"/>
                      <w:sz w:val="21"/>
                      <w:szCs w:val="21"/>
                    </w:rPr>
                    <w:t>500m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35"/>
                      <w:w w:val="102"/>
                      <w:position w:val="6"/>
                      <w:sz w:val="13"/>
                      <w:szCs w:val="13"/>
                    </w:rPr>
                    <w:t xml:space="preserve"> </w:t>
                  </w:r>
                  <w:r>
                    <w:rPr>
                      <w:spacing w:val="-4"/>
                      <w:sz w:val="21"/>
                      <w:szCs w:val="21"/>
                    </w:rPr>
                    <w:t>的应急池</w:t>
                  </w:r>
                </w:p>
              </w:tc>
              <w:tc>
                <w:tcPr>
                  <w:tcW w:w="142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58" w:type="dxa"/>
                  <w:vAlign w:val="top"/>
                </w:tcPr>
                <w:p>
                  <w:pPr>
                    <w:pStyle w:val="6"/>
                    <w:spacing w:before="166" w:line="221" w:lineRule="auto"/>
                    <w:ind w:left="164"/>
                    <w:rPr>
                      <w:sz w:val="21"/>
                      <w:szCs w:val="21"/>
                    </w:rPr>
                  </w:pPr>
                  <w:r>
                    <w:rPr>
                      <w:spacing w:val="-2"/>
                      <w:sz w:val="21"/>
                      <w:szCs w:val="21"/>
                    </w:rPr>
                    <w:t>酸化废水</w:t>
                  </w:r>
                </w:p>
              </w:tc>
              <w:tc>
                <w:tcPr>
                  <w:tcW w:w="1871" w:type="dxa"/>
                  <w:vAlign w:val="top"/>
                </w:tcPr>
                <w:p>
                  <w:pPr>
                    <w:pStyle w:val="6"/>
                    <w:spacing w:before="65" w:line="208" w:lineRule="auto"/>
                    <w:ind w:left="279" w:right="179" w:hanging="130"/>
                    <w:rPr>
                      <w:sz w:val="21"/>
                      <w:szCs w:val="21"/>
                    </w:rPr>
                  </w:pPr>
                  <w:r>
                    <w:rPr>
                      <w:rFonts w:ascii="Times New Roman" w:hAnsi="Times New Roman" w:eastAsia="Times New Roman" w:cs="Times New Roman"/>
                      <w:spacing w:val="-8"/>
                      <w:sz w:val="21"/>
                      <w:szCs w:val="21"/>
                    </w:rPr>
                    <w:t>pH</w:t>
                  </w:r>
                  <w:r>
                    <w:rPr>
                      <w:rFonts w:ascii="Times New Roman" w:hAnsi="Times New Roman" w:eastAsia="Times New Roman" w:cs="Times New Roman"/>
                      <w:spacing w:val="-25"/>
                      <w:sz w:val="21"/>
                      <w:szCs w:val="21"/>
                    </w:rPr>
                    <w:t xml:space="preserve"> </w:t>
                  </w:r>
                  <w:r>
                    <w:rPr>
                      <w:spacing w:val="-8"/>
                      <w:sz w:val="21"/>
                      <w:szCs w:val="21"/>
                    </w:rPr>
                    <w:t>、</w:t>
                  </w:r>
                  <w:r>
                    <w:rPr>
                      <w:rFonts w:ascii="Times New Roman" w:hAnsi="Times New Roman" w:eastAsia="Times New Roman" w:cs="Times New Roman"/>
                      <w:spacing w:val="-8"/>
                      <w:sz w:val="21"/>
                      <w:szCs w:val="21"/>
                    </w:rPr>
                    <w:t>COD</w:t>
                  </w:r>
                  <w:r>
                    <w:rPr>
                      <w:rFonts w:ascii="Times New Roman" w:hAnsi="Times New Roman" w:eastAsia="Times New Roman" w:cs="Times New Roman"/>
                      <w:spacing w:val="-28"/>
                      <w:sz w:val="21"/>
                      <w:szCs w:val="21"/>
                    </w:rPr>
                    <w:t xml:space="preserve"> </w:t>
                  </w:r>
                  <w:r>
                    <w:rPr>
                      <w:spacing w:val="-8"/>
                      <w:sz w:val="21"/>
                      <w:szCs w:val="21"/>
                    </w:rPr>
                    <w:t>、</w:t>
                  </w:r>
                  <w:r>
                    <w:rPr>
                      <w:rFonts w:ascii="Times New Roman" w:hAnsi="Times New Roman" w:eastAsia="Times New Roman" w:cs="Times New Roman"/>
                      <w:spacing w:val="-8"/>
                      <w:sz w:val="21"/>
                      <w:szCs w:val="21"/>
                    </w:rPr>
                    <w:t>SS</w:t>
                  </w:r>
                  <w:r>
                    <w:rPr>
                      <w:spacing w:val="-8"/>
                      <w:sz w:val="21"/>
                      <w:szCs w:val="21"/>
                    </w:rPr>
                    <w:t>、</w:t>
                  </w:r>
                  <w:r>
                    <w:rPr>
                      <w:sz w:val="21"/>
                      <w:szCs w:val="21"/>
                    </w:rPr>
                    <w:t xml:space="preserve"> </w:t>
                  </w:r>
                  <w:r>
                    <w:rPr>
                      <w:rFonts w:ascii="Times New Roman" w:hAnsi="Times New Roman" w:eastAsia="Times New Roman" w:cs="Times New Roman"/>
                      <w:spacing w:val="-4"/>
                      <w:sz w:val="21"/>
                      <w:szCs w:val="21"/>
                    </w:rPr>
                    <w:t>Cl-</w:t>
                  </w:r>
                  <w:r>
                    <w:rPr>
                      <w:rFonts w:ascii="Times New Roman" w:hAnsi="Times New Roman" w:eastAsia="Times New Roman" w:cs="Times New Roman"/>
                      <w:spacing w:val="-27"/>
                      <w:sz w:val="21"/>
                      <w:szCs w:val="21"/>
                    </w:rPr>
                    <w:t xml:space="preserve"> </w:t>
                  </w:r>
                  <w:r>
                    <w:rPr>
                      <w:spacing w:val="-4"/>
                      <w:sz w:val="21"/>
                      <w:szCs w:val="21"/>
                    </w:rPr>
                    <w:t>、石油类等</w:t>
                  </w:r>
                </w:p>
              </w:tc>
              <w:tc>
                <w:tcPr>
                  <w:tcW w:w="1132" w:type="dxa"/>
                  <w:vAlign w:val="top"/>
                </w:tcPr>
                <w:p>
                  <w:pPr>
                    <w:spacing w:before="205" w:line="187"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3402" w:type="dxa"/>
                  <w:vMerge w:val="continue"/>
                  <w:tcBorders>
                    <w:top w:val="nil"/>
                  </w:tcBorders>
                  <w:vAlign w:val="top"/>
                </w:tcPr>
                <w:p>
                  <w:pPr>
                    <w:rPr>
                      <w:rFonts w:ascii="Arial"/>
                      <w:sz w:val="21"/>
                    </w:rPr>
                  </w:pPr>
                </w:p>
              </w:tc>
              <w:tc>
                <w:tcPr>
                  <w:tcW w:w="142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58" w:type="dxa"/>
                  <w:tcBorders>
                    <w:bottom w:val="nil"/>
                  </w:tcBorders>
                  <w:vAlign w:val="top"/>
                </w:tcPr>
                <w:p>
                  <w:pPr>
                    <w:pStyle w:val="6"/>
                    <w:spacing w:before="63" w:line="221" w:lineRule="auto"/>
                    <w:ind w:left="164"/>
                    <w:rPr>
                      <w:sz w:val="21"/>
                      <w:szCs w:val="21"/>
                    </w:rPr>
                  </w:pPr>
                  <w:r>
                    <w:rPr>
                      <w:spacing w:val="-2"/>
                      <w:sz w:val="21"/>
                      <w:szCs w:val="21"/>
                    </w:rPr>
                    <w:t>方井雨水</w:t>
                  </w:r>
                </w:p>
              </w:tc>
              <w:tc>
                <w:tcPr>
                  <w:tcW w:w="1871" w:type="dxa"/>
                  <w:tcBorders>
                    <w:bottom w:val="nil"/>
                  </w:tcBorders>
                  <w:vAlign w:val="top"/>
                </w:tcPr>
                <w:p>
                  <w:pPr>
                    <w:pStyle w:val="6"/>
                    <w:spacing w:before="63" w:line="221" w:lineRule="auto"/>
                    <w:ind w:left="111"/>
                    <w:rPr>
                      <w:sz w:val="21"/>
                      <w:szCs w:val="21"/>
                    </w:rPr>
                  </w:pPr>
                  <w:r>
                    <w:rPr>
                      <w:rFonts w:ascii="Times New Roman" w:hAnsi="Times New Roman" w:eastAsia="Times New Roman" w:cs="Times New Roman"/>
                      <w:spacing w:val="-9"/>
                      <w:sz w:val="21"/>
                      <w:szCs w:val="21"/>
                    </w:rPr>
                    <w:t>COD</w:t>
                  </w:r>
                  <w:r>
                    <w:rPr>
                      <w:spacing w:val="-9"/>
                      <w:sz w:val="21"/>
                      <w:szCs w:val="21"/>
                    </w:rPr>
                    <w:t>、</w:t>
                  </w:r>
                  <w:r>
                    <w:rPr>
                      <w:rFonts w:ascii="Times New Roman" w:hAnsi="Times New Roman" w:eastAsia="Times New Roman" w:cs="Times New Roman"/>
                      <w:spacing w:val="-9"/>
                      <w:sz w:val="21"/>
                      <w:szCs w:val="21"/>
                    </w:rPr>
                    <w:t>SS</w:t>
                  </w:r>
                  <w:r>
                    <w:rPr>
                      <w:spacing w:val="-9"/>
                      <w:sz w:val="21"/>
                      <w:szCs w:val="21"/>
                    </w:rPr>
                    <w:t>、石油类</w:t>
                  </w:r>
                </w:p>
              </w:tc>
              <w:tc>
                <w:tcPr>
                  <w:tcW w:w="1132" w:type="dxa"/>
                  <w:tcBorders>
                    <w:bottom w:val="nil"/>
                  </w:tcBorders>
                  <w:vAlign w:val="top"/>
                </w:tcPr>
                <w:p>
                  <w:pPr>
                    <w:spacing w:before="102"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10.09</w:t>
                  </w:r>
                </w:p>
              </w:tc>
              <w:tc>
                <w:tcPr>
                  <w:tcW w:w="3402" w:type="dxa"/>
                  <w:tcBorders>
                    <w:bottom w:val="nil"/>
                  </w:tcBorders>
                  <w:vAlign w:val="top"/>
                </w:tcPr>
                <w:p>
                  <w:pPr>
                    <w:pStyle w:val="6"/>
                    <w:spacing w:before="63" w:line="226" w:lineRule="auto"/>
                    <w:ind w:left="164"/>
                    <w:rPr>
                      <w:sz w:val="21"/>
                      <w:szCs w:val="21"/>
                    </w:rPr>
                  </w:pPr>
                  <w:r>
                    <w:rPr>
                      <w:spacing w:val="-2"/>
                      <w:sz w:val="21"/>
                      <w:szCs w:val="21"/>
                    </w:rPr>
                    <w:t>经</w:t>
                  </w:r>
                  <w:r>
                    <w:rPr>
                      <w:spacing w:val="-23"/>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个</w:t>
                  </w:r>
                  <w:r>
                    <w:rPr>
                      <w:spacing w:val="-44"/>
                      <w:sz w:val="21"/>
                      <w:szCs w:val="21"/>
                    </w:rPr>
                    <w:t xml:space="preserve"> </w:t>
                  </w:r>
                  <w:r>
                    <w:rPr>
                      <w:rFonts w:ascii="Times New Roman" w:hAnsi="Times New Roman" w:eastAsia="Times New Roman" w:cs="Times New Roman"/>
                      <w:spacing w:val="-2"/>
                      <w:sz w:val="21"/>
                      <w:szCs w:val="21"/>
                    </w:rPr>
                    <w:t xml:space="preserve">0.5m×0.5m×0.5m </w:t>
                  </w:r>
                  <w:r>
                    <w:rPr>
                      <w:spacing w:val="-2"/>
                      <w:sz w:val="21"/>
                      <w:szCs w:val="21"/>
                    </w:rPr>
                    <w:t>集水坑收</w:t>
                  </w:r>
                </w:p>
              </w:tc>
              <w:tc>
                <w:tcPr>
                  <w:tcW w:w="1421" w:type="dxa"/>
                  <w:tcBorders>
                    <w:bottom w:val="nil"/>
                  </w:tcBorders>
                  <w:vAlign w:val="top"/>
                </w:tcPr>
                <w:p>
                  <w:pPr>
                    <w:pStyle w:val="6"/>
                    <w:spacing w:before="64" w:line="221" w:lineRule="auto"/>
                    <w:ind w:left="209"/>
                    <w:rPr>
                      <w:sz w:val="21"/>
                      <w:szCs w:val="21"/>
                    </w:rPr>
                  </w:pPr>
                  <w:r>
                    <w:rPr>
                      <w:spacing w:val="-6"/>
                      <w:sz w:val="21"/>
                      <w:szCs w:val="21"/>
                    </w:rPr>
                    <w:t>回用钻井液</w:t>
                  </w:r>
                </w:p>
              </w:tc>
            </w:tr>
          </w:tbl>
          <w:p>
            <w:pPr>
              <w:spacing w:line="82" w:lineRule="auto"/>
              <w:rPr>
                <w:rFonts w:ascii="Arial"/>
                <w:sz w:val="2"/>
              </w:rPr>
            </w:pPr>
          </w:p>
        </w:tc>
      </w:tr>
    </w:tbl>
    <w:p>
      <w:pPr>
        <w:pStyle w:val="2"/>
        <w:rPr>
          <w:sz w:val="21"/>
        </w:rPr>
      </w:pPr>
    </w:p>
    <w:p>
      <w:pPr>
        <w:rPr>
          <w:sz w:val="21"/>
          <w:szCs w:val="21"/>
        </w:rPr>
        <w:sectPr>
          <w:footerReference r:id="rId132"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53"/>
        <w:gridCol w:w="1153"/>
        <w:gridCol w:w="1870"/>
        <w:gridCol w:w="1131"/>
        <w:gridCol w:w="3398"/>
        <w:gridCol w:w="1414"/>
        <w:gridCol w:w="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153" w:type="dxa"/>
            <w:tcBorders>
              <w:top w:val="single" w:color="000000" w:sz="6" w:space="0"/>
              <w:bottom w:val="nil"/>
            </w:tcBorders>
            <w:vAlign w:val="top"/>
          </w:tcPr>
          <w:p>
            <w:pPr>
              <w:rPr>
                <w:rFonts w:ascii="Arial"/>
                <w:sz w:val="21"/>
              </w:rPr>
            </w:pPr>
          </w:p>
        </w:tc>
        <w:tc>
          <w:tcPr>
            <w:tcW w:w="1153" w:type="dxa"/>
            <w:tcBorders>
              <w:top w:val="single" w:color="000000" w:sz="6" w:space="0"/>
            </w:tcBorders>
            <w:vAlign w:val="top"/>
          </w:tcPr>
          <w:p>
            <w:pPr>
              <w:rPr>
                <w:rFonts w:ascii="Arial"/>
                <w:sz w:val="21"/>
              </w:rPr>
            </w:pPr>
          </w:p>
        </w:tc>
        <w:tc>
          <w:tcPr>
            <w:tcW w:w="1870" w:type="dxa"/>
            <w:tcBorders>
              <w:top w:val="single" w:color="000000" w:sz="6" w:space="0"/>
            </w:tcBorders>
            <w:vAlign w:val="top"/>
          </w:tcPr>
          <w:p>
            <w:pPr>
              <w:pStyle w:val="6"/>
              <w:spacing w:before="43" w:line="221" w:lineRule="auto"/>
              <w:ind w:left="833"/>
              <w:rPr>
                <w:sz w:val="21"/>
                <w:szCs w:val="21"/>
              </w:rPr>
            </w:pPr>
            <w:r>
              <w:rPr>
                <w:sz w:val="21"/>
                <w:szCs w:val="21"/>
              </w:rPr>
              <w:t>等</w:t>
            </w:r>
          </w:p>
        </w:tc>
        <w:tc>
          <w:tcPr>
            <w:tcW w:w="1131" w:type="dxa"/>
            <w:tcBorders>
              <w:top w:val="single" w:color="000000" w:sz="6" w:space="0"/>
            </w:tcBorders>
            <w:vAlign w:val="top"/>
          </w:tcPr>
          <w:p>
            <w:pPr>
              <w:rPr>
                <w:rFonts w:ascii="Arial"/>
                <w:sz w:val="21"/>
              </w:rPr>
            </w:pPr>
          </w:p>
        </w:tc>
        <w:tc>
          <w:tcPr>
            <w:tcW w:w="3398" w:type="dxa"/>
            <w:tcBorders>
              <w:top w:val="single" w:color="000000" w:sz="6" w:space="0"/>
            </w:tcBorders>
            <w:vAlign w:val="top"/>
          </w:tcPr>
          <w:p>
            <w:pPr>
              <w:pStyle w:val="6"/>
              <w:spacing w:before="43" w:line="221" w:lineRule="auto"/>
              <w:ind w:left="761"/>
              <w:rPr>
                <w:sz w:val="21"/>
                <w:szCs w:val="21"/>
              </w:rPr>
            </w:pPr>
            <w:r>
              <w:rPr>
                <w:spacing w:val="-1"/>
                <w:sz w:val="21"/>
                <w:szCs w:val="21"/>
              </w:rPr>
              <w:t>集后用于钻井液配置</w:t>
            </w:r>
          </w:p>
        </w:tc>
        <w:tc>
          <w:tcPr>
            <w:tcW w:w="1414" w:type="dxa"/>
            <w:tcBorders>
              <w:top w:val="single" w:color="000000" w:sz="6" w:space="0"/>
            </w:tcBorders>
            <w:vAlign w:val="top"/>
          </w:tcPr>
          <w:p>
            <w:pPr>
              <w:pStyle w:val="6"/>
              <w:spacing w:before="43" w:line="221" w:lineRule="auto"/>
              <w:ind w:left="417"/>
              <w:rPr>
                <w:sz w:val="21"/>
                <w:szCs w:val="21"/>
              </w:rPr>
            </w:pPr>
            <w:r>
              <w:rPr>
                <w:spacing w:val="-5"/>
                <w:sz w:val="21"/>
                <w:szCs w:val="21"/>
              </w:rPr>
              <w:t>的配制</w:t>
            </w:r>
          </w:p>
        </w:tc>
        <w:tc>
          <w:tcPr>
            <w:tcW w:w="163" w:type="dxa"/>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8"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9282" w:type="dxa"/>
            <w:gridSpan w:val="7"/>
            <w:tcBorders>
              <w:bottom w:val="single" w:color="000000" w:sz="6" w:space="0"/>
              <w:right w:val="single" w:color="000000" w:sz="6" w:space="0"/>
            </w:tcBorders>
            <w:vAlign w:val="top"/>
          </w:tcPr>
          <w:p>
            <w:pPr>
              <w:pStyle w:val="6"/>
              <w:spacing w:before="178" w:line="219" w:lineRule="auto"/>
              <w:ind w:left="589"/>
              <w:rPr>
                <w:sz w:val="24"/>
                <w:szCs w:val="24"/>
              </w:rPr>
            </w:pPr>
            <w:r>
              <w:rPr>
                <w:spacing w:val="-1"/>
                <w:sz w:val="24"/>
                <w:szCs w:val="24"/>
              </w:rPr>
              <w:t>本此外，建设单位针对废水储存采取了以下管理措施：</w:t>
            </w:r>
          </w:p>
          <w:p>
            <w:pPr>
              <w:pStyle w:val="6"/>
              <w:spacing w:before="195" w:line="480" w:lineRule="exact"/>
              <w:ind w:left="580"/>
              <w:rPr>
                <w:sz w:val="24"/>
                <w:szCs w:val="24"/>
              </w:rPr>
            </w:pPr>
            <w:r>
              <w:rPr>
                <w:rFonts w:ascii="Times New Roman" w:hAnsi="Times New Roman" w:eastAsia="Times New Roman" w:cs="Times New Roman"/>
                <w:spacing w:val="-10"/>
                <w:position w:val="18"/>
                <w:sz w:val="24"/>
                <w:szCs w:val="24"/>
              </w:rPr>
              <w:t>A.</w:t>
            </w:r>
            <w:r>
              <w:rPr>
                <w:spacing w:val="-10"/>
                <w:position w:val="18"/>
                <w:sz w:val="24"/>
                <w:szCs w:val="24"/>
              </w:rPr>
              <w:t>井场实施清污分流，</w:t>
            </w:r>
            <w:r>
              <w:rPr>
                <w:spacing w:val="41"/>
                <w:position w:val="18"/>
                <w:sz w:val="24"/>
                <w:szCs w:val="24"/>
              </w:rPr>
              <w:t xml:space="preserve"> </w:t>
            </w:r>
            <w:r>
              <w:rPr>
                <w:spacing w:val="-10"/>
                <w:position w:val="18"/>
                <w:sz w:val="24"/>
                <w:szCs w:val="24"/>
              </w:rPr>
              <w:t>清污分流管道完善畅通，</w:t>
            </w:r>
            <w:r>
              <w:rPr>
                <w:spacing w:val="47"/>
                <w:position w:val="18"/>
                <w:sz w:val="24"/>
                <w:szCs w:val="24"/>
              </w:rPr>
              <w:t xml:space="preserve"> </w:t>
            </w:r>
            <w:r>
              <w:rPr>
                <w:spacing w:val="-10"/>
                <w:position w:val="18"/>
                <w:sz w:val="24"/>
                <w:szCs w:val="24"/>
              </w:rPr>
              <w:t>并确保废水全部进入清洁</w:t>
            </w:r>
            <w:r>
              <w:rPr>
                <w:spacing w:val="-11"/>
                <w:position w:val="18"/>
                <w:sz w:val="24"/>
                <w:szCs w:val="24"/>
              </w:rPr>
              <w:t>化操作场</w:t>
            </w:r>
          </w:p>
          <w:p>
            <w:pPr>
              <w:pStyle w:val="6"/>
              <w:spacing w:line="219" w:lineRule="auto"/>
              <w:ind w:left="108"/>
              <w:rPr>
                <w:sz w:val="24"/>
                <w:szCs w:val="24"/>
              </w:rPr>
            </w:pPr>
            <w:r>
              <w:rPr>
                <w:spacing w:val="-2"/>
                <w:sz w:val="24"/>
                <w:szCs w:val="24"/>
              </w:rPr>
              <w:t>地处理后进入废水罐储存，日常保持应急池空置。</w:t>
            </w:r>
          </w:p>
          <w:p>
            <w:pPr>
              <w:pStyle w:val="6"/>
              <w:spacing w:before="194" w:line="480" w:lineRule="exact"/>
              <w:ind w:left="583"/>
              <w:rPr>
                <w:sz w:val="24"/>
                <w:szCs w:val="24"/>
              </w:rPr>
            </w:pPr>
            <w:r>
              <w:rPr>
                <w:rFonts w:ascii="Times New Roman" w:hAnsi="Times New Roman" w:eastAsia="Times New Roman" w:cs="Times New Roman"/>
                <w:spacing w:val="-6"/>
                <w:position w:val="18"/>
                <w:sz w:val="24"/>
                <w:szCs w:val="24"/>
              </w:rPr>
              <w:t>B.</w:t>
            </w:r>
            <w:r>
              <w:rPr>
                <w:spacing w:val="-6"/>
                <w:position w:val="18"/>
                <w:sz w:val="24"/>
                <w:szCs w:val="24"/>
              </w:rPr>
              <w:t>各类作业废水站内临时存储，</w:t>
            </w:r>
            <w:r>
              <w:rPr>
                <w:spacing w:val="68"/>
                <w:position w:val="18"/>
                <w:sz w:val="24"/>
                <w:szCs w:val="24"/>
              </w:rPr>
              <w:t xml:space="preserve"> </w:t>
            </w:r>
            <w:r>
              <w:rPr>
                <w:spacing w:val="-6"/>
                <w:position w:val="18"/>
                <w:sz w:val="24"/>
                <w:szCs w:val="24"/>
              </w:rPr>
              <w:t>不得随意乱排乱放。现场人员应定期对废水罐和应</w:t>
            </w:r>
          </w:p>
          <w:p>
            <w:pPr>
              <w:pStyle w:val="6"/>
              <w:spacing w:line="219" w:lineRule="auto"/>
              <w:ind w:left="115"/>
              <w:rPr>
                <w:sz w:val="24"/>
                <w:szCs w:val="24"/>
              </w:rPr>
            </w:pPr>
            <w:r>
              <w:rPr>
                <w:spacing w:val="-1"/>
                <w:sz w:val="24"/>
                <w:szCs w:val="24"/>
              </w:rPr>
              <w:t>急池渗漏情况进行巡检，发现异常情况立即汇报</w:t>
            </w:r>
            <w:r>
              <w:rPr>
                <w:spacing w:val="-2"/>
                <w:sz w:val="24"/>
                <w:szCs w:val="24"/>
              </w:rPr>
              <w:t>和整改，并做好记录。</w:t>
            </w:r>
          </w:p>
          <w:p>
            <w:pPr>
              <w:pStyle w:val="6"/>
              <w:spacing w:before="195" w:line="219" w:lineRule="auto"/>
              <w:ind w:left="617"/>
              <w:rPr>
                <w:sz w:val="24"/>
                <w:szCs w:val="24"/>
              </w:rPr>
            </w:pPr>
            <w:r>
              <w:rPr>
                <w:spacing w:val="-3"/>
                <w:sz w:val="24"/>
                <w:szCs w:val="24"/>
              </w:rPr>
              <w:t>由此可见，拟建项目采取的废水储存措施有效</w:t>
            </w:r>
            <w:r>
              <w:rPr>
                <w:spacing w:val="-4"/>
                <w:sz w:val="24"/>
                <w:szCs w:val="24"/>
              </w:rPr>
              <w:t>可行。</w:t>
            </w:r>
          </w:p>
          <w:p>
            <w:pPr>
              <w:pStyle w:val="6"/>
              <w:spacing w:before="196" w:line="217" w:lineRule="auto"/>
              <w:ind w:left="588"/>
              <w:rPr>
                <w:sz w:val="24"/>
                <w:szCs w:val="24"/>
              </w:rPr>
            </w:pPr>
            <w:r>
              <w:rPr>
                <w:sz w:val="24"/>
                <w:szCs w:val="24"/>
                <w14:textOutline w14:w="4354" w14:cap="flat" w14:cmpd="sng">
                  <w14:solidFill>
                    <w14:srgbClr w14:val="000000"/>
                  </w14:solidFill>
                  <w14:prstDash w14:val="solid"/>
                  <w14:miter w14:val="10"/>
                </w14:textOutline>
              </w:rPr>
              <w:t>⑤废水转运路线及管理措施</w:t>
            </w:r>
          </w:p>
          <w:p>
            <w:pPr>
              <w:pStyle w:val="6"/>
              <w:spacing w:before="199" w:line="369" w:lineRule="auto"/>
              <w:ind w:left="108" w:right="32" w:firstLine="480"/>
              <w:jc w:val="both"/>
              <w:rPr>
                <w:sz w:val="24"/>
                <w:szCs w:val="24"/>
              </w:rPr>
            </w:pPr>
            <w:r>
              <w:rPr>
                <w:spacing w:val="4"/>
                <w:sz w:val="24"/>
                <w:szCs w:val="24"/>
              </w:rPr>
              <w:t xml:space="preserve">本项目产生的钻井废水拟通过罐车转运至四川瑞利生物科技有限公司气田废水处 </w:t>
            </w:r>
            <w:r>
              <w:rPr>
                <w:spacing w:val="-10"/>
                <w:sz w:val="24"/>
                <w:szCs w:val="24"/>
              </w:rPr>
              <w:t>理站处理， 运输和处置均外委， 由接收单位负责。项目废水转运路线总运距约</w:t>
            </w:r>
            <w:r>
              <w:rPr>
                <w:spacing w:val="-38"/>
                <w:sz w:val="24"/>
                <w:szCs w:val="24"/>
              </w:rPr>
              <w:t xml:space="preserve"> </w:t>
            </w:r>
            <w:r>
              <w:rPr>
                <w:rFonts w:ascii="Times New Roman" w:hAnsi="Times New Roman" w:eastAsia="Times New Roman" w:cs="Times New Roman"/>
                <w:spacing w:val="-10"/>
                <w:sz w:val="24"/>
                <w:szCs w:val="24"/>
              </w:rPr>
              <w:t>425.8km</w:t>
            </w:r>
            <w:r>
              <w:rPr>
                <w:spacing w:val="-10"/>
                <w:sz w:val="24"/>
                <w:szCs w:val="24"/>
              </w:rPr>
              <w:t>，</w:t>
            </w:r>
            <w:r>
              <w:rPr>
                <w:sz w:val="24"/>
                <w:szCs w:val="24"/>
              </w:rPr>
              <w:t xml:space="preserve"> </w:t>
            </w:r>
            <w:r>
              <w:rPr>
                <w:spacing w:val="2"/>
                <w:sz w:val="24"/>
                <w:szCs w:val="24"/>
              </w:rPr>
              <w:t>转运路线途经乡村道路</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1"/>
                <w:sz w:val="24"/>
                <w:szCs w:val="24"/>
              </w:rPr>
              <w:t xml:space="preserve"> </w:t>
            </w:r>
            <w:r>
              <w:rPr>
                <w:spacing w:val="2"/>
                <w:sz w:val="24"/>
                <w:szCs w:val="24"/>
              </w:rPr>
              <w:t>恩广高速</w:t>
            </w:r>
            <w:r>
              <w:rPr>
                <w:rFonts w:ascii="Times New Roman" w:hAnsi="Times New Roman" w:eastAsia="Times New Roman" w:cs="Times New Roman"/>
                <w:spacing w:val="2"/>
                <w:sz w:val="24"/>
                <w:szCs w:val="24"/>
              </w:rPr>
              <w:t>→</w:t>
            </w:r>
            <w:r>
              <w:rPr>
                <w:spacing w:val="2"/>
                <w:sz w:val="24"/>
                <w:szCs w:val="24"/>
              </w:rPr>
              <w:t>魏兴枢纽</w:t>
            </w:r>
            <w:r>
              <w:rPr>
                <w:rFonts w:ascii="Times New Roman" w:hAnsi="Times New Roman" w:eastAsia="Times New Roman" w:cs="Times New Roman"/>
                <w:spacing w:val="2"/>
                <w:sz w:val="24"/>
                <w:szCs w:val="24"/>
              </w:rPr>
              <w:t>→</w:t>
            </w:r>
            <w:r>
              <w:rPr>
                <w:spacing w:val="2"/>
                <w:sz w:val="24"/>
                <w:szCs w:val="24"/>
              </w:rPr>
              <w:t>包茂高速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spacing w:val="2"/>
                <w:sz w:val="24"/>
                <w:szCs w:val="24"/>
              </w:rPr>
              <w:t>沪渝高速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7"/>
                <w:sz w:val="24"/>
                <w:szCs w:val="24"/>
              </w:rPr>
              <w:t xml:space="preserve"> </w:t>
            </w:r>
            <w:r>
              <w:rPr>
                <w:spacing w:val="2"/>
                <w:sz w:val="24"/>
                <w:szCs w:val="24"/>
              </w:rPr>
              <w:t>内环快速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spacing w:val="2"/>
                <w:sz w:val="24"/>
                <w:szCs w:val="24"/>
              </w:rPr>
              <w:t>成</w:t>
            </w:r>
            <w:r>
              <w:rPr>
                <w:sz w:val="24"/>
                <w:szCs w:val="24"/>
              </w:rPr>
              <w:t xml:space="preserve"> </w:t>
            </w:r>
            <w:r>
              <w:rPr>
                <w:spacing w:val="2"/>
                <w:sz w:val="24"/>
                <w:szCs w:val="24"/>
              </w:rPr>
              <w:t>渝环线高速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5"/>
                <w:sz w:val="24"/>
                <w:szCs w:val="24"/>
              </w:rPr>
              <w:t xml:space="preserve"> </w:t>
            </w:r>
            <w:r>
              <w:rPr>
                <w:spacing w:val="2"/>
                <w:sz w:val="24"/>
                <w:szCs w:val="24"/>
              </w:rPr>
              <w:t>银昆高速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spacing w:val="2"/>
                <w:sz w:val="24"/>
                <w:szCs w:val="24"/>
              </w:rPr>
              <w:t>成渝环线高速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1"/>
                <w:sz w:val="24"/>
                <w:szCs w:val="24"/>
              </w:rPr>
              <w:t xml:space="preserve"> </w:t>
            </w:r>
            <w:r>
              <w:rPr>
                <w:spacing w:val="2"/>
                <w:sz w:val="24"/>
                <w:szCs w:val="24"/>
              </w:rPr>
              <w:t>九永高速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0"/>
                <w:sz w:val="24"/>
                <w:szCs w:val="24"/>
              </w:rPr>
              <w:t xml:space="preserve"> </w:t>
            </w:r>
            <w:r>
              <w:rPr>
                <w:spacing w:val="2"/>
                <w:sz w:val="24"/>
                <w:szCs w:val="24"/>
              </w:rPr>
              <w:t>九永高速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spacing w:val="2"/>
                <w:sz w:val="24"/>
                <w:szCs w:val="24"/>
              </w:rPr>
              <w:t>永泸高速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2"/>
                <w:sz w:val="24"/>
                <w:szCs w:val="24"/>
              </w:rPr>
              <w:t xml:space="preserve"> </w:t>
            </w:r>
            <w:r>
              <w:rPr>
                <w:spacing w:val="2"/>
                <w:sz w:val="24"/>
                <w:szCs w:val="24"/>
              </w:rPr>
              <w:t>泸永高速</w:t>
            </w:r>
            <w:r>
              <w:rPr>
                <w:sz w:val="24"/>
                <w:szCs w:val="24"/>
              </w:rPr>
              <w:t xml:space="preserve"> </w:t>
            </w:r>
            <w:r>
              <w:rPr>
                <w:rFonts w:ascii="Times New Roman" w:hAnsi="Times New Roman" w:eastAsia="Times New Roman" w:cs="Times New Roman"/>
                <w:spacing w:val="2"/>
                <w:sz w:val="24"/>
                <w:szCs w:val="24"/>
              </w:rPr>
              <w:t>→</w:t>
            </w:r>
            <w:r>
              <w:rPr>
                <w:spacing w:val="2"/>
                <w:sz w:val="24"/>
                <w:szCs w:val="24"/>
              </w:rPr>
              <w:t>广泸高速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spacing w:val="2"/>
                <w:sz w:val="24"/>
                <w:szCs w:val="24"/>
              </w:rPr>
              <w:t>临港大道</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spacing w:val="2"/>
                <w:sz w:val="24"/>
                <w:szCs w:val="24"/>
              </w:rPr>
              <w:t>罗高路</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spacing w:val="2"/>
                <w:sz w:val="24"/>
                <w:szCs w:val="24"/>
              </w:rPr>
              <w:t>罗汉街道</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1"/>
                <w:sz w:val="24"/>
                <w:szCs w:val="24"/>
              </w:rPr>
              <w:t xml:space="preserve"> </w:t>
            </w:r>
            <w:r>
              <w:rPr>
                <w:spacing w:val="2"/>
                <w:sz w:val="24"/>
                <w:szCs w:val="24"/>
              </w:rPr>
              <w:t>四川瑞利生物科技有限公司气田废水处</w:t>
            </w:r>
          </w:p>
          <w:p>
            <w:pPr>
              <w:pStyle w:val="6"/>
              <w:spacing w:before="1" w:line="219" w:lineRule="auto"/>
              <w:ind w:left="111"/>
              <w:rPr>
                <w:sz w:val="24"/>
                <w:szCs w:val="24"/>
              </w:rPr>
            </w:pPr>
            <w:r>
              <w:rPr>
                <w:spacing w:val="-2"/>
                <w:sz w:val="24"/>
                <w:szCs w:val="24"/>
              </w:rPr>
              <w:t>理站，全线道路路况较好，运输线路走向较为合理；运输路线详见下图。</w:t>
            </w:r>
          </w:p>
          <w:p>
            <w:pPr>
              <w:spacing w:before="16" w:line="6602" w:lineRule="exact"/>
              <w:ind w:firstLine="1015"/>
            </w:pPr>
            <w:r>
              <w:rPr>
                <w:position w:val="-132"/>
              </w:rPr>
              <w:drawing>
                <wp:inline distT="0" distB="0" distL="0" distR="0">
                  <wp:extent cx="4594225" cy="419227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339"/>
                          <a:stretch>
                            <a:fillRect/>
                          </a:stretch>
                        </pic:blipFill>
                        <pic:spPr>
                          <a:xfrm>
                            <a:off x="0" y="0"/>
                            <a:ext cx="4594859" cy="4192270"/>
                          </a:xfrm>
                          <a:prstGeom prst="rect">
                            <a:avLst/>
                          </a:prstGeom>
                        </pic:spPr>
                      </pic:pic>
                    </a:graphicData>
                  </a:graphic>
                </wp:inline>
              </w:drawing>
            </w:r>
          </w:p>
          <w:p>
            <w:pPr>
              <w:pStyle w:val="6"/>
              <w:spacing w:before="179" w:line="220" w:lineRule="auto"/>
              <w:ind w:left="3362"/>
              <w:rPr>
                <w:sz w:val="24"/>
                <w:szCs w:val="24"/>
              </w:rPr>
            </w:pPr>
            <w:r>
              <w:rPr>
                <w:spacing w:val="-3"/>
                <w:sz w:val="24"/>
                <w:szCs w:val="24"/>
                <w14:textOutline w14:w="4354" w14:cap="flat" w14:cmpd="sng">
                  <w14:solidFill>
                    <w14:srgbClr w14:val="000000"/>
                  </w14:solidFill>
                  <w14:prstDash w14:val="solid"/>
                  <w14:miter w14:val="10"/>
                </w14:textOutline>
              </w:rPr>
              <w:t>图</w:t>
            </w:r>
            <w:r>
              <w:rPr>
                <w:spacing w:val="-43"/>
                <w:sz w:val="24"/>
                <w:szCs w:val="24"/>
              </w:rPr>
              <w:t xml:space="preserve"> </w:t>
            </w:r>
            <w:r>
              <w:rPr>
                <w:rFonts w:ascii="Times New Roman" w:hAnsi="Times New Roman" w:eastAsia="Times New Roman" w:cs="Times New Roman"/>
                <w:b/>
                <w:bCs/>
                <w:spacing w:val="-3"/>
                <w:sz w:val="24"/>
                <w:szCs w:val="24"/>
              </w:rPr>
              <w:t xml:space="preserve">5.3-2  </w:t>
            </w:r>
            <w:r>
              <w:rPr>
                <w:spacing w:val="-3"/>
                <w:sz w:val="24"/>
                <w:szCs w:val="24"/>
                <w14:textOutline w14:w="4354" w14:cap="flat" w14:cmpd="sng">
                  <w14:solidFill>
                    <w14:srgbClr w14:val="000000"/>
                  </w14:solidFill>
                  <w14:prstDash w14:val="solid"/>
                  <w14:miter w14:val="10"/>
                </w14:textOutline>
              </w:rPr>
              <w:t>废水转运路线图</w:t>
            </w:r>
          </w:p>
        </w:tc>
      </w:tr>
    </w:tbl>
    <w:p>
      <w:pPr>
        <w:pStyle w:val="2"/>
        <w:rPr>
          <w:sz w:val="21"/>
        </w:rPr>
      </w:pPr>
    </w:p>
    <w:p>
      <w:pPr>
        <w:rPr>
          <w:sz w:val="21"/>
          <w:szCs w:val="21"/>
        </w:rPr>
        <w:sectPr>
          <w:footerReference r:id="rId133"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10" w:right="101" w:firstLine="481"/>
              <w:rPr>
                <w:sz w:val="24"/>
                <w:szCs w:val="24"/>
              </w:rPr>
            </w:pPr>
            <w:r>
              <w:rPr>
                <w:spacing w:val="-5"/>
                <w:sz w:val="24"/>
                <w:szCs w:val="24"/>
              </w:rPr>
              <w:t>项目钻井废水完钻预处理后运至四川瑞利生物科技有限公司气田废水处理站， 每辆</w:t>
            </w:r>
            <w:r>
              <w:rPr>
                <w:spacing w:val="1"/>
                <w:sz w:val="24"/>
                <w:szCs w:val="24"/>
              </w:rPr>
              <w:t xml:space="preserve"> </w:t>
            </w:r>
            <w:r>
              <w:rPr>
                <w:spacing w:val="-6"/>
                <w:sz w:val="24"/>
                <w:szCs w:val="24"/>
              </w:rPr>
              <w:t>罐车转运量约为</w:t>
            </w:r>
            <w:r>
              <w:rPr>
                <w:spacing w:val="-21"/>
                <w:sz w:val="24"/>
                <w:szCs w:val="24"/>
              </w:rPr>
              <w:t xml:space="preserve"> </w:t>
            </w:r>
            <w:r>
              <w:rPr>
                <w:rFonts w:ascii="Times New Roman" w:hAnsi="Times New Roman" w:eastAsia="Times New Roman" w:cs="Times New Roman"/>
                <w:spacing w:val="-6"/>
                <w:sz w:val="24"/>
                <w:szCs w:val="24"/>
              </w:rPr>
              <w:t>10m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12"/>
                <w:position w:val="9"/>
                <w:sz w:val="16"/>
                <w:szCs w:val="16"/>
              </w:rPr>
              <w:t xml:space="preserve"> </w:t>
            </w:r>
            <w:r>
              <w:rPr>
                <w:spacing w:val="-6"/>
                <w:sz w:val="24"/>
                <w:szCs w:val="24"/>
              </w:rPr>
              <w:t>，最终外运废水量约</w:t>
            </w:r>
            <w:r>
              <w:rPr>
                <w:spacing w:val="-49"/>
                <w:sz w:val="24"/>
                <w:szCs w:val="24"/>
              </w:rPr>
              <w:t xml:space="preserve"> </w:t>
            </w:r>
            <w:r>
              <w:rPr>
                <w:rFonts w:ascii="Times New Roman" w:hAnsi="Times New Roman" w:eastAsia="Times New Roman" w:cs="Times New Roman"/>
                <w:spacing w:val="-6"/>
                <w:sz w:val="24"/>
                <w:szCs w:val="24"/>
              </w:rPr>
              <w:t>389.35m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10"/>
                <w:position w:val="9"/>
                <w:sz w:val="16"/>
                <w:szCs w:val="16"/>
              </w:rPr>
              <w:t xml:space="preserve"> </w:t>
            </w:r>
            <w:r>
              <w:rPr>
                <w:spacing w:val="-6"/>
                <w:sz w:val="24"/>
                <w:szCs w:val="24"/>
              </w:rPr>
              <w:t>，预计转运车辆次数约为</w:t>
            </w:r>
            <w:r>
              <w:rPr>
                <w:spacing w:val="-50"/>
                <w:sz w:val="24"/>
                <w:szCs w:val="24"/>
              </w:rPr>
              <w:t xml:space="preserve"> </w:t>
            </w:r>
            <w:r>
              <w:rPr>
                <w:rFonts w:ascii="Times New Roman" w:hAnsi="Times New Roman" w:eastAsia="Times New Roman" w:cs="Times New Roman"/>
                <w:spacing w:val="-6"/>
                <w:sz w:val="24"/>
                <w:szCs w:val="24"/>
              </w:rPr>
              <w:t>39</w:t>
            </w:r>
            <w:r>
              <w:rPr>
                <w:rFonts w:ascii="Times New Roman" w:hAnsi="Times New Roman" w:eastAsia="Times New Roman" w:cs="Times New Roman"/>
                <w:spacing w:val="16"/>
                <w:w w:val="101"/>
                <w:sz w:val="24"/>
                <w:szCs w:val="24"/>
              </w:rPr>
              <w:t xml:space="preserve"> </w:t>
            </w:r>
            <w:r>
              <w:rPr>
                <w:spacing w:val="-6"/>
                <w:sz w:val="24"/>
                <w:szCs w:val="24"/>
              </w:rPr>
              <w:t>次，</w:t>
            </w:r>
            <w:r>
              <w:rPr>
                <w:spacing w:val="-46"/>
                <w:sz w:val="24"/>
                <w:szCs w:val="24"/>
              </w:rPr>
              <w:t xml:space="preserve"> </w:t>
            </w:r>
            <w:r>
              <w:rPr>
                <w:spacing w:val="-6"/>
                <w:sz w:val="24"/>
                <w:szCs w:val="24"/>
              </w:rPr>
              <w:t>提</w:t>
            </w:r>
          </w:p>
          <w:p>
            <w:pPr>
              <w:pStyle w:val="6"/>
              <w:spacing w:line="219" w:lineRule="auto"/>
              <w:ind w:left="129"/>
              <w:rPr>
                <w:sz w:val="24"/>
                <w:szCs w:val="24"/>
              </w:rPr>
            </w:pPr>
            <w:r>
              <w:rPr>
                <w:spacing w:val="-7"/>
                <w:sz w:val="24"/>
                <w:szCs w:val="24"/>
              </w:rPr>
              <w:t>出以下废水转运的管理措施：</w:t>
            </w:r>
          </w:p>
          <w:p>
            <w:pPr>
              <w:pStyle w:val="6"/>
              <w:spacing w:before="194" w:line="233" w:lineRule="auto"/>
              <w:ind w:left="587"/>
              <w:rPr>
                <w:sz w:val="24"/>
                <w:szCs w:val="24"/>
              </w:rPr>
            </w:pPr>
            <w:r>
              <w:rPr>
                <w:rFonts w:ascii="Times New Roman" w:hAnsi="Times New Roman" w:eastAsia="Times New Roman" w:cs="Times New Roman"/>
                <w:spacing w:val="-1"/>
                <w:sz w:val="24"/>
                <w:szCs w:val="24"/>
              </w:rPr>
              <w:t xml:space="preserve">a </w:t>
            </w:r>
            <w:r>
              <w:rPr>
                <w:spacing w:val="-1"/>
                <w:sz w:val="24"/>
                <w:szCs w:val="24"/>
              </w:rPr>
              <w:t>制定科学合理的车辆运输，根据管道输送和车</w:t>
            </w:r>
            <w:r>
              <w:rPr>
                <w:spacing w:val="-2"/>
                <w:sz w:val="24"/>
                <w:szCs w:val="24"/>
              </w:rPr>
              <w:t>辆运输实施相应的管理。</w:t>
            </w:r>
          </w:p>
          <w:p>
            <w:pPr>
              <w:pStyle w:val="6"/>
              <w:spacing w:before="178" w:line="233" w:lineRule="auto"/>
              <w:ind w:left="578"/>
              <w:rPr>
                <w:sz w:val="24"/>
                <w:szCs w:val="24"/>
              </w:rPr>
            </w:pPr>
            <w:r>
              <w:rPr>
                <w:rFonts w:ascii="Times New Roman" w:hAnsi="Times New Roman" w:eastAsia="Times New Roman" w:cs="Times New Roman"/>
                <w:sz w:val="24"/>
                <w:szCs w:val="24"/>
              </w:rPr>
              <w:t xml:space="preserve">b </w:t>
            </w:r>
            <w:r>
              <w:rPr>
                <w:sz w:val="24"/>
                <w:szCs w:val="24"/>
              </w:rPr>
              <w:t>废水承运单位为非建设单位所属单位，承运方需具备建设单位准入资格</w:t>
            </w:r>
          </w:p>
          <w:p>
            <w:pPr>
              <w:pStyle w:val="6"/>
              <w:spacing w:before="176" w:line="220" w:lineRule="auto"/>
              <w:ind w:left="589"/>
              <w:rPr>
                <w:sz w:val="24"/>
                <w:szCs w:val="24"/>
              </w:rPr>
            </w:pPr>
            <w:r>
              <w:rPr>
                <w:spacing w:val="-4"/>
                <w:sz w:val="24"/>
                <w:szCs w:val="24"/>
              </w:rPr>
              <w:t>和相应的运输服务准入资格。</w:t>
            </w:r>
          </w:p>
          <w:p>
            <w:pPr>
              <w:pStyle w:val="6"/>
              <w:spacing w:before="195" w:line="369" w:lineRule="auto"/>
              <w:ind w:left="107" w:right="59" w:firstLine="479"/>
              <w:rPr>
                <w:sz w:val="24"/>
                <w:szCs w:val="24"/>
              </w:rPr>
            </w:pPr>
            <w:r>
              <w:rPr>
                <w:rFonts w:ascii="Times New Roman" w:hAnsi="Times New Roman" w:eastAsia="Times New Roman" w:cs="Times New Roman"/>
                <w:spacing w:val="-2"/>
                <w:sz w:val="24"/>
                <w:szCs w:val="24"/>
              </w:rPr>
              <w:t xml:space="preserve">c </w:t>
            </w:r>
            <w:r>
              <w:rPr>
                <w:spacing w:val="-2"/>
                <w:sz w:val="24"/>
                <w:szCs w:val="24"/>
              </w:rPr>
              <w:t>废水承运单位在开展运输工作之前，应对运输人员进行相关安全环保知 识培训，</w:t>
            </w:r>
            <w:r>
              <w:rPr>
                <w:spacing w:val="13"/>
                <w:sz w:val="24"/>
                <w:szCs w:val="24"/>
              </w:rPr>
              <w:t xml:space="preserve"> </w:t>
            </w:r>
            <w:r>
              <w:rPr>
                <w:spacing w:val="2"/>
                <w:sz w:val="24"/>
                <w:szCs w:val="24"/>
              </w:rPr>
              <w:t>废水运输车辆、装卸工具必须符合安全环保要求，装卸和运输</w:t>
            </w:r>
            <w:r>
              <w:rPr>
                <w:spacing w:val="1"/>
                <w:sz w:val="24"/>
                <w:szCs w:val="24"/>
              </w:rPr>
              <w:t>废水过 程中不得溢出和</w:t>
            </w:r>
          </w:p>
          <w:p>
            <w:pPr>
              <w:pStyle w:val="6"/>
              <w:spacing w:line="219" w:lineRule="auto"/>
              <w:ind w:left="109"/>
              <w:rPr>
                <w:sz w:val="24"/>
                <w:szCs w:val="24"/>
              </w:rPr>
            </w:pPr>
            <w:r>
              <w:rPr>
                <w:spacing w:val="-2"/>
                <w:sz w:val="24"/>
                <w:szCs w:val="24"/>
              </w:rPr>
              <w:t>渗漏。严禁任意倾倒、排放或向第三方转移废水。</w:t>
            </w:r>
          </w:p>
          <w:p>
            <w:pPr>
              <w:pStyle w:val="6"/>
              <w:spacing w:before="195" w:line="369" w:lineRule="auto"/>
              <w:ind w:left="109" w:right="96" w:firstLine="477"/>
              <w:rPr>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pacing w:val="17"/>
                <w:w w:val="101"/>
                <w:sz w:val="24"/>
                <w:szCs w:val="24"/>
              </w:rPr>
              <w:t xml:space="preserve"> </w:t>
            </w:r>
            <w:r>
              <w:rPr>
                <w:sz w:val="24"/>
                <w:szCs w:val="24"/>
              </w:rPr>
              <w:t>废水承运人员进入井场装卸废水，必须遵守</w:t>
            </w:r>
            <w:r>
              <w:rPr>
                <w:spacing w:val="-1"/>
                <w:sz w:val="24"/>
                <w:szCs w:val="24"/>
              </w:rPr>
              <w:t>大庆油田有限责任公司的有关安全环</w:t>
            </w:r>
            <w:r>
              <w:rPr>
                <w:sz w:val="24"/>
                <w:szCs w:val="24"/>
              </w:rPr>
              <w:t xml:space="preserve"> </w:t>
            </w:r>
            <w:r>
              <w:rPr>
                <w:spacing w:val="2"/>
                <w:sz w:val="24"/>
                <w:szCs w:val="24"/>
              </w:rPr>
              <w:t>保管理规定，并服从井站值班人员的管理，不得擅自进入生</w:t>
            </w:r>
            <w:r>
              <w:rPr>
                <w:spacing w:val="1"/>
                <w:sz w:val="24"/>
                <w:szCs w:val="24"/>
              </w:rPr>
              <w:t>产 装置区和操作井场设备</w:t>
            </w:r>
          </w:p>
          <w:p>
            <w:pPr>
              <w:pStyle w:val="6"/>
              <w:spacing w:before="1" w:line="220" w:lineRule="auto"/>
              <w:ind w:left="112"/>
              <w:rPr>
                <w:sz w:val="24"/>
                <w:szCs w:val="24"/>
              </w:rPr>
            </w:pPr>
            <w:r>
              <w:rPr>
                <w:spacing w:val="-11"/>
                <w:sz w:val="24"/>
                <w:szCs w:val="24"/>
              </w:rPr>
              <w:t>设施。</w:t>
            </w:r>
          </w:p>
          <w:p>
            <w:pPr>
              <w:pStyle w:val="6"/>
              <w:spacing w:before="193" w:line="480" w:lineRule="exact"/>
              <w:ind w:left="587"/>
              <w:rPr>
                <w:sz w:val="24"/>
                <w:szCs w:val="24"/>
              </w:rPr>
            </w:pPr>
            <w:r>
              <w:rPr>
                <w:rFonts w:ascii="Times New Roman" w:hAnsi="Times New Roman" w:eastAsia="Times New Roman" w:cs="Times New Roman"/>
                <w:spacing w:val="-1"/>
                <w:position w:val="17"/>
                <w:sz w:val="24"/>
                <w:szCs w:val="24"/>
              </w:rPr>
              <w:t>e</w:t>
            </w:r>
            <w:r>
              <w:rPr>
                <w:rFonts w:ascii="Times New Roman" w:hAnsi="Times New Roman" w:eastAsia="Times New Roman" w:cs="Times New Roman"/>
                <w:spacing w:val="49"/>
                <w:position w:val="17"/>
                <w:sz w:val="24"/>
                <w:szCs w:val="24"/>
              </w:rPr>
              <w:t xml:space="preserve"> </w:t>
            </w:r>
            <w:r>
              <w:rPr>
                <w:spacing w:val="-1"/>
                <w:position w:val="17"/>
                <w:sz w:val="24"/>
                <w:szCs w:val="24"/>
              </w:rPr>
              <w:t>废水车辆运输严格执行签认制度。签认单复印件报属地管理单位安全部门和承运</w:t>
            </w:r>
          </w:p>
          <w:p>
            <w:pPr>
              <w:pStyle w:val="6"/>
              <w:spacing w:before="1" w:line="219" w:lineRule="auto"/>
              <w:ind w:left="110"/>
              <w:rPr>
                <w:sz w:val="24"/>
                <w:szCs w:val="24"/>
              </w:rPr>
            </w:pPr>
            <w:r>
              <w:rPr>
                <w:spacing w:val="-3"/>
                <w:sz w:val="24"/>
                <w:szCs w:val="24"/>
              </w:rPr>
              <w:t>单位备查，保存期不得少于二年。</w:t>
            </w:r>
          </w:p>
          <w:p>
            <w:pPr>
              <w:pStyle w:val="6"/>
              <w:spacing w:before="194" w:line="233" w:lineRule="auto"/>
              <w:ind w:left="588"/>
              <w:rPr>
                <w:sz w:val="24"/>
                <w:szCs w:val="24"/>
              </w:rPr>
            </w:pPr>
            <w:r>
              <w:rPr>
                <w:rFonts w:ascii="Times New Roman" w:hAnsi="Times New Roman" w:eastAsia="Times New Roman" w:cs="Times New Roman"/>
                <w:spacing w:val="-1"/>
                <w:sz w:val="24"/>
                <w:szCs w:val="24"/>
              </w:rPr>
              <w:t>f</w:t>
            </w:r>
            <w:r>
              <w:rPr>
                <w:rFonts w:ascii="Times New Roman" w:hAnsi="Times New Roman" w:eastAsia="Times New Roman" w:cs="Times New Roman"/>
                <w:spacing w:val="-12"/>
                <w:sz w:val="24"/>
                <w:szCs w:val="24"/>
              </w:rPr>
              <w:t xml:space="preserve"> </w:t>
            </w:r>
            <w:r>
              <w:rPr>
                <w:spacing w:val="-1"/>
                <w:sz w:val="24"/>
                <w:szCs w:val="24"/>
              </w:rPr>
              <w:t>废水转运时采取罐车密闭输送，尽量绕避饮用水源保护区等环境敏感区。</w:t>
            </w:r>
          </w:p>
          <w:p>
            <w:pPr>
              <w:pStyle w:val="6"/>
              <w:spacing w:before="178" w:line="212" w:lineRule="auto"/>
              <w:ind w:left="586"/>
              <w:rPr>
                <w:sz w:val="24"/>
                <w:szCs w:val="24"/>
              </w:rPr>
            </w:pPr>
            <w:r>
              <w:rPr>
                <w:rFonts w:ascii="Times New Roman" w:hAnsi="Times New Roman" w:eastAsia="Times New Roman" w:cs="Times New Roman"/>
                <w:spacing w:val="-1"/>
                <w:sz w:val="24"/>
                <w:szCs w:val="24"/>
              </w:rPr>
              <w:t xml:space="preserve">g </w:t>
            </w:r>
            <w:r>
              <w:rPr>
                <w:spacing w:val="-1"/>
                <w:sz w:val="24"/>
                <w:szCs w:val="24"/>
              </w:rPr>
              <w:t>尽量避免在雨天和大雾天转运，合理选址运输路线，尽量避</w:t>
            </w:r>
            <w:r>
              <w:rPr>
                <w:spacing w:val="-2"/>
                <w:sz w:val="24"/>
                <w:szCs w:val="24"/>
              </w:rPr>
              <w:t>开水源保护区。</w:t>
            </w:r>
          </w:p>
          <w:p>
            <w:pPr>
              <w:pStyle w:val="6"/>
              <w:spacing w:before="204" w:line="480" w:lineRule="exact"/>
              <w:ind w:right="27"/>
              <w:jc w:val="right"/>
              <w:rPr>
                <w:sz w:val="24"/>
                <w:szCs w:val="24"/>
              </w:rPr>
            </w:pPr>
            <w:r>
              <w:rPr>
                <w:spacing w:val="-12"/>
                <w:position w:val="18"/>
                <w:sz w:val="24"/>
                <w:szCs w:val="24"/>
              </w:rPr>
              <w:t>为确保本工程废水得到妥善处理， 本着切实保护环境的原则， 工程废水转运过程中，</w:t>
            </w:r>
          </w:p>
          <w:p>
            <w:pPr>
              <w:pStyle w:val="6"/>
              <w:spacing w:before="1" w:line="220" w:lineRule="auto"/>
              <w:ind w:left="109"/>
              <w:rPr>
                <w:sz w:val="24"/>
                <w:szCs w:val="24"/>
              </w:rPr>
            </w:pPr>
            <w:r>
              <w:rPr>
                <w:spacing w:val="-9"/>
                <w:sz w:val="24"/>
                <w:szCs w:val="24"/>
              </w:rPr>
              <w:t>增加如下措施：</w:t>
            </w:r>
          </w:p>
          <w:p>
            <w:pPr>
              <w:pStyle w:val="6"/>
              <w:spacing w:before="193" w:line="480" w:lineRule="exact"/>
              <w:ind w:left="587"/>
              <w:rPr>
                <w:sz w:val="24"/>
                <w:szCs w:val="24"/>
              </w:rPr>
            </w:pPr>
            <w:r>
              <w:rPr>
                <w:rFonts w:ascii="Times New Roman" w:hAnsi="Times New Roman" w:eastAsia="Times New Roman" w:cs="Times New Roman"/>
                <w:spacing w:val="2"/>
                <w:position w:val="17"/>
                <w:sz w:val="24"/>
                <w:szCs w:val="24"/>
              </w:rPr>
              <w:t xml:space="preserve">a  </w:t>
            </w:r>
            <w:r>
              <w:rPr>
                <w:spacing w:val="2"/>
                <w:position w:val="17"/>
                <w:sz w:val="24"/>
                <w:szCs w:val="24"/>
              </w:rPr>
              <w:t>建设单位应当加强对废水承运单位的监管和沟通，督促其严格监管废水 转运车</w:t>
            </w:r>
          </w:p>
          <w:p>
            <w:pPr>
              <w:pStyle w:val="6"/>
              <w:spacing w:before="1" w:line="219" w:lineRule="auto"/>
              <w:ind w:left="107"/>
              <w:rPr>
                <w:sz w:val="24"/>
                <w:szCs w:val="24"/>
              </w:rPr>
            </w:pPr>
            <w:r>
              <w:rPr>
                <w:spacing w:val="-2"/>
                <w:sz w:val="24"/>
                <w:szCs w:val="24"/>
              </w:rPr>
              <w:t>辆，以防废水承运人员半途随意倾倒废水造成环境污染。</w:t>
            </w:r>
          </w:p>
          <w:p>
            <w:pPr>
              <w:pStyle w:val="6"/>
              <w:spacing w:before="195" w:line="480" w:lineRule="exact"/>
              <w:ind w:left="578"/>
              <w:rPr>
                <w:sz w:val="24"/>
                <w:szCs w:val="24"/>
              </w:rPr>
            </w:pPr>
            <w:r>
              <w:rPr>
                <w:rFonts w:ascii="Times New Roman" w:hAnsi="Times New Roman" w:eastAsia="Times New Roman" w:cs="Times New Roman"/>
                <w:position w:val="17"/>
                <w:sz w:val="24"/>
                <w:szCs w:val="24"/>
              </w:rPr>
              <w:t xml:space="preserve">b  </w:t>
            </w:r>
            <w:r>
              <w:rPr>
                <w:position w:val="17"/>
                <w:sz w:val="24"/>
                <w:szCs w:val="24"/>
              </w:rPr>
              <w:t xml:space="preserve">对承包废水转运的承包商实施车辆登记制度，为每台车安装 </w:t>
            </w:r>
            <w:r>
              <w:rPr>
                <w:rFonts w:ascii="Times New Roman" w:hAnsi="Times New Roman" w:eastAsia="Times New Roman" w:cs="Times New Roman"/>
                <w:position w:val="17"/>
                <w:sz w:val="24"/>
                <w:szCs w:val="24"/>
              </w:rPr>
              <w:t>GP</w:t>
            </w:r>
            <w:r>
              <w:rPr>
                <w:rFonts w:ascii="Times New Roman" w:hAnsi="Times New Roman" w:eastAsia="Times New Roman" w:cs="Times New Roman"/>
                <w:spacing w:val="-1"/>
                <w:position w:val="17"/>
                <w:sz w:val="24"/>
                <w:szCs w:val="24"/>
              </w:rPr>
              <w:t>S</w:t>
            </w:r>
            <w:r>
              <w:rPr>
                <w:spacing w:val="-1"/>
                <w:position w:val="17"/>
                <w:sz w:val="24"/>
                <w:szCs w:val="24"/>
              </w:rPr>
              <w:t>，并纳 入建设</w:t>
            </w:r>
          </w:p>
          <w:p>
            <w:pPr>
              <w:pStyle w:val="6"/>
              <w:spacing w:line="220" w:lineRule="auto"/>
              <w:ind w:left="109"/>
              <w:rPr>
                <w:sz w:val="24"/>
                <w:szCs w:val="24"/>
              </w:rPr>
            </w:pPr>
            <w:r>
              <w:rPr>
                <w:spacing w:val="-3"/>
                <w:sz w:val="24"/>
                <w:szCs w:val="24"/>
              </w:rPr>
              <w:t xml:space="preserve">方的 </w:t>
            </w:r>
            <w:r>
              <w:rPr>
                <w:rFonts w:ascii="Times New Roman" w:hAnsi="Times New Roman" w:eastAsia="Times New Roman" w:cs="Times New Roman"/>
                <w:spacing w:val="-3"/>
                <w:sz w:val="24"/>
                <w:szCs w:val="24"/>
              </w:rPr>
              <w:t xml:space="preserve">GPS  </w:t>
            </w:r>
            <w:r>
              <w:rPr>
                <w:spacing w:val="-3"/>
                <w:sz w:val="24"/>
                <w:szCs w:val="24"/>
              </w:rPr>
              <w:t>监控系统平台。</w:t>
            </w:r>
          </w:p>
          <w:p>
            <w:pPr>
              <w:pStyle w:val="6"/>
              <w:spacing w:before="194" w:line="233" w:lineRule="auto"/>
              <w:ind w:left="587"/>
              <w:rPr>
                <w:sz w:val="24"/>
                <w:szCs w:val="24"/>
              </w:rPr>
            </w:pPr>
            <w:r>
              <w:rPr>
                <w:rFonts w:ascii="Times New Roman" w:hAnsi="Times New Roman" w:eastAsia="Times New Roman" w:cs="Times New Roman"/>
                <w:spacing w:val="-3"/>
                <w:sz w:val="24"/>
                <w:szCs w:val="24"/>
              </w:rPr>
              <w:t xml:space="preserve">c </w:t>
            </w:r>
            <w:r>
              <w:rPr>
                <w:spacing w:val="-3"/>
                <w:sz w:val="24"/>
                <w:szCs w:val="24"/>
              </w:rPr>
              <w:t>过程做好转运台账，实施转移联单制度。</w:t>
            </w:r>
          </w:p>
          <w:p>
            <w:pPr>
              <w:pStyle w:val="6"/>
              <w:spacing w:before="176" w:line="219" w:lineRule="auto"/>
              <w:ind w:left="617"/>
              <w:rPr>
                <w:sz w:val="24"/>
                <w:szCs w:val="24"/>
              </w:rPr>
            </w:pPr>
            <w:r>
              <w:rPr>
                <w:spacing w:val="-3"/>
                <w:sz w:val="24"/>
                <w:szCs w:val="24"/>
              </w:rPr>
              <w:t>由此可见，拟建项目采取的废水转运措施有效</w:t>
            </w:r>
            <w:r>
              <w:rPr>
                <w:spacing w:val="-4"/>
                <w:sz w:val="24"/>
                <w:szCs w:val="24"/>
              </w:rPr>
              <w:t>可行。</w:t>
            </w:r>
          </w:p>
          <w:p>
            <w:pPr>
              <w:pStyle w:val="6"/>
              <w:spacing w:before="197" w:line="217" w:lineRule="auto"/>
              <w:ind w:left="588"/>
              <w:rPr>
                <w:sz w:val="24"/>
                <w:szCs w:val="24"/>
              </w:rPr>
            </w:pPr>
            <w:r>
              <w:rPr>
                <w:sz w:val="24"/>
                <w:szCs w:val="24"/>
                <w14:textOutline w14:w="4354" w14:cap="flat" w14:cmpd="sng">
                  <w14:solidFill>
                    <w14:srgbClr w14:val="000000"/>
                  </w14:solidFill>
                  <w14:prstDash w14:val="solid"/>
                  <w14:miter w14:val="10"/>
                </w14:textOutline>
              </w:rPr>
              <w:t>⑤应急措施及储存要求</w:t>
            </w:r>
          </w:p>
          <w:p>
            <w:pPr>
              <w:pStyle w:val="6"/>
              <w:spacing w:before="198" w:line="369" w:lineRule="auto"/>
              <w:ind w:left="113" w:right="100" w:firstLine="475"/>
              <w:jc w:val="both"/>
              <w:rPr>
                <w:sz w:val="24"/>
                <w:szCs w:val="24"/>
              </w:rPr>
            </w:pPr>
            <w:r>
              <w:rPr>
                <w:spacing w:val="-5"/>
                <w:sz w:val="24"/>
                <w:szCs w:val="24"/>
              </w:rPr>
              <w:t>根据与建设单位核实， 初步选定四川瑞利生物科技有限公司为本项目钻井作业废水</w:t>
            </w:r>
            <w:r>
              <w:rPr>
                <w:spacing w:val="5"/>
                <w:sz w:val="24"/>
                <w:szCs w:val="24"/>
              </w:rPr>
              <w:t xml:space="preserve"> </w:t>
            </w:r>
            <w:r>
              <w:rPr>
                <w:spacing w:val="-10"/>
                <w:sz w:val="24"/>
                <w:szCs w:val="24"/>
              </w:rPr>
              <w:t>外运处理单位，</w:t>
            </w:r>
            <w:r>
              <w:rPr>
                <w:spacing w:val="40"/>
                <w:sz w:val="24"/>
                <w:szCs w:val="24"/>
              </w:rPr>
              <w:t xml:space="preserve"> </w:t>
            </w:r>
            <w:r>
              <w:rPr>
                <w:spacing w:val="-10"/>
                <w:sz w:val="24"/>
                <w:szCs w:val="24"/>
              </w:rPr>
              <w:t>若该单位出现不可预见因素导致不能接收本项目钻井作业废水</w:t>
            </w:r>
            <w:r>
              <w:rPr>
                <w:spacing w:val="-11"/>
                <w:sz w:val="24"/>
                <w:szCs w:val="24"/>
              </w:rPr>
              <w:t>时，</w:t>
            </w:r>
            <w:r>
              <w:rPr>
                <w:spacing w:val="40"/>
                <w:sz w:val="24"/>
                <w:szCs w:val="24"/>
              </w:rPr>
              <w:t xml:space="preserve"> </w:t>
            </w:r>
            <w:r>
              <w:rPr>
                <w:spacing w:val="-11"/>
                <w:sz w:val="24"/>
                <w:szCs w:val="24"/>
              </w:rPr>
              <w:t>可采</w:t>
            </w:r>
          </w:p>
          <w:p>
            <w:pPr>
              <w:pStyle w:val="6"/>
              <w:spacing w:before="1" w:line="219" w:lineRule="auto"/>
              <w:ind w:left="111"/>
              <w:rPr>
                <w:sz w:val="24"/>
                <w:szCs w:val="24"/>
              </w:rPr>
            </w:pPr>
            <w:r>
              <w:rPr>
                <w:spacing w:val="-4"/>
                <w:sz w:val="24"/>
                <w:szCs w:val="24"/>
              </w:rPr>
              <w:t>取以下应急措施及储存要求。</w:t>
            </w:r>
          </w:p>
          <w:p>
            <w:pPr>
              <w:pStyle w:val="6"/>
              <w:spacing w:before="194" w:line="228" w:lineRule="auto"/>
              <w:ind w:left="587"/>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32"/>
                <w:w w:val="101"/>
                <w:sz w:val="24"/>
                <w:szCs w:val="24"/>
              </w:rPr>
              <w:t xml:space="preserve"> </w:t>
            </w:r>
            <w:r>
              <w:rPr>
                <w:spacing w:val="-1"/>
                <w:sz w:val="24"/>
                <w:szCs w:val="24"/>
              </w:rPr>
              <w:t>钻井废水不能外运时，启用应急池或废水</w:t>
            </w:r>
            <w:r>
              <w:rPr>
                <w:spacing w:val="-2"/>
                <w:sz w:val="24"/>
                <w:szCs w:val="24"/>
              </w:rPr>
              <w:t>罐临时储存钻井废水（含方井雨水）、</w:t>
            </w:r>
          </w:p>
        </w:tc>
      </w:tr>
    </w:tbl>
    <w:p>
      <w:pPr>
        <w:pStyle w:val="2"/>
        <w:rPr>
          <w:sz w:val="21"/>
        </w:rPr>
      </w:pPr>
    </w:p>
    <w:p>
      <w:pPr>
        <w:rPr>
          <w:sz w:val="21"/>
          <w:szCs w:val="21"/>
        </w:rPr>
        <w:sectPr>
          <w:footerReference r:id="rId134"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107"/>
              <w:rPr>
                <w:sz w:val="24"/>
                <w:szCs w:val="24"/>
              </w:rPr>
            </w:pPr>
            <w:r>
              <w:rPr>
                <w:spacing w:val="-4"/>
                <w:position w:val="17"/>
                <w:sz w:val="24"/>
                <w:szCs w:val="24"/>
              </w:rPr>
              <w:t xml:space="preserve">洗井废水、酸化废水等作业废水， </w:t>
            </w:r>
            <w:r>
              <w:rPr>
                <w:rFonts w:ascii="Times New Roman" w:hAnsi="Times New Roman" w:eastAsia="Times New Roman" w:cs="Times New Roman"/>
                <w:spacing w:val="-4"/>
                <w:position w:val="17"/>
                <w:sz w:val="24"/>
                <w:szCs w:val="24"/>
              </w:rPr>
              <w:t>500m</w:t>
            </w:r>
            <w:r>
              <w:rPr>
                <w:rFonts w:ascii="Times New Roman" w:hAnsi="Times New Roman" w:eastAsia="Times New Roman" w:cs="Times New Roman"/>
                <w:spacing w:val="-4"/>
                <w:position w:val="26"/>
                <w:sz w:val="16"/>
                <w:szCs w:val="16"/>
              </w:rPr>
              <w:t>3</w:t>
            </w:r>
            <w:r>
              <w:rPr>
                <w:rFonts w:ascii="Times New Roman" w:hAnsi="Times New Roman" w:eastAsia="Times New Roman" w:cs="Times New Roman"/>
                <w:spacing w:val="-5"/>
                <w:position w:val="26"/>
                <w:sz w:val="16"/>
                <w:szCs w:val="16"/>
              </w:rPr>
              <w:t xml:space="preserve">  </w:t>
            </w:r>
            <w:r>
              <w:rPr>
                <w:spacing w:val="-5"/>
                <w:position w:val="17"/>
                <w:sz w:val="24"/>
                <w:szCs w:val="24"/>
              </w:rPr>
              <w:t>的应急池</w:t>
            </w:r>
            <w:r>
              <w:rPr>
                <w:rFonts w:ascii="Times New Roman" w:hAnsi="Times New Roman" w:eastAsia="Times New Roman" w:cs="Times New Roman"/>
                <w:spacing w:val="-5"/>
                <w:position w:val="17"/>
                <w:sz w:val="24"/>
                <w:szCs w:val="24"/>
              </w:rPr>
              <w:t>+4</w:t>
            </w:r>
            <w:r>
              <w:rPr>
                <w:rFonts w:ascii="Times New Roman" w:hAnsi="Times New Roman" w:eastAsia="Times New Roman" w:cs="Times New Roman"/>
                <w:spacing w:val="31"/>
                <w:w w:val="101"/>
                <w:position w:val="17"/>
                <w:sz w:val="24"/>
                <w:szCs w:val="24"/>
              </w:rPr>
              <w:t xml:space="preserve"> </w:t>
            </w:r>
            <w:r>
              <w:rPr>
                <w:spacing w:val="-5"/>
                <w:position w:val="17"/>
                <w:sz w:val="24"/>
                <w:szCs w:val="24"/>
              </w:rPr>
              <w:t>个废水罐（</w:t>
            </w:r>
            <w:r>
              <w:rPr>
                <w:rFonts w:ascii="Times New Roman" w:hAnsi="Times New Roman" w:eastAsia="Times New Roman" w:cs="Times New Roman"/>
                <w:spacing w:val="-5"/>
                <w:position w:val="17"/>
                <w:sz w:val="24"/>
                <w:szCs w:val="24"/>
              </w:rPr>
              <w:t>160m</w:t>
            </w:r>
            <w:r>
              <w:rPr>
                <w:rFonts w:ascii="Times New Roman" w:hAnsi="Times New Roman" w:eastAsia="Times New Roman" w:cs="Times New Roman"/>
                <w:spacing w:val="-5"/>
                <w:position w:val="26"/>
                <w:sz w:val="16"/>
                <w:szCs w:val="16"/>
              </w:rPr>
              <w:t xml:space="preserve">3 </w:t>
            </w:r>
            <w:r>
              <w:rPr>
                <w:spacing w:val="-5"/>
                <w:position w:val="17"/>
                <w:sz w:val="24"/>
                <w:szCs w:val="24"/>
              </w:rPr>
              <w:t>）能够完全容纳</w:t>
            </w:r>
          </w:p>
          <w:p>
            <w:pPr>
              <w:pStyle w:val="6"/>
              <w:spacing w:line="219" w:lineRule="auto"/>
              <w:ind w:left="112"/>
              <w:rPr>
                <w:sz w:val="24"/>
                <w:szCs w:val="24"/>
              </w:rPr>
            </w:pPr>
            <w:r>
              <w:rPr>
                <w:spacing w:val="-7"/>
                <w:sz w:val="24"/>
                <w:szCs w:val="24"/>
              </w:rPr>
              <w:t>不同阶段的钻井废水；</w:t>
            </w:r>
          </w:p>
          <w:p>
            <w:pPr>
              <w:pStyle w:val="6"/>
              <w:spacing w:before="195" w:line="369" w:lineRule="auto"/>
              <w:ind w:left="110" w:right="100" w:firstLine="468"/>
              <w:jc w:val="both"/>
              <w:rPr>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pacing w:val="19"/>
                <w:w w:val="101"/>
                <w:sz w:val="24"/>
                <w:szCs w:val="24"/>
              </w:rPr>
              <w:t xml:space="preserve"> </w:t>
            </w:r>
            <w:r>
              <w:rPr>
                <w:sz w:val="24"/>
                <w:szCs w:val="24"/>
              </w:rPr>
              <w:t>根据调查，建设单位与多家合规污水处理厂签订有长期</w:t>
            </w:r>
            <w:r>
              <w:rPr>
                <w:spacing w:val="-1"/>
                <w:sz w:val="24"/>
                <w:szCs w:val="24"/>
              </w:rPr>
              <w:t>废水处理协议，可通过协</w:t>
            </w:r>
            <w:r>
              <w:rPr>
                <w:sz w:val="24"/>
                <w:szCs w:val="24"/>
              </w:rPr>
              <w:t xml:space="preserve"> </w:t>
            </w:r>
            <w:r>
              <w:rPr>
                <w:spacing w:val="-10"/>
                <w:sz w:val="24"/>
                <w:szCs w:val="24"/>
              </w:rPr>
              <w:t>调将钻井废水转运至其他签约的污水处理厂处理，</w:t>
            </w:r>
            <w:r>
              <w:rPr>
                <w:spacing w:val="42"/>
                <w:sz w:val="24"/>
                <w:szCs w:val="24"/>
              </w:rPr>
              <w:t xml:space="preserve"> </w:t>
            </w:r>
            <w:r>
              <w:rPr>
                <w:spacing w:val="-10"/>
                <w:sz w:val="24"/>
                <w:szCs w:val="24"/>
              </w:rPr>
              <w:t>尽量缩短应急池暂存时间，</w:t>
            </w:r>
            <w:r>
              <w:rPr>
                <w:spacing w:val="37"/>
                <w:sz w:val="24"/>
                <w:szCs w:val="24"/>
              </w:rPr>
              <w:t xml:space="preserve"> </w:t>
            </w:r>
            <w:r>
              <w:rPr>
                <w:spacing w:val="-10"/>
                <w:sz w:val="24"/>
                <w:szCs w:val="24"/>
              </w:rPr>
              <w:t>将钻井废</w:t>
            </w:r>
          </w:p>
          <w:p>
            <w:pPr>
              <w:pStyle w:val="6"/>
              <w:spacing w:line="219" w:lineRule="auto"/>
              <w:ind w:left="111"/>
              <w:rPr>
                <w:sz w:val="24"/>
                <w:szCs w:val="24"/>
              </w:rPr>
            </w:pPr>
            <w:r>
              <w:rPr>
                <w:spacing w:val="-6"/>
                <w:sz w:val="24"/>
                <w:szCs w:val="24"/>
              </w:rPr>
              <w:t>水及早外运处置。</w:t>
            </w:r>
          </w:p>
          <w:p>
            <w:pPr>
              <w:pStyle w:val="6"/>
              <w:spacing w:before="194" w:line="480" w:lineRule="exact"/>
              <w:ind w:left="587"/>
              <w:rPr>
                <w:sz w:val="24"/>
                <w:szCs w:val="24"/>
              </w:rPr>
            </w:pPr>
            <w:r>
              <w:rPr>
                <w:rFonts w:ascii="Times New Roman" w:hAnsi="Times New Roman" w:eastAsia="Times New Roman" w:cs="Times New Roman"/>
                <w:spacing w:val="-2"/>
                <w:position w:val="17"/>
                <w:sz w:val="24"/>
                <w:szCs w:val="24"/>
              </w:rPr>
              <w:t xml:space="preserve">c </w:t>
            </w:r>
            <w:r>
              <w:rPr>
                <w:spacing w:val="-2"/>
                <w:position w:val="17"/>
                <w:sz w:val="24"/>
                <w:szCs w:val="24"/>
              </w:rPr>
              <w:t>安排专人对应急池水位巡查，确保不得发生废水外溢的环境事故。</w:t>
            </w:r>
          </w:p>
          <w:p>
            <w:pPr>
              <w:pStyle w:val="6"/>
              <w:spacing w:before="1" w:line="218" w:lineRule="auto"/>
              <w:ind w:left="591"/>
              <w:rPr>
                <w:sz w:val="24"/>
                <w:szCs w:val="24"/>
              </w:rPr>
            </w:pPr>
            <w:r>
              <w:rPr>
                <w:spacing w:val="-2"/>
                <w:sz w:val="24"/>
                <w:szCs w:val="24"/>
              </w:rPr>
              <w:t>综上所述，拟建工程钻井工程产生的废水处理措施可行。</w:t>
            </w:r>
          </w:p>
          <w:p>
            <w:pPr>
              <w:pStyle w:val="6"/>
              <w:spacing w:before="195" w:line="220" w:lineRule="auto"/>
              <w:ind w:left="585"/>
              <w:rPr>
                <w:sz w:val="24"/>
                <w:szCs w:val="24"/>
              </w:rPr>
            </w:pPr>
            <w:r>
              <w:rPr>
                <w:rFonts w:ascii="Times New Roman" w:hAnsi="Times New Roman" w:eastAsia="Times New Roman" w:cs="Times New Roman"/>
                <w:b/>
                <w:bCs/>
                <w:spacing w:val="-2"/>
                <w:sz w:val="24"/>
                <w:szCs w:val="24"/>
              </w:rPr>
              <w:t>3</w:t>
            </w:r>
            <w:r>
              <w:rPr>
                <w:spacing w:val="-2"/>
                <w:sz w:val="24"/>
                <w:szCs w:val="24"/>
                <w14:textOutline w14:w="4354" w14:cap="flat" w14:cmpd="sng">
                  <w14:solidFill>
                    <w14:srgbClr w14:val="000000"/>
                  </w14:solidFill>
                  <w14:prstDash w14:val="solid"/>
                  <w14:miter w14:val="10"/>
                </w14:textOutline>
              </w:rPr>
              <w:t>）生活污水</w:t>
            </w:r>
          </w:p>
          <w:p>
            <w:pPr>
              <w:pStyle w:val="6"/>
              <w:spacing w:before="195" w:line="480" w:lineRule="exact"/>
              <w:ind w:left="588"/>
              <w:rPr>
                <w:sz w:val="24"/>
                <w:szCs w:val="24"/>
              </w:rPr>
            </w:pPr>
            <w:r>
              <w:rPr>
                <w:spacing w:val="-6"/>
                <w:position w:val="18"/>
                <w:sz w:val="24"/>
                <w:szCs w:val="24"/>
              </w:rPr>
              <w:t>钻井施工期间，</w:t>
            </w:r>
            <w:r>
              <w:rPr>
                <w:spacing w:val="39"/>
                <w:position w:val="18"/>
                <w:sz w:val="24"/>
                <w:szCs w:val="24"/>
              </w:rPr>
              <w:t xml:space="preserve"> </w:t>
            </w:r>
            <w:r>
              <w:rPr>
                <w:spacing w:val="-6"/>
                <w:position w:val="18"/>
                <w:sz w:val="24"/>
                <w:szCs w:val="24"/>
              </w:rPr>
              <w:t>钻井队生活区每天将有生活污水产生，生活污水经环保厕所收集处</w:t>
            </w:r>
          </w:p>
          <w:p>
            <w:pPr>
              <w:pStyle w:val="6"/>
              <w:spacing w:before="1" w:line="219" w:lineRule="auto"/>
              <w:ind w:left="111"/>
              <w:rPr>
                <w:sz w:val="24"/>
                <w:szCs w:val="24"/>
              </w:rPr>
            </w:pPr>
            <w:r>
              <w:rPr>
                <w:spacing w:val="-2"/>
                <w:sz w:val="24"/>
                <w:szCs w:val="24"/>
              </w:rPr>
              <w:t>理后经罐车拉运至江陵镇污水处理厂处理达标后外排。</w:t>
            </w:r>
          </w:p>
          <w:p>
            <w:pPr>
              <w:pStyle w:val="6"/>
              <w:spacing w:before="196" w:line="369" w:lineRule="auto"/>
              <w:ind w:left="110" w:right="98" w:firstLine="478"/>
              <w:rPr>
                <w:sz w:val="24"/>
                <w:szCs w:val="24"/>
              </w:rPr>
            </w:pPr>
            <w:r>
              <w:rPr>
                <w:spacing w:val="5"/>
                <w:sz w:val="24"/>
                <w:szCs w:val="24"/>
              </w:rPr>
              <w:t>根据《达州市通川生态环境局关于通川区江陵镇污水处理厂入河排污口设置</w:t>
            </w:r>
            <w:r>
              <w:rPr>
                <w:spacing w:val="4"/>
                <w:sz w:val="24"/>
                <w:szCs w:val="24"/>
              </w:rPr>
              <w:t>的批</w:t>
            </w:r>
            <w:r>
              <w:rPr>
                <w:sz w:val="24"/>
                <w:szCs w:val="24"/>
              </w:rPr>
              <w:t xml:space="preserve"> </w:t>
            </w:r>
            <w:r>
              <w:rPr>
                <w:spacing w:val="-13"/>
                <w:sz w:val="24"/>
                <w:szCs w:val="24"/>
              </w:rPr>
              <w:t>复》</w:t>
            </w:r>
            <w:r>
              <w:rPr>
                <w:spacing w:val="43"/>
                <w:sz w:val="24"/>
                <w:szCs w:val="24"/>
              </w:rPr>
              <w:t xml:space="preserve"> </w:t>
            </w:r>
            <w:r>
              <w:rPr>
                <w:spacing w:val="-13"/>
                <w:sz w:val="24"/>
                <w:szCs w:val="24"/>
              </w:rPr>
              <w:t>（通川排口审〔</w:t>
            </w:r>
            <w:r>
              <w:rPr>
                <w:rFonts w:ascii="Times New Roman" w:hAnsi="Times New Roman" w:eastAsia="Times New Roman" w:cs="Times New Roman"/>
                <w:spacing w:val="-13"/>
                <w:sz w:val="24"/>
                <w:szCs w:val="24"/>
              </w:rPr>
              <w:t>2022</w:t>
            </w:r>
            <w:r>
              <w:rPr>
                <w:spacing w:val="-13"/>
                <w:sz w:val="24"/>
                <w:szCs w:val="24"/>
              </w:rPr>
              <w:t>〕</w:t>
            </w:r>
            <w:r>
              <w:rPr>
                <w:rFonts w:ascii="Times New Roman" w:hAnsi="Times New Roman" w:eastAsia="Times New Roman" w:cs="Times New Roman"/>
                <w:spacing w:val="-13"/>
                <w:sz w:val="24"/>
                <w:szCs w:val="24"/>
              </w:rPr>
              <w:t>16</w:t>
            </w:r>
            <w:r>
              <w:rPr>
                <w:rFonts w:ascii="Times New Roman" w:hAnsi="Times New Roman" w:eastAsia="Times New Roman" w:cs="Times New Roman"/>
                <w:spacing w:val="15"/>
                <w:sz w:val="24"/>
                <w:szCs w:val="24"/>
              </w:rPr>
              <w:t xml:space="preserve"> </w:t>
            </w:r>
            <w:r>
              <w:rPr>
                <w:spacing w:val="-13"/>
                <w:sz w:val="24"/>
                <w:szCs w:val="24"/>
              </w:rPr>
              <w:t>号</w:t>
            </w:r>
            <w:r>
              <w:rPr>
                <w:spacing w:val="-17"/>
                <w:sz w:val="24"/>
                <w:szCs w:val="24"/>
              </w:rPr>
              <w:t>）</w:t>
            </w:r>
            <w:r>
              <w:rPr>
                <w:spacing w:val="-48"/>
                <w:sz w:val="24"/>
                <w:szCs w:val="24"/>
              </w:rPr>
              <w:t xml:space="preserve"> </w:t>
            </w:r>
            <w:r>
              <w:rPr>
                <w:spacing w:val="-17"/>
                <w:sz w:val="24"/>
                <w:szCs w:val="24"/>
              </w:rPr>
              <w:t>，</w:t>
            </w:r>
            <w:r>
              <w:rPr>
                <w:spacing w:val="-13"/>
                <w:sz w:val="24"/>
                <w:szCs w:val="24"/>
              </w:rPr>
              <w:t>江陵镇污水处理厂为乡镇生活污水处理站，</w:t>
            </w:r>
            <w:r>
              <w:rPr>
                <w:spacing w:val="46"/>
                <w:sz w:val="24"/>
                <w:szCs w:val="24"/>
              </w:rPr>
              <w:t xml:space="preserve"> </w:t>
            </w:r>
            <w:r>
              <w:rPr>
                <w:spacing w:val="-13"/>
                <w:sz w:val="24"/>
                <w:szCs w:val="24"/>
              </w:rPr>
              <w:t>位于通</w:t>
            </w:r>
            <w:r>
              <w:rPr>
                <w:sz w:val="24"/>
                <w:szCs w:val="24"/>
              </w:rPr>
              <w:t xml:space="preserve"> </w:t>
            </w:r>
            <w:r>
              <w:rPr>
                <w:spacing w:val="-5"/>
                <w:sz w:val="24"/>
                <w:szCs w:val="24"/>
              </w:rPr>
              <w:t>川区江陵镇黄澄村</w:t>
            </w:r>
            <w:r>
              <w:rPr>
                <w:spacing w:val="-32"/>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组，</w:t>
            </w:r>
            <w:r>
              <w:rPr>
                <w:spacing w:val="-49"/>
                <w:sz w:val="24"/>
                <w:szCs w:val="24"/>
              </w:rPr>
              <w:t xml:space="preserve"> </w:t>
            </w:r>
            <w:r>
              <w:rPr>
                <w:spacing w:val="-5"/>
                <w:sz w:val="24"/>
                <w:szCs w:val="24"/>
              </w:rPr>
              <w:t>处理规模为</w:t>
            </w:r>
            <w:r>
              <w:rPr>
                <w:spacing w:val="-48"/>
                <w:sz w:val="24"/>
                <w:szCs w:val="24"/>
              </w:rPr>
              <w:t xml:space="preserve"> </w:t>
            </w:r>
            <w:r>
              <w:rPr>
                <w:rFonts w:ascii="Times New Roman" w:hAnsi="Times New Roman" w:eastAsia="Times New Roman" w:cs="Times New Roman"/>
                <w:spacing w:val="-5"/>
                <w:sz w:val="24"/>
                <w:szCs w:val="24"/>
              </w:rPr>
              <w:t>500m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5"/>
                <w:sz w:val="24"/>
                <w:szCs w:val="24"/>
              </w:rPr>
              <w:t>/d</w:t>
            </w:r>
            <w:r>
              <w:rPr>
                <w:spacing w:val="-5"/>
                <w:sz w:val="24"/>
                <w:szCs w:val="24"/>
              </w:rPr>
              <w:t>，主要收集江陵镇生活污水。采用“</w:t>
            </w:r>
            <w:r>
              <w:rPr>
                <w:spacing w:val="-6"/>
                <w:sz w:val="24"/>
                <w:szCs w:val="24"/>
              </w:rPr>
              <w:t>格栅</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 xml:space="preserve"> </w:t>
            </w:r>
            <w:r>
              <w:rPr>
                <w:sz w:val="24"/>
                <w:szCs w:val="24"/>
              </w:rPr>
              <w:t>调节池</w:t>
            </w:r>
            <w:r>
              <w:rPr>
                <w:rFonts w:ascii="Times New Roman" w:hAnsi="Times New Roman" w:eastAsia="Times New Roman" w:cs="Times New Roman"/>
                <w:sz w:val="24"/>
                <w:szCs w:val="24"/>
              </w:rPr>
              <w:t xml:space="preserve">+AAO+MBBR  </w:t>
            </w:r>
            <w:r>
              <w:rPr>
                <w:sz w:val="24"/>
                <w:szCs w:val="24"/>
              </w:rPr>
              <w:t>工艺”为主的污水处理工艺，经过处理后出水执行《城镇污水处</w:t>
            </w:r>
          </w:p>
          <w:p>
            <w:pPr>
              <w:pStyle w:val="6"/>
              <w:spacing w:line="220" w:lineRule="auto"/>
              <w:ind w:left="111"/>
              <w:rPr>
                <w:sz w:val="24"/>
                <w:szCs w:val="24"/>
              </w:rPr>
            </w:pPr>
            <w:r>
              <w:rPr>
                <w:spacing w:val="-1"/>
                <w:sz w:val="24"/>
                <w:szCs w:val="24"/>
              </w:rPr>
              <w:t>理厂污染物排放标准》（</w:t>
            </w:r>
            <w:r>
              <w:rPr>
                <w:rFonts w:ascii="Times New Roman" w:hAnsi="Times New Roman" w:eastAsia="Times New Roman" w:cs="Times New Roman"/>
                <w:spacing w:val="-1"/>
                <w:sz w:val="24"/>
                <w:szCs w:val="24"/>
              </w:rPr>
              <w:t>GB18918-2002</w:t>
            </w:r>
            <w:r>
              <w:rPr>
                <w:spacing w:val="-1"/>
                <w:sz w:val="24"/>
                <w:szCs w:val="24"/>
              </w:rPr>
              <w:t>）中的一级</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标</w:t>
            </w:r>
            <w:r>
              <w:rPr>
                <w:spacing w:val="-2"/>
                <w:sz w:val="24"/>
                <w:szCs w:val="24"/>
              </w:rPr>
              <w:t>准排放入巴河。</w:t>
            </w:r>
          </w:p>
          <w:p>
            <w:pPr>
              <w:pStyle w:val="6"/>
              <w:spacing w:before="195" w:line="369" w:lineRule="auto"/>
              <w:ind w:left="109" w:right="100" w:firstLine="478"/>
              <w:rPr>
                <w:sz w:val="24"/>
                <w:szCs w:val="24"/>
              </w:rPr>
            </w:pPr>
            <w:r>
              <w:rPr>
                <w:spacing w:val="-1"/>
                <w:sz w:val="24"/>
                <w:szCs w:val="24"/>
              </w:rPr>
              <w:t>拟建项目钻井期生活污水产生量为</w:t>
            </w:r>
            <w:r>
              <w:rPr>
                <w:spacing w:val="-54"/>
                <w:sz w:val="24"/>
                <w:szCs w:val="24"/>
              </w:rPr>
              <w:t xml:space="preserve"> </w:t>
            </w:r>
            <w:r>
              <w:rPr>
                <w:rFonts w:ascii="Times New Roman" w:hAnsi="Times New Roman" w:eastAsia="Times New Roman" w:cs="Times New Roman"/>
                <w:spacing w:val="-1"/>
                <w:sz w:val="24"/>
                <w:szCs w:val="24"/>
              </w:rPr>
              <w:t>2.88m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spacing w:val="-1"/>
                <w:sz w:val="24"/>
                <w:szCs w:val="24"/>
              </w:rPr>
              <w:t>，仅将生活污水拉运至江陵镇污水处理</w:t>
            </w:r>
            <w:r>
              <w:rPr>
                <w:sz w:val="24"/>
                <w:szCs w:val="24"/>
              </w:rPr>
              <w:t xml:space="preserve"> </w:t>
            </w:r>
            <w:r>
              <w:rPr>
                <w:spacing w:val="-12"/>
                <w:sz w:val="24"/>
                <w:szCs w:val="24"/>
              </w:rPr>
              <w:t>厂，</w:t>
            </w:r>
            <w:r>
              <w:rPr>
                <w:spacing w:val="-46"/>
                <w:sz w:val="24"/>
                <w:szCs w:val="24"/>
              </w:rPr>
              <w:t xml:space="preserve"> </w:t>
            </w:r>
            <w:r>
              <w:rPr>
                <w:spacing w:val="-12"/>
                <w:sz w:val="24"/>
                <w:szCs w:val="24"/>
              </w:rPr>
              <w:t>满足江陵镇污水处理厂进水水质要求，</w:t>
            </w:r>
            <w:r>
              <w:rPr>
                <w:spacing w:val="50"/>
                <w:sz w:val="24"/>
                <w:szCs w:val="24"/>
              </w:rPr>
              <w:t xml:space="preserve"> </w:t>
            </w:r>
            <w:r>
              <w:rPr>
                <w:spacing w:val="-13"/>
                <w:sz w:val="24"/>
                <w:szCs w:val="24"/>
              </w:rPr>
              <w:t>不会对该污水处理厂处理工艺产生冲击；</w:t>
            </w:r>
            <w:r>
              <w:rPr>
                <w:spacing w:val="50"/>
                <w:sz w:val="24"/>
                <w:szCs w:val="24"/>
              </w:rPr>
              <w:t xml:space="preserve"> </w:t>
            </w:r>
            <w:r>
              <w:rPr>
                <w:spacing w:val="-13"/>
                <w:sz w:val="24"/>
                <w:szCs w:val="24"/>
              </w:rPr>
              <w:t>此</w:t>
            </w:r>
            <w:r>
              <w:rPr>
                <w:sz w:val="24"/>
                <w:szCs w:val="24"/>
              </w:rPr>
              <w:t xml:space="preserve"> </w:t>
            </w:r>
            <w:r>
              <w:rPr>
                <w:spacing w:val="-10"/>
                <w:sz w:val="24"/>
                <w:szCs w:val="24"/>
              </w:rPr>
              <w:t>外项目生活污水产生量小，</w:t>
            </w:r>
            <w:r>
              <w:rPr>
                <w:spacing w:val="39"/>
                <w:sz w:val="24"/>
                <w:szCs w:val="24"/>
              </w:rPr>
              <w:t xml:space="preserve"> </w:t>
            </w:r>
            <w:r>
              <w:rPr>
                <w:spacing w:val="-10"/>
                <w:sz w:val="24"/>
                <w:szCs w:val="24"/>
              </w:rPr>
              <w:t>且项目可根据环保厕所废水收集量调节罐车拉运量，</w:t>
            </w:r>
            <w:r>
              <w:rPr>
                <w:spacing w:val="41"/>
                <w:sz w:val="24"/>
                <w:szCs w:val="24"/>
              </w:rPr>
              <w:t xml:space="preserve"> </w:t>
            </w:r>
            <w:r>
              <w:rPr>
                <w:spacing w:val="-10"/>
                <w:sz w:val="24"/>
                <w:szCs w:val="24"/>
              </w:rPr>
              <w:t>可有效</w:t>
            </w:r>
            <w:r>
              <w:rPr>
                <w:sz w:val="24"/>
                <w:szCs w:val="24"/>
              </w:rPr>
              <w:t xml:space="preserve"> </w:t>
            </w:r>
            <w:r>
              <w:rPr>
                <w:spacing w:val="-6"/>
                <w:sz w:val="24"/>
                <w:szCs w:val="24"/>
              </w:rPr>
              <w:t>保证污水处理厂富余处理能力满足项目依托需求。综上，</w:t>
            </w:r>
            <w:r>
              <w:rPr>
                <w:spacing w:val="46"/>
                <w:sz w:val="24"/>
                <w:szCs w:val="24"/>
              </w:rPr>
              <w:t xml:space="preserve"> </w:t>
            </w:r>
            <w:r>
              <w:rPr>
                <w:spacing w:val="-6"/>
                <w:sz w:val="24"/>
                <w:szCs w:val="24"/>
              </w:rPr>
              <w:t>拟建项目生活污水依托江陵镇</w:t>
            </w:r>
          </w:p>
          <w:p>
            <w:pPr>
              <w:pStyle w:val="6"/>
              <w:spacing w:before="1" w:line="219" w:lineRule="auto"/>
              <w:ind w:left="110"/>
              <w:rPr>
                <w:sz w:val="24"/>
                <w:szCs w:val="24"/>
              </w:rPr>
            </w:pPr>
            <w:r>
              <w:rPr>
                <w:spacing w:val="-1"/>
                <w:sz w:val="24"/>
                <w:szCs w:val="24"/>
              </w:rPr>
              <w:t>污水处理厂处置是可行的。</w:t>
            </w:r>
          </w:p>
          <w:p>
            <w:pPr>
              <w:pStyle w:val="6"/>
              <w:spacing w:before="242" w:line="220" w:lineRule="auto"/>
              <w:ind w:left="107"/>
              <w:rPr>
                <w:sz w:val="24"/>
                <w:szCs w:val="24"/>
              </w:rPr>
            </w:pPr>
            <w:r>
              <w:rPr>
                <w:rFonts w:ascii="Times New Roman" w:hAnsi="Times New Roman" w:eastAsia="Times New Roman" w:cs="Times New Roman"/>
                <w:b/>
                <w:bCs/>
                <w:spacing w:val="-1"/>
                <w:sz w:val="24"/>
                <w:szCs w:val="24"/>
              </w:rPr>
              <w:t xml:space="preserve">5.4 </w:t>
            </w:r>
            <w:r>
              <w:rPr>
                <w:spacing w:val="-1"/>
                <w:sz w:val="24"/>
                <w:szCs w:val="24"/>
                <w14:textOutline w14:w="4354" w14:cap="flat" w14:cmpd="sng">
                  <w14:solidFill>
                    <w14:srgbClr w14:val="000000"/>
                  </w14:solidFill>
                  <w14:prstDash w14:val="solid"/>
                  <w14:miter w14:val="10"/>
                </w14:textOutline>
              </w:rPr>
              <w:t>地下水污染防治措施</w:t>
            </w:r>
          </w:p>
          <w:p>
            <w:pPr>
              <w:pStyle w:val="6"/>
              <w:spacing w:before="195" w:line="480" w:lineRule="exact"/>
              <w:ind w:left="588"/>
              <w:rPr>
                <w:sz w:val="24"/>
                <w:szCs w:val="24"/>
              </w:rPr>
            </w:pPr>
            <w:r>
              <w:rPr>
                <w:spacing w:val="-1"/>
                <w:position w:val="18"/>
                <w:sz w:val="24"/>
                <w:szCs w:val="24"/>
              </w:rPr>
              <w:t>根据本项目对地下水环境影响的特点，地下水环境</w:t>
            </w:r>
            <w:r>
              <w:rPr>
                <w:rFonts w:hint="eastAsia" w:ascii="宋体" w:hAnsi="宋体" w:eastAsia="宋体" w:cs="宋体"/>
                <w:spacing w:val="-3"/>
                <w:position w:val="17"/>
                <w:sz w:val="24"/>
                <w:szCs w:val="24"/>
              </w:rPr>
              <w:t>污染防治</w:t>
            </w:r>
            <w:r>
              <w:rPr>
                <w:spacing w:val="-1"/>
                <w:position w:val="18"/>
                <w:sz w:val="24"/>
                <w:szCs w:val="24"/>
              </w:rPr>
              <w:t>措施</w:t>
            </w:r>
            <w:r>
              <w:rPr>
                <w:spacing w:val="-2"/>
                <w:position w:val="18"/>
                <w:sz w:val="24"/>
                <w:szCs w:val="24"/>
              </w:rPr>
              <w:t>按照“源头控制、</w:t>
            </w:r>
          </w:p>
          <w:p>
            <w:pPr>
              <w:pStyle w:val="6"/>
              <w:spacing w:line="220" w:lineRule="auto"/>
              <w:ind w:left="111"/>
              <w:rPr>
                <w:sz w:val="24"/>
                <w:szCs w:val="24"/>
              </w:rPr>
            </w:pPr>
            <w:r>
              <w:rPr>
                <w:spacing w:val="-3"/>
                <w:sz w:val="24"/>
                <w:szCs w:val="24"/>
              </w:rPr>
              <w:t>分区防控、污染监控、应急响应”的原则进行。</w:t>
            </w:r>
          </w:p>
          <w:p>
            <w:pPr>
              <w:pStyle w:val="6"/>
              <w:spacing w:before="193" w:line="220" w:lineRule="auto"/>
              <w:ind w:left="597"/>
              <w:rPr>
                <w:sz w:val="24"/>
                <w:szCs w:val="24"/>
              </w:rPr>
            </w:pPr>
            <w:r>
              <w:rPr>
                <w:spacing w:val="-5"/>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5"/>
                <w:sz w:val="24"/>
                <w:szCs w:val="24"/>
              </w:rPr>
              <w:t>1</w:t>
            </w:r>
            <w:r>
              <w:rPr>
                <w:spacing w:val="-5"/>
                <w:sz w:val="24"/>
                <w:szCs w:val="24"/>
                <w14:textOutline w14:w="4354" w14:cap="flat" w14:cmpd="sng">
                  <w14:solidFill>
                    <w14:srgbClr w14:val="000000"/>
                  </w14:solidFill>
                  <w14:prstDash w14:val="solid"/>
                  <w14:miter w14:val="10"/>
                </w14:textOutline>
              </w:rPr>
              <w:t>）源头控制</w:t>
            </w:r>
          </w:p>
          <w:p>
            <w:pPr>
              <w:pStyle w:val="6"/>
              <w:spacing w:before="196" w:line="369" w:lineRule="auto"/>
              <w:ind w:left="114" w:right="18" w:firstLine="473"/>
              <w:jc w:val="both"/>
              <w:rPr>
                <w:sz w:val="24"/>
                <w:szCs w:val="24"/>
              </w:rPr>
            </w:pPr>
            <w:r>
              <w:rPr>
                <w:spacing w:val="-11"/>
                <w:sz w:val="24"/>
                <w:szCs w:val="24"/>
              </w:rPr>
              <w:t>源头控制主要包括实施清洁生产及各类废物循环利用，</w:t>
            </w:r>
            <w:r>
              <w:rPr>
                <w:spacing w:val="51"/>
                <w:sz w:val="24"/>
                <w:szCs w:val="24"/>
              </w:rPr>
              <w:t xml:space="preserve"> </w:t>
            </w:r>
            <w:r>
              <w:rPr>
                <w:spacing w:val="-11"/>
                <w:sz w:val="24"/>
                <w:szCs w:val="24"/>
              </w:rPr>
              <w:t>减少污染物的排放量；</w:t>
            </w:r>
            <w:r>
              <w:rPr>
                <w:spacing w:val="41"/>
                <w:sz w:val="24"/>
                <w:szCs w:val="24"/>
              </w:rPr>
              <w:t xml:space="preserve"> </w:t>
            </w:r>
            <w:r>
              <w:rPr>
                <w:spacing w:val="-11"/>
                <w:sz w:val="24"/>
                <w:szCs w:val="24"/>
              </w:rPr>
              <w:t xml:space="preserve">在工 </w:t>
            </w:r>
            <w:r>
              <w:rPr>
                <w:spacing w:val="-10"/>
                <w:sz w:val="24"/>
                <w:szCs w:val="24"/>
              </w:rPr>
              <w:t>艺、管道、设备、污水储存及处理构筑物采取相应措施，</w:t>
            </w:r>
            <w:r>
              <w:rPr>
                <w:spacing w:val="49"/>
                <w:sz w:val="24"/>
                <w:szCs w:val="24"/>
              </w:rPr>
              <w:t xml:space="preserve"> </w:t>
            </w:r>
            <w:r>
              <w:rPr>
                <w:spacing w:val="-10"/>
                <w:sz w:val="24"/>
                <w:szCs w:val="24"/>
              </w:rPr>
              <w:t>防止和降低污染物跑、冒、滴、</w:t>
            </w:r>
          </w:p>
          <w:p>
            <w:pPr>
              <w:pStyle w:val="6"/>
              <w:spacing w:before="1" w:line="219" w:lineRule="auto"/>
              <w:ind w:left="108"/>
              <w:rPr>
                <w:sz w:val="24"/>
                <w:szCs w:val="24"/>
              </w:rPr>
            </w:pPr>
            <w:r>
              <w:rPr>
                <w:spacing w:val="-2"/>
                <w:sz w:val="24"/>
                <w:szCs w:val="24"/>
              </w:rPr>
              <w:t>漏，将污染物泄漏的环境风险事故降到最低限度。</w:t>
            </w:r>
          </w:p>
          <w:p>
            <w:pPr>
              <w:pStyle w:val="6"/>
              <w:spacing w:before="194" w:line="219" w:lineRule="auto"/>
              <w:ind w:left="59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）采取先进的钻井方案和钻井液体系，对钻井过程中可能发生的泥浆漏失的情</w:t>
            </w:r>
          </w:p>
        </w:tc>
      </w:tr>
    </w:tbl>
    <w:p>
      <w:pPr>
        <w:pStyle w:val="2"/>
        <w:rPr>
          <w:sz w:val="21"/>
        </w:rPr>
      </w:pPr>
    </w:p>
    <w:p>
      <w:pPr>
        <w:rPr>
          <w:sz w:val="21"/>
          <w:szCs w:val="21"/>
        </w:rPr>
        <w:sectPr>
          <w:footerReference r:id="rId135"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08" w:right="100" w:firstLine="1"/>
              <w:jc w:val="both"/>
              <w:rPr>
                <w:sz w:val="24"/>
                <w:szCs w:val="24"/>
              </w:rPr>
            </w:pPr>
            <w:r>
              <w:rPr>
                <w:spacing w:val="-8"/>
                <w:sz w:val="24"/>
                <w:szCs w:val="24"/>
              </w:rPr>
              <w:t>况，</w:t>
            </w:r>
            <w:r>
              <w:rPr>
                <w:spacing w:val="-47"/>
                <w:sz w:val="24"/>
                <w:szCs w:val="24"/>
              </w:rPr>
              <w:t xml:space="preserve"> </w:t>
            </w:r>
            <w:r>
              <w:rPr>
                <w:spacing w:val="-8"/>
                <w:sz w:val="24"/>
                <w:szCs w:val="24"/>
              </w:rPr>
              <w:t>采用强钻方式快速钻穿漏失层达到固井层位。选用合理泥浆密度，</w:t>
            </w:r>
            <w:r>
              <w:rPr>
                <w:spacing w:val="52"/>
                <w:sz w:val="24"/>
                <w:szCs w:val="24"/>
              </w:rPr>
              <w:t xml:space="preserve"> </w:t>
            </w:r>
            <w:r>
              <w:rPr>
                <w:spacing w:val="-8"/>
                <w:sz w:val="24"/>
                <w:szCs w:val="24"/>
              </w:rPr>
              <w:t>实现</w:t>
            </w:r>
            <w:r>
              <w:rPr>
                <w:spacing w:val="-9"/>
                <w:sz w:val="24"/>
                <w:szCs w:val="24"/>
              </w:rPr>
              <w:t>平衡压力</w:t>
            </w:r>
            <w:r>
              <w:rPr>
                <w:sz w:val="24"/>
                <w:szCs w:val="24"/>
              </w:rPr>
              <w:t xml:space="preserve"> </w:t>
            </w:r>
            <w:r>
              <w:rPr>
                <w:spacing w:val="-18"/>
                <w:sz w:val="24"/>
                <w:szCs w:val="24"/>
              </w:rPr>
              <w:t>钻井， 降低泥浆环空压耗，</w:t>
            </w:r>
            <w:r>
              <w:rPr>
                <w:spacing w:val="70"/>
                <w:sz w:val="24"/>
                <w:szCs w:val="24"/>
              </w:rPr>
              <w:t xml:space="preserve"> </w:t>
            </w:r>
            <w:r>
              <w:rPr>
                <w:spacing w:val="-18"/>
                <w:sz w:val="24"/>
                <w:szCs w:val="24"/>
              </w:rPr>
              <w:t>降低泥浆激动压力，</w:t>
            </w:r>
            <w:r>
              <w:rPr>
                <w:spacing w:val="53"/>
                <w:sz w:val="24"/>
                <w:szCs w:val="24"/>
              </w:rPr>
              <w:t xml:space="preserve"> </w:t>
            </w:r>
            <w:r>
              <w:rPr>
                <w:spacing w:val="-18"/>
                <w:sz w:val="24"/>
                <w:szCs w:val="24"/>
              </w:rPr>
              <w:t>从而降低井筒</w:t>
            </w:r>
            <w:r>
              <w:rPr>
                <w:spacing w:val="-19"/>
                <w:sz w:val="24"/>
                <w:szCs w:val="24"/>
              </w:rPr>
              <w:t>中泥浆动压力，</w:t>
            </w:r>
            <w:r>
              <w:rPr>
                <w:spacing w:val="51"/>
                <w:sz w:val="24"/>
                <w:szCs w:val="24"/>
              </w:rPr>
              <w:t xml:space="preserve"> </w:t>
            </w:r>
            <w:r>
              <w:rPr>
                <w:spacing w:val="-19"/>
                <w:sz w:val="24"/>
                <w:szCs w:val="24"/>
              </w:rPr>
              <w:t>减小泥浆</w:t>
            </w:r>
            <w:r>
              <w:rPr>
                <w:sz w:val="24"/>
                <w:szCs w:val="24"/>
              </w:rPr>
              <w:t xml:space="preserve"> </w:t>
            </w:r>
            <w:r>
              <w:rPr>
                <w:spacing w:val="-6"/>
                <w:sz w:val="24"/>
                <w:szCs w:val="24"/>
              </w:rPr>
              <w:t>漏失量。工程导管段利用清水钻井液迅速钻进，</w:t>
            </w:r>
            <w:r>
              <w:rPr>
                <w:spacing w:val="49"/>
                <w:sz w:val="24"/>
                <w:szCs w:val="24"/>
              </w:rPr>
              <w:t xml:space="preserve"> </w:t>
            </w:r>
            <w:r>
              <w:rPr>
                <w:spacing w:val="-6"/>
                <w:sz w:val="24"/>
                <w:szCs w:val="24"/>
              </w:rPr>
              <w:t>在套管的保护下能有效地保护浅层地下</w:t>
            </w:r>
            <w:r>
              <w:rPr>
                <w:sz w:val="24"/>
                <w:szCs w:val="24"/>
              </w:rPr>
              <w:t xml:space="preserve"> </w:t>
            </w:r>
            <w:r>
              <w:rPr>
                <w:spacing w:val="-10"/>
                <w:sz w:val="24"/>
                <w:szCs w:val="24"/>
              </w:rPr>
              <w:t>水。选用清洁泥浆体系进行钻探，</w:t>
            </w:r>
            <w:r>
              <w:rPr>
                <w:spacing w:val="45"/>
                <w:sz w:val="24"/>
                <w:szCs w:val="24"/>
              </w:rPr>
              <w:t xml:space="preserve"> </w:t>
            </w:r>
            <w:r>
              <w:rPr>
                <w:spacing w:val="-10"/>
                <w:sz w:val="24"/>
                <w:szCs w:val="24"/>
              </w:rPr>
              <w:t>在钻遇含水层时采取边打边下套</w:t>
            </w:r>
            <w:r>
              <w:rPr>
                <w:spacing w:val="-11"/>
                <w:sz w:val="24"/>
                <w:szCs w:val="24"/>
              </w:rPr>
              <w:t>管的方式，</w:t>
            </w:r>
            <w:r>
              <w:rPr>
                <w:spacing w:val="45"/>
                <w:sz w:val="24"/>
                <w:szCs w:val="24"/>
              </w:rPr>
              <w:t xml:space="preserve"> </w:t>
            </w:r>
            <w:r>
              <w:rPr>
                <w:spacing w:val="-11"/>
                <w:sz w:val="24"/>
                <w:szCs w:val="24"/>
              </w:rPr>
              <w:t>避免穿透</w:t>
            </w:r>
          </w:p>
          <w:p>
            <w:pPr>
              <w:pStyle w:val="6"/>
              <w:spacing w:line="219" w:lineRule="auto"/>
              <w:ind w:left="108"/>
              <w:rPr>
                <w:sz w:val="24"/>
                <w:szCs w:val="24"/>
              </w:rPr>
            </w:pPr>
            <w:r>
              <w:rPr>
                <w:spacing w:val="-2"/>
                <w:sz w:val="24"/>
                <w:szCs w:val="24"/>
              </w:rPr>
              <w:t>含水层。此外，在钻井过程中应加强监控，防止泥浆的扩散污染等。</w:t>
            </w:r>
          </w:p>
          <w:p>
            <w:pPr>
              <w:pStyle w:val="6"/>
              <w:spacing w:before="195" w:line="369" w:lineRule="auto"/>
              <w:ind w:left="112" w:right="100" w:firstLine="482"/>
              <w:rPr>
                <w:sz w:val="24"/>
                <w:szCs w:val="24"/>
              </w:rPr>
            </w:pPr>
            <w:r>
              <w:rPr>
                <w:sz w:val="24"/>
                <w:szCs w:val="24"/>
              </w:rPr>
              <w:t>（</w:t>
            </w:r>
            <w:r>
              <w:rPr>
                <w:rFonts w:ascii="Times New Roman" w:hAnsi="Times New Roman" w:eastAsia="Times New Roman" w:cs="Times New Roman"/>
                <w:sz w:val="24"/>
                <w:szCs w:val="24"/>
              </w:rPr>
              <w:t>2</w:t>
            </w:r>
            <w:r>
              <w:rPr>
                <w:sz w:val="24"/>
                <w:szCs w:val="24"/>
              </w:rPr>
              <w:t>）钻进过程中保持平衡操作，同时对钻进过程中的钻井液漏失进行实时监控。</w:t>
            </w:r>
            <w:r>
              <w:rPr>
                <w:spacing w:val="11"/>
                <w:sz w:val="24"/>
                <w:szCs w:val="24"/>
              </w:rPr>
              <w:t xml:space="preserve"> </w:t>
            </w:r>
            <w:r>
              <w:rPr>
                <w:spacing w:val="-15"/>
                <w:sz w:val="24"/>
                <w:szCs w:val="24"/>
              </w:rPr>
              <w:t>一旦发现漏失，</w:t>
            </w:r>
            <w:r>
              <w:rPr>
                <w:spacing w:val="51"/>
                <w:sz w:val="24"/>
                <w:szCs w:val="24"/>
              </w:rPr>
              <w:t xml:space="preserve"> </w:t>
            </w:r>
            <w:r>
              <w:rPr>
                <w:spacing w:val="-15"/>
                <w:sz w:val="24"/>
                <w:szCs w:val="24"/>
              </w:rPr>
              <w:t>立即采取堵漏防控措施，</w:t>
            </w:r>
            <w:r>
              <w:rPr>
                <w:spacing w:val="50"/>
                <w:sz w:val="24"/>
                <w:szCs w:val="24"/>
              </w:rPr>
              <w:t xml:space="preserve"> </w:t>
            </w:r>
            <w:r>
              <w:rPr>
                <w:spacing w:val="-15"/>
                <w:sz w:val="24"/>
                <w:szCs w:val="24"/>
              </w:rPr>
              <w:t>减少漏失量。井场储备足够的堵</w:t>
            </w:r>
            <w:r>
              <w:rPr>
                <w:spacing w:val="-16"/>
                <w:sz w:val="24"/>
                <w:szCs w:val="24"/>
              </w:rPr>
              <w:t>漏剂，</w:t>
            </w:r>
            <w:r>
              <w:rPr>
                <w:spacing w:val="52"/>
                <w:sz w:val="24"/>
                <w:szCs w:val="24"/>
              </w:rPr>
              <w:t xml:space="preserve"> </w:t>
            </w:r>
            <w:r>
              <w:rPr>
                <w:spacing w:val="-16"/>
                <w:sz w:val="24"/>
                <w:szCs w:val="24"/>
              </w:rPr>
              <w:t>堵漏剂</w:t>
            </w:r>
          </w:p>
          <w:p>
            <w:pPr>
              <w:pStyle w:val="6"/>
              <w:spacing w:before="1" w:line="218" w:lineRule="auto"/>
              <w:ind w:left="128"/>
              <w:rPr>
                <w:sz w:val="24"/>
                <w:szCs w:val="24"/>
              </w:rPr>
            </w:pPr>
            <w:r>
              <w:rPr>
                <w:spacing w:val="-2"/>
                <w:sz w:val="24"/>
                <w:szCs w:val="24"/>
              </w:rPr>
              <w:t>的选取应考虑清洁、无毒、对人体无害，环境污染轻的种类，建议采用水泥堵漏。</w:t>
            </w:r>
          </w:p>
          <w:p>
            <w:pPr>
              <w:pStyle w:val="6"/>
              <w:spacing w:before="196" w:line="369" w:lineRule="auto"/>
              <w:ind w:left="115" w:right="103" w:firstLine="478"/>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）每开钻井结束后的固井作业可有效封隔地层与套管之间的环空， 防治污染地</w:t>
            </w:r>
            <w:r>
              <w:rPr>
                <w:sz w:val="24"/>
                <w:szCs w:val="24"/>
              </w:rPr>
              <w:t xml:space="preserve"> </w:t>
            </w:r>
            <w:r>
              <w:rPr>
                <w:spacing w:val="-11"/>
                <w:sz w:val="24"/>
                <w:szCs w:val="24"/>
              </w:rPr>
              <w:t>下水。固井作业应提高固井质量，</w:t>
            </w:r>
            <w:r>
              <w:rPr>
                <w:spacing w:val="61"/>
                <w:sz w:val="24"/>
                <w:szCs w:val="24"/>
              </w:rPr>
              <w:t xml:space="preserve"> </w:t>
            </w:r>
            <w:r>
              <w:rPr>
                <w:spacing w:val="-11"/>
                <w:sz w:val="24"/>
                <w:szCs w:val="24"/>
              </w:rPr>
              <w:t>建议采用双凝水泥浆体系固井，</w:t>
            </w:r>
            <w:r>
              <w:rPr>
                <w:spacing w:val="48"/>
                <w:sz w:val="24"/>
                <w:szCs w:val="24"/>
              </w:rPr>
              <w:t xml:space="preserve"> </w:t>
            </w:r>
            <w:r>
              <w:rPr>
                <w:spacing w:val="-11"/>
                <w:sz w:val="24"/>
                <w:szCs w:val="24"/>
              </w:rPr>
              <w:t>可有效防止因为井漏</w:t>
            </w:r>
          </w:p>
          <w:p>
            <w:pPr>
              <w:pStyle w:val="6"/>
              <w:spacing w:before="1" w:line="219" w:lineRule="auto"/>
              <w:ind w:left="108"/>
              <w:rPr>
                <w:sz w:val="24"/>
                <w:szCs w:val="24"/>
              </w:rPr>
            </w:pPr>
            <w:r>
              <w:rPr>
                <w:spacing w:val="-4"/>
                <w:sz w:val="24"/>
                <w:szCs w:val="24"/>
              </w:rPr>
              <w:t>事故造成的地下水环境污染。</w:t>
            </w:r>
          </w:p>
          <w:p>
            <w:pPr>
              <w:pStyle w:val="6"/>
              <w:spacing w:before="194" w:line="220" w:lineRule="auto"/>
              <w:ind w:left="594"/>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）在钻井完井过程中严格控制新鲜水用量，</w:t>
            </w:r>
            <w:r>
              <w:rPr>
                <w:spacing w:val="-2"/>
                <w:sz w:val="24"/>
                <w:szCs w:val="24"/>
              </w:rPr>
              <w:t>实行清污分流，减少污水产生量。</w:t>
            </w:r>
          </w:p>
          <w:p>
            <w:pPr>
              <w:pStyle w:val="6"/>
              <w:spacing w:before="194" w:line="219" w:lineRule="auto"/>
              <w:ind w:left="594"/>
              <w:rPr>
                <w:sz w:val="24"/>
                <w:szCs w:val="24"/>
              </w:rPr>
            </w:pPr>
            <w:r>
              <w:rPr>
                <w:spacing w:val="-2"/>
                <w:sz w:val="24"/>
                <w:szCs w:val="24"/>
              </w:rPr>
              <w:t>（</w:t>
            </w:r>
            <w:r>
              <w:rPr>
                <w:rFonts w:ascii="Times New Roman" w:hAnsi="Times New Roman" w:eastAsia="Times New Roman" w:cs="Times New Roman"/>
                <w:spacing w:val="-2"/>
                <w:sz w:val="24"/>
                <w:szCs w:val="24"/>
              </w:rPr>
              <w:t>5</w:t>
            </w:r>
            <w:r>
              <w:rPr>
                <w:spacing w:val="-2"/>
                <w:sz w:val="24"/>
                <w:szCs w:val="24"/>
              </w:rPr>
              <w:t>）作业用药品、材料集中放置在防渗漏地面，防止对地下水的污染。</w:t>
            </w:r>
          </w:p>
          <w:p>
            <w:pPr>
              <w:pStyle w:val="6"/>
              <w:spacing w:before="195" w:line="480" w:lineRule="exact"/>
              <w:ind w:left="594"/>
              <w:rPr>
                <w:sz w:val="24"/>
                <w:szCs w:val="24"/>
              </w:rPr>
            </w:pPr>
            <w:r>
              <w:rPr>
                <w:spacing w:val="1"/>
                <w:position w:val="18"/>
                <w:sz w:val="24"/>
                <w:szCs w:val="24"/>
              </w:rPr>
              <w:t>（</w:t>
            </w:r>
            <w:r>
              <w:rPr>
                <w:rFonts w:ascii="Times New Roman" w:hAnsi="Times New Roman" w:eastAsia="Times New Roman" w:cs="Times New Roman"/>
                <w:spacing w:val="1"/>
                <w:position w:val="18"/>
                <w:sz w:val="24"/>
                <w:szCs w:val="24"/>
              </w:rPr>
              <w:t>6</w:t>
            </w:r>
            <w:r>
              <w:rPr>
                <w:spacing w:val="1"/>
                <w:position w:val="18"/>
                <w:sz w:val="24"/>
                <w:szCs w:val="24"/>
              </w:rPr>
              <w:t>）钻井过程中应加强钻井废水管理，防止出现废水渗漏、外溢或废水池垮塌等</w:t>
            </w:r>
          </w:p>
          <w:p>
            <w:pPr>
              <w:pStyle w:val="6"/>
              <w:spacing w:before="1" w:line="220" w:lineRule="auto"/>
              <w:ind w:left="108"/>
              <w:rPr>
                <w:sz w:val="24"/>
                <w:szCs w:val="24"/>
              </w:rPr>
            </w:pPr>
            <w:r>
              <w:rPr>
                <w:spacing w:val="-10"/>
                <w:sz w:val="24"/>
                <w:szCs w:val="24"/>
              </w:rPr>
              <w:t>事故。</w:t>
            </w:r>
          </w:p>
          <w:p>
            <w:pPr>
              <w:pStyle w:val="6"/>
              <w:spacing w:before="194" w:line="369" w:lineRule="auto"/>
              <w:ind w:left="112" w:right="100" w:firstLine="482"/>
              <w:rPr>
                <w:sz w:val="24"/>
                <w:szCs w:val="24"/>
              </w:rPr>
            </w:pPr>
            <w:r>
              <w:rPr>
                <w:spacing w:val="1"/>
                <w:sz w:val="24"/>
                <w:szCs w:val="24"/>
              </w:rPr>
              <w:t>（</w:t>
            </w:r>
            <w:r>
              <w:rPr>
                <w:rFonts w:ascii="Times New Roman" w:hAnsi="Times New Roman" w:eastAsia="Times New Roman" w:cs="Times New Roman"/>
                <w:spacing w:val="1"/>
                <w:sz w:val="24"/>
                <w:szCs w:val="24"/>
              </w:rPr>
              <w:t>7</w:t>
            </w:r>
            <w:r>
              <w:rPr>
                <w:spacing w:val="1"/>
                <w:sz w:val="24"/>
                <w:szCs w:val="24"/>
              </w:rPr>
              <w:t>）加强油料的管理和控制，特别应加强和完善废油的控制措施，其主要产生源</w:t>
            </w:r>
            <w:r>
              <w:rPr>
                <w:spacing w:val="10"/>
                <w:sz w:val="24"/>
                <w:szCs w:val="24"/>
              </w:rPr>
              <w:t xml:space="preserve"> </w:t>
            </w:r>
            <w:r>
              <w:rPr>
                <w:spacing w:val="-11"/>
                <w:sz w:val="24"/>
                <w:szCs w:val="24"/>
              </w:rPr>
              <w:t>发电房、机房、油罐区；</w:t>
            </w:r>
            <w:r>
              <w:rPr>
                <w:spacing w:val="77"/>
                <w:sz w:val="24"/>
                <w:szCs w:val="24"/>
              </w:rPr>
              <w:t xml:space="preserve"> </w:t>
            </w:r>
            <w:r>
              <w:rPr>
                <w:spacing w:val="-11"/>
                <w:sz w:val="24"/>
                <w:szCs w:val="24"/>
              </w:rPr>
              <w:t>同时加强废水中废油的捞取工</w:t>
            </w:r>
            <w:r>
              <w:rPr>
                <w:spacing w:val="-12"/>
                <w:sz w:val="24"/>
                <w:szCs w:val="24"/>
              </w:rPr>
              <w:t>作，</w:t>
            </w:r>
            <w:r>
              <w:rPr>
                <w:spacing w:val="52"/>
                <w:sz w:val="24"/>
                <w:szCs w:val="24"/>
              </w:rPr>
              <w:t xml:space="preserve"> </w:t>
            </w:r>
            <w:r>
              <w:rPr>
                <w:spacing w:val="-12"/>
                <w:sz w:val="24"/>
                <w:szCs w:val="24"/>
              </w:rPr>
              <w:t>尽可能地控制和减轻钻井废</w:t>
            </w:r>
          </w:p>
          <w:p>
            <w:pPr>
              <w:pStyle w:val="6"/>
              <w:spacing w:before="1" w:line="219" w:lineRule="auto"/>
              <w:ind w:left="111"/>
              <w:rPr>
                <w:sz w:val="24"/>
                <w:szCs w:val="24"/>
              </w:rPr>
            </w:pPr>
            <w:r>
              <w:rPr>
                <w:spacing w:val="-6"/>
                <w:sz w:val="24"/>
                <w:szCs w:val="24"/>
              </w:rPr>
              <w:t>水中油的浓度。</w:t>
            </w:r>
          </w:p>
          <w:p>
            <w:pPr>
              <w:pStyle w:val="6"/>
              <w:spacing w:before="195" w:line="369" w:lineRule="auto"/>
              <w:ind w:left="114" w:right="103" w:firstLine="480"/>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）加强岩屑、废泥浆及其他固体废弃物收集、运输及暂存、处置等过程的环境</w:t>
            </w:r>
            <w:r>
              <w:rPr>
                <w:spacing w:val="10"/>
                <w:sz w:val="24"/>
                <w:szCs w:val="24"/>
              </w:rPr>
              <w:t xml:space="preserve"> </w:t>
            </w:r>
            <w:r>
              <w:rPr>
                <w:spacing w:val="-14"/>
                <w:sz w:val="24"/>
                <w:szCs w:val="24"/>
              </w:rPr>
              <w:t>管理， 严格按有关技术规范和规定落实各项防范措施，</w:t>
            </w:r>
            <w:r>
              <w:rPr>
                <w:spacing w:val="58"/>
                <w:sz w:val="24"/>
                <w:szCs w:val="24"/>
              </w:rPr>
              <w:t xml:space="preserve"> </w:t>
            </w:r>
            <w:r>
              <w:rPr>
                <w:spacing w:val="-14"/>
                <w:sz w:val="24"/>
                <w:szCs w:val="24"/>
              </w:rPr>
              <w:t>确保不对地下水造成污染，</w:t>
            </w:r>
            <w:r>
              <w:rPr>
                <w:spacing w:val="61"/>
                <w:sz w:val="24"/>
                <w:szCs w:val="24"/>
              </w:rPr>
              <w:t xml:space="preserve"> </w:t>
            </w:r>
            <w:r>
              <w:rPr>
                <w:spacing w:val="-14"/>
                <w:sz w:val="24"/>
                <w:szCs w:val="24"/>
              </w:rPr>
              <w:t>防止</w:t>
            </w:r>
          </w:p>
          <w:p>
            <w:pPr>
              <w:pStyle w:val="6"/>
              <w:spacing w:before="1" w:line="219" w:lineRule="auto"/>
              <w:ind w:left="108"/>
              <w:rPr>
                <w:sz w:val="24"/>
                <w:szCs w:val="24"/>
              </w:rPr>
            </w:pPr>
            <w:r>
              <w:rPr>
                <w:spacing w:val="-2"/>
                <w:sz w:val="24"/>
                <w:szCs w:val="24"/>
              </w:rPr>
              <w:t>产生新的环境问题，确保废钻井泥浆循环使</w:t>
            </w:r>
            <w:r>
              <w:rPr>
                <w:spacing w:val="-3"/>
                <w:sz w:val="24"/>
                <w:szCs w:val="24"/>
              </w:rPr>
              <w:t>用。</w:t>
            </w:r>
          </w:p>
          <w:p>
            <w:pPr>
              <w:pStyle w:val="6"/>
              <w:spacing w:before="196" w:line="369" w:lineRule="auto"/>
              <w:ind w:left="108" w:right="18" w:firstLine="486"/>
              <w:rPr>
                <w:sz w:val="24"/>
                <w:szCs w:val="24"/>
              </w:rPr>
            </w:pPr>
            <w:r>
              <w:rPr>
                <w:spacing w:val="-8"/>
                <w:sz w:val="24"/>
                <w:szCs w:val="24"/>
              </w:rPr>
              <w:t>（</w:t>
            </w:r>
            <w:r>
              <w:rPr>
                <w:rFonts w:ascii="Times New Roman" w:hAnsi="Times New Roman" w:eastAsia="Times New Roman" w:cs="Times New Roman"/>
                <w:spacing w:val="-8"/>
                <w:sz w:val="24"/>
                <w:szCs w:val="24"/>
              </w:rPr>
              <w:t>9</w:t>
            </w:r>
            <w:r>
              <w:rPr>
                <w:spacing w:val="-8"/>
                <w:sz w:val="24"/>
                <w:szCs w:val="24"/>
              </w:rPr>
              <w:t>）井场设置清污分流、雨污分流系统。针对污水，</w:t>
            </w:r>
            <w:r>
              <w:rPr>
                <w:spacing w:val="57"/>
                <w:sz w:val="24"/>
                <w:szCs w:val="24"/>
              </w:rPr>
              <w:t xml:space="preserve"> </w:t>
            </w:r>
            <w:r>
              <w:rPr>
                <w:spacing w:val="-8"/>
                <w:sz w:val="24"/>
                <w:szCs w:val="24"/>
              </w:rPr>
              <w:t>将污水排入场内污水截流沟，</w:t>
            </w:r>
            <w:r>
              <w:rPr>
                <w:sz w:val="24"/>
                <w:szCs w:val="24"/>
              </w:rPr>
              <w:t xml:space="preserve"> </w:t>
            </w:r>
            <w:r>
              <w:rPr>
                <w:spacing w:val="-8"/>
                <w:sz w:val="24"/>
                <w:szCs w:val="24"/>
              </w:rPr>
              <w:t>再依地势或用泵抽入废水罐中。对于清水， 场面清水</w:t>
            </w:r>
            <w:r>
              <w:rPr>
                <w:spacing w:val="-9"/>
                <w:sz w:val="24"/>
                <w:szCs w:val="24"/>
              </w:rPr>
              <w:t>、雨水由场外雨水沟排入自然水系。</w:t>
            </w:r>
            <w:r>
              <w:rPr>
                <w:sz w:val="24"/>
                <w:szCs w:val="24"/>
              </w:rPr>
              <w:t xml:space="preserve"> </w:t>
            </w:r>
            <w:r>
              <w:rPr>
                <w:spacing w:val="-5"/>
                <w:sz w:val="24"/>
                <w:szCs w:val="24"/>
              </w:rPr>
              <w:t xml:space="preserve">清污分流排水系统对井场的雨水及钻井废水进行了有效的分离， 可以降低因暴雨等自然 </w:t>
            </w:r>
            <w:r>
              <w:rPr>
                <w:spacing w:val="-6"/>
                <w:sz w:val="24"/>
                <w:szCs w:val="24"/>
              </w:rPr>
              <w:t>灾害而导致废水外溢污染浅层地下水的风险。固体废物堆放场应设置防雨设施，</w:t>
            </w:r>
            <w:r>
              <w:rPr>
                <w:spacing w:val="54"/>
                <w:sz w:val="24"/>
                <w:szCs w:val="24"/>
              </w:rPr>
              <w:t xml:space="preserve"> </w:t>
            </w:r>
            <w:r>
              <w:rPr>
                <w:spacing w:val="-6"/>
                <w:sz w:val="24"/>
                <w:szCs w:val="24"/>
              </w:rPr>
              <w:t>并及时</w:t>
            </w:r>
          </w:p>
          <w:p>
            <w:pPr>
              <w:pStyle w:val="6"/>
              <w:spacing w:before="1" w:line="218" w:lineRule="auto"/>
              <w:ind w:left="113"/>
              <w:rPr>
                <w:sz w:val="24"/>
                <w:szCs w:val="24"/>
              </w:rPr>
            </w:pPr>
            <w:r>
              <w:rPr>
                <w:spacing w:val="-2"/>
                <w:sz w:val="24"/>
                <w:szCs w:val="24"/>
              </w:rPr>
              <w:t>处理，防止雨水淋滤导致污染物下渗进入浅层地下水。</w:t>
            </w:r>
          </w:p>
          <w:p>
            <w:pPr>
              <w:pStyle w:val="6"/>
              <w:spacing w:before="197" w:line="369" w:lineRule="auto"/>
              <w:ind w:left="117" w:right="103" w:firstLine="477"/>
              <w:rPr>
                <w:sz w:val="24"/>
                <w:szCs w:val="24"/>
              </w:rPr>
            </w:pPr>
            <w:r>
              <w:rPr>
                <w:spacing w:val="-6"/>
                <w:sz w:val="24"/>
                <w:szCs w:val="24"/>
              </w:rPr>
              <w:t>（</w:t>
            </w:r>
            <w:r>
              <w:rPr>
                <w:rFonts w:ascii="Times New Roman" w:hAnsi="Times New Roman" w:eastAsia="Times New Roman" w:cs="Times New Roman"/>
                <w:spacing w:val="-6"/>
                <w:sz w:val="24"/>
                <w:szCs w:val="24"/>
              </w:rPr>
              <w:t>10</w:t>
            </w:r>
            <w:r>
              <w:rPr>
                <w:spacing w:val="-6"/>
                <w:sz w:val="24"/>
                <w:szCs w:val="24"/>
              </w:rPr>
              <w:t>）井场废水收集罐的选址避免地质灾害易发区域及影响区域，</w:t>
            </w:r>
            <w:r>
              <w:rPr>
                <w:spacing w:val="39"/>
                <w:sz w:val="24"/>
                <w:szCs w:val="24"/>
              </w:rPr>
              <w:t xml:space="preserve"> </w:t>
            </w:r>
            <w:r>
              <w:rPr>
                <w:spacing w:val="-6"/>
                <w:sz w:val="24"/>
                <w:szCs w:val="24"/>
              </w:rPr>
              <w:t>钻井</w:t>
            </w:r>
            <w:r>
              <w:rPr>
                <w:spacing w:val="-7"/>
                <w:sz w:val="24"/>
                <w:szCs w:val="24"/>
              </w:rPr>
              <w:t>期间施工人</w:t>
            </w:r>
            <w:r>
              <w:rPr>
                <w:sz w:val="24"/>
                <w:szCs w:val="24"/>
              </w:rPr>
              <w:t xml:space="preserve"> </w:t>
            </w:r>
            <w:r>
              <w:rPr>
                <w:spacing w:val="-15"/>
                <w:sz w:val="24"/>
                <w:szCs w:val="24"/>
              </w:rPr>
              <w:t>员应加强暴雨季节水池内水位观测，</w:t>
            </w:r>
            <w:r>
              <w:rPr>
                <w:spacing w:val="52"/>
                <w:sz w:val="24"/>
                <w:szCs w:val="24"/>
              </w:rPr>
              <w:t xml:space="preserve"> </w:t>
            </w:r>
            <w:r>
              <w:rPr>
                <w:spacing w:val="-15"/>
                <w:sz w:val="24"/>
                <w:szCs w:val="24"/>
              </w:rPr>
              <w:t>并及时转运废水，</w:t>
            </w:r>
            <w:r>
              <w:rPr>
                <w:spacing w:val="46"/>
                <w:sz w:val="24"/>
                <w:szCs w:val="24"/>
              </w:rPr>
              <w:t xml:space="preserve"> </w:t>
            </w:r>
            <w:r>
              <w:rPr>
                <w:spacing w:val="-15"/>
                <w:sz w:val="24"/>
                <w:szCs w:val="24"/>
              </w:rPr>
              <w:t>确保水池有足</w:t>
            </w:r>
            <w:r>
              <w:rPr>
                <w:spacing w:val="-16"/>
                <w:sz w:val="24"/>
                <w:szCs w:val="24"/>
              </w:rPr>
              <w:t>够的富余容量；</w:t>
            </w:r>
            <w:r>
              <w:rPr>
                <w:spacing w:val="49"/>
                <w:sz w:val="24"/>
                <w:szCs w:val="24"/>
              </w:rPr>
              <w:t xml:space="preserve"> </w:t>
            </w:r>
            <w:r>
              <w:rPr>
                <w:spacing w:val="-16"/>
                <w:sz w:val="24"/>
                <w:szCs w:val="24"/>
              </w:rPr>
              <w:t>新</w:t>
            </w:r>
          </w:p>
          <w:p>
            <w:pPr>
              <w:pStyle w:val="6"/>
              <w:spacing w:line="219" w:lineRule="auto"/>
              <w:ind w:left="111"/>
              <w:rPr>
                <w:sz w:val="24"/>
                <w:szCs w:val="24"/>
              </w:rPr>
            </w:pPr>
            <w:r>
              <w:rPr>
                <w:spacing w:val="-1"/>
                <w:sz w:val="24"/>
                <w:szCs w:val="24"/>
              </w:rPr>
              <w:t xml:space="preserve">建池体高度应至少高出地面 </w:t>
            </w:r>
            <w:r>
              <w:rPr>
                <w:rFonts w:ascii="Times New Roman" w:hAnsi="Times New Roman" w:eastAsia="Times New Roman" w:cs="Times New Roman"/>
                <w:spacing w:val="-1"/>
                <w:sz w:val="24"/>
                <w:szCs w:val="24"/>
              </w:rPr>
              <w:t>30cm</w:t>
            </w:r>
            <w:r>
              <w:rPr>
                <w:spacing w:val="-1"/>
                <w:sz w:val="24"/>
                <w:szCs w:val="24"/>
              </w:rPr>
              <w:t>，四周应设置截排水沟，防止</w:t>
            </w:r>
            <w:r>
              <w:rPr>
                <w:spacing w:val="-2"/>
                <w:sz w:val="24"/>
                <w:szCs w:val="24"/>
              </w:rPr>
              <w:t>地面径流进入水池中；</w:t>
            </w:r>
          </w:p>
        </w:tc>
      </w:tr>
    </w:tbl>
    <w:p>
      <w:pPr>
        <w:pStyle w:val="2"/>
        <w:rPr>
          <w:sz w:val="21"/>
        </w:rPr>
      </w:pPr>
    </w:p>
    <w:p>
      <w:pPr>
        <w:rPr>
          <w:sz w:val="21"/>
          <w:szCs w:val="21"/>
        </w:rPr>
        <w:sectPr>
          <w:footerReference r:id="rId136"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108"/>
              <w:rPr>
                <w:sz w:val="24"/>
                <w:szCs w:val="24"/>
              </w:rPr>
            </w:pPr>
            <w:r>
              <w:rPr>
                <w:spacing w:val="-5"/>
                <w:position w:val="18"/>
                <w:sz w:val="24"/>
                <w:szCs w:val="24"/>
              </w:rPr>
              <w:t>暴雨季节加强池体周围挡土墙及边坡巡查，</w:t>
            </w:r>
            <w:r>
              <w:rPr>
                <w:spacing w:val="27"/>
                <w:position w:val="18"/>
                <w:sz w:val="24"/>
                <w:szCs w:val="24"/>
              </w:rPr>
              <w:t xml:space="preserve"> </w:t>
            </w:r>
            <w:r>
              <w:rPr>
                <w:spacing w:val="-5"/>
                <w:position w:val="18"/>
                <w:sz w:val="24"/>
                <w:szCs w:val="24"/>
              </w:rPr>
              <w:t>防止</w:t>
            </w:r>
            <w:r>
              <w:rPr>
                <w:spacing w:val="-6"/>
                <w:position w:val="18"/>
                <w:sz w:val="24"/>
                <w:szCs w:val="24"/>
              </w:rPr>
              <w:t>边坡失稳及挡土墙失效等导致池体垮塌</w:t>
            </w:r>
          </w:p>
          <w:p>
            <w:pPr>
              <w:pStyle w:val="6"/>
              <w:spacing w:line="219" w:lineRule="auto"/>
              <w:ind w:left="112"/>
              <w:rPr>
                <w:sz w:val="24"/>
                <w:szCs w:val="24"/>
              </w:rPr>
            </w:pPr>
            <w:r>
              <w:rPr>
                <w:spacing w:val="-2"/>
                <w:sz w:val="24"/>
                <w:szCs w:val="24"/>
              </w:rPr>
              <w:t>发生废水外溢等事故。</w:t>
            </w:r>
          </w:p>
          <w:p>
            <w:pPr>
              <w:pStyle w:val="6"/>
              <w:spacing w:before="194"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spacing w:val="-2"/>
                <w:sz w:val="24"/>
                <w:szCs w:val="24"/>
                <w14:textOutline w14:w="4354" w14:cap="flat" w14:cmpd="sng">
                  <w14:solidFill>
                    <w14:srgbClr w14:val="000000"/>
                  </w14:solidFill>
                  <w14:prstDash w14:val="solid"/>
                  <w14:miter w14:val="10"/>
                </w14:textOutline>
              </w:rPr>
              <w:t>）分区防渗控制措施</w:t>
            </w:r>
          </w:p>
          <w:p>
            <w:pPr>
              <w:pStyle w:val="6"/>
              <w:spacing w:before="194" w:line="217" w:lineRule="auto"/>
              <w:ind w:left="587"/>
              <w:rPr>
                <w:sz w:val="24"/>
                <w:szCs w:val="24"/>
              </w:rPr>
            </w:pPr>
            <w:r>
              <w:rPr>
                <w:spacing w:val="-2"/>
                <w:sz w:val="24"/>
                <w:szCs w:val="24"/>
              </w:rPr>
              <w:t>①重点防渗区</w:t>
            </w:r>
          </w:p>
          <w:p>
            <w:pPr>
              <w:pStyle w:val="6"/>
              <w:spacing w:before="198" w:line="369" w:lineRule="auto"/>
              <w:ind w:left="110" w:right="86" w:firstLine="478"/>
              <w:rPr>
                <w:sz w:val="24"/>
                <w:szCs w:val="24"/>
              </w:rPr>
            </w:pPr>
            <w:r>
              <w:rPr>
                <w:spacing w:val="-6"/>
                <w:sz w:val="24"/>
                <w:szCs w:val="24"/>
              </w:rPr>
              <w:t>本项目重点防渗区主要包括井场内井口、井架及设备基础区域、</w:t>
            </w:r>
            <w:r>
              <w:rPr>
                <w:spacing w:val="51"/>
                <w:sz w:val="24"/>
                <w:szCs w:val="24"/>
              </w:rPr>
              <w:t xml:space="preserve"> </w:t>
            </w:r>
            <w:r>
              <w:rPr>
                <w:spacing w:val="-6"/>
                <w:sz w:val="24"/>
                <w:szCs w:val="24"/>
              </w:rPr>
              <w:t>泥浆循环系统区、</w:t>
            </w:r>
            <w:r>
              <w:rPr>
                <w:sz w:val="24"/>
                <w:szCs w:val="24"/>
              </w:rPr>
              <w:t xml:space="preserve"> </w:t>
            </w:r>
            <w:r>
              <w:rPr>
                <w:spacing w:val="-6"/>
                <w:sz w:val="24"/>
                <w:szCs w:val="24"/>
              </w:rPr>
              <w:t>泥浆材料堆存区、</w:t>
            </w:r>
            <w:r>
              <w:rPr>
                <w:spacing w:val="52"/>
                <w:sz w:val="24"/>
                <w:szCs w:val="24"/>
              </w:rPr>
              <w:t xml:space="preserve"> </w:t>
            </w:r>
            <w:r>
              <w:rPr>
                <w:spacing w:val="-6"/>
                <w:sz w:val="24"/>
                <w:szCs w:val="24"/>
              </w:rPr>
              <w:t>油水罐区、应急池、燃烧池、集酸池、清洁生产操作平台、泥浆储备</w:t>
            </w:r>
          </w:p>
          <w:p>
            <w:pPr>
              <w:pStyle w:val="6"/>
              <w:spacing w:line="219" w:lineRule="auto"/>
              <w:ind w:left="110"/>
              <w:rPr>
                <w:sz w:val="24"/>
                <w:szCs w:val="24"/>
              </w:rPr>
            </w:pPr>
            <w:r>
              <w:rPr>
                <w:spacing w:val="-1"/>
                <w:sz w:val="24"/>
                <w:szCs w:val="24"/>
              </w:rPr>
              <w:t>罐区、隔油池、集液池等。</w:t>
            </w:r>
          </w:p>
          <w:p>
            <w:pPr>
              <w:pStyle w:val="6"/>
              <w:spacing w:before="196" w:line="233" w:lineRule="auto"/>
              <w:ind w:left="603"/>
              <w:rPr>
                <w:sz w:val="24"/>
                <w:szCs w:val="24"/>
              </w:rPr>
            </w:pPr>
            <w:r>
              <w:rPr>
                <w:spacing w:val="-2"/>
                <w:sz w:val="24"/>
                <w:szCs w:val="24"/>
              </w:rPr>
              <w:t>防渗要求：等效黏土防渗层厚度大于等于</w:t>
            </w:r>
            <w:r>
              <w:rPr>
                <w:spacing w:val="-49"/>
                <w:sz w:val="24"/>
                <w:szCs w:val="24"/>
              </w:rPr>
              <w:t xml:space="preserve"> </w:t>
            </w:r>
            <w:r>
              <w:rPr>
                <w:rFonts w:ascii="Times New Roman" w:hAnsi="Times New Roman" w:eastAsia="Times New Roman" w:cs="Times New Roman"/>
                <w:spacing w:val="-2"/>
                <w:sz w:val="24"/>
                <w:szCs w:val="24"/>
              </w:rPr>
              <w:t>6m</w:t>
            </w:r>
            <w:r>
              <w:rPr>
                <w:spacing w:val="-2"/>
                <w:sz w:val="24"/>
                <w:szCs w:val="24"/>
              </w:rPr>
              <w:t>，渗透</w:t>
            </w:r>
            <w:r>
              <w:rPr>
                <w:spacing w:val="-3"/>
                <w:sz w:val="24"/>
                <w:szCs w:val="24"/>
              </w:rPr>
              <w:t xml:space="preserve">系数小于等于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9"/>
                <w:sz w:val="16"/>
                <w:szCs w:val="16"/>
              </w:rPr>
              <w:t>-7</w:t>
            </w:r>
            <w:r>
              <w:rPr>
                <w:rFonts w:ascii="Times New Roman" w:hAnsi="Times New Roman" w:eastAsia="Times New Roman" w:cs="Times New Roman"/>
                <w:spacing w:val="-3"/>
                <w:sz w:val="24"/>
                <w:szCs w:val="24"/>
              </w:rPr>
              <w:t>cm/s</w:t>
            </w:r>
            <w:r>
              <w:rPr>
                <w:spacing w:val="-3"/>
                <w:sz w:val="24"/>
                <w:szCs w:val="24"/>
              </w:rPr>
              <w:t>。</w:t>
            </w:r>
          </w:p>
          <w:p>
            <w:pPr>
              <w:pStyle w:val="6"/>
              <w:spacing w:before="176" w:line="219" w:lineRule="auto"/>
              <w:ind w:left="588"/>
              <w:rPr>
                <w:sz w:val="24"/>
                <w:szCs w:val="24"/>
              </w:rPr>
            </w:pPr>
            <w:r>
              <w:rPr>
                <w:spacing w:val="-1"/>
                <w:sz w:val="24"/>
                <w:szCs w:val="24"/>
              </w:rPr>
              <w:t>井口区采用水泥基渗透结晶型防渗层</w:t>
            </w:r>
            <w:r>
              <w:rPr>
                <w:rFonts w:ascii="Times New Roman" w:hAnsi="Times New Roman" w:eastAsia="Times New Roman" w:cs="Times New Roman"/>
                <w:spacing w:val="-1"/>
                <w:sz w:val="24"/>
                <w:szCs w:val="24"/>
              </w:rPr>
              <w:t xml:space="preserve">+C30 </w:t>
            </w:r>
            <w:r>
              <w:rPr>
                <w:spacing w:val="-1"/>
                <w:sz w:val="24"/>
                <w:szCs w:val="24"/>
              </w:rPr>
              <w:t>抗渗（</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2"/>
                <w:sz w:val="24"/>
                <w:szCs w:val="24"/>
              </w:rPr>
              <w:t>8</w:t>
            </w:r>
            <w:r>
              <w:rPr>
                <w:spacing w:val="-2"/>
                <w:sz w:val="24"/>
                <w:szCs w:val="24"/>
              </w:rPr>
              <w:t>）混凝土。</w:t>
            </w:r>
          </w:p>
          <w:p>
            <w:pPr>
              <w:pStyle w:val="6"/>
              <w:spacing w:before="197" w:line="369" w:lineRule="auto"/>
              <w:ind w:left="114" w:right="99" w:firstLine="474"/>
              <w:rPr>
                <w:rFonts w:ascii="Times New Roman" w:hAnsi="Times New Roman" w:eastAsia="Times New Roman" w:cs="Times New Roman"/>
                <w:sz w:val="24"/>
                <w:szCs w:val="24"/>
              </w:rPr>
            </w:pPr>
            <w:r>
              <w:rPr>
                <w:spacing w:val="-3"/>
                <w:sz w:val="24"/>
                <w:szCs w:val="24"/>
              </w:rPr>
              <w:t>井架、设备基础区泥浆材料堆存区、循环系统区域采用</w:t>
            </w:r>
            <w:r>
              <w:rPr>
                <w:spacing w:val="-47"/>
                <w:sz w:val="24"/>
                <w:szCs w:val="24"/>
              </w:rPr>
              <w:t xml:space="preserve"> </w:t>
            </w:r>
            <w:r>
              <w:rPr>
                <w:rFonts w:ascii="Times New Roman" w:hAnsi="Times New Roman" w:eastAsia="Times New Roman" w:cs="Times New Roman"/>
                <w:spacing w:val="-3"/>
                <w:sz w:val="24"/>
                <w:szCs w:val="24"/>
              </w:rPr>
              <w:t>30cm</w:t>
            </w:r>
            <w:r>
              <w:rPr>
                <w:rFonts w:ascii="Times New Roman" w:hAnsi="Times New Roman" w:eastAsia="Times New Roman" w:cs="Times New Roman"/>
                <w:spacing w:val="15"/>
                <w:w w:val="101"/>
                <w:sz w:val="24"/>
                <w:szCs w:val="24"/>
              </w:rPr>
              <w:t xml:space="preserve"> </w:t>
            </w:r>
            <w:r>
              <w:rPr>
                <w:spacing w:val="-3"/>
                <w:sz w:val="24"/>
                <w:szCs w:val="24"/>
              </w:rPr>
              <w:t>厚</w:t>
            </w:r>
            <w:r>
              <w:rPr>
                <w:spacing w:val="-52"/>
                <w:sz w:val="24"/>
                <w:szCs w:val="24"/>
              </w:rPr>
              <w:t xml:space="preserve"> </w:t>
            </w:r>
            <w:r>
              <w:rPr>
                <w:rFonts w:ascii="Times New Roman" w:hAnsi="Times New Roman" w:eastAsia="Times New Roman" w:cs="Times New Roman"/>
                <w:spacing w:val="-3"/>
                <w:sz w:val="24"/>
                <w:szCs w:val="24"/>
              </w:rPr>
              <w:t xml:space="preserve">C25 </w:t>
            </w:r>
            <w:r>
              <w:rPr>
                <w:spacing w:val="-3"/>
                <w:sz w:val="24"/>
                <w:szCs w:val="24"/>
              </w:rPr>
              <w:t>混凝土层</w:t>
            </w:r>
            <w:r>
              <w:rPr>
                <w:rFonts w:ascii="Times New Roman" w:hAnsi="Times New Roman" w:eastAsia="Times New Roman" w:cs="Times New Roman"/>
                <w:spacing w:val="-3"/>
                <w:sz w:val="24"/>
                <w:szCs w:val="24"/>
              </w:rPr>
              <w:t>+C25</w:t>
            </w:r>
            <w:r>
              <w:rPr>
                <w:rFonts w:ascii="Times New Roman" w:hAnsi="Times New Roman" w:eastAsia="Times New Roman" w:cs="Times New Roman"/>
                <w:sz w:val="24"/>
                <w:szCs w:val="24"/>
              </w:rPr>
              <w:t xml:space="preserve"> </w:t>
            </w:r>
            <w:r>
              <w:rPr>
                <w:spacing w:val="-7"/>
                <w:sz w:val="24"/>
                <w:szCs w:val="24"/>
              </w:rPr>
              <w:t>片石混凝土；井场设备基础硬化区（单层钢筋区域）采用</w:t>
            </w:r>
            <w:r>
              <w:rPr>
                <w:rFonts w:ascii="Times New Roman" w:hAnsi="Times New Roman" w:eastAsia="Times New Roman" w:cs="Times New Roman"/>
                <w:spacing w:val="-7"/>
                <w:sz w:val="24"/>
                <w:szCs w:val="24"/>
              </w:rPr>
              <w:t>20</w:t>
            </w:r>
            <w:r>
              <w:rPr>
                <w:rFonts w:ascii="Times New Roman" w:hAnsi="Times New Roman" w:eastAsia="Times New Roman" w:cs="Times New Roman"/>
                <w:spacing w:val="-8"/>
                <w:sz w:val="24"/>
                <w:szCs w:val="24"/>
              </w:rPr>
              <w:t xml:space="preserve">cm </w:t>
            </w:r>
            <w:r>
              <w:rPr>
                <w:spacing w:val="-8"/>
                <w:sz w:val="24"/>
                <w:szCs w:val="24"/>
              </w:rPr>
              <w:t>厚</w:t>
            </w:r>
            <w:r>
              <w:rPr>
                <w:rFonts w:ascii="Times New Roman" w:hAnsi="Times New Roman" w:eastAsia="Times New Roman" w:cs="Times New Roman"/>
                <w:spacing w:val="-8"/>
                <w:sz w:val="24"/>
                <w:szCs w:val="24"/>
              </w:rPr>
              <w:t>C25</w:t>
            </w:r>
            <w:r>
              <w:rPr>
                <w:rFonts w:ascii="Times New Roman" w:hAnsi="Times New Roman" w:eastAsia="Times New Roman" w:cs="Times New Roman"/>
                <w:spacing w:val="-14"/>
                <w:sz w:val="24"/>
                <w:szCs w:val="24"/>
              </w:rPr>
              <w:t xml:space="preserve"> </w:t>
            </w:r>
            <w:r>
              <w:rPr>
                <w:spacing w:val="-8"/>
                <w:sz w:val="24"/>
                <w:szCs w:val="24"/>
              </w:rPr>
              <w:t>钢筋混凝土层</w:t>
            </w:r>
            <w:r>
              <w:rPr>
                <w:rFonts w:ascii="Times New Roman" w:hAnsi="Times New Roman" w:eastAsia="Times New Roman" w:cs="Times New Roman"/>
                <w:spacing w:val="-8"/>
                <w:sz w:val="24"/>
                <w:szCs w:val="24"/>
              </w:rPr>
              <w:t>+10cm</w:t>
            </w:r>
          </w:p>
          <w:p>
            <w:pPr>
              <w:pStyle w:val="6"/>
              <w:spacing w:line="219" w:lineRule="auto"/>
              <w:ind w:left="114"/>
              <w:rPr>
                <w:sz w:val="24"/>
                <w:szCs w:val="24"/>
              </w:rPr>
            </w:pPr>
            <w:r>
              <w:rPr>
                <w:spacing w:val="-3"/>
                <w:sz w:val="24"/>
                <w:szCs w:val="24"/>
              </w:rPr>
              <w:t>厚</w:t>
            </w:r>
            <w:r>
              <w:rPr>
                <w:spacing w:val="-48"/>
                <w:sz w:val="24"/>
                <w:szCs w:val="24"/>
              </w:rPr>
              <w:t xml:space="preserve"> </w:t>
            </w:r>
            <w:r>
              <w:rPr>
                <w:rFonts w:ascii="Times New Roman" w:hAnsi="Times New Roman" w:eastAsia="Times New Roman" w:cs="Times New Roman"/>
                <w:spacing w:val="-3"/>
                <w:sz w:val="24"/>
                <w:szCs w:val="24"/>
              </w:rPr>
              <w:t xml:space="preserve">C15 </w:t>
            </w:r>
            <w:r>
              <w:rPr>
                <w:spacing w:val="-3"/>
                <w:sz w:val="24"/>
                <w:szCs w:val="24"/>
              </w:rPr>
              <w:t>混凝土垫层</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16"/>
                <w:w w:val="101"/>
                <w:sz w:val="24"/>
                <w:szCs w:val="24"/>
              </w:rPr>
              <w:t xml:space="preserve"> </w:t>
            </w:r>
            <w:r>
              <w:rPr>
                <w:spacing w:val="-3"/>
                <w:sz w:val="24"/>
                <w:szCs w:val="24"/>
              </w:rPr>
              <w:t>厚砂砾（卵）石层。</w:t>
            </w:r>
          </w:p>
          <w:p>
            <w:pPr>
              <w:pStyle w:val="6"/>
              <w:spacing w:before="196" w:line="369" w:lineRule="auto"/>
              <w:ind w:left="107" w:right="100" w:firstLine="480"/>
              <w:rPr>
                <w:sz w:val="24"/>
                <w:szCs w:val="24"/>
              </w:rPr>
            </w:pPr>
            <w:r>
              <w:rPr>
                <w:spacing w:val="-2"/>
                <w:sz w:val="24"/>
                <w:szCs w:val="24"/>
              </w:rPr>
              <w:t>清洁生产操作平台采用</w:t>
            </w:r>
            <w:r>
              <w:rPr>
                <w:spacing w:val="-52"/>
                <w:sz w:val="24"/>
                <w:szCs w:val="24"/>
              </w:rPr>
              <w:t xml:space="preserve"> </w:t>
            </w:r>
            <w:r>
              <w:rPr>
                <w:rFonts w:ascii="Times New Roman" w:hAnsi="Times New Roman" w:eastAsia="Times New Roman" w:cs="Times New Roman"/>
                <w:spacing w:val="-2"/>
                <w:sz w:val="24"/>
                <w:szCs w:val="24"/>
              </w:rPr>
              <w:t xml:space="preserve">30cm </w:t>
            </w:r>
            <w:r>
              <w:rPr>
                <w:spacing w:val="-2"/>
                <w:sz w:val="24"/>
                <w:szCs w:val="24"/>
              </w:rPr>
              <w:t>厚</w:t>
            </w:r>
            <w:r>
              <w:rPr>
                <w:spacing w:val="-61"/>
                <w:sz w:val="24"/>
                <w:szCs w:val="24"/>
              </w:rPr>
              <w:t xml:space="preserve"> </w:t>
            </w:r>
            <w:r>
              <w:rPr>
                <w:rFonts w:ascii="Times New Roman" w:hAnsi="Times New Roman" w:eastAsia="Times New Roman" w:cs="Times New Roman"/>
                <w:spacing w:val="-2"/>
                <w:sz w:val="24"/>
                <w:szCs w:val="24"/>
              </w:rPr>
              <w:t xml:space="preserve">C25 </w:t>
            </w:r>
            <w:r>
              <w:rPr>
                <w:spacing w:val="-2"/>
                <w:sz w:val="24"/>
                <w:szCs w:val="24"/>
              </w:rPr>
              <w:t>钢筋混凝土层</w:t>
            </w:r>
            <w:r>
              <w:rPr>
                <w:rFonts w:ascii="Times New Roman" w:hAnsi="Times New Roman" w:eastAsia="Times New Roman" w:cs="Times New Roman"/>
                <w:spacing w:val="-2"/>
                <w:sz w:val="24"/>
                <w:szCs w:val="24"/>
              </w:rPr>
              <w:t xml:space="preserve">+10cm </w:t>
            </w:r>
            <w:r>
              <w:rPr>
                <w:spacing w:val="-2"/>
                <w:sz w:val="24"/>
                <w:szCs w:val="24"/>
              </w:rPr>
              <w:t>厚</w:t>
            </w:r>
            <w:r>
              <w:rPr>
                <w:spacing w:val="-61"/>
                <w:sz w:val="24"/>
                <w:szCs w:val="24"/>
              </w:rPr>
              <w:t xml:space="preserve"> </w:t>
            </w:r>
            <w:r>
              <w:rPr>
                <w:rFonts w:ascii="Times New Roman" w:hAnsi="Times New Roman" w:eastAsia="Times New Roman" w:cs="Times New Roman"/>
                <w:spacing w:val="-2"/>
                <w:sz w:val="24"/>
                <w:szCs w:val="24"/>
              </w:rPr>
              <w:t xml:space="preserve">C15 </w:t>
            </w:r>
            <w:r>
              <w:rPr>
                <w:spacing w:val="-2"/>
                <w:sz w:val="24"/>
                <w:szCs w:val="24"/>
              </w:rPr>
              <w:t>混凝土层</w:t>
            </w:r>
            <w:r>
              <w:rPr>
                <w:rFonts w:ascii="Times New Roman" w:hAnsi="Times New Roman" w:eastAsia="Times New Roman" w:cs="Times New Roman"/>
                <w:spacing w:val="-2"/>
                <w:sz w:val="24"/>
                <w:szCs w:val="24"/>
              </w:rPr>
              <w:t xml:space="preserve">+10cm </w:t>
            </w:r>
            <w:r>
              <w:rPr>
                <w:spacing w:val="-2"/>
                <w:sz w:val="24"/>
                <w:szCs w:val="24"/>
              </w:rPr>
              <w:t>厚</w:t>
            </w:r>
            <w:r>
              <w:rPr>
                <w:sz w:val="24"/>
                <w:szCs w:val="24"/>
              </w:rPr>
              <w:t xml:space="preserve"> </w:t>
            </w:r>
            <w:r>
              <w:rPr>
                <w:spacing w:val="-7"/>
                <w:sz w:val="24"/>
                <w:szCs w:val="24"/>
              </w:rPr>
              <w:t>砂砾（卵）</w:t>
            </w:r>
            <w:r>
              <w:rPr>
                <w:spacing w:val="-48"/>
                <w:sz w:val="24"/>
                <w:szCs w:val="24"/>
              </w:rPr>
              <w:t xml:space="preserve"> </w:t>
            </w:r>
            <w:r>
              <w:rPr>
                <w:spacing w:val="-7"/>
                <w:sz w:val="24"/>
                <w:szCs w:val="24"/>
              </w:rPr>
              <w:t>石层；</w:t>
            </w:r>
            <w:r>
              <w:rPr>
                <w:spacing w:val="-30"/>
                <w:sz w:val="24"/>
                <w:szCs w:val="24"/>
              </w:rPr>
              <w:t xml:space="preserve"> </w:t>
            </w:r>
            <w:r>
              <w:rPr>
                <w:spacing w:val="-7"/>
                <w:sz w:val="24"/>
                <w:szCs w:val="24"/>
              </w:rPr>
              <w:t>岩屑堆放区采用水泥基渗透结晶型防渗层</w:t>
            </w:r>
            <w:r>
              <w:rPr>
                <w:rFonts w:ascii="Times New Roman" w:hAnsi="Times New Roman" w:eastAsia="Times New Roman" w:cs="Times New Roman"/>
                <w:spacing w:val="-7"/>
                <w:sz w:val="24"/>
                <w:szCs w:val="24"/>
              </w:rPr>
              <w:t>+30cm</w:t>
            </w:r>
            <w:r>
              <w:rPr>
                <w:rFonts w:ascii="Times New Roman" w:hAnsi="Times New Roman" w:eastAsia="Times New Roman" w:cs="Times New Roman"/>
                <w:spacing w:val="18"/>
                <w:sz w:val="24"/>
                <w:szCs w:val="24"/>
              </w:rPr>
              <w:t xml:space="preserve"> </w:t>
            </w:r>
            <w:r>
              <w:rPr>
                <w:spacing w:val="-7"/>
                <w:sz w:val="24"/>
                <w:szCs w:val="24"/>
              </w:rPr>
              <w:t>厚</w:t>
            </w:r>
            <w:r>
              <w:rPr>
                <w:spacing w:val="-52"/>
                <w:sz w:val="24"/>
                <w:szCs w:val="24"/>
              </w:rPr>
              <w:t xml:space="preserve"> </w:t>
            </w:r>
            <w:r>
              <w:rPr>
                <w:rFonts w:ascii="Times New Roman" w:hAnsi="Times New Roman" w:eastAsia="Times New Roman" w:cs="Times New Roman"/>
                <w:spacing w:val="-7"/>
                <w:sz w:val="24"/>
                <w:szCs w:val="24"/>
              </w:rPr>
              <w:t xml:space="preserve">C25 </w:t>
            </w:r>
            <w:r>
              <w:rPr>
                <w:spacing w:val="-7"/>
                <w:sz w:val="24"/>
                <w:szCs w:val="24"/>
              </w:rPr>
              <w:t>钢筋混凝土层</w:t>
            </w:r>
          </w:p>
          <w:p>
            <w:pPr>
              <w:pStyle w:val="6"/>
              <w:spacing w:line="219" w:lineRule="auto"/>
              <w:ind w:left="103"/>
              <w:rPr>
                <w:sz w:val="24"/>
                <w:szCs w:val="24"/>
              </w:rPr>
            </w:pPr>
            <w:r>
              <w:rPr>
                <w:rFonts w:ascii="Times New Roman" w:hAnsi="Times New Roman" w:eastAsia="Times New Roman" w:cs="Times New Roman"/>
                <w:spacing w:val="-2"/>
                <w:sz w:val="24"/>
                <w:szCs w:val="24"/>
              </w:rPr>
              <w:t>+10cm</w:t>
            </w:r>
            <w:r>
              <w:rPr>
                <w:rFonts w:ascii="Times New Roman" w:hAnsi="Times New Roman" w:eastAsia="Times New Roman" w:cs="Times New Roman"/>
                <w:spacing w:val="15"/>
                <w:w w:val="101"/>
                <w:sz w:val="24"/>
                <w:szCs w:val="24"/>
              </w:rPr>
              <w:t xml:space="preserve"> </w:t>
            </w:r>
            <w:r>
              <w:rPr>
                <w:spacing w:val="-2"/>
                <w:sz w:val="24"/>
                <w:szCs w:val="24"/>
              </w:rPr>
              <w:t>厚</w:t>
            </w:r>
            <w:r>
              <w:rPr>
                <w:spacing w:val="-52"/>
                <w:sz w:val="24"/>
                <w:szCs w:val="24"/>
              </w:rPr>
              <w:t xml:space="preserve"> </w:t>
            </w:r>
            <w:r>
              <w:rPr>
                <w:rFonts w:ascii="Times New Roman" w:hAnsi="Times New Roman" w:eastAsia="Times New Roman" w:cs="Times New Roman"/>
                <w:spacing w:val="-2"/>
                <w:sz w:val="24"/>
                <w:szCs w:val="24"/>
              </w:rPr>
              <w:t xml:space="preserve">C15 </w:t>
            </w:r>
            <w:r>
              <w:rPr>
                <w:spacing w:val="-2"/>
                <w:sz w:val="24"/>
                <w:szCs w:val="24"/>
              </w:rPr>
              <w:t>混凝土层</w:t>
            </w:r>
            <w:r>
              <w:rPr>
                <w:rFonts w:ascii="Times New Roman" w:hAnsi="Times New Roman" w:eastAsia="Times New Roman" w:cs="Times New Roman"/>
                <w:spacing w:val="-2"/>
                <w:sz w:val="24"/>
                <w:szCs w:val="24"/>
              </w:rPr>
              <w:t>+10cm</w:t>
            </w:r>
            <w:r>
              <w:rPr>
                <w:rFonts w:ascii="Times New Roman" w:hAnsi="Times New Roman" w:eastAsia="Times New Roman" w:cs="Times New Roman"/>
                <w:spacing w:val="16"/>
                <w:sz w:val="24"/>
                <w:szCs w:val="24"/>
              </w:rPr>
              <w:t xml:space="preserve"> </w:t>
            </w:r>
            <w:r>
              <w:rPr>
                <w:spacing w:val="-2"/>
                <w:sz w:val="24"/>
                <w:szCs w:val="24"/>
              </w:rPr>
              <w:t>厚砂</w:t>
            </w:r>
            <w:r>
              <w:rPr>
                <w:spacing w:val="-3"/>
                <w:sz w:val="24"/>
                <w:szCs w:val="24"/>
              </w:rPr>
              <w:t>砾（卵）石层。</w:t>
            </w:r>
          </w:p>
          <w:p>
            <w:pPr>
              <w:pStyle w:val="6"/>
              <w:spacing w:before="195" w:line="480" w:lineRule="exact"/>
              <w:ind w:left="592"/>
              <w:rPr>
                <w:rFonts w:ascii="Times New Roman" w:hAnsi="Times New Roman" w:eastAsia="Times New Roman" w:cs="Times New Roman"/>
                <w:sz w:val="24"/>
                <w:szCs w:val="24"/>
              </w:rPr>
            </w:pPr>
            <w:r>
              <w:rPr>
                <w:spacing w:val="-2"/>
                <w:position w:val="18"/>
                <w:sz w:val="24"/>
                <w:szCs w:val="24"/>
              </w:rPr>
              <w:t>油罐及水罐区、泥浆储备罐区采用水泥基防渗层</w:t>
            </w:r>
            <w:r>
              <w:rPr>
                <w:rFonts w:ascii="Times New Roman" w:hAnsi="Times New Roman" w:eastAsia="Times New Roman" w:cs="Times New Roman"/>
                <w:spacing w:val="-2"/>
                <w:position w:val="18"/>
                <w:sz w:val="24"/>
                <w:szCs w:val="24"/>
              </w:rPr>
              <w:t>+40cm</w:t>
            </w:r>
            <w:r>
              <w:rPr>
                <w:rFonts w:ascii="Times New Roman" w:hAnsi="Times New Roman" w:eastAsia="Times New Roman" w:cs="Times New Roman"/>
                <w:spacing w:val="16"/>
                <w:position w:val="18"/>
                <w:sz w:val="24"/>
                <w:szCs w:val="24"/>
              </w:rPr>
              <w:t xml:space="preserve"> </w:t>
            </w:r>
            <w:r>
              <w:rPr>
                <w:spacing w:val="-2"/>
                <w:position w:val="18"/>
                <w:sz w:val="24"/>
                <w:szCs w:val="24"/>
              </w:rPr>
              <w:t>厚</w:t>
            </w:r>
            <w:r>
              <w:rPr>
                <w:spacing w:val="-52"/>
                <w:position w:val="18"/>
                <w:sz w:val="24"/>
                <w:szCs w:val="24"/>
              </w:rPr>
              <w:t xml:space="preserve"> </w:t>
            </w:r>
            <w:r>
              <w:rPr>
                <w:rFonts w:ascii="Times New Roman" w:hAnsi="Times New Roman" w:eastAsia="Times New Roman" w:cs="Times New Roman"/>
                <w:spacing w:val="-2"/>
                <w:position w:val="18"/>
                <w:sz w:val="24"/>
                <w:szCs w:val="24"/>
              </w:rPr>
              <w:t xml:space="preserve">C25 </w:t>
            </w:r>
            <w:r>
              <w:rPr>
                <w:spacing w:val="-2"/>
                <w:position w:val="18"/>
                <w:sz w:val="24"/>
                <w:szCs w:val="24"/>
              </w:rPr>
              <w:t>钢筋混凝土层</w:t>
            </w:r>
            <w:r>
              <w:rPr>
                <w:rFonts w:ascii="Times New Roman" w:hAnsi="Times New Roman" w:eastAsia="Times New Roman" w:cs="Times New Roman"/>
                <w:spacing w:val="-2"/>
                <w:position w:val="18"/>
                <w:sz w:val="24"/>
                <w:szCs w:val="24"/>
              </w:rPr>
              <w:t>+1</w:t>
            </w:r>
            <w:r>
              <w:rPr>
                <w:rFonts w:ascii="Times New Roman" w:hAnsi="Times New Roman" w:eastAsia="Times New Roman" w:cs="Times New Roman"/>
                <w:spacing w:val="-3"/>
                <w:position w:val="18"/>
                <w:sz w:val="24"/>
                <w:szCs w:val="24"/>
              </w:rPr>
              <w:t>0cm</w:t>
            </w:r>
          </w:p>
          <w:p>
            <w:pPr>
              <w:pStyle w:val="6"/>
              <w:spacing w:before="1" w:line="219" w:lineRule="auto"/>
              <w:ind w:left="114"/>
              <w:rPr>
                <w:sz w:val="24"/>
                <w:szCs w:val="24"/>
              </w:rPr>
            </w:pPr>
            <w:r>
              <w:rPr>
                <w:spacing w:val="-5"/>
                <w:sz w:val="24"/>
                <w:szCs w:val="24"/>
              </w:rPr>
              <w:t>厚</w:t>
            </w:r>
            <w:r>
              <w:rPr>
                <w:spacing w:val="-51"/>
                <w:sz w:val="24"/>
                <w:szCs w:val="24"/>
              </w:rPr>
              <w:t xml:space="preserve"> </w:t>
            </w:r>
            <w:r>
              <w:rPr>
                <w:rFonts w:ascii="Times New Roman" w:hAnsi="Times New Roman" w:eastAsia="Times New Roman" w:cs="Times New Roman"/>
                <w:spacing w:val="-5"/>
                <w:sz w:val="24"/>
                <w:szCs w:val="24"/>
              </w:rPr>
              <w:t xml:space="preserve">C15 </w:t>
            </w:r>
            <w:r>
              <w:rPr>
                <w:spacing w:val="-5"/>
                <w:sz w:val="24"/>
                <w:szCs w:val="24"/>
              </w:rPr>
              <w:t>混凝土层。</w:t>
            </w:r>
          </w:p>
          <w:p>
            <w:pPr>
              <w:pStyle w:val="6"/>
              <w:spacing w:before="195" w:line="480" w:lineRule="exact"/>
              <w:ind w:left="589"/>
              <w:rPr>
                <w:sz w:val="24"/>
                <w:szCs w:val="24"/>
              </w:rPr>
            </w:pPr>
            <w:r>
              <w:rPr>
                <w:spacing w:val="-6"/>
                <w:position w:val="18"/>
                <w:sz w:val="24"/>
                <w:szCs w:val="24"/>
              </w:rPr>
              <w:t>燃烧池采用</w:t>
            </w:r>
            <w:r>
              <w:rPr>
                <w:spacing w:val="-16"/>
                <w:position w:val="18"/>
                <w:sz w:val="24"/>
                <w:szCs w:val="24"/>
              </w:rPr>
              <w:t xml:space="preserve"> </w:t>
            </w:r>
            <w:r>
              <w:rPr>
                <w:rFonts w:ascii="Times New Roman" w:hAnsi="Times New Roman" w:eastAsia="Times New Roman" w:cs="Times New Roman"/>
                <w:spacing w:val="-6"/>
                <w:position w:val="18"/>
                <w:sz w:val="24"/>
                <w:szCs w:val="24"/>
              </w:rPr>
              <w:t>5cm</w:t>
            </w:r>
            <w:r>
              <w:rPr>
                <w:rFonts w:ascii="Times New Roman" w:hAnsi="Times New Roman" w:eastAsia="Times New Roman" w:cs="Times New Roman"/>
                <w:spacing w:val="32"/>
                <w:position w:val="18"/>
                <w:sz w:val="24"/>
                <w:szCs w:val="24"/>
              </w:rPr>
              <w:t xml:space="preserve"> </w:t>
            </w:r>
            <w:r>
              <w:rPr>
                <w:spacing w:val="-6"/>
                <w:position w:val="18"/>
                <w:sz w:val="24"/>
                <w:szCs w:val="24"/>
              </w:rPr>
              <w:t>厚分层抹新型耐火砂浆</w:t>
            </w:r>
            <w:r>
              <w:rPr>
                <w:rFonts w:ascii="Times New Roman" w:hAnsi="Times New Roman" w:eastAsia="Times New Roman" w:cs="Times New Roman"/>
                <w:spacing w:val="-6"/>
                <w:position w:val="18"/>
                <w:sz w:val="24"/>
                <w:szCs w:val="24"/>
              </w:rPr>
              <w:t>+10cm</w:t>
            </w:r>
            <w:r>
              <w:rPr>
                <w:rFonts w:ascii="Times New Roman" w:hAnsi="Times New Roman" w:eastAsia="Times New Roman" w:cs="Times New Roman"/>
                <w:spacing w:val="33"/>
                <w:position w:val="18"/>
                <w:sz w:val="24"/>
                <w:szCs w:val="24"/>
              </w:rPr>
              <w:t xml:space="preserve"> </w:t>
            </w:r>
            <w:r>
              <w:rPr>
                <w:spacing w:val="-6"/>
                <w:position w:val="18"/>
                <w:sz w:val="24"/>
                <w:szCs w:val="24"/>
              </w:rPr>
              <w:t>厚</w:t>
            </w:r>
            <w:r>
              <w:rPr>
                <w:spacing w:val="-35"/>
                <w:position w:val="18"/>
                <w:sz w:val="24"/>
                <w:szCs w:val="24"/>
              </w:rPr>
              <w:t xml:space="preserve"> </w:t>
            </w:r>
            <w:r>
              <w:rPr>
                <w:rFonts w:ascii="Times New Roman" w:hAnsi="Times New Roman" w:eastAsia="Times New Roman" w:cs="Times New Roman"/>
                <w:spacing w:val="-6"/>
                <w:position w:val="18"/>
                <w:sz w:val="24"/>
                <w:szCs w:val="24"/>
              </w:rPr>
              <w:t>C20</w:t>
            </w:r>
            <w:r>
              <w:rPr>
                <w:rFonts w:ascii="Times New Roman" w:hAnsi="Times New Roman" w:eastAsia="Times New Roman" w:cs="Times New Roman"/>
                <w:spacing w:val="30"/>
                <w:position w:val="18"/>
                <w:sz w:val="24"/>
                <w:szCs w:val="24"/>
              </w:rPr>
              <w:t xml:space="preserve"> </w:t>
            </w:r>
            <w:r>
              <w:rPr>
                <w:spacing w:val="-6"/>
                <w:position w:val="18"/>
                <w:sz w:val="24"/>
                <w:szCs w:val="24"/>
              </w:rPr>
              <w:t>混凝土层；</w:t>
            </w:r>
            <w:r>
              <w:rPr>
                <w:spacing w:val="30"/>
                <w:position w:val="18"/>
                <w:sz w:val="24"/>
                <w:szCs w:val="24"/>
              </w:rPr>
              <w:t xml:space="preserve"> </w:t>
            </w:r>
            <w:r>
              <w:rPr>
                <w:spacing w:val="-6"/>
                <w:position w:val="18"/>
                <w:sz w:val="24"/>
                <w:szCs w:val="24"/>
              </w:rPr>
              <w:t>集酸池采用水泥</w:t>
            </w:r>
          </w:p>
          <w:p>
            <w:pPr>
              <w:pStyle w:val="6"/>
              <w:spacing w:line="233" w:lineRule="auto"/>
              <w:ind w:left="108"/>
              <w:rPr>
                <w:sz w:val="24"/>
                <w:szCs w:val="24"/>
              </w:rPr>
            </w:pPr>
            <w:r>
              <w:rPr>
                <w:spacing w:val="-2"/>
                <w:sz w:val="24"/>
                <w:szCs w:val="24"/>
              </w:rPr>
              <w:t>基渗透结晶型防渗层</w:t>
            </w:r>
            <w:r>
              <w:rPr>
                <w:rFonts w:ascii="Times New Roman" w:hAnsi="Times New Roman" w:eastAsia="Times New Roman" w:cs="Times New Roman"/>
                <w:spacing w:val="-2"/>
                <w:sz w:val="24"/>
                <w:szCs w:val="24"/>
              </w:rPr>
              <w:t>+2cm</w:t>
            </w:r>
            <w:r>
              <w:rPr>
                <w:rFonts w:ascii="Times New Roman" w:hAnsi="Times New Roman" w:eastAsia="Times New Roman" w:cs="Times New Roman"/>
                <w:spacing w:val="16"/>
                <w:sz w:val="24"/>
                <w:szCs w:val="24"/>
              </w:rPr>
              <w:t xml:space="preserve"> </w:t>
            </w:r>
            <w:r>
              <w:rPr>
                <w:spacing w:val="-2"/>
                <w:sz w:val="24"/>
                <w:szCs w:val="24"/>
              </w:rPr>
              <w:t>厚水泥砂浆抹面</w:t>
            </w:r>
            <w:r>
              <w:rPr>
                <w:rFonts w:ascii="Times New Roman" w:hAnsi="Times New Roman" w:eastAsia="Times New Roman" w:cs="Times New Roman"/>
                <w:spacing w:val="-2"/>
                <w:sz w:val="24"/>
                <w:szCs w:val="24"/>
              </w:rPr>
              <w:t>++10cm</w:t>
            </w:r>
            <w:r>
              <w:rPr>
                <w:rFonts w:ascii="Times New Roman" w:hAnsi="Times New Roman" w:eastAsia="Times New Roman" w:cs="Times New Roman"/>
                <w:spacing w:val="15"/>
                <w:w w:val="101"/>
                <w:sz w:val="24"/>
                <w:szCs w:val="24"/>
              </w:rPr>
              <w:t xml:space="preserve"> </w:t>
            </w:r>
            <w:r>
              <w:rPr>
                <w:spacing w:val="-2"/>
                <w:sz w:val="24"/>
                <w:szCs w:val="24"/>
              </w:rPr>
              <w:t>厚</w:t>
            </w:r>
            <w:r>
              <w:rPr>
                <w:spacing w:val="-51"/>
                <w:sz w:val="24"/>
                <w:szCs w:val="24"/>
              </w:rPr>
              <w:t xml:space="preserve"> </w:t>
            </w:r>
            <w:r>
              <w:rPr>
                <w:rFonts w:ascii="Times New Roman" w:hAnsi="Times New Roman" w:eastAsia="Times New Roman" w:cs="Times New Roman"/>
                <w:spacing w:val="-2"/>
                <w:sz w:val="24"/>
                <w:szCs w:val="24"/>
              </w:rPr>
              <w:t xml:space="preserve">C20 </w:t>
            </w:r>
            <w:r>
              <w:rPr>
                <w:spacing w:val="-2"/>
                <w:sz w:val="24"/>
                <w:szCs w:val="24"/>
              </w:rPr>
              <w:t>混</w:t>
            </w:r>
            <w:r>
              <w:rPr>
                <w:spacing w:val="-3"/>
                <w:sz w:val="24"/>
                <w:szCs w:val="24"/>
              </w:rPr>
              <w:t>凝土层。</w:t>
            </w:r>
          </w:p>
          <w:p>
            <w:pPr>
              <w:pStyle w:val="6"/>
              <w:spacing w:before="177" w:line="480" w:lineRule="exact"/>
              <w:ind w:left="588"/>
              <w:rPr>
                <w:sz w:val="24"/>
                <w:szCs w:val="24"/>
              </w:rPr>
            </w:pPr>
            <w:r>
              <w:rPr>
                <w:spacing w:val="-3"/>
                <w:position w:val="18"/>
                <w:sz w:val="24"/>
                <w:szCs w:val="24"/>
              </w:rPr>
              <w:t>应急池、隔油池及集酸池均采用水泥基渗透结晶型防渗层</w:t>
            </w:r>
            <w:r>
              <w:rPr>
                <w:rFonts w:ascii="Times New Roman" w:hAnsi="Times New Roman" w:eastAsia="Times New Roman" w:cs="Times New Roman"/>
                <w:spacing w:val="-3"/>
                <w:position w:val="18"/>
                <w:sz w:val="24"/>
                <w:szCs w:val="24"/>
              </w:rPr>
              <w:t>+40c</w:t>
            </w:r>
            <w:r>
              <w:rPr>
                <w:rFonts w:ascii="Times New Roman" w:hAnsi="Times New Roman" w:eastAsia="Times New Roman" w:cs="Times New Roman"/>
                <w:spacing w:val="-4"/>
                <w:position w:val="18"/>
                <w:sz w:val="24"/>
                <w:szCs w:val="24"/>
              </w:rPr>
              <w:t>m</w:t>
            </w:r>
            <w:r>
              <w:rPr>
                <w:rFonts w:ascii="Times New Roman" w:hAnsi="Times New Roman" w:eastAsia="Times New Roman" w:cs="Times New Roman"/>
                <w:spacing w:val="16"/>
                <w:position w:val="18"/>
                <w:sz w:val="24"/>
                <w:szCs w:val="24"/>
              </w:rPr>
              <w:t xml:space="preserve"> </w:t>
            </w:r>
            <w:r>
              <w:rPr>
                <w:spacing w:val="-4"/>
                <w:position w:val="18"/>
                <w:sz w:val="24"/>
                <w:szCs w:val="24"/>
              </w:rPr>
              <w:t>厚</w:t>
            </w:r>
            <w:r>
              <w:rPr>
                <w:spacing w:val="-52"/>
                <w:position w:val="18"/>
                <w:sz w:val="24"/>
                <w:szCs w:val="24"/>
              </w:rPr>
              <w:t xml:space="preserve"> </w:t>
            </w:r>
            <w:r>
              <w:rPr>
                <w:rFonts w:ascii="Times New Roman" w:hAnsi="Times New Roman" w:eastAsia="Times New Roman" w:cs="Times New Roman"/>
                <w:spacing w:val="-4"/>
                <w:position w:val="18"/>
                <w:sz w:val="24"/>
                <w:szCs w:val="24"/>
              </w:rPr>
              <w:t xml:space="preserve">C30 </w:t>
            </w:r>
            <w:r>
              <w:rPr>
                <w:spacing w:val="-4"/>
                <w:position w:val="18"/>
                <w:sz w:val="24"/>
                <w:szCs w:val="24"/>
              </w:rPr>
              <w:t>钢筋混凝土</w:t>
            </w:r>
          </w:p>
          <w:p>
            <w:pPr>
              <w:pStyle w:val="6"/>
              <w:spacing w:line="219" w:lineRule="auto"/>
              <w:ind w:left="108"/>
              <w:rPr>
                <w:sz w:val="24"/>
                <w:szCs w:val="24"/>
              </w:rPr>
            </w:pPr>
            <w:r>
              <w:rPr>
                <w:spacing w:val="-4"/>
                <w:sz w:val="24"/>
                <w:szCs w:val="24"/>
              </w:rPr>
              <w:t>层</w:t>
            </w:r>
            <w:r>
              <w:rPr>
                <w:rFonts w:ascii="Times New Roman" w:hAnsi="Times New Roman" w:eastAsia="Times New Roman" w:cs="Times New Roman"/>
                <w:spacing w:val="-4"/>
                <w:sz w:val="24"/>
                <w:szCs w:val="24"/>
              </w:rPr>
              <w:t>+10cm</w:t>
            </w:r>
            <w:r>
              <w:rPr>
                <w:rFonts w:ascii="Times New Roman" w:hAnsi="Times New Roman" w:eastAsia="Times New Roman" w:cs="Times New Roman"/>
                <w:spacing w:val="18"/>
                <w:w w:val="101"/>
                <w:sz w:val="24"/>
                <w:szCs w:val="24"/>
              </w:rPr>
              <w:t xml:space="preserve"> </w:t>
            </w:r>
            <w:r>
              <w:rPr>
                <w:spacing w:val="-4"/>
                <w:sz w:val="24"/>
                <w:szCs w:val="24"/>
              </w:rPr>
              <w:t>厚</w:t>
            </w:r>
            <w:r>
              <w:rPr>
                <w:spacing w:val="-52"/>
                <w:sz w:val="24"/>
                <w:szCs w:val="24"/>
              </w:rPr>
              <w:t xml:space="preserve"> </w:t>
            </w:r>
            <w:r>
              <w:rPr>
                <w:rFonts w:ascii="Times New Roman" w:hAnsi="Times New Roman" w:eastAsia="Times New Roman" w:cs="Times New Roman"/>
                <w:spacing w:val="-4"/>
                <w:sz w:val="24"/>
                <w:szCs w:val="24"/>
              </w:rPr>
              <w:t xml:space="preserve">C15 </w:t>
            </w:r>
            <w:r>
              <w:rPr>
                <w:spacing w:val="-4"/>
                <w:sz w:val="24"/>
                <w:szCs w:val="24"/>
              </w:rPr>
              <w:t>混凝土层。</w:t>
            </w:r>
          </w:p>
          <w:p>
            <w:pPr>
              <w:pStyle w:val="6"/>
              <w:spacing w:before="195" w:line="480" w:lineRule="exact"/>
              <w:ind w:right="68"/>
              <w:jc w:val="right"/>
              <w:rPr>
                <w:sz w:val="24"/>
                <w:szCs w:val="24"/>
              </w:rPr>
            </w:pPr>
            <w:r>
              <w:rPr>
                <w:spacing w:val="-6"/>
                <w:position w:val="18"/>
                <w:sz w:val="24"/>
                <w:szCs w:val="24"/>
              </w:rPr>
              <w:t>后期临时储酸罐区可布置在岩屑堆放区利用其雨棚、挡墙围堰和地面防渗措施，</w:t>
            </w:r>
            <w:r>
              <w:rPr>
                <w:spacing w:val="68"/>
                <w:position w:val="18"/>
                <w:sz w:val="24"/>
                <w:szCs w:val="24"/>
              </w:rPr>
              <w:t xml:space="preserve"> </w:t>
            </w:r>
            <w:r>
              <w:rPr>
                <w:spacing w:val="-6"/>
                <w:position w:val="18"/>
                <w:sz w:val="24"/>
                <w:szCs w:val="24"/>
              </w:rPr>
              <w:t>同</w:t>
            </w:r>
          </w:p>
          <w:p>
            <w:pPr>
              <w:pStyle w:val="6"/>
              <w:spacing w:line="220" w:lineRule="auto"/>
              <w:ind w:left="119"/>
              <w:rPr>
                <w:sz w:val="24"/>
                <w:szCs w:val="24"/>
              </w:rPr>
            </w:pPr>
            <w:r>
              <w:rPr>
                <w:spacing w:val="-8"/>
                <w:sz w:val="24"/>
                <w:szCs w:val="24"/>
              </w:rPr>
              <w:t>时设置围堰。</w:t>
            </w:r>
          </w:p>
          <w:p>
            <w:pPr>
              <w:pStyle w:val="6"/>
              <w:spacing w:before="194" w:line="217" w:lineRule="auto"/>
              <w:ind w:left="586"/>
              <w:rPr>
                <w:sz w:val="24"/>
                <w:szCs w:val="24"/>
              </w:rPr>
            </w:pPr>
            <w:r>
              <w:rPr>
                <w:spacing w:val="-2"/>
                <w:sz w:val="24"/>
                <w:szCs w:val="24"/>
              </w:rPr>
              <w:t>②一般防渗区</w:t>
            </w:r>
          </w:p>
          <w:p>
            <w:pPr>
              <w:pStyle w:val="6"/>
              <w:spacing w:before="199" w:line="369" w:lineRule="auto"/>
              <w:ind w:left="109" w:right="87" w:firstLine="478"/>
              <w:rPr>
                <w:sz w:val="24"/>
                <w:szCs w:val="24"/>
              </w:rPr>
            </w:pPr>
            <w:r>
              <w:rPr>
                <w:spacing w:val="-10"/>
                <w:sz w:val="24"/>
                <w:szCs w:val="24"/>
              </w:rPr>
              <w:t>井场部分非设备基础区（包括清污分流排水沟） 、环保厕所。防渗要求：</w:t>
            </w:r>
            <w:r>
              <w:rPr>
                <w:spacing w:val="71"/>
                <w:sz w:val="24"/>
                <w:szCs w:val="24"/>
              </w:rPr>
              <w:t xml:space="preserve"> </w:t>
            </w:r>
            <w:r>
              <w:rPr>
                <w:spacing w:val="-10"/>
                <w:sz w:val="24"/>
                <w:szCs w:val="24"/>
              </w:rPr>
              <w:t>等效黏土</w:t>
            </w:r>
            <w:r>
              <w:rPr>
                <w:sz w:val="24"/>
                <w:szCs w:val="24"/>
              </w:rPr>
              <w:t xml:space="preserve"> </w:t>
            </w:r>
            <w:r>
              <w:rPr>
                <w:spacing w:val="-6"/>
                <w:sz w:val="24"/>
                <w:szCs w:val="24"/>
              </w:rPr>
              <w:t>防渗层厚度大于等于</w:t>
            </w:r>
            <w:r>
              <w:rPr>
                <w:spacing w:val="-26"/>
                <w:sz w:val="24"/>
                <w:szCs w:val="24"/>
              </w:rPr>
              <w:t xml:space="preserve"> </w:t>
            </w:r>
            <w:r>
              <w:rPr>
                <w:rFonts w:ascii="Times New Roman" w:hAnsi="Times New Roman" w:eastAsia="Times New Roman" w:cs="Times New Roman"/>
                <w:spacing w:val="-6"/>
                <w:sz w:val="24"/>
                <w:szCs w:val="24"/>
              </w:rPr>
              <w:t>1.5m</w:t>
            </w:r>
            <w:r>
              <w:rPr>
                <w:spacing w:val="-6"/>
                <w:sz w:val="24"/>
                <w:szCs w:val="24"/>
              </w:rPr>
              <w:t>，渗透系数小于等于</w:t>
            </w:r>
            <w:r>
              <w:rPr>
                <w:spacing w:val="-32"/>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6"/>
                <w:position w:val="9"/>
                <w:sz w:val="16"/>
                <w:szCs w:val="16"/>
              </w:rPr>
              <w:t>-7</w:t>
            </w:r>
            <w:r>
              <w:rPr>
                <w:rFonts w:ascii="Times New Roman" w:hAnsi="Times New Roman" w:eastAsia="Times New Roman" w:cs="Times New Roman"/>
                <w:spacing w:val="-6"/>
                <w:sz w:val="24"/>
                <w:szCs w:val="24"/>
              </w:rPr>
              <w:t>cm/s</w:t>
            </w:r>
            <w:r>
              <w:rPr>
                <w:rFonts w:ascii="Times New Roman" w:hAnsi="Times New Roman" w:eastAsia="Times New Roman" w:cs="Times New Roman"/>
                <w:spacing w:val="-27"/>
                <w:sz w:val="24"/>
                <w:szCs w:val="24"/>
              </w:rPr>
              <w:t xml:space="preserve"> </w:t>
            </w:r>
            <w:r>
              <w:rPr>
                <w:spacing w:val="-6"/>
                <w:sz w:val="24"/>
                <w:szCs w:val="24"/>
              </w:rPr>
              <w:t>。一般防渗区地坪： 通过在混凝</w:t>
            </w:r>
            <w:r>
              <w:rPr>
                <w:sz w:val="24"/>
                <w:szCs w:val="24"/>
              </w:rPr>
              <w:t xml:space="preserve"> </w:t>
            </w:r>
            <w:r>
              <w:rPr>
                <w:spacing w:val="-1"/>
                <w:sz w:val="24"/>
                <w:szCs w:val="24"/>
              </w:rPr>
              <w:t>土面层中掺水泥基渗透结晶型防水剂，其下铺砌砂石基层，原土夯</w:t>
            </w:r>
            <w:r>
              <w:rPr>
                <w:spacing w:val="-2"/>
                <w:sz w:val="24"/>
                <w:szCs w:val="24"/>
              </w:rPr>
              <w:t>实达到防渗的目的。</w:t>
            </w:r>
          </w:p>
          <w:p>
            <w:pPr>
              <w:pStyle w:val="6"/>
              <w:spacing w:before="1" w:line="218" w:lineRule="auto"/>
              <w:ind w:left="107"/>
              <w:rPr>
                <w:sz w:val="24"/>
                <w:szCs w:val="24"/>
              </w:rPr>
            </w:pPr>
            <w:r>
              <w:rPr>
                <w:spacing w:val="-1"/>
                <w:sz w:val="24"/>
                <w:szCs w:val="24"/>
              </w:rPr>
              <w:t>对于混凝土中间的伸缩缝和实体基础的缝隙，通过填充柔性材</w:t>
            </w:r>
            <w:r>
              <w:rPr>
                <w:spacing w:val="-2"/>
                <w:sz w:val="24"/>
                <w:szCs w:val="24"/>
              </w:rPr>
              <w:t>料达到防渗目的。</w:t>
            </w:r>
          </w:p>
          <w:p>
            <w:pPr>
              <w:pStyle w:val="6"/>
              <w:spacing w:before="196" w:line="219" w:lineRule="auto"/>
              <w:ind w:left="594"/>
              <w:rPr>
                <w:sz w:val="24"/>
                <w:szCs w:val="24"/>
              </w:rPr>
            </w:pPr>
            <w:r>
              <w:rPr>
                <w:spacing w:val="-2"/>
                <w:sz w:val="24"/>
                <w:szCs w:val="24"/>
              </w:rPr>
              <w:t>结合混凝防渗性能分析，设计中采取的防渗措施总体满足防渗要求。</w:t>
            </w:r>
          </w:p>
        </w:tc>
      </w:tr>
    </w:tbl>
    <w:p>
      <w:pPr>
        <w:pStyle w:val="2"/>
        <w:rPr>
          <w:sz w:val="21"/>
        </w:rPr>
      </w:pPr>
    </w:p>
    <w:p>
      <w:pPr>
        <w:rPr>
          <w:sz w:val="21"/>
          <w:szCs w:val="21"/>
        </w:rPr>
        <w:sectPr>
          <w:footerReference r:id="rId137"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593"/>
              <w:rPr>
                <w:sz w:val="24"/>
                <w:szCs w:val="24"/>
              </w:rPr>
            </w:pPr>
            <w:r>
              <w:rPr>
                <w:spacing w:val="-11"/>
                <w:position w:val="18"/>
                <w:sz w:val="24"/>
                <w:szCs w:val="24"/>
              </w:rPr>
              <w:t>简单防渗区：</w:t>
            </w:r>
            <w:r>
              <w:rPr>
                <w:spacing w:val="54"/>
                <w:position w:val="18"/>
                <w:sz w:val="24"/>
                <w:szCs w:val="24"/>
              </w:rPr>
              <w:t xml:space="preserve"> </w:t>
            </w:r>
            <w:r>
              <w:rPr>
                <w:spacing w:val="-11"/>
                <w:position w:val="18"/>
                <w:sz w:val="24"/>
                <w:szCs w:val="24"/>
              </w:rPr>
              <w:t>除重点防渗区和一般防渗区外的区域为简单防渗区，</w:t>
            </w:r>
            <w:r>
              <w:rPr>
                <w:spacing w:val="39"/>
                <w:position w:val="18"/>
                <w:sz w:val="24"/>
                <w:szCs w:val="24"/>
              </w:rPr>
              <w:t xml:space="preserve"> </w:t>
            </w:r>
            <w:r>
              <w:rPr>
                <w:spacing w:val="-11"/>
                <w:position w:val="18"/>
                <w:sz w:val="24"/>
                <w:szCs w:val="24"/>
              </w:rPr>
              <w:t>满足一般地面硬</w:t>
            </w:r>
          </w:p>
          <w:p>
            <w:pPr>
              <w:pStyle w:val="6"/>
              <w:spacing w:line="219" w:lineRule="auto"/>
              <w:ind w:left="109"/>
              <w:rPr>
                <w:sz w:val="24"/>
                <w:szCs w:val="24"/>
              </w:rPr>
            </w:pPr>
            <w:r>
              <w:rPr>
                <w:spacing w:val="-5"/>
                <w:sz w:val="24"/>
                <w:szCs w:val="24"/>
              </w:rPr>
              <w:t>化防渗技术要求。</w:t>
            </w:r>
          </w:p>
          <w:p>
            <w:pPr>
              <w:pStyle w:val="6"/>
              <w:spacing w:before="194" w:line="219" w:lineRule="auto"/>
              <w:ind w:left="588"/>
              <w:rPr>
                <w:sz w:val="24"/>
                <w:szCs w:val="24"/>
              </w:rPr>
            </w:pPr>
            <w:r>
              <w:rPr>
                <w:spacing w:val="-2"/>
                <w:sz w:val="24"/>
                <w:szCs w:val="24"/>
              </w:rPr>
              <w:t>满足简单防渗区的防渗要求，防范措施纳入工程投资，技术经济可行。</w:t>
            </w:r>
          </w:p>
          <w:p>
            <w:pPr>
              <w:pStyle w:val="6"/>
              <w:spacing w:before="194" w:line="220" w:lineRule="auto"/>
              <w:ind w:left="597"/>
              <w:rPr>
                <w:sz w:val="24"/>
                <w:szCs w:val="24"/>
              </w:rPr>
            </w:pPr>
            <w:r>
              <w:rPr>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spacing w:val="-1"/>
                <w:sz w:val="24"/>
                <w:szCs w:val="24"/>
                <w14:textOutline w14:w="4354" w14:cap="flat" w14:cmpd="sng">
                  <w14:solidFill>
                    <w14:srgbClr w14:val="000000"/>
                  </w14:solidFill>
                  <w14:prstDash w14:val="solid"/>
                  <w14:miter w14:val="10"/>
                </w14:textOutline>
              </w:rPr>
              <w:t>）地下水饮用水源保护措施</w:t>
            </w:r>
          </w:p>
          <w:p>
            <w:pPr>
              <w:pStyle w:val="6"/>
              <w:spacing w:before="198" w:line="369" w:lineRule="auto"/>
              <w:ind w:left="107" w:right="99" w:firstLine="480"/>
              <w:rPr>
                <w:sz w:val="24"/>
                <w:szCs w:val="24"/>
              </w:rPr>
            </w:pPr>
            <w:r>
              <w:rPr>
                <w:spacing w:val="-5"/>
                <w:sz w:val="24"/>
                <w:szCs w:val="24"/>
              </w:rPr>
              <w:t>通过采取上述地下水防治措施可有效保护工程所在地地下水环境， 合理选址和分区</w:t>
            </w:r>
            <w:r>
              <w:rPr>
                <w:spacing w:val="4"/>
                <w:sz w:val="24"/>
                <w:szCs w:val="24"/>
              </w:rPr>
              <w:t xml:space="preserve"> </w:t>
            </w:r>
            <w:r>
              <w:rPr>
                <w:spacing w:val="-2"/>
                <w:sz w:val="24"/>
                <w:szCs w:val="24"/>
              </w:rPr>
              <w:t>防渗、重点防护等措施在天然气井建设项目中已多次成功应用，地下水防治措施可行，</w:t>
            </w:r>
            <w:r>
              <w:rPr>
                <w:spacing w:val="13"/>
                <w:sz w:val="24"/>
                <w:szCs w:val="24"/>
              </w:rPr>
              <w:t xml:space="preserve"> </w:t>
            </w:r>
            <w:r>
              <w:rPr>
                <w:spacing w:val="-5"/>
                <w:sz w:val="24"/>
                <w:szCs w:val="24"/>
              </w:rPr>
              <w:t>本工程建设正常工况下对当地居民取水水井地下水环境影响较小， 但在事故工况下会对</w:t>
            </w:r>
            <w:r>
              <w:rPr>
                <w:spacing w:val="16"/>
                <w:sz w:val="24"/>
                <w:szCs w:val="24"/>
              </w:rPr>
              <w:t xml:space="preserve"> </w:t>
            </w:r>
            <w:r>
              <w:rPr>
                <w:spacing w:val="-2"/>
                <w:sz w:val="24"/>
                <w:szCs w:val="24"/>
              </w:rPr>
              <w:t>区域地下水含水层造成一定范围的超标影响。鉴于工程未纳入当地地方自来水管网供给</w:t>
            </w:r>
            <w:r>
              <w:rPr>
                <w:spacing w:val="16"/>
                <w:sz w:val="24"/>
                <w:szCs w:val="24"/>
              </w:rPr>
              <w:t xml:space="preserve"> </w:t>
            </w:r>
            <w:r>
              <w:rPr>
                <w:spacing w:val="-12"/>
                <w:sz w:val="24"/>
                <w:szCs w:val="24"/>
              </w:rPr>
              <w:t>区，</w:t>
            </w:r>
            <w:r>
              <w:rPr>
                <w:spacing w:val="-43"/>
                <w:sz w:val="24"/>
                <w:szCs w:val="24"/>
              </w:rPr>
              <w:t xml:space="preserve"> </w:t>
            </w:r>
            <w:r>
              <w:rPr>
                <w:spacing w:val="-12"/>
                <w:sz w:val="24"/>
                <w:szCs w:val="24"/>
              </w:rPr>
              <w:t>居民生活用水保障度较低，</w:t>
            </w:r>
            <w:r>
              <w:rPr>
                <w:spacing w:val="48"/>
                <w:sz w:val="24"/>
                <w:szCs w:val="24"/>
              </w:rPr>
              <w:t xml:space="preserve"> </w:t>
            </w:r>
            <w:r>
              <w:rPr>
                <w:spacing w:val="-12"/>
                <w:sz w:val="24"/>
                <w:szCs w:val="24"/>
              </w:rPr>
              <w:t>居民水井一旦受</w:t>
            </w:r>
            <w:r>
              <w:rPr>
                <w:spacing w:val="-13"/>
                <w:sz w:val="24"/>
                <w:szCs w:val="24"/>
              </w:rPr>
              <w:t>本项目影响，</w:t>
            </w:r>
            <w:r>
              <w:rPr>
                <w:spacing w:val="48"/>
                <w:sz w:val="24"/>
                <w:szCs w:val="24"/>
              </w:rPr>
              <w:t xml:space="preserve"> </w:t>
            </w:r>
            <w:r>
              <w:rPr>
                <w:spacing w:val="-13"/>
                <w:sz w:val="24"/>
                <w:szCs w:val="24"/>
              </w:rPr>
              <w:t>居民饮用水供给得不到有</w:t>
            </w:r>
            <w:r>
              <w:rPr>
                <w:sz w:val="24"/>
                <w:szCs w:val="24"/>
              </w:rPr>
              <w:t xml:space="preserve"> </w:t>
            </w:r>
            <w:r>
              <w:rPr>
                <w:spacing w:val="-13"/>
                <w:sz w:val="24"/>
                <w:szCs w:val="24"/>
              </w:rPr>
              <w:t>效保障， 环境影响后果较大，</w:t>
            </w:r>
            <w:r>
              <w:rPr>
                <w:spacing w:val="50"/>
                <w:sz w:val="24"/>
                <w:szCs w:val="24"/>
              </w:rPr>
              <w:t xml:space="preserve"> </w:t>
            </w:r>
            <w:r>
              <w:rPr>
                <w:spacing w:val="-13"/>
                <w:sz w:val="24"/>
                <w:szCs w:val="24"/>
              </w:rPr>
              <w:t>故本评价建议在发生地下水污染事故</w:t>
            </w:r>
            <w:r>
              <w:rPr>
                <w:spacing w:val="-14"/>
                <w:sz w:val="24"/>
                <w:szCs w:val="24"/>
              </w:rPr>
              <w:t>时，</w:t>
            </w:r>
            <w:r>
              <w:rPr>
                <w:spacing w:val="47"/>
                <w:sz w:val="24"/>
                <w:szCs w:val="24"/>
              </w:rPr>
              <w:t xml:space="preserve"> </w:t>
            </w:r>
            <w:r>
              <w:rPr>
                <w:spacing w:val="-14"/>
                <w:sz w:val="24"/>
                <w:szCs w:val="24"/>
              </w:rPr>
              <w:t>若发现地下水受</w:t>
            </w:r>
            <w:r>
              <w:rPr>
                <w:sz w:val="24"/>
                <w:szCs w:val="24"/>
              </w:rPr>
              <w:t xml:space="preserve"> </w:t>
            </w:r>
            <w:r>
              <w:rPr>
                <w:spacing w:val="-14"/>
                <w:sz w:val="24"/>
                <w:szCs w:val="24"/>
              </w:rPr>
              <w:t>到污染， 立即告知村民停止饮用地下水源，</w:t>
            </w:r>
            <w:r>
              <w:rPr>
                <w:spacing w:val="61"/>
                <w:sz w:val="24"/>
                <w:szCs w:val="24"/>
              </w:rPr>
              <w:t xml:space="preserve"> </w:t>
            </w:r>
            <w:r>
              <w:rPr>
                <w:spacing w:val="-14"/>
                <w:sz w:val="24"/>
                <w:szCs w:val="24"/>
              </w:rPr>
              <w:t>启动地下水应急监测方案，</w:t>
            </w:r>
            <w:r>
              <w:rPr>
                <w:spacing w:val="65"/>
                <w:sz w:val="24"/>
                <w:szCs w:val="24"/>
              </w:rPr>
              <w:t xml:space="preserve"> </w:t>
            </w:r>
            <w:r>
              <w:rPr>
                <w:spacing w:val="-14"/>
                <w:sz w:val="24"/>
                <w:szCs w:val="24"/>
              </w:rPr>
              <w:t>因本工程导致周</w:t>
            </w:r>
            <w:r>
              <w:rPr>
                <w:sz w:val="24"/>
                <w:szCs w:val="24"/>
              </w:rPr>
              <w:t xml:space="preserve"> </w:t>
            </w:r>
            <w:r>
              <w:rPr>
                <w:spacing w:val="-11"/>
                <w:sz w:val="24"/>
                <w:szCs w:val="24"/>
              </w:rPr>
              <w:t>边居民饮水及生产用水困难时，</w:t>
            </w:r>
            <w:r>
              <w:rPr>
                <w:spacing w:val="70"/>
                <w:sz w:val="24"/>
                <w:szCs w:val="24"/>
              </w:rPr>
              <w:t xml:space="preserve"> </w:t>
            </w:r>
            <w:r>
              <w:rPr>
                <w:spacing w:val="-11"/>
                <w:sz w:val="24"/>
                <w:szCs w:val="24"/>
              </w:rPr>
              <w:t>由建设单位应解决居民用水问题，</w:t>
            </w:r>
            <w:r>
              <w:rPr>
                <w:spacing w:val="52"/>
                <w:sz w:val="24"/>
                <w:szCs w:val="24"/>
              </w:rPr>
              <w:t xml:space="preserve"> </w:t>
            </w:r>
            <w:r>
              <w:rPr>
                <w:spacing w:val="-11"/>
                <w:sz w:val="24"/>
                <w:szCs w:val="24"/>
              </w:rPr>
              <w:t>临时拉运江陵镇自来</w:t>
            </w:r>
          </w:p>
          <w:p>
            <w:pPr>
              <w:pStyle w:val="6"/>
              <w:spacing w:line="219" w:lineRule="auto"/>
              <w:ind w:left="111"/>
              <w:rPr>
                <w:sz w:val="24"/>
                <w:szCs w:val="24"/>
              </w:rPr>
            </w:pPr>
            <w:r>
              <w:rPr>
                <w:spacing w:val="-2"/>
                <w:sz w:val="24"/>
                <w:szCs w:val="24"/>
              </w:rPr>
              <w:t>水或外购桶装水等方式解决居民用水问题，直到居民饮水问题得以解决。</w:t>
            </w:r>
          </w:p>
          <w:p>
            <w:pPr>
              <w:pStyle w:val="6"/>
              <w:spacing w:before="195" w:line="480" w:lineRule="exact"/>
              <w:ind w:left="597"/>
              <w:rPr>
                <w:sz w:val="24"/>
                <w:szCs w:val="24"/>
              </w:rPr>
            </w:pPr>
            <w:r>
              <w:rPr>
                <w:spacing w:val="-1"/>
                <w:position w:val="18"/>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position w:val="18"/>
                <w:sz w:val="24"/>
                <w:szCs w:val="24"/>
              </w:rPr>
              <w:t>4</w:t>
            </w:r>
            <w:r>
              <w:rPr>
                <w:spacing w:val="-1"/>
                <w:position w:val="18"/>
                <w:sz w:val="24"/>
                <w:szCs w:val="24"/>
                <w14:textOutline w14:w="4354" w14:cap="flat" w14:cmpd="sng">
                  <w14:solidFill>
                    <w14:srgbClr w14:val="000000"/>
                  </w14:solidFill>
                  <w14:prstDash w14:val="solid"/>
                  <w14:miter w14:val="10"/>
                </w14:textOutline>
              </w:rPr>
              <w:t>）跟踪监测和应急响应</w:t>
            </w:r>
          </w:p>
          <w:p>
            <w:pPr>
              <w:pStyle w:val="6"/>
              <w:spacing w:line="217" w:lineRule="auto"/>
              <w:ind w:left="589"/>
              <w:rPr>
                <w:sz w:val="24"/>
                <w:szCs w:val="24"/>
              </w:rPr>
            </w:pPr>
            <w:r>
              <w:rPr>
                <w:spacing w:val="-1"/>
                <w:sz w:val="24"/>
                <w:szCs w:val="24"/>
                <w14:textOutline w14:w="4354" w14:cap="flat" w14:cmpd="sng">
                  <w14:solidFill>
                    <w14:srgbClr w14:val="000000"/>
                  </w14:solidFill>
                  <w14:prstDash w14:val="solid"/>
                  <w14:miter w14:val="10"/>
                </w14:textOutline>
              </w:rPr>
              <w:t>①地下水监测原则</w:t>
            </w:r>
          </w:p>
          <w:p>
            <w:pPr>
              <w:pStyle w:val="6"/>
              <w:spacing w:before="199" w:line="369" w:lineRule="auto"/>
              <w:ind w:left="110" w:right="112" w:firstLine="479"/>
              <w:rPr>
                <w:sz w:val="24"/>
                <w:szCs w:val="24"/>
              </w:rPr>
            </w:pPr>
            <w:r>
              <w:rPr>
                <w:spacing w:val="-4"/>
                <w:sz w:val="24"/>
                <w:szCs w:val="24"/>
              </w:rPr>
              <w:t>按照《环境影响评价技术导则地下水环境》（</w:t>
            </w:r>
            <w:r>
              <w:rPr>
                <w:rFonts w:ascii="Times New Roman" w:hAnsi="Times New Roman" w:eastAsia="Times New Roman" w:cs="Times New Roman"/>
                <w:spacing w:val="-4"/>
                <w:sz w:val="24"/>
                <w:szCs w:val="24"/>
              </w:rPr>
              <w:t>HJ 610-2016</w:t>
            </w:r>
            <w:r>
              <w:rPr>
                <w:spacing w:val="-4"/>
                <w:sz w:val="24"/>
                <w:szCs w:val="24"/>
              </w:rPr>
              <w:t>）、</w:t>
            </w:r>
            <w:r>
              <w:rPr>
                <w:spacing w:val="-71"/>
                <w:sz w:val="24"/>
                <w:szCs w:val="24"/>
              </w:rPr>
              <w:t xml:space="preserve"> </w:t>
            </w:r>
            <w:r>
              <w:rPr>
                <w:spacing w:val="-4"/>
                <w:sz w:val="24"/>
                <w:szCs w:val="24"/>
              </w:rPr>
              <w:t>《地下水环境监测技</w:t>
            </w:r>
            <w:r>
              <w:rPr>
                <w:sz w:val="24"/>
                <w:szCs w:val="24"/>
              </w:rPr>
              <w:t xml:space="preserve"> </w:t>
            </w:r>
            <w:r>
              <w:rPr>
                <w:spacing w:val="2"/>
                <w:sz w:val="24"/>
                <w:szCs w:val="24"/>
              </w:rPr>
              <w:t>术规范》（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/T  164-2020</w:t>
            </w:r>
            <w:r>
              <w:rPr>
                <w:spacing w:val="2"/>
                <w:sz w:val="24"/>
                <w:szCs w:val="24"/>
              </w:rPr>
              <w:t>）、《工业企业土壤和地下水自行监测技术指南（试行）》</w:t>
            </w:r>
            <w:r>
              <w:rPr>
                <w:spacing w:val="1"/>
                <w:sz w:val="24"/>
                <w:szCs w:val="24"/>
              </w:rPr>
              <w:t xml:space="preserve"> </w:t>
            </w:r>
            <w:r>
              <w:rPr>
                <w:spacing w:val="13"/>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3"/>
                <w:sz w:val="24"/>
                <w:szCs w:val="24"/>
              </w:rPr>
              <w:t xml:space="preserve">1209-2021 </w:t>
            </w:r>
            <w:r>
              <w:rPr>
                <w:spacing w:val="13"/>
                <w:sz w:val="24"/>
                <w:szCs w:val="24"/>
              </w:rPr>
              <w:t>）和《</w:t>
            </w:r>
            <w:r>
              <w:rPr>
                <w:spacing w:val="-45"/>
                <w:sz w:val="24"/>
                <w:szCs w:val="24"/>
              </w:rPr>
              <w:t xml:space="preserve"> </w:t>
            </w:r>
            <w:r>
              <w:rPr>
                <w:spacing w:val="13"/>
                <w:sz w:val="24"/>
                <w:szCs w:val="24"/>
              </w:rPr>
              <w:t>排污单位</w:t>
            </w:r>
            <w:r>
              <w:rPr>
                <w:spacing w:val="-41"/>
                <w:sz w:val="24"/>
                <w:szCs w:val="24"/>
              </w:rPr>
              <w:t xml:space="preserve"> </w:t>
            </w:r>
            <w:r>
              <w:rPr>
                <w:spacing w:val="13"/>
                <w:sz w:val="24"/>
                <w:szCs w:val="24"/>
              </w:rPr>
              <w:t>自</w:t>
            </w:r>
            <w:r>
              <w:rPr>
                <w:spacing w:val="-70"/>
                <w:sz w:val="24"/>
                <w:szCs w:val="24"/>
              </w:rPr>
              <w:t xml:space="preserve"> </w:t>
            </w:r>
            <w:r>
              <w:rPr>
                <w:spacing w:val="13"/>
                <w:sz w:val="24"/>
                <w:szCs w:val="24"/>
              </w:rPr>
              <w:t>行监测技术指南</w:t>
            </w:r>
            <w:r>
              <w:rPr>
                <w:spacing w:val="85"/>
                <w:sz w:val="24"/>
                <w:szCs w:val="24"/>
              </w:rPr>
              <w:t xml:space="preserve"> </w:t>
            </w:r>
            <w:r>
              <w:rPr>
                <w:spacing w:val="13"/>
                <w:sz w:val="24"/>
                <w:szCs w:val="24"/>
              </w:rPr>
              <w:t>陆上石油天然气开采工业</w:t>
            </w:r>
            <w:r>
              <w:rPr>
                <w:spacing w:val="-66"/>
                <w:sz w:val="24"/>
                <w:szCs w:val="24"/>
              </w:rPr>
              <w:t xml:space="preserve"> </w:t>
            </w:r>
            <w:r>
              <w:rPr>
                <w:spacing w:val="13"/>
                <w:sz w:val="24"/>
                <w:szCs w:val="24"/>
              </w:rPr>
              <w:t>》</w:t>
            </w:r>
          </w:p>
          <w:p>
            <w:pPr>
              <w:pStyle w:val="6"/>
              <w:spacing w:before="1" w:line="219" w:lineRule="auto"/>
              <w:ind w:left="114"/>
              <w:rPr>
                <w:sz w:val="24"/>
                <w:szCs w:val="24"/>
              </w:rPr>
            </w:pPr>
            <w:r>
              <w:rPr>
                <w:spacing w:val="-2"/>
                <w:sz w:val="24"/>
                <w:szCs w:val="24"/>
              </w:rPr>
              <w:t>（</w:t>
            </w:r>
            <w:r>
              <w:rPr>
                <w:rFonts w:ascii="Times New Roman" w:hAnsi="Times New Roman" w:eastAsia="Times New Roman" w:cs="Times New Roman"/>
                <w:spacing w:val="-2"/>
                <w:sz w:val="24"/>
                <w:szCs w:val="24"/>
              </w:rPr>
              <w:t>HJ1248-2022</w:t>
            </w:r>
            <w:r>
              <w:rPr>
                <w:spacing w:val="-2"/>
                <w:sz w:val="24"/>
                <w:szCs w:val="24"/>
              </w:rPr>
              <w:t>）等要求，地下水监测应按以下原</w:t>
            </w:r>
            <w:r>
              <w:rPr>
                <w:spacing w:val="-3"/>
                <w:sz w:val="24"/>
                <w:szCs w:val="24"/>
              </w:rPr>
              <w:t>则进行：</w:t>
            </w:r>
          </w:p>
          <w:p>
            <w:pPr>
              <w:pStyle w:val="6"/>
              <w:spacing w:before="194" w:line="218" w:lineRule="auto"/>
              <w:ind w:left="607"/>
              <w:rPr>
                <w:sz w:val="24"/>
                <w:szCs w:val="24"/>
              </w:rPr>
            </w:pPr>
            <w:r>
              <w:rPr>
                <w:rFonts w:ascii="Times New Roman" w:hAnsi="Times New Roman" w:eastAsia="Times New Roman" w:cs="Times New Roman"/>
                <w:spacing w:val="-3"/>
                <w:sz w:val="24"/>
                <w:szCs w:val="24"/>
              </w:rPr>
              <w:t>1</w:t>
            </w:r>
            <w:r>
              <w:rPr>
                <w:spacing w:val="-3"/>
                <w:sz w:val="24"/>
                <w:szCs w:val="24"/>
              </w:rPr>
              <w:t>）二级评价建设项目监测点一般不少于</w:t>
            </w:r>
            <w:r>
              <w:rPr>
                <w:spacing w:val="-46"/>
                <w:sz w:val="24"/>
                <w:szCs w:val="24"/>
              </w:rPr>
              <w:t xml:space="preserve"> </w:t>
            </w:r>
            <w:r>
              <w:rPr>
                <w:rFonts w:ascii="Times New Roman" w:hAnsi="Times New Roman" w:eastAsia="Times New Roman" w:cs="Times New Roman"/>
                <w:spacing w:val="-3"/>
                <w:sz w:val="24"/>
                <w:szCs w:val="24"/>
              </w:rPr>
              <w:t xml:space="preserve">3 </w:t>
            </w:r>
            <w:r>
              <w:rPr>
                <w:spacing w:val="-3"/>
                <w:sz w:val="24"/>
                <w:szCs w:val="24"/>
              </w:rPr>
              <w:t>个；</w:t>
            </w:r>
          </w:p>
          <w:p>
            <w:pPr>
              <w:pStyle w:val="6"/>
              <w:spacing w:before="196" w:line="220" w:lineRule="auto"/>
              <w:ind w:left="584"/>
              <w:rPr>
                <w:sz w:val="24"/>
                <w:szCs w:val="24"/>
              </w:rPr>
            </w:pPr>
            <w:r>
              <w:rPr>
                <w:rFonts w:ascii="Times New Roman" w:hAnsi="Times New Roman" w:eastAsia="Times New Roman" w:cs="Times New Roman"/>
                <w:spacing w:val="-4"/>
                <w:sz w:val="24"/>
                <w:szCs w:val="24"/>
              </w:rPr>
              <w:t>2</w:t>
            </w:r>
            <w:r>
              <w:rPr>
                <w:spacing w:val="-4"/>
                <w:sz w:val="24"/>
                <w:szCs w:val="24"/>
              </w:rPr>
              <w:t xml:space="preserve">）在地下水水流上游应设 </w:t>
            </w:r>
            <w:r>
              <w:rPr>
                <w:rFonts w:ascii="Times New Roman" w:hAnsi="Times New Roman" w:eastAsia="Times New Roman" w:cs="Times New Roman"/>
                <w:spacing w:val="-4"/>
                <w:sz w:val="24"/>
                <w:szCs w:val="24"/>
              </w:rPr>
              <w:t xml:space="preserve">1 </w:t>
            </w:r>
            <w:r>
              <w:rPr>
                <w:spacing w:val="-4"/>
                <w:sz w:val="24"/>
                <w:szCs w:val="24"/>
              </w:rPr>
              <w:t>个地下水背景（或对照）监控井；</w:t>
            </w:r>
          </w:p>
          <w:p>
            <w:pPr>
              <w:pStyle w:val="6"/>
              <w:spacing w:before="195" w:line="480" w:lineRule="exact"/>
              <w:ind w:left="588"/>
              <w:rPr>
                <w:sz w:val="24"/>
                <w:szCs w:val="24"/>
              </w:rPr>
            </w:pPr>
            <w:r>
              <w:rPr>
                <w:rFonts w:ascii="Times New Roman" w:hAnsi="Times New Roman" w:eastAsia="Times New Roman" w:cs="Times New Roman"/>
                <w:spacing w:val="-1"/>
                <w:position w:val="18"/>
                <w:sz w:val="24"/>
                <w:szCs w:val="24"/>
              </w:rPr>
              <w:t>3</w:t>
            </w:r>
            <w:r>
              <w:rPr>
                <w:spacing w:val="-1"/>
                <w:position w:val="18"/>
                <w:sz w:val="24"/>
                <w:szCs w:val="24"/>
              </w:rPr>
              <w:t>）在项目场地外可能受到影响的地下水环境敏感目</w:t>
            </w:r>
            <w:r>
              <w:rPr>
                <w:spacing w:val="-2"/>
                <w:position w:val="18"/>
                <w:sz w:val="24"/>
                <w:szCs w:val="24"/>
              </w:rPr>
              <w:t xml:space="preserve">标的上游应至少布设 </w:t>
            </w:r>
            <w:r>
              <w:rPr>
                <w:rFonts w:ascii="Times New Roman" w:hAnsi="Times New Roman" w:eastAsia="Times New Roman" w:cs="Times New Roman"/>
                <w:spacing w:val="-2"/>
                <w:position w:val="18"/>
                <w:sz w:val="24"/>
                <w:szCs w:val="24"/>
              </w:rPr>
              <w:t xml:space="preserve">1  </w:t>
            </w:r>
            <w:r>
              <w:rPr>
                <w:spacing w:val="-2"/>
                <w:position w:val="18"/>
                <w:sz w:val="24"/>
                <w:szCs w:val="24"/>
              </w:rPr>
              <w:t>个地下</w:t>
            </w:r>
          </w:p>
          <w:p>
            <w:pPr>
              <w:pStyle w:val="6"/>
              <w:spacing w:before="1" w:line="219" w:lineRule="auto"/>
              <w:ind w:left="111"/>
              <w:rPr>
                <w:sz w:val="24"/>
                <w:szCs w:val="24"/>
              </w:rPr>
            </w:pPr>
            <w:r>
              <w:rPr>
                <w:spacing w:val="-9"/>
                <w:sz w:val="24"/>
                <w:szCs w:val="24"/>
              </w:rPr>
              <w:t>水污染监控井；</w:t>
            </w:r>
          </w:p>
          <w:p>
            <w:pPr>
              <w:pStyle w:val="6"/>
              <w:spacing w:before="194" w:line="481" w:lineRule="exact"/>
              <w:ind w:left="582"/>
              <w:rPr>
                <w:sz w:val="24"/>
                <w:szCs w:val="24"/>
              </w:rPr>
            </w:pPr>
            <w:r>
              <w:rPr>
                <w:rFonts w:ascii="Times New Roman" w:hAnsi="Times New Roman" w:eastAsia="Times New Roman" w:cs="Times New Roman"/>
                <w:spacing w:val="2"/>
                <w:position w:val="18"/>
                <w:sz w:val="24"/>
                <w:szCs w:val="24"/>
              </w:rPr>
              <w:t>4</w:t>
            </w:r>
            <w:r>
              <w:rPr>
                <w:spacing w:val="2"/>
                <w:position w:val="18"/>
                <w:sz w:val="24"/>
                <w:szCs w:val="24"/>
              </w:rPr>
              <w:t>）以取水层为监测目的层，以浅层潜水含水层为主，</w:t>
            </w:r>
            <w:r>
              <w:rPr>
                <w:spacing w:val="1"/>
                <w:position w:val="18"/>
                <w:sz w:val="24"/>
                <w:szCs w:val="24"/>
              </w:rPr>
              <w:t>并应考虑可能受影响的承压</w:t>
            </w:r>
          </w:p>
          <w:p>
            <w:pPr>
              <w:pStyle w:val="6"/>
              <w:spacing w:before="1" w:line="219" w:lineRule="auto"/>
              <w:ind w:left="108"/>
              <w:rPr>
                <w:sz w:val="24"/>
                <w:szCs w:val="24"/>
              </w:rPr>
            </w:pPr>
            <w:r>
              <w:rPr>
                <w:spacing w:val="-13"/>
                <w:sz w:val="24"/>
                <w:szCs w:val="24"/>
              </w:rPr>
              <w:t>含水层；</w:t>
            </w:r>
          </w:p>
          <w:p>
            <w:pPr>
              <w:pStyle w:val="6"/>
              <w:spacing w:before="194" w:line="220" w:lineRule="auto"/>
              <w:ind w:left="590"/>
              <w:rPr>
                <w:sz w:val="24"/>
                <w:szCs w:val="24"/>
              </w:rPr>
            </w:pPr>
            <w:r>
              <w:rPr>
                <w:rFonts w:ascii="Times New Roman" w:hAnsi="Times New Roman" w:eastAsia="Times New Roman" w:cs="Times New Roman"/>
                <w:spacing w:val="-5"/>
                <w:sz w:val="24"/>
                <w:szCs w:val="24"/>
              </w:rPr>
              <w:t>5</w:t>
            </w:r>
            <w:r>
              <w:rPr>
                <w:spacing w:val="-5"/>
                <w:sz w:val="24"/>
                <w:szCs w:val="24"/>
              </w:rPr>
              <w:t>）在重点污染防治区加密监测；</w:t>
            </w:r>
          </w:p>
          <w:p>
            <w:pPr>
              <w:pStyle w:val="6"/>
              <w:spacing w:before="194" w:line="218" w:lineRule="auto"/>
              <w:ind w:left="589"/>
              <w:rPr>
                <w:sz w:val="24"/>
                <w:szCs w:val="24"/>
              </w:rPr>
            </w:pPr>
            <w:r>
              <w:rPr>
                <w:rFonts w:ascii="Times New Roman" w:hAnsi="Times New Roman" w:eastAsia="Times New Roman" w:cs="Times New Roman"/>
                <w:spacing w:val="-2"/>
                <w:sz w:val="24"/>
                <w:szCs w:val="24"/>
              </w:rPr>
              <w:t>6</w:t>
            </w:r>
            <w:r>
              <w:rPr>
                <w:spacing w:val="-2"/>
                <w:sz w:val="24"/>
                <w:szCs w:val="24"/>
              </w:rPr>
              <w:t>）根据各区块地下水环境影响预测与评价结果有针对性地布设监测</w:t>
            </w:r>
            <w:r>
              <w:rPr>
                <w:spacing w:val="-3"/>
                <w:sz w:val="24"/>
                <w:szCs w:val="24"/>
              </w:rPr>
              <w:t>井；</w:t>
            </w:r>
          </w:p>
          <w:p>
            <w:pPr>
              <w:pStyle w:val="6"/>
              <w:spacing w:before="197" w:line="480" w:lineRule="exact"/>
              <w:ind w:left="587"/>
              <w:rPr>
                <w:sz w:val="24"/>
                <w:szCs w:val="24"/>
              </w:rPr>
            </w:pPr>
            <w:r>
              <w:rPr>
                <w:rFonts w:ascii="Times New Roman" w:hAnsi="Times New Roman" w:eastAsia="Times New Roman" w:cs="Times New Roman"/>
                <w:spacing w:val="2"/>
                <w:position w:val="18"/>
                <w:sz w:val="24"/>
                <w:szCs w:val="24"/>
              </w:rPr>
              <w:t>7</w:t>
            </w:r>
            <w:r>
              <w:rPr>
                <w:spacing w:val="2"/>
                <w:position w:val="18"/>
                <w:sz w:val="24"/>
                <w:szCs w:val="24"/>
              </w:rPr>
              <w:t>）充分利用现有民井、监测井，污染事件发生后监测井</w:t>
            </w:r>
            <w:r>
              <w:rPr>
                <w:spacing w:val="1"/>
                <w:position w:val="18"/>
                <w:sz w:val="24"/>
                <w:szCs w:val="24"/>
              </w:rPr>
              <w:t>可以作为地下水污染事故</w:t>
            </w:r>
          </w:p>
          <w:p>
            <w:pPr>
              <w:pStyle w:val="6"/>
              <w:spacing w:line="219" w:lineRule="auto"/>
              <w:ind w:left="108"/>
              <w:rPr>
                <w:sz w:val="24"/>
                <w:szCs w:val="24"/>
              </w:rPr>
            </w:pPr>
            <w:r>
              <w:rPr>
                <w:spacing w:val="-7"/>
                <w:sz w:val="24"/>
                <w:szCs w:val="24"/>
              </w:rPr>
              <w:t>应急处置的抽水井；</w:t>
            </w:r>
          </w:p>
        </w:tc>
      </w:tr>
    </w:tbl>
    <w:p>
      <w:pPr>
        <w:pStyle w:val="2"/>
        <w:rPr>
          <w:sz w:val="21"/>
        </w:rPr>
      </w:pPr>
    </w:p>
    <w:p>
      <w:pPr>
        <w:rPr>
          <w:sz w:val="21"/>
          <w:szCs w:val="21"/>
        </w:rPr>
        <w:sectPr>
          <w:footerReference r:id="rId138"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5"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12" w:right="100" w:firstLine="481"/>
              <w:jc w:val="both"/>
              <w:rPr>
                <w:sz w:val="24"/>
                <w:szCs w:val="24"/>
              </w:rPr>
            </w:pPr>
            <w:r>
              <w:rPr>
                <w:rFonts w:ascii="Times New Roman" w:hAnsi="Times New Roman" w:eastAsia="Times New Roman" w:cs="Times New Roman"/>
                <w:spacing w:val="-1"/>
                <w:sz w:val="24"/>
                <w:szCs w:val="24"/>
              </w:rPr>
              <w:t>8</w:t>
            </w:r>
            <w:r>
              <w:rPr>
                <w:spacing w:val="-1"/>
                <w:sz w:val="24"/>
                <w:szCs w:val="24"/>
              </w:rPr>
              <w:t>）水质监测项目参照《地下水质量标准》（</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14848-2</w:t>
            </w:r>
            <w:r>
              <w:rPr>
                <w:rFonts w:ascii="Times New Roman" w:hAnsi="Times New Roman" w:eastAsia="Times New Roman" w:cs="Times New Roman"/>
                <w:spacing w:val="-2"/>
                <w:sz w:val="24"/>
                <w:szCs w:val="24"/>
              </w:rPr>
              <w:t>017</w:t>
            </w:r>
            <w:r>
              <w:rPr>
                <w:spacing w:val="-2"/>
                <w:sz w:val="24"/>
                <w:szCs w:val="24"/>
              </w:rPr>
              <w:t>）相关要求和潜在污</w:t>
            </w:r>
            <w:r>
              <w:rPr>
                <w:sz w:val="24"/>
                <w:szCs w:val="24"/>
              </w:rPr>
              <w:t xml:space="preserve"> </w:t>
            </w:r>
            <w:r>
              <w:rPr>
                <w:spacing w:val="-6"/>
                <w:sz w:val="24"/>
                <w:szCs w:val="24"/>
              </w:rPr>
              <w:t>染源特征污染因子确定，</w:t>
            </w:r>
            <w:r>
              <w:rPr>
                <w:spacing w:val="45"/>
                <w:sz w:val="24"/>
                <w:szCs w:val="24"/>
              </w:rPr>
              <w:t xml:space="preserve"> </w:t>
            </w:r>
            <w:r>
              <w:rPr>
                <w:spacing w:val="-6"/>
                <w:sz w:val="24"/>
                <w:szCs w:val="24"/>
              </w:rPr>
              <w:t>各监测井可依据监测目的不同适当增加和减少监测项目。建设</w:t>
            </w:r>
          </w:p>
          <w:p>
            <w:pPr>
              <w:pStyle w:val="6"/>
              <w:spacing w:before="1" w:line="218" w:lineRule="auto"/>
              <w:ind w:left="110"/>
              <w:rPr>
                <w:sz w:val="24"/>
                <w:szCs w:val="24"/>
              </w:rPr>
            </w:pPr>
            <w:r>
              <w:rPr>
                <w:spacing w:val="-1"/>
                <w:sz w:val="24"/>
                <w:szCs w:val="24"/>
              </w:rPr>
              <w:t>单位安全环保部门设立地下水动态监测小组，专人负责监测或者委托</w:t>
            </w:r>
            <w:r>
              <w:rPr>
                <w:spacing w:val="-2"/>
                <w:sz w:val="24"/>
                <w:szCs w:val="24"/>
              </w:rPr>
              <w:t>专业的机构分析。</w:t>
            </w:r>
          </w:p>
          <w:p>
            <w:pPr>
              <w:pStyle w:val="6"/>
              <w:spacing w:before="196" w:line="217" w:lineRule="auto"/>
              <w:ind w:left="588"/>
              <w:rPr>
                <w:sz w:val="24"/>
                <w:szCs w:val="24"/>
              </w:rPr>
            </w:pPr>
            <w:r>
              <w:rPr>
                <w:spacing w:val="-1"/>
                <w:sz w:val="24"/>
                <w:szCs w:val="24"/>
                <w14:textOutline w14:w="4354" w14:cap="flat" w14:cmpd="sng">
                  <w14:solidFill>
                    <w14:srgbClr w14:val="000000"/>
                  </w14:solidFill>
                  <w14:prstDash w14:val="solid"/>
                  <w14:miter w14:val="10"/>
                </w14:textOutline>
              </w:rPr>
              <w:t>②监测点位</w:t>
            </w:r>
          </w:p>
          <w:p>
            <w:pPr>
              <w:pStyle w:val="6"/>
              <w:spacing w:before="198" w:line="369" w:lineRule="auto"/>
              <w:ind w:left="111" w:right="100" w:firstLine="480"/>
              <w:jc w:val="both"/>
              <w:rPr>
                <w:sz w:val="24"/>
                <w:szCs w:val="24"/>
              </w:rPr>
            </w:pPr>
            <w:r>
              <w:rPr>
                <w:spacing w:val="-2"/>
                <w:sz w:val="24"/>
                <w:szCs w:val="24"/>
              </w:rPr>
              <w:t>非正常工况下应急池废水外溢、泄漏可能引起池体周围地下水水质改变。井场附近</w:t>
            </w:r>
            <w:r>
              <w:rPr>
                <w:spacing w:val="10"/>
                <w:sz w:val="24"/>
                <w:szCs w:val="24"/>
              </w:rPr>
              <w:t xml:space="preserve"> </w:t>
            </w:r>
            <w:r>
              <w:rPr>
                <w:spacing w:val="-10"/>
                <w:sz w:val="24"/>
                <w:szCs w:val="24"/>
              </w:rPr>
              <w:t>分散式地下水井分布较多，</w:t>
            </w:r>
            <w:r>
              <w:rPr>
                <w:spacing w:val="40"/>
                <w:sz w:val="24"/>
                <w:szCs w:val="24"/>
              </w:rPr>
              <w:t xml:space="preserve"> </w:t>
            </w:r>
            <w:r>
              <w:rPr>
                <w:spacing w:val="-10"/>
                <w:sz w:val="24"/>
                <w:szCs w:val="24"/>
              </w:rPr>
              <w:t>事故状态下地下水环境风险较大，</w:t>
            </w:r>
            <w:r>
              <w:rPr>
                <w:spacing w:val="39"/>
                <w:sz w:val="24"/>
                <w:szCs w:val="24"/>
              </w:rPr>
              <w:t xml:space="preserve"> </w:t>
            </w:r>
            <w:r>
              <w:rPr>
                <w:spacing w:val="-10"/>
                <w:sz w:val="24"/>
                <w:szCs w:val="24"/>
              </w:rPr>
              <w:t>应制定地下水环境影响跟</w:t>
            </w:r>
          </w:p>
          <w:p>
            <w:pPr>
              <w:pStyle w:val="6"/>
              <w:spacing w:before="1" w:line="218" w:lineRule="auto"/>
              <w:ind w:left="109"/>
              <w:rPr>
                <w:sz w:val="24"/>
                <w:szCs w:val="24"/>
              </w:rPr>
            </w:pPr>
            <w:r>
              <w:rPr>
                <w:spacing w:val="-3"/>
                <w:sz w:val="24"/>
                <w:szCs w:val="24"/>
              </w:rPr>
              <w:t>踪监测计划，以便及时发现问题，采取措施。</w:t>
            </w:r>
          </w:p>
          <w:p>
            <w:pPr>
              <w:pStyle w:val="6"/>
              <w:spacing w:before="195" w:line="219" w:lineRule="auto"/>
              <w:ind w:left="588"/>
              <w:rPr>
                <w:sz w:val="24"/>
                <w:szCs w:val="24"/>
              </w:rPr>
            </w:pPr>
            <w:r>
              <w:rPr>
                <w:spacing w:val="-3"/>
                <w:sz w:val="24"/>
                <w:szCs w:val="24"/>
              </w:rPr>
              <w:t>地下水环境监测点位布置见表</w:t>
            </w:r>
            <w:r>
              <w:rPr>
                <w:spacing w:val="-41"/>
                <w:sz w:val="24"/>
                <w:szCs w:val="24"/>
              </w:rPr>
              <w:t xml:space="preserve"> </w:t>
            </w:r>
            <w:r>
              <w:rPr>
                <w:rFonts w:ascii="Times New Roman" w:hAnsi="Times New Roman" w:eastAsia="Times New Roman" w:cs="Times New Roman"/>
                <w:spacing w:val="-3"/>
                <w:sz w:val="24"/>
                <w:szCs w:val="24"/>
              </w:rPr>
              <w:t>5.4-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spacing w:val="-3"/>
                <w:sz w:val="24"/>
                <w:szCs w:val="24"/>
              </w:rPr>
              <w:t>。</w:t>
            </w:r>
          </w:p>
          <w:p>
            <w:pPr>
              <w:pStyle w:val="6"/>
              <w:spacing w:before="195" w:line="220" w:lineRule="auto"/>
              <w:ind w:left="2796"/>
              <w:rPr>
                <w:sz w:val="24"/>
                <w:szCs w:val="24"/>
              </w:rPr>
            </w:pPr>
            <w:r>
              <w:rPr>
                <w:spacing w:val="-1"/>
                <w:sz w:val="24"/>
                <w:szCs w:val="24"/>
                <w14:textOutline w14:w="4354" w14:cap="flat" w14:cmpd="sng">
                  <w14:solidFill>
                    <w14:srgbClr w14:val="000000"/>
                  </w14:solidFill>
                  <w14:prstDash w14:val="solid"/>
                  <w14:miter w14:val="10"/>
                </w14:textOutline>
              </w:rPr>
              <w:t>表</w:t>
            </w:r>
            <w:r>
              <w:rPr>
                <w:spacing w:val="-39"/>
                <w:sz w:val="24"/>
                <w:szCs w:val="24"/>
              </w:rPr>
              <w:t xml:space="preserve"> </w:t>
            </w:r>
            <w:r>
              <w:rPr>
                <w:rFonts w:ascii="Times New Roman" w:hAnsi="Times New Roman" w:eastAsia="Times New Roman" w:cs="Times New Roman"/>
                <w:b/>
                <w:bCs/>
                <w:spacing w:val="-1"/>
                <w:sz w:val="24"/>
                <w:szCs w:val="24"/>
              </w:rPr>
              <w:t xml:space="preserve">5.4-1    </w:t>
            </w:r>
            <w:r>
              <w:rPr>
                <w:spacing w:val="-1"/>
                <w:sz w:val="24"/>
                <w:szCs w:val="24"/>
                <w14:textOutline w14:w="4354" w14:cap="flat" w14:cmpd="sng">
                  <w14:solidFill>
                    <w14:srgbClr w14:val="000000"/>
                  </w14:solidFill>
                  <w14:prstDash w14:val="solid"/>
                  <w14:miter w14:val="10"/>
                </w14:textOutline>
              </w:rPr>
              <w:t>地下水环境跟踪监测点位</w:t>
            </w:r>
          </w:p>
          <w:p>
            <w:pPr>
              <w:spacing w:line="16" w:lineRule="exact"/>
            </w:pPr>
          </w:p>
          <w:tbl>
            <w:tblPr>
              <w:tblStyle w:val="5"/>
              <w:tblW w:w="906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2517"/>
              <w:gridCol w:w="3150"/>
              <w:gridCol w:w="1320"/>
              <w:gridCol w:w="1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09" w:type="dxa"/>
                  <w:vAlign w:val="top"/>
                </w:tcPr>
                <w:p>
                  <w:pPr>
                    <w:pStyle w:val="6"/>
                    <w:spacing w:before="67" w:line="221" w:lineRule="auto"/>
                    <w:ind w:left="252"/>
                    <w:rPr>
                      <w:sz w:val="21"/>
                      <w:szCs w:val="21"/>
                    </w:rPr>
                  </w:pPr>
                  <w:r>
                    <w:rPr>
                      <w:spacing w:val="-2"/>
                      <w:sz w:val="21"/>
                      <w:szCs w:val="21"/>
                    </w:rPr>
                    <w:t>编号</w:t>
                  </w:r>
                </w:p>
              </w:tc>
              <w:tc>
                <w:tcPr>
                  <w:tcW w:w="2517" w:type="dxa"/>
                  <w:vAlign w:val="top"/>
                </w:tcPr>
                <w:p>
                  <w:pPr>
                    <w:pStyle w:val="6"/>
                    <w:spacing w:before="68" w:line="221" w:lineRule="auto"/>
                    <w:ind w:left="636"/>
                    <w:rPr>
                      <w:sz w:val="21"/>
                      <w:szCs w:val="21"/>
                    </w:rPr>
                  </w:pPr>
                  <w:r>
                    <w:rPr>
                      <w:spacing w:val="-2"/>
                      <w:sz w:val="21"/>
                      <w:szCs w:val="21"/>
                    </w:rPr>
                    <w:t>与项目的方位</w:t>
                  </w:r>
                </w:p>
              </w:tc>
              <w:tc>
                <w:tcPr>
                  <w:tcW w:w="3150" w:type="dxa"/>
                  <w:vAlign w:val="top"/>
                </w:tcPr>
                <w:p>
                  <w:pPr>
                    <w:pStyle w:val="6"/>
                    <w:spacing w:before="68" w:line="221" w:lineRule="auto"/>
                    <w:ind w:left="1369"/>
                    <w:rPr>
                      <w:sz w:val="21"/>
                      <w:szCs w:val="21"/>
                    </w:rPr>
                  </w:pPr>
                  <w:r>
                    <w:rPr>
                      <w:spacing w:val="-2"/>
                      <w:sz w:val="21"/>
                      <w:szCs w:val="21"/>
                    </w:rPr>
                    <w:t>坐标</w:t>
                  </w:r>
                </w:p>
              </w:tc>
              <w:tc>
                <w:tcPr>
                  <w:tcW w:w="1320" w:type="dxa"/>
                  <w:vAlign w:val="top"/>
                </w:tcPr>
                <w:p>
                  <w:pPr>
                    <w:pStyle w:val="6"/>
                    <w:spacing w:before="67" w:line="222" w:lineRule="auto"/>
                    <w:ind w:left="141"/>
                    <w:rPr>
                      <w:sz w:val="21"/>
                      <w:szCs w:val="21"/>
                    </w:rPr>
                  </w:pPr>
                  <w:r>
                    <w:rPr>
                      <w:spacing w:val="-2"/>
                      <w:sz w:val="21"/>
                      <w:szCs w:val="21"/>
                    </w:rPr>
                    <w:t>监测点功能</w:t>
                  </w:r>
                </w:p>
              </w:tc>
              <w:tc>
                <w:tcPr>
                  <w:tcW w:w="1170" w:type="dxa"/>
                  <w:vAlign w:val="top"/>
                </w:tcPr>
                <w:p>
                  <w:pPr>
                    <w:pStyle w:val="6"/>
                    <w:spacing w:before="67" w:line="222" w:lineRule="auto"/>
                    <w:ind w:left="381"/>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09" w:type="dxa"/>
                  <w:vAlign w:val="top"/>
                </w:tcPr>
                <w:p>
                  <w:pPr>
                    <w:spacing w:before="202" w:line="195"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Q5</w:t>
                  </w:r>
                </w:p>
              </w:tc>
              <w:tc>
                <w:tcPr>
                  <w:tcW w:w="2517" w:type="dxa"/>
                  <w:vAlign w:val="top"/>
                </w:tcPr>
                <w:p>
                  <w:pPr>
                    <w:pStyle w:val="6"/>
                    <w:spacing w:before="167" w:line="221" w:lineRule="auto"/>
                    <w:ind w:left="130"/>
                    <w:rPr>
                      <w:sz w:val="21"/>
                      <w:szCs w:val="21"/>
                    </w:rPr>
                  </w:pPr>
                  <w:r>
                    <w:rPr>
                      <w:spacing w:val="-1"/>
                      <w:sz w:val="21"/>
                      <w:szCs w:val="21"/>
                    </w:rPr>
                    <w:t>井口东南侧</w:t>
                  </w:r>
                  <w:r>
                    <w:rPr>
                      <w:spacing w:val="-45"/>
                      <w:sz w:val="21"/>
                      <w:szCs w:val="21"/>
                    </w:rPr>
                    <w:t xml:space="preserve"> </w:t>
                  </w:r>
                  <w:r>
                    <w:rPr>
                      <w:rFonts w:ascii="Times New Roman" w:hAnsi="Times New Roman" w:eastAsia="Times New Roman" w:cs="Times New Roman"/>
                      <w:spacing w:val="-1"/>
                      <w:sz w:val="21"/>
                      <w:szCs w:val="21"/>
                    </w:rPr>
                    <w:t xml:space="preserve">247m </w:t>
                  </w:r>
                  <w:r>
                    <w:rPr>
                      <w:spacing w:val="-1"/>
                      <w:sz w:val="21"/>
                      <w:szCs w:val="21"/>
                    </w:rPr>
                    <w:t>处泉水</w:t>
                  </w:r>
                </w:p>
              </w:tc>
              <w:tc>
                <w:tcPr>
                  <w:tcW w:w="3150" w:type="dxa"/>
                  <w:vAlign w:val="top"/>
                </w:tcPr>
                <w:p>
                  <w:pPr>
                    <w:pStyle w:val="6"/>
                    <w:spacing w:before="192" w:line="177" w:lineRule="auto"/>
                    <w:ind w:left="333"/>
                    <w:rPr>
                      <w:sz w:val="21"/>
                      <w:szCs w:val="21"/>
                    </w:rPr>
                  </w:pPr>
                  <w:r>
                    <w:rPr>
                      <w:rFonts w:ascii="Times New Roman" w:hAnsi="Times New Roman" w:eastAsia="Times New Roman" w:cs="Times New Roman"/>
                      <w:spacing w:val="-6"/>
                      <w:sz w:val="21"/>
                      <w:szCs w:val="21"/>
                    </w:rPr>
                    <w:t>107.238582</w:t>
                  </w:r>
                  <w:r>
                    <w:rPr>
                      <w:rFonts w:ascii="Times New Roman" w:hAnsi="Times New Roman" w:eastAsia="Times New Roman" w:cs="Times New Roman"/>
                      <w:spacing w:val="-23"/>
                      <w:sz w:val="21"/>
                      <w:szCs w:val="21"/>
                    </w:rPr>
                    <w:t xml:space="preserve"> </w:t>
                  </w:r>
                  <w:r>
                    <w:rPr>
                      <w:spacing w:val="-6"/>
                      <w:sz w:val="21"/>
                      <w:szCs w:val="21"/>
                    </w:rPr>
                    <w:t>°</w:t>
                  </w:r>
                  <w:r>
                    <w:rPr>
                      <w:spacing w:val="-79"/>
                      <w:sz w:val="21"/>
                      <w:szCs w:val="21"/>
                    </w:rPr>
                    <w:t xml:space="preserve"> </w:t>
                  </w:r>
                  <w:r>
                    <w:rPr>
                      <w:spacing w:val="-6"/>
                      <w:sz w:val="21"/>
                      <w:szCs w:val="21"/>
                    </w:rPr>
                    <w:t>,</w:t>
                  </w:r>
                  <w:r>
                    <w:rPr>
                      <w:spacing w:val="54"/>
                      <w:sz w:val="21"/>
                      <w:szCs w:val="21"/>
                    </w:rPr>
                    <w:t xml:space="preserve"> </w:t>
                  </w:r>
                  <w:r>
                    <w:rPr>
                      <w:rFonts w:ascii="Times New Roman" w:hAnsi="Times New Roman" w:eastAsia="Times New Roman" w:cs="Times New Roman"/>
                      <w:spacing w:val="-6"/>
                      <w:sz w:val="21"/>
                      <w:szCs w:val="21"/>
                    </w:rPr>
                    <w:t>31.446642</w:t>
                  </w:r>
                  <w:r>
                    <w:rPr>
                      <w:rFonts w:ascii="Times New Roman" w:hAnsi="Times New Roman" w:eastAsia="Times New Roman" w:cs="Times New Roman"/>
                      <w:spacing w:val="-27"/>
                      <w:sz w:val="21"/>
                      <w:szCs w:val="21"/>
                    </w:rPr>
                    <w:t xml:space="preserve"> </w:t>
                  </w:r>
                  <w:r>
                    <w:rPr>
                      <w:spacing w:val="-6"/>
                      <w:sz w:val="21"/>
                      <w:szCs w:val="21"/>
                    </w:rPr>
                    <w:t>°</w:t>
                  </w:r>
                </w:p>
              </w:tc>
              <w:tc>
                <w:tcPr>
                  <w:tcW w:w="1320" w:type="dxa"/>
                  <w:vAlign w:val="top"/>
                </w:tcPr>
                <w:p>
                  <w:pPr>
                    <w:pStyle w:val="6"/>
                    <w:spacing w:before="30" w:line="223" w:lineRule="auto"/>
                    <w:ind w:left="571" w:right="128" w:hanging="427"/>
                    <w:rPr>
                      <w:sz w:val="21"/>
                      <w:szCs w:val="21"/>
                    </w:rPr>
                  </w:pPr>
                  <w:r>
                    <w:rPr>
                      <w:spacing w:val="-2"/>
                      <w:sz w:val="21"/>
                      <w:szCs w:val="21"/>
                    </w:rPr>
                    <w:t>背景值监测</w:t>
                  </w:r>
                  <w:r>
                    <w:rPr>
                      <w:spacing w:val="1"/>
                      <w:sz w:val="21"/>
                      <w:szCs w:val="21"/>
                    </w:rPr>
                    <w:t xml:space="preserve"> </w:t>
                  </w:r>
                  <w:r>
                    <w:rPr>
                      <w:sz w:val="21"/>
                      <w:szCs w:val="21"/>
                    </w:rPr>
                    <w:t>点</w:t>
                  </w:r>
                </w:p>
              </w:tc>
              <w:tc>
                <w:tcPr>
                  <w:tcW w:w="1170" w:type="dxa"/>
                  <w:vAlign w:val="top"/>
                </w:tcPr>
                <w:p>
                  <w:pPr>
                    <w:pStyle w:val="6"/>
                    <w:spacing w:before="30" w:line="223" w:lineRule="auto"/>
                    <w:ind w:left="273" w:right="160" w:hanging="103"/>
                    <w:rPr>
                      <w:sz w:val="21"/>
                      <w:szCs w:val="21"/>
                    </w:rPr>
                  </w:pPr>
                  <w:r>
                    <w:rPr>
                      <w:spacing w:val="-2"/>
                      <w:sz w:val="21"/>
                      <w:szCs w:val="21"/>
                    </w:rPr>
                    <w:t>地下水上</w:t>
                  </w:r>
                  <w:r>
                    <w:rPr>
                      <w:spacing w:val="1"/>
                      <w:sz w:val="21"/>
                      <w:szCs w:val="21"/>
                    </w:rPr>
                    <w:t xml:space="preserve"> </w:t>
                  </w:r>
                  <w:r>
                    <w:rPr>
                      <w:spacing w:val="-2"/>
                      <w:sz w:val="21"/>
                      <w:szCs w:val="21"/>
                    </w:rPr>
                    <w:t>游方向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09" w:type="dxa"/>
                  <w:vAlign w:val="top"/>
                </w:tcPr>
                <w:p>
                  <w:pPr>
                    <w:spacing w:before="204" w:line="195"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Q3</w:t>
                  </w:r>
                </w:p>
              </w:tc>
              <w:tc>
                <w:tcPr>
                  <w:tcW w:w="2517" w:type="dxa"/>
                  <w:vAlign w:val="top"/>
                </w:tcPr>
                <w:p>
                  <w:pPr>
                    <w:pStyle w:val="6"/>
                    <w:spacing w:before="168" w:line="221" w:lineRule="auto"/>
                    <w:ind w:left="130"/>
                    <w:rPr>
                      <w:sz w:val="21"/>
                      <w:szCs w:val="21"/>
                    </w:rPr>
                  </w:pPr>
                  <w:r>
                    <w:rPr>
                      <w:spacing w:val="-1"/>
                      <w:sz w:val="21"/>
                      <w:szCs w:val="21"/>
                    </w:rPr>
                    <w:t>井口西南侧</w:t>
                  </w:r>
                  <w:r>
                    <w:rPr>
                      <w:spacing w:val="-45"/>
                      <w:sz w:val="21"/>
                      <w:szCs w:val="21"/>
                    </w:rPr>
                    <w:t xml:space="preserve"> </w:t>
                  </w:r>
                  <w:r>
                    <w:rPr>
                      <w:rFonts w:ascii="Times New Roman" w:hAnsi="Times New Roman" w:eastAsia="Times New Roman" w:cs="Times New Roman"/>
                      <w:spacing w:val="-1"/>
                      <w:sz w:val="21"/>
                      <w:szCs w:val="21"/>
                    </w:rPr>
                    <w:t xml:space="preserve">253m </w:t>
                  </w:r>
                  <w:r>
                    <w:rPr>
                      <w:spacing w:val="-1"/>
                      <w:sz w:val="21"/>
                      <w:szCs w:val="21"/>
                    </w:rPr>
                    <w:t>处泉水</w:t>
                  </w:r>
                </w:p>
              </w:tc>
              <w:tc>
                <w:tcPr>
                  <w:tcW w:w="3150" w:type="dxa"/>
                  <w:vAlign w:val="top"/>
                </w:tcPr>
                <w:p>
                  <w:pPr>
                    <w:pStyle w:val="6"/>
                    <w:spacing w:before="168" w:line="218" w:lineRule="auto"/>
                    <w:ind w:left="333"/>
                    <w:rPr>
                      <w:sz w:val="21"/>
                      <w:szCs w:val="21"/>
                    </w:rPr>
                  </w:pPr>
                  <w:r>
                    <w:rPr>
                      <w:rFonts w:ascii="Times New Roman" w:hAnsi="Times New Roman" w:eastAsia="Times New Roman" w:cs="Times New Roman"/>
                      <w:spacing w:val="-4"/>
                      <w:sz w:val="21"/>
                      <w:szCs w:val="21"/>
                    </w:rPr>
                    <w:t>107.236720</w:t>
                  </w:r>
                  <w:r>
                    <w:rPr>
                      <w:spacing w:val="-4"/>
                      <w:sz w:val="21"/>
                      <w:szCs w:val="21"/>
                    </w:rPr>
                    <w:t>°,</w:t>
                  </w:r>
                  <w:r>
                    <w:rPr>
                      <w:spacing w:val="66"/>
                      <w:sz w:val="21"/>
                      <w:szCs w:val="21"/>
                    </w:rPr>
                    <w:t xml:space="preserve"> </w:t>
                  </w:r>
                  <w:r>
                    <w:rPr>
                      <w:rFonts w:ascii="Times New Roman" w:hAnsi="Times New Roman" w:eastAsia="Times New Roman" w:cs="Times New Roman"/>
                      <w:spacing w:val="-4"/>
                      <w:sz w:val="21"/>
                      <w:szCs w:val="21"/>
                    </w:rPr>
                    <w:t>31.442464</w:t>
                  </w:r>
                  <w:r>
                    <w:rPr>
                      <w:rFonts w:ascii="Times New Roman" w:hAnsi="Times New Roman" w:eastAsia="Times New Roman" w:cs="Times New Roman"/>
                      <w:spacing w:val="-28"/>
                      <w:sz w:val="21"/>
                      <w:szCs w:val="21"/>
                    </w:rPr>
                    <w:t xml:space="preserve"> </w:t>
                  </w:r>
                  <w:r>
                    <w:rPr>
                      <w:spacing w:val="-4"/>
                      <w:sz w:val="21"/>
                      <w:szCs w:val="21"/>
                    </w:rPr>
                    <w:t>°</w:t>
                  </w:r>
                </w:p>
              </w:tc>
              <w:tc>
                <w:tcPr>
                  <w:tcW w:w="1320" w:type="dxa"/>
                  <w:vAlign w:val="top"/>
                </w:tcPr>
                <w:p>
                  <w:pPr>
                    <w:pStyle w:val="6"/>
                    <w:spacing w:before="32" w:line="222" w:lineRule="auto"/>
                    <w:ind w:left="455" w:right="128" w:hanging="313"/>
                    <w:rPr>
                      <w:sz w:val="21"/>
                      <w:szCs w:val="21"/>
                    </w:rPr>
                  </w:pPr>
                  <w:r>
                    <w:rPr>
                      <w:spacing w:val="-2"/>
                      <w:sz w:val="21"/>
                      <w:szCs w:val="21"/>
                    </w:rPr>
                    <w:t>污染扩散监</w:t>
                  </w:r>
                  <w:r>
                    <w:rPr>
                      <w:spacing w:val="2"/>
                      <w:sz w:val="21"/>
                      <w:szCs w:val="21"/>
                    </w:rPr>
                    <w:t xml:space="preserve"> </w:t>
                  </w:r>
                  <w:r>
                    <w:rPr>
                      <w:spacing w:val="-4"/>
                      <w:sz w:val="21"/>
                      <w:szCs w:val="21"/>
                    </w:rPr>
                    <w:t>测点</w:t>
                  </w:r>
                </w:p>
              </w:tc>
              <w:tc>
                <w:tcPr>
                  <w:tcW w:w="1170" w:type="dxa"/>
                  <w:vAlign w:val="top"/>
                </w:tcPr>
                <w:p>
                  <w:pPr>
                    <w:pStyle w:val="6"/>
                    <w:spacing w:before="32" w:line="222" w:lineRule="auto"/>
                    <w:ind w:left="294" w:right="160" w:hanging="124"/>
                    <w:rPr>
                      <w:sz w:val="21"/>
                      <w:szCs w:val="21"/>
                    </w:rPr>
                  </w:pPr>
                  <w:r>
                    <w:rPr>
                      <w:spacing w:val="-2"/>
                      <w:sz w:val="21"/>
                      <w:szCs w:val="21"/>
                    </w:rPr>
                    <w:t>地下水侧</w:t>
                  </w:r>
                  <w:r>
                    <w:rPr>
                      <w:spacing w:val="1"/>
                      <w:sz w:val="21"/>
                      <w:szCs w:val="21"/>
                    </w:rPr>
                    <w:t xml:space="preserve"> </w:t>
                  </w:r>
                  <w:r>
                    <w:rPr>
                      <w:spacing w:val="-9"/>
                      <w:sz w:val="21"/>
                      <w:szCs w:val="21"/>
                    </w:rPr>
                    <w:t>向方向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909" w:type="dxa"/>
                  <w:vAlign w:val="top"/>
                </w:tcPr>
                <w:p>
                  <w:pPr>
                    <w:spacing w:before="205" w:line="195"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Q2</w:t>
                  </w:r>
                </w:p>
              </w:tc>
              <w:tc>
                <w:tcPr>
                  <w:tcW w:w="2517" w:type="dxa"/>
                  <w:vAlign w:val="top"/>
                </w:tcPr>
                <w:p>
                  <w:pPr>
                    <w:pStyle w:val="6"/>
                    <w:spacing w:before="169" w:line="221" w:lineRule="auto"/>
                    <w:ind w:left="234"/>
                    <w:rPr>
                      <w:sz w:val="21"/>
                      <w:szCs w:val="21"/>
                    </w:rPr>
                  </w:pPr>
                  <w:r>
                    <w:rPr>
                      <w:spacing w:val="-2"/>
                      <w:sz w:val="21"/>
                      <w:szCs w:val="21"/>
                    </w:rPr>
                    <w:t>井口东南</w:t>
                  </w:r>
                  <w:r>
                    <w:rPr>
                      <w:spacing w:val="-34"/>
                      <w:sz w:val="21"/>
                      <w:szCs w:val="21"/>
                    </w:rPr>
                    <w:t xml:space="preserve"> </w:t>
                  </w:r>
                  <w:r>
                    <w:rPr>
                      <w:rFonts w:ascii="Times New Roman" w:hAnsi="Times New Roman" w:eastAsia="Times New Roman" w:cs="Times New Roman"/>
                      <w:spacing w:val="-2"/>
                      <w:sz w:val="21"/>
                      <w:szCs w:val="21"/>
                    </w:rPr>
                    <w:t xml:space="preserve">314m </w:t>
                  </w:r>
                  <w:r>
                    <w:rPr>
                      <w:spacing w:val="-2"/>
                      <w:sz w:val="21"/>
                      <w:szCs w:val="21"/>
                    </w:rPr>
                    <w:t>处泉水</w:t>
                  </w:r>
                </w:p>
              </w:tc>
              <w:tc>
                <w:tcPr>
                  <w:tcW w:w="3150" w:type="dxa"/>
                  <w:vAlign w:val="top"/>
                </w:tcPr>
                <w:p>
                  <w:pPr>
                    <w:pStyle w:val="6"/>
                    <w:spacing w:before="170" w:line="218" w:lineRule="auto"/>
                    <w:ind w:left="333"/>
                    <w:rPr>
                      <w:sz w:val="21"/>
                      <w:szCs w:val="21"/>
                    </w:rPr>
                  </w:pPr>
                  <w:r>
                    <w:rPr>
                      <w:rFonts w:ascii="Times New Roman" w:hAnsi="Times New Roman" w:eastAsia="Times New Roman" w:cs="Times New Roman"/>
                      <w:spacing w:val="-4"/>
                      <w:sz w:val="21"/>
                      <w:szCs w:val="21"/>
                    </w:rPr>
                    <w:t>107.239892</w:t>
                  </w:r>
                  <w:r>
                    <w:rPr>
                      <w:spacing w:val="-4"/>
                      <w:sz w:val="21"/>
                      <w:szCs w:val="21"/>
                    </w:rPr>
                    <w:t>°,</w:t>
                  </w:r>
                  <w:r>
                    <w:rPr>
                      <w:spacing w:val="66"/>
                      <w:sz w:val="21"/>
                      <w:szCs w:val="21"/>
                    </w:rPr>
                    <w:t xml:space="preserve"> </w:t>
                  </w:r>
                  <w:r>
                    <w:rPr>
                      <w:rFonts w:ascii="Times New Roman" w:hAnsi="Times New Roman" w:eastAsia="Times New Roman" w:cs="Times New Roman"/>
                      <w:spacing w:val="-4"/>
                      <w:sz w:val="21"/>
                      <w:szCs w:val="21"/>
                    </w:rPr>
                    <w:t>31.442131</w:t>
                  </w:r>
                  <w:r>
                    <w:rPr>
                      <w:rFonts w:ascii="Times New Roman" w:hAnsi="Times New Roman" w:eastAsia="Times New Roman" w:cs="Times New Roman"/>
                      <w:spacing w:val="-28"/>
                      <w:sz w:val="21"/>
                      <w:szCs w:val="21"/>
                    </w:rPr>
                    <w:t xml:space="preserve"> </w:t>
                  </w:r>
                  <w:r>
                    <w:rPr>
                      <w:spacing w:val="-4"/>
                      <w:sz w:val="21"/>
                      <w:szCs w:val="21"/>
                    </w:rPr>
                    <w:t>°</w:t>
                  </w:r>
                </w:p>
              </w:tc>
              <w:tc>
                <w:tcPr>
                  <w:tcW w:w="1320" w:type="dxa"/>
                  <w:vAlign w:val="top"/>
                </w:tcPr>
                <w:p>
                  <w:pPr>
                    <w:pStyle w:val="6"/>
                    <w:spacing w:before="33" w:line="221" w:lineRule="auto"/>
                    <w:ind w:left="140"/>
                    <w:rPr>
                      <w:sz w:val="21"/>
                      <w:szCs w:val="21"/>
                    </w:rPr>
                  </w:pPr>
                  <w:r>
                    <w:rPr>
                      <w:spacing w:val="-1"/>
                      <w:sz w:val="21"/>
                      <w:szCs w:val="21"/>
                    </w:rPr>
                    <w:t>环境影响跟</w:t>
                  </w:r>
                </w:p>
                <w:p>
                  <w:pPr>
                    <w:pStyle w:val="6"/>
                    <w:spacing w:before="21" w:line="209" w:lineRule="auto"/>
                    <w:ind w:left="247"/>
                    <w:rPr>
                      <w:sz w:val="21"/>
                      <w:szCs w:val="21"/>
                    </w:rPr>
                  </w:pPr>
                  <w:r>
                    <w:rPr>
                      <w:spacing w:val="-2"/>
                      <w:sz w:val="21"/>
                      <w:szCs w:val="21"/>
                    </w:rPr>
                    <w:t>踪监测点</w:t>
                  </w:r>
                </w:p>
              </w:tc>
              <w:tc>
                <w:tcPr>
                  <w:tcW w:w="1170" w:type="dxa"/>
                  <w:vAlign w:val="top"/>
                </w:tcPr>
                <w:p>
                  <w:pPr>
                    <w:pStyle w:val="6"/>
                    <w:spacing w:before="33" w:line="225" w:lineRule="auto"/>
                    <w:ind w:left="273" w:right="160" w:hanging="103"/>
                    <w:rPr>
                      <w:sz w:val="21"/>
                      <w:szCs w:val="21"/>
                    </w:rPr>
                  </w:pPr>
                  <w:r>
                    <w:rPr>
                      <w:spacing w:val="-2"/>
                      <w:sz w:val="21"/>
                      <w:szCs w:val="21"/>
                    </w:rPr>
                    <w:t>地下水下</w:t>
                  </w:r>
                  <w:r>
                    <w:rPr>
                      <w:spacing w:val="1"/>
                      <w:sz w:val="21"/>
                      <w:szCs w:val="21"/>
                    </w:rPr>
                    <w:t xml:space="preserve"> </w:t>
                  </w:r>
                  <w:r>
                    <w:rPr>
                      <w:spacing w:val="-2"/>
                      <w:sz w:val="21"/>
                      <w:szCs w:val="21"/>
                    </w:rPr>
                    <w:t>游方向</w:t>
                  </w:r>
                </w:p>
              </w:tc>
            </w:tr>
          </w:tbl>
          <w:p>
            <w:pPr>
              <w:pStyle w:val="6"/>
              <w:spacing w:before="177" w:line="220" w:lineRule="auto"/>
              <w:ind w:left="584"/>
              <w:rPr>
                <w:sz w:val="24"/>
                <w:szCs w:val="24"/>
              </w:rPr>
            </w:pPr>
            <w:r>
              <w:rPr>
                <w:rFonts w:ascii="Times New Roman" w:hAnsi="Times New Roman" w:eastAsia="Times New Roman" w:cs="Times New Roman"/>
                <w:spacing w:val="-3"/>
                <w:sz w:val="24"/>
                <w:szCs w:val="24"/>
              </w:rPr>
              <w:t>2</w:t>
            </w:r>
            <w:r>
              <w:rPr>
                <w:spacing w:val="-3"/>
                <w:sz w:val="24"/>
                <w:szCs w:val="24"/>
              </w:rPr>
              <w:t>）监测内容</w:t>
            </w:r>
          </w:p>
          <w:p>
            <w:pPr>
              <w:pStyle w:val="6"/>
              <w:spacing w:before="194" w:line="219" w:lineRule="auto"/>
              <w:ind w:left="589"/>
              <w:rPr>
                <w:sz w:val="24"/>
                <w:szCs w:val="24"/>
              </w:rPr>
            </w:pPr>
            <w:r>
              <w:rPr>
                <w:spacing w:val="-3"/>
                <w:sz w:val="24"/>
                <w:szCs w:val="24"/>
              </w:rPr>
              <w:t>本项目地下水跟踪监测项目、频次及监测因子见下表：</w:t>
            </w:r>
          </w:p>
          <w:p>
            <w:pPr>
              <w:pStyle w:val="6"/>
              <w:spacing w:before="195" w:line="220" w:lineRule="auto"/>
              <w:ind w:left="2073"/>
              <w:rPr>
                <w:sz w:val="24"/>
                <w:szCs w:val="24"/>
              </w:rPr>
            </w:pPr>
            <w:r>
              <w:rPr>
                <w:spacing w:val="-4"/>
                <w:sz w:val="24"/>
                <w:szCs w:val="24"/>
                <w14:textOutline w14:w="4354" w14:cap="flat" w14:cmpd="sng">
                  <w14:solidFill>
                    <w14:srgbClr w14:val="000000"/>
                  </w14:solidFill>
                  <w14:prstDash w14:val="solid"/>
                  <w14:miter w14:val="10"/>
                </w14:textOutline>
              </w:rPr>
              <w:t>表</w:t>
            </w:r>
            <w:r>
              <w:rPr>
                <w:spacing w:val="-33"/>
                <w:sz w:val="24"/>
                <w:szCs w:val="24"/>
              </w:rPr>
              <w:t xml:space="preserve"> </w:t>
            </w:r>
            <w:r>
              <w:rPr>
                <w:rFonts w:ascii="Times New Roman" w:hAnsi="Times New Roman" w:eastAsia="Times New Roman" w:cs="Times New Roman"/>
                <w:b/>
                <w:bCs/>
                <w:spacing w:val="-4"/>
                <w:sz w:val="24"/>
                <w:szCs w:val="24"/>
              </w:rPr>
              <w:t xml:space="preserve">5.4-2    </w:t>
            </w:r>
            <w:r>
              <w:rPr>
                <w:spacing w:val="-4"/>
                <w:sz w:val="24"/>
                <w:szCs w:val="24"/>
                <w14:textOutline w14:w="4354" w14:cap="flat" w14:cmpd="sng">
                  <w14:solidFill>
                    <w14:srgbClr w14:val="000000"/>
                  </w14:solidFill>
                  <w14:prstDash w14:val="solid"/>
                  <w14:miter w14:val="10"/>
                </w14:textOutline>
              </w:rPr>
              <w:t>地下水跟踪监测项目、</w:t>
            </w:r>
            <w:r>
              <w:rPr>
                <w:spacing w:val="-30"/>
                <w:sz w:val="24"/>
                <w:szCs w:val="24"/>
              </w:rPr>
              <w:t xml:space="preserve"> </w:t>
            </w:r>
            <w:r>
              <w:rPr>
                <w:spacing w:val="-4"/>
                <w:sz w:val="24"/>
                <w:szCs w:val="24"/>
                <w14:textOutline w14:w="4354" w14:cap="flat" w14:cmpd="sng">
                  <w14:solidFill>
                    <w14:srgbClr w14:val="000000"/>
                  </w14:solidFill>
                  <w14:prstDash w14:val="solid"/>
                  <w14:miter w14:val="10"/>
                </w14:textOutline>
              </w:rPr>
              <w:t>频次及监测因子</w:t>
            </w:r>
          </w:p>
          <w:p>
            <w:pPr>
              <w:spacing w:line="17" w:lineRule="exact"/>
            </w:pPr>
          </w:p>
          <w:tbl>
            <w:tblPr>
              <w:tblStyle w:val="5"/>
              <w:tblW w:w="906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132"/>
              <w:gridCol w:w="1560"/>
              <w:gridCol w:w="51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192" w:type="dxa"/>
                  <w:vAlign w:val="top"/>
                </w:tcPr>
                <w:p>
                  <w:pPr>
                    <w:pStyle w:val="6"/>
                    <w:spacing w:before="68" w:line="222" w:lineRule="auto"/>
                    <w:ind w:left="181"/>
                    <w:rPr>
                      <w:sz w:val="21"/>
                      <w:szCs w:val="21"/>
                    </w:rPr>
                  </w:pPr>
                  <w:r>
                    <w:rPr>
                      <w:spacing w:val="-2"/>
                      <w:sz w:val="21"/>
                      <w:szCs w:val="21"/>
                    </w:rPr>
                    <w:t>监测阶段</w:t>
                  </w:r>
                </w:p>
              </w:tc>
              <w:tc>
                <w:tcPr>
                  <w:tcW w:w="1132" w:type="dxa"/>
                  <w:vAlign w:val="top"/>
                </w:tcPr>
                <w:p>
                  <w:pPr>
                    <w:pStyle w:val="6"/>
                    <w:spacing w:before="68" w:line="222" w:lineRule="auto"/>
                    <w:ind w:left="151"/>
                    <w:rPr>
                      <w:sz w:val="21"/>
                      <w:szCs w:val="21"/>
                    </w:rPr>
                  </w:pPr>
                  <w:r>
                    <w:rPr>
                      <w:spacing w:val="-2"/>
                      <w:sz w:val="21"/>
                      <w:szCs w:val="21"/>
                    </w:rPr>
                    <w:t>监测时段</w:t>
                  </w:r>
                </w:p>
              </w:tc>
              <w:tc>
                <w:tcPr>
                  <w:tcW w:w="1560" w:type="dxa"/>
                  <w:vAlign w:val="top"/>
                </w:tcPr>
                <w:p>
                  <w:pPr>
                    <w:pStyle w:val="6"/>
                    <w:spacing w:before="67" w:line="221" w:lineRule="auto"/>
                    <w:ind w:left="366"/>
                    <w:rPr>
                      <w:sz w:val="21"/>
                      <w:szCs w:val="21"/>
                    </w:rPr>
                  </w:pPr>
                  <w:r>
                    <w:rPr>
                      <w:spacing w:val="-2"/>
                      <w:sz w:val="21"/>
                      <w:szCs w:val="21"/>
                    </w:rPr>
                    <w:t>监测频率</w:t>
                  </w:r>
                </w:p>
              </w:tc>
              <w:tc>
                <w:tcPr>
                  <w:tcW w:w="5182" w:type="dxa"/>
                  <w:vAlign w:val="top"/>
                </w:tcPr>
                <w:p>
                  <w:pPr>
                    <w:pStyle w:val="6"/>
                    <w:spacing w:before="68" w:line="221" w:lineRule="auto"/>
                    <w:ind w:left="2176"/>
                    <w:rPr>
                      <w:sz w:val="21"/>
                      <w:szCs w:val="21"/>
                    </w:rPr>
                  </w:pPr>
                  <w:r>
                    <w:rPr>
                      <w:spacing w:val="-2"/>
                      <w:sz w:val="21"/>
                      <w:szCs w:val="21"/>
                    </w:rPr>
                    <w:t>监测因子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1192" w:type="dxa"/>
                  <w:vAlign w:val="top"/>
                </w:tcPr>
                <w:p>
                  <w:pPr>
                    <w:spacing w:line="370" w:lineRule="auto"/>
                    <w:rPr>
                      <w:rFonts w:ascii="Arial"/>
                      <w:sz w:val="21"/>
                    </w:rPr>
                  </w:pPr>
                </w:p>
                <w:p>
                  <w:pPr>
                    <w:pStyle w:val="6"/>
                    <w:spacing w:before="69" w:line="221" w:lineRule="auto"/>
                    <w:ind w:left="286"/>
                    <w:rPr>
                      <w:sz w:val="21"/>
                      <w:szCs w:val="21"/>
                    </w:rPr>
                  </w:pPr>
                  <w:r>
                    <w:rPr>
                      <w:spacing w:val="-2"/>
                      <w:sz w:val="21"/>
                      <w:szCs w:val="21"/>
                    </w:rPr>
                    <w:t>钻井期</w:t>
                  </w:r>
                </w:p>
              </w:tc>
              <w:tc>
                <w:tcPr>
                  <w:tcW w:w="1132" w:type="dxa"/>
                  <w:vAlign w:val="top"/>
                </w:tcPr>
                <w:p>
                  <w:pPr>
                    <w:pStyle w:val="6"/>
                    <w:spacing w:before="305" w:line="229" w:lineRule="auto"/>
                    <w:ind w:left="151" w:right="142"/>
                    <w:rPr>
                      <w:sz w:val="21"/>
                      <w:szCs w:val="21"/>
                    </w:rPr>
                  </w:pPr>
                  <w:r>
                    <w:rPr>
                      <w:spacing w:val="-2"/>
                      <w:sz w:val="21"/>
                      <w:szCs w:val="21"/>
                    </w:rPr>
                    <w:t>完钻验收</w:t>
                  </w:r>
                  <w:r>
                    <w:rPr>
                      <w:sz w:val="21"/>
                      <w:szCs w:val="21"/>
                    </w:rPr>
                    <w:t xml:space="preserve"> </w:t>
                  </w:r>
                  <w:r>
                    <w:rPr>
                      <w:spacing w:val="-2"/>
                      <w:sz w:val="21"/>
                      <w:szCs w:val="21"/>
                    </w:rPr>
                    <w:t>监测一次</w:t>
                  </w:r>
                </w:p>
              </w:tc>
              <w:tc>
                <w:tcPr>
                  <w:tcW w:w="1560" w:type="dxa"/>
                  <w:vAlign w:val="top"/>
                </w:tcPr>
                <w:p>
                  <w:pPr>
                    <w:pStyle w:val="6"/>
                    <w:spacing w:before="304" w:line="229" w:lineRule="auto"/>
                    <w:ind w:left="153" w:right="45" w:hanging="40"/>
                    <w:rPr>
                      <w:sz w:val="21"/>
                      <w:szCs w:val="21"/>
                    </w:rPr>
                  </w:pPr>
                  <w:r>
                    <w:rPr>
                      <w:spacing w:val="-11"/>
                      <w:sz w:val="21"/>
                      <w:szCs w:val="21"/>
                    </w:rPr>
                    <w:t>每次监测</w:t>
                  </w:r>
                  <w:r>
                    <w:rPr>
                      <w:spacing w:val="-40"/>
                      <w:sz w:val="21"/>
                      <w:szCs w:val="21"/>
                    </w:rPr>
                    <w:t xml:space="preserve"> </w:t>
                  </w:r>
                  <w:r>
                    <w:rPr>
                      <w:rFonts w:ascii="Times New Roman" w:hAnsi="Times New Roman" w:eastAsia="Times New Roman" w:cs="Times New Roman"/>
                      <w:spacing w:val="-11"/>
                      <w:sz w:val="21"/>
                      <w:szCs w:val="21"/>
                    </w:rPr>
                    <w:t xml:space="preserve">1 </w:t>
                  </w:r>
                  <w:r>
                    <w:rPr>
                      <w:spacing w:val="-11"/>
                      <w:sz w:val="21"/>
                      <w:szCs w:val="21"/>
                    </w:rPr>
                    <w:t>天，</w:t>
                  </w:r>
                  <w:r>
                    <w:rPr>
                      <w:sz w:val="21"/>
                      <w:szCs w:val="21"/>
                    </w:rPr>
                    <w:t xml:space="preserve"> </w:t>
                  </w:r>
                  <w:r>
                    <w:rPr>
                      <w:spacing w:val="-5"/>
                      <w:sz w:val="21"/>
                      <w:szCs w:val="21"/>
                    </w:rPr>
                    <w:t>每天采样</w:t>
                  </w:r>
                  <w:r>
                    <w:rPr>
                      <w:spacing w:val="-28"/>
                      <w:sz w:val="21"/>
                      <w:szCs w:val="21"/>
                    </w:rPr>
                    <w:t xml:space="preserve"> </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11"/>
                      <w:sz w:val="21"/>
                      <w:szCs w:val="21"/>
                    </w:rPr>
                    <w:t xml:space="preserve"> </w:t>
                  </w:r>
                  <w:r>
                    <w:rPr>
                      <w:spacing w:val="-5"/>
                      <w:sz w:val="21"/>
                      <w:szCs w:val="21"/>
                    </w:rPr>
                    <w:t>次</w:t>
                  </w:r>
                </w:p>
              </w:tc>
              <w:tc>
                <w:tcPr>
                  <w:tcW w:w="5182" w:type="dxa"/>
                  <w:vAlign w:val="top"/>
                </w:tcPr>
                <w:p>
                  <w:pPr>
                    <w:pStyle w:val="6"/>
                    <w:spacing w:before="33" w:line="232" w:lineRule="auto"/>
                    <w:ind w:left="114" w:right="35" w:firstLine="31"/>
                    <w:rPr>
                      <w:sz w:val="21"/>
                      <w:szCs w:val="21"/>
                    </w:rPr>
                  </w:pPr>
                  <w:r>
                    <w:rPr>
                      <w:rFonts w:ascii="Times New Roman" w:hAnsi="Times New Roman" w:eastAsia="Times New Roman" w:cs="Times New Roman"/>
                      <w:sz w:val="21"/>
                      <w:szCs w:val="21"/>
                    </w:rPr>
                    <w:t>pH</w:t>
                  </w:r>
                  <w:r>
                    <w:rPr>
                      <w:sz w:val="21"/>
                      <w:szCs w:val="21"/>
                    </w:rPr>
                    <w:t>、总硬度、溶解性总固体、铁、锰、挥发性酚类、</w:t>
                  </w:r>
                  <w:r>
                    <w:rPr>
                      <w:spacing w:val="1"/>
                      <w:sz w:val="21"/>
                      <w:szCs w:val="21"/>
                    </w:rPr>
                    <w:t xml:space="preserve">  </w:t>
                  </w:r>
                  <w:r>
                    <w:rPr>
                      <w:spacing w:val="-4"/>
                      <w:sz w:val="21"/>
                      <w:szCs w:val="21"/>
                    </w:rPr>
                    <w:t xml:space="preserve">耗氧量、氨氮、硫化物、总大肠菌群、菌落总数、硝酸 </w:t>
                  </w:r>
                  <w:r>
                    <w:rPr>
                      <w:spacing w:val="-9"/>
                      <w:sz w:val="21"/>
                      <w:szCs w:val="21"/>
                    </w:rPr>
                    <w:t>盐、氰化物、砷、钡、汞、铬（六价）、石油类、</w:t>
                  </w:r>
                  <w:r>
                    <w:rPr>
                      <w:rFonts w:ascii="Times New Roman" w:hAnsi="Times New Roman" w:eastAsia="Times New Roman" w:cs="Times New Roman"/>
                      <w:spacing w:val="-9"/>
                      <w:sz w:val="21"/>
                      <w:szCs w:val="21"/>
                    </w:rPr>
                    <w:t>CO</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6"/>
                      <w:sz w:val="13"/>
                      <w:szCs w:val="13"/>
                    </w:rPr>
                    <w:t>2-</w:t>
                  </w:r>
                  <w:r>
                    <w:rPr>
                      <w:spacing w:val="-26"/>
                      <w:sz w:val="21"/>
                      <w:szCs w:val="21"/>
                    </w:rPr>
                    <w:t>、</w:t>
                  </w:r>
                </w:p>
                <w:p>
                  <w:pPr>
                    <w:pStyle w:val="6"/>
                    <w:spacing w:before="39" w:line="196" w:lineRule="auto"/>
                    <w:ind w:left="64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1"/>
                      <w:szCs w:val="21"/>
                    </w:rPr>
                    <w:t>HCO</w:t>
                  </w:r>
                  <w:r>
                    <w:rPr>
                      <w:rFonts w:ascii="Times New Roman" w:hAnsi="Times New Roman" w:eastAsia="Times New Roman" w:cs="Times New Roman"/>
                      <w:spacing w:val="-3"/>
                      <w:position w:val="-3"/>
                      <w:sz w:val="13"/>
                      <w:szCs w:val="13"/>
                    </w:rPr>
                    <w:t>3</w:t>
                  </w:r>
                  <w:r>
                    <w:rPr>
                      <w:rFonts w:ascii="Times New Roman" w:hAnsi="Times New Roman" w:eastAsia="Times New Roman" w:cs="Times New Roman"/>
                      <w:spacing w:val="-3"/>
                      <w:position w:val="5"/>
                      <w:sz w:val="13"/>
                      <w:szCs w:val="13"/>
                    </w:rPr>
                    <w:t>-</w:t>
                  </w:r>
                  <w:r>
                    <w:rPr>
                      <w:rFonts w:ascii="Times New Roman" w:hAnsi="Times New Roman" w:eastAsia="Times New Roman" w:cs="Times New Roman"/>
                      <w:spacing w:val="6"/>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Ca</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9"/>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Mg</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9"/>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K</w:t>
                  </w:r>
                  <w:r>
                    <w:rPr>
                      <w:rFonts w:ascii="Times New Roman" w:hAnsi="Times New Roman" w:eastAsia="Times New Roman" w:cs="Times New Roman"/>
                      <w:spacing w:val="-3"/>
                      <w:position w:val="5"/>
                      <w:sz w:val="13"/>
                      <w:szCs w:val="13"/>
                    </w:rPr>
                    <w:t>+</w:t>
                  </w:r>
                  <w:r>
                    <w:rPr>
                      <w:rFonts w:ascii="Times New Roman" w:hAnsi="Times New Roman" w:eastAsia="Times New Roman" w:cs="Times New Roman"/>
                      <w:spacing w:val="-11"/>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Na</w:t>
                  </w:r>
                  <w:r>
                    <w:rPr>
                      <w:rFonts w:ascii="Times New Roman" w:hAnsi="Times New Roman" w:eastAsia="Times New Roman" w:cs="Times New Roman"/>
                      <w:spacing w:val="-3"/>
                      <w:position w:val="5"/>
                      <w:sz w:val="13"/>
                      <w:szCs w:val="13"/>
                    </w:rPr>
                    <w:t>+</w:t>
                  </w:r>
                  <w:r>
                    <w:rPr>
                      <w:rFonts w:ascii="Times New Roman" w:hAnsi="Times New Roman" w:eastAsia="Times New Roman" w:cs="Times New Roman"/>
                      <w:spacing w:val="-11"/>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Cl</w:t>
                  </w:r>
                  <w:r>
                    <w:rPr>
                      <w:rFonts w:ascii="Times New Roman" w:hAnsi="Times New Roman" w:eastAsia="Times New Roman" w:cs="Times New Roman"/>
                      <w:spacing w:val="-3"/>
                      <w:position w:val="5"/>
                      <w:sz w:val="13"/>
                      <w:szCs w:val="13"/>
                    </w:rPr>
                    <w:t>-</w:t>
                  </w:r>
                  <w:r>
                    <w:rPr>
                      <w:rFonts w:ascii="Times New Roman" w:hAnsi="Times New Roman" w:eastAsia="Times New Roman" w:cs="Times New Roman"/>
                      <w:spacing w:val="-11"/>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SO</w:t>
                  </w:r>
                  <w:r>
                    <w:rPr>
                      <w:rFonts w:ascii="Times New Roman" w:hAnsi="Times New Roman" w:eastAsia="Times New Roman" w:cs="Times New Roman"/>
                      <w:spacing w:val="-3"/>
                      <w:position w:val="-3"/>
                      <w:sz w:val="13"/>
                      <w:szCs w:val="13"/>
                    </w:rPr>
                    <w:t>4</w:t>
                  </w:r>
                  <w:r>
                    <w:rPr>
                      <w:rFonts w:ascii="Times New Roman" w:hAnsi="Times New Roman" w:eastAsia="Times New Roman" w:cs="Times New Roman"/>
                      <w:spacing w:val="-3"/>
                      <w:position w:val="5"/>
                      <w:sz w:val="13"/>
                      <w:szCs w:val="13"/>
                    </w:rPr>
                    <w:t>2-</w:t>
                  </w:r>
                </w:p>
              </w:tc>
            </w:tr>
          </w:tbl>
          <w:p>
            <w:pPr>
              <w:pStyle w:val="6"/>
              <w:spacing w:before="177" w:line="480" w:lineRule="exact"/>
              <w:ind w:left="592"/>
              <w:rPr>
                <w:sz w:val="24"/>
                <w:szCs w:val="24"/>
              </w:rPr>
            </w:pPr>
            <w:r>
              <w:rPr>
                <w:spacing w:val="-11"/>
                <w:position w:val="18"/>
                <w:sz w:val="24"/>
                <w:szCs w:val="24"/>
              </w:rPr>
              <w:t>如遇到特殊情况或发生污染事故，</w:t>
            </w:r>
            <w:r>
              <w:rPr>
                <w:spacing w:val="54"/>
                <w:position w:val="18"/>
                <w:sz w:val="24"/>
                <w:szCs w:val="24"/>
              </w:rPr>
              <w:t xml:space="preserve"> </w:t>
            </w:r>
            <w:r>
              <w:rPr>
                <w:spacing w:val="-11"/>
                <w:position w:val="18"/>
                <w:sz w:val="24"/>
                <w:szCs w:val="24"/>
              </w:rPr>
              <w:t>可能影响地下水水质时，</w:t>
            </w:r>
            <w:r>
              <w:rPr>
                <w:spacing w:val="40"/>
                <w:position w:val="18"/>
                <w:sz w:val="24"/>
                <w:szCs w:val="24"/>
              </w:rPr>
              <w:t xml:space="preserve"> </w:t>
            </w:r>
            <w:r>
              <w:rPr>
                <w:spacing w:val="-11"/>
                <w:position w:val="18"/>
                <w:sz w:val="24"/>
                <w:szCs w:val="24"/>
              </w:rPr>
              <w:t>可根据实际情况增加监</w:t>
            </w:r>
          </w:p>
          <w:p>
            <w:pPr>
              <w:pStyle w:val="6"/>
              <w:spacing w:before="1" w:line="220" w:lineRule="auto"/>
              <w:ind w:left="109"/>
              <w:rPr>
                <w:sz w:val="24"/>
                <w:szCs w:val="24"/>
              </w:rPr>
            </w:pPr>
            <w:r>
              <w:rPr>
                <w:spacing w:val="-9"/>
                <w:sz w:val="24"/>
                <w:szCs w:val="24"/>
              </w:rPr>
              <w:t>测项目。</w:t>
            </w:r>
          </w:p>
          <w:p>
            <w:pPr>
              <w:pStyle w:val="6"/>
              <w:spacing w:before="193"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5</w:t>
            </w:r>
            <w:r>
              <w:rPr>
                <w:spacing w:val="-2"/>
                <w:sz w:val="24"/>
                <w:szCs w:val="24"/>
                <w14:textOutline w14:w="4354" w14:cap="flat" w14:cmpd="sng">
                  <w14:solidFill>
                    <w14:srgbClr w14:val="000000"/>
                  </w14:solidFill>
                  <w14:prstDash w14:val="solid"/>
                  <w14:miter w14:val="10"/>
                </w14:textOutline>
              </w:rPr>
              <w:t>）数据管理</w:t>
            </w:r>
          </w:p>
          <w:p>
            <w:pPr>
              <w:pStyle w:val="6"/>
              <w:spacing w:before="196" w:line="369" w:lineRule="auto"/>
              <w:ind w:left="109" w:right="100" w:firstLine="481"/>
              <w:jc w:val="both"/>
              <w:rPr>
                <w:sz w:val="24"/>
                <w:szCs w:val="24"/>
              </w:rPr>
            </w:pPr>
            <w:r>
              <w:rPr>
                <w:spacing w:val="-5"/>
                <w:sz w:val="24"/>
                <w:szCs w:val="24"/>
              </w:rPr>
              <w:t>建设单位应按相关规定对监测结果及时建立档案， 并按照国家环保部门相关规定定</w:t>
            </w:r>
            <w:r>
              <w:rPr>
                <w:spacing w:val="2"/>
                <w:sz w:val="24"/>
                <w:szCs w:val="24"/>
              </w:rPr>
              <w:t xml:space="preserve"> </w:t>
            </w:r>
            <w:r>
              <w:rPr>
                <w:spacing w:val="-6"/>
                <w:sz w:val="24"/>
                <w:szCs w:val="24"/>
              </w:rPr>
              <w:t>期向相关部门汇报。如发现异常或发生事故，</w:t>
            </w:r>
            <w:r>
              <w:rPr>
                <w:spacing w:val="47"/>
                <w:sz w:val="24"/>
                <w:szCs w:val="24"/>
              </w:rPr>
              <w:t xml:space="preserve"> </w:t>
            </w:r>
            <w:r>
              <w:rPr>
                <w:spacing w:val="-6"/>
                <w:sz w:val="24"/>
                <w:szCs w:val="24"/>
              </w:rPr>
              <w:t>加密监测频次，并根据污染物特征增加监</w:t>
            </w:r>
            <w:r>
              <w:rPr>
                <w:sz w:val="24"/>
                <w:szCs w:val="24"/>
              </w:rPr>
              <w:t xml:space="preserve"> </w:t>
            </w:r>
            <w:r>
              <w:rPr>
                <w:spacing w:val="-13"/>
                <w:sz w:val="24"/>
                <w:szCs w:val="24"/>
              </w:rPr>
              <w:t>测项目， 并分析污染原因，</w:t>
            </w:r>
            <w:r>
              <w:rPr>
                <w:spacing w:val="51"/>
                <w:sz w:val="24"/>
                <w:szCs w:val="24"/>
              </w:rPr>
              <w:t xml:space="preserve"> </w:t>
            </w:r>
            <w:r>
              <w:rPr>
                <w:spacing w:val="-13"/>
                <w:sz w:val="24"/>
                <w:szCs w:val="24"/>
              </w:rPr>
              <w:t>确定泄漏污染源，</w:t>
            </w:r>
            <w:r>
              <w:rPr>
                <w:spacing w:val="50"/>
                <w:sz w:val="24"/>
                <w:szCs w:val="24"/>
              </w:rPr>
              <w:t xml:space="preserve"> </w:t>
            </w:r>
            <w:r>
              <w:rPr>
                <w:spacing w:val="-13"/>
                <w:sz w:val="24"/>
                <w:szCs w:val="24"/>
              </w:rPr>
              <w:t>及时采取</w:t>
            </w:r>
            <w:r>
              <w:rPr>
                <w:spacing w:val="-14"/>
                <w:sz w:val="24"/>
                <w:szCs w:val="24"/>
              </w:rPr>
              <w:t>应急措施。建设单位应建立完善</w:t>
            </w:r>
            <w:r>
              <w:rPr>
                <w:sz w:val="24"/>
                <w:szCs w:val="24"/>
              </w:rPr>
              <w:t xml:space="preserve"> </w:t>
            </w:r>
            <w:r>
              <w:rPr>
                <w:spacing w:val="-6"/>
                <w:sz w:val="24"/>
                <w:szCs w:val="24"/>
              </w:rPr>
              <w:t>的质量管理体系，</w:t>
            </w:r>
            <w:r>
              <w:rPr>
                <w:spacing w:val="82"/>
                <w:sz w:val="24"/>
                <w:szCs w:val="24"/>
              </w:rPr>
              <w:t xml:space="preserve"> </w:t>
            </w:r>
            <w:r>
              <w:rPr>
                <w:spacing w:val="-6"/>
                <w:sz w:val="24"/>
                <w:szCs w:val="24"/>
              </w:rPr>
              <w:t>实现</w:t>
            </w:r>
            <w:r>
              <w:rPr>
                <w:rFonts w:ascii="Times New Roman" w:hAnsi="Times New Roman" w:eastAsia="Times New Roman" w:cs="Times New Roman"/>
                <w:spacing w:val="-6"/>
                <w:sz w:val="24"/>
                <w:szCs w:val="24"/>
              </w:rPr>
              <w:t>“</w:t>
            </w:r>
            <w:r>
              <w:rPr>
                <w:spacing w:val="-6"/>
                <w:sz w:val="24"/>
                <w:szCs w:val="24"/>
              </w:rPr>
              <w:t>质量、安全、环境</w:t>
            </w:r>
            <w:r>
              <w:rPr>
                <w:rFonts w:ascii="Times New Roman" w:hAnsi="Times New Roman" w:eastAsia="Times New Roman" w:cs="Times New Roman"/>
                <w:spacing w:val="-6"/>
                <w:sz w:val="24"/>
                <w:szCs w:val="24"/>
              </w:rPr>
              <w:t>”</w:t>
            </w:r>
            <w:r>
              <w:rPr>
                <w:spacing w:val="-6"/>
                <w:sz w:val="24"/>
                <w:szCs w:val="24"/>
              </w:rPr>
              <w:t>三位一体的全面质量管理目标。设立地下水</w:t>
            </w:r>
            <w:r>
              <w:rPr>
                <w:sz w:val="24"/>
                <w:szCs w:val="24"/>
              </w:rPr>
              <w:t xml:space="preserve"> </w:t>
            </w:r>
            <w:r>
              <w:rPr>
                <w:spacing w:val="-11"/>
                <w:sz w:val="24"/>
                <w:szCs w:val="24"/>
              </w:rPr>
              <w:t>动态监测小组，</w:t>
            </w:r>
            <w:r>
              <w:rPr>
                <w:spacing w:val="68"/>
                <w:sz w:val="24"/>
                <w:szCs w:val="24"/>
              </w:rPr>
              <w:t xml:space="preserve"> </w:t>
            </w:r>
            <w:r>
              <w:rPr>
                <w:spacing w:val="-11"/>
                <w:sz w:val="24"/>
                <w:szCs w:val="24"/>
              </w:rPr>
              <w:t>负责对地下水环境监测和管理，</w:t>
            </w:r>
            <w:r>
              <w:rPr>
                <w:spacing w:val="49"/>
                <w:sz w:val="24"/>
                <w:szCs w:val="24"/>
              </w:rPr>
              <w:t xml:space="preserve"> </w:t>
            </w:r>
            <w:r>
              <w:rPr>
                <w:spacing w:val="-11"/>
                <w:sz w:val="24"/>
                <w:szCs w:val="24"/>
              </w:rPr>
              <w:t>或者委托专业的资质机构完成。建立有</w:t>
            </w:r>
          </w:p>
          <w:p>
            <w:pPr>
              <w:pStyle w:val="6"/>
              <w:spacing w:before="2" w:line="218" w:lineRule="auto"/>
              <w:ind w:left="112"/>
              <w:rPr>
                <w:sz w:val="24"/>
                <w:szCs w:val="24"/>
              </w:rPr>
            </w:pPr>
            <w:r>
              <w:rPr>
                <w:spacing w:val="-6"/>
                <w:sz w:val="24"/>
                <w:szCs w:val="24"/>
              </w:rPr>
              <w:t>关规章制度和岗位责任制。制定风险预警方案，</w:t>
            </w:r>
            <w:r>
              <w:rPr>
                <w:spacing w:val="50"/>
                <w:sz w:val="24"/>
                <w:szCs w:val="24"/>
              </w:rPr>
              <w:t xml:space="preserve"> </w:t>
            </w:r>
            <w:r>
              <w:rPr>
                <w:spacing w:val="-6"/>
                <w:sz w:val="24"/>
                <w:szCs w:val="24"/>
              </w:rPr>
              <w:t>设立应急设施减少环境</w:t>
            </w:r>
            <w:r>
              <w:rPr>
                <w:spacing w:val="-7"/>
                <w:sz w:val="24"/>
                <w:szCs w:val="24"/>
              </w:rPr>
              <w:t>污染影响。同时</w:t>
            </w:r>
          </w:p>
        </w:tc>
      </w:tr>
    </w:tbl>
    <w:p>
      <w:pPr>
        <w:pStyle w:val="2"/>
        <w:rPr>
          <w:sz w:val="21"/>
        </w:rPr>
      </w:pPr>
    </w:p>
    <w:p>
      <w:pPr>
        <w:rPr>
          <w:sz w:val="21"/>
          <w:szCs w:val="21"/>
        </w:rPr>
        <w:sectPr>
          <w:footerReference r:id="rId139"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1" w:line="220" w:lineRule="auto"/>
              <w:ind w:left="108"/>
              <w:rPr>
                <w:sz w:val="24"/>
                <w:szCs w:val="24"/>
              </w:rPr>
            </w:pPr>
            <w:r>
              <w:rPr>
                <w:spacing w:val="-1"/>
                <w:sz w:val="24"/>
                <w:szCs w:val="24"/>
              </w:rPr>
              <w:t>加强对监测水井井深、水位变化的检查，以确定能</w:t>
            </w:r>
            <w:r>
              <w:rPr>
                <w:spacing w:val="-2"/>
                <w:sz w:val="24"/>
                <w:szCs w:val="24"/>
              </w:rPr>
              <w:t>否满足跟踪监测的要求。</w:t>
            </w:r>
          </w:p>
          <w:p>
            <w:pPr>
              <w:pStyle w:val="6"/>
              <w:spacing w:before="195" w:line="369" w:lineRule="auto"/>
              <w:ind w:left="108" w:right="100" w:firstLine="482"/>
              <w:jc w:val="both"/>
              <w:rPr>
                <w:sz w:val="24"/>
                <w:szCs w:val="24"/>
              </w:rPr>
            </w:pPr>
            <w:r>
              <w:rPr>
                <w:spacing w:val="-9"/>
                <w:sz w:val="24"/>
                <w:szCs w:val="24"/>
              </w:rPr>
              <w:t>综上所述， 通过采取上述地下水防治措施可有效保护项目所在地</w:t>
            </w:r>
            <w:r>
              <w:rPr>
                <w:spacing w:val="-10"/>
                <w:sz w:val="24"/>
                <w:szCs w:val="24"/>
              </w:rPr>
              <w:t>地下水环境，</w:t>
            </w:r>
            <w:r>
              <w:rPr>
                <w:spacing w:val="39"/>
                <w:sz w:val="24"/>
                <w:szCs w:val="24"/>
              </w:rPr>
              <w:t xml:space="preserve"> </w:t>
            </w:r>
            <w:r>
              <w:rPr>
                <w:spacing w:val="-10"/>
                <w:sz w:val="24"/>
                <w:szCs w:val="24"/>
              </w:rPr>
              <w:t>减轻</w:t>
            </w:r>
            <w:r>
              <w:rPr>
                <w:sz w:val="24"/>
                <w:szCs w:val="24"/>
              </w:rPr>
              <w:t xml:space="preserve"> </w:t>
            </w:r>
            <w:r>
              <w:rPr>
                <w:spacing w:val="-2"/>
                <w:sz w:val="24"/>
                <w:szCs w:val="24"/>
              </w:rPr>
              <w:t>地下水环境影响。本工程采取的合理选址、分区防渗、源头控制、优化工艺、应急响应</w:t>
            </w:r>
          </w:p>
          <w:p>
            <w:pPr>
              <w:pStyle w:val="6"/>
              <w:spacing w:line="219" w:lineRule="auto"/>
              <w:ind w:left="110"/>
              <w:rPr>
                <w:sz w:val="24"/>
                <w:szCs w:val="24"/>
              </w:rPr>
            </w:pPr>
            <w:r>
              <w:rPr>
                <w:spacing w:val="-2"/>
                <w:sz w:val="24"/>
                <w:szCs w:val="24"/>
              </w:rPr>
              <w:t>等措施在钻井工程中已多次成功应用，地下水防治措施可行。</w:t>
            </w:r>
          </w:p>
          <w:p>
            <w:pPr>
              <w:pStyle w:val="6"/>
              <w:spacing w:before="242" w:line="480" w:lineRule="exact"/>
              <w:ind w:left="107"/>
              <w:rPr>
                <w:sz w:val="24"/>
                <w:szCs w:val="24"/>
              </w:rPr>
            </w:pPr>
            <w:r>
              <w:rPr>
                <w:rFonts w:ascii="Times New Roman" w:hAnsi="Times New Roman" w:eastAsia="Times New Roman" w:cs="Times New Roman"/>
                <w:b/>
                <w:bCs/>
                <w:spacing w:val="-1"/>
                <w:position w:val="18"/>
                <w:sz w:val="24"/>
                <w:szCs w:val="24"/>
              </w:rPr>
              <w:t xml:space="preserve">5.5 </w:t>
            </w:r>
            <w:r>
              <w:rPr>
                <w:spacing w:val="-1"/>
                <w:position w:val="18"/>
                <w:sz w:val="24"/>
                <w:szCs w:val="24"/>
                <w14:textOutline w14:w="4354" w14:cap="flat" w14:cmpd="sng">
                  <w14:solidFill>
                    <w14:srgbClr w14:val="000000"/>
                  </w14:solidFill>
                  <w14:prstDash w14:val="solid"/>
                  <w14:miter w14:val="10"/>
                </w14:textOutline>
              </w:rPr>
              <w:t>声环境污染防治措施</w:t>
            </w:r>
          </w:p>
          <w:p>
            <w:pPr>
              <w:pStyle w:val="6"/>
              <w:spacing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）钻前工程</w:t>
            </w:r>
          </w:p>
          <w:p>
            <w:pPr>
              <w:pStyle w:val="6"/>
              <w:spacing w:before="195" w:line="369" w:lineRule="auto"/>
              <w:ind w:left="107" w:right="100" w:firstLine="480"/>
              <w:jc w:val="both"/>
              <w:rPr>
                <w:sz w:val="24"/>
                <w:szCs w:val="24"/>
              </w:rPr>
            </w:pPr>
            <w:r>
              <w:rPr>
                <w:spacing w:val="-6"/>
                <w:sz w:val="24"/>
                <w:szCs w:val="24"/>
              </w:rPr>
              <w:t>钻前工程施工噪声主要为施工设备噪声，</w:t>
            </w:r>
            <w:r>
              <w:rPr>
                <w:spacing w:val="50"/>
                <w:sz w:val="24"/>
                <w:szCs w:val="24"/>
              </w:rPr>
              <w:t xml:space="preserve"> </w:t>
            </w:r>
            <w:r>
              <w:rPr>
                <w:spacing w:val="-6"/>
                <w:sz w:val="24"/>
                <w:szCs w:val="24"/>
              </w:rPr>
              <w:t>如挖掘</w:t>
            </w:r>
            <w:r>
              <w:rPr>
                <w:spacing w:val="-7"/>
                <w:sz w:val="24"/>
                <w:szCs w:val="24"/>
              </w:rPr>
              <w:t>机、推土机、运输汽车等突发性噪</w:t>
            </w:r>
            <w:r>
              <w:rPr>
                <w:sz w:val="24"/>
                <w:szCs w:val="24"/>
              </w:rPr>
              <w:t xml:space="preserve"> </w:t>
            </w:r>
            <w:r>
              <w:rPr>
                <w:spacing w:val="22"/>
                <w:sz w:val="24"/>
                <w:szCs w:val="24"/>
              </w:rPr>
              <w:t>声。施工噪声主要集中在施工场地范围内，</w:t>
            </w:r>
            <w:r>
              <w:rPr>
                <w:spacing w:val="-44"/>
                <w:sz w:val="24"/>
                <w:szCs w:val="24"/>
              </w:rPr>
              <w:t xml:space="preserve"> </w:t>
            </w:r>
            <w:r>
              <w:rPr>
                <w:spacing w:val="22"/>
                <w:sz w:val="24"/>
                <w:szCs w:val="24"/>
              </w:rPr>
              <w:t>噪声源位置相对固定，</w:t>
            </w:r>
            <w:r>
              <w:rPr>
                <w:spacing w:val="-57"/>
                <w:sz w:val="24"/>
                <w:szCs w:val="24"/>
              </w:rPr>
              <w:t xml:space="preserve"> </w:t>
            </w:r>
            <w:r>
              <w:rPr>
                <w:spacing w:val="22"/>
                <w:sz w:val="24"/>
                <w:szCs w:val="24"/>
              </w:rPr>
              <w:t>作业时间为</w:t>
            </w:r>
            <w:r>
              <w:rPr>
                <w:sz w:val="24"/>
                <w:szCs w:val="24"/>
              </w:rPr>
              <w:t xml:space="preserve"> </w:t>
            </w:r>
            <w:r>
              <w:rPr>
                <w:rFonts w:ascii="Times New Roman" w:hAnsi="Times New Roman" w:eastAsia="Times New Roman" w:cs="Times New Roman"/>
                <w:spacing w:val="-5"/>
                <w:sz w:val="24"/>
                <w:szCs w:val="24"/>
              </w:rPr>
              <w:t>08:00~18:00</w:t>
            </w:r>
            <w:r>
              <w:rPr>
                <w:spacing w:val="-5"/>
                <w:sz w:val="24"/>
                <w:szCs w:val="24"/>
              </w:rPr>
              <w:t>，不在夜间施工。通过距离</w:t>
            </w:r>
            <w:r>
              <w:rPr>
                <w:spacing w:val="-6"/>
                <w:sz w:val="24"/>
                <w:szCs w:val="24"/>
              </w:rPr>
              <w:t>衰减和住户墙体隔声后，</w:t>
            </w:r>
            <w:r>
              <w:rPr>
                <w:spacing w:val="40"/>
                <w:sz w:val="24"/>
                <w:szCs w:val="24"/>
              </w:rPr>
              <w:t xml:space="preserve"> </w:t>
            </w:r>
            <w:r>
              <w:rPr>
                <w:spacing w:val="-6"/>
                <w:sz w:val="24"/>
                <w:szCs w:val="24"/>
              </w:rPr>
              <w:t>周边居民还是会受到一</w:t>
            </w:r>
          </w:p>
          <w:p>
            <w:pPr>
              <w:pStyle w:val="6"/>
              <w:spacing w:before="1" w:line="219" w:lineRule="auto"/>
              <w:ind w:left="114"/>
              <w:rPr>
                <w:sz w:val="24"/>
                <w:szCs w:val="24"/>
              </w:rPr>
            </w:pPr>
            <w:r>
              <w:rPr>
                <w:spacing w:val="-1"/>
                <w:sz w:val="24"/>
                <w:szCs w:val="24"/>
              </w:rPr>
              <w:t>定影响，建设方应当与当地居民积极沟通取得居</w:t>
            </w:r>
            <w:r>
              <w:rPr>
                <w:spacing w:val="-2"/>
                <w:sz w:val="24"/>
                <w:szCs w:val="24"/>
              </w:rPr>
              <w:t>民谅解，避免环保纠纷与投诉。</w:t>
            </w:r>
          </w:p>
          <w:p>
            <w:pPr>
              <w:pStyle w:val="6"/>
              <w:spacing w:before="195" w:line="220"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2</w:t>
            </w:r>
            <w:r>
              <w:rPr>
                <w:spacing w:val="-3"/>
                <w:sz w:val="24"/>
                <w:szCs w:val="24"/>
                <w14:textOutline w14:w="4354" w14:cap="flat" w14:cmpd="sng">
                  <w14:solidFill>
                    <w14:srgbClr w14:val="000000"/>
                  </w14:solidFill>
                  <w14:prstDash w14:val="solid"/>
                  <w14:miter w14:val="10"/>
                </w14:textOutline>
              </w:rPr>
              <w:t>）钻井工程</w:t>
            </w:r>
          </w:p>
          <w:p>
            <w:pPr>
              <w:pStyle w:val="6"/>
              <w:spacing w:before="194" w:line="480" w:lineRule="exact"/>
              <w:ind w:left="588"/>
              <w:rPr>
                <w:sz w:val="24"/>
                <w:szCs w:val="24"/>
              </w:rPr>
            </w:pPr>
            <w:r>
              <w:rPr>
                <w:spacing w:val="-7"/>
                <w:position w:val="18"/>
                <w:sz w:val="24"/>
                <w:szCs w:val="24"/>
              </w:rPr>
              <w:t>钻井工程噪声是在钻井作业期间和测试放喷期间产生的，</w:t>
            </w:r>
            <w:r>
              <w:rPr>
                <w:spacing w:val="57"/>
                <w:position w:val="18"/>
                <w:sz w:val="24"/>
                <w:szCs w:val="24"/>
              </w:rPr>
              <w:t xml:space="preserve"> </w:t>
            </w:r>
            <w:r>
              <w:rPr>
                <w:spacing w:val="-7"/>
                <w:position w:val="18"/>
                <w:sz w:val="24"/>
                <w:szCs w:val="24"/>
              </w:rPr>
              <w:t>虽然钻井周期短，并且只</w:t>
            </w:r>
          </w:p>
          <w:p>
            <w:pPr>
              <w:pStyle w:val="6"/>
              <w:spacing w:before="1" w:line="218" w:lineRule="auto"/>
              <w:ind w:left="107"/>
              <w:rPr>
                <w:sz w:val="24"/>
                <w:szCs w:val="24"/>
              </w:rPr>
            </w:pPr>
            <w:r>
              <w:rPr>
                <w:spacing w:val="-2"/>
                <w:sz w:val="24"/>
                <w:szCs w:val="24"/>
              </w:rPr>
              <w:t>在作业时产生，但对居民的影响是客观存在的，故本环评建议建设单位采取以下措施：</w:t>
            </w:r>
          </w:p>
          <w:p>
            <w:pPr>
              <w:pStyle w:val="6"/>
              <w:spacing w:before="196" w:line="369" w:lineRule="auto"/>
              <w:ind w:left="107" w:right="103" w:firstLine="479"/>
              <w:rPr>
                <w:sz w:val="24"/>
                <w:szCs w:val="24"/>
              </w:rPr>
            </w:pPr>
            <w:r>
              <w:rPr>
                <w:spacing w:val="1"/>
                <w:sz w:val="24"/>
                <w:szCs w:val="24"/>
              </w:rPr>
              <w:t>① 尽量选取同等功率的低噪声设备，井场内的高噪设备远离农户布置，施工方在</w:t>
            </w:r>
            <w:r>
              <w:rPr>
                <w:spacing w:val="17"/>
                <w:sz w:val="24"/>
                <w:szCs w:val="24"/>
              </w:rPr>
              <w:t xml:space="preserve"> </w:t>
            </w:r>
            <w:r>
              <w:rPr>
                <w:spacing w:val="-10"/>
                <w:sz w:val="24"/>
                <w:szCs w:val="24"/>
              </w:rPr>
              <w:t>施工期间应加强施工管理，</w:t>
            </w:r>
            <w:r>
              <w:rPr>
                <w:spacing w:val="48"/>
                <w:sz w:val="24"/>
                <w:szCs w:val="24"/>
              </w:rPr>
              <w:t xml:space="preserve"> </w:t>
            </w:r>
            <w:r>
              <w:rPr>
                <w:spacing w:val="-10"/>
                <w:sz w:val="24"/>
                <w:szCs w:val="24"/>
              </w:rPr>
              <w:t>泥浆泵加衬弹性垫料和安装</w:t>
            </w:r>
            <w:r>
              <w:rPr>
                <w:spacing w:val="-11"/>
                <w:sz w:val="24"/>
                <w:szCs w:val="24"/>
              </w:rPr>
              <w:t>消声装置，</w:t>
            </w:r>
            <w:r>
              <w:rPr>
                <w:spacing w:val="46"/>
                <w:sz w:val="24"/>
                <w:szCs w:val="24"/>
              </w:rPr>
              <w:t xml:space="preserve"> </w:t>
            </w:r>
            <w:r>
              <w:rPr>
                <w:spacing w:val="-11"/>
                <w:sz w:val="24"/>
                <w:szCs w:val="24"/>
              </w:rPr>
              <w:t>钻机、泥浆泵等设备</w:t>
            </w:r>
          </w:p>
          <w:p>
            <w:pPr>
              <w:pStyle w:val="6"/>
              <w:spacing w:before="1" w:line="219" w:lineRule="auto"/>
              <w:ind w:left="108"/>
              <w:rPr>
                <w:sz w:val="24"/>
                <w:szCs w:val="24"/>
              </w:rPr>
            </w:pPr>
            <w:r>
              <w:rPr>
                <w:spacing w:val="-2"/>
                <w:sz w:val="24"/>
                <w:szCs w:val="24"/>
              </w:rPr>
              <w:t>应做好日常维护，同时在操作时做到平稳操作，避免作业时产生非正常的噪声；</w:t>
            </w:r>
          </w:p>
          <w:p>
            <w:pPr>
              <w:pStyle w:val="6"/>
              <w:spacing w:before="195" w:line="217" w:lineRule="auto"/>
              <w:ind w:left="586"/>
              <w:rPr>
                <w:sz w:val="24"/>
                <w:szCs w:val="24"/>
              </w:rPr>
            </w:pPr>
            <w:r>
              <w:rPr>
                <w:spacing w:val="-3"/>
                <w:sz w:val="24"/>
                <w:szCs w:val="24"/>
              </w:rPr>
              <w:t>② 在夜间作业时，应平稳操作，避免非正常噪声；</w:t>
            </w:r>
          </w:p>
          <w:p>
            <w:pPr>
              <w:pStyle w:val="6"/>
              <w:spacing w:before="197" w:line="480" w:lineRule="exact"/>
              <w:ind w:left="586"/>
              <w:rPr>
                <w:sz w:val="24"/>
                <w:szCs w:val="24"/>
              </w:rPr>
            </w:pPr>
            <w:r>
              <w:rPr>
                <w:spacing w:val="1"/>
                <w:position w:val="18"/>
                <w:sz w:val="24"/>
                <w:szCs w:val="24"/>
              </w:rPr>
              <w:t>③ 对噪声超标区域的居民，可采取临时搬迁、租用或经济补偿的方式，取得居民</w:t>
            </w:r>
          </w:p>
          <w:p>
            <w:pPr>
              <w:pStyle w:val="6"/>
              <w:spacing w:before="1" w:line="220" w:lineRule="auto"/>
              <w:ind w:left="108"/>
              <w:rPr>
                <w:sz w:val="24"/>
                <w:szCs w:val="24"/>
              </w:rPr>
            </w:pPr>
            <w:r>
              <w:rPr>
                <w:spacing w:val="-6"/>
                <w:sz w:val="24"/>
                <w:szCs w:val="24"/>
              </w:rPr>
              <w:t>谅解，避免环保纠纷；</w:t>
            </w:r>
          </w:p>
          <w:p>
            <w:pPr>
              <w:pStyle w:val="6"/>
              <w:spacing w:before="193" w:line="480" w:lineRule="exact"/>
              <w:ind w:left="586"/>
              <w:rPr>
                <w:sz w:val="24"/>
                <w:szCs w:val="24"/>
              </w:rPr>
            </w:pPr>
            <w:r>
              <w:rPr>
                <w:spacing w:val="2"/>
                <w:position w:val="18"/>
                <w:sz w:val="24"/>
                <w:szCs w:val="24"/>
              </w:rPr>
              <w:t>④ 在钻井作业条件允许的情况下优先采用电网供电，使</w:t>
            </w:r>
            <w:r>
              <w:rPr>
                <w:spacing w:val="1"/>
                <w:position w:val="18"/>
                <w:sz w:val="24"/>
                <w:szCs w:val="24"/>
              </w:rPr>
              <w:t>用柴油机发电时安装隔振</w:t>
            </w:r>
          </w:p>
          <w:p>
            <w:pPr>
              <w:pStyle w:val="6"/>
              <w:spacing w:before="1" w:line="219" w:lineRule="auto"/>
              <w:ind w:left="110"/>
              <w:rPr>
                <w:sz w:val="24"/>
                <w:szCs w:val="24"/>
              </w:rPr>
            </w:pPr>
            <w:r>
              <w:rPr>
                <w:spacing w:val="-6"/>
                <w:sz w:val="24"/>
                <w:szCs w:val="24"/>
              </w:rPr>
              <w:t>垫、隔声房等隔音措施；</w:t>
            </w:r>
          </w:p>
          <w:p>
            <w:pPr>
              <w:pStyle w:val="6"/>
              <w:spacing w:before="195" w:line="480" w:lineRule="exact"/>
              <w:ind w:left="586"/>
              <w:rPr>
                <w:sz w:val="24"/>
                <w:szCs w:val="24"/>
              </w:rPr>
            </w:pPr>
            <w:r>
              <w:rPr>
                <w:spacing w:val="1"/>
                <w:position w:val="18"/>
                <w:sz w:val="24"/>
                <w:szCs w:val="24"/>
              </w:rPr>
              <w:t>⑤ 施工方在钻井工作期间对噪声影响超标的农户通过临时租用房屋、临时撤离、</w:t>
            </w:r>
          </w:p>
          <w:p>
            <w:pPr>
              <w:pStyle w:val="6"/>
              <w:spacing w:line="219" w:lineRule="auto"/>
              <w:ind w:left="108"/>
              <w:rPr>
                <w:sz w:val="24"/>
                <w:szCs w:val="24"/>
              </w:rPr>
            </w:pPr>
            <w:r>
              <w:rPr>
                <w:spacing w:val="-1"/>
                <w:sz w:val="24"/>
                <w:szCs w:val="24"/>
              </w:rPr>
              <w:t>加强沟通协调等方式减轻噪声影响，取得居民谅解，避免环</w:t>
            </w:r>
            <w:r>
              <w:rPr>
                <w:spacing w:val="-2"/>
                <w:sz w:val="24"/>
                <w:szCs w:val="24"/>
              </w:rPr>
              <w:t>境纠纷及环保投诉。</w:t>
            </w:r>
          </w:p>
          <w:p>
            <w:pPr>
              <w:pStyle w:val="6"/>
              <w:spacing w:before="196" w:line="369" w:lineRule="auto"/>
              <w:ind w:left="119" w:right="101" w:firstLine="468"/>
              <w:rPr>
                <w:sz w:val="24"/>
                <w:szCs w:val="24"/>
              </w:rPr>
            </w:pPr>
            <w:r>
              <w:rPr>
                <w:spacing w:val="-6"/>
                <w:sz w:val="24"/>
                <w:szCs w:val="24"/>
              </w:rPr>
              <w:t>通过以上措施，</w:t>
            </w:r>
            <w:r>
              <w:rPr>
                <w:spacing w:val="40"/>
                <w:sz w:val="24"/>
                <w:szCs w:val="24"/>
              </w:rPr>
              <w:t xml:space="preserve"> </w:t>
            </w:r>
            <w:r>
              <w:rPr>
                <w:spacing w:val="-6"/>
                <w:sz w:val="24"/>
                <w:szCs w:val="24"/>
              </w:rPr>
              <w:t>本项目钻井工程噪声对声环境的影响是可以接受的。同时由</w:t>
            </w:r>
            <w:r>
              <w:rPr>
                <w:spacing w:val="-7"/>
                <w:sz w:val="24"/>
                <w:szCs w:val="24"/>
              </w:rPr>
              <w:t>于钻井</w:t>
            </w:r>
            <w:r>
              <w:rPr>
                <w:sz w:val="24"/>
                <w:szCs w:val="24"/>
              </w:rPr>
              <w:t xml:space="preserve"> </w:t>
            </w:r>
            <w:r>
              <w:rPr>
                <w:spacing w:val="-15"/>
                <w:sz w:val="24"/>
                <w:szCs w:val="24"/>
              </w:rPr>
              <w:t>噪声属于施工噪声，</w:t>
            </w:r>
            <w:r>
              <w:rPr>
                <w:spacing w:val="47"/>
                <w:sz w:val="24"/>
                <w:szCs w:val="24"/>
              </w:rPr>
              <w:t xml:space="preserve"> </w:t>
            </w:r>
            <w:r>
              <w:rPr>
                <w:spacing w:val="-15"/>
                <w:sz w:val="24"/>
                <w:szCs w:val="24"/>
              </w:rPr>
              <w:t>钻井时间较短，</w:t>
            </w:r>
            <w:r>
              <w:rPr>
                <w:spacing w:val="59"/>
                <w:sz w:val="24"/>
                <w:szCs w:val="24"/>
              </w:rPr>
              <w:t xml:space="preserve"> </w:t>
            </w:r>
            <w:r>
              <w:rPr>
                <w:spacing w:val="-15"/>
                <w:sz w:val="24"/>
                <w:szCs w:val="24"/>
              </w:rPr>
              <w:t>随着钻井工程的结</w:t>
            </w:r>
            <w:r>
              <w:rPr>
                <w:spacing w:val="-16"/>
                <w:sz w:val="24"/>
                <w:szCs w:val="24"/>
              </w:rPr>
              <w:t>束，</w:t>
            </w:r>
            <w:r>
              <w:rPr>
                <w:spacing w:val="47"/>
                <w:sz w:val="24"/>
                <w:szCs w:val="24"/>
              </w:rPr>
              <w:t xml:space="preserve"> </w:t>
            </w:r>
            <w:r>
              <w:rPr>
                <w:spacing w:val="-16"/>
                <w:sz w:val="24"/>
                <w:szCs w:val="24"/>
              </w:rPr>
              <w:t>本工程对周边环境造成的影</w:t>
            </w:r>
          </w:p>
          <w:p>
            <w:pPr>
              <w:pStyle w:val="6"/>
              <w:spacing w:before="1" w:line="218" w:lineRule="auto"/>
              <w:ind w:left="120"/>
              <w:rPr>
                <w:sz w:val="24"/>
                <w:szCs w:val="24"/>
              </w:rPr>
            </w:pPr>
            <w:r>
              <w:rPr>
                <w:spacing w:val="-7"/>
                <w:sz w:val="24"/>
                <w:szCs w:val="24"/>
              </w:rPr>
              <w:t>响也会随之消失。</w:t>
            </w:r>
          </w:p>
          <w:p>
            <w:pPr>
              <w:pStyle w:val="6"/>
              <w:spacing w:before="196" w:line="480" w:lineRule="exact"/>
              <w:ind w:left="591"/>
              <w:rPr>
                <w:sz w:val="24"/>
                <w:szCs w:val="24"/>
              </w:rPr>
            </w:pPr>
            <w:r>
              <w:rPr>
                <w:spacing w:val="-9"/>
                <w:position w:val="18"/>
                <w:sz w:val="24"/>
                <w:szCs w:val="24"/>
              </w:rPr>
              <w:t>综上， 通过使用网电钻井以及进行基础减震，</w:t>
            </w:r>
            <w:r>
              <w:rPr>
                <w:spacing w:val="42"/>
                <w:position w:val="18"/>
                <w:sz w:val="24"/>
                <w:szCs w:val="24"/>
              </w:rPr>
              <w:t xml:space="preserve"> </w:t>
            </w:r>
            <w:r>
              <w:rPr>
                <w:spacing w:val="-9"/>
                <w:position w:val="18"/>
                <w:sz w:val="24"/>
                <w:szCs w:val="24"/>
              </w:rPr>
              <w:t>部分设备房屋</w:t>
            </w:r>
            <w:r>
              <w:rPr>
                <w:spacing w:val="-10"/>
                <w:position w:val="18"/>
                <w:sz w:val="24"/>
                <w:szCs w:val="24"/>
              </w:rPr>
              <w:t>隔声以及对超标居民钻</w:t>
            </w:r>
          </w:p>
          <w:p>
            <w:pPr>
              <w:pStyle w:val="6"/>
              <w:spacing w:before="1" w:line="219" w:lineRule="auto"/>
              <w:ind w:left="108"/>
              <w:rPr>
                <w:sz w:val="24"/>
                <w:szCs w:val="24"/>
              </w:rPr>
            </w:pPr>
            <w:r>
              <w:rPr>
                <w:spacing w:val="-6"/>
                <w:sz w:val="24"/>
                <w:szCs w:val="24"/>
              </w:rPr>
              <w:t>井期间通过临时租用房屋、临时撤离、加强沟通协调等方式减轻噪</w:t>
            </w:r>
            <w:r>
              <w:rPr>
                <w:spacing w:val="-7"/>
                <w:sz w:val="24"/>
                <w:szCs w:val="24"/>
              </w:rPr>
              <w:t>声影响，</w:t>
            </w:r>
            <w:r>
              <w:rPr>
                <w:spacing w:val="49"/>
                <w:sz w:val="24"/>
                <w:szCs w:val="24"/>
              </w:rPr>
              <w:t xml:space="preserve"> </w:t>
            </w:r>
            <w:r>
              <w:rPr>
                <w:spacing w:val="-7"/>
                <w:sz w:val="24"/>
                <w:szCs w:val="24"/>
              </w:rPr>
              <w:t>取得居民谅</w:t>
            </w:r>
          </w:p>
        </w:tc>
      </w:tr>
    </w:tbl>
    <w:p>
      <w:pPr>
        <w:pStyle w:val="2"/>
        <w:rPr>
          <w:sz w:val="21"/>
        </w:rPr>
      </w:pPr>
    </w:p>
    <w:p>
      <w:pPr>
        <w:rPr>
          <w:sz w:val="21"/>
          <w:szCs w:val="21"/>
        </w:rPr>
        <w:sectPr>
          <w:footerReference r:id="rId140"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79"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220" w:lineRule="auto"/>
              <w:ind w:left="107"/>
              <w:rPr>
                <w:sz w:val="24"/>
                <w:szCs w:val="24"/>
              </w:rPr>
            </w:pPr>
            <w:r>
              <w:rPr>
                <w:spacing w:val="-2"/>
                <w:sz w:val="24"/>
                <w:szCs w:val="24"/>
              </w:rPr>
              <w:t>解，避免环保纠纷。钻井工程对声环境的影响是可以接受的。</w:t>
            </w:r>
          </w:p>
          <w:p>
            <w:pPr>
              <w:pStyle w:val="6"/>
              <w:spacing w:before="242" w:line="220" w:lineRule="auto"/>
              <w:ind w:left="107"/>
              <w:rPr>
                <w:sz w:val="24"/>
                <w:szCs w:val="24"/>
              </w:rPr>
            </w:pPr>
            <w:r>
              <w:rPr>
                <w:rFonts w:ascii="Times New Roman" w:hAnsi="Times New Roman" w:eastAsia="Times New Roman" w:cs="Times New Roman"/>
                <w:b/>
                <w:bCs/>
                <w:spacing w:val="-3"/>
                <w:sz w:val="24"/>
                <w:szCs w:val="24"/>
              </w:rPr>
              <w:t>5.6</w:t>
            </w:r>
            <w:r>
              <w:rPr>
                <w:rFonts w:ascii="Times New Roman" w:hAnsi="Times New Roman" w:eastAsia="Times New Roman" w:cs="Times New Roman"/>
                <w:b/>
                <w:bCs/>
                <w:spacing w:val="38"/>
                <w:sz w:val="24"/>
                <w:szCs w:val="24"/>
              </w:rPr>
              <w:t xml:space="preserve"> </w:t>
            </w:r>
            <w:r>
              <w:rPr>
                <w:spacing w:val="-3"/>
                <w:sz w:val="24"/>
                <w:szCs w:val="24"/>
                <w14:textOutline w14:w="4354" w14:cap="flat" w14:cmpd="sng">
                  <w14:solidFill>
                    <w14:srgbClr w14:val="000000"/>
                  </w14:solidFill>
                  <w14:prstDash w14:val="solid"/>
                  <w14:miter w14:val="10"/>
                </w14:textOutline>
              </w:rPr>
              <w:t>固体废物污染防治措施</w:t>
            </w:r>
          </w:p>
          <w:p>
            <w:pPr>
              <w:pStyle w:val="6"/>
              <w:spacing w:before="227" w:line="220" w:lineRule="auto"/>
              <w:ind w:left="107"/>
              <w:rPr>
                <w:sz w:val="24"/>
                <w:szCs w:val="24"/>
              </w:rPr>
            </w:pPr>
            <w:r>
              <w:rPr>
                <w:rFonts w:ascii="Times New Roman" w:hAnsi="Times New Roman" w:eastAsia="Times New Roman" w:cs="Times New Roman"/>
                <w:b/>
                <w:bCs/>
                <w:spacing w:val="-1"/>
                <w:sz w:val="24"/>
                <w:szCs w:val="24"/>
              </w:rPr>
              <w:t xml:space="preserve">5.6.1 </w:t>
            </w:r>
            <w:r>
              <w:rPr>
                <w:spacing w:val="-1"/>
                <w:sz w:val="24"/>
                <w:szCs w:val="24"/>
                <w14:textOutline w14:w="4354" w14:cap="flat" w14:cmpd="sng">
                  <w14:solidFill>
                    <w14:srgbClr w14:val="000000"/>
                  </w14:solidFill>
                  <w14:prstDash w14:val="solid"/>
                  <w14:miter w14:val="10"/>
                </w14:textOutline>
              </w:rPr>
              <w:t>钻前工程</w:t>
            </w:r>
          </w:p>
          <w:p>
            <w:pPr>
              <w:pStyle w:val="6"/>
              <w:spacing w:before="200" w:line="480" w:lineRule="exact"/>
              <w:ind w:left="588"/>
              <w:rPr>
                <w:sz w:val="24"/>
                <w:szCs w:val="24"/>
              </w:rPr>
            </w:pPr>
            <w:r>
              <w:rPr>
                <w:spacing w:val="-5"/>
                <w:position w:val="18"/>
                <w:sz w:val="24"/>
                <w:szCs w:val="24"/>
              </w:rPr>
              <w:t>钻前工程施工人员产生的生活垃圾定点收集后， 定期外运安居区江陵镇环卫集中收</w:t>
            </w:r>
          </w:p>
          <w:p>
            <w:pPr>
              <w:pStyle w:val="6"/>
              <w:spacing w:line="219" w:lineRule="auto"/>
              <w:ind w:left="108"/>
              <w:rPr>
                <w:sz w:val="24"/>
                <w:szCs w:val="24"/>
              </w:rPr>
            </w:pPr>
            <w:r>
              <w:rPr>
                <w:spacing w:val="-9"/>
                <w:sz w:val="24"/>
                <w:szCs w:val="24"/>
              </w:rPr>
              <w:t>集处置。</w:t>
            </w:r>
          </w:p>
          <w:p>
            <w:pPr>
              <w:pStyle w:val="6"/>
              <w:spacing w:before="227" w:line="220" w:lineRule="auto"/>
              <w:ind w:left="107"/>
              <w:rPr>
                <w:sz w:val="24"/>
                <w:szCs w:val="24"/>
              </w:rPr>
            </w:pPr>
            <w:r>
              <w:rPr>
                <w:rFonts w:ascii="Times New Roman" w:hAnsi="Times New Roman" w:eastAsia="Times New Roman" w:cs="Times New Roman"/>
                <w:b/>
                <w:bCs/>
                <w:spacing w:val="-1"/>
                <w:sz w:val="24"/>
                <w:szCs w:val="24"/>
              </w:rPr>
              <w:t xml:space="preserve">5.6.2 </w:t>
            </w:r>
            <w:r>
              <w:rPr>
                <w:spacing w:val="-1"/>
                <w:sz w:val="24"/>
                <w:szCs w:val="24"/>
                <w14:textOutline w14:w="4354" w14:cap="flat" w14:cmpd="sng">
                  <w14:solidFill>
                    <w14:srgbClr w14:val="000000"/>
                  </w14:solidFill>
                  <w14:prstDash w14:val="solid"/>
                  <w14:miter w14:val="10"/>
                </w14:textOutline>
              </w:rPr>
              <w:t>钻井工程</w:t>
            </w:r>
          </w:p>
          <w:p>
            <w:pPr>
              <w:pStyle w:val="6"/>
              <w:spacing w:before="202" w:line="369" w:lineRule="auto"/>
              <w:ind w:left="111" w:right="100" w:firstLine="477"/>
              <w:jc w:val="both"/>
              <w:rPr>
                <w:sz w:val="24"/>
                <w:szCs w:val="24"/>
              </w:rPr>
            </w:pPr>
            <w:r>
              <w:rPr>
                <w:spacing w:val="-6"/>
                <w:sz w:val="24"/>
                <w:szCs w:val="24"/>
              </w:rPr>
              <w:t>钻井工程产生的固体废物主要包括一般工业固废、危险废物和生活垃圾，</w:t>
            </w:r>
            <w:r>
              <w:rPr>
                <w:spacing w:val="40"/>
                <w:sz w:val="24"/>
                <w:szCs w:val="24"/>
              </w:rPr>
              <w:t xml:space="preserve"> </w:t>
            </w:r>
            <w:r>
              <w:rPr>
                <w:spacing w:val="-6"/>
                <w:sz w:val="24"/>
                <w:szCs w:val="24"/>
              </w:rPr>
              <w:t>其中</w:t>
            </w:r>
            <w:r>
              <w:rPr>
                <w:spacing w:val="-7"/>
                <w:sz w:val="24"/>
                <w:szCs w:val="24"/>
              </w:rPr>
              <w:t>一般</w:t>
            </w:r>
            <w:r>
              <w:rPr>
                <w:sz w:val="24"/>
                <w:szCs w:val="24"/>
              </w:rPr>
              <w:t xml:space="preserve"> </w:t>
            </w:r>
            <w:r>
              <w:rPr>
                <w:spacing w:val="-6"/>
                <w:sz w:val="24"/>
                <w:szCs w:val="24"/>
              </w:rPr>
              <w:t>工业固废包括废弃水基钻井岩屑及泥浆和沉淀罐污泥、废包装材料、</w:t>
            </w:r>
            <w:r>
              <w:rPr>
                <w:spacing w:val="-7"/>
                <w:sz w:val="24"/>
                <w:szCs w:val="24"/>
              </w:rPr>
              <w:t>废弃设备零件；</w:t>
            </w:r>
            <w:r>
              <w:rPr>
                <w:spacing w:val="52"/>
                <w:sz w:val="24"/>
                <w:szCs w:val="24"/>
              </w:rPr>
              <w:t xml:space="preserve"> </w:t>
            </w:r>
            <w:r>
              <w:rPr>
                <w:spacing w:val="-7"/>
                <w:sz w:val="24"/>
                <w:szCs w:val="24"/>
              </w:rPr>
              <w:t>危</w:t>
            </w:r>
            <w:r>
              <w:rPr>
                <w:sz w:val="24"/>
                <w:szCs w:val="24"/>
              </w:rPr>
              <w:t xml:space="preserve"> </w:t>
            </w:r>
            <w:r>
              <w:rPr>
                <w:spacing w:val="-6"/>
                <w:sz w:val="24"/>
                <w:szCs w:val="24"/>
              </w:rPr>
              <w:t>险废物包括废油基钻井岩屑、废油、废弃的含油抹布及劳保用品；</w:t>
            </w:r>
            <w:r>
              <w:rPr>
                <w:spacing w:val="51"/>
                <w:sz w:val="24"/>
                <w:szCs w:val="24"/>
              </w:rPr>
              <w:t xml:space="preserve"> </w:t>
            </w:r>
            <w:r>
              <w:rPr>
                <w:spacing w:val="-6"/>
                <w:sz w:val="24"/>
                <w:szCs w:val="24"/>
              </w:rPr>
              <w:t>生活垃</w:t>
            </w:r>
            <w:r>
              <w:rPr>
                <w:spacing w:val="-7"/>
                <w:sz w:val="24"/>
                <w:szCs w:val="24"/>
              </w:rPr>
              <w:t>圾为钻井队人</w:t>
            </w:r>
          </w:p>
          <w:p>
            <w:pPr>
              <w:pStyle w:val="6"/>
              <w:spacing w:before="1" w:line="219" w:lineRule="auto"/>
              <w:ind w:left="117"/>
              <w:rPr>
                <w:sz w:val="24"/>
                <w:szCs w:val="24"/>
              </w:rPr>
            </w:pPr>
            <w:r>
              <w:rPr>
                <w:spacing w:val="-7"/>
                <w:sz w:val="24"/>
                <w:szCs w:val="24"/>
              </w:rPr>
              <w:t>员产生的垃圾。</w:t>
            </w:r>
          </w:p>
          <w:p>
            <w:pPr>
              <w:pStyle w:val="6"/>
              <w:spacing w:before="195"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spacing w:val="-2"/>
                <w:sz w:val="24"/>
                <w:szCs w:val="24"/>
                <w14:textOutline w14:w="4354" w14:cap="flat" w14:cmpd="sng">
                  <w14:solidFill>
                    <w14:srgbClr w14:val="000000"/>
                  </w14:solidFill>
                  <w14:prstDash w14:val="solid"/>
                  <w14:miter w14:val="10"/>
                </w14:textOutline>
              </w:rPr>
              <w:t>）一般固废</w:t>
            </w:r>
          </w:p>
          <w:p>
            <w:pPr>
              <w:pStyle w:val="6"/>
              <w:spacing w:before="194" w:line="217" w:lineRule="auto"/>
              <w:ind w:left="589"/>
              <w:rPr>
                <w:sz w:val="24"/>
                <w:szCs w:val="24"/>
              </w:rPr>
            </w:pPr>
            <w:r>
              <w:rPr>
                <w:spacing w:val="-4"/>
                <w:sz w:val="24"/>
                <w:szCs w:val="24"/>
                <w14:textOutline w14:w="4354" w14:cap="flat" w14:cmpd="sng">
                  <w14:solidFill>
                    <w14:srgbClr w14:val="000000"/>
                  </w14:solidFill>
                  <w14:prstDash w14:val="solid"/>
                  <w14:miter w14:val="10"/>
                </w14:textOutline>
              </w:rPr>
              <w:t>①废弃水基钻井岩屑、</w:t>
            </w:r>
            <w:r>
              <w:rPr>
                <w:spacing w:val="-26"/>
                <w:sz w:val="24"/>
                <w:szCs w:val="24"/>
              </w:rPr>
              <w:t xml:space="preserve"> </w:t>
            </w:r>
            <w:r>
              <w:rPr>
                <w:spacing w:val="-4"/>
                <w:sz w:val="24"/>
                <w:szCs w:val="24"/>
                <w14:textOutline w14:w="4354" w14:cap="flat" w14:cmpd="sng">
                  <w14:solidFill>
                    <w14:srgbClr w14:val="000000"/>
                  </w14:solidFill>
                  <w14:prstDash w14:val="solid"/>
                  <w14:miter w14:val="10"/>
                </w14:textOutline>
              </w:rPr>
              <w:t>废弃水基钻井泥浆及污泥</w:t>
            </w:r>
          </w:p>
          <w:p>
            <w:pPr>
              <w:pStyle w:val="6"/>
              <w:spacing w:before="198" w:line="369" w:lineRule="auto"/>
              <w:ind w:left="107" w:right="100" w:firstLine="481"/>
              <w:jc w:val="both"/>
              <w:rPr>
                <w:sz w:val="24"/>
                <w:szCs w:val="24"/>
              </w:rPr>
            </w:pPr>
            <w:r>
              <w:rPr>
                <w:spacing w:val="-2"/>
                <w:sz w:val="24"/>
                <w:szCs w:val="24"/>
              </w:rPr>
              <w:t>本项目钻井期间一般工业固体废物主要包括废弃水基钻井岩屑、废弃水基钻井泥浆</w:t>
            </w:r>
            <w:r>
              <w:rPr>
                <w:spacing w:val="10"/>
                <w:sz w:val="24"/>
                <w:szCs w:val="24"/>
              </w:rPr>
              <w:t xml:space="preserve"> </w:t>
            </w:r>
            <w:r>
              <w:rPr>
                <w:spacing w:val="-9"/>
                <w:sz w:val="24"/>
                <w:szCs w:val="24"/>
              </w:rPr>
              <w:t>和沉淀罐污泥，</w:t>
            </w:r>
            <w:r>
              <w:rPr>
                <w:spacing w:val="57"/>
                <w:sz w:val="24"/>
                <w:szCs w:val="24"/>
              </w:rPr>
              <w:t xml:space="preserve"> </w:t>
            </w:r>
            <w:r>
              <w:rPr>
                <w:spacing w:val="-9"/>
                <w:sz w:val="24"/>
                <w:szCs w:val="24"/>
              </w:rPr>
              <w:t>废弃水基钻井岩屑及泥浆由</w:t>
            </w:r>
            <w:r>
              <w:rPr>
                <w:rFonts w:ascii="Times New Roman" w:hAnsi="Times New Roman" w:eastAsia="Times New Roman" w:cs="Times New Roman"/>
                <w:spacing w:val="-9"/>
                <w:sz w:val="24"/>
                <w:szCs w:val="24"/>
              </w:rPr>
              <w:t>“</w:t>
            </w:r>
            <w:r>
              <w:rPr>
                <w:spacing w:val="-9"/>
                <w:sz w:val="24"/>
                <w:szCs w:val="24"/>
              </w:rPr>
              <w:t>不落地</w:t>
            </w:r>
            <w:r>
              <w:rPr>
                <w:rFonts w:ascii="Times New Roman" w:hAnsi="Times New Roman" w:eastAsia="Times New Roman" w:cs="Times New Roman"/>
                <w:spacing w:val="-9"/>
                <w:sz w:val="24"/>
                <w:szCs w:val="24"/>
              </w:rPr>
              <w:t>”</w:t>
            </w:r>
            <w:r>
              <w:rPr>
                <w:spacing w:val="-9"/>
                <w:sz w:val="24"/>
                <w:szCs w:val="24"/>
              </w:rPr>
              <w:t>工艺处理后（振动冲洗分离</w:t>
            </w:r>
            <w:r>
              <w:rPr>
                <w:spacing w:val="-17"/>
                <w:sz w:val="24"/>
                <w:szCs w:val="24"/>
              </w:rPr>
              <w:t>）</w:t>
            </w:r>
            <w:r>
              <w:rPr>
                <w:spacing w:val="40"/>
                <w:sz w:val="24"/>
                <w:szCs w:val="24"/>
              </w:rPr>
              <w:t xml:space="preserve"> </w:t>
            </w:r>
            <w:r>
              <w:rPr>
                <w:spacing w:val="-17"/>
                <w:sz w:val="24"/>
                <w:szCs w:val="24"/>
              </w:rPr>
              <w:t>，</w:t>
            </w:r>
            <w:r>
              <w:rPr>
                <w:spacing w:val="-9"/>
                <w:sz w:val="24"/>
                <w:szCs w:val="24"/>
              </w:rPr>
              <w:t>与</w:t>
            </w:r>
            <w:r>
              <w:rPr>
                <w:sz w:val="24"/>
                <w:szCs w:val="24"/>
              </w:rPr>
              <w:t xml:space="preserve"> </w:t>
            </w:r>
            <w:r>
              <w:rPr>
                <w:spacing w:val="5"/>
                <w:sz w:val="24"/>
                <w:szCs w:val="24"/>
              </w:rPr>
              <w:t>废水罐污泥在清洁生产操作平台内岩屑堆放区暂存后一并</w:t>
            </w:r>
            <w:r>
              <w:rPr>
                <w:spacing w:val="4"/>
                <w:sz w:val="24"/>
                <w:szCs w:val="24"/>
              </w:rPr>
              <w:t>定期外运有资质的砖厂资源</w:t>
            </w:r>
          </w:p>
          <w:p>
            <w:pPr>
              <w:pStyle w:val="6"/>
              <w:spacing w:before="1" w:line="218" w:lineRule="auto"/>
              <w:ind w:left="109"/>
              <w:rPr>
                <w:sz w:val="24"/>
                <w:szCs w:val="24"/>
              </w:rPr>
            </w:pPr>
            <w:r>
              <w:rPr>
                <w:spacing w:val="-5"/>
                <w:sz w:val="24"/>
                <w:szCs w:val="24"/>
              </w:rPr>
              <w:t>化利用，制烧结砖。</w:t>
            </w:r>
          </w:p>
          <w:p>
            <w:pPr>
              <w:pStyle w:val="6"/>
              <w:spacing w:before="196" w:line="234" w:lineRule="auto"/>
              <w:ind w:left="583"/>
              <w:rPr>
                <w:sz w:val="24"/>
                <w:szCs w:val="24"/>
              </w:rPr>
            </w:pPr>
            <w:r>
              <w:rPr>
                <w:rFonts w:ascii="Times New Roman" w:hAnsi="Times New Roman" w:eastAsia="Times New Roman" w:cs="Times New Roman"/>
                <w:b/>
                <w:bCs/>
                <w:sz w:val="24"/>
                <w:szCs w:val="24"/>
              </w:rPr>
              <w:t>A.</w:t>
            </w:r>
            <w:r>
              <w:rPr>
                <w:sz w:val="24"/>
                <w:szCs w:val="24"/>
                <w14:textOutline w14:w="4354" w14:cap="flat" w14:cmpd="sng">
                  <w14:solidFill>
                    <w14:srgbClr w14:val="000000"/>
                  </w14:solidFill>
                  <w14:prstDash w14:val="solid"/>
                  <w14:miter w14:val="10"/>
                </w14:textOutline>
              </w:rPr>
              <w:t>处置方式及可行性分析</w:t>
            </w:r>
          </w:p>
          <w:p>
            <w:pPr>
              <w:pStyle w:val="6"/>
              <w:spacing w:before="177" w:line="369" w:lineRule="auto"/>
              <w:ind w:left="110" w:right="39" w:firstLine="478"/>
              <w:jc w:val="both"/>
              <w:rPr>
                <w:rFonts w:ascii="Times New Roman" w:hAnsi="Times New Roman" w:eastAsia="Times New Roman" w:cs="Times New Roman"/>
                <w:sz w:val="24"/>
                <w:szCs w:val="24"/>
              </w:rPr>
            </w:pPr>
            <w:r>
              <w:rPr>
                <w:spacing w:val="-1"/>
                <w:sz w:val="24"/>
                <w:szCs w:val="24"/>
              </w:rPr>
              <w:t>根据工程分析，清水及水基钻井过程中产生岩屑总量约</w:t>
            </w:r>
            <w:r>
              <w:rPr>
                <w:spacing w:val="-39"/>
                <w:sz w:val="24"/>
                <w:szCs w:val="24"/>
              </w:rPr>
              <w:t xml:space="preserve"> </w:t>
            </w:r>
            <w:r>
              <w:rPr>
                <w:rFonts w:ascii="Times New Roman" w:hAnsi="Times New Roman" w:eastAsia="Times New Roman" w:cs="Times New Roman"/>
                <w:spacing w:val="-1"/>
                <w:sz w:val="24"/>
                <w:szCs w:val="24"/>
              </w:rPr>
              <w:t>3210.75t</w:t>
            </w:r>
            <w:r>
              <w:rPr>
                <w:spacing w:val="-1"/>
                <w:sz w:val="24"/>
                <w:szCs w:val="24"/>
              </w:rPr>
              <w:t>、水基泥浆钻井废</w:t>
            </w:r>
            <w:r>
              <w:rPr>
                <w:sz w:val="24"/>
                <w:szCs w:val="24"/>
              </w:rPr>
              <w:t xml:space="preserve"> </w:t>
            </w:r>
            <w:r>
              <w:rPr>
                <w:spacing w:val="-6"/>
                <w:sz w:val="24"/>
                <w:szCs w:val="24"/>
              </w:rPr>
              <w:t>泥浆</w:t>
            </w:r>
            <w:r>
              <w:rPr>
                <w:spacing w:val="-19"/>
                <w:sz w:val="24"/>
                <w:szCs w:val="24"/>
              </w:rPr>
              <w:t xml:space="preserve"> </w:t>
            </w:r>
            <w:r>
              <w:rPr>
                <w:rFonts w:ascii="Times New Roman" w:hAnsi="Times New Roman" w:eastAsia="Times New Roman" w:cs="Times New Roman"/>
                <w:spacing w:val="-6"/>
                <w:sz w:val="24"/>
                <w:szCs w:val="24"/>
              </w:rPr>
              <w:t>184.08t</w:t>
            </w:r>
            <w:r>
              <w:rPr>
                <w:rFonts w:ascii="Times New Roman" w:hAnsi="Times New Roman" w:eastAsia="Times New Roman" w:cs="Times New Roman"/>
                <w:spacing w:val="-33"/>
                <w:sz w:val="24"/>
                <w:szCs w:val="24"/>
              </w:rPr>
              <w:t xml:space="preserve"> </w:t>
            </w:r>
            <w:r>
              <w:rPr>
                <w:spacing w:val="-6"/>
                <w:sz w:val="24"/>
                <w:szCs w:val="24"/>
              </w:rPr>
              <w:t>、</w:t>
            </w:r>
            <w:r>
              <w:rPr>
                <w:rFonts w:ascii="Times New Roman" w:hAnsi="Times New Roman" w:eastAsia="Times New Roman" w:cs="Times New Roman"/>
                <w:spacing w:val="-6"/>
                <w:sz w:val="24"/>
                <w:szCs w:val="24"/>
              </w:rPr>
              <w:t xml:space="preserve">60t </w:t>
            </w:r>
            <w:r>
              <w:rPr>
                <w:spacing w:val="-6"/>
                <w:sz w:val="24"/>
                <w:szCs w:val="24"/>
              </w:rPr>
              <w:t>沉淀罐污泥，</w:t>
            </w:r>
            <w:r>
              <w:rPr>
                <w:spacing w:val="59"/>
                <w:sz w:val="24"/>
                <w:szCs w:val="24"/>
              </w:rPr>
              <w:t xml:space="preserve"> </w:t>
            </w:r>
            <w:r>
              <w:rPr>
                <w:spacing w:val="-6"/>
                <w:sz w:val="24"/>
                <w:szCs w:val="24"/>
              </w:rPr>
              <w:t>及时外运至有处理能力和接收能力的砖厂制砖资源化利</w:t>
            </w:r>
            <w:r>
              <w:rPr>
                <w:sz w:val="24"/>
                <w:szCs w:val="24"/>
              </w:rPr>
              <w:t xml:space="preserve"> </w:t>
            </w:r>
            <w:r>
              <w:rPr>
                <w:spacing w:val="-13"/>
                <w:sz w:val="24"/>
                <w:szCs w:val="24"/>
              </w:rPr>
              <w:t>用，</w:t>
            </w:r>
            <w:r>
              <w:rPr>
                <w:spacing w:val="-43"/>
                <w:sz w:val="24"/>
                <w:szCs w:val="24"/>
              </w:rPr>
              <w:t xml:space="preserve"> </w:t>
            </w:r>
            <w:r>
              <w:rPr>
                <w:spacing w:val="-13"/>
                <w:sz w:val="24"/>
                <w:szCs w:val="24"/>
              </w:rPr>
              <w:t>该种资源化利用方式能完全实现岩屑及废泥浆的无害化，</w:t>
            </w:r>
            <w:r>
              <w:rPr>
                <w:spacing w:val="45"/>
                <w:sz w:val="24"/>
                <w:szCs w:val="24"/>
              </w:rPr>
              <w:t xml:space="preserve"> </w:t>
            </w:r>
            <w:r>
              <w:rPr>
                <w:spacing w:val="-13"/>
                <w:sz w:val="24"/>
                <w:szCs w:val="24"/>
              </w:rPr>
              <w:t>解决最终处置问题，</w:t>
            </w:r>
            <w:r>
              <w:rPr>
                <w:spacing w:val="69"/>
                <w:sz w:val="24"/>
                <w:szCs w:val="24"/>
              </w:rPr>
              <w:t xml:space="preserve"> </w:t>
            </w:r>
            <w:r>
              <w:rPr>
                <w:spacing w:val="-13"/>
                <w:sz w:val="24"/>
                <w:szCs w:val="24"/>
              </w:rPr>
              <w:t>同时</w:t>
            </w:r>
            <w:r>
              <w:rPr>
                <w:sz w:val="24"/>
                <w:szCs w:val="24"/>
              </w:rPr>
              <w:t xml:space="preserve"> </w:t>
            </w:r>
            <w:r>
              <w:rPr>
                <w:spacing w:val="-12"/>
                <w:sz w:val="24"/>
                <w:szCs w:val="24"/>
              </w:rPr>
              <w:t>实现废弃物回收利用， 具有重要的环保效益、社会效益和经济效益， 处置方式合理可行，</w:t>
            </w:r>
            <w:r>
              <w:rPr>
                <w:spacing w:val="13"/>
                <w:sz w:val="24"/>
                <w:szCs w:val="24"/>
              </w:rPr>
              <w:t xml:space="preserve"> </w:t>
            </w:r>
            <w:r>
              <w:rPr>
                <w:spacing w:val="4"/>
                <w:sz w:val="24"/>
                <w:szCs w:val="24"/>
              </w:rPr>
              <w:t>符合《陆上石油天然气开采水基钻井废弃物处理处置及资源化利用技术规</w:t>
            </w:r>
            <w:r>
              <w:rPr>
                <w:spacing w:val="3"/>
                <w:sz w:val="24"/>
                <w:szCs w:val="24"/>
              </w:rPr>
              <w:t>范》（</w:t>
            </w:r>
            <w:r>
              <w:rPr>
                <w:rFonts w:ascii="Times New Roman" w:hAnsi="Times New Roman" w:eastAsia="Times New Roman" w:cs="Times New Roman"/>
                <w:sz w:val="24"/>
                <w:szCs w:val="24"/>
              </w:rPr>
              <w:t>SY</w:t>
            </w:r>
            <w:r>
              <w:rPr>
                <w:rFonts w:ascii="Times New Roman" w:hAnsi="Times New Roman" w:eastAsia="Times New Roman" w:cs="Times New Roman"/>
                <w:spacing w:val="3"/>
                <w:sz w:val="24"/>
                <w:szCs w:val="24"/>
              </w:rPr>
              <w:t>/T</w:t>
            </w:r>
          </w:p>
          <w:p>
            <w:pPr>
              <w:pStyle w:val="6"/>
              <w:spacing w:before="2" w:line="220" w:lineRule="auto"/>
              <w:ind w:left="107"/>
              <w:rPr>
                <w:sz w:val="24"/>
                <w:szCs w:val="24"/>
              </w:rPr>
            </w:pPr>
            <w:r>
              <w:rPr>
                <w:rFonts w:ascii="Times New Roman" w:hAnsi="Times New Roman" w:eastAsia="Times New Roman" w:cs="Times New Roman"/>
                <w:spacing w:val="-3"/>
                <w:sz w:val="24"/>
                <w:szCs w:val="24"/>
              </w:rPr>
              <w:t>7466-2020</w:t>
            </w:r>
            <w:r>
              <w:rPr>
                <w:spacing w:val="-3"/>
                <w:sz w:val="24"/>
                <w:szCs w:val="24"/>
              </w:rPr>
              <w:t>）要求。</w:t>
            </w:r>
          </w:p>
          <w:p>
            <w:pPr>
              <w:pStyle w:val="6"/>
              <w:spacing w:before="193" w:line="233" w:lineRule="auto"/>
              <w:ind w:left="586"/>
              <w:rPr>
                <w:sz w:val="24"/>
                <w:szCs w:val="24"/>
              </w:rPr>
            </w:pPr>
            <w:r>
              <w:rPr>
                <w:rFonts w:ascii="Times New Roman" w:hAnsi="Times New Roman" w:eastAsia="Times New Roman" w:cs="Times New Roman"/>
                <w:b/>
                <w:bCs/>
                <w:sz w:val="24"/>
                <w:szCs w:val="24"/>
              </w:rPr>
              <w:t>B.</w:t>
            </w:r>
            <w:r>
              <w:rPr>
                <w:sz w:val="24"/>
                <w:szCs w:val="24"/>
                <w14:textOutline w14:w="4354" w14:cap="flat" w14:cmpd="sng">
                  <w14:solidFill>
                    <w14:srgbClr w14:val="000000"/>
                  </w14:solidFill>
                  <w14:prstDash w14:val="solid"/>
                  <w14:miter w14:val="10"/>
                </w14:textOutline>
              </w:rPr>
              <w:t>现场收集及储存情况</w:t>
            </w:r>
          </w:p>
          <w:p>
            <w:pPr>
              <w:pStyle w:val="6"/>
              <w:spacing w:before="178" w:line="369" w:lineRule="auto"/>
              <w:ind w:left="107" w:right="100" w:firstLine="480"/>
              <w:jc w:val="both"/>
              <w:rPr>
                <w:sz w:val="24"/>
                <w:szCs w:val="24"/>
              </w:rPr>
            </w:pPr>
            <w:r>
              <w:rPr>
                <w:spacing w:val="-14"/>
                <w:sz w:val="24"/>
                <w:szCs w:val="24"/>
              </w:rPr>
              <w:t>清洁化平台随钻处理，</w:t>
            </w:r>
            <w:r>
              <w:rPr>
                <w:spacing w:val="51"/>
                <w:sz w:val="24"/>
                <w:szCs w:val="24"/>
              </w:rPr>
              <w:t xml:space="preserve"> </w:t>
            </w:r>
            <w:r>
              <w:rPr>
                <w:spacing w:val="-14"/>
                <w:sz w:val="24"/>
                <w:szCs w:val="24"/>
              </w:rPr>
              <w:t>清洁化操作平台脱水、固化，</w:t>
            </w:r>
            <w:r>
              <w:rPr>
                <w:spacing w:val="52"/>
                <w:sz w:val="24"/>
                <w:szCs w:val="24"/>
              </w:rPr>
              <w:t xml:space="preserve"> </w:t>
            </w:r>
            <w:r>
              <w:rPr>
                <w:spacing w:val="-14"/>
                <w:sz w:val="24"/>
                <w:szCs w:val="24"/>
              </w:rPr>
              <w:t>压滤、 固化后的含水率</w:t>
            </w:r>
            <w:r>
              <w:rPr>
                <w:spacing w:val="-15"/>
                <w:sz w:val="24"/>
                <w:szCs w:val="24"/>
              </w:rPr>
              <w:t>控制在</w:t>
            </w:r>
            <w:r>
              <w:rPr>
                <w:sz w:val="24"/>
                <w:szCs w:val="24"/>
              </w:rPr>
              <w:t xml:space="preserve"> </w:t>
            </w:r>
            <w:r>
              <w:rPr>
                <w:rFonts w:ascii="Times New Roman" w:hAnsi="Times New Roman" w:eastAsia="Times New Roman" w:cs="Times New Roman"/>
                <w:spacing w:val="-14"/>
                <w:sz w:val="24"/>
                <w:szCs w:val="24"/>
              </w:rPr>
              <w:t>60%</w:t>
            </w:r>
            <w:r>
              <w:rPr>
                <w:spacing w:val="-14"/>
                <w:sz w:val="24"/>
                <w:szCs w:val="24"/>
              </w:rPr>
              <w:t>且不呈流动态，</w:t>
            </w:r>
            <w:r>
              <w:rPr>
                <w:spacing w:val="59"/>
                <w:sz w:val="24"/>
                <w:szCs w:val="24"/>
              </w:rPr>
              <w:t xml:space="preserve"> </w:t>
            </w:r>
            <w:r>
              <w:rPr>
                <w:spacing w:val="-14"/>
                <w:sz w:val="24"/>
                <w:szCs w:val="24"/>
              </w:rPr>
              <w:t>储存在岩屑堆放区，</w:t>
            </w:r>
            <w:r>
              <w:rPr>
                <w:spacing w:val="60"/>
                <w:sz w:val="24"/>
                <w:szCs w:val="24"/>
              </w:rPr>
              <w:t xml:space="preserve"> </w:t>
            </w:r>
            <w:r>
              <w:rPr>
                <w:spacing w:val="-14"/>
                <w:sz w:val="24"/>
                <w:szCs w:val="24"/>
              </w:rPr>
              <w:t>采用混凝土整版基础重</w:t>
            </w:r>
            <w:r>
              <w:rPr>
                <w:spacing w:val="-15"/>
                <w:sz w:val="24"/>
                <w:szCs w:val="24"/>
              </w:rPr>
              <w:t>点防渗，</w:t>
            </w:r>
            <w:r>
              <w:rPr>
                <w:spacing w:val="59"/>
                <w:sz w:val="24"/>
                <w:szCs w:val="24"/>
              </w:rPr>
              <w:t xml:space="preserve"> </w:t>
            </w:r>
            <w:r>
              <w:rPr>
                <w:spacing w:val="-15"/>
                <w:sz w:val="24"/>
                <w:szCs w:val="24"/>
              </w:rPr>
              <w:t>平台顶部设雨</w:t>
            </w:r>
            <w:r>
              <w:rPr>
                <w:sz w:val="24"/>
                <w:szCs w:val="24"/>
              </w:rPr>
              <w:t xml:space="preserve"> </w:t>
            </w:r>
            <w:r>
              <w:rPr>
                <w:spacing w:val="-9"/>
                <w:sz w:val="24"/>
                <w:szCs w:val="24"/>
              </w:rPr>
              <w:t>棚，</w:t>
            </w:r>
            <w:r>
              <w:rPr>
                <w:spacing w:val="-44"/>
                <w:sz w:val="24"/>
                <w:szCs w:val="24"/>
              </w:rPr>
              <w:t xml:space="preserve"> </w:t>
            </w:r>
            <w:r>
              <w:rPr>
                <w:spacing w:val="-9"/>
                <w:sz w:val="24"/>
                <w:szCs w:val="24"/>
              </w:rPr>
              <w:t>周边设置</w:t>
            </w:r>
            <w:r>
              <w:rPr>
                <w:spacing w:val="-51"/>
                <w:sz w:val="24"/>
                <w:szCs w:val="24"/>
              </w:rPr>
              <w:t xml:space="preserve"> </w:t>
            </w:r>
            <w:r>
              <w:rPr>
                <w:rFonts w:ascii="Times New Roman" w:hAnsi="Times New Roman" w:eastAsia="Times New Roman" w:cs="Times New Roman"/>
                <w:spacing w:val="-9"/>
                <w:sz w:val="24"/>
                <w:szCs w:val="24"/>
              </w:rPr>
              <w:t xml:space="preserve">0.2m </w:t>
            </w:r>
            <w:r>
              <w:rPr>
                <w:spacing w:val="-9"/>
                <w:sz w:val="24"/>
                <w:szCs w:val="24"/>
              </w:rPr>
              <w:t>挡污墙； 岩屑堆放区设置</w:t>
            </w:r>
            <w:r>
              <w:rPr>
                <w:spacing w:val="-51"/>
                <w:sz w:val="24"/>
                <w:szCs w:val="24"/>
              </w:rPr>
              <w:t xml:space="preserve"> </w:t>
            </w:r>
            <w:r>
              <w:rPr>
                <w:rFonts w:ascii="Times New Roman" w:hAnsi="Times New Roman" w:eastAsia="Times New Roman" w:cs="Times New Roman"/>
                <w:spacing w:val="-9"/>
                <w:sz w:val="24"/>
                <w:szCs w:val="24"/>
              </w:rPr>
              <w:t xml:space="preserve">0.2m </w:t>
            </w:r>
            <w:r>
              <w:rPr>
                <w:spacing w:val="-9"/>
                <w:sz w:val="24"/>
                <w:szCs w:val="24"/>
              </w:rPr>
              <w:t>挡墙， 符合《一般工业固体废物</w:t>
            </w:r>
            <w:r>
              <w:rPr>
                <w:spacing w:val="-10"/>
                <w:sz w:val="24"/>
                <w:szCs w:val="24"/>
              </w:rPr>
              <w:t>贮存</w:t>
            </w:r>
          </w:p>
          <w:p>
            <w:pPr>
              <w:pStyle w:val="6"/>
              <w:spacing w:before="1" w:line="219" w:lineRule="auto"/>
              <w:ind w:left="109"/>
              <w:rPr>
                <w:sz w:val="24"/>
                <w:szCs w:val="24"/>
              </w:rPr>
            </w:pPr>
            <w:r>
              <w:rPr>
                <w:spacing w:val="-4"/>
                <w:sz w:val="24"/>
                <w:szCs w:val="24"/>
              </w:rPr>
              <w:t>和填埋污染控制标准》 （</w:t>
            </w:r>
            <w:r>
              <w:rPr>
                <w:rFonts w:ascii="Times New Roman" w:hAnsi="Times New Roman" w:eastAsia="Times New Roman" w:cs="Times New Roman"/>
                <w:spacing w:val="-4"/>
                <w:sz w:val="24"/>
                <w:szCs w:val="24"/>
              </w:rPr>
              <w:t>GB18599-2020</w:t>
            </w:r>
            <w:r>
              <w:rPr>
                <w:spacing w:val="-4"/>
                <w:sz w:val="24"/>
                <w:szCs w:val="24"/>
              </w:rPr>
              <w:t>）库房形式储存防风、防雨、防渗漏要求。</w:t>
            </w:r>
          </w:p>
        </w:tc>
      </w:tr>
    </w:tbl>
    <w:p>
      <w:pPr>
        <w:pStyle w:val="2"/>
        <w:rPr>
          <w:sz w:val="21"/>
        </w:rPr>
      </w:pPr>
    </w:p>
    <w:p>
      <w:pPr>
        <w:rPr>
          <w:sz w:val="21"/>
          <w:szCs w:val="21"/>
        </w:rPr>
        <w:sectPr>
          <w:footerReference r:id="rId141"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28"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233" w:lineRule="auto"/>
              <w:ind w:left="591"/>
              <w:rPr>
                <w:sz w:val="24"/>
                <w:szCs w:val="24"/>
              </w:rPr>
            </w:pPr>
            <w:r>
              <w:rPr>
                <w:rFonts w:ascii="Times New Roman" w:hAnsi="Times New Roman" w:eastAsia="Times New Roman" w:cs="Times New Roman"/>
                <w:b/>
                <w:bCs/>
                <w:sz w:val="24"/>
                <w:szCs w:val="24"/>
              </w:rPr>
              <w:t>C.</w:t>
            </w:r>
            <w:r>
              <w:rPr>
                <w:sz w:val="24"/>
                <w:szCs w:val="24"/>
                <w14:textOutline w14:w="4354" w14:cap="flat" w14:cmpd="sng">
                  <w14:solidFill>
                    <w14:srgbClr w14:val="000000"/>
                  </w14:solidFill>
                  <w14:prstDash w14:val="solid"/>
                  <w14:miter w14:val="10"/>
                </w14:textOutline>
              </w:rPr>
              <w:t>水基岩屑制砖综合利用可行性分析</w:t>
            </w:r>
          </w:p>
          <w:p>
            <w:pPr>
              <w:pStyle w:val="6"/>
              <w:spacing w:before="176" w:line="233" w:lineRule="auto"/>
              <w:ind w:left="592"/>
              <w:rPr>
                <w:sz w:val="24"/>
                <w:szCs w:val="24"/>
              </w:rPr>
            </w:pPr>
            <w:r>
              <w:rPr>
                <w:rFonts w:ascii="Times New Roman" w:hAnsi="Times New Roman" w:eastAsia="Times New Roman" w:cs="Times New Roman"/>
                <w:b/>
                <w:bCs/>
                <w:sz w:val="24"/>
                <w:szCs w:val="24"/>
              </w:rPr>
              <w:t>a.</w:t>
            </w:r>
            <w:r>
              <w:rPr>
                <w:sz w:val="24"/>
                <w:szCs w:val="24"/>
                <w14:textOutline w14:w="4354" w14:cap="flat" w14:cmpd="sng">
                  <w14:solidFill>
                    <w14:srgbClr w14:val="000000"/>
                  </w14:solidFill>
                  <w14:prstDash w14:val="solid"/>
                  <w14:miter w14:val="10"/>
                </w14:textOutline>
              </w:rPr>
              <w:t>废水基泥浆及岩屑作为烧结砖的原料可行性分析</w:t>
            </w:r>
          </w:p>
          <w:p>
            <w:pPr>
              <w:pStyle w:val="6"/>
              <w:spacing w:before="178" w:line="369" w:lineRule="auto"/>
              <w:ind w:left="108" w:right="99" w:firstLine="502"/>
              <w:rPr>
                <w:sz w:val="24"/>
                <w:szCs w:val="24"/>
              </w:rPr>
            </w:pPr>
            <w:r>
              <w:rPr>
                <w:spacing w:val="-2"/>
                <w:sz w:val="24"/>
                <w:szCs w:val="24"/>
              </w:rPr>
              <w:t>四川蜀渝石油建筑安装工程有限责任公司通过大</w:t>
            </w:r>
            <w:r>
              <w:rPr>
                <w:spacing w:val="-3"/>
                <w:sz w:val="24"/>
                <w:szCs w:val="24"/>
              </w:rPr>
              <w:t>量水基岩屑室内试验及现场试验，</w:t>
            </w:r>
            <w:r>
              <w:rPr>
                <w:sz w:val="24"/>
                <w:szCs w:val="24"/>
              </w:rPr>
              <w:t xml:space="preserve"> </w:t>
            </w:r>
            <w:r>
              <w:rPr>
                <w:spacing w:val="-4"/>
                <w:sz w:val="24"/>
                <w:szCs w:val="24"/>
              </w:rPr>
              <w:t xml:space="preserve">利用其专利技术（专利号： </w:t>
            </w:r>
            <w:r>
              <w:rPr>
                <w:rFonts w:ascii="Times New Roman" w:hAnsi="Times New Roman" w:eastAsia="Times New Roman" w:cs="Times New Roman"/>
                <w:spacing w:val="-4"/>
                <w:sz w:val="24"/>
                <w:szCs w:val="24"/>
              </w:rPr>
              <w:t>ZL200610021077.2</w:t>
            </w:r>
            <w:r>
              <w:rPr>
                <w:spacing w:val="-4"/>
                <w:sz w:val="24"/>
                <w:szCs w:val="24"/>
              </w:rPr>
              <w:t>）对水基泥浆岩屑固化体加入一定量无毒</w:t>
            </w:r>
            <w:r>
              <w:rPr>
                <w:spacing w:val="14"/>
                <w:sz w:val="24"/>
                <w:szCs w:val="24"/>
              </w:rPr>
              <w:t xml:space="preserve"> </w:t>
            </w:r>
            <w:r>
              <w:rPr>
                <w:spacing w:val="-4"/>
                <w:sz w:val="24"/>
                <w:szCs w:val="24"/>
              </w:rPr>
              <w:t>的激活剂后，利用装载机进行多次的均匀搅拌反应，</w:t>
            </w:r>
            <w:r>
              <w:rPr>
                <w:spacing w:val="-10"/>
                <w:sz w:val="24"/>
                <w:szCs w:val="24"/>
              </w:rPr>
              <w:t xml:space="preserve"> </w:t>
            </w:r>
            <w:r>
              <w:rPr>
                <w:spacing w:val="-4"/>
                <w:sz w:val="24"/>
                <w:szCs w:val="24"/>
              </w:rPr>
              <w:t xml:space="preserve">每次搅拌时间不少于 </w:t>
            </w:r>
            <w:r>
              <w:rPr>
                <w:rFonts w:ascii="Times New Roman" w:hAnsi="Times New Roman" w:eastAsia="Times New Roman" w:cs="Times New Roman"/>
                <w:spacing w:val="-4"/>
                <w:sz w:val="24"/>
                <w:szCs w:val="24"/>
              </w:rPr>
              <w:t>45</w:t>
            </w:r>
            <w:r>
              <w:rPr>
                <w:rFonts w:ascii="Times New Roman" w:hAnsi="Times New Roman" w:eastAsia="Times New Roman" w:cs="Times New Roman"/>
                <w:spacing w:val="49"/>
                <w:sz w:val="24"/>
                <w:szCs w:val="24"/>
              </w:rPr>
              <w:t xml:space="preserve"> </w:t>
            </w:r>
            <w:r>
              <w:rPr>
                <w:spacing w:val="-4"/>
                <w:sz w:val="24"/>
                <w:szCs w:val="24"/>
              </w:rPr>
              <w:t>分钟，保</w:t>
            </w:r>
            <w:r>
              <w:rPr>
                <w:sz w:val="24"/>
                <w:szCs w:val="24"/>
              </w:rPr>
              <w:t xml:space="preserve"> </w:t>
            </w:r>
            <w:r>
              <w:rPr>
                <w:spacing w:val="-6"/>
                <w:sz w:val="24"/>
                <w:szCs w:val="24"/>
              </w:rPr>
              <w:t>证激活反应时间。固化体的化学成分和烧失量满足烧结砖原料成分要求，</w:t>
            </w:r>
            <w:r>
              <w:rPr>
                <w:spacing w:val="49"/>
                <w:sz w:val="24"/>
                <w:szCs w:val="24"/>
              </w:rPr>
              <w:t xml:space="preserve"> </w:t>
            </w:r>
            <w:r>
              <w:rPr>
                <w:spacing w:val="-6"/>
                <w:sz w:val="24"/>
                <w:szCs w:val="24"/>
              </w:rPr>
              <w:t>可以作为烧结</w:t>
            </w:r>
          </w:p>
          <w:p>
            <w:pPr>
              <w:pStyle w:val="6"/>
              <w:spacing w:line="219" w:lineRule="auto"/>
              <w:ind w:left="108"/>
              <w:rPr>
                <w:sz w:val="24"/>
                <w:szCs w:val="24"/>
              </w:rPr>
            </w:pPr>
            <w:r>
              <w:rPr>
                <w:spacing w:val="-1"/>
                <w:sz w:val="24"/>
                <w:szCs w:val="24"/>
              </w:rPr>
              <w:t>砖的生产原料。其化学成分分析结果见下表。</w:t>
            </w:r>
          </w:p>
          <w:p>
            <w:pPr>
              <w:pStyle w:val="6"/>
              <w:spacing w:before="194" w:line="220" w:lineRule="auto"/>
              <w:ind w:left="1530"/>
              <w:rPr>
                <w:sz w:val="24"/>
                <w:szCs w:val="24"/>
              </w:rPr>
            </w:pPr>
            <w:r>
              <w:rPr>
                <w:sz w:val="24"/>
                <w:szCs w:val="24"/>
                <w14:textOutline w14:w="4354" w14:cap="flat" w14:cmpd="sng">
                  <w14:solidFill>
                    <w14:srgbClr w14:val="000000"/>
                  </w14:solidFill>
                  <w14:prstDash w14:val="solid"/>
                  <w14:miter w14:val="10"/>
                </w14:textOutline>
              </w:rPr>
              <w:t>表</w:t>
            </w:r>
            <w:r>
              <w:rPr>
                <w:spacing w:val="-49"/>
                <w:sz w:val="24"/>
                <w:szCs w:val="24"/>
              </w:rPr>
              <w:t xml:space="preserve"> </w:t>
            </w:r>
            <w:r>
              <w:rPr>
                <w:rFonts w:ascii="Times New Roman" w:hAnsi="Times New Roman" w:eastAsia="Times New Roman" w:cs="Times New Roman"/>
                <w:b/>
                <w:bCs/>
                <w:sz w:val="24"/>
                <w:szCs w:val="24"/>
              </w:rPr>
              <w:t xml:space="preserve">5.6-1  </w:t>
            </w:r>
            <w:r>
              <w:rPr>
                <w:sz w:val="24"/>
                <w:szCs w:val="24"/>
                <w14:textOutline w14:w="4354" w14:cap="flat" w14:cmpd="sng">
                  <w14:solidFill>
                    <w14:srgbClr w14:val="000000"/>
                  </w14:solidFill>
                  <w14:prstDash w14:val="solid"/>
                  <w14:miter w14:val="10"/>
                </w14:textOutline>
              </w:rPr>
              <w:t>废弃固化物样品激活处理后的化学成分检测数</w:t>
            </w:r>
            <w:r>
              <w:rPr>
                <w:spacing w:val="-1"/>
                <w:sz w:val="24"/>
                <w:szCs w:val="24"/>
                <w14:textOutline w14:w="4354" w14:cap="flat" w14:cmpd="sng">
                  <w14:solidFill>
                    <w14:srgbClr w14:val="000000"/>
                  </w14:solidFill>
                  <w14:prstDash w14:val="solid"/>
                  <w14:miter w14:val="10"/>
                </w14:textOutline>
              </w:rPr>
              <w:t>据表</w:t>
            </w:r>
          </w:p>
          <w:p>
            <w:pPr>
              <w:spacing w:line="17" w:lineRule="exact"/>
            </w:pPr>
          </w:p>
          <w:tbl>
            <w:tblPr>
              <w:tblStyle w:val="5"/>
              <w:tblW w:w="8984"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61"/>
              <w:gridCol w:w="993"/>
              <w:gridCol w:w="991"/>
              <w:gridCol w:w="852"/>
              <w:gridCol w:w="991"/>
              <w:gridCol w:w="849"/>
              <w:gridCol w:w="852"/>
              <w:gridCol w:w="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461" w:type="dxa"/>
                  <w:vAlign w:val="top"/>
                </w:tcPr>
                <w:p>
                  <w:pPr>
                    <w:pStyle w:val="6"/>
                    <w:spacing w:before="68" w:line="221" w:lineRule="auto"/>
                    <w:ind w:left="1031"/>
                    <w:rPr>
                      <w:sz w:val="21"/>
                      <w:szCs w:val="21"/>
                    </w:rPr>
                  </w:pPr>
                  <w:r>
                    <w:rPr>
                      <w:spacing w:val="-3"/>
                      <w:sz w:val="21"/>
                      <w:szCs w:val="21"/>
                    </w:rPr>
                    <w:t>项目</w:t>
                  </w:r>
                </w:p>
              </w:tc>
              <w:tc>
                <w:tcPr>
                  <w:tcW w:w="993" w:type="dxa"/>
                  <w:vAlign w:val="top"/>
                </w:tcPr>
                <w:p>
                  <w:pPr>
                    <w:pStyle w:val="6"/>
                    <w:spacing w:before="67" w:line="234" w:lineRule="auto"/>
                    <w:ind w:left="97"/>
                    <w:rPr>
                      <w:rFonts w:ascii="Times New Roman" w:hAnsi="Times New Roman" w:eastAsia="Times New Roman" w:cs="Times New Roman"/>
                      <w:sz w:val="21"/>
                      <w:szCs w:val="21"/>
                    </w:rPr>
                  </w:pPr>
                  <w:r>
                    <w:rPr>
                      <w:spacing w:val="-1"/>
                      <w:sz w:val="21"/>
                      <w:szCs w:val="21"/>
                    </w:rPr>
                    <w:t>烧失量</w:t>
                  </w:r>
                  <w:r>
                    <w:rPr>
                      <w:rFonts w:ascii="Times New Roman" w:hAnsi="Times New Roman" w:eastAsia="Times New Roman" w:cs="Times New Roman"/>
                      <w:spacing w:val="-1"/>
                      <w:sz w:val="21"/>
                      <w:szCs w:val="21"/>
                    </w:rPr>
                    <w:t>%</w:t>
                  </w:r>
                </w:p>
              </w:tc>
              <w:tc>
                <w:tcPr>
                  <w:tcW w:w="991" w:type="dxa"/>
                  <w:vAlign w:val="top"/>
                </w:tcPr>
                <w:p>
                  <w:pPr>
                    <w:spacing w:before="103" w:line="226"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SiO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w:t>
                  </w:r>
                </w:p>
              </w:tc>
              <w:tc>
                <w:tcPr>
                  <w:tcW w:w="852" w:type="dxa"/>
                  <w:vAlign w:val="top"/>
                </w:tcPr>
                <w:p>
                  <w:pPr>
                    <w:spacing w:before="103" w:line="224" w:lineRule="auto"/>
                    <w:ind w:left="85"/>
                    <w:rPr>
                      <w:rFonts w:ascii="Times New Roman" w:hAnsi="Times New Roman" w:eastAsia="Times New Roman" w:cs="Times New Roman"/>
                      <w:sz w:val="21"/>
                      <w:szCs w:val="21"/>
                    </w:rPr>
                  </w:pPr>
                  <w:r>
                    <w:rPr>
                      <w:rFonts w:ascii="Times New Roman" w:hAnsi="Times New Roman" w:eastAsia="Times New Roman" w:cs="Times New Roman"/>
                      <w:sz w:val="21"/>
                      <w:szCs w:val="21"/>
                    </w:rPr>
                    <w:t>Fe</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O</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1"/>
                      <w:szCs w:val="21"/>
                    </w:rPr>
                    <w:t>%</w:t>
                  </w:r>
                </w:p>
              </w:tc>
              <w:tc>
                <w:tcPr>
                  <w:tcW w:w="991" w:type="dxa"/>
                  <w:vAlign w:val="top"/>
                </w:tcPr>
                <w:p>
                  <w:pPr>
                    <w:spacing w:before="102" w:line="225" w:lineRule="auto"/>
                    <w:ind w:left="155"/>
                    <w:rPr>
                      <w:rFonts w:ascii="Times New Roman" w:hAnsi="Times New Roman" w:eastAsia="Times New Roman" w:cs="Times New Roman"/>
                      <w:sz w:val="21"/>
                      <w:szCs w:val="21"/>
                    </w:rPr>
                  </w:pPr>
                  <w:r>
                    <w:rPr>
                      <w:rFonts w:ascii="Times New Roman" w:hAnsi="Times New Roman" w:eastAsia="Times New Roman" w:cs="Times New Roman"/>
                      <w:sz w:val="21"/>
                      <w:szCs w:val="21"/>
                    </w:rPr>
                    <w:t>Al</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O</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1"/>
                      <w:szCs w:val="21"/>
                    </w:rPr>
                    <w:t>%</w:t>
                  </w:r>
                </w:p>
              </w:tc>
              <w:tc>
                <w:tcPr>
                  <w:tcW w:w="849" w:type="dxa"/>
                  <w:vAlign w:val="top"/>
                </w:tcPr>
                <w:p>
                  <w:pPr>
                    <w:spacing w:before="103" w:line="226" w:lineRule="auto"/>
                    <w:ind w:left="1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w:t>
                  </w:r>
                </w:p>
              </w:tc>
              <w:tc>
                <w:tcPr>
                  <w:tcW w:w="852" w:type="dxa"/>
                  <w:vAlign w:val="top"/>
                </w:tcPr>
                <w:p>
                  <w:pPr>
                    <w:spacing w:before="106"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CaO%</w:t>
                  </w:r>
                </w:p>
              </w:tc>
              <w:tc>
                <w:tcPr>
                  <w:tcW w:w="995" w:type="dxa"/>
                  <w:vAlign w:val="top"/>
                </w:tcPr>
                <w:p>
                  <w:pPr>
                    <w:spacing w:before="102" w:line="191"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61" w:type="dxa"/>
                  <w:vAlign w:val="top"/>
                </w:tcPr>
                <w:p>
                  <w:pPr>
                    <w:pStyle w:val="6"/>
                    <w:spacing w:before="65" w:line="220" w:lineRule="auto"/>
                    <w:ind w:left="290"/>
                    <w:rPr>
                      <w:sz w:val="21"/>
                      <w:szCs w:val="21"/>
                    </w:rPr>
                  </w:pPr>
                  <w:r>
                    <w:rPr>
                      <w:spacing w:val="-1"/>
                      <w:sz w:val="21"/>
                      <w:szCs w:val="21"/>
                    </w:rPr>
                    <w:t>烧结砖原料成分要求</w:t>
                  </w:r>
                </w:p>
              </w:tc>
              <w:tc>
                <w:tcPr>
                  <w:tcW w:w="993" w:type="dxa"/>
                  <w:vAlign w:val="top"/>
                </w:tcPr>
                <w:p>
                  <w:pPr>
                    <w:pStyle w:val="6"/>
                    <w:spacing w:before="65" w:line="236"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spacing w:val="-2"/>
                      <w:sz w:val="21"/>
                      <w:szCs w:val="21"/>
                    </w:rPr>
                    <w:t>～</w:t>
                  </w:r>
                  <w:r>
                    <w:rPr>
                      <w:rFonts w:ascii="Times New Roman" w:hAnsi="Times New Roman" w:eastAsia="Times New Roman" w:cs="Times New Roman"/>
                      <w:spacing w:val="-2"/>
                      <w:sz w:val="21"/>
                      <w:szCs w:val="21"/>
                    </w:rPr>
                    <w:t>15</w:t>
                  </w:r>
                </w:p>
              </w:tc>
              <w:tc>
                <w:tcPr>
                  <w:tcW w:w="991" w:type="dxa"/>
                  <w:vAlign w:val="top"/>
                </w:tcPr>
                <w:p>
                  <w:pPr>
                    <w:pStyle w:val="6"/>
                    <w:spacing w:before="65" w:line="236"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r>
                    <w:rPr>
                      <w:spacing w:val="-2"/>
                      <w:sz w:val="21"/>
                      <w:szCs w:val="21"/>
                    </w:rPr>
                    <w:t>～</w:t>
                  </w:r>
                  <w:r>
                    <w:rPr>
                      <w:rFonts w:ascii="Times New Roman" w:hAnsi="Times New Roman" w:eastAsia="Times New Roman" w:cs="Times New Roman"/>
                      <w:spacing w:val="-2"/>
                      <w:sz w:val="21"/>
                      <w:szCs w:val="21"/>
                    </w:rPr>
                    <w:t>70</w:t>
                  </w:r>
                </w:p>
              </w:tc>
              <w:tc>
                <w:tcPr>
                  <w:tcW w:w="852" w:type="dxa"/>
                  <w:vAlign w:val="top"/>
                </w:tcPr>
                <w:p>
                  <w:pPr>
                    <w:pStyle w:val="6"/>
                    <w:spacing w:before="65" w:line="236"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spacing w:val="-2"/>
                      <w:sz w:val="21"/>
                      <w:szCs w:val="21"/>
                    </w:rPr>
                    <w:t>～</w:t>
                  </w:r>
                  <w:r>
                    <w:rPr>
                      <w:rFonts w:ascii="Times New Roman" w:hAnsi="Times New Roman" w:eastAsia="Times New Roman" w:cs="Times New Roman"/>
                      <w:spacing w:val="-2"/>
                      <w:sz w:val="21"/>
                      <w:szCs w:val="21"/>
                    </w:rPr>
                    <w:t>10</w:t>
                  </w:r>
                </w:p>
              </w:tc>
              <w:tc>
                <w:tcPr>
                  <w:tcW w:w="991" w:type="dxa"/>
                  <w:vAlign w:val="top"/>
                </w:tcPr>
                <w:p>
                  <w:pPr>
                    <w:pStyle w:val="6"/>
                    <w:spacing w:before="65" w:line="236"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r>
                    <w:rPr>
                      <w:spacing w:val="-5"/>
                      <w:sz w:val="21"/>
                      <w:szCs w:val="21"/>
                    </w:rPr>
                    <w:t>～</w:t>
                  </w:r>
                  <w:r>
                    <w:rPr>
                      <w:rFonts w:ascii="Times New Roman" w:hAnsi="Times New Roman" w:eastAsia="Times New Roman" w:cs="Times New Roman"/>
                      <w:spacing w:val="-5"/>
                      <w:sz w:val="21"/>
                      <w:szCs w:val="21"/>
                    </w:rPr>
                    <w:t>20</w:t>
                  </w:r>
                </w:p>
              </w:tc>
              <w:tc>
                <w:tcPr>
                  <w:tcW w:w="849" w:type="dxa"/>
                  <w:vAlign w:val="top"/>
                </w:tcPr>
                <w:p>
                  <w:pPr>
                    <w:pStyle w:val="6"/>
                    <w:spacing w:before="65" w:line="236"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spacing w:val="-2"/>
                      <w:sz w:val="21"/>
                      <w:szCs w:val="21"/>
                    </w:rPr>
                    <w:t>～</w:t>
                  </w:r>
                  <w:r>
                    <w:rPr>
                      <w:rFonts w:ascii="Times New Roman" w:hAnsi="Times New Roman" w:eastAsia="Times New Roman" w:cs="Times New Roman"/>
                      <w:spacing w:val="-2"/>
                      <w:sz w:val="21"/>
                      <w:szCs w:val="21"/>
                    </w:rPr>
                    <w:t>8</w:t>
                  </w:r>
                </w:p>
              </w:tc>
              <w:tc>
                <w:tcPr>
                  <w:tcW w:w="852" w:type="dxa"/>
                  <w:vAlign w:val="top"/>
                </w:tcPr>
                <w:p>
                  <w:pPr>
                    <w:pStyle w:val="6"/>
                    <w:spacing w:before="65" w:line="236"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spacing w:val="-2"/>
                      <w:sz w:val="21"/>
                      <w:szCs w:val="21"/>
                    </w:rPr>
                    <w:t>～</w:t>
                  </w:r>
                  <w:r>
                    <w:rPr>
                      <w:rFonts w:ascii="Times New Roman" w:hAnsi="Times New Roman" w:eastAsia="Times New Roman" w:cs="Times New Roman"/>
                      <w:spacing w:val="-2"/>
                      <w:sz w:val="21"/>
                      <w:szCs w:val="21"/>
                    </w:rPr>
                    <w:t>10</w:t>
                  </w:r>
                </w:p>
              </w:tc>
              <w:tc>
                <w:tcPr>
                  <w:tcW w:w="995" w:type="dxa"/>
                  <w:vAlign w:val="top"/>
                </w:tcPr>
                <w:p>
                  <w:pPr>
                    <w:pStyle w:val="6"/>
                    <w:spacing w:before="65" w:line="236"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spacing w:val="-2"/>
                      <w:sz w:val="21"/>
                      <w:szCs w:val="21"/>
                    </w:rPr>
                    <w:t>～</w:t>
                  </w:r>
                  <w:r>
                    <w:rPr>
                      <w:rFonts w:ascii="Times New Roman" w:hAnsi="Times New Roman" w:eastAsia="Times New Roman" w:cs="Times New Roman"/>
                      <w:spacing w:val="-2"/>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61" w:type="dxa"/>
                  <w:vAlign w:val="top"/>
                </w:tcPr>
                <w:p>
                  <w:pPr>
                    <w:pStyle w:val="6"/>
                    <w:spacing w:before="66" w:line="221" w:lineRule="auto"/>
                    <w:ind w:left="81"/>
                    <w:rPr>
                      <w:sz w:val="21"/>
                      <w:szCs w:val="21"/>
                    </w:rPr>
                  </w:pPr>
                  <w:r>
                    <w:rPr>
                      <w:spacing w:val="-1"/>
                      <w:sz w:val="21"/>
                      <w:szCs w:val="21"/>
                    </w:rPr>
                    <w:t>激活处理后的废弃固化物</w:t>
                  </w:r>
                </w:p>
              </w:tc>
              <w:tc>
                <w:tcPr>
                  <w:tcW w:w="993" w:type="dxa"/>
                  <w:vAlign w:val="top"/>
                </w:tcPr>
                <w:p>
                  <w:pPr>
                    <w:spacing w:before="105"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991" w:type="dxa"/>
                  <w:vAlign w:val="top"/>
                </w:tcPr>
                <w:p>
                  <w:pPr>
                    <w:spacing w:before="105"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65.35</w:t>
                  </w:r>
                </w:p>
              </w:tc>
              <w:tc>
                <w:tcPr>
                  <w:tcW w:w="852" w:type="dxa"/>
                  <w:vAlign w:val="top"/>
                </w:tcPr>
                <w:p>
                  <w:pPr>
                    <w:spacing w:before="105"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8.22</w:t>
                  </w:r>
                </w:p>
              </w:tc>
              <w:tc>
                <w:tcPr>
                  <w:tcW w:w="991" w:type="dxa"/>
                  <w:vAlign w:val="top"/>
                </w:tcPr>
                <w:p>
                  <w:pPr>
                    <w:spacing w:before="105"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11.67</w:t>
                  </w:r>
                </w:p>
              </w:tc>
              <w:tc>
                <w:tcPr>
                  <w:tcW w:w="849" w:type="dxa"/>
                  <w:vAlign w:val="top"/>
                </w:tcPr>
                <w:p>
                  <w:pPr>
                    <w:spacing w:before="105"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7.48</w:t>
                  </w:r>
                </w:p>
              </w:tc>
              <w:tc>
                <w:tcPr>
                  <w:tcW w:w="852" w:type="dxa"/>
                  <w:vAlign w:val="top"/>
                </w:tcPr>
                <w:p>
                  <w:pPr>
                    <w:spacing w:before="105"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6.32</w:t>
                  </w:r>
                </w:p>
              </w:tc>
              <w:tc>
                <w:tcPr>
                  <w:tcW w:w="995" w:type="dxa"/>
                  <w:vAlign w:val="top"/>
                </w:tcPr>
                <w:p>
                  <w:pPr>
                    <w:spacing w:before="105" w:line="187"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1.78</w:t>
                  </w:r>
                </w:p>
              </w:tc>
            </w:tr>
          </w:tbl>
          <w:p>
            <w:pPr>
              <w:pStyle w:val="6"/>
              <w:spacing w:before="177" w:line="219" w:lineRule="auto"/>
              <w:ind w:left="590"/>
              <w:rPr>
                <w:sz w:val="24"/>
                <w:szCs w:val="24"/>
              </w:rPr>
            </w:pPr>
            <w:r>
              <w:rPr>
                <w:spacing w:val="-1"/>
                <w:sz w:val="24"/>
                <w:szCs w:val="24"/>
              </w:rPr>
              <w:t>上表数据可知，加入激活剂后的废弃固化物能</w:t>
            </w:r>
            <w:r>
              <w:rPr>
                <w:spacing w:val="-2"/>
                <w:sz w:val="24"/>
                <w:szCs w:val="24"/>
              </w:rPr>
              <w:t>够满足砖厂烧砖的原料要求。</w:t>
            </w:r>
          </w:p>
          <w:p>
            <w:pPr>
              <w:pStyle w:val="6"/>
              <w:spacing w:before="195" w:line="233" w:lineRule="auto"/>
              <w:ind w:left="586"/>
              <w:rPr>
                <w:sz w:val="24"/>
                <w:szCs w:val="24"/>
              </w:rPr>
            </w:pPr>
            <w:r>
              <w:rPr>
                <w:rFonts w:ascii="Times New Roman" w:hAnsi="Times New Roman" w:eastAsia="Times New Roman" w:cs="Times New Roman"/>
                <w:b/>
                <w:bCs/>
                <w:sz w:val="24"/>
                <w:szCs w:val="24"/>
              </w:rPr>
              <w:t>b.</w:t>
            </w:r>
            <w:r>
              <w:rPr>
                <w:sz w:val="24"/>
                <w:szCs w:val="24"/>
                <w14:textOutline w14:w="4354" w14:cap="flat" w14:cmpd="sng">
                  <w14:solidFill>
                    <w14:srgbClr w14:val="000000"/>
                  </w14:solidFill>
                  <w14:prstDash w14:val="solid"/>
                  <w14:miter w14:val="10"/>
                </w14:textOutline>
              </w:rPr>
              <w:t>类似水基泥浆烧结砖产品质量检验分析</w:t>
            </w:r>
          </w:p>
          <w:p>
            <w:pPr>
              <w:pStyle w:val="6"/>
              <w:spacing w:before="180" w:line="369" w:lineRule="auto"/>
              <w:ind w:left="107" w:right="100" w:firstLine="503"/>
              <w:jc w:val="both"/>
              <w:rPr>
                <w:sz w:val="24"/>
                <w:szCs w:val="24"/>
              </w:rPr>
            </w:pPr>
            <w:r>
              <w:rPr>
                <w:spacing w:val="-6"/>
                <w:sz w:val="24"/>
                <w:szCs w:val="24"/>
              </w:rPr>
              <w:t>四川、重庆地区水基泥浆钻井固废处置多以经现场处理后（脱水处理） 转运地方砖</w:t>
            </w:r>
            <w:r>
              <w:rPr>
                <w:spacing w:val="18"/>
                <w:sz w:val="24"/>
                <w:szCs w:val="24"/>
              </w:rPr>
              <w:t xml:space="preserve"> </w:t>
            </w:r>
            <w:r>
              <w:rPr>
                <w:spacing w:val="-11"/>
                <w:sz w:val="24"/>
                <w:szCs w:val="24"/>
              </w:rPr>
              <w:t>厂制砖综合利用，</w:t>
            </w:r>
            <w:r>
              <w:rPr>
                <w:spacing w:val="57"/>
                <w:sz w:val="24"/>
                <w:szCs w:val="24"/>
              </w:rPr>
              <w:t xml:space="preserve"> </w:t>
            </w:r>
            <w:r>
              <w:rPr>
                <w:spacing w:val="-11"/>
                <w:sz w:val="24"/>
                <w:szCs w:val="24"/>
              </w:rPr>
              <w:t>本评价引用川渝地区对砖厂制砖后的烧结砖质量检测报告资料：</w:t>
            </w:r>
            <w:r>
              <w:rPr>
                <w:spacing w:val="64"/>
                <w:sz w:val="24"/>
                <w:szCs w:val="24"/>
              </w:rPr>
              <w:t xml:space="preserve"> </w:t>
            </w:r>
            <w:r>
              <w:rPr>
                <w:spacing w:val="-11"/>
                <w:sz w:val="24"/>
                <w:szCs w:val="24"/>
              </w:rPr>
              <w:t>四川</w:t>
            </w:r>
            <w:r>
              <w:rPr>
                <w:sz w:val="24"/>
                <w:szCs w:val="24"/>
              </w:rPr>
              <w:t xml:space="preserve"> </w:t>
            </w:r>
            <w:r>
              <w:rPr>
                <w:spacing w:val="-3"/>
                <w:sz w:val="24"/>
                <w:szCs w:val="24"/>
              </w:rPr>
              <w:t>省建材产品质量监督检验中心于</w:t>
            </w:r>
            <w:r>
              <w:rPr>
                <w:spacing w:val="-52"/>
                <w:sz w:val="24"/>
                <w:szCs w:val="24"/>
              </w:rPr>
              <w:t xml:space="preserve"> </w:t>
            </w:r>
            <w:r>
              <w:rPr>
                <w:rFonts w:ascii="Times New Roman" w:hAnsi="Times New Roman" w:eastAsia="Times New Roman" w:cs="Times New Roman"/>
                <w:spacing w:val="-3"/>
                <w:sz w:val="24"/>
                <w:szCs w:val="24"/>
              </w:rPr>
              <w:t xml:space="preserve">2016 </w:t>
            </w:r>
            <w:r>
              <w:rPr>
                <w:spacing w:val="-3"/>
                <w:sz w:val="24"/>
                <w:szCs w:val="24"/>
              </w:rPr>
              <w:t>年</w:t>
            </w:r>
            <w:r>
              <w:rPr>
                <w:spacing w:val="-30"/>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8"/>
                <w:sz w:val="24"/>
                <w:szCs w:val="24"/>
              </w:rPr>
              <w:t xml:space="preserve"> </w:t>
            </w:r>
            <w:r>
              <w:rPr>
                <w:spacing w:val="-3"/>
                <w:sz w:val="24"/>
                <w:szCs w:val="24"/>
              </w:rPr>
              <w:t>月</w:t>
            </w:r>
            <w:r>
              <w:rPr>
                <w:spacing w:val="-32"/>
                <w:sz w:val="24"/>
                <w:szCs w:val="24"/>
              </w:rPr>
              <w:t xml:space="preserve"> </w:t>
            </w:r>
            <w:r>
              <w:rPr>
                <w:rFonts w:ascii="Times New Roman" w:hAnsi="Times New Roman" w:eastAsia="Times New Roman" w:cs="Times New Roman"/>
                <w:spacing w:val="-3"/>
                <w:sz w:val="24"/>
                <w:szCs w:val="24"/>
              </w:rPr>
              <w:t xml:space="preserve">10  </w:t>
            </w:r>
            <w:r>
              <w:rPr>
                <w:spacing w:val="-3"/>
                <w:sz w:val="24"/>
                <w:szCs w:val="24"/>
              </w:rPr>
              <w:t>日对应用长宁</w:t>
            </w:r>
            <w:r>
              <w:rPr>
                <w:spacing w:val="-54"/>
                <w:sz w:val="24"/>
                <w:szCs w:val="24"/>
              </w:rPr>
              <w:t xml:space="preserve">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4"/>
                <w:sz w:val="24"/>
                <w:szCs w:val="24"/>
              </w:rPr>
              <w:t xml:space="preserve">5 </w:t>
            </w:r>
            <w:r>
              <w:rPr>
                <w:spacing w:val="-4"/>
                <w:sz w:val="24"/>
                <w:szCs w:val="24"/>
              </w:rPr>
              <w:t>平台水基岩屑进行了</w:t>
            </w:r>
            <w:r>
              <w:rPr>
                <w:sz w:val="24"/>
                <w:szCs w:val="24"/>
              </w:rPr>
              <w:t xml:space="preserve"> </w:t>
            </w:r>
            <w:r>
              <w:rPr>
                <w:spacing w:val="-11"/>
                <w:sz w:val="24"/>
                <w:szCs w:val="24"/>
              </w:rPr>
              <w:t>烧结砖质量检测，</w:t>
            </w:r>
            <w:r>
              <w:rPr>
                <w:spacing w:val="58"/>
                <w:sz w:val="24"/>
                <w:szCs w:val="24"/>
              </w:rPr>
              <w:t xml:space="preserve"> </w:t>
            </w:r>
            <w:r>
              <w:rPr>
                <w:spacing w:val="-11"/>
                <w:sz w:val="24"/>
                <w:szCs w:val="24"/>
              </w:rPr>
              <w:t>检测结果表明，</w:t>
            </w:r>
            <w:r>
              <w:rPr>
                <w:spacing w:val="49"/>
                <w:sz w:val="24"/>
                <w:szCs w:val="24"/>
              </w:rPr>
              <w:t xml:space="preserve"> </w:t>
            </w:r>
            <w:r>
              <w:rPr>
                <w:spacing w:val="-11"/>
                <w:sz w:val="24"/>
                <w:szCs w:val="24"/>
              </w:rPr>
              <w:t>水基钻井岩屑固化体制备的烧结砖能够满足《烧结普</w:t>
            </w:r>
            <w:r>
              <w:rPr>
                <w:sz w:val="24"/>
                <w:szCs w:val="24"/>
              </w:rPr>
              <w:t xml:space="preserve"> </w:t>
            </w:r>
            <w:r>
              <w:rPr>
                <w:spacing w:val="2"/>
                <w:sz w:val="24"/>
                <w:szCs w:val="24"/>
              </w:rPr>
              <w:t>通砖》（</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5101-2003</w:t>
            </w:r>
            <w:r>
              <w:rPr>
                <w:spacing w:val="2"/>
                <w:sz w:val="24"/>
                <w:szCs w:val="24"/>
              </w:rPr>
              <w:t>）和《建筑材料放射性核素限量》（</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6566-2010</w:t>
            </w:r>
            <w:r>
              <w:rPr>
                <w:spacing w:val="1"/>
                <w:sz w:val="24"/>
                <w:szCs w:val="24"/>
              </w:rPr>
              <w:t>）中各项性能</w:t>
            </w:r>
          </w:p>
          <w:p>
            <w:pPr>
              <w:pStyle w:val="6"/>
              <w:spacing w:before="1" w:line="219" w:lineRule="auto"/>
              <w:ind w:left="111"/>
              <w:rPr>
                <w:sz w:val="24"/>
                <w:szCs w:val="24"/>
              </w:rPr>
            </w:pPr>
            <w:r>
              <w:rPr>
                <w:spacing w:val="-2"/>
                <w:sz w:val="24"/>
                <w:szCs w:val="24"/>
              </w:rPr>
              <w:t>指标要求，故水基钻井固废转运地方砖厂制砖综合利用的方式是可行的。</w:t>
            </w:r>
          </w:p>
          <w:p>
            <w:pPr>
              <w:pStyle w:val="6"/>
              <w:spacing w:before="194" w:line="219" w:lineRule="auto"/>
              <w:ind w:left="2916"/>
              <w:rPr>
                <w:sz w:val="24"/>
                <w:szCs w:val="24"/>
              </w:rPr>
            </w:pPr>
            <w:r>
              <w:rPr>
                <w:spacing w:val="-1"/>
                <w:sz w:val="24"/>
                <w:szCs w:val="24"/>
                <w14:textOutline w14:w="4354" w14:cap="flat" w14:cmpd="sng">
                  <w14:solidFill>
                    <w14:srgbClr w14:val="000000"/>
                  </w14:solidFill>
                  <w14:prstDash w14:val="solid"/>
                  <w14:miter w14:val="10"/>
                </w14:textOutline>
              </w:rPr>
              <w:t>表</w:t>
            </w:r>
            <w:r>
              <w:rPr>
                <w:spacing w:val="-40"/>
                <w:sz w:val="24"/>
                <w:szCs w:val="24"/>
              </w:rPr>
              <w:t xml:space="preserve"> </w:t>
            </w:r>
            <w:r>
              <w:rPr>
                <w:rFonts w:ascii="Times New Roman" w:hAnsi="Times New Roman" w:eastAsia="Times New Roman" w:cs="Times New Roman"/>
                <w:b/>
                <w:bCs/>
                <w:spacing w:val="-1"/>
                <w:sz w:val="24"/>
                <w:szCs w:val="24"/>
              </w:rPr>
              <w:t xml:space="preserve">5.6-2    </w:t>
            </w:r>
            <w:r>
              <w:rPr>
                <w:spacing w:val="-1"/>
                <w:sz w:val="24"/>
                <w:szCs w:val="24"/>
                <w14:textOutline w14:w="4354" w14:cap="flat" w14:cmpd="sng">
                  <w14:solidFill>
                    <w14:srgbClr w14:val="000000"/>
                  </w14:solidFill>
                  <w14:prstDash w14:val="solid"/>
                  <w14:miter w14:val="10"/>
                </w14:textOutline>
              </w:rPr>
              <w:t>普通烧结砖检验数据表</w:t>
            </w:r>
          </w:p>
          <w:p>
            <w:pPr>
              <w:spacing w:line="18" w:lineRule="exact"/>
            </w:pPr>
          </w:p>
          <w:tbl>
            <w:tblPr>
              <w:tblStyle w:val="5"/>
              <w:tblW w:w="906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2011"/>
              <w:gridCol w:w="1314"/>
              <w:gridCol w:w="1874"/>
              <w:gridCol w:w="1500"/>
              <w:gridCol w:w="1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134" w:type="dxa"/>
                  <w:vAlign w:val="top"/>
                </w:tcPr>
                <w:p>
                  <w:pPr>
                    <w:pStyle w:val="6"/>
                    <w:spacing w:before="67" w:line="222" w:lineRule="auto"/>
                    <w:ind w:left="359"/>
                    <w:rPr>
                      <w:sz w:val="21"/>
                      <w:szCs w:val="21"/>
                    </w:rPr>
                  </w:pPr>
                  <w:r>
                    <w:rPr>
                      <w:spacing w:val="-2"/>
                      <w:sz w:val="21"/>
                      <w:szCs w:val="21"/>
                    </w:rPr>
                    <w:t>序号</w:t>
                  </w:r>
                </w:p>
              </w:tc>
              <w:tc>
                <w:tcPr>
                  <w:tcW w:w="3325" w:type="dxa"/>
                  <w:gridSpan w:val="2"/>
                  <w:vAlign w:val="top"/>
                </w:tcPr>
                <w:p>
                  <w:pPr>
                    <w:pStyle w:val="6"/>
                    <w:spacing w:before="67" w:line="221" w:lineRule="auto"/>
                    <w:ind w:left="1245"/>
                    <w:rPr>
                      <w:sz w:val="21"/>
                      <w:szCs w:val="21"/>
                    </w:rPr>
                  </w:pPr>
                  <w:r>
                    <w:rPr>
                      <w:spacing w:val="-2"/>
                      <w:sz w:val="21"/>
                      <w:szCs w:val="21"/>
                    </w:rPr>
                    <w:t>检测项目</w:t>
                  </w:r>
                </w:p>
              </w:tc>
              <w:tc>
                <w:tcPr>
                  <w:tcW w:w="1874" w:type="dxa"/>
                  <w:vAlign w:val="top"/>
                </w:tcPr>
                <w:p>
                  <w:pPr>
                    <w:pStyle w:val="6"/>
                    <w:spacing w:before="67" w:line="221" w:lineRule="auto"/>
                    <w:ind w:left="522"/>
                    <w:rPr>
                      <w:sz w:val="21"/>
                      <w:szCs w:val="21"/>
                    </w:rPr>
                  </w:pPr>
                  <w:r>
                    <w:rPr>
                      <w:spacing w:val="-2"/>
                      <w:sz w:val="21"/>
                      <w:szCs w:val="21"/>
                    </w:rPr>
                    <w:t>检验效果</w:t>
                  </w:r>
                </w:p>
              </w:tc>
              <w:tc>
                <w:tcPr>
                  <w:tcW w:w="1500" w:type="dxa"/>
                  <w:vAlign w:val="top"/>
                </w:tcPr>
                <w:p>
                  <w:pPr>
                    <w:pStyle w:val="6"/>
                    <w:spacing w:before="67" w:line="221" w:lineRule="auto"/>
                    <w:ind w:left="440"/>
                    <w:rPr>
                      <w:sz w:val="21"/>
                      <w:szCs w:val="21"/>
                    </w:rPr>
                  </w:pPr>
                  <w:r>
                    <w:rPr>
                      <w:spacing w:val="-2"/>
                      <w:sz w:val="21"/>
                      <w:szCs w:val="21"/>
                    </w:rPr>
                    <w:t>标准值</w:t>
                  </w:r>
                </w:p>
              </w:tc>
              <w:tc>
                <w:tcPr>
                  <w:tcW w:w="1233" w:type="dxa"/>
                  <w:vAlign w:val="top"/>
                </w:tcPr>
                <w:p>
                  <w:pPr>
                    <w:pStyle w:val="6"/>
                    <w:spacing w:before="67" w:line="222" w:lineRule="auto"/>
                    <w:ind w:left="413"/>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4" w:type="dxa"/>
                  <w:vAlign w:val="top"/>
                </w:tcPr>
                <w:p>
                  <w:pPr>
                    <w:spacing w:before="102" w:line="187" w:lineRule="auto"/>
                    <w:ind w:left="53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325" w:type="dxa"/>
                  <w:gridSpan w:val="2"/>
                  <w:vAlign w:val="top"/>
                </w:tcPr>
                <w:p>
                  <w:pPr>
                    <w:pStyle w:val="6"/>
                    <w:spacing w:before="63" w:line="221" w:lineRule="auto"/>
                    <w:ind w:left="837"/>
                    <w:rPr>
                      <w:sz w:val="21"/>
                      <w:szCs w:val="21"/>
                    </w:rPr>
                  </w:pPr>
                  <w:r>
                    <w:rPr>
                      <w:spacing w:val="-1"/>
                      <w:sz w:val="21"/>
                      <w:szCs w:val="21"/>
                    </w:rPr>
                    <w:t>抗压强度（</w:t>
                  </w:r>
                  <w:r>
                    <w:rPr>
                      <w:rFonts w:ascii="Times New Roman" w:hAnsi="Times New Roman" w:eastAsia="Times New Roman" w:cs="Times New Roman"/>
                      <w:spacing w:val="-1"/>
                      <w:sz w:val="21"/>
                      <w:szCs w:val="21"/>
                    </w:rPr>
                    <w:t>MPa</w:t>
                  </w:r>
                  <w:r>
                    <w:rPr>
                      <w:spacing w:val="-1"/>
                      <w:sz w:val="21"/>
                      <w:szCs w:val="21"/>
                    </w:rPr>
                    <w:t>）</w:t>
                  </w:r>
                </w:p>
              </w:tc>
              <w:tc>
                <w:tcPr>
                  <w:tcW w:w="1874" w:type="dxa"/>
                  <w:vAlign w:val="top"/>
                </w:tcPr>
                <w:p>
                  <w:pPr>
                    <w:spacing w:before="102" w:line="187" w:lineRule="auto"/>
                    <w:ind w:left="77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19.3</w:t>
                  </w:r>
                </w:p>
              </w:tc>
              <w:tc>
                <w:tcPr>
                  <w:tcW w:w="1500" w:type="dxa"/>
                  <w:vAlign w:val="top"/>
                </w:tcPr>
                <w:p>
                  <w:pPr>
                    <w:spacing w:before="99" w:line="219" w:lineRule="auto"/>
                    <w:ind w:left="5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1233" w:type="dxa"/>
                  <w:vAlign w:val="top"/>
                </w:tcPr>
                <w:p>
                  <w:pPr>
                    <w:pStyle w:val="6"/>
                    <w:spacing w:before="63" w:line="221" w:lineRule="auto"/>
                    <w:ind w:left="411"/>
                    <w:rPr>
                      <w:sz w:val="21"/>
                      <w:szCs w:val="21"/>
                    </w:rPr>
                  </w:pPr>
                  <w:r>
                    <w:rPr>
                      <w:spacing w:val="-2"/>
                      <w:sz w:val="21"/>
                      <w:szCs w:val="21"/>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4" w:type="dxa"/>
                  <w:vAlign w:val="top"/>
                </w:tcPr>
                <w:p>
                  <w:pPr>
                    <w:spacing w:before="103" w:line="187" w:lineRule="auto"/>
                    <w:ind w:left="5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325" w:type="dxa"/>
                  <w:gridSpan w:val="2"/>
                  <w:vAlign w:val="top"/>
                </w:tcPr>
                <w:p>
                  <w:pPr>
                    <w:pStyle w:val="6"/>
                    <w:spacing w:before="65" w:line="234" w:lineRule="auto"/>
                    <w:ind w:left="923"/>
                    <w:rPr>
                      <w:sz w:val="21"/>
                      <w:szCs w:val="21"/>
                    </w:rPr>
                  </w:pPr>
                  <w:r>
                    <w:rPr>
                      <w:rFonts w:ascii="Times New Roman" w:hAnsi="Times New Roman" w:eastAsia="Times New Roman" w:cs="Times New Roman"/>
                      <w:spacing w:val="-3"/>
                      <w:sz w:val="21"/>
                      <w:szCs w:val="21"/>
                    </w:rPr>
                    <w:t>5h</w:t>
                  </w:r>
                  <w:r>
                    <w:rPr>
                      <w:rFonts w:ascii="Times New Roman" w:hAnsi="Times New Roman" w:eastAsia="Times New Roman" w:cs="Times New Roman"/>
                      <w:spacing w:val="16"/>
                      <w:w w:val="101"/>
                      <w:sz w:val="21"/>
                      <w:szCs w:val="21"/>
                    </w:rPr>
                    <w:t xml:space="preserve"> </w:t>
                  </w:r>
                  <w:r>
                    <w:rPr>
                      <w:spacing w:val="-3"/>
                      <w:sz w:val="21"/>
                      <w:szCs w:val="21"/>
                    </w:rPr>
                    <w:t>吸水率（</w:t>
                  </w:r>
                  <w:r>
                    <w:rPr>
                      <w:rFonts w:ascii="Times New Roman" w:hAnsi="Times New Roman" w:eastAsia="Times New Roman" w:cs="Times New Roman"/>
                      <w:spacing w:val="-3"/>
                      <w:sz w:val="21"/>
                      <w:szCs w:val="21"/>
                    </w:rPr>
                    <w:t>%</w:t>
                  </w:r>
                  <w:r>
                    <w:rPr>
                      <w:spacing w:val="-3"/>
                      <w:sz w:val="21"/>
                      <w:szCs w:val="21"/>
                    </w:rPr>
                    <w:t>）</w:t>
                  </w:r>
                </w:p>
              </w:tc>
              <w:tc>
                <w:tcPr>
                  <w:tcW w:w="1874" w:type="dxa"/>
                  <w:vAlign w:val="top"/>
                </w:tcPr>
                <w:p>
                  <w:pPr>
                    <w:spacing w:before="103" w:line="187" w:lineRule="auto"/>
                    <w:ind w:left="8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500" w:type="dxa"/>
                  <w:vAlign w:val="top"/>
                </w:tcPr>
                <w:p>
                  <w:pPr>
                    <w:spacing w:before="100" w:line="219" w:lineRule="auto"/>
                    <w:ind w:left="5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1233" w:type="dxa"/>
                  <w:vAlign w:val="top"/>
                </w:tcPr>
                <w:p>
                  <w:pPr>
                    <w:pStyle w:val="6"/>
                    <w:spacing w:before="64" w:line="221" w:lineRule="auto"/>
                    <w:ind w:left="411"/>
                    <w:rPr>
                      <w:sz w:val="21"/>
                      <w:szCs w:val="21"/>
                    </w:rPr>
                  </w:pPr>
                  <w:r>
                    <w:rPr>
                      <w:spacing w:val="-2"/>
                      <w:sz w:val="21"/>
                      <w:szCs w:val="21"/>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4" w:type="dxa"/>
                  <w:vAlign w:val="top"/>
                </w:tcPr>
                <w:p>
                  <w:pPr>
                    <w:spacing w:before="104" w:line="187" w:lineRule="auto"/>
                    <w:ind w:left="51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325" w:type="dxa"/>
                  <w:gridSpan w:val="2"/>
                  <w:vAlign w:val="top"/>
                </w:tcPr>
                <w:p>
                  <w:pPr>
                    <w:pStyle w:val="6"/>
                    <w:spacing w:before="65" w:line="221" w:lineRule="auto"/>
                    <w:ind w:left="1244"/>
                    <w:rPr>
                      <w:sz w:val="21"/>
                      <w:szCs w:val="21"/>
                    </w:rPr>
                  </w:pPr>
                  <w:r>
                    <w:rPr>
                      <w:spacing w:val="-2"/>
                      <w:sz w:val="21"/>
                      <w:szCs w:val="21"/>
                    </w:rPr>
                    <w:t>饱和系数</w:t>
                  </w:r>
                </w:p>
              </w:tc>
              <w:tc>
                <w:tcPr>
                  <w:tcW w:w="1874" w:type="dxa"/>
                  <w:vAlign w:val="top"/>
                </w:tcPr>
                <w:p>
                  <w:pPr>
                    <w:spacing w:before="104" w:line="187" w:lineRule="auto"/>
                    <w:ind w:left="8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500" w:type="dxa"/>
                  <w:vAlign w:val="top"/>
                </w:tcPr>
                <w:p>
                  <w:pPr>
                    <w:spacing w:before="101" w:line="219" w:lineRule="auto"/>
                    <w:ind w:left="5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≤0.78</w:t>
                  </w:r>
                </w:p>
              </w:tc>
              <w:tc>
                <w:tcPr>
                  <w:tcW w:w="1233" w:type="dxa"/>
                  <w:vAlign w:val="top"/>
                </w:tcPr>
                <w:p>
                  <w:pPr>
                    <w:pStyle w:val="6"/>
                    <w:spacing w:before="65" w:line="221" w:lineRule="auto"/>
                    <w:ind w:left="411"/>
                    <w:rPr>
                      <w:sz w:val="21"/>
                      <w:szCs w:val="21"/>
                    </w:rPr>
                  </w:pPr>
                  <w:r>
                    <w:rPr>
                      <w:spacing w:val="-2"/>
                      <w:sz w:val="21"/>
                      <w:szCs w:val="21"/>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4" w:type="dxa"/>
                  <w:vAlign w:val="top"/>
                </w:tcPr>
                <w:p>
                  <w:pPr>
                    <w:spacing w:before="105" w:line="187" w:lineRule="auto"/>
                    <w:ind w:left="51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11" w:type="dxa"/>
                  <w:vMerge w:val="restart"/>
                  <w:tcBorders>
                    <w:bottom w:val="nil"/>
                  </w:tcBorders>
                  <w:vAlign w:val="top"/>
                </w:tcPr>
                <w:p>
                  <w:pPr>
                    <w:pStyle w:val="6"/>
                    <w:spacing w:before="240" w:line="221" w:lineRule="auto"/>
                    <w:ind w:left="690"/>
                    <w:rPr>
                      <w:sz w:val="21"/>
                      <w:szCs w:val="21"/>
                    </w:rPr>
                  </w:pPr>
                  <w:r>
                    <w:rPr>
                      <w:spacing w:val="-2"/>
                      <w:sz w:val="21"/>
                      <w:szCs w:val="21"/>
                    </w:rPr>
                    <w:t>放射性</w:t>
                  </w:r>
                </w:p>
              </w:tc>
              <w:tc>
                <w:tcPr>
                  <w:tcW w:w="1314" w:type="dxa"/>
                  <w:vAlign w:val="top"/>
                </w:tcPr>
                <w:p>
                  <w:pPr>
                    <w:spacing w:before="108" w:line="184" w:lineRule="auto"/>
                    <w:ind w:left="5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IRa</w:t>
                  </w:r>
                </w:p>
              </w:tc>
              <w:tc>
                <w:tcPr>
                  <w:tcW w:w="1874" w:type="dxa"/>
                  <w:vAlign w:val="top"/>
                </w:tcPr>
                <w:p>
                  <w:pPr>
                    <w:spacing w:before="105" w:line="187" w:lineRule="auto"/>
                    <w:ind w:left="7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w:t>
                  </w:r>
                </w:p>
              </w:tc>
              <w:tc>
                <w:tcPr>
                  <w:tcW w:w="1500" w:type="dxa"/>
                  <w:vAlign w:val="top"/>
                </w:tcPr>
                <w:p>
                  <w:pPr>
                    <w:spacing w:before="102" w:line="219" w:lineRule="auto"/>
                    <w:ind w:left="5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1233" w:type="dxa"/>
                  <w:vAlign w:val="top"/>
                </w:tcPr>
                <w:p>
                  <w:pPr>
                    <w:pStyle w:val="6"/>
                    <w:spacing w:before="66" w:line="221" w:lineRule="auto"/>
                    <w:ind w:left="411"/>
                    <w:rPr>
                      <w:sz w:val="21"/>
                      <w:szCs w:val="21"/>
                    </w:rPr>
                  </w:pPr>
                  <w:r>
                    <w:rPr>
                      <w:spacing w:val="-2"/>
                      <w:sz w:val="21"/>
                      <w:szCs w:val="21"/>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134" w:type="dxa"/>
                  <w:vAlign w:val="top"/>
                </w:tcPr>
                <w:p>
                  <w:pPr>
                    <w:spacing w:before="109" w:line="184"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11" w:type="dxa"/>
                  <w:vMerge w:val="continue"/>
                  <w:tcBorders>
                    <w:top w:val="nil"/>
                  </w:tcBorders>
                  <w:vAlign w:val="top"/>
                </w:tcPr>
                <w:p>
                  <w:pPr>
                    <w:rPr>
                      <w:rFonts w:ascii="Arial"/>
                      <w:sz w:val="21"/>
                    </w:rPr>
                  </w:pPr>
                </w:p>
              </w:tc>
              <w:tc>
                <w:tcPr>
                  <w:tcW w:w="1314" w:type="dxa"/>
                  <w:vAlign w:val="top"/>
                </w:tcPr>
                <w:p>
                  <w:pPr>
                    <w:spacing w:before="109" w:line="184"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Ir</w:t>
                  </w:r>
                </w:p>
              </w:tc>
              <w:tc>
                <w:tcPr>
                  <w:tcW w:w="1874" w:type="dxa"/>
                  <w:vAlign w:val="top"/>
                </w:tcPr>
                <w:p>
                  <w:pPr>
                    <w:spacing w:before="106" w:line="187" w:lineRule="auto"/>
                    <w:ind w:left="7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0.41</w:t>
                  </w:r>
                </w:p>
              </w:tc>
              <w:tc>
                <w:tcPr>
                  <w:tcW w:w="1500" w:type="dxa"/>
                  <w:vAlign w:val="top"/>
                </w:tcPr>
                <w:p>
                  <w:pPr>
                    <w:spacing w:before="103" w:line="219" w:lineRule="auto"/>
                    <w:ind w:left="5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1233" w:type="dxa"/>
                  <w:vAlign w:val="top"/>
                </w:tcPr>
                <w:p>
                  <w:pPr>
                    <w:pStyle w:val="6"/>
                    <w:spacing w:before="67" w:line="221" w:lineRule="auto"/>
                    <w:ind w:left="411"/>
                    <w:rPr>
                      <w:sz w:val="21"/>
                      <w:szCs w:val="21"/>
                    </w:rPr>
                  </w:pPr>
                  <w:r>
                    <w:rPr>
                      <w:spacing w:val="-2"/>
                      <w:sz w:val="21"/>
                      <w:szCs w:val="21"/>
                    </w:rPr>
                    <w:t>合格</w:t>
                  </w:r>
                </w:p>
              </w:tc>
            </w:tr>
          </w:tbl>
          <w:p>
            <w:pPr>
              <w:pStyle w:val="6"/>
              <w:spacing w:before="177" w:line="233" w:lineRule="auto"/>
              <w:ind w:left="590"/>
              <w:rPr>
                <w:sz w:val="24"/>
                <w:szCs w:val="24"/>
              </w:rPr>
            </w:pPr>
            <w:r>
              <w:rPr>
                <w:rFonts w:ascii="Times New Roman" w:hAnsi="Times New Roman" w:eastAsia="Times New Roman" w:cs="Times New Roman"/>
                <w:b/>
                <w:bCs/>
                <w:sz w:val="24"/>
                <w:szCs w:val="24"/>
              </w:rPr>
              <w:t>c.</w:t>
            </w:r>
            <w:r>
              <w:rPr>
                <w:sz w:val="24"/>
                <w:szCs w:val="24"/>
                <w14:textOutline w14:w="4354" w14:cap="flat" w14:cmpd="sng">
                  <w14:solidFill>
                    <w14:srgbClr w14:val="000000"/>
                  </w14:solidFill>
                  <w14:prstDash w14:val="solid"/>
                  <w14:miter w14:val="10"/>
                </w14:textOutline>
              </w:rPr>
              <w:t>制作烧结砖工艺的可行性分析</w:t>
            </w:r>
          </w:p>
          <w:p>
            <w:pPr>
              <w:pStyle w:val="6"/>
              <w:spacing w:before="179" w:line="369" w:lineRule="auto"/>
              <w:ind w:left="107" w:right="100" w:firstLine="480"/>
              <w:jc w:val="both"/>
              <w:rPr>
                <w:sz w:val="24"/>
                <w:szCs w:val="24"/>
              </w:rPr>
            </w:pPr>
            <w:r>
              <w:rPr>
                <w:spacing w:val="-5"/>
                <w:sz w:val="24"/>
                <w:szCs w:val="24"/>
              </w:rPr>
              <w:t>砖厂制砖原材料主要为页岩， 井场预处理后废水基泥浆及岩屑固化体转运至砖厂页</w:t>
            </w:r>
            <w:r>
              <w:rPr>
                <w:spacing w:val="4"/>
                <w:sz w:val="24"/>
                <w:szCs w:val="24"/>
              </w:rPr>
              <w:t xml:space="preserve"> </w:t>
            </w:r>
            <w:r>
              <w:rPr>
                <w:spacing w:val="-13"/>
                <w:sz w:val="24"/>
                <w:szCs w:val="24"/>
              </w:rPr>
              <w:t>岩棚后， 在分析其化学成分的基础上，</w:t>
            </w:r>
            <w:r>
              <w:rPr>
                <w:spacing w:val="46"/>
                <w:sz w:val="24"/>
                <w:szCs w:val="24"/>
              </w:rPr>
              <w:t xml:space="preserve"> </w:t>
            </w:r>
            <w:r>
              <w:rPr>
                <w:spacing w:val="-13"/>
                <w:sz w:val="24"/>
                <w:szCs w:val="24"/>
              </w:rPr>
              <w:t>加入一定量无毒的激活剂进行激</w:t>
            </w:r>
            <w:r>
              <w:rPr>
                <w:spacing w:val="-14"/>
                <w:sz w:val="24"/>
                <w:szCs w:val="24"/>
              </w:rPr>
              <w:t>活处理，</w:t>
            </w:r>
            <w:r>
              <w:rPr>
                <w:spacing w:val="48"/>
                <w:sz w:val="24"/>
                <w:szCs w:val="24"/>
              </w:rPr>
              <w:t xml:space="preserve"> </w:t>
            </w:r>
            <w:r>
              <w:rPr>
                <w:spacing w:val="-14"/>
                <w:sz w:val="24"/>
                <w:szCs w:val="24"/>
              </w:rPr>
              <w:t>用装载</w:t>
            </w:r>
            <w:r>
              <w:rPr>
                <w:sz w:val="24"/>
                <w:szCs w:val="24"/>
              </w:rPr>
              <w:t xml:space="preserve"> </w:t>
            </w:r>
            <w:r>
              <w:rPr>
                <w:spacing w:val="-6"/>
                <w:sz w:val="24"/>
                <w:szCs w:val="24"/>
              </w:rPr>
              <w:t>机将激活处理后的固化体、页岩和内燃煤混合均匀，</w:t>
            </w:r>
            <w:r>
              <w:rPr>
                <w:spacing w:val="50"/>
                <w:sz w:val="24"/>
                <w:szCs w:val="24"/>
              </w:rPr>
              <w:t xml:space="preserve"> </w:t>
            </w:r>
            <w:r>
              <w:rPr>
                <w:spacing w:val="-6"/>
                <w:sz w:val="24"/>
                <w:szCs w:val="24"/>
              </w:rPr>
              <w:t>混合物用皮带输送到双齿辊式破碎</w:t>
            </w:r>
          </w:p>
          <w:p>
            <w:pPr>
              <w:pStyle w:val="6"/>
              <w:spacing w:before="1" w:line="218" w:lineRule="auto"/>
              <w:ind w:left="107"/>
              <w:rPr>
                <w:sz w:val="24"/>
                <w:szCs w:val="24"/>
              </w:rPr>
            </w:pPr>
            <w:r>
              <w:rPr>
                <w:spacing w:val="-1"/>
                <w:sz w:val="24"/>
                <w:szCs w:val="24"/>
              </w:rPr>
              <w:t>机和球磨机中进行破碎，破碎后的原料经皮带输送到练泥机中，加水进行</w:t>
            </w:r>
            <w:r>
              <w:rPr>
                <w:spacing w:val="-2"/>
                <w:sz w:val="24"/>
                <w:szCs w:val="24"/>
              </w:rPr>
              <w:t>搅拌、捏和、</w:t>
            </w:r>
          </w:p>
        </w:tc>
      </w:tr>
    </w:tbl>
    <w:p>
      <w:pPr>
        <w:pStyle w:val="2"/>
        <w:rPr>
          <w:sz w:val="21"/>
        </w:rPr>
      </w:pPr>
    </w:p>
    <w:p>
      <w:pPr>
        <w:rPr>
          <w:sz w:val="21"/>
          <w:szCs w:val="21"/>
        </w:rPr>
        <w:sectPr>
          <w:footerReference r:id="rId142"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430" w:hRule="atLeast"/>
        </w:trPr>
        <w:tc>
          <w:tcPr>
            <w:tcW w:w="465" w:type="dxa"/>
            <w:vMerge w:val="restart"/>
            <w:tcBorders>
              <w:bottom w:val="nil"/>
              <w:right w:val="single" w:color="000000" w:sz="2" w:space="0"/>
            </w:tcBorders>
            <w:vAlign w:val="top"/>
          </w:tcPr>
          <w:p>
            <w:pPr>
              <w:rPr>
                <w:rFonts w:ascii="Arial"/>
                <w:sz w:val="21"/>
              </w:rPr>
            </w:pPr>
          </w:p>
        </w:tc>
        <w:tc>
          <w:tcPr>
            <w:tcW w:w="9282" w:type="dxa"/>
            <w:tcBorders>
              <w:left w:val="single" w:color="000000" w:sz="2" w:space="0"/>
              <w:bottom w:val="nil"/>
            </w:tcBorders>
            <w:vAlign w:val="top"/>
          </w:tcPr>
          <w:p>
            <w:pPr>
              <w:pStyle w:val="6"/>
              <w:spacing w:before="182" w:line="480" w:lineRule="exact"/>
              <w:ind w:left="109"/>
              <w:rPr>
                <w:sz w:val="24"/>
                <w:szCs w:val="24"/>
              </w:rPr>
            </w:pPr>
            <w:r>
              <w:rPr>
                <w:spacing w:val="-10"/>
                <w:position w:val="18"/>
                <w:sz w:val="24"/>
                <w:szCs w:val="24"/>
              </w:rPr>
              <w:t>均匀后用皮带输送到螺旋挤压机中成型，</w:t>
            </w:r>
            <w:r>
              <w:rPr>
                <w:spacing w:val="44"/>
                <w:position w:val="18"/>
                <w:sz w:val="24"/>
                <w:szCs w:val="24"/>
              </w:rPr>
              <w:t xml:space="preserve"> </w:t>
            </w:r>
            <w:r>
              <w:rPr>
                <w:spacing w:val="-10"/>
                <w:position w:val="18"/>
                <w:sz w:val="24"/>
                <w:szCs w:val="24"/>
              </w:rPr>
              <w:t>生胚砖转运到干燥室进行干燥，</w:t>
            </w:r>
            <w:r>
              <w:rPr>
                <w:spacing w:val="37"/>
                <w:position w:val="18"/>
                <w:sz w:val="24"/>
                <w:szCs w:val="24"/>
              </w:rPr>
              <w:t xml:space="preserve"> </w:t>
            </w:r>
            <w:r>
              <w:rPr>
                <w:spacing w:val="-10"/>
                <w:position w:val="18"/>
                <w:sz w:val="24"/>
                <w:szCs w:val="24"/>
              </w:rPr>
              <w:t>干燥后的胚砖</w:t>
            </w:r>
          </w:p>
          <w:p>
            <w:pPr>
              <w:pStyle w:val="6"/>
              <w:spacing w:before="1" w:line="218" w:lineRule="auto"/>
              <w:ind w:left="109"/>
              <w:rPr>
                <w:sz w:val="24"/>
                <w:szCs w:val="24"/>
              </w:rPr>
            </w:pPr>
            <w:r>
              <w:rPr>
                <w:spacing w:val="-1"/>
                <w:sz w:val="24"/>
                <w:szCs w:val="24"/>
              </w:rPr>
              <w:t>转运到砖窑中进行焙烧。砖烧结成品合格冷</w:t>
            </w:r>
            <w:r>
              <w:rPr>
                <w:spacing w:val="-2"/>
                <w:sz w:val="24"/>
                <w:szCs w:val="24"/>
              </w:rPr>
              <w:t>却至室温后出窑形成产品砖。</w:t>
            </w:r>
          </w:p>
          <w:p>
            <w:pPr>
              <w:pStyle w:val="6"/>
              <w:spacing w:before="194" w:line="214" w:lineRule="auto"/>
              <w:ind w:left="589"/>
              <w:rPr>
                <w:sz w:val="24"/>
                <w:szCs w:val="24"/>
              </w:rPr>
            </w:pPr>
            <w:r>
              <w:rPr>
                <w:spacing w:val="-4"/>
                <w:sz w:val="24"/>
                <w:szCs w:val="24"/>
              </w:rPr>
              <w:t>制砖工艺流程图见下图。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7" w:hRule="atLeast"/>
        </w:trPr>
        <w:tc>
          <w:tcPr>
            <w:tcW w:w="465" w:type="dxa"/>
            <w:vMerge w:val="continue"/>
            <w:tcBorders>
              <w:top w:val="nil"/>
              <w:bottom w:val="nil"/>
              <w:right w:val="single" w:color="000000" w:sz="2" w:space="0"/>
            </w:tcBorders>
            <w:vAlign w:val="top"/>
          </w:tcPr>
          <w:p>
            <w:pPr>
              <w:rPr>
                <w:rFonts w:ascii="Arial"/>
                <w:sz w:val="21"/>
              </w:rPr>
            </w:pPr>
          </w:p>
        </w:tc>
        <w:tc>
          <w:tcPr>
            <w:tcW w:w="9282" w:type="dxa"/>
            <w:tcBorders>
              <w:top w:val="nil"/>
              <w:left w:val="single" w:color="000000" w:sz="2" w:space="0"/>
              <w:bottom w:val="nil"/>
            </w:tcBorders>
            <w:vAlign w:val="top"/>
          </w:tcPr>
          <w:p>
            <w:pPr>
              <w:pStyle w:val="6"/>
              <w:spacing w:before="51" w:line="661" w:lineRule="exact"/>
              <w:ind w:firstLine="2012"/>
            </w:pPr>
            <w:r>
              <w:pict>
                <v:rect id="_x0000_s1508" o:spid="_x0000_s1508" o:spt="1" style="position:absolute;left:0pt;margin-left:262.6pt;margin-top:60.8pt;height:1.3pt;width:19.9pt;mso-position-horizontal-relative:page;mso-position-vertical-relative:page;z-index:251991040;mso-width-relative:page;mso-height-relative:page;" fillcolor="#404040" filled="t" stroked="f" coordsize="21600,21600">
                  <v:path/>
                  <v:fill on="t" focussize="0,0"/>
                  <v:stroke on="f"/>
                  <v:imagedata o:title=""/>
                  <o:lock v:ext="edit"/>
                </v:rect>
              </w:pict>
            </w:r>
            <w:r>
              <w:pict>
                <v:rect id="_x0000_s1509" o:spid="_x0000_s1509" o:spt="1" style="position:absolute;left:0pt;margin-left:335.9pt;margin-top:60.8pt;height:1.3pt;width:24.8pt;mso-position-horizontal-relative:page;mso-position-vertical-relative:page;z-index:251994112;mso-width-relative:page;mso-height-relative:page;" fillcolor="#404040" filled="t" stroked="f" coordsize="21600,21600">
                  <v:path/>
                  <v:fill on="t" focussize="0,0"/>
                  <v:stroke on="f"/>
                  <v:imagedata o:title=""/>
                  <o:lock v:ext="edit"/>
                </v:rect>
              </w:pict>
            </w:r>
            <w:r>
              <w:pict>
                <v:rect id="_x0000_s1510" o:spid="_x0000_s1510" o:spt="1" style="position:absolute;left:0pt;margin-left:269.45pt;margin-top:115.7pt;height:1.3pt;width:19.9pt;mso-position-horizontal-relative:page;mso-position-vertical-relative:page;z-index:252008448;mso-width-relative:page;mso-height-relative:page;" fillcolor="#404040" filled="t" stroked="f" coordsize="21600,21600">
                  <v:path/>
                  <v:fill on="t" focussize="0,0"/>
                  <v:stroke on="f"/>
                  <v:imagedata o:title=""/>
                  <o:lock v:ext="edit"/>
                </v:rect>
              </w:pict>
            </w:r>
            <w:r>
              <w:pict>
                <v:rect id="_x0000_s1511" o:spid="_x0000_s1511" o:spt="1" style="position:absolute;left:0pt;margin-left:193.15pt;margin-top:60.8pt;height:2.25pt;width:16pt;mso-position-horizontal-relative:page;mso-position-vertical-relative:page;z-index:252000256;mso-width-relative:page;mso-height-relative:page;" fillcolor="#404040" filled="t" stroked="f" coordsize="21600,21600">
                  <v:path/>
                  <v:fill on="t" focussize="0,0"/>
                  <v:stroke on="f"/>
                  <v:imagedata o:title=""/>
                  <o:lock v:ext="edit"/>
                </v:rect>
              </w:pict>
            </w:r>
            <w:r>
              <w:pict>
                <v:rect id="_x0000_s1512" o:spid="_x0000_s1512" o:spt="1" style="position:absolute;left:0pt;margin-left:199.05pt;margin-top:115.7pt;height:1.3pt;width:16.95pt;mso-position-horizontal-relative:page;mso-position-vertical-relative:page;z-index:252002304;mso-width-relative:page;mso-height-relative:page;" fillcolor="#404040" filled="t" stroked="f" coordsize="21600,21600">
                  <v:path/>
                  <v:fill on="t" focussize="0,0"/>
                  <v:stroke on="f"/>
                  <v:imagedata o:title=""/>
                  <o:lock v:ext="edit"/>
                </v:rect>
              </w:pict>
            </w:r>
            <w:r>
              <w:pict>
                <v:rect id="_x0000_s1513" o:spid="_x0000_s1513" o:spt="1" style="position:absolute;left:0pt;margin-left:100.8pt;margin-top:2.55pt;height:31.15pt;width:0.35pt;mso-position-horizontal-relative:page;mso-position-vertical-relative:page;z-index:251987968;mso-width-relative:page;mso-height-relative:page;" fillcolor="#404040" filled="t" stroked="f" coordsize="21600,21600">
                  <v:path/>
                  <v:fill on="t" focussize="0,0"/>
                  <v:stroke on="f"/>
                  <v:imagedata o:title=""/>
                  <o:lock v:ext="edit"/>
                </v:rect>
              </w:pict>
            </w:r>
            <w:r>
              <w:pict>
                <v:group id="_x0000_s1514" o:spid="_x0000_s1514" o:spt="203" style="position:absolute;left:0pt;margin-left:215.15pt;margin-top:40.1pt;height:45.6pt;width:50.2pt;mso-position-horizontal-relative:page;mso-position-vertical-relative:page;z-index:251988992;mso-width-relative:page;mso-height-relative:page;" coordsize="1004,911">
                  <o:lock v:ext="edit"/>
                  <v:shape id="_x0000_s1515" o:spid="_x0000_s1515" o:spt="202" type="#_x0000_t202" style="position:absolute;left:-20;top:-20;height:951;width:1044;" filled="f" stroked="f" coordsize="21600,21600">
                    <v:path/>
                    <v:fill on="f" focussize="0,0"/>
                    <v:stroke on="f"/>
                    <v:imagedata o:title=""/>
                    <o:lock v:ext="edit" aspectratio="f"/>
                    <v:textbox inset="0mm,0mm,0mm,0mm">
                      <w:txbxContent>
                        <w:p>
                          <w:pPr>
                            <w:spacing w:line="20" w:lineRule="exact"/>
                          </w:pPr>
                        </w:p>
                        <w:tbl>
                          <w:tblPr>
                            <w:tblStyle w:val="5"/>
                            <w:tblW w:w="988"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988"/>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881" w:hRule="atLeast"/>
                            </w:trPr>
                            <w:tc>
                              <w:tcPr>
                                <w:tcW w:w="988" w:type="dxa"/>
                                <w:shd w:val="clear" w:color="auto" w:fill="E6E6E6"/>
                                <w:vAlign w:val="top"/>
                              </w:tcPr>
                              <w:p>
                                <w:pPr>
                                  <w:spacing w:line="855" w:lineRule="exact"/>
                                </w:pPr>
                                <w:r>
                                  <w:rPr>
                                    <w:position w:val="-17"/>
                                  </w:rPr>
                                  <w:drawing>
                                    <wp:inline distT="0" distB="0" distL="0" distR="0">
                                      <wp:extent cx="600710" cy="5429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40"/>
                                              <a:stretch>
                                                <a:fillRect/>
                                              </a:stretch>
                                            </pic:blipFill>
                                            <pic:spPr>
                                              <a:xfrm>
                                                <a:off x="0" y="0"/>
                                                <a:ext cx="600913" cy="542960"/>
                                              </a:xfrm>
                                              <a:prstGeom prst="rect">
                                                <a:avLst/>
                                              </a:prstGeom>
                                            </pic:spPr>
                                          </pic:pic>
                                        </a:graphicData>
                                      </a:graphic>
                                    </wp:inline>
                                  </w:drawing>
                                </w:r>
                              </w:p>
                            </w:tc>
                          </w:tr>
                        </w:tbl>
                        <w:p>
                          <w:pPr>
                            <w:rPr>
                              <w:rFonts w:ascii="Arial"/>
                              <w:sz w:val="21"/>
                            </w:rPr>
                          </w:pPr>
                        </w:p>
                      </w:txbxContent>
                    </v:textbox>
                  </v:shape>
                  <v:shape id="_x0000_s1516" o:spid="_x0000_s1516" o:spt="202" type="#_x0000_t202" style="position:absolute;left:257;top:307;height:283;width:450;" filled="f" stroked="f" coordsize="21600,21600">
                    <v:path/>
                    <v:fill on="f" focussize="0,0"/>
                    <v:stroke on="f"/>
                    <v:imagedata o:title=""/>
                    <o:lock v:ext="edit" aspectratio="f"/>
                    <v:textbox inset="0mm,0mm,0mm,0mm">
                      <w:txbxContent>
                        <w:p>
                          <w:pPr>
                            <w:pStyle w:val="6"/>
                            <w:spacing w:before="19" w:line="225" w:lineRule="auto"/>
                            <w:ind w:left="20"/>
                            <w:rPr>
                              <w:sz w:val="20"/>
                              <w:szCs w:val="20"/>
                            </w:rPr>
                          </w:pPr>
                          <w:r>
                            <w:rPr>
                              <w:spacing w:val="4"/>
                              <w:sz w:val="20"/>
                              <w:szCs w:val="20"/>
                            </w:rPr>
                            <w:t>破碎</w:t>
                          </w:r>
                        </w:p>
                      </w:txbxContent>
                    </v:textbox>
                  </v:shape>
                </v:group>
              </w:pict>
            </w:r>
            <w:r>
              <w:pict>
                <v:group id="_x0000_s1517" o:spid="_x0000_s1517" o:spt="203" style="position:absolute;left:0pt;margin-left:141.85pt;margin-top:41.05pt;height:43.7pt;width:54.1pt;mso-position-horizontal-relative:page;mso-position-vertical-relative:page;z-index:251990016;mso-width-relative:page;mso-height-relative:page;" coordsize="1081,874">
                  <o:lock v:ext="edit"/>
                  <v:shape id="_x0000_s1518" o:spid="_x0000_s1518" o:spt="202" type="#_x0000_t202" style="position:absolute;left:-20;top:-20;height:914;width:1121;" filled="f" stroked="f" coordsize="21600,21600">
                    <v:path/>
                    <v:fill on="f" focussize="0,0"/>
                    <v:stroke on="f"/>
                    <v:imagedata o:title=""/>
                    <o:lock v:ext="edit" aspectratio="f"/>
                    <v:textbox inset="0mm,0mm,0mm,0mm">
                      <w:txbxContent>
                        <w:p>
                          <w:pPr>
                            <w:spacing w:line="20" w:lineRule="exact"/>
                          </w:pPr>
                        </w:p>
                        <w:tbl>
                          <w:tblPr>
                            <w:tblStyle w:val="5"/>
                            <w:tblW w:w="1066"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1066"/>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843" w:hRule="atLeast"/>
                            </w:trPr>
                            <w:tc>
                              <w:tcPr>
                                <w:tcW w:w="1066" w:type="dxa"/>
                                <w:shd w:val="clear" w:color="auto" w:fill="E6E6E6"/>
                                <w:vAlign w:val="top"/>
                              </w:tcPr>
                              <w:p>
                                <w:pPr>
                                  <w:spacing w:line="833" w:lineRule="exact"/>
                                </w:pPr>
                                <w:r>
                                  <w:rPr>
                                    <w:position w:val="-16"/>
                                  </w:rPr>
                                  <w:drawing>
                                    <wp:inline distT="0" distB="0" distL="0" distR="0">
                                      <wp:extent cx="650240" cy="52895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41"/>
                                              <a:stretch>
                                                <a:fillRect/>
                                              </a:stretch>
                                            </pic:blipFill>
                                            <pic:spPr>
                                              <a:xfrm>
                                                <a:off x="0" y="0"/>
                                                <a:ext cx="650576" cy="528955"/>
                                              </a:xfrm>
                                              <a:prstGeom prst="rect">
                                                <a:avLst/>
                                              </a:prstGeom>
                                            </pic:spPr>
                                          </pic:pic>
                                        </a:graphicData>
                                      </a:graphic>
                                    </wp:inline>
                                  </w:drawing>
                                </w:r>
                              </w:p>
                            </w:tc>
                          </w:tr>
                        </w:tbl>
                        <w:p>
                          <w:pPr>
                            <w:rPr>
                              <w:rFonts w:ascii="Arial"/>
                              <w:sz w:val="21"/>
                            </w:rPr>
                          </w:pPr>
                        </w:p>
                      </w:txbxContent>
                    </v:textbox>
                  </v:shape>
                  <v:shape id="_x0000_s1519" o:spid="_x0000_s1519" o:spt="202" type="#_x0000_t202" style="position:absolute;left:302;top:295;height:285;width:450;" filled="f" stroked="f" coordsize="21600,21600">
                    <v:path/>
                    <v:fill on="f" focussize="0,0"/>
                    <v:stroke on="f"/>
                    <v:imagedata o:title=""/>
                    <o:lock v:ext="edit" aspectratio="f"/>
                    <v:textbox inset="0mm,0mm,0mm,0mm">
                      <w:txbxContent>
                        <w:p>
                          <w:pPr>
                            <w:pStyle w:val="6"/>
                            <w:spacing w:before="20" w:line="225" w:lineRule="auto"/>
                            <w:ind w:left="20"/>
                            <w:rPr>
                              <w:sz w:val="20"/>
                              <w:szCs w:val="20"/>
                            </w:rPr>
                          </w:pPr>
                          <w:r>
                            <w:rPr>
                              <w:spacing w:val="4"/>
                              <w:sz w:val="20"/>
                              <w:szCs w:val="20"/>
                            </w:rPr>
                            <w:t>激活</w:t>
                          </w:r>
                        </w:p>
                      </w:txbxContent>
                    </v:textbox>
                  </v:shape>
                </v:group>
              </w:pict>
            </w:r>
            <w:r>
              <w:pict>
                <v:shape id="_x0000_s1520" o:spid="_x0000_s1520" o:spt="202" type="#_x0000_t202" style="position:absolute;left:0pt;margin-left:301.95pt;margin-top:55.45pt;height:14.2pt;width:116.1pt;mso-position-horizontal-relative:page;mso-position-vertical-relative:page;z-index:252006400;mso-width-relative:page;mso-height-relative:page;" filled="f" stroked="f" coordsize="21600,21600">
                  <v:path/>
                  <v:fill on="f" focussize="0,0"/>
                  <v:stroke on="f"/>
                  <v:imagedata o:title=""/>
                  <o:lock v:ext="edit" aspectratio="f"/>
                  <v:textbox inset="0mm,0mm,0mm,0mm">
                    <w:txbxContent>
                      <w:p>
                        <w:pPr>
                          <w:pStyle w:val="6"/>
                          <w:spacing w:before="19" w:line="225" w:lineRule="auto"/>
                          <w:ind w:left="20"/>
                          <w:rPr>
                            <w:sz w:val="20"/>
                            <w:szCs w:val="20"/>
                          </w:rPr>
                        </w:pPr>
                        <w:r>
                          <w:rPr>
                            <w:spacing w:val="5"/>
                            <w:sz w:val="20"/>
                            <w:szCs w:val="20"/>
                          </w:rPr>
                          <w:t>搅拌          挤压成型</w:t>
                        </w:r>
                      </w:p>
                    </w:txbxContent>
                  </v:textbox>
                </v:shape>
              </w:pict>
            </w:r>
            <w:r>
              <w:drawing>
                <wp:anchor distT="0" distB="0" distL="0" distR="0" simplePos="0" relativeHeight="251995136" behindDoc="0" locked="0" layoutInCell="1" allowOverlap="1">
                  <wp:simplePos x="0" y="0"/>
                  <wp:positionH relativeFrom="rightMargin">
                    <wp:posOffset>-2223770</wp:posOffset>
                  </wp:positionH>
                  <wp:positionV relativeFrom="topMargin">
                    <wp:posOffset>511175</wp:posOffset>
                  </wp:positionV>
                  <wp:extent cx="1762760" cy="57467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42"/>
                          <a:stretch>
                            <a:fillRect/>
                          </a:stretch>
                        </pic:blipFill>
                        <pic:spPr>
                          <a:xfrm>
                            <a:off x="0" y="0"/>
                            <a:ext cx="1763029" cy="574911"/>
                          </a:xfrm>
                          <a:prstGeom prst="rect">
                            <a:avLst/>
                          </a:prstGeom>
                        </pic:spPr>
                      </pic:pic>
                    </a:graphicData>
                  </a:graphic>
                </wp:anchor>
              </w:drawing>
            </w:r>
            <w:r>
              <w:drawing>
                <wp:anchor distT="0" distB="0" distL="0" distR="0" simplePos="0" relativeHeight="251997184" behindDoc="0" locked="0" layoutInCell="1" allowOverlap="1">
                  <wp:simplePos x="0" y="0"/>
                  <wp:positionH relativeFrom="rightMargin">
                    <wp:posOffset>-2200910</wp:posOffset>
                  </wp:positionH>
                  <wp:positionV relativeFrom="topMargin">
                    <wp:posOffset>533400</wp:posOffset>
                  </wp:positionV>
                  <wp:extent cx="612775" cy="55435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43"/>
                          <a:stretch>
                            <a:fillRect/>
                          </a:stretch>
                        </pic:blipFill>
                        <pic:spPr>
                          <a:xfrm>
                            <a:off x="0" y="0"/>
                            <a:ext cx="612507" cy="554524"/>
                          </a:xfrm>
                          <a:prstGeom prst="rect">
                            <a:avLst/>
                          </a:prstGeom>
                        </pic:spPr>
                      </pic:pic>
                    </a:graphicData>
                  </a:graphic>
                </wp:anchor>
              </w:drawing>
            </w:r>
            <w:r>
              <w:pict>
                <v:shape id="_x0000_s1521" o:spid="_x0000_s1521" style="position:absolute;left:0pt;margin-left:288.5pt;margin-top:40.1pt;height:43.7pt;width:48.25pt;mso-position-horizontal-relative:page;mso-position-vertical-relative:page;z-index:251993088;mso-width-relative:page;mso-height-relative:page;" filled="f" stroked="t" coordsize="965,874" path="m3,870l961,870,961,3,3,3,3,870xe">
                  <v:fill on="f" focussize="0,0"/>
                  <v:stroke weight="0.32pt" color="#404040" miterlimit="10" endcap="round"/>
                  <v:imagedata o:title=""/>
                  <o:lock v:ext="edit"/>
                </v:shape>
              </w:pict>
            </w:r>
            <w:r>
              <w:drawing>
                <wp:anchor distT="0" distB="0" distL="0" distR="0" simplePos="0" relativeHeight="251998208" behindDoc="0" locked="0" layoutInCell="1" allowOverlap="1">
                  <wp:simplePos x="0" y="0"/>
                  <wp:positionH relativeFrom="rightMargin">
                    <wp:posOffset>-1207770</wp:posOffset>
                  </wp:positionH>
                  <wp:positionV relativeFrom="topMargin">
                    <wp:posOffset>533400</wp:posOffset>
                  </wp:positionV>
                  <wp:extent cx="749300" cy="55435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44"/>
                          <a:stretch>
                            <a:fillRect/>
                          </a:stretch>
                        </pic:blipFill>
                        <pic:spPr>
                          <a:xfrm>
                            <a:off x="0" y="0"/>
                            <a:ext cx="749080" cy="554524"/>
                          </a:xfrm>
                          <a:prstGeom prst="rect">
                            <a:avLst/>
                          </a:prstGeom>
                        </pic:spPr>
                      </pic:pic>
                    </a:graphicData>
                  </a:graphic>
                </wp:anchor>
              </w:drawing>
            </w:r>
            <w:r>
              <w:pict>
                <v:shape id="_x0000_s1522" o:spid="_x0000_s1522" style="position:absolute;left:0pt;margin-left:366.7pt;margin-top:40.1pt;height:43.7pt;width:59pt;mso-position-horizontal-relative:page;mso-position-vertical-relative:page;z-index:251996160;mso-width-relative:page;mso-height-relative:page;" filled="f" stroked="t" coordsize="1180,874" path="m3,870l1176,870,1176,3,3,3,3,870xe">
                  <v:fill on="f" focussize="0,0"/>
                  <v:stroke weight="0.32pt" color="#404040" miterlimit="10" endcap="round"/>
                  <v:imagedata o:title=""/>
                  <o:lock v:ext="edit"/>
                </v:shape>
              </w:pict>
            </w:r>
            <w:r>
              <w:pict>
                <v:shape id="_x0000_s1523" o:spid="_x0000_s1523" style="position:absolute;left:0pt;margin-left:205.55pt;margin-top:57.35pt;height:9.05pt;width:9.8pt;mso-position-horizontal-relative:page;mso-position-vertical-relative:page;z-index:252012544;mso-width-relative:page;mso-height-relative:page;" fillcolor="#404040" filled="t" stroked="f" coordsize="196,181" path="m195,81l0,178,7,180c35,123,35,56,7,0l0,4,195,81xe">
                  <v:fill on="t" focussize="0,0"/>
                  <v:stroke on="f"/>
                  <v:imagedata o:title=""/>
                  <o:lock v:ext="edit"/>
                </v:shape>
              </w:pict>
            </w:r>
            <w:r>
              <w:pict>
                <v:shape id="_x0000_s1524" o:spid="_x0000_s1524" style="position:absolute;left:0pt;margin-left:279.8pt;margin-top:57.35pt;height:9.05pt;width:8.85pt;mso-position-horizontal-relative:page;mso-position-vertical-relative:page;z-index:251992064;mso-width-relative:page;mso-height-relative:page;" fillcolor="#404040" filled="t" stroked="f" coordsize="177,181" path="m176,81l0,178,0,180c28,123,28,56,0,0l0,4,176,81xe">
                  <v:fill on="t" focussize="0,0"/>
                  <v:stroke on="f"/>
                  <v:imagedata o:title=""/>
                  <o:lock v:ext="edit"/>
                </v:shape>
              </w:pict>
            </w:r>
            <w:r>
              <w:pict>
                <v:group id="_x0000_s1525" o:spid="_x0000_s1525" o:spt="203" style="position:absolute;left:0pt;margin-left:108.1pt;margin-top:35.75pt;height:31.5pt;width:33.9pt;mso-position-horizontal-relative:page;mso-position-vertical-relative:page;z-index:252009472;mso-width-relative:page;mso-height-relative:page;" coordsize="678,630">
                  <o:lock v:ext="edit"/>
                  <v:shape id="_x0000_s1526" o:spid="_x0000_s1526" style="position:absolute;left:0;top:520;height:25;width:554;" filled="f" stroked="t" coordsize="554,25" path="m13,12l540,12e">
                    <v:fill on="f" focussize="0,0"/>
                    <v:stroke weight="1.29pt" color="#404040" miterlimit="10" endcap="round"/>
                    <v:imagedata o:title=""/>
                    <o:lock v:ext="edit"/>
                  </v:shape>
                  <v:shape id="_x0000_s1527" o:spid="_x0000_s1527" style="position:absolute;left:501;top:436;height:192;width:176;" fillcolor="#404040" filled="t" stroked="f" coordsize="176,192" path="m175,96l0,192,1,183c29,126,29,59,1,2l0,0,175,96xe">
                    <v:fill on="t" focussize="0,0"/>
                    <v:stroke on="f"/>
                    <v:imagedata o:title=""/>
                    <o:lock v:ext="edit"/>
                  </v:shape>
                  <v:shape id="_x0000_s1528" o:spid="_x0000_s1528" style="position:absolute;left:273;top:0;height:410;width:27;" filled="f" stroked="t" coordsize="27,410" path="m13,12l13,398e">
                    <v:fill on="f" focussize="0,0"/>
                    <v:stroke weight="1.29pt" color="#404040" miterlimit="10" endcap="round"/>
                    <v:imagedata o:title=""/>
                    <o:lock v:ext="edit"/>
                  </v:shape>
                  <v:shape id="_x0000_s1529" o:spid="_x0000_s1529" style="position:absolute;left:200;top:340;height:192;width:185;" fillcolor="#404040" filled="t" stroked="f" coordsize="185,192" path="m86,192l8,0,0,8c57,37,125,37,183,8l184,0,86,192xe">
                    <v:fill on="t" focussize="0,0"/>
                    <v:stroke on="f"/>
                    <v:imagedata o:title=""/>
                    <o:lock v:ext="edit"/>
                  </v:shape>
                </v:group>
              </w:pict>
            </w:r>
            <w:r>
              <w:pict>
                <v:group id="_x0000_s1530" o:spid="_x0000_s1530" o:spt="203" style="position:absolute;left:0pt;margin-left:63.65pt;margin-top:95pt;height:44.65pt;width:46.3pt;mso-position-horizontal-relative:page;mso-position-vertical-relative:page;z-index:252005376;mso-width-relative:page;mso-height-relative:page;" coordsize="925,893">
                  <o:lock v:ext="edit"/>
                  <v:shape id="_x0000_s1531" o:spid="_x0000_s1531" o:spt="202" type="#_x0000_t202" style="position:absolute;left:-20;top:-20;height:933;width:965;" filled="f" stroked="f" coordsize="21600,21600">
                    <v:path/>
                    <v:fill on="f" focussize="0,0"/>
                    <v:stroke on="f"/>
                    <v:imagedata o:title=""/>
                    <o:lock v:ext="edit" aspectratio="f"/>
                    <v:textbox inset="0mm,0mm,0mm,0mm">
                      <w:txbxContent>
                        <w:p>
                          <w:pPr>
                            <w:spacing w:line="20" w:lineRule="exact"/>
                          </w:pPr>
                        </w:p>
                        <w:tbl>
                          <w:tblPr>
                            <w:tblStyle w:val="5"/>
                            <w:tblW w:w="910"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910"/>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862" w:hRule="atLeast"/>
                            </w:trPr>
                            <w:tc>
                              <w:tcPr>
                                <w:tcW w:w="910" w:type="dxa"/>
                                <w:shd w:val="clear" w:color="auto" w:fill="E6E6E6"/>
                                <w:vAlign w:val="top"/>
                              </w:tcPr>
                              <w:p>
                                <w:pPr>
                                  <w:spacing w:line="835" w:lineRule="exact"/>
                                </w:pPr>
                                <w:r>
                                  <w:rPr>
                                    <w:position w:val="-16"/>
                                  </w:rPr>
                                  <w:drawing>
                                    <wp:inline distT="0" distB="0" distL="0" distR="0">
                                      <wp:extent cx="551180" cy="53022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45"/>
                                              <a:stretch>
                                                <a:fillRect/>
                                              </a:stretch>
                                            </pic:blipFill>
                                            <pic:spPr>
                                              <a:xfrm>
                                                <a:off x="0" y="0"/>
                                                <a:ext cx="551250" cy="530728"/>
                                              </a:xfrm>
                                              <a:prstGeom prst="rect">
                                                <a:avLst/>
                                              </a:prstGeom>
                                            </pic:spPr>
                                          </pic:pic>
                                        </a:graphicData>
                                      </a:graphic>
                                    </wp:inline>
                                  </w:drawing>
                                </w:r>
                              </w:p>
                            </w:tc>
                          </w:tr>
                        </w:tbl>
                        <w:p>
                          <w:pPr>
                            <w:rPr>
                              <w:rFonts w:ascii="Arial"/>
                              <w:sz w:val="21"/>
                            </w:rPr>
                          </w:pPr>
                        </w:p>
                      </w:txbxContent>
                    </v:textbox>
                  </v:shape>
                  <v:shape id="_x0000_s1532" o:spid="_x0000_s1532" o:spt="202" type="#_x0000_t202" style="position:absolute;left:223;top:301;height:285;width:447;" filled="f" stroked="f" coordsize="21600,21600">
                    <v:path/>
                    <v:fill on="f" focussize="0,0"/>
                    <v:stroke on="f"/>
                    <v:imagedata o:title=""/>
                    <o:lock v:ext="edit" aspectratio="f"/>
                    <v:textbox inset="0mm,0mm,0mm,0mm">
                      <w:txbxContent>
                        <w:p>
                          <w:pPr>
                            <w:pStyle w:val="6"/>
                            <w:spacing w:before="20" w:line="226" w:lineRule="auto"/>
                            <w:ind w:left="20"/>
                            <w:rPr>
                              <w:sz w:val="20"/>
                              <w:szCs w:val="20"/>
                            </w:rPr>
                          </w:pPr>
                          <w:r>
                            <w:rPr>
                              <w:spacing w:val="3"/>
                              <w:sz w:val="20"/>
                              <w:szCs w:val="20"/>
                            </w:rPr>
                            <w:t>成砖</w:t>
                          </w:r>
                        </w:p>
                      </w:txbxContent>
                    </v:textbox>
                  </v:shape>
                </v:group>
              </w:pict>
            </w:r>
            <w:r>
              <w:pict>
                <v:group id="_x0000_s1024" o:spid="_x0000_s1024" o:spt="203" style="position:absolute;left:0pt;margin-left:215.15pt;margin-top:95.95pt;height:43.7pt;width:50.2pt;mso-position-horizontal-relative:page;mso-position-vertical-relative:page;z-index:252001280;mso-width-relative:page;mso-height-relative:page;" coordsize="1004,874">
                  <o:lock v:ext="edit"/>
                  <v:shape id="_x0000_s1533" o:spid="_x0000_s1533" o:spt="202" type="#_x0000_t202" style="position:absolute;left:-20;top:-20;height:914;width:1044;" filled="f" stroked="f" coordsize="21600,21600">
                    <v:path/>
                    <v:fill on="f" focussize="0,0"/>
                    <v:stroke on="f"/>
                    <v:imagedata o:title=""/>
                    <o:lock v:ext="edit" aspectratio="f"/>
                    <v:textbox inset="0mm,0mm,0mm,0mm">
                      <w:txbxContent>
                        <w:p>
                          <w:pPr>
                            <w:spacing w:line="20" w:lineRule="exact"/>
                          </w:pPr>
                        </w:p>
                        <w:tbl>
                          <w:tblPr>
                            <w:tblStyle w:val="5"/>
                            <w:tblW w:w="988"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988"/>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843" w:hRule="atLeast"/>
                            </w:trPr>
                            <w:tc>
                              <w:tcPr>
                                <w:tcW w:w="988" w:type="dxa"/>
                                <w:shd w:val="clear" w:color="auto" w:fill="E6E6E6"/>
                                <w:vAlign w:val="top"/>
                              </w:tcPr>
                              <w:p>
                                <w:pPr>
                                  <w:spacing w:line="816" w:lineRule="exact"/>
                                </w:pPr>
                                <w:r>
                                  <w:rPr>
                                    <w:position w:val="-16"/>
                                  </w:rPr>
                                  <w:drawing>
                                    <wp:inline distT="0" distB="0" distL="0" distR="0">
                                      <wp:extent cx="600710" cy="5181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46"/>
                                              <a:stretch>
                                                <a:fillRect/>
                                              </a:stretch>
                                            </pic:blipFill>
                                            <pic:spPr>
                                              <a:xfrm>
                                                <a:off x="0" y="0"/>
                                                <a:ext cx="600913" cy="518496"/>
                                              </a:xfrm>
                                              <a:prstGeom prst="rect">
                                                <a:avLst/>
                                              </a:prstGeom>
                                            </pic:spPr>
                                          </pic:pic>
                                        </a:graphicData>
                                      </a:graphic>
                                    </wp:inline>
                                  </w:drawing>
                                </w:r>
                              </w:p>
                            </w:tc>
                          </w:tr>
                        </w:tbl>
                        <w:p>
                          <w:pPr>
                            <w:rPr>
                              <w:rFonts w:ascii="Arial"/>
                              <w:sz w:val="21"/>
                            </w:rPr>
                          </w:pPr>
                        </w:p>
                      </w:txbxContent>
                    </v:textbox>
                  </v:shape>
                  <v:shape id="_x0000_s1534" o:spid="_x0000_s1534" o:spt="202" type="#_x0000_t202" style="position:absolute;left:257;top:282;height:282;width:450;" filled="f" stroked="f" coordsize="21600,21600">
                    <v:path/>
                    <v:fill on="f" focussize="0,0"/>
                    <v:stroke on="f"/>
                    <v:imagedata o:title=""/>
                    <o:lock v:ext="edit" aspectratio="f"/>
                    <v:textbox inset="0mm,0mm,0mm,0mm">
                      <w:txbxContent>
                        <w:p>
                          <w:pPr>
                            <w:pStyle w:val="6"/>
                            <w:spacing w:before="19" w:line="224" w:lineRule="auto"/>
                            <w:ind w:left="20"/>
                            <w:rPr>
                              <w:sz w:val="20"/>
                              <w:szCs w:val="20"/>
                            </w:rPr>
                          </w:pPr>
                          <w:r>
                            <w:rPr>
                              <w:spacing w:val="4"/>
                              <w:sz w:val="20"/>
                              <w:szCs w:val="20"/>
                            </w:rPr>
                            <w:t>干燥</w:t>
                          </w:r>
                        </w:p>
                      </w:txbxContent>
                    </v:textbox>
                  </v:shape>
                </v:group>
              </w:pict>
            </w:r>
            <w:r>
              <w:pict>
                <v:group id="_x0000_s1535" o:spid="_x0000_s1535" o:spt="203" style="position:absolute;left:0pt;margin-left:140.85pt;margin-top:95.95pt;height:43.7pt;width:54.1pt;mso-position-horizontal-relative:page;mso-position-vertical-relative:page;z-index:252004352;mso-width-relative:page;mso-height-relative:page;" coordsize="1081,874">
                  <o:lock v:ext="edit"/>
                  <v:shape id="_x0000_s1536" o:spid="_x0000_s1536" o:spt="202" type="#_x0000_t202" style="position:absolute;left:-20;top:-20;height:914;width:1121;" filled="f" stroked="f" coordsize="21600,21600">
                    <v:path/>
                    <v:fill on="f" focussize="0,0"/>
                    <v:stroke on="f"/>
                    <v:imagedata o:title=""/>
                    <o:lock v:ext="edit" aspectratio="f"/>
                    <v:textbox inset="0mm,0mm,0mm,0mm">
                      <w:txbxContent>
                        <w:p>
                          <w:pPr>
                            <w:spacing w:line="20" w:lineRule="exact"/>
                          </w:pPr>
                        </w:p>
                        <w:tbl>
                          <w:tblPr>
                            <w:tblStyle w:val="5"/>
                            <w:tblW w:w="1066"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1066"/>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843" w:hRule="atLeast"/>
                            </w:trPr>
                            <w:tc>
                              <w:tcPr>
                                <w:tcW w:w="1066" w:type="dxa"/>
                                <w:shd w:val="clear" w:color="auto" w:fill="E6E6E6"/>
                                <w:vAlign w:val="top"/>
                              </w:tcPr>
                              <w:p>
                                <w:pPr>
                                  <w:spacing w:line="816" w:lineRule="exact"/>
                                </w:pPr>
                                <w:r>
                                  <w:rPr>
                                    <w:position w:val="-16"/>
                                  </w:rPr>
                                  <w:drawing>
                                    <wp:inline distT="0" distB="0" distL="0" distR="0">
                                      <wp:extent cx="650240" cy="51816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47"/>
                                              <a:stretch>
                                                <a:fillRect/>
                                              </a:stretch>
                                            </pic:blipFill>
                                            <pic:spPr>
                                              <a:xfrm>
                                                <a:off x="0" y="0"/>
                                                <a:ext cx="650576" cy="518496"/>
                                              </a:xfrm>
                                              <a:prstGeom prst="rect">
                                                <a:avLst/>
                                              </a:prstGeom>
                                            </pic:spPr>
                                          </pic:pic>
                                        </a:graphicData>
                                      </a:graphic>
                                    </wp:inline>
                                  </w:drawing>
                                </w:r>
                              </w:p>
                            </w:tc>
                          </w:tr>
                        </w:tbl>
                        <w:p>
                          <w:pPr>
                            <w:rPr>
                              <w:rFonts w:ascii="Arial"/>
                              <w:sz w:val="21"/>
                            </w:rPr>
                          </w:pPr>
                        </w:p>
                      </w:txbxContent>
                    </v:textbox>
                  </v:shape>
                  <v:shape id="_x0000_s1537" o:spid="_x0000_s1537" o:spt="202" type="#_x0000_t202" style="position:absolute;left:302;top:282;height:282;width:450;" filled="f" stroked="f" coordsize="21600,21600">
                    <v:path/>
                    <v:fill on="f" focussize="0,0"/>
                    <v:stroke on="f"/>
                    <v:imagedata o:title=""/>
                    <o:lock v:ext="edit" aspectratio="f"/>
                    <v:textbox inset="0mm,0mm,0mm,0mm">
                      <w:txbxContent>
                        <w:p>
                          <w:pPr>
                            <w:pStyle w:val="6"/>
                            <w:spacing w:before="19" w:line="224" w:lineRule="auto"/>
                            <w:ind w:left="20"/>
                            <w:rPr>
                              <w:sz w:val="20"/>
                              <w:szCs w:val="20"/>
                            </w:rPr>
                          </w:pPr>
                          <w:r>
                            <w:rPr>
                              <w:spacing w:val="4"/>
                              <w:sz w:val="20"/>
                              <w:szCs w:val="20"/>
                            </w:rPr>
                            <w:t>烧结</w:t>
                          </w:r>
                        </w:p>
                      </w:txbxContent>
                    </v:textbox>
                  </v:shape>
                </v:group>
              </w:pict>
            </w:r>
            <w:r>
              <w:pict>
                <v:shape id="_x0000_s1538" o:spid="_x0000_s1538" style="position:absolute;left:0pt;margin-left:346.65pt;margin-top:82.95pt;height:34.05pt;width:50.2pt;mso-position-horizontal-relative:page;mso-position-vertical-relative:page;z-index:251999232;mso-width-relative:page;mso-height-relative:page;" filled="f" stroked="t" coordsize="1004,680" path="m990,12l990,667,13,667e">
                  <v:fill on="f" focussize="0,0"/>
                  <v:stroke weight="1.29pt" color="#404040" miterlimit="10" endcap="round"/>
                  <v:imagedata o:title=""/>
                  <o:lock v:ext="edit"/>
                </v:shape>
              </w:pict>
            </w:r>
            <w:r>
              <w:pict>
                <v:shape id="_x0000_s1539" o:spid="_x0000_s1539" style="position:absolute;left:0pt;margin-left:340.45pt;margin-top:111.55pt;height:9.65pt;width:9.8pt;mso-position-horizontal-relative:page;mso-position-vertical-relative:page;z-index:252011520;mso-width-relative:page;mso-height-relative:page;" fillcolor="#404040" filled="t" stroked="f" coordsize="196,192" path="m0,96l195,0,188,8c159,65,159,132,188,189l195,192,0,96xe">
                  <v:fill on="t" focussize="0,0"/>
                  <v:stroke on="f"/>
                  <v:imagedata o:title=""/>
                  <o:lock v:ext="edit"/>
                </v:shape>
              </w:pict>
            </w:r>
            <w:r>
              <w:pict>
                <v:shape id="_x0000_s1540" o:spid="_x0000_s1540" style="position:absolute;left:0pt;margin-left:263.25pt;margin-top:111.55pt;height:9.65pt;width:9.1pt;mso-position-horizontal-relative:page;mso-position-vertical-relative:page;z-index:252010496;mso-width-relative:page;mso-height-relative:page;" fillcolor="#404040" filled="t" stroked="f" coordsize="182,192" path="m0,96l175,0,181,8c152,65,152,132,181,189l175,192,0,96xe">
                  <v:fill on="t" focussize="0,0"/>
                  <v:stroke on="f"/>
                  <v:imagedata o:title=""/>
                  <o:lock v:ext="edit"/>
                </v:shape>
              </w:pict>
            </w:r>
            <w:r>
              <w:pict>
                <v:shape id="_x0000_s1541" o:spid="_x0000_s1541" style="position:absolute;left:0pt;margin-left:192.85pt;margin-top:111.55pt;height:9.65pt;width:9.3pt;mso-position-horizontal-relative:page;mso-position-vertical-relative:page;z-index:252003328;mso-width-relative:page;mso-height-relative:page;" fillcolor="#404040" filled="t" stroked="f" coordsize="186,192" path="m0,96l175,0,185,8c156,65,156,132,185,189l175,192,0,96xe">
                  <v:fill on="t" focussize="0,0"/>
                  <v:stroke on="f"/>
                  <v:imagedata o:title=""/>
                  <o:lock v:ext="edit"/>
                </v:shape>
              </w:pict>
            </w:r>
            <w:r>
              <w:pict>
                <v:group id="_x0000_s1542" o:spid="_x0000_s1542" o:spt="203" style="position:absolute;left:0pt;margin-left:107.8pt;margin-top:111.55pt;height:9.65pt;width:33.9pt;mso-position-horizontal-relative:page;mso-position-vertical-relative:page;z-index:252007424;mso-width-relative:page;mso-height-relative:page;" coordsize="678,192">
                  <o:lock v:ext="edit"/>
                  <v:shape id="_x0000_s1543" o:spid="_x0000_s1543" style="position:absolute;left:123;top:83;height:25;width:554;" filled="f" stroked="t" coordsize="554,25" path="m540,12l13,12e">
                    <v:fill on="f" focussize="0,0"/>
                    <v:stroke weight="1.29pt" color="#404040" miterlimit="10" endcap="round"/>
                    <v:imagedata o:title=""/>
                    <o:lock v:ext="edit"/>
                  </v:shape>
                  <v:shape id="_x0000_s1544" o:spid="_x0000_s1544" style="position:absolute;left:0;top:0;height:192;width:196;" fillcolor="#404040" filled="t" stroked="f" coordsize="196,192" path="m0,96l195,0,186,8c157,65,157,132,186,189l195,192,0,96xe">
                    <v:fill on="t" focussize="0,0"/>
                    <v:stroke on="f"/>
                    <v:imagedata o:title=""/>
                    <o:lock v:ext="edit"/>
                  </v:shape>
                </v:group>
              </w:pict>
            </w:r>
            <w:r>
              <w:rPr>
                <w:position w:val="-13"/>
              </w:rPr>
              <w:pict>
                <v:group id="_x0000_s1545" o:spid="_x0000_s1545" o:spt="203" style="height:33.1pt;width:46.3pt;" coordsize="925,661">
                  <o:lock v:ext="edit"/>
                  <v:rect id="_x0000_s1546" o:spid="_x0000_s1546" o:spt="1" style="position:absolute;left:42;top:41;height:617;width:880;" fillcolor="#CDCDCD" filled="t" stroked="f" coordsize="21600,21600">
                    <v:path/>
                    <v:fill on="t" opacity="32639f" focussize="0,0"/>
                    <v:stroke on="f"/>
                    <v:imagedata o:title=""/>
                    <o:lock v:ext="edit"/>
                  </v:rect>
                  <v:shape id="_x0000_s1547" o:spid="_x0000_s1547" o:spt="75" type="#_x0000_t75" style="position:absolute;left:3;top:3;height:617;width:880;" filled="f" stroked="f" coordsize="21600,21600">
                    <v:path/>
                    <v:fill on="f" focussize="0,0"/>
                    <v:stroke on="f"/>
                    <v:imagedata r:id="rId348" o:title=""/>
                    <o:lock v:ext="edit" aspectratio="t"/>
                  </v:shape>
                  <v:shape id="_x0000_s1548" o:spid="_x0000_s1548" o:spt="202" type="#_x0000_t202" style="position:absolute;left:-20;top:-20;height:701;width:965;" filled="f" stroked="f" coordsize="21600,21600">
                    <v:path/>
                    <v:fill on="f" focussize="0,0"/>
                    <v:stroke on="f"/>
                    <v:imagedata o:title=""/>
                    <o:lock v:ext="edit" aspectratio="f"/>
                    <v:textbox inset="0mm,0mm,0mm,0mm">
                      <w:txbxContent>
                        <w:p>
                          <w:pPr>
                            <w:spacing w:line="20" w:lineRule="exact"/>
                          </w:pPr>
                        </w:p>
                        <w:tbl>
                          <w:tblPr>
                            <w:tblStyle w:val="5"/>
                            <w:tblW w:w="920" w:type="dxa"/>
                            <w:tblInd w:w="22" w:type="dxa"/>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Layout w:type="fixed"/>
                            <w:tblCellMar>
                              <w:top w:w="0" w:type="dxa"/>
                              <w:left w:w="0" w:type="dxa"/>
                              <w:bottom w:w="0" w:type="dxa"/>
                              <w:right w:w="0" w:type="dxa"/>
                            </w:tblCellMar>
                          </w:tblPr>
                          <w:tblGrid>
                            <w:gridCol w:w="920"/>
                          </w:tblGrid>
                          <w:tr>
                            <w:tblPrEx>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CellMar>
                                <w:top w:w="0" w:type="dxa"/>
                                <w:left w:w="0" w:type="dxa"/>
                                <w:bottom w:w="0" w:type="dxa"/>
                                <w:right w:w="0" w:type="dxa"/>
                              </w:tblCellMar>
                            </w:tblPrEx>
                            <w:trPr>
                              <w:trHeight w:val="651" w:hRule="atLeast"/>
                            </w:trPr>
                            <w:tc>
                              <w:tcPr>
                                <w:tcW w:w="920" w:type="dxa"/>
                                <w:vAlign w:val="top"/>
                              </w:tcPr>
                              <w:p>
                                <w:pPr>
                                  <w:spacing w:before="199" w:line="224" w:lineRule="auto"/>
                                  <w:ind w:left="128"/>
                                  <w:rPr>
                                    <w:rFonts w:ascii="宋体" w:hAnsi="宋体" w:eastAsia="宋体" w:cs="宋体"/>
                                    <w:sz w:val="20"/>
                                    <w:szCs w:val="20"/>
                                  </w:rPr>
                                </w:pPr>
                                <w:r>
                                  <w:rPr>
                                    <w:rFonts w:ascii="宋体" w:hAnsi="宋体" w:eastAsia="宋体" w:cs="宋体"/>
                                    <w:spacing w:val="6"/>
                                    <w:sz w:val="20"/>
                                    <w:szCs w:val="20"/>
                                  </w:rPr>
                                  <w:t>激活剂</w:t>
                                </w:r>
                              </w:p>
                            </w:tc>
                          </w:tr>
                        </w:tbl>
                        <w:p>
                          <w:pPr>
                            <w:rPr>
                              <w:rFonts w:ascii="Arial"/>
                              <w:sz w:val="21"/>
                            </w:rPr>
                          </w:pPr>
                        </w:p>
                      </w:txbxContent>
                    </v:textbox>
                  </v:shape>
                  <v:rect id="_x0000_s1549" o:spid="_x0000_s1549" o:spt="1" style="position:absolute;left:0;top:0;height:6;width:886;" fillcolor="#404040" filled="t" stroked="f" coordsize="21600,21600">
                    <v:path/>
                    <v:fill on="t" focussize="0,0"/>
                    <v:stroke on="f"/>
                    <v:imagedata o:title=""/>
                    <o:lock v:ext="edit"/>
                  </v:rect>
                  <v:shape id="_x0000_s1550" o:spid="_x0000_s1550" style="position:absolute;left:879;top:0;height:622;width:6;" filled="f" stroked="t" coordsize="6,622" path="m3,619l3,3e">
                    <v:fill on="f" focussize="0,0"/>
                    <v:stroke weight="0.32pt" color="#404040" miterlimit="10" endcap="round"/>
                    <v:imagedata o:title=""/>
                    <o:lock v:ext="edit"/>
                  </v:shape>
                  <w10:wrap type="none"/>
                  <w10:anchorlock/>
                </v:group>
              </w:pict>
            </w:r>
          </w:p>
          <w:p>
            <w:pPr>
              <w:pStyle w:val="6"/>
              <w:spacing w:before="166" w:line="777" w:lineRule="exact"/>
              <w:ind w:firstLine="702"/>
            </w:pPr>
            <w:r>
              <w:rPr>
                <w:position w:val="-15"/>
              </w:rPr>
              <w:pict>
                <v:group id="_x0000_s1551" o:spid="_x0000_s1551" o:spt="203" style="height:38.85pt;width:75.65pt;" coordsize="1513,776">
                  <o:lock v:ext="edit"/>
                  <v:rect id="_x0000_s1552" o:spid="_x0000_s1552" o:spt="1" style="position:absolute;left:42;top:41;height:733;width:1466;" fillcolor="#CDCDCD" filled="t" stroked="f" coordsize="21600,21600">
                    <v:path/>
                    <v:fill on="t" opacity="32639f" focussize="0,0"/>
                    <v:stroke on="f"/>
                    <v:imagedata o:title=""/>
                    <o:lock v:ext="edit"/>
                  </v:rect>
                  <v:shape id="_x0000_s1553" o:spid="_x0000_s1553" o:spt="75" type="#_x0000_t75" style="position:absolute;left:3;top:3;height:733;width:1466;" filled="f" stroked="f" coordsize="21600,21600">
                    <v:path/>
                    <v:fill on="f" focussize="0,0"/>
                    <v:stroke on="f"/>
                    <v:imagedata r:id="rId349" o:title=""/>
                    <o:lock v:ext="edit" aspectratio="t"/>
                  </v:shape>
                  <v:shape id="_x0000_s1554" o:spid="_x0000_s1554" o:spt="202" type="#_x0000_t202" style="position:absolute;left:-20;top:-20;height:816;width:1553;" filled="f" stroked="f" coordsize="21600,21600">
                    <v:path/>
                    <v:fill on="f" focussize="0,0"/>
                    <v:stroke on="f"/>
                    <v:imagedata o:title=""/>
                    <o:lock v:ext="edit" aspectratio="f"/>
                    <v:textbox inset="0mm,0mm,0mm,0mm">
                      <w:txbxContent>
                        <w:p>
                          <w:pPr>
                            <w:spacing w:line="20" w:lineRule="exact"/>
                          </w:pPr>
                        </w:p>
                        <w:tbl>
                          <w:tblPr>
                            <w:tblStyle w:val="5"/>
                            <w:tblW w:w="1497"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1497"/>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746" w:hRule="atLeast"/>
                            </w:trPr>
                            <w:tc>
                              <w:tcPr>
                                <w:tcW w:w="1497" w:type="dxa"/>
                                <w:vAlign w:val="top"/>
                              </w:tcPr>
                              <w:p>
                                <w:pPr>
                                  <w:spacing w:before="98" w:line="236" w:lineRule="auto"/>
                                  <w:ind w:left="317" w:right="132" w:hanging="209"/>
                                  <w:rPr>
                                    <w:rFonts w:ascii="宋体" w:hAnsi="宋体" w:eastAsia="宋体" w:cs="宋体"/>
                                    <w:sz w:val="20"/>
                                    <w:szCs w:val="20"/>
                                  </w:rPr>
                                </w:pPr>
                                <w:r>
                                  <w:rPr>
                                    <w:rFonts w:ascii="宋体" w:hAnsi="宋体" w:eastAsia="宋体" w:cs="宋体"/>
                                    <w:spacing w:val="6"/>
                                    <w:sz w:val="20"/>
                                    <w:szCs w:val="20"/>
                                  </w:rPr>
                                  <w:t>水基泥浆，岩</w:t>
                                </w:r>
                                <w:r>
                                  <w:rPr>
                                    <w:rFonts w:ascii="宋体" w:hAnsi="宋体" w:eastAsia="宋体" w:cs="宋体"/>
                                    <w:spacing w:val="3"/>
                                    <w:sz w:val="20"/>
                                    <w:szCs w:val="20"/>
                                  </w:rPr>
                                  <w:t xml:space="preserve"> </w:t>
                                </w:r>
                                <w:r>
                                  <w:rPr>
                                    <w:rFonts w:ascii="宋体" w:hAnsi="宋体" w:eastAsia="宋体" w:cs="宋体"/>
                                    <w:spacing w:val="5"/>
                                    <w:sz w:val="20"/>
                                    <w:szCs w:val="20"/>
                                  </w:rPr>
                                  <w:t>屑固化体</w:t>
                                </w:r>
                              </w:p>
                            </w:tc>
                          </w:tr>
                        </w:tbl>
                        <w:p>
                          <w:pPr>
                            <w:rPr>
                              <w:rFonts w:ascii="Arial"/>
                              <w:sz w:val="21"/>
                            </w:rPr>
                          </w:pPr>
                        </w:p>
                      </w:txbxContent>
                    </v:textbox>
                  </v:shape>
                  <w10:wrap type="none"/>
                  <w10:anchorlock/>
                </v:group>
              </w:pict>
            </w:r>
          </w:p>
          <w:p>
            <w:pPr>
              <w:spacing w:line="242" w:lineRule="auto"/>
              <w:rPr>
                <w:rFonts w:ascii="Arial"/>
                <w:sz w:val="21"/>
              </w:rPr>
            </w:pPr>
          </w:p>
          <w:p>
            <w:pPr>
              <w:pStyle w:val="6"/>
              <w:spacing w:line="912" w:lineRule="exact"/>
              <w:ind w:firstLine="5766"/>
            </w:pPr>
            <w:r>
              <w:rPr>
                <w:position w:val="-18"/>
              </w:rPr>
              <w:pict>
                <v:group id="_x0000_s1555" o:spid="_x0000_s1555" o:spt="203" style="height:45.6pt;width:54.1pt;" coordsize="1081,911">
                  <o:lock v:ext="edit"/>
                  <v:shape id="_x0000_s1556" o:spid="_x0000_s1556" o:spt="202" type="#_x0000_t202" style="position:absolute;left:-20;top:-20;height:951;width:1121;" filled="f" stroked="f" coordsize="21600,21600">
                    <v:path/>
                    <v:fill on="f" focussize="0,0"/>
                    <v:stroke on="f"/>
                    <v:imagedata o:title=""/>
                    <o:lock v:ext="edit" aspectratio="f"/>
                    <v:textbox inset="0mm,0mm,0mm,0mm">
                      <w:txbxContent>
                        <w:p>
                          <w:pPr>
                            <w:spacing w:line="20" w:lineRule="exact"/>
                          </w:pPr>
                        </w:p>
                        <w:tbl>
                          <w:tblPr>
                            <w:tblStyle w:val="5"/>
                            <w:tblW w:w="1066"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1066"/>
                          </w:tblGrid>
                          <w:tr>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881" w:hRule="atLeast"/>
                            </w:trPr>
                            <w:tc>
                              <w:tcPr>
                                <w:tcW w:w="1066" w:type="dxa"/>
                                <w:shd w:val="clear" w:color="auto" w:fill="E6E6E6"/>
                                <w:vAlign w:val="top"/>
                              </w:tcPr>
                              <w:p>
                                <w:pPr>
                                  <w:spacing w:line="855" w:lineRule="exact"/>
                                </w:pPr>
                                <w:r>
                                  <w:rPr>
                                    <w:position w:val="-17"/>
                                  </w:rPr>
                                  <w:drawing>
                                    <wp:inline distT="0" distB="0" distL="0" distR="0">
                                      <wp:extent cx="650240" cy="54292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50"/>
                                              <a:stretch>
                                                <a:fillRect/>
                                              </a:stretch>
                                            </pic:blipFill>
                                            <pic:spPr>
                                              <a:xfrm>
                                                <a:off x="0" y="0"/>
                                                <a:ext cx="650576" cy="542960"/>
                                              </a:xfrm>
                                              <a:prstGeom prst="rect">
                                                <a:avLst/>
                                              </a:prstGeom>
                                            </pic:spPr>
                                          </pic:pic>
                                        </a:graphicData>
                                      </a:graphic>
                                    </wp:inline>
                                  </w:drawing>
                                </w:r>
                              </w:p>
                            </w:tc>
                          </w:tr>
                        </w:tbl>
                        <w:p>
                          <w:pPr>
                            <w:rPr>
                              <w:rFonts w:ascii="Arial"/>
                              <w:sz w:val="21"/>
                            </w:rPr>
                          </w:pPr>
                        </w:p>
                      </w:txbxContent>
                    </v:textbox>
                  </v:shape>
                  <v:shape id="_x0000_s1557" o:spid="_x0000_s1557" o:spt="202" type="#_x0000_t202" style="position:absolute;left:306;top:301;height:246;width:450;" filled="f" stroked="f" coordsize="21600,21600">
                    <v:path/>
                    <v:fill on="f" focussize="0,0"/>
                    <v:stroke on="f"/>
                    <v:imagedata o:title=""/>
                    <o:lock v:ext="edit" aspectratio="f"/>
                    <v:textbox inset="0mm,0mm,0mm,0mm">
                      <w:txbxContent>
                        <w:p>
                          <w:pPr>
                            <w:spacing w:before="19" w:line="225" w:lineRule="auto"/>
                            <w:ind w:left="20"/>
                            <w:rPr>
                              <w:rFonts w:ascii="宋体" w:hAnsi="宋体" w:eastAsia="宋体" w:cs="宋体"/>
                              <w:sz w:val="20"/>
                              <w:szCs w:val="20"/>
                            </w:rPr>
                          </w:pPr>
                          <w:r>
                            <w:rPr>
                              <w:rFonts w:ascii="宋体" w:hAnsi="宋体" w:eastAsia="宋体" w:cs="宋体"/>
                              <w:spacing w:val="4"/>
                              <w:sz w:val="20"/>
                              <w:szCs w:val="20"/>
                            </w:rPr>
                            <w:t>散胚</w:t>
                          </w:r>
                        </w:p>
                      </w:txbxContent>
                    </v:textbox>
                  </v:shape>
                  <w10:wrap type="none"/>
                  <w10:anchorlock/>
                </v:group>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2" w:hRule="atLeast"/>
        </w:trPr>
        <w:tc>
          <w:tcPr>
            <w:tcW w:w="465" w:type="dxa"/>
            <w:vMerge w:val="continue"/>
            <w:tcBorders>
              <w:top w:val="nil"/>
              <w:right w:val="single" w:color="000000" w:sz="2" w:space="0"/>
            </w:tcBorders>
            <w:vAlign w:val="top"/>
          </w:tcPr>
          <w:p>
            <w:pPr>
              <w:rPr>
                <w:rFonts w:ascii="Arial"/>
                <w:sz w:val="21"/>
              </w:rPr>
            </w:pPr>
          </w:p>
        </w:tc>
        <w:tc>
          <w:tcPr>
            <w:tcW w:w="9282" w:type="dxa"/>
            <w:tcBorders>
              <w:top w:val="nil"/>
              <w:left w:val="single" w:color="000000" w:sz="2" w:space="0"/>
            </w:tcBorders>
            <w:vAlign w:val="top"/>
          </w:tcPr>
          <w:p>
            <w:pPr>
              <w:pStyle w:val="6"/>
              <w:spacing w:before="115" w:line="220" w:lineRule="auto"/>
              <w:ind w:left="3060"/>
              <w:rPr>
                <w:sz w:val="24"/>
                <w:szCs w:val="24"/>
              </w:rPr>
            </w:pPr>
            <w:r>
              <w:rPr>
                <w:spacing w:val="-2"/>
                <w:sz w:val="24"/>
                <w:szCs w:val="24"/>
                <w14:textOutline w14:w="4354" w14:cap="flat" w14:cmpd="sng">
                  <w14:solidFill>
                    <w14:srgbClr w14:val="000000"/>
                  </w14:solidFill>
                  <w14:prstDash w14:val="solid"/>
                  <w14:miter w14:val="10"/>
                </w14:textOutline>
              </w:rPr>
              <w:t>图</w:t>
            </w:r>
            <w:r>
              <w:rPr>
                <w:spacing w:val="-46"/>
                <w:sz w:val="24"/>
                <w:szCs w:val="24"/>
              </w:rPr>
              <w:t xml:space="preserve"> </w:t>
            </w:r>
            <w:r>
              <w:rPr>
                <w:rFonts w:ascii="Times New Roman" w:hAnsi="Times New Roman" w:eastAsia="Times New Roman" w:cs="Times New Roman"/>
                <w:b/>
                <w:bCs/>
                <w:spacing w:val="-2"/>
                <w:sz w:val="24"/>
                <w:szCs w:val="24"/>
              </w:rPr>
              <w:t xml:space="preserve">5.6-1    </w:t>
            </w:r>
            <w:r>
              <w:rPr>
                <w:spacing w:val="-2"/>
                <w:sz w:val="24"/>
                <w:szCs w:val="24"/>
                <w14:textOutline w14:w="4354" w14:cap="flat" w14:cmpd="sng">
                  <w14:solidFill>
                    <w14:srgbClr w14:val="000000"/>
                  </w14:solidFill>
                  <w14:prstDash w14:val="solid"/>
                  <w14:miter w14:val="10"/>
                </w14:textOutline>
              </w:rPr>
              <w:t>制砖工艺流程示意图</w:t>
            </w:r>
          </w:p>
          <w:p>
            <w:pPr>
              <w:pStyle w:val="6"/>
              <w:spacing w:before="194" w:line="369" w:lineRule="auto"/>
              <w:ind w:left="114" w:right="100" w:firstLine="476"/>
              <w:jc w:val="both"/>
              <w:rPr>
                <w:sz w:val="24"/>
                <w:szCs w:val="24"/>
              </w:rPr>
            </w:pPr>
            <w:r>
              <w:rPr>
                <w:spacing w:val="-16"/>
                <w:sz w:val="24"/>
                <w:szCs w:val="24"/>
              </w:rPr>
              <w:t>经调查了解，</w:t>
            </w:r>
            <w:r>
              <w:rPr>
                <w:spacing w:val="50"/>
                <w:sz w:val="24"/>
                <w:szCs w:val="24"/>
              </w:rPr>
              <w:t xml:space="preserve"> </w:t>
            </w:r>
            <w:r>
              <w:rPr>
                <w:spacing w:val="-16"/>
                <w:sz w:val="24"/>
                <w:szCs w:val="24"/>
              </w:rPr>
              <w:t>该工艺为传统熟悉的工艺，</w:t>
            </w:r>
            <w:r>
              <w:rPr>
                <w:spacing w:val="75"/>
                <w:sz w:val="24"/>
                <w:szCs w:val="24"/>
              </w:rPr>
              <w:t xml:space="preserve"> </w:t>
            </w:r>
            <w:r>
              <w:rPr>
                <w:spacing w:val="-16"/>
                <w:sz w:val="24"/>
                <w:szCs w:val="24"/>
              </w:rPr>
              <w:t>由</w:t>
            </w:r>
            <w:r>
              <w:rPr>
                <w:spacing w:val="-17"/>
                <w:sz w:val="24"/>
                <w:szCs w:val="24"/>
              </w:rPr>
              <w:t>该工艺进行生产已多年，</w:t>
            </w:r>
            <w:r>
              <w:rPr>
                <w:spacing w:val="45"/>
                <w:sz w:val="24"/>
                <w:szCs w:val="24"/>
              </w:rPr>
              <w:t xml:space="preserve"> </w:t>
            </w:r>
            <w:r>
              <w:rPr>
                <w:spacing w:val="-17"/>
                <w:sz w:val="24"/>
                <w:szCs w:val="24"/>
              </w:rPr>
              <w:t>在使用页岩为</w:t>
            </w:r>
            <w:r>
              <w:rPr>
                <w:sz w:val="24"/>
                <w:szCs w:val="24"/>
              </w:rPr>
              <w:t xml:space="preserve"> </w:t>
            </w:r>
            <w:r>
              <w:rPr>
                <w:spacing w:val="-13"/>
                <w:sz w:val="24"/>
                <w:szCs w:val="24"/>
              </w:rPr>
              <w:t>原料进行生产时，</w:t>
            </w:r>
            <w:r>
              <w:rPr>
                <w:spacing w:val="-36"/>
                <w:sz w:val="24"/>
                <w:szCs w:val="24"/>
              </w:rPr>
              <w:t xml:space="preserve"> </w:t>
            </w:r>
            <w:r>
              <w:rPr>
                <w:spacing w:val="-13"/>
                <w:sz w:val="24"/>
                <w:szCs w:val="24"/>
              </w:rPr>
              <w:t>采取的污染防治措施符合环保要求，</w:t>
            </w:r>
            <w:r>
              <w:rPr>
                <w:spacing w:val="55"/>
                <w:sz w:val="24"/>
                <w:szCs w:val="24"/>
              </w:rPr>
              <w:t xml:space="preserve"> </w:t>
            </w:r>
            <w:r>
              <w:rPr>
                <w:spacing w:val="-13"/>
                <w:sz w:val="24"/>
                <w:szCs w:val="24"/>
              </w:rPr>
              <w:t>未出现污染环境事故。因此，</w:t>
            </w:r>
            <w:r>
              <w:rPr>
                <w:spacing w:val="51"/>
                <w:sz w:val="24"/>
                <w:szCs w:val="24"/>
              </w:rPr>
              <w:t xml:space="preserve"> </w:t>
            </w:r>
            <w:r>
              <w:rPr>
                <w:spacing w:val="-13"/>
                <w:sz w:val="24"/>
                <w:szCs w:val="24"/>
              </w:rPr>
              <w:t>拟</w:t>
            </w:r>
          </w:p>
          <w:p>
            <w:pPr>
              <w:pStyle w:val="6"/>
              <w:spacing w:before="1" w:line="218" w:lineRule="auto"/>
              <w:ind w:left="111"/>
              <w:rPr>
                <w:sz w:val="24"/>
                <w:szCs w:val="24"/>
              </w:rPr>
            </w:pPr>
            <w:r>
              <w:rPr>
                <w:spacing w:val="-2"/>
                <w:sz w:val="24"/>
                <w:szCs w:val="24"/>
              </w:rPr>
              <w:t>建项目钻井时产生的固废作烧砖处理在工艺上是可行的。</w:t>
            </w:r>
          </w:p>
          <w:p>
            <w:pPr>
              <w:pStyle w:val="6"/>
              <w:spacing w:before="196" w:line="233" w:lineRule="auto"/>
              <w:ind w:left="590"/>
              <w:rPr>
                <w:sz w:val="24"/>
                <w:szCs w:val="24"/>
              </w:rPr>
            </w:pPr>
            <w:r>
              <w:rPr>
                <w:rFonts w:ascii="Times New Roman" w:hAnsi="Times New Roman" w:eastAsia="Times New Roman" w:cs="Times New Roman"/>
                <w:b/>
                <w:bCs/>
                <w:sz w:val="24"/>
                <w:szCs w:val="24"/>
              </w:rPr>
              <w:t>d.</w:t>
            </w:r>
            <w:r>
              <w:rPr>
                <w:sz w:val="24"/>
                <w:szCs w:val="24"/>
                <w14:textOutline w14:w="4354" w14:cap="flat" w14:cmpd="sng">
                  <w14:solidFill>
                    <w14:srgbClr w14:val="000000"/>
                  </w14:solidFill>
                  <w14:prstDash w14:val="solid"/>
                  <w14:miter w14:val="10"/>
                </w14:textOutline>
              </w:rPr>
              <w:t>砖厂环保手续及消纳能力分析</w:t>
            </w:r>
          </w:p>
          <w:p>
            <w:pPr>
              <w:pStyle w:val="6"/>
              <w:spacing w:before="177" w:line="369" w:lineRule="auto"/>
              <w:ind w:left="110" w:right="103" w:firstLine="523"/>
              <w:jc w:val="both"/>
              <w:rPr>
                <w:sz w:val="24"/>
                <w:szCs w:val="24"/>
              </w:rPr>
            </w:pPr>
            <w:r>
              <w:rPr>
                <w:spacing w:val="-4"/>
                <w:sz w:val="24"/>
                <w:szCs w:val="24"/>
              </w:rPr>
              <w:t>目前，</w:t>
            </w:r>
            <w:r>
              <w:rPr>
                <w:spacing w:val="-71"/>
                <w:sz w:val="24"/>
                <w:szCs w:val="24"/>
              </w:rPr>
              <w:t xml:space="preserve"> </w:t>
            </w:r>
            <w:r>
              <w:rPr>
                <w:spacing w:val="-4"/>
                <w:sz w:val="24"/>
                <w:szCs w:val="24"/>
              </w:rPr>
              <w:t>大庆油田有限责任公司与珙县易洁环保科技有限</w:t>
            </w:r>
            <w:r>
              <w:rPr>
                <w:spacing w:val="-5"/>
                <w:sz w:val="24"/>
                <w:szCs w:val="24"/>
              </w:rPr>
              <w:t>公司签订钻井废弃物处置利</w:t>
            </w:r>
            <w:r>
              <w:rPr>
                <w:sz w:val="24"/>
                <w:szCs w:val="24"/>
              </w:rPr>
              <w:t xml:space="preserve"> </w:t>
            </w:r>
            <w:r>
              <w:rPr>
                <w:spacing w:val="-6"/>
                <w:sz w:val="24"/>
                <w:szCs w:val="24"/>
              </w:rPr>
              <w:t>用合同，污泥及水基岩屑交由珙县易洁环保科技有限公司，</w:t>
            </w:r>
            <w:r>
              <w:rPr>
                <w:spacing w:val="46"/>
                <w:sz w:val="24"/>
                <w:szCs w:val="24"/>
              </w:rPr>
              <w:t xml:space="preserve"> </w:t>
            </w:r>
            <w:r>
              <w:rPr>
                <w:spacing w:val="-6"/>
                <w:sz w:val="24"/>
                <w:szCs w:val="24"/>
              </w:rPr>
              <w:t>珙县易洁环保科技有限公司</w:t>
            </w:r>
          </w:p>
          <w:p>
            <w:pPr>
              <w:pStyle w:val="6"/>
              <w:spacing w:before="1" w:line="218" w:lineRule="auto"/>
              <w:ind w:left="113"/>
              <w:rPr>
                <w:sz w:val="24"/>
                <w:szCs w:val="24"/>
              </w:rPr>
            </w:pPr>
            <w:r>
              <w:rPr>
                <w:spacing w:val="-1"/>
                <w:sz w:val="24"/>
                <w:szCs w:val="24"/>
              </w:rPr>
              <w:t>与重庆市荣昌区三层岩建材有限公司合作处理，综合利用水</w:t>
            </w:r>
            <w:r>
              <w:rPr>
                <w:spacing w:val="-2"/>
                <w:sz w:val="24"/>
                <w:szCs w:val="24"/>
              </w:rPr>
              <w:t>基岩屑及污泥用于制砖。</w:t>
            </w:r>
          </w:p>
          <w:p>
            <w:pPr>
              <w:pStyle w:val="6"/>
              <w:spacing w:before="197" w:line="369" w:lineRule="auto"/>
              <w:ind w:left="110" w:right="17" w:firstLine="478"/>
              <w:jc w:val="both"/>
              <w:rPr>
                <w:sz w:val="24"/>
                <w:szCs w:val="24"/>
              </w:rPr>
            </w:pPr>
            <w:r>
              <w:rPr>
                <w:spacing w:val="-11"/>
                <w:sz w:val="24"/>
                <w:szCs w:val="24"/>
              </w:rPr>
              <w:t>重庆市荣昌区三层岩建材有限公司：</w:t>
            </w:r>
            <w:r>
              <w:rPr>
                <w:spacing w:val="49"/>
                <w:sz w:val="24"/>
                <w:szCs w:val="24"/>
              </w:rPr>
              <w:t xml:space="preserve"> </w:t>
            </w:r>
            <w:r>
              <w:rPr>
                <w:spacing w:val="-11"/>
                <w:sz w:val="24"/>
                <w:szCs w:val="24"/>
              </w:rPr>
              <w:t>位于重庆市荣昌区清升镇古佛山社区，</w:t>
            </w:r>
            <w:r>
              <w:rPr>
                <w:spacing w:val="42"/>
                <w:sz w:val="24"/>
                <w:szCs w:val="24"/>
              </w:rPr>
              <w:t xml:space="preserve"> </w:t>
            </w:r>
            <w:r>
              <w:rPr>
                <w:spacing w:val="-11"/>
                <w:sz w:val="24"/>
                <w:szCs w:val="24"/>
              </w:rPr>
              <w:t xml:space="preserve">重庆市 </w:t>
            </w:r>
            <w:r>
              <w:rPr>
                <w:spacing w:val="-3"/>
                <w:sz w:val="24"/>
                <w:szCs w:val="24"/>
              </w:rPr>
              <w:t>荣昌区三层岩建材有限公司一水基钻屑、泥浆资源化利用项目于</w:t>
            </w:r>
            <w:r>
              <w:rPr>
                <w:spacing w:val="-42"/>
                <w:sz w:val="24"/>
                <w:szCs w:val="24"/>
              </w:rPr>
              <w:t xml:space="preserve"> </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22"/>
                <w:sz w:val="24"/>
                <w:szCs w:val="24"/>
              </w:rPr>
              <w:t xml:space="preserve"> </w:t>
            </w:r>
            <w:r>
              <w:rPr>
                <w:spacing w:val="-3"/>
                <w:sz w:val="24"/>
                <w:szCs w:val="24"/>
              </w:rPr>
              <w:t>年</w:t>
            </w:r>
            <w:r>
              <w:rPr>
                <w:spacing w:val="-38"/>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8"/>
                <w:sz w:val="24"/>
                <w:szCs w:val="24"/>
              </w:rPr>
              <w:t xml:space="preserve"> </w:t>
            </w:r>
            <w:r>
              <w:rPr>
                <w:spacing w:val="-3"/>
                <w:sz w:val="24"/>
                <w:szCs w:val="24"/>
              </w:rPr>
              <w:t>月</w:t>
            </w:r>
            <w:r>
              <w:rPr>
                <w:spacing w:val="-38"/>
                <w:sz w:val="24"/>
                <w:szCs w:val="24"/>
              </w:rPr>
              <w:t xml:space="preserve"> </w:t>
            </w:r>
            <w:r>
              <w:rPr>
                <w:rFonts w:ascii="Times New Roman" w:hAnsi="Times New Roman" w:eastAsia="Times New Roman" w:cs="Times New Roman"/>
                <w:spacing w:val="-3"/>
                <w:sz w:val="24"/>
                <w:szCs w:val="24"/>
              </w:rPr>
              <w:t xml:space="preserve">9  </w:t>
            </w:r>
            <w:r>
              <w:rPr>
                <w:spacing w:val="-3"/>
                <w:sz w:val="24"/>
                <w:szCs w:val="24"/>
              </w:rPr>
              <w:t>日</w:t>
            </w:r>
            <w:r>
              <w:rPr>
                <w:spacing w:val="-4"/>
                <w:sz w:val="24"/>
                <w:szCs w:val="24"/>
              </w:rPr>
              <w:t xml:space="preserve">取得 </w:t>
            </w:r>
            <w:r>
              <w:rPr>
                <w:spacing w:val="-7"/>
                <w:sz w:val="24"/>
                <w:szCs w:val="24"/>
              </w:rPr>
              <w:t>荣昌区生态环境局批复文件（渝（荣）</w:t>
            </w:r>
            <w:r>
              <w:rPr>
                <w:spacing w:val="-38"/>
                <w:sz w:val="24"/>
                <w:szCs w:val="24"/>
              </w:rPr>
              <w:t xml:space="preserve"> </w:t>
            </w:r>
            <w:r>
              <w:rPr>
                <w:spacing w:val="-7"/>
                <w:sz w:val="24"/>
                <w:szCs w:val="24"/>
              </w:rPr>
              <w:t>环准〔</w:t>
            </w:r>
            <w:r>
              <w:rPr>
                <w:rFonts w:ascii="Times New Roman" w:hAnsi="Times New Roman" w:eastAsia="Times New Roman" w:cs="Times New Roman"/>
                <w:spacing w:val="-7"/>
                <w:sz w:val="24"/>
                <w:szCs w:val="24"/>
              </w:rPr>
              <w:t>2022</w:t>
            </w:r>
            <w:r>
              <w:rPr>
                <w:spacing w:val="-7"/>
                <w:sz w:val="24"/>
                <w:szCs w:val="24"/>
              </w:rPr>
              <w:t>〕</w:t>
            </w:r>
            <w:r>
              <w:rPr>
                <w:rFonts w:ascii="Times New Roman" w:hAnsi="Times New Roman" w:eastAsia="Times New Roman" w:cs="Times New Roman"/>
                <w:spacing w:val="-7"/>
                <w:sz w:val="24"/>
                <w:szCs w:val="24"/>
              </w:rPr>
              <w:t>04</w:t>
            </w:r>
            <w:r>
              <w:rPr>
                <w:rFonts w:ascii="Times New Roman" w:hAnsi="Times New Roman" w:eastAsia="Times New Roman" w:cs="Times New Roman"/>
                <w:spacing w:val="-8"/>
                <w:sz w:val="24"/>
                <w:szCs w:val="24"/>
              </w:rPr>
              <w:t>6</w:t>
            </w:r>
            <w:r>
              <w:rPr>
                <w:rFonts w:ascii="Times New Roman" w:hAnsi="Times New Roman" w:eastAsia="Times New Roman" w:cs="Times New Roman"/>
                <w:spacing w:val="15"/>
                <w:sz w:val="24"/>
                <w:szCs w:val="24"/>
              </w:rPr>
              <w:t xml:space="preserve"> </w:t>
            </w:r>
            <w:r>
              <w:rPr>
                <w:spacing w:val="-8"/>
                <w:sz w:val="24"/>
                <w:szCs w:val="24"/>
              </w:rPr>
              <w:t>号</w:t>
            </w:r>
            <w:r>
              <w:rPr>
                <w:spacing w:val="-17"/>
                <w:sz w:val="24"/>
                <w:szCs w:val="24"/>
              </w:rPr>
              <w:t>）</w:t>
            </w:r>
            <w:r>
              <w:rPr>
                <w:spacing w:val="-47"/>
                <w:sz w:val="24"/>
                <w:szCs w:val="24"/>
              </w:rPr>
              <w:t xml:space="preserve"> </w:t>
            </w:r>
            <w:r>
              <w:rPr>
                <w:spacing w:val="-17"/>
                <w:sz w:val="24"/>
                <w:szCs w:val="24"/>
              </w:rPr>
              <w:t>，</w:t>
            </w:r>
            <w:r>
              <w:rPr>
                <w:spacing w:val="-8"/>
                <w:sz w:val="24"/>
                <w:szCs w:val="24"/>
              </w:rPr>
              <w:t>该单位将水基钻井岩屑、</w:t>
            </w:r>
            <w:r>
              <w:rPr>
                <w:sz w:val="24"/>
                <w:szCs w:val="24"/>
              </w:rPr>
              <w:t xml:space="preserve"> 泥浆用作制空心砖，水基钻井岩屑、泥浆年用量约 </w:t>
            </w:r>
            <w:r>
              <w:rPr>
                <w:rFonts w:ascii="Times New Roman" w:hAnsi="Times New Roman" w:eastAsia="Times New Roman" w:cs="Times New Roman"/>
                <w:sz w:val="24"/>
                <w:szCs w:val="24"/>
              </w:rPr>
              <w:t>20356</w:t>
            </w:r>
            <w:r>
              <w:rPr>
                <w:rFonts w:ascii="Times New Roman" w:hAnsi="Times New Roman" w:eastAsia="Times New Roman" w:cs="Times New Roman"/>
                <w:spacing w:val="-1"/>
                <w:sz w:val="24"/>
                <w:szCs w:val="24"/>
              </w:rPr>
              <w:t>.9t/a</w:t>
            </w:r>
            <w:r>
              <w:rPr>
                <w:spacing w:val="-1"/>
                <w:sz w:val="24"/>
                <w:szCs w:val="24"/>
              </w:rPr>
              <w:t xml:space="preserve">；该砖厂处于正常运行状 </w:t>
            </w:r>
            <w:r>
              <w:rPr>
                <w:sz w:val="24"/>
                <w:szCs w:val="24"/>
              </w:rPr>
              <w:t>况，目前重庆市荣昌区三层岩建材有限公司已接纳废水基岩屑泥浆量约</w:t>
            </w:r>
            <w:r>
              <w:rPr>
                <w:spacing w:val="-1"/>
                <w:sz w:val="24"/>
                <w:szCs w:val="24"/>
              </w:rPr>
              <w:t xml:space="preserve"> </w:t>
            </w:r>
            <w:r>
              <w:rPr>
                <w:rFonts w:ascii="Times New Roman" w:hAnsi="Times New Roman" w:eastAsia="Times New Roman" w:cs="Times New Roman"/>
                <w:spacing w:val="-1"/>
                <w:sz w:val="24"/>
                <w:szCs w:val="24"/>
              </w:rPr>
              <w:t>12562.2t/a</w:t>
            </w:r>
            <w:r>
              <w:rPr>
                <w:spacing w:val="-1"/>
                <w:sz w:val="24"/>
                <w:szCs w:val="24"/>
              </w:rPr>
              <w:t>，剩</w:t>
            </w:r>
          </w:p>
          <w:p>
            <w:pPr>
              <w:pStyle w:val="6"/>
              <w:spacing w:line="220" w:lineRule="auto"/>
              <w:ind w:left="109"/>
              <w:rPr>
                <w:sz w:val="24"/>
                <w:szCs w:val="24"/>
              </w:rPr>
            </w:pPr>
            <w:r>
              <w:rPr>
                <w:spacing w:val="-2"/>
                <w:sz w:val="24"/>
                <w:szCs w:val="24"/>
              </w:rPr>
              <w:t>余接纳量约</w:t>
            </w:r>
            <w:r>
              <w:rPr>
                <w:spacing w:val="-46"/>
                <w:sz w:val="24"/>
                <w:szCs w:val="24"/>
              </w:rPr>
              <w:t xml:space="preserve"> </w:t>
            </w:r>
            <w:r>
              <w:rPr>
                <w:rFonts w:ascii="Times New Roman" w:hAnsi="Times New Roman" w:eastAsia="Times New Roman" w:cs="Times New Roman"/>
                <w:spacing w:val="-2"/>
                <w:sz w:val="24"/>
                <w:szCs w:val="24"/>
              </w:rPr>
              <w:t>7794.7t</w:t>
            </w:r>
            <w:r>
              <w:rPr>
                <w:spacing w:val="-2"/>
                <w:sz w:val="24"/>
                <w:szCs w:val="24"/>
              </w:rPr>
              <w:t>。</w:t>
            </w:r>
          </w:p>
          <w:p>
            <w:pPr>
              <w:pStyle w:val="6"/>
              <w:spacing w:before="194" w:line="369" w:lineRule="auto"/>
              <w:ind w:left="109" w:right="102" w:firstLine="479"/>
              <w:jc w:val="both"/>
              <w:rPr>
                <w:sz w:val="24"/>
                <w:szCs w:val="24"/>
              </w:rPr>
            </w:pPr>
            <w:r>
              <w:rPr>
                <w:sz w:val="24"/>
                <w:szCs w:val="24"/>
              </w:rPr>
              <w:t xml:space="preserve">本项目水基岩屑产生量为 </w:t>
            </w:r>
            <w:r>
              <w:rPr>
                <w:rFonts w:ascii="Times New Roman" w:hAnsi="Times New Roman" w:eastAsia="Times New Roman" w:cs="Times New Roman"/>
                <w:sz w:val="24"/>
                <w:szCs w:val="24"/>
              </w:rPr>
              <w:t>3210.75t</w:t>
            </w:r>
            <w:r>
              <w:rPr>
                <w:sz w:val="24"/>
                <w:szCs w:val="24"/>
              </w:rPr>
              <w:t>，废水基泥浆产生量为</w:t>
            </w:r>
            <w:r>
              <w:rPr>
                <w:spacing w:val="45"/>
                <w:sz w:val="24"/>
                <w:szCs w:val="24"/>
              </w:rPr>
              <w:t xml:space="preserve"> </w:t>
            </w:r>
            <w:r>
              <w:rPr>
                <w:rFonts w:ascii="Times New Roman" w:hAnsi="Times New Roman" w:eastAsia="Times New Roman" w:cs="Times New Roman"/>
                <w:sz w:val="24"/>
                <w:szCs w:val="24"/>
              </w:rPr>
              <w:t>184.08t</w:t>
            </w:r>
            <w:r>
              <w:rPr>
                <w:sz w:val="24"/>
                <w:szCs w:val="24"/>
              </w:rPr>
              <w:t xml:space="preserve">，沉淀罐污泥约 </w:t>
            </w:r>
            <w:r>
              <w:rPr>
                <w:rFonts w:ascii="Times New Roman" w:hAnsi="Times New Roman" w:eastAsia="Times New Roman" w:cs="Times New Roman"/>
                <w:spacing w:val="-2"/>
                <w:sz w:val="24"/>
                <w:szCs w:val="24"/>
              </w:rPr>
              <w:t>60t</w:t>
            </w:r>
            <w:r>
              <w:rPr>
                <w:spacing w:val="-2"/>
                <w:sz w:val="24"/>
                <w:szCs w:val="24"/>
              </w:rPr>
              <w:t>，合计</w:t>
            </w:r>
            <w:r>
              <w:rPr>
                <w:spacing w:val="-47"/>
                <w:sz w:val="24"/>
                <w:szCs w:val="24"/>
              </w:rPr>
              <w:t xml:space="preserve"> </w:t>
            </w:r>
            <w:r>
              <w:rPr>
                <w:rFonts w:ascii="Times New Roman" w:hAnsi="Times New Roman" w:eastAsia="Times New Roman" w:cs="Times New Roman"/>
                <w:spacing w:val="-2"/>
                <w:sz w:val="24"/>
                <w:szCs w:val="24"/>
              </w:rPr>
              <w:t>3454.83t</w:t>
            </w:r>
            <w:r>
              <w:rPr>
                <w:spacing w:val="-2"/>
                <w:sz w:val="24"/>
                <w:szCs w:val="24"/>
              </w:rPr>
              <w:t>，重庆市荣昌区三层岩建材有限公司有富余消纳能力处置本项目产生</w:t>
            </w:r>
          </w:p>
          <w:p>
            <w:pPr>
              <w:pStyle w:val="6"/>
              <w:spacing w:before="1" w:line="219" w:lineRule="auto"/>
              <w:ind w:left="128"/>
              <w:rPr>
                <w:sz w:val="24"/>
                <w:szCs w:val="24"/>
              </w:rPr>
            </w:pPr>
            <w:r>
              <w:rPr>
                <w:spacing w:val="-6"/>
                <w:sz w:val="24"/>
                <w:szCs w:val="24"/>
              </w:rPr>
              <w:t>的水基钻井泥浆和岩屑。</w:t>
            </w:r>
          </w:p>
          <w:p>
            <w:pPr>
              <w:pStyle w:val="6"/>
              <w:spacing w:before="195" w:line="233" w:lineRule="auto"/>
              <w:ind w:left="590"/>
              <w:rPr>
                <w:sz w:val="24"/>
                <w:szCs w:val="24"/>
              </w:rPr>
            </w:pPr>
            <w:r>
              <w:rPr>
                <w:rFonts w:ascii="Times New Roman" w:hAnsi="Times New Roman" w:eastAsia="Times New Roman" w:cs="Times New Roman"/>
                <w:b/>
                <w:bCs/>
                <w:sz w:val="24"/>
                <w:szCs w:val="24"/>
              </w:rPr>
              <w:t>e.</w:t>
            </w:r>
            <w:r>
              <w:rPr>
                <w:sz w:val="24"/>
                <w:szCs w:val="24"/>
                <w14:textOutline w14:w="4354" w14:cap="flat" w14:cmpd="sng">
                  <w14:solidFill>
                    <w14:srgbClr w14:val="000000"/>
                  </w14:solidFill>
                  <w14:prstDash w14:val="solid"/>
                  <w14:miter w14:val="10"/>
                </w14:textOutline>
              </w:rPr>
              <w:t>清洁化操作工艺（清洁生产操作平台）、固体预处理收集、临时储存、转运措施</w:t>
            </w:r>
          </w:p>
          <w:p>
            <w:pPr>
              <w:pStyle w:val="6"/>
              <w:spacing w:before="177" w:line="480" w:lineRule="exact"/>
              <w:ind w:left="590"/>
              <w:rPr>
                <w:sz w:val="24"/>
                <w:szCs w:val="24"/>
              </w:rPr>
            </w:pPr>
            <w:r>
              <w:rPr>
                <w:spacing w:val="-9"/>
                <w:position w:val="18"/>
                <w:sz w:val="24"/>
                <w:szCs w:val="24"/>
              </w:rPr>
              <w:t>泥浆循环系统分离产生的废泥浆（失效泥浆） 按</w:t>
            </w:r>
            <w:r>
              <w:rPr>
                <w:spacing w:val="-10"/>
                <w:position w:val="18"/>
                <w:sz w:val="24"/>
                <w:szCs w:val="24"/>
              </w:rPr>
              <w:t>照清洁化生产方案，</w:t>
            </w:r>
            <w:r>
              <w:rPr>
                <w:spacing w:val="46"/>
                <w:position w:val="18"/>
                <w:sz w:val="24"/>
                <w:szCs w:val="24"/>
              </w:rPr>
              <w:t xml:space="preserve"> </w:t>
            </w:r>
            <w:r>
              <w:rPr>
                <w:spacing w:val="-10"/>
                <w:position w:val="18"/>
                <w:sz w:val="24"/>
                <w:szCs w:val="24"/>
              </w:rPr>
              <w:t>通过清洁化生</w:t>
            </w:r>
          </w:p>
          <w:p>
            <w:pPr>
              <w:pStyle w:val="6"/>
              <w:spacing w:line="219" w:lineRule="auto"/>
              <w:ind w:left="108"/>
              <w:rPr>
                <w:sz w:val="24"/>
                <w:szCs w:val="24"/>
              </w:rPr>
            </w:pPr>
            <w:r>
              <w:rPr>
                <w:spacing w:val="-5"/>
                <w:sz w:val="24"/>
                <w:szCs w:val="24"/>
              </w:rPr>
              <w:t>产方案配备的螺旋输送装置输送进收集罐， 收集后叉车转运井场的清洁生产操作平台再</w:t>
            </w:r>
          </w:p>
        </w:tc>
      </w:tr>
    </w:tbl>
    <w:p>
      <w:pPr>
        <w:pStyle w:val="2"/>
        <w:rPr>
          <w:sz w:val="21"/>
        </w:rPr>
      </w:pPr>
    </w:p>
    <w:p>
      <w:pPr>
        <w:rPr>
          <w:sz w:val="21"/>
          <w:szCs w:val="21"/>
        </w:rPr>
        <w:sectPr>
          <w:footerReference r:id="rId143"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10" w:right="100" w:firstLine="4"/>
              <w:jc w:val="both"/>
              <w:rPr>
                <w:sz w:val="24"/>
                <w:szCs w:val="24"/>
              </w:rPr>
            </w:pPr>
            <w:r>
              <w:rPr>
                <w:spacing w:val="4"/>
                <w:sz w:val="24"/>
                <w:szCs w:val="24"/>
              </w:rPr>
              <w:t>次进行减量处理，脱水产生的废水经清洁生产操作平台内的废水处理罐混凝沉淀处理</w:t>
            </w:r>
            <w:r>
              <w:rPr>
                <w:spacing w:val="14"/>
                <w:sz w:val="24"/>
                <w:szCs w:val="24"/>
              </w:rPr>
              <w:t xml:space="preserve"> </w:t>
            </w:r>
            <w:r>
              <w:rPr>
                <w:spacing w:val="-2"/>
                <w:sz w:val="24"/>
                <w:szCs w:val="24"/>
              </w:rPr>
              <w:t>后。下部沉淀污泥和脱水后的泥浆由叉车转运至岩屑堆放区临时储存。分离产生的岩屑</w:t>
            </w:r>
          </w:p>
          <w:p>
            <w:pPr>
              <w:pStyle w:val="6"/>
              <w:spacing w:line="219" w:lineRule="auto"/>
              <w:ind w:left="137"/>
              <w:rPr>
                <w:sz w:val="24"/>
                <w:szCs w:val="24"/>
              </w:rPr>
            </w:pPr>
            <w:r>
              <w:rPr>
                <w:spacing w:val="-2"/>
                <w:sz w:val="24"/>
                <w:szCs w:val="24"/>
              </w:rPr>
              <w:t>由螺旋输送装置输送进岩屑收集罐收集后叉车转运岩屑</w:t>
            </w:r>
            <w:r>
              <w:rPr>
                <w:spacing w:val="-3"/>
                <w:sz w:val="24"/>
                <w:szCs w:val="24"/>
              </w:rPr>
              <w:t>堆放区临时储存。</w:t>
            </w:r>
          </w:p>
          <w:p>
            <w:pPr>
              <w:pStyle w:val="6"/>
              <w:spacing w:before="195" w:line="369" w:lineRule="auto"/>
              <w:ind w:left="108" w:right="86" w:firstLine="478"/>
              <w:jc w:val="both"/>
              <w:rPr>
                <w:sz w:val="24"/>
                <w:szCs w:val="24"/>
              </w:rPr>
            </w:pPr>
            <w:r>
              <w:rPr>
                <w:spacing w:val="-6"/>
                <w:sz w:val="24"/>
                <w:szCs w:val="24"/>
              </w:rPr>
              <w:t>废水预处理沉淀污泥减量装置进行减量后，</w:t>
            </w:r>
            <w:r>
              <w:rPr>
                <w:spacing w:val="38"/>
                <w:sz w:val="24"/>
                <w:szCs w:val="24"/>
              </w:rPr>
              <w:t xml:space="preserve"> </w:t>
            </w:r>
            <w:r>
              <w:rPr>
                <w:spacing w:val="-6"/>
                <w:sz w:val="24"/>
                <w:szCs w:val="24"/>
              </w:rPr>
              <w:t>岩屑堆放区临时储存。通过清洁生产操</w:t>
            </w:r>
            <w:r>
              <w:rPr>
                <w:sz w:val="24"/>
                <w:szCs w:val="24"/>
              </w:rPr>
              <w:t xml:space="preserve"> </w:t>
            </w:r>
            <w:r>
              <w:rPr>
                <w:spacing w:val="-4"/>
                <w:sz w:val="24"/>
                <w:szCs w:val="24"/>
              </w:rPr>
              <w:t>作平台，做到固体废物有效收集处理回用采用随钻不落地， 有利于</w:t>
            </w:r>
            <w:r>
              <w:rPr>
                <w:spacing w:val="-5"/>
                <w:sz w:val="24"/>
                <w:szCs w:val="24"/>
              </w:rPr>
              <w:t>减轻对环境的影响。</w:t>
            </w:r>
            <w:r>
              <w:rPr>
                <w:sz w:val="24"/>
                <w:szCs w:val="24"/>
              </w:rPr>
              <w:t xml:space="preserve"> </w:t>
            </w:r>
            <w:r>
              <w:rPr>
                <w:spacing w:val="-14"/>
                <w:sz w:val="24"/>
                <w:szCs w:val="24"/>
              </w:rPr>
              <w:t>措施可行， 纳入工程投资，</w:t>
            </w:r>
            <w:r>
              <w:rPr>
                <w:spacing w:val="72"/>
                <w:sz w:val="24"/>
                <w:szCs w:val="24"/>
              </w:rPr>
              <w:t xml:space="preserve"> </w:t>
            </w:r>
            <w:r>
              <w:rPr>
                <w:spacing w:val="-14"/>
                <w:sz w:val="24"/>
                <w:szCs w:val="24"/>
              </w:rPr>
              <w:t>技术经济可行。岩屑堆放区进行了防渗和防雨，</w:t>
            </w:r>
            <w:r>
              <w:rPr>
                <w:spacing w:val="55"/>
                <w:sz w:val="24"/>
                <w:szCs w:val="24"/>
              </w:rPr>
              <w:t xml:space="preserve"> </w:t>
            </w:r>
            <w:r>
              <w:rPr>
                <w:spacing w:val="-14"/>
                <w:sz w:val="24"/>
                <w:szCs w:val="24"/>
              </w:rPr>
              <w:t>符合《一般</w:t>
            </w:r>
            <w:r>
              <w:rPr>
                <w:sz w:val="24"/>
                <w:szCs w:val="24"/>
              </w:rPr>
              <w:t xml:space="preserve"> </w:t>
            </w:r>
            <w:r>
              <w:rPr>
                <w:spacing w:val="-5"/>
                <w:sz w:val="24"/>
                <w:szCs w:val="24"/>
              </w:rPr>
              <w:t>工业固体废物贮存和填埋污染控制标准》（</w:t>
            </w:r>
            <w:r>
              <w:rPr>
                <w:rFonts w:ascii="Times New Roman" w:hAnsi="Times New Roman" w:eastAsia="Times New Roman" w:cs="Times New Roman"/>
                <w:spacing w:val="-5"/>
                <w:sz w:val="24"/>
                <w:szCs w:val="24"/>
              </w:rPr>
              <w:t>GB18599-2020</w:t>
            </w:r>
            <w:r>
              <w:rPr>
                <w:spacing w:val="-5"/>
                <w:sz w:val="24"/>
                <w:szCs w:val="24"/>
              </w:rPr>
              <w:t>）</w:t>
            </w:r>
            <w:r>
              <w:rPr>
                <w:rFonts w:ascii="Times New Roman" w:hAnsi="Times New Roman" w:eastAsia="Times New Roman" w:cs="Times New Roman"/>
                <w:spacing w:val="-5"/>
                <w:sz w:val="24"/>
                <w:szCs w:val="24"/>
              </w:rPr>
              <w:t>Ⅱ</w:t>
            </w:r>
            <w:r>
              <w:rPr>
                <w:spacing w:val="-5"/>
                <w:sz w:val="24"/>
                <w:szCs w:val="24"/>
              </w:rPr>
              <w:t>类场的相应要求，</w:t>
            </w:r>
            <w:r>
              <w:rPr>
                <w:spacing w:val="75"/>
                <w:sz w:val="24"/>
                <w:szCs w:val="24"/>
              </w:rPr>
              <w:t xml:space="preserve"> </w:t>
            </w:r>
            <w:r>
              <w:rPr>
                <w:spacing w:val="-5"/>
                <w:sz w:val="24"/>
                <w:szCs w:val="24"/>
              </w:rPr>
              <w:t>容积满</w:t>
            </w:r>
          </w:p>
          <w:p>
            <w:pPr>
              <w:pStyle w:val="6"/>
              <w:spacing w:line="219" w:lineRule="auto"/>
              <w:ind w:left="112"/>
              <w:rPr>
                <w:sz w:val="24"/>
                <w:szCs w:val="24"/>
              </w:rPr>
            </w:pPr>
            <w:r>
              <w:rPr>
                <w:spacing w:val="-3"/>
                <w:sz w:val="24"/>
                <w:szCs w:val="24"/>
              </w:rPr>
              <w:t>足临时堆存</w:t>
            </w:r>
            <w:r>
              <w:rPr>
                <w:spacing w:val="-25"/>
                <w:sz w:val="24"/>
                <w:szCs w:val="24"/>
              </w:rPr>
              <w:t xml:space="preserve"> </w:t>
            </w:r>
            <w:r>
              <w:rPr>
                <w:rFonts w:ascii="Times New Roman" w:hAnsi="Times New Roman" w:eastAsia="Times New Roman" w:cs="Times New Roman"/>
                <w:spacing w:val="-3"/>
                <w:sz w:val="24"/>
                <w:szCs w:val="24"/>
              </w:rPr>
              <w:t xml:space="preserve">10d </w:t>
            </w:r>
            <w:r>
              <w:rPr>
                <w:spacing w:val="-3"/>
                <w:sz w:val="24"/>
                <w:szCs w:val="24"/>
              </w:rPr>
              <w:t>量要求。纳入工程投资，技术经济可行。</w:t>
            </w:r>
          </w:p>
          <w:p>
            <w:pPr>
              <w:pStyle w:val="6"/>
              <w:spacing w:before="195" w:line="480" w:lineRule="exact"/>
              <w:ind w:right="61"/>
              <w:jc w:val="right"/>
              <w:rPr>
                <w:sz w:val="24"/>
                <w:szCs w:val="24"/>
              </w:rPr>
            </w:pPr>
            <w:r>
              <w:rPr>
                <w:spacing w:val="-1"/>
                <w:position w:val="18"/>
                <w:sz w:val="24"/>
                <w:szCs w:val="24"/>
              </w:rPr>
              <w:t>水基钻井岩屑采用汽车外运，运输根据现场暂存量进行调节，周期不宜超过</w:t>
            </w:r>
            <w:r>
              <w:rPr>
                <w:spacing w:val="-45"/>
                <w:position w:val="18"/>
                <w:sz w:val="24"/>
                <w:szCs w:val="24"/>
              </w:rPr>
              <w:t xml:space="preserve"> </w:t>
            </w:r>
            <w:r>
              <w:rPr>
                <w:rFonts w:ascii="Times New Roman" w:hAnsi="Times New Roman" w:eastAsia="Times New Roman" w:cs="Times New Roman"/>
                <w:spacing w:val="-1"/>
                <w:position w:val="18"/>
                <w:sz w:val="24"/>
                <w:szCs w:val="24"/>
              </w:rPr>
              <w:t xml:space="preserve">5 </w:t>
            </w:r>
            <w:r>
              <w:rPr>
                <w:spacing w:val="-1"/>
                <w:position w:val="18"/>
                <w:sz w:val="24"/>
                <w:szCs w:val="24"/>
              </w:rPr>
              <w:t>天。</w:t>
            </w:r>
          </w:p>
          <w:p>
            <w:pPr>
              <w:pStyle w:val="6"/>
              <w:spacing w:before="1" w:line="219" w:lineRule="auto"/>
              <w:ind w:left="109"/>
              <w:rPr>
                <w:sz w:val="24"/>
                <w:szCs w:val="24"/>
              </w:rPr>
            </w:pPr>
            <w:r>
              <w:rPr>
                <w:spacing w:val="-2"/>
                <w:sz w:val="24"/>
                <w:szCs w:val="24"/>
              </w:rPr>
              <w:t>转运过程应按照安全行驶路线，确保转运过程安全环保。</w:t>
            </w:r>
          </w:p>
          <w:p>
            <w:pPr>
              <w:pStyle w:val="6"/>
              <w:spacing w:before="195" w:line="233" w:lineRule="auto"/>
              <w:ind w:left="589"/>
              <w:rPr>
                <w:sz w:val="24"/>
                <w:szCs w:val="24"/>
              </w:rPr>
            </w:pPr>
            <w:r>
              <w:rPr>
                <w:rFonts w:ascii="Times New Roman" w:hAnsi="Times New Roman" w:eastAsia="Times New Roman" w:cs="Times New Roman"/>
                <w:b/>
                <w:bCs/>
                <w:spacing w:val="-1"/>
                <w:sz w:val="24"/>
                <w:szCs w:val="24"/>
              </w:rPr>
              <w:t>f.</w:t>
            </w:r>
            <w:r>
              <w:rPr>
                <w:spacing w:val="-1"/>
                <w:sz w:val="24"/>
                <w:szCs w:val="24"/>
                <w14:textOutline w14:w="4354" w14:cap="flat" w14:cmpd="sng">
                  <w14:solidFill>
                    <w14:srgbClr w14:val="000000"/>
                  </w14:solidFill>
                  <w14:prstDash w14:val="solid"/>
                  <w14:miter w14:val="10"/>
                </w14:textOutline>
              </w:rPr>
              <w:t>环境管理要求</w:t>
            </w:r>
          </w:p>
          <w:p>
            <w:pPr>
              <w:pStyle w:val="6"/>
              <w:spacing w:before="179" w:line="369" w:lineRule="auto"/>
              <w:ind w:left="107" w:right="99" w:firstLine="483"/>
              <w:rPr>
                <w:sz w:val="24"/>
                <w:szCs w:val="24"/>
              </w:rPr>
            </w:pPr>
            <w:r>
              <w:rPr>
                <w:spacing w:val="-6"/>
                <w:sz w:val="24"/>
                <w:szCs w:val="24"/>
              </w:rPr>
              <w:t>建设单位针对废水基泥浆、水基钻井岩屑转运采取的管理措</w:t>
            </w:r>
            <w:r>
              <w:rPr>
                <w:spacing w:val="-7"/>
                <w:sz w:val="24"/>
                <w:szCs w:val="24"/>
              </w:rPr>
              <w:t>施为：</w:t>
            </w:r>
            <w:r>
              <w:rPr>
                <w:spacing w:val="45"/>
                <w:sz w:val="24"/>
                <w:szCs w:val="24"/>
              </w:rPr>
              <w:t xml:space="preserve"> </w:t>
            </w:r>
            <w:r>
              <w:rPr>
                <w:spacing w:val="-7"/>
                <w:sz w:val="24"/>
                <w:szCs w:val="24"/>
              </w:rPr>
              <w:t>项目废渣的转运</w:t>
            </w:r>
            <w:r>
              <w:rPr>
                <w:sz w:val="24"/>
                <w:szCs w:val="24"/>
              </w:rPr>
              <w:t xml:space="preserve"> </w:t>
            </w:r>
            <w:r>
              <w:rPr>
                <w:spacing w:val="-6"/>
                <w:sz w:val="24"/>
                <w:szCs w:val="24"/>
              </w:rPr>
              <w:t>由专业运输公司承担；转运应建立台账，</w:t>
            </w:r>
            <w:r>
              <w:rPr>
                <w:spacing w:val="52"/>
                <w:sz w:val="24"/>
                <w:szCs w:val="24"/>
              </w:rPr>
              <w:t xml:space="preserve"> </w:t>
            </w:r>
            <w:r>
              <w:rPr>
                <w:spacing w:val="-6"/>
                <w:sz w:val="24"/>
                <w:szCs w:val="24"/>
              </w:rPr>
              <w:t>并按照转移联单登记制度进行转移；运</w:t>
            </w:r>
            <w:r>
              <w:rPr>
                <w:spacing w:val="-7"/>
                <w:sz w:val="24"/>
                <w:szCs w:val="24"/>
              </w:rPr>
              <w:t>输路线</w:t>
            </w:r>
            <w:r>
              <w:rPr>
                <w:sz w:val="24"/>
                <w:szCs w:val="24"/>
              </w:rPr>
              <w:t xml:space="preserve"> </w:t>
            </w:r>
            <w:r>
              <w:rPr>
                <w:spacing w:val="-1"/>
                <w:sz w:val="24"/>
                <w:szCs w:val="24"/>
              </w:rPr>
              <w:t>应避开饮用水源保护区、生态红线区、自然保</w:t>
            </w:r>
            <w:r>
              <w:rPr>
                <w:spacing w:val="-2"/>
                <w:sz w:val="24"/>
                <w:szCs w:val="24"/>
              </w:rPr>
              <w:t>护区、人口密集城镇等特殊环境敏感区；</w:t>
            </w:r>
            <w:r>
              <w:rPr>
                <w:sz w:val="24"/>
                <w:szCs w:val="24"/>
              </w:rPr>
              <w:t xml:space="preserve"> </w:t>
            </w:r>
            <w:r>
              <w:rPr>
                <w:spacing w:val="-6"/>
                <w:sz w:val="24"/>
                <w:szCs w:val="24"/>
              </w:rPr>
              <w:t>对承包废渣转运的承包商实施车辆登记制度， 为每台车安装</w:t>
            </w:r>
            <w:r>
              <w:rPr>
                <w:spacing w:val="-41"/>
                <w:sz w:val="24"/>
                <w:szCs w:val="24"/>
              </w:rPr>
              <w:t xml:space="preserve"> </w:t>
            </w:r>
            <w:r>
              <w:rPr>
                <w:rFonts w:ascii="Times New Roman" w:hAnsi="Times New Roman" w:eastAsia="Times New Roman" w:cs="Times New Roman"/>
                <w:spacing w:val="-6"/>
                <w:sz w:val="24"/>
                <w:szCs w:val="24"/>
              </w:rPr>
              <w:t>GPS</w:t>
            </w:r>
            <w:r>
              <w:rPr>
                <w:spacing w:val="-6"/>
                <w:sz w:val="24"/>
                <w:szCs w:val="24"/>
              </w:rPr>
              <w:t>，并纳入建设方的</w:t>
            </w:r>
            <w:r>
              <w:rPr>
                <w:spacing w:val="-51"/>
                <w:sz w:val="24"/>
                <w:szCs w:val="24"/>
              </w:rPr>
              <w:t xml:space="preserve"> </w:t>
            </w:r>
            <w:r>
              <w:rPr>
                <w:rFonts w:ascii="Times New Roman" w:hAnsi="Times New Roman" w:eastAsia="Times New Roman" w:cs="Times New Roman"/>
                <w:spacing w:val="-6"/>
                <w:sz w:val="24"/>
                <w:szCs w:val="24"/>
              </w:rPr>
              <w:t>GPS</w:t>
            </w:r>
            <w:r>
              <w:rPr>
                <w:rFonts w:ascii="Times New Roman" w:hAnsi="Times New Roman" w:eastAsia="Times New Roman" w:cs="Times New Roman"/>
                <w:sz w:val="24"/>
                <w:szCs w:val="24"/>
              </w:rPr>
              <w:t xml:space="preserve"> </w:t>
            </w:r>
            <w:r>
              <w:rPr>
                <w:spacing w:val="-7"/>
                <w:sz w:val="24"/>
                <w:szCs w:val="24"/>
              </w:rPr>
              <w:t>监控系统平台；废渣转运前应及时通知当地生态环境局，</w:t>
            </w:r>
            <w:r>
              <w:rPr>
                <w:spacing w:val="87"/>
                <w:sz w:val="24"/>
                <w:szCs w:val="24"/>
              </w:rPr>
              <w:t xml:space="preserve"> </w:t>
            </w:r>
            <w:r>
              <w:rPr>
                <w:spacing w:val="-7"/>
                <w:sz w:val="24"/>
                <w:szCs w:val="24"/>
              </w:rPr>
              <w:t>以便环保部门监督管理；项目</w:t>
            </w:r>
            <w:r>
              <w:rPr>
                <w:sz w:val="24"/>
                <w:szCs w:val="24"/>
              </w:rPr>
              <w:t xml:space="preserve"> </w:t>
            </w:r>
            <w:r>
              <w:rPr>
                <w:spacing w:val="-7"/>
                <w:sz w:val="24"/>
                <w:szCs w:val="24"/>
              </w:rPr>
              <w:t>应根据《一般工业固体废物管理台账制定指南（试行） 》（公告</w:t>
            </w:r>
            <w:r>
              <w:rPr>
                <w:spacing w:val="-38"/>
                <w:sz w:val="24"/>
                <w:szCs w:val="24"/>
              </w:rPr>
              <w:t xml:space="preserve"> </w:t>
            </w:r>
            <w:r>
              <w:rPr>
                <w:rFonts w:ascii="Times New Roman" w:hAnsi="Times New Roman" w:eastAsia="Times New Roman" w:cs="Times New Roman"/>
                <w:spacing w:val="-7"/>
                <w:sz w:val="24"/>
                <w:szCs w:val="24"/>
              </w:rPr>
              <w:t xml:space="preserve">2021 </w:t>
            </w:r>
            <w:r>
              <w:rPr>
                <w:spacing w:val="-7"/>
                <w:sz w:val="24"/>
                <w:szCs w:val="24"/>
              </w:rPr>
              <w:t>年第</w:t>
            </w:r>
            <w:r>
              <w:rPr>
                <w:spacing w:val="-45"/>
                <w:sz w:val="24"/>
                <w:szCs w:val="24"/>
              </w:rPr>
              <w:t xml:space="preserve"> </w:t>
            </w:r>
            <w:r>
              <w:rPr>
                <w:rFonts w:ascii="Times New Roman" w:hAnsi="Times New Roman" w:eastAsia="Times New Roman" w:cs="Times New Roman"/>
                <w:spacing w:val="-7"/>
                <w:sz w:val="24"/>
                <w:szCs w:val="24"/>
              </w:rPr>
              <w:t>82</w:t>
            </w:r>
            <w:r>
              <w:rPr>
                <w:rFonts w:ascii="Times New Roman" w:hAnsi="Times New Roman" w:eastAsia="Times New Roman" w:cs="Times New Roman"/>
                <w:spacing w:val="15"/>
                <w:w w:val="101"/>
                <w:sz w:val="24"/>
                <w:szCs w:val="24"/>
              </w:rPr>
              <w:t xml:space="preserve"> </w:t>
            </w:r>
            <w:r>
              <w:rPr>
                <w:spacing w:val="-7"/>
                <w:sz w:val="24"/>
                <w:szCs w:val="24"/>
              </w:rPr>
              <w:t>号）</w:t>
            </w:r>
            <w:r>
              <w:rPr>
                <w:spacing w:val="-55"/>
                <w:sz w:val="24"/>
                <w:szCs w:val="24"/>
              </w:rPr>
              <w:t xml:space="preserve"> </w:t>
            </w:r>
            <w:r>
              <w:rPr>
                <w:spacing w:val="-7"/>
                <w:sz w:val="24"/>
                <w:szCs w:val="24"/>
              </w:rPr>
              <w:t>建立</w:t>
            </w:r>
            <w:r>
              <w:rPr>
                <w:sz w:val="24"/>
                <w:szCs w:val="24"/>
              </w:rPr>
              <w:t xml:space="preserve"> </w:t>
            </w:r>
            <w:r>
              <w:rPr>
                <w:spacing w:val="-11"/>
                <w:sz w:val="24"/>
                <w:szCs w:val="24"/>
              </w:rPr>
              <w:t>一般固废台账，</w:t>
            </w:r>
            <w:r>
              <w:rPr>
                <w:spacing w:val="67"/>
                <w:sz w:val="24"/>
                <w:szCs w:val="24"/>
              </w:rPr>
              <w:t xml:space="preserve"> </w:t>
            </w:r>
            <w:r>
              <w:rPr>
                <w:spacing w:val="-11"/>
                <w:sz w:val="24"/>
                <w:szCs w:val="24"/>
              </w:rPr>
              <w:t>需如实记录固体废物的贮存、利用、处置等信息；</w:t>
            </w:r>
            <w:r>
              <w:rPr>
                <w:spacing w:val="54"/>
                <w:sz w:val="24"/>
                <w:szCs w:val="24"/>
              </w:rPr>
              <w:t xml:space="preserve"> </w:t>
            </w:r>
            <w:r>
              <w:rPr>
                <w:spacing w:val="-11"/>
                <w:sz w:val="24"/>
                <w:szCs w:val="24"/>
              </w:rPr>
              <w:t>根据自身固废产生情</w:t>
            </w:r>
            <w:r>
              <w:rPr>
                <w:sz w:val="24"/>
                <w:szCs w:val="24"/>
              </w:rPr>
              <w:t xml:space="preserve"> </w:t>
            </w:r>
            <w:r>
              <w:rPr>
                <w:spacing w:val="-18"/>
                <w:sz w:val="24"/>
                <w:szCs w:val="24"/>
              </w:rPr>
              <w:t>况，</w:t>
            </w:r>
            <w:r>
              <w:rPr>
                <w:spacing w:val="-38"/>
                <w:sz w:val="24"/>
                <w:szCs w:val="24"/>
              </w:rPr>
              <w:t xml:space="preserve"> </w:t>
            </w:r>
            <w:r>
              <w:rPr>
                <w:spacing w:val="-18"/>
                <w:sz w:val="24"/>
                <w:szCs w:val="24"/>
              </w:rPr>
              <w:t>确定固废具体名称及种类、代码，</w:t>
            </w:r>
            <w:r>
              <w:rPr>
                <w:spacing w:val="77"/>
                <w:sz w:val="24"/>
                <w:szCs w:val="24"/>
              </w:rPr>
              <w:t xml:space="preserve"> </w:t>
            </w:r>
            <w:r>
              <w:rPr>
                <w:spacing w:val="-18"/>
                <w:sz w:val="24"/>
                <w:szCs w:val="24"/>
              </w:rPr>
              <w:t>同时鼓励采用电子台账，</w:t>
            </w:r>
            <w:r>
              <w:rPr>
                <w:spacing w:val="58"/>
                <w:sz w:val="24"/>
                <w:szCs w:val="24"/>
              </w:rPr>
              <w:t xml:space="preserve"> </w:t>
            </w:r>
            <w:r>
              <w:rPr>
                <w:spacing w:val="-18"/>
                <w:sz w:val="24"/>
                <w:szCs w:val="24"/>
              </w:rPr>
              <w:t>简化管</w:t>
            </w:r>
            <w:r>
              <w:rPr>
                <w:spacing w:val="-19"/>
                <w:sz w:val="24"/>
                <w:szCs w:val="24"/>
              </w:rPr>
              <w:t>理工作；</w:t>
            </w:r>
            <w:r>
              <w:rPr>
                <w:spacing w:val="56"/>
                <w:sz w:val="24"/>
                <w:szCs w:val="24"/>
              </w:rPr>
              <w:t xml:space="preserve"> </w:t>
            </w:r>
            <w:r>
              <w:rPr>
                <w:spacing w:val="-19"/>
                <w:sz w:val="24"/>
                <w:szCs w:val="24"/>
              </w:rPr>
              <w:t>产废单</w:t>
            </w:r>
            <w:r>
              <w:rPr>
                <w:sz w:val="24"/>
                <w:szCs w:val="24"/>
              </w:rPr>
              <w:t xml:space="preserve"> </w:t>
            </w:r>
            <w:r>
              <w:rPr>
                <w:spacing w:val="-6"/>
                <w:sz w:val="24"/>
                <w:szCs w:val="24"/>
              </w:rPr>
              <w:t>位应设立专人负责台账的管理及归档； 一般固</w:t>
            </w:r>
            <w:r>
              <w:rPr>
                <w:spacing w:val="-7"/>
                <w:sz w:val="24"/>
                <w:szCs w:val="24"/>
              </w:rPr>
              <w:t>废台账保存期限不少于</w:t>
            </w:r>
            <w:r>
              <w:rPr>
                <w:spacing w:val="-48"/>
                <w:sz w:val="24"/>
                <w:szCs w:val="24"/>
              </w:rPr>
              <w:t xml:space="preserve"> </w:t>
            </w:r>
            <w:r>
              <w:rPr>
                <w:rFonts w:ascii="Times New Roman" w:hAnsi="Times New Roman" w:eastAsia="Times New Roman" w:cs="Times New Roman"/>
                <w:spacing w:val="-7"/>
                <w:sz w:val="24"/>
                <w:szCs w:val="24"/>
              </w:rPr>
              <w:t xml:space="preserve">5 </w:t>
            </w:r>
            <w:r>
              <w:rPr>
                <w:spacing w:val="-7"/>
                <w:sz w:val="24"/>
                <w:szCs w:val="24"/>
              </w:rPr>
              <w:t>年；</w:t>
            </w:r>
            <w:r>
              <w:rPr>
                <w:spacing w:val="-50"/>
                <w:sz w:val="24"/>
                <w:szCs w:val="24"/>
              </w:rPr>
              <w:t xml:space="preserve"> </w:t>
            </w:r>
            <w:r>
              <w:rPr>
                <w:spacing w:val="-7"/>
                <w:sz w:val="24"/>
                <w:szCs w:val="24"/>
              </w:rPr>
              <w:t>鼓励设置监</w:t>
            </w:r>
          </w:p>
          <w:p>
            <w:pPr>
              <w:pStyle w:val="6"/>
              <w:spacing w:before="1" w:line="218" w:lineRule="auto"/>
              <w:ind w:left="107"/>
              <w:rPr>
                <w:sz w:val="24"/>
                <w:szCs w:val="24"/>
              </w:rPr>
            </w:pPr>
            <w:r>
              <w:rPr>
                <w:spacing w:val="-3"/>
                <w:sz w:val="24"/>
                <w:szCs w:val="24"/>
              </w:rPr>
              <w:t>控、磅秤提供台账信息的准确性。</w:t>
            </w:r>
          </w:p>
          <w:p>
            <w:pPr>
              <w:pStyle w:val="6"/>
              <w:spacing w:before="198" w:line="369" w:lineRule="auto"/>
              <w:ind w:left="108" w:right="99" w:firstLine="482"/>
              <w:rPr>
                <w:sz w:val="24"/>
                <w:szCs w:val="24"/>
              </w:rPr>
            </w:pPr>
            <w:r>
              <w:rPr>
                <w:spacing w:val="-9"/>
                <w:sz w:val="24"/>
                <w:szCs w:val="24"/>
              </w:rPr>
              <w:t>综上所述， 本项目水基钻井固废经预处理后及时外运砖厂制砖，</w:t>
            </w:r>
            <w:r>
              <w:rPr>
                <w:spacing w:val="40"/>
                <w:sz w:val="24"/>
                <w:szCs w:val="24"/>
              </w:rPr>
              <w:t xml:space="preserve"> </w:t>
            </w:r>
            <w:r>
              <w:rPr>
                <w:spacing w:val="-9"/>
                <w:sz w:val="24"/>
                <w:szCs w:val="24"/>
              </w:rPr>
              <w:t>制</w:t>
            </w:r>
            <w:r>
              <w:rPr>
                <w:spacing w:val="-10"/>
                <w:sz w:val="24"/>
                <w:szCs w:val="24"/>
              </w:rPr>
              <w:t>砖成品满足产品</w:t>
            </w:r>
            <w:r>
              <w:rPr>
                <w:sz w:val="24"/>
                <w:szCs w:val="24"/>
              </w:rPr>
              <w:t xml:space="preserve"> </w:t>
            </w:r>
            <w:r>
              <w:rPr>
                <w:spacing w:val="-9"/>
                <w:sz w:val="24"/>
                <w:szCs w:val="24"/>
              </w:rPr>
              <w:t>质量要求， 地方砖厂从制砖工艺和消纳能力满足本项目依托要求，</w:t>
            </w:r>
            <w:r>
              <w:rPr>
                <w:spacing w:val="51"/>
                <w:sz w:val="24"/>
                <w:szCs w:val="24"/>
              </w:rPr>
              <w:t xml:space="preserve"> </w:t>
            </w:r>
            <w:r>
              <w:rPr>
                <w:spacing w:val="-9"/>
                <w:sz w:val="24"/>
                <w:szCs w:val="24"/>
              </w:rPr>
              <w:t>该处置方式在川、渝</w:t>
            </w:r>
            <w:r>
              <w:rPr>
                <w:sz w:val="24"/>
                <w:szCs w:val="24"/>
              </w:rPr>
              <w:t xml:space="preserve"> </w:t>
            </w:r>
            <w:r>
              <w:rPr>
                <w:spacing w:val="-10"/>
                <w:sz w:val="24"/>
                <w:szCs w:val="24"/>
              </w:rPr>
              <w:t>地区水基泥浆钻井工程项目中广泛应用，</w:t>
            </w:r>
            <w:r>
              <w:rPr>
                <w:spacing w:val="47"/>
                <w:sz w:val="24"/>
                <w:szCs w:val="24"/>
              </w:rPr>
              <w:t xml:space="preserve"> </w:t>
            </w:r>
            <w:r>
              <w:rPr>
                <w:spacing w:val="-10"/>
                <w:sz w:val="24"/>
                <w:szCs w:val="24"/>
              </w:rPr>
              <w:t>技术成熟可靠</w:t>
            </w:r>
            <w:r>
              <w:rPr>
                <w:spacing w:val="-11"/>
                <w:sz w:val="24"/>
                <w:szCs w:val="24"/>
              </w:rPr>
              <w:t>，</w:t>
            </w:r>
            <w:r>
              <w:rPr>
                <w:spacing w:val="46"/>
                <w:sz w:val="24"/>
                <w:szCs w:val="24"/>
              </w:rPr>
              <w:t xml:space="preserve"> </w:t>
            </w:r>
            <w:r>
              <w:rPr>
                <w:spacing w:val="-11"/>
                <w:sz w:val="24"/>
                <w:szCs w:val="24"/>
              </w:rPr>
              <w:t>措施可行。在加强环境管理的</w:t>
            </w:r>
          </w:p>
          <w:p>
            <w:pPr>
              <w:pStyle w:val="6"/>
              <w:spacing w:line="219" w:lineRule="auto"/>
              <w:ind w:left="109"/>
              <w:rPr>
                <w:sz w:val="24"/>
                <w:szCs w:val="24"/>
              </w:rPr>
            </w:pPr>
            <w:r>
              <w:rPr>
                <w:spacing w:val="-1"/>
                <w:sz w:val="24"/>
                <w:szCs w:val="24"/>
              </w:rPr>
              <w:t>情况下，水基钻井固废外运砖厂处置可行。</w:t>
            </w:r>
          </w:p>
          <w:p>
            <w:pPr>
              <w:pStyle w:val="6"/>
              <w:spacing w:before="195" w:line="217" w:lineRule="auto"/>
              <w:ind w:left="588"/>
              <w:rPr>
                <w:sz w:val="24"/>
                <w:szCs w:val="24"/>
              </w:rPr>
            </w:pPr>
            <w:r>
              <w:rPr>
                <w:spacing w:val="-1"/>
                <w:sz w:val="24"/>
                <w:szCs w:val="24"/>
                <w14:textOutline w14:w="4354" w14:cap="flat" w14:cmpd="sng">
                  <w14:solidFill>
                    <w14:srgbClr w14:val="000000"/>
                  </w14:solidFill>
                  <w14:prstDash w14:val="solid"/>
                  <w14:miter w14:val="10"/>
                </w14:textOutline>
              </w:rPr>
              <w:t>②废包装材料</w:t>
            </w:r>
          </w:p>
          <w:p>
            <w:pPr>
              <w:pStyle w:val="6"/>
              <w:spacing w:before="198" w:line="480" w:lineRule="exact"/>
              <w:ind w:left="589"/>
              <w:rPr>
                <w:sz w:val="24"/>
                <w:szCs w:val="24"/>
              </w:rPr>
            </w:pPr>
            <w:r>
              <w:rPr>
                <w:spacing w:val="-11"/>
                <w:position w:val="18"/>
                <w:sz w:val="24"/>
                <w:szCs w:val="24"/>
              </w:rPr>
              <w:t>本项目原辅材料使用后产生少量的废包装材料，</w:t>
            </w:r>
            <w:r>
              <w:rPr>
                <w:spacing w:val="51"/>
                <w:position w:val="18"/>
                <w:sz w:val="24"/>
                <w:szCs w:val="24"/>
              </w:rPr>
              <w:t xml:space="preserve"> </w:t>
            </w:r>
            <w:r>
              <w:rPr>
                <w:spacing w:val="-11"/>
                <w:position w:val="18"/>
                <w:sz w:val="24"/>
                <w:szCs w:val="24"/>
              </w:rPr>
              <w:t>主要为塑料袋、尼龙包装袋，</w:t>
            </w:r>
            <w:r>
              <w:rPr>
                <w:spacing w:val="48"/>
                <w:position w:val="18"/>
                <w:sz w:val="24"/>
                <w:szCs w:val="24"/>
              </w:rPr>
              <w:t xml:space="preserve"> </w:t>
            </w:r>
            <w:r>
              <w:rPr>
                <w:spacing w:val="-11"/>
                <w:position w:val="18"/>
                <w:sz w:val="24"/>
                <w:szCs w:val="24"/>
              </w:rPr>
              <w:t>经收</w:t>
            </w:r>
          </w:p>
          <w:p>
            <w:pPr>
              <w:pStyle w:val="6"/>
              <w:spacing w:line="219" w:lineRule="auto"/>
              <w:ind w:left="108"/>
              <w:rPr>
                <w:sz w:val="24"/>
                <w:szCs w:val="24"/>
              </w:rPr>
            </w:pPr>
            <w:r>
              <w:rPr>
                <w:spacing w:val="-4"/>
                <w:sz w:val="24"/>
                <w:szCs w:val="24"/>
              </w:rPr>
              <w:t>集后回用或外售废品回收站。</w:t>
            </w:r>
          </w:p>
          <w:p>
            <w:pPr>
              <w:pStyle w:val="6"/>
              <w:spacing w:before="195" w:line="217" w:lineRule="auto"/>
              <w:ind w:left="588"/>
              <w:rPr>
                <w:sz w:val="24"/>
                <w:szCs w:val="24"/>
              </w:rPr>
            </w:pPr>
            <w:r>
              <w:rPr>
                <w:spacing w:val="-1"/>
                <w:sz w:val="24"/>
                <w:szCs w:val="24"/>
                <w14:textOutline w14:w="4354" w14:cap="flat" w14:cmpd="sng">
                  <w14:solidFill>
                    <w14:srgbClr w14:val="000000"/>
                  </w14:solidFill>
                  <w14:prstDash w14:val="solid"/>
                  <w14:miter w14:val="10"/>
                </w14:textOutline>
              </w:rPr>
              <w:t>③废弃设备零件</w:t>
            </w:r>
          </w:p>
        </w:tc>
      </w:tr>
    </w:tbl>
    <w:p>
      <w:pPr>
        <w:pStyle w:val="2"/>
        <w:rPr>
          <w:sz w:val="21"/>
        </w:rPr>
      </w:pPr>
    </w:p>
    <w:p>
      <w:pPr>
        <w:rPr>
          <w:sz w:val="21"/>
          <w:szCs w:val="21"/>
        </w:rPr>
        <w:sectPr>
          <w:footerReference r:id="rId144"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002"/>
        <w:gridCol w:w="3489"/>
        <w:gridCol w:w="3830"/>
        <w:gridCol w:w="839"/>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36"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9282" w:type="dxa"/>
            <w:gridSpan w:val="5"/>
            <w:tcBorders>
              <w:top w:val="single" w:color="000000" w:sz="6" w:space="0"/>
              <w:right w:val="single" w:color="000000" w:sz="6" w:space="0"/>
            </w:tcBorders>
            <w:vAlign w:val="top"/>
          </w:tcPr>
          <w:p>
            <w:pPr>
              <w:pStyle w:val="6"/>
              <w:spacing w:before="182" w:line="480" w:lineRule="exact"/>
              <w:ind w:left="588"/>
              <w:rPr>
                <w:sz w:val="24"/>
                <w:szCs w:val="24"/>
              </w:rPr>
            </w:pPr>
            <w:r>
              <w:rPr>
                <w:spacing w:val="-9"/>
                <w:position w:val="18"/>
                <w:sz w:val="24"/>
                <w:szCs w:val="24"/>
              </w:rPr>
              <w:t>钻井期间， 钻井设备故障时进行设备维修和更换零部件，</w:t>
            </w:r>
            <w:r>
              <w:rPr>
                <w:spacing w:val="42"/>
                <w:position w:val="18"/>
                <w:sz w:val="24"/>
                <w:szCs w:val="24"/>
              </w:rPr>
              <w:t xml:space="preserve"> </w:t>
            </w:r>
            <w:r>
              <w:rPr>
                <w:spacing w:val="-9"/>
                <w:position w:val="18"/>
                <w:sz w:val="24"/>
                <w:szCs w:val="24"/>
              </w:rPr>
              <w:t>更换下来</w:t>
            </w:r>
            <w:r>
              <w:rPr>
                <w:spacing w:val="-10"/>
                <w:position w:val="18"/>
                <w:sz w:val="24"/>
                <w:szCs w:val="24"/>
              </w:rPr>
              <w:t>不可再使用的废</w:t>
            </w:r>
          </w:p>
          <w:p>
            <w:pPr>
              <w:pStyle w:val="6"/>
              <w:spacing w:line="219" w:lineRule="auto"/>
              <w:ind w:left="112"/>
              <w:rPr>
                <w:sz w:val="24"/>
                <w:szCs w:val="24"/>
              </w:rPr>
            </w:pPr>
            <w:r>
              <w:rPr>
                <w:spacing w:val="-3"/>
                <w:sz w:val="24"/>
                <w:szCs w:val="24"/>
              </w:rPr>
              <w:t>弃设备零部件，经收集后外售废品回收站。</w:t>
            </w:r>
          </w:p>
          <w:p>
            <w:pPr>
              <w:pStyle w:val="6"/>
              <w:spacing w:before="194" w:line="480" w:lineRule="exact"/>
              <w:ind w:left="597"/>
              <w:rPr>
                <w:sz w:val="24"/>
                <w:szCs w:val="24"/>
              </w:rPr>
            </w:pPr>
            <w:r>
              <w:rPr>
                <w:spacing w:val="-4"/>
                <w:position w:val="18"/>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position w:val="18"/>
                <w:sz w:val="24"/>
                <w:szCs w:val="24"/>
              </w:rPr>
              <w:t>2</w:t>
            </w:r>
            <w:r>
              <w:rPr>
                <w:spacing w:val="-4"/>
                <w:position w:val="18"/>
                <w:sz w:val="24"/>
                <w:szCs w:val="24"/>
                <w14:textOutline w14:w="4354" w14:cap="flat" w14:cmpd="sng">
                  <w14:solidFill>
                    <w14:srgbClr w14:val="000000"/>
                  </w14:solidFill>
                  <w14:prstDash w14:val="solid"/>
                  <w14:miter w14:val="10"/>
                </w14:textOutline>
              </w:rPr>
              <w:t>）危险废物</w:t>
            </w:r>
          </w:p>
          <w:p>
            <w:pPr>
              <w:pStyle w:val="6"/>
              <w:spacing w:line="217" w:lineRule="auto"/>
              <w:ind w:left="589"/>
              <w:rPr>
                <w:sz w:val="24"/>
                <w:szCs w:val="24"/>
              </w:rPr>
            </w:pPr>
            <w:r>
              <w:rPr>
                <w:spacing w:val="-2"/>
                <w:sz w:val="24"/>
                <w:szCs w:val="24"/>
                <w14:textOutline w14:w="4354" w14:cap="flat" w14:cmpd="sng">
                  <w14:solidFill>
                    <w14:srgbClr w14:val="000000"/>
                  </w14:solidFill>
                  <w14:prstDash w14:val="solid"/>
                  <w14:miter w14:val="10"/>
                </w14:textOutline>
              </w:rPr>
              <w:t>①废油</w:t>
            </w:r>
          </w:p>
          <w:p>
            <w:pPr>
              <w:pStyle w:val="6"/>
              <w:spacing w:before="198" w:line="369" w:lineRule="auto"/>
              <w:ind w:left="110" w:right="68" w:firstLine="478"/>
              <w:jc w:val="both"/>
              <w:rPr>
                <w:sz w:val="24"/>
                <w:szCs w:val="24"/>
              </w:rPr>
            </w:pPr>
            <w:r>
              <w:rPr>
                <w:spacing w:val="-1"/>
                <w:sz w:val="24"/>
                <w:szCs w:val="24"/>
              </w:rPr>
              <w:t>钻井过程中危险废物主要为废油，其主要来源是：机械（泥浆泵、转盘、链条等）</w:t>
            </w:r>
            <w:r>
              <w:rPr>
                <w:spacing w:val="9"/>
                <w:sz w:val="24"/>
                <w:szCs w:val="24"/>
              </w:rPr>
              <w:t xml:space="preserve"> </w:t>
            </w:r>
            <w:r>
              <w:rPr>
                <w:spacing w:val="-9"/>
                <w:sz w:val="24"/>
                <w:szCs w:val="24"/>
              </w:rPr>
              <w:t>润滑废油；</w:t>
            </w:r>
            <w:r>
              <w:rPr>
                <w:spacing w:val="-16"/>
                <w:sz w:val="24"/>
                <w:szCs w:val="24"/>
              </w:rPr>
              <w:t xml:space="preserve"> </w:t>
            </w:r>
            <w:r>
              <w:rPr>
                <w:spacing w:val="-9"/>
                <w:sz w:val="24"/>
                <w:szCs w:val="24"/>
              </w:rPr>
              <w:t>清洗、保养产生的废油，</w:t>
            </w:r>
            <w:r>
              <w:rPr>
                <w:spacing w:val="57"/>
                <w:sz w:val="24"/>
                <w:szCs w:val="24"/>
              </w:rPr>
              <w:t xml:space="preserve"> </w:t>
            </w:r>
            <w:r>
              <w:rPr>
                <w:spacing w:val="-9"/>
                <w:sz w:val="24"/>
                <w:szCs w:val="24"/>
              </w:rPr>
              <w:t>如更换柴油机、发电机零部件和清洗钻具、套管时</w:t>
            </w:r>
          </w:p>
          <w:p>
            <w:pPr>
              <w:pStyle w:val="6"/>
              <w:spacing w:line="219" w:lineRule="auto"/>
              <w:ind w:left="108"/>
              <w:rPr>
                <w:sz w:val="24"/>
                <w:szCs w:val="24"/>
              </w:rPr>
            </w:pPr>
            <w:r>
              <w:rPr>
                <w:spacing w:val="-2"/>
                <w:sz w:val="24"/>
                <w:szCs w:val="24"/>
              </w:rPr>
              <w:t>产生的废油；隔油池、集液池清理收集的废</w:t>
            </w:r>
            <w:r>
              <w:rPr>
                <w:spacing w:val="-3"/>
                <w:sz w:val="24"/>
                <w:szCs w:val="24"/>
              </w:rPr>
              <w:t>油。</w:t>
            </w:r>
          </w:p>
          <w:p>
            <w:pPr>
              <w:pStyle w:val="6"/>
              <w:spacing w:before="195" w:line="481" w:lineRule="exact"/>
              <w:ind w:left="589"/>
              <w:rPr>
                <w:sz w:val="24"/>
                <w:szCs w:val="24"/>
              </w:rPr>
            </w:pPr>
            <w:r>
              <w:rPr>
                <w:spacing w:val="-1"/>
                <w:position w:val="18"/>
                <w:sz w:val="24"/>
                <w:szCs w:val="24"/>
              </w:rPr>
              <w:t>本次钻井工程产生废油量约</w:t>
            </w:r>
            <w:r>
              <w:rPr>
                <w:spacing w:val="-48"/>
                <w:position w:val="18"/>
                <w:sz w:val="24"/>
                <w:szCs w:val="24"/>
              </w:rPr>
              <w:t xml:space="preserve"> </w:t>
            </w:r>
            <w:r>
              <w:rPr>
                <w:rFonts w:ascii="Times New Roman" w:hAnsi="Times New Roman" w:eastAsia="Times New Roman" w:cs="Times New Roman"/>
                <w:spacing w:val="-1"/>
                <w:position w:val="18"/>
                <w:sz w:val="24"/>
                <w:szCs w:val="24"/>
              </w:rPr>
              <w:t>0.5t</w:t>
            </w:r>
            <w:r>
              <w:rPr>
                <w:spacing w:val="-1"/>
                <w:position w:val="18"/>
                <w:sz w:val="24"/>
                <w:szCs w:val="24"/>
              </w:rPr>
              <w:t>，用油桶集中收集暂存于危废暂</w:t>
            </w:r>
            <w:r>
              <w:rPr>
                <w:spacing w:val="-2"/>
                <w:position w:val="18"/>
                <w:sz w:val="24"/>
                <w:szCs w:val="24"/>
              </w:rPr>
              <w:t>存间，委托有资质</w:t>
            </w:r>
          </w:p>
          <w:p>
            <w:pPr>
              <w:pStyle w:val="6"/>
              <w:spacing w:line="220" w:lineRule="auto"/>
              <w:ind w:left="128"/>
              <w:rPr>
                <w:sz w:val="24"/>
                <w:szCs w:val="24"/>
              </w:rPr>
            </w:pPr>
            <w:r>
              <w:rPr>
                <w:spacing w:val="-5"/>
                <w:sz w:val="24"/>
                <w:szCs w:val="24"/>
              </w:rPr>
              <w:t>的危废处置单位清运处置。</w:t>
            </w:r>
          </w:p>
          <w:p>
            <w:pPr>
              <w:pStyle w:val="6"/>
              <w:spacing w:before="194" w:line="217" w:lineRule="auto"/>
              <w:ind w:left="588"/>
              <w:rPr>
                <w:sz w:val="24"/>
                <w:szCs w:val="24"/>
              </w:rPr>
            </w:pPr>
            <w:r>
              <w:rPr>
                <w:sz w:val="24"/>
                <w:szCs w:val="24"/>
                <w14:textOutline w14:w="4354" w14:cap="flat" w14:cmpd="sng">
                  <w14:solidFill>
                    <w14:srgbClr w14:val="000000"/>
                  </w14:solidFill>
                  <w14:prstDash w14:val="solid"/>
                  <w14:miter w14:val="10"/>
                </w14:textOutline>
              </w:rPr>
              <w:t>②废弃的含油抹布及劳保用品</w:t>
            </w:r>
          </w:p>
          <w:p>
            <w:pPr>
              <w:pStyle w:val="6"/>
              <w:spacing w:before="198" w:line="369" w:lineRule="auto"/>
              <w:ind w:left="106" w:right="39" w:firstLine="481"/>
              <w:jc w:val="both"/>
              <w:rPr>
                <w:sz w:val="24"/>
                <w:szCs w:val="24"/>
              </w:rPr>
            </w:pPr>
            <w:r>
              <w:rPr>
                <w:spacing w:val="-14"/>
                <w:sz w:val="24"/>
                <w:szCs w:val="24"/>
              </w:rPr>
              <w:t>钻井期间，</w:t>
            </w:r>
            <w:r>
              <w:rPr>
                <w:spacing w:val="-31"/>
                <w:sz w:val="24"/>
                <w:szCs w:val="24"/>
              </w:rPr>
              <w:t xml:space="preserve"> </w:t>
            </w:r>
            <w:r>
              <w:rPr>
                <w:spacing w:val="-14"/>
                <w:sz w:val="24"/>
                <w:szCs w:val="24"/>
              </w:rPr>
              <w:t>钻井设备维修时， 应在地面设</w:t>
            </w:r>
            <w:r>
              <w:rPr>
                <w:spacing w:val="-15"/>
                <w:sz w:val="24"/>
                <w:szCs w:val="24"/>
              </w:rPr>
              <w:t>防渗漏托盘， 维修全过程应在托盘内进行，</w:t>
            </w:r>
            <w:r>
              <w:rPr>
                <w:sz w:val="24"/>
                <w:szCs w:val="24"/>
              </w:rPr>
              <w:t xml:space="preserve"> </w:t>
            </w:r>
            <w:r>
              <w:rPr>
                <w:spacing w:val="-8"/>
                <w:sz w:val="24"/>
                <w:szCs w:val="24"/>
              </w:rPr>
              <w:t>避免漏油现象，</w:t>
            </w:r>
            <w:r>
              <w:rPr>
                <w:spacing w:val="-33"/>
                <w:sz w:val="24"/>
                <w:szCs w:val="24"/>
              </w:rPr>
              <w:t xml:space="preserve"> </w:t>
            </w:r>
            <w:r>
              <w:rPr>
                <w:spacing w:val="-8"/>
                <w:sz w:val="24"/>
                <w:szCs w:val="24"/>
              </w:rPr>
              <w:t>设备维修过程中产生废弃的含油抹布及劳保用品，</w:t>
            </w:r>
            <w:r>
              <w:rPr>
                <w:spacing w:val="41"/>
                <w:sz w:val="24"/>
                <w:szCs w:val="24"/>
              </w:rPr>
              <w:t xml:space="preserve"> </w:t>
            </w:r>
            <w:r>
              <w:rPr>
                <w:spacing w:val="-8"/>
                <w:sz w:val="24"/>
                <w:szCs w:val="24"/>
              </w:rPr>
              <w:t>经桶装收集后暂存于</w:t>
            </w:r>
          </w:p>
          <w:p>
            <w:pPr>
              <w:pStyle w:val="6"/>
              <w:spacing w:before="1" w:line="219" w:lineRule="auto"/>
              <w:ind w:left="111"/>
              <w:rPr>
                <w:sz w:val="24"/>
                <w:szCs w:val="24"/>
              </w:rPr>
            </w:pPr>
            <w:r>
              <w:rPr>
                <w:spacing w:val="-3"/>
                <w:sz w:val="24"/>
                <w:szCs w:val="24"/>
              </w:rPr>
              <w:t>危废暂存间内，完钻后交由有资质的单位处置。</w:t>
            </w:r>
          </w:p>
          <w:p>
            <w:pPr>
              <w:pStyle w:val="6"/>
              <w:spacing w:before="195" w:line="217" w:lineRule="auto"/>
              <w:ind w:left="588"/>
              <w:rPr>
                <w:sz w:val="24"/>
                <w:szCs w:val="24"/>
              </w:rPr>
            </w:pPr>
            <w:r>
              <w:rPr>
                <w:sz w:val="24"/>
                <w:szCs w:val="24"/>
                <w14:textOutline w14:w="4354" w14:cap="flat" w14:cmpd="sng">
                  <w14:solidFill>
                    <w14:srgbClr w14:val="000000"/>
                  </w14:solidFill>
                  <w14:prstDash w14:val="solid"/>
                  <w14:miter w14:val="10"/>
                </w14:textOutline>
              </w:rPr>
              <w:t>③废弃油基钻井岩屑</w:t>
            </w:r>
          </w:p>
          <w:p>
            <w:pPr>
              <w:pStyle w:val="6"/>
              <w:spacing w:before="198" w:line="369" w:lineRule="auto"/>
              <w:ind w:left="111" w:right="100" w:firstLine="477"/>
              <w:jc w:val="both"/>
              <w:rPr>
                <w:sz w:val="24"/>
                <w:szCs w:val="24"/>
              </w:rPr>
            </w:pPr>
            <w:r>
              <w:rPr>
                <w:spacing w:val="-11"/>
                <w:sz w:val="24"/>
                <w:szCs w:val="24"/>
              </w:rPr>
              <w:t>拟建项目六段钻井采用油基泥浆钻井，</w:t>
            </w:r>
            <w:r>
              <w:rPr>
                <w:spacing w:val="60"/>
                <w:sz w:val="24"/>
                <w:szCs w:val="24"/>
              </w:rPr>
              <w:t xml:space="preserve"> </w:t>
            </w:r>
            <w:r>
              <w:rPr>
                <w:spacing w:val="-11"/>
                <w:sz w:val="24"/>
                <w:szCs w:val="24"/>
              </w:rPr>
              <w:t>油基泥浆全部循环利用，</w:t>
            </w:r>
            <w:r>
              <w:rPr>
                <w:spacing w:val="38"/>
                <w:sz w:val="24"/>
                <w:szCs w:val="24"/>
              </w:rPr>
              <w:t xml:space="preserve"> </w:t>
            </w:r>
            <w:r>
              <w:rPr>
                <w:spacing w:val="-11"/>
                <w:sz w:val="24"/>
                <w:szCs w:val="24"/>
              </w:rPr>
              <w:t>对转换泥浆进行全</w:t>
            </w:r>
            <w:r>
              <w:rPr>
                <w:sz w:val="24"/>
                <w:szCs w:val="24"/>
              </w:rPr>
              <w:t xml:space="preserve"> </w:t>
            </w:r>
            <w:r>
              <w:rPr>
                <w:spacing w:val="-10"/>
                <w:sz w:val="24"/>
                <w:szCs w:val="24"/>
              </w:rPr>
              <w:t>部回收通过泥浆储备站实现重复利用于钻井平台，</w:t>
            </w:r>
            <w:r>
              <w:rPr>
                <w:spacing w:val="41"/>
                <w:sz w:val="24"/>
                <w:szCs w:val="24"/>
              </w:rPr>
              <w:t xml:space="preserve"> </w:t>
            </w:r>
            <w:r>
              <w:rPr>
                <w:spacing w:val="-10"/>
                <w:sz w:val="24"/>
                <w:szCs w:val="24"/>
              </w:rPr>
              <w:t>完钻后油基泥浆储存于储备罐内，</w:t>
            </w:r>
            <w:r>
              <w:rPr>
                <w:spacing w:val="38"/>
                <w:sz w:val="24"/>
                <w:szCs w:val="24"/>
              </w:rPr>
              <w:t xml:space="preserve"> </w:t>
            </w:r>
            <w:r>
              <w:rPr>
                <w:spacing w:val="-10"/>
                <w:sz w:val="24"/>
                <w:szCs w:val="24"/>
              </w:rPr>
              <w:t>及</w:t>
            </w:r>
          </w:p>
          <w:p>
            <w:pPr>
              <w:pStyle w:val="6"/>
              <w:spacing w:before="1" w:line="219" w:lineRule="auto"/>
              <w:ind w:left="119"/>
              <w:rPr>
                <w:sz w:val="24"/>
                <w:szCs w:val="24"/>
              </w:rPr>
            </w:pPr>
            <w:r>
              <w:rPr>
                <w:spacing w:val="-4"/>
                <w:sz w:val="24"/>
                <w:szCs w:val="24"/>
              </w:rPr>
              <w:t>时转运至区块内其他钻井井场利用。</w:t>
            </w:r>
          </w:p>
          <w:p>
            <w:pPr>
              <w:pStyle w:val="6"/>
              <w:spacing w:before="195" w:line="369" w:lineRule="auto"/>
              <w:ind w:left="107" w:right="102" w:firstLine="484"/>
              <w:jc w:val="both"/>
              <w:rPr>
                <w:sz w:val="24"/>
                <w:szCs w:val="24"/>
              </w:rPr>
            </w:pPr>
            <w:r>
              <w:rPr>
                <w:spacing w:val="-4"/>
                <w:sz w:val="24"/>
                <w:szCs w:val="24"/>
              </w:rPr>
              <w:t>油基钻井产生的含油岩屑按照危废进行现场管理（</w:t>
            </w:r>
            <w:r>
              <w:rPr>
                <w:rFonts w:ascii="Times New Roman" w:hAnsi="Times New Roman" w:eastAsia="Times New Roman" w:cs="Times New Roman"/>
                <w:spacing w:val="-4"/>
                <w:sz w:val="24"/>
                <w:szCs w:val="24"/>
              </w:rPr>
              <w:t xml:space="preserve">HW08 </w:t>
            </w:r>
            <w:r>
              <w:rPr>
                <w:spacing w:val="-4"/>
                <w:sz w:val="24"/>
                <w:szCs w:val="24"/>
              </w:rPr>
              <w:t>危险废物</w:t>
            </w:r>
            <w:r>
              <w:rPr>
                <w:spacing w:val="-28"/>
                <w:sz w:val="24"/>
                <w:szCs w:val="24"/>
              </w:rPr>
              <w:t>）</w:t>
            </w:r>
            <w:r>
              <w:rPr>
                <w:spacing w:val="36"/>
                <w:sz w:val="24"/>
                <w:szCs w:val="24"/>
              </w:rPr>
              <w:t xml:space="preserve"> </w:t>
            </w:r>
            <w:r>
              <w:rPr>
                <w:spacing w:val="-28"/>
                <w:sz w:val="24"/>
                <w:szCs w:val="24"/>
              </w:rPr>
              <w:t>，</w:t>
            </w:r>
            <w:r>
              <w:rPr>
                <w:spacing w:val="-4"/>
                <w:sz w:val="24"/>
                <w:szCs w:val="24"/>
              </w:rPr>
              <w:t>在清洁生产</w:t>
            </w:r>
            <w:r>
              <w:rPr>
                <w:sz w:val="24"/>
                <w:szCs w:val="24"/>
              </w:rPr>
              <w:t xml:space="preserve"> </w:t>
            </w:r>
            <w:r>
              <w:rPr>
                <w:spacing w:val="5"/>
                <w:sz w:val="24"/>
                <w:szCs w:val="24"/>
              </w:rPr>
              <w:t>操作平台内由钢体罐盛装临时贮存，分批分次外委交由有</w:t>
            </w:r>
            <w:r>
              <w:rPr>
                <w:spacing w:val="4"/>
                <w:sz w:val="24"/>
                <w:szCs w:val="24"/>
              </w:rPr>
              <w:t>危废处置资质的单位妥善处</w:t>
            </w:r>
          </w:p>
          <w:p>
            <w:pPr>
              <w:pStyle w:val="6"/>
              <w:spacing w:before="1" w:line="220" w:lineRule="auto"/>
              <w:ind w:left="106"/>
              <w:rPr>
                <w:sz w:val="24"/>
                <w:szCs w:val="24"/>
              </w:rPr>
            </w:pPr>
            <w:r>
              <w:rPr>
                <w:spacing w:val="-5"/>
                <w:sz w:val="24"/>
                <w:szCs w:val="24"/>
              </w:rPr>
              <w:t>置，现场无残留。</w:t>
            </w:r>
          </w:p>
          <w:p>
            <w:pPr>
              <w:pStyle w:val="6"/>
              <w:spacing w:before="194" w:line="217" w:lineRule="auto"/>
              <w:ind w:left="588"/>
              <w:rPr>
                <w:sz w:val="24"/>
                <w:szCs w:val="24"/>
              </w:rPr>
            </w:pPr>
            <w:r>
              <w:rPr>
                <w:sz w:val="24"/>
                <w:szCs w:val="24"/>
                <w14:textOutline w14:w="4354" w14:cap="flat" w14:cmpd="sng">
                  <w14:solidFill>
                    <w14:srgbClr w14:val="000000"/>
                  </w14:solidFill>
                  <w14:prstDash w14:val="solid"/>
                  <w14:miter w14:val="10"/>
                </w14:textOutline>
              </w:rPr>
              <w:t>④危险废物暂存及管理措施</w:t>
            </w:r>
          </w:p>
          <w:p>
            <w:pPr>
              <w:pStyle w:val="6"/>
              <w:spacing w:before="197" w:line="220" w:lineRule="auto"/>
              <w:ind w:left="580"/>
              <w:rPr>
                <w:sz w:val="24"/>
                <w:szCs w:val="24"/>
              </w:rPr>
            </w:pPr>
            <w:r>
              <w:rPr>
                <w:rFonts w:ascii="Times New Roman" w:hAnsi="Times New Roman" w:eastAsia="Times New Roman" w:cs="Times New Roman"/>
                <w:spacing w:val="-1"/>
                <w:sz w:val="24"/>
                <w:szCs w:val="24"/>
              </w:rPr>
              <w:t>A.</w:t>
            </w:r>
            <w:r>
              <w:rPr>
                <w:spacing w:val="-1"/>
                <w:sz w:val="24"/>
                <w:szCs w:val="24"/>
              </w:rPr>
              <w:t>危险废物暂存措施</w:t>
            </w:r>
          </w:p>
          <w:p>
            <w:pPr>
              <w:pStyle w:val="6"/>
              <w:spacing w:before="196" w:line="369" w:lineRule="auto"/>
              <w:ind w:left="108" w:right="34" w:firstLine="481"/>
              <w:rPr>
                <w:sz w:val="24"/>
                <w:szCs w:val="24"/>
              </w:rPr>
            </w:pPr>
            <w:r>
              <w:rPr>
                <w:spacing w:val="-5"/>
                <w:sz w:val="24"/>
                <w:szCs w:val="24"/>
              </w:rPr>
              <w:t>现场采用岩屑收集罐收集油基泥浆循环系统产生的油基岩屑， 然后采用叉车运至清</w:t>
            </w:r>
            <w:r>
              <w:rPr>
                <w:spacing w:val="2"/>
                <w:sz w:val="24"/>
                <w:szCs w:val="24"/>
              </w:rPr>
              <w:t xml:space="preserve"> </w:t>
            </w:r>
            <w:r>
              <w:rPr>
                <w:spacing w:val="-1"/>
                <w:sz w:val="24"/>
                <w:szCs w:val="24"/>
              </w:rPr>
              <w:t>洁生产操作平台内的岩屑存放区放置的岩屑罐暂存，</w:t>
            </w:r>
            <w:r>
              <w:rPr>
                <w:spacing w:val="-2"/>
                <w:sz w:val="24"/>
                <w:szCs w:val="24"/>
              </w:rPr>
              <w:t>本工程设置有</w:t>
            </w:r>
            <w:r>
              <w:rPr>
                <w:spacing w:val="-34"/>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8"/>
                <w:w w:val="101"/>
                <w:sz w:val="24"/>
                <w:szCs w:val="24"/>
              </w:rPr>
              <w:t xml:space="preserve"> </w:t>
            </w:r>
            <w:r>
              <w:rPr>
                <w:spacing w:val="-2"/>
                <w:sz w:val="24"/>
                <w:szCs w:val="24"/>
              </w:rPr>
              <w:t>个</w:t>
            </w:r>
            <w:r>
              <w:rPr>
                <w:spacing w:val="-35"/>
                <w:sz w:val="24"/>
                <w:szCs w:val="24"/>
              </w:rPr>
              <w:t xml:space="preserve"> </w:t>
            </w:r>
            <w:r>
              <w:rPr>
                <w:rFonts w:ascii="Times New Roman" w:hAnsi="Times New Roman" w:eastAsia="Times New Roman" w:cs="Times New Roman"/>
                <w:spacing w:val="-2"/>
                <w:sz w:val="24"/>
                <w:szCs w:val="24"/>
              </w:rPr>
              <w:t>40m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31"/>
                <w:w w:val="102"/>
                <w:position w:val="9"/>
                <w:sz w:val="16"/>
                <w:szCs w:val="16"/>
              </w:rPr>
              <w:t xml:space="preserve"> </w:t>
            </w:r>
            <w:r>
              <w:rPr>
                <w:spacing w:val="-2"/>
                <w:sz w:val="24"/>
                <w:szCs w:val="24"/>
              </w:rPr>
              <w:t>的岩屑罐</w:t>
            </w:r>
            <w:r>
              <w:rPr>
                <w:sz w:val="24"/>
                <w:szCs w:val="24"/>
              </w:rPr>
              <w:t xml:space="preserve"> </w:t>
            </w:r>
            <w:r>
              <w:rPr>
                <w:spacing w:val="-7"/>
                <w:sz w:val="24"/>
                <w:szCs w:val="24"/>
              </w:rPr>
              <w:t>（钢体罐</w:t>
            </w:r>
            <w:r>
              <w:rPr>
                <w:spacing w:val="-30"/>
                <w:sz w:val="24"/>
                <w:szCs w:val="24"/>
              </w:rPr>
              <w:t>）</w:t>
            </w:r>
            <w:r>
              <w:rPr>
                <w:spacing w:val="-26"/>
                <w:sz w:val="24"/>
                <w:szCs w:val="24"/>
              </w:rPr>
              <w:t xml:space="preserve"> </w:t>
            </w:r>
            <w:r>
              <w:rPr>
                <w:spacing w:val="-30"/>
                <w:sz w:val="24"/>
                <w:szCs w:val="24"/>
              </w:rPr>
              <w:t>，</w:t>
            </w:r>
            <w:r>
              <w:rPr>
                <w:spacing w:val="-7"/>
                <w:sz w:val="24"/>
                <w:szCs w:val="24"/>
              </w:rPr>
              <w:t>一备一用，贮存周期＜</w:t>
            </w:r>
            <w:r>
              <w:rPr>
                <w:rFonts w:ascii="Times New Roman" w:hAnsi="Times New Roman" w:eastAsia="Times New Roman" w:cs="Times New Roman"/>
                <w:spacing w:val="-7"/>
                <w:sz w:val="24"/>
                <w:szCs w:val="24"/>
              </w:rPr>
              <w:t>2d</w:t>
            </w:r>
            <w:r>
              <w:rPr>
                <w:spacing w:val="-7"/>
                <w:sz w:val="24"/>
                <w:szCs w:val="24"/>
              </w:rPr>
              <w:t>，及时分批分次现场交由资质单位妥善处置清运，</w:t>
            </w:r>
            <w:r>
              <w:rPr>
                <w:sz w:val="24"/>
                <w:szCs w:val="24"/>
              </w:rPr>
              <w:t xml:space="preserve"> </w:t>
            </w:r>
            <w:r>
              <w:rPr>
                <w:spacing w:val="-1"/>
                <w:sz w:val="24"/>
                <w:szCs w:val="24"/>
              </w:rPr>
              <w:t>措施可行。根据《危险废物贮存污染控制标准》（</w:t>
            </w:r>
            <w:r>
              <w:rPr>
                <w:rFonts w:ascii="Times New Roman" w:hAnsi="Times New Roman" w:eastAsia="Times New Roman" w:cs="Times New Roman"/>
                <w:spacing w:val="-1"/>
                <w:sz w:val="24"/>
                <w:szCs w:val="24"/>
              </w:rPr>
              <w:t>GB18597</w:t>
            </w:r>
            <w:r>
              <w:rPr>
                <w:rFonts w:ascii="Times New Roman" w:hAnsi="Times New Roman" w:eastAsia="Times New Roman" w:cs="Times New Roman"/>
                <w:spacing w:val="-2"/>
                <w:sz w:val="24"/>
                <w:szCs w:val="24"/>
              </w:rPr>
              <w:t>-2023</w:t>
            </w:r>
            <w:r>
              <w:rPr>
                <w:spacing w:val="-2"/>
                <w:sz w:val="24"/>
                <w:szCs w:val="24"/>
              </w:rPr>
              <w:t>）中提出的措施要求，</w:t>
            </w:r>
          </w:p>
          <w:p>
            <w:pPr>
              <w:pStyle w:val="6"/>
              <w:spacing w:before="1" w:line="218" w:lineRule="auto"/>
              <w:ind w:left="114"/>
              <w:rPr>
                <w:sz w:val="24"/>
                <w:szCs w:val="24"/>
              </w:rPr>
            </w:pPr>
            <w:r>
              <w:rPr>
                <w:spacing w:val="-2"/>
                <w:sz w:val="24"/>
                <w:szCs w:val="24"/>
              </w:rPr>
              <w:t>结合现阶段本项目岩屑堆放区已采取的防治措施，对照分析其可行性。</w:t>
            </w:r>
          </w:p>
          <w:p>
            <w:pPr>
              <w:pStyle w:val="6"/>
              <w:spacing w:before="195" w:line="217" w:lineRule="auto"/>
              <w:ind w:left="2073"/>
              <w:rPr>
                <w:sz w:val="24"/>
                <w:szCs w:val="24"/>
              </w:rPr>
            </w:pPr>
            <w:r>
              <w:rPr>
                <w:sz w:val="24"/>
                <w:szCs w:val="24"/>
                <w14:textOutline w14:w="4354" w14:cap="flat" w14:cmpd="sng">
                  <w14:solidFill>
                    <w14:srgbClr w14:val="000000"/>
                  </w14:solidFill>
                  <w14:prstDash w14:val="solid"/>
                  <w14:miter w14:val="10"/>
                </w14:textOutline>
              </w:rPr>
              <w:t>表</w:t>
            </w:r>
            <w:r>
              <w:rPr>
                <w:spacing w:val="-50"/>
                <w:sz w:val="24"/>
                <w:szCs w:val="24"/>
              </w:rPr>
              <w:t xml:space="preserve"> </w:t>
            </w:r>
            <w:r>
              <w:rPr>
                <w:rFonts w:ascii="Times New Roman" w:hAnsi="Times New Roman" w:eastAsia="Times New Roman" w:cs="Times New Roman"/>
                <w:b/>
                <w:bCs/>
                <w:sz w:val="24"/>
                <w:szCs w:val="24"/>
              </w:rPr>
              <w:t xml:space="preserve">5.6-3    </w:t>
            </w:r>
            <w:r>
              <w:rPr>
                <w:sz w:val="24"/>
                <w:szCs w:val="24"/>
                <w14:textOutline w14:w="4354" w14:cap="flat" w14:cmpd="sng">
                  <w14:solidFill>
                    <w14:srgbClr w14:val="000000"/>
                  </w14:solidFill>
                  <w14:prstDash w14:val="solid"/>
                  <w14:miter w14:val="10"/>
                </w14:textOutline>
              </w:rPr>
              <w:t>油基岩屑危险废物贮存设施符合</w:t>
            </w:r>
            <w:r>
              <w:rPr>
                <w:spacing w:val="-1"/>
                <w:sz w:val="24"/>
                <w:szCs w:val="24"/>
                <w14:textOutline w14:w="4354" w14:cap="flat" w14:cmpd="sng">
                  <w14:solidFill>
                    <w14:srgbClr w14:val="000000"/>
                  </w14:solidFill>
                  <w14:prstDash w14:val="solid"/>
                  <w14:miter w14:val="10"/>
                </w14:textOutline>
              </w:rPr>
              <w:t>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1002" w:type="dxa"/>
            <w:tcBorders>
              <w:bottom w:val="single" w:color="000000" w:sz="6" w:space="0"/>
              <w:right w:val="nil"/>
            </w:tcBorders>
            <w:vAlign w:val="top"/>
          </w:tcPr>
          <w:p>
            <w:pPr>
              <w:rPr>
                <w:rFonts w:ascii="Arial"/>
                <w:sz w:val="21"/>
              </w:rPr>
            </w:pPr>
            <w:r>
              <w:pict>
                <v:rect id="_x0000_s1558" o:spid="_x0000_s1558" o:spt="1" style="position:absolute;left:0pt;margin-left:5.1pt;margin-top:0.95pt;height:17.05pt;width:0.5pt;mso-position-horizontal-relative:page;mso-position-vertical-relative:page;z-index:252013568;mso-width-relative:page;mso-height-relative:page;" fillcolor="#000000" filled="t" stroked="f" coordsize="21600,21600">
                  <v:path/>
                  <v:fill on="t" focussize="0,0"/>
                  <v:stroke on="f"/>
                  <v:imagedata o:title=""/>
                  <o:lock v:ext="edit"/>
                </v:rect>
              </w:pict>
            </w:r>
          </w:p>
        </w:tc>
        <w:tc>
          <w:tcPr>
            <w:tcW w:w="3489" w:type="dxa"/>
            <w:tcBorders>
              <w:left w:val="nil"/>
              <w:bottom w:val="single" w:color="000000" w:sz="6" w:space="0"/>
            </w:tcBorders>
            <w:vAlign w:val="top"/>
          </w:tcPr>
          <w:p>
            <w:pPr>
              <w:pStyle w:val="6"/>
              <w:spacing w:before="78" w:line="221" w:lineRule="auto"/>
              <w:ind w:left="881"/>
              <w:rPr>
                <w:sz w:val="21"/>
                <w:szCs w:val="21"/>
              </w:rPr>
            </w:pPr>
            <w:r>
              <w:rPr>
                <w:spacing w:val="-1"/>
                <w:sz w:val="21"/>
                <w:szCs w:val="21"/>
                <w14:textOutline w14:w="3831" w14:cap="flat" w14:cmpd="sng">
                  <w14:solidFill>
                    <w14:srgbClr w14:val="000000"/>
                  </w14:solidFill>
                  <w14:prstDash w14:val="solid"/>
                  <w14:miter w14:val="10"/>
                </w14:textOutline>
              </w:rPr>
              <w:t>措施要求</w:t>
            </w:r>
          </w:p>
        </w:tc>
        <w:tc>
          <w:tcPr>
            <w:tcW w:w="3830" w:type="dxa"/>
            <w:tcBorders>
              <w:bottom w:val="single" w:color="000000" w:sz="6" w:space="0"/>
            </w:tcBorders>
            <w:vAlign w:val="top"/>
          </w:tcPr>
          <w:p>
            <w:pPr>
              <w:pStyle w:val="6"/>
              <w:spacing w:before="77" w:line="220" w:lineRule="auto"/>
              <w:ind w:left="1397"/>
              <w:rPr>
                <w:sz w:val="21"/>
                <w:szCs w:val="21"/>
              </w:rPr>
            </w:pPr>
            <w:r>
              <w:rPr>
                <w:spacing w:val="-1"/>
                <w:sz w:val="21"/>
                <w:szCs w:val="21"/>
                <w14:textOutline w14:w="3831" w14:cap="flat" w14:cmpd="sng">
                  <w14:solidFill>
                    <w14:srgbClr w14:val="000000"/>
                  </w14:solidFill>
                  <w14:prstDash w14:val="solid"/>
                  <w14:miter w14:val="10"/>
                </w14:textOutline>
              </w:rPr>
              <w:t>本项目情况</w:t>
            </w:r>
          </w:p>
        </w:tc>
        <w:tc>
          <w:tcPr>
            <w:tcW w:w="839" w:type="dxa"/>
            <w:tcBorders>
              <w:bottom w:val="single" w:color="000000" w:sz="6" w:space="0"/>
              <w:right w:val="single" w:color="000000" w:sz="8" w:space="0"/>
            </w:tcBorders>
            <w:vAlign w:val="top"/>
          </w:tcPr>
          <w:p>
            <w:pPr>
              <w:pStyle w:val="6"/>
              <w:spacing w:before="77" w:line="221" w:lineRule="auto"/>
              <w:ind w:left="115"/>
              <w:rPr>
                <w:sz w:val="21"/>
                <w:szCs w:val="21"/>
              </w:rPr>
            </w:pPr>
            <w:r>
              <w:rPr>
                <w:spacing w:val="-2"/>
                <w:sz w:val="21"/>
                <w:szCs w:val="21"/>
                <w14:textOutline w14:w="3831" w14:cap="flat" w14:cmpd="sng">
                  <w14:solidFill>
                    <w14:srgbClr w14:val="000000"/>
                  </w14:solidFill>
                  <w14:prstDash w14:val="solid"/>
                  <w14:miter w14:val="10"/>
                </w14:textOutline>
              </w:rPr>
              <w:t>符合性</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45"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862"/>
        <w:gridCol w:w="3516"/>
        <w:gridCol w:w="3830"/>
        <w:gridCol w:w="839"/>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578" w:type="dxa"/>
            <w:vMerge w:val="restart"/>
            <w:tcBorders>
              <w:top w:val="single" w:color="000000" w:sz="6" w:space="0"/>
              <w:left w:val="single" w:color="000000" w:sz="6" w:space="0"/>
              <w:bottom w:val="nil"/>
            </w:tcBorders>
            <w:vAlign w:val="top"/>
          </w:tcPr>
          <w:p>
            <w:pPr>
              <w:rPr>
                <w:rFonts w:ascii="Arial"/>
                <w:sz w:val="21"/>
              </w:rPr>
            </w:pPr>
            <w:r>
              <w:pict>
                <v:rect id="_x0000_s1559" o:spid="_x0000_s1559" o:spt="1" style="position:absolute;left:0pt;margin-left:22.75pt;margin-top:0.95pt;height:686.05pt;width:0.5pt;mso-position-horizontal-relative:page;mso-position-vertical-relative:page;z-index:252014592;mso-width-relative:page;mso-height-relative:page;" fillcolor="#000000" filled="t" stroked="f" coordsize="21600,21600">
                  <v:path/>
                  <v:fill on="t" focussize="0,0"/>
                  <v:stroke on="f"/>
                  <v:imagedata o:title=""/>
                  <o:lock v:ext="edit"/>
                </v:rect>
              </w:pict>
            </w:r>
          </w:p>
        </w:tc>
        <w:tc>
          <w:tcPr>
            <w:tcW w:w="862" w:type="dxa"/>
            <w:vMerge w:val="restart"/>
            <w:tcBorders>
              <w:top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8" w:line="230" w:lineRule="auto"/>
              <w:ind w:left="324" w:right="119" w:hanging="209"/>
              <w:rPr>
                <w:sz w:val="21"/>
                <w:szCs w:val="21"/>
              </w:rPr>
            </w:pPr>
            <w:r>
              <w:rPr>
                <w:spacing w:val="-3"/>
                <w:sz w:val="21"/>
                <w:szCs w:val="21"/>
              </w:rPr>
              <w:t>一般要</w:t>
            </w:r>
            <w:r>
              <w:rPr>
                <w:sz w:val="21"/>
                <w:szCs w:val="21"/>
              </w:rPr>
              <w:t xml:space="preserve"> 求</w:t>
            </w:r>
          </w:p>
        </w:tc>
        <w:tc>
          <w:tcPr>
            <w:tcW w:w="3516" w:type="dxa"/>
            <w:tcBorders>
              <w:top w:val="single" w:color="000000" w:sz="6" w:space="0"/>
            </w:tcBorders>
            <w:vAlign w:val="top"/>
          </w:tcPr>
          <w:p>
            <w:pPr>
              <w:spacing w:line="386" w:lineRule="auto"/>
              <w:rPr>
                <w:rFonts w:ascii="Arial"/>
                <w:sz w:val="21"/>
              </w:rPr>
            </w:pPr>
          </w:p>
          <w:p>
            <w:pPr>
              <w:pStyle w:val="6"/>
              <w:spacing w:before="68" w:line="235" w:lineRule="auto"/>
              <w:ind w:left="21" w:firstLine="110"/>
              <w:rPr>
                <w:sz w:val="21"/>
                <w:szCs w:val="21"/>
              </w:rPr>
            </w:pPr>
            <w:r>
              <w:rPr>
                <w:rFonts w:ascii="Times New Roman" w:hAnsi="Times New Roman" w:eastAsia="Times New Roman" w:cs="Times New Roman"/>
                <w:spacing w:val="-3"/>
                <w:sz w:val="21"/>
                <w:szCs w:val="21"/>
              </w:rPr>
              <w:t xml:space="preserve">6.1.1  </w:t>
            </w:r>
            <w:r>
              <w:rPr>
                <w:spacing w:val="-3"/>
                <w:sz w:val="21"/>
                <w:szCs w:val="21"/>
              </w:rPr>
              <w:t>贮存设施应根据危险废物的形</w:t>
            </w:r>
            <w:r>
              <w:rPr>
                <w:spacing w:val="-4"/>
                <w:sz w:val="21"/>
                <w:szCs w:val="21"/>
              </w:rPr>
              <w:t xml:space="preserve">  </w:t>
            </w:r>
            <w:r>
              <w:rPr>
                <w:spacing w:val="-10"/>
                <w:sz w:val="21"/>
                <w:szCs w:val="21"/>
              </w:rPr>
              <w:t xml:space="preserve">态、物理化学性质、包装形式和污染物 迁移途径，采取必要的防风、防晒、防 雨、防漏、防渗、防腐以及其他环境污 </w:t>
            </w:r>
            <w:r>
              <w:rPr>
                <w:spacing w:val="-5"/>
                <w:sz w:val="21"/>
                <w:szCs w:val="21"/>
              </w:rPr>
              <w:t>染防治措施，不应露天堆放危险废物。</w:t>
            </w:r>
          </w:p>
        </w:tc>
        <w:tc>
          <w:tcPr>
            <w:tcW w:w="3830" w:type="dxa"/>
            <w:tcBorders>
              <w:top w:val="single" w:color="000000" w:sz="6" w:space="0"/>
            </w:tcBorders>
            <w:vAlign w:val="top"/>
          </w:tcPr>
          <w:p>
            <w:pPr>
              <w:pStyle w:val="6"/>
              <w:spacing w:before="43" w:line="220" w:lineRule="auto"/>
              <w:ind w:left="31"/>
              <w:rPr>
                <w:sz w:val="21"/>
                <w:szCs w:val="21"/>
              </w:rPr>
            </w:pPr>
            <w:r>
              <w:rPr>
                <w:spacing w:val="-6"/>
                <w:sz w:val="21"/>
                <w:szCs w:val="21"/>
              </w:rPr>
              <w:t>本项目岩屑堆放区位于井场内， 地面重点</w:t>
            </w:r>
          </w:p>
          <w:p>
            <w:pPr>
              <w:pStyle w:val="6"/>
              <w:spacing w:before="23" w:line="220" w:lineRule="auto"/>
              <w:ind w:left="43"/>
              <w:rPr>
                <w:sz w:val="21"/>
                <w:szCs w:val="21"/>
              </w:rPr>
            </w:pPr>
            <w:r>
              <w:rPr>
                <w:spacing w:val="-6"/>
                <w:sz w:val="21"/>
                <w:szCs w:val="21"/>
              </w:rPr>
              <w:t>防渗处理，</w:t>
            </w:r>
            <w:r>
              <w:rPr>
                <w:spacing w:val="-14"/>
                <w:sz w:val="21"/>
                <w:szCs w:val="21"/>
              </w:rPr>
              <w:t xml:space="preserve"> </w:t>
            </w:r>
            <w:r>
              <w:rPr>
                <w:spacing w:val="-6"/>
                <w:sz w:val="21"/>
                <w:szCs w:val="21"/>
              </w:rPr>
              <w:t>采用水泥基渗透结晶型防渗层</w:t>
            </w:r>
          </w:p>
          <w:p>
            <w:pPr>
              <w:pStyle w:val="6"/>
              <w:spacing w:before="20" w:line="221" w:lineRule="auto"/>
              <w:ind w:left="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+30cm </w:t>
            </w:r>
            <w:r>
              <w:rPr>
                <w:spacing w:val="-1"/>
                <w:sz w:val="21"/>
                <w:szCs w:val="21"/>
              </w:rPr>
              <w:t>厚</w:t>
            </w:r>
            <w:r>
              <w:rPr>
                <w:spacing w:val="-50"/>
                <w:sz w:val="21"/>
                <w:szCs w:val="21"/>
              </w:rPr>
              <w:t xml:space="preserve"> </w:t>
            </w:r>
            <w:r>
              <w:rPr>
                <w:rFonts w:ascii="Times New Roman" w:hAnsi="Times New Roman" w:eastAsia="Times New Roman" w:cs="Times New Roman"/>
                <w:spacing w:val="-1"/>
                <w:sz w:val="21"/>
                <w:szCs w:val="21"/>
              </w:rPr>
              <w:t xml:space="preserve">C25 </w:t>
            </w:r>
            <w:r>
              <w:rPr>
                <w:spacing w:val="-1"/>
                <w:sz w:val="21"/>
                <w:szCs w:val="21"/>
              </w:rPr>
              <w:t>钢筋混凝土层</w:t>
            </w:r>
            <w:r>
              <w:rPr>
                <w:rFonts w:ascii="Times New Roman" w:hAnsi="Times New Roman" w:eastAsia="Times New Roman" w:cs="Times New Roman"/>
                <w:spacing w:val="-1"/>
                <w:sz w:val="21"/>
                <w:szCs w:val="21"/>
              </w:rPr>
              <w:t xml:space="preserve">+10cm </w:t>
            </w:r>
            <w:r>
              <w:rPr>
                <w:spacing w:val="-1"/>
                <w:sz w:val="21"/>
                <w:szCs w:val="21"/>
              </w:rPr>
              <w:t>厚</w:t>
            </w:r>
            <w:r>
              <w:rPr>
                <w:spacing w:val="-51"/>
                <w:sz w:val="21"/>
                <w:szCs w:val="21"/>
              </w:rPr>
              <w:t xml:space="preserve"> </w:t>
            </w:r>
            <w:r>
              <w:rPr>
                <w:rFonts w:ascii="Times New Roman" w:hAnsi="Times New Roman" w:eastAsia="Times New Roman" w:cs="Times New Roman"/>
                <w:spacing w:val="-1"/>
                <w:sz w:val="21"/>
                <w:szCs w:val="21"/>
              </w:rPr>
              <w:t>C15</w:t>
            </w:r>
          </w:p>
          <w:p>
            <w:pPr>
              <w:pStyle w:val="6"/>
              <w:spacing w:before="22" w:line="221" w:lineRule="auto"/>
              <w:ind w:left="30"/>
              <w:rPr>
                <w:sz w:val="21"/>
                <w:szCs w:val="21"/>
              </w:rPr>
            </w:pPr>
            <w:r>
              <w:rPr>
                <w:sz w:val="21"/>
                <w:szCs w:val="21"/>
              </w:rPr>
              <w:t>混凝土层</w:t>
            </w:r>
            <w:r>
              <w:rPr>
                <w:rFonts w:ascii="Times New Roman" w:hAnsi="Times New Roman" w:eastAsia="Times New Roman" w:cs="Times New Roman"/>
                <w:sz w:val="21"/>
                <w:szCs w:val="21"/>
              </w:rPr>
              <w:t xml:space="preserve">+10cm </w:t>
            </w:r>
            <w:r>
              <w:rPr>
                <w:sz w:val="21"/>
                <w:szCs w:val="21"/>
              </w:rPr>
              <w:t>厚砂砾（卵）石层，同时</w:t>
            </w:r>
          </w:p>
          <w:p>
            <w:pPr>
              <w:pStyle w:val="6"/>
              <w:spacing w:before="20" w:line="220" w:lineRule="auto"/>
              <w:ind w:left="29"/>
              <w:rPr>
                <w:sz w:val="21"/>
                <w:szCs w:val="21"/>
              </w:rPr>
            </w:pPr>
            <w:r>
              <w:rPr>
                <w:spacing w:val="-1"/>
                <w:sz w:val="21"/>
                <w:szCs w:val="21"/>
              </w:rPr>
              <w:t>在清洁生产操作平台顶上采用彩钢棚，满</w:t>
            </w:r>
          </w:p>
          <w:p>
            <w:pPr>
              <w:pStyle w:val="6"/>
              <w:spacing w:before="23" w:line="221" w:lineRule="auto"/>
              <w:jc w:val="right"/>
              <w:rPr>
                <w:sz w:val="21"/>
                <w:szCs w:val="21"/>
              </w:rPr>
            </w:pPr>
            <w:r>
              <w:rPr>
                <w:spacing w:val="-2"/>
                <w:sz w:val="21"/>
                <w:szCs w:val="21"/>
              </w:rPr>
              <w:t>足（</w:t>
            </w:r>
            <w:r>
              <w:rPr>
                <w:rFonts w:ascii="Times New Roman" w:hAnsi="Times New Roman" w:eastAsia="Times New Roman" w:cs="Times New Roman"/>
                <w:spacing w:val="-2"/>
                <w:sz w:val="21"/>
                <w:szCs w:val="21"/>
              </w:rPr>
              <w:t>GB18597-2023</w:t>
            </w:r>
            <w:r>
              <w:rPr>
                <w:spacing w:val="-2"/>
                <w:sz w:val="21"/>
                <w:szCs w:val="21"/>
              </w:rPr>
              <w:t>）提出的防风、防晒、</w:t>
            </w:r>
          </w:p>
          <w:p>
            <w:pPr>
              <w:pStyle w:val="6"/>
              <w:spacing w:before="19" w:line="221" w:lineRule="auto"/>
              <w:ind w:left="43"/>
              <w:rPr>
                <w:sz w:val="21"/>
                <w:szCs w:val="21"/>
              </w:rPr>
            </w:pPr>
            <w:r>
              <w:rPr>
                <w:spacing w:val="-1"/>
                <w:sz w:val="21"/>
                <w:szCs w:val="21"/>
              </w:rPr>
              <w:t>防雨、防漏、防渗、防腐以及其他环境污</w:t>
            </w:r>
          </w:p>
          <w:p>
            <w:pPr>
              <w:pStyle w:val="6"/>
              <w:spacing w:before="23" w:line="206" w:lineRule="auto"/>
              <w:ind w:left="350"/>
              <w:rPr>
                <w:sz w:val="21"/>
                <w:szCs w:val="21"/>
              </w:rPr>
            </w:pPr>
            <w:r>
              <w:rPr>
                <w:spacing w:val="-1"/>
                <w:sz w:val="21"/>
                <w:szCs w:val="21"/>
              </w:rPr>
              <w:t>染防治措施，未露天堆放危险废物</w:t>
            </w:r>
          </w:p>
        </w:tc>
        <w:tc>
          <w:tcPr>
            <w:tcW w:w="839" w:type="dxa"/>
            <w:tcBorders>
              <w:top w:val="single" w:color="000000" w:sz="6" w:space="0"/>
              <w:right w:val="single" w:color="000000" w:sz="8" w:space="0"/>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8" w:line="221" w:lineRule="auto"/>
              <w:ind w:left="223"/>
              <w:rPr>
                <w:sz w:val="21"/>
                <w:szCs w:val="21"/>
              </w:rPr>
            </w:pPr>
            <w:r>
              <w:rPr>
                <w:spacing w:val="-4"/>
                <w:sz w:val="21"/>
                <w:szCs w:val="21"/>
              </w:rPr>
              <w:t>符合</w:t>
            </w:r>
          </w:p>
        </w:tc>
        <w:tc>
          <w:tcPr>
            <w:tcW w:w="122"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continue"/>
            <w:tcBorders>
              <w:top w:val="nil"/>
              <w:bottom w:val="nil"/>
            </w:tcBorders>
            <w:vAlign w:val="top"/>
          </w:tcPr>
          <w:p>
            <w:pPr>
              <w:rPr>
                <w:rFonts w:ascii="Arial"/>
                <w:sz w:val="21"/>
              </w:rPr>
            </w:pPr>
          </w:p>
        </w:tc>
        <w:tc>
          <w:tcPr>
            <w:tcW w:w="3516" w:type="dxa"/>
            <w:vAlign w:val="top"/>
          </w:tcPr>
          <w:p>
            <w:pPr>
              <w:pStyle w:val="6"/>
              <w:spacing w:before="305" w:line="233" w:lineRule="auto"/>
              <w:ind w:left="25" w:right="18" w:firstLine="108"/>
              <w:rPr>
                <w:sz w:val="21"/>
                <w:szCs w:val="21"/>
              </w:rPr>
            </w:pPr>
            <w:r>
              <w:rPr>
                <w:rFonts w:ascii="Times New Roman" w:hAnsi="Times New Roman" w:eastAsia="Times New Roman" w:cs="Times New Roman"/>
                <w:spacing w:val="-1"/>
                <w:sz w:val="21"/>
                <w:szCs w:val="21"/>
              </w:rPr>
              <w:t xml:space="preserve">6.1.2  </w:t>
            </w:r>
            <w:r>
              <w:rPr>
                <w:spacing w:val="-1"/>
                <w:sz w:val="21"/>
                <w:szCs w:val="21"/>
              </w:rPr>
              <w:t>贮存设施应根据危险废物的类</w:t>
            </w:r>
            <w:r>
              <w:rPr>
                <w:spacing w:val="6"/>
                <w:sz w:val="21"/>
                <w:szCs w:val="21"/>
              </w:rPr>
              <w:t xml:space="preserve">  </w:t>
            </w:r>
            <w:r>
              <w:rPr>
                <w:spacing w:val="-7"/>
                <w:sz w:val="21"/>
                <w:szCs w:val="21"/>
              </w:rPr>
              <w:t>别、数量、形态、物理化学性质和污染</w:t>
            </w:r>
            <w:r>
              <w:rPr>
                <w:spacing w:val="15"/>
                <w:sz w:val="21"/>
                <w:szCs w:val="21"/>
              </w:rPr>
              <w:t xml:space="preserve"> </w:t>
            </w:r>
            <w:r>
              <w:rPr>
                <w:spacing w:val="-7"/>
                <w:sz w:val="21"/>
                <w:szCs w:val="21"/>
              </w:rPr>
              <w:t>防治等要求设置必要的贮存分区，避免</w:t>
            </w:r>
          </w:p>
          <w:p>
            <w:pPr>
              <w:pStyle w:val="6"/>
              <w:spacing w:before="20" w:line="221" w:lineRule="auto"/>
              <w:ind w:left="292"/>
              <w:rPr>
                <w:sz w:val="21"/>
                <w:szCs w:val="21"/>
              </w:rPr>
            </w:pPr>
            <w:r>
              <w:rPr>
                <w:spacing w:val="-3"/>
                <w:sz w:val="21"/>
                <w:szCs w:val="21"/>
              </w:rPr>
              <w:t>不相容的危险废物接触、混合。</w:t>
            </w:r>
          </w:p>
        </w:tc>
        <w:tc>
          <w:tcPr>
            <w:tcW w:w="3830" w:type="dxa"/>
            <w:vAlign w:val="top"/>
          </w:tcPr>
          <w:p>
            <w:pPr>
              <w:pStyle w:val="6"/>
              <w:spacing w:before="29" w:line="234" w:lineRule="auto"/>
              <w:ind w:left="28" w:right="10" w:firstLine="2"/>
              <w:jc w:val="both"/>
              <w:rPr>
                <w:sz w:val="21"/>
                <w:szCs w:val="21"/>
              </w:rPr>
            </w:pPr>
            <w:r>
              <w:rPr>
                <w:spacing w:val="-1"/>
                <w:sz w:val="21"/>
                <w:szCs w:val="21"/>
              </w:rPr>
              <w:t>本项目岩屑堆放区暂存的危险废物主要为</w:t>
            </w:r>
            <w:r>
              <w:rPr>
                <w:spacing w:val="13"/>
                <w:sz w:val="21"/>
                <w:szCs w:val="21"/>
              </w:rPr>
              <w:t xml:space="preserve"> </w:t>
            </w:r>
            <w:r>
              <w:rPr>
                <w:spacing w:val="-6"/>
                <w:sz w:val="21"/>
                <w:szCs w:val="21"/>
              </w:rPr>
              <w:t>油基岩屑； 危废暂存间暂存少量废油及废</w:t>
            </w:r>
            <w:r>
              <w:rPr>
                <w:spacing w:val="6"/>
                <w:sz w:val="21"/>
                <w:szCs w:val="21"/>
              </w:rPr>
              <w:t xml:space="preserve"> </w:t>
            </w:r>
            <w:r>
              <w:rPr>
                <w:spacing w:val="-3"/>
                <w:sz w:val="21"/>
                <w:szCs w:val="21"/>
              </w:rPr>
              <w:t>棉纱</w:t>
            </w:r>
            <w:r>
              <w:rPr>
                <w:rFonts w:ascii="Times New Roman" w:hAnsi="Times New Roman" w:eastAsia="Times New Roman" w:cs="Times New Roman"/>
                <w:spacing w:val="-3"/>
                <w:sz w:val="21"/>
                <w:szCs w:val="21"/>
              </w:rPr>
              <w:t>/</w:t>
            </w:r>
            <w:r>
              <w:rPr>
                <w:spacing w:val="-3"/>
                <w:sz w:val="21"/>
                <w:szCs w:val="21"/>
              </w:rPr>
              <w:t>手套、废油桶等，其中油基岩屑采取</w:t>
            </w:r>
            <w:r>
              <w:rPr>
                <w:spacing w:val="3"/>
                <w:sz w:val="21"/>
                <w:szCs w:val="21"/>
              </w:rPr>
              <w:t xml:space="preserve"> </w:t>
            </w:r>
            <w:r>
              <w:rPr>
                <w:spacing w:val="-5"/>
                <w:sz w:val="21"/>
                <w:szCs w:val="21"/>
              </w:rPr>
              <w:t>包装袋收集，废油采取废油桶收集；</w:t>
            </w:r>
            <w:r>
              <w:rPr>
                <w:spacing w:val="-18"/>
                <w:sz w:val="21"/>
                <w:szCs w:val="21"/>
              </w:rPr>
              <w:t xml:space="preserve"> </w:t>
            </w:r>
            <w:r>
              <w:rPr>
                <w:spacing w:val="-5"/>
                <w:sz w:val="21"/>
                <w:szCs w:val="21"/>
              </w:rPr>
              <w:t>少量</w:t>
            </w:r>
            <w:r>
              <w:rPr>
                <w:sz w:val="21"/>
                <w:szCs w:val="21"/>
              </w:rPr>
              <w:t xml:space="preserve"> </w:t>
            </w:r>
            <w:r>
              <w:rPr>
                <w:spacing w:val="-3"/>
                <w:sz w:val="21"/>
                <w:szCs w:val="21"/>
              </w:rPr>
              <w:t>的废棉纱</w:t>
            </w:r>
            <w:r>
              <w:rPr>
                <w:rFonts w:ascii="Times New Roman" w:hAnsi="Times New Roman" w:eastAsia="Times New Roman" w:cs="Times New Roman"/>
                <w:spacing w:val="-3"/>
                <w:sz w:val="21"/>
                <w:szCs w:val="21"/>
              </w:rPr>
              <w:t>/</w:t>
            </w:r>
            <w:r>
              <w:rPr>
                <w:spacing w:val="-3"/>
                <w:sz w:val="21"/>
                <w:szCs w:val="21"/>
              </w:rPr>
              <w:t>手套等容器收集单独堆放，能确</w:t>
            </w:r>
            <w:r>
              <w:rPr>
                <w:spacing w:val="1"/>
                <w:sz w:val="21"/>
                <w:szCs w:val="21"/>
              </w:rPr>
              <w:t xml:space="preserve"> </w:t>
            </w:r>
            <w:r>
              <w:rPr>
                <w:spacing w:val="6"/>
                <w:sz w:val="21"/>
                <w:szCs w:val="21"/>
              </w:rPr>
              <w:t>保各类危险废物分开储存、避免混合。</w:t>
            </w:r>
          </w:p>
        </w:tc>
        <w:tc>
          <w:tcPr>
            <w:tcW w:w="839" w:type="dxa"/>
            <w:tcBorders>
              <w:right w:val="single" w:color="000000" w:sz="8" w:space="0"/>
            </w:tcBorders>
            <w:vAlign w:val="top"/>
          </w:tcPr>
          <w:p>
            <w:pPr>
              <w:spacing w:line="320" w:lineRule="auto"/>
              <w:rPr>
                <w:rFonts w:ascii="Arial"/>
                <w:sz w:val="21"/>
              </w:rPr>
            </w:pPr>
          </w:p>
          <w:p>
            <w:pPr>
              <w:spacing w:line="320" w:lineRule="auto"/>
              <w:rPr>
                <w:rFonts w:ascii="Arial"/>
                <w:sz w:val="21"/>
              </w:rPr>
            </w:pPr>
          </w:p>
          <w:p>
            <w:pPr>
              <w:pStyle w:val="6"/>
              <w:spacing w:before="68"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continue"/>
            <w:tcBorders>
              <w:top w:val="nil"/>
              <w:bottom w:val="nil"/>
            </w:tcBorders>
            <w:vAlign w:val="top"/>
          </w:tcPr>
          <w:p>
            <w:pPr>
              <w:rPr>
                <w:rFonts w:ascii="Arial"/>
                <w:sz w:val="21"/>
              </w:rPr>
            </w:pPr>
          </w:p>
        </w:tc>
        <w:tc>
          <w:tcPr>
            <w:tcW w:w="3516" w:type="dxa"/>
            <w:vAlign w:val="top"/>
          </w:tcPr>
          <w:p>
            <w:pPr>
              <w:pStyle w:val="6"/>
              <w:spacing w:before="170" w:line="221" w:lineRule="auto"/>
              <w:ind w:left="28"/>
              <w:rPr>
                <w:sz w:val="21"/>
                <w:szCs w:val="21"/>
              </w:rPr>
            </w:pPr>
            <w:r>
              <w:rPr>
                <w:rFonts w:ascii="Times New Roman" w:hAnsi="Times New Roman" w:eastAsia="Times New Roman" w:cs="Times New Roman"/>
                <w:spacing w:val="-1"/>
                <w:sz w:val="21"/>
                <w:szCs w:val="21"/>
              </w:rPr>
              <w:t xml:space="preserve">6.1.3  </w:t>
            </w:r>
            <w:r>
              <w:rPr>
                <w:spacing w:val="-1"/>
                <w:sz w:val="21"/>
                <w:szCs w:val="21"/>
              </w:rPr>
              <w:t>贮存设施或贮存分区内地面、墙</w:t>
            </w:r>
          </w:p>
          <w:p>
            <w:pPr>
              <w:pStyle w:val="6"/>
              <w:spacing w:before="23" w:line="229" w:lineRule="auto"/>
              <w:ind w:left="291" w:right="18" w:hanging="268"/>
              <w:rPr>
                <w:sz w:val="21"/>
                <w:szCs w:val="21"/>
              </w:rPr>
            </w:pPr>
            <w:r>
              <w:rPr>
                <w:spacing w:val="-6"/>
                <w:sz w:val="21"/>
                <w:szCs w:val="21"/>
              </w:rPr>
              <w:t>面裙脚、堵截泄漏的围堰、接触危险用</w:t>
            </w:r>
            <w:r>
              <w:rPr>
                <w:sz w:val="21"/>
                <w:szCs w:val="21"/>
              </w:rPr>
              <w:t xml:space="preserve"> </w:t>
            </w:r>
            <w:r>
              <w:rPr>
                <w:spacing w:val="-2"/>
                <w:sz w:val="21"/>
                <w:szCs w:val="21"/>
              </w:rPr>
              <w:t>坚固的材料建造，表面无裂缝。</w:t>
            </w:r>
          </w:p>
        </w:tc>
        <w:tc>
          <w:tcPr>
            <w:tcW w:w="3830" w:type="dxa"/>
            <w:vAlign w:val="top"/>
          </w:tcPr>
          <w:p>
            <w:pPr>
              <w:pStyle w:val="6"/>
              <w:spacing w:before="33" w:line="221" w:lineRule="auto"/>
              <w:ind w:left="241"/>
              <w:rPr>
                <w:sz w:val="21"/>
                <w:szCs w:val="21"/>
              </w:rPr>
            </w:pPr>
            <w:r>
              <w:rPr>
                <w:spacing w:val="-1"/>
                <w:sz w:val="21"/>
                <w:szCs w:val="21"/>
              </w:rPr>
              <w:t>岩屑堆放区所在清洁操作平台周边设</w:t>
            </w:r>
          </w:p>
          <w:p>
            <w:pPr>
              <w:pStyle w:val="6"/>
              <w:spacing w:before="24" w:line="229" w:lineRule="auto"/>
              <w:ind w:left="33" w:right="10" w:hanging="6"/>
              <w:rPr>
                <w:sz w:val="21"/>
                <w:szCs w:val="21"/>
              </w:rPr>
            </w:pPr>
            <w:r>
              <w:rPr>
                <w:rFonts w:ascii="Times New Roman" w:hAnsi="Times New Roman" w:eastAsia="Times New Roman" w:cs="Times New Roman"/>
                <w:spacing w:val="-4"/>
                <w:sz w:val="21"/>
                <w:szCs w:val="21"/>
              </w:rPr>
              <w:t>0.2m</w:t>
            </w:r>
            <w:r>
              <w:rPr>
                <w:rFonts w:ascii="Times New Roman" w:hAnsi="Times New Roman" w:eastAsia="Times New Roman" w:cs="Times New Roman"/>
                <w:spacing w:val="28"/>
                <w:sz w:val="21"/>
                <w:szCs w:val="21"/>
              </w:rPr>
              <w:t xml:space="preserve"> </w:t>
            </w:r>
            <w:r>
              <w:rPr>
                <w:spacing w:val="-4"/>
                <w:sz w:val="21"/>
                <w:szCs w:val="21"/>
              </w:rPr>
              <w:t>的钢筋混凝土挡墙，同时危废暂存间</w:t>
            </w:r>
            <w:r>
              <w:rPr>
                <w:sz w:val="21"/>
                <w:szCs w:val="21"/>
              </w:rPr>
              <w:t xml:space="preserve"> </w:t>
            </w:r>
            <w:r>
              <w:rPr>
                <w:spacing w:val="-5"/>
                <w:sz w:val="21"/>
                <w:szCs w:val="21"/>
              </w:rPr>
              <w:t>设围堰或托盘；</w:t>
            </w:r>
            <w:r>
              <w:rPr>
                <w:spacing w:val="-22"/>
                <w:sz w:val="21"/>
                <w:szCs w:val="21"/>
              </w:rPr>
              <w:t xml:space="preserve"> </w:t>
            </w:r>
            <w:r>
              <w:rPr>
                <w:spacing w:val="-5"/>
                <w:sz w:val="21"/>
                <w:szCs w:val="21"/>
              </w:rPr>
              <w:t>岩屑堆放区、危废暂存间</w:t>
            </w:r>
          </w:p>
          <w:p>
            <w:pPr>
              <w:pStyle w:val="6"/>
              <w:spacing w:before="23" w:line="202" w:lineRule="auto"/>
              <w:ind w:left="873"/>
              <w:rPr>
                <w:sz w:val="21"/>
                <w:szCs w:val="21"/>
              </w:rPr>
            </w:pPr>
            <w:r>
              <w:rPr>
                <w:spacing w:val="-1"/>
                <w:sz w:val="21"/>
                <w:szCs w:val="21"/>
              </w:rPr>
              <w:t>地面为重点防渗处理。</w:t>
            </w:r>
          </w:p>
        </w:tc>
        <w:tc>
          <w:tcPr>
            <w:tcW w:w="839" w:type="dxa"/>
            <w:tcBorders>
              <w:right w:val="single" w:color="000000" w:sz="8" w:space="0"/>
            </w:tcBorders>
            <w:vAlign w:val="top"/>
          </w:tcPr>
          <w:p>
            <w:pPr>
              <w:spacing w:line="373" w:lineRule="auto"/>
              <w:rPr>
                <w:rFonts w:ascii="Arial"/>
                <w:sz w:val="21"/>
              </w:rPr>
            </w:pPr>
          </w:p>
          <w:p>
            <w:pPr>
              <w:pStyle w:val="6"/>
              <w:spacing w:before="68"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continue"/>
            <w:tcBorders>
              <w:top w:val="nil"/>
              <w:bottom w:val="nil"/>
            </w:tcBorders>
            <w:vAlign w:val="top"/>
          </w:tcPr>
          <w:p>
            <w:pPr>
              <w:rPr>
                <w:rFonts w:ascii="Arial"/>
                <w:sz w:val="21"/>
              </w:rPr>
            </w:pPr>
          </w:p>
        </w:tc>
        <w:tc>
          <w:tcPr>
            <w:tcW w:w="3516" w:type="dxa"/>
            <w:vAlign w:val="top"/>
          </w:tcPr>
          <w:p>
            <w:pPr>
              <w:pStyle w:val="6"/>
              <w:spacing w:before="35" w:line="237" w:lineRule="auto"/>
              <w:ind w:left="21" w:right="18" w:firstLine="6"/>
              <w:jc w:val="both"/>
              <w:rPr>
                <w:sz w:val="21"/>
                <w:szCs w:val="21"/>
              </w:rPr>
            </w:pPr>
            <w:r>
              <w:rPr>
                <w:rFonts w:ascii="Times New Roman" w:hAnsi="Times New Roman" w:eastAsia="Times New Roman" w:cs="Times New Roman"/>
                <w:spacing w:val="-1"/>
                <w:sz w:val="21"/>
                <w:szCs w:val="21"/>
              </w:rPr>
              <w:t xml:space="preserve">6.1.4  </w:t>
            </w:r>
            <w:r>
              <w:rPr>
                <w:spacing w:val="-1"/>
                <w:sz w:val="21"/>
                <w:szCs w:val="21"/>
              </w:rPr>
              <w:t>贮存设施地面与裙脚应采取表面</w:t>
            </w:r>
            <w:r>
              <w:rPr>
                <w:spacing w:val="14"/>
                <w:sz w:val="21"/>
                <w:szCs w:val="21"/>
              </w:rPr>
              <w:t xml:space="preserve"> </w:t>
            </w:r>
            <w:r>
              <w:rPr>
                <w:spacing w:val="-6"/>
                <w:sz w:val="21"/>
                <w:szCs w:val="21"/>
              </w:rPr>
              <w:t>防渗措施；表面防渗材料应与所接触的</w:t>
            </w:r>
            <w:r>
              <w:rPr>
                <w:spacing w:val="1"/>
                <w:sz w:val="21"/>
                <w:szCs w:val="21"/>
              </w:rPr>
              <w:t xml:space="preserve"> </w:t>
            </w:r>
            <w:r>
              <w:rPr>
                <w:spacing w:val="-2"/>
                <w:sz w:val="21"/>
                <w:szCs w:val="21"/>
              </w:rPr>
              <w:t>物料或污染物相容，</w:t>
            </w:r>
            <w:r>
              <w:rPr>
                <w:spacing w:val="-21"/>
                <w:sz w:val="21"/>
                <w:szCs w:val="21"/>
              </w:rPr>
              <w:t xml:space="preserve"> </w:t>
            </w:r>
            <w:r>
              <w:rPr>
                <w:spacing w:val="-2"/>
                <w:sz w:val="21"/>
                <w:szCs w:val="21"/>
              </w:rPr>
              <w:t>可采用抗渗混凝</w:t>
            </w:r>
            <w:r>
              <w:rPr>
                <w:sz w:val="21"/>
                <w:szCs w:val="21"/>
              </w:rPr>
              <w:t xml:space="preserve"> </w:t>
            </w:r>
            <w:r>
              <w:rPr>
                <w:spacing w:val="-6"/>
                <w:sz w:val="21"/>
                <w:szCs w:val="21"/>
              </w:rPr>
              <w:t>土、高密度聚乙烯膜、钠基膨润土防水</w:t>
            </w:r>
            <w:r>
              <w:rPr>
                <w:spacing w:val="1"/>
                <w:sz w:val="21"/>
                <w:szCs w:val="21"/>
              </w:rPr>
              <w:t xml:space="preserve"> </w:t>
            </w:r>
            <w:r>
              <w:rPr>
                <w:spacing w:val="-6"/>
                <w:sz w:val="21"/>
                <w:szCs w:val="21"/>
              </w:rPr>
              <w:t>毯或其他防渗性能等效的材料。贮存的</w:t>
            </w:r>
            <w:r>
              <w:rPr>
                <w:spacing w:val="1"/>
                <w:sz w:val="21"/>
                <w:szCs w:val="21"/>
              </w:rPr>
              <w:t xml:space="preserve"> </w:t>
            </w:r>
            <w:r>
              <w:rPr>
                <w:spacing w:val="-6"/>
                <w:sz w:val="21"/>
                <w:szCs w:val="21"/>
              </w:rPr>
              <w:t>危险废物直接接触地面的，还应进行基</w:t>
            </w:r>
            <w:r>
              <w:rPr>
                <w:spacing w:val="1"/>
                <w:sz w:val="21"/>
                <w:szCs w:val="21"/>
              </w:rPr>
              <w:t xml:space="preserve"> </w:t>
            </w:r>
            <w:r>
              <w:rPr>
                <w:spacing w:val="-8"/>
                <w:sz w:val="21"/>
                <w:szCs w:val="21"/>
              </w:rPr>
              <w:t>础防渗，防渗层为至少</w:t>
            </w:r>
            <w:r>
              <w:rPr>
                <w:spacing w:val="-24"/>
                <w:sz w:val="21"/>
                <w:szCs w:val="21"/>
              </w:rPr>
              <w:t xml:space="preserve"> </w:t>
            </w:r>
            <w:r>
              <w:rPr>
                <w:rFonts w:ascii="Times New Roman" w:hAnsi="Times New Roman" w:eastAsia="Times New Roman" w:cs="Times New Roman"/>
                <w:spacing w:val="-8"/>
                <w:sz w:val="21"/>
                <w:szCs w:val="21"/>
              </w:rPr>
              <w:t xml:space="preserve">1m </w:t>
            </w:r>
            <w:r>
              <w:rPr>
                <w:spacing w:val="-8"/>
                <w:sz w:val="21"/>
                <w:szCs w:val="21"/>
              </w:rPr>
              <w:t>厚黏土层</w:t>
            </w:r>
            <w:r>
              <w:rPr>
                <w:rFonts w:ascii="Times New Roman" w:hAnsi="Times New Roman" w:eastAsia="Times New Roman" w:cs="Times New Roman"/>
                <w:spacing w:val="-8"/>
                <w:sz w:val="21"/>
                <w:szCs w:val="21"/>
              </w:rPr>
              <w:t>(</w:t>
            </w:r>
            <w:r>
              <w:rPr>
                <w:spacing w:val="-8"/>
                <w:sz w:val="21"/>
                <w:szCs w:val="21"/>
              </w:rPr>
              <w:t>渗</w:t>
            </w:r>
            <w:r>
              <w:rPr>
                <w:sz w:val="21"/>
                <w:szCs w:val="21"/>
              </w:rPr>
              <w:t xml:space="preserve"> </w:t>
            </w:r>
            <w:r>
              <w:rPr>
                <w:spacing w:val="-1"/>
                <w:sz w:val="21"/>
                <w:szCs w:val="21"/>
              </w:rPr>
              <w:t>透系数不大于</w:t>
            </w:r>
            <w:r>
              <w:rPr>
                <w:spacing w:val="-10"/>
                <w:sz w:val="21"/>
                <w:szCs w:val="21"/>
              </w:rPr>
              <w:t xml:space="preserve"> </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
                <w:position w:val="6"/>
                <w:sz w:val="13"/>
                <w:szCs w:val="13"/>
              </w:rPr>
              <w:t>-7</w:t>
            </w:r>
            <w:r>
              <w:rPr>
                <w:rFonts w:ascii="Times New Roman" w:hAnsi="Times New Roman" w:eastAsia="Times New Roman" w:cs="Times New Roman"/>
                <w:spacing w:val="-1"/>
                <w:sz w:val="21"/>
                <w:szCs w:val="21"/>
              </w:rPr>
              <w:t>cm/s)</w:t>
            </w:r>
            <w:r>
              <w:rPr>
                <w:spacing w:val="-1"/>
                <w:sz w:val="21"/>
                <w:szCs w:val="21"/>
              </w:rPr>
              <w:t>。或至少</w:t>
            </w:r>
            <w:r>
              <w:rPr>
                <w:spacing w:val="-48"/>
                <w:sz w:val="21"/>
                <w:szCs w:val="21"/>
              </w:rPr>
              <w:t xml:space="preserve"> </w:t>
            </w:r>
            <w:r>
              <w:rPr>
                <w:rFonts w:ascii="Times New Roman" w:hAnsi="Times New Roman" w:eastAsia="Times New Roman" w:cs="Times New Roman"/>
                <w:spacing w:val="-1"/>
                <w:sz w:val="21"/>
                <w:szCs w:val="21"/>
              </w:rPr>
              <w:t>2mm</w:t>
            </w:r>
            <w:r>
              <w:rPr>
                <w:rFonts w:ascii="Times New Roman" w:hAnsi="Times New Roman" w:eastAsia="Times New Roman" w:cs="Times New Roman"/>
                <w:sz w:val="21"/>
                <w:szCs w:val="21"/>
              </w:rPr>
              <w:t xml:space="preserve"> </w:t>
            </w:r>
            <w:r>
              <w:rPr>
                <w:spacing w:val="1"/>
                <w:sz w:val="21"/>
                <w:szCs w:val="21"/>
              </w:rPr>
              <w:t>厚高密度聚乙烯膜等人工防渗材料</w:t>
            </w:r>
            <w:r>
              <w:rPr>
                <w:rFonts w:ascii="Times New Roman" w:hAnsi="Times New Roman" w:eastAsia="Times New Roman" w:cs="Times New Roman"/>
                <w:spacing w:val="1"/>
                <w:sz w:val="21"/>
                <w:szCs w:val="21"/>
              </w:rPr>
              <w:t>(</w:t>
            </w:r>
            <w:r>
              <w:rPr>
                <w:spacing w:val="1"/>
                <w:sz w:val="21"/>
                <w:szCs w:val="21"/>
              </w:rPr>
              <w:t xml:space="preserve">渗 </w:t>
            </w:r>
            <w:r>
              <w:rPr>
                <w:spacing w:val="-1"/>
                <w:sz w:val="21"/>
                <w:szCs w:val="21"/>
              </w:rPr>
              <w:t>透系数不大于</w:t>
            </w:r>
            <w:r>
              <w:rPr>
                <w:spacing w:val="-17"/>
                <w:sz w:val="21"/>
                <w:szCs w:val="21"/>
              </w:rPr>
              <w:t xml:space="preserve"> </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
                <w:position w:val="6"/>
                <w:sz w:val="13"/>
                <w:szCs w:val="13"/>
              </w:rPr>
              <w:t>10</w:t>
            </w:r>
            <w:r>
              <w:rPr>
                <w:rFonts w:ascii="Times New Roman" w:hAnsi="Times New Roman" w:eastAsia="Times New Roman" w:cs="Times New Roman"/>
                <w:spacing w:val="-1"/>
                <w:sz w:val="21"/>
                <w:szCs w:val="21"/>
              </w:rPr>
              <w:t>cm/s)</w:t>
            </w:r>
            <w:r>
              <w:rPr>
                <w:spacing w:val="-1"/>
                <w:sz w:val="21"/>
                <w:szCs w:val="21"/>
              </w:rPr>
              <w:t>。或其他防渗</w:t>
            </w:r>
          </w:p>
          <w:p>
            <w:pPr>
              <w:pStyle w:val="6"/>
              <w:spacing w:before="27" w:line="202" w:lineRule="auto"/>
              <w:ind w:left="922"/>
              <w:rPr>
                <w:sz w:val="21"/>
                <w:szCs w:val="21"/>
              </w:rPr>
            </w:pPr>
            <w:r>
              <w:rPr>
                <w:spacing w:val="-1"/>
                <w:sz w:val="21"/>
                <w:szCs w:val="21"/>
              </w:rPr>
              <w:t>性能等效的材料。</w:t>
            </w:r>
          </w:p>
        </w:tc>
        <w:tc>
          <w:tcPr>
            <w:tcW w:w="3830" w:type="dxa"/>
            <w:vAlign w:val="top"/>
          </w:tcPr>
          <w:p>
            <w:pPr>
              <w:spacing w:line="256" w:lineRule="auto"/>
              <w:rPr>
                <w:rFonts w:ascii="Arial"/>
                <w:sz w:val="21"/>
              </w:rPr>
            </w:pPr>
          </w:p>
          <w:p>
            <w:pPr>
              <w:spacing w:line="256" w:lineRule="auto"/>
              <w:rPr>
                <w:rFonts w:ascii="Arial"/>
                <w:sz w:val="21"/>
              </w:rPr>
            </w:pPr>
          </w:p>
          <w:p>
            <w:pPr>
              <w:pStyle w:val="6"/>
              <w:spacing w:before="68" w:line="236" w:lineRule="auto"/>
              <w:ind w:left="27" w:right="10" w:firstLine="3"/>
              <w:rPr>
                <w:sz w:val="21"/>
                <w:szCs w:val="21"/>
              </w:rPr>
            </w:pPr>
            <w:r>
              <w:rPr>
                <w:spacing w:val="-1"/>
                <w:sz w:val="21"/>
                <w:szCs w:val="21"/>
              </w:rPr>
              <w:t>本项目岩屑堆放区、危废暂存间地面为重</w:t>
            </w:r>
            <w:r>
              <w:rPr>
                <w:spacing w:val="13"/>
                <w:sz w:val="21"/>
                <w:szCs w:val="21"/>
              </w:rPr>
              <w:t xml:space="preserve"> </w:t>
            </w:r>
            <w:r>
              <w:rPr>
                <w:spacing w:val="-6"/>
                <w:sz w:val="21"/>
                <w:szCs w:val="21"/>
              </w:rPr>
              <w:t>点防渗处理，清洁生产操作平台采用</w:t>
            </w:r>
            <w:r>
              <w:rPr>
                <w:spacing w:val="-26"/>
                <w:sz w:val="21"/>
                <w:szCs w:val="21"/>
              </w:rPr>
              <w:t xml:space="preserve"> </w:t>
            </w:r>
            <w:r>
              <w:rPr>
                <w:rFonts w:ascii="Times New Roman" w:hAnsi="Times New Roman" w:eastAsia="Times New Roman" w:cs="Times New Roman"/>
                <w:spacing w:val="-6"/>
                <w:sz w:val="21"/>
                <w:szCs w:val="21"/>
              </w:rPr>
              <w:t>30cm</w:t>
            </w:r>
            <w:r>
              <w:rPr>
                <w:rFonts w:ascii="Times New Roman" w:hAnsi="Times New Roman" w:eastAsia="Times New Roman" w:cs="Times New Roman"/>
                <w:sz w:val="21"/>
                <w:szCs w:val="21"/>
              </w:rPr>
              <w:t xml:space="preserve"> </w:t>
            </w:r>
            <w:r>
              <w:rPr>
                <w:spacing w:val="-3"/>
                <w:sz w:val="21"/>
                <w:szCs w:val="21"/>
              </w:rPr>
              <w:t>厚</w:t>
            </w:r>
            <w:r>
              <w:rPr>
                <w:spacing w:val="-43"/>
                <w:sz w:val="21"/>
                <w:szCs w:val="21"/>
              </w:rPr>
              <w:t xml:space="preserve"> </w:t>
            </w:r>
            <w:r>
              <w:rPr>
                <w:rFonts w:ascii="Times New Roman" w:hAnsi="Times New Roman" w:eastAsia="Times New Roman" w:cs="Times New Roman"/>
                <w:spacing w:val="-3"/>
                <w:sz w:val="21"/>
                <w:szCs w:val="21"/>
              </w:rPr>
              <w:t xml:space="preserve">C25 </w:t>
            </w:r>
            <w:r>
              <w:rPr>
                <w:spacing w:val="-3"/>
                <w:sz w:val="21"/>
                <w:szCs w:val="21"/>
              </w:rPr>
              <w:t>钢筋混凝土层</w:t>
            </w:r>
            <w:r>
              <w:rPr>
                <w:rFonts w:ascii="Times New Roman" w:hAnsi="Times New Roman" w:eastAsia="Times New Roman" w:cs="Times New Roman"/>
                <w:spacing w:val="-3"/>
                <w:sz w:val="21"/>
                <w:szCs w:val="21"/>
              </w:rPr>
              <w:t xml:space="preserve">+10cm </w:t>
            </w:r>
            <w:r>
              <w:rPr>
                <w:spacing w:val="-3"/>
                <w:sz w:val="21"/>
                <w:szCs w:val="21"/>
              </w:rPr>
              <w:t>厚</w:t>
            </w:r>
            <w:r>
              <w:rPr>
                <w:spacing w:val="-59"/>
                <w:sz w:val="21"/>
                <w:szCs w:val="21"/>
              </w:rPr>
              <w:t xml:space="preserve"> </w:t>
            </w:r>
            <w:r>
              <w:rPr>
                <w:rFonts w:ascii="Times New Roman" w:hAnsi="Times New Roman" w:eastAsia="Times New Roman" w:cs="Times New Roman"/>
                <w:spacing w:val="-3"/>
                <w:sz w:val="21"/>
                <w:szCs w:val="21"/>
              </w:rPr>
              <w:t xml:space="preserve">C15 </w:t>
            </w:r>
            <w:r>
              <w:rPr>
                <w:spacing w:val="-3"/>
                <w:sz w:val="21"/>
                <w:szCs w:val="21"/>
              </w:rPr>
              <w:t>混凝土</w:t>
            </w:r>
            <w:r>
              <w:rPr>
                <w:sz w:val="21"/>
                <w:szCs w:val="21"/>
              </w:rPr>
              <w:t xml:space="preserve"> </w:t>
            </w:r>
            <w:r>
              <w:rPr>
                <w:spacing w:val="-1"/>
                <w:sz w:val="21"/>
                <w:szCs w:val="21"/>
              </w:rPr>
              <w:t>层</w:t>
            </w:r>
            <w:r>
              <w:rPr>
                <w:rFonts w:ascii="Times New Roman" w:hAnsi="Times New Roman" w:eastAsia="Times New Roman" w:cs="Times New Roman"/>
                <w:spacing w:val="-1"/>
                <w:sz w:val="21"/>
                <w:szCs w:val="21"/>
              </w:rPr>
              <w:t xml:space="preserve">+10cm </w:t>
            </w:r>
            <w:r>
              <w:rPr>
                <w:spacing w:val="-1"/>
                <w:sz w:val="21"/>
                <w:szCs w:val="21"/>
              </w:rPr>
              <w:t>厚砂砾（卵）石层；岩屑堆放区</w:t>
            </w:r>
            <w:r>
              <w:rPr>
                <w:spacing w:val="17"/>
                <w:sz w:val="21"/>
                <w:szCs w:val="21"/>
              </w:rPr>
              <w:t xml:space="preserve"> </w:t>
            </w:r>
            <w:r>
              <w:rPr>
                <w:spacing w:val="5"/>
                <w:sz w:val="21"/>
                <w:szCs w:val="21"/>
              </w:rPr>
              <w:t>采用水泥基渗透结晶型防渗层</w:t>
            </w:r>
            <w:r>
              <w:rPr>
                <w:rFonts w:ascii="Times New Roman" w:hAnsi="Times New Roman" w:eastAsia="Times New Roman" w:cs="Times New Roman"/>
                <w:spacing w:val="5"/>
                <w:sz w:val="21"/>
                <w:szCs w:val="21"/>
              </w:rPr>
              <w:t>+30</w:t>
            </w:r>
            <w:r>
              <w:rPr>
                <w:rFonts w:ascii="Times New Roman" w:hAnsi="Times New Roman" w:eastAsia="Times New Roman" w:cs="Times New Roman"/>
                <w:sz w:val="21"/>
                <w:szCs w:val="21"/>
              </w:rPr>
              <w:t>cm</w:t>
            </w:r>
            <w:r>
              <w:rPr>
                <w:rFonts w:ascii="Times New Roman" w:hAnsi="Times New Roman" w:eastAsia="Times New Roman" w:cs="Times New Roman"/>
                <w:spacing w:val="5"/>
                <w:sz w:val="21"/>
                <w:szCs w:val="21"/>
              </w:rPr>
              <w:t xml:space="preserve"> </w:t>
            </w:r>
            <w:r>
              <w:rPr>
                <w:spacing w:val="5"/>
                <w:sz w:val="21"/>
                <w:szCs w:val="21"/>
              </w:rPr>
              <w:t xml:space="preserve">厚  </w:t>
            </w:r>
            <w:r>
              <w:rPr>
                <w:rFonts w:ascii="Times New Roman" w:hAnsi="Times New Roman" w:eastAsia="Times New Roman" w:cs="Times New Roman"/>
                <w:spacing w:val="-1"/>
                <w:sz w:val="21"/>
                <w:szCs w:val="21"/>
              </w:rPr>
              <w:t xml:space="preserve">C25 </w:t>
            </w:r>
            <w:r>
              <w:rPr>
                <w:spacing w:val="-1"/>
                <w:sz w:val="21"/>
                <w:szCs w:val="21"/>
              </w:rPr>
              <w:t>钢筋混凝土层</w:t>
            </w:r>
            <w:r>
              <w:rPr>
                <w:rFonts w:ascii="Times New Roman" w:hAnsi="Times New Roman" w:eastAsia="Times New Roman" w:cs="Times New Roman"/>
                <w:spacing w:val="-1"/>
                <w:sz w:val="21"/>
                <w:szCs w:val="21"/>
              </w:rPr>
              <w:t xml:space="preserve">+10cm </w:t>
            </w:r>
            <w:r>
              <w:rPr>
                <w:spacing w:val="-1"/>
                <w:sz w:val="21"/>
                <w:szCs w:val="21"/>
              </w:rPr>
              <w:t>厚</w:t>
            </w:r>
            <w:r>
              <w:rPr>
                <w:spacing w:val="-48"/>
                <w:sz w:val="21"/>
                <w:szCs w:val="21"/>
              </w:rPr>
              <w:t xml:space="preserve"> </w:t>
            </w:r>
            <w:r>
              <w:rPr>
                <w:rFonts w:ascii="Times New Roman" w:hAnsi="Times New Roman" w:eastAsia="Times New Roman" w:cs="Times New Roman"/>
                <w:spacing w:val="-1"/>
                <w:sz w:val="21"/>
                <w:szCs w:val="21"/>
              </w:rPr>
              <w:t xml:space="preserve">C15 </w:t>
            </w:r>
            <w:r>
              <w:rPr>
                <w:spacing w:val="-1"/>
                <w:sz w:val="21"/>
                <w:szCs w:val="21"/>
              </w:rPr>
              <w:t>混凝土层</w:t>
            </w:r>
          </w:p>
          <w:p>
            <w:pPr>
              <w:pStyle w:val="6"/>
              <w:spacing w:before="19" w:line="221" w:lineRule="auto"/>
              <w:ind w:left="652"/>
              <w:rPr>
                <w:sz w:val="21"/>
                <w:szCs w:val="21"/>
              </w:rPr>
            </w:pPr>
            <w:r>
              <w:rPr>
                <w:rFonts w:ascii="Times New Roman" w:hAnsi="Times New Roman" w:eastAsia="Times New Roman" w:cs="Times New Roman"/>
                <w:spacing w:val="-6"/>
                <w:sz w:val="21"/>
                <w:szCs w:val="21"/>
              </w:rPr>
              <w:t xml:space="preserve">+10cm </w:t>
            </w:r>
            <w:r>
              <w:rPr>
                <w:spacing w:val="-6"/>
                <w:sz w:val="21"/>
                <w:szCs w:val="21"/>
              </w:rPr>
              <w:t>厚砂砾（卵）</w:t>
            </w:r>
            <w:r>
              <w:rPr>
                <w:spacing w:val="-17"/>
                <w:sz w:val="21"/>
                <w:szCs w:val="21"/>
              </w:rPr>
              <w:t xml:space="preserve"> </w:t>
            </w:r>
            <w:r>
              <w:rPr>
                <w:spacing w:val="-6"/>
                <w:sz w:val="21"/>
                <w:szCs w:val="21"/>
              </w:rPr>
              <w:t>石层。</w:t>
            </w:r>
          </w:p>
        </w:tc>
        <w:tc>
          <w:tcPr>
            <w:tcW w:w="839" w:type="dxa"/>
            <w:tcBorders>
              <w:right w:val="single" w:color="000000" w:sz="8"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9"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continue"/>
            <w:tcBorders>
              <w:top w:val="nil"/>
              <w:bottom w:val="nil"/>
            </w:tcBorders>
            <w:vAlign w:val="top"/>
          </w:tcPr>
          <w:p>
            <w:pPr>
              <w:rPr>
                <w:rFonts w:ascii="Arial"/>
                <w:sz w:val="21"/>
              </w:rPr>
            </w:pPr>
          </w:p>
        </w:tc>
        <w:tc>
          <w:tcPr>
            <w:tcW w:w="3516" w:type="dxa"/>
            <w:vAlign w:val="top"/>
          </w:tcPr>
          <w:p>
            <w:pPr>
              <w:pStyle w:val="6"/>
              <w:spacing w:before="36" w:line="236" w:lineRule="auto"/>
              <w:ind w:left="22" w:right="18" w:firstLine="111"/>
              <w:rPr>
                <w:sz w:val="21"/>
                <w:szCs w:val="21"/>
              </w:rPr>
            </w:pPr>
            <w:r>
              <w:rPr>
                <w:rFonts w:ascii="Times New Roman" w:hAnsi="Times New Roman" w:eastAsia="Times New Roman" w:cs="Times New Roman"/>
                <w:spacing w:val="-2"/>
                <w:sz w:val="21"/>
                <w:szCs w:val="21"/>
              </w:rPr>
              <w:t>6.1.5</w:t>
            </w:r>
            <w:r>
              <w:rPr>
                <w:rFonts w:ascii="Times New Roman" w:hAnsi="Times New Roman" w:eastAsia="Times New Roman" w:cs="Times New Roman"/>
                <w:spacing w:val="14"/>
                <w:sz w:val="21"/>
                <w:szCs w:val="21"/>
              </w:rPr>
              <w:t xml:space="preserve">  </w:t>
            </w:r>
            <w:r>
              <w:rPr>
                <w:spacing w:val="-2"/>
                <w:sz w:val="21"/>
                <w:szCs w:val="21"/>
              </w:rPr>
              <w:t>同一贮存设施宜采用相同的防</w:t>
            </w:r>
            <w:r>
              <w:rPr>
                <w:sz w:val="21"/>
                <w:szCs w:val="21"/>
              </w:rPr>
              <w:t xml:space="preserve">  </w:t>
            </w:r>
            <w:r>
              <w:rPr>
                <w:spacing w:val="1"/>
                <w:sz w:val="21"/>
                <w:szCs w:val="21"/>
              </w:rPr>
              <w:t>渗、防腐工艺</w:t>
            </w:r>
            <w:r>
              <w:rPr>
                <w:rFonts w:ascii="Times New Roman" w:hAnsi="Times New Roman" w:eastAsia="Times New Roman" w:cs="Times New Roman"/>
                <w:spacing w:val="1"/>
                <w:sz w:val="21"/>
                <w:szCs w:val="21"/>
              </w:rPr>
              <w:t>(</w:t>
            </w:r>
            <w:r>
              <w:rPr>
                <w:spacing w:val="1"/>
                <w:sz w:val="21"/>
                <w:szCs w:val="21"/>
              </w:rPr>
              <w:t>包括防渗、防腐结构或</w:t>
            </w:r>
            <w:r>
              <w:rPr>
                <w:sz w:val="21"/>
                <w:szCs w:val="21"/>
              </w:rPr>
              <w:t xml:space="preserve"> </w:t>
            </w:r>
            <w:r>
              <w:rPr>
                <w:spacing w:val="-4"/>
                <w:sz w:val="21"/>
                <w:szCs w:val="21"/>
              </w:rPr>
              <w:t>材料</w:t>
            </w:r>
            <w:r>
              <w:rPr>
                <w:spacing w:val="-21"/>
                <w:sz w:val="21"/>
                <w:szCs w:val="21"/>
              </w:rPr>
              <w:t>），</w:t>
            </w:r>
            <w:r>
              <w:rPr>
                <w:spacing w:val="-4"/>
                <w:sz w:val="21"/>
                <w:szCs w:val="21"/>
              </w:rPr>
              <w:t>防渗、防腐材料应覆盖所有可</w:t>
            </w:r>
            <w:r>
              <w:rPr>
                <w:sz w:val="21"/>
                <w:szCs w:val="21"/>
              </w:rPr>
              <w:t xml:space="preserve"> </w:t>
            </w:r>
            <w:r>
              <w:rPr>
                <w:spacing w:val="-6"/>
                <w:sz w:val="21"/>
                <w:szCs w:val="21"/>
              </w:rPr>
              <w:t>能与废物及其渗滤液、渗漏液等接触的</w:t>
            </w:r>
            <w:r>
              <w:rPr>
                <w:sz w:val="21"/>
                <w:szCs w:val="21"/>
              </w:rPr>
              <w:t xml:space="preserve"> </w:t>
            </w:r>
            <w:r>
              <w:rPr>
                <w:spacing w:val="-6"/>
                <w:sz w:val="21"/>
                <w:szCs w:val="21"/>
              </w:rPr>
              <w:t>构筑物表面采用不同防渗、防腐工艺应</w:t>
            </w:r>
          </w:p>
          <w:p>
            <w:pPr>
              <w:pStyle w:val="6"/>
              <w:spacing w:before="21" w:line="200" w:lineRule="auto"/>
              <w:ind w:left="817"/>
              <w:rPr>
                <w:sz w:val="21"/>
                <w:szCs w:val="21"/>
              </w:rPr>
            </w:pPr>
            <w:r>
              <w:rPr>
                <w:spacing w:val="-3"/>
                <w:sz w:val="21"/>
                <w:szCs w:val="21"/>
              </w:rPr>
              <w:t>分别建设贮存分区。</w:t>
            </w:r>
          </w:p>
        </w:tc>
        <w:tc>
          <w:tcPr>
            <w:tcW w:w="3830" w:type="dxa"/>
            <w:vAlign w:val="top"/>
          </w:tcPr>
          <w:p>
            <w:pPr>
              <w:spacing w:line="256" w:lineRule="auto"/>
              <w:rPr>
                <w:rFonts w:ascii="Arial"/>
                <w:sz w:val="21"/>
              </w:rPr>
            </w:pPr>
          </w:p>
          <w:p>
            <w:pPr>
              <w:spacing w:line="257" w:lineRule="auto"/>
              <w:rPr>
                <w:rFonts w:ascii="Arial"/>
                <w:sz w:val="21"/>
              </w:rPr>
            </w:pPr>
          </w:p>
          <w:p>
            <w:pPr>
              <w:pStyle w:val="6"/>
              <w:spacing w:before="68" w:line="229" w:lineRule="auto"/>
              <w:ind w:left="1089" w:right="17" w:hanging="1058"/>
              <w:rPr>
                <w:sz w:val="21"/>
                <w:szCs w:val="21"/>
              </w:rPr>
            </w:pPr>
            <w:r>
              <w:rPr>
                <w:spacing w:val="-1"/>
                <w:sz w:val="21"/>
                <w:szCs w:val="21"/>
              </w:rPr>
              <w:t>本项目岩屑堆放区、危废暂存间地面采取</w:t>
            </w:r>
            <w:r>
              <w:rPr>
                <w:spacing w:val="13"/>
                <w:sz w:val="21"/>
                <w:szCs w:val="21"/>
              </w:rPr>
              <w:t xml:space="preserve"> </w:t>
            </w:r>
            <w:r>
              <w:rPr>
                <w:spacing w:val="-2"/>
                <w:sz w:val="21"/>
                <w:szCs w:val="21"/>
              </w:rPr>
              <w:t>聚乙烯丙纶防渗。</w:t>
            </w:r>
          </w:p>
        </w:tc>
        <w:tc>
          <w:tcPr>
            <w:tcW w:w="839" w:type="dxa"/>
            <w:tcBorders>
              <w:right w:val="single" w:color="000000" w:sz="8" w:space="0"/>
            </w:tcBorders>
            <w:vAlign w:val="top"/>
          </w:tcPr>
          <w:p>
            <w:pPr>
              <w:spacing w:line="324" w:lineRule="auto"/>
              <w:rPr>
                <w:rFonts w:ascii="Arial"/>
                <w:sz w:val="21"/>
              </w:rPr>
            </w:pPr>
          </w:p>
          <w:p>
            <w:pPr>
              <w:spacing w:line="324" w:lineRule="auto"/>
              <w:rPr>
                <w:rFonts w:ascii="Arial"/>
                <w:sz w:val="21"/>
              </w:rPr>
            </w:pPr>
          </w:p>
          <w:p>
            <w:pPr>
              <w:pStyle w:val="6"/>
              <w:spacing w:before="68"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continue"/>
            <w:tcBorders>
              <w:top w:val="nil"/>
            </w:tcBorders>
            <w:vAlign w:val="top"/>
          </w:tcPr>
          <w:p>
            <w:pPr>
              <w:rPr>
                <w:rFonts w:ascii="Arial"/>
                <w:sz w:val="21"/>
              </w:rPr>
            </w:pPr>
          </w:p>
        </w:tc>
        <w:tc>
          <w:tcPr>
            <w:tcW w:w="3516" w:type="dxa"/>
            <w:vAlign w:val="top"/>
          </w:tcPr>
          <w:p>
            <w:pPr>
              <w:pStyle w:val="6"/>
              <w:spacing w:before="40" w:line="219" w:lineRule="auto"/>
              <w:ind w:left="827" w:right="23" w:hanging="799"/>
              <w:rPr>
                <w:sz w:val="21"/>
                <w:szCs w:val="21"/>
              </w:rPr>
            </w:pPr>
            <w:r>
              <w:rPr>
                <w:rFonts w:ascii="Times New Roman" w:hAnsi="Times New Roman" w:eastAsia="Times New Roman" w:cs="Times New Roman"/>
                <w:spacing w:val="-1"/>
                <w:sz w:val="21"/>
                <w:szCs w:val="21"/>
              </w:rPr>
              <w:t xml:space="preserve">6.1.6  </w:t>
            </w:r>
            <w:r>
              <w:rPr>
                <w:spacing w:val="-1"/>
                <w:sz w:val="21"/>
                <w:szCs w:val="21"/>
              </w:rPr>
              <w:t>贮存设施应采取技术和管理措施</w:t>
            </w:r>
            <w:r>
              <w:rPr>
                <w:spacing w:val="14"/>
                <w:sz w:val="21"/>
                <w:szCs w:val="21"/>
              </w:rPr>
              <w:t xml:space="preserve"> </w:t>
            </w:r>
            <w:r>
              <w:rPr>
                <w:spacing w:val="-4"/>
                <w:sz w:val="21"/>
                <w:szCs w:val="21"/>
              </w:rPr>
              <w:t>防止无关人员进入。</w:t>
            </w:r>
          </w:p>
        </w:tc>
        <w:tc>
          <w:tcPr>
            <w:tcW w:w="3830" w:type="dxa"/>
            <w:vAlign w:val="top"/>
          </w:tcPr>
          <w:p>
            <w:pPr>
              <w:pStyle w:val="6"/>
              <w:spacing w:before="40" w:line="219" w:lineRule="auto"/>
              <w:ind w:left="666" w:right="17" w:hanging="636"/>
              <w:rPr>
                <w:sz w:val="21"/>
                <w:szCs w:val="21"/>
              </w:rPr>
            </w:pPr>
            <w:r>
              <w:rPr>
                <w:spacing w:val="-1"/>
                <w:sz w:val="21"/>
                <w:szCs w:val="21"/>
              </w:rPr>
              <w:t>岩屑堆放区、危废暂存间位于井站内封闭</w:t>
            </w:r>
            <w:r>
              <w:rPr>
                <w:spacing w:val="14"/>
                <w:sz w:val="21"/>
                <w:szCs w:val="21"/>
              </w:rPr>
              <w:t xml:space="preserve"> </w:t>
            </w:r>
            <w:r>
              <w:rPr>
                <w:spacing w:val="-9"/>
                <w:sz w:val="21"/>
                <w:szCs w:val="21"/>
              </w:rPr>
              <w:t>管理， 确保了无关人员进入</w:t>
            </w:r>
          </w:p>
        </w:tc>
        <w:tc>
          <w:tcPr>
            <w:tcW w:w="839" w:type="dxa"/>
            <w:tcBorders>
              <w:right w:val="single" w:color="000000" w:sz="8" w:space="0"/>
            </w:tcBorders>
            <w:vAlign w:val="top"/>
          </w:tcPr>
          <w:p>
            <w:pPr>
              <w:pStyle w:val="6"/>
              <w:spacing w:before="176"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112"/>
              <w:rPr>
                <w:sz w:val="21"/>
                <w:szCs w:val="21"/>
              </w:rPr>
            </w:pPr>
            <w:r>
              <w:rPr>
                <w:spacing w:val="-2"/>
                <w:sz w:val="21"/>
                <w:szCs w:val="21"/>
              </w:rPr>
              <w:t>贮存场</w:t>
            </w:r>
          </w:p>
          <w:p>
            <w:pPr>
              <w:pStyle w:val="6"/>
              <w:spacing w:before="22" w:line="222" w:lineRule="auto"/>
              <w:ind w:left="218"/>
              <w:rPr>
                <w:sz w:val="21"/>
                <w:szCs w:val="21"/>
              </w:rPr>
            </w:pPr>
            <w:r>
              <w:rPr>
                <w:spacing w:val="-2"/>
                <w:sz w:val="21"/>
                <w:szCs w:val="21"/>
              </w:rPr>
              <w:t>要求</w:t>
            </w:r>
          </w:p>
        </w:tc>
        <w:tc>
          <w:tcPr>
            <w:tcW w:w="3516" w:type="dxa"/>
            <w:vAlign w:val="top"/>
          </w:tcPr>
          <w:p>
            <w:pPr>
              <w:pStyle w:val="6"/>
              <w:spacing w:before="177" w:line="234" w:lineRule="auto"/>
              <w:ind w:left="22" w:firstLine="5"/>
              <w:jc w:val="both"/>
              <w:rPr>
                <w:sz w:val="21"/>
                <w:szCs w:val="21"/>
              </w:rPr>
            </w:pPr>
            <w:r>
              <w:rPr>
                <w:rFonts w:ascii="Times New Roman" w:hAnsi="Times New Roman" w:eastAsia="Times New Roman" w:cs="Times New Roman"/>
                <w:spacing w:val="-3"/>
                <w:sz w:val="21"/>
                <w:szCs w:val="21"/>
              </w:rPr>
              <w:t xml:space="preserve">6.3.1  </w:t>
            </w:r>
            <w:r>
              <w:rPr>
                <w:spacing w:val="-3"/>
                <w:sz w:val="21"/>
                <w:szCs w:val="21"/>
              </w:rPr>
              <w:t>贮存场应设置径流疏导系统</w:t>
            </w:r>
            <w:r>
              <w:rPr>
                <w:spacing w:val="-4"/>
                <w:sz w:val="21"/>
                <w:szCs w:val="21"/>
              </w:rPr>
              <w:t xml:space="preserve">，保 </w:t>
            </w:r>
            <w:r>
              <w:rPr>
                <w:spacing w:val="1"/>
                <w:sz w:val="21"/>
                <w:szCs w:val="21"/>
              </w:rPr>
              <w:t xml:space="preserve">证能防止当地重现期不小于 </w:t>
            </w:r>
            <w:r>
              <w:rPr>
                <w:rFonts w:ascii="Times New Roman" w:hAnsi="Times New Roman" w:eastAsia="Times New Roman" w:cs="Times New Roman"/>
                <w:spacing w:val="1"/>
                <w:sz w:val="21"/>
                <w:szCs w:val="21"/>
              </w:rPr>
              <w:t xml:space="preserve">25 </w:t>
            </w:r>
            <w:r>
              <w:rPr>
                <w:spacing w:val="1"/>
                <w:sz w:val="21"/>
                <w:szCs w:val="21"/>
              </w:rPr>
              <w:t>年的</w:t>
            </w:r>
            <w:r>
              <w:rPr>
                <w:spacing w:val="7"/>
                <w:sz w:val="21"/>
                <w:szCs w:val="21"/>
              </w:rPr>
              <w:t xml:space="preserve">  </w:t>
            </w:r>
            <w:r>
              <w:rPr>
                <w:spacing w:val="-10"/>
                <w:sz w:val="21"/>
                <w:szCs w:val="21"/>
              </w:rPr>
              <w:t xml:space="preserve">暴雨流入贮存区域，并采取措施防止雨 </w:t>
            </w:r>
            <w:r>
              <w:rPr>
                <w:spacing w:val="-5"/>
                <w:sz w:val="21"/>
                <w:szCs w:val="21"/>
              </w:rPr>
              <w:t>水冲淋危险废物，避免增加渗滤液量。</w:t>
            </w:r>
          </w:p>
        </w:tc>
        <w:tc>
          <w:tcPr>
            <w:tcW w:w="3830" w:type="dxa"/>
            <w:vAlign w:val="top"/>
          </w:tcPr>
          <w:p>
            <w:pPr>
              <w:pStyle w:val="6"/>
              <w:spacing w:before="40" w:line="220" w:lineRule="auto"/>
              <w:ind w:left="31"/>
              <w:rPr>
                <w:sz w:val="21"/>
                <w:szCs w:val="21"/>
              </w:rPr>
            </w:pPr>
            <w:r>
              <w:rPr>
                <w:spacing w:val="-1"/>
                <w:sz w:val="21"/>
                <w:szCs w:val="21"/>
              </w:rPr>
              <w:t>本项目井场外设置了场外雨水截流沟，防</w:t>
            </w:r>
          </w:p>
          <w:p>
            <w:pPr>
              <w:pStyle w:val="6"/>
              <w:spacing w:before="20" w:line="221" w:lineRule="auto"/>
              <w:ind w:left="31"/>
              <w:rPr>
                <w:sz w:val="21"/>
                <w:szCs w:val="21"/>
              </w:rPr>
            </w:pPr>
            <w:r>
              <w:rPr>
                <w:spacing w:val="-1"/>
                <w:sz w:val="21"/>
                <w:szCs w:val="21"/>
              </w:rPr>
              <w:t>止场外雨水进入；同时在挡墙外设置了场</w:t>
            </w:r>
          </w:p>
          <w:p>
            <w:pPr>
              <w:pStyle w:val="6"/>
              <w:spacing w:before="22" w:line="221" w:lineRule="auto"/>
              <w:jc w:val="right"/>
              <w:rPr>
                <w:sz w:val="21"/>
                <w:szCs w:val="21"/>
              </w:rPr>
            </w:pPr>
            <w:r>
              <w:rPr>
                <w:spacing w:val="-12"/>
                <w:sz w:val="21"/>
                <w:szCs w:val="21"/>
              </w:rPr>
              <w:t>内雨水沟，防止场内雨水进入岩屑堆放区、</w:t>
            </w:r>
          </w:p>
          <w:p>
            <w:pPr>
              <w:pStyle w:val="6"/>
              <w:spacing w:before="20" w:line="220" w:lineRule="auto"/>
              <w:ind w:left="32"/>
              <w:rPr>
                <w:sz w:val="21"/>
                <w:szCs w:val="21"/>
              </w:rPr>
            </w:pPr>
            <w:r>
              <w:rPr>
                <w:spacing w:val="-1"/>
                <w:sz w:val="21"/>
                <w:szCs w:val="21"/>
              </w:rPr>
              <w:t>危废暂存间；清洁生产操作平台顶上采用</w:t>
            </w:r>
          </w:p>
          <w:p>
            <w:pPr>
              <w:pStyle w:val="6"/>
              <w:spacing w:before="23" w:line="197" w:lineRule="auto"/>
              <w:ind w:left="768"/>
              <w:rPr>
                <w:sz w:val="21"/>
                <w:szCs w:val="21"/>
              </w:rPr>
            </w:pPr>
            <w:r>
              <w:rPr>
                <w:spacing w:val="-1"/>
                <w:sz w:val="21"/>
                <w:szCs w:val="21"/>
              </w:rPr>
              <w:t>彩钢棚，避免了雨水冲淋</w:t>
            </w:r>
          </w:p>
        </w:tc>
        <w:tc>
          <w:tcPr>
            <w:tcW w:w="839" w:type="dxa"/>
            <w:tcBorders>
              <w:right w:val="single" w:color="000000" w:sz="8" w:space="0"/>
            </w:tcBorders>
            <w:vAlign w:val="top"/>
          </w:tcPr>
          <w:p>
            <w:pPr>
              <w:spacing w:line="256" w:lineRule="auto"/>
              <w:rPr>
                <w:rFonts w:ascii="Arial"/>
                <w:sz w:val="21"/>
              </w:rPr>
            </w:pPr>
          </w:p>
          <w:p>
            <w:pPr>
              <w:spacing w:line="257" w:lineRule="auto"/>
              <w:rPr>
                <w:rFonts w:ascii="Arial"/>
                <w:sz w:val="21"/>
              </w:rPr>
            </w:pPr>
          </w:p>
          <w:p>
            <w:pPr>
              <w:pStyle w:val="6"/>
              <w:spacing w:before="68"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78" w:type="dxa"/>
            <w:vMerge w:val="continue"/>
            <w:tcBorders>
              <w:top w:val="nil"/>
              <w:left w:val="single" w:color="000000" w:sz="6" w:space="0"/>
              <w:bottom w:val="nil"/>
            </w:tcBorders>
            <w:vAlign w:val="top"/>
          </w:tcPr>
          <w:p>
            <w:pPr>
              <w:rPr>
                <w:rFonts w:ascii="Arial"/>
                <w:sz w:val="21"/>
              </w:rPr>
            </w:pPr>
          </w:p>
        </w:tc>
        <w:tc>
          <w:tcPr>
            <w:tcW w:w="862" w:type="dxa"/>
            <w:vMerge w:val="continue"/>
            <w:tcBorders>
              <w:top w:val="nil"/>
              <w:bottom w:val="nil"/>
            </w:tcBorders>
            <w:vAlign w:val="top"/>
          </w:tcPr>
          <w:p>
            <w:pPr>
              <w:rPr>
                <w:rFonts w:ascii="Arial"/>
                <w:sz w:val="21"/>
              </w:rPr>
            </w:pPr>
          </w:p>
        </w:tc>
        <w:tc>
          <w:tcPr>
            <w:tcW w:w="3516" w:type="dxa"/>
            <w:vAlign w:val="top"/>
          </w:tcPr>
          <w:p>
            <w:pPr>
              <w:pStyle w:val="6"/>
              <w:spacing w:before="43" w:line="230" w:lineRule="auto"/>
              <w:ind w:left="23" w:right="18" w:firstLine="4"/>
              <w:rPr>
                <w:sz w:val="21"/>
                <w:szCs w:val="21"/>
              </w:rPr>
            </w:pPr>
            <w:r>
              <w:rPr>
                <w:rFonts w:ascii="Times New Roman" w:hAnsi="Times New Roman" w:eastAsia="Times New Roman" w:cs="Times New Roman"/>
                <w:spacing w:val="-1"/>
                <w:sz w:val="21"/>
                <w:szCs w:val="21"/>
              </w:rPr>
              <w:t xml:space="preserve">6.3.2  </w:t>
            </w:r>
            <w:r>
              <w:rPr>
                <w:spacing w:val="-1"/>
                <w:sz w:val="21"/>
                <w:szCs w:val="21"/>
              </w:rPr>
              <w:t>贮存场可整体或分区设计液体导</w:t>
            </w:r>
            <w:r>
              <w:rPr>
                <w:spacing w:val="14"/>
                <w:sz w:val="21"/>
                <w:szCs w:val="21"/>
              </w:rPr>
              <w:t xml:space="preserve"> </w:t>
            </w:r>
            <w:r>
              <w:rPr>
                <w:spacing w:val="-6"/>
                <w:sz w:val="21"/>
                <w:szCs w:val="21"/>
              </w:rPr>
              <w:t>流和收集设施，收集设施容积应保证在</w:t>
            </w:r>
          </w:p>
          <w:p>
            <w:pPr>
              <w:pStyle w:val="6"/>
              <w:spacing w:before="19" w:line="218" w:lineRule="auto"/>
              <w:ind w:left="183" w:right="76" w:hanging="103"/>
              <w:rPr>
                <w:sz w:val="21"/>
                <w:szCs w:val="21"/>
              </w:rPr>
            </w:pPr>
            <w:r>
              <w:rPr>
                <w:spacing w:val="-1"/>
                <w:sz w:val="21"/>
                <w:szCs w:val="21"/>
              </w:rPr>
              <w:t>最不利条件下可以容纳对应贮存区域</w:t>
            </w:r>
            <w:r>
              <w:rPr>
                <w:spacing w:val="9"/>
                <w:sz w:val="21"/>
                <w:szCs w:val="21"/>
              </w:rPr>
              <w:t xml:space="preserve"> </w:t>
            </w:r>
            <w:r>
              <w:rPr>
                <w:spacing w:val="-1"/>
                <w:sz w:val="21"/>
                <w:szCs w:val="21"/>
              </w:rPr>
              <w:t>产生的渗滤液、废水等液态物质。</w:t>
            </w:r>
          </w:p>
        </w:tc>
        <w:tc>
          <w:tcPr>
            <w:tcW w:w="3830" w:type="dxa"/>
            <w:vAlign w:val="top"/>
          </w:tcPr>
          <w:p>
            <w:pPr>
              <w:pStyle w:val="6"/>
              <w:spacing w:before="43" w:line="233" w:lineRule="auto"/>
              <w:ind w:left="29" w:right="17" w:firstLine="51"/>
              <w:jc w:val="both"/>
              <w:rPr>
                <w:sz w:val="21"/>
                <w:szCs w:val="21"/>
              </w:rPr>
            </w:pPr>
            <w:r>
              <w:rPr>
                <w:spacing w:val="-2"/>
                <w:sz w:val="21"/>
                <w:szCs w:val="21"/>
              </w:rPr>
              <w:t>清洁生产操作平台四周设置了</w:t>
            </w:r>
            <w:r>
              <w:rPr>
                <w:spacing w:val="-34"/>
                <w:sz w:val="21"/>
                <w:szCs w:val="21"/>
              </w:rPr>
              <w:t xml:space="preserve"> </w:t>
            </w:r>
            <w:r>
              <w:rPr>
                <w:rFonts w:ascii="Times New Roman" w:hAnsi="Times New Roman" w:eastAsia="Times New Roman" w:cs="Times New Roman"/>
                <w:spacing w:val="-2"/>
                <w:sz w:val="21"/>
                <w:szCs w:val="21"/>
              </w:rPr>
              <w:t>0.2m</w:t>
            </w:r>
            <w:r>
              <w:rPr>
                <w:rFonts w:ascii="Times New Roman" w:hAnsi="Times New Roman" w:eastAsia="Times New Roman" w:cs="Times New Roman"/>
                <w:spacing w:val="14"/>
                <w:sz w:val="21"/>
                <w:szCs w:val="21"/>
              </w:rPr>
              <w:t xml:space="preserve"> </w:t>
            </w:r>
            <w:r>
              <w:rPr>
                <w:spacing w:val="-2"/>
                <w:sz w:val="21"/>
                <w:szCs w:val="21"/>
              </w:rPr>
              <w:t>高的</w:t>
            </w:r>
            <w:r>
              <w:rPr>
                <w:sz w:val="21"/>
                <w:szCs w:val="21"/>
              </w:rPr>
              <w:t xml:space="preserve"> </w:t>
            </w:r>
            <w:r>
              <w:rPr>
                <w:spacing w:val="-6"/>
                <w:sz w:val="21"/>
                <w:szCs w:val="21"/>
              </w:rPr>
              <w:t>挡墙， 危废暂存间内设围堰或托盘可保证</w:t>
            </w:r>
            <w:r>
              <w:rPr>
                <w:spacing w:val="5"/>
                <w:sz w:val="21"/>
                <w:szCs w:val="21"/>
              </w:rPr>
              <w:t xml:space="preserve"> </w:t>
            </w:r>
            <w:r>
              <w:rPr>
                <w:spacing w:val="-1"/>
                <w:sz w:val="21"/>
                <w:szCs w:val="21"/>
              </w:rPr>
              <w:t>在最不利条件下可以容纳对应贮存区域产</w:t>
            </w:r>
          </w:p>
          <w:p>
            <w:pPr>
              <w:pStyle w:val="6"/>
              <w:spacing w:before="22" w:line="195" w:lineRule="auto"/>
              <w:ind w:left="452"/>
              <w:rPr>
                <w:sz w:val="21"/>
                <w:szCs w:val="21"/>
              </w:rPr>
            </w:pPr>
            <w:r>
              <w:rPr>
                <w:spacing w:val="-2"/>
                <w:sz w:val="21"/>
                <w:szCs w:val="21"/>
              </w:rPr>
              <w:t>生的渗滤液、废水等液态物质。</w:t>
            </w:r>
          </w:p>
        </w:tc>
        <w:tc>
          <w:tcPr>
            <w:tcW w:w="839" w:type="dxa"/>
            <w:tcBorders>
              <w:right w:val="single" w:color="000000" w:sz="8" w:space="0"/>
            </w:tcBorders>
            <w:vAlign w:val="top"/>
          </w:tcPr>
          <w:p>
            <w:pPr>
              <w:spacing w:line="381" w:lineRule="auto"/>
              <w:rPr>
                <w:rFonts w:ascii="Arial"/>
                <w:sz w:val="21"/>
              </w:rPr>
            </w:pPr>
          </w:p>
          <w:p>
            <w:pPr>
              <w:pStyle w:val="6"/>
              <w:spacing w:before="69" w:line="221" w:lineRule="auto"/>
              <w:ind w:left="223"/>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578" w:type="dxa"/>
            <w:vMerge w:val="continue"/>
            <w:tcBorders>
              <w:top w:val="nil"/>
              <w:left w:val="single" w:color="000000" w:sz="6" w:space="0"/>
              <w:bottom w:val="single" w:color="000000" w:sz="6" w:space="0"/>
            </w:tcBorders>
            <w:vAlign w:val="top"/>
          </w:tcPr>
          <w:p>
            <w:pPr>
              <w:rPr>
                <w:rFonts w:ascii="Arial"/>
                <w:sz w:val="21"/>
              </w:rPr>
            </w:pPr>
          </w:p>
        </w:tc>
        <w:tc>
          <w:tcPr>
            <w:tcW w:w="862" w:type="dxa"/>
            <w:vMerge w:val="continue"/>
            <w:tcBorders>
              <w:top w:val="nil"/>
              <w:bottom w:val="single" w:color="000000" w:sz="6" w:space="0"/>
            </w:tcBorders>
            <w:vAlign w:val="top"/>
          </w:tcPr>
          <w:p>
            <w:pPr>
              <w:rPr>
                <w:rFonts w:ascii="Arial"/>
                <w:sz w:val="21"/>
              </w:rPr>
            </w:pPr>
          </w:p>
        </w:tc>
        <w:tc>
          <w:tcPr>
            <w:tcW w:w="3516" w:type="dxa"/>
            <w:tcBorders>
              <w:bottom w:val="single" w:color="000000" w:sz="6" w:space="0"/>
            </w:tcBorders>
            <w:vAlign w:val="top"/>
          </w:tcPr>
          <w:p>
            <w:pPr>
              <w:spacing w:line="246" w:lineRule="auto"/>
              <w:rPr>
                <w:rFonts w:ascii="Arial"/>
                <w:sz w:val="21"/>
              </w:rPr>
            </w:pPr>
          </w:p>
          <w:p>
            <w:pPr>
              <w:pStyle w:val="6"/>
              <w:spacing w:before="68" w:line="231" w:lineRule="auto"/>
              <w:ind w:left="1021" w:right="128" w:hanging="888"/>
              <w:rPr>
                <w:sz w:val="21"/>
                <w:szCs w:val="21"/>
              </w:rPr>
            </w:pPr>
            <w:r>
              <w:rPr>
                <w:rFonts w:ascii="Times New Roman" w:hAnsi="Times New Roman" w:eastAsia="Times New Roman" w:cs="Times New Roman"/>
                <w:spacing w:val="-1"/>
                <w:sz w:val="21"/>
                <w:szCs w:val="21"/>
              </w:rPr>
              <w:t xml:space="preserve">6.3.3  </w:t>
            </w:r>
            <w:r>
              <w:rPr>
                <w:spacing w:val="-1"/>
                <w:sz w:val="21"/>
                <w:szCs w:val="21"/>
              </w:rPr>
              <w:t>贮存场应采取防止危险废物扬</w:t>
            </w:r>
            <w:r>
              <w:rPr>
                <w:spacing w:val="12"/>
                <w:sz w:val="21"/>
                <w:szCs w:val="21"/>
              </w:rPr>
              <w:t xml:space="preserve"> </w:t>
            </w:r>
            <w:r>
              <w:rPr>
                <w:spacing w:val="-1"/>
                <w:sz w:val="21"/>
                <w:szCs w:val="21"/>
              </w:rPr>
              <w:t>散、流失的措施</w:t>
            </w:r>
          </w:p>
        </w:tc>
        <w:tc>
          <w:tcPr>
            <w:tcW w:w="3830" w:type="dxa"/>
            <w:tcBorders>
              <w:bottom w:val="single" w:color="000000" w:sz="6" w:space="0"/>
            </w:tcBorders>
            <w:vAlign w:val="top"/>
          </w:tcPr>
          <w:p>
            <w:pPr>
              <w:pStyle w:val="6"/>
              <w:spacing w:before="46" w:line="220" w:lineRule="auto"/>
              <w:ind w:left="31"/>
              <w:rPr>
                <w:sz w:val="21"/>
                <w:szCs w:val="21"/>
              </w:rPr>
            </w:pPr>
            <w:r>
              <w:rPr>
                <w:spacing w:val="-1"/>
                <w:sz w:val="21"/>
                <w:szCs w:val="21"/>
              </w:rPr>
              <w:t>本项目危废主要为固体形态（废油为废油</w:t>
            </w:r>
          </w:p>
          <w:p>
            <w:pPr>
              <w:pStyle w:val="6"/>
              <w:spacing w:before="20" w:line="221" w:lineRule="auto"/>
              <w:ind w:left="32"/>
              <w:rPr>
                <w:sz w:val="21"/>
                <w:szCs w:val="21"/>
              </w:rPr>
            </w:pPr>
            <w:r>
              <w:rPr>
                <w:spacing w:val="-6"/>
                <w:sz w:val="21"/>
                <w:szCs w:val="21"/>
              </w:rPr>
              <w:t>桶装）</w:t>
            </w:r>
            <w:r>
              <w:rPr>
                <w:spacing w:val="-3"/>
                <w:sz w:val="21"/>
                <w:szCs w:val="21"/>
              </w:rPr>
              <w:t xml:space="preserve"> </w:t>
            </w:r>
            <w:r>
              <w:rPr>
                <w:spacing w:val="-6"/>
                <w:sz w:val="21"/>
                <w:szCs w:val="21"/>
              </w:rPr>
              <w:t>，同时清洁生产操作平台四周设置</w:t>
            </w:r>
          </w:p>
          <w:p>
            <w:pPr>
              <w:pStyle w:val="6"/>
              <w:spacing w:before="23" w:line="234" w:lineRule="auto"/>
              <w:ind w:left="47"/>
              <w:rPr>
                <w:sz w:val="21"/>
                <w:szCs w:val="21"/>
              </w:rPr>
            </w:pPr>
            <w:r>
              <w:rPr>
                <w:spacing w:val="-8"/>
                <w:sz w:val="21"/>
                <w:szCs w:val="21"/>
              </w:rPr>
              <w:t>了</w:t>
            </w:r>
            <w:r>
              <w:rPr>
                <w:spacing w:val="-28"/>
                <w:sz w:val="21"/>
                <w:szCs w:val="21"/>
              </w:rPr>
              <w:t xml:space="preserve"> </w:t>
            </w:r>
            <w:r>
              <w:rPr>
                <w:rFonts w:ascii="Times New Roman" w:hAnsi="Times New Roman" w:eastAsia="Times New Roman" w:cs="Times New Roman"/>
                <w:spacing w:val="-8"/>
                <w:sz w:val="21"/>
                <w:szCs w:val="21"/>
              </w:rPr>
              <w:t>0.2m</w:t>
            </w:r>
            <w:r>
              <w:rPr>
                <w:rFonts w:ascii="Times New Roman" w:hAnsi="Times New Roman" w:eastAsia="Times New Roman" w:cs="Times New Roman"/>
                <w:spacing w:val="11"/>
                <w:sz w:val="21"/>
                <w:szCs w:val="21"/>
              </w:rPr>
              <w:t xml:space="preserve"> </w:t>
            </w:r>
            <w:r>
              <w:rPr>
                <w:spacing w:val="-8"/>
                <w:sz w:val="21"/>
                <w:szCs w:val="21"/>
              </w:rPr>
              <w:t>高的挡墙、危废暂存间设围堰或托</w:t>
            </w:r>
          </w:p>
          <w:p>
            <w:pPr>
              <w:pStyle w:val="6"/>
              <w:spacing w:before="4" w:line="217" w:lineRule="auto"/>
              <w:ind w:left="450"/>
              <w:rPr>
                <w:sz w:val="21"/>
                <w:szCs w:val="21"/>
              </w:rPr>
            </w:pPr>
            <w:r>
              <w:rPr>
                <w:spacing w:val="-1"/>
                <w:sz w:val="21"/>
                <w:szCs w:val="21"/>
              </w:rPr>
              <w:t>盘，可防止危险废物扬散、流失</w:t>
            </w:r>
          </w:p>
        </w:tc>
        <w:tc>
          <w:tcPr>
            <w:tcW w:w="839" w:type="dxa"/>
            <w:tcBorders>
              <w:bottom w:val="single" w:color="000000" w:sz="6" w:space="0"/>
              <w:right w:val="single" w:color="000000" w:sz="8" w:space="0"/>
            </w:tcBorders>
            <w:vAlign w:val="top"/>
          </w:tcPr>
          <w:p>
            <w:pPr>
              <w:spacing w:line="383" w:lineRule="auto"/>
              <w:rPr>
                <w:rFonts w:ascii="Arial"/>
                <w:sz w:val="21"/>
              </w:rPr>
            </w:pPr>
          </w:p>
          <w:p>
            <w:pPr>
              <w:pStyle w:val="6"/>
              <w:spacing w:before="68" w:line="221" w:lineRule="auto"/>
              <w:ind w:left="223"/>
              <w:rPr>
                <w:sz w:val="21"/>
                <w:szCs w:val="21"/>
              </w:rPr>
            </w:pPr>
            <w:r>
              <w:rPr>
                <w:spacing w:val="-4"/>
                <w:sz w:val="21"/>
                <w:szCs w:val="21"/>
              </w:rPr>
              <w:t>符合</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46"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10" w:right="16" w:firstLine="481"/>
              <w:jc w:val="both"/>
              <w:rPr>
                <w:sz w:val="24"/>
                <w:szCs w:val="24"/>
              </w:rPr>
            </w:pPr>
            <w:r>
              <w:rPr>
                <w:spacing w:val="-6"/>
                <w:sz w:val="24"/>
                <w:szCs w:val="24"/>
              </w:rPr>
              <w:t>油基岩屑存放区按照危险废物的暂存要求进行“六防”（防风、防雨、防晒、防渗、</w:t>
            </w:r>
            <w:r>
              <w:rPr>
                <w:spacing w:val="4"/>
                <w:sz w:val="24"/>
                <w:szCs w:val="24"/>
              </w:rPr>
              <w:t xml:space="preserve"> </w:t>
            </w:r>
            <w:r>
              <w:rPr>
                <w:spacing w:val="-13"/>
                <w:sz w:val="24"/>
                <w:szCs w:val="24"/>
              </w:rPr>
              <w:t>防漏、防腐） 处理，</w:t>
            </w:r>
            <w:r>
              <w:rPr>
                <w:spacing w:val="-44"/>
                <w:sz w:val="24"/>
                <w:szCs w:val="24"/>
              </w:rPr>
              <w:t xml:space="preserve"> </w:t>
            </w:r>
            <w:r>
              <w:rPr>
                <w:spacing w:val="-13"/>
                <w:sz w:val="24"/>
                <w:szCs w:val="24"/>
              </w:rPr>
              <w:t>采用刚体罐进行存放， 且</w:t>
            </w:r>
            <w:r>
              <w:rPr>
                <w:spacing w:val="-14"/>
                <w:sz w:val="24"/>
                <w:szCs w:val="24"/>
              </w:rPr>
              <w:t>存放区基础按照重点防渗区进行防渗处理，</w:t>
            </w:r>
            <w:r>
              <w:rPr>
                <w:sz w:val="24"/>
                <w:szCs w:val="24"/>
              </w:rPr>
              <w:t xml:space="preserve"> </w:t>
            </w:r>
            <w:r>
              <w:rPr>
                <w:spacing w:val="-20"/>
                <w:sz w:val="24"/>
                <w:szCs w:val="24"/>
              </w:rPr>
              <w:t>可防止渗漏和流失；</w:t>
            </w:r>
            <w:r>
              <w:rPr>
                <w:spacing w:val="61"/>
                <w:sz w:val="24"/>
                <w:szCs w:val="24"/>
              </w:rPr>
              <w:t xml:space="preserve"> </w:t>
            </w:r>
            <w:r>
              <w:rPr>
                <w:spacing w:val="-20"/>
                <w:sz w:val="24"/>
                <w:szCs w:val="24"/>
              </w:rPr>
              <w:t>顶部搭设雨棚，</w:t>
            </w:r>
            <w:r>
              <w:rPr>
                <w:spacing w:val="55"/>
                <w:sz w:val="24"/>
                <w:szCs w:val="24"/>
              </w:rPr>
              <w:t xml:space="preserve"> </w:t>
            </w:r>
            <w:r>
              <w:rPr>
                <w:spacing w:val="-20"/>
                <w:sz w:val="24"/>
                <w:szCs w:val="24"/>
              </w:rPr>
              <w:t>可防雨淋。因此，</w:t>
            </w:r>
            <w:r>
              <w:rPr>
                <w:spacing w:val="52"/>
                <w:sz w:val="24"/>
                <w:szCs w:val="24"/>
              </w:rPr>
              <w:t xml:space="preserve"> </w:t>
            </w:r>
            <w:r>
              <w:rPr>
                <w:spacing w:val="-20"/>
                <w:sz w:val="24"/>
                <w:szCs w:val="24"/>
              </w:rPr>
              <w:t>在采取措施后，</w:t>
            </w:r>
            <w:r>
              <w:rPr>
                <w:spacing w:val="56"/>
                <w:sz w:val="24"/>
                <w:szCs w:val="24"/>
              </w:rPr>
              <w:t xml:space="preserve"> </w:t>
            </w:r>
            <w:r>
              <w:rPr>
                <w:spacing w:val="-20"/>
                <w:sz w:val="24"/>
                <w:szCs w:val="24"/>
              </w:rPr>
              <w:t xml:space="preserve">现场收集和储存 </w:t>
            </w:r>
            <w:r>
              <w:rPr>
                <w:spacing w:val="-4"/>
                <w:sz w:val="24"/>
                <w:szCs w:val="24"/>
              </w:rPr>
              <w:t xml:space="preserve">符合要求。项目在清洁生产操作平台内设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4"/>
                <w:sz w:val="24"/>
                <w:szCs w:val="24"/>
              </w:rPr>
              <w:t xml:space="preserve"> </w:t>
            </w:r>
            <w:r>
              <w:rPr>
                <w:spacing w:val="-4"/>
                <w:sz w:val="24"/>
                <w:szCs w:val="24"/>
              </w:rPr>
              <w:t xml:space="preserve">间 </w:t>
            </w:r>
            <w:r>
              <w:rPr>
                <w:rFonts w:ascii="Times New Roman" w:hAnsi="Times New Roman" w:eastAsia="Times New Roman" w:cs="Times New Roman"/>
                <w:spacing w:val="-4"/>
                <w:sz w:val="24"/>
                <w:szCs w:val="24"/>
              </w:rPr>
              <w:t>10m</w:t>
            </w:r>
            <w:r>
              <w:rPr>
                <w:rFonts w:ascii="Times New Roman" w:hAnsi="Times New Roman" w:eastAsia="Times New Roman" w:cs="Times New Roman"/>
                <w:spacing w:val="-4"/>
                <w:position w:val="9"/>
                <w:sz w:val="16"/>
                <w:szCs w:val="16"/>
              </w:rPr>
              <w:t>2</w:t>
            </w:r>
            <w:r>
              <w:rPr>
                <w:rFonts w:ascii="Times New Roman" w:hAnsi="Times New Roman" w:eastAsia="Times New Roman" w:cs="Times New Roman"/>
                <w:spacing w:val="31"/>
                <w:position w:val="9"/>
                <w:sz w:val="16"/>
                <w:szCs w:val="16"/>
              </w:rPr>
              <w:t xml:space="preserve"> </w:t>
            </w:r>
            <w:r>
              <w:rPr>
                <w:spacing w:val="-4"/>
                <w:sz w:val="24"/>
                <w:szCs w:val="24"/>
              </w:rPr>
              <w:t xml:space="preserve">的危废暂存间，分类暂存废油和废 </w:t>
            </w:r>
            <w:r>
              <w:rPr>
                <w:spacing w:val="-6"/>
                <w:sz w:val="24"/>
                <w:szCs w:val="24"/>
              </w:rPr>
              <w:t>弃的含油抹布及劳保用品，</w:t>
            </w:r>
            <w:r>
              <w:rPr>
                <w:spacing w:val="59"/>
                <w:sz w:val="24"/>
                <w:szCs w:val="24"/>
              </w:rPr>
              <w:t xml:space="preserve"> </w:t>
            </w:r>
            <w:r>
              <w:rPr>
                <w:spacing w:val="-6"/>
                <w:sz w:val="24"/>
                <w:szCs w:val="24"/>
              </w:rPr>
              <w:t>危废暂存间应满足“</w:t>
            </w:r>
            <w:r>
              <w:rPr>
                <w:spacing w:val="-7"/>
                <w:sz w:val="24"/>
                <w:szCs w:val="24"/>
              </w:rPr>
              <w:t>六防”（防风、防雨、防晒、防渗、防</w:t>
            </w:r>
          </w:p>
          <w:p>
            <w:pPr>
              <w:pStyle w:val="6"/>
              <w:spacing w:line="219" w:lineRule="auto"/>
              <w:ind w:left="108"/>
              <w:rPr>
                <w:sz w:val="24"/>
                <w:szCs w:val="24"/>
              </w:rPr>
            </w:pPr>
            <w:r>
              <w:rPr>
                <w:spacing w:val="-3"/>
                <w:sz w:val="24"/>
                <w:szCs w:val="24"/>
              </w:rPr>
              <w:t>漏、防腐）要求，并设置警示标识。</w:t>
            </w:r>
          </w:p>
          <w:p>
            <w:pPr>
              <w:pStyle w:val="6"/>
              <w:spacing w:before="195" w:line="233" w:lineRule="auto"/>
              <w:ind w:left="586"/>
              <w:rPr>
                <w:sz w:val="24"/>
                <w:szCs w:val="24"/>
              </w:rPr>
            </w:pPr>
            <w:r>
              <w:rPr>
                <w:rFonts w:ascii="Times New Roman" w:hAnsi="Times New Roman" w:eastAsia="Times New Roman" w:cs="Times New Roman"/>
                <w:b/>
                <w:bCs/>
                <w:sz w:val="24"/>
                <w:szCs w:val="24"/>
              </w:rPr>
              <w:t>B.</w:t>
            </w:r>
            <w:r>
              <w:rPr>
                <w:sz w:val="24"/>
                <w:szCs w:val="24"/>
                <w14:textOutline w14:w="4354" w14:cap="flat" w14:cmpd="sng">
                  <w14:solidFill>
                    <w14:srgbClr w14:val="000000"/>
                  </w14:solidFill>
                  <w14:prstDash w14:val="solid"/>
                  <w14:miter w14:val="10"/>
                </w14:textOutline>
              </w:rPr>
              <w:t>危废的转运管理要求</w:t>
            </w:r>
          </w:p>
          <w:p>
            <w:pPr>
              <w:pStyle w:val="6"/>
              <w:spacing w:before="178" w:line="369" w:lineRule="auto"/>
              <w:ind w:left="108" w:right="100" w:firstLine="478"/>
              <w:rPr>
                <w:sz w:val="24"/>
                <w:szCs w:val="24"/>
              </w:rPr>
            </w:pPr>
            <w:r>
              <w:rPr>
                <w:spacing w:val="5"/>
                <w:sz w:val="24"/>
                <w:szCs w:val="24"/>
              </w:rPr>
              <w:t>对危险废物的收集、贮存和运输应满足《危险废物收</w:t>
            </w:r>
            <w:r>
              <w:rPr>
                <w:spacing w:val="4"/>
                <w:sz w:val="24"/>
                <w:szCs w:val="24"/>
              </w:rPr>
              <w:t>集、贮存、运输技术规范》</w:t>
            </w:r>
            <w:r>
              <w:rPr>
                <w:sz w:val="24"/>
                <w:szCs w:val="24"/>
              </w:rPr>
              <w:t xml:space="preserve"> （</w:t>
            </w:r>
            <w:r>
              <w:rPr>
                <w:rFonts w:ascii="Times New Roman" w:hAnsi="Times New Roman" w:eastAsia="Times New Roman" w:cs="Times New Roman"/>
                <w:sz w:val="24"/>
                <w:szCs w:val="24"/>
              </w:rPr>
              <w:t>HJ2025-2012</w:t>
            </w:r>
            <w:r>
              <w:rPr>
                <w:sz w:val="24"/>
                <w:szCs w:val="24"/>
              </w:rPr>
              <w:t>）、《危险废物贮存污染控制标准》（</w:t>
            </w:r>
            <w:r>
              <w:rPr>
                <w:rFonts w:ascii="Times New Roman" w:hAnsi="Times New Roman" w:eastAsia="Times New Roman" w:cs="Times New Roman"/>
                <w:sz w:val="24"/>
                <w:szCs w:val="24"/>
              </w:rPr>
              <w:t>GB18597-20</w:t>
            </w:r>
            <w:r>
              <w:rPr>
                <w:rFonts w:ascii="Times New Roman" w:hAnsi="Times New Roman" w:eastAsia="Times New Roman" w:cs="Times New Roman"/>
                <w:spacing w:val="-1"/>
                <w:sz w:val="24"/>
                <w:szCs w:val="24"/>
              </w:rPr>
              <w:t>23</w:t>
            </w:r>
            <w:r>
              <w:rPr>
                <w:spacing w:val="-1"/>
                <w:sz w:val="24"/>
                <w:szCs w:val="24"/>
              </w:rPr>
              <w:t>）的相关规定。另</w:t>
            </w:r>
            <w:r>
              <w:rPr>
                <w:sz w:val="24"/>
                <w:szCs w:val="24"/>
              </w:rPr>
              <w:t xml:space="preserve"> </w:t>
            </w:r>
            <w:r>
              <w:rPr>
                <w:spacing w:val="-8"/>
                <w:sz w:val="24"/>
                <w:szCs w:val="24"/>
              </w:rPr>
              <w:t>外，</w:t>
            </w:r>
            <w:r>
              <w:rPr>
                <w:spacing w:val="-37"/>
                <w:sz w:val="24"/>
                <w:szCs w:val="24"/>
              </w:rPr>
              <w:t xml:space="preserve"> </w:t>
            </w:r>
            <w:r>
              <w:rPr>
                <w:spacing w:val="-8"/>
                <w:sz w:val="24"/>
                <w:szCs w:val="24"/>
              </w:rPr>
              <w:t>完钻后危险废物委托有资质的单位清运处置，</w:t>
            </w:r>
            <w:r>
              <w:rPr>
                <w:spacing w:val="43"/>
                <w:sz w:val="24"/>
                <w:szCs w:val="24"/>
              </w:rPr>
              <w:t xml:space="preserve"> </w:t>
            </w:r>
            <w:r>
              <w:rPr>
                <w:spacing w:val="-8"/>
                <w:sz w:val="24"/>
                <w:szCs w:val="24"/>
              </w:rPr>
              <w:t>危险废物运输应由持有危险废物经营</w:t>
            </w:r>
            <w:r>
              <w:rPr>
                <w:sz w:val="24"/>
                <w:szCs w:val="24"/>
              </w:rPr>
              <w:t xml:space="preserve"> </w:t>
            </w:r>
            <w:r>
              <w:rPr>
                <w:spacing w:val="-5"/>
                <w:sz w:val="24"/>
                <w:szCs w:val="24"/>
              </w:rPr>
              <w:t>许可证的单位按照其许可证的经营范围组织实施， 承担危险废物运输的单位应获得交通</w:t>
            </w:r>
            <w:r>
              <w:rPr>
                <w:spacing w:val="14"/>
                <w:sz w:val="24"/>
                <w:szCs w:val="24"/>
              </w:rPr>
              <w:t xml:space="preserve"> </w:t>
            </w:r>
            <w:r>
              <w:rPr>
                <w:spacing w:val="-6"/>
                <w:sz w:val="24"/>
                <w:szCs w:val="24"/>
              </w:rPr>
              <w:t>运输部门颁发的危险货物运输资质；</w:t>
            </w:r>
            <w:r>
              <w:rPr>
                <w:spacing w:val="57"/>
                <w:sz w:val="24"/>
                <w:szCs w:val="24"/>
              </w:rPr>
              <w:t xml:space="preserve"> </w:t>
            </w:r>
            <w:r>
              <w:rPr>
                <w:spacing w:val="-6"/>
                <w:sz w:val="24"/>
                <w:szCs w:val="24"/>
              </w:rPr>
              <w:t>危险废</w:t>
            </w:r>
            <w:r>
              <w:rPr>
                <w:spacing w:val="-7"/>
                <w:sz w:val="24"/>
                <w:szCs w:val="24"/>
              </w:rPr>
              <w:t>物转移执行《危险废物转移管理办法》（生</w:t>
            </w:r>
          </w:p>
          <w:p>
            <w:pPr>
              <w:pStyle w:val="6"/>
              <w:spacing w:before="1" w:line="218" w:lineRule="auto"/>
              <w:ind w:left="108"/>
              <w:rPr>
                <w:sz w:val="24"/>
                <w:szCs w:val="24"/>
              </w:rPr>
            </w:pPr>
            <w:r>
              <w:rPr>
                <w:spacing w:val="-2"/>
                <w:sz w:val="24"/>
                <w:szCs w:val="24"/>
              </w:rPr>
              <w:t>态环境部、公安部、交通运输部 部令第</w:t>
            </w:r>
            <w:r>
              <w:rPr>
                <w:spacing w:val="-55"/>
                <w:sz w:val="24"/>
                <w:szCs w:val="24"/>
              </w:rPr>
              <w:t xml:space="preserve"> </w:t>
            </w:r>
            <w:r>
              <w:rPr>
                <w:rFonts w:ascii="Times New Roman" w:hAnsi="Times New Roman" w:eastAsia="Times New Roman" w:cs="Times New Roman"/>
                <w:spacing w:val="-2"/>
                <w:sz w:val="24"/>
                <w:szCs w:val="24"/>
              </w:rPr>
              <w:t>23</w:t>
            </w:r>
            <w:r>
              <w:rPr>
                <w:rFonts w:ascii="Times New Roman" w:hAnsi="Times New Roman" w:eastAsia="Times New Roman" w:cs="Times New Roman"/>
                <w:spacing w:val="15"/>
                <w:sz w:val="24"/>
                <w:szCs w:val="24"/>
              </w:rPr>
              <w:t xml:space="preserve"> </w:t>
            </w:r>
            <w:r>
              <w:rPr>
                <w:spacing w:val="-2"/>
                <w:sz w:val="24"/>
                <w:szCs w:val="24"/>
              </w:rPr>
              <w:t>号）中相关</w:t>
            </w:r>
            <w:r>
              <w:rPr>
                <w:spacing w:val="-3"/>
                <w:sz w:val="24"/>
                <w:szCs w:val="24"/>
              </w:rPr>
              <w:t>要求。</w:t>
            </w:r>
          </w:p>
          <w:p>
            <w:pPr>
              <w:pStyle w:val="6"/>
              <w:spacing w:before="196" w:line="233" w:lineRule="auto"/>
              <w:ind w:left="591"/>
              <w:rPr>
                <w:sz w:val="24"/>
                <w:szCs w:val="24"/>
              </w:rPr>
            </w:pPr>
            <w:r>
              <w:rPr>
                <w:rFonts w:ascii="Times New Roman" w:hAnsi="Times New Roman" w:eastAsia="Times New Roman" w:cs="Times New Roman"/>
                <w:b/>
                <w:bCs/>
                <w:spacing w:val="-1"/>
                <w:sz w:val="24"/>
                <w:szCs w:val="24"/>
              </w:rPr>
              <w:t>C.</w:t>
            </w:r>
            <w:r>
              <w:rPr>
                <w:spacing w:val="-1"/>
                <w:sz w:val="24"/>
                <w:szCs w:val="24"/>
                <w14:textOutline w14:w="4354" w14:cap="flat" w14:cmpd="sng">
                  <w14:solidFill>
                    <w14:srgbClr w14:val="000000"/>
                  </w14:solidFill>
                  <w14:prstDash w14:val="solid"/>
                  <w14:miter w14:val="10"/>
                </w14:textOutline>
              </w:rPr>
              <w:t>危险废物环境管理要求</w:t>
            </w:r>
          </w:p>
          <w:p>
            <w:pPr>
              <w:pStyle w:val="6"/>
              <w:spacing w:before="178" w:line="369" w:lineRule="auto"/>
              <w:ind w:left="109" w:right="106" w:firstLine="482"/>
              <w:rPr>
                <w:sz w:val="24"/>
                <w:szCs w:val="24"/>
              </w:rPr>
            </w:pPr>
            <w:r>
              <w:rPr>
                <w:spacing w:val="1"/>
                <w:sz w:val="24"/>
                <w:szCs w:val="24"/>
              </w:rPr>
              <w:t>项目根据《危险废物环境管理指南 陆上石油天然气开采》《危险废物管理计划</w:t>
            </w:r>
            <w:r>
              <w:rPr>
                <w:spacing w:val="16"/>
                <w:sz w:val="24"/>
                <w:szCs w:val="24"/>
              </w:rPr>
              <w:t xml:space="preserve"> </w:t>
            </w:r>
            <w:r>
              <w:rPr>
                <w:spacing w:val="1"/>
                <w:sz w:val="24"/>
                <w:szCs w:val="24"/>
              </w:rPr>
              <w:t>和管理台账制定技术导则》（</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 xml:space="preserve">  1259</w:t>
            </w:r>
            <w:r>
              <w:rPr>
                <w:spacing w:val="1"/>
                <w:sz w:val="24"/>
                <w:szCs w:val="24"/>
              </w:rPr>
              <w:t>—</w:t>
            </w:r>
            <w:r>
              <w:rPr>
                <w:rFonts w:ascii="Times New Roman" w:hAnsi="Times New Roman" w:eastAsia="Times New Roman" w:cs="Times New Roman"/>
                <w:spacing w:val="1"/>
                <w:sz w:val="24"/>
                <w:szCs w:val="24"/>
              </w:rPr>
              <w:t>2022</w:t>
            </w:r>
            <w:r>
              <w:rPr>
                <w:spacing w:val="1"/>
                <w:sz w:val="24"/>
                <w:szCs w:val="24"/>
              </w:rPr>
              <w:t>）加强危险</w:t>
            </w:r>
            <w:r>
              <w:rPr>
                <w:sz w:val="24"/>
                <w:szCs w:val="24"/>
              </w:rPr>
              <w:t>废物的管理。主要加强以下几</w:t>
            </w:r>
          </w:p>
          <w:p>
            <w:pPr>
              <w:pStyle w:val="6"/>
              <w:spacing w:line="219" w:lineRule="auto"/>
              <w:ind w:left="109"/>
              <w:rPr>
                <w:sz w:val="24"/>
                <w:szCs w:val="24"/>
              </w:rPr>
            </w:pPr>
            <w:r>
              <w:rPr>
                <w:spacing w:val="-10"/>
                <w:sz w:val="24"/>
                <w:szCs w:val="24"/>
              </w:rPr>
              <w:t>方面的管理：</w:t>
            </w:r>
          </w:p>
          <w:p>
            <w:pPr>
              <w:pStyle w:val="6"/>
              <w:spacing w:before="195" w:line="480" w:lineRule="exact"/>
              <w:ind w:left="587"/>
              <w:rPr>
                <w:sz w:val="24"/>
                <w:szCs w:val="24"/>
              </w:rPr>
            </w:pPr>
            <w:r>
              <w:rPr>
                <w:rFonts w:ascii="Times New Roman" w:hAnsi="Times New Roman" w:eastAsia="Times New Roman" w:cs="Times New Roman"/>
                <w:spacing w:val="-1"/>
                <w:position w:val="17"/>
                <w:sz w:val="24"/>
                <w:szCs w:val="24"/>
              </w:rPr>
              <w:t>a.</w:t>
            </w:r>
            <w:r>
              <w:rPr>
                <w:spacing w:val="-1"/>
                <w:position w:val="17"/>
                <w:sz w:val="24"/>
                <w:szCs w:val="24"/>
              </w:rPr>
              <w:t>落实污染环境防治责任制度，建立健全工业危险废物产生、收集、贮存、运输、</w:t>
            </w:r>
          </w:p>
          <w:p>
            <w:pPr>
              <w:pStyle w:val="6"/>
              <w:spacing w:before="1" w:line="219" w:lineRule="auto"/>
              <w:ind w:left="109"/>
              <w:rPr>
                <w:sz w:val="24"/>
                <w:szCs w:val="24"/>
              </w:rPr>
            </w:pPr>
            <w:r>
              <w:rPr>
                <w:spacing w:val="-3"/>
                <w:sz w:val="24"/>
                <w:szCs w:val="24"/>
              </w:rPr>
              <w:t>利用、处置全过程的污染环境防治责任制度。</w:t>
            </w:r>
          </w:p>
          <w:p>
            <w:pPr>
              <w:pStyle w:val="6"/>
              <w:spacing w:before="195" w:line="369" w:lineRule="auto"/>
              <w:ind w:left="114" w:firstLine="463"/>
              <w:rPr>
                <w:sz w:val="24"/>
                <w:szCs w:val="24"/>
              </w:rPr>
            </w:pPr>
            <w:r>
              <w:rPr>
                <w:rFonts w:ascii="Times New Roman" w:hAnsi="Times New Roman" w:eastAsia="Times New Roman" w:cs="Times New Roman"/>
                <w:spacing w:val="-10"/>
                <w:sz w:val="24"/>
                <w:szCs w:val="24"/>
              </w:rPr>
              <w:t>b.</w:t>
            </w:r>
            <w:r>
              <w:rPr>
                <w:spacing w:val="-10"/>
                <w:sz w:val="24"/>
                <w:szCs w:val="24"/>
              </w:rPr>
              <w:t>落实危险废物识别标志制度，</w:t>
            </w:r>
            <w:r>
              <w:rPr>
                <w:spacing w:val="55"/>
                <w:sz w:val="24"/>
                <w:szCs w:val="24"/>
              </w:rPr>
              <w:t xml:space="preserve"> </w:t>
            </w:r>
            <w:r>
              <w:rPr>
                <w:spacing w:val="-10"/>
                <w:sz w:val="24"/>
                <w:szCs w:val="24"/>
              </w:rPr>
              <w:t>按照《环境保护图形标志固体废物贮存（处置）</w:t>
            </w:r>
            <w:r>
              <w:rPr>
                <w:spacing w:val="-43"/>
                <w:sz w:val="24"/>
                <w:szCs w:val="24"/>
              </w:rPr>
              <w:t xml:space="preserve"> </w:t>
            </w:r>
            <w:r>
              <w:rPr>
                <w:spacing w:val="-10"/>
                <w:sz w:val="24"/>
                <w:szCs w:val="24"/>
              </w:rPr>
              <w:t>场》</w:t>
            </w:r>
            <w:r>
              <w:rPr>
                <w:sz w:val="24"/>
                <w:szCs w:val="24"/>
              </w:rPr>
              <w:t xml:space="preserve"> </w:t>
            </w:r>
            <w:r>
              <w:rPr>
                <w:spacing w:val="-7"/>
                <w:sz w:val="24"/>
                <w:szCs w:val="24"/>
              </w:rPr>
              <w:t>（</w:t>
            </w:r>
            <w:r>
              <w:rPr>
                <w:rFonts w:ascii="Times New Roman" w:hAnsi="Times New Roman" w:eastAsia="Times New Roman" w:cs="Times New Roman"/>
                <w:spacing w:val="-7"/>
                <w:sz w:val="24"/>
                <w:szCs w:val="24"/>
              </w:rPr>
              <w:t>GB15562.2</w:t>
            </w:r>
            <w:r>
              <w:rPr>
                <w:spacing w:val="-7"/>
                <w:sz w:val="24"/>
                <w:szCs w:val="24"/>
              </w:rPr>
              <w:t>）等有关规定，</w:t>
            </w:r>
            <w:r>
              <w:rPr>
                <w:spacing w:val="44"/>
                <w:sz w:val="24"/>
                <w:szCs w:val="24"/>
              </w:rPr>
              <w:t xml:space="preserve"> </w:t>
            </w:r>
            <w:r>
              <w:rPr>
                <w:spacing w:val="-7"/>
                <w:sz w:val="24"/>
                <w:szCs w:val="24"/>
              </w:rPr>
              <w:t>对危险废物的容器和包装物以及收集、</w:t>
            </w:r>
            <w:r>
              <w:rPr>
                <w:spacing w:val="-8"/>
                <w:sz w:val="24"/>
                <w:szCs w:val="24"/>
              </w:rPr>
              <w:t>贮存、运输、利用、</w:t>
            </w:r>
          </w:p>
          <w:p>
            <w:pPr>
              <w:pStyle w:val="6"/>
              <w:spacing w:line="220" w:lineRule="auto"/>
              <w:ind w:left="113"/>
              <w:rPr>
                <w:sz w:val="24"/>
                <w:szCs w:val="24"/>
              </w:rPr>
            </w:pPr>
            <w:r>
              <w:rPr>
                <w:spacing w:val="-3"/>
                <w:sz w:val="24"/>
                <w:szCs w:val="24"/>
              </w:rPr>
              <w:t>处置危险废物的设施、场所设置危险废物识别标志。</w:t>
            </w:r>
          </w:p>
          <w:p>
            <w:pPr>
              <w:pStyle w:val="6"/>
              <w:spacing w:before="195" w:line="369" w:lineRule="auto"/>
              <w:ind w:left="114" w:right="100" w:firstLine="472"/>
              <w:rPr>
                <w:sz w:val="24"/>
                <w:szCs w:val="24"/>
              </w:rPr>
            </w:pPr>
            <w:r>
              <w:rPr>
                <w:rFonts w:ascii="Times New Roman" w:hAnsi="Times New Roman" w:eastAsia="Times New Roman" w:cs="Times New Roman"/>
                <w:spacing w:val="-9"/>
                <w:sz w:val="24"/>
                <w:szCs w:val="24"/>
              </w:rPr>
              <w:t>c.</w:t>
            </w:r>
            <w:r>
              <w:rPr>
                <w:spacing w:val="-9"/>
                <w:sz w:val="24"/>
                <w:szCs w:val="24"/>
              </w:rPr>
              <w:t>落实危险废物管理计划制度， 按照《危险废物产生单位管理计划</w:t>
            </w:r>
            <w:r>
              <w:rPr>
                <w:spacing w:val="-10"/>
                <w:sz w:val="24"/>
                <w:szCs w:val="24"/>
              </w:rPr>
              <w:t>制定指南》《危</w:t>
            </w:r>
            <w:r>
              <w:rPr>
                <w:sz w:val="24"/>
                <w:szCs w:val="24"/>
              </w:rPr>
              <w:t xml:space="preserve"> </w:t>
            </w:r>
            <w:r>
              <w:rPr>
                <w:spacing w:val="-2"/>
                <w:sz w:val="24"/>
                <w:szCs w:val="24"/>
              </w:rPr>
              <w:t>险废物管理计划和管理台账制定技术导则》（</w:t>
            </w:r>
            <w:r>
              <w:rPr>
                <w:rFonts w:ascii="Times New Roman" w:hAnsi="Times New Roman" w:eastAsia="Times New Roman" w:cs="Times New Roman"/>
                <w:spacing w:val="-2"/>
                <w:sz w:val="24"/>
                <w:szCs w:val="24"/>
              </w:rPr>
              <w:t>HJ1259</w:t>
            </w:r>
            <w:r>
              <w:rPr>
                <w:spacing w:val="-2"/>
                <w:sz w:val="24"/>
                <w:szCs w:val="24"/>
              </w:rPr>
              <w:t>—</w:t>
            </w:r>
            <w:r>
              <w:rPr>
                <w:rFonts w:ascii="Times New Roman" w:hAnsi="Times New Roman" w:eastAsia="Times New Roman" w:cs="Times New Roman"/>
                <w:spacing w:val="-2"/>
                <w:sz w:val="24"/>
                <w:szCs w:val="24"/>
              </w:rPr>
              <w:t>2022</w:t>
            </w:r>
            <w:r>
              <w:rPr>
                <w:spacing w:val="-2"/>
                <w:sz w:val="24"/>
                <w:szCs w:val="24"/>
              </w:rPr>
              <w:t>）等有关要求制定</w:t>
            </w:r>
            <w:r>
              <w:rPr>
                <w:spacing w:val="-3"/>
                <w:sz w:val="24"/>
                <w:szCs w:val="24"/>
              </w:rPr>
              <w:t>危险废物</w:t>
            </w:r>
            <w:r>
              <w:rPr>
                <w:sz w:val="24"/>
                <w:szCs w:val="24"/>
              </w:rPr>
              <w:t xml:space="preserve"> </w:t>
            </w:r>
            <w:r>
              <w:rPr>
                <w:spacing w:val="-5"/>
                <w:sz w:val="24"/>
                <w:szCs w:val="24"/>
              </w:rPr>
              <w:t>管理计划， 内容应当包括减少危险废物产生量和降低危险废物危害性的措施以及危险废</w:t>
            </w:r>
          </w:p>
          <w:p>
            <w:pPr>
              <w:pStyle w:val="6"/>
              <w:spacing w:before="1" w:line="219" w:lineRule="auto"/>
              <w:ind w:left="108"/>
              <w:rPr>
                <w:sz w:val="24"/>
                <w:szCs w:val="24"/>
              </w:rPr>
            </w:pPr>
            <w:r>
              <w:rPr>
                <w:spacing w:val="-4"/>
                <w:sz w:val="24"/>
                <w:szCs w:val="24"/>
              </w:rPr>
              <w:t>物贮存、利用、处置措施。</w:t>
            </w:r>
          </w:p>
          <w:p>
            <w:pPr>
              <w:pStyle w:val="6"/>
              <w:spacing w:before="195" w:line="369" w:lineRule="auto"/>
              <w:ind w:left="110" w:right="106" w:firstLine="476"/>
              <w:rPr>
                <w:sz w:val="24"/>
                <w:szCs w:val="24"/>
              </w:rPr>
            </w:pPr>
            <w:r>
              <w:rPr>
                <w:rFonts w:ascii="Times New Roman" w:hAnsi="Times New Roman" w:eastAsia="Times New Roman" w:cs="Times New Roman"/>
                <w:sz w:val="24"/>
                <w:szCs w:val="24"/>
              </w:rPr>
              <w:t>d.</w:t>
            </w:r>
            <w:r>
              <w:rPr>
                <w:sz w:val="24"/>
                <w:szCs w:val="24"/>
              </w:rPr>
              <w:t>落实危险废物管理台账及申报制度，根据《危险废物管理计划和管理台账</w:t>
            </w:r>
            <w:r>
              <w:rPr>
                <w:spacing w:val="-1"/>
                <w:sz w:val="24"/>
                <w:szCs w:val="24"/>
              </w:rPr>
              <w:t>制定技</w:t>
            </w:r>
            <w:r>
              <w:rPr>
                <w:sz w:val="24"/>
                <w:szCs w:val="24"/>
              </w:rPr>
              <w:t xml:space="preserve"> </w:t>
            </w:r>
            <w:r>
              <w:rPr>
                <w:spacing w:val="-10"/>
                <w:sz w:val="24"/>
                <w:szCs w:val="24"/>
              </w:rPr>
              <w:t>术导则》（</w:t>
            </w:r>
            <w:r>
              <w:rPr>
                <w:rFonts w:ascii="Times New Roman" w:hAnsi="Times New Roman" w:eastAsia="Times New Roman" w:cs="Times New Roman"/>
                <w:spacing w:val="-10"/>
                <w:sz w:val="24"/>
                <w:szCs w:val="24"/>
              </w:rPr>
              <w:t>HJ1259</w:t>
            </w:r>
            <w:r>
              <w:rPr>
                <w:spacing w:val="-10"/>
                <w:sz w:val="24"/>
                <w:szCs w:val="24"/>
              </w:rPr>
              <w:t>—</w:t>
            </w:r>
            <w:r>
              <w:rPr>
                <w:rFonts w:ascii="Times New Roman" w:hAnsi="Times New Roman" w:eastAsia="Times New Roman" w:cs="Times New Roman"/>
                <w:spacing w:val="-10"/>
                <w:sz w:val="24"/>
                <w:szCs w:val="24"/>
              </w:rPr>
              <w:t>2022</w:t>
            </w:r>
            <w:r>
              <w:rPr>
                <w:spacing w:val="-10"/>
                <w:sz w:val="24"/>
                <w:szCs w:val="24"/>
              </w:rPr>
              <w:t>）建立危险废物管理台账，</w:t>
            </w:r>
            <w:r>
              <w:rPr>
                <w:spacing w:val="52"/>
                <w:sz w:val="24"/>
                <w:szCs w:val="24"/>
              </w:rPr>
              <w:t xml:space="preserve"> </w:t>
            </w:r>
            <w:r>
              <w:rPr>
                <w:spacing w:val="-10"/>
                <w:sz w:val="24"/>
                <w:szCs w:val="24"/>
              </w:rPr>
              <w:t>如实记录有关信息，</w:t>
            </w:r>
            <w:r>
              <w:rPr>
                <w:spacing w:val="54"/>
                <w:sz w:val="24"/>
                <w:szCs w:val="24"/>
              </w:rPr>
              <w:t xml:space="preserve"> </w:t>
            </w:r>
            <w:r>
              <w:rPr>
                <w:spacing w:val="-11"/>
                <w:sz w:val="24"/>
                <w:szCs w:val="24"/>
              </w:rPr>
              <w:t>并通过国家危</w:t>
            </w:r>
          </w:p>
          <w:p>
            <w:pPr>
              <w:pStyle w:val="6"/>
              <w:spacing w:before="1" w:line="219" w:lineRule="auto"/>
              <w:ind w:left="121"/>
              <w:rPr>
                <w:sz w:val="24"/>
                <w:szCs w:val="24"/>
              </w:rPr>
            </w:pPr>
            <w:r>
              <w:rPr>
                <w:spacing w:val="-1"/>
                <w:sz w:val="24"/>
                <w:szCs w:val="24"/>
              </w:rPr>
              <w:t>险废物信息管理系统向所在地生态环境主管</w:t>
            </w:r>
            <w:r>
              <w:rPr>
                <w:spacing w:val="-2"/>
                <w:sz w:val="24"/>
                <w:szCs w:val="24"/>
              </w:rPr>
              <w:t>部门申报危险废物的种类、产生量、流向、</w:t>
            </w:r>
          </w:p>
        </w:tc>
      </w:tr>
    </w:tbl>
    <w:p>
      <w:pPr>
        <w:pStyle w:val="2"/>
        <w:rPr>
          <w:sz w:val="21"/>
        </w:rPr>
      </w:pPr>
    </w:p>
    <w:p>
      <w:pPr>
        <w:rPr>
          <w:sz w:val="21"/>
          <w:szCs w:val="21"/>
        </w:rPr>
        <w:sectPr>
          <w:footerReference r:id="rId147"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4" w:line="369" w:lineRule="auto"/>
              <w:ind w:left="107" w:right="100" w:firstLine="1"/>
              <w:jc w:val="both"/>
              <w:rPr>
                <w:sz w:val="24"/>
                <w:szCs w:val="24"/>
              </w:rPr>
            </w:pPr>
            <w:r>
              <w:rPr>
                <w:spacing w:val="-6"/>
                <w:sz w:val="24"/>
                <w:szCs w:val="24"/>
              </w:rPr>
              <w:t>贮存、处置等有关资料；</w:t>
            </w:r>
            <w:r>
              <w:rPr>
                <w:spacing w:val="49"/>
                <w:sz w:val="24"/>
                <w:szCs w:val="24"/>
              </w:rPr>
              <w:t xml:space="preserve"> </w:t>
            </w:r>
            <w:r>
              <w:rPr>
                <w:spacing w:val="-6"/>
                <w:sz w:val="24"/>
                <w:szCs w:val="24"/>
              </w:rPr>
              <w:t>通过国家危险废物信息管理系统向所在地生态环境主管部门备</w:t>
            </w:r>
            <w:r>
              <w:rPr>
                <w:sz w:val="24"/>
                <w:szCs w:val="24"/>
              </w:rPr>
              <w:t xml:space="preserve"> </w:t>
            </w:r>
            <w:r>
              <w:rPr>
                <w:spacing w:val="-11"/>
                <w:sz w:val="24"/>
                <w:szCs w:val="24"/>
              </w:rPr>
              <w:t>案危险废物管理计划，</w:t>
            </w:r>
            <w:r>
              <w:rPr>
                <w:spacing w:val="79"/>
                <w:sz w:val="24"/>
                <w:szCs w:val="24"/>
              </w:rPr>
              <w:t xml:space="preserve"> </w:t>
            </w:r>
            <w:r>
              <w:rPr>
                <w:spacing w:val="-11"/>
                <w:sz w:val="24"/>
                <w:szCs w:val="24"/>
              </w:rPr>
              <w:t>申报危险废物有关资料；</w:t>
            </w:r>
            <w:r>
              <w:rPr>
                <w:spacing w:val="42"/>
                <w:sz w:val="24"/>
                <w:szCs w:val="24"/>
              </w:rPr>
              <w:t xml:space="preserve"> </w:t>
            </w:r>
            <w:r>
              <w:rPr>
                <w:spacing w:val="-11"/>
                <w:sz w:val="24"/>
                <w:szCs w:val="24"/>
              </w:rPr>
              <w:t>此外产生危险废物的单位应建立危险废</w:t>
            </w:r>
            <w:r>
              <w:rPr>
                <w:sz w:val="24"/>
                <w:szCs w:val="24"/>
              </w:rPr>
              <w:t xml:space="preserve"> </w:t>
            </w:r>
            <w:r>
              <w:rPr>
                <w:spacing w:val="-15"/>
                <w:sz w:val="24"/>
                <w:szCs w:val="24"/>
              </w:rPr>
              <w:t>物管理台账，</w:t>
            </w:r>
            <w:r>
              <w:rPr>
                <w:spacing w:val="48"/>
                <w:sz w:val="24"/>
                <w:szCs w:val="24"/>
              </w:rPr>
              <w:t xml:space="preserve"> </w:t>
            </w:r>
            <w:r>
              <w:rPr>
                <w:spacing w:val="-15"/>
                <w:sz w:val="24"/>
                <w:szCs w:val="24"/>
              </w:rPr>
              <w:t>落实危险废物管理台账记录的责</w:t>
            </w:r>
            <w:r>
              <w:rPr>
                <w:spacing w:val="-16"/>
                <w:sz w:val="24"/>
                <w:szCs w:val="24"/>
              </w:rPr>
              <w:t>任人，</w:t>
            </w:r>
            <w:r>
              <w:rPr>
                <w:spacing w:val="69"/>
                <w:sz w:val="24"/>
                <w:szCs w:val="24"/>
              </w:rPr>
              <w:t xml:space="preserve"> </w:t>
            </w:r>
            <w:r>
              <w:rPr>
                <w:spacing w:val="-16"/>
                <w:sz w:val="24"/>
                <w:szCs w:val="24"/>
              </w:rPr>
              <w:t>明确工作职责，</w:t>
            </w:r>
            <w:r>
              <w:rPr>
                <w:spacing w:val="52"/>
                <w:sz w:val="24"/>
                <w:szCs w:val="24"/>
              </w:rPr>
              <w:t xml:space="preserve"> </w:t>
            </w:r>
            <w:r>
              <w:rPr>
                <w:spacing w:val="-16"/>
                <w:sz w:val="24"/>
                <w:szCs w:val="24"/>
              </w:rPr>
              <w:t>并对危险废物管理</w:t>
            </w:r>
            <w:r>
              <w:rPr>
                <w:sz w:val="24"/>
                <w:szCs w:val="24"/>
              </w:rPr>
              <w:t xml:space="preserve"> </w:t>
            </w:r>
            <w:r>
              <w:rPr>
                <w:spacing w:val="-3"/>
                <w:sz w:val="24"/>
                <w:szCs w:val="24"/>
              </w:rPr>
              <w:t>台账的真实性、</w:t>
            </w:r>
            <w:r>
              <w:rPr>
                <w:spacing w:val="56"/>
                <w:sz w:val="24"/>
                <w:szCs w:val="24"/>
              </w:rPr>
              <w:t xml:space="preserve"> </w:t>
            </w:r>
            <w:r>
              <w:rPr>
                <w:spacing w:val="-3"/>
                <w:sz w:val="24"/>
                <w:szCs w:val="24"/>
              </w:rPr>
              <w:t>准确性和完整性负法律责任。 产生危险废物的单位应根据危险废物产</w:t>
            </w:r>
            <w:r>
              <w:rPr>
                <w:sz w:val="24"/>
                <w:szCs w:val="24"/>
              </w:rPr>
              <w:t xml:space="preserve"> </w:t>
            </w:r>
            <w:r>
              <w:rPr>
                <w:spacing w:val="-6"/>
                <w:sz w:val="24"/>
                <w:szCs w:val="24"/>
              </w:rPr>
              <w:t>生、贮存、利用、处置等环节的动态流向，</w:t>
            </w:r>
            <w:r>
              <w:rPr>
                <w:spacing w:val="57"/>
                <w:sz w:val="24"/>
                <w:szCs w:val="24"/>
              </w:rPr>
              <w:t xml:space="preserve"> </w:t>
            </w:r>
            <w:r>
              <w:rPr>
                <w:spacing w:val="-6"/>
                <w:sz w:val="24"/>
                <w:szCs w:val="24"/>
              </w:rPr>
              <w:t>如实建立各环节的危险废物</w:t>
            </w:r>
            <w:r>
              <w:rPr>
                <w:spacing w:val="-7"/>
                <w:sz w:val="24"/>
                <w:szCs w:val="24"/>
              </w:rPr>
              <w:t>管理台账。危险</w:t>
            </w:r>
            <w:r>
              <w:rPr>
                <w:sz w:val="24"/>
                <w:szCs w:val="24"/>
              </w:rPr>
              <w:t xml:space="preserve"> </w:t>
            </w:r>
            <w:r>
              <w:rPr>
                <w:spacing w:val="-2"/>
                <w:sz w:val="24"/>
                <w:szCs w:val="24"/>
              </w:rPr>
              <w:t>废物管理台账分为电子管理台账和纸质管理台账两种形式。产生危险废物的单位可通过</w:t>
            </w:r>
            <w:r>
              <w:rPr>
                <w:spacing w:val="16"/>
                <w:sz w:val="24"/>
                <w:szCs w:val="24"/>
              </w:rPr>
              <w:t xml:space="preserve"> </w:t>
            </w:r>
            <w:r>
              <w:rPr>
                <w:spacing w:val="-2"/>
                <w:sz w:val="24"/>
                <w:szCs w:val="24"/>
              </w:rPr>
              <w:t>国家危险废物信息管理系统、企业自建信息管理系统或第三方平台等方式记录电子管理</w:t>
            </w:r>
          </w:p>
          <w:p>
            <w:pPr>
              <w:pStyle w:val="6"/>
              <w:spacing w:line="219" w:lineRule="auto"/>
              <w:ind w:left="127"/>
              <w:rPr>
                <w:sz w:val="24"/>
                <w:szCs w:val="24"/>
              </w:rPr>
            </w:pPr>
            <w:r>
              <w:rPr>
                <w:spacing w:val="-3"/>
                <w:sz w:val="24"/>
                <w:szCs w:val="24"/>
              </w:rPr>
              <w:t>台账。危废管理台账保存时间原则上应存档</w:t>
            </w:r>
            <w:r>
              <w:rPr>
                <w:spacing w:val="-38"/>
                <w:sz w:val="24"/>
                <w:szCs w:val="24"/>
              </w:rPr>
              <w:t xml:space="preserve"> </w:t>
            </w:r>
            <w:r>
              <w:rPr>
                <w:rFonts w:ascii="Times New Roman" w:hAnsi="Times New Roman" w:eastAsia="Times New Roman" w:cs="Times New Roman"/>
                <w:spacing w:val="-3"/>
                <w:sz w:val="24"/>
                <w:szCs w:val="24"/>
              </w:rPr>
              <w:t xml:space="preserve">5 </w:t>
            </w:r>
            <w:r>
              <w:rPr>
                <w:spacing w:val="-3"/>
                <w:sz w:val="24"/>
                <w:szCs w:val="24"/>
              </w:rPr>
              <w:t>年以上。</w:t>
            </w:r>
          </w:p>
          <w:p>
            <w:pPr>
              <w:pStyle w:val="6"/>
              <w:spacing w:before="195" w:line="480" w:lineRule="exact"/>
              <w:ind w:left="587"/>
              <w:rPr>
                <w:sz w:val="24"/>
                <w:szCs w:val="24"/>
              </w:rPr>
            </w:pPr>
            <w:r>
              <w:rPr>
                <w:rFonts w:ascii="Times New Roman" w:hAnsi="Times New Roman" w:eastAsia="Times New Roman" w:cs="Times New Roman"/>
                <w:spacing w:val="-3"/>
                <w:position w:val="17"/>
                <w:sz w:val="24"/>
                <w:szCs w:val="24"/>
              </w:rPr>
              <w:t>e.</w:t>
            </w:r>
            <w:r>
              <w:rPr>
                <w:spacing w:val="-3"/>
                <w:position w:val="17"/>
                <w:sz w:val="24"/>
                <w:szCs w:val="24"/>
              </w:rPr>
              <w:t>落实危险废物经营许可证制度， 禁止将危险废物提供或委托给无危险废物经营许</w:t>
            </w:r>
          </w:p>
          <w:p>
            <w:pPr>
              <w:pStyle w:val="6"/>
              <w:spacing w:line="219" w:lineRule="auto"/>
              <w:ind w:left="110"/>
              <w:rPr>
                <w:sz w:val="24"/>
                <w:szCs w:val="24"/>
              </w:rPr>
            </w:pPr>
            <w:r>
              <w:rPr>
                <w:spacing w:val="-2"/>
                <w:sz w:val="24"/>
                <w:szCs w:val="24"/>
              </w:rPr>
              <w:t>可证的单位或者其他生产经营者从事收集、贮存、利用、处置活动。</w:t>
            </w:r>
          </w:p>
          <w:p>
            <w:pPr>
              <w:pStyle w:val="6"/>
              <w:spacing w:before="196" w:line="369" w:lineRule="auto"/>
              <w:ind w:left="107" w:right="100" w:firstLine="480"/>
              <w:rPr>
                <w:sz w:val="24"/>
                <w:szCs w:val="24"/>
              </w:rPr>
            </w:pPr>
            <w:r>
              <w:rPr>
                <w:rFonts w:ascii="Times New Roman" w:hAnsi="Times New Roman" w:eastAsia="Times New Roman" w:cs="Times New Roman"/>
                <w:spacing w:val="-2"/>
                <w:sz w:val="24"/>
                <w:szCs w:val="24"/>
              </w:rPr>
              <w:t>f.</w:t>
            </w:r>
            <w:r>
              <w:rPr>
                <w:spacing w:val="-2"/>
                <w:sz w:val="24"/>
                <w:szCs w:val="24"/>
              </w:rPr>
              <w:t>落实危险废物转移联单制度， 转移危险废物的，应当按照《危</w:t>
            </w:r>
            <w:r>
              <w:rPr>
                <w:spacing w:val="-3"/>
                <w:sz w:val="24"/>
                <w:szCs w:val="24"/>
              </w:rPr>
              <w:t>险废物转移管理办</w:t>
            </w:r>
            <w:r>
              <w:rPr>
                <w:sz w:val="24"/>
                <w:szCs w:val="24"/>
              </w:rPr>
              <w:t xml:space="preserve"> </w:t>
            </w:r>
            <w:r>
              <w:rPr>
                <w:spacing w:val="-6"/>
                <w:sz w:val="24"/>
                <w:szCs w:val="24"/>
              </w:rPr>
              <w:t>法》的有关规定填写、运行危险废物转移联单。运输危险废物，</w:t>
            </w:r>
            <w:r>
              <w:rPr>
                <w:spacing w:val="50"/>
                <w:sz w:val="24"/>
                <w:szCs w:val="24"/>
              </w:rPr>
              <w:t xml:space="preserve"> </w:t>
            </w:r>
            <w:r>
              <w:rPr>
                <w:spacing w:val="-6"/>
                <w:sz w:val="24"/>
                <w:szCs w:val="24"/>
              </w:rPr>
              <w:t>应当采取防止污染环境</w:t>
            </w:r>
            <w:r>
              <w:rPr>
                <w:sz w:val="24"/>
                <w:szCs w:val="24"/>
              </w:rPr>
              <w:t xml:space="preserve"> </w:t>
            </w:r>
            <w:r>
              <w:rPr>
                <w:spacing w:val="-5"/>
                <w:sz w:val="24"/>
                <w:szCs w:val="24"/>
              </w:rPr>
              <w:t>的措施， 并遵守国家有关危险货物运输管理的规定。油基岩屑、含矿物油废物和废矿物</w:t>
            </w:r>
            <w:r>
              <w:rPr>
                <w:spacing w:val="15"/>
                <w:sz w:val="24"/>
                <w:szCs w:val="24"/>
              </w:rPr>
              <w:t xml:space="preserve"> </w:t>
            </w:r>
            <w:r>
              <w:rPr>
                <w:spacing w:val="-10"/>
                <w:sz w:val="24"/>
                <w:szCs w:val="24"/>
              </w:rPr>
              <w:t>油转运实施五联单转运制度，</w:t>
            </w:r>
            <w:r>
              <w:rPr>
                <w:spacing w:val="42"/>
                <w:sz w:val="24"/>
                <w:szCs w:val="24"/>
              </w:rPr>
              <w:t xml:space="preserve"> </w:t>
            </w:r>
            <w:r>
              <w:rPr>
                <w:spacing w:val="-10"/>
                <w:sz w:val="24"/>
                <w:szCs w:val="24"/>
              </w:rPr>
              <w:t>联单第一联由产生单位自留存档，</w:t>
            </w:r>
            <w:r>
              <w:rPr>
                <w:spacing w:val="40"/>
                <w:sz w:val="24"/>
                <w:szCs w:val="24"/>
              </w:rPr>
              <w:t xml:space="preserve"> </w:t>
            </w:r>
            <w:r>
              <w:rPr>
                <w:spacing w:val="-10"/>
                <w:sz w:val="24"/>
                <w:szCs w:val="24"/>
              </w:rPr>
              <w:t>联单第二联副联由产生</w:t>
            </w:r>
            <w:r>
              <w:rPr>
                <w:sz w:val="24"/>
                <w:szCs w:val="24"/>
              </w:rPr>
              <w:t xml:space="preserve"> </w:t>
            </w:r>
            <w:r>
              <w:rPr>
                <w:spacing w:val="-5"/>
                <w:sz w:val="24"/>
                <w:szCs w:val="24"/>
              </w:rPr>
              <w:t>单位在二日内报送移出地环境保护行政主管部门； 接收单位将联单第三联交付运输单位</w:t>
            </w:r>
            <w:r>
              <w:rPr>
                <w:spacing w:val="16"/>
                <w:sz w:val="24"/>
                <w:szCs w:val="24"/>
              </w:rPr>
              <w:t xml:space="preserve"> </w:t>
            </w:r>
            <w:r>
              <w:rPr>
                <w:spacing w:val="-9"/>
                <w:sz w:val="24"/>
                <w:szCs w:val="24"/>
              </w:rPr>
              <w:t>存档； 将联单第四联自留存档；</w:t>
            </w:r>
            <w:r>
              <w:rPr>
                <w:spacing w:val="54"/>
                <w:sz w:val="24"/>
                <w:szCs w:val="24"/>
              </w:rPr>
              <w:t xml:space="preserve"> </w:t>
            </w:r>
            <w:r>
              <w:rPr>
                <w:spacing w:val="-9"/>
                <w:sz w:val="24"/>
                <w:szCs w:val="24"/>
              </w:rPr>
              <w:t>将联单第五联自接受危险废物之日起二日内报送接受地</w:t>
            </w:r>
          </w:p>
          <w:p>
            <w:pPr>
              <w:pStyle w:val="6"/>
              <w:spacing w:before="1" w:line="219" w:lineRule="auto"/>
              <w:ind w:left="108"/>
              <w:rPr>
                <w:sz w:val="24"/>
                <w:szCs w:val="24"/>
              </w:rPr>
            </w:pPr>
            <w:r>
              <w:rPr>
                <w:spacing w:val="-2"/>
                <w:sz w:val="24"/>
                <w:szCs w:val="24"/>
              </w:rPr>
              <w:t>环境保护行政主管部门，联单保存期限为五</w:t>
            </w:r>
            <w:r>
              <w:rPr>
                <w:spacing w:val="-3"/>
                <w:sz w:val="24"/>
                <w:szCs w:val="24"/>
              </w:rPr>
              <w:t>年。</w:t>
            </w:r>
          </w:p>
          <w:p>
            <w:pPr>
              <w:pStyle w:val="6"/>
              <w:spacing w:before="195" w:line="212" w:lineRule="auto"/>
              <w:ind w:left="586"/>
              <w:rPr>
                <w:sz w:val="24"/>
                <w:szCs w:val="24"/>
              </w:rPr>
            </w:pPr>
            <w:r>
              <w:rPr>
                <w:rFonts w:ascii="Times New Roman" w:hAnsi="Times New Roman" w:eastAsia="Times New Roman" w:cs="Times New Roman"/>
                <w:spacing w:val="-4"/>
                <w:sz w:val="24"/>
                <w:szCs w:val="24"/>
              </w:rPr>
              <w:t>g.</w:t>
            </w:r>
            <w:r>
              <w:rPr>
                <w:spacing w:val="-4"/>
                <w:sz w:val="24"/>
                <w:szCs w:val="24"/>
              </w:rPr>
              <w:t>落实排污许可制度。</w:t>
            </w:r>
          </w:p>
          <w:p>
            <w:pPr>
              <w:pStyle w:val="6"/>
              <w:spacing w:before="205" w:line="369" w:lineRule="auto"/>
              <w:ind w:left="106" w:right="100" w:firstLine="473"/>
              <w:rPr>
                <w:sz w:val="24"/>
                <w:szCs w:val="24"/>
              </w:rPr>
            </w:pPr>
            <w:r>
              <w:rPr>
                <w:rFonts w:ascii="Times New Roman" w:hAnsi="Times New Roman" w:eastAsia="Times New Roman" w:cs="Times New Roman"/>
                <w:spacing w:val="-3"/>
                <w:sz w:val="24"/>
                <w:szCs w:val="24"/>
              </w:rPr>
              <w:t>h.</w:t>
            </w:r>
            <w:r>
              <w:rPr>
                <w:spacing w:val="-3"/>
                <w:sz w:val="24"/>
                <w:szCs w:val="24"/>
              </w:rPr>
              <w:t>落实环境保护标准制度， 按照国家有关规定和环境保护标准要求贮存、利用</w:t>
            </w:r>
            <w:r>
              <w:rPr>
                <w:spacing w:val="-4"/>
                <w:sz w:val="24"/>
                <w:szCs w:val="24"/>
              </w:rPr>
              <w:t>、处</w:t>
            </w:r>
            <w:r>
              <w:rPr>
                <w:sz w:val="24"/>
                <w:szCs w:val="24"/>
              </w:rPr>
              <w:t xml:space="preserve"> </w:t>
            </w:r>
            <w:r>
              <w:rPr>
                <w:spacing w:val="-11"/>
                <w:sz w:val="24"/>
                <w:szCs w:val="24"/>
              </w:rPr>
              <w:t>置危险废物，</w:t>
            </w:r>
            <w:r>
              <w:rPr>
                <w:spacing w:val="65"/>
                <w:sz w:val="24"/>
                <w:szCs w:val="24"/>
              </w:rPr>
              <w:t xml:space="preserve"> </w:t>
            </w:r>
            <w:r>
              <w:rPr>
                <w:spacing w:val="-11"/>
                <w:sz w:val="24"/>
                <w:szCs w:val="24"/>
              </w:rPr>
              <w:t>不得将其擅自倾倒处置；</w:t>
            </w:r>
            <w:r>
              <w:rPr>
                <w:spacing w:val="56"/>
                <w:sz w:val="24"/>
                <w:szCs w:val="24"/>
              </w:rPr>
              <w:t xml:space="preserve"> </w:t>
            </w:r>
            <w:r>
              <w:rPr>
                <w:spacing w:val="-11"/>
                <w:sz w:val="24"/>
                <w:szCs w:val="24"/>
              </w:rPr>
              <w:t>禁止混合收集、贮存、运输、处置性质不相容或</w:t>
            </w:r>
            <w:r>
              <w:rPr>
                <w:sz w:val="24"/>
                <w:szCs w:val="24"/>
              </w:rPr>
              <w:t xml:space="preserve"> </w:t>
            </w:r>
            <w:r>
              <w:rPr>
                <w:spacing w:val="-6"/>
                <w:sz w:val="24"/>
                <w:szCs w:val="24"/>
              </w:rPr>
              <w:t>未经安全性处置的危险废物。危险废物收集、贮存应当按照其特性分类进行；</w:t>
            </w:r>
            <w:r>
              <w:rPr>
                <w:spacing w:val="49"/>
                <w:sz w:val="24"/>
                <w:szCs w:val="24"/>
              </w:rPr>
              <w:t xml:space="preserve"> </w:t>
            </w:r>
            <w:r>
              <w:rPr>
                <w:spacing w:val="-6"/>
                <w:sz w:val="24"/>
                <w:szCs w:val="24"/>
              </w:rPr>
              <w:t>禁止将危</w:t>
            </w:r>
            <w:r>
              <w:rPr>
                <w:sz w:val="24"/>
                <w:szCs w:val="24"/>
              </w:rPr>
              <w:t xml:space="preserve"> </w:t>
            </w:r>
            <w:r>
              <w:rPr>
                <w:spacing w:val="-2"/>
                <w:sz w:val="24"/>
                <w:szCs w:val="24"/>
              </w:rPr>
              <w:t>险废物混入非危险废物中贮存。危险废物收集、贮存过程的污染控制执行《危险废物贮</w:t>
            </w:r>
          </w:p>
          <w:p>
            <w:pPr>
              <w:pStyle w:val="6"/>
              <w:spacing w:before="1" w:line="219" w:lineRule="auto"/>
              <w:ind w:left="107"/>
              <w:rPr>
                <w:sz w:val="24"/>
                <w:szCs w:val="24"/>
              </w:rPr>
            </w:pPr>
            <w:r>
              <w:rPr>
                <w:spacing w:val="-3"/>
                <w:sz w:val="24"/>
                <w:szCs w:val="24"/>
              </w:rPr>
              <w:t>存污染控制标准》（</w:t>
            </w:r>
            <w:r>
              <w:rPr>
                <w:rFonts w:ascii="Times New Roman" w:hAnsi="Times New Roman" w:eastAsia="Times New Roman" w:cs="Times New Roman"/>
                <w:spacing w:val="-3"/>
                <w:sz w:val="24"/>
                <w:szCs w:val="24"/>
              </w:rPr>
              <w:t>GB</w:t>
            </w:r>
            <w:r>
              <w:rPr>
                <w:rFonts w:ascii="Times New Roman" w:hAnsi="Times New Roman" w:eastAsia="Times New Roman" w:cs="Times New Roman"/>
                <w:spacing w:val="44"/>
                <w:w w:val="101"/>
                <w:sz w:val="24"/>
                <w:szCs w:val="24"/>
              </w:rPr>
              <w:t xml:space="preserve"> </w:t>
            </w:r>
            <w:r>
              <w:rPr>
                <w:rFonts w:ascii="Times New Roman" w:hAnsi="Times New Roman" w:eastAsia="Times New Roman" w:cs="Times New Roman"/>
                <w:spacing w:val="-3"/>
                <w:sz w:val="24"/>
                <w:szCs w:val="24"/>
              </w:rPr>
              <w:t>18597-2023</w:t>
            </w:r>
            <w:r>
              <w:rPr>
                <w:spacing w:val="-3"/>
                <w:sz w:val="24"/>
                <w:szCs w:val="24"/>
              </w:rPr>
              <w:t>）等有关规定。</w:t>
            </w:r>
          </w:p>
          <w:p>
            <w:pPr>
              <w:pStyle w:val="6"/>
              <w:spacing w:before="196" w:line="369" w:lineRule="auto"/>
              <w:ind w:left="109" w:right="102" w:firstLine="476"/>
              <w:rPr>
                <w:sz w:val="24"/>
                <w:szCs w:val="24"/>
              </w:rPr>
            </w:pPr>
            <w:r>
              <w:rPr>
                <w:rFonts w:ascii="Times New Roman" w:hAnsi="Times New Roman" w:eastAsia="Times New Roman" w:cs="Times New Roman"/>
                <w:spacing w:val="1"/>
                <w:sz w:val="24"/>
                <w:szCs w:val="24"/>
              </w:rPr>
              <w:t>i.</w:t>
            </w:r>
            <w:r>
              <w:rPr>
                <w:spacing w:val="1"/>
                <w:sz w:val="24"/>
                <w:szCs w:val="24"/>
              </w:rPr>
              <w:t>落实环境影响评价制度及环境保护三同时制</w:t>
            </w:r>
            <w:r>
              <w:rPr>
                <w:sz w:val="24"/>
                <w:szCs w:val="24"/>
              </w:rPr>
              <w:t xml:space="preserve">度，需要配套建设的危险废物贮存、 </w:t>
            </w:r>
            <w:r>
              <w:rPr>
                <w:spacing w:val="-5"/>
                <w:sz w:val="24"/>
                <w:szCs w:val="24"/>
              </w:rPr>
              <w:t>利用和处置设施（泥浆循环系统、泥浆不落地系统和危废暂存间等） 应当与主体工程同</w:t>
            </w:r>
          </w:p>
          <w:p>
            <w:pPr>
              <w:pStyle w:val="6"/>
              <w:spacing w:before="1" w:line="219" w:lineRule="auto"/>
              <w:ind w:left="119"/>
              <w:rPr>
                <w:sz w:val="24"/>
                <w:szCs w:val="24"/>
              </w:rPr>
            </w:pPr>
            <w:r>
              <w:rPr>
                <w:spacing w:val="-4"/>
                <w:sz w:val="24"/>
                <w:szCs w:val="24"/>
              </w:rPr>
              <w:t>时设计、同时施工、同时投入使用。</w:t>
            </w:r>
          </w:p>
          <w:p>
            <w:pPr>
              <w:pStyle w:val="6"/>
              <w:spacing w:before="195" w:line="369" w:lineRule="auto"/>
              <w:ind w:left="109" w:right="103" w:firstLine="451"/>
              <w:rPr>
                <w:sz w:val="24"/>
                <w:szCs w:val="24"/>
              </w:rPr>
            </w:pPr>
            <w:r>
              <w:rPr>
                <w:rFonts w:ascii="Times New Roman" w:hAnsi="Times New Roman" w:eastAsia="Times New Roman" w:cs="Times New Roman"/>
                <w:spacing w:val="2"/>
                <w:sz w:val="24"/>
                <w:szCs w:val="24"/>
              </w:rPr>
              <w:t>j.</w:t>
            </w:r>
            <w:r>
              <w:rPr>
                <w:spacing w:val="2"/>
                <w:sz w:val="24"/>
                <w:szCs w:val="24"/>
              </w:rPr>
              <w:t>落实环境应急预案制度，参考《危险废物经营单位编制应急预案指南》有关规定</w:t>
            </w:r>
            <w:r>
              <w:rPr>
                <w:spacing w:val="4"/>
                <w:sz w:val="24"/>
                <w:szCs w:val="24"/>
              </w:rPr>
              <w:t xml:space="preserve"> </w:t>
            </w:r>
            <w:r>
              <w:rPr>
                <w:spacing w:val="-5"/>
                <w:sz w:val="24"/>
                <w:szCs w:val="24"/>
              </w:rPr>
              <w:t>制定意外事故的防范措施和环境应急预案， 并向所在地生态环境主管部门和其他负有固</w:t>
            </w:r>
          </w:p>
          <w:p>
            <w:pPr>
              <w:pStyle w:val="6"/>
              <w:spacing w:line="219" w:lineRule="auto"/>
              <w:ind w:left="108"/>
              <w:rPr>
                <w:sz w:val="24"/>
                <w:szCs w:val="24"/>
              </w:rPr>
            </w:pPr>
            <w:r>
              <w:rPr>
                <w:spacing w:val="-2"/>
                <w:sz w:val="24"/>
                <w:szCs w:val="24"/>
              </w:rPr>
              <w:t>体废物污染环境防治监督管理职责的部门备</w:t>
            </w:r>
            <w:r>
              <w:rPr>
                <w:spacing w:val="-3"/>
                <w:sz w:val="24"/>
                <w:szCs w:val="24"/>
              </w:rPr>
              <w:t>案。</w:t>
            </w:r>
          </w:p>
        </w:tc>
      </w:tr>
    </w:tbl>
    <w:p>
      <w:pPr>
        <w:pStyle w:val="2"/>
        <w:rPr>
          <w:sz w:val="21"/>
        </w:rPr>
      </w:pPr>
    </w:p>
    <w:p>
      <w:pPr>
        <w:rPr>
          <w:sz w:val="21"/>
          <w:szCs w:val="21"/>
        </w:rPr>
        <w:sectPr>
          <w:footerReference r:id="rId148"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3" w:line="369" w:lineRule="auto"/>
              <w:ind w:left="112" w:right="19" w:firstLine="468"/>
              <w:jc w:val="both"/>
              <w:rPr>
                <w:sz w:val="24"/>
                <w:szCs w:val="24"/>
              </w:rPr>
            </w:pPr>
            <w:r>
              <w:rPr>
                <w:rFonts w:ascii="Times New Roman" w:hAnsi="Times New Roman" w:eastAsia="Times New Roman" w:cs="Times New Roman"/>
                <w:sz w:val="24"/>
                <w:szCs w:val="24"/>
              </w:rPr>
              <w:t>k.</w:t>
            </w:r>
            <w:r>
              <w:rPr>
                <w:sz w:val="24"/>
                <w:szCs w:val="24"/>
              </w:rPr>
              <w:t>在钻井过程中，尽量使用水基泥浆钻井，做好钻井泥浆不落</w:t>
            </w:r>
            <w:r>
              <w:rPr>
                <w:spacing w:val="-1"/>
                <w:sz w:val="24"/>
                <w:szCs w:val="24"/>
              </w:rPr>
              <w:t xml:space="preserve">地设施的维护，使用 </w:t>
            </w:r>
            <w:r>
              <w:rPr>
                <w:spacing w:val="-13"/>
                <w:sz w:val="24"/>
                <w:szCs w:val="24"/>
              </w:rPr>
              <w:t>油基泥浆钻井时，</w:t>
            </w:r>
            <w:r>
              <w:rPr>
                <w:spacing w:val="26"/>
                <w:sz w:val="24"/>
                <w:szCs w:val="24"/>
              </w:rPr>
              <w:t xml:space="preserve"> </w:t>
            </w:r>
            <w:r>
              <w:rPr>
                <w:spacing w:val="-13"/>
                <w:sz w:val="24"/>
                <w:szCs w:val="24"/>
              </w:rPr>
              <w:t>定期巡检油基岩屑、含矿物油废物的</w:t>
            </w:r>
            <w:r>
              <w:rPr>
                <w:spacing w:val="-14"/>
                <w:sz w:val="24"/>
                <w:szCs w:val="24"/>
              </w:rPr>
              <w:t>收集、贮存设施，</w:t>
            </w:r>
            <w:r>
              <w:rPr>
                <w:spacing w:val="35"/>
                <w:sz w:val="24"/>
                <w:szCs w:val="24"/>
              </w:rPr>
              <w:t xml:space="preserve"> </w:t>
            </w:r>
            <w:r>
              <w:rPr>
                <w:spacing w:val="-14"/>
                <w:sz w:val="24"/>
                <w:szCs w:val="24"/>
              </w:rPr>
              <w:t>防止油基岩屑、</w:t>
            </w:r>
          </w:p>
          <w:p>
            <w:pPr>
              <w:pStyle w:val="6"/>
              <w:spacing w:line="219" w:lineRule="auto"/>
              <w:ind w:left="108"/>
              <w:rPr>
                <w:sz w:val="24"/>
                <w:szCs w:val="24"/>
              </w:rPr>
            </w:pPr>
            <w:r>
              <w:rPr>
                <w:spacing w:val="-5"/>
                <w:sz w:val="24"/>
                <w:szCs w:val="24"/>
              </w:rPr>
              <w:t>含矿物油废物外溢。</w:t>
            </w:r>
          </w:p>
          <w:p>
            <w:pPr>
              <w:pStyle w:val="6"/>
              <w:spacing w:before="194" w:line="480" w:lineRule="exact"/>
              <w:ind w:left="586"/>
              <w:rPr>
                <w:sz w:val="24"/>
                <w:szCs w:val="24"/>
              </w:rPr>
            </w:pPr>
            <w:r>
              <w:rPr>
                <w:rFonts w:ascii="Times New Roman" w:hAnsi="Times New Roman" w:eastAsia="Times New Roman" w:cs="Times New Roman"/>
                <w:spacing w:val="-2"/>
                <w:position w:val="17"/>
                <w:sz w:val="24"/>
                <w:szCs w:val="24"/>
              </w:rPr>
              <w:t>l.</w:t>
            </w:r>
            <w:r>
              <w:rPr>
                <w:spacing w:val="-2"/>
                <w:position w:val="17"/>
                <w:sz w:val="24"/>
                <w:szCs w:val="24"/>
              </w:rPr>
              <w:t>特殊情况下采用油基钻井液钻井时， 井场设危废暂存间贮存废矿物油等，设置钻</w:t>
            </w:r>
          </w:p>
          <w:p>
            <w:pPr>
              <w:pStyle w:val="6"/>
              <w:spacing w:line="219" w:lineRule="auto"/>
              <w:ind w:left="108"/>
              <w:rPr>
                <w:sz w:val="24"/>
                <w:szCs w:val="24"/>
              </w:rPr>
            </w:pPr>
            <w:r>
              <w:rPr>
                <w:spacing w:val="-2"/>
                <w:sz w:val="24"/>
                <w:szCs w:val="24"/>
              </w:rPr>
              <w:t>井固废区使用废渣罐贮存油基岩屑、含矿物油废物。</w:t>
            </w:r>
          </w:p>
          <w:p>
            <w:pPr>
              <w:pStyle w:val="6"/>
              <w:spacing w:before="194" w:line="220" w:lineRule="auto"/>
              <w:ind w:left="59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3</w:t>
            </w:r>
            <w:r>
              <w:rPr>
                <w:spacing w:val="-4"/>
                <w:sz w:val="24"/>
                <w:szCs w:val="24"/>
                <w14:textOutline w14:w="4354" w14:cap="flat" w14:cmpd="sng">
                  <w14:solidFill>
                    <w14:srgbClr w14:val="000000"/>
                  </w14:solidFill>
                  <w14:prstDash w14:val="solid"/>
                  <w14:miter w14:val="10"/>
                </w14:textOutline>
              </w:rPr>
              <w:t>）生活垃圾</w:t>
            </w:r>
          </w:p>
          <w:p>
            <w:pPr>
              <w:pStyle w:val="6"/>
              <w:spacing w:before="194" w:line="480" w:lineRule="exact"/>
              <w:ind w:left="588"/>
              <w:rPr>
                <w:sz w:val="24"/>
                <w:szCs w:val="24"/>
              </w:rPr>
            </w:pPr>
            <w:r>
              <w:rPr>
                <w:spacing w:val="5"/>
                <w:position w:val="18"/>
                <w:sz w:val="24"/>
                <w:szCs w:val="24"/>
              </w:rPr>
              <w:t>钻井工程施工人员产生的生活垃圾定点收集后，定期外运江陵镇环卫集中收集处</w:t>
            </w:r>
          </w:p>
          <w:p>
            <w:pPr>
              <w:pStyle w:val="6"/>
              <w:spacing w:before="1" w:line="225" w:lineRule="auto"/>
              <w:ind w:left="106"/>
              <w:rPr>
                <w:sz w:val="24"/>
                <w:szCs w:val="24"/>
              </w:rPr>
            </w:pPr>
            <w:r>
              <w:rPr>
                <w:spacing w:val="-11"/>
                <w:sz w:val="24"/>
                <w:szCs w:val="24"/>
              </w:rPr>
              <w:t>置。</w:t>
            </w:r>
          </w:p>
          <w:p>
            <w:pPr>
              <w:pStyle w:val="6"/>
              <w:spacing w:before="187" w:line="480" w:lineRule="exact"/>
              <w:ind w:left="591"/>
              <w:rPr>
                <w:sz w:val="24"/>
                <w:szCs w:val="24"/>
              </w:rPr>
            </w:pPr>
            <w:r>
              <w:rPr>
                <w:spacing w:val="-14"/>
                <w:position w:val="18"/>
                <w:sz w:val="24"/>
                <w:szCs w:val="24"/>
              </w:rPr>
              <w:t>综上， 采取上述措施后，</w:t>
            </w:r>
            <w:r>
              <w:rPr>
                <w:spacing w:val="51"/>
                <w:position w:val="18"/>
                <w:sz w:val="24"/>
                <w:szCs w:val="24"/>
              </w:rPr>
              <w:t xml:space="preserve"> </w:t>
            </w:r>
            <w:r>
              <w:rPr>
                <w:spacing w:val="-14"/>
                <w:position w:val="18"/>
                <w:sz w:val="24"/>
                <w:szCs w:val="24"/>
              </w:rPr>
              <w:t>拟建项目固体废物均可得到合理的处理与处置，</w:t>
            </w:r>
            <w:r>
              <w:rPr>
                <w:spacing w:val="45"/>
                <w:position w:val="18"/>
                <w:sz w:val="24"/>
                <w:szCs w:val="24"/>
              </w:rPr>
              <w:t xml:space="preserve"> </w:t>
            </w:r>
            <w:r>
              <w:rPr>
                <w:spacing w:val="-14"/>
                <w:position w:val="18"/>
                <w:sz w:val="24"/>
                <w:szCs w:val="24"/>
              </w:rPr>
              <w:t>对环境影</w:t>
            </w:r>
          </w:p>
          <w:p>
            <w:pPr>
              <w:pStyle w:val="6"/>
              <w:spacing w:before="1" w:line="220" w:lineRule="auto"/>
              <w:ind w:left="120"/>
              <w:rPr>
                <w:sz w:val="24"/>
                <w:szCs w:val="24"/>
              </w:rPr>
            </w:pPr>
            <w:r>
              <w:rPr>
                <w:spacing w:val="-10"/>
                <w:sz w:val="24"/>
                <w:szCs w:val="24"/>
              </w:rPr>
              <w:t>响可接受。</w:t>
            </w:r>
          </w:p>
          <w:p>
            <w:pPr>
              <w:pStyle w:val="6"/>
              <w:spacing w:before="242" w:line="220" w:lineRule="auto"/>
              <w:ind w:left="107"/>
              <w:rPr>
                <w:sz w:val="24"/>
                <w:szCs w:val="24"/>
              </w:rPr>
            </w:pPr>
            <w:r>
              <w:rPr>
                <w:rFonts w:ascii="Times New Roman" w:hAnsi="Times New Roman" w:eastAsia="Times New Roman" w:cs="Times New Roman"/>
                <w:b/>
                <w:bCs/>
                <w:sz w:val="24"/>
                <w:szCs w:val="24"/>
              </w:rPr>
              <w:t xml:space="preserve">5.7 </w:t>
            </w:r>
            <w:r>
              <w:rPr>
                <w:sz w:val="24"/>
                <w:szCs w:val="24"/>
                <w14:textOutline w14:w="4354" w14:cap="flat" w14:cmpd="sng">
                  <w14:solidFill>
                    <w14:srgbClr w14:val="000000"/>
                  </w14:solidFill>
                  <w14:prstDash w14:val="solid"/>
                  <w14:miter w14:val="10"/>
                </w14:textOutline>
              </w:rPr>
              <w:t>土壤环境污染防治措施</w:t>
            </w:r>
          </w:p>
          <w:p>
            <w:pPr>
              <w:pStyle w:val="6"/>
              <w:spacing w:before="194" w:line="369" w:lineRule="auto"/>
              <w:ind w:left="111" w:right="100" w:firstLine="477"/>
              <w:jc w:val="both"/>
              <w:rPr>
                <w:sz w:val="24"/>
                <w:szCs w:val="24"/>
              </w:rPr>
            </w:pPr>
            <w:r>
              <w:rPr>
                <w:spacing w:val="-6"/>
                <w:sz w:val="24"/>
                <w:szCs w:val="24"/>
              </w:rPr>
              <w:t>根据工程分析，</w:t>
            </w:r>
            <w:r>
              <w:rPr>
                <w:spacing w:val="54"/>
                <w:sz w:val="24"/>
                <w:szCs w:val="24"/>
              </w:rPr>
              <w:t xml:space="preserve"> </w:t>
            </w:r>
            <w:r>
              <w:rPr>
                <w:spacing w:val="-6"/>
                <w:sz w:val="24"/>
                <w:szCs w:val="24"/>
              </w:rPr>
              <w:t>工程主要土壤影响源为井场</w:t>
            </w:r>
            <w:r>
              <w:rPr>
                <w:spacing w:val="-7"/>
                <w:sz w:val="24"/>
                <w:szCs w:val="24"/>
              </w:rPr>
              <w:t>污染区（泥浆循环区、井口区、动力机</w:t>
            </w:r>
            <w:r>
              <w:rPr>
                <w:sz w:val="24"/>
                <w:szCs w:val="24"/>
              </w:rPr>
              <w:t xml:space="preserve"> </w:t>
            </w:r>
            <w:r>
              <w:rPr>
                <w:spacing w:val="-14"/>
                <w:sz w:val="24"/>
                <w:szCs w:val="24"/>
              </w:rPr>
              <w:t>组区、清洁生产操作平台） 废水、固废入渗影响，</w:t>
            </w:r>
            <w:r>
              <w:rPr>
                <w:spacing w:val="67"/>
                <w:sz w:val="24"/>
                <w:szCs w:val="24"/>
              </w:rPr>
              <w:t xml:space="preserve"> </w:t>
            </w:r>
            <w:r>
              <w:rPr>
                <w:spacing w:val="-14"/>
                <w:sz w:val="24"/>
                <w:szCs w:val="24"/>
              </w:rPr>
              <w:t>应急池废水的入渗影响，</w:t>
            </w:r>
            <w:r>
              <w:rPr>
                <w:spacing w:val="57"/>
                <w:sz w:val="24"/>
                <w:szCs w:val="24"/>
              </w:rPr>
              <w:t xml:space="preserve"> </w:t>
            </w:r>
            <w:r>
              <w:rPr>
                <w:spacing w:val="-14"/>
                <w:sz w:val="24"/>
                <w:szCs w:val="24"/>
              </w:rPr>
              <w:t>油罐区废水</w:t>
            </w:r>
          </w:p>
          <w:p>
            <w:pPr>
              <w:pStyle w:val="6"/>
              <w:spacing w:before="1" w:line="219" w:lineRule="auto"/>
              <w:ind w:left="128"/>
              <w:rPr>
                <w:sz w:val="24"/>
                <w:szCs w:val="24"/>
              </w:rPr>
            </w:pPr>
            <w:r>
              <w:rPr>
                <w:spacing w:val="-4"/>
                <w:sz w:val="24"/>
                <w:szCs w:val="24"/>
              </w:rPr>
              <w:t>的入渗影响，井场区雨水的漫流影响。</w:t>
            </w:r>
          </w:p>
          <w:p>
            <w:pPr>
              <w:pStyle w:val="6"/>
              <w:spacing w:before="194" w:line="480" w:lineRule="exact"/>
              <w:ind w:left="589"/>
              <w:rPr>
                <w:sz w:val="24"/>
                <w:szCs w:val="24"/>
              </w:rPr>
            </w:pPr>
            <w:r>
              <w:rPr>
                <w:spacing w:val="-6"/>
                <w:position w:val="18"/>
                <w:sz w:val="24"/>
                <w:szCs w:val="24"/>
              </w:rPr>
              <w:t>本项目土壤污染防治措施按照“源头控制、分区防治、</w:t>
            </w:r>
            <w:r>
              <w:rPr>
                <w:spacing w:val="42"/>
                <w:position w:val="18"/>
                <w:sz w:val="24"/>
                <w:szCs w:val="24"/>
              </w:rPr>
              <w:t xml:space="preserve"> </w:t>
            </w:r>
            <w:r>
              <w:rPr>
                <w:spacing w:val="-6"/>
                <w:position w:val="18"/>
                <w:sz w:val="24"/>
                <w:szCs w:val="24"/>
              </w:rPr>
              <w:t>污染监控、应急响应”相结</w:t>
            </w:r>
          </w:p>
          <w:p>
            <w:pPr>
              <w:pStyle w:val="6"/>
              <w:spacing w:before="1" w:line="219" w:lineRule="auto"/>
              <w:ind w:left="109"/>
              <w:rPr>
                <w:sz w:val="24"/>
                <w:szCs w:val="24"/>
              </w:rPr>
            </w:pPr>
            <w:r>
              <w:rPr>
                <w:spacing w:val="-2"/>
                <w:sz w:val="24"/>
                <w:szCs w:val="24"/>
              </w:rPr>
              <w:t>合的原则，从污染物的产生、入渗、扩散、应急响应进行控制。</w:t>
            </w:r>
          </w:p>
          <w:p>
            <w:pPr>
              <w:pStyle w:val="6"/>
              <w:spacing w:before="194" w:line="220" w:lineRule="auto"/>
              <w:ind w:left="597"/>
              <w:rPr>
                <w:sz w:val="24"/>
                <w:szCs w:val="24"/>
              </w:rPr>
            </w:pPr>
            <w:r>
              <w:rPr>
                <w:spacing w:val="-5"/>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5"/>
                <w:sz w:val="24"/>
                <w:szCs w:val="24"/>
              </w:rPr>
              <w:t>1</w:t>
            </w:r>
            <w:r>
              <w:rPr>
                <w:spacing w:val="-5"/>
                <w:sz w:val="24"/>
                <w:szCs w:val="24"/>
                <w14:textOutline w14:w="4354" w14:cap="flat" w14:cmpd="sng">
                  <w14:solidFill>
                    <w14:srgbClr w14:val="000000"/>
                  </w14:solidFill>
                  <w14:prstDash w14:val="solid"/>
                  <w14:miter w14:val="10"/>
                </w14:textOutline>
              </w:rPr>
              <w:t>）源头控制</w:t>
            </w:r>
          </w:p>
          <w:p>
            <w:pPr>
              <w:pStyle w:val="6"/>
              <w:spacing w:before="196" w:line="369" w:lineRule="auto"/>
              <w:ind w:left="107" w:right="100" w:firstLine="480"/>
              <w:jc w:val="both"/>
              <w:rPr>
                <w:sz w:val="24"/>
                <w:szCs w:val="24"/>
              </w:rPr>
            </w:pPr>
            <w:r>
              <w:rPr>
                <w:spacing w:val="-7"/>
                <w:sz w:val="24"/>
                <w:szCs w:val="24"/>
              </w:rPr>
              <w:t>通过减少各个阶段跑、冒、滴、漏污染物的排放量，</w:t>
            </w:r>
            <w:r>
              <w:rPr>
                <w:spacing w:val="73"/>
                <w:sz w:val="24"/>
                <w:szCs w:val="24"/>
              </w:rPr>
              <w:t xml:space="preserve"> </w:t>
            </w:r>
            <w:r>
              <w:rPr>
                <w:spacing w:val="-7"/>
                <w:sz w:val="24"/>
                <w:szCs w:val="24"/>
              </w:rPr>
              <w:t>并最大限度地降低污染物发生</w:t>
            </w:r>
            <w:r>
              <w:rPr>
                <w:sz w:val="24"/>
                <w:szCs w:val="24"/>
              </w:rPr>
              <w:t xml:space="preserve"> </w:t>
            </w:r>
            <w:r>
              <w:rPr>
                <w:spacing w:val="-11"/>
                <w:sz w:val="24"/>
                <w:szCs w:val="24"/>
              </w:rPr>
              <w:t>渗漏的风险，</w:t>
            </w:r>
            <w:r>
              <w:rPr>
                <w:spacing w:val="54"/>
                <w:sz w:val="24"/>
                <w:szCs w:val="24"/>
              </w:rPr>
              <w:t xml:space="preserve"> </w:t>
            </w:r>
            <w:r>
              <w:rPr>
                <w:spacing w:val="-11"/>
                <w:sz w:val="24"/>
                <w:szCs w:val="24"/>
              </w:rPr>
              <w:t>从源头控制土壤污染的发生。在钻井过程中应加强监控，</w:t>
            </w:r>
            <w:r>
              <w:rPr>
                <w:spacing w:val="66"/>
                <w:sz w:val="24"/>
                <w:szCs w:val="24"/>
              </w:rPr>
              <w:t xml:space="preserve"> </w:t>
            </w:r>
            <w:r>
              <w:rPr>
                <w:spacing w:val="-11"/>
                <w:sz w:val="24"/>
                <w:szCs w:val="24"/>
              </w:rPr>
              <w:t>防止泥浆、岩屑</w:t>
            </w:r>
            <w:r>
              <w:rPr>
                <w:sz w:val="24"/>
                <w:szCs w:val="24"/>
              </w:rPr>
              <w:t xml:space="preserve"> </w:t>
            </w:r>
            <w:r>
              <w:rPr>
                <w:spacing w:val="-6"/>
                <w:sz w:val="24"/>
                <w:szCs w:val="24"/>
              </w:rPr>
              <w:t>及废水的扩散污染等，</w:t>
            </w:r>
            <w:r>
              <w:rPr>
                <w:spacing w:val="50"/>
                <w:sz w:val="24"/>
                <w:szCs w:val="24"/>
              </w:rPr>
              <w:t xml:space="preserve"> </w:t>
            </w:r>
            <w:r>
              <w:rPr>
                <w:spacing w:val="-6"/>
                <w:sz w:val="24"/>
                <w:szCs w:val="24"/>
              </w:rPr>
              <w:t>井场池体构筑物的选址避免地质灾害易发区域及影响区域。井场</w:t>
            </w:r>
            <w:r>
              <w:rPr>
                <w:sz w:val="24"/>
                <w:szCs w:val="24"/>
              </w:rPr>
              <w:t xml:space="preserve"> </w:t>
            </w:r>
            <w:r>
              <w:rPr>
                <w:spacing w:val="-15"/>
                <w:sz w:val="24"/>
                <w:szCs w:val="24"/>
              </w:rPr>
              <w:t>实行清污分流，</w:t>
            </w:r>
            <w:r>
              <w:rPr>
                <w:spacing w:val="52"/>
                <w:sz w:val="24"/>
                <w:szCs w:val="24"/>
              </w:rPr>
              <w:t xml:space="preserve"> </w:t>
            </w:r>
            <w:r>
              <w:rPr>
                <w:spacing w:val="-15"/>
                <w:sz w:val="24"/>
                <w:szCs w:val="24"/>
              </w:rPr>
              <w:t>作业用药品、材料集中放置在防</w:t>
            </w:r>
            <w:r>
              <w:rPr>
                <w:spacing w:val="-16"/>
                <w:sz w:val="24"/>
                <w:szCs w:val="24"/>
              </w:rPr>
              <w:t>渗漏地面，</w:t>
            </w:r>
            <w:r>
              <w:rPr>
                <w:spacing w:val="51"/>
                <w:sz w:val="24"/>
                <w:szCs w:val="24"/>
              </w:rPr>
              <w:t xml:space="preserve"> </w:t>
            </w:r>
            <w:r>
              <w:rPr>
                <w:spacing w:val="-16"/>
                <w:sz w:val="24"/>
                <w:szCs w:val="24"/>
              </w:rPr>
              <w:t>加强钻井废水管理，</w:t>
            </w:r>
            <w:r>
              <w:rPr>
                <w:spacing w:val="66"/>
                <w:sz w:val="24"/>
                <w:szCs w:val="24"/>
              </w:rPr>
              <w:t xml:space="preserve"> </w:t>
            </w:r>
            <w:r>
              <w:rPr>
                <w:spacing w:val="-16"/>
                <w:sz w:val="24"/>
                <w:szCs w:val="24"/>
              </w:rPr>
              <w:t>防止出</w:t>
            </w:r>
            <w:r>
              <w:rPr>
                <w:sz w:val="24"/>
                <w:szCs w:val="24"/>
              </w:rPr>
              <w:t xml:space="preserve"> </w:t>
            </w:r>
            <w:r>
              <w:rPr>
                <w:spacing w:val="-6"/>
                <w:sz w:val="24"/>
                <w:szCs w:val="24"/>
              </w:rPr>
              <w:t>现废水渗漏、外溢或池垮塌等事故。加强油料、泥浆及岩屑等污染物的管理和控制，</w:t>
            </w:r>
            <w:r>
              <w:rPr>
                <w:spacing w:val="50"/>
                <w:sz w:val="24"/>
                <w:szCs w:val="24"/>
              </w:rPr>
              <w:t xml:space="preserve"> </w:t>
            </w:r>
            <w:r>
              <w:rPr>
                <w:spacing w:val="-6"/>
                <w:sz w:val="24"/>
                <w:szCs w:val="24"/>
              </w:rPr>
              <w:t>特</w:t>
            </w:r>
          </w:p>
          <w:p>
            <w:pPr>
              <w:pStyle w:val="6"/>
              <w:spacing w:before="1" w:line="219" w:lineRule="auto"/>
              <w:ind w:left="111"/>
              <w:rPr>
                <w:sz w:val="24"/>
                <w:szCs w:val="24"/>
              </w:rPr>
            </w:pPr>
            <w:r>
              <w:rPr>
                <w:spacing w:val="-3"/>
                <w:sz w:val="24"/>
                <w:szCs w:val="24"/>
              </w:rPr>
              <w:t>别应加强和完善危险废物的控制措施。</w:t>
            </w:r>
          </w:p>
          <w:p>
            <w:pPr>
              <w:pStyle w:val="6"/>
              <w:spacing w:before="195" w:line="220" w:lineRule="auto"/>
              <w:ind w:left="597"/>
              <w:rPr>
                <w:sz w:val="24"/>
                <w:szCs w:val="24"/>
              </w:rPr>
            </w:pPr>
            <w:r>
              <w:rPr>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2</w:t>
            </w:r>
            <w:r>
              <w:rPr>
                <w:spacing w:val="-4"/>
                <w:sz w:val="24"/>
                <w:szCs w:val="24"/>
                <w14:textOutline w14:w="4354" w14:cap="flat" w14:cmpd="sng">
                  <w14:solidFill>
                    <w14:srgbClr w14:val="000000"/>
                  </w14:solidFill>
                  <w14:prstDash w14:val="solid"/>
                  <w14:miter w14:val="10"/>
                </w14:textOutline>
              </w:rPr>
              <w:t>）分区防渗</w:t>
            </w:r>
          </w:p>
          <w:p>
            <w:pPr>
              <w:pStyle w:val="6"/>
              <w:spacing w:before="195" w:line="369" w:lineRule="auto"/>
              <w:ind w:left="107" w:right="100" w:firstLine="479"/>
              <w:jc w:val="both"/>
              <w:rPr>
                <w:sz w:val="24"/>
                <w:szCs w:val="24"/>
              </w:rPr>
            </w:pPr>
            <w:r>
              <w:rPr>
                <w:spacing w:val="-11"/>
                <w:sz w:val="24"/>
                <w:szCs w:val="24"/>
              </w:rPr>
              <w:t>对井场内可能泄漏污染物的地面需进行分区防渗处理，</w:t>
            </w:r>
            <w:r>
              <w:rPr>
                <w:spacing w:val="54"/>
                <w:sz w:val="24"/>
                <w:szCs w:val="24"/>
              </w:rPr>
              <w:t xml:space="preserve"> </w:t>
            </w:r>
            <w:r>
              <w:rPr>
                <w:spacing w:val="-11"/>
                <w:sz w:val="24"/>
                <w:szCs w:val="24"/>
              </w:rPr>
              <w:t>防止污染物渗入地下，</w:t>
            </w:r>
            <w:r>
              <w:rPr>
                <w:spacing w:val="45"/>
                <w:sz w:val="24"/>
                <w:szCs w:val="24"/>
              </w:rPr>
              <w:t xml:space="preserve"> </w:t>
            </w:r>
            <w:r>
              <w:rPr>
                <w:spacing w:val="-11"/>
                <w:sz w:val="24"/>
                <w:szCs w:val="24"/>
              </w:rPr>
              <w:t>并能</w:t>
            </w:r>
            <w:r>
              <w:rPr>
                <w:sz w:val="24"/>
                <w:szCs w:val="24"/>
              </w:rPr>
              <w:t xml:space="preserve"> </w:t>
            </w:r>
            <w:r>
              <w:rPr>
                <w:spacing w:val="-6"/>
                <w:sz w:val="24"/>
                <w:szCs w:val="24"/>
              </w:rPr>
              <w:t>够方便及时地将泄漏、渗漏的污染物收集并进行集中处理。重点防渗区：</w:t>
            </w:r>
            <w:r>
              <w:rPr>
                <w:spacing w:val="51"/>
                <w:sz w:val="24"/>
                <w:szCs w:val="24"/>
              </w:rPr>
              <w:t xml:space="preserve"> </w:t>
            </w:r>
            <w:r>
              <w:rPr>
                <w:spacing w:val="-6"/>
                <w:sz w:val="24"/>
                <w:szCs w:val="24"/>
              </w:rPr>
              <w:t>该部分区</w:t>
            </w:r>
            <w:r>
              <w:rPr>
                <w:spacing w:val="-7"/>
                <w:sz w:val="24"/>
                <w:szCs w:val="24"/>
              </w:rPr>
              <w:t>域主</w:t>
            </w:r>
            <w:r>
              <w:rPr>
                <w:sz w:val="24"/>
                <w:szCs w:val="24"/>
              </w:rPr>
              <w:t xml:space="preserve"> </w:t>
            </w:r>
            <w:r>
              <w:rPr>
                <w:spacing w:val="5"/>
                <w:sz w:val="24"/>
                <w:szCs w:val="24"/>
              </w:rPr>
              <w:t>要为对地下水环境有污染的物料或污染物泄漏后</w:t>
            </w:r>
            <w:r>
              <w:rPr>
                <w:spacing w:val="4"/>
                <w:sz w:val="24"/>
                <w:szCs w:val="24"/>
              </w:rPr>
              <w:t>，不能及时发现和处理的区域或部位</w:t>
            </w:r>
          </w:p>
          <w:p>
            <w:pPr>
              <w:pStyle w:val="6"/>
              <w:spacing w:before="1" w:line="218" w:lineRule="auto"/>
              <w:jc w:val="right"/>
              <w:rPr>
                <w:sz w:val="24"/>
                <w:szCs w:val="24"/>
              </w:rPr>
            </w:pPr>
            <w:r>
              <w:rPr>
                <w:spacing w:val="-7"/>
                <w:sz w:val="24"/>
                <w:szCs w:val="24"/>
              </w:rPr>
              <w:t>如：</w:t>
            </w:r>
            <w:r>
              <w:rPr>
                <w:spacing w:val="-63"/>
                <w:sz w:val="24"/>
                <w:szCs w:val="24"/>
              </w:rPr>
              <w:t xml:space="preserve"> </w:t>
            </w:r>
            <w:r>
              <w:rPr>
                <w:spacing w:val="-7"/>
                <w:sz w:val="24"/>
                <w:szCs w:val="24"/>
              </w:rPr>
              <w:t>井场内井口、井架及设备基础区域、泥浆循环系统区、泥浆材料堆存区、油水罐区、</w:t>
            </w:r>
          </w:p>
        </w:tc>
      </w:tr>
    </w:tbl>
    <w:p>
      <w:pPr>
        <w:pStyle w:val="2"/>
        <w:rPr>
          <w:sz w:val="21"/>
        </w:rPr>
      </w:pPr>
    </w:p>
    <w:p>
      <w:pPr>
        <w:rPr>
          <w:sz w:val="21"/>
          <w:szCs w:val="21"/>
        </w:rPr>
        <w:sectPr>
          <w:footerReference r:id="rId149"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0" w:hRule="atLeast"/>
        </w:trPr>
        <w:tc>
          <w:tcPr>
            <w:tcW w:w="465" w:type="dxa"/>
            <w:tcBorders>
              <w:right w:val="single" w:color="000000" w:sz="2" w:space="0"/>
            </w:tcBorders>
            <w:vAlign w:val="top"/>
          </w:tcPr>
          <w:p>
            <w:pPr>
              <w:rPr>
                <w:rFonts w:ascii="Arial"/>
                <w:sz w:val="21"/>
              </w:rPr>
            </w:pPr>
          </w:p>
        </w:tc>
        <w:tc>
          <w:tcPr>
            <w:tcW w:w="9282" w:type="dxa"/>
            <w:tcBorders>
              <w:left w:val="single" w:color="000000" w:sz="2" w:space="0"/>
            </w:tcBorders>
            <w:vAlign w:val="top"/>
          </w:tcPr>
          <w:p>
            <w:pPr>
              <w:pStyle w:val="6"/>
              <w:spacing w:before="182" w:line="480" w:lineRule="exact"/>
              <w:ind w:left="108"/>
              <w:rPr>
                <w:sz w:val="24"/>
                <w:szCs w:val="24"/>
              </w:rPr>
            </w:pPr>
            <w:r>
              <w:rPr>
                <w:spacing w:val="-1"/>
                <w:position w:val="18"/>
                <w:sz w:val="24"/>
                <w:szCs w:val="24"/>
              </w:rPr>
              <w:t>应急池、燃烧池、集酸池、清洁生产操作平</w:t>
            </w:r>
            <w:r>
              <w:rPr>
                <w:spacing w:val="-2"/>
                <w:position w:val="18"/>
                <w:sz w:val="24"/>
                <w:szCs w:val="24"/>
              </w:rPr>
              <w:t>台、泥浆储备罐区、隔油池、集液池等区域</w:t>
            </w:r>
          </w:p>
          <w:p>
            <w:pPr>
              <w:pStyle w:val="6"/>
              <w:spacing w:line="220" w:lineRule="auto"/>
              <w:ind w:left="106"/>
              <w:rPr>
                <w:sz w:val="24"/>
                <w:szCs w:val="24"/>
              </w:rPr>
            </w:pPr>
            <w:r>
              <w:rPr>
                <w:spacing w:val="-6"/>
                <w:sz w:val="24"/>
                <w:szCs w:val="24"/>
              </w:rPr>
              <w:t>进行重点防渗。</w:t>
            </w:r>
          </w:p>
          <w:p>
            <w:pPr>
              <w:pStyle w:val="6"/>
              <w:spacing w:before="195" w:line="369" w:lineRule="auto"/>
              <w:ind w:left="107" w:right="99" w:firstLine="480"/>
              <w:jc w:val="both"/>
              <w:rPr>
                <w:sz w:val="24"/>
                <w:szCs w:val="24"/>
              </w:rPr>
            </w:pPr>
            <w:r>
              <w:rPr>
                <w:spacing w:val="-8"/>
                <w:sz w:val="24"/>
                <w:szCs w:val="24"/>
              </w:rPr>
              <w:t>岩屑堆放区设置雨棚，</w:t>
            </w:r>
            <w:r>
              <w:rPr>
                <w:spacing w:val="54"/>
                <w:sz w:val="24"/>
                <w:szCs w:val="24"/>
              </w:rPr>
              <w:t xml:space="preserve"> </w:t>
            </w:r>
            <w:r>
              <w:rPr>
                <w:spacing w:val="-8"/>
                <w:sz w:val="24"/>
                <w:szCs w:val="24"/>
              </w:rPr>
              <w:t>防止雨水淋滤导致污染</w:t>
            </w:r>
            <w:r>
              <w:rPr>
                <w:spacing w:val="-9"/>
                <w:sz w:val="24"/>
                <w:szCs w:val="24"/>
              </w:rPr>
              <w:t>物下渗污染，</w:t>
            </w:r>
            <w:r>
              <w:rPr>
                <w:spacing w:val="-48"/>
                <w:sz w:val="24"/>
                <w:szCs w:val="24"/>
              </w:rPr>
              <w:t xml:space="preserve"> </w:t>
            </w:r>
            <w:r>
              <w:rPr>
                <w:spacing w:val="-9"/>
                <w:sz w:val="24"/>
                <w:szCs w:val="24"/>
              </w:rPr>
              <w:t>岩屑堆放区内的危废暂</w:t>
            </w:r>
            <w:r>
              <w:rPr>
                <w:sz w:val="24"/>
                <w:szCs w:val="24"/>
              </w:rPr>
              <w:t xml:space="preserve"> </w:t>
            </w:r>
            <w:r>
              <w:rPr>
                <w:spacing w:val="-4"/>
                <w:sz w:val="24"/>
                <w:szCs w:val="24"/>
              </w:rPr>
              <w:t>存间采取“六防”（防风、防雨、防晒、防</w:t>
            </w:r>
            <w:r>
              <w:rPr>
                <w:spacing w:val="-5"/>
                <w:sz w:val="24"/>
                <w:szCs w:val="24"/>
              </w:rPr>
              <w:t>渗、防腐、防漏） 措施。针对地面漫流影响</w:t>
            </w:r>
            <w:r>
              <w:rPr>
                <w:sz w:val="24"/>
                <w:szCs w:val="24"/>
              </w:rPr>
              <w:t xml:space="preserve"> </w:t>
            </w:r>
            <w:r>
              <w:rPr>
                <w:spacing w:val="-15"/>
                <w:sz w:val="24"/>
                <w:szCs w:val="24"/>
              </w:rPr>
              <w:t>实施井场清污分流措施，</w:t>
            </w:r>
            <w:r>
              <w:rPr>
                <w:spacing w:val="56"/>
                <w:sz w:val="24"/>
                <w:szCs w:val="24"/>
              </w:rPr>
              <w:t xml:space="preserve"> </w:t>
            </w:r>
            <w:r>
              <w:rPr>
                <w:spacing w:val="-15"/>
                <w:sz w:val="24"/>
                <w:szCs w:val="24"/>
              </w:rPr>
              <w:t>在井场四周设置雨水排水沟，</w:t>
            </w:r>
            <w:r>
              <w:rPr>
                <w:spacing w:val="45"/>
                <w:sz w:val="24"/>
                <w:szCs w:val="24"/>
              </w:rPr>
              <w:t xml:space="preserve"> </w:t>
            </w:r>
            <w:r>
              <w:rPr>
                <w:spacing w:val="-15"/>
                <w:sz w:val="24"/>
                <w:szCs w:val="24"/>
              </w:rPr>
              <w:t>场外雨水随雨水沟排放；</w:t>
            </w:r>
            <w:r>
              <w:rPr>
                <w:spacing w:val="49"/>
                <w:sz w:val="24"/>
                <w:szCs w:val="24"/>
              </w:rPr>
              <w:t xml:space="preserve"> </w:t>
            </w:r>
            <w:r>
              <w:rPr>
                <w:spacing w:val="-15"/>
                <w:sz w:val="24"/>
                <w:szCs w:val="24"/>
              </w:rPr>
              <w:t>井场分</w:t>
            </w:r>
            <w:r>
              <w:rPr>
                <w:sz w:val="24"/>
                <w:szCs w:val="24"/>
              </w:rPr>
              <w:t xml:space="preserve"> </w:t>
            </w:r>
            <w:r>
              <w:rPr>
                <w:spacing w:val="-6"/>
                <w:sz w:val="24"/>
                <w:szCs w:val="24"/>
              </w:rPr>
              <w:t>为清洁区和污染区，</w:t>
            </w:r>
            <w:r>
              <w:rPr>
                <w:spacing w:val="50"/>
                <w:sz w:val="24"/>
                <w:szCs w:val="24"/>
              </w:rPr>
              <w:t xml:space="preserve"> </w:t>
            </w:r>
            <w:r>
              <w:rPr>
                <w:spacing w:val="-6"/>
                <w:sz w:val="24"/>
                <w:szCs w:val="24"/>
              </w:rPr>
              <w:t>通过挡墙隔离。污染区雨水进入集水坑收集泵提升废水罐处理后回</w:t>
            </w:r>
            <w:r>
              <w:rPr>
                <w:sz w:val="24"/>
                <w:szCs w:val="24"/>
              </w:rPr>
              <w:t xml:space="preserve"> </w:t>
            </w:r>
            <w:r>
              <w:rPr>
                <w:spacing w:val="-2"/>
                <w:sz w:val="24"/>
                <w:szCs w:val="24"/>
              </w:rPr>
              <w:t>用。清洁区雨水通过场地内的</w:t>
            </w:r>
            <w:r>
              <w:rPr>
                <w:spacing w:val="-39"/>
                <w:sz w:val="24"/>
                <w:szCs w:val="24"/>
              </w:rPr>
              <w:t xml:space="preserve"> </w:t>
            </w:r>
            <w:r>
              <w:rPr>
                <w:rFonts w:ascii="Times New Roman" w:hAnsi="Times New Roman" w:eastAsia="Times New Roman" w:cs="Times New Roman"/>
                <w:spacing w:val="-2"/>
                <w:sz w:val="24"/>
                <w:szCs w:val="24"/>
              </w:rPr>
              <w:t xml:space="preserve">4 </w:t>
            </w:r>
            <w:r>
              <w:rPr>
                <w:spacing w:val="-2"/>
                <w:sz w:val="24"/>
                <w:szCs w:val="24"/>
              </w:rPr>
              <w:t>个隔油池沉淀隔油处理后外排。油罐区雨水经过集液池</w:t>
            </w:r>
          </w:p>
          <w:p>
            <w:pPr>
              <w:pStyle w:val="6"/>
              <w:spacing w:line="220" w:lineRule="auto"/>
              <w:ind w:left="122"/>
              <w:rPr>
                <w:sz w:val="24"/>
                <w:szCs w:val="24"/>
              </w:rPr>
            </w:pPr>
            <w:r>
              <w:rPr>
                <w:spacing w:val="-7"/>
                <w:sz w:val="24"/>
                <w:szCs w:val="24"/>
              </w:rPr>
              <w:t>隔油处理后外排。</w:t>
            </w:r>
          </w:p>
          <w:p>
            <w:pPr>
              <w:pStyle w:val="6"/>
              <w:spacing w:before="194" w:line="480" w:lineRule="exact"/>
              <w:ind w:left="615"/>
              <w:rPr>
                <w:sz w:val="24"/>
                <w:szCs w:val="24"/>
              </w:rPr>
            </w:pPr>
            <w:r>
              <w:rPr>
                <w:spacing w:val="-10"/>
                <w:position w:val="18"/>
                <w:sz w:val="24"/>
                <w:szCs w:val="24"/>
              </w:rPr>
              <w:t>以上措施分别纳入地下水的分区防渗和地表水的清污分流措施投资，</w:t>
            </w:r>
            <w:r>
              <w:rPr>
                <w:spacing w:val="54"/>
                <w:position w:val="18"/>
                <w:sz w:val="24"/>
                <w:szCs w:val="24"/>
              </w:rPr>
              <w:t xml:space="preserve"> </w:t>
            </w:r>
            <w:r>
              <w:rPr>
                <w:spacing w:val="-10"/>
                <w:position w:val="18"/>
                <w:sz w:val="24"/>
                <w:szCs w:val="24"/>
              </w:rPr>
              <w:t>经济可行， 技</w:t>
            </w:r>
          </w:p>
          <w:p>
            <w:pPr>
              <w:pStyle w:val="6"/>
              <w:spacing w:before="1" w:line="218" w:lineRule="auto"/>
              <w:ind w:left="110"/>
              <w:rPr>
                <w:sz w:val="24"/>
                <w:szCs w:val="24"/>
              </w:rPr>
            </w:pPr>
            <w:r>
              <w:rPr>
                <w:spacing w:val="-7"/>
                <w:sz w:val="24"/>
                <w:szCs w:val="24"/>
              </w:rPr>
              <w:t>术简单可行。</w:t>
            </w:r>
          </w:p>
          <w:p>
            <w:pPr>
              <w:pStyle w:val="6"/>
              <w:spacing w:before="194" w:line="220" w:lineRule="auto"/>
              <w:ind w:left="597"/>
              <w:rPr>
                <w:sz w:val="24"/>
                <w:szCs w:val="24"/>
              </w:rPr>
            </w:pPr>
            <w:r>
              <w:rPr>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3</w:t>
            </w:r>
            <w:r>
              <w:rPr>
                <w:spacing w:val="-2"/>
                <w:sz w:val="24"/>
                <w:szCs w:val="24"/>
                <w14:textOutline w14:w="4354" w14:cap="flat" w14:cmpd="sng">
                  <w14:solidFill>
                    <w14:srgbClr w14:val="000000"/>
                  </w14:solidFill>
                  <w14:prstDash w14:val="solid"/>
                  <w14:miter w14:val="10"/>
                </w14:textOutline>
              </w:rPr>
              <w:t>）用地管理措施</w:t>
            </w:r>
          </w:p>
          <w:p>
            <w:pPr>
              <w:pStyle w:val="6"/>
              <w:spacing w:before="198" w:line="369" w:lineRule="auto"/>
              <w:ind w:left="108" w:right="100" w:firstLine="479"/>
              <w:rPr>
                <w:sz w:val="24"/>
                <w:szCs w:val="24"/>
              </w:rPr>
            </w:pPr>
            <w:r>
              <w:rPr>
                <w:spacing w:val="-2"/>
                <w:sz w:val="24"/>
                <w:szCs w:val="24"/>
              </w:rPr>
              <w:t>根据《四川省自然资源厅关于进一步明确临时用地管理有关事项的通知》（川自然</w:t>
            </w:r>
            <w:r>
              <w:rPr>
                <w:sz w:val="24"/>
                <w:szCs w:val="24"/>
              </w:rPr>
              <w:t xml:space="preserve"> </w:t>
            </w:r>
            <w:r>
              <w:rPr>
                <w:spacing w:val="-1"/>
                <w:sz w:val="24"/>
                <w:szCs w:val="24"/>
              </w:rPr>
              <w:t>资规〔</w:t>
            </w:r>
            <w:r>
              <w:rPr>
                <w:rFonts w:ascii="Times New Roman" w:hAnsi="Times New Roman" w:eastAsia="Times New Roman" w:cs="Times New Roman"/>
                <w:spacing w:val="-1"/>
                <w:sz w:val="24"/>
                <w:szCs w:val="24"/>
              </w:rPr>
              <w:t>2022</w:t>
            </w:r>
            <w:r>
              <w:rPr>
                <w:spacing w:val="-1"/>
                <w:sz w:val="24"/>
                <w:szCs w:val="24"/>
              </w:rPr>
              <w:t>〕</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42"/>
                <w:w w:val="101"/>
                <w:sz w:val="24"/>
                <w:szCs w:val="24"/>
              </w:rPr>
              <w:t xml:space="preserve"> </w:t>
            </w:r>
            <w:r>
              <w:rPr>
                <w:spacing w:val="-1"/>
                <w:sz w:val="24"/>
                <w:szCs w:val="24"/>
              </w:rPr>
              <w:t>号）、《关于严格耕地用途管制有关问题的通知》（自然资发〔</w:t>
            </w:r>
            <w:r>
              <w:rPr>
                <w:rFonts w:ascii="Times New Roman" w:hAnsi="Times New Roman" w:eastAsia="Times New Roman" w:cs="Times New Roman"/>
                <w:spacing w:val="-1"/>
                <w:sz w:val="24"/>
                <w:szCs w:val="24"/>
              </w:rPr>
              <w:t>2021</w:t>
            </w:r>
            <w:r>
              <w:rPr>
                <w:spacing w:val="-1"/>
                <w:sz w:val="24"/>
                <w:szCs w:val="24"/>
              </w:rPr>
              <w:t>〕</w:t>
            </w:r>
            <w:r>
              <w:rPr>
                <w:sz w:val="24"/>
                <w:szCs w:val="24"/>
              </w:rPr>
              <w:t xml:space="preserve"> </w:t>
            </w:r>
            <w:r>
              <w:rPr>
                <w:rFonts w:ascii="Times New Roman" w:hAnsi="Times New Roman" w:eastAsia="Times New Roman" w:cs="Times New Roman"/>
                <w:spacing w:val="-1"/>
                <w:sz w:val="24"/>
                <w:szCs w:val="24"/>
              </w:rPr>
              <w:t>166</w:t>
            </w:r>
            <w:r>
              <w:rPr>
                <w:rFonts w:ascii="Times New Roman" w:hAnsi="Times New Roman" w:eastAsia="Times New Roman" w:cs="Times New Roman"/>
                <w:spacing w:val="52"/>
                <w:sz w:val="24"/>
                <w:szCs w:val="24"/>
              </w:rPr>
              <w:t xml:space="preserve"> </w:t>
            </w:r>
            <w:r>
              <w:rPr>
                <w:spacing w:val="-1"/>
                <w:sz w:val="24"/>
                <w:szCs w:val="24"/>
              </w:rPr>
              <w:t>号）、《关于规范临时用地管理的通知》（自然资规〔</w:t>
            </w:r>
            <w:r>
              <w:rPr>
                <w:rFonts w:ascii="Times New Roman" w:hAnsi="Times New Roman" w:eastAsia="Times New Roman" w:cs="Times New Roman"/>
                <w:spacing w:val="-1"/>
                <w:sz w:val="24"/>
                <w:szCs w:val="24"/>
              </w:rPr>
              <w:t>2021</w:t>
            </w:r>
            <w:r>
              <w:rPr>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51"/>
                <w:sz w:val="24"/>
                <w:szCs w:val="24"/>
              </w:rPr>
              <w:t xml:space="preserve"> </w:t>
            </w:r>
            <w:r>
              <w:rPr>
                <w:spacing w:val="-1"/>
                <w:sz w:val="24"/>
                <w:szCs w:val="24"/>
              </w:rPr>
              <w:t>号），项目为天然</w:t>
            </w:r>
            <w:r>
              <w:rPr>
                <w:sz w:val="24"/>
                <w:szCs w:val="24"/>
              </w:rPr>
              <w:t xml:space="preserve"> </w:t>
            </w:r>
            <w:r>
              <w:rPr>
                <w:spacing w:val="-10"/>
                <w:sz w:val="24"/>
                <w:szCs w:val="24"/>
              </w:rPr>
              <w:t>气勘探项目，</w:t>
            </w:r>
            <w:r>
              <w:rPr>
                <w:spacing w:val="44"/>
                <w:sz w:val="24"/>
                <w:szCs w:val="24"/>
              </w:rPr>
              <w:t xml:space="preserve"> </w:t>
            </w:r>
            <w:r>
              <w:rPr>
                <w:spacing w:val="-10"/>
                <w:sz w:val="24"/>
                <w:szCs w:val="24"/>
              </w:rPr>
              <w:t>选址无法避让永久基本农田，</w:t>
            </w:r>
            <w:r>
              <w:rPr>
                <w:spacing w:val="38"/>
                <w:sz w:val="24"/>
                <w:szCs w:val="24"/>
              </w:rPr>
              <w:t xml:space="preserve"> </w:t>
            </w:r>
            <w:r>
              <w:rPr>
                <w:spacing w:val="-10"/>
                <w:sz w:val="24"/>
                <w:szCs w:val="24"/>
              </w:rPr>
              <w:t>评价要求项目建设单位配合县级自然资源主</w:t>
            </w:r>
            <w:r>
              <w:rPr>
                <w:sz w:val="24"/>
                <w:szCs w:val="24"/>
              </w:rPr>
              <w:t xml:space="preserve"> </w:t>
            </w:r>
            <w:r>
              <w:rPr>
                <w:spacing w:val="-2"/>
                <w:sz w:val="24"/>
                <w:szCs w:val="24"/>
              </w:rPr>
              <w:t>管部门编制临时用地踏勘报告，并报市级自然资源主管部门审查。项目占用林地损失，</w:t>
            </w:r>
            <w:r>
              <w:rPr>
                <w:spacing w:val="12"/>
                <w:sz w:val="24"/>
                <w:szCs w:val="24"/>
              </w:rPr>
              <w:t xml:space="preserve"> </w:t>
            </w:r>
            <w:r>
              <w:rPr>
                <w:spacing w:val="-2"/>
                <w:sz w:val="24"/>
                <w:szCs w:val="24"/>
              </w:rPr>
              <w:t>应按照“占一补一”的原则进行经济补偿和生态补偿。对那些在项目施工临时占用地上</w:t>
            </w:r>
            <w:r>
              <w:rPr>
                <w:spacing w:val="15"/>
                <w:sz w:val="24"/>
                <w:szCs w:val="24"/>
              </w:rPr>
              <w:t xml:space="preserve"> </w:t>
            </w:r>
            <w:r>
              <w:rPr>
                <w:spacing w:val="-6"/>
                <w:sz w:val="24"/>
                <w:szCs w:val="24"/>
              </w:rPr>
              <w:t>无法恢复的森林植被，</w:t>
            </w:r>
            <w:r>
              <w:rPr>
                <w:spacing w:val="50"/>
                <w:sz w:val="24"/>
                <w:szCs w:val="24"/>
              </w:rPr>
              <w:t xml:space="preserve"> </w:t>
            </w:r>
            <w:r>
              <w:rPr>
                <w:spacing w:val="-6"/>
                <w:sz w:val="24"/>
                <w:szCs w:val="24"/>
              </w:rPr>
              <w:t>可以进行异地补偿，补偿标准可以参照国家森林和林地相关法律</w:t>
            </w:r>
            <w:r>
              <w:rPr>
                <w:sz w:val="24"/>
                <w:szCs w:val="24"/>
              </w:rPr>
              <w:t xml:space="preserve"> </w:t>
            </w:r>
            <w:r>
              <w:rPr>
                <w:spacing w:val="-6"/>
                <w:sz w:val="24"/>
                <w:szCs w:val="24"/>
              </w:rPr>
              <w:t>和规章。建设单位依法支付林地和林木补偿费，</w:t>
            </w:r>
            <w:r>
              <w:rPr>
                <w:spacing w:val="47"/>
                <w:sz w:val="24"/>
                <w:szCs w:val="24"/>
              </w:rPr>
              <w:t xml:space="preserve"> </w:t>
            </w:r>
            <w:r>
              <w:rPr>
                <w:spacing w:val="-6"/>
                <w:sz w:val="24"/>
                <w:szCs w:val="24"/>
              </w:rPr>
              <w:t>缴纳森林植被恢复费。森林植被恢复费</w:t>
            </w:r>
            <w:r>
              <w:rPr>
                <w:sz w:val="24"/>
                <w:szCs w:val="24"/>
              </w:rPr>
              <w:t xml:space="preserve"> </w:t>
            </w:r>
            <w:r>
              <w:rPr>
                <w:spacing w:val="-10"/>
                <w:sz w:val="24"/>
                <w:szCs w:val="24"/>
              </w:rPr>
              <w:t>专款专用，</w:t>
            </w:r>
            <w:r>
              <w:rPr>
                <w:spacing w:val="38"/>
                <w:sz w:val="24"/>
                <w:szCs w:val="24"/>
              </w:rPr>
              <w:t xml:space="preserve"> </w:t>
            </w:r>
            <w:r>
              <w:rPr>
                <w:spacing w:val="-10"/>
                <w:sz w:val="24"/>
                <w:szCs w:val="24"/>
              </w:rPr>
              <w:t>由林业主管部门依照有关规定统一安排植树造林，恢复森林植被，</w:t>
            </w:r>
            <w:r>
              <w:rPr>
                <w:spacing w:val="47"/>
                <w:sz w:val="24"/>
                <w:szCs w:val="24"/>
              </w:rPr>
              <w:t xml:space="preserve"> </w:t>
            </w:r>
            <w:r>
              <w:rPr>
                <w:spacing w:val="-10"/>
                <w:sz w:val="24"/>
                <w:szCs w:val="24"/>
              </w:rPr>
              <w:t>植</w:t>
            </w:r>
            <w:r>
              <w:rPr>
                <w:spacing w:val="-11"/>
                <w:sz w:val="24"/>
                <w:szCs w:val="24"/>
              </w:rPr>
              <w:t>树造林</w:t>
            </w:r>
          </w:p>
          <w:p>
            <w:pPr>
              <w:pStyle w:val="6"/>
              <w:spacing w:line="219" w:lineRule="auto"/>
              <w:ind w:left="109"/>
              <w:rPr>
                <w:sz w:val="24"/>
                <w:szCs w:val="24"/>
              </w:rPr>
            </w:pPr>
            <w:r>
              <w:rPr>
                <w:spacing w:val="-2"/>
                <w:sz w:val="24"/>
                <w:szCs w:val="24"/>
              </w:rPr>
              <w:t>面积不得少于因占用、征用林地而减少的森林植被面积。</w:t>
            </w:r>
          </w:p>
          <w:p>
            <w:pPr>
              <w:pStyle w:val="6"/>
              <w:spacing w:before="197" w:line="369" w:lineRule="auto"/>
              <w:ind w:left="107" w:right="100" w:firstLine="479"/>
              <w:rPr>
                <w:sz w:val="24"/>
                <w:szCs w:val="24"/>
              </w:rPr>
            </w:pPr>
            <w:r>
              <w:rPr>
                <w:spacing w:val="-2"/>
                <w:sz w:val="24"/>
                <w:szCs w:val="24"/>
              </w:rPr>
              <w:t>评价要求建设单位应在取得主管部门同意临时占用永久基本农田、林地的批复文件</w:t>
            </w:r>
            <w:r>
              <w:rPr>
                <w:spacing w:val="12"/>
                <w:sz w:val="24"/>
                <w:szCs w:val="24"/>
              </w:rPr>
              <w:t xml:space="preserve"> </w:t>
            </w:r>
            <w:r>
              <w:rPr>
                <w:spacing w:val="-6"/>
                <w:sz w:val="24"/>
                <w:szCs w:val="24"/>
              </w:rPr>
              <w:t>后方可开工建设。同时评价要求建设单位应编制临时用地土地复垦方案，</w:t>
            </w:r>
            <w:r>
              <w:rPr>
                <w:spacing w:val="50"/>
                <w:sz w:val="24"/>
                <w:szCs w:val="24"/>
              </w:rPr>
              <w:t xml:space="preserve"> </w:t>
            </w:r>
            <w:r>
              <w:rPr>
                <w:spacing w:val="-6"/>
                <w:sz w:val="24"/>
                <w:szCs w:val="24"/>
              </w:rPr>
              <w:t>并取得自然资</w:t>
            </w:r>
            <w:r>
              <w:rPr>
                <w:sz w:val="24"/>
                <w:szCs w:val="24"/>
              </w:rPr>
              <w:t xml:space="preserve"> </w:t>
            </w:r>
            <w:r>
              <w:rPr>
                <w:spacing w:val="-6"/>
                <w:sz w:val="24"/>
                <w:szCs w:val="24"/>
              </w:rPr>
              <w:t>源主管部门的批复，</w:t>
            </w:r>
            <w:r>
              <w:rPr>
                <w:spacing w:val="50"/>
                <w:sz w:val="24"/>
                <w:szCs w:val="24"/>
              </w:rPr>
              <w:t xml:space="preserve"> </w:t>
            </w:r>
            <w:r>
              <w:rPr>
                <w:spacing w:val="-6"/>
                <w:sz w:val="24"/>
                <w:szCs w:val="24"/>
              </w:rPr>
              <w:t>在施工结束后按照土地复垦方案及批复的要求进行复垦。项目完成</w:t>
            </w:r>
            <w:r>
              <w:rPr>
                <w:sz w:val="24"/>
                <w:szCs w:val="24"/>
              </w:rPr>
              <w:t xml:space="preserve"> </w:t>
            </w:r>
            <w:r>
              <w:rPr>
                <w:spacing w:val="-13"/>
                <w:sz w:val="24"/>
                <w:szCs w:val="24"/>
              </w:rPr>
              <w:t>后，</w:t>
            </w:r>
            <w:r>
              <w:rPr>
                <w:spacing w:val="-31"/>
                <w:sz w:val="24"/>
                <w:szCs w:val="24"/>
              </w:rPr>
              <w:t xml:space="preserve"> </w:t>
            </w:r>
            <w:r>
              <w:rPr>
                <w:spacing w:val="-13"/>
                <w:sz w:val="24"/>
                <w:szCs w:val="24"/>
              </w:rPr>
              <w:t>若转开发井，</w:t>
            </w:r>
            <w:r>
              <w:rPr>
                <w:spacing w:val="55"/>
                <w:sz w:val="24"/>
                <w:szCs w:val="24"/>
              </w:rPr>
              <w:t xml:space="preserve"> </w:t>
            </w:r>
            <w:r>
              <w:rPr>
                <w:spacing w:val="-13"/>
                <w:sz w:val="24"/>
                <w:szCs w:val="24"/>
              </w:rPr>
              <w:t>则另行环评，</w:t>
            </w:r>
            <w:r>
              <w:rPr>
                <w:spacing w:val="52"/>
                <w:sz w:val="24"/>
                <w:szCs w:val="24"/>
              </w:rPr>
              <w:t xml:space="preserve"> </w:t>
            </w:r>
            <w:r>
              <w:rPr>
                <w:spacing w:val="-13"/>
                <w:sz w:val="24"/>
                <w:szCs w:val="24"/>
              </w:rPr>
              <w:t>严格按照数量不减、质量不降原则落实永久基本农田补</w:t>
            </w:r>
          </w:p>
          <w:p>
            <w:pPr>
              <w:pStyle w:val="6"/>
              <w:spacing w:before="1" w:line="219" w:lineRule="auto"/>
              <w:ind w:left="107"/>
              <w:rPr>
                <w:sz w:val="24"/>
                <w:szCs w:val="24"/>
              </w:rPr>
            </w:pPr>
            <w:r>
              <w:rPr>
                <w:spacing w:val="-9"/>
                <w:sz w:val="24"/>
                <w:szCs w:val="24"/>
              </w:rPr>
              <w:t>划任务。</w:t>
            </w:r>
          </w:p>
          <w:p>
            <w:pPr>
              <w:pStyle w:val="6"/>
              <w:spacing w:before="194" w:line="220" w:lineRule="auto"/>
              <w:ind w:left="597"/>
              <w:rPr>
                <w:sz w:val="24"/>
                <w:szCs w:val="24"/>
              </w:rPr>
            </w:pPr>
            <w:r>
              <w:rPr>
                <w:spacing w:val="-5"/>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5"/>
                <w:sz w:val="24"/>
                <w:szCs w:val="24"/>
              </w:rPr>
              <w:t>4</w:t>
            </w:r>
            <w:r>
              <w:rPr>
                <w:spacing w:val="-5"/>
                <w:sz w:val="24"/>
                <w:szCs w:val="24"/>
                <w14:textOutline w14:w="4354" w14:cap="flat" w14:cmpd="sng">
                  <w14:solidFill>
                    <w14:srgbClr w14:val="000000"/>
                  </w14:solidFill>
                  <w14:prstDash w14:val="solid"/>
                  <w14:miter w14:val="10"/>
                </w14:textOutline>
              </w:rPr>
              <w:t>）跟踪监测</w:t>
            </w:r>
          </w:p>
          <w:p>
            <w:pPr>
              <w:pStyle w:val="6"/>
              <w:spacing w:before="194" w:line="480" w:lineRule="exact"/>
              <w:ind w:left="591"/>
              <w:rPr>
                <w:sz w:val="24"/>
                <w:szCs w:val="24"/>
              </w:rPr>
            </w:pPr>
            <w:r>
              <w:rPr>
                <w:spacing w:val="-5"/>
                <w:position w:val="18"/>
                <w:sz w:val="24"/>
                <w:szCs w:val="24"/>
              </w:rPr>
              <w:t>为能及时了解、掌握区内土壤可能被污染的情况， 建议在本项目完工后进行土壤监</w:t>
            </w:r>
          </w:p>
          <w:p>
            <w:pPr>
              <w:pStyle w:val="6"/>
              <w:spacing w:before="1" w:line="218" w:lineRule="auto"/>
              <w:ind w:left="109"/>
              <w:rPr>
                <w:sz w:val="24"/>
                <w:szCs w:val="24"/>
              </w:rPr>
            </w:pPr>
            <w:r>
              <w:rPr>
                <w:spacing w:val="-6"/>
                <w:sz w:val="24"/>
                <w:szCs w:val="24"/>
              </w:rPr>
              <w:t>测，以便及时了解该区土壤环境状况，</w:t>
            </w:r>
            <w:r>
              <w:rPr>
                <w:spacing w:val="67"/>
                <w:sz w:val="24"/>
                <w:szCs w:val="24"/>
              </w:rPr>
              <w:t xml:space="preserve"> </w:t>
            </w:r>
            <w:r>
              <w:rPr>
                <w:spacing w:val="-6"/>
                <w:sz w:val="24"/>
                <w:szCs w:val="24"/>
              </w:rPr>
              <w:t>一旦发生污</w:t>
            </w:r>
            <w:r>
              <w:rPr>
                <w:spacing w:val="-7"/>
                <w:sz w:val="24"/>
                <w:szCs w:val="24"/>
              </w:rPr>
              <w:t>染，及时采取应急、补救措施。</w:t>
            </w:r>
          </w:p>
        </w:tc>
      </w:tr>
    </w:tbl>
    <w:p>
      <w:pPr>
        <w:pStyle w:val="2"/>
        <w:rPr>
          <w:sz w:val="21"/>
        </w:rPr>
      </w:pPr>
    </w:p>
    <w:p>
      <w:pPr>
        <w:rPr>
          <w:sz w:val="21"/>
          <w:szCs w:val="21"/>
        </w:rPr>
        <w:sectPr>
          <w:footerReference r:id="rId150"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3"/>
        <w:gridCol w:w="173"/>
        <w:gridCol w:w="1331"/>
        <w:gridCol w:w="1937"/>
        <w:gridCol w:w="2581"/>
        <w:gridCol w:w="3025"/>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5"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9282" w:type="dxa"/>
            <w:gridSpan w:val="7"/>
            <w:tcBorders>
              <w:top w:val="single" w:color="000000" w:sz="6" w:space="0"/>
              <w:right w:val="single" w:color="000000" w:sz="6" w:space="0"/>
            </w:tcBorders>
            <w:vAlign w:val="top"/>
          </w:tcPr>
          <w:p>
            <w:pPr>
              <w:pStyle w:val="6"/>
              <w:spacing w:before="182" w:line="217" w:lineRule="auto"/>
              <w:ind w:left="587"/>
              <w:rPr>
                <w:sz w:val="24"/>
                <w:szCs w:val="24"/>
              </w:rPr>
            </w:pPr>
            <w:r>
              <w:rPr>
                <w:spacing w:val="-2"/>
                <w:sz w:val="24"/>
                <w:szCs w:val="24"/>
              </w:rPr>
              <w:t>①监测点位</w:t>
            </w:r>
          </w:p>
          <w:p>
            <w:pPr>
              <w:pStyle w:val="6"/>
              <w:spacing w:before="197" w:line="480" w:lineRule="exact"/>
              <w:ind w:left="589"/>
              <w:rPr>
                <w:sz w:val="24"/>
                <w:szCs w:val="24"/>
              </w:rPr>
            </w:pPr>
            <w:r>
              <w:rPr>
                <w:spacing w:val="-2"/>
                <w:position w:val="18"/>
                <w:sz w:val="24"/>
                <w:szCs w:val="24"/>
              </w:rPr>
              <w:t>本次评价土壤跟踪监测拟在清洁化操作平台</w:t>
            </w:r>
            <w:r>
              <w:rPr>
                <w:spacing w:val="-3"/>
                <w:position w:val="18"/>
                <w:sz w:val="24"/>
                <w:szCs w:val="24"/>
              </w:rPr>
              <w:t>旁布置</w:t>
            </w:r>
            <w:r>
              <w:rPr>
                <w:spacing w:val="-32"/>
                <w:position w:val="18"/>
                <w:sz w:val="24"/>
                <w:szCs w:val="24"/>
              </w:rPr>
              <w:t xml:space="preserve"> </w:t>
            </w:r>
            <w:r>
              <w:rPr>
                <w:rFonts w:ascii="Times New Roman" w:hAnsi="Times New Roman" w:eastAsia="Times New Roman" w:cs="Times New Roman"/>
                <w:spacing w:val="-3"/>
                <w:position w:val="18"/>
                <w:sz w:val="24"/>
                <w:szCs w:val="24"/>
              </w:rPr>
              <w:t xml:space="preserve">1 </w:t>
            </w:r>
            <w:r>
              <w:rPr>
                <w:spacing w:val="-3"/>
                <w:position w:val="18"/>
                <w:sz w:val="24"/>
                <w:szCs w:val="24"/>
              </w:rPr>
              <w:t>个土壤监测点（条件允许的情</w:t>
            </w:r>
          </w:p>
          <w:p>
            <w:pPr>
              <w:pStyle w:val="6"/>
              <w:spacing w:line="219" w:lineRule="auto"/>
              <w:ind w:left="110"/>
              <w:rPr>
                <w:sz w:val="24"/>
                <w:szCs w:val="24"/>
              </w:rPr>
            </w:pPr>
            <w:r>
              <w:rPr>
                <w:spacing w:val="-3"/>
                <w:sz w:val="24"/>
                <w:szCs w:val="24"/>
              </w:rPr>
              <w:t>况下可在泥浆循环系统旁增设</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个土壤监测点）。</w:t>
            </w:r>
          </w:p>
          <w:p>
            <w:pPr>
              <w:pStyle w:val="6"/>
              <w:spacing w:before="195" w:line="217" w:lineRule="auto"/>
              <w:ind w:left="586"/>
              <w:rPr>
                <w:sz w:val="24"/>
                <w:szCs w:val="24"/>
              </w:rPr>
            </w:pPr>
            <w:r>
              <w:rPr>
                <w:spacing w:val="-2"/>
                <w:sz w:val="24"/>
                <w:szCs w:val="24"/>
              </w:rPr>
              <w:t>②监测项目</w:t>
            </w:r>
          </w:p>
          <w:p>
            <w:pPr>
              <w:pStyle w:val="6"/>
              <w:spacing w:before="197" w:line="213" w:lineRule="auto"/>
              <w:ind w:left="588"/>
              <w:rPr>
                <w:sz w:val="24"/>
                <w:szCs w:val="24"/>
              </w:rPr>
            </w:pPr>
            <w:r>
              <w:rPr>
                <w:spacing w:val="-6"/>
                <w:sz w:val="24"/>
                <w:szCs w:val="24"/>
              </w:rPr>
              <w:t xml:space="preserve">特征因子： </w:t>
            </w:r>
            <w:r>
              <w:rPr>
                <w:rFonts w:ascii="Times New Roman" w:hAnsi="Times New Roman" w:eastAsia="Times New Roman" w:cs="Times New Roman"/>
                <w:spacing w:val="-6"/>
                <w:sz w:val="24"/>
                <w:szCs w:val="24"/>
              </w:rPr>
              <w:t>pH</w:t>
            </w:r>
            <w:r>
              <w:rPr>
                <w:rFonts w:ascii="Times New Roman" w:hAnsi="Times New Roman" w:eastAsia="Times New Roman" w:cs="Times New Roman"/>
                <w:spacing w:val="-35"/>
                <w:sz w:val="24"/>
                <w:szCs w:val="24"/>
              </w:rPr>
              <w:t xml:space="preserve"> </w:t>
            </w:r>
            <w:r>
              <w:rPr>
                <w:spacing w:val="-6"/>
                <w:sz w:val="24"/>
                <w:szCs w:val="24"/>
              </w:rPr>
              <w:t>、</w:t>
            </w:r>
            <w:r>
              <w:rPr>
                <w:rFonts w:ascii="Times New Roman" w:hAnsi="Times New Roman" w:eastAsia="Times New Roman" w:cs="Times New Roman"/>
                <w:spacing w:val="-6"/>
                <w:sz w:val="24"/>
                <w:szCs w:val="24"/>
              </w:rPr>
              <w:t>SSC</w:t>
            </w:r>
            <w:r>
              <w:rPr>
                <w:spacing w:val="-6"/>
                <w:sz w:val="24"/>
                <w:szCs w:val="24"/>
              </w:rPr>
              <w:t>、石油烃（</w:t>
            </w:r>
            <w:r>
              <w:rPr>
                <w:rFonts w:ascii="Times New Roman" w:hAnsi="Times New Roman" w:eastAsia="Times New Roman" w:cs="Times New Roman"/>
                <w:spacing w:val="-6"/>
                <w:sz w:val="24"/>
                <w:szCs w:val="24"/>
              </w:rPr>
              <w:t>C</w:t>
            </w:r>
            <w:r>
              <w:rPr>
                <w:rFonts w:ascii="Times New Roman" w:hAnsi="Times New Roman" w:eastAsia="Times New Roman" w:cs="Times New Roman"/>
                <w:spacing w:val="-6"/>
                <w:position w:val="-1"/>
                <w:sz w:val="16"/>
                <w:szCs w:val="16"/>
              </w:rPr>
              <w:t xml:space="preserve">10-40 </w:t>
            </w:r>
            <w:r>
              <w:rPr>
                <w:spacing w:val="-7"/>
                <w:sz w:val="24"/>
                <w:szCs w:val="24"/>
              </w:rPr>
              <w:t>）、硫化物、氯化物、钡。</w:t>
            </w:r>
          </w:p>
          <w:p>
            <w:pPr>
              <w:pStyle w:val="6"/>
              <w:spacing w:before="204" w:line="217" w:lineRule="auto"/>
              <w:ind w:left="586"/>
              <w:rPr>
                <w:sz w:val="24"/>
                <w:szCs w:val="24"/>
              </w:rPr>
            </w:pPr>
            <w:r>
              <w:rPr>
                <w:spacing w:val="-1"/>
                <w:sz w:val="24"/>
                <w:szCs w:val="24"/>
              </w:rPr>
              <w:t>③监测频次与时段</w:t>
            </w:r>
          </w:p>
          <w:p>
            <w:pPr>
              <w:pStyle w:val="6"/>
              <w:spacing w:before="197" w:line="219" w:lineRule="auto"/>
              <w:ind w:left="589"/>
              <w:rPr>
                <w:sz w:val="24"/>
                <w:szCs w:val="24"/>
              </w:rPr>
            </w:pPr>
            <w:r>
              <w:rPr>
                <w:spacing w:val="-6"/>
                <w:sz w:val="24"/>
                <w:szCs w:val="24"/>
              </w:rPr>
              <w:t>本项目完工后监测</w:t>
            </w:r>
            <w:r>
              <w:rPr>
                <w:spacing w:val="-15"/>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6"/>
                <w:w w:val="101"/>
                <w:sz w:val="24"/>
                <w:szCs w:val="24"/>
              </w:rPr>
              <w:t xml:space="preserve"> </w:t>
            </w:r>
            <w:r>
              <w:rPr>
                <w:spacing w:val="-6"/>
                <w:sz w:val="24"/>
                <w:szCs w:val="24"/>
              </w:rPr>
              <w:t>次，每次监测时间为</w:t>
            </w:r>
            <w:r>
              <w:rPr>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spacing w:val="-6"/>
                <w:sz w:val="24"/>
                <w:szCs w:val="24"/>
              </w:rPr>
              <w:t>天，每天采样</w:t>
            </w:r>
            <w:r>
              <w:rPr>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6"/>
                <w:sz w:val="24"/>
                <w:szCs w:val="24"/>
              </w:rPr>
              <w:t xml:space="preserve"> </w:t>
            </w:r>
            <w:r>
              <w:rPr>
                <w:spacing w:val="-6"/>
                <w:sz w:val="24"/>
                <w:szCs w:val="24"/>
              </w:rPr>
              <w:t>次。</w:t>
            </w:r>
          </w:p>
          <w:p>
            <w:pPr>
              <w:pStyle w:val="6"/>
              <w:spacing w:before="195" w:line="219" w:lineRule="auto"/>
              <w:ind w:left="589"/>
              <w:rPr>
                <w:sz w:val="24"/>
                <w:szCs w:val="24"/>
              </w:rPr>
            </w:pPr>
            <w:r>
              <w:rPr>
                <w:spacing w:val="-3"/>
                <w:sz w:val="24"/>
                <w:szCs w:val="24"/>
              </w:rPr>
              <w:t>本项目土壤跟踪监测频次及监测因子见下表。</w:t>
            </w:r>
          </w:p>
          <w:p>
            <w:pPr>
              <w:pStyle w:val="6"/>
              <w:spacing w:before="196" w:line="220" w:lineRule="auto"/>
              <w:ind w:left="2556"/>
              <w:rPr>
                <w:sz w:val="24"/>
                <w:szCs w:val="24"/>
              </w:rPr>
            </w:pPr>
            <w:r>
              <w:rPr>
                <w:spacing w:val="-1"/>
                <w:sz w:val="24"/>
                <w:szCs w:val="24"/>
                <w14:textOutline w14:w="4354" w14:cap="flat" w14:cmpd="sng">
                  <w14:solidFill>
                    <w14:srgbClr w14:val="000000"/>
                  </w14:solidFill>
                  <w14:prstDash w14:val="solid"/>
                  <w14:miter w14:val="10"/>
                </w14:textOutline>
              </w:rPr>
              <w:t>表</w:t>
            </w:r>
            <w:r>
              <w:rPr>
                <w:spacing w:val="-34"/>
                <w:sz w:val="24"/>
                <w:szCs w:val="24"/>
              </w:rPr>
              <w:t xml:space="preserve"> </w:t>
            </w:r>
            <w:r>
              <w:rPr>
                <w:rFonts w:ascii="Times New Roman" w:hAnsi="Times New Roman" w:eastAsia="Times New Roman" w:cs="Times New Roman"/>
                <w:b/>
                <w:bCs/>
                <w:spacing w:val="-1"/>
                <w:sz w:val="24"/>
                <w:szCs w:val="24"/>
              </w:rPr>
              <w:t xml:space="preserve">5.7-1    </w:t>
            </w:r>
            <w:r>
              <w:rPr>
                <w:spacing w:val="-1"/>
                <w:sz w:val="24"/>
                <w:szCs w:val="24"/>
                <w14:textOutline w14:w="4354" w14:cap="flat" w14:cmpd="sng">
                  <w14:solidFill>
                    <w14:srgbClr w14:val="000000"/>
                  </w14:solidFill>
                  <w14:prstDash w14:val="solid"/>
                  <w14:miter w14:val="10"/>
                </w14:textOutline>
              </w:rPr>
              <w:t>土壤跟踪监测频次及监测因子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5" w:type="dxa"/>
            <w:vMerge w:val="continue"/>
            <w:tcBorders>
              <w:top w:val="nil"/>
              <w:left w:val="single" w:color="000000" w:sz="6" w:space="0"/>
              <w:bottom w:val="nil"/>
            </w:tcBorders>
            <w:vAlign w:val="top"/>
          </w:tcPr>
          <w:p>
            <w:pPr>
              <w:rPr>
                <w:rFonts w:ascii="Arial"/>
                <w:sz w:val="21"/>
              </w:rPr>
            </w:pPr>
          </w:p>
        </w:tc>
        <w:tc>
          <w:tcPr>
            <w:tcW w:w="286" w:type="dxa"/>
            <w:gridSpan w:val="2"/>
            <w:tcBorders>
              <w:right w:val="nil"/>
            </w:tcBorders>
            <w:vAlign w:val="top"/>
          </w:tcPr>
          <w:p>
            <w:pPr>
              <w:rPr>
                <w:rFonts w:ascii="Arial"/>
                <w:sz w:val="21"/>
              </w:rPr>
            </w:pPr>
            <w:r>
              <w:pict>
                <v:rect id="_x0000_s1560" o:spid="_x0000_s1560" o:spt="1" style="position:absolute;left:0pt;margin-left:5.1pt;margin-top:0.45pt;height:17.05pt;width:0.5pt;mso-position-horizontal-relative:page;mso-position-vertical-relative:page;z-index:252015616;mso-width-relative:page;mso-height-relative:page;" fillcolor="#000000" filled="t" stroked="f" coordsize="21600,21600">
                  <v:path/>
                  <v:fill on="t" focussize="0,0"/>
                  <v:stroke on="f"/>
                  <v:imagedata o:title=""/>
                  <o:lock v:ext="edit"/>
                </v:rect>
              </w:pict>
            </w:r>
          </w:p>
        </w:tc>
        <w:tc>
          <w:tcPr>
            <w:tcW w:w="1331" w:type="dxa"/>
            <w:tcBorders>
              <w:left w:val="nil"/>
            </w:tcBorders>
            <w:vAlign w:val="top"/>
          </w:tcPr>
          <w:p>
            <w:pPr>
              <w:pStyle w:val="6"/>
              <w:spacing w:before="68" w:line="222" w:lineRule="auto"/>
              <w:ind w:left="163"/>
              <w:rPr>
                <w:sz w:val="21"/>
                <w:szCs w:val="21"/>
              </w:rPr>
            </w:pPr>
            <w:r>
              <w:rPr>
                <w:spacing w:val="-2"/>
                <w:sz w:val="21"/>
                <w:szCs w:val="21"/>
              </w:rPr>
              <w:t>监测阶段</w:t>
            </w:r>
          </w:p>
        </w:tc>
        <w:tc>
          <w:tcPr>
            <w:tcW w:w="1937" w:type="dxa"/>
            <w:vAlign w:val="top"/>
          </w:tcPr>
          <w:p>
            <w:pPr>
              <w:pStyle w:val="6"/>
              <w:spacing w:before="68" w:line="222" w:lineRule="auto"/>
              <w:ind w:left="550"/>
              <w:rPr>
                <w:sz w:val="21"/>
                <w:szCs w:val="21"/>
              </w:rPr>
            </w:pPr>
            <w:r>
              <w:rPr>
                <w:spacing w:val="-2"/>
                <w:sz w:val="21"/>
                <w:szCs w:val="21"/>
              </w:rPr>
              <w:t>监测点位</w:t>
            </w:r>
          </w:p>
        </w:tc>
        <w:tc>
          <w:tcPr>
            <w:tcW w:w="2581" w:type="dxa"/>
            <w:vAlign w:val="top"/>
          </w:tcPr>
          <w:p>
            <w:pPr>
              <w:pStyle w:val="6"/>
              <w:spacing w:before="67" w:line="221" w:lineRule="auto"/>
              <w:ind w:left="877"/>
              <w:rPr>
                <w:sz w:val="21"/>
                <w:szCs w:val="21"/>
              </w:rPr>
            </w:pPr>
            <w:r>
              <w:rPr>
                <w:spacing w:val="-2"/>
                <w:sz w:val="21"/>
                <w:szCs w:val="21"/>
              </w:rPr>
              <w:t>监测频率</w:t>
            </w:r>
          </w:p>
        </w:tc>
        <w:tc>
          <w:tcPr>
            <w:tcW w:w="3025" w:type="dxa"/>
            <w:tcBorders>
              <w:right w:val="single" w:color="000000" w:sz="8" w:space="0"/>
            </w:tcBorders>
            <w:vAlign w:val="top"/>
          </w:tcPr>
          <w:p>
            <w:pPr>
              <w:pStyle w:val="6"/>
              <w:spacing w:before="68" w:line="221" w:lineRule="auto"/>
              <w:ind w:left="1104"/>
              <w:rPr>
                <w:sz w:val="21"/>
                <w:szCs w:val="21"/>
              </w:rPr>
            </w:pPr>
            <w:r>
              <w:rPr>
                <w:spacing w:val="-2"/>
                <w:sz w:val="21"/>
                <w:szCs w:val="21"/>
              </w:rPr>
              <w:t>监测因子</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tcBorders>
              <w:right w:val="single" w:color="000000" w:sz="8" w:space="0"/>
            </w:tcBorders>
            <w:vAlign w:val="top"/>
          </w:tcPr>
          <w:p>
            <w:pPr>
              <w:rPr>
                <w:rFonts w:ascii="Arial"/>
                <w:sz w:val="21"/>
              </w:rPr>
            </w:pPr>
          </w:p>
        </w:tc>
        <w:tc>
          <w:tcPr>
            <w:tcW w:w="1504" w:type="dxa"/>
            <w:gridSpan w:val="2"/>
            <w:tcBorders>
              <w:left w:val="single" w:color="000000" w:sz="8" w:space="0"/>
            </w:tcBorders>
            <w:vAlign w:val="top"/>
          </w:tcPr>
          <w:p>
            <w:pPr>
              <w:pStyle w:val="6"/>
              <w:spacing w:before="33" w:line="222" w:lineRule="auto"/>
              <w:ind w:left="641" w:right="123" w:hanging="527"/>
              <w:rPr>
                <w:sz w:val="21"/>
                <w:szCs w:val="21"/>
              </w:rPr>
            </w:pPr>
            <w:r>
              <w:rPr>
                <w:spacing w:val="-1"/>
                <w:sz w:val="21"/>
                <w:szCs w:val="21"/>
              </w:rPr>
              <w:t>钻井工程完工</w:t>
            </w:r>
            <w:r>
              <w:rPr>
                <w:sz w:val="21"/>
                <w:szCs w:val="21"/>
              </w:rPr>
              <w:t xml:space="preserve"> 后</w:t>
            </w:r>
          </w:p>
        </w:tc>
        <w:tc>
          <w:tcPr>
            <w:tcW w:w="1937" w:type="dxa"/>
            <w:vAlign w:val="top"/>
          </w:tcPr>
          <w:p>
            <w:pPr>
              <w:pStyle w:val="6"/>
              <w:spacing w:before="171" w:line="221" w:lineRule="auto"/>
              <w:ind w:left="129"/>
              <w:rPr>
                <w:sz w:val="21"/>
                <w:szCs w:val="21"/>
              </w:rPr>
            </w:pPr>
            <w:r>
              <w:rPr>
                <w:spacing w:val="-1"/>
                <w:sz w:val="21"/>
                <w:szCs w:val="21"/>
              </w:rPr>
              <w:t>清洁化操作平台旁</w:t>
            </w:r>
          </w:p>
        </w:tc>
        <w:tc>
          <w:tcPr>
            <w:tcW w:w="2581" w:type="dxa"/>
            <w:vAlign w:val="top"/>
          </w:tcPr>
          <w:p>
            <w:pPr>
              <w:pStyle w:val="6"/>
              <w:spacing w:before="171" w:line="221" w:lineRule="auto"/>
              <w:ind w:left="140"/>
              <w:rPr>
                <w:sz w:val="21"/>
                <w:szCs w:val="21"/>
              </w:rPr>
            </w:pPr>
            <w:r>
              <w:rPr>
                <w:spacing w:val="-14"/>
                <w:sz w:val="21"/>
                <w:szCs w:val="21"/>
              </w:rPr>
              <w:t>监测</w:t>
            </w:r>
            <w:r>
              <w:rPr>
                <w:spacing w:val="-19"/>
                <w:sz w:val="21"/>
                <w:szCs w:val="21"/>
              </w:rPr>
              <w:t xml:space="preserve"> </w:t>
            </w:r>
            <w:r>
              <w:rPr>
                <w:rFonts w:ascii="Times New Roman" w:hAnsi="Times New Roman" w:eastAsia="Times New Roman" w:cs="Times New Roman"/>
                <w:spacing w:val="-14"/>
                <w:sz w:val="21"/>
                <w:szCs w:val="21"/>
              </w:rPr>
              <w:t>1</w:t>
            </w:r>
            <w:r>
              <w:rPr>
                <w:rFonts w:ascii="Times New Roman" w:hAnsi="Times New Roman" w:eastAsia="Times New Roman" w:cs="Times New Roman"/>
                <w:spacing w:val="10"/>
                <w:sz w:val="21"/>
                <w:szCs w:val="21"/>
              </w:rPr>
              <w:t xml:space="preserve"> </w:t>
            </w:r>
            <w:r>
              <w:rPr>
                <w:spacing w:val="-14"/>
                <w:sz w:val="21"/>
                <w:szCs w:val="21"/>
              </w:rPr>
              <w:t>天，</w:t>
            </w:r>
            <w:r>
              <w:rPr>
                <w:spacing w:val="-28"/>
                <w:sz w:val="21"/>
                <w:szCs w:val="21"/>
              </w:rPr>
              <w:t xml:space="preserve"> </w:t>
            </w:r>
            <w:r>
              <w:rPr>
                <w:spacing w:val="-14"/>
                <w:sz w:val="21"/>
                <w:szCs w:val="21"/>
              </w:rPr>
              <w:t>每天监测</w:t>
            </w:r>
            <w:r>
              <w:rPr>
                <w:spacing w:val="-27"/>
                <w:sz w:val="21"/>
                <w:szCs w:val="21"/>
              </w:rPr>
              <w:t xml:space="preserve"> </w:t>
            </w:r>
            <w:r>
              <w:rPr>
                <w:rFonts w:ascii="Times New Roman" w:hAnsi="Times New Roman" w:eastAsia="Times New Roman" w:cs="Times New Roman"/>
                <w:spacing w:val="-14"/>
                <w:sz w:val="21"/>
                <w:szCs w:val="21"/>
              </w:rPr>
              <w:t>1</w:t>
            </w:r>
            <w:r>
              <w:rPr>
                <w:rFonts w:ascii="Times New Roman" w:hAnsi="Times New Roman" w:eastAsia="Times New Roman" w:cs="Times New Roman"/>
                <w:spacing w:val="14"/>
                <w:w w:val="101"/>
                <w:sz w:val="21"/>
                <w:szCs w:val="21"/>
              </w:rPr>
              <w:t xml:space="preserve"> </w:t>
            </w:r>
            <w:r>
              <w:rPr>
                <w:spacing w:val="-14"/>
                <w:sz w:val="21"/>
                <w:szCs w:val="21"/>
              </w:rPr>
              <w:t>次</w:t>
            </w:r>
          </w:p>
        </w:tc>
        <w:tc>
          <w:tcPr>
            <w:tcW w:w="3025" w:type="dxa"/>
            <w:tcBorders>
              <w:right w:val="single" w:color="000000" w:sz="8" w:space="0"/>
            </w:tcBorders>
            <w:vAlign w:val="top"/>
          </w:tcPr>
          <w:p>
            <w:pPr>
              <w:pStyle w:val="6"/>
              <w:spacing w:before="33" w:line="222" w:lineRule="auto"/>
              <w:ind w:left="576" w:right="13" w:hanging="468"/>
              <w:rPr>
                <w:sz w:val="21"/>
                <w:szCs w:val="21"/>
              </w:rPr>
            </w:pPr>
            <w:r>
              <w:rPr>
                <w:rFonts w:ascii="Times New Roman" w:hAnsi="Times New Roman" w:eastAsia="Times New Roman" w:cs="Times New Roman"/>
                <w:spacing w:val="-3"/>
                <w:sz w:val="21"/>
                <w:szCs w:val="21"/>
              </w:rPr>
              <w:t>pH</w:t>
            </w:r>
            <w:r>
              <w:rPr>
                <w:rFonts w:ascii="Times New Roman" w:hAnsi="Times New Roman" w:eastAsia="Times New Roman" w:cs="Times New Roman"/>
                <w:spacing w:val="-24"/>
                <w:sz w:val="21"/>
                <w:szCs w:val="21"/>
              </w:rPr>
              <w:t xml:space="preserve"> </w:t>
            </w:r>
            <w:r>
              <w:rPr>
                <w:spacing w:val="-3"/>
                <w:sz w:val="21"/>
                <w:szCs w:val="21"/>
              </w:rPr>
              <w:t>、</w:t>
            </w:r>
            <w:r>
              <w:rPr>
                <w:rFonts w:ascii="Times New Roman" w:hAnsi="Times New Roman" w:eastAsia="Times New Roman" w:cs="Times New Roman"/>
                <w:spacing w:val="-3"/>
                <w:sz w:val="21"/>
                <w:szCs w:val="21"/>
              </w:rPr>
              <w:t>SSC</w:t>
            </w:r>
            <w:r>
              <w:rPr>
                <w:spacing w:val="-3"/>
                <w:sz w:val="21"/>
                <w:szCs w:val="21"/>
              </w:rPr>
              <w:t>、石油烃（</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3"/>
                <w:position w:val="-1"/>
                <w:sz w:val="13"/>
                <w:szCs w:val="13"/>
              </w:rPr>
              <w:t>10</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3"/>
                <w:position w:val="-1"/>
                <w:sz w:val="13"/>
                <w:szCs w:val="13"/>
              </w:rPr>
              <w:t>40</w:t>
            </w:r>
            <w:r>
              <w:rPr>
                <w:spacing w:val="-3"/>
                <w:sz w:val="21"/>
                <w:szCs w:val="21"/>
              </w:rPr>
              <w:t>）、</w:t>
            </w:r>
            <w:r>
              <w:rPr>
                <w:sz w:val="21"/>
                <w:szCs w:val="21"/>
              </w:rPr>
              <w:t xml:space="preserve"> </w:t>
            </w:r>
            <w:r>
              <w:rPr>
                <w:spacing w:val="-2"/>
                <w:sz w:val="21"/>
                <w:szCs w:val="21"/>
              </w:rPr>
              <w:t>硫化物、氯化物、钡</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8" w:hRule="atLeast"/>
        </w:trPr>
        <w:tc>
          <w:tcPr>
            <w:tcW w:w="465" w:type="dxa"/>
            <w:vMerge w:val="continue"/>
            <w:tcBorders>
              <w:top w:val="nil"/>
              <w:left w:val="single" w:color="000000" w:sz="6" w:space="0"/>
            </w:tcBorders>
            <w:vAlign w:val="top"/>
          </w:tcPr>
          <w:p>
            <w:pPr>
              <w:rPr>
                <w:rFonts w:ascii="Arial"/>
                <w:sz w:val="21"/>
              </w:rPr>
            </w:pPr>
          </w:p>
        </w:tc>
        <w:tc>
          <w:tcPr>
            <w:tcW w:w="9282" w:type="dxa"/>
            <w:gridSpan w:val="7"/>
            <w:tcBorders>
              <w:right w:val="single" w:color="000000" w:sz="6" w:space="0"/>
            </w:tcBorders>
            <w:vAlign w:val="top"/>
          </w:tcPr>
          <w:p>
            <w:pPr>
              <w:pStyle w:val="6"/>
              <w:spacing w:before="231" w:line="220" w:lineRule="auto"/>
              <w:ind w:left="107"/>
              <w:rPr>
                <w:sz w:val="24"/>
                <w:szCs w:val="24"/>
              </w:rPr>
            </w:pPr>
            <w:r>
              <w:rPr>
                <w:rFonts w:ascii="Times New Roman" w:hAnsi="Times New Roman" w:eastAsia="Times New Roman" w:cs="Times New Roman"/>
                <w:b/>
                <w:bCs/>
                <w:sz w:val="24"/>
                <w:szCs w:val="24"/>
              </w:rPr>
              <w:t xml:space="preserve">5.8 </w:t>
            </w:r>
            <w:r>
              <w:rPr>
                <w:sz w:val="24"/>
                <w:szCs w:val="24"/>
                <w14:textOutline w14:w="4354" w14:cap="flat" w14:cmpd="sng">
                  <w14:solidFill>
                    <w14:srgbClr w14:val="000000"/>
                  </w14:solidFill>
                  <w14:prstDash w14:val="solid"/>
                  <w14:miter w14:val="10"/>
                </w14:textOutline>
              </w:rPr>
              <w:t>环境风险防范措施及应急要求</w:t>
            </w:r>
          </w:p>
          <w:p>
            <w:pPr>
              <w:pStyle w:val="6"/>
              <w:spacing w:before="194" w:line="369" w:lineRule="auto"/>
              <w:ind w:left="111" w:right="100" w:firstLine="483"/>
              <w:jc w:val="both"/>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）通过地质资料，制定措施防止浅层气可能引发的井喷事故；按标准要求进行</w:t>
            </w:r>
            <w:r>
              <w:rPr>
                <w:spacing w:val="10"/>
                <w:sz w:val="24"/>
                <w:szCs w:val="24"/>
              </w:rPr>
              <w:t xml:space="preserve"> </w:t>
            </w:r>
            <w:r>
              <w:rPr>
                <w:spacing w:val="-17"/>
                <w:sz w:val="24"/>
                <w:szCs w:val="24"/>
              </w:rPr>
              <w:t>设计； 井场内进行分区防渗；</w:t>
            </w:r>
            <w:r>
              <w:rPr>
                <w:spacing w:val="56"/>
                <w:sz w:val="24"/>
                <w:szCs w:val="24"/>
              </w:rPr>
              <w:t xml:space="preserve"> </w:t>
            </w:r>
            <w:r>
              <w:rPr>
                <w:spacing w:val="-17"/>
                <w:sz w:val="24"/>
                <w:szCs w:val="24"/>
              </w:rPr>
              <w:t>井场内废水、油料等物质减少暂存</w:t>
            </w:r>
            <w:r>
              <w:rPr>
                <w:spacing w:val="-18"/>
                <w:sz w:val="24"/>
                <w:szCs w:val="24"/>
              </w:rPr>
              <w:t>周期，</w:t>
            </w:r>
            <w:r>
              <w:rPr>
                <w:spacing w:val="53"/>
                <w:sz w:val="24"/>
                <w:szCs w:val="24"/>
              </w:rPr>
              <w:t xml:space="preserve"> </w:t>
            </w:r>
            <w:r>
              <w:rPr>
                <w:spacing w:val="-18"/>
                <w:sz w:val="24"/>
                <w:szCs w:val="24"/>
              </w:rPr>
              <w:t>及时转运，</w:t>
            </w:r>
            <w:r>
              <w:rPr>
                <w:spacing w:val="22"/>
                <w:sz w:val="24"/>
                <w:szCs w:val="24"/>
              </w:rPr>
              <w:t xml:space="preserve"> </w:t>
            </w:r>
            <w:r>
              <w:rPr>
                <w:spacing w:val="-18"/>
                <w:sz w:val="24"/>
                <w:szCs w:val="24"/>
              </w:rPr>
              <w:t>并定</w:t>
            </w:r>
            <w:r>
              <w:rPr>
                <w:sz w:val="24"/>
                <w:szCs w:val="24"/>
              </w:rPr>
              <w:t xml:space="preserve"> </w:t>
            </w:r>
            <w:r>
              <w:rPr>
                <w:spacing w:val="-17"/>
                <w:sz w:val="24"/>
                <w:szCs w:val="24"/>
              </w:rPr>
              <w:t>期对暂存罐桶质量进行检查；</w:t>
            </w:r>
            <w:r>
              <w:rPr>
                <w:spacing w:val="60"/>
                <w:sz w:val="24"/>
                <w:szCs w:val="24"/>
              </w:rPr>
              <w:t xml:space="preserve"> </w:t>
            </w:r>
            <w:r>
              <w:rPr>
                <w:spacing w:val="-17"/>
                <w:sz w:val="24"/>
                <w:szCs w:val="24"/>
              </w:rPr>
              <w:t>定期对环境风险事故进行演练；</w:t>
            </w:r>
            <w:r>
              <w:rPr>
                <w:spacing w:val="53"/>
                <w:sz w:val="24"/>
                <w:szCs w:val="24"/>
              </w:rPr>
              <w:t xml:space="preserve"> </w:t>
            </w:r>
            <w:r>
              <w:rPr>
                <w:spacing w:val="-18"/>
                <w:sz w:val="24"/>
                <w:szCs w:val="24"/>
              </w:rPr>
              <w:t>加强管理，</w:t>
            </w:r>
            <w:r>
              <w:rPr>
                <w:spacing w:val="20"/>
                <w:sz w:val="24"/>
                <w:szCs w:val="24"/>
              </w:rPr>
              <w:t xml:space="preserve"> </w:t>
            </w:r>
            <w:r>
              <w:rPr>
                <w:spacing w:val="-18"/>
                <w:sz w:val="24"/>
                <w:szCs w:val="24"/>
              </w:rPr>
              <w:t>定期检查， 对</w:t>
            </w:r>
          </w:p>
          <w:p>
            <w:pPr>
              <w:pStyle w:val="6"/>
              <w:spacing w:line="219" w:lineRule="auto"/>
              <w:ind w:left="117"/>
              <w:rPr>
                <w:sz w:val="24"/>
                <w:szCs w:val="24"/>
              </w:rPr>
            </w:pPr>
            <w:r>
              <w:rPr>
                <w:spacing w:val="-4"/>
                <w:sz w:val="24"/>
                <w:szCs w:val="24"/>
              </w:rPr>
              <w:t>员工进行培训等风险防范措施。</w:t>
            </w:r>
          </w:p>
          <w:p>
            <w:pPr>
              <w:pStyle w:val="6"/>
              <w:spacing w:before="195" w:line="480" w:lineRule="exact"/>
              <w:ind w:left="594"/>
              <w:rPr>
                <w:sz w:val="24"/>
                <w:szCs w:val="24"/>
              </w:rPr>
            </w:pPr>
            <w:r>
              <w:rPr>
                <w:spacing w:val="1"/>
                <w:position w:val="18"/>
                <w:sz w:val="24"/>
                <w:szCs w:val="24"/>
              </w:rPr>
              <w:t>（</w:t>
            </w:r>
            <w:r>
              <w:rPr>
                <w:rFonts w:ascii="Times New Roman" w:hAnsi="Times New Roman" w:eastAsia="Times New Roman" w:cs="Times New Roman"/>
                <w:spacing w:val="1"/>
                <w:position w:val="18"/>
                <w:sz w:val="24"/>
                <w:szCs w:val="24"/>
              </w:rPr>
              <w:t>2</w:t>
            </w:r>
            <w:r>
              <w:rPr>
                <w:spacing w:val="1"/>
                <w:position w:val="18"/>
                <w:sz w:val="24"/>
                <w:szCs w:val="24"/>
              </w:rPr>
              <w:t>）其他废水、废油收集、暂存及转运防治措施详见专章及地下水、土壤防治措</w:t>
            </w:r>
          </w:p>
          <w:p>
            <w:pPr>
              <w:pStyle w:val="6"/>
              <w:spacing w:line="222" w:lineRule="auto"/>
              <w:ind w:left="107"/>
              <w:rPr>
                <w:sz w:val="24"/>
                <w:szCs w:val="24"/>
              </w:rPr>
            </w:pPr>
            <w:r>
              <w:rPr>
                <w:spacing w:val="-11"/>
                <w:sz w:val="24"/>
                <w:szCs w:val="24"/>
              </w:rPr>
              <w:t>施。</w:t>
            </w:r>
          </w:p>
          <w:p>
            <w:pPr>
              <w:pStyle w:val="6"/>
              <w:spacing w:before="191" w:line="480" w:lineRule="exact"/>
              <w:ind w:left="592"/>
              <w:rPr>
                <w:sz w:val="24"/>
                <w:szCs w:val="24"/>
              </w:rPr>
            </w:pPr>
            <w:r>
              <w:rPr>
                <w:spacing w:val="-11"/>
                <w:position w:val="18"/>
                <w:sz w:val="24"/>
                <w:szCs w:val="24"/>
              </w:rPr>
              <w:t>项目后文环境风险专题评价；</w:t>
            </w:r>
            <w:r>
              <w:rPr>
                <w:spacing w:val="52"/>
                <w:position w:val="18"/>
                <w:sz w:val="24"/>
                <w:szCs w:val="24"/>
              </w:rPr>
              <w:t xml:space="preserve"> </w:t>
            </w:r>
            <w:r>
              <w:rPr>
                <w:spacing w:val="-11"/>
                <w:position w:val="18"/>
                <w:sz w:val="24"/>
                <w:szCs w:val="24"/>
              </w:rPr>
              <w:t>本项目通过采取环境风险防治措施，</w:t>
            </w:r>
            <w:r>
              <w:rPr>
                <w:spacing w:val="43"/>
                <w:position w:val="18"/>
                <w:sz w:val="24"/>
                <w:szCs w:val="24"/>
              </w:rPr>
              <w:t xml:space="preserve"> </w:t>
            </w:r>
            <w:r>
              <w:rPr>
                <w:spacing w:val="-11"/>
                <w:position w:val="18"/>
                <w:sz w:val="24"/>
                <w:szCs w:val="24"/>
              </w:rPr>
              <w:t>不会对周边环境</w:t>
            </w:r>
          </w:p>
          <w:p>
            <w:pPr>
              <w:pStyle w:val="6"/>
              <w:spacing w:line="220" w:lineRule="auto"/>
              <w:ind w:left="107"/>
              <w:rPr>
                <w:sz w:val="24"/>
                <w:szCs w:val="24"/>
              </w:rPr>
            </w:pPr>
            <w:r>
              <w:rPr>
                <w:spacing w:val="-7"/>
                <w:sz w:val="24"/>
                <w:szCs w:val="24"/>
              </w:rPr>
              <w:t>造成影响。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465" w:type="dxa"/>
            <w:tcBorders>
              <w:left w:val="single" w:color="000000" w:sz="6" w:space="0"/>
            </w:tcBorders>
            <w:textDirection w:val="tbRlV"/>
            <w:vAlign w:val="top"/>
          </w:tcPr>
          <w:p>
            <w:pPr>
              <w:pStyle w:val="6"/>
              <w:spacing w:before="124" w:line="209" w:lineRule="auto"/>
              <w:ind w:left="46"/>
              <w:rPr>
                <w:sz w:val="24"/>
                <w:szCs w:val="24"/>
              </w:rPr>
            </w:pPr>
            <w:r>
              <w:rPr>
                <w:spacing w:val="24"/>
                <w:w w:val="117"/>
                <w:sz w:val="24"/>
                <w:szCs w:val="24"/>
              </w:rPr>
              <w:t>运营期生态环境保护措施</w:t>
            </w:r>
          </w:p>
        </w:tc>
        <w:tc>
          <w:tcPr>
            <w:tcW w:w="9282" w:type="dxa"/>
            <w:gridSpan w:val="7"/>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78" w:line="219" w:lineRule="auto"/>
              <w:ind w:left="589"/>
              <w:rPr>
                <w:sz w:val="24"/>
                <w:szCs w:val="24"/>
              </w:rPr>
            </w:pPr>
            <w:r>
              <w:rPr>
                <w:spacing w:val="-5"/>
                <w:sz w:val="24"/>
                <w:szCs w:val="24"/>
              </w:rPr>
              <w:t>本项目不涉及运营期。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465" w:type="dxa"/>
            <w:tcBorders>
              <w:left w:val="single" w:color="000000" w:sz="6" w:space="0"/>
              <w:bottom w:val="single" w:color="000000" w:sz="6" w:space="0"/>
            </w:tcBorders>
            <w:textDirection w:val="tbRlV"/>
            <w:vAlign w:val="top"/>
          </w:tcPr>
          <w:p>
            <w:pPr>
              <w:pStyle w:val="6"/>
              <w:spacing w:before="111" w:line="209" w:lineRule="auto"/>
              <w:ind w:left="50"/>
              <w:rPr>
                <w:sz w:val="24"/>
                <w:szCs w:val="24"/>
              </w:rPr>
            </w:pPr>
            <w:r>
              <w:rPr>
                <w:spacing w:val="35"/>
                <w:sz w:val="24"/>
                <w:szCs w:val="24"/>
              </w:rPr>
              <w:t>其他</w:t>
            </w:r>
          </w:p>
        </w:tc>
        <w:tc>
          <w:tcPr>
            <w:tcW w:w="9282" w:type="dxa"/>
            <w:gridSpan w:val="7"/>
            <w:tcBorders>
              <w:bottom w:val="single" w:color="000000" w:sz="6" w:space="0"/>
              <w:right w:val="single" w:color="000000" w:sz="6" w:space="0"/>
            </w:tcBorders>
            <w:vAlign w:val="top"/>
          </w:tcPr>
          <w:p>
            <w:pPr>
              <w:pStyle w:val="6"/>
              <w:spacing w:before="239" w:line="220" w:lineRule="auto"/>
              <w:ind w:left="107"/>
              <w:rPr>
                <w:sz w:val="24"/>
                <w:szCs w:val="24"/>
              </w:rPr>
            </w:pPr>
            <w:r>
              <w:rPr>
                <w:rFonts w:ascii="Times New Roman" w:hAnsi="Times New Roman" w:eastAsia="Times New Roman" w:cs="Times New Roman"/>
                <w:b/>
                <w:bCs/>
                <w:spacing w:val="-1"/>
                <w:sz w:val="24"/>
                <w:szCs w:val="24"/>
              </w:rPr>
              <w:t xml:space="preserve">5.8 </w:t>
            </w:r>
            <w:r>
              <w:rPr>
                <w:spacing w:val="-1"/>
                <w:sz w:val="24"/>
                <w:szCs w:val="24"/>
                <w14:textOutline w14:w="4354" w14:cap="flat" w14:cmpd="sng">
                  <w14:solidFill>
                    <w14:srgbClr w14:val="000000"/>
                  </w14:solidFill>
                  <w14:prstDash w14:val="solid"/>
                  <w14:miter w14:val="10"/>
                </w14:textOutline>
              </w:rPr>
              <w:t>环境管理</w:t>
            </w:r>
          </w:p>
        </w:tc>
      </w:tr>
    </w:tbl>
    <w:p>
      <w:pPr>
        <w:pStyle w:val="2"/>
        <w:rPr>
          <w:sz w:val="21"/>
        </w:rPr>
      </w:pPr>
    </w:p>
    <w:p>
      <w:pPr>
        <w:rPr>
          <w:sz w:val="21"/>
          <w:szCs w:val="21"/>
        </w:rPr>
        <w:sectPr>
          <w:footerReference r:id="rId151"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2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9" w:hRule="atLeast"/>
        </w:trPr>
        <w:tc>
          <w:tcPr>
            <w:tcW w:w="465" w:type="dxa"/>
            <w:tcBorders>
              <w:bottom w:val="single" w:color="000000" w:sz="2" w:space="0"/>
              <w:right w:val="single" w:color="000000" w:sz="2" w:space="0"/>
            </w:tcBorders>
            <w:vAlign w:val="top"/>
          </w:tcPr>
          <w:p>
            <w:pPr>
              <w:rPr>
                <w:rFonts w:ascii="Arial"/>
                <w:sz w:val="21"/>
              </w:rPr>
            </w:pPr>
          </w:p>
        </w:tc>
        <w:tc>
          <w:tcPr>
            <w:tcW w:w="9282" w:type="dxa"/>
            <w:tcBorders>
              <w:left w:val="single" w:color="000000" w:sz="2" w:space="0"/>
              <w:bottom w:val="single" w:color="000000" w:sz="2" w:space="0"/>
            </w:tcBorders>
            <w:vAlign w:val="top"/>
          </w:tcPr>
          <w:p>
            <w:pPr>
              <w:pStyle w:val="6"/>
              <w:spacing w:before="193" w:line="219" w:lineRule="auto"/>
              <w:ind w:left="597"/>
              <w:rPr>
                <w:sz w:val="24"/>
                <w:szCs w:val="24"/>
              </w:rPr>
            </w:pPr>
            <w:r>
              <w:rPr>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1</w:t>
            </w:r>
            <w:r>
              <w:rPr>
                <w:spacing w:val="-3"/>
                <w:sz w:val="24"/>
                <w:szCs w:val="24"/>
                <w14:textOutline w14:w="4354" w14:cap="flat" w14:cmpd="sng">
                  <w14:solidFill>
                    <w14:srgbClr w14:val="000000"/>
                  </w14:solidFill>
                  <w14:prstDash w14:val="solid"/>
                  <w14:miter w14:val="10"/>
                </w14:textOutline>
              </w:rPr>
              <w:t>）环境管理机构</w:t>
            </w:r>
          </w:p>
          <w:p>
            <w:pPr>
              <w:pStyle w:val="6"/>
              <w:spacing w:before="208" w:line="369" w:lineRule="auto"/>
              <w:ind w:left="112" w:right="102" w:firstLine="477"/>
              <w:rPr>
                <w:sz w:val="24"/>
                <w:szCs w:val="24"/>
              </w:rPr>
            </w:pPr>
            <w:r>
              <w:rPr>
                <w:spacing w:val="-5"/>
                <w:sz w:val="24"/>
                <w:szCs w:val="24"/>
              </w:rPr>
              <w:t>本项目建设单位设有完善的环境管理机构， 企业安全环保部安排环保人员负责整个</w:t>
            </w:r>
            <w:r>
              <w:rPr>
                <w:spacing w:val="3"/>
                <w:sz w:val="24"/>
                <w:szCs w:val="24"/>
              </w:rPr>
              <w:t xml:space="preserve"> </w:t>
            </w:r>
            <w:r>
              <w:rPr>
                <w:spacing w:val="-6"/>
                <w:sz w:val="24"/>
                <w:szCs w:val="24"/>
              </w:rPr>
              <w:t>项目环境管理工作。负责组织、协调和监督拟建项目的环</w:t>
            </w:r>
            <w:r>
              <w:rPr>
                <w:spacing w:val="-7"/>
                <w:sz w:val="24"/>
                <w:szCs w:val="24"/>
              </w:rPr>
              <w:t>境保护工作，</w:t>
            </w:r>
            <w:r>
              <w:rPr>
                <w:spacing w:val="56"/>
                <w:sz w:val="24"/>
                <w:szCs w:val="24"/>
              </w:rPr>
              <w:t xml:space="preserve"> </w:t>
            </w:r>
            <w:r>
              <w:rPr>
                <w:spacing w:val="-7"/>
                <w:sz w:val="24"/>
                <w:szCs w:val="24"/>
              </w:rPr>
              <w:t>负责环境保护宣</w:t>
            </w:r>
          </w:p>
          <w:p>
            <w:pPr>
              <w:pStyle w:val="6"/>
              <w:spacing w:before="1" w:line="218" w:lineRule="auto"/>
              <w:ind w:left="106"/>
              <w:rPr>
                <w:sz w:val="24"/>
                <w:szCs w:val="24"/>
              </w:rPr>
            </w:pPr>
            <w:r>
              <w:rPr>
                <w:spacing w:val="-2"/>
                <w:sz w:val="24"/>
                <w:szCs w:val="24"/>
              </w:rPr>
              <w:t>传和教育以及有关环境保护对外协调工作，加强与环保部门的联系。</w:t>
            </w:r>
          </w:p>
          <w:p>
            <w:pPr>
              <w:pStyle w:val="6"/>
              <w:spacing w:before="207" w:line="480" w:lineRule="exact"/>
              <w:ind w:left="591"/>
              <w:rPr>
                <w:sz w:val="24"/>
                <w:szCs w:val="24"/>
              </w:rPr>
            </w:pPr>
            <w:r>
              <w:rPr>
                <w:spacing w:val="-6"/>
                <w:position w:val="18"/>
                <w:sz w:val="24"/>
                <w:szCs w:val="24"/>
              </w:rPr>
              <w:t>建设单位设专人负责监督施工单位在施工过程中的环境保护工作，</w:t>
            </w:r>
            <w:r>
              <w:rPr>
                <w:spacing w:val="37"/>
                <w:position w:val="18"/>
                <w:sz w:val="24"/>
                <w:szCs w:val="24"/>
              </w:rPr>
              <w:t xml:space="preserve"> </w:t>
            </w:r>
            <w:r>
              <w:rPr>
                <w:spacing w:val="-6"/>
                <w:position w:val="18"/>
                <w:sz w:val="24"/>
                <w:szCs w:val="24"/>
              </w:rPr>
              <w:t>同时监督施工单</w:t>
            </w:r>
          </w:p>
          <w:p>
            <w:pPr>
              <w:pStyle w:val="6"/>
              <w:spacing w:line="220" w:lineRule="auto"/>
              <w:ind w:left="108"/>
              <w:rPr>
                <w:sz w:val="24"/>
                <w:szCs w:val="24"/>
              </w:rPr>
            </w:pPr>
            <w:r>
              <w:rPr>
                <w:spacing w:val="-4"/>
                <w:sz w:val="24"/>
                <w:szCs w:val="24"/>
              </w:rPr>
              <w:t>位落实环境保护措施。</w:t>
            </w:r>
          </w:p>
          <w:p>
            <w:pPr>
              <w:pStyle w:val="6"/>
              <w:spacing w:before="207" w:line="369" w:lineRule="auto"/>
              <w:ind w:left="111" w:right="101" w:firstLine="477"/>
              <w:rPr>
                <w:sz w:val="24"/>
                <w:szCs w:val="24"/>
              </w:rPr>
            </w:pPr>
            <w:r>
              <w:rPr>
                <w:spacing w:val="-6"/>
                <w:sz w:val="24"/>
                <w:szCs w:val="24"/>
              </w:rPr>
              <w:t>钻井队应设现场健康、安全与环境管理小组，</w:t>
            </w:r>
            <w:r>
              <w:rPr>
                <w:spacing w:val="45"/>
                <w:sz w:val="24"/>
                <w:szCs w:val="24"/>
              </w:rPr>
              <w:t xml:space="preserve"> </w:t>
            </w:r>
            <w:r>
              <w:rPr>
                <w:spacing w:val="-6"/>
                <w:sz w:val="24"/>
                <w:szCs w:val="24"/>
              </w:rPr>
              <w:t>在钻井承包商健</w:t>
            </w:r>
            <w:r>
              <w:rPr>
                <w:spacing w:val="-7"/>
                <w:sz w:val="24"/>
                <w:szCs w:val="24"/>
              </w:rPr>
              <w:t>康、安全与环境管理</w:t>
            </w:r>
            <w:r>
              <w:rPr>
                <w:sz w:val="24"/>
                <w:szCs w:val="24"/>
              </w:rPr>
              <w:t xml:space="preserve"> </w:t>
            </w:r>
            <w:r>
              <w:rPr>
                <w:spacing w:val="-2"/>
                <w:sz w:val="24"/>
                <w:szCs w:val="24"/>
              </w:rPr>
              <w:t>部门的指导下开展健康、安全与环境管理工作。钻井队健康、安全与环境监督实行承包</w:t>
            </w:r>
          </w:p>
          <w:p>
            <w:pPr>
              <w:pStyle w:val="6"/>
              <w:spacing w:before="1" w:line="218" w:lineRule="auto"/>
              <w:ind w:left="113"/>
              <w:rPr>
                <w:sz w:val="24"/>
                <w:szCs w:val="24"/>
              </w:rPr>
            </w:pPr>
            <w:r>
              <w:rPr>
                <w:spacing w:val="-4"/>
                <w:sz w:val="24"/>
                <w:szCs w:val="24"/>
              </w:rPr>
              <w:t>商派出制或业主聘任的监督机制。</w:t>
            </w:r>
          </w:p>
          <w:p>
            <w:pPr>
              <w:pStyle w:val="6"/>
              <w:spacing w:before="207" w:line="220" w:lineRule="auto"/>
              <w:ind w:left="594"/>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）环境管理职责</w:t>
            </w:r>
          </w:p>
          <w:p>
            <w:pPr>
              <w:pStyle w:val="6"/>
              <w:spacing w:before="206" w:line="480" w:lineRule="exact"/>
              <w:ind w:right="13"/>
              <w:jc w:val="right"/>
              <w:rPr>
                <w:sz w:val="24"/>
                <w:szCs w:val="24"/>
              </w:rPr>
            </w:pPr>
            <w:r>
              <w:rPr>
                <w:spacing w:val="-12"/>
                <w:position w:val="18"/>
                <w:sz w:val="24"/>
                <w:szCs w:val="24"/>
              </w:rPr>
              <w:t>贯彻执行国家、地方环境保护法规和标准； 负责环保工作的计划安排， 加强对废水、</w:t>
            </w:r>
          </w:p>
          <w:p>
            <w:pPr>
              <w:pStyle w:val="6"/>
              <w:spacing w:before="1" w:line="219" w:lineRule="auto"/>
              <w:ind w:left="107"/>
              <w:rPr>
                <w:sz w:val="24"/>
                <w:szCs w:val="24"/>
              </w:rPr>
            </w:pPr>
            <w:r>
              <w:rPr>
                <w:spacing w:val="-1"/>
                <w:sz w:val="24"/>
                <w:szCs w:val="24"/>
              </w:rPr>
              <w:t>废气、噪声、固体废物等的管理，加强对施工过程中对动植物</w:t>
            </w:r>
            <w:r>
              <w:rPr>
                <w:spacing w:val="-2"/>
                <w:sz w:val="24"/>
                <w:szCs w:val="24"/>
              </w:rPr>
              <w:t>以及景观的保护。</w:t>
            </w:r>
          </w:p>
          <w:p>
            <w:pPr>
              <w:pStyle w:val="6"/>
              <w:spacing w:before="207" w:line="369" w:lineRule="auto"/>
              <w:ind w:left="112" w:right="19" w:firstLine="476"/>
              <w:rPr>
                <w:sz w:val="24"/>
                <w:szCs w:val="24"/>
              </w:rPr>
            </w:pPr>
            <w:r>
              <w:rPr>
                <w:spacing w:val="-10"/>
                <w:sz w:val="24"/>
                <w:szCs w:val="24"/>
              </w:rPr>
              <w:t>认真贯彻落实环保</w:t>
            </w:r>
            <w:r>
              <w:rPr>
                <w:rFonts w:ascii="Times New Roman" w:hAnsi="Times New Roman" w:eastAsia="Times New Roman" w:cs="Times New Roman"/>
                <w:spacing w:val="-10"/>
                <w:sz w:val="24"/>
                <w:szCs w:val="24"/>
              </w:rPr>
              <w:t>“</w:t>
            </w:r>
            <w:r>
              <w:rPr>
                <w:spacing w:val="-10"/>
                <w:sz w:val="24"/>
                <w:szCs w:val="24"/>
              </w:rPr>
              <w:t>三同时</w:t>
            </w:r>
            <w:r>
              <w:rPr>
                <w:rFonts w:ascii="Times New Roman" w:hAnsi="Times New Roman" w:eastAsia="Times New Roman" w:cs="Times New Roman"/>
                <w:spacing w:val="-10"/>
                <w:sz w:val="24"/>
                <w:szCs w:val="24"/>
              </w:rPr>
              <w:t>”</w:t>
            </w:r>
            <w:r>
              <w:rPr>
                <w:spacing w:val="-10"/>
                <w:sz w:val="24"/>
                <w:szCs w:val="24"/>
              </w:rPr>
              <w:t>规定， 切实按照环评、设计要求予以实施，</w:t>
            </w:r>
            <w:r>
              <w:rPr>
                <w:spacing w:val="99"/>
                <w:sz w:val="24"/>
                <w:szCs w:val="24"/>
              </w:rPr>
              <w:t xml:space="preserve"> </w:t>
            </w:r>
            <w:r>
              <w:rPr>
                <w:spacing w:val="-10"/>
                <w:sz w:val="24"/>
                <w:szCs w:val="24"/>
              </w:rPr>
              <w:t xml:space="preserve">以确保环保 </w:t>
            </w:r>
            <w:r>
              <w:rPr>
                <w:spacing w:val="-11"/>
                <w:sz w:val="24"/>
                <w:szCs w:val="24"/>
              </w:rPr>
              <w:t>设施的建设，</w:t>
            </w:r>
            <w:r>
              <w:rPr>
                <w:spacing w:val="56"/>
                <w:sz w:val="24"/>
                <w:szCs w:val="24"/>
              </w:rPr>
              <w:t xml:space="preserve"> </w:t>
            </w:r>
            <w:r>
              <w:rPr>
                <w:spacing w:val="-11"/>
                <w:sz w:val="24"/>
                <w:szCs w:val="24"/>
              </w:rPr>
              <w:t>使环保工程达到预期效果。组织实施污染防治措施和生态保护措施，</w:t>
            </w:r>
            <w:r>
              <w:rPr>
                <w:spacing w:val="52"/>
                <w:sz w:val="24"/>
                <w:szCs w:val="24"/>
              </w:rPr>
              <w:t xml:space="preserve"> </w:t>
            </w:r>
            <w:r>
              <w:rPr>
                <w:spacing w:val="-11"/>
                <w:sz w:val="24"/>
                <w:szCs w:val="24"/>
              </w:rPr>
              <w:t>并进 行环保验收。检查环境管理工作中的问题和不足， 对发现的问题和不</w:t>
            </w:r>
            <w:r>
              <w:rPr>
                <w:spacing w:val="-12"/>
                <w:sz w:val="24"/>
                <w:szCs w:val="24"/>
              </w:rPr>
              <w:t>足， 提出改进意见。</w:t>
            </w:r>
          </w:p>
          <w:p>
            <w:pPr>
              <w:pStyle w:val="6"/>
              <w:spacing w:before="1" w:line="219" w:lineRule="auto"/>
              <w:ind w:left="109"/>
              <w:rPr>
                <w:sz w:val="24"/>
                <w:szCs w:val="24"/>
              </w:rPr>
            </w:pPr>
            <w:r>
              <w:rPr>
                <w:spacing w:val="-2"/>
                <w:sz w:val="24"/>
                <w:szCs w:val="24"/>
              </w:rPr>
              <w:t>协同当地环保部门处理与项目有关的环境问</w:t>
            </w:r>
            <w:r>
              <w:rPr>
                <w:spacing w:val="-3"/>
                <w:sz w:val="24"/>
                <w:szCs w:val="24"/>
              </w:rPr>
              <w:t>题。</w:t>
            </w:r>
          </w:p>
          <w:p>
            <w:pPr>
              <w:pStyle w:val="6"/>
              <w:spacing w:before="207" w:line="220" w:lineRule="auto"/>
              <w:ind w:left="594"/>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）环境管理制度</w:t>
            </w:r>
          </w:p>
          <w:p>
            <w:pPr>
              <w:pStyle w:val="6"/>
              <w:spacing w:before="207" w:line="369" w:lineRule="auto"/>
              <w:ind w:left="108" w:right="100" w:firstLine="482"/>
              <w:rPr>
                <w:sz w:val="24"/>
                <w:szCs w:val="24"/>
              </w:rPr>
            </w:pPr>
            <w:r>
              <w:rPr>
                <w:spacing w:val="-2"/>
                <w:sz w:val="24"/>
                <w:szCs w:val="24"/>
              </w:rPr>
              <w:t>建设单位应督促施工单位制定并组织实施施工期的环境保护管理制度。应制定相应</w:t>
            </w:r>
            <w:r>
              <w:rPr>
                <w:spacing w:val="9"/>
                <w:sz w:val="24"/>
                <w:szCs w:val="24"/>
              </w:rPr>
              <w:t xml:space="preserve"> </w:t>
            </w:r>
            <w:r>
              <w:rPr>
                <w:spacing w:val="-2"/>
                <w:sz w:val="24"/>
                <w:szCs w:val="24"/>
              </w:rPr>
              <w:t>的废水、废气、噪声和固体污染防治管理制度并执行。主要依据较完善的《石油天然气</w:t>
            </w:r>
            <w:r>
              <w:rPr>
                <w:spacing w:val="2"/>
                <w:sz w:val="24"/>
                <w:szCs w:val="24"/>
              </w:rPr>
              <w:t xml:space="preserve"> </w:t>
            </w:r>
            <w:r>
              <w:rPr>
                <w:spacing w:val="-2"/>
                <w:sz w:val="24"/>
                <w:szCs w:val="24"/>
              </w:rPr>
              <w:t>钻井健康、安全与环境管理体系指南》《石油天然气钻井作业健康、安全与环境管理</w:t>
            </w:r>
          </w:p>
          <w:p>
            <w:pPr>
              <w:pStyle w:val="6"/>
              <w:spacing w:before="1" w:line="215" w:lineRule="auto"/>
              <w:ind w:left="114"/>
              <w:rPr>
                <w:sz w:val="24"/>
                <w:szCs w:val="24"/>
              </w:rPr>
            </w:pPr>
            <w:r>
              <w:rPr>
                <w:spacing w:val="-2"/>
                <w:sz w:val="24"/>
                <w:szCs w:val="24"/>
              </w:rPr>
              <w:t>导则》（</w:t>
            </w:r>
            <w:r>
              <w:rPr>
                <w:rFonts w:ascii="Times New Roman" w:hAnsi="Times New Roman" w:eastAsia="Times New Roman" w:cs="Times New Roman"/>
                <w:spacing w:val="-2"/>
                <w:sz w:val="24"/>
                <w:szCs w:val="24"/>
              </w:rPr>
              <w:t>Q/CNPC53</w:t>
            </w:r>
            <w:r>
              <w:rPr>
                <w:spacing w:val="-2"/>
                <w:sz w:val="24"/>
                <w:szCs w:val="24"/>
              </w:rPr>
              <w:t>）作为管理的具体指</w:t>
            </w:r>
            <w:r>
              <w:rPr>
                <w:spacing w:val="-3"/>
                <w:sz w:val="24"/>
                <w:szCs w:val="24"/>
              </w:rPr>
              <w:t>导。</w:t>
            </w:r>
          </w:p>
          <w:p>
            <w:pPr>
              <w:pStyle w:val="6"/>
              <w:spacing w:before="212" w:line="369" w:lineRule="auto"/>
              <w:ind w:left="107" w:right="102" w:firstLine="481"/>
              <w:rPr>
                <w:sz w:val="24"/>
                <w:szCs w:val="24"/>
              </w:rPr>
            </w:pPr>
            <w:r>
              <w:rPr>
                <w:spacing w:val="-6"/>
                <w:sz w:val="24"/>
                <w:szCs w:val="24"/>
              </w:rPr>
              <w:t>重点做好固体废物台账记录和转移联单制度，</w:t>
            </w:r>
            <w:r>
              <w:rPr>
                <w:spacing w:val="47"/>
                <w:sz w:val="24"/>
                <w:szCs w:val="24"/>
              </w:rPr>
              <w:t xml:space="preserve"> </w:t>
            </w:r>
            <w:r>
              <w:rPr>
                <w:spacing w:val="-6"/>
                <w:sz w:val="24"/>
                <w:szCs w:val="24"/>
              </w:rPr>
              <w:t>重点做好</w:t>
            </w:r>
            <w:r>
              <w:rPr>
                <w:spacing w:val="-7"/>
                <w:sz w:val="24"/>
                <w:szCs w:val="24"/>
              </w:rPr>
              <w:t>钻井废水、洗井废水、酸化</w:t>
            </w:r>
            <w:r>
              <w:rPr>
                <w:sz w:val="24"/>
                <w:szCs w:val="24"/>
              </w:rPr>
              <w:t xml:space="preserve"> </w:t>
            </w:r>
            <w:r>
              <w:rPr>
                <w:spacing w:val="-2"/>
                <w:sz w:val="24"/>
                <w:szCs w:val="24"/>
              </w:rPr>
              <w:t>废水的台账记录和转移联单制度、影像记录。对承包废水转运的承包商实施车辆登记制</w:t>
            </w:r>
          </w:p>
          <w:p>
            <w:pPr>
              <w:pStyle w:val="6"/>
              <w:spacing w:before="1" w:line="219" w:lineRule="auto"/>
              <w:ind w:left="107"/>
              <w:rPr>
                <w:sz w:val="24"/>
                <w:szCs w:val="24"/>
              </w:rPr>
            </w:pPr>
            <w:r>
              <w:rPr>
                <w:spacing w:val="-1"/>
                <w:sz w:val="24"/>
                <w:szCs w:val="24"/>
              </w:rPr>
              <w:t>度，为每台车安装</w:t>
            </w:r>
            <w:r>
              <w:rPr>
                <w:spacing w:val="-52"/>
                <w:sz w:val="24"/>
                <w:szCs w:val="24"/>
              </w:rPr>
              <w:t xml:space="preserve"> </w:t>
            </w:r>
            <w:r>
              <w:rPr>
                <w:rFonts w:ascii="Times New Roman" w:hAnsi="Times New Roman" w:eastAsia="Times New Roman" w:cs="Times New Roman"/>
                <w:spacing w:val="-1"/>
                <w:sz w:val="24"/>
                <w:szCs w:val="24"/>
              </w:rPr>
              <w:t>GPS</w:t>
            </w:r>
            <w:r>
              <w:rPr>
                <w:spacing w:val="-1"/>
                <w:sz w:val="24"/>
                <w:szCs w:val="24"/>
              </w:rPr>
              <w:t>，并纳入建设方的</w:t>
            </w:r>
            <w:r>
              <w:rPr>
                <w:spacing w:val="-51"/>
                <w:sz w:val="24"/>
                <w:szCs w:val="24"/>
              </w:rPr>
              <w:t xml:space="preserve"> </w:t>
            </w:r>
            <w:r>
              <w:rPr>
                <w:rFonts w:ascii="Times New Roman" w:hAnsi="Times New Roman" w:eastAsia="Times New Roman" w:cs="Times New Roman"/>
                <w:spacing w:val="-2"/>
                <w:sz w:val="24"/>
                <w:szCs w:val="24"/>
              </w:rPr>
              <w:t xml:space="preserve">GPS </w:t>
            </w:r>
            <w:r>
              <w:rPr>
                <w:spacing w:val="-2"/>
                <w:sz w:val="24"/>
                <w:szCs w:val="24"/>
              </w:rPr>
              <w:t>监控系统平台。防止非法排污。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88" w:hRule="atLeast"/>
        </w:trPr>
        <w:tc>
          <w:tcPr>
            <w:tcW w:w="465" w:type="dxa"/>
            <w:tcBorders>
              <w:top w:val="single" w:color="000000" w:sz="2" w:space="0"/>
              <w:right w:val="single" w:color="000000" w:sz="2" w:space="0"/>
            </w:tcBorders>
            <w:textDirection w:val="tbRlV"/>
            <w:vAlign w:val="top"/>
          </w:tcPr>
          <w:p>
            <w:pPr>
              <w:pStyle w:val="6"/>
              <w:spacing w:before="111" w:line="209" w:lineRule="auto"/>
              <w:ind w:left="412"/>
              <w:rPr>
                <w:sz w:val="24"/>
                <w:szCs w:val="24"/>
              </w:rPr>
            </w:pPr>
            <w:r>
              <w:rPr>
                <w:spacing w:val="53"/>
                <w:sz w:val="24"/>
                <w:szCs w:val="24"/>
              </w:rPr>
              <w:t>环保投资</w:t>
            </w:r>
          </w:p>
        </w:tc>
        <w:tc>
          <w:tcPr>
            <w:tcW w:w="9282" w:type="dxa"/>
            <w:tcBorders>
              <w:top w:val="single" w:color="000000" w:sz="2" w:space="0"/>
              <w:left w:val="single" w:color="000000" w:sz="2" w:space="0"/>
            </w:tcBorders>
            <w:vAlign w:val="top"/>
          </w:tcPr>
          <w:p>
            <w:pPr>
              <w:pStyle w:val="6"/>
              <w:spacing w:before="239" w:line="218" w:lineRule="auto"/>
              <w:ind w:left="107"/>
              <w:rPr>
                <w:sz w:val="24"/>
                <w:szCs w:val="24"/>
              </w:rPr>
            </w:pPr>
            <w:r>
              <w:rPr>
                <w:rFonts w:ascii="Times New Roman" w:hAnsi="Times New Roman" w:eastAsia="Times New Roman" w:cs="Times New Roman"/>
                <w:b/>
                <w:bCs/>
                <w:spacing w:val="-1"/>
                <w:sz w:val="24"/>
                <w:szCs w:val="24"/>
              </w:rPr>
              <w:t xml:space="preserve">5.9 </w:t>
            </w:r>
            <w:r>
              <w:rPr>
                <w:spacing w:val="-1"/>
                <w:sz w:val="24"/>
                <w:szCs w:val="24"/>
                <w14:textOutline w14:w="4354" w14:cap="flat" w14:cmpd="sng">
                  <w14:solidFill>
                    <w14:srgbClr w14:val="000000"/>
                  </w14:solidFill>
                  <w14:prstDash w14:val="solid"/>
                  <w14:miter w14:val="10"/>
                </w14:textOutline>
              </w:rPr>
              <w:t>工程环保投资估算</w:t>
            </w:r>
          </w:p>
          <w:p>
            <w:pPr>
              <w:pStyle w:val="6"/>
              <w:spacing w:before="197" w:line="369" w:lineRule="auto"/>
              <w:ind w:left="110" w:right="100" w:firstLine="478"/>
              <w:jc w:val="both"/>
              <w:rPr>
                <w:sz w:val="24"/>
                <w:szCs w:val="24"/>
              </w:rPr>
            </w:pPr>
            <w:r>
              <w:rPr>
                <w:spacing w:val="-8"/>
                <w:sz w:val="24"/>
                <w:szCs w:val="24"/>
              </w:rPr>
              <w:t>本次钻井工程总投资</w:t>
            </w:r>
            <w:r>
              <w:rPr>
                <w:spacing w:val="-50"/>
                <w:sz w:val="24"/>
                <w:szCs w:val="24"/>
              </w:rPr>
              <w:t xml:space="preserve"> </w:t>
            </w:r>
            <w:r>
              <w:rPr>
                <w:rFonts w:ascii="Times New Roman" w:hAnsi="Times New Roman" w:eastAsia="Times New Roman" w:cs="Times New Roman"/>
                <w:spacing w:val="-8"/>
                <w:sz w:val="24"/>
                <w:szCs w:val="24"/>
              </w:rPr>
              <w:t>9000</w:t>
            </w:r>
            <w:r>
              <w:rPr>
                <w:rFonts w:ascii="Times New Roman" w:hAnsi="Times New Roman" w:eastAsia="Times New Roman" w:cs="Times New Roman"/>
                <w:spacing w:val="15"/>
                <w:w w:val="101"/>
                <w:sz w:val="24"/>
                <w:szCs w:val="24"/>
              </w:rPr>
              <w:t xml:space="preserve"> </w:t>
            </w:r>
            <w:r>
              <w:rPr>
                <w:spacing w:val="-8"/>
                <w:sz w:val="24"/>
                <w:szCs w:val="24"/>
              </w:rPr>
              <w:t>万元， 环保投资</w:t>
            </w:r>
            <w:r>
              <w:rPr>
                <w:spacing w:val="-55"/>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9"/>
                <w:sz w:val="24"/>
                <w:szCs w:val="24"/>
              </w:rPr>
              <w:t>16</w:t>
            </w:r>
            <w:r>
              <w:rPr>
                <w:rFonts w:ascii="Times New Roman" w:hAnsi="Times New Roman" w:eastAsia="Times New Roman" w:cs="Times New Roman"/>
                <w:spacing w:val="15"/>
                <w:w w:val="101"/>
                <w:sz w:val="24"/>
                <w:szCs w:val="24"/>
              </w:rPr>
              <w:t xml:space="preserve"> </w:t>
            </w:r>
            <w:r>
              <w:rPr>
                <w:spacing w:val="-9"/>
                <w:sz w:val="24"/>
                <w:szCs w:val="24"/>
              </w:rPr>
              <w:t>万元，</w:t>
            </w:r>
            <w:r>
              <w:rPr>
                <w:spacing w:val="37"/>
                <w:sz w:val="24"/>
                <w:szCs w:val="24"/>
              </w:rPr>
              <w:t xml:space="preserve"> </w:t>
            </w:r>
            <w:r>
              <w:rPr>
                <w:spacing w:val="-9"/>
                <w:sz w:val="24"/>
                <w:szCs w:val="24"/>
              </w:rPr>
              <w:t>占总投资的</w:t>
            </w:r>
            <w:r>
              <w:rPr>
                <w:spacing w:val="-55"/>
                <w:sz w:val="24"/>
                <w:szCs w:val="24"/>
              </w:rPr>
              <w:t xml:space="preserve"> </w:t>
            </w:r>
            <w:r>
              <w:rPr>
                <w:rFonts w:ascii="Times New Roman" w:hAnsi="Times New Roman" w:eastAsia="Times New Roman" w:cs="Times New Roman"/>
                <w:spacing w:val="-9"/>
                <w:sz w:val="24"/>
                <w:szCs w:val="24"/>
              </w:rPr>
              <w:t>2.4%</w:t>
            </w:r>
            <w:r>
              <w:rPr>
                <w:spacing w:val="-9"/>
                <w:sz w:val="24"/>
                <w:szCs w:val="24"/>
              </w:rPr>
              <w:t>。环保投资</w:t>
            </w:r>
            <w:r>
              <w:rPr>
                <w:sz w:val="24"/>
                <w:szCs w:val="24"/>
              </w:rPr>
              <w:t xml:space="preserve"> </w:t>
            </w:r>
            <w:r>
              <w:rPr>
                <w:spacing w:val="-15"/>
                <w:sz w:val="24"/>
                <w:szCs w:val="24"/>
              </w:rPr>
              <w:t>主要用于废水治理、</w:t>
            </w:r>
            <w:r>
              <w:rPr>
                <w:spacing w:val="31"/>
                <w:sz w:val="24"/>
                <w:szCs w:val="24"/>
              </w:rPr>
              <w:t xml:space="preserve"> </w:t>
            </w:r>
            <w:r>
              <w:rPr>
                <w:spacing w:val="-15"/>
                <w:sz w:val="24"/>
                <w:szCs w:val="24"/>
              </w:rPr>
              <w:t>废气治理、</w:t>
            </w:r>
            <w:r>
              <w:rPr>
                <w:spacing w:val="54"/>
                <w:sz w:val="24"/>
                <w:szCs w:val="24"/>
              </w:rPr>
              <w:t xml:space="preserve"> </w:t>
            </w:r>
            <w:r>
              <w:rPr>
                <w:spacing w:val="-15"/>
                <w:sz w:val="24"/>
                <w:szCs w:val="24"/>
              </w:rPr>
              <w:t>固体废物处理、噪声污染</w:t>
            </w:r>
            <w:r>
              <w:rPr>
                <w:spacing w:val="-16"/>
                <w:sz w:val="24"/>
                <w:szCs w:val="24"/>
              </w:rPr>
              <w:t>防治，</w:t>
            </w:r>
            <w:r>
              <w:rPr>
                <w:spacing w:val="78"/>
                <w:sz w:val="24"/>
                <w:szCs w:val="24"/>
              </w:rPr>
              <w:t xml:space="preserve"> </w:t>
            </w:r>
            <w:r>
              <w:rPr>
                <w:spacing w:val="-16"/>
                <w:sz w:val="24"/>
                <w:szCs w:val="24"/>
              </w:rPr>
              <w:t>以及施工迹地生态恢复</w:t>
            </w:r>
          </w:p>
          <w:p>
            <w:pPr>
              <w:pStyle w:val="6"/>
              <w:spacing w:line="219" w:lineRule="auto"/>
              <w:ind w:left="110"/>
              <w:rPr>
                <w:sz w:val="24"/>
                <w:szCs w:val="24"/>
              </w:rPr>
            </w:pPr>
            <w:r>
              <w:rPr>
                <w:spacing w:val="-1"/>
                <w:sz w:val="24"/>
                <w:szCs w:val="24"/>
              </w:rPr>
              <w:t>等，符合该项目的实际特点。环保投资一览表</w:t>
            </w:r>
            <w:r>
              <w:rPr>
                <w:spacing w:val="-2"/>
                <w:sz w:val="24"/>
                <w:szCs w:val="24"/>
              </w:rPr>
              <w:t>见下表。具体情况见表</w:t>
            </w:r>
            <w:r>
              <w:rPr>
                <w:spacing w:val="-48"/>
                <w:sz w:val="24"/>
                <w:szCs w:val="24"/>
              </w:rPr>
              <w:t xml:space="preserve"> </w:t>
            </w:r>
            <w:r>
              <w:rPr>
                <w:rFonts w:ascii="Times New Roman" w:hAnsi="Times New Roman" w:eastAsia="Times New Roman" w:cs="Times New Roman"/>
                <w:spacing w:val="-2"/>
                <w:sz w:val="24"/>
                <w:szCs w:val="24"/>
              </w:rPr>
              <w:t>5.9-</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spacing w:val="-2"/>
                <w:sz w:val="24"/>
                <w:szCs w:val="24"/>
              </w:rPr>
              <w:t>。</w:t>
            </w:r>
          </w:p>
        </w:tc>
      </w:tr>
    </w:tbl>
    <w:p>
      <w:pPr>
        <w:pStyle w:val="2"/>
        <w:rPr>
          <w:sz w:val="21"/>
        </w:rPr>
      </w:pPr>
    </w:p>
    <w:p>
      <w:pPr>
        <w:rPr>
          <w:sz w:val="21"/>
          <w:szCs w:val="21"/>
        </w:rPr>
        <w:sectPr>
          <w:footerReference r:id="rId152"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74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76" w:hRule="atLeast"/>
        </w:trPr>
        <w:tc>
          <w:tcPr>
            <w:tcW w:w="9747" w:type="dxa"/>
            <w:vAlign w:val="top"/>
          </w:tcPr>
          <w:p>
            <w:pPr>
              <w:pStyle w:val="6"/>
              <w:spacing w:before="182" w:line="218" w:lineRule="auto"/>
              <w:ind w:left="2653"/>
              <w:rPr>
                <w:sz w:val="24"/>
                <w:szCs w:val="24"/>
              </w:rPr>
            </w:pPr>
            <w:r>
              <w:pict>
                <v:rect id="_x0000_s1561" o:spid="_x0000_s1561" o:spt="1" style="position:absolute;left:0pt;margin-left:22.75pt;margin-top:0.95pt;height:688.2pt;width:0.5pt;mso-position-horizontal-relative:page;mso-position-vertical-relative:page;z-index:252016640;mso-width-relative:page;mso-height-relative:page;" fillcolor="#000000" filled="t" stroked="f" coordsize="21600,21600">
                  <v:path/>
                  <v:fill on="t" focussize="0,0"/>
                  <v:stroke on="f"/>
                  <v:imagedata o:title=""/>
                  <o:lock v:ext="edit"/>
                </v:rect>
              </w:pict>
            </w:r>
            <w:r>
              <w:rPr>
                <w:sz w:val="24"/>
                <w:szCs w:val="24"/>
                <w14:textOutline w14:w="4354" w14:cap="flat" w14:cmpd="sng">
                  <w14:solidFill>
                    <w14:srgbClr w14:val="000000"/>
                  </w14:solidFill>
                  <w14:prstDash w14:val="solid"/>
                  <w14:miter w14:val="10"/>
                </w14:textOutline>
              </w:rPr>
              <w:t>表</w:t>
            </w:r>
            <w:r>
              <w:rPr>
                <w:spacing w:val="-49"/>
                <w:sz w:val="24"/>
                <w:szCs w:val="24"/>
              </w:rPr>
              <w:t xml:space="preserve"> </w:t>
            </w:r>
            <w:r>
              <w:rPr>
                <w:rFonts w:ascii="Times New Roman" w:hAnsi="Times New Roman" w:eastAsia="Times New Roman" w:cs="Times New Roman"/>
                <w:b/>
                <w:bCs/>
                <w:sz w:val="24"/>
                <w:szCs w:val="24"/>
              </w:rPr>
              <w:t xml:space="preserve">5.9-1        </w:t>
            </w:r>
            <w:r>
              <w:rPr>
                <w:sz w:val="24"/>
                <w:szCs w:val="24"/>
                <w14:textOutline w14:w="4354" w14:cap="flat" w14:cmpd="sng">
                  <w14:solidFill>
                    <w14:srgbClr w14:val="000000"/>
                  </w14:solidFill>
                  <w14:prstDash w14:val="solid"/>
                  <w14:miter w14:val="10"/>
                </w14:textOutline>
              </w:rPr>
              <w:t>项目环保措施及总投</w:t>
            </w:r>
            <w:r>
              <w:rPr>
                <w:spacing w:val="-1"/>
                <w:sz w:val="24"/>
                <w:szCs w:val="24"/>
                <w14:textOutline w14:w="4354" w14:cap="flat" w14:cmpd="sng">
                  <w14:solidFill>
                    <w14:srgbClr w14:val="000000"/>
                  </w14:solidFill>
                  <w14:prstDash w14:val="solid"/>
                  <w14:miter w14:val="10"/>
                </w14:textOutline>
              </w:rPr>
              <w:t>资估算一览表</w:t>
            </w:r>
          </w:p>
          <w:p>
            <w:pPr>
              <w:spacing w:line="19" w:lineRule="exact"/>
            </w:pPr>
          </w:p>
          <w:tbl>
            <w:tblPr>
              <w:tblStyle w:val="5"/>
              <w:tblW w:w="9066"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271"/>
              <w:gridCol w:w="5974"/>
              <w:gridCol w:w="10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92" w:type="dxa"/>
                  <w:tcBorders>
                    <w:tl2br w:val="single" w:color="000000" w:sz="2" w:space="0"/>
                  </w:tcBorders>
                  <w:vAlign w:val="top"/>
                </w:tcPr>
                <w:p>
                  <w:pPr>
                    <w:pStyle w:val="6"/>
                    <w:spacing w:before="34" w:line="224" w:lineRule="auto"/>
                    <w:ind w:left="116" w:right="105" w:firstLine="176"/>
                    <w:rPr>
                      <w:sz w:val="21"/>
                      <w:szCs w:val="21"/>
                    </w:rPr>
                  </w:pPr>
                  <w:r>
                    <w:rPr>
                      <w:spacing w:val="-16"/>
                      <w:sz w:val="21"/>
                      <w:szCs w:val="21"/>
                    </w:rPr>
                    <w:t>内容</w:t>
                  </w:r>
                  <w:r>
                    <w:rPr>
                      <w:sz w:val="21"/>
                      <w:szCs w:val="21"/>
                    </w:rPr>
                    <w:t xml:space="preserve"> </w:t>
                  </w:r>
                  <w:r>
                    <w:rPr>
                      <w:spacing w:val="-2"/>
                      <w:sz w:val="21"/>
                      <w:szCs w:val="21"/>
                    </w:rPr>
                    <w:t>类型</w:t>
                  </w:r>
                </w:p>
              </w:tc>
              <w:tc>
                <w:tcPr>
                  <w:tcW w:w="1271" w:type="dxa"/>
                  <w:vAlign w:val="top"/>
                </w:tcPr>
                <w:p>
                  <w:pPr>
                    <w:pStyle w:val="6"/>
                    <w:spacing w:before="34" w:line="221" w:lineRule="auto"/>
                    <w:ind w:left="324"/>
                    <w:rPr>
                      <w:sz w:val="21"/>
                      <w:szCs w:val="21"/>
                    </w:rPr>
                  </w:pPr>
                  <w:r>
                    <w:rPr>
                      <w:spacing w:val="-2"/>
                      <w:sz w:val="21"/>
                      <w:szCs w:val="21"/>
                    </w:rPr>
                    <w:t>污染物</w:t>
                  </w:r>
                </w:p>
                <w:p>
                  <w:pPr>
                    <w:pStyle w:val="6"/>
                    <w:spacing w:before="22" w:line="207" w:lineRule="auto"/>
                    <w:ind w:left="430"/>
                    <w:rPr>
                      <w:sz w:val="21"/>
                      <w:szCs w:val="21"/>
                    </w:rPr>
                  </w:pPr>
                  <w:r>
                    <w:rPr>
                      <w:spacing w:val="-3"/>
                      <w:sz w:val="21"/>
                      <w:szCs w:val="21"/>
                    </w:rPr>
                    <w:t>名称</w:t>
                  </w:r>
                </w:p>
              </w:tc>
              <w:tc>
                <w:tcPr>
                  <w:tcW w:w="5974" w:type="dxa"/>
                  <w:vAlign w:val="top"/>
                </w:tcPr>
                <w:p>
                  <w:pPr>
                    <w:pStyle w:val="6"/>
                    <w:spacing w:before="171" w:line="221" w:lineRule="auto"/>
                    <w:ind w:left="2583"/>
                    <w:rPr>
                      <w:sz w:val="21"/>
                      <w:szCs w:val="21"/>
                    </w:rPr>
                  </w:pPr>
                  <w:r>
                    <w:rPr>
                      <w:spacing w:val="-5"/>
                      <w:sz w:val="21"/>
                      <w:szCs w:val="21"/>
                    </w:rPr>
                    <w:t>防治措施</w:t>
                  </w:r>
                </w:p>
              </w:tc>
              <w:tc>
                <w:tcPr>
                  <w:tcW w:w="1029" w:type="dxa"/>
                  <w:vAlign w:val="top"/>
                </w:tcPr>
                <w:p>
                  <w:pPr>
                    <w:pStyle w:val="6"/>
                    <w:spacing w:before="34" w:line="224" w:lineRule="auto"/>
                    <w:ind w:left="119" w:right="88" w:firstLine="190"/>
                    <w:rPr>
                      <w:sz w:val="21"/>
                      <w:szCs w:val="21"/>
                    </w:rPr>
                  </w:pPr>
                  <w:r>
                    <w:rPr>
                      <w:spacing w:val="-5"/>
                      <w:sz w:val="21"/>
                      <w:szCs w:val="21"/>
                    </w:rPr>
                    <w:t>投资</w:t>
                  </w:r>
                  <w:r>
                    <w:rPr>
                      <w:sz w:val="21"/>
                      <w:szCs w:val="21"/>
                    </w:rPr>
                    <w:t xml:space="preserve">   </w:t>
                  </w:r>
                  <w:r>
                    <w:rPr>
                      <w:spacing w:val="-7"/>
                      <w:sz w:val="21"/>
                      <w:szCs w:val="21"/>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792"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9" w:line="238" w:lineRule="auto"/>
                    <w:ind w:left="192"/>
                    <w:rPr>
                      <w:sz w:val="21"/>
                      <w:szCs w:val="21"/>
                    </w:rPr>
                  </w:pPr>
                  <w:r>
                    <w:rPr>
                      <w:spacing w:val="-3"/>
                      <w:sz w:val="21"/>
                      <w:szCs w:val="21"/>
                    </w:rPr>
                    <w:t>水污</w:t>
                  </w:r>
                </w:p>
                <w:p>
                  <w:pPr>
                    <w:pStyle w:val="6"/>
                    <w:spacing w:line="221" w:lineRule="auto"/>
                    <w:ind w:left="193"/>
                    <w:rPr>
                      <w:sz w:val="21"/>
                      <w:szCs w:val="21"/>
                    </w:rPr>
                  </w:pPr>
                  <w:r>
                    <w:rPr>
                      <w:spacing w:val="-3"/>
                      <w:sz w:val="21"/>
                      <w:szCs w:val="21"/>
                    </w:rPr>
                    <w:t>染物</w:t>
                  </w:r>
                </w:p>
              </w:tc>
              <w:tc>
                <w:tcPr>
                  <w:tcW w:w="1271" w:type="dxa"/>
                  <w:vAlign w:val="top"/>
                </w:tcPr>
                <w:p>
                  <w:pPr>
                    <w:spacing w:line="319" w:lineRule="auto"/>
                    <w:rPr>
                      <w:rFonts w:ascii="Arial"/>
                      <w:sz w:val="21"/>
                    </w:rPr>
                  </w:pPr>
                </w:p>
                <w:p>
                  <w:pPr>
                    <w:spacing w:line="319" w:lineRule="auto"/>
                    <w:rPr>
                      <w:rFonts w:ascii="Arial"/>
                      <w:sz w:val="21"/>
                    </w:rPr>
                  </w:pPr>
                </w:p>
                <w:p>
                  <w:pPr>
                    <w:pStyle w:val="6"/>
                    <w:spacing w:before="69" w:line="231" w:lineRule="auto"/>
                    <w:ind w:left="110" w:right="140"/>
                    <w:jc w:val="right"/>
                    <w:rPr>
                      <w:sz w:val="21"/>
                      <w:szCs w:val="21"/>
                    </w:rPr>
                  </w:pPr>
                  <w:r>
                    <w:rPr>
                      <w:spacing w:val="-7"/>
                      <w:sz w:val="21"/>
                      <w:szCs w:val="21"/>
                    </w:rPr>
                    <w:t>废水收集、</w:t>
                  </w:r>
                  <w:r>
                    <w:rPr>
                      <w:sz w:val="21"/>
                      <w:szCs w:val="21"/>
                    </w:rPr>
                    <w:t xml:space="preserve"> </w:t>
                  </w:r>
                  <w:r>
                    <w:rPr>
                      <w:spacing w:val="-2"/>
                      <w:sz w:val="21"/>
                      <w:szCs w:val="21"/>
                    </w:rPr>
                    <w:t>清污分流</w:t>
                  </w:r>
                </w:p>
              </w:tc>
              <w:tc>
                <w:tcPr>
                  <w:tcW w:w="5974" w:type="dxa"/>
                  <w:vAlign w:val="top"/>
                </w:tcPr>
                <w:p>
                  <w:pPr>
                    <w:pStyle w:val="6"/>
                    <w:spacing w:before="31" w:line="235" w:lineRule="auto"/>
                    <w:ind w:left="111" w:right="101"/>
                    <w:jc w:val="both"/>
                    <w:rPr>
                      <w:sz w:val="21"/>
                      <w:szCs w:val="21"/>
                    </w:rPr>
                  </w:pPr>
                  <w:r>
                    <w:rPr>
                      <w:spacing w:val="3"/>
                      <w:sz w:val="21"/>
                      <w:szCs w:val="21"/>
                    </w:rPr>
                    <w:t>在井场四周设置雨水排水沟，场外雨水随雨</w:t>
                  </w:r>
                  <w:r>
                    <w:rPr>
                      <w:spacing w:val="2"/>
                      <w:sz w:val="21"/>
                      <w:szCs w:val="21"/>
                    </w:rPr>
                    <w:t>水沟排放；井场分</w:t>
                  </w:r>
                  <w:r>
                    <w:rPr>
                      <w:sz w:val="21"/>
                      <w:szCs w:val="21"/>
                    </w:rPr>
                    <w:t xml:space="preserve"> </w:t>
                  </w:r>
                  <w:r>
                    <w:rPr>
                      <w:spacing w:val="3"/>
                      <w:sz w:val="21"/>
                      <w:szCs w:val="21"/>
                    </w:rPr>
                    <w:t>为清洁区和污染区，通过挡墙隔离。清洁区雨水通过场地内新</w:t>
                  </w:r>
                  <w:r>
                    <w:rPr>
                      <w:sz w:val="21"/>
                      <w:szCs w:val="21"/>
                    </w:rPr>
                    <w:t xml:space="preserve"> </w:t>
                  </w:r>
                  <w:r>
                    <w:rPr>
                      <w:spacing w:val="-4"/>
                      <w:sz w:val="21"/>
                      <w:szCs w:val="21"/>
                    </w:rPr>
                    <w:t>建</w:t>
                  </w:r>
                  <w:r>
                    <w:rPr>
                      <w:spacing w:val="-45"/>
                      <w:sz w:val="21"/>
                      <w:szCs w:val="21"/>
                    </w:rPr>
                    <w:t xml:space="preserve"> </w:t>
                  </w:r>
                  <w:r>
                    <w:rPr>
                      <w:rFonts w:ascii="Times New Roman" w:hAnsi="Times New Roman" w:eastAsia="Times New Roman" w:cs="Times New Roman"/>
                      <w:spacing w:val="-4"/>
                      <w:sz w:val="21"/>
                      <w:szCs w:val="21"/>
                    </w:rPr>
                    <w:t xml:space="preserve">4 </w:t>
                  </w:r>
                  <w:r>
                    <w:rPr>
                      <w:spacing w:val="-4"/>
                      <w:sz w:val="21"/>
                      <w:szCs w:val="21"/>
                    </w:rPr>
                    <w:t>座</w:t>
                  </w:r>
                  <w:r>
                    <w:rPr>
                      <w:spacing w:val="-52"/>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6"/>
                      <w:sz w:val="21"/>
                      <w:szCs w:val="21"/>
                    </w:rPr>
                    <w:t xml:space="preserve"> </w:t>
                  </w:r>
                  <w:r>
                    <w:rPr>
                      <w:spacing w:val="-4"/>
                      <w:sz w:val="21"/>
                      <w:szCs w:val="21"/>
                    </w:rPr>
                    <w:t>型隔油池（有效容积</w:t>
                  </w:r>
                  <w:r>
                    <w:rPr>
                      <w:spacing w:val="-49"/>
                      <w:sz w:val="21"/>
                      <w:szCs w:val="21"/>
                    </w:rPr>
                    <w:t xml:space="preserve"> </w:t>
                  </w:r>
                  <w:r>
                    <w:rPr>
                      <w:rFonts w:ascii="Times New Roman" w:hAnsi="Times New Roman" w:eastAsia="Times New Roman" w:cs="Times New Roman"/>
                      <w:spacing w:val="-4"/>
                      <w:sz w:val="21"/>
                      <w:szCs w:val="21"/>
                    </w:rPr>
                    <w:t>4.5m</w:t>
                  </w:r>
                  <w:r>
                    <w:rPr>
                      <w:rFonts w:ascii="Times New Roman" w:hAnsi="Times New Roman" w:eastAsia="Times New Roman" w:cs="Times New Roman"/>
                      <w:spacing w:val="-4"/>
                      <w:position w:val="6"/>
                      <w:sz w:val="13"/>
                      <w:szCs w:val="13"/>
                    </w:rPr>
                    <w:t>3</w:t>
                  </w:r>
                  <w:r>
                    <w:rPr>
                      <w:spacing w:val="-4"/>
                      <w:sz w:val="21"/>
                      <w:szCs w:val="21"/>
                    </w:rPr>
                    <w:t>）处理后外排附近沟谷；井</w:t>
                  </w:r>
                  <w:r>
                    <w:rPr>
                      <w:sz w:val="21"/>
                      <w:szCs w:val="21"/>
                    </w:rPr>
                    <w:t xml:space="preserve"> </w:t>
                  </w:r>
                  <w:r>
                    <w:rPr>
                      <w:spacing w:val="-3"/>
                      <w:sz w:val="21"/>
                      <w:szCs w:val="21"/>
                    </w:rPr>
                    <w:t>场外油罐区内设</w:t>
                  </w:r>
                  <w:r>
                    <w:rPr>
                      <w:spacing w:val="-28"/>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座混凝土结构隔油池（有效容积</w:t>
                  </w:r>
                  <w:r>
                    <w:rPr>
                      <w:spacing w:val="-51"/>
                      <w:sz w:val="21"/>
                      <w:szCs w:val="21"/>
                    </w:rPr>
                    <w:t xml:space="preserve"> </w:t>
                  </w:r>
                  <w:r>
                    <w:rPr>
                      <w:rFonts w:ascii="Times New Roman" w:hAnsi="Times New Roman" w:eastAsia="Times New Roman" w:cs="Times New Roman"/>
                      <w:spacing w:val="-3"/>
                      <w:sz w:val="21"/>
                      <w:szCs w:val="21"/>
                    </w:rPr>
                    <w:t>4m</w:t>
                  </w:r>
                  <w:r>
                    <w:rPr>
                      <w:rFonts w:ascii="Times New Roman" w:hAnsi="Times New Roman" w:eastAsia="Times New Roman" w:cs="Times New Roman"/>
                      <w:spacing w:val="-3"/>
                      <w:position w:val="6"/>
                      <w:sz w:val="13"/>
                      <w:szCs w:val="13"/>
                    </w:rPr>
                    <w:t>3</w:t>
                  </w:r>
                  <w:r>
                    <w:rPr>
                      <w:spacing w:val="-18"/>
                      <w:sz w:val="21"/>
                      <w:szCs w:val="21"/>
                    </w:rPr>
                    <w:t>），</w:t>
                  </w:r>
                  <w:r>
                    <w:rPr>
                      <w:spacing w:val="-3"/>
                      <w:sz w:val="21"/>
                      <w:szCs w:val="21"/>
                    </w:rPr>
                    <w:t>对油</w:t>
                  </w:r>
                  <w:r>
                    <w:rPr>
                      <w:sz w:val="21"/>
                      <w:szCs w:val="21"/>
                    </w:rPr>
                    <w:t xml:space="preserve"> </w:t>
                  </w:r>
                  <w:r>
                    <w:rPr>
                      <w:spacing w:val="3"/>
                      <w:sz w:val="21"/>
                      <w:szCs w:val="21"/>
                    </w:rPr>
                    <w:t>罐区雨水经集液池隔油处理后外排附近沟谷；设备基础所在区</w:t>
                  </w:r>
                  <w:r>
                    <w:rPr>
                      <w:spacing w:val="1"/>
                      <w:sz w:val="21"/>
                      <w:szCs w:val="21"/>
                    </w:rPr>
                    <w:t xml:space="preserve"> </w:t>
                  </w:r>
                  <w:r>
                    <w:rPr>
                      <w:spacing w:val="-3"/>
                      <w:sz w:val="21"/>
                      <w:szCs w:val="21"/>
                    </w:rPr>
                    <w:t>域设</w:t>
                  </w:r>
                  <w:r>
                    <w:rPr>
                      <w:spacing w:val="-39"/>
                      <w:sz w:val="21"/>
                      <w:szCs w:val="21"/>
                    </w:rPr>
                    <w:t xml:space="preserve"> </w:t>
                  </w:r>
                  <w:r>
                    <w:rPr>
                      <w:rFonts w:ascii="Times New Roman" w:hAnsi="Times New Roman" w:eastAsia="Times New Roman" w:cs="Times New Roman"/>
                      <w:spacing w:val="-3"/>
                      <w:sz w:val="21"/>
                      <w:szCs w:val="21"/>
                    </w:rPr>
                    <w:t xml:space="preserve">5 </w:t>
                  </w:r>
                  <w:r>
                    <w:rPr>
                      <w:spacing w:val="-3"/>
                      <w:sz w:val="21"/>
                      <w:szCs w:val="21"/>
                    </w:rPr>
                    <w:t>个集水坑收集废水，方井内设置</w:t>
                  </w:r>
                  <w:r>
                    <w:rPr>
                      <w:spacing w:val="-27"/>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个</w:t>
                  </w:r>
                  <w:r>
                    <w:rPr>
                      <w:spacing w:val="-45"/>
                      <w:sz w:val="21"/>
                      <w:szCs w:val="21"/>
                    </w:rPr>
                    <w:t xml:space="preserve"> </w:t>
                  </w:r>
                  <w:r>
                    <w:rPr>
                      <w:rFonts w:ascii="Times New Roman" w:hAnsi="Times New Roman" w:eastAsia="Times New Roman" w:cs="Times New Roman"/>
                      <w:spacing w:val="-3"/>
                      <w:sz w:val="21"/>
                      <w:szCs w:val="21"/>
                    </w:rPr>
                    <w:t xml:space="preserve">0.5m×0.5m×0.5m </w:t>
                  </w:r>
                  <w:r>
                    <w:rPr>
                      <w:spacing w:val="-3"/>
                      <w:sz w:val="21"/>
                      <w:szCs w:val="21"/>
                    </w:rPr>
                    <w:t>集</w:t>
                  </w:r>
                  <w:r>
                    <w:rPr>
                      <w:sz w:val="21"/>
                      <w:szCs w:val="21"/>
                    </w:rPr>
                    <w:t xml:space="preserve"> </w:t>
                  </w:r>
                  <w:r>
                    <w:rPr>
                      <w:spacing w:val="-4"/>
                      <w:sz w:val="21"/>
                      <w:szCs w:val="21"/>
                    </w:rPr>
                    <w:t>水坑收集废水， 收集的废水经处理后回用于钻井</w:t>
                  </w:r>
                  <w:r>
                    <w:rPr>
                      <w:spacing w:val="-5"/>
                      <w:sz w:val="21"/>
                      <w:szCs w:val="21"/>
                    </w:rPr>
                    <w:t>液调配。</w:t>
                  </w:r>
                </w:p>
              </w:tc>
              <w:tc>
                <w:tcPr>
                  <w:tcW w:w="1029" w:type="dxa"/>
                  <w:vAlign w:val="top"/>
                </w:tcPr>
                <w:p>
                  <w:pPr>
                    <w:spacing w:line="319" w:lineRule="auto"/>
                    <w:rPr>
                      <w:rFonts w:ascii="Arial"/>
                      <w:sz w:val="21"/>
                    </w:rPr>
                  </w:pPr>
                </w:p>
                <w:p>
                  <w:pPr>
                    <w:spacing w:line="320" w:lineRule="auto"/>
                    <w:rPr>
                      <w:rFonts w:ascii="Arial"/>
                      <w:sz w:val="21"/>
                    </w:rPr>
                  </w:pPr>
                </w:p>
                <w:p>
                  <w:pPr>
                    <w:pStyle w:val="6"/>
                    <w:spacing w:before="69" w:line="231" w:lineRule="auto"/>
                    <w:ind w:left="421" w:right="196" w:hanging="217"/>
                    <w:rPr>
                      <w:sz w:val="21"/>
                      <w:szCs w:val="21"/>
                    </w:rPr>
                  </w:pPr>
                  <w:r>
                    <w:rPr>
                      <w:spacing w:val="-3"/>
                      <w:sz w:val="21"/>
                      <w:szCs w:val="21"/>
                    </w:rPr>
                    <w:t>工程投</w:t>
                  </w:r>
                  <w:r>
                    <w:rPr>
                      <w:sz w:val="21"/>
                      <w:szCs w:val="21"/>
                    </w:rPr>
                    <w:t xml:space="preserve"> 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92" w:type="dxa"/>
                  <w:vMerge w:val="continue"/>
                  <w:tcBorders>
                    <w:top w:val="nil"/>
                    <w:bottom w:val="nil"/>
                  </w:tcBorders>
                  <w:vAlign w:val="top"/>
                </w:tcPr>
                <w:p>
                  <w:pPr>
                    <w:rPr>
                      <w:rFonts w:ascii="Arial"/>
                      <w:sz w:val="21"/>
                    </w:rPr>
                  </w:pPr>
                </w:p>
              </w:tc>
              <w:tc>
                <w:tcPr>
                  <w:tcW w:w="1271" w:type="dxa"/>
                  <w:vAlign w:val="top"/>
                </w:tcPr>
                <w:p>
                  <w:pPr>
                    <w:pStyle w:val="6"/>
                    <w:spacing w:before="165" w:line="221" w:lineRule="auto"/>
                    <w:ind w:left="111"/>
                    <w:rPr>
                      <w:sz w:val="21"/>
                      <w:szCs w:val="21"/>
                    </w:rPr>
                  </w:pPr>
                  <w:r>
                    <w:rPr>
                      <w:spacing w:val="-1"/>
                      <w:sz w:val="21"/>
                      <w:szCs w:val="21"/>
                    </w:rPr>
                    <w:t>钻井废水处</w:t>
                  </w:r>
                </w:p>
                <w:p>
                  <w:pPr>
                    <w:pStyle w:val="6"/>
                    <w:spacing w:before="20" w:line="222" w:lineRule="auto"/>
                    <w:ind w:left="219"/>
                    <w:rPr>
                      <w:sz w:val="21"/>
                      <w:szCs w:val="21"/>
                    </w:rPr>
                  </w:pPr>
                  <w:r>
                    <w:rPr>
                      <w:spacing w:val="-2"/>
                      <w:sz w:val="21"/>
                      <w:szCs w:val="21"/>
                    </w:rPr>
                    <w:t>理回用处</w:t>
                  </w:r>
                </w:p>
                <w:p>
                  <w:pPr>
                    <w:pStyle w:val="6"/>
                    <w:spacing w:before="20" w:line="221" w:lineRule="auto"/>
                    <w:ind w:left="219"/>
                    <w:rPr>
                      <w:sz w:val="21"/>
                      <w:szCs w:val="21"/>
                    </w:rPr>
                  </w:pPr>
                  <w:r>
                    <w:rPr>
                      <w:spacing w:val="-2"/>
                      <w:sz w:val="21"/>
                      <w:szCs w:val="21"/>
                    </w:rPr>
                    <w:t>理、储存</w:t>
                  </w:r>
                </w:p>
              </w:tc>
              <w:tc>
                <w:tcPr>
                  <w:tcW w:w="5974" w:type="dxa"/>
                  <w:vAlign w:val="top"/>
                </w:tcPr>
                <w:p>
                  <w:pPr>
                    <w:pStyle w:val="6"/>
                    <w:spacing w:before="28" w:line="232" w:lineRule="auto"/>
                    <w:ind w:left="111" w:right="29" w:firstLine="2"/>
                    <w:jc w:val="both"/>
                    <w:rPr>
                      <w:sz w:val="21"/>
                      <w:szCs w:val="21"/>
                    </w:rPr>
                  </w:pPr>
                  <w:r>
                    <w:rPr>
                      <w:spacing w:val="2"/>
                      <w:sz w:val="21"/>
                      <w:szCs w:val="21"/>
                    </w:rPr>
                    <w:t xml:space="preserve">污染区（泥浆循环区、井口区、动力机组区、清洁生产操作平 台）雨水以及井场内冲洗作业产水场内污水沟汇集到集水井泵 </w:t>
                  </w:r>
                  <w:r>
                    <w:rPr>
                      <w:spacing w:val="-2"/>
                      <w:sz w:val="21"/>
                      <w:szCs w:val="21"/>
                    </w:rPr>
                    <w:t>入废水处理罐内处理后上回用（用于补充水基泥浆的调配用水、</w:t>
                  </w:r>
                  <w:r>
                    <w:rPr>
                      <w:spacing w:val="3"/>
                      <w:sz w:val="21"/>
                      <w:szCs w:val="21"/>
                    </w:rPr>
                    <w:t xml:space="preserve"> </w:t>
                  </w:r>
                  <w:r>
                    <w:rPr>
                      <w:spacing w:val="-7"/>
                      <w:sz w:val="21"/>
                      <w:szCs w:val="21"/>
                    </w:rPr>
                    <w:t>钻具清洁冲洗用水）</w:t>
                  </w:r>
                  <w:r>
                    <w:rPr>
                      <w:spacing w:val="-42"/>
                      <w:sz w:val="21"/>
                      <w:szCs w:val="21"/>
                    </w:rPr>
                    <w:t xml:space="preserve"> </w:t>
                  </w:r>
                  <w:r>
                    <w:rPr>
                      <w:spacing w:val="-7"/>
                      <w:sz w:val="21"/>
                      <w:szCs w:val="21"/>
                    </w:rPr>
                    <w:t>。</w:t>
                  </w:r>
                </w:p>
              </w:tc>
              <w:tc>
                <w:tcPr>
                  <w:tcW w:w="1029" w:type="dxa"/>
                  <w:vAlign w:val="top"/>
                </w:tcPr>
                <w:p>
                  <w:pPr>
                    <w:pStyle w:val="6"/>
                    <w:spacing w:before="301" w:line="231" w:lineRule="auto"/>
                    <w:ind w:left="421" w:right="196" w:hanging="217"/>
                    <w:rPr>
                      <w:sz w:val="21"/>
                      <w:szCs w:val="21"/>
                    </w:rPr>
                  </w:pPr>
                  <w:r>
                    <w:rPr>
                      <w:spacing w:val="-3"/>
                      <w:sz w:val="21"/>
                      <w:szCs w:val="21"/>
                    </w:rPr>
                    <w:t>工程投</w:t>
                  </w:r>
                  <w:r>
                    <w:rPr>
                      <w:sz w:val="21"/>
                      <w:szCs w:val="21"/>
                    </w:rPr>
                    <w:t xml:space="preserve"> 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92" w:type="dxa"/>
                  <w:vMerge w:val="continue"/>
                  <w:tcBorders>
                    <w:top w:val="nil"/>
                    <w:bottom w:val="nil"/>
                  </w:tcBorders>
                  <w:vAlign w:val="top"/>
                </w:tcPr>
                <w:p>
                  <w:pPr>
                    <w:rPr>
                      <w:rFonts w:ascii="Arial"/>
                      <w:sz w:val="21"/>
                    </w:rPr>
                  </w:pPr>
                </w:p>
              </w:tc>
              <w:tc>
                <w:tcPr>
                  <w:tcW w:w="1271" w:type="dxa"/>
                  <w:vAlign w:val="top"/>
                </w:tcPr>
                <w:p>
                  <w:pPr>
                    <w:pStyle w:val="6"/>
                    <w:spacing w:before="303" w:line="230" w:lineRule="auto"/>
                    <w:ind w:left="322" w:right="109" w:hanging="211"/>
                    <w:rPr>
                      <w:sz w:val="21"/>
                      <w:szCs w:val="21"/>
                    </w:rPr>
                  </w:pPr>
                  <w:r>
                    <w:rPr>
                      <w:spacing w:val="-1"/>
                      <w:sz w:val="21"/>
                      <w:szCs w:val="21"/>
                    </w:rPr>
                    <w:t>钻井废水完</w:t>
                  </w:r>
                  <w:r>
                    <w:rPr>
                      <w:sz w:val="21"/>
                      <w:szCs w:val="21"/>
                    </w:rPr>
                    <w:t xml:space="preserve"> </w:t>
                  </w:r>
                  <w:r>
                    <w:rPr>
                      <w:spacing w:val="-2"/>
                      <w:sz w:val="21"/>
                      <w:szCs w:val="21"/>
                    </w:rPr>
                    <w:t>井处置</w:t>
                  </w:r>
                </w:p>
              </w:tc>
              <w:tc>
                <w:tcPr>
                  <w:tcW w:w="5974" w:type="dxa"/>
                  <w:vAlign w:val="top"/>
                </w:tcPr>
                <w:p>
                  <w:pPr>
                    <w:pStyle w:val="6"/>
                    <w:spacing w:before="29" w:line="232" w:lineRule="auto"/>
                    <w:ind w:left="112" w:right="104"/>
                    <w:jc w:val="both"/>
                    <w:rPr>
                      <w:sz w:val="21"/>
                      <w:szCs w:val="21"/>
                    </w:rPr>
                  </w:pPr>
                  <w:r>
                    <w:rPr>
                      <w:spacing w:val="-3"/>
                      <w:sz w:val="21"/>
                      <w:szCs w:val="21"/>
                    </w:rPr>
                    <w:t>钻井剩余废水储存在废水罐和应急池中。</w:t>
                  </w:r>
                  <w:r>
                    <w:rPr>
                      <w:spacing w:val="55"/>
                      <w:sz w:val="21"/>
                      <w:szCs w:val="21"/>
                    </w:rPr>
                    <w:t xml:space="preserve"> </w:t>
                  </w:r>
                  <w:r>
                    <w:rPr>
                      <w:spacing w:val="-3"/>
                      <w:sz w:val="21"/>
                      <w:szCs w:val="21"/>
                    </w:rPr>
                    <w:t>洗井废水、酸化废水</w:t>
                  </w:r>
                  <w:r>
                    <w:rPr>
                      <w:sz w:val="21"/>
                      <w:szCs w:val="21"/>
                    </w:rPr>
                    <w:t xml:space="preserve"> </w:t>
                  </w:r>
                  <w:r>
                    <w:rPr>
                      <w:spacing w:val="3"/>
                      <w:sz w:val="21"/>
                      <w:szCs w:val="21"/>
                    </w:rPr>
                    <w:t>经排砂管道直接进入清洁生产操作平台的废水罐中预处理后临</w:t>
                  </w:r>
                  <w:r>
                    <w:rPr>
                      <w:sz w:val="21"/>
                      <w:szCs w:val="21"/>
                    </w:rPr>
                    <w:t xml:space="preserve"> </w:t>
                  </w:r>
                  <w:r>
                    <w:rPr>
                      <w:spacing w:val="3"/>
                      <w:sz w:val="21"/>
                      <w:szCs w:val="21"/>
                    </w:rPr>
                    <w:t>时储存应急池。钻井过程中产生的废水最终委托四川瑞利生物</w:t>
                  </w:r>
                  <w:r>
                    <w:rPr>
                      <w:sz w:val="21"/>
                      <w:szCs w:val="21"/>
                    </w:rPr>
                    <w:t xml:space="preserve"> </w:t>
                  </w:r>
                  <w:r>
                    <w:rPr>
                      <w:spacing w:val="-3"/>
                      <w:sz w:val="21"/>
                      <w:szCs w:val="21"/>
                    </w:rPr>
                    <w:t>科技有限公司处置。</w:t>
                  </w:r>
                </w:p>
              </w:tc>
              <w:tc>
                <w:tcPr>
                  <w:tcW w:w="1029" w:type="dxa"/>
                  <w:vAlign w:val="top"/>
                </w:tcPr>
                <w:p>
                  <w:pPr>
                    <w:spacing w:line="413" w:lineRule="auto"/>
                    <w:rPr>
                      <w:rFonts w:ascii="Arial"/>
                      <w:sz w:val="21"/>
                    </w:rPr>
                  </w:pPr>
                </w:p>
                <w:p>
                  <w:pPr>
                    <w:spacing w:before="61"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92" w:type="dxa"/>
                  <w:vMerge w:val="continue"/>
                  <w:tcBorders>
                    <w:top w:val="nil"/>
                  </w:tcBorders>
                  <w:vAlign w:val="top"/>
                </w:tcPr>
                <w:p>
                  <w:pPr>
                    <w:rPr>
                      <w:rFonts w:ascii="Arial"/>
                      <w:sz w:val="21"/>
                    </w:rPr>
                  </w:pPr>
                </w:p>
              </w:tc>
              <w:tc>
                <w:tcPr>
                  <w:tcW w:w="1271" w:type="dxa"/>
                  <w:vAlign w:val="top"/>
                </w:tcPr>
                <w:p>
                  <w:pPr>
                    <w:pStyle w:val="6"/>
                    <w:spacing w:before="302" w:line="221" w:lineRule="auto"/>
                    <w:ind w:left="218"/>
                    <w:rPr>
                      <w:sz w:val="21"/>
                      <w:szCs w:val="21"/>
                    </w:rPr>
                  </w:pPr>
                  <w:r>
                    <w:rPr>
                      <w:spacing w:val="-2"/>
                      <w:sz w:val="21"/>
                      <w:szCs w:val="21"/>
                    </w:rPr>
                    <w:t>生活污水</w:t>
                  </w:r>
                </w:p>
              </w:tc>
              <w:tc>
                <w:tcPr>
                  <w:tcW w:w="5974" w:type="dxa"/>
                  <w:vAlign w:val="top"/>
                </w:tcPr>
                <w:p>
                  <w:pPr>
                    <w:pStyle w:val="6"/>
                    <w:spacing w:before="28" w:line="230" w:lineRule="auto"/>
                    <w:ind w:left="110" w:right="92" w:firstLine="3"/>
                    <w:jc w:val="both"/>
                    <w:rPr>
                      <w:sz w:val="21"/>
                      <w:szCs w:val="21"/>
                    </w:rPr>
                  </w:pPr>
                  <w:r>
                    <w:rPr>
                      <w:spacing w:val="-12"/>
                      <w:sz w:val="21"/>
                      <w:szCs w:val="21"/>
                    </w:rPr>
                    <w:t>生活区及井场外各建</w:t>
                  </w:r>
                  <w:r>
                    <w:rPr>
                      <w:spacing w:val="-21"/>
                      <w:sz w:val="21"/>
                      <w:szCs w:val="21"/>
                    </w:rPr>
                    <w:t xml:space="preserve"> </w:t>
                  </w:r>
                  <w:r>
                    <w:rPr>
                      <w:rFonts w:ascii="Times New Roman" w:hAnsi="Times New Roman" w:eastAsia="Times New Roman" w:cs="Times New Roman"/>
                      <w:spacing w:val="-12"/>
                      <w:sz w:val="21"/>
                      <w:szCs w:val="21"/>
                    </w:rPr>
                    <w:t xml:space="preserve">1 </w:t>
                  </w:r>
                  <w:r>
                    <w:rPr>
                      <w:spacing w:val="-12"/>
                      <w:sz w:val="21"/>
                      <w:szCs w:val="21"/>
                    </w:rPr>
                    <w:t>座环保厕所，生活污水经环保厕所收集处理</w:t>
                  </w:r>
                  <w:r>
                    <w:rPr>
                      <w:sz w:val="21"/>
                      <w:szCs w:val="21"/>
                    </w:rPr>
                    <w:t xml:space="preserve"> </w:t>
                  </w:r>
                  <w:r>
                    <w:rPr>
                      <w:spacing w:val="-11"/>
                      <w:sz w:val="21"/>
                      <w:szCs w:val="21"/>
                    </w:rPr>
                    <w:t>后经罐车拉运至江陵镇污水处理厂处理达标后外</w:t>
                  </w:r>
                  <w:r>
                    <w:rPr>
                      <w:spacing w:val="-12"/>
                      <w:sz w:val="21"/>
                      <w:szCs w:val="21"/>
                    </w:rPr>
                    <w:t>排，完钻后对厕所</w:t>
                  </w:r>
                  <w:r>
                    <w:rPr>
                      <w:sz w:val="21"/>
                      <w:szCs w:val="21"/>
                    </w:rPr>
                    <w:t xml:space="preserve"> </w:t>
                  </w:r>
                  <w:r>
                    <w:rPr>
                      <w:spacing w:val="-9"/>
                      <w:sz w:val="21"/>
                      <w:szCs w:val="21"/>
                    </w:rPr>
                    <w:t>进行填埋。</w:t>
                  </w:r>
                </w:p>
              </w:tc>
              <w:tc>
                <w:tcPr>
                  <w:tcW w:w="1029" w:type="dxa"/>
                  <w:vAlign w:val="top"/>
                </w:tcPr>
                <w:p>
                  <w:pPr>
                    <w:pStyle w:val="6"/>
                    <w:spacing w:before="166" w:line="230" w:lineRule="auto"/>
                    <w:ind w:left="421" w:right="196" w:hanging="217"/>
                    <w:rPr>
                      <w:sz w:val="21"/>
                      <w:szCs w:val="21"/>
                    </w:rPr>
                  </w:pPr>
                  <w:r>
                    <w:rPr>
                      <w:spacing w:val="-3"/>
                      <w:sz w:val="21"/>
                      <w:szCs w:val="21"/>
                    </w:rPr>
                    <w:t>工程投</w:t>
                  </w:r>
                  <w:r>
                    <w:rPr>
                      <w:sz w:val="21"/>
                      <w:szCs w:val="21"/>
                    </w:rPr>
                    <w:t xml:space="preserve"> 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92"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8" w:line="241" w:lineRule="auto"/>
                    <w:ind w:left="192"/>
                    <w:rPr>
                      <w:sz w:val="21"/>
                      <w:szCs w:val="21"/>
                    </w:rPr>
                  </w:pPr>
                  <w:r>
                    <w:rPr>
                      <w:spacing w:val="-3"/>
                      <w:sz w:val="21"/>
                      <w:szCs w:val="21"/>
                    </w:rPr>
                    <w:t>大气</w:t>
                  </w:r>
                </w:p>
                <w:p>
                  <w:pPr>
                    <w:pStyle w:val="6"/>
                    <w:spacing w:line="221" w:lineRule="auto"/>
                    <w:ind w:left="192"/>
                    <w:rPr>
                      <w:sz w:val="21"/>
                      <w:szCs w:val="21"/>
                    </w:rPr>
                  </w:pPr>
                  <w:r>
                    <w:rPr>
                      <w:spacing w:val="-2"/>
                      <w:sz w:val="21"/>
                      <w:szCs w:val="21"/>
                    </w:rPr>
                    <w:t>污染</w:t>
                  </w:r>
                </w:p>
                <w:p>
                  <w:pPr>
                    <w:pStyle w:val="6"/>
                    <w:spacing w:before="19" w:line="222" w:lineRule="auto"/>
                    <w:ind w:left="296"/>
                    <w:rPr>
                      <w:sz w:val="21"/>
                      <w:szCs w:val="21"/>
                    </w:rPr>
                  </w:pPr>
                  <w:r>
                    <w:rPr>
                      <w:sz w:val="21"/>
                      <w:szCs w:val="21"/>
                    </w:rPr>
                    <w:t>物</w:t>
                  </w:r>
                </w:p>
              </w:tc>
              <w:tc>
                <w:tcPr>
                  <w:tcW w:w="1271" w:type="dxa"/>
                  <w:vAlign w:val="top"/>
                </w:tcPr>
                <w:p>
                  <w:pPr>
                    <w:spacing w:line="366" w:lineRule="auto"/>
                    <w:rPr>
                      <w:rFonts w:ascii="Arial"/>
                      <w:sz w:val="21"/>
                    </w:rPr>
                  </w:pPr>
                </w:p>
                <w:p>
                  <w:pPr>
                    <w:pStyle w:val="6"/>
                    <w:spacing w:before="68" w:line="221" w:lineRule="auto"/>
                    <w:ind w:left="215"/>
                    <w:rPr>
                      <w:sz w:val="21"/>
                      <w:szCs w:val="21"/>
                    </w:rPr>
                  </w:pPr>
                  <w:r>
                    <w:rPr>
                      <w:spacing w:val="-1"/>
                      <w:sz w:val="21"/>
                      <w:szCs w:val="21"/>
                    </w:rPr>
                    <w:t>施工粉尘</w:t>
                  </w:r>
                </w:p>
              </w:tc>
              <w:tc>
                <w:tcPr>
                  <w:tcW w:w="5974" w:type="dxa"/>
                  <w:vAlign w:val="top"/>
                </w:tcPr>
                <w:p>
                  <w:pPr>
                    <w:pStyle w:val="6"/>
                    <w:spacing w:before="28" w:line="232" w:lineRule="auto"/>
                    <w:ind w:left="114" w:right="104" w:hanging="2"/>
                    <w:jc w:val="both"/>
                    <w:rPr>
                      <w:sz w:val="21"/>
                      <w:szCs w:val="21"/>
                    </w:rPr>
                  </w:pPr>
                  <w:r>
                    <w:rPr>
                      <w:spacing w:val="3"/>
                      <w:sz w:val="21"/>
                      <w:szCs w:val="21"/>
                    </w:rPr>
                    <w:t>硬化进出口并采取冲洗、洒水等措施控制扬尘。设置</w:t>
                  </w:r>
                  <w:r>
                    <w:rPr>
                      <w:spacing w:val="2"/>
                      <w:sz w:val="21"/>
                      <w:szCs w:val="21"/>
                    </w:rPr>
                    <w:t>车辆冲洗</w:t>
                  </w:r>
                  <w:r>
                    <w:rPr>
                      <w:sz w:val="21"/>
                      <w:szCs w:val="21"/>
                    </w:rPr>
                    <w:t xml:space="preserve"> </w:t>
                  </w:r>
                  <w:r>
                    <w:rPr>
                      <w:spacing w:val="3"/>
                      <w:sz w:val="21"/>
                      <w:szCs w:val="21"/>
                    </w:rPr>
                    <w:t>设施对驶出工地的车辆进行冲洗。对露天堆放易扬撒的物</w:t>
                  </w:r>
                  <w:r>
                    <w:rPr>
                      <w:spacing w:val="2"/>
                      <w:sz w:val="21"/>
                      <w:szCs w:val="21"/>
                    </w:rPr>
                    <w:t>料予</w:t>
                  </w:r>
                  <w:r>
                    <w:rPr>
                      <w:sz w:val="21"/>
                      <w:szCs w:val="21"/>
                    </w:rPr>
                    <w:t xml:space="preserve"> </w:t>
                  </w:r>
                  <w:r>
                    <w:rPr>
                      <w:spacing w:val="3"/>
                      <w:sz w:val="21"/>
                      <w:szCs w:val="21"/>
                    </w:rPr>
                    <w:t>以覆盖。对开挖施工作业面（点）洒水降尘。临时表土</w:t>
                  </w:r>
                  <w:r>
                    <w:rPr>
                      <w:spacing w:val="2"/>
                      <w:sz w:val="21"/>
                      <w:szCs w:val="21"/>
                    </w:rPr>
                    <w:t>堆场洒</w:t>
                  </w:r>
                  <w:r>
                    <w:rPr>
                      <w:sz w:val="21"/>
                      <w:szCs w:val="21"/>
                    </w:rPr>
                    <w:t xml:space="preserve"> </w:t>
                  </w:r>
                  <w:r>
                    <w:rPr>
                      <w:spacing w:val="-1"/>
                      <w:sz w:val="21"/>
                      <w:szCs w:val="21"/>
                    </w:rPr>
                    <w:t>水、覆盖降尘。密闭运输渣土、砂石等易撒漏扬散物质。</w:t>
                  </w:r>
                </w:p>
              </w:tc>
              <w:tc>
                <w:tcPr>
                  <w:tcW w:w="1029" w:type="dxa"/>
                  <w:vAlign w:val="top"/>
                </w:tcPr>
                <w:p>
                  <w:pPr>
                    <w:spacing w:line="413" w:lineRule="auto"/>
                    <w:rPr>
                      <w:rFonts w:ascii="Arial"/>
                      <w:sz w:val="21"/>
                    </w:rPr>
                  </w:pPr>
                </w:p>
                <w:p>
                  <w:pPr>
                    <w:spacing w:before="60" w:line="187"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2" w:type="dxa"/>
                  <w:vMerge w:val="continue"/>
                  <w:tcBorders>
                    <w:top w:val="nil"/>
                    <w:bottom w:val="nil"/>
                  </w:tcBorders>
                  <w:vAlign w:val="top"/>
                </w:tcPr>
                <w:p>
                  <w:pPr>
                    <w:rPr>
                      <w:rFonts w:ascii="Arial"/>
                      <w:sz w:val="21"/>
                    </w:rPr>
                  </w:pPr>
                </w:p>
              </w:tc>
              <w:tc>
                <w:tcPr>
                  <w:tcW w:w="1271" w:type="dxa"/>
                  <w:vAlign w:val="top"/>
                </w:tcPr>
                <w:p>
                  <w:pPr>
                    <w:pStyle w:val="6"/>
                    <w:spacing w:before="166" w:line="220" w:lineRule="auto"/>
                    <w:ind w:left="113"/>
                    <w:rPr>
                      <w:sz w:val="21"/>
                      <w:szCs w:val="21"/>
                    </w:rPr>
                  </w:pPr>
                  <w:r>
                    <w:rPr>
                      <w:spacing w:val="-2"/>
                      <w:sz w:val="21"/>
                      <w:szCs w:val="21"/>
                    </w:rPr>
                    <w:t>备用柴油机</w:t>
                  </w:r>
                </w:p>
              </w:tc>
              <w:tc>
                <w:tcPr>
                  <w:tcW w:w="5974" w:type="dxa"/>
                  <w:vAlign w:val="top"/>
                </w:tcPr>
                <w:p>
                  <w:pPr>
                    <w:pStyle w:val="6"/>
                    <w:spacing w:before="29" w:line="224" w:lineRule="auto"/>
                    <w:ind w:left="112" w:right="104"/>
                    <w:rPr>
                      <w:sz w:val="21"/>
                      <w:szCs w:val="21"/>
                    </w:rPr>
                  </w:pPr>
                  <w:r>
                    <w:rPr>
                      <w:spacing w:val="1"/>
                      <w:sz w:val="21"/>
                      <w:szCs w:val="21"/>
                    </w:rPr>
                    <w:t xml:space="preserve">柴油机燃烧废气经自带尾气处理系统后经过自带 </w:t>
                  </w:r>
                  <w:r>
                    <w:rPr>
                      <w:rFonts w:ascii="Times New Roman" w:hAnsi="Times New Roman" w:eastAsia="Times New Roman" w:cs="Times New Roman"/>
                      <w:spacing w:val="1"/>
                      <w:sz w:val="21"/>
                      <w:szCs w:val="21"/>
                    </w:rPr>
                    <w:t>6</w:t>
                  </w:r>
                  <w:r>
                    <w:rPr>
                      <w:rFonts w:ascii="Times New Roman" w:hAnsi="Times New Roman" w:eastAsia="Times New Roman" w:cs="Times New Roman"/>
                      <w:sz w:val="21"/>
                      <w:szCs w:val="21"/>
                    </w:rPr>
                    <w:t xml:space="preserve">m  </w:t>
                  </w:r>
                  <w:r>
                    <w:rPr>
                      <w:sz w:val="21"/>
                      <w:szCs w:val="21"/>
                    </w:rPr>
                    <w:t xml:space="preserve">高排气筒 </w:t>
                  </w:r>
                  <w:r>
                    <w:rPr>
                      <w:spacing w:val="-8"/>
                      <w:sz w:val="21"/>
                      <w:szCs w:val="21"/>
                    </w:rPr>
                    <w:t>排放。</w:t>
                  </w:r>
                </w:p>
              </w:tc>
              <w:tc>
                <w:tcPr>
                  <w:tcW w:w="1029" w:type="dxa"/>
                  <w:vAlign w:val="top"/>
                </w:tcPr>
                <w:p>
                  <w:pPr>
                    <w:pStyle w:val="6"/>
                    <w:spacing w:before="29" w:line="224" w:lineRule="auto"/>
                    <w:ind w:left="421" w:right="196" w:hanging="217"/>
                    <w:rPr>
                      <w:sz w:val="21"/>
                      <w:szCs w:val="21"/>
                    </w:rPr>
                  </w:pPr>
                  <w:r>
                    <w:rPr>
                      <w:spacing w:val="-3"/>
                      <w:sz w:val="21"/>
                      <w:szCs w:val="21"/>
                    </w:rPr>
                    <w:t>工程投</w:t>
                  </w:r>
                  <w:r>
                    <w:rPr>
                      <w:sz w:val="21"/>
                      <w:szCs w:val="21"/>
                    </w:rPr>
                    <w:t xml:space="preserve"> 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92" w:type="dxa"/>
                  <w:vMerge w:val="continue"/>
                  <w:tcBorders>
                    <w:top w:val="nil"/>
                  </w:tcBorders>
                  <w:vAlign w:val="top"/>
                </w:tcPr>
                <w:p>
                  <w:pPr>
                    <w:rPr>
                      <w:rFonts w:ascii="Arial"/>
                      <w:sz w:val="21"/>
                    </w:rPr>
                  </w:pPr>
                </w:p>
              </w:tc>
              <w:tc>
                <w:tcPr>
                  <w:tcW w:w="1271" w:type="dxa"/>
                  <w:vAlign w:val="top"/>
                </w:tcPr>
                <w:p>
                  <w:pPr>
                    <w:pStyle w:val="6"/>
                    <w:spacing w:before="167" w:line="230" w:lineRule="auto"/>
                    <w:ind w:left="532" w:right="109" w:hanging="420"/>
                    <w:rPr>
                      <w:sz w:val="21"/>
                      <w:szCs w:val="21"/>
                    </w:rPr>
                  </w:pPr>
                  <w:r>
                    <w:rPr>
                      <w:spacing w:val="-2"/>
                      <w:sz w:val="21"/>
                      <w:szCs w:val="21"/>
                    </w:rPr>
                    <w:t>测试放喷废</w:t>
                  </w:r>
                  <w:r>
                    <w:rPr>
                      <w:spacing w:val="3"/>
                      <w:sz w:val="21"/>
                      <w:szCs w:val="21"/>
                    </w:rPr>
                    <w:t xml:space="preserve"> </w:t>
                  </w:r>
                  <w:r>
                    <w:rPr>
                      <w:sz w:val="21"/>
                      <w:szCs w:val="21"/>
                    </w:rPr>
                    <w:t>气</w:t>
                  </w:r>
                </w:p>
              </w:tc>
              <w:tc>
                <w:tcPr>
                  <w:tcW w:w="5974" w:type="dxa"/>
                  <w:vAlign w:val="top"/>
                </w:tcPr>
                <w:p>
                  <w:pPr>
                    <w:pStyle w:val="6"/>
                    <w:spacing w:before="29" w:line="229" w:lineRule="auto"/>
                    <w:ind w:left="111" w:right="45"/>
                    <w:jc w:val="both"/>
                    <w:rPr>
                      <w:sz w:val="21"/>
                      <w:szCs w:val="21"/>
                    </w:rPr>
                  </w:pPr>
                  <w:r>
                    <w:rPr>
                      <w:spacing w:val="-7"/>
                      <w:sz w:val="21"/>
                      <w:szCs w:val="21"/>
                    </w:rPr>
                    <w:t>采用地面燃烧处理，测试放喷管口高为</w:t>
                  </w:r>
                  <w:r>
                    <w:rPr>
                      <w:spacing w:val="-27"/>
                      <w:sz w:val="21"/>
                      <w:szCs w:val="21"/>
                    </w:rPr>
                    <w:t xml:space="preserve"> </w:t>
                  </w:r>
                  <w:r>
                    <w:rPr>
                      <w:rFonts w:ascii="Times New Roman" w:hAnsi="Times New Roman" w:eastAsia="Times New Roman" w:cs="Times New Roman"/>
                      <w:spacing w:val="-7"/>
                      <w:sz w:val="21"/>
                      <w:szCs w:val="21"/>
                    </w:rPr>
                    <w:t>1m</w:t>
                  </w:r>
                  <w:r>
                    <w:rPr>
                      <w:spacing w:val="-7"/>
                      <w:sz w:val="21"/>
                      <w:szCs w:val="21"/>
                    </w:rPr>
                    <w:t>，采用短火焰灼</w:t>
                  </w:r>
                  <w:r>
                    <w:rPr>
                      <w:spacing w:val="-8"/>
                      <w:sz w:val="21"/>
                      <w:szCs w:val="21"/>
                    </w:rPr>
                    <w:t>烧器，</w:t>
                  </w:r>
                  <w:r>
                    <w:rPr>
                      <w:sz w:val="21"/>
                      <w:szCs w:val="21"/>
                    </w:rPr>
                    <w:t xml:space="preserve"> 修建燃烧池降低热辐射影响。</w:t>
                  </w:r>
                  <w:r>
                    <w:rPr>
                      <w:spacing w:val="-24"/>
                      <w:sz w:val="21"/>
                      <w:szCs w:val="21"/>
                    </w:rPr>
                    <w:t xml:space="preserve"> </w:t>
                  </w:r>
                  <w:r>
                    <w:rPr>
                      <w:sz w:val="21"/>
                      <w:szCs w:val="21"/>
                    </w:rPr>
                    <w:t xml:space="preserve">放喷期间应临时撤离放喷口周边 </w:t>
                  </w:r>
                  <w:r>
                    <w:rPr>
                      <w:rFonts w:ascii="Times New Roman" w:hAnsi="Times New Roman" w:eastAsia="Times New Roman" w:cs="Times New Roman"/>
                      <w:spacing w:val="-4"/>
                      <w:sz w:val="21"/>
                      <w:szCs w:val="21"/>
                    </w:rPr>
                    <w:t>500m</w:t>
                  </w:r>
                  <w:r>
                    <w:rPr>
                      <w:rFonts w:ascii="Times New Roman" w:hAnsi="Times New Roman" w:eastAsia="Times New Roman" w:cs="Times New Roman"/>
                      <w:spacing w:val="26"/>
                      <w:w w:val="101"/>
                      <w:sz w:val="21"/>
                      <w:szCs w:val="21"/>
                    </w:rPr>
                    <w:t xml:space="preserve"> </w:t>
                  </w:r>
                  <w:r>
                    <w:rPr>
                      <w:spacing w:val="-4"/>
                      <w:sz w:val="21"/>
                      <w:szCs w:val="21"/>
                    </w:rPr>
                    <w:t>的居民。</w:t>
                  </w:r>
                </w:p>
              </w:tc>
              <w:tc>
                <w:tcPr>
                  <w:tcW w:w="1029" w:type="dxa"/>
                  <w:vAlign w:val="top"/>
                </w:tcPr>
                <w:p>
                  <w:pPr>
                    <w:pStyle w:val="6"/>
                    <w:spacing w:before="167" w:line="230" w:lineRule="auto"/>
                    <w:ind w:left="421" w:right="196" w:hanging="217"/>
                    <w:rPr>
                      <w:sz w:val="21"/>
                      <w:szCs w:val="21"/>
                    </w:rPr>
                  </w:pPr>
                  <w:r>
                    <w:rPr>
                      <w:spacing w:val="-3"/>
                      <w:sz w:val="21"/>
                      <w:szCs w:val="21"/>
                    </w:rPr>
                    <w:t>工程投</w:t>
                  </w:r>
                  <w:r>
                    <w:rPr>
                      <w:sz w:val="21"/>
                      <w:szCs w:val="21"/>
                    </w:rPr>
                    <w:t xml:space="preserve"> 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92"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41" w:lineRule="auto"/>
                    <w:ind w:left="208"/>
                    <w:rPr>
                      <w:sz w:val="21"/>
                      <w:szCs w:val="21"/>
                    </w:rPr>
                  </w:pPr>
                  <w:r>
                    <w:rPr>
                      <w:spacing w:val="-6"/>
                      <w:sz w:val="21"/>
                      <w:szCs w:val="21"/>
                    </w:rPr>
                    <w:t>固体</w:t>
                  </w:r>
                </w:p>
                <w:p>
                  <w:pPr>
                    <w:pStyle w:val="6"/>
                    <w:spacing w:line="221" w:lineRule="auto"/>
                    <w:ind w:left="189"/>
                    <w:rPr>
                      <w:sz w:val="21"/>
                      <w:szCs w:val="21"/>
                    </w:rPr>
                  </w:pPr>
                  <w:r>
                    <w:rPr>
                      <w:spacing w:val="-2"/>
                      <w:sz w:val="21"/>
                      <w:szCs w:val="21"/>
                    </w:rPr>
                    <w:t>废物</w:t>
                  </w:r>
                </w:p>
              </w:tc>
              <w:tc>
                <w:tcPr>
                  <w:tcW w:w="1271" w:type="dxa"/>
                  <w:vAlign w:val="top"/>
                </w:tcPr>
                <w:p>
                  <w:pPr>
                    <w:pStyle w:val="6"/>
                    <w:spacing w:before="166" w:line="220" w:lineRule="auto"/>
                    <w:ind w:left="322"/>
                    <w:rPr>
                      <w:sz w:val="21"/>
                      <w:szCs w:val="21"/>
                    </w:rPr>
                  </w:pPr>
                  <w:r>
                    <w:rPr>
                      <w:spacing w:val="-2"/>
                      <w:sz w:val="21"/>
                      <w:szCs w:val="21"/>
                    </w:rPr>
                    <w:t>耕植土</w:t>
                  </w:r>
                </w:p>
              </w:tc>
              <w:tc>
                <w:tcPr>
                  <w:tcW w:w="5974" w:type="dxa"/>
                  <w:vAlign w:val="top"/>
                </w:tcPr>
                <w:p>
                  <w:pPr>
                    <w:pStyle w:val="6"/>
                    <w:spacing w:before="30" w:line="224" w:lineRule="auto"/>
                    <w:ind w:left="113" w:right="106"/>
                    <w:rPr>
                      <w:sz w:val="21"/>
                      <w:szCs w:val="21"/>
                    </w:rPr>
                  </w:pPr>
                  <w:r>
                    <w:rPr>
                      <w:spacing w:val="-3"/>
                      <w:sz w:val="21"/>
                      <w:szCs w:val="21"/>
                    </w:rPr>
                    <w:t>堆放耕植土堆放区，用于后期生态恢复。</w:t>
                  </w:r>
                  <w:r>
                    <w:rPr>
                      <w:spacing w:val="54"/>
                      <w:sz w:val="21"/>
                      <w:szCs w:val="21"/>
                    </w:rPr>
                    <w:t xml:space="preserve"> </w:t>
                  </w:r>
                  <w:r>
                    <w:rPr>
                      <w:spacing w:val="-3"/>
                      <w:sz w:val="21"/>
                      <w:szCs w:val="21"/>
                    </w:rPr>
                    <w:t>耕植土堆放区表面覆</w:t>
                  </w:r>
                  <w:r>
                    <w:rPr>
                      <w:sz w:val="21"/>
                      <w:szCs w:val="21"/>
                    </w:rPr>
                    <w:t xml:space="preserve"> </w:t>
                  </w:r>
                  <w:r>
                    <w:rPr>
                      <w:spacing w:val="-1"/>
                      <w:sz w:val="21"/>
                      <w:szCs w:val="21"/>
                    </w:rPr>
                    <w:t>盖彩条布，及时播撒草种。</w:t>
                  </w:r>
                </w:p>
              </w:tc>
              <w:tc>
                <w:tcPr>
                  <w:tcW w:w="1029" w:type="dxa"/>
                  <w:vAlign w:val="top"/>
                </w:tcPr>
                <w:p>
                  <w:pPr>
                    <w:spacing w:before="205" w:line="187" w:lineRule="auto"/>
                    <w:ind w:left="46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92" w:type="dxa"/>
                  <w:vMerge w:val="continue"/>
                  <w:tcBorders>
                    <w:top w:val="nil"/>
                    <w:bottom w:val="nil"/>
                  </w:tcBorders>
                  <w:vAlign w:val="top"/>
                </w:tcPr>
                <w:p>
                  <w:pPr>
                    <w:rPr>
                      <w:rFonts w:ascii="Arial"/>
                      <w:sz w:val="21"/>
                    </w:rPr>
                  </w:pPr>
                </w:p>
              </w:tc>
              <w:tc>
                <w:tcPr>
                  <w:tcW w:w="1271" w:type="dxa"/>
                  <w:vAlign w:val="top"/>
                </w:tcPr>
                <w:p>
                  <w:pPr>
                    <w:pStyle w:val="6"/>
                    <w:spacing w:before="166" w:line="221" w:lineRule="auto"/>
                    <w:ind w:left="218"/>
                    <w:rPr>
                      <w:sz w:val="21"/>
                      <w:szCs w:val="21"/>
                    </w:rPr>
                  </w:pPr>
                  <w:r>
                    <w:rPr>
                      <w:spacing w:val="-2"/>
                      <w:sz w:val="21"/>
                      <w:szCs w:val="21"/>
                    </w:rPr>
                    <w:t>生活垃圾</w:t>
                  </w:r>
                </w:p>
              </w:tc>
              <w:tc>
                <w:tcPr>
                  <w:tcW w:w="5974" w:type="dxa"/>
                  <w:vAlign w:val="top"/>
                </w:tcPr>
                <w:p>
                  <w:pPr>
                    <w:pStyle w:val="6"/>
                    <w:spacing w:before="32" w:line="224" w:lineRule="auto"/>
                    <w:ind w:left="113" w:right="101" w:hanging="1"/>
                    <w:rPr>
                      <w:sz w:val="21"/>
                      <w:szCs w:val="21"/>
                    </w:rPr>
                  </w:pPr>
                  <w:r>
                    <w:rPr>
                      <w:spacing w:val="-4"/>
                      <w:sz w:val="21"/>
                      <w:szCs w:val="21"/>
                    </w:rPr>
                    <w:t xml:space="preserve">井场区域和生活区各设 </w:t>
                  </w:r>
                  <w:r>
                    <w:rPr>
                      <w:rFonts w:ascii="Times New Roman" w:hAnsi="Times New Roman" w:eastAsia="Times New Roman" w:cs="Times New Roman"/>
                      <w:spacing w:val="-4"/>
                      <w:sz w:val="21"/>
                      <w:szCs w:val="21"/>
                    </w:rPr>
                    <w:t xml:space="preserve">1  </w:t>
                  </w:r>
                  <w:r>
                    <w:rPr>
                      <w:spacing w:val="-4"/>
                      <w:sz w:val="21"/>
                      <w:szCs w:val="21"/>
                    </w:rPr>
                    <w:t>个垃圾箱，</w:t>
                  </w:r>
                  <w:r>
                    <w:rPr>
                      <w:spacing w:val="-6"/>
                      <w:sz w:val="21"/>
                      <w:szCs w:val="21"/>
                    </w:rPr>
                    <w:t xml:space="preserve"> </w:t>
                  </w:r>
                  <w:r>
                    <w:rPr>
                      <w:spacing w:val="-4"/>
                      <w:sz w:val="21"/>
                      <w:szCs w:val="21"/>
                    </w:rPr>
                    <w:t>完工后外运江陵镇市政环</w:t>
                  </w:r>
                  <w:r>
                    <w:rPr>
                      <w:sz w:val="21"/>
                      <w:szCs w:val="21"/>
                    </w:rPr>
                    <w:t xml:space="preserve"> </w:t>
                  </w:r>
                  <w:r>
                    <w:rPr>
                      <w:spacing w:val="-1"/>
                      <w:sz w:val="21"/>
                      <w:szCs w:val="21"/>
                    </w:rPr>
                    <w:t>卫集中收集处置。</w:t>
                  </w:r>
                </w:p>
              </w:tc>
              <w:tc>
                <w:tcPr>
                  <w:tcW w:w="1029" w:type="dxa"/>
                  <w:vAlign w:val="top"/>
                </w:tcPr>
                <w:p>
                  <w:pPr>
                    <w:spacing w:before="204" w:line="187" w:lineRule="auto"/>
                    <w:ind w:left="46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92" w:type="dxa"/>
                  <w:vMerge w:val="continue"/>
                  <w:tcBorders>
                    <w:top w:val="nil"/>
                    <w:bottom w:val="nil"/>
                  </w:tcBorders>
                  <w:vAlign w:val="top"/>
                </w:tcPr>
                <w:p>
                  <w:pPr>
                    <w:rPr>
                      <w:rFonts w:ascii="Arial"/>
                      <w:sz w:val="21"/>
                    </w:rPr>
                  </w:pPr>
                </w:p>
              </w:tc>
              <w:tc>
                <w:tcPr>
                  <w:tcW w:w="1271" w:type="dxa"/>
                  <w:vAlign w:val="top"/>
                </w:tcPr>
                <w:p>
                  <w:pPr>
                    <w:pStyle w:val="6"/>
                    <w:spacing w:before="28" w:line="221" w:lineRule="auto"/>
                    <w:ind w:left="110"/>
                    <w:rPr>
                      <w:sz w:val="21"/>
                      <w:szCs w:val="21"/>
                    </w:rPr>
                  </w:pPr>
                  <w:r>
                    <w:rPr>
                      <w:spacing w:val="-1"/>
                      <w:sz w:val="21"/>
                      <w:szCs w:val="21"/>
                    </w:rPr>
                    <w:t>废弃水基钻</w:t>
                  </w:r>
                </w:p>
                <w:p>
                  <w:pPr>
                    <w:pStyle w:val="6"/>
                    <w:spacing w:before="20" w:line="221" w:lineRule="auto"/>
                    <w:ind w:left="111"/>
                    <w:rPr>
                      <w:sz w:val="21"/>
                      <w:szCs w:val="21"/>
                    </w:rPr>
                  </w:pPr>
                  <w:r>
                    <w:rPr>
                      <w:spacing w:val="-1"/>
                      <w:sz w:val="21"/>
                      <w:szCs w:val="21"/>
                    </w:rPr>
                    <w:t>井岩屑及泥</w:t>
                  </w:r>
                </w:p>
                <w:p>
                  <w:pPr>
                    <w:pStyle w:val="6"/>
                    <w:spacing w:before="21" w:line="221" w:lineRule="auto"/>
                    <w:ind w:left="111"/>
                    <w:rPr>
                      <w:sz w:val="21"/>
                      <w:szCs w:val="21"/>
                    </w:rPr>
                  </w:pPr>
                  <w:r>
                    <w:rPr>
                      <w:spacing w:val="-1"/>
                      <w:sz w:val="21"/>
                      <w:szCs w:val="21"/>
                    </w:rPr>
                    <w:t>浆、沉淀污</w:t>
                  </w:r>
                </w:p>
                <w:p>
                  <w:pPr>
                    <w:pStyle w:val="6"/>
                    <w:spacing w:before="20" w:line="210" w:lineRule="auto"/>
                    <w:ind w:left="532"/>
                    <w:rPr>
                      <w:sz w:val="21"/>
                      <w:szCs w:val="21"/>
                    </w:rPr>
                  </w:pPr>
                  <w:r>
                    <w:rPr>
                      <w:sz w:val="21"/>
                      <w:szCs w:val="21"/>
                    </w:rPr>
                    <w:t>泥</w:t>
                  </w:r>
                </w:p>
              </w:tc>
              <w:tc>
                <w:tcPr>
                  <w:tcW w:w="5974" w:type="dxa"/>
                  <w:vAlign w:val="top"/>
                </w:tcPr>
                <w:p>
                  <w:pPr>
                    <w:pStyle w:val="6"/>
                    <w:spacing w:before="28" w:line="232" w:lineRule="auto"/>
                    <w:ind w:left="110" w:right="55" w:firstLine="27"/>
                    <w:jc w:val="both"/>
                    <w:rPr>
                      <w:sz w:val="21"/>
                      <w:szCs w:val="21"/>
                    </w:rPr>
                  </w:pPr>
                  <w:r>
                    <w:rPr>
                      <w:spacing w:val="-5"/>
                      <w:sz w:val="21"/>
                      <w:szCs w:val="21"/>
                    </w:rPr>
                    <w:t>由岩屑收集罐进行收集， 暂存岩屑堆放区（</w:t>
                  </w:r>
                  <w:r>
                    <w:rPr>
                      <w:spacing w:val="-6"/>
                      <w:sz w:val="21"/>
                      <w:szCs w:val="21"/>
                    </w:rPr>
                    <w:t>占地面积</w:t>
                  </w:r>
                  <w:r>
                    <w:rPr>
                      <w:spacing w:val="-27"/>
                      <w:sz w:val="21"/>
                      <w:szCs w:val="21"/>
                    </w:rPr>
                    <w:t xml:space="preserve"> </w:t>
                  </w:r>
                  <w:r>
                    <w:rPr>
                      <w:rFonts w:ascii="Times New Roman" w:hAnsi="Times New Roman" w:eastAsia="Times New Roman" w:cs="Times New Roman"/>
                      <w:spacing w:val="-6"/>
                      <w:sz w:val="21"/>
                      <w:szCs w:val="21"/>
                    </w:rPr>
                    <w:t>150m</w:t>
                  </w:r>
                  <w:r>
                    <w:rPr>
                      <w:rFonts w:ascii="Times New Roman" w:hAnsi="Times New Roman" w:eastAsia="Times New Roman" w:cs="Times New Roman"/>
                      <w:spacing w:val="-6"/>
                      <w:position w:val="6"/>
                      <w:sz w:val="13"/>
                      <w:szCs w:val="13"/>
                    </w:rPr>
                    <w:t>2</w:t>
                  </w:r>
                  <w:r>
                    <w:rPr>
                      <w:spacing w:val="-24"/>
                      <w:sz w:val="21"/>
                      <w:szCs w:val="21"/>
                    </w:rPr>
                    <w:t>），</w:t>
                  </w:r>
                  <w:r>
                    <w:rPr>
                      <w:sz w:val="21"/>
                      <w:szCs w:val="21"/>
                    </w:rPr>
                    <w:t xml:space="preserve"> </w:t>
                  </w:r>
                  <w:r>
                    <w:rPr>
                      <w:spacing w:val="3"/>
                      <w:sz w:val="21"/>
                      <w:szCs w:val="21"/>
                    </w:rPr>
                    <w:t>定期委托有资质的砖厂外运综合利用处置；沉淀污泥经减量装</w:t>
                  </w:r>
                  <w:r>
                    <w:rPr>
                      <w:spacing w:val="1"/>
                      <w:sz w:val="21"/>
                      <w:szCs w:val="21"/>
                    </w:rPr>
                    <w:t xml:space="preserve"> </w:t>
                  </w:r>
                  <w:r>
                    <w:rPr>
                      <w:spacing w:val="3"/>
                      <w:sz w:val="21"/>
                      <w:szCs w:val="21"/>
                    </w:rPr>
                    <w:t>置进行减量后暂存岩屑堆放区与岩屑、泥浆一同交有资质的砖</w:t>
                  </w:r>
                  <w:r>
                    <w:rPr>
                      <w:spacing w:val="1"/>
                      <w:sz w:val="21"/>
                      <w:szCs w:val="21"/>
                    </w:rPr>
                    <w:t xml:space="preserve"> </w:t>
                  </w:r>
                  <w:r>
                    <w:rPr>
                      <w:spacing w:val="-1"/>
                      <w:sz w:val="21"/>
                      <w:szCs w:val="21"/>
                    </w:rPr>
                    <w:t>厂综合利用处置。</w:t>
                  </w:r>
                </w:p>
              </w:tc>
              <w:tc>
                <w:tcPr>
                  <w:tcW w:w="1029" w:type="dxa"/>
                  <w:vAlign w:val="top"/>
                </w:tcPr>
                <w:p>
                  <w:pPr>
                    <w:spacing w:line="412" w:lineRule="auto"/>
                    <w:rPr>
                      <w:rFonts w:ascii="Arial"/>
                      <w:sz w:val="21"/>
                    </w:rPr>
                  </w:pPr>
                </w:p>
                <w:p>
                  <w:pPr>
                    <w:spacing w:before="61" w:line="187"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792" w:type="dxa"/>
                  <w:vMerge w:val="continue"/>
                  <w:tcBorders>
                    <w:top w:val="nil"/>
                  </w:tcBorders>
                  <w:vAlign w:val="top"/>
                </w:tcPr>
                <w:p>
                  <w:pPr>
                    <w:rPr>
                      <w:rFonts w:ascii="Arial"/>
                      <w:sz w:val="21"/>
                    </w:rPr>
                  </w:pPr>
                </w:p>
              </w:tc>
              <w:tc>
                <w:tcPr>
                  <w:tcW w:w="1271" w:type="dxa"/>
                  <w:vAlign w:val="top"/>
                </w:tcPr>
                <w:p>
                  <w:pPr>
                    <w:spacing w:line="367" w:lineRule="auto"/>
                    <w:rPr>
                      <w:rFonts w:ascii="Arial"/>
                      <w:sz w:val="21"/>
                    </w:rPr>
                  </w:pPr>
                </w:p>
                <w:p>
                  <w:pPr>
                    <w:pStyle w:val="6"/>
                    <w:spacing w:before="68" w:line="221" w:lineRule="auto"/>
                    <w:ind w:left="110"/>
                    <w:rPr>
                      <w:sz w:val="21"/>
                      <w:szCs w:val="21"/>
                    </w:rPr>
                  </w:pPr>
                  <w:r>
                    <w:rPr>
                      <w:spacing w:val="-1"/>
                      <w:sz w:val="21"/>
                      <w:szCs w:val="21"/>
                    </w:rPr>
                    <w:t>废油基钻井</w:t>
                  </w:r>
                </w:p>
                <w:p>
                  <w:pPr>
                    <w:pStyle w:val="6"/>
                    <w:spacing w:before="19" w:line="221" w:lineRule="auto"/>
                    <w:ind w:right="14"/>
                    <w:jc w:val="right"/>
                    <w:rPr>
                      <w:sz w:val="21"/>
                      <w:szCs w:val="21"/>
                    </w:rPr>
                  </w:pPr>
                  <w:r>
                    <w:rPr>
                      <w:spacing w:val="-20"/>
                      <w:sz w:val="21"/>
                      <w:szCs w:val="21"/>
                    </w:rPr>
                    <w:t>岩屑、废油、</w:t>
                  </w:r>
                </w:p>
                <w:p>
                  <w:pPr>
                    <w:pStyle w:val="6"/>
                    <w:spacing w:before="21" w:line="221" w:lineRule="auto"/>
                    <w:ind w:left="110"/>
                    <w:rPr>
                      <w:sz w:val="21"/>
                      <w:szCs w:val="21"/>
                    </w:rPr>
                  </w:pPr>
                  <w:r>
                    <w:rPr>
                      <w:spacing w:val="-1"/>
                      <w:sz w:val="21"/>
                      <w:szCs w:val="21"/>
                    </w:rPr>
                    <w:t>废弃的含油</w:t>
                  </w:r>
                </w:p>
                <w:p>
                  <w:pPr>
                    <w:pStyle w:val="6"/>
                    <w:spacing w:before="20" w:line="220" w:lineRule="auto"/>
                    <w:ind w:left="111"/>
                    <w:rPr>
                      <w:sz w:val="21"/>
                      <w:szCs w:val="21"/>
                    </w:rPr>
                  </w:pPr>
                  <w:r>
                    <w:rPr>
                      <w:spacing w:val="-1"/>
                      <w:sz w:val="21"/>
                      <w:szCs w:val="21"/>
                    </w:rPr>
                    <w:t>抹布及劳保</w:t>
                  </w:r>
                </w:p>
                <w:p>
                  <w:pPr>
                    <w:pStyle w:val="6"/>
                    <w:spacing w:before="23" w:line="222" w:lineRule="auto"/>
                    <w:ind w:left="429"/>
                    <w:rPr>
                      <w:sz w:val="21"/>
                      <w:szCs w:val="21"/>
                    </w:rPr>
                  </w:pPr>
                  <w:r>
                    <w:rPr>
                      <w:spacing w:val="-2"/>
                      <w:sz w:val="21"/>
                      <w:szCs w:val="21"/>
                    </w:rPr>
                    <w:t>用品</w:t>
                  </w:r>
                </w:p>
              </w:tc>
              <w:tc>
                <w:tcPr>
                  <w:tcW w:w="5974" w:type="dxa"/>
                  <w:vAlign w:val="top"/>
                </w:tcPr>
                <w:p>
                  <w:pPr>
                    <w:pStyle w:val="6"/>
                    <w:spacing w:before="26" w:line="236" w:lineRule="auto"/>
                    <w:ind w:left="110" w:right="46"/>
                    <w:rPr>
                      <w:sz w:val="21"/>
                      <w:szCs w:val="21"/>
                    </w:rPr>
                  </w:pPr>
                  <w:r>
                    <w:rPr>
                      <w:spacing w:val="3"/>
                      <w:sz w:val="21"/>
                      <w:szCs w:val="21"/>
                    </w:rPr>
                    <w:t>在岩屑堆放区由岩屑罐临时贮存（按危废贮存场地标准建设和</w:t>
                  </w:r>
                  <w:r>
                    <w:rPr>
                      <w:spacing w:val="2"/>
                      <w:sz w:val="21"/>
                      <w:szCs w:val="21"/>
                    </w:rPr>
                    <w:t xml:space="preserve"> </w:t>
                  </w:r>
                  <w:r>
                    <w:rPr>
                      <w:spacing w:val="3"/>
                      <w:sz w:val="21"/>
                      <w:szCs w:val="21"/>
                    </w:rPr>
                    <w:t>使用管理：按照重点防渗区要求进行防渗，并应与其他区域进</w:t>
                  </w:r>
                  <w:r>
                    <w:rPr>
                      <w:spacing w:val="1"/>
                      <w:sz w:val="21"/>
                      <w:szCs w:val="21"/>
                    </w:rPr>
                    <w:t xml:space="preserve"> </w:t>
                  </w:r>
                  <w:r>
                    <w:rPr>
                      <w:spacing w:val="-1"/>
                      <w:sz w:val="21"/>
                      <w:szCs w:val="21"/>
                    </w:rPr>
                    <w:t>行隔离，满足防风、防雨、防晒、防漏、防渗和防腐等措施</w:t>
                  </w:r>
                  <w:r>
                    <w:rPr>
                      <w:spacing w:val="-22"/>
                      <w:sz w:val="21"/>
                      <w:szCs w:val="21"/>
                    </w:rPr>
                    <w:t>），</w:t>
                  </w:r>
                  <w:r>
                    <w:rPr>
                      <w:spacing w:val="1"/>
                      <w:sz w:val="21"/>
                      <w:szCs w:val="21"/>
                    </w:rPr>
                    <w:t xml:space="preserve"> </w:t>
                  </w:r>
                  <w:r>
                    <w:rPr>
                      <w:spacing w:val="3"/>
                      <w:sz w:val="21"/>
                      <w:szCs w:val="21"/>
                    </w:rPr>
                    <w:t>交有资质单位处理；钻井设备维修保养过程中产生的废</w:t>
                  </w:r>
                  <w:r>
                    <w:rPr>
                      <w:spacing w:val="2"/>
                      <w:sz w:val="21"/>
                      <w:szCs w:val="21"/>
                    </w:rPr>
                    <w:t>油、废</w:t>
                  </w:r>
                  <w:r>
                    <w:rPr>
                      <w:sz w:val="21"/>
                      <w:szCs w:val="21"/>
                    </w:rPr>
                    <w:t xml:space="preserve"> </w:t>
                  </w:r>
                  <w:r>
                    <w:rPr>
                      <w:spacing w:val="-9"/>
                      <w:sz w:val="21"/>
                      <w:szCs w:val="21"/>
                    </w:rPr>
                    <w:t>弃的含油抹布及劳保用品，均采用桶装包装收集，并设</w:t>
                  </w:r>
                  <w:r>
                    <w:rPr>
                      <w:spacing w:val="-20"/>
                      <w:sz w:val="21"/>
                      <w:szCs w:val="21"/>
                    </w:rPr>
                    <w:t xml:space="preserve"> </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22"/>
                      <w:w w:val="101"/>
                      <w:sz w:val="21"/>
                      <w:szCs w:val="21"/>
                    </w:rPr>
                    <w:t xml:space="preserve"> </w:t>
                  </w:r>
                  <w:r>
                    <w:rPr>
                      <w:spacing w:val="-9"/>
                      <w:sz w:val="21"/>
                      <w:szCs w:val="21"/>
                    </w:rPr>
                    <w:t>间</w:t>
                  </w:r>
                  <w:r>
                    <w:rPr>
                      <w:spacing w:val="-28"/>
                      <w:sz w:val="21"/>
                      <w:szCs w:val="21"/>
                    </w:rPr>
                    <w:t xml:space="preserve"> </w:t>
                  </w:r>
                  <w:r>
                    <w:rPr>
                      <w:rFonts w:ascii="Times New Roman" w:hAnsi="Times New Roman" w:eastAsia="Times New Roman" w:cs="Times New Roman"/>
                      <w:spacing w:val="-9"/>
                      <w:sz w:val="21"/>
                      <w:szCs w:val="21"/>
                    </w:rPr>
                    <w:t>10m</w:t>
                  </w:r>
                  <w:r>
                    <w:rPr>
                      <w:rFonts w:ascii="Times New Roman" w:hAnsi="Times New Roman" w:eastAsia="Times New Roman" w:cs="Times New Roman"/>
                      <w:spacing w:val="-9"/>
                      <w:position w:val="6"/>
                      <w:sz w:val="13"/>
                      <w:szCs w:val="13"/>
                    </w:rPr>
                    <w:t xml:space="preserve">2   </w:t>
                  </w:r>
                  <w:r>
                    <w:rPr>
                      <w:spacing w:val="-4"/>
                      <w:sz w:val="21"/>
                      <w:szCs w:val="21"/>
                    </w:rPr>
                    <w:t>的危废暂存间分类暂存，</w:t>
                  </w:r>
                  <w:r>
                    <w:rPr>
                      <w:spacing w:val="-16"/>
                      <w:sz w:val="21"/>
                      <w:szCs w:val="21"/>
                    </w:rPr>
                    <w:t xml:space="preserve"> </w:t>
                  </w:r>
                  <w:r>
                    <w:rPr>
                      <w:spacing w:val="-4"/>
                      <w:sz w:val="21"/>
                      <w:szCs w:val="21"/>
                    </w:rPr>
                    <w:t>采取六防</w:t>
                  </w:r>
                  <w:r>
                    <w:rPr>
                      <w:rFonts w:ascii="Times New Roman" w:hAnsi="Times New Roman" w:eastAsia="Times New Roman" w:cs="Times New Roman"/>
                      <w:spacing w:val="-4"/>
                      <w:sz w:val="21"/>
                      <w:szCs w:val="21"/>
                    </w:rPr>
                    <w:t>“</w:t>
                  </w:r>
                  <w:r>
                    <w:rPr>
                      <w:rFonts w:ascii="Times New Roman" w:hAnsi="Times New Roman" w:eastAsia="Times New Roman" w:cs="Times New Roman"/>
                      <w:spacing w:val="-33"/>
                      <w:sz w:val="21"/>
                      <w:szCs w:val="21"/>
                    </w:rPr>
                    <w:t xml:space="preserve"> </w:t>
                  </w:r>
                  <w:r>
                    <w:rPr>
                      <w:spacing w:val="-4"/>
                      <w:sz w:val="21"/>
                      <w:szCs w:val="21"/>
                    </w:rPr>
                    <w:t>防雨、防晒、防风、防渗、</w:t>
                  </w:r>
                  <w:r>
                    <w:rPr>
                      <w:sz w:val="21"/>
                      <w:szCs w:val="21"/>
                    </w:rPr>
                    <w:t xml:space="preserve"> </w:t>
                  </w:r>
                  <w:r>
                    <w:rPr>
                      <w:spacing w:val="-5"/>
                      <w:sz w:val="21"/>
                      <w:szCs w:val="21"/>
                    </w:rPr>
                    <w:t>防漏、防腐</w:t>
                  </w:r>
                  <w:r>
                    <w:rPr>
                      <w:rFonts w:ascii="Times New Roman" w:hAnsi="Times New Roman" w:eastAsia="Times New Roman" w:cs="Times New Roman"/>
                      <w:spacing w:val="-5"/>
                      <w:sz w:val="21"/>
                      <w:szCs w:val="21"/>
                    </w:rPr>
                    <w:t>”</w:t>
                  </w:r>
                  <w:r>
                    <w:rPr>
                      <w:rFonts w:ascii="Times New Roman" w:hAnsi="Times New Roman" w:eastAsia="Times New Roman" w:cs="Times New Roman"/>
                      <w:spacing w:val="-20"/>
                      <w:sz w:val="21"/>
                      <w:szCs w:val="21"/>
                    </w:rPr>
                    <w:t xml:space="preserve"> </w:t>
                  </w:r>
                  <w:r>
                    <w:rPr>
                      <w:spacing w:val="-5"/>
                      <w:sz w:val="21"/>
                      <w:szCs w:val="21"/>
                    </w:rPr>
                    <w:t>，设置围堰或托盘， 完钻后交由有资质单位清运处</w:t>
                  </w:r>
                  <w:r>
                    <w:rPr>
                      <w:sz w:val="21"/>
                      <w:szCs w:val="21"/>
                    </w:rPr>
                    <w:t xml:space="preserve"> </w:t>
                  </w:r>
                  <w:r>
                    <w:rPr>
                      <w:spacing w:val="-9"/>
                      <w:sz w:val="21"/>
                      <w:szCs w:val="21"/>
                    </w:rPr>
                    <w:t>置。</w:t>
                  </w:r>
                </w:p>
              </w:tc>
              <w:tc>
                <w:tcPr>
                  <w:tcW w:w="1029"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spacing w:before="60"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2" w:type="dxa"/>
                  <w:vMerge w:val="restart"/>
                  <w:tcBorders>
                    <w:bottom w:val="nil"/>
                  </w:tcBorders>
                  <w:vAlign w:val="top"/>
                </w:tcPr>
                <w:p>
                  <w:pPr>
                    <w:spacing w:line="269" w:lineRule="auto"/>
                    <w:rPr>
                      <w:rFonts w:ascii="Arial"/>
                      <w:sz w:val="21"/>
                    </w:rPr>
                  </w:pPr>
                </w:p>
                <w:p>
                  <w:pPr>
                    <w:pStyle w:val="6"/>
                    <w:spacing w:before="69" w:line="221" w:lineRule="auto"/>
                    <w:ind w:left="200"/>
                    <w:rPr>
                      <w:sz w:val="21"/>
                      <w:szCs w:val="21"/>
                    </w:rPr>
                  </w:pPr>
                  <w:r>
                    <w:rPr>
                      <w:spacing w:val="-4"/>
                      <w:sz w:val="21"/>
                      <w:szCs w:val="21"/>
                    </w:rPr>
                    <w:t>噪声</w:t>
                  </w:r>
                </w:p>
              </w:tc>
              <w:tc>
                <w:tcPr>
                  <w:tcW w:w="1271" w:type="dxa"/>
                  <w:vAlign w:val="top"/>
                </w:tcPr>
                <w:p>
                  <w:pPr>
                    <w:pStyle w:val="6"/>
                    <w:spacing w:before="29" w:line="224" w:lineRule="auto"/>
                    <w:ind w:left="540" w:right="109" w:hanging="429"/>
                    <w:rPr>
                      <w:sz w:val="21"/>
                      <w:szCs w:val="21"/>
                    </w:rPr>
                  </w:pPr>
                  <w:r>
                    <w:rPr>
                      <w:spacing w:val="-1"/>
                      <w:sz w:val="21"/>
                      <w:szCs w:val="21"/>
                    </w:rPr>
                    <w:t>减震隔声降</w:t>
                  </w:r>
                  <w:r>
                    <w:rPr>
                      <w:sz w:val="21"/>
                      <w:szCs w:val="21"/>
                    </w:rPr>
                    <w:t xml:space="preserve"> 噪</w:t>
                  </w:r>
                </w:p>
              </w:tc>
              <w:tc>
                <w:tcPr>
                  <w:tcW w:w="5974" w:type="dxa"/>
                  <w:vAlign w:val="top"/>
                </w:tcPr>
                <w:p>
                  <w:pPr>
                    <w:pStyle w:val="6"/>
                    <w:spacing w:before="29" w:line="224" w:lineRule="auto"/>
                    <w:ind w:left="112" w:right="199" w:firstLine="9"/>
                    <w:rPr>
                      <w:sz w:val="21"/>
                      <w:szCs w:val="21"/>
                    </w:rPr>
                  </w:pPr>
                  <w:r>
                    <w:rPr>
                      <w:spacing w:val="-5"/>
                      <w:sz w:val="21"/>
                      <w:szCs w:val="21"/>
                    </w:rPr>
                    <w:t>噪声设备设置基础减震， 同时备用发电机组、空气压缩机、泥</w:t>
                  </w:r>
                  <w:r>
                    <w:rPr>
                      <w:spacing w:val="11"/>
                      <w:sz w:val="21"/>
                      <w:szCs w:val="21"/>
                    </w:rPr>
                    <w:t xml:space="preserve"> </w:t>
                  </w:r>
                  <w:r>
                    <w:rPr>
                      <w:spacing w:val="-1"/>
                      <w:sz w:val="21"/>
                      <w:szCs w:val="21"/>
                    </w:rPr>
                    <w:t>浆泵设置在房屋内进行隔声减小影响。</w:t>
                  </w:r>
                </w:p>
              </w:tc>
              <w:tc>
                <w:tcPr>
                  <w:tcW w:w="1029" w:type="dxa"/>
                  <w:vAlign w:val="top"/>
                </w:tcPr>
                <w:p>
                  <w:pPr>
                    <w:pStyle w:val="6"/>
                    <w:spacing w:before="29" w:line="224" w:lineRule="auto"/>
                    <w:ind w:left="421" w:right="196" w:hanging="217"/>
                    <w:rPr>
                      <w:sz w:val="21"/>
                      <w:szCs w:val="21"/>
                    </w:rPr>
                  </w:pPr>
                  <w:r>
                    <w:rPr>
                      <w:spacing w:val="-3"/>
                      <w:sz w:val="21"/>
                      <w:szCs w:val="21"/>
                    </w:rPr>
                    <w:t>工程投</w:t>
                  </w:r>
                  <w:r>
                    <w:rPr>
                      <w:sz w:val="21"/>
                      <w:szCs w:val="21"/>
                    </w:rPr>
                    <w:t xml:space="preserve"> 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92" w:type="dxa"/>
                  <w:vMerge w:val="continue"/>
                  <w:tcBorders>
                    <w:top w:val="nil"/>
                    <w:bottom w:val="nil"/>
                  </w:tcBorders>
                  <w:vAlign w:val="top"/>
                </w:tcPr>
                <w:p>
                  <w:pPr>
                    <w:rPr>
                      <w:rFonts w:ascii="Arial"/>
                      <w:sz w:val="21"/>
                    </w:rPr>
                  </w:pPr>
                </w:p>
              </w:tc>
              <w:tc>
                <w:tcPr>
                  <w:tcW w:w="1271" w:type="dxa"/>
                  <w:tcBorders>
                    <w:bottom w:val="nil"/>
                  </w:tcBorders>
                  <w:vAlign w:val="top"/>
                </w:tcPr>
                <w:p>
                  <w:pPr>
                    <w:pStyle w:val="6"/>
                    <w:spacing w:before="63" w:line="221" w:lineRule="auto"/>
                    <w:ind w:left="115"/>
                    <w:rPr>
                      <w:sz w:val="21"/>
                      <w:szCs w:val="21"/>
                    </w:rPr>
                  </w:pPr>
                  <w:r>
                    <w:rPr>
                      <w:spacing w:val="-2"/>
                      <w:sz w:val="21"/>
                      <w:szCs w:val="21"/>
                    </w:rPr>
                    <w:t>声环境敏感</w:t>
                  </w:r>
                </w:p>
              </w:tc>
              <w:tc>
                <w:tcPr>
                  <w:tcW w:w="5974" w:type="dxa"/>
                  <w:tcBorders>
                    <w:bottom w:val="nil"/>
                  </w:tcBorders>
                  <w:vAlign w:val="top"/>
                </w:tcPr>
                <w:p>
                  <w:pPr>
                    <w:pStyle w:val="6"/>
                    <w:spacing w:before="63" w:line="221" w:lineRule="auto"/>
                    <w:jc w:val="right"/>
                    <w:rPr>
                      <w:sz w:val="21"/>
                      <w:szCs w:val="21"/>
                    </w:rPr>
                  </w:pPr>
                  <w:r>
                    <w:rPr>
                      <w:spacing w:val="-3"/>
                      <w:sz w:val="21"/>
                      <w:szCs w:val="21"/>
                    </w:rPr>
                    <w:t>对噪声影响超标的农户在通过合理补偿、加强沟通协调等方式，</w:t>
                  </w:r>
                </w:p>
              </w:tc>
              <w:tc>
                <w:tcPr>
                  <w:tcW w:w="1029" w:type="dxa"/>
                  <w:tcBorders>
                    <w:bottom w:val="nil"/>
                  </w:tcBorders>
                  <w:vAlign w:val="top"/>
                </w:tcPr>
                <w:p>
                  <w:pPr>
                    <w:spacing w:before="102" w:line="187" w:lineRule="auto"/>
                    <w:ind w:left="470"/>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r>
          </w:tbl>
          <w:p>
            <w:pPr>
              <w:spacing w:line="82" w:lineRule="auto"/>
              <w:rPr>
                <w:rFonts w:ascii="Arial"/>
                <w:sz w:val="2"/>
              </w:rPr>
            </w:pPr>
          </w:p>
        </w:tc>
      </w:tr>
    </w:tbl>
    <w:p>
      <w:pPr>
        <w:pStyle w:val="2"/>
        <w:rPr>
          <w:sz w:val="21"/>
        </w:rPr>
      </w:pPr>
    </w:p>
    <w:p>
      <w:pPr>
        <w:rPr>
          <w:sz w:val="21"/>
          <w:szCs w:val="21"/>
        </w:rPr>
        <w:sectPr>
          <w:footerReference r:id="rId153" w:type="default"/>
          <w:pgSz w:w="11907" w:h="16839"/>
          <w:pgMar w:top="400" w:right="1070" w:bottom="1181" w:left="1072" w:header="0" w:footer="920" w:gutter="0"/>
          <w:cols w:space="720" w:num="1"/>
        </w:sectPr>
      </w:pPr>
    </w:p>
    <w:p>
      <w:pPr>
        <w:spacing w:before="13"/>
      </w:pPr>
    </w:p>
    <w:p>
      <w:pPr>
        <w:spacing w:before="13"/>
      </w:pPr>
    </w:p>
    <w:p>
      <w:pPr>
        <w:spacing w:before="13"/>
      </w:pPr>
    </w:p>
    <w:p>
      <w:pPr>
        <w:spacing w:before="13"/>
      </w:pPr>
    </w:p>
    <w:tbl>
      <w:tblPr>
        <w:tblStyle w:val="5"/>
        <w:tblW w:w="97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786"/>
        <w:gridCol w:w="1270"/>
        <w:gridCol w:w="5968"/>
        <w:gridCol w:w="1023"/>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78" w:type="dxa"/>
            <w:vMerge w:val="restart"/>
            <w:tcBorders>
              <w:top w:val="single" w:color="000000" w:sz="6" w:space="0"/>
              <w:left w:val="single" w:color="000000" w:sz="6" w:space="0"/>
              <w:bottom w:val="nil"/>
            </w:tcBorders>
            <w:vAlign w:val="top"/>
          </w:tcPr>
          <w:p>
            <w:pPr>
              <w:rPr>
                <w:rFonts w:ascii="Arial"/>
                <w:sz w:val="21"/>
              </w:rPr>
            </w:pPr>
            <w:r>
              <w:pict>
                <v:rect id="_x0000_s1562" o:spid="_x0000_s1562" o:spt="1" style="position:absolute;left:0pt;margin-left:22.75pt;margin-top:0.95pt;height:640.8pt;width:0.5pt;mso-position-horizontal-relative:page;mso-position-vertical-relative:page;z-index:252019712;mso-width-relative:page;mso-height-relative:page;" fillcolor="#000000" filled="t" stroked="f" coordsize="21600,21600">
                  <v:path/>
                  <v:fill on="t" focussize="0,0"/>
                  <v:stroke on="f"/>
                  <v:imagedata o:title=""/>
                  <o:lock v:ext="edit"/>
                </v:rect>
              </w:pict>
            </w:r>
          </w:p>
        </w:tc>
        <w:tc>
          <w:tcPr>
            <w:tcW w:w="786" w:type="dxa"/>
            <w:vMerge w:val="restart"/>
            <w:tcBorders>
              <w:top w:val="single" w:color="000000" w:sz="6" w:space="0"/>
              <w:bottom w:val="nil"/>
            </w:tcBorders>
            <w:vAlign w:val="top"/>
          </w:tcPr>
          <w:p>
            <w:pPr>
              <w:rPr>
                <w:rFonts w:ascii="Arial"/>
                <w:sz w:val="21"/>
              </w:rPr>
            </w:pPr>
          </w:p>
        </w:tc>
        <w:tc>
          <w:tcPr>
            <w:tcW w:w="1270" w:type="dxa"/>
            <w:tcBorders>
              <w:top w:val="single" w:color="000000" w:sz="6" w:space="0"/>
            </w:tcBorders>
            <w:vAlign w:val="top"/>
          </w:tcPr>
          <w:p>
            <w:pPr>
              <w:pStyle w:val="6"/>
              <w:spacing w:before="43" w:line="221" w:lineRule="auto"/>
              <w:ind w:left="330"/>
              <w:rPr>
                <w:sz w:val="21"/>
                <w:szCs w:val="21"/>
              </w:rPr>
            </w:pPr>
            <w:r>
              <w:rPr>
                <w:spacing w:val="-4"/>
                <w:sz w:val="21"/>
                <w:szCs w:val="21"/>
              </w:rPr>
              <w:t>点保护</w:t>
            </w:r>
          </w:p>
        </w:tc>
        <w:tc>
          <w:tcPr>
            <w:tcW w:w="5968" w:type="dxa"/>
            <w:tcBorders>
              <w:top w:val="single" w:color="000000" w:sz="6" w:space="0"/>
            </w:tcBorders>
            <w:vAlign w:val="top"/>
          </w:tcPr>
          <w:p>
            <w:pPr>
              <w:pStyle w:val="6"/>
              <w:spacing w:before="43" w:line="221" w:lineRule="auto"/>
              <w:ind w:left="112"/>
              <w:rPr>
                <w:sz w:val="21"/>
                <w:szCs w:val="21"/>
              </w:rPr>
            </w:pPr>
            <w:r>
              <w:rPr>
                <w:spacing w:val="-8"/>
                <w:sz w:val="21"/>
                <w:szCs w:val="21"/>
              </w:rPr>
              <w:t>取得居民谅解，</w:t>
            </w:r>
            <w:r>
              <w:rPr>
                <w:spacing w:val="-21"/>
                <w:sz w:val="21"/>
                <w:szCs w:val="21"/>
              </w:rPr>
              <w:t xml:space="preserve"> </w:t>
            </w:r>
            <w:r>
              <w:rPr>
                <w:spacing w:val="-8"/>
                <w:sz w:val="21"/>
                <w:szCs w:val="21"/>
              </w:rPr>
              <w:t>避免环保纠纷。</w:t>
            </w:r>
          </w:p>
        </w:tc>
        <w:tc>
          <w:tcPr>
            <w:tcW w:w="1145" w:type="dxa"/>
            <w:gridSpan w:val="2"/>
            <w:tcBorders>
              <w:top w:val="single" w:color="000000" w:sz="6" w:space="0"/>
              <w:right w:val="single" w:color="000000" w:sz="6" w:space="0"/>
            </w:tcBorders>
            <w:vAlign w:val="top"/>
          </w:tcPr>
          <w:p>
            <w:pPr>
              <w:rPr>
                <w:rFonts w:ascii="Arial"/>
                <w:sz w:val="21"/>
              </w:rPr>
            </w:pPr>
            <w:r>
              <w:pict>
                <v:rect id="_x0000_s1563" o:spid="_x0000_s1563" o:spt="1" style="position:absolute;left:0pt;margin-left:51.35pt;margin-top:1.4pt;height:17.05pt;width:0.5pt;mso-position-horizontal-relative:page;mso-position-vertical-relative:page;z-index:252018688;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tcBorders>
            <w:vAlign w:val="top"/>
          </w:tcPr>
          <w:p>
            <w:pPr>
              <w:rPr>
                <w:rFonts w:ascii="Arial"/>
                <w:sz w:val="21"/>
              </w:rPr>
            </w:pPr>
          </w:p>
        </w:tc>
        <w:tc>
          <w:tcPr>
            <w:tcW w:w="1270" w:type="dxa"/>
            <w:vAlign w:val="top"/>
          </w:tcPr>
          <w:p>
            <w:pPr>
              <w:pStyle w:val="6"/>
              <w:spacing w:before="64" w:line="221" w:lineRule="auto"/>
              <w:ind w:left="212"/>
              <w:rPr>
                <w:sz w:val="21"/>
                <w:szCs w:val="21"/>
              </w:rPr>
            </w:pPr>
            <w:r>
              <w:rPr>
                <w:spacing w:val="-1"/>
                <w:sz w:val="21"/>
                <w:szCs w:val="21"/>
              </w:rPr>
              <w:t>跟踪监测</w:t>
            </w:r>
          </w:p>
        </w:tc>
        <w:tc>
          <w:tcPr>
            <w:tcW w:w="5968" w:type="dxa"/>
            <w:vAlign w:val="top"/>
          </w:tcPr>
          <w:p>
            <w:pPr>
              <w:pStyle w:val="6"/>
              <w:spacing w:before="63" w:line="221" w:lineRule="auto"/>
              <w:ind w:left="110"/>
              <w:rPr>
                <w:sz w:val="21"/>
                <w:szCs w:val="21"/>
              </w:rPr>
            </w:pPr>
            <w:r>
              <w:rPr>
                <w:spacing w:val="-3"/>
                <w:sz w:val="21"/>
                <w:szCs w:val="21"/>
              </w:rPr>
              <w:t>井站外</w:t>
            </w:r>
            <w:r>
              <w:rPr>
                <w:spacing w:val="-19"/>
                <w:sz w:val="21"/>
                <w:szCs w:val="21"/>
              </w:rPr>
              <w:t xml:space="preserve"> </w:t>
            </w:r>
            <w:r>
              <w:rPr>
                <w:rFonts w:ascii="Times New Roman" w:hAnsi="Times New Roman" w:eastAsia="Times New Roman" w:cs="Times New Roman"/>
                <w:spacing w:val="-3"/>
                <w:sz w:val="21"/>
                <w:szCs w:val="21"/>
              </w:rPr>
              <w:t xml:space="preserve">1m </w:t>
            </w:r>
            <w:r>
              <w:rPr>
                <w:spacing w:val="-3"/>
                <w:sz w:val="21"/>
                <w:szCs w:val="21"/>
              </w:rPr>
              <w:t>处、居民点各设置</w:t>
            </w:r>
            <w:r>
              <w:rPr>
                <w:spacing w:val="-28"/>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个监测点。</w:t>
            </w:r>
          </w:p>
        </w:tc>
        <w:tc>
          <w:tcPr>
            <w:tcW w:w="1145" w:type="dxa"/>
            <w:gridSpan w:val="2"/>
            <w:tcBorders>
              <w:right w:val="single" w:color="000000" w:sz="6" w:space="0"/>
            </w:tcBorders>
            <w:vAlign w:val="top"/>
          </w:tcPr>
          <w:p>
            <w:pPr>
              <w:rPr>
                <w:rFonts w:ascii="Arial"/>
                <w:sz w:val="21"/>
              </w:rPr>
            </w:pPr>
            <w:r>
              <w:pict>
                <v:rect id="_x0000_s1564" o:spid="_x0000_s1564" o:spt="1" style="position:absolute;left:0pt;margin-left:51.35pt;margin-top:0.25pt;height:17.1pt;width:0.5pt;mso-position-horizontal-relative:page;mso-position-vertical-relative:page;z-index:252017664;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2" w:lineRule="auto"/>
              <w:ind w:left="181"/>
              <w:rPr>
                <w:sz w:val="21"/>
                <w:szCs w:val="21"/>
              </w:rPr>
            </w:pPr>
            <w:r>
              <w:rPr>
                <w:spacing w:val="-2"/>
                <w:sz w:val="21"/>
                <w:szCs w:val="21"/>
              </w:rPr>
              <w:t>地下</w:t>
            </w:r>
          </w:p>
          <w:p>
            <w:pPr>
              <w:pStyle w:val="6"/>
              <w:spacing w:before="18" w:line="221" w:lineRule="auto"/>
              <w:ind w:left="289"/>
              <w:rPr>
                <w:sz w:val="21"/>
                <w:szCs w:val="21"/>
              </w:rPr>
            </w:pPr>
            <w:r>
              <w:rPr>
                <w:sz w:val="21"/>
                <w:szCs w:val="21"/>
              </w:rPr>
              <w:t>水</w:t>
            </w:r>
          </w:p>
        </w:tc>
        <w:tc>
          <w:tcPr>
            <w:tcW w:w="1270" w:type="dxa"/>
            <w:vAlign w:val="top"/>
          </w:tcPr>
          <w:p>
            <w:pPr>
              <w:pStyle w:val="6"/>
              <w:spacing w:before="301" w:line="221" w:lineRule="auto"/>
              <w:ind w:left="212"/>
              <w:rPr>
                <w:sz w:val="21"/>
                <w:szCs w:val="21"/>
              </w:rPr>
            </w:pPr>
            <w:r>
              <w:rPr>
                <w:spacing w:val="-1"/>
                <w:sz w:val="21"/>
                <w:szCs w:val="21"/>
              </w:rPr>
              <w:t>源头控制</w:t>
            </w:r>
          </w:p>
        </w:tc>
        <w:tc>
          <w:tcPr>
            <w:tcW w:w="5968" w:type="dxa"/>
            <w:vAlign w:val="top"/>
          </w:tcPr>
          <w:p>
            <w:pPr>
              <w:pStyle w:val="6"/>
              <w:spacing w:before="31" w:line="228" w:lineRule="auto"/>
              <w:ind w:left="112" w:right="104" w:hanging="3"/>
              <w:jc w:val="both"/>
              <w:rPr>
                <w:sz w:val="21"/>
                <w:szCs w:val="21"/>
              </w:rPr>
            </w:pPr>
            <w:r>
              <w:rPr>
                <w:spacing w:val="3"/>
                <w:sz w:val="21"/>
                <w:szCs w:val="21"/>
              </w:rPr>
              <w:t>采用对环境影响较小的钻井液，采用套管和水泥固井</w:t>
            </w:r>
            <w:r>
              <w:rPr>
                <w:spacing w:val="2"/>
                <w:sz w:val="21"/>
                <w:szCs w:val="21"/>
              </w:rPr>
              <w:t>防止地下</w:t>
            </w:r>
            <w:r>
              <w:rPr>
                <w:sz w:val="21"/>
                <w:szCs w:val="21"/>
              </w:rPr>
              <w:t xml:space="preserve"> </w:t>
            </w:r>
            <w:r>
              <w:rPr>
                <w:spacing w:val="3"/>
                <w:sz w:val="21"/>
                <w:szCs w:val="21"/>
              </w:rPr>
              <w:t>水污染。施工中做好及时堵漏准备，防止钻井</w:t>
            </w:r>
            <w:r>
              <w:rPr>
                <w:spacing w:val="2"/>
                <w:sz w:val="21"/>
                <w:szCs w:val="21"/>
              </w:rPr>
              <w:t>液漏失进入地下</w:t>
            </w:r>
            <w:r>
              <w:rPr>
                <w:sz w:val="21"/>
                <w:szCs w:val="21"/>
              </w:rPr>
              <w:t xml:space="preserve"> </w:t>
            </w:r>
            <w:r>
              <w:rPr>
                <w:spacing w:val="-10"/>
                <w:sz w:val="21"/>
                <w:szCs w:val="21"/>
              </w:rPr>
              <w:t>水。</w:t>
            </w:r>
          </w:p>
        </w:tc>
        <w:tc>
          <w:tcPr>
            <w:tcW w:w="1023" w:type="dxa"/>
            <w:tcBorders>
              <w:right w:val="single" w:color="000000" w:sz="8" w:space="0"/>
            </w:tcBorders>
            <w:vAlign w:val="top"/>
          </w:tcPr>
          <w:p>
            <w:pPr>
              <w:pStyle w:val="6"/>
              <w:spacing w:before="168" w:line="230" w:lineRule="auto"/>
              <w:ind w:left="425" w:right="178" w:hanging="217"/>
              <w:rPr>
                <w:sz w:val="21"/>
                <w:szCs w:val="21"/>
              </w:rPr>
            </w:pPr>
            <w:r>
              <w:rPr>
                <w:spacing w:val="-3"/>
                <w:sz w:val="21"/>
                <w:szCs w:val="21"/>
              </w:rPr>
              <w:t>工程投</w:t>
            </w:r>
            <w:r>
              <w:rPr>
                <w:sz w:val="21"/>
                <w:szCs w:val="21"/>
              </w:rPr>
              <w:t xml:space="preserve"> 资</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bottom w:val="nil"/>
            </w:tcBorders>
            <w:vAlign w:val="top"/>
          </w:tcPr>
          <w:p>
            <w:pPr>
              <w:rPr>
                <w:rFonts w:ascii="Arial"/>
                <w:sz w:val="21"/>
              </w:rPr>
            </w:pPr>
          </w:p>
        </w:tc>
        <w:tc>
          <w:tcPr>
            <w:tcW w:w="1270" w:type="dxa"/>
            <w:vAlign w:val="top"/>
          </w:tcPr>
          <w:p>
            <w:pPr>
              <w:spacing w:line="253" w:lineRule="auto"/>
              <w:rPr>
                <w:rFonts w:ascii="Arial"/>
                <w:sz w:val="21"/>
              </w:rPr>
            </w:pPr>
          </w:p>
          <w:p>
            <w:pPr>
              <w:spacing w:line="253" w:lineRule="auto"/>
              <w:rPr>
                <w:rFonts w:ascii="Arial"/>
                <w:sz w:val="21"/>
              </w:rPr>
            </w:pPr>
          </w:p>
          <w:p>
            <w:pPr>
              <w:pStyle w:val="6"/>
              <w:spacing w:before="69" w:line="230" w:lineRule="auto"/>
              <w:ind w:left="226" w:right="111" w:hanging="105"/>
              <w:rPr>
                <w:sz w:val="21"/>
                <w:szCs w:val="21"/>
              </w:rPr>
            </w:pPr>
            <w:r>
              <w:rPr>
                <w:spacing w:val="-4"/>
                <w:sz w:val="21"/>
                <w:szCs w:val="21"/>
              </w:rPr>
              <w:t>防渗分区及</w:t>
            </w:r>
            <w:r>
              <w:rPr>
                <w:spacing w:val="1"/>
                <w:sz w:val="21"/>
                <w:szCs w:val="21"/>
              </w:rPr>
              <w:t xml:space="preserve"> </w:t>
            </w:r>
            <w:r>
              <w:rPr>
                <w:spacing w:val="-5"/>
                <w:sz w:val="21"/>
                <w:szCs w:val="21"/>
              </w:rPr>
              <w:t>防渗措施</w:t>
            </w:r>
          </w:p>
        </w:tc>
        <w:tc>
          <w:tcPr>
            <w:tcW w:w="5968" w:type="dxa"/>
            <w:vAlign w:val="top"/>
          </w:tcPr>
          <w:p>
            <w:pPr>
              <w:pStyle w:val="6"/>
              <w:spacing w:before="34" w:line="233" w:lineRule="auto"/>
              <w:ind w:left="110" w:right="23"/>
              <w:rPr>
                <w:sz w:val="21"/>
                <w:szCs w:val="21"/>
              </w:rPr>
            </w:pPr>
            <w:r>
              <w:rPr>
                <w:spacing w:val="-1"/>
                <w:sz w:val="21"/>
                <w:szCs w:val="21"/>
              </w:rPr>
              <w:t>重点防渗区：井场内井口、井架及设备基础区域、泥浆循</w:t>
            </w:r>
            <w:r>
              <w:rPr>
                <w:spacing w:val="-2"/>
                <w:sz w:val="21"/>
                <w:szCs w:val="21"/>
              </w:rPr>
              <w:t>环系  统区、泥浆材料堆存区、油水罐区、应急池、燃烧池、集酸池、</w:t>
            </w:r>
            <w:r>
              <w:rPr>
                <w:spacing w:val="4"/>
                <w:sz w:val="21"/>
                <w:szCs w:val="21"/>
              </w:rPr>
              <w:t xml:space="preserve"> </w:t>
            </w:r>
            <w:r>
              <w:rPr>
                <w:sz w:val="21"/>
                <w:szCs w:val="21"/>
              </w:rPr>
              <w:t>清洁生产操作平台、泥浆储备罐区、隔油池、集</w:t>
            </w:r>
            <w:r>
              <w:rPr>
                <w:spacing w:val="-1"/>
                <w:sz w:val="21"/>
                <w:szCs w:val="21"/>
              </w:rPr>
              <w:t>液池等。</w:t>
            </w:r>
          </w:p>
          <w:p>
            <w:pPr>
              <w:pStyle w:val="6"/>
              <w:spacing w:before="20" w:line="231" w:lineRule="auto"/>
              <w:ind w:left="110" w:right="25" w:firstLine="3"/>
              <w:rPr>
                <w:sz w:val="21"/>
                <w:szCs w:val="21"/>
              </w:rPr>
            </w:pPr>
            <w:r>
              <w:rPr>
                <w:spacing w:val="-2"/>
                <w:sz w:val="21"/>
                <w:szCs w:val="21"/>
              </w:rPr>
              <w:t>一般防渗区：井场部分非设备基础区（包括清污分流排水沟）、</w:t>
            </w:r>
            <w:r>
              <w:rPr>
                <w:sz w:val="21"/>
                <w:szCs w:val="21"/>
              </w:rPr>
              <w:t xml:space="preserve"> </w:t>
            </w:r>
            <w:r>
              <w:rPr>
                <w:spacing w:val="-2"/>
                <w:sz w:val="21"/>
                <w:szCs w:val="21"/>
              </w:rPr>
              <w:t>环保厕所。</w:t>
            </w:r>
          </w:p>
          <w:p>
            <w:pPr>
              <w:pStyle w:val="6"/>
              <w:spacing w:before="19" w:line="204" w:lineRule="auto"/>
              <w:ind w:left="114"/>
              <w:rPr>
                <w:sz w:val="21"/>
                <w:szCs w:val="21"/>
              </w:rPr>
            </w:pPr>
            <w:r>
              <w:rPr>
                <w:spacing w:val="-2"/>
                <w:sz w:val="21"/>
                <w:szCs w:val="21"/>
              </w:rPr>
              <w:t>简单防渗区：除重点和一般防渗区外的区域。</w:t>
            </w:r>
          </w:p>
        </w:tc>
        <w:tc>
          <w:tcPr>
            <w:tcW w:w="1023" w:type="dxa"/>
            <w:tcBorders>
              <w:right w:val="single" w:color="000000" w:sz="8" w:space="0"/>
            </w:tcBorders>
            <w:vAlign w:val="top"/>
          </w:tcPr>
          <w:p>
            <w:pPr>
              <w:spacing w:line="253" w:lineRule="auto"/>
              <w:rPr>
                <w:rFonts w:ascii="Arial"/>
                <w:sz w:val="21"/>
              </w:rPr>
            </w:pPr>
          </w:p>
          <w:p>
            <w:pPr>
              <w:spacing w:line="254" w:lineRule="auto"/>
              <w:rPr>
                <w:rFonts w:ascii="Arial"/>
                <w:sz w:val="21"/>
              </w:rPr>
            </w:pPr>
          </w:p>
          <w:p>
            <w:pPr>
              <w:pStyle w:val="6"/>
              <w:spacing w:before="68" w:line="230" w:lineRule="auto"/>
              <w:ind w:left="425" w:right="178" w:hanging="217"/>
              <w:rPr>
                <w:sz w:val="21"/>
                <w:szCs w:val="21"/>
              </w:rPr>
            </w:pPr>
            <w:r>
              <w:rPr>
                <w:spacing w:val="-3"/>
                <w:sz w:val="21"/>
                <w:szCs w:val="21"/>
              </w:rPr>
              <w:t>工程投</w:t>
            </w:r>
            <w:r>
              <w:rPr>
                <w:sz w:val="21"/>
                <w:szCs w:val="21"/>
              </w:rPr>
              <w:t xml:space="preserve"> 资</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tcBorders>
            <w:vAlign w:val="top"/>
          </w:tcPr>
          <w:p>
            <w:pPr>
              <w:rPr>
                <w:rFonts w:ascii="Arial"/>
                <w:sz w:val="21"/>
              </w:rPr>
            </w:pPr>
          </w:p>
        </w:tc>
        <w:tc>
          <w:tcPr>
            <w:tcW w:w="1270" w:type="dxa"/>
            <w:vAlign w:val="top"/>
          </w:tcPr>
          <w:p>
            <w:pPr>
              <w:spacing w:line="254" w:lineRule="auto"/>
              <w:rPr>
                <w:rFonts w:ascii="Arial"/>
                <w:sz w:val="21"/>
              </w:rPr>
            </w:pPr>
          </w:p>
          <w:p>
            <w:pPr>
              <w:spacing w:line="255" w:lineRule="auto"/>
              <w:rPr>
                <w:rFonts w:ascii="Arial"/>
                <w:sz w:val="21"/>
              </w:rPr>
            </w:pPr>
          </w:p>
          <w:p>
            <w:pPr>
              <w:pStyle w:val="6"/>
              <w:spacing w:before="68" w:line="221" w:lineRule="auto"/>
              <w:ind w:left="106"/>
              <w:rPr>
                <w:sz w:val="21"/>
                <w:szCs w:val="21"/>
              </w:rPr>
            </w:pPr>
            <w:r>
              <w:rPr>
                <w:spacing w:val="-1"/>
                <w:sz w:val="21"/>
                <w:szCs w:val="21"/>
              </w:rPr>
              <w:t>跟踪监测和</w:t>
            </w:r>
          </w:p>
          <w:p>
            <w:pPr>
              <w:pStyle w:val="6"/>
              <w:spacing w:before="19" w:line="223" w:lineRule="auto"/>
              <w:ind w:left="213"/>
              <w:rPr>
                <w:sz w:val="21"/>
                <w:szCs w:val="21"/>
              </w:rPr>
            </w:pPr>
            <w:r>
              <w:rPr>
                <w:spacing w:val="-2"/>
                <w:sz w:val="21"/>
                <w:szCs w:val="21"/>
              </w:rPr>
              <w:t>应急响应</w:t>
            </w:r>
          </w:p>
        </w:tc>
        <w:tc>
          <w:tcPr>
            <w:tcW w:w="5968" w:type="dxa"/>
            <w:vAlign w:val="top"/>
          </w:tcPr>
          <w:p>
            <w:pPr>
              <w:pStyle w:val="6"/>
              <w:spacing w:before="37" w:line="233" w:lineRule="auto"/>
              <w:ind w:left="108" w:right="183"/>
              <w:rPr>
                <w:sz w:val="21"/>
                <w:szCs w:val="21"/>
              </w:rPr>
            </w:pPr>
            <w:r>
              <w:rPr>
                <w:spacing w:val="-4"/>
                <w:sz w:val="21"/>
                <w:szCs w:val="21"/>
              </w:rPr>
              <w:t>将井场上游</w:t>
            </w:r>
            <w:r>
              <w:rPr>
                <w:spacing w:val="-27"/>
                <w:sz w:val="21"/>
                <w:szCs w:val="21"/>
              </w:rPr>
              <w:t xml:space="preserve">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40"/>
                <w:w w:val="101"/>
                <w:sz w:val="21"/>
                <w:szCs w:val="21"/>
              </w:rPr>
              <w:t xml:space="preserve"> </w:t>
            </w:r>
            <w:r>
              <w:rPr>
                <w:spacing w:val="-4"/>
                <w:sz w:val="21"/>
                <w:szCs w:val="21"/>
              </w:rPr>
              <w:t>口和下游较近的</w:t>
            </w:r>
            <w:r>
              <w:rPr>
                <w:spacing w:val="-48"/>
                <w:sz w:val="21"/>
                <w:szCs w:val="21"/>
              </w:rPr>
              <w:t xml:space="preserve"> </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39"/>
                <w:sz w:val="21"/>
                <w:szCs w:val="21"/>
              </w:rPr>
              <w:t xml:space="preserve"> </w:t>
            </w:r>
            <w:r>
              <w:rPr>
                <w:spacing w:val="-4"/>
                <w:sz w:val="21"/>
                <w:szCs w:val="21"/>
              </w:rPr>
              <w:t>口水井作为跟踪监测井，</w:t>
            </w:r>
            <w:r>
              <w:rPr>
                <w:spacing w:val="-5"/>
                <w:sz w:val="21"/>
                <w:szCs w:val="21"/>
              </w:rPr>
              <w:t>并收</w:t>
            </w:r>
            <w:r>
              <w:rPr>
                <w:sz w:val="21"/>
                <w:szCs w:val="21"/>
              </w:rPr>
              <w:t xml:space="preserve"> 集使用周边水井作为水源的居民相关信息（主要包括居民</w:t>
            </w:r>
            <w:r>
              <w:rPr>
                <w:spacing w:val="-1"/>
                <w:sz w:val="21"/>
                <w:szCs w:val="21"/>
              </w:rPr>
              <w:t>居住</w:t>
            </w:r>
            <w:r>
              <w:rPr>
                <w:sz w:val="21"/>
                <w:szCs w:val="21"/>
              </w:rPr>
              <w:t xml:space="preserve"> 点、联系人及联系方式等</w:t>
            </w:r>
            <w:r>
              <w:rPr>
                <w:spacing w:val="-1"/>
                <w:sz w:val="21"/>
                <w:szCs w:val="21"/>
              </w:rPr>
              <w:t>），</w:t>
            </w:r>
            <w:r>
              <w:rPr>
                <w:sz w:val="21"/>
                <w:szCs w:val="21"/>
              </w:rPr>
              <w:t xml:space="preserve">便于告知。发现井漏影响的应采 </w:t>
            </w:r>
            <w:r>
              <w:rPr>
                <w:spacing w:val="-1"/>
                <w:sz w:val="21"/>
                <w:szCs w:val="21"/>
              </w:rPr>
              <w:t>取堵漏措施，并对受污染的居民水井水源采取替</w:t>
            </w:r>
            <w:r>
              <w:rPr>
                <w:spacing w:val="-2"/>
                <w:sz w:val="21"/>
                <w:szCs w:val="21"/>
              </w:rPr>
              <w:t>代补偿方案。</w:t>
            </w:r>
            <w:r>
              <w:rPr>
                <w:sz w:val="21"/>
                <w:szCs w:val="21"/>
              </w:rPr>
              <w:t xml:space="preserve"> 在周边区域未受污染的区域重新打机井并安装供水管网到</w:t>
            </w:r>
            <w:r>
              <w:rPr>
                <w:spacing w:val="-1"/>
                <w:sz w:val="21"/>
                <w:szCs w:val="21"/>
              </w:rPr>
              <w:t>居民</w:t>
            </w:r>
            <w:r>
              <w:rPr>
                <w:sz w:val="21"/>
                <w:szCs w:val="21"/>
              </w:rPr>
              <w:t xml:space="preserve"> </w:t>
            </w:r>
            <w:r>
              <w:rPr>
                <w:spacing w:val="-8"/>
                <w:sz w:val="21"/>
                <w:szCs w:val="21"/>
              </w:rPr>
              <w:t>家中。</w:t>
            </w:r>
          </w:p>
        </w:tc>
        <w:tc>
          <w:tcPr>
            <w:tcW w:w="1023" w:type="dxa"/>
            <w:tcBorders>
              <w:right w:val="single" w:color="000000" w:sz="8" w:space="0"/>
            </w:tcBorders>
            <w:vAlign w:val="top"/>
          </w:tcPr>
          <w:p>
            <w:pPr>
              <w:spacing w:line="344" w:lineRule="auto"/>
              <w:rPr>
                <w:rFonts w:ascii="Arial"/>
                <w:sz w:val="21"/>
              </w:rPr>
            </w:pPr>
          </w:p>
          <w:p>
            <w:pPr>
              <w:spacing w:line="345" w:lineRule="auto"/>
              <w:rPr>
                <w:rFonts w:ascii="Arial"/>
                <w:sz w:val="21"/>
              </w:rPr>
            </w:pPr>
          </w:p>
          <w:p>
            <w:pPr>
              <w:spacing w:before="60" w:line="187" w:lineRule="auto"/>
              <w:ind w:left="46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8" w:line="226" w:lineRule="auto"/>
              <w:ind w:left="183"/>
              <w:rPr>
                <w:sz w:val="21"/>
                <w:szCs w:val="21"/>
              </w:rPr>
            </w:pPr>
            <w:r>
              <w:rPr>
                <w:spacing w:val="-2"/>
                <w:sz w:val="21"/>
                <w:szCs w:val="21"/>
              </w:rPr>
              <w:t>生态</w:t>
            </w:r>
          </w:p>
        </w:tc>
        <w:tc>
          <w:tcPr>
            <w:tcW w:w="1270"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215"/>
              <w:rPr>
                <w:sz w:val="21"/>
                <w:szCs w:val="21"/>
              </w:rPr>
            </w:pPr>
            <w:r>
              <w:rPr>
                <w:spacing w:val="-2"/>
                <w:sz w:val="21"/>
                <w:szCs w:val="21"/>
              </w:rPr>
              <w:t>生态保护</w:t>
            </w:r>
          </w:p>
        </w:tc>
        <w:tc>
          <w:tcPr>
            <w:tcW w:w="5968" w:type="dxa"/>
            <w:vAlign w:val="top"/>
          </w:tcPr>
          <w:p>
            <w:pPr>
              <w:pStyle w:val="6"/>
              <w:spacing w:before="36" w:line="234" w:lineRule="auto"/>
              <w:ind w:left="108" w:right="42" w:firstLine="1"/>
              <w:jc w:val="both"/>
              <w:rPr>
                <w:sz w:val="21"/>
                <w:szCs w:val="21"/>
              </w:rPr>
            </w:pPr>
            <w:r>
              <w:rPr>
                <w:spacing w:val="-4"/>
                <w:sz w:val="21"/>
                <w:szCs w:val="21"/>
              </w:rPr>
              <w:t>放喷管线出口位置修建燃烧池， 建挡墙较小热辐射影响。对热</w:t>
            </w:r>
            <w:r>
              <w:rPr>
                <w:spacing w:val="2"/>
                <w:sz w:val="21"/>
                <w:szCs w:val="21"/>
              </w:rPr>
              <w:t xml:space="preserve">  </w:t>
            </w:r>
            <w:r>
              <w:rPr>
                <w:spacing w:val="-2"/>
                <w:sz w:val="21"/>
                <w:szCs w:val="21"/>
              </w:rPr>
              <w:t xml:space="preserve">辐射破坏的植被进行补偿。井场西北面设置耕植土堆放区，临  </w:t>
            </w:r>
            <w:r>
              <w:rPr>
                <w:sz w:val="21"/>
                <w:szCs w:val="21"/>
              </w:rPr>
              <w:t xml:space="preserve">时堆放占地清理表层耕植土用于完钻后回填、复垦。井场表面  </w:t>
            </w:r>
            <w:r>
              <w:rPr>
                <w:spacing w:val="-3"/>
                <w:sz w:val="21"/>
                <w:szCs w:val="21"/>
              </w:rPr>
              <w:t>硬化，设置挡墙、排水沟。耕植土堆放区较低区域修建挡土墙，</w:t>
            </w:r>
            <w:r>
              <w:rPr>
                <w:spacing w:val="15"/>
                <w:sz w:val="21"/>
                <w:szCs w:val="21"/>
              </w:rPr>
              <w:t xml:space="preserve"> </w:t>
            </w:r>
            <w:r>
              <w:rPr>
                <w:sz w:val="21"/>
                <w:szCs w:val="21"/>
              </w:rPr>
              <w:t xml:space="preserve">井场土边坡区域、道路土边坡区域、耕植土堆放区在土建工程  </w:t>
            </w:r>
            <w:r>
              <w:rPr>
                <w:spacing w:val="-4"/>
                <w:sz w:val="21"/>
                <w:szCs w:val="21"/>
              </w:rPr>
              <w:t>完工后，及时播撒草种， 防止地表水冲刷造成水土流失和边坡</w:t>
            </w:r>
            <w:r>
              <w:rPr>
                <w:spacing w:val="3"/>
                <w:sz w:val="21"/>
                <w:szCs w:val="21"/>
              </w:rPr>
              <w:t xml:space="preserve">  </w:t>
            </w:r>
            <w:r>
              <w:rPr>
                <w:spacing w:val="-8"/>
                <w:sz w:val="21"/>
                <w:szCs w:val="21"/>
              </w:rPr>
              <w:t>失稳。</w:t>
            </w:r>
          </w:p>
        </w:tc>
        <w:tc>
          <w:tcPr>
            <w:tcW w:w="1023" w:type="dxa"/>
            <w:tcBorders>
              <w:right w:val="single" w:color="000000" w:sz="8" w:space="0"/>
            </w:tcBorders>
            <w:vAlign w:val="top"/>
          </w:tcPr>
          <w:p>
            <w:pPr>
              <w:spacing w:line="322" w:lineRule="auto"/>
              <w:rPr>
                <w:rFonts w:ascii="Arial"/>
                <w:sz w:val="21"/>
              </w:rPr>
            </w:pPr>
          </w:p>
          <w:p>
            <w:pPr>
              <w:spacing w:line="322" w:lineRule="auto"/>
              <w:rPr>
                <w:rFonts w:ascii="Arial"/>
                <w:sz w:val="21"/>
              </w:rPr>
            </w:pPr>
          </w:p>
          <w:p>
            <w:pPr>
              <w:pStyle w:val="6"/>
              <w:spacing w:before="69" w:line="231" w:lineRule="auto"/>
              <w:ind w:left="425" w:right="178" w:hanging="217"/>
              <w:rPr>
                <w:sz w:val="21"/>
                <w:szCs w:val="21"/>
              </w:rPr>
            </w:pPr>
            <w:r>
              <w:rPr>
                <w:spacing w:val="-3"/>
                <w:sz w:val="21"/>
                <w:szCs w:val="21"/>
              </w:rPr>
              <w:t>工程投</w:t>
            </w:r>
            <w:r>
              <w:rPr>
                <w:sz w:val="21"/>
                <w:szCs w:val="21"/>
              </w:rPr>
              <w:t xml:space="preserve"> 资</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tcBorders>
            <w:vAlign w:val="top"/>
          </w:tcPr>
          <w:p>
            <w:pPr>
              <w:rPr>
                <w:rFonts w:ascii="Arial"/>
                <w:sz w:val="21"/>
              </w:rPr>
            </w:pPr>
          </w:p>
        </w:tc>
        <w:tc>
          <w:tcPr>
            <w:tcW w:w="1270" w:type="dxa"/>
            <w:vAlign w:val="top"/>
          </w:tcPr>
          <w:p>
            <w:pPr>
              <w:spacing w:line="241" w:lineRule="auto"/>
              <w:rPr>
                <w:rFonts w:ascii="Arial"/>
                <w:sz w:val="21"/>
              </w:rPr>
            </w:pPr>
          </w:p>
          <w:p>
            <w:pPr>
              <w:pStyle w:val="6"/>
              <w:spacing w:before="69" w:line="221" w:lineRule="auto"/>
              <w:ind w:left="215"/>
              <w:rPr>
                <w:sz w:val="21"/>
                <w:szCs w:val="21"/>
              </w:rPr>
            </w:pPr>
            <w:r>
              <w:rPr>
                <w:spacing w:val="-2"/>
                <w:sz w:val="21"/>
                <w:szCs w:val="21"/>
              </w:rPr>
              <w:t>生态恢复</w:t>
            </w:r>
          </w:p>
        </w:tc>
        <w:tc>
          <w:tcPr>
            <w:tcW w:w="5968" w:type="dxa"/>
            <w:vAlign w:val="top"/>
          </w:tcPr>
          <w:p>
            <w:pPr>
              <w:pStyle w:val="6"/>
              <w:spacing w:before="37" w:line="227" w:lineRule="auto"/>
              <w:ind w:left="110" w:right="100"/>
              <w:rPr>
                <w:sz w:val="21"/>
                <w:szCs w:val="21"/>
              </w:rPr>
            </w:pPr>
            <w:r>
              <w:rPr>
                <w:spacing w:val="2"/>
                <w:sz w:val="21"/>
                <w:szCs w:val="21"/>
              </w:rPr>
              <w:t>根据《土地管理法》规定相关地方规定对工程占地</w:t>
            </w:r>
            <w:r>
              <w:rPr>
                <w:spacing w:val="1"/>
                <w:sz w:val="21"/>
                <w:szCs w:val="21"/>
              </w:rPr>
              <w:t>进行补偿。</w:t>
            </w:r>
            <w:r>
              <w:rPr>
                <w:sz w:val="21"/>
                <w:szCs w:val="21"/>
              </w:rPr>
              <w:t xml:space="preserve"> </w:t>
            </w:r>
            <w:r>
              <w:rPr>
                <w:spacing w:val="-3"/>
                <w:sz w:val="21"/>
                <w:szCs w:val="21"/>
              </w:rPr>
              <w:t>严格划定施工作业范围，</w:t>
            </w:r>
            <w:r>
              <w:rPr>
                <w:spacing w:val="56"/>
                <w:sz w:val="21"/>
                <w:szCs w:val="21"/>
              </w:rPr>
              <w:t xml:space="preserve"> </w:t>
            </w:r>
            <w:r>
              <w:rPr>
                <w:spacing w:val="-3"/>
                <w:sz w:val="21"/>
                <w:szCs w:val="21"/>
              </w:rPr>
              <w:t>严禁砍伐野外植被。板房搬迁后，进</w:t>
            </w:r>
            <w:r>
              <w:rPr>
                <w:sz w:val="21"/>
                <w:szCs w:val="21"/>
              </w:rPr>
              <w:t xml:space="preserve"> </w:t>
            </w:r>
            <w:r>
              <w:rPr>
                <w:spacing w:val="-1"/>
                <w:sz w:val="21"/>
                <w:szCs w:val="21"/>
              </w:rPr>
              <w:t>行土地复垦、植被恢复。</w:t>
            </w:r>
          </w:p>
        </w:tc>
        <w:tc>
          <w:tcPr>
            <w:tcW w:w="1023" w:type="dxa"/>
            <w:tcBorders>
              <w:right w:val="single" w:color="000000" w:sz="8" w:space="0"/>
            </w:tcBorders>
            <w:vAlign w:val="top"/>
          </w:tcPr>
          <w:p>
            <w:pPr>
              <w:spacing w:line="287" w:lineRule="auto"/>
              <w:rPr>
                <w:rFonts w:ascii="Arial"/>
                <w:sz w:val="21"/>
              </w:rPr>
            </w:pPr>
          </w:p>
          <w:p>
            <w:pPr>
              <w:spacing w:before="60"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Align w:val="top"/>
          </w:tcPr>
          <w:p>
            <w:pPr>
              <w:spacing w:line="376" w:lineRule="auto"/>
              <w:rPr>
                <w:rFonts w:ascii="Arial"/>
                <w:sz w:val="21"/>
              </w:rPr>
            </w:pPr>
          </w:p>
          <w:p>
            <w:pPr>
              <w:pStyle w:val="6"/>
              <w:spacing w:before="68" w:line="221" w:lineRule="auto"/>
              <w:ind w:left="180"/>
              <w:rPr>
                <w:sz w:val="21"/>
                <w:szCs w:val="21"/>
              </w:rPr>
            </w:pPr>
            <w:r>
              <w:rPr>
                <w:spacing w:val="-2"/>
                <w:sz w:val="21"/>
                <w:szCs w:val="21"/>
              </w:rPr>
              <w:t>封井</w:t>
            </w:r>
          </w:p>
        </w:tc>
        <w:tc>
          <w:tcPr>
            <w:tcW w:w="1270" w:type="dxa"/>
            <w:vAlign w:val="top"/>
          </w:tcPr>
          <w:p>
            <w:pPr>
              <w:spacing w:line="419" w:lineRule="auto"/>
              <w:rPr>
                <w:rFonts w:ascii="Arial"/>
                <w:sz w:val="21"/>
              </w:rPr>
            </w:pPr>
          </w:p>
          <w:p>
            <w:pPr>
              <w:spacing w:before="60" w:line="233" w:lineRule="auto"/>
              <w:ind w:left="5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68" w:type="dxa"/>
            <w:vAlign w:val="top"/>
          </w:tcPr>
          <w:p>
            <w:pPr>
              <w:pStyle w:val="6"/>
              <w:spacing w:before="36" w:line="230" w:lineRule="auto"/>
              <w:ind w:left="109" w:right="97" w:firstLine="1"/>
              <w:jc w:val="both"/>
              <w:rPr>
                <w:sz w:val="21"/>
                <w:szCs w:val="21"/>
              </w:rPr>
            </w:pPr>
            <w:r>
              <w:rPr>
                <w:spacing w:val="-3"/>
                <w:sz w:val="21"/>
                <w:szCs w:val="21"/>
              </w:rPr>
              <w:t>若测试无开采价值，</w:t>
            </w:r>
            <w:r>
              <w:rPr>
                <w:spacing w:val="-16"/>
                <w:sz w:val="21"/>
                <w:szCs w:val="21"/>
              </w:rPr>
              <w:t xml:space="preserve"> </w:t>
            </w:r>
            <w:r>
              <w:rPr>
                <w:spacing w:val="-3"/>
                <w:sz w:val="21"/>
                <w:szCs w:val="21"/>
              </w:rPr>
              <w:t>应按</w:t>
            </w:r>
            <w:r>
              <w:rPr>
                <w:spacing w:val="-23"/>
                <w:sz w:val="21"/>
                <w:szCs w:val="21"/>
              </w:rPr>
              <w:t xml:space="preserve"> </w:t>
            </w:r>
            <w:r>
              <w:rPr>
                <w:rFonts w:ascii="Times New Roman" w:hAnsi="Times New Roman" w:eastAsia="Times New Roman" w:cs="Times New Roman"/>
                <w:spacing w:val="-3"/>
                <w:sz w:val="21"/>
                <w:szCs w:val="21"/>
              </w:rPr>
              <w:t>Q/SYXN0386-2013</w:t>
            </w:r>
            <w:r>
              <w:rPr>
                <w:spacing w:val="-3"/>
                <w:sz w:val="21"/>
                <w:szCs w:val="21"/>
              </w:rPr>
              <w:t>《天然气井永久性</w:t>
            </w:r>
            <w:r>
              <w:rPr>
                <w:sz w:val="21"/>
                <w:szCs w:val="21"/>
              </w:rPr>
              <w:t xml:space="preserve"> </w:t>
            </w:r>
            <w:r>
              <w:rPr>
                <w:spacing w:val="3"/>
                <w:sz w:val="21"/>
                <w:szCs w:val="21"/>
              </w:rPr>
              <w:t>封井技术规范》等相关行业规范进行封井作业，并设置醒目的</w:t>
            </w:r>
            <w:r>
              <w:rPr>
                <w:spacing w:val="1"/>
                <w:sz w:val="21"/>
                <w:szCs w:val="21"/>
              </w:rPr>
              <w:t xml:space="preserve"> </w:t>
            </w:r>
            <w:r>
              <w:rPr>
                <w:spacing w:val="-4"/>
                <w:sz w:val="21"/>
                <w:szCs w:val="21"/>
              </w:rPr>
              <w:t>警示标志，</w:t>
            </w:r>
            <w:r>
              <w:rPr>
                <w:spacing w:val="-5"/>
                <w:sz w:val="21"/>
                <w:szCs w:val="21"/>
              </w:rPr>
              <w:t xml:space="preserve"> </w:t>
            </w:r>
            <w:r>
              <w:rPr>
                <w:spacing w:val="-4"/>
                <w:sz w:val="21"/>
                <w:szCs w:val="21"/>
              </w:rPr>
              <w:t xml:space="preserve">加强保护和巡查、监控。封井应在钻井完成后 </w:t>
            </w:r>
            <w:r>
              <w:rPr>
                <w:rFonts w:ascii="Times New Roman" w:hAnsi="Times New Roman" w:eastAsia="Times New Roman" w:cs="Times New Roman"/>
                <w:spacing w:val="-4"/>
                <w:sz w:val="21"/>
                <w:szCs w:val="21"/>
              </w:rPr>
              <w:t xml:space="preserve">6  </w:t>
            </w:r>
            <w:r>
              <w:rPr>
                <w:spacing w:val="-4"/>
                <w:sz w:val="21"/>
                <w:szCs w:val="21"/>
              </w:rPr>
              <w:t>个</w:t>
            </w:r>
            <w:r>
              <w:rPr>
                <w:sz w:val="21"/>
                <w:szCs w:val="21"/>
              </w:rPr>
              <w:t xml:space="preserve"> </w:t>
            </w:r>
            <w:r>
              <w:rPr>
                <w:spacing w:val="-4"/>
                <w:sz w:val="21"/>
                <w:szCs w:val="21"/>
              </w:rPr>
              <w:t>月内完成。</w:t>
            </w:r>
          </w:p>
        </w:tc>
        <w:tc>
          <w:tcPr>
            <w:tcW w:w="1023" w:type="dxa"/>
            <w:tcBorders>
              <w:right w:val="single" w:color="000000" w:sz="8" w:space="0"/>
            </w:tcBorders>
            <w:vAlign w:val="top"/>
          </w:tcPr>
          <w:p>
            <w:pPr>
              <w:spacing w:line="241" w:lineRule="auto"/>
              <w:rPr>
                <w:rFonts w:ascii="Arial"/>
                <w:sz w:val="21"/>
              </w:rPr>
            </w:pPr>
          </w:p>
          <w:p>
            <w:pPr>
              <w:pStyle w:val="6"/>
              <w:spacing w:before="68" w:line="231" w:lineRule="auto"/>
              <w:ind w:left="425" w:right="178" w:hanging="217"/>
              <w:rPr>
                <w:sz w:val="21"/>
                <w:szCs w:val="21"/>
              </w:rPr>
            </w:pPr>
            <w:r>
              <w:rPr>
                <w:spacing w:val="-3"/>
                <w:sz w:val="21"/>
                <w:szCs w:val="21"/>
              </w:rPr>
              <w:t>工程投</w:t>
            </w:r>
            <w:r>
              <w:rPr>
                <w:sz w:val="21"/>
                <w:szCs w:val="21"/>
              </w:rPr>
              <w:t xml:space="preserve"> 资</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8" w:line="238" w:lineRule="auto"/>
              <w:ind w:left="182"/>
              <w:rPr>
                <w:sz w:val="21"/>
                <w:szCs w:val="21"/>
              </w:rPr>
            </w:pPr>
            <w:r>
              <w:rPr>
                <w:spacing w:val="-2"/>
                <w:sz w:val="21"/>
                <w:szCs w:val="21"/>
              </w:rPr>
              <w:t>土壤</w:t>
            </w:r>
          </w:p>
          <w:p>
            <w:pPr>
              <w:pStyle w:val="6"/>
              <w:spacing w:line="221" w:lineRule="auto"/>
              <w:ind w:left="181"/>
              <w:rPr>
                <w:sz w:val="21"/>
                <w:szCs w:val="21"/>
              </w:rPr>
            </w:pPr>
            <w:r>
              <w:rPr>
                <w:spacing w:val="-2"/>
                <w:sz w:val="21"/>
                <w:szCs w:val="21"/>
              </w:rPr>
              <w:t>环境</w:t>
            </w:r>
          </w:p>
        </w:tc>
        <w:tc>
          <w:tcPr>
            <w:tcW w:w="1270"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1" w:line="233" w:lineRule="auto"/>
              <w:ind w:left="5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68" w:type="dxa"/>
            <w:vAlign w:val="top"/>
          </w:tcPr>
          <w:p>
            <w:pPr>
              <w:pStyle w:val="6"/>
              <w:spacing w:before="42" w:line="233" w:lineRule="auto"/>
              <w:ind w:left="109" w:right="97"/>
              <w:jc w:val="both"/>
              <w:rPr>
                <w:sz w:val="21"/>
                <w:szCs w:val="21"/>
              </w:rPr>
            </w:pPr>
            <w:r>
              <w:rPr>
                <w:spacing w:val="3"/>
                <w:sz w:val="21"/>
                <w:szCs w:val="21"/>
              </w:rPr>
              <w:t>岩屑堆放区设置雨棚，防止雨水淋滤导致污染物下渗污染。针</w:t>
            </w:r>
            <w:r>
              <w:rPr>
                <w:sz w:val="21"/>
                <w:szCs w:val="21"/>
              </w:rPr>
              <w:t xml:space="preserve"> </w:t>
            </w:r>
            <w:r>
              <w:rPr>
                <w:spacing w:val="3"/>
                <w:sz w:val="21"/>
                <w:szCs w:val="21"/>
              </w:rPr>
              <w:t>对工程占地区域采取分区防渗措施。针对地面漫流影响实施井</w:t>
            </w:r>
            <w:r>
              <w:rPr>
                <w:spacing w:val="1"/>
                <w:sz w:val="21"/>
                <w:szCs w:val="21"/>
              </w:rPr>
              <w:t xml:space="preserve"> </w:t>
            </w:r>
            <w:r>
              <w:rPr>
                <w:spacing w:val="3"/>
                <w:sz w:val="21"/>
                <w:szCs w:val="21"/>
              </w:rPr>
              <w:t>场清污分流措施，在井场四周设置雨水排水沟，场外雨水随雨</w:t>
            </w:r>
            <w:r>
              <w:rPr>
                <w:spacing w:val="1"/>
                <w:sz w:val="21"/>
                <w:szCs w:val="21"/>
              </w:rPr>
              <w:t xml:space="preserve"> </w:t>
            </w:r>
            <w:r>
              <w:rPr>
                <w:spacing w:val="3"/>
                <w:sz w:val="21"/>
                <w:szCs w:val="21"/>
              </w:rPr>
              <w:t>水沟排放；井场分为清洁区和污染区，通过挡墙隔离</w:t>
            </w:r>
            <w:r>
              <w:rPr>
                <w:spacing w:val="2"/>
                <w:sz w:val="21"/>
                <w:szCs w:val="21"/>
              </w:rPr>
              <w:t>。污染区</w:t>
            </w:r>
            <w:r>
              <w:rPr>
                <w:sz w:val="21"/>
                <w:szCs w:val="21"/>
              </w:rPr>
              <w:t xml:space="preserve"> </w:t>
            </w:r>
            <w:r>
              <w:rPr>
                <w:spacing w:val="3"/>
                <w:sz w:val="21"/>
                <w:szCs w:val="21"/>
              </w:rPr>
              <w:t>雨水进入集水坑收集泵提升废水罐处理后回用。清洁区雨水通</w:t>
            </w:r>
            <w:r>
              <w:rPr>
                <w:sz w:val="21"/>
                <w:szCs w:val="21"/>
              </w:rPr>
              <w:t xml:space="preserve"> </w:t>
            </w:r>
            <w:r>
              <w:rPr>
                <w:spacing w:val="-1"/>
                <w:sz w:val="21"/>
                <w:szCs w:val="21"/>
              </w:rPr>
              <w:t xml:space="preserve">过场地内的 </w:t>
            </w:r>
            <w:r>
              <w:rPr>
                <w:rFonts w:ascii="Times New Roman" w:hAnsi="Times New Roman" w:eastAsia="Times New Roman" w:cs="Times New Roman"/>
                <w:spacing w:val="-1"/>
                <w:sz w:val="21"/>
                <w:szCs w:val="21"/>
              </w:rPr>
              <w:t>4</w:t>
            </w:r>
            <w:r>
              <w:rPr>
                <w:rFonts w:ascii="Times New Roman" w:hAnsi="Times New Roman" w:eastAsia="Times New Roman" w:cs="Times New Roman"/>
                <w:spacing w:val="60"/>
                <w:w w:val="101"/>
                <w:sz w:val="21"/>
                <w:szCs w:val="21"/>
              </w:rPr>
              <w:t xml:space="preserve"> </w:t>
            </w:r>
            <w:r>
              <w:rPr>
                <w:spacing w:val="-1"/>
                <w:sz w:val="21"/>
                <w:szCs w:val="21"/>
              </w:rPr>
              <w:t>个隔油池沉淀隔油处理后外排。油罐区雨水经过</w:t>
            </w:r>
            <w:r>
              <w:rPr>
                <w:sz w:val="21"/>
                <w:szCs w:val="21"/>
              </w:rPr>
              <w:t xml:space="preserve"> </w:t>
            </w:r>
            <w:r>
              <w:rPr>
                <w:spacing w:val="-3"/>
                <w:sz w:val="21"/>
                <w:szCs w:val="21"/>
              </w:rPr>
              <w:t>隔油池处理后外排。</w:t>
            </w:r>
          </w:p>
        </w:tc>
        <w:tc>
          <w:tcPr>
            <w:tcW w:w="1023" w:type="dxa"/>
            <w:tcBorders>
              <w:right w:val="single" w:color="000000" w:sz="8" w:space="0"/>
            </w:tcBorders>
            <w:vAlign w:val="top"/>
          </w:tcPr>
          <w:p>
            <w:pPr>
              <w:pStyle w:val="6"/>
              <w:spacing w:before="42" w:line="233" w:lineRule="auto"/>
              <w:ind w:left="205" w:right="178" w:firstLine="2"/>
              <w:jc w:val="both"/>
              <w:rPr>
                <w:sz w:val="21"/>
                <w:szCs w:val="21"/>
              </w:rPr>
            </w:pPr>
            <w:r>
              <w:rPr>
                <w:spacing w:val="-3"/>
                <w:sz w:val="21"/>
                <w:szCs w:val="21"/>
              </w:rPr>
              <w:t>纳入地</w:t>
            </w:r>
            <w:r>
              <w:rPr>
                <w:spacing w:val="1"/>
                <w:sz w:val="21"/>
                <w:szCs w:val="21"/>
              </w:rPr>
              <w:t xml:space="preserve"> </w:t>
            </w:r>
            <w:r>
              <w:rPr>
                <w:spacing w:val="-2"/>
                <w:sz w:val="21"/>
                <w:szCs w:val="21"/>
              </w:rPr>
              <w:t>下水的</w:t>
            </w:r>
            <w:r>
              <w:rPr>
                <w:spacing w:val="1"/>
                <w:sz w:val="21"/>
                <w:szCs w:val="21"/>
              </w:rPr>
              <w:t xml:space="preserve"> </w:t>
            </w:r>
            <w:r>
              <w:rPr>
                <w:spacing w:val="-2"/>
                <w:sz w:val="21"/>
                <w:szCs w:val="21"/>
              </w:rPr>
              <w:t>分区防</w:t>
            </w:r>
            <w:r>
              <w:rPr>
                <w:spacing w:val="1"/>
                <w:sz w:val="21"/>
                <w:szCs w:val="21"/>
              </w:rPr>
              <w:t xml:space="preserve"> </w:t>
            </w:r>
            <w:r>
              <w:rPr>
                <w:spacing w:val="-2"/>
                <w:sz w:val="21"/>
                <w:szCs w:val="21"/>
              </w:rPr>
              <w:t>渗和地</w:t>
            </w:r>
            <w:r>
              <w:rPr>
                <w:spacing w:val="1"/>
                <w:sz w:val="21"/>
                <w:szCs w:val="21"/>
              </w:rPr>
              <w:t xml:space="preserve"> </w:t>
            </w:r>
            <w:r>
              <w:rPr>
                <w:spacing w:val="-2"/>
                <w:sz w:val="21"/>
                <w:szCs w:val="21"/>
              </w:rPr>
              <w:t>表水的</w:t>
            </w:r>
            <w:r>
              <w:rPr>
                <w:spacing w:val="1"/>
                <w:sz w:val="21"/>
                <w:szCs w:val="21"/>
              </w:rPr>
              <w:t xml:space="preserve"> </w:t>
            </w:r>
            <w:r>
              <w:rPr>
                <w:spacing w:val="-2"/>
                <w:sz w:val="21"/>
                <w:szCs w:val="21"/>
              </w:rPr>
              <w:t>清污分</w:t>
            </w:r>
            <w:r>
              <w:rPr>
                <w:spacing w:val="1"/>
                <w:sz w:val="21"/>
                <w:szCs w:val="21"/>
              </w:rPr>
              <w:t xml:space="preserve"> </w:t>
            </w:r>
            <w:r>
              <w:rPr>
                <w:spacing w:val="-2"/>
                <w:sz w:val="21"/>
                <w:szCs w:val="21"/>
              </w:rPr>
              <w:t>流措施</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tcBorders>
            <w:vAlign w:val="top"/>
          </w:tcPr>
          <w:p>
            <w:pPr>
              <w:rPr>
                <w:rFonts w:ascii="Arial"/>
                <w:sz w:val="21"/>
              </w:rPr>
            </w:pPr>
          </w:p>
        </w:tc>
        <w:tc>
          <w:tcPr>
            <w:tcW w:w="1270" w:type="dxa"/>
            <w:vAlign w:val="top"/>
          </w:tcPr>
          <w:p>
            <w:pPr>
              <w:pStyle w:val="6"/>
              <w:spacing w:before="179" w:line="221" w:lineRule="auto"/>
              <w:ind w:left="106"/>
              <w:rPr>
                <w:sz w:val="21"/>
                <w:szCs w:val="21"/>
              </w:rPr>
            </w:pPr>
            <w:r>
              <w:rPr>
                <w:spacing w:val="-1"/>
                <w:sz w:val="21"/>
                <w:szCs w:val="21"/>
              </w:rPr>
              <w:t>跟踪监测和</w:t>
            </w:r>
          </w:p>
          <w:p>
            <w:pPr>
              <w:pStyle w:val="6"/>
              <w:spacing w:before="21" w:line="223" w:lineRule="auto"/>
              <w:ind w:left="213"/>
              <w:rPr>
                <w:sz w:val="21"/>
                <w:szCs w:val="21"/>
              </w:rPr>
            </w:pPr>
            <w:r>
              <w:rPr>
                <w:spacing w:val="-2"/>
                <w:sz w:val="21"/>
                <w:szCs w:val="21"/>
              </w:rPr>
              <w:t>应急响应</w:t>
            </w:r>
          </w:p>
        </w:tc>
        <w:tc>
          <w:tcPr>
            <w:tcW w:w="5968" w:type="dxa"/>
            <w:vAlign w:val="top"/>
          </w:tcPr>
          <w:p>
            <w:pPr>
              <w:pStyle w:val="6"/>
              <w:spacing w:before="40" w:line="226" w:lineRule="auto"/>
              <w:ind w:left="111" w:right="97" w:hanging="2"/>
              <w:jc w:val="both"/>
              <w:rPr>
                <w:sz w:val="21"/>
                <w:szCs w:val="21"/>
              </w:rPr>
            </w:pPr>
            <w:r>
              <w:rPr>
                <w:spacing w:val="-1"/>
                <w:sz w:val="21"/>
                <w:szCs w:val="21"/>
              </w:rPr>
              <w:t xml:space="preserve">在本项目完工后，在清洁化操作平台旁布置 </w:t>
            </w:r>
            <w:r>
              <w:rPr>
                <w:rFonts w:ascii="Times New Roman" w:hAnsi="Times New Roman" w:eastAsia="Times New Roman" w:cs="Times New Roman"/>
                <w:spacing w:val="-1"/>
                <w:sz w:val="21"/>
                <w:szCs w:val="21"/>
              </w:rPr>
              <w:t xml:space="preserve">1  </w:t>
            </w:r>
            <w:r>
              <w:rPr>
                <w:spacing w:val="-1"/>
                <w:sz w:val="21"/>
                <w:szCs w:val="21"/>
              </w:rPr>
              <w:t>个土壤监测点进</w:t>
            </w:r>
            <w:r>
              <w:rPr>
                <w:spacing w:val="10"/>
                <w:sz w:val="21"/>
                <w:szCs w:val="21"/>
              </w:rPr>
              <w:t xml:space="preserve"> </w:t>
            </w:r>
            <w:r>
              <w:rPr>
                <w:spacing w:val="3"/>
                <w:sz w:val="21"/>
                <w:szCs w:val="21"/>
              </w:rPr>
              <w:t>行土壤跟踪监测，以便及时了解该区土壤环境状况，一旦</w:t>
            </w:r>
            <w:r>
              <w:rPr>
                <w:spacing w:val="2"/>
                <w:sz w:val="21"/>
                <w:szCs w:val="21"/>
              </w:rPr>
              <w:t>发生</w:t>
            </w:r>
            <w:r>
              <w:rPr>
                <w:sz w:val="21"/>
                <w:szCs w:val="21"/>
              </w:rPr>
              <w:t xml:space="preserve"> </w:t>
            </w:r>
            <w:r>
              <w:rPr>
                <w:spacing w:val="-7"/>
                <w:sz w:val="21"/>
                <w:szCs w:val="21"/>
              </w:rPr>
              <w:t>污染， 及时采取应急、补救措施。</w:t>
            </w:r>
          </w:p>
        </w:tc>
        <w:tc>
          <w:tcPr>
            <w:tcW w:w="1023" w:type="dxa"/>
            <w:tcBorders>
              <w:right w:val="single" w:color="000000" w:sz="8" w:space="0"/>
            </w:tcBorders>
            <w:vAlign w:val="top"/>
          </w:tcPr>
          <w:p>
            <w:pPr>
              <w:spacing w:line="295" w:lineRule="auto"/>
              <w:rPr>
                <w:rFonts w:ascii="Arial"/>
                <w:sz w:val="21"/>
              </w:rPr>
            </w:pPr>
          </w:p>
          <w:p>
            <w:pPr>
              <w:spacing w:before="60" w:line="184" w:lineRule="auto"/>
              <w:ind w:left="47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restart"/>
            <w:tcBorders>
              <w:bottom w:val="nil"/>
            </w:tcBorders>
            <w:vAlign w:val="top"/>
          </w:tcPr>
          <w:p>
            <w:pPr>
              <w:pStyle w:val="6"/>
              <w:spacing w:before="290" w:line="241" w:lineRule="auto"/>
              <w:ind w:left="181"/>
              <w:rPr>
                <w:sz w:val="21"/>
                <w:szCs w:val="21"/>
              </w:rPr>
            </w:pPr>
            <w:r>
              <w:rPr>
                <w:spacing w:val="-2"/>
                <w:sz w:val="21"/>
                <w:szCs w:val="21"/>
              </w:rPr>
              <w:t>环境</w:t>
            </w:r>
          </w:p>
          <w:p>
            <w:pPr>
              <w:pStyle w:val="6"/>
              <w:spacing w:line="221" w:lineRule="auto"/>
              <w:ind w:left="182"/>
              <w:rPr>
                <w:sz w:val="21"/>
                <w:szCs w:val="21"/>
              </w:rPr>
            </w:pPr>
            <w:r>
              <w:rPr>
                <w:spacing w:val="-2"/>
                <w:sz w:val="21"/>
                <w:szCs w:val="21"/>
              </w:rPr>
              <w:t>风险</w:t>
            </w:r>
          </w:p>
        </w:tc>
        <w:tc>
          <w:tcPr>
            <w:tcW w:w="7238" w:type="dxa"/>
            <w:gridSpan w:val="2"/>
            <w:vAlign w:val="top"/>
          </w:tcPr>
          <w:p>
            <w:pPr>
              <w:pStyle w:val="6"/>
              <w:spacing w:before="76" w:line="221" w:lineRule="auto"/>
              <w:ind w:left="104"/>
              <w:rPr>
                <w:sz w:val="21"/>
                <w:szCs w:val="21"/>
              </w:rPr>
            </w:pPr>
            <w:r>
              <w:rPr>
                <w:spacing w:val="-2"/>
                <w:sz w:val="21"/>
                <w:szCs w:val="21"/>
              </w:rPr>
              <w:t>废水、油类储存转运泄漏防范措施。</w:t>
            </w:r>
          </w:p>
        </w:tc>
        <w:tc>
          <w:tcPr>
            <w:tcW w:w="1023" w:type="dxa"/>
            <w:vMerge w:val="restart"/>
            <w:tcBorders>
              <w:bottom w:val="nil"/>
            </w:tcBorders>
            <w:vAlign w:val="top"/>
          </w:tcPr>
          <w:p>
            <w:pPr>
              <w:spacing w:line="403" w:lineRule="auto"/>
              <w:rPr>
                <w:rFonts w:ascii="Arial"/>
                <w:sz w:val="21"/>
              </w:rPr>
            </w:pPr>
          </w:p>
          <w:p>
            <w:pPr>
              <w:spacing w:before="61"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22"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bottom w:val="nil"/>
            </w:tcBorders>
            <w:vAlign w:val="top"/>
          </w:tcPr>
          <w:p>
            <w:pPr>
              <w:rPr>
                <w:rFonts w:ascii="Arial"/>
                <w:sz w:val="21"/>
              </w:rPr>
            </w:pPr>
          </w:p>
        </w:tc>
        <w:tc>
          <w:tcPr>
            <w:tcW w:w="7238" w:type="dxa"/>
            <w:gridSpan w:val="2"/>
            <w:vAlign w:val="top"/>
          </w:tcPr>
          <w:p>
            <w:pPr>
              <w:pStyle w:val="6"/>
              <w:spacing w:before="77" w:line="220" w:lineRule="auto"/>
              <w:ind w:left="106"/>
              <w:rPr>
                <w:sz w:val="21"/>
                <w:szCs w:val="21"/>
              </w:rPr>
            </w:pPr>
            <w:r>
              <w:rPr>
                <w:sz w:val="21"/>
                <w:szCs w:val="21"/>
              </w:rPr>
              <w:t>周边农户宣传、职工环保培训；编制应急预案及培训、</w:t>
            </w:r>
            <w:r>
              <w:rPr>
                <w:spacing w:val="-1"/>
                <w:sz w:val="21"/>
                <w:szCs w:val="21"/>
              </w:rPr>
              <w:t>演练等。</w:t>
            </w:r>
          </w:p>
        </w:tc>
        <w:tc>
          <w:tcPr>
            <w:tcW w:w="1023" w:type="dxa"/>
            <w:vMerge w:val="continue"/>
            <w:tcBorders>
              <w:top w:val="nil"/>
              <w:bottom w:val="nil"/>
            </w:tcBorders>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Merge w:val="continue"/>
            <w:tcBorders>
              <w:top w:val="nil"/>
              <w:left w:val="single" w:color="000000" w:sz="6" w:space="0"/>
              <w:bottom w:val="nil"/>
            </w:tcBorders>
            <w:vAlign w:val="top"/>
          </w:tcPr>
          <w:p>
            <w:pPr>
              <w:rPr>
                <w:rFonts w:ascii="Arial"/>
                <w:sz w:val="21"/>
              </w:rPr>
            </w:pPr>
          </w:p>
        </w:tc>
        <w:tc>
          <w:tcPr>
            <w:tcW w:w="786" w:type="dxa"/>
            <w:vMerge w:val="continue"/>
            <w:tcBorders>
              <w:top w:val="nil"/>
            </w:tcBorders>
            <w:vAlign w:val="top"/>
          </w:tcPr>
          <w:p>
            <w:pPr>
              <w:rPr>
                <w:rFonts w:ascii="Arial"/>
                <w:sz w:val="21"/>
              </w:rPr>
            </w:pPr>
          </w:p>
        </w:tc>
        <w:tc>
          <w:tcPr>
            <w:tcW w:w="7238" w:type="dxa"/>
            <w:gridSpan w:val="2"/>
            <w:vAlign w:val="top"/>
          </w:tcPr>
          <w:p>
            <w:pPr>
              <w:pStyle w:val="6"/>
              <w:spacing w:before="79" w:line="221" w:lineRule="auto"/>
              <w:ind w:left="105"/>
              <w:rPr>
                <w:sz w:val="21"/>
                <w:szCs w:val="21"/>
              </w:rPr>
            </w:pPr>
            <w:r>
              <w:rPr>
                <w:spacing w:val="-5"/>
                <w:sz w:val="21"/>
                <w:szCs w:val="21"/>
              </w:rPr>
              <w:t>应急疏散。</w:t>
            </w:r>
          </w:p>
        </w:tc>
        <w:tc>
          <w:tcPr>
            <w:tcW w:w="1023" w:type="dxa"/>
            <w:vMerge w:val="continue"/>
            <w:tcBorders>
              <w:top w:val="nil"/>
            </w:tcBorders>
            <w:vAlign w:val="top"/>
          </w:tcPr>
          <w:p>
            <w:pPr>
              <w:rPr>
                <w:rFonts w:ascii="Arial"/>
                <w:sz w:val="21"/>
              </w:rPr>
            </w:pPr>
          </w:p>
        </w:tc>
        <w:tc>
          <w:tcPr>
            <w:tcW w:w="122"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578" w:type="dxa"/>
            <w:vMerge w:val="continue"/>
            <w:tcBorders>
              <w:top w:val="nil"/>
              <w:left w:val="single" w:color="000000" w:sz="6" w:space="0"/>
              <w:bottom w:val="single" w:color="000000" w:sz="6" w:space="0"/>
            </w:tcBorders>
            <w:vAlign w:val="top"/>
          </w:tcPr>
          <w:p>
            <w:pPr>
              <w:rPr>
                <w:rFonts w:ascii="Arial"/>
                <w:sz w:val="21"/>
              </w:rPr>
            </w:pPr>
          </w:p>
        </w:tc>
        <w:tc>
          <w:tcPr>
            <w:tcW w:w="8024" w:type="dxa"/>
            <w:gridSpan w:val="3"/>
            <w:tcBorders>
              <w:bottom w:val="single" w:color="000000" w:sz="6" w:space="0"/>
            </w:tcBorders>
            <w:vAlign w:val="top"/>
          </w:tcPr>
          <w:p>
            <w:pPr>
              <w:pStyle w:val="6"/>
              <w:spacing w:before="80" w:line="222" w:lineRule="auto"/>
              <w:ind w:left="3804"/>
              <w:rPr>
                <w:sz w:val="21"/>
                <w:szCs w:val="21"/>
              </w:rPr>
            </w:pPr>
            <w:r>
              <w:rPr>
                <w:spacing w:val="-2"/>
                <w:sz w:val="21"/>
                <w:szCs w:val="21"/>
                <w14:textOutline w14:w="3831" w14:cap="flat" w14:cmpd="sng">
                  <w14:solidFill>
                    <w14:srgbClr w14:val="000000"/>
                  </w14:solidFill>
                  <w14:prstDash w14:val="solid"/>
                  <w14:miter w14:val="10"/>
                </w14:textOutline>
              </w:rPr>
              <w:t>合计</w:t>
            </w:r>
          </w:p>
        </w:tc>
        <w:tc>
          <w:tcPr>
            <w:tcW w:w="1023" w:type="dxa"/>
            <w:tcBorders>
              <w:bottom w:val="single" w:color="000000" w:sz="6" w:space="0"/>
              <w:right w:val="single" w:color="000000" w:sz="8" w:space="0"/>
            </w:tcBorders>
            <w:vAlign w:val="top"/>
          </w:tcPr>
          <w:p>
            <w:pPr>
              <w:spacing w:before="119"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54" w:type="default"/>
          <w:pgSz w:w="11907" w:h="16839"/>
          <w:pgMar w:top="400" w:right="1070" w:bottom="1181" w:left="1072" w:header="0" w:footer="920" w:gutter="0"/>
          <w:cols w:space="720" w:num="1"/>
        </w:sect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97" w:line="218" w:lineRule="auto"/>
        <w:ind w:left="4680"/>
        <w:rPr>
          <w:rFonts w:ascii="黑体" w:hAnsi="黑体" w:eastAsia="黑体" w:cs="黑体"/>
          <w:sz w:val="30"/>
          <w:szCs w:val="30"/>
        </w:rPr>
      </w:pPr>
      <w:r>
        <w:rPr>
          <w:rFonts w:ascii="黑体" w:hAnsi="黑体" w:eastAsia="黑体" w:cs="黑体"/>
          <w:spacing w:val="-2"/>
          <w:sz w:val="30"/>
          <w:szCs w:val="30"/>
        </w:rPr>
        <w:t>六、生态环境保护措施监督检查清单</w:t>
      </w:r>
    </w:p>
    <w:p>
      <w:pPr>
        <w:spacing w:before="26"/>
      </w:pPr>
    </w:p>
    <w:tbl>
      <w:tblPr>
        <w:tblStyle w:val="5"/>
        <w:tblW w:w="141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1197"/>
        <w:gridCol w:w="6913"/>
        <w:gridCol w:w="2831"/>
        <w:gridCol w:w="852"/>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88" w:type="dxa"/>
            <w:vMerge w:val="restart"/>
            <w:tcBorders>
              <w:bottom w:val="nil"/>
              <w:tl2br w:val="single" w:color="000000" w:sz="2" w:space="0"/>
            </w:tcBorders>
            <w:vAlign w:val="top"/>
          </w:tcPr>
          <w:p>
            <w:pPr>
              <w:pStyle w:val="6"/>
              <w:spacing w:before="33" w:line="221" w:lineRule="auto"/>
              <w:ind w:left="1140"/>
              <w:rPr>
                <w:sz w:val="21"/>
                <w:szCs w:val="21"/>
              </w:rPr>
            </w:pPr>
            <w:r>
              <w:rPr>
                <w:spacing w:val="-8"/>
                <w:sz w:val="21"/>
                <w:szCs w:val="21"/>
                <w14:textOutline w14:w="3831" w14:cap="flat" w14:cmpd="sng">
                  <w14:solidFill>
                    <w14:srgbClr w14:val="000000"/>
                  </w14:solidFill>
                  <w14:prstDash w14:val="solid"/>
                  <w14:miter w14:val="10"/>
                </w14:textOutline>
              </w:rPr>
              <w:t>内容</w:t>
            </w:r>
          </w:p>
          <w:p>
            <w:pPr>
              <w:pStyle w:val="6"/>
              <w:spacing w:before="77" w:line="221" w:lineRule="auto"/>
              <w:ind w:left="66"/>
              <w:rPr>
                <w:sz w:val="21"/>
                <w:szCs w:val="21"/>
              </w:rPr>
            </w:pPr>
            <w:r>
              <w:rPr>
                <w:spacing w:val="-2"/>
                <w:sz w:val="21"/>
                <w:szCs w:val="21"/>
                <w14:textOutline w14:w="3831" w14:cap="flat" w14:cmpd="sng">
                  <w14:solidFill>
                    <w14:srgbClr w14:val="000000"/>
                  </w14:solidFill>
                  <w14:prstDash w14:val="solid"/>
                  <w14:miter w14:val="10"/>
                </w14:textOutline>
              </w:rPr>
              <w:t>要素</w:t>
            </w:r>
          </w:p>
        </w:tc>
        <w:tc>
          <w:tcPr>
            <w:tcW w:w="10941" w:type="dxa"/>
            <w:gridSpan w:val="3"/>
            <w:vAlign w:val="top"/>
          </w:tcPr>
          <w:p>
            <w:pPr>
              <w:pStyle w:val="6"/>
              <w:spacing w:before="41" w:line="221" w:lineRule="auto"/>
              <w:ind w:left="5159"/>
              <w:rPr>
                <w:sz w:val="21"/>
                <w:szCs w:val="21"/>
              </w:rPr>
            </w:pPr>
            <w:r>
              <w:rPr>
                <w:spacing w:val="-1"/>
                <w:sz w:val="21"/>
                <w:szCs w:val="21"/>
                <w14:textOutline w14:w="3831" w14:cap="flat" w14:cmpd="sng">
                  <w14:solidFill>
                    <w14:srgbClr w14:val="000000"/>
                  </w14:solidFill>
                  <w14:prstDash w14:val="solid"/>
                  <w14:miter w14:val="10"/>
                </w14:textOutline>
              </w:rPr>
              <w:t>施工期</w:t>
            </w:r>
          </w:p>
        </w:tc>
        <w:tc>
          <w:tcPr>
            <w:tcW w:w="1584" w:type="dxa"/>
            <w:gridSpan w:val="2"/>
            <w:vAlign w:val="top"/>
          </w:tcPr>
          <w:p>
            <w:pPr>
              <w:pStyle w:val="6"/>
              <w:spacing w:before="41" w:line="221" w:lineRule="auto"/>
              <w:ind w:left="481"/>
              <w:rPr>
                <w:sz w:val="21"/>
                <w:szCs w:val="21"/>
              </w:rPr>
            </w:pPr>
            <w:r>
              <w:rPr>
                <w:spacing w:val="-2"/>
                <w:sz w:val="21"/>
                <w:szCs w:val="21"/>
                <w14:textOutline w14:w="3831" w14:cap="flat" w14:cmpd="sng">
                  <w14:solidFill>
                    <w14:srgbClr w14:val="000000"/>
                  </w14:solidFill>
                  <w14:prstDash w14:val="solid"/>
                  <w14:miter w14:val="10"/>
                </w14:textOutline>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588" w:type="dxa"/>
            <w:vMerge w:val="continue"/>
            <w:tcBorders>
              <w:top w:val="nil"/>
              <w:tl2br w:val="single" w:color="000000" w:sz="2" w:space="0"/>
            </w:tcBorders>
            <w:vAlign w:val="top"/>
          </w:tcPr>
          <w:p>
            <w:pPr>
              <w:rPr>
                <w:rFonts w:ascii="Arial"/>
                <w:sz w:val="21"/>
              </w:rPr>
            </w:pPr>
          </w:p>
        </w:tc>
        <w:tc>
          <w:tcPr>
            <w:tcW w:w="8110" w:type="dxa"/>
            <w:gridSpan w:val="2"/>
            <w:vAlign w:val="top"/>
          </w:tcPr>
          <w:p>
            <w:pPr>
              <w:pStyle w:val="6"/>
              <w:spacing w:before="193" w:line="221" w:lineRule="auto"/>
              <w:ind w:left="3427"/>
              <w:rPr>
                <w:sz w:val="21"/>
                <w:szCs w:val="21"/>
              </w:rPr>
            </w:pPr>
            <w:r>
              <w:rPr>
                <w:spacing w:val="-1"/>
                <w:sz w:val="21"/>
                <w:szCs w:val="21"/>
                <w14:textOutline w14:w="3831" w14:cap="flat" w14:cmpd="sng">
                  <w14:solidFill>
                    <w14:srgbClr w14:val="000000"/>
                  </w14:solidFill>
                  <w14:prstDash w14:val="solid"/>
                  <w14:miter w14:val="10"/>
                </w14:textOutline>
              </w:rPr>
              <w:t>环境保护措施</w:t>
            </w:r>
          </w:p>
        </w:tc>
        <w:tc>
          <w:tcPr>
            <w:tcW w:w="2831" w:type="dxa"/>
            <w:vAlign w:val="top"/>
          </w:tcPr>
          <w:p>
            <w:pPr>
              <w:pStyle w:val="6"/>
              <w:spacing w:before="192" w:line="221" w:lineRule="auto"/>
              <w:ind w:left="1000"/>
              <w:rPr>
                <w:sz w:val="21"/>
                <w:szCs w:val="21"/>
              </w:rPr>
            </w:pPr>
            <w:r>
              <w:rPr>
                <w:spacing w:val="-1"/>
                <w:sz w:val="21"/>
                <w:szCs w:val="21"/>
                <w14:textOutline w14:w="3831" w14:cap="flat" w14:cmpd="sng">
                  <w14:solidFill>
                    <w14:srgbClr w14:val="000000"/>
                  </w14:solidFill>
                  <w14:prstDash w14:val="solid"/>
                  <w14:miter w14:val="10"/>
                </w14:textOutline>
              </w:rPr>
              <w:t>验收要求</w:t>
            </w:r>
          </w:p>
        </w:tc>
        <w:tc>
          <w:tcPr>
            <w:tcW w:w="852" w:type="dxa"/>
            <w:vAlign w:val="top"/>
          </w:tcPr>
          <w:p>
            <w:pPr>
              <w:pStyle w:val="6"/>
              <w:spacing w:before="30" w:line="254" w:lineRule="auto"/>
              <w:ind w:left="117" w:right="104"/>
              <w:rPr>
                <w:sz w:val="21"/>
                <w:szCs w:val="21"/>
              </w:rPr>
            </w:pPr>
            <w:r>
              <w:rPr>
                <w:spacing w:val="-2"/>
                <w:sz w:val="21"/>
                <w:szCs w:val="21"/>
                <w14:textOutline w14:w="3831" w14:cap="flat" w14:cmpd="sng">
                  <w14:solidFill>
                    <w14:srgbClr w14:val="000000"/>
                  </w14:solidFill>
                  <w14:prstDash w14:val="solid"/>
                  <w14:miter w14:val="10"/>
                </w14:textOutline>
              </w:rPr>
              <w:t>环境保</w:t>
            </w:r>
            <w:r>
              <w:rPr>
                <w:sz w:val="21"/>
                <w:szCs w:val="21"/>
              </w:rPr>
              <w:t xml:space="preserve"> </w:t>
            </w:r>
            <w:r>
              <w:rPr>
                <w:spacing w:val="-2"/>
                <w:sz w:val="21"/>
                <w:szCs w:val="21"/>
                <w14:textOutline w14:w="3831" w14:cap="flat" w14:cmpd="sng">
                  <w14:solidFill>
                    <w14:srgbClr w14:val="000000"/>
                  </w14:solidFill>
                  <w14:prstDash w14:val="solid"/>
                  <w14:miter w14:val="10"/>
                </w14:textOutline>
              </w:rPr>
              <w:t>护措施</w:t>
            </w:r>
          </w:p>
        </w:tc>
        <w:tc>
          <w:tcPr>
            <w:tcW w:w="732" w:type="dxa"/>
            <w:vAlign w:val="top"/>
          </w:tcPr>
          <w:p>
            <w:pPr>
              <w:pStyle w:val="6"/>
              <w:spacing w:before="29" w:line="327" w:lineRule="exact"/>
              <w:ind w:left="161"/>
              <w:rPr>
                <w:sz w:val="21"/>
                <w:szCs w:val="21"/>
              </w:rPr>
            </w:pPr>
            <w:r>
              <w:rPr>
                <w:spacing w:val="-2"/>
                <w:position w:val="8"/>
                <w:sz w:val="21"/>
                <w:szCs w:val="21"/>
                <w14:textOutline w14:w="3831" w14:cap="flat" w14:cmpd="sng">
                  <w14:solidFill>
                    <w14:srgbClr w14:val="000000"/>
                  </w14:solidFill>
                  <w14:prstDash w14:val="solid"/>
                  <w14:miter w14:val="10"/>
                </w14:textOutline>
              </w:rPr>
              <w:t>验收</w:t>
            </w:r>
          </w:p>
          <w:p>
            <w:pPr>
              <w:pStyle w:val="6"/>
              <w:spacing w:line="222" w:lineRule="auto"/>
              <w:ind w:left="163"/>
              <w:rPr>
                <w:sz w:val="21"/>
                <w:szCs w:val="21"/>
              </w:rPr>
            </w:pPr>
            <w:r>
              <w:rPr>
                <w:spacing w:val="-2"/>
                <w:sz w:val="21"/>
                <w:szCs w:val="21"/>
                <w14:textOutline w14:w="3831" w14:cap="flat" w14:cmpd="sng">
                  <w14:solidFill>
                    <w14:srgbClr w14:val="000000"/>
                  </w14:solidFill>
                  <w14:prstDash w14:val="solid"/>
                  <w14:miter w14:val="10"/>
                </w14:textOutli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trPr>
        <w:tc>
          <w:tcPr>
            <w:tcW w:w="158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3" w:lineRule="auto"/>
              <w:ind w:left="390"/>
              <w:rPr>
                <w:sz w:val="21"/>
                <w:szCs w:val="21"/>
              </w:rPr>
            </w:pPr>
            <w:r>
              <w:rPr>
                <w:spacing w:val="-4"/>
                <w:sz w:val="21"/>
                <w:szCs w:val="21"/>
              </w:rPr>
              <w:t>陆生生态</w:t>
            </w:r>
          </w:p>
        </w:tc>
        <w:tc>
          <w:tcPr>
            <w:tcW w:w="1197" w:type="dxa"/>
            <w:vAlign w:val="top"/>
          </w:tcPr>
          <w:p>
            <w:pPr>
              <w:spacing w:line="450" w:lineRule="auto"/>
              <w:rPr>
                <w:rFonts w:ascii="Arial"/>
                <w:sz w:val="21"/>
              </w:rPr>
            </w:pPr>
          </w:p>
          <w:p>
            <w:pPr>
              <w:pStyle w:val="6"/>
              <w:spacing w:before="68" w:line="254" w:lineRule="auto"/>
              <w:ind w:left="76" w:right="70"/>
              <w:rPr>
                <w:sz w:val="21"/>
                <w:szCs w:val="21"/>
              </w:rPr>
            </w:pPr>
            <w:r>
              <w:rPr>
                <w:spacing w:val="-1"/>
                <w:sz w:val="21"/>
                <w:szCs w:val="21"/>
              </w:rPr>
              <w:t>补偿、减少</w:t>
            </w:r>
            <w:r>
              <w:rPr>
                <w:sz w:val="21"/>
                <w:szCs w:val="21"/>
              </w:rPr>
              <w:t xml:space="preserve"> </w:t>
            </w:r>
            <w:r>
              <w:rPr>
                <w:spacing w:val="-5"/>
                <w:sz w:val="21"/>
                <w:szCs w:val="21"/>
              </w:rPr>
              <w:t>影响范围、</w:t>
            </w:r>
          </w:p>
          <w:p>
            <w:pPr>
              <w:pStyle w:val="6"/>
              <w:spacing w:before="75" w:line="221" w:lineRule="auto"/>
              <w:ind w:left="183"/>
              <w:rPr>
                <w:sz w:val="21"/>
                <w:szCs w:val="21"/>
              </w:rPr>
            </w:pPr>
            <w:r>
              <w:rPr>
                <w:spacing w:val="-2"/>
                <w:sz w:val="21"/>
                <w:szCs w:val="21"/>
              </w:rPr>
              <w:t>生态恢复</w:t>
            </w:r>
          </w:p>
        </w:tc>
        <w:tc>
          <w:tcPr>
            <w:tcW w:w="6913" w:type="dxa"/>
            <w:vAlign w:val="top"/>
          </w:tcPr>
          <w:p>
            <w:pPr>
              <w:pStyle w:val="6"/>
              <w:spacing w:before="32" w:line="276" w:lineRule="auto"/>
              <w:ind w:left="60" w:right="129"/>
              <w:jc w:val="both"/>
              <w:rPr>
                <w:sz w:val="21"/>
                <w:szCs w:val="21"/>
              </w:rPr>
            </w:pPr>
            <w:r>
              <w:rPr>
                <w:spacing w:val="-3"/>
                <w:sz w:val="21"/>
                <w:szCs w:val="21"/>
              </w:rPr>
              <w:t>放喷管线出口位置修建燃烧池， 建挡墙较小热辐射</w:t>
            </w:r>
            <w:r>
              <w:rPr>
                <w:spacing w:val="-4"/>
                <w:sz w:val="21"/>
                <w:szCs w:val="21"/>
              </w:rPr>
              <w:t>影响。对热辐射破坏的</w:t>
            </w:r>
            <w:r>
              <w:rPr>
                <w:sz w:val="21"/>
                <w:szCs w:val="21"/>
              </w:rPr>
              <w:t xml:space="preserve"> 植被进行补偿。井场西北面设置耕植土堆放区，临时堆放占地</w:t>
            </w:r>
            <w:r>
              <w:rPr>
                <w:spacing w:val="-1"/>
                <w:sz w:val="21"/>
                <w:szCs w:val="21"/>
              </w:rPr>
              <w:t>清理表层耕</w:t>
            </w:r>
            <w:r>
              <w:rPr>
                <w:sz w:val="21"/>
                <w:szCs w:val="21"/>
              </w:rPr>
              <w:t xml:space="preserve"> </w:t>
            </w:r>
            <w:r>
              <w:rPr>
                <w:spacing w:val="-3"/>
                <w:sz w:val="21"/>
                <w:szCs w:val="21"/>
              </w:rPr>
              <w:t>植土用于完钻后回填、复垦。井场表面硬化，</w:t>
            </w:r>
            <w:r>
              <w:rPr>
                <w:spacing w:val="-14"/>
                <w:sz w:val="21"/>
                <w:szCs w:val="21"/>
              </w:rPr>
              <w:t xml:space="preserve"> </w:t>
            </w:r>
            <w:r>
              <w:rPr>
                <w:spacing w:val="-3"/>
                <w:sz w:val="21"/>
                <w:szCs w:val="21"/>
              </w:rPr>
              <w:t>设置挡墙、排水沟。耕植土</w:t>
            </w:r>
            <w:r>
              <w:rPr>
                <w:sz w:val="21"/>
                <w:szCs w:val="21"/>
              </w:rPr>
              <w:t xml:space="preserve"> 堆放区较低区域修建挡土墙，井场土边坡区域、道路土边坡区</w:t>
            </w:r>
            <w:r>
              <w:rPr>
                <w:spacing w:val="-1"/>
                <w:sz w:val="21"/>
                <w:szCs w:val="21"/>
              </w:rPr>
              <w:t>域、耕植土</w:t>
            </w:r>
            <w:r>
              <w:rPr>
                <w:sz w:val="21"/>
                <w:szCs w:val="21"/>
              </w:rPr>
              <w:t xml:space="preserve"> 堆放区在土建工程完工后，及时播撒草种，防止地表水冲刷造</w:t>
            </w:r>
            <w:r>
              <w:rPr>
                <w:spacing w:val="-1"/>
                <w:sz w:val="21"/>
                <w:szCs w:val="21"/>
              </w:rPr>
              <w:t>成水土流失</w:t>
            </w:r>
            <w:r>
              <w:rPr>
                <w:sz w:val="21"/>
                <w:szCs w:val="21"/>
              </w:rPr>
              <w:t xml:space="preserve"> </w:t>
            </w:r>
            <w:r>
              <w:rPr>
                <w:spacing w:val="-5"/>
                <w:sz w:val="21"/>
                <w:szCs w:val="21"/>
              </w:rPr>
              <w:t>和边坡失稳。禁砍伐野外植被， 严格划定施工作业范围。</w:t>
            </w:r>
          </w:p>
        </w:tc>
        <w:tc>
          <w:tcPr>
            <w:tcW w:w="2831"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66" w:lineRule="auto"/>
              <w:ind w:left="61" w:firstLine="34"/>
              <w:rPr>
                <w:sz w:val="21"/>
                <w:szCs w:val="21"/>
              </w:rPr>
            </w:pPr>
            <w:r>
              <w:rPr>
                <w:spacing w:val="-7"/>
                <w:sz w:val="21"/>
                <w:szCs w:val="21"/>
              </w:rPr>
              <w:t xml:space="preserve">占地恢复原有土地利用性质； </w:t>
            </w:r>
            <w:r>
              <w:rPr>
                <w:spacing w:val="-5"/>
                <w:sz w:val="21"/>
                <w:szCs w:val="21"/>
              </w:rPr>
              <w:t>复垦后应满足《土地复垦质量</w:t>
            </w:r>
            <w:r>
              <w:rPr>
                <w:spacing w:val="4"/>
                <w:sz w:val="21"/>
                <w:szCs w:val="21"/>
              </w:rPr>
              <w:t xml:space="preserve">  </w:t>
            </w:r>
            <w:r>
              <w:rPr>
                <w:spacing w:val="-5"/>
                <w:sz w:val="21"/>
                <w:szCs w:val="21"/>
              </w:rPr>
              <w:t>控制标准》（</w:t>
            </w:r>
            <w:r>
              <w:rPr>
                <w:rFonts w:ascii="Times New Roman" w:hAnsi="Times New Roman" w:eastAsia="Times New Roman" w:cs="Times New Roman"/>
                <w:spacing w:val="-5"/>
                <w:sz w:val="21"/>
                <w:szCs w:val="21"/>
              </w:rPr>
              <w:t>TD/T1036-2013</w:t>
            </w:r>
            <w:r>
              <w:rPr>
                <w:spacing w:val="-5"/>
                <w:sz w:val="21"/>
                <w:szCs w:val="21"/>
              </w:rPr>
              <w:t>）</w:t>
            </w:r>
          </w:p>
          <w:p>
            <w:pPr>
              <w:pStyle w:val="6"/>
              <w:spacing w:before="75" w:line="221" w:lineRule="auto"/>
              <w:ind w:left="812"/>
              <w:rPr>
                <w:sz w:val="21"/>
                <w:szCs w:val="21"/>
              </w:rPr>
            </w:pPr>
            <w:r>
              <w:rPr>
                <w:spacing w:val="-5"/>
                <w:sz w:val="21"/>
                <w:szCs w:val="21"/>
              </w:rPr>
              <w:t>中规定的要求</w:t>
            </w:r>
          </w:p>
        </w:tc>
        <w:tc>
          <w:tcPr>
            <w:tcW w:w="852"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0" w:hRule="atLeast"/>
        </w:trPr>
        <w:tc>
          <w:tcPr>
            <w:tcW w:w="1588" w:type="dxa"/>
            <w:vMerge w:val="continue"/>
            <w:tcBorders>
              <w:top w:val="nil"/>
            </w:tcBorders>
            <w:vAlign w:val="top"/>
          </w:tcPr>
          <w:p>
            <w:pPr>
              <w:rPr>
                <w:rFonts w:ascii="Arial"/>
                <w:sz w:val="21"/>
              </w:rPr>
            </w:pPr>
          </w:p>
        </w:tc>
        <w:tc>
          <w:tcPr>
            <w:tcW w:w="119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8" w:line="221" w:lineRule="auto"/>
              <w:ind w:left="183"/>
              <w:rPr>
                <w:sz w:val="21"/>
                <w:szCs w:val="21"/>
              </w:rPr>
            </w:pPr>
            <w:r>
              <w:rPr>
                <w:spacing w:val="-2"/>
                <w:sz w:val="21"/>
                <w:szCs w:val="21"/>
              </w:rPr>
              <w:t>生态恢复</w:t>
            </w:r>
          </w:p>
        </w:tc>
        <w:tc>
          <w:tcPr>
            <w:tcW w:w="6913" w:type="dxa"/>
            <w:vAlign w:val="top"/>
          </w:tcPr>
          <w:p>
            <w:pPr>
              <w:pStyle w:val="6"/>
              <w:spacing w:before="33" w:line="270" w:lineRule="auto"/>
              <w:ind w:left="58" w:firstLine="1"/>
              <w:rPr>
                <w:sz w:val="21"/>
                <w:szCs w:val="21"/>
              </w:rPr>
            </w:pPr>
            <w:r>
              <w:rPr>
                <w:spacing w:val="-1"/>
                <w:sz w:val="21"/>
                <w:szCs w:val="21"/>
              </w:rPr>
              <w:t>根据《土地管理法》规定相关地方规定对工程占地进行补偿。严格划定施</w:t>
            </w:r>
            <w:r>
              <w:rPr>
                <w:spacing w:val="3"/>
                <w:sz w:val="21"/>
                <w:szCs w:val="21"/>
              </w:rPr>
              <w:t xml:space="preserve">  </w:t>
            </w:r>
            <w:r>
              <w:rPr>
                <w:spacing w:val="-6"/>
                <w:sz w:val="21"/>
                <w:szCs w:val="21"/>
              </w:rPr>
              <w:t>工作业范围，严禁砍伐野外植被。板房搬迁后， 进行土地复垦、植被恢复。</w:t>
            </w:r>
            <w:r>
              <w:rPr>
                <w:spacing w:val="17"/>
                <w:sz w:val="21"/>
                <w:szCs w:val="21"/>
              </w:rPr>
              <w:t xml:space="preserve"> </w:t>
            </w:r>
            <w:r>
              <w:rPr>
                <w:spacing w:val="-3"/>
                <w:sz w:val="21"/>
                <w:szCs w:val="21"/>
              </w:rPr>
              <w:t>①临时用地先清除地表的建筑，再用井场建设时的表层耕植土作为种植土，</w:t>
            </w:r>
            <w:r>
              <w:rPr>
                <w:spacing w:val="3"/>
                <w:sz w:val="21"/>
                <w:szCs w:val="21"/>
              </w:rPr>
              <w:t xml:space="preserve"> </w:t>
            </w:r>
            <w:r>
              <w:rPr>
                <w:spacing w:val="-4"/>
                <w:sz w:val="21"/>
                <w:szCs w:val="21"/>
              </w:rPr>
              <w:t>进行植被恢复。</w:t>
            </w:r>
          </w:p>
          <w:p>
            <w:pPr>
              <w:pStyle w:val="6"/>
              <w:spacing w:before="76" w:line="265" w:lineRule="auto"/>
              <w:ind w:left="58" w:right="52"/>
              <w:rPr>
                <w:sz w:val="21"/>
                <w:szCs w:val="21"/>
              </w:rPr>
            </w:pPr>
            <w:r>
              <w:rPr>
                <w:spacing w:val="-3"/>
                <w:sz w:val="21"/>
                <w:szCs w:val="21"/>
              </w:rPr>
              <w:t>② 完钻后及时对井场以及临时设施（生活区）</w:t>
            </w:r>
            <w:r>
              <w:rPr>
                <w:spacing w:val="-36"/>
                <w:sz w:val="21"/>
                <w:szCs w:val="21"/>
              </w:rPr>
              <w:t xml:space="preserve"> </w:t>
            </w:r>
            <w:r>
              <w:rPr>
                <w:spacing w:val="-3"/>
                <w:sz w:val="21"/>
                <w:szCs w:val="21"/>
              </w:rPr>
              <w:t>、清洁生产操作平台、施工</w:t>
            </w:r>
            <w:r>
              <w:rPr>
                <w:sz w:val="21"/>
                <w:szCs w:val="21"/>
              </w:rPr>
              <w:t xml:space="preserve"> </w:t>
            </w:r>
            <w:r>
              <w:rPr>
                <w:spacing w:val="-3"/>
                <w:sz w:val="21"/>
                <w:szCs w:val="21"/>
              </w:rPr>
              <w:t>道路等，进行生态恢复，</w:t>
            </w:r>
            <w:r>
              <w:rPr>
                <w:spacing w:val="-17"/>
                <w:sz w:val="21"/>
                <w:szCs w:val="21"/>
              </w:rPr>
              <w:t xml:space="preserve"> </w:t>
            </w:r>
            <w:r>
              <w:rPr>
                <w:spacing w:val="-3"/>
                <w:sz w:val="21"/>
                <w:szCs w:val="21"/>
              </w:rPr>
              <w:t xml:space="preserve">可恢复为旱地、林地；恢复用土利用钻前工程施 </w:t>
            </w:r>
            <w:r>
              <w:rPr>
                <w:spacing w:val="-5"/>
                <w:sz w:val="21"/>
                <w:szCs w:val="21"/>
              </w:rPr>
              <w:t>工时剥离的表层耕植土，</w:t>
            </w:r>
            <w:r>
              <w:rPr>
                <w:spacing w:val="-14"/>
                <w:sz w:val="21"/>
                <w:szCs w:val="21"/>
              </w:rPr>
              <w:t xml:space="preserve"> </w:t>
            </w:r>
            <w:r>
              <w:rPr>
                <w:spacing w:val="-5"/>
                <w:sz w:val="21"/>
                <w:szCs w:val="21"/>
              </w:rPr>
              <w:t>表层耕植土放置在表层。</w:t>
            </w:r>
          </w:p>
          <w:p>
            <w:pPr>
              <w:pStyle w:val="6"/>
              <w:spacing w:before="74" w:line="271" w:lineRule="auto"/>
              <w:ind w:left="60" w:hanging="2"/>
              <w:rPr>
                <w:sz w:val="21"/>
                <w:szCs w:val="21"/>
              </w:rPr>
            </w:pPr>
            <w:r>
              <w:rPr>
                <w:spacing w:val="-6"/>
                <w:sz w:val="21"/>
                <w:szCs w:val="21"/>
              </w:rPr>
              <w:t>③ 完钻后对燃烧池、对集酸池进行覆土回填，种植普通杂草绿化恢复生态，</w:t>
            </w:r>
            <w:r>
              <w:rPr>
                <w:spacing w:val="17"/>
                <w:sz w:val="21"/>
                <w:szCs w:val="21"/>
              </w:rPr>
              <w:t xml:space="preserve"> </w:t>
            </w:r>
            <w:r>
              <w:rPr>
                <w:spacing w:val="-4"/>
                <w:sz w:val="21"/>
                <w:szCs w:val="21"/>
              </w:rPr>
              <w:t>覆土回填底层采用的砾石覆盖回填， 回填厚度为</w:t>
            </w:r>
            <w:r>
              <w:rPr>
                <w:spacing w:val="-44"/>
                <w:sz w:val="21"/>
                <w:szCs w:val="21"/>
              </w:rPr>
              <w:t xml:space="preserve"> </w:t>
            </w:r>
            <w:r>
              <w:rPr>
                <w:rFonts w:ascii="Times New Roman" w:hAnsi="Times New Roman" w:eastAsia="Times New Roman" w:cs="Times New Roman"/>
                <w:spacing w:val="-4"/>
                <w:sz w:val="21"/>
                <w:szCs w:val="21"/>
              </w:rPr>
              <w:t>30cm</w:t>
            </w:r>
            <w:r>
              <w:rPr>
                <w:spacing w:val="-4"/>
                <w:sz w:val="21"/>
                <w:szCs w:val="21"/>
              </w:rPr>
              <w:t>；中间层采用</w:t>
            </w:r>
            <w:r>
              <w:rPr>
                <w:spacing w:val="-5"/>
                <w:sz w:val="21"/>
                <w:szCs w:val="21"/>
              </w:rPr>
              <w:t>厚度为</w:t>
            </w:r>
            <w:r>
              <w:rPr>
                <w:sz w:val="21"/>
                <w:szCs w:val="21"/>
              </w:rPr>
              <w:t xml:space="preserve"> </w:t>
            </w:r>
            <w:r>
              <w:rPr>
                <w:rFonts w:ascii="Times New Roman" w:hAnsi="Times New Roman" w:eastAsia="Times New Roman" w:cs="Times New Roman"/>
                <w:spacing w:val="-2"/>
                <w:sz w:val="21"/>
                <w:szCs w:val="21"/>
              </w:rPr>
              <w:t>15cm</w:t>
            </w:r>
            <w:r>
              <w:rPr>
                <w:rFonts w:ascii="Times New Roman" w:hAnsi="Times New Roman" w:eastAsia="Times New Roman" w:cs="Times New Roman"/>
                <w:spacing w:val="25"/>
                <w:sz w:val="21"/>
                <w:szCs w:val="21"/>
              </w:rPr>
              <w:t xml:space="preserve"> </w:t>
            </w:r>
            <w:r>
              <w:rPr>
                <w:spacing w:val="-2"/>
                <w:sz w:val="21"/>
                <w:szCs w:val="21"/>
              </w:rPr>
              <w:t>的粗砂石土回填；顶层采用厚度为</w:t>
            </w:r>
            <w:r>
              <w:rPr>
                <w:spacing w:val="-44"/>
                <w:sz w:val="21"/>
                <w:szCs w:val="21"/>
              </w:rPr>
              <w:t xml:space="preserve"> </w:t>
            </w:r>
            <w:r>
              <w:rPr>
                <w:rFonts w:ascii="Times New Roman" w:hAnsi="Times New Roman" w:eastAsia="Times New Roman" w:cs="Times New Roman"/>
                <w:spacing w:val="-2"/>
                <w:sz w:val="21"/>
                <w:szCs w:val="21"/>
              </w:rPr>
              <w:t>35cm</w:t>
            </w:r>
            <w:r>
              <w:rPr>
                <w:rFonts w:ascii="Times New Roman" w:hAnsi="Times New Roman" w:eastAsia="Times New Roman" w:cs="Times New Roman"/>
                <w:spacing w:val="25"/>
                <w:sz w:val="21"/>
                <w:szCs w:val="21"/>
              </w:rPr>
              <w:t xml:space="preserve"> </w:t>
            </w:r>
            <w:r>
              <w:rPr>
                <w:spacing w:val="-2"/>
                <w:sz w:val="21"/>
                <w:szCs w:val="21"/>
              </w:rPr>
              <w:t>的预先剥离的表土进行覆盖</w:t>
            </w:r>
            <w:r>
              <w:rPr>
                <w:sz w:val="21"/>
                <w:szCs w:val="21"/>
              </w:rPr>
              <w:t xml:space="preserve">  </w:t>
            </w:r>
            <w:r>
              <w:rPr>
                <w:spacing w:val="-2"/>
                <w:sz w:val="21"/>
                <w:szCs w:val="21"/>
              </w:rPr>
              <w:t>（取土来自井场设置的耕植土堆放区）。</w:t>
            </w:r>
          </w:p>
          <w:p>
            <w:pPr>
              <w:pStyle w:val="6"/>
              <w:spacing w:before="75" w:line="265" w:lineRule="auto"/>
              <w:ind w:left="59" w:right="130" w:hanging="1"/>
              <w:rPr>
                <w:sz w:val="21"/>
                <w:szCs w:val="21"/>
              </w:rPr>
            </w:pPr>
            <w:r>
              <w:rPr>
                <w:spacing w:val="-3"/>
                <w:sz w:val="21"/>
                <w:szCs w:val="21"/>
              </w:rPr>
              <w:t>④完钻后，</w:t>
            </w:r>
            <w:r>
              <w:rPr>
                <w:spacing w:val="-11"/>
                <w:sz w:val="21"/>
                <w:szCs w:val="21"/>
              </w:rPr>
              <w:t xml:space="preserve"> </w:t>
            </w:r>
            <w:r>
              <w:rPr>
                <w:spacing w:val="-3"/>
                <w:sz w:val="21"/>
                <w:szCs w:val="21"/>
              </w:rPr>
              <w:t>对原为林地的占地选择优良的乡土树种和已经适生的引进树草</w:t>
            </w:r>
            <w:r>
              <w:rPr>
                <w:sz w:val="21"/>
                <w:szCs w:val="21"/>
              </w:rPr>
              <w:t xml:space="preserve"> 种种植，应以乔、灌、草结合的方式对临时占地范围内的植被进</w:t>
            </w:r>
            <w:r>
              <w:rPr>
                <w:spacing w:val="-1"/>
                <w:sz w:val="21"/>
                <w:szCs w:val="21"/>
              </w:rPr>
              <w:t>行恢复；</w:t>
            </w:r>
            <w:r>
              <w:rPr>
                <w:sz w:val="21"/>
                <w:szCs w:val="21"/>
              </w:rPr>
              <w:t xml:space="preserve"> </w:t>
            </w:r>
            <w:r>
              <w:rPr>
                <w:spacing w:val="-1"/>
                <w:sz w:val="21"/>
                <w:szCs w:val="21"/>
              </w:rPr>
              <w:t>耕地和林地的补偿措施按照相关法规实行。</w:t>
            </w:r>
          </w:p>
          <w:p>
            <w:pPr>
              <w:pStyle w:val="6"/>
              <w:spacing w:before="77" w:line="218" w:lineRule="auto"/>
              <w:ind w:left="58"/>
              <w:rPr>
                <w:sz w:val="21"/>
                <w:szCs w:val="21"/>
              </w:rPr>
            </w:pPr>
            <w:r>
              <w:rPr>
                <w:sz w:val="21"/>
                <w:szCs w:val="21"/>
              </w:rPr>
              <w:t>⑤对临时占地耕地区域的土壤进行翻耕、平整及培肥改良。满足《土地复</w:t>
            </w:r>
          </w:p>
        </w:tc>
        <w:tc>
          <w:tcPr>
            <w:tcW w:w="2831"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bl>
    <w:p>
      <w:pPr>
        <w:pStyle w:val="2"/>
        <w:rPr>
          <w:sz w:val="21"/>
        </w:rPr>
      </w:pPr>
    </w:p>
    <w:p>
      <w:pPr>
        <w:rPr>
          <w:sz w:val="21"/>
          <w:szCs w:val="21"/>
        </w:rPr>
        <w:sectPr>
          <w:footerReference r:id="rId155" w:type="default"/>
          <w:pgSz w:w="16839" w:h="11907"/>
          <w:pgMar w:top="400" w:right="1358" w:bottom="1181" w:left="1360" w:header="0" w:footer="920" w:gutter="0"/>
          <w:cols w:space="720" w:num="1"/>
        </w:sectPr>
      </w:pPr>
    </w:p>
    <w:p>
      <w:pPr>
        <w:spacing w:before="13"/>
      </w:pPr>
    </w:p>
    <w:p>
      <w:pPr>
        <w:spacing w:before="13"/>
      </w:pPr>
    </w:p>
    <w:p>
      <w:pPr>
        <w:spacing w:before="13"/>
      </w:pPr>
    </w:p>
    <w:p>
      <w:pPr>
        <w:spacing w:before="13"/>
      </w:pPr>
    </w:p>
    <w:tbl>
      <w:tblPr>
        <w:tblStyle w:val="5"/>
        <w:tblW w:w="141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1197"/>
        <w:gridCol w:w="6913"/>
        <w:gridCol w:w="2831"/>
        <w:gridCol w:w="852"/>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88" w:type="dxa"/>
            <w:vAlign w:val="top"/>
          </w:tcPr>
          <w:p>
            <w:pPr>
              <w:rPr>
                <w:rFonts w:ascii="Arial"/>
                <w:sz w:val="21"/>
              </w:rPr>
            </w:pPr>
          </w:p>
        </w:tc>
        <w:tc>
          <w:tcPr>
            <w:tcW w:w="1197" w:type="dxa"/>
            <w:vAlign w:val="top"/>
          </w:tcPr>
          <w:p>
            <w:pPr>
              <w:rPr>
                <w:rFonts w:ascii="Arial"/>
                <w:sz w:val="21"/>
              </w:rPr>
            </w:pPr>
          </w:p>
        </w:tc>
        <w:tc>
          <w:tcPr>
            <w:tcW w:w="6913" w:type="dxa"/>
            <w:vAlign w:val="top"/>
          </w:tcPr>
          <w:p>
            <w:pPr>
              <w:pStyle w:val="6"/>
              <w:spacing w:before="34" w:line="221" w:lineRule="auto"/>
              <w:ind w:left="59"/>
              <w:rPr>
                <w:sz w:val="21"/>
                <w:szCs w:val="21"/>
              </w:rPr>
            </w:pPr>
            <w:r>
              <w:rPr>
                <w:sz w:val="21"/>
                <w:szCs w:val="21"/>
              </w:rPr>
              <w:t>垦质量控制标准》（</w:t>
            </w:r>
            <w:r>
              <w:rPr>
                <w:rFonts w:ascii="Times New Roman" w:hAnsi="Times New Roman" w:eastAsia="Times New Roman" w:cs="Times New Roman"/>
                <w:sz w:val="21"/>
                <w:szCs w:val="21"/>
              </w:rPr>
              <w:t>TD/T1036-2013</w:t>
            </w:r>
            <w:r>
              <w:rPr>
                <w:sz w:val="21"/>
                <w:szCs w:val="21"/>
              </w:rPr>
              <w:t>）中规</w:t>
            </w:r>
            <w:r>
              <w:rPr>
                <w:spacing w:val="-1"/>
                <w:sz w:val="21"/>
                <w:szCs w:val="21"/>
              </w:rPr>
              <w:t>定的要求。</w:t>
            </w:r>
          </w:p>
        </w:tc>
        <w:tc>
          <w:tcPr>
            <w:tcW w:w="2831" w:type="dxa"/>
            <w:vAlign w:val="top"/>
          </w:tcPr>
          <w:p>
            <w:pPr>
              <w:rPr>
                <w:rFonts w:ascii="Arial"/>
                <w:sz w:val="21"/>
              </w:rPr>
            </w:pPr>
          </w:p>
        </w:tc>
        <w:tc>
          <w:tcPr>
            <w:tcW w:w="852" w:type="dxa"/>
            <w:vAlign w:val="top"/>
          </w:tcPr>
          <w:p>
            <w:pPr>
              <w:rPr>
                <w:rFonts w:ascii="Arial"/>
                <w:sz w:val="21"/>
              </w:rPr>
            </w:pPr>
          </w:p>
        </w:tc>
        <w:tc>
          <w:tcPr>
            <w:tcW w:w="7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88" w:type="dxa"/>
            <w:vAlign w:val="top"/>
          </w:tcPr>
          <w:p>
            <w:pPr>
              <w:pStyle w:val="6"/>
              <w:spacing w:before="36" w:line="221" w:lineRule="auto"/>
              <w:ind w:left="382"/>
              <w:rPr>
                <w:sz w:val="21"/>
                <w:szCs w:val="21"/>
              </w:rPr>
            </w:pPr>
            <w:r>
              <w:rPr>
                <w:spacing w:val="-2"/>
                <w:sz w:val="21"/>
                <w:szCs w:val="21"/>
              </w:rPr>
              <w:t>水生生态</w:t>
            </w:r>
          </w:p>
        </w:tc>
        <w:tc>
          <w:tcPr>
            <w:tcW w:w="8110" w:type="dxa"/>
            <w:gridSpan w:val="2"/>
            <w:vAlign w:val="top"/>
          </w:tcPr>
          <w:p>
            <w:pPr>
              <w:spacing w:before="74" w:line="233" w:lineRule="auto"/>
              <w:ind w:left="40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831" w:type="dxa"/>
            <w:vAlign w:val="top"/>
          </w:tcPr>
          <w:p>
            <w:pPr>
              <w:spacing w:before="74" w:line="233" w:lineRule="auto"/>
              <w:ind w:left="138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4"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Align w:val="top"/>
          </w:tcPr>
          <w:p>
            <w:pPr>
              <w:spacing w:before="74"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8"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21" w:lineRule="auto"/>
              <w:ind w:left="485"/>
              <w:rPr>
                <w:sz w:val="21"/>
                <w:szCs w:val="21"/>
              </w:rPr>
            </w:pPr>
            <w:r>
              <w:rPr>
                <w:spacing w:val="-2"/>
                <w:sz w:val="21"/>
                <w:szCs w:val="21"/>
              </w:rPr>
              <w:t>地表水</w:t>
            </w:r>
          </w:p>
          <w:p>
            <w:pPr>
              <w:pStyle w:val="6"/>
              <w:spacing w:before="75" w:line="221" w:lineRule="auto"/>
              <w:ind w:left="591"/>
              <w:rPr>
                <w:sz w:val="21"/>
                <w:szCs w:val="21"/>
              </w:rPr>
            </w:pPr>
            <w:r>
              <w:rPr>
                <w:spacing w:val="-2"/>
                <w:sz w:val="21"/>
                <w:szCs w:val="21"/>
              </w:rPr>
              <w:t>环境</w:t>
            </w:r>
          </w:p>
        </w:tc>
        <w:tc>
          <w:tcPr>
            <w:tcW w:w="1197" w:type="dxa"/>
            <w:vMerge w:val="restart"/>
            <w:tcBorders>
              <w:bottom w:val="nil"/>
            </w:tcBorders>
            <w:vAlign w:val="top"/>
          </w:tcPr>
          <w:p>
            <w:pPr>
              <w:pStyle w:val="6"/>
              <w:spacing w:before="48" w:line="327" w:lineRule="exact"/>
              <w:ind w:left="393"/>
              <w:rPr>
                <w:sz w:val="21"/>
                <w:szCs w:val="21"/>
              </w:rPr>
            </w:pPr>
            <w:r>
              <w:rPr>
                <w:spacing w:val="-2"/>
                <w:position w:val="8"/>
                <w:sz w:val="21"/>
                <w:szCs w:val="21"/>
              </w:rPr>
              <w:t>钻前</w:t>
            </w:r>
          </w:p>
          <w:p>
            <w:pPr>
              <w:pStyle w:val="6"/>
              <w:spacing w:line="221" w:lineRule="auto"/>
              <w:ind w:left="395"/>
              <w:rPr>
                <w:sz w:val="21"/>
                <w:szCs w:val="21"/>
              </w:rPr>
            </w:pPr>
            <w:r>
              <w:rPr>
                <w:spacing w:val="-3"/>
                <w:sz w:val="21"/>
                <w:szCs w:val="21"/>
              </w:rPr>
              <w:t>工程</w:t>
            </w:r>
          </w:p>
        </w:tc>
        <w:tc>
          <w:tcPr>
            <w:tcW w:w="6913" w:type="dxa"/>
            <w:vAlign w:val="top"/>
          </w:tcPr>
          <w:p>
            <w:pPr>
              <w:pStyle w:val="6"/>
              <w:spacing w:before="36" w:line="220" w:lineRule="auto"/>
              <w:jc w:val="right"/>
              <w:rPr>
                <w:sz w:val="21"/>
                <w:szCs w:val="21"/>
              </w:rPr>
            </w:pPr>
            <w:r>
              <w:rPr>
                <w:spacing w:val="-5"/>
                <w:sz w:val="21"/>
                <w:szCs w:val="21"/>
              </w:rPr>
              <w:t>钻前施工人员产生的生活污水经环保厕所收集处置后，</w:t>
            </w:r>
            <w:r>
              <w:rPr>
                <w:spacing w:val="-24"/>
                <w:sz w:val="21"/>
                <w:szCs w:val="21"/>
              </w:rPr>
              <w:t xml:space="preserve"> </w:t>
            </w:r>
            <w:r>
              <w:rPr>
                <w:spacing w:val="-5"/>
                <w:sz w:val="21"/>
                <w:szCs w:val="21"/>
              </w:rPr>
              <w:t>用作农肥，不外排。</w:t>
            </w:r>
          </w:p>
        </w:tc>
        <w:tc>
          <w:tcPr>
            <w:tcW w:w="283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221" w:lineRule="auto"/>
              <w:ind w:left="897"/>
              <w:rPr>
                <w:sz w:val="21"/>
                <w:szCs w:val="21"/>
              </w:rPr>
            </w:pPr>
            <w:r>
              <w:rPr>
                <w:spacing w:val="-2"/>
                <w:sz w:val="21"/>
                <w:szCs w:val="21"/>
              </w:rPr>
              <w:t>无废水外排</w:t>
            </w:r>
          </w:p>
        </w:tc>
        <w:tc>
          <w:tcPr>
            <w:tcW w:w="85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8" w:type="dxa"/>
            <w:vMerge w:val="continue"/>
            <w:tcBorders>
              <w:top w:val="nil"/>
              <w:bottom w:val="nil"/>
            </w:tcBorders>
            <w:vAlign w:val="top"/>
          </w:tcPr>
          <w:p>
            <w:pPr>
              <w:rPr>
                <w:rFonts w:ascii="Arial"/>
                <w:sz w:val="21"/>
              </w:rPr>
            </w:pPr>
          </w:p>
        </w:tc>
        <w:tc>
          <w:tcPr>
            <w:tcW w:w="1197" w:type="dxa"/>
            <w:vMerge w:val="continue"/>
            <w:tcBorders>
              <w:top w:val="nil"/>
            </w:tcBorders>
            <w:vAlign w:val="top"/>
          </w:tcPr>
          <w:p>
            <w:pPr>
              <w:rPr>
                <w:rFonts w:ascii="Arial"/>
                <w:sz w:val="21"/>
              </w:rPr>
            </w:pPr>
          </w:p>
        </w:tc>
        <w:tc>
          <w:tcPr>
            <w:tcW w:w="6913" w:type="dxa"/>
            <w:vAlign w:val="top"/>
          </w:tcPr>
          <w:p>
            <w:pPr>
              <w:pStyle w:val="6"/>
              <w:spacing w:before="36" w:line="221" w:lineRule="auto"/>
              <w:jc w:val="right"/>
              <w:rPr>
                <w:sz w:val="21"/>
                <w:szCs w:val="21"/>
              </w:rPr>
            </w:pPr>
            <w:r>
              <w:rPr>
                <w:spacing w:val="-3"/>
                <w:sz w:val="21"/>
                <w:szCs w:val="21"/>
              </w:rPr>
              <w:t>钻前施工废水经隔油沉淀池收集处理后，回用于施工期抑尘洒水，不外排。</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588" w:type="dxa"/>
            <w:vMerge w:val="continue"/>
            <w:tcBorders>
              <w:top w:val="nil"/>
              <w:bottom w:val="nil"/>
            </w:tcBorders>
            <w:vAlign w:val="top"/>
          </w:tcPr>
          <w:p>
            <w:pPr>
              <w:rPr>
                <w:rFonts w:ascii="Arial"/>
                <w:sz w:val="21"/>
              </w:rPr>
            </w:pPr>
          </w:p>
        </w:tc>
        <w:tc>
          <w:tcPr>
            <w:tcW w:w="1197" w:type="dxa"/>
            <w:vMerge w:val="restart"/>
            <w:tcBorders>
              <w:bottom w:val="nil"/>
            </w:tcBorders>
            <w:vAlign w:val="top"/>
          </w:tcPr>
          <w:p>
            <w:pPr>
              <w:spacing w:line="456" w:lineRule="auto"/>
              <w:rPr>
                <w:rFonts w:ascii="Arial"/>
                <w:sz w:val="21"/>
              </w:rPr>
            </w:pPr>
          </w:p>
          <w:p>
            <w:pPr>
              <w:pStyle w:val="6"/>
              <w:spacing w:before="68" w:line="254" w:lineRule="auto"/>
              <w:ind w:left="395" w:right="70" w:hanging="319"/>
              <w:rPr>
                <w:sz w:val="21"/>
                <w:szCs w:val="21"/>
              </w:rPr>
            </w:pPr>
            <w:r>
              <w:rPr>
                <w:spacing w:val="-1"/>
                <w:sz w:val="21"/>
                <w:szCs w:val="21"/>
              </w:rPr>
              <w:t>钻井及完井</w:t>
            </w:r>
            <w:r>
              <w:rPr>
                <w:sz w:val="21"/>
                <w:szCs w:val="21"/>
              </w:rPr>
              <w:t xml:space="preserve"> </w:t>
            </w:r>
            <w:r>
              <w:rPr>
                <w:spacing w:val="-3"/>
                <w:sz w:val="21"/>
                <w:szCs w:val="21"/>
              </w:rPr>
              <w:t>期间</w:t>
            </w:r>
          </w:p>
        </w:tc>
        <w:tc>
          <w:tcPr>
            <w:tcW w:w="6913" w:type="dxa"/>
            <w:vAlign w:val="top"/>
          </w:tcPr>
          <w:p>
            <w:pPr>
              <w:pStyle w:val="6"/>
              <w:spacing w:before="31" w:line="265" w:lineRule="auto"/>
              <w:ind w:left="60" w:right="129"/>
              <w:jc w:val="both"/>
              <w:rPr>
                <w:sz w:val="21"/>
                <w:szCs w:val="21"/>
              </w:rPr>
            </w:pPr>
            <w:r>
              <w:rPr>
                <w:spacing w:val="-6"/>
                <w:sz w:val="21"/>
                <w:szCs w:val="21"/>
              </w:rPr>
              <w:t>井场清污分流，</w:t>
            </w:r>
            <w:r>
              <w:rPr>
                <w:spacing w:val="-15"/>
                <w:sz w:val="21"/>
                <w:szCs w:val="21"/>
              </w:rPr>
              <w:t xml:space="preserve"> </w:t>
            </w:r>
            <w:r>
              <w:rPr>
                <w:spacing w:val="-6"/>
                <w:sz w:val="21"/>
                <w:szCs w:val="21"/>
              </w:rPr>
              <w:t>修建清洁化操作场地；钻井废水经预处理后回用， 不可回</w:t>
            </w:r>
            <w:r>
              <w:rPr>
                <w:sz w:val="21"/>
                <w:szCs w:val="21"/>
              </w:rPr>
              <w:t xml:space="preserve"> 用部分与方井雨水和酸化废水、洗井废水定期用罐车拉运至四川</w:t>
            </w:r>
            <w:r>
              <w:rPr>
                <w:spacing w:val="-1"/>
                <w:sz w:val="21"/>
                <w:szCs w:val="21"/>
              </w:rPr>
              <w:t>瑞利生物</w:t>
            </w:r>
            <w:r>
              <w:rPr>
                <w:sz w:val="21"/>
                <w:szCs w:val="21"/>
              </w:rPr>
              <w:t xml:space="preserve"> </w:t>
            </w:r>
            <w:r>
              <w:rPr>
                <w:spacing w:val="-1"/>
                <w:sz w:val="21"/>
                <w:szCs w:val="21"/>
              </w:rPr>
              <w:t>科技有限公司处理，并建立转运联单制度。</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588" w:type="dxa"/>
            <w:vMerge w:val="continue"/>
            <w:tcBorders>
              <w:top w:val="nil"/>
            </w:tcBorders>
            <w:vAlign w:val="top"/>
          </w:tcPr>
          <w:p>
            <w:pPr>
              <w:rPr>
                <w:rFonts w:ascii="Arial"/>
                <w:sz w:val="21"/>
              </w:rPr>
            </w:pPr>
          </w:p>
        </w:tc>
        <w:tc>
          <w:tcPr>
            <w:tcW w:w="1197" w:type="dxa"/>
            <w:vMerge w:val="continue"/>
            <w:tcBorders>
              <w:top w:val="nil"/>
            </w:tcBorders>
            <w:vAlign w:val="top"/>
          </w:tcPr>
          <w:p>
            <w:pPr>
              <w:rPr>
                <w:rFonts w:ascii="Arial"/>
                <w:sz w:val="21"/>
              </w:rPr>
            </w:pPr>
          </w:p>
        </w:tc>
        <w:tc>
          <w:tcPr>
            <w:tcW w:w="6913" w:type="dxa"/>
            <w:vAlign w:val="top"/>
          </w:tcPr>
          <w:p>
            <w:pPr>
              <w:pStyle w:val="6"/>
              <w:spacing w:before="31" w:line="254" w:lineRule="auto"/>
              <w:ind w:left="62" w:right="129" w:hanging="2"/>
              <w:rPr>
                <w:sz w:val="21"/>
                <w:szCs w:val="21"/>
              </w:rPr>
            </w:pPr>
            <w:r>
              <w:rPr>
                <w:sz w:val="21"/>
                <w:szCs w:val="21"/>
              </w:rPr>
              <w:t>产生的生活污水经环保厕所收集处理后经罐车拉运至江陵镇污水</w:t>
            </w:r>
            <w:r>
              <w:rPr>
                <w:spacing w:val="-1"/>
                <w:sz w:val="21"/>
                <w:szCs w:val="21"/>
              </w:rPr>
              <w:t>处理厂处</w:t>
            </w:r>
            <w:r>
              <w:rPr>
                <w:sz w:val="21"/>
                <w:szCs w:val="21"/>
              </w:rPr>
              <w:t xml:space="preserve"> </w:t>
            </w:r>
            <w:r>
              <w:rPr>
                <w:spacing w:val="-2"/>
                <w:sz w:val="21"/>
                <w:szCs w:val="21"/>
              </w:rPr>
              <w:t>理达标后外排。</w:t>
            </w:r>
          </w:p>
        </w:tc>
        <w:tc>
          <w:tcPr>
            <w:tcW w:w="2831"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58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8" w:line="254" w:lineRule="auto"/>
              <w:ind w:left="695" w:right="51" w:hanging="630"/>
              <w:rPr>
                <w:sz w:val="21"/>
                <w:szCs w:val="21"/>
              </w:rPr>
            </w:pPr>
            <w:r>
              <w:rPr>
                <w:spacing w:val="-1"/>
                <w:sz w:val="21"/>
                <w:szCs w:val="21"/>
              </w:rPr>
              <w:t>地下水及土壤环</w:t>
            </w:r>
            <w:r>
              <w:rPr>
                <w:spacing w:val="1"/>
                <w:sz w:val="21"/>
                <w:szCs w:val="21"/>
              </w:rPr>
              <w:t xml:space="preserve"> </w:t>
            </w:r>
            <w:r>
              <w:rPr>
                <w:sz w:val="21"/>
                <w:szCs w:val="21"/>
              </w:rPr>
              <w:t>境</w:t>
            </w:r>
          </w:p>
        </w:tc>
        <w:tc>
          <w:tcPr>
            <w:tcW w:w="1197" w:type="dxa"/>
            <w:vAlign w:val="top"/>
          </w:tcPr>
          <w:p>
            <w:pPr>
              <w:spacing w:line="290" w:lineRule="auto"/>
              <w:rPr>
                <w:rFonts w:ascii="Arial"/>
                <w:sz w:val="21"/>
              </w:rPr>
            </w:pPr>
          </w:p>
          <w:p>
            <w:pPr>
              <w:pStyle w:val="6"/>
              <w:spacing w:before="68" w:line="221" w:lineRule="auto"/>
              <w:ind w:left="181"/>
              <w:rPr>
                <w:sz w:val="21"/>
                <w:szCs w:val="21"/>
              </w:rPr>
            </w:pPr>
            <w:r>
              <w:rPr>
                <w:spacing w:val="-1"/>
                <w:sz w:val="21"/>
                <w:szCs w:val="21"/>
              </w:rPr>
              <w:t>源头控制</w:t>
            </w:r>
          </w:p>
        </w:tc>
        <w:tc>
          <w:tcPr>
            <w:tcW w:w="6913" w:type="dxa"/>
            <w:vAlign w:val="top"/>
          </w:tcPr>
          <w:p>
            <w:pPr>
              <w:pStyle w:val="6"/>
              <w:spacing w:before="33" w:line="265" w:lineRule="auto"/>
              <w:ind w:left="60" w:right="130"/>
              <w:rPr>
                <w:sz w:val="21"/>
                <w:szCs w:val="21"/>
              </w:rPr>
            </w:pPr>
            <w:r>
              <w:rPr>
                <w:spacing w:val="-5"/>
                <w:sz w:val="21"/>
                <w:szCs w:val="21"/>
              </w:rPr>
              <w:t>井漏采用水泥堵漏。</w:t>
            </w:r>
            <w:r>
              <w:rPr>
                <w:spacing w:val="-15"/>
                <w:sz w:val="21"/>
                <w:szCs w:val="21"/>
              </w:rPr>
              <w:t xml:space="preserve"> </w:t>
            </w:r>
            <w:r>
              <w:rPr>
                <w:spacing w:val="-5"/>
                <w:sz w:val="21"/>
                <w:szCs w:val="21"/>
              </w:rPr>
              <w:t>一开段利用清水钻井液（加适量膨润土）</w:t>
            </w:r>
            <w:r>
              <w:rPr>
                <w:spacing w:val="-39"/>
                <w:sz w:val="21"/>
                <w:szCs w:val="21"/>
              </w:rPr>
              <w:t xml:space="preserve"> </w:t>
            </w:r>
            <w:r>
              <w:rPr>
                <w:spacing w:val="-5"/>
                <w:sz w:val="21"/>
                <w:szCs w:val="21"/>
              </w:rPr>
              <w:t>迅速钻进，</w:t>
            </w:r>
            <w:r>
              <w:rPr>
                <w:sz w:val="21"/>
                <w:szCs w:val="21"/>
              </w:rPr>
              <w:t xml:space="preserve"> </w:t>
            </w:r>
            <w:r>
              <w:rPr>
                <w:spacing w:val="-3"/>
                <w:sz w:val="21"/>
                <w:szCs w:val="21"/>
              </w:rPr>
              <w:t>有效避开浅层地下水存储地段， 随后下入套管，</w:t>
            </w:r>
            <w:r>
              <w:rPr>
                <w:spacing w:val="-4"/>
                <w:sz w:val="21"/>
                <w:szCs w:val="21"/>
              </w:rPr>
              <w:t>在套管的保护下能有效地</w:t>
            </w:r>
            <w:r>
              <w:rPr>
                <w:sz w:val="21"/>
                <w:szCs w:val="21"/>
              </w:rPr>
              <w:t xml:space="preserve"> </w:t>
            </w:r>
            <w:r>
              <w:rPr>
                <w:spacing w:val="-1"/>
                <w:sz w:val="21"/>
                <w:szCs w:val="21"/>
              </w:rPr>
              <w:t>保护浅层地下水。</w:t>
            </w:r>
          </w:p>
        </w:tc>
        <w:tc>
          <w:tcPr>
            <w:tcW w:w="2831"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8" w:line="231" w:lineRule="auto"/>
              <w:ind w:left="474" w:right="150" w:hanging="310"/>
              <w:rPr>
                <w:sz w:val="21"/>
                <w:szCs w:val="21"/>
              </w:rPr>
            </w:pPr>
            <w:r>
              <w:rPr>
                <w:spacing w:val="-1"/>
                <w:sz w:val="21"/>
                <w:szCs w:val="21"/>
              </w:rPr>
              <w:t>不对周边浅层地下水以及周</w:t>
            </w:r>
            <w:r>
              <w:rPr>
                <w:spacing w:val="2"/>
                <w:sz w:val="21"/>
                <w:szCs w:val="21"/>
              </w:rPr>
              <w:t xml:space="preserve"> </w:t>
            </w:r>
            <w:r>
              <w:rPr>
                <w:spacing w:val="-1"/>
                <w:sz w:val="21"/>
                <w:szCs w:val="21"/>
              </w:rPr>
              <w:t>边土壤造成污染影响</w:t>
            </w:r>
          </w:p>
        </w:tc>
        <w:tc>
          <w:tcPr>
            <w:tcW w:w="85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588" w:type="dxa"/>
            <w:vMerge w:val="continue"/>
            <w:tcBorders>
              <w:top w:val="nil"/>
              <w:bottom w:val="nil"/>
            </w:tcBorders>
            <w:vAlign w:val="top"/>
          </w:tcPr>
          <w:p>
            <w:pPr>
              <w:rPr>
                <w:rFonts w:ascii="Arial"/>
                <w:sz w:val="21"/>
              </w:rPr>
            </w:pPr>
          </w:p>
        </w:tc>
        <w:tc>
          <w:tcPr>
            <w:tcW w:w="1197" w:type="dxa"/>
            <w:vAlign w:val="top"/>
          </w:tcPr>
          <w:p>
            <w:pPr>
              <w:spacing w:line="343" w:lineRule="auto"/>
              <w:rPr>
                <w:rFonts w:ascii="Arial"/>
                <w:sz w:val="21"/>
              </w:rPr>
            </w:pPr>
          </w:p>
          <w:p>
            <w:pPr>
              <w:pStyle w:val="6"/>
              <w:spacing w:before="68" w:line="254" w:lineRule="auto"/>
              <w:ind w:left="496" w:right="70" w:hanging="420"/>
              <w:rPr>
                <w:sz w:val="21"/>
                <w:szCs w:val="21"/>
              </w:rPr>
            </w:pPr>
            <w:r>
              <w:rPr>
                <w:spacing w:val="-1"/>
                <w:sz w:val="21"/>
                <w:szCs w:val="21"/>
              </w:rPr>
              <w:t>井场分区防</w:t>
            </w:r>
            <w:r>
              <w:rPr>
                <w:sz w:val="21"/>
                <w:szCs w:val="21"/>
              </w:rPr>
              <w:t xml:space="preserve"> 渗</w:t>
            </w:r>
          </w:p>
        </w:tc>
        <w:tc>
          <w:tcPr>
            <w:tcW w:w="6913" w:type="dxa"/>
            <w:vAlign w:val="top"/>
          </w:tcPr>
          <w:p>
            <w:pPr>
              <w:pStyle w:val="6"/>
              <w:spacing w:before="32" w:line="233" w:lineRule="auto"/>
              <w:ind w:left="60" w:right="58"/>
              <w:rPr>
                <w:sz w:val="21"/>
                <w:szCs w:val="21"/>
              </w:rPr>
            </w:pPr>
            <w:r>
              <w:rPr>
                <w:spacing w:val="-1"/>
                <w:sz w:val="21"/>
                <w:szCs w:val="21"/>
              </w:rPr>
              <w:t>重点防渗区： 井场内井口、井架及设备基础区域、泥浆循环系</w:t>
            </w:r>
            <w:r>
              <w:rPr>
                <w:spacing w:val="-2"/>
                <w:sz w:val="21"/>
                <w:szCs w:val="21"/>
              </w:rPr>
              <w:t>统区、泥浆</w:t>
            </w:r>
            <w:r>
              <w:rPr>
                <w:sz w:val="21"/>
                <w:szCs w:val="21"/>
              </w:rPr>
              <w:t xml:space="preserve"> </w:t>
            </w:r>
            <w:r>
              <w:rPr>
                <w:spacing w:val="1"/>
                <w:sz w:val="21"/>
                <w:szCs w:val="21"/>
              </w:rPr>
              <w:t>材料堆存区、油水罐区、应急池、燃烧池、集酸池、清洁生产操作平台、</w:t>
            </w:r>
            <w:r>
              <w:rPr>
                <w:spacing w:val="9"/>
                <w:sz w:val="21"/>
                <w:szCs w:val="21"/>
              </w:rPr>
              <w:t xml:space="preserve"> </w:t>
            </w:r>
            <w:r>
              <w:rPr>
                <w:spacing w:val="-2"/>
                <w:sz w:val="21"/>
                <w:szCs w:val="21"/>
              </w:rPr>
              <w:t>泥浆储备罐区、隔油池、集液池等区域。</w:t>
            </w:r>
          </w:p>
          <w:p>
            <w:pPr>
              <w:pStyle w:val="6"/>
              <w:spacing w:before="22" w:line="221" w:lineRule="auto"/>
              <w:ind w:left="63"/>
              <w:rPr>
                <w:sz w:val="21"/>
                <w:szCs w:val="21"/>
              </w:rPr>
            </w:pPr>
            <w:r>
              <w:rPr>
                <w:sz w:val="21"/>
                <w:szCs w:val="21"/>
              </w:rPr>
              <w:t>一般防渗区：非设备基础区（包括清污分流排水沟）、环保</w:t>
            </w:r>
            <w:r>
              <w:rPr>
                <w:spacing w:val="-1"/>
                <w:sz w:val="21"/>
                <w:szCs w:val="21"/>
              </w:rPr>
              <w:t>厕所等区域。</w:t>
            </w:r>
          </w:p>
          <w:p>
            <w:pPr>
              <w:pStyle w:val="6"/>
              <w:spacing w:before="20" w:line="220" w:lineRule="auto"/>
              <w:ind w:left="64"/>
              <w:rPr>
                <w:sz w:val="21"/>
                <w:szCs w:val="21"/>
              </w:rPr>
            </w:pPr>
            <w:r>
              <w:rPr>
                <w:spacing w:val="-2"/>
                <w:sz w:val="21"/>
                <w:szCs w:val="21"/>
              </w:rPr>
              <w:t>简单防渗区：重点防渗和一般防渗外的区域。</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588" w:type="dxa"/>
            <w:vMerge w:val="continue"/>
            <w:tcBorders>
              <w:top w:val="nil"/>
            </w:tcBorders>
            <w:vAlign w:val="top"/>
          </w:tcPr>
          <w:p>
            <w:pPr>
              <w:rPr>
                <w:rFonts w:ascii="Arial"/>
                <w:sz w:val="21"/>
              </w:rPr>
            </w:pPr>
          </w:p>
        </w:tc>
        <w:tc>
          <w:tcPr>
            <w:tcW w:w="1197" w:type="dxa"/>
            <w:vAlign w:val="top"/>
          </w:tcPr>
          <w:p>
            <w:pPr>
              <w:spacing w:line="318" w:lineRule="auto"/>
              <w:rPr>
                <w:rFonts w:ascii="Arial"/>
                <w:sz w:val="21"/>
              </w:rPr>
            </w:pPr>
          </w:p>
          <w:p>
            <w:pPr>
              <w:pStyle w:val="6"/>
              <w:spacing w:before="68" w:line="221" w:lineRule="auto"/>
              <w:ind w:left="74"/>
              <w:rPr>
                <w:sz w:val="21"/>
                <w:szCs w:val="21"/>
              </w:rPr>
            </w:pPr>
            <w:r>
              <w:rPr>
                <w:spacing w:val="-1"/>
                <w:sz w:val="21"/>
                <w:szCs w:val="21"/>
              </w:rPr>
              <w:t>跟踪监测和</w:t>
            </w:r>
          </w:p>
          <w:p>
            <w:pPr>
              <w:pStyle w:val="6"/>
              <w:spacing w:before="74" w:line="223" w:lineRule="auto"/>
              <w:ind w:left="182"/>
              <w:rPr>
                <w:sz w:val="21"/>
                <w:szCs w:val="21"/>
              </w:rPr>
            </w:pPr>
            <w:r>
              <w:rPr>
                <w:spacing w:val="-2"/>
                <w:sz w:val="21"/>
                <w:szCs w:val="21"/>
              </w:rPr>
              <w:t>应急响应</w:t>
            </w:r>
          </w:p>
        </w:tc>
        <w:tc>
          <w:tcPr>
            <w:tcW w:w="6913" w:type="dxa"/>
            <w:vAlign w:val="top"/>
          </w:tcPr>
          <w:p>
            <w:pPr>
              <w:pStyle w:val="6"/>
              <w:spacing w:before="31" w:line="233" w:lineRule="auto"/>
              <w:ind w:left="58"/>
              <w:rPr>
                <w:sz w:val="21"/>
                <w:szCs w:val="21"/>
              </w:rPr>
            </w:pPr>
            <w:r>
              <w:rPr>
                <w:spacing w:val="-5"/>
                <w:sz w:val="21"/>
                <w:szCs w:val="21"/>
              </w:rPr>
              <w:t>将井场较近的地下水上游、下游共</w:t>
            </w:r>
            <w:r>
              <w:rPr>
                <w:spacing w:val="-46"/>
                <w:sz w:val="21"/>
                <w:szCs w:val="21"/>
              </w:rPr>
              <w:t xml:space="preserve"> </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40"/>
                <w:w w:val="101"/>
                <w:sz w:val="21"/>
                <w:szCs w:val="21"/>
              </w:rPr>
              <w:t xml:space="preserve"> </w:t>
            </w:r>
            <w:r>
              <w:rPr>
                <w:spacing w:val="-5"/>
                <w:sz w:val="21"/>
                <w:szCs w:val="21"/>
              </w:rPr>
              <w:t>口水井作为跟踪监测井；跟踪监测发现</w:t>
            </w:r>
            <w:r>
              <w:rPr>
                <w:sz w:val="21"/>
                <w:szCs w:val="21"/>
              </w:rPr>
              <w:t xml:space="preserve"> </w:t>
            </w:r>
            <w:r>
              <w:rPr>
                <w:spacing w:val="-2"/>
                <w:sz w:val="21"/>
                <w:szCs w:val="21"/>
              </w:rPr>
              <w:t xml:space="preserve">居民水井受到污染时应查找污染原因，发现渗漏的应临时抽干污水外运处  </w:t>
            </w:r>
            <w:r>
              <w:rPr>
                <w:spacing w:val="-5"/>
                <w:sz w:val="21"/>
                <w:szCs w:val="21"/>
              </w:rPr>
              <w:t>置，</w:t>
            </w:r>
            <w:r>
              <w:rPr>
                <w:spacing w:val="-48"/>
                <w:sz w:val="21"/>
                <w:szCs w:val="21"/>
              </w:rPr>
              <w:t xml:space="preserve"> </w:t>
            </w:r>
            <w:r>
              <w:rPr>
                <w:spacing w:val="-5"/>
                <w:sz w:val="21"/>
                <w:szCs w:val="21"/>
              </w:rPr>
              <w:t>并进行防渗补救，采取堵漏措施；对受污染的居民水</w:t>
            </w:r>
            <w:r>
              <w:rPr>
                <w:spacing w:val="-6"/>
                <w:sz w:val="21"/>
                <w:szCs w:val="21"/>
              </w:rPr>
              <w:t>井水源采取替代补</w:t>
            </w:r>
            <w:r>
              <w:rPr>
                <w:sz w:val="21"/>
                <w:szCs w:val="21"/>
              </w:rPr>
              <w:t xml:space="preserve"> </w:t>
            </w:r>
            <w:r>
              <w:rPr>
                <w:spacing w:val="-3"/>
                <w:sz w:val="21"/>
                <w:szCs w:val="21"/>
              </w:rPr>
              <w:t>偿方案，临时拉运当地场镇自来水或外购桶装水等方式解决居民用水问题，</w:t>
            </w:r>
            <w:r>
              <w:rPr>
                <w:spacing w:val="17"/>
                <w:sz w:val="21"/>
                <w:szCs w:val="21"/>
              </w:rPr>
              <w:t xml:space="preserve"> </w:t>
            </w:r>
            <w:r>
              <w:rPr>
                <w:spacing w:val="-1"/>
                <w:sz w:val="21"/>
                <w:szCs w:val="21"/>
              </w:rPr>
              <w:t>或在周边区域未受污染的区域重新打机井并安装供水管网到居民家中。</w:t>
            </w:r>
          </w:p>
        </w:tc>
        <w:tc>
          <w:tcPr>
            <w:tcW w:w="2831"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588" w:type="dxa"/>
            <w:vAlign w:val="top"/>
          </w:tcPr>
          <w:p>
            <w:pPr>
              <w:spacing w:line="290" w:lineRule="auto"/>
              <w:rPr>
                <w:rFonts w:ascii="Arial"/>
                <w:sz w:val="21"/>
              </w:rPr>
            </w:pPr>
          </w:p>
          <w:p>
            <w:pPr>
              <w:pStyle w:val="6"/>
              <w:spacing w:before="68" w:line="221" w:lineRule="auto"/>
              <w:ind w:left="489"/>
              <w:rPr>
                <w:sz w:val="21"/>
                <w:szCs w:val="21"/>
              </w:rPr>
            </w:pPr>
            <w:r>
              <w:rPr>
                <w:spacing w:val="-3"/>
                <w:sz w:val="21"/>
                <w:szCs w:val="21"/>
              </w:rPr>
              <w:t>声环境</w:t>
            </w:r>
          </w:p>
        </w:tc>
        <w:tc>
          <w:tcPr>
            <w:tcW w:w="8110" w:type="dxa"/>
            <w:gridSpan w:val="2"/>
            <w:vAlign w:val="top"/>
          </w:tcPr>
          <w:p>
            <w:pPr>
              <w:pStyle w:val="6"/>
              <w:spacing w:before="33" w:line="265" w:lineRule="auto"/>
              <w:ind w:left="62" w:right="62"/>
              <w:jc w:val="both"/>
              <w:rPr>
                <w:sz w:val="21"/>
                <w:szCs w:val="21"/>
              </w:rPr>
            </w:pPr>
            <w:r>
              <w:rPr>
                <w:spacing w:val="-3"/>
                <w:sz w:val="21"/>
                <w:szCs w:val="21"/>
              </w:rPr>
              <w:t>柴油机、发电机等高噪声设备置于房内隔声降噪； 设备安装基础敷设减振垫层和阻尼涂</w:t>
            </w:r>
            <w:r>
              <w:rPr>
                <w:spacing w:val="11"/>
                <w:sz w:val="21"/>
                <w:szCs w:val="21"/>
              </w:rPr>
              <w:t xml:space="preserve"> </w:t>
            </w:r>
            <w:r>
              <w:rPr>
                <w:sz w:val="21"/>
                <w:szCs w:val="21"/>
              </w:rPr>
              <w:t>料，减振降噪。对噪声影响超标的农户在通过临时租用房屋、临时撤离、加强沟通协调 等方式减轻噪声影响，取得居民谅解，避免</w:t>
            </w:r>
            <w:r>
              <w:rPr>
                <w:spacing w:val="-1"/>
                <w:sz w:val="21"/>
                <w:szCs w:val="21"/>
              </w:rPr>
              <w:t>环保纠纷。</w:t>
            </w:r>
          </w:p>
        </w:tc>
        <w:tc>
          <w:tcPr>
            <w:tcW w:w="2831" w:type="dxa"/>
            <w:vAlign w:val="top"/>
          </w:tcPr>
          <w:p>
            <w:pPr>
              <w:pStyle w:val="6"/>
              <w:spacing w:before="197" w:line="254" w:lineRule="auto"/>
              <w:ind w:left="1004" w:right="49" w:hanging="940"/>
              <w:rPr>
                <w:sz w:val="21"/>
                <w:szCs w:val="21"/>
              </w:rPr>
            </w:pPr>
            <w:r>
              <w:rPr>
                <w:spacing w:val="-2"/>
                <w:sz w:val="21"/>
                <w:szCs w:val="21"/>
              </w:rPr>
              <w:t>按要求设置建筑隔声，确保噪</w:t>
            </w:r>
            <w:r>
              <w:rPr>
                <w:spacing w:val="7"/>
                <w:sz w:val="21"/>
                <w:szCs w:val="21"/>
              </w:rPr>
              <w:t xml:space="preserve"> </w:t>
            </w:r>
            <w:r>
              <w:rPr>
                <w:spacing w:val="-3"/>
                <w:sz w:val="21"/>
                <w:szCs w:val="21"/>
              </w:rPr>
              <w:t>声不扰民</w:t>
            </w:r>
          </w:p>
        </w:tc>
        <w:tc>
          <w:tcPr>
            <w:tcW w:w="852" w:type="dxa"/>
            <w:vAlign w:val="top"/>
          </w:tcPr>
          <w:p>
            <w:pPr>
              <w:spacing w:line="337" w:lineRule="auto"/>
              <w:rPr>
                <w:rFonts w:ascii="Arial"/>
                <w:sz w:val="21"/>
              </w:rPr>
            </w:pPr>
          </w:p>
          <w:p>
            <w:pPr>
              <w:spacing w:before="61"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Align w:val="top"/>
          </w:tcPr>
          <w:p>
            <w:pPr>
              <w:spacing w:line="337" w:lineRule="auto"/>
              <w:rPr>
                <w:rFonts w:ascii="Arial"/>
                <w:sz w:val="21"/>
              </w:rPr>
            </w:pPr>
          </w:p>
          <w:p>
            <w:pPr>
              <w:spacing w:before="61"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88" w:type="dxa"/>
            <w:vAlign w:val="top"/>
          </w:tcPr>
          <w:p>
            <w:pPr>
              <w:pStyle w:val="6"/>
              <w:spacing w:before="39" w:line="221" w:lineRule="auto"/>
              <w:ind w:left="590"/>
              <w:rPr>
                <w:sz w:val="21"/>
                <w:szCs w:val="21"/>
              </w:rPr>
            </w:pPr>
            <w:r>
              <w:rPr>
                <w:spacing w:val="-2"/>
                <w:sz w:val="21"/>
                <w:szCs w:val="21"/>
              </w:rPr>
              <w:t>振动</w:t>
            </w:r>
          </w:p>
        </w:tc>
        <w:tc>
          <w:tcPr>
            <w:tcW w:w="8110" w:type="dxa"/>
            <w:gridSpan w:val="2"/>
            <w:vAlign w:val="top"/>
          </w:tcPr>
          <w:p>
            <w:pPr>
              <w:spacing w:before="79" w:line="233" w:lineRule="auto"/>
              <w:ind w:left="40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831" w:type="dxa"/>
            <w:vAlign w:val="top"/>
          </w:tcPr>
          <w:p>
            <w:pPr>
              <w:spacing w:before="79" w:line="233" w:lineRule="auto"/>
              <w:ind w:left="138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79"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Align w:val="top"/>
          </w:tcPr>
          <w:p>
            <w:pPr>
              <w:spacing w:before="79"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8" w:type="dxa"/>
            <w:vMerge w:val="restart"/>
            <w:tcBorders>
              <w:bottom w:val="nil"/>
            </w:tcBorders>
            <w:vAlign w:val="top"/>
          </w:tcPr>
          <w:p>
            <w:pPr>
              <w:pStyle w:val="6"/>
              <w:spacing w:before="217" w:line="221" w:lineRule="auto"/>
              <w:ind w:left="382"/>
              <w:rPr>
                <w:sz w:val="21"/>
                <w:szCs w:val="21"/>
              </w:rPr>
            </w:pPr>
            <w:r>
              <w:rPr>
                <w:spacing w:val="-2"/>
                <w:sz w:val="21"/>
                <w:szCs w:val="21"/>
              </w:rPr>
              <w:t>大气环境</w:t>
            </w:r>
          </w:p>
        </w:tc>
        <w:tc>
          <w:tcPr>
            <w:tcW w:w="1197" w:type="dxa"/>
            <w:vAlign w:val="top"/>
          </w:tcPr>
          <w:p>
            <w:pPr>
              <w:pStyle w:val="6"/>
              <w:spacing w:before="42" w:line="221" w:lineRule="auto"/>
              <w:ind w:left="62"/>
              <w:rPr>
                <w:sz w:val="21"/>
                <w:szCs w:val="21"/>
              </w:rPr>
            </w:pPr>
            <w:r>
              <w:rPr>
                <w:spacing w:val="-2"/>
                <w:sz w:val="21"/>
                <w:szCs w:val="21"/>
              </w:rPr>
              <w:t>钻前工程</w:t>
            </w:r>
          </w:p>
        </w:tc>
        <w:tc>
          <w:tcPr>
            <w:tcW w:w="6913" w:type="dxa"/>
            <w:vAlign w:val="top"/>
          </w:tcPr>
          <w:p>
            <w:pPr>
              <w:pStyle w:val="6"/>
              <w:spacing w:before="41" w:line="220" w:lineRule="auto"/>
              <w:ind w:left="59"/>
              <w:rPr>
                <w:sz w:val="21"/>
                <w:szCs w:val="21"/>
              </w:rPr>
            </w:pPr>
            <w:r>
              <w:rPr>
                <w:spacing w:val="-3"/>
                <w:sz w:val="21"/>
                <w:szCs w:val="21"/>
              </w:rPr>
              <w:t>施工粉尘：</w:t>
            </w:r>
            <w:r>
              <w:rPr>
                <w:spacing w:val="-22"/>
                <w:sz w:val="21"/>
                <w:szCs w:val="21"/>
              </w:rPr>
              <w:t xml:space="preserve"> </w:t>
            </w:r>
            <w:r>
              <w:rPr>
                <w:spacing w:val="-3"/>
                <w:sz w:val="21"/>
                <w:szCs w:val="21"/>
              </w:rPr>
              <w:t>硬化井场进出口并采取冲洗、洒水等措施控制扬尘；</w:t>
            </w:r>
          </w:p>
        </w:tc>
        <w:tc>
          <w:tcPr>
            <w:tcW w:w="2831" w:type="dxa"/>
            <w:vMerge w:val="restart"/>
            <w:tcBorders>
              <w:bottom w:val="nil"/>
            </w:tcBorders>
            <w:vAlign w:val="top"/>
          </w:tcPr>
          <w:p>
            <w:pPr>
              <w:pStyle w:val="6"/>
              <w:spacing w:before="216" w:line="221" w:lineRule="auto"/>
              <w:ind w:left="371"/>
              <w:rPr>
                <w:sz w:val="21"/>
                <w:szCs w:val="21"/>
              </w:rPr>
            </w:pPr>
            <w:r>
              <w:rPr>
                <w:spacing w:val="-1"/>
                <w:sz w:val="21"/>
                <w:szCs w:val="21"/>
              </w:rPr>
              <w:t>对大气环境无明显影响</w:t>
            </w:r>
          </w:p>
        </w:tc>
        <w:tc>
          <w:tcPr>
            <w:tcW w:w="852" w:type="dxa"/>
            <w:vMerge w:val="restart"/>
            <w:tcBorders>
              <w:bottom w:val="nil"/>
            </w:tcBorders>
            <w:vAlign w:val="top"/>
          </w:tcPr>
          <w:p>
            <w:pPr>
              <w:spacing w:before="256"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Merge w:val="restart"/>
            <w:tcBorders>
              <w:bottom w:val="nil"/>
            </w:tcBorders>
            <w:vAlign w:val="top"/>
          </w:tcPr>
          <w:p>
            <w:pPr>
              <w:spacing w:before="256"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88" w:type="dxa"/>
            <w:vMerge w:val="continue"/>
            <w:tcBorders>
              <w:top w:val="nil"/>
            </w:tcBorders>
            <w:vAlign w:val="top"/>
          </w:tcPr>
          <w:p>
            <w:pPr>
              <w:rPr>
                <w:rFonts w:ascii="Arial"/>
                <w:sz w:val="21"/>
              </w:rPr>
            </w:pPr>
          </w:p>
        </w:tc>
        <w:tc>
          <w:tcPr>
            <w:tcW w:w="1197" w:type="dxa"/>
            <w:vAlign w:val="top"/>
          </w:tcPr>
          <w:p>
            <w:pPr>
              <w:pStyle w:val="6"/>
              <w:spacing w:before="41" w:line="221" w:lineRule="auto"/>
              <w:ind w:left="62"/>
              <w:rPr>
                <w:sz w:val="21"/>
                <w:szCs w:val="21"/>
              </w:rPr>
            </w:pPr>
            <w:r>
              <w:rPr>
                <w:spacing w:val="5"/>
                <w:sz w:val="21"/>
                <w:szCs w:val="21"/>
              </w:rPr>
              <w:t>钻井及完井</w:t>
            </w:r>
          </w:p>
        </w:tc>
        <w:tc>
          <w:tcPr>
            <w:tcW w:w="6913" w:type="dxa"/>
            <w:vAlign w:val="top"/>
          </w:tcPr>
          <w:p>
            <w:pPr>
              <w:pStyle w:val="6"/>
              <w:spacing w:before="42" w:line="218" w:lineRule="auto"/>
              <w:ind w:left="59"/>
              <w:rPr>
                <w:sz w:val="21"/>
                <w:szCs w:val="21"/>
              </w:rPr>
            </w:pPr>
            <w:r>
              <w:rPr>
                <w:spacing w:val="-3"/>
                <w:sz w:val="21"/>
                <w:szCs w:val="21"/>
              </w:rPr>
              <w:t>①柴油机燃烧废气：经自带尾气处理系统处理后经过自带</w:t>
            </w:r>
            <w:r>
              <w:rPr>
                <w:spacing w:val="-38"/>
                <w:sz w:val="21"/>
                <w:szCs w:val="21"/>
              </w:rPr>
              <w:t xml:space="preserve"> </w:t>
            </w:r>
            <w:r>
              <w:rPr>
                <w:rFonts w:ascii="Times New Roman" w:hAnsi="Times New Roman" w:eastAsia="Times New Roman" w:cs="Times New Roman"/>
                <w:spacing w:val="-3"/>
                <w:sz w:val="21"/>
                <w:szCs w:val="21"/>
              </w:rPr>
              <w:t xml:space="preserve">6m </w:t>
            </w:r>
            <w:r>
              <w:rPr>
                <w:spacing w:val="-3"/>
                <w:sz w:val="21"/>
                <w:szCs w:val="21"/>
              </w:rPr>
              <w:t>高排气筒排放</w:t>
            </w:r>
          </w:p>
        </w:tc>
        <w:tc>
          <w:tcPr>
            <w:tcW w:w="2831"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bl>
    <w:p>
      <w:pPr>
        <w:pStyle w:val="2"/>
        <w:rPr>
          <w:sz w:val="21"/>
        </w:rPr>
      </w:pPr>
    </w:p>
    <w:p>
      <w:pPr>
        <w:rPr>
          <w:sz w:val="21"/>
          <w:szCs w:val="21"/>
        </w:rPr>
        <w:sectPr>
          <w:footerReference r:id="rId156" w:type="default"/>
          <w:pgSz w:w="16839" w:h="11907"/>
          <w:pgMar w:top="400" w:right="1358" w:bottom="1181" w:left="1360" w:header="0" w:footer="920" w:gutter="0"/>
          <w:cols w:space="720" w:num="1"/>
        </w:sectPr>
      </w:pPr>
    </w:p>
    <w:p>
      <w:pPr>
        <w:spacing w:before="13"/>
      </w:pPr>
    </w:p>
    <w:p>
      <w:pPr>
        <w:spacing w:before="13"/>
      </w:pPr>
    </w:p>
    <w:p>
      <w:pPr>
        <w:spacing w:before="13"/>
      </w:pPr>
    </w:p>
    <w:p>
      <w:pPr>
        <w:spacing w:before="13"/>
      </w:pPr>
    </w:p>
    <w:tbl>
      <w:tblPr>
        <w:tblStyle w:val="5"/>
        <w:tblW w:w="141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1197"/>
        <w:gridCol w:w="6913"/>
        <w:gridCol w:w="2831"/>
        <w:gridCol w:w="852"/>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588" w:type="dxa"/>
            <w:vAlign w:val="top"/>
          </w:tcPr>
          <w:p>
            <w:pPr>
              <w:rPr>
                <w:rFonts w:ascii="Arial"/>
                <w:sz w:val="21"/>
              </w:rPr>
            </w:pPr>
          </w:p>
        </w:tc>
        <w:tc>
          <w:tcPr>
            <w:tcW w:w="1197" w:type="dxa"/>
            <w:vAlign w:val="top"/>
          </w:tcPr>
          <w:p>
            <w:pPr>
              <w:pStyle w:val="6"/>
              <w:spacing w:before="34" w:line="221" w:lineRule="auto"/>
              <w:ind w:left="64"/>
              <w:rPr>
                <w:sz w:val="21"/>
                <w:szCs w:val="21"/>
              </w:rPr>
            </w:pPr>
            <w:r>
              <w:rPr>
                <w:spacing w:val="-3"/>
                <w:sz w:val="21"/>
                <w:szCs w:val="21"/>
              </w:rPr>
              <w:t>期间</w:t>
            </w:r>
          </w:p>
        </w:tc>
        <w:tc>
          <w:tcPr>
            <w:tcW w:w="6913" w:type="dxa"/>
            <w:vAlign w:val="top"/>
          </w:tcPr>
          <w:p>
            <w:pPr>
              <w:pStyle w:val="6"/>
              <w:spacing w:before="34" w:line="253" w:lineRule="auto"/>
              <w:ind w:left="60" w:right="130" w:hanging="2"/>
              <w:rPr>
                <w:sz w:val="21"/>
                <w:szCs w:val="21"/>
              </w:rPr>
            </w:pPr>
            <w:r>
              <w:rPr>
                <w:sz w:val="21"/>
                <w:szCs w:val="21"/>
              </w:rPr>
              <w:t>②测试放喷废气：采用地面灼烧处理，同时建燃烧池</w:t>
            </w:r>
            <w:r>
              <w:rPr>
                <w:spacing w:val="-48"/>
                <w:sz w:val="21"/>
                <w:szCs w:val="21"/>
              </w:rPr>
              <w:t xml:space="preserve"> </w:t>
            </w:r>
            <w:r>
              <w:rPr>
                <w:rFonts w:ascii="Times New Roman" w:hAnsi="Times New Roman" w:eastAsia="Times New Roman" w:cs="Times New Roman"/>
                <w:sz w:val="21"/>
                <w:szCs w:val="21"/>
              </w:rPr>
              <w:t xml:space="preserve">2 </w:t>
            </w:r>
            <w:r>
              <w:rPr>
                <w:sz w:val="21"/>
                <w:szCs w:val="21"/>
              </w:rPr>
              <w:t>座</w:t>
            </w:r>
            <w:r>
              <w:rPr>
                <w:spacing w:val="-1"/>
                <w:sz w:val="21"/>
                <w:szCs w:val="21"/>
              </w:rPr>
              <w:t>，采用对空短火</w:t>
            </w:r>
            <w:r>
              <w:rPr>
                <w:sz w:val="21"/>
                <w:szCs w:val="21"/>
              </w:rPr>
              <w:t xml:space="preserve"> </w:t>
            </w:r>
            <w:r>
              <w:rPr>
                <w:spacing w:val="-4"/>
                <w:sz w:val="21"/>
                <w:szCs w:val="21"/>
              </w:rPr>
              <w:t>焰灼烧器，</w:t>
            </w:r>
            <w:r>
              <w:rPr>
                <w:spacing w:val="-12"/>
                <w:sz w:val="21"/>
                <w:szCs w:val="21"/>
              </w:rPr>
              <w:t xml:space="preserve"> </w:t>
            </w:r>
            <w:r>
              <w:rPr>
                <w:spacing w:val="-4"/>
                <w:sz w:val="21"/>
                <w:szCs w:val="21"/>
              </w:rPr>
              <w:t>放喷期间应临时撤离放喷口周边</w:t>
            </w:r>
            <w:r>
              <w:rPr>
                <w:spacing w:val="-42"/>
                <w:sz w:val="21"/>
                <w:szCs w:val="21"/>
              </w:rPr>
              <w:t xml:space="preserve"> </w:t>
            </w:r>
            <w:r>
              <w:rPr>
                <w:rFonts w:ascii="Times New Roman" w:hAnsi="Times New Roman" w:eastAsia="Times New Roman" w:cs="Times New Roman"/>
                <w:spacing w:val="-4"/>
                <w:sz w:val="21"/>
                <w:szCs w:val="21"/>
              </w:rPr>
              <w:t xml:space="preserve">500m </w:t>
            </w:r>
            <w:r>
              <w:rPr>
                <w:spacing w:val="-4"/>
                <w:sz w:val="21"/>
                <w:szCs w:val="21"/>
              </w:rPr>
              <w:t>范围内的居民。</w:t>
            </w:r>
          </w:p>
        </w:tc>
        <w:tc>
          <w:tcPr>
            <w:tcW w:w="2831" w:type="dxa"/>
            <w:vAlign w:val="top"/>
          </w:tcPr>
          <w:p>
            <w:pPr>
              <w:rPr>
                <w:rFonts w:ascii="Arial"/>
                <w:sz w:val="21"/>
              </w:rPr>
            </w:pPr>
          </w:p>
        </w:tc>
        <w:tc>
          <w:tcPr>
            <w:tcW w:w="852" w:type="dxa"/>
            <w:tcBorders>
              <w:top w:val="single" w:color="000000" w:sz="6" w:space="0"/>
            </w:tcBorders>
            <w:vAlign w:val="top"/>
          </w:tcPr>
          <w:p>
            <w:pPr>
              <w:rPr>
                <w:rFonts w:ascii="Arial"/>
                <w:sz w:val="21"/>
              </w:rPr>
            </w:pPr>
          </w:p>
        </w:tc>
        <w:tc>
          <w:tcPr>
            <w:tcW w:w="732" w:type="dxa"/>
            <w:tcBorders>
              <w:top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88"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398"/>
              <w:rPr>
                <w:sz w:val="21"/>
                <w:szCs w:val="21"/>
              </w:rPr>
            </w:pPr>
            <w:r>
              <w:rPr>
                <w:spacing w:val="-6"/>
                <w:sz w:val="21"/>
                <w:szCs w:val="21"/>
              </w:rPr>
              <w:t>固体废物</w:t>
            </w:r>
          </w:p>
        </w:tc>
        <w:tc>
          <w:tcPr>
            <w:tcW w:w="1197" w:type="dxa"/>
            <w:vMerge w:val="restart"/>
            <w:tcBorders>
              <w:bottom w:val="nil"/>
            </w:tcBorders>
            <w:vAlign w:val="top"/>
          </w:tcPr>
          <w:p>
            <w:pPr>
              <w:spacing w:line="298" w:lineRule="auto"/>
              <w:rPr>
                <w:rFonts w:ascii="Arial"/>
                <w:sz w:val="21"/>
              </w:rPr>
            </w:pPr>
          </w:p>
          <w:p>
            <w:pPr>
              <w:pStyle w:val="6"/>
              <w:spacing w:before="68" w:line="221" w:lineRule="auto"/>
              <w:ind w:left="62"/>
              <w:rPr>
                <w:sz w:val="21"/>
                <w:szCs w:val="21"/>
              </w:rPr>
            </w:pPr>
            <w:r>
              <w:rPr>
                <w:spacing w:val="-2"/>
                <w:sz w:val="21"/>
                <w:szCs w:val="21"/>
              </w:rPr>
              <w:t>钻前工程</w:t>
            </w:r>
          </w:p>
        </w:tc>
        <w:tc>
          <w:tcPr>
            <w:tcW w:w="6913" w:type="dxa"/>
            <w:vAlign w:val="top"/>
          </w:tcPr>
          <w:p>
            <w:pPr>
              <w:pStyle w:val="6"/>
              <w:spacing w:before="34" w:line="221" w:lineRule="auto"/>
              <w:ind w:left="61"/>
              <w:rPr>
                <w:sz w:val="21"/>
                <w:szCs w:val="21"/>
              </w:rPr>
            </w:pPr>
            <w:r>
              <w:rPr>
                <w:spacing w:val="-1"/>
                <w:sz w:val="21"/>
                <w:szCs w:val="21"/>
              </w:rPr>
              <w:t>生活垃圾经垃圾箱收集后交由环卫部门清运。</w:t>
            </w:r>
          </w:p>
        </w:tc>
        <w:tc>
          <w:tcPr>
            <w:tcW w:w="2831" w:type="dxa"/>
            <w:vMerge w:val="restart"/>
            <w:tcBorders>
              <w:bottom w:val="nil"/>
            </w:tcBorders>
            <w:vAlign w:val="top"/>
          </w:tcPr>
          <w:p>
            <w:pPr>
              <w:pStyle w:val="6"/>
              <w:spacing w:before="242" w:line="221" w:lineRule="auto"/>
              <w:ind w:left="162"/>
              <w:rPr>
                <w:sz w:val="21"/>
                <w:szCs w:val="21"/>
              </w:rPr>
            </w:pPr>
            <w:r>
              <w:rPr>
                <w:spacing w:val="-1"/>
                <w:sz w:val="21"/>
                <w:szCs w:val="21"/>
              </w:rPr>
              <w:t>《一般工业固体废物贮存和</w:t>
            </w:r>
          </w:p>
          <w:p>
            <w:pPr>
              <w:pStyle w:val="6"/>
              <w:spacing w:before="75" w:line="221" w:lineRule="auto"/>
              <w:ind w:left="477"/>
              <w:rPr>
                <w:sz w:val="21"/>
                <w:szCs w:val="21"/>
              </w:rPr>
            </w:pPr>
            <w:r>
              <w:rPr>
                <w:spacing w:val="-2"/>
                <w:sz w:val="21"/>
                <w:szCs w:val="21"/>
              </w:rPr>
              <w:t>填埋污染控制标准》</w:t>
            </w:r>
          </w:p>
          <w:p>
            <w:pPr>
              <w:pStyle w:val="6"/>
              <w:spacing w:before="74" w:line="265" w:lineRule="auto"/>
              <w:ind w:left="61" w:firstLine="7"/>
              <w:rPr>
                <w:sz w:val="21"/>
                <w:szCs w:val="21"/>
              </w:rPr>
            </w:pPr>
            <w:r>
              <w:rPr>
                <w:spacing w:val="-6"/>
                <w:sz w:val="21"/>
                <w:szCs w:val="21"/>
              </w:rPr>
              <w:t>（</w:t>
            </w:r>
            <w:r>
              <w:rPr>
                <w:rFonts w:ascii="Times New Roman" w:hAnsi="Times New Roman" w:eastAsia="Times New Roman" w:cs="Times New Roman"/>
                <w:spacing w:val="-6"/>
                <w:sz w:val="21"/>
                <w:szCs w:val="21"/>
              </w:rPr>
              <w:t>GB18599-2020</w:t>
            </w:r>
            <w:r>
              <w:rPr>
                <w:spacing w:val="-6"/>
                <w:sz w:val="21"/>
                <w:szCs w:val="21"/>
              </w:rPr>
              <w:t xml:space="preserve">）库房形式储 </w:t>
            </w:r>
            <w:r>
              <w:rPr>
                <w:spacing w:val="-13"/>
                <w:sz w:val="21"/>
                <w:szCs w:val="21"/>
              </w:rPr>
              <w:t>存的防风、防雨、防渗漏要求。</w:t>
            </w:r>
            <w:r>
              <w:rPr>
                <w:spacing w:val="5"/>
                <w:sz w:val="21"/>
                <w:szCs w:val="21"/>
              </w:rPr>
              <w:t xml:space="preserve"> </w:t>
            </w:r>
            <w:r>
              <w:rPr>
                <w:spacing w:val="-3"/>
                <w:sz w:val="21"/>
                <w:szCs w:val="21"/>
              </w:rPr>
              <w:t>危险废物满足《危险废物贮存</w:t>
            </w:r>
          </w:p>
          <w:p>
            <w:pPr>
              <w:pStyle w:val="6"/>
              <w:spacing w:before="76" w:line="221" w:lineRule="auto"/>
              <w:ind w:left="688"/>
              <w:rPr>
                <w:sz w:val="21"/>
                <w:szCs w:val="21"/>
              </w:rPr>
            </w:pPr>
            <w:r>
              <w:rPr>
                <w:spacing w:val="-2"/>
                <w:sz w:val="21"/>
                <w:szCs w:val="21"/>
              </w:rPr>
              <w:t>污染控制标准》</w:t>
            </w:r>
          </w:p>
          <w:p>
            <w:pPr>
              <w:pStyle w:val="6"/>
              <w:spacing w:before="76" w:line="254" w:lineRule="auto"/>
              <w:ind w:left="66" w:right="23" w:firstLine="2"/>
              <w:rPr>
                <w:sz w:val="21"/>
                <w:szCs w:val="21"/>
              </w:rPr>
            </w:pPr>
            <w:r>
              <w:rPr>
                <w:spacing w:val="-3"/>
                <w:sz w:val="21"/>
                <w:szCs w:val="21"/>
              </w:rPr>
              <w:t>（</w:t>
            </w:r>
            <w:r>
              <w:rPr>
                <w:rFonts w:ascii="Times New Roman" w:hAnsi="Times New Roman" w:eastAsia="Times New Roman" w:cs="Times New Roman"/>
                <w:spacing w:val="-3"/>
                <w:sz w:val="21"/>
                <w:szCs w:val="21"/>
              </w:rPr>
              <w:t>GB18597-2023</w:t>
            </w:r>
            <w:r>
              <w:rPr>
                <w:spacing w:val="-3"/>
                <w:sz w:val="21"/>
                <w:szCs w:val="21"/>
              </w:rPr>
              <w:t>）控制要求。</w:t>
            </w:r>
            <w:r>
              <w:rPr>
                <w:spacing w:val="12"/>
                <w:sz w:val="21"/>
                <w:szCs w:val="21"/>
              </w:rPr>
              <w:t xml:space="preserve"> </w:t>
            </w:r>
            <w:r>
              <w:rPr>
                <w:spacing w:val="-3"/>
                <w:sz w:val="21"/>
                <w:szCs w:val="21"/>
              </w:rPr>
              <w:t>交有资质和能力的单位处置，</w:t>
            </w:r>
          </w:p>
          <w:p>
            <w:pPr>
              <w:pStyle w:val="6"/>
              <w:spacing w:before="76" w:line="254" w:lineRule="auto"/>
              <w:ind w:left="1214" w:right="150" w:hanging="1052"/>
              <w:rPr>
                <w:sz w:val="21"/>
                <w:szCs w:val="21"/>
              </w:rPr>
            </w:pPr>
            <w:r>
              <w:rPr>
                <w:spacing w:val="-1"/>
                <w:sz w:val="21"/>
                <w:szCs w:val="21"/>
              </w:rPr>
              <w:t>现场无遗留，不造成二次污</w:t>
            </w:r>
            <w:r>
              <w:rPr>
                <w:spacing w:val="3"/>
                <w:sz w:val="21"/>
                <w:szCs w:val="21"/>
              </w:rPr>
              <w:t xml:space="preserve"> </w:t>
            </w:r>
            <w:r>
              <w:rPr>
                <w:spacing w:val="-11"/>
                <w:sz w:val="21"/>
                <w:szCs w:val="21"/>
              </w:rPr>
              <w:t>染。</w:t>
            </w:r>
          </w:p>
          <w:p>
            <w:pPr>
              <w:pStyle w:val="6"/>
              <w:spacing w:before="75" w:line="261" w:lineRule="auto"/>
              <w:ind w:left="347" w:right="85" w:hanging="282"/>
              <w:rPr>
                <w:sz w:val="21"/>
                <w:szCs w:val="21"/>
              </w:rPr>
            </w:pPr>
            <w:r>
              <w:rPr>
                <w:spacing w:val="-5"/>
                <w:sz w:val="21"/>
                <w:szCs w:val="21"/>
              </w:rPr>
              <w:t>建立固体废物转移联单制度，</w:t>
            </w:r>
            <w:r>
              <w:rPr>
                <w:spacing w:val="9"/>
                <w:sz w:val="21"/>
                <w:szCs w:val="21"/>
              </w:rPr>
              <w:t xml:space="preserve"> </w:t>
            </w:r>
            <w:r>
              <w:rPr>
                <w:spacing w:val="-1"/>
                <w:sz w:val="21"/>
                <w:szCs w:val="21"/>
              </w:rPr>
              <w:t>具备交接清单</w:t>
            </w:r>
            <w:r>
              <w:rPr>
                <w:rFonts w:ascii="Times New Roman" w:hAnsi="Times New Roman" w:eastAsia="Times New Roman" w:cs="Times New Roman"/>
                <w:spacing w:val="-1"/>
                <w:sz w:val="21"/>
                <w:szCs w:val="21"/>
              </w:rPr>
              <w:t>/</w:t>
            </w:r>
            <w:r>
              <w:rPr>
                <w:spacing w:val="-1"/>
                <w:sz w:val="21"/>
                <w:szCs w:val="21"/>
              </w:rPr>
              <w:t>转运联单</w:t>
            </w:r>
          </w:p>
        </w:tc>
        <w:tc>
          <w:tcPr>
            <w:tcW w:w="85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588" w:type="dxa"/>
            <w:vMerge w:val="continue"/>
            <w:tcBorders>
              <w:top w:val="nil"/>
              <w:bottom w:val="nil"/>
            </w:tcBorders>
            <w:vAlign w:val="top"/>
          </w:tcPr>
          <w:p>
            <w:pPr>
              <w:rPr>
                <w:rFonts w:ascii="Arial"/>
                <w:sz w:val="21"/>
              </w:rPr>
            </w:pPr>
          </w:p>
        </w:tc>
        <w:tc>
          <w:tcPr>
            <w:tcW w:w="1197" w:type="dxa"/>
            <w:vMerge w:val="continue"/>
            <w:tcBorders>
              <w:top w:val="nil"/>
            </w:tcBorders>
            <w:vAlign w:val="top"/>
          </w:tcPr>
          <w:p>
            <w:pPr>
              <w:rPr>
                <w:rFonts w:ascii="Arial"/>
                <w:sz w:val="21"/>
              </w:rPr>
            </w:pPr>
          </w:p>
        </w:tc>
        <w:tc>
          <w:tcPr>
            <w:tcW w:w="6913" w:type="dxa"/>
            <w:vAlign w:val="top"/>
          </w:tcPr>
          <w:p>
            <w:pPr>
              <w:pStyle w:val="6"/>
              <w:spacing w:before="31" w:line="254" w:lineRule="auto"/>
              <w:ind w:left="59" w:right="130"/>
              <w:rPr>
                <w:sz w:val="21"/>
                <w:szCs w:val="21"/>
              </w:rPr>
            </w:pPr>
            <w:r>
              <w:rPr>
                <w:sz w:val="21"/>
                <w:szCs w:val="21"/>
              </w:rPr>
              <w:t>表土堆存于井场外西侧表土临时堆放场内，待工程结束后，将表土</w:t>
            </w:r>
            <w:r>
              <w:rPr>
                <w:spacing w:val="-1"/>
                <w:sz w:val="21"/>
                <w:szCs w:val="21"/>
              </w:rPr>
              <w:t>用于完</w:t>
            </w:r>
            <w:r>
              <w:rPr>
                <w:sz w:val="21"/>
                <w:szCs w:val="21"/>
              </w:rPr>
              <w:t xml:space="preserve"> </w:t>
            </w:r>
            <w:r>
              <w:rPr>
                <w:spacing w:val="-1"/>
                <w:sz w:val="21"/>
                <w:szCs w:val="21"/>
              </w:rPr>
              <w:t>井后临时占地复垦用，最终做到土石方平衡。</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588" w:type="dxa"/>
            <w:vMerge w:val="continue"/>
            <w:tcBorders>
              <w:top w:val="nil"/>
              <w:bottom w:val="nil"/>
            </w:tcBorders>
            <w:vAlign w:val="top"/>
          </w:tcPr>
          <w:p>
            <w:pPr>
              <w:rPr>
                <w:rFonts w:ascii="Arial"/>
                <w:sz w:val="21"/>
              </w:rPr>
            </w:pPr>
          </w:p>
        </w:tc>
        <w:tc>
          <w:tcPr>
            <w:tcW w:w="119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9" w:line="254" w:lineRule="auto"/>
              <w:ind w:left="64" w:right="53" w:hanging="2"/>
              <w:rPr>
                <w:sz w:val="21"/>
                <w:szCs w:val="21"/>
              </w:rPr>
            </w:pPr>
            <w:r>
              <w:rPr>
                <w:spacing w:val="5"/>
                <w:sz w:val="21"/>
                <w:szCs w:val="21"/>
              </w:rPr>
              <w:t>钻井及完井</w:t>
            </w:r>
            <w:r>
              <w:rPr>
                <w:sz w:val="21"/>
                <w:szCs w:val="21"/>
              </w:rPr>
              <w:t xml:space="preserve"> </w:t>
            </w:r>
            <w:r>
              <w:rPr>
                <w:spacing w:val="-5"/>
                <w:sz w:val="21"/>
                <w:szCs w:val="21"/>
              </w:rPr>
              <w:t>期间</w:t>
            </w:r>
          </w:p>
        </w:tc>
        <w:tc>
          <w:tcPr>
            <w:tcW w:w="6913" w:type="dxa"/>
            <w:vAlign w:val="top"/>
          </w:tcPr>
          <w:p>
            <w:pPr>
              <w:pStyle w:val="6"/>
              <w:spacing w:before="30" w:line="265" w:lineRule="auto"/>
              <w:ind w:left="59"/>
              <w:jc w:val="both"/>
              <w:rPr>
                <w:sz w:val="21"/>
                <w:szCs w:val="21"/>
              </w:rPr>
            </w:pPr>
            <w:r>
              <w:rPr>
                <w:sz w:val="21"/>
                <w:szCs w:val="21"/>
              </w:rPr>
              <w:t>废水基泥浆、水基岩屑、沉淀罐污泥：在清洁化堆放区</w:t>
            </w:r>
            <w:r>
              <w:rPr>
                <w:spacing w:val="-1"/>
                <w:sz w:val="21"/>
                <w:szCs w:val="21"/>
              </w:rPr>
              <w:t>的水基岩屑罐区暂</w:t>
            </w:r>
            <w:r>
              <w:rPr>
                <w:sz w:val="21"/>
                <w:szCs w:val="21"/>
              </w:rPr>
              <w:t xml:space="preserve">  </w:t>
            </w:r>
            <w:r>
              <w:rPr>
                <w:spacing w:val="-5"/>
                <w:sz w:val="21"/>
                <w:szCs w:val="21"/>
              </w:rPr>
              <w:t>存，</w:t>
            </w:r>
            <w:r>
              <w:rPr>
                <w:spacing w:val="-23"/>
                <w:sz w:val="21"/>
                <w:szCs w:val="21"/>
              </w:rPr>
              <w:t xml:space="preserve"> </w:t>
            </w:r>
            <w:r>
              <w:rPr>
                <w:spacing w:val="-5"/>
                <w:sz w:val="21"/>
                <w:szCs w:val="21"/>
              </w:rPr>
              <w:t>完钻后及时转运至砖厂进行综合利用；建立有固体废物转移联单制度，</w:t>
            </w:r>
            <w:r>
              <w:rPr>
                <w:sz w:val="21"/>
                <w:szCs w:val="21"/>
              </w:rPr>
              <w:t xml:space="preserve"> </w:t>
            </w:r>
            <w:r>
              <w:rPr>
                <w:spacing w:val="-3"/>
                <w:sz w:val="21"/>
                <w:szCs w:val="21"/>
              </w:rPr>
              <w:t>具备交接清单。</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588" w:type="dxa"/>
            <w:vMerge w:val="continue"/>
            <w:tcBorders>
              <w:top w:val="nil"/>
              <w:bottom w:val="nil"/>
            </w:tcBorders>
            <w:vAlign w:val="top"/>
          </w:tcPr>
          <w:p>
            <w:pPr>
              <w:rPr>
                <w:rFonts w:ascii="Arial"/>
                <w:sz w:val="21"/>
              </w:rPr>
            </w:pPr>
          </w:p>
        </w:tc>
        <w:tc>
          <w:tcPr>
            <w:tcW w:w="1197" w:type="dxa"/>
            <w:vMerge w:val="continue"/>
            <w:tcBorders>
              <w:top w:val="nil"/>
              <w:bottom w:val="nil"/>
            </w:tcBorders>
            <w:vAlign w:val="top"/>
          </w:tcPr>
          <w:p>
            <w:pPr>
              <w:rPr>
                <w:rFonts w:ascii="Arial"/>
                <w:sz w:val="21"/>
              </w:rPr>
            </w:pPr>
          </w:p>
        </w:tc>
        <w:tc>
          <w:tcPr>
            <w:tcW w:w="6913" w:type="dxa"/>
            <w:vAlign w:val="top"/>
          </w:tcPr>
          <w:p>
            <w:pPr>
              <w:pStyle w:val="6"/>
              <w:spacing w:before="31" w:line="265" w:lineRule="auto"/>
              <w:ind w:left="59" w:right="130" w:firstLine="4"/>
              <w:jc w:val="both"/>
              <w:rPr>
                <w:sz w:val="21"/>
                <w:szCs w:val="21"/>
              </w:rPr>
            </w:pPr>
            <w:r>
              <w:rPr>
                <w:spacing w:val="-8"/>
                <w:sz w:val="21"/>
                <w:szCs w:val="21"/>
              </w:rPr>
              <w:t>油基岩屑：</w:t>
            </w:r>
            <w:r>
              <w:rPr>
                <w:spacing w:val="-21"/>
                <w:sz w:val="21"/>
                <w:szCs w:val="21"/>
              </w:rPr>
              <w:t xml:space="preserve"> </w:t>
            </w:r>
            <w:r>
              <w:rPr>
                <w:spacing w:val="-8"/>
                <w:sz w:val="21"/>
                <w:szCs w:val="21"/>
              </w:rPr>
              <w:t>采用油基岩屑收集罐收集后，</w:t>
            </w:r>
            <w:r>
              <w:rPr>
                <w:spacing w:val="-22"/>
                <w:sz w:val="21"/>
                <w:szCs w:val="21"/>
              </w:rPr>
              <w:t xml:space="preserve"> </w:t>
            </w:r>
            <w:r>
              <w:rPr>
                <w:spacing w:val="-8"/>
                <w:sz w:val="21"/>
                <w:szCs w:val="21"/>
              </w:rPr>
              <w:t>堆放在油基岩屑堆放区暂存，</w:t>
            </w:r>
            <w:r>
              <w:rPr>
                <w:spacing w:val="-23"/>
                <w:sz w:val="21"/>
                <w:szCs w:val="21"/>
              </w:rPr>
              <w:t xml:space="preserve"> </w:t>
            </w:r>
            <w:r>
              <w:rPr>
                <w:spacing w:val="-8"/>
                <w:sz w:val="21"/>
                <w:szCs w:val="21"/>
              </w:rPr>
              <w:t>采</w:t>
            </w:r>
            <w:r>
              <w:rPr>
                <w:sz w:val="21"/>
                <w:szCs w:val="21"/>
              </w:rPr>
              <w:t xml:space="preserve"> </w:t>
            </w:r>
            <w:r>
              <w:rPr>
                <w:spacing w:val="-2"/>
                <w:sz w:val="21"/>
                <w:szCs w:val="21"/>
              </w:rPr>
              <w:t>取“六防”（防风、防雨、防晒、防渗、防</w:t>
            </w:r>
            <w:r>
              <w:rPr>
                <w:spacing w:val="-3"/>
                <w:sz w:val="21"/>
                <w:szCs w:val="21"/>
              </w:rPr>
              <w:t>漏、防腐）</w:t>
            </w:r>
            <w:r>
              <w:rPr>
                <w:spacing w:val="-31"/>
                <w:sz w:val="21"/>
                <w:szCs w:val="21"/>
              </w:rPr>
              <w:t xml:space="preserve"> </w:t>
            </w:r>
            <w:r>
              <w:rPr>
                <w:spacing w:val="-3"/>
                <w:sz w:val="21"/>
                <w:szCs w:val="21"/>
              </w:rPr>
              <w:t>措施，交由有危险</w:t>
            </w:r>
            <w:r>
              <w:rPr>
                <w:sz w:val="21"/>
                <w:szCs w:val="21"/>
              </w:rPr>
              <w:t xml:space="preserve"> </w:t>
            </w:r>
            <w:r>
              <w:rPr>
                <w:spacing w:val="-7"/>
                <w:sz w:val="21"/>
                <w:szCs w:val="21"/>
              </w:rPr>
              <w:t>废物处置资质单位处置； 建立有危险废物转移联单制度， 具</w:t>
            </w:r>
            <w:r>
              <w:rPr>
                <w:spacing w:val="-8"/>
                <w:sz w:val="21"/>
                <w:szCs w:val="21"/>
              </w:rPr>
              <w:t>备转运联单。</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588" w:type="dxa"/>
            <w:vMerge w:val="continue"/>
            <w:tcBorders>
              <w:top w:val="nil"/>
              <w:bottom w:val="nil"/>
            </w:tcBorders>
            <w:vAlign w:val="top"/>
          </w:tcPr>
          <w:p>
            <w:pPr>
              <w:rPr>
                <w:rFonts w:ascii="Arial"/>
                <w:sz w:val="21"/>
              </w:rPr>
            </w:pPr>
          </w:p>
        </w:tc>
        <w:tc>
          <w:tcPr>
            <w:tcW w:w="1197" w:type="dxa"/>
            <w:vMerge w:val="continue"/>
            <w:tcBorders>
              <w:top w:val="nil"/>
              <w:bottom w:val="nil"/>
            </w:tcBorders>
            <w:vAlign w:val="top"/>
          </w:tcPr>
          <w:p>
            <w:pPr>
              <w:rPr>
                <w:rFonts w:ascii="Arial"/>
                <w:sz w:val="21"/>
              </w:rPr>
            </w:pPr>
          </w:p>
        </w:tc>
        <w:tc>
          <w:tcPr>
            <w:tcW w:w="6913" w:type="dxa"/>
            <w:vAlign w:val="top"/>
          </w:tcPr>
          <w:p>
            <w:pPr>
              <w:pStyle w:val="6"/>
              <w:spacing w:before="32" w:line="255" w:lineRule="auto"/>
              <w:ind w:left="69" w:right="130" w:hanging="9"/>
              <w:rPr>
                <w:sz w:val="21"/>
                <w:szCs w:val="21"/>
              </w:rPr>
            </w:pPr>
            <w:r>
              <w:rPr>
                <w:spacing w:val="-6"/>
                <w:sz w:val="21"/>
                <w:szCs w:val="21"/>
              </w:rPr>
              <w:t>含油废棉纱手套、废油： 暂存于危废暂存间， 定期</w:t>
            </w:r>
            <w:r>
              <w:rPr>
                <w:spacing w:val="-7"/>
                <w:sz w:val="21"/>
                <w:szCs w:val="21"/>
              </w:rPr>
              <w:t>交由具有危险废物处理</w:t>
            </w:r>
            <w:r>
              <w:rPr>
                <w:sz w:val="21"/>
                <w:szCs w:val="21"/>
              </w:rPr>
              <w:t xml:space="preserve"> </w:t>
            </w:r>
            <w:r>
              <w:rPr>
                <w:spacing w:val="-1"/>
                <w:sz w:val="21"/>
                <w:szCs w:val="21"/>
              </w:rPr>
              <w:t>资质的单位拉运处置；建立有危险废物转移联单制度，具备转运联单。</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8" w:type="dxa"/>
            <w:vMerge w:val="continue"/>
            <w:tcBorders>
              <w:top w:val="nil"/>
              <w:bottom w:val="nil"/>
            </w:tcBorders>
            <w:vAlign w:val="top"/>
          </w:tcPr>
          <w:p>
            <w:pPr>
              <w:rPr>
                <w:rFonts w:ascii="Arial"/>
                <w:sz w:val="21"/>
              </w:rPr>
            </w:pPr>
          </w:p>
        </w:tc>
        <w:tc>
          <w:tcPr>
            <w:tcW w:w="1197" w:type="dxa"/>
            <w:vMerge w:val="continue"/>
            <w:tcBorders>
              <w:top w:val="nil"/>
              <w:bottom w:val="nil"/>
            </w:tcBorders>
            <w:vAlign w:val="top"/>
          </w:tcPr>
          <w:p>
            <w:pPr>
              <w:rPr>
                <w:rFonts w:ascii="Arial"/>
                <w:sz w:val="21"/>
              </w:rPr>
            </w:pPr>
          </w:p>
        </w:tc>
        <w:tc>
          <w:tcPr>
            <w:tcW w:w="6913" w:type="dxa"/>
            <w:vAlign w:val="top"/>
          </w:tcPr>
          <w:p>
            <w:pPr>
              <w:pStyle w:val="6"/>
              <w:spacing w:before="39" w:line="221" w:lineRule="auto"/>
              <w:ind w:left="61"/>
              <w:rPr>
                <w:sz w:val="21"/>
                <w:szCs w:val="21"/>
              </w:rPr>
            </w:pPr>
            <w:r>
              <w:rPr>
                <w:spacing w:val="-4"/>
                <w:sz w:val="21"/>
                <w:szCs w:val="21"/>
              </w:rPr>
              <w:t>生活垃圾：通过垃圾桶集中收集后， 交当地环卫部门处</w:t>
            </w:r>
            <w:r>
              <w:rPr>
                <w:spacing w:val="-5"/>
                <w:sz w:val="21"/>
                <w:szCs w:val="21"/>
              </w:rPr>
              <w:t>理。</w:t>
            </w:r>
          </w:p>
        </w:tc>
        <w:tc>
          <w:tcPr>
            <w:tcW w:w="2831"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88" w:type="dxa"/>
            <w:vMerge w:val="continue"/>
            <w:tcBorders>
              <w:top w:val="nil"/>
            </w:tcBorders>
            <w:vAlign w:val="top"/>
          </w:tcPr>
          <w:p>
            <w:pPr>
              <w:rPr>
                <w:rFonts w:ascii="Arial"/>
                <w:sz w:val="21"/>
              </w:rPr>
            </w:pPr>
          </w:p>
        </w:tc>
        <w:tc>
          <w:tcPr>
            <w:tcW w:w="1197" w:type="dxa"/>
            <w:vMerge w:val="continue"/>
            <w:tcBorders>
              <w:top w:val="nil"/>
            </w:tcBorders>
            <w:vAlign w:val="top"/>
          </w:tcPr>
          <w:p>
            <w:pPr>
              <w:rPr>
                <w:rFonts w:ascii="Arial"/>
                <w:sz w:val="21"/>
              </w:rPr>
            </w:pPr>
          </w:p>
        </w:tc>
        <w:tc>
          <w:tcPr>
            <w:tcW w:w="6913" w:type="dxa"/>
            <w:vAlign w:val="top"/>
          </w:tcPr>
          <w:p>
            <w:pPr>
              <w:pStyle w:val="6"/>
              <w:spacing w:before="38" w:line="220" w:lineRule="auto"/>
              <w:ind w:left="59"/>
              <w:rPr>
                <w:sz w:val="21"/>
                <w:szCs w:val="21"/>
              </w:rPr>
            </w:pPr>
            <w:r>
              <w:rPr>
                <w:sz w:val="21"/>
                <w:szCs w:val="21"/>
              </w:rPr>
              <w:t>废包装材料和废弃设备零部件：经收集后外售废品回收</w:t>
            </w:r>
            <w:r>
              <w:rPr>
                <w:spacing w:val="-1"/>
                <w:sz w:val="21"/>
                <w:szCs w:val="21"/>
              </w:rPr>
              <w:t>站。</w:t>
            </w:r>
          </w:p>
        </w:tc>
        <w:tc>
          <w:tcPr>
            <w:tcW w:w="2831"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588" w:type="dxa"/>
            <w:vAlign w:val="top"/>
          </w:tcPr>
          <w:p>
            <w:pPr>
              <w:pStyle w:val="6"/>
              <w:spacing w:before="40" w:line="221" w:lineRule="auto"/>
              <w:ind w:left="404"/>
              <w:rPr>
                <w:sz w:val="21"/>
                <w:szCs w:val="21"/>
              </w:rPr>
            </w:pPr>
            <w:r>
              <w:rPr>
                <w:spacing w:val="-8"/>
                <w:sz w:val="21"/>
                <w:szCs w:val="21"/>
              </w:rPr>
              <w:t>电磁环境</w:t>
            </w:r>
          </w:p>
        </w:tc>
        <w:tc>
          <w:tcPr>
            <w:tcW w:w="8110" w:type="dxa"/>
            <w:gridSpan w:val="2"/>
            <w:vAlign w:val="top"/>
          </w:tcPr>
          <w:p>
            <w:pPr>
              <w:spacing w:before="80" w:line="233" w:lineRule="auto"/>
              <w:ind w:left="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831" w:type="dxa"/>
            <w:vAlign w:val="top"/>
          </w:tcPr>
          <w:p>
            <w:pPr>
              <w:spacing w:before="80" w:line="233" w:lineRule="auto"/>
              <w:ind w:left="138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8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Align w:val="top"/>
          </w:tcPr>
          <w:p>
            <w:pPr>
              <w:spacing w:before="8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588" w:type="dxa"/>
            <w:vAlign w:val="top"/>
          </w:tcPr>
          <w:p>
            <w:pPr>
              <w:spacing w:line="308" w:lineRule="auto"/>
              <w:rPr>
                <w:rFonts w:ascii="Arial"/>
                <w:sz w:val="21"/>
              </w:rPr>
            </w:pPr>
          </w:p>
          <w:p>
            <w:pPr>
              <w:spacing w:line="308" w:lineRule="auto"/>
              <w:rPr>
                <w:rFonts w:ascii="Arial"/>
                <w:sz w:val="21"/>
              </w:rPr>
            </w:pPr>
          </w:p>
          <w:p>
            <w:pPr>
              <w:pStyle w:val="6"/>
              <w:spacing w:before="68" w:line="221" w:lineRule="auto"/>
              <w:ind w:left="380"/>
              <w:rPr>
                <w:sz w:val="21"/>
                <w:szCs w:val="21"/>
              </w:rPr>
            </w:pPr>
            <w:r>
              <w:rPr>
                <w:spacing w:val="-2"/>
                <w:sz w:val="21"/>
                <w:szCs w:val="21"/>
              </w:rPr>
              <w:t>环境风险</w:t>
            </w:r>
          </w:p>
        </w:tc>
        <w:tc>
          <w:tcPr>
            <w:tcW w:w="8110" w:type="dxa"/>
            <w:gridSpan w:val="2"/>
            <w:vAlign w:val="top"/>
          </w:tcPr>
          <w:p>
            <w:pPr>
              <w:spacing w:line="307" w:lineRule="auto"/>
              <w:rPr>
                <w:rFonts w:ascii="Arial"/>
                <w:sz w:val="21"/>
              </w:rPr>
            </w:pPr>
          </w:p>
          <w:p>
            <w:pPr>
              <w:spacing w:line="308" w:lineRule="auto"/>
              <w:rPr>
                <w:rFonts w:ascii="Arial"/>
                <w:sz w:val="21"/>
              </w:rPr>
            </w:pPr>
          </w:p>
          <w:p>
            <w:pPr>
              <w:pStyle w:val="6"/>
              <w:spacing w:before="69" w:line="221" w:lineRule="auto"/>
              <w:ind w:left="65"/>
              <w:rPr>
                <w:sz w:val="21"/>
                <w:szCs w:val="21"/>
              </w:rPr>
            </w:pPr>
            <w:r>
              <w:rPr>
                <w:spacing w:val="-2"/>
                <w:sz w:val="21"/>
                <w:szCs w:val="21"/>
              </w:rPr>
              <w:t>设置废水应急池；罐区设置围堰，地面防渗。</w:t>
            </w:r>
            <w:r>
              <w:rPr>
                <w:spacing w:val="-31"/>
                <w:sz w:val="21"/>
                <w:szCs w:val="21"/>
              </w:rPr>
              <w:t xml:space="preserve"> </w:t>
            </w:r>
            <w:r>
              <w:rPr>
                <w:spacing w:val="-2"/>
                <w:sz w:val="21"/>
                <w:szCs w:val="21"/>
              </w:rPr>
              <w:t>应急池、废水罐废水临时储</w:t>
            </w:r>
            <w:r>
              <w:rPr>
                <w:spacing w:val="-3"/>
                <w:sz w:val="21"/>
                <w:szCs w:val="21"/>
              </w:rPr>
              <w:t>存及转运。</w:t>
            </w:r>
          </w:p>
        </w:tc>
        <w:tc>
          <w:tcPr>
            <w:tcW w:w="2831" w:type="dxa"/>
            <w:vAlign w:val="top"/>
          </w:tcPr>
          <w:p>
            <w:pPr>
              <w:pStyle w:val="6"/>
              <w:spacing w:before="32" w:line="221" w:lineRule="auto"/>
              <w:ind w:left="62"/>
              <w:rPr>
                <w:sz w:val="21"/>
                <w:szCs w:val="21"/>
              </w:rPr>
            </w:pPr>
            <w:r>
              <w:rPr>
                <w:spacing w:val="-2"/>
                <w:sz w:val="21"/>
                <w:szCs w:val="21"/>
              </w:rPr>
              <w:t>应急池、废水罐、废油罐完好</w:t>
            </w:r>
          </w:p>
          <w:p>
            <w:pPr>
              <w:pStyle w:val="6"/>
              <w:spacing w:before="77" w:line="221" w:lineRule="auto"/>
              <w:ind w:left="64"/>
              <w:rPr>
                <w:sz w:val="21"/>
                <w:szCs w:val="21"/>
              </w:rPr>
            </w:pPr>
            <w:r>
              <w:rPr>
                <w:spacing w:val="-2"/>
                <w:sz w:val="21"/>
                <w:szCs w:val="21"/>
              </w:rPr>
              <w:t>无泄漏，作业废水得到及时转</w:t>
            </w:r>
          </w:p>
          <w:p>
            <w:pPr>
              <w:pStyle w:val="6"/>
              <w:spacing w:before="75" w:line="221" w:lineRule="auto"/>
              <w:ind w:left="62"/>
              <w:rPr>
                <w:sz w:val="21"/>
                <w:szCs w:val="21"/>
              </w:rPr>
            </w:pPr>
            <w:r>
              <w:rPr>
                <w:spacing w:val="-8"/>
                <w:sz w:val="21"/>
                <w:szCs w:val="21"/>
              </w:rPr>
              <w:t>运，</w:t>
            </w:r>
            <w:r>
              <w:rPr>
                <w:spacing w:val="-19"/>
                <w:sz w:val="21"/>
                <w:szCs w:val="21"/>
              </w:rPr>
              <w:t xml:space="preserve"> </w:t>
            </w:r>
            <w:r>
              <w:rPr>
                <w:spacing w:val="-8"/>
                <w:sz w:val="21"/>
                <w:szCs w:val="21"/>
              </w:rPr>
              <w:t>现场无废水外溢、泄漏事</w:t>
            </w:r>
          </w:p>
          <w:p>
            <w:pPr>
              <w:pStyle w:val="6"/>
              <w:spacing w:before="75" w:line="221" w:lineRule="auto"/>
              <w:ind w:left="164"/>
              <w:rPr>
                <w:sz w:val="21"/>
                <w:szCs w:val="21"/>
              </w:rPr>
            </w:pPr>
            <w:r>
              <w:rPr>
                <w:spacing w:val="-1"/>
                <w:sz w:val="21"/>
                <w:szCs w:val="21"/>
              </w:rPr>
              <w:t>故发生；编制应急预案及培</w:t>
            </w:r>
          </w:p>
          <w:p>
            <w:pPr>
              <w:pStyle w:val="6"/>
              <w:spacing w:before="75" w:line="221" w:lineRule="auto"/>
              <w:ind w:left="897"/>
              <w:rPr>
                <w:sz w:val="21"/>
                <w:szCs w:val="21"/>
              </w:rPr>
            </w:pPr>
            <w:r>
              <w:rPr>
                <w:spacing w:val="-2"/>
                <w:sz w:val="21"/>
                <w:szCs w:val="21"/>
              </w:rPr>
              <w:t>训、演练等</w:t>
            </w:r>
          </w:p>
        </w:tc>
        <w:tc>
          <w:tcPr>
            <w:tcW w:w="852" w:type="dxa"/>
            <w:vAlign w:val="top"/>
          </w:tcPr>
          <w:p>
            <w:pPr>
              <w:spacing w:line="330" w:lineRule="auto"/>
              <w:rPr>
                <w:rFonts w:ascii="Arial"/>
                <w:sz w:val="21"/>
              </w:rPr>
            </w:pPr>
          </w:p>
          <w:p>
            <w:pPr>
              <w:spacing w:line="331"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Align w:val="top"/>
          </w:tcPr>
          <w:p>
            <w:pPr>
              <w:spacing w:line="330" w:lineRule="auto"/>
              <w:rPr>
                <w:rFonts w:ascii="Arial"/>
                <w:sz w:val="21"/>
              </w:rPr>
            </w:pPr>
          </w:p>
          <w:p>
            <w:pPr>
              <w:spacing w:line="331"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1588"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8" w:line="221" w:lineRule="auto"/>
              <w:ind w:left="380"/>
              <w:rPr>
                <w:sz w:val="21"/>
                <w:szCs w:val="21"/>
              </w:rPr>
            </w:pPr>
            <w:r>
              <w:rPr>
                <w:spacing w:val="-2"/>
                <w:sz w:val="21"/>
                <w:szCs w:val="21"/>
              </w:rPr>
              <w:t>环境监测</w:t>
            </w:r>
          </w:p>
        </w:tc>
        <w:tc>
          <w:tcPr>
            <w:tcW w:w="1197" w:type="dxa"/>
            <w:vAlign w:val="top"/>
          </w:tcPr>
          <w:p>
            <w:pPr>
              <w:rPr>
                <w:rFonts w:ascii="Arial"/>
                <w:sz w:val="21"/>
              </w:rPr>
            </w:pPr>
          </w:p>
          <w:p>
            <w:pPr>
              <w:spacing w:line="241" w:lineRule="auto"/>
              <w:rPr>
                <w:rFonts w:ascii="Arial"/>
                <w:sz w:val="21"/>
              </w:rPr>
            </w:pPr>
          </w:p>
          <w:p>
            <w:pPr>
              <w:pStyle w:val="6"/>
              <w:spacing w:before="68" w:line="221" w:lineRule="auto"/>
              <w:ind w:left="403"/>
              <w:rPr>
                <w:sz w:val="21"/>
                <w:szCs w:val="21"/>
              </w:rPr>
            </w:pPr>
            <w:r>
              <w:rPr>
                <w:spacing w:val="-4"/>
                <w:sz w:val="21"/>
                <w:szCs w:val="21"/>
              </w:rPr>
              <w:t>噪声</w:t>
            </w:r>
          </w:p>
        </w:tc>
        <w:tc>
          <w:tcPr>
            <w:tcW w:w="6913" w:type="dxa"/>
            <w:vAlign w:val="top"/>
          </w:tcPr>
          <w:p>
            <w:pPr>
              <w:rPr>
                <w:rFonts w:ascii="Arial"/>
                <w:sz w:val="21"/>
              </w:rPr>
            </w:pPr>
          </w:p>
          <w:p>
            <w:pPr>
              <w:spacing w:line="241" w:lineRule="auto"/>
              <w:rPr>
                <w:rFonts w:ascii="Arial"/>
                <w:sz w:val="21"/>
              </w:rPr>
            </w:pPr>
          </w:p>
          <w:p>
            <w:pPr>
              <w:pStyle w:val="6"/>
              <w:spacing w:before="68" w:line="220" w:lineRule="auto"/>
              <w:ind w:left="60"/>
              <w:rPr>
                <w:sz w:val="21"/>
                <w:szCs w:val="21"/>
              </w:rPr>
            </w:pPr>
            <w:r>
              <w:rPr>
                <w:spacing w:val="-1"/>
                <w:sz w:val="21"/>
                <w:szCs w:val="21"/>
              </w:rPr>
              <w:t>井站外</w:t>
            </w:r>
            <w:r>
              <w:rPr>
                <w:spacing w:val="-28"/>
                <w:sz w:val="21"/>
                <w:szCs w:val="21"/>
              </w:rPr>
              <w:t xml:space="preserve"> </w:t>
            </w:r>
            <w:r>
              <w:rPr>
                <w:rFonts w:ascii="Times New Roman" w:hAnsi="Times New Roman" w:eastAsia="Times New Roman" w:cs="Times New Roman"/>
                <w:spacing w:val="-1"/>
                <w:sz w:val="21"/>
                <w:szCs w:val="21"/>
              </w:rPr>
              <w:t xml:space="preserve">1m </w:t>
            </w:r>
            <w:r>
              <w:rPr>
                <w:spacing w:val="-1"/>
                <w:sz w:val="21"/>
                <w:szCs w:val="21"/>
              </w:rPr>
              <w:t>处、北侧最近居民点处各布置一个噪声监测</w:t>
            </w:r>
            <w:r>
              <w:rPr>
                <w:spacing w:val="-2"/>
                <w:sz w:val="21"/>
                <w:szCs w:val="21"/>
              </w:rPr>
              <w:t>点。</w:t>
            </w:r>
          </w:p>
        </w:tc>
        <w:tc>
          <w:tcPr>
            <w:tcW w:w="2831" w:type="dxa"/>
            <w:vAlign w:val="top"/>
          </w:tcPr>
          <w:p>
            <w:pPr>
              <w:pStyle w:val="6"/>
              <w:spacing w:before="34" w:line="221" w:lineRule="auto"/>
              <w:ind w:left="476"/>
              <w:rPr>
                <w:sz w:val="21"/>
                <w:szCs w:val="21"/>
              </w:rPr>
            </w:pPr>
            <w:r>
              <w:rPr>
                <w:spacing w:val="-2"/>
                <w:sz w:val="21"/>
                <w:szCs w:val="21"/>
              </w:rPr>
              <w:t>《声环境质量标准》</w:t>
            </w:r>
          </w:p>
          <w:p>
            <w:pPr>
              <w:pStyle w:val="6"/>
              <w:spacing w:before="77" w:line="254" w:lineRule="auto"/>
              <w:ind w:left="162" w:right="83" w:hanging="70"/>
              <w:rPr>
                <w:sz w:val="21"/>
                <w:szCs w:val="21"/>
              </w:rPr>
            </w:pPr>
            <w:r>
              <w:rPr>
                <w:spacing w:val="-2"/>
                <w:sz w:val="21"/>
                <w:szCs w:val="21"/>
              </w:rPr>
              <w:t>（</w:t>
            </w:r>
            <w:r>
              <w:rPr>
                <w:rFonts w:ascii="Times New Roman" w:hAnsi="Times New Roman" w:eastAsia="Times New Roman" w:cs="Times New Roman"/>
                <w:spacing w:val="-2"/>
                <w:sz w:val="21"/>
                <w:szCs w:val="21"/>
              </w:rPr>
              <w:t>GB3096-2008</w:t>
            </w:r>
            <w:r>
              <w:rPr>
                <w:spacing w:val="-2"/>
                <w:sz w:val="21"/>
                <w:szCs w:val="21"/>
              </w:rPr>
              <w:t>）、《建筑施</w:t>
            </w:r>
            <w:r>
              <w:rPr>
                <w:spacing w:val="12"/>
                <w:sz w:val="21"/>
                <w:szCs w:val="21"/>
              </w:rPr>
              <w:t xml:space="preserve"> </w:t>
            </w:r>
            <w:r>
              <w:rPr>
                <w:spacing w:val="-1"/>
                <w:sz w:val="21"/>
                <w:szCs w:val="21"/>
              </w:rPr>
              <w:t>工场界环境噪声排放标准》</w:t>
            </w:r>
          </w:p>
          <w:p>
            <w:pPr>
              <w:pStyle w:val="6"/>
              <w:spacing w:before="75" w:line="233" w:lineRule="auto"/>
              <w:ind w:left="568"/>
              <w:rPr>
                <w:sz w:val="21"/>
                <w:szCs w:val="21"/>
              </w:rPr>
            </w:pPr>
            <w:r>
              <w:rPr>
                <w:spacing w:val="-2"/>
                <w:sz w:val="21"/>
                <w:szCs w:val="21"/>
              </w:rPr>
              <w:t>（</w:t>
            </w:r>
            <w:r>
              <w:rPr>
                <w:rFonts w:ascii="Times New Roman" w:hAnsi="Times New Roman" w:eastAsia="Times New Roman" w:cs="Times New Roman"/>
                <w:spacing w:val="-2"/>
                <w:sz w:val="21"/>
                <w:szCs w:val="21"/>
              </w:rPr>
              <w:t>GB12523-2011</w:t>
            </w:r>
            <w:r>
              <w:rPr>
                <w:spacing w:val="-2"/>
                <w:sz w:val="21"/>
                <w:szCs w:val="21"/>
              </w:rPr>
              <w:t>）</w:t>
            </w:r>
          </w:p>
        </w:tc>
        <w:tc>
          <w:tcPr>
            <w:tcW w:w="852"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588" w:type="dxa"/>
            <w:vMerge w:val="continue"/>
            <w:tcBorders>
              <w:top w:val="nil"/>
            </w:tcBorders>
            <w:vAlign w:val="top"/>
          </w:tcPr>
          <w:p>
            <w:pPr>
              <w:rPr>
                <w:rFonts w:ascii="Arial"/>
                <w:sz w:val="21"/>
              </w:rPr>
            </w:pPr>
          </w:p>
        </w:tc>
        <w:tc>
          <w:tcPr>
            <w:tcW w:w="1197" w:type="dxa"/>
            <w:vAlign w:val="top"/>
          </w:tcPr>
          <w:p>
            <w:pPr>
              <w:pStyle w:val="6"/>
              <w:spacing w:before="225" w:line="221" w:lineRule="auto"/>
              <w:ind w:left="287"/>
              <w:rPr>
                <w:sz w:val="21"/>
                <w:szCs w:val="21"/>
              </w:rPr>
            </w:pPr>
            <w:r>
              <w:rPr>
                <w:spacing w:val="-2"/>
                <w:sz w:val="21"/>
                <w:szCs w:val="21"/>
              </w:rPr>
              <w:t>地下水</w:t>
            </w:r>
          </w:p>
        </w:tc>
        <w:tc>
          <w:tcPr>
            <w:tcW w:w="6913" w:type="dxa"/>
            <w:vAlign w:val="top"/>
          </w:tcPr>
          <w:p>
            <w:pPr>
              <w:pStyle w:val="6"/>
              <w:spacing w:before="90" w:line="229" w:lineRule="auto"/>
              <w:ind w:left="70" w:right="62" w:hanging="11"/>
              <w:rPr>
                <w:sz w:val="21"/>
                <w:szCs w:val="21"/>
              </w:rPr>
            </w:pPr>
            <w:r>
              <w:rPr>
                <w:spacing w:val="-2"/>
                <w:sz w:val="21"/>
                <w:szCs w:val="21"/>
              </w:rPr>
              <w:t xml:space="preserve">在井口西南侧设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9"/>
                <w:sz w:val="21"/>
                <w:szCs w:val="21"/>
              </w:rPr>
              <w:t xml:space="preserve"> </w:t>
            </w:r>
            <w:r>
              <w:rPr>
                <w:spacing w:val="-2"/>
                <w:sz w:val="21"/>
                <w:szCs w:val="21"/>
              </w:rPr>
              <w:t>个监测点和东南侧设置</w:t>
            </w:r>
            <w:r>
              <w:rPr>
                <w:spacing w:val="-29"/>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26"/>
                <w:sz w:val="21"/>
                <w:szCs w:val="21"/>
              </w:rPr>
              <w:t xml:space="preserve"> </w:t>
            </w:r>
            <w:r>
              <w:rPr>
                <w:spacing w:val="-2"/>
                <w:sz w:val="21"/>
                <w:szCs w:val="21"/>
              </w:rPr>
              <w:t>个监测点位，主要为地下水影</w:t>
            </w:r>
            <w:r>
              <w:rPr>
                <w:sz w:val="21"/>
                <w:szCs w:val="21"/>
              </w:rPr>
              <w:t xml:space="preserve"> </w:t>
            </w:r>
            <w:r>
              <w:rPr>
                <w:spacing w:val="-3"/>
                <w:sz w:val="21"/>
                <w:szCs w:val="21"/>
              </w:rPr>
              <w:t>响跟踪监测及污染扩散监测点。</w:t>
            </w:r>
          </w:p>
        </w:tc>
        <w:tc>
          <w:tcPr>
            <w:tcW w:w="2831" w:type="dxa"/>
            <w:vAlign w:val="top"/>
          </w:tcPr>
          <w:p>
            <w:pPr>
              <w:pStyle w:val="6"/>
              <w:spacing w:before="34" w:line="260" w:lineRule="auto"/>
              <w:ind w:left="472" w:right="467" w:firstLine="4"/>
              <w:rPr>
                <w:sz w:val="21"/>
                <w:szCs w:val="21"/>
              </w:rPr>
            </w:pPr>
            <w:r>
              <w:rPr>
                <w:spacing w:val="-2"/>
                <w:sz w:val="21"/>
                <w:szCs w:val="21"/>
              </w:rPr>
              <w:t>《地下水质量标准》</w:t>
            </w:r>
            <w:r>
              <w:rPr>
                <w:spacing w:val="2"/>
                <w:sz w:val="21"/>
                <w:szCs w:val="21"/>
              </w:rPr>
              <w:t xml:space="preserve"> </w:t>
            </w:r>
            <w:r>
              <w:rPr>
                <w:spacing w:val="-2"/>
                <w:sz w:val="21"/>
                <w:szCs w:val="21"/>
              </w:rPr>
              <w:t>（</w:t>
            </w:r>
            <w:r>
              <w:rPr>
                <w:rFonts w:ascii="Times New Roman" w:hAnsi="Times New Roman" w:eastAsia="Times New Roman" w:cs="Times New Roman"/>
                <w:spacing w:val="-2"/>
                <w:sz w:val="21"/>
                <w:szCs w:val="21"/>
              </w:rPr>
              <w:t>GB/T14848-2017</w:t>
            </w:r>
            <w:r>
              <w:rPr>
                <w:spacing w:val="-2"/>
                <w:sz w:val="21"/>
                <w:szCs w:val="21"/>
              </w:rPr>
              <w:t>）</w:t>
            </w: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bl>
    <w:p>
      <w:pPr>
        <w:pStyle w:val="2"/>
        <w:rPr>
          <w:sz w:val="21"/>
        </w:rPr>
      </w:pPr>
    </w:p>
    <w:p>
      <w:pPr>
        <w:rPr>
          <w:sz w:val="21"/>
          <w:szCs w:val="21"/>
        </w:rPr>
        <w:sectPr>
          <w:footerReference r:id="rId157" w:type="default"/>
          <w:pgSz w:w="16839" w:h="11907"/>
          <w:pgMar w:top="400" w:right="1358" w:bottom="1181" w:left="1360" w:header="0" w:footer="920" w:gutter="0"/>
          <w:cols w:space="720" w:num="1"/>
        </w:sectPr>
      </w:pPr>
    </w:p>
    <w:p>
      <w:pPr>
        <w:spacing w:before="13"/>
      </w:pPr>
    </w:p>
    <w:p>
      <w:pPr>
        <w:spacing w:before="13"/>
      </w:pPr>
    </w:p>
    <w:p>
      <w:pPr>
        <w:spacing w:before="13"/>
      </w:pPr>
    </w:p>
    <w:p>
      <w:pPr>
        <w:spacing w:before="13"/>
      </w:pPr>
    </w:p>
    <w:tbl>
      <w:tblPr>
        <w:tblStyle w:val="5"/>
        <w:tblW w:w="141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1197"/>
        <w:gridCol w:w="6913"/>
        <w:gridCol w:w="2831"/>
        <w:gridCol w:w="852"/>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588" w:type="dxa"/>
            <w:vMerge w:val="restart"/>
            <w:tcBorders>
              <w:bottom w:val="nil"/>
            </w:tcBorders>
            <w:vAlign w:val="top"/>
          </w:tcPr>
          <w:p>
            <w:pPr>
              <w:rPr>
                <w:rFonts w:ascii="Arial"/>
                <w:sz w:val="21"/>
              </w:rPr>
            </w:pPr>
          </w:p>
        </w:tc>
        <w:tc>
          <w:tcPr>
            <w:tcW w:w="1197" w:type="dxa"/>
            <w:vAlign w:val="top"/>
          </w:tcPr>
          <w:p>
            <w:pPr>
              <w:rPr>
                <w:rFonts w:ascii="Arial"/>
                <w:sz w:val="21"/>
              </w:rPr>
            </w:pPr>
          </w:p>
        </w:tc>
        <w:tc>
          <w:tcPr>
            <w:tcW w:w="6913" w:type="dxa"/>
            <w:vAlign w:val="top"/>
          </w:tcPr>
          <w:p>
            <w:pPr>
              <w:pStyle w:val="6"/>
              <w:spacing w:before="33" w:line="229" w:lineRule="auto"/>
              <w:ind w:left="59" w:firstLine="1"/>
              <w:jc w:val="both"/>
              <w:rPr>
                <w:sz w:val="21"/>
                <w:szCs w:val="21"/>
              </w:rPr>
            </w:pPr>
            <w:r>
              <w:rPr>
                <w:spacing w:val="-4"/>
                <w:sz w:val="21"/>
                <w:szCs w:val="21"/>
              </w:rPr>
              <w:t xml:space="preserve">监测因子： </w:t>
            </w:r>
            <w:r>
              <w:rPr>
                <w:rFonts w:ascii="Times New Roman" w:hAnsi="Times New Roman" w:eastAsia="Times New Roman" w:cs="Times New Roman"/>
                <w:spacing w:val="-4"/>
                <w:sz w:val="21"/>
                <w:szCs w:val="21"/>
              </w:rPr>
              <w:t>pH</w:t>
            </w:r>
            <w:r>
              <w:rPr>
                <w:spacing w:val="-4"/>
                <w:sz w:val="21"/>
                <w:szCs w:val="21"/>
              </w:rPr>
              <w:t>、总硬度、溶解性总固体、铁、锰、挥发性酚类、耗氧量、</w:t>
            </w:r>
            <w:r>
              <w:rPr>
                <w:spacing w:val="5"/>
                <w:sz w:val="21"/>
                <w:szCs w:val="21"/>
              </w:rPr>
              <w:t xml:space="preserve">  </w:t>
            </w:r>
            <w:r>
              <w:rPr>
                <w:spacing w:val="1"/>
                <w:sz w:val="21"/>
                <w:szCs w:val="21"/>
              </w:rPr>
              <w:t>氨氮、硫化物、总大肠菌群、菌落总数、硝酸盐、氰</w:t>
            </w:r>
            <w:r>
              <w:rPr>
                <w:sz w:val="21"/>
                <w:szCs w:val="21"/>
              </w:rPr>
              <w:t xml:space="preserve">化物、砷、钡、汞、  </w:t>
            </w:r>
            <w:r>
              <w:rPr>
                <w:spacing w:val="-4"/>
                <w:sz w:val="21"/>
                <w:szCs w:val="21"/>
              </w:rPr>
              <w:t>铬（六价）</w:t>
            </w:r>
            <w:r>
              <w:rPr>
                <w:spacing w:val="-25"/>
                <w:sz w:val="21"/>
                <w:szCs w:val="21"/>
              </w:rPr>
              <w:t xml:space="preserve"> </w:t>
            </w:r>
            <w:r>
              <w:rPr>
                <w:spacing w:val="-4"/>
                <w:sz w:val="21"/>
                <w:szCs w:val="21"/>
              </w:rPr>
              <w:t>、石油类、</w:t>
            </w:r>
            <w:r>
              <w:rPr>
                <w:rFonts w:ascii="Times New Roman" w:hAnsi="Times New Roman" w:eastAsia="Times New Roman" w:cs="Times New Roman"/>
                <w:spacing w:val="-4"/>
                <w:sz w:val="21"/>
                <w:szCs w:val="21"/>
              </w:rPr>
              <w:t>CO</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10"/>
                <w:position w:val="6"/>
                <w:sz w:val="13"/>
                <w:szCs w:val="13"/>
              </w:rPr>
              <w:t xml:space="preserve"> </w:t>
            </w:r>
            <w:r>
              <w:rPr>
                <w:spacing w:val="-4"/>
                <w:sz w:val="21"/>
                <w:szCs w:val="21"/>
              </w:rPr>
              <w:t>、</w:t>
            </w:r>
            <w:r>
              <w:rPr>
                <w:rFonts w:ascii="Times New Roman" w:hAnsi="Times New Roman" w:eastAsia="Times New Roman" w:cs="Times New Roman"/>
                <w:spacing w:val="-4"/>
                <w:sz w:val="21"/>
                <w:szCs w:val="21"/>
              </w:rPr>
              <w:t>HCO</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position w:val="6"/>
                <w:sz w:val="13"/>
                <w:szCs w:val="13"/>
              </w:rPr>
              <w:t>-</w:t>
            </w:r>
            <w:r>
              <w:rPr>
                <w:rFonts w:ascii="Times New Roman" w:hAnsi="Times New Roman" w:eastAsia="Times New Roman" w:cs="Times New Roman"/>
                <w:spacing w:val="-10"/>
                <w:position w:val="6"/>
                <w:sz w:val="13"/>
                <w:szCs w:val="13"/>
              </w:rPr>
              <w:t xml:space="preserve"> </w:t>
            </w:r>
            <w:r>
              <w:rPr>
                <w:spacing w:val="-4"/>
                <w:sz w:val="21"/>
                <w:szCs w:val="21"/>
              </w:rPr>
              <w:t>、</w:t>
            </w:r>
            <w:r>
              <w:rPr>
                <w:rFonts w:ascii="Times New Roman" w:hAnsi="Times New Roman" w:eastAsia="Times New Roman" w:cs="Times New Roman"/>
                <w:spacing w:val="-4"/>
                <w:sz w:val="21"/>
                <w:szCs w:val="21"/>
              </w:rPr>
              <w:t>Ca</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9"/>
                <w:position w:val="6"/>
                <w:sz w:val="13"/>
                <w:szCs w:val="13"/>
              </w:rPr>
              <w:t xml:space="preserve"> </w:t>
            </w:r>
            <w:r>
              <w:rPr>
                <w:spacing w:val="-4"/>
                <w:sz w:val="21"/>
                <w:szCs w:val="21"/>
              </w:rPr>
              <w:t>、</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5"/>
                <w:sz w:val="21"/>
                <w:szCs w:val="21"/>
              </w:rPr>
              <w:t>g</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spacing w:val="-5"/>
                <w:sz w:val="21"/>
                <w:szCs w:val="21"/>
              </w:rPr>
              <w:t>、</w:t>
            </w:r>
            <w:r>
              <w:rPr>
                <w:rFonts w:ascii="Times New Roman" w:hAnsi="Times New Roman" w:eastAsia="Times New Roman" w:cs="Times New Roman"/>
                <w:spacing w:val="-5"/>
                <w:sz w:val="21"/>
                <w:szCs w:val="21"/>
              </w:rPr>
              <w:t>K</w:t>
            </w:r>
            <w:r>
              <w:rPr>
                <w:rFonts w:ascii="Times New Roman" w:hAnsi="Times New Roman" w:eastAsia="Times New Roman" w:cs="Times New Roman"/>
                <w:spacing w:val="-5"/>
                <w:position w:val="6"/>
                <w:sz w:val="13"/>
                <w:szCs w:val="13"/>
              </w:rPr>
              <w:t>+</w:t>
            </w:r>
            <w:r>
              <w:rPr>
                <w:rFonts w:ascii="Times New Roman" w:hAnsi="Times New Roman" w:eastAsia="Times New Roman" w:cs="Times New Roman"/>
                <w:spacing w:val="-9"/>
                <w:position w:val="6"/>
                <w:sz w:val="13"/>
                <w:szCs w:val="13"/>
              </w:rPr>
              <w:t xml:space="preserve"> </w:t>
            </w:r>
            <w:r>
              <w:rPr>
                <w:spacing w:val="-5"/>
                <w:sz w:val="21"/>
                <w:szCs w:val="21"/>
              </w:rPr>
              <w:t>、</w:t>
            </w:r>
            <w:r>
              <w:rPr>
                <w:rFonts w:ascii="Times New Roman" w:hAnsi="Times New Roman" w:eastAsia="Times New Roman" w:cs="Times New Roman"/>
                <w:spacing w:val="-5"/>
                <w:sz w:val="21"/>
                <w:szCs w:val="21"/>
              </w:rPr>
              <w:t>Na</w:t>
            </w:r>
            <w:r>
              <w:rPr>
                <w:rFonts w:ascii="Times New Roman" w:hAnsi="Times New Roman" w:eastAsia="Times New Roman" w:cs="Times New Roman"/>
                <w:spacing w:val="-5"/>
                <w:position w:val="6"/>
                <w:sz w:val="13"/>
                <w:szCs w:val="13"/>
              </w:rPr>
              <w:t>+</w:t>
            </w:r>
            <w:r>
              <w:rPr>
                <w:rFonts w:ascii="Times New Roman" w:hAnsi="Times New Roman" w:eastAsia="Times New Roman" w:cs="Times New Roman"/>
                <w:spacing w:val="-11"/>
                <w:position w:val="6"/>
                <w:sz w:val="13"/>
                <w:szCs w:val="13"/>
              </w:rPr>
              <w:t xml:space="preserve"> </w:t>
            </w:r>
            <w:r>
              <w:rPr>
                <w:spacing w:val="-5"/>
                <w:sz w:val="21"/>
                <w:szCs w:val="21"/>
              </w:rPr>
              <w:t>、</w:t>
            </w:r>
            <w:r>
              <w:rPr>
                <w:rFonts w:ascii="Times New Roman" w:hAnsi="Times New Roman" w:eastAsia="Times New Roman" w:cs="Times New Roman"/>
                <w:spacing w:val="-5"/>
                <w:sz w:val="21"/>
                <w:szCs w:val="21"/>
              </w:rPr>
              <w:t>Cl</w:t>
            </w:r>
            <w:r>
              <w:rPr>
                <w:rFonts w:ascii="Times New Roman" w:hAnsi="Times New Roman" w:eastAsia="Times New Roman" w:cs="Times New Roman"/>
                <w:spacing w:val="-5"/>
                <w:position w:val="6"/>
                <w:sz w:val="13"/>
                <w:szCs w:val="13"/>
              </w:rPr>
              <w:t>-</w:t>
            </w:r>
            <w:r>
              <w:rPr>
                <w:rFonts w:ascii="Times New Roman" w:hAnsi="Times New Roman" w:eastAsia="Times New Roman" w:cs="Times New Roman"/>
                <w:spacing w:val="-10"/>
                <w:position w:val="6"/>
                <w:sz w:val="13"/>
                <w:szCs w:val="13"/>
              </w:rPr>
              <w:t xml:space="preserve"> </w:t>
            </w:r>
            <w:r>
              <w:rPr>
                <w:spacing w:val="-5"/>
                <w:sz w:val="21"/>
                <w:szCs w:val="21"/>
              </w:rPr>
              <w:t>、</w:t>
            </w:r>
            <w:r>
              <w:rPr>
                <w:rFonts w:ascii="Times New Roman" w:hAnsi="Times New Roman" w:eastAsia="Times New Roman" w:cs="Times New Roman"/>
                <w:spacing w:val="-5"/>
                <w:sz w:val="21"/>
                <w:szCs w:val="21"/>
              </w:rPr>
              <w:t>SO</w:t>
            </w:r>
            <w:r>
              <w:rPr>
                <w:rFonts w:ascii="Times New Roman" w:hAnsi="Times New Roman" w:eastAsia="Times New Roman" w:cs="Times New Roman"/>
                <w:spacing w:val="-5"/>
                <w:position w:val="-2"/>
                <w:sz w:val="13"/>
                <w:szCs w:val="13"/>
              </w:rPr>
              <w:t>4</w:t>
            </w:r>
            <w:r>
              <w:rPr>
                <w:rFonts w:ascii="Times New Roman" w:hAnsi="Times New Roman" w:eastAsia="Times New Roman" w:cs="Times New Roman"/>
                <w:spacing w:val="-5"/>
                <w:position w:val="6"/>
                <w:sz w:val="13"/>
                <w:szCs w:val="13"/>
              </w:rPr>
              <w:t>2-</w:t>
            </w:r>
            <w:r>
              <w:rPr>
                <w:spacing w:val="-5"/>
                <w:sz w:val="21"/>
                <w:szCs w:val="21"/>
              </w:rPr>
              <w:t>。</w:t>
            </w:r>
          </w:p>
        </w:tc>
        <w:tc>
          <w:tcPr>
            <w:tcW w:w="2831" w:type="dxa"/>
            <w:vAlign w:val="top"/>
          </w:tcPr>
          <w:p>
            <w:pPr>
              <w:rPr>
                <w:rFonts w:ascii="Arial"/>
                <w:sz w:val="21"/>
              </w:rPr>
            </w:pPr>
          </w:p>
        </w:tc>
        <w:tc>
          <w:tcPr>
            <w:tcW w:w="852" w:type="dxa"/>
            <w:vMerge w:val="restart"/>
            <w:tcBorders>
              <w:bottom w:val="nil"/>
            </w:tcBorders>
            <w:vAlign w:val="top"/>
          </w:tcPr>
          <w:p>
            <w:pPr>
              <w:rPr>
                <w:rFonts w:ascii="Arial"/>
                <w:sz w:val="21"/>
              </w:rPr>
            </w:pPr>
          </w:p>
        </w:tc>
        <w:tc>
          <w:tcPr>
            <w:tcW w:w="732"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2" w:hRule="atLeast"/>
        </w:trPr>
        <w:tc>
          <w:tcPr>
            <w:tcW w:w="1588" w:type="dxa"/>
            <w:vMerge w:val="continue"/>
            <w:tcBorders>
              <w:top w:val="nil"/>
            </w:tcBorders>
            <w:vAlign w:val="top"/>
          </w:tcPr>
          <w:p>
            <w:pPr>
              <w:rPr>
                <w:rFonts w:ascii="Arial"/>
                <w:sz w:val="21"/>
              </w:rPr>
            </w:pPr>
          </w:p>
        </w:tc>
        <w:tc>
          <w:tcPr>
            <w:tcW w:w="119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8" w:line="222" w:lineRule="auto"/>
              <w:ind w:left="394"/>
              <w:rPr>
                <w:sz w:val="21"/>
                <w:szCs w:val="21"/>
              </w:rPr>
            </w:pPr>
            <w:r>
              <w:rPr>
                <w:spacing w:val="-2"/>
                <w:sz w:val="21"/>
                <w:szCs w:val="21"/>
              </w:rPr>
              <w:t>土壤</w:t>
            </w:r>
          </w:p>
        </w:tc>
        <w:tc>
          <w:tcPr>
            <w:tcW w:w="691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21" w:lineRule="auto"/>
              <w:ind w:left="59"/>
              <w:rPr>
                <w:sz w:val="21"/>
                <w:szCs w:val="21"/>
              </w:rPr>
            </w:pPr>
            <w:r>
              <w:rPr>
                <w:spacing w:val="-2"/>
                <w:sz w:val="21"/>
                <w:szCs w:val="21"/>
              </w:rPr>
              <w:t>在清洁化操作平台旁设置</w:t>
            </w:r>
            <w:r>
              <w:rPr>
                <w:spacing w:val="-21"/>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个监测点位。</w:t>
            </w:r>
          </w:p>
          <w:p>
            <w:pPr>
              <w:pStyle w:val="6"/>
              <w:spacing w:before="22" w:line="214" w:lineRule="auto"/>
              <w:ind w:left="61"/>
              <w:rPr>
                <w:sz w:val="21"/>
                <w:szCs w:val="21"/>
              </w:rPr>
            </w:pPr>
            <w:r>
              <w:rPr>
                <w:spacing w:val="-11"/>
                <w:sz w:val="21"/>
                <w:szCs w:val="21"/>
                <w14:textOutline w14:w="3831" w14:cap="flat" w14:cmpd="sng">
                  <w14:solidFill>
                    <w14:srgbClr w14:val="000000"/>
                  </w14:solidFill>
                  <w14:prstDash w14:val="solid"/>
                  <w14:miter w14:val="10"/>
                </w14:textOutline>
              </w:rPr>
              <w:t>监测因子：</w:t>
            </w:r>
            <w:r>
              <w:rPr>
                <w:spacing w:val="62"/>
                <w:sz w:val="21"/>
                <w:szCs w:val="21"/>
              </w:rPr>
              <w:t xml:space="preserve"> </w:t>
            </w:r>
            <w:r>
              <w:rPr>
                <w:rFonts w:ascii="Times New Roman" w:hAnsi="Times New Roman" w:eastAsia="Times New Roman" w:cs="Times New Roman"/>
                <w:spacing w:val="-11"/>
                <w:sz w:val="21"/>
                <w:szCs w:val="21"/>
              </w:rPr>
              <w:t>pH</w:t>
            </w:r>
            <w:r>
              <w:rPr>
                <w:rFonts w:ascii="Times New Roman" w:hAnsi="Times New Roman" w:eastAsia="Times New Roman" w:cs="Times New Roman"/>
                <w:spacing w:val="-29"/>
                <w:sz w:val="21"/>
                <w:szCs w:val="21"/>
              </w:rPr>
              <w:t xml:space="preserve"> </w:t>
            </w:r>
            <w:r>
              <w:rPr>
                <w:spacing w:val="-11"/>
                <w:sz w:val="21"/>
                <w:szCs w:val="21"/>
              </w:rPr>
              <w:t>、</w:t>
            </w:r>
            <w:r>
              <w:rPr>
                <w:rFonts w:ascii="Times New Roman" w:hAnsi="Times New Roman" w:eastAsia="Times New Roman" w:cs="Times New Roman"/>
                <w:spacing w:val="-11"/>
                <w:sz w:val="21"/>
                <w:szCs w:val="21"/>
              </w:rPr>
              <w:t>SSC</w:t>
            </w:r>
            <w:r>
              <w:rPr>
                <w:spacing w:val="-11"/>
                <w:sz w:val="21"/>
                <w:szCs w:val="21"/>
              </w:rPr>
              <w:t>、石油烃（</w:t>
            </w:r>
            <w:r>
              <w:rPr>
                <w:rFonts w:ascii="Times New Roman" w:hAnsi="Times New Roman" w:eastAsia="Times New Roman" w:cs="Times New Roman"/>
                <w:spacing w:val="-11"/>
                <w:sz w:val="21"/>
                <w:szCs w:val="21"/>
              </w:rPr>
              <w:t>C</w:t>
            </w:r>
            <w:r>
              <w:rPr>
                <w:rFonts w:ascii="Times New Roman" w:hAnsi="Times New Roman" w:eastAsia="Times New Roman" w:cs="Times New Roman"/>
                <w:spacing w:val="-1"/>
                <w:position w:val="-1"/>
                <w:sz w:val="13"/>
                <w:szCs w:val="13"/>
              </w:rPr>
              <w:t>10</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 xml:space="preserve">40 </w:t>
            </w:r>
            <w:r>
              <w:rPr>
                <w:spacing w:val="-1"/>
                <w:sz w:val="21"/>
                <w:szCs w:val="21"/>
              </w:rPr>
              <w:t>）、硫化物、氯化物、钡</w:t>
            </w:r>
            <w:r>
              <w:rPr>
                <w:spacing w:val="-1"/>
                <w:sz w:val="21"/>
                <w:szCs w:val="21"/>
                <w14:textOutline w14:w="3831" w14:cap="flat" w14:cmpd="sng">
                  <w14:solidFill>
                    <w14:srgbClr w14:val="000000"/>
                  </w14:solidFill>
                  <w14:prstDash w14:val="solid"/>
                  <w14:miter w14:val="10"/>
                </w14:textOutline>
              </w:rPr>
              <w:t>。</w:t>
            </w:r>
          </w:p>
        </w:tc>
        <w:tc>
          <w:tcPr>
            <w:tcW w:w="2831" w:type="dxa"/>
            <w:vAlign w:val="top"/>
          </w:tcPr>
          <w:p>
            <w:pPr>
              <w:pStyle w:val="6"/>
              <w:spacing w:before="31" w:line="221" w:lineRule="auto"/>
              <w:ind w:left="79"/>
              <w:rPr>
                <w:sz w:val="21"/>
                <w:szCs w:val="21"/>
              </w:rPr>
            </w:pPr>
            <w:r>
              <w:rPr>
                <w:spacing w:val="-1"/>
                <w:sz w:val="21"/>
                <w:szCs w:val="21"/>
              </w:rPr>
              <w:t>含盐量（</w:t>
            </w:r>
            <w:r>
              <w:rPr>
                <w:rFonts w:ascii="Times New Roman" w:hAnsi="Times New Roman" w:eastAsia="Times New Roman" w:cs="Times New Roman"/>
                <w:spacing w:val="-1"/>
                <w:sz w:val="21"/>
                <w:szCs w:val="21"/>
              </w:rPr>
              <w:t>SSC</w:t>
            </w:r>
            <w:r>
              <w:rPr>
                <w:spacing w:val="-1"/>
                <w:sz w:val="21"/>
                <w:szCs w:val="21"/>
              </w:rPr>
              <w:t>）参照《环境影</w:t>
            </w:r>
          </w:p>
          <w:p>
            <w:pPr>
              <w:pStyle w:val="6"/>
              <w:spacing w:before="77" w:line="281" w:lineRule="auto"/>
              <w:ind w:left="62" w:firstLine="159"/>
              <w:rPr>
                <w:sz w:val="21"/>
                <w:szCs w:val="21"/>
              </w:rPr>
            </w:pPr>
            <w:r>
              <w:rPr>
                <w:spacing w:val="-5"/>
                <w:sz w:val="21"/>
                <w:szCs w:val="21"/>
              </w:rPr>
              <w:t>响评价技术导则 土壤环境</w:t>
            </w:r>
            <w:r>
              <w:rPr>
                <w:sz w:val="21"/>
                <w:szCs w:val="21"/>
              </w:rPr>
              <w:t xml:space="preserve">   </w:t>
            </w:r>
            <w:r>
              <w:rPr>
                <w:spacing w:val="-6"/>
                <w:sz w:val="21"/>
                <w:szCs w:val="21"/>
              </w:rPr>
              <w:t>（试行）》（</w:t>
            </w:r>
            <w:r>
              <w:rPr>
                <w:rFonts w:ascii="Times New Roman" w:hAnsi="Times New Roman" w:eastAsia="Times New Roman" w:cs="Times New Roman"/>
                <w:spacing w:val="-6"/>
                <w:sz w:val="21"/>
                <w:szCs w:val="21"/>
              </w:rPr>
              <w:t>HJ 964-2018</w:t>
            </w:r>
            <w:r>
              <w:rPr>
                <w:spacing w:val="-6"/>
                <w:sz w:val="21"/>
                <w:szCs w:val="21"/>
              </w:rPr>
              <w:t>）附</w:t>
            </w:r>
            <w:r>
              <w:rPr>
                <w:sz w:val="21"/>
                <w:szCs w:val="21"/>
              </w:rPr>
              <w:t xml:space="preserve">  </w:t>
            </w:r>
            <w:r>
              <w:rPr>
                <w:spacing w:val="-10"/>
                <w:sz w:val="21"/>
                <w:szCs w:val="21"/>
              </w:rPr>
              <w:t>录</w:t>
            </w:r>
            <w:r>
              <w:rPr>
                <w:spacing w:val="-39"/>
                <w:sz w:val="21"/>
                <w:szCs w:val="21"/>
              </w:rPr>
              <w:t xml:space="preserve"> </w:t>
            </w:r>
            <w:r>
              <w:rPr>
                <w:rFonts w:ascii="Times New Roman" w:hAnsi="Times New Roman" w:eastAsia="Times New Roman" w:cs="Times New Roman"/>
                <w:spacing w:val="-10"/>
                <w:sz w:val="21"/>
                <w:szCs w:val="21"/>
              </w:rPr>
              <w:t>D.1</w:t>
            </w:r>
            <w:r>
              <w:rPr>
                <w:rFonts w:ascii="Times New Roman" w:hAnsi="Times New Roman" w:eastAsia="Times New Roman" w:cs="Times New Roman"/>
                <w:spacing w:val="27"/>
                <w:sz w:val="21"/>
                <w:szCs w:val="21"/>
              </w:rPr>
              <w:t xml:space="preserve"> </w:t>
            </w:r>
            <w:r>
              <w:rPr>
                <w:spacing w:val="-10"/>
                <w:sz w:val="21"/>
                <w:szCs w:val="21"/>
              </w:rPr>
              <w:t>中土壤盐化分级标准；</w:t>
            </w:r>
            <w:r>
              <w:rPr>
                <w:sz w:val="21"/>
                <w:szCs w:val="21"/>
              </w:rPr>
              <w:t xml:space="preserve">  </w:t>
            </w:r>
            <w:r>
              <w:rPr>
                <w:rFonts w:ascii="Times New Roman" w:hAnsi="Times New Roman" w:eastAsia="Times New Roman" w:cs="Times New Roman"/>
                <w:spacing w:val="-1"/>
                <w:sz w:val="21"/>
                <w:szCs w:val="21"/>
              </w:rPr>
              <w:t xml:space="preserve">pH </w:t>
            </w:r>
            <w:r>
              <w:rPr>
                <w:spacing w:val="-1"/>
                <w:sz w:val="21"/>
                <w:szCs w:val="21"/>
              </w:rPr>
              <w:t>标准参照《环境影响评价</w:t>
            </w:r>
            <w:r>
              <w:rPr>
                <w:spacing w:val="5"/>
                <w:sz w:val="21"/>
                <w:szCs w:val="21"/>
              </w:rPr>
              <w:t xml:space="preserve">  </w:t>
            </w:r>
            <w:r>
              <w:rPr>
                <w:spacing w:val="-6"/>
                <w:sz w:val="21"/>
                <w:szCs w:val="21"/>
              </w:rPr>
              <w:t>技术导则 土壤环境（试行）》</w:t>
            </w:r>
            <w:r>
              <w:rPr>
                <w:spacing w:val="11"/>
                <w:sz w:val="21"/>
                <w:szCs w:val="21"/>
              </w:rPr>
              <w:t xml:space="preserve"> </w:t>
            </w:r>
            <w:r>
              <w:rPr>
                <w:spacing w:val="-7"/>
                <w:sz w:val="21"/>
                <w:szCs w:val="21"/>
              </w:rPr>
              <w:t>（</w:t>
            </w:r>
            <w:r>
              <w:rPr>
                <w:rFonts w:ascii="Times New Roman" w:hAnsi="Times New Roman" w:eastAsia="Times New Roman" w:cs="Times New Roman"/>
                <w:spacing w:val="-7"/>
                <w:sz w:val="21"/>
                <w:szCs w:val="21"/>
              </w:rPr>
              <w:t>HJ 964-2018</w:t>
            </w:r>
            <w:r>
              <w:rPr>
                <w:spacing w:val="-7"/>
                <w:sz w:val="21"/>
                <w:szCs w:val="21"/>
              </w:rPr>
              <w:t>）附录</w:t>
            </w:r>
            <w:r>
              <w:rPr>
                <w:spacing w:val="-36"/>
                <w:sz w:val="21"/>
                <w:szCs w:val="21"/>
              </w:rPr>
              <w:t xml:space="preserve"> </w:t>
            </w:r>
            <w:r>
              <w:rPr>
                <w:rFonts w:ascii="Times New Roman" w:hAnsi="Times New Roman" w:eastAsia="Times New Roman" w:cs="Times New Roman"/>
                <w:spacing w:val="-7"/>
                <w:sz w:val="21"/>
                <w:szCs w:val="21"/>
              </w:rPr>
              <w:t>D.2</w:t>
            </w:r>
            <w:r>
              <w:rPr>
                <w:rFonts w:ascii="Times New Roman" w:hAnsi="Times New Roman" w:eastAsia="Times New Roman" w:cs="Times New Roman"/>
                <w:spacing w:val="26"/>
                <w:sz w:val="21"/>
                <w:szCs w:val="21"/>
              </w:rPr>
              <w:t xml:space="preserve"> </w:t>
            </w:r>
            <w:r>
              <w:rPr>
                <w:spacing w:val="-7"/>
                <w:sz w:val="21"/>
                <w:szCs w:val="21"/>
              </w:rPr>
              <w:t>中土</w:t>
            </w:r>
            <w:r>
              <w:rPr>
                <w:sz w:val="21"/>
                <w:szCs w:val="21"/>
              </w:rPr>
              <w:t xml:space="preserve">  </w:t>
            </w:r>
            <w:r>
              <w:rPr>
                <w:spacing w:val="-5"/>
                <w:sz w:val="21"/>
                <w:szCs w:val="21"/>
              </w:rPr>
              <w:t>壤酸化、碱化分级标准；石油</w:t>
            </w:r>
            <w:r>
              <w:rPr>
                <w:spacing w:val="1"/>
                <w:sz w:val="21"/>
                <w:szCs w:val="21"/>
              </w:rPr>
              <w:t xml:space="preserve">  </w:t>
            </w:r>
            <w:r>
              <w:rPr>
                <w:spacing w:val="-1"/>
                <w:sz w:val="21"/>
                <w:szCs w:val="21"/>
              </w:rPr>
              <w:t>烃执行《土壤环境质量 建设</w:t>
            </w:r>
            <w:r>
              <w:rPr>
                <w:spacing w:val="3"/>
                <w:sz w:val="21"/>
                <w:szCs w:val="21"/>
              </w:rPr>
              <w:t xml:space="preserve">  用地土壤污染风险管控标准  </w:t>
            </w:r>
            <w:r>
              <w:rPr>
                <w:spacing w:val="-3"/>
                <w:sz w:val="21"/>
                <w:szCs w:val="21"/>
              </w:rPr>
              <w:t>（试行）》（</w:t>
            </w:r>
            <w:r>
              <w:rPr>
                <w:rFonts w:ascii="Times New Roman" w:hAnsi="Times New Roman" w:eastAsia="Times New Roman" w:cs="Times New Roman"/>
                <w:spacing w:val="-3"/>
                <w:sz w:val="21"/>
                <w:szCs w:val="21"/>
              </w:rPr>
              <w:t>GB36600-2018</w:t>
            </w:r>
            <w:r>
              <w:rPr>
                <w:spacing w:val="-3"/>
                <w:sz w:val="21"/>
                <w:szCs w:val="21"/>
              </w:rPr>
              <w:t>）</w:t>
            </w:r>
            <w:r>
              <w:rPr>
                <w:spacing w:val="7"/>
                <w:sz w:val="21"/>
                <w:szCs w:val="21"/>
              </w:rPr>
              <w:t xml:space="preserve"> </w:t>
            </w:r>
            <w:r>
              <w:rPr>
                <w:spacing w:val="-6"/>
                <w:sz w:val="21"/>
                <w:szCs w:val="21"/>
              </w:rPr>
              <w:t>其他项目第二类用地筛选值；</w:t>
            </w:r>
          </w:p>
          <w:p>
            <w:pPr>
              <w:pStyle w:val="6"/>
              <w:spacing w:before="77" w:line="254" w:lineRule="auto"/>
              <w:ind w:left="476" w:right="49" w:hanging="415"/>
              <w:rPr>
                <w:sz w:val="21"/>
                <w:szCs w:val="21"/>
              </w:rPr>
            </w:pPr>
            <w:r>
              <w:rPr>
                <w:spacing w:val="-2"/>
                <w:sz w:val="21"/>
                <w:szCs w:val="21"/>
              </w:rPr>
              <w:t>钡执行《四川省建设用地土壤</w:t>
            </w:r>
            <w:r>
              <w:rPr>
                <w:spacing w:val="9"/>
                <w:sz w:val="21"/>
                <w:szCs w:val="21"/>
              </w:rPr>
              <w:t xml:space="preserve"> </w:t>
            </w:r>
            <w:r>
              <w:rPr>
                <w:spacing w:val="-2"/>
                <w:sz w:val="21"/>
                <w:szCs w:val="21"/>
              </w:rPr>
              <w:t>污染风险管控标准》</w:t>
            </w:r>
          </w:p>
          <w:p>
            <w:pPr>
              <w:pStyle w:val="6"/>
              <w:spacing w:before="74" w:line="254" w:lineRule="auto"/>
              <w:ind w:left="685" w:right="49" w:hanging="617"/>
              <w:rPr>
                <w:sz w:val="21"/>
                <w:szCs w:val="21"/>
              </w:rPr>
            </w:pPr>
            <w:r>
              <w:rPr>
                <w:spacing w:val="-2"/>
                <w:sz w:val="21"/>
                <w:szCs w:val="21"/>
              </w:rPr>
              <w:t>（</w:t>
            </w:r>
            <w:r>
              <w:rPr>
                <w:rFonts w:ascii="Times New Roman" w:hAnsi="Times New Roman" w:eastAsia="Times New Roman" w:cs="Times New Roman"/>
                <w:spacing w:val="-2"/>
                <w:sz w:val="21"/>
                <w:szCs w:val="21"/>
              </w:rPr>
              <w:t>DB51/2978-2023</w:t>
            </w:r>
            <w:r>
              <w:rPr>
                <w:spacing w:val="-2"/>
                <w:sz w:val="21"/>
                <w:szCs w:val="21"/>
              </w:rPr>
              <w:t>）表一第二</w:t>
            </w:r>
            <w:r>
              <w:rPr>
                <w:spacing w:val="16"/>
                <w:sz w:val="21"/>
                <w:szCs w:val="21"/>
              </w:rPr>
              <w:t xml:space="preserve"> </w:t>
            </w:r>
            <w:r>
              <w:rPr>
                <w:spacing w:val="-3"/>
                <w:sz w:val="21"/>
                <w:szCs w:val="21"/>
              </w:rPr>
              <w:t>类用地筛选值。</w:t>
            </w:r>
          </w:p>
        </w:tc>
        <w:tc>
          <w:tcPr>
            <w:tcW w:w="852"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1588"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68" w:line="221" w:lineRule="auto"/>
              <w:ind w:left="592"/>
              <w:rPr>
                <w:sz w:val="21"/>
                <w:szCs w:val="21"/>
              </w:rPr>
            </w:pPr>
            <w:r>
              <w:rPr>
                <w:spacing w:val="-2"/>
                <w:sz w:val="21"/>
                <w:szCs w:val="21"/>
              </w:rPr>
              <w:t>其他</w:t>
            </w:r>
          </w:p>
        </w:tc>
        <w:tc>
          <w:tcPr>
            <w:tcW w:w="8110" w:type="dxa"/>
            <w:gridSpan w:val="2"/>
            <w:vAlign w:val="top"/>
          </w:tcPr>
          <w:p>
            <w:pPr>
              <w:pStyle w:val="6"/>
              <w:spacing w:before="35" w:line="254" w:lineRule="auto"/>
              <w:ind w:left="66" w:right="48" w:hanging="5"/>
              <w:rPr>
                <w:sz w:val="21"/>
                <w:szCs w:val="21"/>
              </w:rPr>
            </w:pPr>
            <w:r>
              <w:rPr>
                <w:spacing w:val="-5"/>
                <w:sz w:val="21"/>
                <w:szCs w:val="21"/>
              </w:rPr>
              <w:t>①环境管理制度： 具有环保机构， 环保资料和档案齐全，建立废水转运联单制度，具备</w:t>
            </w:r>
            <w:r>
              <w:rPr>
                <w:spacing w:val="3"/>
                <w:sz w:val="21"/>
                <w:szCs w:val="21"/>
              </w:rPr>
              <w:t xml:space="preserve"> </w:t>
            </w:r>
            <w:r>
              <w:rPr>
                <w:spacing w:val="-7"/>
                <w:sz w:val="21"/>
                <w:szCs w:val="21"/>
              </w:rPr>
              <w:t>交接清单；</w:t>
            </w:r>
          </w:p>
          <w:p>
            <w:pPr>
              <w:pStyle w:val="6"/>
              <w:spacing w:before="74" w:line="254" w:lineRule="auto"/>
              <w:ind w:left="63" w:right="48" w:hanging="3"/>
              <w:rPr>
                <w:sz w:val="21"/>
                <w:szCs w:val="21"/>
              </w:rPr>
            </w:pPr>
            <w:r>
              <w:rPr>
                <w:spacing w:val="-2"/>
                <w:sz w:val="21"/>
                <w:szCs w:val="21"/>
              </w:rPr>
              <w:t>②环境风险应急预案：具备符合行业规范和环评要求的环境</w:t>
            </w:r>
            <w:r>
              <w:rPr>
                <w:spacing w:val="-3"/>
                <w:sz w:val="21"/>
                <w:szCs w:val="21"/>
              </w:rPr>
              <w:t>风险应急预案， 应急预案演</w:t>
            </w:r>
            <w:r>
              <w:rPr>
                <w:sz w:val="21"/>
                <w:szCs w:val="21"/>
              </w:rPr>
              <w:t xml:space="preserve"> </w:t>
            </w:r>
            <w:r>
              <w:rPr>
                <w:spacing w:val="-2"/>
                <w:sz w:val="21"/>
                <w:szCs w:val="21"/>
              </w:rPr>
              <w:t>练档案齐全；</w:t>
            </w:r>
          </w:p>
          <w:p>
            <w:pPr>
              <w:pStyle w:val="6"/>
              <w:spacing w:before="75" w:line="254" w:lineRule="auto"/>
              <w:ind w:left="62" w:right="48" w:hanging="2"/>
              <w:rPr>
                <w:sz w:val="21"/>
                <w:szCs w:val="21"/>
              </w:rPr>
            </w:pPr>
            <w:r>
              <w:rPr>
                <w:spacing w:val="-3"/>
                <w:sz w:val="21"/>
                <w:szCs w:val="21"/>
              </w:rPr>
              <w:t>③设专人负责监督施工单位在施工过程中的环境保护工作</w:t>
            </w:r>
            <w:r>
              <w:rPr>
                <w:spacing w:val="-4"/>
                <w:sz w:val="21"/>
                <w:szCs w:val="21"/>
              </w:rPr>
              <w:t>，</w:t>
            </w:r>
            <w:r>
              <w:rPr>
                <w:spacing w:val="36"/>
                <w:sz w:val="21"/>
                <w:szCs w:val="21"/>
              </w:rPr>
              <w:t xml:space="preserve"> </w:t>
            </w:r>
            <w:r>
              <w:rPr>
                <w:spacing w:val="-4"/>
                <w:sz w:val="21"/>
                <w:szCs w:val="21"/>
              </w:rPr>
              <w:t>同时监督施工单位落实环境</w:t>
            </w:r>
            <w:r>
              <w:rPr>
                <w:sz w:val="21"/>
                <w:szCs w:val="21"/>
              </w:rPr>
              <w:t xml:space="preserve"> </w:t>
            </w:r>
            <w:r>
              <w:rPr>
                <w:spacing w:val="-2"/>
                <w:sz w:val="21"/>
                <w:szCs w:val="21"/>
              </w:rPr>
              <w:t>保护措施。</w:t>
            </w:r>
          </w:p>
          <w:p>
            <w:pPr>
              <w:pStyle w:val="6"/>
              <w:spacing w:before="77" w:line="220" w:lineRule="auto"/>
              <w:ind w:left="62"/>
              <w:rPr>
                <w:sz w:val="21"/>
                <w:szCs w:val="21"/>
              </w:rPr>
            </w:pPr>
            <w:r>
              <w:rPr>
                <w:spacing w:val="-1"/>
                <w:sz w:val="21"/>
                <w:szCs w:val="21"/>
              </w:rPr>
              <w:t>根据《危险废物环境管理指南 陆上石油天然气开采》加强危险废物的管理。</w:t>
            </w:r>
          </w:p>
        </w:tc>
        <w:tc>
          <w:tcPr>
            <w:tcW w:w="2831"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68" w:line="221" w:lineRule="auto"/>
              <w:ind w:left="581"/>
              <w:rPr>
                <w:sz w:val="21"/>
                <w:szCs w:val="21"/>
              </w:rPr>
            </w:pPr>
            <w:r>
              <w:rPr>
                <w:spacing w:val="-1"/>
                <w:sz w:val="21"/>
                <w:szCs w:val="21"/>
              </w:rPr>
              <w:t>监理日志存档可查</w:t>
            </w:r>
          </w:p>
        </w:tc>
        <w:tc>
          <w:tcPr>
            <w:tcW w:w="85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233" w:lineRule="auto"/>
              <w:ind w:left="3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2"/>
        <w:rPr>
          <w:sz w:val="21"/>
        </w:rPr>
      </w:pPr>
    </w:p>
    <w:p>
      <w:pPr>
        <w:rPr>
          <w:sz w:val="21"/>
          <w:szCs w:val="21"/>
        </w:rPr>
        <w:sectPr>
          <w:footerReference r:id="rId158" w:type="default"/>
          <w:pgSz w:w="16839" w:h="11907"/>
          <w:pgMar w:top="400" w:right="1358" w:bottom="1181" w:left="1360" w:header="0" w:footer="920" w:gutter="0"/>
          <w:cols w:space="720" w:num="1"/>
        </w:sectPr>
      </w:pPr>
    </w:p>
    <w:p>
      <w:pPr>
        <w:pStyle w:val="2"/>
        <w:spacing w:line="319" w:lineRule="auto"/>
        <w:rPr>
          <w:sz w:val="21"/>
        </w:rPr>
      </w:pPr>
    </w:p>
    <w:p>
      <w:pPr>
        <w:pStyle w:val="2"/>
        <w:spacing w:line="320" w:lineRule="auto"/>
        <w:rPr>
          <w:sz w:val="21"/>
        </w:rPr>
      </w:pPr>
    </w:p>
    <w:p>
      <w:pPr>
        <w:pStyle w:val="2"/>
        <w:spacing w:line="320" w:lineRule="auto"/>
        <w:rPr>
          <w:sz w:val="21"/>
        </w:rPr>
      </w:pPr>
    </w:p>
    <w:p>
      <w:pPr>
        <w:spacing w:before="98" w:line="223" w:lineRule="auto"/>
        <w:ind w:left="4065"/>
        <w:rPr>
          <w:rFonts w:ascii="黑体" w:hAnsi="黑体" w:eastAsia="黑体" w:cs="黑体"/>
          <w:sz w:val="30"/>
          <w:szCs w:val="30"/>
        </w:rPr>
      </w:pPr>
      <w:r>
        <w:rPr>
          <w:rFonts w:ascii="黑体" w:hAnsi="黑体" w:eastAsia="黑体" w:cs="黑体"/>
          <w:spacing w:val="-2"/>
          <w:sz w:val="30"/>
          <w:szCs w:val="30"/>
        </w:rPr>
        <w:t>七、结论</w:t>
      </w:r>
    </w:p>
    <w:p>
      <w:pPr>
        <w:spacing w:before="21"/>
      </w:pPr>
    </w:p>
    <w:tbl>
      <w:tblPr>
        <w:tblStyle w:val="5"/>
        <w:tblW w:w="929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60" w:hRule="atLeast"/>
        </w:trPr>
        <w:tc>
          <w:tcPr>
            <w:tcW w:w="9296" w:type="dxa"/>
            <w:vAlign w:val="top"/>
          </w:tcPr>
          <w:p>
            <w:pPr>
              <w:pStyle w:val="6"/>
              <w:spacing w:before="182" w:line="369" w:lineRule="auto"/>
              <w:ind w:left="114" w:right="101" w:firstLine="479"/>
              <w:rPr>
                <w:sz w:val="24"/>
                <w:szCs w:val="24"/>
              </w:rPr>
            </w:pPr>
            <w:r>
              <w:rPr>
                <w:spacing w:val="-2"/>
                <w:sz w:val="24"/>
                <w:szCs w:val="24"/>
              </w:rPr>
              <w:t>凤探</w:t>
            </w:r>
            <w:r>
              <w:rPr>
                <w:spacing w:val="-15"/>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井钻井工程是大庆油田有限责任公司在四川省达州市通川区江陵镇和平村</w:t>
            </w:r>
            <w:r>
              <w:rPr>
                <w:spacing w:val="-2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z w:val="24"/>
                <w:szCs w:val="24"/>
              </w:rPr>
              <w:t xml:space="preserve"> </w:t>
            </w:r>
            <w:r>
              <w:rPr>
                <w:spacing w:val="-4"/>
                <w:sz w:val="24"/>
                <w:szCs w:val="24"/>
              </w:rPr>
              <w:t>组部署的</w:t>
            </w:r>
            <w:r>
              <w:rPr>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45"/>
                <w:w w:val="101"/>
                <w:sz w:val="24"/>
                <w:szCs w:val="24"/>
              </w:rPr>
              <w:t xml:space="preserve"> </w:t>
            </w:r>
            <w:r>
              <w:rPr>
                <w:spacing w:val="-4"/>
                <w:sz w:val="24"/>
                <w:szCs w:val="24"/>
              </w:rPr>
              <w:t>口风险探井，井型为直井，设计井深</w:t>
            </w:r>
            <w:r>
              <w:rPr>
                <w:spacing w:val="-38"/>
                <w:sz w:val="24"/>
                <w:szCs w:val="24"/>
              </w:rPr>
              <w:t xml:space="preserve"> </w:t>
            </w:r>
            <w:r>
              <w:rPr>
                <w:rFonts w:ascii="Times New Roman" w:hAnsi="Times New Roman" w:eastAsia="Times New Roman" w:cs="Times New Roman"/>
                <w:spacing w:val="-4"/>
                <w:sz w:val="24"/>
                <w:szCs w:val="24"/>
              </w:rPr>
              <w:t>7230m</w:t>
            </w:r>
            <w:r>
              <w:rPr>
                <w:spacing w:val="-4"/>
                <w:sz w:val="24"/>
                <w:szCs w:val="24"/>
              </w:rPr>
              <w:t>，钻探目的层位石炭系黄龙组，</w:t>
            </w:r>
            <w:r>
              <w:rPr>
                <w:sz w:val="24"/>
                <w:szCs w:val="24"/>
              </w:rPr>
              <w:t xml:space="preserve"> </w:t>
            </w:r>
            <w:r>
              <w:rPr>
                <w:spacing w:val="2"/>
                <w:sz w:val="24"/>
                <w:szCs w:val="24"/>
              </w:rPr>
              <w:t>完钻层位为志留系。该井主要任务为探索平昌</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3"/>
                <w:sz w:val="24"/>
                <w:szCs w:val="24"/>
              </w:rPr>
              <w:t xml:space="preserve"> </w:t>
            </w:r>
            <w:r>
              <w:rPr>
                <w:spacing w:val="2"/>
                <w:sz w:val="24"/>
                <w:szCs w:val="24"/>
              </w:rPr>
              <w:t>巴中地区黄</w:t>
            </w:r>
            <w:r>
              <w:rPr>
                <w:spacing w:val="1"/>
                <w:sz w:val="24"/>
                <w:szCs w:val="24"/>
              </w:rPr>
              <w:t>龙组地层圈闭，兼探飞仙关</w:t>
            </w:r>
          </w:p>
          <w:p>
            <w:pPr>
              <w:pStyle w:val="6"/>
              <w:spacing w:line="219" w:lineRule="auto"/>
              <w:ind w:left="115"/>
              <w:rPr>
                <w:sz w:val="24"/>
                <w:szCs w:val="24"/>
              </w:rPr>
            </w:pPr>
            <w:r>
              <w:rPr>
                <w:spacing w:val="-13"/>
                <w:sz w:val="24"/>
                <w:szCs w:val="24"/>
              </w:rPr>
              <w:t>组前积滩、</w:t>
            </w:r>
            <w:r>
              <w:rPr>
                <w:spacing w:val="53"/>
                <w:sz w:val="24"/>
                <w:szCs w:val="24"/>
              </w:rPr>
              <w:t xml:space="preserve"> </w:t>
            </w:r>
            <w:r>
              <w:rPr>
                <w:spacing w:val="-13"/>
                <w:sz w:val="24"/>
                <w:szCs w:val="24"/>
              </w:rPr>
              <w:t>雷口坡组雷四</w:t>
            </w:r>
            <w:r>
              <w:rPr>
                <w:spacing w:val="-53"/>
                <w:sz w:val="24"/>
                <w:szCs w:val="24"/>
              </w:rPr>
              <w:t xml:space="preserve"> </w:t>
            </w:r>
            <w:r>
              <w:rPr>
                <w:rFonts w:ascii="Times New Roman" w:hAnsi="Times New Roman" w:eastAsia="Times New Roman" w:cs="Times New Roman"/>
                <w:spacing w:val="-13"/>
                <w:position w:val="9"/>
                <w:sz w:val="16"/>
                <w:szCs w:val="16"/>
              </w:rPr>
              <w:t>3</w:t>
            </w:r>
            <w:r>
              <w:rPr>
                <w:rFonts w:ascii="Times New Roman" w:hAnsi="Times New Roman" w:eastAsia="Times New Roman" w:cs="Times New Roman"/>
                <w:spacing w:val="30"/>
                <w:w w:val="102"/>
                <w:position w:val="9"/>
                <w:sz w:val="16"/>
                <w:szCs w:val="16"/>
              </w:rPr>
              <w:t xml:space="preserve"> </w:t>
            </w:r>
            <w:r>
              <w:rPr>
                <w:spacing w:val="-13"/>
                <w:sz w:val="24"/>
                <w:szCs w:val="24"/>
              </w:rPr>
              <w:t>台内滩含气性。</w:t>
            </w:r>
          </w:p>
          <w:p>
            <w:pPr>
              <w:pStyle w:val="6"/>
              <w:spacing w:before="194" w:line="480" w:lineRule="exact"/>
              <w:ind w:left="593"/>
              <w:rPr>
                <w:sz w:val="24"/>
                <w:szCs w:val="24"/>
              </w:rPr>
            </w:pPr>
            <w:r>
              <w:rPr>
                <w:spacing w:val="-6"/>
                <w:position w:val="18"/>
                <w:sz w:val="24"/>
                <w:szCs w:val="24"/>
              </w:rPr>
              <w:t>本项目的建设符合国家、行业颁布的相关产业政策、</w:t>
            </w:r>
            <w:r>
              <w:rPr>
                <w:spacing w:val="-7"/>
                <w:position w:val="18"/>
                <w:sz w:val="24"/>
                <w:szCs w:val="24"/>
              </w:rPr>
              <w:t>法规、规范，</w:t>
            </w:r>
            <w:r>
              <w:rPr>
                <w:spacing w:val="50"/>
                <w:position w:val="18"/>
                <w:sz w:val="24"/>
                <w:szCs w:val="24"/>
              </w:rPr>
              <w:t xml:space="preserve"> </w:t>
            </w:r>
            <w:r>
              <w:rPr>
                <w:spacing w:val="-7"/>
                <w:position w:val="18"/>
                <w:sz w:val="24"/>
                <w:szCs w:val="24"/>
              </w:rPr>
              <w:t>对增加清洁能源</w:t>
            </w:r>
          </w:p>
          <w:p>
            <w:pPr>
              <w:pStyle w:val="6"/>
              <w:spacing w:before="1" w:line="218" w:lineRule="auto"/>
              <w:ind w:left="117"/>
              <w:rPr>
                <w:sz w:val="24"/>
                <w:szCs w:val="24"/>
              </w:rPr>
            </w:pPr>
            <w:r>
              <w:rPr>
                <w:spacing w:val="-1"/>
                <w:sz w:val="24"/>
                <w:szCs w:val="24"/>
              </w:rPr>
              <w:t>天然气供应量，促进区域社会、经济发展，调整改善</w:t>
            </w:r>
            <w:r>
              <w:rPr>
                <w:spacing w:val="-2"/>
                <w:sz w:val="24"/>
                <w:szCs w:val="24"/>
              </w:rPr>
              <w:t>区域的环境质量有积极意义。</w:t>
            </w:r>
          </w:p>
          <w:p>
            <w:pPr>
              <w:pStyle w:val="6"/>
              <w:spacing w:before="198" w:line="369" w:lineRule="auto"/>
              <w:ind w:left="111" w:right="37" w:firstLine="480"/>
              <w:rPr>
                <w:sz w:val="24"/>
                <w:szCs w:val="24"/>
              </w:rPr>
            </w:pPr>
            <w:r>
              <w:rPr>
                <w:spacing w:val="-2"/>
                <w:sz w:val="24"/>
                <w:szCs w:val="24"/>
              </w:rPr>
              <w:t>评价区域环境空气质量、声环境质量、地表水环境质量、地下水环境质量、土壤环</w:t>
            </w:r>
            <w:r>
              <w:rPr>
                <w:spacing w:val="14"/>
                <w:sz w:val="24"/>
                <w:szCs w:val="24"/>
              </w:rPr>
              <w:t xml:space="preserve"> </w:t>
            </w:r>
            <w:r>
              <w:rPr>
                <w:spacing w:val="-10"/>
                <w:sz w:val="24"/>
                <w:szCs w:val="24"/>
              </w:rPr>
              <w:t>境质量现状总体较好；</w:t>
            </w:r>
            <w:r>
              <w:rPr>
                <w:spacing w:val="45"/>
                <w:sz w:val="24"/>
                <w:szCs w:val="24"/>
              </w:rPr>
              <w:t xml:space="preserve"> </w:t>
            </w:r>
            <w:r>
              <w:rPr>
                <w:spacing w:val="-10"/>
                <w:sz w:val="24"/>
                <w:szCs w:val="24"/>
              </w:rPr>
              <w:t>工程建设期间产生的污染物均做到达标排放或妥善处置，</w:t>
            </w:r>
            <w:r>
              <w:rPr>
                <w:spacing w:val="38"/>
                <w:sz w:val="24"/>
                <w:szCs w:val="24"/>
              </w:rPr>
              <w:t xml:space="preserve"> </w:t>
            </w:r>
            <w:r>
              <w:rPr>
                <w:spacing w:val="-10"/>
                <w:sz w:val="24"/>
                <w:szCs w:val="24"/>
              </w:rPr>
              <w:t>对生态</w:t>
            </w:r>
            <w:r>
              <w:rPr>
                <w:sz w:val="24"/>
                <w:szCs w:val="24"/>
              </w:rPr>
              <w:t xml:space="preserve"> </w:t>
            </w:r>
            <w:r>
              <w:rPr>
                <w:spacing w:val="-11"/>
                <w:sz w:val="24"/>
                <w:szCs w:val="24"/>
              </w:rPr>
              <w:t>环境、地表水、地下水、土壤、大气环境影响较小，</w:t>
            </w:r>
            <w:r>
              <w:rPr>
                <w:spacing w:val="63"/>
                <w:sz w:val="24"/>
                <w:szCs w:val="24"/>
              </w:rPr>
              <w:t xml:space="preserve"> </w:t>
            </w:r>
            <w:r>
              <w:rPr>
                <w:spacing w:val="-11"/>
                <w:sz w:val="24"/>
                <w:szCs w:val="24"/>
              </w:rPr>
              <w:t>声环境影响产生短期影响，</w:t>
            </w:r>
            <w:r>
              <w:rPr>
                <w:spacing w:val="59"/>
                <w:sz w:val="24"/>
                <w:szCs w:val="24"/>
              </w:rPr>
              <w:t xml:space="preserve"> </w:t>
            </w:r>
            <w:r>
              <w:rPr>
                <w:spacing w:val="-11"/>
                <w:sz w:val="24"/>
                <w:szCs w:val="24"/>
              </w:rPr>
              <w:t>不改变</w:t>
            </w:r>
            <w:r>
              <w:rPr>
                <w:sz w:val="24"/>
                <w:szCs w:val="24"/>
              </w:rPr>
              <w:t xml:space="preserve"> </w:t>
            </w:r>
            <w:r>
              <w:rPr>
                <w:spacing w:val="-17"/>
                <w:sz w:val="24"/>
                <w:szCs w:val="24"/>
              </w:rPr>
              <w:t>区域的环境功能；</w:t>
            </w:r>
            <w:r>
              <w:rPr>
                <w:spacing w:val="25"/>
                <w:sz w:val="24"/>
                <w:szCs w:val="24"/>
              </w:rPr>
              <w:t xml:space="preserve"> </w:t>
            </w:r>
            <w:r>
              <w:rPr>
                <w:spacing w:val="-17"/>
                <w:sz w:val="24"/>
                <w:szCs w:val="24"/>
              </w:rPr>
              <w:t>采用的环保措施可行，</w:t>
            </w:r>
            <w:r>
              <w:rPr>
                <w:spacing w:val="24"/>
                <w:sz w:val="24"/>
                <w:szCs w:val="24"/>
              </w:rPr>
              <w:t xml:space="preserve"> </w:t>
            </w:r>
            <w:r>
              <w:rPr>
                <w:spacing w:val="-17"/>
                <w:sz w:val="24"/>
                <w:szCs w:val="24"/>
              </w:rPr>
              <w:t>社会、经济效益十分显著；</w:t>
            </w:r>
            <w:r>
              <w:rPr>
                <w:spacing w:val="25"/>
                <w:sz w:val="24"/>
                <w:szCs w:val="24"/>
              </w:rPr>
              <w:t xml:space="preserve"> </w:t>
            </w:r>
            <w:r>
              <w:rPr>
                <w:spacing w:val="-17"/>
                <w:sz w:val="24"/>
                <w:szCs w:val="24"/>
              </w:rPr>
              <w:t>建设项目环境可行，</w:t>
            </w:r>
            <w:r>
              <w:rPr>
                <w:sz w:val="24"/>
                <w:szCs w:val="24"/>
              </w:rPr>
              <w:t xml:space="preserve"> </w:t>
            </w:r>
            <w:r>
              <w:rPr>
                <w:spacing w:val="-1"/>
                <w:sz w:val="24"/>
                <w:szCs w:val="24"/>
              </w:rPr>
              <w:t>选址合理。通过严格按照行业规范和环评要</w:t>
            </w:r>
            <w:r>
              <w:rPr>
                <w:spacing w:val="-2"/>
                <w:sz w:val="24"/>
                <w:szCs w:val="24"/>
              </w:rPr>
              <w:t>求完善环境风险事故防范措施和制定较详尽</w:t>
            </w:r>
            <w:r>
              <w:rPr>
                <w:sz w:val="24"/>
                <w:szCs w:val="24"/>
              </w:rPr>
              <w:t xml:space="preserve"> </w:t>
            </w:r>
            <w:r>
              <w:rPr>
                <w:spacing w:val="-2"/>
                <w:sz w:val="24"/>
                <w:szCs w:val="24"/>
              </w:rPr>
              <w:t>有效的环境风险事故应急预案，本项目环境风险可防可控，环境风险值会大大地降低，</w:t>
            </w:r>
          </w:p>
          <w:p>
            <w:pPr>
              <w:pStyle w:val="6"/>
              <w:spacing w:line="220" w:lineRule="auto"/>
              <w:ind w:left="112"/>
              <w:rPr>
                <w:sz w:val="24"/>
                <w:szCs w:val="24"/>
              </w:rPr>
            </w:pPr>
            <w:r>
              <w:rPr>
                <w:spacing w:val="-5"/>
                <w:sz w:val="24"/>
                <w:szCs w:val="24"/>
              </w:rPr>
              <w:t>环境风险可接受。</w:t>
            </w:r>
          </w:p>
          <w:p>
            <w:pPr>
              <w:pStyle w:val="6"/>
              <w:spacing w:before="194" w:line="480" w:lineRule="exact"/>
              <w:ind w:left="595"/>
              <w:rPr>
                <w:sz w:val="24"/>
                <w:szCs w:val="24"/>
              </w:rPr>
            </w:pPr>
            <w:r>
              <w:rPr>
                <w:spacing w:val="-5"/>
                <w:position w:val="18"/>
                <w:sz w:val="24"/>
                <w:szCs w:val="24"/>
              </w:rPr>
              <w:t>综上所述， 在严格落实本项目相关设计和本评价提出的各项环保措施、环境风险防</w:t>
            </w:r>
          </w:p>
          <w:p>
            <w:pPr>
              <w:pStyle w:val="6"/>
              <w:spacing w:line="218" w:lineRule="auto"/>
              <w:ind w:left="118"/>
              <w:rPr>
                <w:sz w:val="24"/>
                <w:szCs w:val="24"/>
              </w:rPr>
            </w:pPr>
            <w:r>
              <w:rPr>
                <w:spacing w:val="-1"/>
                <w:sz w:val="24"/>
                <w:szCs w:val="24"/>
              </w:rPr>
              <w:t>范和应急措施后，从环境保护的角度考虑，评价认为：工程建设可行。</w:t>
            </w:r>
          </w:p>
        </w:tc>
      </w:tr>
    </w:tbl>
    <w:p>
      <w:pPr>
        <w:pStyle w:val="2"/>
        <w:rPr>
          <w:sz w:val="21"/>
        </w:rPr>
      </w:pPr>
    </w:p>
    <w:p>
      <w:pPr>
        <w:rPr>
          <w:sz w:val="21"/>
          <w:szCs w:val="21"/>
        </w:rPr>
        <w:sectPr>
          <w:footerReference r:id="rId159" w:type="default"/>
          <w:pgSz w:w="11907" w:h="16839"/>
          <w:pgMar w:top="400" w:right="1296" w:bottom="1181" w:left="1298" w:header="0" w:footer="920" w:gutter="0"/>
          <w:cols w:space="720" w:num="1"/>
        </w:sectPr>
      </w:pPr>
    </w:p>
    <w:p>
      <w:pPr>
        <w:pStyle w:val="2"/>
        <w:spacing w:line="261"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p>
      <w:pPr>
        <w:spacing w:before="169" w:line="231" w:lineRule="auto"/>
        <w:ind w:left="2187" w:right="1474" w:hanging="519"/>
        <w:rPr>
          <w:rFonts w:ascii="宋体" w:hAnsi="宋体" w:eastAsia="宋体" w:cs="宋体"/>
          <w:sz w:val="52"/>
          <w:szCs w:val="52"/>
        </w:rPr>
      </w:pPr>
      <w:r>
        <w:rPr>
          <w:rFonts w:ascii="宋体" w:hAnsi="宋体" w:eastAsia="宋体" w:cs="宋体"/>
          <w:spacing w:val="-1"/>
          <w:sz w:val="52"/>
          <w:szCs w:val="52"/>
          <w14:textOutline w14:w="9448" w14:cap="flat" w14:cmpd="sng">
            <w14:solidFill>
              <w14:srgbClr w14:val="000000"/>
            </w14:solidFill>
            <w14:prstDash w14:val="solid"/>
            <w14:miter w14:val="10"/>
          </w14:textOutline>
        </w:rPr>
        <w:t>大庆油田有限责任公司</w:t>
      </w:r>
      <w:r>
        <w:rPr>
          <w:rFonts w:ascii="宋体" w:hAnsi="宋体" w:eastAsia="宋体" w:cs="宋体"/>
          <w:sz w:val="52"/>
          <w:szCs w:val="52"/>
        </w:rPr>
        <w:t xml:space="preserve"> </w:t>
      </w:r>
      <w:r>
        <w:rPr>
          <w:rFonts w:ascii="宋体" w:hAnsi="宋体" w:eastAsia="宋体" w:cs="宋体"/>
          <w:spacing w:val="-5"/>
          <w:sz w:val="52"/>
          <w:szCs w:val="52"/>
          <w14:textOutline w14:w="9448" w14:cap="flat" w14:cmpd="sng">
            <w14:solidFill>
              <w14:srgbClr w14:val="000000"/>
            </w14:solidFill>
            <w14:prstDash w14:val="solid"/>
            <w14:miter w14:val="10"/>
          </w14:textOutline>
        </w:rPr>
        <w:t>凤探</w:t>
      </w:r>
      <w:r>
        <w:rPr>
          <w:rFonts w:ascii="宋体" w:hAnsi="宋体" w:eastAsia="宋体" w:cs="宋体"/>
          <w:spacing w:val="-93"/>
          <w:sz w:val="52"/>
          <w:szCs w:val="52"/>
        </w:rPr>
        <w:t xml:space="preserve"> </w:t>
      </w:r>
      <w:r>
        <w:rPr>
          <w:rFonts w:ascii="Times New Roman" w:hAnsi="Times New Roman" w:eastAsia="Times New Roman" w:cs="Times New Roman"/>
          <w:b/>
          <w:bCs/>
          <w:spacing w:val="-5"/>
          <w:sz w:val="52"/>
          <w:szCs w:val="52"/>
        </w:rPr>
        <w:t xml:space="preserve">1 </w:t>
      </w:r>
      <w:r>
        <w:rPr>
          <w:rFonts w:ascii="宋体" w:hAnsi="宋体" w:eastAsia="宋体" w:cs="宋体"/>
          <w:spacing w:val="-5"/>
          <w:sz w:val="52"/>
          <w:szCs w:val="52"/>
          <w14:textOutline w14:w="9448" w14:cap="flat" w14:cmpd="sng">
            <w14:solidFill>
              <w14:srgbClr w14:val="000000"/>
            </w14:solidFill>
            <w14:prstDash w14:val="solid"/>
            <w14:miter w14:val="10"/>
          </w14:textOutline>
        </w:rPr>
        <w:t>井钻井工程</w:t>
      </w:r>
    </w:p>
    <w:p>
      <w:pPr>
        <w:pStyle w:val="2"/>
        <w:spacing w:line="266" w:lineRule="auto"/>
        <w:rPr>
          <w:sz w:val="21"/>
        </w:rPr>
      </w:pPr>
    </w:p>
    <w:p>
      <w:pPr>
        <w:pStyle w:val="2"/>
        <w:spacing w:line="266" w:lineRule="auto"/>
        <w:rPr>
          <w:sz w:val="21"/>
        </w:rPr>
      </w:pPr>
    </w:p>
    <w:p>
      <w:pPr>
        <w:pStyle w:val="2"/>
        <w:spacing w:line="266" w:lineRule="auto"/>
        <w:rPr>
          <w:sz w:val="21"/>
        </w:rPr>
      </w:pPr>
    </w:p>
    <w:p>
      <w:pPr>
        <w:pStyle w:val="2"/>
        <w:spacing w:line="267" w:lineRule="auto"/>
        <w:rPr>
          <w:sz w:val="21"/>
        </w:rPr>
      </w:pPr>
    </w:p>
    <w:p>
      <w:pPr>
        <w:pStyle w:val="2"/>
        <w:spacing w:line="267" w:lineRule="auto"/>
        <w:rPr>
          <w:sz w:val="21"/>
        </w:rPr>
      </w:pPr>
    </w:p>
    <w:p>
      <w:pPr>
        <w:pStyle w:val="2"/>
        <w:spacing w:line="267" w:lineRule="auto"/>
        <w:rPr>
          <w:sz w:val="21"/>
        </w:rPr>
      </w:pPr>
    </w:p>
    <w:p>
      <w:pPr>
        <w:spacing w:before="169" w:line="218" w:lineRule="auto"/>
        <w:ind w:left="1400"/>
        <w:rPr>
          <w:rFonts w:ascii="宋体" w:hAnsi="宋体" w:eastAsia="宋体" w:cs="宋体"/>
          <w:sz w:val="52"/>
          <w:szCs w:val="52"/>
        </w:rPr>
      </w:pPr>
      <w:r>
        <w:rPr>
          <w:rFonts w:ascii="宋体" w:hAnsi="宋体" w:eastAsia="宋体" w:cs="宋体"/>
          <w:sz w:val="52"/>
          <w:szCs w:val="52"/>
          <w14:textOutline w14:w="9448" w14:cap="flat" w14:cmpd="sng">
            <w14:solidFill>
              <w14:srgbClr w14:val="000000"/>
            </w14:solidFill>
            <w14:prstDash w14:val="solid"/>
            <w14:miter w14:val="10"/>
          </w14:textOutline>
        </w:rPr>
        <w:t>地下水环境影响专题评价</w:t>
      </w: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spacing w:before="97" w:line="219" w:lineRule="auto"/>
        <w:ind w:left="2156"/>
        <w:rPr>
          <w:rFonts w:ascii="宋体" w:hAnsi="宋体" w:eastAsia="宋体" w:cs="宋体"/>
          <w:sz w:val="30"/>
          <w:szCs w:val="30"/>
        </w:rPr>
      </w:pPr>
      <w:r>
        <w:fldChar w:fldCharType="begin"/>
      </w:r>
      <w:r>
        <w:instrText xml:space="preserve"> HYPERLINK "javascript:viewHomeCompanyInfoView('109873922085764256')" </w:instrText>
      </w:r>
      <w:r>
        <w:fldChar w:fldCharType="separate"/>
      </w:r>
      <w:r>
        <w:rPr>
          <w:rFonts w:ascii="宋体" w:hAnsi="宋体" w:eastAsia="宋体" w:cs="宋体"/>
          <w:sz w:val="30"/>
          <w:szCs w:val="30"/>
          <w14:textOutline w14:w="5442" w14:cap="flat" w14:cmpd="sng">
            <w14:solidFill>
              <w14:srgbClr w14:val="000000"/>
            </w14:solidFill>
            <w14:prstDash w14:val="solid"/>
            <w14:miter w14:val="10"/>
          </w14:textOutline>
        </w:rPr>
        <w:t>重庆精创联合环保工程有限公司</w:t>
      </w:r>
      <w:r>
        <w:rPr>
          <w:rFonts w:ascii="宋体" w:hAnsi="宋体" w:eastAsia="宋体" w:cs="宋体"/>
          <w:sz w:val="30"/>
          <w:szCs w:val="30"/>
          <w14:textOutline w14:w="5442" w14:cap="flat" w14:cmpd="sng">
            <w14:solidFill>
              <w14:srgbClr w14:val="000000"/>
            </w14:solidFill>
            <w14:prstDash w14:val="solid"/>
            <w14:miter w14:val="10"/>
          </w14:textOutline>
        </w:rPr>
        <w:fldChar w:fldCharType="end"/>
      </w:r>
    </w:p>
    <w:p>
      <w:pPr>
        <w:pStyle w:val="2"/>
        <w:spacing w:line="324" w:lineRule="auto"/>
        <w:rPr>
          <w:sz w:val="21"/>
        </w:rPr>
      </w:pPr>
    </w:p>
    <w:p>
      <w:pPr>
        <w:spacing w:before="97" w:line="220" w:lineRule="auto"/>
        <w:ind w:left="3065"/>
        <w:rPr>
          <w:rFonts w:ascii="宋体" w:hAnsi="宋体" w:eastAsia="宋体" w:cs="宋体"/>
          <w:sz w:val="30"/>
          <w:szCs w:val="30"/>
        </w:rPr>
      </w:pPr>
      <w:r>
        <w:rPr>
          <w:rFonts w:ascii="宋体" w:hAnsi="宋体" w:eastAsia="宋体" w:cs="宋体"/>
          <w:spacing w:val="-3"/>
          <w:sz w:val="30"/>
          <w:szCs w:val="30"/>
          <w14:textOutline w14:w="5442" w14:cap="flat" w14:cmpd="sng">
            <w14:solidFill>
              <w14:srgbClr w14:val="000000"/>
            </w14:solidFill>
            <w14:prstDash w14:val="solid"/>
            <w14:miter w14:val="10"/>
          </w14:textOutline>
        </w:rPr>
        <w:t>二</w:t>
      </w:r>
      <w:r>
        <w:rPr>
          <w:rFonts w:ascii="宋体" w:hAnsi="宋体" w:eastAsia="宋体" w:cs="宋体"/>
          <w:spacing w:val="-56"/>
          <w:sz w:val="30"/>
          <w:szCs w:val="30"/>
        </w:rPr>
        <w:t xml:space="preserve"> </w:t>
      </w:r>
      <w:r>
        <w:rPr>
          <w:rFonts w:ascii="Times New Roman" w:hAnsi="Times New Roman" w:eastAsia="Times New Roman" w:cs="Times New Roman"/>
          <w:b/>
          <w:bCs/>
          <w:spacing w:val="-3"/>
          <w:sz w:val="30"/>
          <w:szCs w:val="30"/>
        </w:rPr>
        <w:t xml:space="preserve">0 </w:t>
      </w:r>
      <w:r>
        <w:rPr>
          <w:rFonts w:ascii="宋体" w:hAnsi="宋体" w:eastAsia="宋体" w:cs="宋体"/>
          <w:spacing w:val="-3"/>
          <w:sz w:val="30"/>
          <w:szCs w:val="30"/>
          <w14:textOutline w14:w="5442" w14:cap="flat" w14:cmpd="sng">
            <w14:solidFill>
              <w14:srgbClr w14:val="000000"/>
            </w14:solidFill>
            <w14:prstDash w14:val="solid"/>
            <w14:miter w14:val="10"/>
          </w14:textOutline>
        </w:rPr>
        <w:t>二三年十二月</w:t>
      </w:r>
    </w:p>
    <w:p>
      <w:pPr>
        <w:spacing w:line="220" w:lineRule="auto"/>
        <w:rPr>
          <w:rFonts w:ascii="宋体" w:hAnsi="宋体" w:eastAsia="宋体" w:cs="宋体"/>
          <w:sz w:val="30"/>
          <w:szCs w:val="30"/>
        </w:rPr>
        <w:sectPr>
          <w:footerReference r:id="rId160" w:type="default"/>
          <w:pgSz w:w="11907" w:h="16839"/>
          <w:pgMar w:top="400" w:right="1785" w:bottom="400" w:left="1785" w:header="0" w:footer="0" w:gutter="0"/>
          <w:cols w:space="720" w:num="1"/>
        </w:sectPr>
      </w:pPr>
    </w:p>
    <w:p>
      <w:pPr>
        <w:pStyle w:val="2"/>
        <w:spacing w:line="262" w:lineRule="auto"/>
        <w:rPr>
          <w:sz w:val="21"/>
        </w:rPr>
      </w:pPr>
    </w:p>
    <w:p>
      <w:pPr>
        <w:pStyle w:val="2"/>
        <w:spacing w:line="262" w:lineRule="auto"/>
        <w:rPr>
          <w:sz w:val="21"/>
        </w:rPr>
      </w:pPr>
    </w:p>
    <w:p>
      <w:pPr>
        <w:pStyle w:val="2"/>
        <w:spacing w:line="262" w:lineRule="auto"/>
        <w:rPr>
          <w:sz w:val="21"/>
        </w:rPr>
      </w:pPr>
    </w:p>
    <w:p>
      <w:pPr>
        <w:pStyle w:val="2"/>
        <w:spacing w:line="262" w:lineRule="auto"/>
        <w:rPr>
          <w:sz w:val="21"/>
        </w:rPr>
      </w:pPr>
    </w:p>
    <w:sdt>
      <w:sdtPr>
        <w:rPr>
          <w:rFonts w:ascii="宋体" w:hAnsi="宋体" w:eastAsia="宋体" w:cs="宋体"/>
          <w:sz w:val="36"/>
          <w:szCs w:val="36"/>
        </w:rPr>
        <w:id w:val="1"/>
        <w:docPartObj>
          <w:docPartGallery w:val="Table of Contents"/>
          <w:docPartUnique/>
        </w:docPartObj>
      </w:sdtPr>
      <w:sdtEndPr>
        <w:rPr>
          <w:rFonts w:ascii="Times New Roman" w:hAnsi="Times New Roman" w:eastAsia="Times New Roman" w:cs="Times New Roman"/>
          <w:sz w:val="19"/>
          <w:szCs w:val="19"/>
        </w:rPr>
      </w:sdtEndPr>
      <w:sdtContent>
        <w:p>
          <w:pPr>
            <w:spacing w:before="117" w:line="222" w:lineRule="auto"/>
            <w:ind w:left="3809"/>
            <w:rPr>
              <w:rFonts w:ascii="宋体" w:hAnsi="宋体" w:eastAsia="宋体" w:cs="宋体"/>
              <w:sz w:val="36"/>
              <w:szCs w:val="36"/>
            </w:rPr>
          </w:pPr>
          <w:r>
            <w:rPr>
              <w:rFonts w:ascii="宋体" w:hAnsi="宋体" w:eastAsia="宋体" w:cs="宋体"/>
              <w:spacing w:val="-42"/>
              <w:sz w:val="36"/>
              <w:szCs w:val="36"/>
            </w:rPr>
            <w:t>目</w:t>
          </w:r>
          <w:r>
            <w:rPr>
              <w:rFonts w:ascii="宋体" w:hAnsi="宋体" w:eastAsia="宋体" w:cs="宋体"/>
              <w:spacing w:val="4"/>
              <w:sz w:val="36"/>
              <w:szCs w:val="36"/>
            </w:rPr>
            <w:t xml:space="preserve">    </w:t>
          </w:r>
          <w:r>
            <w:rPr>
              <w:rFonts w:ascii="宋体" w:hAnsi="宋体" w:eastAsia="宋体" w:cs="宋体"/>
              <w:spacing w:val="-42"/>
              <w:sz w:val="36"/>
              <w:szCs w:val="36"/>
            </w:rPr>
            <w:t>录</w:t>
          </w:r>
        </w:p>
        <w:p>
          <w:pPr>
            <w:pStyle w:val="2"/>
            <w:spacing w:line="346" w:lineRule="auto"/>
            <w:rPr>
              <w:sz w:val="21"/>
            </w:rPr>
          </w:pPr>
        </w:p>
        <w:p>
          <w:pPr>
            <w:tabs>
              <w:tab w:val="right" w:leader="dot" w:pos="8887"/>
            </w:tabs>
            <w:spacing w:before="78" w:line="185" w:lineRule="auto"/>
            <w:ind w:left="11"/>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13"/>
              <w:sz w:val="24"/>
              <w:szCs w:val="24"/>
            </w:rPr>
            <w:t xml:space="preserve"> </w:t>
          </w:r>
          <w:r>
            <w:rPr>
              <w:rFonts w:ascii="宋体" w:hAnsi="宋体" w:eastAsia="宋体" w:cs="宋体"/>
              <w:spacing w:val="-9"/>
              <w:sz w:val="24"/>
              <w:szCs w:val="24"/>
              <w14:textOutline w14:w="4354" w14:cap="flat" w14:cmpd="sng">
                <w14:solidFill>
                  <w14:srgbClr w14:val="000000"/>
                </w14:solidFill>
                <w14:prstDash w14:val="solid"/>
                <w14:miter w14:val="10"/>
              </w14:textOutline>
            </w:rPr>
            <w:t>前言</w:t>
          </w:r>
          <w:r>
            <w:rPr>
              <w:rFonts w:ascii="宋体" w:hAnsi="宋体" w:eastAsia="宋体" w:cs="宋体"/>
              <w:sz w:val="24"/>
              <w:szCs w:val="24"/>
            </w:rPr>
            <w:tab/>
          </w:r>
          <w:r>
            <w:rPr>
              <w:rFonts w:ascii="Times New Roman" w:hAnsi="Times New Roman" w:eastAsia="Times New Roman" w:cs="Times New Roman"/>
              <w:spacing w:val="39"/>
              <w:sz w:val="24"/>
              <w:szCs w:val="24"/>
            </w:rPr>
            <w:t>1</w:t>
          </w:r>
          <w:r>
            <w:rPr>
              <w:rFonts w:ascii="Times New Roman" w:hAnsi="Times New Roman" w:eastAsia="Times New Roman" w:cs="Times New Roman"/>
              <w:spacing w:val="39"/>
              <w:sz w:val="24"/>
              <w:szCs w:val="24"/>
            </w:rPr>
            <w:fldChar w:fldCharType="end"/>
          </w:r>
        </w:p>
        <w:p>
          <w:pPr>
            <w:tabs>
              <w:tab w:val="right" w:leader="dot" w:pos="8885"/>
            </w:tabs>
            <w:spacing w:before="125" w:line="194" w:lineRule="auto"/>
            <w:ind w:left="230"/>
            <w:rPr>
              <w:rFonts w:ascii="Times New Roman" w:hAnsi="Times New Roman" w:eastAsia="Times New Roman" w:cs="Times New Roman"/>
              <w:sz w:val="19"/>
              <w:szCs w:val="19"/>
            </w:rPr>
          </w:pPr>
          <w:r>
            <w:fldChar w:fldCharType="begin"/>
          </w:r>
          <w:r>
            <w:instrText xml:space="preserve"> HYPERLINK \l "bookmark2" </w:instrText>
          </w:r>
          <w:r>
            <w:fldChar w:fldCharType="separate"/>
          </w:r>
          <w:r>
            <w:rPr>
              <w:rFonts w:ascii="Times New Roman" w:hAnsi="Times New Roman" w:eastAsia="Times New Roman" w:cs="Times New Roman"/>
              <w:spacing w:val="4"/>
              <w:sz w:val="19"/>
              <w:szCs w:val="19"/>
            </w:rPr>
            <w:t>1.1</w:t>
          </w:r>
          <w:r>
            <w:rPr>
              <w:rFonts w:ascii="Times New Roman" w:hAnsi="Times New Roman" w:eastAsia="Times New Roman" w:cs="Times New Roman"/>
              <w:spacing w:val="1"/>
              <w:sz w:val="19"/>
              <w:szCs w:val="19"/>
            </w:rPr>
            <w:t xml:space="preserve">        </w:t>
          </w:r>
          <w:r>
            <w:rPr>
              <w:rFonts w:ascii="宋体" w:hAnsi="宋体" w:eastAsia="宋体" w:cs="宋体"/>
              <w:spacing w:val="4"/>
              <w:sz w:val="19"/>
              <w:szCs w:val="19"/>
            </w:rPr>
            <w:t>评价目的和任务</w:t>
          </w:r>
          <w:r>
            <w:rPr>
              <w:rFonts w:ascii="宋体" w:hAnsi="宋体" w:eastAsia="宋体" w:cs="宋体"/>
              <w:sz w:val="19"/>
              <w:szCs w:val="19"/>
            </w:rPr>
            <w:tab/>
          </w:r>
          <w:r>
            <w:rPr>
              <w:rFonts w:ascii="Times New Roman" w:hAnsi="Times New Roman" w:eastAsia="Times New Roman" w:cs="Times New Roman"/>
              <w:spacing w:val="44"/>
              <w:w w:val="107"/>
              <w:sz w:val="19"/>
              <w:szCs w:val="19"/>
            </w:rPr>
            <w:t>1</w:t>
          </w:r>
          <w:r>
            <w:rPr>
              <w:rFonts w:ascii="Times New Roman" w:hAnsi="Times New Roman" w:eastAsia="Times New Roman" w:cs="Times New Roman"/>
              <w:spacing w:val="44"/>
              <w:w w:val="107"/>
              <w:sz w:val="19"/>
              <w:szCs w:val="19"/>
            </w:rPr>
            <w:fldChar w:fldCharType="end"/>
          </w:r>
        </w:p>
        <w:p>
          <w:pPr>
            <w:tabs>
              <w:tab w:val="right" w:leader="dot" w:pos="8885"/>
            </w:tabs>
            <w:spacing w:before="112" w:line="194" w:lineRule="auto"/>
            <w:ind w:left="230"/>
            <w:rPr>
              <w:rFonts w:ascii="Times New Roman" w:hAnsi="Times New Roman" w:eastAsia="Times New Roman" w:cs="Times New Roman"/>
              <w:sz w:val="19"/>
              <w:szCs w:val="19"/>
            </w:rPr>
          </w:pPr>
          <w:r>
            <w:fldChar w:fldCharType="begin"/>
          </w:r>
          <w:r>
            <w:instrText xml:space="preserve"> HYPERLINK \l "bookmark3" </w:instrText>
          </w:r>
          <w:r>
            <w:fldChar w:fldCharType="separate"/>
          </w:r>
          <w:r>
            <w:rPr>
              <w:rFonts w:ascii="Times New Roman" w:hAnsi="Times New Roman" w:eastAsia="Times New Roman" w:cs="Times New Roman"/>
              <w:spacing w:val="1"/>
              <w:sz w:val="19"/>
              <w:szCs w:val="19"/>
            </w:rPr>
            <w:t xml:space="preserve">1.2        </w:t>
          </w:r>
          <w:r>
            <w:rPr>
              <w:rFonts w:ascii="宋体" w:hAnsi="宋体" w:eastAsia="宋体" w:cs="宋体"/>
              <w:spacing w:val="1"/>
              <w:sz w:val="19"/>
              <w:szCs w:val="19"/>
            </w:rPr>
            <w:t>编制依据</w:t>
          </w:r>
          <w:r>
            <w:rPr>
              <w:rFonts w:ascii="宋体" w:hAnsi="宋体" w:eastAsia="宋体" w:cs="宋体"/>
              <w:spacing w:val="-22"/>
              <w:sz w:val="19"/>
              <w:szCs w:val="19"/>
            </w:rPr>
            <w:t xml:space="preserve"> </w:t>
          </w:r>
          <w:r>
            <w:rPr>
              <w:rFonts w:ascii="宋体" w:hAnsi="宋体" w:eastAsia="宋体" w:cs="宋体"/>
              <w:sz w:val="19"/>
              <w:szCs w:val="19"/>
            </w:rPr>
            <w:tab/>
          </w:r>
          <w:r>
            <w:rPr>
              <w:rFonts w:ascii="Times New Roman" w:hAnsi="Times New Roman" w:eastAsia="Times New Roman" w:cs="Times New Roman"/>
              <w:spacing w:val="44"/>
              <w:w w:val="107"/>
              <w:sz w:val="19"/>
              <w:szCs w:val="19"/>
            </w:rPr>
            <w:t>1</w:t>
          </w:r>
          <w:r>
            <w:rPr>
              <w:rFonts w:ascii="Times New Roman" w:hAnsi="Times New Roman" w:eastAsia="Times New Roman" w:cs="Times New Roman"/>
              <w:spacing w:val="44"/>
              <w:w w:val="107"/>
              <w:sz w:val="19"/>
              <w:szCs w:val="19"/>
            </w:rPr>
            <w:fldChar w:fldCharType="end"/>
          </w:r>
        </w:p>
        <w:p>
          <w:pPr>
            <w:tabs>
              <w:tab w:val="right" w:leader="dot" w:pos="8885"/>
            </w:tabs>
            <w:spacing w:before="112" w:line="194" w:lineRule="auto"/>
            <w:ind w:left="230"/>
            <w:rPr>
              <w:rFonts w:ascii="Times New Roman" w:hAnsi="Times New Roman" w:eastAsia="Times New Roman" w:cs="Times New Roman"/>
              <w:sz w:val="19"/>
              <w:szCs w:val="19"/>
            </w:rPr>
          </w:pPr>
          <w:r>
            <w:fldChar w:fldCharType="begin"/>
          </w:r>
          <w:r>
            <w:instrText xml:space="preserve"> HYPERLINK \l "bookmark4" </w:instrText>
          </w:r>
          <w:r>
            <w:fldChar w:fldCharType="separate"/>
          </w:r>
          <w:r>
            <w:rPr>
              <w:rFonts w:ascii="Times New Roman" w:hAnsi="Times New Roman" w:eastAsia="Times New Roman" w:cs="Times New Roman"/>
              <w:spacing w:val="1"/>
              <w:sz w:val="19"/>
              <w:szCs w:val="19"/>
            </w:rPr>
            <w:t xml:space="preserve">1.3        </w:t>
          </w:r>
          <w:r>
            <w:rPr>
              <w:rFonts w:ascii="宋体" w:hAnsi="宋体" w:eastAsia="宋体" w:cs="宋体"/>
              <w:spacing w:val="1"/>
              <w:sz w:val="19"/>
              <w:szCs w:val="19"/>
            </w:rPr>
            <w:t>工程概况</w:t>
          </w:r>
          <w:r>
            <w:rPr>
              <w:rFonts w:ascii="宋体" w:hAnsi="宋体" w:eastAsia="宋体" w:cs="宋体"/>
              <w:spacing w:val="-22"/>
              <w:sz w:val="19"/>
              <w:szCs w:val="19"/>
            </w:rPr>
            <w:t xml:space="preserve"> </w:t>
          </w:r>
          <w:r>
            <w:rPr>
              <w:rFonts w:ascii="宋体" w:hAnsi="宋体" w:eastAsia="宋体" w:cs="宋体"/>
              <w:sz w:val="19"/>
              <w:szCs w:val="19"/>
            </w:rPr>
            <w:tab/>
          </w:r>
          <w:r>
            <w:rPr>
              <w:rFonts w:ascii="Times New Roman" w:hAnsi="Times New Roman" w:eastAsia="Times New Roman" w:cs="Times New Roman"/>
              <w:spacing w:val="16"/>
              <w:w w:val="136"/>
              <w:sz w:val="19"/>
              <w:szCs w:val="19"/>
            </w:rPr>
            <w:t>2</w:t>
          </w:r>
          <w:r>
            <w:rPr>
              <w:rFonts w:ascii="Times New Roman" w:hAnsi="Times New Roman" w:eastAsia="Times New Roman" w:cs="Times New Roman"/>
              <w:spacing w:val="16"/>
              <w:w w:val="136"/>
              <w:sz w:val="19"/>
              <w:szCs w:val="19"/>
            </w:rPr>
            <w:fldChar w:fldCharType="end"/>
          </w:r>
        </w:p>
        <w:p>
          <w:pPr>
            <w:tabs>
              <w:tab w:val="right" w:leader="dot" w:pos="8885"/>
            </w:tabs>
            <w:spacing w:before="112" w:line="194" w:lineRule="auto"/>
            <w:ind w:left="230"/>
            <w:rPr>
              <w:rFonts w:ascii="Times New Roman" w:hAnsi="Times New Roman" w:eastAsia="Times New Roman" w:cs="Times New Roman"/>
              <w:sz w:val="19"/>
              <w:szCs w:val="19"/>
            </w:rPr>
          </w:pPr>
          <w:r>
            <w:fldChar w:fldCharType="begin"/>
          </w:r>
          <w:r>
            <w:instrText xml:space="preserve"> HYPERLINK \l "bookmark5" </w:instrText>
          </w:r>
          <w:r>
            <w:fldChar w:fldCharType="separate"/>
          </w:r>
          <w:r>
            <w:rPr>
              <w:rFonts w:ascii="Times New Roman" w:hAnsi="Times New Roman" w:eastAsia="Times New Roman" w:cs="Times New Roman"/>
              <w:spacing w:val="5"/>
              <w:sz w:val="19"/>
              <w:szCs w:val="19"/>
            </w:rPr>
            <w:t>1.4</w:t>
          </w:r>
          <w:r>
            <w:rPr>
              <w:rFonts w:ascii="Times New Roman" w:hAnsi="Times New Roman" w:eastAsia="Times New Roman" w:cs="Times New Roman"/>
              <w:spacing w:val="1"/>
              <w:sz w:val="19"/>
              <w:szCs w:val="19"/>
            </w:rPr>
            <w:t xml:space="preserve">        </w:t>
          </w:r>
          <w:r>
            <w:rPr>
              <w:rFonts w:ascii="宋体" w:hAnsi="宋体" w:eastAsia="宋体" w:cs="宋体"/>
              <w:spacing w:val="5"/>
              <w:sz w:val="19"/>
              <w:szCs w:val="19"/>
            </w:rPr>
            <w:t>地下水环境影响识别</w:t>
          </w:r>
          <w:r>
            <w:rPr>
              <w:rFonts w:ascii="宋体" w:hAnsi="宋体" w:eastAsia="宋体" w:cs="宋体"/>
              <w:sz w:val="19"/>
              <w:szCs w:val="19"/>
            </w:rPr>
            <w:tab/>
          </w:r>
          <w:r>
            <w:rPr>
              <w:rFonts w:ascii="Times New Roman" w:hAnsi="Times New Roman" w:eastAsia="Times New Roman" w:cs="Times New Roman"/>
              <w:spacing w:val="28"/>
              <w:w w:val="125"/>
              <w:sz w:val="19"/>
              <w:szCs w:val="19"/>
            </w:rPr>
            <w:t>3</w:t>
          </w:r>
          <w:r>
            <w:rPr>
              <w:rFonts w:ascii="Times New Roman" w:hAnsi="Times New Roman" w:eastAsia="Times New Roman" w:cs="Times New Roman"/>
              <w:spacing w:val="28"/>
              <w:w w:val="125"/>
              <w:sz w:val="19"/>
              <w:szCs w:val="19"/>
            </w:rPr>
            <w:fldChar w:fldCharType="end"/>
          </w:r>
        </w:p>
        <w:p>
          <w:pPr>
            <w:tabs>
              <w:tab w:val="right" w:leader="dot" w:pos="8885"/>
            </w:tabs>
            <w:spacing w:before="113" w:line="194" w:lineRule="auto"/>
            <w:ind w:left="230"/>
            <w:rPr>
              <w:rFonts w:ascii="Times New Roman" w:hAnsi="Times New Roman" w:eastAsia="Times New Roman" w:cs="Times New Roman"/>
              <w:sz w:val="19"/>
              <w:szCs w:val="19"/>
            </w:rPr>
          </w:pPr>
          <w:r>
            <w:fldChar w:fldCharType="begin"/>
          </w:r>
          <w:r>
            <w:instrText xml:space="preserve"> HYPERLINK \l "bookmark6" </w:instrText>
          </w:r>
          <w:r>
            <w:fldChar w:fldCharType="separate"/>
          </w:r>
          <w:r>
            <w:rPr>
              <w:rFonts w:ascii="Times New Roman" w:hAnsi="Times New Roman" w:eastAsia="Times New Roman" w:cs="Times New Roman"/>
              <w:spacing w:val="5"/>
              <w:sz w:val="19"/>
              <w:szCs w:val="19"/>
            </w:rPr>
            <w:t>1.5</w:t>
          </w:r>
          <w:r>
            <w:rPr>
              <w:rFonts w:ascii="Times New Roman" w:hAnsi="Times New Roman" w:eastAsia="Times New Roman" w:cs="Times New Roman"/>
              <w:spacing w:val="1"/>
              <w:sz w:val="19"/>
              <w:szCs w:val="19"/>
            </w:rPr>
            <w:t xml:space="preserve">        </w:t>
          </w:r>
          <w:r>
            <w:rPr>
              <w:rFonts w:ascii="宋体" w:hAnsi="宋体" w:eastAsia="宋体" w:cs="宋体"/>
              <w:spacing w:val="5"/>
              <w:sz w:val="19"/>
              <w:szCs w:val="19"/>
            </w:rPr>
            <w:t>评价等级及评价范围</w:t>
          </w:r>
          <w:r>
            <w:rPr>
              <w:rFonts w:ascii="宋体" w:hAnsi="宋体" w:eastAsia="宋体" w:cs="宋体"/>
              <w:sz w:val="19"/>
              <w:szCs w:val="19"/>
            </w:rPr>
            <w:tab/>
          </w:r>
          <w:r>
            <w:rPr>
              <w:rFonts w:ascii="Times New Roman" w:hAnsi="Times New Roman" w:eastAsia="Times New Roman" w:cs="Times New Roman"/>
              <w:spacing w:val="12"/>
              <w:w w:val="142"/>
              <w:sz w:val="19"/>
              <w:szCs w:val="19"/>
            </w:rPr>
            <w:t>4</w:t>
          </w:r>
          <w:r>
            <w:rPr>
              <w:rFonts w:ascii="Times New Roman" w:hAnsi="Times New Roman" w:eastAsia="Times New Roman" w:cs="Times New Roman"/>
              <w:spacing w:val="12"/>
              <w:w w:val="142"/>
              <w:sz w:val="19"/>
              <w:szCs w:val="19"/>
            </w:rPr>
            <w:fldChar w:fldCharType="end"/>
          </w:r>
        </w:p>
        <w:p>
          <w:pPr>
            <w:tabs>
              <w:tab w:val="right" w:leader="dot" w:pos="8885"/>
            </w:tabs>
            <w:spacing w:before="112" w:line="194" w:lineRule="auto"/>
            <w:ind w:left="230"/>
            <w:rPr>
              <w:rFonts w:ascii="Times New Roman" w:hAnsi="Times New Roman" w:eastAsia="Times New Roman" w:cs="Times New Roman"/>
              <w:sz w:val="19"/>
              <w:szCs w:val="19"/>
            </w:rPr>
          </w:pPr>
          <w:r>
            <w:fldChar w:fldCharType="begin"/>
          </w:r>
          <w:r>
            <w:instrText xml:space="preserve"> HYPERLINK \l "bookmark7" </w:instrText>
          </w:r>
          <w:r>
            <w:fldChar w:fldCharType="separate"/>
          </w:r>
          <w:r>
            <w:rPr>
              <w:rFonts w:ascii="Times New Roman" w:hAnsi="Times New Roman" w:eastAsia="Times New Roman" w:cs="Times New Roman"/>
              <w:spacing w:val="5"/>
              <w:sz w:val="19"/>
              <w:szCs w:val="19"/>
            </w:rPr>
            <w:t>1.6</w:t>
          </w:r>
          <w:r>
            <w:rPr>
              <w:rFonts w:ascii="Times New Roman" w:hAnsi="Times New Roman" w:eastAsia="Times New Roman" w:cs="Times New Roman"/>
              <w:spacing w:val="1"/>
              <w:sz w:val="19"/>
              <w:szCs w:val="19"/>
            </w:rPr>
            <w:t xml:space="preserve">        </w:t>
          </w:r>
          <w:r>
            <w:rPr>
              <w:rFonts w:ascii="宋体" w:hAnsi="宋体" w:eastAsia="宋体" w:cs="宋体"/>
              <w:spacing w:val="5"/>
              <w:sz w:val="19"/>
              <w:szCs w:val="19"/>
            </w:rPr>
            <w:t>地下水环境保护目标</w:t>
          </w:r>
          <w:r>
            <w:rPr>
              <w:rFonts w:ascii="宋体" w:hAnsi="宋体" w:eastAsia="宋体" w:cs="宋体"/>
              <w:sz w:val="19"/>
              <w:szCs w:val="19"/>
            </w:rPr>
            <w:tab/>
          </w:r>
          <w:r>
            <w:rPr>
              <w:rFonts w:ascii="Times New Roman" w:hAnsi="Times New Roman" w:eastAsia="Times New Roman" w:cs="Times New Roman"/>
              <w:spacing w:val="28"/>
              <w:w w:val="125"/>
              <w:sz w:val="19"/>
              <w:szCs w:val="19"/>
            </w:rPr>
            <w:t>8</w:t>
          </w:r>
          <w:r>
            <w:rPr>
              <w:rFonts w:ascii="Times New Roman" w:hAnsi="Times New Roman" w:eastAsia="Times New Roman" w:cs="Times New Roman"/>
              <w:spacing w:val="28"/>
              <w:w w:val="125"/>
              <w:sz w:val="19"/>
              <w:szCs w:val="19"/>
            </w:rPr>
            <w:fldChar w:fldCharType="end"/>
          </w:r>
        </w:p>
        <w:p>
          <w:pPr>
            <w:tabs>
              <w:tab w:val="right" w:leader="dot" w:pos="8887"/>
            </w:tabs>
            <w:spacing w:before="264" w:line="185" w:lineRule="auto"/>
            <w:ind w:left="1"/>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b/>
              <w:bCs/>
              <w:sz w:val="24"/>
              <w:szCs w:val="24"/>
            </w:rPr>
            <w:t xml:space="preserve">2 </w:t>
          </w:r>
          <w:r>
            <w:rPr>
              <w:rFonts w:ascii="宋体" w:hAnsi="宋体" w:eastAsia="宋体" w:cs="宋体"/>
              <w:sz w:val="24"/>
              <w:szCs w:val="24"/>
              <w14:textOutline w14:w="4354" w14:cap="flat" w14:cmpd="sng">
                <w14:solidFill>
                  <w14:srgbClr w14:val="000000"/>
                </w14:solidFill>
                <w14:prstDash w14:val="solid"/>
                <w14:miter w14:val="10"/>
              </w14:textOutline>
            </w:rPr>
            <w:t>评价区水文地质条件</w:t>
          </w:r>
          <w:r>
            <w:rPr>
              <w:rFonts w:ascii="宋体" w:hAnsi="宋体" w:eastAsia="宋体" w:cs="宋体"/>
              <w:sz w:val="24"/>
              <w:szCs w:val="24"/>
            </w:rPr>
            <w:tab/>
          </w:r>
          <w:r>
            <w:rPr>
              <w:rFonts w:ascii="Times New Roman" w:hAnsi="Times New Roman" w:eastAsia="Times New Roman" w:cs="Times New Roman"/>
              <w:spacing w:val="19"/>
              <w:sz w:val="24"/>
              <w:szCs w:val="24"/>
            </w:rPr>
            <w:t>10</w:t>
          </w:r>
          <w:r>
            <w:rPr>
              <w:rFonts w:ascii="Times New Roman" w:hAnsi="Times New Roman" w:eastAsia="Times New Roman" w:cs="Times New Roman"/>
              <w:spacing w:val="19"/>
              <w:sz w:val="24"/>
              <w:szCs w:val="24"/>
            </w:rPr>
            <w:fldChar w:fldCharType="end"/>
          </w:r>
        </w:p>
        <w:p>
          <w:pPr>
            <w:tabs>
              <w:tab w:val="right" w:leader="dot" w:pos="8887"/>
            </w:tabs>
            <w:spacing w:before="126" w:line="194" w:lineRule="auto"/>
            <w:ind w:left="211"/>
            <w:rPr>
              <w:rFonts w:ascii="Times New Roman" w:hAnsi="Times New Roman" w:eastAsia="Times New Roman" w:cs="Times New Roman"/>
              <w:sz w:val="19"/>
              <w:szCs w:val="19"/>
            </w:rPr>
          </w:pPr>
          <w:r>
            <w:fldChar w:fldCharType="begin"/>
          </w:r>
          <w:r>
            <w:instrText xml:space="preserve"> HYPERLINK \l "bookmark9" </w:instrText>
          </w:r>
          <w:r>
            <w:fldChar w:fldCharType="separate"/>
          </w:r>
          <w:r>
            <w:rPr>
              <w:rFonts w:ascii="Times New Roman" w:hAnsi="Times New Roman" w:eastAsia="Times New Roman" w:cs="Times New Roman"/>
              <w:spacing w:val="6"/>
              <w:sz w:val="19"/>
              <w:szCs w:val="19"/>
            </w:rPr>
            <w:t>2.1</w:t>
          </w:r>
          <w:r>
            <w:rPr>
              <w:rFonts w:ascii="Times New Roman" w:hAnsi="Times New Roman" w:eastAsia="Times New Roman" w:cs="Times New Roman"/>
              <w:sz w:val="19"/>
              <w:szCs w:val="19"/>
            </w:rPr>
            <w:t xml:space="preserve">        </w:t>
          </w:r>
          <w:r>
            <w:rPr>
              <w:rFonts w:ascii="宋体" w:hAnsi="宋体" w:eastAsia="宋体" w:cs="宋体"/>
              <w:spacing w:val="6"/>
              <w:sz w:val="19"/>
              <w:szCs w:val="19"/>
            </w:rPr>
            <w:t>地下水类型</w:t>
          </w:r>
          <w:r>
            <w:rPr>
              <w:rFonts w:ascii="宋体" w:hAnsi="宋体" w:eastAsia="宋体" w:cs="宋体"/>
              <w:spacing w:val="-25"/>
              <w:sz w:val="19"/>
              <w:szCs w:val="19"/>
            </w:rPr>
            <w:t xml:space="preserve"> </w:t>
          </w:r>
          <w:r>
            <w:rPr>
              <w:rFonts w:ascii="宋体" w:hAnsi="宋体" w:eastAsia="宋体" w:cs="宋体"/>
              <w:sz w:val="19"/>
              <w:szCs w:val="19"/>
            </w:rPr>
            <w:tab/>
          </w:r>
          <w:r>
            <w:rPr>
              <w:rFonts w:ascii="Times New Roman" w:hAnsi="Times New Roman" w:eastAsia="Times New Roman" w:cs="Times New Roman"/>
              <w:spacing w:val="29"/>
              <w:sz w:val="19"/>
              <w:szCs w:val="19"/>
            </w:rPr>
            <w:t>10</w:t>
          </w:r>
          <w:r>
            <w:rPr>
              <w:rFonts w:ascii="Times New Roman" w:hAnsi="Times New Roman" w:eastAsia="Times New Roman" w:cs="Times New Roman"/>
              <w:spacing w:val="29"/>
              <w:sz w:val="19"/>
              <w:szCs w:val="19"/>
            </w:rPr>
            <w:fldChar w:fldCharType="end"/>
          </w:r>
        </w:p>
        <w:p>
          <w:pPr>
            <w:tabs>
              <w:tab w:val="right" w:leader="dot" w:pos="8887"/>
            </w:tabs>
            <w:spacing w:before="113" w:line="194" w:lineRule="auto"/>
            <w:ind w:left="211"/>
            <w:rPr>
              <w:rFonts w:ascii="Times New Roman" w:hAnsi="Times New Roman" w:eastAsia="Times New Roman" w:cs="Times New Roman"/>
              <w:sz w:val="19"/>
              <w:szCs w:val="19"/>
            </w:rPr>
          </w:pPr>
          <w:r>
            <w:fldChar w:fldCharType="begin"/>
          </w:r>
          <w:r>
            <w:instrText xml:space="preserve"> HYPERLINK \l "bookmark10" </w:instrText>
          </w:r>
          <w:r>
            <w:fldChar w:fldCharType="separate"/>
          </w:r>
          <w:r>
            <w:rPr>
              <w:rFonts w:ascii="Times New Roman" w:hAnsi="Times New Roman" w:eastAsia="Times New Roman" w:cs="Times New Roman"/>
              <w:spacing w:val="7"/>
              <w:sz w:val="19"/>
              <w:szCs w:val="19"/>
            </w:rPr>
            <w:t>2.2</w:t>
          </w:r>
          <w:r>
            <w:rPr>
              <w:rFonts w:ascii="Times New Roman" w:hAnsi="Times New Roman" w:eastAsia="Times New Roman" w:cs="Times New Roman"/>
              <w:spacing w:val="8"/>
              <w:sz w:val="19"/>
              <w:szCs w:val="19"/>
            </w:rPr>
            <w:t xml:space="preserve">      </w:t>
          </w:r>
          <w:r>
            <w:rPr>
              <w:rFonts w:ascii="宋体" w:hAnsi="宋体" w:eastAsia="宋体" w:cs="宋体"/>
              <w:spacing w:val="7"/>
              <w:sz w:val="19"/>
              <w:szCs w:val="19"/>
            </w:rPr>
            <w:t>含水岩层（组）及富水性</w:t>
          </w:r>
          <w:r>
            <w:rPr>
              <w:rFonts w:ascii="宋体" w:hAnsi="宋体" w:eastAsia="宋体" w:cs="宋体"/>
              <w:sz w:val="19"/>
              <w:szCs w:val="19"/>
            </w:rPr>
            <w:tab/>
          </w:r>
          <w:r>
            <w:rPr>
              <w:rFonts w:ascii="Times New Roman" w:hAnsi="Times New Roman" w:eastAsia="Times New Roman" w:cs="Times New Roman"/>
              <w:spacing w:val="29"/>
              <w:sz w:val="19"/>
              <w:szCs w:val="19"/>
            </w:rPr>
            <w:t>10</w:t>
          </w:r>
          <w:r>
            <w:rPr>
              <w:rFonts w:ascii="Times New Roman" w:hAnsi="Times New Roman" w:eastAsia="Times New Roman" w:cs="Times New Roman"/>
              <w:spacing w:val="29"/>
              <w:sz w:val="19"/>
              <w:szCs w:val="19"/>
            </w:rPr>
            <w:fldChar w:fldCharType="end"/>
          </w:r>
        </w:p>
        <w:p>
          <w:pPr>
            <w:tabs>
              <w:tab w:val="right" w:leader="dot" w:pos="8885"/>
            </w:tabs>
            <w:spacing w:before="112" w:line="194" w:lineRule="auto"/>
            <w:ind w:left="211"/>
            <w:rPr>
              <w:rFonts w:ascii="Times New Roman" w:hAnsi="Times New Roman" w:eastAsia="Times New Roman" w:cs="Times New Roman"/>
              <w:sz w:val="19"/>
              <w:szCs w:val="19"/>
            </w:rPr>
          </w:pPr>
          <w:r>
            <w:fldChar w:fldCharType="begin"/>
          </w:r>
          <w:r>
            <w:instrText xml:space="preserve"> HYPERLINK \l "bookmark11" </w:instrText>
          </w:r>
          <w:r>
            <w:fldChar w:fldCharType="separate"/>
          </w:r>
          <w:r>
            <w:rPr>
              <w:rFonts w:ascii="Times New Roman" w:hAnsi="Times New Roman" w:eastAsia="Times New Roman" w:cs="Times New Roman"/>
              <w:spacing w:val="8"/>
              <w:sz w:val="19"/>
              <w:szCs w:val="19"/>
            </w:rPr>
            <w:t>2.3</w:t>
          </w:r>
          <w:r>
            <w:rPr>
              <w:rFonts w:ascii="Times New Roman" w:hAnsi="Times New Roman" w:eastAsia="Times New Roman" w:cs="Times New Roman"/>
              <w:sz w:val="19"/>
              <w:szCs w:val="19"/>
            </w:rPr>
            <w:t xml:space="preserve">        </w:t>
          </w:r>
          <w:r>
            <w:rPr>
              <w:rFonts w:ascii="宋体" w:hAnsi="宋体" w:eastAsia="宋体" w:cs="宋体"/>
              <w:spacing w:val="8"/>
              <w:sz w:val="19"/>
              <w:szCs w:val="19"/>
            </w:rPr>
            <w:t>地下水补给、径流、排泄条件</w:t>
          </w:r>
          <w:r>
            <w:rPr>
              <w:rFonts w:ascii="宋体" w:hAnsi="宋体" w:eastAsia="宋体" w:cs="宋体"/>
              <w:sz w:val="19"/>
              <w:szCs w:val="19"/>
            </w:rPr>
            <w:tab/>
          </w:r>
          <w:r>
            <w:rPr>
              <w:rFonts w:ascii="Times New Roman" w:hAnsi="Times New Roman" w:eastAsia="Times New Roman" w:cs="Times New Roman"/>
              <w:spacing w:val="3"/>
              <w:sz w:val="19"/>
              <w:szCs w:val="19"/>
            </w:rPr>
            <w:t>11</w:t>
          </w:r>
          <w:r>
            <w:rPr>
              <w:rFonts w:ascii="Times New Roman" w:hAnsi="Times New Roman" w:eastAsia="Times New Roman" w:cs="Times New Roman"/>
              <w:spacing w:val="3"/>
              <w:sz w:val="19"/>
              <w:szCs w:val="19"/>
            </w:rPr>
            <w:fldChar w:fldCharType="end"/>
          </w:r>
        </w:p>
        <w:p>
          <w:pPr>
            <w:tabs>
              <w:tab w:val="right" w:leader="dot" w:pos="8885"/>
            </w:tabs>
            <w:spacing w:before="113" w:line="194" w:lineRule="auto"/>
            <w:ind w:left="211"/>
            <w:rPr>
              <w:rFonts w:ascii="Times New Roman" w:hAnsi="Times New Roman" w:eastAsia="Times New Roman" w:cs="Times New Roman"/>
              <w:sz w:val="19"/>
              <w:szCs w:val="19"/>
            </w:rPr>
          </w:pPr>
          <w:r>
            <w:fldChar w:fldCharType="begin"/>
          </w:r>
          <w:r>
            <w:instrText xml:space="preserve"> HYPERLINK \l "bookmark12" </w:instrText>
          </w:r>
          <w:r>
            <w:fldChar w:fldCharType="separate"/>
          </w:r>
          <w:r>
            <w:rPr>
              <w:rFonts w:ascii="Times New Roman" w:hAnsi="Times New Roman" w:eastAsia="Times New Roman" w:cs="Times New Roman"/>
              <w:spacing w:val="7"/>
              <w:sz w:val="19"/>
              <w:szCs w:val="19"/>
            </w:rPr>
            <w:t>2.4</w:t>
          </w:r>
          <w:r>
            <w:rPr>
              <w:rFonts w:ascii="Times New Roman" w:hAnsi="Times New Roman" w:eastAsia="Times New Roman" w:cs="Times New Roman"/>
              <w:spacing w:val="2"/>
              <w:sz w:val="19"/>
              <w:szCs w:val="19"/>
            </w:rPr>
            <w:t xml:space="preserve">        </w:t>
          </w:r>
          <w:r>
            <w:rPr>
              <w:rFonts w:ascii="宋体" w:hAnsi="宋体" w:eastAsia="宋体" w:cs="宋体"/>
              <w:spacing w:val="7"/>
              <w:sz w:val="19"/>
              <w:szCs w:val="19"/>
            </w:rPr>
            <w:t>地下水开发利用及水位调查</w:t>
          </w:r>
          <w:r>
            <w:rPr>
              <w:rFonts w:ascii="宋体" w:hAnsi="宋体" w:eastAsia="宋体" w:cs="宋体"/>
              <w:sz w:val="19"/>
              <w:szCs w:val="19"/>
            </w:rPr>
            <w:tab/>
          </w:r>
          <w:r>
            <w:rPr>
              <w:rFonts w:ascii="Times New Roman" w:hAnsi="Times New Roman" w:eastAsia="Times New Roman" w:cs="Times New Roman"/>
              <w:spacing w:val="3"/>
              <w:sz w:val="19"/>
              <w:szCs w:val="19"/>
            </w:rPr>
            <w:t>11</w:t>
          </w:r>
          <w:r>
            <w:rPr>
              <w:rFonts w:ascii="Times New Roman" w:hAnsi="Times New Roman" w:eastAsia="Times New Roman" w:cs="Times New Roman"/>
              <w:spacing w:val="3"/>
              <w:sz w:val="19"/>
              <w:szCs w:val="19"/>
            </w:rPr>
            <w:fldChar w:fldCharType="end"/>
          </w:r>
        </w:p>
        <w:p>
          <w:pPr>
            <w:tabs>
              <w:tab w:val="right" w:leader="dot" w:pos="8887"/>
            </w:tabs>
            <w:spacing w:before="112" w:line="194" w:lineRule="auto"/>
            <w:ind w:left="211"/>
            <w:rPr>
              <w:rFonts w:ascii="Times New Roman" w:hAnsi="Times New Roman" w:eastAsia="Times New Roman" w:cs="Times New Roman"/>
              <w:sz w:val="19"/>
              <w:szCs w:val="19"/>
            </w:rPr>
          </w:pPr>
          <w:r>
            <w:fldChar w:fldCharType="begin"/>
          </w:r>
          <w:r>
            <w:instrText xml:space="preserve"> HYPERLINK \l "bookmark13" </w:instrText>
          </w:r>
          <w:r>
            <w:fldChar w:fldCharType="separate"/>
          </w:r>
          <w:r>
            <w:rPr>
              <w:rFonts w:ascii="Times New Roman" w:hAnsi="Times New Roman" w:eastAsia="Times New Roman" w:cs="Times New Roman"/>
              <w:spacing w:val="5"/>
              <w:sz w:val="19"/>
              <w:szCs w:val="19"/>
            </w:rPr>
            <w:t>2.5</w:t>
          </w:r>
          <w:r>
            <w:rPr>
              <w:rFonts w:ascii="Times New Roman" w:hAnsi="Times New Roman" w:eastAsia="Times New Roman" w:cs="Times New Roman"/>
              <w:spacing w:val="1"/>
              <w:sz w:val="19"/>
              <w:szCs w:val="19"/>
            </w:rPr>
            <w:t xml:space="preserve">       </w:t>
          </w:r>
          <w:r>
            <w:rPr>
              <w:rFonts w:ascii="宋体" w:hAnsi="宋体" w:eastAsia="宋体" w:cs="宋体"/>
              <w:spacing w:val="5"/>
              <w:sz w:val="19"/>
              <w:szCs w:val="19"/>
            </w:rPr>
            <w:t>水文地质试验</w:t>
          </w:r>
          <w:r>
            <w:rPr>
              <w:rFonts w:ascii="宋体" w:hAnsi="宋体" w:eastAsia="宋体" w:cs="宋体"/>
              <w:sz w:val="19"/>
              <w:szCs w:val="19"/>
            </w:rPr>
            <w:tab/>
          </w:r>
          <w:r>
            <w:rPr>
              <w:rFonts w:ascii="Times New Roman" w:hAnsi="Times New Roman" w:eastAsia="Times New Roman" w:cs="Times New Roman"/>
              <w:spacing w:val="26"/>
              <w:w w:val="103"/>
              <w:sz w:val="19"/>
              <w:szCs w:val="19"/>
            </w:rPr>
            <w:t>12</w:t>
          </w:r>
          <w:r>
            <w:rPr>
              <w:rFonts w:ascii="Times New Roman" w:hAnsi="Times New Roman" w:eastAsia="Times New Roman" w:cs="Times New Roman"/>
              <w:spacing w:val="26"/>
              <w:w w:val="103"/>
              <w:sz w:val="19"/>
              <w:szCs w:val="19"/>
            </w:rPr>
            <w:fldChar w:fldCharType="end"/>
          </w:r>
        </w:p>
        <w:p>
          <w:pPr>
            <w:tabs>
              <w:tab w:val="right" w:leader="dot" w:pos="8887"/>
            </w:tabs>
            <w:spacing w:before="112" w:line="194" w:lineRule="auto"/>
            <w:ind w:left="211"/>
            <w:rPr>
              <w:rFonts w:ascii="Times New Roman" w:hAnsi="Times New Roman" w:eastAsia="Times New Roman" w:cs="Times New Roman"/>
              <w:sz w:val="19"/>
              <w:szCs w:val="19"/>
            </w:rPr>
          </w:pPr>
          <w:r>
            <w:fldChar w:fldCharType="begin"/>
          </w:r>
          <w:r>
            <w:instrText xml:space="preserve"> HYPERLINK \l "bookmark14" </w:instrText>
          </w:r>
          <w:r>
            <w:fldChar w:fldCharType="separate"/>
          </w:r>
          <w:r>
            <w:rPr>
              <w:rFonts w:ascii="Times New Roman" w:hAnsi="Times New Roman" w:eastAsia="Times New Roman" w:cs="Times New Roman"/>
              <w:spacing w:val="6"/>
              <w:sz w:val="19"/>
              <w:szCs w:val="19"/>
            </w:rPr>
            <w:t>2.6</w:t>
          </w:r>
          <w:r>
            <w:rPr>
              <w:rFonts w:ascii="Times New Roman" w:hAnsi="Times New Roman" w:eastAsia="Times New Roman" w:cs="Times New Roman"/>
              <w:spacing w:val="8"/>
              <w:sz w:val="19"/>
              <w:szCs w:val="19"/>
            </w:rPr>
            <w:t xml:space="preserve">      </w:t>
          </w:r>
          <w:r>
            <w:rPr>
              <w:rFonts w:ascii="宋体" w:hAnsi="宋体" w:eastAsia="宋体" w:cs="宋体"/>
              <w:spacing w:val="6"/>
              <w:sz w:val="19"/>
              <w:szCs w:val="19"/>
            </w:rPr>
            <w:t>环境水文地质条件</w:t>
          </w:r>
          <w:r>
            <w:rPr>
              <w:rFonts w:ascii="宋体" w:hAnsi="宋体" w:eastAsia="宋体" w:cs="宋体"/>
              <w:sz w:val="19"/>
              <w:szCs w:val="19"/>
            </w:rPr>
            <w:tab/>
          </w:r>
          <w:r>
            <w:rPr>
              <w:rFonts w:ascii="Times New Roman" w:hAnsi="Times New Roman" w:eastAsia="Times New Roman" w:cs="Times New Roman"/>
              <w:spacing w:val="30"/>
              <w:sz w:val="19"/>
              <w:szCs w:val="19"/>
            </w:rPr>
            <w:t>13</w:t>
          </w:r>
          <w:r>
            <w:rPr>
              <w:rFonts w:ascii="Times New Roman" w:hAnsi="Times New Roman" w:eastAsia="Times New Roman" w:cs="Times New Roman"/>
              <w:spacing w:val="30"/>
              <w:sz w:val="19"/>
              <w:szCs w:val="19"/>
            </w:rPr>
            <w:fldChar w:fldCharType="end"/>
          </w:r>
        </w:p>
        <w:p>
          <w:pPr>
            <w:tabs>
              <w:tab w:val="right" w:leader="dot" w:pos="8887"/>
            </w:tabs>
            <w:spacing w:before="113" w:line="194" w:lineRule="auto"/>
            <w:ind w:left="211"/>
            <w:rPr>
              <w:rFonts w:ascii="Times New Roman" w:hAnsi="Times New Roman" w:eastAsia="Times New Roman" w:cs="Times New Roman"/>
              <w:sz w:val="19"/>
              <w:szCs w:val="19"/>
            </w:rPr>
          </w:pPr>
          <w:r>
            <w:fldChar w:fldCharType="begin"/>
          </w:r>
          <w:r>
            <w:instrText xml:space="preserve"> HYPERLINK \l "bookmark15" </w:instrText>
          </w:r>
          <w:r>
            <w:fldChar w:fldCharType="separate"/>
          </w:r>
          <w:r>
            <w:rPr>
              <w:rFonts w:ascii="Times New Roman" w:hAnsi="Times New Roman" w:eastAsia="Times New Roman" w:cs="Times New Roman"/>
              <w:spacing w:val="7"/>
              <w:sz w:val="19"/>
              <w:szCs w:val="19"/>
            </w:rPr>
            <w:t xml:space="preserve">2.7      </w:t>
          </w:r>
          <w:r>
            <w:rPr>
              <w:rFonts w:ascii="宋体" w:hAnsi="宋体" w:eastAsia="宋体" w:cs="宋体"/>
              <w:spacing w:val="7"/>
              <w:sz w:val="19"/>
              <w:szCs w:val="19"/>
            </w:rPr>
            <w:t>地下水环境质量现状</w:t>
          </w:r>
          <w:r>
            <w:rPr>
              <w:rFonts w:ascii="宋体" w:hAnsi="宋体" w:eastAsia="宋体" w:cs="宋体"/>
              <w:sz w:val="19"/>
              <w:szCs w:val="19"/>
            </w:rPr>
            <w:tab/>
          </w:r>
          <w:r>
            <w:rPr>
              <w:rFonts w:ascii="Times New Roman" w:hAnsi="Times New Roman" w:eastAsia="Times New Roman" w:cs="Times New Roman"/>
              <w:spacing w:val="25"/>
              <w:w w:val="105"/>
              <w:sz w:val="19"/>
              <w:szCs w:val="19"/>
            </w:rPr>
            <w:t>14</w:t>
          </w:r>
          <w:r>
            <w:rPr>
              <w:rFonts w:ascii="Times New Roman" w:hAnsi="Times New Roman" w:eastAsia="Times New Roman" w:cs="Times New Roman"/>
              <w:spacing w:val="25"/>
              <w:w w:val="105"/>
              <w:sz w:val="19"/>
              <w:szCs w:val="19"/>
            </w:rPr>
            <w:fldChar w:fldCharType="end"/>
          </w:r>
        </w:p>
        <w:p>
          <w:pPr>
            <w:tabs>
              <w:tab w:val="right" w:leader="dot" w:pos="8887"/>
            </w:tabs>
            <w:spacing w:before="267" w:line="185" w:lineRule="auto"/>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b/>
              <w:bCs/>
              <w:sz w:val="24"/>
              <w:szCs w:val="24"/>
            </w:rPr>
            <w:t xml:space="preserve">3 </w:t>
          </w:r>
          <w:r>
            <w:rPr>
              <w:rFonts w:ascii="宋体" w:hAnsi="宋体" w:eastAsia="宋体" w:cs="宋体"/>
              <w:sz w:val="24"/>
              <w:szCs w:val="24"/>
              <w14:textOutline w14:w="4354" w14:cap="flat" w14:cmpd="sng">
                <w14:solidFill>
                  <w14:srgbClr w14:val="000000"/>
                </w14:solidFill>
                <w14:prstDash w14:val="solid"/>
                <w14:miter w14:val="10"/>
              </w14:textOutline>
            </w:rPr>
            <w:t>地下水环境影响预测与评价</w:t>
          </w:r>
          <w:r>
            <w:rPr>
              <w:rFonts w:ascii="宋体" w:hAnsi="宋体" w:eastAsia="宋体" w:cs="宋体"/>
              <w:sz w:val="24"/>
              <w:szCs w:val="24"/>
            </w:rPr>
            <w:tab/>
          </w:r>
          <w:r>
            <w:rPr>
              <w:rFonts w:ascii="Times New Roman" w:hAnsi="Times New Roman" w:eastAsia="Times New Roman" w:cs="Times New Roman"/>
              <w:spacing w:val="19"/>
              <w:sz w:val="24"/>
              <w:szCs w:val="24"/>
            </w:rPr>
            <w:t>15</w:t>
          </w:r>
          <w:r>
            <w:rPr>
              <w:rFonts w:ascii="Times New Roman" w:hAnsi="Times New Roman" w:eastAsia="Times New Roman" w:cs="Times New Roman"/>
              <w:spacing w:val="19"/>
              <w:sz w:val="24"/>
              <w:szCs w:val="24"/>
            </w:rPr>
            <w:fldChar w:fldCharType="end"/>
          </w:r>
        </w:p>
        <w:p>
          <w:pPr>
            <w:tabs>
              <w:tab w:val="right" w:leader="dot" w:pos="8887"/>
            </w:tabs>
            <w:spacing w:before="125" w:line="194" w:lineRule="auto"/>
            <w:ind w:left="215"/>
            <w:rPr>
              <w:rFonts w:ascii="Times New Roman" w:hAnsi="Times New Roman" w:eastAsia="Times New Roman" w:cs="Times New Roman"/>
              <w:sz w:val="19"/>
              <w:szCs w:val="19"/>
            </w:rPr>
          </w:pPr>
          <w:r>
            <w:fldChar w:fldCharType="begin"/>
          </w:r>
          <w:r>
            <w:instrText xml:space="preserve"> HYPERLINK \l "bookmark17" </w:instrText>
          </w:r>
          <w:r>
            <w:fldChar w:fldCharType="separate"/>
          </w:r>
          <w:r>
            <w:rPr>
              <w:rFonts w:ascii="Times New Roman" w:hAnsi="Times New Roman" w:eastAsia="Times New Roman" w:cs="Times New Roman"/>
              <w:spacing w:val="4"/>
              <w:sz w:val="19"/>
              <w:szCs w:val="19"/>
            </w:rPr>
            <w:t>3.1</w:t>
          </w:r>
          <w:r>
            <w:rPr>
              <w:rFonts w:ascii="Times New Roman" w:hAnsi="Times New Roman" w:eastAsia="Times New Roman" w:cs="Times New Roman"/>
              <w:spacing w:val="1"/>
              <w:sz w:val="19"/>
              <w:szCs w:val="19"/>
            </w:rPr>
            <w:t xml:space="preserve">        </w:t>
          </w:r>
          <w:r>
            <w:rPr>
              <w:rFonts w:ascii="宋体" w:hAnsi="宋体" w:eastAsia="宋体" w:cs="宋体"/>
              <w:spacing w:val="4"/>
              <w:sz w:val="19"/>
              <w:szCs w:val="19"/>
            </w:rPr>
            <w:t>预测原则</w:t>
          </w:r>
          <w:r>
            <w:rPr>
              <w:rFonts w:ascii="宋体" w:hAnsi="宋体" w:eastAsia="宋体" w:cs="宋体"/>
              <w:spacing w:val="-28"/>
              <w:sz w:val="19"/>
              <w:szCs w:val="19"/>
            </w:rPr>
            <w:t xml:space="preserve"> </w:t>
          </w:r>
          <w:r>
            <w:rPr>
              <w:rFonts w:ascii="宋体" w:hAnsi="宋体" w:eastAsia="宋体" w:cs="宋体"/>
              <w:sz w:val="19"/>
              <w:szCs w:val="19"/>
            </w:rPr>
            <w:tab/>
          </w:r>
          <w:r>
            <w:rPr>
              <w:rFonts w:ascii="Times New Roman" w:hAnsi="Times New Roman" w:eastAsia="Times New Roman" w:cs="Times New Roman"/>
              <w:spacing w:val="29"/>
              <w:sz w:val="19"/>
              <w:szCs w:val="19"/>
            </w:rPr>
            <w:t>15</w:t>
          </w:r>
          <w:r>
            <w:rPr>
              <w:rFonts w:ascii="Times New Roman" w:hAnsi="Times New Roman" w:eastAsia="Times New Roman" w:cs="Times New Roman"/>
              <w:spacing w:val="29"/>
              <w:sz w:val="19"/>
              <w:szCs w:val="19"/>
            </w:rPr>
            <w:fldChar w:fldCharType="end"/>
          </w:r>
        </w:p>
        <w:p>
          <w:pPr>
            <w:tabs>
              <w:tab w:val="right" w:leader="dot" w:pos="8887"/>
            </w:tabs>
            <w:spacing w:before="113" w:line="194" w:lineRule="auto"/>
            <w:ind w:left="215"/>
            <w:rPr>
              <w:rFonts w:ascii="Times New Roman" w:hAnsi="Times New Roman" w:eastAsia="Times New Roman" w:cs="Times New Roman"/>
              <w:sz w:val="19"/>
              <w:szCs w:val="19"/>
            </w:rPr>
          </w:pPr>
          <w:r>
            <w:fldChar w:fldCharType="begin"/>
          </w:r>
          <w:r>
            <w:instrText xml:space="preserve"> HYPERLINK \l "bookmark18" </w:instrText>
          </w:r>
          <w:r>
            <w:fldChar w:fldCharType="separate"/>
          </w:r>
          <w:r>
            <w:rPr>
              <w:rFonts w:ascii="Times New Roman" w:hAnsi="Times New Roman" w:eastAsia="Times New Roman" w:cs="Times New Roman"/>
              <w:spacing w:val="6"/>
              <w:sz w:val="19"/>
              <w:szCs w:val="19"/>
            </w:rPr>
            <w:t>3.2</w:t>
          </w:r>
          <w:r>
            <w:rPr>
              <w:rFonts w:ascii="Times New Roman" w:hAnsi="Times New Roman" w:eastAsia="Times New Roman" w:cs="Times New Roman"/>
              <w:spacing w:val="1"/>
              <w:sz w:val="19"/>
              <w:szCs w:val="19"/>
            </w:rPr>
            <w:t xml:space="preserve">        </w:t>
          </w:r>
          <w:r>
            <w:rPr>
              <w:rFonts w:ascii="宋体" w:hAnsi="宋体" w:eastAsia="宋体" w:cs="宋体"/>
              <w:spacing w:val="6"/>
              <w:sz w:val="19"/>
              <w:szCs w:val="19"/>
            </w:rPr>
            <w:t>预测方法及范围</w:t>
          </w:r>
          <w:r>
            <w:rPr>
              <w:rFonts w:ascii="宋体" w:hAnsi="宋体" w:eastAsia="宋体" w:cs="宋体"/>
              <w:sz w:val="19"/>
              <w:szCs w:val="19"/>
            </w:rPr>
            <w:tab/>
          </w:r>
          <w:r>
            <w:rPr>
              <w:rFonts w:ascii="Times New Roman" w:hAnsi="Times New Roman" w:eastAsia="Times New Roman" w:cs="Times New Roman"/>
              <w:spacing w:val="30"/>
              <w:sz w:val="19"/>
              <w:szCs w:val="19"/>
            </w:rPr>
            <w:t>15</w:t>
          </w:r>
          <w:r>
            <w:rPr>
              <w:rFonts w:ascii="Times New Roman" w:hAnsi="Times New Roman" w:eastAsia="Times New Roman" w:cs="Times New Roman"/>
              <w:spacing w:val="30"/>
              <w:sz w:val="19"/>
              <w:szCs w:val="19"/>
            </w:rPr>
            <w:fldChar w:fldCharType="end"/>
          </w:r>
        </w:p>
        <w:p>
          <w:pPr>
            <w:tabs>
              <w:tab w:val="right" w:leader="dot" w:pos="8887"/>
            </w:tabs>
            <w:spacing w:before="112" w:line="194" w:lineRule="auto"/>
            <w:ind w:left="215"/>
            <w:rPr>
              <w:rFonts w:ascii="Times New Roman" w:hAnsi="Times New Roman" w:eastAsia="Times New Roman" w:cs="Times New Roman"/>
              <w:sz w:val="19"/>
              <w:szCs w:val="19"/>
            </w:rPr>
          </w:pPr>
          <w:r>
            <w:fldChar w:fldCharType="begin"/>
          </w:r>
          <w:r>
            <w:instrText xml:space="preserve"> HYPERLINK \l "bookmark19" </w:instrText>
          </w:r>
          <w:r>
            <w:fldChar w:fldCharType="separate"/>
          </w:r>
          <w:r>
            <w:rPr>
              <w:rFonts w:ascii="Times New Roman" w:hAnsi="Times New Roman" w:eastAsia="Times New Roman" w:cs="Times New Roman"/>
              <w:spacing w:val="4"/>
              <w:sz w:val="19"/>
              <w:szCs w:val="19"/>
            </w:rPr>
            <w:t>3.3</w:t>
          </w:r>
          <w:r>
            <w:rPr>
              <w:rFonts w:ascii="Times New Roman" w:hAnsi="Times New Roman" w:eastAsia="Times New Roman" w:cs="Times New Roman"/>
              <w:spacing w:val="1"/>
              <w:sz w:val="19"/>
              <w:szCs w:val="19"/>
            </w:rPr>
            <w:t xml:space="preserve">        </w:t>
          </w:r>
          <w:r>
            <w:rPr>
              <w:rFonts w:ascii="宋体" w:hAnsi="宋体" w:eastAsia="宋体" w:cs="宋体"/>
              <w:spacing w:val="4"/>
              <w:sz w:val="19"/>
              <w:szCs w:val="19"/>
            </w:rPr>
            <w:t>预测时段</w:t>
          </w:r>
          <w:r>
            <w:rPr>
              <w:rFonts w:ascii="宋体" w:hAnsi="宋体" w:eastAsia="宋体" w:cs="宋体"/>
              <w:spacing w:val="-28"/>
              <w:sz w:val="19"/>
              <w:szCs w:val="19"/>
            </w:rPr>
            <w:t xml:space="preserve"> </w:t>
          </w:r>
          <w:r>
            <w:rPr>
              <w:rFonts w:ascii="宋体" w:hAnsi="宋体" w:eastAsia="宋体" w:cs="宋体"/>
              <w:sz w:val="19"/>
              <w:szCs w:val="19"/>
            </w:rPr>
            <w:tab/>
          </w:r>
          <w:r>
            <w:rPr>
              <w:rFonts w:ascii="Times New Roman" w:hAnsi="Times New Roman" w:eastAsia="Times New Roman" w:cs="Times New Roman"/>
              <w:spacing w:val="29"/>
              <w:sz w:val="19"/>
              <w:szCs w:val="19"/>
            </w:rPr>
            <w:t>15</w:t>
          </w:r>
          <w:r>
            <w:rPr>
              <w:rFonts w:ascii="Times New Roman" w:hAnsi="Times New Roman" w:eastAsia="Times New Roman" w:cs="Times New Roman"/>
              <w:spacing w:val="29"/>
              <w:sz w:val="19"/>
              <w:szCs w:val="19"/>
            </w:rPr>
            <w:fldChar w:fldCharType="end"/>
          </w:r>
        </w:p>
        <w:p>
          <w:pPr>
            <w:tabs>
              <w:tab w:val="right" w:leader="dot" w:pos="8887"/>
            </w:tabs>
            <w:spacing w:before="112" w:line="194" w:lineRule="auto"/>
            <w:ind w:left="215"/>
            <w:rPr>
              <w:rFonts w:ascii="Times New Roman" w:hAnsi="Times New Roman" w:eastAsia="Times New Roman" w:cs="Times New Roman"/>
              <w:sz w:val="19"/>
              <w:szCs w:val="19"/>
            </w:rPr>
          </w:pPr>
          <w:r>
            <w:fldChar w:fldCharType="begin"/>
          </w:r>
          <w:r>
            <w:instrText xml:space="preserve"> HYPERLINK \l "bookmark20" </w:instrText>
          </w:r>
          <w:r>
            <w:fldChar w:fldCharType="separate"/>
          </w:r>
          <w:r>
            <w:rPr>
              <w:rFonts w:ascii="Times New Roman" w:hAnsi="Times New Roman" w:eastAsia="Times New Roman" w:cs="Times New Roman"/>
              <w:spacing w:val="4"/>
              <w:sz w:val="19"/>
              <w:szCs w:val="19"/>
            </w:rPr>
            <w:t>3.4</w:t>
          </w:r>
          <w:r>
            <w:rPr>
              <w:rFonts w:ascii="Times New Roman" w:hAnsi="Times New Roman" w:eastAsia="Times New Roman" w:cs="Times New Roman"/>
              <w:spacing w:val="1"/>
              <w:sz w:val="19"/>
              <w:szCs w:val="19"/>
            </w:rPr>
            <w:t xml:space="preserve">        </w:t>
          </w:r>
          <w:r>
            <w:rPr>
              <w:rFonts w:ascii="宋体" w:hAnsi="宋体" w:eastAsia="宋体" w:cs="宋体"/>
              <w:spacing w:val="4"/>
              <w:sz w:val="19"/>
              <w:szCs w:val="19"/>
            </w:rPr>
            <w:t>预测因子</w:t>
          </w:r>
          <w:r>
            <w:rPr>
              <w:rFonts w:ascii="宋体" w:hAnsi="宋体" w:eastAsia="宋体" w:cs="宋体"/>
              <w:spacing w:val="-28"/>
              <w:sz w:val="19"/>
              <w:szCs w:val="19"/>
            </w:rPr>
            <w:t xml:space="preserve"> </w:t>
          </w:r>
          <w:r>
            <w:rPr>
              <w:rFonts w:ascii="宋体" w:hAnsi="宋体" w:eastAsia="宋体" w:cs="宋体"/>
              <w:sz w:val="19"/>
              <w:szCs w:val="19"/>
            </w:rPr>
            <w:tab/>
          </w:r>
          <w:r>
            <w:rPr>
              <w:rFonts w:ascii="Times New Roman" w:hAnsi="Times New Roman" w:eastAsia="Times New Roman" w:cs="Times New Roman"/>
              <w:spacing w:val="29"/>
              <w:sz w:val="19"/>
              <w:szCs w:val="19"/>
            </w:rPr>
            <w:t>15</w:t>
          </w:r>
          <w:r>
            <w:rPr>
              <w:rFonts w:ascii="Times New Roman" w:hAnsi="Times New Roman" w:eastAsia="Times New Roman" w:cs="Times New Roman"/>
              <w:spacing w:val="29"/>
              <w:sz w:val="19"/>
              <w:szCs w:val="19"/>
            </w:rPr>
            <w:fldChar w:fldCharType="end"/>
          </w:r>
        </w:p>
        <w:p>
          <w:pPr>
            <w:tabs>
              <w:tab w:val="right" w:leader="dot" w:pos="8887"/>
            </w:tabs>
            <w:spacing w:before="113" w:line="194" w:lineRule="auto"/>
            <w:ind w:left="215"/>
            <w:rPr>
              <w:rFonts w:ascii="Times New Roman" w:hAnsi="Times New Roman" w:eastAsia="Times New Roman" w:cs="Times New Roman"/>
              <w:sz w:val="19"/>
              <w:szCs w:val="19"/>
            </w:rPr>
          </w:pPr>
          <w:r>
            <w:fldChar w:fldCharType="begin"/>
          </w:r>
          <w:r>
            <w:instrText xml:space="preserve"> HYPERLINK \l "bookmark21" </w:instrText>
          </w:r>
          <w:r>
            <w:fldChar w:fldCharType="separate"/>
          </w:r>
          <w:r>
            <w:rPr>
              <w:rFonts w:ascii="Times New Roman" w:hAnsi="Times New Roman" w:eastAsia="Times New Roman" w:cs="Times New Roman"/>
              <w:spacing w:val="4"/>
              <w:sz w:val="19"/>
              <w:szCs w:val="19"/>
            </w:rPr>
            <w:t>3.5</w:t>
          </w:r>
          <w:r>
            <w:rPr>
              <w:rFonts w:ascii="Times New Roman" w:hAnsi="Times New Roman" w:eastAsia="Times New Roman" w:cs="Times New Roman"/>
              <w:spacing w:val="1"/>
              <w:sz w:val="19"/>
              <w:szCs w:val="19"/>
            </w:rPr>
            <w:t xml:space="preserve">        </w:t>
          </w:r>
          <w:r>
            <w:rPr>
              <w:rFonts w:ascii="宋体" w:hAnsi="宋体" w:eastAsia="宋体" w:cs="宋体"/>
              <w:spacing w:val="4"/>
              <w:sz w:val="19"/>
              <w:szCs w:val="19"/>
            </w:rPr>
            <w:t>预测情景</w:t>
          </w:r>
          <w:r>
            <w:rPr>
              <w:rFonts w:ascii="宋体" w:hAnsi="宋体" w:eastAsia="宋体" w:cs="宋体"/>
              <w:spacing w:val="-28"/>
              <w:sz w:val="19"/>
              <w:szCs w:val="19"/>
            </w:rPr>
            <w:t xml:space="preserve"> </w:t>
          </w:r>
          <w:r>
            <w:rPr>
              <w:rFonts w:ascii="宋体" w:hAnsi="宋体" w:eastAsia="宋体" w:cs="宋体"/>
              <w:sz w:val="19"/>
              <w:szCs w:val="19"/>
            </w:rPr>
            <w:tab/>
          </w:r>
          <w:r>
            <w:rPr>
              <w:rFonts w:ascii="Times New Roman" w:hAnsi="Times New Roman" w:eastAsia="Times New Roman" w:cs="Times New Roman"/>
              <w:spacing w:val="29"/>
              <w:sz w:val="19"/>
              <w:szCs w:val="19"/>
            </w:rPr>
            <w:t>16</w:t>
          </w:r>
          <w:r>
            <w:rPr>
              <w:rFonts w:ascii="Times New Roman" w:hAnsi="Times New Roman" w:eastAsia="Times New Roman" w:cs="Times New Roman"/>
              <w:spacing w:val="29"/>
              <w:sz w:val="19"/>
              <w:szCs w:val="19"/>
            </w:rPr>
            <w:fldChar w:fldCharType="end"/>
          </w:r>
        </w:p>
        <w:p>
          <w:pPr>
            <w:tabs>
              <w:tab w:val="right" w:leader="dot" w:pos="8887"/>
            </w:tabs>
            <w:spacing w:before="112" w:line="194" w:lineRule="auto"/>
            <w:ind w:left="215"/>
            <w:rPr>
              <w:rFonts w:ascii="Times New Roman" w:hAnsi="Times New Roman" w:eastAsia="Times New Roman" w:cs="Times New Roman"/>
              <w:sz w:val="19"/>
              <w:szCs w:val="19"/>
            </w:rPr>
          </w:pPr>
          <w:r>
            <w:fldChar w:fldCharType="begin"/>
          </w:r>
          <w:r>
            <w:instrText xml:space="preserve"> HYPERLINK \l "bookmark22" </w:instrText>
          </w:r>
          <w:r>
            <w:fldChar w:fldCharType="separate"/>
          </w:r>
          <w:r>
            <w:rPr>
              <w:rFonts w:ascii="Times New Roman" w:hAnsi="Times New Roman" w:eastAsia="Times New Roman" w:cs="Times New Roman"/>
              <w:spacing w:val="4"/>
              <w:sz w:val="19"/>
              <w:szCs w:val="19"/>
            </w:rPr>
            <w:t>3.6</w:t>
          </w:r>
          <w:r>
            <w:rPr>
              <w:rFonts w:ascii="Times New Roman" w:hAnsi="Times New Roman" w:eastAsia="Times New Roman" w:cs="Times New Roman"/>
              <w:spacing w:val="1"/>
              <w:sz w:val="19"/>
              <w:szCs w:val="19"/>
            </w:rPr>
            <w:t xml:space="preserve">        </w:t>
          </w:r>
          <w:r>
            <w:rPr>
              <w:rFonts w:ascii="宋体" w:hAnsi="宋体" w:eastAsia="宋体" w:cs="宋体"/>
              <w:spacing w:val="4"/>
              <w:sz w:val="19"/>
              <w:szCs w:val="19"/>
            </w:rPr>
            <w:t>预测源强</w:t>
          </w:r>
          <w:r>
            <w:rPr>
              <w:rFonts w:ascii="宋体" w:hAnsi="宋体" w:eastAsia="宋体" w:cs="宋体"/>
              <w:spacing w:val="-28"/>
              <w:sz w:val="19"/>
              <w:szCs w:val="19"/>
            </w:rPr>
            <w:t xml:space="preserve"> </w:t>
          </w:r>
          <w:r>
            <w:rPr>
              <w:rFonts w:ascii="宋体" w:hAnsi="宋体" w:eastAsia="宋体" w:cs="宋体"/>
              <w:sz w:val="19"/>
              <w:szCs w:val="19"/>
            </w:rPr>
            <w:tab/>
          </w:r>
          <w:r>
            <w:rPr>
              <w:rFonts w:ascii="Times New Roman" w:hAnsi="Times New Roman" w:eastAsia="Times New Roman" w:cs="Times New Roman"/>
              <w:spacing w:val="29"/>
              <w:sz w:val="19"/>
              <w:szCs w:val="19"/>
            </w:rPr>
            <w:t>17</w:t>
          </w:r>
          <w:r>
            <w:rPr>
              <w:rFonts w:ascii="Times New Roman" w:hAnsi="Times New Roman" w:eastAsia="Times New Roman" w:cs="Times New Roman"/>
              <w:spacing w:val="29"/>
              <w:sz w:val="19"/>
              <w:szCs w:val="19"/>
            </w:rPr>
            <w:fldChar w:fldCharType="end"/>
          </w:r>
        </w:p>
        <w:p>
          <w:pPr>
            <w:tabs>
              <w:tab w:val="right" w:leader="dot" w:pos="8887"/>
            </w:tabs>
            <w:spacing w:before="113" w:line="194" w:lineRule="auto"/>
            <w:ind w:left="215"/>
            <w:rPr>
              <w:rFonts w:ascii="Times New Roman" w:hAnsi="Times New Roman" w:eastAsia="Times New Roman" w:cs="Times New Roman"/>
              <w:sz w:val="19"/>
              <w:szCs w:val="19"/>
            </w:rPr>
          </w:pPr>
          <w:r>
            <w:fldChar w:fldCharType="begin"/>
          </w:r>
          <w:r>
            <w:instrText xml:space="preserve"> HYPERLINK \l "bookmark23" </w:instrText>
          </w:r>
          <w:r>
            <w:fldChar w:fldCharType="separate"/>
          </w:r>
          <w:r>
            <w:rPr>
              <w:rFonts w:ascii="Times New Roman" w:hAnsi="Times New Roman" w:eastAsia="Times New Roman" w:cs="Times New Roman"/>
              <w:spacing w:val="5"/>
              <w:sz w:val="19"/>
              <w:szCs w:val="19"/>
            </w:rPr>
            <w:t>3.7</w:t>
          </w:r>
          <w:r>
            <w:rPr>
              <w:rFonts w:ascii="Times New Roman" w:hAnsi="Times New Roman" w:eastAsia="Times New Roman" w:cs="Times New Roman"/>
              <w:spacing w:val="1"/>
              <w:sz w:val="19"/>
              <w:szCs w:val="19"/>
            </w:rPr>
            <w:t xml:space="preserve">        </w:t>
          </w:r>
          <w:r>
            <w:rPr>
              <w:rFonts w:ascii="宋体" w:hAnsi="宋体" w:eastAsia="宋体" w:cs="宋体"/>
              <w:spacing w:val="5"/>
              <w:sz w:val="19"/>
              <w:szCs w:val="19"/>
            </w:rPr>
            <w:t>预测模型概化</w:t>
          </w:r>
          <w:r>
            <w:rPr>
              <w:rFonts w:ascii="宋体" w:hAnsi="宋体" w:eastAsia="宋体" w:cs="宋体"/>
              <w:sz w:val="19"/>
              <w:szCs w:val="19"/>
            </w:rPr>
            <w:tab/>
          </w:r>
          <w:r>
            <w:rPr>
              <w:rFonts w:ascii="Times New Roman" w:hAnsi="Times New Roman" w:eastAsia="Times New Roman" w:cs="Times New Roman"/>
              <w:spacing w:val="29"/>
              <w:sz w:val="19"/>
              <w:szCs w:val="19"/>
            </w:rPr>
            <w:t>18</w:t>
          </w:r>
          <w:r>
            <w:rPr>
              <w:rFonts w:ascii="Times New Roman" w:hAnsi="Times New Roman" w:eastAsia="Times New Roman" w:cs="Times New Roman"/>
              <w:spacing w:val="29"/>
              <w:sz w:val="19"/>
              <w:szCs w:val="19"/>
            </w:rPr>
            <w:fldChar w:fldCharType="end"/>
          </w:r>
        </w:p>
        <w:p>
          <w:pPr>
            <w:tabs>
              <w:tab w:val="right" w:leader="dot" w:pos="8887"/>
            </w:tabs>
            <w:spacing w:before="112" w:line="194" w:lineRule="auto"/>
            <w:ind w:left="215"/>
            <w:rPr>
              <w:rFonts w:ascii="Times New Roman" w:hAnsi="Times New Roman" w:eastAsia="Times New Roman" w:cs="Times New Roman"/>
              <w:sz w:val="19"/>
              <w:szCs w:val="19"/>
            </w:rPr>
          </w:pPr>
          <w:r>
            <w:fldChar w:fldCharType="begin"/>
          </w:r>
          <w:r>
            <w:instrText xml:space="preserve"> HYPERLINK \l "bookmark24" </w:instrText>
          </w:r>
          <w:r>
            <w:fldChar w:fldCharType="separate"/>
          </w:r>
          <w:r>
            <w:rPr>
              <w:rFonts w:ascii="Times New Roman" w:hAnsi="Times New Roman" w:eastAsia="Times New Roman" w:cs="Times New Roman"/>
              <w:spacing w:val="6"/>
              <w:sz w:val="19"/>
              <w:szCs w:val="19"/>
            </w:rPr>
            <w:t>3.8</w:t>
          </w:r>
          <w:r>
            <w:rPr>
              <w:rFonts w:ascii="Times New Roman" w:hAnsi="Times New Roman" w:eastAsia="Times New Roman" w:cs="Times New Roman"/>
              <w:spacing w:val="1"/>
              <w:sz w:val="19"/>
              <w:szCs w:val="19"/>
            </w:rPr>
            <w:t xml:space="preserve">        </w:t>
          </w:r>
          <w:r>
            <w:rPr>
              <w:rFonts w:ascii="宋体" w:hAnsi="宋体" w:eastAsia="宋体" w:cs="宋体"/>
              <w:spacing w:val="6"/>
              <w:sz w:val="19"/>
              <w:szCs w:val="19"/>
            </w:rPr>
            <w:t>地下水预测结果</w:t>
          </w:r>
          <w:r>
            <w:rPr>
              <w:rFonts w:ascii="宋体" w:hAnsi="宋体" w:eastAsia="宋体" w:cs="宋体"/>
              <w:sz w:val="19"/>
              <w:szCs w:val="19"/>
            </w:rPr>
            <w:tab/>
          </w:r>
          <w:r>
            <w:rPr>
              <w:rFonts w:ascii="Times New Roman" w:hAnsi="Times New Roman" w:eastAsia="Times New Roman" w:cs="Times New Roman"/>
              <w:spacing w:val="11"/>
              <w:w w:val="120"/>
              <w:sz w:val="19"/>
              <w:szCs w:val="19"/>
            </w:rPr>
            <w:t>20</w:t>
          </w:r>
          <w:r>
            <w:rPr>
              <w:rFonts w:ascii="Times New Roman" w:hAnsi="Times New Roman" w:eastAsia="Times New Roman" w:cs="Times New Roman"/>
              <w:spacing w:val="11"/>
              <w:w w:val="120"/>
              <w:sz w:val="19"/>
              <w:szCs w:val="19"/>
            </w:rPr>
            <w:fldChar w:fldCharType="end"/>
          </w:r>
        </w:p>
        <w:p>
          <w:pPr>
            <w:tabs>
              <w:tab w:val="right" w:leader="dot" w:pos="8887"/>
            </w:tabs>
            <w:spacing w:before="113" w:line="194" w:lineRule="auto"/>
            <w:ind w:left="215"/>
            <w:rPr>
              <w:rFonts w:ascii="Times New Roman" w:hAnsi="Times New Roman" w:eastAsia="Times New Roman" w:cs="Times New Roman"/>
              <w:sz w:val="19"/>
              <w:szCs w:val="19"/>
            </w:rPr>
          </w:pPr>
          <w:r>
            <w:fldChar w:fldCharType="begin"/>
          </w:r>
          <w:r>
            <w:instrText xml:space="preserve"> HYPERLINK \l "bookmark25" </w:instrText>
          </w:r>
          <w:r>
            <w:fldChar w:fldCharType="separate"/>
          </w:r>
          <w:r>
            <w:rPr>
              <w:rFonts w:ascii="Times New Roman" w:hAnsi="Times New Roman" w:eastAsia="Times New Roman" w:cs="Times New Roman"/>
              <w:spacing w:val="7"/>
              <w:sz w:val="19"/>
              <w:szCs w:val="19"/>
            </w:rPr>
            <w:t>3.9</w:t>
          </w:r>
          <w:r>
            <w:rPr>
              <w:rFonts w:ascii="Times New Roman" w:hAnsi="Times New Roman" w:eastAsia="Times New Roman" w:cs="Times New Roman"/>
              <w:sz w:val="19"/>
              <w:szCs w:val="19"/>
            </w:rPr>
            <w:t xml:space="preserve">        </w:t>
          </w:r>
          <w:r>
            <w:rPr>
              <w:rFonts w:ascii="宋体" w:hAnsi="宋体" w:eastAsia="宋体" w:cs="宋体"/>
              <w:spacing w:val="7"/>
              <w:sz w:val="19"/>
              <w:szCs w:val="19"/>
            </w:rPr>
            <w:t>地下水环境影响评价</w:t>
          </w:r>
          <w:r>
            <w:rPr>
              <w:rFonts w:ascii="宋体" w:hAnsi="宋体" w:eastAsia="宋体" w:cs="宋体"/>
              <w:sz w:val="19"/>
              <w:szCs w:val="19"/>
            </w:rPr>
            <w:tab/>
          </w:r>
          <w:r>
            <w:rPr>
              <w:rFonts w:ascii="Times New Roman" w:hAnsi="Times New Roman" w:eastAsia="Times New Roman" w:cs="Times New Roman"/>
              <w:spacing w:val="13"/>
              <w:w w:val="118"/>
              <w:sz w:val="19"/>
              <w:szCs w:val="19"/>
            </w:rPr>
            <w:t>25</w:t>
          </w:r>
          <w:r>
            <w:rPr>
              <w:rFonts w:ascii="Times New Roman" w:hAnsi="Times New Roman" w:eastAsia="Times New Roman" w:cs="Times New Roman"/>
              <w:spacing w:val="13"/>
              <w:w w:val="118"/>
              <w:sz w:val="19"/>
              <w:szCs w:val="19"/>
            </w:rPr>
            <w:fldChar w:fldCharType="end"/>
          </w:r>
        </w:p>
        <w:p>
          <w:pPr>
            <w:tabs>
              <w:tab w:val="right" w:leader="dot" w:pos="8887"/>
            </w:tabs>
            <w:spacing w:before="112" w:line="194" w:lineRule="auto"/>
            <w:ind w:left="215"/>
            <w:rPr>
              <w:rFonts w:ascii="Times New Roman" w:hAnsi="Times New Roman" w:eastAsia="Times New Roman" w:cs="Times New Roman"/>
              <w:sz w:val="19"/>
              <w:szCs w:val="19"/>
            </w:rPr>
          </w:pPr>
          <w:r>
            <w:fldChar w:fldCharType="begin"/>
          </w:r>
          <w:r>
            <w:instrText xml:space="preserve"> HYPERLINK \l "bookmark26" </w:instrText>
          </w:r>
          <w:r>
            <w:fldChar w:fldCharType="separate"/>
          </w:r>
          <w:r>
            <w:rPr>
              <w:rFonts w:ascii="Times New Roman" w:hAnsi="Times New Roman" w:eastAsia="Times New Roman" w:cs="Times New Roman"/>
              <w:spacing w:val="5"/>
              <w:sz w:val="19"/>
              <w:szCs w:val="19"/>
            </w:rPr>
            <w:t xml:space="preserve">3.10     </w:t>
          </w:r>
          <w:r>
            <w:rPr>
              <w:rFonts w:ascii="宋体" w:hAnsi="宋体" w:eastAsia="宋体" w:cs="宋体"/>
              <w:spacing w:val="5"/>
              <w:sz w:val="19"/>
              <w:szCs w:val="19"/>
            </w:rPr>
            <w:t>地下水环境风险评价</w:t>
          </w:r>
          <w:r>
            <w:rPr>
              <w:rFonts w:ascii="宋体" w:hAnsi="宋体" w:eastAsia="宋体" w:cs="宋体"/>
              <w:spacing w:val="-26"/>
              <w:sz w:val="19"/>
              <w:szCs w:val="19"/>
            </w:rPr>
            <w:t xml:space="preserve"> </w:t>
          </w:r>
          <w:r>
            <w:rPr>
              <w:rFonts w:ascii="宋体" w:hAnsi="宋体" w:eastAsia="宋体" w:cs="宋体"/>
              <w:sz w:val="19"/>
              <w:szCs w:val="19"/>
            </w:rPr>
            <w:tab/>
          </w:r>
          <w:r>
            <w:rPr>
              <w:rFonts w:ascii="Times New Roman" w:hAnsi="Times New Roman" w:eastAsia="Times New Roman" w:cs="Times New Roman"/>
              <w:spacing w:val="11"/>
              <w:w w:val="120"/>
              <w:sz w:val="19"/>
              <w:szCs w:val="19"/>
            </w:rPr>
            <w:t>27</w:t>
          </w:r>
          <w:r>
            <w:rPr>
              <w:rFonts w:ascii="Times New Roman" w:hAnsi="Times New Roman" w:eastAsia="Times New Roman" w:cs="Times New Roman"/>
              <w:spacing w:val="11"/>
              <w:w w:val="120"/>
              <w:sz w:val="19"/>
              <w:szCs w:val="19"/>
            </w:rPr>
            <w:fldChar w:fldCharType="end"/>
          </w:r>
        </w:p>
        <w:p>
          <w:pPr>
            <w:tabs>
              <w:tab w:val="right" w:leader="dot" w:pos="8887"/>
            </w:tabs>
            <w:spacing w:before="267" w:line="185" w:lineRule="auto"/>
            <w:ind w:left="2"/>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b/>
              <w:bCs/>
              <w:sz w:val="24"/>
              <w:szCs w:val="24"/>
            </w:rPr>
            <w:t xml:space="preserve">4 </w:t>
          </w:r>
          <w:r>
            <w:rPr>
              <w:rFonts w:ascii="宋体" w:hAnsi="宋体" w:eastAsia="宋体" w:cs="宋体"/>
              <w:sz w:val="24"/>
              <w:szCs w:val="24"/>
              <w14:textOutline w14:w="4354" w14:cap="flat" w14:cmpd="sng">
                <w14:solidFill>
                  <w14:srgbClr w14:val="000000"/>
                </w14:solidFill>
                <w14:prstDash w14:val="solid"/>
                <w14:miter w14:val="10"/>
              </w14:textOutline>
            </w:rPr>
            <w:t>地下水环境保护措施</w:t>
          </w:r>
          <w:r>
            <w:rPr>
              <w:rFonts w:ascii="宋体" w:hAnsi="宋体" w:eastAsia="宋体" w:cs="宋体"/>
              <w:sz w:val="24"/>
              <w:szCs w:val="24"/>
            </w:rPr>
            <w:tab/>
          </w:r>
          <w:r>
            <w:rPr>
              <w:rFonts w:ascii="Times New Roman" w:hAnsi="Times New Roman" w:eastAsia="Times New Roman" w:cs="Times New Roman"/>
              <w:spacing w:val="19"/>
              <w:sz w:val="24"/>
              <w:szCs w:val="24"/>
            </w:rPr>
            <w:t>32</w:t>
          </w:r>
          <w:r>
            <w:rPr>
              <w:rFonts w:ascii="Times New Roman" w:hAnsi="Times New Roman" w:eastAsia="Times New Roman" w:cs="Times New Roman"/>
              <w:spacing w:val="19"/>
              <w:sz w:val="24"/>
              <w:szCs w:val="24"/>
            </w:rPr>
            <w:fldChar w:fldCharType="end"/>
          </w:r>
        </w:p>
        <w:p>
          <w:pPr>
            <w:tabs>
              <w:tab w:val="right" w:leader="dot" w:pos="8887"/>
            </w:tabs>
            <w:spacing w:before="125" w:line="194" w:lineRule="auto"/>
            <w:ind w:left="210"/>
            <w:rPr>
              <w:rFonts w:ascii="Times New Roman" w:hAnsi="Times New Roman" w:eastAsia="Times New Roman" w:cs="Times New Roman"/>
              <w:sz w:val="19"/>
              <w:szCs w:val="19"/>
            </w:rPr>
          </w:pPr>
          <w:r>
            <w:fldChar w:fldCharType="begin"/>
          </w:r>
          <w:r>
            <w:instrText xml:space="preserve"> HYPERLINK \l "bookmark28" </w:instrText>
          </w:r>
          <w:r>
            <w:fldChar w:fldCharType="separate"/>
          </w:r>
          <w:r>
            <w:rPr>
              <w:rFonts w:ascii="Times New Roman" w:hAnsi="Times New Roman" w:eastAsia="Times New Roman" w:cs="Times New Roman"/>
              <w:spacing w:val="6"/>
              <w:sz w:val="19"/>
              <w:szCs w:val="19"/>
            </w:rPr>
            <w:t>4.1</w:t>
          </w:r>
          <w:r>
            <w:rPr>
              <w:rFonts w:ascii="Times New Roman" w:hAnsi="Times New Roman" w:eastAsia="Times New Roman" w:cs="Times New Roman"/>
              <w:spacing w:val="1"/>
              <w:sz w:val="19"/>
              <w:szCs w:val="19"/>
            </w:rPr>
            <w:t xml:space="preserve">        </w:t>
          </w:r>
          <w:r>
            <w:rPr>
              <w:rFonts w:ascii="宋体" w:hAnsi="宋体" w:eastAsia="宋体" w:cs="宋体"/>
              <w:spacing w:val="6"/>
              <w:sz w:val="19"/>
              <w:szCs w:val="19"/>
            </w:rPr>
            <w:t>源头控制措施</w:t>
          </w:r>
          <w:r>
            <w:rPr>
              <w:rFonts w:ascii="宋体" w:hAnsi="宋体" w:eastAsia="宋体" w:cs="宋体"/>
              <w:sz w:val="19"/>
              <w:szCs w:val="19"/>
            </w:rPr>
            <w:tab/>
          </w:r>
          <w:r>
            <w:rPr>
              <w:rFonts w:ascii="Times New Roman" w:hAnsi="Times New Roman" w:eastAsia="Times New Roman" w:cs="Times New Roman"/>
              <w:spacing w:val="11"/>
              <w:w w:val="119"/>
              <w:sz w:val="19"/>
              <w:szCs w:val="19"/>
            </w:rPr>
            <w:t>32</w:t>
          </w:r>
          <w:r>
            <w:rPr>
              <w:rFonts w:ascii="Times New Roman" w:hAnsi="Times New Roman" w:eastAsia="Times New Roman" w:cs="Times New Roman"/>
              <w:spacing w:val="11"/>
              <w:w w:val="119"/>
              <w:sz w:val="19"/>
              <w:szCs w:val="19"/>
            </w:rPr>
            <w:fldChar w:fldCharType="end"/>
          </w:r>
        </w:p>
        <w:p>
          <w:pPr>
            <w:tabs>
              <w:tab w:val="right" w:leader="dot" w:pos="8887"/>
            </w:tabs>
            <w:spacing w:before="113" w:line="194" w:lineRule="auto"/>
            <w:ind w:left="210"/>
            <w:rPr>
              <w:rFonts w:ascii="Times New Roman" w:hAnsi="Times New Roman" w:eastAsia="Times New Roman" w:cs="Times New Roman"/>
              <w:sz w:val="19"/>
              <w:szCs w:val="19"/>
            </w:rPr>
          </w:pPr>
          <w:r>
            <w:fldChar w:fldCharType="begin"/>
          </w:r>
          <w:r>
            <w:instrText xml:space="preserve"> HYPERLINK \l "bookmark29" </w:instrText>
          </w:r>
          <w:r>
            <w:fldChar w:fldCharType="separate"/>
          </w:r>
          <w:r>
            <w:rPr>
              <w:rFonts w:ascii="Times New Roman" w:hAnsi="Times New Roman" w:eastAsia="Times New Roman" w:cs="Times New Roman"/>
              <w:spacing w:val="6"/>
              <w:sz w:val="19"/>
              <w:szCs w:val="19"/>
            </w:rPr>
            <w:t>4.2</w:t>
          </w:r>
          <w:r>
            <w:rPr>
              <w:rFonts w:ascii="Times New Roman" w:hAnsi="Times New Roman" w:eastAsia="Times New Roman" w:cs="Times New Roman"/>
              <w:spacing w:val="1"/>
              <w:sz w:val="19"/>
              <w:szCs w:val="19"/>
            </w:rPr>
            <w:t xml:space="preserve">        </w:t>
          </w:r>
          <w:r>
            <w:rPr>
              <w:rFonts w:ascii="宋体" w:hAnsi="宋体" w:eastAsia="宋体" w:cs="宋体"/>
              <w:spacing w:val="6"/>
              <w:sz w:val="19"/>
              <w:szCs w:val="19"/>
            </w:rPr>
            <w:t>分区防控措施</w:t>
          </w:r>
          <w:r>
            <w:rPr>
              <w:rFonts w:ascii="宋体" w:hAnsi="宋体" w:eastAsia="宋体" w:cs="宋体"/>
              <w:sz w:val="19"/>
              <w:szCs w:val="19"/>
            </w:rPr>
            <w:tab/>
          </w:r>
          <w:r>
            <w:rPr>
              <w:rFonts w:ascii="Times New Roman" w:hAnsi="Times New Roman" w:eastAsia="Times New Roman" w:cs="Times New Roman"/>
              <w:spacing w:val="15"/>
              <w:w w:val="115"/>
              <w:sz w:val="19"/>
              <w:szCs w:val="19"/>
            </w:rPr>
            <w:t>33</w:t>
          </w:r>
          <w:r>
            <w:rPr>
              <w:rFonts w:ascii="Times New Roman" w:hAnsi="Times New Roman" w:eastAsia="Times New Roman" w:cs="Times New Roman"/>
              <w:spacing w:val="15"/>
              <w:w w:val="115"/>
              <w:sz w:val="19"/>
              <w:szCs w:val="19"/>
            </w:rPr>
            <w:fldChar w:fldCharType="end"/>
          </w:r>
        </w:p>
        <w:p>
          <w:pPr>
            <w:tabs>
              <w:tab w:val="right" w:leader="dot" w:pos="8887"/>
            </w:tabs>
            <w:spacing w:before="112" w:line="194" w:lineRule="auto"/>
            <w:ind w:left="210"/>
            <w:rPr>
              <w:rFonts w:ascii="Times New Roman" w:hAnsi="Times New Roman" w:eastAsia="Times New Roman" w:cs="Times New Roman"/>
              <w:sz w:val="19"/>
              <w:szCs w:val="19"/>
            </w:rPr>
          </w:pPr>
          <w:r>
            <w:fldChar w:fldCharType="begin"/>
          </w:r>
          <w:r>
            <w:instrText xml:space="preserve"> HYPERLINK \l "bookmark30" </w:instrText>
          </w:r>
          <w:r>
            <w:fldChar w:fldCharType="separate"/>
          </w:r>
          <w:r>
            <w:rPr>
              <w:rFonts w:ascii="Times New Roman" w:hAnsi="Times New Roman" w:eastAsia="Times New Roman" w:cs="Times New Roman"/>
              <w:spacing w:val="5"/>
              <w:sz w:val="19"/>
              <w:szCs w:val="19"/>
            </w:rPr>
            <w:t>4.3</w:t>
          </w:r>
          <w:r>
            <w:rPr>
              <w:rFonts w:ascii="Times New Roman" w:hAnsi="Times New Roman" w:eastAsia="Times New Roman" w:cs="Times New Roman"/>
              <w:spacing w:val="1"/>
              <w:sz w:val="19"/>
              <w:szCs w:val="19"/>
            </w:rPr>
            <w:t xml:space="preserve">        </w:t>
          </w:r>
          <w:r>
            <w:rPr>
              <w:rFonts w:ascii="宋体" w:hAnsi="宋体" w:eastAsia="宋体" w:cs="宋体"/>
              <w:spacing w:val="5"/>
              <w:sz w:val="19"/>
              <w:szCs w:val="19"/>
            </w:rPr>
            <w:t>跟踪监测</w:t>
          </w:r>
          <w:r>
            <w:rPr>
              <w:rFonts w:ascii="宋体" w:hAnsi="宋体" w:eastAsia="宋体" w:cs="宋体"/>
              <w:spacing w:val="-30"/>
              <w:sz w:val="19"/>
              <w:szCs w:val="19"/>
            </w:rPr>
            <w:t xml:space="preserve"> </w:t>
          </w:r>
          <w:r>
            <w:rPr>
              <w:rFonts w:ascii="宋体" w:hAnsi="宋体" w:eastAsia="宋体" w:cs="宋体"/>
              <w:sz w:val="19"/>
              <w:szCs w:val="19"/>
            </w:rPr>
            <w:tab/>
          </w:r>
          <w:r>
            <w:rPr>
              <w:rFonts w:ascii="Times New Roman" w:hAnsi="Times New Roman" w:eastAsia="Times New Roman" w:cs="Times New Roman"/>
              <w:spacing w:val="16"/>
              <w:w w:val="114"/>
              <w:sz w:val="19"/>
              <w:szCs w:val="19"/>
            </w:rPr>
            <w:t>35</w:t>
          </w:r>
          <w:r>
            <w:rPr>
              <w:rFonts w:ascii="Times New Roman" w:hAnsi="Times New Roman" w:eastAsia="Times New Roman" w:cs="Times New Roman"/>
              <w:spacing w:val="16"/>
              <w:w w:val="114"/>
              <w:sz w:val="19"/>
              <w:szCs w:val="19"/>
            </w:rPr>
            <w:fldChar w:fldCharType="end"/>
          </w:r>
        </w:p>
        <w:p>
          <w:pPr>
            <w:tabs>
              <w:tab w:val="right" w:leader="dot" w:pos="8887"/>
            </w:tabs>
            <w:spacing w:before="113" w:line="194" w:lineRule="auto"/>
            <w:ind w:left="210"/>
            <w:rPr>
              <w:rFonts w:ascii="Times New Roman" w:hAnsi="Times New Roman" w:eastAsia="Times New Roman" w:cs="Times New Roman"/>
              <w:sz w:val="19"/>
              <w:szCs w:val="19"/>
            </w:rPr>
          </w:pPr>
          <w:r>
            <w:fldChar w:fldCharType="begin"/>
          </w:r>
          <w:r>
            <w:instrText xml:space="preserve"> HYPERLINK \l "bookmark31" </w:instrText>
          </w:r>
          <w:r>
            <w:fldChar w:fldCharType="separate"/>
          </w:r>
          <w:r>
            <w:rPr>
              <w:rFonts w:ascii="Times New Roman" w:hAnsi="Times New Roman" w:eastAsia="Times New Roman" w:cs="Times New Roman"/>
              <w:spacing w:val="7"/>
              <w:sz w:val="19"/>
              <w:szCs w:val="19"/>
            </w:rPr>
            <w:t>4.4</w:t>
          </w:r>
          <w:r>
            <w:rPr>
              <w:rFonts w:ascii="Times New Roman" w:hAnsi="Times New Roman" w:eastAsia="Times New Roman" w:cs="Times New Roman"/>
              <w:spacing w:val="1"/>
              <w:sz w:val="19"/>
              <w:szCs w:val="19"/>
            </w:rPr>
            <w:t xml:space="preserve">        </w:t>
          </w:r>
          <w:r>
            <w:rPr>
              <w:rFonts w:ascii="宋体" w:hAnsi="宋体" w:eastAsia="宋体" w:cs="宋体"/>
              <w:spacing w:val="7"/>
              <w:sz w:val="19"/>
              <w:szCs w:val="19"/>
            </w:rPr>
            <w:t>地下水环境管理措施</w:t>
          </w:r>
          <w:r>
            <w:rPr>
              <w:rFonts w:ascii="宋体" w:hAnsi="宋体" w:eastAsia="宋体" w:cs="宋体"/>
              <w:sz w:val="19"/>
              <w:szCs w:val="19"/>
            </w:rPr>
            <w:tab/>
          </w:r>
          <w:r>
            <w:rPr>
              <w:rFonts w:ascii="Times New Roman" w:hAnsi="Times New Roman" w:eastAsia="Times New Roman" w:cs="Times New Roman"/>
              <w:spacing w:val="14"/>
              <w:w w:val="117"/>
              <w:sz w:val="19"/>
              <w:szCs w:val="19"/>
            </w:rPr>
            <w:t>37</w:t>
          </w:r>
          <w:r>
            <w:rPr>
              <w:rFonts w:ascii="Times New Roman" w:hAnsi="Times New Roman" w:eastAsia="Times New Roman" w:cs="Times New Roman"/>
              <w:spacing w:val="14"/>
              <w:w w:val="117"/>
              <w:sz w:val="19"/>
              <w:szCs w:val="19"/>
            </w:rPr>
            <w:fldChar w:fldCharType="end"/>
          </w:r>
        </w:p>
        <w:p>
          <w:pPr>
            <w:tabs>
              <w:tab w:val="right" w:leader="dot" w:pos="8887"/>
            </w:tabs>
            <w:spacing w:before="112" w:line="194" w:lineRule="auto"/>
            <w:ind w:left="210"/>
            <w:rPr>
              <w:rFonts w:ascii="Times New Roman" w:hAnsi="Times New Roman" w:eastAsia="Times New Roman" w:cs="Times New Roman"/>
              <w:sz w:val="19"/>
              <w:szCs w:val="19"/>
            </w:rPr>
          </w:pPr>
          <w:r>
            <w:fldChar w:fldCharType="begin"/>
          </w:r>
          <w:r>
            <w:instrText xml:space="preserve"> HYPERLINK \l "bookmark32" </w:instrText>
          </w:r>
          <w:r>
            <w:fldChar w:fldCharType="separate"/>
          </w:r>
          <w:r>
            <w:rPr>
              <w:rFonts w:ascii="Times New Roman" w:hAnsi="Times New Roman" w:eastAsia="Times New Roman" w:cs="Times New Roman"/>
              <w:spacing w:val="7"/>
              <w:sz w:val="19"/>
              <w:szCs w:val="19"/>
            </w:rPr>
            <w:t>4.5</w:t>
          </w:r>
          <w:r>
            <w:rPr>
              <w:rFonts w:ascii="Times New Roman" w:hAnsi="Times New Roman" w:eastAsia="Times New Roman" w:cs="Times New Roman"/>
              <w:spacing w:val="1"/>
              <w:sz w:val="19"/>
              <w:szCs w:val="19"/>
            </w:rPr>
            <w:t xml:space="preserve">        </w:t>
          </w:r>
          <w:r>
            <w:rPr>
              <w:rFonts w:ascii="宋体" w:hAnsi="宋体" w:eastAsia="宋体" w:cs="宋体"/>
              <w:spacing w:val="7"/>
              <w:sz w:val="19"/>
              <w:szCs w:val="19"/>
            </w:rPr>
            <w:t>风险事故应急响应措施</w:t>
          </w:r>
          <w:r>
            <w:rPr>
              <w:rFonts w:ascii="宋体" w:hAnsi="宋体" w:eastAsia="宋体" w:cs="宋体"/>
              <w:sz w:val="19"/>
              <w:szCs w:val="19"/>
            </w:rPr>
            <w:tab/>
          </w:r>
          <w:r>
            <w:rPr>
              <w:rFonts w:ascii="Times New Roman" w:hAnsi="Times New Roman" w:eastAsia="Times New Roman" w:cs="Times New Roman"/>
              <w:spacing w:val="18"/>
              <w:w w:val="112"/>
              <w:sz w:val="19"/>
              <w:szCs w:val="19"/>
            </w:rPr>
            <w:t>38</w:t>
          </w:r>
          <w:r>
            <w:rPr>
              <w:rFonts w:ascii="Times New Roman" w:hAnsi="Times New Roman" w:eastAsia="Times New Roman" w:cs="Times New Roman"/>
              <w:spacing w:val="18"/>
              <w:w w:val="112"/>
              <w:sz w:val="19"/>
              <w:szCs w:val="19"/>
            </w:rPr>
            <w:fldChar w:fldCharType="end"/>
          </w:r>
        </w:p>
        <w:p>
          <w:pPr>
            <w:tabs>
              <w:tab w:val="right" w:leader="dot" w:pos="8887"/>
            </w:tabs>
            <w:spacing w:before="265" w:line="185" w:lineRule="auto"/>
            <w:ind w:left="4"/>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b/>
              <w:bCs/>
              <w:sz w:val="24"/>
              <w:szCs w:val="24"/>
            </w:rPr>
            <w:t xml:space="preserve">5  </w:t>
          </w:r>
          <w:r>
            <w:rPr>
              <w:rFonts w:ascii="宋体" w:hAnsi="宋体" w:eastAsia="宋体" w:cs="宋体"/>
              <w:sz w:val="24"/>
              <w:szCs w:val="24"/>
              <w14:textOutline w14:w="4354" w14:cap="flat" w14:cmpd="sng">
                <w14:solidFill>
                  <w14:srgbClr w14:val="000000"/>
                </w14:solidFill>
                <w14:prstDash w14:val="solid"/>
                <w14:miter w14:val="10"/>
              </w14:textOutline>
            </w:rPr>
            <w:t>地下水环境影响评价结论</w:t>
          </w:r>
          <w:r>
            <w:rPr>
              <w:rFonts w:ascii="宋体" w:hAnsi="宋体" w:eastAsia="宋体" w:cs="宋体"/>
              <w:sz w:val="24"/>
              <w:szCs w:val="24"/>
            </w:rPr>
            <w:tab/>
          </w:r>
          <w:r>
            <w:rPr>
              <w:rFonts w:ascii="Times New Roman" w:hAnsi="Times New Roman" w:eastAsia="Times New Roman" w:cs="Times New Roman"/>
              <w:spacing w:val="19"/>
              <w:sz w:val="24"/>
              <w:szCs w:val="24"/>
            </w:rPr>
            <w:t>41</w:t>
          </w:r>
          <w:r>
            <w:rPr>
              <w:rFonts w:ascii="Times New Roman" w:hAnsi="Times New Roman" w:eastAsia="Times New Roman" w:cs="Times New Roman"/>
              <w:spacing w:val="19"/>
              <w:sz w:val="24"/>
              <w:szCs w:val="24"/>
            </w:rPr>
            <w:fldChar w:fldCharType="end"/>
          </w:r>
        </w:p>
        <w:p>
          <w:pPr>
            <w:tabs>
              <w:tab w:val="right" w:leader="dot" w:pos="8887"/>
            </w:tabs>
            <w:spacing w:before="126" w:line="194" w:lineRule="auto"/>
            <w:ind w:left="216"/>
            <w:rPr>
              <w:rFonts w:ascii="Times New Roman" w:hAnsi="Times New Roman" w:eastAsia="Times New Roman" w:cs="Times New Roman"/>
              <w:sz w:val="19"/>
              <w:szCs w:val="19"/>
            </w:rPr>
          </w:pPr>
          <w:r>
            <w:fldChar w:fldCharType="begin"/>
          </w:r>
          <w:r>
            <w:instrText xml:space="preserve"> HYPERLINK \l "bookmark34" </w:instrText>
          </w:r>
          <w:r>
            <w:fldChar w:fldCharType="separate"/>
          </w:r>
          <w:r>
            <w:rPr>
              <w:rFonts w:ascii="Times New Roman" w:hAnsi="Times New Roman" w:eastAsia="Times New Roman" w:cs="Times New Roman"/>
              <w:spacing w:val="6"/>
              <w:sz w:val="19"/>
              <w:szCs w:val="19"/>
            </w:rPr>
            <w:t>5.1</w:t>
          </w:r>
          <w:r>
            <w:rPr>
              <w:rFonts w:ascii="Times New Roman" w:hAnsi="Times New Roman" w:eastAsia="Times New Roman" w:cs="Times New Roman"/>
              <w:sz w:val="19"/>
              <w:szCs w:val="19"/>
            </w:rPr>
            <w:t xml:space="preserve">        </w:t>
          </w:r>
          <w:r>
            <w:rPr>
              <w:rFonts w:ascii="宋体" w:hAnsi="宋体" w:eastAsia="宋体" w:cs="宋体"/>
              <w:spacing w:val="6"/>
              <w:sz w:val="19"/>
              <w:szCs w:val="19"/>
            </w:rPr>
            <w:t>地下水环境现状</w:t>
          </w:r>
          <w:r>
            <w:rPr>
              <w:rFonts w:ascii="宋体" w:hAnsi="宋体" w:eastAsia="宋体" w:cs="宋体"/>
              <w:sz w:val="19"/>
              <w:szCs w:val="19"/>
            </w:rPr>
            <w:tab/>
          </w:r>
          <w:r>
            <w:rPr>
              <w:rFonts w:ascii="Times New Roman" w:hAnsi="Times New Roman" w:eastAsia="Times New Roman" w:cs="Times New Roman"/>
              <w:spacing w:val="25"/>
              <w:w w:val="105"/>
              <w:sz w:val="19"/>
              <w:szCs w:val="19"/>
            </w:rPr>
            <w:t>41</w:t>
          </w:r>
          <w:r>
            <w:rPr>
              <w:rFonts w:ascii="Times New Roman" w:hAnsi="Times New Roman" w:eastAsia="Times New Roman" w:cs="Times New Roman"/>
              <w:spacing w:val="25"/>
              <w:w w:val="105"/>
              <w:sz w:val="19"/>
              <w:szCs w:val="19"/>
            </w:rPr>
            <w:fldChar w:fldCharType="end"/>
          </w:r>
        </w:p>
        <w:p>
          <w:pPr>
            <w:tabs>
              <w:tab w:val="right" w:leader="dot" w:pos="8887"/>
            </w:tabs>
            <w:spacing w:before="112" w:line="194" w:lineRule="auto"/>
            <w:ind w:left="216"/>
            <w:rPr>
              <w:rFonts w:ascii="Times New Roman" w:hAnsi="Times New Roman" w:eastAsia="Times New Roman" w:cs="Times New Roman"/>
              <w:sz w:val="19"/>
              <w:szCs w:val="19"/>
            </w:rPr>
          </w:pPr>
          <w:r>
            <w:fldChar w:fldCharType="begin"/>
          </w:r>
          <w:r>
            <w:instrText xml:space="preserve"> HYPERLINK \l "bookmark35" </w:instrText>
          </w:r>
          <w:r>
            <w:fldChar w:fldCharType="separate"/>
          </w:r>
          <w:r>
            <w:rPr>
              <w:rFonts w:ascii="Times New Roman" w:hAnsi="Times New Roman" w:eastAsia="Times New Roman" w:cs="Times New Roman"/>
              <w:spacing w:val="7"/>
              <w:sz w:val="19"/>
              <w:szCs w:val="19"/>
            </w:rPr>
            <w:t>5.2</w:t>
          </w:r>
          <w:r>
            <w:rPr>
              <w:rFonts w:ascii="Times New Roman" w:hAnsi="Times New Roman" w:eastAsia="Times New Roman" w:cs="Times New Roman"/>
              <w:spacing w:val="1"/>
              <w:sz w:val="19"/>
              <w:szCs w:val="19"/>
            </w:rPr>
            <w:t xml:space="preserve">        </w:t>
          </w:r>
          <w:r>
            <w:rPr>
              <w:rFonts w:ascii="宋体" w:hAnsi="宋体" w:eastAsia="宋体" w:cs="宋体"/>
              <w:spacing w:val="7"/>
              <w:sz w:val="19"/>
              <w:szCs w:val="19"/>
            </w:rPr>
            <w:t>地下水环境影响评价结论</w:t>
          </w:r>
          <w:r>
            <w:rPr>
              <w:rFonts w:ascii="宋体" w:hAnsi="宋体" w:eastAsia="宋体" w:cs="宋体"/>
              <w:sz w:val="19"/>
              <w:szCs w:val="19"/>
            </w:rPr>
            <w:tab/>
          </w:r>
          <w:r>
            <w:rPr>
              <w:rFonts w:ascii="Times New Roman" w:hAnsi="Times New Roman" w:eastAsia="Times New Roman" w:cs="Times New Roman"/>
              <w:spacing w:val="25"/>
              <w:w w:val="104"/>
              <w:sz w:val="19"/>
              <w:szCs w:val="19"/>
            </w:rPr>
            <w:t>41</w:t>
          </w:r>
          <w:r>
            <w:rPr>
              <w:rFonts w:ascii="Times New Roman" w:hAnsi="Times New Roman" w:eastAsia="Times New Roman" w:cs="Times New Roman"/>
              <w:spacing w:val="25"/>
              <w:w w:val="104"/>
              <w:sz w:val="19"/>
              <w:szCs w:val="19"/>
            </w:rPr>
            <w:fldChar w:fldCharType="end"/>
          </w:r>
        </w:p>
        <w:p>
          <w:pPr>
            <w:tabs>
              <w:tab w:val="right" w:leader="dot" w:pos="8887"/>
            </w:tabs>
            <w:spacing w:before="112" w:line="194" w:lineRule="auto"/>
            <w:ind w:left="216"/>
            <w:rPr>
              <w:rFonts w:ascii="Times New Roman" w:hAnsi="Times New Roman" w:eastAsia="Times New Roman" w:cs="Times New Roman"/>
              <w:sz w:val="19"/>
              <w:szCs w:val="19"/>
            </w:rPr>
          </w:pPr>
          <w:r>
            <w:fldChar w:fldCharType="begin"/>
          </w:r>
          <w:r>
            <w:instrText xml:space="preserve"> HYPERLINK \l "bookmark36" </w:instrText>
          </w:r>
          <w:r>
            <w:fldChar w:fldCharType="separate"/>
          </w:r>
          <w:r>
            <w:rPr>
              <w:rFonts w:ascii="Times New Roman" w:hAnsi="Times New Roman" w:eastAsia="Times New Roman" w:cs="Times New Roman"/>
              <w:spacing w:val="7"/>
              <w:sz w:val="19"/>
              <w:szCs w:val="19"/>
            </w:rPr>
            <w:t>5.3</w:t>
          </w:r>
          <w:r>
            <w:rPr>
              <w:rFonts w:ascii="Times New Roman" w:hAnsi="Times New Roman" w:eastAsia="Times New Roman" w:cs="Times New Roman"/>
              <w:spacing w:val="1"/>
              <w:sz w:val="19"/>
              <w:szCs w:val="19"/>
            </w:rPr>
            <w:t xml:space="preserve">        </w:t>
          </w:r>
          <w:r>
            <w:rPr>
              <w:rFonts w:ascii="宋体" w:hAnsi="宋体" w:eastAsia="宋体" w:cs="宋体"/>
              <w:spacing w:val="7"/>
              <w:sz w:val="19"/>
              <w:szCs w:val="19"/>
            </w:rPr>
            <w:t>地下水环境</w:t>
          </w:r>
          <w:r>
            <w:rPr>
              <w:rFonts w:hint="eastAsia" w:ascii="宋体" w:hAnsi="宋体" w:eastAsia="宋体" w:cs="宋体"/>
              <w:spacing w:val="7"/>
              <w:sz w:val="19"/>
              <w:szCs w:val="19"/>
            </w:rPr>
            <w:t>污染防治</w:t>
          </w:r>
          <w:r>
            <w:rPr>
              <w:rFonts w:ascii="宋体" w:hAnsi="宋体" w:eastAsia="宋体" w:cs="宋体"/>
              <w:spacing w:val="7"/>
              <w:sz w:val="19"/>
              <w:szCs w:val="19"/>
            </w:rPr>
            <w:t>措施</w:t>
          </w:r>
          <w:r>
            <w:rPr>
              <w:rFonts w:ascii="宋体" w:hAnsi="宋体" w:eastAsia="宋体" w:cs="宋体"/>
              <w:sz w:val="19"/>
              <w:szCs w:val="19"/>
            </w:rPr>
            <w:tab/>
          </w:r>
          <w:r>
            <w:rPr>
              <w:rFonts w:ascii="Times New Roman" w:hAnsi="Times New Roman" w:eastAsia="Times New Roman" w:cs="Times New Roman"/>
              <w:spacing w:val="7"/>
              <w:w w:val="123"/>
              <w:sz w:val="19"/>
              <w:szCs w:val="19"/>
            </w:rPr>
            <w:t>42</w:t>
          </w:r>
          <w:r>
            <w:rPr>
              <w:rFonts w:ascii="Times New Roman" w:hAnsi="Times New Roman" w:eastAsia="Times New Roman" w:cs="Times New Roman"/>
              <w:spacing w:val="7"/>
              <w:w w:val="123"/>
              <w:sz w:val="19"/>
              <w:szCs w:val="19"/>
            </w:rPr>
            <w:fldChar w:fldCharType="end"/>
          </w:r>
        </w:p>
        <w:p>
          <w:pPr>
            <w:tabs>
              <w:tab w:val="right" w:leader="dot" w:pos="8887"/>
            </w:tabs>
            <w:spacing w:before="113" w:line="227" w:lineRule="auto"/>
            <w:ind w:left="216"/>
            <w:rPr>
              <w:rFonts w:ascii="Times New Roman" w:hAnsi="Times New Roman" w:eastAsia="Times New Roman" w:cs="Times New Roman"/>
              <w:sz w:val="19"/>
              <w:szCs w:val="19"/>
            </w:rPr>
          </w:pPr>
          <w:r>
            <w:fldChar w:fldCharType="begin"/>
          </w:r>
          <w:r>
            <w:instrText xml:space="preserve"> HYPERLINK \l "bookmark37" </w:instrText>
          </w:r>
          <w:r>
            <w:fldChar w:fldCharType="separate"/>
          </w:r>
          <w:r>
            <w:rPr>
              <w:rFonts w:ascii="Times New Roman" w:hAnsi="Times New Roman" w:eastAsia="Times New Roman" w:cs="Times New Roman"/>
              <w:spacing w:val="7"/>
              <w:sz w:val="19"/>
              <w:szCs w:val="19"/>
            </w:rPr>
            <w:t>5.4</w:t>
          </w:r>
          <w:r>
            <w:rPr>
              <w:rFonts w:ascii="Times New Roman" w:hAnsi="Times New Roman" w:eastAsia="Times New Roman" w:cs="Times New Roman"/>
              <w:spacing w:val="1"/>
              <w:sz w:val="19"/>
              <w:szCs w:val="19"/>
            </w:rPr>
            <w:t xml:space="preserve">        </w:t>
          </w:r>
          <w:r>
            <w:rPr>
              <w:rFonts w:ascii="宋体" w:hAnsi="宋体" w:eastAsia="宋体" w:cs="宋体"/>
              <w:spacing w:val="7"/>
              <w:sz w:val="19"/>
              <w:szCs w:val="19"/>
            </w:rPr>
            <w:t>地下水环境影响评价结论</w:t>
          </w:r>
          <w:r>
            <w:rPr>
              <w:rFonts w:ascii="宋体" w:hAnsi="宋体" w:eastAsia="宋体" w:cs="宋体"/>
              <w:sz w:val="19"/>
              <w:szCs w:val="19"/>
            </w:rPr>
            <w:tab/>
          </w:r>
          <w:r>
            <w:rPr>
              <w:rFonts w:ascii="Times New Roman" w:hAnsi="Times New Roman" w:eastAsia="Times New Roman" w:cs="Times New Roman"/>
              <w:spacing w:val="7"/>
              <w:w w:val="123"/>
              <w:sz w:val="19"/>
              <w:szCs w:val="19"/>
            </w:rPr>
            <w:t>42</w:t>
          </w:r>
          <w:r>
            <w:rPr>
              <w:rFonts w:ascii="Times New Roman" w:hAnsi="Times New Roman" w:eastAsia="Times New Roman" w:cs="Times New Roman"/>
              <w:spacing w:val="7"/>
              <w:w w:val="123"/>
              <w:sz w:val="19"/>
              <w:szCs w:val="19"/>
            </w:rPr>
            <w:fldChar w:fldCharType="end"/>
          </w:r>
        </w:p>
      </w:sdtContent>
    </w:sdt>
    <w:p>
      <w:pPr>
        <w:spacing w:line="227" w:lineRule="auto"/>
        <w:rPr>
          <w:rFonts w:ascii="Times New Roman" w:hAnsi="Times New Roman" w:eastAsia="Times New Roman" w:cs="Times New Roman"/>
          <w:sz w:val="19"/>
          <w:szCs w:val="19"/>
        </w:rPr>
        <w:sectPr>
          <w:pgSz w:w="11907" w:h="16839"/>
          <w:pgMar w:top="400" w:right="1424" w:bottom="400" w:left="1593" w:header="0" w:footer="0" w:gutter="0"/>
          <w:cols w:space="720" w:num="1"/>
        </w:sectPr>
      </w:pPr>
    </w:p>
    <w:p>
      <w:pPr>
        <w:pStyle w:val="2"/>
        <w:spacing w:line="263"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spacing w:before="140" w:line="225" w:lineRule="auto"/>
        <w:ind w:left="3862"/>
        <w:rPr>
          <w:rFonts w:ascii="宋体" w:hAnsi="宋体" w:eastAsia="宋体" w:cs="宋体"/>
          <w:sz w:val="43"/>
          <w:szCs w:val="43"/>
        </w:rPr>
      </w:pPr>
      <w:bookmarkStart w:id="0" w:name="bookmark1"/>
      <w:bookmarkEnd w:id="0"/>
      <w:bookmarkStart w:id="1" w:name="bookmark2"/>
      <w:bookmarkEnd w:id="1"/>
      <w:r>
        <w:rPr>
          <w:rFonts w:ascii="Times New Roman" w:hAnsi="Times New Roman" w:eastAsia="Times New Roman" w:cs="Times New Roman"/>
          <w:b/>
          <w:bCs/>
          <w:spacing w:val="-9"/>
          <w:sz w:val="43"/>
          <w:szCs w:val="43"/>
        </w:rPr>
        <w:t>1</w:t>
      </w:r>
      <w:r>
        <w:rPr>
          <w:rFonts w:ascii="Times New Roman" w:hAnsi="Times New Roman" w:eastAsia="Times New Roman" w:cs="Times New Roman"/>
          <w:b/>
          <w:bCs/>
          <w:spacing w:val="28"/>
          <w:sz w:val="43"/>
          <w:szCs w:val="43"/>
        </w:rPr>
        <w:t xml:space="preserve"> </w:t>
      </w:r>
      <w:r>
        <w:rPr>
          <w:rFonts w:ascii="宋体" w:hAnsi="宋体" w:eastAsia="宋体" w:cs="宋体"/>
          <w:spacing w:val="-9"/>
          <w:sz w:val="43"/>
          <w:szCs w:val="43"/>
          <w14:textOutline w14:w="7968" w14:cap="flat" w14:cmpd="sng">
            <w14:solidFill>
              <w14:srgbClr w14:val="000000"/>
            </w14:solidFill>
            <w14:prstDash w14:val="solid"/>
            <w14:miter w14:val="10"/>
          </w14:textOutline>
        </w:rPr>
        <w:t>前言</w:t>
      </w:r>
    </w:p>
    <w:p>
      <w:pPr>
        <w:pStyle w:val="2"/>
        <w:spacing w:line="327" w:lineRule="auto"/>
        <w:rPr>
          <w:sz w:val="21"/>
        </w:rPr>
      </w:pPr>
    </w:p>
    <w:p>
      <w:pPr>
        <w:pStyle w:val="2"/>
        <w:spacing w:line="327" w:lineRule="auto"/>
        <w:rPr>
          <w:sz w:val="21"/>
        </w:rPr>
      </w:pPr>
    </w:p>
    <w:p>
      <w:pPr>
        <w:spacing w:before="101" w:line="224" w:lineRule="auto"/>
        <w:ind w:left="11"/>
        <w:rPr>
          <w:rFonts w:ascii="宋体" w:hAnsi="宋体" w:eastAsia="宋体" w:cs="宋体"/>
          <w:sz w:val="31"/>
          <w:szCs w:val="31"/>
        </w:rPr>
      </w:pPr>
      <w:r>
        <w:rPr>
          <w:rFonts w:ascii="Times New Roman" w:hAnsi="Times New Roman" w:eastAsia="Times New Roman" w:cs="Times New Roman"/>
          <w:b/>
          <w:bCs/>
          <w:spacing w:val="5"/>
          <w:sz w:val="31"/>
          <w:szCs w:val="31"/>
        </w:rPr>
        <w:t xml:space="preserve">1.1    </w:t>
      </w:r>
      <w:r>
        <w:rPr>
          <w:rFonts w:ascii="宋体" w:hAnsi="宋体" w:eastAsia="宋体" w:cs="宋体"/>
          <w:spacing w:val="5"/>
          <w:sz w:val="31"/>
          <w:szCs w:val="31"/>
          <w14:textOutline w14:w="5791" w14:cap="flat" w14:cmpd="sng">
            <w14:solidFill>
              <w14:srgbClr w14:val="000000"/>
            </w14:solidFill>
            <w14:prstDash w14:val="solid"/>
            <w14:miter w14:val="10"/>
          </w14:textOutline>
        </w:rPr>
        <w:t>评价目的和任务</w:t>
      </w:r>
    </w:p>
    <w:p>
      <w:pPr>
        <w:pStyle w:val="2"/>
        <w:spacing w:line="432" w:lineRule="auto"/>
        <w:rPr>
          <w:sz w:val="21"/>
        </w:rPr>
      </w:pPr>
    </w:p>
    <w:p>
      <w:pPr>
        <w:spacing w:before="91" w:line="219" w:lineRule="auto"/>
        <w:ind w:left="9"/>
        <w:rPr>
          <w:rFonts w:ascii="宋体" w:hAnsi="宋体" w:eastAsia="宋体" w:cs="宋体"/>
          <w:sz w:val="28"/>
          <w:szCs w:val="28"/>
        </w:rPr>
      </w:pPr>
      <w:r>
        <w:rPr>
          <w:rFonts w:ascii="Times New Roman" w:hAnsi="Times New Roman" w:eastAsia="Times New Roman" w:cs="Times New Roman"/>
          <w:b/>
          <w:bCs/>
          <w:spacing w:val="-3"/>
          <w:sz w:val="28"/>
          <w:szCs w:val="28"/>
        </w:rPr>
        <w:t>1.1.1</w:t>
      </w:r>
      <w:r>
        <w:rPr>
          <w:rFonts w:ascii="Times New Roman" w:hAnsi="Times New Roman" w:eastAsia="Times New Roman" w:cs="Times New Roman"/>
          <w:b/>
          <w:bCs/>
          <w:spacing w:val="16"/>
          <w:sz w:val="28"/>
          <w:szCs w:val="28"/>
        </w:rPr>
        <w:t xml:space="preserve">  </w:t>
      </w:r>
      <w:r>
        <w:rPr>
          <w:rFonts w:ascii="宋体" w:hAnsi="宋体" w:eastAsia="宋体" w:cs="宋体"/>
          <w:spacing w:val="-3"/>
          <w:sz w:val="28"/>
          <w:szCs w:val="28"/>
          <w14:textOutline w14:w="5094" w14:cap="flat" w14:cmpd="sng">
            <w14:solidFill>
              <w14:srgbClr w14:val="000000"/>
            </w14:solidFill>
            <w14:prstDash w14:val="solid"/>
            <w14:miter w14:val="10"/>
          </w14:textOutline>
        </w:rPr>
        <w:t>评价目的</w:t>
      </w:r>
    </w:p>
    <w:p>
      <w:pPr>
        <w:pStyle w:val="2"/>
        <w:spacing w:line="277" w:lineRule="auto"/>
        <w:rPr>
          <w:sz w:val="21"/>
        </w:rPr>
      </w:pPr>
    </w:p>
    <w:p>
      <w:pPr>
        <w:spacing w:before="78" w:line="360" w:lineRule="auto"/>
        <w:ind w:right="83" w:firstLine="479"/>
        <w:jc w:val="both"/>
        <w:rPr>
          <w:rFonts w:ascii="宋体" w:hAnsi="宋体" w:eastAsia="宋体" w:cs="宋体"/>
          <w:sz w:val="24"/>
          <w:szCs w:val="24"/>
        </w:rPr>
      </w:pPr>
      <w:r>
        <w:rPr>
          <w:rFonts w:ascii="宋体" w:hAnsi="宋体" w:eastAsia="宋体" w:cs="宋体"/>
          <w:sz w:val="24"/>
          <w:szCs w:val="24"/>
        </w:rPr>
        <w:t>本评价旨在对建设项目在建设过程对下水水质可能造成的直接影响进行分析、预</w:t>
      </w:r>
      <w:r>
        <w:rPr>
          <w:rFonts w:ascii="宋体" w:hAnsi="宋体" w:eastAsia="宋体" w:cs="宋体"/>
          <w:spacing w:val="5"/>
          <w:sz w:val="24"/>
          <w:szCs w:val="24"/>
        </w:rPr>
        <w:t xml:space="preserve"> </w:t>
      </w:r>
      <w:r>
        <w:rPr>
          <w:rFonts w:ascii="宋体" w:hAnsi="宋体" w:eastAsia="宋体" w:cs="宋体"/>
          <w:sz w:val="24"/>
          <w:szCs w:val="24"/>
        </w:rPr>
        <w:t>测和评估，提出预防、保护或者减轻不良影响的对策和措施，制定地下水环境影响跟</w:t>
      </w:r>
    </w:p>
    <w:p>
      <w:pPr>
        <w:spacing w:before="1" w:line="218" w:lineRule="auto"/>
        <w:rPr>
          <w:rFonts w:ascii="宋体" w:hAnsi="宋体" w:eastAsia="宋体" w:cs="宋体"/>
          <w:sz w:val="24"/>
          <w:szCs w:val="24"/>
        </w:rPr>
      </w:pPr>
      <w:r>
        <w:rPr>
          <w:rFonts w:ascii="宋体" w:hAnsi="宋体" w:eastAsia="宋体" w:cs="宋体"/>
          <w:spacing w:val="-2"/>
          <w:sz w:val="24"/>
          <w:szCs w:val="24"/>
        </w:rPr>
        <w:t>踪监测计划，为建设项目地下水环境保护提供科学依据。</w:t>
      </w:r>
    </w:p>
    <w:p>
      <w:pPr>
        <w:pStyle w:val="2"/>
        <w:spacing w:line="266" w:lineRule="auto"/>
        <w:rPr>
          <w:sz w:val="21"/>
        </w:rPr>
      </w:pPr>
    </w:p>
    <w:p>
      <w:pPr>
        <w:spacing w:before="91" w:line="219" w:lineRule="auto"/>
        <w:ind w:left="9"/>
        <w:rPr>
          <w:rFonts w:ascii="宋体" w:hAnsi="宋体" w:eastAsia="宋体" w:cs="宋体"/>
          <w:sz w:val="28"/>
          <w:szCs w:val="28"/>
        </w:rPr>
      </w:pPr>
      <w:r>
        <w:rPr>
          <w:rFonts w:ascii="Times New Roman" w:hAnsi="Times New Roman" w:eastAsia="Times New Roman" w:cs="Times New Roman"/>
          <w:b/>
          <w:bCs/>
          <w:spacing w:val="-3"/>
          <w:sz w:val="28"/>
          <w:szCs w:val="28"/>
        </w:rPr>
        <w:t>1.1.2</w:t>
      </w:r>
      <w:r>
        <w:rPr>
          <w:rFonts w:ascii="Times New Roman" w:hAnsi="Times New Roman" w:eastAsia="Times New Roman" w:cs="Times New Roman"/>
          <w:b/>
          <w:bCs/>
          <w:spacing w:val="16"/>
          <w:sz w:val="28"/>
          <w:szCs w:val="28"/>
        </w:rPr>
        <w:t xml:space="preserve">  </w:t>
      </w:r>
      <w:r>
        <w:rPr>
          <w:rFonts w:ascii="宋体" w:hAnsi="宋体" w:eastAsia="宋体" w:cs="宋体"/>
          <w:spacing w:val="-3"/>
          <w:sz w:val="28"/>
          <w:szCs w:val="28"/>
          <w14:textOutline w14:w="5094" w14:cap="flat" w14:cmpd="sng">
            <w14:solidFill>
              <w14:srgbClr w14:val="000000"/>
            </w14:solidFill>
            <w14:prstDash w14:val="solid"/>
            <w14:miter w14:val="10"/>
          </w14:textOutline>
        </w:rPr>
        <w:t>评价任务</w:t>
      </w:r>
    </w:p>
    <w:p>
      <w:pPr>
        <w:pStyle w:val="2"/>
        <w:spacing w:line="276" w:lineRule="auto"/>
        <w:rPr>
          <w:sz w:val="21"/>
        </w:rPr>
      </w:pPr>
    </w:p>
    <w:p>
      <w:pPr>
        <w:spacing w:before="78" w:line="468" w:lineRule="exact"/>
        <w:ind w:left="480"/>
        <w:rPr>
          <w:rFonts w:ascii="宋体" w:hAnsi="宋体" w:eastAsia="宋体" w:cs="宋体"/>
          <w:sz w:val="24"/>
          <w:szCs w:val="24"/>
        </w:rPr>
      </w:pPr>
      <w:r>
        <w:rPr>
          <w:rFonts w:ascii="宋体" w:hAnsi="宋体" w:eastAsia="宋体" w:cs="宋体"/>
          <w:spacing w:val="-2"/>
          <w:position w:val="17"/>
          <w:sz w:val="24"/>
          <w:szCs w:val="24"/>
        </w:rPr>
        <w:t>本评价按照《环境影响评价技术导则地下水环境》（</w:t>
      </w:r>
      <w:r>
        <w:rPr>
          <w:rFonts w:ascii="Times New Roman" w:hAnsi="Times New Roman" w:eastAsia="Times New Roman" w:cs="Times New Roman"/>
          <w:spacing w:val="-2"/>
          <w:position w:val="17"/>
          <w:sz w:val="24"/>
          <w:szCs w:val="24"/>
        </w:rPr>
        <w:t>HJ  61</w:t>
      </w:r>
      <w:r>
        <w:rPr>
          <w:rFonts w:ascii="Times New Roman" w:hAnsi="Times New Roman" w:eastAsia="Times New Roman" w:cs="Times New Roman"/>
          <w:spacing w:val="-3"/>
          <w:position w:val="17"/>
          <w:sz w:val="24"/>
          <w:szCs w:val="24"/>
        </w:rPr>
        <w:t>0-2016</w:t>
      </w:r>
      <w:r>
        <w:rPr>
          <w:rFonts w:ascii="宋体" w:hAnsi="宋体" w:eastAsia="宋体" w:cs="宋体"/>
          <w:spacing w:val="-3"/>
          <w:position w:val="17"/>
          <w:sz w:val="24"/>
          <w:szCs w:val="24"/>
        </w:rPr>
        <w:t>）的要求划分项</w:t>
      </w:r>
    </w:p>
    <w:p>
      <w:pPr>
        <w:spacing w:line="218" w:lineRule="auto"/>
        <w:ind w:left="45"/>
        <w:rPr>
          <w:rFonts w:ascii="宋体" w:hAnsi="宋体" w:eastAsia="宋体" w:cs="宋体"/>
          <w:sz w:val="24"/>
          <w:szCs w:val="24"/>
        </w:rPr>
      </w:pPr>
      <w:r>
        <w:rPr>
          <w:rFonts w:ascii="宋体" w:hAnsi="宋体" w:eastAsia="宋体" w:cs="宋体"/>
          <w:spacing w:val="-3"/>
          <w:sz w:val="24"/>
          <w:szCs w:val="24"/>
        </w:rPr>
        <w:t>目地下水环境影响评价工作等级，并开展相应评价工作，评价的主要任</w:t>
      </w:r>
      <w:r>
        <w:rPr>
          <w:rFonts w:ascii="宋体" w:hAnsi="宋体" w:eastAsia="宋体" w:cs="宋体"/>
          <w:spacing w:val="-4"/>
          <w:sz w:val="24"/>
          <w:szCs w:val="24"/>
        </w:rPr>
        <w:t>务包括：</w:t>
      </w:r>
    </w:p>
    <w:p>
      <w:pPr>
        <w:spacing w:before="184" w:line="218" w:lineRule="auto"/>
        <w:jc w:val="right"/>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）识别项目建设期对地下水环境的影响，确定地下水环境影响评价工作等级。</w:t>
      </w:r>
    </w:p>
    <w:p>
      <w:pPr>
        <w:spacing w:before="185" w:line="468" w:lineRule="exact"/>
        <w:ind w:left="486"/>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）通过资料收集、现场勘查等方式，掌握评价区域的环境水文地质条件。</w:t>
      </w:r>
    </w:p>
    <w:p>
      <w:pPr>
        <w:spacing w:line="218"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）开展地下水环境现状调查，完成地下水环境现状监测与评价。</w:t>
      </w:r>
    </w:p>
    <w:p>
      <w:pPr>
        <w:spacing w:before="185" w:line="468" w:lineRule="exact"/>
        <w:ind w:left="486"/>
        <w:rPr>
          <w:rFonts w:ascii="宋体" w:hAnsi="宋体" w:eastAsia="宋体" w:cs="宋体"/>
          <w:sz w:val="24"/>
          <w:szCs w:val="24"/>
        </w:rPr>
      </w:pPr>
      <w:r>
        <w:rPr>
          <w:rFonts w:ascii="宋体" w:hAnsi="宋体" w:eastAsia="宋体" w:cs="宋体"/>
          <w:spacing w:val="-12"/>
          <w:position w:val="17"/>
          <w:sz w:val="24"/>
          <w:szCs w:val="24"/>
        </w:rPr>
        <w:t>（</w:t>
      </w:r>
      <w:r>
        <w:rPr>
          <w:rFonts w:ascii="Times New Roman" w:hAnsi="Times New Roman" w:eastAsia="Times New Roman" w:cs="Times New Roman"/>
          <w:spacing w:val="-12"/>
          <w:position w:val="17"/>
          <w:sz w:val="24"/>
          <w:szCs w:val="24"/>
        </w:rPr>
        <w:t>4</w:t>
      </w:r>
      <w:r>
        <w:rPr>
          <w:rFonts w:ascii="宋体" w:hAnsi="宋体" w:eastAsia="宋体" w:cs="宋体"/>
          <w:spacing w:val="-12"/>
          <w:position w:val="17"/>
          <w:sz w:val="24"/>
          <w:szCs w:val="24"/>
        </w:rPr>
        <w:t>）根据建设项目不同时期的工程特征，</w:t>
      </w:r>
      <w:r>
        <w:rPr>
          <w:rFonts w:ascii="宋体" w:hAnsi="宋体" w:eastAsia="宋体" w:cs="宋体"/>
          <w:spacing w:val="30"/>
          <w:position w:val="17"/>
          <w:sz w:val="24"/>
          <w:szCs w:val="24"/>
        </w:rPr>
        <w:t xml:space="preserve"> </w:t>
      </w:r>
      <w:r>
        <w:rPr>
          <w:rFonts w:ascii="宋体" w:hAnsi="宋体" w:eastAsia="宋体" w:cs="宋体"/>
          <w:spacing w:val="-12"/>
          <w:position w:val="17"/>
          <w:sz w:val="24"/>
          <w:szCs w:val="24"/>
        </w:rPr>
        <w:t>进行初步工程分析，</w:t>
      </w:r>
      <w:r>
        <w:rPr>
          <w:rFonts w:ascii="宋体" w:hAnsi="宋体" w:eastAsia="宋体" w:cs="宋体"/>
          <w:spacing w:val="31"/>
          <w:position w:val="17"/>
          <w:sz w:val="24"/>
          <w:szCs w:val="24"/>
        </w:rPr>
        <w:t xml:space="preserve"> </w:t>
      </w:r>
      <w:r>
        <w:rPr>
          <w:rFonts w:ascii="宋体" w:hAnsi="宋体" w:eastAsia="宋体" w:cs="宋体"/>
          <w:spacing w:val="-12"/>
          <w:position w:val="17"/>
          <w:sz w:val="24"/>
          <w:szCs w:val="24"/>
        </w:rPr>
        <w:t>识别可能造成地下</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水污染的装置和设施、可能的地下水污染途径和可能导致</w:t>
      </w:r>
      <w:r>
        <w:rPr>
          <w:rFonts w:ascii="宋体" w:hAnsi="宋体" w:eastAsia="宋体" w:cs="宋体"/>
          <w:spacing w:val="-2"/>
          <w:sz w:val="24"/>
          <w:szCs w:val="24"/>
        </w:rPr>
        <w:t>地下水污染的特征因子。</w:t>
      </w:r>
    </w:p>
    <w:p>
      <w:pPr>
        <w:spacing w:before="182" w:line="468" w:lineRule="exact"/>
        <w:ind w:left="486"/>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5</w:t>
      </w:r>
      <w:r>
        <w:rPr>
          <w:rFonts w:ascii="宋体" w:hAnsi="宋体" w:eastAsia="宋体" w:cs="宋体"/>
          <w:spacing w:val="-8"/>
          <w:position w:val="17"/>
          <w:sz w:val="24"/>
          <w:szCs w:val="24"/>
        </w:rPr>
        <w:t>）根据建设项目特征、水文地质条件及资料掌握情况，</w:t>
      </w:r>
      <w:r>
        <w:rPr>
          <w:rFonts w:ascii="宋体" w:hAnsi="宋体" w:eastAsia="宋体" w:cs="宋体"/>
          <w:spacing w:val="41"/>
          <w:position w:val="17"/>
          <w:sz w:val="24"/>
          <w:szCs w:val="24"/>
        </w:rPr>
        <w:t xml:space="preserve"> </w:t>
      </w:r>
      <w:r>
        <w:rPr>
          <w:rFonts w:ascii="宋体" w:hAnsi="宋体" w:eastAsia="宋体" w:cs="宋体"/>
          <w:spacing w:val="-8"/>
          <w:position w:val="17"/>
          <w:sz w:val="24"/>
          <w:szCs w:val="24"/>
        </w:rPr>
        <w:t>采用解析法进行地下水</w:t>
      </w:r>
    </w:p>
    <w:p>
      <w:pPr>
        <w:spacing w:before="1" w:line="219" w:lineRule="auto"/>
        <w:rPr>
          <w:rFonts w:ascii="宋体" w:hAnsi="宋体" w:eastAsia="宋体" w:cs="宋体"/>
          <w:sz w:val="24"/>
          <w:szCs w:val="24"/>
        </w:rPr>
      </w:pPr>
      <w:r>
        <w:rPr>
          <w:rFonts w:ascii="宋体" w:hAnsi="宋体" w:eastAsia="宋体" w:cs="宋体"/>
          <w:spacing w:val="-2"/>
          <w:sz w:val="24"/>
          <w:szCs w:val="24"/>
        </w:rPr>
        <w:t>环境影响预测，预测污染物运移趋势和对地下水环境保护目标的影响。</w:t>
      </w:r>
    </w:p>
    <w:p>
      <w:pPr>
        <w:spacing w:before="183" w:line="468" w:lineRule="exact"/>
        <w:ind w:left="486"/>
        <w:rPr>
          <w:rFonts w:ascii="宋体" w:hAnsi="宋体" w:eastAsia="宋体" w:cs="宋体"/>
          <w:sz w:val="24"/>
          <w:szCs w:val="24"/>
        </w:rPr>
      </w:pP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6</w:t>
      </w:r>
      <w:r>
        <w:rPr>
          <w:rFonts w:ascii="宋体" w:hAnsi="宋体" w:eastAsia="宋体" w:cs="宋体"/>
          <w:spacing w:val="-7"/>
          <w:position w:val="17"/>
          <w:sz w:val="24"/>
          <w:szCs w:val="24"/>
        </w:rPr>
        <w:t>）提出有针对性</w:t>
      </w:r>
      <w:r>
        <w:rPr>
          <w:rFonts w:hint="eastAsia" w:ascii="宋体" w:hAnsi="宋体" w:eastAsia="宋体" w:cs="宋体"/>
          <w:spacing w:val="-7"/>
          <w:position w:val="17"/>
          <w:sz w:val="24"/>
          <w:szCs w:val="24"/>
          <w:lang w:val="en-US" w:eastAsia="zh-CN"/>
        </w:rPr>
        <w:t>地</w:t>
      </w:r>
      <w:r>
        <w:rPr>
          <w:rFonts w:ascii="宋体" w:hAnsi="宋体" w:eastAsia="宋体" w:cs="宋体"/>
          <w:spacing w:val="-7"/>
          <w:position w:val="17"/>
          <w:sz w:val="24"/>
          <w:szCs w:val="24"/>
        </w:rPr>
        <w:t>地下水</w:t>
      </w:r>
      <w:r>
        <w:rPr>
          <w:rFonts w:hint="eastAsia" w:ascii="宋体" w:hAnsi="宋体" w:eastAsia="宋体" w:cs="宋体"/>
          <w:spacing w:val="-7"/>
          <w:position w:val="17"/>
          <w:sz w:val="24"/>
          <w:szCs w:val="24"/>
        </w:rPr>
        <w:t>污染防治</w:t>
      </w:r>
      <w:r>
        <w:rPr>
          <w:rFonts w:ascii="宋体" w:hAnsi="宋体" w:eastAsia="宋体" w:cs="宋体"/>
          <w:spacing w:val="-7"/>
          <w:position w:val="17"/>
          <w:sz w:val="24"/>
          <w:szCs w:val="24"/>
        </w:rPr>
        <w:t>措施与对策， 制定地下水环境影响跟踪监测</w:t>
      </w:r>
    </w:p>
    <w:p>
      <w:pPr>
        <w:spacing w:line="220" w:lineRule="auto"/>
        <w:rPr>
          <w:rFonts w:ascii="宋体" w:hAnsi="宋体" w:eastAsia="宋体" w:cs="宋体"/>
          <w:sz w:val="24"/>
          <w:szCs w:val="24"/>
        </w:rPr>
      </w:pPr>
      <w:r>
        <w:rPr>
          <w:rFonts w:ascii="宋体" w:hAnsi="宋体" w:eastAsia="宋体" w:cs="宋体"/>
          <w:spacing w:val="-5"/>
          <w:sz w:val="24"/>
          <w:szCs w:val="24"/>
        </w:rPr>
        <w:t>计划和应急预案。</w:t>
      </w:r>
    </w:p>
    <w:p>
      <w:pPr>
        <w:pStyle w:val="2"/>
        <w:spacing w:line="375" w:lineRule="auto"/>
        <w:rPr>
          <w:sz w:val="21"/>
        </w:rPr>
      </w:pPr>
    </w:p>
    <w:p>
      <w:pPr>
        <w:spacing w:before="101" w:line="224" w:lineRule="auto"/>
        <w:ind w:left="11"/>
        <w:rPr>
          <w:rFonts w:ascii="宋体" w:hAnsi="宋体" w:eastAsia="宋体" w:cs="宋体"/>
          <w:sz w:val="31"/>
          <w:szCs w:val="31"/>
        </w:rPr>
      </w:pPr>
      <w:bookmarkStart w:id="2" w:name="bookmark3"/>
      <w:bookmarkEnd w:id="2"/>
      <w:r>
        <w:rPr>
          <w:rFonts w:ascii="Times New Roman" w:hAnsi="Times New Roman" w:eastAsia="Times New Roman" w:cs="Times New Roman"/>
          <w:b/>
          <w:bCs/>
          <w:spacing w:val="2"/>
          <w:sz w:val="31"/>
          <w:szCs w:val="31"/>
        </w:rPr>
        <w:t>1.2</w:t>
      </w:r>
      <w:r>
        <w:rPr>
          <w:rFonts w:ascii="Times New Roman" w:hAnsi="Times New Roman" w:eastAsia="Times New Roman" w:cs="Times New Roman"/>
          <w:b/>
          <w:bCs/>
          <w:spacing w:val="6"/>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编制依据</w:t>
      </w:r>
    </w:p>
    <w:p>
      <w:pPr>
        <w:pStyle w:val="2"/>
        <w:spacing w:line="434" w:lineRule="auto"/>
        <w:rPr>
          <w:sz w:val="21"/>
        </w:rPr>
      </w:pPr>
    </w:p>
    <w:p>
      <w:pPr>
        <w:spacing w:before="92" w:line="220" w:lineRule="auto"/>
        <w:ind w:left="9"/>
        <w:rPr>
          <w:rFonts w:ascii="宋体" w:hAnsi="宋体" w:eastAsia="宋体" w:cs="宋体"/>
          <w:sz w:val="28"/>
          <w:szCs w:val="28"/>
        </w:rPr>
      </w:pPr>
      <w:r>
        <w:rPr>
          <w:rFonts w:ascii="Times New Roman" w:hAnsi="Times New Roman" w:eastAsia="Times New Roman" w:cs="Times New Roman"/>
          <w:b/>
          <w:bCs/>
          <w:spacing w:val="-3"/>
          <w:sz w:val="28"/>
          <w:szCs w:val="28"/>
        </w:rPr>
        <w:t>1.2.1</w:t>
      </w:r>
      <w:r>
        <w:rPr>
          <w:rFonts w:ascii="Times New Roman" w:hAnsi="Times New Roman" w:eastAsia="Times New Roman" w:cs="Times New Roman"/>
          <w:b/>
          <w:bCs/>
          <w:spacing w:val="20"/>
          <w:sz w:val="28"/>
          <w:szCs w:val="28"/>
        </w:rPr>
        <w:t xml:space="preserve">  </w:t>
      </w:r>
      <w:r>
        <w:rPr>
          <w:rFonts w:ascii="宋体" w:hAnsi="宋体" w:eastAsia="宋体" w:cs="宋体"/>
          <w:spacing w:val="-3"/>
          <w:sz w:val="28"/>
          <w:szCs w:val="28"/>
          <w14:textOutline w14:w="5094" w14:cap="flat" w14:cmpd="sng">
            <w14:solidFill>
              <w14:srgbClr w14:val="000000"/>
            </w14:solidFill>
            <w14:prstDash w14:val="solid"/>
            <w14:miter w14:val="10"/>
          </w14:textOutline>
        </w:rPr>
        <w:t>相关法律法规</w:t>
      </w:r>
    </w:p>
    <w:p>
      <w:pPr>
        <w:pStyle w:val="2"/>
        <w:spacing w:line="273" w:lineRule="auto"/>
        <w:rPr>
          <w:sz w:val="21"/>
        </w:rPr>
      </w:pPr>
    </w:p>
    <w:p>
      <w:pPr>
        <w:spacing w:before="79" w:line="220" w:lineRule="auto"/>
        <w:ind w:left="498"/>
        <w:rPr>
          <w:rFonts w:ascii="宋体" w:hAnsi="宋体" w:eastAsia="宋体" w:cs="宋体"/>
          <w:sz w:val="24"/>
          <w:szCs w:val="24"/>
        </w:rPr>
      </w:pPr>
      <w:r>
        <w:rPr>
          <w:rFonts w:ascii="Times New Roman" w:hAnsi="Times New Roman" w:eastAsia="Times New Roman" w:cs="Times New Roman"/>
          <w:spacing w:val="-16"/>
          <w:sz w:val="24"/>
          <w:szCs w:val="24"/>
        </w:rPr>
        <w:t>1</w:t>
      </w:r>
      <w:r>
        <w:rPr>
          <w:rFonts w:ascii="宋体" w:hAnsi="宋体" w:eastAsia="宋体" w:cs="宋体"/>
          <w:spacing w:val="-16"/>
          <w:sz w:val="24"/>
          <w:szCs w:val="24"/>
        </w:rPr>
        <w:t>）《中华人民共和国环境保护法》（</w:t>
      </w:r>
      <w:r>
        <w:rPr>
          <w:rFonts w:ascii="Times New Roman" w:hAnsi="Times New Roman" w:eastAsia="Times New Roman" w:cs="Times New Roman"/>
          <w:spacing w:val="-16"/>
          <w:sz w:val="24"/>
          <w:szCs w:val="24"/>
        </w:rPr>
        <w:t>2015</w:t>
      </w:r>
      <w:r>
        <w:rPr>
          <w:rFonts w:ascii="Times New Roman" w:hAnsi="Times New Roman" w:eastAsia="Times New Roman" w:cs="Times New Roman"/>
          <w:spacing w:val="11"/>
          <w:sz w:val="24"/>
          <w:szCs w:val="24"/>
        </w:rPr>
        <w:t xml:space="preserve"> </w:t>
      </w:r>
      <w:r>
        <w:rPr>
          <w:rFonts w:ascii="宋体" w:hAnsi="宋体" w:eastAsia="宋体" w:cs="宋体"/>
          <w:spacing w:val="-1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7"/>
          <w:sz w:val="24"/>
          <w:szCs w:val="24"/>
        </w:rPr>
        <w:t xml:space="preserve">1  </w:t>
      </w:r>
      <w:r>
        <w:rPr>
          <w:rFonts w:ascii="宋体" w:hAnsi="宋体" w:eastAsia="宋体" w:cs="宋体"/>
          <w:spacing w:val="-17"/>
          <w:sz w:val="24"/>
          <w:szCs w:val="24"/>
        </w:rPr>
        <w:t>日</w:t>
      </w:r>
      <w:r>
        <w:rPr>
          <w:rFonts w:ascii="宋体" w:hAnsi="宋体" w:eastAsia="宋体" w:cs="宋体"/>
          <w:spacing w:val="-47"/>
          <w:sz w:val="24"/>
          <w:szCs w:val="24"/>
        </w:rPr>
        <w:t>）；</w:t>
      </w:r>
    </w:p>
    <w:p>
      <w:pPr>
        <w:spacing w:before="182" w:line="212" w:lineRule="auto"/>
        <w:ind w:right="26"/>
        <w:jc w:val="right"/>
        <w:rPr>
          <w:rFonts w:ascii="宋体" w:hAnsi="宋体" w:eastAsia="宋体" w:cs="宋体"/>
          <w:sz w:val="24"/>
          <w:szCs w:val="24"/>
        </w:rPr>
      </w:pPr>
      <w:r>
        <w:rPr>
          <w:rFonts w:ascii="Times New Roman" w:hAnsi="Times New Roman" w:eastAsia="Times New Roman" w:cs="Times New Roman"/>
          <w:spacing w:val="-10"/>
          <w:sz w:val="24"/>
          <w:szCs w:val="24"/>
        </w:rPr>
        <w:t>2</w:t>
      </w:r>
      <w:r>
        <w:rPr>
          <w:rFonts w:ascii="宋体" w:hAnsi="宋体" w:eastAsia="宋体" w:cs="宋体"/>
          <w:spacing w:val="-10"/>
          <w:sz w:val="24"/>
          <w:szCs w:val="24"/>
        </w:rPr>
        <w:t>）</w:t>
      </w:r>
      <w:r>
        <w:rPr>
          <w:rFonts w:hint="eastAsia" w:ascii="宋体" w:hAnsi="宋体" w:eastAsia="宋体" w:cs="宋体"/>
          <w:spacing w:val="-10"/>
          <w:sz w:val="24"/>
          <w:szCs w:val="24"/>
        </w:rPr>
        <w:t>《中华人民共和国环境影响评价法》</w:t>
      </w:r>
      <w:r>
        <w:rPr>
          <w:rFonts w:ascii="Times New Roman" w:hAnsi="Times New Roman" w:eastAsia="Times New Roman" w:cs="Times New Roman"/>
          <w:spacing w:val="-10"/>
          <w:sz w:val="24"/>
          <w:szCs w:val="24"/>
        </w:rPr>
        <w:t xml:space="preserve">(2018 </w:t>
      </w:r>
      <w:r>
        <w:rPr>
          <w:rFonts w:ascii="宋体" w:hAnsi="宋体" w:eastAsia="宋体" w:cs="宋体"/>
          <w:spacing w:val="-10"/>
          <w:sz w:val="24"/>
          <w:szCs w:val="24"/>
        </w:rPr>
        <w:t xml:space="preserve">年修订， </w:t>
      </w:r>
      <w:r>
        <w:rPr>
          <w:rFonts w:ascii="Times New Roman" w:hAnsi="Times New Roman" w:eastAsia="Times New Roman" w:cs="Times New Roman"/>
          <w:spacing w:val="-10"/>
          <w:sz w:val="24"/>
          <w:szCs w:val="24"/>
        </w:rPr>
        <w:t>201</w:t>
      </w:r>
      <w:r>
        <w:rPr>
          <w:rFonts w:ascii="Times New Roman" w:hAnsi="Times New Roman" w:eastAsia="Times New Roman" w:cs="Times New Roman"/>
          <w:spacing w:val="-11"/>
          <w:sz w:val="24"/>
          <w:szCs w:val="24"/>
        </w:rPr>
        <w:t xml:space="preserve">8 </w:t>
      </w:r>
      <w:r>
        <w:rPr>
          <w:rFonts w:ascii="宋体" w:hAnsi="宋体" w:eastAsia="宋体" w:cs="宋体"/>
          <w:spacing w:val="-11"/>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29  </w:t>
      </w:r>
      <w:r>
        <w:rPr>
          <w:rFonts w:ascii="宋体" w:hAnsi="宋体" w:eastAsia="宋体" w:cs="宋体"/>
          <w:spacing w:val="-11"/>
          <w:sz w:val="24"/>
          <w:szCs w:val="24"/>
        </w:rPr>
        <w:t>日</w:t>
      </w:r>
    </w:p>
    <w:p>
      <w:pPr>
        <w:spacing w:line="212" w:lineRule="auto"/>
        <w:rPr>
          <w:rFonts w:ascii="宋体" w:hAnsi="宋体" w:eastAsia="宋体" w:cs="宋体"/>
          <w:sz w:val="24"/>
          <w:szCs w:val="24"/>
        </w:rPr>
        <w:sectPr>
          <w:footerReference r:id="rId161" w:type="default"/>
          <w:pgSz w:w="11907" w:h="16839"/>
          <w:pgMar w:top="400" w:right="1336" w:bottom="879" w:left="1598" w:header="0" w:footer="717"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212" w:lineRule="auto"/>
        <w:rPr>
          <w:rFonts w:ascii="宋体" w:hAnsi="宋体" w:eastAsia="宋体" w:cs="宋体"/>
          <w:sz w:val="24"/>
          <w:szCs w:val="24"/>
        </w:rPr>
      </w:pPr>
      <w:r>
        <w:rPr>
          <w:rFonts w:ascii="宋体" w:hAnsi="宋体" w:eastAsia="宋体" w:cs="宋体"/>
          <w:spacing w:val="-3"/>
          <w:sz w:val="24"/>
          <w:szCs w:val="24"/>
        </w:rPr>
        <w:t>施行</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p>
    <w:p>
      <w:pPr>
        <w:spacing w:before="192" w:line="468" w:lineRule="exact"/>
        <w:ind w:left="481"/>
        <w:rPr>
          <w:rFonts w:ascii="宋体" w:hAnsi="宋体" w:eastAsia="宋体" w:cs="宋体"/>
          <w:sz w:val="24"/>
          <w:szCs w:val="24"/>
        </w:rPr>
      </w:pPr>
      <w:r>
        <w:rPr>
          <w:rFonts w:ascii="Times New Roman" w:hAnsi="Times New Roman" w:eastAsia="Times New Roman" w:cs="Times New Roman"/>
          <w:spacing w:val="-7"/>
          <w:position w:val="17"/>
          <w:sz w:val="24"/>
          <w:szCs w:val="24"/>
        </w:rPr>
        <w:t>3</w:t>
      </w:r>
      <w:r>
        <w:rPr>
          <w:rFonts w:ascii="宋体" w:hAnsi="宋体" w:eastAsia="宋体" w:cs="宋体"/>
          <w:spacing w:val="-7"/>
          <w:position w:val="17"/>
          <w:sz w:val="24"/>
          <w:szCs w:val="24"/>
        </w:rPr>
        <w:t>）《建设项目环境保护管理条例》</w:t>
      </w:r>
      <w:r>
        <w:rPr>
          <w:rFonts w:ascii="Times New Roman" w:hAnsi="Times New Roman" w:eastAsia="Times New Roman" w:cs="Times New Roman"/>
          <w:spacing w:val="-7"/>
          <w:position w:val="17"/>
          <w:sz w:val="24"/>
          <w:szCs w:val="24"/>
        </w:rPr>
        <w:t xml:space="preserve">(2018 </w:t>
      </w:r>
      <w:r>
        <w:rPr>
          <w:rFonts w:ascii="宋体" w:hAnsi="宋体" w:eastAsia="宋体" w:cs="宋体"/>
          <w:spacing w:val="-7"/>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7"/>
          <w:position w:val="17"/>
          <w:sz w:val="24"/>
          <w:szCs w:val="24"/>
        </w:rPr>
        <w:t>1</w:t>
      </w:r>
      <w:r>
        <w:rPr>
          <w:rFonts w:ascii="Times New Roman" w:hAnsi="Times New Roman" w:eastAsia="Times New Roman" w:cs="Times New Roman"/>
          <w:spacing w:val="-8"/>
          <w:position w:val="17"/>
          <w:sz w:val="24"/>
          <w:szCs w:val="24"/>
        </w:rPr>
        <w:t>2</w:t>
      </w:r>
      <w:r>
        <w:rPr>
          <w:rFonts w:ascii="Times New Roman" w:hAnsi="Times New Roman" w:eastAsia="Times New Roman" w:cs="Times New Roman"/>
          <w:spacing w:val="16"/>
          <w:position w:val="17"/>
          <w:sz w:val="24"/>
          <w:szCs w:val="24"/>
        </w:rPr>
        <w:t xml:space="preserve"> </w:t>
      </w:r>
      <w:r>
        <w:rPr>
          <w:rFonts w:ascii="宋体" w:hAnsi="宋体" w:eastAsia="宋体" w:cs="宋体"/>
          <w:spacing w:val="-8"/>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8"/>
          <w:position w:val="17"/>
          <w:sz w:val="24"/>
          <w:szCs w:val="24"/>
        </w:rPr>
        <w:t xml:space="preserve">29  </w:t>
      </w:r>
      <w:r>
        <w:rPr>
          <w:rFonts w:ascii="宋体" w:hAnsi="宋体" w:eastAsia="宋体" w:cs="宋体"/>
          <w:spacing w:val="-8"/>
          <w:position w:val="17"/>
          <w:sz w:val="24"/>
          <w:szCs w:val="24"/>
        </w:rPr>
        <w:t>日</w:t>
      </w:r>
      <w:r>
        <w:rPr>
          <w:rFonts w:ascii="Times New Roman" w:hAnsi="Times New Roman" w:eastAsia="Times New Roman" w:cs="Times New Roman"/>
          <w:spacing w:val="-8"/>
          <w:position w:val="17"/>
          <w:sz w:val="24"/>
          <w:szCs w:val="24"/>
        </w:rPr>
        <w:t>)</w:t>
      </w:r>
      <w:r>
        <w:rPr>
          <w:rFonts w:ascii="宋体" w:hAnsi="宋体" w:eastAsia="宋体" w:cs="宋体"/>
          <w:spacing w:val="-8"/>
          <w:position w:val="17"/>
          <w:sz w:val="24"/>
          <w:szCs w:val="24"/>
        </w:rPr>
        <w:t>；</w:t>
      </w:r>
    </w:p>
    <w:p>
      <w:pPr>
        <w:spacing w:line="212" w:lineRule="auto"/>
        <w:ind w:left="475"/>
        <w:rPr>
          <w:rFonts w:ascii="宋体" w:hAnsi="宋体" w:eastAsia="宋体" w:cs="宋体"/>
          <w:sz w:val="24"/>
          <w:szCs w:val="24"/>
        </w:rPr>
      </w:pPr>
      <w:r>
        <w:rPr>
          <w:rFonts w:ascii="Times New Roman" w:hAnsi="Times New Roman" w:eastAsia="Times New Roman" w:cs="Times New Roman"/>
          <w:spacing w:val="-8"/>
          <w:sz w:val="24"/>
          <w:szCs w:val="24"/>
        </w:rPr>
        <w:t>4</w:t>
      </w:r>
      <w:r>
        <w:rPr>
          <w:rFonts w:ascii="宋体" w:hAnsi="宋体" w:eastAsia="宋体" w:cs="宋体"/>
          <w:spacing w:val="-8"/>
          <w:sz w:val="24"/>
          <w:szCs w:val="24"/>
        </w:rPr>
        <w:t>）《中华人民共和国水污染防治法》</w:t>
      </w:r>
      <w:r>
        <w:rPr>
          <w:rFonts w:ascii="Times New Roman" w:hAnsi="Times New Roman" w:eastAsia="Times New Roman" w:cs="Times New Roman"/>
          <w:spacing w:val="-8"/>
          <w:sz w:val="24"/>
          <w:szCs w:val="24"/>
        </w:rPr>
        <w:t xml:space="preserve">(2018 </w:t>
      </w:r>
      <w:r>
        <w:rPr>
          <w:rFonts w:ascii="宋体" w:hAnsi="宋体" w:eastAsia="宋体" w:cs="宋体"/>
          <w:spacing w:val="-8"/>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w:t>
      </w:r>
      <w:r>
        <w:rPr>
          <w:rFonts w:ascii="Times New Roman" w:hAnsi="Times New Roman" w:eastAsia="Times New Roman" w:cs="Times New Roman"/>
          <w:spacing w:val="-8"/>
          <w:sz w:val="24"/>
          <w:szCs w:val="24"/>
        </w:rPr>
        <w:t>)</w:t>
      </w:r>
      <w:r>
        <w:rPr>
          <w:rFonts w:ascii="宋体" w:hAnsi="宋体" w:eastAsia="宋体" w:cs="宋体"/>
          <w:spacing w:val="-8"/>
          <w:sz w:val="24"/>
          <w:szCs w:val="24"/>
        </w:rPr>
        <w:t>；</w:t>
      </w:r>
    </w:p>
    <w:p>
      <w:pPr>
        <w:spacing w:before="192" w:line="468" w:lineRule="exact"/>
        <w:ind w:left="483"/>
        <w:rPr>
          <w:rFonts w:ascii="宋体" w:hAnsi="宋体" w:eastAsia="宋体" w:cs="宋体"/>
          <w:sz w:val="24"/>
          <w:szCs w:val="24"/>
        </w:rPr>
      </w:pPr>
      <w:r>
        <w:rPr>
          <w:rFonts w:ascii="Times New Roman" w:hAnsi="Times New Roman" w:eastAsia="Times New Roman" w:cs="Times New Roman"/>
          <w:spacing w:val="-7"/>
          <w:position w:val="17"/>
          <w:sz w:val="24"/>
          <w:szCs w:val="24"/>
        </w:rPr>
        <w:t>5</w:t>
      </w:r>
      <w:r>
        <w:rPr>
          <w:rFonts w:ascii="宋体" w:hAnsi="宋体" w:eastAsia="宋体" w:cs="宋体"/>
          <w:spacing w:val="-7"/>
          <w:position w:val="17"/>
          <w:sz w:val="24"/>
          <w:szCs w:val="24"/>
        </w:rPr>
        <w:t>）《饮用水水源保护区污染防治管理规定》</w:t>
      </w:r>
      <w:r>
        <w:rPr>
          <w:rFonts w:ascii="Times New Roman" w:hAnsi="Times New Roman" w:eastAsia="Times New Roman" w:cs="Times New Roman"/>
          <w:spacing w:val="-7"/>
          <w:position w:val="17"/>
          <w:sz w:val="24"/>
          <w:szCs w:val="24"/>
        </w:rPr>
        <w:t xml:space="preserve">(2010 </w:t>
      </w:r>
      <w:r>
        <w:rPr>
          <w:rFonts w:ascii="宋体" w:hAnsi="宋体" w:eastAsia="宋体" w:cs="宋体"/>
          <w:spacing w:val="-7"/>
          <w:position w:val="17"/>
          <w:sz w:val="24"/>
          <w:szCs w:val="24"/>
        </w:rPr>
        <w:t>年</w:t>
      </w:r>
      <w:r>
        <w:rPr>
          <w:rFonts w:ascii="宋体" w:hAnsi="宋体" w:eastAsia="宋体" w:cs="宋体"/>
          <w:spacing w:val="-14"/>
          <w:position w:val="17"/>
          <w:sz w:val="24"/>
          <w:szCs w:val="24"/>
        </w:rPr>
        <w:t xml:space="preserve"> </w:t>
      </w:r>
      <w:r>
        <w:rPr>
          <w:rFonts w:ascii="Times New Roman" w:hAnsi="Times New Roman" w:eastAsia="Times New Roman" w:cs="Times New Roman"/>
          <w:spacing w:val="-7"/>
          <w:position w:val="17"/>
          <w:sz w:val="24"/>
          <w:szCs w:val="24"/>
        </w:rPr>
        <w:t>12</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7"/>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7"/>
          <w:position w:val="17"/>
          <w:sz w:val="24"/>
          <w:szCs w:val="24"/>
        </w:rPr>
        <w:t xml:space="preserve">22  </w:t>
      </w:r>
      <w:r>
        <w:rPr>
          <w:rFonts w:ascii="宋体" w:hAnsi="宋体" w:eastAsia="宋体" w:cs="宋体"/>
          <w:spacing w:val="-7"/>
          <w:position w:val="17"/>
          <w:sz w:val="24"/>
          <w:szCs w:val="24"/>
        </w:rPr>
        <w:t>日</w:t>
      </w:r>
      <w:r>
        <w:rPr>
          <w:rFonts w:ascii="Times New Roman" w:hAnsi="Times New Roman" w:eastAsia="Times New Roman" w:cs="Times New Roman"/>
          <w:spacing w:val="-7"/>
          <w:position w:val="17"/>
          <w:sz w:val="24"/>
          <w:szCs w:val="24"/>
        </w:rPr>
        <w:t>)</w:t>
      </w:r>
      <w:r>
        <w:rPr>
          <w:rFonts w:ascii="宋体" w:hAnsi="宋体" w:eastAsia="宋体" w:cs="宋体"/>
          <w:spacing w:val="-7"/>
          <w:position w:val="17"/>
          <w:sz w:val="24"/>
          <w:szCs w:val="24"/>
        </w:rPr>
        <w:t>；</w:t>
      </w:r>
    </w:p>
    <w:p>
      <w:pPr>
        <w:spacing w:line="212" w:lineRule="auto"/>
        <w:ind w:left="481"/>
        <w:rPr>
          <w:rFonts w:ascii="宋体" w:hAnsi="宋体" w:eastAsia="宋体" w:cs="宋体"/>
          <w:sz w:val="24"/>
          <w:szCs w:val="24"/>
        </w:rPr>
      </w:pPr>
      <w:r>
        <w:rPr>
          <w:rFonts w:ascii="Times New Roman" w:hAnsi="Times New Roman" w:eastAsia="Times New Roman" w:cs="Times New Roman"/>
          <w:spacing w:val="-6"/>
          <w:sz w:val="24"/>
          <w:szCs w:val="24"/>
        </w:rPr>
        <w:t>6</w:t>
      </w:r>
      <w:r>
        <w:rPr>
          <w:rFonts w:ascii="宋体" w:hAnsi="宋体" w:eastAsia="宋体" w:cs="宋体"/>
          <w:spacing w:val="-6"/>
          <w:sz w:val="24"/>
          <w:szCs w:val="24"/>
        </w:rPr>
        <w:t>）《石油天然气开采业污染防治技术政策》</w:t>
      </w:r>
      <w:r>
        <w:rPr>
          <w:rFonts w:ascii="Times New Roman" w:hAnsi="Times New Roman" w:eastAsia="Times New Roman" w:cs="Times New Roman"/>
          <w:spacing w:val="-7"/>
          <w:sz w:val="24"/>
          <w:szCs w:val="24"/>
        </w:rPr>
        <w:t xml:space="preserve">(2012 </w:t>
      </w:r>
      <w:r>
        <w:rPr>
          <w:rFonts w:ascii="宋体" w:hAnsi="宋体" w:eastAsia="宋体" w:cs="宋体"/>
          <w:spacing w:val="-7"/>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月</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 xml:space="preserve">7  </w:t>
      </w:r>
      <w:r>
        <w:rPr>
          <w:rFonts w:ascii="宋体" w:hAnsi="宋体" w:eastAsia="宋体" w:cs="宋体"/>
          <w:spacing w:val="-7"/>
          <w:sz w:val="24"/>
          <w:szCs w:val="24"/>
        </w:rPr>
        <w:t>日</w:t>
      </w:r>
      <w:r>
        <w:rPr>
          <w:rFonts w:ascii="Times New Roman" w:hAnsi="Times New Roman" w:eastAsia="Times New Roman" w:cs="Times New Roman"/>
          <w:spacing w:val="-7"/>
          <w:sz w:val="24"/>
          <w:szCs w:val="24"/>
        </w:rPr>
        <w:t>)</w:t>
      </w:r>
      <w:r>
        <w:rPr>
          <w:rFonts w:ascii="宋体" w:hAnsi="宋体" w:eastAsia="宋体" w:cs="宋体"/>
          <w:spacing w:val="-7"/>
          <w:sz w:val="24"/>
          <w:szCs w:val="24"/>
        </w:rPr>
        <w:t>；</w:t>
      </w:r>
    </w:p>
    <w:p>
      <w:pPr>
        <w:spacing w:before="191" w:line="220" w:lineRule="auto"/>
        <w:ind w:left="480"/>
        <w:rPr>
          <w:rFonts w:ascii="宋体" w:hAnsi="宋体" w:eastAsia="宋体" w:cs="宋体"/>
          <w:sz w:val="24"/>
          <w:szCs w:val="24"/>
        </w:rPr>
      </w:pPr>
      <w:r>
        <w:rPr>
          <w:rFonts w:ascii="Times New Roman" w:hAnsi="Times New Roman" w:eastAsia="Times New Roman" w:cs="Times New Roman"/>
          <w:spacing w:val="-15"/>
          <w:sz w:val="24"/>
          <w:szCs w:val="24"/>
        </w:rPr>
        <w:t>7</w:t>
      </w:r>
      <w:r>
        <w:rPr>
          <w:rFonts w:ascii="宋体" w:hAnsi="宋体" w:eastAsia="宋体" w:cs="宋体"/>
          <w:spacing w:val="-15"/>
          <w:sz w:val="24"/>
          <w:szCs w:val="24"/>
        </w:rPr>
        <w:t>）《土壤污染防治行动计划》（</w:t>
      </w:r>
      <w:r>
        <w:rPr>
          <w:rFonts w:ascii="Times New Roman" w:hAnsi="Times New Roman" w:eastAsia="Times New Roman" w:cs="Times New Roman"/>
          <w:spacing w:val="-15"/>
          <w:sz w:val="24"/>
          <w:szCs w:val="24"/>
        </w:rPr>
        <w:t>2016</w:t>
      </w:r>
      <w:r>
        <w:rPr>
          <w:rFonts w:ascii="Times New Roman" w:hAnsi="Times New Roman" w:eastAsia="Times New Roman" w:cs="Times New Roman"/>
          <w:spacing w:val="10"/>
          <w:sz w:val="24"/>
          <w:szCs w:val="24"/>
        </w:rPr>
        <w:t xml:space="preserve"> </w:t>
      </w:r>
      <w:r>
        <w:rPr>
          <w:rFonts w:ascii="宋体" w:hAnsi="宋体" w:eastAsia="宋体" w:cs="宋体"/>
          <w:spacing w:val="-15"/>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15"/>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 xml:space="preserve">28  </w:t>
      </w:r>
      <w:r>
        <w:rPr>
          <w:rFonts w:ascii="宋体" w:hAnsi="宋体" w:eastAsia="宋体" w:cs="宋体"/>
          <w:spacing w:val="-15"/>
          <w:sz w:val="24"/>
          <w:szCs w:val="24"/>
        </w:rPr>
        <w:t>日</w:t>
      </w:r>
      <w:r>
        <w:rPr>
          <w:rFonts w:ascii="宋体" w:hAnsi="宋体" w:eastAsia="宋体" w:cs="宋体"/>
          <w:spacing w:val="-41"/>
          <w:sz w:val="24"/>
          <w:szCs w:val="24"/>
        </w:rPr>
        <w:t>）；</w:t>
      </w:r>
    </w:p>
    <w:p>
      <w:pPr>
        <w:spacing w:before="183" w:line="468" w:lineRule="exact"/>
        <w:ind w:left="486"/>
        <w:rPr>
          <w:rFonts w:ascii="宋体" w:hAnsi="宋体" w:eastAsia="宋体" w:cs="宋体"/>
          <w:sz w:val="24"/>
          <w:szCs w:val="24"/>
        </w:rPr>
      </w:pPr>
      <w:r>
        <w:rPr>
          <w:rFonts w:ascii="Times New Roman" w:hAnsi="Times New Roman" w:eastAsia="Times New Roman" w:cs="Times New Roman"/>
          <w:spacing w:val="-16"/>
          <w:position w:val="17"/>
          <w:sz w:val="24"/>
          <w:szCs w:val="24"/>
        </w:rPr>
        <w:t>8</w:t>
      </w:r>
      <w:r>
        <w:rPr>
          <w:rFonts w:ascii="宋体" w:hAnsi="宋体" w:eastAsia="宋体" w:cs="宋体"/>
          <w:spacing w:val="-16"/>
          <w:position w:val="17"/>
          <w:sz w:val="24"/>
          <w:szCs w:val="24"/>
        </w:rPr>
        <w:t>）《四川省环境保护条例》（</w:t>
      </w:r>
      <w:r>
        <w:rPr>
          <w:rFonts w:ascii="Times New Roman" w:hAnsi="Times New Roman" w:eastAsia="Times New Roman" w:cs="Times New Roman"/>
          <w:spacing w:val="-16"/>
          <w:position w:val="17"/>
          <w:sz w:val="24"/>
          <w:szCs w:val="24"/>
        </w:rPr>
        <w:t>2017</w:t>
      </w:r>
      <w:r>
        <w:rPr>
          <w:rFonts w:ascii="Times New Roman" w:hAnsi="Times New Roman" w:eastAsia="Times New Roman" w:cs="Times New Roman"/>
          <w:spacing w:val="12"/>
          <w:position w:val="17"/>
          <w:sz w:val="24"/>
          <w:szCs w:val="24"/>
        </w:rPr>
        <w:t xml:space="preserve"> </w:t>
      </w:r>
      <w:r>
        <w:rPr>
          <w:rFonts w:ascii="宋体" w:hAnsi="宋体" w:eastAsia="宋体" w:cs="宋体"/>
          <w:spacing w:val="-16"/>
          <w:position w:val="17"/>
          <w:sz w:val="24"/>
          <w:szCs w:val="24"/>
        </w:rPr>
        <w:t>年</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6"/>
          <w:position w:val="17"/>
          <w:sz w:val="24"/>
          <w:szCs w:val="24"/>
        </w:rPr>
        <w:t>9</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16"/>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6"/>
          <w:position w:val="17"/>
          <w:sz w:val="24"/>
          <w:szCs w:val="24"/>
        </w:rPr>
        <w:t xml:space="preserve">22  </w:t>
      </w:r>
      <w:r>
        <w:rPr>
          <w:rFonts w:ascii="宋体" w:hAnsi="宋体" w:eastAsia="宋体" w:cs="宋体"/>
          <w:spacing w:val="-17"/>
          <w:position w:val="17"/>
          <w:sz w:val="24"/>
          <w:szCs w:val="24"/>
        </w:rPr>
        <w:t xml:space="preserve">日修订， </w:t>
      </w:r>
      <w:r>
        <w:rPr>
          <w:rFonts w:ascii="Times New Roman" w:hAnsi="Times New Roman" w:eastAsia="Times New Roman" w:cs="Times New Roman"/>
          <w:spacing w:val="-17"/>
          <w:position w:val="17"/>
          <w:sz w:val="24"/>
          <w:szCs w:val="24"/>
        </w:rPr>
        <w:t>2018</w:t>
      </w:r>
      <w:r>
        <w:rPr>
          <w:rFonts w:ascii="Times New Roman" w:hAnsi="Times New Roman" w:eastAsia="Times New Roman" w:cs="Times New Roman"/>
          <w:spacing w:val="10"/>
          <w:position w:val="17"/>
          <w:sz w:val="24"/>
          <w:szCs w:val="24"/>
        </w:rPr>
        <w:t xml:space="preserve"> </w:t>
      </w:r>
      <w:r>
        <w:rPr>
          <w:rFonts w:ascii="宋体" w:hAnsi="宋体" w:eastAsia="宋体" w:cs="宋体"/>
          <w:spacing w:val="-17"/>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7"/>
          <w:position w:val="17"/>
          <w:sz w:val="24"/>
          <w:szCs w:val="24"/>
        </w:rPr>
        <w:t>1</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17"/>
          <w:position w:val="17"/>
          <w:sz w:val="24"/>
          <w:szCs w:val="24"/>
        </w:rPr>
        <w:t>月</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7"/>
          <w:position w:val="17"/>
          <w:sz w:val="24"/>
          <w:szCs w:val="24"/>
        </w:rPr>
        <w:t xml:space="preserve">1  </w:t>
      </w:r>
      <w:r>
        <w:rPr>
          <w:rFonts w:ascii="宋体" w:hAnsi="宋体" w:eastAsia="宋体" w:cs="宋体"/>
          <w:spacing w:val="-17"/>
          <w:position w:val="17"/>
          <w:sz w:val="24"/>
          <w:szCs w:val="24"/>
        </w:rPr>
        <w:t>日施行</w:t>
      </w:r>
      <w:r>
        <w:rPr>
          <w:rFonts w:ascii="宋体" w:hAnsi="宋体" w:eastAsia="宋体" w:cs="宋体"/>
          <w:spacing w:val="-24"/>
          <w:position w:val="17"/>
          <w:sz w:val="24"/>
          <w:szCs w:val="24"/>
        </w:rPr>
        <w:t>）；</w:t>
      </w:r>
    </w:p>
    <w:p>
      <w:pPr>
        <w:spacing w:before="1" w:line="218" w:lineRule="auto"/>
        <w:ind w:left="481"/>
        <w:rPr>
          <w:rFonts w:ascii="宋体" w:hAnsi="宋体" w:eastAsia="宋体" w:cs="宋体"/>
          <w:sz w:val="24"/>
          <w:szCs w:val="24"/>
        </w:rPr>
      </w:pPr>
      <w:r>
        <w:rPr>
          <w:rFonts w:ascii="Times New Roman" w:hAnsi="Times New Roman" w:eastAsia="Times New Roman" w:cs="Times New Roman"/>
          <w:spacing w:val="-21"/>
          <w:sz w:val="24"/>
          <w:szCs w:val="24"/>
        </w:rPr>
        <w:t>9</w:t>
      </w:r>
      <w:r>
        <w:rPr>
          <w:rFonts w:ascii="宋体" w:hAnsi="宋体" w:eastAsia="宋体" w:cs="宋体"/>
          <w:spacing w:val="-21"/>
          <w:sz w:val="24"/>
          <w:szCs w:val="24"/>
        </w:rPr>
        <w:t>）《地下水管理条例》（国令第</w:t>
      </w:r>
      <w:r>
        <w:rPr>
          <w:rFonts w:ascii="宋体" w:hAnsi="宋体" w:eastAsia="宋体" w:cs="宋体"/>
          <w:spacing w:val="-20"/>
          <w:sz w:val="24"/>
          <w:szCs w:val="24"/>
        </w:rPr>
        <w:t xml:space="preserve"> </w:t>
      </w:r>
      <w:r>
        <w:rPr>
          <w:rFonts w:ascii="Times New Roman" w:hAnsi="Times New Roman" w:eastAsia="Times New Roman" w:cs="Times New Roman"/>
          <w:spacing w:val="-21"/>
          <w:sz w:val="24"/>
          <w:szCs w:val="24"/>
        </w:rPr>
        <w:t>748</w:t>
      </w:r>
      <w:r>
        <w:rPr>
          <w:rFonts w:ascii="Times New Roman" w:hAnsi="Times New Roman" w:eastAsia="Times New Roman" w:cs="Times New Roman"/>
          <w:spacing w:val="15"/>
          <w:sz w:val="24"/>
          <w:szCs w:val="24"/>
        </w:rPr>
        <w:t xml:space="preserve"> </w:t>
      </w:r>
      <w:r>
        <w:rPr>
          <w:rFonts w:ascii="宋体" w:hAnsi="宋体" w:eastAsia="宋体" w:cs="宋体"/>
          <w:spacing w:val="-21"/>
          <w:sz w:val="24"/>
          <w:szCs w:val="24"/>
        </w:rPr>
        <w:t>号）。</w:t>
      </w:r>
    </w:p>
    <w:p>
      <w:pPr>
        <w:pStyle w:val="2"/>
        <w:spacing w:line="267" w:lineRule="auto"/>
        <w:rPr>
          <w:sz w:val="21"/>
        </w:rPr>
      </w:pPr>
    </w:p>
    <w:p>
      <w:pPr>
        <w:spacing w:before="92" w:line="220" w:lineRule="auto"/>
        <w:ind w:left="10"/>
        <w:rPr>
          <w:rFonts w:ascii="宋体" w:hAnsi="宋体" w:eastAsia="宋体" w:cs="宋体"/>
          <w:sz w:val="28"/>
          <w:szCs w:val="28"/>
        </w:rPr>
      </w:pPr>
      <w:r>
        <w:rPr>
          <w:rFonts w:ascii="Times New Roman" w:hAnsi="Times New Roman" w:eastAsia="Times New Roman" w:cs="Times New Roman"/>
          <w:b/>
          <w:bCs/>
          <w:spacing w:val="-3"/>
          <w:sz w:val="28"/>
          <w:szCs w:val="28"/>
        </w:rPr>
        <w:t>1.2.2</w:t>
      </w:r>
      <w:r>
        <w:rPr>
          <w:rFonts w:ascii="Times New Roman" w:hAnsi="Times New Roman" w:eastAsia="Times New Roman" w:cs="Times New Roman"/>
          <w:b/>
          <w:bCs/>
          <w:spacing w:val="20"/>
          <w:sz w:val="28"/>
          <w:szCs w:val="28"/>
        </w:rPr>
        <w:t xml:space="preserve">  </w:t>
      </w:r>
      <w:r>
        <w:rPr>
          <w:rFonts w:ascii="宋体" w:hAnsi="宋体" w:eastAsia="宋体" w:cs="宋体"/>
          <w:spacing w:val="-3"/>
          <w:sz w:val="28"/>
          <w:szCs w:val="28"/>
          <w14:textOutline w14:w="5094" w14:cap="flat" w14:cmpd="sng">
            <w14:solidFill>
              <w14:srgbClr w14:val="000000"/>
            </w14:solidFill>
            <w14:prstDash w14:val="solid"/>
            <w14:miter w14:val="10"/>
          </w14:textOutline>
        </w:rPr>
        <w:t>相关技术规范</w:t>
      </w:r>
    </w:p>
    <w:p>
      <w:pPr>
        <w:pStyle w:val="2"/>
        <w:spacing w:line="274" w:lineRule="auto"/>
        <w:rPr>
          <w:sz w:val="21"/>
        </w:rPr>
      </w:pPr>
    </w:p>
    <w:p>
      <w:pPr>
        <w:spacing w:before="78" w:line="468" w:lineRule="exact"/>
        <w:ind w:left="499"/>
        <w:rPr>
          <w:rFonts w:ascii="宋体" w:hAnsi="宋体" w:eastAsia="宋体" w:cs="宋体"/>
          <w:sz w:val="24"/>
          <w:szCs w:val="24"/>
        </w:rPr>
      </w:pPr>
      <w:r>
        <w:rPr>
          <w:rFonts w:ascii="Times New Roman" w:hAnsi="Times New Roman" w:eastAsia="Times New Roman" w:cs="Times New Roman"/>
          <w:spacing w:val="-5"/>
          <w:position w:val="17"/>
          <w:sz w:val="24"/>
          <w:szCs w:val="24"/>
        </w:rPr>
        <w:t>1</w:t>
      </w:r>
      <w:r>
        <w:rPr>
          <w:rFonts w:ascii="宋体" w:hAnsi="宋体" w:eastAsia="宋体" w:cs="宋体"/>
          <w:spacing w:val="-5"/>
          <w:position w:val="17"/>
          <w:sz w:val="24"/>
          <w:szCs w:val="24"/>
        </w:rPr>
        <w:t>）《建设项目环境影响评价技术导则总纲》</w:t>
      </w:r>
      <w:r>
        <w:rPr>
          <w:rFonts w:ascii="Times New Roman" w:hAnsi="Times New Roman" w:eastAsia="Times New Roman" w:cs="Times New Roman"/>
          <w:spacing w:val="-5"/>
          <w:position w:val="17"/>
          <w:sz w:val="24"/>
          <w:szCs w:val="24"/>
        </w:rPr>
        <w:t>(HJ2.1-2016)</w:t>
      </w:r>
      <w:r>
        <w:rPr>
          <w:rFonts w:ascii="宋体" w:hAnsi="宋体" w:eastAsia="宋体" w:cs="宋体"/>
          <w:spacing w:val="-5"/>
          <w:position w:val="17"/>
          <w:sz w:val="24"/>
          <w:szCs w:val="24"/>
        </w:rPr>
        <w:t>；</w:t>
      </w:r>
    </w:p>
    <w:p>
      <w:pPr>
        <w:spacing w:line="212" w:lineRule="auto"/>
        <w:ind w:left="476"/>
        <w:rPr>
          <w:rFonts w:ascii="宋体" w:hAnsi="宋体" w:eastAsia="宋体" w:cs="宋体"/>
          <w:sz w:val="24"/>
          <w:szCs w:val="24"/>
        </w:rPr>
      </w:pPr>
      <w:r>
        <w:rPr>
          <w:rFonts w:ascii="Times New Roman" w:hAnsi="Times New Roman" w:eastAsia="Times New Roman" w:cs="Times New Roman"/>
          <w:spacing w:val="-5"/>
          <w:sz w:val="24"/>
          <w:szCs w:val="24"/>
        </w:rPr>
        <w:t>2</w:t>
      </w:r>
      <w:r>
        <w:rPr>
          <w:rFonts w:ascii="宋体" w:hAnsi="宋体" w:eastAsia="宋体" w:cs="宋体"/>
          <w:spacing w:val="-5"/>
          <w:sz w:val="24"/>
          <w:szCs w:val="24"/>
        </w:rPr>
        <w:t>）《环境影响评价技术导则</w:t>
      </w:r>
      <w:r>
        <w:rPr>
          <w:rFonts w:ascii="宋体" w:hAnsi="宋体" w:eastAsia="宋体" w:cs="宋体"/>
          <w:spacing w:val="35"/>
          <w:sz w:val="24"/>
          <w:szCs w:val="24"/>
        </w:rPr>
        <w:t xml:space="preserve"> </w:t>
      </w:r>
      <w:r>
        <w:rPr>
          <w:rFonts w:ascii="宋体" w:hAnsi="宋体" w:eastAsia="宋体" w:cs="宋体"/>
          <w:spacing w:val="-5"/>
          <w:sz w:val="24"/>
          <w:szCs w:val="24"/>
        </w:rPr>
        <w:t>地表水环境》</w:t>
      </w:r>
      <w:r>
        <w:rPr>
          <w:rFonts w:ascii="Times New Roman" w:hAnsi="Times New Roman" w:eastAsia="Times New Roman" w:cs="Times New Roman"/>
          <w:spacing w:val="-5"/>
          <w:sz w:val="24"/>
          <w:szCs w:val="24"/>
        </w:rPr>
        <w:t>(HJ2.3-2018)</w:t>
      </w:r>
      <w:r>
        <w:rPr>
          <w:rFonts w:ascii="宋体" w:hAnsi="宋体" w:eastAsia="宋体" w:cs="宋体"/>
          <w:spacing w:val="-5"/>
          <w:sz w:val="24"/>
          <w:szCs w:val="24"/>
        </w:rPr>
        <w:t>；</w:t>
      </w:r>
    </w:p>
    <w:p>
      <w:pPr>
        <w:spacing w:before="193" w:line="212" w:lineRule="auto"/>
        <w:ind w:left="481"/>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）《环境影响评价技术导则</w:t>
      </w:r>
      <w:r>
        <w:rPr>
          <w:rFonts w:ascii="宋体" w:hAnsi="宋体" w:eastAsia="宋体" w:cs="宋体"/>
          <w:spacing w:val="31"/>
          <w:sz w:val="24"/>
          <w:szCs w:val="24"/>
        </w:rPr>
        <w:t xml:space="preserve"> </w:t>
      </w:r>
      <w:r>
        <w:rPr>
          <w:rFonts w:ascii="宋体" w:hAnsi="宋体" w:eastAsia="宋体" w:cs="宋体"/>
          <w:spacing w:val="-5"/>
          <w:sz w:val="24"/>
          <w:szCs w:val="24"/>
        </w:rPr>
        <w:t>地下水环境》</w:t>
      </w:r>
      <w:r>
        <w:rPr>
          <w:rFonts w:ascii="Times New Roman" w:hAnsi="Times New Roman" w:eastAsia="Times New Roman" w:cs="Times New Roman"/>
          <w:spacing w:val="-5"/>
          <w:sz w:val="24"/>
          <w:szCs w:val="24"/>
        </w:rPr>
        <w:t>(HJ610-2016)</w:t>
      </w:r>
      <w:r>
        <w:rPr>
          <w:rFonts w:ascii="宋体" w:hAnsi="宋体" w:eastAsia="宋体" w:cs="宋体"/>
          <w:spacing w:val="-5"/>
          <w:sz w:val="24"/>
          <w:szCs w:val="24"/>
        </w:rPr>
        <w:t>；</w:t>
      </w:r>
    </w:p>
    <w:p>
      <w:pPr>
        <w:spacing w:before="192" w:line="468" w:lineRule="exact"/>
        <w:ind w:left="475"/>
        <w:rPr>
          <w:rFonts w:ascii="宋体" w:hAnsi="宋体" w:eastAsia="宋体" w:cs="宋体"/>
          <w:sz w:val="24"/>
          <w:szCs w:val="24"/>
        </w:rPr>
      </w:pPr>
      <w:r>
        <w:rPr>
          <w:rFonts w:ascii="Times New Roman" w:hAnsi="Times New Roman" w:eastAsia="Times New Roman" w:cs="Times New Roman"/>
          <w:spacing w:val="-4"/>
          <w:position w:val="17"/>
          <w:sz w:val="24"/>
          <w:szCs w:val="24"/>
        </w:rPr>
        <w:t>4</w:t>
      </w:r>
      <w:r>
        <w:rPr>
          <w:rFonts w:ascii="宋体" w:hAnsi="宋体" w:eastAsia="宋体" w:cs="宋体"/>
          <w:spacing w:val="-4"/>
          <w:position w:val="17"/>
          <w:sz w:val="24"/>
          <w:szCs w:val="24"/>
        </w:rPr>
        <w:t>）《环境影响评价技术导则</w:t>
      </w:r>
      <w:r>
        <w:rPr>
          <w:rFonts w:ascii="宋体" w:hAnsi="宋体" w:eastAsia="宋体" w:cs="宋体"/>
          <w:spacing w:val="44"/>
          <w:position w:val="17"/>
          <w:sz w:val="24"/>
          <w:szCs w:val="24"/>
        </w:rPr>
        <w:t xml:space="preserve"> </w:t>
      </w:r>
      <w:r>
        <w:rPr>
          <w:rFonts w:ascii="宋体" w:hAnsi="宋体" w:eastAsia="宋体" w:cs="宋体"/>
          <w:spacing w:val="-4"/>
          <w:position w:val="17"/>
          <w:sz w:val="24"/>
          <w:szCs w:val="24"/>
        </w:rPr>
        <w:t>陆地石油天然气开发建设项目》</w:t>
      </w:r>
      <w:r>
        <w:rPr>
          <w:rFonts w:ascii="Times New Roman" w:hAnsi="Times New Roman" w:eastAsia="Times New Roman" w:cs="Times New Roman"/>
          <w:spacing w:val="-4"/>
          <w:position w:val="17"/>
          <w:sz w:val="24"/>
          <w:szCs w:val="24"/>
        </w:rPr>
        <w:t>(HJ349</w:t>
      </w:r>
      <w:r>
        <w:rPr>
          <w:rFonts w:ascii="Times New Roman" w:hAnsi="Times New Roman" w:eastAsia="Times New Roman" w:cs="Times New Roman"/>
          <w:spacing w:val="-5"/>
          <w:position w:val="17"/>
          <w:sz w:val="24"/>
          <w:szCs w:val="24"/>
        </w:rPr>
        <w:t>-2023)</w:t>
      </w:r>
      <w:r>
        <w:rPr>
          <w:rFonts w:ascii="宋体" w:hAnsi="宋体" w:eastAsia="宋体" w:cs="宋体"/>
          <w:spacing w:val="-5"/>
          <w:position w:val="17"/>
          <w:sz w:val="24"/>
          <w:szCs w:val="24"/>
        </w:rPr>
        <w:t>；</w:t>
      </w:r>
    </w:p>
    <w:p>
      <w:pPr>
        <w:spacing w:line="212" w:lineRule="auto"/>
        <w:ind w:left="483"/>
        <w:rPr>
          <w:rFonts w:ascii="宋体" w:hAnsi="宋体" w:eastAsia="宋体" w:cs="宋体"/>
          <w:sz w:val="24"/>
          <w:szCs w:val="24"/>
        </w:rPr>
      </w:pPr>
      <w:r>
        <w:rPr>
          <w:rFonts w:ascii="Times New Roman" w:hAnsi="Times New Roman" w:eastAsia="Times New Roman" w:cs="Times New Roman"/>
          <w:spacing w:val="-4"/>
          <w:sz w:val="24"/>
          <w:szCs w:val="24"/>
        </w:rPr>
        <w:t>5</w:t>
      </w:r>
      <w:r>
        <w:rPr>
          <w:rFonts w:ascii="宋体" w:hAnsi="宋体" w:eastAsia="宋体" w:cs="宋体"/>
          <w:spacing w:val="-4"/>
          <w:sz w:val="24"/>
          <w:szCs w:val="24"/>
        </w:rPr>
        <w:t>）《突发环境事件应急监测技术规范》</w:t>
      </w:r>
      <w:r>
        <w:rPr>
          <w:rFonts w:ascii="Times New Roman" w:hAnsi="Times New Roman" w:eastAsia="Times New Roman" w:cs="Times New Roman"/>
          <w:spacing w:val="-4"/>
          <w:sz w:val="24"/>
          <w:szCs w:val="24"/>
        </w:rPr>
        <w:t>(HJ589</w:t>
      </w:r>
      <w:r>
        <w:rPr>
          <w:rFonts w:ascii="Times New Roman" w:hAnsi="Times New Roman" w:eastAsia="Times New Roman" w:cs="Times New Roman"/>
          <w:spacing w:val="-5"/>
          <w:sz w:val="24"/>
          <w:szCs w:val="24"/>
        </w:rPr>
        <w:t>-2021)</w:t>
      </w:r>
      <w:r>
        <w:rPr>
          <w:rFonts w:ascii="宋体" w:hAnsi="宋体" w:eastAsia="宋体" w:cs="宋体"/>
          <w:spacing w:val="-5"/>
          <w:sz w:val="24"/>
          <w:szCs w:val="24"/>
        </w:rPr>
        <w:t>；</w:t>
      </w:r>
    </w:p>
    <w:p>
      <w:pPr>
        <w:spacing w:before="192" w:line="212" w:lineRule="auto"/>
        <w:ind w:left="481"/>
        <w:rPr>
          <w:rFonts w:ascii="宋体" w:hAnsi="宋体" w:eastAsia="宋体" w:cs="宋体"/>
          <w:sz w:val="24"/>
          <w:szCs w:val="24"/>
        </w:rPr>
      </w:pPr>
      <w:r>
        <w:rPr>
          <w:rFonts w:ascii="Times New Roman" w:hAnsi="Times New Roman" w:eastAsia="Times New Roman" w:cs="Times New Roman"/>
          <w:spacing w:val="-4"/>
          <w:sz w:val="24"/>
          <w:szCs w:val="24"/>
        </w:rPr>
        <w:t>6</w:t>
      </w:r>
      <w:r>
        <w:rPr>
          <w:rFonts w:ascii="宋体" w:hAnsi="宋体" w:eastAsia="宋体" w:cs="宋体"/>
          <w:spacing w:val="-4"/>
          <w:sz w:val="24"/>
          <w:szCs w:val="24"/>
        </w:rPr>
        <w:t>）《农村饮用水水源地环境保护技术指南》</w:t>
      </w:r>
      <w:r>
        <w:rPr>
          <w:rFonts w:ascii="Times New Roman" w:hAnsi="Times New Roman" w:eastAsia="Times New Roman" w:cs="Times New Roman"/>
          <w:spacing w:val="-4"/>
          <w:sz w:val="24"/>
          <w:szCs w:val="24"/>
        </w:rPr>
        <w:t>(HJ2032-2013)</w:t>
      </w:r>
      <w:r>
        <w:rPr>
          <w:rFonts w:ascii="宋体" w:hAnsi="宋体" w:eastAsia="宋体" w:cs="宋体"/>
          <w:spacing w:val="-4"/>
          <w:sz w:val="24"/>
          <w:szCs w:val="24"/>
        </w:rPr>
        <w:t>；</w:t>
      </w:r>
    </w:p>
    <w:p>
      <w:pPr>
        <w:spacing w:before="193" w:line="468" w:lineRule="exact"/>
        <w:ind w:left="480"/>
        <w:rPr>
          <w:rFonts w:ascii="宋体" w:hAnsi="宋体" w:eastAsia="宋体" w:cs="宋体"/>
          <w:sz w:val="24"/>
          <w:szCs w:val="24"/>
        </w:rPr>
      </w:pPr>
      <w:r>
        <w:rPr>
          <w:rFonts w:ascii="Times New Roman" w:hAnsi="Times New Roman" w:eastAsia="Times New Roman" w:cs="Times New Roman"/>
          <w:spacing w:val="-5"/>
          <w:position w:val="17"/>
          <w:sz w:val="24"/>
          <w:szCs w:val="24"/>
        </w:rPr>
        <w:t>7</w:t>
      </w:r>
      <w:r>
        <w:rPr>
          <w:rFonts w:ascii="宋体" w:hAnsi="宋体" w:eastAsia="宋体" w:cs="宋体"/>
          <w:spacing w:val="-5"/>
          <w:position w:val="17"/>
          <w:sz w:val="24"/>
          <w:szCs w:val="24"/>
        </w:rPr>
        <w:t>）《供水水文地质勘查规范》</w:t>
      </w:r>
      <w:r>
        <w:rPr>
          <w:rFonts w:ascii="Times New Roman" w:hAnsi="Times New Roman" w:eastAsia="Times New Roman" w:cs="Times New Roman"/>
          <w:spacing w:val="-5"/>
          <w:position w:val="17"/>
          <w:sz w:val="24"/>
          <w:szCs w:val="24"/>
        </w:rPr>
        <w:t>(GB50027-2001)</w:t>
      </w:r>
      <w:r>
        <w:rPr>
          <w:rFonts w:ascii="宋体" w:hAnsi="宋体" w:eastAsia="宋体" w:cs="宋体"/>
          <w:spacing w:val="-5"/>
          <w:position w:val="17"/>
          <w:sz w:val="24"/>
          <w:szCs w:val="24"/>
        </w:rPr>
        <w:t>；</w:t>
      </w:r>
    </w:p>
    <w:p>
      <w:pPr>
        <w:spacing w:line="212" w:lineRule="auto"/>
        <w:ind w:left="486"/>
        <w:rPr>
          <w:rFonts w:ascii="宋体" w:hAnsi="宋体" w:eastAsia="宋体" w:cs="宋体"/>
          <w:sz w:val="24"/>
          <w:szCs w:val="24"/>
        </w:rPr>
      </w:pPr>
      <w:r>
        <w:rPr>
          <w:rFonts w:ascii="Times New Roman" w:hAnsi="Times New Roman" w:eastAsia="Times New Roman" w:cs="Times New Roman"/>
          <w:spacing w:val="-5"/>
          <w:sz w:val="24"/>
          <w:szCs w:val="24"/>
        </w:rPr>
        <w:t>8</w:t>
      </w:r>
      <w:r>
        <w:rPr>
          <w:rFonts w:ascii="宋体" w:hAnsi="宋体" w:eastAsia="宋体" w:cs="宋体"/>
          <w:spacing w:val="-5"/>
          <w:sz w:val="24"/>
          <w:szCs w:val="24"/>
        </w:rPr>
        <w:t>）《地下水质量标准》</w:t>
      </w:r>
      <w:r>
        <w:rPr>
          <w:rFonts w:ascii="Times New Roman" w:hAnsi="Times New Roman" w:eastAsia="Times New Roman" w:cs="Times New Roman"/>
          <w:spacing w:val="-5"/>
          <w:sz w:val="24"/>
          <w:szCs w:val="24"/>
        </w:rPr>
        <w:t>(GB14848</w:t>
      </w:r>
      <w:r>
        <w:rPr>
          <w:rFonts w:ascii="Times New Roman" w:hAnsi="Times New Roman" w:eastAsia="Times New Roman" w:cs="Times New Roman"/>
          <w:spacing w:val="-6"/>
          <w:sz w:val="24"/>
          <w:szCs w:val="24"/>
        </w:rPr>
        <w:t>-2017)</w:t>
      </w:r>
      <w:r>
        <w:rPr>
          <w:rFonts w:ascii="宋体" w:hAnsi="宋体" w:eastAsia="宋体" w:cs="宋体"/>
          <w:spacing w:val="-6"/>
          <w:sz w:val="24"/>
          <w:szCs w:val="24"/>
        </w:rPr>
        <w:t>；</w:t>
      </w:r>
    </w:p>
    <w:p>
      <w:pPr>
        <w:spacing w:before="193" w:line="468" w:lineRule="exact"/>
        <w:ind w:left="481"/>
        <w:rPr>
          <w:rFonts w:ascii="宋体" w:hAnsi="宋体" w:eastAsia="宋体" w:cs="宋体"/>
          <w:sz w:val="24"/>
          <w:szCs w:val="24"/>
        </w:rPr>
      </w:pPr>
      <w:r>
        <w:rPr>
          <w:rFonts w:ascii="Times New Roman" w:hAnsi="Times New Roman" w:eastAsia="Times New Roman" w:cs="Times New Roman"/>
          <w:spacing w:val="-4"/>
          <w:position w:val="17"/>
          <w:sz w:val="24"/>
          <w:szCs w:val="24"/>
        </w:rPr>
        <w:t>9</w:t>
      </w:r>
      <w:r>
        <w:rPr>
          <w:rFonts w:ascii="宋体" w:hAnsi="宋体" w:eastAsia="宋体" w:cs="宋体"/>
          <w:spacing w:val="-4"/>
          <w:position w:val="17"/>
          <w:sz w:val="24"/>
          <w:szCs w:val="24"/>
        </w:rPr>
        <w:t>）《石油化工工程防渗技术规范》</w:t>
      </w:r>
      <w:r>
        <w:rPr>
          <w:rFonts w:ascii="Times New Roman" w:hAnsi="Times New Roman" w:eastAsia="Times New Roman" w:cs="Times New Roman"/>
          <w:spacing w:val="-4"/>
          <w:position w:val="17"/>
          <w:sz w:val="24"/>
          <w:szCs w:val="24"/>
        </w:rPr>
        <w:t>(GB/T50934-2013)</w:t>
      </w:r>
      <w:r>
        <w:rPr>
          <w:rFonts w:ascii="宋体" w:hAnsi="宋体" w:eastAsia="宋体" w:cs="宋体"/>
          <w:spacing w:val="-4"/>
          <w:position w:val="17"/>
          <w:sz w:val="24"/>
          <w:szCs w:val="24"/>
        </w:rPr>
        <w:t>；</w:t>
      </w:r>
    </w:p>
    <w:p>
      <w:pPr>
        <w:spacing w:line="219" w:lineRule="auto"/>
        <w:ind w:left="499"/>
        <w:rPr>
          <w:rFonts w:ascii="宋体" w:hAnsi="宋体" w:eastAsia="宋体" w:cs="宋体"/>
          <w:sz w:val="24"/>
          <w:szCs w:val="24"/>
        </w:rPr>
      </w:pPr>
      <w:r>
        <w:rPr>
          <w:rFonts w:ascii="Times New Roman" w:hAnsi="Times New Roman" w:eastAsia="Times New Roman" w:cs="Times New Roman"/>
          <w:spacing w:val="-10"/>
          <w:sz w:val="24"/>
          <w:szCs w:val="24"/>
        </w:rPr>
        <w:t>10</w:t>
      </w:r>
      <w:r>
        <w:rPr>
          <w:rFonts w:ascii="宋体" w:hAnsi="宋体" w:eastAsia="宋体" w:cs="宋体"/>
          <w:spacing w:val="-10"/>
          <w:sz w:val="24"/>
          <w:szCs w:val="24"/>
        </w:rPr>
        <w:t>）《地下水环境监测技术规范》（</w:t>
      </w:r>
      <w:r>
        <w:rPr>
          <w:rFonts w:ascii="Times New Roman" w:hAnsi="Times New Roman" w:eastAsia="Times New Roman" w:cs="Times New Roman"/>
          <w:spacing w:val="-10"/>
          <w:sz w:val="24"/>
          <w:szCs w:val="24"/>
        </w:rPr>
        <w:t>HJ164-2020</w:t>
      </w:r>
      <w:r>
        <w:rPr>
          <w:rFonts w:ascii="宋体" w:hAnsi="宋体" w:eastAsia="宋体" w:cs="宋体"/>
          <w:spacing w:val="-43"/>
          <w:sz w:val="24"/>
          <w:szCs w:val="24"/>
        </w:rPr>
        <w:t>）；</w:t>
      </w:r>
    </w:p>
    <w:p>
      <w:pPr>
        <w:spacing w:before="182" w:line="220" w:lineRule="auto"/>
        <w:ind w:left="499"/>
        <w:rPr>
          <w:rFonts w:ascii="宋体" w:hAnsi="宋体" w:eastAsia="宋体" w:cs="宋体"/>
          <w:sz w:val="24"/>
          <w:szCs w:val="24"/>
        </w:rPr>
      </w:pPr>
      <w:r>
        <w:rPr>
          <w:rFonts w:ascii="Times New Roman" w:hAnsi="Times New Roman" w:eastAsia="Times New Roman" w:cs="Times New Roman"/>
          <w:spacing w:val="-10"/>
          <w:sz w:val="24"/>
          <w:szCs w:val="24"/>
        </w:rPr>
        <w:t>11</w:t>
      </w:r>
      <w:r>
        <w:rPr>
          <w:rFonts w:ascii="宋体" w:hAnsi="宋体" w:eastAsia="宋体" w:cs="宋体"/>
          <w:spacing w:val="-10"/>
          <w:sz w:val="24"/>
          <w:szCs w:val="24"/>
        </w:rPr>
        <w:t>）《工业企业土壤和地下水自行监测技术指南（试行）》（</w:t>
      </w:r>
      <w:r>
        <w:rPr>
          <w:rFonts w:ascii="Times New Roman" w:hAnsi="Times New Roman" w:eastAsia="Times New Roman" w:cs="Times New Roman"/>
          <w:spacing w:val="-10"/>
          <w:sz w:val="24"/>
          <w:szCs w:val="24"/>
        </w:rPr>
        <w:t>HJ12</w:t>
      </w:r>
      <w:r>
        <w:rPr>
          <w:rFonts w:ascii="Times New Roman" w:hAnsi="Times New Roman" w:eastAsia="Times New Roman" w:cs="Times New Roman"/>
          <w:spacing w:val="-11"/>
          <w:sz w:val="24"/>
          <w:szCs w:val="24"/>
        </w:rPr>
        <w:t>09-2021</w:t>
      </w:r>
      <w:r>
        <w:rPr>
          <w:rFonts w:ascii="宋体" w:hAnsi="宋体" w:eastAsia="宋体" w:cs="宋体"/>
          <w:spacing w:val="-44"/>
          <w:sz w:val="24"/>
          <w:szCs w:val="24"/>
        </w:rPr>
        <w:t>）；</w:t>
      </w:r>
    </w:p>
    <w:p>
      <w:pPr>
        <w:spacing w:before="183" w:line="219" w:lineRule="auto"/>
        <w:ind w:left="499"/>
        <w:rPr>
          <w:rFonts w:ascii="宋体" w:hAnsi="宋体" w:eastAsia="宋体" w:cs="宋体"/>
          <w:sz w:val="24"/>
          <w:szCs w:val="24"/>
        </w:rPr>
      </w:pPr>
      <w:r>
        <w:rPr>
          <w:rFonts w:ascii="Times New Roman" w:hAnsi="Times New Roman" w:eastAsia="Times New Roman" w:cs="Times New Roman"/>
          <w:spacing w:val="-9"/>
          <w:sz w:val="24"/>
          <w:szCs w:val="24"/>
        </w:rPr>
        <w:t>12</w:t>
      </w:r>
      <w:r>
        <w:rPr>
          <w:rFonts w:ascii="宋体" w:hAnsi="宋体" w:eastAsia="宋体" w:cs="宋体"/>
          <w:spacing w:val="-9"/>
          <w:sz w:val="24"/>
          <w:szCs w:val="24"/>
        </w:rPr>
        <w:t>）《排污单位自行监测技术指南</w:t>
      </w:r>
      <w:r>
        <w:rPr>
          <w:rFonts w:ascii="宋体" w:hAnsi="宋体" w:eastAsia="宋体" w:cs="宋体"/>
          <w:spacing w:val="35"/>
          <w:sz w:val="24"/>
          <w:szCs w:val="24"/>
        </w:rPr>
        <w:t xml:space="preserve"> </w:t>
      </w:r>
      <w:r>
        <w:rPr>
          <w:rFonts w:ascii="宋体" w:hAnsi="宋体" w:eastAsia="宋体" w:cs="宋体"/>
          <w:spacing w:val="-9"/>
          <w:sz w:val="24"/>
          <w:szCs w:val="24"/>
        </w:rPr>
        <w:t>陆上石油天然气开采工业》（</w:t>
      </w:r>
      <w:r>
        <w:rPr>
          <w:rFonts w:ascii="Times New Roman" w:hAnsi="Times New Roman" w:eastAsia="Times New Roman" w:cs="Times New Roman"/>
          <w:spacing w:val="-9"/>
          <w:sz w:val="24"/>
          <w:szCs w:val="24"/>
        </w:rPr>
        <w:t>HJ1248-202</w:t>
      </w:r>
      <w:r>
        <w:rPr>
          <w:rFonts w:ascii="Times New Roman" w:hAnsi="Times New Roman" w:eastAsia="Times New Roman" w:cs="Times New Roman"/>
          <w:spacing w:val="-10"/>
          <w:sz w:val="24"/>
          <w:szCs w:val="24"/>
        </w:rPr>
        <w:t>2</w:t>
      </w:r>
      <w:r>
        <w:rPr>
          <w:rFonts w:ascii="宋体" w:hAnsi="宋体" w:eastAsia="宋体" w:cs="宋体"/>
          <w:spacing w:val="-10"/>
          <w:sz w:val="24"/>
          <w:szCs w:val="24"/>
        </w:rPr>
        <w:t>）。</w:t>
      </w:r>
    </w:p>
    <w:p>
      <w:pPr>
        <w:spacing w:before="338" w:line="225" w:lineRule="auto"/>
        <w:ind w:left="12"/>
        <w:rPr>
          <w:rFonts w:ascii="宋体" w:hAnsi="宋体" w:eastAsia="宋体" w:cs="宋体"/>
          <w:sz w:val="31"/>
          <w:szCs w:val="31"/>
        </w:rPr>
      </w:pPr>
      <w:bookmarkStart w:id="3" w:name="bookmark4"/>
      <w:bookmarkEnd w:id="3"/>
      <w:r>
        <w:rPr>
          <w:rFonts w:ascii="Times New Roman" w:hAnsi="Times New Roman" w:eastAsia="Times New Roman" w:cs="Times New Roman"/>
          <w:b/>
          <w:bCs/>
          <w:spacing w:val="7"/>
          <w:sz w:val="31"/>
          <w:szCs w:val="31"/>
        </w:rPr>
        <w:t>1.3</w:t>
      </w:r>
      <w:r>
        <w:rPr>
          <w:rFonts w:ascii="宋体" w:hAnsi="宋体" w:eastAsia="宋体" w:cs="宋体"/>
          <w:spacing w:val="7"/>
          <w:sz w:val="31"/>
          <w:szCs w:val="31"/>
          <w14:textOutline w14:w="5791" w14:cap="flat" w14:cmpd="sng">
            <w14:solidFill>
              <w14:srgbClr w14:val="000000"/>
            </w14:solidFill>
            <w14:prstDash w14:val="solid"/>
            <w14:miter w14:val="10"/>
          </w14:textOutline>
        </w:rPr>
        <w:t>工程概况</w:t>
      </w:r>
    </w:p>
    <w:p>
      <w:pPr>
        <w:pStyle w:val="2"/>
        <w:spacing w:line="247" w:lineRule="auto"/>
        <w:rPr>
          <w:sz w:val="21"/>
        </w:rPr>
      </w:pPr>
    </w:p>
    <w:p>
      <w:pPr>
        <w:spacing w:before="79" w:line="360" w:lineRule="auto"/>
        <w:ind w:firstLine="481"/>
        <w:rPr>
          <w:rFonts w:ascii="宋体" w:hAnsi="宋体" w:eastAsia="宋体" w:cs="宋体"/>
          <w:sz w:val="24"/>
          <w:szCs w:val="24"/>
        </w:rPr>
      </w:pPr>
      <w:r>
        <w:rPr>
          <w:rFonts w:ascii="宋体" w:hAnsi="宋体" w:eastAsia="宋体" w:cs="宋体"/>
          <w:spacing w:val="-2"/>
          <w:sz w:val="24"/>
          <w:szCs w:val="24"/>
        </w:rPr>
        <w:t>凤探</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井位于四川省达州市通川区江陵镇和平村</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组，该井别为勘探井，</w:t>
      </w:r>
      <w:r>
        <w:rPr>
          <w:rFonts w:ascii="宋体" w:hAnsi="宋体" w:eastAsia="宋体" w:cs="宋体"/>
          <w:spacing w:val="-3"/>
          <w:sz w:val="24"/>
          <w:szCs w:val="24"/>
        </w:rPr>
        <w:t>井型为</w:t>
      </w:r>
      <w:r>
        <w:rPr>
          <w:rFonts w:ascii="宋体" w:hAnsi="宋体" w:eastAsia="宋体" w:cs="宋体"/>
          <w:sz w:val="24"/>
          <w:szCs w:val="24"/>
        </w:rPr>
        <w:t xml:space="preserve"> </w:t>
      </w:r>
      <w:r>
        <w:rPr>
          <w:rFonts w:ascii="宋体" w:hAnsi="宋体" w:eastAsia="宋体" w:cs="宋体"/>
          <w:spacing w:val="-9"/>
          <w:sz w:val="24"/>
          <w:szCs w:val="24"/>
        </w:rPr>
        <w:t>直井，</w:t>
      </w:r>
      <w:r>
        <w:rPr>
          <w:rFonts w:ascii="宋体" w:hAnsi="宋体" w:eastAsia="宋体" w:cs="宋体"/>
          <w:spacing w:val="-27"/>
          <w:sz w:val="24"/>
          <w:szCs w:val="24"/>
        </w:rPr>
        <w:t xml:space="preserve"> </w:t>
      </w:r>
      <w:r>
        <w:rPr>
          <w:rFonts w:ascii="宋体" w:hAnsi="宋体" w:eastAsia="宋体" w:cs="宋体"/>
          <w:spacing w:val="-9"/>
          <w:sz w:val="24"/>
          <w:szCs w:val="24"/>
        </w:rPr>
        <w:t>设计井深</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7230m</w:t>
      </w:r>
      <w:r>
        <w:rPr>
          <w:rFonts w:ascii="宋体" w:hAnsi="宋体" w:eastAsia="宋体" w:cs="宋体"/>
          <w:spacing w:val="-9"/>
          <w:sz w:val="24"/>
          <w:szCs w:val="24"/>
        </w:rPr>
        <w:t>，一开段（</w:t>
      </w:r>
      <w:r>
        <w:rPr>
          <w:rFonts w:ascii="Times New Roman" w:hAnsi="Times New Roman" w:eastAsia="Times New Roman" w:cs="Times New Roman"/>
          <w:spacing w:val="-9"/>
          <w:sz w:val="24"/>
          <w:szCs w:val="24"/>
        </w:rPr>
        <w:t>0-50m</w:t>
      </w:r>
      <w:r>
        <w:rPr>
          <w:rFonts w:ascii="宋体" w:hAnsi="宋体" w:eastAsia="宋体" w:cs="宋体"/>
          <w:spacing w:val="-9"/>
          <w:sz w:val="24"/>
          <w:szCs w:val="24"/>
        </w:rPr>
        <w:t>）采用清水钻井液钻</w:t>
      </w:r>
      <w:r>
        <w:rPr>
          <w:rFonts w:ascii="宋体" w:hAnsi="宋体" w:eastAsia="宋体" w:cs="宋体"/>
          <w:spacing w:val="-10"/>
          <w:sz w:val="24"/>
          <w:szCs w:val="24"/>
        </w:rPr>
        <w:t>进， 二开段（</w:t>
      </w:r>
      <w:r>
        <w:rPr>
          <w:rFonts w:ascii="Times New Roman" w:hAnsi="Times New Roman" w:eastAsia="Times New Roman" w:cs="Times New Roman"/>
          <w:spacing w:val="-10"/>
          <w:sz w:val="24"/>
          <w:szCs w:val="24"/>
        </w:rPr>
        <w:t>50</w:t>
      </w:r>
      <w:r>
        <w:rPr>
          <w:rFonts w:ascii="宋体" w:hAnsi="宋体" w:eastAsia="宋体" w:cs="宋体"/>
          <w:spacing w:val="-10"/>
          <w:sz w:val="24"/>
          <w:szCs w:val="24"/>
        </w:rPr>
        <w:t>～</w:t>
      </w:r>
      <w:r>
        <w:rPr>
          <w:rFonts w:ascii="Times New Roman" w:hAnsi="Times New Roman" w:eastAsia="Times New Roman" w:cs="Times New Roman"/>
          <w:spacing w:val="-10"/>
          <w:sz w:val="24"/>
          <w:szCs w:val="24"/>
        </w:rPr>
        <w:t>800m</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4"/>
          <w:sz w:val="24"/>
          <w:szCs w:val="24"/>
        </w:rPr>
        <w:t>采用</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KCl</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聚合物钻井液钻进， 三开段（</w:t>
      </w:r>
      <w:r>
        <w:rPr>
          <w:rFonts w:ascii="Times New Roman" w:hAnsi="Times New Roman" w:eastAsia="Times New Roman" w:cs="Times New Roman"/>
          <w:spacing w:val="-4"/>
          <w:sz w:val="24"/>
          <w:szCs w:val="24"/>
        </w:rPr>
        <w:t>800~3990m</w:t>
      </w:r>
      <w:r>
        <w:rPr>
          <w:rFonts w:ascii="宋体" w:hAnsi="宋体" w:eastAsia="宋体" w:cs="宋体"/>
          <w:spacing w:val="-4"/>
          <w:sz w:val="24"/>
          <w:szCs w:val="24"/>
        </w:rPr>
        <w:t>）和四开段（</w:t>
      </w:r>
      <w:r>
        <w:rPr>
          <w:rFonts w:ascii="Times New Roman" w:hAnsi="Times New Roman" w:eastAsia="Times New Roman" w:cs="Times New Roman"/>
          <w:spacing w:val="-4"/>
          <w:sz w:val="24"/>
          <w:szCs w:val="24"/>
        </w:rPr>
        <w:t>399</w:t>
      </w:r>
      <w:r>
        <w:rPr>
          <w:rFonts w:ascii="Times New Roman" w:hAnsi="Times New Roman" w:eastAsia="Times New Roman" w:cs="Times New Roman"/>
          <w:spacing w:val="-5"/>
          <w:sz w:val="24"/>
          <w:szCs w:val="24"/>
        </w:rPr>
        <w:t>0~6800m</w:t>
      </w:r>
      <w:r>
        <w:rPr>
          <w:rFonts w:ascii="宋体" w:hAnsi="宋体" w:eastAsia="宋体" w:cs="宋体"/>
          <w:spacing w:val="-5"/>
          <w:sz w:val="24"/>
          <w:szCs w:val="24"/>
        </w:rPr>
        <w:t>）采用有</w:t>
      </w:r>
      <w:r>
        <w:rPr>
          <w:rFonts w:ascii="宋体" w:hAnsi="宋体" w:eastAsia="宋体" w:cs="宋体"/>
          <w:sz w:val="24"/>
          <w:szCs w:val="24"/>
        </w:rPr>
        <w:t xml:space="preserve"> </w:t>
      </w:r>
      <w:r>
        <w:rPr>
          <w:rFonts w:ascii="宋体" w:hAnsi="宋体" w:eastAsia="宋体" w:cs="宋体"/>
          <w:spacing w:val="-1"/>
          <w:sz w:val="24"/>
          <w:szCs w:val="24"/>
        </w:rPr>
        <w:t>机盐聚合物钻井液钻进， 五开段（</w:t>
      </w:r>
      <w:r>
        <w:rPr>
          <w:rFonts w:ascii="Times New Roman" w:hAnsi="Times New Roman" w:eastAsia="Times New Roman" w:cs="Times New Roman"/>
          <w:spacing w:val="-1"/>
          <w:sz w:val="24"/>
          <w:szCs w:val="24"/>
        </w:rPr>
        <w:t>6800</w:t>
      </w:r>
      <w:r>
        <w:rPr>
          <w:rFonts w:ascii="宋体" w:hAnsi="宋体" w:eastAsia="宋体" w:cs="宋体"/>
          <w:spacing w:val="-2"/>
          <w:sz w:val="24"/>
          <w:szCs w:val="24"/>
        </w:rPr>
        <w:t>～</w:t>
      </w:r>
      <w:r>
        <w:rPr>
          <w:rFonts w:ascii="Times New Roman" w:hAnsi="Times New Roman" w:eastAsia="Times New Roman" w:cs="Times New Roman"/>
          <w:spacing w:val="-2"/>
          <w:sz w:val="24"/>
          <w:szCs w:val="24"/>
        </w:rPr>
        <w:t>7135m</w:t>
      </w:r>
      <w:r>
        <w:rPr>
          <w:rFonts w:ascii="宋体" w:hAnsi="宋体" w:eastAsia="宋体" w:cs="宋体"/>
          <w:spacing w:val="-2"/>
          <w:sz w:val="24"/>
          <w:szCs w:val="24"/>
        </w:rPr>
        <w:t>）采用环保型去磺化钻井液钻进，六</w:t>
      </w:r>
      <w:r>
        <w:rPr>
          <w:rFonts w:ascii="宋体" w:hAnsi="宋体" w:eastAsia="宋体" w:cs="宋体"/>
          <w:sz w:val="24"/>
          <w:szCs w:val="24"/>
        </w:rPr>
        <w:t xml:space="preserve"> </w:t>
      </w:r>
      <w:r>
        <w:rPr>
          <w:rFonts w:ascii="宋体" w:hAnsi="宋体" w:eastAsia="宋体" w:cs="宋体"/>
          <w:spacing w:val="-8"/>
          <w:sz w:val="24"/>
          <w:szCs w:val="24"/>
        </w:rPr>
        <w:t>开段（</w:t>
      </w:r>
      <w:r>
        <w:rPr>
          <w:rFonts w:ascii="Times New Roman" w:hAnsi="Times New Roman" w:eastAsia="Times New Roman" w:cs="Times New Roman"/>
          <w:spacing w:val="-8"/>
          <w:sz w:val="24"/>
          <w:szCs w:val="24"/>
        </w:rPr>
        <w:t>7135~7230m</w:t>
      </w:r>
      <w:r>
        <w:rPr>
          <w:rFonts w:ascii="宋体" w:hAnsi="宋体" w:eastAsia="宋体" w:cs="宋体"/>
          <w:spacing w:val="-8"/>
          <w:sz w:val="24"/>
          <w:szCs w:val="24"/>
        </w:rPr>
        <w:t>）使用油基钻井液钻进。工程所在区域红层含水层</w:t>
      </w:r>
      <w:r>
        <w:rPr>
          <w:rFonts w:ascii="宋体" w:hAnsi="宋体" w:eastAsia="宋体" w:cs="宋体"/>
          <w:spacing w:val="-9"/>
          <w:sz w:val="24"/>
          <w:szCs w:val="24"/>
        </w:rPr>
        <w:t>厚度一般</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20~30m</w:t>
      </w:r>
      <w:r>
        <w:rPr>
          <w:rFonts w:ascii="宋体" w:hAnsi="宋体" w:eastAsia="宋体" w:cs="宋体"/>
          <w:spacing w:val="-9"/>
          <w:sz w:val="24"/>
          <w:szCs w:val="24"/>
        </w:rPr>
        <w:t>，</w:t>
      </w:r>
    </w:p>
    <w:p>
      <w:pPr>
        <w:spacing w:line="219" w:lineRule="auto"/>
        <w:ind w:left="24"/>
        <w:rPr>
          <w:rFonts w:ascii="宋体" w:hAnsi="宋体" w:eastAsia="宋体" w:cs="宋体"/>
          <w:sz w:val="24"/>
          <w:szCs w:val="24"/>
        </w:rPr>
      </w:pPr>
      <w:r>
        <w:rPr>
          <w:rFonts w:ascii="宋体" w:hAnsi="宋体" w:eastAsia="宋体" w:cs="宋体"/>
          <w:spacing w:val="-1"/>
          <w:sz w:val="24"/>
          <w:szCs w:val="24"/>
        </w:rPr>
        <w:t>同时根据现场浅层地下水水深情况及时调整导管段深度，保证一开段钻穿下游分散式</w:t>
      </w:r>
    </w:p>
    <w:p>
      <w:pPr>
        <w:spacing w:line="219" w:lineRule="auto"/>
        <w:rPr>
          <w:rFonts w:ascii="宋体" w:hAnsi="宋体" w:eastAsia="宋体" w:cs="宋体"/>
          <w:sz w:val="24"/>
          <w:szCs w:val="24"/>
        </w:rPr>
        <w:sectPr>
          <w:footerReference r:id="rId162" w:type="default"/>
          <w:pgSz w:w="11907" w:h="16839"/>
          <w:pgMar w:top="400" w:right="1347" w:bottom="879" w:left="1597" w:header="0" w:footer="717"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134"/>
        <w:rPr>
          <w:rFonts w:ascii="宋体" w:hAnsi="宋体" w:eastAsia="宋体" w:cs="宋体"/>
          <w:sz w:val="24"/>
          <w:szCs w:val="24"/>
        </w:rPr>
      </w:pPr>
      <w:r>
        <w:rPr>
          <w:rFonts w:ascii="宋体" w:hAnsi="宋体" w:eastAsia="宋体" w:cs="宋体"/>
          <w:spacing w:val="-5"/>
          <w:position w:val="17"/>
          <w:sz w:val="24"/>
          <w:szCs w:val="24"/>
        </w:rPr>
        <w:t>水井含水层厚度和地表水体底板深度，可有效保护地下水，</w:t>
      </w:r>
      <w:r>
        <w:rPr>
          <w:rFonts w:ascii="宋体" w:hAnsi="宋体" w:eastAsia="宋体" w:cs="宋体"/>
          <w:spacing w:val="64"/>
          <w:position w:val="17"/>
          <w:sz w:val="24"/>
          <w:szCs w:val="24"/>
        </w:rPr>
        <w:t xml:space="preserve"> </w:t>
      </w:r>
      <w:r>
        <w:rPr>
          <w:rFonts w:ascii="宋体" w:hAnsi="宋体" w:eastAsia="宋体" w:cs="宋体"/>
          <w:spacing w:val="-5"/>
          <w:position w:val="17"/>
          <w:sz w:val="24"/>
          <w:szCs w:val="24"/>
        </w:rPr>
        <w:t>采取以上措施后，本工程</w:t>
      </w:r>
    </w:p>
    <w:p>
      <w:pPr>
        <w:spacing w:line="219" w:lineRule="auto"/>
        <w:ind w:left="131"/>
        <w:rPr>
          <w:rFonts w:ascii="宋体" w:hAnsi="宋体" w:eastAsia="宋体" w:cs="宋体"/>
          <w:sz w:val="24"/>
          <w:szCs w:val="24"/>
        </w:rPr>
      </w:pPr>
      <w:r>
        <w:rPr>
          <w:rFonts w:ascii="宋体" w:hAnsi="宋体" w:eastAsia="宋体" w:cs="宋体"/>
          <w:spacing w:val="-5"/>
          <w:sz w:val="24"/>
          <w:szCs w:val="24"/>
        </w:rPr>
        <w:t>清水段设置合理。</w:t>
      </w:r>
    </w:p>
    <w:p>
      <w:pPr>
        <w:spacing w:before="182" w:line="220" w:lineRule="auto"/>
        <w:ind w:left="611"/>
        <w:rPr>
          <w:rFonts w:ascii="宋体" w:hAnsi="宋体" w:eastAsia="宋体" w:cs="宋体"/>
          <w:sz w:val="24"/>
          <w:szCs w:val="24"/>
        </w:rPr>
      </w:pPr>
      <w:r>
        <w:rPr>
          <w:rFonts w:ascii="宋体" w:hAnsi="宋体" w:eastAsia="宋体" w:cs="宋体"/>
          <w:spacing w:val="-5"/>
          <w:sz w:val="24"/>
          <w:szCs w:val="24"/>
        </w:rPr>
        <w:t>钻井工程主要内容见表</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pPr>
        <w:spacing w:before="103" w:line="212" w:lineRule="auto"/>
        <w:ind w:left="3215"/>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表</w:t>
      </w:r>
      <w:r>
        <w:rPr>
          <w:rFonts w:ascii="宋体" w:hAnsi="宋体" w:eastAsia="宋体" w:cs="宋体"/>
          <w:spacing w:val="-28"/>
          <w:sz w:val="24"/>
          <w:szCs w:val="24"/>
        </w:rPr>
        <w:t xml:space="preserve"> </w:t>
      </w:r>
      <w:r>
        <w:rPr>
          <w:rFonts w:ascii="Times New Roman" w:hAnsi="Times New Roman" w:eastAsia="Times New Roman" w:cs="Times New Roman"/>
          <w:b/>
          <w:bCs/>
          <w:spacing w:val="-2"/>
          <w:sz w:val="24"/>
          <w:szCs w:val="24"/>
        </w:rPr>
        <w:t xml:space="preserve">1.3-1    </w:t>
      </w:r>
      <w:r>
        <w:rPr>
          <w:rFonts w:ascii="宋体" w:hAnsi="宋体" w:eastAsia="宋体" w:cs="宋体"/>
          <w:spacing w:val="-2"/>
          <w:sz w:val="24"/>
          <w:szCs w:val="24"/>
          <w14:textOutline w14:w="4354" w14:cap="flat" w14:cmpd="sng">
            <w14:solidFill>
              <w14:srgbClr w14:val="000000"/>
            </w14:solidFill>
            <w14:prstDash w14:val="solid"/>
            <w14:miter w14:val="10"/>
          </w14:textOutline>
        </w:rPr>
        <w:t>建设内容一览表</w:t>
      </w:r>
    </w:p>
    <w:tbl>
      <w:tblPr>
        <w:tblStyle w:val="5"/>
        <w:tblW w:w="91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7"/>
        <w:gridCol w:w="7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737" w:type="dxa"/>
            <w:tcBorders>
              <w:top w:val="single" w:color="000000" w:sz="10" w:space="0"/>
              <w:left w:val="nil"/>
            </w:tcBorders>
            <w:vAlign w:val="top"/>
          </w:tcPr>
          <w:p>
            <w:pPr>
              <w:pStyle w:val="6"/>
              <w:spacing w:before="55" w:line="221" w:lineRule="auto"/>
              <w:ind w:left="465"/>
              <w:rPr>
                <w:sz w:val="21"/>
                <w:szCs w:val="21"/>
              </w:rPr>
            </w:pPr>
            <w:r>
              <w:rPr>
                <w:spacing w:val="-2"/>
                <w:sz w:val="21"/>
                <w:szCs w:val="21"/>
                <w14:textOutline w14:w="3831" w14:cap="flat" w14:cmpd="sng">
                  <w14:solidFill>
                    <w14:srgbClr w14:val="000000"/>
                  </w14:solidFill>
                  <w14:prstDash w14:val="solid"/>
                  <w14:miter w14:val="10"/>
                </w14:textOutline>
              </w:rPr>
              <w:t>项目组成</w:t>
            </w:r>
          </w:p>
        </w:tc>
        <w:tc>
          <w:tcPr>
            <w:tcW w:w="7393" w:type="dxa"/>
            <w:tcBorders>
              <w:top w:val="single" w:color="000000" w:sz="10" w:space="0"/>
              <w:right w:val="nil"/>
            </w:tcBorders>
            <w:vAlign w:val="top"/>
          </w:tcPr>
          <w:p>
            <w:pPr>
              <w:pStyle w:val="6"/>
              <w:spacing w:before="54" w:line="221" w:lineRule="auto"/>
              <w:ind w:left="2963"/>
              <w:rPr>
                <w:sz w:val="21"/>
                <w:szCs w:val="21"/>
              </w:rPr>
            </w:pPr>
            <w:r>
              <w:rPr>
                <w:spacing w:val="-1"/>
                <w:sz w:val="21"/>
                <w:szCs w:val="21"/>
                <w14:textOutline w14:w="3831" w14:cap="flat" w14:cmpd="sng">
                  <w14:solidFill>
                    <w14:srgbClr w14:val="000000"/>
                  </w14:solidFill>
                  <w14:prstDash w14:val="solid"/>
                  <w14:miter w14:val="10"/>
                </w14:textOutline>
              </w:rPr>
              <w:t>工程内容及规模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37" w:type="dxa"/>
            <w:tcBorders>
              <w:left w:val="nil"/>
            </w:tcBorders>
            <w:vAlign w:val="top"/>
          </w:tcPr>
          <w:p>
            <w:pPr>
              <w:pStyle w:val="6"/>
              <w:spacing w:before="50" w:line="221" w:lineRule="auto"/>
              <w:ind w:left="253"/>
              <w:rPr>
                <w:sz w:val="21"/>
                <w:szCs w:val="21"/>
              </w:rPr>
            </w:pPr>
            <w:r>
              <w:rPr>
                <w:spacing w:val="-1"/>
                <w:sz w:val="21"/>
                <w:szCs w:val="21"/>
              </w:rPr>
              <w:t>钻井设备安装</w:t>
            </w:r>
          </w:p>
        </w:tc>
        <w:tc>
          <w:tcPr>
            <w:tcW w:w="7393" w:type="dxa"/>
            <w:tcBorders>
              <w:right w:val="nil"/>
            </w:tcBorders>
            <w:vAlign w:val="top"/>
          </w:tcPr>
          <w:p>
            <w:pPr>
              <w:pStyle w:val="6"/>
              <w:spacing w:before="50" w:line="221" w:lineRule="auto"/>
              <w:ind w:left="2229"/>
              <w:rPr>
                <w:sz w:val="21"/>
                <w:szCs w:val="21"/>
              </w:rPr>
            </w:pPr>
            <w:r>
              <w:rPr>
                <w:spacing w:val="-1"/>
                <w:sz w:val="21"/>
                <w:szCs w:val="21"/>
              </w:rPr>
              <w:t>钻井成套设备搬运、安装、调试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737" w:type="dxa"/>
            <w:tcBorders>
              <w:left w:val="nil"/>
            </w:tcBorders>
            <w:vAlign w:val="top"/>
          </w:tcPr>
          <w:p>
            <w:pPr>
              <w:spacing w:line="303" w:lineRule="auto"/>
              <w:rPr>
                <w:rFonts w:ascii="Arial"/>
                <w:sz w:val="21"/>
              </w:rPr>
            </w:pPr>
          </w:p>
          <w:p>
            <w:pPr>
              <w:spacing w:line="303" w:lineRule="auto"/>
              <w:rPr>
                <w:rFonts w:ascii="Arial"/>
                <w:sz w:val="21"/>
              </w:rPr>
            </w:pPr>
          </w:p>
          <w:p>
            <w:pPr>
              <w:pStyle w:val="6"/>
              <w:spacing w:before="68" w:line="221" w:lineRule="auto"/>
              <w:ind w:left="464"/>
              <w:rPr>
                <w:sz w:val="21"/>
                <w:szCs w:val="21"/>
              </w:rPr>
            </w:pPr>
            <w:r>
              <w:rPr>
                <w:spacing w:val="-2"/>
                <w:sz w:val="21"/>
                <w:szCs w:val="21"/>
              </w:rPr>
              <w:t>钻井作业</w:t>
            </w:r>
          </w:p>
        </w:tc>
        <w:tc>
          <w:tcPr>
            <w:tcW w:w="7393" w:type="dxa"/>
            <w:tcBorders>
              <w:right w:val="nil"/>
            </w:tcBorders>
            <w:vAlign w:val="top"/>
          </w:tcPr>
          <w:p>
            <w:pPr>
              <w:pStyle w:val="6"/>
              <w:spacing w:before="53" w:line="221" w:lineRule="auto"/>
              <w:ind w:left="111"/>
              <w:rPr>
                <w:sz w:val="21"/>
                <w:szCs w:val="21"/>
              </w:rPr>
            </w:pPr>
            <w:r>
              <w:rPr>
                <w:spacing w:val="-1"/>
                <w:sz w:val="21"/>
                <w:szCs w:val="21"/>
              </w:rPr>
              <w:t>钻井作业主要包括钻进、钻进辅助作业、固井和完井等过程。</w:t>
            </w:r>
          </w:p>
          <w:p>
            <w:pPr>
              <w:pStyle w:val="6"/>
              <w:spacing w:before="61" w:line="256" w:lineRule="auto"/>
              <w:ind w:left="111" w:right="68"/>
              <w:jc w:val="both"/>
              <w:rPr>
                <w:sz w:val="21"/>
                <w:szCs w:val="21"/>
              </w:rPr>
            </w:pPr>
            <w:r>
              <w:rPr>
                <w:spacing w:val="-9"/>
                <w:sz w:val="21"/>
                <w:szCs w:val="21"/>
                <w14:textOutline w14:w="3831" w14:cap="flat" w14:cmpd="sng">
                  <w14:solidFill>
                    <w14:srgbClr w14:val="000000"/>
                  </w14:solidFill>
                  <w14:prstDash w14:val="solid"/>
                  <w14:miter w14:val="10"/>
                </w14:textOutline>
              </w:rPr>
              <w:t>钻进作业：</w:t>
            </w:r>
            <w:r>
              <w:rPr>
                <w:spacing w:val="76"/>
                <w:sz w:val="21"/>
                <w:szCs w:val="21"/>
              </w:rPr>
              <w:t xml:space="preserve"> </w:t>
            </w:r>
            <w:r>
              <w:rPr>
                <w:spacing w:val="-9"/>
                <w:sz w:val="21"/>
                <w:szCs w:val="21"/>
              </w:rPr>
              <w:t>项目采用整合钻机常规钻井工艺，</w:t>
            </w:r>
            <w:r>
              <w:rPr>
                <w:spacing w:val="-23"/>
                <w:sz w:val="21"/>
                <w:szCs w:val="21"/>
              </w:rPr>
              <w:t xml:space="preserve"> </w:t>
            </w:r>
            <w:r>
              <w:rPr>
                <w:spacing w:val="-9"/>
                <w:sz w:val="21"/>
                <w:szCs w:val="21"/>
              </w:rPr>
              <w:t>对井眼采用套管</w:t>
            </w:r>
            <w:r>
              <w:rPr>
                <w:rFonts w:ascii="Times New Roman" w:hAnsi="Times New Roman" w:eastAsia="Times New Roman" w:cs="Times New Roman"/>
                <w:spacing w:val="-9"/>
                <w:sz w:val="21"/>
                <w:szCs w:val="21"/>
              </w:rPr>
              <w:t>+</w:t>
            </w:r>
            <w:r>
              <w:rPr>
                <w:spacing w:val="-9"/>
                <w:sz w:val="21"/>
                <w:szCs w:val="21"/>
              </w:rPr>
              <w:t>水泥固井保护；</w:t>
            </w:r>
            <w:r>
              <w:rPr>
                <w:sz w:val="21"/>
                <w:szCs w:val="21"/>
              </w:rPr>
              <w:t xml:space="preserve"> </w:t>
            </w:r>
            <w:r>
              <w:rPr>
                <w:spacing w:val="-2"/>
                <w:sz w:val="21"/>
                <w:szCs w:val="21"/>
                <w14:textOutline w14:w="3831" w14:cap="flat" w14:cmpd="sng">
                  <w14:solidFill>
                    <w14:srgbClr w14:val="000000"/>
                  </w14:solidFill>
                  <w14:prstDash w14:val="solid"/>
                  <w14:miter w14:val="10"/>
                </w14:textOutline>
              </w:rPr>
              <w:t>射孔完井、酸化作业：</w:t>
            </w:r>
            <w:r>
              <w:rPr>
                <w:spacing w:val="-2"/>
                <w:sz w:val="21"/>
                <w:szCs w:val="21"/>
              </w:rPr>
              <w:t xml:space="preserve"> 项目完钻后，首先进行洗井作业，然后采</w:t>
            </w:r>
            <w:r>
              <w:rPr>
                <w:spacing w:val="-3"/>
                <w:sz w:val="21"/>
                <w:szCs w:val="21"/>
              </w:rPr>
              <w:t>取射孔完井方</w:t>
            </w:r>
            <w:r>
              <w:rPr>
                <w:sz w:val="21"/>
                <w:szCs w:val="21"/>
              </w:rPr>
              <w:t xml:space="preserve"> </w:t>
            </w:r>
            <w:r>
              <w:rPr>
                <w:spacing w:val="-1"/>
                <w:sz w:val="21"/>
                <w:szCs w:val="21"/>
              </w:rPr>
              <w:t>式，最后采用酸化液进行酸化达到增产的目的。</w:t>
            </w:r>
          </w:p>
          <w:p>
            <w:pPr>
              <w:pStyle w:val="6"/>
              <w:spacing w:before="61" w:line="217" w:lineRule="auto"/>
              <w:ind w:left="112"/>
              <w:rPr>
                <w:sz w:val="21"/>
                <w:szCs w:val="21"/>
              </w:rPr>
            </w:pPr>
            <w:r>
              <w:rPr>
                <w:spacing w:val="-8"/>
                <w:sz w:val="21"/>
                <w:szCs w:val="21"/>
                <w14:textOutline w14:w="3831" w14:cap="flat" w14:cmpd="sng">
                  <w14:solidFill>
                    <w14:srgbClr w14:val="000000"/>
                  </w14:solidFill>
                  <w14:prstDash w14:val="solid"/>
                  <w14:miter w14:val="10"/>
                </w14:textOutline>
              </w:rPr>
              <w:t>测试放喷：</w:t>
            </w:r>
            <w:r>
              <w:rPr>
                <w:spacing w:val="73"/>
                <w:sz w:val="21"/>
                <w:szCs w:val="21"/>
              </w:rPr>
              <w:t xml:space="preserve"> </w:t>
            </w:r>
            <w:r>
              <w:rPr>
                <w:spacing w:val="-8"/>
                <w:sz w:val="21"/>
                <w:szCs w:val="21"/>
              </w:rPr>
              <w:t>对产气层的产气量、产气性质进行测试放喷。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9" w:hRule="atLeast"/>
        </w:trPr>
        <w:tc>
          <w:tcPr>
            <w:tcW w:w="1737" w:type="dxa"/>
            <w:tcBorders>
              <w:left w:val="nil"/>
            </w:tcBorders>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9" w:line="248" w:lineRule="auto"/>
              <w:ind w:left="254" w:right="224"/>
              <w:rPr>
                <w:sz w:val="21"/>
                <w:szCs w:val="21"/>
              </w:rPr>
            </w:pPr>
            <w:r>
              <w:rPr>
                <w:spacing w:val="-2"/>
                <w:sz w:val="21"/>
                <w:szCs w:val="21"/>
              </w:rPr>
              <w:t>完井后污染治</w:t>
            </w:r>
            <w:r>
              <w:rPr>
                <w:spacing w:val="3"/>
                <w:sz w:val="21"/>
                <w:szCs w:val="21"/>
              </w:rPr>
              <w:t xml:space="preserve"> </w:t>
            </w:r>
            <w:r>
              <w:rPr>
                <w:spacing w:val="-2"/>
                <w:sz w:val="21"/>
                <w:szCs w:val="21"/>
              </w:rPr>
              <w:t>理及生态恢复</w:t>
            </w:r>
          </w:p>
        </w:tc>
        <w:tc>
          <w:tcPr>
            <w:tcW w:w="7393" w:type="dxa"/>
            <w:tcBorders>
              <w:right w:val="nil"/>
            </w:tcBorders>
            <w:vAlign w:val="top"/>
          </w:tcPr>
          <w:p>
            <w:pPr>
              <w:pStyle w:val="6"/>
              <w:spacing w:before="59" w:line="248" w:lineRule="auto"/>
              <w:ind w:left="111" w:right="106"/>
              <w:rPr>
                <w:sz w:val="21"/>
                <w:szCs w:val="21"/>
              </w:rPr>
            </w:pPr>
            <w:r>
              <w:rPr>
                <w:spacing w:val="1"/>
                <w:sz w:val="21"/>
                <w:szCs w:val="21"/>
              </w:rPr>
              <w:t>钻井作业期间，钻井泥浆循环使用，钻进阶段产生的固废随钻处理</w:t>
            </w:r>
            <w:r>
              <w:rPr>
                <w:sz w:val="21"/>
                <w:szCs w:val="21"/>
              </w:rPr>
              <w:t xml:space="preserve">；失效水基 </w:t>
            </w:r>
            <w:r>
              <w:rPr>
                <w:spacing w:val="-3"/>
                <w:sz w:val="21"/>
                <w:szCs w:val="21"/>
              </w:rPr>
              <w:t>钻井泥浆、</w:t>
            </w:r>
            <w:r>
              <w:rPr>
                <w:spacing w:val="-12"/>
                <w:sz w:val="21"/>
                <w:szCs w:val="21"/>
              </w:rPr>
              <w:t xml:space="preserve"> </w:t>
            </w:r>
            <w:r>
              <w:rPr>
                <w:spacing w:val="-3"/>
                <w:sz w:val="21"/>
                <w:szCs w:val="21"/>
              </w:rPr>
              <w:t>一般钻井岩屑在岩屑堆放场暂存后及时外运进行资源化利用。</w:t>
            </w:r>
          </w:p>
          <w:p>
            <w:pPr>
              <w:pStyle w:val="6"/>
              <w:spacing w:before="62" w:line="247" w:lineRule="auto"/>
              <w:ind w:left="114" w:right="106" w:hanging="3"/>
              <w:rPr>
                <w:sz w:val="21"/>
                <w:szCs w:val="21"/>
              </w:rPr>
            </w:pPr>
            <w:r>
              <w:rPr>
                <w:spacing w:val="1"/>
                <w:sz w:val="21"/>
                <w:szCs w:val="21"/>
              </w:rPr>
              <w:t>钻井结束后清除临时用地表面的建筑，然后利用井场建设时的耕作</w:t>
            </w:r>
            <w:r>
              <w:rPr>
                <w:sz w:val="21"/>
                <w:szCs w:val="21"/>
              </w:rPr>
              <w:t xml:space="preserve">土回填后进 </w:t>
            </w:r>
            <w:r>
              <w:rPr>
                <w:spacing w:val="-2"/>
                <w:sz w:val="21"/>
                <w:szCs w:val="21"/>
              </w:rPr>
              <w:t>行植被恢复；</w:t>
            </w:r>
          </w:p>
          <w:p>
            <w:pPr>
              <w:pStyle w:val="6"/>
              <w:spacing w:before="60" w:line="221" w:lineRule="auto"/>
              <w:ind w:left="115"/>
              <w:rPr>
                <w:sz w:val="21"/>
                <w:szCs w:val="21"/>
              </w:rPr>
            </w:pPr>
            <w:r>
              <w:rPr>
                <w:spacing w:val="-2"/>
                <w:sz w:val="21"/>
                <w:szCs w:val="21"/>
              </w:rPr>
              <w:t>油气测试完毕后，拆除放喷坑周围的砖墙，并进行回收；</w:t>
            </w:r>
          </w:p>
          <w:p>
            <w:pPr>
              <w:pStyle w:val="6"/>
              <w:spacing w:before="59" w:line="252" w:lineRule="auto"/>
              <w:ind w:left="110" w:right="105" w:firstLine="4"/>
              <w:jc w:val="both"/>
              <w:rPr>
                <w:sz w:val="21"/>
                <w:szCs w:val="21"/>
              </w:rPr>
            </w:pPr>
            <w:r>
              <w:rPr>
                <w:spacing w:val="-4"/>
                <w:sz w:val="21"/>
                <w:szCs w:val="21"/>
              </w:rPr>
              <w:t>油气测试完毕后，如获得工业气流，</w:t>
            </w:r>
            <w:r>
              <w:rPr>
                <w:spacing w:val="58"/>
                <w:sz w:val="21"/>
                <w:szCs w:val="21"/>
              </w:rPr>
              <w:t xml:space="preserve"> </w:t>
            </w:r>
            <w:r>
              <w:rPr>
                <w:spacing w:val="-4"/>
                <w:sz w:val="21"/>
                <w:szCs w:val="21"/>
              </w:rPr>
              <w:t>人工拆除井场地面建筑及设施，井场地面</w:t>
            </w:r>
            <w:r>
              <w:rPr>
                <w:sz w:val="21"/>
                <w:szCs w:val="21"/>
              </w:rPr>
              <w:t xml:space="preserve"> </w:t>
            </w:r>
            <w:r>
              <w:rPr>
                <w:spacing w:val="-4"/>
                <w:sz w:val="21"/>
                <w:szCs w:val="21"/>
              </w:rPr>
              <w:t>保留作为后期集输工程站场用地；如未获得工业气流，</w:t>
            </w:r>
            <w:r>
              <w:rPr>
                <w:spacing w:val="62"/>
                <w:sz w:val="21"/>
                <w:szCs w:val="21"/>
              </w:rPr>
              <w:t xml:space="preserve"> </w:t>
            </w:r>
            <w:r>
              <w:rPr>
                <w:spacing w:val="-4"/>
                <w:sz w:val="21"/>
                <w:szCs w:val="21"/>
              </w:rPr>
              <w:t>人工拆除井场地面建筑</w:t>
            </w:r>
            <w:r>
              <w:rPr>
                <w:sz w:val="21"/>
                <w:szCs w:val="21"/>
              </w:rPr>
              <w:t xml:space="preserve"> </w:t>
            </w:r>
            <w:r>
              <w:rPr>
                <w:spacing w:val="-1"/>
                <w:sz w:val="21"/>
                <w:szCs w:val="21"/>
              </w:rPr>
              <w:t>及设施，并井场地面原用地性质。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737" w:type="dxa"/>
            <w:tcBorders>
              <w:left w:val="nil"/>
              <w:bottom w:val="single" w:color="000000" w:sz="10" w:space="0"/>
            </w:tcBorders>
            <w:vAlign w:val="top"/>
          </w:tcPr>
          <w:p>
            <w:pPr>
              <w:pStyle w:val="6"/>
              <w:spacing w:before="71" w:line="221" w:lineRule="auto"/>
              <w:ind w:left="149"/>
              <w:rPr>
                <w:sz w:val="21"/>
                <w:szCs w:val="21"/>
              </w:rPr>
            </w:pPr>
            <w:r>
              <w:rPr>
                <w:spacing w:val="-1"/>
                <w:sz w:val="21"/>
                <w:szCs w:val="21"/>
              </w:rPr>
              <w:t>完井后设备搬迁</w:t>
            </w:r>
          </w:p>
        </w:tc>
        <w:tc>
          <w:tcPr>
            <w:tcW w:w="7393" w:type="dxa"/>
            <w:tcBorders>
              <w:bottom w:val="single" w:color="000000" w:sz="10" w:space="0"/>
              <w:right w:val="nil"/>
            </w:tcBorders>
            <w:vAlign w:val="top"/>
          </w:tcPr>
          <w:p>
            <w:pPr>
              <w:pStyle w:val="6"/>
              <w:spacing w:before="71" w:line="221" w:lineRule="auto"/>
              <w:ind w:left="113"/>
              <w:rPr>
                <w:sz w:val="21"/>
                <w:szCs w:val="21"/>
              </w:rPr>
            </w:pPr>
            <w:r>
              <w:rPr>
                <w:spacing w:val="-2"/>
                <w:sz w:val="21"/>
                <w:szCs w:val="21"/>
              </w:rPr>
              <w:t>完钻后对井场钻井设备进行搬迁和井场清理。</w:t>
            </w:r>
          </w:p>
        </w:tc>
      </w:tr>
    </w:tbl>
    <w:p>
      <w:pPr>
        <w:pStyle w:val="2"/>
        <w:spacing w:line="290" w:lineRule="auto"/>
        <w:rPr>
          <w:sz w:val="21"/>
        </w:rPr>
      </w:pPr>
    </w:p>
    <w:p>
      <w:pPr>
        <w:spacing w:before="101" w:line="225" w:lineRule="auto"/>
        <w:ind w:left="143"/>
        <w:rPr>
          <w:rFonts w:ascii="宋体" w:hAnsi="宋体" w:eastAsia="宋体" w:cs="宋体"/>
          <w:sz w:val="31"/>
          <w:szCs w:val="31"/>
        </w:rPr>
      </w:pPr>
      <w:bookmarkStart w:id="4" w:name="bookmark5"/>
      <w:bookmarkEnd w:id="4"/>
      <w:r>
        <w:rPr>
          <w:rFonts w:ascii="Times New Roman" w:hAnsi="Times New Roman" w:eastAsia="Times New Roman" w:cs="Times New Roman"/>
          <w:b/>
          <w:bCs/>
          <w:spacing w:val="9"/>
          <w:sz w:val="31"/>
          <w:szCs w:val="31"/>
        </w:rPr>
        <w:t>1.4</w:t>
      </w:r>
      <w:r>
        <w:rPr>
          <w:rFonts w:ascii="宋体" w:hAnsi="宋体" w:eastAsia="宋体" w:cs="宋体"/>
          <w:spacing w:val="9"/>
          <w:sz w:val="31"/>
          <w:szCs w:val="31"/>
          <w14:textOutline w14:w="5791" w14:cap="flat" w14:cmpd="sng">
            <w14:solidFill>
              <w14:srgbClr w14:val="000000"/>
            </w14:solidFill>
            <w14:prstDash w14:val="solid"/>
            <w14:miter w14:val="10"/>
          </w14:textOutline>
        </w:rPr>
        <w:t>地下水环境影响识别</w:t>
      </w:r>
    </w:p>
    <w:p>
      <w:pPr>
        <w:pStyle w:val="2"/>
        <w:spacing w:line="368" w:lineRule="auto"/>
        <w:rPr>
          <w:sz w:val="21"/>
        </w:rPr>
      </w:pPr>
    </w:p>
    <w:p>
      <w:pPr>
        <w:spacing w:before="78" w:line="468" w:lineRule="exact"/>
        <w:ind w:left="611"/>
        <w:rPr>
          <w:rFonts w:ascii="宋体" w:hAnsi="宋体" w:eastAsia="宋体" w:cs="宋体"/>
          <w:sz w:val="24"/>
          <w:szCs w:val="24"/>
        </w:rPr>
      </w:pPr>
      <w:r>
        <w:rPr>
          <w:rFonts w:ascii="宋体" w:hAnsi="宋体" w:eastAsia="宋体" w:cs="宋体"/>
          <w:position w:val="17"/>
          <w:sz w:val="24"/>
          <w:szCs w:val="24"/>
        </w:rPr>
        <w:t>根据钻井项目的工程特点，工程</w:t>
      </w:r>
      <w:r>
        <w:rPr>
          <w:rFonts w:hint="eastAsia" w:ascii="宋体" w:hAnsi="宋体" w:eastAsia="宋体" w:cs="宋体"/>
          <w:position w:val="17"/>
          <w:sz w:val="24"/>
          <w:szCs w:val="24"/>
        </w:rPr>
        <w:t>建设用地</w:t>
      </w:r>
      <w:r>
        <w:rPr>
          <w:rFonts w:ascii="宋体" w:hAnsi="宋体" w:eastAsia="宋体" w:cs="宋体"/>
          <w:position w:val="17"/>
          <w:sz w:val="24"/>
          <w:szCs w:val="24"/>
        </w:rPr>
        <w:t>下水环境的影响主要从钻前工程、钻井</w:t>
      </w:r>
    </w:p>
    <w:p>
      <w:pPr>
        <w:spacing w:before="1" w:line="219" w:lineRule="auto"/>
        <w:ind w:left="134"/>
        <w:rPr>
          <w:rFonts w:ascii="宋体" w:hAnsi="宋体" w:eastAsia="宋体" w:cs="宋体"/>
          <w:sz w:val="24"/>
          <w:szCs w:val="24"/>
        </w:rPr>
      </w:pPr>
      <w:r>
        <w:rPr>
          <w:rFonts w:ascii="宋体" w:hAnsi="宋体" w:eastAsia="宋体" w:cs="宋体"/>
          <w:spacing w:val="-4"/>
          <w:sz w:val="24"/>
          <w:szCs w:val="24"/>
        </w:rPr>
        <w:t>工程和完井测试放喷阶段分析。</w:t>
      </w:r>
    </w:p>
    <w:p>
      <w:pPr>
        <w:pStyle w:val="2"/>
        <w:spacing w:line="266" w:lineRule="auto"/>
        <w:rPr>
          <w:sz w:val="21"/>
        </w:rPr>
      </w:pPr>
    </w:p>
    <w:p>
      <w:pPr>
        <w:spacing w:before="91" w:line="220" w:lineRule="auto"/>
        <w:ind w:left="140"/>
        <w:rPr>
          <w:rFonts w:ascii="宋体" w:hAnsi="宋体" w:eastAsia="宋体" w:cs="宋体"/>
          <w:sz w:val="28"/>
          <w:szCs w:val="28"/>
        </w:rPr>
      </w:pPr>
      <w:r>
        <w:rPr>
          <w:rFonts w:ascii="Times New Roman" w:hAnsi="Times New Roman" w:eastAsia="Times New Roman" w:cs="Times New Roman"/>
          <w:b/>
          <w:bCs/>
          <w:spacing w:val="-3"/>
          <w:sz w:val="28"/>
          <w:szCs w:val="28"/>
        </w:rPr>
        <w:t>1.4.1</w:t>
      </w:r>
      <w:r>
        <w:rPr>
          <w:rFonts w:ascii="Times New Roman" w:hAnsi="Times New Roman" w:eastAsia="Times New Roman" w:cs="Times New Roman"/>
          <w:b/>
          <w:bCs/>
          <w:spacing w:val="24"/>
          <w:sz w:val="28"/>
          <w:szCs w:val="28"/>
        </w:rPr>
        <w:t xml:space="preserve">  </w:t>
      </w:r>
      <w:r>
        <w:rPr>
          <w:rFonts w:ascii="宋体" w:hAnsi="宋体" w:eastAsia="宋体" w:cs="宋体"/>
          <w:spacing w:val="-3"/>
          <w:sz w:val="28"/>
          <w:szCs w:val="28"/>
          <w14:textOutline w14:w="5094" w14:cap="flat" w14:cmpd="sng">
            <w14:solidFill>
              <w14:srgbClr w14:val="000000"/>
            </w14:solidFill>
            <w14:prstDash w14:val="solid"/>
            <w14:miter w14:val="10"/>
          </w14:textOutline>
        </w:rPr>
        <w:t>正常工况产污分析</w:t>
      </w:r>
    </w:p>
    <w:p>
      <w:pPr>
        <w:spacing w:before="274" w:line="359" w:lineRule="auto"/>
        <w:ind w:left="130" w:right="119" w:firstLine="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）钻前工程废水由施工作业废水和生活污水两部分组成。其中施工作业废水来</w:t>
      </w:r>
      <w:r>
        <w:rPr>
          <w:rFonts w:ascii="宋体" w:hAnsi="宋体" w:eastAsia="宋体" w:cs="宋体"/>
          <w:spacing w:val="16"/>
          <w:sz w:val="24"/>
          <w:szCs w:val="24"/>
        </w:rPr>
        <w:t xml:space="preserve"> </w:t>
      </w:r>
      <w:r>
        <w:rPr>
          <w:rFonts w:ascii="宋体" w:hAnsi="宋体" w:eastAsia="宋体" w:cs="宋体"/>
          <w:sz w:val="24"/>
          <w:szCs w:val="24"/>
        </w:rPr>
        <w:t>自施工场地，道路施工过程遇雨产生的地表径流，径流雨水中</w:t>
      </w:r>
      <w:r>
        <w:rPr>
          <w:rFonts w:ascii="宋体" w:hAnsi="宋体" w:eastAsia="宋体" w:cs="宋体"/>
          <w:spacing w:val="-1"/>
          <w:sz w:val="24"/>
          <w:szCs w:val="24"/>
        </w:rPr>
        <w:t>夹带有悬浮物；井场基</w:t>
      </w:r>
      <w:r>
        <w:rPr>
          <w:rFonts w:ascii="宋体" w:hAnsi="宋体" w:eastAsia="宋体" w:cs="宋体"/>
          <w:sz w:val="24"/>
          <w:szCs w:val="24"/>
        </w:rPr>
        <w:t xml:space="preserve"> 础建设产生的废水主要来自砂石骨料加工、混凝土搅拌及养护</w:t>
      </w:r>
      <w:r>
        <w:rPr>
          <w:rFonts w:ascii="宋体" w:hAnsi="宋体" w:eastAsia="宋体" w:cs="宋体"/>
          <w:spacing w:val="-1"/>
          <w:sz w:val="24"/>
          <w:szCs w:val="24"/>
        </w:rPr>
        <w:t>等过程；生活污水来自</w:t>
      </w:r>
    </w:p>
    <w:p>
      <w:pPr>
        <w:spacing w:before="1" w:line="219" w:lineRule="auto"/>
        <w:ind w:left="130"/>
        <w:rPr>
          <w:rFonts w:ascii="宋体" w:hAnsi="宋体" w:eastAsia="宋体" w:cs="宋体"/>
          <w:sz w:val="24"/>
          <w:szCs w:val="24"/>
        </w:rPr>
      </w:pPr>
      <w:r>
        <w:rPr>
          <w:rFonts w:ascii="宋体" w:hAnsi="宋体" w:eastAsia="宋体" w:cs="宋体"/>
          <w:spacing w:val="-5"/>
          <w:sz w:val="24"/>
          <w:szCs w:val="24"/>
        </w:rPr>
        <w:t>施工人员生活用水。</w:t>
      </w:r>
    </w:p>
    <w:p>
      <w:pPr>
        <w:spacing w:before="183" w:line="465" w:lineRule="exact"/>
        <w:ind w:left="618"/>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2</w:t>
      </w:r>
      <w:r>
        <w:rPr>
          <w:rFonts w:ascii="宋体" w:hAnsi="宋体" w:eastAsia="宋体" w:cs="宋体"/>
          <w:spacing w:val="-8"/>
          <w:position w:val="17"/>
          <w:sz w:val="24"/>
          <w:szCs w:val="24"/>
        </w:rPr>
        <w:t>）钻井期间产生的废水主要包括钻井废水、洗井废水，</w:t>
      </w:r>
      <w:r>
        <w:rPr>
          <w:rFonts w:ascii="宋体" w:hAnsi="宋体" w:eastAsia="宋体" w:cs="宋体"/>
          <w:spacing w:val="40"/>
          <w:position w:val="17"/>
          <w:sz w:val="24"/>
          <w:szCs w:val="24"/>
        </w:rPr>
        <w:t xml:space="preserve"> </w:t>
      </w:r>
      <w:r>
        <w:rPr>
          <w:rFonts w:ascii="宋体" w:hAnsi="宋体" w:eastAsia="宋体" w:cs="宋体"/>
          <w:spacing w:val="-8"/>
          <w:position w:val="17"/>
          <w:sz w:val="24"/>
          <w:szCs w:val="24"/>
        </w:rPr>
        <w:t>钻井作业废水主要在清</w:t>
      </w:r>
    </w:p>
    <w:p>
      <w:pPr>
        <w:spacing w:before="1" w:line="219" w:lineRule="auto"/>
        <w:ind w:left="135"/>
        <w:rPr>
          <w:rFonts w:ascii="宋体" w:hAnsi="宋体" w:eastAsia="宋体" w:cs="宋体"/>
          <w:sz w:val="24"/>
          <w:szCs w:val="24"/>
        </w:rPr>
      </w:pPr>
      <w:r>
        <w:rPr>
          <w:rFonts w:ascii="宋体" w:hAnsi="宋体" w:eastAsia="宋体" w:cs="宋体"/>
          <w:spacing w:val="-9"/>
          <w:sz w:val="24"/>
          <w:szCs w:val="24"/>
        </w:rPr>
        <w:t>洁化操作平台处理后，</w:t>
      </w:r>
      <w:r>
        <w:rPr>
          <w:rFonts w:ascii="宋体" w:hAnsi="宋体" w:eastAsia="宋体" w:cs="宋体"/>
          <w:spacing w:val="76"/>
          <w:sz w:val="24"/>
          <w:szCs w:val="24"/>
        </w:rPr>
        <w:t xml:space="preserve"> </w:t>
      </w:r>
      <w:r>
        <w:rPr>
          <w:rFonts w:ascii="宋体" w:hAnsi="宋体" w:eastAsia="宋体" w:cs="宋体"/>
          <w:spacing w:val="-9"/>
          <w:sz w:val="24"/>
          <w:szCs w:val="24"/>
        </w:rPr>
        <w:t>运送至污水处理厂处理后作达标处理。</w:t>
      </w:r>
    </w:p>
    <w:p>
      <w:pPr>
        <w:spacing w:before="183" w:line="465" w:lineRule="exact"/>
        <w:ind w:left="618"/>
        <w:rPr>
          <w:rFonts w:ascii="宋体" w:hAnsi="宋体" w:eastAsia="宋体" w:cs="宋体"/>
          <w:sz w:val="24"/>
          <w:szCs w:val="24"/>
        </w:rPr>
      </w:pP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3</w:t>
      </w:r>
      <w:r>
        <w:rPr>
          <w:rFonts w:ascii="宋体" w:hAnsi="宋体" w:eastAsia="宋体" w:cs="宋体"/>
          <w:spacing w:val="-7"/>
          <w:position w:val="17"/>
          <w:sz w:val="24"/>
          <w:szCs w:val="24"/>
        </w:rPr>
        <w:t>）酸化作业过程主要产生一定量的酸化废水，</w:t>
      </w:r>
      <w:r>
        <w:rPr>
          <w:rFonts w:ascii="宋体" w:hAnsi="宋体" w:eastAsia="宋体" w:cs="宋体"/>
          <w:spacing w:val="38"/>
          <w:position w:val="17"/>
          <w:sz w:val="24"/>
          <w:szCs w:val="24"/>
        </w:rPr>
        <w:t xml:space="preserve"> </w:t>
      </w:r>
      <w:r>
        <w:rPr>
          <w:rFonts w:ascii="宋体" w:hAnsi="宋体" w:eastAsia="宋体" w:cs="宋体"/>
          <w:spacing w:val="-7"/>
          <w:position w:val="17"/>
          <w:sz w:val="24"/>
          <w:szCs w:val="24"/>
        </w:rPr>
        <w:t>酸化液的主要成分为</w:t>
      </w:r>
      <w:r>
        <w:rPr>
          <w:rFonts w:ascii="宋体" w:hAnsi="宋体" w:eastAsia="宋体" w:cs="宋体"/>
          <w:spacing w:val="-55"/>
          <w:position w:val="17"/>
          <w:sz w:val="24"/>
          <w:szCs w:val="24"/>
        </w:rPr>
        <w:t xml:space="preserve"> </w:t>
      </w:r>
      <w:r>
        <w:rPr>
          <w:rFonts w:ascii="Times New Roman" w:hAnsi="Times New Roman" w:eastAsia="Times New Roman" w:cs="Times New Roman"/>
          <w:spacing w:val="-7"/>
          <w:position w:val="17"/>
          <w:sz w:val="24"/>
          <w:szCs w:val="24"/>
        </w:rPr>
        <w:t>HCl</w:t>
      </w:r>
      <w:r>
        <w:rPr>
          <w:rFonts w:ascii="宋体" w:hAnsi="宋体" w:eastAsia="宋体" w:cs="宋体"/>
          <w:spacing w:val="-7"/>
          <w:position w:val="17"/>
          <w:sz w:val="24"/>
          <w:szCs w:val="24"/>
        </w:rPr>
        <w:t>，在完</w:t>
      </w:r>
    </w:p>
    <w:p>
      <w:pPr>
        <w:spacing w:before="1" w:line="219" w:lineRule="auto"/>
        <w:ind w:left="131"/>
        <w:rPr>
          <w:rFonts w:ascii="宋体" w:hAnsi="宋体" w:eastAsia="宋体" w:cs="宋体"/>
          <w:sz w:val="24"/>
          <w:szCs w:val="24"/>
        </w:rPr>
      </w:pPr>
      <w:r>
        <w:rPr>
          <w:rFonts w:ascii="宋体" w:hAnsi="宋体" w:eastAsia="宋体" w:cs="宋体"/>
          <w:spacing w:val="-1"/>
          <w:sz w:val="24"/>
          <w:szCs w:val="24"/>
        </w:rPr>
        <w:t>井测试阶段从井底返排出来，经絮凝沉淀预处理后外运至</w:t>
      </w:r>
      <w:r>
        <w:rPr>
          <w:rFonts w:ascii="宋体" w:hAnsi="宋体" w:eastAsia="宋体" w:cs="宋体"/>
          <w:spacing w:val="-2"/>
          <w:sz w:val="24"/>
          <w:szCs w:val="24"/>
        </w:rPr>
        <w:t>废水处理站处理。</w:t>
      </w:r>
    </w:p>
    <w:p>
      <w:pPr>
        <w:spacing w:line="219" w:lineRule="auto"/>
        <w:rPr>
          <w:rFonts w:ascii="宋体" w:hAnsi="宋体" w:eastAsia="宋体" w:cs="宋体"/>
          <w:sz w:val="24"/>
          <w:szCs w:val="24"/>
        </w:rPr>
        <w:sectPr>
          <w:footerReference r:id="rId163" w:type="default"/>
          <w:pgSz w:w="11907" w:h="16839"/>
          <w:pgMar w:top="400" w:right="1308" w:bottom="879" w:left="1466" w:header="0" w:footer="717" w:gutter="0"/>
          <w:cols w:space="720" w:num="1"/>
        </w:sectPr>
      </w:pPr>
    </w:p>
    <w:p>
      <w:pPr>
        <w:pStyle w:val="2"/>
        <w:spacing w:line="278" w:lineRule="auto"/>
        <w:rPr>
          <w:sz w:val="21"/>
        </w:rPr>
      </w:pPr>
    </w:p>
    <w:p>
      <w:pPr>
        <w:pStyle w:val="2"/>
        <w:spacing w:line="278" w:lineRule="auto"/>
        <w:rPr>
          <w:sz w:val="21"/>
        </w:rPr>
      </w:pPr>
    </w:p>
    <w:p>
      <w:pPr>
        <w:pStyle w:val="2"/>
        <w:spacing w:line="278" w:lineRule="auto"/>
        <w:rPr>
          <w:sz w:val="21"/>
        </w:rPr>
      </w:pPr>
    </w:p>
    <w:p>
      <w:pPr>
        <w:pStyle w:val="2"/>
        <w:spacing w:line="279" w:lineRule="auto"/>
        <w:rPr>
          <w:sz w:val="21"/>
        </w:rPr>
      </w:pPr>
    </w:p>
    <w:p>
      <w:pPr>
        <w:spacing w:before="91" w:line="220" w:lineRule="auto"/>
        <w:ind w:left="140"/>
        <w:rPr>
          <w:rFonts w:ascii="宋体" w:hAnsi="宋体" w:eastAsia="宋体" w:cs="宋体"/>
          <w:sz w:val="28"/>
          <w:szCs w:val="28"/>
        </w:rPr>
      </w:pPr>
      <w:r>
        <w:rPr>
          <w:rFonts w:ascii="Times New Roman" w:hAnsi="Times New Roman" w:eastAsia="Times New Roman" w:cs="Times New Roman"/>
          <w:b/>
          <w:bCs/>
          <w:spacing w:val="-2"/>
          <w:sz w:val="28"/>
          <w:szCs w:val="28"/>
        </w:rPr>
        <w:t>1.4.2</w:t>
      </w:r>
      <w:r>
        <w:rPr>
          <w:rFonts w:ascii="Times New Roman" w:hAnsi="Times New Roman" w:eastAsia="Times New Roman" w:cs="Times New Roman"/>
          <w:b/>
          <w:bCs/>
          <w:spacing w:val="18"/>
          <w:w w:val="101"/>
          <w:sz w:val="28"/>
          <w:szCs w:val="28"/>
        </w:rPr>
        <w:t xml:space="preserve">  </w:t>
      </w:r>
      <w:r>
        <w:rPr>
          <w:rFonts w:ascii="宋体" w:hAnsi="宋体" w:eastAsia="宋体" w:cs="宋体"/>
          <w:spacing w:val="-2"/>
          <w:sz w:val="28"/>
          <w:szCs w:val="28"/>
          <w14:textOutline w14:w="5094" w14:cap="flat" w14:cmpd="sng">
            <w14:solidFill>
              <w14:srgbClr w14:val="000000"/>
            </w14:solidFill>
            <w14:prstDash w14:val="solid"/>
            <w14:miter w14:val="10"/>
          </w14:textOutline>
        </w:rPr>
        <w:t>非正常工况产污分析</w:t>
      </w:r>
    </w:p>
    <w:p>
      <w:pPr>
        <w:pStyle w:val="2"/>
        <w:spacing w:line="274" w:lineRule="auto"/>
        <w:rPr>
          <w:sz w:val="21"/>
        </w:rPr>
      </w:pPr>
    </w:p>
    <w:p>
      <w:pPr>
        <w:spacing w:before="78" w:line="360" w:lineRule="auto"/>
        <w:ind w:left="151" w:right="111" w:firstLine="460"/>
        <w:jc w:val="both"/>
        <w:rPr>
          <w:rFonts w:ascii="宋体" w:hAnsi="宋体" w:eastAsia="宋体" w:cs="宋体"/>
          <w:sz w:val="24"/>
          <w:szCs w:val="24"/>
        </w:rPr>
      </w:pPr>
      <w:r>
        <w:rPr>
          <w:rFonts w:ascii="宋体" w:hAnsi="宋体" w:eastAsia="宋体" w:cs="宋体"/>
          <w:spacing w:val="-7"/>
          <w:sz w:val="24"/>
          <w:szCs w:val="24"/>
        </w:rPr>
        <w:t>根据拟建项目特点， 非正常工况下产污环节主要在钻井期等过</w:t>
      </w:r>
      <w:r>
        <w:rPr>
          <w:rFonts w:ascii="宋体" w:hAnsi="宋体" w:eastAsia="宋体" w:cs="宋体"/>
          <w:spacing w:val="-8"/>
          <w:sz w:val="24"/>
          <w:szCs w:val="24"/>
        </w:rPr>
        <w:t>程，</w:t>
      </w:r>
      <w:r>
        <w:rPr>
          <w:rFonts w:ascii="宋体" w:hAnsi="宋体" w:eastAsia="宋体" w:cs="宋体"/>
          <w:spacing w:val="26"/>
          <w:sz w:val="24"/>
          <w:szCs w:val="24"/>
        </w:rPr>
        <w:t xml:space="preserve"> </w:t>
      </w:r>
      <w:r>
        <w:rPr>
          <w:rFonts w:ascii="宋体" w:hAnsi="宋体" w:eastAsia="宋体" w:cs="宋体"/>
          <w:spacing w:val="-8"/>
          <w:sz w:val="24"/>
          <w:szCs w:val="24"/>
        </w:rPr>
        <w:t>非正常工况下</w:t>
      </w:r>
      <w:r>
        <w:rPr>
          <w:rFonts w:ascii="宋体" w:hAnsi="宋体" w:eastAsia="宋体" w:cs="宋体"/>
          <w:sz w:val="24"/>
          <w:szCs w:val="24"/>
        </w:rPr>
        <w:t xml:space="preserve"> 的产污环节为井场废水储存罐由于罐基础不</w:t>
      </w:r>
      <w:r>
        <w:rPr>
          <w:rFonts w:ascii="宋体" w:hAnsi="宋体" w:eastAsia="宋体" w:cs="宋体"/>
          <w:spacing w:val="-1"/>
          <w:sz w:val="24"/>
          <w:szCs w:val="24"/>
        </w:rPr>
        <w:t>稳或是极端天气原因致废水罐废水外溢泄</w:t>
      </w:r>
    </w:p>
    <w:p>
      <w:pPr>
        <w:spacing w:line="220" w:lineRule="auto"/>
        <w:ind w:left="131"/>
        <w:rPr>
          <w:rFonts w:ascii="宋体" w:hAnsi="宋体" w:eastAsia="宋体" w:cs="宋体"/>
          <w:sz w:val="24"/>
          <w:szCs w:val="24"/>
        </w:rPr>
      </w:pPr>
      <w:r>
        <w:rPr>
          <w:rFonts w:ascii="宋体" w:hAnsi="宋体" w:eastAsia="宋体" w:cs="宋体"/>
          <w:spacing w:val="-4"/>
          <w:sz w:val="24"/>
          <w:szCs w:val="24"/>
        </w:rPr>
        <w:t>漏、应急池的事故性泄漏。</w:t>
      </w:r>
    </w:p>
    <w:p>
      <w:pPr>
        <w:pStyle w:val="2"/>
        <w:spacing w:line="356" w:lineRule="auto"/>
        <w:rPr>
          <w:sz w:val="21"/>
        </w:rPr>
      </w:pPr>
    </w:p>
    <w:p>
      <w:pPr>
        <w:spacing w:before="101" w:line="904" w:lineRule="exact"/>
        <w:ind w:left="143"/>
        <w:rPr>
          <w:rFonts w:ascii="宋体" w:hAnsi="宋体" w:eastAsia="宋体" w:cs="宋体"/>
          <w:sz w:val="31"/>
          <w:szCs w:val="31"/>
        </w:rPr>
      </w:pPr>
      <w:bookmarkStart w:id="5" w:name="bookmark6"/>
      <w:bookmarkEnd w:id="5"/>
      <w:r>
        <w:rPr>
          <w:rFonts w:ascii="Times New Roman" w:hAnsi="Times New Roman" w:eastAsia="Times New Roman" w:cs="Times New Roman"/>
          <w:b/>
          <w:bCs/>
          <w:spacing w:val="9"/>
          <w:position w:val="45"/>
          <w:sz w:val="31"/>
          <w:szCs w:val="31"/>
        </w:rPr>
        <w:t>1.5</w:t>
      </w:r>
      <w:r>
        <w:rPr>
          <w:rFonts w:ascii="宋体" w:hAnsi="宋体" w:eastAsia="宋体" w:cs="宋体"/>
          <w:spacing w:val="9"/>
          <w:position w:val="45"/>
          <w:sz w:val="31"/>
          <w:szCs w:val="31"/>
          <w14:textOutline w14:w="5791" w14:cap="flat" w14:cmpd="sng">
            <w14:solidFill>
              <w14:srgbClr w14:val="000000"/>
            </w14:solidFill>
            <w14:prstDash w14:val="solid"/>
            <w14:miter w14:val="10"/>
          </w14:textOutline>
        </w:rPr>
        <w:t>评价等级及评价范围</w:t>
      </w:r>
    </w:p>
    <w:p>
      <w:pPr>
        <w:spacing w:before="1" w:line="218" w:lineRule="auto"/>
        <w:ind w:left="140"/>
        <w:rPr>
          <w:rFonts w:ascii="宋体" w:hAnsi="宋体" w:eastAsia="宋体" w:cs="宋体"/>
          <w:sz w:val="28"/>
          <w:szCs w:val="28"/>
        </w:rPr>
      </w:pPr>
      <w:r>
        <w:rPr>
          <w:rFonts w:ascii="Times New Roman" w:hAnsi="Times New Roman" w:eastAsia="Times New Roman" w:cs="Times New Roman"/>
          <w:b/>
          <w:bCs/>
          <w:spacing w:val="-2"/>
          <w:sz w:val="28"/>
          <w:szCs w:val="28"/>
        </w:rPr>
        <w:t xml:space="preserve">1.5.1    </w:t>
      </w:r>
      <w:r>
        <w:rPr>
          <w:rFonts w:ascii="宋体" w:hAnsi="宋体" w:eastAsia="宋体" w:cs="宋体"/>
          <w:spacing w:val="-2"/>
          <w:sz w:val="28"/>
          <w:szCs w:val="28"/>
          <w14:textOutline w14:w="5094" w14:cap="flat" w14:cmpd="sng">
            <w14:solidFill>
              <w14:srgbClr w14:val="000000"/>
            </w14:solidFill>
            <w14:prstDash w14:val="solid"/>
            <w14:miter w14:val="10"/>
          </w14:textOutline>
        </w:rPr>
        <w:t>评价等级</w:t>
      </w:r>
    </w:p>
    <w:p>
      <w:pPr>
        <w:pStyle w:val="2"/>
        <w:spacing w:line="414" w:lineRule="auto"/>
        <w:rPr>
          <w:sz w:val="21"/>
        </w:rPr>
      </w:pPr>
    </w:p>
    <w:p>
      <w:pPr>
        <w:spacing w:before="79" w:line="220" w:lineRule="auto"/>
        <w:ind w:left="61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）项目类型</w:t>
      </w:r>
    </w:p>
    <w:p>
      <w:pPr>
        <w:spacing w:before="182" w:line="360" w:lineRule="auto"/>
        <w:ind w:left="131" w:right="104" w:firstLine="483"/>
        <w:rPr>
          <w:rFonts w:ascii="宋体" w:hAnsi="宋体" w:eastAsia="宋体" w:cs="宋体"/>
          <w:sz w:val="24"/>
          <w:szCs w:val="24"/>
        </w:rPr>
      </w:pPr>
      <w:r>
        <w:rPr>
          <w:rFonts w:ascii="宋体" w:hAnsi="宋体" w:eastAsia="宋体" w:cs="宋体"/>
          <w:spacing w:val="-6"/>
          <w:sz w:val="24"/>
          <w:szCs w:val="24"/>
        </w:rPr>
        <w:t>项目属于专业技术服务业</w:t>
      </w:r>
      <w:r>
        <w:rPr>
          <w:rFonts w:ascii="Times New Roman" w:hAnsi="Times New Roman" w:eastAsia="Times New Roman" w:cs="Times New Roman"/>
          <w:spacing w:val="-6"/>
          <w:sz w:val="24"/>
          <w:szCs w:val="24"/>
        </w:rPr>
        <w:t>-</w:t>
      </w:r>
      <w:r>
        <w:rPr>
          <w:rFonts w:ascii="宋体" w:hAnsi="宋体" w:eastAsia="宋体" w:cs="宋体"/>
          <w:spacing w:val="-6"/>
          <w:sz w:val="24"/>
          <w:szCs w:val="24"/>
        </w:rPr>
        <w:t>能源矿产地质勘查，</w:t>
      </w:r>
      <w:r>
        <w:rPr>
          <w:rFonts w:ascii="宋体" w:hAnsi="宋体" w:eastAsia="宋体" w:cs="宋体"/>
          <w:spacing w:val="32"/>
          <w:sz w:val="24"/>
          <w:szCs w:val="24"/>
        </w:rPr>
        <w:t xml:space="preserve"> </w:t>
      </w:r>
      <w:r>
        <w:rPr>
          <w:rFonts w:ascii="宋体" w:hAnsi="宋体" w:eastAsia="宋体" w:cs="宋体"/>
          <w:spacing w:val="-6"/>
          <w:sz w:val="24"/>
          <w:szCs w:val="24"/>
        </w:rPr>
        <w:t>由于钻井</w:t>
      </w:r>
      <w:r>
        <w:rPr>
          <w:rFonts w:ascii="宋体" w:hAnsi="宋体" w:eastAsia="宋体" w:cs="宋体"/>
          <w:spacing w:val="-7"/>
          <w:sz w:val="24"/>
          <w:szCs w:val="24"/>
        </w:rPr>
        <w:t>工程环境影响特点与陆上</w:t>
      </w:r>
      <w:r>
        <w:rPr>
          <w:rFonts w:ascii="宋体" w:hAnsi="宋体" w:eastAsia="宋体" w:cs="宋体"/>
          <w:sz w:val="24"/>
          <w:szCs w:val="24"/>
        </w:rPr>
        <w:t xml:space="preserve"> </w:t>
      </w:r>
      <w:r>
        <w:rPr>
          <w:rFonts w:ascii="宋体" w:hAnsi="宋体" w:eastAsia="宋体" w:cs="宋体"/>
          <w:spacing w:val="-2"/>
          <w:sz w:val="24"/>
          <w:szCs w:val="24"/>
        </w:rPr>
        <w:t>石油天然气、页岩气开采项目类似，因此拟建项目分类参考《环境影响评价技术导则</w:t>
      </w:r>
      <w:r>
        <w:rPr>
          <w:rFonts w:ascii="Times New Roman" w:hAnsi="Times New Roman" w:eastAsia="Times New Roman" w:cs="Times New Roman"/>
          <w:spacing w:val="-2"/>
          <w:sz w:val="24"/>
          <w:szCs w:val="24"/>
        </w:rPr>
        <w:t>-</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地下水环境》（</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46"/>
          <w:w w:val="101"/>
          <w:sz w:val="24"/>
          <w:szCs w:val="24"/>
        </w:rPr>
        <w:t xml:space="preserve"> </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）附录</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1"/>
          <w:w w:val="101"/>
          <w:sz w:val="24"/>
          <w:szCs w:val="24"/>
        </w:rPr>
        <w:t xml:space="preserve"> </w:t>
      </w:r>
      <w:r>
        <w:rPr>
          <w:rFonts w:ascii="宋体" w:hAnsi="宋体" w:eastAsia="宋体" w:cs="宋体"/>
          <w:spacing w:val="-2"/>
          <w:sz w:val="24"/>
          <w:szCs w:val="24"/>
        </w:rPr>
        <w:t>中</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F </w:t>
      </w:r>
      <w:r>
        <w:rPr>
          <w:rFonts w:ascii="宋体" w:hAnsi="宋体" w:eastAsia="宋体" w:cs="宋体"/>
          <w:spacing w:val="-2"/>
          <w:sz w:val="24"/>
          <w:szCs w:val="24"/>
        </w:rPr>
        <w:t>石油、天然气第</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38 </w:t>
      </w:r>
      <w:r>
        <w:rPr>
          <w:rFonts w:ascii="宋体" w:hAnsi="宋体" w:eastAsia="宋体" w:cs="宋体"/>
          <w:spacing w:val="-2"/>
          <w:sz w:val="24"/>
          <w:szCs w:val="24"/>
        </w:rPr>
        <w:t>项天然气、页岩气开采</w:t>
      </w:r>
    </w:p>
    <w:p>
      <w:pPr>
        <w:spacing w:line="218" w:lineRule="auto"/>
        <w:ind w:left="135"/>
        <w:rPr>
          <w:rFonts w:ascii="宋体" w:hAnsi="宋体" w:eastAsia="宋体" w:cs="宋体"/>
          <w:sz w:val="24"/>
          <w:szCs w:val="24"/>
        </w:rPr>
      </w:pPr>
      <w:r>
        <w:rPr>
          <w:rFonts w:ascii="宋体" w:hAnsi="宋体" w:eastAsia="宋体" w:cs="宋体"/>
          <w:spacing w:val="-3"/>
          <w:sz w:val="24"/>
          <w:szCs w:val="24"/>
        </w:rPr>
        <w:t>项目进行评价，为Ⅱ类建设项目。</w:t>
      </w:r>
    </w:p>
    <w:p>
      <w:pPr>
        <w:spacing w:before="184" w:line="220" w:lineRule="auto"/>
        <w:ind w:left="61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）敏感程度</w:t>
      </w:r>
    </w:p>
    <w:p>
      <w:pPr>
        <w:spacing w:before="183" w:line="360" w:lineRule="auto"/>
        <w:ind w:left="132" w:right="105" w:firstLine="478"/>
        <w:rPr>
          <w:rFonts w:ascii="宋体" w:hAnsi="宋体" w:eastAsia="宋体" w:cs="宋体"/>
          <w:sz w:val="24"/>
          <w:szCs w:val="24"/>
        </w:rPr>
      </w:pPr>
      <w:r>
        <w:rPr>
          <w:rFonts w:ascii="宋体" w:hAnsi="宋体" w:eastAsia="宋体" w:cs="宋体"/>
          <w:spacing w:val="-6"/>
          <w:sz w:val="24"/>
          <w:szCs w:val="24"/>
        </w:rPr>
        <w:t>根据Ⅱ类建设项目工作等级划分依据，</w:t>
      </w:r>
      <w:r>
        <w:rPr>
          <w:rFonts w:ascii="宋体" w:hAnsi="宋体" w:eastAsia="宋体" w:cs="宋体"/>
          <w:spacing w:val="34"/>
          <w:sz w:val="24"/>
          <w:szCs w:val="24"/>
        </w:rPr>
        <w:t xml:space="preserve"> </w:t>
      </w:r>
      <w:r>
        <w:rPr>
          <w:rFonts w:ascii="宋体" w:hAnsi="宋体" w:eastAsia="宋体" w:cs="宋体"/>
          <w:spacing w:val="-6"/>
          <w:sz w:val="24"/>
          <w:szCs w:val="24"/>
        </w:rPr>
        <w:t>应根据《环境影响评价技术导</w:t>
      </w:r>
      <w:r>
        <w:rPr>
          <w:rFonts w:ascii="宋体" w:hAnsi="宋体" w:eastAsia="宋体" w:cs="宋体"/>
          <w:spacing w:val="-7"/>
          <w:sz w:val="24"/>
          <w:szCs w:val="24"/>
        </w:rPr>
        <w:t>则</w:t>
      </w:r>
      <w:r>
        <w:rPr>
          <w:rFonts w:ascii="Times New Roman" w:hAnsi="Times New Roman" w:eastAsia="Times New Roman" w:cs="Times New Roman"/>
          <w:spacing w:val="-7"/>
          <w:sz w:val="24"/>
          <w:szCs w:val="24"/>
        </w:rPr>
        <w:t>-</w:t>
      </w:r>
      <w:r>
        <w:rPr>
          <w:rFonts w:ascii="宋体" w:hAnsi="宋体" w:eastAsia="宋体" w:cs="宋体"/>
          <w:spacing w:val="-7"/>
          <w:sz w:val="24"/>
          <w:szCs w:val="24"/>
        </w:rPr>
        <w:t>地下水环</w:t>
      </w:r>
      <w:r>
        <w:rPr>
          <w:rFonts w:ascii="宋体" w:hAnsi="宋体" w:eastAsia="宋体" w:cs="宋体"/>
          <w:sz w:val="24"/>
          <w:szCs w:val="24"/>
        </w:rPr>
        <w:t xml:space="preserve"> </w:t>
      </w:r>
      <w:r>
        <w:rPr>
          <w:rFonts w:ascii="宋体" w:hAnsi="宋体" w:eastAsia="宋体" w:cs="宋体"/>
          <w:spacing w:val="-1"/>
          <w:sz w:val="24"/>
          <w:szCs w:val="24"/>
        </w:rPr>
        <w:t>境》（</w:t>
      </w:r>
      <w:r>
        <w:rPr>
          <w:rFonts w:ascii="Times New Roman" w:hAnsi="Times New Roman" w:eastAsia="Times New Roman" w:cs="Times New Roman"/>
          <w:spacing w:val="-1"/>
          <w:sz w:val="24"/>
          <w:szCs w:val="24"/>
        </w:rPr>
        <w:t>HJ 610-2016</w:t>
      </w:r>
      <w:r>
        <w:rPr>
          <w:rFonts w:ascii="宋体" w:hAnsi="宋体" w:eastAsia="宋体" w:cs="宋体"/>
          <w:spacing w:val="-1"/>
          <w:sz w:val="24"/>
          <w:szCs w:val="24"/>
        </w:rPr>
        <w:t>）中评价工作等级的划分应根据建设项目行业分类和地下水环境敏</w:t>
      </w:r>
    </w:p>
    <w:p>
      <w:pPr>
        <w:spacing w:before="1" w:line="219" w:lineRule="auto"/>
        <w:ind w:left="132"/>
        <w:rPr>
          <w:rFonts w:ascii="宋体" w:hAnsi="宋体" w:eastAsia="宋体" w:cs="宋体"/>
          <w:sz w:val="24"/>
          <w:szCs w:val="24"/>
        </w:rPr>
      </w:pPr>
      <w:r>
        <w:rPr>
          <w:rFonts w:ascii="宋体" w:hAnsi="宋体" w:eastAsia="宋体" w:cs="宋体"/>
          <w:spacing w:val="-3"/>
          <w:sz w:val="24"/>
          <w:szCs w:val="24"/>
        </w:rPr>
        <w:t>感程度分级进行判定，具体情况见表</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before="103" w:line="220" w:lineRule="auto"/>
        <w:ind w:left="261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5"/>
          <w:sz w:val="24"/>
          <w:szCs w:val="24"/>
        </w:rPr>
        <w:t xml:space="preserve"> </w:t>
      </w:r>
      <w:r>
        <w:rPr>
          <w:rFonts w:ascii="Times New Roman" w:hAnsi="Times New Roman" w:eastAsia="Times New Roman" w:cs="Times New Roman"/>
          <w:b/>
          <w:bCs/>
          <w:spacing w:val="-1"/>
          <w:sz w:val="24"/>
          <w:szCs w:val="24"/>
        </w:rPr>
        <w:t xml:space="preserve">1.5-1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地下水环境敏感程度分级表</w:t>
      </w:r>
    </w:p>
    <w:p>
      <w:pPr>
        <w:spacing w:line="144" w:lineRule="exact"/>
      </w:pPr>
    </w:p>
    <w:tbl>
      <w:tblPr>
        <w:tblStyle w:val="5"/>
        <w:tblW w:w="91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9"/>
        <w:gridCol w:w="69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219" w:type="dxa"/>
            <w:tcBorders>
              <w:top w:val="single" w:color="000000" w:sz="10" w:space="0"/>
              <w:left w:val="nil"/>
            </w:tcBorders>
            <w:vAlign w:val="top"/>
          </w:tcPr>
          <w:p>
            <w:pPr>
              <w:pStyle w:val="6"/>
              <w:spacing w:before="57" w:line="221" w:lineRule="auto"/>
              <w:ind w:left="915"/>
              <w:rPr>
                <w:sz w:val="21"/>
                <w:szCs w:val="21"/>
              </w:rPr>
            </w:pPr>
            <w:r>
              <w:rPr>
                <w:spacing w:val="-3"/>
                <w:sz w:val="21"/>
                <w:szCs w:val="21"/>
                <w14:textOutline w14:w="3831" w14:cap="flat" w14:cmpd="sng">
                  <w14:solidFill>
                    <w14:srgbClr w14:val="000000"/>
                  </w14:solidFill>
                  <w14:prstDash w14:val="solid"/>
                  <w14:miter w14:val="10"/>
                </w14:textOutline>
              </w:rPr>
              <w:t>分级</w:t>
            </w:r>
          </w:p>
        </w:tc>
        <w:tc>
          <w:tcPr>
            <w:tcW w:w="6911" w:type="dxa"/>
            <w:tcBorders>
              <w:top w:val="single" w:color="000000" w:sz="10" w:space="0"/>
              <w:right w:val="nil"/>
            </w:tcBorders>
            <w:vAlign w:val="top"/>
          </w:tcPr>
          <w:p>
            <w:pPr>
              <w:pStyle w:val="6"/>
              <w:spacing w:before="57" w:line="221" w:lineRule="auto"/>
              <w:ind w:left="2512"/>
              <w:rPr>
                <w:sz w:val="21"/>
                <w:szCs w:val="21"/>
              </w:rPr>
            </w:pPr>
            <w:r>
              <w:rPr>
                <w:sz w:val="21"/>
                <w:szCs w:val="21"/>
                <w14:textOutline w14:w="3831" w14:cap="flat" w14:cmpd="sng">
                  <w14:solidFill>
                    <w14:srgbClr w14:val="000000"/>
                  </w14:solidFill>
                  <w14:prstDash w14:val="solid"/>
                  <w14:miter w14:val="10"/>
                </w14:textOutline>
              </w:rPr>
              <w:t>地下水环境敏感特征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2219" w:type="dxa"/>
            <w:tcBorders>
              <w:left w:val="nil"/>
            </w:tcBorders>
            <w:vAlign w:val="top"/>
          </w:tcPr>
          <w:p>
            <w:pPr>
              <w:spacing w:line="450" w:lineRule="auto"/>
              <w:rPr>
                <w:rFonts w:ascii="Arial"/>
                <w:sz w:val="21"/>
              </w:rPr>
            </w:pPr>
          </w:p>
          <w:p>
            <w:pPr>
              <w:pStyle w:val="6"/>
              <w:spacing w:before="68" w:line="221" w:lineRule="auto"/>
              <w:ind w:left="916"/>
              <w:rPr>
                <w:sz w:val="21"/>
                <w:szCs w:val="21"/>
              </w:rPr>
            </w:pPr>
            <w:r>
              <w:rPr>
                <w:spacing w:val="-2"/>
                <w:sz w:val="21"/>
                <w:szCs w:val="21"/>
              </w:rPr>
              <w:t>敏感</w:t>
            </w:r>
          </w:p>
        </w:tc>
        <w:tc>
          <w:tcPr>
            <w:tcW w:w="6911" w:type="dxa"/>
            <w:tcBorders>
              <w:right w:val="nil"/>
            </w:tcBorders>
            <w:vAlign w:val="top"/>
          </w:tcPr>
          <w:p>
            <w:pPr>
              <w:pStyle w:val="6"/>
              <w:spacing w:before="55" w:line="259" w:lineRule="auto"/>
              <w:ind w:left="123" w:right="102" w:hanging="9"/>
              <w:jc w:val="both"/>
              <w:rPr>
                <w:sz w:val="21"/>
                <w:szCs w:val="21"/>
              </w:rPr>
            </w:pPr>
            <w:r>
              <w:rPr>
                <w:spacing w:val="-3"/>
                <w:sz w:val="21"/>
                <w:szCs w:val="21"/>
              </w:rPr>
              <w:t>集中式饮用水水源（包括已建成的在用、备用、</w:t>
            </w:r>
            <w:r>
              <w:rPr>
                <w:spacing w:val="-4"/>
                <w:sz w:val="21"/>
                <w:szCs w:val="21"/>
              </w:rPr>
              <w:t>应急水源地，</w:t>
            </w:r>
            <w:r>
              <w:rPr>
                <w:spacing w:val="-31"/>
                <w:sz w:val="21"/>
                <w:szCs w:val="21"/>
              </w:rPr>
              <w:t xml:space="preserve"> </w:t>
            </w:r>
            <w:r>
              <w:rPr>
                <w:spacing w:val="-4"/>
                <w:sz w:val="21"/>
                <w:szCs w:val="21"/>
              </w:rPr>
              <w:t>在建和规划</w:t>
            </w:r>
            <w:r>
              <w:rPr>
                <w:sz w:val="21"/>
                <w:szCs w:val="21"/>
              </w:rPr>
              <w:t xml:space="preserve"> </w:t>
            </w:r>
            <w:r>
              <w:rPr>
                <w:spacing w:val="-1"/>
                <w:sz w:val="21"/>
                <w:szCs w:val="21"/>
              </w:rPr>
              <w:t>的水源地）准保护区；除集中式饮用水水源地以外的国家</w:t>
            </w:r>
            <w:r>
              <w:rPr>
                <w:spacing w:val="-2"/>
                <w:sz w:val="21"/>
                <w:szCs w:val="21"/>
              </w:rPr>
              <w:t>或地方政府设定</w:t>
            </w:r>
            <w:r>
              <w:rPr>
                <w:sz w:val="21"/>
                <w:szCs w:val="21"/>
              </w:rPr>
              <w:t xml:space="preserve"> </w:t>
            </w:r>
            <w:r>
              <w:rPr>
                <w:spacing w:val="-4"/>
                <w:sz w:val="21"/>
                <w:szCs w:val="21"/>
              </w:rPr>
              <w:t>的与地下水环境相关的其它保护区，</w:t>
            </w:r>
            <w:r>
              <w:rPr>
                <w:spacing w:val="-19"/>
                <w:sz w:val="21"/>
                <w:szCs w:val="21"/>
              </w:rPr>
              <w:t xml:space="preserve"> </w:t>
            </w:r>
            <w:r>
              <w:rPr>
                <w:spacing w:val="-4"/>
                <w:sz w:val="21"/>
                <w:szCs w:val="21"/>
              </w:rPr>
              <w:t>如热水、矿泉水、温泉等特殊地下水</w:t>
            </w:r>
            <w:r>
              <w:rPr>
                <w:sz w:val="21"/>
                <w:szCs w:val="21"/>
              </w:rPr>
              <w:t xml:space="preserve"> </w:t>
            </w:r>
            <w:r>
              <w:rPr>
                <w:spacing w:val="-3"/>
                <w:sz w:val="21"/>
                <w:szCs w:val="21"/>
              </w:rPr>
              <w:t>资源保护区。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2219" w:type="dxa"/>
            <w:tcBorders>
              <w:left w:val="nil"/>
            </w:tcBorders>
            <w:vAlign w:val="top"/>
          </w:tcPr>
          <w:p>
            <w:pPr>
              <w:spacing w:line="300" w:lineRule="auto"/>
              <w:rPr>
                <w:rFonts w:ascii="Arial"/>
                <w:sz w:val="21"/>
              </w:rPr>
            </w:pPr>
          </w:p>
          <w:p>
            <w:pPr>
              <w:spacing w:line="300" w:lineRule="auto"/>
              <w:rPr>
                <w:rFonts w:ascii="Arial"/>
                <w:sz w:val="21"/>
              </w:rPr>
            </w:pPr>
          </w:p>
          <w:p>
            <w:pPr>
              <w:pStyle w:val="6"/>
              <w:spacing w:before="68" w:line="233" w:lineRule="auto"/>
              <w:ind w:left="541"/>
              <w:rPr>
                <w:sz w:val="21"/>
                <w:szCs w:val="21"/>
              </w:rPr>
            </w:pPr>
            <w:r>
              <w:rPr>
                <w:spacing w:val="16"/>
                <w:sz w:val="21"/>
                <w:szCs w:val="21"/>
              </w:rPr>
              <w:t>较敏感</w:t>
            </w:r>
            <w:r>
              <w:rPr>
                <w:spacing w:val="16"/>
                <w:sz w:val="21"/>
                <w:szCs w:val="21"/>
                <w14:textOutline w14:w="3831" w14:cap="flat" w14:cmpd="sng">
                  <w14:solidFill>
                    <w14:srgbClr w14:val="000000"/>
                  </w14:solidFill>
                  <w14:prstDash w14:val="solid"/>
                  <w14:miter w14:val="10"/>
                </w14:textOutline>
              </w:rPr>
              <w:t>(</w:t>
            </w:r>
            <w:r>
              <w:rPr>
                <w:rFonts w:ascii="Times New Roman" w:hAnsi="Times New Roman" w:eastAsia="Times New Roman" w:cs="Times New Roman"/>
                <w:b/>
                <w:bCs/>
                <w:spacing w:val="16"/>
                <w:sz w:val="21"/>
                <w:szCs w:val="21"/>
              </w:rPr>
              <w:t>√</w:t>
            </w:r>
            <w:r>
              <w:rPr>
                <w:rFonts w:ascii="Times New Roman" w:hAnsi="Times New Roman" w:eastAsia="Times New Roman" w:cs="Times New Roman"/>
                <w:b/>
                <w:bCs/>
                <w:spacing w:val="-23"/>
                <w:sz w:val="21"/>
                <w:szCs w:val="21"/>
              </w:rPr>
              <w:t xml:space="preserve"> </w:t>
            </w:r>
            <w:r>
              <w:rPr>
                <w:spacing w:val="16"/>
                <w:sz w:val="21"/>
                <w:szCs w:val="21"/>
                <w14:textOutline w14:w="3831" w14:cap="flat" w14:cmpd="sng">
                  <w14:solidFill>
                    <w14:srgbClr w14:val="000000"/>
                  </w14:solidFill>
                  <w14:prstDash w14:val="solid"/>
                  <w14:miter w14:val="10"/>
                </w14:textOutline>
              </w:rPr>
              <w:t>)</w:t>
            </w:r>
          </w:p>
        </w:tc>
        <w:tc>
          <w:tcPr>
            <w:tcW w:w="6911" w:type="dxa"/>
            <w:tcBorders>
              <w:right w:val="nil"/>
            </w:tcBorders>
            <w:vAlign w:val="top"/>
          </w:tcPr>
          <w:p>
            <w:pPr>
              <w:pStyle w:val="6"/>
              <w:spacing w:before="65" w:line="260" w:lineRule="auto"/>
              <w:ind w:left="114" w:right="104"/>
              <w:jc w:val="both"/>
              <w:rPr>
                <w:sz w:val="21"/>
                <w:szCs w:val="21"/>
              </w:rPr>
            </w:pPr>
            <w:r>
              <w:rPr>
                <w:spacing w:val="-1"/>
                <w:sz w:val="21"/>
                <w:szCs w:val="21"/>
              </w:rPr>
              <w:t>集中式饮用水水源（包括已建成的在用、备用、应急水源，在建和规划的</w:t>
            </w:r>
            <w:r>
              <w:rPr>
                <w:sz w:val="21"/>
                <w:szCs w:val="21"/>
              </w:rPr>
              <w:t xml:space="preserve"> </w:t>
            </w:r>
            <w:r>
              <w:rPr>
                <w:spacing w:val="-1"/>
                <w:sz w:val="21"/>
                <w:szCs w:val="21"/>
              </w:rPr>
              <w:t>饮用水水源）准保护区以外的补给径流区；未划定准保护区的集中水式饮</w:t>
            </w:r>
            <w:r>
              <w:rPr>
                <w:sz w:val="21"/>
                <w:szCs w:val="21"/>
              </w:rPr>
              <w:t xml:space="preserve"> </w:t>
            </w:r>
            <w:r>
              <w:rPr>
                <w:spacing w:val="-6"/>
                <w:sz w:val="21"/>
                <w:szCs w:val="21"/>
              </w:rPr>
              <w:t>用水水源，</w:t>
            </w:r>
            <w:r>
              <w:rPr>
                <w:spacing w:val="-22"/>
                <w:sz w:val="21"/>
                <w:szCs w:val="21"/>
              </w:rPr>
              <w:t xml:space="preserve"> </w:t>
            </w:r>
            <w:r>
              <w:rPr>
                <w:spacing w:val="-6"/>
                <w:sz w:val="21"/>
                <w:szCs w:val="21"/>
              </w:rPr>
              <w:t>其保护区以外的补给径流区；</w:t>
            </w:r>
            <w:r>
              <w:rPr>
                <w:spacing w:val="-29"/>
                <w:sz w:val="21"/>
                <w:szCs w:val="21"/>
              </w:rPr>
              <w:t xml:space="preserve"> </w:t>
            </w:r>
            <w:r>
              <w:rPr>
                <w:spacing w:val="-6"/>
                <w:sz w:val="21"/>
                <w:szCs w:val="21"/>
              </w:rPr>
              <w:t>分散式饮用水水源地；特殊地下</w:t>
            </w:r>
            <w:r>
              <w:rPr>
                <w:sz w:val="21"/>
                <w:szCs w:val="21"/>
              </w:rPr>
              <w:t xml:space="preserve"> </w:t>
            </w:r>
            <w:r>
              <w:rPr>
                <w:spacing w:val="-3"/>
                <w:sz w:val="21"/>
                <w:szCs w:val="21"/>
              </w:rPr>
              <w:t>水资源（如矿泉水、温泉等）</w:t>
            </w:r>
            <w:r>
              <w:rPr>
                <w:spacing w:val="-42"/>
                <w:sz w:val="21"/>
                <w:szCs w:val="21"/>
              </w:rPr>
              <w:t xml:space="preserve"> </w:t>
            </w:r>
            <w:r>
              <w:rPr>
                <w:spacing w:val="-3"/>
                <w:sz w:val="21"/>
                <w:szCs w:val="21"/>
              </w:rPr>
              <w:t>保护区以外的分布区等其他未列入上述敏感</w:t>
            </w:r>
            <w:r>
              <w:rPr>
                <w:sz w:val="21"/>
                <w:szCs w:val="21"/>
              </w:rPr>
              <w:t xml:space="preserve"> </w:t>
            </w:r>
            <w:r>
              <w:rPr>
                <w:spacing w:val="-3"/>
                <w:sz w:val="21"/>
                <w:szCs w:val="21"/>
              </w:rPr>
              <w:t>分级的环境敏感区。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19" w:type="dxa"/>
            <w:tcBorders>
              <w:left w:val="nil"/>
              <w:bottom w:val="single" w:color="000000" w:sz="10" w:space="0"/>
            </w:tcBorders>
            <w:vAlign w:val="top"/>
          </w:tcPr>
          <w:p>
            <w:pPr>
              <w:pStyle w:val="6"/>
              <w:spacing w:before="75" w:line="221" w:lineRule="auto"/>
              <w:ind w:left="813"/>
              <w:rPr>
                <w:sz w:val="21"/>
                <w:szCs w:val="21"/>
              </w:rPr>
            </w:pPr>
            <w:r>
              <w:rPr>
                <w:spacing w:val="-2"/>
                <w:sz w:val="21"/>
                <w:szCs w:val="21"/>
              </w:rPr>
              <w:t>不敏感</w:t>
            </w:r>
          </w:p>
        </w:tc>
        <w:tc>
          <w:tcPr>
            <w:tcW w:w="6911" w:type="dxa"/>
            <w:tcBorders>
              <w:bottom w:val="single" w:color="000000" w:sz="10" w:space="0"/>
              <w:right w:val="nil"/>
            </w:tcBorders>
            <w:vAlign w:val="top"/>
          </w:tcPr>
          <w:p>
            <w:pPr>
              <w:pStyle w:val="6"/>
              <w:spacing w:before="76" w:line="221" w:lineRule="auto"/>
              <w:ind w:left="116"/>
              <w:rPr>
                <w:sz w:val="21"/>
                <w:szCs w:val="21"/>
              </w:rPr>
            </w:pPr>
            <w:r>
              <w:rPr>
                <w:spacing w:val="-1"/>
                <w:sz w:val="21"/>
                <w:szCs w:val="21"/>
              </w:rPr>
              <w:t>上述地区之外的其它地区。</w:t>
            </w:r>
          </w:p>
        </w:tc>
      </w:tr>
    </w:tbl>
    <w:p>
      <w:pPr>
        <w:spacing w:before="192" w:line="359" w:lineRule="auto"/>
        <w:ind w:left="153" w:right="110" w:firstLine="458"/>
        <w:jc w:val="both"/>
        <w:rPr>
          <w:rFonts w:ascii="宋体" w:hAnsi="宋体" w:eastAsia="宋体" w:cs="宋体"/>
          <w:sz w:val="24"/>
          <w:szCs w:val="24"/>
        </w:rPr>
      </w:pPr>
      <w:r>
        <w:rPr>
          <w:rFonts w:ascii="宋体" w:hAnsi="宋体" w:eastAsia="宋体" w:cs="宋体"/>
          <w:sz w:val="24"/>
          <w:szCs w:val="24"/>
        </w:rPr>
        <w:t>根据现场调查和资料收集，评价区范围内无地下水集中式饮用水源分布，井场周</w:t>
      </w:r>
      <w:r>
        <w:rPr>
          <w:rFonts w:ascii="宋体" w:hAnsi="宋体" w:eastAsia="宋体" w:cs="宋体"/>
          <w:spacing w:val="8"/>
          <w:sz w:val="24"/>
          <w:szCs w:val="24"/>
        </w:rPr>
        <w:t xml:space="preserve"> </w:t>
      </w:r>
      <w:r>
        <w:rPr>
          <w:rFonts w:ascii="宋体" w:hAnsi="宋体" w:eastAsia="宋体" w:cs="宋体"/>
          <w:spacing w:val="-6"/>
          <w:sz w:val="24"/>
          <w:szCs w:val="24"/>
        </w:rPr>
        <w:t>围居民主要以自来水和分散式水井、泉水作为生活饮用水，</w:t>
      </w:r>
      <w:r>
        <w:rPr>
          <w:rFonts w:ascii="宋体" w:hAnsi="宋体" w:eastAsia="宋体" w:cs="宋体"/>
          <w:spacing w:val="85"/>
          <w:sz w:val="24"/>
          <w:szCs w:val="24"/>
        </w:rPr>
        <w:t xml:space="preserve"> </w:t>
      </w:r>
      <w:r>
        <w:rPr>
          <w:rFonts w:ascii="宋体" w:hAnsi="宋体" w:eastAsia="宋体" w:cs="宋体"/>
          <w:spacing w:val="-6"/>
          <w:sz w:val="24"/>
          <w:szCs w:val="24"/>
        </w:rPr>
        <w:t>项目拟建地评价范围不涉</w:t>
      </w:r>
    </w:p>
    <w:p>
      <w:pPr>
        <w:spacing w:before="1" w:line="219" w:lineRule="auto"/>
        <w:ind w:left="130"/>
        <w:rPr>
          <w:rFonts w:ascii="宋体" w:hAnsi="宋体" w:eastAsia="宋体" w:cs="宋体"/>
          <w:sz w:val="24"/>
          <w:szCs w:val="24"/>
        </w:rPr>
      </w:pPr>
      <w:r>
        <w:rPr>
          <w:rFonts w:ascii="宋体" w:hAnsi="宋体" w:eastAsia="宋体" w:cs="宋体"/>
          <w:spacing w:val="-3"/>
          <w:sz w:val="24"/>
          <w:szCs w:val="24"/>
        </w:rPr>
        <w:t>及地下水集中式饮用水水源（包括已建成的在用、备用、应急水源， 在建和规划</w:t>
      </w:r>
      <w:r>
        <w:rPr>
          <w:rFonts w:ascii="宋体" w:hAnsi="宋体" w:eastAsia="宋体" w:cs="宋体"/>
          <w:spacing w:val="-4"/>
          <w:sz w:val="24"/>
          <w:szCs w:val="24"/>
        </w:rPr>
        <w:t>的饮</w:t>
      </w:r>
    </w:p>
    <w:p>
      <w:pPr>
        <w:spacing w:line="219" w:lineRule="auto"/>
        <w:rPr>
          <w:rFonts w:ascii="宋体" w:hAnsi="宋体" w:eastAsia="宋体" w:cs="宋体"/>
          <w:sz w:val="24"/>
          <w:szCs w:val="24"/>
        </w:rPr>
        <w:sectPr>
          <w:footerReference r:id="rId164" w:type="default"/>
          <w:pgSz w:w="11907" w:h="16839"/>
          <w:pgMar w:top="400" w:right="1308" w:bottom="879" w:left="1466" w:header="0" w:footer="717" w:gutter="0"/>
          <w:cols w:space="720" w:num="1"/>
        </w:sect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78" w:line="359" w:lineRule="auto"/>
        <w:ind w:left="132" w:right="115"/>
        <w:jc w:val="both"/>
        <w:rPr>
          <w:rFonts w:ascii="宋体" w:hAnsi="宋体" w:eastAsia="宋体" w:cs="宋体"/>
          <w:sz w:val="24"/>
          <w:szCs w:val="24"/>
        </w:rPr>
      </w:pPr>
      <w:r>
        <w:rPr>
          <w:rFonts w:ascii="宋体" w:hAnsi="宋体" w:eastAsia="宋体" w:cs="宋体"/>
          <w:sz w:val="24"/>
          <w:szCs w:val="24"/>
        </w:rPr>
        <w:t>用水水源）准保护区以外的补给径流区；未划定准保护区的集中水式饮用水水源，其 保护区以外的补给径流区；特殊地下水资源（如矿泉水、温泉等）保护区以外的分布</w:t>
      </w:r>
    </w:p>
    <w:p>
      <w:pPr>
        <w:spacing w:line="219" w:lineRule="auto"/>
        <w:ind w:left="149"/>
        <w:rPr>
          <w:rFonts w:ascii="宋体" w:hAnsi="宋体" w:eastAsia="宋体" w:cs="宋体"/>
          <w:sz w:val="24"/>
          <w:szCs w:val="24"/>
        </w:rPr>
      </w:pPr>
      <w:r>
        <w:rPr>
          <w:rFonts w:ascii="宋体" w:hAnsi="宋体" w:eastAsia="宋体" w:cs="宋体"/>
          <w:spacing w:val="-3"/>
          <w:sz w:val="24"/>
          <w:szCs w:val="24"/>
        </w:rPr>
        <w:t>区等其他未列入上述敏感分级的环境敏感区。</w:t>
      </w:r>
    </w:p>
    <w:p>
      <w:pPr>
        <w:spacing w:before="261" w:line="360" w:lineRule="auto"/>
        <w:ind w:left="132" w:right="120" w:firstLine="478"/>
        <w:rPr>
          <w:rFonts w:ascii="宋体" w:hAnsi="宋体" w:eastAsia="宋体" w:cs="宋体"/>
          <w:sz w:val="24"/>
          <w:szCs w:val="24"/>
        </w:rPr>
      </w:pPr>
      <w:r>
        <w:rPr>
          <w:rFonts w:ascii="宋体" w:hAnsi="宋体" w:eastAsia="宋体" w:cs="宋体"/>
          <w:spacing w:val="-11"/>
          <w:sz w:val="24"/>
          <w:szCs w:val="24"/>
        </w:rPr>
        <w:t>根据调查，</w:t>
      </w:r>
      <w:r>
        <w:rPr>
          <w:rFonts w:ascii="宋体" w:hAnsi="宋体" w:eastAsia="宋体" w:cs="宋体"/>
          <w:spacing w:val="-29"/>
          <w:sz w:val="24"/>
          <w:szCs w:val="24"/>
        </w:rPr>
        <w:t xml:space="preserve"> </w:t>
      </w:r>
      <w:r>
        <w:rPr>
          <w:rFonts w:ascii="宋体" w:hAnsi="宋体" w:eastAsia="宋体" w:cs="宋体"/>
          <w:spacing w:val="-11"/>
          <w:sz w:val="24"/>
          <w:szCs w:val="24"/>
        </w:rPr>
        <w:t>拟建项目场地水文地质单元内分布有分散式饮用水井、泉水，</w:t>
      </w:r>
      <w:r>
        <w:rPr>
          <w:rFonts w:ascii="宋体" w:hAnsi="宋体" w:eastAsia="宋体" w:cs="宋体"/>
          <w:spacing w:val="-54"/>
          <w:sz w:val="24"/>
          <w:szCs w:val="24"/>
        </w:rPr>
        <w:t xml:space="preserve"> </w:t>
      </w:r>
      <w:r>
        <w:rPr>
          <w:rFonts w:ascii="宋体" w:hAnsi="宋体" w:eastAsia="宋体" w:cs="宋体"/>
          <w:spacing w:val="-12"/>
          <w:sz w:val="24"/>
          <w:szCs w:val="24"/>
        </w:rPr>
        <w:t>根据《环</w:t>
      </w:r>
      <w:r>
        <w:rPr>
          <w:rFonts w:ascii="宋体" w:hAnsi="宋体" w:eastAsia="宋体" w:cs="宋体"/>
          <w:sz w:val="24"/>
          <w:szCs w:val="24"/>
        </w:rPr>
        <w:t xml:space="preserve"> </w:t>
      </w:r>
      <w:r>
        <w:rPr>
          <w:rFonts w:ascii="宋体" w:hAnsi="宋体" w:eastAsia="宋体" w:cs="宋体"/>
          <w:spacing w:val="-5"/>
          <w:sz w:val="24"/>
          <w:szCs w:val="24"/>
        </w:rPr>
        <w:t>境影响评价技术导则地下水环境》（</w:t>
      </w:r>
      <w:r>
        <w:rPr>
          <w:rFonts w:ascii="Times New Roman" w:hAnsi="Times New Roman" w:eastAsia="Times New Roman" w:cs="Times New Roman"/>
          <w:spacing w:val="-5"/>
          <w:sz w:val="24"/>
          <w:szCs w:val="24"/>
        </w:rPr>
        <w:t>HJ  610-2016</w:t>
      </w:r>
      <w:r>
        <w:rPr>
          <w:rFonts w:ascii="宋体" w:hAnsi="宋体" w:eastAsia="宋体" w:cs="宋体"/>
          <w:spacing w:val="-5"/>
          <w:sz w:val="24"/>
          <w:szCs w:val="24"/>
        </w:rPr>
        <w:t xml:space="preserve">）表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6"/>
          <w:w w:val="101"/>
          <w:sz w:val="24"/>
          <w:szCs w:val="24"/>
        </w:rPr>
        <w:t xml:space="preserve"> </w:t>
      </w:r>
      <w:r>
        <w:rPr>
          <w:rFonts w:ascii="宋体" w:hAnsi="宋体" w:eastAsia="宋体" w:cs="宋体"/>
          <w:spacing w:val="-5"/>
          <w:sz w:val="24"/>
          <w:szCs w:val="24"/>
        </w:rPr>
        <w:t>地下水环境敏感</w:t>
      </w:r>
      <w:r>
        <w:rPr>
          <w:rFonts w:ascii="宋体" w:hAnsi="宋体" w:eastAsia="宋体" w:cs="宋体"/>
          <w:spacing w:val="-6"/>
          <w:sz w:val="24"/>
          <w:szCs w:val="24"/>
        </w:rPr>
        <w:t>程度分级表，</w:t>
      </w:r>
    </w:p>
    <w:p>
      <w:pPr>
        <w:spacing w:before="1" w:line="218" w:lineRule="auto"/>
        <w:ind w:left="131"/>
        <w:rPr>
          <w:rFonts w:ascii="宋体" w:hAnsi="宋体" w:eastAsia="宋体" w:cs="宋体"/>
          <w:sz w:val="24"/>
          <w:szCs w:val="24"/>
        </w:rPr>
      </w:pPr>
      <w:r>
        <w:rPr>
          <w:rFonts w:ascii="宋体" w:hAnsi="宋体" w:eastAsia="宋体" w:cs="宋体"/>
          <w:spacing w:val="-1"/>
          <w:sz w:val="24"/>
          <w:szCs w:val="24"/>
        </w:rPr>
        <w:t>拟建项目地下水环境敏感程度为</w:t>
      </w:r>
      <w:r>
        <w:rPr>
          <w:rFonts w:ascii="宋体" w:hAnsi="宋体" w:eastAsia="宋体" w:cs="宋体"/>
          <w:spacing w:val="-1"/>
          <w:sz w:val="24"/>
          <w:szCs w:val="24"/>
          <w14:textOutline w14:w="4354" w14:cap="flat" w14:cmpd="sng">
            <w14:solidFill>
              <w14:srgbClr w14:val="000000"/>
            </w14:solidFill>
            <w14:prstDash w14:val="solid"/>
            <w14:miter w14:val="10"/>
          </w14:textOutline>
        </w:rPr>
        <w:t>较敏感</w:t>
      </w:r>
      <w:r>
        <w:rPr>
          <w:rFonts w:ascii="宋体" w:hAnsi="宋体" w:eastAsia="宋体" w:cs="宋体"/>
          <w:spacing w:val="-1"/>
          <w:sz w:val="24"/>
          <w:szCs w:val="24"/>
        </w:rPr>
        <w:t>。</w:t>
      </w:r>
    </w:p>
    <w:p>
      <w:pPr>
        <w:spacing w:before="183" w:line="218" w:lineRule="auto"/>
        <w:ind w:left="61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）评价工作等级判定</w:t>
      </w:r>
    </w:p>
    <w:p>
      <w:pPr>
        <w:spacing w:before="185" w:line="468" w:lineRule="exact"/>
        <w:ind w:left="611"/>
        <w:rPr>
          <w:rFonts w:ascii="宋体" w:hAnsi="宋体" w:eastAsia="宋体" w:cs="宋体"/>
          <w:sz w:val="24"/>
          <w:szCs w:val="24"/>
        </w:rPr>
      </w:pPr>
      <w:r>
        <w:rPr>
          <w:rFonts w:ascii="宋体" w:hAnsi="宋体" w:eastAsia="宋体" w:cs="宋体"/>
          <w:spacing w:val="-4"/>
          <w:position w:val="17"/>
          <w:sz w:val="24"/>
          <w:szCs w:val="24"/>
        </w:rPr>
        <w:t>根据《环境影响评价技术导则地下水环境》（</w:t>
      </w:r>
      <w:r>
        <w:rPr>
          <w:rFonts w:ascii="Times New Roman" w:hAnsi="Times New Roman" w:eastAsia="Times New Roman" w:cs="Times New Roman"/>
          <w:spacing w:val="-4"/>
          <w:position w:val="17"/>
          <w:sz w:val="24"/>
          <w:szCs w:val="24"/>
        </w:rPr>
        <w:t>HJ  610-2016</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w:t>
      </w:r>
      <w:r>
        <w:rPr>
          <w:rFonts w:ascii="宋体" w:hAnsi="宋体" w:eastAsia="宋体" w:cs="宋体"/>
          <w:spacing w:val="-4"/>
          <w:position w:val="17"/>
          <w:sz w:val="24"/>
          <w:szCs w:val="24"/>
        </w:rPr>
        <w:t xml:space="preserve">表 </w:t>
      </w:r>
      <w:r>
        <w:rPr>
          <w:rFonts w:ascii="Times New Roman" w:hAnsi="Times New Roman" w:eastAsia="Times New Roman" w:cs="Times New Roman"/>
          <w:spacing w:val="-4"/>
          <w:position w:val="17"/>
          <w:sz w:val="24"/>
          <w:szCs w:val="24"/>
        </w:rPr>
        <w:t>1.5-2</w:t>
      </w:r>
      <w:r>
        <w:rPr>
          <w:rFonts w:ascii="Times New Roman" w:hAnsi="Times New Roman" w:eastAsia="Times New Roman" w:cs="Times New Roman"/>
          <w:spacing w:val="22"/>
          <w:w w:val="101"/>
          <w:position w:val="17"/>
          <w:sz w:val="24"/>
          <w:szCs w:val="24"/>
        </w:rPr>
        <w:t xml:space="preserve"> </w:t>
      </w:r>
      <w:r>
        <w:rPr>
          <w:rFonts w:ascii="宋体" w:hAnsi="宋体" w:eastAsia="宋体" w:cs="宋体"/>
          <w:spacing w:val="-4"/>
          <w:position w:val="17"/>
          <w:sz w:val="24"/>
          <w:szCs w:val="24"/>
        </w:rPr>
        <w:t>评价工作等</w:t>
      </w:r>
    </w:p>
    <w:p>
      <w:pPr>
        <w:spacing w:line="218" w:lineRule="auto"/>
        <w:ind w:left="135"/>
        <w:rPr>
          <w:rFonts w:ascii="宋体" w:hAnsi="宋体" w:eastAsia="宋体" w:cs="宋体"/>
          <w:sz w:val="24"/>
          <w:szCs w:val="24"/>
        </w:rPr>
      </w:pPr>
      <w:r>
        <w:rPr>
          <w:rFonts w:ascii="宋体" w:hAnsi="宋体" w:eastAsia="宋体" w:cs="宋体"/>
          <w:spacing w:val="-2"/>
          <w:sz w:val="24"/>
          <w:szCs w:val="24"/>
        </w:rPr>
        <w:t>级分级表</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，拟建项目地下水环境影响评价工作</w:t>
      </w:r>
      <w:r>
        <w:rPr>
          <w:rFonts w:ascii="宋体" w:hAnsi="宋体" w:eastAsia="宋体" w:cs="宋体"/>
          <w:spacing w:val="-3"/>
          <w:sz w:val="24"/>
          <w:szCs w:val="24"/>
        </w:rPr>
        <w:t>等级为</w:t>
      </w:r>
      <w:r>
        <w:rPr>
          <w:rFonts w:ascii="宋体" w:hAnsi="宋体" w:eastAsia="宋体" w:cs="宋体"/>
          <w:spacing w:val="-3"/>
          <w:sz w:val="24"/>
          <w:szCs w:val="24"/>
          <w14:textOutline w14:w="4354" w14:cap="flat" w14:cmpd="sng">
            <w14:solidFill>
              <w14:srgbClr w14:val="000000"/>
            </w14:solidFill>
            <w14:prstDash w14:val="solid"/>
            <w14:miter w14:val="10"/>
          </w14:textOutline>
        </w:rPr>
        <w:t>二级</w:t>
      </w:r>
      <w:r>
        <w:rPr>
          <w:rFonts w:ascii="宋体" w:hAnsi="宋体" w:eastAsia="宋体" w:cs="宋体"/>
          <w:spacing w:val="-3"/>
          <w:sz w:val="24"/>
          <w:szCs w:val="24"/>
        </w:rPr>
        <w:t>，具体判定依据见下表：</w:t>
      </w:r>
    </w:p>
    <w:p>
      <w:pPr>
        <w:spacing w:before="106" w:line="218" w:lineRule="auto"/>
        <w:ind w:left="3035"/>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表</w:t>
      </w:r>
      <w:r>
        <w:rPr>
          <w:rFonts w:ascii="宋体" w:hAnsi="宋体" w:eastAsia="宋体" w:cs="宋体"/>
          <w:spacing w:val="-28"/>
          <w:sz w:val="24"/>
          <w:szCs w:val="24"/>
        </w:rPr>
        <w:t xml:space="preserve"> </w:t>
      </w:r>
      <w:r>
        <w:rPr>
          <w:rFonts w:ascii="Times New Roman" w:hAnsi="Times New Roman" w:eastAsia="Times New Roman" w:cs="Times New Roman"/>
          <w:b/>
          <w:bCs/>
          <w:spacing w:val="-2"/>
          <w:sz w:val="24"/>
          <w:szCs w:val="24"/>
        </w:rPr>
        <w:t xml:space="preserve">1.5-2  </w:t>
      </w:r>
      <w:r>
        <w:rPr>
          <w:rFonts w:ascii="宋体" w:hAnsi="宋体" w:eastAsia="宋体" w:cs="宋体"/>
          <w:spacing w:val="-2"/>
          <w:sz w:val="24"/>
          <w:szCs w:val="24"/>
          <w14:textOutline w14:w="4354" w14:cap="flat" w14:cmpd="sng">
            <w14:solidFill>
              <w14:srgbClr w14:val="000000"/>
            </w14:solidFill>
            <w14:prstDash w14:val="solid"/>
            <w14:miter w14:val="10"/>
          </w14:textOutline>
        </w:rPr>
        <w:t>评价工作等级分级表</w:t>
      </w:r>
    </w:p>
    <w:p>
      <w:pPr>
        <w:spacing w:line="146" w:lineRule="exact"/>
      </w:pPr>
    </w:p>
    <w:tbl>
      <w:tblPr>
        <w:tblStyle w:val="5"/>
        <w:tblW w:w="91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4"/>
        <w:gridCol w:w="2278"/>
        <w:gridCol w:w="2280"/>
        <w:gridCol w:w="2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294" w:type="dxa"/>
            <w:tcBorders>
              <w:top w:val="single" w:color="000000" w:sz="10" w:space="0"/>
              <w:left w:val="nil"/>
              <w:tl2br w:val="single" w:color="000000" w:sz="10" w:space="0"/>
            </w:tcBorders>
            <w:vAlign w:val="top"/>
          </w:tcPr>
          <w:p>
            <w:pPr>
              <w:pStyle w:val="6"/>
              <w:spacing w:before="58" w:line="245" w:lineRule="auto"/>
              <w:ind w:left="130" w:right="102" w:firstLine="1227"/>
              <w:rPr>
                <w:sz w:val="21"/>
                <w:szCs w:val="21"/>
              </w:rPr>
            </w:pPr>
            <w:r>
              <w:rPr>
                <w:spacing w:val="-3"/>
                <w:sz w:val="21"/>
                <w:szCs w:val="21"/>
              </w:rPr>
              <w:t>项目类别</w:t>
            </w:r>
            <w:r>
              <w:rPr>
                <w:spacing w:val="1"/>
                <w:sz w:val="21"/>
                <w:szCs w:val="21"/>
              </w:rPr>
              <w:t xml:space="preserve"> </w:t>
            </w:r>
            <w:r>
              <w:rPr>
                <w:spacing w:val="-1"/>
                <w:sz w:val="21"/>
                <w:szCs w:val="21"/>
              </w:rPr>
              <w:t>环境敏感程度</w:t>
            </w:r>
          </w:p>
        </w:tc>
        <w:tc>
          <w:tcPr>
            <w:tcW w:w="2278" w:type="dxa"/>
            <w:tcBorders>
              <w:top w:val="single" w:color="000000" w:sz="10" w:space="0"/>
            </w:tcBorders>
            <w:vAlign w:val="top"/>
          </w:tcPr>
          <w:p>
            <w:pPr>
              <w:pStyle w:val="6"/>
              <w:spacing w:before="213" w:line="221" w:lineRule="auto"/>
              <w:ind w:left="764"/>
              <w:rPr>
                <w:sz w:val="21"/>
                <w:szCs w:val="21"/>
              </w:rPr>
            </w:pPr>
            <w:r>
              <w:rPr>
                <w:rFonts w:ascii="Times New Roman" w:hAnsi="Times New Roman" w:eastAsia="Times New Roman" w:cs="Times New Roman"/>
                <w:spacing w:val="-2"/>
                <w:sz w:val="21"/>
                <w:szCs w:val="21"/>
              </w:rPr>
              <w:t>I</w:t>
            </w:r>
            <w:r>
              <w:rPr>
                <w:rFonts w:ascii="Times New Roman" w:hAnsi="Times New Roman" w:eastAsia="Times New Roman" w:cs="Times New Roman"/>
                <w:spacing w:val="7"/>
                <w:sz w:val="21"/>
                <w:szCs w:val="21"/>
              </w:rPr>
              <w:t xml:space="preserve"> </w:t>
            </w:r>
            <w:r>
              <w:rPr>
                <w:spacing w:val="-2"/>
                <w:sz w:val="21"/>
                <w:szCs w:val="21"/>
              </w:rPr>
              <w:t>类项目</w:t>
            </w:r>
          </w:p>
        </w:tc>
        <w:tc>
          <w:tcPr>
            <w:tcW w:w="2280" w:type="dxa"/>
            <w:tcBorders>
              <w:top w:val="single" w:color="000000" w:sz="10" w:space="0"/>
            </w:tcBorders>
            <w:vAlign w:val="top"/>
          </w:tcPr>
          <w:p>
            <w:pPr>
              <w:pStyle w:val="6"/>
              <w:spacing w:before="213" w:line="221" w:lineRule="auto"/>
              <w:ind w:left="762"/>
              <w:rPr>
                <w:sz w:val="21"/>
                <w:szCs w:val="21"/>
              </w:rPr>
            </w:pPr>
            <w:r>
              <w:rPr>
                <w:spacing w:val="-11"/>
                <w:sz w:val="21"/>
                <w:szCs w:val="21"/>
              </w:rPr>
              <w:t>Ⅱ类项目</w:t>
            </w:r>
          </w:p>
        </w:tc>
        <w:tc>
          <w:tcPr>
            <w:tcW w:w="2278" w:type="dxa"/>
            <w:tcBorders>
              <w:top w:val="single" w:color="000000" w:sz="10" w:space="0"/>
              <w:right w:val="nil"/>
            </w:tcBorders>
            <w:vAlign w:val="top"/>
          </w:tcPr>
          <w:p>
            <w:pPr>
              <w:pStyle w:val="6"/>
              <w:spacing w:before="213" w:line="221" w:lineRule="auto"/>
              <w:ind w:left="723"/>
              <w:rPr>
                <w:sz w:val="21"/>
                <w:szCs w:val="21"/>
              </w:rPr>
            </w:pPr>
            <w:r>
              <w:rPr>
                <w:spacing w:val="-1"/>
                <w:sz w:val="21"/>
                <w:szCs w:val="21"/>
              </w:rPr>
              <w:t>Ⅲ类项目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294" w:type="dxa"/>
            <w:tcBorders>
              <w:left w:val="nil"/>
            </w:tcBorders>
            <w:vAlign w:val="top"/>
          </w:tcPr>
          <w:p>
            <w:pPr>
              <w:pStyle w:val="6"/>
              <w:spacing w:before="74" w:line="221" w:lineRule="auto"/>
              <w:ind w:left="952"/>
              <w:rPr>
                <w:sz w:val="21"/>
                <w:szCs w:val="21"/>
              </w:rPr>
            </w:pPr>
            <w:r>
              <w:rPr>
                <w:spacing w:val="-2"/>
                <w:sz w:val="21"/>
                <w:szCs w:val="21"/>
              </w:rPr>
              <w:t>敏感</w:t>
            </w:r>
          </w:p>
        </w:tc>
        <w:tc>
          <w:tcPr>
            <w:tcW w:w="2278" w:type="dxa"/>
            <w:vAlign w:val="top"/>
          </w:tcPr>
          <w:p>
            <w:pPr>
              <w:pStyle w:val="6"/>
              <w:spacing w:before="153" w:line="163" w:lineRule="exact"/>
              <w:ind w:left="1042"/>
              <w:rPr>
                <w:sz w:val="21"/>
                <w:szCs w:val="21"/>
              </w:rPr>
            </w:pPr>
            <w:r>
              <w:rPr>
                <w:position w:val="-4"/>
                <w:sz w:val="21"/>
                <w:szCs w:val="21"/>
              </w:rPr>
              <w:t>一</w:t>
            </w:r>
          </w:p>
        </w:tc>
        <w:tc>
          <w:tcPr>
            <w:tcW w:w="2280" w:type="dxa"/>
            <w:vAlign w:val="top"/>
          </w:tcPr>
          <w:p>
            <w:pPr>
              <w:pStyle w:val="6"/>
              <w:spacing w:before="153" w:line="163" w:lineRule="exact"/>
              <w:ind w:left="1044"/>
              <w:rPr>
                <w:sz w:val="21"/>
                <w:szCs w:val="21"/>
              </w:rPr>
            </w:pPr>
            <w:r>
              <w:rPr>
                <w:position w:val="-4"/>
                <w:sz w:val="21"/>
                <w:szCs w:val="21"/>
              </w:rPr>
              <w:t>一</w:t>
            </w:r>
          </w:p>
        </w:tc>
        <w:tc>
          <w:tcPr>
            <w:tcW w:w="2278" w:type="dxa"/>
            <w:tcBorders>
              <w:right w:val="nil"/>
            </w:tcBorders>
            <w:vAlign w:val="top"/>
          </w:tcPr>
          <w:p>
            <w:pPr>
              <w:pStyle w:val="6"/>
              <w:spacing w:before="113" w:line="179" w:lineRule="auto"/>
              <w:ind w:left="1042"/>
              <w:rPr>
                <w:sz w:val="21"/>
                <w:szCs w:val="21"/>
              </w:rPr>
            </w:pPr>
            <w:r>
              <w:rPr>
                <w:sz w:val="21"/>
                <w:szCs w:val="21"/>
              </w:rP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294" w:type="dxa"/>
            <w:tcBorders>
              <w:left w:val="nil"/>
            </w:tcBorders>
            <w:vAlign w:val="top"/>
          </w:tcPr>
          <w:p>
            <w:pPr>
              <w:pStyle w:val="6"/>
              <w:spacing w:before="79" w:line="220" w:lineRule="auto"/>
              <w:ind w:left="845"/>
              <w:rPr>
                <w:sz w:val="21"/>
                <w:szCs w:val="21"/>
              </w:rPr>
            </w:pPr>
            <w:r>
              <w:rPr>
                <w:spacing w:val="-2"/>
                <w:sz w:val="21"/>
                <w:szCs w:val="21"/>
              </w:rPr>
              <w:t>较敏感</w:t>
            </w:r>
          </w:p>
        </w:tc>
        <w:tc>
          <w:tcPr>
            <w:tcW w:w="2278" w:type="dxa"/>
            <w:vAlign w:val="top"/>
          </w:tcPr>
          <w:p>
            <w:pPr>
              <w:pStyle w:val="6"/>
              <w:spacing w:before="158" w:line="163" w:lineRule="exact"/>
              <w:ind w:left="1042"/>
              <w:rPr>
                <w:sz w:val="21"/>
                <w:szCs w:val="21"/>
              </w:rPr>
            </w:pPr>
            <w:r>
              <w:rPr>
                <w:position w:val="-4"/>
                <w:sz w:val="21"/>
                <w:szCs w:val="21"/>
              </w:rPr>
              <w:t>一</w:t>
            </w:r>
          </w:p>
        </w:tc>
        <w:tc>
          <w:tcPr>
            <w:tcW w:w="2280" w:type="dxa"/>
            <w:vAlign w:val="top"/>
          </w:tcPr>
          <w:p>
            <w:pPr>
              <w:pStyle w:val="6"/>
              <w:spacing w:before="64" w:line="233" w:lineRule="auto"/>
              <w:ind w:left="775"/>
              <w:rPr>
                <w:sz w:val="21"/>
                <w:szCs w:val="21"/>
              </w:rPr>
            </w:pPr>
            <w:r>
              <w:rPr>
                <w:spacing w:val="14"/>
                <w:sz w:val="21"/>
                <w:szCs w:val="21"/>
                <w14:textOutline w14:w="3831" w14:cap="flat" w14:cmpd="sng">
                  <w14:solidFill>
                    <w14:srgbClr w14:val="000000"/>
                  </w14:solidFill>
                  <w14:prstDash w14:val="solid"/>
                  <w14:round/>
                </w14:textOutline>
              </w:rPr>
              <w:t>二(</w:t>
            </w:r>
            <w:r>
              <w:rPr>
                <w:spacing w:val="-64"/>
                <w:sz w:val="21"/>
                <w:szCs w:val="21"/>
              </w:rPr>
              <w:t xml:space="preserve"> </w:t>
            </w:r>
            <w:r>
              <w:rPr>
                <w:rFonts w:ascii="Times New Roman" w:hAnsi="Times New Roman" w:eastAsia="Times New Roman" w:cs="Times New Roman"/>
                <w:b/>
                <w:bCs/>
                <w:spacing w:val="14"/>
                <w:sz w:val="21"/>
                <w:szCs w:val="21"/>
              </w:rPr>
              <w:t>√</w:t>
            </w:r>
            <w:r>
              <w:rPr>
                <w:rFonts w:ascii="Times New Roman" w:hAnsi="Times New Roman" w:eastAsia="Times New Roman" w:cs="Times New Roman"/>
                <w:b/>
                <w:bCs/>
                <w:spacing w:val="-25"/>
                <w:sz w:val="21"/>
                <w:szCs w:val="21"/>
              </w:rPr>
              <w:t xml:space="preserve"> </w:t>
            </w:r>
            <w:r>
              <w:rPr>
                <w:spacing w:val="14"/>
                <w:sz w:val="21"/>
                <w:szCs w:val="21"/>
                <w14:textOutline w14:w="3831" w14:cap="flat" w14:cmpd="sng">
                  <w14:solidFill>
                    <w14:srgbClr w14:val="000000"/>
                  </w14:solidFill>
                  <w14:prstDash w14:val="solid"/>
                  <w14:round/>
                </w14:textOutline>
              </w:rPr>
              <w:t>)</w:t>
            </w:r>
          </w:p>
        </w:tc>
        <w:tc>
          <w:tcPr>
            <w:tcW w:w="2278" w:type="dxa"/>
            <w:tcBorders>
              <w:right w:val="nil"/>
            </w:tcBorders>
            <w:vAlign w:val="top"/>
          </w:tcPr>
          <w:p>
            <w:pPr>
              <w:pStyle w:val="6"/>
              <w:spacing w:before="79" w:line="220" w:lineRule="auto"/>
              <w:ind w:left="1038"/>
              <w:rPr>
                <w:sz w:val="21"/>
                <w:szCs w:val="21"/>
              </w:rPr>
            </w:pPr>
            <w:r>
              <w:rPr>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294" w:type="dxa"/>
            <w:tcBorders>
              <w:left w:val="nil"/>
              <w:bottom w:val="single" w:color="000000" w:sz="10" w:space="0"/>
            </w:tcBorders>
            <w:vAlign w:val="top"/>
          </w:tcPr>
          <w:p>
            <w:pPr>
              <w:pStyle w:val="6"/>
              <w:spacing w:before="84" w:line="221" w:lineRule="auto"/>
              <w:ind w:left="849"/>
              <w:rPr>
                <w:sz w:val="21"/>
                <w:szCs w:val="21"/>
              </w:rPr>
            </w:pPr>
            <w:r>
              <w:rPr>
                <w:spacing w:val="-2"/>
                <w:sz w:val="21"/>
                <w:szCs w:val="21"/>
              </w:rPr>
              <w:t>不敏感</w:t>
            </w:r>
          </w:p>
        </w:tc>
        <w:tc>
          <w:tcPr>
            <w:tcW w:w="2278" w:type="dxa"/>
            <w:tcBorders>
              <w:bottom w:val="single" w:color="000000" w:sz="10" w:space="0"/>
            </w:tcBorders>
            <w:vAlign w:val="top"/>
          </w:tcPr>
          <w:p>
            <w:pPr>
              <w:pStyle w:val="6"/>
              <w:spacing w:before="123" w:line="179" w:lineRule="auto"/>
              <w:ind w:left="1042"/>
              <w:rPr>
                <w:sz w:val="21"/>
                <w:szCs w:val="21"/>
              </w:rPr>
            </w:pPr>
            <w:r>
              <w:rPr>
                <w:sz w:val="21"/>
                <w:szCs w:val="21"/>
              </w:rPr>
              <w:t>二</w:t>
            </w:r>
          </w:p>
        </w:tc>
        <w:tc>
          <w:tcPr>
            <w:tcW w:w="2280" w:type="dxa"/>
            <w:tcBorders>
              <w:bottom w:val="single" w:color="000000" w:sz="10" w:space="0"/>
            </w:tcBorders>
            <w:vAlign w:val="top"/>
          </w:tcPr>
          <w:p>
            <w:pPr>
              <w:pStyle w:val="6"/>
              <w:spacing w:before="84" w:line="238" w:lineRule="auto"/>
              <w:ind w:left="1041"/>
              <w:rPr>
                <w:sz w:val="21"/>
                <w:szCs w:val="21"/>
              </w:rPr>
            </w:pPr>
            <w:r>
              <w:rPr>
                <w:sz w:val="21"/>
                <w:szCs w:val="21"/>
              </w:rPr>
              <w:t>三</w:t>
            </w:r>
          </w:p>
        </w:tc>
        <w:tc>
          <w:tcPr>
            <w:tcW w:w="2278" w:type="dxa"/>
            <w:tcBorders>
              <w:bottom w:val="single" w:color="000000" w:sz="10" w:space="0"/>
              <w:right w:val="nil"/>
            </w:tcBorders>
            <w:vAlign w:val="top"/>
          </w:tcPr>
          <w:p>
            <w:pPr>
              <w:pStyle w:val="6"/>
              <w:spacing w:before="84" w:line="238" w:lineRule="auto"/>
              <w:ind w:left="1038"/>
              <w:rPr>
                <w:sz w:val="21"/>
                <w:szCs w:val="21"/>
              </w:rPr>
            </w:pPr>
            <w:r>
              <w:rPr>
                <w:sz w:val="21"/>
                <w:szCs w:val="21"/>
              </w:rPr>
              <w:t>三</w:t>
            </w:r>
          </w:p>
        </w:tc>
      </w:tr>
    </w:tbl>
    <w:p>
      <w:pPr>
        <w:spacing w:before="171" w:line="219" w:lineRule="auto"/>
        <w:ind w:left="140"/>
        <w:rPr>
          <w:rFonts w:ascii="宋体" w:hAnsi="宋体" w:eastAsia="宋体" w:cs="宋体"/>
          <w:sz w:val="28"/>
          <w:szCs w:val="28"/>
        </w:rPr>
      </w:pPr>
      <w:r>
        <w:rPr>
          <w:rFonts w:ascii="Times New Roman" w:hAnsi="Times New Roman" w:eastAsia="Times New Roman" w:cs="Times New Roman"/>
          <w:b/>
          <w:bCs/>
          <w:spacing w:val="-2"/>
          <w:sz w:val="28"/>
          <w:szCs w:val="28"/>
        </w:rPr>
        <w:t xml:space="preserve">1.5.2    </w:t>
      </w:r>
      <w:r>
        <w:rPr>
          <w:rFonts w:ascii="宋体" w:hAnsi="宋体" w:eastAsia="宋体" w:cs="宋体"/>
          <w:spacing w:val="-2"/>
          <w:sz w:val="28"/>
          <w:szCs w:val="28"/>
          <w14:textOutline w14:w="5094" w14:cap="flat" w14:cmpd="sng">
            <w14:solidFill>
              <w14:srgbClr w14:val="000000"/>
            </w14:solidFill>
            <w14:prstDash w14:val="solid"/>
            <w14:round/>
          </w14:textOutline>
        </w:rPr>
        <w:t>评价范围</w:t>
      </w:r>
    </w:p>
    <w:p>
      <w:pPr>
        <w:spacing w:before="237" w:line="360" w:lineRule="auto"/>
        <w:ind w:left="130" w:right="109" w:firstLine="479"/>
        <w:jc w:val="both"/>
        <w:rPr>
          <w:rFonts w:ascii="宋体" w:hAnsi="宋体" w:eastAsia="宋体" w:cs="宋体"/>
          <w:sz w:val="24"/>
          <w:szCs w:val="24"/>
        </w:rPr>
      </w:pPr>
      <w:r>
        <w:rPr>
          <w:rFonts w:ascii="宋体" w:hAnsi="宋体" w:eastAsia="宋体" w:cs="宋体"/>
          <w:spacing w:val="-6"/>
          <w:sz w:val="24"/>
          <w:szCs w:val="24"/>
        </w:rPr>
        <w:t>评价区内地层平缓， 展布宽阔，水量较小， 含水层未遭受切</w:t>
      </w:r>
      <w:r>
        <w:rPr>
          <w:rFonts w:ascii="宋体" w:hAnsi="宋体" w:eastAsia="宋体" w:cs="宋体"/>
          <w:spacing w:val="-7"/>
          <w:sz w:val="24"/>
          <w:szCs w:val="24"/>
        </w:rPr>
        <w:t>割破坏，具有较大的</w:t>
      </w:r>
      <w:r>
        <w:rPr>
          <w:rFonts w:ascii="宋体" w:hAnsi="宋体" w:eastAsia="宋体" w:cs="宋体"/>
          <w:sz w:val="24"/>
          <w:szCs w:val="24"/>
        </w:rPr>
        <w:t xml:space="preserve"> 补给范围，地下水类型为构造裂隙水，地下水的径流受岩性、构造及地貌的控制，构</w:t>
      </w:r>
      <w:r>
        <w:rPr>
          <w:rFonts w:ascii="宋体" w:hAnsi="宋体" w:eastAsia="宋体" w:cs="宋体"/>
          <w:spacing w:val="3"/>
          <w:sz w:val="24"/>
          <w:szCs w:val="24"/>
        </w:rPr>
        <w:t xml:space="preserve"> </w:t>
      </w:r>
      <w:r>
        <w:rPr>
          <w:rFonts w:ascii="宋体" w:hAnsi="宋体" w:eastAsia="宋体" w:cs="宋体"/>
          <w:spacing w:val="-3"/>
          <w:sz w:val="24"/>
          <w:szCs w:val="24"/>
        </w:rPr>
        <w:t>造和裂隙发育程度对富水性起着控制作用。 含水层接受大气降水补给后，地下水</w:t>
      </w:r>
      <w:r>
        <w:rPr>
          <w:rFonts w:ascii="宋体" w:hAnsi="宋体" w:eastAsia="宋体" w:cs="宋体"/>
          <w:spacing w:val="-4"/>
          <w:sz w:val="24"/>
          <w:szCs w:val="24"/>
        </w:rPr>
        <w:t>主要</w:t>
      </w:r>
      <w:r>
        <w:rPr>
          <w:rFonts w:ascii="宋体" w:hAnsi="宋体" w:eastAsia="宋体" w:cs="宋体"/>
          <w:sz w:val="24"/>
          <w:szCs w:val="24"/>
        </w:rPr>
        <w:t xml:space="preserve"> 是通过构造裂隙和层间裂隙沿着岩层的倾斜方向作倾向运动，地下水在地表侵蚀基准</w:t>
      </w:r>
    </w:p>
    <w:p>
      <w:pPr>
        <w:spacing w:line="219" w:lineRule="auto"/>
        <w:ind w:left="132"/>
        <w:rPr>
          <w:rFonts w:ascii="宋体" w:hAnsi="宋体" w:eastAsia="宋体" w:cs="宋体"/>
          <w:sz w:val="24"/>
          <w:szCs w:val="24"/>
        </w:rPr>
      </w:pPr>
      <w:r>
        <w:rPr>
          <w:rFonts w:ascii="宋体" w:hAnsi="宋体" w:eastAsia="宋体" w:cs="宋体"/>
          <w:spacing w:val="-5"/>
          <w:sz w:val="24"/>
          <w:szCs w:val="24"/>
        </w:rPr>
        <w:t>面之上以下降泉排泄。</w:t>
      </w:r>
    </w:p>
    <w:p>
      <w:pPr>
        <w:spacing w:before="183" w:line="360" w:lineRule="auto"/>
        <w:ind w:left="131" w:right="111" w:firstLine="479"/>
        <w:jc w:val="both"/>
        <w:rPr>
          <w:rFonts w:ascii="宋体" w:hAnsi="宋体" w:eastAsia="宋体" w:cs="宋体"/>
          <w:sz w:val="24"/>
          <w:szCs w:val="24"/>
        </w:rPr>
      </w:pPr>
      <w:r>
        <w:rPr>
          <w:rFonts w:ascii="宋体" w:hAnsi="宋体" w:eastAsia="宋体" w:cs="宋体"/>
          <w:sz w:val="24"/>
          <w:szCs w:val="24"/>
        </w:rPr>
        <w:t>拟建项目地下水环境现状调查和环境影响评价范围依据《环境影响评价技术导则</w:t>
      </w:r>
      <w:r>
        <w:rPr>
          <w:rFonts w:ascii="宋体" w:hAnsi="宋体" w:eastAsia="宋体" w:cs="宋体"/>
          <w:spacing w:val="6"/>
          <w:sz w:val="24"/>
          <w:szCs w:val="24"/>
        </w:rPr>
        <w:t xml:space="preserve"> </w:t>
      </w:r>
      <w:r>
        <w:rPr>
          <w:rFonts w:ascii="宋体" w:hAnsi="宋体" w:eastAsia="宋体" w:cs="宋体"/>
          <w:spacing w:val="-4"/>
          <w:sz w:val="24"/>
          <w:szCs w:val="24"/>
        </w:rPr>
        <w:t>地下水环境》（</w:t>
      </w:r>
      <w:r>
        <w:rPr>
          <w:rFonts w:ascii="Times New Roman" w:hAnsi="Times New Roman" w:eastAsia="Times New Roman" w:cs="Times New Roman"/>
          <w:spacing w:val="-4"/>
          <w:sz w:val="24"/>
          <w:szCs w:val="24"/>
        </w:rPr>
        <w:t>HJ 610-2016</w:t>
      </w:r>
      <w:r>
        <w:rPr>
          <w:rFonts w:ascii="宋体" w:hAnsi="宋体" w:eastAsia="宋体" w:cs="宋体"/>
          <w:spacing w:val="-57"/>
          <w:sz w:val="24"/>
          <w:szCs w:val="24"/>
        </w:rPr>
        <w:t>），</w:t>
      </w:r>
      <w:r>
        <w:rPr>
          <w:rFonts w:ascii="宋体" w:hAnsi="宋体" w:eastAsia="宋体" w:cs="宋体"/>
          <w:spacing w:val="-4"/>
          <w:sz w:val="24"/>
          <w:szCs w:val="24"/>
        </w:rPr>
        <w:t>根据项目特点及其所在区域水文地质条件、地下水环境</w:t>
      </w:r>
    </w:p>
    <w:p>
      <w:pPr>
        <w:spacing w:before="1" w:line="218" w:lineRule="auto"/>
        <w:ind w:left="132"/>
        <w:rPr>
          <w:rFonts w:ascii="宋体" w:hAnsi="宋体" w:eastAsia="宋体" w:cs="宋体"/>
          <w:sz w:val="24"/>
          <w:szCs w:val="24"/>
        </w:rPr>
      </w:pPr>
      <w:r>
        <w:rPr>
          <w:rFonts w:ascii="宋体" w:hAnsi="宋体" w:eastAsia="宋体" w:cs="宋体"/>
          <w:spacing w:val="-2"/>
          <w:sz w:val="24"/>
          <w:szCs w:val="24"/>
        </w:rPr>
        <w:t>保护目标、地下水环境现状、地下水基本流场特征等因素。</w:t>
      </w:r>
    </w:p>
    <w:p>
      <w:pPr>
        <w:spacing w:before="184" w:line="360" w:lineRule="auto"/>
        <w:ind w:left="131" w:right="115" w:firstLine="480"/>
        <w:jc w:val="both"/>
        <w:rPr>
          <w:rFonts w:ascii="宋体" w:hAnsi="宋体" w:eastAsia="宋体" w:cs="宋体"/>
          <w:sz w:val="24"/>
          <w:szCs w:val="24"/>
        </w:rPr>
      </w:pPr>
      <w:r>
        <w:rPr>
          <w:rFonts w:ascii="宋体" w:hAnsi="宋体" w:eastAsia="宋体" w:cs="宋体"/>
          <w:spacing w:val="-2"/>
          <w:sz w:val="24"/>
          <w:szCs w:val="24"/>
        </w:rPr>
        <w:t>《环境影响评价技术导则地下水环境》（</w:t>
      </w:r>
      <w:r>
        <w:rPr>
          <w:rFonts w:ascii="Times New Roman" w:hAnsi="Times New Roman" w:eastAsia="Times New Roman" w:cs="Times New Roman"/>
          <w:spacing w:val="-2"/>
          <w:sz w:val="24"/>
          <w:szCs w:val="24"/>
        </w:rPr>
        <w:t xml:space="preserve">HJ </w:t>
      </w:r>
      <w:r>
        <w:rPr>
          <w:rFonts w:ascii="Times New Roman" w:hAnsi="Times New Roman" w:eastAsia="Times New Roman" w:cs="Times New Roman"/>
          <w:spacing w:val="-3"/>
          <w:sz w:val="24"/>
          <w:szCs w:val="24"/>
        </w:rPr>
        <w:t xml:space="preserve"> 610-2016</w:t>
      </w:r>
      <w:r>
        <w:rPr>
          <w:rFonts w:ascii="宋体" w:hAnsi="宋体" w:eastAsia="宋体" w:cs="宋体"/>
          <w:spacing w:val="-3"/>
          <w:sz w:val="24"/>
          <w:szCs w:val="24"/>
        </w:rPr>
        <w:t>）中给出了评价范围确定的</w:t>
      </w:r>
      <w:r>
        <w:rPr>
          <w:rFonts w:ascii="宋体" w:hAnsi="宋体" w:eastAsia="宋体" w:cs="宋体"/>
          <w:sz w:val="24"/>
          <w:szCs w:val="24"/>
        </w:rPr>
        <w:t xml:space="preserve"> 方法，当建设项目所在地水文地质条件相对简单，且所掌握的资料能够满足公式计算</w:t>
      </w:r>
      <w:r>
        <w:rPr>
          <w:rFonts w:ascii="宋体" w:hAnsi="宋体" w:eastAsia="宋体" w:cs="宋体"/>
          <w:spacing w:val="2"/>
          <w:sz w:val="24"/>
          <w:szCs w:val="24"/>
        </w:rPr>
        <w:t xml:space="preserve"> </w:t>
      </w:r>
      <w:r>
        <w:rPr>
          <w:rFonts w:ascii="宋体" w:hAnsi="宋体" w:eastAsia="宋体" w:cs="宋体"/>
          <w:spacing w:val="-5"/>
          <w:sz w:val="24"/>
          <w:szCs w:val="24"/>
        </w:rPr>
        <w:t>法的要求时，</w:t>
      </w:r>
      <w:r>
        <w:rPr>
          <w:rFonts w:ascii="宋体" w:hAnsi="宋体" w:eastAsia="宋体" w:cs="宋体"/>
          <w:spacing w:val="65"/>
          <w:sz w:val="24"/>
          <w:szCs w:val="24"/>
        </w:rPr>
        <w:t xml:space="preserve"> </w:t>
      </w:r>
      <w:r>
        <w:rPr>
          <w:rFonts w:ascii="宋体" w:hAnsi="宋体" w:eastAsia="宋体" w:cs="宋体"/>
          <w:spacing w:val="-5"/>
          <w:sz w:val="24"/>
          <w:szCs w:val="24"/>
        </w:rPr>
        <w:t>应采用公式计算法确定；当不满足公式计算法的要求时，</w:t>
      </w:r>
      <w:r>
        <w:rPr>
          <w:rFonts w:ascii="宋体" w:hAnsi="宋体" w:eastAsia="宋体" w:cs="宋体"/>
          <w:spacing w:val="-6"/>
          <w:sz w:val="24"/>
          <w:szCs w:val="24"/>
        </w:rPr>
        <w:t>可采用查表法</w:t>
      </w:r>
      <w:r>
        <w:rPr>
          <w:rFonts w:ascii="宋体" w:hAnsi="宋体" w:eastAsia="宋体" w:cs="宋体"/>
          <w:sz w:val="24"/>
          <w:szCs w:val="24"/>
        </w:rPr>
        <w:t xml:space="preserve"> 确定。当计算或查表范围超出所处水文地质单元边界时，应以所处水文地质单元边界</w:t>
      </w:r>
    </w:p>
    <w:p>
      <w:pPr>
        <w:spacing w:before="1" w:line="220" w:lineRule="auto"/>
        <w:ind w:left="134"/>
        <w:rPr>
          <w:rFonts w:ascii="宋体" w:hAnsi="宋体" w:eastAsia="宋体" w:cs="宋体"/>
          <w:sz w:val="24"/>
          <w:szCs w:val="24"/>
        </w:rPr>
      </w:pPr>
      <w:r>
        <w:rPr>
          <w:rFonts w:ascii="宋体" w:hAnsi="宋体" w:eastAsia="宋体" w:cs="宋体"/>
          <w:spacing w:val="-11"/>
          <w:sz w:val="24"/>
          <w:szCs w:val="24"/>
        </w:rPr>
        <w:t>为宜。</w:t>
      </w:r>
    </w:p>
    <w:p>
      <w:pPr>
        <w:spacing w:before="181" w:line="219" w:lineRule="auto"/>
        <w:ind w:left="611"/>
        <w:rPr>
          <w:rFonts w:ascii="宋体" w:hAnsi="宋体" w:eastAsia="宋体" w:cs="宋体"/>
          <w:sz w:val="24"/>
          <w:szCs w:val="24"/>
        </w:rPr>
      </w:pPr>
      <w:r>
        <w:rPr>
          <w:rFonts w:ascii="宋体" w:hAnsi="宋体" w:eastAsia="宋体" w:cs="宋体"/>
          <w:sz w:val="24"/>
          <w:szCs w:val="24"/>
        </w:rPr>
        <w:t>拟建工程场地周边地下水类型为构造裂隙水，水文地质条件相对简单，且基本掌</w:t>
      </w:r>
    </w:p>
    <w:p>
      <w:pPr>
        <w:spacing w:line="219" w:lineRule="auto"/>
        <w:rPr>
          <w:rFonts w:ascii="宋体" w:hAnsi="宋体" w:eastAsia="宋体" w:cs="宋体"/>
          <w:sz w:val="24"/>
          <w:szCs w:val="24"/>
        </w:rPr>
        <w:sectPr>
          <w:footerReference r:id="rId165" w:type="default"/>
          <w:pgSz w:w="11907" w:h="16839"/>
          <w:pgMar w:top="400" w:right="1308" w:bottom="877" w:left="1466" w:header="0" w:footer="717" w:gutter="0"/>
          <w:cols w:space="720" w:num="1"/>
        </w:sectPr>
      </w:pPr>
    </w:p>
    <w:p>
      <w:pPr>
        <w:pStyle w:val="2"/>
        <w:spacing w:line="267"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78" w:line="360" w:lineRule="auto"/>
        <w:ind w:left="1" w:right="212" w:hanging="1"/>
        <w:rPr>
          <w:rFonts w:ascii="宋体" w:hAnsi="宋体" w:eastAsia="宋体" w:cs="宋体"/>
          <w:sz w:val="24"/>
          <w:szCs w:val="24"/>
        </w:rPr>
      </w:pPr>
      <w:r>
        <w:rPr>
          <w:rFonts w:ascii="宋体" w:hAnsi="宋体" w:eastAsia="宋体" w:cs="宋体"/>
          <w:spacing w:val="-5"/>
          <w:sz w:val="24"/>
          <w:szCs w:val="24"/>
        </w:rPr>
        <w:t>握了场地周边含水层渗透系数、水力坡度等水文地质参数，</w:t>
      </w:r>
      <w:r>
        <w:rPr>
          <w:rFonts w:ascii="宋体" w:hAnsi="宋体" w:eastAsia="宋体" w:cs="宋体"/>
          <w:spacing w:val="67"/>
          <w:sz w:val="24"/>
          <w:szCs w:val="24"/>
        </w:rPr>
        <w:t xml:space="preserve"> </w:t>
      </w:r>
      <w:r>
        <w:rPr>
          <w:rFonts w:ascii="宋体" w:hAnsi="宋体" w:eastAsia="宋体" w:cs="宋体"/>
          <w:spacing w:val="-5"/>
          <w:sz w:val="24"/>
          <w:szCs w:val="24"/>
        </w:rPr>
        <w:t>满足采用公式计算法的要</w:t>
      </w:r>
      <w:r>
        <w:rPr>
          <w:rFonts w:ascii="宋体" w:hAnsi="宋体" w:eastAsia="宋体" w:cs="宋体"/>
          <w:sz w:val="24"/>
          <w:szCs w:val="24"/>
        </w:rPr>
        <w:t xml:space="preserve"> </w:t>
      </w:r>
      <w:r>
        <w:rPr>
          <w:rFonts w:ascii="宋体" w:hAnsi="宋体" w:eastAsia="宋体" w:cs="宋体"/>
          <w:spacing w:val="-7"/>
          <w:sz w:val="24"/>
          <w:szCs w:val="24"/>
        </w:rPr>
        <w:t>求。因此，拟建工程评价范围的确定采用公式计算法结合具体水文地质单元条件确定。</w:t>
      </w:r>
    </w:p>
    <w:p>
      <w:pPr>
        <w:spacing w:line="219" w:lineRule="auto"/>
        <w:ind w:left="8"/>
        <w:rPr>
          <w:rFonts w:ascii="宋体" w:hAnsi="宋体" w:eastAsia="宋体" w:cs="宋体"/>
          <w:sz w:val="24"/>
          <w:szCs w:val="24"/>
        </w:rPr>
      </w:pPr>
      <w:r>
        <w:rPr>
          <w:rFonts w:ascii="宋体" w:hAnsi="宋体" w:eastAsia="宋体" w:cs="宋体"/>
          <w:spacing w:val="-8"/>
          <w:sz w:val="24"/>
          <w:szCs w:val="24"/>
        </w:rPr>
        <w:t>公式计算公式为：</w:t>
      </w:r>
    </w:p>
    <w:p>
      <w:pPr>
        <w:spacing w:before="217" w:line="433" w:lineRule="exact"/>
        <w:ind w:left="2996"/>
        <w:rPr>
          <w:rFonts w:ascii="Times New Roman" w:hAnsi="Times New Roman" w:eastAsia="Times New Roman" w:cs="Times New Roman"/>
          <w:sz w:val="24"/>
          <w:szCs w:val="24"/>
        </w:rPr>
      </w:pPr>
      <w:r>
        <w:rPr>
          <w:rFonts w:ascii="Times New Roman" w:hAnsi="Times New Roman" w:eastAsia="Times New Roman" w:cs="Times New Roman"/>
          <w:spacing w:val="-1"/>
          <w:position w:val="15"/>
          <w:sz w:val="24"/>
          <w:szCs w:val="24"/>
        </w:rPr>
        <w:t>L=α×K×I×T/ne</w:t>
      </w:r>
    </w:p>
    <w:p>
      <w:pPr>
        <w:spacing w:line="220" w:lineRule="auto"/>
        <w:ind w:left="485"/>
        <w:rPr>
          <w:rFonts w:ascii="宋体" w:hAnsi="宋体" w:eastAsia="宋体" w:cs="宋体"/>
          <w:sz w:val="24"/>
          <w:szCs w:val="24"/>
        </w:rPr>
      </w:pPr>
      <w:r>
        <w:rPr>
          <w:rFonts w:ascii="宋体" w:hAnsi="宋体" w:eastAsia="宋体" w:cs="宋体"/>
          <w:spacing w:val="-15"/>
          <w:sz w:val="24"/>
          <w:szCs w:val="24"/>
        </w:rPr>
        <w:t xml:space="preserve">式中： </w:t>
      </w:r>
      <w:r>
        <w:rPr>
          <w:rFonts w:ascii="Times New Roman" w:hAnsi="Times New Roman" w:eastAsia="Times New Roman" w:cs="Times New Roman"/>
          <w:spacing w:val="-15"/>
          <w:sz w:val="24"/>
          <w:szCs w:val="24"/>
        </w:rPr>
        <w:t>L—</w:t>
      </w:r>
      <w:r>
        <w:rPr>
          <w:rFonts w:ascii="Times New Roman" w:hAnsi="Times New Roman" w:eastAsia="Times New Roman" w:cs="Times New Roman"/>
          <w:spacing w:val="-46"/>
          <w:sz w:val="24"/>
          <w:szCs w:val="24"/>
        </w:rPr>
        <w:t xml:space="preserve"> </w:t>
      </w:r>
      <w:r>
        <w:rPr>
          <w:rFonts w:ascii="宋体" w:hAnsi="宋体" w:eastAsia="宋体" w:cs="宋体"/>
          <w:spacing w:val="-15"/>
          <w:sz w:val="24"/>
          <w:szCs w:val="24"/>
        </w:rPr>
        <w:t>下游迁移距离；</w:t>
      </w:r>
    </w:p>
    <w:p>
      <w:pPr>
        <w:spacing w:before="182" w:line="233" w:lineRule="auto"/>
        <w:ind w:left="1201"/>
        <w:rPr>
          <w:rFonts w:ascii="宋体" w:hAnsi="宋体" w:eastAsia="宋体" w:cs="宋体"/>
          <w:sz w:val="24"/>
          <w:szCs w:val="24"/>
        </w:rPr>
      </w:pPr>
      <w:r>
        <w:rPr>
          <w:rFonts w:ascii="Times New Roman" w:hAnsi="Times New Roman" w:eastAsia="Times New Roman" w:cs="Times New Roman"/>
          <w:spacing w:val="-2"/>
          <w:sz w:val="24"/>
          <w:szCs w:val="24"/>
        </w:rPr>
        <w:t>α—</w:t>
      </w:r>
      <w:r>
        <w:rPr>
          <w:rFonts w:ascii="宋体" w:hAnsi="宋体" w:eastAsia="宋体" w:cs="宋体"/>
          <w:spacing w:val="-2"/>
          <w:sz w:val="24"/>
          <w:szCs w:val="24"/>
        </w:rPr>
        <w:t>变化系数，取值</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pPr>
        <w:spacing w:before="164" w:line="468" w:lineRule="exact"/>
        <w:ind w:left="1195"/>
        <w:rPr>
          <w:rFonts w:ascii="宋体" w:hAnsi="宋体" w:eastAsia="宋体" w:cs="宋体"/>
          <w:sz w:val="24"/>
          <w:szCs w:val="24"/>
        </w:rPr>
      </w:pPr>
      <w:r>
        <w:rPr>
          <w:rFonts w:ascii="Times New Roman" w:hAnsi="Times New Roman" w:eastAsia="Times New Roman" w:cs="Times New Roman"/>
          <w:spacing w:val="-5"/>
          <w:position w:val="16"/>
          <w:sz w:val="24"/>
          <w:szCs w:val="24"/>
        </w:rPr>
        <w:t>K—</w:t>
      </w:r>
      <w:r>
        <w:rPr>
          <w:rFonts w:ascii="宋体" w:hAnsi="宋体" w:eastAsia="宋体" w:cs="宋体"/>
          <w:spacing w:val="-5"/>
          <w:position w:val="16"/>
          <w:sz w:val="24"/>
          <w:szCs w:val="24"/>
        </w:rPr>
        <w:t xml:space="preserve">渗透系数， </w:t>
      </w:r>
      <w:r>
        <w:rPr>
          <w:rFonts w:ascii="Times New Roman" w:hAnsi="Times New Roman" w:eastAsia="Times New Roman" w:cs="Times New Roman"/>
          <w:spacing w:val="-5"/>
          <w:position w:val="16"/>
          <w:sz w:val="24"/>
          <w:szCs w:val="24"/>
        </w:rPr>
        <w:t>m/d</w:t>
      </w:r>
      <w:r>
        <w:rPr>
          <w:rFonts w:ascii="宋体" w:hAnsi="宋体" w:eastAsia="宋体" w:cs="宋体"/>
          <w:spacing w:val="-5"/>
          <w:position w:val="16"/>
          <w:sz w:val="24"/>
          <w:szCs w:val="24"/>
        </w:rPr>
        <w:t xml:space="preserve">，凤探 </w:t>
      </w:r>
      <w:r>
        <w:rPr>
          <w:rFonts w:ascii="Times New Roman" w:hAnsi="Times New Roman" w:eastAsia="Times New Roman" w:cs="Times New Roman"/>
          <w:spacing w:val="-5"/>
          <w:position w:val="16"/>
          <w:sz w:val="24"/>
          <w:szCs w:val="24"/>
        </w:rPr>
        <w:t xml:space="preserve">1  </w:t>
      </w:r>
      <w:r>
        <w:rPr>
          <w:rFonts w:ascii="宋体" w:hAnsi="宋体" w:eastAsia="宋体" w:cs="宋体"/>
          <w:spacing w:val="-5"/>
          <w:position w:val="16"/>
          <w:sz w:val="24"/>
          <w:szCs w:val="24"/>
        </w:rPr>
        <w:t>井位于山顶，参照评价区周边抽水试验结果，</w:t>
      </w:r>
    </w:p>
    <w:p>
      <w:pPr>
        <w:spacing w:before="1" w:line="233" w:lineRule="auto"/>
        <w:ind w:left="22"/>
        <w:rPr>
          <w:rFonts w:ascii="宋体" w:hAnsi="宋体" w:eastAsia="宋体" w:cs="宋体"/>
          <w:sz w:val="24"/>
          <w:szCs w:val="24"/>
        </w:rPr>
      </w:pPr>
      <w:r>
        <w:rPr>
          <w:rFonts w:ascii="宋体" w:hAnsi="宋体" w:eastAsia="宋体" w:cs="宋体"/>
          <w:spacing w:val="-3"/>
          <w:sz w:val="24"/>
          <w:szCs w:val="24"/>
        </w:rPr>
        <w:t>山顶处抽水试验值</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0.061m/d</w:t>
      </w:r>
      <w:r>
        <w:rPr>
          <w:rFonts w:ascii="宋体" w:hAnsi="宋体" w:eastAsia="宋体" w:cs="宋体"/>
          <w:spacing w:val="-3"/>
          <w:sz w:val="24"/>
          <w:szCs w:val="24"/>
        </w:rPr>
        <w:t>；</w:t>
      </w:r>
    </w:p>
    <w:p>
      <w:pPr>
        <w:spacing w:before="164" w:line="469" w:lineRule="exact"/>
        <w:ind w:left="1197"/>
        <w:rPr>
          <w:rFonts w:ascii="宋体" w:hAnsi="宋体" w:eastAsia="宋体" w:cs="宋体"/>
          <w:sz w:val="24"/>
          <w:szCs w:val="24"/>
        </w:rPr>
      </w:pPr>
      <w:r>
        <w:rPr>
          <w:rFonts w:ascii="Times New Roman" w:hAnsi="Times New Roman" w:eastAsia="Times New Roman" w:cs="Times New Roman"/>
          <w:spacing w:val="-5"/>
          <w:position w:val="17"/>
          <w:sz w:val="24"/>
          <w:szCs w:val="24"/>
        </w:rPr>
        <w:t>I—</w:t>
      </w:r>
      <w:r>
        <w:rPr>
          <w:rFonts w:ascii="宋体" w:hAnsi="宋体" w:eastAsia="宋体" w:cs="宋体"/>
          <w:spacing w:val="-5"/>
          <w:position w:val="17"/>
          <w:sz w:val="24"/>
          <w:szCs w:val="24"/>
        </w:rPr>
        <w:t>水力坡度， 根据井场周边地下水位计算</w:t>
      </w:r>
      <w:r>
        <w:rPr>
          <w:rFonts w:ascii="宋体" w:hAnsi="宋体" w:eastAsia="宋体" w:cs="宋体"/>
          <w:spacing w:val="-6"/>
          <w:position w:val="17"/>
          <w:sz w:val="24"/>
          <w:szCs w:val="24"/>
        </w:rPr>
        <w:t>确结果，拟建项目取站场所在地</w:t>
      </w:r>
    </w:p>
    <w:p>
      <w:pPr>
        <w:spacing w:line="233" w:lineRule="auto"/>
        <w:rPr>
          <w:rFonts w:ascii="宋体" w:hAnsi="宋体" w:eastAsia="宋体" w:cs="宋体"/>
          <w:sz w:val="24"/>
          <w:szCs w:val="24"/>
        </w:rPr>
      </w:pPr>
      <w:r>
        <w:rPr>
          <w:rFonts w:ascii="宋体" w:hAnsi="宋体" w:eastAsia="宋体" w:cs="宋体"/>
          <w:spacing w:val="-3"/>
          <w:sz w:val="24"/>
          <w:szCs w:val="24"/>
        </w:rPr>
        <w:t>平均水力坡度约为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1.7%</w:t>
      </w:r>
      <w:r>
        <w:rPr>
          <w:rFonts w:ascii="宋体" w:hAnsi="宋体" w:eastAsia="宋体" w:cs="宋体"/>
          <w:spacing w:val="-3"/>
          <w:sz w:val="24"/>
          <w:szCs w:val="24"/>
        </w:rPr>
        <w:t>；</w:t>
      </w:r>
    </w:p>
    <w:p>
      <w:pPr>
        <w:spacing w:before="164" w:line="220" w:lineRule="auto"/>
        <w:ind w:left="1198"/>
        <w:rPr>
          <w:rFonts w:ascii="宋体" w:hAnsi="宋体" w:eastAsia="宋体" w:cs="宋体"/>
          <w:sz w:val="24"/>
          <w:szCs w:val="24"/>
        </w:rPr>
      </w:pPr>
      <w:r>
        <w:rPr>
          <w:rFonts w:ascii="Times New Roman" w:hAnsi="Times New Roman" w:eastAsia="Times New Roman" w:cs="Times New Roman"/>
          <w:spacing w:val="-2"/>
          <w:sz w:val="24"/>
          <w:szCs w:val="24"/>
        </w:rPr>
        <w:t>T—</w:t>
      </w:r>
      <w:r>
        <w:rPr>
          <w:rFonts w:ascii="宋体" w:hAnsi="宋体" w:eastAsia="宋体" w:cs="宋体"/>
          <w:spacing w:val="-2"/>
          <w:sz w:val="24"/>
          <w:szCs w:val="24"/>
        </w:rPr>
        <w:t>质点迁移天数，取值</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5000d</w:t>
      </w:r>
      <w:r>
        <w:rPr>
          <w:rFonts w:ascii="宋体" w:hAnsi="宋体" w:eastAsia="宋体" w:cs="宋体"/>
          <w:spacing w:val="-2"/>
          <w:sz w:val="24"/>
          <w:szCs w:val="24"/>
        </w:rPr>
        <w:t>；</w:t>
      </w:r>
    </w:p>
    <w:p>
      <w:pPr>
        <w:spacing w:before="183" w:line="468" w:lineRule="exact"/>
        <w:jc w:val="right"/>
        <w:rPr>
          <w:rFonts w:ascii="宋体" w:hAnsi="宋体" w:eastAsia="宋体" w:cs="宋体"/>
          <w:sz w:val="24"/>
          <w:szCs w:val="24"/>
        </w:rPr>
      </w:pPr>
      <w:r>
        <w:rPr>
          <w:rFonts w:ascii="Times New Roman" w:hAnsi="Times New Roman" w:eastAsia="Times New Roman" w:cs="Times New Roman"/>
          <w:spacing w:val="-11"/>
          <w:position w:val="16"/>
          <w:sz w:val="24"/>
          <w:szCs w:val="24"/>
        </w:rPr>
        <w:t>ne—</w:t>
      </w:r>
      <w:r>
        <w:rPr>
          <w:rFonts w:ascii="宋体" w:hAnsi="宋体" w:eastAsia="宋体" w:cs="宋体"/>
          <w:spacing w:val="-11"/>
          <w:position w:val="16"/>
          <w:sz w:val="24"/>
          <w:szCs w:val="24"/>
        </w:rPr>
        <w:t>有效孔隙度，</w:t>
      </w:r>
      <w:r>
        <w:rPr>
          <w:rFonts w:ascii="宋体" w:hAnsi="宋体" w:eastAsia="宋体" w:cs="宋体"/>
          <w:spacing w:val="-34"/>
          <w:position w:val="16"/>
          <w:sz w:val="24"/>
          <w:szCs w:val="24"/>
        </w:rPr>
        <w:t xml:space="preserve"> </w:t>
      </w:r>
      <w:r>
        <w:rPr>
          <w:rFonts w:ascii="宋体" w:hAnsi="宋体" w:eastAsia="宋体" w:cs="宋体"/>
          <w:spacing w:val="-11"/>
          <w:position w:val="16"/>
          <w:sz w:val="24"/>
          <w:szCs w:val="24"/>
        </w:rPr>
        <w:t>结合井场含水层特征及周边水</w:t>
      </w:r>
      <w:r>
        <w:rPr>
          <w:rFonts w:ascii="宋体" w:hAnsi="宋体" w:eastAsia="宋体" w:cs="宋体"/>
          <w:spacing w:val="-12"/>
          <w:position w:val="16"/>
          <w:sz w:val="24"/>
          <w:szCs w:val="24"/>
        </w:rPr>
        <w:t>文地质勘查成果，</w:t>
      </w:r>
      <w:r>
        <w:rPr>
          <w:rFonts w:ascii="宋体" w:hAnsi="宋体" w:eastAsia="宋体" w:cs="宋体"/>
          <w:spacing w:val="-36"/>
          <w:position w:val="16"/>
          <w:sz w:val="24"/>
          <w:szCs w:val="24"/>
        </w:rPr>
        <w:t xml:space="preserve"> </w:t>
      </w:r>
      <w:r>
        <w:rPr>
          <w:rFonts w:ascii="宋体" w:hAnsi="宋体" w:eastAsia="宋体" w:cs="宋体"/>
          <w:spacing w:val="-12"/>
          <w:position w:val="16"/>
          <w:sz w:val="24"/>
          <w:szCs w:val="24"/>
        </w:rPr>
        <w:t>取值</w:t>
      </w:r>
      <w:r>
        <w:rPr>
          <w:rFonts w:ascii="宋体" w:hAnsi="宋体" w:eastAsia="宋体" w:cs="宋体"/>
          <w:spacing w:val="-51"/>
          <w:position w:val="16"/>
          <w:sz w:val="24"/>
          <w:szCs w:val="24"/>
        </w:rPr>
        <w:t xml:space="preserve"> </w:t>
      </w:r>
      <w:r>
        <w:rPr>
          <w:rFonts w:ascii="Times New Roman" w:hAnsi="Times New Roman" w:eastAsia="Times New Roman" w:cs="Times New Roman"/>
          <w:spacing w:val="-12"/>
          <w:position w:val="16"/>
          <w:sz w:val="24"/>
          <w:szCs w:val="24"/>
        </w:rPr>
        <w:t>0.08</w:t>
      </w:r>
      <w:r>
        <w:rPr>
          <w:rFonts w:ascii="宋体" w:hAnsi="宋体" w:eastAsia="宋体" w:cs="宋体"/>
          <w:spacing w:val="-12"/>
          <w:position w:val="16"/>
          <w:sz w:val="24"/>
          <w:szCs w:val="24"/>
        </w:rPr>
        <w:t>。</w:t>
      </w:r>
    </w:p>
    <w:p>
      <w:pPr>
        <w:spacing w:line="233" w:lineRule="auto"/>
        <w:ind w:left="482"/>
        <w:rPr>
          <w:rFonts w:ascii="宋体" w:hAnsi="宋体" w:eastAsia="宋体" w:cs="宋体"/>
          <w:sz w:val="24"/>
          <w:szCs w:val="24"/>
        </w:rPr>
      </w:pPr>
      <w:r>
        <w:rPr>
          <w:rFonts w:ascii="宋体" w:hAnsi="宋体" w:eastAsia="宋体" w:cs="宋体"/>
          <w:spacing w:val="-7"/>
          <w:sz w:val="24"/>
          <w:szCs w:val="24"/>
        </w:rPr>
        <w:t xml:space="preserve">经计算， </w:t>
      </w:r>
      <w:r>
        <w:rPr>
          <w:rFonts w:ascii="Times New Roman" w:hAnsi="Times New Roman" w:eastAsia="Times New Roman" w:cs="Times New Roman"/>
          <w:spacing w:val="-7"/>
          <w:sz w:val="24"/>
          <w:szCs w:val="24"/>
        </w:rPr>
        <w:t>L=129.6m</w:t>
      </w:r>
      <w:r>
        <w:rPr>
          <w:rFonts w:ascii="宋体" w:hAnsi="宋体" w:eastAsia="宋体" w:cs="宋体"/>
          <w:spacing w:val="-7"/>
          <w:sz w:val="24"/>
          <w:szCs w:val="24"/>
        </w:rPr>
        <w:t xml:space="preserve">。表明， </w:t>
      </w:r>
      <w:r>
        <w:rPr>
          <w:rFonts w:ascii="Times New Roman" w:hAnsi="Times New Roman" w:eastAsia="Times New Roman" w:cs="Times New Roman"/>
          <w:spacing w:val="-7"/>
          <w:sz w:val="24"/>
          <w:szCs w:val="24"/>
        </w:rPr>
        <w:t>5000</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天内水流迁移的最远距离</w:t>
      </w:r>
      <w:r>
        <w:rPr>
          <w:rFonts w:ascii="宋体" w:hAnsi="宋体" w:eastAsia="宋体" w:cs="宋体"/>
          <w:spacing w:val="-8"/>
          <w:sz w:val="24"/>
          <w:szCs w:val="24"/>
        </w:rPr>
        <w:t>为</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129.6m</w:t>
      </w:r>
      <w:r>
        <w:rPr>
          <w:rFonts w:ascii="宋体" w:hAnsi="宋体" w:eastAsia="宋体" w:cs="宋体"/>
          <w:spacing w:val="-8"/>
          <w:sz w:val="24"/>
          <w:szCs w:val="24"/>
        </w:rPr>
        <w:t>。</w:t>
      </w:r>
    </w:p>
    <w:p>
      <w:pPr>
        <w:spacing w:before="174" w:line="4740" w:lineRule="exact"/>
        <w:ind w:firstLine="2520"/>
      </w:pPr>
      <w:r>
        <w:rPr>
          <w:position w:val="-94"/>
        </w:rPr>
        <w:drawing>
          <wp:inline distT="0" distB="0" distL="0" distR="0">
            <wp:extent cx="2705100" cy="300990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51"/>
                    <a:stretch>
                      <a:fillRect/>
                    </a:stretch>
                  </pic:blipFill>
                  <pic:spPr>
                    <a:xfrm>
                      <a:off x="0" y="0"/>
                      <a:ext cx="2705100" cy="3009900"/>
                    </a:xfrm>
                    <a:prstGeom prst="rect">
                      <a:avLst/>
                    </a:prstGeom>
                  </pic:spPr>
                </pic:pic>
              </a:graphicData>
            </a:graphic>
          </wp:inline>
        </w:drawing>
      </w:r>
    </w:p>
    <w:p>
      <w:pPr>
        <w:spacing w:before="164" w:line="218" w:lineRule="auto"/>
        <w:ind w:left="148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图</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1.5-1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地下水环评技术导则给出的调查评价</w:t>
      </w:r>
      <w:r>
        <w:rPr>
          <w:rFonts w:ascii="宋体" w:hAnsi="宋体" w:eastAsia="宋体" w:cs="宋体"/>
          <w:spacing w:val="-2"/>
          <w:sz w:val="24"/>
          <w:szCs w:val="24"/>
          <w14:textOutline w14:w="4354" w14:cap="flat" w14:cmpd="sng">
            <w14:solidFill>
              <w14:srgbClr w14:val="000000"/>
            </w14:solidFill>
            <w14:prstDash w14:val="solid"/>
            <w14:miter w14:val="10"/>
          </w14:textOutline>
        </w:rPr>
        <w:t>范围示意图</w:t>
      </w:r>
    </w:p>
    <w:p>
      <w:pPr>
        <w:spacing w:before="262" w:line="360" w:lineRule="auto"/>
        <w:ind w:right="140" w:firstLine="480"/>
        <w:rPr>
          <w:rFonts w:ascii="宋体" w:hAnsi="宋体" w:eastAsia="宋体" w:cs="宋体"/>
          <w:sz w:val="24"/>
          <w:szCs w:val="24"/>
        </w:rPr>
      </w:pPr>
      <w:r>
        <w:rPr>
          <w:rFonts w:ascii="宋体" w:hAnsi="宋体" w:eastAsia="宋体" w:cs="宋体"/>
          <w:spacing w:val="1"/>
          <w:sz w:val="24"/>
          <w:szCs w:val="24"/>
        </w:rPr>
        <w:t>井场地下水类型为构造裂隙水，由于褶皱多较平缓，砂、泥岩层近于水平迭置，</w:t>
      </w:r>
      <w:r>
        <w:rPr>
          <w:rFonts w:ascii="宋体" w:hAnsi="宋体" w:eastAsia="宋体" w:cs="宋体"/>
          <w:spacing w:val="4"/>
          <w:sz w:val="24"/>
          <w:szCs w:val="24"/>
        </w:rPr>
        <w:t xml:space="preserve"> </w:t>
      </w:r>
      <w:r>
        <w:rPr>
          <w:rFonts w:ascii="宋体" w:hAnsi="宋体" w:eastAsia="宋体" w:cs="宋体"/>
          <w:spacing w:val="1"/>
          <w:sz w:val="24"/>
          <w:szCs w:val="24"/>
        </w:rPr>
        <w:t>倾角一般</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°,由于切割强烈，形成了许多长条形阶梯状台梁和深槽峡谷地貌景观，</w:t>
      </w:r>
      <w:r>
        <w:rPr>
          <w:rFonts w:ascii="宋体" w:hAnsi="宋体" w:eastAsia="宋体" w:cs="宋体"/>
          <w:sz w:val="24"/>
          <w:szCs w:val="24"/>
        </w:rPr>
        <w:t xml:space="preserve"> 这种地质、地貌条件一般是不利于大气降水渗入补给，该地区地下水属于就地补给就</w:t>
      </w:r>
      <w:r>
        <w:rPr>
          <w:rFonts w:ascii="宋体" w:hAnsi="宋体" w:eastAsia="宋体" w:cs="宋体"/>
          <w:spacing w:val="3"/>
          <w:sz w:val="24"/>
          <w:szCs w:val="24"/>
        </w:rPr>
        <w:t xml:space="preserve"> </w:t>
      </w:r>
      <w:r>
        <w:rPr>
          <w:rFonts w:ascii="宋体" w:hAnsi="宋体" w:eastAsia="宋体" w:cs="宋体"/>
          <w:spacing w:val="-9"/>
          <w:sz w:val="24"/>
          <w:szCs w:val="24"/>
        </w:rPr>
        <w:t>近排泄的浅层潜水。泉水多出露在砂岩层底部与泥岩接触面附近</w:t>
      </w:r>
      <w:r>
        <w:rPr>
          <w:rFonts w:ascii="宋体" w:hAnsi="宋体" w:eastAsia="宋体" w:cs="宋体"/>
          <w:spacing w:val="-10"/>
          <w:sz w:val="24"/>
          <w:szCs w:val="24"/>
        </w:rPr>
        <w:t>，</w:t>
      </w:r>
      <w:r>
        <w:rPr>
          <w:rFonts w:ascii="宋体" w:hAnsi="宋体" w:eastAsia="宋体" w:cs="宋体"/>
          <w:spacing w:val="-45"/>
          <w:sz w:val="24"/>
          <w:szCs w:val="24"/>
        </w:rPr>
        <w:t xml:space="preserve"> </w:t>
      </w:r>
      <w:r>
        <w:rPr>
          <w:rFonts w:ascii="宋体" w:hAnsi="宋体" w:eastAsia="宋体" w:cs="宋体"/>
          <w:spacing w:val="-10"/>
          <w:sz w:val="24"/>
          <w:szCs w:val="24"/>
        </w:rPr>
        <w:t>说明各含水层之间，</w:t>
      </w:r>
    </w:p>
    <w:p>
      <w:pPr>
        <w:spacing w:before="1" w:line="219" w:lineRule="auto"/>
        <w:ind w:left="4"/>
        <w:rPr>
          <w:rFonts w:ascii="宋体" w:hAnsi="宋体" w:eastAsia="宋体" w:cs="宋体"/>
          <w:sz w:val="24"/>
          <w:szCs w:val="24"/>
        </w:rPr>
      </w:pPr>
      <w:r>
        <w:rPr>
          <w:rFonts w:ascii="宋体" w:hAnsi="宋体" w:eastAsia="宋体" w:cs="宋体"/>
          <w:sz w:val="24"/>
          <w:szCs w:val="24"/>
        </w:rPr>
        <w:t>一般不发生水力联系。但是，当台地上泥岩受风化剥蚀作用，裂隙较发育时，地</w:t>
      </w:r>
      <w:r>
        <w:rPr>
          <w:rFonts w:ascii="宋体" w:hAnsi="宋体" w:eastAsia="宋体" w:cs="宋体"/>
          <w:spacing w:val="-1"/>
          <w:sz w:val="24"/>
          <w:szCs w:val="24"/>
        </w:rPr>
        <w:t>下水</w:t>
      </w:r>
    </w:p>
    <w:p>
      <w:pPr>
        <w:spacing w:line="219" w:lineRule="auto"/>
        <w:rPr>
          <w:rFonts w:ascii="宋体" w:hAnsi="宋体" w:eastAsia="宋体" w:cs="宋体"/>
          <w:sz w:val="24"/>
          <w:szCs w:val="24"/>
        </w:rPr>
        <w:sectPr>
          <w:footerReference r:id="rId166" w:type="default"/>
          <w:pgSz w:w="11907" w:h="16839"/>
          <w:pgMar w:top="400" w:right="1211" w:bottom="879" w:left="1597" w:header="0" w:footer="717" w:gutter="0"/>
          <w:cols w:space="720" w:num="1"/>
        </w:sectPr>
      </w:pPr>
    </w:p>
    <w:p>
      <w:pPr>
        <w:pStyle w:val="2"/>
        <w:spacing w:line="267"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78" w:line="360" w:lineRule="auto"/>
        <w:ind w:right="24" w:firstLine="4"/>
        <w:jc w:val="both"/>
        <w:rPr>
          <w:rFonts w:ascii="宋体" w:hAnsi="宋体" w:eastAsia="宋体" w:cs="宋体"/>
          <w:sz w:val="24"/>
          <w:szCs w:val="24"/>
        </w:rPr>
      </w:pPr>
      <w:r>
        <w:rPr>
          <w:rFonts w:ascii="宋体" w:hAnsi="宋体" w:eastAsia="宋体" w:cs="宋体"/>
          <w:spacing w:val="2"/>
          <w:sz w:val="24"/>
          <w:szCs w:val="24"/>
        </w:rPr>
        <w:t xml:space="preserve">则渗入泥岩中，并在泥岩中成泉出露。当岩层倾角小于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宋体" w:hAnsi="宋体" w:eastAsia="宋体" w:cs="宋体"/>
          <w:spacing w:val="1"/>
          <w:sz w:val="24"/>
          <w:szCs w:val="24"/>
        </w:rPr>
        <w:t>有明显的倾斜方向时，</w:t>
      </w:r>
      <w:r>
        <w:rPr>
          <w:rFonts w:ascii="宋体" w:hAnsi="宋体" w:eastAsia="宋体" w:cs="宋体"/>
          <w:sz w:val="24"/>
          <w:szCs w:val="24"/>
        </w:rPr>
        <w:t xml:space="preserve"> 含水层接受大气降水补给后，地下水主要是通过构造裂隙和层间裂隙沿着岩层的倾斜</w:t>
      </w:r>
    </w:p>
    <w:p>
      <w:pPr>
        <w:spacing w:line="219" w:lineRule="auto"/>
        <w:ind w:left="1"/>
        <w:rPr>
          <w:rFonts w:ascii="宋体" w:hAnsi="宋体" w:eastAsia="宋体" w:cs="宋体"/>
          <w:sz w:val="24"/>
          <w:szCs w:val="24"/>
        </w:rPr>
      </w:pPr>
      <w:r>
        <w:rPr>
          <w:rFonts w:ascii="宋体" w:hAnsi="宋体" w:eastAsia="宋体" w:cs="宋体"/>
          <w:spacing w:val="-2"/>
          <w:sz w:val="24"/>
          <w:szCs w:val="24"/>
        </w:rPr>
        <w:t>方向作倾向运动，地下水在地表侵蚀基准面之上以下降泉排泄。</w:t>
      </w:r>
    </w:p>
    <w:p>
      <w:pPr>
        <w:spacing w:before="183" w:line="360" w:lineRule="auto"/>
        <w:ind w:firstLine="480"/>
        <w:jc w:val="both"/>
        <w:rPr>
          <w:rFonts w:ascii="宋体" w:hAnsi="宋体" w:eastAsia="宋体" w:cs="宋体"/>
          <w:sz w:val="24"/>
          <w:szCs w:val="24"/>
        </w:rPr>
      </w:pPr>
      <w:r>
        <w:rPr>
          <w:rFonts w:ascii="宋体" w:hAnsi="宋体" w:eastAsia="宋体" w:cs="宋体"/>
          <w:spacing w:val="-2"/>
          <w:sz w:val="24"/>
          <w:szCs w:val="24"/>
        </w:rPr>
        <w:t>根据《环境影响评价技术导则地下水环境》（</w:t>
      </w:r>
      <w:r>
        <w:rPr>
          <w:rFonts w:ascii="Times New Roman" w:hAnsi="Times New Roman" w:eastAsia="Times New Roman" w:cs="Times New Roman"/>
          <w:spacing w:val="-3"/>
          <w:sz w:val="24"/>
          <w:szCs w:val="24"/>
        </w:rPr>
        <w:t>HJ  610-2016</w:t>
      </w:r>
      <w:r>
        <w:rPr>
          <w:rFonts w:ascii="宋体" w:hAnsi="宋体" w:eastAsia="宋体" w:cs="宋体"/>
          <w:spacing w:val="-3"/>
          <w:sz w:val="24"/>
          <w:szCs w:val="24"/>
        </w:rPr>
        <w:t xml:space="preserve">）中给出了评价范围确 </w:t>
      </w:r>
      <w:r>
        <w:rPr>
          <w:rFonts w:ascii="宋体" w:hAnsi="宋体" w:eastAsia="宋体" w:cs="宋体"/>
          <w:sz w:val="24"/>
          <w:szCs w:val="24"/>
        </w:rPr>
        <w:t>定的方法，当建设项目所在地水文地质条件相对简单，且所掌握的资料能够满足公</w:t>
      </w:r>
      <w:r>
        <w:rPr>
          <w:rFonts w:ascii="宋体" w:hAnsi="宋体" w:eastAsia="宋体" w:cs="宋体"/>
          <w:spacing w:val="-1"/>
          <w:sz w:val="24"/>
          <w:szCs w:val="24"/>
        </w:rPr>
        <w:t xml:space="preserve">式 </w:t>
      </w:r>
      <w:r>
        <w:rPr>
          <w:rFonts w:ascii="宋体" w:hAnsi="宋体" w:eastAsia="宋体" w:cs="宋体"/>
          <w:sz w:val="24"/>
          <w:szCs w:val="24"/>
        </w:rPr>
        <w:t>计算法的要求时，应优先采用公式计算法确定；当不满足公式计算法的要求时，可</w:t>
      </w:r>
      <w:r>
        <w:rPr>
          <w:rFonts w:ascii="宋体" w:hAnsi="宋体" w:eastAsia="宋体" w:cs="宋体"/>
          <w:spacing w:val="-1"/>
          <w:sz w:val="24"/>
          <w:szCs w:val="24"/>
        </w:rPr>
        <w:t xml:space="preserve">采 </w:t>
      </w:r>
      <w:r>
        <w:rPr>
          <w:rFonts w:ascii="宋体" w:hAnsi="宋体" w:eastAsia="宋体" w:cs="宋体"/>
          <w:sz w:val="24"/>
          <w:szCs w:val="24"/>
        </w:rPr>
        <w:t>用查表法确定。当计算或查表范围超出所处水文地质单元边界时，应以所处水文地</w:t>
      </w:r>
      <w:r>
        <w:rPr>
          <w:rFonts w:ascii="宋体" w:hAnsi="宋体" w:eastAsia="宋体" w:cs="宋体"/>
          <w:spacing w:val="-1"/>
          <w:sz w:val="24"/>
          <w:szCs w:val="24"/>
        </w:rPr>
        <w:t xml:space="preserve">质 </w:t>
      </w:r>
      <w:r>
        <w:rPr>
          <w:rFonts w:ascii="宋体" w:hAnsi="宋体" w:eastAsia="宋体" w:cs="宋体"/>
          <w:sz w:val="24"/>
          <w:szCs w:val="24"/>
        </w:rPr>
        <w:t>单元边界为宜。评价区水文地质条件简单，掌握的资料能满足公式计算法的要求，</w:t>
      </w:r>
      <w:r>
        <w:rPr>
          <w:rFonts w:ascii="宋体" w:hAnsi="宋体" w:eastAsia="宋体" w:cs="宋体"/>
          <w:spacing w:val="-1"/>
          <w:sz w:val="24"/>
          <w:szCs w:val="24"/>
        </w:rPr>
        <w:t xml:space="preserve">优 </w:t>
      </w:r>
      <w:r>
        <w:rPr>
          <w:rFonts w:ascii="宋体" w:hAnsi="宋体" w:eastAsia="宋体" w:cs="宋体"/>
          <w:sz w:val="24"/>
          <w:szCs w:val="24"/>
        </w:rPr>
        <w:t>先选用公式计算法，结合地下水导则要求及井场所处的水文地质条件，</w:t>
      </w:r>
      <w:r>
        <w:rPr>
          <w:rFonts w:ascii="宋体" w:hAnsi="宋体" w:eastAsia="宋体" w:cs="宋体"/>
          <w:spacing w:val="-1"/>
          <w:sz w:val="24"/>
          <w:szCs w:val="24"/>
        </w:rPr>
        <w:t>综合采用公式</w:t>
      </w:r>
      <w:r>
        <w:rPr>
          <w:rFonts w:ascii="宋体" w:hAnsi="宋体" w:eastAsia="宋体" w:cs="宋体"/>
          <w:sz w:val="24"/>
          <w:szCs w:val="24"/>
        </w:rPr>
        <w:t xml:space="preserve">  </w:t>
      </w:r>
      <w:r>
        <w:rPr>
          <w:rFonts w:ascii="宋体" w:hAnsi="宋体" w:eastAsia="宋体" w:cs="宋体"/>
          <w:spacing w:val="-6"/>
          <w:sz w:val="24"/>
          <w:szCs w:val="24"/>
        </w:rPr>
        <w:t>计算法和结合水文地质条件的自定义法确定。经公式法计算，</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5000</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天内水流迁移</w:t>
      </w:r>
      <w:r>
        <w:rPr>
          <w:rFonts w:ascii="宋体" w:hAnsi="宋体" w:eastAsia="宋体" w:cs="宋体"/>
          <w:spacing w:val="-7"/>
          <w:sz w:val="24"/>
          <w:szCs w:val="24"/>
        </w:rPr>
        <w:t xml:space="preserve">的最 </w:t>
      </w:r>
      <w:r>
        <w:rPr>
          <w:rFonts w:ascii="宋体" w:hAnsi="宋体" w:eastAsia="宋体" w:cs="宋体"/>
          <w:spacing w:val="-3"/>
          <w:sz w:val="24"/>
          <w:szCs w:val="24"/>
        </w:rPr>
        <w:t>远距离为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129.6m</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。因评价区地下水类型为构造裂隙水，地下水一般在位</w:t>
      </w:r>
      <w:r>
        <w:rPr>
          <w:rFonts w:ascii="宋体" w:hAnsi="宋体" w:eastAsia="宋体" w:cs="宋体"/>
          <w:spacing w:val="-4"/>
          <w:sz w:val="24"/>
          <w:szCs w:val="24"/>
        </w:rPr>
        <w:t xml:space="preserve">置较高的山顶 </w:t>
      </w:r>
      <w:r>
        <w:rPr>
          <w:rFonts w:ascii="宋体" w:hAnsi="宋体" w:eastAsia="宋体" w:cs="宋体"/>
          <w:sz w:val="24"/>
          <w:szCs w:val="24"/>
        </w:rPr>
        <w:t>接受补给后，通过构造裂隙和层间裂隙沿着岩层的倾斜方向作倾向运动，地下水在</w:t>
      </w:r>
      <w:r>
        <w:rPr>
          <w:rFonts w:ascii="宋体" w:hAnsi="宋体" w:eastAsia="宋体" w:cs="宋体"/>
          <w:spacing w:val="-1"/>
          <w:sz w:val="24"/>
          <w:szCs w:val="24"/>
        </w:rPr>
        <w:t xml:space="preserve">地 </w:t>
      </w:r>
      <w:r>
        <w:rPr>
          <w:rFonts w:ascii="宋体" w:hAnsi="宋体" w:eastAsia="宋体" w:cs="宋体"/>
          <w:sz w:val="24"/>
          <w:szCs w:val="24"/>
        </w:rPr>
        <w:t>表侵蚀基准面之上以下降泉排泄，自定义法确定的评价范围为拟建项目北侧以山顶</w:t>
      </w:r>
      <w:r>
        <w:rPr>
          <w:rFonts w:ascii="宋体" w:hAnsi="宋体" w:eastAsia="宋体" w:cs="宋体"/>
          <w:spacing w:val="-1"/>
          <w:sz w:val="24"/>
          <w:szCs w:val="24"/>
        </w:rPr>
        <w:t xml:space="preserve">分 </w:t>
      </w:r>
      <w:r>
        <w:rPr>
          <w:rFonts w:ascii="宋体" w:hAnsi="宋体" w:eastAsia="宋体" w:cs="宋体"/>
          <w:spacing w:val="-5"/>
          <w:sz w:val="24"/>
          <w:szCs w:val="24"/>
        </w:rPr>
        <w:t>水岭为隔水边界，南侧、西侧和东侧以河流为排泄边界，</w:t>
      </w:r>
      <w:r>
        <w:rPr>
          <w:rFonts w:ascii="宋体" w:hAnsi="宋体" w:eastAsia="宋体" w:cs="宋体"/>
          <w:spacing w:val="69"/>
          <w:sz w:val="24"/>
          <w:szCs w:val="24"/>
        </w:rPr>
        <w:t xml:space="preserve"> </w:t>
      </w:r>
      <w:r>
        <w:rPr>
          <w:rFonts w:ascii="宋体" w:hAnsi="宋体" w:eastAsia="宋体" w:cs="宋体"/>
          <w:spacing w:val="-5"/>
          <w:sz w:val="24"/>
          <w:szCs w:val="24"/>
        </w:rPr>
        <w:t xml:space="preserve">结合公式计算结果、自定义 </w:t>
      </w:r>
      <w:r>
        <w:rPr>
          <w:rFonts w:ascii="宋体" w:hAnsi="宋体" w:eastAsia="宋体" w:cs="宋体"/>
          <w:spacing w:val="-4"/>
          <w:sz w:val="24"/>
          <w:szCs w:val="24"/>
        </w:rPr>
        <w:t>法综合确定地下水评价范围为井场所在的水文</w:t>
      </w:r>
      <w:r>
        <w:rPr>
          <w:rFonts w:ascii="宋体" w:hAnsi="宋体" w:eastAsia="宋体" w:cs="宋体"/>
          <w:spacing w:val="-5"/>
          <w:sz w:val="24"/>
          <w:szCs w:val="24"/>
        </w:rPr>
        <w:t>地质单元，地下水评价范围约</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12.87km</w:t>
      </w:r>
      <w:r>
        <w:rPr>
          <w:rFonts w:ascii="Times New Roman" w:hAnsi="Times New Roman" w:eastAsia="Times New Roman" w:cs="Times New Roman"/>
          <w:spacing w:val="-5"/>
          <w:position w:val="9"/>
          <w:sz w:val="16"/>
          <w:szCs w:val="16"/>
        </w:rPr>
        <w:t>2</w:t>
      </w:r>
      <w:r>
        <w:rPr>
          <w:rFonts w:ascii="宋体" w:hAnsi="宋体" w:eastAsia="宋体" w:cs="宋体"/>
          <w:spacing w:val="-5"/>
          <w:sz w:val="24"/>
          <w:szCs w:val="24"/>
        </w:rPr>
        <w:t>。</w:t>
      </w:r>
    </w:p>
    <w:p>
      <w:pPr>
        <w:spacing w:line="219" w:lineRule="auto"/>
        <w:rPr>
          <w:rFonts w:ascii="宋体" w:hAnsi="宋体" w:eastAsia="宋体" w:cs="宋体"/>
          <w:sz w:val="24"/>
          <w:szCs w:val="24"/>
        </w:rPr>
      </w:pPr>
      <w:r>
        <w:rPr>
          <w:rFonts w:ascii="宋体" w:hAnsi="宋体" w:eastAsia="宋体" w:cs="宋体"/>
          <w:spacing w:val="-1"/>
          <w:sz w:val="24"/>
          <w:szCs w:val="24"/>
        </w:rPr>
        <w:t>地下水整体上由井场所在山顶向西侧、南侧和东侧河流排泄。</w:t>
      </w:r>
    </w:p>
    <w:p>
      <w:pPr>
        <w:spacing w:before="66" w:line="5259" w:lineRule="exact"/>
        <w:ind w:firstLine="352"/>
      </w:pPr>
      <w:r>
        <w:rPr>
          <w:position w:val="-105"/>
        </w:rPr>
        <w:drawing>
          <wp:inline distT="0" distB="0" distL="0" distR="0">
            <wp:extent cx="5190490" cy="333946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52"/>
                    <a:stretch>
                      <a:fillRect/>
                    </a:stretch>
                  </pic:blipFill>
                  <pic:spPr>
                    <a:xfrm>
                      <a:off x="0" y="0"/>
                      <a:ext cx="5190998" cy="3339972"/>
                    </a:xfrm>
                    <a:prstGeom prst="rect">
                      <a:avLst/>
                    </a:prstGeom>
                  </pic:spPr>
                </pic:pic>
              </a:graphicData>
            </a:graphic>
          </wp:inline>
        </w:drawing>
      </w:r>
    </w:p>
    <w:p>
      <w:pPr>
        <w:spacing w:before="176" w:line="218" w:lineRule="auto"/>
        <w:ind w:left="2809"/>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图</w:t>
      </w:r>
      <w:r>
        <w:rPr>
          <w:rFonts w:ascii="宋体" w:hAnsi="宋体" w:eastAsia="宋体" w:cs="宋体"/>
          <w:spacing w:val="-30"/>
          <w:sz w:val="24"/>
          <w:szCs w:val="24"/>
        </w:rPr>
        <w:t xml:space="preserve"> </w:t>
      </w:r>
      <w:r>
        <w:rPr>
          <w:rFonts w:ascii="Times New Roman" w:hAnsi="Times New Roman" w:eastAsia="Times New Roman" w:cs="Times New Roman"/>
          <w:b/>
          <w:bCs/>
          <w:spacing w:val="-3"/>
          <w:sz w:val="24"/>
          <w:szCs w:val="24"/>
        </w:rPr>
        <w:t xml:space="preserve">1.5-2  </w:t>
      </w:r>
      <w:r>
        <w:rPr>
          <w:rFonts w:ascii="宋体" w:hAnsi="宋体" w:eastAsia="宋体" w:cs="宋体"/>
          <w:spacing w:val="-3"/>
          <w:sz w:val="24"/>
          <w:szCs w:val="24"/>
          <w14:textOutline w14:w="4354" w14:cap="flat" w14:cmpd="sng">
            <w14:solidFill>
              <w14:srgbClr w14:val="000000"/>
            </w14:solidFill>
            <w14:prstDash w14:val="solid"/>
            <w14:miter w14:val="10"/>
          </w14:textOutline>
        </w:rPr>
        <w:t>地下水评价范围示意图</w:t>
      </w:r>
    </w:p>
    <w:p>
      <w:pPr>
        <w:spacing w:line="218" w:lineRule="auto"/>
        <w:rPr>
          <w:rFonts w:ascii="宋体" w:hAnsi="宋体" w:eastAsia="宋体" w:cs="宋体"/>
          <w:sz w:val="24"/>
          <w:szCs w:val="24"/>
        </w:rPr>
        <w:sectPr>
          <w:footerReference r:id="rId167" w:type="default"/>
          <w:pgSz w:w="11907" w:h="16839"/>
          <w:pgMar w:top="400" w:right="1328" w:bottom="877" w:left="1597" w:header="0" w:footer="717" w:gutter="0"/>
          <w:cols w:space="720" w:num="1"/>
        </w:sectPr>
      </w:pPr>
    </w:p>
    <w:p>
      <w:pPr>
        <w:pStyle w:val="2"/>
        <w:spacing w:line="271" w:lineRule="auto"/>
        <w:rPr>
          <w:sz w:val="21"/>
        </w:rPr>
      </w:pPr>
    </w:p>
    <w:p>
      <w:pPr>
        <w:pStyle w:val="2"/>
        <w:spacing w:line="271" w:lineRule="auto"/>
        <w:rPr>
          <w:sz w:val="21"/>
        </w:rPr>
      </w:pPr>
    </w:p>
    <w:p>
      <w:pPr>
        <w:pStyle w:val="2"/>
        <w:spacing w:line="271" w:lineRule="auto"/>
        <w:rPr>
          <w:sz w:val="21"/>
        </w:rPr>
      </w:pPr>
    </w:p>
    <w:p>
      <w:pPr>
        <w:pStyle w:val="2"/>
        <w:spacing w:line="272" w:lineRule="auto"/>
        <w:rPr>
          <w:sz w:val="21"/>
        </w:rPr>
      </w:pPr>
    </w:p>
    <w:p>
      <w:pPr>
        <w:spacing w:before="101" w:line="225" w:lineRule="auto"/>
        <w:ind w:left="11"/>
        <w:rPr>
          <w:rFonts w:ascii="宋体" w:hAnsi="宋体" w:eastAsia="宋体" w:cs="宋体"/>
          <w:sz w:val="31"/>
          <w:szCs w:val="31"/>
        </w:rPr>
      </w:pPr>
      <w:bookmarkStart w:id="6" w:name="bookmark7"/>
      <w:bookmarkEnd w:id="6"/>
      <w:r>
        <w:rPr>
          <w:rFonts w:ascii="Times New Roman" w:hAnsi="Times New Roman" w:eastAsia="Times New Roman" w:cs="Times New Roman"/>
          <w:b/>
          <w:bCs/>
          <w:spacing w:val="9"/>
          <w:sz w:val="31"/>
          <w:szCs w:val="31"/>
        </w:rPr>
        <w:t>1.6</w:t>
      </w:r>
      <w:r>
        <w:rPr>
          <w:rFonts w:ascii="宋体" w:hAnsi="宋体" w:eastAsia="宋体" w:cs="宋体"/>
          <w:spacing w:val="9"/>
          <w:sz w:val="31"/>
          <w:szCs w:val="31"/>
          <w14:textOutline w14:w="5791" w14:cap="flat" w14:cmpd="sng">
            <w14:solidFill>
              <w14:srgbClr w14:val="000000"/>
            </w14:solidFill>
            <w14:prstDash w14:val="solid"/>
            <w14:miter w14:val="10"/>
          </w14:textOutline>
        </w:rPr>
        <w:t>地下水环境保护目标</w:t>
      </w:r>
    </w:p>
    <w:p>
      <w:pPr>
        <w:pStyle w:val="2"/>
        <w:spacing w:line="368" w:lineRule="auto"/>
        <w:rPr>
          <w:sz w:val="21"/>
        </w:rPr>
      </w:pPr>
    </w:p>
    <w:p>
      <w:pPr>
        <w:spacing w:before="78" w:line="360" w:lineRule="auto"/>
        <w:ind w:right="205" w:firstLine="480"/>
        <w:jc w:val="both"/>
        <w:rPr>
          <w:rFonts w:ascii="宋体" w:hAnsi="宋体" w:eastAsia="宋体" w:cs="宋体"/>
          <w:sz w:val="24"/>
          <w:szCs w:val="24"/>
        </w:rPr>
      </w:pPr>
      <w:r>
        <w:rPr>
          <w:rFonts w:ascii="宋体" w:hAnsi="宋体" w:eastAsia="宋体" w:cs="宋体"/>
          <w:sz w:val="24"/>
          <w:szCs w:val="24"/>
        </w:rPr>
        <w:t>经调查，拟建项目地下水评价范围内无乡镇地下水集中式饮用水源分布，居民主</w:t>
      </w:r>
      <w:r>
        <w:rPr>
          <w:rFonts w:ascii="宋体" w:hAnsi="宋体" w:eastAsia="宋体" w:cs="宋体"/>
          <w:spacing w:val="6"/>
          <w:sz w:val="24"/>
          <w:szCs w:val="24"/>
        </w:rPr>
        <w:t xml:space="preserve"> </w:t>
      </w:r>
      <w:r>
        <w:rPr>
          <w:rFonts w:ascii="宋体" w:hAnsi="宋体" w:eastAsia="宋体" w:cs="宋体"/>
          <w:spacing w:val="-6"/>
          <w:sz w:val="24"/>
          <w:szCs w:val="24"/>
        </w:rPr>
        <w:t>要以自来水和分散式水井、泉水水作为生活饮用水， 因此， 拟建项目地下水环</w:t>
      </w:r>
      <w:r>
        <w:rPr>
          <w:rFonts w:ascii="宋体" w:hAnsi="宋体" w:eastAsia="宋体" w:cs="宋体"/>
          <w:spacing w:val="-7"/>
          <w:sz w:val="24"/>
          <w:szCs w:val="24"/>
        </w:rPr>
        <w:t>境保护</w:t>
      </w:r>
    </w:p>
    <w:p>
      <w:pPr>
        <w:spacing w:line="218" w:lineRule="auto"/>
        <w:ind w:left="45"/>
        <w:rPr>
          <w:rFonts w:ascii="宋体" w:hAnsi="宋体" w:eastAsia="宋体" w:cs="宋体"/>
          <w:sz w:val="24"/>
          <w:szCs w:val="24"/>
        </w:rPr>
      </w:pPr>
      <w:r>
        <w:rPr>
          <w:rFonts w:ascii="宋体" w:hAnsi="宋体" w:eastAsia="宋体" w:cs="宋体"/>
          <w:spacing w:val="-5"/>
          <w:sz w:val="24"/>
          <w:szCs w:val="24"/>
        </w:rPr>
        <w:t>目标为评价范围内的分散式饮用水井、泉水和侏罗系上统蓬莱镇组构造裂隙水含水层。</w:t>
      </w:r>
    </w:p>
    <w:p>
      <w:pPr>
        <w:spacing w:before="185" w:line="360" w:lineRule="auto"/>
        <w:ind w:right="200" w:firstLine="479"/>
        <w:jc w:val="both"/>
        <w:rPr>
          <w:rFonts w:ascii="宋体" w:hAnsi="宋体" w:eastAsia="宋体" w:cs="宋体"/>
          <w:sz w:val="24"/>
          <w:szCs w:val="24"/>
        </w:rPr>
      </w:pPr>
      <w:r>
        <w:rPr>
          <w:rFonts w:ascii="宋体" w:hAnsi="宋体" w:eastAsia="宋体" w:cs="宋体"/>
          <w:spacing w:val="-14"/>
          <w:sz w:val="24"/>
          <w:szCs w:val="24"/>
        </w:rPr>
        <w:t>根据实地踏勘，</w:t>
      </w:r>
      <w:r>
        <w:rPr>
          <w:rFonts w:ascii="宋体" w:hAnsi="宋体" w:eastAsia="宋体" w:cs="宋体"/>
          <w:spacing w:val="57"/>
          <w:sz w:val="24"/>
          <w:szCs w:val="24"/>
        </w:rPr>
        <w:t xml:space="preserve"> </w:t>
      </w:r>
      <w:r>
        <w:rPr>
          <w:rFonts w:ascii="宋体" w:hAnsi="宋体" w:eastAsia="宋体" w:cs="宋体"/>
          <w:spacing w:val="-14"/>
          <w:sz w:val="24"/>
          <w:szCs w:val="24"/>
        </w:rPr>
        <w:t>凤探</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 xml:space="preserve">1 </w:t>
      </w:r>
      <w:r>
        <w:rPr>
          <w:rFonts w:ascii="宋体" w:hAnsi="宋体" w:eastAsia="宋体" w:cs="宋体"/>
          <w:spacing w:val="-14"/>
          <w:sz w:val="24"/>
          <w:szCs w:val="24"/>
        </w:rPr>
        <w:t>井周边分布有分散式水井、泉水</w:t>
      </w:r>
      <w:r>
        <w:rPr>
          <w:rFonts w:ascii="宋体" w:hAnsi="宋体" w:eastAsia="宋体" w:cs="宋体"/>
          <w:spacing w:val="-32"/>
          <w:sz w:val="24"/>
          <w:szCs w:val="24"/>
        </w:rPr>
        <w:t xml:space="preserve"> </w:t>
      </w:r>
      <w:r>
        <w:rPr>
          <w:rFonts w:ascii="Times New Roman" w:hAnsi="Times New Roman" w:eastAsia="Times New Roman" w:cs="Times New Roman"/>
          <w:spacing w:val="-14"/>
          <w:sz w:val="24"/>
          <w:szCs w:val="24"/>
        </w:rPr>
        <w:t xml:space="preserve">16  </w:t>
      </w:r>
      <w:r>
        <w:rPr>
          <w:rFonts w:ascii="宋体" w:hAnsi="宋体" w:eastAsia="宋体" w:cs="宋体"/>
          <w:spacing w:val="-14"/>
          <w:sz w:val="24"/>
          <w:szCs w:val="24"/>
        </w:rPr>
        <w:t>口（</w:t>
      </w:r>
      <w:r>
        <w:rPr>
          <w:rFonts w:ascii="Times New Roman" w:hAnsi="Times New Roman" w:eastAsia="Times New Roman" w:cs="Times New Roman"/>
          <w:spacing w:val="-14"/>
          <w:sz w:val="24"/>
          <w:szCs w:val="24"/>
        </w:rPr>
        <w:t xml:space="preserve">5  </w:t>
      </w:r>
      <w:r>
        <w:rPr>
          <w:rFonts w:ascii="宋体" w:hAnsi="宋体" w:eastAsia="宋体" w:cs="宋体"/>
          <w:spacing w:val="-14"/>
          <w:sz w:val="24"/>
          <w:szCs w:val="24"/>
        </w:rPr>
        <w:t>口水井、</w:t>
      </w:r>
      <w:r>
        <w:rPr>
          <w:rFonts w:ascii="宋体" w:hAnsi="宋体" w:eastAsia="宋体" w:cs="宋体"/>
          <w:spacing w:val="-39"/>
          <w:sz w:val="24"/>
          <w:szCs w:val="24"/>
        </w:rPr>
        <w:t xml:space="preserve"> </w:t>
      </w:r>
      <w:r>
        <w:rPr>
          <w:rFonts w:ascii="Times New Roman" w:hAnsi="Times New Roman" w:eastAsia="Times New Roman" w:cs="Times New Roman"/>
          <w:spacing w:val="-14"/>
          <w:sz w:val="24"/>
          <w:szCs w:val="24"/>
        </w:rPr>
        <w:t>11</w:t>
      </w:r>
      <w:r>
        <w:rPr>
          <w:rFonts w:ascii="Times New Roman" w:hAnsi="Times New Roman" w:eastAsia="Times New Roman" w:cs="Times New Roman"/>
          <w:spacing w:val="45"/>
          <w:w w:val="101"/>
          <w:sz w:val="24"/>
          <w:szCs w:val="24"/>
        </w:rPr>
        <w:t xml:space="preserve"> </w:t>
      </w:r>
      <w:r>
        <w:rPr>
          <w:rFonts w:ascii="宋体" w:hAnsi="宋体" w:eastAsia="宋体" w:cs="宋体"/>
          <w:spacing w:val="-14"/>
          <w:sz w:val="24"/>
          <w:szCs w:val="24"/>
        </w:rPr>
        <w:t>口泉</w:t>
      </w:r>
      <w:r>
        <w:rPr>
          <w:rFonts w:ascii="宋体" w:hAnsi="宋体" w:eastAsia="宋体" w:cs="宋体"/>
          <w:sz w:val="24"/>
          <w:szCs w:val="24"/>
        </w:rPr>
        <w:t xml:space="preserve"> </w:t>
      </w:r>
      <w:r>
        <w:rPr>
          <w:rFonts w:ascii="宋体" w:hAnsi="宋体" w:eastAsia="宋体" w:cs="宋体"/>
          <w:spacing w:val="-3"/>
          <w:sz w:val="24"/>
          <w:szCs w:val="24"/>
        </w:rPr>
        <w:t>水</w:t>
      </w:r>
      <w:r>
        <w:rPr>
          <w:rFonts w:ascii="宋体" w:hAnsi="宋体" w:eastAsia="宋体" w:cs="宋体"/>
          <w:spacing w:val="5"/>
          <w:sz w:val="24"/>
          <w:szCs w:val="24"/>
        </w:rPr>
        <w:t>）</w:t>
      </w:r>
      <w:r>
        <w:rPr>
          <w:rFonts w:ascii="宋体" w:hAnsi="宋体" w:eastAsia="宋体" w:cs="宋体"/>
          <w:spacing w:val="-27"/>
          <w:sz w:val="24"/>
          <w:szCs w:val="24"/>
        </w:rPr>
        <w:t xml:space="preserve"> </w:t>
      </w:r>
      <w:r>
        <w:rPr>
          <w:rFonts w:ascii="宋体" w:hAnsi="宋体" w:eastAsia="宋体" w:cs="宋体"/>
          <w:spacing w:val="5"/>
          <w:sz w:val="24"/>
          <w:szCs w:val="24"/>
        </w:rPr>
        <w:t>，</w:t>
      </w:r>
      <w:r>
        <w:rPr>
          <w:rFonts w:ascii="宋体" w:hAnsi="宋体" w:eastAsia="宋体" w:cs="宋体"/>
          <w:spacing w:val="-3"/>
          <w:sz w:val="24"/>
          <w:szCs w:val="24"/>
        </w:rPr>
        <w:t>与项目井口的距离在</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247m~2758m </w:t>
      </w:r>
      <w:r>
        <w:rPr>
          <w:rFonts w:ascii="宋体" w:hAnsi="宋体" w:eastAsia="宋体" w:cs="宋体"/>
          <w:spacing w:val="-3"/>
          <w:sz w:val="24"/>
          <w:szCs w:val="24"/>
        </w:rPr>
        <w:t>之间，下游的最近分散式水井、泉水距离井</w:t>
      </w:r>
      <w:r>
        <w:rPr>
          <w:rFonts w:ascii="宋体" w:hAnsi="宋体" w:eastAsia="宋体" w:cs="宋体"/>
          <w:sz w:val="24"/>
          <w:szCs w:val="24"/>
        </w:rPr>
        <w:t xml:space="preserve"> </w:t>
      </w:r>
      <w:r>
        <w:rPr>
          <w:rFonts w:ascii="宋体" w:hAnsi="宋体" w:eastAsia="宋体" w:cs="宋体"/>
          <w:spacing w:val="-5"/>
          <w:sz w:val="24"/>
          <w:szCs w:val="24"/>
        </w:rPr>
        <w:t>口距离为</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314m</w:t>
      </w:r>
      <w:r>
        <w:rPr>
          <w:rFonts w:ascii="Times New Roman" w:hAnsi="Times New Roman" w:eastAsia="Times New Roman" w:cs="Times New Roman"/>
          <w:spacing w:val="-26"/>
          <w:sz w:val="24"/>
          <w:szCs w:val="24"/>
        </w:rPr>
        <w:t xml:space="preserve"> </w:t>
      </w:r>
      <w:r>
        <w:rPr>
          <w:rFonts w:ascii="宋体" w:hAnsi="宋体" w:eastAsia="宋体" w:cs="宋体"/>
          <w:spacing w:val="-5"/>
          <w:sz w:val="24"/>
          <w:szCs w:val="24"/>
        </w:rPr>
        <w:t>。其中项目地下水流向上游及两侧分布有</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48"/>
          <w:sz w:val="24"/>
          <w:szCs w:val="24"/>
        </w:rPr>
        <w:t xml:space="preserve"> </w:t>
      </w:r>
      <w:r>
        <w:rPr>
          <w:rFonts w:ascii="宋体" w:hAnsi="宋体" w:eastAsia="宋体" w:cs="宋体"/>
          <w:spacing w:val="-6"/>
          <w:sz w:val="24"/>
          <w:szCs w:val="24"/>
        </w:rPr>
        <w:t xml:space="preserve">口泉水，下游分布有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48"/>
          <w:w w:val="101"/>
          <w:sz w:val="24"/>
          <w:szCs w:val="24"/>
        </w:rPr>
        <w:t xml:space="preserve"> </w:t>
      </w:r>
      <w:r>
        <w:rPr>
          <w:rFonts w:ascii="宋体" w:hAnsi="宋体" w:eastAsia="宋体" w:cs="宋体"/>
          <w:spacing w:val="-6"/>
          <w:sz w:val="24"/>
          <w:szCs w:val="24"/>
        </w:rPr>
        <w:t>口</w:t>
      </w:r>
      <w:r>
        <w:rPr>
          <w:rFonts w:ascii="宋体" w:hAnsi="宋体" w:eastAsia="宋体" w:cs="宋体"/>
          <w:sz w:val="24"/>
          <w:szCs w:val="24"/>
        </w:rPr>
        <w:t xml:space="preserve"> </w:t>
      </w:r>
      <w:r>
        <w:rPr>
          <w:rFonts w:ascii="宋体" w:hAnsi="宋体" w:eastAsia="宋体" w:cs="宋体"/>
          <w:spacing w:val="-11"/>
          <w:sz w:val="24"/>
          <w:szCs w:val="24"/>
        </w:rPr>
        <w:t>水井、泉水（</w:t>
      </w:r>
      <w:r>
        <w:rPr>
          <w:rFonts w:ascii="Times New Roman" w:hAnsi="Times New Roman" w:eastAsia="Times New Roman" w:cs="Times New Roman"/>
          <w:spacing w:val="-11"/>
          <w:sz w:val="24"/>
          <w:szCs w:val="24"/>
        </w:rPr>
        <w:t>6</w:t>
      </w:r>
      <w:r>
        <w:rPr>
          <w:rFonts w:ascii="Times New Roman" w:hAnsi="Times New Roman" w:eastAsia="Times New Roman" w:cs="Times New Roman"/>
          <w:spacing w:val="46"/>
          <w:w w:val="101"/>
          <w:sz w:val="24"/>
          <w:szCs w:val="24"/>
        </w:rPr>
        <w:t xml:space="preserve"> </w:t>
      </w:r>
      <w:r>
        <w:rPr>
          <w:rFonts w:ascii="宋体" w:hAnsi="宋体" w:eastAsia="宋体" w:cs="宋体"/>
          <w:spacing w:val="-11"/>
          <w:sz w:val="24"/>
          <w:szCs w:val="24"/>
        </w:rPr>
        <w:t xml:space="preserve">口水井、 </w:t>
      </w:r>
      <w:r>
        <w:rPr>
          <w:rFonts w:ascii="Times New Roman" w:hAnsi="Times New Roman" w:eastAsia="Times New Roman" w:cs="Times New Roman"/>
          <w:spacing w:val="-11"/>
          <w:sz w:val="24"/>
          <w:szCs w:val="24"/>
        </w:rPr>
        <w:t>5</w:t>
      </w:r>
      <w:r>
        <w:rPr>
          <w:rFonts w:ascii="Times New Roman" w:hAnsi="Times New Roman" w:eastAsia="Times New Roman" w:cs="Times New Roman"/>
          <w:spacing w:val="46"/>
          <w:sz w:val="24"/>
          <w:szCs w:val="24"/>
        </w:rPr>
        <w:t xml:space="preserve"> </w:t>
      </w:r>
      <w:r>
        <w:rPr>
          <w:rFonts w:ascii="宋体" w:hAnsi="宋体" w:eastAsia="宋体" w:cs="宋体"/>
          <w:spacing w:val="-11"/>
          <w:sz w:val="24"/>
          <w:szCs w:val="24"/>
        </w:rPr>
        <w:t>口泉水</w:t>
      </w:r>
      <w:r>
        <w:rPr>
          <w:rFonts w:ascii="宋体" w:hAnsi="宋体" w:eastAsia="宋体" w:cs="宋体"/>
          <w:spacing w:val="-5"/>
          <w:sz w:val="24"/>
          <w:szCs w:val="24"/>
        </w:rPr>
        <w:t>）</w:t>
      </w:r>
      <w:r>
        <w:rPr>
          <w:rFonts w:ascii="宋体" w:hAnsi="宋体" w:eastAsia="宋体" w:cs="宋体"/>
          <w:spacing w:val="-18"/>
          <w:sz w:val="24"/>
          <w:szCs w:val="24"/>
        </w:rPr>
        <w:t xml:space="preserve"> </w:t>
      </w:r>
      <w:r>
        <w:rPr>
          <w:rFonts w:ascii="宋体" w:hAnsi="宋体" w:eastAsia="宋体" w:cs="宋体"/>
          <w:spacing w:val="-5"/>
          <w:sz w:val="24"/>
          <w:szCs w:val="24"/>
        </w:rPr>
        <w:t>，</w:t>
      </w:r>
      <w:r>
        <w:rPr>
          <w:rFonts w:ascii="宋体" w:hAnsi="宋体" w:eastAsia="宋体" w:cs="宋体"/>
          <w:spacing w:val="-11"/>
          <w:sz w:val="24"/>
          <w:szCs w:val="24"/>
        </w:rPr>
        <w:t>以上水井、泉水地下水类型均</w:t>
      </w:r>
      <w:r>
        <w:rPr>
          <w:rFonts w:ascii="宋体" w:hAnsi="宋体" w:eastAsia="宋体" w:cs="宋体"/>
          <w:spacing w:val="-12"/>
          <w:sz w:val="24"/>
          <w:szCs w:val="24"/>
        </w:rPr>
        <w:t>为侏罗系上统蓬莱</w:t>
      </w:r>
      <w:r>
        <w:rPr>
          <w:rFonts w:ascii="宋体" w:hAnsi="宋体" w:eastAsia="宋体" w:cs="宋体"/>
          <w:sz w:val="24"/>
          <w:szCs w:val="24"/>
        </w:rPr>
        <w:t xml:space="preserve"> </w:t>
      </w:r>
      <w:r>
        <w:rPr>
          <w:rFonts w:ascii="宋体" w:hAnsi="宋体" w:eastAsia="宋体" w:cs="宋体"/>
          <w:spacing w:val="-2"/>
          <w:sz w:val="24"/>
          <w:szCs w:val="24"/>
        </w:rPr>
        <w:t xml:space="preserve">镇组风化带裂隙水。以上居民水井深度介于 </w:t>
      </w:r>
      <w:r>
        <w:rPr>
          <w:rFonts w:ascii="Times New Roman" w:hAnsi="Times New Roman" w:eastAsia="Times New Roman" w:cs="Times New Roman"/>
          <w:spacing w:val="-2"/>
          <w:sz w:val="24"/>
          <w:szCs w:val="24"/>
        </w:rPr>
        <w:t>24m~35m</w:t>
      </w:r>
      <w:r>
        <w:rPr>
          <w:rFonts w:ascii="Times New Roman" w:hAnsi="Times New Roman" w:eastAsia="Times New Roman" w:cs="Times New Roman"/>
          <w:spacing w:val="45"/>
          <w:sz w:val="24"/>
          <w:szCs w:val="24"/>
        </w:rPr>
        <w:t xml:space="preserve"> </w:t>
      </w:r>
      <w:r>
        <w:rPr>
          <w:rFonts w:ascii="宋体" w:hAnsi="宋体" w:eastAsia="宋体" w:cs="宋体"/>
          <w:spacing w:val="-2"/>
          <w:sz w:val="24"/>
          <w:szCs w:val="24"/>
        </w:rPr>
        <w:t>之间，水位埋</w:t>
      </w:r>
      <w:r>
        <w:rPr>
          <w:rFonts w:ascii="宋体" w:hAnsi="宋体" w:eastAsia="宋体" w:cs="宋体"/>
          <w:spacing w:val="-3"/>
          <w:sz w:val="24"/>
          <w:szCs w:val="24"/>
        </w:rPr>
        <w:t xml:space="preserve">深 </w:t>
      </w:r>
      <w:r>
        <w:rPr>
          <w:rFonts w:ascii="Times New Roman" w:hAnsi="Times New Roman" w:eastAsia="Times New Roman" w:cs="Times New Roman"/>
          <w:spacing w:val="-3"/>
          <w:sz w:val="24"/>
          <w:szCs w:val="24"/>
        </w:rPr>
        <w:t>3.7~8.3m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，泉</w:t>
      </w:r>
    </w:p>
    <w:p>
      <w:pPr>
        <w:spacing w:line="219" w:lineRule="auto"/>
        <w:ind w:left="2"/>
        <w:rPr>
          <w:rFonts w:ascii="宋体" w:hAnsi="宋体" w:eastAsia="宋体" w:cs="宋体"/>
          <w:sz w:val="24"/>
          <w:szCs w:val="24"/>
        </w:rPr>
      </w:pPr>
      <w:r>
        <w:rPr>
          <w:rFonts w:ascii="宋体" w:hAnsi="宋体" w:eastAsia="宋体" w:cs="宋体"/>
          <w:spacing w:val="-1"/>
          <w:sz w:val="24"/>
          <w:szCs w:val="24"/>
        </w:rPr>
        <w:t>水类型均为下降泉，具体的地下水环境保护目标如下表：</w:t>
      </w:r>
    </w:p>
    <w:p>
      <w:pPr>
        <w:pStyle w:val="2"/>
        <w:spacing w:before="153" w:line="5131" w:lineRule="exact"/>
        <w:ind w:firstLine="424"/>
      </w:pPr>
      <w:r>
        <w:rPr>
          <w:position w:val="-102"/>
        </w:rPr>
        <w:pict>
          <v:group id="_x0000_s1565" o:spid="_x0000_s1565" o:spt="203" style="height:256.6pt;width:433.55pt;" coordsize="8670,5132">
            <o:lock v:ext="edit"/>
            <v:shape id="_x0000_s1566" o:spid="_x0000_s1566" o:spt="75" type="#_x0000_t75" style="position:absolute;left:15;top:15;height:5102;width:8640;" filled="f" stroked="f" coordsize="21600,21600">
              <v:path/>
              <v:fill on="f" focussize="0,0"/>
              <v:stroke on="f"/>
              <v:imagedata r:id="rId353" o:title=""/>
              <o:lock v:ext="edit" aspectratio="t"/>
            </v:shape>
            <v:shape id="_x0000_s1567" o:spid="_x0000_s1567" o:spt="202" type="#_x0000_t202" style="position:absolute;left:-20;top:-20;height:5172;width:8710;" filled="f" stroked="f" coordsize="21600,21600">
              <v:path/>
              <v:fill on="f" focussize="0,0"/>
              <v:stroke on="f"/>
              <v:imagedata o:title=""/>
              <o:lock v:ext="edit" aspectratio="f"/>
              <v:textbox inset="0mm,0mm,0mm,0mm">
                <w:txbxContent>
                  <w:p>
                    <w:pPr>
                      <w:spacing w:line="20" w:lineRule="exact"/>
                    </w:pPr>
                  </w:p>
                  <w:tbl>
                    <w:tblPr>
                      <w:tblStyle w:val="5"/>
                      <w:tblW w:w="865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65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101" w:hRule="atLeast"/>
                      </w:trPr>
                      <w:tc>
                        <w:tcPr>
                          <w:tcW w:w="8655" w:type="dxa"/>
                          <w:vAlign w:val="top"/>
                        </w:tcPr>
                        <w:p>
                          <w:pPr>
                            <w:rPr>
                              <w:rFonts w:ascii="Arial"/>
                              <w:sz w:val="21"/>
                            </w:rPr>
                          </w:pPr>
                        </w:p>
                      </w:tc>
                    </w:tr>
                  </w:tbl>
                  <w:p>
                    <w:pPr>
                      <w:rPr>
                        <w:rFonts w:ascii="Arial"/>
                        <w:sz w:val="21"/>
                      </w:rPr>
                    </w:pPr>
                  </w:p>
                </w:txbxContent>
              </v:textbox>
            </v:shape>
            <w10:wrap type="none"/>
            <w10:anchorlock/>
          </v:group>
        </w:pict>
      </w:r>
    </w:p>
    <w:p>
      <w:pPr>
        <w:spacing w:before="139" w:line="219" w:lineRule="auto"/>
        <w:ind w:left="208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10"/>
          </w14:textOutline>
        </w:rPr>
        <w:t>图</w:t>
      </w:r>
      <w:r>
        <w:rPr>
          <w:rFonts w:ascii="宋体" w:hAnsi="宋体" w:eastAsia="宋体" w:cs="宋体"/>
          <w:spacing w:val="-23"/>
          <w:sz w:val="21"/>
          <w:szCs w:val="21"/>
        </w:rPr>
        <w:t xml:space="preserve"> </w:t>
      </w:r>
      <w:r>
        <w:rPr>
          <w:rFonts w:ascii="Times New Roman" w:hAnsi="Times New Roman" w:eastAsia="Times New Roman" w:cs="Times New Roman"/>
          <w:b/>
          <w:bCs/>
          <w:spacing w:val="-2"/>
          <w:sz w:val="21"/>
          <w:szCs w:val="21"/>
        </w:rPr>
        <w:t xml:space="preserve">1.6-1 </w:t>
      </w:r>
      <w:r>
        <w:rPr>
          <w:rFonts w:ascii="宋体" w:hAnsi="宋体" w:eastAsia="宋体" w:cs="宋体"/>
          <w:spacing w:val="-2"/>
          <w:sz w:val="21"/>
          <w:szCs w:val="21"/>
          <w14:textOutline w14:w="3831" w14:cap="flat" w14:cmpd="sng">
            <w14:solidFill>
              <w14:srgbClr w14:val="000000"/>
            </w14:solidFill>
            <w14:prstDash w14:val="solid"/>
            <w14:miter w14:val="10"/>
          </w14:textOutline>
        </w:rPr>
        <w:t>凤探</w:t>
      </w:r>
      <w:r>
        <w:rPr>
          <w:rFonts w:ascii="宋体" w:hAnsi="宋体" w:eastAsia="宋体" w:cs="宋体"/>
          <w:spacing w:val="-38"/>
          <w:sz w:val="21"/>
          <w:szCs w:val="21"/>
        </w:rPr>
        <w:t xml:space="preserve"> </w:t>
      </w:r>
      <w:r>
        <w:rPr>
          <w:rFonts w:ascii="Times New Roman" w:hAnsi="Times New Roman" w:eastAsia="Times New Roman" w:cs="Times New Roman"/>
          <w:b/>
          <w:bCs/>
          <w:spacing w:val="-2"/>
          <w:sz w:val="21"/>
          <w:szCs w:val="21"/>
        </w:rPr>
        <w:t xml:space="preserve">1 </w:t>
      </w:r>
      <w:r>
        <w:rPr>
          <w:rFonts w:ascii="宋体" w:hAnsi="宋体" w:eastAsia="宋体" w:cs="宋体"/>
          <w:spacing w:val="-2"/>
          <w:sz w:val="21"/>
          <w:szCs w:val="21"/>
          <w14:textOutline w14:w="3831" w14:cap="flat" w14:cmpd="sng">
            <w14:solidFill>
              <w14:srgbClr w14:val="000000"/>
            </w14:solidFill>
            <w14:prstDash w14:val="solid"/>
            <w14:miter w14:val="10"/>
          </w14:textOutline>
        </w:rPr>
        <w:t>井地下水评价范围及保护目标分布图</w:t>
      </w:r>
    </w:p>
    <w:p>
      <w:pPr>
        <w:spacing w:line="219" w:lineRule="auto"/>
        <w:rPr>
          <w:rFonts w:ascii="宋体" w:hAnsi="宋体" w:eastAsia="宋体" w:cs="宋体"/>
          <w:sz w:val="21"/>
          <w:szCs w:val="21"/>
        </w:rPr>
        <w:sectPr>
          <w:footerReference r:id="rId168" w:type="default"/>
          <w:pgSz w:w="11907" w:h="16839"/>
          <w:pgMar w:top="400" w:right="1213" w:bottom="879" w:left="1598" w:header="0" w:footer="717" w:gutter="0"/>
          <w:cols w:space="720" w:num="1"/>
        </w:sect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spacing w:before="68" w:line="219" w:lineRule="auto"/>
        <w:ind w:left="4966"/>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10"/>
          </w14:textOutline>
        </w:rPr>
        <w:t>表</w:t>
      </w:r>
      <w:r>
        <w:rPr>
          <w:rFonts w:ascii="宋体" w:hAnsi="宋体" w:eastAsia="宋体" w:cs="宋体"/>
          <w:spacing w:val="-35"/>
          <w:sz w:val="21"/>
          <w:szCs w:val="21"/>
        </w:rPr>
        <w:t xml:space="preserve"> </w:t>
      </w:r>
      <w:r>
        <w:rPr>
          <w:rFonts w:ascii="Times New Roman" w:hAnsi="Times New Roman" w:eastAsia="Times New Roman" w:cs="Times New Roman"/>
          <w:b/>
          <w:bCs/>
          <w:sz w:val="21"/>
          <w:szCs w:val="21"/>
        </w:rPr>
        <w:t xml:space="preserve">1.6-1    </w:t>
      </w:r>
      <w:r>
        <w:rPr>
          <w:rFonts w:ascii="宋体" w:hAnsi="宋体" w:eastAsia="宋体" w:cs="宋体"/>
          <w:sz w:val="21"/>
          <w:szCs w:val="21"/>
          <w14:textOutline w14:w="3831" w14:cap="flat" w14:cmpd="sng">
            <w14:solidFill>
              <w14:srgbClr w14:val="000000"/>
            </w14:solidFill>
            <w14:prstDash w14:val="solid"/>
            <w14:miter w14:val="10"/>
          </w14:textOutline>
        </w:rPr>
        <w:t>井场地下水评价范围</w:t>
      </w:r>
      <w:r>
        <w:rPr>
          <w:rFonts w:ascii="宋体" w:hAnsi="宋体" w:eastAsia="宋体" w:cs="宋体"/>
          <w:spacing w:val="-1"/>
          <w:sz w:val="21"/>
          <w:szCs w:val="21"/>
          <w14:textOutline w14:w="3831" w14:cap="flat" w14:cmpd="sng">
            <w14:solidFill>
              <w14:srgbClr w14:val="000000"/>
            </w14:solidFill>
            <w14:prstDash w14:val="solid"/>
            <w14:miter w14:val="10"/>
          </w14:textOutline>
        </w:rPr>
        <w:t>内保护目标统计</w:t>
      </w:r>
    </w:p>
    <w:p>
      <w:pPr>
        <w:spacing w:line="118" w:lineRule="auto"/>
        <w:rPr>
          <w:rFonts w:ascii="Arial"/>
          <w:sz w:val="2"/>
        </w:rPr>
      </w:pPr>
    </w:p>
    <w:tbl>
      <w:tblPr>
        <w:tblStyle w:val="5"/>
        <w:tblW w:w="141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1"/>
        <w:gridCol w:w="1718"/>
        <w:gridCol w:w="1680"/>
        <w:gridCol w:w="713"/>
        <w:gridCol w:w="929"/>
        <w:gridCol w:w="931"/>
        <w:gridCol w:w="936"/>
        <w:gridCol w:w="1421"/>
        <w:gridCol w:w="1224"/>
        <w:gridCol w:w="1071"/>
        <w:gridCol w:w="2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431" w:type="dxa"/>
            <w:tcBorders>
              <w:top w:val="single" w:color="000000" w:sz="10" w:space="0"/>
              <w:left w:val="nil"/>
            </w:tcBorders>
            <w:vAlign w:val="top"/>
          </w:tcPr>
          <w:p>
            <w:pPr>
              <w:pStyle w:val="6"/>
              <w:spacing w:before="210" w:line="221" w:lineRule="auto"/>
              <w:ind w:left="521"/>
              <w:rPr>
                <w:sz w:val="21"/>
                <w:szCs w:val="21"/>
              </w:rPr>
            </w:pPr>
            <w:r>
              <w:rPr>
                <w:spacing w:val="-2"/>
                <w:sz w:val="21"/>
                <w:szCs w:val="21"/>
                <w14:textOutline w14:w="3831" w14:cap="flat" w14:cmpd="sng">
                  <w14:solidFill>
                    <w14:srgbClr w14:val="000000"/>
                  </w14:solidFill>
                  <w14:prstDash w14:val="solid"/>
                  <w14:miter w14:val="10"/>
                </w14:textOutline>
              </w:rPr>
              <w:t>编号</w:t>
            </w:r>
          </w:p>
        </w:tc>
        <w:tc>
          <w:tcPr>
            <w:tcW w:w="1718" w:type="dxa"/>
            <w:tcBorders>
              <w:top w:val="single" w:color="000000" w:sz="10" w:space="0"/>
            </w:tcBorders>
            <w:vAlign w:val="top"/>
          </w:tcPr>
          <w:p>
            <w:pPr>
              <w:pStyle w:val="6"/>
              <w:spacing w:before="211" w:line="221" w:lineRule="auto"/>
              <w:ind w:left="549"/>
              <w:rPr>
                <w:sz w:val="21"/>
                <w:szCs w:val="21"/>
              </w:rPr>
            </w:pPr>
            <w:r>
              <w:rPr>
                <w:spacing w:val="-3"/>
                <w:sz w:val="21"/>
                <w:szCs w:val="21"/>
                <w14:textOutline w14:w="3831" w14:cap="flat" w14:cmpd="sng">
                  <w14:solidFill>
                    <w14:srgbClr w14:val="000000"/>
                  </w14:solidFill>
                  <w14:prstDash w14:val="solid"/>
                  <w14:miter w14:val="10"/>
                </w14:textOutline>
              </w:rPr>
              <w:t>经度</w:t>
            </w:r>
            <w:r>
              <w:rPr>
                <w:spacing w:val="-78"/>
                <w:sz w:val="21"/>
                <w:szCs w:val="21"/>
              </w:rPr>
              <w:t xml:space="preserve"> </w:t>
            </w:r>
            <w:r>
              <w:rPr>
                <w:spacing w:val="-3"/>
                <w:sz w:val="21"/>
                <w:szCs w:val="21"/>
                <w14:textOutline w14:w="3831" w14:cap="flat" w14:cmpd="sng">
                  <w14:solidFill>
                    <w14:srgbClr w14:val="000000"/>
                  </w14:solidFill>
                  <w14:prstDash w14:val="solid"/>
                  <w14:miter w14:val="10"/>
                </w14:textOutline>
              </w:rPr>
              <w:t>°</w:t>
            </w:r>
          </w:p>
        </w:tc>
        <w:tc>
          <w:tcPr>
            <w:tcW w:w="1680" w:type="dxa"/>
            <w:tcBorders>
              <w:top w:val="single" w:color="000000" w:sz="10" w:space="0"/>
            </w:tcBorders>
            <w:vAlign w:val="top"/>
          </w:tcPr>
          <w:p>
            <w:pPr>
              <w:pStyle w:val="6"/>
              <w:spacing w:before="211" w:line="221" w:lineRule="auto"/>
              <w:ind w:left="529"/>
              <w:rPr>
                <w:sz w:val="21"/>
                <w:szCs w:val="21"/>
              </w:rPr>
            </w:pPr>
            <w:r>
              <w:rPr>
                <w:spacing w:val="-3"/>
                <w:sz w:val="21"/>
                <w:szCs w:val="21"/>
                <w14:textOutline w14:w="3831" w14:cap="flat" w14:cmpd="sng">
                  <w14:solidFill>
                    <w14:srgbClr w14:val="000000"/>
                  </w14:solidFill>
                  <w14:prstDash w14:val="solid"/>
                  <w14:miter w14:val="10"/>
                </w14:textOutline>
              </w:rPr>
              <w:t>纬度</w:t>
            </w:r>
            <w:r>
              <w:rPr>
                <w:spacing w:val="-77"/>
                <w:sz w:val="21"/>
                <w:szCs w:val="21"/>
              </w:rPr>
              <w:t xml:space="preserve"> </w:t>
            </w:r>
            <w:r>
              <w:rPr>
                <w:spacing w:val="-3"/>
                <w:sz w:val="21"/>
                <w:szCs w:val="21"/>
                <w14:textOutline w14:w="3831" w14:cap="flat" w14:cmpd="sng">
                  <w14:solidFill>
                    <w14:srgbClr w14:val="000000"/>
                  </w14:solidFill>
                  <w14:prstDash w14:val="solid"/>
                  <w14:miter w14:val="10"/>
                </w14:textOutline>
              </w:rPr>
              <w:t>°</w:t>
            </w:r>
          </w:p>
        </w:tc>
        <w:tc>
          <w:tcPr>
            <w:tcW w:w="713" w:type="dxa"/>
            <w:tcBorders>
              <w:top w:val="single" w:color="000000" w:sz="10" w:space="0"/>
            </w:tcBorders>
            <w:vAlign w:val="top"/>
          </w:tcPr>
          <w:p>
            <w:pPr>
              <w:pStyle w:val="6"/>
              <w:spacing w:before="210" w:line="221" w:lineRule="auto"/>
              <w:ind w:left="150"/>
              <w:rPr>
                <w:sz w:val="21"/>
                <w:szCs w:val="21"/>
              </w:rPr>
            </w:pPr>
            <w:r>
              <w:rPr>
                <w:spacing w:val="-2"/>
                <w:sz w:val="21"/>
                <w:szCs w:val="21"/>
                <w14:textOutline w14:w="3831" w14:cap="flat" w14:cmpd="sng">
                  <w14:solidFill>
                    <w14:srgbClr w14:val="000000"/>
                  </w14:solidFill>
                  <w14:prstDash w14:val="solid"/>
                  <w14:miter w14:val="10"/>
                </w14:textOutline>
              </w:rPr>
              <w:t>类型</w:t>
            </w:r>
          </w:p>
        </w:tc>
        <w:tc>
          <w:tcPr>
            <w:tcW w:w="929" w:type="dxa"/>
            <w:tcBorders>
              <w:top w:val="single" w:color="000000" w:sz="10" w:space="0"/>
            </w:tcBorders>
            <w:vAlign w:val="top"/>
          </w:tcPr>
          <w:p>
            <w:pPr>
              <w:pStyle w:val="6"/>
              <w:spacing w:before="55" w:line="350" w:lineRule="exact"/>
              <w:ind w:left="260"/>
              <w:rPr>
                <w:sz w:val="21"/>
                <w:szCs w:val="21"/>
              </w:rPr>
            </w:pPr>
            <w:r>
              <w:rPr>
                <w:spacing w:val="-2"/>
                <w:position w:val="10"/>
                <w:sz w:val="21"/>
                <w:szCs w:val="21"/>
                <w14:textOutline w14:w="3831" w14:cap="flat" w14:cmpd="sng">
                  <w14:solidFill>
                    <w14:srgbClr w14:val="000000"/>
                  </w14:solidFill>
                  <w14:prstDash w14:val="solid"/>
                  <w14:miter w14:val="10"/>
                </w14:textOutline>
              </w:rPr>
              <w:t>井径</w:t>
            </w:r>
          </w:p>
          <w:p>
            <w:pPr>
              <w:spacing w:line="190" w:lineRule="auto"/>
              <w:ind w:left="22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(mm)</w:t>
            </w:r>
          </w:p>
        </w:tc>
        <w:tc>
          <w:tcPr>
            <w:tcW w:w="931" w:type="dxa"/>
            <w:tcBorders>
              <w:top w:val="single" w:color="000000" w:sz="10" w:space="0"/>
            </w:tcBorders>
            <w:vAlign w:val="top"/>
          </w:tcPr>
          <w:p>
            <w:pPr>
              <w:pStyle w:val="6"/>
              <w:spacing w:before="211" w:line="235" w:lineRule="auto"/>
              <w:jc w:val="right"/>
              <w:rPr>
                <w:sz w:val="21"/>
                <w:szCs w:val="21"/>
              </w:rPr>
            </w:pPr>
            <w:r>
              <w:rPr>
                <w:spacing w:val="-31"/>
                <w:sz w:val="21"/>
                <w:szCs w:val="21"/>
                <w14:textOutline w14:w="3831" w14:cap="flat" w14:cmpd="sng">
                  <w14:solidFill>
                    <w14:srgbClr w14:val="000000"/>
                  </w14:solidFill>
                  <w14:prstDash w14:val="solid"/>
                  <w14:miter w14:val="10"/>
                </w14:textOutline>
              </w:rPr>
              <w:t>井深（</w:t>
            </w:r>
            <w:r>
              <w:rPr>
                <w:rFonts w:ascii="Times New Roman" w:hAnsi="Times New Roman" w:eastAsia="Times New Roman" w:cs="Times New Roman"/>
                <w:b/>
                <w:bCs/>
                <w:spacing w:val="-31"/>
                <w:sz w:val="21"/>
                <w:szCs w:val="21"/>
              </w:rPr>
              <w:t>m</w:t>
            </w:r>
            <w:r>
              <w:rPr>
                <w:spacing w:val="-31"/>
                <w:sz w:val="21"/>
                <w:szCs w:val="21"/>
                <w14:textOutline w14:w="3831" w14:cap="flat" w14:cmpd="sng">
                  <w14:solidFill>
                    <w14:srgbClr w14:val="000000"/>
                  </w14:solidFill>
                  <w14:prstDash w14:val="solid"/>
                  <w14:miter w14:val="10"/>
                </w14:textOutline>
              </w:rPr>
              <w:t>）</w:t>
            </w:r>
          </w:p>
        </w:tc>
        <w:tc>
          <w:tcPr>
            <w:tcW w:w="936" w:type="dxa"/>
            <w:tcBorders>
              <w:top w:val="single" w:color="000000" w:sz="10" w:space="0"/>
            </w:tcBorders>
            <w:vAlign w:val="top"/>
          </w:tcPr>
          <w:p>
            <w:pPr>
              <w:pStyle w:val="6"/>
              <w:spacing w:before="211" w:line="237" w:lineRule="auto"/>
              <w:jc w:val="right"/>
              <w:rPr>
                <w:sz w:val="21"/>
                <w:szCs w:val="21"/>
              </w:rPr>
            </w:pPr>
            <w:r>
              <w:rPr>
                <w:spacing w:val="-30"/>
                <w:sz w:val="21"/>
                <w:szCs w:val="21"/>
                <w14:textOutline w14:w="3831" w14:cap="flat" w14:cmpd="sng">
                  <w14:solidFill>
                    <w14:srgbClr w14:val="000000"/>
                  </w14:solidFill>
                  <w14:prstDash w14:val="solid"/>
                  <w14:miter w14:val="10"/>
                </w14:textOutline>
              </w:rPr>
              <w:t>埋深（</w:t>
            </w:r>
            <w:r>
              <w:rPr>
                <w:rFonts w:ascii="Times New Roman" w:hAnsi="Times New Roman" w:eastAsia="Times New Roman" w:cs="Times New Roman"/>
                <w:b/>
                <w:bCs/>
                <w:spacing w:val="-30"/>
                <w:sz w:val="21"/>
                <w:szCs w:val="21"/>
              </w:rPr>
              <w:t>m</w:t>
            </w:r>
            <w:r>
              <w:rPr>
                <w:spacing w:val="-30"/>
                <w:sz w:val="21"/>
                <w:szCs w:val="21"/>
                <w14:textOutline w14:w="3831" w14:cap="flat" w14:cmpd="sng">
                  <w14:solidFill>
                    <w14:srgbClr w14:val="000000"/>
                  </w14:solidFill>
                  <w14:prstDash w14:val="solid"/>
                  <w14:miter w14:val="10"/>
                </w14:textOutline>
              </w:rPr>
              <w:t>）</w:t>
            </w:r>
          </w:p>
        </w:tc>
        <w:tc>
          <w:tcPr>
            <w:tcW w:w="1421" w:type="dxa"/>
            <w:tcBorders>
              <w:top w:val="single" w:color="000000" w:sz="10" w:space="0"/>
            </w:tcBorders>
            <w:vAlign w:val="top"/>
          </w:tcPr>
          <w:p>
            <w:pPr>
              <w:pStyle w:val="6"/>
              <w:spacing w:before="211" w:line="234" w:lineRule="auto"/>
              <w:ind w:left="211"/>
              <w:rPr>
                <w:sz w:val="21"/>
                <w:szCs w:val="21"/>
              </w:rPr>
            </w:pPr>
            <w:r>
              <w:rPr>
                <w:spacing w:val="-2"/>
                <w:sz w:val="21"/>
                <w:szCs w:val="21"/>
                <w14:textOutline w14:w="3831" w14:cap="flat" w14:cmpd="sng">
                  <w14:solidFill>
                    <w14:srgbClr w14:val="000000"/>
                  </w14:solidFill>
                  <w14:prstDash w14:val="solid"/>
                  <w14:miter w14:val="10"/>
                </w14:textOutline>
              </w:rPr>
              <w:t>高程（</w:t>
            </w:r>
            <w:r>
              <w:rPr>
                <w:rFonts w:ascii="Times New Roman" w:hAnsi="Times New Roman" w:eastAsia="Times New Roman" w:cs="Times New Roman"/>
                <w:b/>
                <w:bCs/>
                <w:spacing w:val="-2"/>
                <w:sz w:val="21"/>
                <w:szCs w:val="21"/>
              </w:rPr>
              <w:t>m</w:t>
            </w:r>
            <w:r>
              <w:rPr>
                <w:spacing w:val="-2"/>
                <w:sz w:val="21"/>
                <w:szCs w:val="21"/>
                <w14:textOutline w14:w="3831" w14:cap="flat" w14:cmpd="sng">
                  <w14:solidFill>
                    <w14:srgbClr w14:val="000000"/>
                  </w14:solidFill>
                  <w14:prstDash w14:val="solid"/>
                  <w14:miter w14:val="10"/>
                </w14:textOutline>
              </w:rPr>
              <w:t>）</w:t>
            </w:r>
          </w:p>
        </w:tc>
        <w:tc>
          <w:tcPr>
            <w:tcW w:w="1224" w:type="dxa"/>
            <w:tcBorders>
              <w:top w:val="single" w:color="000000" w:sz="10" w:space="0"/>
            </w:tcBorders>
            <w:vAlign w:val="top"/>
          </w:tcPr>
          <w:p>
            <w:pPr>
              <w:pStyle w:val="6"/>
              <w:spacing w:before="55" w:line="328" w:lineRule="exact"/>
              <w:ind w:left="299"/>
              <w:rPr>
                <w:sz w:val="21"/>
                <w:szCs w:val="21"/>
              </w:rPr>
            </w:pPr>
            <w:r>
              <w:rPr>
                <w:spacing w:val="-2"/>
                <w:position w:val="8"/>
                <w:sz w:val="21"/>
                <w:szCs w:val="21"/>
                <w14:textOutline w14:w="3831" w14:cap="flat" w14:cmpd="sng">
                  <w14:solidFill>
                    <w14:srgbClr w14:val="000000"/>
                  </w14:solidFill>
                  <w14:prstDash w14:val="solid"/>
                  <w14:miter w14:val="10"/>
                </w14:textOutline>
              </w:rPr>
              <w:t>供水量</w:t>
            </w:r>
          </w:p>
          <w:p>
            <w:pPr>
              <w:spacing w:line="212" w:lineRule="auto"/>
              <w:ind w:left="337"/>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sz w:val="21"/>
                <w:szCs w:val="21"/>
              </w:rPr>
              <w:t>/d)</w:t>
            </w:r>
          </w:p>
        </w:tc>
        <w:tc>
          <w:tcPr>
            <w:tcW w:w="1071" w:type="dxa"/>
            <w:tcBorders>
              <w:top w:val="single" w:color="000000" w:sz="10" w:space="0"/>
            </w:tcBorders>
            <w:vAlign w:val="top"/>
          </w:tcPr>
          <w:p>
            <w:pPr>
              <w:pStyle w:val="6"/>
              <w:spacing w:before="210" w:line="221" w:lineRule="auto"/>
              <w:ind w:left="139"/>
              <w:rPr>
                <w:sz w:val="21"/>
                <w:szCs w:val="21"/>
              </w:rPr>
            </w:pPr>
            <w:r>
              <w:rPr>
                <w:spacing w:val="-5"/>
                <w:sz w:val="21"/>
                <w:szCs w:val="21"/>
                <w14:textOutline w14:w="3831" w14:cap="flat" w14:cmpd="sng">
                  <w14:solidFill>
                    <w14:srgbClr w14:val="000000"/>
                  </w14:solidFill>
                  <w14:prstDash w14:val="solid"/>
                  <w14:miter w14:val="10"/>
                </w14:textOutline>
              </w:rPr>
              <w:t>出露层位</w:t>
            </w:r>
          </w:p>
        </w:tc>
        <w:tc>
          <w:tcPr>
            <w:tcW w:w="2136" w:type="dxa"/>
            <w:tcBorders>
              <w:top w:val="single" w:color="000000" w:sz="10" w:space="0"/>
              <w:right w:val="nil"/>
            </w:tcBorders>
            <w:vAlign w:val="top"/>
          </w:tcPr>
          <w:p>
            <w:pPr>
              <w:pStyle w:val="6"/>
              <w:spacing w:before="211" w:line="221" w:lineRule="auto"/>
              <w:ind w:left="128"/>
              <w:rPr>
                <w:sz w:val="21"/>
                <w:szCs w:val="21"/>
              </w:rPr>
            </w:pPr>
            <w:r>
              <w:rPr>
                <w:spacing w:val="-1"/>
                <w:sz w:val="21"/>
                <w:szCs w:val="21"/>
                <w14:textOutline w14:w="3831" w14:cap="flat" w14:cmpd="sng">
                  <w14:solidFill>
                    <w14:srgbClr w14:val="000000"/>
                  </w14:solidFill>
                  <w14:prstDash w14:val="solid"/>
                  <w14:miter w14:val="10"/>
                </w14:textOutline>
              </w:rPr>
              <w:t>与工程相对位置关系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31" w:type="dxa"/>
            <w:tcBorders>
              <w:left w:val="nil"/>
            </w:tcBorders>
            <w:vAlign w:val="top"/>
          </w:tcPr>
          <w:p>
            <w:pPr>
              <w:spacing w:before="132"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Q1</w:t>
            </w:r>
          </w:p>
        </w:tc>
        <w:tc>
          <w:tcPr>
            <w:tcW w:w="1718" w:type="dxa"/>
            <w:vAlign w:val="top"/>
          </w:tcPr>
          <w:p>
            <w:pPr>
              <w:spacing w:before="133"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107.240969</w:t>
            </w:r>
          </w:p>
        </w:tc>
        <w:tc>
          <w:tcPr>
            <w:tcW w:w="1680" w:type="dxa"/>
            <w:vAlign w:val="top"/>
          </w:tcPr>
          <w:p>
            <w:pPr>
              <w:spacing w:before="133"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31.438383</w:t>
            </w:r>
          </w:p>
        </w:tc>
        <w:tc>
          <w:tcPr>
            <w:tcW w:w="713" w:type="dxa"/>
            <w:vAlign w:val="top"/>
          </w:tcPr>
          <w:p>
            <w:pPr>
              <w:pStyle w:val="6"/>
              <w:spacing w:before="97" w:line="221" w:lineRule="auto"/>
              <w:ind w:left="257"/>
              <w:rPr>
                <w:sz w:val="21"/>
                <w:szCs w:val="21"/>
              </w:rPr>
            </w:pPr>
            <w:r>
              <w:rPr>
                <w:sz w:val="21"/>
                <w:szCs w:val="21"/>
              </w:rPr>
              <w:t>泉</w:t>
            </w:r>
          </w:p>
        </w:tc>
        <w:tc>
          <w:tcPr>
            <w:tcW w:w="929" w:type="dxa"/>
            <w:vAlign w:val="top"/>
          </w:tcPr>
          <w:p>
            <w:pPr>
              <w:spacing w:before="132"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32"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32"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33" w:line="189"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562.39</w:t>
            </w:r>
          </w:p>
        </w:tc>
        <w:tc>
          <w:tcPr>
            <w:tcW w:w="1224" w:type="dxa"/>
            <w:vAlign w:val="top"/>
          </w:tcPr>
          <w:p>
            <w:pPr>
              <w:spacing w:before="133"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1.34</w:t>
            </w:r>
          </w:p>
        </w:tc>
        <w:tc>
          <w:tcPr>
            <w:tcW w:w="1071" w:type="dxa"/>
            <w:vAlign w:val="top"/>
          </w:tcPr>
          <w:p>
            <w:pPr>
              <w:spacing w:before="113"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96" w:line="221" w:lineRule="auto"/>
              <w:ind w:left="179"/>
              <w:rPr>
                <w:rFonts w:ascii="Times New Roman" w:hAnsi="Times New Roman" w:eastAsia="Times New Roman" w:cs="Times New Roman"/>
                <w:sz w:val="21"/>
                <w:szCs w:val="21"/>
              </w:rPr>
            </w:pPr>
            <w:r>
              <w:rPr>
                <w:spacing w:val="-2"/>
                <w:sz w:val="21"/>
                <w:szCs w:val="21"/>
              </w:rPr>
              <w:t>井口东南下游</w:t>
            </w:r>
            <w:r>
              <w:rPr>
                <w:spacing w:val="-39"/>
                <w:sz w:val="21"/>
                <w:szCs w:val="21"/>
              </w:rPr>
              <w:t xml:space="preserve"> </w:t>
            </w:r>
            <w:r>
              <w:rPr>
                <w:rFonts w:ascii="Times New Roman" w:hAnsi="Times New Roman" w:eastAsia="Times New Roman" w:cs="Times New Roman"/>
                <w:spacing w:val="-2"/>
                <w:sz w:val="21"/>
                <w:szCs w:val="21"/>
              </w:rPr>
              <w:t>729m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31" w:type="dxa"/>
            <w:tcBorders>
              <w:left w:val="nil"/>
            </w:tcBorders>
            <w:vAlign w:val="top"/>
          </w:tcPr>
          <w:p>
            <w:pPr>
              <w:spacing w:before="133"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Q2</w:t>
            </w:r>
          </w:p>
        </w:tc>
        <w:tc>
          <w:tcPr>
            <w:tcW w:w="1718" w:type="dxa"/>
            <w:vAlign w:val="top"/>
          </w:tcPr>
          <w:p>
            <w:pPr>
              <w:spacing w:before="134"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107.239892</w:t>
            </w:r>
          </w:p>
        </w:tc>
        <w:tc>
          <w:tcPr>
            <w:tcW w:w="1680" w:type="dxa"/>
            <w:vAlign w:val="top"/>
          </w:tcPr>
          <w:p>
            <w:pPr>
              <w:spacing w:before="134"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31.442131</w:t>
            </w:r>
          </w:p>
        </w:tc>
        <w:tc>
          <w:tcPr>
            <w:tcW w:w="713" w:type="dxa"/>
            <w:vAlign w:val="top"/>
          </w:tcPr>
          <w:p>
            <w:pPr>
              <w:pStyle w:val="6"/>
              <w:spacing w:before="98" w:line="221" w:lineRule="auto"/>
              <w:ind w:left="257"/>
              <w:rPr>
                <w:sz w:val="21"/>
                <w:szCs w:val="21"/>
              </w:rPr>
            </w:pPr>
            <w:r>
              <w:rPr>
                <w:sz w:val="21"/>
                <w:szCs w:val="21"/>
              </w:rPr>
              <w:t>泉</w:t>
            </w:r>
          </w:p>
        </w:tc>
        <w:tc>
          <w:tcPr>
            <w:tcW w:w="929" w:type="dxa"/>
            <w:vAlign w:val="top"/>
          </w:tcPr>
          <w:p>
            <w:pPr>
              <w:spacing w:before="133"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33"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33"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34" w:line="189"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571.98</w:t>
            </w:r>
          </w:p>
        </w:tc>
        <w:tc>
          <w:tcPr>
            <w:tcW w:w="1224" w:type="dxa"/>
            <w:vAlign w:val="top"/>
          </w:tcPr>
          <w:p>
            <w:pPr>
              <w:spacing w:before="134"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0.75</w:t>
            </w:r>
          </w:p>
        </w:tc>
        <w:tc>
          <w:tcPr>
            <w:tcW w:w="1071" w:type="dxa"/>
            <w:vAlign w:val="top"/>
          </w:tcPr>
          <w:p>
            <w:pPr>
              <w:spacing w:before="114"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97" w:line="221" w:lineRule="auto"/>
              <w:ind w:left="179"/>
              <w:rPr>
                <w:rFonts w:ascii="Times New Roman" w:hAnsi="Times New Roman" w:eastAsia="Times New Roman" w:cs="Times New Roman"/>
                <w:sz w:val="21"/>
                <w:szCs w:val="21"/>
              </w:rPr>
            </w:pPr>
            <w:r>
              <w:rPr>
                <w:spacing w:val="-2"/>
                <w:sz w:val="21"/>
                <w:szCs w:val="21"/>
              </w:rPr>
              <w:t>井口东南下游</w:t>
            </w:r>
            <w:r>
              <w:rPr>
                <w:spacing w:val="-39"/>
                <w:sz w:val="21"/>
                <w:szCs w:val="21"/>
              </w:rPr>
              <w:t xml:space="preserve"> </w:t>
            </w:r>
            <w:r>
              <w:rPr>
                <w:rFonts w:ascii="Times New Roman" w:hAnsi="Times New Roman" w:eastAsia="Times New Roman" w:cs="Times New Roman"/>
                <w:spacing w:val="-2"/>
                <w:sz w:val="21"/>
                <w:szCs w:val="21"/>
              </w:rPr>
              <w:t>314m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31" w:type="dxa"/>
            <w:tcBorders>
              <w:left w:val="nil"/>
            </w:tcBorders>
            <w:vAlign w:val="top"/>
          </w:tcPr>
          <w:p>
            <w:pPr>
              <w:spacing w:before="134"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Q3</w:t>
            </w:r>
          </w:p>
        </w:tc>
        <w:tc>
          <w:tcPr>
            <w:tcW w:w="1718" w:type="dxa"/>
            <w:vAlign w:val="top"/>
          </w:tcPr>
          <w:p>
            <w:pPr>
              <w:spacing w:before="136"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107.236720</w:t>
            </w:r>
          </w:p>
        </w:tc>
        <w:tc>
          <w:tcPr>
            <w:tcW w:w="1680" w:type="dxa"/>
            <w:vAlign w:val="top"/>
          </w:tcPr>
          <w:p>
            <w:pPr>
              <w:spacing w:before="136"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31.442464</w:t>
            </w:r>
          </w:p>
        </w:tc>
        <w:tc>
          <w:tcPr>
            <w:tcW w:w="713" w:type="dxa"/>
            <w:vAlign w:val="top"/>
          </w:tcPr>
          <w:p>
            <w:pPr>
              <w:pStyle w:val="6"/>
              <w:spacing w:before="99" w:line="221" w:lineRule="auto"/>
              <w:ind w:left="257"/>
              <w:rPr>
                <w:sz w:val="21"/>
                <w:szCs w:val="21"/>
              </w:rPr>
            </w:pPr>
            <w:r>
              <w:rPr>
                <w:sz w:val="21"/>
                <w:szCs w:val="21"/>
              </w:rPr>
              <w:t>泉</w:t>
            </w:r>
          </w:p>
        </w:tc>
        <w:tc>
          <w:tcPr>
            <w:tcW w:w="929" w:type="dxa"/>
            <w:vAlign w:val="top"/>
          </w:tcPr>
          <w:p>
            <w:pPr>
              <w:spacing w:before="134"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34"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34"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36" w:line="189"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648.57</w:t>
            </w:r>
          </w:p>
        </w:tc>
        <w:tc>
          <w:tcPr>
            <w:tcW w:w="1224" w:type="dxa"/>
            <w:vAlign w:val="top"/>
          </w:tcPr>
          <w:p>
            <w:pPr>
              <w:spacing w:before="136"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0.92</w:t>
            </w:r>
          </w:p>
        </w:tc>
        <w:tc>
          <w:tcPr>
            <w:tcW w:w="1071" w:type="dxa"/>
            <w:vAlign w:val="top"/>
          </w:tcPr>
          <w:p>
            <w:pPr>
              <w:spacing w:before="115"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99" w:line="221" w:lineRule="auto"/>
              <w:ind w:left="179"/>
              <w:rPr>
                <w:rFonts w:ascii="Times New Roman" w:hAnsi="Times New Roman" w:eastAsia="Times New Roman" w:cs="Times New Roman"/>
                <w:sz w:val="21"/>
                <w:szCs w:val="21"/>
              </w:rPr>
            </w:pPr>
            <w:r>
              <w:rPr>
                <w:spacing w:val="-1"/>
                <w:sz w:val="21"/>
                <w:szCs w:val="21"/>
              </w:rPr>
              <w:t>井口西南侧向</w:t>
            </w:r>
            <w:r>
              <w:rPr>
                <w:spacing w:val="-48"/>
                <w:sz w:val="21"/>
                <w:szCs w:val="21"/>
              </w:rPr>
              <w:t xml:space="preserve"> </w:t>
            </w:r>
            <w:r>
              <w:rPr>
                <w:rFonts w:ascii="Times New Roman" w:hAnsi="Times New Roman" w:eastAsia="Times New Roman" w:cs="Times New Roman"/>
                <w:spacing w:val="-1"/>
                <w:sz w:val="21"/>
                <w:szCs w:val="21"/>
              </w:rPr>
              <w:t>253m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31" w:type="dxa"/>
            <w:tcBorders>
              <w:left w:val="nil"/>
            </w:tcBorders>
            <w:vAlign w:val="top"/>
          </w:tcPr>
          <w:p>
            <w:pPr>
              <w:spacing w:before="136"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Q4</w:t>
            </w:r>
          </w:p>
        </w:tc>
        <w:tc>
          <w:tcPr>
            <w:tcW w:w="1718" w:type="dxa"/>
            <w:vAlign w:val="top"/>
          </w:tcPr>
          <w:p>
            <w:pPr>
              <w:spacing w:before="137"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107.227538</w:t>
            </w:r>
          </w:p>
        </w:tc>
        <w:tc>
          <w:tcPr>
            <w:tcW w:w="1680" w:type="dxa"/>
            <w:vAlign w:val="top"/>
          </w:tcPr>
          <w:p>
            <w:pPr>
              <w:spacing w:before="137"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31.437814</w:t>
            </w:r>
          </w:p>
        </w:tc>
        <w:tc>
          <w:tcPr>
            <w:tcW w:w="713" w:type="dxa"/>
            <w:vAlign w:val="top"/>
          </w:tcPr>
          <w:p>
            <w:pPr>
              <w:pStyle w:val="6"/>
              <w:spacing w:before="101" w:line="221" w:lineRule="auto"/>
              <w:ind w:left="257"/>
              <w:rPr>
                <w:sz w:val="21"/>
                <w:szCs w:val="21"/>
              </w:rPr>
            </w:pPr>
            <w:r>
              <w:rPr>
                <w:sz w:val="21"/>
                <w:szCs w:val="21"/>
              </w:rPr>
              <w:t>泉</w:t>
            </w:r>
          </w:p>
        </w:tc>
        <w:tc>
          <w:tcPr>
            <w:tcW w:w="929" w:type="dxa"/>
            <w:vAlign w:val="top"/>
          </w:tcPr>
          <w:p>
            <w:pPr>
              <w:spacing w:before="136"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36"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36"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37" w:line="189"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515.58</w:t>
            </w:r>
          </w:p>
        </w:tc>
        <w:tc>
          <w:tcPr>
            <w:tcW w:w="1224" w:type="dxa"/>
            <w:vAlign w:val="top"/>
          </w:tcPr>
          <w:p>
            <w:pPr>
              <w:spacing w:before="137"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1.15</w:t>
            </w:r>
          </w:p>
        </w:tc>
        <w:tc>
          <w:tcPr>
            <w:tcW w:w="1071" w:type="dxa"/>
            <w:vAlign w:val="top"/>
          </w:tcPr>
          <w:p>
            <w:pPr>
              <w:spacing w:before="117"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101" w:line="221" w:lineRule="auto"/>
              <w:ind w:left="126"/>
              <w:rPr>
                <w:rFonts w:ascii="Times New Roman" w:hAnsi="Times New Roman" w:eastAsia="Times New Roman" w:cs="Times New Roman"/>
                <w:sz w:val="21"/>
                <w:szCs w:val="21"/>
              </w:rPr>
            </w:pPr>
            <w:r>
              <w:rPr>
                <w:spacing w:val="-3"/>
                <w:sz w:val="21"/>
                <w:szCs w:val="21"/>
              </w:rPr>
              <w:t>井口西南下游</w:t>
            </w:r>
            <w:r>
              <w:rPr>
                <w:spacing w:val="-25"/>
                <w:sz w:val="21"/>
                <w:szCs w:val="21"/>
              </w:rPr>
              <w:t xml:space="preserve"> </w:t>
            </w:r>
            <w:r>
              <w:rPr>
                <w:rFonts w:ascii="Times New Roman" w:hAnsi="Times New Roman" w:eastAsia="Times New Roman" w:cs="Times New Roman"/>
                <w:spacing w:val="-3"/>
                <w:sz w:val="21"/>
                <w:szCs w:val="21"/>
              </w:rPr>
              <w:t>1243m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31" w:type="dxa"/>
            <w:tcBorders>
              <w:left w:val="nil"/>
            </w:tcBorders>
            <w:vAlign w:val="top"/>
          </w:tcPr>
          <w:p>
            <w:pPr>
              <w:spacing w:before="137"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Q5</w:t>
            </w:r>
          </w:p>
        </w:tc>
        <w:tc>
          <w:tcPr>
            <w:tcW w:w="1718" w:type="dxa"/>
            <w:vAlign w:val="top"/>
          </w:tcPr>
          <w:p>
            <w:pPr>
              <w:spacing w:before="138"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107.238582</w:t>
            </w:r>
          </w:p>
        </w:tc>
        <w:tc>
          <w:tcPr>
            <w:tcW w:w="1680" w:type="dxa"/>
            <w:vAlign w:val="top"/>
          </w:tcPr>
          <w:p>
            <w:pPr>
              <w:spacing w:before="138"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31.446642</w:t>
            </w:r>
          </w:p>
        </w:tc>
        <w:tc>
          <w:tcPr>
            <w:tcW w:w="713" w:type="dxa"/>
            <w:vAlign w:val="top"/>
          </w:tcPr>
          <w:p>
            <w:pPr>
              <w:pStyle w:val="6"/>
              <w:spacing w:before="102" w:line="221" w:lineRule="auto"/>
              <w:ind w:left="257"/>
              <w:rPr>
                <w:sz w:val="21"/>
                <w:szCs w:val="21"/>
              </w:rPr>
            </w:pPr>
            <w:r>
              <w:rPr>
                <w:sz w:val="21"/>
                <w:szCs w:val="21"/>
              </w:rPr>
              <w:t>泉</w:t>
            </w:r>
          </w:p>
        </w:tc>
        <w:tc>
          <w:tcPr>
            <w:tcW w:w="929" w:type="dxa"/>
            <w:vAlign w:val="top"/>
          </w:tcPr>
          <w:p>
            <w:pPr>
              <w:spacing w:before="137"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37"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37"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38" w:line="189"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665.45</w:t>
            </w:r>
          </w:p>
        </w:tc>
        <w:tc>
          <w:tcPr>
            <w:tcW w:w="1224" w:type="dxa"/>
            <w:vAlign w:val="top"/>
          </w:tcPr>
          <w:p>
            <w:pPr>
              <w:spacing w:before="138"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w:t>
            </w:r>
          </w:p>
        </w:tc>
        <w:tc>
          <w:tcPr>
            <w:tcW w:w="1071" w:type="dxa"/>
            <w:vAlign w:val="top"/>
          </w:tcPr>
          <w:p>
            <w:pPr>
              <w:spacing w:before="118"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101" w:line="221" w:lineRule="auto"/>
              <w:ind w:left="179"/>
              <w:rPr>
                <w:rFonts w:ascii="Times New Roman" w:hAnsi="Times New Roman" w:eastAsia="Times New Roman" w:cs="Times New Roman"/>
                <w:sz w:val="21"/>
                <w:szCs w:val="21"/>
              </w:rPr>
            </w:pPr>
            <w:r>
              <w:rPr>
                <w:spacing w:val="-1"/>
                <w:sz w:val="21"/>
                <w:szCs w:val="21"/>
              </w:rPr>
              <w:t>井口东南上游</w:t>
            </w:r>
            <w:r>
              <w:rPr>
                <w:spacing w:val="-48"/>
                <w:sz w:val="21"/>
                <w:szCs w:val="21"/>
              </w:rPr>
              <w:t xml:space="preserve"> </w:t>
            </w:r>
            <w:r>
              <w:rPr>
                <w:rFonts w:ascii="Times New Roman" w:hAnsi="Times New Roman" w:eastAsia="Times New Roman" w:cs="Times New Roman"/>
                <w:spacing w:val="-1"/>
                <w:sz w:val="21"/>
                <w:szCs w:val="21"/>
              </w:rPr>
              <w:t>247m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31" w:type="dxa"/>
            <w:tcBorders>
              <w:left w:val="nil"/>
            </w:tcBorders>
            <w:vAlign w:val="top"/>
          </w:tcPr>
          <w:p>
            <w:pPr>
              <w:spacing w:before="138"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Q6</w:t>
            </w:r>
          </w:p>
        </w:tc>
        <w:tc>
          <w:tcPr>
            <w:tcW w:w="1718" w:type="dxa"/>
            <w:vAlign w:val="top"/>
          </w:tcPr>
          <w:p>
            <w:pPr>
              <w:spacing w:before="140"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107.240040</w:t>
            </w:r>
          </w:p>
        </w:tc>
        <w:tc>
          <w:tcPr>
            <w:tcW w:w="1680" w:type="dxa"/>
            <w:vAlign w:val="top"/>
          </w:tcPr>
          <w:p>
            <w:pPr>
              <w:spacing w:before="140"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31.448235</w:t>
            </w:r>
          </w:p>
        </w:tc>
        <w:tc>
          <w:tcPr>
            <w:tcW w:w="713" w:type="dxa"/>
            <w:vAlign w:val="top"/>
          </w:tcPr>
          <w:p>
            <w:pPr>
              <w:pStyle w:val="6"/>
              <w:spacing w:before="104" w:line="221" w:lineRule="auto"/>
              <w:ind w:left="257"/>
              <w:rPr>
                <w:sz w:val="21"/>
                <w:szCs w:val="21"/>
              </w:rPr>
            </w:pPr>
            <w:r>
              <w:rPr>
                <w:sz w:val="21"/>
                <w:szCs w:val="21"/>
              </w:rPr>
              <w:t>泉</w:t>
            </w:r>
          </w:p>
        </w:tc>
        <w:tc>
          <w:tcPr>
            <w:tcW w:w="929" w:type="dxa"/>
            <w:vAlign w:val="top"/>
          </w:tcPr>
          <w:p>
            <w:pPr>
              <w:spacing w:before="138"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38"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38"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40" w:line="189"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685.78</w:t>
            </w:r>
          </w:p>
        </w:tc>
        <w:tc>
          <w:tcPr>
            <w:tcW w:w="1224" w:type="dxa"/>
            <w:vAlign w:val="top"/>
          </w:tcPr>
          <w:p>
            <w:pPr>
              <w:spacing w:before="140"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0.91</w:t>
            </w:r>
          </w:p>
        </w:tc>
        <w:tc>
          <w:tcPr>
            <w:tcW w:w="1071" w:type="dxa"/>
            <w:vAlign w:val="top"/>
          </w:tcPr>
          <w:p>
            <w:pPr>
              <w:spacing w:before="120"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103" w:line="221" w:lineRule="auto"/>
              <w:ind w:left="179"/>
              <w:rPr>
                <w:rFonts w:ascii="Times New Roman" w:hAnsi="Times New Roman" w:eastAsia="Times New Roman" w:cs="Times New Roman"/>
                <w:sz w:val="21"/>
                <w:szCs w:val="21"/>
              </w:rPr>
            </w:pPr>
            <w:r>
              <w:rPr>
                <w:spacing w:val="-1"/>
                <w:sz w:val="21"/>
                <w:szCs w:val="21"/>
              </w:rPr>
              <w:t>井口东北上游</w:t>
            </w:r>
            <w:r>
              <w:rPr>
                <w:spacing w:val="-49"/>
                <w:sz w:val="21"/>
                <w:szCs w:val="21"/>
              </w:rPr>
              <w:t xml:space="preserve"> </w:t>
            </w:r>
            <w:r>
              <w:rPr>
                <w:rFonts w:ascii="Times New Roman" w:hAnsi="Times New Roman" w:eastAsia="Times New Roman" w:cs="Times New Roman"/>
                <w:spacing w:val="-1"/>
                <w:sz w:val="21"/>
                <w:szCs w:val="21"/>
              </w:rPr>
              <w:t>473m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31" w:type="dxa"/>
            <w:tcBorders>
              <w:left w:val="nil"/>
            </w:tcBorders>
            <w:vAlign w:val="top"/>
          </w:tcPr>
          <w:p>
            <w:pPr>
              <w:spacing w:before="141" w:line="189" w:lineRule="auto"/>
              <w:ind w:left="62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S7</w:t>
            </w:r>
          </w:p>
        </w:tc>
        <w:tc>
          <w:tcPr>
            <w:tcW w:w="1718" w:type="dxa"/>
            <w:vAlign w:val="top"/>
          </w:tcPr>
          <w:p>
            <w:pPr>
              <w:spacing w:before="141"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107.247581</w:t>
            </w:r>
          </w:p>
        </w:tc>
        <w:tc>
          <w:tcPr>
            <w:tcW w:w="1680" w:type="dxa"/>
            <w:vAlign w:val="top"/>
          </w:tcPr>
          <w:p>
            <w:pPr>
              <w:spacing w:before="141"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31.443427</w:t>
            </w:r>
          </w:p>
        </w:tc>
        <w:tc>
          <w:tcPr>
            <w:tcW w:w="713" w:type="dxa"/>
            <w:vAlign w:val="top"/>
          </w:tcPr>
          <w:p>
            <w:pPr>
              <w:pStyle w:val="6"/>
              <w:spacing w:before="105" w:line="221" w:lineRule="auto"/>
              <w:ind w:left="256"/>
              <w:rPr>
                <w:sz w:val="21"/>
                <w:szCs w:val="21"/>
              </w:rPr>
            </w:pPr>
            <w:r>
              <w:rPr>
                <w:sz w:val="21"/>
                <w:szCs w:val="21"/>
              </w:rPr>
              <w:t>井</w:t>
            </w:r>
          </w:p>
        </w:tc>
        <w:tc>
          <w:tcPr>
            <w:tcW w:w="929" w:type="dxa"/>
            <w:vAlign w:val="top"/>
          </w:tcPr>
          <w:p>
            <w:pPr>
              <w:spacing w:before="141" w:line="189"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130</w:t>
            </w:r>
          </w:p>
        </w:tc>
        <w:tc>
          <w:tcPr>
            <w:tcW w:w="931" w:type="dxa"/>
            <w:vAlign w:val="top"/>
          </w:tcPr>
          <w:p>
            <w:pPr>
              <w:spacing w:before="141" w:line="189"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36" w:type="dxa"/>
            <w:vAlign w:val="top"/>
          </w:tcPr>
          <w:p>
            <w:pPr>
              <w:spacing w:before="141" w:line="189"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1421" w:type="dxa"/>
            <w:vAlign w:val="top"/>
          </w:tcPr>
          <w:p>
            <w:pPr>
              <w:spacing w:before="141" w:line="189"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456.02</w:t>
            </w:r>
          </w:p>
        </w:tc>
        <w:tc>
          <w:tcPr>
            <w:tcW w:w="1224" w:type="dxa"/>
            <w:vAlign w:val="top"/>
          </w:tcPr>
          <w:p>
            <w:pPr>
              <w:spacing w:before="141"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0.96</w:t>
            </w:r>
          </w:p>
        </w:tc>
        <w:tc>
          <w:tcPr>
            <w:tcW w:w="1071" w:type="dxa"/>
            <w:vAlign w:val="top"/>
          </w:tcPr>
          <w:p>
            <w:pPr>
              <w:spacing w:before="121"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104" w:line="221" w:lineRule="auto"/>
              <w:ind w:left="179"/>
              <w:rPr>
                <w:rFonts w:ascii="Times New Roman" w:hAnsi="Times New Roman" w:eastAsia="Times New Roman" w:cs="Times New Roman"/>
                <w:sz w:val="21"/>
                <w:szCs w:val="21"/>
              </w:rPr>
            </w:pPr>
            <w:r>
              <w:rPr>
                <w:spacing w:val="-2"/>
                <w:sz w:val="21"/>
                <w:szCs w:val="21"/>
              </w:rPr>
              <w:t>井口东南下游</w:t>
            </w:r>
            <w:r>
              <w:rPr>
                <w:spacing w:val="-39"/>
                <w:sz w:val="21"/>
                <w:szCs w:val="21"/>
              </w:rPr>
              <w:t xml:space="preserve"> </w:t>
            </w:r>
            <w:r>
              <w:rPr>
                <w:rFonts w:ascii="Times New Roman" w:hAnsi="Times New Roman" w:eastAsia="Times New Roman" w:cs="Times New Roman"/>
                <w:spacing w:val="-2"/>
                <w:sz w:val="21"/>
                <w:szCs w:val="21"/>
              </w:rPr>
              <w:t>916m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31" w:type="dxa"/>
            <w:tcBorders>
              <w:left w:val="nil"/>
            </w:tcBorders>
            <w:vAlign w:val="top"/>
          </w:tcPr>
          <w:p>
            <w:pPr>
              <w:spacing w:before="141"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Q8</w:t>
            </w:r>
          </w:p>
        </w:tc>
        <w:tc>
          <w:tcPr>
            <w:tcW w:w="1718" w:type="dxa"/>
            <w:vAlign w:val="top"/>
          </w:tcPr>
          <w:p>
            <w:pPr>
              <w:spacing w:before="142"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107.234676</w:t>
            </w:r>
          </w:p>
        </w:tc>
        <w:tc>
          <w:tcPr>
            <w:tcW w:w="1680" w:type="dxa"/>
            <w:vAlign w:val="top"/>
          </w:tcPr>
          <w:p>
            <w:pPr>
              <w:spacing w:before="142"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31.439505</w:t>
            </w:r>
          </w:p>
        </w:tc>
        <w:tc>
          <w:tcPr>
            <w:tcW w:w="713" w:type="dxa"/>
            <w:vAlign w:val="top"/>
          </w:tcPr>
          <w:p>
            <w:pPr>
              <w:pStyle w:val="6"/>
              <w:spacing w:before="106" w:line="221" w:lineRule="auto"/>
              <w:ind w:left="257"/>
              <w:rPr>
                <w:sz w:val="21"/>
                <w:szCs w:val="21"/>
              </w:rPr>
            </w:pPr>
            <w:r>
              <w:rPr>
                <w:sz w:val="21"/>
                <w:szCs w:val="21"/>
              </w:rPr>
              <w:t>泉</w:t>
            </w:r>
          </w:p>
        </w:tc>
        <w:tc>
          <w:tcPr>
            <w:tcW w:w="929" w:type="dxa"/>
            <w:vAlign w:val="top"/>
          </w:tcPr>
          <w:p>
            <w:pPr>
              <w:spacing w:before="141"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41"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41"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42" w:line="189"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638.56</w:t>
            </w:r>
          </w:p>
        </w:tc>
        <w:tc>
          <w:tcPr>
            <w:tcW w:w="1224" w:type="dxa"/>
            <w:vAlign w:val="top"/>
          </w:tcPr>
          <w:p>
            <w:pPr>
              <w:spacing w:before="142"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0.79</w:t>
            </w:r>
          </w:p>
        </w:tc>
        <w:tc>
          <w:tcPr>
            <w:tcW w:w="1071" w:type="dxa"/>
            <w:vAlign w:val="top"/>
          </w:tcPr>
          <w:p>
            <w:pPr>
              <w:spacing w:before="122"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105" w:line="221" w:lineRule="auto"/>
              <w:ind w:left="179"/>
              <w:rPr>
                <w:rFonts w:ascii="Times New Roman" w:hAnsi="Times New Roman" w:eastAsia="Times New Roman" w:cs="Times New Roman"/>
                <w:sz w:val="21"/>
                <w:szCs w:val="21"/>
              </w:rPr>
            </w:pPr>
            <w:r>
              <w:rPr>
                <w:spacing w:val="-2"/>
                <w:sz w:val="21"/>
                <w:szCs w:val="21"/>
              </w:rPr>
              <w:t>井口西南侧向</w:t>
            </w:r>
            <w:r>
              <w:rPr>
                <w:spacing w:val="-39"/>
                <w:sz w:val="21"/>
                <w:szCs w:val="21"/>
              </w:rPr>
              <w:t xml:space="preserve"> </w:t>
            </w:r>
            <w:r>
              <w:rPr>
                <w:rFonts w:ascii="Times New Roman" w:hAnsi="Times New Roman" w:eastAsia="Times New Roman" w:cs="Times New Roman"/>
                <w:spacing w:val="-2"/>
                <w:sz w:val="21"/>
                <w:szCs w:val="21"/>
              </w:rPr>
              <w:t>631m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31" w:type="dxa"/>
            <w:tcBorders>
              <w:left w:val="nil"/>
            </w:tcBorders>
            <w:vAlign w:val="top"/>
          </w:tcPr>
          <w:p>
            <w:pPr>
              <w:spacing w:before="142" w:line="195"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Q9</w:t>
            </w:r>
          </w:p>
        </w:tc>
        <w:tc>
          <w:tcPr>
            <w:tcW w:w="1718" w:type="dxa"/>
            <w:vAlign w:val="top"/>
          </w:tcPr>
          <w:p>
            <w:pPr>
              <w:spacing w:before="143"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107.236163</w:t>
            </w:r>
          </w:p>
        </w:tc>
        <w:tc>
          <w:tcPr>
            <w:tcW w:w="1680" w:type="dxa"/>
            <w:vAlign w:val="top"/>
          </w:tcPr>
          <w:p>
            <w:pPr>
              <w:spacing w:before="143"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31.448135</w:t>
            </w:r>
          </w:p>
        </w:tc>
        <w:tc>
          <w:tcPr>
            <w:tcW w:w="713" w:type="dxa"/>
            <w:vAlign w:val="top"/>
          </w:tcPr>
          <w:p>
            <w:pPr>
              <w:pStyle w:val="6"/>
              <w:spacing w:before="107" w:line="221" w:lineRule="auto"/>
              <w:ind w:left="257"/>
              <w:rPr>
                <w:sz w:val="21"/>
                <w:szCs w:val="21"/>
              </w:rPr>
            </w:pPr>
            <w:r>
              <w:rPr>
                <w:sz w:val="21"/>
                <w:szCs w:val="21"/>
              </w:rPr>
              <w:t>泉</w:t>
            </w:r>
          </w:p>
        </w:tc>
        <w:tc>
          <w:tcPr>
            <w:tcW w:w="929" w:type="dxa"/>
            <w:vAlign w:val="top"/>
          </w:tcPr>
          <w:p>
            <w:pPr>
              <w:spacing w:before="142"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42"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42"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43" w:line="189"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633.72</w:t>
            </w:r>
          </w:p>
        </w:tc>
        <w:tc>
          <w:tcPr>
            <w:tcW w:w="1224" w:type="dxa"/>
            <w:vAlign w:val="top"/>
          </w:tcPr>
          <w:p>
            <w:pPr>
              <w:spacing w:before="143" w:line="189"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0.82</w:t>
            </w:r>
          </w:p>
        </w:tc>
        <w:tc>
          <w:tcPr>
            <w:tcW w:w="1071" w:type="dxa"/>
            <w:vAlign w:val="top"/>
          </w:tcPr>
          <w:p>
            <w:pPr>
              <w:spacing w:before="123"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106" w:line="221" w:lineRule="auto"/>
              <w:ind w:left="179"/>
              <w:rPr>
                <w:rFonts w:ascii="Times New Roman" w:hAnsi="Times New Roman" w:eastAsia="Times New Roman" w:cs="Times New Roman"/>
                <w:sz w:val="21"/>
                <w:szCs w:val="21"/>
              </w:rPr>
            </w:pPr>
            <w:r>
              <w:rPr>
                <w:spacing w:val="-1"/>
                <w:sz w:val="21"/>
                <w:szCs w:val="21"/>
              </w:rPr>
              <w:t>井口西北侧向</w:t>
            </w:r>
            <w:r>
              <w:rPr>
                <w:spacing w:val="-49"/>
                <w:sz w:val="21"/>
                <w:szCs w:val="21"/>
              </w:rPr>
              <w:t xml:space="preserve"> </w:t>
            </w:r>
            <w:r>
              <w:rPr>
                <w:rFonts w:ascii="Times New Roman" w:hAnsi="Times New Roman" w:eastAsia="Times New Roman" w:cs="Times New Roman"/>
                <w:spacing w:val="-1"/>
                <w:sz w:val="21"/>
                <w:szCs w:val="21"/>
              </w:rPr>
              <w:t>442m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31" w:type="dxa"/>
            <w:tcBorders>
              <w:left w:val="nil"/>
            </w:tcBorders>
            <w:vAlign w:val="top"/>
          </w:tcPr>
          <w:p>
            <w:pPr>
              <w:spacing w:before="141" w:line="19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Q10</w:t>
            </w:r>
          </w:p>
        </w:tc>
        <w:tc>
          <w:tcPr>
            <w:tcW w:w="1718" w:type="dxa"/>
            <w:vAlign w:val="top"/>
          </w:tcPr>
          <w:p>
            <w:pPr>
              <w:spacing w:before="142"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107.238290</w:t>
            </w:r>
          </w:p>
        </w:tc>
        <w:tc>
          <w:tcPr>
            <w:tcW w:w="1680" w:type="dxa"/>
            <w:vAlign w:val="top"/>
          </w:tcPr>
          <w:p>
            <w:pPr>
              <w:spacing w:before="142"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31.435712</w:t>
            </w:r>
          </w:p>
        </w:tc>
        <w:tc>
          <w:tcPr>
            <w:tcW w:w="713" w:type="dxa"/>
            <w:vAlign w:val="top"/>
          </w:tcPr>
          <w:p>
            <w:pPr>
              <w:pStyle w:val="6"/>
              <w:spacing w:before="106" w:line="221" w:lineRule="auto"/>
              <w:ind w:left="257"/>
              <w:rPr>
                <w:sz w:val="21"/>
                <w:szCs w:val="21"/>
              </w:rPr>
            </w:pPr>
            <w:r>
              <w:rPr>
                <w:sz w:val="21"/>
                <w:szCs w:val="21"/>
              </w:rPr>
              <w:t>泉</w:t>
            </w:r>
          </w:p>
        </w:tc>
        <w:tc>
          <w:tcPr>
            <w:tcW w:w="929" w:type="dxa"/>
            <w:vAlign w:val="top"/>
          </w:tcPr>
          <w:p>
            <w:pPr>
              <w:spacing w:before="141"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41"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41"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42" w:line="189"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628.57</w:t>
            </w:r>
          </w:p>
        </w:tc>
        <w:tc>
          <w:tcPr>
            <w:tcW w:w="1224" w:type="dxa"/>
            <w:vAlign w:val="top"/>
          </w:tcPr>
          <w:p>
            <w:pPr>
              <w:spacing w:before="142"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1.36</w:t>
            </w:r>
          </w:p>
        </w:tc>
        <w:tc>
          <w:tcPr>
            <w:tcW w:w="1071" w:type="dxa"/>
            <w:vAlign w:val="top"/>
          </w:tcPr>
          <w:p>
            <w:pPr>
              <w:spacing w:before="122"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105" w:line="221" w:lineRule="auto"/>
              <w:ind w:left="179"/>
              <w:rPr>
                <w:rFonts w:ascii="Times New Roman" w:hAnsi="Times New Roman" w:eastAsia="Times New Roman" w:cs="Times New Roman"/>
                <w:sz w:val="21"/>
                <w:szCs w:val="21"/>
              </w:rPr>
            </w:pPr>
            <w:r>
              <w:rPr>
                <w:spacing w:val="-2"/>
                <w:sz w:val="21"/>
                <w:szCs w:val="21"/>
              </w:rPr>
              <w:t>井口东南下游</w:t>
            </w:r>
            <w:r>
              <w:rPr>
                <w:spacing w:val="-39"/>
                <w:sz w:val="21"/>
                <w:szCs w:val="21"/>
              </w:rPr>
              <w:t xml:space="preserve"> </w:t>
            </w:r>
            <w:r>
              <w:rPr>
                <w:rFonts w:ascii="Times New Roman" w:hAnsi="Times New Roman" w:eastAsia="Times New Roman" w:cs="Times New Roman"/>
                <w:spacing w:val="-2"/>
                <w:sz w:val="21"/>
                <w:szCs w:val="21"/>
              </w:rPr>
              <w:t>967m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31" w:type="dxa"/>
            <w:tcBorders>
              <w:left w:val="nil"/>
            </w:tcBorders>
            <w:vAlign w:val="top"/>
          </w:tcPr>
          <w:p>
            <w:pPr>
              <w:spacing w:before="144" w:line="195"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Q11</w:t>
            </w:r>
          </w:p>
        </w:tc>
        <w:tc>
          <w:tcPr>
            <w:tcW w:w="1718" w:type="dxa"/>
            <w:vAlign w:val="top"/>
          </w:tcPr>
          <w:p>
            <w:pPr>
              <w:spacing w:before="145"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107.229126</w:t>
            </w:r>
          </w:p>
        </w:tc>
        <w:tc>
          <w:tcPr>
            <w:tcW w:w="1680" w:type="dxa"/>
            <w:vAlign w:val="top"/>
          </w:tcPr>
          <w:p>
            <w:pPr>
              <w:spacing w:before="145"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31.447409</w:t>
            </w:r>
          </w:p>
        </w:tc>
        <w:tc>
          <w:tcPr>
            <w:tcW w:w="713" w:type="dxa"/>
            <w:vAlign w:val="top"/>
          </w:tcPr>
          <w:p>
            <w:pPr>
              <w:pStyle w:val="6"/>
              <w:spacing w:before="109" w:line="221" w:lineRule="auto"/>
              <w:ind w:left="257"/>
              <w:rPr>
                <w:sz w:val="21"/>
                <w:szCs w:val="21"/>
              </w:rPr>
            </w:pPr>
            <w:r>
              <w:rPr>
                <w:sz w:val="21"/>
                <w:szCs w:val="21"/>
              </w:rPr>
              <w:t>泉</w:t>
            </w:r>
          </w:p>
        </w:tc>
        <w:tc>
          <w:tcPr>
            <w:tcW w:w="929" w:type="dxa"/>
            <w:vAlign w:val="top"/>
          </w:tcPr>
          <w:p>
            <w:pPr>
              <w:spacing w:before="144"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44"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44"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45" w:line="189"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487.05</w:t>
            </w:r>
          </w:p>
        </w:tc>
        <w:tc>
          <w:tcPr>
            <w:tcW w:w="1224" w:type="dxa"/>
            <w:vAlign w:val="top"/>
          </w:tcPr>
          <w:p>
            <w:pPr>
              <w:spacing w:before="145"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1.85</w:t>
            </w:r>
          </w:p>
        </w:tc>
        <w:tc>
          <w:tcPr>
            <w:tcW w:w="1071" w:type="dxa"/>
            <w:vAlign w:val="top"/>
          </w:tcPr>
          <w:p>
            <w:pPr>
              <w:spacing w:before="125"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109" w:line="221" w:lineRule="auto"/>
              <w:ind w:left="179"/>
              <w:rPr>
                <w:rFonts w:ascii="Times New Roman" w:hAnsi="Times New Roman" w:eastAsia="Times New Roman" w:cs="Times New Roman"/>
                <w:sz w:val="21"/>
                <w:szCs w:val="21"/>
              </w:rPr>
            </w:pPr>
            <w:r>
              <w:rPr>
                <w:spacing w:val="-2"/>
                <w:sz w:val="21"/>
                <w:szCs w:val="21"/>
              </w:rPr>
              <w:t>井口西北下游</w:t>
            </w:r>
            <w:r>
              <w:rPr>
                <w:spacing w:val="-39"/>
                <w:sz w:val="21"/>
                <w:szCs w:val="21"/>
              </w:rPr>
              <w:t xml:space="preserve"> </w:t>
            </w:r>
            <w:r>
              <w:rPr>
                <w:rFonts w:ascii="Times New Roman" w:hAnsi="Times New Roman" w:eastAsia="Times New Roman" w:cs="Times New Roman"/>
                <w:spacing w:val="-2"/>
                <w:sz w:val="21"/>
                <w:szCs w:val="21"/>
              </w:rPr>
              <w:t>901m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31" w:type="dxa"/>
            <w:tcBorders>
              <w:left w:val="nil"/>
            </w:tcBorders>
            <w:vAlign w:val="top"/>
          </w:tcPr>
          <w:p>
            <w:pPr>
              <w:spacing w:before="146" w:line="19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Q12</w:t>
            </w:r>
          </w:p>
        </w:tc>
        <w:tc>
          <w:tcPr>
            <w:tcW w:w="1718" w:type="dxa"/>
            <w:vAlign w:val="top"/>
          </w:tcPr>
          <w:p>
            <w:pPr>
              <w:spacing w:before="147"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107.233107</w:t>
            </w:r>
          </w:p>
        </w:tc>
        <w:tc>
          <w:tcPr>
            <w:tcW w:w="1680" w:type="dxa"/>
            <w:vAlign w:val="top"/>
          </w:tcPr>
          <w:p>
            <w:pPr>
              <w:spacing w:before="147"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31.427357</w:t>
            </w:r>
          </w:p>
        </w:tc>
        <w:tc>
          <w:tcPr>
            <w:tcW w:w="713" w:type="dxa"/>
            <w:vAlign w:val="top"/>
          </w:tcPr>
          <w:p>
            <w:pPr>
              <w:pStyle w:val="6"/>
              <w:spacing w:before="111" w:line="221" w:lineRule="auto"/>
              <w:ind w:left="257"/>
              <w:rPr>
                <w:sz w:val="21"/>
                <w:szCs w:val="21"/>
              </w:rPr>
            </w:pPr>
            <w:r>
              <w:rPr>
                <w:sz w:val="21"/>
                <w:szCs w:val="21"/>
              </w:rPr>
              <w:t>泉</w:t>
            </w:r>
          </w:p>
        </w:tc>
        <w:tc>
          <w:tcPr>
            <w:tcW w:w="929" w:type="dxa"/>
            <w:vAlign w:val="top"/>
          </w:tcPr>
          <w:p>
            <w:pPr>
              <w:spacing w:before="146" w:line="233"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1" w:type="dxa"/>
            <w:vAlign w:val="top"/>
          </w:tcPr>
          <w:p>
            <w:pPr>
              <w:spacing w:before="146" w:line="233"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36" w:type="dxa"/>
            <w:vAlign w:val="top"/>
          </w:tcPr>
          <w:p>
            <w:pPr>
              <w:spacing w:before="146" w:line="233"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1" w:type="dxa"/>
            <w:vAlign w:val="top"/>
          </w:tcPr>
          <w:p>
            <w:pPr>
              <w:spacing w:before="147" w:line="189"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536.61</w:t>
            </w:r>
          </w:p>
        </w:tc>
        <w:tc>
          <w:tcPr>
            <w:tcW w:w="1224" w:type="dxa"/>
            <w:vAlign w:val="top"/>
          </w:tcPr>
          <w:p>
            <w:pPr>
              <w:spacing w:before="147"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1.73</w:t>
            </w:r>
          </w:p>
        </w:tc>
        <w:tc>
          <w:tcPr>
            <w:tcW w:w="1071" w:type="dxa"/>
            <w:vAlign w:val="top"/>
          </w:tcPr>
          <w:p>
            <w:pPr>
              <w:spacing w:before="127"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J</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6"/>
                <w:sz w:val="13"/>
                <w:szCs w:val="13"/>
              </w:rPr>
              <w:t>2</w:t>
            </w:r>
          </w:p>
        </w:tc>
        <w:tc>
          <w:tcPr>
            <w:tcW w:w="2136" w:type="dxa"/>
            <w:tcBorders>
              <w:right w:val="nil"/>
            </w:tcBorders>
            <w:vAlign w:val="top"/>
          </w:tcPr>
          <w:p>
            <w:pPr>
              <w:pStyle w:val="6"/>
              <w:spacing w:before="111" w:line="221" w:lineRule="auto"/>
              <w:ind w:left="126"/>
              <w:rPr>
                <w:rFonts w:ascii="Times New Roman" w:hAnsi="Times New Roman" w:eastAsia="Times New Roman" w:cs="Times New Roman"/>
                <w:sz w:val="21"/>
                <w:szCs w:val="21"/>
              </w:rPr>
            </w:pPr>
            <w:r>
              <w:rPr>
                <w:spacing w:val="-3"/>
                <w:sz w:val="21"/>
                <w:szCs w:val="21"/>
              </w:rPr>
              <w:t>井口西南下游</w:t>
            </w:r>
            <w:r>
              <w:rPr>
                <w:spacing w:val="-25"/>
                <w:sz w:val="21"/>
                <w:szCs w:val="21"/>
              </w:rPr>
              <w:t xml:space="preserve"> </w:t>
            </w:r>
            <w:r>
              <w:rPr>
                <w:rFonts w:ascii="Times New Roman" w:hAnsi="Times New Roman" w:eastAsia="Times New Roman" w:cs="Times New Roman"/>
                <w:spacing w:val="-3"/>
                <w:sz w:val="21"/>
                <w:szCs w:val="21"/>
              </w:rPr>
              <w:t>1964m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31" w:type="dxa"/>
            <w:tcBorders>
              <w:left w:val="nil"/>
            </w:tcBorders>
            <w:vAlign w:val="top"/>
          </w:tcPr>
          <w:p>
            <w:pPr>
              <w:spacing w:before="149" w:line="189"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S13</w:t>
            </w:r>
          </w:p>
        </w:tc>
        <w:tc>
          <w:tcPr>
            <w:tcW w:w="1718" w:type="dxa"/>
            <w:vAlign w:val="top"/>
          </w:tcPr>
          <w:p>
            <w:pPr>
              <w:spacing w:before="149"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107.217206</w:t>
            </w:r>
          </w:p>
        </w:tc>
        <w:tc>
          <w:tcPr>
            <w:tcW w:w="1680" w:type="dxa"/>
            <w:vAlign w:val="top"/>
          </w:tcPr>
          <w:p>
            <w:pPr>
              <w:spacing w:before="149"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31.427550</w:t>
            </w:r>
          </w:p>
        </w:tc>
        <w:tc>
          <w:tcPr>
            <w:tcW w:w="713" w:type="dxa"/>
            <w:vAlign w:val="top"/>
          </w:tcPr>
          <w:p>
            <w:pPr>
              <w:pStyle w:val="6"/>
              <w:spacing w:before="113" w:line="221" w:lineRule="auto"/>
              <w:ind w:left="256"/>
              <w:rPr>
                <w:sz w:val="21"/>
                <w:szCs w:val="21"/>
              </w:rPr>
            </w:pPr>
            <w:r>
              <w:rPr>
                <w:sz w:val="21"/>
                <w:szCs w:val="21"/>
              </w:rPr>
              <w:t>井</w:t>
            </w:r>
          </w:p>
        </w:tc>
        <w:tc>
          <w:tcPr>
            <w:tcW w:w="929" w:type="dxa"/>
            <w:vAlign w:val="top"/>
          </w:tcPr>
          <w:p>
            <w:pPr>
              <w:spacing w:before="149" w:line="189"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130</w:t>
            </w:r>
          </w:p>
        </w:tc>
        <w:tc>
          <w:tcPr>
            <w:tcW w:w="931" w:type="dxa"/>
            <w:vAlign w:val="top"/>
          </w:tcPr>
          <w:p>
            <w:pPr>
              <w:spacing w:before="149" w:line="189"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936" w:type="dxa"/>
            <w:vAlign w:val="top"/>
          </w:tcPr>
          <w:p>
            <w:pPr>
              <w:spacing w:before="149" w:line="189"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421" w:type="dxa"/>
            <w:vAlign w:val="top"/>
          </w:tcPr>
          <w:p>
            <w:pPr>
              <w:spacing w:before="149" w:line="189"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429.37</w:t>
            </w:r>
          </w:p>
        </w:tc>
        <w:tc>
          <w:tcPr>
            <w:tcW w:w="1224" w:type="dxa"/>
            <w:vAlign w:val="top"/>
          </w:tcPr>
          <w:p>
            <w:pPr>
              <w:spacing w:before="149"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1.36</w:t>
            </w:r>
          </w:p>
        </w:tc>
        <w:tc>
          <w:tcPr>
            <w:tcW w:w="1071" w:type="dxa"/>
            <w:vAlign w:val="top"/>
          </w:tcPr>
          <w:p>
            <w:pPr>
              <w:spacing w:before="129"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113" w:line="221" w:lineRule="auto"/>
              <w:ind w:left="126"/>
              <w:rPr>
                <w:rFonts w:ascii="Times New Roman" w:hAnsi="Times New Roman" w:eastAsia="Times New Roman" w:cs="Times New Roman"/>
                <w:sz w:val="21"/>
                <w:szCs w:val="21"/>
              </w:rPr>
            </w:pPr>
            <w:r>
              <w:rPr>
                <w:spacing w:val="-1"/>
                <w:sz w:val="21"/>
                <w:szCs w:val="21"/>
              </w:rPr>
              <w:t>井口西南下游</w:t>
            </w:r>
            <w:r>
              <w:rPr>
                <w:spacing w:val="-47"/>
                <w:sz w:val="21"/>
                <w:szCs w:val="21"/>
              </w:rPr>
              <w:t xml:space="preserve"> </w:t>
            </w:r>
            <w:r>
              <w:rPr>
                <w:rFonts w:ascii="Times New Roman" w:hAnsi="Times New Roman" w:eastAsia="Times New Roman" w:cs="Times New Roman"/>
                <w:spacing w:val="-1"/>
                <w:sz w:val="21"/>
                <w:szCs w:val="21"/>
              </w:rPr>
              <w:t>2725m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31" w:type="dxa"/>
            <w:tcBorders>
              <w:left w:val="nil"/>
            </w:tcBorders>
            <w:vAlign w:val="top"/>
          </w:tcPr>
          <w:p>
            <w:pPr>
              <w:spacing w:before="151" w:line="189"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S14</w:t>
            </w:r>
          </w:p>
        </w:tc>
        <w:tc>
          <w:tcPr>
            <w:tcW w:w="1718" w:type="dxa"/>
            <w:vAlign w:val="top"/>
          </w:tcPr>
          <w:p>
            <w:pPr>
              <w:spacing w:before="151"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107.229223</w:t>
            </w:r>
          </w:p>
        </w:tc>
        <w:tc>
          <w:tcPr>
            <w:tcW w:w="1680" w:type="dxa"/>
            <w:vAlign w:val="top"/>
          </w:tcPr>
          <w:p>
            <w:pPr>
              <w:spacing w:before="151"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31.420898</w:t>
            </w:r>
          </w:p>
        </w:tc>
        <w:tc>
          <w:tcPr>
            <w:tcW w:w="713" w:type="dxa"/>
            <w:vAlign w:val="top"/>
          </w:tcPr>
          <w:p>
            <w:pPr>
              <w:pStyle w:val="6"/>
              <w:spacing w:before="115" w:line="221" w:lineRule="auto"/>
              <w:ind w:left="256"/>
              <w:rPr>
                <w:sz w:val="21"/>
                <w:szCs w:val="21"/>
              </w:rPr>
            </w:pPr>
            <w:r>
              <w:rPr>
                <w:sz w:val="21"/>
                <w:szCs w:val="21"/>
              </w:rPr>
              <w:t>井</w:t>
            </w:r>
          </w:p>
        </w:tc>
        <w:tc>
          <w:tcPr>
            <w:tcW w:w="929" w:type="dxa"/>
            <w:vAlign w:val="top"/>
          </w:tcPr>
          <w:p>
            <w:pPr>
              <w:spacing w:before="151" w:line="189"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130</w:t>
            </w:r>
          </w:p>
        </w:tc>
        <w:tc>
          <w:tcPr>
            <w:tcW w:w="931" w:type="dxa"/>
            <w:vAlign w:val="top"/>
          </w:tcPr>
          <w:p>
            <w:pPr>
              <w:spacing w:before="151" w:line="189"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936" w:type="dxa"/>
            <w:vAlign w:val="top"/>
          </w:tcPr>
          <w:p>
            <w:pPr>
              <w:spacing w:before="151" w:line="189"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w:t>
            </w:r>
          </w:p>
        </w:tc>
        <w:tc>
          <w:tcPr>
            <w:tcW w:w="1421" w:type="dxa"/>
            <w:vAlign w:val="top"/>
          </w:tcPr>
          <w:p>
            <w:pPr>
              <w:spacing w:before="151" w:line="189"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445.50</w:t>
            </w:r>
          </w:p>
        </w:tc>
        <w:tc>
          <w:tcPr>
            <w:tcW w:w="1224" w:type="dxa"/>
            <w:vAlign w:val="top"/>
          </w:tcPr>
          <w:p>
            <w:pPr>
              <w:spacing w:before="151"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1.42</w:t>
            </w:r>
          </w:p>
        </w:tc>
        <w:tc>
          <w:tcPr>
            <w:tcW w:w="1071" w:type="dxa"/>
            <w:vAlign w:val="top"/>
          </w:tcPr>
          <w:p>
            <w:pPr>
              <w:spacing w:before="131"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115" w:line="221" w:lineRule="auto"/>
              <w:ind w:left="126"/>
              <w:rPr>
                <w:rFonts w:ascii="Times New Roman" w:hAnsi="Times New Roman" w:eastAsia="Times New Roman" w:cs="Times New Roman"/>
                <w:sz w:val="21"/>
                <w:szCs w:val="21"/>
              </w:rPr>
            </w:pPr>
            <w:r>
              <w:rPr>
                <w:spacing w:val="-1"/>
                <w:sz w:val="21"/>
                <w:szCs w:val="21"/>
              </w:rPr>
              <w:t>井口西南下游</w:t>
            </w:r>
            <w:r>
              <w:rPr>
                <w:spacing w:val="-47"/>
                <w:sz w:val="21"/>
                <w:szCs w:val="21"/>
              </w:rPr>
              <w:t xml:space="preserve"> </w:t>
            </w:r>
            <w:r>
              <w:rPr>
                <w:rFonts w:ascii="Times New Roman" w:hAnsi="Times New Roman" w:eastAsia="Times New Roman" w:cs="Times New Roman"/>
                <w:spacing w:val="-1"/>
                <w:sz w:val="21"/>
                <w:szCs w:val="21"/>
              </w:rPr>
              <w:t>2758m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31" w:type="dxa"/>
            <w:tcBorders>
              <w:left w:val="nil"/>
            </w:tcBorders>
            <w:vAlign w:val="top"/>
          </w:tcPr>
          <w:p>
            <w:pPr>
              <w:spacing w:before="151" w:line="189"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S15</w:t>
            </w:r>
          </w:p>
        </w:tc>
        <w:tc>
          <w:tcPr>
            <w:tcW w:w="1718" w:type="dxa"/>
            <w:vAlign w:val="top"/>
          </w:tcPr>
          <w:p>
            <w:pPr>
              <w:spacing w:before="151"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107.240960</w:t>
            </w:r>
          </w:p>
        </w:tc>
        <w:tc>
          <w:tcPr>
            <w:tcW w:w="1680" w:type="dxa"/>
            <w:vAlign w:val="top"/>
          </w:tcPr>
          <w:p>
            <w:pPr>
              <w:spacing w:before="151" w:line="189"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31.424911</w:t>
            </w:r>
          </w:p>
        </w:tc>
        <w:tc>
          <w:tcPr>
            <w:tcW w:w="713" w:type="dxa"/>
            <w:vAlign w:val="top"/>
          </w:tcPr>
          <w:p>
            <w:pPr>
              <w:pStyle w:val="6"/>
              <w:spacing w:before="114" w:line="221" w:lineRule="auto"/>
              <w:ind w:left="256"/>
              <w:rPr>
                <w:sz w:val="21"/>
                <w:szCs w:val="21"/>
              </w:rPr>
            </w:pPr>
            <w:r>
              <w:rPr>
                <w:sz w:val="21"/>
                <w:szCs w:val="21"/>
              </w:rPr>
              <w:t>井</w:t>
            </w:r>
          </w:p>
        </w:tc>
        <w:tc>
          <w:tcPr>
            <w:tcW w:w="929" w:type="dxa"/>
            <w:vAlign w:val="top"/>
          </w:tcPr>
          <w:p>
            <w:pPr>
              <w:spacing w:before="151" w:line="189"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130</w:t>
            </w:r>
          </w:p>
        </w:tc>
        <w:tc>
          <w:tcPr>
            <w:tcW w:w="931" w:type="dxa"/>
            <w:vAlign w:val="top"/>
          </w:tcPr>
          <w:p>
            <w:pPr>
              <w:spacing w:before="151" w:line="189"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936" w:type="dxa"/>
            <w:vAlign w:val="top"/>
          </w:tcPr>
          <w:p>
            <w:pPr>
              <w:spacing w:before="151" w:line="189"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421" w:type="dxa"/>
            <w:vAlign w:val="top"/>
          </w:tcPr>
          <w:p>
            <w:pPr>
              <w:spacing w:before="151" w:line="189"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474.54</w:t>
            </w:r>
          </w:p>
        </w:tc>
        <w:tc>
          <w:tcPr>
            <w:tcW w:w="1224" w:type="dxa"/>
            <w:vAlign w:val="top"/>
          </w:tcPr>
          <w:p>
            <w:pPr>
              <w:spacing w:before="151"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1.94</w:t>
            </w:r>
          </w:p>
        </w:tc>
        <w:tc>
          <w:tcPr>
            <w:tcW w:w="1071" w:type="dxa"/>
            <w:vAlign w:val="top"/>
          </w:tcPr>
          <w:p>
            <w:pPr>
              <w:spacing w:before="130"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right w:val="nil"/>
            </w:tcBorders>
            <w:vAlign w:val="top"/>
          </w:tcPr>
          <w:p>
            <w:pPr>
              <w:pStyle w:val="6"/>
              <w:spacing w:before="114" w:line="221" w:lineRule="auto"/>
              <w:ind w:left="126"/>
              <w:rPr>
                <w:rFonts w:ascii="Times New Roman" w:hAnsi="Times New Roman" w:eastAsia="Times New Roman" w:cs="Times New Roman"/>
                <w:sz w:val="21"/>
                <w:szCs w:val="21"/>
              </w:rPr>
            </w:pPr>
            <w:r>
              <w:rPr>
                <w:spacing w:val="-1"/>
                <w:sz w:val="21"/>
                <w:szCs w:val="21"/>
              </w:rPr>
              <w:t>井口东南下游</w:t>
            </w:r>
            <w:r>
              <w:rPr>
                <w:spacing w:val="-47"/>
                <w:sz w:val="21"/>
                <w:szCs w:val="21"/>
              </w:rPr>
              <w:t xml:space="preserve"> </w:t>
            </w:r>
            <w:r>
              <w:rPr>
                <w:rFonts w:ascii="Times New Roman" w:hAnsi="Times New Roman" w:eastAsia="Times New Roman" w:cs="Times New Roman"/>
                <w:spacing w:val="-1"/>
                <w:sz w:val="21"/>
                <w:szCs w:val="21"/>
              </w:rPr>
              <w:t>2194m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431" w:type="dxa"/>
            <w:tcBorders>
              <w:left w:val="nil"/>
              <w:bottom w:val="single" w:color="000000" w:sz="10" w:space="0"/>
            </w:tcBorders>
            <w:vAlign w:val="top"/>
          </w:tcPr>
          <w:p>
            <w:pPr>
              <w:spacing w:before="155" w:line="189"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S16</w:t>
            </w:r>
          </w:p>
        </w:tc>
        <w:tc>
          <w:tcPr>
            <w:tcW w:w="1718" w:type="dxa"/>
            <w:tcBorders>
              <w:bottom w:val="single" w:color="000000" w:sz="10" w:space="0"/>
            </w:tcBorders>
            <w:vAlign w:val="top"/>
          </w:tcPr>
          <w:p>
            <w:pPr>
              <w:spacing w:before="155" w:line="189"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107.245209</w:t>
            </w:r>
          </w:p>
        </w:tc>
        <w:tc>
          <w:tcPr>
            <w:tcW w:w="1680" w:type="dxa"/>
            <w:tcBorders>
              <w:bottom w:val="single" w:color="000000" w:sz="10" w:space="0"/>
            </w:tcBorders>
            <w:vAlign w:val="top"/>
          </w:tcPr>
          <w:p>
            <w:pPr>
              <w:spacing w:before="155" w:line="189"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31.432560</w:t>
            </w:r>
          </w:p>
        </w:tc>
        <w:tc>
          <w:tcPr>
            <w:tcW w:w="713" w:type="dxa"/>
            <w:tcBorders>
              <w:bottom w:val="single" w:color="000000" w:sz="10" w:space="0"/>
            </w:tcBorders>
            <w:vAlign w:val="top"/>
          </w:tcPr>
          <w:p>
            <w:pPr>
              <w:pStyle w:val="6"/>
              <w:spacing w:before="118" w:line="221" w:lineRule="auto"/>
              <w:ind w:left="256"/>
              <w:rPr>
                <w:sz w:val="21"/>
                <w:szCs w:val="21"/>
              </w:rPr>
            </w:pPr>
            <w:r>
              <w:rPr>
                <w:sz w:val="21"/>
                <w:szCs w:val="21"/>
              </w:rPr>
              <w:t>井</w:t>
            </w:r>
          </w:p>
        </w:tc>
        <w:tc>
          <w:tcPr>
            <w:tcW w:w="929" w:type="dxa"/>
            <w:tcBorders>
              <w:bottom w:val="single" w:color="000000" w:sz="10" w:space="0"/>
            </w:tcBorders>
            <w:vAlign w:val="top"/>
          </w:tcPr>
          <w:p>
            <w:pPr>
              <w:spacing w:before="155" w:line="189"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130</w:t>
            </w:r>
          </w:p>
        </w:tc>
        <w:tc>
          <w:tcPr>
            <w:tcW w:w="931" w:type="dxa"/>
            <w:tcBorders>
              <w:bottom w:val="single" w:color="000000" w:sz="10" w:space="0"/>
            </w:tcBorders>
            <w:vAlign w:val="top"/>
          </w:tcPr>
          <w:p>
            <w:pPr>
              <w:spacing w:before="155" w:line="189"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36" w:type="dxa"/>
            <w:tcBorders>
              <w:bottom w:val="single" w:color="000000" w:sz="10" w:space="0"/>
            </w:tcBorders>
            <w:vAlign w:val="top"/>
          </w:tcPr>
          <w:p>
            <w:pPr>
              <w:spacing w:before="155" w:line="189"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421" w:type="dxa"/>
            <w:tcBorders>
              <w:bottom w:val="single" w:color="000000" w:sz="10" w:space="0"/>
            </w:tcBorders>
            <w:vAlign w:val="top"/>
          </w:tcPr>
          <w:p>
            <w:pPr>
              <w:spacing w:before="155" w:line="189"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476.14</w:t>
            </w:r>
          </w:p>
        </w:tc>
        <w:tc>
          <w:tcPr>
            <w:tcW w:w="1224" w:type="dxa"/>
            <w:tcBorders>
              <w:bottom w:val="single" w:color="000000" w:sz="10" w:space="0"/>
            </w:tcBorders>
            <w:vAlign w:val="top"/>
          </w:tcPr>
          <w:p>
            <w:pPr>
              <w:spacing w:before="155" w:line="18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1.47</w:t>
            </w:r>
          </w:p>
        </w:tc>
        <w:tc>
          <w:tcPr>
            <w:tcW w:w="1071" w:type="dxa"/>
            <w:tcBorders>
              <w:bottom w:val="single" w:color="000000" w:sz="10" w:space="0"/>
            </w:tcBorders>
            <w:vAlign w:val="top"/>
          </w:tcPr>
          <w:p>
            <w:pPr>
              <w:spacing w:before="134" w:line="210"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J</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position w:val="6"/>
                <w:sz w:val="13"/>
                <w:szCs w:val="13"/>
              </w:rPr>
              <w:t>1</w:t>
            </w:r>
          </w:p>
        </w:tc>
        <w:tc>
          <w:tcPr>
            <w:tcW w:w="2136" w:type="dxa"/>
            <w:tcBorders>
              <w:bottom w:val="single" w:color="000000" w:sz="10" w:space="0"/>
              <w:right w:val="nil"/>
            </w:tcBorders>
            <w:vAlign w:val="top"/>
          </w:tcPr>
          <w:p>
            <w:pPr>
              <w:pStyle w:val="6"/>
              <w:spacing w:before="118" w:line="221" w:lineRule="auto"/>
              <w:ind w:left="126"/>
              <w:rPr>
                <w:rFonts w:ascii="Times New Roman" w:hAnsi="Times New Roman" w:eastAsia="Times New Roman" w:cs="Times New Roman"/>
                <w:sz w:val="21"/>
                <w:szCs w:val="21"/>
              </w:rPr>
            </w:pPr>
            <w:r>
              <w:rPr>
                <w:spacing w:val="-3"/>
                <w:sz w:val="21"/>
                <w:szCs w:val="21"/>
              </w:rPr>
              <w:t>井口东南下游</w:t>
            </w:r>
            <w:r>
              <w:rPr>
                <w:spacing w:val="-25"/>
                <w:sz w:val="21"/>
                <w:szCs w:val="21"/>
              </w:rPr>
              <w:t xml:space="preserve"> </w:t>
            </w:r>
            <w:r>
              <w:rPr>
                <w:rFonts w:ascii="Times New Roman" w:hAnsi="Times New Roman" w:eastAsia="Times New Roman" w:cs="Times New Roman"/>
                <w:spacing w:val="-3"/>
                <w:sz w:val="21"/>
                <w:szCs w:val="21"/>
              </w:rPr>
              <w:t>1507m</w:t>
            </w:r>
          </w:p>
        </w:tc>
      </w:tr>
    </w:tbl>
    <w:p>
      <w:pPr>
        <w:pStyle w:val="2"/>
        <w:rPr>
          <w:sz w:val="21"/>
        </w:rPr>
      </w:pPr>
    </w:p>
    <w:p>
      <w:pPr>
        <w:rPr>
          <w:sz w:val="21"/>
          <w:szCs w:val="21"/>
        </w:rPr>
        <w:sectPr>
          <w:footerReference r:id="rId169" w:type="default"/>
          <w:pgSz w:w="16839" w:h="11907"/>
          <w:pgMar w:top="400" w:right="1330" w:bottom="879" w:left="1317" w:header="0" w:footer="717" w:gutter="0"/>
          <w:cols w:space="720" w:num="1"/>
        </w:sect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spacing w:before="139" w:line="222" w:lineRule="auto"/>
        <w:ind w:left="2299"/>
        <w:rPr>
          <w:rFonts w:ascii="宋体" w:hAnsi="宋体" w:eastAsia="宋体" w:cs="宋体"/>
          <w:sz w:val="43"/>
          <w:szCs w:val="43"/>
        </w:rPr>
      </w:pPr>
      <w:bookmarkStart w:id="7" w:name="bookmark9"/>
      <w:bookmarkEnd w:id="7"/>
      <w:bookmarkStart w:id="8" w:name="bookmark8"/>
      <w:bookmarkEnd w:id="8"/>
      <w:r>
        <w:rPr>
          <w:rFonts w:ascii="Times New Roman" w:hAnsi="Times New Roman" w:eastAsia="Times New Roman" w:cs="Times New Roman"/>
          <w:b/>
          <w:bCs/>
          <w:spacing w:val="9"/>
          <w:sz w:val="43"/>
          <w:szCs w:val="43"/>
        </w:rPr>
        <w:t xml:space="preserve">2 </w:t>
      </w:r>
      <w:r>
        <w:rPr>
          <w:rFonts w:ascii="宋体" w:hAnsi="宋体" w:eastAsia="宋体" w:cs="宋体"/>
          <w:spacing w:val="9"/>
          <w:sz w:val="43"/>
          <w:szCs w:val="43"/>
          <w14:textOutline w14:w="7968" w14:cap="flat" w14:cmpd="sng">
            <w14:solidFill>
              <w14:srgbClr w14:val="000000"/>
            </w14:solidFill>
            <w14:prstDash w14:val="solid"/>
            <w14:miter w14:val="10"/>
          </w14:textOutline>
        </w:rPr>
        <w:t>评价区水文地质条件</w:t>
      </w:r>
    </w:p>
    <w:p>
      <w:pPr>
        <w:pStyle w:val="2"/>
        <w:spacing w:line="270" w:lineRule="auto"/>
        <w:rPr>
          <w:sz w:val="21"/>
        </w:rPr>
      </w:pPr>
    </w:p>
    <w:p>
      <w:pPr>
        <w:pStyle w:val="2"/>
        <w:spacing w:line="270" w:lineRule="auto"/>
        <w:rPr>
          <w:sz w:val="21"/>
        </w:rPr>
      </w:pPr>
    </w:p>
    <w:p>
      <w:pPr>
        <w:spacing w:before="101" w:line="225" w:lineRule="auto"/>
        <w:rPr>
          <w:rFonts w:ascii="宋体" w:hAnsi="宋体" w:eastAsia="宋体" w:cs="宋体"/>
          <w:sz w:val="31"/>
          <w:szCs w:val="31"/>
        </w:rPr>
      </w:pPr>
      <w:r>
        <w:rPr>
          <w:rFonts w:ascii="Times New Roman" w:hAnsi="Times New Roman" w:eastAsia="Times New Roman" w:cs="Times New Roman"/>
          <w:b/>
          <w:bCs/>
          <w:spacing w:val="10"/>
          <w:sz w:val="31"/>
          <w:szCs w:val="31"/>
        </w:rPr>
        <w:t>2.1</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地下水类型</w:t>
      </w:r>
    </w:p>
    <w:p>
      <w:pPr>
        <w:pStyle w:val="2"/>
        <w:spacing w:line="246" w:lineRule="auto"/>
        <w:rPr>
          <w:sz w:val="21"/>
        </w:rPr>
      </w:pPr>
    </w:p>
    <w:p>
      <w:pPr>
        <w:spacing w:before="78" w:line="360" w:lineRule="auto"/>
        <w:ind w:right="213" w:firstLine="479"/>
        <w:rPr>
          <w:rFonts w:ascii="宋体" w:hAnsi="宋体" w:eastAsia="宋体" w:cs="宋体"/>
          <w:sz w:val="24"/>
          <w:szCs w:val="24"/>
        </w:rPr>
      </w:pPr>
      <w:r>
        <w:rPr>
          <w:rFonts w:ascii="宋体" w:hAnsi="宋体" w:eastAsia="宋体" w:cs="宋体"/>
          <w:spacing w:val="-6"/>
          <w:sz w:val="24"/>
          <w:szCs w:val="24"/>
        </w:rPr>
        <w:t>评价区地下水类型主要为构造裂隙水，受地质构造作用影响， 地下水主要赋存于</w:t>
      </w:r>
      <w:r>
        <w:rPr>
          <w:rFonts w:ascii="宋体" w:hAnsi="宋体" w:eastAsia="宋体" w:cs="宋体"/>
          <w:sz w:val="24"/>
          <w:szCs w:val="24"/>
        </w:rPr>
        <w:t xml:space="preserve"> </w:t>
      </w:r>
      <w:r>
        <w:rPr>
          <w:rFonts w:ascii="宋体" w:hAnsi="宋体" w:eastAsia="宋体" w:cs="宋体"/>
          <w:spacing w:val="-1"/>
          <w:sz w:val="24"/>
          <w:szCs w:val="24"/>
        </w:rPr>
        <w:t>砂岩隙中。该评价区内构造裂隙水的含水岩组为侏罗系蓬莱镇上段（</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1"/>
          <w:position w:val="-1"/>
          <w:sz w:val="16"/>
          <w:szCs w:val="16"/>
        </w:rPr>
        <w:t>3</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9"/>
          <w:sz w:val="16"/>
          <w:szCs w:val="16"/>
        </w:rPr>
        <w:t>2</w:t>
      </w:r>
      <w:r>
        <w:rPr>
          <w:rFonts w:ascii="Times New Roman" w:hAnsi="Times New Roman" w:eastAsia="Times New Roman" w:cs="Times New Roman"/>
          <w:spacing w:val="-2"/>
          <w:position w:val="9"/>
          <w:sz w:val="16"/>
          <w:szCs w:val="16"/>
        </w:rPr>
        <w:t xml:space="preserve"> </w:t>
      </w:r>
      <w:r>
        <w:rPr>
          <w:rFonts w:ascii="宋体" w:hAnsi="宋体" w:eastAsia="宋体" w:cs="宋体"/>
          <w:spacing w:val="-2"/>
          <w:sz w:val="24"/>
          <w:szCs w:val="24"/>
        </w:rPr>
        <w:t>）和蓬莱镇</w:t>
      </w:r>
    </w:p>
    <w:p>
      <w:pPr>
        <w:spacing w:line="212" w:lineRule="auto"/>
        <w:ind w:left="4"/>
        <w:rPr>
          <w:rFonts w:ascii="宋体" w:hAnsi="宋体" w:eastAsia="宋体" w:cs="宋体"/>
          <w:sz w:val="24"/>
          <w:szCs w:val="24"/>
        </w:rPr>
      </w:pPr>
      <w:r>
        <w:rPr>
          <w:rFonts w:ascii="宋体" w:hAnsi="宋体" w:eastAsia="宋体" w:cs="宋体"/>
          <w:spacing w:val="-1"/>
          <w:sz w:val="24"/>
          <w:szCs w:val="24"/>
        </w:rPr>
        <w:t>组下段（</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1"/>
          <w:position w:val="-2"/>
          <w:sz w:val="16"/>
          <w:szCs w:val="16"/>
        </w:rPr>
        <w:t>3</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9"/>
          <w:sz w:val="16"/>
          <w:szCs w:val="16"/>
        </w:rPr>
        <w:t>1</w:t>
      </w:r>
      <w:r>
        <w:rPr>
          <w:rFonts w:ascii="宋体" w:hAnsi="宋体" w:eastAsia="宋体" w:cs="宋体"/>
          <w:spacing w:val="-61"/>
          <w:w w:val="97"/>
          <w:sz w:val="24"/>
          <w:szCs w:val="24"/>
        </w:rPr>
        <w:t>），</w:t>
      </w:r>
      <w:r>
        <w:rPr>
          <w:rFonts w:ascii="宋体" w:hAnsi="宋体" w:eastAsia="宋体" w:cs="宋体"/>
          <w:spacing w:val="-1"/>
          <w:sz w:val="24"/>
          <w:szCs w:val="24"/>
        </w:rPr>
        <w:t>含水层厚度一般为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
          <w:sz w:val="24"/>
          <w:szCs w:val="24"/>
        </w:rPr>
        <w:t>30m</w:t>
      </w:r>
      <w:r>
        <w:rPr>
          <w:rFonts w:ascii="宋体" w:hAnsi="宋体" w:eastAsia="宋体" w:cs="宋体"/>
          <w:spacing w:val="-2"/>
          <w:sz w:val="24"/>
          <w:szCs w:val="24"/>
        </w:rPr>
        <w:t>。</w:t>
      </w:r>
    </w:p>
    <w:p>
      <w:pPr>
        <w:spacing w:before="192" w:line="360" w:lineRule="auto"/>
        <w:ind w:right="147" w:firstLine="482"/>
        <w:rPr>
          <w:rFonts w:ascii="宋体" w:hAnsi="宋体" w:eastAsia="宋体" w:cs="宋体"/>
          <w:sz w:val="24"/>
          <w:szCs w:val="24"/>
        </w:rPr>
      </w:pPr>
      <w:r>
        <w:rPr>
          <w:rFonts w:ascii="宋体" w:hAnsi="宋体" w:eastAsia="宋体" w:cs="宋体"/>
          <w:spacing w:val="-3"/>
          <w:sz w:val="24"/>
          <w:szCs w:val="24"/>
        </w:rPr>
        <w:t>流域内构造裂隙水的富水性主要与含水岩组的岩性、岩相变化及裂隙发育程度密</w:t>
      </w:r>
      <w:r>
        <w:rPr>
          <w:rFonts w:ascii="宋体" w:hAnsi="宋体" w:eastAsia="宋体" w:cs="宋体"/>
          <w:spacing w:val="9"/>
          <w:sz w:val="24"/>
          <w:szCs w:val="24"/>
        </w:rPr>
        <w:t xml:space="preserve"> </w:t>
      </w:r>
      <w:r>
        <w:rPr>
          <w:rFonts w:ascii="宋体" w:hAnsi="宋体" w:eastAsia="宋体" w:cs="宋体"/>
          <w:sz w:val="24"/>
          <w:szCs w:val="24"/>
        </w:rPr>
        <w:t>切相关，经调查发现地下水水位埋深主要在</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3.7~</w:t>
      </w:r>
      <w:r>
        <w:rPr>
          <w:rFonts w:ascii="Times New Roman" w:hAnsi="Times New Roman" w:eastAsia="Times New Roman" w:cs="Times New Roman"/>
          <w:spacing w:val="-1"/>
          <w:sz w:val="24"/>
          <w:szCs w:val="24"/>
        </w:rPr>
        <w:t xml:space="preserve">8.3m </w:t>
      </w:r>
      <w:r>
        <w:rPr>
          <w:rFonts w:ascii="宋体" w:hAnsi="宋体" w:eastAsia="宋体" w:cs="宋体"/>
          <w:spacing w:val="-1"/>
          <w:sz w:val="24"/>
          <w:szCs w:val="24"/>
        </w:rPr>
        <w:t>之间。评价区岩层产状多较平</w:t>
      </w:r>
      <w:r>
        <w:rPr>
          <w:rFonts w:ascii="宋体" w:hAnsi="宋体" w:eastAsia="宋体" w:cs="宋体"/>
          <w:sz w:val="24"/>
          <w:szCs w:val="24"/>
        </w:rPr>
        <w:t xml:space="preserve">  缓，岩层倾角多在</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2~5</w:t>
      </w:r>
      <w:r>
        <w:rPr>
          <w:rFonts w:ascii="宋体" w:hAnsi="宋体" w:eastAsia="宋体" w:cs="宋体"/>
          <w:sz w:val="24"/>
          <w:szCs w:val="24"/>
        </w:rPr>
        <w:t xml:space="preserve">°之间，砂泥岩层近于水平迭置，发育形成阶梯状岭谷地貌， </w:t>
      </w:r>
      <w:r>
        <w:rPr>
          <w:rFonts w:ascii="宋体" w:hAnsi="宋体" w:eastAsia="宋体" w:cs="宋体"/>
          <w:spacing w:val="-16"/>
          <w:sz w:val="24"/>
          <w:szCs w:val="24"/>
        </w:rPr>
        <w:t>沟谷密布， 泥岩多分布于台面，</w:t>
      </w:r>
      <w:r>
        <w:rPr>
          <w:rFonts w:ascii="宋体" w:hAnsi="宋体" w:eastAsia="宋体" w:cs="宋体"/>
          <w:spacing w:val="50"/>
          <w:sz w:val="24"/>
          <w:szCs w:val="24"/>
        </w:rPr>
        <w:t xml:space="preserve"> </w:t>
      </w:r>
      <w:r>
        <w:rPr>
          <w:rFonts w:ascii="宋体" w:hAnsi="宋体" w:eastAsia="宋体" w:cs="宋体"/>
          <w:spacing w:val="-16"/>
          <w:sz w:val="24"/>
          <w:szCs w:val="24"/>
        </w:rPr>
        <w:t>砂岩则形成崖坎，</w:t>
      </w:r>
      <w:r>
        <w:rPr>
          <w:rFonts w:ascii="宋体" w:hAnsi="宋体" w:eastAsia="宋体" w:cs="宋体"/>
          <w:spacing w:val="53"/>
          <w:sz w:val="24"/>
          <w:szCs w:val="24"/>
        </w:rPr>
        <w:t xml:space="preserve"> </w:t>
      </w:r>
      <w:r>
        <w:rPr>
          <w:rFonts w:ascii="宋体" w:hAnsi="宋体" w:eastAsia="宋体" w:cs="宋体"/>
          <w:spacing w:val="-17"/>
          <w:sz w:val="24"/>
          <w:szCs w:val="24"/>
        </w:rPr>
        <w:t>组成</w:t>
      </w:r>
      <w:r>
        <w:rPr>
          <w:rFonts w:ascii="宋体" w:hAnsi="宋体" w:eastAsia="宋体" w:cs="宋体"/>
          <w:spacing w:val="-54"/>
          <w:sz w:val="24"/>
          <w:szCs w:val="24"/>
        </w:rPr>
        <w:t xml:space="preserve"> </w:t>
      </w:r>
      <w:r>
        <w:rPr>
          <w:rFonts w:ascii="Times New Roman" w:hAnsi="Times New Roman" w:eastAsia="Times New Roman" w:cs="Times New Roman"/>
          <w:spacing w:val="-17"/>
          <w:sz w:val="24"/>
          <w:szCs w:val="24"/>
        </w:rPr>
        <w:t>2-5</w:t>
      </w:r>
      <w:r>
        <w:rPr>
          <w:rFonts w:ascii="Times New Roman" w:hAnsi="Times New Roman" w:eastAsia="Times New Roman" w:cs="Times New Roman"/>
          <w:spacing w:val="14"/>
          <w:sz w:val="24"/>
          <w:szCs w:val="24"/>
        </w:rPr>
        <w:t xml:space="preserve"> </w:t>
      </w:r>
      <w:r>
        <w:rPr>
          <w:rFonts w:ascii="宋体" w:hAnsi="宋体" w:eastAsia="宋体" w:cs="宋体"/>
          <w:spacing w:val="-17"/>
          <w:sz w:val="24"/>
          <w:szCs w:val="24"/>
        </w:rPr>
        <w:t>级台地， 通常最高的一级</w:t>
      </w:r>
      <w:r>
        <w:rPr>
          <w:rFonts w:ascii="宋体" w:hAnsi="宋体" w:eastAsia="宋体" w:cs="宋体"/>
          <w:sz w:val="24"/>
          <w:szCs w:val="24"/>
        </w:rPr>
        <w:t xml:space="preserve"> </w:t>
      </w:r>
      <w:r>
        <w:rPr>
          <w:rFonts w:ascii="宋体" w:hAnsi="宋体" w:eastAsia="宋体" w:cs="宋体"/>
          <w:spacing w:val="-16"/>
          <w:sz w:val="24"/>
          <w:szCs w:val="24"/>
        </w:rPr>
        <w:t>台地发育较好，</w:t>
      </w:r>
      <w:r>
        <w:rPr>
          <w:rFonts w:ascii="宋体" w:hAnsi="宋体" w:eastAsia="宋体" w:cs="宋体"/>
          <w:spacing w:val="52"/>
          <w:sz w:val="24"/>
          <w:szCs w:val="24"/>
        </w:rPr>
        <w:t xml:space="preserve"> </w:t>
      </w:r>
      <w:r>
        <w:rPr>
          <w:rFonts w:ascii="宋体" w:hAnsi="宋体" w:eastAsia="宋体" w:cs="宋体"/>
          <w:spacing w:val="-16"/>
          <w:sz w:val="24"/>
          <w:szCs w:val="24"/>
        </w:rPr>
        <w:t>最低一级台地次之。评价区构造发育，</w:t>
      </w:r>
      <w:r>
        <w:rPr>
          <w:rFonts w:ascii="宋体" w:hAnsi="宋体" w:eastAsia="宋体" w:cs="宋体"/>
          <w:spacing w:val="40"/>
          <w:sz w:val="24"/>
          <w:szCs w:val="24"/>
        </w:rPr>
        <w:t xml:space="preserve"> </w:t>
      </w:r>
      <w:r>
        <w:rPr>
          <w:rFonts w:ascii="宋体" w:hAnsi="宋体" w:eastAsia="宋体" w:cs="宋体"/>
          <w:spacing w:val="-16"/>
          <w:sz w:val="24"/>
          <w:szCs w:val="24"/>
        </w:rPr>
        <w:t>在褶皱形成过程中，</w:t>
      </w:r>
      <w:r>
        <w:rPr>
          <w:rFonts w:ascii="宋体" w:hAnsi="宋体" w:eastAsia="宋体" w:cs="宋体"/>
          <w:spacing w:val="45"/>
          <w:sz w:val="24"/>
          <w:szCs w:val="24"/>
        </w:rPr>
        <w:t xml:space="preserve"> </w:t>
      </w:r>
      <w:r>
        <w:rPr>
          <w:rFonts w:ascii="宋体" w:hAnsi="宋体" w:eastAsia="宋体" w:cs="宋体"/>
          <w:spacing w:val="-16"/>
          <w:sz w:val="24"/>
          <w:szCs w:val="24"/>
        </w:rPr>
        <w:t>构造作用</w:t>
      </w:r>
      <w:r>
        <w:rPr>
          <w:rFonts w:ascii="宋体" w:hAnsi="宋体" w:eastAsia="宋体" w:cs="宋体"/>
          <w:sz w:val="24"/>
          <w:szCs w:val="24"/>
        </w:rPr>
        <w:t xml:space="preserve"> </w:t>
      </w:r>
      <w:r>
        <w:rPr>
          <w:rFonts w:ascii="宋体" w:hAnsi="宋体" w:eastAsia="宋体" w:cs="宋体"/>
          <w:spacing w:val="-8"/>
          <w:sz w:val="24"/>
          <w:szCs w:val="24"/>
        </w:rPr>
        <w:t>进一步加强了原有的裂隙系统。且该地区出露蓬莱镇上段（</w:t>
      </w:r>
      <w:r>
        <w:rPr>
          <w:rFonts w:ascii="Times New Roman" w:hAnsi="Times New Roman" w:eastAsia="Times New Roman" w:cs="Times New Roman"/>
          <w:spacing w:val="-8"/>
          <w:sz w:val="24"/>
          <w:szCs w:val="24"/>
        </w:rPr>
        <w:t>J</w:t>
      </w:r>
      <w:r>
        <w:rPr>
          <w:rFonts w:ascii="Times New Roman" w:hAnsi="Times New Roman" w:eastAsia="Times New Roman" w:cs="Times New Roman"/>
          <w:spacing w:val="-8"/>
          <w:position w:val="-1"/>
          <w:sz w:val="16"/>
          <w:szCs w:val="16"/>
        </w:rPr>
        <w:t>3</w:t>
      </w:r>
      <w:r>
        <w:rPr>
          <w:rFonts w:ascii="Times New Roman" w:hAnsi="Times New Roman" w:eastAsia="Times New Roman" w:cs="Times New Roman"/>
          <w:spacing w:val="-8"/>
          <w:sz w:val="24"/>
          <w:szCs w:val="24"/>
        </w:rPr>
        <w:t>p</w:t>
      </w:r>
      <w:r>
        <w:rPr>
          <w:rFonts w:ascii="Times New Roman" w:hAnsi="Times New Roman" w:eastAsia="Times New Roman" w:cs="Times New Roman"/>
          <w:spacing w:val="-8"/>
          <w:position w:val="9"/>
          <w:sz w:val="16"/>
          <w:szCs w:val="16"/>
        </w:rPr>
        <w:t>2</w:t>
      </w:r>
      <w:r>
        <w:rPr>
          <w:rFonts w:ascii="宋体" w:hAnsi="宋体" w:eastAsia="宋体" w:cs="宋体"/>
          <w:spacing w:val="-8"/>
          <w:sz w:val="24"/>
          <w:szCs w:val="24"/>
        </w:rPr>
        <w:t>）和蓬</w:t>
      </w:r>
      <w:r>
        <w:rPr>
          <w:rFonts w:ascii="宋体" w:hAnsi="宋体" w:eastAsia="宋体" w:cs="宋体"/>
          <w:spacing w:val="-9"/>
          <w:sz w:val="24"/>
          <w:szCs w:val="24"/>
        </w:rPr>
        <w:t>莱镇下段（</w:t>
      </w:r>
      <w:r>
        <w:rPr>
          <w:rFonts w:ascii="Times New Roman" w:hAnsi="Times New Roman" w:eastAsia="Times New Roman" w:cs="Times New Roman"/>
          <w:spacing w:val="-9"/>
          <w:sz w:val="24"/>
          <w:szCs w:val="24"/>
        </w:rPr>
        <w:t>J</w:t>
      </w:r>
      <w:r>
        <w:rPr>
          <w:rFonts w:ascii="Times New Roman" w:hAnsi="Times New Roman" w:eastAsia="Times New Roman" w:cs="Times New Roman"/>
          <w:spacing w:val="-9"/>
          <w:position w:val="-1"/>
          <w:sz w:val="16"/>
          <w:szCs w:val="16"/>
        </w:rPr>
        <w:t>3</w:t>
      </w:r>
      <w:r>
        <w:rPr>
          <w:rFonts w:ascii="Times New Roman" w:hAnsi="Times New Roman" w:eastAsia="Times New Roman" w:cs="Times New Roman"/>
          <w:spacing w:val="-9"/>
          <w:sz w:val="24"/>
          <w:szCs w:val="24"/>
        </w:rPr>
        <w:t>p</w:t>
      </w:r>
      <w:r>
        <w:rPr>
          <w:rFonts w:ascii="Times New Roman" w:hAnsi="Times New Roman" w:eastAsia="Times New Roman" w:cs="Times New Roman"/>
          <w:spacing w:val="-9"/>
          <w:position w:val="9"/>
          <w:sz w:val="16"/>
          <w:szCs w:val="16"/>
        </w:rPr>
        <w:t xml:space="preserve">1 </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22"/>
          <w:sz w:val="24"/>
          <w:szCs w:val="24"/>
        </w:rPr>
        <w:t>地层， 厚层砂岩较多，</w:t>
      </w:r>
      <w:r>
        <w:rPr>
          <w:rFonts w:ascii="宋体" w:hAnsi="宋体" w:eastAsia="宋体" w:cs="宋体"/>
          <w:spacing w:val="74"/>
          <w:sz w:val="24"/>
          <w:szCs w:val="24"/>
        </w:rPr>
        <w:t xml:space="preserve"> </w:t>
      </w:r>
      <w:r>
        <w:rPr>
          <w:rFonts w:ascii="宋体" w:hAnsi="宋体" w:eastAsia="宋体" w:cs="宋体"/>
          <w:spacing w:val="-22"/>
          <w:sz w:val="24"/>
          <w:szCs w:val="24"/>
        </w:rPr>
        <w:t>富含钙质， 岩性坚硬性脆，</w:t>
      </w:r>
      <w:r>
        <w:rPr>
          <w:rFonts w:ascii="宋体" w:hAnsi="宋体" w:eastAsia="宋体" w:cs="宋体"/>
          <w:spacing w:val="45"/>
          <w:sz w:val="24"/>
          <w:szCs w:val="24"/>
        </w:rPr>
        <w:t xml:space="preserve"> </w:t>
      </w:r>
      <w:r>
        <w:rPr>
          <w:rFonts w:ascii="宋体" w:hAnsi="宋体" w:eastAsia="宋体" w:cs="宋体"/>
          <w:spacing w:val="-22"/>
          <w:sz w:val="24"/>
          <w:szCs w:val="24"/>
        </w:rPr>
        <w:t>在区域构造作用中，</w:t>
      </w:r>
      <w:r>
        <w:rPr>
          <w:rFonts w:ascii="宋体" w:hAnsi="宋体" w:eastAsia="宋体" w:cs="宋体"/>
          <w:spacing w:val="46"/>
          <w:sz w:val="24"/>
          <w:szCs w:val="24"/>
        </w:rPr>
        <w:t xml:space="preserve"> </w:t>
      </w:r>
      <w:r>
        <w:rPr>
          <w:rFonts w:ascii="宋体" w:hAnsi="宋体" w:eastAsia="宋体" w:cs="宋体"/>
          <w:spacing w:val="-22"/>
          <w:sz w:val="24"/>
          <w:szCs w:val="24"/>
        </w:rPr>
        <w:t>特别是后期旋</w:t>
      </w:r>
      <w:r>
        <w:rPr>
          <w:rFonts w:ascii="宋体" w:hAnsi="宋体" w:eastAsia="宋体" w:cs="宋体"/>
          <w:sz w:val="24"/>
          <w:szCs w:val="24"/>
        </w:rPr>
        <w:t xml:space="preserve"> </w:t>
      </w:r>
      <w:r>
        <w:rPr>
          <w:rFonts w:ascii="宋体" w:hAnsi="宋体" w:eastAsia="宋体" w:cs="宋体"/>
          <w:spacing w:val="-12"/>
          <w:sz w:val="24"/>
          <w:szCs w:val="24"/>
        </w:rPr>
        <w:t>钮构造作用下，</w:t>
      </w:r>
      <w:r>
        <w:rPr>
          <w:rFonts w:ascii="宋体" w:hAnsi="宋体" w:eastAsia="宋体" w:cs="宋体"/>
          <w:spacing w:val="49"/>
          <w:sz w:val="24"/>
          <w:szCs w:val="24"/>
        </w:rPr>
        <w:t xml:space="preserve"> </w:t>
      </w:r>
      <w:r>
        <w:rPr>
          <w:rFonts w:ascii="宋体" w:hAnsi="宋体" w:eastAsia="宋体" w:cs="宋体"/>
          <w:spacing w:val="-12"/>
          <w:sz w:val="24"/>
          <w:szCs w:val="24"/>
        </w:rPr>
        <w:t>张性、张扭性裂隙特别发育，</w:t>
      </w:r>
      <w:r>
        <w:rPr>
          <w:rFonts w:ascii="宋体" w:hAnsi="宋体" w:eastAsia="宋体" w:cs="宋体"/>
          <w:spacing w:val="60"/>
          <w:sz w:val="24"/>
          <w:szCs w:val="24"/>
        </w:rPr>
        <w:t xml:space="preserve"> </w:t>
      </w:r>
      <w:r>
        <w:rPr>
          <w:rFonts w:ascii="宋体" w:hAnsi="宋体" w:eastAsia="宋体" w:cs="宋体"/>
          <w:spacing w:val="-12"/>
          <w:sz w:val="24"/>
          <w:szCs w:val="24"/>
        </w:rPr>
        <w:t>因而成为构造裂隙水有利赋存地区。经</w:t>
      </w:r>
    </w:p>
    <w:p>
      <w:pPr>
        <w:spacing w:before="1" w:line="233" w:lineRule="auto"/>
        <w:ind w:left="3"/>
        <w:rPr>
          <w:rFonts w:ascii="宋体" w:hAnsi="宋体" w:eastAsia="宋体" w:cs="宋体"/>
          <w:sz w:val="24"/>
          <w:szCs w:val="24"/>
        </w:rPr>
      </w:pPr>
      <w:r>
        <w:rPr>
          <w:rFonts w:ascii="宋体" w:hAnsi="宋体" w:eastAsia="宋体" w:cs="宋体"/>
          <w:spacing w:val="-3"/>
          <w:sz w:val="24"/>
          <w:szCs w:val="24"/>
        </w:rPr>
        <w:t>调查发现该区域在调查井场周边泉流量</w:t>
      </w:r>
      <w:r>
        <w:rPr>
          <w:rFonts w:ascii="Times New Roman" w:hAnsi="Times New Roman" w:eastAsia="Times New Roman" w:cs="Times New Roman"/>
          <w:spacing w:val="-3"/>
          <w:sz w:val="24"/>
          <w:szCs w:val="24"/>
        </w:rPr>
        <w:t>0.01-0.1L/s</w:t>
      </w:r>
      <w:r>
        <w:rPr>
          <w:rFonts w:ascii="宋体" w:hAnsi="宋体" w:eastAsia="宋体" w:cs="宋体"/>
          <w:spacing w:val="-3"/>
          <w:sz w:val="24"/>
          <w:szCs w:val="24"/>
        </w:rPr>
        <w:t>，地</w:t>
      </w:r>
      <w:r>
        <w:rPr>
          <w:rFonts w:ascii="宋体" w:hAnsi="宋体" w:eastAsia="宋体" w:cs="宋体"/>
          <w:spacing w:val="-4"/>
          <w:sz w:val="24"/>
          <w:szCs w:val="24"/>
        </w:rPr>
        <w:t>下水径流模数</w:t>
      </w:r>
      <w:r>
        <w:rPr>
          <w:rFonts w:ascii="Times New Roman" w:hAnsi="Times New Roman" w:eastAsia="Times New Roman" w:cs="Times New Roman"/>
          <w:spacing w:val="-4"/>
          <w:sz w:val="24"/>
          <w:szCs w:val="24"/>
        </w:rPr>
        <w:t>0.1-0.5L/s</w:t>
      </w:r>
      <w:r>
        <w:rPr>
          <w:rFonts w:ascii="宋体" w:hAnsi="宋体" w:eastAsia="宋体" w:cs="宋体"/>
          <w:spacing w:val="-4"/>
          <w:sz w:val="24"/>
          <w:szCs w:val="24"/>
        </w:rPr>
        <w:t>·</w:t>
      </w:r>
      <w:r>
        <w:rPr>
          <w:rFonts w:ascii="Times New Roman" w:hAnsi="Times New Roman" w:eastAsia="Times New Roman" w:cs="Times New Roman"/>
          <w:spacing w:val="-4"/>
          <w:sz w:val="24"/>
          <w:szCs w:val="24"/>
        </w:rPr>
        <w:t>km</w:t>
      </w:r>
      <w:r>
        <w:rPr>
          <w:rFonts w:ascii="Times New Roman" w:hAnsi="Times New Roman" w:eastAsia="Times New Roman" w:cs="Times New Roman"/>
          <w:spacing w:val="-4"/>
          <w:position w:val="9"/>
          <w:sz w:val="16"/>
          <w:szCs w:val="16"/>
        </w:rPr>
        <w:t>2</w:t>
      </w:r>
      <w:r>
        <w:rPr>
          <w:rFonts w:ascii="宋体" w:hAnsi="宋体" w:eastAsia="宋体" w:cs="宋体"/>
          <w:spacing w:val="-4"/>
          <w:sz w:val="24"/>
          <w:szCs w:val="24"/>
        </w:rPr>
        <w:t>。</w:t>
      </w:r>
    </w:p>
    <w:p>
      <w:pPr>
        <w:spacing w:before="320" w:line="225" w:lineRule="auto"/>
        <w:rPr>
          <w:rFonts w:ascii="宋体" w:hAnsi="宋体" w:eastAsia="宋体" w:cs="宋体"/>
          <w:sz w:val="31"/>
          <w:szCs w:val="31"/>
        </w:rPr>
      </w:pPr>
      <w:bookmarkStart w:id="9" w:name="bookmark10"/>
      <w:bookmarkEnd w:id="9"/>
      <w:r>
        <w:rPr>
          <w:rFonts w:ascii="Times New Roman" w:hAnsi="Times New Roman" w:eastAsia="Times New Roman" w:cs="Times New Roman"/>
          <w:b/>
          <w:bCs/>
          <w:spacing w:val="-2"/>
          <w:sz w:val="31"/>
          <w:szCs w:val="31"/>
        </w:rPr>
        <w:t xml:space="preserve">2.2 </w:t>
      </w:r>
      <w:r>
        <w:rPr>
          <w:rFonts w:ascii="宋体" w:hAnsi="宋体" w:eastAsia="宋体" w:cs="宋体"/>
          <w:spacing w:val="-2"/>
          <w:sz w:val="31"/>
          <w:szCs w:val="31"/>
          <w14:textOutline w14:w="5791" w14:cap="flat" w14:cmpd="sng">
            <w14:solidFill>
              <w14:srgbClr w14:val="000000"/>
            </w14:solidFill>
            <w14:prstDash w14:val="solid"/>
            <w14:miter w14:val="10"/>
          </w14:textOutline>
        </w:rPr>
        <w:t>含水岩层（组）</w:t>
      </w:r>
      <w:r>
        <w:rPr>
          <w:rFonts w:ascii="宋体" w:hAnsi="宋体" w:eastAsia="宋体" w:cs="宋体"/>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及富水性</w:t>
      </w:r>
    </w:p>
    <w:p>
      <w:pPr>
        <w:spacing w:before="250" w:line="359" w:lineRule="auto"/>
        <w:ind w:left="1" w:firstLine="482"/>
        <w:jc w:val="both"/>
        <w:rPr>
          <w:rFonts w:ascii="宋体" w:hAnsi="宋体" w:eastAsia="宋体" w:cs="宋体"/>
          <w:sz w:val="24"/>
          <w:szCs w:val="24"/>
        </w:rPr>
      </w:pPr>
      <w:r>
        <w:rPr>
          <w:rFonts w:ascii="宋体" w:hAnsi="宋体" w:eastAsia="宋体" w:cs="宋体"/>
          <w:spacing w:val="-7"/>
          <w:sz w:val="24"/>
          <w:szCs w:val="24"/>
        </w:rPr>
        <w:t>构造裂隙水含水层在区内分布面积较广，井场周边主要为侏罗系蓬莱镇上段（</w:t>
      </w:r>
      <w:r>
        <w:rPr>
          <w:rFonts w:ascii="Times New Roman" w:hAnsi="Times New Roman" w:eastAsia="Times New Roman" w:cs="Times New Roman"/>
          <w:spacing w:val="-7"/>
          <w:sz w:val="24"/>
          <w:szCs w:val="24"/>
        </w:rPr>
        <w:t>J</w:t>
      </w:r>
      <w:r>
        <w:rPr>
          <w:rFonts w:ascii="Times New Roman" w:hAnsi="Times New Roman" w:eastAsia="Times New Roman" w:cs="Times New Roman"/>
          <w:spacing w:val="-7"/>
          <w:position w:val="-1"/>
          <w:sz w:val="16"/>
          <w:szCs w:val="16"/>
        </w:rPr>
        <w:t>3</w:t>
      </w:r>
      <w:r>
        <w:rPr>
          <w:rFonts w:ascii="Times New Roman" w:hAnsi="Times New Roman" w:eastAsia="Times New Roman" w:cs="Times New Roman"/>
          <w:spacing w:val="-7"/>
          <w:sz w:val="24"/>
          <w:szCs w:val="24"/>
        </w:rPr>
        <w:t>p</w:t>
      </w:r>
      <w:r>
        <w:rPr>
          <w:rFonts w:ascii="Times New Roman" w:hAnsi="Times New Roman" w:eastAsia="Times New Roman" w:cs="Times New Roman"/>
          <w:spacing w:val="-7"/>
          <w:position w:val="9"/>
          <w:sz w:val="16"/>
          <w:szCs w:val="16"/>
        </w:rPr>
        <w:t>2</w:t>
      </w:r>
      <w:r>
        <w:rPr>
          <w:rFonts w:ascii="宋体" w:hAnsi="宋体" w:eastAsia="宋体" w:cs="宋体"/>
          <w:spacing w:val="-7"/>
          <w:sz w:val="24"/>
          <w:szCs w:val="24"/>
        </w:rPr>
        <w:t>）</w:t>
      </w:r>
      <w:r>
        <w:rPr>
          <w:rFonts w:ascii="宋体" w:hAnsi="宋体" w:eastAsia="宋体" w:cs="宋体"/>
          <w:spacing w:val="13"/>
          <w:sz w:val="24"/>
          <w:szCs w:val="24"/>
        </w:rPr>
        <w:t xml:space="preserve"> </w:t>
      </w:r>
      <w:r>
        <w:rPr>
          <w:rFonts w:ascii="宋体" w:hAnsi="宋体" w:eastAsia="宋体" w:cs="宋体"/>
          <w:spacing w:val="-5"/>
          <w:sz w:val="24"/>
          <w:szCs w:val="24"/>
        </w:rPr>
        <w:t>和蓬莱镇下段（</w:t>
      </w:r>
      <w:r>
        <w:rPr>
          <w:rFonts w:ascii="Times New Roman" w:hAnsi="Times New Roman" w:eastAsia="Times New Roman" w:cs="Times New Roman"/>
          <w:spacing w:val="-5"/>
          <w:sz w:val="24"/>
          <w:szCs w:val="24"/>
        </w:rPr>
        <w:t>J</w:t>
      </w:r>
      <w:r>
        <w:rPr>
          <w:rFonts w:ascii="Times New Roman" w:hAnsi="Times New Roman" w:eastAsia="Times New Roman" w:cs="Times New Roman"/>
          <w:spacing w:val="-5"/>
          <w:position w:val="-1"/>
          <w:sz w:val="16"/>
          <w:szCs w:val="16"/>
        </w:rPr>
        <w:t>3</w:t>
      </w:r>
      <w:r>
        <w:rPr>
          <w:rFonts w:ascii="Times New Roman" w:hAnsi="Times New Roman" w:eastAsia="Times New Roman" w:cs="Times New Roman"/>
          <w:spacing w:val="-5"/>
          <w:sz w:val="24"/>
          <w:szCs w:val="24"/>
        </w:rPr>
        <w:t>p</w:t>
      </w:r>
      <w:r>
        <w:rPr>
          <w:rFonts w:ascii="Times New Roman" w:hAnsi="Times New Roman" w:eastAsia="Times New Roman" w:cs="Times New Roman"/>
          <w:spacing w:val="-5"/>
          <w:position w:val="9"/>
          <w:sz w:val="16"/>
          <w:szCs w:val="16"/>
        </w:rPr>
        <w:t xml:space="preserve">1 </w:t>
      </w:r>
      <w:r>
        <w:rPr>
          <w:rFonts w:ascii="宋体" w:hAnsi="宋体" w:eastAsia="宋体" w:cs="宋体"/>
          <w:spacing w:val="-5"/>
          <w:sz w:val="24"/>
          <w:szCs w:val="24"/>
        </w:rPr>
        <w:t>）地层， 侏罗系蓬莱镇上段（</w:t>
      </w:r>
      <w:r>
        <w:rPr>
          <w:rFonts w:ascii="Times New Roman" w:hAnsi="Times New Roman" w:eastAsia="Times New Roman" w:cs="Times New Roman"/>
          <w:spacing w:val="-5"/>
          <w:sz w:val="24"/>
          <w:szCs w:val="24"/>
        </w:rPr>
        <w:t>J</w:t>
      </w:r>
      <w:r>
        <w:rPr>
          <w:rFonts w:ascii="Times New Roman" w:hAnsi="Times New Roman" w:eastAsia="Times New Roman" w:cs="Times New Roman"/>
          <w:spacing w:val="-5"/>
          <w:position w:val="-1"/>
          <w:sz w:val="16"/>
          <w:szCs w:val="16"/>
        </w:rPr>
        <w:t>3</w:t>
      </w:r>
      <w:r>
        <w:rPr>
          <w:rFonts w:ascii="Times New Roman" w:hAnsi="Times New Roman" w:eastAsia="Times New Roman" w:cs="Times New Roman"/>
          <w:spacing w:val="-5"/>
          <w:sz w:val="24"/>
          <w:szCs w:val="24"/>
        </w:rPr>
        <w:t>p</w:t>
      </w:r>
      <w:r>
        <w:rPr>
          <w:rFonts w:ascii="Times New Roman" w:hAnsi="Times New Roman" w:eastAsia="Times New Roman" w:cs="Times New Roman"/>
          <w:spacing w:val="-5"/>
          <w:position w:val="9"/>
          <w:sz w:val="16"/>
          <w:szCs w:val="16"/>
        </w:rPr>
        <w:t xml:space="preserve">2 </w:t>
      </w:r>
      <w:r>
        <w:rPr>
          <w:rFonts w:ascii="宋体" w:hAnsi="宋体" w:eastAsia="宋体" w:cs="宋体"/>
          <w:spacing w:val="-5"/>
          <w:sz w:val="24"/>
          <w:szCs w:val="24"/>
        </w:rPr>
        <w:t>）上部为紫红色、棕红色砂质泥</w:t>
      </w:r>
      <w:r>
        <w:rPr>
          <w:rFonts w:ascii="宋体" w:hAnsi="宋体" w:eastAsia="宋体" w:cs="宋体"/>
          <w:spacing w:val="5"/>
          <w:sz w:val="24"/>
          <w:szCs w:val="24"/>
        </w:rPr>
        <w:t xml:space="preserve">  </w:t>
      </w:r>
      <w:r>
        <w:rPr>
          <w:rFonts w:ascii="宋体" w:hAnsi="宋体" w:eastAsia="宋体" w:cs="宋体"/>
          <w:spacing w:val="-11"/>
          <w:sz w:val="24"/>
          <w:szCs w:val="24"/>
        </w:rPr>
        <w:t>岩、泥岩及泥质粉砂岩，</w:t>
      </w:r>
      <w:r>
        <w:rPr>
          <w:rFonts w:ascii="宋体" w:hAnsi="宋体" w:eastAsia="宋体" w:cs="宋体"/>
          <w:spacing w:val="51"/>
          <w:sz w:val="24"/>
          <w:szCs w:val="24"/>
        </w:rPr>
        <w:t xml:space="preserve"> </w:t>
      </w:r>
      <w:r>
        <w:rPr>
          <w:rFonts w:ascii="宋体" w:hAnsi="宋体" w:eastAsia="宋体" w:cs="宋体"/>
          <w:spacing w:val="-11"/>
          <w:sz w:val="24"/>
          <w:szCs w:val="24"/>
        </w:rPr>
        <w:t>夹粉砂岩及细砂岩。均含钙质；</w:t>
      </w:r>
      <w:r>
        <w:rPr>
          <w:rFonts w:ascii="宋体" w:hAnsi="宋体" w:eastAsia="宋体" w:cs="宋体"/>
          <w:spacing w:val="59"/>
          <w:sz w:val="24"/>
          <w:szCs w:val="24"/>
        </w:rPr>
        <w:t xml:space="preserve"> </w:t>
      </w:r>
      <w:r>
        <w:rPr>
          <w:rFonts w:ascii="宋体" w:hAnsi="宋体" w:eastAsia="宋体" w:cs="宋体"/>
          <w:spacing w:val="-11"/>
          <w:sz w:val="24"/>
          <w:szCs w:val="24"/>
        </w:rPr>
        <w:t>下部为厚层</w:t>
      </w:r>
      <w:r>
        <w:rPr>
          <w:rFonts w:ascii="Times New Roman" w:hAnsi="Times New Roman" w:eastAsia="Times New Roman" w:cs="Times New Roman"/>
          <w:spacing w:val="-11"/>
          <w:sz w:val="24"/>
          <w:szCs w:val="24"/>
        </w:rPr>
        <w:t>-</w:t>
      </w:r>
      <w:r>
        <w:rPr>
          <w:rFonts w:ascii="宋体" w:hAnsi="宋体" w:eastAsia="宋体" w:cs="宋体"/>
          <w:spacing w:val="-11"/>
          <w:sz w:val="24"/>
          <w:szCs w:val="24"/>
        </w:rPr>
        <w:t>块状粉砂岩及长</w:t>
      </w:r>
      <w:r>
        <w:rPr>
          <w:rFonts w:ascii="宋体" w:hAnsi="宋体" w:eastAsia="宋体" w:cs="宋体"/>
          <w:sz w:val="24"/>
          <w:szCs w:val="24"/>
        </w:rPr>
        <w:t xml:space="preserve">  </w:t>
      </w:r>
      <w:r>
        <w:rPr>
          <w:rFonts w:ascii="宋体" w:hAnsi="宋体" w:eastAsia="宋体" w:cs="宋体"/>
          <w:spacing w:val="-12"/>
          <w:sz w:val="24"/>
          <w:szCs w:val="24"/>
        </w:rPr>
        <w:t>石石英砂岩与紫红色砂质泥岩、泥岩夹粉砂岩，呈不等厚</w:t>
      </w:r>
      <w:r>
        <w:rPr>
          <w:rFonts w:ascii="宋体" w:hAnsi="宋体" w:eastAsia="宋体" w:cs="宋体"/>
          <w:spacing w:val="-13"/>
          <w:sz w:val="24"/>
          <w:szCs w:val="24"/>
        </w:rPr>
        <w:t>互层。侏罗系蓬莱镇下段（</w:t>
      </w:r>
      <w:r>
        <w:rPr>
          <w:rFonts w:ascii="Times New Roman" w:hAnsi="Times New Roman" w:eastAsia="Times New Roman" w:cs="Times New Roman"/>
          <w:spacing w:val="-13"/>
          <w:sz w:val="24"/>
          <w:szCs w:val="24"/>
        </w:rPr>
        <w:t>J</w:t>
      </w:r>
      <w:r>
        <w:rPr>
          <w:rFonts w:ascii="Times New Roman" w:hAnsi="Times New Roman" w:eastAsia="Times New Roman" w:cs="Times New Roman"/>
          <w:spacing w:val="-13"/>
          <w:position w:val="-1"/>
          <w:sz w:val="16"/>
          <w:szCs w:val="16"/>
        </w:rPr>
        <w:t>3</w:t>
      </w:r>
      <w:r>
        <w:rPr>
          <w:rFonts w:ascii="Times New Roman" w:hAnsi="Times New Roman" w:eastAsia="Times New Roman" w:cs="Times New Roman"/>
          <w:spacing w:val="-5"/>
          <w:sz w:val="24"/>
          <w:szCs w:val="24"/>
        </w:rPr>
        <w:t>p</w:t>
      </w:r>
      <w:r>
        <w:rPr>
          <w:rFonts w:ascii="Times New Roman" w:hAnsi="Times New Roman" w:eastAsia="Times New Roman" w:cs="Times New Roman"/>
          <w:spacing w:val="-5"/>
          <w:position w:val="9"/>
          <w:sz w:val="16"/>
          <w:szCs w:val="16"/>
        </w:rPr>
        <w:t>1</w:t>
      </w:r>
      <w:r>
        <w:rPr>
          <w:rFonts w:ascii="宋体" w:hAnsi="宋体" w:eastAsia="宋体" w:cs="宋体"/>
          <w:spacing w:val="-5"/>
          <w:sz w:val="24"/>
          <w:szCs w:val="24"/>
        </w:rPr>
        <w:t>）</w:t>
      </w:r>
      <w:r>
        <w:rPr>
          <w:rFonts w:ascii="宋体" w:hAnsi="宋体" w:eastAsia="宋体" w:cs="宋体"/>
          <w:sz w:val="24"/>
          <w:szCs w:val="24"/>
        </w:rPr>
        <w:t xml:space="preserve"> 上部为紫红色粉砂质泥岩、泥质粉砂岩、泥岩夹砂岩。粉砂岩为中层状，易风化；下</w:t>
      </w:r>
      <w:r>
        <w:rPr>
          <w:rFonts w:ascii="宋体" w:hAnsi="宋体" w:eastAsia="宋体" w:cs="宋体"/>
          <w:spacing w:val="1"/>
          <w:sz w:val="24"/>
          <w:szCs w:val="24"/>
        </w:rPr>
        <w:t xml:space="preserve">  </w:t>
      </w:r>
      <w:r>
        <w:rPr>
          <w:rFonts w:ascii="宋体" w:hAnsi="宋体" w:eastAsia="宋体" w:cs="宋体"/>
          <w:spacing w:val="-6"/>
          <w:sz w:val="24"/>
          <w:szCs w:val="24"/>
        </w:rPr>
        <w:t>部以灰紫色、浅灰色厚层</w:t>
      </w:r>
      <w:r>
        <w:rPr>
          <w:rFonts w:ascii="Times New Roman" w:hAnsi="Times New Roman" w:eastAsia="Times New Roman" w:cs="Times New Roman"/>
          <w:spacing w:val="-6"/>
          <w:sz w:val="24"/>
          <w:szCs w:val="24"/>
        </w:rPr>
        <w:t>-</w:t>
      </w:r>
      <w:r>
        <w:rPr>
          <w:rFonts w:ascii="宋体" w:hAnsi="宋体" w:eastAsia="宋体" w:cs="宋体"/>
          <w:spacing w:val="-6"/>
          <w:sz w:val="24"/>
          <w:szCs w:val="24"/>
        </w:rPr>
        <w:t>块状长石石英细砂岩为主夹紫红色粉砂质泥岩，</w:t>
      </w:r>
      <w:r>
        <w:rPr>
          <w:rFonts w:ascii="宋体" w:hAnsi="宋体" w:eastAsia="宋体" w:cs="宋体"/>
          <w:spacing w:val="41"/>
          <w:sz w:val="24"/>
          <w:szCs w:val="24"/>
        </w:rPr>
        <w:t xml:space="preserve"> </w:t>
      </w:r>
      <w:r>
        <w:rPr>
          <w:rFonts w:ascii="宋体" w:hAnsi="宋体" w:eastAsia="宋体" w:cs="宋体"/>
          <w:spacing w:val="-6"/>
          <w:sz w:val="24"/>
          <w:szCs w:val="24"/>
        </w:rPr>
        <w:t>底为长石细</w:t>
      </w:r>
    </w:p>
    <w:p>
      <w:pPr>
        <w:spacing w:before="1" w:line="219" w:lineRule="auto"/>
        <w:rPr>
          <w:rFonts w:ascii="宋体" w:hAnsi="宋体" w:eastAsia="宋体" w:cs="宋体"/>
          <w:sz w:val="24"/>
          <w:szCs w:val="24"/>
        </w:rPr>
      </w:pPr>
      <w:r>
        <w:rPr>
          <w:rFonts w:ascii="宋体" w:hAnsi="宋体" w:eastAsia="宋体" w:cs="宋体"/>
          <w:spacing w:val="-3"/>
          <w:sz w:val="24"/>
          <w:szCs w:val="24"/>
        </w:rPr>
        <w:t>砂岩，厚</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351.3 </w:t>
      </w:r>
      <w:r>
        <w:rPr>
          <w:rFonts w:ascii="宋体" w:hAnsi="宋体" w:eastAsia="宋体" w:cs="宋体"/>
          <w:spacing w:val="-3"/>
          <w:sz w:val="24"/>
          <w:szCs w:val="24"/>
        </w:rPr>
        <w:t>米。</w:t>
      </w:r>
    </w:p>
    <w:p>
      <w:pPr>
        <w:spacing w:before="182" w:line="359" w:lineRule="auto"/>
        <w:ind w:left="3" w:right="38" w:firstLine="477"/>
        <w:jc w:val="both"/>
        <w:rPr>
          <w:rFonts w:ascii="宋体" w:hAnsi="宋体" w:eastAsia="宋体" w:cs="宋体"/>
          <w:sz w:val="24"/>
          <w:szCs w:val="24"/>
        </w:rPr>
      </w:pPr>
      <w:r>
        <w:rPr>
          <w:rFonts w:ascii="宋体" w:hAnsi="宋体" w:eastAsia="宋体" w:cs="宋体"/>
          <w:sz w:val="24"/>
          <w:szCs w:val="24"/>
        </w:rPr>
        <w:t>评价区处于大巴山弧形构造的紧密褶皱与疏缓褶皱的过渡地带，为一些褶皱幅度</w:t>
      </w:r>
      <w:r>
        <w:rPr>
          <w:rFonts w:ascii="宋体" w:hAnsi="宋体" w:eastAsia="宋体" w:cs="宋体"/>
          <w:spacing w:val="7"/>
          <w:sz w:val="24"/>
          <w:szCs w:val="24"/>
        </w:rPr>
        <w:t xml:space="preserve"> </w:t>
      </w:r>
      <w:r>
        <w:rPr>
          <w:rFonts w:ascii="宋体" w:hAnsi="宋体" w:eastAsia="宋体" w:cs="宋体"/>
          <w:spacing w:val="-13"/>
          <w:sz w:val="24"/>
          <w:szCs w:val="24"/>
        </w:rPr>
        <w:t>中等的背斜和向斜组成，</w:t>
      </w:r>
      <w:r>
        <w:rPr>
          <w:rFonts w:ascii="宋体" w:hAnsi="宋体" w:eastAsia="宋体" w:cs="宋体"/>
          <w:spacing w:val="22"/>
          <w:sz w:val="24"/>
          <w:szCs w:val="24"/>
        </w:rPr>
        <w:t xml:space="preserve"> </w:t>
      </w:r>
      <w:r>
        <w:rPr>
          <w:rFonts w:ascii="宋体" w:hAnsi="宋体" w:eastAsia="宋体" w:cs="宋体"/>
          <w:spacing w:val="-13"/>
          <w:sz w:val="24"/>
          <w:szCs w:val="24"/>
        </w:rPr>
        <w:t>岩层倾角在</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10-30</w:t>
      </w:r>
      <w:r>
        <w:rPr>
          <w:rFonts w:ascii="宋体" w:hAnsi="宋体" w:eastAsia="宋体" w:cs="宋体"/>
          <w:spacing w:val="-13"/>
          <w:sz w:val="24"/>
          <w:szCs w:val="24"/>
        </w:rPr>
        <w:t>°之间，</w:t>
      </w:r>
      <w:r>
        <w:rPr>
          <w:rFonts w:ascii="宋体" w:hAnsi="宋体" w:eastAsia="宋体" w:cs="宋体"/>
          <w:spacing w:val="-31"/>
          <w:sz w:val="24"/>
          <w:szCs w:val="24"/>
        </w:rPr>
        <w:t xml:space="preserve"> </w:t>
      </w:r>
      <w:r>
        <w:rPr>
          <w:rFonts w:ascii="宋体" w:hAnsi="宋体" w:eastAsia="宋体" w:cs="宋体"/>
          <w:spacing w:val="-14"/>
          <w:sz w:val="24"/>
          <w:szCs w:val="24"/>
        </w:rPr>
        <w:t>一般以砂岩为主要含水层，</w:t>
      </w:r>
      <w:r>
        <w:rPr>
          <w:rFonts w:ascii="宋体" w:hAnsi="宋体" w:eastAsia="宋体" w:cs="宋体"/>
          <w:spacing w:val="22"/>
          <w:sz w:val="24"/>
          <w:szCs w:val="24"/>
        </w:rPr>
        <w:t xml:space="preserve"> </w:t>
      </w:r>
      <w:r>
        <w:rPr>
          <w:rFonts w:ascii="宋体" w:hAnsi="宋体" w:eastAsia="宋体" w:cs="宋体"/>
          <w:spacing w:val="-14"/>
          <w:sz w:val="24"/>
          <w:szCs w:val="24"/>
        </w:rPr>
        <w:t>裂隙频</w:t>
      </w:r>
      <w:r>
        <w:rPr>
          <w:rFonts w:ascii="宋体" w:hAnsi="宋体" w:eastAsia="宋体" w:cs="宋体"/>
          <w:sz w:val="24"/>
          <w:szCs w:val="24"/>
        </w:rPr>
        <w:t xml:space="preserve"> </w:t>
      </w:r>
      <w:r>
        <w:rPr>
          <w:rFonts w:ascii="宋体" w:hAnsi="宋体" w:eastAsia="宋体" w:cs="宋体"/>
          <w:spacing w:val="-3"/>
          <w:sz w:val="24"/>
          <w:szCs w:val="24"/>
        </w:rPr>
        <w:t>率为</w:t>
      </w:r>
      <w:r>
        <w:rPr>
          <w:rFonts w:ascii="宋体" w:hAnsi="宋体" w:eastAsia="宋体" w:cs="宋体"/>
          <w:spacing w:val="-13"/>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条</w:t>
      </w:r>
      <w:r>
        <w:rPr>
          <w:rFonts w:ascii="Times New Roman" w:hAnsi="Times New Roman" w:eastAsia="Times New Roman" w:cs="Times New Roman"/>
          <w:spacing w:val="-3"/>
          <w:sz w:val="24"/>
          <w:szCs w:val="24"/>
        </w:rPr>
        <w:t>/</w:t>
      </w:r>
      <w:r>
        <w:rPr>
          <w:rFonts w:ascii="宋体" w:hAnsi="宋体" w:eastAsia="宋体" w:cs="宋体"/>
          <w:spacing w:val="-3"/>
          <w:sz w:val="24"/>
          <w:szCs w:val="24"/>
        </w:rPr>
        <w:t>米，裂隙率为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4-5%</w:t>
      </w:r>
      <w:r>
        <w:rPr>
          <w:rFonts w:ascii="宋体" w:hAnsi="宋体" w:eastAsia="宋体" w:cs="宋体"/>
          <w:spacing w:val="-3"/>
          <w:sz w:val="24"/>
          <w:szCs w:val="24"/>
        </w:rPr>
        <w:t>。由于岩层产状普遍比较平缓，砂泥岩近于水平迭置，</w:t>
      </w:r>
    </w:p>
    <w:p>
      <w:pPr>
        <w:spacing w:before="1" w:line="218" w:lineRule="auto"/>
        <w:rPr>
          <w:rFonts w:ascii="宋体" w:hAnsi="宋体" w:eastAsia="宋体" w:cs="宋体"/>
          <w:sz w:val="24"/>
          <w:szCs w:val="24"/>
        </w:rPr>
      </w:pPr>
      <w:r>
        <w:rPr>
          <w:rFonts w:ascii="宋体" w:hAnsi="宋体" w:eastAsia="宋体" w:cs="宋体"/>
          <w:sz w:val="24"/>
          <w:szCs w:val="24"/>
        </w:rPr>
        <w:t>河溪水系呈放射状展布，大于形成阶梯状台地峡谷地貌。因此，除了高台地上面一些</w:t>
      </w:r>
    </w:p>
    <w:p>
      <w:pPr>
        <w:spacing w:line="218" w:lineRule="auto"/>
        <w:rPr>
          <w:rFonts w:ascii="宋体" w:hAnsi="宋体" w:eastAsia="宋体" w:cs="宋体"/>
          <w:sz w:val="24"/>
          <w:szCs w:val="24"/>
        </w:rPr>
        <w:sectPr>
          <w:footerReference r:id="rId170" w:type="default"/>
          <w:pgSz w:w="11907" w:h="16839"/>
          <w:pgMar w:top="400" w:right="1309" w:bottom="879" w:left="1596" w:header="0" w:footer="717" w:gutter="0"/>
          <w:cols w:space="720" w:num="1"/>
        </w:sectPr>
      </w:pPr>
    </w:p>
    <w:p>
      <w:pPr>
        <w:pStyle w:val="2"/>
        <w:spacing w:line="248" w:lineRule="auto"/>
        <w:rPr>
          <w:sz w:val="21"/>
        </w:rPr>
      </w:pPr>
    </w:p>
    <w:p>
      <w:pPr>
        <w:pStyle w:val="2"/>
        <w:spacing w:line="248" w:lineRule="auto"/>
        <w:rPr>
          <w:sz w:val="21"/>
        </w:rPr>
      </w:pPr>
    </w:p>
    <w:p>
      <w:pPr>
        <w:pStyle w:val="2"/>
        <w:spacing w:line="249" w:lineRule="auto"/>
        <w:rPr>
          <w:sz w:val="21"/>
        </w:rPr>
      </w:pPr>
    </w:p>
    <w:p>
      <w:pPr>
        <w:pStyle w:val="2"/>
        <w:spacing w:line="249" w:lineRule="auto"/>
        <w:rPr>
          <w:sz w:val="21"/>
        </w:rPr>
      </w:pPr>
    </w:p>
    <w:p>
      <w:pPr>
        <w:spacing w:before="78" w:line="359" w:lineRule="auto"/>
        <w:ind w:left="1" w:right="74"/>
        <w:rPr>
          <w:rFonts w:ascii="宋体" w:hAnsi="宋体" w:eastAsia="宋体" w:cs="宋体"/>
          <w:sz w:val="24"/>
          <w:szCs w:val="24"/>
        </w:rPr>
      </w:pPr>
      <w:r>
        <w:rPr>
          <w:rFonts w:ascii="宋体" w:hAnsi="宋体" w:eastAsia="宋体" w:cs="宋体"/>
          <w:spacing w:val="-5"/>
          <w:sz w:val="24"/>
          <w:szCs w:val="24"/>
        </w:rPr>
        <w:t>有山丘分布的补给条件较好的地段，</w:t>
      </w:r>
      <w:r>
        <w:rPr>
          <w:rFonts w:ascii="宋体" w:hAnsi="宋体" w:eastAsia="宋体" w:cs="宋体"/>
          <w:spacing w:val="66"/>
          <w:sz w:val="24"/>
          <w:szCs w:val="24"/>
        </w:rPr>
        <w:t xml:space="preserve"> </w:t>
      </w:r>
      <w:r>
        <w:rPr>
          <w:rFonts w:ascii="宋体" w:hAnsi="宋体" w:eastAsia="宋体" w:cs="宋体"/>
          <w:spacing w:val="-5"/>
          <w:sz w:val="24"/>
          <w:szCs w:val="24"/>
        </w:rPr>
        <w:t>少数泉水的流量较大之外，大部分地区地下水的</w:t>
      </w:r>
      <w:r>
        <w:rPr>
          <w:rFonts w:ascii="宋体" w:hAnsi="宋体" w:eastAsia="宋体" w:cs="宋体"/>
          <w:sz w:val="24"/>
          <w:szCs w:val="24"/>
        </w:rPr>
        <w:t xml:space="preserve"> </w:t>
      </w:r>
      <w:r>
        <w:rPr>
          <w:rFonts w:ascii="宋体" w:hAnsi="宋体" w:eastAsia="宋体" w:cs="宋体"/>
          <w:spacing w:val="-10"/>
          <w:sz w:val="24"/>
          <w:szCs w:val="24"/>
        </w:rPr>
        <w:t>补给条件较差，排泄条件又较良好，</w:t>
      </w:r>
      <w:r>
        <w:rPr>
          <w:rFonts w:ascii="宋体" w:hAnsi="宋体" w:eastAsia="宋体" w:cs="宋体"/>
          <w:spacing w:val="67"/>
          <w:sz w:val="24"/>
          <w:szCs w:val="24"/>
        </w:rPr>
        <w:t xml:space="preserve"> </w:t>
      </w:r>
      <w:r>
        <w:rPr>
          <w:rFonts w:ascii="宋体" w:hAnsi="宋体" w:eastAsia="宋体" w:cs="宋体"/>
          <w:spacing w:val="-10"/>
          <w:sz w:val="24"/>
          <w:szCs w:val="24"/>
        </w:rPr>
        <w:t>泉水虽多而流量较小</w:t>
      </w:r>
      <w:r>
        <w:rPr>
          <w:rFonts w:ascii="宋体" w:hAnsi="宋体" w:eastAsia="宋体" w:cs="宋体"/>
          <w:spacing w:val="-11"/>
          <w:sz w:val="24"/>
          <w:szCs w:val="24"/>
        </w:rPr>
        <w:t>，</w:t>
      </w:r>
      <w:r>
        <w:rPr>
          <w:rFonts w:ascii="宋体" w:hAnsi="宋体" w:eastAsia="宋体" w:cs="宋体"/>
          <w:spacing w:val="77"/>
          <w:sz w:val="24"/>
          <w:szCs w:val="24"/>
        </w:rPr>
        <w:t xml:space="preserve"> </w:t>
      </w:r>
      <w:r>
        <w:rPr>
          <w:rFonts w:ascii="宋体" w:hAnsi="宋体" w:eastAsia="宋体" w:cs="宋体"/>
          <w:spacing w:val="-11"/>
          <w:sz w:val="24"/>
          <w:szCs w:val="24"/>
        </w:rPr>
        <w:t>富水性较差，泉流量一般</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0.01-0.1L/s</w:t>
      </w:r>
      <w:r>
        <w:rPr>
          <w:rFonts w:ascii="宋体" w:hAnsi="宋体" w:eastAsia="宋体" w:cs="宋体"/>
          <w:spacing w:val="-2"/>
          <w:sz w:val="24"/>
          <w:szCs w:val="24"/>
        </w:rPr>
        <w:t>，地下水径流模数</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0.1-0.5L/s</w:t>
      </w:r>
      <w:r>
        <w:rPr>
          <w:rFonts w:ascii="宋体" w:hAnsi="宋体" w:eastAsia="宋体" w:cs="宋体"/>
          <w:spacing w:val="-2"/>
          <w:sz w:val="24"/>
          <w:szCs w:val="24"/>
        </w:rPr>
        <w:t>·</w:t>
      </w:r>
      <w:r>
        <w:rPr>
          <w:rFonts w:ascii="Times New Roman" w:hAnsi="Times New Roman" w:eastAsia="Times New Roman" w:cs="Times New Roman"/>
          <w:spacing w:val="-2"/>
          <w:sz w:val="24"/>
          <w:szCs w:val="24"/>
        </w:rPr>
        <w:t>k</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10"/>
          <w:position w:val="9"/>
          <w:sz w:val="16"/>
          <w:szCs w:val="16"/>
        </w:rPr>
        <w:t xml:space="preserve"> </w:t>
      </w:r>
      <w:r>
        <w:rPr>
          <w:rFonts w:ascii="宋体" w:hAnsi="宋体" w:eastAsia="宋体" w:cs="宋体"/>
          <w:spacing w:val="-3"/>
          <w:sz w:val="24"/>
          <w:szCs w:val="24"/>
        </w:rPr>
        <w:t>，钻孔涌水量多数为</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100-500</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吨</w:t>
      </w:r>
      <w:r>
        <w:rPr>
          <w:rFonts w:ascii="Times New Roman" w:hAnsi="Times New Roman" w:eastAsia="Times New Roman" w:cs="Times New Roman"/>
          <w:spacing w:val="-3"/>
          <w:sz w:val="24"/>
          <w:szCs w:val="24"/>
        </w:rPr>
        <w:t>/</w:t>
      </w:r>
      <w:r>
        <w:rPr>
          <w:rFonts w:ascii="宋体" w:hAnsi="宋体" w:eastAsia="宋体" w:cs="宋体"/>
          <w:spacing w:val="-3"/>
          <w:sz w:val="24"/>
          <w:szCs w:val="24"/>
        </w:rPr>
        <w:t>日，</w:t>
      </w:r>
    </w:p>
    <w:p>
      <w:pPr>
        <w:spacing w:line="233" w:lineRule="auto"/>
        <w:ind w:left="2"/>
        <w:rPr>
          <w:rFonts w:ascii="宋体" w:hAnsi="宋体" w:eastAsia="宋体" w:cs="宋体"/>
          <w:sz w:val="24"/>
          <w:szCs w:val="24"/>
        </w:rPr>
      </w:pPr>
      <w:r>
        <w:rPr>
          <w:rFonts w:ascii="宋体" w:hAnsi="宋体" w:eastAsia="宋体" w:cs="宋体"/>
          <w:spacing w:val="-6"/>
          <w:sz w:val="24"/>
          <w:szCs w:val="24"/>
        </w:rPr>
        <w:t>少数小于</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50</w:t>
      </w:r>
      <w:r>
        <w:rPr>
          <w:rFonts w:ascii="Times New Roman" w:hAnsi="Times New Roman" w:eastAsia="Times New Roman" w:cs="Times New Roman"/>
          <w:spacing w:val="20"/>
          <w:w w:val="101"/>
          <w:sz w:val="24"/>
          <w:szCs w:val="24"/>
        </w:rPr>
        <w:t xml:space="preserve"> </w:t>
      </w:r>
      <w:r>
        <w:rPr>
          <w:rFonts w:ascii="宋体" w:hAnsi="宋体" w:eastAsia="宋体" w:cs="宋体"/>
          <w:spacing w:val="-6"/>
          <w:sz w:val="24"/>
          <w:szCs w:val="24"/>
        </w:rPr>
        <w:t>吨</w:t>
      </w:r>
      <w:r>
        <w:rPr>
          <w:rFonts w:ascii="Times New Roman" w:hAnsi="Times New Roman" w:eastAsia="Times New Roman" w:cs="Times New Roman"/>
          <w:spacing w:val="-6"/>
          <w:sz w:val="24"/>
          <w:szCs w:val="24"/>
        </w:rPr>
        <w:t>/</w:t>
      </w:r>
      <w:r>
        <w:rPr>
          <w:rFonts w:ascii="宋体" w:hAnsi="宋体" w:eastAsia="宋体" w:cs="宋体"/>
          <w:spacing w:val="-6"/>
          <w:sz w:val="24"/>
          <w:szCs w:val="24"/>
        </w:rPr>
        <w:t>日。</w:t>
      </w:r>
    </w:p>
    <w:p>
      <w:pPr>
        <w:pStyle w:val="2"/>
        <w:spacing w:line="294" w:lineRule="auto"/>
        <w:rPr>
          <w:sz w:val="21"/>
        </w:rPr>
      </w:pPr>
    </w:p>
    <w:p>
      <w:pPr>
        <w:spacing w:before="100" w:line="225" w:lineRule="auto"/>
        <w:rPr>
          <w:rFonts w:ascii="宋体" w:hAnsi="宋体" w:eastAsia="宋体" w:cs="宋体"/>
          <w:sz w:val="31"/>
          <w:szCs w:val="31"/>
        </w:rPr>
      </w:pPr>
      <w:bookmarkStart w:id="10" w:name="bookmark11"/>
      <w:bookmarkEnd w:id="10"/>
      <w:r>
        <w:rPr>
          <w:rFonts w:ascii="Times New Roman" w:hAnsi="Times New Roman" w:eastAsia="Times New Roman" w:cs="Times New Roman"/>
          <w:b/>
          <w:bCs/>
          <w:spacing w:val="10"/>
          <w:sz w:val="31"/>
          <w:szCs w:val="31"/>
        </w:rPr>
        <w:t>2.3</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地下水补给、径流、排泄条件</w:t>
      </w:r>
    </w:p>
    <w:p>
      <w:pPr>
        <w:pStyle w:val="2"/>
        <w:spacing w:line="247" w:lineRule="auto"/>
        <w:rPr>
          <w:sz w:val="21"/>
        </w:rPr>
      </w:pPr>
    </w:p>
    <w:p>
      <w:pPr>
        <w:spacing w:before="78" w:line="360" w:lineRule="auto"/>
        <w:ind w:right="1" w:firstLine="480"/>
        <w:rPr>
          <w:rFonts w:ascii="宋体" w:hAnsi="宋体" w:eastAsia="宋体" w:cs="宋体"/>
          <w:sz w:val="24"/>
          <w:szCs w:val="24"/>
        </w:rPr>
      </w:pPr>
      <w:r>
        <w:rPr>
          <w:rFonts w:ascii="宋体" w:hAnsi="宋体" w:eastAsia="宋体" w:cs="宋体"/>
          <w:spacing w:val="1"/>
          <w:sz w:val="24"/>
          <w:szCs w:val="24"/>
        </w:rPr>
        <w:t>井场地下水类型为构造裂隙水，由于褶皱多较平缓，砂、泥岩层近于水平迭置，</w:t>
      </w:r>
      <w:r>
        <w:rPr>
          <w:rFonts w:ascii="宋体" w:hAnsi="宋体" w:eastAsia="宋体" w:cs="宋体"/>
          <w:spacing w:val="4"/>
          <w:sz w:val="24"/>
          <w:szCs w:val="24"/>
        </w:rPr>
        <w:t xml:space="preserve"> </w:t>
      </w:r>
      <w:r>
        <w:rPr>
          <w:rFonts w:ascii="宋体" w:hAnsi="宋体" w:eastAsia="宋体" w:cs="宋体"/>
          <w:spacing w:val="1"/>
          <w:sz w:val="24"/>
          <w:szCs w:val="24"/>
        </w:rPr>
        <w:t>倾角一般</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°,由于切割强烈，形成了许多长条形阶梯状台梁和深槽峡谷地貌景观，</w:t>
      </w:r>
      <w:r>
        <w:rPr>
          <w:rFonts w:ascii="宋体" w:hAnsi="宋体" w:eastAsia="宋体" w:cs="宋体"/>
          <w:sz w:val="24"/>
          <w:szCs w:val="24"/>
        </w:rPr>
        <w:t xml:space="preserve"> 这种地质、地貌条件一般是不利于大气降水渗入补给，该地区地下水属于就地补给就</w:t>
      </w:r>
      <w:r>
        <w:rPr>
          <w:rFonts w:ascii="宋体" w:hAnsi="宋体" w:eastAsia="宋体" w:cs="宋体"/>
          <w:spacing w:val="3"/>
          <w:sz w:val="24"/>
          <w:szCs w:val="24"/>
        </w:rPr>
        <w:t xml:space="preserve"> </w:t>
      </w:r>
      <w:r>
        <w:rPr>
          <w:rFonts w:ascii="宋体" w:hAnsi="宋体" w:eastAsia="宋体" w:cs="宋体"/>
          <w:spacing w:val="-9"/>
          <w:sz w:val="24"/>
          <w:szCs w:val="24"/>
        </w:rPr>
        <w:t>近排泄的浅层潜水。泉水多出露在砂岩层底部</w:t>
      </w:r>
      <w:r>
        <w:rPr>
          <w:rFonts w:ascii="宋体" w:hAnsi="宋体" w:eastAsia="宋体" w:cs="宋体"/>
          <w:spacing w:val="-10"/>
          <w:sz w:val="24"/>
          <w:szCs w:val="24"/>
        </w:rPr>
        <w:t>与泥岩接触面附近，</w:t>
      </w:r>
      <w:r>
        <w:rPr>
          <w:rFonts w:ascii="宋体" w:hAnsi="宋体" w:eastAsia="宋体" w:cs="宋体"/>
          <w:spacing w:val="-44"/>
          <w:sz w:val="24"/>
          <w:szCs w:val="24"/>
        </w:rPr>
        <w:t xml:space="preserve"> </w:t>
      </w:r>
      <w:r>
        <w:rPr>
          <w:rFonts w:ascii="宋体" w:hAnsi="宋体" w:eastAsia="宋体" w:cs="宋体"/>
          <w:spacing w:val="-10"/>
          <w:sz w:val="24"/>
          <w:szCs w:val="24"/>
        </w:rPr>
        <w:t>说明各含水层之间，</w:t>
      </w:r>
      <w:r>
        <w:rPr>
          <w:rFonts w:ascii="宋体" w:hAnsi="宋体" w:eastAsia="宋体" w:cs="宋体"/>
          <w:sz w:val="24"/>
          <w:szCs w:val="24"/>
        </w:rPr>
        <w:t xml:space="preserve">  一般不发生水力联系。但是，当台地上泥岩受风化剥蚀作用，裂隙较发育时，地下水</w:t>
      </w:r>
      <w:r>
        <w:rPr>
          <w:rFonts w:ascii="宋体" w:hAnsi="宋体" w:eastAsia="宋体" w:cs="宋体"/>
          <w:spacing w:val="3"/>
          <w:sz w:val="24"/>
          <w:szCs w:val="24"/>
        </w:rPr>
        <w:t xml:space="preserve"> </w:t>
      </w:r>
      <w:r>
        <w:rPr>
          <w:rFonts w:ascii="宋体" w:hAnsi="宋体" w:eastAsia="宋体" w:cs="宋体"/>
          <w:spacing w:val="2"/>
          <w:sz w:val="24"/>
          <w:szCs w:val="24"/>
        </w:rPr>
        <w:t xml:space="preserve">则渗入泥岩中，并在泥岩中成泉出露。当岩层倾角小于 </w:t>
      </w:r>
      <w:r>
        <w:rPr>
          <w:rFonts w:ascii="Times New Roman" w:hAnsi="Times New Roman" w:eastAsia="Times New Roman" w:cs="Times New Roman"/>
          <w:spacing w:val="2"/>
          <w:sz w:val="24"/>
          <w:szCs w:val="24"/>
        </w:rPr>
        <w:t>10</w:t>
      </w:r>
      <w:r>
        <w:rPr>
          <w:rFonts w:ascii="宋体" w:hAnsi="宋体" w:eastAsia="宋体" w:cs="宋体"/>
          <w:spacing w:val="2"/>
          <w:sz w:val="24"/>
          <w:szCs w:val="24"/>
        </w:rPr>
        <w:t>°,有明显的倾斜</w:t>
      </w:r>
      <w:r>
        <w:rPr>
          <w:rFonts w:ascii="宋体" w:hAnsi="宋体" w:eastAsia="宋体" w:cs="宋体"/>
          <w:spacing w:val="1"/>
          <w:sz w:val="24"/>
          <w:szCs w:val="24"/>
        </w:rPr>
        <w:t>方向时，</w:t>
      </w:r>
      <w:r>
        <w:rPr>
          <w:rFonts w:ascii="宋体" w:hAnsi="宋体" w:eastAsia="宋体" w:cs="宋体"/>
          <w:sz w:val="24"/>
          <w:szCs w:val="24"/>
        </w:rPr>
        <w:t xml:space="preserve"> 含水层接受大气降水补给后，地下水主要是通过构造裂隙和层间裂隙沿着岩层的倾斜</w:t>
      </w:r>
    </w:p>
    <w:p>
      <w:pPr>
        <w:spacing w:line="219" w:lineRule="auto"/>
        <w:ind w:left="2"/>
        <w:rPr>
          <w:rFonts w:ascii="宋体" w:hAnsi="宋体" w:eastAsia="宋体" w:cs="宋体"/>
          <w:sz w:val="24"/>
          <w:szCs w:val="24"/>
        </w:rPr>
      </w:pPr>
      <w:r>
        <w:rPr>
          <w:rFonts w:ascii="宋体" w:hAnsi="宋体" w:eastAsia="宋体" w:cs="宋体"/>
          <w:spacing w:val="-2"/>
          <w:sz w:val="24"/>
          <w:szCs w:val="24"/>
        </w:rPr>
        <w:t>方向作倾向运动，地下水在地表侵蚀基准面之上以下降泉排泄。</w:t>
      </w:r>
    </w:p>
    <w:p>
      <w:pPr>
        <w:spacing w:before="338" w:line="225" w:lineRule="auto"/>
        <w:rPr>
          <w:rFonts w:ascii="宋体" w:hAnsi="宋体" w:eastAsia="宋体" w:cs="宋体"/>
          <w:sz w:val="31"/>
          <w:szCs w:val="31"/>
        </w:rPr>
      </w:pPr>
      <w:bookmarkStart w:id="11" w:name="bookmark12"/>
      <w:bookmarkEnd w:id="11"/>
      <w:r>
        <w:rPr>
          <w:rFonts w:ascii="Times New Roman" w:hAnsi="Times New Roman" w:eastAsia="Times New Roman" w:cs="Times New Roman"/>
          <w:b/>
          <w:bCs/>
          <w:spacing w:val="10"/>
          <w:sz w:val="31"/>
          <w:szCs w:val="31"/>
        </w:rPr>
        <w:t>2.4</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地下水开发利用及水位调查</w:t>
      </w:r>
    </w:p>
    <w:p>
      <w:pPr>
        <w:pStyle w:val="2"/>
        <w:spacing w:line="249" w:lineRule="auto"/>
        <w:rPr>
          <w:sz w:val="21"/>
        </w:rPr>
      </w:pPr>
    </w:p>
    <w:p>
      <w:pPr>
        <w:spacing w:before="78" w:line="360" w:lineRule="auto"/>
        <w:ind w:left="5" w:right="1" w:firstLine="478"/>
        <w:rPr>
          <w:rFonts w:ascii="宋体" w:hAnsi="宋体" w:eastAsia="宋体" w:cs="宋体"/>
          <w:sz w:val="24"/>
          <w:szCs w:val="24"/>
        </w:rPr>
      </w:pPr>
      <w:r>
        <w:rPr>
          <w:rFonts w:ascii="宋体" w:hAnsi="宋体" w:eastAsia="宋体" w:cs="宋体"/>
          <w:spacing w:val="-7"/>
          <w:sz w:val="24"/>
          <w:szCs w:val="24"/>
        </w:rPr>
        <w:t>工程区内地下水主要接受大气降水补给，</w:t>
      </w:r>
      <w:r>
        <w:rPr>
          <w:rFonts w:ascii="宋体" w:hAnsi="宋体" w:eastAsia="宋体" w:cs="宋体"/>
          <w:spacing w:val="-36"/>
          <w:sz w:val="24"/>
          <w:szCs w:val="24"/>
        </w:rPr>
        <w:t xml:space="preserve"> </w:t>
      </w:r>
      <w:r>
        <w:rPr>
          <w:rFonts w:ascii="宋体" w:hAnsi="宋体" w:eastAsia="宋体" w:cs="宋体"/>
          <w:spacing w:val="-7"/>
          <w:sz w:val="24"/>
          <w:szCs w:val="24"/>
        </w:rPr>
        <w:t>地下水的动态变化同大气降水密切相关，</w:t>
      </w:r>
      <w:r>
        <w:rPr>
          <w:rFonts w:ascii="宋体" w:hAnsi="宋体" w:eastAsia="宋体" w:cs="宋体"/>
          <w:sz w:val="24"/>
          <w:szCs w:val="24"/>
        </w:rPr>
        <w:t xml:space="preserve"> 一般随着降雨量的变化而变化，雨季时地下水水位上升，雨季之后地下水水位逐</w:t>
      </w:r>
      <w:r>
        <w:rPr>
          <w:rFonts w:ascii="宋体" w:hAnsi="宋体" w:eastAsia="宋体" w:cs="宋体"/>
          <w:spacing w:val="-1"/>
          <w:sz w:val="24"/>
          <w:szCs w:val="24"/>
        </w:rPr>
        <w:t>渐下</w:t>
      </w:r>
    </w:p>
    <w:p>
      <w:pPr>
        <w:spacing w:before="1" w:line="219" w:lineRule="auto"/>
        <w:ind w:left="20"/>
        <w:rPr>
          <w:rFonts w:ascii="宋体" w:hAnsi="宋体" w:eastAsia="宋体" w:cs="宋体"/>
          <w:sz w:val="24"/>
          <w:szCs w:val="24"/>
        </w:rPr>
      </w:pPr>
      <w:r>
        <w:rPr>
          <w:rFonts w:ascii="宋体" w:hAnsi="宋体" w:eastAsia="宋体" w:cs="宋体"/>
          <w:spacing w:val="-15"/>
          <w:sz w:val="24"/>
          <w:szCs w:val="24"/>
        </w:rPr>
        <w:t>降。</w:t>
      </w:r>
    </w:p>
    <w:p>
      <w:pPr>
        <w:spacing w:before="182" w:line="360" w:lineRule="auto"/>
        <w:ind w:left="3" w:right="71" w:firstLine="478"/>
        <w:rPr>
          <w:rFonts w:ascii="宋体" w:hAnsi="宋体" w:eastAsia="宋体" w:cs="宋体"/>
          <w:sz w:val="24"/>
          <w:szCs w:val="24"/>
        </w:rPr>
      </w:pPr>
      <w:r>
        <w:rPr>
          <w:rFonts w:ascii="宋体" w:hAnsi="宋体" w:eastAsia="宋体" w:cs="宋体"/>
          <w:spacing w:val="-3"/>
          <w:sz w:val="24"/>
          <w:szCs w:val="24"/>
        </w:rPr>
        <w:t>根据《环境影响评价技术导则</w:t>
      </w:r>
      <w:r>
        <w:rPr>
          <w:rFonts w:ascii="Times New Roman" w:hAnsi="Times New Roman" w:eastAsia="Times New Roman" w:cs="Times New Roman"/>
          <w:spacing w:val="-3"/>
          <w:sz w:val="24"/>
          <w:szCs w:val="24"/>
        </w:rPr>
        <w:t>-</w:t>
      </w:r>
      <w:r>
        <w:rPr>
          <w:rFonts w:ascii="宋体" w:hAnsi="宋体" w:eastAsia="宋体" w:cs="宋体"/>
          <w:spacing w:val="-3"/>
          <w:sz w:val="24"/>
          <w:szCs w:val="24"/>
        </w:rPr>
        <w:t>地下水环境》（</w:t>
      </w:r>
      <w:r>
        <w:rPr>
          <w:rFonts w:ascii="Times New Roman" w:hAnsi="Times New Roman" w:eastAsia="Times New Roman" w:cs="Times New Roman"/>
          <w:spacing w:val="-3"/>
          <w:sz w:val="24"/>
          <w:szCs w:val="24"/>
        </w:rPr>
        <w:t>HJ  610-2016</w:t>
      </w:r>
      <w:r>
        <w:rPr>
          <w:rFonts w:ascii="宋体" w:hAnsi="宋体" w:eastAsia="宋体" w:cs="宋体"/>
          <w:spacing w:val="-3"/>
          <w:sz w:val="24"/>
          <w:szCs w:val="24"/>
        </w:rPr>
        <w:t>）</w:t>
      </w:r>
      <w:r>
        <w:fldChar w:fldCharType="begin"/>
      </w:r>
      <w:r>
        <w:instrText xml:space="preserve"> HYPERLINK "8.3.3.6" </w:instrText>
      </w:r>
      <w:r>
        <w:fldChar w:fldCharType="separate"/>
      </w:r>
      <w:r>
        <w:rPr>
          <w:rFonts w:ascii="Times New Roman" w:hAnsi="Times New Roman" w:eastAsia="Times New Roman" w:cs="Times New Roman"/>
          <w:spacing w:val="-3"/>
          <w:sz w:val="24"/>
          <w:szCs w:val="24"/>
        </w:rPr>
        <w:t>8.3</w:t>
      </w:r>
      <w:r>
        <w:rPr>
          <w:rFonts w:ascii="Times New Roman" w:hAnsi="Times New Roman" w:eastAsia="Times New Roman" w:cs="Times New Roman"/>
          <w:spacing w:val="-4"/>
          <w:sz w:val="24"/>
          <w:szCs w:val="24"/>
        </w:rPr>
        <w:t>.3.6</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，地下水环境</w:t>
      </w:r>
      <w:r>
        <w:rPr>
          <w:rFonts w:ascii="宋体" w:hAnsi="宋体" w:eastAsia="宋体" w:cs="宋体"/>
          <w:sz w:val="24"/>
          <w:szCs w:val="24"/>
        </w:rPr>
        <w:t xml:space="preserve"> 现状监测频率要求表 </w:t>
      </w:r>
      <w:r>
        <w:rPr>
          <w:rFonts w:ascii="Times New Roman" w:hAnsi="Times New Roman" w:eastAsia="Times New Roman" w:cs="Times New Roman"/>
          <w:sz w:val="24"/>
          <w:szCs w:val="24"/>
        </w:rPr>
        <w:t>4</w:t>
      </w:r>
      <w:r>
        <w:rPr>
          <w:rFonts w:ascii="宋体" w:hAnsi="宋体" w:eastAsia="宋体" w:cs="宋体"/>
          <w:sz w:val="24"/>
          <w:szCs w:val="24"/>
        </w:rPr>
        <w:t>，本项目评价等级为二级，项目所处位置属于基岩山区，故本</w:t>
      </w:r>
    </w:p>
    <w:p>
      <w:pPr>
        <w:spacing w:before="1" w:line="219" w:lineRule="auto"/>
        <w:ind w:left="8"/>
        <w:rPr>
          <w:rFonts w:ascii="宋体" w:hAnsi="宋体" w:eastAsia="宋体" w:cs="宋体"/>
          <w:sz w:val="24"/>
          <w:szCs w:val="24"/>
        </w:rPr>
      </w:pPr>
      <w:r>
        <w:rPr>
          <w:rFonts w:ascii="宋体" w:hAnsi="宋体" w:eastAsia="宋体" w:cs="宋体"/>
          <w:spacing w:val="-3"/>
          <w:sz w:val="24"/>
          <w:szCs w:val="24"/>
        </w:rPr>
        <w:t>次地下水水位监测频次为一期。</w:t>
      </w:r>
    </w:p>
    <w:p>
      <w:pPr>
        <w:spacing w:before="183" w:line="360" w:lineRule="auto"/>
        <w:ind w:left="1" w:firstLine="483"/>
        <w:rPr>
          <w:rFonts w:ascii="宋体" w:hAnsi="宋体" w:eastAsia="宋体" w:cs="宋体"/>
          <w:sz w:val="24"/>
          <w:szCs w:val="24"/>
        </w:rPr>
      </w:pPr>
      <w:r>
        <w:rPr>
          <w:rFonts w:ascii="宋体" w:hAnsi="宋体" w:eastAsia="宋体" w:cs="宋体"/>
          <w:spacing w:val="-3"/>
          <w:sz w:val="24"/>
          <w:szCs w:val="24"/>
        </w:rPr>
        <w:t>项目处于农村地区， 拟建项目地下水评价范围内无乡镇地下水集</w:t>
      </w:r>
      <w:r>
        <w:rPr>
          <w:rFonts w:ascii="宋体" w:hAnsi="宋体" w:eastAsia="宋体" w:cs="宋体"/>
          <w:spacing w:val="-4"/>
          <w:sz w:val="24"/>
          <w:szCs w:val="24"/>
        </w:rPr>
        <w:t>中式饮用水源分</w:t>
      </w:r>
      <w:r>
        <w:rPr>
          <w:rFonts w:ascii="宋体" w:hAnsi="宋体" w:eastAsia="宋体" w:cs="宋体"/>
          <w:sz w:val="24"/>
          <w:szCs w:val="24"/>
        </w:rPr>
        <w:t xml:space="preserve"> </w:t>
      </w:r>
      <w:r>
        <w:rPr>
          <w:rFonts w:ascii="宋体" w:hAnsi="宋体" w:eastAsia="宋体" w:cs="宋体"/>
          <w:spacing w:val="-3"/>
          <w:sz w:val="24"/>
          <w:szCs w:val="24"/>
        </w:rPr>
        <w:t>布，通过对项目地附近农户调查，附近部分农户主要以自来水和分散式水井、 泉水作</w:t>
      </w:r>
      <w:r>
        <w:rPr>
          <w:rFonts w:ascii="宋体" w:hAnsi="宋体" w:eastAsia="宋体" w:cs="宋体"/>
          <w:sz w:val="24"/>
          <w:szCs w:val="24"/>
        </w:rPr>
        <w:t xml:space="preserve"> </w:t>
      </w:r>
      <w:r>
        <w:rPr>
          <w:rFonts w:ascii="宋体" w:hAnsi="宋体" w:eastAsia="宋体" w:cs="宋体"/>
          <w:spacing w:val="-14"/>
          <w:sz w:val="24"/>
          <w:szCs w:val="24"/>
        </w:rPr>
        <w:t>为生活用水，凤探</w:t>
      </w:r>
      <w:r>
        <w:rPr>
          <w:rFonts w:ascii="宋体" w:hAnsi="宋体" w:eastAsia="宋体" w:cs="宋体"/>
          <w:spacing w:val="-30"/>
          <w:sz w:val="24"/>
          <w:szCs w:val="24"/>
        </w:rPr>
        <w:t xml:space="preserve"> </w:t>
      </w:r>
      <w:r>
        <w:rPr>
          <w:rFonts w:ascii="Times New Roman" w:hAnsi="Times New Roman" w:eastAsia="Times New Roman" w:cs="Times New Roman"/>
          <w:spacing w:val="-14"/>
          <w:sz w:val="24"/>
          <w:szCs w:val="24"/>
        </w:rPr>
        <w:t>1</w:t>
      </w:r>
      <w:r>
        <w:rPr>
          <w:rFonts w:ascii="Times New Roman" w:hAnsi="Times New Roman" w:eastAsia="Times New Roman" w:cs="Times New Roman"/>
          <w:spacing w:val="12"/>
          <w:sz w:val="24"/>
          <w:szCs w:val="24"/>
        </w:rPr>
        <w:t xml:space="preserve"> </w:t>
      </w:r>
      <w:r>
        <w:rPr>
          <w:rFonts w:ascii="宋体" w:hAnsi="宋体" w:eastAsia="宋体" w:cs="宋体"/>
          <w:spacing w:val="-14"/>
          <w:sz w:val="24"/>
          <w:szCs w:val="24"/>
        </w:rPr>
        <w:t>井周边分布有分散式水井、 泉水</w:t>
      </w:r>
      <w:r>
        <w:rPr>
          <w:rFonts w:ascii="宋体" w:hAnsi="宋体" w:eastAsia="宋体" w:cs="宋体"/>
          <w:spacing w:val="-29"/>
          <w:sz w:val="24"/>
          <w:szCs w:val="24"/>
        </w:rPr>
        <w:t xml:space="preserve"> </w:t>
      </w:r>
      <w:r>
        <w:rPr>
          <w:rFonts w:ascii="Times New Roman" w:hAnsi="Times New Roman" w:eastAsia="Times New Roman" w:cs="Times New Roman"/>
          <w:spacing w:val="-14"/>
          <w:sz w:val="24"/>
          <w:szCs w:val="24"/>
        </w:rPr>
        <w:t>16</w:t>
      </w:r>
      <w:r>
        <w:rPr>
          <w:rFonts w:ascii="Times New Roman" w:hAnsi="Times New Roman" w:eastAsia="Times New Roman" w:cs="Times New Roman"/>
          <w:spacing w:val="48"/>
          <w:sz w:val="24"/>
          <w:szCs w:val="24"/>
        </w:rPr>
        <w:t xml:space="preserve"> </w:t>
      </w:r>
      <w:r>
        <w:rPr>
          <w:rFonts w:ascii="宋体" w:hAnsi="宋体" w:eastAsia="宋体" w:cs="宋体"/>
          <w:spacing w:val="-14"/>
          <w:sz w:val="24"/>
          <w:szCs w:val="24"/>
        </w:rPr>
        <w:t>口（</w:t>
      </w:r>
      <w:r>
        <w:rPr>
          <w:rFonts w:ascii="Times New Roman" w:hAnsi="Times New Roman" w:eastAsia="Times New Roman" w:cs="Times New Roman"/>
          <w:spacing w:val="-14"/>
          <w:sz w:val="24"/>
          <w:szCs w:val="24"/>
        </w:rPr>
        <w:t>5</w:t>
      </w:r>
      <w:r>
        <w:rPr>
          <w:rFonts w:ascii="Times New Roman" w:hAnsi="Times New Roman" w:eastAsia="Times New Roman" w:cs="Times New Roman"/>
          <w:spacing w:val="48"/>
          <w:w w:val="101"/>
          <w:sz w:val="24"/>
          <w:szCs w:val="24"/>
        </w:rPr>
        <w:t xml:space="preserve"> </w:t>
      </w:r>
      <w:r>
        <w:rPr>
          <w:rFonts w:ascii="宋体" w:hAnsi="宋体" w:eastAsia="宋体" w:cs="宋体"/>
          <w:spacing w:val="-14"/>
          <w:sz w:val="24"/>
          <w:szCs w:val="24"/>
        </w:rPr>
        <w:t xml:space="preserve">口水井、 </w:t>
      </w:r>
      <w:r>
        <w:rPr>
          <w:rFonts w:ascii="Times New Roman" w:hAnsi="Times New Roman" w:eastAsia="Times New Roman" w:cs="Times New Roman"/>
          <w:spacing w:val="-14"/>
          <w:sz w:val="24"/>
          <w:szCs w:val="24"/>
        </w:rPr>
        <w:t>11</w:t>
      </w:r>
      <w:r>
        <w:rPr>
          <w:rFonts w:ascii="Times New Roman" w:hAnsi="Times New Roman" w:eastAsia="Times New Roman" w:cs="Times New Roman"/>
          <w:spacing w:val="48"/>
          <w:w w:val="101"/>
          <w:sz w:val="24"/>
          <w:szCs w:val="24"/>
        </w:rPr>
        <w:t xml:space="preserve"> </w:t>
      </w:r>
      <w:r>
        <w:rPr>
          <w:rFonts w:ascii="宋体" w:hAnsi="宋体" w:eastAsia="宋体" w:cs="宋体"/>
          <w:spacing w:val="-14"/>
          <w:sz w:val="24"/>
          <w:szCs w:val="24"/>
        </w:rPr>
        <w:t>口泉水</w:t>
      </w:r>
      <w:r>
        <w:rPr>
          <w:rFonts w:ascii="宋体" w:hAnsi="宋体" w:eastAsia="宋体" w:cs="宋体"/>
          <w:spacing w:val="-23"/>
          <w:sz w:val="24"/>
          <w:szCs w:val="24"/>
        </w:rPr>
        <w:t>）</w:t>
      </w:r>
      <w:r>
        <w:rPr>
          <w:rFonts w:ascii="宋体" w:hAnsi="宋体" w:eastAsia="宋体" w:cs="宋体"/>
          <w:spacing w:val="-30"/>
          <w:sz w:val="24"/>
          <w:szCs w:val="24"/>
        </w:rPr>
        <w:t xml:space="preserve"> </w:t>
      </w:r>
      <w:r>
        <w:rPr>
          <w:rFonts w:ascii="宋体" w:hAnsi="宋体" w:eastAsia="宋体" w:cs="宋体"/>
          <w:spacing w:val="-23"/>
          <w:sz w:val="24"/>
          <w:szCs w:val="24"/>
        </w:rPr>
        <w:t>，</w:t>
      </w:r>
      <w:r>
        <w:rPr>
          <w:rFonts w:ascii="宋体" w:hAnsi="宋体" w:eastAsia="宋体" w:cs="宋体"/>
          <w:sz w:val="24"/>
          <w:szCs w:val="24"/>
        </w:rPr>
        <w:t xml:space="preserve"> </w:t>
      </w:r>
      <w:r>
        <w:rPr>
          <w:rFonts w:ascii="宋体" w:hAnsi="宋体" w:eastAsia="宋体" w:cs="宋体"/>
          <w:spacing w:val="-5"/>
          <w:sz w:val="24"/>
          <w:szCs w:val="24"/>
        </w:rPr>
        <w:t>与项目井口的距离在</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247m~2758m </w:t>
      </w:r>
      <w:r>
        <w:rPr>
          <w:rFonts w:ascii="宋体" w:hAnsi="宋体" w:eastAsia="宋体" w:cs="宋体"/>
          <w:spacing w:val="-5"/>
          <w:sz w:val="24"/>
          <w:szCs w:val="24"/>
        </w:rPr>
        <w:t>之间， 下游的最近分散式水</w:t>
      </w:r>
      <w:r>
        <w:rPr>
          <w:rFonts w:ascii="宋体" w:hAnsi="宋体" w:eastAsia="宋体" w:cs="宋体"/>
          <w:spacing w:val="-6"/>
          <w:sz w:val="24"/>
          <w:szCs w:val="24"/>
        </w:rPr>
        <w:t>井、</w:t>
      </w:r>
      <w:r>
        <w:rPr>
          <w:rFonts w:ascii="宋体" w:hAnsi="宋体" w:eastAsia="宋体" w:cs="宋体"/>
          <w:spacing w:val="-34"/>
          <w:sz w:val="24"/>
          <w:szCs w:val="24"/>
        </w:rPr>
        <w:t xml:space="preserve"> </w:t>
      </w:r>
      <w:r>
        <w:rPr>
          <w:rFonts w:ascii="宋体" w:hAnsi="宋体" w:eastAsia="宋体" w:cs="宋体"/>
          <w:spacing w:val="-6"/>
          <w:sz w:val="24"/>
          <w:szCs w:val="24"/>
        </w:rPr>
        <w:t>泉水距离井口距离</w:t>
      </w:r>
      <w:r>
        <w:rPr>
          <w:rFonts w:ascii="宋体" w:hAnsi="宋体" w:eastAsia="宋体" w:cs="宋体"/>
          <w:sz w:val="24"/>
          <w:szCs w:val="24"/>
        </w:rPr>
        <w:t xml:space="preserve"> </w:t>
      </w:r>
      <w:r>
        <w:rPr>
          <w:rFonts w:ascii="宋体" w:hAnsi="宋体" w:eastAsia="宋体" w:cs="宋体"/>
          <w:spacing w:val="-5"/>
          <w:sz w:val="24"/>
          <w:szCs w:val="24"/>
        </w:rPr>
        <w:t>为</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314m</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。其中项目地下水流向上游及两侧分布有</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49"/>
          <w:sz w:val="24"/>
          <w:szCs w:val="24"/>
        </w:rPr>
        <w:t xml:space="preserve"> </w:t>
      </w:r>
      <w:r>
        <w:rPr>
          <w:rFonts w:ascii="宋体" w:hAnsi="宋体" w:eastAsia="宋体" w:cs="宋体"/>
          <w:spacing w:val="-5"/>
          <w:sz w:val="24"/>
          <w:szCs w:val="24"/>
        </w:rPr>
        <w:t xml:space="preserve">口泉水，下游分布有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48"/>
          <w:w w:val="101"/>
          <w:sz w:val="24"/>
          <w:szCs w:val="24"/>
        </w:rPr>
        <w:t xml:space="preserve"> </w:t>
      </w:r>
      <w:r>
        <w:rPr>
          <w:rFonts w:ascii="宋体" w:hAnsi="宋体" w:eastAsia="宋体" w:cs="宋体"/>
          <w:spacing w:val="-5"/>
          <w:sz w:val="24"/>
          <w:szCs w:val="24"/>
        </w:rPr>
        <w:t>口水井、</w:t>
      </w:r>
      <w:r>
        <w:rPr>
          <w:rFonts w:ascii="宋体" w:hAnsi="宋体" w:eastAsia="宋体" w:cs="宋体"/>
          <w:sz w:val="24"/>
          <w:szCs w:val="24"/>
        </w:rPr>
        <w:t xml:space="preserve"> </w:t>
      </w:r>
      <w:r>
        <w:rPr>
          <w:rFonts w:ascii="宋体" w:hAnsi="宋体" w:eastAsia="宋体" w:cs="宋体"/>
          <w:spacing w:val="-11"/>
          <w:sz w:val="24"/>
          <w:szCs w:val="24"/>
        </w:rPr>
        <w:t>泉水（</w:t>
      </w:r>
      <w:r>
        <w:rPr>
          <w:rFonts w:ascii="Times New Roman" w:hAnsi="Times New Roman" w:eastAsia="Times New Roman" w:cs="Times New Roman"/>
          <w:spacing w:val="-11"/>
          <w:sz w:val="24"/>
          <w:szCs w:val="24"/>
        </w:rPr>
        <w:t>6</w:t>
      </w:r>
      <w:r>
        <w:rPr>
          <w:rFonts w:ascii="Times New Roman" w:hAnsi="Times New Roman" w:eastAsia="Times New Roman" w:cs="Times New Roman"/>
          <w:spacing w:val="46"/>
          <w:sz w:val="24"/>
          <w:szCs w:val="24"/>
        </w:rPr>
        <w:t xml:space="preserve"> </w:t>
      </w:r>
      <w:r>
        <w:rPr>
          <w:rFonts w:ascii="宋体" w:hAnsi="宋体" w:eastAsia="宋体" w:cs="宋体"/>
          <w:spacing w:val="-11"/>
          <w:sz w:val="24"/>
          <w:szCs w:val="24"/>
        </w:rPr>
        <w:t xml:space="preserve">口水井、 </w:t>
      </w:r>
      <w:r>
        <w:rPr>
          <w:rFonts w:ascii="Times New Roman" w:hAnsi="Times New Roman" w:eastAsia="Times New Roman" w:cs="Times New Roman"/>
          <w:spacing w:val="-11"/>
          <w:sz w:val="24"/>
          <w:szCs w:val="24"/>
        </w:rPr>
        <w:t>5</w:t>
      </w:r>
      <w:r>
        <w:rPr>
          <w:rFonts w:ascii="Times New Roman" w:hAnsi="Times New Roman" w:eastAsia="Times New Roman" w:cs="Times New Roman"/>
          <w:spacing w:val="46"/>
          <w:sz w:val="24"/>
          <w:szCs w:val="24"/>
        </w:rPr>
        <w:t xml:space="preserve"> </w:t>
      </w:r>
      <w:r>
        <w:rPr>
          <w:rFonts w:ascii="宋体" w:hAnsi="宋体" w:eastAsia="宋体" w:cs="宋体"/>
          <w:spacing w:val="-11"/>
          <w:sz w:val="24"/>
          <w:szCs w:val="24"/>
        </w:rPr>
        <w:t>口泉水</w:t>
      </w:r>
      <w:r>
        <w:rPr>
          <w:rFonts w:ascii="宋体" w:hAnsi="宋体" w:eastAsia="宋体" w:cs="宋体"/>
          <w:spacing w:val="-6"/>
          <w:sz w:val="24"/>
          <w:szCs w:val="24"/>
        </w:rPr>
        <w:t>）</w:t>
      </w:r>
      <w:r>
        <w:rPr>
          <w:rFonts w:ascii="宋体" w:hAnsi="宋体" w:eastAsia="宋体" w:cs="宋体"/>
          <w:spacing w:val="-20"/>
          <w:sz w:val="24"/>
          <w:szCs w:val="24"/>
        </w:rPr>
        <w:t xml:space="preserve"> </w:t>
      </w:r>
      <w:r>
        <w:rPr>
          <w:rFonts w:ascii="宋体" w:hAnsi="宋体" w:eastAsia="宋体" w:cs="宋体"/>
          <w:spacing w:val="-6"/>
          <w:sz w:val="24"/>
          <w:szCs w:val="24"/>
        </w:rPr>
        <w:t>，</w:t>
      </w:r>
      <w:r>
        <w:rPr>
          <w:rFonts w:ascii="宋体" w:hAnsi="宋体" w:eastAsia="宋体" w:cs="宋体"/>
          <w:spacing w:val="-11"/>
          <w:sz w:val="24"/>
          <w:szCs w:val="24"/>
        </w:rPr>
        <w:t>以上水井、泉水地下水类型均为侏罗系上统蓬莱</w:t>
      </w:r>
      <w:r>
        <w:rPr>
          <w:rFonts w:ascii="宋体" w:hAnsi="宋体" w:eastAsia="宋体" w:cs="宋体"/>
          <w:spacing w:val="-12"/>
          <w:sz w:val="24"/>
          <w:szCs w:val="24"/>
        </w:rPr>
        <w:t>镇组风</w:t>
      </w:r>
      <w:r>
        <w:rPr>
          <w:rFonts w:ascii="宋体" w:hAnsi="宋体" w:eastAsia="宋体" w:cs="宋体"/>
          <w:sz w:val="24"/>
          <w:szCs w:val="24"/>
        </w:rPr>
        <w:t xml:space="preserve"> </w:t>
      </w:r>
      <w:r>
        <w:rPr>
          <w:rFonts w:ascii="宋体" w:hAnsi="宋体" w:eastAsia="宋体" w:cs="宋体"/>
          <w:spacing w:val="-2"/>
          <w:sz w:val="24"/>
          <w:szCs w:val="24"/>
        </w:rPr>
        <w:t xml:space="preserve">化带裂隙水。以上居民水井深度介于 </w:t>
      </w:r>
      <w:r>
        <w:rPr>
          <w:rFonts w:ascii="Times New Roman" w:hAnsi="Times New Roman" w:eastAsia="Times New Roman" w:cs="Times New Roman"/>
          <w:spacing w:val="-2"/>
          <w:sz w:val="24"/>
          <w:szCs w:val="24"/>
        </w:rPr>
        <w:t>24m~35m</w:t>
      </w:r>
      <w:r>
        <w:rPr>
          <w:rFonts w:ascii="Times New Roman" w:hAnsi="Times New Roman" w:eastAsia="Times New Roman" w:cs="Times New Roman"/>
          <w:spacing w:val="46"/>
          <w:sz w:val="24"/>
          <w:szCs w:val="24"/>
        </w:rPr>
        <w:t xml:space="preserve"> </w:t>
      </w:r>
      <w:r>
        <w:rPr>
          <w:rFonts w:ascii="宋体" w:hAnsi="宋体" w:eastAsia="宋体" w:cs="宋体"/>
          <w:spacing w:val="-2"/>
          <w:sz w:val="24"/>
          <w:szCs w:val="24"/>
        </w:rPr>
        <w:t xml:space="preserve">之间，水位埋深 </w:t>
      </w:r>
      <w:r>
        <w:rPr>
          <w:rFonts w:ascii="Times New Roman" w:hAnsi="Times New Roman" w:eastAsia="Times New Roman" w:cs="Times New Roman"/>
          <w:spacing w:val="-2"/>
          <w:sz w:val="24"/>
          <w:szCs w:val="24"/>
        </w:rPr>
        <w:t>3.7</w:t>
      </w:r>
      <w:r>
        <w:rPr>
          <w:rFonts w:ascii="Times New Roman" w:hAnsi="Times New Roman" w:eastAsia="Times New Roman" w:cs="Times New Roman"/>
          <w:spacing w:val="-3"/>
          <w:sz w:val="24"/>
          <w:szCs w:val="24"/>
        </w:rPr>
        <w:t>~8.3m</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，泉水类型</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均为下降泉。</w:t>
      </w:r>
    </w:p>
    <w:p>
      <w:pPr>
        <w:spacing w:line="219" w:lineRule="auto"/>
        <w:rPr>
          <w:rFonts w:ascii="宋体" w:hAnsi="宋体" w:eastAsia="宋体" w:cs="宋体"/>
          <w:sz w:val="24"/>
          <w:szCs w:val="24"/>
        </w:rPr>
        <w:sectPr>
          <w:footerReference r:id="rId171" w:type="default"/>
          <w:pgSz w:w="11907" w:h="16839"/>
          <w:pgMar w:top="400" w:right="1349" w:bottom="879" w:left="1596" w:header="0" w:footer="717" w:gutter="0"/>
          <w:cols w:space="720" w:num="1"/>
        </w:sect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7" w:lineRule="auto"/>
        <w:rPr>
          <w:sz w:val="21"/>
        </w:rPr>
      </w:pPr>
    </w:p>
    <w:p>
      <w:pPr>
        <w:spacing w:before="100" w:line="761" w:lineRule="exact"/>
        <w:ind w:left="79"/>
        <w:rPr>
          <w:rFonts w:ascii="宋体" w:hAnsi="宋体" w:eastAsia="宋体" w:cs="宋体"/>
          <w:sz w:val="31"/>
          <w:szCs w:val="31"/>
        </w:rPr>
      </w:pPr>
      <w:bookmarkStart w:id="12" w:name="bookmark13"/>
      <w:bookmarkEnd w:id="12"/>
      <w:r>
        <w:rPr>
          <w:rFonts w:ascii="Times New Roman" w:hAnsi="Times New Roman" w:eastAsia="Times New Roman" w:cs="Times New Roman"/>
          <w:b/>
          <w:bCs/>
          <w:spacing w:val="7"/>
          <w:position w:val="34"/>
          <w:sz w:val="31"/>
          <w:szCs w:val="31"/>
        </w:rPr>
        <w:t xml:space="preserve">2.5 </w:t>
      </w:r>
      <w:r>
        <w:rPr>
          <w:rFonts w:ascii="宋体" w:hAnsi="宋体" w:eastAsia="宋体" w:cs="宋体"/>
          <w:spacing w:val="7"/>
          <w:position w:val="34"/>
          <w:sz w:val="31"/>
          <w:szCs w:val="31"/>
          <w14:textOutline w14:w="5791" w14:cap="flat" w14:cmpd="sng">
            <w14:solidFill>
              <w14:srgbClr w14:val="000000"/>
            </w14:solidFill>
            <w14:prstDash w14:val="solid"/>
            <w14:miter w14:val="10"/>
          </w14:textOutline>
        </w:rPr>
        <w:t>水文地质试验</w:t>
      </w:r>
    </w:p>
    <w:p>
      <w:pPr>
        <w:spacing w:line="220" w:lineRule="auto"/>
        <w:ind w:left="78"/>
        <w:rPr>
          <w:rFonts w:ascii="宋体" w:hAnsi="宋体" w:eastAsia="宋体" w:cs="宋体"/>
          <w:sz w:val="28"/>
          <w:szCs w:val="28"/>
        </w:rPr>
      </w:pPr>
      <w:r>
        <w:rPr>
          <w:rFonts w:ascii="Times New Roman" w:hAnsi="Times New Roman" w:eastAsia="Times New Roman" w:cs="Times New Roman"/>
          <w:b/>
          <w:bCs/>
          <w:spacing w:val="-2"/>
          <w:sz w:val="28"/>
          <w:szCs w:val="28"/>
        </w:rPr>
        <w:t>2.5.1</w:t>
      </w:r>
      <w:r>
        <w:rPr>
          <w:rFonts w:ascii="Times New Roman" w:hAnsi="Times New Roman" w:eastAsia="Times New Roman" w:cs="Times New Roman"/>
          <w:b/>
          <w:bCs/>
          <w:spacing w:val="17"/>
          <w:w w:val="101"/>
          <w:sz w:val="28"/>
          <w:szCs w:val="28"/>
        </w:rPr>
        <w:t xml:space="preserve">  </w:t>
      </w:r>
      <w:r>
        <w:rPr>
          <w:rFonts w:ascii="宋体" w:hAnsi="宋体" w:eastAsia="宋体" w:cs="宋体"/>
          <w:spacing w:val="-2"/>
          <w:sz w:val="28"/>
          <w:szCs w:val="28"/>
          <w14:textOutline w14:w="5094" w14:cap="flat" w14:cmpd="sng">
            <w14:solidFill>
              <w14:srgbClr w14:val="000000"/>
            </w14:solidFill>
            <w14:prstDash w14:val="solid"/>
            <w14:miter w14:val="10"/>
          </w14:textOutline>
        </w:rPr>
        <w:t>抽水试验</w:t>
      </w:r>
    </w:p>
    <w:p>
      <w:pPr>
        <w:pStyle w:val="2"/>
        <w:spacing w:line="278" w:lineRule="auto"/>
        <w:rPr>
          <w:sz w:val="21"/>
        </w:rPr>
      </w:pPr>
    </w:p>
    <w:p>
      <w:pPr>
        <w:spacing w:before="78" w:line="364" w:lineRule="auto"/>
        <w:ind w:left="80" w:right="82" w:firstLine="480"/>
        <w:rPr>
          <w:rFonts w:ascii="宋体" w:hAnsi="宋体" w:eastAsia="宋体" w:cs="宋体"/>
          <w:sz w:val="24"/>
          <w:szCs w:val="24"/>
        </w:rPr>
      </w:pPr>
      <w:r>
        <w:rPr>
          <w:rFonts w:ascii="宋体" w:hAnsi="宋体" w:eastAsia="宋体" w:cs="宋体"/>
          <w:spacing w:val="-3"/>
          <w:sz w:val="24"/>
          <w:szCs w:val="24"/>
        </w:rPr>
        <w:t>根据地下水导则，结合收集的区域水文地质资料及建设单位提供的相关资料</w:t>
      </w:r>
      <w:r>
        <w:rPr>
          <w:rFonts w:ascii="宋体" w:hAnsi="宋体" w:eastAsia="宋体" w:cs="宋体"/>
          <w:spacing w:val="-4"/>
          <w:sz w:val="24"/>
          <w:szCs w:val="24"/>
        </w:rPr>
        <w:t>， 综</w:t>
      </w:r>
      <w:r>
        <w:rPr>
          <w:rFonts w:ascii="宋体" w:hAnsi="宋体" w:eastAsia="宋体" w:cs="宋体"/>
          <w:sz w:val="24"/>
          <w:szCs w:val="24"/>
        </w:rPr>
        <w:t xml:space="preserve"> </w:t>
      </w:r>
      <w:r>
        <w:rPr>
          <w:rFonts w:ascii="宋体" w:hAnsi="宋体" w:eastAsia="宋体" w:cs="宋体"/>
          <w:spacing w:val="-9"/>
          <w:sz w:val="24"/>
          <w:szCs w:val="24"/>
        </w:rPr>
        <w:t>合分析认为项目区抽水试验数据较多， 结合区域水文条件， 参</w:t>
      </w:r>
      <w:r>
        <w:rPr>
          <w:rFonts w:ascii="宋体" w:hAnsi="宋体" w:eastAsia="宋体" w:cs="宋体"/>
          <w:spacing w:val="-10"/>
          <w:sz w:val="24"/>
          <w:szCs w:val="24"/>
        </w:rPr>
        <w:t>考</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20</w:t>
      </w:r>
      <w:r>
        <w:rPr>
          <w:rFonts w:ascii="Times New Roman" w:hAnsi="Times New Roman" w:eastAsia="Times New Roman" w:cs="Times New Roman"/>
          <w:spacing w:val="15"/>
          <w:w w:val="101"/>
          <w:sz w:val="24"/>
          <w:szCs w:val="24"/>
        </w:rPr>
        <w:t xml:space="preserve"> </w:t>
      </w:r>
      <w:r>
        <w:rPr>
          <w:rFonts w:ascii="宋体" w:hAnsi="宋体" w:eastAsia="宋体" w:cs="宋体"/>
          <w:spacing w:val="-10"/>
          <w:sz w:val="24"/>
          <w:szCs w:val="24"/>
        </w:rPr>
        <w:t>万水文地质报告及</w:t>
      </w:r>
      <w:r>
        <w:rPr>
          <w:rFonts w:ascii="宋体" w:hAnsi="宋体" w:eastAsia="宋体" w:cs="宋体"/>
          <w:sz w:val="24"/>
          <w:szCs w:val="24"/>
        </w:rPr>
        <w:t xml:space="preserve"> </w:t>
      </w:r>
      <w:r>
        <w:rPr>
          <w:rFonts w:ascii="宋体" w:hAnsi="宋体" w:eastAsia="宋体" w:cs="宋体"/>
          <w:spacing w:val="-9"/>
          <w:sz w:val="24"/>
          <w:szCs w:val="24"/>
        </w:rPr>
        <w:t>附近井场抽水试验数据。通过对比，凤探</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井周边</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4.6km</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范围内收集有</w:t>
      </w:r>
      <w:r>
        <w:rPr>
          <w:rFonts w:ascii="宋体" w:hAnsi="宋体" w:eastAsia="宋体" w:cs="宋体"/>
          <w:spacing w:val="-10"/>
          <w:sz w:val="24"/>
          <w:szCs w:val="24"/>
        </w:rPr>
        <w:t>抽水试验</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2"/>
          <w:sz w:val="24"/>
          <w:szCs w:val="24"/>
        </w:rPr>
        <w:t xml:space="preserve"> </w:t>
      </w:r>
      <w:r>
        <w:rPr>
          <w:rFonts w:ascii="宋体" w:hAnsi="宋体" w:eastAsia="宋体" w:cs="宋体"/>
          <w:spacing w:val="-10"/>
          <w:sz w:val="24"/>
          <w:szCs w:val="24"/>
        </w:rPr>
        <w:t>组，</w:t>
      </w:r>
      <w:r>
        <w:rPr>
          <w:rFonts w:ascii="宋体" w:hAnsi="宋体" w:eastAsia="宋体" w:cs="宋体"/>
          <w:sz w:val="24"/>
          <w:szCs w:val="24"/>
        </w:rPr>
        <w:t xml:space="preserve"> </w:t>
      </w:r>
      <w:r>
        <w:rPr>
          <w:rFonts w:ascii="宋体" w:hAnsi="宋体" w:eastAsia="宋体" w:cs="宋体"/>
          <w:spacing w:val="-9"/>
          <w:sz w:val="24"/>
          <w:szCs w:val="24"/>
        </w:rPr>
        <w:t>凤探</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井与邻近钻孔地貌上同属阶梯状台梁</w:t>
      </w:r>
      <w:r>
        <w:rPr>
          <w:rFonts w:ascii="Times New Roman" w:hAnsi="Times New Roman" w:eastAsia="Times New Roman" w:cs="Times New Roman"/>
          <w:spacing w:val="-9"/>
          <w:sz w:val="24"/>
          <w:szCs w:val="24"/>
        </w:rPr>
        <w:t>-</w:t>
      </w:r>
      <w:r>
        <w:rPr>
          <w:rFonts w:ascii="宋体" w:hAnsi="宋体" w:eastAsia="宋体" w:cs="宋体"/>
          <w:spacing w:val="-9"/>
          <w:sz w:val="24"/>
          <w:szCs w:val="24"/>
        </w:rPr>
        <w:t>窄谷地形， 微地貌</w:t>
      </w:r>
      <w:r>
        <w:rPr>
          <w:rFonts w:ascii="宋体" w:hAnsi="宋体" w:eastAsia="宋体" w:cs="宋体"/>
          <w:spacing w:val="-10"/>
          <w:sz w:val="24"/>
          <w:szCs w:val="24"/>
        </w:rPr>
        <w:t>单元同属山顶位置，</w:t>
      </w:r>
      <w:r>
        <w:rPr>
          <w:rFonts w:ascii="宋体" w:hAnsi="宋体" w:eastAsia="宋体" w:cs="宋体"/>
          <w:spacing w:val="34"/>
          <w:sz w:val="24"/>
          <w:szCs w:val="24"/>
        </w:rPr>
        <w:t xml:space="preserve"> </w:t>
      </w:r>
      <w:r>
        <w:rPr>
          <w:rFonts w:ascii="宋体" w:hAnsi="宋体" w:eastAsia="宋体" w:cs="宋体"/>
          <w:spacing w:val="-10"/>
          <w:sz w:val="24"/>
          <w:szCs w:val="24"/>
        </w:rPr>
        <w:t>地</w:t>
      </w:r>
      <w:r>
        <w:rPr>
          <w:rFonts w:ascii="宋体" w:hAnsi="宋体" w:eastAsia="宋体" w:cs="宋体"/>
          <w:sz w:val="24"/>
          <w:szCs w:val="24"/>
        </w:rPr>
        <w:t xml:space="preserve"> 层均为侏罗系上统蓬莱镇组，岩性同为泥岩、砂岩，地下水类型同属构造裂隙水，地</w:t>
      </w:r>
      <w:r>
        <w:rPr>
          <w:rFonts w:ascii="宋体" w:hAnsi="宋体" w:eastAsia="宋体" w:cs="宋体"/>
          <w:spacing w:val="6"/>
          <w:sz w:val="24"/>
          <w:szCs w:val="24"/>
        </w:rPr>
        <w:t xml:space="preserve"> </w:t>
      </w:r>
      <w:r>
        <w:rPr>
          <w:rFonts w:ascii="宋体" w:hAnsi="宋体" w:eastAsia="宋体" w:cs="宋体"/>
          <w:spacing w:val="-1"/>
          <w:sz w:val="24"/>
          <w:szCs w:val="24"/>
        </w:rPr>
        <w:t>表高程及地下水水力坡度相近，凤探</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井与周边地区水文地质</w:t>
      </w:r>
      <w:r>
        <w:rPr>
          <w:rFonts w:ascii="宋体" w:hAnsi="宋体" w:eastAsia="宋体" w:cs="宋体"/>
          <w:spacing w:val="-2"/>
          <w:sz w:val="24"/>
          <w:szCs w:val="24"/>
        </w:rPr>
        <w:t>条件相近。结合以上分</w:t>
      </w:r>
      <w:r>
        <w:rPr>
          <w:rFonts w:ascii="宋体" w:hAnsi="宋体" w:eastAsia="宋体" w:cs="宋体"/>
          <w:sz w:val="24"/>
          <w:szCs w:val="24"/>
        </w:rPr>
        <w:t xml:space="preserve"> </w:t>
      </w:r>
      <w:r>
        <w:rPr>
          <w:rFonts w:ascii="宋体" w:hAnsi="宋体" w:eastAsia="宋体" w:cs="宋体"/>
          <w:spacing w:val="-9"/>
          <w:sz w:val="24"/>
          <w:szCs w:val="24"/>
        </w:rPr>
        <w:t>析认为临区抽水试验数据是可行的，</w:t>
      </w:r>
      <w:r>
        <w:rPr>
          <w:rFonts w:ascii="宋体" w:hAnsi="宋体" w:eastAsia="宋体" w:cs="宋体"/>
          <w:spacing w:val="68"/>
          <w:sz w:val="24"/>
          <w:szCs w:val="24"/>
        </w:rPr>
        <w:t xml:space="preserve"> </w:t>
      </w:r>
      <w:r>
        <w:rPr>
          <w:rFonts w:ascii="宋体" w:hAnsi="宋体" w:eastAsia="宋体" w:cs="宋体"/>
          <w:spacing w:val="-9"/>
          <w:sz w:val="24"/>
          <w:szCs w:val="24"/>
        </w:rPr>
        <w:t>从临区抽水试验数</w:t>
      </w:r>
      <w:r>
        <w:rPr>
          <w:rFonts w:ascii="宋体" w:hAnsi="宋体" w:eastAsia="宋体" w:cs="宋体"/>
          <w:spacing w:val="-10"/>
          <w:sz w:val="24"/>
          <w:szCs w:val="24"/>
        </w:rPr>
        <w:t>据可以看出，</w:t>
      </w:r>
      <w:r>
        <w:rPr>
          <w:rFonts w:ascii="宋体" w:hAnsi="宋体" w:eastAsia="宋体" w:cs="宋体"/>
          <w:spacing w:val="43"/>
          <w:sz w:val="24"/>
          <w:szCs w:val="24"/>
        </w:rPr>
        <w:t xml:space="preserve"> </w:t>
      </w:r>
      <w:r>
        <w:rPr>
          <w:rFonts w:ascii="宋体" w:hAnsi="宋体" w:eastAsia="宋体" w:cs="宋体"/>
          <w:spacing w:val="-10"/>
          <w:sz w:val="24"/>
          <w:szCs w:val="24"/>
        </w:rPr>
        <w:t>山顶渗透系数为</w:t>
      </w:r>
    </w:p>
    <w:p>
      <w:pPr>
        <w:spacing w:before="1" w:line="218" w:lineRule="auto"/>
        <w:ind w:left="80"/>
        <w:rPr>
          <w:rFonts w:ascii="宋体" w:hAnsi="宋体" w:eastAsia="宋体" w:cs="宋体"/>
          <w:sz w:val="24"/>
          <w:szCs w:val="24"/>
        </w:rPr>
      </w:pPr>
      <w:r>
        <w:rPr>
          <w:rFonts w:ascii="Times New Roman" w:hAnsi="Times New Roman" w:eastAsia="Times New Roman" w:cs="Times New Roman"/>
          <w:spacing w:val="-1"/>
          <w:sz w:val="24"/>
          <w:szCs w:val="24"/>
        </w:rPr>
        <w:t>0.061m/d</w:t>
      </w:r>
      <w:r>
        <w:rPr>
          <w:rFonts w:ascii="宋体" w:hAnsi="宋体" w:eastAsia="宋体" w:cs="宋体"/>
          <w:spacing w:val="-1"/>
          <w:sz w:val="24"/>
          <w:szCs w:val="24"/>
        </w:rPr>
        <w:t>。</w:t>
      </w:r>
    </w:p>
    <w:p>
      <w:pPr>
        <w:spacing w:before="64" w:line="212" w:lineRule="auto"/>
        <w:ind w:left="514"/>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42"/>
          <w:sz w:val="24"/>
          <w:szCs w:val="24"/>
        </w:rPr>
        <w:t xml:space="preserve"> </w:t>
      </w:r>
      <w:r>
        <w:rPr>
          <w:rFonts w:ascii="Times New Roman" w:hAnsi="Times New Roman" w:eastAsia="Times New Roman" w:cs="Times New Roman"/>
          <w:b/>
          <w:bCs/>
          <w:sz w:val="24"/>
          <w:szCs w:val="24"/>
        </w:rPr>
        <w:t xml:space="preserve">2.5-1    </w:t>
      </w:r>
      <w:r>
        <w:rPr>
          <w:rFonts w:ascii="宋体" w:hAnsi="宋体" w:eastAsia="宋体" w:cs="宋体"/>
          <w:sz w:val="24"/>
          <w:szCs w:val="24"/>
          <w14:textOutline w14:w="4354" w14:cap="flat" w14:cmpd="sng">
            <w14:solidFill>
              <w14:srgbClr w14:val="000000"/>
            </w14:solidFill>
            <w14:prstDash w14:val="solid"/>
            <w14:miter w14:val="10"/>
          </w14:textOutline>
        </w:rPr>
        <w:t>风化带裂隙含水层单孔稳定流抽水试验及水文地质参数计算成果表</w:t>
      </w:r>
    </w:p>
    <w:tbl>
      <w:tblPr>
        <w:tblStyle w:val="5"/>
        <w:tblW w:w="90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068"/>
        <w:gridCol w:w="1008"/>
        <w:gridCol w:w="905"/>
        <w:gridCol w:w="905"/>
        <w:gridCol w:w="2143"/>
        <w:gridCol w:w="1153"/>
        <w:gridCol w:w="1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21" w:type="dxa"/>
            <w:vMerge w:val="restart"/>
            <w:tcBorders>
              <w:left w:val="nil"/>
              <w:bottom w:val="nil"/>
            </w:tcBorders>
            <w:vAlign w:val="top"/>
          </w:tcPr>
          <w:p>
            <w:pPr>
              <w:spacing w:line="414" w:lineRule="auto"/>
              <w:rPr>
                <w:rFonts w:ascii="Arial"/>
                <w:sz w:val="21"/>
              </w:rPr>
            </w:pPr>
          </w:p>
          <w:p>
            <w:pPr>
              <w:pStyle w:val="6"/>
              <w:spacing w:before="68" w:line="221" w:lineRule="auto"/>
              <w:ind w:left="216"/>
              <w:rPr>
                <w:sz w:val="21"/>
                <w:szCs w:val="21"/>
              </w:rPr>
            </w:pPr>
            <w:r>
              <w:rPr>
                <w:spacing w:val="-2"/>
                <w:sz w:val="21"/>
                <w:szCs w:val="21"/>
              </w:rPr>
              <w:t>编号</w:t>
            </w:r>
          </w:p>
        </w:tc>
        <w:tc>
          <w:tcPr>
            <w:tcW w:w="1068" w:type="dxa"/>
            <w:vMerge w:val="restart"/>
            <w:tcBorders>
              <w:bottom w:val="nil"/>
            </w:tcBorders>
            <w:vAlign w:val="top"/>
          </w:tcPr>
          <w:p>
            <w:pPr>
              <w:pStyle w:val="6"/>
              <w:spacing w:before="224" w:line="229" w:lineRule="auto"/>
              <w:ind w:left="222" w:right="110" w:hanging="104"/>
              <w:rPr>
                <w:sz w:val="21"/>
                <w:szCs w:val="21"/>
              </w:rPr>
            </w:pPr>
            <w:r>
              <w:rPr>
                <w:spacing w:val="-2"/>
                <w:sz w:val="21"/>
                <w:szCs w:val="21"/>
              </w:rPr>
              <w:t>含水层顶</w:t>
            </w:r>
            <w:r>
              <w:rPr>
                <w:spacing w:val="1"/>
                <w:sz w:val="21"/>
                <w:szCs w:val="21"/>
              </w:rPr>
              <w:t xml:space="preserve"> </w:t>
            </w:r>
            <w:r>
              <w:rPr>
                <w:spacing w:val="-2"/>
                <w:sz w:val="21"/>
                <w:szCs w:val="21"/>
              </w:rPr>
              <w:t>板埋深</w:t>
            </w:r>
          </w:p>
        </w:tc>
        <w:tc>
          <w:tcPr>
            <w:tcW w:w="1008" w:type="dxa"/>
            <w:vAlign w:val="top"/>
          </w:tcPr>
          <w:p>
            <w:pPr>
              <w:pStyle w:val="6"/>
              <w:spacing w:before="96" w:line="231" w:lineRule="auto"/>
              <w:ind w:left="197" w:right="184" w:hanging="5"/>
              <w:rPr>
                <w:sz w:val="21"/>
                <w:szCs w:val="21"/>
              </w:rPr>
            </w:pPr>
            <w:r>
              <w:rPr>
                <w:spacing w:val="-2"/>
                <w:sz w:val="21"/>
                <w:szCs w:val="21"/>
              </w:rPr>
              <w:t>含水层</w:t>
            </w:r>
            <w:r>
              <w:rPr>
                <w:sz w:val="21"/>
                <w:szCs w:val="21"/>
              </w:rPr>
              <w:t xml:space="preserve"> </w:t>
            </w:r>
            <w:r>
              <w:rPr>
                <w:spacing w:val="-10"/>
                <w:sz w:val="21"/>
                <w:szCs w:val="21"/>
              </w:rPr>
              <w:t>厚</w:t>
            </w:r>
            <w:r>
              <w:rPr>
                <w:spacing w:val="4"/>
                <w:sz w:val="21"/>
                <w:szCs w:val="21"/>
              </w:rPr>
              <w:t xml:space="preserve">  </w:t>
            </w:r>
            <w:r>
              <w:rPr>
                <w:spacing w:val="-10"/>
                <w:sz w:val="21"/>
                <w:szCs w:val="21"/>
              </w:rPr>
              <w:t>度</w:t>
            </w:r>
          </w:p>
        </w:tc>
        <w:tc>
          <w:tcPr>
            <w:tcW w:w="905" w:type="dxa"/>
            <w:vMerge w:val="restart"/>
            <w:tcBorders>
              <w:bottom w:val="nil"/>
            </w:tcBorders>
            <w:vAlign w:val="top"/>
          </w:tcPr>
          <w:p>
            <w:pPr>
              <w:pStyle w:val="6"/>
              <w:spacing w:before="86" w:line="241" w:lineRule="auto"/>
              <w:ind w:left="249"/>
              <w:rPr>
                <w:sz w:val="21"/>
                <w:szCs w:val="21"/>
              </w:rPr>
            </w:pPr>
            <w:r>
              <w:rPr>
                <w:spacing w:val="-2"/>
                <w:sz w:val="21"/>
                <w:szCs w:val="21"/>
              </w:rPr>
              <w:t>静止</w:t>
            </w:r>
          </w:p>
          <w:p>
            <w:pPr>
              <w:pStyle w:val="6"/>
              <w:spacing w:line="220" w:lineRule="auto"/>
              <w:ind w:left="250"/>
              <w:rPr>
                <w:sz w:val="21"/>
                <w:szCs w:val="21"/>
              </w:rPr>
            </w:pPr>
            <w:r>
              <w:rPr>
                <w:spacing w:val="-3"/>
                <w:sz w:val="21"/>
                <w:szCs w:val="21"/>
              </w:rPr>
              <w:t>水位</w:t>
            </w:r>
          </w:p>
          <w:p>
            <w:pPr>
              <w:pStyle w:val="6"/>
              <w:spacing w:before="20" w:line="223" w:lineRule="auto"/>
              <w:ind w:left="249"/>
              <w:rPr>
                <w:sz w:val="21"/>
                <w:szCs w:val="21"/>
              </w:rPr>
            </w:pPr>
            <w:r>
              <w:rPr>
                <w:spacing w:val="-2"/>
                <w:sz w:val="21"/>
                <w:szCs w:val="21"/>
              </w:rPr>
              <w:t>埋深</w:t>
            </w:r>
          </w:p>
        </w:tc>
        <w:tc>
          <w:tcPr>
            <w:tcW w:w="905" w:type="dxa"/>
            <w:vAlign w:val="top"/>
          </w:tcPr>
          <w:p>
            <w:pPr>
              <w:pStyle w:val="6"/>
              <w:spacing w:before="233" w:line="221" w:lineRule="auto"/>
              <w:ind w:left="264"/>
              <w:rPr>
                <w:sz w:val="21"/>
                <w:szCs w:val="21"/>
              </w:rPr>
            </w:pPr>
            <w:r>
              <w:rPr>
                <w:spacing w:val="-6"/>
                <w:sz w:val="21"/>
                <w:szCs w:val="21"/>
              </w:rPr>
              <w:t>降深</w:t>
            </w:r>
          </w:p>
        </w:tc>
        <w:tc>
          <w:tcPr>
            <w:tcW w:w="2143" w:type="dxa"/>
            <w:vAlign w:val="top"/>
          </w:tcPr>
          <w:p>
            <w:pPr>
              <w:pStyle w:val="6"/>
              <w:spacing w:before="233" w:line="221" w:lineRule="auto"/>
              <w:ind w:left="765"/>
              <w:rPr>
                <w:sz w:val="21"/>
                <w:szCs w:val="21"/>
              </w:rPr>
            </w:pPr>
            <w:r>
              <w:rPr>
                <w:spacing w:val="-2"/>
                <w:sz w:val="21"/>
                <w:szCs w:val="21"/>
              </w:rPr>
              <w:t>涌水量</w:t>
            </w:r>
          </w:p>
        </w:tc>
        <w:tc>
          <w:tcPr>
            <w:tcW w:w="1153" w:type="dxa"/>
            <w:vAlign w:val="top"/>
          </w:tcPr>
          <w:p>
            <w:pPr>
              <w:pStyle w:val="6"/>
              <w:spacing w:before="96" w:line="241" w:lineRule="auto"/>
              <w:ind w:left="369"/>
              <w:rPr>
                <w:sz w:val="21"/>
                <w:szCs w:val="21"/>
              </w:rPr>
            </w:pPr>
            <w:r>
              <w:rPr>
                <w:spacing w:val="-2"/>
                <w:sz w:val="21"/>
                <w:szCs w:val="21"/>
              </w:rPr>
              <w:t>渗透</w:t>
            </w:r>
          </w:p>
          <w:p>
            <w:pPr>
              <w:pStyle w:val="6"/>
              <w:spacing w:line="220" w:lineRule="auto"/>
              <w:ind w:left="372"/>
              <w:rPr>
                <w:sz w:val="21"/>
                <w:szCs w:val="21"/>
              </w:rPr>
            </w:pPr>
            <w:r>
              <w:rPr>
                <w:spacing w:val="-3"/>
                <w:sz w:val="21"/>
                <w:szCs w:val="21"/>
              </w:rPr>
              <w:t>系数</w:t>
            </w:r>
          </w:p>
        </w:tc>
        <w:tc>
          <w:tcPr>
            <w:tcW w:w="1027" w:type="dxa"/>
            <w:tcBorders>
              <w:right w:val="nil"/>
            </w:tcBorders>
            <w:vAlign w:val="top"/>
          </w:tcPr>
          <w:p>
            <w:pPr>
              <w:pStyle w:val="6"/>
              <w:spacing w:before="96" w:line="241" w:lineRule="auto"/>
              <w:ind w:left="308"/>
              <w:rPr>
                <w:sz w:val="21"/>
                <w:szCs w:val="21"/>
              </w:rPr>
            </w:pPr>
            <w:r>
              <w:rPr>
                <w:spacing w:val="-2"/>
                <w:sz w:val="21"/>
                <w:szCs w:val="21"/>
              </w:rPr>
              <w:t>影响</w:t>
            </w:r>
          </w:p>
          <w:p>
            <w:pPr>
              <w:pStyle w:val="6"/>
              <w:spacing w:line="220" w:lineRule="auto"/>
              <w:ind w:left="311"/>
              <w:rPr>
                <w:sz w:val="21"/>
                <w:szCs w:val="21"/>
              </w:rPr>
            </w:pPr>
            <w:r>
              <w:rPr>
                <w:spacing w:val="-3"/>
                <w:sz w:val="21"/>
                <w:szCs w:val="21"/>
              </w:rPr>
              <w:t>半径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21" w:type="dxa"/>
            <w:vMerge w:val="continue"/>
            <w:tcBorders>
              <w:top w:val="nil"/>
              <w:left w:val="nil"/>
              <w:bottom w:val="nil"/>
            </w:tcBorders>
            <w:vAlign w:val="top"/>
          </w:tcPr>
          <w:p>
            <w:pPr>
              <w:rPr>
                <w:rFonts w:ascii="Arial"/>
                <w:sz w:val="21"/>
              </w:rPr>
            </w:pPr>
          </w:p>
        </w:tc>
        <w:tc>
          <w:tcPr>
            <w:tcW w:w="1068" w:type="dxa"/>
            <w:vMerge w:val="continue"/>
            <w:tcBorders>
              <w:top w:val="nil"/>
            </w:tcBorders>
            <w:vAlign w:val="top"/>
          </w:tcPr>
          <w:p>
            <w:pPr>
              <w:rPr>
                <w:rFonts w:ascii="Arial"/>
                <w:sz w:val="21"/>
              </w:rPr>
            </w:pPr>
          </w:p>
        </w:tc>
        <w:tc>
          <w:tcPr>
            <w:tcW w:w="1008" w:type="dxa"/>
            <w:vAlign w:val="top"/>
          </w:tcPr>
          <w:p>
            <w:pPr>
              <w:spacing w:before="58" w:line="176"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c>
        <w:tc>
          <w:tcPr>
            <w:tcW w:w="905" w:type="dxa"/>
            <w:vMerge w:val="continue"/>
            <w:tcBorders>
              <w:top w:val="nil"/>
            </w:tcBorders>
            <w:vAlign w:val="top"/>
          </w:tcPr>
          <w:p>
            <w:pPr>
              <w:rPr>
                <w:rFonts w:ascii="Arial"/>
                <w:sz w:val="21"/>
              </w:rPr>
            </w:pPr>
          </w:p>
        </w:tc>
        <w:tc>
          <w:tcPr>
            <w:tcW w:w="905" w:type="dxa"/>
            <w:vAlign w:val="top"/>
          </w:tcPr>
          <w:p>
            <w:pPr>
              <w:spacing w:before="55" w:line="179" w:lineRule="auto"/>
              <w:ind w:left="404"/>
              <w:rPr>
                <w:rFonts w:ascii="Times New Roman" w:hAnsi="Times New Roman" w:eastAsia="Times New Roman" w:cs="Times New Roman"/>
                <w:sz w:val="21"/>
                <w:szCs w:val="21"/>
              </w:rPr>
            </w:pPr>
            <w:r>
              <w:rPr>
                <w:rFonts w:ascii="Times New Roman" w:hAnsi="Times New Roman" w:eastAsia="Times New Roman" w:cs="Times New Roman"/>
                <w:sz w:val="21"/>
                <w:szCs w:val="21"/>
              </w:rPr>
              <w:t>S</w:t>
            </w:r>
          </w:p>
        </w:tc>
        <w:tc>
          <w:tcPr>
            <w:tcW w:w="2143" w:type="dxa"/>
            <w:vAlign w:val="top"/>
          </w:tcPr>
          <w:p>
            <w:pPr>
              <w:spacing w:before="52" w:line="182" w:lineRule="auto"/>
              <w:ind w:left="1001"/>
              <w:rPr>
                <w:rFonts w:ascii="Times New Roman" w:hAnsi="Times New Roman" w:eastAsia="Times New Roman" w:cs="Times New Roman"/>
                <w:sz w:val="21"/>
                <w:szCs w:val="21"/>
              </w:rPr>
            </w:pPr>
            <w:r>
              <w:rPr>
                <w:rFonts w:ascii="Times New Roman" w:hAnsi="Times New Roman" w:eastAsia="Times New Roman" w:cs="Times New Roman"/>
                <w:sz w:val="21"/>
                <w:szCs w:val="21"/>
              </w:rPr>
              <w:t>Q</w:t>
            </w:r>
          </w:p>
        </w:tc>
        <w:tc>
          <w:tcPr>
            <w:tcW w:w="1153" w:type="dxa"/>
            <w:vAlign w:val="top"/>
          </w:tcPr>
          <w:p>
            <w:pPr>
              <w:spacing w:before="52" w:line="182" w:lineRule="auto"/>
              <w:ind w:left="520"/>
              <w:rPr>
                <w:rFonts w:ascii="Times New Roman" w:hAnsi="Times New Roman" w:eastAsia="Times New Roman" w:cs="Times New Roman"/>
                <w:sz w:val="21"/>
                <w:szCs w:val="21"/>
              </w:rPr>
            </w:pPr>
            <w:r>
              <w:rPr>
                <w:rFonts w:ascii="Times New Roman" w:hAnsi="Times New Roman" w:eastAsia="Times New Roman" w:cs="Times New Roman"/>
                <w:sz w:val="21"/>
                <w:szCs w:val="21"/>
              </w:rPr>
              <w:t>k</w:t>
            </w:r>
          </w:p>
        </w:tc>
        <w:tc>
          <w:tcPr>
            <w:tcW w:w="1027" w:type="dxa"/>
            <w:tcBorders>
              <w:right w:val="nil"/>
            </w:tcBorders>
            <w:vAlign w:val="top"/>
          </w:tcPr>
          <w:p>
            <w:pPr>
              <w:spacing w:before="58" w:line="176" w:lineRule="auto"/>
              <w:ind w:left="442"/>
              <w:rPr>
                <w:rFonts w:ascii="Times New Roman" w:hAnsi="Times New Roman" w:eastAsia="Times New Roman" w:cs="Times New Roman"/>
                <w:sz w:val="21"/>
                <w:szCs w:val="21"/>
              </w:rPr>
            </w:pPr>
            <w:r>
              <w:rPr>
                <w:rFonts w:ascii="Times New Roman" w:hAnsi="Times New Roman" w:eastAsia="Times New Roman" w:cs="Times New Roman"/>
                <w:sz w:val="21"/>
                <w:szCs w:val="21"/>
              </w:rPr>
              <w:t>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821" w:type="dxa"/>
            <w:vMerge w:val="continue"/>
            <w:tcBorders>
              <w:top w:val="nil"/>
              <w:left w:val="nil"/>
            </w:tcBorders>
            <w:vAlign w:val="top"/>
          </w:tcPr>
          <w:p>
            <w:pPr>
              <w:rPr>
                <w:rFonts w:ascii="Arial"/>
                <w:sz w:val="21"/>
              </w:rPr>
            </w:pPr>
          </w:p>
        </w:tc>
        <w:tc>
          <w:tcPr>
            <w:tcW w:w="1068" w:type="dxa"/>
            <w:vAlign w:val="top"/>
          </w:tcPr>
          <w:p>
            <w:pPr>
              <w:spacing w:before="50" w:line="182" w:lineRule="auto"/>
              <w:ind w:left="450"/>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08" w:type="dxa"/>
            <w:vAlign w:val="top"/>
          </w:tcPr>
          <w:p>
            <w:pPr>
              <w:spacing w:before="50" w:line="182" w:lineRule="auto"/>
              <w:ind w:left="421"/>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05" w:type="dxa"/>
            <w:vAlign w:val="top"/>
          </w:tcPr>
          <w:p>
            <w:pPr>
              <w:spacing w:before="50" w:line="182"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05" w:type="dxa"/>
            <w:vAlign w:val="top"/>
          </w:tcPr>
          <w:p>
            <w:pPr>
              <w:spacing w:before="50" w:line="182"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2143" w:type="dxa"/>
            <w:vAlign w:val="top"/>
          </w:tcPr>
          <w:p>
            <w:pPr>
              <w:spacing w:before="33" w:line="199" w:lineRule="auto"/>
              <w:ind w:left="873"/>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6"/>
                <w:sz w:val="13"/>
                <w:szCs w:val="13"/>
              </w:rPr>
              <w:t>3</w:t>
            </w:r>
            <w:r>
              <w:rPr>
                <w:rFonts w:ascii="Times New Roman" w:hAnsi="Times New Roman" w:eastAsia="Times New Roman" w:cs="Times New Roman"/>
                <w:sz w:val="21"/>
                <w:szCs w:val="21"/>
              </w:rPr>
              <w:t>/d</w:t>
            </w:r>
          </w:p>
        </w:tc>
        <w:tc>
          <w:tcPr>
            <w:tcW w:w="1153" w:type="dxa"/>
            <w:vAlign w:val="top"/>
          </w:tcPr>
          <w:p>
            <w:pPr>
              <w:spacing w:before="50" w:line="182"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m/d</w:t>
            </w:r>
          </w:p>
        </w:tc>
        <w:tc>
          <w:tcPr>
            <w:tcW w:w="1027" w:type="dxa"/>
            <w:tcBorders>
              <w:right w:val="nil"/>
            </w:tcBorders>
            <w:vAlign w:val="top"/>
          </w:tcPr>
          <w:p>
            <w:pPr>
              <w:spacing w:before="50" w:line="182"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21" w:type="dxa"/>
            <w:tcBorders>
              <w:left w:val="nil"/>
            </w:tcBorders>
            <w:vAlign w:val="top"/>
          </w:tcPr>
          <w:p>
            <w:pPr>
              <w:spacing w:before="91" w:line="189"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68" w:type="dxa"/>
            <w:vAlign w:val="top"/>
          </w:tcPr>
          <w:p>
            <w:pPr>
              <w:spacing w:before="91" w:line="189"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008" w:type="dxa"/>
            <w:vAlign w:val="top"/>
          </w:tcPr>
          <w:p>
            <w:pPr>
              <w:spacing w:before="93"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24.7</w:t>
            </w:r>
          </w:p>
        </w:tc>
        <w:tc>
          <w:tcPr>
            <w:tcW w:w="905" w:type="dxa"/>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905" w:type="dxa"/>
            <w:vAlign w:val="top"/>
          </w:tcPr>
          <w:p>
            <w:pPr>
              <w:spacing w:before="91" w:line="189"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15.7</w:t>
            </w:r>
          </w:p>
        </w:tc>
        <w:tc>
          <w:tcPr>
            <w:tcW w:w="2143" w:type="dxa"/>
            <w:vAlign w:val="top"/>
          </w:tcPr>
          <w:p>
            <w:pPr>
              <w:spacing w:before="91" w:line="189" w:lineRule="auto"/>
              <w:ind w:left="8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7.94</w:t>
            </w:r>
          </w:p>
        </w:tc>
        <w:tc>
          <w:tcPr>
            <w:tcW w:w="1153" w:type="dxa"/>
            <w:vAlign w:val="top"/>
          </w:tcPr>
          <w:p>
            <w:pPr>
              <w:spacing w:before="91" w:line="189"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0.061</w:t>
            </w:r>
          </w:p>
        </w:tc>
        <w:tc>
          <w:tcPr>
            <w:tcW w:w="1027" w:type="dxa"/>
            <w:tcBorders>
              <w:right w:val="nil"/>
            </w:tcBorders>
            <w:vAlign w:val="top"/>
          </w:tcPr>
          <w:p>
            <w:pPr>
              <w:spacing w:before="91" w:line="189"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36.92</w:t>
            </w:r>
          </w:p>
        </w:tc>
      </w:tr>
    </w:tbl>
    <w:p>
      <w:pPr>
        <w:spacing w:before="291" w:line="220" w:lineRule="auto"/>
        <w:ind w:left="78"/>
        <w:rPr>
          <w:rFonts w:ascii="宋体" w:hAnsi="宋体" w:eastAsia="宋体" w:cs="宋体"/>
          <w:sz w:val="28"/>
          <w:szCs w:val="28"/>
        </w:rPr>
      </w:pPr>
      <w:r>
        <w:rPr>
          <w:rFonts w:ascii="Times New Roman" w:hAnsi="Times New Roman" w:eastAsia="Times New Roman" w:cs="Times New Roman"/>
          <w:b/>
          <w:bCs/>
          <w:spacing w:val="-2"/>
          <w:sz w:val="28"/>
          <w:szCs w:val="28"/>
        </w:rPr>
        <w:t>2.5.2</w:t>
      </w:r>
      <w:r>
        <w:rPr>
          <w:rFonts w:ascii="Times New Roman" w:hAnsi="Times New Roman" w:eastAsia="Times New Roman" w:cs="Times New Roman"/>
          <w:b/>
          <w:bCs/>
          <w:spacing w:val="17"/>
          <w:w w:val="101"/>
          <w:sz w:val="28"/>
          <w:szCs w:val="28"/>
        </w:rPr>
        <w:t xml:space="preserve">  </w:t>
      </w:r>
      <w:r>
        <w:rPr>
          <w:rFonts w:ascii="宋体" w:hAnsi="宋体" w:eastAsia="宋体" w:cs="宋体"/>
          <w:spacing w:val="-2"/>
          <w:sz w:val="28"/>
          <w:szCs w:val="28"/>
          <w14:textOutline w14:w="5094" w14:cap="flat" w14:cmpd="sng">
            <w14:solidFill>
              <w14:srgbClr w14:val="000000"/>
            </w14:solidFill>
            <w14:prstDash w14:val="solid"/>
            <w14:miter w14:val="10"/>
          </w14:textOutline>
        </w:rPr>
        <w:t>渗水试验</w:t>
      </w:r>
    </w:p>
    <w:p>
      <w:pPr>
        <w:pStyle w:val="2"/>
        <w:spacing w:line="274" w:lineRule="auto"/>
        <w:rPr>
          <w:sz w:val="21"/>
        </w:rPr>
      </w:pPr>
    </w:p>
    <w:p>
      <w:pPr>
        <w:spacing w:before="78" w:line="360" w:lineRule="auto"/>
        <w:ind w:left="84" w:firstLine="476"/>
        <w:jc w:val="both"/>
        <w:rPr>
          <w:rFonts w:ascii="宋体" w:hAnsi="宋体" w:eastAsia="宋体" w:cs="宋体"/>
          <w:sz w:val="24"/>
          <w:szCs w:val="24"/>
        </w:rPr>
      </w:pPr>
      <w:r>
        <w:rPr>
          <w:rFonts w:ascii="宋体" w:hAnsi="宋体" w:eastAsia="宋体" w:cs="宋体"/>
          <w:spacing w:val="-7"/>
          <w:sz w:val="24"/>
          <w:szCs w:val="24"/>
        </w:rPr>
        <w:t xml:space="preserve">在拟建项目场地周边进行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7"/>
          <w:sz w:val="24"/>
          <w:szCs w:val="24"/>
        </w:rPr>
        <w:t>组双环渗水试验，</w:t>
      </w:r>
      <w:r>
        <w:rPr>
          <w:rFonts w:ascii="宋体" w:hAnsi="宋体" w:eastAsia="宋体" w:cs="宋体"/>
          <w:spacing w:val="63"/>
          <w:sz w:val="24"/>
          <w:szCs w:val="24"/>
        </w:rPr>
        <w:t xml:space="preserve"> </w:t>
      </w:r>
      <w:r>
        <w:rPr>
          <w:rFonts w:ascii="宋体" w:hAnsi="宋体" w:eastAsia="宋体" w:cs="宋体"/>
          <w:spacing w:val="-7"/>
          <w:sz w:val="24"/>
          <w:szCs w:val="24"/>
        </w:rPr>
        <w:t>双环试坑</w:t>
      </w:r>
      <w:r>
        <w:rPr>
          <w:rFonts w:ascii="宋体" w:hAnsi="宋体" w:eastAsia="宋体" w:cs="宋体"/>
          <w:spacing w:val="-8"/>
          <w:sz w:val="24"/>
          <w:szCs w:val="24"/>
        </w:rPr>
        <w:t xml:space="preserve">渗水试验内、外直径分别 </w:t>
      </w:r>
      <w:r>
        <w:rPr>
          <w:rFonts w:ascii="宋体" w:hAnsi="宋体" w:eastAsia="宋体" w:cs="宋体"/>
          <w:spacing w:val="-2"/>
          <w:sz w:val="24"/>
          <w:szCs w:val="24"/>
        </w:rPr>
        <w:t>为</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25cm</w:t>
      </w:r>
      <w:r>
        <w:rPr>
          <w:rFonts w:ascii="Times New Roman" w:hAnsi="Times New Roman" w:eastAsia="Times New Roman" w:cs="Times New Roman"/>
          <w:spacing w:val="42"/>
          <w:w w:val="101"/>
          <w:sz w:val="24"/>
          <w:szCs w:val="24"/>
        </w:rPr>
        <w:t xml:space="preserve"> </w:t>
      </w:r>
      <w:r>
        <w:rPr>
          <w:rFonts w:ascii="宋体" w:hAnsi="宋体" w:eastAsia="宋体" w:cs="宋体"/>
          <w:spacing w:val="-2"/>
          <w:sz w:val="24"/>
          <w:szCs w:val="24"/>
        </w:rPr>
        <w:t xml:space="preserve">和 </w:t>
      </w:r>
      <w:r>
        <w:rPr>
          <w:rFonts w:ascii="Times New Roman" w:hAnsi="Times New Roman" w:eastAsia="Times New Roman" w:cs="Times New Roman"/>
          <w:spacing w:val="-2"/>
          <w:sz w:val="24"/>
          <w:szCs w:val="24"/>
        </w:rPr>
        <w:t>50cm</w:t>
      </w:r>
      <w:r>
        <w:rPr>
          <w:rFonts w:ascii="宋体" w:hAnsi="宋体" w:eastAsia="宋体" w:cs="宋体"/>
          <w:spacing w:val="-2"/>
          <w:sz w:val="24"/>
          <w:szCs w:val="24"/>
        </w:rPr>
        <w:t>，按同心圆状压入坑底。试验过程中，两</w:t>
      </w:r>
      <w:r>
        <w:rPr>
          <w:rFonts w:ascii="宋体" w:hAnsi="宋体" w:eastAsia="宋体" w:cs="宋体"/>
          <w:spacing w:val="-3"/>
          <w:sz w:val="24"/>
          <w:szCs w:val="24"/>
        </w:rPr>
        <w:t>个流量瓶同时向内环和内、</w:t>
      </w:r>
      <w:r>
        <w:rPr>
          <w:rFonts w:ascii="宋体" w:hAnsi="宋体" w:eastAsia="宋体" w:cs="宋体"/>
          <w:sz w:val="24"/>
          <w:szCs w:val="24"/>
        </w:rPr>
        <w:t xml:space="preserve"> </w:t>
      </w:r>
      <w:r>
        <w:rPr>
          <w:rFonts w:ascii="宋体" w:hAnsi="宋体" w:eastAsia="宋体" w:cs="宋体"/>
          <w:spacing w:val="-12"/>
          <w:sz w:val="24"/>
          <w:szCs w:val="24"/>
        </w:rPr>
        <w:t>外环之间注水，</w:t>
      </w:r>
      <w:r>
        <w:rPr>
          <w:rFonts w:ascii="宋体" w:hAnsi="宋体" w:eastAsia="宋体" w:cs="宋体"/>
          <w:spacing w:val="48"/>
          <w:sz w:val="24"/>
          <w:szCs w:val="24"/>
        </w:rPr>
        <w:t xml:space="preserve"> </w:t>
      </w:r>
      <w:r>
        <w:rPr>
          <w:rFonts w:ascii="宋体" w:hAnsi="宋体" w:eastAsia="宋体" w:cs="宋体"/>
          <w:spacing w:val="-12"/>
          <w:sz w:val="24"/>
          <w:szCs w:val="24"/>
        </w:rPr>
        <w:t>水深均为</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10cm</w:t>
      </w:r>
      <w:r>
        <w:rPr>
          <w:rFonts w:ascii="宋体" w:hAnsi="宋体" w:eastAsia="宋体" w:cs="宋体"/>
          <w:spacing w:val="-12"/>
          <w:sz w:val="24"/>
          <w:szCs w:val="24"/>
        </w:rPr>
        <w:t>。开始进行内环注入流量量测，</w:t>
      </w:r>
      <w:r>
        <w:rPr>
          <w:rFonts w:ascii="宋体" w:hAnsi="宋体" w:eastAsia="宋体" w:cs="宋体"/>
          <w:spacing w:val="47"/>
          <w:sz w:val="24"/>
          <w:szCs w:val="24"/>
        </w:rPr>
        <w:t xml:space="preserve"> </w:t>
      </w:r>
      <w:r>
        <w:rPr>
          <w:rFonts w:ascii="宋体" w:hAnsi="宋体" w:eastAsia="宋体" w:cs="宋体"/>
          <w:spacing w:val="-12"/>
          <w:sz w:val="24"/>
          <w:szCs w:val="24"/>
        </w:rPr>
        <w:t>当连续两次观测的注入</w:t>
      </w:r>
    </w:p>
    <w:p>
      <w:pPr>
        <w:spacing w:before="1" w:line="219" w:lineRule="auto"/>
        <w:ind w:left="82"/>
        <w:rPr>
          <w:rFonts w:ascii="宋体" w:hAnsi="宋体" w:eastAsia="宋体" w:cs="宋体"/>
          <w:sz w:val="24"/>
          <w:szCs w:val="24"/>
        </w:rPr>
      </w:pPr>
      <w:r>
        <w:rPr>
          <w:rFonts w:ascii="宋体" w:hAnsi="宋体" w:eastAsia="宋体" w:cs="宋体"/>
          <w:spacing w:val="-1"/>
          <w:sz w:val="24"/>
          <w:szCs w:val="24"/>
        </w:rPr>
        <w:t>流量之差不大于最后一次注入流量的</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w:t>
      </w:r>
      <w:r>
        <w:rPr>
          <w:rFonts w:ascii="宋体" w:hAnsi="宋体" w:eastAsia="宋体" w:cs="宋体"/>
          <w:spacing w:val="-1"/>
          <w:sz w:val="24"/>
          <w:szCs w:val="24"/>
        </w:rPr>
        <w:t>时，试验结束。结束后开挖试坑，测</w:t>
      </w:r>
      <w:r>
        <w:rPr>
          <w:rFonts w:ascii="宋体" w:hAnsi="宋体" w:eastAsia="宋体" w:cs="宋体"/>
          <w:spacing w:val="-2"/>
          <w:sz w:val="24"/>
          <w:szCs w:val="24"/>
        </w:rPr>
        <w:t>得试验</w:t>
      </w:r>
    </w:p>
    <w:p>
      <w:pPr>
        <w:spacing w:before="182" w:line="220" w:lineRule="auto"/>
        <w:ind w:left="87"/>
        <w:rPr>
          <w:rFonts w:ascii="宋体" w:hAnsi="宋体" w:eastAsia="宋体" w:cs="宋体"/>
          <w:sz w:val="24"/>
          <w:szCs w:val="24"/>
        </w:rPr>
      </w:pPr>
      <w:r>
        <w:rPr>
          <w:rFonts w:ascii="宋体" w:hAnsi="宋体" w:eastAsia="宋体" w:cs="宋体"/>
          <w:spacing w:val="-4"/>
          <w:sz w:val="24"/>
          <w:szCs w:val="24"/>
        </w:rPr>
        <w:t>结束时水的渗入深度和岩土体毛细上升高度，根</w:t>
      </w:r>
      <w:r>
        <w:rPr>
          <w:rFonts w:ascii="宋体" w:hAnsi="宋体" w:eastAsia="宋体" w:cs="宋体"/>
          <w:spacing w:val="-5"/>
          <w:sz w:val="24"/>
          <w:szCs w:val="24"/>
        </w:rPr>
        <w:t>据公式计算包气带岩土体的渗透系数：</w:t>
      </w:r>
    </w:p>
    <w:p>
      <w:pPr>
        <w:spacing w:before="73" w:line="192" w:lineRule="auto"/>
        <w:ind w:left="4624"/>
        <w:rPr>
          <w:rFonts w:ascii="Cambria Math" w:hAnsi="Cambria Math" w:eastAsia="Cambria Math" w:cs="Cambria Math"/>
          <w:sz w:val="21"/>
          <w:szCs w:val="21"/>
        </w:rPr>
      </w:pPr>
      <w:r>
        <w:rPr>
          <w:rFonts w:ascii="Cambria Math" w:hAnsi="Cambria Math" w:eastAsia="Cambria Math" w:cs="Cambria Math"/>
          <w:spacing w:val="-1"/>
          <w:sz w:val="21"/>
          <w:szCs w:val="21"/>
        </w:rPr>
        <w:t>Qz</w:t>
      </w:r>
    </w:p>
    <w:p>
      <w:pPr>
        <w:spacing w:line="117" w:lineRule="exact"/>
        <w:ind w:left="3503"/>
        <w:rPr>
          <w:rFonts w:ascii="Cambria Math" w:hAnsi="Cambria Math" w:eastAsia="Cambria Math" w:cs="Cambria Math"/>
          <w:sz w:val="21"/>
          <w:szCs w:val="21"/>
        </w:rPr>
      </w:pPr>
      <w:r>
        <w:rPr>
          <w:rFonts w:ascii="Cambria Math" w:hAnsi="Cambria Math" w:eastAsia="Cambria Math" w:cs="Cambria Math"/>
          <w:spacing w:val="-3"/>
          <w:position w:val="-3"/>
          <w:sz w:val="21"/>
          <w:szCs w:val="21"/>
        </w:rPr>
        <w:t>K</w:t>
      </w:r>
      <w:r>
        <w:rPr>
          <w:rFonts w:ascii="Cambria Math" w:hAnsi="Cambria Math" w:eastAsia="Cambria Math" w:cs="Cambria Math"/>
          <w:spacing w:val="32"/>
          <w:w w:val="102"/>
          <w:position w:val="-3"/>
          <w:sz w:val="21"/>
          <w:szCs w:val="21"/>
        </w:rPr>
        <w:t xml:space="preserve"> </w:t>
      </w:r>
      <w:r>
        <w:rPr>
          <w:rFonts w:ascii="Cambria Math" w:hAnsi="Cambria Math" w:eastAsia="Cambria Math" w:cs="Cambria Math"/>
          <w:spacing w:val="-3"/>
          <w:position w:val="-3"/>
          <w:sz w:val="21"/>
          <w:szCs w:val="21"/>
        </w:rPr>
        <w:t>=</w:t>
      </w:r>
      <w:r>
        <w:rPr>
          <w:rFonts w:ascii="Cambria Math" w:hAnsi="Cambria Math" w:eastAsia="Cambria Math" w:cs="Cambria Math"/>
          <w:spacing w:val="9"/>
          <w:position w:val="-3"/>
          <w:sz w:val="21"/>
          <w:szCs w:val="21"/>
        </w:rPr>
        <w:t xml:space="preserve"> </w:t>
      </w:r>
      <w:r>
        <w:rPr>
          <w:rFonts w:ascii="Cambria Math" w:hAnsi="Cambria Math" w:eastAsia="Cambria Math" w:cs="Cambria Math"/>
          <w:strike/>
          <w:position w:val="-3"/>
          <w:sz w:val="21"/>
          <w:szCs w:val="21"/>
        </w:rPr>
        <w:t xml:space="preserve">                                    </w:t>
      </w:r>
    </w:p>
    <w:p>
      <w:pPr>
        <w:spacing w:line="262" w:lineRule="exact"/>
        <w:ind w:left="3928"/>
        <w:rPr>
          <w:rFonts w:ascii="Cambria Math" w:hAnsi="Cambria Math" w:eastAsia="Cambria Math" w:cs="Cambria Math"/>
          <w:sz w:val="21"/>
          <w:szCs w:val="21"/>
        </w:rPr>
      </w:pPr>
      <w:r>
        <w:rPr>
          <w:rFonts w:ascii="Cambria Math" w:hAnsi="Cambria Math" w:eastAsia="Cambria Math" w:cs="Cambria Math"/>
          <w:spacing w:val="1"/>
          <w:position w:val="3"/>
          <w:sz w:val="21"/>
          <w:szCs w:val="21"/>
        </w:rPr>
        <w:t>F(H</w:t>
      </w:r>
      <w:r>
        <w:rPr>
          <w:rFonts w:ascii="Cambria Math" w:hAnsi="Cambria Math" w:eastAsia="Cambria Math" w:cs="Cambria Math"/>
          <w:spacing w:val="29"/>
          <w:position w:val="3"/>
          <w:sz w:val="21"/>
          <w:szCs w:val="21"/>
        </w:rPr>
        <w:t xml:space="preserve"> </w:t>
      </w:r>
      <w:r>
        <w:rPr>
          <w:rFonts w:ascii="Cambria Math" w:hAnsi="Cambria Math" w:eastAsia="Cambria Math" w:cs="Cambria Math"/>
          <w:spacing w:val="1"/>
          <w:position w:val="3"/>
          <w:sz w:val="21"/>
          <w:szCs w:val="21"/>
        </w:rPr>
        <w:t>+ z</w:t>
      </w:r>
      <w:r>
        <w:rPr>
          <w:rFonts w:ascii="Cambria Math" w:hAnsi="Cambria Math" w:eastAsia="Cambria Math" w:cs="Cambria Math"/>
          <w:spacing w:val="18"/>
          <w:w w:val="101"/>
          <w:position w:val="3"/>
          <w:sz w:val="21"/>
          <w:szCs w:val="21"/>
        </w:rPr>
        <w:t xml:space="preserve"> </w:t>
      </w:r>
      <w:r>
        <w:rPr>
          <w:rFonts w:ascii="Cambria Math" w:hAnsi="Cambria Math" w:eastAsia="Cambria Math" w:cs="Cambria Math"/>
          <w:spacing w:val="1"/>
          <w:position w:val="3"/>
          <w:sz w:val="21"/>
          <w:szCs w:val="21"/>
        </w:rPr>
        <w:t>+</w:t>
      </w:r>
      <w:r>
        <w:rPr>
          <w:rFonts w:ascii="Cambria Math" w:hAnsi="Cambria Math" w:eastAsia="Cambria Math" w:cs="Cambria Math"/>
          <w:spacing w:val="13"/>
          <w:position w:val="3"/>
          <w:sz w:val="21"/>
          <w:szCs w:val="21"/>
        </w:rPr>
        <w:t xml:space="preserve"> </w:t>
      </w:r>
      <w:r>
        <w:rPr>
          <w:rFonts w:ascii="Cambria Math" w:hAnsi="Cambria Math" w:eastAsia="Cambria Math" w:cs="Cambria Math"/>
          <w:spacing w:val="1"/>
          <w:position w:val="3"/>
          <w:sz w:val="21"/>
          <w:szCs w:val="21"/>
        </w:rPr>
        <w:t>0.5</w:t>
      </w:r>
      <w:r>
        <w:rPr>
          <w:rFonts w:ascii="Cambria Math" w:hAnsi="Cambria Math" w:eastAsia="Cambria Math" w:cs="Cambria Math"/>
          <w:position w:val="3"/>
          <w:sz w:val="21"/>
          <w:szCs w:val="21"/>
        </w:rPr>
        <w:t>Ha</w:t>
      </w:r>
      <w:r>
        <w:rPr>
          <w:rFonts w:ascii="Cambria Math" w:hAnsi="Cambria Math" w:eastAsia="Cambria Math" w:cs="Cambria Math"/>
          <w:spacing w:val="1"/>
          <w:position w:val="3"/>
          <w:sz w:val="21"/>
          <w:szCs w:val="21"/>
        </w:rPr>
        <w:t>)</w:t>
      </w:r>
    </w:p>
    <w:p>
      <w:pPr>
        <w:spacing w:before="96" w:line="233" w:lineRule="auto"/>
        <w:ind w:left="566"/>
        <w:rPr>
          <w:rFonts w:ascii="宋体" w:hAnsi="宋体" w:eastAsia="宋体" w:cs="宋体"/>
          <w:sz w:val="24"/>
          <w:szCs w:val="24"/>
        </w:rPr>
      </w:pPr>
      <w:r>
        <w:rPr>
          <w:rFonts w:ascii="宋体" w:hAnsi="宋体" w:eastAsia="宋体" w:cs="宋体"/>
          <w:spacing w:val="-16"/>
          <w:sz w:val="24"/>
          <w:szCs w:val="24"/>
        </w:rPr>
        <w:t xml:space="preserve">式中： </w:t>
      </w:r>
      <w:r>
        <w:rPr>
          <w:rFonts w:ascii="Times New Roman" w:hAnsi="Times New Roman" w:eastAsia="Times New Roman" w:cs="Times New Roman"/>
          <w:spacing w:val="-16"/>
          <w:sz w:val="24"/>
          <w:szCs w:val="24"/>
        </w:rPr>
        <w:t>K---</w:t>
      </w:r>
      <w:r>
        <w:rPr>
          <w:rFonts w:ascii="宋体" w:hAnsi="宋体" w:eastAsia="宋体" w:cs="宋体"/>
          <w:spacing w:val="-16"/>
          <w:sz w:val="24"/>
          <w:szCs w:val="24"/>
        </w:rPr>
        <w:t>渗透系数，</w:t>
      </w:r>
      <w:r>
        <w:rPr>
          <w:rFonts w:ascii="宋体" w:hAnsi="宋体" w:eastAsia="宋体" w:cs="宋体"/>
          <w:spacing w:val="35"/>
          <w:sz w:val="24"/>
          <w:szCs w:val="24"/>
        </w:rPr>
        <w:t xml:space="preserve"> </w:t>
      </w:r>
      <w:r>
        <w:rPr>
          <w:rFonts w:ascii="Times New Roman" w:hAnsi="Times New Roman" w:eastAsia="Times New Roman" w:cs="Times New Roman"/>
          <w:spacing w:val="-16"/>
          <w:sz w:val="24"/>
          <w:szCs w:val="24"/>
        </w:rPr>
        <w:t>cm/s</w:t>
      </w:r>
      <w:r>
        <w:rPr>
          <w:rFonts w:ascii="宋体" w:hAnsi="宋体" w:eastAsia="宋体" w:cs="宋体"/>
          <w:spacing w:val="-16"/>
          <w:sz w:val="24"/>
          <w:szCs w:val="24"/>
        </w:rPr>
        <w:t>；</w:t>
      </w:r>
    </w:p>
    <w:p>
      <w:pPr>
        <w:spacing w:before="163" w:line="216" w:lineRule="auto"/>
        <w:ind w:left="1280"/>
        <w:rPr>
          <w:rFonts w:ascii="宋体" w:hAnsi="宋体" w:eastAsia="宋体" w:cs="宋体"/>
          <w:sz w:val="24"/>
          <w:szCs w:val="24"/>
        </w:rPr>
      </w:pPr>
      <w:r>
        <w:rPr>
          <w:rFonts w:ascii="Times New Roman" w:hAnsi="Times New Roman" w:eastAsia="Times New Roman" w:cs="Times New Roman"/>
          <w:spacing w:val="-9"/>
          <w:sz w:val="24"/>
          <w:szCs w:val="24"/>
        </w:rPr>
        <w:t>Q---</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 xml:space="preserve">内环的渗入流量， </w:t>
      </w:r>
      <w:r>
        <w:rPr>
          <w:rFonts w:ascii="Times New Roman" w:hAnsi="Times New Roman" w:eastAsia="Times New Roman" w:cs="Times New Roman"/>
          <w:spacing w:val="-9"/>
          <w:sz w:val="24"/>
          <w:szCs w:val="24"/>
        </w:rPr>
        <w:t>cm</w:t>
      </w:r>
      <w:r>
        <w:rPr>
          <w:rFonts w:ascii="Times New Roman" w:hAnsi="Times New Roman" w:eastAsia="Times New Roman" w:cs="Times New Roman"/>
          <w:spacing w:val="-9"/>
          <w:position w:val="8"/>
          <w:sz w:val="16"/>
          <w:szCs w:val="16"/>
        </w:rPr>
        <w:t>3</w:t>
      </w:r>
      <w:r>
        <w:rPr>
          <w:rFonts w:ascii="Times New Roman" w:hAnsi="Times New Roman" w:eastAsia="Times New Roman" w:cs="Times New Roman"/>
          <w:spacing w:val="-9"/>
          <w:sz w:val="24"/>
          <w:szCs w:val="24"/>
        </w:rPr>
        <w:t>/s</w:t>
      </w:r>
      <w:r>
        <w:rPr>
          <w:rFonts w:ascii="宋体" w:hAnsi="宋体" w:eastAsia="宋体" w:cs="宋体"/>
          <w:spacing w:val="-9"/>
          <w:sz w:val="24"/>
          <w:szCs w:val="24"/>
        </w:rPr>
        <w:t>；</w:t>
      </w:r>
    </w:p>
    <w:p>
      <w:pPr>
        <w:spacing w:before="187" w:line="233" w:lineRule="auto"/>
        <w:ind w:left="1275"/>
        <w:rPr>
          <w:rFonts w:ascii="宋体" w:hAnsi="宋体" w:eastAsia="宋体" w:cs="宋体"/>
          <w:sz w:val="24"/>
          <w:szCs w:val="24"/>
        </w:rPr>
      </w:pPr>
      <w:r>
        <w:rPr>
          <w:rFonts w:ascii="Times New Roman" w:hAnsi="Times New Roman" w:eastAsia="Times New Roman" w:cs="Times New Roman"/>
          <w:spacing w:val="-10"/>
          <w:sz w:val="24"/>
          <w:szCs w:val="24"/>
        </w:rPr>
        <w:t xml:space="preserve">F--- </w:t>
      </w:r>
      <w:r>
        <w:rPr>
          <w:rFonts w:ascii="宋体" w:hAnsi="宋体" w:eastAsia="宋体" w:cs="宋体"/>
          <w:spacing w:val="-10"/>
          <w:sz w:val="24"/>
          <w:szCs w:val="24"/>
        </w:rPr>
        <w:t>内环的底面积，</w:t>
      </w:r>
      <w:r>
        <w:rPr>
          <w:rFonts w:ascii="宋体" w:hAnsi="宋体" w:eastAsia="宋体" w:cs="宋体"/>
          <w:spacing w:val="-24"/>
          <w:sz w:val="24"/>
          <w:szCs w:val="24"/>
        </w:rPr>
        <w:t xml:space="preserve"> </w:t>
      </w:r>
      <w:r>
        <w:rPr>
          <w:rFonts w:ascii="Times New Roman" w:hAnsi="Times New Roman" w:eastAsia="Times New Roman" w:cs="Times New Roman"/>
          <w:spacing w:val="-10"/>
          <w:sz w:val="24"/>
          <w:szCs w:val="24"/>
        </w:rPr>
        <w:t>cm</w:t>
      </w:r>
      <w:r>
        <w:rPr>
          <w:rFonts w:ascii="Times New Roman" w:hAnsi="Times New Roman" w:eastAsia="Times New Roman" w:cs="Times New Roman"/>
          <w:spacing w:val="-10"/>
          <w:position w:val="8"/>
          <w:sz w:val="16"/>
          <w:szCs w:val="16"/>
        </w:rPr>
        <w:t>2</w:t>
      </w:r>
      <w:r>
        <w:rPr>
          <w:rFonts w:ascii="宋体" w:hAnsi="宋体" w:eastAsia="宋体" w:cs="宋体"/>
          <w:spacing w:val="-10"/>
          <w:sz w:val="24"/>
          <w:szCs w:val="24"/>
        </w:rPr>
        <w:t>；</w:t>
      </w:r>
    </w:p>
    <w:p>
      <w:pPr>
        <w:spacing w:before="163" w:line="233" w:lineRule="auto"/>
        <w:ind w:left="1275"/>
        <w:rPr>
          <w:rFonts w:ascii="宋体" w:hAnsi="宋体" w:eastAsia="宋体" w:cs="宋体"/>
          <w:sz w:val="24"/>
          <w:szCs w:val="24"/>
        </w:rPr>
      </w:pPr>
      <w:r>
        <w:rPr>
          <w:rFonts w:ascii="Times New Roman" w:hAnsi="Times New Roman" w:eastAsia="Times New Roman" w:cs="Times New Roman"/>
          <w:spacing w:val="-9"/>
          <w:sz w:val="24"/>
          <w:szCs w:val="24"/>
        </w:rPr>
        <w:t>H---</w:t>
      </w:r>
      <w:r>
        <w:rPr>
          <w:rFonts w:ascii="宋体" w:hAnsi="宋体" w:eastAsia="宋体" w:cs="宋体"/>
          <w:spacing w:val="-9"/>
          <w:sz w:val="24"/>
          <w:szCs w:val="24"/>
        </w:rPr>
        <w:t>试验水头，</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cm</w:t>
      </w:r>
      <w:r>
        <w:rPr>
          <w:rFonts w:ascii="宋体" w:hAnsi="宋体" w:eastAsia="宋体" w:cs="宋体"/>
          <w:spacing w:val="-9"/>
          <w:sz w:val="24"/>
          <w:szCs w:val="24"/>
        </w:rPr>
        <w:t>；</w:t>
      </w:r>
      <w:r>
        <w:rPr>
          <w:rFonts w:ascii="Times New Roman" w:hAnsi="Times New Roman" w:eastAsia="Times New Roman" w:cs="Times New Roman"/>
          <w:spacing w:val="-9"/>
          <w:sz w:val="24"/>
          <w:szCs w:val="24"/>
        </w:rPr>
        <w:t>H=10cm</w:t>
      </w:r>
      <w:r>
        <w:rPr>
          <w:rFonts w:ascii="宋体" w:hAnsi="宋体" w:eastAsia="宋体" w:cs="宋体"/>
          <w:spacing w:val="-9"/>
          <w:sz w:val="24"/>
          <w:szCs w:val="24"/>
        </w:rPr>
        <w:t>；</w:t>
      </w:r>
    </w:p>
    <w:p>
      <w:pPr>
        <w:spacing w:before="164" w:line="466" w:lineRule="exact"/>
        <w:ind w:left="1275"/>
        <w:rPr>
          <w:rFonts w:ascii="宋体" w:hAnsi="宋体" w:eastAsia="宋体" w:cs="宋体"/>
          <w:sz w:val="24"/>
          <w:szCs w:val="24"/>
        </w:rPr>
      </w:pPr>
      <w:r>
        <w:rPr>
          <w:rFonts w:ascii="Times New Roman" w:hAnsi="Times New Roman" w:eastAsia="Times New Roman" w:cs="Times New Roman"/>
          <w:spacing w:val="-6"/>
          <w:position w:val="16"/>
          <w:sz w:val="24"/>
          <w:szCs w:val="24"/>
        </w:rPr>
        <w:t>H</w:t>
      </w:r>
      <w:r>
        <w:rPr>
          <w:rFonts w:ascii="Times New Roman" w:hAnsi="Times New Roman" w:eastAsia="Times New Roman" w:cs="Times New Roman"/>
          <w:spacing w:val="-6"/>
          <w:position w:val="15"/>
          <w:sz w:val="16"/>
          <w:szCs w:val="16"/>
        </w:rPr>
        <w:t>a</w:t>
      </w:r>
      <w:r>
        <w:rPr>
          <w:rFonts w:ascii="Times New Roman" w:hAnsi="Times New Roman" w:eastAsia="Times New Roman" w:cs="Times New Roman"/>
          <w:spacing w:val="-6"/>
          <w:position w:val="16"/>
          <w:sz w:val="24"/>
          <w:szCs w:val="24"/>
        </w:rPr>
        <w:t>---</w:t>
      </w:r>
      <w:r>
        <w:rPr>
          <w:rFonts w:ascii="宋体" w:hAnsi="宋体" w:eastAsia="宋体" w:cs="宋体"/>
          <w:spacing w:val="-6"/>
          <w:position w:val="16"/>
          <w:sz w:val="24"/>
          <w:szCs w:val="24"/>
        </w:rPr>
        <w:t xml:space="preserve">试验土层的毛细上升高度， </w:t>
      </w:r>
      <w:r>
        <w:rPr>
          <w:rFonts w:ascii="Times New Roman" w:hAnsi="Times New Roman" w:eastAsia="Times New Roman" w:cs="Times New Roman"/>
          <w:spacing w:val="-6"/>
          <w:position w:val="16"/>
          <w:sz w:val="24"/>
          <w:szCs w:val="24"/>
        </w:rPr>
        <w:t>cm</w:t>
      </w:r>
      <w:r>
        <w:rPr>
          <w:rFonts w:ascii="宋体" w:hAnsi="宋体" w:eastAsia="宋体" w:cs="宋体"/>
          <w:spacing w:val="-6"/>
          <w:position w:val="16"/>
          <w:sz w:val="24"/>
          <w:szCs w:val="24"/>
        </w:rPr>
        <w:t>；</w:t>
      </w:r>
    </w:p>
    <w:p>
      <w:pPr>
        <w:spacing w:before="1" w:line="233" w:lineRule="auto"/>
        <w:ind w:left="1276"/>
        <w:rPr>
          <w:rFonts w:ascii="宋体" w:hAnsi="宋体" w:eastAsia="宋体" w:cs="宋体"/>
          <w:sz w:val="24"/>
          <w:szCs w:val="24"/>
        </w:rPr>
      </w:pPr>
      <w:r>
        <w:rPr>
          <w:rFonts w:ascii="Times New Roman" w:hAnsi="Times New Roman" w:eastAsia="Times New Roman" w:cs="Times New Roman"/>
          <w:spacing w:val="-7"/>
          <w:sz w:val="24"/>
          <w:szCs w:val="24"/>
        </w:rPr>
        <w:t>z---</w:t>
      </w:r>
      <w:r>
        <w:rPr>
          <w:rFonts w:ascii="宋体" w:hAnsi="宋体" w:eastAsia="宋体" w:cs="宋体"/>
          <w:spacing w:val="-7"/>
          <w:sz w:val="24"/>
          <w:szCs w:val="24"/>
        </w:rPr>
        <w:t xml:space="preserve">从试坑底算起的渗入深度， </w:t>
      </w:r>
      <w:r>
        <w:rPr>
          <w:rFonts w:ascii="Times New Roman" w:hAnsi="Times New Roman" w:eastAsia="Times New Roman" w:cs="Times New Roman"/>
          <w:spacing w:val="-7"/>
          <w:sz w:val="24"/>
          <w:szCs w:val="24"/>
        </w:rPr>
        <w:t>cm</w:t>
      </w:r>
      <w:r>
        <w:rPr>
          <w:rFonts w:ascii="宋体" w:hAnsi="宋体" w:eastAsia="宋体" w:cs="宋体"/>
          <w:spacing w:val="-7"/>
          <w:sz w:val="24"/>
          <w:szCs w:val="24"/>
        </w:rPr>
        <w:t>。</w:t>
      </w:r>
    </w:p>
    <w:p>
      <w:pPr>
        <w:spacing w:line="233" w:lineRule="auto"/>
        <w:rPr>
          <w:rFonts w:ascii="宋体" w:hAnsi="宋体" w:eastAsia="宋体" w:cs="宋体"/>
          <w:sz w:val="24"/>
          <w:szCs w:val="24"/>
        </w:rPr>
        <w:sectPr>
          <w:footerReference r:id="rId172" w:type="default"/>
          <w:pgSz w:w="11907" w:h="16839"/>
          <w:pgMar w:top="400" w:right="1332" w:bottom="879" w:left="1517" w:header="0" w:footer="717" w:gutter="0"/>
          <w:cols w:space="720" w:num="1"/>
        </w:sectPr>
      </w:pPr>
    </w:p>
    <w:p>
      <w:pPr>
        <w:pStyle w:val="2"/>
        <w:spacing w:line="267"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78" w:line="360" w:lineRule="auto"/>
        <w:ind w:left="501" w:right="477" w:firstLine="479"/>
        <w:jc w:val="both"/>
        <w:rPr>
          <w:rFonts w:ascii="宋体" w:hAnsi="宋体" w:eastAsia="宋体" w:cs="宋体"/>
          <w:sz w:val="24"/>
          <w:szCs w:val="24"/>
        </w:rPr>
      </w:pPr>
      <w:r>
        <w:rPr>
          <w:rFonts w:ascii="宋体" w:hAnsi="宋体" w:eastAsia="宋体" w:cs="宋体"/>
          <w:spacing w:val="-3"/>
          <w:sz w:val="24"/>
          <w:szCs w:val="24"/>
        </w:rPr>
        <w:t>拟建项目位于山顶， 包气带主要为基岩包气带，岩性主要为粉质粘土，包气</w:t>
      </w:r>
      <w:r>
        <w:rPr>
          <w:rFonts w:ascii="宋体" w:hAnsi="宋体" w:eastAsia="宋体" w:cs="宋体"/>
          <w:spacing w:val="-4"/>
          <w:sz w:val="24"/>
          <w:szCs w:val="24"/>
        </w:rPr>
        <w:t>带分</w:t>
      </w:r>
      <w:r>
        <w:rPr>
          <w:rFonts w:ascii="宋体" w:hAnsi="宋体" w:eastAsia="宋体" w:cs="宋体"/>
          <w:sz w:val="24"/>
          <w:szCs w:val="24"/>
        </w:rPr>
        <w:t xml:space="preserve"> </w:t>
      </w:r>
      <w:r>
        <w:rPr>
          <w:rFonts w:ascii="宋体" w:hAnsi="宋体" w:eastAsia="宋体" w:cs="宋体"/>
          <w:spacing w:val="-7"/>
          <w:sz w:val="24"/>
          <w:szCs w:val="24"/>
        </w:rPr>
        <w:t>布连续、稳定，</w:t>
      </w:r>
      <w:r>
        <w:rPr>
          <w:rFonts w:ascii="宋体" w:hAnsi="宋体" w:eastAsia="宋体" w:cs="宋体"/>
          <w:spacing w:val="57"/>
          <w:sz w:val="24"/>
          <w:szCs w:val="24"/>
        </w:rPr>
        <w:t xml:space="preserve"> </w:t>
      </w:r>
      <w:r>
        <w:rPr>
          <w:rFonts w:ascii="宋体" w:hAnsi="宋体" w:eastAsia="宋体" w:cs="宋体"/>
          <w:spacing w:val="-7"/>
          <w:sz w:val="24"/>
          <w:szCs w:val="24"/>
        </w:rPr>
        <w:t>厚度一般大于</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5.3m</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，结合现场渗水试验结果计算，井场周边包</w:t>
      </w:r>
      <w:r>
        <w:rPr>
          <w:rFonts w:ascii="宋体" w:hAnsi="宋体" w:eastAsia="宋体" w:cs="宋体"/>
          <w:spacing w:val="-8"/>
          <w:sz w:val="24"/>
          <w:szCs w:val="24"/>
        </w:rPr>
        <w:t>气带垂</w:t>
      </w:r>
    </w:p>
    <w:p>
      <w:pPr>
        <w:spacing w:line="233" w:lineRule="auto"/>
        <w:ind w:left="526"/>
        <w:rPr>
          <w:rFonts w:ascii="宋体" w:hAnsi="宋体" w:eastAsia="宋体" w:cs="宋体"/>
          <w:sz w:val="24"/>
          <w:szCs w:val="24"/>
        </w:rPr>
      </w:pPr>
      <w:r>
        <w:rPr>
          <w:rFonts w:ascii="宋体" w:hAnsi="宋体" w:eastAsia="宋体" w:cs="宋体"/>
          <w:spacing w:val="-4"/>
          <w:sz w:val="24"/>
          <w:szCs w:val="24"/>
        </w:rPr>
        <w:t>向渗透系数为</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4.36</w:t>
      </w:r>
      <w:r>
        <w:rPr>
          <w:rFonts w:ascii="宋体" w:hAnsi="宋体" w:eastAsia="宋体" w:cs="宋体"/>
          <w:spacing w:val="-4"/>
          <w:sz w:val="24"/>
          <w:szCs w:val="24"/>
        </w:rPr>
        <w:t>×</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4"/>
          <w:position w:val="9"/>
          <w:sz w:val="16"/>
          <w:szCs w:val="16"/>
        </w:rPr>
        <w:t>-5</w:t>
      </w:r>
      <w:r>
        <w:rPr>
          <w:rFonts w:ascii="Times New Roman" w:hAnsi="Times New Roman" w:eastAsia="Times New Roman" w:cs="Times New Roman"/>
          <w:spacing w:val="-4"/>
          <w:sz w:val="24"/>
          <w:szCs w:val="24"/>
        </w:rPr>
        <w:t xml:space="preserve">cm/s  </w:t>
      </w:r>
      <w:r>
        <w:rPr>
          <w:rFonts w:ascii="宋体" w:hAnsi="宋体" w:eastAsia="宋体" w:cs="宋体"/>
          <w:spacing w:val="-4"/>
          <w:sz w:val="24"/>
          <w:szCs w:val="24"/>
        </w:rPr>
        <w:t>（</w:t>
      </w:r>
      <w:r>
        <w:rPr>
          <w:rFonts w:ascii="Times New Roman" w:hAnsi="Times New Roman" w:eastAsia="Times New Roman" w:cs="Times New Roman"/>
          <w:spacing w:val="-4"/>
          <w:sz w:val="24"/>
          <w:szCs w:val="24"/>
        </w:rPr>
        <w:t>0.0377m/d</w:t>
      </w:r>
      <w:r>
        <w:rPr>
          <w:rFonts w:ascii="宋体" w:hAnsi="宋体" w:eastAsia="宋体" w:cs="宋体"/>
          <w:spacing w:val="-4"/>
          <w:sz w:val="24"/>
          <w:szCs w:val="24"/>
        </w:rPr>
        <w:t>）。</w:t>
      </w:r>
    </w:p>
    <w:p>
      <w:pPr>
        <w:spacing w:before="85" w:line="212" w:lineRule="auto"/>
        <w:ind w:left="2802"/>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1"/>
          <w:sz w:val="24"/>
          <w:szCs w:val="24"/>
        </w:rPr>
        <w:t xml:space="preserve"> </w:t>
      </w:r>
      <w:r>
        <w:rPr>
          <w:rFonts w:ascii="Times New Roman" w:hAnsi="Times New Roman" w:eastAsia="Times New Roman" w:cs="Times New Roman"/>
          <w:b/>
          <w:bCs/>
          <w:sz w:val="24"/>
          <w:szCs w:val="24"/>
        </w:rPr>
        <w:t xml:space="preserve">2.5-2      </w:t>
      </w:r>
      <w:r>
        <w:rPr>
          <w:rFonts w:ascii="宋体" w:hAnsi="宋体" w:eastAsia="宋体" w:cs="宋体"/>
          <w:sz w:val="24"/>
          <w:szCs w:val="24"/>
          <w14:textOutline w14:w="4354" w14:cap="flat" w14:cmpd="sng">
            <w14:solidFill>
              <w14:srgbClr w14:val="000000"/>
            </w14:solidFill>
            <w14:prstDash w14:val="solid"/>
            <w14:miter w14:val="10"/>
          </w14:textOutline>
        </w:rPr>
        <w:t>双环试坑渗水试</w:t>
      </w:r>
      <w:r>
        <w:rPr>
          <w:rFonts w:ascii="宋体" w:hAnsi="宋体" w:eastAsia="宋体" w:cs="宋体"/>
          <w:spacing w:val="-1"/>
          <w:sz w:val="24"/>
          <w:szCs w:val="24"/>
          <w14:textOutline w14:w="4354" w14:cap="flat" w14:cmpd="sng">
            <w14:solidFill>
              <w14:srgbClr w14:val="000000"/>
            </w14:solidFill>
            <w14:prstDash w14:val="solid"/>
            <w14:miter w14:val="10"/>
          </w14:textOutline>
        </w:rPr>
        <w:t>验计算成果表</w:t>
      </w:r>
    </w:p>
    <w:tbl>
      <w:tblPr>
        <w:tblStyle w:val="5"/>
        <w:tblW w:w="9130" w:type="dxa"/>
        <w:tblInd w:w="3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1666"/>
        <w:gridCol w:w="1940"/>
        <w:gridCol w:w="1574"/>
        <w:gridCol w:w="22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82" w:type="dxa"/>
            <w:vMerge w:val="restart"/>
            <w:tcBorders>
              <w:top w:val="single" w:color="000000" w:sz="10" w:space="0"/>
              <w:left w:val="nil"/>
              <w:bottom w:val="nil"/>
            </w:tcBorders>
            <w:vAlign w:val="top"/>
          </w:tcPr>
          <w:p>
            <w:pPr>
              <w:pStyle w:val="6"/>
              <w:spacing w:before="225" w:line="221" w:lineRule="auto"/>
              <w:ind w:left="645"/>
              <w:rPr>
                <w:sz w:val="21"/>
                <w:szCs w:val="21"/>
              </w:rPr>
            </w:pPr>
            <w:r>
              <w:rPr>
                <w:spacing w:val="-2"/>
                <w:sz w:val="21"/>
                <w:szCs w:val="21"/>
                <w14:textOutline w14:w="3831" w14:cap="flat" w14:cmpd="sng">
                  <w14:solidFill>
                    <w14:srgbClr w14:val="000000"/>
                  </w14:solidFill>
                  <w14:prstDash w14:val="solid"/>
                  <w14:miter w14:val="10"/>
                </w14:textOutline>
              </w:rPr>
              <w:t>编号</w:t>
            </w:r>
          </w:p>
        </w:tc>
        <w:tc>
          <w:tcPr>
            <w:tcW w:w="1666" w:type="dxa"/>
            <w:vMerge w:val="restart"/>
            <w:tcBorders>
              <w:top w:val="single" w:color="000000" w:sz="10" w:space="0"/>
              <w:bottom w:val="nil"/>
            </w:tcBorders>
            <w:vAlign w:val="top"/>
          </w:tcPr>
          <w:p>
            <w:pPr>
              <w:pStyle w:val="6"/>
              <w:spacing w:before="225" w:line="222" w:lineRule="auto"/>
              <w:ind w:left="625"/>
              <w:rPr>
                <w:sz w:val="21"/>
                <w:szCs w:val="21"/>
              </w:rPr>
            </w:pPr>
            <w:r>
              <w:rPr>
                <w:spacing w:val="-2"/>
                <w:sz w:val="21"/>
                <w:szCs w:val="21"/>
                <w14:textOutline w14:w="3831" w14:cap="flat" w14:cmpd="sng">
                  <w14:solidFill>
                    <w14:srgbClr w14:val="000000"/>
                  </w14:solidFill>
                  <w14:prstDash w14:val="solid"/>
                  <w14:miter w14:val="10"/>
                </w14:textOutline>
              </w:rPr>
              <w:t>位置</w:t>
            </w:r>
          </w:p>
        </w:tc>
        <w:tc>
          <w:tcPr>
            <w:tcW w:w="1940" w:type="dxa"/>
            <w:vMerge w:val="restart"/>
            <w:tcBorders>
              <w:top w:val="single" w:color="000000" w:sz="10" w:space="0"/>
              <w:bottom w:val="nil"/>
            </w:tcBorders>
            <w:vAlign w:val="top"/>
          </w:tcPr>
          <w:p>
            <w:pPr>
              <w:pStyle w:val="6"/>
              <w:spacing w:before="225" w:line="221" w:lineRule="auto"/>
              <w:ind w:left="762"/>
              <w:rPr>
                <w:sz w:val="21"/>
                <w:szCs w:val="21"/>
              </w:rPr>
            </w:pPr>
            <w:r>
              <w:rPr>
                <w:spacing w:val="-2"/>
                <w:sz w:val="21"/>
                <w:szCs w:val="21"/>
                <w14:textOutline w14:w="3831" w14:cap="flat" w14:cmpd="sng">
                  <w14:solidFill>
                    <w14:srgbClr w14:val="000000"/>
                  </w14:solidFill>
                  <w14:prstDash w14:val="solid"/>
                  <w14:miter w14:val="10"/>
                </w14:textOutline>
              </w:rPr>
              <w:t>岩性</w:t>
            </w:r>
          </w:p>
        </w:tc>
        <w:tc>
          <w:tcPr>
            <w:tcW w:w="3842" w:type="dxa"/>
            <w:gridSpan w:val="2"/>
            <w:tcBorders>
              <w:top w:val="single" w:color="000000" w:sz="10" w:space="0"/>
              <w:right w:val="nil"/>
            </w:tcBorders>
            <w:vAlign w:val="top"/>
          </w:tcPr>
          <w:p>
            <w:pPr>
              <w:pStyle w:val="6"/>
              <w:spacing w:before="54" w:line="221" w:lineRule="auto"/>
              <w:ind w:left="1398"/>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10"/>
                </w14:textOutline>
              </w:rPr>
              <w:t>渗透系数</w:t>
            </w:r>
            <w:r>
              <w:rPr>
                <w:spacing w:val="-48"/>
                <w:sz w:val="21"/>
                <w:szCs w:val="21"/>
              </w:rPr>
              <w:t xml:space="preserve"> </w:t>
            </w:r>
            <w:r>
              <w:rPr>
                <w:rFonts w:ascii="Times New Roman" w:hAnsi="Times New Roman" w:eastAsia="Times New Roman" w:cs="Times New Roman"/>
                <w:b/>
                <w:bCs/>
                <w:spacing w:val="-1"/>
                <w:sz w:val="21"/>
                <w:szCs w:val="21"/>
              </w:rPr>
              <w:t>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682" w:type="dxa"/>
            <w:vMerge w:val="continue"/>
            <w:tcBorders>
              <w:top w:val="nil"/>
              <w:left w:val="nil"/>
            </w:tcBorders>
            <w:vAlign w:val="top"/>
          </w:tcPr>
          <w:p>
            <w:pPr>
              <w:rPr>
                <w:rFonts w:ascii="Arial"/>
                <w:sz w:val="21"/>
              </w:rPr>
            </w:pPr>
          </w:p>
        </w:tc>
        <w:tc>
          <w:tcPr>
            <w:tcW w:w="1666" w:type="dxa"/>
            <w:vMerge w:val="continue"/>
            <w:tcBorders>
              <w:top w:val="nil"/>
            </w:tcBorders>
            <w:vAlign w:val="top"/>
          </w:tcPr>
          <w:p>
            <w:pPr>
              <w:rPr>
                <w:rFonts w:ascii="Arial"/>
                <w:sz w:val="21"/>
              </w:rPr>
            </w:pPr>
          </w:p>
        </w:tc>
        <w:tc>
          <w:tcPr>
            <w:tcW w:w="1940" w:type="dxa"/>
            <w:vMerge w:val="continue"/>
            <w:tcBorders>
              <w:top w:val="nil"/>
            </w:tcBorders>
            <w:vAlign w:val="top"/>
          </w:tcPr>
          <w:p>
            <w:pPr>
              <w:rPr>
                <w:rFonts w:ascii="Arial"/>
                <w:sz w:val="21"/>
              </w:rPr>
            </w:pPr>
          </w:p>
        </w:tc>
        <w:tc>
          <w:tcPr>
            <w:tcW w:w="1574" w:type="dxa"/>
            <w:vAlign w:val="top"/>
          </w:tcPr>
          <w:p>
            <w:pPr>
              <w:spacing w:before="112" w:line="212" w:lineRule="auto"/>
              <w:ind w:left="61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m/d</w:t>
            </w:r>
          </w:p>
        </w:tc>
        <w:tc>
          <w:tcPr>
            <w:tcW w:w="2268" w:type="dxa"/>
            <w:tcBorders>
              <w:right w:val="nil"/>
            </w:tcBorders>
            <w:vAlign w:val="top"/>
          </w:tcPr>
          <w:p>
            <w:pPr>
              <w:spacing w:before="112" w:line="212" w:lineRule="auto"/>
              <w:ind w:left="93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cm/s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82" w:type="dxa"/>
            <w:tcBorders>
              <w:left w:val="nil"/>
            </w:tcBorders>
            <w:vAlign w:val="top"/>
          </w:tcPr>
          <w:p>
            <w:pPr>
              <w:spacing w:before="93" w:line="187" w:lineRule="auto"/>
              <w:ind w:left="81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66" w:type="dxa"/>
            <w:vAlign w:val="top"/>
          </w:tcPr>
          <w:p>
            <w:pPr>
              <w:pStyle w:val="6"/>
              <w:spacing w:before="54" w:line="221" w:lineRule="auto"/>
              <w:ind w:left="644"/>
              <w:rPr>
                <w:sz w:val="21"/>
                <w:szCs w:val="21"/>
              </w:rPr>
            </w:pPr>
            <w:r>
              <w:rPr>
                <w:spacing w:val="-7"/>
                <w:sz w:val="21"/>
                <w:szCs w:val="21"/>
              </w:rPr>
              <w:t>山顶</w:t>
            </w:r>
          </w:p>
        </w:tc>
        <w:tc>
          <w:tcPr>
            <w:tcW w:w="1940" w:type="dxa"/>
            <w:vAlign w:val="top"/>
          </w:tcPr>
          <w:p>
            <w:pPr>
              <w:pStyle w:val="6"/>
              <w:spacing w:before="54" w:line="221" w:lineRule="auto"/>
              <w:ind w:left="552"/>
              <w:rPr>
                <w:sz w:val="21"/>
                <w:szCs w:val="21"/>
              </w:rPr>
            </w:pPr>
            <w:r>
              <w:rPr>
                <w:spacing w:val="-1"/>
                <w:sz w:val="21"/>
                <w:szCs w:val="21"/>
              </w:rPr>
              <w:t>粉质粘土</w:t>
            </w:r>
          </w:p>
        </w:tc>
        <w:tc>
          <w:tcPr>
            <w:tcW w:w="1574" w:type="dxa"/>
            <w:vAlign w:val="top"/>
          </w:tcPr>
          <w:p>
            <w:pPr>
              <w:spacing w:before="93"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0.0377</w:t>
            </w:r>
          </w:p>
        </w:tc>
        <w:tc>
          <w:tcPr>
            <w:tcW w:w="2268" w:type="dxa"/>
            <w:tcBorders>
              <w:right w:val="nil"/>
            </w:tcBorders>
            <w:vAlign w:val="top"/>
          </w:tcPr>
          <w:p>
            <w:pPr>
              <w:spacing w:before="74" w:line="206" w:lineRule="auto"/>
              <w:ind w:left="728"/>
              <w:rPr>
                <w:rFonts w:ascii="Times New Roman" w:hAnsi="Times New Roman" w:eastAsia="Times New Roman" w:cs="Times New Roman"/>
                <w:sz w:val="13"/>
                <w:szCs w:val="13"/>
              </w:rPr>
            </w:pPr>
            <w:r>
              <w:rPr>
                <w:rFonts w:ascii="Times New Roman" w:hAnsi="Times New Roman" w:eastAsia="Times New Roman" w:cs="Times New Roman"/>
                <w:sz w:val="21"/>
                <w:szCs w:val="21"/>
              </w:rPr>
              <w:t>4.36×10</w:t>
            </w:r>
            <w:r>
              <w:rPr>
                <w:rFonts w:ascii="Times New Roman" w:hAnsi="Times New Roman" w:eastAsia="Times New Roman" w:cs="Times New Roman"/>
                <w:position w:val="6"/>
                <w:sz w:val="13"/>
                <w:szCs w:val="13"/>
              </w:rPr>
              <w:t>-5</w:t>
            </w:r>
          </w:p>
        </w:tc>
      </w:tr>
    </w:tbl>
    <w:p>
      <w:pPr>
        <w:spacing w:before="152" w:line="3750" w:lineRule="exact"/>
        <w:ind w:firstLine="1731"/>
      </w:pPr>
      <w:r>
        <w:rPr>
          <w:position w:val="-75"/>
        </w:rPr>
        <w:drawing>
          <wp:inline distT="0" distB="0" distL="0" distR="0">
            <wp:extent cx="4343400" cy="238125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54"/>
                    <a:stretch>
                      <a:fillRect/>
                    </a:stretch>
                  </pic:blipFill>
                  <pic:spPr>
                    <a:xfrm>
                      <a:off x="0" y="0"/>
                      <a:ext cx="4343400" cy="2381250"/>
                    </a:xfrm>
                    <a:prstGeom prst="rect">
                      <a:avLst/>
                    </a:prstGeom>
                  </pic:spPr>
                </pic:pic>
              </a:graphicData>
            </a:graphic>
          </wp:inline>
        </w:drawing>
      </w:r>
    </w:p>
    <w:p>
      <w:pPr>
        <w:spacing w:before="183" w:line="217" w:lineRule="auto"/>
        <w:ind w:left="3554"/>
        <w:rPr>
          <w:rFonts w:ascii="黑体" w:hAnsi="黑体" w:eastAsia="黑体" w:cs="黑体"/>
          <w:sz w:val="21"/>
          <w:szCs w:val="21"/>
        </w:rPr>
      </w:pPr>
      <w:r>
        <w:rPr>
          <w:rFonts w:ascii="黑体" w:hAnsi="黑体" w:eastAsia="黑体" w:cs="黑体"/>
          <w:spacing w:val="-4"/>
          <w:sz w:val="21"/>
          <w:szCs w:val="21"/>
        </w:rPr>
        <w:t>图</w:t>
      </w:r>
      <w:r>
        <w:rPr>
          <w:rFonts w:ascii="黑体" w:hAnsi="黑体" w:eastAsia="黑体" w:cs="黑体"/>
          <w:spacing w:val="-39"/>
          <w:sz w:val="21"/>
          <w:szCs w:val="21"/>
        </w:rPr>
        <w:t xml:space="preserve"> </w:t>
      </w:r>
      <w:r>
        <w:rPr>
          <w:rFonts w:ascii="Times New Roman" w:hAnsi="Times New Roman" w:eastAsia="Times New Roman" w:cs="Times New Roman"/>
          <w:spacing w:val="-4"/>
          <w:sz w:val="21"/>
          <w:szCs w:val="21"/>
        </w:rPr>
        <w:t>2.5-</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4"/>
          <w:sz w:val="21"/>
          <w:szCs w:val="21"/>
        </w:rPr>
        <w:t xml:space="preserve">1 </w:t>
      </w:r>
      <w:r>
        <w:rPr>
          <w:rFonts w:ascii="黑体" w:hAnsi="黑体" w:eastAsia="黑体" w:cs="黑体"/>
          <w:spacing w:val="-4"/>
          <w:sz w:val="21"/>
          <w:szCs w:val="21"/>
        </w:rPr>
        <w:t>双环渗水试验</w:t>
      </w:r>
      <w:r>
        <w:rPr>
          <w:rFonts w:ascii="黑体" w:hAnsi="黑体" w:eastAsia="黑体" w:cs="黑体"/>
          <w:spacing w:val="-45"/>
          <w:sz w:val="21"/>
          <w:szCs w:val="21"/>
        </w:rPr>
        <w:t xml:space="preserve"> </w:t>
      </w:r>
      <w:r>
        <w:rPr>
          <w:rFonts w:ascii="Times New Roman" w:hAnsi="Times New Roman" w:eastAsia="Times New Roman" w:cs="Times New Roman"/>
          <w:spacing w:val="-4"/>
          <w:sz w:val="21"/>
          <w:szCs w:val="21"/>
        </w:rPr>
        <w:t>Q-t</w:t>
      </w:r>
      <w:r>
        <w:rPr>
          <w:rFonts w:ascii="Times New Roman" w:hAnsi="Times New Roman" w:eastAsia="Times New Roman" w:cs="Times New Roman"/>
          <w:spacing w:val="16"/>
          <w:sz w:val="21"/>
          <w:szCs w:val="21"/>
        </w:rPr>
        <w:t xml:space="preserve"> </w:t>
      </w:r>
      <w:r>
        <w:rPr>
          <w:rFonts w:ascii="黑体" w:hAnsi="黑体" w:eastAsia="黑体" w:cs="黑体"/>
          <w:spacing w:val="-4"/>
          <w:sz w:val="21"/>
          <w:szCs w:val="21"/>
        </w:rPr>
        <w:t>曲线</w:t>
      </w:r>
    </w:p>
    <w:p>
      <w:pPr>
        <w:pStyle w:val="2"/>
        <w:spacing w:line="437" w:lineRule="auto"/>
        <w:rPr>
          <w:sz w:val="21"/>
        </w:rPr>
      </w:pPr>
    </w:p>
    <w:p>
      <w:pPr>
        <w:spacing w:before="102" w:line="225" w:lineRule="auto"/>
        <w:ind w:left="500"/>
        <w:rPr>
          <w:rFonts w:ascii="宋体" w:hAnsi="宋体" w:eastAsia="宋体" w:cs="宋体"/>
          <w:sz w:val="31"/>
          <w:szCs w:val="31"/>
        </w:rPr>
      </w:pPr>
      <w:bookmarkStart w:id="13" w:name="bookmark14"/>
      <w:bookmarkEnd w:id="13"/>
      <w:r>
        <w:rPr>
          <w:rFonts w:ascii="Times New Roman" w:hAnsi="Times New Roman" w:eastAsia="Times New Roman" w:cs="Times New Roman"/>
          <w:b/>
          <w:bCs/>
          <w:spacing w:val="7"/>
          <w:sz w:val="31"/>
          <w:szCs w:val="31"/>
        </w:rPr>
        <w:t xml:space="preserve">2.6 </w:t>
      </w:r>
      <w:r>
        <w:rPr>
          <w:rFonts w:ascii="宋体" w:hAnsi="宋体" w:eastAsia="宋体" w:cs="宋体"/>
          <w:spacing w:val="7"/>
          <w:sz w:val="31"/>
          <w:szCs w:val="31"/>
          <w14:textOutline w14:w="5791" w14:cap="flat" w14:cmpd="sng">
            <w14:solidFill>
              <w14:srgbClr w14:val="000000"/>
            </w14:solidFill>
            <w14:prstDash w14:val="solid"/>
            <w14:miter w14:val="10"/>
          </w14:textOutline>
        </w:rPr>
        <w:t>环境水文地质条件</w:t>
      </w:r>
    </w:p>
    <w:p>
      <w:pPr>
        <w:pStyle w:val="2"/>
        <w:spacing w:line="292" w:lineRule="auto"/>
        <w:rPr>
          <w:sz w:val="21"/>
        </w:rPr>
      </w:pPr>
    </w:p>
    <w:p>
      <w:pPr>
        <w:spacing w:before="91" w:line="234" w:lineRule="auto"/>
        <w:ind w:left="499"/>
        <w:rPr>
          <w:rFonts w:ascii="宋体" w:hAnsi="宋体" w:eastAsia="宋体" w:cs="宋体"/>
          <w:sz w:val="28"/>
          <w:szCs w:val="28"/>
        </w:rPr>
      </w:pPr>
      <w:r>
        <w:rPr>
          <w:rFonts w:ascii="Times New Roman" w:hAnsi="Times New Roman" w:eastAsia="Times New Roman" w:cs="Times New Roman"/>
          <w:b/>
          <w:bCs/>
          <w:sz w:val="28"/>
          <w:szCs w:val="28"/>
        </w:rPr>
        <w:t xml:space="preserve">2.6.1  </w:t>
      </w:r>
      <w:r>
        <w:rPr>
          <w:rFonts w:ascii="宋体" w:hAnsi="宋体" w:eastAsia="宋体" w:cs="宋体"/>
          <w:sz w:val="28"/>
          <w:szCs w:val="28"/>
          <w14:textOutline w14:w="5094" w14:cap="flat" w14:cmpd="sng">
            <w14:solidFill>
              <w14:srgbClr w14:val="000000"/>
            </w14:solidFill>
            <w14:prstDash w14:val="solid"/>
            <w14:miter w14:val="10"/>
          </w14:textOutline>
        </w:rPr>
        <w:t>原生环境水文地质条件</w:t>
      </w:r>
    </w:p>
    <w:p>
      <w:pPr>
        <w:pStyle w:val="2"/>
        <w:spacing w:line="253" w:lineRule="auto"/>
        <w:rPr>
          <w:sz w:val="21"/>
        </w:rPr>
      </w:pPr>
    </w:p>
    <w:p>
      <w:pPr>
        <w:spacing w:before="78" w:line="468" w:lineRule="exact"/>
        <w:ind w:left="981"/>
        <w:rPr>
          <w:rFonts w:ascii="宋体" w:hAnsi="宋体" w:eastAsia="宋体" w:cs="宋体"/>
          <w:sz w:val="24"/>
          <w:szCs w:val="24"/>
        </w:rPr>
      </w:pPr>
      <w:r>
        <w:rPr>
          <w:rFonts w:ascii="宋体" w:hAnsi="宋体" w:eastAsia="宋体" w:cs="宋体"/>
          <w:position w:val="17"/>
          <w:sz w:val="24"/>
          <w:szCs w:val="24"/>
        </w:rPr>
        <w:t>通过区域水文地质调查资料分析和现场调查，评价区内无天然劣质水以及由此引</w:t>
      </w:r>
    </w:p>
    <w:p>
      <w:pPr>
        <w:spacing w:before="1" w:line="219" w:lineRule="auto"/>
        <w:ind w:left="505"/>
        <w:rPr>
          <w:rFonts w:ascii="宋体" w:hAnsi="宋体" w:eastAsia="宋体" w:cs="宋体"/>
          <w:sz w:val="24"/>
          <w:szCs w:val="24"/>
        </w:rPr>
      </w:pPr>
      <w:r>
        <w:rPr>
          <w:rFonts w:ascii="宋体" w:hAnsi="宋体" w:eastAsia="宋体" w:cs="宋体"/>
          <w:spacing w:val="-3"/>
          <w:sz w:val="24"/>
          <w:szCs w:val="24"/>
        </w:rPr>
        <w:t>发的地方性疾病等原生环境水文地质问题。</w:t>
      </w:r>
    </w:p>
    <w:p>
      <w:pPr>
        <w:pStyle w:val="2"/>
        <w:spacing w:line="266" w:lineRule="auto"/>
        <w:rPr>
          <w:sz w:val="21"/>
        </w:rPr>
      </w:pPr>
    </w:p>
    <w:p>
      <w:pPr>
        <w:spacing w:before="91" w:line="234" w:lineRule="auto"/>
        <w:ind w:left="499"/>
        <w:rPr>
          <w:rFonts w:ascii="宋体" w:hAnsi="宋体" w:eastAsia="宋体" w:cs="宋体"/>
          <w:sz w:val="28"/>
          <w:szCs w:val="28"/>
        </w:rPr>
      </w:pPr>
      <w:r>
        <w:rPr>
          <w:rFonts w:ascii="Times New Roman" w:hAnsi="Times New Roman" w:eastAsia="Times New Roman" w:cs="Times New Roman"/>
          <w:b/>
          <w:bCs/>
          <w:sz w:val="28"/>
          <w:szCs w:val="28"/>
        </w:rPr>
        <w:t xml:space="preserve">2.6.2  </w:t>
      </w:r>
      <w:r>
        <w:rPr>
          <w:rFonts w:ascii="宋体" w:hAnsi="宋体" w:eastAsia="宋体" w:cs="宋体"/>
          <w:sz w:val="28"/>
          <w:szCs w:val="28"/>
          <w14:textOutline w14:w="5094" w14:cap="flat" w14:cmpd="sng">
            <w14:solidFill>
              <w14:srgbClr w14:val="000000"/>
            </w14:solidFill>
            <w14:prstDash w14:val="solid"/>
            <w14:miter w14:val="10"/>
          </w14:textOutline>
        </w:rPr>
        <w:t>地下水污染源现状</w:t>
      </w:r>
    </w:p>
    <w:p>
      <w:pPr>
        <w:pStyle w:val="2"/>
        <w:spacing w:line="253" w:lineRule="auto"/>
        <w:rPr>
          <w:sz w:val="21"/>
        </w:rPr>
      </w:pPr>
    </w:p>
    <w:p>
      <w:pPr>
        <w:spacing w:before="79" w:line="468" w:lineRule="exact"/>
        <w:ind w:left="981"/>
        <w:rPr>
          <w:rFonts w:ascii="宋体" w:hAnsi="宋体" w:eastAsia="宋体" w:cs="宋体"/>
          <w:sz w:val="24"/>
          <w:szCs w:val="24"/>
        </w:rPr>
      </w:pPr>
      <w:r>
        <w:rPr>
          <w:rFonts w:ascii="宋体" w:hAnsi="宋体" w:eastAsia="宋体" w:cs="宋体"/>
          <w:spacing w:val="-3"/>
          <w:position w:val="17"/>
          <w:sz w:val="24"/>
          <w:szCs w:val="24"/>
        </w:rPr>
        <w:t>根据调查， 评价范围内没有工业企业，不存在工业污染源，也未有石油类</w:t>
      </w:r>
      <w:r>
        <w:rPr>
          <w:rFonts w:ascii="宋体" w:hAnsi="宋体" w:eastAsia="宋体" w:cs="宋体"/>
          <w:spacing w:val="-4"/>
          <w:position w:val="17"/>
          <w:sz w:val="24"/>
          <w:szCs w:val="24"/>
        </w:rPr>
        <w:t>企业，</w:t>
      </w:r>
    </w:p>
    <w:p>
      <w:pPr>
        <w:spacing w:line="219" w:lineRule="auto"/>
        <w:ind w:left="505"/>
        <w:rPr>
          <w:rFonts w:ascii="宋体" w:hAnsi="宋体" w:eastAsia="宋体" w:cs="宋体"/>
          <w:sz w:val="24"/>
          <w:szCs w:val="24"/>
        </w:rPr>
      </w:pPr>
      <w:r>
        <w:rPr>
          <w:rFonts w:ascii="宋体" w:hAnsi="宋体" w:eastAsia="宋体" w:cs="宋体"/>
          <w:spacing w:val="-5"/>
          <w:sz w:val="24"/>
          <w:szCs w:val="24"/>
        </w:rPr>
        <w:t>不存在石油类污染源。</w:t>
      </w:r>
    </w:p>
    <w:p>
      <w:pPr>
        <w:spacing w:before="184" w:line="468" w:lineRule="exact"/>
        <w:ind w:left="980"/>
        <w:rPr>
          <w:rFonts w:ascii="宋体" w:hAnsi="宋体" w:eastAsia="宋体" w:cs="宋体"/>
          <w:sz w:val="24"/>
          <w:szCs w:val="24"/>
        </w:rPr>
      </w:pPr>
      <w:r>
        <w:rPr>
          <w:rFonts w:ascii="宋体" w:hAnsi="宋体" w:eastAsia="宋体" w:cs="宋体"/>
          <w:spacing w:val="-7"/>
          <w:position w:val="17"/>
          <w:sz w:val="24"/>
          <w:szCs w:val="24"/>
        </w:rPr>
        <w:t>评价范围内有可能对地下水水质造成污染影响的行为是： 当地居民生活污水排放、</w:t>
      </w:r>
    </w:p>
    <w:p>
      <w:pPr>
        <w:spacing w:line="219" w:lineRule="auto"/>
        <w:ind w:left="503"/>
        <w:rPr>
          <w:rFonts w:ascii="宋体" w:hAnsi="宋体" w:eastAsia="宋体" w:cs="宋体"/>
          <w:sz w:val="24"/>
          <w:szCs w:val="24"/>
        </w:rPr>
      </w:pPr>
      <w:r>
        <w:rPr>
          <w:rFonts w:ascii="宋体" w:hAnsi="宋体" w:eastAsia="宋体" w:cs="宋体"/>
          <w:spacing w:val="-3"/>
          <w:sz w:val="24"/>
          <w:szCs w:val="24"/>
        </w:rPr>
        <w:t>生活垃圾露天堆放、农田灌溉、牲畜养殖。</w:t>
      </w:r>
    </w:p>
    <w:p>
      <w:pPr>
        <w:spacing w:before="101" w:line="212" w:lineRule="auto"/>
        <w:ind w:left="2562"/>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2"/>
          <w:sz w:val="24"/>
          <w:szCs w:val="24"/>
        </w:rPr>
        <w:t xml:space="preserve"> </w:t>
      </w:r>
      <w:r>
        <w:rPr>
          <w:rFonts w:ascii="Times New Roman" w:hAnsi="Times New Roman" w:eastAsia="Times New Roman" w:cs="Times New Roman"/>
          <w:b/>
          <w:bCs/>
          <w:sz w:val="24"/>
          <w:szCs w:val="24"/>
        </w:rPr>
        <w:t xml:space="preserve">2.6-1      </w:t>
      </w:r>
      <w:r>
        <w:rPr>
          <w:rFonts w:ascii="宋体" w:hAnsi="宋体" w:eastAsia="宋体" w:cs="宋体"/>
          <w:sz w:val="24"/>
          <w:szCs w:val="24"/>
          <w14:textOutline w14:w="4354" w14:cap="flat" w14:cmpd="sng">
            <w14:solidFill>
              <w14:srgbClr w14:val="000000"/>
            </w14:solidFill>
            <w14:prstDash w14:val="solid"/>
            <w14:miter w14:val="10"/>
          </w14:textOutline>
        </w:rPr>
        <w:t>可能的地下水污染活动及污</w:t>
      </w:r>
      <w:r>
        <w:rPr>
          <w:rFonts w:ascii="宋体" w:hAnsi="宋体" w:eastAsia="宋体" w:cs="宋体"/>
          <w:spacing w:val="-1"/>
          <w:sz w:val="24"/>
          <w:szCs w:val="24"/>
          <w14:textOutline w14:w="4354" w14:cap="flat" w14:cmpd="sng">
            <w14:solidFill>
              <w14:srgbClr w14:val="000000"/>
            </w14:solidFill>
            <w14:prstDash w14:val="solid"/>
            <w14:miter w14:val="10"/>
          </w14:textOutline>
        </w:rPr>
        <w:t>染途径</w:t>
      </w:r>
    </w:p>
    <w:tbl>
      <w:tblPr>
        <w:tblStyle w:val="5"/>
        <w:tblW w:w="98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2"/>
        <w:gridCol w:w="7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762" w:type="dxa"/>
            <w:tcBorders>
              <w:top w:val="single" w:color="000000" w:sz="10" w:space="0"/>
              <w:left w:val="nil"/>
            </w:tcBorders>
            <w:vAlign w:val="top"/>
          </w:tcPr>
          <w:p>
            <w:pPr>
              <w:pStyle w:val="6"/>
              <w:spacing w:before="57" w:line="217" w:lineRule="auto"/>
              <w:ind w:left="344"/>
              <w:rPr>
                <w:sz w:val="21"/>
                <w:szCs w:val="21"/>
              </w:rPr>
            </w:pPr>
            <w:r>
              <w:rPr>
                <w:sz w:val="21"/>
                <w:szCs w:val="21"/>
                <w14:textOutline w14:w="3831" w14:cap="flat" w14:cmpd="sng">
                  <w14:solidFill>
                    <w14:srgbClr w14:val="000000"/>
                  </w14:solidFill>
                  <w14:prstDash w14:val="solid"/>
                  <w14:miter w14:val="10"/>
                </w14:textOutline>
              </w:rPr>
              <w:t>可能的地下水污染活动</w:t>
            </w:r>
          </w:p>
        </w:tc>
        <w:tc>
          <w:tcPr>
            <w:tcW w:w="7108" w:type="dxa"/>
            <w:tcBorders>
              <w:top w:val="single" w:color="000000" w:sz="10" w:space="0"/>
              <w:right w:val="nil"/>
            </w:tcBorders>
            <w:vAlign w:val="top"/>
          </w:tcPr>
          <w:p>
            <w:pPr>
              <w:pStyle w:val="6"/>
              <w:spacing w:before="57" w:line="217" w:lineRule="auto"/>
              <w:ind w:left="3138"/>
              <w:rPr>
                <w:sz w:val="21"/>
                <w:szCs w:val="21"/>
              </w:rPr>
            </w:pPr>
            <w:r>
              <w:rPr>
                <w:spacing w:val="-1"/>
                <w:sz w:val="21"/>
                <w:szCs w:val="21"/>
                <w14:textOutline w14:w="3831" w14:cap="flat" w14:cmpd="sng">
                  <w14:solidFill>
                    <w14:srgbClr w14:val="000000"/>
                  </w14:solidFill>
                  <w14:prstDash w14:val="solid"/>
                  <w14:miter w14:val="10"/>
                </w14:textOutline>
              </w:rPr>
              <w:t>污染途径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762" w:type="dxa"/>
            <w:tcBorders>
              <w:left w:val="nil"/>
            </w:tcBorders>
            <w:vAlign w:val="top"/>
          </w:tcPr>
          <w:p>
            <w:pPr>
              <w:pStyle w:val="6"/>
              <w:spacing w:before="60" w:line="210" w:lineRule="auto"/>
              <w:ind w:left="768"/>
              <w:rPr>
                <w:sz w:val="21"/>
                <w:szCs w:val="21"/>
              </w:rPr>
            </w:pPr>
            <w:r>
              <w:rPr>
                <w:spacing w:val="-2"/>
                <w:sz w:val="21"/>
                <w:szCs w:val="21"/>
              </w:rPr>
              <w:t>生活污水排放</w:t>
            </w:r>
          </w:p>
        </w:tc>
        <w:tc>
          <w:tcPr>
            <w:tcW w:w="7108" w:type="dxa"/>
            <w:tcBorders>
              <w:right w:val="nil"/>
            </w:tcBorders>
            <w:vAlign w:val="top"/>
          </w:tcPr>
          <w:p>
            <w:pPr>
              <w:pStyle w:val="6"/>
              <w:spacing w:before="60" w:line="210" w:lineRule="auto"/>
              <w:ind w:left="618"/>
              <w:rPr>
                <w:sz w:val="21"/>
                <w:szCs w:val="21"/>
              </w:rPr>
            </w:pPr>
            <w:r>
              <w:rPr>
                <w:spacing w:val="-7"/>
                <w:sz w:val="21"/>
                <w:szCs w:val="21"/>
              </w:rPr>
              <w:t>生活污水未加收集， 各家各户就近倾倒，</w:t>
            </w:r>
            <w:r>
              <w:rPr>
                <w:spacing w:val="-12"/>
                <w:sz w:val="21"/>
                <w:szCs w:val="21"/>
              </w:rPr>
              <w:t xml:space="preserve"> </w:t>
            </w:r>
            <w:r>
              <w:rPr>
                <w:spacing w:val="-7"/>
                <w:sz w:val="21"/>
                <w:szCs w:val="21"/>
              </w:rPr>
              <w:t>污水渗入土壤和地下水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762" w:type="dxa"/>
            <w:tcBorders>
              <w:left w:val="nil"/>
              <w:bottom w:val="single" w:color="000000" w:sz="10" w:space="0"/>
            </w:tcBorders>
            <w:vAlign w:val="top"/>
          </w:tcPr>
          <w:p>
            <w:pPr>
              <w:pStyle w:val="6"/>
              <w:spacing w:before="68" w:line="221" w:lineRule="auto"/>
              <w:ind w:left="557"/>
              <w:rPr>
                <w:sz w:val="21"/>
                <w:szCs w:val="21"/>
              </w:rPr>
            </w:pPr>
            <w:r>
              <w:rPr>
                <w:spacing w:val="-1"/>
                <w:sz w:val="21"/>
                <w:szCs w:val="21"/>
              </w:rPr>
              <w:t>生活垃圾露天堆放</w:t>
            </w:r>
          </w:p>
        </w:tc>
        <w:tc>
          <w:tcPr>
            <w:tcW w:w="7108" w:type="dxa"/>
            <w:tcBorders>
              <w:bottom w:val="single" w:color="000000" w:sz="10" w:space="0"/>
              <w:right w:val="nil"/>
            </w:tcBorders>
            <w:vAlign w:val="top"/>
          </w:tcPr>
          <w:p>
            <w:pPr>
              <w:pStyle w:val="6"/>
              <w:spacing w:before="67" w:line="221" w:lineRule="auto"/>
              <w:ind w:left="115"/>
              <w:rPr>
                <w:sz w:val="21"/>
                <w:szCs w:val="21"/>
              </w:rPr>
            </w:pPr>
            <w:r>
              <w:rPr>
                <w:spacing w:val="-2"/>
                <w:sz w:val="21"/>
                <w:szCs w:val="21"/>
              </w:rPr>
              <w:t>没有生活垃圾集中收运点，生活垃圾零散露天堆放，垃圾渗滤液自然渗漏或</w:t>
            </w:r>
          </w:p>
        </w:tc>
      </w:tr>
    </w:tbl>
    <w:p>
      <w:pPr>
        <w:pStyle w:val="2"/>
        <w:rPr>
          <w:sz w:val="21"/>
        </w:rPr>
      </w:pPr>
    </w:p>
    <w:p>
      <w:pPr>
        <w:rPr>
          <w:sz w:val="21"/>
          <w:szCs w:val="21"/>
        </w:rPr>
        <w:sectPr>
          <w:footerReference r:id="rId173" w:type="default"/>
          <w:pgSz w:w="11907" w:h="16839"/>
          <w:pgMar w:top="400" w:right="939" w:bottom="879" w:left="1096" w:header="0" w:footer="717" w:gutter="0"/>
          <w:cols w:space="720" w:num="1"/>
        </w:sectPr>
      </w:pPr>
    </w:p>
    <w:p>
      <w:pPr>
        <w:spacing w:before="19"/>
      </w:pPr>
    </w:p>
    <w:p>
      <w:pPr>
        <w:spacing w:before="19"/>
      </w:pPr>
    </w:p>
    <w:p>
      <w:pPr>
        <w:spacing w:before="18"/>
      </w:pPr>
    </w:p>
    <w:p>
      <w:pPr>
        <w:spacing w:before="18"/>
      </w:pPr>
    </w:p>
    <w:tbl>
      <w:tblPr>
        <w:tblStyle w:val="5"/>
        <w:tblW w:w="98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2"/>
        <w:gridCol w:w="7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762" w:type="dxa"/>
            <w:tcBorders>
              <w:top w:val="single" w:color="000000" w:sz="10" w:space="0"/>
              <w:left w:val="nil"/>
            </w:tcBorders>
            <w:vAlign w:val="top"/>
          </w:tcPr>
          <w:p>
            <w:pPr>
              <w:rPr>
                <w:rFonts w:ascii="Arial"/>
                <w:sz w:val="21"/>
              </w:rPr>
            </w:pPr>
          </w:p>
        </w:tc>
        <w:tc>
          <w:tcPr>
            <w:tcW w:w="7108" w:type="dxa"/>
            <w:tcBorders>
              <w:top w:val="single" w:color="000000" w:sz="10" w:space="0"/>
              <w:right w:val="nil"/>
            </w:tcBorders>
            <w:vAlign w:val="top"/>
          </w:tcPr>
          <w:p>
            <w:pPr>
              <w:pStyle w:val="6"/>
              <w:spacing w:before="57" w:line="215" w:lineRule="auto"/>
              <w:ind w:left="2089"/>
              <w:rPr>
                <w:sz w:val="21"/>
                <w:szCs w:val="21"/>
              </w:rPr>
            </w:pPr>
            <w:r>
              <w:rPr>
                <w:spacing w:val="-1"/>
                <w:sz w:val="21"/>
                <w:szCs w:val="21"/>
              </w:rPr>
              <w:t>受到雨水淋滤渗入土壤和地下水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762" w:type="dxa"/>
            <w:tcBorders>
              <w:left w:val="nil"/>
            </w:tcBorders>
            <w:vAlign w:val="top"/>
          </w:tcPr>
          <w:p>
            <w:pPr>
              <w:pStyle w:val="6"/>
              <w:spacing w:before="62" w:line="210" w:lineRule="auto"/>
              <w:ind w:left="975"/>
              <w:rPr>
                <w:sz w:val="21"/>
                <w:szCs w:val="21"/>
              </w:rPr>
            </w:pPr>
            <w:r>
              <w:rPr>
                <w:spacing w:val="-2"/>
                <w:sz w:val="21"/>
                <w:szCs w:val="21"/>
              </w:rPr>
              <w:t>农田灌溉</w:t>
            </w:r>
          </w:p>
        </w:tc>
        <w:tc>
          <w:tcPr>
            <w:tcW w:w="7108" w:type="dxa"/>
            <w:tcBorders>
              <w:right w:val="nil"/>
            </w:tcBorders>
            <w:vAlign w:val="top"/>
          </w:tcPr>
          <w:p>
            <w:pPr>
              <w:pStyle w:val="6"/>
              <w:spacing w:before="62" w:line="210" w:lineRule="auto"/>
              <w:ind w:left="2410"/>
              <w:rPr>
                <w:sz w:val="21"/>
                <w:szCs w:val="21"/>
              </w:rPr>
            </w:pPr>
            <w:r>
              <w:rPr>
                <w:spacing w:val="-10"/>
                <w:sz w:val="21"/>
                <w:szCs w:val="21"/>
              </w:rPr>
              <w:t>喷洒农药， 导致面源污染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762" w:type="dxa"/>
            <w:tcBorders>
              <w:left w:val="nil"/>
              <w:bottom w:val="single" w:color="000000" w:sz="10" w:space="0"/>
            </w:tcBorders>
            <w:vAlign w:val="top"/>
          </w:tcPr>
          <w:p>
            <w:pPr>
              <w:pStyle w:val="6"/>
              <w:spacing w:before="67" w:line="221" w:lineRule="auto"/>
              <w:ind w:left="989"/>
              <w:rPr>
                <w:sz w:val="21"/>
                <w:szCs w:val="21"/>
              </w:rPr>
            </w:pPr>
            <w:r>
              <w:rPr>
                <w:spacing w:val="-5"/>
                <w:sz w:val="21"/>
                <w:szCs w:val="21"/>
              </w:rPr>
              <w:t>畜禽养殖</w:t>
            </w:r>
          </w:p>
        </w:tc>
        <w:tc>
          <w:tcPr>
            <w:tcW w:w="7108" w:type="dxa"/>
            <w:tcBorders>
              <w:bottom w:val="single" w:color="000000" w:sz="10" w:space="0"/>
              <w:right w:val="nil"/>
            </w:tcBorders>
            <w:vAlign w:val="top"/>
          </w:tcPr>
          <w:p>
            <w:pPr>
              <w:pStyle w:val="6"/>
              <w:spacing w:before="67" w:line="221" w:lineRule="auto"/>
              <w:ind w:left="418"/>
              <w:rPr>
                <w:sz w:val="21"/>
                <w:szCs w:val="21"/>
              </w:rPr>
            </w:pPr>
            <w:r>
              <w:rPr>
                <w:spacing w:val="-4"/>
                <w:sz w:val="21"/>
                <w:szCs w:val="21"/>
              </w:rPr>
              <w:t>畜禽排泄物渗入土壤和地下水， 尤其是地面未硬化、露天养殖的情形</w:t>
            </w:r>
          </w:p>
        </w:tc>
      </w:tr>
    </w:tbl>
    <w:p>
      <w:pPr>
        <w:pStyle w:val="2"/>
        <w:spacing w:line="443" w:lineRule="auto"/>
        <w:rPr>
          <w:sz w:val="21"/>
        </w:rPr>
      </w:pPr>
    </w:p>
    <w:p>
      <w:pPr>
        <w:spacing w:before="100" w:line="225" w:lineRule="auto"/>
        <w:ind w:left="500"/>
        <w:rPr>
          <w:rFonts w:ascii="宋体" w:hAnsi="宋体" w:eastAsia="宋体" w:cs="宋体"/>
          <w:sz w:val="31"/>
          <w:szCs w:val="31"/>
        </w:rPr>
      </w:pPr>
      <w:bookmarkStart w:id="14" w:name="bookmark15"/>
      <w:bookmarkEnd w:id="14"/>
      <w:r>
        <w:rPr>
          <w:rFonts w:ascii="Times New Roman" w:hAnsi="Times New Roman" w:eastAsia="Times New Roman" w:cs="Times New Roman"/>
          <w:b/>
          <w:bCs/>
          <w:spacing w:val="8"/>
          <w:sz w:val="31"/>
          <w:szCs w:val="31"/>
        </w:rPr>
        <w:t xml:space="preserve">2.7 </w:t>
      </w:r>
      <w:r>
        <w:rPr>
          <w:rFonts w:ascii="宋体" w:hAnsi="宋体" w:eastAsia="宋体" w:cs="宋体"/>
          <w:spacing w:val="8"/>
          <w:sz w:val="31"/>
          <w:szCs w:val="31"/>
          <w14:textOutline w14:w="5791" w14:cap="flat" w14:cmpd="sng">
            <w14:solidFill>
              <w14:srgbClr w14:val="000000"/>
            </w14:solidFill>
            <w14:prstDash w14:val="solid"/>
            <w14:miter w14:val="10"/>
          </w14:textOutline>
        </w:rPr>
        <w:t>地下水环境质量现状</w:t>
      </w:r>
    </w:p>
    <w:p>
      <w:pPr>
        <w:pStyle w:val="2"/>
        <w:spacing w:line="284" w:lineRule="auto"/>
        <w:rPr>
          <w:sz w:val="21"/>
        </w:rPr>
      </w:pPr>
    </w:p>
    <w:p>
      <w:pPr>
        <w:spacing w:before="78" w:line="338" w:lineRule="auto"/>
        <w:ind w:left="502" w:right="364" w:firstLine="481"/>
        <w:rPr>
          <w:rFonts w:ascii="宋体" w:hAnsi="宋体" w:eastAsia="宋体" w:cs="宋体"/>
          <w:sz w:val="24"/>
          <w:szCs w:val="24"/>
        </w:rPr>
      </w:pPr>
      <w:r>
        <w:rPr>
          <w:rFonts w:ascii="宋体" w:hAnsi="宋体" w:eastAsia="宋体" w:cs="宋体"/>
          <w:spacing w:val="-3"/>
          <w:sz w:val="24"/>
          <w:szCs w:val="24"/>
        </w:rPr>
        <w:t>为了解项目所在区域地下水环境质量现状， 本次评价对项目</w:t>
      </w:r>
      <w:r>
        <w:rPr>
          <w:rFonts w:ascii="宋体" w:hAnsi="宋体" w:eastAsia="宋体" w:cs="宋体"/>
          <w:spacing w:val="-4"/>
          <w:sz w:val="24"/>
          <w:szCs w:val="24"/>
        </w:rPr>
        <w:t>临时占地周边地下水</w:t>
      </w:r>
      <w:r>
        <w:rPr>
          <w:rFonts w:ascii="宋体" w:hAnsi="宋体" w:eastAsia="宋体" w:cs="宋体"/>
          <w:sz w:val="24"/>
          <w:szCs w:val="24"/>
        </w:rPr>
        <w:t xml:space="preserve">  </w:t>
      </w:r>
      <w:r>
        <w:rPr>
          <w:rFonts w:ascii="宋体" w:hAnsi="宋体" w:eastAsia="宋体" w:cs="宋体"/>
          <w:spacing w:val="-1"/>
          <w:sz w:val="24"/>
          <w:szCs w:val="24"/>
        </w:rPr>
        <w:t>水质进行了实测，在井场上下游及侧向共设置</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个地下水水质监测点，水质监测点均</w:t>
      </w:r>
      <w:r>
        <w:rPr>
          <w:rFonts w:ascii="宋体" w:hAnsi="宋体" w:eastAsia="宋体" w:cs="宋体"/>
          <w:sz w:val="24"/>
          <w:szCs w:val="24"/>
        </w:rPr>
        <w:t xml:space="preserve">  </w:t>
      </w:r>
      <w:r>
        <w:rPr>
          <w:rFonts w:ascii="宋体" w:hAnsi="宋体" w:eastAsia="宋体" w:cs="宋体"/>
          <w:spacing w:val="-5"/>
          <w:sz w:val="24"/>
          <w:szCs w:val="24"/>
        </w:rPr>
        <w:t>依托周边农户泉水（饮用水）采样。</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WX1-WX5</w:t>
      </w:r>
      <w:r>
        <w:rPr>
          <w:rFonts w:ascii="Times New Roman" w:hAnsi="Times New Roman" w:eastAsia="Times New Roman" w:cs="Times New Roman"/>
          <w:spacing w:val="52"/>
          <w:sz w:val="24"/>
          <w:szCs w:val="24"/>
        </w:rPr>
        <w:t xml:space="preserve"> </w:t>
      </w:r>
      <w:r>
        <w:rPr>
          <w:rFonts w:ascii="宋体" w:hAnsi="宋体" w:eastAsia="宋体" w:cs="宋体"/>
          <w:spacing w:val="-5"/>
          <w:sz w:val="24"/>
          <w:szCs w:val="24"/>
        </w:rPr>
        <w:t>监测点水质情况能较好反映项目所在</w:t>
      </w:r>
      <w:r>
        <w:rPr>
          <w:rFonts w:ascii="宋体" w:hAnsi="宋体" w:eastAsia="宋体" w:cs="宋体"/>
          <w:sz w:val="24"/>
          <w:szCs w:val="24"/>
        </w:rPr>
        <w:t xml:space="preserve">  </w:t>
      </w:r>
      <w:r>
        <w:rPr>
          <w:rFonts w:ascii="宋体" w:hAnsi="宋体" w:eastAsia="宋体" w:cs="宋体"/>
          <w:spacing w:val="1"/>
          <w:sz w:val="24"/>
          <w:szCs w:val="24"/>
        </w:rPr>
        <w:t>水文地质单元内地下水质量现状，各监测点位具</w:t>
      </w:r>
      <w:r>
        <w:rPr>
          <w:rFonts w:ascii="宋体" w:hAnsi="宋体" w:eastAsia="宋体" w:cs="宋体"/>
          <w:sz w:val="24"/>
          <w:szCs w:val="24"/>
        </w:rPr>
        <w:t xml:space="preserve">有区域地下水水质水位情况代表性。 </w:t>
      </w:r>
      <w:r>
        <w:rPr>
          <w:rFonts w:ascii="宋体" w:hAnsi="宋体" w:eastAsia="宋体" w:cs="宋体"/>
          <w:spacing w:val="-3"/>
          <w:sz w:val="24"/>
          <w:szCs w:val="24"/>
        </w:rPr>
        <w:t>监测数据表明，阳离子以钙离子为主，阴离子以碳酸氢根离子为主， 地下</w:t>
      </w:r>
      <w:r>
        <w:rPr>
          <w:rFonts w:ascii="宋体" w:hAnsi="宋体" w:eastAsia="宋体" w:cs="宋体"/>
          <w:spacing w:val="-4"/>
          <w:sz w:val="24"/>
          <w:szCs w:val="24"/>
        </w:rPr>
        <w:t>水化学类型</w:t>
      </w:r>
      <w:r>
        <w:rPr>
          <w:rFonts w:ascii="宋体" w:hAnsi="宋体" w:eastAsia="宋体" w:cs="宋体"/>
          <w:sz w:val="24"/>
          <w:szCs w:val="24"/>
        </w:rPr>
        <w:t xml:space="preserve">  </w:t>
      </w:r>
      <w:r>
        <w:rPr>
          <w:rFonts w:ascii="宋体" w:hAnsi="宋体" w:eastAsia="宋体" w:cs="宋体"/>
          <w:spacing w:val="-3"/>
          <w:sz w:val="24"/>
          <w:szCs w:val="24"/>
        </w:rPr>
        <w:t>为</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HCO</w:t>
      </w:r>
      <w:r>
        <w:rPr>
          <w:rFonts w:ascii="Times New Roman" w:hAnsi="Times New Roman" w:eastAsia="Times New Roman" w:cs="Times New Roman"/>
          <w:spacing w:val="-3"/>
          <w:position w:val="-1"/>
          <w:sz w:val="16"/>
          <w:szCs w:val="16"/>
        </w:rPr>
        <w:t xml:space="preserve">3  </w:t>
      </w:r>
      <w:r>
        <w:rPr>
          <w:rFonts w:ascii="宋体" w:hAnsi="宋体" w:eastAsia="宋体" w:cs="宋体"/>
          <w:spacing w:val="-3"/>
          <w:sz w:val="24"/>
          <w:szCs w:val="24"/>
        </w:rPr>
        <w:t>·</w:t>
      </w:r>
      <w:r>
        <w:rPr>
          <w:rFonts w:ascii="Times New Roman" w:hAnsi="Times New Roman" w:eastAsia="Times New Roman" w:cs="Times New Roman"/>
          <w:spacing w:val="-3"/>
          <w:sz w:val="24"/>
          <w:szCs w:val="24"/>
        </w:rPr>
        <w:t>Ca</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型水，地下水井</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WX1-WX5</w:t>
      </w:r>
      <w:r>
        <w:rPr>
          <w:rFonts w:ascii="Times New Roman" w:hAnsi="Times New Roman" w:eastAsia="Times New Roman" w:cs="Times New Roman"/>
          <w:spacing w:val="36"/>
          <w:w w:val="101"/>
          <w:sz w:val="24"/>
          <w:szCs w:val="24"/>
        </w:rPr>
        <w:t xml:space="preserve"> </w:t>
      </w:r>
      <w:r>
        <w:rPr>
          <w:rFonts w:ascii="宋体" w:hAnsi="宋体" w:eastAsia="宋体" w:cs="宋体"/>
          <w:spacing w:val="-3"/>
          <w:sz w:val="24"/>
          <w:szCs w:val="24"/>
        </w:rPr>
        <w:t>各项监测指标均可达到《地</w:t>
      </w:r>
      <w:r>
        <w:rPr>
          <w:rFonts w:ascii="宋体" w:hAnsi="宋体" w:eastAsia="宋体" w:cs="宋体"/>
          <w:spacing w:val="-4"/>
          <w:sz w:val="24"/>
          <w:szCs w:val="24"/>
        </w:rPr>
        <w:t>下水质量标准》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GB/T14848-2017</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III  </w:t>
      </w:r>
      <w:r>
        <w:rPr>
          <w:rFonts w:ascii="宋体" w:hAnsi="宋体" w:eastAsia="宋体" w:cs="宋体"/>
          <w:spacing w:val="-3"/>
          <w:sz w:val="24"/>
          <w:szCs w:val="24"/>
        </w:rPr>
        <w:t>类水质标准（具体评价见报告表地下水环</w:t>
      </w:r>
      <w:r>
        <w:rPr>
          <w:rFonts w:ascii="宋体" w:hAnsi="宋体" w:eastAsia="宋体" w:cs="宋体"/>
          <w:spacing w:val="-4"/>
          <w:sz w:val="24"/>
          <w:szCs w:val="24"/>
        </w:rPr>
        <w:t>境现状监测章节），</w:t>
      </w:r>
    </w:p>
    <w:p>
      <w:pPr>
        <w:spacing w:before="1" w:line="218" w:lineRule="auto"/>
        <w:ind w:left="500"/>
        <w:rPr>
          <w:rFonts w:ascii="宋体" w:hAnsi="宋体" w:eastAsia="宋体" w:cs="宋体"/>
          <w:sz w:val="24"/>
          <w:szCs w:val="24"/>
        </w:rPr>
      </w:pPr>
      <w:r>
        <w:rPr>
          <w:rFonts w:ascii="宋体" w:hAnsi="宋体" w:eastAsia="宋体" w:cs="宋体"/>
          <w:spacing w:val="-3"/>
          <w:sz w:val="24"/>
          <w:szCs w:val="24"/>
        </w:rPr>
        <w:t>表明本项目所在区域地下水水质较好。</w:t>
      </w:r>
    </w:p>
    <w:p>
      <w:pPr>
        <w:spacing w:line="218" w:lineRule="auto"/>
        <w:rPr>
          <w:rFonts w:ascii="宋体" w:hAnsi="宋体" w:eastAsia="宋体" w:cs="宋体"/>
          <w:sz w:val="24"/>
          <w:szCs w:val="24"/>
        </w:rPr>
        <w:sectPr>
          <w:footerReference r:id="rId174" w:type="default"/>
          <w:pgSz w:w="11907" w:h="16839"/>
          <w:pgMar w:top="400" w:right="939" w:bottom="879" w:left="1096" w:header="0" w:footer="717" w:gutter="0"/>
          <w:cols w:space="720" w:num="1"/>
        </w:sect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spacing w:before="139" w:line="222" w:lineRule="auto"/>
        <w:ind w:left="1636"/>
        <w:rPr>
          <w:rFonts w:ascii="宋体" w:hAnsi="宋体" w:eastAsia="宋体" w:cs="宋体"/>
          <w:sz w:val="43"/>
          <w:szCs w:val="43"/>
        </w:rPr>
      </w:pPr>
      <w:bookmarkStart w:id="15" w:name="bookmark16"/>
      <w:bookmarkEnd w:id="15"/>
      <w:bookmarkStart w:id="16" w:name="bookmark17"/>
      <w:bookmarkEnd w:id="16"/>
      <w:bookmarkStart w:id="17" w:name="bookmark18"/>
      <w:bookmarkEnd w:id="17"/>
      <w:r>
        <w:rPr>
          <w:rFonts w:ascii="Times New Roman" w:hAnsi="Times New Roman" w:eastAsia="Times New Roman" w:cs="Times New Roman"/>
          <w:b/>
          <w:bCs/>
          <w:spacing w:val="9"/>
          <w:sz w:val="43"/>
          <w:szCs w:val="43"/>
        </w:rPr>
        <w:t xml:space="preserve">3 </w:t>
      </w:r>
      <w:r>
        <w:rPr>
          <w:rFonts w:ascii="宋体" w:hAnsi="宋体" w:eastAsia="宋体" w:cs="宋体"/>
          <w:spacing w:val="9"/>
          <w:sz w:val="43"/>
          <w:szCs w:val="43"/>
          <w14:textOutline w14:w="7968" w14:cap="flat" w14:cmpd="sng">
            <w14:solidFill>
              <w14:srgbClr w14:val="000000"/>
            </w14:solidFill>
            <w14:prstDash w14:val="solid"/>
            <w14:miter w14:val="10"/>
          </w14:textOutline>
        </w:rPr>
        <w:t>地下水环境影响预测与评价</w:t>
      </w:r>
    </w:p>
    <w:p>
      <w:pPr>
        <w:pStyle w:val="2"/>
        <w:spacing w:line="269" w:lineRule="auto"/>
        <w:rPr>
          <w:sz w:val="21"/>
        </w:rPr>
      </w:pPr>
    </w:p>
    <w:p>
      <w:pPr>
        <w:pStyle w:val="2"/>
        <w:spacing w:line="270" w:lineRule="auto"/>
        <w:rPr>
          <w:sz w:val="21"/>
        </w:rPr>
      </w:pPr>
    </w:p>
    <w:p>
      <w:pPr>
        <w:spacing w:before="101" w:line="226" w:lineRule="auto"/>
        <w:rPr>
          <w:rFonts w:ascii="宋体" w:hAnsi="宋体" w:eastAsia="宋体" w:cs="宋体"/>
          <w:sz w:val="31"/>
          <w:szCs w:val="31"/>
        </w:rPr>
      </w:pPr>
      <w:r>
        <w:rPr>
          <w:rFonts w:ascii="Times New Roman" w:hAnsi="Times New Roman" w:eastAsia="Times New Roman" w:cs="Times New Roman"/>
          <w:b/>
          <w:bCs/>
          <w:spacing w:val="10"/>
          <w:sz w:val="31"/>
          <w:szCs w:val="31"/>
        </w:rPr>
        <w:t>3.1</w:t>
      </w:r>
      <w:r>
        <w:rPr>
          <w:rFonts w:ascii="宋体" w:hAnsi="宋体" w:eastAsia="宋体" w:cs="宋体"/>
          <w:spacing w:val="10"/>
          <w:sz w:val="31"/>
          <w:szCs w:val="31"/>
          <w14:textOutline w14:w="5791" w14:cap="flat" w14:cmpd="sng">
            <w14:solidFill>
              <w14:srgbClr w14:val="000000"/>
            </w14:solidFill>
            <w14:prstDash w14:val="solid"/>
            <w14:miter w14:val="10"/>
          </w14:textOutline>
        </w:rPr>
        <w:t>预测原则</w:t>
      </w:r>
    </w:p>
    <w:p>
      <w:pPr>
        <w:pStyle w:val="2"/>
        <w:spacing w:line="245" w:lineRule="auto"/>
        <w:rPr>
          <w:sz w:val="21"/>
        </w:rPr>
      </w:pPr>
    </w:p>
    <w:p>
      <w:pPr>
        <w:spacing w:before="78" w:line="468" w:lineRule="exact"/>
        <w:ind w:left="484"/>
        <w:rPr>
          <w:rFonts w:ascii="宋体" w:hAnsi="宋体" w:eastAsia="宋体" w:cs="宋体"/>
          <w:sz w:val="24"/>
          <w:szCs w:val="24"/>
        </w:rPr>
      </w:pPr>
      <w:r>
        <w:rPr>
          <w:rFonts w:ascii="宋体" w:hAnsi="宋体" w:eastAsia="宋体" w:cs="宋体"/>
          <w:position w:val="17"/>
          <w:sz w:val="24"/>
          <w:szCs w:val="24"/>
        </w:rPr>
        <w:t>考虑地下水环境污染的隐蔽性和难恢复性，遵循环境安</w:t>
      </w:r>
      <w:r>
        <w:rPr>
          <w:rFonts w:ascii="宋体" w:hAnsi="宋体" w:eastAsia="宋体" w:cs="宋体"/>
          <w:spacing w:val="-1"/>
          <w:position w:val="17"/>
          <w:sz w:val="24"/>
          <w:szCs w:val="24"/>
        </w:rPr>
        <w:t>全性原则，预测评价将为</w:t>
      </w:r>
    </w:p>
    <w:p>
      <w:pPr>
        <w:spacing w:before="1" w:line="218" w:lineRule="auto"/>
        <w:ind w:left="7"/>
        <w:rPr>
          <w:rFonts w:ascii="宋体" w:hAnsi="宋体" w:eastAsia="宋体" w:cs="宋体"/>
          <w:sz w:val="24"/>
          <w:szCs w:val="24"/>
        </w:rPr>
      </w:pPr>
      <w:r>
        <w:rPr>
          <w:rFonts w:ascii="宋体" w:hAnsi="宋体" w:eastAsia="宋体" w:cs="宋体"/>
          <w:spacing w:val="-2"/>
          <w:sz w:val="24"/>
          <w:szCs w:val="24"/>
        </w:rPr>
        <w:t>建设方案的环境安全和环境保护措施的合理性提供依据。</w:t>
      </w:r>
    </w:p>
    <w:p>
      <w:pPr>
        <w:spacing w:before="184" w:line="360" w:lineRule="auto"/>
        <w:ind w:left="13" w:right="85" w:firstLine="472"/>
        <w:rPr>
          <w:rFonts w:ascii="宋体" w:hAnsi="宋体" w:eastAsia="宋体" w:cs="宋体"/>
          <w:sz w:val="24"/>
          <w:szCs w:val="24"/>
        </w:rPr>
      </w:pPr>
      <w:r>
        <w:rPr>
          <w:rFonts w:ascii="宋体" w:hAnsi="宋体" w:eastAsia="宋体" w:cs="宋体"/>
          <w:sz w:val="24"/>
          <w:szCs w:val="24"/>
        </w:rPr>
        <w:t>预测的范围、时段和内容根据评价等级、工程特征</w:t>
      </w:r>
      <w:r>
        <w:rPr>
          <w:rFonts w:ascii="宋体" w:hAnsi="宋体" w:eastAsia="宋体" w:cs="宋体"/>
          <w:spacing w:val="-1"/>
          <w:sz w:val="24"/>
          <w:szCs w:val="24"/>
        </w:rPr>
        <w:t>与环境特征，结合当地环境功</w:t>
      </w:r>
      <w:r>
        <w:rPr>
          <w:rFonts w:ascii="宋体" w:hAnsi="宋体" w:eastAsia="宋体" w:cs="宋体"/>
          <w:sz w:val="24"/>
          <w:szCs w:val="24"/>
        </w:rPr>
        <w:t xml:space="preserve"> </w:t>
      </w:r>
      <w:r>
        <w:rPr>
          <w:rFonts w:ascii="宋体" w:hAnsi="宋体" w:eastAsia="宋体" w:cs="宋体"/>
          <w:spacing w:val="-1"/>
          <w:sz w:val="24"/>
          <w:szCs w:val="24"/>
        </w:rPr>
        <w:t>能和环保要求来确定，以应急池泄漏污染地下水水质问题为重点，同时给出渗漏状况</w:t>
      </w:r>
    </w:p>
    <w:p>
      <w:pPr>
        <w:spacing w:line="220" w:lineRule="auto"/>
        <w:ind w:left="23"/>
        <w:rPr>
          <w:rFonts w:ascii="宋体" w:hAnsi="宋体" w:eastAsia="宋体" w:cs="宋体"/>
          <w:sz w:val="24"/>
          <w:szCs w:val="24"/>
        </w:rPr>
      </w:pPr>
      <w:r>
        <w:rPr>
          <w:rFonts w:ascii="宋体" w:hAnsi="宋体" w:eastAsia="宋体" w:cs="宋体"/>
          <w:spacing w:val="-9"/>
          <w:sz w:val="24"/>
          <w:szCs w:val="24"/>
        </w:rPr>
        <w:t>的预测结果。</w:t>
      </w:r>
    </w:p>
    <w:p>
      <w:pPr>
        <w:spacing w:before="336" w:line="226" w:lineRule="auto"/>
        <w:rPr>
          <w:rFonts w:ascii="宋体" w:hAnsi="宋体" w:eastAsia="宋体" w:cs="宋体"/>
          <w:sz w:val="31"/>
          <w:szCs w:val="31"/>
        </w:rPr>
      </w:pPr>
      <w:r>
        <w:rPr>
          <w:rFonts w:ascii="Times New Roman" w:hAnsi="Times New Roman" w:eastAsia="Times New Roman" w:cs="Times New Roman"/>
          <w:b/>
          <w:bCs/>
          <w:spacing w:val="10"/>
          <w:sz w:val="31"/>
          <w:szCs w:val="31"/>
        </w:rPr>
        <w:t>3.2</w:t>
      </w:r>
      <w:r>
        <w:rPr>
          <w:rFonts w:ascii="宋体" w:hAnsi="宋体" w:eastAsia="宋体" w:cs="宋体"/>
          <w:spacing w:val="10"/>
          <w:sz w:val="31"/>
          <w:szCs w:val="31"/>
          <w14:textOutline w14:w="5791" w14:cap="flat" w14:cmpd="sng">
            <w14:solidFill>
              <w14:srgbClr w14:val="000000"/>
            </w14:solidFill>
            <w14:prstDash w14:val="solid"/>
            <w14:miter w14:val="10"/>
          </w14:textOutline>
        </w:rPr>
        <w:t>预测方法及范围</w:t>
      </w:r>
    </w:p>
    <w:p>
      <w:pPr>
        <w:pStyle w:val="2"/>
        <w:spacing w:line="248" w:lineRule="auto"/>
        <w:rPr>
          <w:sz w:val="21"/>
        </w:rPr>
      </w:pPr>
    </w:p>
    <w:p>
      <w:pPr>
        <w:spacing w:before="79" w:line="360" w:lineRule="auto"/>
        <w:ind w:left="2" w:firstLine="485"/>
        <w:jc w:val="both"/>
        <w:rPr>
          <w:rFonts w:ascii="宋体" w:hAnsi="宋体" w:eastAsia="宋体" w:cs="宋体"/>
          <w:sz w:val="24"/>
          <w:szCs w:val="24"/>
        </w:rPr>
      </w:pPr>
      <w:r>
        <w:rPr>
          <w:rFonts w:ascii="宋体" w:hAnsi="宋体" w:eastAsia="宋体" w:cs="宋体"/>
          <w:spacing w:val="-1"/>
          <w:sz w:val="24"/>
          <w:szCs w:val="24"/>
        </w:rPr>
        <w:t xml:space="preserve">该项目地下水预测分析主要进行饱和带污染物迁移预测，评价等级属二级，本次 进行预测时，采用解析法计算。污染物在地下水系统中的迁移转化过程十分复杂，本 次污染物模拟预测过程不考虑污染物在含水层中的吸附、挥发、生物化学反应，模型 </w:t>
      </w:r>
      <w:r>
        <w:rPr>
          <w:rFonts w:ascii="宋体" w:hAnsi="宋体" w:eastAsia="宋体" w:cs="宋体"/>
          <w:spacing w:val="-4"/>
          <w:sz w:val="24"/>
          <w:szCs w:val="24"/>
        </w:rPr>
        <w:t>中各项参数予以保守性考虑。由于污染物预测主要针对非正常</w:t>
      </w:r>
      <w:r>
        <w:rPr>
          <w:rFonts w:ascii="宋体" w:hAnsi="宋体" w:eastAsia="宋体" w:cs="宋体"/>
          <w:spacing w:val="-5"/>
          <w:sz w:val="24"/>
          <w:szCs w:val="24"/>
        </w:rPr>
        <w:t>状况下污染物运移情况，</w:t>
      </w:r>
      <w:r>
        <w:rPr>
          <w:rFonts w:ascii="宋体" w:hAnsi="宋体" w:eastAsia="宋体" w:cs="宋体"/>
          <w:sz w:val="24"/>
          <w:szCs w:val="24"/>
        </w:rPr>
        <w:t xml:space="preserve"> 因此模型预测不考虑包气带对污染物的截留作用，假设污染物可</w:t>
      </w:r>
      <w:r>
        <w:rPr>
          <w:rFonts w:ascii="宋体" w:hAnsi="宋体" w:eastAsia="宋体" w:cs="宋体"/>
          <w:spacing w:val="-1"/>
          <w:sz w:val="24"/>
          <w:szCs w:val="24"/>
        </w:rPr>
        <w:t>以直接通过包气带进</w:t>
      </w:r>
    </w:p>
    <w:p>
      <w:pPr>
        <w:spacing w:before="1" w:line="218" w:lineRule="auto"/>
        <w:ind w:left="3"/>
        <w:rPr>
          <w:rFonts w:ascii="宋体" w:hAnsi="宋体" w:eastAsia="宋体" w:cs="宋体"/>
          <w:sz w:val="24"/>
          <w:szCs w:val="24"/>
        </w:rPr>
      </w:pPr>
      <w:r>
        <w:rPr>
          <w:rFonts w:ascii="宋体" w:hAnsi="宋体" w:eastAsia="宋体" w:cs="宋体"/>
          <w:spacing w:val="-2"/>
          <w:sz w:val="24"/>
          <w:szCs w:val="24"/>
        </w:rPr>
        <w:t>入地下水体，最大限度地考虑污染物对研究区水体的影响。</w:t>
      </w:r>
    </w:p>
    <w:p>
      <w:pPr>
        <w:spacing w:before="183" w:line="218" w:lineRule="auto"/>
        <w:ind w:left="484"/>
        <w:rPr>
          <w:rFonts w:ascii="宋体" w:hAnsi="宋体" w:eastAsia="宋体" w:cs="宋体"/>
          <w:sz w:val="24"/>
          <w:szCs w:val="24"/>
        </w:rPr>
      </w:pPr>
      <w:r>
        <w:rPr>
          <w:rFonts w:ascii="宋体" w:hAnsi="宋体" w:eastAsia="宋体" w:cs="宋体"/>
          <w:spacing w:val="-1"/>
          <w:sz w:val="24"/>
          <w:szCs w:val="24"/>
        </w:rPr>
        <w:t>地下水环境影响预测范围与调查评价范围一致，预测层位</w:t>
      </w:r>
      <w:r>
        <w:rPr>
          <w:rFonts w:ascii="宋体" w:hAnsi="宋体" w:eastAsia="宋体" w:cs="宋体"/>
          <w:spacing w:val="-2"/>
          <w:sz w:val="24"/>
          <w:szCs w:val="24"/>
        </w:rPr>
        <w:t>以潜水含水层为主。</w:t>
      </w:r>
    </w:p>
    <w:p>
      <w:pPr>
        <w:spacing w:before="339" w:line="226" w:lineRule="auto"/>
        <w:rPr>
          <w:rFonts w:ascii="宋体" w:hAnsi="宋体" w:eastAsia="宋体" w:cs="宋体"/>
          <w:sz w:val="31"/>
          <w:szCs w:val="31"/>
        </w:rPr>
      </w:pPr>
      <w:bookmarkStart w:id="18" w:name="bookmark19"/>
      <w:bookmarkEnd w:id="18"/>
      <w:r>
        <w:rPr>
          <w:rFonts w:ascii="Times New Roman" w:hAnsi="Times New Roman" w:eastAsia="Times New Roman" w:cs="Times New Roman"/>
          <w:b/>
          <w:bCs/>
          <w:spacing w:val="10"/>
          <w:sz w:val="31"/>
          <w:szCs w:val="31"/>
        </w:rPr>
        <w:t>3.3</w:t>
      </w:r>
      <w:r>
        <w:rPr>
          <w:rFonts w:ascii="宋体" w:hAnsi="宋体" w:eastAsia="宋体" w:cs="宋体"/>
          <w:spacing w:val="10"/>
          <w:sz w:val="31"/>
          <w:szCs w:val="31"/>
          <w14:textOutline w14:w="5791" w14:cap="flat" w14:cmpd="sng">
            <w14:solidFill>
              <w14:srgbClr w14:val="000000"/>
            </w14:solidFill>
            <w14:prstDash w14:val="solid"/>
            <w14:miter w14:val="10"/>
          </w14:textOutline>
        </w:rPr>
        <w:t>预测时段</w:t>
      </w:r>
    </w:p>
    <w:p>
      <w:pPr>
        <w:pStyle w:val="2"/>
        <w:spacing w:line="245" w:lineRule="auto"/>
        <w:rPr>
          <w:sz w:val="21"/>
        </w:rPr>
      </w:pPr>
    </w:p>
    <w:p>
      <w:pPr>
        <w:spacing w:before="79" w:line="360" w:lineRule="auto"/>
        <w:ind w:left="7" w:right="68" w:firstLine="477"/>
        <w:jc w:val="both"/>
        <w:rPr>
          <w:rFonts w:ascii="宋体" w:hAnsi="宋体" w:eastAsia="宋体" w:cs="宋体"/>
          <w:sz w:val="24"/>
          <w:szCs w:val="24"/>
        </w:rPr>
      </w:pPr>
      <w:r>
        <w:rPr>
          <w:rFonts w:ascii="宋体" w:hAnsi="宋体" w:eastAsia="宋体" w:cs="宋体"/>
          <w:sz w:val="24"/>
          <w:szCs w:val="24"/>
        </w:rPr>
        <w:t>根据导则要求，地下水环境影响评价预测时段应包括项目建设、生产运行和服务</w:t>
      </w:r>
      <w:r>
        <w:rPr>
          <w:rFonts w:ascii="宋体" w:hAnsi="宋体" w:eastAsia="宋体" w:cs="宋体"/>
          <w:spacing w:val="6"/>
          <w:sz w:val="24"/>
          <w:szCs w:val="24"/>
        </w:rPr>
        <w:t xml:space="preserve"> </w:t>
      </w:r>
      <w:r>
        <w:rPr>
          <w:rFonts w:ascii="宋体" w:hAnsi="宋体" w:eastAsia="宋体" w:cs="宋体"/>
          <w:spacing w:val="-3"/>
          <w:sz w:val="24"/>
          <w:szCs w:val="24"/>
        </w:rPr>
        <w:t>期满后三个阶段。</w:t>
      </w:r>
      <w:r>
        <w:rPr>
          <w:rFonts w:ascii="宋体" w:hAnsi="宋体" w:eastAsia="宋体" w:cs="宋体"/>
          <w:spacing w:val="-9"/>
          <w:sz w:val="24"/>
          <w:szCs w:val="24"/>
        </w:rPr>
        <w:t xml:space="preserve"> </w:t>
      </w:r>
      <w:r>
        <w:rPr>
          <w:rFonts w:ascii="宋体" w:hAnsi="宋体" w:eastAsia="宋体" w:cs="宋体"/>
          <w:spacing w:val="-3"/>
          <w:sz w:val="24"/>
          <w:szCs w:val="24"/>
        </w:rPr>
        <w:t>结合拟建项目实际，对地下水的影响主要在项目的施工期，服务期</w:t>
      </w:r>
    </w:p>
    <w:p>
      <w:pPr>
        <w:spacing w:before="1" w:line="219" w:lineRule="auto"/>
        <w:ind w:left="4"/>
        <w:rPr>
          <w:rFonts w:ascii="宋体" w:hAnsi="宋体" w:eastAsia="宋体" w:cs="宋体"/>
          <w:sz w:val="24"/>
          <w:szCs w:val="24"/>
        </w:rPr>
      </w:pPr>
      <w:r>
        <w:rPr>
          <w:rFonts w:ascii="宋体" w:hAnsi="宋体" w:eastAsia="宋体" w:cs="宋体"/>
          <w:spacing w:val="-4"/>
          <w:sz w:val="24"/>
          <w:szCs w:val="24"/>
        </w:rPr>
        <w:t>满后对地下水的影响极小。</w:t>
      </w:r>
    </w:p>
    <w:p>
      <w:pPr>
        <w:spacing w:before="182" w:line="469" w:lineRule="exact"/>
        <w:ind w:left="502"/>
        <w:rPr>
          <w:rFonts w:ascii="宋体" w:hAnsi="宋体" w:eastAsia="宋体" w:cs="宋体"/>
          <w:sz w:val="24"/>
          <w:szCs w:val="24"/>
        </w:rPr>
      </w:pPr>
      <w:r>
        <w:rPr>
          <w:rFonts w:ascii="宋体" w:hAnsi="宋体" w:eastAsia="宋体" w:cs="宋体"/>
          <w:spacing w:val="-1"/>
          <w:position w:val="17"/>
          <w:sz w:val="24"/>
          <w:szCs w:val="24"/>
        </w:rPr>
        <w:t>因此，考虑到项目特征因子，将预测时段定为项目钻井期，同时将地下水环境影</w:t>
      </w:r>
    </w:p>
    <w:p>
      <w:pPr>
        <w:spacing w:line="220" w:lineRule="auto"/>
        <w:ind w:left="16"/>
        <w:rPr>
          <w:rFonts w:ascii="宋体" w:hAnsi="宋体" w:eastAsia="宋体" w:cs="宋体"/>
          <w:sz w:val="24"/>
          <w:szCs w:val="24"/>
        </w:rPr>
      </w:pPr>
      <w:r>
        <w:rPr>
          <w:rFonts w:ascii="宋体" w:hAnsi="宋体" w:eastAsia="宋体" w:cs="宋体"/>
          <w:spacing w:val="-13"/>
          <w:sz w:val="24"/>
          <w:szCs w:val="24"/>
        </w:rPr>
        <w:t>响预测时限定为</w:t>
      </w:r>
      <w:r>
        <w:rPr>
          <w:rFonts w:ascii="宋体" w:hAnsi="宋体" w:eastAsia="宋体" w:cs="宋体"/>
          <w:spacing w:val="-26"/>
          <w:sz w:val="24"/>
          <w:szCs w:val="24"/>
        </w:rPr>
        <w:t xml:space="preserve"> </w:t>
      </w:r>
      <w:r>
        <w:rPr>
          <w:rFonts w:ascii="Times New Roman" w:hAnsi="Times New Roman" w:eastAsia="Times New Roman" w:cs="Times New Roman"/>
          <w:spacing w:val="-13"/>
          <w:sz w:val="24"/>
          <w:szCs w:val="24"/>
        </w:rPr>
        <w:t>100</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 xml:space="preserve">天、 </w:t>
      </w:r>
      <w:r>
        <w:rPr>
          <w:rFonts w:ascii="Times New Roman" w:hAnsi="Times New Roman" w:eastAsia="Times New Roman" w:cs="Times New Roman"/>
          <w:spacing w:val="-13"/>
          <w:sz w:val="24"/>
          <w:szCs w:val="24"/>
        </w:rPr>
        <w:t>1000</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天、</w:t>
      </w:r>
      <w:r>
        <w:rPr>
          <w:rFonts w:ascii="宋体" w:hAnsi="宋体" w:eastAsia="宋体" w:cs="宋体"/>
          <w:spacing w:val="-39"/>
          <w:sz w:val="24"/>
          <w:szCs w:val="24"/>
        </w:rPr>
        <w:t xml:space="preserve"> </w:t>
      </w:r>
      <w:r>
        <w:rPr>
          <w:rFonts w:ascii="Times New Roman" w:hAnsi="Times New Roman" w:eastAsia="Times New Roman" w:cs="Times New Roman"/>
          <w:spacing w:val="-13"/>
          <w:sz w:val="24"/>
          <w:szCs w:val="24"/>
        </w:rPr>
        <w:t>3650</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天、</w:t>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7300</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天。</w:t>
      </w:r>
    </w:p>
    <w:p>
      <w:pPr>
        <w:spacing w:before="337" w:line="226" w:lineRule="auto"/>
        <w:rPr>
          <w:rFonts w:ascii="宋体" w:hAnsi="宋体" w:eastAsia="宋体" w:cs="宋体"/>
          <w:sz w:val="31"/>
          <w:szCs w:val="31"/>
        </w:rPr>
      </w:pPr>
      <w:bookmarkStart w:id="19" w:name="bookmark20"/>
      <w:bookmarkEnd w:id="19"/>
      <w:r>
        <w:rPr>
          <w:rFonts w:ascii="Times New Roman" w:hAnsi="Times New Roman" w:eastAsia="Times New Roman" w:cs="Times New Roman"/>
          <w:b/>
          <w:bCs/>
          <w:spacing w:val="10"/>
          <w:sz w:val="31"/>
          <w:szCs w:val="31"/>
        </w:rPr>
        <w:t>3.4</w:t>
      </w:r>
      <w:r>
        <w:rPr>
          <w:rFonts w:ascii="宋体" w:hAnsi="宋体" w:eastAsia="宋体" w:cs="宋体"/>
          <w:spacing w:val="10"/>
          <w:sz w:val="31"/>
          <w:szCs w:val="31"/>
          <w14:textOutline w14:w="5791" w14:cap="flat" w14:cmpd="sng">
            <w14:solidFill>
              <w14:srgbClr w14:val="000000"/>
            </w14:solidFill>
            <w14:prstDash w14:val="solid"/>
            <w14:miter w14:val="10"/>
          </w14:textOutline>
        </w:rPr>
        <w:t>预测因子</w:t>
      </w:r>
    </w:p>
    <w:p>
      <w:pPr>
        <w:pStyle w:val="2"/>
        <w:spacing w:line="245" w:lineRule="auto"/>
        <w:rPr>
          <w:sz w:val="21"/>
        </w:rPr>
      </w:pPr>
    </w:p>
    <w:p>
      <w:pPr>
        <w:spacing w:before="78" w:line="468" w:lineRule="exact"/>
        <w:ind w:left="484"/>
        <w:rPr>
          <w:rFonts w:ascii="宋体" w:hAnsi="宋体" w:eastAsia="宋体" w:cs="宋体"/>
          <w:sz w:val="24"/>
          <w:szCs w:val="24"/>
        </w:rPr>
      </w:pPr>
      <w:r>
        <w:rPr>
          <w:rFonts w:ascii="宋体" w:hAnsi="宋体" w:eastAsia="宋体" w:cs="宋体"/>
          <w:position w:val="17"/>
          <w:sz w:val="24"/>
          <w:szCs w:val="24"/>
        </w:rPr>
        <w:t>根据导则要求，并结合项目特点，预测因子选择应在导</w:t>
      </w:r>
      <w:r>
        <w:rPr>
          <w:rFonts w:ascii="宋体" w:hAnsi="宋体" w:eastAsia="宋体" w:cs="宋体"/>
          <w:spacing w:val="-1"/>
          <w:position w:val="17"/>
          <w:sz w:val="24"/>
          <w:szCs w:val="24"/>
        </w:rPr>
        <w:t>则要求的基础上，充分考</w:t>
      </w:r>
    </w:p>
    <w:p>
      <w:pPr>
        <w:spacing w:before="1" w:line="218" w:lineRule="auto"/>
        <w:jc w:val="right"/>
        <w:rPr>
          <w:rFonts w:ascii="宋体" w:hAnsi="宋体" w:eastAsia="宋体" w:cs="宋体"/>
          <w:sz w:val="24"/>
          <w:szCs w:val="24"/>
        </w:rPr>
      </w:pPr>
      <w:r>
        <w:rPr>
          <w:rFonts w:ascii="宋体" w:hAnsi="宋体" w:eastAsia="宋体" w:cs="宋体"/>
          <w:spacing w:val="-4"/>
          <w:sz w:val="24"/>
          <w:szCs w:val="24"/>
        </w:rPr>
        <w:t>虑选取与其排放的污染物有关的特征因子。根据废水排放</w:t>
      </w:r>
      <w:r>
        <w:rPr>
          <w:rFonts w:ascii="宋体" w:hAnsi="宋体" w:eastAsia="宋体" w:cs="宋体"/>
          <w:spacing w:val="-5"/>
          <w:sz w:val="24"/>
          <w:szCs w:val="24"/>
        </w:rPr>
        <w:t>中污染物排放量和排放浓度，</w:t>
      </w:r>
    </w:p>
    <w:p>
      <w:pPr>
        <w:spacing w:line="218" w:lineRule="auto"/>
        <w:rPr>
          <w:rFonts w:ascii="宋体" w:hAnsi="宋体" w:eastAsia="宋体" w:cs="宋体"/>
          <w:sz w:val="24"/>
          <w:szCs w:val="24"/>
        </w:rPr>
        <w:sectPr>
          <w:footerReference r:id="rId175" w:type="default"/>
          <w:pgSz w:w="11907" w:h="16839"/>
          <w:pgMar w:top="400" w:right="1351" w:bottom="1151" w:left="1594"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220" w:lineRule="auto"/>
        <w:ind w:left="6"/>
        <w:rPr>
          <w:rFonts w:ascii="宋体" w:hAnsi="宋体" w:eastAsia="宋体" w:cs="宋体"/>
          <w:sz w:val="24"/>
          <w:szCs w:val="24"/>
        </w:rPr>
      </w:pPr>
      <w:r>
        <w:rPr>
          <w:rFonts w:ascii="宋体" w:hAnsi="宋体" w:eastAsia="宋体" w:cs="宋体"/>
          <w:spacing w:val="-2"/>
          <w:sz w:val="24"/>
          <w:szCs w:val="24"/>
        </w:rPr>
        <w:t>预测因子为建设项目排放的污染物有关的特征因子。</w:t>
      </w:r>
    </w:p>
    <w:p>
      <w:pPr>
        <w:spacing w:before="183" w:line="360" w:lineRule="auto"/>
        <w:ind w:left="4" w:firstLine="479"/>
        <w:jc w:val="both"/>
        <w:rPr>
          <w:rFonts w:ascii="宋体" w:hAnsi="宋体" w:eastAsia="宋体" w:cs="宋体"/>
          <w:sz w:val="24"/>
          <w:szCs w:val="24"/>
        </w:rPr>
      </w:pPr>
      <w:r>
        <w:rPr>
          <w:rFonts w:ascii="宋体" w:hAnsi="宋体" w:eastAsia="宋体" w:cs="宋体"/>
          <w:spacing w:val="-3"/>
          <w:sz w:val="24"/>
          <w:szCs w:val="24"/>
        </w:rPr>
        <w:t>根据废水排放中污染物排放量和排放浓度， 本次选取对地下水环境</w:t>
      </w:r>
      <w:r>
        <w:rPr>
          <w:rFonts w:ascii="宋体" w:hAnsi="宋体" w:eastAsia="宋体" w:cs="宋体"/>
          <w:spacing w:val="-4"/>
          <w:sz w:val="24"/>
          <w:szCs w:val="24"/>
        </w:rPr>
        <w:t>质量影响负荷</w:t>
      </w:r>
      <w:r>
        <w:rPr>
          <w:rFonts w:ascii="宋体" w:hAnsi="宋体" w:eastAsia="宋体" w:cs="宋体"/>
          <w:sz w:val="24"/>
          <w:szCs w:val="24"/>
        </w:rPr>
        <w:t xml:space="preserve">  </w:t>
      </w:r>
      <w:r>
        <w:rPr>
          <w:rFonts w:ascii="宋体" w:hAnsi="宋体" w:eastAsia="宋体" w:cs="宋体"/>
          <w:spacing w:val="-1"/>
          <w:sz w:val="24"/>
          <w:szCs w:val="24"/>
        </w:rPr>
        <w:t>较大的耗氧量（</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6"/>
          <w:szCs w:val="16"/>
        </w:rPr>
        <w:t xml:space="preserve">Mn </w:t>
      </w:r>
      <w:r>
        <w:rPr>
          <w:rFonts w:ascii="宋体" w:hAnsi="宋体" w:eastAsia="宋体" w:cs="宋体"/>
          <w:spacing w:val="-1"/>
          <w:sz w:val="24"/>
          <w:szCs w:val="24"/>
        </w:rPr>
        <w:t>）、石油类和氯化物进行影响预测与评价。污染物石</w:t>
      </w:r>
      <w:r>
        <w:rPr>
          <w:rFonts w:ascii="宋体" w:hAnsi="宋体" w:eastAsia="宋体" w:cs="宋体"/>
          <w:spacing w:val="-2"/>
          <w:sz w:val="24"/>
          <w:szCs w:val="24"/>
        </w:rPr>
        <w:t>油类参照</w:t>
      </w:r>
      <w:r>
        <w:rPr>
          <w:rFonts w:ascii="宋体" w:hAnsi="宋体" w:eastAsia="宋体" w:cs="宋体"/>
          <w:sz w:val="24"/>
          <w:szCs w:val="24"/>
        </w:rPr>
        <w:t xml:space="preserve">  </w:t>
      </w:r>
      <w:r>
        <w:rPr>
          <w:rFonts w:ascii="宋体" w:hAnsi="宋体" w:eastAsia="宋体" w:cs="宋体"/>
          <w:spacing w:val="-12"/>
          <w:sz w:val="24"/>
          <w:szCs w:val="24"/>
        </w:rPr>
        <w:t>《地表水环境质量标准》（</w:t>
      </w:r>
      <w:r>
        <w:rPr>
          <w:rFonts w:ascii="Times New Roman" w:hAnsi="Times New Roman" w:eastAsia="Times New Roman" w:cs="Times New Roman"/>
          <w:spacing w:val="-12"/>
          <w:sz w:val="24"/>
          <w:szCs w:val="24"/>
        </w:rPr>
        <w:t>GB3838-2002</w:t>
      </w:r>
      <w:r>
        <w:rPr>
          <w:rFonts w:ascii="宋体" w:hAnsi="宋体" w:eastAsia="宋体" w:cs="宋体"/>
          <w:spacing w:val="-12"/>
          <w:sz w:val="24"/>
          <w:szCs w:val="24"/>
        </w:rPr>
        <w:t>）中Ⅲ类标准；污染物氯化物和耗氧量（</w:t>
      </w:r>
      <w:r>
        <w:rPr>
          <w:rFonts w:ascii="Times New Roman" w:hAnsi="Times New Roman" w:eastAsia="Times New Roman" w:cs="Times New Roman"/>
          <w:spacing w:val="-12"/>
          <w:sz w:val="24"/>
          <w:szCs w:val="24"/>
        </w:rPr>
        <w:t>COD</w:t>
      </w:r>
      <w:r>
        <w:rPr>
          <w:rFonts w:ascii="Times New Roman" w:hAnsi="Times New Roman" w:eastAsia="Times New Roman" w:cs="Times New Roman"/>
          <w:spacing w:val="-12"/>
          <w:position w:val="-1"/>
          <w:sz w:val="16"/>
          <w:szCs w:val="16"/>
        </w:rPr>
        <w:t>Mn</w:t>
      </w:r>
      <w:r>
        <w:rPr>
          <w:rFonts w:ascii="宋体" w:hAnsi="宋体" w:eastAsia="宋体" w:cs="宋体"/>
          <w:spacing w:val="-12"/>
          <w:sz w:val="24"/>
          <w:szCs w:val="24"/>
        </w:rPr>
        <w:t>）</w:t>
      </w:r>
      <w:r>
        <w:rPr>
          <w:rFonts w:ascii="宋体" w:hAnsi="宋体" w:eastAsia="宋体" w:cs="宋体"/>
          <w:spacing w:val="18"/>
          <w:sz w:val="24"/>
          <w:szCs w:val="24"/>
        </w:rPr>
        <w:t xml:space="preserve"> </w:t>
      </w:r>
      <w:r>
        <w:rPr>
          <w:rFonts w:ascii="宋体" w:hAnsi="宋体" w:eastAsia="宋体" w:cs="宋体"/>
          <w:spacing w:val="-2"/>
          <w:sz w:val="24"/>
          <w:szCs w:val="24"/>
        </w:rPr>
        <w:t>预测评价采用《地下水环境质量标准》（</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14848</w:t>
      </w:r>
      <w:r>
        <w:rPr>
          <w:rFonts w:ascii="Times New Roman" w:hAnsi="Times New Roman" w:eastAsia="Times New Roman" w:cs="Times New Roman"/>
          <w:spacing w:val="-3"/>
          <w:sz w:val="24"/>
          <w:szCs w:val="24"/>
        </w:rPr>
        <w:t>-2017</w:t>
      </w:r>
      <w:r>
        <w:rPr>
          <w:rFonts w:ascii="宋体" w:hAnsi="宋体" w:eastAsia="宋体" w:cs="宋体"/>
          <w:spacing w:val="-3"/>
          <w:sz w:val="24"/>
          <w:szCs w:val="24"/>
        </w:rPr>
        <w:t>）中的Ⅲ类水质标准限值进</w:t>
      </w:r>
      <w:r>
        <w:rPr>
          <w:rFonts w:ascii="宋体" w:hAnsi="宋体" w:eastAsia="宋体" w:cs="宋体"/>
          <w:sz w:val="24"/>
          <w:szCs w:val="24"/>
        </w:rPr>
        <w:t xml:space="preserve">  </w:t>
      </w:r>
      <w:r>
        <w:rPr>
          <w:rFonts w:ascii="宋体" w:hAnsi="宋体" w:eastAsia="宋体" w:cs="宋体"/>
          <w:spacing w:val="-11"/>
          <w:sz w:val="24"/>
          <w:szCs w:val="24"/>
        </w:rPr>
        <w:t>行影响预测与评价，耗氧量（</w:t>
      </w:r>
      <w:r>
        <w:rPr>
          <w:rFonts w:ascii="Times New Roman" w:hAnsi="Times New Roman" w:eastAsia="Times New Roman" w:cs="Times New Roman"/>
          <w:spacing w:val="-11"/>
          <w:sz w:val="24"/>
          <w:szCs w:val="24"/>
        </w:rPr>
        <w:t>COD</w:t>
      </w:r>
      <w:r>
        <w:rPr>
          <w:rFonts w:ascii="Times New Roman" w:hAnsi="Times New Roman" w:eastAsia="Times New Roman" w:cs="Times New Roman"/>
          <w:spacing w:val="-11"/>
          <w:position w:val="-1"/>
          <w:sz w:val="16"/>
          <w:szCs w:val="16"/>
        </w:rPr>
        <w:t>Mn</w:t>
      </w:r>
      <w:r>
        <w:rPr>
          <w:rFonts w:ascii="宋体" w:hAnsi="宋体" w:eastAsia="宋体" w:cs="宋体"/>
          <w:spacing w:val="-11"/>
          <w:sz w:val="24"/>
          <w:szCs w:val="24"/>
        </w:rPr>
        <w:t>）、石油类和氯化物的超标限值分别设定为</w:t>
      </w:r>
      <w:r>
        <w:rPr>
          <w:rFonts w:ascii="Times New Roman" w:hAnsi="Times New Roman" w:eastAsia="Times New Roman" w:cs="Times New Roman"/>
          <w:spacing w:val="-11"/>
          <w:sz w:val="24"/>
          <w:szCs w:val="24"/>
        </w:rPr>
        <w:t>3.0mg/L</w:t>
      </w:r>
      <w:r>
        <w:rPr>
          <w:rFonts w:ascii="宋体" w:hAnsi="宋体" w:eastAsia="宋体" w:cs="宋体"/>
          <w:spacing w:val="-11"/>
          <w:sz w:val="24"/>
          <w:szCs w:val="24"/>
        </w:rPr>
        <w:t>、</w:t>
      </w:r>
    </w:p>
    <w:p>
      <w:pPr>
        <w:spacing w:line="212" w:lineRule="auto"/>
        <w:ind w:left="4"/>
        <w:rPr>
          <w:rFonts w:ascii="宋体" w:hAnsi="宋体" w:eastAsia="宋体" w:cs="宋体"/>
          <w:sz w:val="24"/>
          <w:szCs w:val="24"/>
        </w:rPr>
      </w:pPr>
      <w:r>
        <w:rPr>
          <w:rFonts w:ascii="Times New Roman" w:hAnsi="Times New Roman" w:eastAsia="Times New Roman" w:cs="Times New Roman"/>
          <w:spacing w:val="-1"/>
          <w:sz w:val="24"/>
          <w:szCs w:val="24"/>
        </w:rPr>
        <w:t xml:space="preserve">0.05mg/L </w:t>
      </w:r>
      <w:r>
        <w:rPr>
          <w:rFonts w:ascii="宋体" w:hAnsi="宋体" w:eastAsia="宋体" w:cs="宋体"/>
          <w:spacing w:val="-1"/>
          <w:sz w:val="24"/>
          <w:szCs w:val="24"/>
        </w:rPr>
        <w:t>和</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250mg/L</w:t>
      </w:r>
      <w:r>
        <w:rPr>
          <w:rFonts w:ascii="宋体" w:hAnsi="宋体" w:eastAsia="宋体" w:cs="宋体"/>
          <w:spacing w:val="-1"/>
          <w:sz w:val="24"/>
          <w:szCs w:val="24"/>
        </w:rPr>
        <w:t>。</w:t>
      </w:r>
    </w:p>
    <w:p>
      <w:pPr>
        <w:pStyle w:val="2"/>
        <w:spacing w:line="244" w:lineRule="auto"/>
        <w:rPr>
          <w:sz w:val="21"/>
        </w:rPr>
      </w:pPr>
    </w:p>
    <w:p>
      <w:pPr>
        <w:spacing w:before="101" w:line="783" w:lineRule="exact"/>
        <w:rPr>
          <w:rFonts w:ascii="宋体" w:hAnsi="宋体" w:eastAsia="宋体" w:cs="宋体"/>
          <w:sz w:val="31"/>
          <w:szCs w:val="31"/>
        </w:rPr>
      </w:pPr>
      <w:bookmarkStart w:id="20" w:name="bookmark21"/>
      <w:bookmarkEnd w:id="20"/>
      <w:r>
        <w:rPr>
          <w:rFonts w:ascii="Times New Roman" w:hAnsi="Times New Roman" w:eastAsia="Times New Roman" w:cs="Times New Roman"/>
          <w:b/>
          <w:bCs/>
          <w:spacing w:val="10"/>
          <w:position w:val="35"/>
          <w:sz w:val="31"/>
          <w:szCs w:val="31"/>
        </w:rPr>
        <w:t>3.5</w:t>
      </w:r>
      <w:r>
        <w:rPr>
          <w:rFonts w:ascii="宋体" w:hAnsi="宋体" w:eastAsia="宋体" w:cs="宋体"/>
          <w:spacing w:val="10"/>
          <w:position w:val="35"/>
          <w:sz w:val="31"/>
          <w:szCs w:val="31"/>
          <w14:textOutline w14:w="5791" w14:cap="flat" w14:cmpd="sng">
            <w14:solidFill>
              <w14:srgbClr w14:val="000000"/>
            </w14:solidFill>
            <w14:prstDash w14:val="solid"/>
            <w14:miter w14:val="10"/>
          </w14:textOutline>
        </w:rPr>
        <w:t>预测情景</w:t>
      </w:r>
    </w:p>
    <w:p>
      <w:pPr>
        <w:spacing w:before="1" w:line="220" w:lineRule="auto"/>
        <w:rPr>
          <w:rFonts w:ascii="宋体" w:hAnsi="宋体" w:eastAsia="宋体" w:cs="宋体"/>
          <w:sz w:val="28"/>
          <w:szCs w:val="28"/>
        </w:rPr>
      </w:pPr>
      <w:r>
        <w:rPr>
          <w:rFonts w:ascii="Times New Roman" w:hAnsi="Times New Roman" w:eastAsia="Times New Roman" w:cs="Times New Roman"/>
          <w:b/>
          <w:bCs/>
          <w:spacing w:val="-2"/>
          <w:sz w:val="28"/>
          <w:szCs w:val="28"/>
        </w:rPr>
        <w:t>3.5.1</w:t>
      </w:r>
      <w:r>
        <w:rPr>
          <w:rFonts w:ascii="Times New Roman" w:hAnsi="Times New Roman" w:eastAsia="Times New Roman" w:cs="Times New Roman"/>
          <w:b/>
          <w:bCs/>
          <w:spacing w:val="4"/>
          <w:sz w:val="28"/>
          <w:szCs w:val="28"/>
        </w:rPr>
        <w:t xml:space="preserve">    </w:t>
      </w:r>
      <w:r>
        <w:rPr>
          <w:rFonts w:ascii="宋体" w:hAnsi="宋体" w:eastAsia="宋体" w:cs="宋体"/>
          <w:spacing w:val="-2"/>
          <w:sz w:val="28"/>
          <w:szCs w:val="28"/>
          <w14:textOutline w14:w="5094" w14:cap="flat" w14:cmpd="sng">
            <w14:solidFill>
              <w14:srgbClr w14:val="000000"/>
            </w14:solidFill>
            <w14:prstDash w14:val="solid"/>
            <w14:miter w14:val="10"/>
          </w14:textOutline>
        </w:rPr>
        <w:t>正常工况</w:t>
      </w:r>
    </w:p>
    <w:p>
      <w:pPr>
        <w:pStyle w:val="2"/>
        <w:spacing w:line="412" w:lineRule="auto"/>
        <w:rPr>
          <w:sz w:val="21"/>
        </w:rPr>
      </w:pPr>
    </w:p>
    <w:p>
      <w:pPr>
        <w:spacing w:before="78" w:line="360" w:lineRule="auto"/>
        <w:ind w:left="3" w:right="120" w:firstLine="480"/>
        <w:rPr>
          <w:rFonts w:ascii="宋体" w:hAnsi="宋体" w:eastAsia="宋体" w:cs="宋体"/>
          <w:sz w:val="24"/>
          <w:szCs w:val="24"/>
        </w:rPr>
      </w:pPr>
      <w:r>
        <w:rPr>
          <w:rFonts w:ascii="宋体" w:hAnsi="宋体" w:eastAsia="宋体" w:cs="宋体"/>
          <w:sz w:val="24"/>
          <w:szCs w:val="24"/>
        </w:rPr>
        <w:t>拟建项目钻井期间，对地下水影响潜在的因素包括正常</w:t>
      </w:r>
      <w:r>
        <w:rPr>
          <w:rFonts w:ascii="宋体" w:hAnsi="宋体" w:eastAsia="宋体" w:cs="宋体"/>
          <w:spacing w:val="-1"/>
          <w:sz w:val="24"/>
          <w:szCs w:val="24"/>
        </w:rPr>
        <w:t>状况和非正常状况两种情</w:t>
      </w:r>
      <w:r>
        <w:rPr>
          <w:rFonts w:ascii="宋体" w:hAnsi="宋体" w:eastAsia="宋体" w:cs="宋体"/>
          <w:sz w:val="24"/>
          <w:szCs w:val="24"/>
        </w:rPr>
        <w:t xml:space="preserve"> </w:t>
      </w:r>
      <w:r>
        <w:rPr>
          <w:rFonts w:ascii="宋体" w:hAnsi="宋体" w:eastAsia="宋体" w:cs="宋体"/>
          <w:spacing w:val="-7"/>
          <w:sz w:val="24"/>
          <w:szCs w:val="24"/>
        </w:rPr>
        <w:t>景。钻井工程对地下水污染源主要来自钻井作业废水、废钻井泥浆以及柴油发电机房、</w:t>
      </w:r>
      <w:r>
        <w:rPr>
          <w:rFonts w:ascii="宋体" w:hAnsi="宋体" w:eastAsia="宋体" w:cs="宋体"/>
          <w:spacing w:val="1"/>
          <w:sz w:val="24"/>
          <w:szCs w:val="24"/>
        </w:rPr>
        <w:t xml:space="preserve"> </w:t>
      </w:r>
      <w:r>
        <w:rPr>
          <w:rFonts w:ascii="宋体" w:hAnsi="宋体" w:eastAsia="宋体" w:cs="宋体"/>
          <w:spacing w:val="-2"/>
          <w:sz w:val="24"/>
          <w:szCs w:val="24"/>
        </w:rPr>
        <w:t>储备罐中的油类物质等的泄漏和外溢，这些物质都放置在相应的储备罐或应急池中，</w:t>
      </w:r>
      <w:r>
        <w:rPr>
          <w:rFonts w:ascii="宋体" w:hAnsi="宋体" w:eastAsia="宋体" w:cs="宋体"/>
          <w:spacing w:val="11"/>
          <w:sz w:val="24"/>
          <w:szCs w:val="24"/>
        </w:rPr>
        <w:t xml:space="preserve"> </w:t>
      </w:r>
      <w:r>
        <w:rPr>
          <w:rFonts w:ascii="宋体" w:hAnsi="宋体" w:eastAsia="宋体" w:cs="宋体"/>
          <w:sz w:val="24"/>
          <w:szCs w:val="24"/>
        </w:rPr>
        <w:t>一般情况下，只要对各种地下水污染源及时采取回用、转运、</w:t>
      </w:r>
      <w:r>
        <w:rPr>
          <w:rFonts w:ascii="宋体" w:hAnsi="宋体" w:eastAsia="宋体" w:cs="宋体"/>
          <w:spacing w:val="-1"/>
          <w:sz w:val="24"/>
          <w:szCs w:val="24"/>
        </w:rPr>
        <w:t>防渗等方式处理，就不</w:t>
      </w:r>
      <w:r>
        <w:rPr>
          <w:rFonts w:ascii="宋体" w:hAnsi="宋体" w:eastAsia="宋体" w:cs="宋体"/>
          <w:sz w:val="24"/>
          <w:szCs w:val="24"/>
        </w:rPr>
        <w:t xml:space="preserve"> 会对地下水水质产生明显不利影响。与此同时，井场选址于地</w:t>
      </w:r>
      <w:r>
        <w:rPr>
          <w:rFonts w:ascii="宋体" w:hAnsi="宋体" w:eastAsia="宋体" w:cs="宋体"/>
          <w:spacing w:val="-1"/>
          <w:sz w:val="24"/>
          <w:szCs w:val="24"/>
        </w:rPr>
        <w:t>质稳定地带，也不受当</w:t>
      </w:r>
      <w:r>
        <w:rPr>
          <w:rFonts w:ascii="宋体" w:hAnsi="宋体" w:eastAsia="宋体" w:cs="宋体"/>
          <w:sz w:val="24"/>
          <w:szCs w:val="24"/>
        </w:rPr>
        <w:t xml:space="preserve"> </w:t>
      </w:r>
      <w:r>
        <w:rPr>
          <w:rFonts w:ascii="宋体" w:hAnsi="宋体" w:eastAsia="宋体" w:cs="宋体"/>
          <w:spacing w:val="-12"/>
          <w:sz w:val="24"/>
          <w:szCs w:val="24"/>
        </w:rPr>
        <w:t>地河水洪灾危险， 正常状况下废水外溢及下渗造成地下水污染的可能性极小， 根</w:t>
      </w:r>
      <w:r>
        <w:rPr>
          <w:rFonts w:ascii="宋体" w:hAnsi="宋体" w:eastAsia="宋体" w:cs="宋体"/>
          <w:spacing w:val="-13"/>
          <w:sz w:val="24"/>
          <w:szCs w:val="24"/>
        </w:rPr>
        <w:t>据《环</w:t>
      </w:r>
      <w:r>
        <w:rPr>
          <w:rFonts w:ascii="宋体" w:hAnsi="宋体" w:eastAsia="宋体" w:cs="宋体"/>
          <w:sz w:val="24"/>
          <w:szCs w:val="24"/>
        </w:rPr>
        <w:t xml:space="preserve"> 境影响评价技术导则</w:t>
      </w:r>
      <w:r>
        <w:rPr>
          <w:rFonts w:ascii="Times New Roman" w:hAnsi="Times New Roman" w:eastAsia="Times New Roman" w:cs="Times New Roman"/>
          <w:sz w:val="24"/>
          <w:szCs w:val="24"/>
        </w:rPr>
        <w:t>—</w:t>
      </w:r>
      <w:r>
        <w:rPr>
          <w:rFonts w:ascii="宋体" w:hAnsi="宋体" w:eastAsia="宋体" w:cs="宋体"/>
          <w:sz w:val="24"/>
          <w:szCs w:val="24"/>
        </w:rPr>
        <w:t>地下水环境》（</w:t>
      </w:r>
      <w:r>
        <w:rPr>
          <w:rFonts w:ascii="Times New Roman" w:hAnsi="Times New Roman" w:eastAsia="Times New Roman" w:cs="Times New Roman"/>
          <w:sz w:val="24"/>
          <w:szCs w:val="24"/>
        </w:rPr>
        <w:t>HJ610-2</w:t>
      </w:r>
      <w:r>
        <w:rPr>
          <w:rFonts w:ascii="Times New Roman" w:hAnsi="Times New Roman" w:eastAsia="Times New Roman" w:cs="Times New Roman"/>
          <w:spacing w:val="-1"/>
          <w:sz w:val="24"/>
          <w:szCs w:val="24"/>
        </w:rPr>
        <w:t>016</w:t>
      </w:r>
      <w:r>
        <w:rPr>
          <w:rFonts w:ascii="宋体" w:hAnsi="宋体" w:eastAsia="宋体" w:cs="宋体"/>
          <w:spacing w:val="-1"/>
          <w:sz w:val="24"/>
          <w:szCs w:val="24"/>
        </w:rPr>
        <w:t>），可不进行正常状况情景下的预</w:t>
      </w:r>
    </w:p>
    <w:p>
      <w:pPr>
        <w:spacing w:before="1" w:line="220" w:lineRule="auto"/>
        <w:ind w:left="5"/>
        <w:rPr>
          <w:rFonts w:ascii="宋体" w:hAnsi="宋体" w:eastAsia="宋体" w:cs="宋体"/>
          <w:sz w:val="24"/>
          <w:szCs w:val="24"/>
        </w:rPr>
      </w:pPr>
      <w:r>
        <w:rPr>
          <w:rFonts w:ascii="宋体" w:hAnsi="宋体" w:eastAsia="宋体" w:cs="宋体"/>
          <w:spacing w:val="-12"/>
          <w:sz w:val="24"/>
          <w:szCs w:val="24"/>
        </w:rPr>
        <w:t>测。</w:t>
      </w:r>
    </w:p>
    <w:p>
      <w:pPr>
        <w:pStyle w:val="2"/>
        <w:spacing w:line="404" w:lineRule="auto"/>
        <w:rPr>
          <w:sz w:val="21"/>
        </w:rPr>
      </w:pPr>
    </w:p>
    <w:p>
      <w:pPr>
        <w:spacing w:before="91" w:line="221" w:lineRule="auto"/>
        <w:rPr>
          <w:rFonts w:ascii="宋体" w:hAnsi="宋体" w:eastAsia="宋体" w:cs="宋体"/>
          <w:sz w:val="28"/>
          <w:szCs w:val="28"/>
        </w:rPr>
      </w:pPr>
      <w:r>
        <w:rPr>
          <w:rFonts w:ascii="Times New Roman" w:hAnsi="Times New Roman" w:eastAsia="Times New Roman" w:cs="Times New Roman"/>
          <w:b/>
          <w:bCs/>
          <w:sz w:val="28"/>
          <w:szCs w:val="28"/>
        </w:rPr>
        <w:t xml:space="preserve">3.5.2    </w:t>
      </w:r>
      <w:r>
        <w:rPr>
          <w:rFonts w:ascii="宋体" w:hAnsi="宋体" w:eastAsia="宋体" w:cs="宋体"/>
          <w:sz w:val="28"/>
          <w:szCs w:val="28"/>
          <w14:textOutline w14:w="5094" w14:cap="flat" w14:cmpd="sng">
            <w14:solidFill>
              <w14:srgbClr w14:val="000000"/>
            </w14:solidFill>
            <w14:prstDash w14:val="solid"/>
            <w14:miter w14:val="10"/>
          </w14:textOutline>
        </w:rPr>
        <w:t>非正常工况</w:t>
      </w:r>
    </w:p>
    <w:p>
      <w:pPr>
        <w:pStyle w:val="2"/>
        <w:spacing w:line="411" w:lineRule="auto"/>
        <w:rPr>
          <w:sz w:val="21"/>
        </w:rPr>
      </w:pPr>
    </w:p>
    <w:p>
      <w:pPr>
        <w:spacing w:before="78" w:line="468" w:lineRule="exact"/>
        <w:ind w:left="484"/>
        <w:rPr>
          <w:rFonts w:ascii="宋体" w:hAnsi="宋体" w:eastAsia="宋体" w:cs="宋体"/>
          <w:sz w:val="24"/>
          <w:szCs w:val="24"/>
        </w:rPr>
      </w:pPr>
      <w:r>
        <w:rPr>
          <w:rFonts w:ascii="宋体" w:hAnsi="宋体" w:eastAsia="宋体" w:cs="宋体"/>
          <w:spacing w:val="-5"/>
          <w:position w:val="17"/>
          <w:sz w:val="24"/>
          <w:szCs w:val="24"/>
        </w:rPr>
        <w:t>根据地下水环境影响识别结果，施工期非正常状况下对地下水环境影响较大。</w:t>
      </w:r>
      <w:r>
        <w:rPr>
          <w:rFonts w:ascii="宋体" w:hAnsi="宋体" w:eastAsia="宋体" w:cs="宋体"/>
          <w:spacing w:val="55"/>
          <w:position w:val="17"/>
          <w:sz w:val="24"/>
          <w:szCs w:val="24"/>
        </w:rPr>
        <w:t xml:space="preserve"> </w:t>
      </w:r>
      <w:r>
        <w:rPr>
          <w:rFonts w:ascii="宋体" w:hAnsi="宋体" w:eastAsia="宋体" w:cs="宋体"/>
          <w:spacing w:val="-5"/>
          <w:position w:val="17"/>
          <w:sz w:val="24"/>
          <w:szCs w:val="24"/>
        </w:rPr>
        <w:t>拟</w:t>
      </w:r>
    </w:p>
    <w:p>
      <w:pPr>
        <w:spacing w:before="1" w:line="218" w:lineRule="auto"/>
        <w:ind w:left="7"/>
        <w:rPr>
          <w:rFonts w:ascii="宋体" w:hAnsi="宋体" w:eastAsia="宋体" w:cs="宋体"/>
          <w:sz w:val="24"/>
          <w:szCs w:val="24"/>
        </w:rPr>
      </w:pPr>
      <w:r>
        <w:rPr>
          <w:rFonts w:ascii="宋体" w:hAnsi="宋体" w:eastAsia="宋体" w:cs="宋体"/>
          <w:spacing w:val="-2"/>
          <w:sz w:val="24"/>
          <w:szCs w:val="24"/>
        </w:rPr>
        <w:t>建项目非正常状况下对地下水可能产生的不利影响途径主要有以下几个方面：</w:t>
      </w:r>
    </w:p>
    <w:p>
      <w:pPr>
        <w:spacing w:before="184" w:line="217" w:lineRule="auto"/>
        <w:ind w:left="483"/>
        <w:rPr>
          <w:rFonts w:ascii="宋体" w:hAnsi="宋体" w:eastAsia="宋体" w:cs="宋体"/>
          <w:sz w:val="24"/>
          <w:szCs w:val="24"/>
        </w:rPr>
      </w:pPr>
      <w:r>
        <w:rPr>
          <w:rFonts w:ascii="宋体" w:hAnsi="宋体" w:eastAsia="宋体" w:cs="宋体"/>
          <w:spacing w:val="-4"/>
          <w:sz w:val="24"/>
          <w:szCs w:val="24"/>
        </w:rPr>
        <w:t>①钻井初期钻井液渗入浅层地下水；</w:t>
      </w:r>
    </w:p>
    <w:p>
      <w:pPr>
        <w:spacing w:before="186" w:line="360" w:lineRule="auto"/>
        <w:ind w:left="8" w:right="127" w:firstLine="474"/>
        <w:rPr>
          <w:rFonts w:ascii="宋体" w:hAnsi="宋体" w:eastAsia="宋体" w:cs="宋体"/>
          <w:sz w:val="24"/>
          <w:szCs w:val="24"/>
        </w:rPr>
      </w:pPr>
      <w:r>
        <w:rPr>
          <w:rFonts w:ascii="宋体" w:hAnsi="宋体" w:eastAsia="宋体" w:cs="宋体"/>
          <w:sz w:val="24"/>
          <w:szCs w:val="24"/>
        </w:rPr>
        <w:t>②因防渗不到位出现废水渗漏，或是在雨季发生泥浆池外溢</w:t>
      </w:r>
      <w:r>
        <w:rPr>
          <w:rFonts w:ascii="宋体" w:hAnsi="宋体" w:eastAsia="宋体" w:cs="宋体"/>
          <w:spacing w:val="-1"/>
          <w:sz w:val="24"/>
          <w:szCs w:val="24"/>
        </w:rPr>
        <w:t>情况，井场设备机油</w:t>
      </w:r>
      <w:r>
        <w:rPr>
          <w:rFonts w:ascii="宋体" w:hAnsi="宋体" w:eastAsia="宋体" w:cs="宋体"/>
          <w:sz w:val="24"/>
          <w:szCs w:val="24"/>
        </w:rPr>
        <w:t xml:space="preserve"> 泄漏，生活污水、固废以及钻井所需化学品堆放不</w:t>
      </w:r>
      <w:r>
        <w:rPr>
          <w:rFonts w:ascii="宋体" w:hAnsi="宋体" w:eastAsia="宋体" w:cs="宋体"/>
          <w:spacing w:val="-1"/>
          <w:sz w:val="24"/>
          <w:szCs w:val="24"/>
        </w:rPr>
        <w:t>当，在雨季产生地面溢流等都有可</w:t>
      </w:r>
    </w:p>
    <w:p>
      <w:pPr>
        <w:spacing w:before="1" w:line="219" w:lineRule="auto"/>
        <w:ind w:left="14"/>
        <w:rPr>
          <w:rFonts w:ascii="宋体" w:hAnsi="宋体" w:eastAsia="宋体" w:cs="宋体"/>
          <w:sz w:val="24"/>
          <w:szCs w:val="24"/>
        </w:rPr>
      </w:pPr>
      <w:r>
        <w:rPr>
          <w:rFonts w:ascii="宋体" w:hAnsi="宋体" w:eastAsia="宋体" w:cs="宋体"/>
          <w:spacing w:val="-5"/>
          <w:sz w:val="24"/>
          <w:szCs w:val="24"/>
        </w:rPr>
        <w:t>能造成不同程度的地下水污染；</w:t>
      </w:r>
    </w:p>
    <w:p>
      <w:pPr>
        <w:spacing w:before="182" w:line="468" w:lineRule="exact"/>
        <w:ind w:left="482"/>
        <w:rPr>
          <w:rFonts w:ascii="宋体" w:hAnsi="宋体" w:eastAsia="宋体" w:cs="宋体"/>
          <w:sz w:val="24"/>
          <w:szCs w:val="24"/>
        </w:rPr>
      </w:pPr>
      <w:r>
        <w:rPr>
          <w:rFonts w:ascii="宋体" w:hAnsi="宋体" w:eastAsia="宋体" w:cs="宋体"/>
          <w:position w:val="17"/>
          <w:sz w:val="24"/>
          <w:szCs w:val="24"/>
        </w:rPr>
        <w:t>③物料跑冒滴漏，钻井过程中物料管理不严格、化学品堆放</w:t>
      </w:r>
      <w:r>
        <w:rPr>
          <w:rFonts w:ascii="宋体" w:hAnsi="宋体" w:eastAsia="宋体" w:cs="宋体"/>
          <w:spacing w:val="-1"/>
          <w:position w:val="17"/>
          <w:sz w:val="24"/>
          <w:szCs w:val="24"/>
        </w:rPr>
        <w:t>不当、柴油泄漏等物</w:t>
      </w:r>
    </w:p>
    <w:p>
      <w:pPr>
        <w:spacing w:before="1" w:line="219" w:lineRule="auto"/>
        <w:ind w:left="4"/>
        <w:rPr>
          <w:rFonts w:ascii="宋体" w:hAnsi="宋体" w:eastAsia="宋体" w:cs="宋体"/>
          <w:sz w:val="24"/>
          <w:szCs w:val="24"/>
        </w:rPr>
      </w:pPr>
      <w:r>
        <w:rPr>
          <w:rFonts w:ascii="宋体" w:hAnsi="宋体" w:eastAsia="宋体" w:cs="宋体"/>
          <w:spacing w:val="-4"/>
          <w:sz w:val="24"/>
          <w:szCs w:val="24"/>
        </w:rPr>
        <w:t>料的跑冒滴漏不同程度的污染地下水；</w:t>
      </w:r>
    </w:p>
    <w:p>
      <w:pPr>
        <w:spacing w:line="219" w:lineRule="auto"/>
        <w:rPr>
          <w:rFonts w:ascii="宋体" w:hAnsi="宋体" w:eastAsia="宋体" w:cs="宋体"/>
          <w:sz w:val="24"/>
          <w:szCs w:val="24"/>
        </w:rPr>
        <w:sectPr>
          <w:footerReference r:id="rId176" w:type="default"/>
          <w:pgSz w:w="11907" w:h="16839"/>
          <w:pgMar w:top="400" w:right="1309" w:bottom="1151" w:left="1593"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482"/>
        <w:rPr>
          <w:rFonts w:ascii="宋体" w:hAnsi="宋体" w:eastAsia="宋体" w:cs="宋体"/>
          <w:sz w:val="24"/>
          <w:szCs w:val="24"/>
        </w:rPr>
      </w:pPr>
      <w:r>
        <w:rPr>
          <w:rFonts w:ascii="宋体" w:hAnsi="宋体" w:eastAsia="宋体" w:cs="宋体"/>
          <w:position w:val="17"/>
          <w:sz w:val="24"/>
          <w:szCs w:val="24"/>
        </w:rPr>
        <w:t>④废水收集罐（池）因防渗不到位出现废水渗漏，有可能造</w:t>
      </w:r>
      <w:r>
        <w:rPr>
          <w:rFonts w:ascii="宋体" w:hAnsi="宋体" w:eastAsia="宋体" w:cs="宋体"/>
          <w:spacing w:val="-1"/>
          <w:position w:val="17"/>
          <w:sz w:val="24"/>
          <w:szCs w:val="24"/>
        </w:rPr>
        <w:t>成不同程度的地下水</w:t>
      </w:r>
    </w:p>
    <w:p>
      <w:pPr>
        <w:spacing w:line="220" w:lineRule="auto"/>
        <w:ind w:left="6"/>
        <w:rPr>
          <w:rFonts w:ascii="宋体" w:hAnsi="宋体" w:eastAsia="宋体" w:cs="宋体"/>
          <w:sz w:val="24"/>
          <w:szCs w:val="24"/>
        </w:rPr>
      </w:pPr>
      <w:r>
        <w:rPr>
          <w:rFonts w:ascii="宋体" w:hAnsi="宋体" w:eastAsia="宋体" w:cs="宋体"/>
          <w:spacing w:val="-15"/>
          <w:sz w:val="24"/>
          <w:szCs w:val="24"/>
        </w:rPr>
        <w:t>污染；</w:t>
      </w:r>
    </w:p>
    <w:p>
      <w:pPr>
        <w:spacing w:before="182" w:line="217" w:lineRule="auto"/>
        <w:ind w:left="482"/>
        <w:rPr>
          <w:rFonts w:ascii="宋体" w:hAnsi="宋体" w:eastAsia="宋体" w:cs="宋体"/>
          <w:sz w:val="24"/>
          <w:szCs w:val="24"/>
        </w:rPr>
      </w:pPr>
      <w:r>
        <w:rPr>
          <w:rFonts w:ascii="宋体" w:hAnsi="宋体" w:eastAsia="宋体" w:cs="宋体"/>
          <w:spacing w:val="-2"/>
          <w:sz w:val="24"/>
          <w:szCs w:val="24"/>
        </w:rPr>
        <w:t>⑤井喷造成钻井液外溢，可能造成地下水污染。</w:t>
      </w:r>
    </w:p>
    <w:p>
      <w:pPr>
        <w:spacing w:before="185" w:line="468" w:lineRule="exact"/>
        <w:ind w:right="66"/>
        <w:jc w:val="right"/>
        <w:rPr>
          <w:rFonts w:ascii="宋体" w:hAnsi="宋体" w:eastAsia="宋体" w:cs="宋体"/>
          <w:sz w:val="24"/>
          <w:szCs w:val="24"/>
        </w:rPr>
      </w:pPr>
      <w:r>
        <w:rPr>
          <w:rFonts w:ascii="宋体" w:hAnsi="宋体" w:eastAsia="宋体" w:cs="宋体"/>
          <w:position w:val="17"/>
          <w:sz w:val="24"/>
          <w:szCs w:val="24"/>
        </w:rPr>
        <w:t>根据上述分析，非正常状况下对地下水环境主要污染途径来自于地面池体渗漏，</w:t>
      </w:r>
    </w:p>
    <w:p>
      <w:pPr>
        <w:spacing w:line="220" w:lineRule="auto"/>
        <w:ind w:left="4"/>
        <w:rPr>
          <w:rFonts w:ascii="宋体" w:hAnsi="宋体" w:eastAsia="宋体" w:cs="宋体"/>
          <w:sz w:val="24"/>
          <w:szCs w:val="24"/>
        </w:rPr>
      </w:pPr>
      <w:r>
        <w:rPr>
          <w:rFonts w:ascii="宋体" w:hAnsi="宋体" w:eastAsia="宋体" w:cs="宋体"/>
          <w:spacing w:val="-4"/>
          <w:sz w:val="24"/>
          <w:szCs w:val="24"/>
        </w:rPr>
        <w:t>地下钻井过程钻井液漏失。</w:t>
      </w:r>
    </w:p>
    <w:p>
      <w:pPr>
        <w:spacing w:before="182" w:line="360" w:lineRule="auto"/>
        <w:ind w:left="4" w:right="68" w:firstLine="478"/>
        <w:rPr>
          <w:rFonts w:ascii="宋体" w:hAnsi="宋体" w:eastAsia="宋体" w:cs="宋体"/>
          <w:sz w:val="24"/>
          <w:szCs w:val="24"/>
        </w:rPr>
      </w:pPr>
      <w:r>
        <w:rPr>
          <w:rFonts w:ascii="宋体" w:hAnsi="宋体" w:eastAsia="宋体" w:cs="宋体"/>
          <w:sz w:val="24"/>
          <w:szCs w:val="24"/>
        </w:rPr>
        <w:t>在一开段采用清水钻进，钻井过程中即使有少量清水液漏失，但考虑到污染物主</w:t>
      </w:r>
      <w:r>
        <w:rPr>
          <w:rFonts w:ascii="宋体" w:hAnsi="宋体" w:eastAsia="宋体" w:cs="宋体"/>
          <w:spacing w:val="7"/>
          <w:sz w:val="24"/>
          <w:szCs w:val="24"/>
        </w:rPr>
        <w:t xml:space="preserve"> </w:t>
      </w:r>
      <w:r>
        <w:rPr>
          <w:rFonts w:ascii="宋体" w:hAnsi="宋体" w:eastAsia="宋体" w:cs="宋体"/>
          <w:spacing w:val="-5"/>
          <w:sz w:val="24"/>
          <w:szCs w:val="24"/>
        </w:rPr>
        <w:t>要为悬浮物，</w:t>
      </w:r>
      <w:r>
        <w:rPr>
          <w:rFonts w:ascii="宋体" w:hAnsi="宋体" w:eastAsia="宋体" w:cs="宋体"/>
          <w:spacing w:val="67"/>
          <w:sz w:val="24"/>
          <w:szCs w:val="24"/>
        </w:rPr>
        <w:t xml:space="preserve"> </w:t>
      </w:r>
      <w:r>
        <w:rPr>
          <w:rFonts w:ascii="宋体" w:hAnsi="宋体" w:eastAsia="宋体" w:cs="宋体"/>
          <w:spacing w:val="-5"/>
          <w:sz w:val="24"/>
          <w:szCs w:val="24"/>
        </w:rPr>
        <w:t>且当地含水层渗透系数相对较小，泄漏量较少，对潜水含水层影响可接</w:t>
      </w:r>
      <w:r>
        <w:rPr>
          <w:rFonts w:ascii="宋体" w:hAnsi="宋体" w:eastAsia="宋体" w:cs="宋体"/>
          <w:sz w:val="24"/>
          <w:szCs w:val="24"/>
        </w:rPr>
        <w:t xml:space="preserve"> 受。在一开钻井完毕后，采用水泥固井，使后续钻井时钻井液与含水层的分隔，确保</w:t>
      </w:r>
      <w:r>
        <w:rPr>
          <w:rFonts w:ascii="宋体" w:hAnsi="宋体" w:eastAsia="宋体" w:cs="宋体"/>
          <w:spacing w:val="2"/>
          <w:sz w:val="24"/>
          <w:szCs w:val="24"/>
        </w:rPr>
        <w:t xml:space="preserve"> </w:t>
      </w:r>
      <w:r>
        <w:rPr>
          <w:rFonts w:ascii="宋体" w:hAnsi="宋体" w:eastAsia="宋体" w:cs="宋体"/>
          <w:sz w:val="24"/>
          <w:szCs w:val="24"/>
        </w:rPr>
        <w:t>钻井液漏失不会对地下水造成污染影响。钻井过程采用平衡钻井工艺，有效控制泥</w:t>
      </w:r>
    </w:p>
    <w:p>
      <w:pPr>
        <w:spacing w:line="219" w:lineRule="auto"/>
        <w:ind w:left="4"/>
        <w:rPr>
          <w:rFonts w:ascii="宋体" w:hAnsi="宋体" w:eastAsia="宋体" w:cs="宋体"/>
          <w:sz w:val="24"/>
          <w:szCs w:val="24"/>
        </w:rPr>
      </w:pPr>
      <w:r>
        <w:rPr>
          <w:rFonts w:ascii="宋体" w:hAnsi="宋体" w:eastAsia="宋体" w:cs="宋体"/>
          <w:spacing w:val="-2"/>
          <w:sz w:val="24"/>
          <w:szCs w:val="24"/>
        </w:rPr>
        <w:t>浆和地层压力，能够有效杜绝潜水含水层钻井液漏失事故发生。</w:t>
      </w:r>
    </w:p>
    <w:p>
      <w:pPr>
        <w:spacing w:before="183" w:line="360" w:lineRule="auto"/>
        <w:ind w:left="2" w:firstLine="482"/>
        <w:rPr>
          <w:rFonts w:ascii="宋体" w:hAnsi="宋体" w:eastAsia="宋体" w:cs="宋体"/>
          <w:sz w:val="24"/>
          <w:szCs w:val="24"/>
        </w:rPr>
      </w:pPr>
      <w:r>
        <w:rPr>
          <w:rFonts w:ascii="宋体" w:hAnsi="宋体" w:eastAsia="宋体" w:cs="宋体"/>
          <w:spacing w:val="-3"/>
          <w:sz w:val="24"/>
          <w:szCs w:val="24"/>
        </w:rPr>
        <w:t>本项目除应急池直接采用地陷式池体外，其他存放污水和泥浆装置均为</w:t>
      </w:r>
      <w:r>
        <w:rPr>
          <w:rFonts w:ascii="宋体" w:hAnsi="宋体" w:eastAsia="宋体" w:cs="宋体"/>
          <w:spacing w:val="-4"/>
          <w:sz w:val="24"/>
          <w:szCs w:val="24"/>
        </w:rPr>
        <w:t>罐体， 罐</w:t>
      </w:r>
      <w:r>
        <w:rPr>
          <w:rFonts w:ascii="宋体" w:hAnsi="宋体" w:eastAsia="宋体" w:cs="宋体"/>
          <w:sz w:val="24"/>
          <w:szCs w:val="24"/>
        </w:rPr>
        <w:t xml:space="preserve"> </w:t>
      </w:r>
      <w:r>
        <w:rPr>
          <w:rFonts w:ascii="宋体" w:hAnsi="宋体" w:eastAsia="宋体" w:cs="宋体"/>
          <w:spacing w:val="-6"/>
          <w:sz w:val="24"/>
          <w:szCs w:val="24"/>
        </w:rPr>
        <w:t>体外含有围堰且经过重点防渗处理，</w:t>
      </w:r>
      <w:r>
        <w:rPr>
          <w:rFonts w:ascii="宋体" w:hAnsi="宋体" w:eastAsia="宋体" w:cs="宋体"/>
          <w:spacing w:val="85"/>
          <w:sz w:val="24"/>
          <w:szCs w:val="24"/>
        </w:rPr>
        <w:t xml:space="preserve"> </w:t>
      </w:r>
      <w:r>
        <w:rPr>
          <w:rFonts w:ascii="宋体" w:hAnsi="宋体" w:eastAsia="宋体" w:cs="宋体"/>
          <w:spacing w:val="-6"/>
          <w:sz w:val="24"/>
          <w:szCs w:val="24"/>
        </w:rPr>
        <w:t xml:space="preserve">罐体位于地面上，即使发生泄漏，能及时发现泄 </w:t>
      </w:r>
      <w:r>
        <w:rPr>
          <w:rFonts w:ascii="宋体" w:hAnsi="宋体" w:eastAsia="宋体" w:cs="宋体"/>
          <w:spacing w:val="-8"/>
          <w:sz w:val="24"/>
          <w:szCs w:val="24"/>
        </w:rPr>
        <w:t>漏，收集在围堰内且采取处理措施，</w:t>
      </w:r>
      <w:r>
        <w:rPr>
          <w:rFonts w:ascii="宋体" w:hAnsi="宋体" w:eastAsia="宋体" w:cs="宋体"/>
          <w:spacing w:val="70"/>
          <w:sz w:val="24"/>
          <w:szCs w:val="24"/>
        </w:rPr>
        <w:t xml:space="preserve"> </w:t>
      </w:r>
      <w:r>
        <w:rPr>
          <w:rFonts w:ascii="宋体" w:hAnsi="宋体" w:eastAsia="宋体" w:cs="宋体"/>
          <w:spacing w:val="-8"/>
          <w:sz w:val="24"/>
          <w:szCs w:val="24"/>
        </w:rPr>
        <w:t>一般不会对地下水产生影响。 地面池体中主要设</w:t>
      </w:r>
      <w:r>
        <w:rPr>
          <w:rFonts w:ascii="宋体" w:hAnsi="宋体" w:eastAsia="宋体" w:cs="宋体"/>
          <w:sz w:val="24"/>
          <w:szCs w:val="24"/>
        </w:rPr>
        <w:t xml:space="preserve"> </w:t>
      </w:r>
      <w:r>
        <w:rPr>
          <w:rFonts w:ascii="宋体" w:hAnsi="宋体" w:eastAsia="宋体" w:cs="宋体"/>
          <w:spacing w:val="-12"/>
          <w:sz w:val="24"/>
          <w:szCs w:val="24"/>
        </w:rPr>
        <w:t>置应急池等，</w:t>
      </w:r>
      <w:r>
        <w:rPr>
          <w:rFonts w:ascii="宋体" w:hAnsi="宋体" w:eastAsia="宋体" w:cs="宋体"/>
          <w:spacing w:val="29"/>
          <w:sz w:val="24"/>
          <w:szCs w:val="24"/>
        </w:rPr>
        <w:t xml:space="preserve"> </w:t>
      </w:r>
      <w:r>
        <w:rPr>
          <w:rFonts w:ascii="宋体" w:hAnsi="宋体" w:eastAsia="宋体" w:cs="宋体"/>
          <w:spacing w:val="-12"/>
          <w:sz w:val="24"/>
          <w:szCs w:val="24"/>
        </w:rPr>
        <w:t>应急池用于事故状态下的废水临时储存。非正常状况下，</w:t>
      </w:r>
      <w:r>
        <w:rPr>
          <w:rFonts w:ascii="宋体" w:hAnsi="宋体" w:eastAsia="宋体" w:cs="宋体"/>
          <w:spacing w:val="30"/>
          <w:sz w:val="24"/>
          <w:szCs w:val="24"/>
        </w:rPr>
        <w:t xml:space="preserve"> </w:t>
      </w:r>
      <w:r>
        <w:rPr>
          <w:rFonts w:ascii="宋体" w:hAnsi="宋体" w:eastAsia="宋体" w:cs="宋体"/>
          <w:spacing w:val="-12"/>
          <w:sz w:val="24"/>
          <w:szCs w:val="24"/>
        </w:rPr>
        <w:t>池</w:t>
      </w:r>
      <w:r>
        <w:rPr>
          <w:rFonts w:ascii="宋体" w:hAnsi="宋体" w:eastAsia="宋体" w:cs="宋体"/>
          <w:spacing w:val="-13"/>
          <w:sz w:val="24"/>
          <w:szCs w:val="24"/>
        </w:rPr>
        <w:t>底出现裂缝，</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将会导致废水、溶解于水中的污染物进入地下水环境。</w:t>
      </w:r>
    </w:p>
    <w:p>
      <w:pPr>
        <w:spacing w:before="183" w:line="219" w:lineRule="auto"/>
        <w:ind w:left="502"/>
        <w:rPr>
          <w:rFonts w:ascii="宋体" w:hAnsi="宋体" w:eastAsia="宋体" w:cs="宋体"/>
          <w:sz w:val="24"/>
          <w:szCs w:val="24"/>
        </w:rPr>
      </w:pPr>
      <w:r>
        <w:rPr>
          <w:rFonts w:ascii="宋体" w:hAnsi="宋体" w:eastAsia="宋体" w:cs="宋体"/>
          <w:spacing w:val="-2"/>
          <w:sz w:val="24"/>
          <w:szCs w:val="24"/>
        </w:rPr>
        <w:t>因此，在地下水预测情景设计中，主要考虑地面池体应急池中废水下渗。</w:t>
      </w:r>
    </w:p>
    <w:p>
      <w:pPr>
        <w:spacing w:before="339" w:line="226" w:lineRule="auto"/>
        <w:rPr>
          <w:rFonts w:ascii="宋体" w:hAnsi="宋体" w:eastAsia="宋体" w:cs="宋体"/>
          <w:sz w:val="31"/>
          <w:szCs w:val="31"/>
        </w:rPr>
      </w:pPr>
      <w:bookmarkStart w:id="21" w:name="bookmark22"/>
      <w:bookmarkEnd w:id="21"/>
      <w:r>
        <w:rPr>
          <w:rFonts w:ascii="Times New Roman" w:hAnsi="Times New Roman" w:eastAsia="Times New Roman" w:cs="Times New Roman"/>
          <w:b/>
          <w:bCs/>
          <w:spacing w:val="10"/>
          <w:sz w:val="31"/>
          <w:szCs w:val="31"/>
        </w:rPr>
        <w:t>3.6</w:t>
      </w:r>
      <w:r>
        <w:rPr>
          <w:rFonts w:ascii="宋体" w:hAnsi="宋体" w:eastAsia="宋体" w:cs="宋体"/>
          <w:spacing w:val="10"/>
          <w:sz w:val="31"/>
          <w:szCs w:val="31"/>
          <w14:textOutline w14:w="5791" w14:cap="flat" w14:cmpd="sng">
            <w14:solidFill>
              <w14:srgbClr w14:val="000000"/>
            </w14:solidFill>
            <w14:prstDash w14:val="solid"/>
            <w14:miter w14:val="10"/>
          </w14:textOutline>
        </w:rPr>
        <w:t>预测源强</w:t>
      </w:r>
    </w:p>
    <w:p>
      <w:pPr>
        <w:pStyle w:val="2"/>
        <w:spacing w:line="245" w:lineRule="auto"/>
        <w:rPr>
          <w:sz w:val="21"/>
        </w:rPr>
      </w:pPr>
    </w:p>
    <w:p>
      <w:pPr>
        <w:spacing w:before="78" w:line="360" w:lineRule="auto"/>
        <w:ind w:left="4" w:right="63" w:firstLine="483"/>
        <w:rPr>
          <w:rFonts w:ascii="宋体" w:hAnsi="宋体" w:eastAsia="宋体" w:cs="宋体"/>
          <w:sz w:val="24"/>
          <w:szCs w:val="24"/>
        </w:rPr>
      </w:pPr>
      <w:r>
        <w:rPr>
          <w:rFonts w:ascii="宋体" w:hAnsi="宋体" w:eastAsia="宋体" w:cs="宋体"/>
          <w:sz w:val="24"/>
          <w:szCs w:val="24"/>
        </w:rPr>
        <w:t>非正常状况下，池底出现裂缝，将会导致废水进入地下水环境。施工期钻井工程</w:t>
      </w:r>
      <w:r>
        <w:rPr>
          <w:rFonts w:ascii="宋体" w:hAnsi="宋体" w:eastAsia="宋体" w:cs="宋体"/>
          <w:spacing w:val="2"/>
          <w:sz w:val="24"/>
          <w:szCs w:val="24"/>
        </w:rPr>
        <w:t xml:space="preserve"> </w:t>
      </w:r>
      <w:r>
        <w:rPr>
          <w:rFonts w:ascii="宋体" w:hAnsi="宋体" w:eastAsia="宋体" w:cs="宋体"/>
          <w:spacing w:val="-5"/>
          <w:sz w:val="24"/>
          <w:szCs w:val="24"/>
        </w:rPr>
        <w:t>新建</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500m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12"/>
          <w:position w:val="8"/>
          <w:sz w:val="16"/>
          <w:szCs w:val="16"/>
        </w:rPr>
        <w:t xml:space="preserve"> </w:t>
      </w:r>
      <w:r>
        <w:rPr>
          <w:rFonts w:ascii="宋体" w:hAnsi="宋体" w:eastAsia="宋体" w:cs="宋体"/>
          <w:spacing w:val="-5"/>
          <w:sz w:val="24"/>
          <w:szCs w:val="24"/>
        </w:rPr>
        <w:t>应急池，</w:t>
      </w:r>
      <w:r>
        <w:rPr>
          <w:rFonts w:ascii="宋体" w:hAnsi="宋体" w:eastAsia="宋体" w:cs="宋体"/>
          <w:spacing w:val="46"/>
          <w:sz w:val="24"/>
          <w:szCs w:val="24"/>
        </w:rPr>
        <w:t xml:space="preserve"> </w:t>
      </w:r>
      <w:r>
        <w:rPr>
          <w:rFonts w:ascii="宋体" w:hAnsi="宋体" w:eastAsia="宋体" w:cs="宋体"/>
          <w:spacing w:val="-5"/>
          <w:sz w:val="24"/>
          <w:szCs w:val="24"/>
        </w:rPr>
        <w:t>由相互隔开的</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200  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12"/>
          <w:position w:val="8"/>
          <w:sz w:val="16"/>
          <w:szCs w:val="16"/>
        </w:rPr>
        <w:t xml:space="preserve"> </w:t>
      </w:r>
      <w:r>
        <w:rPr>
          <w:rFonts w:ascii="宋体" w:hAnsi="宋体" w:eastAsia="宋体" w:cs="宋体"/>
          <w:spacing w:val="-5"/>
          <w:sz w:val="24"/>
          <w:szCs w:val="24"/>
        </w:rPr>
        <w:t>和</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300  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12"/>
          <w:position w:val="8"/>
          <w:sz w:val="16"/>
          <w:szCs w:val="16"/>
        </w:rPr>
        <w:t xml:space="preserve"> </w:t>
      </w:r>
      <w:r>
        <w:rPr>
          <w:rFonts w:ascii="宋体" w:hAnsi="宋体" w:eastAsia="宋体" w:cs="宋体"/>
          <w:spacing w:val="-5"/>
          <w:sz w:val="24"/>
          <w:szCs w:val="24"/>
        </w:rPr>
        <w:t>池体组成，假定其中较</w:t>
      </w:r>
      <w:r>
        <w:rPr>
          <w:rFonts w:ascii="宋体" w:hAnsi="宋体" w:eastAsia="宋体" w:cs="宋体"/>
          <w:spacing w:val="-6"/>
          <w:sz w:val="24"/>
          <w:szCs w:val="24"/>
        </w:rPr>
        <w:t>大的池体</w:t>
      </w:r>
      <w:r>
        <w:rPr>
          <w:rFonts w:ascii="宋体" w:hAnsi="宋体" w:eastAsia="宋体" w:cs="宋体"/>
          <w:sz w:val="24"/>
          <w:szCs w:val="24"/>
        </w:rPr>
        <w:t xml:space="preserve"> </w:t>
      </w:r>
      <w:r>
        <w:rPr>
          <w:rFonts w:ascii="宋体" w:hAnsi="宋体" w:eastAsia="宋体" w:cs="宋体"/>
          <w:spacing w:val="-11"/>
          <w:sz w:val="24"/>
          <w:szCs w:val="24"/>
        </w:rPr>
        <w:t>其池底产生裂缝，</w:t>
      </w:r>
      <w:r>
        <w:rPr>
          <w:rFonts w:ascii="宋体" w:hAnsi="宋体" w:eastAsia="宋体" w:cs="宋体"/>
          <w:spacing w:val="-46"/>
          <w:sz w:val="24"/>
          <w:szCs w:val="24"/>
        </w:rPr>
        <w:t xml:space="preserve"> </w:t>
      </w:r>
      <w:r>
        <w:rPr>
          <w:rFonts w:ascii="宋体" w:hAnsi="宋体" w:eastAsia="宋体" w:cs="宋体"/>
          <w:spacing w:val="-11"/>
          <w:sz w:val="24"/>
          <w:szCs w:val="24"/>
        </w:rPr>
        <w:t>污水通过裂缝渗漏到地下水含水层中</w:t>
      </w:r>
      <w:r>
        <w:rPr>
          <w:rFonts w:ascii="宋体" w:hAnsi="宋体" w:eastAsia="宋体" w:cs="宋体"/>
          <w:spacing w:val="-12"/>
          <w:sz w:val="24"/>
          <w:szCs w:val="24"/>
        </w:rPr>
        <w:t>，</w:t>
      </w:r>
      <w:r>
        <w:rPr>
          <w:rFonts w:ascii="宋体" w:hAnsi="宋体" w:eastAsia="宋体" w:cs="宋体"/>
          <w:spacing w:val="-47"/>
          <w:sz w:val="24"/>
          <w:szCs w:val="24"/>
        </w:rPr>
        <w:t xml:space="preserve"> </w:t>
      </w:r>
      <w:r>
        <w:rPr>
          <w:rFonts w:ascii="宋体" w:hAnsi="宋体" w:eastAsia="宋体" w:cs="宋体"/>
          <w:spacing w:val="-12"/>
          <w:sz w:val="24"/>
          <w:szCs w:val="24"/>
        </w:rPr>
        <w:t>排放形式可概化为点源瞬时，</w:t>
      </w:r>
      <w:r>
        <w:rPr>
          <w:rFonts w:ascii="宋体" w:hAnsi="宋体" w:eastAsia="宋体" w:cs="宋体"/>
          <w:sz w:val="24"/>
          <w:szCs w:val="24"/>
        </w:rPr>
        <w:t xml:space="preserve"> 排放规律可简化为瞬时泄漏排放工况。本次模拟根据应急池中物质对地下水的影响途</w:t>
      </w:r>
      <w:r>
        <w:rPr>
          <w:rFonts w:ascii="宋体" w:hAnsi="宋体" w:eastAsia="宋体" w:cs="宋体"/>
          <w:spacing w:val="4"/>
          <w:sz w:val="24"/>
          <w:szCs w:val="24"/>
        </w:rPr>
        <w:t xml:space="preserve"> </w:t>
      </w:r>
      <w:r>
        <w:rPr>
          <w:rFonts w:ascii="宋体" w:hAnsi="宋体" w:eastAsia="宋体" w:cs="宋体"/>
          <w:spacing w:val="-5"/>
          <w:sz w:val="24"/>
          <w:szCs w:val="24"/>
        </w:rPr>
        <w:t>径来设定主要污染源的分布位置，选定优先控制的污染物，</w:t>
      </w:r>
      <w:r>
        <w:rPr>
          <w:rFonts w:ascii="宋体" w:hAnsi="宋体" w:eastAsia="宋体" w:cs="宋体"/>
          <w:spacing w:val="67"/>
          <w:sz w:val="24"/>
          <w:szCs w:val="24"/>
        </w:rPr>
        <w:t xml:space="preserve"> </w:t>
      </w:r>
      <w:r>
        <w:rPr>
          <w:rFonts w:ascii="宋体" w:hAnsi="宋体" w:eastAsia="宋体" w:cs="宋体"/>
          <w:spacing w:val="-5"/>
          <w:sz w:val="24"/>
          <w:szCs w:val="24"/>
        </w:rPr>
        <w:t>预测事故工况下污染物在</w:t>
      </w:r>
    </w:p>
    <w:p>
      <w:pPr>
        <w:spacing w:before="1" w:line="219" w:lineRule="auto"/>
        <w:ind w:left="4"/>
        <w:rPr>
          <w:rFonts w:ascii="宋体" w:hAnsi="宋体" w:eastAsia="宋体" w:cs="宋体"/>
          <w:sz w:val="24"/>
          <w:szCs w:val="24"/>
        </w:rPr>
      </w:pPr>
      <w:r>
        <w:rPr>
          <w:rFonts w:ascii="宋体" w:hAnsi="宋体" w:eastAsia="宋体" w:cs="宋体"/>
          <w:spacing w:val="-1"/>
          <w:sz w:val="24"/>
          <w:szCs w:val="24"/>
        </w:rPr>
        <w:t>地下水中迁移过程，进一步分析污染物影响范</w:t>
      </w:r>
      <w:r>
        <w:rPr>
          <w:rFonts w:ascii="宋体" w:hAnsi="宋体" w:eastAsia="宋体" w:cs="宋体"/>
          <w:spacing w:val="-2"/>
          <w:sz w:val="24"/>
          <w:szCs w:val="24"/>
        </w:rPr>
        <w:t>围、超标范围和浓度变化。</w:t>
      </w:r>
    </w:p>
    <w:p>
      <w:pPr>
        <w:spacing w:before="101" w:line="360" w:lineRule="auto"/>
        <w:ind w:left="9" w:right="77" w:firstLine="475"/>
        <w:rPr>
          <w:rFonts w:ascii="宋体" w:hAnsi="宋体" w:eastAsia="宋体" w:cs="宋体"/>
          <w:sz w:val="24"/>
          <w:szCs w:val="24"/>
        </w:rPr>
      </w:pPr>
      <w:r>
        <w:rPr>
          <w:rFonts w:ascii="宋体" w:hAnsi="宋体" w:eastAsia="宋体" w:cs="宋体"/>
          <w:spacing w:val="-6"/>
          <w:sz w:val="24"/>
          <w:szCs w:val="24"/>
        </w:rPr>
        <w:t>根据工程设计，</w:t>
      </w:r>
      <w:r>
        <w:rPr>
          <w:rFonts w:ascii="宋体" w:hAnsi="宋体" w:eastAsia="宋体" w:cs="宋体"/>
          <w:spacing w:val="70"/>
          <w:sz w:val="24"/>
          <w:szCs w:val="24"/>
        </w:rPr>
        <w:t xml:space="preserve"> </w:t>
      </w:r>
      <w:r>
        <w:rPr>
          <w:rFonts w:ascii="宋体" w:hAnsi="宋体" w:eastAsia="宋体" w:cs="宋体"/>
          <w:spacing w:val="-6"/>
          <w:sz w:val="24"/>
          <w:szCs w:val="24"/>
        </w:rPr>
        <w:t>假设其中较大的</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300m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11"/>
          <w:w w:val="101"/>
          <w:position w:val="9"/>
          <w:sz w:val="16"/>
          <w:szCs w:val="16"/>
        </w:rPr>
        <w:t xml:space="preserve"> </w:t>
      </w:r>
      <w:r>
        <w:rPr>
          <w:rFonts w:ascii="宋体" w:hAnsi="宋体" w:eastAsia="宋体" w:cs="宋体"/>
          <w:spacing w:val="-6"/>
          <w:sz w:val="24"/>
          <w:szCs w:val="24"/>
        </w:rPr>
        <w:t>池体由于腐蚀、地基不均匀沉降或者其他</w:t>
      </w:r>
      <w:r>
        <w:rPr>
          <w:rFonts w:ascii="宋体" w:hAnsi="宋体" w:eastAsia="宋体" w:cs="宋体"/>
          <w:sz w:val="24"/>
          <w:szCs w:val="24"/>
        </w:rPr>
        <w:t xml:space="preserve"> </w:t>
      </w:r>
      <w:r>
        <w:rPr>
          <w:rFonts w:ascii="宋体" w:hAnsi="宋体" w:eastAsia="宋体" w:cs="宋体"/>
          <w:spacing w:val="-5"/>
          <w:sz w:val="24"/>
          <w:szCs w:val="24"/>
        </w:rPr>
        <w:t>外力作用， 应急池检修时发现池底出现一定面积的渗漏，面积约为池底面积的</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10%  </w:t>
      </w:r>
      <w:r>
        <w:rPr>
          <w:rFonts w:ascii="Times New Roman" w:hAnsi="Times New Roman" w:eastAsia="Times New Roman" w:cs="Times New Roman"/>
          <w:spacing w:val="-6"/>
          <w:sz w:val="24"/>
          <w:szCs w:val="24"/>
        </w:rPr>
        <w:t xml:space="preserve">   </w:t>
      </w:r>
      <w:r>
        <w:rPr>
          <w:rFonts w:ascii="宋体" w:hAnsi="宋体" w:eastAsia="宋体" w:cs="宋体"/>
          <w:spacing w:val="-14"/>
          <w:sz w:val="24"/>
          <w:szCs w:val="24"/>
        </w:rPr>
        <w:t>（</w:t>
      </w:r>
      <w:r>
        <w:rPr>
          <w:rFonts w:ascii="Times New Roman" w:hAnsi="Times New Roman" w:eastAsia="Times New Roman" w:cs="Times New Roman"/>
          <w:spacing w:val="-14"/>
          <w:sz w:val="24"/>
          <w:szCs w:val="24"/>
        </w:rPr>
        <w:t>10.71m</w:t>
      </w:r>
      <w:r>
        <w:rPr>
          <w:rFonts w:ascii="Times New Roman" w:hAnsi="Times New Roman" w:eastAsia="Times New Roman" w:cs="Times New Roman"/>
          <w:spacing w:val="-14"/>
          <w:position w:val="9"/>
          <w:sz w:val="16"/>
          <w:szCs w:val="16"/>
        </w:rPr>
        <w:t>2</w:t>
      </w:r>
      <w:r>
        <w:rPr>
          <w:rFonts w:ascii="宋体" w:hAnsi="宋体" w:eastAsia="宋体" w:cs="宋体"/>
          <w:spacing w:val="-14"/>
          <w:sz w:val="24"/>
          <w:szCs w:val="24"/>
        </w:rPr>
        <w:t>）。废水渗透地下属于有压渗透， 假定包气带充满水， 按达西公式计算源强，</w:t>
      </w:r>
    </w:p>
    <w:p>
      <w:pPr>
        <w:spacing w:before="1" w:line="220" w:lineRule="auto"/>
        <w:ind w:left="11"/>
        <w:rPr>
          <w:rFonts w:ascii="宋体" w:hAnsi="宋体" w:eastAsia="宋体" w:cs="宋体"/>
          <w:sz w:val="24"/>
          <w:szCs w:val="24"/>
        </w:rPr>
      </w:pPr>
      <w:r>
        <w:rPr>
          <w:rFonts w:ascii="宋体" w:hAnsi="宋体" w:eastAsia="宋体" w:cs="宋体"/>
          <w:spacing w:val="-12"/>
          <w:sz w:val="24"/>
          <w:szCs w:val="24"/>
        </w:rPr>
        <w:t>公式如下：</w:t>
      </w:r>
    </w:p>
    <w:p>
      <w:pPr>
        <w:spacing w:before="164" w:line="580" w:lineRule="exact"/>
        <w:ind w:firstLine="3613"/>
      </w:pPr>
      <w:r>
        <w:rPr>
          <w:position w:val="-11"/>
        </w:rPr>
        <w:drawing>
          <wp:inline distT="0" distB="0" distL="0" distR="0">
            <wp:extent cx="1054100" cy="3683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55"/>
                    <a:stretch>
                      <a:fillRect/>
                    </a:stretch>
                  </pic:blipFill>
                  <pic:spPr>
                    <a:xfrm>
                      <a:off x="0" y="0"/>
                      <a:ext cx="1054100" cy="368300"/>
                    </a:xfrm>
                    <a:prstGeom prst="rect">
                      <a:avLst/>
                    </a:prstGeom>
                  </pic:spPr>
                </pic:pic>
              </a:graphicData>
            </a:graphic>
          </wp:inline>
        </w:drawing>
      </w:r>
    </w:p>
    <w:p>
      <w:pPr>
        <w:spacing w:line="580" w:lineRule="exact"/>
        <w:sectPr>
          <w:footerReference r:id="rId177" w:type="default"/>
          <w:pgSz w:w="11907" w:h="16839"/>
          <w:pgMar w:top="400" w:right="1351" w:bottom="1151" w:left="1594" w:header="0" w:footer="988" w:gutter="0"/>
          <w:cols w:space="720" w:num="1"/>
        </w:sect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78" w:line="216" w:lineRule="auto"/>
        <w:ind w:left="566"/>
        <w:rPr>
          <w:rFonts w:ascii="宋体" w:hAnsi="宋体" w:eastAsia="宋体" w:cs="宋体"/>
          <w:sz w:val="24"/>
          <w:szCs w:val="24"/>
        </w:rPr>
      </w:pPr>
      <w:r>
        <w:rPr>
          <w:rFonts w:ascii="宋体" w:hAnsi="宋体" w:eastAsia="宋体" w:cs="宋体"/>
          <w:spacing w:val="-6"/>
          <w:sz w:val="24"/>
          <w:szCs w:val="24"/>
        </w:rPr>
        <w:t xml:space="preserve">式中： </w:t>
      </w:r>
      <w:r>
        <w:rPr>
          <w:rFonts w:ascii="Times New Roman" w:hAnsi="Times New Roman" w:eastAsia="Times New Roman" w:cs="Times New Roman"/>
          <w:spacing w:val="-6"/>
          <w:sz w:val="24"/>
          <w:szCs w:val="24"/>
        </w:rPr>
        <w:t>Q—</w:t>
      </w:r>
      <w:r>
        <w:rPr>
          <w:rFonts w:ascii="宋体" w:hAnsi="宋体" w:eastAsia="宋体" w:cs="宋体"/>
          <w:spacing w:val="-6"/>
          <w:sz w:val="24"/>
          <w:szCs w:val="24"/>
        </w:rPr>
        <w:t>为渗入到地下水的污水量（</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6"/>
          <w:sz w:val="24"/>
          <w:szCs w:val="24"/>
        </w:rPr>
        <w:t>/d</w:t>
      </w:r>
      <w:r>
        <w:rPr>
          <w:rFonts w:ascii="宋体" w:hAnsi="宋体" w:eastAsia="宋体" w:cs="宋体"/>
          <w:spacing w:val="-15"/>
          <w:sz w:val="24"/>
          <w:szCs w:val="24"/>
        </w:rPr>
        <w:t>）；</w:t>
      </w:r>
    </w:p>
    <w:p>
      <w:pPr>
        <w:spacing w:before="187" w:line="466" w:lineRule="exact"/>
        <w:ind w:left="556"/>
        <w:rPr>
          <w:rFonts w:ascii="宋体" w:hAnsi="宋体" w:eastAsia="宋体" w:cs="宋体"/>
          <w:sz w:val="24"/>
          <w:szCs w:val="24"/>
        </w:rPr>
      </w:pPr>
      <w:r>
        <w:rPr>
          <w:rFonts w:ascii="Times New Roman" w:hAnsi="Times New Roman" w:eastAsia="Times New Roman" w:cs="Times New Roman"/>
          <w:spacing w:val="-6"/>
          <w:position w:val="16"/>
          <w:sz w:val="24"/>
          <w:szCs w:val="24"/>
        </w:rPr>
        <w:t>K—</w:t>
      </w:r>
      <w:r>
        <w:rPr>
          <w:rFonts w:ascii="宋体" w:hAnsi="宋体" w:eastAsia="宋体" w:cs="宋体"/>
          <w:spacing w:val="-6"/>
          <w:position w:val="16"/>
          <w:sz w:val="24"/>
          <w:szCs w:val="24"/>
        </w:rPr>
        <w:t>为地面垂向渗透系数（</w:t>
      </w:r>
      <w:r>
        <w:rPr>
          <w:rFonts w:ascii="Times New Roman" w:hAnsi="Times New Roman" w:eastAsia="Times New Roman" w:cs="Times New Roman"/>
          <w:spacing w:val="-6"/>
          <w:position w:val="16"/>
          <w:sz w:val="24"/>
          <w:szCs w:val="24"/>
        </w:rPr>
        <w:t>m/d</w:t>
      </w:r>
      <w:r>
        <w:rPr>
          <w:rFonts w:ascii="宋体" w:hAnsi="宋体" w:eastAsia="宋体" w:cs="宋体"/>
          <w:spacing w:val="-6"/>
          <w:position w:val="16"/>
          <w:sz w:val="24"/>
          <w:szCs w:val="24"/>
        </w:rPr>
        <w:t>），井场位于山顶，包气带主要为粉质</w:t>
      </w:r>
      <w:r>
        <w:rPr>
          <w:rFonts w:ascii="宋体" w:hAnsi="宋体" w:eastAsia="宋体" w:cs="宋体"/>
          <w:spacing w:val="-7"/>
          <w:position w:val="16"/>
          <w:sz w:val="24"/>
          <w:szCs w:val="24"/>
        </w:rPr>
        <w:t>粘土，</w:t>
      </w:r>
      <w:r>
        <w:rPr>
          <w:rFonts w:ascii="宋体" w:hAnsi="宋体" w:eastAsia="宋体" w:cs="宋体"/>
          <w:spacing w:val="55"/>
          <w:position w:val="16"/>
          <w:sz w:val="24"/>
          <w:szCs w:val="24"/>
        </w:rPr>
        <w:t xml:space="preserve"> </w:t>
      </w:r>
      <w:r>
        <w:rPr>
          <w:rFonts w:ascii="宋体" w:hAnsi="宋体" w:eastAsia="宋体" w:cs="宋体"/>
          <w:spacing w:val="-7"/>
          <w:position w:val="16"/>
          <w:sz w:val="24"/>
          <w:szCs w:val="24"/>
        </w:rPr>
        <w:t>本次</w:t>
      </w:r>
    </w:p>
    <w:p>
      <w:pPr>
        <w:spacing w:line="233" w:lineRule="auto"/>
        <w:ind w:left="84"/>
        <w:rPr>
          <w:rFonts w:ascii="宋体" w:hAnsi="宋体" w:eastAsia="宋体" w:cs="宋体"/>
          <w:sz w:val="24"/>
          <w:szCs w:val="24"/>
        </w:rPr>
      </w:pPr>
      <w:r>
        <w:rPr>
          <w:rFonts w:ascii="宋体" w:hAnsi="宋体" w:eastAsia="宋体" w:cs="宋体"/>
          <w:spacing w:val="-2"/>
          <w:sz w:val="24"/>
          <w:szCs w:val="24"/>
        </w:rPr>
        <w:t>取渗水试验值</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0.0377m/d</w:t>
      </w:r>
      <w:r>
        <w:rPr>
          <w:rFonts w:ascii="宋体" w:hAnsi="宋体" w:eastAsia="宋体" w:cs="宋体"/>
          <w:spacing w:val="-2"/>
          <w:sz w:val="24"/>
          <w:szCs w:val="24"/>
        </w:rPr>
        <w:t>；</w:t>
      </w:r>
    </w:p>
    <w:p>
      <w:pPr>
        <w:spacing w:before="164" w:line="466" w:lineRule="exact"/>
        <w:ind w:left="556"/>
        <w:rPr>
          <w:rFonts w:ascii="宋体" w:hAnsi="宋体" w:eastAsia="宋体" w:cs="宋体"/>
          <w:sz w:val="24"/>
          <w:szCs w:val="24"/>
        </w:rPr>
      </w:pPr>
      <w:r>
        <w:rPr>
          <w:rFonts w:ascii="Times New Roman" w:hAnsi="Times New Roman" w:eastAsia="Times New Roman" w:cs="Times New Roman"/>
          <w:spacing w:val="-1"/>
          <w:position w:val="16"/>
          <w:sz w:val="24"/>
          <w:szCs w:val="24"/>
        </w:rPr>
        <w:t>H—</w:t>
      </w:r>
      <w:r>
        <w:rPr>
          <w:rFonts w:ascii="宋体" w:hAnsi="宋体" w:eastAsia="宋体" w:cs="宋体"/>
          <w:spacing w:val="-1"/>
          <w:position w:val="16"/>
          <w:sz w:val="24"/>
          <w:szCs w:val="24"/>
        </w:rPr>
        <w:t>为池内水深（</w:t>
      </w:r>
      <w:r>
        <w:rPr>
          <w:rFonts w:ascii="Times New Roman" w:hAnsi="Times New Roman" w:eastAsia="Times New Roman" w:cs="Times New Roman"/>
          <w:spacing w:val="-1"/>
          <w:position w:val="16"/>
          <w:sz w:val="24"/>
          <w:szCs w:val="24"/>
        </w:rPr>
        <w:t>m</w:t>
      </w:r>
      <w:r>
        <w:rPr>
          <w:rFonts w:ascii="宋体" w:hAnsi="宋体" w:eastAsia="宋体" w:cs="宋体"/>
          <w:position w:val="16"/>
          <w:sz w:val="24"/>
          <w:szCs w:val="24"/>
        </w:rPr>
        <w:t>），</w:t>
      </w:r>
      <w:r>
        <w:rPr>
          <w:rFonts w:ascii="宋体" w:hAnsi="宋体" w:eastAsia="宋体" w:cs="宋体"/>
          <w:spacing w:val="-1"/>
          <w:position w:val="16"/>
          <w:sz w:val="24"/>
          <w:szCs w:val="24"/>
        </w:rPr>
        <w:t>参照设计，本次取</w:t>
      </w:r>
      <w:r>
        <w:rPr>
          <w:rFonts w:ascii="宋体" w:hAnsi="宋体" w:eastAsia="宋体" w:cs="宋体"/>
          <w:spacing w:val="-43"/>
          <w:position w:val="16"/>
          <w:sz w:val="24"/>
          <w:szCs w:val="24"/>
        </w:rPr>
        <w:t xml:space="preserve"> </w:t>
      </w:r>
      <w:r>
        <w:rPr>
          <w:rFonts w:ascii="Times New Roman" w:hAnsi="Times New Roman" w:eastAsia="Times New Roman" w:cs="Times New Roman"/>
          <w:spacing w:val="-1"/>
          <w:position w:val="16"/>
          <w:sz w:val="24"/>
          <w:szCs w:val="24"/>
        </w:rPr>
        <w:t>2.5m</w:t>
      </w:r>
      <w:r>
        <w:rPr>
          <w:rFonts w:ascii="宋体" w:hAnsi="宋体" w:eastAsia="宋体" w:cs="宋体"/>
          <w:spacing w:val="-1"/>
          <w:position w:val="16"/>
          <w:sz w:val="24"/>
          <w:szCs w:val="24"/>
        </w:rPr>
        <w:t>；</w:t>
      </w:r>
    </w:p>
    <w:p>
      <w:pPr>
        <w:spacing w:line="232" w:lineRule="auto"/>
        <w:ind w:left="556"/>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为地下水埋深（</w:t>
      </w:r>
      <w:r>
        <w:rPr>
          <w:rFonts w:ascii="Times New Roman" w:hAnsi="Times New Roman" w:eastAsia="Times New Roman" w:cs="Times New Roman"/>
          <w:spacing w:val="-2"/>
          <w:sz w:val="24"/>
          <w:szCs w:val="24"/>
        </w:rPr>
        <w:t>m</w:t>
      </w:r>
      <w:r>
        <w:rPr>
          <w:rFonts w:ascii="宋体" w:hAnsi="宋体" w:eastAsia="宋体" w:cs="宋体"/>
          <w:spacing w:val="4"/>
          <w:sz w:val="24"/>
          <w:szCs w:val="24"/>
        </w:rPr>
        <w:t>），</w:t>
      </w:r>
      <w:r>
        <w:rPr>
          <w:rFonts w:ascii="宋体" w:hAnsi="宋体" w:eastAsia="宋体" w:cs="宋体"/>
          <w:spacing w:val="-2"/>
          <w:sz w:val="24"/>
          <w:szCs w:val="24"/>
        </w:rPr>
        <w:t>本次取</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5.3m</w:t>
      </w:r>
      <w:r>
        <w:rPr>
          <w:rFonts w:ascii="宋体" w:hAnsi="宋体" w:eastAsia="宋体" w:cs="宋体"/>
          <w:spacing w:val="-2"/>
          <w:sz w:val="24"/>
          <w:szCs w:val="24"/>
        </w:rPr>
        <w:t>；</w:t>
      </w:r>
    </w:p>
    <w:p>
      <w:pPr>
        <w:spacing w:before="244" w:line="360" w:lineRule="auto"/>
        <w:ind w:left="88" w:right="69" w:firstLine="465"/>
        <w:jc w:val="both"/>
        <w:rPr>
          <w:rFonts w:ascii="宋体" w:hAnsi="宋体" w:eastAsia="宋体" w:cs="宋体"/>
          <w:sz w:val="24"/>
          <w:szCs w:val="24"/>
        </w:rPr>
      </w:pPr>
      <w:r>
        <w:rPr>
          <w:rFonts w:ascii="Times New Roman" w:hAnsi="Times New Roman" w:eastAsia="Times New Roman" w:cs="Times New Roman"/>
          <w:spacing w:val="-7"/>
          <w:sz w:val="24"/>
          <w:szCs w:val="24"/>
        </w:rPr>
        <w:t>A—</w:t>
      </w:r>
      <w:r>
        <w:rPr>
          <w:rFonts w:ascii="宋体" w:hAnsi="宋体" w:eastAsia="宋体" w:cs="宋体"/>
          <w:spacing w:val="-7"/>
          <w:sz w:val="24"/>
          <w:szCs w:val="24"/>
        </w:rPr>
        <w:t>为应急池的泄漏面积（</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9"/>
          <w:sz w:val="16"/>
          <w:szCs w:val="16"/>
        </w:rPr>
        <w:t xml:space="preserve">2 </w:t>
      </w:r>
      <w:r>
        <w:rPr>
          <w:rFonts w:ascii="宋体" w:hAnsi="宋体" w:eastAsia="宋体" w:cs="宋体"/>
          <w:spacing w:val="-25"/>
          <w:sz w:val="24"/>
          <w:szCs w:val="24"/>
        </w:rPr>
        <w:t>），</w:t>
      </w:r>
      <w:r>
        <w:rPr>
          <w:rFonts w:ascii="宋体" w:hAnsi="宋体" w:eastAsia="宋体" w:cs="宋体"/>
          <w:spacing w:val="-7"/>
          <w:sz w:val="24"/>
          <w:szCs w:val="24"/>
        </w:rPr>
        <w:t>本次取</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10.71m</w:t>
      </w:r>
      <w:r>
        <w:rPr>
          <w:rFonts w:ascii="Times New Roman" w:hAnsi="Times New Roman" w:eastAsia="Times New Roman" w:cs="Times New Roman"/>
          <w:spacing w:val="-7"/>
          <w:position w:val="9"/>
          <w:sz w:val="16"/>
          <w:szCs w:val="16"/>
        </w:rPr>
        <w:t>2</w:t>
      </w:r>
      <w:r>
        <w:rPr>
          <w:rFonts w:ascii="宋体" w:hAnsi="宋体" w:eastAsia="宋体" w:cs="宋体"/>
          <w:spacing w:val="-7"/>
          <w:sz w:val="24"/>
          <w:szCs w:val="24"/>
        </w:rPr>
        <w:t>。根据工作区水文地质参数，</w:t>
      </w:r>
      <w:r>
        <w:rPr>
          <w:rFonts w:ascii="宋体" w:hAnsi="宋体" w:eastAsia="宋体" w:cs="宋体"/>
          <w:spacing w:val="47"/>
          <w:sz w:val="24"/>
          <w:szCs w:val="24"/>
        </w:rPr>
        <w:t xml:space="preserve"> </w:t>
      </w:r>
      <w:r>
        <w:rPr>
          <w:rFonts w:ascii="宋体" w:hAnsi="宋体" w:eastAsia="宋体" w:cs="宋体"/>
          <w:spacing w:val="-7"/>
          <w:sz w:val="24"/>
          <w:szCs w:val="24"/>
        </w:rPr>
        <w:t>应</w:t>
      </w:r>
      <w:r>
        <w:rPr>
          <w:rFonts w:ascii="宋体" w:hAnsi="宋体" w:eastAsia="宋体" w:cs="宋体"/>
          <w:sz w:val="24"/>
          <w:szCs w:val="24"/>
        </w:rPr>
        <w:t xml:space="preserve"> </w:t>
      </w:r>
      <w:r>
        <w:rPr>
          <w:rFonts w:ascii="宋体" w:hAnsi="宋体" w:eastAsia="宋体" w:cs="宋体"/>
          <w:spacing w:val="-6"/>
          <w:sz w:val="24"/>
          <w:szCs w:val="24"/>
        </w:rPr>
        <w:t>急池渗漏至含水层废水量</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0.594m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6"/>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，应急池</w:t>
      </w:r>
      <w:r>
        <w:rPr>
          <w:rFonts w:ascii="宋体" w:hAnsi="宋体" w:eastAsia="宋体" w:cs="宋体"/>
          <w:spacing w:val="-7"/>
          <w:sz w:val="24"/>
          <w:szCs w:val="24"/>
        </w:rPr>
        <w:t>池底破裂，</w:t>
      </w:r>
      <w:r>
        <w:rPr>
          <w:rFonts w:ascii="宋体" w:hAnsi="宋体" w:eastAsia="宋体" w:cs="宋体"/>
          <w:spacing w:val="82"/>
          <w:sz w:val="24"/>
          <w:szCs w:val="24"/>
        </w:rPr>
        <w:t xml:space="preserve"> </w:t>
      </w:r>
      <w:r>
        <w:rPr>
          <w:rFonts w:ascii="Times New Roman" w:hAnsi="Times New Roman" w:eastAsia="Times New Roman" w:cs="Times New Roman"/>
          <w:spacing w:val="-7"/>
          <w:sz w:val="24"/>
          <w:szCs w:val="24"/>
        </w:rPr>
        <w:t>15</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天时间检修时发现，污染</w:t>
      </w:r>
    </w:p>
    <w:p>
      <w:pPr>
        <w:spacing w:before="1" w:line="220" w:lineRule="auto"/>
        <w:ind w:left="81"/>
        <w:rPr>
          <w:rFonts w:ascii="宋体" w:hAnsi="宋体" w:eastAsia="宋体" w:cs="宋体"/>
          <w:sz w:val="24"/>
          <w:szCs w:val="24"/>
        </w:rPr>
      </w:pPr>
      <w:r>
        <w:rPr>
          <w:rFonts w:ascii="宋体" w:hAnsi="宋体" w:eastAsia="宋体" w:cs="宋体"/>
          <w:spacing w:val="-4"/>
          <w:sz w:val="24"/>
          <w:szCs w:val="24"/>
        </w:rPr>
        <w:t>物泄漏时间为</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15d</w:t>
      </w:r>
      <w:r>
        <w:rPr>
          <w:rFonts w:ascii="宋体" w:hAnsi="宋体" w:eastAsia="宋体" w:cs="宋体"/>
          <w:spacing w:val="-4"/>
          <w:sz w:val="24"/>
          <w:szCs w:val="24"/>
        </w:rPr>
        <w:t>。</w:t>
      </w:r>
    </w:p>
    <w:p>
      <w:pPr>
        <w:spacing w:before="100" w:line="212" w:lineRule="auto"/>
        <w:ind w:left="316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1"/>
          <w:sz w:val="24"/>
          <w:szCs w:val="24"/>
        </w:rPr>
        <w:t xml:space="preserve">3.6-1    </w:t>
      </w:r>
      <w:r>
        <w:rPr>
          <w:rFonts w:ascii="宋体" w:hAnsi="宋体" w:eastAsia="宋体" w:cs="宋体"/>
          <w:spacing w:val="-1"/>
          <w:sz w:val="24"/>
          <w:szCs w:val="24"/>
          <w14:textOutline w14:w="4354" w14:cap="flat" w14:cmpd="sng">
            <w14:solidFill>
              <w14:srgbClr w14:val="000000"/>
            </w14:solidFill>
            <w14:prstDash w14:val="solid"/>
            <w14:miter w14:val="10"/>
          </w14:textOutline>
        </w:rPr>
        <w:t>污染物预测源强</w:t>
      </w:r>
    </w:p>
    <w:tbl>
      <w:tblPr>
        <w:tblStyle w:val="5"/>
        <w:tblW w:w="90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1"/>
        <w:gridCol w:w="1481"/>
        <w:gridCol w:w="1642"/>
        <w:gridCol w:w="1872"/>
        <w:gridCol w:w="1397"/>
        <w:gridCol w:w="11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41" w:type="dxa"/>
            <w:tcBorders>
              <w:top w:val="single" w:color="000000" w:sz="10" w:space="0"/>
              <w:left w:val="nil"/>
            </w:tcBorders>
            <w:vAlign w:val="top"/>
          </w:tcPr>
          <w:p>
            <w:pPr>
              <w:pStyle w:val="6"/>
              <w:spacing w:before="91" w:line="220" w:lineRule="auto"/>
              <w:ind w:left="409"/>
              <w:rPr>
                <w:sz w:val="21"/>
                <w:szCs w:val="21"/>
              </w:rPr>
            </w:pPr>
            <w:r>
              <w:rPr>
                <w:spacing w:val="-1"/>
                <w:sz w:val="21"/>
                <w:szCs w:val="21"/>
                <w14:textOutline w14:w="3831" w14:cap="flat" w14:cmpd="sng">
                  <w14:solidFill>
                    <w14:srgbClr w14:val="000000"/>
                  </w14:solidFill>
                  <w14:prstDash w14:val="solid"/>
                  <w14:miter w14:val="10"/>
                </w14:textOutline>
              </w:rPr>
              <w:t>渗漏位置</w:t>
            </w:r>
          </w:p>
        </w:tc>
        <w:tc>
          <w:tcPr>
            <w:tcW w:w="1481" w:type="dxa"/>
            <w:tcBorders>
              <w:top w:val="single" w:color="000000" w:sz="10" w:space="0"/>
            </w:tcBorders>
            <w:vAlign w:val="top"/>
          </w:tcPr>
          <w:p>
            <w:pPr>
              <w:pStyle w:val="6"/>
              <w:spacing w:before="91" w:line="220" w:lineRule="auto"/>
              <w:ind w:left="269"/>
              <w:rPr>
                <w:sz w:val="21"/>
                <w:szCs w:val="21"/>
              </w:rPr>
            </w:pPr>
            <w:r>
              <w:rPr>
                <w:spacing w:val="-1"/>
                <w:sz w:val="21"/>
                <w:szCs w:val="21"/>
                <w14:textOutline w14:w="3831" w14:cap="flat" w14:cmpd="sng">
                  <w14:solidFill>
                    <w14:srgbClr w14:val="000000"/>
                  </w14:solidFill>
                  <w14:prstDash w14:val="solid"/>
                  <w14:miter w14:val="10"/>
                </w14:textOutline>
              </w:rPr>
              <w:t>特征污染物</w:t>
            </w:r>
          </w:p>
        </w:tc>
        <w:tc>
          <w:tcPr>
            <w:tcW w:w="1642" w:type="dxa"/>
            <w:tcBorders>
              <w:top w:val="single" w:color="000000" w:sz="10" w:space="0"/>
            </w:tcBorders>
            <w:vAlign w:val="top"/>
          </w:tcPr>
          <w:p>
            <w:pPr>
              <w:pStyle w:val="6"/>
              <w:spacing w:before="92" w:line="213" w:lineRule="auto"/>
              <w:ind w:left="358"/>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10"/>
                </w14:textOutline>
              </w:rPr>
              <w:t>浓度</w:t>
            </w:r>
            <w:r>
              <w:rPr>
                <w:rFonts w:ascii="Times New Roman" w:hAnsi="Times New Roman" w:eastAsia="Times New Roman" w:cs="Times New Roman"/>
                <w:b/>
                <w:bCs/>
                <w:spacing w:val="-1"/>
                <w:sz w:val="21"/>
                <w:szCs w:val="21"/>
              </w:rPr>
              <w:t>(mg/L)</w:t>
            </w:r>
          </w:p>
        </w:tc>
        <w:tc>
          <w:tcPr>
            <w:tcW w:w="1872" w:type="dxa"/>
            <w:tcBorders>
              <w:top w:val="single" w:color="000000" w:sz="10" w:space="0"/>
            </w:tcBorders>
            <w:vAlign w:val="top"/>
          </w:tcPr>
          <w:p>
            <w:pPr>
              <w:pStyle w:val="6"/>
              <w:spacing w:before="92" w:line="213" w:lineRule="auto"/>
              <w:ind w:left="498"/>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10"/>
                </w14:textOutline>
              </w:rPr>
              <w:t>渗漏量</w:t>
            </w:r>
            <w:r>
              <w:rPr>
                <w:rFonts w:ascii="Times New Roman" w:hAnsi="Times New Roman" w:eastAsia="Times New Roman" w:cs="Times New Roman"/>
                <w:b/>
                <w:bCs/>
                <w:spacing w:val="-1"/>
                <w:sz w:val="21"/>
                <w:szCs w:val="21"/>
              </w:rPr>
              <w:t>(kg)</w:t>
            </w:r>
          </w:p>
        </w:tc>
        <w:tc>
          <w:tcPr>
            <w:tcW w:w="1397" w:type="dxa"/>
            <w:tcBorders>
              <w:top w:val="single" w:color="000000" w:sz="10" w:space="0"/>
            </w:tcBorders>
            <w:vAlign w:val="top"/>
          </w:tcPr>
          <w:p>
            <w:pPr>
              <w:pStyle w:val="6"/>
              <w:spacing w:before="91" w:line="220" w:lineRule="auto"/>
              <w:ind w:left="338"/>
              <w:rPr>
                <w:sz w:val="21"/>
                <w:szCs w:val="21"/>
              </w:rPr>
            </w:pPr>
            <w:r>
              <w:rPr>
                <w:spacing w:val="-2"/>
                <w:sz w:val="21"/>
                <w:szCs w:val="21"/>
                <w14:textOutline w14:w="3831" w14:cap="flat" w14:cmpd="sng">
                  <w14:solidFill>
                    <w14:srgbClr w14:val="000000"/>
                  </w14:solidFill>
                  <w14:prstDash w14:val="solid"/>
                  <w14:miter w14:val="10"/>
                </w14:textOutline>
              </w:rPr>
              <w:t>泄漏时间</w:t>
            </w:r>
          </w:p>
        </w:tc>
        <w:tc>
          <w:tcPr>
            <w:tcW w:w="1111" w:type="dxa"/>
            <w:tcBorders>
              <w:top w:val="single" w:color="000000" w:sz="10" w:space="0"/>
              <w:right w:val="nil"/>
            </w:tcBorders>
            <w:vAlign w:val="top"/>
          </w:tcPr>
          <w:p>
            <w:pPr>
              <w:pStyle w:val="6"/>
              <w:spacing w:before="91" w:line="220" w:lineRule="auto"/>
              <w:ind w:left="296"/>
              <w:rPr>
                <w:sz w:val="21"/>
                <w:szCs w:val="21"/>
              </w:rPr>
            </w:pPr>
            <w:r>
              <w:rPr>
                <w:spacing w:val="-2"/>
                <w:sz w:val="21"/>
                <w:szCs w:val="21"/>
                <w14:textOutline w14:w="3831" w14:cap="flat" w14:cmpd="sng">
                  <w14:solidFill>
                    <w14:srgbClr w14:val="000000"/>
                  </w14:solidFill>
                  <w14:prstDash w14:val="solid"/>
                  <w14:miter w14:val="10"/>
                </w14:textOutline>
              </w:rPr>
              <w:t>含水层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541" w:type="dxa"/>
            <w:vMerge w:val="restart"/>
            <w:tcBorders>
              <w:left w:val="nil"/>
              <w:bottom w:val="nil"/>
            </w:tcBorders>
            <w:vAlign w:val="top"/>
          </w:tcPr>
          <w:p>
            <w:pPr>
              <w:spacing w:line="266" w:lineRule="auto"/>
              <w:rPr>
                <w:rFonts w:ascii="Arial"/>
                <w:sz w:val="21"/>
              </w:rPr>
            </w:pPr>
          </w:p>
          <w:p>
            <w:pPr>
              <w:spacing w:line="266" w:lineRule="auto"/>
              <w:rPr>
                <w:rFonts w:ascii="Arial"/>
                <w:sz w:val="21"/>
              </w:rPr>
            </w:pPr>
          </w:p>
          <w:p>
            <w:pPr>
              <w:pStyle w:val="6"/>
              <w:spacing w:before="68" w:line="222" w:lineRule="auto"/>
              <w:ind w:left="200"/>
              <w:rPr>
                <w:sz w:val="21"/>
                <w:szCs w:val="21"/>
              </w:rPr>
            </w:pPr>
            <w:r>
              <w:rPr>
                <w:spacing w:val="-1"/>
                <w:sz w:val="21"/>
                <w:szCs w:val="21"/>
              </w:rPr>
              <w:t>应急池底破裂</w:t>
            </w:r>
          </w:p>
        </w:tc>
        <w:tc>
          <w:tcPr>
            <w:tcW w:w="1481" w:type="dxa"/>
            <w:vAlign w:val="top"/>
          </w:tcPr>
          <w:p>
            <w:pPr>
              <w:pStyle w:val="6"/>
              <w:spacing w:before="90" w:line="243" w:lineRule="auto"/>
              <w:ind w:left="273" w:right="170" w:firstLine="208"/>
              <w:rPr>
                <w:sz w:val="21"/>
                <w:szCs w:val="21"/>
              </w:rPr>
            </w:pPr>
            <w:r>
              <w:rPr>
                <w:spacing w:val="-2"/>
                <w:sz w:val="21"/>
                <w:szCs w:val="21"/>
              </w:rPr>
              <w:t>耗氧量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COD</w:t>
            </w:r>
            <w:r>
              <w:rPr>
                <w:rFonts w:ascii="Times New Roman" w:hAnsi="Times New Roman" w:eastAsia="Times New Roman" w:cs="Times New Roman"/>
                <w:spacing w:val="-2"/>
                <w:position w:val="-1"/>
                <w:sz w:val="13"/>
                <w:szCs w:val="13"/>
              </w:rPr>
              <w:t>Mn</w:t>
            </w:r>
            <w:r>
              <w:rPr>
                <w:spacing w:val="-2"/>
                <w:sz w:val="21"/>
                <w:szCs w:val="21"/>
              </w:rPr>
              <w:t>）</w:t>
            </w:r>
          </w:p>
        </w:tc>
        <w:tc>
          <w:tcPr>
            <w:tcW w:w="1642" w:type="dxa"/>
            <w:vAlign w:val="top"/>
          </w:tcPr>
          <w:p>
            <w:pPr>
              <w:spacing w:before="282" w:line="189" w:lineRule="auto"/>
              <w:ind w:left="68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1525</w:t>
            </w:r>
          </w:p>
        </w:tc>
        <w:tc>
          <w:tcPr>
            <w:tcW w:w="1872" w:type="dxa"/>
            <w:vAlign w:val="top"/>
          </w:tcPr>
          <w:p>
            <w:pPr>
              <w:spacing w:before="282" w:line="189" w:lineRule="auto"/>
              <w:ind w:left="72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13.588</w:t>
            </w:r>
          </w:p>
        </w:tc>
        <w:tc>
          <w:tcPr>
            <w:tcW w:w="1397" w:type="dxa"/>
            <w:vAlign w:val="top"/>
          </w:tcPr>
          <w:p>
            <w:pPr>
              <w:spacing w:before="278" w:line="193"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15d</w:t>
            </w:r>
          </w:p>
        </w:tc>
        <w:tc>
          <w:tcPr>
            <w:tcW w:w="1111" w:type="dxa"/>
            <w:tcBorders>
              <w:right w:val="nil"/>
            </w:tcBorders>
            <w:vAlign w:val="top"/>
          </w:tcPr>
          <w:p>
            <w:pPr>
              <w:pStyle w:val="6"/>
              <w:spacing w:before="245" w:line="221" w:lineRule="auto"/>
              <w:ind w:left="403"/>
              <w:rPr>
                <w:sz w:val="21"/>
                <w:szCs w:val="21"/>
              </w:rPr>
            </w:pPr>
            <w:r>
              <w:rPr>
                <w:spacing w:val="-2"/>
                <w:sz w:val="21"/>
                <w:szCs w:val="21"/>
              </w:rPr>
              <w:t>潜水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541" w:type="dxa"/>
            <w:vMerge w:val="continue"/>
            <w:tcBorders>
              <w:top w:val="nil"/>
              <w:left w:val="nil"/>
              <w:bottom w:val="nil"/>
            </w:tcBorders>
            <w:vAlign w:val="top"/>
          </w:tcPr>
          <w:p>
            <w:pPr>
              <w:rPr>
                <w:rFonts w:ascii="Arial"/>
                <w:sz w:val="21"/>
              </w:rPr>
            </w:pPr>
          </w:p>
        </w:tc>
        <w:tc>
          <w:tcPr>
            <w:tcW w:w="1481" w:type="dxa"/>
            <w:vAlign w:val="top"/>
          </w:tcPr>
          <w:p>
            <w:pPr>
              <w:pStyle w:val="6"/>
              <w:spacing w:before="101" w:line="207" w:lineRule="auto"/>
              <w:ind w:left="481"/>
              <w:rPr>
                <w:sz w:val="21"/>
                <w:szCs w:val="21"/>
              </w:rPr>
            </w:pPr>
            <w:r>
              <w:rPr>
                <w:spacing w:val="-2"/>
                <w:sz w:val="21"/>
                <w:szCs w:val="21"/>
              </w:rPr>
              <w:t>石油类</w:t>
            </w:r>
          </w:p>
        </w:tc>
        <w:tc>
          <w:tcPr>
            <w:tcW w:w="1642" w:type="dxa"/>
            <w:vAlign w:val="top"/>
          </w:tcPr>
          <w:p>
            <w:pPr>
              <w:spacing w:before="138" w:line="189" w:lineRule="auto"/>
              <w:ind w:left="73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872" w:type="dxa"/>
            <w:vAlign w:val="top"/>
          </w:tcPr>
          <w:p>
            <w:pPr>
              <w:spacing w:before="138" w:line="189" w:lineRule="auto"/>
              <w:ind w:left="7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0.891</w:t>
            </w:r>
          </w:p>
        </w:tc>
        <w:tc>
          <w:tcPr>
            <w:tcW w:w="1397" w:type="dxa"/>
            <w:vAlign w:val="top"/>
          </w:tcPr>
          <w:p>
            <w:pPr>
              <w:spacing w:before="134" w:line="193"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15d</w:t>
            </w:r>
          </w:p>
        </w:tc>
        <w:tc>
          <w:tcPr>
            <w:tcW w:w="1111" w:type="dxa"/>
            <w:tcBorders>
              <w:right w:val="nil"/>
            </w:tcBorders>
            <w:vAlign w:val="top"/>
          </w:tcPr>
          <w:p>
            <w:pPr>
              <w:pStyle w:val="6"/>
              <w:spacing w:before="101" w:line="207" w:lineRule="auto"/>
              <w:ind w:left="403"/>
              <w:rPr>
                <w:sz w:val="21"/>
                <w:szCs w:val="21"/>
              </w:rPr>
            </w:pPr>
            <w:r>
              <w:rPr>
                <w:spacing w:val="-2"/>
                <w:sz w:val="21"/>
                <w:szCs w:val="21"/>
              </w:rPr>
              <w:t>潜水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541" w:type="dxa"/>
            <w:vMerge w:val="continue"/>
            <w:tcBorders>
              <w:top w:val="nil"/>
              <w:left w:val="nil"/>
              <w:bottom w:val="single" w:color="000000" w:sz="10" w:space="0"/>
            </w:tcBorders>
            <w:vAlign w:val="top"/>
          </w:tcPr>
          <w:p>
            <w:pPr>
              <w:rPr>
                <w:rFonts w:ascii="Arial"/>
                <w:sz w:val="21"/>
              </w:rPr>
            </w:pPr>
          </w:p>
        </w:tc>
        <w:tc>
          <w:tcPr>
            <w:tcW w:w="1481" w:type="dxa"/>
            <w:tcBorders>
              <w:bottom w:val="single" w:color="000000" w:sz="10" w:space="0"/>
            </w:tcBorders>
            <w:vAlign w:val="top"/>
          </w:tcPr>
          <w:p>
            <w:pPr>
              <w:pStyle w:val="6"/>
              <w:spacing w:before="104" w:line="222" w:lineRule="auto"/>
              <w:ind w:left="484"/>
              <w:rPr>
                <w:sz w:val="21"/>
                <w:szCs w:val="21"/>
              </w:rPr>
            </w:pPr>
            <w:r>
              <w:rPr>
                <w:spacing w:val="-2"/>
                <w:sz w:val="21"/>
                <w:szCs w:val="21"/>
              </w:rPr>
              <w:t>氯化物</w:t>
            </w:r>
          </w:p>
        </w:tc>
        <w:tc>
          <w:tcPr>
            <w:tcW w:w="1642" w:type="dxa"/>
            <w:tcBorders>
              <w:bottom w:val="single" w:color="000000" w:sz="10" w:space="0"/>
            </w:tcBorders>
            <w:vAlign w:val="top"/>
          </w:tcPr>
          <w:p>
            <w:pPr>
              <w:spacing w:before="141" w:line="189"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c>
          <w:tcPr>
            <w:tcW w:w="1872" w:type="dxa"/>
            <w:tcBorders>
              <w:bottom w:val="single" w:color="000000" w:sz="10" w:space="0"/>
            </w:tcBorders>
            <w:vAlign w:val="top"/>
          </w:tcPr>
          <w:p>
            <w:pPr>
              <w:spacing w:before="141" w:line="189" w:lineRule="auto"/>
              <w:ind w:left="7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44.55</w:t>
            </w:r>
          </w:p>
        </w:tc>
        <w:tc>
          <w:tcPr>
            <w:tcW w:w="1397" w:type="dxa"/>
            <w:tcBorders>
              <w:bottom w:val="single" w:color="000000" w:sz="10" w:space="0"/>
            </w:tcBorders>
            <w:vAlign w:val="top"/>
          </w:tcPr>
          <w:p>
            <w:pPr>
              <w:spacing w:before="137" w:line="193" w:lineRule="auto"/>
              <w:ind w:left="61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15d</w:t>
            </w:r>
          </w:p>
        </w:tc>
        <w:tc>
          <w:tcPr>
            <w:tcW w:w="1111" w:type="dxa"/>
            <w:tcBorders>
              <w:bottom w:val="single" w:color="000000" w:sz="10" w:space="0"/>
              <w:right w:val="nil"/>
            </w:tcBorders>
            <w:vAlign w:val="top"/>
          </w:tcPr>
          <w:p>
            <w:pPr>
              <w:pStyle w:val="6"/>
              <w:spacing w:before="104" w:line="221" w:lineRule="auto"/>
              <w:ind w:left="403"/>
              <w:rPr>
                <w:sz w:val="21"/>
                <w:szCs w:val="21"/>
              </w:rPr>
            </w:pPr>
            <w:r>
              <w:rPr>
                <w:spacing w:val="-2"/>
                <w:sz w:val="21"/>
                <w:szCs w:val="21"/>
              </w:rPr>
              <w:t>潜水</w:t>
            </w:r>
          </w:p>
        </w:tc>
      </w:tr>
    </w:tbl>
    <w:p>
      <w:pPr>
        <w:spacing w:before="30" w:line="213" w:lineRule="auto"/>
        <w:ind w:left="80"/>
        <w:rPr>
          <w:rFonts w:ascii="宋体" w:hAnsi="宋体" w:eastAsia="宋体" w:cs="宋体"/>
          <w:sz w:val="21"/>
          <w:szCs w:val="21"/>
        </w:rPr>
      </w:pPr>
      <w:r>
        <w:rPr>
          <w:rFonts w:ascii="宋体" w:hAnsi="宋体" w:eastAsia="宋体" w:cs="宋体"/>
          <w:spacing w:val="-5"/>
          <w:sz w:val="21"/>
          <w:szCs w:val="21"/>
        </w:rPr>
        <w:t>注：</w:t>
      </w:r>
      <w:r>
        <w:rPr>
          <w:rFonts w:ascii="Times New Roman" w:hAnsi="Times New Roman" w:eastAsia="Times New Roman" w:cs="Times New Roman"/>
          <w:spacing w:val="-5"/>
          <w:sz w:val="21"/>
          <w:szCs w:val="21"/>
        </w:rPr>
        <w:t>1</w:t>
      </w:r>
      <w:r>
        <w:rPr>
          <w:rFonts w:ascii="宋体" w:hAnsi="宋体" w:eastAsia="宋体" w:cs="宋体"/>
          <w:spacing w:val="-5"/>
          <w:sz w:val="21"/>
          <w:szCs w:val="21"/>
        </w:rPr>
        <w:t>、各污染物取值均参照工程分析中的最大值确定；</w:t>
      </w:r>
      <w:r>
        <w:rPr>
          <w:rFonts w:ascii="Times New Roman" w:hAnsi="Times New Roman" w:eastAsia="Times New Roman" w:cs="Times New Roman"/>
          <w:spacing w:val="-5"/>
          <w:sz w:val="21"/>
          <w:szCs w:val="21"/>
        </w:rPr>
        <w:t>2</w:t>
      </w:r>
      <w:r>
        <w:rPr>
          <w:rFonts w:ascii="宋体" w:hAnsi="宋体" w:eastAsia="宋体" w:cs="宋体"/>
          <w:spacing w:val="-5"/>
          <w:sz w:val="21"/>
          <w:szCs w:val="21"/>
        </w:rPr>
        <w:t>、工程分析中</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C</w:t>
      </w:r>
      <w:r>
        <w:rPr>
          <w:rFonts w:ascii="Times New Roman" w:hAnsi="Times New Roman" w:eastAsia="Times New Roman" w:cs="Times New Roman"/>
          <w:spacing w:val="-6"/>
          <w:sz w:val="21"/>
          <w:szCs w:val="21"/>
        </w:rPr>
        <w:t>OD</w:t>
      </w:r>
      <w:r>
        <w:rPr>
          <w:rFonts w:ascii="Times New Roman" w:hAnsi="Times New Roman" w:eastAsia="Times New Roman" w:cs="Times New Roman"/>
          <w:spacing w:val="-6"/>
          <w:position w:val="-1"/>
          <w:sz w:val="13"/>
          <w:szCs w:val="13"/>
        </w:rPr>
        <w:t>Cr</w:t>
      </w:r>
      <w:r>
        <w:rPr>
          <w:rFonts w:ascii="Times New Roman" w:hAnsi="Times New Roman" w:eastAsia="Times New Roman" w:cs="Times New Roman"/>
          <w:spacing w:val="10"/>
          <w:w w:val="102"/>
          <w:position w:val="-1"/>
          <w:sz w:val="13"/>
          <w:szCs w:val="13"/>
        </w:rPr>
        <w:t xml:space="preserve"> </w:t>
      </w:r>
      <w:r>
        <w:rPr>
          <w:rFonts w:ascii="宋体" w:hAnsi="宋体" w:eastAsia="宋体" w:cs="宋体"/>
          <w:spacing w:val="-6"/>
          <w:sz w:val="21"/>
          <w:szCs w:val="21"/>
        </w:rPr>
        <w:t>最大值为</w:t>
      </w:r>
      <w:r>
        <w:rPr>
          <w:rFonts w:ascii="宋体" w:hAnsi="宋体" w:eastAsia="宋体" w:cs="宋体"/>
          <w:spacing w:val="-48"/>
          <w:sz w:val="21"/>
          <w:szCs w:val="21"/>
        </w:rPr>
        <w:t xml:space="preserve"> </w:t>
      </w:r>
      <w:r>
        <w:rPr>
          <w:rFonts w:ascii="Times New Roman" w:hAnsi="Times New Roman" w:eastAsia="Times New Roman" w:cs="Times New Roman"/>
          <w:spacing w:val="-6"/>
          <w:sz w:val="21"/>
          <w:szCs w:val="21"/>
        </w:rPr>
        <w:t>4576mg/L</w:t>
      </w:r>
      <w:r>
        <w:rPr>
          <w:rFonts w:ascii="宋体" w:hAnsi="宋体" w:eastAsia="宋体" w:cs="宋体"/>
          <w:spacing w:val="-6"/>
          <w:sz w:val="21"/>
          <w:szCs w:val="21"/>
        </w:rPr>
        <w:t>，</w:t>
      </w:r>
    </w:p>
    <w:p>
      <w:pPr>
        <w:spacing w:before="168" w:line="408" w:lineRule="exact"/>
        <w:ind w:left="96"/>
        <w:rPr>
          <w:rFonts w:ascii="宋体" w:hAnsi="宋体" w:eastAsia="宋体" w:cs="宋体"/>
          <w:sz w:val="21"/>
          <w:szCs w:val="21"/>
        </w:rPr>
      </w:pPr>
      <w:r>
        <w:rPr>
          <w:rFonts w:ascii="宋体" w:hAnsi="宋体" w:eastAsia="宋体" w:cs="宋体"/>
          <w:spacing w:val="-3"/>
          <w:position w:val="15"/>
          <w:sz w:val="21"/>
          <w:szCs w:val="21"/>
        </w:rPr>
        <w:t>因地下水中</w:t>
      </w:r>
      <w:r>
        <w:rPr>
          <w:rFonts w:ascii="宋体" w:hAnsi="宋体" w:eastAsia="宋体" w:cs="宋体"/>
          <w:spacing w:val="-45"/>
          <w:position w:val="15"/>
          <w:sz w:val="21"/>
          <w:szCs w:val="21"/>
        </w:rPr>
        <w:t xml:space="preserve"> </w:t>
      </w:r>
      <w:r>
        <w:rPr>
          <w:rFonts w:ascii="Times New Roman" w:hAnsi="Times New Roman" w:eastAsia="Times New Roman" w:cs="Times New Roman"/>
          <w:spacing w:val="-3"/>
          <w:position w:val="15"/>
          <w:sz w:val="21"/>
          <w:szCs w:val="21"/>
        </w:rPr>
        <w:t>COD</w:t>
      </w:r>
      <w:r>
        <w:rPr>
          <w:rFonts w:ascii="Times New Roman" w:hAnsi="Times New Roman" w:eastAsia="Times New Roman" w:cs="Times New Roman"/>
          <w:spacing w:val="-3"/>
          <w:position w:val="14"/>
          <w:sz w:val="13"/>
          <w:szCs w:val="13"/>
        </w:rPr>
        <w:t>Cr</w:t>
      </w:r>
      <w:r>
        <w:rPr>
          <w:rFonts w:ascii="Times New Roman" w:hAnsi="Times New Roman" w:eastAsia="Times New Roman" w:cs="Times New Roman"/>
          <w:spacing w:val="12"/>
          <w:w w:val="101"/>
          <w:position w:val="14"/>
          <w:sz w:val="13"/>
          <w:szCs w:val="13"/>
        </w:rPr>
        <w:t xml:space="preserve"> </w:t>
      </w:r>
      <w:r>
        <w:rPr>
          <w:rFonts w:ascii="宋体" w:hAnsi="宋体" w:eastAsia="宋体" w:cs="宋体"/>
          <w:spacing w:val="-3"/>
          <w:position w:val="15"/>
          <w:sz w:val="21"/>
          <w:szCs w:val="21"/>
        </w:rPr>
        <w:t>无质量标准， 根据研</w:t>
      </w:r>
      <w:r>
        <w:rPr>
          <w:rFonts w:ascii="宋体" w:hAnsi="宋体" w:eastAsia="宋体" w:cs="宋体"/>
          <w:spacing w:val="-4"/>
          <w:position w:val="15"/>
          <w:sz w:val="21"/>
          <w:szCs w:val="21"/>
        </w:rPr>
        <w:t>究成果，废水中</w:t>
      </w:r>
      <w:r>
        <w:rPr>
          <w:rFonts w:ascii="宋体" w:hAnsi="宋体" w:eastAsia="宋体" w:cs="宋体"/>
          <w:spacing w:val="-47"/>
          <w:position w:val="15"/>
          <w:sz w:val="21"/>
          <w:szCs w:val="21"/>
        </w:rPr>
        <w:t xml:space="preserve"> </w:t>
      </w:r>
      <w:r>
        <w:rPr>
          <w:rFonts w:ascii="Times New Roman" w:hAnsi="Times New Roman" w:eastAsia="Times New Roman" w:cs="Times New Roman"/>
          <w:spacing w:val="-4"/>
          <w:position w:val="15"/>
          <w:sz w:val="21"/>
          <w:szCs w:val="21"/>
        </w:rPr>
        <w:t>COD</w:t>
      </w:r>
      <w:r>
        <w:rPr>
          <w:rFonts w:ascii="Times New Roman" w:hAnsi="Times New Roman" w:eastAsia="Times New Roman" w:cs="Times New Roman"/>
          <w:spacing w:val="-4"/>
          <w:position w:val="14"/>
          <w:sz w:val="13"/>
          <w:szCs w:val="13"/>
        </w:rPr>
        <w:t>Mn</w:t>
      </w:r>
      <w:r>
        <w:rPr>
          <w:rFonts w:ascii="Times New Roman" w:hAnsi="Times New Roman" w:eastAsia="Times New Roman" w:cs="Times New Roman"/>
          <w:spacing w:val="15"/>
          <w:w w:val="102"/>
          <w:position w:val="14"/>
          <w:sz w:val="13"/>
          <w:szCs w:val="13"/>
        </w:rPr>
        <w:t xml:space="preserve"> </w:t>
      </w:r>
      <w:r>
        <w:rPr>
          <w:rFonts w:ascii="宋体" w:hAnsi="宋体" w:eastAsia="宋体" w:cs="宋体"/>
          <w:spacing w:val="-4"/>
          <w:position w:val="15"/>
          <w:sz w:val="21"/>
          <w:szCs w:val="21"/>
        </w:rPr>
        <w:t>一般为</w:t>
      </w:r>
      <w:r>
        <w:rPr>
          <w:rFonts w:ascii="宋体" w:hAnsi="宋体" w:eastAsia="宋体" w:cs="宋体"/>
          <w:spacing w:val="-47"/>
          <w:position w:val="15"/>
          <w:sz w:val="21"/>
          <w:szCs w:val="21"/>
        </w:rPr>
        <w:t xml:space="preserve"> </w:t>
      </w:r>
      <w:r>
        <w:rPr>
          <w:rFonts w:ascii="Times New Roman" w:hAnsi="Times New Roman" w:eastAsia="Times New Roman" w:cs="Times New Roman"/>
          <w:spacing w:val="-4"/>
          <w:position w:val="15"/>
          <w:sz w:val="21"/>
          <w:szCs w:val="21"/>
        </w:rPr>
        <w:t>COD</w:t>
      </w:r>
      <w:r>
        <w:rPr>
          <w:rFonts w:ascii="Times New Roman" w:hAnsi="Times New Roman" w:eastAsia="Times New Roman" w:cs="Times New Roman"/>
          <w:spacing w:val="-4"/>
          <w:position w:val="14"/>
          <w:sz w:val="13"/>
          <w:szCs w:val="13"/>
        </w:rPr>
        <w:t>Cr</w:t>
      </w:r>
      <w:r>
        <w:rPr>
          <w:rFonts w:ascii="Times New Roman" w:hAnsi="Times New Roman" w:eastAsia="Times New Roman" w:cs="Times New Roman"/>
          <w:spacing w:val="25"/>
          <w:position w:val="14"/>
          <w:sz w:val="13"/>
          <w:szCs w:val="13"/>
        </w:rPr>
        <w:t xml:space="preserve"> </w:t>
      </w:r>
      <w:r>
        <w:rPr>
          <w:rFonts w:ascii="宋体" w:hAnsi="宋体" w:eastAsia="宋体" w:cs="宋体"/>
          <w:spacing w:val="-4"/>
          <w:position w:val="15"/>
          <w:sz w:val="21"/>
          <w:szCs w:val="21"/>
        </w:rPr>
        <w:t>的</w:t>
      </w:r>
      <w:r>
        <w:rPr>
          <w:rFonts w:ascii="宋体" w:hAnsi="宋体" w:eastAsia="宋体" w:cs="宋体"/>
          <w:spacing w:val="-28"/>
          <w:position w:val="15"/>
          <w:sz w:val="21"/>
          <w:szCs w:val="21"/>
        </w:rPr>
        <w:t xml:space="preserve"> </w:t>
      </w:r>
      <w:r>
        <w:rPr>
          <w:rFonts w:ascii="Times New Roman" w:hAnsi="Times New Roman" w:eastAsia="Times New Roman" w:cs="Times New Roman"/>
          <w:spacing w:val="-4"/>
          <w:position w:val="15"/>
          <w:sz w:val="21"/>
          <w:szCs w:val="21"/>
        </w:rPr>
        <w:t>1/3</w:t>
      </w:r>
      <w:r>
        <w:rPr>
          <w:rFonts w:ascii="宋体" w:hAnsi="宋体" w:eastAsia="宋体" w:cs="宋体"/>
          <w:spacing w:val="-4"/>
          <w:position w:val="15"/>
          <w:sz w:val="21"/>
          <w:szCs w:val="21"/>
        </w:rPr>
        <w:t>，换算成耗氧</w:t>
      </w:r>
    </w:p>
    <w:p>
      <w:pPr>
        <w:spacing w:line="213" w:lineRule="auto"/>
        <w:ind w:left="80"/>
        <w:rPr>
          <w:rFonts w:ascii="宋体" w:hAnsi="宋体" w:eastAsia="宋体" w:cs="宋体"/>
          <w:sz w:val="21"/>
          <w:szCs w:val="21"/>
        </w:rPr>
      </w:pPr>
      <w:r>
        <w:rPr>
          <w:rFonts w:ascii="宋体" w:hAnsi="宋体" w:eastAsia="宋体" w:cs="宋体"/>
          <w:spacing w:val="-3"/>
          <w:sz w:val="21"/>
          <w:szCs w:val="21"/>
        </w:rPr>
        <w:t>量（</w:t>
      </w:r>
      <w:r>
        <w:rPr>
          <w:rFonts w:ascii="Times New Roman" w:hAnsi="Times New Roman" w:eastAsia="Times New Roman" w:cs="Times New Roman"/>
          <w:spacing w:val="-3"/>
          <w:sz w:val="21"/>
          <w:szCs w:val="21"/>
        </w:rPr>
        <w:t>COD</w:t>
      </w:r>
      <w:r>
        <w:rPr>
          <w:rFonts w:ascii="Times New Roman" w:hAnsi="Times New Roman" w:eastAsia="Times New Roman" w:cs="Times New Roman"/>
          <w:spacing w:val="-3"/>
          <w:position w:val="-1"/>
          <w:sz w:val="13"/>
          <w:szCs w:val="13"/>
        </w:rPr>
        <w:t xml:space="preserve">Mn </w:t>
      </w:r>
      <w:r>
        <w:rPr>
          <w:rFonts w:ascii="宋体" w:hAnsi="宋体" w:eastAsia="宋体" w:cs="宋体"/>
          <w:spacing w:val="-3"/>
          <w:sz w:val="21"/>
          <w:szCs w:val="21"/>
        </w:rPr>
        <w:t>）浓度为</w:t>
      </w:r>
      <w:r>
        <w:rPr>
          <w:rFonts w:ascii="宋体" w:hAnsi="宋体" w:eastAsia="宋体" w:cs="宋体"/>
          <w:spacing w:val="-16"/>
          <w:sz w:val="21"/>
          <w:szCs w:val="21"/>
        </w:rPr>
        <w:t xml:space="preserve"> </w:t>
      </w:r>
      <w:r>
        <w:rPr>
          <w:rFonts w:ascii="Times New Roman" w:hAnsi="Times New Roman" w:eastAsia="Times New Roman" w:cs="Times New Roman"/>
          <w:spacing w:val="-3"/>
          <w:sz w:val="21"/>
          <w:szCs w:val="21"/>
        </w:rPr>
        <w:t>1525mg/L</w:t>
      </w:r>
      <w:r>
        <w:rPr>
          <w:rFonts w:ascii="宋体" w:hAnsi="宋体" w:eastAsia="宋体" w:cs="宋体"/>
          <w:spacing w:val="-3"/>
          <w:sz w:val="21"/>
          <w:szCs w:val="21"/>
        </w:rPr>
        <w:t>。</w:t>
      </w:r>
    </w:p>
    <w:p>
      <w:pPr>
        <w:pStyle w:val="2"/>
        <w:spacing w:line="303" w:lineRule="auto"/>
        <w:rPr>
          <w:sz w:val="21"/>
        </w:rPr>
      </w:pPr>
    </w:p>
    <w:p>
      <w:pPr>
        <w:spacing w:before="101" w:line="225" w:lineRule="auto"/>
        <w:ind w:left="77"/>
        <w:rPr>
          <w:rFonts w:ascii="宋体" w:hAnsi="宋体" w:eastAsia="宋体" w:cs="宋体"/>
          <w:sz w:val="31"/>
          <w:szCs w:val="31"/>
        </w:rPr>
      </w:pPr>
      <w:bookmarkStart w:id="22" w:name="bookmark23"/>
      <w:bookmarkEnd w:id="22"/>
      <w:r>
        <w:rPr>
          <w:rFonts w:ascii="Times New Roman" w:hAnsi="Times New Roman" w:eastAsia="Times New Roman" w:cs="Times New Roman"/>
          <w:b/>
          <w:bCs/>
          <w:spacing w:val="10"/>
          <w:sz w:val="31"/>
          <w:szCs w:val="31"/>
        </w:rPr>
        <w:t>3.7</w:t>
      </w:r>
      <w:r>
        <w:rPr>
          <w:rFonts w:ascii="宋体" w:hAnsi="宋体" w:eastAsia="宋体" w:cs="宋体"/>
          <w:spacing w:val="10"/>
          <w:sz w:val="31"/>
          <w:szCs w:val="31"/>
          <w14:textOutline w14:w="5791" w14:cap="flat" w14:cmpd="sng">
            <w14:solidFill>
              <w14:srgbClr w14:val="000000"/>
            </w14:solidFill>
            <w14:prstDash w14:val="solid"/>
            <w14:miter w14:val="10"/>
          </w14:textOutline>
        </w:rPr>
        <w:t>预测模型概化</w:t>
      </w:r>
    </w:p>
    <w:p>
      <w:pPr>
        <w:pStyle w:val="2"/>
        <w:spacing w:line="311" w:lineRule="auto"/>
        <w:rPr>
          <w:sz w:val="21"/>
        </w:rPr>
      </w:pPr>
    </w:p>
    <w:p>
      <w:pPr>
        <w:spacing w:before="92" w:line="220" w:lineRule="auto"/>
        <w:ind w:left="76"/>
        <w:rPr>
          <w:rFonts w:ascii="宋体" w:hAnsi="宋体" w:eastAsia="宋体" w:cs="宋体"/>
          <w:sz w:val="28"/>
          <w:szCs w:val="28"/>
        </w:rPr>
      </w:pPr>
      <w:r>
        <w:rPr>
          <w:rFonts w:ascii="Times New Roman" w:hAnsi="Times New Roman" w:eastAsia="Times New Roman" w:cs="Times New Roman"/>
          <w:b/>
          <w:bCs/>
          <w:sz w:val="28"/>
          <w:szCs w:val="28"/>
        </w:rPr>
        <w:t xml:space="preserve">3.7.1    </w:t>
      </w:r>
      <w:r>
        <w:rPr>
          <w:rFonts w:ascii="宋体" w:hAnsi="宋体" w:eastAsia="宋体" w:cs="宋体"/>
          <w:sz w:val="28"/>
          <w:szCs w:val="28"/>
          <w14:textOutline w14:w="5094" w14:cap="flat" w14:cmpd="sng">
            <w14:solidFill>
              <w14:srgbClr w14:val="000000"/>
            </w14:solidFill>
            <w14:prstDash w14:val="solid"/>
            <w14:miter w14:val="10"/>
          </w14:textOutline>
        </w:rPr>
        <w:t>水文地质条件及模型概化</w:t>
      </w:r>
    </w:p>
    <w:p>
      <w:pPr>
        <w:pStyle w:val="2"/>
        <w:spacing w:line="412" w:lineRule="auto"/>
        <w:rPr>
          <w:sz w:val="21"/>
        </w:rPr>
      </w:pPr>
    </w:p>
    <w:p>
      <w:pPr>
        <w:spacing w:before="79" w:line="468" w:lineRule="exact"/>
        <w:ind w:right="69"/>
        <w:jc w:val="right"/>
        <w:rPr>
          <w:rFonts w:ascii="宋体" w:hAnsi="宋体" w:eastAsia="宋体" w:cs="宋体"/>
          <w:sz w:val="24"/>
          <w:szCs w:val="24"/>
        </w:rPr>
      </w:pPr>
      <w:r>
        <w:rPr>
          <w:rFonts w:ascii="宋体" w:hAnsi="宋体" w:eastAsia="宋体" w:cs="宋体"/>
          <w:position w:val="17"/>
          <w:sz w:val="24"/>
          <w:szCs w:val="24"/>
        </w:rPr>
        <w:t>根据实际调查研究及水文地质资料，本次研究的主要含水层为侏罗系上统蓬莱镇</w:t>
      </w:r>
    </w:p>
    <w:p>
      <w:pPr>
        <w:spacing w:line="219" w:lineRule="auto"/>
        <w:ind w:left="84"/>
        <w:rPr>
          <w:rFonts w:ascii="宋体" w:hAnsi="宋体" w:eastAsia="宋体" w:cs="宋体"/>
          <w:sz w:val="24"/>
          <w:szCs w:val="24"/>
        </w:rPr>
      </w:pPr>
      <w:r>
        <w:rPr>
          <w:rFonts w:ascii="宋体" w:hAnsi="宋体" w:eastAsia="宋体" w:cs="宋体"/>
          <w:spacing w:val="-3"/>
          <w:sz w:val="24"/>
          <w:szCs w:val="24"/>
        </w:rPr>
        <w:t>组构造裂隙水，下部未风化基岩构成隔水层。</w:t>
      </w:r>
    </w:p>
    <w:p>
      <w:pPr>
        <w:spacing w:before="183" w:line="360" w:lineRule="auto"/>
        <w:ind w:left="81" w:right="72" w:firstLine="479"/>
        <w:rPr>
          <w:rFonts w:ascii="宋体" w:hAnsi="宋体" w:eastAsia="宋体" w:cs="宋体"/>
          <w:sz w:val="24"/>
          <w:szCs w:val="24"/>
        </w:rPr>
      </w:pPr>
      <w:r>
        <w:rPr>
          <w:rFonts w:ascii="宋体" w:hAnsi="宋体" w:eastAsia="宋体" w:cs="宋体"/>
          <w:sz w:val="24"/>
          <w:szCs w:val="24"/>
        </w:rPr>
        <w:t>含有污染物的废水将以入渗的方式进入含水层，从保守角度，本次计算忽略污染</w:t>
      </w:r>
      <w:r>
        <w:rPr>
          <w:rFonts w:ascii="宋体" w:hAnsi="宋体" w:eastAsia="宋体" w:cs="宋体"/>
          <w:spacing w:val="6"/>
          <w:sz w:val="24"/>
          <w:szCs w:val="24"/>
        </w:rPr>
        <w:t xml:space="preserve"> </w:t>
      </w:r>
      <w:r>
        <w:rPr>
          <w:rFonts w:ascii="宋体" w:hAnsi="宋体" w:eastAsia="宋体" w:cs="宋体"/>
          <w:spacing w:val="-3"/>
          <w:sz w:val="24"/>
          <w:szCs w:val="24"/>
        </w:rPr>
        <w:t>物在包气带的运移过程。</w:t>
      </w:r>
      <w:r>
        <w:rPr>
          <w:rFonts w:hint="eastAsia" w:ascii="宋体" w:hAnsi="宋体" w:eastAsia="宋体" w:cs="宋体"/>
          <w:spacing w:val="-3"/>
          <w:sz w:val="24"/>
          <w:szCs w:val="24"/>
        </w:rPr>
        <w:t>建设用地</w:t>
      </w:r>
      <w:bookmarkStart w:id="66" w:name="_GoBack"/>
      <w:bookmarkEnd w:id="66"/>
      <w:r>
        <w:rPr>
          <w:rFonts w:ascii="宋体" w:hAnsi="宋体" w:eastAsia="宋体" w:cs="宋体"/>
          <w:spacing w:val="-3"/>
          <w:sz w:val="24"/>
          <w:szCs w:val="24"/>
        </w:rPr>
        <w:t>地下水流向呈一维流动， 地下水位动态稳</w:t>
      </w:r>
      <w:r>
        <w:rPr>
          <w:rFonts w:ascii="宋体" w:hAnsi="宋体" w:eastAsia="宋体" w:cs="宋体"/>
          <w:spacing w:val="-4"/>
          <w:sz w:val="24"/>
          <w:szCs w:val="24"/>
        </w:rPr>
        <w:t>定，因此</w:t>
      </w:r>
      <w:r>
        <w:rPr>
          <w:rFonts w:ascii="宋体" w:hAnsi="宋体" w:eastAsia="宋体" w:cs="宋体"/>
          <w:sz w:val="24"/>
          <w:szCs w:val="24"/>
        </w:rPr>
        <w:t xml:space="preserve"> 污染物在浅层含水层中的迁移，可概化为瞬时注入示踪剂（平面瞬时点源）的一维稳</w:t>
      </w:r>
      <w:r>
        <w:rPr>
          <w:rFonts w:ascii="宋体" w:hAnsi="宋体" w:eastAsia="宋体" w:cs="宋体"/>
          <w:spacing w:val="2"/>
          <w:sz w:val="24"/>
          <w:szCs w:val="24"/>
        </w:rPr>
        <w:t xml:space="preserve"> </w:t>
      </w:r>
      <w:r>
        <w:rPr>
          <w:rFonts w:ascii="宋体" w:hAnsi="宋体" w:eastAsia="宋体" w:cs="宋体"/>
          <w:spacing w:val="-1"/>
          <w:sz w:val="24"/>
          <w:szCs w:val="24"/>
        </w:rPr>
        <w:t>定流动二维水动力弥散问题，当取平行地下水流动的方向为</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x</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轴正方向时，则污染物</w:t>
      </w:r>
    </w:p>
    <w:p>
      <w:pPr>
        <w:spacing w:before="1" w:line="218" w:lineRule="auto"/>
        <w:ind w:left="81"/>
        <w:rPr>
          <w:rFonts w:ascii="宋体" w:hAnsi="宋体" w:eastAsia="宋体" w:cs="宋体"/>
          <w:sz w:val="24"/>
          <w:szCs w:val="24"/>
        </w:rPr>
      </w:pPr>
      <w:r>
        <w:rPr>
          <w:rFonts w:ascii="宋体" w:hAnsi="宋体" w:eastAsia="宋体" w:cs="宋体"/>
          <w:spacing w:val="-5"/>
          <w:sz w:val="24"/>
          <w:szCs w:val="24"/>
        </w:rPr>
        <w:t>浓度分布模型如下。</w:t>
      </w:r>
    </w:p>
    <w:p>
      <w:pPr>
        <w:spacing w:before="195" w:line="982" w:lineRule="exact"/>
        <w:ind w:firstLine="2260"/>
      </w:pPr>
      <w:r>
        <w:rPr>
          <w:position w:val="-19"/>
        </w:rPr>
        <w:drawing>
          <wp:inline distT="0" distB="0" distL="0" distR="0">
            <wp:extent cx="2857500" cy="62357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56"/>
                    <a:stretch>
                      <a:fillRect/>
                    </a:stretch>
                  </pic:blipFill>
                  <pic:spPr>
                    <a:xfrm>
                      <a:off x="0" y="0"/>
                      <a:ext cx="2857774" cy="623660"/>
                    </a:xfrm>
                    <a:prstGeom prst="rect">
                      <a:avLst/>
                    </a:prstGeom>
                  </pic:spPr>
                </pic:pic>
              </a:graphicData>
            </a:graphic>
          </wp:inline>
        </w:drawing>
      </w:r>
    </w:p>
    <w:p>
      <w:pPr>
        <w:spacing w:before="255" w:line="212" w:lineRule="auto"/>
        <w:ind w:left="86"/>
        <w:rPr>
          <w:rFonts w:ascii="宋体" w:hAnsi="宋体" w:eastAsia="宋体" w:cs="宋体"/>
          <w:sz w:val="24"/>
          <w:szCs w:val="24"/>
        </w:rPr>
      </w:pPr>
      <w:r>
        <w:rPr>
          <w:rFonts w:ascii="宋体" w:hAnsi="宋体" w:eastAsia="宋体" w:cs="宋体"/>
          <w:spacing w:val="-12"/>
          <w:sz w:val="24"/>
          <w:szCs w:val="24"/>
        </w:rPr>
        <w:t xml:space="preserve">式中： </w:t>
      </w:r>
      <w:r>
        <w:rPr>
          <w:rFonts w:ascii="Times New Roman" w:hAnsi="Times New Roman" w:eastAsia="Times New Roman" w:cs="Times New Roman"/>
          <w:spacing w:val="-12"/>
          <w:sz w:val="24"/>
          <w:szCs w:val="24"/>
        </w:rPr>
        <w:t>x</w:t>
      </w:r>
      <w:r>
        <w:rPr>
          <w:rFonts w:ascii="Times New Roman" w:hAnsi="Times New Roman" w:eastAsia="Times New Roman" w:cs="Times New Roman"/>
          <w:spacing w:val="-29"/>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y—</w:t>
      </w:r>
      <w:r>
        <w:rPr>
          <w:rFonts w:ascii="宋体" w:hAnsi="宋体" w:eastAsia="宋体" w:cs="宋体"/>
          <w:spacing w:val="-12"/>
          <w:sz w:val="24"/>
          <w:szCs w:val="24"/>
        </w:rPr>
        <w:t>计算点处的位置坐标；</w:t>
      </w:r>
    </w:p>
    <w:p>
      <w:pPr>
        <w:spacing w:line="212" w:lineRule="auto"/>
        <w:rPr>
          <w:rFonts w:ascii="宋体" w:hAnsi="宋体" w:eastAsia="宋体" w:cs="宋体"/>
          <w:sz w:val="24"/>
          <w:szCs w:val="24"/>
        </w:rPr>
        <w:sectPr>
          <w:footerReference r:id="rId178" w:type="default"/>
          <w:pgSz w:w="11907" w:h="16839"/>
          <w:pgMar w:top="400" w:right="1344" w:bottom="1151" w:left="1517" w:header="0" w:footer="988" w:gutter="0"/>
          <w:cols w:space="720" w:num="1"/>
        </w:sectPr>
      </w:pPr>
    </w:p>
    <w:p>
      <w:pPr>
        <w:pStyle w:val="2"/>
        <w:spacing w:line="267"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78" w:line="233" w:lineRule="auto"/>
        <w:ind w:left="830"/>
        <w:rPr>
          <w:rFonts w:ascii="宋体" w:hAnsi="宋体" w:eastAsia="宋体" w:cs="宋体"/>
          <w:sz w:val="24"/>
          <w:szCs w:val="24"/>
        </w:rPr>
      </w:pPr>
      <w:r>
        <w:rPr>
          <w:rFonts w:ascii="Times New Roman" w:hAnsi="Times New Roman" w:eastAsia="Times New Roman" w:cs="Times New Roman"/>
          <w:spacing w:val="-14"/>
          <w:sz w:val="24"/>
          <w:szCs w:val="24"/>
        </w:rPr>
        <w:t>t—</w:t>
      </w:r>
      <w:r>
        <w:rPr>
          <w:rFonts w:ascii="Times New Roman" w:hAnsi="Times New Roman" w:eastAsia="Times New Roman" w:cs="Times New Roman"/>
          <w:spacing w:val="-39"/>
          <w:sz w:val="24"/>
          <w:szCs w:val="24"/>
        </w:rPr>
        <w:t xml:space="preserve"> </w:t>
      </w:r>
      <w:r>
        <w:rPr>
          <w:rFonts w:ascii="宋体" w:hAnsi="宋体" w:eastAsia="宋体" w:cs="宋体"/>
          <w:spacing w:val="-14"/>
          <w:sz w:val="24"/>
          <w:szCs w:val="24"/>
        </w:rPr>
        <w:t xml:space="preserve">时间， </w:t>
      </w:r>
      <w:r>
        <w:rPr>
          <w:rFonts w:ascii="Times New Roman" w:hAnsi="Times New Roman" w:eastAsia="Times New Roman" w:cs="Times New Roman"/>
          <w:spacing w:val="-14"/>
          <w:sz w:val="24"/>
          <w:szCs w:val="24"/>
        </w:rPr>
        <w:t>d</w:t>
      </w:r>
      <w:r>
        <w:rPr>
          <w:rFonts w:ascii="宋体" w:hAnsi="宋体" w:eastAsia="宋体" w:cs="宋体"/>
          <w:spacing w:val="-14"/>
          <w:sz w:val="24"/>
          <w:szCs w:val="24"/>
        </w:rPr>
        <w:t>；</w:t>
      </w:r>
      <w:r>
        <w:rPr>
          <w:rFonts w:ascii="Times New Roman" w:hAnsi="Times New Roman" w:eastAsia="Times New Roman" w:cs="Times New Roman"/>
          <w:spacing w:val="-14"/>
          <w:sz w:val="24"/>
          <w:szCs w:val="24"/>
        </w:rPr>
        <w:t>π</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为圆周率；</w:t>
      </w:r>
    </w:p>
    <w:p>
      <w:pPr>
        <w:spacing w:before="165" w:line="468" w:lineRule="exact"/>
        <w:ind w:left="836"/>
        <w:rPr>
          <w:rFonts w:ascii="宋体" w:hAnsi="宋体" w:eastAsia="宋体" w:cs="宋体"/>
          <w:sz w:val="24"/>
          <w:szCs w:val="24"/>
        </w:rPr>
      </w:pPr>
      <w:r>
        <w:rPr>
          <w:rFonts w:ascii="Times New Roman" w:hAnsi="Times New Roman" w:eastAsia="Times New Roman" w:cs="Times New Roman"/>
          <w:spacing w:val="-11"/>
          <w:position w:val="17"/>
          <w:sz w:val="24"/>
          <w:szCs w:val="24"/>
        </w:rPr>
        <w:t>C</w:t>
      </w:r>
      <w:r>
        <w:rPr>
          <w:rFonts w:ascii="宋体" w:hAnsi="宋体" w:eastAsia="宋体" w:cs="宋体"/>
          <w:spacing w:val="-11"/>
          <w:position w:val="17"/>
          <w:sz w:val="24"/>
          <w:szCs w:val="24"/>
        </w:rPr>
        <w:t>（</w:t>
      </w:r>
      <w:r>
        <w:rPr>
          <w:rFonts w:ascii="Times New Roman" w:hAnsi="Times New Roman" w:eastAsia="Times New Roman" w:cs="Times New Roman"/>
          <w:spacing w:val="-11"/>
          <w:position w:val="17"/>
          <w:sz w:val="24"/>
          <w:szCs w:val="24"/>
        </w:rPr>
        <w:t>x</w:t>
      </w:r>
      <w:r>
        <w:rPr>
          <w:rFonts w:ascii="Times New Roman" w:hAnsi="Times New Roman" w:eastAsia="Times New Roman" w:cs="Times New Roman"/>
          <w:spacing w:val="-31"/>
          <w:position w:val="17"/>
          <w:sz w:val="24"/>
          <w:szCs w:val="24"/>
        </w:rPr>
        <w:t xml:space="preserve"> </w:t>
      </w:r>
      <w:r>
        <w:rPr>
          <w:rFonts w:ascii="宋体" w:hAnsi="宋体" w:eastAsia="宋体" w:cs="宋体"/>
          <w:spacing w:val="-11"/>
          <w:position w:val="17"/>
          <w:sz w:val="24"/>
          <w:szCs w:val="24"/>
        </w:rPr>
        <w:t>，</w:t>
      </w:r>
      <w:r>
        <w:rPr>
          <w:rFonts w:ascii="Times New Roman" w:hAnsi="Times New Roman" w:eastAsia="Times New Roman" w:cs="Times New Roman"/>
          <w:spacing w:val="-11"/>
          <w:position w:val="17"/>
          <w:sz w:val="24"/>
          <w:szCs w:val="24"/>
        </w:rPr>
        <w:t>y</w:t>
      </w:r>
      <w:r>
        <w:rPr>
          <w:rFonts w:ascii="Times New Roman" w:hAnsi="Times New Roman" w:eastAsia="Times New Roman" w:cs="Times New Roman"/>
          <w:spacing w:val="-31"/>
          <w:position w:val="17"/>
          <w:sz w:val="24"/>
          <w:szCs w:val="24"/>
        </w:rPr>
        <w:t xml:space="preserve"> </w:t>
      </w:r>
      <w:r>
        <w:rPr>
          <w:rFonts w:ascii="宋体" w:hAnsi="宋体" w:eastAsia="宋体" w:cs="宋体"/>
          <w:spacing w:val="-11"/>
          <w:position w:val="17"/>
          <w:sz w:val="24"/>
          <w:szCs w:val="24"/>
        </w:rPr>
        <w:t>，</w:t>
      </w:r>
      <w:r>
        <w:rPr>
          <w:rFonts w:ascii="Times New Roman" w:hAnsi="Times New Roman" w:eastAsia="Times New Roman" w:cs="Times New Roman"/>
          <w:spacing w:val="-11"/>
          <w:position w:val="17"/>
          <w:sz w:val="24"/>
          <w:szCs w:val="24"/>
        </w:rPr>
        <w:t>t</w:t>
      </w:r>
      <w:r>
        <w:rPr>
          <w:rFonts w:ascii="宋体" w:hAnsi="宋体" w:eastAsia="宋体" w:cs="宋体"/>
          <w:spacing w:val="-11"/>
          <w:position w:val="17"/>
          <w:sz w:val="24"/>
          <w:szCs w:val="24"/>
        </w:rPr>
        <w:t>）</w:t>
      </w:r>
      <w:r>
        <w:rPr>
          <w:rFonts w:ascii="Times New Roman" w:hAnsi="Times New Roman" w:eastAsia="Times New Roman" w:cs="Times New Roman"/>
          <w:spacing w:val="-11"/>
          <w:position w:val="17"/>
          <w:sz w:val="24"/>
          <w:szCs w:val="24"/>
        </w:rPr>
        <w:t>—t</w:t>
      </w:r>
      <w:r>
        <w:rPr>
          <w:rFonts w:ascii="Times New Roman" w:hAnsi="Times New Roman" w:eastAsia="Times New Roman" w:cs="Times New Roman"/>
          <w:spacing w:val="22"/>
          <w:position w:val="17"/>
          <w:sz w:val="24"/>
          <w:szCs w:val="24"/>
        </w:rPr>
        <w:t xml:space="preserve"> </w:t>
      </w:r>
      <w:r>
        <w:rPr>
          <w:rFonts w:ascii="宋体" w:hAnsi="宋体" w:eastAsia="宋体" w:cs="宋体"/>
          <w:spacing w:val="-11"/>
          <w:position w:val="17"/>
          <w:sz w:val="24"/>
          <w:szCs w:val="24"/>
        </w:rPr>
        <w:t>时刻点</w:t>
      </w:r>
      <w:r>
        <w:rPr>
          <w:rFonts w:ascii="宋体" w:hAnsi="宋体" w:eastAsia="宋体" w:cs="宋体"/>
          <w:spacing w:val="-57"/>
          <w:position w:val="17"/>
          <w:sz w:val="24"/>
          <w:szCs w:val="24"/>
        </w:rPr>
        <w:t xml:space="preserve"> </w:t>
      </w:r>
      <w:r>
        <w:rPr>
          <w:rFonts w:ascii="Times New Roman" w:hAnsi="Times New Roman" w:eastAsia="Times New Roman" w:cs="Times New Roman"/>
          <w:spacing w:val="-11"/>
          <w:position w:val="17"/>
          <w:sz w:val="24"/>
          <w:szCs w:val="24"/>
        </w:rPr>
        <w:t>x</w:t>
      </w:r>
      <w:r>
        <w:rPr>
          <w:rFonts w:ascii="Times New Roman" w:hAnsi="Times New Roman" w:eastAsia="Times New Roman" w:cs="Times New Roman"/>
          <w:spacing w:val="-31"/>
          <w:position w:val="17"/>
          <w:sz w:val="24"/>
          <w:szCs w:val="24"/>
        </w:rPr>
        <w:t xml:space="preserve"> </w:t>
      </w:r>
      <w:r>
        <w:rPr>
          <w:rFonts w:ascii="宋体" w:hAnsi="宋体" w:eastAsia="宋体" w:cs="宋体"/>
          <w:spacing w:val="-11"/>
          <w:position w:val="17"/>
          <w:sz w:val="24"/>
          <w:szCs w:val="24"/>
        </w:rPr>
        <w:t>，</w:t>
      </w:r>
      <w:r>
        <w:rPr>
          <w:rFonts w:ascii="Times New Roman" w:hAnsi="Times New Roman" w:eastAsia="Times New Roman" w:cs="Times New Roman"/>
          <w:spacing w:val="-11"/>
          <w:position w:val="17"/>
          <w:sz w:val="24"/>
          <w:szCs w:val="24"/>
        </w:rPr>
        <w:t>y</w:t>
      </w:r>
      <w:r>
        <w:rPr>
          <w:rFonts w:ascii="Times New Roman" w:hAnsi="Times New Roman" w:eastAsia="Times New Roman" w:cs="Times New Roman"/>
          <w:spacing w:val="14"/>
          <w:position w:val="17"/>
          <w:sz w:val="24"/>
          <w:szCs w:val="24"/>
        </w:rPr>
        <w:t xml:space="preserve"> </w:t>
      </w:r>
      <w:r>
        <w:rPr>
          <w:rFonts w:ascii="宋体" w:hAnsi="宋体" w:eastAsia="宋体" w:cs="宋体"/>
          <w:spacing w:val="-11"/>
          <w:position w:val="17"/>
          <w:sz w:val="24"/>
          <w:szCs w:val="24"/>
        </w:rPr>
        <w:t>处的示</w:t>
      </w:r>
      <w:r>
        <w:rPr>
          <w:rFonts w:ascii="宋体" w:hAnsi="宋体" w:eastAsia="宋体" w:cs="宋体"/>
          <w:spacing w:val="-12"/>
          <w:position w:val="17"/>
          <w:sz w:val="24"/>
          <w:szCs w:val="24"/>
        </w:rPr>
        <w:t>踪剂浓度，</w:t>
      </w:r>
      <w:r>
        <w:rPr>
          <w:rFonts w:ascii="宋体" w:hAnsi="宋体" w:eastAsia="宋体" w:cs="宋体"/>
          <w:spacing w:val="61"/>
          <w:position w:val="17"/>
          <w:sz w:val="24"/>
          <w:szCs w:val="24"/>
        </w:rPr>
        <w:t xml:space="preserve"> </w:t>
      </w:r>
      <w:r>
        <w:rPr>
          <w:rFonts w:ascii="Times New Roman" w:hAnsi="Times New Roman" w:eastAsia="Times New Roman" w:cs="Times New Roman"/>
          <w:spacing w:val="-12"/>
          <w:position w:val="17"/>
          <w:sz w:val="24"/>
          <w:szCs w:val="24"/>
        </w:rPr>
        <w:t>g/L</w:t>
      </w:r>
      <w:r>
        <w:rPr>
          <w:rFonts w:ascii="宋体" w:hAnsi="宋体" w:eastAsia="宋体" w:cs="宋体"/>
          <w:spacing w:val="-12"/>
          <w:position w:val="17"/>
          <w:sz w:val="24"/>
          <w:szCs w:val="24"/>
        </w:rPr>
        <w:t>；</w:t>
      </w:r>
    </w:p>
    <w:p>
      <w:pPr>
        <w:spacing w:line="233" w:lineRule="auto"/>
        <w:ind w:left="832"/>
        <w:rPr>
          <w:rFonts w:ascii="宋体" w:hAnsi="宋体" w:eastAsia="宋体" w:cs="宋体"/>
          <w:sz w:val="24"/>
          <w:szCs w:val="24"/>
        </w:rPr>
      </w:pPr>
      <w:r>
        <w:rPr>
          <w:rFonts w:ascii="Times New Roman" w:hAnsi="Times New Roman" w:eastAsia="Times New Roman" w:cs="Times New Roman"/>
          <w:spacing w:val="-17"/>
          <w:sz w:val="24"/>
          <w:szCs w:val="24"/>
        </w:rPr>
        <w:t>M—</w:t>
      </w:r>
      <w:r>
        <w:rPr>
          <w:rFonts w:ascii="宋体" w:hAnsi="宋体" w:eastAsia="宋体" w:cs="宋体"/>
          <w:spacing w:val="-17"/>
          <w:sz w:val="24"/>
          <w:szCs w:val="24"/>
        </w:rPr>
        <w:t>含水层的厚度，</w:t>
      </w:r>
      <w:r>
        <w:rPr>
          <w:rFonts w:ascii="宋体" w:hAnsi="宋体" w:eastAsia="宋体" w:cs="宋体"/>
          <w:spacing w:val="62"/>
          <w:sz w:val="24"/>
          <w:szCs w:val="24"/>
        </w:rPr>
        <w:t xml:space="preserve"> </w:t>
      </w:r>
      <w:r>
        <w:rPr>
          <w:rFonts w:ascii="Times New Roman" w:hAnsi="Times New Roman" w:eastAsia="Times New Roman" w:cs="Times New Roman"/>
          <w:spacing w:val="-17"/>
          <w:sz w:val="24"/>
          <w:szCs w:val="24"/>
        </w:rPr>
        <w:t>m</w:t>
      </w:r>
      <w:r>
        <w:rPr>
          <w:rFonts w:ascii="宋体" w:hAnsi="宋体" w:eastAsia="宋体" w:cs="宋体"/>
          <w:spacing w:val="-17"/>
          <w:sz w:val="24"/>
          <w:szCs w:val="24"/>
        </w:rPr>
        <w:t>；</w:t>
      </w:r>
    </w:p>
    <w:p>
      <w:pPr>
        <w:spacing w:before="164" w:line="468" w:lineRule="exact"/>
        <w:ind w:left="829"/>
        <w:rPr>
          <w:rFonts w:ascii="宋体" w:hAnsi="宋体" w:eastAsia="宋体" w:cs="宋体"/>
          <w:sz w:val="24"/>
          <w:szCs w:val="24"/>
        </w:rPr>
      </w:pPr>
      <w:r>
        <w:rPr>
          <w:rFonts w:ascii="Times New Roman" w:hAnsi="Times New Roman" w:eastAsia="Times New Roman" w:cs="Times New Roman"/>
          <w:spacing w:val="-8"/>
          <w:position w:val="17"/>
          <w:sz w:val="24"/>
          <w:szCs w:val="24"/>
        </w:rPr>
        <w:t>m</w:t>
      </w:r>
      <w:r>
        <w:rPr>
          <w:rFonts w:ascii="Times New Roman" w:hAnsi="Times New Roman" w:eastAsia="Times New Roman" w:cs="Times New Roman"/>
          <w:spacing w:val="-8"/>
          <w:position w:val="16"/>
          <w:sz w:val="16"/>
          <w:szCs w:val="16"/>
        </w:rPr>
        <w:t>M</w:t>
      </w:r>
      <w:r>
        <w:rPr>
          <w:rFonts w:ascii="Times New Roman" w:hAnsi="Times New Roman" w:eastAsia="Times New Roman" w:cs="Times New Roman"/>
          <w:spacing w:val="-8"/>
          <w:position w:val="17"/>
          <w:sz w:val="24"/>
          <w:szCs w:val="24"/>
        </w:rPr>
        <w:t>—</w:t>
      </w:r>
      <w:r>
        <w:rPr>
          <w:rFonts w:ascii="Times New Roman" w:hAnsi="Times New Roman" w:eastAsia="Times New Roman" w:cs="Times New Roman"/>
          <w:spacing w:val="-39"/>
          <w:position w:val="17"/>
          <w:sz w:val="24"/>
          <w:szCs w:val="24"/>
        </w:rPr>
        <w:t xml:space="preserve"> </w:t>
      </w:r>
      <w:r>
        <w:rPr>
          <w:rFonts w:ascii="宋体" w:hAnsi="宋体" w:eastAsia="宋体" w:cs="宋体"/>
          <w:spacing w:val="-8"/>
          <w:position w:val="17"/>
          <w:sz w:val="24"/>
          <w:szCs w:val="24"/>
        </w:rPr>
        <w:t xml:space="preserve">瞬时注入示踪剂的质量， </w:t>
      </w:r>
      <w:r>
        <w:rPr>
          <w:rFonts w:ascii="Times New Roman" w:hAnsi="Times New Roman" w:eastAsia="Times New Roman" w:cs="Times New Roman"/>
          <w:spacing w:val="-8"/>
          <w:position w:val="17"/>
          <w:sz w:val="24"/>
          <w:szCs w:val="24"/>
        </w:rPr>
        <w:t>kg</w:t>
      </w:r>
      <w:r>
        <w:rPr>
          <w:rFonts w:ascii="宋体" w:hAnsi="宋体" w:eastAsia="宋体" w:cs="宋体"/>
          <w:spacing w:val="-8"/>
          <w:position w:val="17"/>
          <w:sz w:val="24"/>
          <w:szCs w:val="24"/>
        </w:rPr>
        <w:t>；</w:t>
      </w:r>
    </w:p>
    <w:p>
      <w:pPr>
        <w:spacing w:line="233" w:lineRule="auto"/>
        <w:ind w:left="828"/>
        <w:rPr>
          <w:rFonts w:ascii="宋体" w:hAnsi="宋体" w:eastAsia="宋体" w:cs="宋体"/>
          <w:sz w:val="24"/>
          <w:szCs w:val="24"/>
        </w:rPr>
      </w:pPr>
      <w:r>
        <w:rPr>
          <w:rFonts w:ascii="Times New Roman" w:hAnsi="Times New Roman" w:eastAsia="Times New Roman" w:cs="Times New Roman"/>
          <w:spacing w:val="-13"/>
          <w:sz w:val="24"/>
          <w:szCs w:val="24"/>
        </w:rPr>
        <w:t>u—</w:t>
      </w:r>
      <w:r>
        <w:rPr>
          <w:rFonts w:ascii="宋体" w:hAnsi="宋体" w:eastAsia="宋体" w:cs="宋体"/>
          <w:spacing w:val="-13"/>
          <w:sz w:val="24"/>
          <w:szCs w:val="24"/>
        </w:rPr>
        <w:t>水流速度，</w:t>
      </w:r>
      <w:r>
        <w:rPr>
          <w:rFonts w:ascii="宋体" w:hAnsi="宋体" w:eastAsia="宋体" w:cs="宋体"/>
          <w:spacing w:val="23"/>
          <w:sz w:val="24"/>
          <w:szCs w:val="24"/>
        </w:rPr>
        <w:t xml:space="preserve"> </w:t>
      </w:r>
      <w:r>
        <w:rPr>
          <w:rFonts w:ascii="Times New Roman" w:hAnsi="Times New Roman" w:eastAsia="Times New Roman" w:cs="Times New Roman"/>
          <w:spacing w:val="-13"/>
          <w:sz w:val="24"/>
          <w:szCs w:val="24"/>
        </w:rPr>
        <w:t>m/d</w:t>
      </w:r>
      <w:r>
        <w:rPr>
          <w:rFonts w:ascii="宋体" w:hAnsi="宋体" w:eastAsia="宋体" w:cs="宋体"/>
          <w:spacing w:val="-13"/>
          <w:sz w:val="24"/>
          <w:szCs w:val="24"/>
        </w:rPr>
        <w:t>；</w:t>
      </w:r>
    </w:p>
    <w:p>
      <w:pPr>
        <w:spacing w:before="164" w:line="468" w:lineRule="exact"/>
        <w:ind w:left="829"/>
        <w:rPr>
          <w:rFonts w:ascii="宋体" w:hAnsi="宋体" w:eastAsia="宋体" w:cs="宋体"/>
          <w:sz w:val="24"/>
          <w:szCs w:val="24"/>
        </w:rPr>
      </w:pPr>
      <w:r>
        <w:rPr>
          <w:rFonts w:ascii="Times New Roman" w:hAnsi="Times New Roman" w:eastAsia="Times New Roman" w:cs="Times New Roman"/>
          <w:spacing w:val="-4"/>
          <w:position w:val="16"/>
          <w:sz w:val="24"/>
          <w:szCs w:val="24"/>
        </w:rPr>
        <w:t>n</w:t>
      </w:r>
      <w:r>
        <w:rPr>
          <w:rFonts w:ascii="Times New Roman" w:hAnsi="Times New Roman" w:eastAsia="Times New Roman" w:cs="Times New Roman"/>
          <w:spacing w:val="-4"/>
          <w:position w:val="15"/>
          <w:sz w:val="16"/>
          <w:szCs w:val="16"/>
        </w:rPr>
        <w:t>e</w:t>
      </w:r>
      <w:r>
        <w:rPr>
          <w:rFonts w:ascii="Times New Roman" w:hAnsi="Times New Roman" w:eastAsia="Times New Roman" w:cs="Times New Roman"/>
          <w:spacing w:val="-4"/>
          <w:position w:val="16"/>
          <w:sz w:val="24"/>
          <w:szCs w:val="24"/>
        </w:rPr>
        <w:t>—</w:t>
      </w:r>
      <w:r>
        <w:rPr>
          <w:rFonts w:ascii="宋体" w:hAnsi="宋体" w:eastAsia="宋体" w:cs="宋体"/>
          <w:spacing w:val="-4"/>
          <w:position w:val="16"/>
          <w:sz w:val="24"/>
          <w:szCs w:val="24"/>
        </w:rPr>
        <w:t>有效孔隙度，无量纲；</w:t>
      </w:r>
    </w:p>
    <w:p>
      <w:pPr>
        <w:spacing w:before="1" w:line="233" w:lineRule="auto"/>
        <w:ind w:left="832"/>
        <w:rPr>
          <w:rFonts w:ascii="宋体" w:hAnsi="宋体" w:eastAsia="宋体" w:cs="宋体"/>
          <w:sz w:val="24"/>
          <w:szCs w:val="24"/>
        </w:rPr>
      </w:pPr>
      <w:r>
        <w:rPr>
          <w:rFonts w:ascii="Times New Roman" w:hAnsi="Times New Roman" w:eastAsia="Times New Roman" w:cs="Times New Roman"/>
          <w:spacing w:val="-12"/>
          <w:sz w:val="24"/>
          <w:szCs w:val="24"/>
        </w:rPr>
        <w:t>D</w:t>
      </w:r>
      <w:r>
        <w:rPr>
          <w:rFonts w:ascii="Times New Roman" w:hAnsi="Times New Roman" w:eastAsia="Times New Roman" w:cs="Times New Roman"/>
          <w:spacing w:val="-12"/>
          <w:position w:val="-2"/>
          <w:sz w:val="16"/>
          <w:szCs w:val="16"/>
        </w:rPr>
        <w:t>L</w:t>
      </w:r>
      <w:r>
        <w:rPr>
          <w:rFonts w:ascii="Times New Roman" w:hAnsi="Times New Roman" w:eastAsia="Times New Roman" w:cs="Times New Roman"/>
          <w:spacing w:val="-12"/>
          <w:sz w:val="24"/>
          <w:szCs w:val="24"/>
        </w:rPr>
        <w:t>—</w:t>
      </w:r>
      <w:r>
        <w:rPr>
          <w:rFonts w:ascii="宋体" w:hAnsi="宋体" w:eastAsia="宋体" w:cs="宋体"/>
          <w:spacing w:val="-12"/>
          <w:sz w:val="24"/>
          <w:szCs w:val="24"/>
        </w:rPr>
        <w:t>纵向弥散系数，</w:t>
      </w:r>
      <w:r>
        <w:rPr>
          <w:rFonts w:ascii="宋体" w:hAnsi="宋体" w:eastAsia="宋体" w:cs="宋体"/>
          <w:spacing w:val="58"/>
          <w:sz w:val="24"/>
          <w:szCs w:val="24"/>
        </w:rPr>
        <w:t xml:space="preserve"> </w:t>
      </w:r>
      <w:r>
        <w:rPr>
          <w:rFonts w:ascii="Times New Roman" w:hAnsi="Times New Roman" w:eastAsia="Times New Roman" w:cs="Times New Roman"/>
          <w:spacing w:val="-12"/>
          <w:sz w:val="24"/>
          <w:szCs w:val="24"/>
        </w:rPr>
        <w:t>m</w:t>
      </w:r>
      <w:r>
        <w:rPr>
          <w:rFonts w:ascii="Times New Roman" w:hAnsi="Times New Roman" w:eastAsia="Times New Roman" w:cs="Times New Roman"/>
          <w:spacing w:val="-12"/>
          <w:position w:val="8"/>
          <w:sz w:val="16"/>
          <w:szCs w:val="16"/>
        </w:rPr>
        <w:t>2</w:t>
      </w:r>
      <w:r>
        <w:rPr>
          <w:rFonts w:ascii="Times New Roman" w:hAnsi="Times New Roman" w:eastAsia="Times New Roman" w:cs="Times New Roman"/>
          <w:spacing w:val="-12"/>
          <w:sz w:val="24"/>
          <w:szCs w:val="24"/>
        </w:rPr>
        <w:t>/d</w:t>
      </w:r>
      <w:r>
        <w:rPr>
          <w:rFonts w:ascii="宋体" w:hAnsi="宋体" w:eastAsia="宋体" w:cs="宋体"/>
          <w:spacing w:val="-12"/>
          <w:sz w:val="24"/>
          <w:szCs w:val="24"/>
        </w:rPr>
        <w:t>；</w:t>
      </w:r>
    </w:p>
    <w:p>
      <w:pPr>
        <w:spacing w:before="164" w:line="212" w:lineRule="auto"/>
        <w:ind w:left="832"/>
        <w:rPr>
          <w:rFonts w:ascii="宋体" w:hAnsi="宋体" w:eastAsia="宋体" w:cs="宋体"/>
          <w:sz w:val="24"/>
          <w:szCs w:val="24"/>
        </w:rPr>
      </w:pPr>
      <w:r>
        <w:rPr>
          <w:rFonts w:ascii="Times New Roman" w:hAnsi="Times New Roman" w:eastAsia="Times New Roman" w:cs="Times New Roman"/>
          <w:spacing w:val="-9"/>
          <w:sz w:val="24"/>
          <w:szCs w:val="24"/>
        </w:rPr>
        <w:t>D</w:t>
      </w:r>
      <w:r>
        <w:rPr>
          <w:rFonts w:ascii="Times New Roman" w:hAnsi="Times New Roman" w:eastAsia="Times New Roman" w:cs="Times New Roman"/>
          <w:spacing w:val="-9"/>
          <w:position w:val="-2"/>
          <w:sz w:val="16"/>
          <w:szCs w:val="16"/>
        </w:rPr>
        <w:t>T</w:t>
      </w:r>
      <w:r>
        <w:rPr>
          <w:rFonts w:ascii="Times New Roman" w:hAnsi="Times New Roman" w:eastAsia="Times New Roman" w:cs="Times New Roman"/>
          <w:spacing w:val="-9"/>
          <w:sz w:val="24"/>
          <w:szCs w:val="24"/>
        </w:rPr>
        <w:t>—</w:t>
      </w:r>
      <w:r>
        <w:rPr>
          <w:rFonts w:ascii="宋体" w:hAnsi="宋体" w:eastAsia="宋体" w:cs="宋体"/>
          <w:spacing w:val="-9"/>
          <w:sz w:val="24"/>
          <w:szCs w:val="24"/>
        </w:rPr>
        <w:t>横向</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 xml:space="preserve">y </w:t>
      </w:r>
      <w:r>
        <w:rPr>
          <w:rFonts w:ascii="宋体" w:hAnsi="宋体" w:eastAsia="宋体" w:cs="宋体"/>
          <w:spacing w:val="-9"/>
          <w:sz w:val="24"/>
          <w:szCs w:val="24"/>
        </w:rPr>
        <w:t>方向的弥散系数，</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9"/>
          <w:sz w:val="16"/>
          <w:szCs w:val="16"/>
        </w:rPr>
        <w:t>2</w:t>
      </w:r>
      <w:r>
        <w:rPr>
          <w:rFonts w:ascii="Times New Roman" w:hAnsi="Times New Roman" w:eastAsia="Times New Roman" w:cs="Times New Roman"/>
          <w:spacing w:val="-9"/>
          <w:sz w:val="24"/>
          <w:szCs w:val="24"/>
        </w:rPr>
        <w:t>/d</w:t>
      </w:r>
      <w:r>
        <w:rPr>
          <w:rFonts w:ascii="宋体" w:hAnsi="宋体" w:eastAsia="宋体" w:cs="宋体"/>
          <w:spacing w:val="-9"/>
          <w:sz w:val="24"/>
          <w:szCs w:val="24"/>
        </w:rPr>
        <w:t>。</w:t>
      </w:r>
    </w:p>
    <w:p>
      <w:pPr>
        <w:pStyle w:val="2"/>
        <w:spacing w:line="416" w:lineRule="auto"/>
        <w:rPr>
          <w:sz w:val="21"/>
        </w:rPr>
      </w:pPr>
    </w:p>
    <w:p>
      <w:pPr>
        <w:spacing w:before="92" w:line="220" w:lineRule="auto"/>
        <w:ind w:left="112"/>
        <w:rPr>
          <w:rFonts w:ascii="宋体" w:hAnsi="宋体" w:eastAsia="宋体" w:cs="宋体"/>
          <w:sz w:val="28"/>
          <w:szCs w:val="28"/>
        </w:rPr>
      </w:pPr>
      <w:r>
        <w:rPr>
          <w:rFonts w:ascii="Times New Roman" w:hAnsi="Times New Roman" w:eastAsia="Times New Roman" w:cs="Times New Roman"/>
          <w:b/>
          <w:bCs/>
          <w:spacing w:val="-1"/>
          <w:sz w:val="28"/>
          <w:szCs w:val="28"/>
        </w:rPr>
        <w:t xml:space="preserve">3.7.2    </w:t>
      </w:r>
      <w:r>
        <w:rPr>
          <w:rFonts w:ascii="宋体" w:hAnsi="宋体" w:eastAsia="宋体" w:cs="宋体"/>
          <w:spacing w:val="-1"/>
          <w:sz w:val="28"/>
          <w:szCs w:val="28"/>
          <w14:textOutline w14:w="5094" w14:cap="flat" w14:cmpd="sng">
            <w14:solidFill>
              <w14:srgbClr w14:val="000000"/>
            </w14:solidFill>
            <w14:prstDash w14:val="solid"/>
            <w14:miter w14:val="10"/>
          </w14:textOutline>
        </w:rPr>
        <w:t>凤探</w:t>
      </w:r>
      <w:r>
        <w:rPr>
          <w:rFonts w:ascii="宋体" w:hAnsi="宋体" w:eastAsia="宋体" w:cs="宋体"/>
          <w:spacing w:val="-44"/>
          <w:sz w:val="28"/>
          <w:szCs w:val="28"/>
        </w:rPr>
        <w:t xml:space="preserve"> </w:t>
      </w:r>
      <w:r>
        <w:rPr>
          <w:rFonts w:ascii="Times New Roman" w:hAnsi="Times New Roman" w:eastAsia="Times New Roman" w:cs="Times New Roman"/>
          <w:b/>
          <w:bCs/>
          <w:spacing w:val="-1"/>
          <w:sz w:val="28"/>
          <w:szCs w:val="28"/>
        </w:rPr>
        <w:t xml:space="preserve">1 </w:t>
      </w:r>
      <w:r>
        <w:rPr>
          <w:rFonts w:ascii="宋体" w:hAnsi="宋体" w:eastAsia="宋体" w:cs="宋体"/>
          <w:spacing w:val="-1"/>
          <w:sz w:val="28"/>
          <w:szCs w:val="28"/>
          <w14:textOutline w14:w="5094" w14:cap="flat" w14:cmpd="sng">
            <w14:solidFill>
              <w14:srgbClr w14:val="000000"/>
            </w14:solidFill>
            <w14:prstDash w14:val="solid"/>
            <w14:miter w14:val="10"/>
          </w14:textOutline>
        </w:rPr>
        <w:t>井场水文地质参数</w:t>
      </w:r>
    </w:p>
    <w:p>
      <w:pPr>
        <w:pStyle w:val="2"/>
        <w:spacing w:line="412" w:lineRule="auto"/>
        <w:rPr>
          <w:sz w:val="21"/>
        </w:rPr>
      </w:pPr>
    </w:p>
    <w:p>
      <w:pPr>
        <w:spacing w:before="79" w:line="360" w:lineRule="auto"/>
        <w:ind w:left="118" w:right="197" w:firstLine="479"/>
        <w:rPr>
          <w:rFonts w:ascii="宋体" w:hAnsi="宋体" w:eastAsia="宋体" w:cs="宋体"/>
          <w:sz w:val="24"/>
          <w:szCs w:val="24"/>
        </w:rPr>
      </w:pPr>
      <w:r>
        <w:rPr>
          <w:rFonts w:ascii="宋体" w:hAnsi="宋体" w:eastAsia="宋体" w:cs="宋体"/>
          <w:spacing w:val="-3"/>
          <w:sz w:val="24"/>
          <w:szCs w:val="24"/>
        </w:rPr>
        <w:t xml:space="preserve">本次预测所用模型需要的参数有：含水层厚度 </w:t>
      </w:r>
      <w:r>
        <w:rPr>
          <w:rFonts w:ascii="Times New Roman" w:hAnsi="Times New Roman" w:eastAsia="Times New Roman" w:cs="Times New Roman"/>
          <w:spacing w:val="-3"/>
          <w:sz w:val="24"/>
          <w:szCs w:val="24"/>
        </w:rPr>
        <w:t>M</w:t>
      </w:r>
      <w:r>
        <w:rPr>
          <w:rFonts w:ascii="宋体" w:hAnsi="宋体" w:eastAsia="宋体" w:cs="宋体"/>
          <w:spacing w:val="-3"/>
          <w:sz w:val="24"/>
          <w:szCs w:val="24"/>
        </w:rPr>
        <w:t xml:space="preserve">；外泄污染物质量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1"/>
          <w:sz w:val="16"/>
          <w:szCs w:val="16"/>
        </w:rPr>
        <w:t>M</w:t>
      </w:r>
      <w:r>
        <w:rPr>
          <w:rFonts w:ascii="Times New Roman" w:hAnsi="Times New Roman" w:eastAsia="Times New Roman" w:cs="Times New Roman"/>
          <w:spacing w:val="1"/>
          <w:position w:val="-1"/>
          <w:sz w:val="16"/>
          <w:szCs w:val="16"/>
        </w:rPr>
        <w:t xml:space="preserve"> </w:t>
      </w:r>
      <w:r>
        <w:rPr>
          <w:rFonts w:ascii="宋体" w:hAnsi="宋体" w:eastAsia="宋体" w:cs="宋体"/>
          <w:spacing w:val="-3"/>
          <w:sz w:val="24"/>
          <w:szCs w:val="24"/>
        </w:rPr>
        <w:t>；岩层的</w:t>
      </w:r>
      <w:r>
        <w:rPr>
          <w:rFonts w:ascii="宋体" w:hAnsi="宋体" w:eastAsia="宋体" w:cs="宋体"/>
          <w:sz w:val="24"/>
          <w:szCs w:val="24"/>
        </w:rPr>
        <w:t xml:space="preserve"> </w:t>
      </w:r>
      <w:r>
        <w:rPr>
          <w:rFonts w:ascii="宋体" w:hAnsi="宋体" w:eastAsia="宋体" w:cs="宋体"/>
          <w:spacing w:val="-4"/>
          <w:sz w:val="24"/>
          <w:szCs w:val="24"/>
        </w:rPr>
        <w:t>有效孔隙度</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n</w:t>
      </w:r>
      <w:r>
        <w:rPr>
          <w:rFonts w:ascii="Times New Roman" w:hAnsi="Times New Roman" w:eastAsia="Times New Roman" w:cs="Times New Roman"/>
          <w:spacing w:val="-4"/>
          <w:position w:val="-1"/>
          <w:sz w:val="16"/>
          <w:szCs w:val="16"/>
        </w:rPr>
        <w:t>e</w:t>
      </w:r>
      <w:r>
        <w:rPr>
          <w:rFonts w:ascii="宋体" w:hAnsi="宋体" w:eastAsia="宋体" w:cs="宋体"/>
          <w:spacing w:val="-4"/>
          <w:sz w:val="24"/>
          <w:szCs w:val="24"/>
        </w:rPr>
        <w:t>；水流速度</w:t>
      </w:r>
      <w:r>
        <w:rPr>
          <w:rFonts w:ascii="宋体" w:hAnsi="宋体" w:eastAsia="宋体" w:cs="宋体"/>
          <w:spacing w:val="-60"/>
          <w:sz w:val="24"/>
          <w:szCs w:val="24"/>
        </w:rPr>
        <w:t xml:space="preserve"> </w:t>
      </w:r>
      <w:r>
        <w:rPr>
          <w:rFonts w:ascii="Times New Roman" w:hAnsi="Times New Roman" w:eastAsia="Times New Roman" w:cs="Times New Roman"/>
          <w:spacing w:val="-4"/>
          <w:sz w:val="24"/>
          <w:szCs w:val="24"/>
        </w:rPr>
        <w:t>u</w:t>
      </w:r>
      <w:r>
        <w:rPr>
          <w:rFonts w:ascii="宋体" w:hAnsi="宋体" w:eastAsia="宋体" w:cs="宋体"/>
          <w:spacing w:val="-4"/>
          <w:sz w:val="24"/>
          <w:szCs w:val="24"/>
        </w:rPr>
        <w:t>；污染物纵向弥散系数</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4"/>
          <w:position w:val="-1"/>
          <w:sz w:val="16"/>
          <w:szCs w:val="16"/>
        </w:rPr>
        <w:t>L</w:t>
      </w:r>
      <w:r>
        <w:rPr>
          <w:rFonts w:ascii="宋体" w:hAnsi="宋体" w:eastAsia="宋体" w:cs="宋体"/>
          <w:spacing w:val="-4"/>
          <w:sz w:val="24"/>
          <w:szCs w:val="24"/>
        </w:rPr>
        <w:t>；污染物横向弥散系数</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4"/>
          <w:position w:val="-1"/>
          <w:sz w:val="16"/>
          <w:szCs w:val="16"/>
        </w:rPr>
        <w:t>T</w:t>
      </w:r>
      <w:r>
        <w:rPr>
          <w:rFonts w:ascii="宋体" w:hAnsi="宋体" w:eastAsia="宋体" w:cs="宋体"/>
          <w:spacing w:val="-4"/>
          <w:sz w:val="24"/>
          <w:szCs w:val="24"/>
        </w:rPr>
        <w:t>。这些</w:t>
      </w:r>
    </w:p>
    <w:p>
      <w:pPr>
        <w:spacing w:before="1" w:line="218" w:lineRule="auto"/>
        <w:ind w:left="119"/>
        <w:rPr>
          <w:rFonts w:ascii="宋体" w:hAnsi="宋体" w:eastAsia="宋体" w:cs="宋体"/>
          <w:sz w:val="24"/>
          <w:szCs w:val="24"/>
        </w:rPr>
      </w:pPr>
      <w:r>
        <w:rPr>
          <w:rFonts w:ascii="宋体" w:hAnsi="宋体" w:eastAsia="宋体" w:cs="宋体"/>
          <w:spacing w:val="-2"/>
          <w:sz w:val="24"/>
          <w:szCs w:val="24"/>
        </w:rPr>
        <w:t>参数主要由本</w:t>
      </w:r>
      <w:r>
        <w:rPr>
          <w:rFonts w:hint="eastAsia" w:ascii="宋体" w:hAnsi="宋体" w:eastAsia="宋体" w:cs="宋体"/>
          <w:spacing w:val="-2"/>
          <w:sz w:val="24"/>
          <w:szCs w:val="24"/>
          <w:lang w:val="en-US" w:eastAsia="zh-CN"/>
        </w:rPr>
        <w:t>职</w:t>
      </w:r>
      <w:r>
        <w:rPr>
          <w:rFonts w:ascii="宋体" w:hAnsi="宋体" w:eastAsia="宋体" w:cs="宋体"/>
          <w:spacing w:val="-2"/>
          <w:sz w:val="24"/>
          <w:szCs w:val="24"/>
        </w:rPr>
        <w:t>工作调查资料以及类比区最新的勘察成果资料来确定。</w:t>
      </w:r>
    </w:p>
    <w:p>
      <w:pPr>
        <w:spacing w:before="184" w:line="468" w:lineRule="exact"/>
        <w:ind w:left="535"/>
        <w:rPr>
          <w:rFonts w:ascii="宋体" w:hAnsi="宋体" w:eastAsia="宋体" w:cs="宋体"/>
          <w:sz w:val="24"/>
          <w:szCs w:val="24"/>
        </w:rPr>
      </w:pPr>
      <w:r>
        <w:rPr>
          <w:rFonts w:ascii="宋体" w:hAnsi="宋体" w:eastAsia="宋体" w:cs="宋体"/>
          <w:position w:val="17"/>
          <w:sz w:val="21"/>
          <w:szCs w:val="21"/>
        </w:rPr>
        <w:t>①</w:t>
      </w:r>
      <w:r>
        <w:rPr>
          <w:rFonts w:ascii="宋体" w:hAnsi="宋体" w:eastAsia="宋体" w:cs="宋体"/>
          <w:position w:val="17"/>
          <w:sz w:val="24"/>
          <w:szCs w:val="24"/>
        </w:rPr>
        <w:t xml:space="preserve">含水层厚度 </w:t>
      </w:r>
      <w:r>
        <w:rPr>
          <w:rFonts w:ascii="Times New Roman" w:hAnsi="Times New Roman" w:eastAsia="Times New Roman" w:cs="Times New Roman"/>
          <w:position w:val="17"/>
          <w:sz w:val="24"/>
          <w:szCs w:val="24"/>
        </w:rPr>
        <w:t>M</w:t>
      </w:r>
      <w:r>
        <w:rPr>
          <w:rFonts w:ascii="宋体" w:hAnsi="宋体" w:eastAsia="宋体" w:cs="宋体"/>
          <w:position w:val="17"/>
          <w:sz w:val="24"/>
          <w:szCs w:val="24"/>
        </w:rPr>
        <w:t>：含水层组为侏罗系上统蓬莱镇组构造裂隙水，井场位于山顶，</w:t>
      </w:r>
    </w:p>
    <w:p>
      <w:pPr>
        <w:spacing w:before="1" w:line="232" w:lineRule="auto"/>
        <w:ind w:left="116"/>
        <w:rPr>
          <w:rFonts w:ascii="宋体" w:hAnsi="宋体" w:eastAsia="宋体" w:cs="宋体"/>
          <w:sz w:val="24"/>
          <w:szCs w:val="24"/>
        </w:rPr>
      </w:pPr>
      <w:r>
        <w:rPr>
          <w:rFonts w:ascii="宋体" w:hAnsi="宋体" w:eastAsia="宋体" w:cs="宋体"/>
          <w:spacing w:val="-1"/>
          <w:sz w:val="24"/>
          <w:szCs w:val="24"/>
        </w:rPr>
        <w:t>场区含水层的厚度根据本次野外调查情况和水文地质资料确定为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25m</w:t>
      </w:r>
      <w:r>
        <w:rPr>
          <w:rFonts w:ascii="宋体" w:hAnsi="宋体" w:eastAsia="宋体" w:cs="宋体"/>
          <w:spacing w:val="-1"/>
          <w:sz w:val="24"/>
          <w:szCs w:val="24"/>
        </w:rPr>
        <w:t>。</w:t>
      </w:r>
    </w:p>
    <w:p>
      <w:pPr>
        <w:spacing w:before="165" w:line="231" w:lineRule="auto"/>
        <w:ind w:left="595"/>
        <w:rPr>
          <w:rFonts w:ascii="宋体" w:hAnsi="宋体" w:eastAsia="宋体" w:cs="宋体"/>
          <w:sz w:val="24"/>
          <w:szCs w:val="24"/>
        </w:rPr>
      </w:pPr>
      <w:r>
        <w:rPr>
          <w:rFonts w:ascii="宋体" w:hAnsi="宋体" w:eastAsia="宋体" w:cs="宋体"/>
          <w:spacing w:val="-3"/>
          <w:sz w:val="24"/>
          <w:szCs w:val="24"/>
        </w:rPr>
        <w:t>②瞬时注入的示踪剂质量</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1"/>
          <w:sz w:val="16"/>
          <w:szCs w:val="16"/>
        </w:rPr>
        <w:t>M</w:t>
      </w:r>
      <w:r>
        <w:rPr>
          <w:rFonts w:ascii="Times New Roman" w:hAnsi="Times New Roman" w:eastAsia="Times New Roman" w:cs="Times New Roman"/>
          <w:spacing w:val="-9"/>
          <w:position w:val="-1"/>
          <w:sz w:val="16"/>
          <w:szCs w:val="16"/>
        </w:rPr>
        <w:t xml:space="preserve"> </w:t>
      </w:r>
      <w:r>
        <w:rPr>
          <w:rFonts w:ascii="宋体" w:hAnsi="宋体" w:eastAsia="宋体" w:cs="宋体"/>
          <w:spacing w:val="-3"/>
          <w:sz w:val="24"/>
          <w:szCs w:val="24"/>
        </w:rPr>
        <w:t>：进入地下水的污染物质量，见下表。</w:t>
      </w:r>
    </w:p>
    <w:p>
      <w:pPr>
        <w:spacing w:before="168" w:line="468" w:lineRule="exact"/>
        <w:ind w:left="595"/>
        <w:rPr>
          <w:rFonts w:ascii="宋体" w:hAnsi="宋体" w:eastAsia="宋体" w:cs="宋体"/>
          <w:sz w:val="24"/>
          <w:szCs w:val="24"/>
        </w:rPr>
      </w:pPr>
      <w:r>
        <w:rPr>
          <w:rFonts w:ascii="宋体" w:hAnsi="宋体" w:eastAsia="宋体" w:cs="宋体"/>
          <w:position w:val="16"/>
          <w:sz w:val="24"/>
          <w:szCs w:val="24"/>
        </w:rPr>
        <w:t xml:space="preserve">③含水层的平均有效孔隙度 </w:t>
      </w:r>
      <w:r>
        <w:rPr>
          <w:rFonts w:ascii="Times New Roman" w:hAnsi="Times New Roman" w:eastAsia="Times New Roman" w:cs="Times New Roman"/>
          <w:position w:val="16"/>
          <w:sz w:val="24"/>
          <w:szCs w:val="24"/>
        </w:rPr>
        <w:t>n</w:t>
      </w:r>
      <w:r>
        <w:rPr>
          <w:rFonts w:ascii="宋体" w:hAnsi="宋体" w:eastAsia="宋体" w:cs="宋体"/>
          <w:position w:val="16"/>
          <w:sz w:val="24"/>
          <w:szCs w:val="24"/>
        </w:rPr>
        <w:t>：考虑含水层岩性特征，根据相关经验，本次综合</w:t>
      </w:r>
    </w:p>
    <w:p>
      <w:pPr>
        <w:spacing w:before="1" w:line="219" w:lineRule="auto"/>
        <w:ind w:left="118"/>
        <w:rPr>
          <w:rFonts w:ascii="宋体" w:hAnsi="宋体" w:eastAsia="宋体" w:cs="宋体"/>
          <w:sz w:val="24"/>
          <w:szCs w:val="24"/>
        </w:rPr>
      </w:pPr>
      <w:r>
        <w:rPr>
          <w:rFonts w:ascii="宋体" w:hAnsi="宋体" w:eastAsia="宋体" w:cs="宋体"/>
          <w:spacing w:val="-2"/>
          <w:sz w:val="24"/>
          <w:szCs w:val="24"/>
        </w:rPr>
        <w:t>有效孔隙度取值</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0.08</w:t>
      </w:r>
      <w:r>
        <w:rPr>
          <w:rFonts w:ascii="宋体" w:hAnsi="宋体" w:eastAsia="宋体" w:cs="宋体"/>
          <w:spacing w:val="-2"/>
          <w:sz w:val="24"/>
          <w:szCs w:val="24"/>
        </w:rPr>
        <w:t>。</w:t>
      </w:r>
    </w:p>
    <w:p>
      <w:pPr>
        <w:spacing w:before="183" w:line="360" w:lineRule="auto"/>
        <w:ind w:left="120" w:right="203" w:firstLine="475"/>
        <w:rPr>
          <w:rFonts w:ascii="宋体" w:hAnsi="宋体" w:eastAsia="宋体" w:cs="宋体"/>
          <w:sz w:val="24"/>
          <w:szCs w:val="24"/>
        </w:rPr>
      </w:pPr>
      <w:r>
        <w:rPr>
          <w:rFonts w:ascii="宋体" w:hAnsi="宋体" w:eastAsia="宋体" w:cs="宋体"/>
          <w:spacing w:val="-3"/>
          <w:sz w:val="24"/>
          <w:szCs w:val="24"/>
        </w:rPr>
        <w:t xml:space="preserve">④水流速度 </w:t>
      </w:r>
      <w:r>
        <w:rPr>
          <w:rFonts w:ascii="Times New Roman" w:hAnsi="Times New Roman" w:eastAsia="Times New Roman" w:cs="Times New Roman"/>
          <w:spacing w:val="-3"/>
          <w:sz w:val="24"/>
          <w:szCs w:val="24"/>
        </w:rPr>
        <w:t>u</w:t>
      </w:r>
      <w:r>
        <w:rPr>
          <w:rFonts w:ascii="宋体" w:hAnsi="宋体" w:eastAsia="宋体" w:cs="宋体"/>
          <w:spacing w:val="-3"/>
          <w:sz w:val="24"/>
          <w:szCs w:val="24"/>
        </w:rPr>
        <w:t>：评价区地下水含水层主要为构</w:t>
      </w:r>
      <w:r>
        <w:rPr>
          <w:rFonts w:ascii="宋体" w:hAnsi="宋体" w:eastAsia="宋体" w:cs="宋体"/>
          <w:spacing w:val="-4"/>
          <w:sz w:val="24"/>
          <w:szCs w:val="24"/>
        </w:rPr>
        <w:t>造裂隙水， 井场位于山顶，依据抽</w:t>
      </w:r>
      <w:r>
        <w:rPr>
          <w:rFonts w:ascii="宋体" w:hAnsi="宋体" w:eastAsia="宋体" w:cs="宋体"/>
          <w:sz w:val="24"/>
          <w:szCs w:val="24"/>
        </w:rPr>
        <w:t xml:space="preserve"> </w:t>
      </w:r>
      <w:r>
        <w:rPr>
          <w:rFonts w:ascii="宋体" w:hAnsi="宋体" w:eastAsia="宋体" w:cs="宋体"/>
          <w:spacing w:val="-6"/>
          <w:sz w:val="24"/>
          <w:szCs w:val="24"/>
        </w:rPr>
        <w:t>水试验， 渗透系数取山顶处抽水试验值</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0.061m/d</w:t>
      </w:r>
      <w:r>
        <w:rPr>
          <w:rFonts w:ascii="宋体" w:hAnsi="宋体" w:eastAsia="宋体" w:cs="宋体"/>
          <w:spacing w:val="-6"/>
          <w:sz w:val="24"/>
          <w:szCs w:val="24"/>
        </w:rPr>
        <w:t>，水力坡度约为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1.7%</w:t>
      </w:r>
      <w:r>
        <w:rPr>
          <w:rFonts w:ascii="宋体" w:hAnsi="宋体" w:eastAsia="宋体" w:cs="宋体"/>
          <w:spacing w:val="-6"/>
          <w:sz w:val="24"/>
          <w:szCs w:val="24"/>
        </w:rPr>
        <w:t>，因此地下水的</w:t>
      </w:r>
    </w:p>
    <w:p>
      <w:pPr>
        <w:spacing w:line="233" w:lineRule="auto"/>
        <w:ind w:left="118"/>
        <w:rPr>
          <w:rFonts w:ascii="宋体" w:hAnsi="宋体" w:eastAsia="宋体" w:cs="宋体"/>
          <w:sz w:val="24"/>
          <w:szCs w:val="24"/>
        </w:rPr>
      </w:pPr>
      <w:r>
        <w:rPr>
          <w:rFonts w:ascii="宋体" w:hAnsi="宋体" w:eastAsia="宋体" w:cs="宋体"/>
          <w:sz w:val="24"/>
          <w:szCs w:val="24"/>
        </w:rPr>
        <w:t>渗流速度</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v=KI=0.001037m/d</w:t>
      </w:r>
      <w:r>
        <w:rPr>
          <w:rFonts w:ascii="宋体" w:hAnsi="宋体" w:eastAsia="宋体" w:cs="宋体"/>
          <w:sz w:val="24"/>
          <w:szCs w:val="24"/>
        </w:rPr>
        <w:t>，水流</w:t>
      </w:r>
      <w:r>
        <w:rPr>
          <w:rFonts w:ascii="宋体" w:hAnsi="宋体" w:eastAsia="宋体" w:cs="宋体"/>
          <w:spacing w:val="-1"/>
          <w:sz w:val="24"/>
          <w:szCs w:val="24"/>
        </w:rPr>
        <w:t>速度取实际流速</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u=v/n=0.013m/d</w:t>
      </w:r>
      <w:r>
        <w:rPr>
          <w:rFonts w:ascii="宋体" w:hAnsi="宋体" w:eastAsia="宋体" w:cs="宋体"/>
          <w:spacing w:val="-1"/>
          <w:sz w:val="24"/>
          <w:szCs w:val="24"/>
        </w:rPr>
        <w:t>。</w:t>
      </w:r>
    </w:p>
    <w:p>
      <w:pPr>
        <w:spacing w:before="86" w:line="359" w:lineRule="auto"/>
        <w:ind w:left="117" w:firstLine="478"/>
        <w:rPr>
          <w:rFonts w:ascii="宋体" w:hAnsi="宋体" w:eastAsia="宋体" w:cs="宋体"/>
          <w:sz w:val="24"/>
          <w:szCs w:val="24"/>
        </w:rPr>
      </w:pPr>
      <w:r>
        <w:rPr>
          <w:rFonts w:ascii="宋体" w:hAnsi="宋体" w:eastAsia="宋体" w:cs="宋体"/>
          <w:spacing w:val="-6"/>
          <w:sz w:val="24"/>
          <w:szCs w:val="24"/>
        </w:rPr>
        <w:t>⑤纵向</w:t>
      </w:r>
      <w:r>
        <w:rPr>
          <w:rFonts w:ascii="Times New Roman" w:hAnsi="Times New Roman" w:eastAsia="Times New Roman" w:cs="Times New Roman"/>
          <w:spacing w:val="-6"/>
          <w:sz w:val="24"/>
          <w:szCs w:val="24"/>
        </w:rPr>
        <w:t>x</w:t>
      </w:r>
      <w:r>
        <w:rPr>
          <w:rFonts w:ascii="宋体" w:hAnsi="宋体" w:eastAsia="宋体" w:cs="宋体"/>
          <w:spacing w:val="-6"/>
          <w:sz w:val="24"/>
          <w:szCs w:val="24"/>
        </w:rPr>
        <w:t>方向的弥散系数：</w:t>
      </w:r>
      <w:r>
        <w:rPr>
          <w:rFonts w:ascii="宋体" w:hAnsi="宋体" w:eastAsia="宋体" w:cs="宋体"/>
          <w:spacing w:val="33"/>
          <w:sz w:val="24"/>
          <w:szCs w:val="24"/>
        </w:rPr>
        <w:t xml:space="preserve"> </w:t>
      </w:r>
      <w:r>
        <w:rPr>
          <w:rFonts w:ascii="宋体" w:hAnsi="宋体" w:eastAsia="宋体" w:cs="宋体"/>
          <w:spacing w:val="-6"/>
          <w:sz w:val="24"/>
          <w:szCs w:val="24"/>
        </w:rPr>
        <w:t>参考</w:t>
      </w:r>
      <w:r>
        <w:rPr>
          <w:rFonts w:ascii="Times New Roman" w:hAnsi="Times New Roman" w:eastAsia="Times New Roman" w:cs="Times New Roman"/>
          <w:spacing w:val="-6"/>
          <w:sz w:val="24"/>
          <w:szCs w:val="24"/>
        </w:rPr>
        <w:t>Gelhar</w:t>
      </w:r>
      <w:r>
        <w:rPr>
          <w:rFonts w:ascii="宋体" w:hAnsi="宋体" w:eastAsia="宋体" w:cs="宋体"/>
          <w:spacing w:val="-6"/>
          <w:sz w:val="24"/>
          <w:szCs w:val="24"/>
        </w:rPr>
        <w:t>等人关于纵向弥散度与观</w:t>
      </w:r>
      <w:r>
        <w:rPr>
          <w:rFonts w:ascii="宋体" w:hAnsi="宋体" w:eastAsia="宋体" w:cs="宋体"/>
          <w:spacing w:val="-7"/>
          <w:sz w:val="24"/>
          <w:szCs w:val="24"/>
        </w:rPr>
        <w:t>测尺度关系的理论，</w:t>
      </w:r>
      <w:r>
        <w:rPr>
          <w:rFonts w:ascii="宋体" w:hAnsi="宋体" w:eastAsia="宋体" w:cs="宋体"/>
          <w:sz w:val="24"/>
          <w:szCs w:val="24"/>
        </w:rPr>
        <w:t xml:space="preserve"> </w:t>
      </w:r>
      <w:r>
        <w:rPr>
          <w:rFonts w:ascii="宋体" w:hAnsi="宋体" w:eastAsia="宋体" w:cs="宋体"/>
          <w:spacing w:val="-6"/>
          <w:sz w:val="24"/>
          <w:szCs w:val="24"/>
        </w:rPr>
        <w:t>根据本次场地的研究尺度， 模型计算中纵向弥散度选用</w:t>
      </w:r>
      <w:r>
        <w:rPr>
          <w:rFonts w:ascii="Times New Roman" w:hAnsi="Times New Roman" w:eastAsia="Times New Roman" w:cs="Times New Roman"/>
          <w:spacing w:val="-6"/>
          <w:sz w:val="24"/>
          <w:szCs w:val="24"/>
        </w:rPr>
        <w:t>10.0m</w:t>
      </w:r>
      <w:r>
        <w:rPr>
          <w:rFonts w:ascii="宋体" w:hAnsi="宋体" w:eastAsia="宋体" w:cs="宋体"/>
          <w:spacing w:val="-6"/>
          <w:sz w:val="24"/>
          <w:szCs w:val="24"/>
        </w:rPr>
        <w:t>。由此计算评估区含水层</w:t>
      </w:r>
    </w:p>
    <w:p>
      <w:pPr>
        <w:spacing w:before="1" w:line="231" w:lineRule="auto"/>
        <w:ind w:left="139"/>
        <w:rPr>
          <w:rFonts w:ascii="宋体" w:hAnsi="宋体" w:eastAsia="宋体" w:cs="宋体"/>
          <w:sz w:val="24"/>
          <w:szCs w:val="24"/>
        </w:rPr>
      </w:pPr>
      <w:r>
        <w:rPr>
          <w:rFonts w:ascii="宋体" w:hAnsi="宋体" w:eastAsia="宋体" w:cs="宋体"/>
          <w:spacing w:val="-4"/>
          <w:sz w:val="24"/>
          <w:szCs w:val="24"/>
        </w:rPr>
        <w:t>中的纵向弥散系数。由此计算评估区含水层中的纵向弥散系数。</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4"/>
          <w:position w:val="-1"/>
          <w:sz w:val="16"/>
          <w:szCs w:val="16"/>
        </w:rPr>
        <w:t>L</w:t>
      </w:r>
      <w:r>
        <w:rPr>
          <w:rFonts w:ascii="Times New Roman" w:hAnsi="Times New Roman" w:eastAsia="Times New Roman" w:cs="Times New Roman"/>
          <w:spacing w:val="-4"/>
          <w:sz w:val="24"/>
          <w:szCs w:val="24"/>
        </w:rPr>
        <w:t>=</w:t>
      </w:r>
      <w:r>
        <w:rPr>
          <w:rFonts w:ascii="Times New Roman" w:hAnsi="Times New Roman" w:eastAsia="Times New Roman" w:cs="Times New Roman"/>
          <w:spacing w:val="-5"/>
          <w:sz w:val="24"/>
          <w:szCs w:val="24"/>
        </w:rPr>
        <w:t>α*u=0.13m</w:t>
      </w:r>
      <w:r>
        <w:rPr>
          <w:rFonts w:ascii="Times New Roman" w:hAnsi="Times New Roman" w:eastAsia="Times New Roman" w:cs="Times New Roman"/>
          <w:spacing w:val="-5"/>
          <w:position w:val="9"/>
          <w:sz w:val="16"/>
          <w:szCs w:val="16"/>
        </w:rPr>
        <w:t>2</w:t>
      </w:r>
      <w:r>
        <w:rPr>
          <w:rFonts w:ascii="Times New Roman" w:hAnsi="Times New Roman" w:eastAsia="Times New Roman" w:cs="Times New Roman"/>
          <w:spacing w:val="-5"/>
          <w:sz w:val="24"/>
          <w:szCs w:val="24"/>
        </w:rPr>
        <w:t>/d</w:t>
      </w:r>
      <w:r>
        <w:rPr>
          <w:rFonts w:ascii="宋体" w:hAnsi="宋体" w:eastAsia="宋体" w:cs="宋体"/>
          <w:spacing w:val="-5"/>
          <w:sz w:val="24"/>
          <w:szCs w:val="24"/>
        </w:rPr>
        <w:t>。</w:t>
      </w:r>
    </w:p>
    <w:p>
      <w:pPr>
        <w:spacing w:before="244" w:line="212" w:lineRule="auto"/>
        <w:ind w:left="595"/>
        <w:rPr>
          <w:rFonts w:ascii="宋体" w:hAnsi="宋体" w:eastAsia="宋体" w:cs="宋体"/>
          <w:sz w:val="24"/>
          <w:szCs w:val="24"/>
        </w:rPr>
      </w:pPr>
      <w:r>
        <w:rPr>
          <w:rFonts w:ascii="宋体" w:hAnsi="宋体" w:eastAsia="宋体" w:cs="宋体"/>
          <w:spacing w:val="-5"/>
          <w:sz w:val="24"/>
          <w:szCs w:val="24"/>
        </w:rPr>
        <w:t>⑥横向</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 xml:space="preserve">y </w:t>
      </w:r>
      <w:r>
        <w:rPr>
          <w:rFonts w:ascii="宋体" w:hAnsi="宋体" w:eastAsia="宋体" w:cs="宋体"/>
          <w:spacing w:val="-5"/>
          <w:sz w:val="24"/>
          <w:szCs w:val="24"/>
        </w:rPr>
        <w:t>方向的弥散系数</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5"/>
          <w:position w:val="-1"/>
          <w:sz w:val="16"/>
          <w:szCs w:val="16"/>
        </w:rPr>
        <w:t>T</w:t>
      </w:r>
      <w:r>
        <w:rPr>
          <w:rFonts w:ascii="宋体" w:hAnsi="宋体" w:eastAsia="宋体" w:cs="宋体"/>
          <w:spacing w:val="-5"/>
          <w:sz w:val="24"/>
          <w:szCs w:val="24"/>
        </w:rPr>
        <w:t>：根据经验一般</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5"/>
          <w:position w:val="-1"/>
          <w:sz w:val="16"/>
          <w:szCs w:val="16"/>
        </w:rPr>
        <w:t>T</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5"/>
          <w:position w:val="-1"/>
          <w:sz w:val="16"/>
          <w:szCs w:val="16"/>
        </w:rPr>
        <w:t>L</w:t>
      </w:r>
      <w:r>
        <w:rPr>
          <w:rFonts w:ascii="Times New Roman" w:hAnsi="Times New Roman" w:eastAsia="Times New Roman" w:cs="Times New Roman"/>
          <w:spacing w:val="-5"/>
          <w:sz w:val="24"/>
          <w:szCs w:val="24"/>
        </w:rPr>
        <w:t>=0.1</w:t>
      </w:r>
      <w:r>
        <w:rPr>
          <w:rFonts w:ascii="宋体" w:hAnsi="宋体" w:eastAsia="宋体" w:cs="宋体"/>
          <w:spacing w:val="-5"/>
          <w:sz w:val="24"/>
          <w:szCs w:val="24"/>
        </w:rPr>
        <w:t>，因此</w:t>
      </w:r>
      <w:r>
        <w:rPr>
          <w:rFonts w:ascii="宋体" w:hAnsi="宋体" w:eastAsia="宋体" w:cs="宋体"/>
          <w:spacing w:val="-6"/>
          <w:sz w:val="24"/>
          <w:szCs w:val="24"/>
        </w:rPr>
        <w:t>取值</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D</w:t>
      </w:r>
      <w:r>
        <w:rPr>
          <w:rFonts w:ascii="Times New Roman" w:hAnsi="Times New Roman" w:eastAsia="Times New Roman" w:cs="Times New Roman"/>
          <w:spacing w:val="-6"/>
          <w:position w:val="-1"/>
          <w:sz w:val="16"/>
          <w:szCs w:val="16"/>
        </w:rPr>
        <w:t>T</w:t>
      </w:r>
      <w:r>
        <w:rPr>
          <w:rFonts w:ascii="Times New Roman" w:hAnsi="Times New Roman" w:eastAsia="Times New Roman" w:cs="Times New Roman"/>
          <w:spacing w:val="-6"/>
          <w:sz w:val="24"/>
          <w:szCs w:val="24"/>
        </w:rPr>
        <w:t>=0.013m</w:t>
      </w:r>
      <w:r>
        <w:rPr>
          <w:rFonts w:ascii="Times New Roman" w:hAnsi="Times New Roman" w:eastAsia="Times New Roman" w:cs="Times New Roman"/>
          <w:spacing w:val="-6"/>
          <w:position w:val="9"/>
          <w:sz w:val="16"/>
          <w:szCs w:val="16"/>
        </w:rPr>
        <w:t>2</w:t>
      </w:r>
      <w:r>
        <w:rPr>
          <w:rFonts w:ascii="Times New Roman" w:hAnsi="Times New Roman" w:eastAsia="Times New Roman" w:cs="Times New Roman"/>
          <w:spacing w:val="-6"/>
          <w:sz w:val="24"/>
          <w:szCs w:val="24"/>
        </w:rPr>
        <w:t>/d</w:t>
      </w:r>
      <w:r>
        <w:rPr>
          <w:rFonts w:ascii="宋体" w:hAnsi="宋体" w:eastAsia="宋体" w:cs="宋体"/>
          <w:spacing w:val="-6"/>
          <w:sz w:val="24"/>
          <w:szCs w:val="24"/>
        </w:rPr>
        <w:t>。</w:t>
      </w:r>
    </w:p>
    <w:p>
      <w:pPr>
        <w:spacing w:before="113" w:line="212" w:lineRule="auto"/>
        <w:ind w:left="266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6"/>
          <w:sz w:val="24"/>
          <w:szCs w:val="24"/>
        </w:rPr>
        <w:t xml:space="preserve"> </w:t>
      </w:r>
      <w:r>
        <w:rPr>
          <w:rFonts w:ascii="Times New Roman" w:hAnsi="Times New Roman" w:eastAsia="Times New Roman" w:cs="Times New Roman"/>
          <w:b/>
          <w:bCs/>
          <w:spacing w:val="-1"/>
          <w:sz w:val="24"/>
          <w:szCs w:val="24"/>
        </w:rPr>
        <w:t xml:space="preserve">3.7-1      </w:t>
      </w:r>
      <w:r>
        <w:rPr>
          <w:rFonts w:ascii="宋体" w:hAnsi="宋体" w:eastAsia="宋体" w:cs="宋体"/>
          <w:spacing w:val="-1"/>
          <w:sz w:val="24"/>
          <w:szCs w:val="24"/>
          <w14:textOutline w14:w="4354" w14:cap="flat" w14:cmpd="sng">
            <w14:solidFill>
              <w14:srgbClr w14:val="000000"/>
            </w14:solidFill>
            <w14:prstDash w14:val="solid"/>
            <w14:miter w14:val="10"/>
          </w14:textOutline>
        </w:rPr>
        <w:t>井场处水文地质参数取值</w:t>
      </w:r>
    </w:p>
    <w:tbl>
      <w:tblPr>
        <w:tblStyle w:val="5"/>
        <w:tblW w:w="91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1274"/>
        <w:gridCol w:w="848"/>
        <w:gridCol w:w="1298"/>
        <w:gridCol w:w="848"/>
        <w:gridCol w:w="998"/>
        <w:gridCol w:w="1065"/>
        <w:gridCol w:w="1069"/>
        <w:gridCol w:w="6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073" w:type="dxa"/>
            <w:tcBorders>
              <w:top w:val="single" w:color="000000" w:sz="10" w:space="0"/>
              <w:left w:val="nil"/>
            </w:tcBorders>
            <w:vAlign w:val="top"/>
          </w:tcPr>
          <w:p>
            <w:pPr>
              <w:pStyle w:val="6"/>
              <w:spacing w:before="211" w:line="312" w:lineRule="exact"/>
              <w:ind w:left="335"/>
              <w:rPr>
                <w:sz w:val="21"/>
                <w:szCs w:val="21"/>
              </w:rPr>
            </w:pPr>
            <w:r>
              <w:rPr>
                <w:spacing w:val="-2"/>
                <w:position w:val="7"/>
                <w:sz w:val="21"/>
                <w:szCs w:val="21"/>
              </w:rPr>
              <w:t>渗漏</w:t>
            </w:r>
          </w:p>
          <w:p>
            <w:pPr>
              <w:pStyle w:val="6"/>
              <w:spacing w:line="222" w:lineRule="auto"/>
              <w:ind w:left="334"/>
              <w:rPr>
                <w:sz w:val="21"/>
                <w:szCs w:val="21"/>
              </w:rPr>
            </w:pPr>
            <w:r>
              <w:rPr>
                <w:spacing w:val="-2"/>
                <w:sz w:val="21"/>
                <w:szCs w:val="21"/>
              </w:rPr>
              <w:t>位置</w:t>
            </w:r>
          </w:p>
        </w:tc>
        <w:tc>
          <w:tcPr>
            <w:tcW w:w="2122" w:type="dxa"/>
            <w:gridSpan w:val="2"/>
            <w:tcBorders>
              <w:top w:val="single" w:color="000000" w:sz="10" w:space="0"/>
            </w:tcBorders>
            <w:vAlign w:val="top"/>
          </w:tcPr>
          <w:p>
            <w:pPr>
              <w:spacing w:line="297" w:lineRule="auto"/>
              <w:rPr>
                <w:rFonts w:ascii="Arial"/>
                <w:sz w:val="21"/>
              </w:rPr>
            </w:pPr>
          </w:p>
          <w:p>
            <w:pPr>
              <w:pStyle w:val="6"/>
              <w:spacing w:before="68" w:line="213" w:lineRule="auto"/>
              <w:jc w:val="right"/>
              <w:rPr>
                <w:sz w:val="21"/>
                <w:szCs w:val="21"/>
              </w:rPr>
            </w:pPr>
            <w:r>
              <w:rPr>
                <w:spacing w:val="-11"/>
                <w:sz w:val="21"/>
                <w:szCs w:val="21"/>
              </w:rPr>
              <w:t>外泄污染物质量（</w:t>
            </w:r>
            <w:r>
              <w:rPr>
                <w:rFonts w:ascii="Times New Roman" w:hAnsi="Times New Roman" w:eastAsia="Times New Roman" w:cs="Times New Roman"/>
                <w:spacing w:val="-11"/>
                <w:sz w:val="21"/>
                <w:szCs w:val="21"/>
              </w:rPr>
              <w:t>kg</w:t>
            </w:r>
            <w:r>
              <w:rPr>
                <w:spacing w:val="-11"/>
                <w:sz w:val="21"/>
                <w:szCs w:val="21"/>
              </w:rPr>
              <w:t>）</w:t>
            </w:r>
          </w:p>
        </w:tc>
        <w:tc>
          <w:tcPr>
            <w:tcW w:w="1298" w:type="dxa"/>
            <w:tcBorders>
              <w:top w:val="single" w:color="000000" w:sz="10" w:space="0"/>
            </w:tcBorders>
            <w:vAlign w:val="top"/>
          </w:tcPr>
          <w:p>
            <w:pPr>
              <w:pStyle w:val="6"/>
              <w:spacing w:before="55" w:line="253" w:lineRule="auto"/>
              <w:ind w:left="222" w:right="119" w:hanging="93"/>
              <w:jc w:val="both"/>
              <w:rPr>
                <w:sz w:val="21"/>
                <w:szCs w:val="21"/>
              </w:rPr>
            </w:pPr>
            <w:r>
              <w:rPr>
                <w:spacing w:val="-2"/>
                <w:sz w:val="21"/>
                <w:szCs w:val="21"/>
              </w:rPr>
              <w:t>污染物浓度</w:t>
            </w:r>
            <w:r>
              <w:rPr>
                <w:spacing w:val="2"/>
                <w:sz w:val="21"/>
                <w:szCs w:val="21"/>
              </w:rPr>
              <w:t xml:space="preserve"> </w:t>
            </w:r>
            <w:r>
              <w:rPr>
                <w:spacing w:val="1"/>
                <w:sz w:val="21"/>
                <w:szCs w:val="21"/>
              </w:rPr>
              <w:t>标准限值</w:t>
            </w:r>
            <w:r>
              <w:rPr>
                <w:sz w:val="21"/>
                <w:szCs w:val="21"/>
              </w:rPr>
              <w:t xml:space="preserve">  </w:t>
            </w:r>
            <w:r>
              <w:rPr>
                <w:spacing w:val="-3"/>
                <w:sz w:val="21"/>
                <w:szCs w:val="21"/>
              </w:rPr>
              <w:t>（</w:t>
            </w:r>
            <w:r>
              <w:rPr>
                <w:rFonts w:ascii="Times New Roman" w:hAnsi="Times New Roman" w:eastAsia="Times New Roman" w:cs="Times New Roman"/>
                <w:spacing w:val="-3"/>
                <w:sz w:val="21"/>
                <w:szCs w:val="21"/>
              </w:rPr>
              <w:t>mg/L</w:t>
            </w:r>
            <w:r>
              <w:rPr>
                <w:spacing w:val="-3"/>
                <w:sz w:val="21"/>
                <w:szCs w:val="21"/>
              </w:rPr>
              <w:t>）</w:t>
            </w:r>
          </w:p>
        </w:tc>
        <w:tc>
          <w:tcPr>
            <w:tcW w:w="848" w:type="dxa"/>
            <w:tcBorders>
              <w:top w:val="single" w:color="000000" w:sz="10" w:space="0"/>
            </w:tcBorders>
            <w:vAlign w:val="top"/>
          </w:tcPr>
          <w:p>
            <w:pPr>
              <w:pStyle w:val="6"/>
              <w:spacing w:before="55" w:line="253" w:lineRule="auto"/>
              <w:ind w:left="131" w:right="103" w:hanging="17"/>
              <w:jc w:val="both"/>
              <w:rPr>
                <w:sz w:val="21"/>
                <w:szCs w:val="21"/>
              </w:rPr>
            </w:pPr>
            <w:r>
              <w:rPr>
                <w:spacing w:val="-2"/>
                <w:sz w:val="21"/>
                <w:szCs w:val="21"/>
              </w:rPr>
              <w:t>含水层</w:t>
            </w:r>
            <w:r>
              <w:rPr>
                <w:sz w:val="21"/>
                <w:szCs w:val="21"/>
              </w:rPr>
              <w:t xml:space="preserve"> </w:t>
            </w:r>
            <w:r>
              <w:rPr>
                <w:spacing w:val="-4"/>
                <w:sz w:val="21"/>
                <w:szCs w:val="21"/>
              </w:rPr>
              <w:t>厚度</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1"/>
                <w:sz w:val="21"/>
                <w:szCs w:val="21"/>
              </w:rPr>
              <w:t xml:space="preserve"> </w:t>
            </w:r>
            <w:r>
              <w:rPr>
                <w:sz w:val="21"/>
                <w:szCs w:val="21"/>
              </w:rPr>
              <w:t>（</w:t>
            </w:r>
            <w:r>
              <w:rPr>
                <w:rFonts w:ascii="Times New Roman" w:hAnsi="Times New Roman" w:eastAsia="Times New Roman" w:cs="Times New Roman"/>
                <w:sz w:val="21"/>
                <w:szCs w:val="21"/>
              </w:rPr>
              <w:t>m</w:t>
            </w:r>
            <w:r>
              <w:rPr>
                <w:sz w:val="21"/>
                <w:szCs w:val="21"/>
              </w:rPr>
              <w:t>）</w:t>
            </w:r>
          </w:p>
        </w:tc>
        <w:tc>
          <w:tcPr>
            <w:tcW w:w="998" w:type="dxa"/>
            <w:tcBorders>
              <w:top w:val="single" w:color="000000" w:sz="10" w:space="0"/>
            </w:tcBorders>
            <w:vAlign w:val="top"/>
          </w:tcPr>
          <w:p>
            <w:pPr>
              <w:pStyle w:val="6"/>
              <w:spacing w:before="55" w:line="253" w:lineRule="auto"/>
              <w:ind w:left="136" w:right="136" w:firstLine="51"/>
              <w:jc w:val="both"/>
              <w:rPr>
                <w:sz w:val="21"/>
                <w:szCs w:val="21"/>
              </w:rPr>
            </w:pPr>
            <w:r>
              <w:rPr>
                <w:spacing w:val="-2"/>
                <w:sz w:val="21"/>
                <w:szCs w:val="21"/>
              </w:rPr>
              <w:t>地下水</w:t>
            </w:r>
            <w:r>
              <w:rPr>
                <w:sz w:val="21"/>
                <w:szCs w:val="21"/>
              </w:rPr>
              <w:t xml:space="preserve"> </w:t>
            </w:r>
            <w:r>
              <w:rPr>
                <w:spacing w:val="32"/>
                <w:sz w:val="21"/>
                <w:szCs w:val="21"/>
              </w:rPr>
              <w:t>流速</w:t>
            </w:r>
            <w:r>
              <w:rPr>
                <w:rFonts w:ascii="Times New Roman" w:hAnsi="Times New Roman" w:eastAsia="Times New Roman" w:cs="Times New Roman"/>
                <w:spacing w:val="32"/>
                <w:sz w:val="21"/>
                <w:szCs w:val="21"/>
              </w:rPr>
              <w:t>u</w:t>
            </w:r>
            <w:r>
              <w:rPr>
                <w:rFonts w:ascii="Times New Roman" w:hAnsi="Times New Roman" w:eastAsia="Times New Roman" w:cs="Times New Roman"/>
                <w:sz w:val="21"/>
                <w:szCs w:val="21"/>
              </w:rPr>
              <w:t xml:space="preserve">   </w:t>
            </w:r>
            <w:r>
              <w:rPr>
                <w:spacing w:val="-6"/>
                <w:sz w:val="21"/>
                <w:szCs w:val="21"/>
              </w:rPr>
              <w:t>（</w:t>
            </w:r>
            <w:r>
              <w:rPr>
                <w:rFonts w:ascii="Times New Roman" w:hAnsi="Times New Roman" w:eastAsia="Times New Roman" w:cs="Times New Roman"/>
                <w:spacing w:val="-6"/>
                <w:sz w:val="21"/>
                <w:szCs w:val="21"/>
              </w:rPr>
              <w:t>m/d</w:t>
            </w:r>
            <w:r>
              <w:rPr>
                <w:spacing w:val="-6"/>
                <w:sz w:val="21"/>
                <w:szCs w:val="21"/>
              </w:rPr>
              <w:t>）</w:t>
            </w:r>
          </w:p>
        </w:tc>
        <w:tc>
          <w:tcPr>
            <w:tcW w:w="1065" w:type="dxa"/>
            <w:tcBorders>
              <w:top w:val="single" w:color="000000" w:sz="10" w:space="0"/>
            </w:tcBorders>
            <w:vAlign w:val="top"/>
          </w:tcPr>
          <w:p>
            <w:pPr>
              <w:pStyle w:val="6"/>
              <w:spacing w:before="56" w:line="247" w:lineRule="auto"/>
              <w:ind w:left="331" w:right="109" w:hanging="212"/>
              <w:rPr>
                <w:sz w:val="21"/>
                <w:szCs w:val="21"/>
              </w:rPr>
            </w:pPr>
            <w:r>
              <w:rPr>
                <w:spacing w:val="-3"/>
                <w:sz w:val="21"/>
                <w:szCs w:val="21"/>
              </w:rPr>
              <w:t>纵向弥散</w:t>
            </w:r>
            <w:r>
              <w:rPr>
                <w:spacing w:val="1"/>
                <w:sz w:val="21"/>
                <w:szCs w:val="21"/>
              </w:rPr>
              <w:t xml:space="preserve"> </w:t>
            </w:r>
            <w:r>
              <w:rPr>
                <w:spacing w:val="-3"/>
                <w:sz w:val="21"/>
                <w:szCs w:val="21"/>
              </w:rPr>
              <w:t>系数</w:t>
            </w:r>
          </w:p>
          <w:p>
            <w:pPr>
              <w:pStyle w:val="6"/>
              <w:spacing w:before="60" w:line="211" w:lineRule="auto"/>
              <w:ind w:left="134"/>
              <w:rPr>
                <w:sz w:val="21"/>
                <w:szCs w:val="21"/>
              </w:rPr>
            </w:pPr>
            <w:r>
              <w:rPr>
                <w:spacing w:val="-2"/>
                <w:sz w:val="21"/>
                <w:szCs w:val="21"/>
              </w:rPr>
              <w:t>（</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sz w:val="21"/>
                <w:szCs w:val="21"/>
              </w:rPr>
              <w:t>/d</w:t>
            </w:r>
            <w:r>
              <w:rPr>
                <w:spacing w:val="-2"/>
                <w:sz w:val="21"/>
                <w:szCs w:val="21"/>
              </w:rPr>
              <w:t>）</w:t>
            </w:r>
          </w:p>
        </w:tc>
        <w:tc>
          <w:tcPr>
            <w:tcW w:w="1069" w:type="dxa"/>
            <w:tcBorders>
              <w:top w:val="single" w:color="000000" w:sz="10" w:space="0"/>
            </w:tcBorders>
            <w:vAlign w:val="top"/>
          </w:tcPr>
          <w:p>
            <w:pPr>
              <w:pStyle w:val="6"/>
              <w:spacing w:before="56" w:line="247" w:lineRule="auto"/>
              <w:ind w:left="334" w:right="110" w:hanging="216"/>
              <w:rPr>
                <w:sz w:val="21"/>
                <w:szCs w:val="21"/>
              </w:rPr>
            </w:pPr>
            <w:r>
              <w:rPr>
                <w:spacing w:val="-2"/>
                <w:sz w:val="21"/>
                <w:szCs w:val="21"/>
              </w:rPr>
              <w:t>横向弥散</w:t>
            </w:r>
            <w:r>
              <w:rPr>
                <w:spacing w:val="2"/>
                <w:sz w:val="21"/>
                <w:szCs w:val="21"/>
              </w:rPr>
              <w:t xml:space="preserve"> </w:t>
            </w:r>
            <w:r>
              <w:rPr>
                <w:spacing w:val="-3"/>
                <w:sz w:val="21"/>
                <w:szCs w:val="21"/>
              </w:rPr>
              <w:t>系数</w:t>
            </w:r>
          </w:p>
          <w:p>
            <w:pPr>
              <w:pStyle w:val="6"/>
              <w:spacing w:before="60" w:line="211" w:lineRule="auto"/>
              <w:ind w:left="137"/>
              <w:rPr>
                <w:sz w:val="21"/>
                <w:szCs w:val="21"/>
              </w:rPr>
            </w:pPr>
            <w:r>
              <w:rPr>
                <w:spacing w:val="-2"/>
                <w:sz w:val="21"/>
                <w:szCs w:val="21"/>
              </w:rPr>
              <w:t>（</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sz w:val="21"/>
                <w:szCs w:val="21"/>
              </w:rPr>
              <w:t>/d</w:t>
            </w:r>
            <w:r>
              <w:rPr>
                <w:spacing w:val="-2"/>
                <w:sz w:val="21"/>
                <w:szCs w:val="21"/>
              </w:rPr>
              <w:t>）</w:t>
            </w:r>
          </w:p>
        </w:tc>
        <w:tc>
          <w:tcPr>
            <w:tcW w:w="643" w:type="dxa"/>
            <w:tcBorders>
              <w:top w:val="single" w:color="000000" w:sz="10" w:space="0"/>
              <w:right w:val="nil"/>
            </w:tcBorders>
            <w:vAlign w:val="top"/>
          </w:tcPr>
          <w:p>
            <w:pPr>
              <w:pStyle w:val="6"/>
              <w:spacing w:before="55" w:line="253" w:lineRule="auto"/>
              <w:ind w:left="117" w:right="109"/>
              <w:jc w:val="both"/>
              <w:rPr>
                <w:rFonts w:ascii="Times New Roman" w:hAnsi="Times New Roman" w:eastAsia="Times New Roman" w:cs="Times New Roman"/>
                <w:sz w:val="21"/>
                <w:szCs w:val="21"/>
              </w:rPr>
            </w:pPr>
            <w:r>
              <w:rPr>
                <w:spacing w:val="-4"/>
                <w:sz w:val="21"/>
                <w:szCs w:val="21"/>
              </w:rPr>
              <w:t>有效</w:t>
            </w:r>
            <w:r>
              <w:rPr>
                <w:sz w:val="21"/>
                <w:szCs w:val="21"/>
              </w:rPr>
              <w:t xml:space="preserve"> </w:t>
            </w:r>
            <w:r>
              <w:rPr>
                <w:spacing w:val="-4"/>
                <w:sz w:val="21"/>
                <w:szCs w:val="21"/>
              </w:rPr>
              <w:t>孔隙</w:t>
            </w:r>
            <w:r>
              <w:rPr>
                <w:sz w:val="21"/>
                <w:szCs w:val="21"/>
              </w:rPr>
              <w:t xml:space="preserve"> </w:t>
            </w:r>
            <w:r>
              <w:rPr>
                <w:spacing w:val="22"/>
                <w:sz w:val="21"/>
                <w:szCs w:val="21"/>
              </w:rPr>
              <w:t>度</w:t>
            </w:r>
            <w:r>
              <w:rPr>
                <w:rFonts w:ascii="Times New Roman" w:hAnsi="Times New Roman" w:eastAsia="Times New Roman" w:cs="Times New Roman"/>
                <w:spacing w:val="22"/>
                <w:sz w:val="21"/>
                <w:szCs w:val="21"/>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073" w:type="dxa"/>
            <w:tcBorders>
              <w:left w:val="nil"/>
              <w:bottom w:val="single" w:color="000000" w:sz="10" w:space="0"/>
            </w:tcBorders>
            <w:vAlign w:val="top"/>
          </w:tcPr>
          <w:p>
            <w:pPr>
              <w:pStyle w:val="6"/>
              <w:spacing w:before="69" w:line="248" w:lineRule="auto"/>
              <w:ind w:left="227" w:right="112" w:hanging="104"/>
              <w:rPr>
                <w:sz w:val="21"/>
                <w:szCs w:val="21"/>
              </w:rPr>
            </w:pPr>
            <w:r>
              <w:rPr>
                <w:spacing w:val="-2"/>
                <w:sz w:val="21"/>
                <w:szCs w:val="21"/>
              </w:rPr>
              <w:t>应急池池</w:t>
            </w:r>
            <w:r>
              <w:rPr>
                <w:spacing w:val="1"/>
                <w:sz w:val="21"/>
                <w:szCs w:val="21"/>
              </w:rPr>
              <w:t xml:space="preserve"> </w:t>
            </w:r>
            <w:r>
              <w:rPr>
                <w:spacing w:val="-1"/>
                <w:sz w:val="21"/>
                <w:szCs w:val="21"/>
              </w:rPr>
              <w:t>底破裂</w:t>
            </w:r>
          </w:p>
        </w:tc>
        <w:tc>
          <w:tcPr>
            <w:tcW w:w="1274" w:type="dxa"/>
            <w:tcBorders>
              <w:bottom w:val="single" w:color="000000" w:sz="10" w:space="0"/>
            </w:tcBorders>
            <w:vAlign w:val="top"/>
          </w:tcPr>
          <w:p>
            <w:pPr>
              <w:pStyle w:val="6"/>
              <w:spacing w:before="68" w:line="249" w:lineRule="auto"/>
              <w:ind w:left="119" w:right="117" w:firstLine="208"/>
              <w:rPr>
                <w:sz w:val="21"/>
                <w:szCs w:val="21"/>
              </w:rPr>
            </w:pPr>
            <w:r>
              <w:rPr>
                <w:spacing w:val="-2"/>
                <w:sz w:val="21"/>
                <w:szCs w:val="21"/>
              </w:rPr>
              <w:t>耗氧量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COD</w:t>
            </w:r>
            <w:r>
              <w:rPr>
                <w:rFonts w:ascii="Times New Roman" w:hAnsi="Times New Roman" w:eastAsia="Times New Roman" w:cs="Times New Roman"/>
                <w:spacing w:val="-2"/>
                <w:position w:val="-1"/>
                <w:sz w:val="13"/>
                <w:szCs w:val="13"/>
              </w:rPr>
              <w:t>Mn</w:t>
            </w:r>
            <w:r>
              <w:rPr>
                <w:spacing w:val="-2"/>
                <w:sz w:val="21"/>
                <w:szCs w:val="21"/>
              </w:rPr>
              <w:t>）</w:t>
            </w:r>
          </w:p>
        </w:tc>
        <w:tc>
          <w:tcPr>
            <w:tcW w:w="848" w:type="dxa"/>
            <w:tcBorders>
              <w:bottom w:val="single" w:color="000000" w:sz="10" w:space="0"/>
            </w:tcBorders>
            <w:vAlign w:val="top"/>
          </w:tcPr>
          <w:p>
            <w:pPr>
              <w:spacing w:before="261" w:line="189"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13.588</w:t>
            </w:r>
          </w:p>
        </w:tc>
        <w:tc>
          <w:tcPr>
            <w:tcW w:w="1298" w:type="dxa"/>
            <w:tcBorders>
              <w:bottom w:val="single" w:color="000000" w:sz="10" w:space="0"/>
            </w:tcBorders>
            <w:vAlign w:val="top"/>
          </w:tcPr>
          <w:p>
            <w:pPr>
              <w:spacing w:before="261" w:line="189" w:lineRule="auto"/>
              <w:ind w:left="60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848" w:type="dxa"/>
            <w:tcBorders>
              <w:bottom w:val="single" w:color="000000" w:sz="10" w:space="0"/>
            </w:tcBorders>
            <w:vAlign w:val="top"/>
          </w:tcPr>
          <w:p>
            <w:pPr>
              <w:spacing w:before="261" w:line="189"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998" w:type="dxa"/>
            <w:tcBorders>
              <w:bottom w:val="single" w:color="000000" w:sz="10" w:space="0"/>
            </w:tcBorders>
            <w:vAlign w:val="top"/>
          </w:tcPr>
          <w:p>
            <w:pPr>
              <w:spacing w:before="261" w:line="189"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1065" w:type="dxa"/>
            <w:tcBorders>
              <w:bottom w:val="single" w:color="000000" w:sz="10" w:space="0"/>
            </w:tcBorders>
            <w:vAlign w:val="top"/>
          </w:tcPr>
          <w:p>
            <w:pPr>
              <w:spacing w:before="261" w:line="189"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0.13</w:t>
            </w:r>
          </w:p>
        </w:tc>
        <w:tc>
          <w:tcPr>
            <w:tcW w:w="1069" w:type="dxa"/>
            <w:tcBorders>
              <w:bottom w:val="single" w:color="000000" w:sz="10" w:space="0"/>
            </w:tcBorders>
            <w:vAlign w:val="top"/>
          </w:tcPr>
          <w:p>
            <w:pPr>
              <w:spacing w:before="261" w:line="189"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643" w:type="dxa"/>
            <w:tcBorders>
              <w:bottom w:val="single" w:color="000000" w:sz="10" w:space="0"/>
              <w:right w:val="nil"/>
            </w:tcBorders>
            <w:vAlign w:val="top"/>
          </w:tcPr>
          <w:p>
            <w:pPr>
              <w:spacing w:before="261" w:line="189"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0.08</w:t>
            </w:r>
          </w:p>
        </w:tc>
      </w:tr>
    </w:tbl>
    <w:p>
      <w:pPr>
        <w:pStyle w:val="2"/>
        <w:rPr>
          <w:sz w:val="21"/>
        </w:rPr>
      </w:pPr>
    </w:p>
    <w:p>
      <w:pPr>
        <w:rPr>
          <w:sz w:val="21"/>
          <w:szCs w:val="21"/>
        </w:rPr>
        <w:sectPr>
          <w:footerReference r:id="rId179" w:type="default"/>
          <w:pgSz w:w="11907" w:h="16839"/>
          <w:pgMar w:top="400" w:right="1231" w:bottom="1151" w:left="1481" w:header="0" w:footer="988" w:gutter="0"/>
          <w:cols w:space="720" w:num="1"/>
        </w:sectPr>
      </w:pPr>
    </w:p>
    <w:p>
      <w:pPr>
        <w:spacing w:before="19"/>
      </w:pPr>
    </w:p>
    <w:p>
      <w:pPr>
        <w:spacing w:before="19"/>
      </w:pPr>
    </w:p>
    <w:p>
      <w:pPr>
        <w:spacing w:before="18"/>
      </w:pPr>
    </w:p>
    <w:p>
      <w:pPr>
        <w:spacing w:before="18"/>
      </w:pPr>
    </w:p>
    <w:tbl>
      <w:tblPr>
        <w:tblStyle w:val="5"/>
        <w:tblW w:w="91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1274"/>
        <w:gridCol w:w="848"/>
        <w:gridCol w:w="1298"/>
        <w:gridCol w:w="848"/>
        <w:gridCol w:w="998"/>
        <w:gridCol w:w="1065"/>
        <w:gridCol w:w="1069"/>
        <w:gridCol w:w="6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073" w:type="dxa"/>
            <w:vMerge w:val="restart"/>
            <w:tcBorders>
              <w:top w:val="single" w:color="000000" w:sz="10" w:space="0"/>
              <w:left w:val="nil"/>
              <w:bottom w:val="nil"/>
            </w:tcBorders>
            <w:vAlign w:val="top"/>
          </w:tcPr>
          <w:p>
            <w:pPr>
              <w:rPr>
                <w:rFonts w:ascii="Arial"/>
                <w:sz w:val="21"/>
              </w:rPr>
            </w:pPr>
          </w:p>
        </w:tc>
        <w:tc>
          <w:tcPr>
            <w:tcW w:w="1274" w:type="dxa"/>
            <w:tcBorders>
              <w:top w:val="single" w:color="000000" w:sz="10" w:space="0"/>
            </w:tcBorders>
            <w:vAlign w:val="top"/>
          </w:tcPr>
          <w:p>
            <w:pPr>
              <w:pStyle w:val="6"/>
              <w:spacing w:before="57" w:line="211" w:lineRule="auto"/>
              <w:ind w:left="327"/>
              <w:rPr>
                <w:sz w:val="21"/>
                <w:szCs w:val="21"/>
              </w:rPr>
            </w:pPr>
            <w:r>
              <w:rPr>
                <w:spacing w:val="-2"/>
                <w:sz w:val="21"/>
                <w:szCs w:val="21"/>
              </w:rPr>
              <w:t>石油类</w:t>
            </w:r>
          </w:p>
        </w:tc>
        <w:tc>
          <w:tcPr>
            <w:tcW w:w="848" w:type="dxa"/>
            <w:tcBorders>
              <w:top w:val="single" w:color="000000" w:sz="10" w:space="0"/>
            </w:tcBorders>
            <w:vAlign w:val="top"/>
          </w:tcPr>
          <w:p>
            <w:pPr>
              <w:spacing w:before="94" w:line="189"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0.891</w:t>
            </w:r>
          </w:p>
        </w:tc>
        <w:tc>
          <w:tcPr>
            <w:tcW w:w="1298" w:type="dxa"/>
            <w:tcBorders>
              <w:top w:val="single" w:color="000000" w:sz="10" w:space="0"/>
            </w:tcBorders>
            <w:vAlign w:val="top"/>
          </w:tcPr>
          <w:p>
            <w:pPr>
              <w:spacing w:before="94" w:line="189"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848" w:type="dxa"/>
            <w:vMerge w:val="restart"/>
            <w:tcBorders>
              <w:top w:val="single" w:color="000000" w:sz="10" w:space="0"/>
              <w:bottom w:val="nil"/>
            </w:tcBorders>
            <w:vAlign w:val="top"/>
          </w:tcPr>
          <w:p>
            <w:pPr>
              <w:rPr>
                <w:rFonts w:ascii="Arial"/>
                <w:sz w:val="21"/>
              </w:rPr>
            </w:pPr>
          </w:p>
        </w:tc>
        <w:tc>
          <w:tcPr>
            <w:tcW w:w="998" w:type="dxa"/>
            <w:vMerge w:val="restart"/>
            <w:tcBorders>
              <w:top w:val="single" w:color="000000" w:sz="10" w:space="0"/>
              <w:bottom w:val="nil"/>
            </w:tcBorders>
            <w:vAlign w:val="top"/>
          </w:tcPr>
          <w:p>
            <w:pPr>
              <w:rPr>
                <w:rFonts w:ascii="Arial"/>
                <w:sz w:val="21"/>
              </w:rPr>
            </w:pPr>
          </w:p>
        </w:tc>
        <w:tc>
          <w:tcPr>
            <w:tcW w:w="1065" w:type="dxa"/>
            <w:vMerge w:val="restart"/>
            <w:tcBorders>
              <w:top w:val="single" w:color="000000" w:sz="10" w:space="0"/>
              <w:bottom w:val="nil"/>
            </w:tcBorders>
            <w:vAlign w:val="top"/>
          </w:tcPr>
          <w:p>
            <w:pPr>
              <w:rPr>
                <w:rFonts w:ascii="Arial"/>
                <w:sz w:val="21"/>
              </w:rPr>
            </w:pPr>
          </w:p>
        </w:tc>
        <w:tc>
          <w:tcPr>
            <w:tcW w:w="1069" w:type="dxa"/>
            <w:vMerge w:val="restart"/>
            <w:tcBorders>
              <w:top w:val="single" w:color="000000" w:sz="10" w:space="0"/>
              <w:bottom w:val="nil"/>
            </w:tcBorders>
            <w:vAlign w:val="top"/>
          </w:tcPr>
          <w:p>
            <w:pPr>
              <w:rPr>
                <w:rFonts w:ascii="Arial"/>
                <w:sz w:val="21"/>
              </w:rPr>
            </w:pPr>
          </w:p>
        </w:tc>
        <w:tc>
          <w:tcPr>
            <w:tcW w:w="643" w:type="dxa"/>
            <w:vMerge w:val="restart"/>
            <w:tcBorders>
              <w:top w:val="single" w:color="000000" w:sz="10" w:space="0"/>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073" w:type="dxa"/>
            <w:vMerge w:val="continue"/>
            <w:tcBorders>
              <w:top w:val="nil"/>
              <w:left w:val="nil"/>
              <w:bottom w:val="single" w:color="000000" w:sz="10" w:space="0"/>
            </w:tcBorders>
            <w:vAlign w:val="top"/>
          </w:tcPr>
          <w:p>
            <w:pPr>
              <w:rPr>
                <w:rFonts w:ascii="Arial"/>
                <w:sz w:val="21"/>
              </w:rPr>
            </w:pPr>
          </w:p>
        </w:tc>
        <w:tc>
          <w:tcPr>
            <w:tcW w:w="1274" w:type="dxa"/>
            <w:tcBorders>
              <w:bottom w:val="single" w:color="000000" w:sz="10" w:space="0"/>
            </w:tcBorders>
            <w:vAlign w:val="top"/>
          </w:tcPr>
          <w:p>
            <w:pPr>
              <w:pStyle w:val="6"/>
              <w:spacing w:before="66" w:line="222" w:lineRule="auto"/>
              <w:ind w:left="330"/>
              <w:rPr>
                <w:sz w:val="21"/>
                <w:szCs w:val="21"/>
              </w:rPr>
            </w:pPr>
            <w:r>
              <w:rPr>
                <w:spacing w:val="-2"/>
                <w:sz w:val="21"/>
                <w:szCs w:val="21"/>
              </w:rPr>
              <w:t>氯化物</w:t>
            </w:r>
          </w:p>
        </w:tc>
        <w:tc>
          <w:tcPr>
            <w:tcW w:w="848" w:type="dxa"/>
            <w:tcBorders>
              <w:bottom w:val="single" w:color="000000" w:sz="10" w:space="0"/>
            </w:tcBorders>
            <w:vAlign w:val="top"/>
          </w:tcPr>
          <w:p>
            <w:pPr>
              <w:spacing w:before="103" w:line="189" w:lineRule="auto"/>
              <w:ind w:left="1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44.55</w:t>
            </w:r>
          </w:p>
        </w:tc>
        <w:tc>
          <w:tcPr>
            <w:tcW w:w="1298" w:type="dxa"/>
            <w:tcBorders>
              <w:bottom w:val="single" w:color="000000" w:sz="10" w:space="0"/>
            </w:tcBorders>
            <w:vAlign w:val="top"/>
          </w:tcPr>
          <w:p>
            <w:pPr>
              <w:spacing w:before="103" w:line="189" w:lineRule="auto"/>
              <w:ind w:left="4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848" w:type="dxa"/>
            <w:vMerge w:val="continue"/>
            <w:tcBorders>
              <w:top w:val="nil"/>
              <w:bottom w:val="single" w:color="000000" w:sz="10" w:space="0"/>
            </w:tcBorders>
            <w:vAlign w:val="top"/>
          </w:tcPr>
          <w:p>
            <w:pPr>
              <w:rPr>
                <w:rFonts w:ascii="Arial"/>
                <w:sz w:val="21"/>
              </w:rPr>
            </w:pPr>
          </w:p>
        </w:tc>
        <w:tc>
          <w:tcPr>
            <w:tcW w:w="998" w:type="dxa"/>
            <w:vMerge w:val="continue"/>
            <w:tcBorders>
              <w:top w:val="nil"/>
              <w:bottom w:val="single" w:color="000000" w:sz="10" w:space="0"/>
            </w:tcBorders>
            <w:vAlign w:val="top"/>
          </w:tcPr>
          <w:p>
            <w:pPr>
              <w:rPr>
                <w:rFonts w:ascii="Arial"/>
                <w:sz w:val="21"/>
              </w:rPr>
            </w:pPr>
          </w:p>
        </w:tc>
        <w:tc>
          <w:tcPr>
            <w:tcW w:w="1065" w:type="dxa"/>
            <w:vMerge w:val="continue"/>
            <w:tcBorders>
              <w:top w:val="nil"/>
              <w:bottom w:val="single" w:color="000000" w:sz="10" w:space="0"/>
            </w:tcBorders>
            <w:vAlign w:val="top"/>
          </w:tcPr>
          <w:p>
            <w:pPr>
              <w:rPr>
                <w:rFonts w:ascii="Arial"/>
                <w:sz w:val="21"/>
              </w:rPr>
            </w:pPr>
          </w:p>
        </w:tc>
        <w:tc>
          <w:tcPr>
            <w:tcW w:w="1069" w:type="dxa"/>
            <w:vMerge w:val="continue"/>
            <w:tcBorders>
              <w:top w:val="nil"/>
              <w:bottom w:val="single" w:color="000000" w:sz="10" w:space="0"/>
            </w:tcBorders>
            <w:vAlign w:val="top"/>
          </w:tcPr>
          <w:p>
            <w:pPr>
              <w:rPr>
                <w:rFonts w:ascii="Arial"/>
                <w:sz w:val="21"/>
              </w:rPr>
            </w:pPr>
          </w:p>
        </w:tc>
        <w:tc>
          <w:tcPr>
            <w:tcW w:w="643" w:type="dxa"/>
            <w:vMerge w:val="continue"/>
            <w:tcBorders>
              <w:top w:val="nil"/>
              <w:bottom w:val="single" w:color="000000" w:sz="10" w:space="0"/>
              <w:right w:val="nil"/>
            </w:tcBorders>
            <w:vAlign w:val="top"/>
          </w:tcPr>
          <w:p>
            <w:pPr>
              <w:rPr>
                <w:rFonts w:ascii="Arial"/>
                <w:sz w:val="21"/>
              </w:rPr>
            </w:pPr>
          </w:p>
        </w:tc>
      </w:tr>
    </w:tbl>
    <w:p>
      <w:pPr>
        <w:spacing w:before="270" w:line="225" w:lineRule="auto"/>
        <w:ind w:left="113"/>
        <w:rPr>
          <w:rFonts w:ascii="宋体" w:hAnsi="宋体" w:eastAsia="宋体" w:cs="宋体"/>
          <w:sz w:val="31"/>
          <w:szCs w:val="31"/>
        </w:rPr>
      </w:pPr>
      <w:bookmarkStart w:id="23" w:name="bookmark24"/>
      <w:bookmarkEnd w:id="23"/>
      <w:r>
        <w:rPr>
          <w:rFonts w:ascii="Times New Roman" w:hAnsi="Times New Roman" w:eastAsia="Times New Roman" w:cs="Times New Roman"/>
          <w:b/>
          <w:bCs/>
          <w:spacing w:val="10"/>
          <w:sz w:val="31"/>
          <w:szCs w:val="31"/>
        </w:rPr>
        <w:t>3.8</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地下水预测结果</w:t>
      </w:r>
    </w:p>
    <w:p>
      <w:pPr>
        <w:pStyle w:val="2"/>
        <w:spacing w:line="246" w:lineRule="auto"/>
        <w:rPr>
          <w:sz w:val="21"/>
        </w:rPr>
      </w:pPr>
    </w:p>
    <w:p>
      <w:pPr>
        <w:spacing w:before="78" w:line="468" w:lineRule="exact"/>
        <w:ind w:left="599"/>
        <w:rPr>
          <w:rFonts w:ascii="宋体" w:hAnsi="宋体" w:eastAsia="宋体" w:cs="宋体"/>
          <w:sz w:val="24"/>
          <w:szCs w:val="24"/>
        </w:rPr>
      </w:pPr>
      <w:r>
        <w:rPr>
          <w:rFonts w:ascii="宋体" w:hAnsi="宋体" w:eastAsia="宋体" w:cs="宋体"/>
          <w:spacing w:val="-5"/>
          <w:position w:val="17"/>
          <w:sz w:val="24"/>
          <w:szCs w:val="24"/>
        </w:rPr>
        <w:t>参照《地下水质量标准》（</w:t>
      </w:r>
      <w:r>
        <w:rPr>
          <w:rFonts w:ascii="Times New Roman" w:hAnsi="Times New Roman" w:eastAsia="Times New Roman" w:cs="Times New Roman"/>
          <w:spacing w:val="-5"/>
          <w:position w:val="17"/>
          <w:sz w:val="24"/>
          <w:szCs w:val="24"/>
        </w:rPr>
        <w:t>GB/T14848-2017</w:t>
      </w:r>
      <w:r>
        <w:rPr>
          <w:rFonts w:ascii="宋体" w:hAnsi="宋体" w:eastAsia="宋体" w:cs="宋体"/>
          <w:spacing w:val="-5"/>
          <w:position w:val="17"/>
          <w:sz w:val="24"/>
          <w:szCs w:val="24"/>
        </w:rPr>
        <w:t>）中相应的Ⅲ类水质标准，</w:t>
      </w:r>
      <w:r>
        <w:rPr>
          <w:rFonts w:ascii="宋体" w:hAnsi="宋体" w:eastAsia="宋体" w:cs="宋体"/>
          <w:spacing w:val="74"/>
          <w:position w:val="17"/>
          <w:sz w:val="24"/>
          <w:szCs w:val="24"/>
        </w:rPr>
        <w:t xml:space="preserve"> </w:t>
      </w:r>
      <w:r>
        <w:rPr>
          <w:rFonts w:ascii="宋体" w:hAnsi="宋体" w:eastAsia="宋体" w:cs="宋体"/>
          <w:spacing w:val="-5"/>
          <w:position w:val="17"/>
          <w:sz w:val="24"/>
          <w:szCs w:val="24"/>
        </w:rPr>
        <w:t>应急池池</w:t>
      </w:r>
    </w:p>
    <w:p>
      <w:pPr>
        <w:spacing w:line="219" w:lineRule="auto"/>
        <w:ind w:left="116"/>
        <w:rPr>
          <w:rFonts w:ascii="宋体" w:hAnsi="宋体" w:eastAsia="宋体" w:cs="宋体"/>
          <w:sz w:val="24"/>
          <w:szCs w:val="24"/>
        </w:rPr>
      </w:pPr>
      <w:r>
        <w:rPr>
          <w:rFonts w:ascii="宋体" w:hAnsi="宋体" w:eastAsia="宋体" w:cs="宋体"/>
          <w:spacing w:val="-2"/>
          <w:sz w:val="24"/>
          <w:szCs w:val="24"/>
        </w:rPr>
        <w:t>底破裂造成地下水污染的影响范围及距离计算结果如下表所示。</w:t>
      </w:r>
    </w:p>
    <w:p>
      <w:pPr>
        <w:spacing w:before="103" w:line="212" w:lineRule="auto"/>
        <w:ind w:left="1549"/>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 xml:space="preserve">3.8-1      </w:t>
      </w:r>
      <w:r>
        <w:rPr>
          <w:rFonts w:ascii="宋体" w:hAnsi="宋体" w:eastAsia="宋体" w:cs="宋体"/>
          <w:spacing w:val="-1"/>
          <w:sz w:val="24"/>
          <w:szCs w:val="24"/>
          <w14:textOutline w14:w="4354" w14:cap="flat" w14:cmpd="sng">
            <w14:solidFill>
              <w14:srgbClr w14:val="000000"/>
            </w14:solidFill>
            <w14:prstDash w14:val="solid"/>
            <w14:miter w14:val="10"/>
          </w14:textOutline>
        </w:rPr>
        <w:t>应急池耗氧量（</w:t>
      </w:r>
      <w:r>
        <w:rPr>
          <w:rFonts w:ascii="Times New Roman" w:hAnsi="Times New Roman" w:eastAsia="Times New Roman" w:cs="Times New Roman"/>
          <w:b/>
          <w:bCs/>
          <w:spacing w:val="-1"/>
          <w:sz w:val="24"/>
          <w:szCs w:val="24"/>
        </w:rPr>
        <w:t>COD</w:t>
      </w:r>
      <w:r>
        <w:rPr>
          <w:rFonts w:ascii="Times New Roman" w:hAnsi="Times New Roman" w:eastAsia="Times New Roman" w:cs="Times New Roman"/>
          <w:b/>
          <w:bCs/>
          <w:spacing w:val="-2"/>
          <w:sz w:val="16"/>
          <w:szCs w:val="16"/>
        </w:rPr>
        <w:t>Mn</w:t>
      </w:r>
      <w:r>
        <w:rPr>
          <w:rFonts w:ascii="Times New Roman" w:hAnsi="Times New Roman" w:eastAsia="Times New Roman" w:cs="Times New Roman"/>
          <w:b/>
          <w:bCs/>
          <w:spacing w:val="-8"/>
          <w:sz w:val="16"/>
          <w:szCs w:val="16"/>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）泄漏超标及影响范围</w:t>
      </w:r>
    </w:p>
    <w:tbl>
      <w:tblPr>
        <w:tblStyle w:val="5"/>
        <w:tblW w:w="91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6"/>
        <w:gridCol w:w="1558"/>
        <w:gridCol w:w="1505"/>
        <w:gridCol w:w="1505"/>
        <w:gridCol w:w="1675"/>
        <w:gridCol w:w="13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536" w:type="dxa"/>
            <w:tcBorders>
              <w:top w:val="single" w:color="000000" w:sz="10" w:space="0"/>
              <w:left w:val="nil"/>
            </w:tcBorders>
            <w:vAlign w:val="top"/>
          </w:tcPr>
          <w:p>
            <w:pPr>
              <w:pStyle w:val="6"/>
              <w:spacing w:before="86" w:line="221" w:lineRule="auto"/>
              <w:ind w:left="252"/>
              <w:rPr>
                <w:sz w:val="21"/>
                <w:szCs w:val="21"/>
              </w:rPr>
            </w:pPr>
            <w:r>
              <w:rPr>
                <w:spacing w:val="-2"/>
                <w:sz w:val="21"/>
                <w:szCs w:val="21"/>
              </w:rPr>
              <w:t>污染源总量</w:t>
            </w:r>
          </w:p>
          <w:p>
            <w:pPr>
              <w:spacing w:before="95" w:line="191"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(kg)</w:t>
            </w:r>
          </w:p>
        </w:tc>
        <w:tc>
          <w:tcPr>
            <w:tcW w:w="1558" w:type="dxa"/>
            <w:tcBorders>
              <w:top w:val="single" w:color="000000" w:sz="10" w:space="0"/>
            </w:tcBorders>
            <w:vAlign w:val="top"/>
          </w:tcPr>
          <w:p>
            <w:pPr>
              <w:pStyle w:val="6"/>
              <w:spacing w:before="242" w:line="214" w:lineRule="auto"/>
              <w:ind w:left="117"/>
              <w:rPr>
                <w:sz w:val="21"/>
                <w:szCs w:val="21"/>
              </w:rPr>
            </w:pPr>
            <w:r>
              <w:rPr>
                <w:spacing w:val="-2"/>
                <w:sz w:val="21"/>
                <w:szCs w:val="21"/>
              </w:rPr>
              <w:t>模拟时间</w:t>
            </w:r>
            <w:r>
              <w:rPr>
                <w:rFonts w:ascii="Times New Roman" w:hAnsi="Times New Roman" w:eastAsia="Times New Roman" w:cs="Times New Roman"/>
                <w:spacing w:val="-2"/>
                <w:sz w:val="21"/>
                <w:szCs w:val="21"/>
              </w:rPr>
              <w:t>(</w:t>
            </w:r>
            <w:r>
              <w:rPr>
                <w:spacing w:val="-2"/>
                <w:sz w:val="21"/>
                <w:szCs w:val="21"/>
              </w:rPr>
              <w:t>天）</w:t>
            </w:r>
          </w:p>
        </w:tc>
        <w:tc>
          <w:tcPr>
            <w:tcW w:w="1505" w:type="dxa"/>
            <w:tcBorders>
              <w:top w:val="single" w:color="000000" w:sz="10" w:space="0"/>
            </w:tcBorders>
            <w:vAlign w:val="top"/>
          </w:tcPr>
          <w:p>
            <w:pPr>
              <w:pStyle w:val="6"/>
              <w:spacing w:before="85" w:line="221" w:lineRule="auto"/>
              <w:ind w:left="130"/>
              <w:rPr>
                <w:sz w:val="21"/>
                <w:szCs w:val="21"/>
              </w:rPr>
            </w:pPr>
            <w:r>
              <w:rPr>
                <w:spacing w:val="-2"/>
                <w:sz w:val="21"/>
                <w:szCs w:val="21"/>
              </w:rPr>
              <w:t>最大污染距离</w:t>
            </w:r>
          </w:p>
          <w:p>
            <w:pPr>
              <w:spacing w:before="96" w:line="191"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505" w:type="dxa"/>
            <w:tcBorders>
              <w:top w:val="single" w:color="000000" w:sz="10" w:space="0"/>
            </w:tcBorders>
            <w:vAlign w:val="top"/>
          </w:tcPr>
          <w:p>
            <w:pPr>
              <w:pStyle w:val="6"/>
              <w:spacing w:before="86" w:line="221" w:lineRule="auto"/>
              <w:ind w:left="145"/>
              <w:rPr>
                <w:sz w:val="21"/>
                <w:szCs w:val="21"/>
              </w:rPr>
            </w:pPr>
            <w:r>
              <w:rPr>
                <w:spacing w:val="-5"/>
                <w:sz w:val="21"/>
                <w:szCs w:val="21"/>
              </w:rPr>
              <w:t>中心迁移距离</w:t>
            </w:r>
          </w:p>
          <w:p>
            <w:pPr>
              <w:spacing w:before="95" w:line="191"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675" w:type="dxa"/>
            <w:tcBorders>
              <w:top w:val="single" w:color="000000" w:sz="10" w:space="0"/>
            </w:tcBorders>
            <w:vAlign w:val="top"/>
          </w:tcPr>
          <w:p>
            <w:pPr>
              <w:pStyle w:val="6"/>
              <w:spacing w:before="86" w:line="221" w:lineRule="auto"/>
              <w:ind w:left="232"/>
              <w:rPr>
                <w:sz w:val="21"/>
                <w:szCs w:val="21"/>
              </w:rPr>
            </w:pPr>
            <w:r>
              <w:rPr>
                <w:spacing w:val="-5"/>
                <w:sz w:val="21"/>
                <w:szCs w:val="21"/>
              </w:rPr>
              <w:t>中心点处浓度</w:t>
            </w:r>
          </w:p>
          <w:p>
            <w:pPr>
              <w:spacing w:before="95" w:line="191"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c>
          <w:tcPr>
            <w:tcW w:w="1337" w:type="dxa"/>
            <w:tcBorders>
              <w:top w:val="single" w:color="000000" w:sz="10" w:space="0"/>
              <w:right w:val="nil"/>
            </w:tcBorders>
            <w:vAlign w:val="top"/>
          </w:tcPr>
          <w:p>
            <w:pPr>
              <w:pStyle w:val="6"/>
              <w:spacing w:before="119" w:line="226" w:lineRule="auto"/>
              <w:ind w:left="375" w:right="246" w:hanging="121"/>
              <w:rPr>
                <w:rFonts w:ascii="Times New Roman" w:hAnsi="Times New Roman" w:eastAsia="Times New Roman" w:cs="Times New Roman"/>
                <w:sz w:val="21"/>
                <w:szCs w:val="21"/>
              </w:rPr>
            </w:pPr>
            <w:r>
              <w:rPr>
                <w:spacing w:val="-2"/>
                <w:sz w:val="21"/>
                <w:szCs w:val="21"/>
              </w:rPr>
              <w:t>标准限值</w:t>
            </w:r>
            <w:r>
              <w:rPr>
                <w:sz w:val="21"/>
                <w:szCs w:val="21"/>
              </w:rPr>
              <w:t xml:space="preserve"> </w:t>
            </w:r>
            <w:r>
              <w:rPr>
                <w:rFonts w:ascii="Times New Roman" w:hAnsi="Times New Roman" w:eastAsia="Times New Roman" w:cs="Times New Roman"/>
                <w:spacing w:val="-2"/>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36" w:type="dxa"/>
            <w:vMerge w:val="restart"/>
            <w:tcBorders>
              <w:left w:val="nil"/>
              <w:bottom w:val="nil"/>
            </w:tcBorders>
            <w:vAlign w:val="top"/>
          </w:tcPr>
          <w:p>
            <w:pPr>
              <w:spacing w:line="258" w:lineRule="auto"/>
              <w:rPr>
                <w:rFonts w:ascii="Arial"/>
                <w:sz w:val="21"/>
              </w:rPr>
            </w:pPr>
          </w:p>
          <w:p>
            <w:pPr>
              <w:spacing w:line="258" w:lineRule="auto"/>
              <w:rPr>
                <w:rFonts w:ascii="Arial"/>
                <w:sz w:val="21"/>
              </w:rPr>
            </w:pPr>
          </w:p>
          <w:p>
            <w:pPr>
              <w:spacing w:before="60" w:line="189"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13.588</w:t>
            </w:r>
          </w:p>
        </w:tc>
        <w:tc>
          <w:tcPr>
            <w:tcW w:w="1558" w:type="dxa"/>
            <w:vAlign w:val="top"/>
          </w:tcPr>
          <w:p>
            <w:pPr>
              <w:spacing w:before="98" w:line="187" w:lineRule="auto"/>
              <w:ind w:left="64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505" w:type="dxa"/>
            <w:vAlign w:val="top"/>
          </w:tcPr>
          <w:p>
            <w:pPr>
              <w:spacing w:before="92" w:line="189" w:lineRule="auto"/>
              <w:ind w:left="66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w:t>
            </w:r>
          </w:p>
        </w:tc>
        <w:tc>
          <w:tcPr>
            <w:tcW w:w="1505" w:type="dxa"/>
            <w:vAlign w:val="top"/>
          </w:tcPr>
          <w:p>
            <w:pPr>
              <w:spacing w:before="92" w:line="189" w:lineRule="auto"/>
              <w:ind w:left="6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w:t>
            </w:r>
          </w:p>
        </w:tc>
        <w:tc>
          <w:tcPr>
            <w:tcW w:w="1675" w:type="dxa"/>
            <w:vAlign w:val="top"/>
          </w:tcPr>
          <w:p>
            <w:pPr>
              <w:spacing w:before="92" w:line="189" w:lineRule="auto"/>
              <w:ind w:left="55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131.58</w:t>
            </w:r>
          </w:p>
        </w:tc>
        <w:tc>
          <w:tcPr>
            <w:tcW w:w="1337" w:type="dxa"/>
            <w:vMerge w:val="restart"/>
            <w:tcBorders>
              <w:bottom w:val="nil"/>
              <w:right w:val="nil"/>
            </w:tcBorders>
            <w:vAlign w:val="top"/>
          </w:tcPr>
          <w:p>
            <w:pPr>
              <w:spacing w:line="256" w:lineRule="auto"/>
              <w:rPr>
                <w:rFonts w:ascii="Arial"/>
                <w:sz w:val="21"/>
              </w:rPr>
            </w:pPr>
          </w:p>
          <w:p>
            <w:pPr>
              <w:spacing w:line="257" w:lineRule="auto"/>
              <w:rPr>
                <w:rFonts w:ascii="Arial"/>
                <w:sz w:val="21"/>
              </w:rPr>
            </w:pPr>
          </w:p>
          <w:p>
            <w:pPr>
              <w:spacing w:before="61" w:line="189" w:lineRule="auto"/>
              <w:ind w:left="62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36" w:type="dxa"/>
            <w:vMerge w:val="continue"/>
            <w:tcBorders>
              <w:top w:val="nil"/>
              <w:left w:val="nil"/>
              <w:bottom w:val="nil"/>
            </w:tcBorders>
            <w:vAlign w:val="top"/>
          </w:tcPr>
          <w:p>
            <w:pPr>
              <w:rPr>
                <w:rFonts w:ascii="Arial"/>
                <w:sz w:val="21"/>
              </w:rPr>
            </w:pPr>
          </w:p>
        </w:tc>
        <w:tc>
          <w:tcPr>
            <w:tcW w:w="1558" w:type="dxa"/>
            <w:vAlign w:val="top"/>
          </w:tcPr>
          <w:p>
            <w:pPr>
              <w:spacing w:before="103" w:line="187" w:lineRule="auto"/>
              <w:ind w:left="58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505" w:type="dxa"/>
            <w:vAlign w:val="top"/>
          </w:tcPr>
          <w:p>
            <w:pPr>
              <w:spacing w:before="96" w:line="189" w:lineRule="auto"/>
              <w:ind w:left="64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w:t>
            </w:r>
          </w:p>
        </w:tc>
        <w:tc>
          <w:tcPr>
            <w:tcW w:w="1505" w:type="dxa"/>
            <w:vAlign w:val="top"/>
          </w:tcPr>
          <w:p>
            <w:pPr>
              <w:spacing w:before="96" w:line="189" w:lineRule="auto"/>
              <w:ind w:left="66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w:t>
            </w:r>
          </w:p>
        </w:tc>
        <w:tc>
          <w:tcPr>
            <w:tcW w:w="1675" w:type="dxa"/>
            <w:vAlign w:val="top"/>
          </w:tcPr>
          <w:p>
            <w:pPr>
              <w:spacing w:before="96" w:line="189" w:lineRule="auto"/>
              <w:ind w:left="6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13.15</w:t>
            </w:r>
          </w:p>
        </w:tc>
        <w:tc>
          <w:tcPr>
            <w:tcW w:w="133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536" w:type="dxa"/>
            <w:vMerge w:val="continue"/>
            <w:tcBorders>
              <w:top w:val="nil"/>
              <w:left w:val="nil"/>
              <w:bottom w:val="nil"/>
            </w:tcBorders>
            <w:vAlign w:val="top"/>
          </w:tcPr>
          <w:p>
            <w:pPr>
              <w:rPr>
                <w:rFonts w:ascii="Arial"/>
                <w:sz w:val="21"/>
              </w:rPr>
            </w:pPr>
          </w:p>
        </w:tc>
        <w:tc>
          <w:tcPr>
            <w:tcW w:w="1558" w:type="dxa"/>
            <w:vAlign w:val="top"/>
          </w:tcPr>
          <w:p>
            <w:pPr>
              <w:spacing w:before="108" w:line="187"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3650</w:t>
            </w:r>
          </w:p>
        </w:tc>
        <w:tc>
          <w:tcPr>
            <w:tcW w:w="1505" w:type="dxa"/>
            <w:vAlign w:val="top"/>
          </w:tcPr>
          <w:p>
            <w:pPr>
              <w:spacing w:before="102" w:line="189" w:lineRule="auto"/>
              <w:ind w:left="6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66</w:t>
            </w:r>
          </w:p>
        </w:tc>
        <w:tc>
          <w:tcPr>
            <w:tcW w:w="1505" w:type="dxa"/>
            <w:vAlign w:val="top"/>
          </w:tcPr>
          <w:p>
            <w:pPr>
              <w:spacing w:before="102" w:line="189" w:lineRule="auto"/>
              <w:ind w:left="5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47.45</w:t>
            </w:r>
          </w:p>
        </w:tc>
        <w:tc>
          <w:tcPr>
            <w:tcW w:w="1675" w:type="dxa"/>
            <w:vAlign w:val="top"/>
          </w:tcPr>
          <w:p>
            <w:pPr>
              <w:spacing w:before="102" w:line="189" w:lineRule="auto"/>
              <w:ind w:left="6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3.60</w:t>
            </w:r>
          </w:p>
        </w:tc>
        <w:tc>
          <w:tcPr>
            <w:tcW w:w="133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36" w:type="dxa"/>
            <w:vMerge w:val="continue"/>
            <w:tcBorders>
              <w:top w:val="nil"/>
              <w:left w:val="nil"/>
              <w:bottom w:val="single" w:color="000000" w:sz="10" w:space="0"/>
            </w:tcBorders>
            <w:vAlign w:val="top"/>
          </w:tcPr>
          <w:p>
            <w:pPr>
              <w:rPr>
                <w:rFonts w:ascii="Arial"/>
                <w:sz w:val="21"/>
              </w:rPr>
            </w:pPr>
          </w:p>
        </w:tc>
        <w:tc>
          <w:tcPr>
            <w:tcW w:w="1558" w:type="dxa"/>
            <w:tcBorders>
              <w:bottom w:val="single" w:color="000000" w:sz="10" w:space="0"/>
            </w:tcBorders>
            <w:vAlign w:val="top"/>
          </w:tcPr>
          <w:p>
            <w:pPr>
              <w:spacing w:before="112" w:line="187" w:lineRule="auto"/>
              <w:ind w:left="5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7300</w:t>
            </w:r>
          </w:p>
        </w:tc>
        <w:tc>
          <w:tcPr>
            <w:tcW w:w="1505" w:type="dxa"/>
            <w:tcBorders>
              <w:bottom w:val="single" w:color="000000" w:sz="10" w:space="0"/>
            </w:tcBorders>
            <w:vAlign w:val="top"/>
          </w:tcPr>
          <w:p>
            <w:pPr>
              <w:spacing w:before="104" w:line="213" w:lineRule="auto"/>
              <w:ind w:left="72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05" w:type="dxa"/>
            <w:tcBorders>
              <w:bottom w:val="single" w:color="000000" w:sz="10" w:space="0"/>
            </w:tcBorders>
            <w:vAlign w:val="top"/>
          </w:tcPr>
          <w:p>
            <w:pPr>
              <w:spacing w:before="105" w:line="189" w:lineRule="auto"/>
              <w:ind w:left="5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94.9</w:t>
            </w:r>
          </w:p>
        </w:tc>
        <w:tc>
          <w:tcPr>
            <w:tcW w:w="1675" w:type="dxa"/>
            <w:tcBorders>
              <w:bottom w:val="single" w:color="000000" w:sz="10" w:space="0"/>
            </w:tcBorders>
            <w:vAlign w:val="top"/>
          </w:tcPr>
          <w:p>
            <w:pPr>
              <w:spacing w:before="105" w:line="189" w:lineRule="auto"/>
              <w:ind w:left="66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1.80</w:t>
            </w:r>
          </w:p>
        </w:tc>
        <w:tc>
          <w:tcPr>
            <w:tcW w:w="1337" w:type="dxa"/>
            <w:vMerge w:val="continue"/>
            <w:tcBorders>
              <w:top w:val="nil"/>
              <w:bottom w:val="single" w:color="000000" w:sz="10" w:space="0"/>
              <w:right w:val="nil"/>
            </w:tcBorders>
            <w:vAlign w:val="top"/>
          </w:tcPr>
          <w:p>
            <w:pPr>
              <w:rPr>
                <w:rFonts w:ascii="Arial"/>
                <w:sz w:val="21"/>
              </w:rPr>
            </w:pPr>
          </w:p>
        </w:tc>
      </w:tr>
    </w:tbl>
    <w:p>
      <w:pPr>
        <w:spacing w:line="5199" w:lineRule="exact"/>
        <w:ind w:firstLine="296"/>
      </w:pPr>
      <w:r>
        <w:rPr>
          <w:position w:val="-103"/>
        </w:rPr>
        <w:drawing>
          <wp:inline distT="0" distB="0" distL="0" distR="0">
            <wp:extent cx="5410200" cy="330136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57"/>
                    <a:stretch>
                      <a:fillRect/>
                    </a:stretch>
                  </pic:blipFill>
                  <pic:spPr>
                    <a:xfrm>
                      <a:off x="0" y="0"/>
                      <a:ext cx="5410200" cy="3301427"/>
                    </a:xfrm>
                    <a:prstGeom prst="rect">
                      <a:avLst/>
                    </a:prstGeom>
                  </pic:spPr>
                </pic:pic>
              </a:graphicData>
            </a:graphic>
          </wp:inline>
        </w:drawing>
      </w:r>
    </w:p>
    <w:p>
      <w:pPr>
        <w:spacing w:before="159" w:line="219" w:lineRule="auto"/>
        <w:ind w:left="484"/>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图</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3.8-1    </w:t>
      </w:r>
      <w:r>
        <w:rPr>
          <w:rFonts w:ascii="宋体" w:hAnsi="宋体" w:eastAsia="宋体" w:cs="宋体"/>
          <w:spacing w:val="-2"/>
          <w:sz w:val="24"/>
          <w:szCs w:val="24"/>
          <w14:textOutline w14:w="4354" w14:cap="flat" w14:cmpd="sng">
            <w14:solidFill>
              <w14:srgbClr w14:val="000000"/>
            </w14:solidFill>
            <w14:prstDash w14:val="solid"/>
            <w14:miter w14:val="10"/>
          </w14:textOutline>
        </w:rPr>
        <w:t>应急池泄漏后</w:t>
      </w:r>
      <w:r>
        <w:rPr>
          <w:rFonts w:ascii="宋体" w:hAnsi="宋体" w:eastAsia="宋体" w:cs="宋体"/>
          <w:spacing w:val="-41"/>
          <w:sz w:val="24"/>
          <w:szCs w:val="24"/>
        </w:rPr>
        <w:t xml:space="preserve"> </w:t>
      </w:r>
      <w:r>
        <w:rPr>
          <w:rFonts w:ascii="Times New Roman" w:hAnsi="Times New Roman" w:eastAsia="Times New Roman" w:cs="Times New Roman"/>
          <w:b/>
          <w:bCs/>
          <w:spacing w:val="-2"/>
          <w:sz w:val="24"/>
          <w:szCs w:val="24"/>
        </w:rPr>
        <w:t xml:space="preserve">100d </w:t>
      </w:r>
      <w:r>
        <w:rPr>
          <w:rFonts w:ascii="宋体" w:hAnsi="宋体" w:eastAsia="宋体" w:cs="宋体"/>
          <w:spacing w:val="-2"/>
          <w:sz w:val="24"/>
          <w:szCs w:val="24"/>
          <w14:textOutline w14:w="4354" w14:cap="flat" w14:cmpd="sng">
            <w14:solidFill>
              <w14:srgbClr w14:val="000000"/>
            </w14:solidFill>
            <w14:prstDash w14:val="solid"/>
            <w14:miter w14:val="10"/>
          </w14:textOutline>
        </w:rPr>
        <w:t>水流下游轴向耗氧量（</w:t>
      </w:r>
      <w:r>
        <w:rPr>
          <w:rFonts w:ascii="Times New Roman" w:hAnsi="Times New Roman" w:eastAsia="Times New Roman" w:cs="Times New Roman"/>
          <w:b/>
          <w:bCs/>
          <w:spacing w:val="-2"/>
          <w:sz w:val="24"/>
          <w:szCs w:val="24"/>
        </w:rPr>
        <w:t>COD</w:t>
      </w:r>
      <w:r>
        <w:rPr>
          <w:rFonts w:ascii="Times New Roman" w:hAnsi="Times New Roman" w:eastAsia="Times New Roman" w:cs="Times New Roman"/>
          <w:b/>
          <w:bCs/>
          <w:spacing w:val="-2"/>
          <w:sz w:val="16"/>
          <w:szCs w:val="16"/>
        </w:rPr>
        <w:t>Mn</w:t>
      </w:r>
      <w:r>
        <w:rPr>
          <w:rFonts w:ascii="Times New Roman" w:hAnsi="Times New Roman" w:eastAsia="Times New Roman" w:cs="Times New Roman"/>
          <w:b/>
          <w:bCs/>
          <w:spacing w:val="-9"/>
          <w:sz w:val="16"/>
          <w:szCs w:val="16"/>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）浓度变化趋势图</w:t>
      </w:r>
    </w:p>
    <w:p>
      <w:pPr>
        <w:spacing w:line="219" w:lineRule="auto"/>
        <w:rPr>
          <w:rFonts w:ascii="宋体" w:hAnsi="宋体" w:eastAsia="宋体" w:cs="宋体"/>
          <w:sz w:val="24"/>
          <w:szCs w:val="24"/>
        </w:rPr>
        <w:sectPr>
          <w:footerReference r:id="rId180" w:type="default"/>
          <w:pgSz w:w="11907" w:h="16839"/>
          <w:pgMar w:top="400" w:right="1308" w:bottom="1151" w:left="1481" w:header="0" w:footer="988" w:gutter="0"/>
          <w:cols w:space="720" w:num="1"/>
        </w:sectPr>
      </w:pPr>
    </w:p>
    <w:p>
      <w:pPr>
        <w:pStyle w:val="2"/>
        <w:spacing w:line="258" w:lineRule="auto"/>
        <w:rPr>
          <w:sz w:val="21"/>
        </w:rPr>
      </w:pPr>
    </w:p>
    <w:p>
      <w:pPr>
        <w:pStyle w:val="2"/>
        <w:spacing w:line="258" w:lineRule="auto"/>
        <w:rPr>
          <w:sz w:val="21"/>
        </w:rPr>
      </w:pPr>
    </w:p>
    <w:p>
      <w:pPr>
        <w:pStyle w:val="2"/>
        <w:spacing w:line="258" w:lineRule="auto"/>
        <w:rPr>
          <w:sz w:val="21"/>
        </w:rPr>
      </w:pPr>
    </w:p>
    <w:p>
      <w:pPr>
        <w:pStyle w:val="2"/>
        <w:spacing w:line="259" w:lineRule="auto"/>
        <w:rPr>
          <w:sz w:val="21"/>
        </w:rPr>
      </w:pPr>
    </w:p>
    <w:p>
      <w:pPr>
        <w:spacing w:line="5170" w:lineRule="exact"/>
        <w:ind w:firstLine="50"/>
      </w:pPr>
      <w:r>
        <w:rPr>
          <w:position w:val="-103"/>
        </w:rPr>
        <w:drawing>
          <wp:inline distT="0" distB="0" distL="0" distR="0">
            <wp:extent cx="5410200" cy="328295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58"/>
                    <a:stretch>
                      <a:fillRect/>
                    </a:stretch>
                  </pic:blipFill>
                  <pic:spPr>
                    <a:xfrm>
                      <a:off x="0" y="0"/>
                      <a:ext cx="5410200" cy="3282950"/>
                    </a:xfrm>
                    <a:prstGeom prst="rect">
                      <a:avLst/>
                    </a:prstGeom>
                  </pic:spPr>
                </pic:pic>
              </a:graphicData>
            </a:graphic>
          </wp:inline>
        </w:drawing>
      </w:r>
    </w:p>
    <w:p>
      <w:pPr>
        <w:spacing w:before="156" w:line="212" w:lineRule="auto"/>
        <w:ind w:left="177"/>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图</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3.8-2    </w:t>
      </w:r>
      <w:r>
        <w:rPr>
          <w:rFonts w:ascii="宋体" w:hAnsi="宋体" w:eastAsia="宋体" w:cs="宋体"/>
          <w:spacing w:val="-2"/>
          <w:sz w:val="24"/>
          <w:szCs w:val="24"/>
          <w14:textOutline w14:w="4354" w14:cap="flat" w14:cmpd="sng">
            <w14:solidFill>
              <w14:srgbClr w14:val="000000"/>
            </w14:solidFill>
            <w14:prstDash w14:val="solid"/>
            <w14:miter w14:val="10"/>
          </w14:textOutline>
        </w:rPr>
        <w:t>应急池泄漏后</w:t>
      </w:r>
      <w:r>
        <w:rPr>
          <w:rFonts w:ascii="宋体" w:hAnsi="宋体" w:eastAsia="宋体" w:cs="宋体"/>
          <w:spacing w:val="-41"/>
          <w:sz w:val="24"/>
          <w:szCs w:val="24"/>
        </w:rPr>
        <w:t xml:space="preserve"> </w:t>
      </w:r>
      <w:r>
        <w:rPr>
          <w:rFonts w:ascii="Times New Roman" w:hAnsi="Times New Roman" w:eastAsia="Times New Roman" w:cs="Times New Roman"/>
          <w:b/>
          <w:bCs/>
          <w:spacing w:val="-2"/>
          <w:sz w:val="24"/>
          <w:szCs w:val="24"/>
        </w:rPr>
        <w:t xml:space="preserve">1000d </w:t>
      </w:r>
      <w:r>
        <w:rPr>
          <w:rFonts w:ascii="宋体" w:hAnsi="宋体" w:eastAsia="宋体" w:cs="宋体"/>
          <w:spacing w:val="-2"/>
          <w:sz w:val="24"/>
          <w:szCs w:val="24"/>
          <w14:textOutline w14:w="4354" w14:cap="flat" w14:cmpd="sng">
            <w14:solidFill>
              <w14:srgbClr w14:val="000000"/>
            </w14:solidFill>
            <w14:prstDash w14:val="solid"/>
            <w14:miter w14:val="10"/>
          </w14:textOutline>
        </w:rPr>
        <w:t>水流下游轴向耗氧量（</w:t>
      </w:r>
      <w:r>
        <w:rPr>
          <w:rFonts w:ascii="Times New Roman" w:hAnsi="Times New Roman" w:eastAsia="Times New Roman" w:cs="Times New Roman"/>
          <w:b/>
          <w:bCs/>
          <w:spacing w:val="-2"/>
          <w:sz w:val="24"/>
          <w:szCs w:val="24"/>
        </w:rPr>
        <w:t>COD</w:t>
      </w:r>
      <w:r>
        <w:rPr>
          <w:rFonts w:ascii="Times New Roman" w:hAnsi="Times New Roman" w:eastAsia="Times New Roman" w:cs="Times New Roman"/>
          <w:b/>
          <w:bCs/>
          <w:spacing w:val="-2"/>
          <w:sz w:val="16"/>
          <w:szCs w:val="16"/>
        </w:rPr>
        <w:t>Mn</w:t>
      </w:r>
      <w:r>
        <w:rPr>
          <w:rFonts w:ascii="Times New Roman" w:hAnsi="Times New Roman" w:eastAsia="Times New Roman" w:cs="Times New Roman"/>
          <w:b/>
          <w:bCs/>
          <w:spacing w:val="-9"/>
          <w:sz w:val="16"/>
          <w:szCs w:val="16"/>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）浓度变化趋势图</w:t>
      </w:r>
    </w:p>
    <w:p>
      <w:pPr>
        <w:spacing w:line="5159" w:lineRule="exact"/>
      </w:pPr>
      <w:r>
        <w:rPr>
          <w:position w:val="-103"/>
        </w:rPr>
        <w:drawing>
          <wp:inline distT="0" distB="0" distL="0" distR="0">
            <wp:extent cx="5473700" cy="327596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59"/>
                    <a:stretch>
                      <a:fillRect/>
                    </a:stretch>
                  </pic:blipFill>
                  <pic:spPr>
                    <a:xfrm>
                      <a:off x="0" y="0"/>
                      <a:ext cx="5473700" cy="3276345"/>
                    </a:xfrm>
                    <a:prstGeom prst="rect">
                      <a:avLst/>
                    </a:prstGeom>
                  </pic:spPr>
                </pic:pic>
              </a:graphicData>
            </a:graphic>
          </wp:inline>
        </w:drawing>
      </w:r>
    </w:p>
    <w:p>
      <w:pPr>
        <w:spacing w:before="37" w:line="219" w:lineRule="auto"/>
        <w:ind w:left="26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图</w:t>
      </w:r>
      <w:r>
        <w:rPr>
          <w:rFonts w:ascii="宋体" w:hAnsi="宋体" w:eastAsia="宋体" w:cs="宋体"/>
          <w:spacing w:val="-38"/>
          <w:sz w:val="24"/>
          <w:szCs w:val="24"/>
        </w:rPr>
        <w:t xml:space="preserve"> </w:t>
      </w:r>
      <w:r>
        <w:rPr>
          <w:rFonts w:ascii="Times New Roman" w:hAnsi="Times New Roman" w:eastAsia="Times New Roman" w:cs="Times New Roman"/>
          <w:b/>
          <w:bCs/>
          <w:spacing w:val="-2"/>
          <w:sz w:val="24"/>
          <w:szCs w:val="24"/>
        </w:rPr>
        <w:t xml:space="preserve">3.8-3 </w:t>
      </w:r>
      <w:r>
        <w:rPr>
          <w:rFonts w:ascii="宋体" w:hAnsi="宋体" w:eastAsia="宋体" w:cs="宋体"/>
          <w:spacing w:val="-2"/>
          <w:sz w:val="24"/>
          <w:szCs w:val="24"/>
          <w14:textOutline w14:w="4354" w14:cap="flat" w14:cmpd="sng">
            <w14:solidFill>
              <w14:srgbClr w14:val="000000"/>
            </w14:solidFill>
            <w14:prstDash w14:val="solid"/>
            <w14:miter w14:val="10"/>
          </w14:textOutline>
        </w:rPr>
        <w:t>应急池泄漏后</w:t>
      </w:r>
      <w:r>
        <w:rPr>
          <w:rFonts w:ascii="宋体" w:hAnsi="宋体" w:eastAsia="宋体" w:cs="宋体"/>
          <w:spacing w:val="-55"/>
          <w:sz w:val="24"/>
          <w:szCs w:val="24"/>
        </w:rPr>
        <w:t xml:space="preserve"> </w:t>
      </w:r>
      <w:r>
        <w:rPr>
          <w:rFonts w:ascii="Times New Roman" w:hAnsi="Times New Roman" w:eastAsia="Times New Roman" w:cs="Times New Roman"/>
          <w:b/>
          <w:bCs/>
          <w:spacing w:val="-2"/>
          <w:sz w:val="24"/>
          <w:szCs w:val="24"/>
        </w:rPr>
        <w:t xml:space="preserve">3650d </w:t>
      </w:r>
      <w:r>
        <w:rPr>
          <w:rFonts w:ascii="宋体" w:hAnsi="宋体" w:eastAsia="宋体" w:cs="宋体"/>
          <w:spacing w:val="-2"/>
          <w:sz w:val="24"/>
          <w:szCs w:val="24"/>
          <w14:textOutline w14:w="4354" w14:cap="flat" w14:cmpd="sng">
            <w14:solidFill>
              <w14:srgbClr w14:val="000000"/>
            </w14:solidFill>
            <w14:prstDash w14:val="solid"/>
            <w14:miter w14:val="10"/>
          </w14:textOutline>
        </w:rPr>
        <w:t>水流下游轴向耗氧量（</w:t>
      </w:r>
      <w:r>
        <w:rPr>
          <w:rFonts w:ascii="Times New Roman" w:hAnsi="Times New Roman" w:eastAsia="Times New Roman" w:cs="Times New Roman"/>
          <w:b/>
          <w:bCs/>
          <w:spacing w:val="-2"/>
          <w:sz w:val="24"/>
          <w:szCs w:val="24"/>
        </w:rPr>
        <w:t>COD</w:t>
      </w:r>
      <w:r>
        <w:rPr>
          <w:rFonts w:ascii="Times New Roman" w:hAnsi="Times New Roman" w:eastAsia="Times New Roman" w:cs="Times New Roman"/>
          <w:b/>
          <w:bCs/>
          <w:spacing w:val="-2"/>
          <w:sz w:val="16"/>
          <w:szCs w:val="16"/>
        </w:rPr>
        <w:t xml:space="preserve">Mn </w:t>
      </w:r>
      <w:r>
        <w:rPr>
          <w:rFonts w:ascii="宋体" w:hAnsi="宋体" w:eastAsia="宋体" w:cs="宋体"/>
          <w:spacing w:val="-2"/>
          <w:sz w:val="24"/>
          <w:szCs w:val="24"/>
          <w14:textOutline w14:w="4354" w14:cap="flat" w14:cmpd="sng">
            <w14:solidFill>
              <w14:srgbClr w14:val="000000"/>
            </w14:solidFill>
            <w14:prstDash w14:val="solid"/>
            <w14:miter w14:val="10"/>
          </w14:textOutline>
        </w:rPr>
        <w:t>）浓度变化趋势图</w:t>
      </w:r>
    </w:p>
    <w:p>
      <w:pPr>
        <w:spacing w:line="219" w:lineRule="auto"/>
        <w:rPr>
          <w:rFonts w:ascii="宋体" w:hAnsi="宋体" w:eastAsia="宋体" w:cs="宋体"/>
          <w:sz w:val="24"/>
          <w:szCs w:val="24"/>
        </w:rPr>
        <w:sectPr>
          <w:footerReference r:id="rId181" w:type="default"/>
          <w:pgSz w:w="11907" w:h="16839"/>
          <w:pgMar w:top="400" w:right="1558" w:bottom="1151" w:left="1728" w:header="0" w:footer="988" w:gutter="0"/>
          <w:cols w:space="720" w:num="1"/>
        </w:sectPr>
      </w:pPr>
    </w:p>
    <w:p>
      <w:pPr>
        <w:pStyle w:val="2"/>
        <w:spacing w:line="258" w:lineRule="auto"/>
        <w:rPr>
          <w:sz w:val="21"/>
        </w:rPr>
      </w:pPr>
    </w:p>
    <w:p>
      <w:pPr>
        <w:pStyle w:val="2"/>
        <w:spacing w:line="258" w:lineRule="auto"/>
        <w:rPr>
          <w:sz w:val="21"/>
        </w:rPr>
      </w:pPr>
    </w:p>
    <w:p>
      <w:pPr>
        <w:pStyle w:val="2"/>
        <w:spacing w:line="258" w:lineRule="auto"/>
        <w:rPr>
          <w:sz w:val="21"/>
        </w:rPr>
      </w:pPr>
    </w:p>
    <w:p>
      <w:pPr>
        <w:pStyle w:val="2"/>
        <w:spacing w:line="259" w:lineRule="auto"/>
        <w:rPr>
          <w:sz w:val="21"/>
        </w:rPr>
      </w:pPr>
    </w:p>
    <w:p>
      <w:pPr>
        <w:spacing w:line="5190" w:lineRule="exact"/>
        <w:ind w:firstLine="306"/>
      </w:pPr>
      <w:r>
        <w:rPr>
          <w:position w:val="-103"/>
        </w:rPr>
        <w:drawing>
          <wp:inline distT="0" distB="0" distL="0" distR="0">
            <wp:extent cx="5397500" cy="329565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60"/>
                    <a:stretch>
                      <a:fillRect/>
                    </a:stretch>
                  </pic:blipFill>
                  <pic:spPr>
                    <a:xfrm>
                      <a:off x="0" y="0"/>
                      <a:ext cx="5397500" cy="3295650"/>
                    </a:xfrm>
                    <a:prstGeom prst="rect">
                      <a:avLst/>
                    </a:prstGeom>
                  </pic:spPr>
                </pic:pic>
              </a:graphicData>
            </a:graphic>
          </wp:inline>
        </w:drawing>
      </w:r>
    </w:p>
    <w:p>
      <w:pPr>
        <w:spacing w:before="38" w:line="466" w:lineRule="exact"/>
        <w:ind w:left="512"/>
        <w:rPr>
          <w:rFonts w:ascii="宋体" w:hAnsi="宋体" w:eastAsia="宋体" w:cs="宋体"/>
          <w:sz w:val="24"/>
          <w:szCs w:val="24"/>
        </w:rPr>
      </w:pPr>
      <w:r>
        <w:rPr>
          <w:rFonts w:ascii="宋体" w:hAnsi="宋体" w:eastAsia="宋体" w:cs="宋体"/>
          <w:spacing w:val="-2"/>
          <w:position w:val="17"/>
          <w:sz w:val="24"/>
          <w:szCs w:val="24"/>
          <w14:textOutline w14:w="4354" w14:cap="flat" w14:cmpd="sng">
            <w14:solidFill>
              <w14:srgbClr w14:val="000000"/>
            </w14:solidFill>
            <w14:prstDash w14:val="solid"/>
            <w14:miter w14:val="10"/>
          </w14:textOutline>
        </w:rPr>
        <w:t>图</w:t>
      </w:r>
      <w:r>
        <w:rPr>
          <w:rFonts w:ascii="宋体" w:hAnsi="宋体" w:eastAsia="宋体" w:cs="宋体"/>
          <w:spacing w:val="-42"/>
          <w:position w:val="17"/>
          <w:sz w:val="24"/>
          <w:szCs w:val="24"/>
        </w:rPr>
        <w:t xml:space="preserve"> </w:t>
      </w:r>
      <w:r>
        <w:rPr>
          <w:rFonts w:ascii="Times New Roman" w:hAnsi="Times New Roman" w:eastAsia="Times New Roman" w:cs="Times New Roman"/>
          <w:b/>
          <w:bCs/>
          <w:spacing w:val="-2"/>
          <w:position w:val="17"/>
          <w:sz w:val="24"/>
          <w:szCs w:val="24"/>
        </w:rPr>
        <w:t xml:space="preserve">3.8-4 </w:t>
      </w:r>
      <w:r>
        <w:rPr>
          <w:rFonts w:ascii="宋体" w:hAnsi="宋体" w:eastAsia="宋体" w:cs="宋体"/>
          <w:spacing w:val="-2"/>
          <w:position w:val="17"/>
          <w:sz w:val="24"/>
          <w:szCs w:val="24"/>
          <w14:textOutline w14:w="4354" w14:cap="flat" w14:cmpd="sng">
            <w14:solidFill>
              <w14:srgbClr w14:val="000000"/>
            </w14:solidFill>
            <w14:prstDash w14:val="solid"/>
            <w14:miter w14:val="10"/>
          </w14:textOutline>
        </w:rPr>
        <w:t>应急池泄漏后</w:t>
      </w:r>
      <w:r>
        <w:rPr>
          <w:rFonts w:ascii="宋体" w:hAnsi="宋体" w:eastAsia="宋体" w:cs="宋体"/>
          <w:spacing w:val="-51"/>
          <w:position w:val="17"/>
          <w:sz w:val="24"/>
          <w:szCs w:val="24"/>
        </w:rPr>
        <w:t xml:space="preserve"> </w:t>
      </w:r>
      <w:r>
        <w:rPr>
          <w:rFonts w:ascii="Times New Roman" w:hAnsi="Times New Roman" w:eastAsia="Times New Roman" w:cs="Times New Roman"/>
          <w:b/>
          <w:bCs/>
          <w:spacing w:val="-2"/>
          <w:position w:val="17"/>
          <w:sz w:val="24"/>
          <w:szCs w:val="24"/>
        </w:rPr>
        <w:t xml:space="preserve">7300d </w:t>
      </w:r>
      <w:r>
        <w:rPr>
          <w:rFonts w:ascii="宋体" w:hAnsi="宋体" w:eastAsia="宋体" w:cs="宋体"/>
          <w:spacing w:val="-2"/>
          <w:position w:val="17"/>
          <w:sz w:val="24"/>
          <w:szCs w:val="24"/>
          <w14:textOutline w14:w="4354" w14:cap="flat" w14:cmpd="sng">
            <w14:solidFill>
              <w14:srgbClr w14:val="000000"/>
            </w14:solidFill>
            <w14:prstDash w14:val="solid"/>
            <w14:miter w14:val="10"/>
          </w14:textOutline>
        </w:rPr>
        <w:t>水流下游轴向耗氧量（</w:t>
      </w:r>
      <w:r>
        <w:rPr>
          <w:rFonts w:ascii="Times New Roman" w:hAnsi="Times New Roman" w:eastAsia="Times New Roman" w:cs="Times New Roman"/>
          <w:b/>
          <w:bCs/>
          <w:spacing w:val="-2"/>
          <w:position w:val="17"/>
          <w:sz w:val="24"/>
          <w:szCs w:val="24"/>
        </w:rPr>
        <w:t>COD</w:t>
      </w:r>
      <w:r>
        <w:rPr>
          <w:rFonts w:ascii="Times New Roman" w:hAnsi="Times New Roman" w:eastAsia="Times New Roman" w:cs="Times New Roman"/>
          <w:b/>
          <w:bCs/>
          <w:spacing w:val="-2"/>
          <w:position w:val="17"/>
          <w:sz w:val="16"/>
          <w:szCs w:val="16"/>
        </w:rPr>
        <w:t xml:space="preserve">Mn </w:t>
      </w:r>
      <w:r>
        <w:rPr>
          <w:rFonts w:ascii="宋体" w:hAnsi="宋体" w:eastAsia="宋体" w:cs="宋体"/>
          <w:spacing w:val="-2"/>
          <w:position w:val="17"/>
          <w:sz w:val="24"/>
          <w:szCs w:val="24"/>
          <w14:textOutline w14:w="4354" w14:cap="flat" w14:cmpd="sng">
            <w14:solidFill>
              <w14:srgbClr w14:val="000000"/>
            </w14:solidFill>
            <w14:prstDash w14:val="solid"/>
            <w14:miter w14:val="10"/>
          </w14:textOutline>
        </w:rPr>
        <w:t>）浓度变化趋势图</w:t>
      </w:r>
    </w:p>
    <w:p>
      <w:pPr>
        <w:spacing w:line="219" w:lineRule="auto"/>
        <w:ind w:left="2326"/>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4"/>
          <w:sz w:val="24"/>
          <w:szCs w:val="24"/>
        </w:rPr>
        <w:t xml:space="preserve"> </w:t>
      </w:r>
      <w:r>
        <w:rPr>
          <w:rFonts w:ascii="Times New Roman" w:hAnsi="Times New Roman" w:eastAsia="Times New Roman" w:cs="Times New Roman"/>
          <w:b/>
          <w:bCs/>
          <w:sz w:val="24"/>
          <w:szCs w:val="24"/>
        </w:rPr>
        <w:t xml:space="preserve">3.8-2 </w:t>
      </w:r>
      <w:r>
        <w:rPr>
          <w:rFonts w:ascii="宋体" w:hAnsi="宋体" w:eastAsia="宋体" w:cs="宋体"/>
          <w:sz w:val="24"/>
          <w:szCs w:val="24"/>
          <w14:textOutline w14:w="4354" w14:cap="flat" w14:cmpd="sng">
            <w14:solidFill>
              <w14:srgbClr w14:val="000000"/>
            </w14:solidFill>
            <w14:prstDash w14:val="solid"/>
            <w14:miter w14:val="10"/>
          </w14:textOutline>
        </w:rPr>
        <w:t>应急池石油类泄漏超标及影响范围</w:t>
      </w:r>
    </w:p>
    <w:p>
      <w:pPr>
        <w:spacing w:line="146" w:lineRule="exact"/>
      </w:pPr>
    </w:p>
    <w:tbl>
      <w:tblPr>
        <w:tblStyle w:val="5"/>
        <w:tblW w:w="91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6"/>
        <w:gridCol w:w="1558"/>
        <w:gridCol w:w="1505"/>
        <w:gridCol w:w="1505"/>
        <w:gridCol w:w="1675"/>
        <w:gridCol w:w="13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36" w:type="dxa"/>
            <w:tcBorders>
              <w:top w:val="single" w:color="000000" w:sz="10" w:space="0"/>
              <w:left w:val="nil"/>
            </w:tcBorders>
            <w:vAlign w:val="top"/>
          </w:tcPr>
          <w:p>
            <w:pPr>
              <w:pStyle w:val="6"/>
              <w:spacing w:before="86" w:line="221" w:lineRule="auto"/>
              <w:ind w:left="252"/>
              <w:rPr>
                <w:sz w:val="21"/>
                <w:szCs w:val="21"/>
              </w:rPr>
            </w:pPr>
            <w:r>
              <w:rPr>
                <w:spacing w:val="-2"/>
                <w:sz w:val="21"/>
                <w:szCs w:val="21"/>
              </w:rPr>
              <w:t>污染源总量</w:t>
            </w:r>
          </w:p>
          <w:p>
            <w:pPr>
              <w:spacing w:before="95" w:line="191"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(kg)</w:t>
            </w:r>
          </w:p>
        </w:tc>
        <w:tc>
          <w:tcPr>
            <w:tcW w:w="1558" w:type="dxa"/>
            <w:tcBorders>
              <w:top w:val="single" w:color="000000" w:sz="10" w:space="0"/>
            </w:tcBorders>
            <w:vAlign w:val="top"/>
          </w:tcPr>
          <w:p>
            <w:pPr>
              <w:pStyle w:val="6"/>
              <w:spacing w:before="242" w:line="214" w:lineRule="auto"/>
              <w:ind w:left="117"/>
              <w:rPr>
                <w:sz w:val="21"/>
                <w:szCs w:val="21"/>
              </w:rPr>
            </w:pPr>
            <w:r>
              <w:rPr>
                <w:spacing w:val="-2"/>
                <w:sz w:val="21"/>
                <w:szCs w:val="21"/>
              </w:rPr>
              <w:t>模拟时间</w:t>
            </w:r>
            <w:r>
              <w:rPr>
                <w:rFonts w:ascii="Times New Roman" w:hAnsi="Times New Roman" w:eastAsia="Times New Roman" w:cs="Times New Roman"/>
                <w:spacing w:val="-2"/>
                <w:sz w:val="21"/>
                <w:szCs w:val="21"/>
              </w:rPr>
              <w:t>(</w:t>
            </w:r>
            <w:r>
              <w:rPr>
                <w:spacing w:val="-2"/>
                <w:sz w:val="21"/>
                <w:szCs w:val="21"/>
              </w:rPr>
              <w:t>天）</w:t>
            </w:r>
          </w:p>
        </w:tc>
        <w:tc>
          <w:tcPr>
            <w:tcW w:w="1505" w:type="dxa"/>
            <w:tcBorders>
              <w:top w:val="single" w:color="000000" w:sz="10" w:space="0"/>
            </w:tcBorders>
            <w:vAlign w:val="top"/>
          </w:tcPr>
          <w:p>
            <w:pPr>
              <w:pStyle w:val="6"/>
              <w:spacing w:before="85" w:line="221" w:lineRule="auto"/>
              <w:ind w:left="130"/>
              <w:rPr>
                <w:sz w:val="21"/>
                <w:szCs w:val="21"/>
              </w:rPr>
            </w:pPr>
            <w:r>
              <w:rPr>
                <w:spacing w:val="-2"/>
                <w:sz w:val="21"/>
                <w:szCs w:val="21"/>
              </w:rPr>
              <w:t>最大污染距离</w:t>
            </w:r>
          </w:p>
          <w:p>
            <w:pPr>
              <w:spacing w:before="96" w:line="191"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505" w:type="dxa"/>
            <w:tcBorders>
              <w:top w:val="single" w:color="000000" w:sz="10" w:space="0"/>
            </w:tcBorders>
            <w:vAlign w:val="top"/>
          </w:tcPr>
          <w:p>
            <w:pPr>
              <w:pStyle w:val="6"/>
              <w:spacing w:before="86" w:line="221" w:lineRule="auto"/>
              <w:ind w:left="145"/>
              <w:rPr>
                <w:sz w:val="21"/>
                <w:szCs w:val="21"/>
              </w:rPr>
            </w:pPr>
            <w:r>
              <w:rPr>
                <w:spacing w:val="-5"/>
                <w:sz w:val="21"/>
                <w:szCs w:val="21"/>
              </w:rPr>
              <w:t>中心迁移距离</w:t>
            </w:r>
          </w:p>
          <w:p>
            <w:pPr>
              <w:spacing w:before="95" w:line="191"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675" w:type="dxa"/>
            <w:tcBorders>
              <w:top w:val="single" w:color="000000" w:sz="10" w:space="0"/>
            </w:tcBorders>
            <w:vAlign w:val="top"/>
          </w:tcPr>
          <w:p>
            <w:pPr>
              <w:pStyle w:val="6"/>
              <w:spacing w:before="86" w:line="221" w:lineRule="auto"/>
              <w:ind w:left="232"/>
              <w:rPr>
                <w:sz w:val="21"/>
                <w:szCs w:val="21"/>
              </w:rPr>
            </w:pPr>
            <w:r>
              <w:rPr>
                <w:spacing w:val="-5"/>
                <w:sz w:val="21"/>
                <w:szCs w:val="21"/>
              </w:rPr>
              <w:t>中心点处浓度</w:t>
            </w:r>
          </w:p>
          <w:p>
            <w:pPr>
              <w:spacing w:before="95" w:line="191"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c>
          <w:tcPr>
            <w:tcW w:w="1337" w:type="dxa"/>
            <w:tcBorders>
              <w:top w:val="single" w:color="000000" w:sz="10" w:space="0"/>
              <w:right w:val="nil"/>
            </w:tcBorders>
            <w:vAlign w:val="top"/>
          </w:tcPr>
          <w:p>
            <w:pPr>
              <w:pStyle w:val="6"/>
              <w:spacing w:before="119" w:line="226" w:lineRule="auto"/>
              <w:ind w:left="375" w:right="246" w:hanging="121"/>
              <w:rPr>
                <w:rFonts w:ascii="Times New Roman" w:hAnsi="Times New Roman" w:eastAsia="Times New Roman" w:cs="Times New Roman"/>
                <w:sz w:val="21"/>
                <w:szCs w:val="21"/>
              </w:rPr>
            </w:pPr>
            <w:r>
              <w:rPr>
                <w:spacing w:val="-2"/>
                <w:sz w:val="21"/>
                <w:szCs w:val="21"/>
              </w:rPr>
              <w:t>标准限值</w:t>
            </w:r>
            <w:r>
              <w:rPr>
                <w:sz w:val="21"/>
                <w:szCs w:val="21"/>
              </w:rPr>
              <w:t xml:space="preserve"> </w:t>
            </w:r>
            <w:r>
              <w:rPr>
                <w:rFonts w:ascii="Times New Roman" w:hAnsi="Times New Roman" w:eastAsia="Times New Roman" w:cs="Times New Roman"/>
                <w:spacing w:val="-2"/>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36" w:type="dxa"/>
            <w:vMerge w:val="restart"/>
            <w:tcBorders>
              <w:left w:val="nil"/>
              <w:bottom w:val="nil"/>
            </w:tcBorders>
            <w:vAlign w:val="top"/>
          </w:tcPr>
          <w:p>
            <w:pPr>
              <w:spacing w:line="257" w:lineRule="auto"/>
              <w:rPr>
                <w:rFonts w:ascii="Arial"/>
                <w:sz w:val="21"/>
              </w:rPr>
            </w:pPr>
          </w:p>
          <w:p>
            <w:pPr>
              <w:spacing w:line="258" w:lineRule="auto"/>
              <w:rPr>
                <w:rFonts w:ascii="Arial"/>
                <w:sz w:val="21"/>
              </w:rPr>
            </w:pPr>
          </w:p>
          <w:p>
            <w:pPr>
              <w:spacing w:before="60" w:line="189"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0.891</w:t>
            </w:r>
          </w:p>
        </w:tc>
        <w:tc>
          <w:tcPr>
            <w:tcW w:w="1558" w:type="dxa"/>
            <w:vAlign w:val="top"/>
          </w:tcPr>
          <w:p>
            <w:pPr>
              <w:spacing w:before="98" w:line="187" w:lineRule="auto"/>
              <w:ind w:left="64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505" w:type="dxa"/>
            <w:vAlign w:val="top"/>
          </w:tcPr>
          <w:p>
            <w:pPr>
              <w:spacing w:before="91" w:line="189" w:lineRule="auto"/>
              <w:ind w:left="66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18</w:t>
            </w:r>
          </w:p>
        </w:tc>
        <w:tc>
          <w:tcPr>
            <w:tcW w:w="1505" w:type="dxa"/>
            <w:vAlign w:val="top"/>
          </w:tcPr>
          <w:p>
            <w:pPr>
              <w:spacing w:before="91" w:line="189" w:lineRule="auto"/>
              <w:ind w:left="6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w:t>
            </w:r>
          </w:p>
        </w:tc>
        <w:tc>
          <w:tcPr>
            <w:tcW w:w="1675" w:type="dxa"/>
            <w:vAlign w:val="top"/>
          </w:tcPr>
          <w:p>
            <w:pPr>
              <w:spacing w:before="91" w:line="189" w:lineRule="auto"/>
              <w:ind w:left="6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8.62</w:t>
            </w:r>
          </w:p>
        </w:tc>
        <w:tc>
          <w:tcPr>
            <w:tcW w:w="1337" w:type="dxa"/>
            <w:vMerge w:val="restart"/>
            <w:tcBorders>
              <w:bottom w:val="nil"/>
              <w:right w:val="nil"/>
            </w:tcBorders>
            <w:vAlign w:val="top"/>
          </w:tcPr>
          <w:p>
            <w:pPr>
              <w:spacing w:line="257" w:lineRule="auto"/>
              <w:rPr>
                <w:rFonts w:ascii="Arial"/>
                <w:sz w:val="21"/>
              </w:rPr>
            </w:pPr>
          </w:p>
          <w:p>
            <w:pPr>
              <w:spacing w:line="258" w:lineRule="auto"/>
              <w:rPr>
                <w:rFonts w:ascii="Arial"/>
                <w:sz w:val="21"/>
              </w:rPr>
            </w:pPr>
          </w:p>
          <w:p>
            <w:pPr>
              <w:spacing w:before="60" w:line="189"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36" w:type="dxa"/>
            <w:vMerge w:val="continue"/>
            <w:tcBorders>
              <w:top w:val="nil"/>
              <w:left w:val="nil"/>
              <w:bottom w:val="nil"/>
            </w:tcBorders>
            <w:vAlign w:val="top"/>
          </w:tcPr>
          <w:p>
            <w:pPr>
              <w:rPr>
                <w:rFonts w:ascii="Arial"/>
                <w:sz w:val="21"/>
              </w:rPr>
            </w:pPr>
          </w:p>
        </w:tc>
        <w:tc>
          <w:tcPr>
            <w:tcW w:w="1558" w:type="dxa"/>
            <w:vAlign w:val="top"/>
          </w:tcPr>
          <w:p>
            <w:pPr>
              <w:spacing w:before="102" w:line="187" w:lineRule="auto"/>
              <w:ind w:left="58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505" w:type="dxa"/>
            <w:vAlign w:val="top"/>
          </w:tcPr>
          <w:p>
            <w:pPr>
              <w:spacing w:before="96" w:line="189" w:lineRule="auto"/>
              <w:ind w:left="64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51</w:t>
            </w:r>
          </w:p>
        </w:tc>
        <w:tc>
          <w:tcPr>
            <w:tcW w:w="1505" w:type="dxa"/>
            <w:vAlign w:val="top"/>
          </w:tcPr>
          <w:p>
            <w:pPr>
              <w:spacing w:before="96" w:line="189" w:lineRule="auto"/>
              <w:ind w:left="66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w:t>
            </w:r>
          </w:p>
        </w:tc>
        <w:tc>
          <w:tcPr>
            <w:tcW w:w="1675" w:type="dxa"/>
            <w:vAlign w:val="top"/>
          </w:tcPr>
          <w:p>
            <w:pPr>
              <w:spacing w:before="96" w:line="189" w:lineRule="auto"/>
              <w:ind w:left="6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0.86</w:t>
            </w:r>
          </w:p>
        </w:tc>
        <w:tc>
          <w:tcPr>
            <w:tcW w:w="133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36" w:type="dxa"/>
            <w:vMerge w:val="continue"/>
            <w:tcBorders>
              <w:top w:val="nil"/>
              <w:left w:val="nil"/>
              <w:bottom w:val="nil"/>
            </w:tcBorders>
            <w:vAlign w:val="top"/>
          </w:tcPr>
          <w:p>
            <w:pPr>
              <w:rPr>
                <w:rFonts w:ascii="Arial"/>
                <w:sz w:val="21"/>
              </w:rPr>
            </w:pPr>
          </w:p>
        </w:tc>
        <w:tc>
          <w:tcPr>
            <w:tcW w:w="1558" w:type="dxa"/>
            <w:vAlign w:val="top"/>
          </w:tcPr>
          <w:p>
            <w:pPr>
              <w:spacing w:before="109" w:line="187"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3650</w:t>
            </w:r>
          </w:p>
        </w:tc>
        <w:tc>
          <w:tcPr>
            <w:tcW w:w="1505" w:type="dxa"/>
            <w:vAlign w:val="top"/>
          </w:tcPr>
          <w:p>
            <w:pPr>
              <w:spacing w:before="103" w:line="189" w:lineRule="auto"/>
              <w:ind w:left="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102</w:t>
            </w:r>
          </w:p>
        </w:tc>
        <w:tc>
          <w:tcPr>
            <w:tcW w:w="1505" w:type="dxa"/>
            <w:vAlign w:val="top"/>
          </w:tcPr>
          <w:p>
            <w:pPr>
              <w:spacing w:before="103" w:line="189" w:lineRule="auto"/>
              <w:ind w:left="5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47.45</w:t>
            </w:r>
          </w:p>
        </w:tc>
        <w:tc>
          <w:tcPr>
            <w:tcW w:w="1675" w:type="dxa"/>
            <w:vAlign w:val="top"/>
          </w:tcPr>
          <w:p>
            <w:pPr>
              <w:spacing w:before="103" w:line="189" w:lineRule="auto"/>
              <w:ind w:left="6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w:t>
            </w:r>
          </w:p>
        </w:tc>
        <w:tc>
          <w:tcPr>
            <w:tcW w:w="133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36" w:type="dxa"/>
            <w:vMerge w:val="continue"/>
            <w:tcBorders>
              <w:top w:val="nil"/>
              <w:left w:val="nil"/>
              <w:bottom w:val="single" w:color="000000" w:sz="10" w:space="0"/>
            </w:tcBorders>
            <w:vAlign w:val="top"/>
          </w:tcPr>
          <w:p>
            <w:pPr>
              <w:rPr>
                <w:rFonts w:ascii="Arial"/>
                <w:sz w:val="21"/>
              </w:rPr>
            </w:pPr>
          </w:p>
        </w:tc>
        <w:tc>
          <w:tcPr>
            <w:tcW w:w="1558" w:type="dxa"/>
            <w:tcBorders>
              <w:bottom w:val="single" w:color="000000" w:sz="10" w:space="0"/>
            </w:tcBorders>
            <w:vAlign w:val="top"/>
          </w:tcPr>
          <w:p>
            <w:pPr>
              <w:spacing w:before="111" w:line="187" w:lineRule="auto"/>
              <w:ind w:left="5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7300</w:t>
            </w:r>
          </w:p>
        </w:tc>
        <w:tc>
          <w:tcPr>
            <w:tcW w:w="1505" w:type="dxa"/>
            <w:tcBorders>
              <w:bottom w:val="single" w:color="000000" w:sz="10" w:space="0"/>
            </w:tcBorders>
            <w:vAlign w:val="top"/>
          </w:tcPr>
          <w:p>
            <w:pPr>
              <w:spacing w:before="105" w:line="189" w:lineRule="auto"/>
              <w:ind w:left="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152</w:t>
            </w:r>
          </w:p>
        </w:tc>
        <w:tc>
          <w:tcPr>
            <w:tcW w:w="1505" w:type="dxa"/>
            <w:tcBorders>
              <w:bottom w:val="single" w:color="000000" w:sz="10" w:space="0"/>
            </w:tcBorders>
            <w:vAlign w:val="top"/>
          </w:tcPr>
          <w:p>
            <w:pPr>
              <w:spacing w:before="105" w:line="189" w:lineRule="auto"/>
              <w:ind w:left="5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94.9</w:t>
            </w:r>
          </w:p>
        </w:tc>
        <w:tc>
          <w:tcPr>
            <w:tcW w:w="1675" w:type="dxa"/>
            <w:tcBorders>
              <w:bottom w:val="single" w:color="000000" w:sz="10" w:space="0"/>
            </w:tcBorders>
            <w:vAlign w:val="top"/>
          </w:tcPr>
          <w:p>
            <w:pPr>
              <w:spacing w:before="105" w:line="189" w:lineRule="auto"/>
              <w:ind w:left="65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0.11</w:t>
            </w:r>
          </w:p>
        </w:tc>
        <w:tc>
          <w:tcPr>
            <w:tcW w:w="1337" w:type="dxa"/>
            <w:vMerge w:val="continue"/>
            <w:tcBorders>
              <w:top w:val="nil"/>
              <w:bottom w:val="single" w:color="000000" w:sz="10" w:space="0"/>
              <w:right w:val="nil"/>
            </w:tcBorders>
            <w:vAlign w:val="top"/>
          </w:tcPr>
          <w:p>
            <w:pPr>
              <w:rPr>
                <w:rFonts w:ascii="Arial"/>
                <w:sz w:val="21"/>
              </w:rPr>
            </w:pPr>
          </w:p>
        </w:tc>
      </w:tr>
    </w:tbl>
    <w:p>
      <w:pPr>
        <w:spacing w:before="66" w:line="5170" w:lineRule="exact"/>
        <w:ind w:firstLine="296"/>
      </w:pPr>
      <w:r>
        <w:rPr>
          <w:position w:val="-103"/>
        </w:rPr>
        <w:drawing>
          <wp:inline distT="0" distB="0" distL="0" distR="0">
            <wp:extent cx="5410200" cy="328295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61"/>
                    <a:stretch>
                      <a:fillRect/>
                    </a:stretch>
                  </pic:blipFill>
                  <pic:spPr>
                    <a:xfrm>
                      <a:off x="0" y="0"/>
                      <a:ext cx="5410200" cy="3282950"/>
                    </a:xfrm>
                    <a:prstGeom prst="rect">
                      <a:avLst/>
                    </a:prstGeom>
                  </pic:spPr>
                </pic:pic>
              </a:graphicData>
            </a:graphic>
          </wp:inline>
        </w:drawing>
      </w:r>
    </w:p>
    <w:p>
      <w:pPr>
        <w:spacing w:before="104" w:line="219" w:lineRule="auto"/>
        <w:ind w:left="141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 xml:space="preserve">3.8-5      </w:t>
      </w:r>
      <w:r>
        <w:rPr>
          <w:rFonts w:ascii="宋体" w:hAnsi="宋体" w:eastAsia="宋体" w:cs="宋体"/>
          <w:spacing w:val="-1"/>
          <w:sz w:val="24"/>
          <w:szCs w:val="24"/>
          <w14:textOutline w14:w="4354" w14:cap="flat" w14:cmpd="sng">
            <w14:solidFill>
              <w14:srgbClr w14:val="000000"/>
            </w14:solidFill>
            <w14:prstDash w14:val="solid"/>
            <w14:miter w14:val="10"/>
          </w14:textOutline>
        </w:rPr>
        <w:t>污染后</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100d </w:t>
      </w:r>
      <w:r>
        <w:rPr>
          <w:rFonts w:ascii="宋体" w:hAnsi="宋体" w:eastAsia="宋体" w:cs="宋体"/>
          <w:spacing w:val="-1"/>
          <w:sz w:val="24"/>
          <w:szCs w:val="24"/>
          <w14:textOutline w14:w="4354" w14:cap="flat" w14:cmpd="sng">
            <w14:solidFill>
              <w14:srgbClr w14:val="000000"/>
            </w14:solidFill>
            <w14:prstDash w14:val="solid"/>
            <w14:miter w14:val="10"/>
          </w14:textOutline>
        </w:rPr>
        <w:t>水流下游轴向石油类浓度变化趋</w:t>
      </w:r>
      <w:r>
        <w:rPr>
          <w:rFonts w:ascii="宋体" w:hAnsi="宋体" w:eastAsia="宋体" w:cs="宋体"/>
          <w:spacing w:val="-2"/>
          <w:sz w:val="24"/>
          <w:szCs w:val="24"/>
          <w14:textOutline w14:w="4354" w14:cap="flat" w14:cmpd="sng">
            <w14:solidFill>
              <w14:srgbClr w14:val="000000"/>
            </w14:solidFill>
            <w14:prstDash w14:val="solid"/>
            <w14:miter w14:val="10"/>
          </w14:textOutline>
        </w:rPr>
        <w:t>势图</w:t>
      </w:r>
    </w:p>
    <w:p>
      <w:pPr>
        <w:spacing w:line="219" w:lineRule="auto"/>
        <w:rPr>
          <w:rFonts w:ascii="宋体" w:hAnsi="宋体" w:eastAsia="宋体" w:cs="宋体"/>
          <w:sz w:val="24"/>
          <w:szCs w:val="24"/>
        </w:rPr>
        <w:sectPr>
          <w:footerReference r:id="rId182" w:type="default"/>
          <w:pgSz w:w="11907" w:h="16839"/>
          <w:pgMar w:top="400" w:right="1308" w:bottom="1151" w:left="1481" w:header="0" w:footer="988" w:gutter="0"/>
          <w:cols w:space="720" w:num="1"/>
        </w:sectPr>
      </w:pPr>
    </w:p>
    <w:p>
      <w:pPr>
        <w:pStyle w:val="2"/>
        <w:spacing w:line="275" w:lineRule="auto"/>
        <w:rPr>
          <w:sz w:val="21"/>
        </w:rPr>
      </w:pPr>
    </w:p>
    <w:p>
      <w:pPr>
        <w:pStyle w:val="2"/>
        <w:spacing w:line="275" w:lineRule="auto"/>
        <w:rPr>
          <w:sz w:val="21"/>
        </w:rPr>
      </w:pPr>
    </w:p>
    <w:p>
      <w:pPr>
        <w:pStyle w:val="2"/>
        <w:spacing w:line="275" w:lineRule="auto"/>
        <w:rPr>
          <w:sz w:val="21"/>
        </w:rPr>
      </w:pPr>
    </w:p>
    <w:p>
      <w:pPr>
        <w:pStyle w:val="2"/>
        <w:spacing w:line="275" w:lineRule="auto"/>
        <w:rPr>
          <w:sz w:val="21"/>
        </w:rPr>
      </w:pPr>
    </w:p>
    <w:p>
      <w:pPr>
        <w:spacing w:line="5170" w:lineRule="exact"/>
      </w:pPr>
      <w:r>
        <w:rPr>
          <w:position w:val="-103"/>
        </w:rPr>
        <w:drawing>
          <wp:inline distT="0" distB="0" distL="0" distR="0">
            <wp:extent cx="5454650" cy="32829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62"/>
                    <a:stretch>
                      <a:fillRect/>
                    </a:stretch>
                  </pic:blipFill>
                  <pic:spPr>
                    <a:xfrm>
                      <a:off x="0" y="0"/>
                      <a:ext cx="5454650" cy="3282950"/>
                    </a:xfrm>
                    <a:prstGeom prst="rect">
                      <a:avLst/>
                    </a:prstGeom>
                  </pic:spPr>
                </pic:pic>
              </a:graphicData>
            </a:graphic>
          </wp:inline>
        </w:drawing>
      </w:r>
    </w:p>
    <w:p>
      <w:pPr>
        <w:spacing w:before="104" w:line="211" w:lineRule="auto"/>
        <w:ind w:left="1151"/>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 xml:space="preserve">3.8-6    </w:t>
      </w:r>
      <w:r>
        <w:rPr>
          <w:rFonts w:ascii="宋体" w:hAnsi="宋体" w:eastAsia="宋体" w:cs="宋体"/>
          <w:spacing w:val="-1"/>
          <w:sz w:val="24"/>
          <w:szCs w:val="24"/>
          <w14:textOutline w14:w="4354" w14:cap="flat" w14:cmpd="sng">
            <w14:solidFill>
              <w14:srgbClr w14:val="000000"/>
            </w14:solidFill>
            <w14:prstDash w14:val="solid"/>
            <w14:miter w14:val="10"/>
          </w14:textOutline>
        </w:rPr>
        <w:t>污染后</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1000d </w:t>
      </w:r>
      <w:r>
        <w:rPr>
          <w:rFonts w:ascii="宋体" w:hAnsi="宋体" w:eastAsia="宋体" w:cs="宋体"/>
          <w:spacing w:val="-1"/>
          <w:sz w:val="24"/>
          <w:szCs w:val="24"/>
          <w14:textOutline w14:w="4354" w14:cap="flat" w14:cmpd="sng">
            <w14:solidFill>
              <w14:srgbClr w14:val="000000"/>
            </w14:solidFill>
            <w14:prstDash w14:val="solid"/>
            <w14:miter w14:val="10"/>
          </w14:textOutline>
        </w:rPr>
        <w:t>水流下游轴向石油类浓度变化</w:t>
      </w:r>
      <w:r>
        <w:rPr>
          <w:rFonts w:ascii="宋体" w:hAnsi="宋体" w:eastAsia="宋体" w:cs="宋体"/>
          <w:spacing w:val="-2"/>
          <w:sz w:val="24"/>
          <w:szCs w:val="24"/>
          <w14:textOutline w14:w="4354" w14:cap="flat" w14:cmpd="sng">
            <w14:solidFill>
              <w14:srgbClr w14:val="000000"/>
            </w14:solidFill>
            <w14:prstDash w14:val="solid"/>
            <w14:miter w14:val="10"/>
          </w14:textOutline>
        </w:rPr>
        <w:t>趋势图</w:t>
      </w:r>
    </w:p>
    <w:p>
      <w:pPr>
        <w:spacing w:line="5198" w:lineRule="exact"/>
        <w:ind w:firstLine="45"/>
      </w:pPr>
      <w:r>
        <w:rPr>
          <w:position w:val="-103"/>
        </w:rPr>
        <w:drawing>
          <wp:inline distT="0" distB="0" distL="0" distR="0">
            <wp:extent cx="5397500" cy="330073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63"/>
                    <a:stretch>
                      <a:fillRect/>
                    </a:stretch>
                  </pic:blipFill>
                  <pic:spPr>
                    <a:xfrm>
                      <a:off x="0" y="0"/>
                      <a:ext cx="5397500" cy="3300983"/>
                    </a:xfrm>
                    <a:prstGeom prst="rect">
                      <a:avLst/>
                    </a:prstGeom>
                  </pic:spPr>
                </pic:pic>
              </a:graphicData>
            </a:graphic>
          </wp:inline>
        </w:drawing>
      </w:r>
    </w:p>
    <w:p>
      <w:pPr>
        <w:spacing w:before="37" w:line="219" w:lineRule="auto"/>
        <w:ind w:left="1151"/>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图</w:t>
      </w:r>
      <w:r>
        <w:rPr>
          <w:rFonts w:ascii="宋体" w:hAnsi="宋体" w:eastAsia="宋体" w:cs="宋体"/>
          <w:spacing w:val="-45"/>
          <w:sz w:val="24"/>
          <w:szCs w:val="24"/>
        </w:rPr>
        <w:t xml:space="preserve"> </w:t>
      </w:r>
      <w:r>
        <w:rPr>
          <w:rFonts w:ascii="Times New Roman" w:hAnsi="Times New Roman" w:eastAsia="Times New Roman" w:cs="Times New Roman"/>
          <w:b/>
          <w:bCs/>
          <w:spacing w:val="-1"/>
          <w:sz w:val="24"/>
          <w:szCs w:val="24"/>
        </w:rPr>
        <w:t xml:space="preserve">3.8-7    </w:t>
      </w:r>
      <w:r>
        <w:rPr>
          <w:rFonts w:ascii="宋体" w:hAnsi="宋体" w:eastAsia="宋体" w:cs="宋体"/>
          <w:spacing w:val="-1"/>
          <w:sz w:val="24"/>
          <w:szCs w:val="24"/>
          <w14:textOutline w14:w="4354" w14:cap="flat" w14:cmpd="sng">
            <w14:solidFill>
              <w14:srgbClr w14:val="000000"/>
            </w14:solidFill>
            <w14:prstDash w14:val="solid"/>
            <w14:miter w14:val="10"/>
          </w14:textOutline>
        </w:rPr>
        <w:t>污染后</w:t>
      </w:r>
      <w:r>
        <w:rPr>
          <w:rFonts w:ascii="宋体" w:hAnsi="宋体" w:eastAsia="宋体" w:cs="宋体"/>
          <w:spacing w:val="-53"/>
          <w:sz w:val="24"/>
          <w:szCs w:val="24"/>
        </w:rPr>
        <w:t xml:space="preserve"> </w:t>
      </w:r>
      <w:r>
        <w:rPr>
          <w:rFonts w:ascii="Times New Roman" w:hAnsi="Times New Roman" w:eastAsia="Times New Roman" w:cs="Times New Roman"/>
          <w:b/>
          <w:bCs/>
          <w:spacing w:val="-1"/>
          <w:sz w:val="24"/>
          <w:szCs w:val="24"/>
        </w:rPr>
        <w:t xml:space="preserve">3650d </w:t>
      </w:r>
      <w:r>
        <w:rPr>
          <w:rFonts w:ascii="宋体" w:hAnsi="宋体" w:eastAsia="宋体" w:cs="宋体"/>
          <w:spacing w:val="-1"/>
          <w:sz w:val="24"/>
          <w:szCs w:val="24"/>
          <w14:textOutline w14:w="4354" w14:cap="flat" w14:cmpd="sng">
            <w14:solidFill>
              <w14:srgbClr w14:val="000000"/>
            </w14:solidFill>
            <w14:prstDash w14:val="solid"/>
            <w14:miter w14:val="10"/>
          </w14:textOutline>
        </w:rPr>
        <w:t>水流下游轴向石油类浓度变化趋势图</w:t>
      </w:r>
    </w:p>
    <w:p>
      <w:pPr>
        <w:spacing w:line="219" w:lineRule="auto"/>
        <w:rPr>
          <w:rFonts w:ascii="宋体" w:hAnsi="宋体" w:eastAsia="宋体" w:cs="宋体"/>
          <w:sz w:val="24"/>
          <w:szCs w:val="24"/>
        </w:rPr>
        <w:sectPr>
          <w:footerReference r:id="rId183" w:type="default"/>
          <w:pgSz w:w="11907" w:h="16839"/>
          <w:pgMar w:top="400" w:right="1573" w:bottom="1151" w:left="1743" w:header="0" w:footer="988" w:gutter="0"/>
          <w:cols w:space="720" w:num="1"/>
        </w:sectPr>
      </w:pPr>
    </w:p>
    <w:p>
      <w:pPr>
        <w:pStyle w:val="2"/>
        <w:spacing w:line="258" w:lineRule="auto"/>
        <w:rPr>
          <w:sz w:val="21"/>
        </w:rPr>
      </w:pPr>
    </w:p>
    <w:p>
      <w:pPr>
        <w:pStyle w:val="2"/>
        <w:spacing w:line="258" w:lineRule="auto"/>
        <w:rPr>
          <w:sz w:val="21"/>
        </w:rPr>
      </w:pPr>
    </w:p>
    <w:p>
      <w:pPr>
        <w:pStyle w:val="2"/>
        <w:spacing w:line="258" w:lineRule="auto"/>
        <w:rPr>
          <w:sz w:val="21"/>
        </w:rPr>
      </w:pPr>
    </w:p>
    <w:p>
      <w:pPr>
        <w:pStyle w:val="2"/>
        <w:spacing w:line="259" w:lineRule="auto"/>
        <w:rPr>
          <w:sz w:val="21"/>
        </w:rPr>
      </w:pPr>
    </w:p>
    <w:p>
      <w:pPr>
        <w:spacing w:line="5200" w:lineRule="exact"/>
        <w:ind w:firstLine="291"/>
      </w:pPr>
      <w:r>
        <w:rPr>
          <w:position w:val="-104"/>
        </w:rPr>
        <w:drawing>
          <wp:inline distT="0" distB="0" distL="0" distR="0">
            <wp:extent cx="5416550" cy="330200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64"/>
                    <a:stretch>
                      <a:fillRect/>
                    </a:stretch>
                  </pic:blipFill>
                  <pic:spPr>
                    <a:xfrm>
                      <a:off x="0" y="0"/>
                      <a:ext cx="5416550" cy="3302000"/>
                    </a:xfrm>
                    <a:prstGeom prst="rect">
                      <a:avLst/>
                    </a:prstGeom>
                  </pic:spPr>
                </pic:pic>
              </a:graphicData>
            </a:graphic>
          </wp:inline>
        </w:drawing>
      </w:r>
    </w:p>
    <w:p>
      <w:pPr>
        <w:spacing w:before="38" w:line="465" w:lineRule="exact"/>
        <w:ind w:left="1412"/>
        <w:rPr>
          <w:rFonts w:ascii="宋体" w:hAnsi="宋体" w:eastAsia="宋体" w:cs="宋体"/>
          <w:sz w:val="24"/>
          <w:szCs w:val="24"/>
        </w:rPr>
      </w:pPr>
      <w:r>
        <w:rPr>
          <w:rFonts w:ascii="宋体" w:hAnsi="宋体" w:eastAsia="宋体" w:cs="宋体"/>
          <w:spacing w:val="-1"/>
          <w:position w:val="17"/>
          <w:sz w:val="24"/>
          <w:szCs w:val="24"/>
          <w14:textOutline w14:w="4354" w14:cap="flat" w14:cmpd="sng">
            <w14:solidFill>
              <w14:srgbClr w14:val="000000"/>
            </w14:solidFill>
            <w14:prstDash w14:val="solid"/>
            <w14:miter w14:val="10"/>
          </w14:textOutline>
        </w:rPr>
        <w:t>图</w:t>
      </w:r>
      <w:r>
        <w:rPr>
          <w:rFonts w:ascii="宋体" w:hAnsi="宋体" w:eastAsia="宋体" w:cs="宋体"/>
          <w:spacing w:val="-50"/>
          <w:position w:val="17"/>
          <w:sz w:val="24"/>
          <w:szCs w:val="24"/>
        </w:rPr>
        <w:t xml:space="preserve"> </w:t>
      </w:r>
      <w:r>
        <w:rPr>
          <w:rFonts w:ascii="Times New Roman" w:hAnsi="Times New Roman" w:eastAsia="Times New Roman" w:cs="Times New Roman"/>
          <w:b/>
          <w:bCs/>
          <w:spacing w:val="-1"/>
          <w:position w:val="17"/>
          <w:sz w:val="24"/>
          <w:szCs w:val="24"/>
        </w:rPr>
        <w:t xml:space="preserve">3.8-8    </w:t>
      </w:r>
      <w:r>
        <w:rPr>
          <w:rFonts w:ascii="宋体" w:hAnsi="宋体" w:eastAsia="宋体" w:cs="宋体"/>
          <w:spacing w:val="-1"/>
          <w:position w:val="17"/>
          <w:sz w:val="24"/>
          <w:szCs w:val="24"/>
          <w14:textOutline w14:w="4354" w14:cap="flat" w14:cmpd="sng">
            <w14:solidFill>
              <w14:srgbClr w14:val="000000"/>
            </w14:solidFill>
            <w14:prstDash w14:val="solid"/>
            <w14:miter w14:val="10"/>
          </w14:textOutline>
        </w:rPr>
        <w:t>污染后</w:t>
      </w:r>
      <w:r>
        <w:rPr>
          <w:rFonts w:ascii="宋体" w:hAnsi="宋体" w:eastAsia="宋体" w:cs="宋体"/>
          <w:spacing w:val="-48"/>
          <w:position w:val="17"/>
          <w:sz w:val="24"/>
          <w:szCs w:val="24"/>
        </w:rPr>
        <w:t xml:space="preserve"> </w:t>
      </w:r>
      <w:r>
        <w:rPr>
          <w:rFonts w:ascii="Times New Roman" w:hAnsi="Times New Roman" w:eastAsia="Times New Roman" w:cs="Times New Roman"/>
          <w:b/>
          <w:bCs/>
          <w:spacing w:val="-1"/>
          <w:position w:val="17"/>
          <w:sz w:val="24"/>
          <w:szCs w:val="24"/>
        </w:rPr>
        <w:t xml:space="preserve">7300d </w:t>
      </w:r>
      <w:r>
        <w:rPr>
          <w:rFonts w:ascii="宋体" w:hAnsi="宋体" w:eastAsia="宋体" w:cs="宋体"/>
          <w:spacing w:val="-1"/>
          <w:position w:val="17"/>
          <w:sz w:val="24"/>
          <w:szCs w:val="24"/>
          <w14:textOutline w14:w="4354" w14:cap="flat" w14:cmpd="sng">
            <w14:solidFill>
              <w14:srgbClr w14:val="000000"/>
            </w14:solidFill>
            <w14:prstDash w14:val="solid"/>
            <w14:miter w14:val="10"/>
          </w14:textOutline>
        </w:rPr>
        <w:t>水流下游轴向石油类浓度变化趋势图</w:t>
      </w:r>
    </w:p>
    <w:p>
      <w:pPr>
        <w:spacing w:line="220" w:lineRule="auto"/>
        <w:ind w:left="2237"/>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4"/>
          <w:sz w:val="24"/>
          <w:szCs w:val="24"/>
        </w:rPr>
        <w:t xml:space="preserve"> </w:t>
      </w:r>
      <w:r>
        <w:rPr>
          <w:rFonts w:ascii="Times New Roman" w:hAnsi="Times New Roman" w:eastAsia="Times New Roman" w:cs="Times New Roman"/>
          <w:b/>
          <w:bCs/>
          <w:sz w:val="24"/>
          <w:szCs w:val="24"/>
        </w:rPr>
        <w:t xml:space="preserve">3.8-3    </w:t>
      </w:r>
      <w:r>
        <w:rPr>
          <w:rFonts w:ascii="宋体" w:hAnsi="宋体" w:eastAsia="宋体" w:cs="宋体"/>
          <w:sz w:val="24"/>
          <w:szCs w:val="24"/>
          <w14:textOutline w14:w="4354" w14:cap="flat" w14:cmpd="sng">
            <w14:solidFill>
              <w14:srgbClr w14:val="000000"/>
            </w14:solidFill>
            <w14:prstDash w14:val="solid"/>
            <w14:miter w14:val="10"/>
          </w14:textOutline>
        </w:rPr>
        <w:t>应急池氯化物泄漏超标及影响范围</w:t>
      </w:r>
    </w:p>
    <w:p>
      <w:pPr>
        <w:spacing w:line="145" w:lineRule="exact"/>
      </w:pPr>
    </w:p>
    <w:tbl>
      <w:tblPr>
        <w:tblStyle w:val="5"/>
        <w:tblW w:w="91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6"/>
        <w:gridCol w:w="1558"/>
        <w:gridCol w:w="1505"/>
        <w:gridCol w:w="1505"/>
        <w:gridCol w:w="1675"/>
        <w:gridCol w:w="13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36" w:type="dxa"/>
            <w:tcBorders>
              <w:top w:val="single" w:color="000000" w:sz="10" w:space="0"/>
              <w:left w:val="nil"/>
            </w:tcBorders>
            <w:vAlign w:val="top"/>
          </w:tcPr>
          <w:p>
            <w:pPr>
              <w:pStyle w:val="6"/>
              <w:spacing w:before="86" w:line="221" w:lineRule="auto"/>
              <w:ind w:left="252"/>
              <w:rPr>
                <w:sz w:val="21"/>
                <w:szCs w:val="21"/>
              </w:rPr>
            </w:pPr>
            <w:r>
              <w:rPr>
                <w:spacing w:val="-2"/>
                <w:sz w:val="21"/>
                <w:szCs w:val="21"/>
              </w:rPr>
              <w:t>污染源总量</w:t>
            </w:r>
          </w:p>
          <w:p>
            <w:pPr>
              <w:spacing w:before="95" w:line="191"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(kg)</w:t>
            </w:r>
          </w:p>
        </w:tc>
        <w:tc>
          <w:tcPr>
            <w:tcW w:w="1558" w:type="dxa"/>
            <w:tcBorders>
              <w:top w:val="single" w:color="000000" w:sz="10" w:space="0"/>
            </w:tcBorders>
            <w:vAlign w:val="top"/>
          </w:tcPr>
          <w:p>
            <w:pPr>
              <w:pStyle w:val="6"/>
              <w:spacing w:before="242" w:line="214" w:lineRule="auto"/>
              <w:ind w:left="117"/>
              <w:rPr>
                <w:sz w:val="21"/>
                <w:szCs w:val="21"/>
              </w:rPr>
            </w:pPr>
            <w:r>
              <w:rPr>
                <w:spacing w:val="-2"/>
                <w:sz w:val="21"/>
                <w:szCs w:val="21"/>
              </w:rPr>
              <w:t>模拟时间</w:t>
            </w:r>
            <w:r>
              <w:rPr>
                <w:rFonts w:ascii="Times New Roman" w:hAnsi="Times New Roman" w:eastAsia="Times New Roman" w:cs="Times New Roman"/>
                <w:spacing w:val="-2"/>
                <w:sz w:val="21"/>
                <w:szCs w:val="21"/>
              </w:rPr>
              <w:t>(</w:t>
            </w:r>
            <w:r>
              <w:rPr>
                <w:spacing w:val="-2"/>
                <w:sz w:val="21"/>
                <w:szCs w:val="21"/>
              </w:rPr>
              <w:t>天）</w:t>
            </w:r>
          </w:p>
        </w:tc>
        <w:tc>
          <w:tcPr>
            <w:tcW w:w="1505" w:type="dxa"/>
            <w:tcBorders>
              <w:top w:val="single" w:color="000000" w:sz="10" w:space="0"/>
            </w:tcBorders>
            <w:vAlign w:val="top"/>
          </w:tcPr>
          <w:p>
            <w:pPr>
              <w:pStyle w:val="6"/>
              <w:spacing w:before="85" w:line="221" w:lineRule="auto"/>
              <w:ind w:left="130"/>
              <w:rPr>
                <w:sz w:val="21"/>
                <w:szCs w:val="21"/>
              </w:rPr>
            </w:pPr>
            <w:r>
              <w:rPr>
                <w:spacing w:val="-2"/>
                <w:sz w:val="21"/>
                <w:szCs w:val="21"/>
              </w:rPr>
              <w:t>最大污染距离</w:t>
            </w:r>
          </w:p>
          <w:p>
            <w:pPr>
              <w:spacing w:before="96" w:line="191"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505" w:type="dxa"/>
            <w:tcBorders>
              <w:top w:val="single" w:color="000000" w:sz="10" w:space="0"/>
            </w:tcBorders>
            <w:vAlign w:val="top"/>
          </w:tcPr>
          <w:p>
            <w:pPr>
              <w:pStyle w:val="6"/>
              <w:spacing w:before="86" w:line="221" w:lineRule="auto"/>
              <w:ind w:left="145"/>
              <w:rPr>
                <w:sz w:val="21"/>
                <w:szCs w:val="21"/>
              </w:rPr>
            </w:pPr>
            <w:r>
              <w:rPr>
                <w:spacing w:val="-5"/>
                <w:sz w:val="21"/>
                <w:szCs w:val="21"/>
              </w:rPr>
              <w:t>中心迁移距离</w:t>
            </w:r>
          </w:p>
          <w:p>
            <w:pPr>
              <w:spacing w:before="95" w:line="191"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675" w:type="dxa"/>
            <w:tcBorders>
              <w:top w:val="single" w:color="000000" w:sz="10" w:space="0"/>
            </w:tcBorders>
            <w:vAlign w:val="top"/>
          </w:tcPr>
          <w:p>
            <w:pPr>
              <w:pStyle w:val="6"/>
              <w:spacing w:before="86" w:line="221" w:lineRule="auto"/>
              <w:ind w:left="232"/>
              <w:rPr>
                <w:sz w:val="21"/>
                <w:szCs w:val="21"/>
              </w:rPr>
            </w:pPr>
            <w:r>
              <w:rPr>
                <w:spacing w:val="-5"/>
                <w:sz w:val="21"/>
                <w:szCs w:val="21"/>
              </w:rPr>
              <w:t>中心点处浓度</w:t>
            </w:r>
          </w:p>
          <w:p>
            <w:pPr>
              <w:spacing w:before="95" w:line="191"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c>
          <w:tcPr>
            <w:tcW w:w="1337" w:type="dxa"/>
            <w:tcBorders>
              <w:top w:val="single" w:color="000000" w:sz="10" w:space="0"/>
              <w:right w:val="nil"/>
            </w:tcBorders>
            <w:vAlign w:val="top"/>
          </w:tcPr>
          <w:p>
            <w:pPr>
              <w:pStyle w:val="6"/>
              <w:spacing w:before="119" w:line="226" w:lineRule="auto"/>
              <w:ind w:left="375" w:right="246" w:hanging="121"/>
              <w:rPr>
                <w:rFonts w:ascii="Times New Roman" w:hAnsi="Times New Roman" w:eastAsia="Times New Roman" w:cs="Times New Roman"/>
                <w:sz w:val="21"/>
                <w:szCs w:val="21"/>
              </w:rPr>
            </w:pPr>
            <w:r>
              <w:rPr>
                <w:spacing w:val="-2"/>
                <w:sz w:val="21"/>
                <w:szCs w:val="21"/>
              </w:rPr>
              <w:t>标准限值</w:t>
            </w:r>
            <w:r>
              <w:rPr>
                <w:sz w:val="21"/>
                <w:szCs w:val="21"/>
              </w:rPr>
              <w:t xml:space="preserve"> </w:t>
            </w:r>
            <w:r>
              <w:rPr>
                <w:rFonts w:ascii="Times New Roman" w:hAnsi="Times New Roman" w:eastAsia="Times New Roman" w:cs="Times New Roman"/>
                <w:spacing w:val="-2"/>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36" w:type="dxa"/>
            <w:vMerge w:val="restart"/>
            <w:tcBorders>
              <w:left w:val="nil"/>
              <w:bottom w:val="nil"/>
            </w:tcBorders>
            <w:vAlign w:val="top"/>
          </w:tcPr>
          <w:p>
            <w:pPr>
              <w:spacing w:line="258" w:lineRule="auto"/>
              <w:rPr>
                <w:rFonts w:ascii="Arial"/>
                <w:sz w:val="21"/>
              </w:rPr>
            </w:pPr>
          </w:p>
          <w:p>
            <w:pPr>
              <w:spacing w:line="259" w:lineRule="auto"/>
              <w:rPr>
                <w:rFonts w:ascii="Arial"/>
                <w:sz w:val="21"/>
              </w:rPr>
            </w:pPr>
          </w:p>
          <w:p>
            <w:pPr>
              <w:spacing w:before="60" w:line="189"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44.55</w:t>
            </w:r>
          </w:p>
        </w:tc>
        <w:tc>
          <w:tcPr>
            <w:tcW w:w="1558" w:type="dxa"/>
            <w:vAlign w:val="top"/>
          </w:tcPr>
          <w:p>
            <w:pPr>
              <w:spacing w:before="98" w:line="187" w:lineRule="auto"/>
              <w:ind w:left="64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505" w:type="dxa"/>
            <w:vAlign w:val="top"/>
          </w:tcPr>
          <w:p>
            <w:pPr>
              <w:spacing w:before="94" w:line="186" w:lineRule="auto"/>
              <w:ind w:left="70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505" w:type="dxa"/>
            <w:vAlign w:val="top"/>
          </w:tcPr>
          <w:p>
            <w:pPr>
              <w:spacing w:before="91" w:line="189" w:lineRule="auto"/>
              <w:ind w:left="6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w:t>
            </w:r>
          </w:p>
        </w:tc>
        <w:tc>
          <w:tcPr>
            <w:tcW w:w="1675" w:type="dxa"/>
            <w:vAlign w:val="top"/>
          </w:tcPr>
          <w:p>
            <w:pPr>
              <w:spacing w:before="91" w:line="189" w:lineRule="auto"/>
              <w:ind w:left="5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431.40</w:t>
            </w:r>
          </w:p>
        </w:tc>
        <w:tc>
          <w:tcPr>
            <w:tcW w:w="1337" w:type="dxa"/>
            <w:vMerge w:val="restart"/>
            <w:tcBorders>
              <w:bottom w:val="nil"/>
              <w:right w:val="nil"/>
            </w:tcBorders>
            <w:vAlign w:val="top"/>
          </w:tcPr>
          <w:p>
            <w:pPr>
              <w:spacing w:line="257" w:lineRule="auto"/>
              <w:rPr>
                <w:rFonts w:ascii="Arial"/>
                <w:sz w:val="21"/>
              </w:rPr>
            </w:pPr>
          </w:p>
          <w:p>
            <w:pPr>
              <w:spacing w:line="258" w:lineRule="auto"/>
              <w:rPr>
                <w:rFonts w:ascii="Arial"/>
                <w:sz w:val="21"/>
              </w:rPr>
            </w:pPr>
          </w:p>
          <w:p>
            <w:pPr>
              <w:spacing w:before="60" w:line="189" w:lineRule="auto"/>
              <w:ind w:left="5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36" w:type="dxa"/>
            <w:vMerge w:val="continue"/>
            <w:tcBorders>
              <w:top w:val="nil"/>
              <w:left w:val="nil"/>
              <w:bottom w:val="nil"/>
            </w:tcBorders>
            <w:vAlign w:val="top"/>
          </w:tcPr>
          <w:p>
            <w:pPr>
              <w:rPr>
                <w:rFonts w:ascii="Arial"/>
                <w:sz w:val="21"/>
              </w:rPr>
            </w:pPr>
          </w:p>
        </w:tc>
        <w:tc>
          <w:tcPr>
            <w:tcW w:w="1558" w:type="dxa"/>
            <w:vAlign w:val="top"/>
          </w:tcPr>
          <w:p>
            <w:pPr>
              <w:spacing w:before="105" w:line="187" w:lineRule="auto"/>
              <w:ind w:left="58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505" w:type="dxa"/>
            <w:vAlign w:val="top"/>
          </w:tcPr>
          <w:p>
            <w:pPr>
              <w:spacing w:before="97" w:line="197" w:lineRule="auto"/>
              <w:ind w:left="72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05" w:type="dxa"/>
            <w:vAlign w:val="top"/>
          </w:tcPr>
          <w:p>
            <w:pPr>
              <w:spacing w:before="98" w:line="189" w:lineRule="auto"/>
              <w:ind w:left="66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w:t>
            </w:r>
          </w:p>
        </w:tc>
        <w:tc>
          <w:tcPr>
            <w:tcW w:w="1675" w:type="dxa"/>
            <w:vAlign w:val="top"/>
          </w:tcPr>
          <w:p>
            <w:pPr>
              <w:spacing w:before="98" w:line="189" w:lineRule="auto"/>
              <w:ind w:left="58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43.14</w:t>
            </w:r>
          </w:p>
        </w:tc>
        <w:tc>
          <w:tcPr>
            <w:tcW w:w="133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36" w:type="dxa"/>
            <w:vMerge w:val="continue"/>
            <w:tcBorders>
              <w:top w:val="nil"/>
              <w:left w:val="nil"/>
              <w:bottom w:val="nil"/>
            </w:tcBorders>
            <w:vAlign w:val="top"/>
          </w:tcPr>
          <w:p>
            <w:pPr>
              <w:rPr>
                <w:rFonts w:ascii="Arial"/>
                <w:sz w:val="21"/>
              </w:rPr>
            </w:pPr>
          </w:p>
        </w:tc>
        <w:tc>
          <w:tcPr>
            <w:tcW w:w="1558" w:type="dxa"/>
            <w:vAlign w:val="top"/>
          </w:tcPr>
          <w:p>
            <w:pPr>
              <w:spacing w:before="106" w:line="187"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3650</w:t>
            </w:r>
          </w:p>
        </w:tc>
        <w:tc>
          <w:tcPr>
            <w:tcW w:w="1505" w:type="dxa"/>
            <w:vAlign w:val="top"/>
          </w:tcPr>
          <w:p>
            <w:pPr>
              <w:spacing w:before="99" w:line="192" w:lineRule="auto"/>
              <w:ind w:left="72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05" w:type="dxa"/>
            <w:vAlign w:val="top"/>
          </w:tcPr>
          <w:p>
            <w:pPr>
              <w:spacing w:before="100" w:line="189" w:lineRule="auto"/>
              <w:ind w:left="5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47.45</w:t>
            </w:r>
          </w:p>
        </w:tc>
        <w:tc>
          <w:tcPr>
            <w:tcW w:w="1675" w:type="dxa"/>
            <w:vAlign w:val="top"/>
          </w:tcPr>
          <w:p>
            <w:pPr>
              <w:spacing w:before="100" w:line="189" w:lineRule="auto"/>
              <w:ind w:left="616"/>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11.82</w:t>
            </w:r>
          </w:p>
        </w:tc>
        <w:tc>
          <w:tcPr>
            <w:tcW w:w="133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36" w:type="dxa"/>
            <w:vMerge w:val="continue"/>
            <w:tcBorders>
              <w:top w:val="nil"/>
              <w:left w:val="nil"/>
              <w:bottom w:val="single" w:color="000000" w:sz="10" w:space="0"/>
            </w:tcBorders>
            <w:vAlign w:val="top"/>
          </w:tcPr>
          <w:p>
            <w:pPr>
              <w:rPr>
                <w:rFonts w:ascii="Arial"/>
                <w:sz w:val="21"/>
              </w:rPr>
            </w:pPr>
          </w:p>
        </w:tc>
        <w:tc>
          <w:tcPr>
            <w:tcW w:w="1558" w:type="dxa"/>
            <w:tcBorders>
              <w:bottom w:val="single" w:color="000000" w:sz="10" w:space="0"/>
            </w:tcBorders>
            <w:vAlign w:val="top"/>
          </w:tcPr>
          <w:p>
            <w:pPr>
              <w:spacing w:before="111" w:line="187" w:lineRule="auto"/>
              <w:ind w:left="5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7300</w:t>
            </w:r>
          </w:p>
        </w:tc>
        <w:tc>
          <w:tcPr>
            <w:tcW w:w="1505" w:type="dxa"/>
            <w:tcBorders>
              <w:bottom w:val="single" w:color="000000" w:sz="10" w:space="0"/>
            </w:tcBorders>
            <w:vAlign w:val="top"/>
          </w:tcPr>
          <w:p>
            <w:pPr>
              <w:spacing w:before="104" w:line="211" w:lineRule="auto"/>
              <w:ind w:left="72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05" w:type="dxa"/>
            <w:tcBorders>
              <w:bottom w:val="single" w:color="000000" w:sz="10" w:space="0"/>
            </w:tcBorders>
            <w:vAlign w:val="top"/>
          </w:tcPr>
          <w:p>
            <w:pPr>
              <w:spacing w:before="105" w:line="189" w:lineRule="auto"/>
              <w:ind w:left="5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94.9</w:t>
            </w:r>
          </w:p>
        </w:tc>
        <w:tc>
          <w:tcPr>
            <w:tcW w:w="1675" w:type="dxa"/>
            <w:tcBorders>
              <w:bottom w:val="single" w:color="000000" w:sz="10" w:space="0"/>
            </w:tcBorders>
            <w:vAlign w:val="top"/>
          </w:tcPr>
          <w:p>
            <w:pPr>
              <w:spacing w:before="105" w:line="189" w:lineRule="auto"/>
              <w:ind w:left="6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5.91</w:t>
            </w:r>
          </w:p>
        </w:tc>
        <w:tc>
          <w:tcPr>
            <w:tcW w:w="1337" w:type="dxa"/>
            <w:vMerge w:val="continue"/>
            <w:tcBorders>
              <w:top w:val="nil"/>
              <w:bottom w:val="single" w:color="000000" w:sz="10" w:space="0"/>
              <w:right w:val="nil"/>
            </w:tcBorders>
            <w:vAlign w:val="top"/>
          </w:tcPr>
          <w:p>
            <w:pPr>
              <w:rPr>
                <w:rFonts w:ascii="Arial"/>
                <w:sz w:val="21"/>
              </w:rPr>
            </w:pPr>
          </w:p>
        </w:tc>
      </w:tr>
    </w:tbl>
    <w:p>
      <w:pPr>
        <w:spacing w:before="66" w:line="5170" w:lineRule="exact"/>
        <w:ind w:firstLine="311"/>
      </w:pPr>
      <w:r>
        <w:rPr>
          <w:position w:val="-103"/>
        </w:rPr>
        <w:drawing>
          <wp:inline distT="0" distB="0" distL="0" distR="0">
            <wp:extent cx="5391150" cy="328295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65"/>
                    <a:stretch>
                      <a:fillRect/>
                    </a:stretch>
                  </pic:blipFill>
                  <pic:spPr>
                    <a:xfrm>
                      <a:off x="0" y="0"/>
                      <a:ext cx="5391150" cy="3282950"/>
                    </a:xfrm>
                    <a:prstGeom prst="rect">
                      <a:avLst/>
                    </a:prstGeom>
                  </pic:spPr>
                </pic:pic>
              </a:graphicData>
            </a:graphic>
          </wp:inline>
        </w:drawing>
      </w:r>
    </w:p>
    <w:p>
      <w:pPr>
        <w:spacing w:before="104" w:line="219" w:lineRule="auto"/>
        <w:ind w:left="156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 xml:space="preserve">3.8-9 </w:t>
      </w:r>
      <w:r>
        <w:rPr>
          <w:rFonts w:ascii="宋体" w:hAnsi="宋体" w:eastAsia="宋体" w:cs="宋体"/>
          <w:spacing w:val="-1"/>
          <w:sz w:val="24"/>
          <w:szCs w:val="24"/>
          <w14:textOutline w14:w="4354" w14:cap="flat" w14:cmpd="sng">
            <w14:solidFill>
              <w14:srgbClr w14:val="000000"/>
            </w14:solidFill>
            <w14:prstDash w14:val="solid"/>
            <w14:miter w14:val="10"/>
          </w14:textOutline>
        </w:rPr>
        <w:t>泄漏后</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100d </w:t>
      </w:r>
      <w:r>
        <w:rPr>
          <w:rFonts w:ascii="宋体" w:hAnsi="宋体" w:eastAsia="宋体" w:cs="宋体"/>
          <w:spacing w:val="-1"/>
          <w:sz w:val="24"/>
          <w:szCs w:val="24"/>
          <w14:textOutline w14:w="4354" w14:cap="flat" w14:cmpd="sng">
            <w14:solidFill>
              <w14:srgbClr w14:val="000000"/>
            </w14:solidFill>
            <w14:prstDash w14:val="solid"/>
            <w14:miter w14:val="10"/>
          </w14:textOutline>
        </w:rPr>
        <w:t>水流下游轴向</w:t>
      </w:r>
      <w:r>
        <w:rPr>
          <w:rFonts w:ascii="宋体" w:hAnsi="宋体" w:eastAsia="宋体" w:cs="宋体"/>
          <w:spacing w:val="-2"/>
          <w:sz w:val="24"/>
          <w:szCs w:val="24"/>
          <w14:textOutline w14:w="4354" w14:cap="flat" w14:cmpd="sng">
            <w14:solidFill>
              <w14:srgbClr w14:val="000000"/>
            </w14:solidFill>
            <w14:prstDash w14:val="solid"/>
            <w14:miter w14:val="10"/>
          </w14:textOutline>
        </w:rPr>
        <w:t>氯化物浓度变化趋势图</w:t>
      </w:r>
    </w:p>
    <w:p>
      <w:pPr>
        <w:spacing w:line="219" w:lineRule="auto"/>
        <w:rPr>
          <w:rFonts w:ascii="宋体" w:hAnsi="宋体" w:eastAsia="宋体" w:cs="宋体"/>
          <w:sz w:val="24"/>
          <w:szCs w:val="24"/>
        </w:rPr>
        <w:sectPr>
          <w:footerReference r:id="rId184" w:type="default"/>
          <w:pgSz w:w="11907" w:h="16839"/>
          <w:pgMar w:top="400" w:right="1308" w:bottom="1151" w:left="1481" w:header="0" w:footer="988" w:gutter="0"/>
          <w:cols w:space="720" w:num="1"/>
        </w:sectPr>
      </w:pPr>
    </w:p>
    <w:p>
      <w:pPr>
        <w:pStyle w:val="2"/>
        <w:spacing w:line="275" w:lineRule="auto"/>
        <w:rPr>
          <w:sz w:val="21"/>
        </w:rPr>
      </w:pPr>
    </w:p>
    <w:p>
      <w:pPr>
        <w:pStyle w:val="2"/>
        <w:spacing w:line="275" w:lineRule="auto"/>
        <w:rPr>
          <w:sz w:val="21"/>
        </w:rPr>
      </w:pPr>
    </w:p>
    <w:p>
      <w:pPr>
        <w:pStyle w:val="2"/>
        <w:spacing w:line="275" w:lineRule="auto"/>
        <w:rPr>
          <w:sz w:val="21"/>
        </w:rPr>
      </w:pPr>
    </w:p>
    <w:p>
      <w:pPr>
        <w:pStyle w:val="2"/>
        <w:spacing w:line="275" w:lineRule="auto"/>
        <w:rPr>
          <w:sz w:val="21"/>
        </w:rPr>
      </w:pPr>
    </w:p>
    <w:p>
      <w:pPr>
        <w:spacing w:line="5170" w:lineRule="exact"/>
        <w:ind w:firstLine="169"/>
      </w:pPr>
      <w:r>
        <w:rPr>
          <w:position w:val="-103"/>
        </w:rPr>
        <w:drawing>
          <wp:inline distT="0" distB="0" distL="0" distR="0">
            <wp:extent cx="5429250" cy="328295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66"/>
                    <a:stretch>
                      <a:fillRect/>
                    </a:stretch>
                  </pic:blipFill>
                  <pic:spPr>
                    <a:xfrm>
                      <a:off x="0" y="0"/>
                      <a:ext cx="5429250" cy="3282950"/>
                    </a:xfrm>
                    <a:prstGeom prst="rect">
                      <a:avLst/>
                    </a:prstGeom>
                  </pic:spPr>
                </pic:pic>
              </a:graphicData>
            </a:graphic>
          </wp:inline>
        </w:drawing>
      </w:r>
    </w:p>
    <w:p>
      <w:pPr>
        <w:spacing w:before="103" w:line="219" w:lineRule="auto"/>
        <w:ind w:left="1331"/>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 xml:space="preserve">3.8-10 </w:t>
      </w:r>
      <w:r>
        <w:rPr>
          <w:rFonts w:ascii="宋体" w:hAnsi="宋体" w:eastAsia="宋体" w:cs="宋体"/>
          <w:spacing w:val="-1"/>
          <w:sz w:val="24"/>
          <w:szCs w:val="24"/>
          <w14:textOutline w14:w="4354" w14:cap="flat" w14:cmpd="sng">
            <w14:solidFill>
              <w14:srgbClr w14:val="000000"/>
            </w14:solidFill>
            <w14:prstDash w14:val="solid"/>
            <w14:miter w14:val="10"/>
          </w14:textOutline>
        </w:rPr>
        <w:t>泄漏后</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1000d </w:t>
      </w:r>
      <w:r>
        <w:rPr>
          <w:rFonts w:ascii="宋体" w:hAnsi="宋体" w:eastAsia="宋体" w:cs="宋体"/>
          <w:spacing w:val="-1"/>
          <w:sz w:val="24"/>
          <w:szCs w:val="24"/>
          <w14:textOutline w14:w="4354" w14:cap="flat" w14:cmpd="sng">
            <w14:solidFill>
              <w14:srgbClr w14:val="000000"/>
            </w14:solidFill>
            <w14:prstDash w14:val="solid"/>
            <w14:miter w14:val="10"/>
          </w14:textOutline>
        </w:rPr>
        <w:t>水流下游轴向氯化</w:t>
      </w:r>
      <w:r>
        <w:rPr>
          <w:rFonts w:ascii="宋体" w:hAnsi="宋体" w:eastAsia="宋体" w:cs="宋体"/>
          <w:spacing w:val="-2"/>
          <w:sz w:val="24"/>
          <w:szCs w:val="24"/>
          <w14:textOutline w14:w="4354" w14:cap="flat" w14:cmpd="sng">
            <w14:solidFill>
              <w14:srgbClr w14:val="000000"/>
            </w14:solidFill>
            <w14:prstDash w14:val="solid"/>
            <w14:miter w14:val="10"/>
          </w14:textOutline>
        </w:rPr>
        <w:t>物浓度变化趋势图</w:t>
      </w:r>
    </w:p>
    <w:p>
      <w:pPr>
        <w:spacing w:before="146" w:line="5159" w:lineRule="exact"/>
        <w:ind w:firstLine="154"/>
      </w:pPr>
      <w:r>
        <w:rPr>
          <w:position w:val="-103"/>
        </w:rPr>
        <w:drawing>
          <wp:inline distT="0" distB="0" distL="0" distR="0">
            <wp:extent cx="5448300" cy="327533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67"/>
                    <a:stretch>
                      <a:fillRect/>
                    </a:stretch>
                  </pic:blipFill>
                  <pic:spPr>
                    <a:xfrm>
                      <a:off x="0" y="0"/>
                      <a:ext cx="5448300" cy="3275838"/>
                    </a:xfrm>
                    <a:prstGeom prst="rect">
                      <a:avLst/>
                    </a:prstGeom>
                  </pic:spPr>
                </pic:pic>
              </a:graphicData>
            </a:graphic>
          </wp:inline>
        </w:drawing>
      </w:r>
    </w:p>
    <w:p>
      <w:pPr>
        <w:spacing w:before="175" w:line="703" w:lineRule="exact"/>
        <w:ind w:left="1338"/>
        <w:rPr>
          <w:rFonts w:ascii="宋体" w:hAnsi="宋体" w:eastAsia="宋体" w:cs="宋体"/>
          <w:sz w:val="24"/>
          <w:szCs w:val="24"/>
        </w:rPr>
      </w:pPr>
      <w:r>
        <w:rPr>
          <w:rFonts w:ascii="宋体" w:hAnsi="宋体" w:eastAsia="宋体" w:cs="宋体"/>
          <w:spacing w:val="-1"/>
          <w:position w:val="36"/>
          <w:sz w:val="24"/>
          <w:szCs w:val="24"/>
          <w14:textOutline w14:w="4354" w14:cap="flat" w14:cmpd="sng">
            <w14:solidFill>
              <w14:srgbClr w14:val="000000"/>
            </w14:solidFill>
            <w14:prstDash w14:val="solid"/>
            <w14:miter w14:val="10"/>
          </w14:textOutline>
        </w:rPr>
        <w:t>图</w:t>
      </w:r>
      <w:r>
        <w:rPr>
          <w:rFonts w:ascii="宋体" w:hAnsi="宋体" w:eastAsia="宋体" w:cs="宋体"/>
          <w:spacing w:val="-54"/>
          <w:position w:val="36"/>
          <w:sz w:val="24"/>
          <w:szCs w:val="24"/>
        </w:rPr>
        <w:t xml:space="preserve"> </w:t>
      </w:r>
      <w:r>
        <w:rPr>
          <w:rFonts w:ascii="Times New Roman" w:hAnsi="Times New Roman" w:eastAsia="Times New Roman" w:cs="Times New Roman"/>
          <w:b/>
          <w:bCs/>
          <w:spacing w:val="-1"/>
          <w:position w:val="36"/>
          <w:sz w:val="24"/>
          <w:szCs w:val="24"/>
        </w:rPr>
        <w:t xml:space="preserve">3.8-11 </w:t>
      </w:r>
      <w:r>
        <w:rPr>
          <w:rFonts w:ascii="宋体" w:hAnsi="宋体" w:eastAsia="宋体" w:cs="宋体"/>
          <w:spacing w:val="-1"/>
          <w:position w:val="36"/>
          <w:sz w:val="24"/>
          <w:szCs w:val="24"/>
          <w14:textOutline w14:w="4354" w14:cap="flat" w14:cmpd="sng">
            <w14:solidFill>
              <w14:srgbClr w14:val="000000"/>
            </w14:solidFill>
            <w14:prstDash w14:val="solid"/>
            <w14:miter w14:val="10"/>
          </w14:textOutline>
        </w:rPr>
        <w:t>泄漏后</w:t>
      </w:r>
      <w:r>
        <w:rPr>
          <w:rFonts w:ascii="宋体" w:hAnsi="宋体" w:eastAsia="宋体" w:cs="宋体"/>
          <w:spacing w:val="-53"/>
          <w:position w:val="36"/>
          <w:sz w:val="24"/>
          <w:szCs w:val="24"/>
        </w:rPr>
        <w:t xml:space="preserve"> </w:t>
      </w:r>
      <w:r>
        <w:rPr>
          <w:rFonts w:ascii="Times New Roman" w:hAnsi="Times New Roman" w:eastAsia="Times New Roman" w:cs="Times New Roman"/>
          <w:b/>
          <w:bCs/>
          <w:spacing w:val="-1"/>
          <w:position w:val="36"/>
          <w:sz w:val="24"/>
          <w:szCs w:val="24"/>
        </w:rPr>
        <w:t xml:space="preserve">3650d </w:t>
      </w:r>
      <w:r>
        <w:rPr>
          <w:rFonts w:ascii="宋体" w:hAnsi="宋体" w:eastAsia="宋体" w:cs="宋体"/>
          <w:spacing w:val="-1"/>
          <w:position w:val="36"/>
          <w:sz w:val="24"/>
          <w:szCs w:val="24"/>
          <w14:textOutline w14:w="4354" w14:cap="flat" w14:cmpd="sng">
            <w14:solidFill>
              <w14:srgbClr w14:val="000000"/>
            </w14:solidFill>
            <w14:prstDash w14:val="solid"/>
            <w14:miter w14:val="10"/>
          </w14:textOutline>
        </w:rPr>
        <w:t>水流下游轴向</w:t>
      </w:r>
      <w:r>
        <w:rPr>
          <w:rFonts w:ascii="宋体" w:hAnsi="宋体" w:eastAsia="宋体" w:cs="宋体"/>
          <w:spacing w:val="-2"/>
          <w:position w:val="36"/>
          <w:sz w:val="24"/>
          <w:szCs w:val="24"/>
          <w14:textOutline w14:w="4354" w14:cap="flat" w14:cmpd="sng">
            <w14:solidFill>
              <w14:srgbClr w14:val="000000"/>
            </w14:solidFill>
            <w14:prstDash w14:val="solid"/>
            <w14:miter w14:val="10"/>
          </w14:textOutline>
        </w:rPr>
        <w:t>氯化物浓度变化趋势图</w:t>
      </w:r>
    </w:p>
    <w:p>
      <w:pPr>
        <w:spacing w:line="223" w:lineRule="auto"/>
        <w:rPr>
          <w:rFonts w:ascii="宋体" w:hAnsi="宋体" w:eastAsia="宋体" w:cs="宋体"/>
          <w:sz w:val="31"/>
          <w:szCs w:val="31"/>
        </w:rPr>
      </w:pPr>
      <w:bookmarkStart w:id="24" w:name="bookmark25"/>
      <w:bookmarkEnd w:id="24"/>
      <w:r>
        <w:rPr>
          <w:rFonts w:ascii="Times New Roman" w:hAnsi="Times New Roman" w:eastAsia="Times New Roman" w:cs="Times New Roman"/>
          <w:b/>
          <w:bCs/>
          <w:spacing w:val="10"/>
          <w:sz w:val="31"/>
          <w:szCs w:val="31"/>
        </w:rPr>
        <w:t>3.9</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地下水环境影响评价</w:t>
      </w:r>
    </w:p>
    <w:p>
      <w:pPr>
        <w:pStyle w:val="2"/>
        <w:spacing w:line="291" w:lineRule="auto"/>
        <w:rPr>
          <w:sz w:val="21"/>
        </w:rPr>
      </w:pPr>
    </w:p>
    <w:p>
      <w:pPr>
        <w:spacing w:before="92" w:line="221" w:lineRule="auto"/>
        <w:rPr>
          <w:rFonts w:ascii="宋体" w:hAnsi="宋体" w:eastAsia="宋体" w:cs="宋体"/>
          <w:sz w:val="28"/>
          <w:szCs w:val="28"/>
        </w:rPr>
      </w:pPr>
      <w:r>
        <w:rPr>
          <w:rFonts w:ascii="Times New Roman" w:hAnsi="Times New Roman" w:eastAsia="Times New Roman" w:cs="Times New Roman"/>
          <w:b/>
          <w:bCs/>
          <w:spacing w:val="-1"/>
          <w:sz w:val="28"/>
          <w:szCs w:val="28"/>
        </w:rPr>
        <w:t>3.9.1</w:t>
      </w:r>
      <w:r>
        <w:rPr>
          <w:rFonts w:ascii="Times New Roman" w:hAnsi="Times New Roman" w:eastAsia="Times New Roman" w:cs="Times New Roman"/>
          <w:b/>
          <w:bCs/>
          <w:spacing w:val="17"/>
          <w:sz w:val="28"/>
          <w:szCs w:val="28"/>
        </w:rPr>
        <w:t xml:space="preserve">  </w:t>
      </w:r>
      <w:r>
        <w:rPr>
          <w:rFonts w:ascii="宋体" w:hAnsi="宋体" w:eastAsia="宋体" w:cs="宋体"/>
          <w:spacing w:val="-1"/>
          <w:sz w:val="28"/>
          <w:szCs w:val="28"/>
          <w14:textOutline w14:w="5094" w14:cap="flat" w14:cmpd="sng">
            <w14:solidFill>
              <w14:srgbClr w14:val="000000"/>
            </w14:solidFill>
            <w14:prstDash w14:val="solid"/>
            <w14:miter w14:val="10"/>
          </w14:textOutline>
        </w:rPr>
        <w:t>污染物超标范围</w:t>
      </w:r>
    </w:p>
    <w:p>
      <w:pPr>
        <w:pStyle w:val="2"/>
        <w:spacing w:line="273" w:lineRule="auto"/>
        <w:rPr>
          <w:sz w:val="21"/>
        </w:rPr>
      </w:pPr>
    </w:p>
    <w:p>
      <w:pPr>
        <w:spacing w:before="78" w:line="221" w:lineRule="auto"/>
        <w:ind w:left="487"/>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应急池池底破裂：</w:t>
      </w:r>
    </w:p>
    <w:p>
      <w:pPr>
        <w:spacing w:line="221" w:lineRule="auto"/>
        <w:rPr>
          <w:rFonts w:ascii="宋体" w:hAnsi="宋体" w:eastAsia="宋体" w:cs="宋体"/>
          <w:sz w:val="24"/>
          <w:szCs w:val="24"/>
        </w:rPr>
        <w:sectPr>
          <w:footerReference r:id="rId185" w:type="default"/>
          <w:pgSz w:w="11907" w:h="16839"/>
          <w:pgMar w:top="400" w:right="1578" w:bottom="1151" w:left="1593"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503"/>
        <w:rPr>
          <w:rFonts w:ascii="Times New Roman" w:hAnsi="Times New Roman" w:eastAsia="Times New Roman" w:cs="Times New Roman"/>
          <w:sz w:val="24"/>
          <w:szCs w:val="24"/>
        </w:rPr>
      </w:pPr>
      <w:r>
        <w:rPr>
          <w:rFonts w:ascii="Times New Roman" w:hAnsi="Times New Roman" w:eastAsia="Times New Roman" w:cs="Times New Roman"/>
          <w:spacing w:val="-3"/>
          <w:position w:val="17"/>
          <w:sz w:val="24"/>
          <w:szCs w:val="24"/>
        </w:rPr>
        <w:t>1</w:t>
      </w:r>
      <w:r>
        <w:rPr>
          <w:rFonts w:ascii="宋体" w:hAnsi="宋体" w:eastAsia="宋体" w:cs="宋体"/>
          <w:spacing w:val="-3"/>
          <w:position w:val="17"/>
          <w:sz w:val="24"/>
          <w:szCs w:val="24"/>
        </w:rPr>
        <w:t>）耗氧量（</w:t>
      </w:r>
      <w:r>
        <w:rPr>
          <w:rFonts w:ascii="Times New Roman" w:hAnsi="Times New Roman" w:eastAsia="Times New Roman" w:cs="Times New Roman"/>
          <w:spacing w:val="-3"/>
          <w:position w:val="17"/>
          <w:sz w:val="24"/>
          <w:szCs w:val="24"/>
        </w:rPr>
        <w:t>COD</w:t>
      </w:r>
      <w:r>
        <w:rPr>
          <w:rFonts w:ascii="Times New Roman" w:hAnsi="Times New Roman" w:eastAsia="Times New Roman" w:cs="Times New Roman"/>
          <w:spacing w:val="-3"/>
          <w:position w:val="16"/>
          <w:sz w:val="16"/>
          <w:szCs w:val="16"/>
        </w:rPr>
        <w:t xml:space="preserve">Mn </w:t>
      </w:r>
      <w:r>
        <w:rPr>
          <w:rFonts w:ascii="宋体" w:hAnsi="宋体" w:eastAsia="宋体" w:cs="宋体"/>
          <w:spacing w:val="-3"/>
          <w:position w:val="17"/>
          <w:sz w:val="24"/>
          <w:szCs w:val="24"/>
        </w:rPr>
        <w:t>）在泄漏</w:t>
      </w:r>
      <w:r>
        <w:rPr>
          <w:rFonts w:ascii="宋体" w:hAnsi="宋体" w:eastAsia="宋体" w:cs="宋体"/>
          <w:spacing w:val="-48"/>
          <w:position w:val="17"/>
          <w:sz w:val="24"/>
          <w:szCs w:val="24"/>
        </w:rPr>
        <w:t xml:space="preserve"> </w:t>
      </w:r>
      <w:r>
        <w:rPr>
          <w:rFonts w:ascii="Times New Roman" w:hAnsi="Times New Roman" w:eastAsia="Times New Roman" w:cs="Times New Roman"/>
          <w:spacing w:val="-3"/>
          <w:position w:val="17"/>
          <w:sz w:val="24"/>
          <w:szCs w:val="24"/>
        </w:rPr>
        <w:t>3650</w:t>
      </w:r>
      <w:r>
        <w:rPr>
          <w:rFonts w:ascii="Times New Roman" w:hAnsi="Times New Roman" w:eastAsia="Times New Roman" w:cs="Times New Roman"/>
          <w:spacing w:val="17"/>
          <w:position w:val="17"/>
          <w:sz w:val="24"/>
          <w:szCs w:val="24"/>
        </w:rPr>
        <w:t xml:space="preserve"> </w:t>
      </w:r>
      <w:r>
        <w:rPr>
          <w:rFonts w:ascii="宋体" w:hAnsi="宋体" w:eastAsia="宋体" w:cs="宋体"/>
          <w:spacing w:val="-3"/>
          <w:position w:val="17"/>
          <w:sz w:val="24"/>
          <w:szCs w:val="24"/>
        </w:rPr>
        <w:t>天时超标距离最大，最远超标距离</w:t>
      </w:r>
      <w:r>
        <w:rPr>
          <w:rFonts w:ascii="宋体" w:hAnsi="宋体" w:eastAsia="宋体" w:cs="宋体"/>
          <w:spacing w:val="-47"/>
          <w:position w:val="17"/>
          <w:sz w:val="24"/>
          <w:szCs w:val="24"/>
        </w:rPr>
        <w:t xml:space="preserve"> </w:t>
      </w:r>
      <w:r>
        <w:rPr>
          <w:rFonts w:ascii="Times New Roman" w:hAnsi="Times New Roman" w:eastAsia="Times New Roman" w:cs="Times New Roman"/>
          <w:spacing w:val="-3"/>
          <w:position w:val="17"/>
          <w:sz w:val="24"/>
          <w:szCs w:val="24"/>
        </w:rPr>
        <w:t>66m</w:t>
      </w:r>
      <w:r>
        <w:rPr>
          <w:rFonts w:ascii="Times New Roman" w:hAnsi="Times New Roman" w:eastAsia="Times New Roman" w:cs="Times New Roman"/>
          <w:spacing w:val="-30"/>
          <w:position w:val="17"/>
          <w:sz w:val="24"/>
          <w:szCs w:val="24"/>
        </w:rPr>
        <w:t xml:space="preserve"> </w:t>
      </w: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7</w:t>
      </w:r>
      <w:r>
        <w:rPr>
          <w:rFonts w:ascii="Times New Roman" w:hAnsi="Times New Roman" w:eastAsia="Times New Roman" w:cs="Times New Roman"/>
          <w:spacing w:val="-4"/>
          <w:position w:val="17"/>
          <w:sz w:val="24"/>
          <w:szCs w:val="24"/>
        </w:rPr>
        <w:t>300</w:t>
      </w:r>
    </w:p>
    <w:p>
      <w:pPr>
        <w:spacing w:line="219" w:lineRule="auto"/>
        <w:ind w:left="9"/>
        <w:rPr>
          <w:rFonts w:ascii="宋体" w:hAnsi="宋体" w:eastAsia="宋体" w:cs="宋体"/>
          <w:sz w:val="24"/>
          <w:szCs w:val="24"/>
        </w:rPr>
      </w:pPr>
      <w:r>
        <w:rPr>
          <w:rFonts w:ascii="宋体" w:hAnsi="宋体" w:eastAsia="宋体" w:cs="宋体"/>
          <w:spacing w:val="-7"/>
          <w:sz w:val="24"/>
          <w:szCs w:val="24"/>
        </w:rPr>
        <w:t>天后无超标距离存在；</w:t>
      </w:r>
    </w:p>
    <w:p>
      <w:pPr>
        <w:spacing w:before="182" w:line="468" w:lineRule="exact"/>
        <w:ind w:left="480"/>
        <w:rPr>
          <w:rFonts w:ascii="宋体" w:hAnsi="宋体" w:eastAsia="宋体" w:cs="宋体"/>
          <w:sz w:val="24"/>
          <w:szCs w:val="24"/>
        </w:rPr>
      </w:pPr>
      <w:r>
        <w:rPr>
          <w:rFonts w:ascii="Times New Roman" w:hAnsi="Times New Roman" w:eastAsia="Times New Roman" w:cs="Times New Roman"/>
          <w:spacing w:val="-2"/>
          <w:position w:val="16"/>
          <w:sz w:val="24"/>
          <w:szCs w:val="24"/>
        </w:rPr>
        <w:t>2</w:t>
      </w:r>
      <w:r>
        <w:rPr>
          <w:rFonts w:ascii="宋体" w:hAnsi="宋体" w:eastAsia="宋体" w:cs="宋体"/>
          <w:spacing w:val="-2"/>
          <w:position w:val="16"/>
          <w:sz w:val="24"/>
          <w:szCs w:val="24"/>
        </w:rPr>
        <w:t>）石油类在泄漏</w:t>
      </w:r>
      <w:r>
        <w:rPr>
          <w:rFonts w:ascii="宋体" w:hAnsi="宋体" w:eastAsia="宋体" w:cs="宋体"/>
          <w:spacing w:val="-33"/>
          <w:position w:val="16"/>
          <w:sz w:val="24"/>
          <w:szCs w:val="24"/>
        </w:rPr>
        <w:t xml:space="preserve"> </w:t>
      </w:r>
      <w:r>
        <w:rPr>
          <w:rFonts w:ascii="Times New Roman" w:hAnsi="Times New Roman" w:eastAsia="Times New Roman" w:cs="Times New Roman"/>
          <w:spacing w:val="-2"/>
          <w:position w:val="16"/>
          <w:sz w:val="24"/>
          <w:szCs w:val="24"/>
        </w:rPr>
        <w:t>7300</w:t>
      </w:r>
      <w:r>
        <w:rPr>
          <w:rFonts w:ascii="Times New Roman" w:hAnsi="Times New Roman" w:eastAsia="Times New Roman" w:cs="Times New Roman"/>
          <w:spacing w:val="15"/>
          <w:position w:val="16"/>
          <w:sz w:val="24"/>
          <w:szCs w:val="24"/>
        </w:rPr>
        <w:t xml:space="preserve"> </w:t>
      </w:r>
      <w:r>
        <w:rPr>
          <w:rFonts w:ascii="宋体" w:hAnsi="宋体" w:eastAsia="宋体" w:cs="宋体"/>
          <w:spacing w:val="-2"/>
          <w:position w:val="16"/>
          <w:sz w:val="24"/>
          <w:szCs w:val="24"/>
        </w:rPr>
        <w:t>天时超标距离最大，此时最远超标点距离泄漏点</w:t>
      </w:r>
      <w:r>
        <w:rPr>
          <w:rFonts w:ascii="宋体" w:hAnsi="宋体" w:eastAsia="宋体" w:cs="宋体"/>
          <w:spacing w:val="-31"/>
          <w:position w:val="16"/>
          <w:sz w:val="24"/>
          <w:szCs w:val="24"/>
        </w:rPr>
        <w:t xml:space="preserve"> </w:t>
      </w:r>
      <w:r>
        <w:rPr>
          <w:rFonts w:ascii="Times New Roman" w:hAnsi="Times New Roman" w:eastAsia="Times New Roman" w:cs="Times New Roman"/>
          <w:spacing w:val="-2"/>
          <w:position w:val="16"/>
          <w:sz w:val="24"/>
          <w:szCs w:val="24"/>
        </w:rPr>
        <w:t>152m</w:t>
      </w:r>
      <w:r>
        <w:rPr>
          <w:rFonts w:ascii="宋体" w:hAnsi="宋体" w:eastAsia="宋体" w:cs="宋体"/>
          <w:spacing w:val="-2"/>
          <w:position w:val="16"/>
          <w:sz w:val="24"/>
          <w:szCs w:val="24"/>
        </w:rPr>
        <w:t>；</w:t>
      </w:r>
    </w:p>
    <w:p>
      <w:pPr>
        <w:spacing w:line="219" w:lineRule="auto"/>
        <w:ind w:left="485"/>
        <w:rPr>
          <w:rFonts w:ascii="宋体" w:hAnsi="宋体" w:eastAsia="宋体" w:cs="宋体"/>
          <w:sz w:val="24"/>
          <w:szCs w:val="24"/>
        </w:rPr>
      </w:pPr>
      <w:r>
        <w:rPr>
          <w:rFonts w:ascii="Times New Roman" w:hAnsi="Times New Roman" w:eastAsia="Times New Roman" w:cs="Times New Roman"/>
          <w:spacing w:val="-9"/>
          <w:sz w:val="24"/>
          <w:szCs w:val="24"/>
        </w:rPr>
        <w:t>3</w:t>
      </w:r>
      <w:r>
        <w:rPr>
          <w:rFonts w:ascii="宋体" w:hAnsi="宋体" w:eastAsia="宋体" w:cs="宋体"/>
          <w:spacing w:val="-9"/>
          <w:sz w:val="24"/>
          <w:szCs w:val="24"/>
        </w:rPr>
        <w:t>）氯化物在泄漏</w:t>
      </w:r>
      <w:r>
        <w:rPr>
          <w:rFonts w:ascii="宋体" w:hAnsi="宋体" w:eastAsia="宋体" w:cs="宋体"/>
          <w:spacing w:val="-17"/>
          <w:sz w:val="24"/>
          <w:szCs w:val="24"/>
        </w:rPr>
        <w:t xml:space="preserve"> </w:t>
      </w:r>
      <w:r>
        <w:rPr>
          <w:rFonts w:ascii="Times New Roman" w:hAnsi="Times New Roman" w:eastAsia="Times New Roman" w:cs="Times New Roman"/>
          <w:spacing w:val="-9"/>
          <w:sz w:val="24"/>
          <w:szCs w:val="24"/>
        </w:rPr>
        <w:t>100</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天时超标距离最大，</w:t>
      </w:r>
      <w:r>
        <w:rPr>
          <w:rFonts w:ascii="宋体" w:hAnsi="宋体" w:eastAsia="宋体" w:cs="宋体"/>
          <w:spacing w:val="81"/>
          <w:sz w:val="24"/>
          <w:szCs w:val="24"/>
        </w:rPr>
        <w:t xml:space="preserve"> </w:t>
      </w:r>
      <w:r>
        <w:rPr>
          <w:rFonts w:ascii="Times New Roman" w:hAnsi="Times New Roman" w:eastAsia="Times New Roman" w:cs="Times New Roman"/>
          <w:spacing w:val="-9"/>
          <w:sz w:val="24"/>
          <w:szCs w:val="24"/>
        </w:rPr>
        <w:t>1000</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天后已无超标距离存在。</w:t>
      </w:r>
    </w:p>
    <w:p>
      <w:pPr>
        <w:pStyle w:val="2"/>
        <w:spacing w:line="266" w:lineRule="auto"/>
        <w:rPr>
          <w:sz w:val="21"/>
        </w:rPr>
      </w:pPr>
    </w:p>
    <w:p>
      <w:pPr>
        <w:spacing w:before="91" w:line="220" w:lineRule="auto"/>
        <w:rPr>
          <w:rFonts w:ascii="宋体" w:hAnsi="宋体" w:eastAsia="宋体" w:cs="宋体"/>
          <w:sz w:val="28"/>
          <w:szCs w:val="28"/>
        </w:rPr>
      </w:pPr>
      <w:r>
        <w:rPr>
          <w:rFonts w:ascii="Times New Roman" w:hAnsi="Times New Roman" w:eastAsia="Times New Roman" w:cs="Times New Roman"/>
          <w:b/>
          <w:bCs/>
          <w:spacing w:val="1"/>
          <w:sz w:val="28"/>
          <w:szCs w:val="28"/>
        </w:rPr>
        <w:t xml:space="preserve">3.9.2  </w:t>
      </w:r>
      <w:r>
        <w:rPr>
          <w:rFonts w:ascii="宋体" w:hAnsi="宋体" w:eastAsia="宋体" w:cs="宋体"/>
          <w:spacing w:val="1"/>
          <w:sz w:val="28"/>
          <w:szCs w:val="28"/>
          <w14:textOutline w14:w="5094" w14:cap="flat" w14:cmpd="sng">
            <w14:solidFill>
              <w14:srgbClr w14:val="000000"/>
            </w14:solidFill>
            <w14:prstDash w14:val="solid"/>
            <w14:miter w14:val="10"/>
          </w14:textOutline>
        </w:rPr>
        <w:t>项目对地下水环境保护目标的影响</w:t>
      </w:r>
    </w:p>
    <w:p>
      <w:pPr>
        <w:pStyle w:val="2"/>
        <w:spacing w:line="275" w:lineRule="auto"/>
        <w:rPr>
          <w:sz w:val="21"/>
        </w:rPr>
      </w:pPr>
    </w:p>
    <w:p>
      <w:pPr>
        <w:spacing w:before="78" w:line="360" w:lineRule="auto"/>
        <w:ind w:left="3" w:firstLine="569"/>
        <w:rPr>
          <w:rFonts w:ascii="宋体" w:hAnsi="宋体" w:eastAsia="宋体" w:cs="宋体"/>
          <w:sz w:val="24"/>
          <w:szCs w:val="24"/>
        </w:rPr>
      </w:pPr>
      <w:r>
        <w:rPr>
          <w:rFonts w:ascii="宋体" w:hAnsi="宋体" w:eastAsia="宋体" w:cs="宋体"/>
          <w:spacing w:val="-10"/>
          <w:sz w:val="24"/>
          <w:szCs w:val="24"/>
        </w:rPr>
        <w:t>由上述结果可知，事故工况下，应急池废水泄漏在</w:t>
      </w:r>
      <w:r>
        <w:rPr>
          <w:rFonts w:ascii="Times New Roman" w:hAnsi="Times New Roman" w:eastAsia="Times New Roman" w:cs="Times New Roman"/>
          <w:spacing w:val="-10"/>
          <w:sz w:val="24"/>
          <w:szCs w:val="24"/>
        </w:rPr>
        <w:t xml:space="preserve">3650 </w:t>
      </w:r>
      <w:r>
        <w:rPr>
          <w:rFonts w:ascii="宋体" w:hAnsi="宋体" w:eastAsia="宋体" w:cs="宋体"/>
          <w:spacing w:val="-10"/>
          <w:sz w:val="24"/>
          <w:szCs w:val="24"/>
        </w:rPr>
        <w:t>天时污染物耗氧量（</w:t>
      </w:r>
      <w:r>
        <w:rPr>
          <w:rFonts w:ascii="Times New Roman" w:hAnsi="Times New Roman" w:eastAsia="Times New Roman" w:cs="Times New Roman"/>
          <w:spacing w:val="-10"/>
          <w:sz w:val="24"/>
          <w:szCs w:val="24"/>
        </w:rPr>
        <w:t>COD</w:t>
      </w:r>
      <w:r>
        <w:rPr>
          <w:rFonts w:ascii="Times New Roman" w:hAnsi="Times New Roman" w:eastAsia="Times New Roman" w:cs="Times New Roman"/>
          <w:spacing w:val="-10"/>
          <w:position w:val="-1"/>
          <w:sz w:val="16"/>
          <w:szCs w:val="16"/>
        </w:rPr>
        <w:t>Mn</w:t>
      </w:r>
      <w:r>
        <w:rPr>
          <w:rFonts w:ascii="宋体" w:hAnsi="宋体" w:eastAsia="宋体" w:cs="宋体"/>
          <w:spacing w:val="-10"/>
          <w:sz w:val="24"/>
          <w:szCs w:val="24"/>
        </w:rPr>
        <w:t>）</w:t>
      </w:r>
      <w:r>
        <w:rPr>
          <w:rFonts w:ascii="宋体" w:hAnsi="宋体" w:eastAsia="宋体" w:cs="宋体"/>
          <w:spacing w:val="18"/>
          <w:sz w:val="24"/>
          <w:szCs w:val="24"/>
        </w:rPr>
        <w:t xml:space="preserve"> </w:t>
      </w:r>
      <w:r>
        <w:rPr>
          <w:rFonts w:ascii="宋体" w:hAnsi="宋体" w:eastAsia="宋体" w:cs="宋体"/>
          <w:spacing w:val="-4"/>
          <w:sz w:val="24"/>
          <w:szCs w:val="24"/>
        </w:rPr>
        <w:t>最远的超标距离为井口水流下游</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66m</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w:t>
      </w:r>
      <w:r>
        <w:rPr>
          <w:rFonts w:ascii="Times New Roman" w:hAnsi="Times New Roman" w:eastAsia="Times New Roman" w:cs="Times New Roman"/>
          <w:spacing w:val="-4"/>
          <w:sz w:val="24"/>
          <w:szCs w:val="24"/>
        </w:rPr>
        <w:t>7300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天后无超标距离存在；应急池废水泄漏</w:t>
      </w:r>
      <w:r>
        <w:rPr>
          <w:rFonts w:ascii="宋体" w:hAnsi="宋体" w:eastAsia="宋体" w:cs="宋体"/>
          <w:sz w:val="24"/>
          <w:szCs w:val="24"/>
        </w:rPr>
        <w:t xml:space="preserve">   </w:t>
      </w:r>
      <w:r>
        <w:rPr>
          <w:rFonts w:ascii="宋体" w:hAnsi="宋体" w:eastAsia="宋体" w:cs="宋体"/>
          <w:spacing w:val="-3"/>
          <w:sz w:val="24"/>
          <w:szCs w:val="24"/>
        </w:rPr>
        <w:t>在</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7300 </w:t>
      </w:r>
      <w:r>
        <w:rPr>
          <w:rFonts w:ascii="宋体" w:hAnsi="宋体" w:eastAsia="宋体" w:cs="宋体"/>
          <w:spacing w:val="-3"/>
          <w:sz w:val="24"/>
          <w:szCs w:val="24"/>
        </w:rPr>
        <w:t>天内污染物石油类最远的超标距离为井口水流下游</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152m</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处。井口下游最近农</w:t>
      </w:r>
      <w:r>
        <w:rPr>
          <w:rFonts w:ascii="宋体" w:hAnsi="宋体" w:eastAsia="宋体" w:cs="宋体"/>
          <w:sz w:val="24"/>
          <w:szCs w:val="24"/>
        </w:rPr>
        <w:t xml:space="preserve">   </w:t>
      </w:r>
      <w:r>
        <w:rPr>
          <w:rFonts w:ascii="宋体" w:hAnsi="宋体" w:eastAsia="宋体" w:cs="宋体"/>
          <w:spacing w:val="-2"/>
          <w:sz w:val="24"/>
          <w:szCs w:val="24"/>
        </w:rPr>
        <w:t>户水井、泉水距井口</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314m</w:t>
      </w:r>
      <w:r>
        <w:rPr>
          <w:rFonts w:ascii="宋体" w:hAnsi="宋体" w:eastAsia="宋体" w:cs="宋体"/>
          <w:spacing w:val="-2"/>
          <w:sz w:val="24"/>
          <w:szCs w:val="24"/>
        </w:rPr>
        <w:t>。非正常工况下，不会对下游分散式水井、泉水产生影响，</w:t>
      </w:r>
      <w:r>
        <w:rPr>
          <w:rFonts w:ascii="宋体" w:hAnsi="宋体" w:eastAsia="宋体" w:cs="宋体"/>
          <w:sz w:val="24"/>
          <w:szCs w:val="24"/>
        </w:rPr>
        <w:t xml:space="preserve">  </w:t>
      </w:r>
      <w:r>
        <w:rPr>
          <w:rFonts w:ascii="宋体" w:hAnsi="宋体" w:eastAsia="宋体" w:cs="宋体"/>
          <w:spacing w:val="-1"/>
          <w:sz w:val="24"/>
          <w:szCs w:val="24"/>
        </w:rPr>
        <w:t>同时由于凤探</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井所处的位置，地下水径流速度慢，含水层有</w:t>
      </w:r>
      <w:r>
        <w:rPr>
          <w:rFonts w:ascii="宋体" w:hAnsi="宋体" w:eastAsia="宋体" w:cs="宋体"/>
          <w:spacing w:val="-2"/>
          <w:sz w:val="24"/>
          <w:szCs w:val="24"/>
        </w:rPr>
        <w:t>效孔隙度小，污染物扩</w:t>
      </w:r>
      <w:r>
        <w:rPr>
          <w:rFonts w:ascii="宋体" w:hAnsi="宋体" w:eastAsia="宋体" w:cs="宋体"/>
          <w:sz w:val="24"/>
          <w:szCs w:val="24"/>
        </w:rPr>
        <w:t xml:space="preserve">   </w:t>
      </w:r>
      <w:r>
        <w:rPr>
          <w:rFonts w:ascii="宋体" w:hAnsi="宋体" w:eastAsia="宋体" w:cs="宋体"/>
          <w:spacing w:val="-8"/>
          <w:sz w:val="24"/>
          <w:szCs w:val="24"/>
        </w:rPr>
        <w:t>散速度较慢，</w:t>
      </w:r>
      <w:r>
        <w:rPr>
          <w:rFonts w:ascii="宋体" w:hAnsi="宋体" w:eastAsia="宋体" w:cs="宋体"/>
          <w:spacing w:val="67"/>
          <w:sz w:val="24"/>
          <w:szCs w:val="24"/>
        </w:rPr>
        <w:t xml:space="preserve"> </w:t>
      </w:r>
      <w:r>
        <w:rPr>
          <w:rFonts w:ascii="宋体" w:hAnsi="宋体" w:eastAsia="宋体" w:cs="宋体"/>
          <w:spacing w:val="-8"/>
          <w:sz w:val="24"/>
          <w:szCs w:val="24"/>
        </w:rPr>
        <w:t>污染影响范围小，且水文地质条件简单，且为潜水含水层， 一旦事故发</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生后可以有足够的时间来处理，如发生污染事故，应立即将污水</w:t>
      </w:r>
      <w:r>
        <w:rPr>
          <w:rFonts w:ascii="宋体" w:hAnsi="宋体" w:eastAsia="宋体" w:cs="宋体"/>
          <w:spacing w:val="-2"/>
          <w:sz w:val="24"/>
          <w:szCs w:val="24"/>
        </w:rPr>
        <w:t>转移，修复事故区，</w:t>
      </w:r>
    </w:p>
    <w:p>
      <w:pPr>
        <w:spacing w:before="182" w:line="360" w:lineRule="auto"/>
        <w:ind w:left="10" w:right="261"/>
        <w:rPr>
          <w:rFonts w:ascii="宋体" w:hAnsi="宋体" w:eastAsia="宋体" w:cs="宋体"/>
          <w:sz w:val="24"/>
          <w:szCs w:val="24"/>
        </w:rPr>
      </w:pPr>
      <w:r>
        <w:rPr>
          <w:rFonts w:ascii="宋体" w:hAnsi="宋体" w:eastAsia="宋体" w:cs="宋体"/>
          <w:spacing w:val="-1"/>
          <w:sz w:val="24"/>
          <w:szCs w:val="24"/>
        </w:rPr>
        <w:t>并在场地下游进行抽水，将污水抽出处置，同时为下游受影响居民提供桶装饮用水、</w:t>
      </w:r>
      <w:r>
        <w:rPr>
          <w:rFonts w:ascii="宋体" w:hAnsi="宋体" w:eastAsia="宋体" w:cs="宋体"/>
          <w:sz w:val="24"/>
          <w:szCs w:val="24"/>
        </w:rPr>
        <w:t xml:space="preserve"> </w:t>
      </w:r>
      <w:r>
        <w:rPr>
          <w:rFonts w:ascii="宋体" w:hAnsi="宋体" w:eastAsia="宋体" w:cs="宋体"/>
          <w:spacing w:val="-9"/>
          <w:sz w:val="24"/>
          <w:szCs w:val="24"/>
        </w:rPr>
        <w:t>另找水源等保证居民正常用水的措施，采取以上地下水保护措施后，</w:t>
      </w:r>
      <w:r>
        <w:rPr>
          <w:rFonts w:ascii="宋体" w:hAnsi="宋体" w:eastAsia="宋体" w:cs="宋体"/>
          <w:spacing w:val="-49"/>
          <w:sz w:val="24"/>
          <w:szCs w:val="24"/>
        </w:rPr>
        <w:t xml:space="preserve"> </w:t>
      </w:r>
      <w:r>
        <w:rPr>
          <w:rFonts w:ascii="宋体" w:hAnsi="宋体" w:eastAsia="宋体" w:cs="宋体"/>
          <w:spacing w:val="-9"/>
          <w:sz w:val="24"/>
          <w:szCs w:val="24"/>
        </w:rPr>
        <w:t>对居民饮用水井、</w:t>
      </w:r>
    </w:p>
    <w:p>
      <w:pPr>
        <w:spacing w:before="1" w:line="219" w:lineRule="auto"/>
        <w:ind w:left="6"/>
        <w:rPr>
          <w:rFonts w:ascii="宋体" w:hAnsi="宋体" w:eastAsia="宋体" w:cs="宋体"/>
          <w:sz w:val="24"/>
          <w:szCs w:val="24"/>
        </w:rPr>
      </w:pPr>
      <w:r>
        <w:rPr>
          <w:rFonts w:ascii="宋体" w:hAnsi="宋体" w:eastAsia="宋体" w:cs="宋体"/>
          <w:spacing w:val="-5"/>
          <w:sz w:val="24"/>
          <w:szCs w:val="24"/>
        </w:rPr>
        <w:t>泉水的影响可接受。</w:t>
      </w:r>
    </w:p>
    <w:p>
      <w:pPr>
        <w:spacing w:before="183" w:line="360" w:lineRule="auto"/>
        <w:ind w:left="3" w:right="227" w:firstLine="481"/>
        <w:rPr>
          <w:rFonts w:ascii="宋体" w:hAnsi="宋体" w:eastAsia="宋体" w:cs="宋体"/>
          <w:sz w:val="24"/>
          <w:szCs w:val="24"/>
        </w:rPr>
      </w:pPr>
      <w:r>
        <w:rPr>
          <w:rFonts w:ascii="宋体" w:hAnsi="宋体" w:eastAsia="宋体" w:cs="宋体"/>
          <w:spacing w:val="-7"/>
          <w:sz w:val="24"/>
          <w:szCs w:val="24"/>
        </w:rPr>
        <w:t xml:space="preserve">凤探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7"/>
          <w:sz w:val="24"/>
          <w:szCs w:val="24"/>
        </w:rPr>
        <w:t>井钻进过程中，</w:t>
      </w:r>
      <w:r>
        <w:rPr>
          <w:rFonts w:ascii="宋体" w:hAnsi="宋体" w:eastAsia="宋体" w:cs="宋体"/>
          <w:spacing w:val="67"/>
          <w:sz w:val="24"/>
          <w:szCs w:val="24"/>
        </w:rPr>
        <w:t xml:space="preserve"> </w:t>
      </w:r>
      <w:r>
        <w:rPr>
          <w:rFonts w:ascii="宋体" w:hAnsi="宋体" w:eastAsia="宋体" w:cs="宋体"/>
          <w:spacing w:val="-7"/>
          <w:sz w:val="24"/>
          <w:szCs w:val="24"/>
        </w:rPr>
        <w:t>一开段钻井阶段利用清水泥浆迅速钻井，在</w:t>
      </w:r>
      <w:r>
        <w:rPr>
          <w:rFonts w:ascii="宋体" w:hAnsi="宋体" w:eastAsia="宋体" w:cs="宋体"/>
          <w:spacing w:val="-8"/>
          <w:sz w:val="24"/>
          <w:szCs w:val="24"/>
        </w:rPr>
        <w:t>套管的保护下</w:t>
      </w:r>
      <w:r>
        <w:rPr>
          <w:rFonts w:ascii="宋体" w:hAnsi="宋体" w:eastAsia="宋体" w:cs="宋体"/>
          <w:sz w:val="24"/>
          <w:szCs w:val="24"/>
        </w:rPr>
        <w:t xml:space="preserve"> 能有效地保护浅层地下水，每开钻井结束后通过固井作业封隔地层与套管之间的环形</w:t>
      </w:r>
      <w:r>
        <w:rPr>
          <w:rFonts w:ascii="宋体" w:hAnsi="宋体" w:eastAsia="宋体" w:cs="宋体"/>
          <w:spacing w:val="3"/>
          <w:sz w:val="24"/>
          <w:szCs w:val="24"/>
        </w:rPr>
        <w:t xml:space="preserve"> </w:t>
      </w:r>
      <w:r>
        <w:rPr>
          <w:rFonts w:ascii="宋体" w:hAnsi="宋体" w:eastAsia="宋体" w:cs="宋体"/>
          <w:spacing w:val="-3"/>
          <w:sz w:val="24"/>
          <w:szCs w:val="24"/>
        </w:rPr>
        <w:t>空间，也可降低污染物进入地层的风险，在钻井过程对泥浆进行实时监测， 一</w:t>
      </w:r>
      <w:r>
        <w:rPr>
          <w:rFonts w:ascii="宋体" w:hAnsi="宋体" w:eastAsia="宋体" w:cs="宋体"/>
          <w:spacing w:val="-4"/>
          <w:sz w:val="24"/>
          <w:szCs w:val="24"/>
        </w:rPr>
        <w:t>旦有漏</w:t>
      </w:r>
      <w:r>
        <w:rPr>
          <w:rFonts w:ascii="宋体" w:hAnsi="宋体" w:eastAsia="宋体" w:cs="宋体"/>
          <w:sz w:val="24"/>
          <w:szCs w:val="24"/>
        </w:rPr>
        <w:t xml:space="preserve"> 失发生，立即采取堵漏措施。由此可见，非正常工况下污水泄漏对浅层地下水的影响</w:t>
      </w:r>
      <w:r>
        <w:rPr>
          <w:rFonts w:ascii="宋体" w:hAnsi="宋体" w:eastAsia="宋体" w:cs="宋体"/>
          <w:spacing w:val="3"/>
          <w:sz w:val="24"/>
          <w:szCs w:val="24"/>
        </w:rPr>
        <w:t xml:space="preserve"> </w:t>
      </w:r>
      <w:r>
        <w:rPr>
          <w:rFonts w:ascii="宋体" w:hAnsi="宋体" w:eastAsia="宋体" w:cs="宋体"/>
          <w:spacing w:val="-5"/>
          <w:sz w:val="24"/>
          <w:szCs w:val="24"/>
        </w:rPr>
        <w:t>是缓慢的。但未经任何处理的钻井废水中污染物浓度较高，</w:t>
      </w:r>
      <w:r>
        <w:rPr>
          <w:rFonts w:ascii="宋体" w:hAnsi="宋体" w:eastAsia="宋体" w:cs="宋体"/>
          <w:spacing w:val="69"/>
          <w:sz w:val="24"/>
          <w:szCs w:val="24"/>
        </w:rPr>
        <w:t xml:space="preserve"> </w:t>
      </w:r>
      <w:r>
        <w:rPr>
          <w:rFonts w:ascii="宋体" w:hAnsi="宋体" w:eastAsia="宋体" w:cs="宋体"/>
          <w:spacing w:val="-5"/>
          <w:sz w:val="24"/>
          <w:szCs w:val="24"/>
        </w:rPr>
        <w:t>非正常工况下对地下水将</w:t>
      </w:r>
      <w:r>
        <w:rPr>
          <w:rFonts w:ascii="宋体" w:hAnsi="宋体" w:eastAsia="宋体" w:cs="宋体"/>
          <w:sz w:val="24"/>
          <w:szCs w:val="24"/>
        </w:rPr>
        <w:t xml:space="preserve"> </w:t>
      </w:r>
      <w:r>
        <w:rPr>
          <w:rFonts w:ascii="宋体" w:hAnsi="宋体" w:eastAsia="宋体" w:cs="宋体"/>
          <w:spacing w:val="-3"/>
          <w:sz w:val="24"/>
          <w:szCs w:val="24"/>
        </w:rPr>
        <w:t>造成一定影响，因此， 在施工过程中应注重废水池的施工质量，杜绝非正常工况的发</w:t>
      </w:r>
      <w:r>
        <w:rPr>
          <w:rFonts w:ascii="宋体" w:hAnsi="宋体" w:eastAsia="宋体" w:cs="宋体"/>
          <w:sz w:val="24"/>
          <w:szCs w:val="24"/>
        </w:rPr>
        <w:t xml:space="preserve"> 生，同时还应制定废水泄漏风险防范措施。发生风险事故后，通过及时处理，工程建</w:t>
      </w:r>
    </w:p>
    <w:p>
      <w:pPr>
        <w:spacing w:before="1" w:line="219" w:lineRule="auto"/>
        <w:ind w:left="8"/>
        <w:rPr>
          <w:rFonts w:ascii="宋体" w:hAnsi="宋体" w:eastAsia="宋体" w:cs="宋体"/>
          <w:sz w:val="24"/>
          <w:szCs w:val="24"/>
        </w:rPr>
      </w:pPr>
      <w:r>
        <w:rPr>
          <w:rFonts w:ascii="宋体" w:hAnsi="宋体" w:eastAsia="宋体" w:cs="宋体"/>
          <w:spacing w:val="-4"/>
          <w:sz w:val="24"/>
          <w:szCs w:val="24"/>
        </w:rPr>
        <w:t>设对地下水环境影响可接受。</w:t>
      </w:r>
    </w:p>
    <w:p>
      <w:pPr>
        <w:pStyle w:val="2"/>
        <w:spacing w:line="265" w:lineRule="auto"/>
        <w:rPr>
          <w:sz w:val="21"/>
        </w:rPr>
      </w:pPr>
    </w:p>
    <w:p>
      <w:pPr>
        <w:spacing w:before="91" w:line="219" w:lineRule="auto"/>
        <w:rPr>
          <w:rFonts w:ascii="宋体" w:hAnsi="宋体" w:eastAsia="宋体" w:cs="宋体"/>
          <w:sz w:val="28"/>
          <w:szCs w:val="28"/>
        </w:rPr>
      </w:pPr>
      <w:r>
        <w:rPr>
          <w:rFonts w:ascii="Times New Roman" w:hAnsi="Times New Roman" w:eastAsia="Times New Roman" w:cs="Times New Roman"/>
          <w:b/>
          <w:bCs/>
          <w:spacing w:val="-1"/>
          <w:sz w:val="28"/>
          <w:szCs w:val="28"/>
        </w:rPr>
        <w:t>3.9.3</w:t>
      </w:r>
      <w:r>
        <w:rPr>
          <w:rFonts w:ascii="Times New Roman" w:hAnsi="Times New Roman" w:eastAsia="Times New Roman" w:cs="Times New Roman"/>
          <w:b/>
          <w:bCs/>
          <w:spacing w:val="17"/>
          <w:sz w:val="28"/>
          <w:szCs w:val="28"/>
        </w:rPr>
        <w:t xml:space="preserve">  </w:t>
      </w:r>
      <w:r>
        <w:rPr>
          <w:rFonts w:ascii="宋体" w:hAnsi="宋体" w:eastAsia="宋体" w:cs="宋体"/>
          <w:spacing w:val="-1"/>
          <w:sz w:val="28"/>
          <w:szCs w:val="28"/>
          <w14:textOutline w14:w="5094" w14:cap="flat" w14:cmpd="sng">
            <w14:solidFill>
              <w14:srgbClr w14:val="000000"/>
            </w14:solidFill>
            <w14:prstDash w14:val="solid"/>
            <w14:miter w14:val="10"/>
          </w14:textOutline>
        </w:rPr>
        <w:t>地下水影响评价</w:t>
      </w:r>
    </w:p>
    <w:p>
      <w:pPr>
        <w:pStyle w:val="2"/>
        <w:spacing w:line="277" w:lineRule="auto"/>
        <w:rPr>
          <w:sz w:val="21"/>
        </w:rPr>
      </w:pPr>
    </w:p>
    <w:p>
      <w:pPr>
        <w:spacing w:before="78" w:line="360" w:lineRule="auto"/>
        <w:ind w:left="4" w:right="225" w:firstLine="539"/>
        <w:jc w:val="both"/>
        <w:rPr>
          <w:rFonts w:ascii="宋体" w:hAnsi="宋体" w:eastAsia="宋体" w:cs="宋体"/>
          <w:sz w:val="24"/>
          <w:szCs w:val="24"/>
        </w:rPr>
      </w:pPr>
      <w:r>
        <w:rPr>
          <w:rFonts w:ascii="宋体" w:hAnsi="宋体" w:eastAsia="宋体" w:cs="宋体"/>
          <w:spacing w:val="-11"/>
          <w:sz w:val="24"/>
          <w:szCs w:val="24"/>
        </w:rPr>
        <w:t>应急池中废水泄漏后会对浅层地下水造成一定的影响，</w:t>
      </w:r>
      <w:r>
        <w:rPr>
          <w:rFonts w:ascii="宋体" w:hAnsi="宋体" w:eastAsia="宋体" w:cs="宋体"/>
          <w:spacing w:val="50"/>
          <w:sz w:val="24"/>
          <w:szCs w:val="24"/>
        </w:rPr>
        <w:t xml:space="preserve"> </w:t>
      </w:r>
      <w:r>
        <w:rPr>
          <w:rFonts w:ascii="宋体" w:hAnsi="宋体" w:eastAsia="宋体" w:cs="宋体"/>
          <w:spacing w:val="-11"/>
          <w:sz w:val="24"/>
          <w:szCs w:val="24"/>
        </w:rPr>
        <w:t>根据模拟结果，</w:t>
      </w:r>
      <w:r>
        <w:rPr>
          <w:rFonts w:ascii="宋体" w:hAnsi="宋体" w:eastAsia="宋体" w:cs="宋体"/>
          <w:spacing w:val="46"/>
          <w:sz w:val="24"/>
          <w:szCs w:val="24"/>
        </w:rPr>
        <w:t xml:space="preserve"> </w:t>
      </w:r>
      <w:r>
        <w:rPr>
          <w:rFonts w:ascii="宋体" w:hAnsi="宋体" w:eastAsia="宋体" w:cs="宋体"/>
          <w:spacing w:val="-11"/>
          <w:sz w:val="24"/>
          <w:szCs w:val="24"/>
        </w:rPr>
        <w:t>污染物超</w:t>
      </w:r>
      <w:r>
        <w:rPr>
          <w:rFonts w:ascii="宋体" w:hAnsi="宋体" w:eastAsia="宋体" w:cs="宋体"/>
          <w:sz w:val="24"/>
          <w:szCs w:val="24"/>
        </w:rPr>
        <w:t xml:space="preserve"> </w:t>
      </w:r>
      <w:r>
        <w:rPr>
          <w:rFonts w:ascii="宋体" w:hAnsi="宋体" w:eastAsia="宋体" w:cs="宋体"/>
          <w:spacing w:val="-12"/>
          <w:sz w:val="24"/>
          <w:szCs w:val="24"/>
        </w:rPr>
        <w:t>标的最远距离为</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152m</w:t>
      </w:r>
      <w:r>
        <w:rPr>
          <w:rFonts w:ascii="宋体" w:hAnsi="宋体" w:eastAsia="宋体" w:cs="宋体"/>
          <w:spacing w:val="-12"/>
          <w:sz w:val="24"/>
          <w:szCs w:val="24"/>
        </w:rPr>
        <w:t>，污染影响范围及迁移距离有限，</w:t>
      </w:r>
      <w:r>
        <w:rPr>
          <w:rFonts w:ascii="宋体" w:hAnsi="宋体" w:eastAsia="宋体" w:cs="宋体"/>
          <w:spacing w:val="56"/>
          <w:sz w:val="24"/>
          <w:szCs w:val="24"/>
        </w:rPr>
        <w:t xml:space="preserve"> </w:t>
      </w:r>
      <w:r>
        <w:rPr>
          <w:rFonts w:ascii="宋体" w:hAnsi="宋体" w:eastAsia="宋体" w:cs="宋体"/>
          <w:spacing w:val="-12"/>
          <w:sz w:val="24"/>
          <w:szCs w:val="24"/>
        </w:rPr>
        <w:t>由于不是持续的污</w:t>
      </w:r>
      <w:r>
        <w:rPr>
          <w:rFonts w:ascii="宋体" w:hAnsi="宋体" w:eastAsia="宋体" w:cs="宋体"/>
          <w:spacing w:val="-13"/>
          <w:sz w:val="24"/>
          <w:szCs w:val="24"/>
        </w:rPr>
        <w:t>染源，</w:t>
      </w:r>
      <w:r>
        <w:rPr>
          <w:rFonts w:ascii="宋体" w:hAnsi="宋体" w:eastAsia="宋体" w:cs="宋体"/>
          <w:spacing w:val="31"/>
          <w:sz w:val="24"/>
          <w:szCs w:val="24"/>
        </w:rPr>
        <w:t xml:space="preserve"> </w:t>
      </w:r>
      <w:r>
        <w:rPr>
          <w:rFonts w:ascii="宋体" w:hAnsi="宋体" w:eastAsia="宋体" w:cs="宋体"/>
          <w:spacing w:val="-13"/>
          <w:sz w:val="24"/>
          <w:szCs w:val="24"/>
        </w:rPr>
        <w:t>故在</w:t>
      </w:r>
      <w:r>
        <w:rPr>
          <w:rFonts w:ascii="宋体" w:hAnsi="宋体" w:eastAsia="宋体" w:cs="宋体"/>
          <w:sz w:val="24"/>
          <w:szCs w:val="24"/>
        </w:rPr>
        <w:t xml:space="preserve"> 地下水自净作用下污染物影响范围在一段时间后会逐渐减小，超标范围最终会消失不</w:t>
      </w:r>
    </w:p>
    <w:p>
      <w:pPr>
        <w:spacing w:before="1" w:line="232" w:lineRule="auto"/>
        <w:ind w:left="8"/>
        <w:rPr>
          <w:rFonts w:ascii="宋体" w:hAnsi="宋体" w:eastAsia="宋体" w:cs="宋体"/>
          <w:sz w:val="24"/>
          <w:szCs w:val="24"/>
        </w:rPr>
      </w:pPr>
      <w:r>
        <w:rPr>
          <w:rFonts w:ascii="宋体" w:hAnsi="宋体" w:eastAsia="宋体" w:cs="宋体"/>
          <w:spacing w:val="-1"/>
          <w:sz w:val="24"/>
          <w:szCs w:val="24"/>
        </w:rPr>
        <w:t>见，下游最近的水井、泉水距离井口</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314m</w:t>
      </w:r>
      <w:r>
        <w:rPr>
          <w:rFonts w:ascii="宋体" w:hAnsi="宋体" w:eastAsia="宋体" w:cs="宋体"/>
          <w:spacing w:val="-1"/>
          <w:sz w:val="24"/>
          <w:szCs w:val="24"/>
        </w:rPr>
        <w:t>，非正常工况下，不会</w:t>
      </w:r>
      <w:r>
        <w:rPr>
          <w:rFonts w:ascii="宋体" w:hAnsi="宋体" w:eastAsia="宋体" w:cs="宋体"/>
          <w:spacing w:val="-2"/>
          <w:sz w:val="24"/>
          <w:szCs w:val="24"/>
        </w:rPr>
        <w:t>对下游分散式水井、</w:t>
      </w:r>
    </w:p>
    <w:p>
      <w:pPr>
        <w:spacing w:line="232" w:lineRule="auto"/>
        <w:rPr>
          <w:rFonts w:ascii="宋体" w:hAnsi="宋体" w:eastAsia="宋体" w:cs="宋体"/>
          <w:sz w:val="24"/>
          <w:szCs w:val="24"/>
        </w:rPr>
        <w:sectPr>
          <w:footerReference r:id="rId186" w:type="default"/>
          <w:pgSz w:w="11907" w:h="16839"/>
          <w:pgMar w:top="400" w:right="1189" w:bottom="1151" w:left="1593" w:header="0" w:footer="988" w:gutter="0"/>
          <w:cols w:space="720" w:num="1"/>
        </w:sectPr>
      </w:pPr>
    </w:p>
    <w:p>
      <w:pPr>
        <w:pStyle w:val="2"/>
        <w:spacing w:line="267"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78" w:line="360" w:lineRule="auto"/>
        <w:ind w:left="3" w:right="93" w:firstLine="2"/>
        <w:rPr>
          <w:rFonts w:ascii="宋体" w:hAnsi="宋体" w:eastAsia="宋体" w:cs="宋体"/>
          <w:sz w:val="24"/>
          <w:szCs w:val="24"/>
        </w:rPr>
      </w:pPr>
      <w:r>
        <w:rPr>
          <w:rFonts w:ascii="宋体" w:hAnsi="宋体" w:eastAsia="宋体" w:cs="宋体"/>
          <w:sz w:val="24"/>
          <w:szCs w:val="24"/>
        </w:rPr>
        <w:t xml:space="preserve">泉水产生影响，同时井场周边，地下水径流速度慢，含水层有效孔隙度小，污染物扩 </w:t>
      </w:r>
      <w:r>
        <w:rPr>
          <w:rFonts w:ascii="宋体" w:hAnsi="宋体" w:eastAsia="宋体" w:cs="宋体"/>
          <w:spacing w:val="-8"/>
          <w:sz w:val="24"/>
          <w:szCs w:val="24"/>
        </w:rPr>
        <w:t>散速度较慢，</w:t>
      </w:r>
      <w:r>
        <w:rPr>
          <w:rFonts w:ascii="宋体" w:hAnsi="宋体" w:eastAsia="宋体" w:cs="宋体"/>
          <w:spacing w:val="67"/>
          <w:sz w:val="24"/>
          <w:szCs w:val="24"/>
        </w:rPr>
        <w:t xml:space="preserve"> </w:t>
      </w:r>
      <w:r>
        <w:rPr>
          <w:rFonts w:ascii="宋体" w:hAnsi="宋体" w:eastAsia="宋体" w:cs="宋体"/>
          <w:spacing w:val="-8"/>
          <w:sz w:val="24"/>
          <w:szCs w:val="24"/>
        </w:rPr>
        <w:t>污染影响范围小，且水文地质条件简单，且为潜水含水层， 一旦事故发</w:t>
      </w:r>
      <w:r>
        <w:rPr>
          <w:rFonts w:ascii="宋体" w:hAnsi="宋体" w:eastAsia="宋体" w:cs="宋体"/>
          <w:sz w:val="24"/>
          <w:szCs w:val="24"/>
        </w:rPr>
        <w:t xml:space="preserve"> </w:t>
      </w:r>
      <w:r>
        <w:rPr>
          <w:rFonts w:ascii="宋体" w:hAnsi="宋体" w:eastAsia="宋体" w:cs="宋体"/>
          <w:spacing w:val="-1"/>
          <w:sz w:val="24"/>
          <w:szCs w:val="24"/>
        </w:rPr>
        <w:t>生后可以有足够的时间来处理，如发生污染事故，应立</w:t>
      </w:r>
      <w:r>
        <w:rPr>
          <w:rFonts w:ascii="宋体" w:hAnsi="宋体" w:eastAsia="宋体" w:cs="宋体"/>
          <w:spacing w:val="-2"/>
          <w:sz w:val="24"/>
          <w:szCs w:val="24"/>
        </w:rPr>
        <w:t>即将污水转移，修复事故区，</w:t>
      </w:r>
      <w:r>
        <w:rPr>
          <w:rFonts w:ascii="宋体" w:hAnsi="宋体" w:eastAsia="宋体" w:cs="宋体"/>
          <w:sz w:val="24"/>
          <w:szCs w:val="24"/>
        </w:rPr>
        <w:t xml:space="preserve"> </w:t>
      </w:r>
      <w:r>
        <w:rPr>
          <w:rFonts w:ascii="宋体" w:hAnsi="宋体" w:eastAsia="宋体" w:cs="宋体"/>
          <w:spacing w:val="-1"/>
          <w:sz w:val="24"/>
          <w:szCs w:val="24"/>
        </w:rPr>
        <w:t>并在场地下游进行抽水，将污水抽出处置，同时为下游受影响居民提供桶装饮用水、</w:t>
      </w:r>
      <w:r>
        <w:rPr>
          <w:rFonts w:ascii="宋体" w:hAnsi="宋体" w:eastAsia="宋体" w:cs="宋体"/>
          <w:spacing w:val="5"/>
          <w:sz w:val="24"/>
          <w:szCs w:val="24"/>
        </w:rPr>
        <w:t xml:space="preserve"> </w:t>
      </w:r>
      <w:r>
        <w:rPr>
          <w:rFonts w:ascii="宋体" w:hAnsi="宋体" w:eastAsia="宋体" w:cs="宋体"/>
          <w:spacing w:val="-3"/>
          <w:sz w:val="24"/>
          <w:szCs w:val="24"/>
        </w:rPr>
        <w:t>另找水源等保证居民正常用水的措施，采取以上地下水保护措施后， 对居民饮用</w:t>
      </w:r>
      <w:r>
        <w:rPr>
          <w:rFonts w:ascii="宋体" w:hAnsi="宋体" w:eastAsia="宋体" w:cs="宋体"/>
          <w:spacing w:val="-4"/>
          <w:sz w:val="24"/>
          <w:szCs w:val="24"/>
        </w:rPr>
        <w:t>水井</w:t>
      </w:r>
    </w:p>
    <w:p>
      <w:pPr>
        <w:spacing w:before="1" w:line="220" w:lineRule="auto"/>
        <w:ind w:left="24"/>
        <w:rPr>
          <w:rFonts w:ascii="宋体" w:hAnsi="宋体" w:eastAsia="宋体" w:cs="宋体"/>
          <w:sz w:val="24"/>
          <w:szCs w:val="24"/>
        </w:rPr>
      </w:pPr>
      <w:r>
        <w:rPr>
          <w:rFonts w:ascii="宋体" w:hAnsi="宋体" w:eastAsia="宋体" w:cs="宋体"/>
          <w:spacing w:val="-8"/>
          <w:sz w:val="24"/>
          <w:szCs w:val="24"/>
        </w:rPr>
        <w:t>的影响可接受。</w:t>
      </w:r>
    </w:p>
    <w:p>
      <w:pPr>
        <w:spacing w:before="181" w:line="360" w:lineRule="auto"/>
        <w:ind w:left="3" w:right="85" w:firstLine="541"/>
        <w:jc w:val="both"/>
        <w:rPr>
          <w:rFonts w:ascii="宋体" w:hAnsi="宋体" w:eastAsia="宋体" w:cs="宋体"/>
          <w:sz w:val="24"/>
          <w:szCs w:val="24"/>
        </w:rPr>
      </w:pPr>
      <w:r>
        <w:rPr>
          <w:rFonts w:ascii="宋体" w:hAnsi="宋体" w:eastAsia="宋体" w:cs="宋体"/>
          <w:spacing w:val="-11"/>
          <w:sz w:val="24"/>
          <w:szCs w:val="24"/>
        </w:rPr>
        <w:t>凤探</w:t>
      </w:r>
      <w:r>
        <w:rPr>
          <w:rFonts w:ascii="宋体" w:hAnsi="宋体" w:eastAsia="宋体" w:cs="宋体"/>
          <w:spacing w:val="-31"/>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井钻进过程中，</w:t>
      </w:r>
      <w:r>
        <w:rPr>
          <w:rFonts w:ascii="宋体" w:hAnsi="宋体" w:eastAsia="宋体" w:cs="宋体"/>
          <w:spacing w:val="48"/>
          <w:sz w:val="24"/>
          <w:szCs w:val="24"/>
        </w:rPr>
        <w:t xml:space="preserve"> </w:t>
      </w:r>
      <w:r>
        <w:rPr>
          <w:rFonts w:ascii="宋体" w:hAnsi="宋体" w:eastAsia="宋体" w:cs="宋体"/>
          <w:spacing w:val="-11"/>
          <w:sz w:val="24"/>
          <w:szCs w:val="24"/>
        </w:rPr>
        <w:t>一开段钻井阶段利用清水泥</w:t>
      </w:r>
      <w:r>
        <w:rPr>
          <w:rFonts w:ascii="宋体" w:hAnsi="宋体" w:eastAsia="宋体" w:cs="宋体"/>
          <w:spacing w:val="-12"/>
          <w:sz w:val="24"/>
          <w:szCs w:val="24"/>
        </w:rPr>
        <w:t>浆迅速钻井，</w:t>
      </w:r>
      <w:r>
        <w:rPr>
          <w:rFonts w:ascii="宋体" w:hAnsi="宋体" w:eastAsia="宋体" w:cs="宋体"/>
          <w:spacing w:val="42"/>
          <w:sz w:val="24"/>
          <w:szCs w:val="24"/>
        </w:rPr>
        <w:t xml:space="preserve"> </w:t>
      </w:r>
      <w:r>
        <w:rPr>
          <w:rFonts w:ascii="宋体" w:hAnsi="宋体" w:eastAsia="宋体" w:cs="宋体"/>
          <w:spacing w:val="-12"/>
          <w:sz w:val="24"/>
          <w:szCs w:val="24"/>
        </w:rPr>
        <w:t>在套管的保护下</w:t>
      </w:r>
      <w:r>
        <w:rPr>
          <w:rFonts w:ascii="宋体" w:hAnsi="宋体" w:eastAsia="宋体" w:cs="宋体"/>
          <w:sz w:val="24"/>
          <w:szCs w:val="24"/>
        </w:rPr>
        <w:t xml:space="preserve"> 能有效地保护浅层地下水，每开钻井结束后通过固井作业封隔地层与套管之间的环形</w:t>
      </w:r>
      <w:r>
        <w:rPr>
          <w:rFonts w:ascii="宋体" w:hAnsi="宋体" w:eastAsia="宋体" w:cs="宋体"/>
          <w:spacing w:val="3"/>
          <w:sz w:val="24"/>
          <w:szCs w:val="24"/>
        </w:rPr>
        <w:t xml:space="preserve"> </w:t>
      </w:r>
      <w:r>
        <w:rPr>
          <w:rFonts w:ascii="宋体" w:hAnsi="宋体" w:eastAsia="宋体" w:cs="宋体"/>
          <w:spacing w:val="-3"/>
          <w:sz w:val="24"/>
          <w:szCs w:val="24"/>
        </w:rPr>
        <w:t>空间，也可降低污染物进入地层的风险，在钻井过程对泥浆进行实时监测， 一</w:t>
      </w:r>
      <w:r>
        <w:rPr>
          <w:rFonts w:ascii="宋体" w:hAnsi="宋体" w:eastAsia="宋体" w:cs="宋体"/>
          <w:spacing w:val="-4"/>
          <w:sz w:val="24"/>
          <w:szCs w:val="24"/>
        </w:rPr>
        <w:t>旦有漏</w:t>
      </w:r>
      <w:r>
        <w:rPr>
          <w:rFonts w:ascii="宋体" w:hAnsi="宋体" w:eastAsia="宋体" w:cs="宋体"/>
          <w:sz w:val="24"/>
          <w:szCs w:val="24"/>
        </w:rPr>
        <w:t xml:space="preserve"> 失发生，立即采取堵漏措施。由此可见，非正常工况下污水泄漏对浅层地下水的影响</w:t>
      </w:r>
      <w:r>
        <w:rPr>
          <w:rFonts w:ascii="宋体" w:hAnsi="宋体" w:eastAsia="宋体" w:cs="宋体"/>
          <w:spacing w:val="3"/>
          <w:sz w:val="24"/>
          <w:szCs w:val="24"/>
        </w:rPr>
        <w:t xml:space="preserve"> </w:t>
      </w:r>
      <w:r>
        <w:rPr>
          <w:rFonts w:ascii="宋体" w:hAnsi="宋体" w:eastAsia="宋体" w:cs="宋体"/>
          <w:spacing w:val="-5"/>
          <w:sz w:val="24"/>
          <w:szCs w:val="24"/>
        </w:rPr>
        <w:t>是缓慢的。但未经任何处理的钻井废水中污染物浓度较高，</w:t>
      </w:r>
      <w:r>
        <w:rPr>
          <w:rFonts w:ascii="宋体" w:hAnsi="宋体" w:eastAsia="宋体" w:cs="宋体"/>
          <w:spacing w:val="69"/>
          <w:sz w:val="24"/>
          <w:szCs w:val="24"/>
        </w:rPr>
        <w:t xml:space="preserve"> </w:t>
      </w:r>
      <w:r>
        <w:rPr>
          <w:rFonts w:ascii="宋体" w:hAnsi="宋体" w:eastAsia="宋体" w:cs="宋体"/>
          <w:spacing w:val="-5"/>
          <w:sz w:val="24"/>
          <w:szCs w:val="24"/>
        </w:rPr>
        <w:t>非正常工况下对地下水将</w:t>
      </w:r>
      <w:r>
        <w:rPr>
          <w:rFonts w:ascii="宋体" w:hAnsi="宋体" w:eastAsia="宋体" w:cs="宋体"/>
          <w:sz w:val="24"/>
          <w:szCs w:val="24"/>
        </w:rPr>
        <w:t xml:space="preserve"> </w:t>
      </w:r>
      <w:r>
        <w:rPr>
          <w:rFonts w:ascii="宋体" w:hAnsi="宋体" w:eastAsia="宋体" w:cs="宋体"/>
          <w:spacing w:val="-3"/>
          <w:sz w:val="24"/>
          <w:szCs w:val="24"/>
        </w:rPr>
        <w:t>造成一定影响，因此， 在施工过程中应注重应急池的施工质量，杜绝非正常工况的发</w:t>
      </w:r>
      <w:r>
        <w:rPr>
          <w:rFonts w:ascii="宋体" w:hAnsi="宋体" w:eastAsia="宋体" w:cs="宋体"/>
          <w:sz w:val="24"/>
          <w:szCs w:val="24"/>
        </w:rPr>
        <w:t xml:space="preserve"> </w:t>
      </w:r>
      <w:r>
        <w:rPr>
          <w:rFonts w:ascii="宋体" w:hAnsi="宋体" w:eastAsia="宋体" w:cs="宋体"/>
          <w:spacing w:val="-5"/>
          <w:sz w:val="24"/>
          <w:szCs w:val="24"/>
        </w:rPr>
        <w:t>生，建议设置地表水三级防控机制，</w:t>
      </w:r>
      <w:r>
        <w:rPr>
          <w:rFonts w:ascii="宋体" w:hAnsi="宋体" w:eastAsia="宋体" w:cs="宋体"/>
          <w:spacing w:val="68"/>
          <w:sz w:val="24"/>
          <w:szCs w:val="24"/>
        </w:rPr>
        <w:t xml:space="preserve"> </w:t>
      </w:r>
      <w:r>
        <w:rPr>
          <w:rFonts w:ascii="宋体" w:hAnsi="宋体" w:eastAsia="宋体" w:cs="宋体"/>
          <w:spacing w:val="-5"/>
          <w:sz w:val="24"/>
          <w:szCs w:val="24"/>
        </w:rPr>
        <w:t>一旦发生废水外溢，要立即启动废水外溢应急预</w:t>
      </w:r>
      <w:r>
        <w:rPr>
          <w:rFonts w:ascii="宋体" w:hAnsi="宋体" w:eastAsia="宋体" w:cs="宋体"/>
          <w:sz w:val="24"/>
          <w:szCs w:val="24"/>
        </w:rPr>
        <w:t xml:space="preserve"> 案，对井场周边地表水进行应急监测，同时与当地政府和居民进行及时沟通，对废水</w:t>
      </w:r>
      <w:r>
        <w:rPr>
          <w:rFonts w:ascii="宋体" w:hAnsi="宋体" w:eastAsia="宋体" w:cs="宋体"/>
          <w:spacing w:val="3"/>
          <w:sz w:val="24"/>
          <w:szCs w:val="24"/>
        </w:rPr>
        <w:t xml:space="preserve"> </w:t>
      </w:r>
      <w:r>
        <w:rPr>
          <w:rFonts w:ascii="宋体" w:hAnsi="宋体" w:eastAsia="宋体" w:cs="宋体"/>
          <w:sz w:val="24"/>
          <w:szCs w:val="24"/>
        </w:rPr>
        <w:t>外溢造成的农业损失进行赔偿，避免居民投诉事件发生。发生风险事故后，通过及时</w:t>
      </w:r>
    </w:p>
    <w:p>
      <w:pPr>
        <w:spacing w:line="219" w:lineRule="auto"/>
        <w:ind w:left="9"/>
        <w:rPr>
          <w:rFonts w:ascii="宋体" w:hAnsi="宋体" w:eastAsia="宋体" w:cs="宋体"/>
          <w:sz w:val="24"/>
          <w:szCs w:val="24"/>
        </w:rPr>
      </w:pPr>
      <w:r>
        <w:rPr>
          <w:rFonts w:ascii="宋体" w:hAnsi="宋体" w:eastAsia="宋体" w:cs="宋体"/>
          <w:spacing w:val="-3"/>
          <w:sz w:val="24"/>
          <w:szCs w:val="24"/>
        </w:rPr>
        <w:t>处理，工程</w:t>
      </w:r>
      <w:r>
        <w:rPr>
          <w:rFonts w:hint="eastAsia" w:ascii="宋体" w:hAnsi="宋体" w:eastAsia="宋体" w:cs="宋体"/>
          <w:spacing w:val="-3"/>
          <w:sz w:val="24"/>
          <w:szCs w:val="24"/>
        </w:rPr>
        <w:t>建设用地</w:t>
      </w:r>
      <w:r>
        <w:rPr>
          <w:rFonts w:ascii="宋体" w:hAnsi="宋体" w:eastAsia="宋体" w:cs="宋体"/>
          <w:spacing w:val="-3"/>
          <w:sz w:val="24"/>
          <w:szCs w:val="24"/>
        </w:rPr>
        <w:t>下水环境影响可接受。</w:t>
      </w:r>
    </w:p>
    <w:p>
      <w:pPr>
        <w:spacing w:before="338" w:line="760" w:lineRule="exact"/>
        <w:rPr>
          <w:rFonts w:ascii="宋体" w:hAnsi="宋体" w:eastAsia="宋体" w:cs="宋体"/>
          <w:sz w:val="31"/>
          <w:szCs w:val="31"/>
        </w:rPr>
      </w:pPr>
      <w:bookmarkStart w:id="25" w:name="bookmark26"/>
      <w:bookmarkEnd w:id="25"/>
      <w:r>
        <w:rPr>
          <w:rFonts w:ascii="Times New Roman" w:hAnsi="Times New Roman" w:eastAsia="Times New Roman" w:cs="Times New Roman"/>
          <w:b/>
          <w:bCs/>
          <w:spacing w:val="7"/>
          <w:position w:val="34"/>
          <w:sz w:val="31"/>
          <w:szCs w:val="31"/>
        </w:rPr>
        <w:t xml:space="preserve">3.10    </w:t>
      </w:r>
      <w:r>
        <w:rPr>
          <w:rFonts w:ascii="宋体" w:hAnsi="宋体" w:eastAsia="宋体" w:cs="宋体"/>
          <w:spacing w:val="7"/>
          <w:position w:val="34"/>
          <w:sz w:val="31"/>
          <w:szCs w:val="31"/>
          <w14:textOutline w14:w="5791" w14:cap="flat" w14:cmpd="sng">
            <w14:solidFill>
              <w14:srgbClr w14:val="000000"/>
            </w14:solidFill>
            <w14:prstDash w14:val="solid"/>
            <w14:miter w14:val="10"/>
          </w14:textOutline>
        </w:rPr>
        <w:t>地下水环境风险评价</w:t>
      </w:r>
    </w:p>
    <w:p>
      <w:pPr>
        <w:spacing w:line="220" w:lineRule="auto"/>
        <w:rPr>
          <w:rFonts w:ascii="宋体" w:hAnsi="宋体" w:eastAsia="宋体" w:cs="宋体"/>
          <w:sz w:val="28"/>
          <w:szCs w:val="28"/>
        </w:rPr>
      </w:pPr>
      <w:r>
        <w:rPr>
          <w:rFonts w:ascii="Times New Roman" w:hAnsi="Times New Roman" w:eastAsia="Times New Roman" w:cs="Times New Roman"/>
          <w:b/>
          <w:bCs/>
          <w:spacing w:val="1"/>
          <w:sz w:val="28"/>
          <w:szCs w:val="28"/>
        </w:rPr>
        <w:t>3.10.1</w:t>
      </w:r>
      <w:r>
        <w:rPr>
          <w:rFonts w:ascii="宋体" w:hAnsi="宋体" w:eastAsia="宋体" w:cs="宋体"/>
          <w:spacing w:val="1"/>
          <w:sz w:val="28"/>
          <w:szCs w:val="28"/>
          <w14:textOutline w14:w="5094" w14:cap="flat" w14:cmpd="sng">
            <w14:solidFill>
              <w14:srgbClr w14:val="000000"/>
            </w14:solidFill>
            <w14:prstDash w14:val="solid"/>
            <w14:miter w14:val="10"/>
          </w14:textOutline>
        </w:rPr>
        <w:t>地下水环境风险</w:t>
      </w:r>
    </w:p>
    <w:p>
      <w:pPr>
        <w:pStyle w:val="2"/>
        <w:spacing w:line="274" w:lineRule="auto"/>
        <w:rPr>
          <w:sz w:val="21"/>
        </w:rPr>
      </w:pPr>
    </w:p>
    <w:p>
      <w:pPr>
        <w:spacing w:before="78" w:line="468" w:lineRule="exact"/>
        <w:ind w:left="489"/>
        <w:rPr>
          <w:rFonts w:ascii="宋体" w:hAnsi="宋体" w:eastAsia="宋体" w:cs="宋体"/>
          <w:sz w:val="24"/>
          <w:szCs w:val="24"/>
        </w:rPr>
      </w:pPr>
      <w:r>
        <w:rPr>
          <w:rFonts w:ascii="宋体" w:hAnsi="宋体" w:eastAsia="宋体" w:cs="宋体"/>
          <w:position w:val="17"/>
          <w:sz w:val="24"/>
          <w:szCs w:val="24"/>
        </w:rPr>
        <w:t>正常工况下，钻井工程对地下水影响不大，事</w:t>
      </w:r>
      <w:r>
        <w:rPr>
          <w:rFonts w:ascii="宋体" w:hAnsi="宋体" w:eastAsia="宋体" w:cs="宋体"/>
          <w:spacing w:val="-1"/>
          <w:position w:val="17"/>
          <w:sz w:val="24"/>
          <w:szCs w:val="24"/>
        </w:rPr>
        <w:t>故工程下，钻井过程对地下水可能</w:t>
      </w:r>
    </w:p>
    <w:p>
      <w:pPr>
        <w:spacing w:before="1" w:line="218" w:lineRule="auto"/>
        <w:ind w:left="4"/>
        <w:rPr>
          <w:rFonts w:ascii="宋体" w:hAnsi="宋体" w:eastAsia="宋体" w:cs="宋体"/>
          <w:sz w:val="24"/>
          <w:szCs w:val="24"/>
        </w:rPr>
      </w:pPr>
      <w:r>
        <w:rPr>
          <w:rFonts w:ascii="宋体" w:hAnsi="宋体" w:eastAsia="宋体" w:cs="宋体"/>
          <w:spacing w:val="-4"/>
          <w:sz w:val="24"/>
          <w:szCs w:val="24"/>
        </w:rPr>
        <w:t>产生不利影响的途径主要有以下几个方面：</w:t>
      </w:r>
    </w:p>
    <w:p>
      <w:pPr>
        <w:spacing w:before="184" w:line="220" w:lineRule="auto"/>
        <w:ind w:left="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）钻井过程中井漏</w:t>
      </w:r>
    </w:p>
    <w:p>
      <w:pPr>
        <w:spacing w:before="181" w:line="360" w:lineRule="auto"/>
        <w:ind w:left="4" w:firstLine="479"/>
        <w:rPr>
          <w:rFonts w:ascii="宋体" w:hAnsi="宋体" w:eastAsia="宋体" w:cs="宋体"/>
          <w:sz w:val="24"/>
          <w:szCs w:val="24"/>
        </w:rPr>
      </w:pPr>
      <w:r>
        <w:rPr>
          <w:rFonts w:ascii="宋体" w:hAnsi="宋体" w:eastAsia="宋体" w:cs="宋体"/>
          <w:spacing w:val="-6"/>
          <w:sz w:val="24"/>
          <w:szCs w:val="24"/>
        </w:rPr>
        <w:t>井漏是钻井过程中遇到复杂地层，</w:t>
      </w:r>
      <w:r>
        <w:rPr>
          <w:rFonts w:ascii="宋体" w:hAnsi="宋体" w:eastAsia="宋体" w:cs="宋体"/>
          <w:spacing w:val="46"/>
          <w:sz w:val="24"/>
          <w:szCs w:val="24"/>
        </w:rPr>
        <w:t xml:space="preserve"> </w:t>
      </w:r>
      <w:r>
        <w:rPr>
          <w:rFonts w:ascii="宋体" w:hAnsi="宋体" w:eastAsia="宋体" w:cs="宋体"/>
          <w:spacing w:val="-6"/>
          <w:sz w:val="24"/>
          <w:szCs w:val="24"/>
        </w:rPr>
        <w:t>泥浆或其他介质</w:t>
      </w:r>
      <w:r>
        <w:rPr>
          <w:rFonts w:ascii="Times New Roman" w:hAnsi="Times New Roman" w:eastAsia="Times New Roman" w:cs="Times New Roman"/>
          <w:spacing w:val="-6"/>
          <w:sz w:val="24"/>
          <w:szCs w:val="24"/>
        </w:rPr>
        <w:t>(</w:t>
      </w:r>
      <w:r>
        <w:rPr>
          <w:rFonts w:ascii="宋体" w:hAnsi="宋体" w:eastAsia="宋体" w:cs="宋体"/>
          <w:spacing w:val="-6"/>
          <w:sz w:val="24"/>
          <w:szCs w:val="24"/>
        </w:rPr>
        <w:t>固井水泥浆等</w:t>
      </w:r>
      <w:r>
        <w:rPr>
          <w:rFonts w:ascii="Times New Roman" w:hAnsi="Times New Roman" w:eastAsia="Times New Roman" w:cs="Times New Roman"/>
          <w:spacing w:val="-6"/>
          <w:sz w:val="24"/>
          <w:szCs w:val="24"/>
        </w:rPr>
        <w:t>)</w:t>
      </w:r>
      <w:r>
        <w:rPr>
          <w:rFonts w:ascii="宋体" w:hAnsi="宋体" w:eastAsia="宋体" w:cs="宋体"/>
          <w:spacing w:val="-7"/>
          <w:sz w:val="24"/>
          <w:szCs w:val="24"/>
        </w:rPr>
        <w:t>漏入地层孔隙、</w:t>
      </w:r>
      <w:r>
        <w:rPr>
          <w:rFonts w:ascii="宋体" w:hAnsi="宋体" w:eastAsia="宋体" w:cs="宋体"/>
          <w:sz w:val="24"/>
          <w:szCs w:val="24"/>
        </w:rPr>
        <w:t xml:space="preserve"> 裂缝等空间的现象。若漏失地层与含水层之间存在较多的断</w:t>
      </w:r>
      <w:r>
        <w:rPr>
          <w:rFonts w:ascii="宋体" w:hAnsi="宋体" w:eastAsia="宋体" w:cs="宋体"/>
          <w:spacing w:val="-1"/>
          <w:sz w:val="24"/>
          <w:szCs w:val="24"/>
        </w:rPr>
        <w:t>裂或裂隙，漏失的泥浆就</w:t>
      </w:r>
    </w:p>
    <w:p>
      <w:pPr>
        <w:spacing w:before="1" w:line="219" w:lineRule="auto"/>
        <w:ind w:left="5"/>
        <w:rPr>
          <w:rFonts w:ascii="宋体" w:hAnsi="宋体" w:eastAsia="宋体" w:cs="宋体"/>
          <w:sz w:val="24"/>
          <w:szCs w:val="24"/>
        </w:rPr>
      </w:pPr>
      <w:r>
        <w:rPr>
          <w:rFonts w:ascii="宋体" w:hAnsi="宋体" w:eastAsia="宋体" w:cs="宋体"/>
          <w:spacing w:val="-2"/>
          <w:sz w:val="24"/>
          <w:szCs w:val="24"/>
        </w:rPr>
        <w:t>有可能顺着岩层断裂、裂隙进入地下水，造成地下水污染。</w:t>
      </w:r>
    </w:p>
    <w:p>
      <w:pPr>
        <w:spacing w:before="184" w:line="220" w:lineRule="auto"/>
        <w:ind w:left="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）废油或柴油泄漏</w:t>
      </w:r>
    </w:p>
    <w:p>
      <w:pPr>
        <w:spacing w:before="181" w:line="360" w:lineRule="auto"/>
        <w:ind w:left="3" w:right="90" w:firstLine="480"/>
        <w:rPr>
          <w:rFonts w:ascii="宋体" w:hAnsi="宋体" w:eastAsia="宋体" w:cs="宋体"/>
          <w:sz w:val="24"/>
          <w:szCs w:val="24"/>
        </w:rPr>
      </w:pPr>
      <w:r>
        <w:rPr>
          <w:rFonts w:ascii="宋体" w:hAnsi="宋体" w:eastAsia="宋体" w:cs="宋体"/>
          <w:sz w:val="24"/>
          <w:szCs w:val="24"/>
        </w:rPr>
        <w:t>钻井过程中产生的废油经废油桶收集在危废暂存间，井场上用油罐对柴油进行存</w:t>
      </w:r>
      <w:r>
        <w:rPr>
          <w:rFonts w:ascii="宋体" w:hAnsi="宋体" w:eastAsia="宋体" w:cs="宋体"/>
          <w:spacing w:val="6"/>
          <w:sz w:val="24"/>
          <w:szCs w:val="24"/>
        </w:rPr>
        <w:t xml:space="preserve"> </w:t>
      </w:r>
      <w:r>
        <w:rPr>
          <w:rFonts w:ascii="宋体" w:hAnsi="宋体" w:eastAsia="宋体" w:cs="宋体"/>
          <w:spacing w:val="-5"/>
          <w:sz w:val="24"/>
          <w:szCs w:val="24"/>
        </w:rPr>
        <w:t>储。</w:t>
      </w:r>
      <w:r>
        <w:rPr>
          <w:rFonts w:ascii="宋体" w:hAnsi="宋体" w:eastAsia="宋体" w:cs="宋体"/>
          <w:spacing w:val="-35"/>
          <w:sz w:val="24"/>
          <w:szCs w:val="24"/>
        </w:rPr>
        <w:t xml:space="preserve"> </w:t>
      </w:r>
      <w:r>
        <w:rPr>
          <w:rFonts w:ascii="宋体" w:hAnsi="宋体" w:eastAsia="宋体" w:cs="宋体"/>
          <w:spacing w:val="-5"/>
          <w:sz w:val="24"/>
          <w:szCs w:val="24"/>
        </w:rPr>
        <w:t>危废暂存间及油罐区均进行重点防渗。 在使用、储运过</w:t>
      </w:r>
      <w:r>
        <w:rPr>
          <w:rFonts w:ascii="宋体" w:hAnsi="宋体" w:eastAsia="宋体" w:cs="宋体"/>
          <w:spacing w:val="-6"/>
          <w:sz w:val="24"/>
          <w:szCs w:val="24"/>
        </w:rPr>
        <w:t>程中的环境风险主要来自</w:t>
      </w:r>
    </w:p>
    <w:p>
      <w:pPr>
        <w:spacing w:before="1" w:line="219" w:lineRule="auto"/>
        <w:ind w:left="8"/>
        <w:rPr>
          <w:rFonts w:ascii="宋体" w:hAnsi="宋体" w:eastAsia="宋体" w:cs="宋体"/>
          <w:sz w:val="24"/>
          <w:szCs w:val="24"/>
        </w:rPr>
      </w:pPr>
      <w:r>
        <w:rPr>
          <w:rFonts w:ascii="宋体" w:hAnsi="宋体" w:eastAsia="宋体" w:cs="宋体"/>
          <w:sz w:val="24"/>
          <w:szCs w:val="24"/>
        </w:rPr>
        <w:t>于收集、储存设施自身缺陷、人员误操作、老化等造成的泄漏以及外部破坏产生</w:t>
      </w:r>
      <w:r>
        <w:rPr>
          <w:rFonts w:ascii="宋体" w:hAnsi="宋体" w:eastAsia="宋体" w:cs="宋体"/>
          <w:spacing w:val="-1"/>
          <w:sz w:val="24"/>
          <w:szCs w:val="24"/>
        </w:rPr>
        <w:t>的事</w:t>
      </w:r>
    </w:p>
    <w:p>
      <w:pPr>
        <w:spacing w:line="219" w:lineRule="auto"/>
        <w:rPr>
          <w:rFonts w:ascii="宋体" w:hAnsi="宋体" w:eastAsia="宋体" w:cs="宋体"/>
          <w:sz w:val="24"/>
          <w:szCs w:val="24"/>
        </w:rPr>
        <w:sectPr>
          <w:footerReference r:id="rId187" w:type="default"/>
          <w:pgSz w:w="11907" w:h="16839"/>
          <w:pgMar w:top="400" w:right="1329" w:bottom="1151" w:left="1593"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8"/>
        <w:rPr>
          <w:rFonts w:ascii="宋体" w:hAnsi="宋体" w:eastAsia="宋体" w:cs="宋体"/>
          <w:sz w:val="24"/>
          <w:szCs w:val="24"/>
        </w:rPr>
      </w:pPr>
      <w:r>
        <w:rPr>
          <w:rFonts w:ascii="宋体" w:hAnsi="宋体" w:eastAsia="宋体" w:cs="宋体"/>
          <w:position w:val="17"/>
          <w:sz w:val="24"/>
          <w:szCs w:val="24"/>
        </w:rPr>
        <w:t>故，包括人为破坏及洪水、地震等不可抗拒因素，造成废油或柴油泄漏造成不同</w:t>
      </w:r>
      <w:r>
        <w:rPr>
          <w:rFonts w:ascii="宋体" w:hAnsi="宋体" w:eastAsia="宋体" w:cs="宋体"/>
          <w:spacing w:val="-1"/>
          <w:position w:val="17"/>
          <w:sz w:val="24"/>
          <w:szCs w:val="24"/>
        </w:rPr>
        <w:t>程度</w:t>
      </w:r>
    </w:p>
    <w:p>
      <w:pPr>
        <w:spacing w:line="219" w:lineRule="auto"/>
        <w:ind w:left="24"/>
        <w:rPr>
          <w:rFonts w:ascii="宋体" w:hAnsi="宋体" w:eastAsia="宋体" w:cs="宋体"/>
          <w:sz w:val="24"/>
          <w:szCs w:val="24"/>
        </w:rPr>
      </w:pPr>
      <w:r>
        <w:rPr>
          <w:rFonts w:ascii="宋体" w:hAnsi="宋体" w:eastAsia="宋体" w:cs="宋体"/>
          <w:spacing w:val="-8"/>
          <w:sz w:val="24"/>
          <w:szCs w:val="24"/>
        </w:rPr>
        <w:t>的地下水污染。</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）废水罐中钻井作业废水泄漏</w:t>
      </w:r>
    </w:p>
    <w:p>
      <w:pPr>
        <w:spacing w:before="182" w:line="468" w:lineRule="exact"/>
        <w:ind w:right="18"/>
        <w:jc w:val="right"/>
        <w:rPr>
          <w:rFonts w:ascii="宋体" w:hAnsi="宋体" w:eastAsia="宋体" w:cs="宋体"/>
          <w:sz w:val="24"/>
          <w:szCs w:val="24"/>
        </w:rPr>
      </w:pPr>
      <w:r>
        <w:rPr>
          <w:rFonts w:ascii="宋体" w:hAnsi="宋体" w:eastAsia="宋体" w:cs="宋体"/>
          <w:position w:val="17"/>
          <w:sz w:val="24"/>
          <w:szCs w:val="24"/>
        </w:rPr>
        <w:t>钻井过程中，作业废水储存于废水罐中，废水罐由于外</w:t>
      </w:r>
      <w:r>
        <w:rPr>
          <w:rFonts w:ascii="宋体" w:hAnsi="宋体" w:eastAsia="宋体" w:cs="宋体"/>
          <w:spacing w:val="-1"/>
          <w:position w:val="17"/>
          <w:sz w:val="24"/>
          <w:szCs w:val="24"/>
        </w:rPr>
        <w:t>部破坏或防渗不当，可能</w:t>
      </w:r>
    </w:p>
    <w:p>
      <w:pPr>
        <w:spacing w:line="219" w:lineRule="auto"/>
        <w:ind w:left="11"/>
        <w:rPr>
          <w:rFonts w:ascii="宋体" w:hAnsi="宋体" w:eastAsia="宋体" w:cs="宋体"/>
          <w:sz w:val="24"/>
          <w:szCs w:val="24"/>
        </w:rPr>
      </w:pPr>
      <w:r>
        <w:rPr>
          <w:rFonts w:ascii="宋体" w:hAnsi="宋体" w:eastAsia="宋体" w:cs="宋体"/>
          <w:spacing w:val="-7"/>
          <w:sz w:val="24"/>
          <w:szCs w:val="24"/>
        </w:rPr>
        <w:t>导致罐体垮塌，造成作业废水泄漏，</w:t>
      </w:r>
      <w:r>
        <w:rPr>
          <w:rFonts w:ascii="宋体" w:hAnsi="宋体" w:eastAsia="宋体" w:cs="宋体"/>
          <w:spacing w:val="64"/>
          <w:sz w:val="24"/>
          <w:szCs w:val="24"/>
        </w:rPr>
        <w:t xml:space="preserve"> </w:t>
      </w:r>
      <w:r>
        <w:rPr>
          <w:rFonts w:ascii="宋体" w:hAnsi="宋体" w:eastAsia="宋体" w:cs="宋体"/>
          <w:spacing w:val="-7"/>
          <w:sz w:val="24"/>
          <w:szCs w:val="24"/>
        </w:rPr>
        <w:t>有可能造成不同</w:t>
      </w:r>
      <w:r>
        <w:rPr>
          <w:rFonts w:ascii="宋体" w:hAnsi="宋体" w:eastAsia="宋体" w:cs="宋体"/>
          <w:spacing w:val="-8"/>
          <w:sz w:val="24"/>
          <w:szCs w:val="24"/>
        </w:rPr>
        <w:t>程度的地下水污染。</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）应急池中废水泄漏</w:t>
      </w:r>
    </w:p>
    <w:p>
      <w:pPr>
        <w:spacing w:before="182" w:line="468" w:lineRule="exact"/>
        <w:ind w:right="52"/>
        <w:jc w:val="right"/>
        <w:rPr>
          <w:rFonts w:ascii="宋体" w:hAnsi="宋体" w:eastAsia="宋体" w:cs="宋体"/>
          <w:sz w:val="24"/>
          <w:szCs w:val="24"/>
        </w:rPr>
      </w:pPr>
      <w:r>
        <w:rPr>
          <w:rFonts w:ascii="宋体" w:hAnsi="宋体" w:eastAsia="宋体" w:cs="宋体"/>
          <w:spacing w:val="-1"/>
          <w:position w:val="17"/>
          <w:sz w:val="24"/>
          <w:szCs w:val="24"/>
        </w:rPr>
        <w:t>应急池防渗不当或失效，可能导致池体渗漏垮塌，废水外</w:t>
      </w:r>
      <w:r>
        <w:rPr>
          <w:rFonts w:ascii="宋体" w:hAnsi="宋体" w:eastAsia="宋体" w:cs="宋体"/>
          <w:spacing w:val="-2"/>
          <w:position w:val="17"/>
          <w:sz w:val="24"/>
          <w:szCs w:val="24"/>
        </w:rPr>
        <w:t>渗污染土壤、地下水。</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暴雨天气造成钻井废水外溢，造成不同程度的地下水污染。</w:t>
      </w:r>
    </w:p>
    <w:p>
      <w:pPr>
        <w:spacing w:before="183" w:line="220"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）废水转运过程中泄漏</w:t>
      </w:r>
    </w:p>
    <w:p>
      <w:pPr>
        <w:spacing w:before="106" w:line="359" w:lineRule="auto"/>
        <w:ind w:left="5" w:firstLine="479"/>
        <w:rPr>
          <w:rFonts w:ascii="宋体" w:hAnsi="宋体" w:eastAsia="宋体" w:cs="宋体"/>
          <w:sz w:val="24"/>
          <w:szCs w:val="24"/>
        </w:rPr>
      </w:pPr>
      <w:r>
        <w:rPr>
          <w:rFonts w:ascii="宋体" w:hAnsi="宋体" w:eastAsia="宋体" w:cs="宋体"/>
          <w:spacing w:val="-3"/>
          <w:sz w:val="24"/>
          <w:szCs w:val="24"/>
        </w:rPr>
        <w:t>本工程废水采用密闭罐车转运， 发生翻车泄漏的机率很小，废水在运</w:t>
      </w:r>
      <w:r>
        <w:rPr>
          <w:rFonts w:ascii="宋体" w:hAnsi="宋体" w:eastAsia="宋体" w:cs="宋体"/>
          <w:spacing w:val="-4"/>
          <w:sz w:val="24"/>
          <w:szCs w:val="24"/>
        </w:rPr>
        <w:t>输过程中的</w:t>
      </w:r>
      <w:r>
        <w:rPr>
          <w:rFonts w:ascii="宋体" w:hAnsi="宋体" w:eastAsia="宋体" w:cs="宋体"/>
          <w:sz w:val="24"/>
          <w:szCs w:val="24"/>
        </w:rPr>
        <w:t xml:space="preserve"> 风险来自于运输罐自身缺陷，人员误操作、老化等造成的泄漏以及外部破坏产生的事</w:t>
      </w:r>
      <w:r>
        <w:rPr>
          <w:rFonts w:ascii="宋体" w:hAnsi="宋体" w:eastAsia="宋体" w:cs="宋体"/>
          <w:spacing w:val="1"/>
          <w:sz w:val="24"/>
          <w:szCs w:val="24"/>
        </w:rPr>
        <w:t xml:space="preserve"> </w:t>
      </w:r>
      <w:r>
        <w:rPr>
          <w:rFonts w:ascii="宋体" w:hAnsi="宋体" w:eastAsia="宋体" w:cs="宋体"/>
          <w:sz w:val="24"/>
          <w:szCs w:val="24"/>
        </w:rPr>
        <w:t>故，包括人为破坏及洪水、地震等不可抗拒因素。运输罐封口不严</w:t>
      </w:r>
      <w:r>
        <w:rPr>
          <w:rFonts w:ascii="宋体" w:hAnsi="宋体" w:eastAsia="宋体" w:cs="宋体"/>
          <w:spacing w:val="-1"/>
          <w:sz w:val="24"/>
          <w:szCs w:val="24"/>
        </w:rPr>
        <w:t>密，在运输途中可</w:t>
      </w:r>
    </w:p>
    <w:p>
      <w:pPr>
        <w:spacing w:before="1" w:line="219" w:lineRule="auto"/>
        <w:ind w:left="14"/>
        <w:rPr>
          <w:rFonts w:ascii="宋体" w:hAnsi="宋体" w:eastAsia="宋体" w:cs="宋体"/>
          <w:sz w:val="24"/>
          <w:szCs w:val="24"/>
        </w:rPr>
      </w:pPr>
      <w:r>
        <w:rPr>
          <w:rFonts w:ascii="宋体" w:hAnsi="宋体" w:eastAsia="宋体" w:cs="宋体"/>
          <w:spacing w:val="-2"/>
          <w:sz w:val="24"/>
          <w:szCs w:val="24"/>
        </w:rPr>
        <w:t>能造成废水的外溢。废水泄漏可能污染地表水、地下水和土壤。</w:t>
      </w:r>
    </w:p>
    <w:p>
      <w:pPr>
        <w:pStyle w:val="2"/>
        <w:spacing w:line="342" w:lineRule="auto"/>
        <w:rPr>
          <w:sz w:val="21"/>
        </w:rPr>
      </w:pPr>
    </w:p>
    <w:p>
      <w:pPr>
        <w:spacing w:before="91" w:line="220" w:lineRule="auto"/>
        <w:rPr>
          <w:rFonts w:ascii="宋体" w:hAnsi="宋体" w:eastAsia="宋体" w:cs="宋体"/>
          <w:sz w:val="28"/>
          <w:szCs w:val="28"/>
        </w:rPr>
      </w:pPr>
      <w:r>
        <w:rPr>
          <w:rFonts w:ascii="Times New Roman" w:hAnsi="Times New Roman" w:eastAsia="Times New Roman" w:cs="Times New Roman"/>
          <w:b/>
          <w:bCs/>
          <w:spacing w:val="1"/>
          <w:sz w:val="28"/>
          <w:szCs w:val="28"/>
        </w:rPr>
        <w:t>3.10.2</w:t>
      </w:r>
      <w:r>
        <w:rPr>
          <w:rFonts w:ascii="宋体" w:hAnsi="宋体" w:eastAsia="宋体" w:cs="宋体"/>
          <w:spacing w:val="1"/>
          <w:sz w:val="28"/>
          <w:szCs w:val="28"/>
          <w14:textOutline w14:w="5094" w14:cap="flat" w14:cmpd="sng">
            <w14:solidFill>
              <w14:srgbClr w14:val="000000"/>
            </w14:solidFill>
            <w14:prstDash w14:val="solid"/>
            <w14:miter w14:val="10"/>
          </w14:textOutline>
        </w:rPr>
        <w:t>地下水环境风险防范措施</w:t>
      </w:r>
    </w:p>
    <w:p>
      <w:pPr>
        <w:pStyle w:val="2"/>
        <w:spacing w:line="274" w:lineRule="auto"/>
        <w:rPr>
          <w:sz w:val="21"/>
        </w:rPr>
      </w:pPr>
    </w:p>
    <w:p>
      <w:pPr>
        <w:spacing w:before="78" w:line="468" w:lineRule="exact"/>
        <w:jc w:val="right"/>
        <w:rPr>
          <w:rFonts w:ascii="宋体" w:hAnsi="宋体" w:eastAsia="宋体" w:cs="宋体"/>
          <w:sz w:val="24"/>
          <w:szCs w:val="24"/>
        </w:rPr>
      </w:pPr>
      <w:r>
        <w:rPr>
          <w:rFonts w:ascii="宋体" w:hAnsi="宋体" w:eastAsia="宋体" w:cs="宋体"/>
          <w:position w:val="17"/>
          <w:sz w:val="24"/>
          <w:szCs w:val="24"/>
        </w:rPr>
        <w:t>针对钻井过程中存在的可能对地下水造成污染的风险环节，主要采取以下风险防</w:t>
      </w:r>
    </w:p>
    <w:p>
      <w:pPr>
        <w:spacing w:before="1" w:line="220" w:lineRule="auto"/>
        <w:ind w:left="10"/>
        <w:rPr>
          <w:rFonts w:ascii="宋体" w:hAnsi="宋体" w:eastAsia="宋体" w:cs="宋体"/>
          <w:sz w:val="24"/>
          <w:szCs w:val="24"/>
        </w:rPr>
      </w:pPr>
      <w:r>
        <w:rPr>
          <w:rFonts w:ascii="宋体" w:hAnsi="宋体" w:eastAsia="宋体" w:cs="宋体"/>
          <w:spacing w:val="-14"/>
          <w:sz w:val="24"/>
          <w:szCs w:val="24"/>
        </w:rPr>
        <w:t>范措施：</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）钻井过程中井漏风险防范措施</w:t>
      </w:r>
    </w:p>
    <w:p>
      <w:pPr>
        <w:spacing w:before="182" w:line="360" w:lineRule="auto"/>
        <w:ind w:left="3" w:right="5" w:firstLine="480"/>
        <w:rPr>
          <w:rFonts w:ascii="宋体" w:hAnsi="宋体" w:eastAsia="宋体" w:cs="宋体"/>
          <w:sz w:val="24"/>
          <w:szCs w:val="24"/>
        </w:rPr>
      </w:pPr>
      <w:r>
        <w:rPr>
          <w:rFonts w:ascii="宋体" w:hAnsi="宋体" w:eastAsia="宋体" w:cs="宋体"/>
          <w:spacing w:val="-11"/>
          <w:sz w:val="24"/>
          <w:szCs w:val="24"/>
        </w:rPr>
        <w:t>井场所在区域为构造裂隙水，</w:t>
      </w:r>
      <w:r>
        <w:rPr>
          <w:rFonts w:ascii="宋体" w:hAnsi="宋体" w:eastAsia="宋体" w:cs="宋体"/>
          <w:spacing w:val="-29"/>
          <w:sz w:val="24"/>
          <w:szCs w:val="24"/>
        </w:rPr>
        <w:t xml:space="preserve"> </w:t>
      </w:r>
      <w:r>
        <w:rPr>
          <w:rFonts w:ascii="宋体" w:hAnsi="宋体" w:eastAsia="宋体" w:cs="宋体"/>
          <w:spacing w:val="-11"/>
          <w:sz w:val="24"/>
          <w:szCs w:val="24"/>
        </w:rPr>
        <w:t>含水层厚度一般</w:t>
      </w:r>
      <w:r>
        <w:rPr>
          <w:rFonts w:ascii="宋体" w:hAnsi="宋体" w:eastAsia="宋体" w:cs="宋体"/>
          <w:spacing w:val="-31"/>
          <w:sz w:val="24"/>
          <w:szCs w:val="24"/>
        </w:rPr>
        <w:t xml:space="preserve"> </w:t>
      </w:r>
      <w:r>
        <w:rPr>
          <w:rFonts w:ascii="Times New Roman" w:hAnsi="Times New Roman" w:eastAsia="Times New Roman" w:cs="Times New Roman"/>
          <w:spacing w:val="-11"/>
          <w:sz w:val="24"/>
          <w:szCs w:val="24"/>
        </w:rPr>
        <w:t>10~30m</w:t>
      </w:r>
      <w:r>
        <w:rPr>
          <w:rFonts w:ascii="宋体" w:hAnsi="宋体" w:eastAsia="宋体" w:cs="宋体"/>
          <w:spacing w:val="-11"/>
          <w:sz w:val="24"/>
          <w:szCs w:val="24"/>
        </w:rPr>
        <w:t>，拟建项目一开段（</w:t>
      </w:r>
      <w:r>
        <w:rPr>
          <w:rFonts w:ascii="Times New Roman" w:hAnsi="Times New Roman" w:eastAsia="Times New Roman" w:cs="Times New Roman"/>
          <w:spacing w:val="-11"/>
          <w:sz w:val="24"/>
          <w:szCs w:val="24"/>
        </w:rPr>
        <w:t>0~50m</w:t>
      </w:r>
      <w:r>
        <w:rPr>
          <w:rFonts w:ascii="宋体" w:hAnsi="宋体" w:eastAsia="宋体" w:cs="宋体"/>
          <w:spacing w:val="-11"/>
          <w:sz w:val="24"/>
          <w:szCs w:val="24"/>
        </w:rPr>
        <w:t>）</w:t>
      </w:r>
      <w:r>
        <w:rPr>
          <w:rFonts w:ascii="宋体" w:hAnsi="宋体" w:eastAsia="宋体" w:cs="宋体"/>
          <w:sz w:val="24"/>
          <w:szCs w:val="24"/>
        </w:rPr>
        <w:t xml:space="preserve"> 采用清水钻井，后续井段采用水基钻井液，从钻井工艺上优化尽可能的减少井漏事故</w:t>
      </w:r>
      <w:r>
        <w:rPr>
          <w:rFonts w:ascii="宋体" w:hAnsi="宋体" w:eastAsia="宋体" w:cs="宋体"/>
          <w:spacing w:val="3"/>
          <w:sz w:val="24"/>
          <w:szCs w:val="24"/>
        </w:rPr>
        <w:t xml:space="preserve"> </w:t>
      </w:r>
      <w:r>
        <w:rPr>
          <w:rFonts w:ascii="宋体" w:hAnsi="宋体" w:eastAsia="宋体" w:cs="宋体"/>
          <w:spacing w:val="-5"/>
          <w:sz w:val="24"/>
          <w:szCs w:val="24"/>
        </w:rPr>
        <w:t>对当地地下水环境的影响，在钻遇地下溶洞等不良地质时，</w:t>
      </w:r>
      <w:r>
        <w:rPr>
          <w:rFonts w:ascii="宋体" w:hAnsi="宋体" w:eastAsia="宋体" w:cs="宋体"/>
          <w:spacing w:val="68"/>
          <w:sz w:val="24"/>
          <w:szCs w:val="24"/>
        </w:rPr>
        <w:t xml:space="preserve"> </w:t>
      </w:r>
      <w:r>
        <w:rPr>
          <w:rFonts w:ascii="宋体" w:hAnsi="宋体" w:eastAsia="宋体" w:cs="宋体"/>
          <w:spacing w:val="-5"/>
          <w:sz w:val="24"/>
          <w:szCs w:val="24"/>
        </w:rPr>
        <w:t>漏失仅引起地下水浊度等</w:t>
      </w:r>
      <w:r>
        <w:rPr>
          <w:rFonts w:ascii="宋体" w:hAnsi="宋体" w:eastAsia="宋体" w:cs="宋体"/>
          <w:sz w:val="24"/>
          <w:szCs w:val="24"/>
        </w:rPr>
        <w:t xml:space="preserve"> 物理指标变化，且工程上会采取快速钻进快速下管的施工工艺，因此对地下水尤其是</w:t>
      </w:r>
      <w:r>
        <w:rPr>
          <w:rFonts w:ascii="宋体" w:hAnsi="宋体" w:eastAsia="宋体" w:cs="宋体"/>
          <w:spacing w:val="3"/>
          <w:sz w:val="24"/>
          <w:szCs w:val="24"/>
        </w:rPr>
        <w:t xml:space="preserve"> </w:t>
      </w:r>
      <w:r>
        <w:rPr>
          <w:rFonts w:ascii="宋体" w:hAnsi="宋体" w:eastAsia="宋体" w:cs="宋体"/>
          <w:spacing w:val="-5"/>
          <w:sz w:val="24"/>
          <w:szCs w:val="24"/>
        </w:rPr>
        <w:t xml:space="preserve">对地下水饮用水源或水井影响不大（埋深一般在 </w:t>
      </w:r>
      <w:r>
        <w:rPr>
          <w:rFonts w:ascii="Times New Roman" w:hAnsi="Times New Roman" w:eastAsia="Times New Roman" w:cs="Times New Roman"/>
          <w:spacing w:val="-5"/>
          <w:sz w:val="24"/>
          <w:szCs w:val="24"/>
        </w:rPr>
        <w:t xml:space="preserve">30m  </w:t>
      </w:r>
      <w:r>
        <w:rPr>
          <w:rFonts w:ascii="宋体" w:hAnsi="宋体" w:eastAsia="宋体" w:cs="宋体"/>
          <w:spacing w:val="-5"/>
          <w:sz w:val="24"/>
          <w:szCs w:val="24"/>
        </w:rPr>
        <w:t>以内，埋深浅）。尽管如此，还</w:t>
      </w:r>
    </w:p>
    <w:p>
      <w:pPr>
        <w:spacing w:line="220" w:lineRule="auto"/>
        <w:ind w:left="4"/>
        <w:rPr>
          <w:rFonts w:ascii="宋体" w:hAnsi="宋体" w:eastAsia="宋体" w:cs="宋体"/>
          <w:sz w:val="24"/>
          <w:szCs w:val="24"/>
        </w:rPr>
      </w:pPr>
      <w:r>
        <w:rPr>
          <w:rFonts w:ascii="宋体" w:hAnsi="宋体" w:eastAsia="宋体" w:cs="宋体"/>
          <w:spacing w:val="-5"/>
          <w:sz w:val="24"/>
          <w:szCs w:val="24"/>
        </w:rPr>
        <w:t>应该提出如下预防和应急措施：</w:t>
      </w:r>
    </w:p>
    <w:p>
      <w:pPr>
        <w:spacing w:before="182" w:line="360" w:lineRule="auto"/>
        <w:ind w:left="3" w:right="5" w:firstLine="499"/>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）项目在施工建设前应充分研究地质设计资料和钻井等， 有必要时应采取钻探等</w:t>
      </w:r>
      <w:r>
        <w:rPr>
          <w:rFonts w:ascii="宋体" w:hAnsi="宋体" w:eastAsia="宋体" w:cs="宋体"/>
          <w:spacing w:val="2"/>
          <w:sz w:val="24"/>
          <w:szCs w:val="24"/>
        </w:rPr>
        <w:t xml:space="preserve"> </w:t>
      </w:r>
      <w:r>
        <w:rPr>
          <w:rFonts w:ascii="宋体" w:hAnsi="宋体" w:eastAsia="宋体" w:cs="宋体"/>
          <w:sz w:val="24"/>
          <w:szCs w:val="24"/>
        </w:rPr>
        <w:t>方法进行调查分析，查明项目所在地的地下水分布情况、埋藏深度情况等，并在此基</w:t>
      </w:r>
      <w:r>
        <w:rPr>
          <w:rFonts w:ascii="宋体" w:hAnsi="宋体" w:eastAsia="宋体" w:cs="宋体"/>
          <w:spacing w:val="3"/>
          <w:sz w:val="24"/>
          <w:szCs w:val="24"/>
        </w:rPr>
        <w:t xml:space="preserve"> </w:t>
      </w:r>
      <w:r>
        <w:rPr>
          <w:rFonts w:ascii="宋体" w:hAnsi="宋体" w:eastAsia="宋体" w:cs="宋体"/>
          <w:sz w:val="24"/>
          <w:szCs w:val="24"/>
        </w:rPr>
        <w:t>础上优化钻井施工工艺、泥浆体系等，对钻井过程中可能发生的泥浆漏失的情况，应</w:t>
      </w:r>
    </w:p>
    <w:p>
      <w:pPr>
        <w:spacing w:before="1" w:line="219" w:lineRule="auto"/>
        <w:ind w:left="5"/>
        <w:rPr>
          <w:rFonts w:ascii="宋体" w:hAnsi="宋体" w:eastAsia="宋体" w:cs="宋体"/>
          <w:sz w:val="24"/>
          <w:szCs w:val="24"/>
        </w:rPr>
      </w:pPr>
      <w:r>
        <w:rPr>
          <w:rFonts w:ascii="宋体" w:hAnsi="宋体" w:eastAsia="宋体" w:cs="宋体"/>
          <w:spacing w:val="-8"/>
          <w:sz w:val="24"/>
          <w:szCs w:val="24"/>
        </w:rPr>
        <w:t>有所预见。</w:t>
      </w:r>
    </w:p>
    <w:p>
      <w:pPr>
        <w:spacing w:before="183" w:line="468" w:lineRule="exact"/>
        <w:ind w:right="12"/>
        <w:jc w:val="right"/>
        <w:rPr>
          <w:rFonts w:ascii="宋体" w:hAnsi="宋体" w:eastAsia="宋体" w:cs="宋体"/>
          <w:sz w:val="24"/>
          <w:szCs w:val="24"/>
        </w:rPr>
      </w:pPr>
      <w:r>
        <w:rPr>
          <w:rFonts w:ascii="Times New Roman" w:hAnsi="Times New Roman" w:eastAsia="Times New Roman" w:cs="Times New Roman"/>
          <w:spacing w:val="-6"/>
          <w:position w:val="17"/>
          <w:sz w:val="24"/>
          <w:szCs w:val="24"/>
        </w:rPr>
        <w:t>2</w:t>
      </w:r>
      <w:r>
        <w:rPr>
          <w:rFonts w:ascii="宋体" w:hAnsi="宋体" w:eastAsia="宋体" w:cs="宋体"/>
          <w:spacing w:val="-6"/>
          <w:position w:val="17"/>
          <w:sz w:val="24"/>
          <w:szCs w:val="24"/>
        </w:rPr>
        <w:t>）采用强钻方式快速钻穿漏失层达到固井</w:t>
      </w:r>
      <w:r>
        <w:rPr>
          <w:rFonts w:ascii="宋体" w:hAnsi="宋体" w:eastAsia="宋体" w:cs="宋体"/>
          <w:spacing w:val="-7"/>
          <w:position w:val="17"/>
          <w:sz w:val="24"/>
          <w:szCs w:val="24"/>
        </w:rPr>
        <w:t>层位， 针对这种情况应选用合理泥浆密</w:t>
      </w:r>
    </w:p>
    <w:p>
      <w:pPr>
        <w:spacing w:line="219" w:lineRule="auto"/>
        <w:ind w:left="3"/>
        <w:rPr>
          <w:rFonts w:ascii="宋体" w:hAnsi="宋体" w:eastAsia="宋体" w:cs="宋体"/>
          <w:sz w:val="24"/>
          <w:szCs w:val="24"/>
        </w:rPr>
      </w:pPr>
      <w:r>
        <w:rPr>
          <w:rFonts w:ascii="宋体" w:hAnsi="宋体" w:eastAsia="宋体" w:cs="宋体"/>
          <w:spacing w:val="-3"/>
          <w:sz w:val="24"/>
          <w:szCs w:val="24"/>
        </w:rPr>
        <w:t>度，实现平衡压力钻井，降低泥浆环空压耗，降低泥浆激动压力， 从而降低井筒中</w:t>
      </w:r>
    </w:p>
    <w:p>
      <w:pPr>
        <w:spacing w:line="219" w:lineRule="auto"/>
        <w:rPr>
          <w:rFonts w:ascii="宋体" w:hAnsi="宋体" w:eastAsia="宋体" w:cs="宋体"/>
          <w:sz w:val="24"/>
          <w:szCs w:val="24"/>
        </w:rPr>
        <w:sectPr>
          <w:footerReference r:id="rId188" w:type="default"/>
          <w:pgSz w:w="11907" w:h="16839"/>
          <w:pgMar w:top="400" w:right="1418" w:bottom="1151" w:left="1593"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2"/>
        <w:rPr>
          <w:rFonts w:ascii="宋体" w:hAnsi="宋体" w:eastAsia="宋体" w:cs="宋体"/>
          <w:sz w:val="24"/>
          <w:szCs w:val="24"/>
        </w:rPr>
      </w:pPr>
      <w:r>
        <w:rPr>
          <w:rFonts w:ascii="宋体" w:hAnsi="宋体" w:eastAsia="宋体" w:cs="宋体"/>
          <w:spacing w:val="-8"/>
          <w:position w:val="17"/>
          <w:sz w:val="24"/>
          <w:szCs w:val="24"/>
        </w:rPr>
        <w:t>泥浆动压力，</w:t>
      </w:r>
      <w:r>
        <w:rPr>
          <w:rFonts w:ascii="宋体" w:hAnsi="宋体" w:eastAsia="宋体" w:cs="宋体"/>
          <w:spacing w:val="65"/>
          <w:position w:val="17"/>
          <w:sz w:val="24"/>
          <w:szCs w:val="24"/>
        </w:rPr>
        <w:t xml:space="preserve"> </w:t>
      </w:r>
      <w:r>
        <w:rPr>
          <w:rFonts w:ascii="宋体" w:hAnsi="宋体" w:eastAsia="宋体" w:cs="宋体"/>
          <w:spacing w:val="-8"/>
          <w:position w:val="17"/>
          <w:sz w:val="24"/>
          <w:szCs w:val="24"/>
        </w:rPr>
        <w:t>减小泥浆漏失量。工程导管段利用清水泥浆迅速钻进， 在套管的保护下</w:t>
      </w:r>
    </w:p>
    <w:p>
      <w:pPr>
        <w:spacing w:line="219" w:lineRule="auto"/>
        <w:ind w:left="10"/>
        <w:rPr>
          <w:rFonts w:ascii="宋体" w:hAnsi="宋体" w:eastAsia="宋体" w:cs="宋体"/>
          <w:sz w:val="24"/>
          <w:szCs w:val="24"/>
        </w:rPr>
      </w:pPr>
      <w:r>
        <w:rPr>
          <w:rFonts w:ascii="宋体" w:hAnsi="宋体" w:eastAsia="宋体" w:cs="宋体"/>
          <w:spacing w:val="-5"/>
          <w:sz w:val="24"/>
          <w:szCs w:val="24"/>
        </w:rPr>
        <w:t>能有效地保护浅层地下水。</w:t>
      </w:r>
    </w:p>
    <w:p>
      <w:pPr>
        <w:spacing w:before="182" w:line="468" w:lineRule="exact"/>
        <w:jc w:val="right"/>
        <w:rPr>
          <w:rFonts w:ascii="宋体" w:hAnsi="宋体" w:eastAsia="宋体" w:cs="宋体"/>
          <w:sz w:val="24"/>
          <w:szCs w:val="24"/>
        </w:rPr>
      </w:pPr>
      <w:r>
        <w:rPr>
          <w:rFonts w:ascii="Times New Roman" w:hAnsi="Times New Roman" w:eastAsia="Times New Roman" w:cs="Times New Roman"/>
          <w:spacing w:val="-17"/>
          <w:position w:val="17"/>
          <w:sz w:val="24"/>
          <w:szCs w:val="24"/>
        </w:rPr>
        <w:t>3</w:t>
      </w:r>
      <w:r>
        <w:rPr>
          <w:rFonts w:ascii="宋体" w:hAnsi="宋体" w:eastAsia="宋体" w:cs="宋体"/>
          <w:spacing w:val="-17"/>
          <w:position w:val="17"/>
          <w:sz w:val="24"/>
          <w:szCs w:val="24"/>
        </w:rPr>
        <w:t>）对钻井</w:t>
      </w:r>
      <w:r>
        <w:rPr>
          <w:rFonts w:ascii="宋体" w:hAnsi="宋体" w:eastAsia="宋体" w:cs="宋体"/>
          <w:spacing w:val="-16"/>
          <w:position w:val="17"/>
          <w:sz w:val="24"/>
          <w:szCs w:val="24"/>
        </w:rPr>
        <w:t>体系（清水、泥浆等） 进行实时监控，</w:t>
      </w:r>
      <w:r>
        <w:rPr>
          <w:rFonts w:ascii="宋体" w:hAnsi="宋体" w:eastAsia="宋体" w:cs="宋体"/>
          <w:spacing w:val="70"/>
          <w:position w:val="17"/>
          <w:sz w:val="24"/>
          <w:szCs w:val="24"/>
        </w:rPr>
        <w:t xml:space="preserve"> </w:t>
      </w:r>
      <w:r>
        <w:rPr>
          <w:rFonts w:ascii="宋体" w:hAnsi="宋体" w:eastAsia="宋体" w:cs="宋体"/>
          <w:spacing w:val="-16"/>
          <w:position w:val="17"/>
          <w:sz w:val="24"/>
          <w:szCs w:val="24"/>
        </w:rPr>
        <w:t>并配备足够的堵漏材料，</w:t>
      </w:r>
      <w:r>
        <w:rPr>
          <w:rFonts w:ascii="宋体" w:hAnsi="宋体" w:eastAsia="宋体" w:cs="宋体"/>
          <w:spacing w:val="50"/>
          <w:position w:val="17"/>
          <w:sz w:val="24"/>
          <w:szCs w:val="24"/>
        </w:rPr>
        <w:t xml:space="preserve"> </w:t>
      </w:r>
      <w:r>
        <w:rPr>
          <w:rFonts w:ascii="宋体" w:hAnsi="宋体" w:eastAsia="宋体" w:cs="宋体"/>
          <w:spacing w:val="-16"/>
          <w:position w:val="17"/>
          <w:sz w:val="24"/>
          <w:szCs w:val="24"/>
        </w:rPr>
        <w:t>一旦</w:t>
      </w:r>
      <w:r>
        <w:rPr>
          <w:rFonts w:ascii="宋体" w:hAnsi="宋体" w:eastAsia="宋体" w:cs="宋体"/>
          <w:spacing w:val="-11"/>
          <w:position w:val="17"/>
          <w:sz w:val="24"/>
          <w:szCs w:val="24"/>
        </w:rPr>
        <w:t>发</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现井漏，立即采取堵漏措施，以防止钻井液的扩散污染。</w:t>
      </w:r>
    </w:p>
    <w:p>
      <w:pPr>
        <w:spacing w:before="183" w:line="360" w:lineRule="auto"/>
        <w:ind w:left="1" w:right="3" w:firstLine="473"/>
        <w:rPr>
          <w:rFonts w:ascii="宋体" w:hAnsi="宋体" w:eastAsia="宋体" w:cs="宋体"/>
          <w:sz w:val="24"/>
          <w:szCs w:val="24"/>
        </w:rPr>
      </w:pPr>
      <w:r>
        <w:rPr>
          <w:rFonts w:ascii="Times New Roman" w:hAnsi="Times New Roman" w:eastAsia="Times New Roman" w:cs="Times New Roman"/>
          <w:spacing w:val="-16"/>
          <w:sz w:val="24"/>
          <w:szCs w:val="24"/>
        </w:rPr>
        <w:t>4</w:t>
      </w:r>
      <w:r>
        <w:rPr>
          <w:rFonts w:ascii="宋体" w:hAnsi="宋体" w:eastAsia="宋体" w:cs="宋体"/>
          <w:spacing w:val="-16"/>
          <w:sz w:val="24"/>
          <w:szCs w:val="24"/>
        </w:rPr>
        <w:t>）若发现地下水受到污染，</w:t>
      </w:r>
      <w:r>
        <w:rPr>
          <w:rFonts w:ascii="宋体" w:hAnsi="宋体" w:eastAsia="宋体" w:cs="宋体"/>
          <w:spacing w:val="39"/>
          <w:sz w:val="24"/>
          <w:szCs w:val="24"/>
        </w:rPr>
        <w:t xml:space="preserve"> </w:t>
      </w:r>
      <w:r>
        <w:rPr>
          <w:rFonts w:ascii="宋体" w:hAnsi="宋体" w:eastAsia="宋体" w:cs="宋体"/>
          <w:spacing w:val="-16"/>
          <w:sz w:val="24"/>
          <w:szCs w:val="24"/>
        </w:rPr>
        <w:t>立即告知村民，</w:t>
      </w:r>
      <w:r>
        <w:rPr>
          <w:rFonts w:ascii="宋体" w:hAnsi="宋体" w:eastAsia="宋体" w:cs="宋体"/>
          <w:spacing w:val="37"/>
          <w:sz w:val="24"/>
          <w:szCs w:val="24"/>
        </w:rPr>
        <w:t xml:space="preserve"> </w:t>
      </w:r>
      <w:r>
        <w:rPr>
          <w:rFonts w:ascii="宋体" w:hAnsi="宋体" w:eastAsia="宋体" w:cs="宋体"/>
          <w:spacing w:val="-16"/>
          <w:sz w:val="24"/>
          <w:szCs w:val="24"/>
        </w:rPr>
        <w:t>停止饮</w:t>
      </w:r>
      <w:r>
        <w:rPr>
          <w:rFonts w:ascii="宋体" w:hAnsi="宋体" w:eastAsia="宋体" w:cs="宋体"/>
          <w:spacing w:val="-17"/>
          <w:sz w:val="24"/>
          <w:szCs w:val="24"/>
        </w:rPr>
        <w:t>用地下水源，</w:t>
      </w:r>
      <w:r>
        <w:rPr>
          <w:rFonts w:ascii="宋体" w:hAnsi="宋体" w:eastAsia="宋体" w:cs="宋体"/>
          <w:spacing w:val="44"/>
          <w:sz w:val="24"/>
          <w:szCs w:val="24"/>
        </w:rPr>
        <w:t xml:space="preserve"> </w:t>
      </w:r>
      <w:r>
        <w:rPr>
          <w:rFonts w:ascii="宋体" w:hAnsi="宋体" w:eastAsia="宋体" w:cs="宋体"/>
          <w:spacing w:val="-17"/>
          <w:sz w:val="24"/>
          <w:szCs w:val="24"/>
        </w:rPr>
        <w:t>启动地下水紧急</w:t>
      </w:r>
      <w:r>
        <w:rPr>
          <w:rFonts w:ascii="宋体" w:hAnsi="宋体" w:eastAsia="宋体" w:cs="宋体"/>
          <w:sz w:val="24"/>
          <w:szCs w:val="24"/>
        </w:rPr>
        <w:t xml:space="preserve"> </w:t>
      </w:r>
      <w:r>
        <w:rPr>
          <w:rFonts w:ascii="宋体" w:hAnsi="宋体" w:eastAsia="宋体" w:cs="宋体"/>
          <w:spacing w:val="2"/>
          <w:sz w:val="24"/>
          <w:szCs w:val="24"/>
        </w:rPr>
        <w:t>监测方案，并采取临时供水措施</w:t>
      </w:r>
      <w:r>
        <w:rPr>
          <w:rFonts w:ascii="Times New Roman" w:hAnsi="Times New Roman" w:eastAsia="Times New Roman" w:cs="Times New Roman"/>
          <w:spacing w:val="2"/>
          <w:sz w:val="24"/>
          <w:szCs w:val="24"/>
        </w:rPr>
        <w:t>(</w:t>
      </w:r>
      <w:r>
        <w:rPr>
          <w:rFonts w:ascii="宋体" w:hAnsi="宋体" w:eastAsia="宋体" w:cs="宋体"/>
          <w:spacing w:val="2"/>
          <w:sz w:val="24"/>
          <w:szCs w:val="24"/>
        </w:rPr>
        <w:t>配送桶装水等</w:t>
      </w:r>
      <w:r>
        <w:rPr>
          <w:rFonts w:ascii="Times New Roman" w:hAnsi="Times New Roman" w:eastAsia="Times New Roman" w:cs="Times New Roman"/>
          <w:spacing w:val="2"/>
          <w:sz w:val="24"/>
          <w:szCs w:val="24"/>
        </w:rPr>
        <w:t>)</w:t>
      </w:r>
      <w:r>
        <w:rPr>
          <w:rFonts w:ascii="宋体" w:hAnsi="宋体" w:eastAsia="宋体" w:cs="宋体"/>
          <w:spacing w:val="2"/>
          <w:sz w:val="24"/>
          <w:szCs w:val="24"/>
        </w:rPr>
        <w:t>以保障居民的饮水安全，并给受影响</w:t>
      </w:r>
    </w:p>
    <w:p>
      <w:pPr>
        <w:spacing w:line="219" w:lineRule="auto"/>
        <w:ind w:left="20"/>
        <w:rPr>
          <w:rFonts w:ascii="宋体" w:hAnsi="宋体" w:eastAsia="宋体" w:cs="宋体"/>
          <w:sz w:val="24"/>
          <w:szCs w:val="24"/>
        </w:rPr>
      </w:pPr>
      <w:r>
        <w:rPr>
          <w:rFonts w:ascii="宋体" w:hAnsi="宋体" w:eastAsia="宋体" w:cs="宋体"/>
          <w:spacing w:val="-3"/>
          <w:sz w:val="24"/>
          <w:szCs w:val="24"/>
        </w:rPr>
        <w:t>的农户另觅水源，直至污染影响消失，保证居民的正常生活。</w:t>
      </w:r>
    </w:p>
    <w:p>
      <w:pPr>
        <w:spacing w:before="184" w:line="360" w:lineRule="auto"/>
        <w:ind w:right="6" w:firstLine="483"/>
        <w:rPr>
          <w:rFonts w:ascii="宋体" w:hAnsi="宋体" w:eastAsia="宋体" w:cs="宋体"/>
          <w:sz w:val="24"/>
          <w:szCs w:val="24"/>
        </w:rPr>
      </w:pPr>
      <w:r>
        <w:rPr>
          <w:rFonts w:ascii="Times New Roman" w:hAnsi="Times New Roman" w:eastAsia="Times New Roman" w:cs="Times New Roman"/>
          <w:spacing w:val="-14"/>
          <w:sz w:val="24"/>
          <w:szCs w:val="24"/>
        </w:rPr>
        <w:t>5</w:t>
      </w:r>
      <w:r>
        <w:rPr>
          <w:rFonts w:ascii="宋体" w:hAnsi="宋体" w:eastAsia="宋体" w:cs="宋体"/>
          <w:spacing w:val="-14"/>
          <w:sz w:val="24"/>
          <w:szCs w:val="24"/>
        </w:rPr>
        <w:t>）本工程各开井段结束后及时固井，</w:t>
      </w:r>
      <w:r>
        <w:rPr>
          <w:rFonts w:ascii="宋体" w:hAnsi="宋体" w:eastAsia="宋体" w:cs="宋体"/>
          <w:spacing w:val="-30"/>
          <w:sz w:val="24"/>
          <w:szCs w:val="24"/>
        </w:rPr>
        <w:t xml:space="preserve"> </w:t>
      </w:r>
      <w:r>
        <w:rPr>
          <w:rFonts w:ascii="宋体" w:hAnsi="宋体" w:eastAsia="宋体" w:cs="宋体"/>
          <w:spacing w:val="-14"/>
          <w:sz w:val="24"/>
          <w:szCs w:val="24"/>
        </w:rPr>
        <w:t>参照《固井质量评价方法》（</w:t>
      </w:r>
      <w:r>
        <w:rPr>
          <w:rFonts w:ascii="Times New Roman" w:hAnsi="Times New Roman" w:eastAsia="Times New Roman" w:cs="Times New Roman"/>
          <w:spacing w:val="-14"/>
          <w:sz w:val="24"/>
          <w:szCs w:val="24"/>
        </w:rPr>
        <w:t>SY/T 6592-2016</w:t>
      </w:r>
      <w:r>
        <w:rPr>
          <w:rFonts w:ascii="宋体" w:hAnsi="宋体" w:eastAsia="宋体" w:cs="宋体"/>
          <w:spacing w:val="-14"/>
          <w:sz w:val="24"/>
          <w:szCs w:val="24"/>
        </w:rPr>
        <w:t>）</w:t>
      </w:r>
      <w:r>
        <w:rPr>
          <w:rFonts w:ascii="宋体" w:hAnsi="宋体" w:eastAsia="宋体" w:cs="宋体"/>
          <w:sz w:val="24"/>
          <w:szCs w:val="24"/>
        </w:rPr>
        <w:t xml:space="preserve"> </w:t>
      </w:r>
      <w:r>
        <w:rPr>
          <w:rFonts w:ascii="宋体" w:hAnsi="宋体" w:eastAsia="宋体" w:cs="宋体"/>
          <w:spacing w:val="-5"/>
          <w:sz w:val="24"/>
          <w:szCs w:val="24"/>
        </w:rPr>
        <w:t>对固井、水泥环胶结质量进行评价，</w:t>
      </w:r>
      <w:r>
        <w:rPr>
          <w:rFonts w:ascii="宋体" w:hAnsi="宋体" w:eastAsia="宋体" w:cs="宋体"/>
          <w:spacing w:val="68"/>
          <w:sz w:val="24"/>
          <w:szCs w:val="24"/>
        </w:rPr>
        <w:t xml:space="preserve"> </w:t>
      </w:r>
      <w:r>
        <w:rPr>
          <w:rFonts w:ascii="宋体" w:hAnsi="宋体" w:eastAsia="宋体" w:cs="宋体"/>
          <w:spacing w:val="-5"/>
          <w:sz w:val="24"/>
          <w:szCs w:val="24"/>
        </w:rPr>
        <w:t>确保固井质量合格，不会造成油基钻井液窜漏污</w:t>
      </w:r>
    </w:p>
    <w:p>
      <w:pPr>
        <w:spacing w:line="219" w:lineRule="auto"/>
        <w:ind w:left="4"/>
        <w:rPr>
          <w:rFonts w:ascii="宋体" w:hAnsi="宋体" w:eastAsia="宋体" w:cs="宋体"/>
          <w:sz w:val="24"/>
          <w:szCs w:val="24"/>
        </w:rPr>
      </w:pPr>
      <w:r>
        <w:rPr>
          <w:rFonts w:ascii="宋体" w:hAnsi="宋体" w:eastAsia="宋体" w:cs="宋体"/>
          <w:spacing w:val="-8"/>
          <w:sz w:val="24"/>
          <w:szCs w:val="24"/>
        </w:rPr>
        <w:t>染地下水。</w:t>
      </w:r>
    </w:p>
    <w:p>
      <w:pPr>
        <w:spacing w:before="183" w:line="220"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）废油或柴油泄漏风险防范措施</w:t>
      </w:r>
    </w:p>
    <w:p>
      <w:pPr>
        <w:spacing w:before="182" w:line="360" w:lineRule="auto"/>
        <w:ind w:left="4" w:right="6" w:firstLine="494"/>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）加强对柴油的储存管理，</w:t>
      </w:r>
      <w:r>
        <w:rPr>
          <w:rFonts w:ascii="宋体" w:hAnsi="宋体" w:eastAsia="宋体" w:cs="宋体"/>
          <w:spacing w:val="31"/>
          <w:sz w:val="24"/>
          <w:szCs w:val="24"/>
        </w:rPr>
        <w:t xml:space="preserve"> </w:t>
      </w:r>
      <w:r>
        <w:rPr>
          <w:rFonts w:ascii="宋体" w:hAnsi="宋体" w:eastAsia="宋体" w:cs="宋体"/>
          <w:spacing w:val="-8"/>
          <w:sz w:val="24"/>
          <w:szCs w:val="24"/>
        </w:rPr>
        <w:t>应采取减少油品蒸发、防止形成爆炸性油品混合物的</w:t>
      </w:r>
      <w:r>
        <w:rPr>
          <w:rFonts w:ascii="宋体" w:hAnsi="宋体" w:eastAsia="宋体" w:cs="宋体"/>
          <w:sz w:val="24"/>
          <w:szCs w:val="24"/>
        </w:rPr>
        <w:t xml:space="preserve"> 一次防护措施。工程采用柴油罐对柴油进行储存，确保呼吸阀、测量孔、接地装</w:t>
      </w:r>
      <w:r>
        <w:rPr>
          <w:rFonts w:ascii="宋体" w:hAnsi="宋体" w:eastAsia="宋体" w:cs="宋体"/>
          <w:spacing w:val="-1"/>
          <w:sz w:val="24"/>
          <w:szCs w:val="24"/>
        </w:rPr>
        <w:t>置等</w:t>
      </w:r>
    </w:p>
    <w:p>
      <w:pPr>
        <w:spacing w:before="1" w:line="218" w:lineRule="auto"/>
        <w:ind w:left="19"/>
        <w:rPr>
          <w:rFonts w:ascii="宋体" w:hAnsi="宋体" w:eastAsia="宋体" w:cs="宋体"/>
          <w:sz w:val="24"/>
          <w:szCs w:val="24"/>
        </w:rPr>
      </w:pPr>
      <w:r>
        <w:rPr>
          <w:rFonts w:ascii="宋体" w:hAnsi="宋体" w:eastAsia="宋体" w:cs="宋体"/>
          <w:spacing w:val="-4"/>
          <w:sz w:val="24"/>
          <w:szCs w:val="24"/>
        </w:rPr>
        <w:t>附件完整可靠，防止油蒸气的产生和积聚。</w:t>
      </w:r>
    </w:p>
    <w:p>
      <w:pPr>
        <w:spacing w:before="183" w:line="468" w:lineRule="exact"/>
        <w:ind w:right="29"/>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）油罐区设置有围堰，高约</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
          <w:position w:val="17"/>
          <w:sz w:val="24"/>
          <w:szCs w:val="24"/>
        </w:rPr>
        <w:t>0.3m</w:t>
      </w:r>
      <w:r>
        <w:rPr>
          <w:rFonts w:ascii="宋体" w:hAnsi="宋体" w:eastAsia="宋体" w:cs="宋体"/>
          <w:spacing w:val="-1"/>
          <w:position w:val="17"/>
          <w:sz w:val="24"/>
          <w:szCs w:val="24"/>
        </w:rPr>
        <w:t>，可</w:t>
      </w:r>
      <w:r>
        <w:rPr>
          <w:rFonts w:ascii="宋体" w:hAnsi="宋体" w:eastAsia="宋体" w:cs="宋体"/>
          <w:spacing w:val="-2"/>
          <w:position w:val="17"/>
          <w:sz w:val="24"/>
          <w:szCs w:val="24"/>
        </w:rPr>
        <w:t>防止油罐破损泄漏的柴油污染地表土壤、</w:t>
      </w:r>
    </w:p>
    <w:p>
      <w:pPr>
        <w:spacing w:before="1" w:line="219" w:lineRule="auto"/>
        <w:rPr>
          <w:rFonts w:ascii="宋体" w:hAnsi="宋体" w:eastAsia="宋体" w:cs="宋体"/>
          <w:sz w:val="24"/>
          <w:szCs w:val="24"/>
        </w:rPr>
      </w:pPr>
      <w:r>
        <w:rPr>
          <w:rFonts w:ascii="宋体" w:hAnsi="宋体" w:eastAsia="宋体" w:cs="宋体"/>
          <w:spacing w:val="-2"/>
          <w:sz w:val="24"/>
          <w:szCs w:val="24"/>
        </w:rPr>
        <w:t>地表水等。油罐区使用前底部及墙体内侧进行防渗处理。</w:t>
      </w:r>
    </w:p>
    <w:p>
      <w:pPr>
        <w:spacing w:before="182" w:line="220" w:lineRule="auto"/>
        <w:ind w:left="48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）加强柴油罐、废油桶的维护保养，避免油类、柴油泄漏。</w:t>
      </w:r>
    </w:p>
    <w:p>
      <w:pPr>
        <w:spacing w:before="183" w:line="360" w:lineRule="auto"/>
        <w:ind w:left="2" w:right="6" w:firstLine="472"/>
        <w:rPr>
          <w:rFonts w:ascii="宋体" w:hAnsi="宋体" w:eastAsia="宋体" w:cs="宋体"/>
          <w:sz w:val="24"/>
          <w:szCs w:val="24"/>
        </w:rPr>
      </w:pPr>
      <w:r>
        <w:rPr>
          <w:rFonts w:ascii="Times New Roman" w:hAnsi="Times New Roman" w:eastAsia="Times New Roman" w:cs="Times New Roman"/>
          <w:spacing w:val="-12"/>
          <w:sz w:val="24"/>
          <w:szCs w:val="24"/>
        </w:rPr>
        <w:t>4</w:t>
      </w:r>
      <w:r>
        <w:rPr>
          <w:rFonts w:ascii="宋体" w:hAnsi="宋体" w:eastAsia="宋体" w:cs="宋体"/>
          <w:spacing w:val="-12"/>
          <w:sz w:val="24"/>
          <w:szCs w:val="24"/>
        </w:rPr>
        <w:t>）对废油罐体区域采取防渗处理，</w:t>
      </w:r>
      <w:r>
        <w:rPr>
          <w:rFonts w:ascii="宋体" w:hAnsi="宋体" w:eastAsia="宋体" w:cs="宋体"/>
          <w:spacing w:val="49"/>
          <w:sz w:val="24"/>
          <w:szCs w:val="24"/>
        </w:rPr>
        <w:t xml:space="preserve"> </w:t>
      </w:r>
      <w:r>
        <w:rPr>
          <w:rFonts w:ascii="宋体" w:hAnsi="宋体" w:eastAsia="宋体" w:cs="宋体"/>
          <w:spacing w:val="-12"/>
          <w:sz w:val="24"/>
          <w:szCs w:val="24"/>
        </w:rPr>
        <w:t>防渗系数应满足相关要求；</w:t>
      </w:r>
      <w:r>
        <w:rPr>
          <w:rFonts w:ascii="宋体" w:hAnsi="宋体" w:eastAsia="宋体" w:cs="宋体"/>
          <w:spacing w:val="31"/>
          <w:sz w:val="24"/>
          <w:szCs w:val="24"/>
        </w:rPr>
        <w:t xml:space="preserve"> </w:t>
      </w:r>
      <w:r>
        <w:rPr>
          <w:rFonts w:ascii="宋体" w:hAnsi="宋体" w:eastAsia="宋体" w:cs="宋体"/>
          <w:spacing w:val="-12"/>
          <w:sz w:val="24"/>
          <w:szCs w:val="24"/>
        </w:rPr>
        <w:t>对罐体设置围堰其</w:t>
      </w:r>
      <w:r>
        <w:rPr>
          <w:rFonts w:ascii="宋体" w:hAnsi="宋体" w:eastAsia="宋体" w:cs="宋体"/>
          <w:sz w:val="24"/>
          <w:szCs w:val="24"/>
        </w:rPr>
        <w:t xml:space="preserve"> </w:t>
      </w:r>
      <w:r>
        <w:rPr>
          <w:rFonts w:ascii="宋体" w:hAnsi="宋体" w:eastAsia="宋体" w:cs="宋体"/>
          <w:spacing w:val="-3"/>
          <w:sz w:val="24"/>
          <w:szCs w:val="24"/>
        </w:rPr>
        <w:t>可以降低污水渗漏的风险。并设置备用废水收集罐作为事故应急罐， 对</w:t>
      </w:r>
      <w:r>
        <w:rPr>
          <w:rFonts w:ascii="宋体" w:hAnsi="宋体" w:eastAsia="宋体" w:cs="宋体"/>
          <w:spacing w:val="-4"/>
          <w:sz w:val="24"/>
          <w:szCs w:val="24"/>
        </w:rPr>
        <w:t>散落在井场的</w:t>
      </w:r>
      <w:r>
        <w:rPr>
          <w:rFonts w:ascii="宋体" w:hAnsi="宋体" w:eastAsia="宋体" w:cs="宋体"/>
          <w:sz w:val="24"/>
          <w:szCs w:val="24"/>
        </w:rPr>
        <w:t xml:space="preserve"> 污染物及时收集，确保事故时能将泄漏的废水导流至事故应急罐，避免地表污染物入</w:t>
      </w:r>
    </w:p>
    <w:p>
      <w:pPr>
        <w:spacing w:before="1" w:line="219" w:lineRule="auto"/>
        <w:ind w:left="1"/>
        <w:rPr>
          <w:rFonts w:ascii="宋体" w:hAnsi="宋体" w:eastAsia="宋体" w:cs="宋体"/>
          <w:sz w:val="24"/>
          <w:szCs w:val="24"/>
        </w:rPr>
      </w:pPr>
      <w:r>
        <w:rPr>
          <w:rFonts w:ascii="宋体" w:hAnsi="宋体" w:eastAsia="宋体" w:cs="宋体"/>
          <w:spacing w:val="-6"/>
          <w:sz w:val="24"/>
          <w:szCs w:val="24"/>
        </w:rPr>
        <w:t>渗至地下水中。</w:t>
      </w:r>
    </w:p>
    <w:p>
      <w:pPr>
        <w:spacing w:before="182"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）废水罐中废水泄漏风险防范措施</w:t>
      </w:r>
    </w:p>
    <w:p>
      <w:pPr>
        <w:spacing w:before="183" w:line="360" w:lineRule="auto"/>
        <w:ind w:left="2" w:right="4" w:firstLine="496"/>
        <w:rPr>
          <w:rFonts w:ascii="宋体" w:hAnsi="宋体" w:eastAsia="宋体" w:cs="宋体"/>
          <w:sz w:val="24"/>
          <w:szCs w:val="24"/>
        </w:rPr>
      </w:pPr>
      <w:r>
        <w:rPr>
          <w:rFonts w:ascii="Times New Roman" w:hAnsi="Times New Roman" w:eastAsia="Times New Roman" w:cs="Times New Roman"/>
          <w:spacing w:val="-13"/>
          <w:sz w:val="24"/>
          <w:szCs w:val="24"/>
        </w:rPr>
        <w:t>1</w:t>
      </w:r>
      <w:r>
        <w:rPr>
          <w:rFonts w:ascii="宋体" w:hAnsi="宋体" w:eastAsia="宋体" w:cs="宋体"/>
          <w:spacing w:val="-13"/>
          <w:sz w:val="24"/>
          <w:szCs w:val="24"/>
        </w:rPr>
        <w:t>）对废水罐体区域采取防渗处理，</w:t>
      </w:r>
      <w:r>
        <w:rPr>
          <w:rFonts w:ascii="宋体" w:hAnsi="宋体" w:eastAsia="宋体" w:cs="宋体"/>
          <w:spacing w:val="62"/>
          <w:sz w:val="24"/>
          <w:szCs w:val="24"/>
        </w:rPr>
        <w:t xml:space="preserve"> </w:t>
      </w:r>
      <w:r>
        <w:rPr>
          <w:rFonts w:ascii="宋体" w:hAnsi="宋体" w:eastAsia="宋体" w:cs="宋体"/>
          <w:spacing w:val="-13"/>
          <w:sz w:val="24"/>
          <w:szCs w:val="24"/>
        </w:rPr>
        <w:t>防渗系数应满足相关要求；</w:t>
      </w:r>
      <w:r>
        <w:rPr>
          <w:rFonts w:ascii="宋体" w:hAnsi="宋体" w:eastAsia="宋体" w:cs="宋体"/>
          <w:spacing w:val="31"/>
          <w:sz w:val="24"/>
          <w:szCs w:val="24"/>
        </w:rPr>
        <w:t xml:space="preserve"> </w:t>
      </w:r>
      <w:r>
        <w:rPr>
          <w:rFonts w:ascii="宋体" w:hAnsi="宋体" w:eastAsia="宋体" w:cs="宋体"/>
          <w:spacing w:val="-13"/>
          <w:sz w:val="24"/>
          <w:szCs w:val="24"/>
        </w:rPr>
        <w:t>对罐体设置围堰其</w:t>
      </w:r>
      <w:r>
        <w:rPr>
          <w:rFonts w:ascii="宋体" w:hAnsi="宋体" w:eastAsia="宋体" w:cs="宋体"/>
          <w:sz w:val="24"/>
          <w:szCs w:val="24"/>
        </w:rPr>
        <w:t xml:space="preserve"> </w:t>
      </w:r>
      <w:r>
        <w:rPr>
          <w:rFonts w:ascii="宋体" w:hAnsi="宋体" w:eastAsia="宋体" w:cs="宋体"/>
          <w:spacing w:val="-3"/>
          <w:sz w:val="24"/>
          <w:szCs w:val="24"/>
        </w:rPr>
        <w:t>可以降低污水渗漏的风险。并设置备用废水收集罐作为事故应急罐， 对散落</w:t>
      </w:r>
      <w:r>
        <w:rPr>
          <w:rFonts w:ascii="宋体" w:hAnsi="宋体" w:eastAsia="宋体" w:cs="宋体"/>
          <w:spacing w:val="-4"/>
          <w:sz w:val="24"/>
          <w:szCs w:val="24"/>
        </w:rPr>
        <w:t>在井场的</w:t>
      </w:r>
      <w:r>
        <w:rPr>
          <w:rFonts w:ascii="宋体" w:hAnsi="宋体" w:eastAsia="宋体" w:cs="宋体"/>
          <w:sz w:val="24"/>
          <w:szCs w:val="24"/>
        </w:rPr>
        <w:t xml:space="preserve"> 污染物及时收集，确保事故时能将泄漏的废水导流至事故应急罐，避免地表污染物入</w:t>
      </w:r>
    </w:p>
    <w:p>
      <w:pPr>
        <w:spacing w:before="1" w:line="219" w:lineRule="auto"/>
        <w:ind w:left="1"/>
        <w:rPr>
          <w:rFonts w:ascii="宋体" w:hAnsi="宋体" w:eastAsia="宋体" w:cs="宋体"/>
          <w:sz w:val="24"/>
          <w:szCs w:val="24"/>
        </w:rPr>
      </w:pPr>
      <w:r>
        <w:rPr>
          <w:rFonts w:ascii="宋体" w:hAnsi="宋体" w:eastAsia="宋体" w:cs="宋体"/>
          <w:spacing w:val="-6"/>
          <w:sz w:val="24"/>
          <w:szCs w:val="24"/>
        </w:rPr>
        <w:t>渗至地下水中。</w:t>
      </w:r>
    </w:p>
    <w:p>
      <w:pPr>
        <w:spacing w:before="182" w:line="220" w:lineRule="auto"/>
        <w:ind w:left="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）加强对废水罐的维护保养，避免废水泄漏。</w:t>
      </w:r>
    </w:p>
    <w:p>
      <w:pPr>
        <w:spacing w:before="182" w:line="468" w:lineRule="exact"/>
        <w:jc w:val="right"/>
        <w:rPr>
          <w:rFonts w:ascii="宋体" w:hAnsi="宋体" w:eastAsia="宋体" w:cs="宋体"/>
          <w:sz w:val="24"/>
          <w:szCs w:val="24"/>
        </w:rPr>
      </w:pPr>
      <w:r>
        <w:rPr>
          <w:rFonts w:ascii="Times New Roman" w:hAnsi="Times New Roman" w:eastAsia="Times New Roman" w:cs="Times New Roman"/>
          <w:spacing w:val="-13"/>
          <w:position w:val="17"/>
          <w:sz w:val="24"/>
          <w:szCs w:val="24"/>
        </w:rPr>
        <w:t>3</w:t>
      </w:r>
      <w:r>
        <w:rPr>
          <w:rFonts w:ascii="宋体" w:hAnsi="宋体" w:eastAsia="宋体" w:cs="宋体"/>
          <w:spacing w:val="-12"/>
          <w:position w:val="17"/>
          <w:sz w:val="24"/>
          <w:szCs w:val="24"/>
        </w:rPr>
        <w:t>）结合拟建项目周边地形及水系分布特点，</w:t>
      </w:r>
      <w:r>
        <w:rPr>
          <w:rFonts w:ascii="宋体" w:hAnsi="宋体" w:eastAsia="宋体" w:cs="宋体"/>
          <w:spacing w:val="48"/>
          <w:position w:val="17"/>
          <w:sz w:val="24"/>
          <w:szCs w:val="24"/>
        </w:rPr>
        <w:t xml:space="preserve"> </w:t>
      </w:r>
      <w:r>
        <w:rPr>
          <w:rFonts w:ascii="宋体" w:hAnsi="宋体" w:eastAsia="宋体" w:cs="宋体"/>
          <w:spacing w:val="-12"/>
          <w:position w:val="17"/>
          <w:sz w:val="24"/>
          <w:szCs w:val="24"/>
        </w:rPr>
        <w:t>为防止事故时工程废水泄漏外溢，</w:t>
      </w:r>
      <w:r>
        <w:rPr>
          <w:rFonts w:ascii="宋体" w:hAnsi="宋体" w:eastAsia="宋体" w:cs="宋体"/>
          <w:spacing w:val="32"/>
          <w:position w:val="17"/>
          <w:sz w:val="24"/>
          <w:szCs w:val="24"/>
        </w:rPr>
        <w:t xml:space="preserve"> </w:t>
      </w:r>
      <w:r>
        <w:rPr>
          <w:rFonts w:ascii="宋体" w:hAnsi="宋体" w:eastAsia="宋体" w:cs="宋体"/>
          <w:spacing w:val="-11"/>
          <w:position w:val="17"/>
          <w:sz w:val="24"/>
          <w:szCs w:val="24"/>
        </w:rPr>
        <w:t>建</w:t>
      </w:r>
    </w:p>
    <w:p>
      <w:pPr>
        <w:spacing w:before="1" w:line="218" w:lineRule="auto"/>
        <w:ind w:left="2"/>
        <w:rPr>
          <w:rFonts w:ascii="宋体" w:hAnsi="宋体" w:eastAsia="宋体" w:cs="宋体"/>
          <w:sz w:val="24"/>
          <w:szCs w:val="24"/>
        </w:rPr>
      </w:pPr>
      <w:r>
        <w:rPr>
          <w:rFonts w:ascii="宋体" w:hAnsi="宋体" w:eastAsia="宋体" w:cs="宋体"/>
          <w:spacing w:val="-3"/>
          <w:sz w:val="24"/>
          <w:szCs w:val="24"/>
        </w:rPr>
        <w:t>议设置地表水三级防控机制。 一旦发生废水外溢，要立即启动废水外溢</w:t>
      </w:r>
      <w:r>
        <w:rPr>
          <w:rFonts w:ascii="宋体" w:hAnsi="宋体" w:eastAsia="宋体" w:cs="宋体"/>
          <w:spacing w:val="-4"/>
          <w:sz w:val="24"/>
          <w:szCs w:val="24"/>
        </w:rPr>
        <w:t>应急预案，对</w:t>
      </w:r>
    </w:p>
    <w:p>
      <w:pPr>
        <w:spacing w:line="218" w:lineRule="auto"/>
        <w:rPr>
          <w:rFonts w:ascii="宋体" w:hAnsi="宋体" w:eastAsia="宋体" w:cs="宋体"/>
          <w:sz w:val="24"/>
          <w:szCs w:val="24"/>
        </w:rPr>
        <w:sectPr>
          <w:footerReference r:id="rId189" w:type="default"/>
          <w:pgSz w:w="11907" w:h="16839"/>
          <w:pgMar w:top="400" w:right="1417" w:bottom="1151" w:left="1597"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rPr>
          <w:rFonts w:ascii="宋体" w:hAnsi="宋体" w:eastAsia="宋体" w:cs="宋体"/>
          <w:sz w:val="24"/>
          <w:szCs w:val="24"/>
        </w:rPr>
      </w:pPr>
      <w:r>
        <w:rPr>
          <w:rFonts w:ascii="宋体" w:hAnsi="宋体" w:eastAsia="宋体" w:cs="宋体"/>
          <w:position w:val="17"/>
          <w:sz w:val="24"/>
          <w:szCs w:val="24"/>
        </w:rPr>
        <w:t>井场周边地表水进行应急监测，同时与当地政府和居民进行及时沟通，</w:t>
      </w:r>
      <w:r>
        <w:rPr>
          <w:rFonts w:ascii="宋体" w:hAnsi="宋体" w:eastAsia="宋体" w:cs="宋体"/>
          <w:spacing w:val="-1"/>
          <w:position w:val="17"/>
          <w:sz w:val="24"/>
          <w:szCs w:val="24"/>
        </w:rPr>
        <w:t>对废水外溢造</w:t>
      </w:r>
    </w:p>
    <w:p>
      <w:pPr>
        <w:spacing w:line="219" w:lineRule="auto"/>
        <w:ind w:left="2"/>
        <w:rPr>
          <w:rFonts w:ascii="宋体" w:hAnsi="宋体" w:eastAsia="宋体" w:cs="宋体"/>
          <w:sz w:val="24"/>
          <w:szCs w:val="24"/>
        </w:rPr>
      </w:pPr>
      <w:r>
        <w:rPr>
          <w:rFonts w:ascii="宋体" w:hAnsi="宋体" w:eastAsia="宋体" w:cs="宋体"/>
          <w:spacing w:val="-2"/>
          <w:sz w:val="24"/>
          <w:szCs w:val="24"/>
        </w:rPr>
        <w:t>成的农业损失进行赔偿，避免居民投诉事件发生。</w:t>
      </w:r>
    </w:p>
    <w:p>
      <w:pPr>
        <w:spacing w:before="182" w:line="220"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）应急池中废水泄漏风险防范措施</w:t>
      </w:r>
    </w:p>
    <w:p>
      <w:pPr>
        <w:spacing w:before="182" w:line="468" w:lineRule="exact"/>
        <w:jc w:val="right"/>
        <w:rPr>
          <w:rFonts w:ascii="宋体" w:hAnsi="宋体" w:eastAsia="宋体" w:cs="宋体"/>
          <w:sz w:val="24"/>
          <w:szCs w:val="24"/>
        </w:rPr>
      </w:pPr>
      <w:r>
        <w:rPr>
          <w:rFonts w:ascii="Times New Roman" w:hAnsi="Times New Roman" w:eastAsia="Times New Roman" w:cs="Times New Roman"/>
          <w:spacing w:val="-6"/>
          <w:position w:val="17"/>
          <w:sz w:val="24"/>
          <w:szCs w:val="24"/>
        </w:rPr>
        <w:t>1</w:t>
      </w:r>
      <w:r>
        <w:rPr>
          <w:rFonts w:ascii="宋体" w:hAnsi="宋体" w:eastAsia="宋体" w:cs="宋体"/>
          <w:spacing w:val="-6"/>
          <w:position w:val="17"/>
          <w:sz w:val="24"/>
          <w:szCs w:val="24"/>
        </w:rPr>
        <w:t>）为防止应急池垮塌，</w:t>
      </w:r>
      <w:r>
        <w:rPr>
          <w:rFonts w:ascii="宋体" w:hAnsi="宋体" w:eastAsia="宋体" w:cs="宋体"/>
          <w:spacing w:val="-34"/>
          <w:position w:val="17"/>
          <w:sz w:val="24"/>
          <w:szCs w:val="24"/>
        </w:rPr>
        <w:t xml:space="preserve"> </w:t>
      </w:r>
      <w:r>
        <w:rPr>
          <w:rFonts w:ascii="宋体" w:hAnsi="宋体" w:eastAsia="宋体" w:cs="宋体"/>
          <w:spacing w:val="-6"/>
          <w:position w:val="17"/>
          <w:sz w:val="24"/>
          <w:szCs w:val="24"/>
        </w:rPr>
        <w:t>应急池选址避开不良地质或岩土松散的地段等地质结构不</w:t>
      </w:r>
    </w:p>
    <w:p>
      <w:pPr>
        <w:spacing w:line="219" w:lineRule="auto"/>
        <w:ind w:left="1"/>
        <w:rPr>
          <w:rFonts w:ascii="宋体" w:hAnsi="宋体" w:eastAsia="宋体" w:cs="宋体"/>
          <w:sz w:val="24"/>
          <w:szCs w:val="24"/>
        </w:rPr>
      </w:pPr>
      <w:r>
        <w:rPr>
          <w:rFonts w:ascii="宋体" w:hAnsi="宋体" w:eastAsia="宋体" w:cs="宋体"/>
          <w:spacing w:val="-3"/>
          <w:sz w:val="24"/>
          <w:szCs w:val="24"/>
        </w:rPr>
        <w:t>稳定的地方，从选址入手防范废水泄漏。</w:t>
      </w:r>
    </w:p>
    <w:p>
      <w:pPr>
        <w:spacing w:before="182" w:line="220" w:lineRule="auto"/>
        <w:ind w:left="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）按相关要求规定对应急池进行重点防渗处理。</w:t>
      </w:r>
    </w:p>
    <w:p>
      <w:pPr>
        <w:spacing w:before="182" w:line="360" w:lineRule="auto"/>
        <w:ind w:right="17" w:firstLine="480"/>
        <w:rPr>
          <w:rFonts w:ascii="宋体" w:hAnsi="宋体" w:eastAsia="宋体" w:cs="宋体"/>
          <w:sz w:val="24"/>
          <w:szCs w:val="24"/>
        </w:rPr>
      </w:pPr>
      <w:r>
        <w:rPr>
          <w:rFonts w:ascii="Times New Roman" w:hAnsi="Times New Roman" w:eastAsia="Times New Roman" w:cs="Times New Roman"/>
          <w:spacing w:val="-15"/>
          <w:sz w:val="24"/>
          <w:szCs w:val="24"/>
        </w:rPr>
        <w:t>3</w:t>
      </w:r>
      <w:r>
        <w:rPr>
          <w:rFonts w:ascii="宋体" w:hAnsi="宋体" w:eastAsia="宋体" w:cs="宋体"/>
          <w:spacing w:val="-15"/>
          <w:sz w:val="24"/>
          <w:szCs w:val="24"/>
        </w:rPr>
        <w:t>）对井场临时储存的废水进行及时转运，</w:t>
      </w:r>
      <w:r>
        <w:rPr>
          <w:rFonts w:ascii="宋体" w:hAnsi="宋体" w:eastAsia="宋体" w:cs="宋体"/>
          <w:spacing w:val="-50"/>
          <w:sz w:val="24"/>
          <w:szCs w:val="24"/>
        </w:rPr>
        <w:t xml:space="preserve"> </w:t>
      </w:r>
      <w:r>
        <w:rPr>
          <w:rFonts w:ascii="宋体" w:hAnsi="宋体" w:eastAsia="宋体" w:cs="宋体"/>
          <w:spacing w:val="-15"/>
          <w:sz w:val="24"/>
          <w:szCs w:val="24"/>
        </w:rPr>
        <w:t>减少废水储存周期，</w:t>
      </w:r>
      <w:r>
        <w:rPr>
          <w:rFonts w:ascii="宋体" w:hAnsi="宋体" w:eastAsia="宋体" w:cs="宋体"/>
          <w:spacing w:val="-31"/>
          <w:sz w:val="24"/>
          <w:szCs w:val="24"/>
        </w:rPr>
        <w:t xml:space="preserve"> </w:t>
      </w:r>
      <w:r>
        <w:rPr>
          <w:rFonts w:ascii="宋体" w:hAnsi="宋体" w:eastAsia="宋体" w:cs="宋体"/>
          <w:spacing w:val="-15"/>
          <w:sz w:val="24"/>
          <w:szCs w:val="24"/>
        </w:rPr>
        <w:t>降低</w:t>
      </w:r>
      <w:r>
        <w:rPr>
          <w:rFonts w:ascii="宋体" w:hAnsi="宋体" w:eastAsia="宋体" w:cs="宋体"/>
          <w:spacing w:val="-16"/>
          <w:sz w:val="24"/>
          <w:szCs w:val="24"/>
        </w:rPr>
        <w:t>废水外溢风险，</w:t>
      </w:r>
      <w:r>
        <w:rPr>
          <w:rFonts w:ascii="宋体" w:hAnsi="宋体" w:eastAsia="宋体" w:cs="宋体"/>
          <w:sz w:val="24"/>
          <w:szCs w:val="24"/>
        </w:rPr>
        <w:t xml:space="preserve"> 特别在汛期来临之前要尽量腾空应急池，在暴雨季节，加强对废</w:t>
      </w:r>
      <w:r>
        <w:rPr>
          <w:rFonts w:ascii="宋体" w:hAnsi="宋体" w:eastAsia="宋体" w:cs="宋体"/>
          <w:spacing w:val="-1"/>
          <w:sz w:val="24"/>
          <w:szCs w:val="24"/>
        </w:rPr>
        <w:t>水池的巡查，降低废</w:t>
      </w:r>
    </w:p>
    <w:p>
      <w:pPr>
        <w:spacing w:before="1" w:line="219" w:lineRule="auto"/>
        <w:ind w:left="3"/>
        <w:rPr>
          <w:rFonts w:ascii="宋体" w:hAnsi="宋体" w:eastAsia="宋体" w:cs="宋体"/>
          <w:sz w:val="24"/>
          <w:szCs w:val="24"/>
        </w:rPr>
      </w:pPr>
      <w:r>
        <w:rPr>
          <w:rFonts w:ascii="宋体" w:hAnsi="宋体" w:eastAsia="宋体" w:cs="宋体"/>
          <w:spacing w:val="-5"/>
          <w:sz w:val="24"/>
          <w:szCs w:val="24"/>
        </w:rPr>
        <w:t>水外溢的环境风险。</w:t>
      </w:r>
    </w:p>
    <w:p>
      <w:pPr>
        <w:spacing w:before="183" w:line="468" w:lineRule="exact"/>
        <w:ind w:right="9"/>
        <w:jc w:val="right"/>
        <w:rPr>
          <w:rFonts w:ascii="宋体" w:hAnsi="宋体" w:eastAsia="宋体" w:cs="宋体"/>
          <w:sz w:val="24"/>
          <w:szCs w:val="24"/>
        </w:rPr>
      </w:pPr>
      <w:r>
        <w:rPr>
          <w:rFonts w:ascii="Times New Roman" w:hAnsi="Times New Roman" w:eastAsia="Times New Roman" w:cs="Times New Roman"/>
          <w:spacing w:val="-7"/>
          <w:position w:val="17"/>
          <w:sz w:val="24"/>
          <w:szCs w:val="24"/>
        </w:rPr>
        <w:t>4</w:t>
      </w:r>
      <w:r>
        <w:rPr>
          <w:rFonts w:ascii="宋体" w:hAnsi="宋体" w:eastAsia="宋体" w:cs="宋体"/>
          <w:spacing w:val="-7"/>
          <w:position w:val="17"/>
          <w:sz w:val="24"/>
          <w:szCs w:val="24"/>
        </w:rPr>
        <w:t>）为避免突降大雨引起雨水进入场站应急池，从而引发</w:t>
      </w:r>
      <w:r>
        <w:rPr>
          <w:rFonts w:ascii="宋体" w:hAnsi="宋体" w:eastAsia="宋体" w:cs="宋体"/>
          <w:spacing w:val="-8"/>
          <w:position w:val="17"/>
          <w:sz w:val="24"/>
          <w:szCs w:val="24"/>
        </w:rPr>
        <w:t>废水外溢，</w:t>
      </w:r>
      <w:r>
        <w:rPr>
          <w:rFonts w:ascii="宋体" w:hAnsi="宋体" w:eastAsia="宋体" w:cs="宋体"/>
          <w:spacing w:val="28"/>
          <w:position w:val="17"/>
          <w:sz w:val="24"/>
          <w:szCs w:val="24"/>
        </w:rPr>
        <w:t xml:space="preserve"> </w:t>
      </w:r>
      <w:r>
        <w:rPr>
          <w:rFonts w:ascii="宋体" w:hAnsi="宋体" w:eastAsia="宋体" w:cs="宋体"/>
          <w:spacing w:val="-8"/>
          <w:position w:val="17"/>
          <w:sz w:val="24"/>
          <w:szCs w:val="24"/>
        </w:rPr>
        <w:t>在施工条件具</w:t>
      </w:r>
    </w:p>
    <w:p>
      <w:pPr>
        <w:spacing w:before="1" w:line="218" w:lineRule="auto"/>
        <w:ind w:left="3"/>
        <w:rPr>
          <w:rFonts w:ascii="宋体" w:hAnsi="宋体" w:eastAsia="宋体" w:cs="宋体"/>
          <w:sz w:val="24"/>
          <w:szCs w:val="24"/>
        </w:rPr>
      </w:pPr>
      <w:r>
        <w:rPr>
          <w:rFonts w:ascii="宋体" w:hAnsi="宋体" w:eastAsia="宋体" w:cs="宋体"/>
          <w:spacing w:val="-3"/>
          <w:sz w:val="24"/>
          <w:szCs w:val="24"/>
        </w:rPr>
        <w:t>备时应对应急池加盖防水篷布或架设雨篷。</w:t>
      </w:r>
    </w:p>
    <w:p>
      <w:pPr>
        <w:spacing w:before="184" w:line="468" w:lineRule="exact"/>
        <w:jc w:val="right"/>
        <w:rPr>
          <w:rFonts w:ascii="宋体" w:hAnsi="宋体" w:eastAsia="宋体" w:cs="宋体"/>
          <w:sz w:val="24"/>
          <w:szCs w:val="24"/>
        </w:rPr>
      </w:pPr>
      <w:r>
        <w:rPr>
          <w:rFonts w:ascii="Times New Roman" w:hAnsi="Times New Roman" w:eastAsia="Times New Roman" w:cs="Times New Roman"/>
          <w:spacing w:val="-14"/>
          <w:position w:val="17"/>
          <w:sz w:val="24"/>
          <w:szCs w:val="24"/>
        </w:rPr>
        <w:t>5</w:t>
      </w:r>
      <w:r>
        <w:rPr>
          <w:rFonts w:ascii="宋体" w:hAnsi="宋体" w:eastAsia="宋体" w:cs="宋体"/>
          <w:spacing w:val="-14"/>
          <w:position w:val="17"/>
          <w:sz w:val="24"/>
          <w:szCs w:val="24"/>
        </w:rPr>
        <w:t>）</w:t>
      </w:r>
      <w:r>
        <w:rPr>
          <w:rFonts w:ascii="宋体" w:hAnsi="宋体" w:eastAsia="宋体" w:cs="宋体"/>
          <w:spacing w:val="-13"/>
          <w:position w:val="17"/>
          <w:sz w:val="24"/>
          <w:szCs w:val="24"/>
        </w:rPr>
        <w:t>井场采用清污分流系统，</w:t>
      </w:r>
      <w:r>
        <w:rPr>
          <w:rFonts w:ascii="宋体" w:hAnsi="宋体" w:eastAsia="宋体" w:cs="宋体"/>
          <w:spacing w:val="66"/>
          <w:position w:val="17"/>
          <w:sz w:val="24"/>
          <w:szCs w:val="24"/>
        </w:rPr>
        <w:t xml:space="preserve"> </w:t>
      </w:r>
      <w:r>
        <w:rPr>
          <w:rFonts w:ascii="宋体" w:hAnsi="宋体" w:eastAsia="宋体" w:cs="宋体"/>
          <w:spacing w:val="-13"/>
          <w:position w:val="17"/>
          <w:sz w:val="24"/>
          <w:szCs w:val="24"/>
        </w:rPr>
        <w:t>防止雨水进入应急池，并定期进行维护，</w:t>
      </w:r>
      <w:r>
        <w:rPr>
          <w:rFonts w:ascii="宋体" w:hAnsi="宋体" w:eastAsia="宋体" w:cs="宋体"/>
          <w:spacing w:val="41"/>
          <w:position w:val="17"/>
          <w:sz w:val="24"/>
          <w:szCs w:val="24"/>
        </w:rPr>
        <w:t xml:space="preserve"> </w:t>
      </w:r>
      <w:r>
        <w:rPr>
          <w:rFonts w:ascii="宋体" w:hAnsi="宋体" w:eastAsia="宋体" w:cs="宋体"/>
          <w:spacing w:val="-13"/>
          <w:position w:val="17"/>
          <w:sz w:val="24"/>
          <w:szCs w:val="24"/>
        </w:rPr>
        <w:t>从而有效</w:t>
      </w:r>
      <w:r>
        <w:rPr>
          <w:rFonts w:ascii="宋体" w:hAnsi="宋体" w:eastAsia="宋体" w:cs="宋体"/>
          <w:spacing w:val="-11"/>
          <w:position w:val="17"/>
          <w:sz w:val="24"/>
          <w:szCs w:val="24"/>
        </w:rPr>
        <w:t>控</w:t>
      </w:r>
    </w:p>
    <w:p>
      <w:pPr>
        <w:spacing w:before="1" w:line="218" w:lineRule="auto"/>
        <w:ind w:left="1"/>
        <w:rPr>
          <w:rFonts w:ascii="宋体" w:hAnsi="宋体" w:eastAsia="宋体" w:cs="宋体"/>
          <w:sz w:val="24"/>
          <w:szCs w:val="24"/>
        </w:rPr>
      </w:pPr>
      <w:r>
        <w:rPr>
          <w:rFonts w:ascii="宋体" w:hAnsi="宋体" w:eastAsia="宋体" w:cs="宋体"/>
          <w:spacing w:val="-3"/>
          <w:sz w:val="24"/>
          <w:szCs w:val="24"/>
        </w:rPr>
        <w:t>制因暴雨而导致应急池的外溢。</w:t>
      </w:r>
    </w:p>
    <w:p>
      <w:pPr>
        <w:spacing w:before="183" w:line="468" w:lineRule="exact"/>
        <w:jc w:val="right"/>
        <w:rPr>
          <w:rFonts w:ascii="宋体" w:hAnsi="宋体" w:eastAsia="宋体" w:cs="宋体"/>
          <w:sz w:val="24"/>
          <w:szCs w:val="24"/>
        </w:rPr>
      </w:pPr>
      <w:r>
        <w:rPr>
          <w:rFonts w:ascii="Times New Roman" w:hAnsi="Times New Roman" w:eastAsia="Times New Roman" w:cs="Times New Roman"/>
          <w:spacing w:val="-13"/>
          <w:position w:val="17"/>
          <w:sz w:val="24"/>
          <w:szCs w:val="24"/>
        </w:rPr>
        <w:t>6</w:t>
      </w:r>
      <w:r>
        <w:rPr>
          <w:rFonts w:ascii="宋体" w:hAnsi="宋体" w:eastAsia="宋体" w:cs="宋体"/>
          <w:spacing w:val="-12"/>
          <w:position w:val="17"/>
          <w:sz w:val="24"/>
          <w:szCs w:val="24"/>
        </w:rPr>
        <w:t>）一旦发生废水外溢，</w:t>
      </w:r>
      <w:r>
        <w:rPr>
          <w:rFonts w:ascii="宋体" w:hAnsi="宋体" w:eastAsia="宋体" w:cs="宋体"/>
          <w:spacing w:val="47"/>
          <w:position w:val="17"/>
          <w:sz w:val="24"/>
          <w:szCs w:val="24"/>
        </w:rPr>
        <w:t xml:space="preserve"> </w:t>
      </w:r>
      <w:r>
        <w:rPr>
          <w:rFonts w:ascii="宋体" w:hAnsi="宋体" w:eastAsia="宋体" w:cs="宋体"/>
          <w:spacing w:val="-12"/>
          <w:position w:val="17"/>
          <w:sz w:val="24"/>
          <w:szCs w:val="24"/>
        </w:rPr>
        <w:t>要立即启动废水外溢应急预案，</w:t>
      </w:r>
      <w:r>
        <w:rPr>
          <w:rFonts w:ascii="宋体" w:hAnsi="宋体" w:eastAsia="宋体" w:cs="宋体"/>
          <w:spacing w:val="32"/>
          <w:position w:val="17"/>
          <w:sz w:val="24"/>
          <w:szCs w:val="24"/>
        </w:rPr>
        <w:t xml:space="preserve"> </w:t>
      </w:r>
      <w:r>
        <w:rPr>
          <w:rFonts w:ascii="宋体" w:hAnsi="宋体" w:eastAsia="宋体" w:cs="宋体"/>
          <w:spacing w:val="-12"/>
          <w:position w:val="17"/>
          <w:sz w:val="24"/>
          <w:szCs w:val="24"/>
        </w:rPr>
        <w:t>建议设置地表水三级防</w:t>
      </w:r>
      <w:r>
        <w:rPr>
          <w:rFonts w:ascii="宋体" w:hAnsi="宋体" w:eastAsia="宋体" w:cs="宋体"/>
          <w:spacing w:val="-11"/>
          <w:position w:val="17"/>
          <w:sz w:val="24"/>
          <w:szCs w:val="24"/>
        </w:rPr>
        <w:t>控</w:t>
      </w:r>
    </w:p>
    <w:p>
      <w:pPr>
        <w:spacing w:before="1" w:line="218" w:lineRule="auto"/>
        <w:rPr>
          <w:rFonts w:ascii="宋体" w:hAnsi="宋体" w:eastAsia="宋体" w:cs="宋体"/>
          <w:sz w:val="24"/>
          <w:szCs w:val="24"/>
        </w:rPr>
      </w:pPr>
      <w:r>
        <w:rPr>
          <w:rFonts w:ascii="宋体" w:hAnsi="宋体" w:eastAsia="宋体" w:cs="宋体"/>
          <w:spacing w:val="-3"/>
          <w:sz w:val="24"/>
          <w:szCs w:val="24"/>
        </w:rPr>
        <w:t>机制，启动废水外溢应急预案。</w:t>
      </w:r>
    </w:p>
    <w:p>
      <w:pPr>
        <w:spacing w:before="183"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）废水转运过程中风险防范措施</w:t>
      </w:r>
    </w:p>
    <w:p>
      <w:pPr>
        <w:spacing w:before="183" w:line="360" w:lineRule="auto"/>
        <w:ind w:left="1" w:right="2" w:firstLine="481"/>
        <w:rPr>
          <w:rFonts w:ascii="宋体" w:hAnsi="宋体" w:eastAsia="宋体" w:cs="宋体"/>
          <w:sz w:val="24"/>
          <w:szCs w:val="24"/>
        </w:rPr>
      </w:pPr>
      <w:r>
        <w:rPr>
          <w:rFonts w:ascii="宋体" w:hAnsi="宋体" w:eastAsia="宋体" w:cs="宋体"/>
          <w:sz w:val="24"/>
          <w:szCs w:val="24"/>
        </w:rPr>
        <w:t>工程废水转运时采取罐车密闭输送。为降低废水转运对地表水的污染风险，确保</w:t>
      </w:r>
      <w:r>
        <w:rPr>
          <w:rFonts w:ascii="宋体" w:hAnsi="宋体" w:eastAsia="宋体" w:cs="宋体"/>
          <w:spacing w:val="3"/>
          <w:sz w:val="24"/>
          <w:szCs w:val="24"/>
        </w:rPr>
        <w:t xml:space="preserve"> </w:t>
      </w:r>
      <w:r>
        <w:rPr>
          <w:rFonts w:ascii="宋体" w:hAnsi="宋体" w:eastAsia="宋体" w:cs="宋体"/>
          <w:sz w:val="24"/>
          <w:szCs w:val="24"/>
        </w:rPr>
        <w:t>本工程废水得到妥善处理，本着切实保护环境的原则，本工程废水转运过程中，采取</w:t>
      </w:r>
    </w:p>
    <w:p>
      <w:pPr>
        <w:spacing w:before="1" w:line="220" w:lineRule="auto"/>
        <w:ind w:left="4"/>
        <w:rPr>
          <w:rFonts w:ascii="宋体" w:hAnsi="宋体" w:eastAsia="宋体" w:cs="宋体"/>
          <w:sz w:val="24"/>
          <w:szCs w:val="24"/>
        </w:rPr>
      </w:pPr>
      <w:r>
        <w:rPr>
          <w:rFonts w:ascii="宋体" w:hAnsi="宋体" w:eastAsia="宋体" w:cs="宋体"/>
          <w:spacing w:val="-11"/>
          <w:sz w:val="24"/>
          <w:szCs w:val="24"/>
        </w:rPr>
        <w:t>如下措施：</w:t>
      </w:r>
    </w:p>
    <w:p>
      <w:pPr>
        <w:spacing w:before="181" w:line="360" w:lineRule="auto"/>
        <w:ind w:right="8" w:firstLine="499"/>
        <w:rPr>
          <w:rFonts w:ascii="宋体" w:hAnsi="宋体" w:eastAsia="宋体" w:cs="宋体"/>
          <w:sz w:val="24"/>
          <w:szCs w:val="24"/>
        </w:rPr>
      </w:pPr>
      <w:r>
        <w:rPr>
          <w:rFonts w:ascii="Times New Roman" w:hAnsi="Times New Roman" w:eastAsia="Times New Roman" w:cs="Times New Roman"/>
          <w:spacing w:val="-13"/>
          <w:sz w:val="24"/>
          <w:szCs w:val="24"/>
        </w:rPr>
        <w:t>1</w:t>
      </w:r>
      <w:r>
        <w:rPr>
          <w:rFonts w:ascii="宋体" w:hAnsi="宋体" w:eastAsia="宋体" w:cs="宋体"/>
          <w:spacing w:val="-13"/>
          <w:sz w:val="24"/>
          <w:szCs w:val="24"/>
        </w:rPr>
        <w:t>）建立建设单位与当地政府、环保局等相关部门的联络机制，</w:t>
      </w:r>
      <w:r>
        <w:rPr>
          <w:rFonts w:ascii="宋体" w:hAnsi="宋体" w:eastAsia="宋体" w:cs="宋体"/>
          <w:spacing w:val="53"/>
          <w:sz w:val="24"/>
          <w:szCs w:val="24"/>
        </w:rPr>
        <w:t xml:space="preserve"> </w:t>
      </w:r>
      <w:r>
        <w:rPr>
          <w:rFonts w:ascii="宋体" w:hAnsi="宋体" w:eastAsia="宋体" w:cs="宋体"/>
          <w:spacing w:val="-13"/>
          <w:sz w:val="24"/>
          <w:szCs w:val="24"/>
        </w:rPr>
        <w:t>若有险情发生，</w:t>
      </w:r>
      <w:r>
        <w:rPr>
          <w:rFonts w:ascii="宋体" w:hAnsi="宋体" w:eastAsia="宋体" w:cs="宋体"/>
          <w:spacing w:val="37"/>
          <w:sz w:val="24"/>
          <w:szCs w:val="24"/>
        </w:rPr>
        <w:t xml:space="preserve"> </w:t>
      </w:r>
      <w:r>
        <w:rPr>
          <w:rFonts w:ascii="宋体" w:hAnsi="宋体" w:eastAsia="宋体" w:cs="宋体"/>
          <w:spacing w:val="-13"/>
          <w:sz w:val="24"/>
          <w:szCs w:val="24"/>
        </w:rPr>
        <w:t>应</w:t>
      </w:r>
      <w:r>
        <w:rPr>
          <w:rFonts w:ascii="宋体" w:hAnsi="宋体" w:eastAsia="宋体" w:cs="宋体"/>
          <w:sz w:val="24"/>
          <w:szCs w:val="24"/>
        </w:rPr>
        <w:t xml:space="preserve"> </w:t>
      </w:r>
      <w:r>
        <w:rPr>
          <w:rFonts w:ascii="宋体" w:hAnsi="宋体" w:eastAsia="宋体" w:cs="宋体"/>
          <w:spacing w:val="-1"/>
          <w:sz w:val="24"/>
          <w:szCs w:val="24"/>
        </w:rPr>
        <w:t>及时与作业区值班人员取得联系，若确认发生废水外溢事故，应及时上报当地政府、</w:t>
      </w:r>
    </w:p>
    <w:p>
      <w:pPr>
        <w:spacing w:before="1" w:line="219" w:lineRule="auto"/>
        <w:rPr>
          <w:rFonts w:ascii="宋体" w:hAnsi="宋体" w:eastAsia="宋体" w:cs="宋体"/>
          <w:sz w:val="24"/>
          <w:szCs w:val="24"/>
        </w:rPr>
      </w:pPr>
      <w:r>
        <w:rPr>
          <w:rFonts w:ascii="宋体" w:hAnsi="宋体" w:eastAsia="宋体" w:cs="宋体"/>
          <w:spacing w:val="-5"/>
          <w:sz w:val="24"/>
          <w:szCs w:val="24"/>
        </w:rPr>
        <w:t>环保局等相关部门。</w:t>
      </w:r>
    </w:p>
    <w:p>
      <w:pPr>
        <w:spacing w:before="183" w:line="468" w:lineRule="exact"/>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 xml:space="preserve">）对承包废水转运的承包商实施车辆登记制度，为每台车安装 </w:t>
      </w:r>
      <w:r>
        <w:rPr>
          <w:rFonts w:ascii="Times New Roman" w:hAnsi="Times New Roman" w:eastAsia="Times New Roman" w:cs="Times New Roman"/>
          <w:position w:val="17"/>
          <w:sz w:val="24"/>
          <w:szCs w:val="24"/>
        </w:rPr>
        <w:t>GPS</w:t>
      </w:r>
      <w:r>
        <w:rPr>
          <w:rFonts w:ascii="宋体" w:hAnsi="宋体" w:eastAsia="宋体" w:cs="宋体"/>
          <w:spacing w:val="1"/>
          <w:position w:val="17"/>
          <w:sz w:val="24"/>
          <w:szCs w:val="24"/>
        </w:rPr>
        <w:t>，并纳入建</w:t>
      </w:r>
    </w:p>
    <w:p>
      <w:pPr>
        <w:spacing w:line="220" w:lineRule="auto"/>
        <w:ind w:left="4"/>
        <w:rPr>
          <w:rFonts w:ascii="宋体" w:hAnsi="宋体" w:eastAsia="宋体" w:cs="宋体"/>
          <w:sz w:val="24"/>
          <w:szCs w:val="24"/>
        </w:rPr>
      </w:pPr>
      <w:r>
        <w:rPr>
          <w:rFonts w:ascii="宋体" w:hAnsi="宋体" w:eastAsia="宋体" w:cs="宋体"/>
          <w:spacing w:val="-4"/>
          <w:sz w:val="24"/>
          <w:szCs w:val="24"/>
        </w:rPr>
        <w:t>设方的</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GPS </w:t>
      </w:r>
      <w:r>
        <w:rPr>
          <w:rFonts w:ascii="宋体" w:hAnsi="宋体" w:eastAsia="宋体" w:cs="宋体"/>
          <w:spacing w:val="-4"/>
          <w:sz w:val="24"/>
          <w:szCs w:val="24"/>
        </w:rPr>
        <w:t>监控系统平台。</w:t>
      </w:r>
    </w:p>
    <w:p>
      <w:pPr>
        <w:spacing w:before="181" w:line="220" w:lineRule="auto"/>
        <w:ind w:left="48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）转运过程做好转运台账，严格实施交接清单制度。</w:t>
      </w:r>
    </w:p>
    <w:p>
      <w:pPr>
        <w:spacing w:before="183" w:line="220" w:lineRule="auto"/>
        <w:ind w:left="475"/>
        <w:rPr>
          <w:rFonts w:ascii="宋体" w:hAnsi="宋体" w:eastAsia="宋体" w:cs="宋体"/>
          <w:sz w:val="24"/>
          <w:szCs w:val="24"/>
        </w:rPr>
      </w:pPr>
      <w:r>
        <w:rPr>
          <w:rFonts w:ascii="Times New Roman" w:hAnsi="Times New Roman" w:eastAsia="Times New Roman" w:cs="Times New Roman"/>
          <w:spacing w:val="-3"/>
          <w:sz w:val="24"/>
          <w:szCs w:val="24"/>
        </w:rPr>
        <w:t>4</w:t>
      </w:r>
      <w:r>
        <w:rPr>
          <w:rFonts w:ascii="宋体" w:hAnsi="宋体" w:eastAsia="宋体" w:cs="宋体"/>
          <w:spacing w:val="-3"/>
          <w:sz w:val="24"/>
          <w:szCs w:val="24"/>
        </w:rPr>
        <w:t>）加强罐车装载量管理，严禁超载。</w:t>
      </w:r>
    </w:p>
    <w:p>
      <w:pPr>
        <w:spacing w:before="182" w:line="360" w:lineRule="auto"/>
        <w:ind w:left="5" w:right="10" w:firstLine="477"/>
        <w:rPr>
          <w:rFonts w:ascii="宋体" w:hAnsi="宋体" w:eastAsia="宋体" w:cs="宋体"/>
          <w:sz w:val="24"/>
          <w:szCs w:val="24"/>
        </w:rPr>
      </w:pPr>
      <w:r>
        <w:rPr>
          <w:rFonts w:ascii="Times New Roman" w:hAnsi="Times New Roman" w:eastAsia="Times New Roman" w:cs="Times New Roman"/>
          <w:spacing w:val="-12"/>
          <w:sz w:val="24"/>
          <w:szCs w:val="24"/>
        </w:rPr>
        <w:t>5</w:t>
      </w:r>
      <w:r>
        <w:rPr>
          <w:rFonts w:ascii="宋体" w:hAnsi="宋体" w:eastAsia="宋体" w:cs="宋体"/>
          <w:spacing w:val="-12"/>
          <w:sz w:val="24"/>
          <w:szCs w:val="24"/>
        </w:rPr>
        <w:t>）加强对废水罐车司机的安全教育，</w:t>
      </w:r>
      <w:r>
        <w:rPr>
          <w:rFonts w:ascii="宋体" w:hAnsi="宋体" w:eastAsia="宋体" w:cs="宋体"/>
          <w:spacing w:val="38"/>
          <w:sz w:val="24"/>
          <w:szCs w:val="24"/>
        </w:rPr>
        <w:t xml:space="preserve"> </w:t>
      </w:r>
      <w:r>
        <w:rPr>
          <w:rFonts w:ascii="宋体" w:hAnsi="宋体" w:eastAsia="宋体" w:cs="宋体"/>
          <w:spacing w:val="-12"/>
          <w:sz w:val="24"/>
          <w:szCs w:val="24"/>
        </w:rPr>
        <w:t>定期对罐车进行安全检查，</w:t>
      </w:r>
      <w:r>
        <w:rPr>
          <w:rFonts w:ascii="宋体" w:hAnsi="宋体" w:eastAsia="宋体" w:cs="宋体"/>
          <w:spacing w:val="30"/>
          <w:sz w:val="24"/>
          <w:szCs w:val="24"/>
        </w:rPr>
        <w:t xml:space="preserve"> </w:t>
      </w:r>
      <w:r>
        <w:rPr>
          <w:rFonts w:ascii="宋体" w:hAnsi="宋体" w:eastAsia="宋体" w:cs="宋体"/>
          <w:spacing w:val="-12"/>
          <w:sz w:val="24"/>
          <w:szCs w:val="24"/>
        </w:rPr>
        <w:t>严格遵守交通规</w:t>
      </w:r>
      <w:r>
        <w:rPr>
          <w:rFonts w:ascii="宋体" w:hAnsi="宋体" w:eastAsia="宋体" w:cs="宋体"/>
          <w:sz w:val="24"/>
          <w:szCs w:val="24"/>
        </w:rPr>
        <w:t xml:space="preserve"> </w:t>
      </w:r>
      <w:r>
        <w:rPr>
          <w:rFonts w:ascii="宋体" w:hAnsi="宋体" w:eastAsia="宋体" w:cs="宋体"/>
          <w:spacing w:val="-1"/>
          <w:sz w:val="24"/>
          <w:szCs w:val="24"/>
        </w:rPr>
        <w:t>则，避免交通事故发生。加强对除驾驶员外的其他拉运工作人员管理，要求运输人员</w:t>
      </w:r>
    </w:p>
    <w:p>
      <w:pPr>
        <w:spacing w:before="1" w:line="219" w:lineRule="auto"/>
        <w:ind w:left="1"/>
        <w:rPr>
          <w:rFonts w:ascii="宋体" w:hAnsi="宋体" w:eastAsia="宋体" w:cs="宋体"/>
          <w:sz w:val="24"/>
          <w:szCs w:val="24"/>
        </w:rPr>
      </w:pPr>
      <w:r>
        <w:rPr>
          <w:rFonts w:ascii="宋体" w:hAnsi="宋体" w:eastAsia="宋体" w:cs="宋体"/>
          <w:sz w:val="24"/>
          <w:szCs w:val="24"/>
        </w:rPr>
        <w:t>技术过硬、经验丰富、工作认真负责。加强对废水罐车的管理，防止人为原因造成的</w:t>
      </w:r>
    </w:p>
    <w:p>
      <w:pPr>
        <w:spacing w:line="219" w:lineRule="auto"/>
        <w:rPr>
          <w:rFonts w:ascii="宋体" w:hAnsi="宋体" w:eastAsia="宋体" w:cs="宋体"/>
          <w:sz w:val="24"/>
          <w:szCs w:val="24"/>
        </w:rPr>
        <w:sectPr>
          <w:footerReference r:id="rId190" w:type="default"/>
          <w:pgSz w:w="11907" w:h="16839"/>
          <w:pgMar w:top="400" w:right="1417" w:bottom="1151" w:left="1597"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220" w:lineRule="auto"/>
        <w:rPr>
          <w:rFonts w:ascii="宋体" w:hAnsi="宋体" w:eastAsia="宋体" w:cs="宋体"/>
          <w:sz w:val="24"/>
          <w:szCs w:val="24"/>
        </w:rPr>
      </w:pPr>
      <w:r>
        <w:rPr>
          <w:rFonts w:ascii="宋体" w:hAnsi="宋体" w:eastAsia="宋体" w:cs="宋体"/>
          <w:spacing w:val="-7"/>
          <w:sz w:val="24"/>
          <w:szCs w:val="24"/>
        </w:rPr>
        <w:t>废水外溢。</w:t>
      </w:r>
    </w:p>
    <w:p>
      <w:pPr>
        <w:spacing w:before="183" w:line="468" w:lineRule="exact"/>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6</w:t>
      </w:r>
      <w:r>
        <w:rPr>
          <w:rFonts w:ascii="宋体" w:hAnsi="宋体" w:eastAsia="宋体" w:cs="宋体"/>
          <w:spacing w:val="1"/>
          <w:position w:val="17"/>
          <w:sz w:val="24"/>
          <w:szCs w:val="24"/>
        </w:rPr>
        <w:t>）转运罐车行驶至河流</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含河沟、塘堰等</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较近位置或者穿越河流</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含河沟等</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的道</w:t>
      </w:r>
    </w:p>
    <w:p>
      <w:pPr>
        <w:spacing w:line="219" w:lineRule="auto"/>
        <w:ind w:left="2"/>
        <w:rPr>
          <w:rFonts w:ascii="宋体" w:hAnsi="宋体" w:eastAsia="宋体" w:cs="宋体"/>
          <w:sz w:val="24"/>
          <w:szCs w:val="24"/>
        </w:rPr>
      </w:pPr>
      <w:r>
        <w:rPr>
          <w:rFonts w:ascii="宋体" w:hAnsi="宋体" w:eastAsia="宋体" w:cs="宋体"/>
          <w:spacing w:val="-4"/>
          <w:sz w:val="24"/>
          <w:szCs w:val="24"/>
        </w:rPr>
        <w:t>路时，应放慢行驶速度。</w:t>
      </w:r>
    </w:p>
    <w:p>
      <w:pPr>
        <w:spacing w:before="182" w:line="212" w:lineRule="auto"/>
        <w:ind w:left="480"/>
        <w:rPr>
          <w:rFonts w:ascii="宋体" w:hAnsi="宋体" w:eastAsia="宋体" w:cs="宋体"/>
          <w:sz w:val="24"/>
          <w:szCs w:val="24"/>
        </w:rPr>
      </w:pPr>
      <w:r>
        <w:rPr>
          <w:rFonts w:ascii="Times New Roman" w:hAnsi="Times New Roman" w:eastAsia="Times New Roman" w:cs="Times New Roman"/>
          <w:spacing w:val="-3"/>
          <w:sz w:val="24"/>
          <w:szCs w:val="24"/>
        </w:rPr>
        <w:t xml:space="preserve">7)    </w:t>
      </w:r>
      <w:r>
        <w:rPr>
          <w:rFonts w:ascii="宋体" w:hAnsi="宋体" w:eastAsia="宋体" w:cs="宋体"/>
          <w:spacing w:val="-3"/>
          <w:sz w:val="24"/>
          <w:szCs w:val="24"/>
        </w:rPr>
        <w:t>废水转运应避开暴雨时节。</w:t>
      </w:r>
    </w:p>
    <w:p>
      <w:pPr>
        <w:spacing w:line="212" w:lineRule="auto"/>
        <w:rPr>
          <w:rFonts w:ascii="宋体" w:hAnsi="宋体" w:eastAsia="宋体" w:cs="宋体"/>
          <w:sz w:val="24"/>
          <w:szCs w:val="24"/>
        </w:rPr>
        <w:sectPr>
          <w:footerReference r:id="rId191" w:type="default"/>
          <w:pgSz w:w="11907" w:h="16839"/>
          <w:pgMar w:top="400" w:right="1414" w:bottom="1151" w:left="1597" w:header="0" w:footer="988" w:gutter="0"/>
          <w:cols w:space="720" w:num="1"/>
        </w:sect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5" w:lineRule="auto"/>
        <w:rPr>
          <w:sz w:val="21"/>
        </w:rPr>
      </w:pPr>
    </w:p>
    <w:p>
      <w:pPr>
        <w:spacing w:before="139" w:line="223" w:lineRule="auto"/>
        <w:ind w:left="2300"/>
        <w:rPr>
          <w:rFonts w:ascii="宋体" w:hAnsi="宋体" w:eastAsia="宋体" w:cs="宋体"/>
          <w:sz w:val="43"/>
          <w:szCs w:val="43"/>
        </w:rPr>
      </w:pPr>
      <w:bookmarkStart w:id="26" w:name="bookmark27"/>
      <w:bookmarkEnd w:id="26"/>
      <w:r>
        <w:rPr>
          <w:rFonts w:ascii="Times New Roman" w:hAnsi="Times New Roman" w:eastAsia="Times New Roman" w:cs="Times New Roman"/>
          <w:b/>
          <w:bCs/>
          <w:spacing w:val="9"/>
          <w:sz w:val="43"/>
          <w:szCs w:val="43"/>
        </w:rPr>
        <w:t xml:space="preserve">4 </w:t>
      </w:r>
      <w:r>
        <w:rPr>
          <w:rFonts w:ascii="宋体" w:hAnsi="宋体" w:eastAsia="宋体" w:cs="宋体"/>
          <w:spacing w:val="9"/>
          <w:sz w:val="43"/>
          <w:szCs w:val="43"/>
          <w14:textOutline w14:w="7968" w14:cap="flat" w14:cmpd="sng">
            <w14:solidFill>
              <w14:srgbClr w14:val="000000"/>
            </w14:solidFill>
            <w14:prstDash w14:val="solid"/>
            <w14:miter w14:val="10"/>
          </w14:textOutline>
        </w:rPr>
        <w:t>地下水环境保护措施</w:t>
      </w:r>
    </w:p>
    <w:p>
      <w:pPr>
        <w:pStyle w:val="2"/>
        <w:spacing w:line="321" w:lineRule="auto"/>
        <w:rPr>
          <w:sz w:val="21"/>
        </w:rPr>
      </w:pPr>
    </w:p>
    <w:p>
      <w:pPr>
        <w:pStyle w:val="2"/>
        <w:spacing w:line="322" w:lineRule="auto"/>
        <w:rPr>
          <w:sz w:val="21"/>
        </w:rPr>
      </w:pPr>
    </w:p>
    <w:p>
      <w:pPr>
        <w:spacing w:before="78" w:line="360" w:lineRule="auto"/>
        <w:ind w:left="9" w:right="80" w:firstLine="472"/>
        <w:rPr>
          <w:rFonts w:ascii="宋体" w:hAnsi="宋体" w:eastAsia="宋体" w:cs="宋体"/>
          <w:sz w:val="24"/>
          <w:szCs w:val="24"/>
        </w:rPr>
      </w:pPr>
      <w:r>
        <w:rPr>
          <w:rFonts w:ascii="宋体" w:hAnsi="宋体" w:eastAsia="宋体" w:cs="宋体"/>
          <w:spacing w:val="-3"/>
          <w:sz w:val="24"/>
          <w:szCs w:val="24"/>
        </w:rPr>
        <w:t>钻井工程项目实施过程中， 可能对地下水环境质量造成影响。如不采取合</w:t>
      </w:r>
      <w:r>
        <w:rPr>
          <w:rFonts w:ascii="宋体" w:hAnsi="宋体" w:eastAsia="宋体" w:cs="宋体"/>
          <w:spacing w:val="-4"/>
          <w:sz w:val="24"/>
          <w:szCs w:val="24"/>
        </w:rPr>
        <w:t>理的地</w:t>
      </w:r>
      <w:r>
        <w:rPr>
          <w:rFonts w:ascii="宋体" w:hAnsi="宋体" w:eastAsia="宋体" w:cs="宋体"/>
          <w:sz w:val="24"/>
          <w:szCs w:val="24"/>
        </w:rPr>
        <w:t xml:space="preserve"> </w:t>
      </w:r>
      <w:r>
        <w:rPr>
          <w:rFonts w:ascii="宋体" w:hAnsi="宋体" w:eastAsia="宋体" w:cs="宋体"/>
          <w:spacing w:val="-11"/>
          <w:sz w:val="24"/>
          <w:szCs w:val="24"/>
        </w:rPr>
        <w:t>下水污染防治措施，</w:t>
      </w:r>
      <w:r>
        <w:rPr>
          <w:rFonts w:ascii="宋体" w:hAnsi="宋体" w:eastAsia="宋体" w:cs="宋体"/>
          <w:spacing w:val="-48"/>
          <w:sz w:val="24"/>
          <w:szCs w:val="24"/>
        </w:rPr>
        <w:t xml:space="preserve"> </w:t>
      </w:r>
      <w:r>
        <w:rPr>
          <w:rFonts w:ascii="宋体" w:hAnsi="宋体" w:eastAsia="宋体" w:cs="宋体"/>
          <w:spacing w:val="-11"/>
          <w:sz w:val="24"/>
          <w:szCs w:val="24"/>
        </w:rPr>
        <w:t>废水中的污染物有可能渗入地下潜水，</w:t>
      </w:r>
      <w:r>
        <w:rPr>
          <w:rFonts w:ascii="宋体" w:hAnsi="宋体" w:eastAsia="宋体" w:cs="宋体"/>
          <w:spacing w:val="-45"/>
          <w:sz w:val="24"/>
          <w:szCs w:val="24"/>
        </w:rPr>
        <w:t xml:space="preserve"> </w:t>
      </w:r>
      <w:r>
        <w:rPr>
          <w:rFonts w:ascii="宋体" w:hAnsi="宋体" w:eastAsia="宋体" w:cs="宋体"/>
          <w:spacing w:val="-11"/>
          <w:sz w:val="24"/>
          <w:szCs w:val="24"/>
        </w:rPr>
        <w:t>从而影响地下水环境</w:t>
      </w:r>
      <w:r>
        <w:rPr>
          <w:rFonts w:ascii="宋体" w:hAnsi="宋体" w:eastAsia="宋体" w:cs="宋体"/>
          <w:spacing w:val="-12"/>
          <w:sz w:val="24"/>
          <w:szCs w:val="24"/>
        </w:rPr>
        <w:t>质量。</w:t>
      </w:r>
      <w:r>
        <w:rPr>
          <w:rFonts w:ascii="宋体" w:hAnsi="宋体" w:eastAsia="宋体" w:cs="宋体"/>
          <w:sz w:val="24"/>
          <w:szCs w:val="24"/>
        </w:rPr>
        <w:t xml:space="preserve"> 只有采用先进的生产工艺，加强生产管理，防止或减少污染物通过各种污</w:t>
      </w:r>
      <w:r>
        <w:rPr>
          <w:rFonts w:ascii="宋体" w:hAnsi="宋体" w:eastAsia="宋体" w:cs="宋体"/>
          <w:spacing w:val="-1"/>
          <w:sz w:val="24"/>
          <w:szCs w:val="24"/>
        </w:rPr>
        <w:t>染途径污染</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地下水，才能减小工程</w:t>
      </w:r>
      <w:r>
        <w:rPr>
          <w:rFonts w:hint="eastAsia" w:ascii="宋体" w:hAnsi="宋体" w:eastAsia="宋体" w:cs="宋体"/>
          <w:spacing w:val="-2"/>
          <w:sz w:val="24"/>
          <w:szCs w:val="24"/>
        </w:rPr>
        <w:t>建设用地</w:t>
      </w:r>
      <w:r>
        <w:rPr>
          <w:rFonts w:ascii="宋体" w:hAnsi="宋体" w:eastAsia="宋体" w:cs="宋体"/>
          <w:spacing w:val="-2"/>
          <w:sz w:val="24"/>
          <w:szCs w:val="24"/>
        </w:rPr>
        <w:t>下水环境的影响程度和影响范围。</w:t>
      </w:r>
    </w:p>
    <w:p>
      <w:pPr>
        <w:spacing w:before="184" w:line="360" w:lineRule="auto"/>
        <w:ind w:left="9" w:right="77" w:firstLine="472"/>
        <w:rPr>
          <w:rFonts w:ascii="宋体" w:hAnsi="宋体" w:eastAsia="宋体" w:cs="宋体"/>
          <w:sz w:val="24"/>
          <w:szCs w:val="24"/>
        </w:rPr>
      </w:pPr>
      <w:r>
        <w:rPr>
          <w:rFonts w:ascii="宋体" w:hAnsi="宋体" w:eastAsia="宋体" w:cs="宋体"/>
          <w:spacing w:val="-3"/>
          <w:sz w:val="24"/>
          <w:szCs w:val="24"/>
        </w:rPr>
        <w:t>根据本工程</w:t>
      </w:r>
      <w:r>
        <w:rPr>
          <w:rFonts w:hint="eastAsia" w:ascii="宋体" w:hAnsi="宋体" w:eastAsia="宋体" w:cs="宋体"/>
          <w:spacing w:val="-3"/>
          <w:sz w:val="24"/>
          <w:szCs w:val="24"/>
        </w:rPr>
        <w:t>建设用地</w:t>
      </w:r>
      <w:r>
        <w:rPr>
          <w:rFonts w:ascii="宋体" w:hAnsi="宋体" w:eastAsia="宋体" w:cs="宋体"/>
          <w:spacing w:val="-3"/>
          <w:sz w:val="24"/>
          <w:szCs w:val="24"/>
        </w:rPr>
        <w:t>下水环境影响的特点， 建议拟建项目地下水环境保护</w:t>
      </w:r>
      <w:r>
        <w:rPr>
          <w:rFonts w:ascii="宋体" w:hAnsi="宋体" w:eastAsia="宋体" w:cs="宋体"/>
          <w:spacing w:val="-4"/>
          <w:sz w:val="24"/>
          <w:szCs w:val="24"/>
        </w:rPr>
        <w:t>措施按</w:t>
      </w:r>
      <w:r>
        <w:rPr>
          <w:rFonts w:ascii="宋体" w:hAnsi="宋体" w:eastAsia="宋体" w:cs="宋体"/>
          <w:sz w:val="24"/>
          <w:szCs w:val="24"/>
        </w:rPr>
        <w:t xml:space="preserve"> </w:t>
      </w:r>
      <w:r>
        <w:rPr>
          <w:rFonts w:ascii="宋体" w:hAnsi="宋体" w:eastAsia="宋体" w:cs="宋体"/>
          <w:spacing w:val="-2"/>
          <w:sz w:val="24"/>
          <w:szCs w:val="24"/>
        </w:rPr>
        <w:t>照</w:t>
      </w:r>
      <w:r>
        <w:rPr>
          <w:rFonts w:ascii="Times New Roman" w:hAnsi="Times New Roman" w:eastAsia="Times New Roman" w:cs="Times New Roman"/>
          <w:spacing w:val="-2"/>
          <w:sz w:val="24"/>
          <w:szCs w:val="24"/>
        </w:rPr>
        <w:t>“</w:t>
      </w:r>
      <w:r>
        <w:rPr>
          <w:rFonts w:ascii="宋体" w:hAnsi="宋体" w:eastAsia="宋体" w:cs="宋体"/>
          <w:spacing w:val="-2"/>
          <w:sz w:val="24"/>
          <w:szCs w:val="24"/>
        </w:rPr>
        <w:t>源头控制、分区防控、污染监控、应急响应</w:t>
      </w:r>
      <w:r>
        <w:rPr>
          <w:rFonts w:ascii="Times New Roman" w:hAnsi="Times New Roman" w:eastAsia="Times New Roman" w:cs="Times New Roman"/>
          <w:spacing w:val="-2"/>
          <w:sz w:val="24"/>
          <w:szCs w:val="24"/>
        </w:rPr>
        <w:t>”</w:t>
      </w:r>
      <w:r>
        <w:rPr>
          <w:rFonts w:ascii="宋体" w:hAnsi="宋体" w:eastAsia="宋体" w:cs="宋体"/>
          <w:spacing w:val="-2"/>
          <w:sz w:val="24"/>
          <w:szCs w:val="24"/>
        </w:rPr>
        <w:t>相结合的原则</w:t>
      </w:r>
      <w:r>
        <w:rPr>
          <w:rFonts w:ascii="宋体" w:hAnsi="宋体" w:eastAsia="宋体" w:cs="宋体"/>
          <w:spacing w:val="-3"/>
          <w:sz w:val="24"/>
          <w:szCs w:val="24"/>
        </w:rPr>
        <w:t>， 从污染物的产生、入</w:t>
      </w:r>
    </w:p>
    <w:p>
      <w:pPr>
        <w:spacing w:line="219" w:lineRule="auto"/>
        <w:ind w:left="2"/>
        <w:rPr>
          <w:rFonts w:ascii="宋体" w:hAnsi="宋体" w:eastAsia="宋体" w:cs="宋体"/>
          <w:sz w:val="24"/>
          <w:szCs w:val="24"/>
        </w:rPr>
      </w:pPr>
      <w:r>
        <w:rPr>
          <w:rFonts w:ascii="宋体" w:hAnsi="宋体" w:eastAsia="宋体" w:cs="宋体"/>
          <w:spacing w:val="-3"/>
          <w:sz w:val="24"/>
          <w:szCs w:val="24"/>
        </w:rPr>
        <w:t>渗、扩散、应急响应等方面进行控制。</w:t>
      </w:r>
    </w:p>
    <w:p>
      <w:pPr>
        <w:spacing w:before="338" w:line="225" w:lineRule="auto"/>
        <w:rPr>
          <w:rFonts w:ascii="宋体" w:hAnsi="宋体" w:eastAsia="宋体" w:cs="宋体"/>
          <w:sz w:val="31"/>
          <w:szCs w:val="31"/>
        </w:rPr>
      </w:pPr>
      <w:bookmarkStart w:id="27" w:name="bookmark28"/>
      <w:bookmarkEnd w:id="27"/>
      <w:r>
        <w:rPr>
          <w:rFonts w:ascii="Times New Roman" w:hAnsi="Times New Roman" w:eastAsia="Times New Roman" w:cs="Times New Roman"/>
          <w:b/>
          <w:bCs/>
          <w:spacing w:val="10"/>
          <w:sz w:val="31"/>
          <w:szCs w:val="31"/>
        </w:rPr>
        <w:t>4.1</w:t>
      </w:r>
      <w:r>
        <w:rPr>
          <w:rFonts w:ascii="宋体" w:hAnsi="宋体" w:eastAsia="宋体" w:cs="宋体"/>
          <w:spacing w:val="10"/>
          <w:sz w:val="31"/>
          <w:szCs w:val="31"/>
          <w14:textOutline w14:w="5791" w14:cap="flat" w14:cmpd="sng">
            <w14:solidFill>
              <w14:srgbClr w14:val="000000"/>
            </w14:solidFill>
            <w14:prstDash w14:val="solid"/>
            <w14:miter w14:val="10"/>
          </w14:textOutline>
        </w:rPr>
        <w:t>源头控制措施</w:t>
      </w:r>
    </w:p>
    <w:p>
      <w:pPr>
        <w:pStyle w:val="2"/>
        <w:spacing w:line="246" w:lineRule="auto"/>
        <w:rPr>
          <w:sz w:val="21"/>
        </w:rPr>
      </w:pPr>
    </w:p>
    <w:p>
      <w:pPr>
        <w:spacing w:before="79" w:line="360" w:lineRule="auto"/>
        <w:ind w:left="4" w:right="83" w:firstLine="476"/>
        <w:rPr>
          <w:rFonts w:ascii="宋体" w:hAnsi="宋体" w:eastAsia="宋体" w:cs="宋体"/>
          <w:sz w:val="24"/>
          <w:szCs w:val="24"/>
        </w:rPr>
      </w:pPr>
      <w:r>
        <w:rPr>
          <w:rFonts w:ascii="宋体" w:hAnsi="宋体" w:eastAsia="宋体" w:cs="宋体"/>
          <w:spacing w:val="-3"/>
          <w:sz w:val="24"/>
          <w:szCs w:val="24"/>
        </w:rPr>
        <w:t>源头控制主要包括实施清洁生产及各类废物循环利用，减少污染物的排</w:t>
      </w:r>
      <w:r>
        <w:rPr>
          <w:rFonts w:ascii="宋体" w:hAnsi="宋体" w:eastAsia="宋体" w:cs="宋体"/>
          <w:spacing w:val="-4"/>
          <w:sz w:val="24"/>
          <w:szCs w:val="24"/>
        </w:rPr>
        <w:t>放量； 在</w:t>
      </w:r>
      <w:r>
        <w:rPr>
          <w:rFonts w:ascii="宋体" w:hAnsi="宋体" w:eastAsia="宋体" w:cs="宋体"/>
          <w:sz w:val="24"/>
          <w:szCs w:val="24"/>
        </w:rPr>
        <w:t xml:space="preserve"> </w:t>
      </w:r>
      <w:r>
        <w:rPr>
          <w:rFonts w:ascii="宋体" w:hAnsi="宋体" w:eastAsia="宋体" w:cs="宋体"/>
          <w:spacing w:val="-11"/>
          <w:sz w:val="24"/>
          <w:szCs w:val="24"/>
        </w:rPr>
        <w:t>工艺、管道、设备、污水储存及处理构筑物采取相应措施，</w:t>
      </w:r>
      <w:r>
        <w:rPr>
          <w:rFonts w:ascii="宋体" w:hAnsi="宋体" w:eastAsia="宋体" w:cs="宋体"/>
          <w:spacing w:val="35"/>
          <w:sz w:val="24"/>
          <w:szCs w:val="24"/>
        </w:rPr>
        <w:t xml:space="preserve"> </w:t>
      </w:r>
      <w:r>
        <w:rPr>
          <w:rFonts w:ascii="宋体" w:hAnsi="宋体" w:eastAsia="宋体" w:cs="宋体"/>
          <w:spacing w:val="-11"/>
          <w:sz w:val="24"/>
          <w:szCs w:val="24"/>
        </w:rPr>
        <w:t>防止和降低污染物</w:t>
      </w:r>
      <w:r>
        <w:rPr>
          <w:rFonts w:ascii="宋体" w:hAnsi="宋体" w:eastAsia="宋体" w:cs="宋体"/>
          <w:spacing w:val="-12"/>
          <w:sz w:val="24"/>
          <w:szCs w:val="24"/>
        </w:rPr>
        <w:t>跑、冒、</w:t>
      </w:r>
    </w:p>
    <w:p>
      <w:pPr>
        <w:spacing w:line="219" w:lineRule="auto"/>
        <w:ind w:left="3"/>
        <w:rPr>
          <w:rFonts w:ascii="宋体" w:hAnsi="宋体" w:eastAsia="宋体" w:cs="宋体"/>
          <w:sz w:val="24"/>
          <w:szCs w:val="24"/>
        </w:rPr>
      </w:pPr>
      <w:r>
        <w:rPr>
          <w:rFonts w:ascii="宋体" w:hAnsi="宋体" w:eastAsia="宋体" w:cs="宋体"/>
          <w:spacing w:val="-2"/>
          <w:sz w:val="24"/>
          <w:szCs w:val="24"/>
        </w:rPr>
        <w:t>滴、漏，将污染物泄漏的环境风险事故降到最低限度。</w:t>
      </w:r>
    </w:p>
    <w:p>
      <w:pPr>
        <w:spacing w:before="183" w:line="360" w:lineRule="auto"/>
        <w:ind w:left="1" w:right="86" w:firstLine="48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）采取先进的钻井方案和钻井液体系， 对钻井过程中可能发生的泥浆漏失的情</w:t>
      </w:r>
      <w:r>
        <w:rPr>
          <w:rFonts w:ascii="宋体" w:hAnsi="宋体" w:eastAsia="宋体" w:cs="宋体"/>
          <w:spacing w:val="15"/>
          <w:sz w:val="24"/>
          <w:szCs w:val="24"/>
        </w:rPr>
        <w:t xml:space="preserve"> </w:t>
      </w:r>
      <w:r>
        <w:rPr>
          <w:rFonts w:ascii="宋体" w:hAnsi="宋体" w:eastAsia="宋体" w:cs="宋体"/>
          <w:sz w:val="24"/>
          <w:szCs w:val="24"/>
        </w:rPr>
        <w:t>况，采用强钻方式快速钻穿漏失层达到固井层位。选用合理泥浆</w:t>
      </w:r>
      <w:r>
        <w:rPr>
          <w:rFonts w:ascii="宋体" w:hAnsi="宋体" w:eastAsia="宋体" w:cs="宋体"/>
          <w:spacing w:val="-1"/>
          <w:sz w:val="24"/>
          <w:szCs w:val="24"/>
        </w:rPr>
        <w:t>密度，实现平衡压</w:t>
      </w:r>
      <w:r>
        <w:rPr>
          <w:rFonts w:ascii="宋体" w:hAnsi="宋体" w:eastAsia="宋体" w:cs="宋体"/>
          <w:sz w:val="24"/>
          <w:szCs w:val="24"/>
        </w:rPr>
        <w:t xml:space="preserve"> 力钻井，降低泥浆环空压耗，降低泥浆激动压力，从而降低井筒中泥浆动压力，减小</w:t>
      </w:r>
      <w:r>
        <w:rPr>
          <w:rFonts w:ascii="宋体" w:hAnsi="宋体" w:eastAsia="宋体" w:cs="宋体"/>
          <w:spacing w:val="2"/>
          <w:sz w:val="24"/>
          <w:szCs w:val="24"/>
        </w:rPr>
        <w:t xml:space="preserve"> </w:t>
      </w:r>
      <w:r>
        <w:rPr>
          <w:rFonts w:ascii="宋体" w:hAnsi="宋体" w:eastAsia="宋体" w:cs="宋体"/>
          <w:sz w:val="24"/>
          <w:szCs w:val="24"/>
        </w:rPr>
        <w:t>泥浆漏失量。工程导管段利用清水钻井液迅速钻进，在套管的保护下能有效地保护浅</w:t>
      </w:r>
      <w:r>
        <w:rPr>
          <w:rFonts w:ascii="宋体" w:hAnsi="宋体" w:eastAsia="宋体" w:cs="宋体"/>
          <w:spacing w:val="3"/>
          <w:sz w:val="24"/>
          <w:szCs w:val="24"/>
        </w:rPr>
        <w:t xml:space="preserve"> </w:t>
      </w:r>
      <w:r>
        <w:rPr>
          <w:rFonts w:ascii="宋体" w:hAnsi="宋体" w:eastAsia="宋体" w:cs="宋体"/>
          <w:spacing w:val="-1"/>
          <w:sz w:val="24"/>
          <w:szCs w:val="24"/>
        </w:rPr>
        <w:t>层地下水。选用清洁泥浆体系进行钻探，在钻遇含水层时采取边打边</w:t>
      </w:r>
      <w:r>
        <w:rPr>
          <w:rFonts w:ascii="宋体" w:hAnsi="宋体" w:eastAsia="宋体" w:cs="宋体"/>
          <w:spacing w:val="-2"/>
          <w:sz w:val="24"/>
          <w:szCs w:val="24"/>
        </w:rPr>
        <w:t>下套管的方式，</w:t>
      </w:r>
    </w:p>
    <w:p>
      <w:pPr>
        <w:spacing w:before="1" w:line="219" w:lineRule="auto"/>
        <w:rPr>
          <w:rFonts w:ascii="宋体" w:hAnsi="宋体" w:eastAsia="宋体" w:cs="宋体"/>
          <w:sz w:val="24"/>
          <w:szCs w:val="24"/>
        </w:rPr>
      </w:pPr>
      <w:r>
        <w:rPr>
          <w:rFonts w:ascii="宋体" w:hAnsi="宋体" w:eastAsia="宋体" w:cs="宋体"/>
          <w:spacing w:val="-1"/>
          <w:sz w:val="24"/>
          <w:szCs w:val="24"/>
        </w:rPr>
        <w:t>避免穿透含水层。此外，在钻井过程中应加强监控，防止泥</w:t>
      </w:r>
      <w:r>
        <w:rPr>
          <w:rFonts w:ascii="宋体" w:hAnsi="宋体" w:eastAsia="宋体" w:cs="宋体"/>
          <w:spacing w:val="-2"/>
          <w:sz w:val="24"/>
          <w:szCs w:val="24"/>
        </w:rPr>
        <w:t>浆的扩散污染等。</w:t>
      </w:r>
    </w:p>
    <w:p>
      <w:pPr>
        <w:spacing w:before="183" w:line="360" w:lineRule="auto"/>
        <w:ind w:left="5" w:right="2"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）钻进过程中保持平衡操作，同时对钻进过程中的钻井液漏失进行实时</w:t>
      </w:r>
      <w:r>
        <w:rPr>
          <w:rFonts w:ascii="宋体" w:hAnsi="宋体" w:eastAsia="宋体" w:cs="宋体"/>
          <w:spacing w:val="-2"/>
          <w:sz w:val="24"/>
          <w:szCs w:val="24"/>
        </w:rPr>
        <w:t>监控。</w:t>
      </w:r>
      <w:r>
        <w:rPr>
          <w:rFonts w:ascii="宋体" w:hAnsi="宋体" w:eastAsia="宋体" w:cs="宋体"/>
          <w:sz w:val="24"/>
          <w:szCs w:val="24"/>
        </w:rPr>
        <w:t xml:space="preserve"> 一旦发现漏失，立即采取堵漏防控措施，减少漏失量。井场储备足够的堵漏剂，</w:t>
      </w:r>
      <w:r>
        <w:rPr>
          <w:rFonts w:ascii="宋体" w:hAnsi="宋体" w:eastAsia="宋体" w:cs="宋体"/>
          <w:spacing w:val="-1"/>
          <w:sz w:val="24"/>
          <w:szCs w:val="24"/>
        </w:rPr>
        <w:t>堵漏</w:t>
      </w:r>
    </w:p>
    <w:p>
      <w:pPr>
        <w:spacing w:before="1" w:line="218" w:lineRule="auto"/>
        <w:ind w:left="2"/>
        <w:rPr>
          <w:rFonts w:ascii="宋体" w:hAnsi="宋体" w:eastAsia="宋体" w:cs="宋体"/>
          <w:sz w:val="24"/>
          <w:szCs w:val="24"/>
        </w:rPr>
      </w:pPr>
      <w:r>
        <w:rPr>
          <w:rFonts w:ascii="宋体" w:hAnsi="宋体" w:eastAsia="宋体" w:cs="宋体"/>
          <w:spacing w:val="-1"/>
          <w:sz w:val="24"/>
          <w:szCs w:val="24"/>
        </w:rPr>
        <w:t>剂的选取应考虑清洁、无毒、对人体无害，环境污染轻的种类，建</w:t>
      </w:r>
      <w:r>
        <w:rPr>
          <w:rFonts w:ascii="宋体" w:hAnsi="宋体" w:eastAsia="宋体" w:cs="宋体"/>
          <w:spacing w:val="-2"/>
          <w:sz w:val="24"/>
          <w:szCs w:val="24"/>
        </w:rPr>
        <w:t>议采用水泥堵漏。</w:t>
      </w:r>
    </w:p>
    <w:p>
      <w:pPr>
        <w:spacing w:before="184" w:line="360" w:lineRule="auto"/>
        <w:ind w:left="9" w:right="87" w:firstLine="478"/>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3</w:t>
      </w:r>
      <w:r>
        <w:rPr>
          <w:rFonts w:ascii="宋体" w:hAnsi="宋体" w:eastAsia="宋体" w:cs="宋体"/>
          <w:spacing w:val="-8"/>
          <w:sz w:val="24"/>
          <w:szCs w:val="24"/>
        </w:rPr>
        <w:t>）每开钻井结束后的固井作业可有效封隔地层与套管之间的环空，</w:t>
      </w:r>
      <w:r>
        <w:rPr>
          <w:rFonts w:ascii="宋体" w:hAnsi="宋体" w:eastAsia="宋体" w:cs="宋体"/>
          <w:spacing w:val="44"/>
          <w:sz w:val="24"/>
          <w:szCs w:val="24"/>
        </w:rPr>
        <w:t xml:space="preserve"> </w:t>
      </w:r>
      <w:r>
        <w:rPr>
          <w:rFonts w:ascii="宋体" w:hAnsi="宋体" w:eastAsia="宋体" w:cs="宋体"/>
          <w:spacing w:val="-8"/>
          <w:sz w:val="24"/>
          <w:szCs w:val="24"/>
        </w:rPr>
        <w:t>防治污染地</w:t>
      </w:r>
      <w:r>
        <w:rPr>
          <w:rFonts w:ascii="宋体" w:hAnsi="宋体" w:eastAsia="宋体" w:cs="宋体"/>
          <w:sz w:val="24"/>
          <w:szCs w:val="24"/>
        </w:rPr>
        <w:t xml:space="preserve"> 下水。固井作业应提高固井质量，建议采用双凝水泥浆体系固井，可有效</w:t>
      </w:r>
      <w:r>
        <w:rPr>
          <w:rFonts w:ascii="宋体" w:hAnsi="宋体" w:eastAsia="宋体" w:cs="宋体"/>
          <w:spacing w:val="-1"/>
          <w:sz w:val="24"/>
          <w:szCs w:val="24"/>
        </w:rPr>
        <w:t>防止因为井</w:t>
      </w:r>
    </w:p>
    <w:p>
      <w:pPr>
        <w:spacing w:line="219" w:lineRule="auto"/>
        <w:ind w:left="1"/>
        <w:rPr>
          <w:rFonts w:ascii="宋体" w:hAnsi="宋体" w:eastAsia="宋体" w:cs="宋体"/>
          <w:sz w:val="24"/>
          <w:szCs w:val="24"/>
        </w:rPr>
      </w:pPr>
      <w:r>
        <w:rPr>
          <w:rFonts w:ascii="宋体" w:hAnsi="宋体" w:eastAsia="宋体" w:cs="宋体"/>
          <w:spacing w:val="-3"/>
          <w:sz w:val="24"/>
          <w:szCs w:val="24"/>
        </w:rPr>
        <w:t>漏事故造成的地下水环境污染。</w:t>
      </w:r>
    </w:p>
    <w:p>
      <w:pPr>
        <w:spacing w:before="183" w:line="468" w:lineRule="exact"/>
        <w:jc w:val="right"/>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4</w:t>
      </w:r>
      <w:r>
        <w:rPr>
          <w:rFonts w:ascii="宋体" w:hAnsi="宋体" w:eastAsia="宋体" w:cs="宋体"/>
          <w:spacing w:val="-1"/>
          <w:position w:val="17"/>
          <w:sz w:val="24"/>
          <w:szCs w:val="24"/>
        </w:rPr>
        <w:t>）在钻井完井过程中严格控制新鲜水用量，实行清污分流，减少污水产生量。</w:t>
      </w:r>
    </w:p>
    <w:p>
      <w:pPr>
        <w:spacing w:before="1" w:line="218"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）作业用药品、材料集中放置在防渗漏地面，防止对地下水的污染。</w:t>
      </w:r>
    </w:p>
    <w:p>
      <w:pPr>
        <w:spacing w:line="218" w:lineRule="auto"/>
        <w:rPr>
          <w:rFonts w:ascii="宋体" w:hAnsi="宋体" w:eastAsia="宋体" w:cs="宋体"/>
          <w:sz w:val="24"/>
          <w:szCs w:val="24"/>
        </w:rPr>
        <w:sectPr>
          <w:footerReference r:id="rId192" w:type="default"/>
          <w:pgSz w:w="11907" w:h="16839"/>
          <w:pgMar w:top="400" w:right="1336" w:bottom="1151" w:left="1596"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488"/>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6</w:t>
      </w:r>
      <w:r>
        <w:rPr>
          <w:rFonts w:ascii="宋体" w:hAnsi="宋体" w:eastAsia="宋体" w:cs="宋体"/>
          <w:spacing w:val="-8"/>
          <w:position w:val="17"/>
          <w:sz w:val="24"/>
          <w:szCs w:val="24"/>
        </w:rPr>
        <w:t>）钻井过程中应加强钻井废水管理，</w:t>
      </w:r>
      <w:r>
        <w:rPr>
          <w:rFonts w:ascii="宋体" w:hAnsi="宋体" w:eastAsia="宋体" w:cs="宋体"/>
          <w:spacing w:val="45"/>
          <w:position w:val="17"/>
          <w:sz w:val="24"/>
          <w:szCs w:val="24"/>
        </w:rPr>
        <w:t xml:space="preserve"> </w:t>
      </w:r>
      <w:r>
        <w:rPr>
          <w:rFonts w:ascii="宋体" w:hAnsi="宋体" w:eastAsia="宋体" w:cs="宋体"/>
          <w:spacing w:val="-8"/>
          <w:position w:val="17"/>
          <w:sz w:val="24"/>
          <w:szCs w:val="24"/>
        </w:rPr>
        <w:t>防止出现废水渗漏、外溢或</w:t>
      </w:r>
      <w:r>
        <w:rPr>
          <w:rFonts w:ascii="宋体" w:hAnsi="宋体" w:eastAsia="宋体" w:cs="宋体"/>
          <w:spacing w:val="-9"/>
          <w:position w:val="17"/>
          <w:sz w:val="24"/>
          <w:szCs w:val="24"/>
        </w:rPr>
        <w:t>废水池垮塌等</w:t>
      </w:r>
    </w:p>
    <w:p>
      <w:pPr>
        <w:spacing w:line="220" w:lineRule="auto"/>
        <w:ind w:left="1"/>
        <w:rPr>
          <w:rFonts w:ascii="宋体" w:hAnsi="宋体" w:eastAsia="宋体" w:cs="宋体"/>
          <w:sz w:val="24"/>
          <w:szCs w:val="24"/>
        </w:rPr>
      </w:pPr>
      <w:r>
        <w:rPr>
          <w:rFonts w:ascii="宋体" w:hAnsi="宋体" w:eastAsia="宋体" w:cs="宋体"/>
          <w:spacing w:val="-10"/>
          <w:sz w:val="24"/>
          <w:szCs w:val="24"/>
        </w:rPr>
        <w:t>事故。</w:t>
      </w:r>
    </w:p>
    <w:p>
      <w:pPr>
        <w:spacing w:before="181" w:line="360" w:lineRule="auto"/>
        <w:ind w:left="5" w:right="231" w:firstLine="482"/>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7</w:t>
      </w:r>
      <w:r>
        <w:rPr>
          <w:rFonts w:ascii="宋体" w:hAnsi="宋体" w:eastAsia="宋体" w:cs="宋体"/>
          <w:spacing w:val="-12"/>
          <w:sz w:val="24"/>
          <w:szCs w:val="24"/>
        </w:rPr>
        <w:t>）加强油料的管理和控制，</w:t>
      </w:r>
      <w:r>
        <w:rPr>
          <w:rFonts w:ascii="宋体" w:hAnsi="宋体" w:eastAsia="宋体" w:cs="宋体"/>
          <w:spacing w:val="37"/>
          <w:sz w:val="24"/>
          <w:szCs w:val="24"/>
        </w:rPr>
        <w:t xml:space="preserve"> </w:t>
      </w:r>
      <w:r>
        <w:rPr>
          <w:rFonts w:ascii="宋体" w:hAnsi="宋体" w:eastAsia="宋体" w:cs="宋体"/>
          <w:spacing w:val="-12"/>
          <w:sz w:val="24"/>
          <w:szCs w:val="24"/>
        </w:rPr>
        <w:t>特别应加强和完善废油的控制措施，</w:t>
      </w:r>
      <w:r>
        <w:rPr>
          <w:rFonts w:ascii="宋体" w:hAnsi="宋体" w:eastAsia="宋体" w:cs="宋体"/>
          <w:spacing w:val="31"/>
          <w:sz w:val="24"/>
          <w:szCs w:val="24"/>
        </w:rPr>
        <w:t xml:space="preserve"> </w:t>
      </w:r>
      <w:r>
        <w:rPr>
          <w:rFonts w:ascii="宋体" w:hAnsi="宋体" w:eastAsia="宋体" w:cs="宋体"/>
          <w:spacing w:val="-12"/>
          <w:sz w:val="24"/>
          <w:szCs w:val="24"/>
        </w:rPr>
        <w:t>其主要产生源</w:t>
      </w:r>
      <w:r>
        <w:rPr>
          <w:rFonts w:ascii="宋体" w:hAnsi="宋体" w:eastAsia="宋体" w:cs="宋体"/>
          <w:sz w:val="24"/>
          <w:szCs w:val="24"/>
        </w:rPr>
        <w:t xml:space="preserve"> </w:t>
      </w:r>
      <w:r>
        <w:rPr>
          <w:rFonts w:ascii="宋体" w:hAnsi="宋体" w:eastAsia="宋体" w:cs="宋体"/>
          <w:spacing w:val="-5"/>
          <w:sz w:val="24"/>
          <w:szCs w:val="24"/>
        </w:rPr>
        <w:t>发电房、机房、油罐区；同时加强废水中废油的捞取工作，</w:t>
      </w:r>
      <w:r>
        <w:rPr>
          <w:rFonts w:ascii="宋体" w:hAnsi="宋体" w:eastAsia="宋体" w:cs="宋体"/>
          <w:spacing w:val="66"/>
          <w:sz w:val="24"/>
          <w:szCs w:val="24"/>
        </w:rPr>
        <w:t xml:space="preserve"> </w:t>
      </w:r>
      <w:r>
        <w:rPr>
          <w:rFonts w:ascii="宋体" w:hAnsi="宋体" w:eastAsia="宋体" w:cs="宋体"/>
          <w:spacing w:val="-5"/>
          <w:sz w:val="24"/>
          <w:szCs w:val="24"/>
        </w:rPr>
        <w:t>尽可能地控制和减</w:t>
      </w:r>
      <w:r>
        <w:rPr>
          <w:rFonts w:ascii="宋体" w:hAnsi="宋体" w:eastAsia="宋体" w:cs="宋体"/>
          <w:spacing w:val="-6"/>
          <w:sz w:val="24"/>
          <w:szCs w:val="24"/>
        </w:rPr>
        <w:t>轻钻井</w:t>
      </w:r>
    </w:p>
    <w:p>
      <w:pPr>
        <w:spacing w:line="219" w:lineRule="auto"/>
        <w:rPr>
          <w:rFonts w:ascii="宋体" w:hAnsi="宋体" w:eastAsia="宋体" w:cs="宋体"/>
          <w:sz w:val="24"/>
          <w:szCs w:val="24"/>
        </w:rPr>
      </w:pPr>
      <w:r>
        <w:rPr>
          <w:rFonts w:ascii="宋体" w:hAnsi="宋体" w:eastAsia="宋体" w:cs="宋体"/>
          <w:spacing w:val="-5"/>
          <w:sz w:val="24"/>
          <w:szCs w:val="24"/>
        </w:rPr>
        <w:t>废水中油的浓度。</w:t>
      </w:r>
    </w:p>
    <w:p>
      <w:pPr>
        <w:spacing w:before="182" w:line="360" w:lineRule="auto"/>
        <w:ind w:left="7" w:right="231" w:firstLine="48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）加强岩屑、废泥浆及其他固体废弃物收</w:t>
      </w:r>
      <w:r>
        <w:rPr>
          <w:rFonts w:ascii="宋体" w:hAnsi="宋体" w:eastAsia="宋体" w:cs="宋体"/>
          <w:spacing w:val="-4"/>
          <w:sz w:val="24"/>
          <w:szCs w:val="24"/>
        </w:rPr>
        <w:t>集、运输及暂存、处置等过程的环境</w:t>
      </w:r>
      <w:r>
        <w:rPr>
          <w:rFonts w:ascii="宋体" w:hAnsi="宋体" w:eastAsia="宋体" w:cs="宋体"/>
          <w:sz w:val="24"/>
          <w:szCs w:val="24"/>
        </w:rPr>
        <w:t xml:space="preserve"> 管理，严格按有关技术规范和规定落实各项防范措施，确保不对地下水造成</w:t>
      </w:r>
      <w:r>
        <w:rPr>
          <w:rFonts w:ascii="宋体" w:hAnsi="宋体" w:eastAsia="宋体" w:cs="宋体"/>
          <w:spacing w:val="-1"/>
          <w:sz w:val="24"/>
          <w:szCs w:val="24"/>
        </w:rPr>
        <w:t>污染，防</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止产生新的环境问题，确保废钻井泥浆循环使用。</w:t>
      </w:r>
    </w:p>
    <w:p>
      <w:pPr>
        <w:spacing w:before="183" w:line="360" w:lineRule="auto"/>
        <w:ind w:left="3" w:right="159" w:firstLine="484"/>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9</w:t>
      </w:r>
      <w:r>
        <w:rPr>
          <w:rFonts w:ascii="宋体" w:hAnsi="宋体" w:eastAsia="宋体" w:cs="宋体"/>
          <w:spacing w:val="-11"/>
          <w:sz w:val="24"/>
          <w:szCs w:val="24"/>
        </w:rPr>
        <w:t>）井场设置清污分流、雨污分流系统。针对污水，将污水排入场内污水截流</w:t>
      </w:r>
      <w:r>
        <w:rPr>
          <w:rFonts w:ascii="宋体" w:hAnsi="宋体" w:eastAsia="宋体" w:cs="宋体"/>
          <w:spacing w:val="-12"/>
          <w:sz w:val="24"/>
          <w:szCs w:val="24"/>
        </w:rPr>
        <w:t>沟，</w:t>
      </w:r>
      <w:r>
        <w:rPr>
          <w:rFonts w:ascii="宋体" w:hAnsi="宋体" w:eastAsia="宋体" w:cs="宋体"/>
          <w:sz w:val="24"/>
          <w:szCs w:val="24"/>
        </w:rPr>
        <w:t xml:space="preserve">  再依地势或用泵抽入废水罐中。对于清水，场面清水、雨水由场外雨水沟排入自然水 </w:t>
      </w:r>
      <w:r>
        <w:rPr>
          <w:rFonts w:ascii="宋体" w:hAnsi="宋体" w:eastAsia="宋体" w:cs="宋体"/>
          <w:spacing w:val="-3"/>
          <w:sz w:val="24"/>
          <w:szCs w:val="24"/>
        </w:rPr>
        <w:t>系。清污分流排水系统对井场的雨水及钻井废水进行了有效的分离， 可</w:t>
      </w:r>
      <w:r>
        <w:rPr>
          <w:rFonts w:ascii="宋体" w:hAnsi="宋体" w:eastAsia="宋体" w:cs="宋体"/>
          <w:spacing w:val="-4"/>
          <w:sz w:val="24"/>
          <w:szCs w:val="24"/>
        </w:rPr>
        <w:t>以降低因暴雨</w:t>
      </w:r>
      <w:r>
        <w:rPr>
          <w:rFonts w:ascii="宋体" w:hAnsi="宋体" w:eastAsia="宋体" w:cs="宋体"/>
          <w:sz w:val="24"/>
          <w:szCs w:val="24"/>
        </w:rPr>
        <w:t xml:space="preserve"> </w:t>
      </w:r>
      <w:r>
        <w:rPr>
          <w:rFonts w:ascii="宋体" w:hAnsi="宋体" w:eastAsia="宋体" w:cs="宋体"/>
          <w:spacing w:val="-4"/>
          <w:sz w:val="24"/>
          <w:szCs w:val="24"/>
        </w:rPr>
        <w:t>等自然灾害而导致废水外溢污染浅层地下水的风险。</w:t>
      </w:r>
      <w:r>
        <w:rPr>
          <w:rFonts w:ascii="宋体" w:hAnsi="宋体" w:eastAsia="宋体" w:cs="宋体"/>
          <w:spacing w:val="-5"/>
          <w:sz w:val="24"/>
          <w:szCs w:val="24"/>
        </w:rPr>
        <w:t>固体废物堆放场应设置防雨设施，</w:t>
      </w:r>
    </w:p>
    <w:p>
      <w:pPr>
        <w:spacing w:line="218" w:lineRule="auto"/>
        <w:ind w:left="7"/>
        <w:rPr>
          <w:rFonts w:ascii="宋体" w:hAnsi="宋体" w:eastAsia="宋体" w:cs="宋体"/>
          <w:sz w:val="24"/>
          <w:szCs w:val="24"/>
        </w:rPr>
      </w:pPr>
      <w:r>
        <w:rPr>
          <w:rFonts w:ascii="宋体" w:hAnsi="宋体" w:eastAsia="宋体" w:cs="宋体"/>
          <w:spacing w:val="-2"/>
          <w:sz w:val="24"/>
          <w:szCs w:val="24"/>
        </w:rPr>
        <w:t>并及时处理，防止雨水淋滤导致污染物下渗进入浅层地下水。</w:t>
      </w:r>
    </w:p>
    <w:p>
      <w:pPr>
        <w:spacing w:before="185" w:line="360" w:lineRule="auto"/>
        <w:ind w:left="1" w:right="158" w:firstLine="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宋体" w:hAnsi="宋体" w:eastAsia="宋体" w:cs="宋体"/>
          <w:spacing w:val="-3"/>
          <w:sz w:val="24"/>
          <w:szCs w:val="24"/>
        </w:rPr>
        <w:t>）井场废水收集罐的选址避免地质灾害易发区域及影响区</w:t>
      </w:r>
      <w:r>
        <w:rPr>
          <w:rFonts w:ascii="宋体" w:hAnsi="宋体" w:eastAsia="宋体" w:cs="宋体"/>
          <w:spacing w:val="-4"/>
          <w:sz w:val="24"/>
          <w:szCs w:val="24"/>
        </w:rPr>
        <w:t>域， 钻井期间施工</w:t>
      </w:r>
      <w:r>
        <w:rPr>
          <w:rFonts w:ascii="宋体" w:hAnsi="宋体" w:eastAsia="宋体" w:cs="宋体"/>
          <w:sz w:val="24"/>
          <w:szCs w:val="24"/>
        </w:rPr>
        <w:t xml:space="preserve"> </w:t>
      </w:r>
      <w:r>
        <w:rPr>
          <w:rFonts w:ascii="宋体" w:hAnsi="宋体" w:eastAsia="宋体" w:cs="宋体"/>
          <w:spacing w:val="-12"/>
          <w:sz w:val="24"/>
          <w:szCs w:val="24"/>
        </w:rPr>
        <w:t>人员应加强暴雨季节水池内水位观测，</w:t>
      </w:r>
      <w:r>
        <w:rPr>
          <w:rFonts w:ascii="宋体" w:hAnsi="宋体" w:eastAsia="宋体" w:cs="宋体"/>
          <w:spacing w:val="-24"/>
          <w:sz w:val="24"/>
          <w:szCs w:val="24"/>
        </w:rPr>
        <w:t xml:space="preserve"> </w:t>
      </w:r>
      <w:r>
        <w:rPr>
          <w:rFonts w:ascii="宋体" w:hAnsi="宋体" w:eastAsia="宋体" w:cs="宋体"/>
          <w:spacing w:val="-12"/>
          <w:sz w:val="24"/>
          <w:szCs w:val="24"/>
        </w:rPr>
        <w:t>并及时转运废水，</w:t>
      </w:r>
      <w:r>
        <w:rPr>
          <w:rFonts w:ascii="宋体" w:hAnsi="宋体" w:eastAsia="宋体" w:cs="宋体"/>
          <w:spacing w:val="-48"/>
          <w:sz w:val="24"/>
          <w:szCs w:val="24"/>
        </w:rPr>
        <w:t xml:space="preserve"> </w:t>
      </w:r>
      <w:r>
        <w:rPr>
          <w:rFonts w:ascii="宋体" w:hAnsi="宋体" w:eastAsia="宋体" w:cs="宋体"/>
          <w:spacing w:val="-12"/>
          <w:sz w:val="24"/>
          <w:szCs w:val="24"/>
        </w:rPr>
        <w:t>确保水池有足够的富余容量；</w:t>
      </w:r>
      <w:r>
        <w:rPr>
          <w:rFonts w:ascii="宋体" w:hAnsi="宋体" w:eastAsia="宋体" w:cs="宋体"/>
          <w:sz w:val="24"/>
          <w:szCs w:val="24"/>
        </w:rPr>
        <w:t xml:space="preserve">  </w:t>
      </w:r>
      <w:r>
        <w:rPr>
          <w:rFonts w:ascii="宋体" w:hAnsi="宋体" w:eastAsia="宋体" w:cs="宋体"/>
          <w:spacing w:val="-9"/>
          <w:sz w:val="24"/>
          <w:szCs w:val="24"/>
        </w:rPr>
        <w:t>新建池体高度应至少高出地面</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30cm</w:t>
      </w:r>
      <w:r>
        <w:rPr>
          <w:rFonts w:ascii="宋体" w:hAnsi="宋体" w:eastAsia="宋体" w:cs="宋体"/>
          <w:spacing w:val="-9"/>
          <w:sz w:val="24"/>
          <w:szCs w:val="24"/>
        </w:rPr>
        <w:t>，四</w:t>
      </w:r>
      <w:r>
        <w:rPr>
          <w:rFonts w:ascii="宋体" w:hAnsi="宋体" w:eastAsia="宋体" w:cs="宋体"/>
          <w:spacing w:val="-10"/>
          <w:sz w:val="24"/>
          <w:szCs w:val="24"/>
        </w:rPr>
        <w:t>周应设置截排水沟，</w:t>
      </w:r>
      <w:r>
        <w:rPr>
          <w:rFonts w:ascii="宋体" w:hAnsi="宋体" w:eastAsia="宋体" w:cs="宋体"/>
          <w:spacing w:val="-27"/>
          <w:sz w:val="24"/>
          <w:szCs w:val="24"/>
        </w:rPr>
        <w:t xml:space="preserve"> </w:t>
      </w:r>
      <w:r>
        <w:rPr>
          <w:rFonts w:ascii="宋体" w:hAnsi="宋体" w:eastAsia="宋体" w:cs="宋体"/>
          <w:spacing w:val="-10"/>
          <w:sz w:val="24"/>
          <w:szCs w:val="24"/>
        </w:rPr>
        <w:t>防止地面径流进入水池中；</w:t>
      </w:r>
      <w:r>
        <w:rPr>
          <w:rFonts w:ascii="宋体" w:hAnsi="宋体" w:eastAsia="宋体" w:cs="宋体"/>
          <w:sz w:val="24"/>
          <w:szCs w:val="24"/>
        </w:rPr>
        <w:t xml:space="preserve"> 暴雨季节加强池体周围挡土墙及边坡巡查，防止边坡失稳及挡土墙失效等导致池体垮</w:t>
      </w:r>
    </w:p>
    <w:p>
      <w:pPr>
        <w:spacing w:before="1" w:line="219" w:lineRule="auto"/>
        <w:ind w:left="2"/>
        <w:rPr>
          <w:rFonts w:ascii="宋体" w:hAnsi="宋体" w:eastAsia="宋体" w:cs="宋体"/>
          <w:sz w:val="24"/>
          <w:szCs w:val="24"/>
        </w:rPr>
      </w:pPr>
      <w:r>
        <w:rPr>
          <w:rFonts w:ascii="宋体" w:hAnsi="宋体" w:eastAsia="宋体" w:cs="宋体"/>
          <w:spacing w:val="-4"/>
          <w:sz w:val="24"/>
          <w:szCs w:val="24"/>
        </w:rPr>
        <w:t>塌发生废水外溢等事故。</w:t>
      </w:r>
    </w:p>
    <w:p>
      <w:pPr>
        <w:spacing w:before="337" w:line="226" w:lineRule="auto"/>
        <w:rPr>
          <w:rFonts w:ascii="宋体" w:hAnsi="宋体" w:eastAsia="宋体" w:cs="宋体"/>
          <w:sz w:val="31"/>
          <w:szCs w:val="31"/>
        </w:rPr>
      </w:pPr>
      <w:bookmarkStart w:id="28" w:name="bookmark29"/>
      <w:bookmarkEnd w:id="28"/>
      <w:r>
        <w:rPr>
          <w:rFonts w:ascii="Times New Roman" w:hAnsi="Times New Roman" w:eastAsia="Times New Roman" w:cs="Times New Roman"/>
          <w:b/>
          <w:bCs/>
          <w:spacing w:val="10"/>
          <w:sz w:val="31"/>
          <w:szCs w:val="31"/>
        </w:rPr>
        <w:t>4.2</w:t>
      </w:r>
      <w:r>
        <w:rPr>
          <w:rFonts w:ascii="宋体" w:hAnsi="宋体" w:eastAsia="宋体" w:cs="宋体"/>
          <w:spacing w:val="10"/>
          <w:sz w:val="31"/>
          <w:szCs w:val="31"/>
          <w14:textOutline w14:w="5791" w14:cap="flat" w14:cmpd="sng">
            <w14:solidFill>
              <w14:srgbClr w14:val="000000"/>
            </w14:solidFill>
            <w14:prstDash w14:val="solid"/>
            <w14:miter w14:val="10"/>
          </w14:textOutline>
        </w:rPr>
        <w:t>分区防控措施</w:t>
      </w:r>
    </w:p>
    <w:p>
      <w:pPr>
        <w:pStyle w:val="2"/>
        <w:spacing w:line="246" w:lineRule="auto"/>
        <w:rPr>
          <w:sz w:val="21"/>
        </w:rPr>
      </w:pPr>
    </w:p>
    <w:p>
      <w:pPr>
        <w:tabs>
          <w:tab w:val="left" w:pos="9115"/>
        </w:tabs>
        <w:spacing w:before="78" w:line="360" w:lineRule="auto"/>
        <w:ind w:firstLine="480"/>
        <w:jc w:val="both"/>
        <w:rPr>
          <w:rFonts w:ascii="宋体" w:hAnsi="宋体" w:eastAsia="宋体" w:cs="宋体"/>
          <w:sz w:val="24"/>
          <w:szCs w:val="24"/>
        </w:rPr>
      </w:pPr>
      <w:r>
        <w:rPr>
          <w:rFonts w:ascii="宋体" w:hAnsi="宋体" w:eastAsia="宋体" w:cs="宋体"/>
          <w:spacing w:val="-3"/>
          <w:sz w:val="24"/>
          <w:szCs w:val="24"/>
        </w:rPr>
        <w:t>对拟建项目各建设工程单元可能泄漏污染物的地面进行防渗处理， 可</w:t>
      </w:r>
      <w:r>
        <w:rPr>
          <w:rFonts w:ascii="宋体" w:hAnsi="宋体" w:eastAsia="宋体" w:cs="宋体"/>
          <w:spacing w:val="-4"/>
          <w:sz w:val="24"/>
          <w:szCs w:val="24"/>
        </w:rPr>
        <w:t>有效防治污</w:t>
      </w:r>
      <w:r>
        <w:rPr>
          <w:rFonts w:ascii="宋体" w:hAnsi="宋体" w:eastAsia="宋体" w:cs="宋体"/>
          <w:sz w:val="24"/>
          <w:szCs w:val="24"/>
        </w:rPr>
        <w:t xml:space="preserve">   染物渗入地下，并及时地将泄漏、渗漏的污染物收集并进行集中处理。拟</w:t>
      </w:r>
      <w:r>
        <w:rPr>
          <w:rFonts w:ascii="宋体" w:hAnsi="宋体" w:eastAsia="宋体" w:cs="宋体"/>
          <w:spacing w:val="-1"/>
          <w:sz w:val="24"/>
          <w:szCs w:val="24"/>
        </w:rPr>
        <w:t>建项目通过</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3"/>
          <w:sz w:val="24"/>
          <w:szCs w:val="24"/>
        </w:rPr>
        <w:t>将加强井场防渗等级， 避免污染物入渗，采取了分区防渗</w:t>
      </w:r>
      <w:r>
        <w:rPr>
          <w:rFonts w:ascii="宋体" w:hAnsi="宋体" w:eastAsia="宋体" w:cs="宋体"/>
          <w:spacing w:val="-4"/>
          <w:sz w:val="24"/>
          <w:szCs w:val="24"/>
        </w:rPr>
        <w:t>措施。根据《环境影响评价</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16"/>
          <w:sz w:val="24"/>
          <w:szCs w:val="24"/>
        </w:rPr>
        <w:t>技术规范 地下水环境》（</w:t>
      </w:r>
      <w:r>
        <w:rPr>
          <w:rFonts w:ascii="Times New Roman" w:hAnsi="Times New Roman" w:eastAsia="Times New Roman" w:cs="Times New Roman"/>
          <w:spacing w:val="-16"/>
          <w:sz w:val="24"/>
          <w:szCs w:val="24"/>
        </w:rPr>
        <w:t>HJ610-2016</w:t>
      </w:r>
      <w:r>
        <w:rPr>
          <w:rFonts w:ascii="宋体" w:hAnsi="宋体" w:eastAsia="宋体" w:cs="宋体"/>
          <w:spacing w:val="-16"/>
          <w:sz w:val="24"/>
          <w:szCs w:val="24"/>
        </w:rPr>
        <w:t>）、《石油化工工程防渗技术规范》（</w:t>
      </w:r>
      <w:r>
        <w:rPr>
          <w:rFonts w:ascii="Times New Roman" w:hAnsi="Times New Roman" w:eastAsia="Times New Roman" w:cs="Times New Roman"/>
          <w:spacing w:val="-16"/>
          <w:sz w:val="24"/>
          <w:szCs w:val="24"/>
        </w:rPr>
        <w:t>GB/T50934-2013</w:t>
      </w:r>
      <w:r>
        <w:rPr>
          <w:rFonts w:ascii="宋体" w:hAnsi="宋体" w:eastAsia="宋体" w:cs="宋体"/>
          <w:spacing w:val="-16"/>
          <w:sz w:val="24"/>
          <w:szCs w:val="24"/>
        </w:rPr>
        <w:t>）</w:t>
      </w:r>
      <w:r>
        <w:rPr>
          <w:rFonts w:ascii="宋体" w:hAnsi="宋体" w:eastAsia="宋体" w:cs="宋体"/>
          <w:spacing w:val="7"/>
          <w:sz w:val="24"/>
          <w:szCs w:val="24"/>
        </w:rPr>
        <w:t xml:space="preserve"> </w:t>
      </w:r>
      <w:r>
        <w:rPr>
          <w:rFonts w:ascii="宋体" w:hAnsi="宋体" w:eastAsia="宋体" w:cs="宋体"/>
          <w:spacing w:val="-3"/>
          <w:sz w:val="24"/>
          <w:szCs w:val="24"/>
        </w:rPr>
        <w:t>要求，结合工程各功能单元可能产生污染的地区，划分为重点污染防治区、 一般</w:t>
      </w:r>
      <w:r>
        <w:rPr>
          <w:rFonts w:ascii="宋体" w:hAnsi="宋体" w:eastAsia="宋体" w:cs="宋体"/>
          <w:spacing w:val="-4"/>
          <w:sz w:val="24"/>
          <w:szCs w:val="24"/>
        </w:rPr>
        <w:t>污染</w:t>
      </w:r>
    </w:p>
    <w:p>
      <w:pPr>
        <w:spacing w:line="220" w:lineRule="auto"/>
        <w:ind w:left="17"/>
        <w:rPr>
          <w:rFonts w:ascii="宋体" w:hAnsi="宋体" w:eastAsia="宋体" w:cs="宋体"/>
          <w:sz w:val="24"/>
          <w:szCs w:val="24"/>
        </w:rPr>
      </w:pPr>
      <w:r>
        <w:rPr>
          <w:rFonts w:ascii="宋体" w:hAnsi="宋体" w:eastAsia="宋体" w:cs="宋体"/>
          <w:spacing w:val="-12"/>
          <w:sz w:val="24"/>
          <w:szCs w:val="24"/>
        </w:rPr>
        <w:t>防治区。</w:t>
      </w:r>
    </w:p>
    <w:p>
      <w:pPr>
        <w:spacing w:before="245" w:line="369" w:lineRule="auto"/>
        <w:ind w:left="3" w:right="231" w:firstLine="480"/>
        <w:rPr>
          <w:rFonts w:ascii="宋体" w:hAnsi="宋体" w:eastAsia="宋体" w:cs="宋体"/>
          <w:sz w:val="24"/>
          <w:szCs w:val="24"/>
        </w:rPr>
      </w:pPr>
      <w:r>
        <w:rPr>
          <w:rFonts w:ascii="宋体" w:hAnsi="宋体" w:eastAsia="宋体" w:cs="宋体"/>
          <w:sz w:val="24"/>
          <w:szCs w:val="24"/>
        </w:rPr>
        <w:t>工程分为重点防渗区（含井场内井口、井架及设备基础区域、泥浆循环系统区、 泥浆材料堆存区、油水罐区、应急池、燃烧池、集酸池、清洁生产操作平台、泥浆储</w:t>
      </w:r>
    </w:p>
    <w:p>
      <w:pPr>
        <w:spacing w:before="1" w:line="219" w:lineRule="auto"/>
        <w:ind w:left="4"/>
        <w:rPr>
          <w:rFonts w:ascii="宋体" w:hAnsi="宋体" w:eastAsia="宋体" w:cs="宋体"/>
          <w:sz w:val="24"/>
          <w:szCs w:val="24"/>
        </w:rPr>
      </w:pPr>
      <w:r>
        <w:rPr>
          <w:rFonts w:ascii="宋体" w:hAnsi="宋体" w:eastAsia="宋体" w:cs="宋体"/>
          <w:spacing w:val="-6"/>
          <w:sz w:val="24"/>
          <w:szCs w:val="24"/>
        </w:rPr>
        <w:t>备罐区、隔油池、集液池等）、一般防渗区（井场部分非设</w:t>
      </w:r>
      <w:r>
        <w:rPr>
          <w:rFonts w:ascii="宋体" w:hAnsi="宋体" w:eastAsia="宋体" w:cs="宋体"/>
          <w:spacing w:val="-7"/>
          <w:sz w:val="24"/>
          <w:szCs w:val="24"/>
        </w:rPr>
        <w:t>备基础区（包括清污分流排</w:t>
      </w:r>
    </w:p>
    <w:p>
      <w:pPr>
        <w:spacing w:line="219" w:lineRule="auto"/>
        <w:rPr>
          <w:rFonts w:ascii="宋体" w:hAnsi="宋体" w:eastAsia="宋体" w:cs="宋体"/>
          <w:sz w:val="24"/>
          <w:szCs w:val="24"/>
        </w:rPr>
        <w:sectPr>
          <w:footerReference r:id="rId193" w:type="default"/>
          <w:pgSz w:w="11907" w:h="16839"/>
          <w:pgMar w:top="400" w:right="1192" w:bottom="1151" w:left="1596" w:header="0" w:footer="988" w:gutter="0"/>
          <w:cols w:space="720" w:num="1"/>
        </w:sectPr>
      </w:pPr>
    </w:p>
    <w:p>
      <w:pPr>
        <w:pStyle w:val="2"/>
        <w:spacing w:line="283" w:lineRule="auto"/>
        <w:rPr>
          <w:sz w:val="21"/>
        </w:rPr>
      </w:pPr>
    </w:p>
    <w:p>
      <w:pPr>
        <w:pStyle w:val="2"/>
        <w:spacing w:line="283" w:lineRule="auto"/>
        <w:rPr>
          <w:sz w:val="21"/>
        </w:rPr>
      </w:pPr>
    </w:p>
    <w:p>
      <w:pPr>
        <w:pStyle w:val="2"/>
        <w:spacing w:line="283" w:lineRule="auto"/>
        <w:rPr>
          <w:sz w:val="21"/>
        </w:rPr>
      </w:pPr>
    </w:p>
    <w:p>
      <w:pPr>
        <w:pStyle w:val="2"/>
        <w:spacing w:line="283" w:lineRule="auto"/>
        <w:rPr>
          <w:sz w:val="21"/>
        </w:rPr>
      </w:pPr>
    </w:p>
    <w:p>
      <w:pPr>
        <w:spacing w:before="78" w:line="481" w:lineRule="exact"/>
        <w:ind w:left="7"/>
        <w:rPr>
          <w:rFonts w:ascii="宋体" w:hAnsi="宋体" w:eastAsia="宋体" w:cs="宋体"/>
          <w:sz w:val="24"/>
          <w:szCs w:val="24"/>
        </w:rPr>
      </w:pPr>
      <w:r>
        <w:rPr>
          <w:rFonts w:ascii="宋体" w:hAnsi="宋体" w:eastAsia="宋体" w:cs="宋体"/>
          <w:spacing w:val="-5"/>
          <w:position w:val="18"/>
          <w:sz w:val="24"/>
          <w:szCs w:val="24"/>
        </w:rPr>
        <w:t>水沟）、环保厕所）和简单防渗区（除重点防</w:t>
      </w:r>
      <w:r>
        <w:rPr>
          <w:rFonts w:ascii="宋体" w:hAnsi="宋体" w:eastAsia="宋体" w:cs="宋体"/>
          <w:spacing w:val="-6"/>
          <w:position w:val="18"/>
          <w:sz w:val="24"/>
          <w:szCs w:val="24"/>
        </w:rPr>
        <w:t>渗区和一般防渗区外的区域</w:t>
      </w:r>
      <w:r>
        <w:rPr>
          <w:rFonts w:ascii="宋体" w:hAnsi="宋体" w:eastAsia="宋体" w:cs="宋体"/>
          <w:spacing w:val="-22"/>
          <w:position w:val="18"/>
          <w:sz w:val="24"/>
          <w:szCs w:val="24"/>
        </w:rPr>
        <w:t>），</w:t>
      </w:r>
      <w:r>
        <w:rPr>
          <w:rFonts w:ascii="宋体" w:hAnsi="宋体" w:eastAsia="宋体" w:cs="宋体"/>
          <w:spacing w:val="-6"/>
          <w:position w:val="18"/>
          <w:sz w:val="24"/>
          <w:szCs w:val="24"/>
        </w:rPr>
        <w:t>各个防渗</w:t>
      </w:r>
    </w:p>
    <w:p>
      <w:pPr>
        <w:spacing w:line="220" w:lineRule="auto"/>
        <w:ind w:left="7"/>
        <w:rPr>
          <w:rFonts w:ascii="宋体" w:hAnsi="宋体" w:eastAsia="宋体" w:cs="宋体"/>
          <w:sz w:val="24"/>
          <w:szCs w:val="24"/>
        </w:rPr>
      </w:pPr>
      <w:r>
        <w:rPr>
          <w:rFonts w:ascii="宋体" w:hAnsi="宋体" w:eastAsia="宋体" w:cs="宋体"/>
          <w:spacing w:val="-6"/>
          <w:sz w:val="24"/>
          <w:szCs w:val="24"/>
        </w:rPr>
        <w:t>分区具体防渗要求如下：</w:t>
      </w:r>
    </w:p>
    <w:p>
      <w:pPr>
        <w:spacing w:before="131" w:line="220" w:lineRule="auto"/>
        <w:ind w:left="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）重点</w:t>
      </w:r>
      <w:r>
        <w:rPr>
          <w:rFonts w:hint="eastAsia" w:ascii="宋体" w:hAnsi="宋体" w:eastAsia="宋体" w:cs="宋体"/>
          <w:spacing w:val="-4"/>
          <w:sz w:val="24"/>
          <w:szCs w:val="24"/>
        </w:rPr>
        <w:t>污染防治</w:t>
      </w:r>
      <w:r>
        <w:rPr>
          <w:rFonts w:ascii="宋体" w:hAnsi="宋体" w:eastAsia="宋体" w:cs="宋体"/>
          <w:spacing w:val="-4"/>
          <w:sz w:val="24"/>
          <w:szCs w:val="24"/>
        </w:rPr>
        <w:t>区</w:t>
      </w:r>
    </w:p>
    <w:p>
      <w:pPr>
        <w:spacing w:before="244" w:line="480" w:lineRule="exact"/>
        <w:ind w:right="12"/>
        <w:jc w:val="right"/>
        <w:rPr>
          <w:rFonts w:ascii="宋体" w:hAnsi="宋体" w:eastAsia="宋体" w:cs="宋体"/>
          <w:sz w:val="24"/>
          <w:szCs w:val="24"/>
        </w:rPr>
      </w:pPr>
      <w:r>
        <w:rPr>
          <w:rFonts w:ascii="宋体" w:hAnsi="宋体" w:eastAsia="宋体" w:cs="宋体"/>
          <w:spacing w:val="-4"/>
          <w:position w:val="18"/>
          <w:sz w:val="24"/>
          <w:szCs w:val="24"/>
        </w:rPr>
        <w:t>根据《石油化工工程防渗技术规范》（</w:t>
      </w:r>
      <w:r>
        <w:rPr>
          <w:rFonts w:ascii="Times New Roman" w:hAnsi="Times New Roman" w:eastAsia="Times New Roman" w:cs="Times New Roman"/>
          <w:spacing w:val="-4"/>
          <w:position w:val="18"/>
          <w:sz w:val="24"/>
          <w:szCs w:val="24"/>
        </w:rPr>
        <w:t>GB/T50934-2013</w:t>
      </w:r>
      <w:r>
        <w:rPr>
          <w:rFonts w:ascii="宋体" w:hAnsi="宋体" w:eastAsia="宋体" w:cs="宋体"/>
          <w:spacing w:val="-52"/>
          <w:position w:val="18"/>
          <w:sz w:val="24"/>
          <w:szCs w:val="24"/>
        </w:rPr>
        <w:t>），</w:t>
      </w:r>
      <w:r>
        <w:rPr>
          <w:rFonts w:ascii="宋体" w:hAnsi="宋体" w:eastAsia="宋体" w:cs="宋体"/>
          <w:spacing w:val="-4"/>
          <w:position w:val="18"/>
          <w:sz w:val="24"/>
          <w:szCs w:val="24"/>
        </w:rPr>
        <w:t>重点污染防治区防渗要</w:t>
      </w:r>
    </w:p>
    <w:p>
      <w:pPr>
        <w:spacing w:line="233" w:lineRule="auto"/>
        <w:ind w:left="6"/>
        <w:rPr>
          <w:rFonts w:ascii="宋体" w:hAnsi="宋体" w:eastAsia="宋体" w:cs="宋体"/>
          <w:sz w:val="24"/>
          <w:szCs w:val="24"/>
        </w:rPr>
      </w:pPr>
      <w:r>
        <w:rPr>
          <w:rFonts w:ascii="宋体" w:hAnsi="宋体" w:eastAsia="宋体" w:cs="宋体"/>
          <w:spacing w:val="-2"/>
          <w:sz w:val="24"/>
          <w:szCs w:val="24"/>
        </w:rPr>
        <w:t>求：等效黏土防渗层厚度大于等于</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6m</w:t>
      </w:r>
      <w:r>
        <w:rPr>
          <w:rFonts w:ascii="宋体" w:hAnsi="宋体" w:eastAsia="宋体" w:cs="宋体"/>
          <w:spacing w:val="-2"/>
          <w:sz w:val="24"/>
          <w:szCs w:val="24"/>
        </w:rPr>
        <w:t xml:space="preserve">，渗透系数小于等于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9"/>
          <w:sz w:val="16"/>
          <w:szCs w:val="16"/>
        </w:rPr>
        <w:t>-7</w:t>
      </w:r>
      <w:r>
        <w:rPr>
          <w:rFonts w:ascii="Times New Roman" w:hAnsi="Times New Roman" w:eastAsia="Times New Roman" w:cs="Times New Roman"/>
          <w:spacing w:val="-3"/>
          <w:sz w:val="24"/>
          <w:szCs w:val="24"/>
        </w:rPr>
        <w:t>cm/s</w:t>
      </w:r>
      <w:r>
        <w:rPr>
          <w:rFonts w:ascii="宋体" w:hAnsi="宋体" w:eastAsia="宋体" w:cs="宋体"/>
          <w:spacing w:val="-3"/>
          <w:sz w:val="24"/>
          <w:szCs w:val="24"/>
        </w:rPr>
        <w:t>。</w:t>
      </w:r>
    </w:p>
    <w:p>
      <w:pPr>
        <w:spacing w:before="176" w:line="219" w:lineRule="auto"/>
        <w:ind w:left="484"/>
        <w:rPr>
          <w:rFonts w:ascii="宋体" w:hAnsi="宋体" w:eastAsia="宋体" w:cs="宋体"/>
          <w:sz w:val="24"/>
          <w:szCs w:val="24"/>
        </w:rPr>
      </w:pPr>
      <w:r>
        <w:rPr>
          <w:rFonts w:ascii="宋体" w:hAnsi="宋体" w:eastAsia="宋体" w:cs="宋体"/>
          <w:spacing w:val="-1"/>
          <w:sz w:val="24"/>
          <w:szCs w:val="24"/>
        </w:rPr>
        <w:t>井口区采用水泥基渗透结晶型防渗层</w:t>
      </w:r>
      <w:r>
        <w:rPr>
          <w:rFonts w:ascii="Times New Roman" w:hAnsi="Times New Roman" w:eastAsia="Times New Roman" w:cs="Times New Roman"/>
          <w:spacing w:val="-1"/>
          <w:sz w:val="24"/>
          <w:szCs w:val="24"/>
        </w:rPr>
        <w:t xml:space="preserve">+C30 </w:t>
      </w:r>
      <w:r>
        <w:rPr>
          <w:rFonts w:ascii="宋体" w:hAnsi="宋体" w:eastAsia="宋体" w:cs="宋体"/>
          <w:spacing w:val="-1"/>
          <w:sz w:val="24"/>
          <w:szCs w:val="24"/>
        </w:rPr>
        <w:t>抗渗（</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2"/>
          <w:sz w:val="24"/>
          <w:szCs w:val="24"/>
        </w:rPr>
        <w:t>8</w:t>
      </w:r>
      <w:r>
        <w:rPr>
          <w:rFonts w:ascii="宋体" w:hAnsi="宋体" w:eastAsia="宋体" w:cs="宋体"/>
          <w:spacing w:val="-2"/>
          <w:sz w:val="24"/>
          <w:szCs w:val="24"/>
        </w:rPr>
        <w:t>）混凝土。</w:t>
      </w:r>
    </w:p>
    <w:p>
      <w:pPr>
        <w:spacing w:before="196" w:line="369" w:lineRule="auto"/>
        <w:ind w:left="10" w:firstLine="474"/>
        <w:rPr>
          <w:rFonts w:ascii="宋体" w:hAnsi="宋体" w:eastAsia="宋体" w:cs="宋体"/>
          <w:sz w:val="24"/>
          <w:szCs w:val="24"/>
        </w:rPr>
      </w:pPr>
      <w:r>
        <w:rPr>
          <w:rFonts w:ascii="宋体" w:hAnsi="宋体" w:eastAsia="宋体" w:cs="宋体"/>
          <w:spacing w:val="-7"/>
          <w:sz w:val="24"/>
          <w:szCs w:val="24"/>
        </w:rPr>
        <w:t>井架、设备基础区泥浆材料堆存区、循环系统区域采用</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30cm</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厚</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 xml:space="preserve">C25 </w:t>
      </w:r>
      <w:r>
        <w:rPr>
          <w:rFonts w:ascii="宋体" w:hAnsi="宋体" w:eastAsia="宋体" w:cs="宋体"/>
          <w:spacing w:val="-7"/>
          <w:sz w:val="24"/>
          <w:szCs w:val="24"/>
        </w:rPr>
        <w:t>混凝土层</w:t>
      </w:r>
      <w:r>
        <w:rPr>
          <w:rFonts w:ascii="Times New Roman" w:hAnsi="Times New Roman" w:eastAsia="Times New Roman" w:cs="Times New Roman"/>
          <w:spacing w:val="-7"/>
          <w:sz w:val="24"/>
          <w:szCs w:val="24"/>
        </w:rPr>
        <w:t>+C25</w:t>
      </w:r>
      <w:r>
        <w:rPr>
          <w:rFonts w:ascii="Times New Roman" w:hAnsi="Times New Roman" w:eastAsia="Times New Roman" w:cs="Times New Roman"/>
          <w:sz w:val="24"/>
          <w:szCs w:val="24"/>
        </w:rPr>
        <w:t xml:space="preserve"> </w:t>
      </w:r>
      <w:r>
        <w:rPr>
          <w:rFonts w:ascii="宋体" w:hAnsi="宋体" w:eastAsia="宋体" w:cs="宋体"/>
          <w:spacing w:val="-1"/>
          <w:sz w:val="24"/>
          <w:szCs w:val="24"/>
        </w:rPr>
        <w:t>片石混凝土；井场设备基础硬化区（单层钢筋区域）采用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20cm</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厚</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C25</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钢筋混凝土层</w:t>
      </w:r>
    </w:p>
    <w:p>
      <w:pPr>
        <w:spacing w:line="219" w:lineRule="auto"/>
        <w:rPr>
          <w:rFonts w:ascii="宋体" w:hAnsi="宋体" w:eastAsia="宋体" w:cs="宋体"/>
          <w:sz w:val="24"/>
          <w:szCs w:val="24"/>
        </w:rPr>
      </w:pPr>
      <w:r>
        <w:rPr>
          <w:rFonts w:ascii="Times New Roman" w:hAnsi="Times New Roman" w:eastAsia="Times New Roman" w:cs="Times New Roman"/>
          <w:spacing w:val="-8"/>
          <w:sz w:val="24"/>
          <w:szCs w:val="24"/>
        </w:rPr>
        <w:t>+10cm</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8"/>
          <w:sz w:val="24"/>
          <w:szCs w:val="24"/>
        </w:rPr>
        <w:t>C15</w:t>
      </w:r>
      <w:r>
        <w:rPr>
          <w:rFonts w:ascii="Times New Roman" w:hAnsi="Times New Roman" w:eastAsia="Times New Roman" w:cs="Times New Roman"/>
          <w:spacing w:val="12"/>
          <w:sz w:val="24"/>
          <w:szCs w:val="24"/>
        </w:rPr>
        <w:t xml:space="preserve"> </w:t>
      </w:r>
      <w:r>
        <w:rPr>
          <w:rFonts w:ascii="宋体" w:hAnsi="宋体" w:eastAsia="宋体" w:cs="宋体"/>
          <w:spacing w:val="-8"/>
          <w:sz w:val="24"/>
          <w:szCs w:val="24"/>
        </w:rPr>
        <w:t>混凝土垫层</w:t>
      </w:r>
      <w:r>
        <w:rPr>
          <w:rFonts w:ascii="Times New Roman" w:hAnsi="Times New Roman" w:eastAsia="Times New Roman" w:cs="Times New Roman"/>
          <w:spacing w:val="-8"/>
          <w:sz w:val="24"/>
          <w:szCs w:val="24"/>
        </w:rPr>
        <w:t>+10cm</w:t>
      </w:r>
      <w:r>
        <w:rPr>
          <w:rFonts w:ascii="Times New Roman" w:hAnsi="Times New Roman" w:eastAsia="Times New Roman" w:cs="Times New Roman"/>
          <w:spacing w:val="16"/>
          <w:sz w:val="24"/>
          <w:szCs w:val="24"/>
        </w:rPr>
        <w:t xml:space="preserve"> </w:t>
      </w:r>
      <w:r>
        <w:rPr>
          <w:rFonts w:ascii="宋体" w:hAnsi="宋体" w:eastAsia="宋体" w:cs="宋体"/>
          <w:spacing w:val="-8"/>
          <w:sz w:val="24"/>
          <w:szCs w:val="24"/>
        </w:rPr>
        <w:t>厚砂砾（卵）</w:t>
      </w:r>
      <w:r>
        <w:rPr>
          <w:rFonts w:ascii="宋体" w:hAnsi="宋体" w:eastAsia="宋体" w:cs="宋体"/>
          <w:spacing w:val="28"/>
          <w:sz w:val="24"/>
          <w:szCs w:val="24"/>
        </w:rPr>
        <w:t xml:space="preserve"> </w:t>
      </w:r>
      <w:r>
        <w:rPr>
          <w:rFonts w:ascii="宋体" w:hAnsi="宋体" w:eastAsia="宋体" w:cs="宋体"/>
          <w:spacing w:val="-8"/>
          <w:sz w:val="24"/>
          <w:szCs w:val="24"/>
        </w:rPr>
        <w:t>石层。</w:t>
      </w:r>
    </w:p>
    <w:p>
      <w:pPr>
        <w:spacing w:before="196" w:line="369" w:lineRule="auto"/>
        <w:ind w:left="10" w:firstLine="474"/>
        <w:rPr>
          <w:rFonts w:ascii="宋体" w:hAnsi="宋体" w:eastAsia="宋体" w:cs="宋体"/>
          <w:sz w:val="24"/>
          <w:szCs w:val="24"/>
        </w:rPr>
      </w:pPr>
      <w:r>
        <w:rPr>
          <w:rFonts w:ascii="宋体" w:hAnsi="宋体" w:eastAsia="宋体" w:cs="宋体"/>
          <w:spacing w:val="-2"/>
          <w:sz w:val="24"/>
          <w:szCs w:val="24"/>
        </w:rPr>
        <w:t>清洁生产操作平台采用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30cm</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厚</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C25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钢筋混凝土层</w:t>
      </w:r>
      <w:r>
        <w:rPr>
          <w:rFonts w:ascii="Times New Roman" w:hAnsi="Times New Roman" w:eastAsia="Times New Roman" w:cs="Times New Roman"/>
          <w:spacing w:val="-2"/>
          <w:sz w:val="24"/>
          <w:szCs w:val="24"/>
        </w:rPr>
        <w:t>+10cm</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厚</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C15</w:t>
      </w:r>
      <w:r>
        <w:rPr>
          <w:rFonts w:ascii="Times New Roman" w:hAnsi="Times New Roman" w:eastAsia="Times New Roman" w:cs="Times New Roman"/>
          <w:spacing w:val="19"/>
          <w:w w:val="101"/>
          <w:sz w:val="24"/>
          <w:szCs w:val="24"/>
        </w:rPr>
        <w:t xml:space="preserve"> </w:t>
      </w:r>
      <w:r>
        <w:rPr>
          <w:rFonts w:ascii="宋体" w:hAnsi="宋体" w:eastAsia="宋体" w:cs="宋体"/>
          <w:spacing w:val="-2"/>
          <w:sz w:val="24"/>
          <w:szCs w:val="24"/>
        </w:rPr>
        <w:t>混凝土</w:t>
      </w:r>
      <w:r>
        <w:rPr>
          <w:rFonts w:ascii="宋体" w:hAnsi="宋体" w:eastAsia="宋体" w:cs="宋体"/>
          <w:spacing w:val="-3"/>
          <w:sz w:val="24"/>
          <w:szCs w:val="24"/>
        </w:rPr>
        <w:t>层</w:t>
      </w:r>
      <w:r>
        <w:rPr>
          <w:rFonts w:ascii="Times New Roman" w:hAnsi="Times New Roman" w:eastAsia="Times New Roman" w:cs="Times New Roman"/>
          <w:spacing w:val="-3"/>
          <w:sz w:val="24"/>
          <w:szCs w:val="24"/>
        </w:rPr>
        <w:t>+10cm</w:t>
      </w:r>
      <w:r>
        <w:rPr>
          <w:rFonts w:ascii="Times New Roman" w:hAnsi="Times New Roman" w:eastAsia="Times New Roman" w:cs="Times New Roman"/>
          <w:sz w:val="24"/>
          <w:szCs w:val="24"/>
        </w:rPr>
        <w:t xml:space="preserve"> </w:t>
      </w:r>
      <w:r>
        <w:rPr>
          <w:rFonts w:ascii="宋体" w:hAnsi="宋体" w:eastAsia="宋体" w:cs="宋体"/>
          <w:spacing w:val="-7"/>
          <w:sz w:val="24"/>
          <w:szCs w:val="24"/>
        </w:rPr>
        <w:t>厚砂砾（卵）</w:t>
      </w:r>
      <w:r>
        <w:rPr>
          <w:rFonts w:ascii="宋体" w:hAnsi="宋体" w:eastAsia="宋体" w:cs="宋体"/>
          <w:spacing w:val="-15"/>
          <w:sz w:val="24"/>
          <w:szCs w:val="24"/>
        </w:rPr>
        <w:t xml:space="preserve"> </w:t>
      </w:r>
      <w:r>
        <w:rPr>
          <w:rFonts w:ascii="宋体" w:hAnsi="宋体" w:eastAsia="宋体" w:cs="宋体"/>
          <w:spacing w:val="-7"/>
          <w:sz w:val="24"/>
          <w:szCs w:val="24"/>
        </w:rPr>
        <w:t>石层； 岩屑堆放区采用水泥基渗透结晶型防渗层</w:t>
      </w:r>
      <w:r>
        <w:rPr>
          <w:rFonts w:ascii="Times New Roman" w:hAnsi="Times New Roman" w:eastAsia="Times New Roman" w:cs="Times New Roman"/>
          <w:spacing w:val="-7"/>
          <w:sz w:val="24"/>
          <w:szCs w:val="24"/>
        </w:rPr>
        <w:t>+30cm</w:t>
      </w:r>
      <w:r>
        <w:rPr>
          <w:rFonts w:ascii="Times New Roman" w:hAnsi="Times New Roman" w:eastAsia="Times New Roman" w:cs="Times New Roman"/>
          <w:spacing w:val="18"/>
          <w:w w:val="101"/>
          <w:sz w:val="24"/>
          <w:szCs w:val="24"/>
        </w:rPr>
        <w:t xml:space="preserve"> </w:t>
      </w:r>
      <w:r>
        <w:rPr>
          <w:rFonts w:ascii="宋体" w:hAnsi="宋体" w:eastAsia="宋体" w:cs="宋体"/>
          <w:spacing w:val="-7"/>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 xml:space="preserve">C25 </w:t>
      </w:r>
      <w:r>
        <w:rPr>
          <w:rFonts w:ascii="宋体" w:hAnsi="宋体" w:eastAsia="宋体" w:cs="宋体"/>
          <w:spacing w:val="-7"/>
          <w:sz w:val="24"/>
          <w:szCs w:val="24"/>
        </w:rPr>
        <w:t>钢筋混凝</w:t>
      </w:r>
    </w:p>
    <w:p>
      <w:pPr>
        <w:spacing w:before="1" w:line="219" w:lineRule="auto"/>
        <w:ind w:left="5"/>
        <w:rPr>
          <w:rFonts w:ascii="宋体" w:hAnsi="宋体" w:eastAsia="宋体" w:cs="宋体"/>
          <w:sz w:val="24"/>
          <w:szCs w:val="24"/>
        </w:rPr>
      </w:pPr>
      <w:r>
        <w:rPr>
          <w:rFonts w:ascii="宋体" w:hAnsi="宋体" w:eastAsia="宋体" w:cs="宋体"/>
          <w:spacing w:val="-3"/>
          <w:sz w:val="24"/>
          <w:szCs w:val="24"/>
        </w:rPr>
        <w:t>土层</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厚</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C15 </w:t>
      </w:r>
      <w:r>
        <w:rPr>
          <w:rFonts w:ascii="宋体" w:hAnsi="宋体" w:eastAsia="宋体" w:cs="宋体"/>
          <w:spacing w:val="-3"/>
          <w:sz w:val="24"/>
          <w:szCs w:val="24"/>
        </w:rPr>
        <w:t>混凝土层</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厚砂砾（卵）石层。</w:t>
      </w:r>
    </w:p>
    <w:p>
      <w:pPr>
        <w:spacing w:before="195" w:line="480" w:lineRule="exact"/>
        <w:jc w:val="right"/>
        <w:rPr>
          <w:rFonts w:ascii="宋体" w:hAnsi="宋体" w:eastAsia="宋体" w:cs="宋体"/>
          <w:sz w:val="24"/>
          <w:szCs w:val="24"/>
        </w:rPr>
      </w:pPr>
      <w:r>
        <w:rPr>
          <w:rFonts w:ascii="宋体" w:hAnsi="宋体" w:eastAsia="宋体" w:cs="宋体"/>
          <w:spacing w:val="2"/>
          <w:position w:val="18"/>
          <w:sz w:val="24"/>
          <w:szCs w:val="24"/>
        </w:rPr>
        <w:t>油罐及水罐区、</w:t>
      </w:r>
      <w:r>
        <w:rPr>
          <w:rFonts w:ascii="宋体" w:hAnsi="宋体" w:eastAsia="宋体" w:cs="宋体"/>
          <w:spacing w:val="61"/>
          <w:position w:val="18"/>
          <w:sz w:val="24"/>
          <w:szCs w:val="24"/>
        </w:rPr>
        <w:t xml:space="preserve"> </w:t>
      </w:r>
      <w:r>
        <w:rPr>
          <w:rFonts w:ascii="宋体" w:hAnsi="宋体" w:eastAsia="宋体" w:cs="宋体"/>
          <w:spacing w:val="2"/>
          <w:position w:val="18"/>
          <w:sz w:val="24"/>
          <w:szCs w:val="24"/>
        </w:rPr>
        <w:t>泥浆储备罐区采用水泥基防渗层</w:t>
      </w:r>
      <w:r>
        <w:rPr>
          <w:rFonts w:ascii="Times New Roman" w:hAnsi="Times New Roman" w:eastAsia="Times New Roman" w:cs="Times New Roman"/>
          <w:spacing w:val="2"/>
          <w:position w:val="18"/>
          <w:sz w:val="24"/>
          <w:szCs w:val="24"/>
        </w:rPr>
        <w:t>+40</w:t>
      </w:r>
      <w:r>
        <w:rPr>
          <w:rFonts w:ascii="Times New Roman" w:hAnsi="Times New Roman" w:eastAsia="Times New Roman" w:cs="Times New Roman"/>
          <w:position w:val="18"/>
          <w:sz w:val="24"/>
          <w:szCs w:val="24"/>
        </w:rPr>
        <w:t>cm</w:t>
      </w:r>
      <w:r>
        <w:rPr>
          <w:rFonts w:ascii="Times New Roman" w:hAnsi="Times New Roman" w:eastAsia="Times New Roman" w:cs="Times New Roman"/>
          <w:spacing w:val="2"/>
          <w:position w:val="18"/>
          <w:sz w:val="24"/>
          <w:szCs w:val="24"/>
        </w:rPr>
        <w:t xml:space="preserve">  </w:t>
      </w:r>
      <w:r>
        <w:rPr>
          <w:rFonts w:ascii="宋体" w:hAnsi="宋体" w:eastAsia="宋体" w:cs="宋体"/>
          <w:spacing w:val="2"/>
          <w:position w:val="18"/>
          <w:sz w:val="24"/>
          <w:szCs w:val="24"/>
        </w:rPr>
        <w:t xml:space="preserve">厚 </w:t>
      </w:r>
      <w:r>
        <w:rPr>
          <w:rFonts w:ascii="Times New Roman" w:hAnsi="Times New Roman" w:eastAsia="Times New Roman" w:cs="Times New Roman"/>
          <w:spacing w:val="2"/>
          <w:position w:val="18"/>
          <w:sz w:val="24"/>
          <w:szCs w:val="24"/>
        </w:rPr>
        <w:t xml:space="preserve">C25  </w:t>
      </w:r>
      <w:r>
        <w:rPr>
          <w:rFonts w:ascii="宋体" w:hAnsi="宋体" w:eastAsia="宋体" w:cs="宋体"/>
          <w:spacing w:val="2"/>
          <w:position w:val="18"/>
          <w:sz w:val="24"/>
          <w:szCs w:val="24"/>
        </w:rPr>
        <w:t>钢筋混凝土层</w:t>
      </w:r>
    </w:p>
    <w:p>
      <w:pPr>
        <w:spacing w:line="219" w:lineRule="auto"/>
        <w:rPr>
          <w:rFonts w:ascii="宋体" w:hAnsi="宋体" w:eastAsia="宋体" w:cs="宋体"/>
          <w:sz w:val="24"/>
          <w:szCs w:val="24"/>
        </w:rPr>
      </w:pPr>
      <w:r>
        <w:rPr>
          <w:rFonts w:ascii="Times New Roman" w:hAnsi="Times New Roman" w:eastAsia="Times New Roman" w:cs="Times New Roman"/>
          <w:spacing w:val="-4"/>
          <w:sz w:val="24"/>
          <w:szCs w:val="24"/>
        </w:rPr>
        <w:t>+10cm</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C15 </w:t>
      </w:r>
      <w:r>
        <w:rPr>
          <w:rFonts w:ascii="宋体" w:hAnsi="宋体" w:eastAsia="宋体" w:cs="宋体"/>
          <w:spacing w:val="-4"/>
          <w:sz w:val="24"/>
          <w:szCs w:val="24"/>
        </w:rPr>
        <w:t>混凝土层。</w:t>
      </w:r>
    </w:p>
    <w:p>
      <w:pPr>
        <w:spacing w:before="195" w:line="480" w:lineRule="exact"/>
        <w:jc w:val="right"/>
        <w:rPr>
          <w:rFonts w:ascii="宋体" w:hAnsi="宋体" w:eastAsia="宋体" w:cs="宋体"/>
          <w:sz w:val="24"/>
          <w:szCs w:val="24"/>
        </w:rPr>
      </w:pPr>
      <w:r>
        <w:rPr>
          <w:rFonts w:ascii="宋体" w:hAnsi="宋体" w:eastAsia="宋体" w:cs="宋体"/>
          <w:spacing w:val="-5"/>
          <w:position w:val="18"/>
          <w:sz w:val="24"/>
          <w:szCs w:val="24"/>
        </w:rPr>
        <w:t>燃烧池采用</w:t>
      </w:r>
      <w:r>
        <w:rPr>
          <w:rFonts w:ascii="宋体" w:hAnsi="宋体" w:eastAsia="宋体" w:cs="宋体"/>
          <w:spacing w:val="-49"/>
          <w:position w:val="18"/>
          <w:sz w:val="24"/>
          <w:szCs w:val="24"/>
        </w:rPr>
        <w:t xml:space="preserve"> </w:t>
      </w:r>
      <w:r>
        <w:rPr>
          <w:rFonts w:ascii="Times New Roman" w:hAnsi="Times New Roman" w:eastAsia="Times New Roman" w:cs="Times New Roman"/>
          <w:spacing w:val="-5"/>
          <w:position w:val="18"/>
          <w:sz w:val="24"/>
          <w:szCs w:val="24"/>
        </w:rPr>
        <w:t>5cm</w:t>
      </w:r>
      <w:r>
        <w:rPr>
          <w:rFonts w:ascii="Times New Roman" w:hAnsi="Times New Roman" w:eastAsia="Times New Roman" w:cs="Times New Roman"/>
          <w:spacing w:val="16"/>
          <w:position w:val="18"/>
          <w:sz w:val="24"/>
          <w:szCs w:val="24"/>
        </w:rPr>
        <w:t xml:space="preserve"> </w:t>
      </w:r>
      <w:r>
        <w:rPr>
          <w:rFonts w:ascii="宋体" w:hAnsi="宋体" w:eastAsia="宋体" w:cs="宋体"/>
          <w:spacing w:val="-5"/>
          <w:position w:val="18"/>
          <w:sz w:val="24"/>
          <w:szCs w:val="24"/>
        </w:rPr>
        <w:t>厚分层抹新型耐火砂浆</w:t>
      </w:r>
      <w:r>
        <w:rPr>
          <w:rFonts w:ascii="Times New Roman" w:hAnsi="Times New Roman" w:eastAsia="Times New Roman" w:cs="Times New Roman"/>
          <w:spacing w:val="-5"/>
          <w:position w:val="18"/>
          <w:sz w:val="24"/>
          <w:szCs w:val="24"/>
        </w:rPr>
        <w:t>+10cm</w:t>
      </w:r>
      <w:r>
        <w:rPr>
          <w:rFonts w:ascii="Times New Roman" w:hAnsi="Times New Roman" w:eastAsia="Times New Roman" w:cs="Times New Roman"/>
          <w:spacing w:val="18"/>
          <w:position w:val="18"/>
          <w:sz w:val="24"/>
          <w:szCs w:val="24"/>
        </w:rPr>
        <w:t xml:space="preserve"> </w:t>
      </w:r>
      <w:r>
        <w:rPr>
          <w:rFonts w:ascii="宋体" w:hAnsi="宋体" w:eastAsia="宋体" w:cs="宋体"/>
          <w:spacing w:val="-5"/>
          <w:position w:val="18"/>
          <w:sz w:val="24"/>
          <w:szCs w:val="24"/>
        </w:rPr>
        <w:t>厚</w:t>
      </w:r>
      <w:r>
        <w:rPr>
          <w:rFonts w:ascii="宋体" w:hAnsi="宋体" w:eastAsia="宋体" w:cs="宋体"/>
          <w:spacing w:val="-51"/>
          <w:position w:val="18"/>
          <w:sz w:val="24"/>
          <w:szCs w:val="24"/>
        </w:rPr>
        <w:t xml:space="preserve"> </w:t>
      </w:r>
      <w:r>
        <w:rPr>
          <w:rFonts w:ascii="Times New Roman" w:hAnsi="Times New Roman" w:eastAsia="Times New Roman" w:cs="Times New Roman"/>
          <w:spacing w:val="-5"/>
          <w:position w:val="18"/>
          <w:sz w:val="24"/>
          <w:szCs w:val="24"/>
        </w:rPr>
        <w:t xml:space="preserve">C20 </w:t>
      </w:r>
      <w:r>
        <w:rPr>
          <w:rFonts w:ascii="宋体" w:hAnsi="宋体" w:eastAsia="宋体" w:cs="宋体"/>
          <w:spacing w:val="-5"/>
          <w:position w:val="18"/>
          <w:sz w:val="24"/>
          <w:szCs w:val="24"/>
        </w:rPr>
        <w:t>混</w:t>
      </w:r>
      <w:r>
        <w:rPr>
          <w:rFonts w:ascii="宋体" w:hAnsi="宋体" w:eastAsia="宋体" w:cs="宋体"/>
          <w:spacing w:val="-6"/>
          <w:position w:val="18"/>
          <w:sz w:val="24"/>
          <w:szCs w:val="24"/>
        </w:rPr>
        <w:t>凝土层；</w:t>
      </w:r>
      <w:r>
        <w:rPr>
          <w:rFonts w:ascii="宋体" w:hAnsi="宋体" w:eastAsia="宋体" w:cs="宋体"/>
          <w:spacing w:val="-54"/>
          <w:position w:val="18"/>
          <w:sz w:val="24"/>
          <w:szCs w:val="24"/>
        </w:rPr>
        <w:t xml:space="preserve"> </w:t>
      </w:r>
      <w:r>
        <w:rPr>
          <w:rFonts w:ascii="宋体" w:hAnsi="宋体" w:eastAsia="宋体" w:cs="宋体"/>
          <w:spacing w:val="-6"/>
          <w:position w:val="18"/>
          <w:sz w:val="24"/>
          <w:szCs w:val="24"/>
        </w:rPr>
        <w:t>集酸池采用水泥</w:t>
      </w:r>
    </w:p>
    <w:p>
      <w:pPr>
        <w:spacing w:before="1" w:line="219" w:lineRule="auto"/>
        <w:ind w:left="5"/>
        <w:rPr>
          <w:rFonts w:ascii="宋体" w:hAnsi="宋体" w:eastAsia="宋体" w:cs="宋体"/>
          <w:sz w:val="24"/>
          <w:szCs w:val="24"/>
        </w:rPr>
      </w:pPr>
      <w:r>
        <w:rPr>
          <w:rFonts w:ascii="宋体" w:hAnsi="宋体" w:eastAsia="宋体" w:cs="宋体"/>
          <w:spacing w:val="-2"/>
          <w:sz w:val="24"/>
          <w:szCs w:val="24"/>
        </w:rPr>
        <w:t>基渗透结晶型防渗层</w:t>
      </w:r>
      <w:r>
        <w:rPr>
          <w:rFonts w:ascii="Times New Roman" w:hAnsi="Times New Roman" w:eastAsia="Times New Roman" w:cs="Times New Roman"/>
          <w:spacing w:val="-2"/>
          <w:sz w:val="24"/>
          <w:szCs w:val="24"/>
        </w:rPr>
        <w:t>+2cm</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厚水泥砂浆抹面</w:t>
      </w:r>
      <w:r>
        <w:rPr>
          <w:rFonts w:ascii="Times New Roman" w:hAnsi="Times New Roman" w:eastAsia="Times New Roman" w:cs="Times New Roman"/>
          <w:spacing w:val="-2"/>
          <w:sz w:val="24"/>
          <w:szCs w:val="24"/>
        </w:rPr>
        <w:t>++10cm</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厚</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C20 </w:t>
      </w:r>
      <w:r>
        <w:rPr>
          <w:rFonts w:ascii="宋体" w:hAnsi="宋体" w:eastAsia="宋体" w:cs="宋体"/>
          <w:spacing w:val="-3"/>
          <w:sz w:val="24"/>
          <w:szCs w:val="24"/>
        </w:rPr>
        <w:t>混凝土层。</w:t>
      </w:r>
    </w:p>
    <w:p>
      <w:pPr>
        <w:spacing w:before="195" w:line="480" w:lineRule="exact"/>
        <w:jc w:val="right"/>
        <w:rPr>
          <w:rFonts w:ascii="宋体" w:hAnsi="宋体" w:eastAsia="宋体" w:cs="宋体"/>
          <w:sz w:val="24"/>
          <w:szCs w:val="24"/>
        </w:rPr>
      </w:pPr>
      <w:r>
        <w:rPr>
          <w:rFonts w:ascii="宋体" w:hAnsi="宋体" w:eastAsia="宋体" w:cs="宋体"/>
          <w:spacing w:val="-2"/>
          <w:position w:val="18"/>
          <w:sz w:val="24"/>
          <w:szCs w:val="24"/>
        </w:rPr>
        <w:t>应急池、隔油池及集酸池均采用水泥基渗透结晶型防渗层</w:t>
      </w:r>
      <w:r>
        <w:rPr>
          <w:rFonts w:ascii="Times New Roman" w:hAnsi="Times New Roman" w:eastAsia="Times New Roman" w:cs="Times New Roman"/>
          <w:spacing w:val="-2"/>
          <w:position w:val="18"/>
          <w:sz w:val="24"/>
          <w:szCs w:val="24"/>
        </w:rPr>
        <w:t>+40cm</w:t>
      </w:r>
      <w:r>
        <w:rPr>
          <w:rFonts w:ascii="Times New Roman" w:hAnsi="Times New Roman" w:eastAsia="Times New Roman" w:cs="Times New Roman"/>
          <w:spacing w:val="33"/>
          <w:position w:val="18"/>
          <w:sz w:val="24"/>
          <w:szCs w:val="24"/>
        </w:rPr>
        <w:t xml:space="preserve"> </w:t>
      </w:r>
      <w:r>
        <w:rPr>
          <w:rFonts w:ascii="宋体" w:hAnsi="宋体" w:eastAsia="宋体" w:cs="宋体"/>
          <w:spacing w:val="-2"/>
          <w:position w:val="18"/>
          <w:sz w:val="24"/>
          <w:szCs w:val="24"/>
        </w:rPr>
        <w:t>厚</w:t>
      </w:r>
      <w:r>
        <w:rPr>
          <w:rFonts w:ascii="宋体" w:hAnsi="宋体" w:eastAsia="宋体" w:cs="宋体"/>
          <w:spacing w:val="-52"/>
          <w:position w:val="18"/>
          <w:sz w:val="24"/>
          <w:szCs w:val="24"/>
        </w:rPr>
        <w:t xml:space="preserve"> </w:t>
      </w:r>
      <w:r>
        <w:rPr>
          <w:rFonts w:ascii="Times New Roman" w:hAnsi="Times New Roman" w:eastAsia="Times New Roman" w:cs="Times New Roman"/>
          <w:spacing w:val="-2"/>
          <w:position w:val="18"/>
          <w:sz w:val="24"/>
          <w:szCs w:val="24"/>
        </w:rPr>
        <w:t xml:space="preserve">C30 </w:t>
      </w:r>
      <w:r>
        <w:rPr>
          <w:rFonts w:ascii="宋体" w:hAnsi="宋体" w:eastAsia="宋体" w:cs="宋体"/>
          <w:spacing w:val="-2"/>
          <w:position w:val="18"/>
          <w:sz w:val="24"/>
          <w:szCs w:val="24"/>
        </w:rPr>
        <w:t>钢筋混凝</w:t>
      </w:r>
    </w:p>
    <w:p>
      <w:pPr>
        <w:spacing w:line="219" w:lineRule="auto"/>
        <w:ind w:left="5"/>
        <w:rPr>
          <w:rFonts w:ascii="宋体" w:hAnsi="宋体" w:eastAsia="宋体" w:cs="宋体"/>
          <w:sz w:val="24"/>
          <w:szCs w:val="24"/>
        </w:rPr>
      </w:pPr>
      <w:r>
        <w:rPr>
          <w:rFonts w:ascii="宋体" w:hAnsi="宋体" w:eastAsia="宋体" w:cs="宋体"/>
          <w:spacing w:val="-4"/>
          <w:sz w:val="24"/>
          <w:szCs w:val="24"/>
        </w:rPr>
        <w:t>土层</w:t>
      </w:r>
      <w:r>
        <w:rPr>
          <w:rFonts w:ascii="Times New Roman" w:hAnsi="Times New Roman" w:eastAsia="Times New Roman" w:cs="Times New Roman"/>
          <w:spacing w:val="-4"/>
          <w:sz w:val="24"/>
          <w:szCs w:val="24"/>
        </w:rPr>
        <w:t>+10cm</w:t>
      </w:r>
      <w:r>
        <w:rPr>
          <w:rFonts w:ascii="Times New Roman" w:hAnsi="Times New Roman" w:eastAsia="Times New Roman" w:cs="Times New Roman"/>
          <w:spacing w:val="21"/>
          <w:w w:val="101"/>
          <w:sz w:val="24"/>
          <w:szCs w:val="24"/>
        </w:rPr>
        <w:t xml:space="preserve"> </w:t>
      </w:r>
      <w:r>
        <w:rPr>
          <w:rFonts w:ascii="宋体" w:hAnsi="宋体" w:eastAsia="宋体" w:cs="宋体"/>
          <w:spacing w:val="-4"/>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C15 </w:t>
      </w:r>
      <w:r>
        <w:rPr>
          <w:rFonts w:ascii="宋体" w:hAnsi="宋体" w:eastAsia="宋体" w:cs="宋体"/>
          <w:spacing w:val="-4"/>
          <w:sz w:val="24"/>
          <w:szCs w:val="24"/>
        </w:rPr>
        <w:t>混凝土层。</w:t>
      </w:r>
    </w:p>
    <w:p>
      <w:pPr>
        <w:spacing w:before="195" w:line="480" w:lineRule="exact"/>
        <w:ind w:right="3"/>
        <w:jc w:val="right"/>
        <w:rPr>
          <w:rFonts w:ascii="宋体" w:hAnsi="宋体" w:eastAsia="宋体" w:cs="宋体"/>
          <w:sz w:val="24"/>
          <w:szCs w:val="24"/>
        </w:rPr>
      </w:pPr>
      <w:r>
        <w:rPr>
          <w:rFonts w:ascii="宋体" w:hAnsi="宋体" w:eastAsia="宋体" w:cs="宋体"/>
          <w:position w:val="18"/>
          <w:sz w:val="24"/>
          <w:szCs w:val="24"/>
        </w:rPr>
        <w:t>后期临时储酸罐区可布置在岩屑堆放区利用其雨棚、挡墙围堰和地面防渗措施，</w:t>
      </w:r>
    </w:p>
    <w:p>
      <w:pPr>
        <w:spacing w:line="220" w:lineRule="auto"/>
        <w:ind w:left="28"/>
        <w:rPr>
          <w:rFonts w:ascii="宋体" w:hAnsi="宋体" w:eastAsia="宋体" w:cs="宋体"/>
          <w:sz w:val="24"/>
          <w:szCs w:val="24"/>
        </w:rPr>
      </w:pPr>
      <w:r>
        <w:rPr>
          <w:rFonts w:ascii="宋体" w:hAnsi="宋体" w:eastAsia="宋体" w:cs="宋体"/>
          <w:spacing w:val="-9"/>
          <w:sz w:val="24"/>
          <w:szCs w:val="24"/>
        </w:rPr>
        <w:t>同时设置围堰。</w:t>
      </w:r>
    </w:p>
    <w:p>
      <w:pPr>
        <w:spacing w:before="132" w:line="220"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）一般</w:t>
      </w:r>
      <w:r>
        <w:rPr>
          <w:rFonts w:hint="eastAsia" w:ascii="宋体" w:hAnsi="宋体" w:eastAsia="宋体" w:cs="宋体"/>
          <w:spacing w:val="-4"/>
          <w:sz w:val="24"/>
          <w:szCs w:val="24"/>
        </w:rPr>
        <w:t>污染防治</w:t>
      </w:r>
      <w:r>
        <w:rPr>
          <w:rFonts w:ascii="宋体" w:hAnsi="宋体" w:eastAsia="宋体" w:cs="宋体"/>
          <w:spacing w:val="-2"/>
          <w:sz w:val="24"/>
          <w:szCs w:val="24"/>
        </w:rPr>
        <w:t>区</w:t>
      </w:r>
    </w:p>
    <w:p>
      <w:pPr>
        <w:spacing w:before="182" w:line="360" w:lineRule="auto"/>
        <w:ind w:left="4" w:right="2" w:firstLine="484"/>
        <w:rPr>
          <w:rFonts w:ascii="宋体" w:hAnsi="宋体" w:eastAsia="宋体" w:cs="宋体"/>
          <w:sz w:val="24"/>
          <w:szCs w:val="24"/>
        </w:rPr>
      </w:pPr>
      <w:r>
        <w:rPr>
          <w:rFonts w:ascii="宋体" w:hAnsi="宋体" w:eastAsia="宋体" w:cs="宋体"/>
          <w:spacing w:val="-4"/>
          <w:sz w:val="24"/>
          <w:szCs w:val="24"/>
        </w:rPr>
        <w:t>一般防渗区根据《石油化工工程防渗技术规范》（</w:t>
      </w:r>
      <w:r>
        <w:rPr>
          <w:rFonts w:ascii="Times New Roman" w:hAnsi="Times New Roman" w:eastAsia="Times New Roman" w:cs="Times New Roman"/>
          <w:spacing w:val="-4"/>
          <w:sz w:val="24"/>
          <w:szCs w:val="24"/>
        </w:rPr>
        <w:t>GB/T50934-2013</w:t>
      </w:r>
      <w:r>
        <w:rPr>
          <w:rFonts w:ascii="宋体" w:hAnsi="宋体" w:eastAsia="宋体" w:cs="宋体"/>
          <w:spacing w:val="-49"/>
          <w:sz w:val="24"/>
          <w:szCs w:val="24"/>
        </w:rPr>
        <w:t>），</w:t>
      </w:r>
      <w:r>
        <w:rPr>
          <w:rFonts w:ascii="宋体" w:hAnsi="宋体" w:eastAsia="宋体" w:cs="宋体"/>
          <w:spacing w:val="-4"/>
          <w:sz w:val="24"/>
          <w:szCs w:val="24"/>
        </w:rPr>
        <w:t>一般污染防</w:t>
      </w:r>
      <w:r>
        <w:rPr>
          <w:rFonts w:ascii="宋体" w:hAnsi="宋体" w:eastAsia="宋体" w:cs="宋体"/>
          <w:spacing w:val="1"/>
          <w:sz w:val="24"/>
          <w:szCs w:val="24"/>
        </w:rPr>
        <w:t xml:space="preserve"> </w:t>
      </w:r>
      <w:r>
        <w:rPr>
          <w:rFonts w:ascii="宋体" w:hAnsi="宋体" w:eastAsia="宋体" w:cs="宋体"/>
          <w:spacing w:val="-7"/>
          <w:sz w:val="24"/>
          <w:szCs w:val="24"/>
        </w:rPr>
        <w:t>治区防渗层要求不应低于</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1.5m</w:t>
      </w:r>
      <w:r>
        <w:rPr>
          <w:rFonts w:ascii="宋体" w:hAnsi="宋体" w:eastAsia="宋体" w:cs="宋体"/>
          <w:spacing w:val="-7"/>
          <w:sz w:val="24"/>
          <w:szCs w:val="24"/>
        </w:rPr>
        <w:t>厚、渗透系数为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1.0</w:t>
      </w:r>
      <w:r>
        <w:rPr>
          <w:rFonts w:ascii="宋体" w:hAnsi="宋体" w:eastAsia="宋体" w:cs="宋体"/>
          <w:spacing w:val="-7"/>
          <w:sz w:val="24"/>
          <w:szCs w:val="24"/>
        </w:rPr>
        <w:t>×</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position w:val="9"/>
          <w:sz w:val="16"/>
          <w:szCs w:val="16"/>
        </w:rPr>
        <w:t>-7</w:t>
      </w:r>
      <w:r>
        <w:rPr>
          <w:rFonts w:ascii="Times New Roman" w:hAnsi="Times New Roman" w:eastAsia="Times New Roman" w:cs="Times New Roman"/>
          <w:spacing w:val="-7"/>
          <w:sz w:val="24"/>
          <w:szCs w:val="24"/>
        </w:rPr>
        <w:t>cm/s</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。一般防渗区地坪：</w:t>
      </w:r>
      <w:r>
        <w:rPr>
          <w:rFonts w:ascii="宋体" w:hAnsi="宋体" w:eastAsia="宋体" w:cs="宋体"/>
          <w:spacing w:val="53"/>
          <w:sz w:val="24"/>
          <w:szCs w:val="24"/>
        </w:rPr>
        <w:t xml:space="preserve"> </w:t>
      </w:r>
      <w:r>
        <w:rPr>
          <w:rFonts w:ascii="宋体" w:hAnsi="宋体" w:eastAsia="宋体" w:cs="宋体"/>
          <w:spacing w:val="-7"/>
          <w:sz w:val="24"/>
          <w:szCs w:val="24"/>
        </w:rPr>
        <w:t>通过</w:t>
      </w:r>
      <w:r>
        <w:rPr>
          <w:rFonts w:ascii="宋体" w:hAnsi="宋体" w:eastAsia="宋体" w:cs="宋体"/>
          <w:sz w:val="24"/>
          <w:szCs w:val="24"/>
        </w:rPr>
        <w:t xml:space="preserve"> </w:t>
      </w:r>
      <w:r>
        <w:rPr>
          <w:rFonts w:ascii="宋体" w:hAnsi="宋体" w:eastAsia="宋体" w:cs="宋体"/>
          <w:spacing w:val="-3"/>
          <w:sz w:val="24"/>
          <w:szCs w:val="24"/>
        </w:rPr>
        <w:t>在混凝土面层中掺水泥基渗透结晶型防水剂， 其下铺砌砂石基层，原土夯实达</w:t>
      </w:r>
      <w:r>
        <w:rPr>
          <w:rFonts w:ascii="宋体" w:hAnsi="宋体" w:eastAsia="宋体" w:cs="宋体"/>
          <w:spacing w:val="-4"/>
          <w:sz w:val="24"/>
          <w:szCs w:val="24"/>
        </w:rPr>
        <w:t>到防渗</w:t>
      </w:r>
      <w:r>
        <w:rPr>
          <w:rFonts w:ascii="宋体" w:hAnsi="宋体" w:eastAsia="宋体" w:cs="宋体"/>
          <w:sz w:val="24"/>
          <w:szCs w:val="24"/>
        </w:rPr>
        <w:t xml:space="preserve"> 的目的。对于混凝土中间的伸缩缝和实体基础的缝隙，通过填充柔性材料达到防渗目</w:t>
      </w:r>
    </w:p>
    <w:p>
      <w:pPr>
        <w:spacing w:before="1" w:line="222" w:lineRule="auto"/>
        <w:ind w:left="24"/>
        <w:rPr>
          <w:rFonts w:ascii="宋体" w:hAnsi="宋体" w:eastAsia="宋体" w:cs="宋体"/>
          <w:sz w:val="24"/>
          <w:szCs w:val="24"/>
        </w:rPr>
      </w:pPr>
      <w:r>
        <w:rPr>
          <w:rFonts w:ascii="宋体" w:hAnsi="宋体" w:eastAsia="宋体" w:cs="宋体"/>
          <w:spacing w:val="-16"/>
          <w:sz w:val="24"/>
          <w:szCs w:val="24"/>
        </w:rPr>
        <w:t>的。</w:t>
      </w:r>
    </w:p>
    <w:p>
      <w:pPr>
        <w:spacing w:before="178" w:line="219" w:lineRule="auto"/>
        <w:ind w:left="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）简单防渗区</w:t>
      </w:r>
    </w:p>
    <w:p>
      <w:pPr>
        <w:spacing w:before="184" w:line="219" w:lineRule="auto"/>
        <w:ind w:left="489"/>
        <w:rPr>
          <w:rFonts w:ascii="宋体" w:hAnsi="宋体" w:eastAsia="宋体" w:cs="宋体"/>
          <w:sz w:val="24"/>
          <w:szCs w:val="24"/>
        </w:rPr>
      </w:pPr>
      <w:r>
        <w:rPr>
          <w:rFonts w:ascii="宋体" w:hAnsi="宋体" w:eastAsia="宋体" w:cs="宋体"/>
          <w:spacing w:val="-3"/>
          <w:sz w:val="24"/>
          <w:szCs w:val="24"/>
        </w:rPr>
        <w:t>简单防渗区，满足一般地面硬化防渗技术要求。</w:t>
      </w:r>
    </w:p>
    <w:p>
      <w:pPr>
        <w:spacing w:before="182" w:line="220" w:lineRule="auto"/>
        <w:jc w:val="right"/>
        <w:rPr>
          <w:rFonts w:ascii="宋体" w:hAnsi="宋体" w:eastAsia="宋体" w:cs="宋体"/>
          <w:sz w:val="24"/>
          <w:szCs w:val="24"/>
        </w:rPr>
      </w:pPr>
      <w:r>
        <w:rPr>
          <w:rFonts w:ascii="宋体" w:hAnsi="宋体" w:eastAsia="宋体" w:cs="宋体"/>
          <w:spacing w:val="-4"/>
          <w:sz w:val="24"/>
          <w:szCs w:val="24"/>
        </w:rPr>
        <w:t>以上防渗措施均按相关要求和规定执行。池体建设完毕后，用清水进行试漏， 在</w:t>
      </w:r>
    </w:p>
    <w:p>
      <w:pPr>
        <w:spacing w:line="220" w:lineRule="auto"/>
        <w:rPr>
          <w:rFonts w:ascii="宋体" w:hAnsi="宋体" w:eastAsia="宋体" w:cs="宋体"/>
          <w:sz w:val="24"/>
          <w:szCs w:val="24"/>
        </w:rPr>
        <w:sectPr>
          <w:footerReference r:id="rId194" w:type="default"/>
          <w:pgSz w:w="11907" w:h="16839"/>
          <w:pgMar w:top="400" w:right="1414" w:bottom="1151" w:left="1593"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469" w:lineRule="exact"/>
        <w:ind w:left="4"/>
        <w:rPr>
          <w:rFonts w:ascii="宋体" w:hAnsi="宋体" w:eastAsia="宋体" w:cs="宋体"/>
          <w:sz w:val="24"/>
          <w:szCs w:val="24"/>
        </w:rPr>
      </w:pPr>
      <w:r>
        <w:rPr>
          <w:rFonts w:ascii="宋体" w:hAnsi="宋体" w:eastAsia="宋体" w:cs="宋体"/>
          <w:position w:val="17"/>
          <w:sz w:val="24"/>
          <w:szCs w:val="24"/>
        </w:rPr>
        <w:t>无渗漏的前提下方可投入使用。工程采取以上措施后，在一定程度上可以切断地下水</w:t>
      </w:r>
    </w:p>
    <w:p>
      <w:pPr>
        <w:spacing w:line="219" w:lineRule="auto"/>
        <w:ind w:left="22"/>
        <w:rPr>
          <w:rFonts w:ascii="宋体" w:hAnsi="宋体" w:eastAsia="宋体" w:cs="宋体"/>
          <w:sz w:val="24"/>
          <w:szCs w:val="24"/>
        </w:rPr>
      </w:pPr>
      <w:r>
        <w:rPr>
          <w:rFonts w:ascii="宋体" w:hAnsi="宋体" w:eastAsia="宋体" w:cs="宋体"/>
          <w:spacing w:val="-5"/>
          <w:sz w:val="24"/>
          <w:szCs w:val="24"/>
        </w:rPr>
        <w:t>的污染途径，措施有效可行。</w:t>
      </w:r>
    </w:p>
    <w:p>
      <w:pPr>
        <w:spacing w:before="182" w:line="220" w:lineRule="auto"/>
        <w:ind w:left="482"/>
        <w:rPr>
          <w:rFonts w:ascii="宋体" w:hAnsi="宋体" w:eastAsia="宋体" w:cs="宋体"/>
          <w:sz w:val="24"/>
          <w:szCs w:val="24"/>
        </w:rPr>
      </w:pPr>
      <w:r>
        <w:rPr>
          <w:rFonts w:ascii="宋体" w:hAnsi="宋体" w:eastAsia="宋体" w:cs="宋体"/>
          <w:spacing w:val="-3"/>
          <w:sz w:val="24"/>
          <w:szCs w:val="24"/>
        </w:rPr>
        <w:t>井场具体分区防渗方案见表</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4.2-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03" w:line="220" w:lineRule="auto"/>
        <w:ind w:left="2605"/>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4.2-1    </w:t>
      </w:r>
      <w:r>
        <w:rPr>
          <w:rFonts w:ascii="宋体" w:hAnsi="宋体" w:eastAsia="宋体" w:cs="宋体"/>
          <w:spacing w:val="-1"/>
          <w:sz w:val="24"/>
          <w:szCs w:val="24"/>
          <w14:textOutline w14:w="4354" w14:cap="flat" w14:cmpd="sng">
            <w14:solidFill>
              <w14:srgbClr w14:val="000000"/>
            </w14:solidFill>
            <w14:prstDash w14:val="solid"/>
            <w14:miter w14:val="10"/>
          </w14:textOutline>
        </w:rPr>
        <w:t>项目分区防渗方案一览表</w:t>
      </w:r>
    </w:p>
    <w:p>
      <w:pPr>
        <w:spacing w:line="145" w:lineRule="exact"/>
      </w:pPr>
    </w:p>
    <w:tbl>
      <w:tblPr>
        <w:tblStyle w:val="5"/>
        <w:tblW w:w="8857"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2410"/>
        <w:gridCol w:w="2722"/>
        <w:gridCol w:w="2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1433" w:type="dxa"/>
            <w:tcBorders>
              <w:top w:val="single" w:color="000000" w:sz="10" w:space="0"/>
              <w:left w:val="nil"/>
            </w:tcBorders>
            <w:vAlign w:val="top"/>
          </w:tcPr>
          <w:p>
            <w:pPr>
              <w:pStyle w:val="6"/>
              <w:spacing w:before="56" w:line="247" w:lineRule="auto"/>
              <w:ind w:left="521" w:right="177" w:hanging="315"/>
              <w:rPr>
                <w:sz w:val="21"/>
                <w:szCs w:val="21"/>
              </w:rPr>
            </w:pPr>
            <w:r>
              <w:rPr>
                <w:rFonts w:hint="eastAsia"/>
                <w:spacing w:val="-2"/>
                <w:sz w:val="21"/>
                <w:szCs w:val="21"/>
              </w:rPr>
              <w:t>污染防治</w:t>
            </w:r>
            <w:r>
              <w:rPr>
                <w:spacing w:val="-2"/>
                <w:sz w:val="21"/>
                <w:szCs w:val="21"/>
              </w:rPr>
              <w:t>区</w:t>
            </w:r>
            <w:r>
              <w:rPr>
                <w:spacing w:val="2"/>
                <w:sz w:val="21"/>
                <w:szCs w:val="21"/>
              </w:rPr>
              <w:t xml:space="preserve"> </w:t>
            </w:r>
            <w:r>
              <w:rPr>
                <w:spacing w:val="-2"/>
                <w:sz w:val="21"/>
                <w:szCs w:val="21"/>
              </w:rPr>
              <w:t>类别</w:t>
            </w:r>
          </w:p>
        </w:tc>
        <w:tc>
          <w:tcPr>
            <w:tcW w:w="2410" w:type="dxa"/>
            <w:tcBorders>
              <w:top w:val="single" w:color="000000" w:sz="10" w:space="0"/>
            </w:tcBorders>
            <w:vAlign w:val="top"/>
          </w:tcPr>
          <w:p>
            <w:pPr>
              <w:pStyle w:val="6"/>
              <w:spacing w:before="211" w:line="221" w:lineRule="auto"/>
              <w:ind w:left="589"/>
              <w:rPr>
                <w:sz w:val="21"/>
                <w:szCs w:val="21"/>
              </w:rPr>
            </w:pPr>
            <w:r>
              <w:rPr>
                <w:spacing w:val="-3"/>
                <w:sz w:val="21"/>
                <w:szCs w:val="21"/>
              </w:rPr>
              <w:t>防渗性能要求</w:t>
            </w:r>
          </w:p>
        </w:tc>
        <w:tc>
          <w:tcPr>
            <w:tcW w:w="2722" w:type="dxa"/>
            <w:tcBorders>
              <w:top w:val="single" w:color="000000" w:sz="10" w:space="0"/>
            </w:tcBorders>
            <w:vAlign w:val="top"/>
          </w:tcPr>
          <w:p>
            <w:pPr>
              <w:pStyle w:val="6"/>
              <w:spacing w:before="211" w:line="221" w:lineRule="auto"/>
              <w:ind w:left="943"/>
              <w:rPr>
                <w:sz w:val="21"/>
                <w:szCs w:val="21"/>
              </w:rPr>
            </w:pPr>
            <w:r>
              <w:rPr>
                <w:spacing w:val="-2"/>
                <w:sz w:val="21"/>
                <w:szCs w:val="21"/>
              </w:rPr>
              <w:t>单元名称</w:t>
            </w:r>
          </w:p>
        </w:tc>
        <w:tc>
          <w:tcPr>
            <w:tcW w:w="2292" w:type="dxa"/>
            <w:tcBorders>
              <w:top w:val="single" w:color="000000" w:sz="10" w:space="0"/>
              <w:right w:val="nil"/>
            </w:tcBorders>
            <w:vAlign w:val="top"/>
          </w:tcPr>
          <w:p>
            <w:pPr>
              <w:pStyle w:val="6"/>
              <w:spacing w:before="210" w:line="221" w:lineRule="auto"/>
              <w:ind w:left="201"/>
              <w:rPr>
                <w:sz w:val="21"/>
                <w:szCs w:val="21"/>
              </w:rPr>
            </w:pPr>
            <w:r>
              <w:rPr>
                <w:rFonts w:hint="eastAsia"/>
                <w:spacing w:val="-1"/>
                <w:sz w:val="21"/>
                <w:szCs w:val="21"/>
              </w:rPr>
              <w:t>污染防治</w:t>
            </w:r>
            <w:r>
              <w:rPr>
                <w:spacing w:val="-1"/>
                <w:sz w:val="21"/>
                <w:szCs w:val="21"/>
              </w:rPr>
              <w:t>区域或部位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433" w:type="dxa"/>
            <w:vMerge w:val="restart"/>
            <w:tcBorders>
              <w:left w:val="nil"/>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8" w:line="221" w:lineRule="auto"/>
              <w:ind w:left="205"/>
              <w:rPr>
                <w:sz w:val="21"/>
                <w:szCs w:val="21"/>
              </w:rPr>
            </w:pPr>
            <w:r>
              <w:rPr>
                <w:spacing w:val="-2"/>
                <w:sz w:val="21"/>
                <w:szCs w:val="21"/>
              </w:rPr>
              <w:t>重点防渗区</w:t>
            </w:r>
          </w:p>
        </w:tc>
        <w:tc>
          <w:tcPr>
            <w:tcW w:w="241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9" w:line="257" w:lineRule="auto"/>
              <w:ind w:left="111" w:right="102" w:firstLine="15"/>
              <w:rPr>
                <w:sz w:val="21"/>
                <w:szCs w:val="21"/>
              </w:rPr>
            </w:pPr>
            <w:r>
              <w:rPr>
                <w:spacing w:val="-4"/>
                <w:sz w:val="21"/>
                <w:szCs w:val="21"/>
              </w:rPr>
              <w:t>满足不应低于</w:t>
            </w:r>
            <w:r>
              <w:rPr>
                <w:spacing w:val="-43"/>
                <w:sz w:val="21"/>
                <w:szCs w:val="21"/>
              </w:rPr>
              <w:t xml:space="preserve"> </w:t>
            </w:r>
            <w:r>
              <w:rPr>
                <w:rFonts w:ascii="Times New Roman" w:hAnsi="Times New Roman" w:eastAsia="Times New Roman" w:cs="Times New Roman"/>
                <w:spacing w:val="-4"/>
                <w:sz w:val="21"/>
                <w:szCs w:val="21"/>
              </w:rPr>
              <w:t>6.0m</w:t>
            </w:r>
            <w:r>
              <w:rPr>
                <w:spacing w:val="-4"/>
                <w:sz w:val="21"/>
                <w:szCs w:val="21"/>
              </w:rPr>
              <w:t>厚、</w:t>
            </w:r>
            <w:r>
              <w:rPr>
                <w:sz w:val="21"/>
                <w:szCs w:val="21"/>
              </w:rPr>
              <w:t xml:space="preserve"> </w:t>
            </w:r>
            <w:r>
              <w:rPr>
                <w:spacing w:val="-2"/>
                <w:sz w:val="21"/>
                <w:szCs w:val="21"/>
              </w:rPr>
              <w:t>渗透系数为</w:t>
            </w:r>
            <w:r>
              <w:rPr>
                <w:spacing w:val="-33"/>
                <w:sz w:val="21"/>
                <w:szCs w:val="21"/>
              </w:rPr>
              <w:t xml:space="preserve"> </w:t>
            </w:r>
            <w:r>
              <w:rPr>
                <w:rFonts w:ascii="Times New Roman" w:hAnsi="Times New Roman" w:eastAsia="Times New Roman" w:cs="Times New Roman"/>
                <w:spacing w:val="-2"/>
                <w:sz w:val="21"/>
                <w:szCs w:val="21"/>
              </w:rPr>
              <w:t>1.0×10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spacing w:val="-2"/>
                <w:sz w:val="21"/>
                <w:szCs w:val="21"/>
              </w:rPr>
              <w:t>cm/s</w:t>
            </w:r>
            <w:r>
              <w:rPr>
                <w:rFonts w:ascii="Times New Roman" w:hAnsi="Times New Roman" w:eastAsia="Times New Roman" w:cs="Times New Roman"/>
                <w:sz w:val="21"/>
                <w:szCs w:val="21"/>
              </w:rPr>
              <w:t xml:space="preserve"> </w:t>
            </w:r>
            <w:r>
              <w:rPr>
                <w:spacing w:val="4"/>
                <w:sz w:val="21"/>
                <w:szCs w:val="21"/>
              </w:rPr>
              <w:t>的等效黏土层的防渗性</w:t>
            </w:r>
          </w:p>
          <w:p>
            <w:pPr>
              <w:pStyle w:val="6"/>
              <w:spacing w:before="61" w:line="222" w:lineRule="auto"/>
              <w:ind w:left="1110"/>
              <w:rPr>
                <w:sz w:val="21"/>
                <w:szCs w:val="21"/>
              </w:rPr>
            </w:pPr>
            <w:r>
              <w:rPr>
                <w:sz w:val="21"/>
                <w:szCs w:val="21"/>
              </w:rPr>
              <w:t>能</w:t>
            </w:r>
          </w:p>
        </w:tc>
        <w:tc>
          <w:tcPr>
            <w:tcW w:w="2722" w:type="dxa"/>
            <w:vAlign w:val="top"/>
          </w:tcPr>
          <w:p>
            <w:pPr>
              <w:pStyle w:val="6"/>
              <w:spacing w:before="52" w:line="247" w:lineRule="auto"/>
              <w:ind w:left="107" w:right="103"/>
              <w:rPr>
                <w:sz w:val="21"/>
                <w:szCs w:val="21"/>
              </w:rPr>
            </w:pPr>
            <w:r>
              <w:rPr>
                <w:spacing w:val="-2"/>
                <w:sz w:val="21"/>
                <w:szCs w:val="21"/>
              </w:rPr>
              <w:t>井场内井口、井架及设备基</w:t>
            </w:r>
            <w:r>
              <w:rPr>
                <w:spacing w:val="3"/>
                <w:sz w:val="21"/>
                <w:szCs w:val="21"/>
              </w:rPr>
              <w:t xml:space="preserve"> </w:t>
            </w:r>
            <w:r>
              <w:rPr>
                <w:spacing w:val="-3"/>
                <w:sz w:val="21"/>
                <w:szCs w:val="21"/>
              </w:rPr>
              <w:t>础区域、泥浆循环系统区、</w:t>
            </w:r>
          </w:p>
          <w:p>
            <w:pPr>
              <w:pStyle w:val="6"/>
              <w:spacing w:before="60" w:line="220" w:lineRule="auto"/>
              <w:ind w:left="626"/>
              <w:rPr>
                <w:sz w:val="21"/>
                <w:szCs w:val="21"/>
              </w:rPr>
            </w:pPr>
            <w:r>
              <w:rPr>
                <w:spacing w:val="-1"/>
                <w:sz w:val="21"/>
                <w:szCs w:val="21"/>
              </w:rPr>
              <w:t>泥浆材料堆存区</w:t>
            </w:r>
          </w:p>
        </w:tc>
        <w:tc>
          <w:tcPr>
            <w:tcW w:w="2292" w:type="dxa"/>
            <w:tcBorders>
              <w:right w:val="nil"/>
            </w:tcBorders>
            <w:vAlign w:val="top"/>
          </w:tcPr>
          <w:p>
            <w:pPr>
              <w:spacing w:line="293" w:lineRule="auto"/>
              <w:rPr>
                <w:rFonts w:ascii="Arial"/>
                <w:sz w:val="21"/>
              </w:rPr>
            </w:pPr>
          </w:p>
          <w:p>
            <w:pPr>
              <w:pStyle w:val="6"/>
              <w:spacing w:before="68" w:line="222" w:lineRule="auto"/>
              <w:ind w:left="936"/>
              <w:rPr>
                <w:sz w:val="21"/>
                <w:szCs w:val="21"/>
              </w:rPr>
            </w:pPr>
            <w:r>
              <w:rPr>
                <w:spacing w:val="-2"/>
                <w:sz w:val="21"/>
                <w:szCs w:val="21"/>
              </w:rPr>
              <w:t>地面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33" w:type="dxa"/>
            <w:vMerge w:val="continue"/>
            <w:tcBorders>
              <w:top w:val="nil"/>
              <w:left w:val="nil"/>
              <w:bottom w:val="nil"/>
            </w:tcBorders>
            <w:vAlign w:val="top"/>
          </w:tcPr>
          <w:p>
            <w:pPr>
              <w:rPr>
                <w:rFonts w:ascii="Arial"/>
                <w:sz w:val="21"/>
              </w:rPr>
            </w:pPr>
          </w:p>
        </w:tc>
        <w:tc>
          <w:tcPr>
            <w:tcW w:w="2410" w:type="dxa"/>
            <w:vMerge w:val="continue"/>
            <w:tcBorders>
              <w:top w:val="nil"/>
              <w:bottom w:val="nil"/>
            </w:tcBorders>
            <w:vAlign w:val="top"/>
          </w:tcPr>
          <w:p>
            <w:pPr>
              <w:rPr>
                <w:rFonts w:ascii="Arial"/>
                <w:sz w:val="21"/>
              </w:rPr>
            </w:pPr>
          </w:p>
        </w:tc>
        <w:tc>
          <w:tcPr>
            <w:tcW w:w="2722" w:type="dxa"/>
            <w:vAlign w:val="top"/>
          </w:tcPr>
          <w:p>
            <w:pPr>
              <w:pStyle w:val="6"/>
              <w:spacing w:before="212" w:line="221" w:lineRule="auto"/>
              <w:ind w:left="733"/>
              <w:rPr>
                <w:sz w:val="21"/>
                <w:szCs w:val="21"/>
              </w:rPr>
            </w:pPr>
            <w:r>
              <w:rPr>
                <w:spacing w:val="-2"/>
                <w:sz w:val="21"/>
                <w:szCs w:val="21"/>
              </w:rPr>
              <w:t>油罐、水罐区</w:t>
            </w:r>
          </w:p>
        </w:tc>
        <w:tc>
          <w:tcPr>
            <w:tcW w:w="2292" w:type="dxa"/>
            <w:tcBorders>
              <w:right w:val="nil"/>
            </w:tcBorders>
            <w:vAlign w:val="top"/>
          </w:tcPr>
          <w:p>
            <w:pPr>
              <w:pStyle w:val="6"/>
              <w:spacing w:before="58" w:line="246" w:lineRule="auto"/>
              <w:ind w:left="518" w:right="107" w:hanging="410"/>
              <w:rPr>
                <w:sz w:val="21"/>
                <w:szCs w:val="21"/>
              </w:rPr>
            </w:pPr>
            <w:r>
              <w:rPr>
                <w:spacing w:val="-3"/>
                <w:sz w:val="21"/>
                <w:szCs w:val="21"/>
              </w:rPr>
              <w:t>地面、围堰、四周及底</w:t>
            </w:r>
            <w:r>
              <w:rPr>
                <w:sz w:val="21"/>
                <w:szCs w:val="21"/>
              </w:rPr>
              <w:t xml:space="preserve"> </w:t>
            </w:r>
            <w:r>
              <w:rPr>
                <w:spacing w:val="-2"/>
                <w:sz w:val="21"/>
                <w:szCs w:val="21"/>
              </w:rPr>
              <w:t>部、防渗罐体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33" w:type="dxa"/>
            <w:vMerge w:val="continue"/>
            <w:tcBorders>
              <w:top w:val="nil"/>
              <w:left w:val="nil"/>
              <w:bottom w:val="nil"/>
            </w:tcBorders>
            <w:vAlign w:val="top"/>
          </w:tcPr>
          <w:p>
            <w:pPr>
              <w:rPr>
                <w:rFonts w:ascii="Arial"/>
                <w:sz w:val="21"/>
              </w:rPr>
            </w:pPr>
          </w:p>
        </w:tc>
        <w:tc>
          <w:tcPr>
            <w:tcW w:w="2410" w:type="dxa"/>
            <w:vMerge w:val="continue"/>
            <w:tcBorders>
              <w:top w:val="nil"/>
              <w:bottom w:val="nil"/>
            </w:tcBorders>
            <w:vAlign w:val="top"/>
          </w:tcPr>
          <w:p>
            <w:pPr>
              <w:rPr>
                <w:rFonts w:ascii="Arial"/>
                <w:sz w:val="21"/>
              </w:rPr>
            </w:pPr>
          </w:p>
        </w:tc>
        <w:tc>
          <w:tcPr>
            <w:tcW w:w="2722" w:type="dxa"/>
            <w:vAlign w:val="top"/>
          </w:tcPr>
          <w:p>
            <w:pPr>
              <w:pStyle w:val="6"/>
              <w:spacing w:before="58" w:line="218" w:lineRule="auto"/>
              <w:ind w:left="1044"/>
              <w:rPr>
                <w:sz w:val="21"/>
                <w:szCs w:val="21"/>
              </w:rPr>
            </w:pPr>
            <w:r>
              <w:rPr>
                <w:spacing w:val="-2"/>
                <w:sz w:val="21"/>
                <w:szCs w:val="21"/>
              </w:rPr>
              <w:t>应急池</w:t>
            </w:r>
          </w:p>
        </w:tc>
        <w:tc>
          <w:tcPr>
            <w:tcW w:w="2292" w:type="dxa"/>
            <w:tcBorders>
              <w:right w:val="nil"/>
            </w:tcBorders>
            <w:vAlign w:val="top"/>
          </w:tcPr>
          <w:p>
            <w:pPr>
              <w:pStyle w:val="6"/>
              <w:spacing w:before="58" w:line="218" w:lineRule="auto"/>
              <w:ind w:left="619"/>
              <w:rPr>
                <w:sz w:val="21"/>
                <w:szCs w:val="21"/>
              </w:rPr>
            </w:pPr>
            <w:r>
              <w:rPr>
                <w:spacing w:val="-1"/>
                <w:sz w:val="21"/>
                <w:szCs w:val="21"/>
              </w:rPr>
              <w:t>池底及池壁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33" w:type="dxa"/>
            <w:vMerge w:val="continue"/>
            <w:tcBorders>
              <w:top w:val="nil"/>
              <w:left w:val="nil"/>
              <w:bottom w:val="nil"/>
            </w:tcBorders>
            <w:vAlign w:val="top"/>
          </w:tcPr>
          <w:p>
            <w:pPr>
              <w:rPr>
                <w:rFonts w:ascii="Arial"/>
                <w:sz w:val="21"/>
              </w:rPr>
            </w:pPr>
          </w:p>
        </w:tc>
        <w:tc>
          <w:tcPr>
            <w:tcW w:w="2410" w:type="dxa"/>
            <w:vMerge w:val="continue"/>
            <w:tcBorders>
              <w:top w:val="nil"/>
              <w:bottom w:val="nil"/>
            </w:tcBorders>
            <w:vAlign w:val="top"/>
          </w:tcPr>
          <w:p>
            <w:pPr>
              <w:rPr>
                <w:rFonts w:ascii="Arial"/>
                <w:sz w:val="21"/>
              </w:rPr>
            </w:pPr>
          </w:p>
        </w:tc>
        <w:tc>
          <w:tcPr>
            <w:tcW w:w="2722" w:type="dxa"/>
            <w:vAlign w:val="top"/>
          </w:tcPr>
          <w:p>
            <w:pPr>
              <w:pStyle w:val="6"/>
              <w:spacing w:before="59" w:line="216" w:lineRule="auto"/>
              <w:ind w:left="625"/>
              <w:rPr>
                <w:sz w:val="21"/>
                <w:szCs w:val="21"/>
              </w:rPr>
            </w:pPr>
            <w:r>
              <w:rPr>
                <w:spacing w:val="-1"/>
                <w:sz w:val="21"/>
                <w:szCs w:val="21"/>
              </w:rPr>
              <w:t>燃烧池、集酸池</w:t>
            </w:r>
          </w:p>
        </w:tc>
        <w:tc>
          <w:tcPr>
            <w:tcW w:w="2292" w:type="dxa"/>
            <w:tcBorders>
              <w:right w:val="nil"/>
            </w:tcBorders>
            <w:vAlign w:val="top"/>
          </w:tcPr>
          <w:p>
            <w:pPr>
              <w:pStyle w:val="6"/>
              <w:spacing w:before="59" w:line="216" w:lineRule="auto"/>
              <w:ind w:left="619"/>
              <w:rPr>
                <w:sz w:val="21"/>
                <w:szCs w:val="21"/>
              </w:rPr>
            </w:pPr>
            <w:r>
              <w:rPr>
                <w:spacing w:val="-1"/>
                <w:sz w:val="21"/>
                <w:szCs w:val="21"/>
              </w:rPr>
              <w:t>池底及池壁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433" w:type="dxa"/>
            <w:vMerge w:val="continue"/>
            <w:tcBorders>
              <w:top w:val="nil"/>
              <w:left w:val="nil"/>
              <w:bottom w:val="nil"/>
            </w:tcBorders>
            <w:vAlign w:val="top"/>
          </w:tcPr>
          <w:p>
            <w:pPr>
              <w:rPr>
                <w:rFonts w:ascii="Arial"/>
                <w:sz w:val="21"/>
              </w:rPr>
            </w:pPr>
          </w:p>
        </w:tc>
        <w:tc>
          <w:tcPr>
            <w:tcW w:w="2410" w:type="dxa"/>
            <w:vMerge w:val="continue"/>
            <w:tcBorders>
              <w:top w:val="nil"/>
              <w:bottom w:val="nil"/>
            </w:tcBorders>
            <w:vAlign w:val="top"/>
          </w:tcPr>
          <w:p>
            <w:pPr>
              <w:rPr>
                <w:rFonts w:ascii="Arial"/>
                <w:sz w:val="21"/>
              </w:rPr>
            </w:pPr>
          </w:p>
        </w:tc>
        <w:tc>
          <w:tcPr>
            <w:tcW w:w="2722" w:type="dxa"/>
            <w:vAlign w:val="top"/>
          </w:tcPr>
          <w:p>
            <w:pPr>
              <w:pStyle w:val="6"/>
              <w:spacing w:before="215" w:line="221" w:lineRule="auto"/>
              <w:ind w:left="521"/>
              <w:rPr>
                <w:sz w:val="21"/>
                <w:szCs w:val="21"/>
              </w:rPr>
            </w:pPr>
            <w:r>
              <w:rPr>
                <w:spacing w:val="-1"/>
                <w:sz w:val="21"/>
                <w:szCs w:val="21"/>
              </w:rPr>
              <w:t>清洁生产操作平台</w:t>
            </w:r>
          </w:p>
        </w:tc>
        <w:tc>
          <w:tcPr>
            <w:tcW w:w="2292" w:type="dxa"/>
            <w:tcBorders>
              <w:right w:val="nil"/>
            </w:tcBorders>
            <w:vAlign w:val="top"/>
          </w:tcPr>
          <w:p>
            <w:pPr>
              <w:pStyle w:val="6"/>
              <w:spacing w:before="60" w:line="244" w:lineRule="auto"/>
              <w:ind w:left="1041" w:right="107" w:hanging="933"/>
              <w:rPr>
                <w:sz w:val="21"/>
                <w:szCs w:val="21"/>
              </w:rPr>
            </w:pPr>
            <w:r>
              <w:rPr>
                <w:spacing w:val="-3"/>
                <w:sz w:val="21"/>
                <w:szCs w:val="21"/>
              </w:rPr>
              <w:t>地面、围堰、四周及底</w:t>
            </w:r>
            <w:r>
              <w:rPr>
                <w:sz w:val="21"/>
                <w:szCs w:val="21"/>
              </w:rPr>
              <w:t xml:space="preserve"> 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33" w:type="dxa"/>
            <w:vMerge w:val="continue"/>
            <w:tcBorders>
              <w:top w:val="nil"/>
              <w:left w:val="nil"/>
              <w:bottom w:val="nil"/>
            </w:tcBorders>
            <w:vAlign w:val="top"/>
          </w:tcPr>
          <w:p>
            <w:pPr>
              <w:rPr>
                <w:rFonts w:ascii="Arial"/>
                <w:sz w:val="21"/>
              </w:rPr>
            </w:pPr>
          </w:p>
        </w:tc>
        <w:tc>
          <w:tcPr>
            <w:tcW w:w="2410" w:type="dxa"/>
            <w:vMerge w:val="continue"/>
            <w:tcBorders>
              <w:top w:val="nil"/>
              <w:bottom w:val="nil"/>
            </w:tcBorders>
            <w:vAlign w:val="top"/>
          </w:tcPr>
          <w:p>
            <w:pPr>
              <w:rPr>
                <w:rFonts w:ascii="Arial"/>
                <w:sz w:val="21"/>
              </w:rPr>
            </w:pPr>
          </w:p>
        </w:tc>
        <w:tc>
          <w:tcPr>
            <w:tcW w:w="2722" w:type="dxa"/>
            <w:vAlign w:val="top"/>
          </w:tcPr>
          <w:p>
            <w:pPr>
              <w:pStyle w:val="6"/>
              <w:spacing w:before="220" w:line="221" w:lineRule="auto"/>
              <w:ind w:left="732"/>
              <w:rPr>
                <w:sz w:val="21"/>
                <w:szCs w:val="21"/>
              </w:rPr>
            </w:pPr>
            <w:r>
              <w:rPr>
                <w:spacing w:val="-2"/>
                <w:sz w:val="21"/>
                <w:szCs w:val="21"/>
              </w:rPr>
              <w:t>泥浆储备罐区</w:t>
            </w:r>
          </w:p>
        </w:tc>
        <w:tc>
          <w:tcPr>
            <w:tcW w:w="2292" w:type="dxa"/>
            <w:tcBorders>
              <w:right w:val="nil"/>
            </w:tcBorders>
            <w:vAlign w:val="top"/>
          </w:tcPr>
          <w:p>
            <w:pPr>
              <w:pStyle w:val="6"/>
              <w:spacing w:before="65" w:line="243" w:lineRule="auto"/>
              <w:ind w:left="518" w:right="107" w:hanging="410"/>
              <w:rPr>
                <w:sz w:val="21"/>
                <w:szCs w:val="21"/>
              </w:rPr>
            </w:pPr>
            <w:r>
              <w:rPr>
                <w:spacing w:val="-3"/>
                <w:sz w:val="21"/>
                <w:szCs w:val="21"/>
              </w:rPr>
              <w:t>地面、围堰、四周及底</w:t>
            </w:r>
            <w:r>
              <w:rPr>
                <w:sz w:val="21"/>
                <w:szCs w:val="21"/>
              </w:rPr>
              <w:t xml:space="preserve"> </w:t>
            </w:r>
            <w:r>
              <w:rPr>
                <w:spacing w:val="-2"/>
                <w:sz w:val="21"/>
                <w:szCs w:val="21"/>
              </w:rPr>
              <w:t>部、防渗罐体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433" w:type="dxa"/>
            <w:vMerge w:val="continue"/>
            <w:tcBorders>
              <w:top w:val="nil"/>
              <w:left w:val="nil"/>
            </w:tcBorders>
            <w:vAlign w:val="top"/>
          </w:tcPr>
          <w:p>
            <w:pPr>
              <w:rPr>
                <w:rFonts w:ascii="Arial"/>
                <w:sz w:val="21"/>
              </w:rPr>
            </w:pPr>
          </w:p>
        </w:tc>
        <w:tc>
          <w:tcPr>
            <w:tcW w:w="2410" w:type="dxa"/>
            <w:vMerge w:val="continue"/>
            <w:tcBorders>
              <w:top w:val="nil"/>
            </w:tcBorders>
            <w:vAlign w:val="top"/>
          </w:tcPr>
          <w:p>
            <w:pPr>
              <w:rPr>
                <w:rFonts w:ascii="Arial"/>
                <w:sz w:val="21"/>
              </w:rPr>
            </w:pPr>
          </w:p>
        </w:tc>
        <w:tc>
          <w:tcPr>
            <w:tcW w:w="2722" w:type="dxa"/>
            <w:vAlign w:val="top"/>
          </w:tcPr>
          <w:p>
            <w:pPr>
              <w:pStyle w:val="6"/>
              <w:spacing w:before="79" w:line="221" w:lineRule="auto"/>
              <w:ind w:left="637"/>
              <w:rPr>
                <w:sz w:val="21"/>
                <w:szCs w:val="21"/>
              </w:rPr>
            </w:pPr>
            <w:r>
              <w:rPr>
                <w:spacing w:val="-3"/>
                <w:sz w:val="21"/>
                <w:szCs w:val="21"/>
              </w:rPr>
              <w:t>隔油池、集液池</w:t>
            </w:r>
          </w:p>
        </w:tc>
        <w:tc>
          <w:tcPr>
            <w:tcW w:w="2292" w:type="dxa"/>
            <w:tcBorders>
              <w:right w:val="nil"/>
            </w:tcBorders>
            <w:vAlign w:val="top"/>
          </w:tcPr>
          <w:p>
            <w:pPr>
              <w:pStyle w:val="6"/>
              <w:spacing w:before="79" w:line="221" w:lineRule="auto"/>
              <w:ind w:left="619"/>
              <w:rPr>
                <w:sz w:val="21"/>
                <w:szCs w:val="21"/>
              </w:rPr>
            </w:pPr>
            <w:r>
              <w:rPr>
                <w:spacing w:val="-1"/>
                <w:sz w:val="21"/>
                <w:szCs w:val="21"/>
              </w:rPr>
              <w:t>池底及池壁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33" w:type="dxa"/>
            <w:vMerge w:val="restart"/>
            <w:tcBorders>
              <w:left w:val="nil"/>
              <w:bottom w:val="nil"/>
            </w:tcBorders>
            <w:vAlign w:val="top"/>
          </w:tcPr>
          <w:p>
            <w:pPr>
              <w:spacing w:line="466" w:lineRule="auto"/>
              <w:rPr>
                <w:rFonts w:ascii="Arial"/>
                <w:sz w:val="21"/>
              </w:rPr>
            </w:pPr>
          </w:p>
          <w:p>
            <w:pPr>
              <w:pStyle w:val="6"/>
              <w:spacing w:before="69" w:line="221" w:lineRule="auto"/>
              <w:ind w:left="208"/>
              <w:rPr>
                <w:sz w:val="21"/>
                <w:szCs w:val="21"/>
              </w:rPr>
            </w:pPr>
            <w:r>
              <w:rPr>
                <w:spacing w:val="-2"/>
                <w:sz w:val="21"/>
                <w:szCs w:val="21"/>
              </w:rPr>
              <w:t>一般防渗区</w:t>
            </w:r>
          </w:p>
        </w:tc>
        <w:tc>
          <w:tcPr>
            <w:tcW w:w="2410" w:type="dxa"/>
            <w:vMerge w:val="restart"/>
            <w:tcBorders>
              <w:bottom w:val="nil"/>
            </w:tcBorders>
            <w:vAlign w:val="top"/>
          </w:tcPr>
          <w:p>
            <w:pPr>
              <w:pStyle w:val="6"/>
              <w:spacing w:before="70" w:line="256" w:lineRule="auto"/>
              <w:ind w:left="111" w:right="102" w:firstLine="15"/>
              <w:rPr>
                <w:sz w:val="21"/>
                <w:szCs w:val="21"/>
              </w:rPr>
            </w:pPr>
            <w:r>
              <w:rPr>
                <w:spacing w:val="-6"/>
                <w:sz w:val="21"/>
                <w:szCs w:val="21"/>
              </w:rPr>
              <w:t>满足不应低于</w:t>
            </w:r>
            <w:r>
              <w:rPr>
                <w:spacing w:val="-19"/>
                <w:sz w:val="21"/>
                <w:szCs w:val="21"/>
              </w:rPr>
              <w:t xml:space="preserve"> </w:t>
            </w:r>
            <w:r>
              <w:rPr>
                <w:rFonts w:ascii="Times New Roman" w:hAnsi="Times New Roman" w:eastAsia="Times New Roman" w:cs="Times New Roman"/>
                <w:spacing w:val="-6"/>
                <w:sz w:val="21"/>
                <w:szCs w:val="21"/>
              </w:rPr>
              <w:t>1.5m</w:t>
            </w:r>
            <w:r>
              <w:rPr>
                <w:spacing w:val="-6"/>
                <w:sz w:val="21"/>
                <w:szCs w:val="21"/>
              </w:rPr>
              <w:t>厚、</w:t>
            </w:r>
            <w:r>
              <w:rPr>
                <w:sz w:val="21"/>
                <w:szCs w:val="21"/>
              </w:rPr>
              <w:t xml:space="preserve"> </w:t>
            </w:r>
            <w:r>
              <w:rPr>
                <w:spacing w:val="-2"/>
                <w:sz w:val="21"/>
                <w:szCs w:val="21"/>
              </w:rPr>
              <w:t>渗透系数为</w:t>
            </w:r>
            <w:r>
              <w:rPr>
                <w:spacing w:val="-33"/>
                <w:sz w:val="21"/>
                <w:szCs w:val="21"/>
              </w:rPr>
              <w:t xml:space="preserve"> </w:t>
            </w:r>
            <w:r>
              <w:rPr>
                <w:rFonts w:ascii="Times New Roman" w:hAnsi="Times New Roman" w:eastAsia="Times New Roman" w:cs="Times New Roman"/>
                <w:spacing w:val="-2"/>
                <w:sz w:val="21"/>
                <w:szCs w:val="21"/>
              </w:rPr>
              <w:t>1.0×10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spacing w:val="-2"/>
                <w:sz w:val="21"/>
                <w:szCs w:val="21"/>
              </w:rPr>
              <w:t>cm/s</w:t>
            </w:r>
            <w:r>
              <w:rPr>
                <w:rFonts w:ascii="Times New Roman" w:hAnsi="Times New Roman" w:eastAsia="Times New Roman" w:cs="Times New Roman"/>
                <w:sz w:val="21"/>
                <w:szCs w:val="21"/>
              </w:rPr>
              <w:t xml:space="preserve"> </w:t>
            </w:r>
            <w:r>
              <w:rPr>
                <w:spacing w:val="4"/>
                <w:sz w:val="21"/>
                <w:szCs w:val="21"/>
              </w:rPr>
              <w:t>的等效黏土层的防渗性</w:t>
            </w:r>
          </w:p>
          <w:p>
            <w:pPr>
              <w:pStyle w:val="6"/>
              <w:spacing w:before="61" w:line="206" w:lineRule="auto"/>
              <w:ind w:left="1110"/>
              <w:rPr>
                <w:sz w:val="21"/>
                <w:szCs w:val="21"/>
              </w:rPr>
            </w:pPr>
            <w:r>
              <w:rPr>
                <w:sz w:val="21"/>
                <w:szCs w:val="21"/>
              </w:rPr>
              <w:t>能</w:t>
            </w:r>
          </w:p>
        </w:tc>
        <w:tc>
          <w:tcPr>
            <w:tcW w:w="2722" w:type="dxa"/>
            <w:vAlign w:val="top"/>
          </w:tcPr>
          <w:p>
            <w:pPr>
              <w:pStyle w:val="6"/>
              <w:spacing w:before="69" w:line="241" w:lineRule="auto"/>
              <w:ind w:left="415" w:right="103" w:hanging="307"/>
              <w:rPr>
                <w:sz w:val="21"/>
                <w:szCs w:val="21"/>
              </w:rPr>
            </w:pPr>
            <w:r>
              <w:rPr>
                <w:spacing w:val="-2"/>
                <w:sz w:val="21"/>
                <w:szCs w:val="21"/>
              </w:rPr>
              <w:t>井场部分非设备基础区（包</w:t>
            </w:r>
            <w:r>
              <w:rPr>
                <w:spacing w:val="3"/>
                <w:sz w:val="21"/>
                <w:szCs w:val="21"/>
              </w:rPr>
              <w:t xml:space="preserve"> </w:t>
            </w:r>
            <w:r>
              <w:rPr>
                <w:spacing w:val="-2"/>
                <w:sz w:val="21"/>
                <w:szCs w:val="21"/>
              </w:rPr>
              <w:t>括清污分流排水沟）</w:t>
            </w:r>
          </w:p>
        </w:tc>
        <w:tc>
          <w:tcPr>
            <w:tcW w:w="2292" w:type="dxa"/>
            <w:tcBorders>
              <w:right w:val="nil"/>
            </w:tcBorders>
            <w:vAlign w:val="top"/>
          </w:tcPr>
          <w:p>
            <w:pPr>
              <w:pStyle w:val="6"/>
              <w:spacing w:before="225" w:line="221" w:lineRule="auto"/>
              <w:ind w:left="516"/>
              <w:rPr>
                <w:sz w:val="21"/>
                <w:szCs w:val="21"/>
              </w:rPr>
            </w:pPr>
            <w:r>
              <w:rPr>
                <w:spacing w:val="-1"/>
                <w:sz w:val="21"/>
                <w:szCs w:val="21"/>
              </w:rPr>
              <w:t>地面和排水沟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433" w:type="dxa"/>
            <w:vMerge w:val="continue"/>
            <w:tcBorders>
              <w:top w:val="nil"/>
              <w:left w:val="nil"/>
            </w:tcBorders>
            <w:vAlign w:val="top"/>
          </w:tcPr>
          <w:p>
            <w:pPr>
              <w:rPr>
                <w:rFonts w:ascii="Arial"/>
                <w:sz w:val="21"/>
              </w:rPr>
            </w:pPr>
          </w:p>
        </w:tc>
        <w:tc>
          <w:tcPr>
            <w:tcW w:w="2410" w:type="dxa"/>
            <w:vMerge w:val="continue"/>
            <w:tcBorders>
              <w:top w:val="nil"/>
            </w:tcBorders>
            <w:vAlign w:val="top"/>
          </w:tcPr>
          <w:p>
            <w:pPr>
              <w:rPr>
                <w:rFonts w:ascii="Arial"/>
                <w:sz w:val="21"/>
              </w:rPr>
            </w:pPr>
          </w:p>
        </w:tc>
        <w:tc>
          <w:tcPr>
            <w:tcW w:w="2722" w:type="dxa"/>
            <w:vAlign w:val="top"/>
          </w:tcPr>
          <w:p>
            <w:pPr>
              <w:pStyle w:val="6"/>
              <w:spacing w:before="219" w:line="221" w:lineRule="auto"/>
              <w:ind w:left="941"/>
              <w:rPr>
                <w:sz w:val="21"/>
                <w:szCs w:val="21"/>
              </w:rPr>
            </w:pPr>
            <w:r>
              <w:rPr>
                <w:spacing w:val="-2"/>
                <w:sz w:val="21"/>
                <w:szCs w:val="21"/>
              </w:rPr>
              <w:t>环保厕所</w:t>
            </w:r>
          </w:p>
        </w:tc>
        <w:tc>
          <w:tcPr>
            <w:tcW w:w="2292" w:type="dxa"/>
            <w:tcBorders>
              <w:right w:val="nil"/>
            </w:tcBorders>
            <w:vAlign w:val="top"/>
          </w:tcPr>
          <w:p>
            <w:pPr>
              <w:pStyle w:val="6"/>
              <w:spacing w:before="219" w:line="221" w:lineRule="auto"/>
              <w:ind w:left="199"/>
              <w:rPr>
                <w:sz w:val="21"/>
                <w:szCs w:val="21"/>
              </w:rPr>
            </w:pPr>
            <w:r>
              <w:rPr>
                <w:spacing w:val="-1"/>
                <w:sz w:val="21"/>
                <w:szCs w:val="21"/>
              </w:rPr>
              <w:t>环保厕所池底及池壁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433" w:type="dxa"/>
            <w:tcBorders>
              <w:left w:val="nil"/>
              <w:bottom w:val="single" w:color="000000" w:sz="10" w:space="0"/>
            </w:tcBorders>
            <w:vAlign w:val="top"/>
          </w:tcPr>
          <w:p>
            <w:pPr>
              <w:pStyle w:val="6"/>
              <w:spacing w:before="228" w:line="220" w:lineRule="auto"/>
              <w:ind w:left="209"/>
              <w:rPr>
                <w:sz w:val="21"/>
                <w:szCs w:val="21"/>
              </w:rPr>
            </w:pPr>
            <w:r>
              <w:rPr>
                <w:spacing w:val="-2"/>
                <w:sz w:val="21"/>
                <w:szCs w:val="21"/>
              </w:rPr>
              <w:t>简单防渗区</w:t>
            </w:r>
          </w:p>
        </w:tc>
        <w:tc>
          <w:tcPr>
            <w:tcW w:w="2410" w:type="dxa"/>
            <w:tcBorders>
              <w:bottom w:val="single" w:color="000000" w:sz="10" w:space="0"/>
            </w:tcBorders>
            <w:vAlign w:val="top"/>
          </w:tcPr>
          <w:p>
            <w:pPr>
              <w:pStyle w:val="6"/>
              <w:spacing w:before="228" w:line="222" w:lineRule="auto"/>
              <w:ind w:left="579"/>
              <w:rPr>
                <w:sz w:val="21"/>
                <w:szCs w:val="21"/>
              </w:rPr>
            </w:pPr>
            <w:r>
              <w:rPr>
                <w:spacing w:val="-2"/>
                <w:sz w:val="21"/>
                <w:szCs w:val="21"/>
              </w:rPr>
              <w:t>一般地面硬化</w:t>
            </w:r>
          </w:p>
        </w:tc>
        <w:tc>
          <w:tcPr>
            <w:tcW w:w="2722" w:type="dxa"/>
            <w:tcBorders>
              <w:bottom w:val="single" w:color="000000" w:sz="10" w:space="0"/>
            </w:tcBorders>
            <w:vAlign w:val="top"/>
          </w:tcPr>
          <w:p>
            <w:pPr>
              <w:pStyle w:val="6"/>
              <w:spacing w:before="71" w:line="248" w:lineRule="auto"/>
              <w:ind w:left="851" w:right="201" w:hanging="634"/>
              <w:rPr>
                <w:sz w:val="21"/>
                <w:szCs w:val="21"/>
              </w:rPr>
            </w:pPr>
            <w:r>
              <w:rPr>
                <w:spacing w:val="-2"/>
                <w:sz w:val="21"/>
                <w:szCs w:val="21"/>
              </w:rPr>
              <w:t>除重点防渗区和一般防渗</w:t>
            </w:r>
            <w:r>
              <w:rPr>
                <w:spacing w:val="4"/>
                <w:sz w:val="21"/>
                <w:szCs w:val="21"/>
              </w:rPr>
              <w:t xml:space="preserve"> </w:t>
            </w:r>
            <w:r>
              <w:rPr>
                <w:spacing w:val="-5"/>
                <w:sz w:val="21"/>
                <w:szCs w:val="21"/>
              </w:rPr>
              <w:t>区外的区域</w:t>
            </w:r>
          </w:p>
        </w:tc>
        <w:tc>
          <w:tcPr>
            <w:tcW w:w="2292" w:type="dxa"/>
            <w:tcBorders>
              <w:bottom w:val="single" w:color="000000" w:sz="10" w:space="0"/>
              <w:right w:val="nil"/>
            </w:tcBorders>
            <w:vAlign w:val="top"/>
          </w:tcPr>
          <w:p>
            <w:pPr>
              <w:pStyle w:val="6"/>
              <w:spacing w:before="228" w:line="222" w:lineRule="auto"/>
              <w:ind w:left="936"/>
              <w:rPr>
                <w:sz w:val="21"/>
                <w:szCs w:val="21"/>
              </w:rPr>
            </w:pPr>
            <w:r>
              <w:rPr>
                <w:spacing w:val="-2"/>
                <w:sz w:val="21"/>
                <w:szCs w:val="21"/>
              </w:rPr>
              <w:t>地面</w:t>
            </w:r>
          </w:p>
        </w:tc>
      </w:tr>
    </w:tbl>
    <w:p>
      <w:pPr>
        <w:pStyle w:val="2"/>
        <w:spacing w:line="290" w:lineRule="auto"/>
        <w:rPr>
          <w:sz w:val="21"/>
        </w:rPr>
      </w:pPr>
    </w:p>
    <w:p>
      <w:pPr>
        <w:pStyle w:val="2"/>
        <w:spacing w:line="291" w:lineRule="auto"/>
        <w:rPr>
          <w:sz w:val="21"/>
        </w:rPr>
      </w:pPr>
    </w:p>
    <w:p>
      <w:pPr>
        <w:spacing w:before="100" w:line="226" w:lineRule="auto"/>
        <w:rPr>
          <w:rFonts w:ascii="宋体" w:hAnsi="宋体" w:eastAsia="宋体" w:cs="宋体"/>
          <w:sz w:val="31"/>
          <w:szCs w:val="31"/>
        </w:rPr>
      </w:pPr>
      <w:bookmarkStart w:id="29" w:name="bookmark30"/>
      <w:bookmarkEnd w:id="29"/>
      <w:r>
        <w:rPr>
          <w:rFonts w:ascii="Times New Roman" w:hAnsi="Times New Roman" w:eastAsia="Times New Roman" w:cs="Times New Roman"/>
          <w:b/>
          <w:bCs/>
          <w:spacing w:val="9"/>
          <w:sz w:val="31"/>
          <w:szCs w:val="31"/>
        </w:rPr>
        <w:t>4.3</w:t>
      </w:r>
      <w:r>
        <w:rPr>
          <w:rFonts w:ascii="宋体" w:hAnsi="宋体" w:eastAsia="宋体" w:cs="宋体"/>
          <w:spacing w:val="9"/>
          <w:sz w:val="31"/>
          <w:szCs w:val="31"/>
          <w14:textOutline w14:w="5791" w14:cap="flat" w14:cmpd="sng">
            <w14:solidFill>
              <w14:srgbClr w14:val="000000"/>
            </w14:solidFill>
            <w14:prstDash w14:val="solid"/>
            <w14:miter w14:val="10"/>
          </w14:textOutline>
        </w:rPr>
        <w:t>跟踪监测</w:t>
      </w:r>
    </w:p>
    <w:p>
      <w:pPr>
        <w:pStyle w:val="2"/>
        <w:spacing w:line="288" w:lineRule="auto"/>
        <w:rPr>
          <w:sz w:val="21"/>
        </w:rPr>
      </w:pPr>
    </w:p>
    <w:p>
      <w:pPr>
        <w:spacing w:before="92" w:line="220" w:lineRule="auto"/>
        <w:rPr>
          <w:rFonts w:ascii="宋体" w:hAnsi="宋体" w:eastAsia="宋体" w:cs="宋体"/>
          <w:sz w:val="28"/>
          <w:szCs w:val="28"/>
        </w:rPr>
      </w:pPr>
      <w:r>
        <w:rPr>
          <w:rFonts w:ascii="Times New Roman" w:hAnsi="Times New Roman" w:eastAsia="Times New Roman" w:cs="Times New Roman"/>
          <w:b/>
          <w:bCs/>
          <w:spacing w:val="-1"/>
          <w:sz w:val="28"/>
          <w:szCs w:val="28"/>
        </w:rPr>
        <w:t>4.3.1</w:t>
      </w:r>
      <w:r>
        <w:rPr>
          <w:rFonts w:ascii="Times New Roman" w:hAnsi="Times New Roman" w:eastAsia="Times New Roman" w:cs="Times New Roman"/>
          <w:b/>
          <w:bCs/>
          <w:spacing w:val="15"/>
          <w:sz w:val="28"/>
          <w:szCs w:val="28"/>
        </w:rPr>
        <w:t xml:space="preserve">  </w:t>
      </w:r>
      <w:r>
        <w:rPr>
          <w:rFonts w:ascii="宋体" w:hAnsi="宋体" w:eastAsia="宋体" w:cs="宋体"/>
          <w:spacing w:val="-1"/>
          <w:sz w:val="28"/>
          <w:szCs w:val="28"/>
          <w14:textOutline w14:w="5094" w14:cap="flat" w14:cmpd="sng">
            <w14:solidFill>
              <w14:srgbClr w14:val="000000"/>
            </w14:solidFill>
            <w14:prstDash w14:val="solid"/>
            <w14:miter w14:val="10"/>
          </w14:textOutline>
        </w:rPr>
        <w:t>地下水监测原则</w:t>
      </w:r>
    </w:p>
    <w:p>
      <w:pPr>
        <w:pStyle w:val="2"/>
        <w:spacing w:line="275" w:lineRule="auto"/>
        <w:rPr>
          <w:sz w:val="21"/>
        </w:rPr>
      </w:pPr>
    </w:p>
    <w:p>
      <w:pPr>
        <w:spacing w:before="78" w:line="360" w:lineRule="auto"/>
        <w:ind w:left="4" w:firstLine="479"/>
        <w:rPr>
          <w:rFonts w:ascii="宋体" w:hAnsi="宋体" w:eastAsia="宋体" w:cs="宋体"/>
          <w:sz w:val="24"/>
          <w:szCs w:val="24"/>
        </w:rPr>
      </w:pPr>
      <w:r>
        <w:rPr>
          <w:rFonts w:ascii="宋体" w:hAnsi="宋体" w:eastAsia="宋体" w:cs="宋体"/>
          <w:spacing w:val="-8"/>
          <w:sz w:val="24"/>
          <w:szCs w:val="24"/>
        </w:rPr>
        <w:t>按照《环境影响评价技术导则地下水环境》（</w:t>
      </w:r>
      <w:r>
        <w:rPr>
          <w:rFonts w:ascii="Times New Roman" w:hAnsi="Times New Roman" w:eastAsia="Times New Roman" w:cs="Times New Roman"/>
          <w:spacing w:val="-8"/>
          <w:sz w:val="24"/>
          <w:szCs w:val="24"/>
        </w:rPr>
        <w:t>HJ  610-2016</w:t>
      </w:r>
      <w:r>
        <w:rPr>
          <w:rFonts w:ascii="宋体" w:hAnsi="宋体" w:eastAsia="宋体" w:cs="宋体"/>
          <w:spacing w:val="-8"/>
          <w:sz w:val="24"/>
          <w:szCs w:val="24"/>
        </w:rPr>
        <w:t>）、《地下水环境监测技</w:t>
      </w:r>
      <w:r>
        <w:rPr>
          <w:rFonts w:ascii="宋体" w:hAnsi="宋体" w:eastAsia="宋体" w:cs="宋体"/>
          <w:spacing w:val="1"/>
          <w:sz w:val="24"/>
          <w:szCs w:val="24"/>
        </w:rPr>
        <w:t xml:space="preserve">  </w:t>
      </w:r>
      <w:r>
        <w:rPr>
          <w:rFonts w:ascii="宋体" w:hAnsi="宋体" w:eastAsia="宋体" w:cs="宋体"/>
          <w:sz w:val="24"/>
          <w:szCs w:val="24"/>
        </w:rPr>
        <w:t>术规范》（</w:t>
      </w:r>
      <w:r>
        <w:rPr>
          <w:rFonts w:ascii="Times New Roman" w:hAnsi="Times New Roman" w:eastAsia="Times New Roman" w:cs="Times New Roman"/>
          <w:sz w:val="24"/>
          <w:szCs w:val="24"/>
        </w:rPr>
        <w:t>HJ/T</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z w:val="24"/>
          <w:szCs w:val="24"/>
        </w:rPr>
        <w:t>164-2020</w:t>
      </w:r>
      <w:r>
        <w:rPr>
          <w:rFonts w:ascii="宋体" w:hAnsi="宋体" w:eastAsia="宋体" w:cs="宋体"/>
          <w:sz w:val="24"/>
          <w:szCs w:val="24"/>
        </w:rPr>
        <w:t>）、《工业企业土壤和地下水自行监测技术</w:t>
      </w:r>
      <w:r>
        <w:rPr>
          <w:rFonts w:ascii="宋体" w:hAnsi="宋体" w:eastAsia="宋体" w:cs="宋体"/>
          <w:spacing w:val="-1"/>
          <w:sz w:val="24"/>
          <w:szCs w:val="24"/>
        </w:rPr>
        <w:t>指南（试行）》</w:t>
      </w:r>
      <w:r>
        <w:rPr>
          <w:rFonts w:ascii="宋体" w:hAnsi="宋体" w:eastAsia="宋体" w:cs="宋体"/>
          <w:sz w:val="24"/>
          <w:szCs w:val="24"/>
        </w:rPr>
        <w:t xml:space="preserve"> </w:t>
      </w:r>
      <w:r>
        <w:rPr>
          <w:rFonts w:ascii="宋体" w:hAnsi="宋体" w:eastAsia="宋体" w:cs="宋体"/>
          <w:spacing w:val="15"/>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5"/>
          <w:sz w:val="24"/>
          <w:szCs w:val="24"/>
        </w:rPr>
        <w:t xml:space="preserve">1209-2021 </w:t>
      </w:r>
      <w:r>
        <w:rPr>
          <w:rFonts w:ascii="宋体" w:hAnsi="宋体" w:eastAsia="宋体" w:cs="宋体"/>
          <w:spacing w:val="15"/>
          <w:sz w:val="24"/>
          <w:szCs w:val="24"/>
        </w:rPr>
        <w:t>）和《排污单位</w:t>
      </w:r>
      <w:r>
        <w:rPr>
          <w:rFonts w:ascii="宋体" w:hAnsi="宋体" w:eastAsia="宋体" w:cs="宋体"/>
          <w:spacing w:val="-38"/>
          <w:sz w:val="24"/>
          <w:szCs w:val="24"/>
        </w:rPr>
        <w:t xml:space="preserve"> </w:t>
      </w:r>
      <w:r>
        <w:rPr>
          <w:rFonts w:ascii="宋体" w:hAnsi="宋体" w:eastAsia="宋体" w:cs="宋体"/>
          <w:spacing w:val="15"/>
          <w:sz w:val="24"/>
          <w:szCs w:val="24"/>
        </w:rPr>
        <w:t>自行监测技术指南</w:t>
      </w:r>
      <w:r>
        <w:rPr>
          <w:rFonts w:ascii="宋体" w:hAnsi="宋体" w:eastAsia="宋体" w:cs="宋体"/>
          <w:spacing w:val="86"/>
          <w:sz w:val="24"/>
          <w:szCs w:val="24"/>
        </w:rPr>
        <w:t xml:space="preserve"> </w:t>
      </w:r>
      <w:r>
        <w:rPr>
          <w:rFonts w:ascii="宋体" w:hAnsi="宋体" w:eastAsia="宋体" w:cs="宋体"/>
          <w:spacing w:val="15"/>
          <w:sz w:val="24"/>
          <w:szCs w:val="24"/>
        </w:rPr>
        <w:t>陆上石油天然气开采工业</w:t>
      </w:r>
      <w:r>
        <w:rPr>
          <w:rFonts w:ascii="宋体" w:hAnsi="宋体" w:eastAsia="宋体" w:cs="宋体"/>
          <w:spacing w:val="-67"/>
          <w:sz w:val="24"/>
          <w:szCs w:val="24"/>
        </w:rPr>
        <w:t xml:space="preserve"> </w:t>
      </w:r>
      <w:r>
        <w:rPr>
          <w:rFonts w:ascii="宋体" w:hAnsi="宋体" w:eastAsia="宋体" w:cs="宋体"/>
          <w:spacing w:val="15"/>
          <w:sz w:val="24"/>
          <w:szCs w:val="24"/>
        </w:rPr>
        <w:t>》</w:t>
      </w:r>
    </w:p>
    <w:p>
      <w:pPr>
        <w:spacing w:before="1" w:line="219" w:lineRule="auto"/>
        <w:ind w:left="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HJ1248-2022</w:t>
      </w:r>
      <w:r>
        <w:rPr>
          <w:rFonts w:ascii="宋体" w:hAnsi="宋体" w:eastAsia="宋体" w:cs="宋体"/>
          <w:spacing w:val="-2"/>
          <w:sz w:val="24"/>
          <w:szCs w:val="24"/>
        </w:rPr>
        <w:t>）等要求，地下水监测应按以</w:t>
      </w:r>
      <w:r>
        <w:rPr>
          <w:rFonts w:ascii="宋体" w:hAnsi="宋体" w:eastAsia="宋体" w:cs="宋体"/>
          <w:spacing w:val="-3"/>
          <w:sz w:val="24"/>
          <w:szCs w:val="24"/>
        </w:rPr>
        <w:t>下原则进行：</w:t>
      </w:r>
    </w:p>
    <w:p>
      <w:pPr>
        <w:spacing w:before="182" w:line="218"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）二级评价建设项目监测点一般不少于</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w:t>
      </w:r>
    </w:p>
    <w:p>
      <w:pPr>
        <w:spacing w:before="184"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）在地下水水流上游应设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个地下水背景（或对照</w:t>
      </w:r>
      <w:r>
        <w:rPr>
          <w:rFonts w:ascii="宋体" w:hAnsi="宋体" w:eastAsia="宋体" w:cs="宋体"/>
          <w:spacing w:val="-5"/>
          <w:sz w:val="24"/>
          <w:szCs w:val="24"/>
        </w:rPr>
        <w:t>）监控井；</w:t>
      </w:r>
    </w:p>
    <w:p>
      <w:pPr>
        <w:spacing w:before="182" w:line="219"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）在项目场地外可能受到影响的地下水环境敏感目标的上游应至少布设</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个地</w:t>
      </w:r>
    </w:p>
    <w:p>
      <w:pPr>
        <w:spacing w:line="219" w:lineRule="auto"/>
        <w:rPr>
          <w:rFonts w:ascii="宋体" w:hAnsi="宋体" w:eastAsia="宋体" w:cs="宋体"/>
          <w:sz w:val="24"/>
          <w:szCs w:val="24"/>
        </w:rPr>
        <w:sectPr>
          <w:footerReference r:id="rId195" w:type="default"/>
          <w:pgSz w:w="11907" w:h="16839"/>
          <w:pgMar w:top="400" w:right="1306" w:bottom="1151" w:left="1596"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220" w:lineRule="auto"/>
        <w:ind w:left="139"/>
        <w:rPr>
          <w:rFonts w:ascii="宋体" w:hAnsi="宋体" w:eastAsia="宋体" w:cs="宋体"/>
          <w:sz w:val="24"/>
          <w:szCs w:val="24"/>
        </w:rPr>
      </w:pPr>
      <w:r>
        <w:rPr>
          <w:rFonts w:ascii="宋体" w:hAnsi="宋体" w:eastAsia="宋体" w:cs="宋体"/>
          <w:spacing w:val="-8"/>
          <w:sz w:val="24"/>
          <w:szCs w:val="24"/>
        </w:rPr>
        <w:t>下水污染监控井；</w:t>
      </w:r>
    </w:p>
    <w:p>
      <w:pPr>
        <w:spacing w:before="183" w:line="468" w:lineRule="exact"/>
        <w:ind w:left="618"/>
        <w:rPr>
          <w:rFonts w:ascii="宋体" w:hAnsi="宋体" w:eastAsia="宋体" w:cs="宋体"/>
          <w:sz w:val="24"/>
          <w:szCs w:val="24"/>
        </w:rPr>
      </w:pPr>
      <w:r>
        <w:rPr>
          <w:rFonts w:ascii="宋体" w:hAnsi="宋体" w:eastAsia="宋体" w:cs="宋体"/>
          <w:spacing w:val="-13"/>
          <w:position w:val="17"/>
          <w:sz w:val="24"/>
          <w:szCs w:val="24"/>
        </w:rPr>
        <w:t>（</w:t>
      </w:r>
      <w:r>
        <w:rPr>
          <w:rFonts w:ascii="Times New Roman" w:hAnsi="Times New Roman" w:eastAsia="Times New Roman" w:cs="Times New Roman"/>
          <w:spacing w:val="-13"/>
          <w:position w:val="17"/>
          <w:sz w:val="24"/>
          <w:szCs w:val="24"/>
        </w:rPr>
        <w:t>4</w:t>
      </w:r>
      <w:r>
        <w:rPr>
          <w:rFonts w:ascii="宋体" w:hAnsi="宋体" w:eastAsia="宋体" w:cs="宋体"/>
          <w:spacing w:val="-13"/>
          <w:position w:val="17"/>
          <w:sz w:val="24"/>
          <w:szCs w:val="24"/>
        </w:rPr>
        <w:t>）以取水层为监测目的层，</w:t>
      </w:r>
      <w:r>
        <w:rPr>
          <w:rFonts w:ascii="宋体" w:hAnsi="宋体" w:eastAsia="宋体" w:cs="宋体"/>
          <w:spacing w:val="66"/>
          <w:position w:val="17"/>
          <w:sz w:val="24"/>
          <w:szCs w:val="24"/>
        </w:rPr>
        <w:t xml:space="preserve"> </w:t>
      </w:r>
      <w:r>
        <w:rPr>
          <w:rFonts w:ascii="宋体" w:hAnsi="宋体" w:eastAsia="宋体" w:cs="宋体"/>
          <w:spacing w:val="-13"/>
          <w:position w:val="17"/>
          <w:sz w:val="24"/>
          <w:szCs w:val="24"/>
        </w:rPr>
        <w:t>以浅层潜水含水层为主，</w:t>
      </w:r>
      <w:r>
        <w:rPr>
          <w:rFonts w:ascii="宋体" w:hAnsi="宋体" w:eastAsia="宋体" w:cs="宋体"/>
          <w:spacing w:val="35"/>
          <w:position w:val="17"/>
          <w:sz w:val="24"/>
          <w:szCs w:val="24"/>
        </w:rPr>
        <w:t xml:space="preserve"> </w:t>
      </w:r>
      <w:r>
        <w:rPr>
          <w:rFonts w:ascii="宋体" w:hAnsi="宋体" w:eastAsia="宋体" w:cs="宋体"/>
          <w:spacing w:val="-13"/>
          <w:position w:val="17"/>
          <w:sz w:val="24"/>
          <w:szCs w:val="24"/>
        </w:rPr>
        <w:t>并应考虑可能受影响的承</w:t>
      </w:r>
    </w:p>
    <w:p>
      <w:pPr>
        <w:spacing w:line="219" w:lineRule="auto"/>
        <w:ind w:left="132"/>
        <w:rPr>
          <w:rFonts w:ascii="宋体" w:hAnsi="宋体" w:eastAsia="宋体" w:cs="宋体"/>
          <w:sz w:val="24"/>
          <w:szCs w:val="24"/>
        </w:rPr>
      </w:pPr>
      <w:r>
        <w:rPr>
          <w:rFonts w:ascii="宋体" w:hAnsi="宋体" w:eastAsia="宋体" w:cs="宋体"/>
          <w:spacing w:val="-11"/>
          <w:sz w:val="24"/>
          <w:szCs w:val="24"/>
        </w:rPr>
        <w:t>压含水层；</w:t>
      </w:r>
    </w:p>
    <w:p>
      <w:pPr>
        <w:spacing w:before="182" w:line="220" w:lineRule="auto"/>
        <w:ind w:left="61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）在重点污染防治区加密监测；</w:t>
      </w:r>
    </w:p>
    <w:p>
      <w:pPr>
        <w:spacing w:before="181" w:line="218" w:lineRule="auto"/>
        <w:ind w:left="61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）根据各区块地下水环境影响预测与评价结果有针对性地</w:t>
      </w:r>
      <w:r>
        <w:rPr>
          <w:rFonts w:ascii="宋体" w:hAnsi="宋体" w:eastAsia="宋体" w:cs="宋体"/>
          <w:spacing w:val="-3"/>
          <w:sz w:val="24"/>
          <w:szCs w:val="24"/>
        </w:rPr>
        <w:t>布设监测井；</w:t>
      </w:r>
    </w:p>
    <w:p>
      <w:pPr>
        <w:spacing w:before="185" w:line="468" w:lineRule="exact"/>
        <w:ind w:left="618"/>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7</w:t>
      </w:r>
      <w:r>
        <w:rPr>
          <w:rFonts w:ascii="宋体" w:hAnsi="宋体" w:eastAsia="宋体" w:cs="宋体"/>
          <w:spacing w:val="-8"/>
          <w:position w:val="17"/>
          <w:sz w:val="24"/>
          <w:szCs w:val="24"/>
        </w:rPr>
        <w:t>）充分利用现有民井、监测井，</w:t>
      </w:r>
      <w:r>
        <w:rPr>
          <w:rFonts w:ascii="宋体" w:hAnsi="宋体" w:eastAsia="宋体" w:cs="宋体"/>
          <w:spacing w:val="40"/>
          <w:position w:val="17"/>
          <w:sz w:val="24"/>
          <w:szCs w:val="24"/>
        </w:rPr>
        <w:t xml:space="preserve"> </w:t>
      </w:r>
      <w:r>
        <w:rPr>
          <w:rFonts w:ascii="宋体" w:hAnsi="宋体" w:eastAsia="宋体" w:cs="宋体"/>
          <w:spacing w:val="-8"/>
          <w:position w:val="17"/>
          <w:sz w:val="24"/>
          <w:szCs w:val="24"/>
        </w:rPr>
        <w:t>污染事件发生后监测井可以作为地下水污染事</w:t>
      </w:r>
    </w:p>
    <w:p>
      <w:pPr>
        <w:spacing w:line="219" w:lineRule="auto"/>
        <w:ind w:left="135"/>
        <w:rPr>
          <w:rFonts w:ascii="宋体" w:hAnsi="宋体" w:eastAsia="宋体" w:cs="宋体"/>
          <w:sz w:val="24"/>
          <w:szCs w:val="24"/>
        </w:rPr>
      </w:pPr>
      <w:r>
        <w:rPr>
          <w:rFonts w:ascii="宋体" w:hAnsi="宋体" w:eastAsia="宋体" w:cs="宋体"/>
          <w:spacing w:val="-7"/>
          <w:sz w:val="24"/>
          <w:szCs w:val="24"/>
        </w:rPr>
        <w:t>故应急处置的抽水井；</w:t>
      </w:r>
    </w:p>
    <w:p>
      <w:pPr>
        <w:spacing w:before="184" w:line="360" w:lineRule="auto"/>
        <w:ind w:left="133" w:right="115" w:firstLine="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）水质监测项目参照《地下水质量标准》（</w:t>
      </w:r>
      <w:r>
        <w:rPr>
          <w:rFonts w:ascii="Times New Roman" w:hAnsi="Times New Roman" w:eastAsia="Times New Roman" w:cs="Times New Roman"/>
          <w:spacing w:val="-5"/>
          <w:sz w:val="24"/>
          <w:szCs w:val="24"/>
        </w:rPr>
        <w:t>GB/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14848-2017</w:t>
      </w:r>
      <w:r>
        <w:rPr>
          <w:rFonts w:ascii="宋体" w:hAnsi="宋体" w:eastAsia="宋体" w:cs="宋体"/>
          <w:spacing w:val="-6"/>
          <w:sz w:val="24"/>
          <w:szCs w:val="24"/>
        </w:rPr>
        <w:t>）相关要求和潜在</w:t>
      </w:r>
      <w:r>
        <w:rPr>
          <w:rFonts w:ascii="宋体" w:hAnsi="宋体" w:eastAsia="宋体" w:cs="宋体"/>
          <w:sz w:val="24"/>
          <w:szCs w:val="24"/>
        </w:rPr>
        <w:t xml:space="preserve"> </w:t>
      </w:r>
      <w:r>
        <w:rPr>
          <w:rFonts w:ascii="宋体" w:hAnsi="宋体" w:eastAsia="宋体" w:cs="宋体"/>
          <w:spacing w:val="-1"/>
          <w:sz w:val="24"/>
          <w:szCs w:val="24"/>
        </w:rPr>
        <w:t>污染源特征污染因子确定，各监测井可依据监测目的不同适当增加和减少监测项目。</w:t>
      </w:r>
      <w:r>
        <w:rPr>
          <w:rFonts w:ascii="宋体" w:hAnsi="宋体" w:eastAsia="宋体" w:cs="宋体"/>
          <w:spacing w:val="2"/>
          <w:sz w:val="24"/>
          <w:szCs w:val="24"/>
        </w:rPr>
        <w:t xml:space="preserve"> </w:t>
      </w:r>
      <w:r>
        <w:rPr>
          <w:rFonts w:ascii="宋体" w:hAnsi="宋体" w:eastAsia="宋体" w:cs="宋体"/>
          <w:sz w:val="24"/>
          <w:szCs w:val="24"/>
        </w:rPr>
        <w:t>建设单位安全环保部门设立地下水动态监测小组，专人负责监测或者委托专业的机构</w:t>
      </w:r>
    </w:p>
    <w:p>
      <w:pPr>
        <w:spacing w:line="220" w:lineRule="auto"/>
        <w:ind w:left="134"/>
        <w:rPr>
          <w:rFonts w:ascii="宋体" w:hAnsi="宋体" w:eastAsia="宋体" w:cs="宋体"/>
          <w:sz w:val="24"/>
          <w:szCs w:val="24"/>
        </w:rPr>
      </w:pPr>
      <w:r>
        <w:rPr>
          <w:rFonts w:ascii="宋体" w:hAnsi="宋体" w:eastAsia="宋体" w:cs="宋体"/>
          <w:spacing w:val="-11"/>
          <w:sz w:val="24"/>
          <w:szCs w:val="24"/>
        </w:rPr>
        <w:t>分析。</w:t>
      </w:r>
    </w:p>
    <w:p>
      <w:pPr>
        <w:pStyle w:val="2"/>
        <w:spacing w:line="265" w:lineRule="auto"/>
        <w:rPr>
          <w:sz w:val="21"/>
        </w:rPr>
      </w:pPr>
    </w:p>
    <w:p>
      <w:pPr>
        <w:spacing w:before="91" w:line="220" w:lineRule="auto"/>
        <w:ind w:left="129"/>
        <w:rPr>
          <w:rFonts w:ascii="宋体" w:hAnsi="宋体" w:eastAsia="宋体" w:cs="宋体"/>
          <w:sz w:val="28"/>
          <w:szCs w:val="28"/>
        </w:rPr>
      </w:pPr>
      <w:r>
        <w:rPr>
          <w:rFonts w:ascii="Times New Roman" w:hAnsi="Times New Roman" w:eastAsia="Times New Roman" w:cs="Times New Roman"/>
          <w:b/>
          <w:bCs/>
          <w:spacing w:val="1"/>
          <w:sz w:val="28"/>
          <w:szCs w:val="28"/>
        </w:rPr>
        <w:t xml:space="preserve">4.3.2  </w:t>
      </w:r>
      <w:r>
        <w:rPr>
          <w:rFonts w:ascii="宋体" w:hAnsi="宋体" w:eastAsia="宋体" w:cs="宋体"/>
          <w:spacing w:val="1"/>
          <w:sz w:val="28"/>
          <w:szCs w:val="28"/>
          <w14:textOutline w14:w="5094" w14:cap="flat" w14:cmpd="sng">
            <w14:solidFill>
              <w14:srgbClr w14:val="000000"/>
            </w14:solidFill>
            <w14:prstDash w14:val="solid"/>
            <w14:miter w14:val="10"/>
          </w14:textOutline>
        </w:rPr>
        <w:t>地下水环境跟踪监测计划</w:t>
      </w:r>
    </w:p>
    <w:p>
      <w:pPr>
        <w:pStyle w:val="2"/>
        <w:spacing w:line="274" w:lineRule="auto"/>
        <w:rPr>
          <w:sz w:val="21"/>
        </w:rPr>
      </w:pPr>
    </w:p>
    <w:p>
      <w:pPr>
        <w:spacing w:before="79" w:line="221" w:lineRule="auto"/>
        <w:ind w:left="61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）监测点位</w:t>
      </w:r>
    </w:p>
    <w:p>
      <w:pPr>
        <w:spacing w:before="180" w:line="360" w:lineRule="auto"/>
        <w:ind w:left="130" w:right="111" w:firstLine="484"/>
        <w:jc w:val="both"/>
        <w:rPr>
          <w:rFonts w:ascii="宋体" w:hAnsi="宋体" w:eastAsia="宋体" w:cs="宋体"/>
          <w:sz w:val="24"/>
          <w:szCs w:val="24"/>
        </w:rPr>
      </w:pPr>
      <w:r>
        <w:rPr>
          <w:rFonts w:ascii="宋体" w:hAnsi="宋体" w:eastAsia="宋体" w:cs="宋体"/>
          <w:sz w:val="24"/>
          <w:szCs w:val="24"/>
        </w:rPr>
        <w:t>非正常工况下应急池废水外溢、泄漏可能引起池体周围地下水水质改变。井场附</w:t>
      </w:r>
      <w:r>
        <w:rPr>
          <w:rFonts w:ascii="宋体" w:hAnsi="宋体" w:eastAsia="宋体" w:cs="宋体"/>
          <w:spacing w:val="2"/>
          <w:sz w:val="24"/>
          <w:szCs w:val="24"/>
        </w:rPr>
        <w:t xml:space="preserve"> </w:t>
      </w:r>
      <w:r>
        <w:rPr>
          <w:rFonts w:ascii="宋体" w:hAnsi="宋体" w:eastAsia="宋体" w:cs="宋体"/>
          <w:sz w:val="24"/>
          <w:szCs w:val="24"/>
        </w:rPr>
        <w:t>近分散式水井、泉水分布较多，事故状态下地下水环境风险较大，应制定地下水环境</w:t>
      </w:r>
    </w:p>
    <w:p>
      <w:pPr>
        <w:spacing w:before="1" w:line="218" w:lineRule="auto"/>
        <w:ind w:left="131"/>
        <w:rPr>
          <w:rFonts w:ascii="宋体" w:hAnsi="宋体" w:eastAsia="宋体" w:cs="宋体"/>
          <w:sz w:val="24"/>
          <w:szCs w:val="24"/>
        </w:rPr>
      </w:pPr>
      <w:r>
        <w:rPr>
          <w:rFonts w:ascii="宋体" w:hAnsi="宋体" w:eastAsia="宋体" w:cs="宋体"/>
          <w:spacing w:val="-2"/>
          <w:sz w:val="24"/>
          <w:szCs w:val="24"/>
        </w:rPr>
        <w:t>影响跟踪监测计划，以便及时发现问题，采取措施。</w:t>
      </w:r>
    </w:p>
    <w:p>
      <w:pPr>
        <w:spacing w:before="184" w:line="219" w:lineRule="auto"/>
        <w:ind w:left="611"/>
        <w:rPr>
          <w:rFonts w:ascii="宋体" w:hAnsi="宋体" w:eastAsia="宋体" w:cs="宋体"/>
          <w:sz w:val="24"/>
          <w:szCs w:val="24"/>
        </w:rPr>
      </w:pPr>
      <w:r>
        <w:rPr>
          <w:rFonts w:ascii="宋体" w:hAnsi="宋体" w:eastAsia="宋体" w:cs="宋体"/>
          <w:spacing w:val="-3"/>
          <w:sz w:val="24"/>
          <w:szCs w:val="24"/>
        </w:rPr>
        <w:t>地下水环境监测点位布置见表</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4.3-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04" w:line="220" w:lineRule="auto"/>
        <w:ind w:left="282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2"/>
          <w:sz w:val="24"/>
          <w:szCs w:val="24"/>
        </w:rPr>
        <w:t xml:space="preserve"> </w:t>
      </w:r>
      <w:r>
        <w:rPr>
          <w:rFonts w:ascii="Times New Roman" w:hAnsi="Times New Roman" w:eastAsia="Times New Roman" w:cs="Times New Roman"/>
          <w:b/>
          <w:bCs/>
          <w:spacing w:val="-1"/>
          <w:sz w:val="24"/>
          <w:szCs w:val="24"/>
        </w:rPr>
        <w:t xml:space="preserve">4.3-1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地下水环境跟踪监测点位</w:t>
      </w:r>
    </w:p>
    <w:p>
      <w:pPr>
        <w:spacing w:line="144" w:lineRule="exact"/>
      </w:pPr>
    </w:p>
    <w:tbl>
      <w:tblPr>
        <w:tblStyle w:val="5"/>
        <w:tblW w:w="91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2609"/>
        <w:gridCol w:w="1249"/>
        <w:gridCol w:w="184"/>
        <w:gridCol w:w="1260"/>
        <w:gridCol w:w="1661"/>
        <w:gridCol w:w="15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tcBorders>
              <w:top w:val="single" w:color="000000" w:sz="10" w:space="0"/>
              <w:left w:val="nil"/>
            </w:tcBorders>
            <w:textDirection w:val="tbRlV"/>
            <w:vAlign w:val="top"/>
          </w:tcPr>
          <w:p>
            <w:pPr>
              <w:pStyle w:val="6"/>
              <w:spacing w:before="201" w:line="207" w:lineRule="auto"/>
              <w:ind w:left="57"/>
              <w:rPr>
                <w:sz w:val="21"/>
                <w:szCs w:val="21"/>
              </w:rPr>
            </w:pPr>
            <w:r>
              <w:rPr>
                <w:spacing w:val="1"/>
                <w:sz w:val="21"/>
                <w:szCs w:val="21"/>
                <w14:textOutline w14:w="3831" w14:cap="flat" w14:cmpd="sng">
                  <w14:solidFill>
                    <w14:srgbClr w14:val="000000"/>
                  </w14:solidFill>
                  <w14:prstDash w14:val="solid"/>
                  <w14:miter w14:val="10"/>
                </w14:textOutline>
              </w:rPr>
              <w:t>编</w:t>
            </w:r>
            <w:r>
              <w:rPr>
                <w:spacing w:val="-5"/>
                <w:sz w:val="21"/>
                <w:szCs w:val="21"/>
              </w:rPr>
              <w:t xml:space="preserve"> </w:t>
            </w:r>
            <w:r>
              <w:rPr>
                <w:spacing w:val="1"/>
                <w:sz w:val="21"/>
                <w:szCs w:val="21"/>
                <w14:textOutline w14:w="3831" w14:cap="flat" w14:cmpd="sng">
                  <w14:solidFill>
                    <w14:srgbClr w14:val="000000"/>
                  </w14:solidFill>
                  <w14:prstDash w14:val="solid"/>
                  <w14:miter w14:val="10"/>
                </w14:textOutline>
              </w:rPr>
              <w:t>号</w:t>
            </w:r>
          </w:p>
        </w:tc>
        <w:tc>
          <w:tcPr>
            <w:tcW w:w="2609" w:type="dxa"/>
            <w:tcBorders>
              <w:top w:val="single" w:color="000000" w:sz="10" w:space="0"/>
            </w:tcBorders>
            <w:vAlign w:val="top"/>
          </w:tcPr>
          <w:p>
            <w:pPr>
              <w:pStyle w:val="6"/>
              <w:spacing w:before="213" w:line="221" w:lineRule="auto"/>
              <w:ind w:left="680"/>
              <w:rPr>
                <w:sz w:val="21"/>
                <w:szCs w:val="21"/>
              </w:rPr>
            </w:pPr>
            <w:r>
              <w:rPr>
                <w:spacing w:val="-1"/>
                <w:sz w:val="21"/>
                <w:szCs w:val="21"/>
                <w14:textOutline w14:w="3831" w14:cap="flat" w14:cmpd="sng">
                  <w14:solidFill>
                    <w14:srgbClr w14:val="000000"/>
                  </w14:solidFill>
                  <w14:prstDash w14:val="solid"/>
                  <w14:miter w14:val="10"/>
                </w14:textOutline>
              </w:rPr>
              <w:t>与项目的方位</w:t>
            </w:r>
          </w:p>
        </w:tc>
        <w:tc>
          <w:tcPr>
            <w:tcW w:w="2693" w:type="dxa"/>
            <w:gridSpan w:val="3"/>
            <w:tcBorders>
              <w:top w:val="single" w:color="000000" w:sz="10" w:space="0"/>
            </w:tcBorders>
            <w:vAlign w:val="top"/>
          </w:tcPr>
          <w:p>
            <w:pPr>
              <w:pStyle w:val="6"/>
              <w:spacing w:before="57" w:line="221" w:lineRule="auto"/>
              <w:ind w:left="1140"/>
              <w:rPr>
                <w:sz w:val="21"/>
                <w:szCs w:val="21"/>
              </w:rPr>
            </w:pPr>
            <w:r>
              <w:rPr>
                <w:spacing w:val="-2"/>
                <w:sz w:val="21"/>
                <w:szCs w:val="21"/>
                <w14:textOutline w14:w="3831" w14:cap="flat" w14:cmpd="sng">
                  <w14:solidFill>
                    <w14:srgbClr w14:val="000000"/>
                  </w14:solidFill>
                  <w14:prstDash w14:val="solid"/>
                  <w14:miter w14:val="10"/>
                </w14:textOutline>
              </w:rPr>
              <w:t>坐标</w:t>
            </w:r>
          </w:p>
        </w:tc>
        <w:tc>
          <w:tcPr>
            <w:tcW w:w="1661" w:type="dxa"/>
            <w:tcBorders>
              <w:top w:val="single" w:color="000000" w:sz="10" w:space="0"/>
            </w:tcBorders>
            <w:vAlign w:val="top"/>
          </w:tcPr>
          <w:p>
            <w:pPr>
              <w:pStyle w:val="6"/>
              <w:spacing w:before="213" w:line="222" w:lineRule="auto"/>
              <w:ind w:left="307"/>
              <w:rPr>
                <w:sz w:val="21"/>
                <w:szCs w:val="21"/>
              </w:rPr>
            </w:pPr>
            <w:r>
              <w:rPr>
                <w:spacing w:val="-1"/>
                <w:sz w:val="21"/>
                <w:szCs w:val="21"/>
                <w14:textOutline w14:w="3831" w14:cap="flat" w14:cmpd="sng">
                  <w14:solidFill>
                    <w14:srgbClr w14:val="000000"/>
                  </w14:solidFill>
                  <w14:prstDash w14:val="solid"/>
                  <w14:miter w14:val="10"/>
                </w14:textOutline>
              </w:rPr>
              <w:t>监测点功能</w:t>
            </w:r>
          </w:p>
        </w:tc>
        <w:tc>
          <w:tcPr>
            <w:tcW w:w="1534" w:type="dxa"/>
            <w:tcBorders>
              <w:top w:val="single" w:color="000000" w:sz="10" w:space="0"/>
              <w:right w:val="nil"/>
            </w:tcBorders>
            <w:vAlign w:val="top"/>
          </w:tcPr>
          <w:p>
            <w:pPr>
              <w:pStyle w:val="6"/>
              <w:spacing w:before="213" w:line="222" w:lineRule="auto"/>
              <w:ind w:left="564"/>
              <w:rPr>
                <w:sz w:val="21"/>
                <w:szCs w:val="21"/>
              </w:rPr>
            </w:pPr>
            <w:r>
              <w:rPr>
                <w:spacing w:val="-3"/>
                <w:sz w:val="21"/>
                <w:szCs w:val="21"/>
                <w14:textOutline w14:w="3831" w14:cap="flat" w14:cmpd="sng">
                  <w14:solidFill>
                    <w14:srgbClr w14:val="000000"/>
                  </w14:solidFill>
                  <w14:prstDash w14:val="solid"/>
                  <w14:miter w14:val="1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633" w:type="dxa"/>
            <w:tcBorders>
              <w:left w:val="nil"/>
            </w:tcBorders>
            <w:vAlign w:val="top"/>
          </w:tcPr>
          <w:p>
            <w:pPr>
              <w:spacing w:before="248" w:line="195"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Q5</w:t>
            </w:r>
          </w:p>
        </w:tc>
        <w:tc>
          <w:tcPr>
            <w:tcW w:w="2609" w:type="dxa"/>
            <w:vAlign w:val="top"/>
          </w:tcPr>
          <w:p>
            <w:pPr>
              <w:pStyle w:val="6"/>
              <w:spacing w:before="212" w:line="221" w:lineRule="auto"/>
              <w:ind w:left="114"/>
              <w:rPr>
                <w:sz w:val="21"/>
                <w:szCs w:val="21"/>
              </w:rPr>
            </w:pPr>
            <w:r>
              <w:rPr>
                <w:spacing w:val="-1"/>
                <w:sz w:val="21"/>
                <w:szCs w:val="21"/>
              </w:rPr>
              <w:t>井口东南侧</w:t>
            </w:r>
            <w:r>
              <w:rPr>
                <w:spacing w:val="-46"/>
                <w:sz w:val="21"/>
                <w:szCs w:val="21"/>
              </w:rPr>
              <w:t xml:space="preserve"> </w:t>
            </w:r>
            <w:r>
              <w:rPr>
                <w:rFonts w:ascii="Times New Roman" w:hAnsi="Times New Roman" w:eastAsia="Times New Roman" w:cs="Times New Roman"/>
                <w:spacing w:val="-1"/>
                <w:sz w:val="21"/>
                <w:szCs w:val="21"/>
              </w:rPr>
              <w:t xml:space="preserve">247m </w:t>
            </w:r>
            <w:r>
              <w:rPr>
                <w:spacing w:val="-1"/>
                <w:sz w:val="21"/>
                <w:szCs w:val="21"/>
              </w:rPr>
              <w:t>处泉水</w:t>
            </w:r>
          </w:p>
        </w:tc>
        <w:tc>
          <w:tcPr>
            <w:tcW w:w="1249" w:type="dxa"/>
            <w:tcBorders>
              <w:right w:val="nil"/>
            </w:tcBorders>
            <w:vAlign w:val="top"/>
          </w:tcPr>
          <w:p>
            <w:pPr>
              <w:pStyle w:val="6"/>
              <w:spacing w:before="237" w:line="192" w:lineRule="auto"/>
              <w:jc w:val="right"/>
              <w:rPr>
                <w:sz w:val="21"/>
                <w:szCs w:val="21"/>
              </w:rPr>
            </w:pPr>
            <w:r>
              <w:rPr>
                <w:rFonts w:ascii="Times New Roman" w:hAnsi="Times New Roman" w:eastAsia="Times New Roman" w:cs="Times New Roman"/>
                <w:spacing w:val="-9"/>
                <w:sz w:val="21"/>
                <w:szCs w:val="21"/>
              </w:rPr>
              <w:t>107.238582</w:t>
            </w:r>
            <w:r>
              <w:rPr>
                <w:rFonts w:ascii="Times New Roman" w:hAnsi="Times New Roman" w:eastAsia="Times New Roman" w:cs="Times New Roman"/>
                <w:spacing w:val="-21"/>
                <w:sz w:val="21"/>
                <w:szCs w:val="21"/>
              </w:rPr>
              <w:t xml:space="preserve"> </w:t>
            </w:r>
            <w:r>
              <w:rPr>
                <w:spacing w:val="-9"/>
                <w:sz w:val="21"/>
                <w:szCs w:val="21"/>
              </w:rPr>
              <w:t>°</w:t>
            </w:r>
          </w:p>
        </w:tc>
        <w:tc>
          <w:tcPr>
            <w:tcW w:w="184" w:type="dxa"/>
            <w:tcBorders>
              <w:left w:val="nil"/>
              <w:right w:val="nil"/>
            </w:tcBorders>
            <w:vAlign w:val="top"/>
          </w:tcPr>
          <w:p>
            <w:pPr>
              <w:spacing w:line="274" w:lineRule="auto"/>
              <w:rPr>
                <w:rFonts w:ascii="Arial"/>
                <w:sz w:val="21"/>
              </w:rPr>
            </w:pPr>
          </w:p>
          <w:p>
            <w:pPr>
              <w:pStyle w:val="6"/>
              <w:spacing w:before="68" w:line="95" w:lineRule="exact"/>
              <w:ind w:left="68"/>
              <w:rPr>
                <w:sz w:val="21"/>
                <w:szCs w:val="21"/>
              </w:rPr>
            </w:pPr>
            <w:r>
              <w:rPr>
                <w:position w:val="3"/>
                <w:sz w:val="21"/>
                <w:szCs w:val="21"/>
              </w:rPr>
              <w:t>,</w:t>
            </w:r>
          </w:p>
        </w:tc>
        <w:tc>
          <w:tcPr>
            <w:tcW w:w="1260" w:type="dxa"/>
            <w:tcBorders>
              <w:left w:val="nil"/>
            </w:tcBorders>
            <w:vAlign w:val="top"/>
          </w:tcPr>
          <w:p>
            <w:pPr>
              <w:pStyle w:val="6"/>
              <w:spacing w:before="237" w:line="192" w:lineRule="auto"/>
              <w:ind w:left="76"/>
              <w:rPr>
                <w:sz w:val="21"/>
                <w:szCs w:val="21"/>
              </w:rPr>
            </w:pPr>
            <w:r>
              <w:rPr>
                <w:rFonts w:ascii="Times New Roman" w:hAnsi="Times New Roman" w:eastAsia="Times New Roman" w:cs="Times New Roman"/>
                <w:spacing w:val="-1"/>
                <w:sz w:val="21"/>
                <w:szCs w:val="21"/>
              </w:rPr>
              <w:t>31.446642</w:t>
            </w:r>
            <w:r>
              <w:rPr>
                <w:rFonts w:ascii="Times New Roman" w:hAnsi="Times New Roman" w:eastAsia="Times New Roman" w:cs="Times New Roman"/>
                <w:spacing w:val="-25"/>
                <w:sz w:val="21"/>
                <w:szCs w:val="21"/>
              </w:rPr>
              <w:t xml:space="preserve"> </w:t>
            </w:r>
            <w:r>
              <w:rPr>
                <w:spacing w:val="-1"/>
                <w:sz w:val="21"/>
                <w:szCs w:val="21"/>
              </w:rPr>
              <w:t>°</w:t>
            </w:r>
          </w:p>
        </w:tc>
        <w:tc>
          <w:tcPr>
            <w:tcW w:w="1661" w:type="dxa"/>
            <w:vAlign w:val="top"/>
          </w:tcPr>
          <w:p>
            <w:pPr>
              <w:pStyle w:val="6"/>
              <w:spacing w:before="212" w:line="221" w:lineRule="auto"/>
              <w:ind w:left="207"/>
              <w:rPr>
                <w:sz w:val="21"/>
                <w:szCs w:val="21"/>
              </w:rPr>
            </w:pPr>
            <w:r>
              <w:rPr>
                <w:spacing w:val="-2"/>
                <w:sz w:val="21"/>
                <w:szCs w:val="21"/>
              </w:rPr>
              <w:t>背景值监测点</w:t>
            </w:r>
          </w:p>
        </w:tc>
        <w:tc>
          <w:tcPr>
            <w:tcW w:w="1534" w:type="dxa"/>
            <w:tcBorders>
              <w:right w:val="nil"/>
            </w:tcBorders>
            <w:vAlign w:val="top"/>
          </w:tcPr>
          <w:p>
            <w:pPr>
              <w:pStyle w:val="6"/>
              <w:spacing w:before="56" w:line="244" w:lineRule="auto"/>
              <w:ind w:left="688" w:right="136" w:hanging="547"/>
              <w:rPr>
                <w:sz w:val="21"/>
                <w:szCs w:val="21"/>
              </w:rPr>
            </w:pPr>
            <w:r>
              <w:rPr>
                <w:spacing w:val="-1"/>
                <w:sz w:val="21"/>
                <w:szCs w:val="21"/>
              </w:rPr>
              <w:t>地下水上游方</w:t>
            </w:r>
            <w:r>
              <w:rPr>
                <w:sz w:val="21"/>
                <w:szCs w:val="21"/>
              </w:rPr>
              <w:t xml:space="preserve"> 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633" w:type="dxa"/>
            <w:tcBorders>
              <w:left w:val="nil"/>
            </w:tcBorders>
            <w:vAlign w:val="top"/>
          </w:tcPr>
          <w:p>
            <w:pPr>
              <w:spacing w:before="254" w:line="195"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Q3</w:t>
            </w:r>
          </w:p>
        </w:tc>
        <w:tc>
          <w:tcPr>
            <w:tcW w:w="2609" w:type="dxa"/>
            <w:vAlign w:val="top"/>
          </w:tcPr>
          <w:p>
            <w:pPr>
              <w:pStyle w:val="6"/>
              <w:spacing w:before="219" w:line="221" w:lineRule="auto"/>
              <w:ind w:left="114"/>
              <w:rPr>
                <w:sz w:val="21"/>
                <w:szCs w:val="21"/>
              </w:rPr>
            </w:pPr>
            <w:r>
              <w:rPr>
                <w:spacing w:val="-1"/>
                <w:sz w:val="21"/>
                <w:szCs w:val="21"/>
              </w:rPr>
              <w:t>井口西南侧</w:t>
            </w:r>
            <w:r>
              <w:rPr>
                <w:spacing w:val="-46"/>
                <w:sz w:val="21"/>
                <w:szCs w:val="21"/>
              </w:rPr>
              <w:t xml:space="preserve"> </w:t>
            </w:r>
            <w:r>
              <w:rPr>
                <w:rFonts w:ascii="Times New Roman" w:hAnsi="Times New Roman" w:eastAsia="Times New Roman" w:cs="Times New Roman"/>
                <w:spacing w:val="-1"/>
                <w:sz w:val="21"/>
                <w:szCs w:val="21"/>
              </w:rPr>
              <w:t xml:space="preserve">253m </w:t>
            </w:r>
            <w:r>
              <w:rPr>
                <w:spacing w:val="-1"/>
                <w:sz w:val="21"/>
                <w:szCs w:val="21"/>
              </w:rPr>
              <w:t>处泉水</w:t>
            </w:r>
          </w:p>
        </w:tc>
        <w:tc>
          <w:tcPr>
            <w:tcW w:w="1249" w:type="dxa"/>
            <w:tcBorders>
              <w:right w:val="nil"/>
            </w:tcBorders>
            <w:vAlign w:val="top"/>
          </w:tcPr>
          <w:p>
            <w:pPr>
              <w:pStyle w:val="6"/>
              <w:spacing w:before="164" w:line="192" w:lineRule="auto"/>
              <w:jc w:val="right"/>
              <w:rPr>
                <w:sz w:val="21"/>
                <w:szCs w:val="21"/>
              </w:rPr>
            </w:pPr>
            <w:r>
              <w:rPr>
                <w:rFonts w:ascii="Times New Roman" w:hAnsi="Times New Roman" w:eastAsia="Times New Roman" w:cs="Times New Roman"/>
                <w:spacing w:val="-11"/>
                <w:sz w:val="21"/>
                <w:szCs w:val="21"/>
              </w:rPr>
              <w:t>107.236720</w:t>
            </w:r>
            <w:r>
              <w:rPr>
                <w:rFonts w:ascii="Times New Roman" w:hAnsi="Times New Roman" w:eastAsia="Times New Roman" w:cs="Times New Roman"/>
                <w:spacing w:val="-23"/>
                <w:sz w:val="21"/>
                <w:szCs w:val="21"/>
              </w:rPr>
              <w:t xml:space="preserve"> </w:t>
            </w:r>
            <w:r>
              <w:rPr>
                <w:spacing w:val="-11"/>
                <w:sz w:val="21"/>
                <w:szCs w:val="21"/>
              </w:rPr>
              <w:t>°</w:t>
            </w:r>
          </w:p>
        </w:tc>
        <w:tc>
          <w:tcPr>
            <w:tcW w:w="184" w:type="dxa"/>
            <w:tcBorders>
              <w:left w:val="nil"/>
              <w:right w:val="nil"/>
            </w:tcBorders>
            <w:vAlign w:val="top"/>
          </w:tcPr>
          <w:p>
            <w:pPr>
              <w:pStyle w:val="6"/>
              <w:spacing w:before="271" w:line="95" w:lineRule="exact"/>
              <w:jc w:val="right"/>
              <w:rPr>
                <w:sz w:val="21"/>
                <w:szCs w:val="21"/>
              </w:rPr>
            </w:pPr>
            <w:r>
              <w:rPr>
                <w:spacing w:val="-9"/>
                <w:w w:val="39"/>
                <w:position w:val="3"/>
                <w:sz w:val="21"/>
                <w:szCs w:val="21"/>
              </w:rPr>
              <w:t>,</w:t>
            </w:r>
          </w:p>
        </w:tc>
        <w:tc>
          <w:tcPr>
            <w:tcW w:w="1260" w:type="dxa"/>
            <w:tcBorders>
              <w:left w:val="nil"/>
            </w:tcBorders>
            <w:vAlign w:val="top"/>
          </w:tcPr>
          <w:p>
            <w:pPr>
              <w:pStyle w:val="6"/>
              <w:spacing w:before="164" w:line="192" w:lineRule="auto"/>
              <w:ind w:left="59"/>
              <w:rPr>
                <w:sz w:val="21"/>
                <w:szCs w:val="21"/>
              </w:rPr>
            </w:pPr>
            <w:r>
              <w:rPr>
                <w:rFonts w:ascii="Times New Roman" w:hAnsi="Times New Roman" w:eastAsia="Times New Roman" w:cs="Times New Roman"/>
                <w:spacing w:val="-1"/>
                <w:sz w:val="21"/>
                <w:szCs w:val="21"/>
              </w:rPr>
              <w:t>31.442464</w:t>
            </w:r>
            <w:r>
              <w:rPr>
                <w:rFonts w:ascii="Times New Roman" w:hAnsi="Times New Roman" w:eastAsia="Times New Roman" w:cs="Times New Roman"/>
                <w:spacing w:val="-27"/>
                <w:sz w:val="21"/>
                <w:szCs w:val="21"/>
              </w:rPr>
              <w:t xml:space="preserve"> </w:t>
            </w:r>
            <w:r>
              <w:rPr>
                <w:spacing w:val="-1"/>
                <w:sz w:val="21"/>
                <w:szCs w:val="21"/>
              </w:rPr>
              <w:t>°</w:t>
            </w:r>
          </w:p>
        </w:tc>
        <w:tc>
          <w:tcPr>
            <w:tcW w:w="1661" w:type="dxa"/>
            <w:vAlign w:val="top"/>
          </w:tcPr>
          <w:p>
            <w:pPr>
              <w:pStyle w:val="6"/>
              <w:spacing w:before="82" w:line="232" w:lineRule="auto"/>
              <w:ind w:left="739" w:right="198" w:hanging="534"/>
              <w:rPr>
                <w:sz w:val="21"/>
                <w:szCs w:val="21"/>
              </w:rPr>
            </w:pPr>
            <w:r>
              <w:rPr>
                <w:spacing w:val="-2"/>
                <w:sz w:val="21"/>
                <w:szCs w:val="21"/>
              </w:rPr>
              <w:t>污染扩散监测</w:t>
            </w:r>
            <w:r>
              <w:rPr>
                <w:spacing w:val="3"/>
                <w:sz w:val="21"/>
                <w:szCs w:val="21"/>
              </w:rPr>
              <w:t xml:space="preserve"> </w:t>
            </w:r>
            <w:r>
              <w:rPr>
                <w:sz w:val="21"/>
                <w:szCs w:val="21"/>
              </w:rPr>
              <w:t>点</w:t>
            </w:r>
          </w:p>
        </w:tc>
        <w:tc>
          <w:tcPr>
            <w:tcW w:w="1534" w:type="dxa"/>
            <w:tcBorders>
              <w:right w:val="nil"/>
            </w:tcBorders>
            <w:vAlign w:val="top"/>
          </w:tcPr>
          <w:p>
            <w:pPr>
              <w:pStyle w:val="6"/>
              <w:spacing w:before="63" w:line="241" w:lineRule="auto"/>
              <w:ind w:left="688" w:right="135" w:hanging="547"/>
              <w:rPr>
                <w:sz w:val="21"/>
                <w:szCs w:val="21"/>
              </w:rPr>
            </w:pPr>
            <w:r>
              <w:rPr>
                <w:spacing w:val="-1"/>
                <w:sz w:val="21"/>
                <w:szCs w:val="21"/>
              </w:rPr>
              <w:t>地下水侧向方</w:t>
            </w:r>
            <w:r>
              <w:rPr>
                <w:sz w:val="21"/>
                <w:szCs w:val="21"/>
              </w:rPr>
              <w:t xml:space="preserve"> 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33" w:type="dxa"/>
            <w:tcBorders>
              <w:left w:val="nil"/>
              <w:bottom w:val="single" w:color="000000" w:sz="10" w:space="0"/>
            </w:tcBorders>
            <w:vAlign w:val="top"/>
          </w:tcPr>
          <w:p>
            <w:pPr>
              <w:spacing w:before="261" w:line="195"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Q2</w:t>
            </w:r>
          </w:p>
        </w:tc>
        <w:tc>
          <w:tcPr>
            <w:tcW w:w="2609" w:type="dxa"/>
            <w:tcBorders>
              <w:bottom w:val="single" w:color="000000" w:sz="10" w:space="0"/>
            </w:tcBorders>
            <w:vAlign w:val="top"/>
          </w:tcPr>
          <w:p>
            <w:pPr>
              <w:pStyle w:val="6"/>
              <w:spacing w:before="225" w:line="221" w:lineRule="auto"/>
              <w:ind w:left="114"/>
              <w:rPr>
                <w:sz w:val="21"/>
                <w:szCs w:val="21"/>
              </w:rPr>
            </w:pPr>
            <w:r>
              <w:rPr>
                <w:spacing w:val="-2"/>
                <w:sz w:val="21"/>
                <w:szCs w:val="21"/>
              </w:rPr>
              <w:t>井口东南</w:t>
            </w:r>
            <w:r>
              <w:rPr>
                <w:spacing w:val="-35"/>
                <w:sz w:val="21"/>
                <w:szCs w:val="21"/>
              </w:rPr>
              <w:t xml:space="preserve"> </w:t>
            </w:r>
            <w:r>
              <w:rPr>
                <w:rFonts w:ascii="Times New Roman" w:hAnsi="Times New Roman" w:eastAsia="Times New Roman" w:cs="Times New Roman"/>
                <w:spacing w:val="-2"/>
                <w:sz w:val="21"/>
                <w:szCs w:val="21"/>
              </w:rPr>
              <w:t xml:space="preserve">314m </w:t>
            </w:r>
            <w:r>
              <w:rPr>
                <w:spacing w:val="-2"/>
                <w:sz w:val="21"/>
                <w:szCs w:val="21"/>
              </w:rPr>
              <w:t>处泉水</w:t>
            </w:r>
          </w:p>
        </w:tc>
        <w:tc>
          <w:tcPr>
            <w:tcW w:w="1249" w:type="dxa"/>
            <w:tcBorders>
              <w:bottom w:val="single" w:color="000000" w:sz="10" w:space="0"/>
              <w:right w:val="nil"/>
            </w:tcBorders>
            <w:vAlign w:val="top"/>
          </w:tcPr>
          <w:p>
            <w:pPr>
              <w:pStyle w:val="6"/>
              <w:spacing w:before="171" w:line="192" w:lineRule="auto"/>
              <w:jc w:val="right"/>
              <w:rPr>
                <w:sz w:val="21"/>
                <w:szCs w:val="21"/>
              </w:rPr>
            </w:pPr>
            <w:r>
              <w:rPr>
                <w:rFonts w:ascii="Times New Roman" w:hAnsi="Times New Roman" w:eastAsia="Times New Roman" w:cs="Times New Roman"/>
                <w:spacing w:val="-11"/>
                <w:sz w:val="21"/>
                <w:szCs w:val="21"/>
              </w:rPr>
              <w:t>107.239892</w:t>
            </w:r>
            <w:r>
              <w:rPr>
                <w:rFonts w:ascii="Times New Roman" w:hAnsi="Times New Roman" w:eastAsia="Times New Roman" w:cs="Times New Roman"/>
                <w:spacing w:val="-23"/>
                <w:sz w:val="21"/>
                <w:szCs w:val="21"/>
              </w:rPr>
              <w:t xml:space="preserve"> </w:t>
            </w:r>
            <w:r>
              <w:rPr>
                <w:spacing w:val="-11"/>
                <w:sz w:val="21"/>
                <w:szCs w:val="21"/>
              </w:rPr>
              <w:t>°</w:t>
            </w:r>
          </w:p>
        </w:tc>
        <w:tc>
          <w:tcPr>
            <w:tcW w:w="184" w:type="dxa"/>
            <w:tcBorders>
              <w:left w:val="nil"/>
              <w:bottom w:val="single" w:color="000000" w:sz="10" w:space="0"/>
              <w:right w:val="nil"/>
            </w:tcBorders>
            <w:vAlign w:val="top"/>
          </w:tcPr>
          <w:p>
            <w:pPr>
              <w:pStyle w:val="6"/>
              <w:spacing w:before="278" w:line="95" w:lineRule="exact"/>
              <w:jc w:val="right"/>
              <w:rPr>
                <w:sz w:val="21"/>
                <w:szCs w:val="21"/>
              </w:rPr>
            </w:pPr>
            <w:r>
              <w:rPr>
                <w:spacing w:val="-9"/>
                <w:w w:val="39"/>
                <w:position w:val="3"/>
                <w:sz w:val="21"/>
                <w:szCs w:val="21"/>
              </w:rPr>
              <w:t>,</w:t>
            </w:r>
          </w:p>
        </w:tc>
        <w:tc>
          <w:tcPr>
            <w:tcW w:w="1260" w:type="dxa"/>
            <w:tcBorders>
              <w:left w:val="nil"/>
              <w:bottom w:val="single" w:color="000000" w:sz="10" w:space="0"/>
            </w:tcBorders>
            <w:vAlign w:val="top"/>
          </w:tcPr>
          <w:p>
            <w:pPr>
              <w:pStyle w:val="6"/>
              <w:spacing w:before="171" w:line="192" w:lineRule="auto"/>
              <w:ind w:left="59"/>
              <w:rPr>
                <w:sz w:val="21"/>
                <w:szCs w:val="21"/>
              </w:rPr>
            </w:pPr>
            <w:r>
              <w:rPr>
                <w:rFonts w:ascii="Times New Roman" w:hAnsi="Times New Roman" w:eastAsia="Times New Roman" w:cs="Times New Roman"/>
                <w:spacing w:val="-1"/>
                <w:sz w:val="21"/>
                <w:szCs w:val="21"/>
              </w:rPr>
              <w:t>31.442131</w:t>
            </w:r>
            <w:r>
              <w:rPr>
                <w:rFonts w:ascii="Times New Roman" w:hAnsi="Times New Roman" w:eastAsia="Times New Roman" w:cs="Times New Roman"/>
                <w:spacing w:val="-27"/>
                <w:sz w:val="21"/>
                <w:szCs w:val="21"/>
              </w:rPr>
              <w:t xml:space="preserve"> </w:t>
            </w:r>
            <w:r>
              <w:rPr>
                <w:spacing w:val="-1"/>
                <w:sz w:val="21"/>
                <w:szCs w:val="21"/>
              </w:rPr>
              <w:t>°</w:t>
            </w:r>
          </w:p>
        </w:tc>
        <w:tc>
          <w:tcPr>
            <w:tcW w:w="1661" w:type="dxa"/>
            <w:tcBorders>
              <w:bottom w:val="single" w:color="000000" w:sz="10" w:space="0"/>
            </w:tcBorders>
            <w:vAlign w:val="top"/>
          </w:tcPr>
          <w:p>
            <w:pPr>
              <w:pStyle w:val="6"/>
              <w:spacing w:before="90" w:line="230" w:lineRule="auto"/>
              <w:ind w:left="518" w:right="198" w:hanging="315"/>
              <w:rPr>
                <w:sz w:val="21"/>
                <w:szCs w:val="21"/>
              </w:rPr>
            </w:pPr>
            <w:r>
              <w:rPr>
                <w:spacing w:val="-1"/>
                <w:sz w:val="21"/>
                <w:szCs w:val="21"/>
              </w:rPr>
              <w:t>环境影响跟踪</w:t>
            </w:r>
            <w:r>
              <w:rPr>
                <w:sz w:val="21"/>
                <w:szCs w:val="21"/>
              </w:rPr>
              <w:t xml:space="preserve"> </w:t>
            </w:r>
            <w:r>
              <w:rPr>
                <w:spacing w:val="-2"/>
                <w:sz w:val="21"/>
                <w:szCs w:val="21"/>
              </w:rPr>
              <w:t>监测点</w:t>
            </w:r>
          </w:p>
        </w:tc>
        <w:tc>
          <w:tcPr>
            <w:tcW w:w="1534" w:type="dxa"/>
            <w:tcBorders>
              <w:bottom w:val="single" w:color="000000" w:sz="10" w:space="0"/>
              <w:right w:val="nil"/>
            </w:tcBorders>
            <w:vAlign w:val="top"/>
          </w:tcPr>
          <w:p>
            <w:pPr>
              <w:pStyle w:val="6"/>
              <w:spacing w:before="70" w:line="248" w:lineRule="auto"/>
              <w:ind w:left="688" w:right="136" w:hanging="547"/>
              <w:rPr>
                <w:sz w:val="21"/>
                <w:szCs w:val="21"/>
              </w:rPr>
            </w:pPr>
            <w:r>
              <w:rPr>
                <w:spacing w:val="-1"/>
                <w:sz w:val="21"/>
                <w:szCs w:val="21"/>
              </w:rPr>
              <w:t>地下水下游方</w:t>
            </w:r>
            <w:r>
              <w:rPr>
                <w:sz w:val="21"/>
                <w:szCs w:val="21"/>
              </w:rPr>
              <w:t xml:space="preserve"> 向</w:t>
            </w:r>
          </w:p>
        </w:tc>
      </w:tr>
    </w:tbl>
    <w:p>
      <w:pPr>
        <w:spacing w:before="115" w:line="220" w:lineRule="auto"/>
        <w:ind w:left="618"/>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）监测项目</w:t>
      </w:r>
    </w:p>
    <w:p>
      <w:pPr>
        <w:spacing w:before="183" w:line="360" w:lineRule="auto"/>
        <w:ind w:left="130" w:right="28" w:firstLine="481"/>
        <w:rPr>
          <w:rFonts w:ascii="宋体" w:hAnsi="宋体" w:eastAsia="宋体" w:cs="宋体"/>
          <w:sz w:val="24"/>
          <w:szCs w:val="24"/>
        </w:rPr>
      </w:pPr>
      <w:r>
        <w:rPr>
          <w:rFonts w:ascii="宋体" w:hAnsi="宋体" w:eastAsia="宋体" w:cs="宋体"/>
          <w:spacing w:val="-4"/>
          <w:sz w:val="24"/>
          <w:szCs w:val="24"/>
        </w:rPr>
        <w:t>监测项目：</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pH</w:t>
      </w:r>
      <w:r>
        <w:rPr>
          <w:rFonts w:ascii="宋体" w:hAnsi="宋体" w:eastAsia="宋体" w:cs="宋体"/>
          <w:spacing w:val="-4"/>
          <w:sz w:val="24"/>
          <w:szCs w:val="24"/>
        </w:rPr>
        <w:t>、总硬度、溶解性总固体、铁、锰、挥发性酚类、耗氧量、氨氮、</w:t>
      </w:r>
      <w:r>
        <w:rPr>
          <w:rFonts w:ascii="宋体" w:hAnsi="宋体" w:eastAsia="宋体" w:cs="宋体"/>
          <w:sz w:val="24"/>
          <w:szCs w:val="24"/>
        </w:rPr>
        <w:t xml:space="preserve"> </w:t>
      </w:r>
      <w:r>
        <w:rPr>
          <w:rFonts w:ascii="宋体" w:hAnsi="宋体" w:eastAsia="宋体" w:cs="宋体"/>
          <w:spacing w:val="-13"/>
          <w:sz w:val="24"/>
          <w:szCs w:val="24"/>
        </w:rPr>
        <w:t>硫化物、总大肠菌群、菌落总数、硝酸盐、氰化物、砷、钡、汞、铬（六价）、石油类、</w:t>
      </w:r>
    </w:p>
    <w:p>
      <w:pPr>
        <w:spacing w:line="212" w:lineRule="auto"/>
        <w:ind w:left="131"/>
        <w:rPr>
          <w:rFonts w:ascii="宋体" w:hAnsi="宋体" w:eastAsia="宋体" w:cs="宋体"/>
          <w:sz w:val="24"/>
          <w:szCs w:val="24"/>
        </w:rPr>
      </w:pPr>
      <w:r>
        <w:rPr>
          <w:rFonts w:ascii="Times New Roman" w:hAnsi="Times New Roman" w:eastAsia="Times New Roman" w:cs="Times New Roman"/>
          <w:spacing w:val="-5"/>
          <w:sz w:val="24"/>
          <w:szCs w:val="24"/>
        </w:rPr>
        <w:t>CO</w:t>
      </w:r>
      <w:r>
        <w:rPr>
          <w:rFonts w:ascii="Times New Roman" w:hAnsi="Times New Roman" w:eastAsia="Times New Roman" w:cs="Times New Roman"/>
          <w:spacing w:val="-5"/>
          <w:position w:val="-2"/>
          <w:sz w:val="16"/>
          <w:szCs w:val="16"/>
        </w:rPr>
        <w:t>3</w:t>
      </w:r>
      <w:r>
        <w:rPr>
          <w:rFonts w:ascii="Times New Roman" w:hAnsi="Times New Roman" w:eastAsia="Times New Roman" w:cs="Times New Roman"/>
          <w:spacing w:val="-5"/>
          <w:position w:val="8"/>
          <w:sz w:val="16"/>
          <w:szCs w:val="16"/>
        </w:rPr>
        <w:t>2-</w:t>
      </w:r>
      <w:r>
        <w:rPr>
          <w:rFonts w:ascii="Times New Roman" w:hAnsi="Times New Roman" w:eastAsia="Times New Roman" w:cs="Times New Roman"/>
          <w:spacing w:val="-3"/>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HCO</w:t>
      </w:r>
      <w:r>
        <w:rPr>
          <w:rFonts w:ascii="Times New Roman" w:hAnsi="Times New Roman" w:eastAsia="Times New Roman" w:cs="Times New Roman"/>
          <w:spacing w:val="-5"/>
          <w:position w:val="-2"/>
          <w:sz w:val="16"/>
          <w:szCs w:val="16"/>
        </w:rPr>
        <w:t>3</w:t>
      </w:r>
      <w:r>
        <w:rPr>
          <w:rFonts w:ascii="Times New Roman" w:hAnsi="Times New Roman" w:eastAsia="Times New Roman" w:cs="Times New Roman"/>
          <w:spacing w:val="-5"/>
          <w:position w:val="8"/>
          <w:sz w:val="16"/>
          <w:szCs w:val="16"/>
        </w:rPr>
        <w:t>-</w:t>
      </w:r>
      <w:r>
        <w:rPr>
          <w:rFonts w:ascii="Times New Roman" w:hAnsi="Times New Roman" w:eastAsia="Times New Roman" w:cs="Times New Roman"/>
          <w:spacing w:val="-15"/>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Ca</w:t>
      </w:r>
      <w:r>
        <w:rPr>
          <w:rFonts w:ascii="Times New Roman" w:hAnsi="Times New Roman" w:eastAsia="Times New Roman" w:cs="Times New Roman"/>
          <w:spacing w:val="-5"/>
          <w:position w:val="8"/>
          <w:sz w:val="16"/>
          <w:szCs w:val="16"/>
        </w:rPr>
        <w:t>2+</w:t>
      </w:r>
      <w:r>
        <w:rPr>
          <w:rFonts w:ascii="Times New Roman" w:hAnsi="Times New Roman" w:eastAsia="Times New Roman" w:cs="Times New Roman"/>
          <w:spacing w:val="-13"/>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Mg</w:t>
      </w:r>
      <w:r>
        <w:rPr>
          <w:rFonts w:ascii="Times New Roman" w:hAnsi="Times New Roman" w:eastAsia="Times New Roman" w:cs="Times New Roman"/>
          <w:spacing w:val="-5"/>
          <w:position w:val="8"/>
          <w:sz w:val="16"/>
          <w:szCs w:val="16"/>
        </w:rPr>
        <w:t>2+</w:t>
      </w:r>
      <w:r>
        <w:rPr>
          <w:rFonts w:ascii="Times New Roman" w:hAnsi="Times New Roman" w:eastAsia="Times New Roman" w:cs="Times New Roman"/>
          <w:spacing w:val="-13"/>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K</w:t>
      </w:r>
      <w:r>
        <w:rPr>
          <w:rFonts w:ascii="Times New Roman" w:hAnsi="Times New Roman" w:eastAsia="Times New Roman" w:cs="Times New Roman"/>
          <w:spacing w:val="-5"/>
          <w:position w:val="8"/>
          <w:sz w:val="16"/>
          <w:szCs w:val="16"/>
        </w:rPr>
        <w:t>+</w:t>
      </w:r>
      <w:r>
        <w:rPr>
          <w:rFonts w:ascii="Times New Roman" w:hAnsi="Times New Roman" w:eastAsia="Times New Roman" w:cs="Times New Roman"/>
          <w:spacing w:val="-14"/>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Na</w:t>
      </w:r>
      <w:r>
        <w:rPr>
          <w:rFonts w:ascii="Times New Roman" w:hAnsi="Times New Roman" w:eastAsia="Times New Roman" w:cs="Times New Roman"/>
          <w:spacing w:val="-5"/>
          <w:position w:val="8"/>
          <w:sz w:val="16"/>
          <w:szCs w:val="16"/>
        </w:rPr>
        <w:t>+</w:t>
      </w:r>
      <w:r>
        <w:rPr>
          <w:rFonts w:ascii="Times New Roman" w:hAnsi="Times New Roman" w:eastAsia="Times New Roman" w:cs="Times New Roman"/>
          <w:spacing w:val="-13"/>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Cl</w:t>
      </w:r>
      <w:r>
        <w:rPr>
          <w:rFonts w:ascii="Times New Roman" w:hAnsi="Times New Roman" w:eastAsia="Times New Roman" w:cs="Times New Roman"/>
          <w:spacing w:val="-5"/>
          <w:position w:val="8"/>
          <w:sz w:val="16"/>
          <w:szCs w:val="16"/>
        </w:rPr>
        <w:t>-</w:t>
      </w:r>
      <w:r>
        <w:rPr>
          <w:rFonts w:ascii="Times New Roman" w:hAnsi="Times New Roman" w:eastAsia="Times New Roman" w:cs="Times New Roman"/>
          <w:spacing w:val="-15"/>
          <w:position w:val="8"/>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2"/>
          <w:sz w:val="16"/>
          <w:szCs w:val="16"/>
        </w:rPr>
        <w:t>4</w:t>
      </w:r>
      <w:r>
        <w:rPr>
          <w:rFonts w:ascii="Times New Roman" w:hAnsi="Times New Roman" w:eastAsia="Times New Roman" w:cs="Times New Roman"/>
          <w:spacing w:val="-5"/>
          <w:position w:val="8"/>
          <w:sz w:val="16"/>
          <w:szCs w:val="16"/>
        </w:rPr>
        <w:t>2-</w:t>
      </w:r>
      <w:r>
        <w:rPr>
          <w:rFonts w:ascii="Times New Roman" w:hAnsi="Times New Roman" w:eastAsia="Times New Roman" w:cs="Times New Roman"/>
          <w:spacing w:val="-8"/>
          <w:position w:val="8"/>
          <w:sz w:val="16"/>
          <w:szCs w:val="16"/>
        </w:rPr>
        <w:t xml:space="preserve"> </w:t>
      </w:r>
      <w:r>
        <w:rPr>
          <w:rFonts w:ascii="宋体" w:hAnsi="宋体" w:eastAsia="宋体" w:cs="宋体"/>
          <w:spacing w:val="-5"/>
          <w:sz w:val="24"/>
          <w:szCs w:val="24"/>
        </w:rPr>
        <w:t>。项目完钻验收监测一次。</w:t>
      </w:r>
    </w:p>
    <w:p>
      <w:pPr>
        <w:spacing w:before="191" w:line="220" w:lineRule="auto"/>
        <w:ind w:left="615"/>
        <w:rPr>
          <w:rFonts w:ascii="宋体" w:hAnsi="宋体" w:eastAsia="宋体" w:cs="宋体"/>
          <w:sz w:val="24"/>
          <w:szCs w:val="24"/>
        </w:rPr>
      </w:pPr>
      <w:r>
        <w:rPr>
          <w:rFonts w:ascii="宋体" w:hAnsi="宋体" w:eastAsia="宋体" w:cs="宋体"/>
          <w:spacing w:val="-5"/>
          <w:sz w:val="24"/>
          <w:szCs w:val="24"/>
        </w:rPr>
        <w:t>如遇到特殊情况或发生污染事故，</w:t>
      </w:r>
      <w:r>
        <w:rPr>
          <w:rFonts w:ascii="宋体" w:hAnsi="宋体" w:eastAsia="宋体" w:cs="宋体"/>
          <w:spacing w:val="67"/>
          <w:sz w:val="24"/>
          <w:szCs w:val="24"/>
        </w:rPr>
        <w:t xml:space="preserve"> </w:t>
      </w:r>
      <w:r>
        <w:rPr>
          <w:rFonts w:ascii="宋体" w:hAnsi="宋体" w:eastAsia="宋体" w:cs="宋体"/>
          <w:spacing w:val="-5"/>
          <w:sz w:val="24"/>
          <w:szCs w:val="24"/>
        </w:rPr>
        <w:t>可能影响地下水水质时，可根</w:t>
      </w:r>
      <w:r>
        <w:rPr>
          <w:rFonts w:ascii="宋体" w:hAnsi="宋体" w:eastAsia="宋体" w:cs="宋体"/>
          <w:spacing w:val="-6"/>
          <w:sz w:val="24"/>
          <w:szCs w:val="24"/>
        </w:rPr>
        <w:t>据实际情况增加</w:t>
      </w:r>
    </w:p>
    <w:p>
      <w:pPr>
        <w:spacing w:line="220" w:lineRule="auto"/>
        <w:rPr>
          <w:rFonts w:ascii="宋体" w:hAnsi="宋体" w:eastAsia="宋体" w:cs="宋体"/>
          <w:sz w:val="24"/>
          <w:szCs w:val="24"/>
        </w:rPr>
        <w:sectPr>
          <w:footerReference r:id="rId196" w:type="default"/>
          <w:pgSz w:w="11907" w:h="16839"/>
          <w:pgMar w:top="400" w:right="1308" w:bottom="1151" w:left="1466" w:header="0" w:footer="988" w:gutter="0"/>
          <w:cols w:space="720" w:num="1"/>
        </w:sectPr>
      </w:pPr>
    </w:p>
    <w:p>
      <w:pPr>
        <w:pStyle w:val="2"/>
        <w:spacing w:line="267"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spacing w:before="78" w:line="220" w:lineRule="auto"/>
        <w:ind w:left="132"/>
        <w:rPr>
          <w:rFonts w:ascii="宋体" w:hAnsi="宋体" w:eastAsia="宋体" w:cs="宋体"/>
          <w:sz w:val="24"/>
          <w:szCs w:val="24"/>
        </w:rPr>
      </w:pPr>
      <w:r>
        <w:rPr>
          <w:rFonts w:ascii="宋体" w:hAnsi="宋体" w:eastAsia="宋体" w:cs="宋体"/>
          <w:spacing w:val="-8"/>
          <w:sz w:val="24"/>
          <w:szCs w:val="24"/>
        </w:rPr>
        <w:t>监测项目。</w:t>
      </w:r>
    </w:p>
    <w:p>
      <w:pPr>
        <w:spacing w:before="181" w:line="220" w:lineRule="auto"/>
        <w:ind w:left="61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）监测时段与频次</w:t>
      </w:r>
    </w:p>
    <w:p>
      <w:pPr>
        <w:spacing w:before="182" w:line="220" w:lineRule="auto"/>
        <w:ind w:left="615"/>
        <w:rPr>
          <w:rFonts w:ascii="宋体" w:hAnsi="宋体" w:eastAsia="宋体" w:cs="宋体"/>
          <w:sz w:val="24"/>
          <w:szCs w:val="24"/>
        </w:rPr>
      </w:pPr>
      <w:r>
        <w:rPr>
          <w:rFonts w:ascii="宋体" w:hAnsi="宋体" w:eastAsia="宋体" w:cs="宋体"/>
          <w:spacing w:val="-7"/>
          <w:sz w:val="24"/>
          <w:szCs w:val="24"/>
        </w:rPr>
        <w:t xml:space="preserve">项目钻后监测一次。监测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天，每天监测</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次。</w:t>
      </w:r>
    </w:p>
    <w:p>
      <w:pPr>
        <w:spacing w:before="182" w:line="219" w:lineRule="auto"/>
        <w:ind w:left="611"/>
        <w:rPr>
          <w:rFonts w:ascii="宋体" w:hAnsi="宋体" w:eastAsia="宋体" w:cs="宋体"/>
          <w:sz w:val="24"/>
          <w:szCs w:val="24"/>
        </w:rPr>
      </w:pPr>
      <w:r>
        <w:rPr>
          <w:rFonts w:ascii="宋体" w:hAnsi="宋体" w:eastAsia="宋体" w:cs="宋体"/>
          <w:spacing w:val="-3"/>
          <w:sz w:val="24"/>
          <w:szCs w:val="24"/>
        </w:rPr>
        <w:t>拟建项目地下水跟踪监测频次及监测因子见下表：</w:t>
      </w:r>
    </w:p>
    <w:p>
      <w:pPr>
        <w:spacing w:before="103" w:line="220" w:lineRule="auto"/>
        <w:ind w:left="246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6"/>
          <w:sz w:val="24"/>
          <w:szCs w:val="24"/>
        </w:rPr>
        <w:t xml:space="preserve"> </w:t>
      </w:r>
      <w:r>
        <w:rPr>
          <w:rFonts w:ascii="Times New Roman" w:hAnsi="Times New Roman" w:eastAsia="Times New Roman" w:cs="Times New Roman"/>
          <w:b/>
          <w:bCs/>
          <w:spacing w:val="-1"/>
          <w:sz w:val="24"/>
          <w:szCs w:val="24"/>
        </w:rPr>
        <w:t xml:space="preserve">4.3-2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地下水跟踪监测频次及监测因子</w:t>
      </w:r>
    </w:p>
    <w:p>
      <w:pPr>
        <w:spacing w:line="146" w:lineRule="exact"/>
      </w:pPr>
    </w:p>
    <w:tbl>
      <w:tblPr>
        <w:tblStyle w:val="5"/>
        <w:tblW w:w="91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9"/>
        <w:gridCol w:w="2148"/>
        <w:gridCol w:w="1877"/>
        <w:gridCol w:w="38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289" w:type="dxa"/>
            <w:tcBorders>
              <w:top w:val="single" w:color="000000" w:sz="10" w:space="0"/>
              <w:left w:val="nil"/>
            </w:tcBorders>
            <w:vAlign w:val="top"/>
          </w:tcPr>
          <w:p>
            <w:pPr>
              <w:pStyle w:val="6"/>
              <w:spacing w:before="55" w:line="221" w:lineRule="auto"/>
              <w:ind w:left="239"/>
              <w:rPr>
                <w:sz w:val="21"/>
                <w:szCs w:val="21"/>
              </w:rPr>
            </w:pPr>
            <w:r>
              <w:rPr>
                <w:spacing w:val="-2"/>
                <w:sz w:val="21"/>
                <w:szCs w:val="21"/>
              </w:rPr>
              <w:t>监测阶段</w:t>
            </w:r>
          </w:p>
        </w:tc>
        <w:tc>
          <w:tcPr>
            <w:tcW w:w="2148" w:type="dxa"/>
            <w:tcBorders>
              <w:top w:val="single" w:color="000000" w:sz="10" w:space="0"/>
            </w:tcBorders>
            <w:vAlign w:val="top"/>
          </w:tcPr>
          <w:p>
            <w:pPr>
              <w:pStyle w:val="6"/>
              <w:spacing w:before="55" w:line="221" w:lineRule="auto"/>
              <w:ind w:left="656"/>
              <w:rPr>
                <w:sz w:val="21"/>
                <w:szCs w:val="21"/>
              </w:rPr>
            </w:pPr>
            <w:r>
              <w:rPr>
                <w:spacing w:val="-2"/>
                <w:sz w:val="21"/>
                <w:szCs w:val="21"/>
              </w:rPr>
              <w:t>监测时段</w:t>
            </w:r>
          </w:p>
        </w:tc>
        <w:tc>
          <w:tcPr>
            <w:tcW w:w="1877" w:type="dxa"/>
            <w:tcBorders>
              <w:top w:val="single" w:color="000000" w:sz="10" w:space="0"/>
            </w:tcBorders>
            <w:vAlign w:val="top"/>
          </w:tcPr>
          <w:p>
            <w:pPr>
              <w:pStyle w:val="6"/>
              <w:spacing w:before="54" w:line="221" w:lineRule="auto"/>
              <w:ind w:left="522"/>
              <w:rPr>
                <w:sz w:val="21"/>
                <w:szCs w:val="21"/>
              </w:rPr>
            </w:pPr>
            <w:r>
              <w:rPr>
                <w:spacing w:val="-2"/>
                <w:sz w:val="21"/>
                <w:szCs w:val="21"/>
              </w:rPr>
              <w:t>监测频率</w:t>
            </w:r>
          </w:p>
        </w:tc>
        <w:tc>
          <w:tcPr>
            <w:tcW w:w="3816" w:type="dxa"/>
            <w:tcBorders>
              <w:top w:val="single" w:color="000000" w:sz="10" w:space="0"/>
              <w:right w:val="nil"/>
            </w:tcBorders>
            <w:vAlign w:val="top"/>
          </w:tcPr>
          <w:p>
            <w:pPr>
              <w:pStyle w:val="6"/>
              <w:spacing w:before="55" w:line="221" w:lineRule="auto"/>
              <w:ind w:left="1492"/>
              <w:rPr>
                <w:sz w:val="21"/>
                <w:szCs w:val="21"/>
              </w:rPr>
            </w:pPr>
            <w:r>
              <w:rPr>
                <w:spacing w:val="-2"/>
                <w:sz w:val="21"/>
                <w:szCs w:val="21"/>
              </w:rPr>
              <w:t>监测因子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2" w:hRule="atLeast"/>
        </w:trPr>
        <w:tc>
          <w:tcPr>
            <w:tcW w:w="1289" w:type="dxa"/>
            <w:tcBorders>
              <w:left w:val="nil"/>
              <w:bottom w:val="single" w:color="000000" w:sz="10"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21" w:lineRule="auto"/>
              <w:ind w:left="344"/>
              <w:rPr>
                <w:sz w:val="21"/>
                <w:szCs w:val="21"/>
              </w:rPr>
            </w:pPr>
            <w:r>
              <w:rPr>
                <w:spacing w:val="-2"/>
                <w:sz w:val="21"/>
                <w:szCs w:val="21"/>
              </w:rPr>
              <w:t>钻井期</w:t>
            </w:r>
          </w:p>
        </w:tc>
        <w:tc>
          <w:tcPr>
            <w:tcW w:w="2148" w:type="dxa"/>
            <w:tcBorders>
              <w:bottom w:val="single" w:color="000000" w:sz="10"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21" w:lineRule="auto"/>
              <w:ind w:left="237"/>
              <w:rPr>
                <w:sz w:val="21"/>
                <w:szCs w:val="21"/>
              </w:rPr>
            </w:pPr>
            <w:r>
              <w:rPr>
                <w:spacing w:val="-1"/>
                <w:sz w:val="21"/>
                <w:szCs w:val="21"/>
              </w:rPr>
              <w:t>完钻验收监测一次</w:t>
            </w:r>
          </w:p>
        </w:tc>
        <w:tc>
          <w:tcPr>
            <w:tcW w:w="1877" w:type="dxa"/>
            <w:tcBorders>
              <w:bottom w:val="single" w:color="000000" w:sz="10" w:space="0"/>
            </w:tcBorders>
            <w:vAlign w:val="top"/>
          </w:tcPr>
          <w:p>
            <w:pPr>
              <w:spacing w:line="303" w:lineRule="auto"/>
              <w:rPr>
                <w:rFonts w:ascii="Arial"/>
                <w:sz w:val="21"/>
              </w:rPr>
            </w:pPr>
          </w:p>
          <w:p>
            <w:pPr>
              <w:spacing w:line="304" w:lineRule="auto"/>
              <w:rPr>
                <w:rFonts w:ascii="Arial"/>
                <w:sz w:val="21"/>
              </w:rPr>
            </w:pPr>
          </w:p>
          <w:p>
            <w:pPr>
              <w:pStyle w:val="6"/>
              <w:spacing w:before="69" w:line="247" w:lineRule="auto"/>
              <w:ind w:left="841" w:right="122" w:hanging="712"/>
              <w:rPr>
                <w:sz w:val="21"/>
                <w:szCs w:val="21"/>
              </w:rPr>
            </w:pPr>
            <w:r>
              <w:rPr>
                <w:spacing w:val="-19"/>
                <w:sz w:val="21"/>
                <w:szCs w:val="21"/>
              </w:rPr>
              <w:t>监测</w:t>
            </w:r>
            <w:r>
              <w:rPr>
                <w:spacing w:val="-21"/>
                <w:sz w:val="21"/>
                <w:szCs w:val="21"/>
              </w:rPr>
              <w:t xml:space="preserve"> </w:t>
            </w:r>
            <w:r>
              <w:rPr>
                <w:rFonts w:ascii="Times New Roman" w:hAnsi="Times New Roman" w:eastAsia="Times New Roman" w:cs="Times New Roman"/>
                <w:spacing w:val="-19"/>
                <w:sz w:val="21"/>
                <w:szCs w:val="21"/>
              </w:rPr>
              <w:t>1</w:t>
            </w:r>
            <w:r>
              <w:rPr>
                <w:rFonts w:ascii="Times New Roman" w:hAnsi="Times New Roman" w:eastAsia="Times New Roman" w:cs="Times New Roman"/>
                <w:spacing w:val="10"/>
                <w:sz w:val="21"/>
                <w:szCs w:val="21"/>
              </w:rPr>
              <w:t xml:space="preserve"> </w:t>
            </w:r>
            <w:r>
              <w:rPr>
                <w:spacing w:val="-19"/>
                <w:sz w:val="21"/>
                <w:szCs w:val="21"/>
              </w:rPr>
              <w:t>天，</w:t>
            </w:r>
            <w:r>
              <w:rPr>
                <w:spacing w:val="-28"/>
                <w:sz w:val="21"/>
                <w:szCs w:val="21"/>
              </w:rPr>
              <w:t xml:space="preserve"> </w:t>
            </w:r>
            <w:r>
              <w:rPr>
                <w:spacing w:val="-19"/>
                <w:sz w:val="21"/>
                <w:szCs w:val="21"/>
              </w:rPr>
              <w:t>每天</w:t>
            </w:r>
            <w:r>
              <w:rPr>
                <w:spacing w:val="-27"/>
                <w:sz w:val="21"/>
                <w:szCs w:val="21"/>
              </w:rPr>
              <w:t xml:space="preserve"> </w:t>
            </w:r>
            <w:r>
              <w:rPr>
                <w:rFonts w:ascii="Times New Roman" w:hAnsi="Times New Roman" w:eastAsia="Times New Roman" w:cs="Times New Roman"/>
                <w:spacing w:val="-19"/>
                <w:sz w:val="21"/>
                <w:szCs w:val="21"/>
              </w:rPr>
              <w:t>1</w:t>
            </w:r>
            <w:r>
              <w:rPr>
                <w:rFonts w:ascii="Times New Roman" w:hAnsi="Times New Roman" w:eastAsia="Times New Roman" w:cs="Times New Roman"/>
                <w:sz w:val="21"/>
                <w:szCs w:val="21"/>
              </w:rPr>
              <w:t xml:space="preserve"> </w:t>
            </w:r>
            <w:r>
              <w:rPr>
                <w:sz w:val="21"/>
                <w:szCs w:val="21"/>
              </w:rPr>
              <w:t>次</w:t>
            </w:r>
          </w:p>
        </w:tc>
        <w:tc>
          <w:tcPr>
            <w:tcW w:w="3816" w:type="dxa"/>
            <w:tcBorders>
              <w:bottom w:val="single" w:color="000000" w:sz="10" w:space="0"/>
              <w:right w:val="nil"/>
            </w:tcBorders>
            <w:vAlign w:val="top"/>
          </w:tcPr>
          <w:p>
            <w:pPr>
              <w:pStyle w:val="6"/>
              <w:spacing w:before="55" w:line="262" w:lineRule="auto"/>
              <w:ind w:left="111" w:right="61" w:hanging="8"/>
              <w:rPr>
                <w:sz w:val="21"/>
                <w:szCs w:val="21"/>
              </w:rPr>
            </w:pPr>
            <w:r>
              <w:rPr>
                <w:rFonts w:ascii="Times New Roman" w:hAnsi="Times New Roman" w:eastAsia="Times New Roman" w:cs="Times New Roman"/>
                <w:spacing w:val="-2"/>
                <w:sz w:val="21"/>
                <w:szCs w:val="21"/>
              </w:rPr>
              <w:t>pH</w:t>
            </w:r>
            <w:r>
              <w:rPr>
                <w:spacing w:val="-2"/>
                <w:sz w:val="21"/>
                <w:szCs w:val="21"/>
              </w:rPr>
              <w:t>、总硬度、溶解性总固体、铁、锰、</w:t>
            </w:r>
            <w:r>
              <w:rPr>
                <w:spacing w:val="7"/>
                <w:sz w:val="21"/>
                <w:szCs w:val="21"/>
              </w:rPr>
              <w:t xml:space="preserve"> </w:t>
            </w:r>
            <w:r>
              <w:rPr>
                <w:sz w:val="21"/>
                <w:szCs w:val="21"/>
              </w:rPr>
              <w:t>挥发性酚类、耗氧量、氨氮、硫化物、</w:t>
            </w:r>
            <w:r>
              <w:rPr>
                <w:spacing w:val="11"/>
                <w:sz w:val="21"/>
                <w:szCs w:val="21"/>
              </w:rPr>
              <w:t xml:space="preserve"> </w:t>
            </w:r>
            <w:r>
              <w:rPr>
                <w:sz w:val="21"/>
                <w:szCs w:val="21"/>
              </w:rPr>
              <w:t>总大肠菌群、菌落总数、硝酸盐、氰化</w:t>
            </w:r>
            <w:r>
              <w:rPr>
                <w:spacing w:val="9"/>
                <w:sz w:val="21"/>
                <w:szCs w:val="21"/>
              </w:rPr>
              <w:t xml:space="preserve"> </w:t>
            </w:r>
            <w:r>
              <w:rPr>
                <w:spacing w:val="-8"/>
                <w:sz w:val="21"/>
                <w:szCs w:val="21"/>
              </w:rPr>
              <w:t>物、砷、钡、汞、铬（六价）、石油类、</w:t>
            </w:r>
            <w:r>
              <w:rPr>
                <w:spacing w:val="3"/>
                <w:sz w:val="21"/>
                <w:szCs w:val="21"/>
              </w:rPr>
              <w:t xml:space="preserve"> </w:t>
            </w:r>
            <w:r>
              <w:rPr>
                <w:rFonts w:ascii="Times New Roman" w:hAnsi="Times New Roman" w:eastAsia="Times New Roman" w:cs="Times New Roman"/>
                <w:spacing w:val="-3"/>
                <w:position w:val="-1"/>
                <w:sz w:val="21"/>
                <w:szCs w:val="21"/>
              </w:rPr>
              <w:t>CO</w:t>
            </w:r>
            <w:r>
              <w:rPr>
                <w:rFonts w:ascii="Times New Roman" w:hAnsi="Times New Roman" w:eastAsia="Times New Roman" w:cs="Times New Roman"/>
                <w:spacing w:val="-3"/>
                <w:position w:val="-3"/>
                <w:sz w:val="13"/>
                <w:szCs w:val="13"/>
              </w:rPr>
              <w:t>3</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11"/>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HCO</w:t>
            </w:r>
            <w:r>
              <w:rPr>
                <w:rFonts w:ascii="Times New Roman" w:hAnsi="Times New Roman" w:eastAsia="Times New Roman" w:cs="Times New Roman"/>
                <w:spacing w:val="-3"/>
                <w:position w:val="-3"/>
                <w:sz w:val="13"/>
                <w:szCs w:val="13"/>
              </w:rPr>
              <w:t>3</w:t>
            </w:r>
            <w:r>
              <w:rPr>
                <w:rFonts w:ascii="Times New Roman" w:hAnsi="Times New Roman" w:eastAsia="Times New Roman" w:cs="Times New Roman"/>
                <w:spacing w:val="-3"/>
                <w:position w:val="5"/>
                <w:sz w:val="13"/>
                <w:szCs w:val="13"/>
              </w:rPr>
              <w:t>-</w:t>
            </w:r>
            <w:r>
              <w:rPr>
                <w:rFonts w:ascii="Times New Roman" w:hAnsi="Times New Roman" w:eastAsia="Times New Roman" w:cs="Times New Roman"/>
                <w:spacing w:val="-10"/>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Ca</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11"/>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Mg</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8"/>
                <w:position w:val="5"/>
                <w:sz w:val="13"/>
                <w:szCs w:val="13"/>
              </w:rPr>
              <w:t xml:space="preserve"> </w:t>
            </w:r>
            <w:r>
              <w:rPr>
                <w:spacing w:val="-3"/>
                <w:position w:val="-1"/>
                <w:sz w:val="21"/>
                <w:szCs w:val="21"/>
              </w:rPr>
              <w:t>、</w:t>
            </w:r>
            <w:r>
              <w:rPr>
                <w:rFonts w:ascii="Times New Roman" w:hAnsi="Times New Roman" w:eastAsia="Times New Roman" w:cs="Times New Roman"/>
                <w:spacing w:val="-3"/>
                <w:position w:val="-1"/>
                <w:sz w:val="21"/>
                <w:szCs w:val="21"/>
              </w:rPr>
              <w:t>K</w:t>
            </w:r>
            <w:r>
              <w:rPr>
                <w:rFonts w:ascii="Times New Roman" w:hAnsi="Times New Roman" w:eastAsia="Times New Roman" w:cs="Times New Roman"/>
                <w:spacing w:val="-4"/>
                <w:position w:val="5"/>
                <w:sz w:val="13"/>
                <w:szCs w:val="13"/>
              </w:rPr>
              <w:t>+</w:t>
            </w:r>
            <w:r>
              <w:rPr>
                <w:rFonts w:ascii="Times New Roman" w:hAnsi="Times New Roman" w:eastAsia="Times New Roman" w:cs="Times New Roman"/>
                <w:spacing w:val="-11"/>
                <w:position w:val="5"/>
                <w:sz w:val="13"/>
                <w:szCs w:val="13"/>
              </w:rPr>
              <w:t xml:space="preserve"> </w:t>
            </w:r>
            <w:r>
              <w:rPr>
                <w:spacing w:val="-4"/>
                <w:position w:val="-1"/>
                <w:sz w:val="21"/>
                <w:szCs w:val="21"/>
              </w:rPr>
              <w:t>、</w:t>
            </w:r>
            <w:r>
              <w:rPr>
                <w:rFonts w:ascii="Times New Roman" w:hAnsi="Times New Roman" w:eastAsia="Times New Roman" w:cs="Times New Roman"/>
                <w:spacing w:val="-4"/>
                <w:position w:val="-1"/>
                <w:sz w:val="21"/>
                <w:szCs w:val="21"/>
              </w:rPr>
              <w:t>Na</w:t>
            </w:r>
            <w:r>
              <w:rPr>
                <w:rFonts w:ascii="Times New Roman" w:hAnsi="Times New Roman" w:eastAsia="Times New Roman" w:cs="Times New Roman"/>
                <w:spacing w:val="-4"/>
                <w:position w:val="5"/>
                <w:sz w:val="13"/>
                <w:szCs w:val="13"/>
              </w:rPr>
              <w:t>+</w:t>
            </w:r>
            <w:r>
              <w:rPr>
                <w:spacing w:val="-4"/>
                <w:position w:val="-1"/>
                <w:sz w:val="21"/>
                <w:szCs w:val="21"/>
              </w:rPr>
              <w:t>、</w:t>
            </w:r>
          </w:p>
          <w:p>
            <w:pPr>
              <w:pStyle w:val="6"/>
              <w:spacing w:before="86" w:line="198" w:lineRule="auto"/>
              <w:ind w:left="145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Cl</w:t>
            </w:r>
            <w:r>
              <w:rPr>
                <w:rFonts w:ascii="Times New Roman" w:hAnsi="Times New Roman" w:eastAsia="Times New Roman" w:cs="Times New Roman"/>
                <w:spacing w:val="-2"/>
                <w:position w:val="6"/>
                <w:sz w:val="13"/>
                <w:szCs w:val="13"/>
              </w:rPr>
              <w:t>-</w:t>
            </w:r>
            <w:r>
              <w:rPr>
                <w:rFonts w:ascii="Times New Roman" w:hAnsi="Times New Roman" w:eastAsia="Times New Roman" w:cs="Times New Roman"/>
                <w:spacing w:val="-7"/>
                <w:position w:val="6"/>
                <w:sz w:val="13"/>
                <w:szCs w:val="13"/>
              </w:rPr>
              <w:t xml:space="preserve"> </w:t>
            </w:r>
            <w:r>
              <w:rPr>
                <w:spacing w:val="-2"/>
                <w:sz w:val="21"/>
                <w:szCs w:val="21"/>
              </w:rPr>
              <w:t>、</w:t>
            </w: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4</w:t>
            </w:r>
            <w:r>
              <w:rPr>
                <w:rFonts w:ascii="Times New Roman" w:hAnsi="Times New Roman" w:eastAsia="Times New Roman" w:cs="Times New Roman"/>
                <w:spacing w:val="-2"/>
                <w:position w:val="6"/>
                <w:sz w:val="13"/>
                <w:szCs w:val="13"/>
              </w:rPr>
              <w:t>2-</w:t>
            </w:r>
          </w:p>
        </w:tc>
      </w:tr>
    </w:tbl>
    <w:p>
      <w:pPr>
        <w:spacing w:before="51" w:line="220" w:lineRule="auto"/>
        <w:ind w:left="550"/>
        <w:rPr>
          <w:rFonts w:ascii="宋体" w:hAnsi="宋体" w:eastAsia="宋体" w:cs="宋体"/>
          <w:sz w:val="21"/>
          <w:szCs w:val="21"/>
        </w:rPr>
      </w:pPr>
      <w:r>
        <w:rPr>
          <w:rFonts w:ascii="宋体" w:hAnsi="宋体" w:eastAsia="宋体" w:cs="宋体"/>
          <w:spacing w:val="-3"/>
          <w:sz w:val="21"/>
          <w:szCs w:val="21"/>
        </w:rPr>
        <w:t>注：如遇到特殊情况或发生污染事故， 可能影响地下水水质时</w:t>
      </w:r>
      <w:r>
        <w:rPr>
          <w:rFonts w:ascii="宋体" w:hAnsi="宋体" w:eastAsia="宋体" w:cs="宋体"/>
          <w:spacing w:val="-4"/>
          <w:sz w:val="21"/>
          <w:szCs w:val="21"/>
        </w:rPr>
        <w:t>， 可根据实际情况增加采样监</w:t>
      </w:r>
    </w:p>
    <w:p>
      <w:pPr>
        <w:spacing w:before="61" w:line="221" w:lineRule="auto"/>
        <w:ind w:left="131"/>
        <w:rPr>
          <w:rFonts w:ascii="宋体" w:hAnsi="宋体" w:eastAsia="宋体" w:cs="宋体"/>
          <w:sz w:val="21"/>
          <w:szCs w:val="21"/>
        </w:rPr>
      </w:pPr>
      <w:r>
        <w:rPr>
          <w:rFonts w:ascii="宋体" w:hAnsi="宋体" w:eastAsia="宋体" w:cs="宋体"/>
          <w:spacing w:val="-2"/>
          <w:sz w:val="21"/>
          <w:szCs w:val="21"/>
        </w:rPr>
        <w:t>测频次。</w:t>
      </w:r>
    </w:p>
    <w:p>
      <w:pPr>
        <w:spacing w:before="170" w:line="220" w:lineRule="auto"/>
        <w:ind w:left="61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）数据管理</w:t>
      </w:r>
    </w:p>
    <w:p>
      <w:pPr>
        <w:spacing w:before="128" w:line="360" w:lineRule="auto"/>
        <w:ind w:left="131" w:right="105" w:firstLine="482"/>
        <w:jc w:val="both"/>
        <w:rPr>
          <w:rFonts w:ascii="宋体" w:hAnsi="宋体" w:eastAsia="宋体" w:cs="宋体"/>
          <w:sz w:val="24"/>
          <w:szCs w:val="24"/>
        </w:rPr>
      </w:pPr>
      <w:r>
        <w:rPr>
          <w:rFonts w:ascii="宋体" w:hAnsi="宋体" w:eastAsia="宋体" w:cs="宋体"/>
          <w:sz w:val="24"/>
          <w:szCs w:val="24"/>
        </w:rPr>
        <w:t>建设单位应按相关规定对监测结果及时建立档案，并按照国家环保部门相关规定</w:t>
      </w:r>
      <w:r>
        <w:rPr>
          <w:rFonts w:ascii="宋体" w:hAnsi="宋体" w:eastAsia="宋体" w:cs="宋体"/>
          <w:spacing w:val="3"/>
          <w:sz w:val="24"/>
          <w:szCs w:val="24"/>
        </w:rPr>
        <w:t xml:space="preserve"> </w:t>
      </w:r>
      <w:r>
        <w:rPr>
          <w:rFonts w:ascii="宋体" w:hAnsi="宋体" w:eastAsia="宋体" w:cs="宋体"/>
          <w:sz w:val="24"/>
          <w:szCs w:val="24"/>
        </w:rPr>
        <w:t>定期向相关部门汇报。如发现异常或发生事故，加密监测频次，并根据污染物特征增</w:t>
      </w:r>
      <w:r>
        <w:rPr>
          <w:rFonts w:ascii="宋体" w:hAnsi="宋体" w:eastAsia="宋体" w:cs="宋体"/>
          <w:spacing w:val="2"/>
          <w:sz w:val="24"/>
          <w:szCs w:val="24"/>
        </w:rPr>
        <w:t xml:space="preserve"> </w:t>
      </w:r>
      <w:r>
        <w:rPr>
          <w:rFonts w:ascii="宋体" w:hAnsi="宋体" w:eastAsia="宋体" w:cs="宋体"/>
          <w:spacing w:val="-5"/>
          <w:sz w:val="24"/>
          <w:szCs w:val="24"/>
        </w:rPr>
        <w:t>加监测项目，</w:t>
      </w:r>
      <w:r>
        <w:rPr>
          <w:rFonts w:ascii="宋体" w:hAnsi="宋体" w:eastAsia="宋体" w:cs="宋体"/>
          <w:spacing w:val="71"/>
          <w:sz w:val="24"/>
          <w:szCs w:val="24"/>
        </w:rPr>
        <w:t xml:space="preserve"> </w:t>
      </w:r>
      <w:r>
        <w:rPr>
          <w:rFonts w:ascii="宋体" w:hAnsi="宋体" w:eastAsia="宋体" w:cs="宋体"/>
          <w:spacing w:val="-5"/>
          <w:sz w:val="24"/>
          <w:szCs w:val="24"/>
        </w:rPr>
        <w:t>并分析污染原因，确定泄漏污染源，及</w:t>
      </w:r>
      <w:r>
        <w:rPr>
          <w:rFonts w:ascii="宋体" w:hAnsi="宋体" w:eastAsia="宋体" w:cs="宋体"/>
          <w:spacing w:val="-6"/>
          <w:sz w:val="24"/>
          <w:szCs w:val="24"/>
        </w:rPr>
        <w:t>时采取应急措施。建设单位应建</w:t>
      </w:r>
      <w:r>
        <w:rPr>
          <w:rFonts w:ascii="宋体" w:hAnsi="宋体" w:eastAsia="宋体" w:cs="宋体"/>
          <w:sz w:val="24"/>
          <w:szCs w:val="24"/>
        </w:rPr>
        <w:t xml:space="preserve"> </w:t>
      </w:r>
      <w:r>
        <w:rPr>
          <w:rFonts w:ascii="宋体" w:hAnsi="宋体" w:eastAsia="宋体" w:cs="宋体"/>
          <w:spacing w:val="-2"/>
          <w:sz w:val="24"/>
          <w:szCs w:val="24"/>
        </w:rPr>
        <w:t>立完善的质量管理体系， 实现</w:t>
      </w:r>
      <w:r>
        <w:rPr>
          <w:rFonts w:ascii="Times New Roman" w:hAnsi="Times New Roman" w:eastAsia="Times New Roman" w:cs="Times New Roman"/>
          <w:spacing w:val="-2"/>
          <w:sz w:val="24"/>
          <w:szCs w:val="24"/>
        </w:rPr>
        <w:t>“</w:t>
      </w:r>
      <w:r>
        <w:rPr>
          <w:rFonts w:ascii="宋体" w:hAnsi="宋体" w:eastAsia="宋体" w:cs="宋体"/>
          <w:spacing w:val="-2"/>
          <w:sz w:val="24"/>
          <w:szCs w:val="24"/>
        </w:rPr>
        <w:t>质量、安全、环境</w:t>
      </w:r>
      <w:r>
        <w:rPr>
          <w:rFonts w:ascii="Times New Roman" w:hAnsi="Times New Roman" w:eastAsia="Times New Roman" w:cs="Times New Roman"/>
          <w:spacing w:val="-2"/>
          <w:sz w:val="24"/>
          <w:szCs w:val="24"/>
        </w:rPr>
        <w:t>”</w:t>
      </w:r>
      <w:r>
        <w:rPr>
          <w:rFonts w:ascii="宋体" w:hAnsi="宋体" w:eastAsia="宋体" w:cs="宋体"/>
          <w:spacing w:val="-2"/>
          <w:sz w:val="24"/>
          <w:szCs w:val="24"/>
        </w:rPr>
        <w:t>三位一体的全面质量管理目</w:t>
      </w:r>
      <w:r>
        <w:rPr>
          <w:rFonts w:ascii="宋体" w:hAnsi="宋体" w:eastAsia="宋体" w:cs="宋体"/>
          <w:spacing w:val="-3"/>
          <w:sz w:val="24"/>
          <w:szCs w:val="24"/>
        </w:rPr>
        <w:t>标。设</w:t>
      </w:r>
      <w:r>
        <w:rPr>
          <w:rFonts w:ascii="宋体" w:hAnsi="宋体" w:eastAsia="宋体" w:cs="宋体"/>
          <w:sz w:val="24"/>
          <w:szCs w:val="24"/>
        </w:rPr>
        <w:t xml:space="preserve"> 立地下水动态监测小组，负责对地下水环境监测和管理，或者委托专业的资质机构完</w:t>
      </w:r>
      <w:r>
        <w:rPr>
          <w:rFonts w:ascii="宋体" w:hAnsi="宋体" w:eastAsia="宋体" w:cs="宋体"/>
          <w:spacing w:val="2"/>
          <w:sz w:val="24"/>
          <w:szCs w:val="24"/>
        </w:rPr>
        <w:t xml:space="preserve"> </w:t>
      </w:r>
      <w:r>
        <w:rPr>
          <w:rFonts w:ascii="宋体" w:hAnsi="宋体" w:eastAsia="宋体" w:cs="宋体"/>
          <w:spacing w:val="-5"/>
          <w:sz w:val="24"/>
          <w:szCs w:val="24"/>
        </w:rPr>
        <w:t>成。建立有关规章制度和岗位责任制。制定风险预警方案，</w:t>
      </w:r>
      <w:r>
        <w:rPr>
          <w:rFonts w:ascii="宋体" w:hAnsi="宋体" w:eastAsia="宋体" w:cs="宋体"/>
          <w:spacing w:val="69"/>
          <w:sz w:val="24"/>
          <w:szCs w:val="24"/>
        </w:rPr>
        <w:t xml:space="preserve"> </w:t>
      </w:r>
      <w:r>
        <w:rPr>
          <w:rFonts w:ascii="宋体" w:hAnsi="宋体" w:eastAsia="宋体" w:cs="宋体"/>
          <w:spacing w:val="-5"/>
          <w:sz w:val="24"/>
          <w:szCs w:val="24"/>
        </w:rPr>
        <w:t>设立应急设施减少环</w:t>
      </w:r>
      <w:r>
        <w:rPr>
          <w:rFonts w:ascii="宋体" w:hAnsi="宋体" w:eastAsia="宋体" w:cs="宋体"/>
          <w:spacing w:val="-6"/>
          <w:sz w:val="24"/>
          <w:szCs w:val="24"/>
        </w:rPr>
        <w:t>境污</w:t>
      </w:r>
      <w:r>
        <w:rPr>
          <w:rFonts w:ascii="宋体" w:hAnsi="宋体" w:eastAsia="宋体" w:cs="宋体"/>
          <w:sz w:val="24"/>
          <w:szCs w:val="24"/>
        </w:rPr>
        <w:t xml:space="preserve"> 染影响。同时加强对监测水井井深、水位变化的检查，以确定能否满足跟踪监测的要</w:t>
      </w:r>
    </w:p>
    <w:p>
      <w:pPr>
        <w:spacing w:before="1" w:line="220" w:lineRule="auto"/>
        <w:ind w:left="133"/>
        <w:rPr>
          <w:rFonts w:ascii="宋体" w:hAnsi="宋体" w:eastAsia="宋体" w:cs="宋体"/>
          <w:sz w:val="24"/>
          <w:szCs w:val="24"/>
        </w:rPr>
      </w:pPr>
      <w:r>
        <w:rPr>
          <w:rFonts w:ascii="宋体" w:hAnsi="宋体" w:eastAsia="宋体" w:cs="宋体"/>
          <w:spacing w:val="-6"/>
          <w:sz w:val="24"/>
          <w:szCs w:val="24"/>
        </w:rPr>
        <w:t>求。</w:t>
      </w:r>
    </w:p>
    <w:p>
      <w:pPr>
        <w:spacing w:before="336" w:line="225" w:lineRule="auto"/>
        <w:ind w:left="130"/>
        <w:rPr>
          <w:rFonts w:ascii="宋体" w:hAnsi="宋体" w:eastAsia="宋体" w:cs="宋体"/>
          <w:sz w:val="31"/>
          <w:szCs w:val="31"/>
        </w:rPr>
      </w:pPr>
      <w:bookmarkStart w:id="30" w:name="bookmark31"/>
      <w:bookmarkEnd w:id="30"/>
      <w:r>
        <w:rPr>
          <w:rFonts w:ascii="Times New Roman" w:hAnsi="Times New Roman" w:eastAsia="Times New Roman" w:cs="Times New Roman"/>
          <w:b/>
          <w:bCs/>
          <w:spacing w:val="10"/>
          <w:sz w:val="31"/>
          <w:szCs w:val="31"/>
        </w:rPr>
        <w:t>4.4</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地下水环境管理措施</w:t>
      </w:r>
    </w:p>
    <w:p>
      <w:pPr>
        <w:pStyle w:val="2"/>
        <w:spacing w:line="249" w:lineRule="auto"/>
        <w:rPr>
          <w:sz w:val="21"/>
        </w:rPr>
      </w:pPr>
    </w:p>
    <w:p>
      <w:pPr>
        <w:spacing w:before="78" w:line="468" w:lineRule="exact"/>
        <w:ind w:left="618"/>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w:t>
      </w:r>
      <w:r>
        <w:rPr>
          <w:rFonts w:ascii="宋体" w:hAnsi="宋体" w:eastAsia="宋体" w:cs="宋体"/>
          <w:spacing w:val="-8"/>
          <w:position w:val="17"/>
          <w:sz w:val="24"/>
          <w:szCs w:val="24"/>
        </w:rPr>
        <w:t>）加强各类废水收集、暂存、处理及运输过程中的环境管理，</w:t>
      </w:r>
      <w:r>
        <w:rPr>
          <w:rFonts w:ascii="宋体" w:hAnsi="宋体" w:eastAsia="宋体" w:cs="宋体"/>
          <w:spacing w:val="52"/>
          <w:position w:val="17"/>
          <w:sz w:val="24"/>
          <w:szCs w:val="24"/>
        </w:rPr>
        <w:t xml:space="preserve"> </w:t>
      </w:r>
      <w:r>
        <w:rPr>
          <w:rFonts w:ascii="宋体" w:hAnsi="宋体" w:eastAsia="宋体" w:cs="宋体"/>
          <w:spacing w:val="-8"/>
          <w:position w:val="17"/>
          <w:sz w:val="24"/>
          <w:szCs w:val="24"/>
        </w:rPr>
        <w:t>并实施全过程监</w:t>
      </w:r>
    </w:p>
    <w:p>
      <w:pPr>
        <w:spacing w:before="1" w:line="219" w:lineRule="auto"/>
        <w:ind w:left="130"/>
        <w:rPr>
          <w:rFonts w:ascii="宋体" w:hAnsi="宋体" w:eastAsia="宋体" w:cs="宋体"/>
          <w:sz w:val="24"/>
          <w:szCs w:val="24"/>
        </w:rPr>
      </w:pPr>
      <w:r>
        <w:rPr>
          <w:rFonts w:ascii="宋体" w:hAnsi="宋体" w:eastAsia="宋体" w:cs="宋体"/>
          <w:spacing w:val="-2"/>
          <w:sz w:val="24"/>
          <w:szCs w:val="24"/>
        </w:rPr>
        <w:t>控，禁止违法违规排放，引发环境污染与纠纷。</w:t>
      </w:r>
    </w:p>
    <w:p>
      <w:pPr>
        <w:spacing w:before="182" w:line="220" w:lineRule="auto"/>
        <w:ind w:left="61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）针对井场应急池和储罐，必须按下列要求进行管理：</w:t>
      </w:r>
    </w:p>
    <w:p>
      <w:pPr>
        <w:spacing w:before="183" w:line="468" w:lineRule="exact"/>
        <w:ind w:left="610"/>
        <w:rPr>
          <w:rFonts w:ascii="宋体" w:hAnsi="宋体" w:eastAsia="宋体" w:cs="宋体"/>
          <w:sz w:val="24"/>
          <w:szCs w:val="24"/>
        </w:rPr>
      </w:pPr>
      <w:r>
        <w:rPr>
          <w:rFonts w:ascii="宋体" w:hAnsi="宋体" w:eastAsia="宋体" w:cs="宋体"/>
          <w:position w:val="17"/>
          <w:sz w:val="24"/>
          <w:szCs w:val="24"/>
        </w:rPr>
        <w:t>①应严格按工程设计进行施工，确保各类罐体和池体有足够的容积满足工程建设</w:t>
      </w:r>
    </w:p>
    <w:p>
      <w:pPr>
        <w:spacing w:before="1" w:line="218" w:lineRule="auto"/>
        <w:ind w:left="151"/>
        <w:rPr>
          <w:rFonts w:ascii="宋体" w:hAnsi="宋体" w:eastAsia="宋体" w:cs="宋体"/>
          <w:sz w:val="24"/>
          <w:szCs w:val="24"/>
        </w:rPr>
      </w:pPr>
      <w:r>
        <w:rPr>
          <w:rFonts w:ascii="宋体" w:hAnsi="宋体" w:eastAsia="宋体" w:cs="宋体"/>
          <w:spacing w:val="-2"/>
          <w:sz w:val="24"/>
          <w:szCs w:val="24"/>
        </w:rPr>
        <w:t>的需要，应留有一定的富裕容量，以容纳暴雨增加的水量，防止废水外溢。</w:t>
      </w:r>
    </w:p>
    <w:p>
      <w:pPr>
        <w:spacing w:before="184" w:line="468" w:lineRule="exact"/>
        <w:ind w:left="609"/>
        <w:rPr>
          <w:rFonts w:ascii="宋体" w:hAnsi="宋体" w:eastAsia="宋体" w:cs="宋体"/>
          <w:sz w:val="24"/>
          <w:szCs w:val="24"/>
        </w:rPr>
      </w:pPr>
      <w:r>
        <w:rPr>
          <w:rFonts w:ascii="宋体" w:hAnsi="宋体" w:eastAsia="宋体" w:cs="宋体"/>
          <w:spacing w:val="-6"/>
          <w:position w:val="17"/>
          <w:sz w:val="24"/>
          <w:szCs w:val="24"/>
        </w:rPr>
        <w:t>②对井场临时储存的废水进行及时转运，减少储存周期，</w:t>
      </w:r>
      <w:r>
        <w:rPr>
          <w:rFonts w:ascii="宋体" w:hAnsi="宋体" w:eastAsia="宋体" w:cs="宋体"/>
          <w:spacing w:val="101"/>
          <w:position w:val="17"/>
          <w:sz w:val="24"/>
          <w:szCs w:val="24"/>
        </w:rPr>
        <w:t xml:space="preserve"> </w:t>
      </w:r>
      <w:r>
        <w:rPr>
          <w:rFonts w:ascii="宋体" w:hAnsi="宋体" w:eastAsia="宋体" w:cs="宋体"/>
          <w:spacing w:val="-6"/>
          <w:position w:val="17"/>
          <w:sz w:val="24"/>
          <w:szCs w:val="24"/>
        </w:rPr>
        <w:t>降低外溢风险，特别在</w:t>
      </w:r>
    </w:p>
    <w:p>
      <w:pPr>
        <w:spacing w:before="1" w:line="219" w:lineRule="auto"/>
        <w:ind w:left="132"/>
        <w:rPr>
          <w:rFonts w:ascii="宋体" w:hAnsi="宋体" w:eastAsia="宋体" w:cs="宋体"/>
          <w:sz w:val="24"/>
          <w:szCs w:val="24"/>
        </w:rPr>
      </w:pPr>
      <w:r>
        <w:rPr>
          <w:rFonts w:ascii="宋体" w:hAnsi="宋体" w:eastAsia="宋体" w:cs="宋体"/>
          <w:spacing w:val="-4"/>
          <w:sz w:val="24"/>
          <w:szCs w:val="24"/>
        </w:rPr>
        <w:t>汛期来临前，要腾空应急池。</w:t>
      </w:r>
    </w:p>
    <w:p>
      <w:pPr>
        <w:spacing w:before="183" w:line="217" w:lineRule="auto"/>
        <w:ind w:left="609"/>
        <w:rPr>
          <w:rFonts w:ascii="宋体" w:hAnsi="宋体" w:eastAsia="宋体" w:cs="宋体"/>
          <w:sz w:val="24"/>
          <w:szCs w:val="24"/>
        </w:rPr>
      </w:pPr>
      <w:r>
        <w:rPr>
          <w:rFonts w:ascii="宋体" w:hAnsi="宋体" w:eastAsia="宋体" w:cs="宋体"/>
          <w:sz w:val="24"/>
          <w:szCs w:val="24"/>
        </w:rPr>
        <w:t>③为避免突降大雨引起雨水进入应急池，从而引发废水外溢，应在雨季对废水池</w:t>
      </w:r>
    </w:p>
    <w:p>
      <w:pPr>
        <w:spacing w:line="217" w:lineRule="auto"/>
        <w:rPr>
          <w:rFonts w:ascii="宋体" w:hAnsi="宋体" w:eastAsia="宋体" w:cs="宋体"/>
          <w:sz w:val="24"/>
          <w:szCs w:val="24"/>
        </w:rPr>
        <w:sectPr>
          <w:footerReference r:id="rId197" w:type="default"/>
          <w:pgSz w:w="11907" w:h="16839"/>
          <w:pgMar w:top="400" w:right="1308" w:bottom="1151" w:left="1466" w:header="0" w:footer="988" w:gutter="0"/>
          <w:cols w:space="720" w:num="1"/>
        </w:sectPr>
      </w:pP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before="78" w:line="219" w:lineRule="auto"/>
        <w:ind w:left="2"/>
        <w:rPr>
          <w:rFonts w:ascii="宋体" w:hAnsi="宋体" w:eastAsia="宋体" w:cs="宋体"/>
          <w:sz w:val="24"/>
          <w:szCs w:val="24"/>
        </w:rPr>
      </w:pPr>
      <w:r>
        <w:rPr>
          <w:rFonts w:ascii="宋体" w:hAnsi="宋体" w:eastAsia="宋体" w:cs="宋体"/>
          <w:spacing w:val="-1"/>
          <w:sz w:val="24"/>
          <w:szCs w:val="24"/>
        </w:rPr>
        <w:t>加盖防雨</w:t>
      </w:r>
      <w:r>
        <w:rPr>
          <w:rFonts w:hint="eastAsia" w:ascii="宋体" w:hAnsi="宋体" w:eastAsia="宋体" w:cs="宋体"/>
          <w:spacing w:val="-1"/>
          <w:sz w:val="24"/>
          <w:szCs w:val="24"/>
        </w:rPr>
        <w:tab/>
      </w:r>
      <w:r>
        <w:rPr>
          <w:rFonts w:hint="eastAsia" w:ascii="宋体" w:hAnsi="宋体" w:eastAsia="宋体" w:cs="宋体"/>
          <w:spacing w:val="-1"/>
          <w:sz w:val="24"/>
          <w:szCs w:val="24"/>
        </w:rPr>
        <w:t>篷布</w:t>
      </w:r>
      <w:r>
        <w:rPr>
          <w:rFonts w:ascii="宋体" w:hAnsi="宋体" w:eastAsia="宋体" w:cs="宋体"/>
          <w:spacing w:val="-1"/>
          <w:sz w:val="24"/>
          <w:szCs w:val="24"/>
        </w:rPr>
        <w:t>或架设雨蓬。在暴雨季节，加强巡查</w:t>
      </w:r>
      <w:r>
        <w:rPr>
          <w:rFonts w:ascii="宋体" w:hAnsi="宋体" w:eastAsia="宋体" w:cs="宋体"/>
          <w:spacing w:val="-2"/>
          <w:sz w:val="24"/>
          <w:szCs w:val="24"/>
        </w:rPr>
        <w:t>，降低废水外溢的风险。</w:t>
      </w:r>
    </w:p>
    <w:p>
      <w:pPr>
        <w:spacing w:before="183" w:line="468" w:lineRule="exact"/>
        <w:ind w:right="66"/>
        <w:jc w:val="right"/>
        <w:rPr>
          <w:rFonts w:ascii="宋体" w:hAnsi="宋体" w:eastAsia="宋体" w:cs="宋体"/>
          <w:sz w:val="24"/>
          <w:szCs w:val="24"/>
        </w:rPr>
      </w:pPr>
      <w:r>
        <w:rPr>
          <w:rFonts w:ascii="宋体" w:hAnsi="宋体" w:eastAsia="宋体" w:cs="宋体"/>
          <w:position w:val="17"/>
          <w:sz w:val="24"/>
          <w:szCs w:val="24"/>
        </w:rPr>
        <w:t>④现场应设兼职人员进行监督管理，重点是监督各项环保措施的落实情况，确保</w:t>
      </w:r>
    </w:p>
    <w:p>
      <w:pPr>
        <w:spacing w:line="219" w:lineRule="auto"/>
        <w:ind w:left="1"/>
        <w:rPr>
          <w:rFonts w:ascii="宋体" w:hAnsi="宋体" w:eastAsia="宋体" w:cs="宋体"/>
          <w:sz w:val="24"/>
          <w:szCs w:val="24"/>
        </w:rPr>
      </w:pPr>
      <w:r>
        <w:rPr>
          <w:rFonts w:ascii="宋体" w:hAnsi="宋体" w:eastAsia="宋体" w:cs="宋体"/>
          <w:spacing w:val="-5"/>
          <w:sz w:val="24"/>
          <w:szCs w:val="24"/>
        </w:rPr>
        <w:t>废水不外溢和渗漏。</w:t>
      </w:r>
    </w:p>
    <w:p>
      <w:pPr>
        <w:spacing w:before="182" w:line="468" w:lineRule="exact"/>
        <w:ind w:right="66"/>
        <w:jc w:val="right"/>
        <w:rPr>
          <w:rFonts w:ascii="宋体" w:hAnsi="宋体" w:eastAsia="宋体" w:cs="宋体"/>
          <w:sz w:val="24"/>
          <w:szCs w:val="24"/>
        </w:rPr>
      </w:pPr>
      <w:r>
        <w:rPr>
          <w:rFonts w:ascii="宋体" w:hAnsi="宋体" w:eastAsia="宋体" w:cs="宋体"/>
          <w:position w:val="17"/>
          <w:sz w:val="24"/>
          <w:szCs w:val="24"/>
        </w:rPr>
        <w:t>⑤各类储备罐，如废水储罐、泥浆储罐、柴油储罐等均置于防渗处理的地面上，</w:t>
      </w:r>
    </w:p>
    <w:p>
      <w:pPr>
        <w:spacing w:before="1" w:line="218" w:lineRule="auto"/>
        <w:ind w:left="2"/>
        <w:rPr>
          <w:rFonts w:ascii="宋体" w:hAnsi="宋体" w:eastAsia="宋体" w:cs="宋体"/>
          <w:sz w:val="24"/>
          <w:szCs w:val="24"/>
        </w:rPr>
      </w:pPr>
      <w:r>
        <w:rPr>
          <w:rFonts w:ascii="宋体" w:hAnsi="宋体" w:eastAsia="宋体" w:cs="宋体"/>
          <w:spacing w:val="-8"/>
          <w:sz w:val="24"/>
          <w:szCs w:val="24"/>
        </w:rPr>
        <w:t>应加强日常监管，</w:t>
      </w:r>
      <w:r>
        <w:rPr>
          <w:rFonts w:ascii="宋体" w:hAnsi="宋体" w:eastAsia="宋体" w:cs="宋体"/>
          <w:spacing w:val="68"/>
          <w:sz w:val="24"/>
          <w:szCs w:val="24"/>
        </w:rPr>
        <w:t xml:space="preserve"> </w:t>
      </w:r>
      <w:r>
        <w:rPr>
          <w:rFonts w:ascii="宋体" w:hAnsi="宋体" w:eastAsia="宋体" w:cs="宋体"/>
          <w:spacing w:val="-8"/>
          <w:sz w:val="24"/>
          <w:szCs w:val="24"/>
        </w:rPr>
        <w:t>一旦有物料泄漏，可及时发现并采取应急措施。</w:t>
      </w:r>
    </w:p>
    <w:p>
      <w:pPr>
        <w:spacing w:before="184" w:line="468" w:lineRule="exact"/>
        <w:ind w:left="488"/>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3</w:t>
      </w:r>
      <w:r>
        <w:rPr>
          <w:rFonts w:ascii="宋体" w:hAnsi="宋体" w:eastAsia="宋体" w:cs="宋体"/>
          <w:spacing w:val="1"/>
          <w:position w:val="17"/>
          <w:sz w:val="24"/>
          <w:szCs w:val="24"/>
        </w:rPr>
        <w:t>）严格执行废水转运</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三联单</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制度（即出站单据、</w:t>
      </w:r>
      <w:r>
        <w:rPr>
          <w:rFonts w:ascii="宋体" w:hAnsi="宋体" w:eastAsia="宋体" w:cs="宋体"/>
          <w:position w:val="17"/>
          <w:sz w:val="24"/>
          <w:szCs w:val="24"/>
        </w:rPr>
        <w:t>进站单据和接收量单据</w:t>
      </w:r>
      <w:r>
        <w:rPr>
          <w:rFonts w:ascii="宋体" w:hAnsi="宋体" w:eastAsia="宋体" w:cs="宋体"/>
          <w:spacing w:val="-61"/>
          <w:w w:val="97"/>
          <w:position w:val="17"/>
          <w:sz w:val="24"/>
          <w:szCs w:val="24"/>
        </w:rPr>
        <w:t>），</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运输车辆安装</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GPS</w:t>
      </w:r>
      <w:r>
        <w:rPr>
          <w:rFonts w:ascii="宋体" w:hAnsi="宋体" w:eastAsia="宋体" w:cs="宋体"/>
          <w:spacing w:val="-2"/>
          <w:sz w:val="24"/>
          <w:szCs w:val="24"/>
        </w:rPr>
        <w:t>，确保废水运输工程的</w:t>
      </w:r>
      <w:r>
        <w:rPr>
          <w:rFonts w:ascii="宋体" w:hAnsi="宋体" w:eastAsia="宋体" w:cs="宋体"/>
          <w:spacing w:val="-3"/>
          <w:sz w:val="24"/>
          <w:szCs w:val="24"/>
        </w:rPr>
        <w:t>安全性。</w:t>
      </w:r>
    </w:p>
    <w:p>
      <w:pPr>
        <w:spacing w:before="337" w:line="226" w:lineRule="auto"/>
        <w:rPr>
          <w:rFonts w:ascii="宋体" w:hAnsi="宋体" w:eastAsia="宋体" w:cs="宋体"/>
          <w:sz w:val="31"/>
          <w:szCs w:val="31"/>
        </w:rPr>
      </w:pPr>
      <w:bookmarkStart w:id="31" w:name="bookmark32"/>
      <w:bookmarkEnd w:id="31"/>
      <w:r>
        <w:rPr>
          <w:rFonts w:ascii="Times New Roman" w:hAnsi="Times New Roman" w:eastAsia="Times New Roman" w:cs="Times New Roman"/>
          <w:b/>
          <w:bCs/>
          <w:spacing w:val="10"/>
          <w:sz w:val="31"/>
          <w:szCs w:val="31"/>
        </w:rPr>
        <w:t>4.5</w:t>
      </w:r>
      <w:r>
        <w:rPr>
          <w:rFonts w:ascii="宋体" w:hAnsi="宋体" w:eastAsia="宋体" w:cs="宋体"/>
          <w:spacing w:val="10"/>
          <w:sz w:val="31"/>
          <w:szCs w:val="31"/>
          <w14:textOutline w14:w="5791" w14:cap="flat" w14:cmpd="sng">
            <w14:solidFill>
              <w14:srgbClr w14:val="000000"/>
            </w14:solidFill>
            <w14:prstDash w14:val="solid"/>
            <w14:miter w14:val="10"/>
          </w14:textOutline>
        </w:rPr>
        <w:t>风险事故应急响应措施</w:t>
      </w:r>
    </w:p>
    <w:p>
      <w:pPr>
        <w:pStyle w:val="2"/>
        <w:spacing w:line="288" w:lineRule="auto"/>
        <w:rPr>
          <w:sz w:val="21"/>
        </w:rPr>
      </w:pPr>
    </w:p>
    <w:p>
      <w:pPr>
        <w:spacing w:before="91" w:line="219" w:lineRule="auto"/>
        <w:rPr>
          <w:rFonts w:ascii="宋体" w:hAnsi="宋体" w:eastAsia="宋体" w:cs="宋体"/>
          <w:sz w:val="28"/>
          <w:szCs w:val="28"/>
        </w:rPr>
      </w:pPr>
      <w:r>
        <w:rPr>
          <w:rFonts w:ascii="Times New Roman" w:hAnsi="Times New Roman" w:eastAsia="Times New Roman" w:cs="Times New Roman"/>
          <w:b/>
          <w:bCs/>
          <w:spacing w:val="1"/>
          <w:sz w:val="28"/>
          <w:szCs w:val="28"/>
        </w:rPr>
        <w:t xml:space="preserve">4.5.1  </w:t>
      </w:r>
      <w:r>
        <w:rPr>
          <w:rFonts w:ascii="宋体" w:hAnsi="宋体" w:eastAsia="宋体" w:cs="宋体"/>
          <w:spacing w:val="1"/>
          <w:sz w:val="28"/>
          <w:szCs w:val="28"/>
          <w14:textOutline w14:w="5094" w14:cap="flat" w14:cmpd="sng">
            <w14:solidFill>
              <w14:srgbClr w14:val="000000"/>
            </w14:solidFill>
            <w14:prstDash w14:val="solid"/>
            <w14:miter w14:val="10"/>
          </w14:textOutline>
        </w:rPr>
        <w:t>地下水污染风险快速评估及决策</w:t>
      </w:r>
    </w:p>
    <w:p>
      <w:pPr>
        <w:pStyle w:val="2"/>
        <w:spacing w:line="276" w:lineRule="auto"/>
        <w:rPr>
          <w:sz w:val="21"/>
        </w:rPr>
      </w:pPr>
    </w:p>
    <w:p>
      <w:pPr>
        <w:spacing w:before="79" w:line="218" w:lineRule="auto"/>
        <w:ind w:left="482"/>
        <w:rPr>
          <w:rFonts w:ascii="宋体" w:hAnsi="宋体" w:eastAsia="宋体" w:cs="宋体"/>
          <w:sz w:val="24"/>
          <w:szCs w:val="24"/>
        </w:rPr>
      </w:pPr>
      <w:r>
        <w:rPr>
          <w:rFonts w:ascii="宋体" w:hAnsi="宋体" w:eastAsia="宋体" w:cs="宋体"/>
          <w:spacing w:val="-2"/>
          <w:sz w:val="24"/>
          <w:szCs w:val="24"/>
        </w:rPr>
        <w:t>地下水污染风险快速评估方法与决策由连续的</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个阶段组成（图</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36"/>
          <w:sz w:val="24"/>
          <w:szCs w:val="24"/>
        </w:rPr>
        <w:t>）：</w:t>
      </w:r>
    </w:p>
    <w:p>
      <w:pPr>
        <w:spacing w:before="185" w:line="468" w:lineRule="exact"/>
        <w:ind w:right="65"/>
        <w:jc w:val="right"/>
        <w:rPr>
          <w:rFonts w:ascii="宋体" w:hAnsi="宋体" w:eastAsia="宋体" w:cs="宋体"/>
          <w:sz w:val="24"/>
          <w:szCs w:val="24"/>
        </w:rPr>
      </w:pPr>
      <w:r>
        <w:rPr>
          <w:rFonts w:ascii="宋体" w:hAnsi="宋体" w:eastAsia="宋体" w:cs="宋体"/>
          <w:spacing w:val="-2"/>
          <w:position w:val="17"/>
          <w:sz w:val="24"/>
          <w:szCs w:val="24"/>
        </w:rPr>
        <w:t>第</w:t>
      </w:r>
      <w:r>
        <w:rPr>
          <w:rFonts w:ascii="宋体" w:hAnsi="宋体" w:eastAsia="宋体" w:cs="宋体"/>
          <w:spacing w:val="-10"/>
          <w:position w:val="17"/>
          <w:sz w:val="24"/>
          <w:szCs w:val="24"/>
        </w:rPr>
        <w:t xml:space="preserve">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29"/>
          <w:position w:val="17"/>
          <w:sz w:val="24"/>
          <w:szCs w:val="24"/>
        </w:rPr>
        <w:t xml:space="preserve"> </w:t>
      </w:r>
      <w:r>
        <w:rPr>
          <w:rFonts w:ascii="宋体" w:hAnsi="宋体" w:eastAsia="宋体" w:cs="宋体"/>
          <w:spacing w:val="-2"/>
          <w:position w:val="17"/>
          <w:sz w:val="24"/>
          <w:szCs w:val="24"/>
        </w:rPr>
        <w:t>阶段为事故与场地调查：主要任务为搜集事故与污染物信息及场地水文地质</w:t>
      </w:r>
    </w:p>
    <w:p>
      <w:pPr>
        <w:spacing w:before="1" w:line="218" w:lineRule="auto"/>
        <w:ind w:left="12"/>
        <w:rPr>
          <w:rFonts w:ascii="宋体" w:hAnsi="宋体" w:eastAsia="宋体" w:cs="宋体"/>
          <w:sz w:val="24"/>
          <w:szCs w:val="24"/>
        </w:rPr>
      </w:pPr>
      <w:r>
        <w:rPr>
          <w:rFonts w:ascii="宋体" w:hAnsi="宋体" w:eastAsia="宋体" w:cs="宋体"/>
          <w:spacing w:val="-7"/>
          <w:sz w:val="24"/>
          <w:szCs w:val="24"/>
        </w:rPr>
        <w:t>资料等一些基本信息；</w:t>
      </w:r>
    </w:p>
    <w:p>
      <w:pPr>
        <w:spacing w:before="183" w:line="468" w:lineRule="exact"/>
        <w:jc w:val="right"/>
        <w:rPr>
          <w:rFonts w:ascii="宋体" w:hAnsi="宋体" w:eastAsia="宋体" w:cs="宋体"/>
          <w:sz w:val="24"/>
          <w:szCs w:val="24"/>
        </w:rPr>
      </w:pPr>
      <w:r>
        <w:rPr>
          <w:rFonts w:ascii="宋体" w:hAnsi="宋体" w:eastAsia="宋体" w:cs="宋体"/>
          <w:spacing w:val="-8"/>
          <w:position w:val="17"/>
          <w:sz w:val="24"/>
          <w:szCs w:val="24"/>
        </w:rPr>
        <w:t>第</w:t>
      </w:r>
      <w:r>
        <w:rPr>
          <w:rFonts w:ascii="宋体" w:hAnsi="宋体" w:eastAsia="宋体" w:cs="宋体"/>
          <w:spacing w:val="-40"/>
          <w:position w:val="17"/>
          <w:sz w:val="24"/>
          <w:szCs w:val="24"/>
        </w:rPr>
        <w:t xml:space="preserve"> </w:t>
      </w:r>
      <w:r>
        <w:rPr>
          <w:rFonts w:ascii="Times New Roman" w:hAnsi="Times New Roman" w:eastAsia="Times New Roman" w:cs="Times New Roman"/>
          <w:spacing w:val="-8"/>
          <w:position w:val="17"/>
          <w:sz w:val="24"/>
          <w:szCs w:val="24"/>
        </w:rPr>
        <w:t>2</w:t>
      </w:r>
      <w:r>
        <w:rPr>
          <w:rFonts w:ascii="Times New Roman" w:hAnsi="Times New Roman" w:eastAsia="Times New Roman" w:cs="Times New Roman"/>
          <w:spacing w:val="20"/>
          <w:position w:val="17"/>
          <w:sz w:val="24"/>
          <w:szCs w:val="24"/>
        </w:rPr>
        <w:t xml:space="preserve"> </w:t>
      </w:r>
      <w:r>
        <w:rPr>
          <w:rFonts w:ascii="宋体" w:hAnsi="宋体" w:eastAsia="宋体" w:cs="宋体"/>
          <w:spacing w:val="-8"/>
          <w:position w:val="17"/>
          <w:sz w:val="24"/>
          <w:szCs w:val="24"/>
        </w:rPr>
        <w:t>阶段为计算和评价：</w:t>
      </w:r>
      <w:r>
        <w:rPr>
          <w:rFonts w:ascii="宋体" w:hAnsi="宋体" w:eastAsia="宋体" w:cs="宋体"/>
          <w:spacing w:val="-37"/>
          <w:position w:val="17"/>
          <w:sz w:val="24"/>
          <w:szCs w:val="24"/>
        </w:rPr>
        <w:t xml:space="preserve"> </w:t>
      </w:r>
      <w:r>
        <w:rPr>
          <w:rFonts w:ascii="宋体" w:hAnsi="宋体" w:eastAsia="宋体" w:cs="宋体"/>
          <w:spacing w:val="-8"/>
          <w:position w:val="17"/>
          <w:sz w:val="24"/>
          <w:szCs w:val="24"/>
        </w:rPr>
        <w:t>采用简单的数学模型判断事故对地下水影响的紧迫程度，</w:t>
      </w:r>
    </w:p>
    <w:p>
      <w:pPr>
        <w:spacing w:before="1" w:line="219" w:lineRule="auto"/>
        <w:ind w:left="29"/>
        <w:rPr>
          <w:rFonts w:ascii="宋体" w:hAnsi="宋体" w:eastAsia="宋体" w:cs="宋体"/>
          <w:sz w:val="24"/>
          <w:szCs w:val="24"/>
        </w:rPr>
      </w:pPr>
      <w:r>
        <w:rPr>
          <w:rFonts w:ascii="宋体" w:hAnsi="宋体" w:eastAsia="宋体" w:cs="宋体"/>
          <w:spacing w:val="-4"/>
          <w:sz w:val="24"/>
          <w:szCs w:val="24"/>
        </w:rPr>
        <w:t>以及对下游敏感点的影响，以快速获取所需要的信息；</w:t>
      </w:r>
    </w:p>
    <w:p>
      <w:pPr>
        <w:spacing w:before="182" w:line="220" w:lineRule="auto"/>
        <w:ind w:left="482"/>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阶段为分析与决策：综合分析前两阶段的结果制定场地</w:t>
      </w:r>
      <w:r>
        <w:rPr>
          <w:rFonts w:ascii="宋体" w:hAnsi="宋体" w:eastAsia="宋体" w:cs="宋体"/>
          <w:spacing w:val="-3"/>
          <w:sz w:val="24"/>
          <w:szCs w:val="24"/>
        </w:rPr>
        <w:t>应急控制措施。</w:t>
      </w:r>
    </w:p>
    <w:p>
      <w:pPr>
        <w:spacing w:before="106" w:line="5840" w:lineRule="exact"/>
        <w:ind w:firstLine="1861"/>
      </w:pPr>
      <w:r>
        <w:rPr>
          <w:position w:val="-116"/>
        </w:rPr>
        <w:drawing>
          <wp:inline distT="0" distB="0" distL="0" distR="0">
            <wp:extent cx="3276600" cy="37084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68"/>
                    <a:stretch>
                      <a:fillRect/>
                    </a:stretch>
                  </pic:blipFill>
                  <pic:spPr>
                    <a:xfrm>
                      <a:off x="0" y="0"/>
                      <a:ext cx="3276600" cy="3708400"/>
                    </a:xfrm>
                    <a:prstGeom prst="rect">
                      <a:avLst/>
                    </a:prstGeom>
                  </pic:spPr>
                </pic:pic>
              </a:graphicData>
            </a:graphic>
          </wp:inline>
        </w:drawing>
      </w:r>
    </w:p>
    <w:p>
      <w:pPr>
        <w:spacing w:before="86" w:line="218" w:lineRule="auto"/>
        <w:ind w:left="211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图</w:t>
      </w:r>
      <w:r>
        <w:rPr>
          <w:rFonts w:ascii="宋体" w:hAnsi="宋体" w:eastAsia="宋体" w:cs="宋体"/>
          <w:spacing w:val="-33"/>
          <w:sz w:val="24"/>
          <w:szCs w:val="24"/>
        </w:rPr>
        <w:t xml:space="preserve"> </w:t>
      </w:r>
      <w:r>
        <w:rPr>
          <w:rFonts w:ascii="Times New Roman" w:hAnsi="Times New Roman" w:eastAsia="Times New Roman" w:cs="Times New Roman"/>
          <w:b/>
          <w:bCs/>
          <w:spacing w:val="-2"/>
          <w:sz w:val="24"/>
          <w:szCs w:val="24"/>
        </w:rPr>
        <w:t xml:space="preserve">4.5-1 </w:t>
      </w:r>
      <w:r>
        <w:rPr>
          <w:rFonts w:ascii="宋体" w:hAnsi="宋体" w:eastAsia="宋体" w:cs="宋体"/>
          <w:spacing w:val="-2"/>
          <w:sz w:val="24"/>
          <w:szCs w:val="24"/>
          <w14:textOutline w14:w="4354" w14:cap="flat" w14:cmpd="sng">
            <w14:solidFill>
              <w14:srgbClr w14:val="000000"/>
            </w14:solidFill>
            <w14:prstDash w14:val="solid"/>
            <w14:miter w14:val="10"/>
          </w14:textOutline>
        </w:rPr>
        <w:t>地下水污染风险快速评估与决策过程</w:t>
      </w:r>
    </w:p>
    <w:p>
      <w:pPr>
        <w:spacing w:line="218" w:lineRule="auto"/>
        <w:rPr>
          <w:rFonts w:ascii="宋体" w:hAnsi="宋体" w:eastAsia="宋体" w:cs="宋体"/>
          <w:sz w:val="24"/>
          <w:szCs w:val="24"/>
        </w:rPr>
        <w:sectPr>
          <w:footerReference r:id="rId198" w:type="default"/>
          <w:pgSz w:w="11907" w:h="16839"/>
          <w:pgMar w:top="400" w:right="1351" w:bottom="1151" w:left="1596" w:header="0" w:footer="988" w:gutter="0"/>
          <w:cols w:space="720" w:num="1"/>
        </w:sectPr>
      </w:pPr>
    </w:p>
    <w:p>
      <w:pPr>
        <w:pStyle w:val="2"/>
        <w:spacing w:line="278" w:lineRule="auto"/>
        <w:rPr>
          <w:sz w:val="21"/>
        </w:rPr>
      </w:pPr>
    </w:p>
    <w:p>
      <w:pPr>
        <w:pStyle w:val="2"/>
        <w:spacing w:line="278" w:lineRule="auto"/>
        <w:rPr>
          <w:sz w:val="21"/>
        </w:rPr>
      </w:pPr>
    </w:p>
    <w:p>
      <w:pPr>
        <w:pStyle w:val="2"/>
        <w:spacing w:line="278" w:lineRule="auto"/>
        <w:rPr>
          <w:sz w:val="21"/>
        </w:rPr>
      </w:pPr>
    </w:p>
    <w:p>
      <w:pPr>
        <w:pStyle w:val="2"/>
        <w:spacing w:line="279" w:lineRule="auto"/>
        <w:rPr>
          <w:sz w:val="21"/>
        </w:rPr>
      </w:pPr>
    </w:p>
    <w:p>
      <w:pPr>
        <w:spacing w:before="91" w:line="221" w:lineRule="auto"/>
        <w:rPr>
          <w:rFonts w:ascii="宋体" w:hAnsi="宋体" w:eastAsia="宋体" w:cs="宋体"/>
          <w:sz w:val="28"/>
          <w:szCs w:val="28"/>
        </w:rPr>
      </w:pPr>
      <w:r>
        <w:rPr>
          <w:rFonts w:ascii="Times New Roman" w:hAnsi="Times New Roman" w:eastAsia="Times New Roman" w:cs="Times New Roman"/>
          <w:b/>
          <w:bCs/>
          <w:spacing w:val="-1"/>
          <w:sz w:val="28"/>
          <w:szCs w:val="28"/>
        </w:rPr>
        <w:t>4.5.2</w:t>
      </w:r>
      <w:r>
        <w:rPr>
          <w:rFonts w:ascii="Times New Roman" w:hAnsi="Times New Roman" w:eastAsia="Times New Roman" w:cs="Times New Roman"/>
          <w:b/>
          <w:bCs/>
          <w:spacing w:val="16"/>
          <w:sz w:val="28"/>
          <w:szCs w:val="28"/>
        </w:rPr>
        <w:t xml:space="preserve">  </w:t>
      </w:r>
      <w:r>
        <w:rPr>
          <w:rFonts w:ascii="宋体" w:hAnsi="宋体" w:eastAsia="宋体" w:cs="宋体"/>
          <w:spacing w:val="-1"/>
          <w:sz w:val="28"/>
          <w:szCs w:val="28"/>
          <w14:textOutline w14:w="5094" w14:cap="flat" w14:cmpd="sng">
            <w14:solidFill>
              <w14:srgbClr w14:val="000000"/>
            </w14:solidFill>
            <w14:prstDash w14:val="solid"/>
            <w14:miter w14:val="10"/>
          </w14:textOutline>
        </w:rPr>
        <w:t>风险事故应急程序</w:t>
      </w:r>
    </w:p>
    <w:p>
      <w:pPr>
        <w:pStyle w:val="2"/>
        <w:spacing w:line="273" w:lineRule="auto"/>
        <w:rPr>
          <w:sz w:val="21"/>
        </w:rPr>
      </w:pPr>
    </w:p>
    <w:p>
      <w:pPr>
        <w:spacing w:before="78" w:line="360" w:lineRule="auto"/>
        <w:ind w:left="3" w:right="4" w:firstLine="480"/>
        <w:rPr>
          <w:rFonts w:ascii="宋体" w:hAnsi="宋体" w:eastAsia="宋体" w:cs="宋体"/>
          <w:sz w:val="24"/>
          <w:szCs w:val="24"/>
        </w:rPr>
      </w:pPr>
      <w:r>
        <w:rPr>
          <w:rFonts w:ascii="宋体" w:hAnsi="宋体" w:eastAsia="宋体" w:cs="宋体"/>
          <w:sz w:val="24"/>
          <w:szCs w:val="24"/>
        </w:rPr>
        <w:t xml:space="preserve">无论预防工作如何周密，风险事故总是难以根本杜绝，无论预防工作如何周密， </w:t>
      </w:r>
      <w:r>
        <w:rPr>
          <w:rFonts w:ascii="宋体" w:hAnsi="宋体" w:eastAsia="宋体" w:cs="宋体"/>
          <w:spacing w:val="-5"/>
          <w:sz w:val="24"/>
          <w:szCs w:val="24"/>
        </w:rPr>
        <w:t>风险事故总是难以根本杜绝，因此，</w:t>
      </w:r>
      <w:r>
        <w:rPr>
          <w:rFonts w:ascii="宋体" w:hAnsi="宋体" w:eastAsia="宋体" w:cs="宋体"/>
          <w:spacing w:val="69"/>
          <w:sz w:val="24"/>
          <w:szCs w:val="24"/>
        </w:rPr>
        <w:t xml:space="preserve"> </w:t>
      </w:r>
      <w:r>
        <w:rPr>
          <w:rFonts w:ascii="宋体" w:hAnsi="宋体" w:eastAsia="宋体" w:cs="宋体"/>
          <w:spacing w:val="-5"/>
          <w:sz w:val="24"/>
          <w:szCs w:val="24"/>
        </w:rPr>
        <w:t>必须制定地下水风险事故应急响应预案，</w:t>
      </w:r>
      <w:r>
        <w:rPr>
          <w:rFonts w:ascii="宋体" w:hAnsi="宋体" w:eastAsia="宋体" w:cs="宋体"/>
          <w:spacing w:val="-6"/>
          <w:sz w:val="24"/>
          <w:szCs w:val="24"/>
        </w:rPr>
        <w:t>明确风</w:t>
      </w:r>
      <w:r>
        <w:rPr>
          <w:rFonts w:ascii="宋体" w:hAnsi="宋体" w:eastAsia="宋体" w:cs="宋体"/>
          <w:sz w:val="24"/>
          <w:szCs w:val="24"/>
        </w:rPr>
        <w:t xml:space="preserve"> 险事故状态下应采取封闭、截流等措施，提出防止受污染的地下水扩散和对受污染的</w:t>
      </w:r>
    </w:p>
    <w:p>
      <w:pPr>
        <w:spacing w:line="219" w:lineRule="auto"/>
        <w:ind w:left="2"/>
        <w:rPr>
          <w:rFonts w:ascii="宋体" w:hAnsi="宋体" w:eastAsia="宋体" w:cs="宋体"/>
          <w:sz w:val="24"/>
          <w:szCs w:val="24"/>
        </w:rPr>
      </w:pPr>
      <w:r>
        <w:rPr>
          <w:rFonts w:ascii="宋体" w:hAnsi="宋体" w:eastAsia="宋体" w:cs="宋体"/>
          <w:spacing w:val="-4"/>
          <w:sz w:val="24"/>
          <w:szCs w:val="24"/>
        </w:rPr>
        <w:t>地下水进行治理的具体方案。</w:t>
      </w:r>
    </w:p>
    <w:p>
      <w:pPr>
        <w:spacing w:before="183" w:line="360" w:lineRule="auto"/>
        <w:ind w:left="5" w:firstLine="478"/>
        <w:rPr>
          <w:rFonts w:ascii="宋体" w:hAnsi="宋体" w:eastAsia="宋体" w:cs="宋体"/>
          <w:sz w:val="24"/>
          <w:szCs w:val="24"/>
        </w:rPr>
      </w:pPr>
      <w:r>
        <w:rPr>
          <w:rFonts w:ascii="宋体" w:hAnsi="宋体" w:eastAsia="宋体" w:cs="宋体"/>
          <w:spacing w:val="-5"/>
          <w:sz w:val="24"/>
          <w:szCs w:val="24"/>
        </w:rPr>
        <w:t>制定风险事故应急预案的</w:t>
      </w:r>
      <w:r>
        <w:rPr>
          <w:rFonts w:hint="eastAsia" w:ascii="宋体" w:hAnsi="宋体" w:eastAsia="宋体" w:cs="宋体"/>
          <w:spacing w:val="-5"/>
          <w:sz w:val="24"/>
          <w:szCs w:val="24"/>
        </w:rPr>
        <w:t>目的是</w:t>
      </w:r>
      <w:r>
        <w:rPr>
          <w:rFonts w:ascii="宋体" w:hAnsi="宋体" w:eastAsia="宋体" w:cs="宋体"/>
          <w:spacing w:val="-5"/>
          <w:sz w:val="24"/>
          <w:szCs w:val="24"/>
        </w:rPr>
        <w:t>在发生风险</w:t>
      </w:r>
      <w:r>
        <w:rPr>
          <w:rFonts w:ascii="宋体" w:hAnsi="宋体" w:eastAsia="宋体" w:cs="宋体"/>
          <w:spacing w:val="-6"/>
          <w:sz w:val="24"/>
          <w:szCs w:val="24"/>
        </w:rPr>
        <w:t>事故时，</w:t>
      </w:r>
      <w:r>
        <w:rPr>
          <w:rFonts w:ascii="宋体" w:hAnsi="宋体" w:eastAsia="宋体" w:cs="宋体"/>
          <w:spacing w:val="74"/>
          <w:sz w:val="24"/>
          <w:szCs w:val="24"/>
        </w:rPr>
        <w:t xml:space="preserve"> </w:t>
      </w:r>
      <w:r>
        <w:rPr>
          <w:rFonts w:ascii="宋体" w:hAnsi="宋体" w:eastAsia="宋体" w:cs="宋体"/>
          <w:spacing w:val="-6"/>
          <w:sz w:val="24"/>
          <w:szCs w:val="24"/>
        </w:rPr>
        <w:t>能以最快的速度发挥最</w:t>
      </w:r>
      <w:r>
        <w:rPr>
          <w:rFonts w:ascii="宋体" w:hAnsi="宋体" w:eastAsia="宋体" w:cs="宋体"/>
          <w:sz w:val="24"/>
          <w:szCs w:val="24"/>
        </w:rPr>
        <w:t xml:space="preserve"> </w:t>
      </w:r>
      <w:r>
        <w:rPr>
          <w:rFonts w:ascii="宋体" w:hAnsi="宋体" w:eastAsia="宋体" w:cs="宋体"/>
          <w:spacing w:val="-17"/>
          <w:sz w:val="24"/>
          <w:szCs w:val="24"/>
        </w:rPr>
        <w:t>大的效能，</w:t>
      </w:r>
      <w:r>
        <w:rPr>
          <w:rFonts w:ascii="宋体" w:hAnsi="宋体" w:eastAsia="宋体" w:cs="宋体"/>
          <w:spacing w:val="-11"/>
          <w:sz w:val="24"/>
          <w:szCs w:val="24"/>
        </w:rPr>
        <w:t xml:space="preserve"> </w:t>
      </w:r>
      <w:r>
        <w:rPr>
          <w:rFonts w:ascii="宋体" w:hAnsi="宋体" w:eastAsia="宋体" w:cs="宋体"/>
          <w:spacing w:val="-17"/>
          <w:sz w:val="24"/>
          <w:szCs w:val="24"/>
        </w:rPr>
        <w:t>有序地实施救援， 尽快控制事态的发展，</w:t>
      </w:r>
      <w:r>
        <w:rPr>
          <w:rFonts w:ascii="宋体" w:hAnsi="宋体" w:eastAsia="宋体" w:cs="宋体"/>
          <w:spacing w:val="26"/>
          <w:sz w:val="24"/>
          <w:szCs w:val="24"/>
        </w:rPr>
        <w:t xml:space="preserve"> </w:t>
      </w:r>
      <w:r>
        <w:rPr>
          <w:rFonts w:ascii="宋体" w:hAnsi="宋体" w:eastAsia="宋体" w:cs="宋体"/>
          <w:spacing w:val="-17"/>
          <w:sz w:val="24"/>
          <w:szCs w:val="24"/>
        </w:rPr>
        <w:t>降低事故对地下水的污染。因此，</w:t>
      </w:r>
      <w:r>
        <w:rPr>
          <w:rFonts w:ascii="宋体" w:hAnsi="宋体" w:eastAsia="宋体" w:cs="宋体"/>
          <w:sz w:val="24"/>
          <w:szCs w:val="24"/>
        </w:rPr>
        <w:t xml:space="preserve"> 建设单位应根据《中华人民共和国水污染防治法》编制相应的应急方案，并按照《关 </w:t>
      </w:r>
      <w:r>
        <w:rPr>
          <w:rFonts w:ascii="宋体" w:hAnsi="宋体" w:eastAsia="宋体" w:cs="宋体"/>
          <w:spacing w:val="-4"/>
          <w:sz w:val="24"/>
          <w:szCs w:val="24"/>
        </w:rPr>
        <w:t>于印发</w:t>
      </w:r>
      <w:r>
        <w:rPr>
          <w:rFonts w:ascii="Times New Roman" w:hAnsi="Times New Roman" w:eastAsia="Times New Roman" w:cs="Times New Roman"/>
          <w:spacing w:val="-4"/>
          <w:sz w:val="24"/>
          <w:szCs w:val="24"/>
        </w:rPr>
        <w:t>&lt;</w:t>
      </w:r>
      <w:r>
        <w:rPr>
          <w:rFonts w:ascii="宋体" w:hAnsi="宋体" w:eastAsia="宋体" w:cs="宋体"/>
          <w:spacing w:val="-4"/>
          <w:sz w:val="24"/>
          <w:szCs w:val="24"/>
        </w:rPr>
        <w:t>企业突发环境事件风险评估指南</w:t>
      </w:r>
      <w:r>
        <w:rPr>
          <w:rFonts w:ascii="Times New Roman" w:hAnsi="Times New Roman" w:eastAsia="Times New Roman" w:cs="Times New Roman"/>
          <w:spacing w:val="-4"/>
          <w:sz w:val="24"/>
          <w:szCs w:val="24"/>
        </w:rPr>
        <w:t>(</w:t>
      </w:r>
      <w:r>
        <w:rPr>
          <w:rFonts w:ascii="宋体" w:hAnsi="宋体" w:eastAsia="宋体" w:cs="宋体"/>
          <w:spacing w:val="-4"/>
          <w:sz w:val="24"/>
          <w:szCs w:val="24"/>
        </w:rPr>
        <w:t>试行</w:t>
      </w:r>
      <w:r>
        <w:rPr>
          <w:rFonts w:ascii="Times New Roman" w:hAnsi="Times New Roman" w:eastAsia="Times New Roman" w:cs="Times New Roman"/>
          <w:spacing w:val="-4"/>
          <w:sz w:val="24"/>
          <w:szCs w:val="24"/>
        </w:rPr>
        <w:t>)&gt;</w:t>
      </w:r>
      <w:r>
        <w:rPr>
          <w:rFonts w:ascii="宋体" w:hAnsi="宋体" w:eastAsia="宋体" w:cs="宋体"/>
          <w:spacing w:val="-4"/>
          <w:sz w:val="24"/>
          <w:szCs w:val="24"/>
        </w:rPr>
        <w:t>的通知》（环办</w:t>
      </w:r>
      <w:r>
        <w:rPr>
          <w:rFonts w:ascii="Times New Roman" w:hAnsi="Times New Roman" w:eastAsia="Times New Roman" w:cs="Times New Roman"/>
          <w:spacing w:val="-4"/>
          <w:sz w:val="24"/>
          <w:szCs w:val="24"/>
        </w:rPr>
        <w:t xml:space="preserve">[2014]34  </w:t>
      </w:r>
      <w:r>
        <w:rPr>
          <w:rFonts w:ascii="宋体" w:hAnsi="宋体" w:eastAsia="宋体" w:cs="宋体"/>
          <w:spacing w:val="-4"/>
          <w:sz w:val="24"/>
          <w:szCs w:val="24"/>
        </w:rPr>
        <w:t>号</w:t>
      </w:r>
      <w:r>
        <w:rPr>
          <w:rFonts w:ascii="宋体" w:hAnsi="宋体" w:eastAsia="宋体" w:cs="宋体"/>
          <w:spacing w:val="-33"/>
          <w:sz w:val="24"/>
          <w:szCs w:val="24"/>
        </w:rPr>
        <w:t>），</w:t>
      </w:r>
      <w:r>
        <w:rPr>
          <w:rFonts w:ascii="宋体" w:hAnsi="宋体" w:eastAsia="宋体" w:cs="宋体"/>
          <w:spacing w:val="-4"/>
          <w:sz w:val="24"/>
          <w:szCs w:val="24"/>
        </w:rPr>
        <w:t>将地下</w:t>
      </w:r>
      <w:r>
        <w:rPr>
          <w:rFonts w:ascii="宋体" w:hAnsi="宋体" w:eastAsia="宋体" w:cs="宋体"/>
          <w:sz w:val="24"/>
          <w:szCs w:val="24"/>
        </w:rPr>
        <w:t xml:space="preserve"> 水风险纳入建设单位环境风险事故评估中，防止对周围地下水环境造成污染。针对应 </w:t>
      </w:r>
      <w:r>
        <w:rPr>
          <w:rFonts w:ascii="宋体" w:hAnsi="宋体" w:eastAsia="宋体" w:cs="宋体"/>
          <w:spacing w:val="-8"/>
          <w:sz w:val="24"/>
          <w:szCs w:val="24"/>
        </w:rPr>
        <w:t>急工作需要，</w:t>
      </w:r>
      <w:r>
        <w:rPr>
          <w:rFonts w:ascii="宋体" w:hAnsi="宋体" w:eastAsia="宋体" w:cs="宋体"/>
          <w:spacing w:val="67"/>
          <w:sz w:val="24"/>
          <w:szCs w:val="24"/>
        </w:rPr>
        <w:t xml:space="preserve"> </w:t>
      </w:r>
      <w:r>
        <w:rPr>
          <w:rFonts w:ascii="宋体" w:hAnsi="宋体" w:eastAsia="宋体" w:cs="宋体"/>
          <w:spacing w:val="-8"/>
          <w:sz w:val="24"/>
          <w:szCs w:val="24"/>
        </w:rPr>
        <w:t>参照相关技术导则，结合地下水污染治理的技术特点， 制定地下水</w:t>
      </w:r>
      <w:r>
        <w:rPr>
          <w:rFonts w:ascii="宋体" w:hAnsi="宋体" w:eastAsia="宋体" w:cs="宋体"/>
          <w:spacing w:val="-9"/>
          <w:sz w:val="24"/>
          <w:szCs w:val="24"/>
        </w:rPr>
        <w:t>污染</w:t>
      </w:r>
    </w:p>
    <w:p>
      <w:pPr>
        <w:spacing w:line="219" w:lineRule="auto"/>
        <w:ind w:left="2"/>
        <w:rPr>
          <w:rFonts w:ascii="宋体" w:hAnsi="宋体" w:eastAsia="宋体" w:cs="宋体"/>
          <w:sz w:val="24"/>
          <w:szCs w:val="24"/>
        </w:rPr>
      </w:pPr>
      <w:r>
        <w:rPr>
          <w:rFonts w:ascii="宋体" w:hAnsi="宋体" w:eastAsia="宋体" w:cs="宋体"/>
          <w:spacing w:val="-1"/>
          <w:sz w:val="24"/>
          <w:szCs w:val="24"/>
        </w:rPr>
        <w:t>应急治理程序见图</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4.5-2</w:t>
      </w:r>
      <w:r>
        <w:rPr>
          <w:rFonts w:ascii="宋体" w:hAnsi="宋体" w:eastAsia="宋体" w:cs="宋体"/>
          <w:spacing w:val="-1"/>
          <w:sz w:val="24"/>
          <w:szCs w:val="24"/>
        </w:rPr>
        <w:t>。</w:t>
      </w:r>
    </w:p>
    <w:p>
      <w:pPr>
        <w:spacing w:line="219" w:lineRule="auto"/>
        <w:rPr>
          <w:rFonts w:ascii="宋体" w:hAnsi="宋体" w:eastAsia="宋体" w:cs="宋体"/>
          <w:sz w:val="24"/>
          <w:szCs w:val="24"/>
        </w:rPr>
        <w:sectPr>
          <w:footerReference r:id="rId199" w:type="default"/>
          <w:pgSz w:w="11907" w:h="16839"/>
          <w:pgMar w:top="400" w:right="1420" w:bottom="1151" w:left="1596" w:header="0" w:footer="988" w:gutter="0"/>
          <w:cols w:space="720" w:num="1"/>
        </w:sectPr>
      </w:pPr>
    </w:p>
    <w:p>
      <w:pPr>
        <w:pStyle w:val="2"/>
        <w:spacing w:line="287" w:lineRule="auto"/>
        <w:rPr>
          <w:sz w:val="21"/>
        </w:rPr>
      </w:pPr>
    </w:p>
    <w:p>
      <w:pPr>
        <w:pStyle w:val="2"/>
        <w:spacing w:line="287" w:lineRule="auto"/>
        <w:rPr>
          <w:sz w:val="21"/>
        </w:rPr>
      </w:pPr>
    </w:p>
    <w:p>
      <w:pPr>
        <w:pStyle w:val="2"/>
        <w:spacing w:line="288" w:lineRule="auto"/>
        <w:rPr>
          <w:sz w:val="21"/>
        </w:rPr>
      </w:pPr>
    </w:p>
    <w:p>
      <w:pPr>
        <w:pStyle w:val="2"/>
        <w:spacing w:line="288" w:lineRule="auto"/>
        <w:rPr>
          <w:sz w:val="21"/>
        </w:rPr>
      </w:pPr>
    </w:p>
    <w:p>
      <w:pPr>
        <w:spacing w:line="8500" w:lineRule="exact"/>
        <w:ind w:firstLine="571"/>
      </w:pPr>
      <w:r>
        <w:rPr>
          <w:position w:val="-170"/>
        </w:rPr>
        <w:drawing>
          <wp:inline distT="0" distB="0" distL="0" distR="0">
            <wp:extent cx="4914900" cy="53975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69"/>
                    <a:stretch>
                      <a:fillRect/>
                    </a:stretch>
                  </pic:blipFill>
                  <pic:spPr>
                    <a:xfrm>
                      <a:off x="0" y="0"/>
                      <a:ext cx="4914900" cy="5397500"/>
                    </a:xfrm>
                    <a:prstGeom prst="rect">
                      <a:avLst/>
                    </a:prstGeom>
                  </pic:spPr>
                </pic:pic>
              </a:graphicData>
            </a:graphic>
          </wp:inline>
        </w:drawing>
      </w:r>
    </w:p>
    <w:p>
      <w:pPr>
        <w:spacing w:before="155" w:line="721" w:lineRule="exact"/>
        <w:ind w:left="2630"/>
        <w:rPr>
          <w:rFonts w:ascii="宋体" w:hAnsi="宋体" w:eastAsia="宋体" w:cs="宋体"/>
          <w:sz w:val="24"/>
          <w:szCs w:val="24"/>
        </w:rPr>
      </w:pPr>
      <w:r>
        <w:rPr>
          <w:rFonts w:ascii="宋体" w:hAnsi="宋体" w:eastAsia="宋体" w:cs="宋体"/>
          <w:spacing w:val="-2"/>
          <w:position w:val="37"/>
          <w:sz w:val="24"/>
          <w:szCs w:val="24"/>
          <w14:textOutline w14:w="4354" w14:cap="flat" w14:cmpd="sng">
            <w14:solidFill>
              <w14:srgbClr w14:val="000000"/>
            </w14:solidFill>
            <w14:prstDash w14:val="solid"/>
            <w14:miter w14:val="10"/>
          </w14:textOutline>
        </w:rPr>
        <w:t>图</w:t>
      </w:r>
      <w:r>
        <w:rPr>
          <w:rFonts w:ascii="宋体" w:hAnsi="宋体" w:eastAsia="宋体" w:cs="宋体"/>
          <w:spacing w:val="-42"/>
          <w:position w:val="37"/>
          <w:sz w:val="24"/>
          <w:szCs w:val="24"/>
        </w:rPr>
        <w:t xml:space="preserve"> </w:t>
      </w:r>
      <w:r>
        <w:rPr>
          <w:rFonts w:ascii="Times New Roman" w:hAnsi="Times New Roman" w:eastAsia="Times New Roman" w:cs="Times New Roman"/>
          <w:b/>
          <w:bCs/>
          <w:spacing w:val="-2"/>
          <w:position w:val="37"/>
          <w:sz w:val="24"/>
          <w:szCs w:val="24"/>
        </w:rPr>
        <w:t xml:space="preserve">4.5-2    </w:t>
      </w:r>
      <w:r>
        <w:rPr>
          <w:rFonts w:ascii="宋体" w:hAnsi="宋体" w:eastAsia="宋体" w:cs="宋体"/>
          <w:spacing w:val="-2"/>
          <w:position w:val="37"/>
          <w:sz w:val="24"/>
          <w:szCs w:val="24"/>
          <w14:textOutline w14:w="4354" w14:cap="flat" w14:cmpd="sng">
            <w14:solidFill>
              <w14:srgbClr w14:val="000000"/>
            </w14:solidFill>
            <w14:prstDash w14:val="solid"/>
            <w14:miter w14:val="10"/>
          </w14:textOutline>
        </w:rPr>
        <w:t>地下水污染应急治理程序</w:t>
      </w:r>
    </w:p>
    <w:p>
      <w:pPr>
        <w:spacing w:before="1" w:line="220" w:lineRule="auto"/>
        <w:rPr>
          <w:rFonts w:ascii="宋体" w:hAnsi="宋体" w:eastAsia="宋体" w:cs="宋体"/>
          <w:sz w:val="28"/>
          <w:szCs w:val="28"/>
        </w:rPr>
      </w:pPr>
      <w:r>
        <w:rPr>
          <w:rFonts w:ascii="Times New Roman" w:hAnsi="Times New Roman" w:eastAsia="Times New Roman" w:cs="Times New Roman"/>
          <w:b/>
          <w:bCs/>
          <w:spacing w:val="-1"/>
          <w:sz w:val="28"/>
          <w:szCs w:val="28"/>
        </w:rPr>
        <w:t>4.5.3</w:t>
      </w:r>
      <w:r>
        <w:rPr>
          <w:rFonts w:ascii="Times New Roman" w:hAnsi="Times New Roman" w:eastAsia="Times New Roman" w:cs="Times New Roman"/>
          <w:b/>
          <w:bCs/>
          <w:spacing w:val="16"/>
          <w:sz w:val="28"/>
          <w:szCs w:val="28"/>
        </w:rPr>
        <w:t xml:space="preserve">  </w:t>
      </w:r>
      <w:r>
        <w:rPr>
          <w:rFonts w:ascii="宋体" w:hAnsi="宋体" w:eastAsia="宋体" w:cs="宋体"/>
          <w:spacing w:val="-1"/>
          <w:sz w:val="28"/>
          <w:szCs w:val="28"/>
          <w14:textOutline w14:w="5094" w14:cap="flat" w14:cmpd="sng">
            <w14:solidFill>
              <w14:srgbClr w14:val="000000"/>
            </w14:solidFill>
            <w14:prstDash w14:val="solid"/>
            <w14:miter w14:val="10"/>
          </w14:textOutline>
        </w:rPr>
        <w:t>风险事故应急措施</w:t>
      </w:r>
    </w:p>
    <w:p>
      <w:pPr>
        <w:pStyle w:val="2"/>
        <w:spacing w:line="273" w:lineRule="auto"/>
        <w:rPr>
          <w:sz w:val="21"/>
        </w:rPr>
      </w:pPr>
    </w:p>
    <w:p>
      <w:pPr>
        <w:spacing w:before="78" w:line="360" w:lineRule="auto"/>
        <w:ind w:firstLine="541"/>
        <w:rPr>
          <w:rFonts w:ascii="宋体" w:hAnsi="宋体" w:eastAsia="宋体" w:cs="宋体"/>
          <w:sz w:val="24"/>
          <w:szCs w:val="24"/>
        </w:rPr>
      </w:pPr>
      <w:r>
        <w:rPr>
          <w:rFonts w:ascii="宋体" w:hAnsi="宋体" w:eastAsia="宋体" w:cs="宋体"/>
          <w:spacing w:val="-2"/>
          <w:sz w:val="24"/>
          <w:szCs w:val="24"/>
        </w:rPr>
        <w:t>拟建项目最大地下水风险事故为应急池破裂废水泄漏。建议设置地表水三级防控</w:t>
      </w:r>
      <w:r>
        <w:rPr>
          <w:rFonts w:ascii="宋体" w:hAnsi="宋体" w:eastAsia="宋体" w:cs="宋体"/>
          <w:spacing w:val="18"/>
          <w:sz w:val="24"/>
          <w:szCs w:val="24"/>
        </w:rPr>
        <w:t xml:space="preserve"> </w:t>
      </w:r>
      <w:r>
        <w:rPr>
          <w:rFonts w:ascii="宋体" w:hAnsi="宋体" w:eastAsia="宋体" w:cs="宋体"/>
          <w:spacing w:val="-8"/>
          <w:sz w:val="24"/>
          <w:szCs w:val="24"/>
        </w:rPr>
        <w:t>机制， 一旦发生废水外溢，要立即启动废水外溢应急预案，</w:t>
      </w:r>
      <w:r>
        <w:rPr>
          <w:rFonts w:ascii="宋体" w:hAnsi="宋体" w:eastAsia="宋体" w:cs="宋体"/>
          <w:spacing w:val="68"/>
          <w:sz w:val="24"/>
          <w:szCs w:val="24"/>
        </w:rPr>
        <w:t xml:space="preserve"> </w:t>
      </w:r>
      <w:r>
        <w:rPr>
          <w:rFonts w:ascii="宋体" w:hAnsi="宋体" w:eastAsia="宋体" w:cs="宋体"/>
          <w:spacing w:val="-8"/>
          <w:sz w:val="24"/>
          <w:szCs w:val="24"/>
        </w:rPr>
        <w:t>对井场周边地表水进行应</w:t>
      </w:r>
      <w:r>
        <w:rPr>
          <w:rFonts w:ascii="宋体" w:hAnsi="宋体" w:eastAsia="宋体" w:cs="宋体"/>
          <w:sz w:val="24"/>
          <w:szCs w:val="24"/>
        </w:rPr>
        <w:t xml:space="preserve"> </w:t>
      </w:r>
      <w:r>
        <w:rPr>
          <w:rFonts w:ascii="宋体" w:hAnsi="宋体" w:eastAsia="宋体" w:cs="宋体"/>
          <w:spacing w:val="-11"/>
          <w:sz w:val="24"/>
          <w:szCs w:val="24"/>
        </w:rPr>
        <w:t>急监测，</w:t>
      </w:r>
      <w:r>
        <w:rPr>
          <w:rFonts w:ascii="宋体" w:hAnsi="宋体" w:eastAsia="宋体" w:cs="宋体"/>
          <w:spacing w:val="-57"/>
          <w:sz w:val="24"/>
          <w:szCs w:val="24"/>
        </w:rPr>
        <w:t xml:space="preserve"> </w:t>
      </w:r>
      <w:r>
        <w:rPr>
          <w:rFonts w:ascii="宋体" w:hAnsi="宋体" w:eastAsia="宋体" w:cs="宋体"/>
          <w:spacing w:val="-11"/>
          <w:sz w:val="24"/>
          <w:szCs w:val="24"/>
        </w:rPr>
        <w:t>同时与当地政府和居民进行及时沟通，</w:t>
      </w:r>
      <w:r>
        <w:rPr>
          <w:rFonts w:ascii="宋体" w:hAnsi="宋体" w:eastAsia="宋体" w:cs="宋体"/>
          <w:spacing w:val="-48"/>
          <w:sz w:val="24"/>
          <w:szCs w:val="24"/>
        </w:rPr>
        <w:t xml:space="preserve"> </w:t>
      </w:r>
      <w:r>
        <w:rPr>
          <w:rFonts w:ascii="宋体" w:hAnsi="宋体" w:eastAsia="宋体" w:cs="宋体"/>
          <w:spacing w:val="-11"/>
          <w:sz w:val="24"/>
          <w:szCs w:val="24"/>
        </w:rPr>
        <w:t>对废水外溢造成的农业损失进行赔偿，</w:t>
      </w:r>
      <w:r>
        <w:rPr>
          <w:rFonts w:ascii="宋体" w:hAnsi="宋体" w:eastAsia="宋体" w:cs="宋体"/>
          <w:sz w:val="24"/>
          <w:szCs w:val="24"/>
        </w:rPr>
        <w:t xml:space="preserve"> 避免居民投诉事件发生。如发生污染事故，应立即将污水转移，修复事故区，并在场</w:t>
      </w:r>
      <w:r>
        <w:rPr>
          <w:rFonts w:ascii="宋体" w:hAnsi="宋体" w:eastAsia="宋体" w:cs="宋体"/>
          <w:spacing w:val="4"/>
          <w:sz w:val="24"/>
          <w:szCs w:val="24"/>
        </w:rPr>
        <w:t xml:space="preserve"> </w:t>
      </w:r>
      <w:r>
        <w:rPr>
          <w:rFonts w:ascii="宋体" w:hAnsi="宋体" w:eastAsia="宋体" w:cs="宋体"/>
          <w:spacing w:val="-6"/>
          <w:sz w:val="24"/>
          <w:szCs w:val="24"/>
        </w:rPr>
        <w:t>地下游进行抽水，将污水抽出处置，</w:t>
      </w:r>
      <w:r>
        <w:rPr>
          <w:rFonts w:ascii="宋体" w:hAnsi="宋体" w:eastAsia="宋体" w:cs="宋体"/>
          <w:spacing w:val="106"/>
          <w:sz w:val="24"/>
          <w:szCs w:val="24"/>
        </w:rPr>
        <w:t xml:space="preserve"> </w:t>
      </w:r>
      <w:r>
        <w:rPr>
          <w:rFonts w:ascii="宋体" w:hAnsi="宋体" w:eastAsia="宋体" w:cs="宋体"/>
          <w:spacing w:val="-6"/>
          <w:sz w:val="24"/>
          <w:szCs w:val="24"/>
        </w:rPr>
        <w:t>同时为下游受影响居民提供桶装饮用水、另找水</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源等保证居民正常用水的措施。</w:t>
      </w:r>
    </w:p>
    <w:p>
      <w:pPr>
        <w:spacing w:line="219" w:lineRule="auto"/>
        <w:rPr>
          <w:rFonts w:ascii="宋体" w:hAnsi="宋体" w:eastAsia="宋体" w:cs="宋体"/>
          <w:sz w:val="24"/>
          <w:szCs w:val="24"/>
        </w:rPr>
        <w:sectPr>
          <w:footerReference r:id="rId200" w:type="default"/>
          <w:pgSz w:w="11907" w:h="16839"/>
          <w:pgMar w:top="400" w:right="1417" w:bottom="1151" w:left="1596" w:header="0" w:footer="988" w:gutter="0"/>
          <w:cols w:space="720" w:num="1"/>
        </w:sect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4" w:lineRule="auto"/>
        <w:rPr>
          <w:sz w:val="21"/>
        </w:rPr>
      </w:pPr>
    </w:p>
    <w:p>
      <w:pPr>
        <w:spacing w:before="140" w:line="236" w:lineRule="auto"/>
        <w:ind w:left="1805"/>
        <w:rPr>
          <w:rFonts w:ascii="宋体" w:hAnsi="宋体" w:eastAsia="宋体" w:cs="宋体"/>
          <w:sz w:val="43"/>
          <w:szCs w:val="43"/>
        </w:rPr>
      </w:pPr>
      <w:bookmarkStart w:id="32" w:name="bookmark33"/>
      <w:bookmarkEnd w:id="32"/>
      <w:bookmarkStart w:id="33" w:name="bookmark34"/>
      <w:bookmarkEnd w:id="33"/>
      <w:r>
        <w:rPr>
          <w:rFonts w:ascii="Times New Roman" w:hAnsi="Times New Roman" w:eastAsia="Times New Roman" w:cs="Times New Roman"/>
          <w:b/>
          <w:bCs/>
          <w:spacing w:val="12"/>
          <w:sz w:val="43"/>
          <w:szCs w:val="43"/>
        </w:rPr>
        <w:t xml:space="preserve">s  </w:t>
      </w:r>
      <w:r>
        <w:rPr>
          <w:rFonts w:ascii="宋体" w:hAnsi="宋体" w:eastAsia="宋体" w:cs="宋体"/>
          <w:spacing w:val="12"/>
          <w:sz w:val="43"/>
          <w:szCs w:val="43"/>
          <w14:textOutline w14:w="7968" w14:cap="flat" w14:cmpd="sng">
            <w14:solidFill>
              <w14:srgbClr w14:val="000000"/>
            </w14:solidFill>
            <w14:prstDash w14:val="solid"/>
            <w14:miter w14:val="10"/>
          </w14:textOutline>
        </w:rPr>
        <w:t>地下水环境影响评价结论</w:t>
      </w:r>
    </w:p>
    <w:p>
      <w:pPr>
        <w:pStyle w:val="2"/>
        <w:spacing w:line="314" w:lineRule="auto"/>
        <w:rPr>
          <w:sz w:val="21"/>
        </w:rPr>
      </w:pPr>
    </w:p>
    <w:p>
      <w:pPr>
        <w:pStyle w:val="2"/>
        <w:spacing w:line="315" w:lineRule="auto"/>
        <w:rPr>
          <w:sz w:val="21"/>
        </w:rPr>
      </w:pPr>
    </w:p>
    <w:p>
      <w:pPr>
        <w:spacing w:before="100" w:line="225" w:lineRule="auto"/>
        <w:ind w:left="1"/>
        <w:rPr>
          <w:rFonts w:ascii="宋体" w:hAnsi="宋体" w:eastAsia="宋体" w:cs="宋体"/>
          <w:sz w:val="31"/>
          <w:szCs w:val="31"/>
        </w:rPr>
      </w:pPr>
      <w:r>
        <w:rPr>
          <w:rFonts w:ascii="Times New Roman" w:hAnsi="Times New Roman" w:eastAsia="Times New Roman" w:cs="Times New Roman"/>
          <w:b/>
          <w:bCs/>
          <w:spacing w:val="10"/>
          <w:sz w:val="31"/>
          <w:szCs w:val="31"/>
        </w:rPr>
        <w:t>5.1</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地下水环境现状</w:t>
      </w:r>
    </w:p>
    <w:p>
      <w:pPr>
        <w:pStyle w:val="2"/>
        <w:spacing w:line="368" w:lineRule="auto"/>
        <w:rPr>
          <w:sz w:val="21"/>
        </w:rPr>
      </w:pPr>
    </w:p>
    <w:p>
      <w:pPr>
        <w:spacing w:before="78" w:line="468" w:lineRule="exact"/>
        <w:jc w:val="right"/>
        <w:rPr>
          <w:rFonts w:ascii="宋体" w:hAnsi="宋体" w:eastAsia="宋体" w:cs="宋体"/>
          <w:sz w:val="24"/>
          <w:szCs w:val="24"/>
        </w:rPr>
      </w:pPr>
      <w:r>
        <w:rPr>
          <w:rFonts w:ascii="宋体" w:hAnsi="宋体" w:eastAsia="宋体" w:cs="宋体"/>
          <w:position w:val="17"/>
          <w:sz w:val="24"/>
          <w:szCs w:val="24"/>
          <w14:textOutline w14:w="4354" w14:cap="flat" w14:cmpd="sng">
            <w14:solidFill>
              <w14:srgbClr w14:val="000000"/>
            </w14:solidFill>
            <w14:prstDash w14:val="solid"/>
            <w14:miter w14:val="10"/>
          </w14:textOutline>
        </w:rPr>
        <w:t>地下水环境敏感点：</w:t>
      </w:r>
      <w:r>
        <w:rPr>
          <w:rFonts w:ascii="宋体" w:hAnsi="宋体" w:eastAsia="宋体" w:cs="宋体"/>
          <w:position w:val="17"/>
          <w:sz w:val="24"/>
          <w:szCs w:val="24"/>
        </w:rPr>
        <w:t>井场周边不存在地下水集中式饮用水源，井场周边农户以自</w:t>
      </w:r>
    </w:p>
    <w:p>
      <w:pPr>
        <w:spacing w:line="219" w:lineRule="auto"/>
        <w:rPr>
          <w:rFonts w:ascii="宋体" w:hAnsi="宋体" w:eastAsia="宋体" w:cs="宋体"/>
          <w:sz w:val="24"/>
          <w:szCs w:val="24"/>
        </w:rPr>
      </w:pPr>
      <w:r>
        <w:rPr>
          <w:rFonts w:ascii="宋体" w:hAnsi="宋体" w:eastAsia="宋体" w:cs="宋体"/>
          <w:spacing w:val="-1"/>
          <w:sz w:val="24"/>
          <w:szCs w:val="24"/>
        </w:rPr>
        <w:t>来水和分散式水井、泉水作为日常饮用水源，为</w:t>
      </w:r>
      <w:r>
        <w:rPr>
          <w:rFonts w:ascii="宋体" w:hAnsi="宋体" w:eastAsia="宋体" w:cs="宋体"/>
          <w:spacing w:val="-2"/>
          <w:sz w:val="24"/>
          <w:szCs w:val="24"/>
        </w:rPr>
        <w:t>分散式地下水饮用水源。</w:t>
      </w:r>
    </w:p>
    <w:p>
      <w:pPr>
        <w:spacing w:before="182" w:line="469" w:lineRule="exact"/>
        <w:jc w:val="right"/>
        <w:rPr>
          <w:rFonts w:ascii="宋体" w:hAnsi="宋体" w:eastAsia="宋体" w:cs="宋体"/>
          <w:sz w:val="24"/>
          <w:szCs w:val="24"/>
        </w:rPr>
      </w:pPr>
      <w:r>
        <w:rPr>
          <w:rFonts w:ascii="宋体" w:hAnsi="宋体" w:eastAsia="宋体" w:cs="宋体"/>
          <w:position w:val="17"/>
          <w:sz w:val="24"/>
          <w:szCs w:val="24"/>
          <w14:textOutline w14:w="4354" w14:cap="flat" w14:cmpd="sng">
            <w14:solidFill>
              <w14:srgbClr w14:val="000000"/>
            </w14:solidFill>
            <w14:prstDash w14:val="solid"/>
            <w14:miter w14:val="10"/>
          </w14:textOutline>
        </w:rPr>
        <w:t>场地水文地质条件：</w:t>
      </w:r>
      <w:r>
        <w:rPr>
          <w:rFonts w:ascii="宋体" w:hAnsi="宋体" w:eastAsia="宋体" w:cs="宋体"/>
          <w:position w:val="17"/>
          <w:sz w:val="24"/>
          <w:szCs w:val="24"/>
        </w:rPr>
        <w:t>项目拟建区以侏罗系上统蓬莱镇组地层为主，地下水类型主</w:t>
      </w:r>
    </w:p>
    <w:p>
      <w:pPr>
        <w:spacing w:line="233" w:lineRule="auto"/>
        <w:rPr>
          <w:rFonts w:ascii="宋体" w:hAnsi="宋体" w:eastAsia="宋体" w:cs="宋体"/>
          <w:sz w:val="24"/>
          <w:szCs w:val="24"/>
        </w:rPr>
      </w:pPr>
      <w:r>
        <w:rPr>
          <w:rFonts w:ascii="宋体" w:hAnsi="宋体" w:eastAsia="宋体" w:cs="宋体"/>
          <w:spacing w:val="-3"/>
          <w:sz w:val="24"/>
          <w:szCs w:val="24"/>
        </w:rPr>
        <w:t>要为构造裂隙水。含水层厚度一般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10-30m</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，主要接受大气降水补给。</w:t>
      </w:r>
    </w:p>
    <w:p>
      <w:pPr>
        <w:spacing w:before="165" w:line="468" w:lineRule="exact"/>
        <w:ind w:right="27"/>
        <w:jc w:val="right"/>
        <w:rPr>
          <w:rFonts w:ascii="宋体" w:hAnsi="宋体" w:eastAsia="宋体" w:cs="宋体"/>
          <w:sz w:val="24"/>
          <w:szCs w:val="24"/>
        </w:rPr>
      </w:pPr>
      <w:r>
        <w:rPr>
          <w:rFonts w:ascii="宋体" w:hAnsi="宋体" w:eastAsia="宋体" w:cs="宋体"/>
          <w:spacing w:val="-4"/>
          <w:position w:val="17"/>
          <w:sz w:val="24"/>
          <w:szCs w:val="24"/>
          <w14:textOutline w14:w="4354" w14:cap="flat" w14:cmpd="sng">
            <w14:solidFill>
              <w14:srgbClr w14:val="000000"/>
            </w14:solidFill>
            <w14:prstDash w14:val="solid"/>
            <w14:miter w14:val="10"/>
          </w14:textOutline>
        </w:rPr>
        <w:t>原生环境水文地质问题：</w:t>
      </w:r>
      <w:r>
        <w:rPr>
          <w:rFonts w:ascii="宋体" w:hAnsi="宋体" w:eastAsia="宋体" w:cs="宋体"/>
          <w:spacing w:val="-4"/>
          <w:position w:val="17"/>
          <w:sz w:val="24"/>
          <w:szCs w:val="24"/>
        </w:rPr>
        <w:t xml:space="preserve"> 通过区域水文地质调查资料分析和现场调查，评价</w:t>
      </w:r>
      <w:r>
        <w:rPr>
          <w:rFonts w:ascii="宋体" w:hAnsi="宋体" w:eastAsia="宋体" w:cs="宋体"/>
          <w:spacing w:val="-5"/>
          <w:position w:val="17"/>
          <w:sz w:val="24"/>
          <w:szCs w:val="24"/>
        </w:rPr>
        <w:t>区内</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无天然劣质水以及由此引发的地方性疾病等原生环境水文地质问题。</w:t>
      </w:r>
    </w:p>
    <w:p>
      <w:pPr>
        <w:spacing w:before="182" w:line="468" w:lineRule="exact"/>
        <w:ind w:right="29"/>
        <w:jc w:val="right"/>
        <w:rPr>
          <w:rFonts w:ascii="宋体" w:hAnsi="宋体" w:eastAsia="宋体" w:cs="宋体"/>
          <w:sz w:val="24"/>
          <w:szCs w:val="24"/>
        </w:rPr>
      </w:pPr>
      <w:r>
        <w:rPr>
          <w:rFonts w:ascii="宋体" w:hAnsi="宋体" w:eastAsia="宋体" w:cs="宋体"/>
          <w:spacing w:val="-1"/>
          <w:position w:val="17"/>
          <w:sz w:val="24"/>
          <w:szCs w:val="24"/>
          <w14:textOutline w14:w="4354" w14:cap="flat" w14:cmpd="sng">
            <w14:solidFill>
              <w14:srgbClr w14:val="000000"/>
            </w14:solidFill>
            <w14:prstDash w14:val="solid"/>
            <w14:miter w14:val="10"/>
          </w14:textOutline>
        </w:rPr>
        <w:t>地下水污染源现状：</w:t>
      </w:r>
      <w:r>
        <w:rPr>
          <w:rFonts w:ascii="宋体" w:hAnsi="宋体" w:eastAsia="宋体" w:cs="宋体"/>
          <w:spacing w:val="-1"/>
          <w:position w:val="17"/>
          <w:sz w:val="24"/>
          <w:szCs w:val="24"/>
        </w:rPr>
        <w:t>根据调查，评价范围内没有工业企业，不存在工业污染源。</w:t>
      </w:r>
    </w:p>
    <w:p>
      <w:pPr>
        <w:spacing w:line="218" w:lineRule="auto"/>
        <w:rPr>
          <w:rFonts w:ascii="宋体" w:hAnsi="宋体" w:eastAsia="宋体" w:cs="宋体"/>
          <w:sz w:val="24"/>
          <w:szCs w:val="24"/>
        </w:rPr>
      </w:pPr>
      <w:r>
        <w:rPr>
          <w:rFonts w:ascii="宋体" w:hAnsi="宋体" w:eastAsia="宋体" w:cs="宋体"/>
          <w:spacing w:val="-2"/>
          <w:sz w:val="24"/>
          <w:szCs w:val="24"/>
        </w:rPr>
        <w:t>本项目评价区主要地下水污染源为分散居民生产及生活废水。</w:t>
      </w:r>
    </w:p>
    <w:p>
      <w:pPr>
        <w:spacing w:before="185" w:line="360" w:lineRule="auto"/>
        <w:ind w:right="1" w:firstLine="481"/>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地下水环境质量现状：</w:t>
      </w:r>
      <w:r>
        <w:rPr>
          <w:rFonts w:ascii="宋体" w:hAnsi="宋体" w:eastAsia="宋体" w:cs="宋体"/>
          <w:spacing w:val="-3"/>
          <w:sz w:val="24"/>
          <w:szCs w:val="24"/>
        </w:rPr>
        <w:t xml:space="preserve"> 评价区地下水阳离子以钙离子为主，阴离子</w:t>
      </w:r>
      <w:r>
        <w:rPr>
          <w:rFonts w:ascii="宋体" w:hAnsi="宋体" w:eastAsia="宋体" w:cs="宋体"/>
          <w:spacing w:val="-4"/>
          <w:sz w:val="24"/>
          <w:szCs w:val="24"/>
        </w:rPr>
        <w:t>以碳酸氢根离</w:t>
      </w:r>
      <w:r>
        <w:rPr>
          <w:rFonts w:ascii="宋体" w:hAnsi="宋体" w:eastAsia="宋体" w:cs="宋体"/>
          <w:sz w:val="24"/>
          <w:szCs w:val="24"/>
        </w:rPr>
        <w:t xml:space="preserve"> </w:t>
      </w:r>
      <w:r>
        <w:rPr>
          <w:rFonts w:ascii="宋体" w:hAnsi="宋体" w:eastAsia="宋体" w:cs="宋体"/>
          <w:spacing w:val="-6"/>
          <w:sz w:val="24"/>
          <w:szCs w:val="24"/>
        </w:rPr>
        <w:t>子为主，地下水化学类型为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HCO</w:t>
      </w:r>
      <w:r>
        <w:rPr>
          <w:rFonts w:ascii="Times New Roman" w:hAnsi="Times New Roman" w:eastAsia="Times New Roman" w:cs="Times New Roman"/>
          <w:spacing w:val="-6"/>
          <w:position w:val="-1"/>
          <w:sz w:val="16"/>
          <w:szCs w:val="16"/>
        </w:rPr>
        <w:t xml:space="preserve">3  </w:t>
      </w:r>
      <w:r>
        <w:rPr>
          <w:rFonts w:ascii="宋体" w:hAnsi="宋体" w:eastAsia="宋体" w:cs="宋体"/>
          <w:spacing w:val="-6"/>
          <w:sz w:val="24"/>
          <w:szCs w:val="24"/>
        </w:rPr>
        <w:t>·</w:t>
      </w:r>
      <w:r>
        <w:rPr>
          <w:rFonts w:ascii="Times New Roman" w:hAnsi="Times New Roman" w:eastAsia="Times New Roman" w:cs="Times New Roman"/>
          <w:spacing w:val="-6"/>
          <w:sz w:val="24"/>
          <w:szCs w:val="24"/>
        </w:rPr>
        <w:t>Ca</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型水， 各项监测指标均可达到《地下水质量标</w:t>
      </w:r>
    </w:p>
    <w:p>
      <w:pPr>
        <w:spacing w:before="1" w:line="219" w:lineRule="auto"/>
        <w:ind w:left="1"/>
        <w:rPr>
          <w:rFonts w:ascii="宋体" w:hAnsi="宋体" w:eastAsia="宋体" w:cs="宋体"/>
          <w:sz w:val="24"/>
          <w:szCs w:val="24"/>
        </w:rPr>
      </w:pPr>
      <w:r>
        <w:rPr>
          <w:rFonts w:ascii="宋体" w:hAnsi="宋体" w:eastAsia="宋体" w:cs="宋体"/>
          <w:spacing w:val="-5"/>
          <w:sz w:val="24"/>
          <w:szCs w:val="24"/>
        </w:rPr>
        <w:t>准》（</w:t>
      </w:r>
      <w:r>
        <w:rPr>
          <w:rFonts w:ascii="Times New Roman" w:hAnsi="Times New Roman" w:eastAsia="Times New Roman" w:cs="Times New Roman"/>
          <w:spacing w:val="-5"/>
          <w:sz w:val="24"/>
          <w:szCs w:val="24"/>
        </w:rPr>
        <w:t>GB/T14848-2017</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III </w:t>
      </w:r>
      <w:r>
        <w:rPr>
          <w:rFonts w:ascii="宋体" w:hAnsi="宋体" w:eastAsia="宋体" w:cs="宋体"/>
          <w:spacing w:val="-5"/>
          <w:sz w:val="24"/>
          <w:szCs w:val="24"/>
        </w:rPr>
        <w:t>类水质标准。</w:t>
      </w:r>
    </w:p>
    <w:p>
      <w:pPr>
        <w:pStyle w:val="2"/>
        <w:spacing w:line="356" w:lineRule="auto"/>
        <w:rPr>
          <w:sz w:val="21"/>
        </w:rPr>
      </w:pPr>
    </w:p>
    <w:p>
      <w:pPr>
        <w:spacing w:before="101" w:line="224" w:lineRule="auto"/>
        <w:ind w:left="1"/>
        <w:rPr>
          <w:rFonts w:ascii="宋体" w:hAnsi="宋体" w:eastAsia="宋体" w:cs="宋体"/>
          <w:sz w:val="31"/>
          <w:szCs w:val="31"/>
        </w:rPr>
      </w:pPr>
      <w:bookmarkStart w:id="34" w:name="bookmark35"/>
      <w:bookmarkEnd w:id="34"/>
      <w:r>
        <w:rPr>
          <w:rFonts w:ascii="Times New Roman" w:hAnsi="Times New Roman" w:eastAsia="Times New Roman" w:cs="Times New Roman"/>
          <w:b/>
          <w:bCs/>
          <w:spacing w:val="10"/>
          <w:sz w:val="31"/>
          <w:szCs w:val="31"/>
        </w:rPr>
        <w:t>5.2</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地下水环境影响评价结论</w:t>
      </w:r>
    </w:p>
    <w:p>
      <w:pPr>
        <w:pStyle w:val="2"/>
        <w:spacing w:line="370" w:lineRule="auto"/>
        <w:rPr>
          <w:sz w:val="21"/>
        </w:rPr>
      </w:pPr>
    </w:p>
    <w:p>
      <w:pPr>
        <w:spacing w:before="79" w:line="360" w:lineRule="auto"/>
        <w:ind w:right="3" w:firstLine="480"/>
        <w:jc w:val="both"/>
        <w:rPr>
          <w:rFonts w:ascii="宋体" w:hAnsi="宋体" w:eastAsia="宋体" w:cs="宋体"/>
          <w:sz w:val="24"/>
          <w:szCs w:val="24"/>
        </w:rPr>
      </w:pPr>
      <w:r>
        <w:rPr>
          <w:rFonts w:ascii="宋体" w:hAnsi="宋体" w:eastAsia="宋体" w:cs="宋体"/>
          <w:sz w:val="24"/>
          <w:szCs w:val="24"/>
        </w:rPr>
        <w:t>本项目钻井期可能产生污染的环节为钻井、洗井废水阶段。正常工况下，收集废</w:t>
      </w:r>
      <w:r>
        <w:rPr>
          <w:rFonts w:ascii="宋体" w:hAnsi="宋体" w:eastAsia="宋体" w:cs="宋体"/>
          <w:spacing w:val="5"/>
          <w:sz w:val="24"/>
          <w:szCs w:val="24"/>
        </w:rPr>
        <w:t xml:space="preserve"> </w:t>
      </w:r>
      <w:r>
        <w:rPr>
          <w:rFonts w:ascii="宋体" w:hAnsi="宋体" w:eastAsia="宋体" w:cs="宋体"/>
          <w:spacing w:val="-5"/>
          <w:sz w:val="24"/>
          <w:szCs w:val="24"/>
        </w:rPr>
        <w:t>水的构筑物均采取良好的防渗措施，</w:t>
      </w:r>
      <w:r>
        <w:rPr>
          <w:rFonts w:ascii="宋体" w:hAnsi="宋体" w:eastAsia="宋体" w:cs="宋体"/>
          <w:spacing w:val="74"/>
          <w:sz w:val="24"/>
          <w:szCs w:val="24"/>
        </w:rPr>
        <w:t xml:space="preserve"> </w:t>
      </w:r>
      <w:r>
        <w:rPr>
          <w:rFonts w:ascii="宋体" w:hAnsi="宋体" w:eastAsia="宋体" w:cs="宋体"/>
          <w:spacing w:val="-5"/>
          <w:sz w:val="24"/>
          <w:szCs w:val="24"/>
        </w:rPr>
        <w:t>能有效地保护浅层地下水，对地</w:t>
      </w:r>
      <w:r>
        <w:rPr>
          <w:rFonts w:ascii="宋体" w:hAnsi="宋体" w:eastAsia="宋体" w:cs="宋体"/>
          <w:spacing w:val="-6"/>
          <w:sz w:val="24"/>
          <w:szCs w:val="24"/>
        </w:rPr>
        <w:t>下水环境影响较</w:t>
      </w:r>
      <w:r>
        <w:rPr>
          <w:rFonts w:ascii="宋体" w:hAnsi="宋体" w:eastAsia="宋体" w:cs="宋体"/>
          <w:sz w:val="24"/>
          <w:szCs w:val="24"/>
        </w:rPr>
        <w:t xml:space="preserve"> 小。非正常工况下，假定废水储存罐（池）污水外溢，直接进入地下水含水层中，对</w:t>
      </w:r>
      <w:r>
        <w:rPr>
          <w:rFonts w:ascii="宋体" w:hAnsi="宋体" w:eastAsia="宋体" w:cs="宋体"/>
          <w:spacing w:val="2"/>
          <w:sz w:val="24"/>
          <w:szCs w:val="24"/>
        </w:rPr>
        <w:t xml:space="preserve"> </w:t>
      </w:r>
      <w:r>
        <w:rPr>
          <w:rFonts w:ascii="宋体" w:hAnsi="宋体" w:eastAsia="宋体" w:cs="宋体"/>
          <w:sz w:val="24"/>
          <w:szCs w:val="24"/>
        </w:rPr>
        <w:t>地下水水质造成污染。故选取非正常工况下应急池池体破裂废水外溢情景，使用解析</w:t>
      </w:r>
      <w:r>
        <w:rPr>
          <w:rFonts w:ascii="宋体" w:hAnsi="宋体" w:eastAsia="宋体" w:cs="宋体"/>
          <w:spacing w:val="5"/>
          <w:sz w:val="24"/>
          <w:szCs w:val="24"/>
        </w:rPr>
        <w:t xml:space="preserve"> </w:t>
      </w:r>
      <w:r>
        <w:rPr>
          <w:rFonts w:ascii="宋体" w:hAnsi="宋体" w:eastAsia="宋体" w:cs="宋体"/>
          <w:spacing w:val="-10"/>
          <w:sz w:val="24"/>
          <w:szCs w:val="24"/>
        </w:rPr>
        <w:t>法，选择耗氧量（</w:t>
      </w:r>
      <w:r>
        <w:rPr>
          <w:rFonts w:ascii="Times New Roman" w:hAnsi="Times New Roman" w:eastAsia="Times New Roman" w:cs="Times New Roman"/>
          <w:spacing w:val="-10"/>
          <w:sz w:val="24"/>
          <w:szCs w:val="24"/>
        </w:rPr>
        <w:t>COD</w:t>
      </w:r>
      <w:r>
        <w:rPr>
          <w:rFonts w:ascii="Times New Roman" w:hAnsi="Times New Roman" w:eastAsia="Times New Roman" w:cs="Times New Roman"/>
          <w:spacing w:val="-10"/>
          <w:position w:val="-1"/>
          <w:sz w:val="16"/>
          <w:szCs w:val="16"/>
        </w:rPr>
        <w:t>Mn</w:t>
      </w:r>
      <w:r>
        <w:rPr>
          <w:rFonts w:ascii="宋体" w:hAnsi="宋体" w:eastAsia="宋体" w:cs="宋体"/>
          <w:spacing w:val="-10"/>
          <w:sz w:val="24"/>
          <w:szCs w:val="24"/>
        </w:rPr>
        <w:t>）、石油类、氯化物三种污染物进行模拟，</w:t>
      </w:r>
      <w:r>
        <w:rPr>
          <w:rFonts w:ascii="宋体" w:hAnsi="宋体" w:eastAsia="宋体" w:cs="宋体"/>
          <w:spacing w:val="41"/>
          <w:sz w:val="24"/>
          <w:szCs w:val="24"/>
        </w:rPr>
        <w:t xml:space="preserve"> </w:t>
      </w:r>
      <w:r>
        <w:rPr>
          <w:rFonts w:ascii="宋体" w:hAnsi="宋体" w:eastAsia="宋体" w:cs="宋体"/>
          <w:spacing w:val="-10"/>
          <w:sz w:val="24"/>
          <w:szCs w:val="24"/>
        </w:rPr>
        <w:t>对地下水进行</w:t>
      </w:r>
      <w:r>
        <w:rPr>
          <w:rFonts w:ascii="宋体" w:hAnsi="宋体" w:eastAsia="宋体" w:cs="宋体"/>
          <w:spacing w:val="-11"/>
          <w:sz w:val="24"/>
          <w:szCs w:val="24"/>
        </w:rPr>
        <w:t>影响</w:t>
      </w:r>
    </w:p>
    <w:p>
      <w:pPr>
        <w:spacing w:before="1" w:line="219" w:lineRule="auto"/>
        <w:ind w:left="1"/>
        <w:rPr>
          <w:rFonts w:ascii="宋体" w:hAnsi="宋体" w:eastAsia="宋体" w:cs="宋体"/>
          <w:sz w:val="24"/>
          <w:szCs w:val="24"/>
        </w:rPr>
      </w:pPr>
      <w:r>
        <w:rPr>
          <w:rFonts w:ascii="宋体" w:hAnsi="宋体" w:eastAsia="宋体" w:cs="宋体"/>
          <w:spacing w:val="-6"/>
          <w:sz w:val="24"/>
          <w:szCs w:val="24"/>
        </w:rPr>
        <w:t>预测。得出如下结果：</w:t>
      </w:r>
    </w:p>
    <w:p>
      <w:pPr>
        <w:spacing w:before="183" w:line="360" w:lineRule="auto"/>
        <w:ind w:left="2" w:firstLine="480"/>
        <w:jc w:val="both"/>
        <w:rPr>
          <w:rFonts w:ascii="Times New Roman" w:hAnsi="Times New Roman" w:eastAsia="Times New Roman" w:cs="Times New Roman"/>
          <w:sz w:val="24"/>
          <w:szCs w:val="24"/>
        </w:rPr>
      </w:pPr>
      <w:r>
        <w:rPr>
          <w:rFonts w:ascii="宋体" w:hAnsi="宋体" w:eastAsia="宋体" w:cs="宋体"/>
          <w:spacing w:val="-6"/>
          <w:sz w:val="24"/>
          <w:szCs w:val="24"/>
        </w:rPr>
        <w:t>非正常工况下，</w:t>
      </w:r>
      <w:r>
        <w:rPr>
          <w:rFonts w:ascii="宋体" w:hAnsi="宋体" w:eastAsia="宋体" w:cs="宋体"/>
          <w:spacing w:val="-37"/>
          <w:sz w:val="24"/>
          <w:szCs w:val="24"/>
        </w:rPr>
        <w:t xml:space="preserve"> </w:t>
      </w:r>
      <w:r>
        <w:rPr>
          <w:rFonts w:ascii="宋体" w:hAnsi="宋体" w:eastAsia="宋体" w:cs="宋体"/>
          <w:spacing w:val="-6"/>
          <w:sz w:val="24"/>
          <w:szCs w:val="24"/>
        </w:rPr>
        <w:t>应急池废水外溢在</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7300</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天内污染物石油类最远的超标距离为井口</w:t>
      </w:r>
      <w:r>
        <w:rPr>
          <w:rFonts w:ascii="宋体" w:hAnsi="宋体" w:eastAsia="宋体" w:cs="宋体"/>
          <w:sz w:val="24"/>
          <w:szCs w:val="24"/>
        </w:rPr>
        <w:t xml:space="preserve"> </w:t>
      </w:r>
      <w:r>
        <w:rPr>
          <w:rFonts w:ascii="宋体" w:hAnsi="宋体" w:eastAsia="宋体" w:cs="宋体"/>
          <w:spacing w:val="-3"/>
          <w:sz w:val="24"/>
          <w:szCs w:val="24"/>
        </w:rPr>
        <w:t xml:space="preserve">水流下游 </w:t>
      </w:r>
      <w:r>
        <w:rPr>
          <w:rFonts w:ascii="Times New Roman" w:hAnsi="Times New Roman" w:eastAsia="Times New Roman" w:cs="Times New Roman"/>
          <w:spacing w:val="-3"/>
          <w:sz w:val="24"/>
          <w:szCs w:val="24"/>
        </w:rPr>
        <w:t>152m</w:t>
      </w:r>
      <w:r>
        <w:rPr>
          <w:rFonts w:ascii="Times New Roman" w:hAnsi="Times New Roman" w:eastAsia="Times New Roman" w:cs="Times New Roman"/>
          <w:spacing w:val="38"/>
          <w:w w:val="101"/>
          <w:sz w:val="24"/>
          <w:szCs w:val="24"/>
        </w:rPr>
        <w:t xml:space="preserve"> </w:t>
      </w:r>
      <w:r>
        <w:rPr>
          <w:rFonts w:ascii="宋体" w:hAnsi="宋体" w:eastAsia="宋体" w:cs="宋体"/>
          <w:spacing w:val="-3"/>
          <w:sz w:val="24"/>
          <w:szCs w:val="24"/>
        </w:rPr>
        <w:t>处，耗氧量（</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
          <w:position w:val="-1"/>
          <w:sz w:val="16"/>
          <w:szCs w:val="16"/>
        </w:rPr>
        <w:t xml:space="preserve">Mn </w:t>
      </w:r>
      <w:r>
        <w:rPr>
          <w:rFonts w:ascii="宋体" w:hAnsi="宋体" w:eastAsia="宋体" w:cs="宋体"/>
          <w:spacing w:val="-3"/>
          <w:sz w:val="24"/>
          <w:szCs w:val="24"/>
        </w:rPr>
        <w:t>）在</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730</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38"/>
          <w:sz w:val="24"/>
          <w:szCs w:val="24"/>
        </w:rPr>
        <w:t xml:space="preserve"> </w:t>
      </w:r>
      <w:r>
        <w:rPr>
          <w:rFonts w:ascii="宋体" w:hAnsi="宋体" w:eastAsia="宋体" w:cs="宋体"/>
          <w:spacing w:val="-4"/>
          <w:sz w:val="24"/>
          <w:szCs w:val="24"/>
        </w:rPr>
        <w:t xml:space="preserve">天后无超标距离存在，氯化物在 </w:t>
      </w:r>
      <w:r>
        <w:rPr>
          <w:rFonts w:ascii="Times New Roman" w:hAnsi="Times New Roman" w:eastAsia="Times New Roman" w:cs="Times New Roman"/>
          <w:spacing w:val="-4"/>
          <w:sz w:val="24"/>
          <w:szCs w:val="24"/>
        </w:rPr>
        <w:t>1000</w:t>
      </w:r>
    </w:p>
    <w:p>
      <w:pPr>
        <w:spacing w:before="1" w:line="219" w:lineRule="auto"/>
        <w:ind w:left="4"/>
        <w:rPr>
          <w:rFonts w:ascii="宋体" w:hAnsi="宋体" w:eastAsia="宋体" w:cs="宋体"/>
          <w:sz w:val="24"/>
          <w:szCs w:val="24"/>
        </w:rPr>
      </w:pPr>
      <w:r>
        <w:rPr>
          <w:rFonts w:ascii="宋体" w:hAnsi="宋体" w:eastAsia="宋体" w:cs="宋体"/>
          <w:spacing w:val="-5"/>
          <w:sz w:val="24"/>
          <w:szCs w:val="24"/>
        </w:rPr>
        <w:t>天后已无超标距离存在。</w:t>
      </w:r>
    </w:p>
    <w:p>
      <w:pPr>
        <w:spacing w:before="181" w:line="220" w:lineRule="auto"/>
        <w:ind w:left="483"/>
        <w:rPr>
          <w:rFonts w:ascii="宋体" w:hAnsi="宋体" w:eastAsia="宋体" w:cs="宋体"/>
          <w:sz w:val="24"/>
          <w:szCs w:val="24"/>
        </w:rPr>
      </w:pPr>
      <w:r>
        <w:rPr>
          <w:rFonts w:ascii="宋体" w:hAnsi="宋体" w:eastAsia="宋体" w:cs="宋体"/>
          <w:spacing w:val="-2"/>
          <w:sz w:val="24"/>
          <w:szCs w:val="24"/>
        </w:rPr>
        <w:t>发生风险事故后，通过及时处理，工程</w:t>
      </w:r>
      <w:r>
        <w:rPr>
          <w:rFonts w:hint="eastAsia" w:ascii="宋体" w:hAnsi="宋体" w:eastAsia="宋体" w:cs="宋体"/>
          <w:spacing w:val="-2"/>
          <w:sz w:val="24"/>
          <w:szCs w:val="24"/>
        </w:rPr>
        <w:t>建设用地</w:t>
      </w:r>
      <w:r>
        <w:rPr>
          <w:rFonts w:ascii="宋体" w:hAnsi="宋体" w:eastAsia="宋体" w:cs="宋体"/>
          <w:spacing w:val="-2"/>
          <w:sz w:val="24"/>
          <w:szCs w:val="24"/>
        </w:rPr>
        <w:t>下水环境影响可接受。</w:t>
      </w:r>
    </w:p>
    <w:p>
      <w:pPr>
        <w:spacing w:line="220" w:lineRule="auto"/>
        <w:rPr>
          <w:rFonts w:ascii="宋体" w:hAnsi="宋体" w:eastAsia="宋体" w:cs="宋体"/>
          <w:sz w:val="24"/>
          <w:szCs w:val="24"/>
        </w:rPr>
        <w:sectPr>
          <w:footerReference r:id="rId201" w:type="default"/>
          <w:pgSz w:w="11907" w:h="16839"/>
          <w:pgMar w:top="400" w:right="1416" w:bottom="1151" w:left="1598" w:header="0" w:footer="988" w:gutter="0"/>
          <w:cols w:space="720" w:num="1"/>
        </w:sectPr>
      </w:pPr>
    </w:p>
    <w:p>
      <w:pPr>
        <w:pStyle w:val="2"/>
        <w:spacing w:line="271" w:lineRule="auto"/>
        <w:rPr>
          <w:sz w:val="21"/>
        </w:rPr>
      </w:pPr>
    </w:p>
    <w:p>
      <w:pPr>
        <w:pStyle w:val="2"/>
        <w:spacing w:line="271" w:lineRule="auto"/>
        <w:rPr>
          <w:sz w:val="21"/>
        </w:rPr>
      </w:pPr>
    </w:p>
    <w:p>
      <w:pPr>
        <w:pStyle w:val="2"/>
        <w:spacing w:line="271" w:lineRule="auto"/>
        <w:rPr>
          <w:sz w:val="21"/>
        </w:rPr>
      </w:pPr>
    </w:p>
    <w:p>
      <w:pPr>
        <w:pStyle w:val="2"/>
        <w:spacing w:line="272" w:lineRule="auto"/>
        <w:rPr>
          <w:sz w:val="21"/>
        </w:rPr>
      </w:pPr>
    </w:p>
    <w:p>
      <w:pPr>
        <w:spacing w:before="101" w:line="225" w:lineRule="auto"/>
        <w:ind w:left="3"/>
        <w:rPr>
          <w:rFonts w:ascii="宋体" w:hAnsi="宋体" w:eastAsia="宋体" w:cs="宋体"/>
          <w:sz w:val="31"/>
          <w:szCs w:val="31"/>
        </w:rPr>
      </w:pPr>
      <w:bookmarkStart w:id="35" w:name="bookmark36"/>
      <w:bookmarkEnd w:id="35"/>
      <w:r>
        <w:rPr>
          <w:rFonts w:ascii="Times New Roman" w:hAnsi="Times New Roman" w:eastAsia="Times New Roman" w:cs="Times New Roman"/>
          <w:b/>
          <w:bCs/>
          <w:spacing w:val="10"/>
          <w:sz w:val="31"/>
          <w:szCs w:val="31"/>
        </w:rPr>
        <w:t>5.3</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地下水环境</w:t>
      </w:r>
      <w:r>
        <w:rPr>
          <w:rFonts w:hint="eastAsia" w:ascii="宋体" w:hAnsi="宋体" w:eastAsia="宋体" w:cs="宋体"/>
          <w:spacing w:val="10"/>
          <w:sz w:val="31"/>
          <w:szCs w:val="31"/>
          <w14:textOutline w14:w="5791" w14:cap="flat" w14:cmpd="sng">
            <w14:solidFill>
              <w14:srgbClr w14:val="000000"/>
            </w14:solidFill>
            <w14:prstDash w14:val="solid"/>
            <w14:miter w14:val="10"/>
          </w14:textOutline>
        </w:rPr>
        <w:t>污染防治</w:t>
      </w:r>
      <w:r>
        <w:rPr>
          <w:rFonts w:ascii="宋体" w:hAnsi="宋体" w:eastAsia="宋体" w:cs="宋体"/>
          <w:spacing w:val="10"/>
          <w:sz w:val="31"/>
          <w:szCs w:val="31"/>
          <w14:textOutline w14:w="5791" w14:cap="flat" w14:cmpd="sng">
            <w14:solidFill>
              <w14:srgbClr w14:val="000000"/>
            </w14:solidFill>
            <w14:prstDash w14:val="solid"/>
            <w14:miter w14:val="10"/>
          </w14:textOutline>
        </w:rPr>
        <w:t>措施</w:t>
      </w:r>
    </w:p>
    <w:p>
      <w:pPr>
        <w:pStyle w:val="2"/>
        <w:spacing w:line="368" w:lineRule="auto"/>
        <w:rPr>
          <w:sz w:val="21"/>
        </w:rPr>
      </w:pPr>
    </w:p>
    <w:p>
      <w:pPr>
        <w:spacing w:before="78" w:line="468" w:lineRule="exact"/>
        <w:jc w:val="right"/>
        <w:rPr>
          <w:rFonts w:ascii="宋体" w:hAnsi="宋体" w:eastAsia="宋体" w:cs="宋体"/>
          <w:sz w:val="24"/>
          <w:szCs w:val="24"/>
        </w:rPr>
      </w:pPr>
      <w:r>
        <w:rPr>
          <w:rFonts w:ascii="宋体" w:hAnsi="宋体" w:eastAsia="宋体" w:cs="宋体"/>
          <w:spacing w:val="-3"/>
          <w:position w:val="17"/>
          <w:sz w:val="24"/>
          <w:szCs w:val="24"/>
        </w:rPr>
        <w:t>根据本工程</w:t>
      </w:r>
      <w:r>
        <w:rPr>
          <w:rFonts w:hint="eastAsia" w:ascii="宋体" w:hAnsi="宋体" w:eastAsia="宋体" w:cs="宋体"/>
          <w:spacing w:val="-3"/>
          <w:position w:val="17"/>
          <w:sz w:val="24"/>
          <w:szCs w:val="24"/>
        </w:rPr>
        <w:t>建设用地</w:t>
      </w:r>
      <w:r>
        <w:rPr>
          <w:rFonts w:ascii="宋体" w:hAnsi="宋体" w:eastAsia="宋体" w:cs="宋体"/>
          <w:spacing w:val="-3"/>
          <w:position w:val="17"/>
          <w:sz w:val="24"/>
          <w:szCs w:val="24"/>
        </w:rPr>
        <w:t>下水环境影响的特点， 建议本项目地下水环境</w:t>
      </w:r>
      <w:r>
        <w:rPr>
          <w:rFonts w:hint="eastAsia" w:ascii="宋体" w:hAnsi="宋体" w:eastAsia="宋体" w:cs="宋体"/>
          <w:spacing w:val="-3"/>
          <w:position w:val="17"/>
          <w:sz w:val="24"/>
          <w:szCs w:val="24"/>
        </w:rPr>
        <w:t>污染防治</w:t>
      </w:r>
      <w:r>
        <w:rPr>
          <w:rFonts w:ascii="宋体" w:hAnsi="宋体" w:eastAsia="宋体" w:cs="宋体"/>
          <w:spacing w:val="-4"/>
          <w:position w:val="17"/>
          <w:sz w:val="24"/>
          <w:szCs w:val="24"/>
        </w:rPr>
        <w:t>措施</w:t>
      </w:r>
    </w:p>
    <w:p>
      <w:pPr>
        <w:spacing w:line="219" w:lineRule="auto"/>
        <w:ind w:left="3"/>
        <w:rPr>
          <w:rFonts w:ascii="宋体" w:hAnsi="宋体" w:eastAsia="宋体" w:cs="宋体"/>
          <w:sz w:val="24"/>
          <w:szCs w:val="24"/>
        </w:rPr>
      </w:pPr>
      <w:r>
        <w:rPr>
          <w:rFonts w:ascii="宋体" w:hAnsi="宋体" w:eastAsia="宋体" w:cs="宋体"/>
          <w:spacing w:val="-2"/>
          <w:sz w:val="24"/>
          <w:szCs w:val="24"/>
        </w:rPr>
        <w:t>按照</w:t>
      </w:r>
      <w:r>
        <w:rPr>
          <w:rFonts w:ascii="Times New Roman" w:hAnsi="Times New Roman" w:eastAsia="Times New Roman" w:cs="Times New Roman"/>
          <w:spacing w:val="-2"/>
          <w:sz w:val="24"/>
          <w:szCs w:val="24"/>
        </w:rPr>
        <w:t>“</w:t>
      </w:r>
      <w:r>
        <w:rPr>
          <w:rFonts w:ascii="宋体" w:hAnsi="宋体" w:eastAsia="宋体" w:cs="宋体"/>
          <w:spacing w:val="-2"/>
          <w:sz w:val="24"/>
          <w:szCs w:val="24"/>
        </w:rPr>
        <w:t>源头控制、分区防控、污染监控、应急响</w:t>
      </w:r>
      <w:r>
        <w:rPr>
          <w:rFonts w:ascii="宋体" w:hAnsi="宋体" w:eastAsia="宋体" w:cs="宋体"/>
          <w:spacing w:val="-3"/>
          <w:sz w:val="24"/>
          <w:szCs w:val="24"/>
        </w:rPr>
        <w:t>应</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的原则进行。</w:t>
      </w:r>
    </w:p>
    <w:p>
      <w:pPr>
        <w:spacing w:before="182"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）源头控制措施</w:t>
      </w:r>
    </w:p>
    <w:p>
      <w:pPr>
        <w:spacing w:before="182" w:line="360" w:lineRule="auto"/>
        <w:ind w:left="4" w:right="3" w:firstLine="478"/>
        <w:rPr>
          <w:rFonts w:ascii="宋体" w:hAnsi="宋体" w:eastAsia="宋体" w:cs="宋体"/>
          <w:sz w:val="24"/>
          <w:szCs w:val="24"/>
        </w:rPr>
      </w:pPr>
      <w:r>
        <w:rPr>
          <w:rFonts w:ascii="宋体" w:hAnsi="宋体" w:eastAsia="宋体" w:cs="宋体"/>
          <w:spacing w:val="-3"/>
          <w:sz w:val="24"/>
          <w:szCs w:val="24"/>
        </w:rPr>
        <w:t>主要包括实施清洁生产及各类废物循环利用，减少污染物的产生</w:t>
      </w:r>
      <w:r>
        <w:rPr>
          <w:rFonts w:ascii="宋体" w:hAnsi="宋体" w:eastAsia="宋体" w:cs="宋体"/>
          <w:spacing w:val="-4"/>
          <w:sz w:val="24"/>
          <w:szCs w:val="24"/>
        </w:rPr>
        <w:t>量和排放量； 对</w:t>
      </w:r>
      <w:r>
        <w:rPr>
          <w:rFonts w:ascii="宋体" w:hAnsi="宋体" w:eastAsia="宋体" w:cs="宋体"/>
          <w:sz w:val="24"/>
          <w:szCs w:val="24"/>
        </w:rPr>
        <w:t xml:space="preserve"> </w:t>
      </w:r>
      <w:r>
        <w:rPr>
          <w:rFonts w:ascii="宋体" w:hAnsi="宋体" w:eastAsia="宋体" w:cs="宋体"/>
          <w:spacing w:val="-11"/>
          <w:sz w:val="24"/>
          <w:szCs w:val="24"/>
        </w:rPr>
        <w:t>工艺、管道、设备、污水储存及处理构筑物采取相应措施，</w:t>
      </w:r>
      <w:r>
        <w:rPr>
          <w:rFonts w:ascii="宋体" w:hAnsi="宋体" w:eastAsia="宋体" w:cs="宋体"/>
          <w:spacing w:val="35"/>
          <w:sz w:val="24"/>
          <w:szCs w:val="24"/>
        </w:rPr>
        <w:t xml:space="preserve"> </w:t>
      </w:r>
      <w:r>
        <w:rPr>
          <w:rFonts w:ascii="宋体" w:hAnsi="宋体" w:eastAsia="宋体" w:cs="宋体"/>
          <w:spacing w:val="-11"/>
          <w:sz w:val="24"/>
          <w:szCs w:val="24"/>
        </w:rPr>
        <w:t>防止和降低污染物</w:t>
      </w:r>
      <w:r>
        <w:rPr>
          <w:rFonts w:ascii="宋体" w:hAnsi="宋体" w:eastAsia="宋体" w:cs="宋体"/>
          <w:spacing w:val="-12"/>
          <w:sz w:val="24"/>
          <w:szCs w:val="24"/>
        </w:rPr>
        <w:t>跑、冒、</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滴、漏，将污染物泄漏的环境风险事故降到最低限度。</w:t>
      </w:r>
    </w:p>
    <w:p>
      <w:pPr>
        <w:spacing w:before="182"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）分区防渗控制措施</w:t>
      </w:r>
    </w:p>
    <w:p>
      <w:pPr>
        <w:spacing w:before="183" w:line="360" w:lineRule="auto"/>
        <w:ind w:right="3" w:firstLine="478"/>
        <w:rPr>
          <w:rFonts w:ascii="宋体" w:hAnsi="宋体" w:eastAsia="宋体" w:cs="宋体"/>
          <w:sz w:val="24"/>
          <w:szCs w:val="24"/>
        </w:rPr>
      </w:pPr>
      <w:r>
        <w:rPr>
          <w:rFonts w:ascii="宋体" w:hAnsi="宋体" w:eastAsia="宋体" w:cs="宋体"/>
          <w:spacing w:val="-2"/>
          <w:sz w:val="24"/>
          <w:szCs w:val="24"/>
        </w:rPr>
        <w:t>将工程各功能单元可能产生污染的地区，划分为</w:t>
      </w:r>
      <w:r>
        <w:rPr>
          <w:rFonts w:ascii="宋体" w:hAnsi="宋体" w:eastAsia="宋体" w:cs="宋体"/>
          <w:spacing w:val="-3"/>
          <w:sz w:val="24"/>
          <w:szCs w:val="24"/>
        </w:rPr>
        <w:t>重点防渗区、</w:t>
      </w:r>
      <w:r>
        <w:rPr>
          <w:rFonts w:ascii="宋体" w:hAnsi="宋体" w:eastAsia="宋体" w:cs="宋体"/>
          <w:spacing w:val="-28"/>
          <w:sz w:val="24"/>
          <w:szCs w:val="24"/>
        </w:rPr>
        <w:t xml:space="preserve"> </w:t>
      </w:r>
      <w:r>
        <w:rPr>
          <w:rFonts w:ascii="宋体" w:hAnsi="宋体" w:eastAsia="宋体" w:cs="宋体"/>
          <w:spacing w:val="-3"/>
          <w:sz w:val="24"/>
          <w:szCs w:val="24"/>
        </w:rPr>
        <w:t>一般防渗区和简单</w:t>
      </w:r>
      <w:r>
        <w:rPr>
          <w:rFonts w:ascii="宋体" w:hAnsi="宋体" w:eastAsia="宋体" w:cs="宋体"/>
          <w:sz w:val="24"/>
          <w:szCs w:val="24"/>
        </w:rPr>
        <w:t xml:space="preserve"> </w:t>
      </w:r>
      <w:r>
        <w:rPr>
          <w:rFonts w:ascii="宋体" w:hAnsi="宋体" w:eastAsia="宋体" w:cs="宋体"/>
          <w:spacing w:val="-3"/>
          <w:sz w:val="24"/>
          <w:szCs w:val="24"/>
        </w:rPr>
        <w:t>防渗区。 重点防渗区（含井场内井口、井架及设备基础区域、循环系统、泥浆</w:t>
      </w:r>
      <w:r>
        <w:rPr>
          <w:rFonts w:ascii="宋体" w:hAnsi="宋体" w:eastAsia="宋体" w:cs="宋体"/>
          <w:spacing w:val="-4"/>
          <w:sz w:val="24"/>
          <w:szCs w:val="24"/>
        </w:rPr>
        <w:t>材料堆</w:t>
      </w:r>
      <w:r>
        <w:rPr>
          <w:rFonts w:ascii="宋体" w:hAnsi="宋体" w:eastAsia="宋体" w:cs="宋体"/>
          <w:sz w:val="24"/>
          <w:szCs w:val="24"/>
        </w:rPr>
        <w:t xml:space="preserve"> </w:t>
      </w:r>
      <w:r>
        <w:rPr>
          <w:rFonts w:ascii="宋体" w:hAnsi="宋体" w:eastAsia="宋体" w:cs="宋体"/>
          <w:spacing w:val="-7"/>
          <w:sz w:val="24"/>
          <w:szCs w:val="24"/>
        </w:rPr>
        <w:t>存区、油罐及水罐区、应急池、燃烧池及集酸坑、清洁生产操作平台、泥浆储备罐区、</w:t>
      </w:r>
      <w:r>
        <w:rPr>
          <w:rFonts w:ascii="宋体" w:hAnsi="宋体" w:eastAsia="宋体" w:cs="宋体"/>
          <w:spacing w:val="3"/>
          <w:sz w:val="24"/>
          <w:szCs w:val="24"/>
        </w:rPr>
        <w:t xml:space="preserve"> </w:t>
      </w:r>
      <w:r>
        <w:rPr>
          <w:rFonts w:ascii="宋体" w:hAnsi="宋体" w:eastAsia="宋体" w:cs="宋体"/>
          <w:spacing w:val="-7"/>
          <w:sz w:val="24"/>
          <w:szCs w:val="24"/>
        </w:rPr>
        <w:t>隔油池、集液池等）、一般防渗区（井场部分非设备基础区（包括清污分流排水沟）、</w:t>
      </w:r>
    </w:p>
    <w:p>
      <w:pPr>
        <w:spacing w:before="1" w:line="218" w:lineRule="auto"/>
        <w:ind w:left="1"/>
        <w:rPr>
          <w:rFonts w:ascii="宋体" w:hAnsi="宋体" w:eastAsia="宋体" w:cs="宋体"/>
          <w:sz w:val="24"/>
          <w:szCs w:val="24"/>
        </w:rPr>
      </w:pPr>
      <w:r>
        <w:rPr>
          <w:rFonts w:ascii="宋体" w:hAnsi="宋体" w:eastAsia="宋体" w:cs="宋体"/>
          <w:spacing w:val="-5"/>
          <w:sz w:val="24"/>
          <w:szCs w:val="24"/>
        </w:rPr>
        <w:t>环保厕所）和简单防渗区（除重点防渗区和一般防渗区外的区域）。</w:t>
      </w:r>
    </w:p>
    <w:p>
      <w:pPr>
        <w:spacing w:before="183"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）地下水环境监控措施</w:t>
      </w:r>
    </w:p>
    <w:p>
      <w:pPr>
        <w:spacing w:before="182" w:line="468" w:lineRule="exact"/>
        <w:jc w:val="right"/>
        <w:rPr>
          <w:rFonts w:ascii="宋体" w:hAnsi="宋体" w:eastAsia="宋体" w:cs="宋体"/>
          <w:sz w:val="24"/>
          <w:szCs w:val="24"/>
        </w:rPr>
      </w:pPr>
      <w:r>
        <w:rPr>
          <w:rFonts w:ascii="宋体" w:hAnsi="宋体" w:eastAsia="宋体" w:cs="宋体"/>
          <w:spacing w:val="-6"/>
          <w:position w:val="17"/>
          <w:sz w:val="24"/>
          <w:szCs w:val="24"/>
        </w:rPr>
        <w:t>对工程区定期进行地下水监测，以及时了解该区地下水状况</w:t>
      </w:r>
      <w:r>
        <w:rPr>
          <w:rFonts w:ascii="宋体" w:hAnsi="宋体" w:eastAsia="宋体" w:cs="宋体"/>
          <w:spacing w:val="-7"/>
          <w:position w:val="17"/>
          <w:sz w:val="24"/>
          <w:szCs w:val="24"/>
        </w:rPr>
        <w:t>， 一旦发生污染， 及</w:t>
      </w:r>
    </w:p>
    <w:p>
      <w:pPr>
        <w:spacing w:before="1" w:line="218" w:lineRule="auto"/>
        <w:ind w:left="13"/>
        <w:rPr>
          <w:rFonts w:ascii="宋体" w:hAnsi="宋体" w:eastAsia="宋体" w:cs="宋体"/>
          <w:sz w:val="24"/>
          <w:szCs w:val="24"/>
        </w:rPr>
      </w:pPr>
      <w:r>
        <w:rPr>
          <w:rFonts w:ascii="宋体" w:hAnsi="宋体" w:eastAsia="宋体" w:cs="宋体"/>
          <w:spacing w:val="-2"/>
          <w:sz w:val="24"/>
          <w:szCs w:val="24"/>
        </w:rPr>
        <w:t>时采取应急、补救措施，避免造成大范围的污染以至于达到无法补救的程度。</w:t>
      </w:r>
    </w:p>
    <w:p>
      <w:pPr>
        <w:spacing w:before="185"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）风险事故应急响应措施</w:t>
      </w:r>
    </w:p>
    <w:p>
      <w:pPr>
        <w:spacing w:before="181" w:line="468" w:lineRule="exact"/>
        <w:ind w:right="3"/>
        <w:jc w:val="right"/>
        <w:rPr>
          <w:rFonts w:ascii="宋体" w:hAnsi="宋体" w:eastAsia="宋体" w:cs="宋体"/>
          <w:sz w:val="24"/>
          <w:szCs w:val="24"/>
        </w:rPr>
      </w:pPr>
      <w:r>
        <w:rPr>
          <w:rFonts w:ascii="宋体" w:hAnsi="宋体" w:eastAsia="宋体" w:cs="宋体"/>
          <w:position w:val="17"/>
          <w:sz w:val="24"/>
          <w:szCs w:val="24"/>
        </w:rPr>
        <w:t>制定地下水污染应急响应预案，明确污染状况下应采取的控制污染源、切断污染</w:t>
      </w:r>
    </w:p>
    <w:p>
      <w:pPr>
        <w:spacing w:before="1" w:line="219" w:lineRule="auto"/>
        <w:ind w:left="1"/>
        <w:rPr>
          <w:rFonts w:ascii="宋体" w:hAnsi="宋体" w:eastAsia="宋体" w:cs="宋体"/>
          <w:sz w:val="24"/>
          <w:szCs w:val="24"/>
        </w:rPr>
      </w:pPr>
      <w:r>
        <w:rPr>
          <w:rFonts w:ascii="宋体" w:hAnsi="宋体" w:eastAsia="宋体" w:cs="宋体"/>
          <w:spacing w:val="-7"/>
          <w:sz w:val="24"/>
          <w:szCs w:val="24"/>
        </w:rPr>
        <w:t>途径等措施。</w:t>
      </w:r>
    </w:p>
    <w:p>
      <w:pPr>
        <w:pStyle w:val="2"/>
        <w:spacing w:line="356" w:lineRule="auto"/>
        <w:rPr>
          <w:sz w:val="21"/>
        </w:rPr>
      </w:pPr>
    </w:p>
    <w:p>
      <w:pPr>
        <w:spacing w:before="101" w:line="224" w:lineRule="auto"/>
        <w:ind w:left="3"/>
        <w:rPr>
          <w:rFonts w:ascii="宋体" w:hAnsi="宋体" w:eastAsia="宋体" w:cs="宋体"/>
          <w:sz w:val="31"/>
          <w:szCs w:val="31"/>
        </w:rPr>
      </w:pPr>
      <w:bookmarkStart w:id="36" w:name="bookmark37"/>
      <w:bookmarkEnd w:id="36"/>
      <w:r>
        <w:rPr>
          <w:rFonts w:ascii="Times New Roman" w:hAnsi="Times New Roman" w:eastAsia="Times New Roman" w:cs="Times New Roman"/>
          <w:b/>
          <w:bCs/>
          <w:spacing w:val="10"/>
          <w:sz w:val="31"/>
          <w:szCs w:val="31"/>
        </w:rPr>
        <w:t>5.4</w:t>
      </w:r>
      <w:r>
        <w:rPr>
          <w:rFonts w:ascii="宋体" w:hAnsi="宋体" w:eastAsia="宋体" w:cs="宋体"/>
          <w:spacing w:val="10"/>
          <w:sz w:val="31"/>
          <w:szCs w:val="31"/>
          <w14:textOutline w14:w="5791" w14:cap="flat" w14:cmpd="sng">
            <w14:solidFill>
              <w14:srgbClr w14:val="000000"/>
            </w14:solidFill>
            <w14:prstDash w14:val="solid"/>
            <w14:miter w14:val="10"/>
          </w14:textOutline>
        </w:rPr>
        <w:t>地下水环境影响评价结论</w:t>
      </w:r>
    </w:p>
    <w:p>
      <w:pPr>
        <w:pStyle w:val="2"/>
        <w:spacing w:line="371" w:lineRule="auto"/>
        <w:rPr>
          <w:sz w:val="21"/>
        </w:rPr>
      </w:pPr>
    </w:p>
    <w:p>
      <w:pPr>
        <w:spacing w:before="79" w:line="360" w:lineRule="auto"/>
        <w:ind w:firstLine="482"/>
        <w:jc w:val="both"/>
        <w:rPr>
          <w:rFonts w:ascii="宋体" w:hAnsi="宋体" w:eastAsia="宋体" w:cs="宋体"/>
          <w:sz w:val="24"/>
          <w:szCs w:val="24"/>
        </w:rPr>
      </w:pPr>
      <w:r>
        <w:rPr>
          <w:rFonts w:ascii="宋体" w:hAnsi="宋体" w:eastAsia="宋体" w:cs="宋体"/>
          <w:spacing w:val="-2"/>
          <w:sz w:val="24"/>
          <w:szCs w:val="24"/>
        </w:rPr>
        <w:t>凤探</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井位于四川省达州市通川区江陵镇和平村</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组，项目施工建设过程</w:t>
      </w:r>
      <w:r>
        <w:rPr>
          <w:rFonts w:ascii="宋体" w:hAnsi="宋体" w:eastAsia="宋体" w:cs="宋体"/>
          <w:spacing w:val="-3"/>
          <w:sz w:val="24"/>
          <w:szCs w:val="24"/>
        </w:rPr>
        <w:t>中不可</w:t>
      </w:r>
      <w:r>
        <w:rPr>
          <w:rFonts w:ascii="宋体" w:hAnsi="宋体" w:eastAsia="宋体" w:cs="宋体"/>
          <w:sz w:val="24"/>
          <w:szCs w:val="24"/>
        </w:rPr>
        <w:t xml:space="preserve"> 避免的会产生一定量的废水和固体废物，项目业主单位在加强环境管理，严格落实本</w:t>
      </w:r>
      <w:r>
        <w:rPr>
          <w:rFonts w:ascii="宋体" w:hAnsi="宋体" w:eastAsia="宋体" w:cs="宋体"/>
          <w:spacing w:val="4"/>
          <w:sz w:val="24"/>
          <w:szCs w:val="24"/>
        </w:rPr>
        <w:t xml:space="preserve"> </w:t>
      </w:r>
      <w:r>
        <w:rPr>
          <w:rFonts w:ascii="宋体" w:hAnsi="宋体" w:eastAsia="宋体" w:cs="宋体"/>
          <w:sz w:val="24"/>
          <w:szCs w:val="24"/>
        </w:rPr>
        <w:t>评价提出的地下水环境</w:t>
      </w:r>
      <w:r>
        <w:rPr>
          <w:rFonts w:hint="eastAsia" w:ascii="宋体" w:hAnsi="宋体" w:eastAsia="宋体" w:cs="宋体"/>
          <w:sz w:val="24"/>
          <w:szCs w:val="24"/>
        </w:rPr>
        <w:t>污染防治</w:t>
      </w:r>
      <w:r>
        <w:rPr>
          <w:rFonts w:ascii="宋体" w:hAnsi="宋体" w:eastAsia="宋体" w:cs="宋体"/>
          <w:sz w:val="24"/>
          <w:szCs w:val="24"/>
        </w:rPr>
        <w:t>措施的前提下，本项目在拟选场址</w:t>
      </w:r>
      <w:r>
        <w:rPr>
          <w:rFonts w:hint="eastAsia" w:ascii="宋体" w:hAnsi="宋体" w:eastAsia="宋体" w:cs="宋体"/>
          <w:sz w:val="24"/>
          <w:szCs w:val="24"/>
        </w:rPr>
        <w:t>建设用地</w:t>
      </w:r>
      <w:r>
        <w:rPr>
          <w:rFonts w:ascii="宋体" w:hAnsi="宋体" w:eastAsia="宋体" w:cs="宋体"/>
          <w:sz w:val="24"/>
          <w:szCs w:val="24"/>
        </w:rPr>
        <w:t>下水环境</w:t>
      </w:r>
    </w:p>
    <w:p>
      <w:pPr>
        <w:spacing w:before="1" w:line="220" w:lineRule="auto"/>
        <w:ind w:left="21"/>
        <w:rPr>
          <w:rFonts w:ascii="宋体" w:hAnsi="宋体" w:eastAsia="宋体" w:cs="宋体"/>
          <w:sz w:val="24"/>
          <w:szCs w:val="24"/>
        </w:rPr>
      </w:pPr>
      <w:r>
        <w:rPr>
          <w:rFonts w:ascii="宋体" w:hAnsi="宋体" w:eastAsia="宋体" w:cs="宋体"/>
          <w:spacing w:val="-3"/>
          <w:sz w:val="24"/>
          <w:szCs w:val="24"/>
        </w:rPr>
        <w:t>的影响是可以接受的。</w:t>
      </w:r>
    </w:p>
    <w:p>
      <w:pPr>
        <w:spacing w:line="220" w:lineRule="auto"/>
        <w:rPr>
          <w:rFonts w:ascii="宋体" w:hAnsi="宋体" w:eastAsia="宋体" w:cs="宋体"/>
          <w:sz w:val="24"/>
          <w:szCs w:val="24"/>
        </w:rPr>
        <w:sectPr>
          <w:footerReference r:id="rId202" w:type="default"/>
          <w:pgSz w:w="11907" w:h="16839"/>
          <w:pgMar w:top="400" w:right="1417" w:bottom="1151" w:left="1596" w:header="0" w:footer="988" w:gutter="0"/>
          <w:cols w:space="720" w:num="1"/>
        </w:sectPr>
      </w:pPr>
    </w:p>
    <w:p>
      <w:pPr>
        <w:pStyle w:val="2"/>
        <w:spacing w:line="462" w:lineRule="auto"/>
        <w:rPr>
          <w:sz w:val="21"/>
        </w:rPr>
      </w:pPr>
    </w:p>
    <w:p>
      <w:pPr>
        <w:spacing w:before="69" w:line="232" w:lineRule="auto"/>
        <w:ind w:left="50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pPr>
        <w:pStyle w:val="2"/>
        <w:spacing w:line="400" w:lineRule="auto"/>
        <w:rPr>
          <w:sz w:val="21"/>
        </w:rPr>
      </w:pPr>
    </w:p>
    <w:p>
      <w:pPr>
        <w:spacing w:before="140" w:line="856" w:lineRule="exact"/>
        <w:ind w:left="2239"/>
        <w:rPr>
          <w:rFonts w:ascii="宋体" w:hAnsi="宋体" w:eastAsia="宋体" w:cs="宋体"/>
          <w:sz w:val="43"/>
          <w:szCs w:val="43"/>
        </w:rPr>
      </w:pPr>
      <w:r>
        <w:rPr>
          <w:rFonts w:ascii="宋体" w:hAnsi="宋体" w:eastAsia="宋体" w:cs="宋体"/>
          <w:spacing w:val="9"/>
          <w:position w:val="31"/>
          <w:sz w:val="43"/>
          <w:szCs w:val="43"/>
          <w14:textOutline w14:w="7968" w14:cap="flat" w14:cmpd="sng">
            <w14:solidFill>
              <w14:srgbClr w14:val="000000"/>
            </w14:solidFill>
            <w14:prstDash w14:val="solid"/>
            <w14:miter w14:val="10"/>
          </w14:textOutline>
        </w:rPr>
        <w:t>大庆油田有限责任公司</w:t>
      </w:r>
    </w:p>
    <w:p>
      <w:pPr>
        <w:spacing w:line="224" w:lineRule="auto"/>
        <w:ind w:left="2678"/>
        <w:rPr>
          <w:rFonts w:ascii="宋体" w:hAnsi="宋体" w:eastAsia="宋体" w:cs="宋体"/>
          <w:sz w:val="43"/>
          <w:szCs w:val="43"/>
        </w:rPr>
      </w:pPr>
      <w:r>
        <w:rPr>
          <w:rFonts w:ascii="宋体" w:hAnsi="宋体" w:eastAsia="宋体" w:cs="宋体"/>
          <w:spacing w:val="4"/>
          <w:sz w:val="43"/>
          <w:szCs w:val="43"/>
          <w14:textOutline w14:w="7968" w14:cap="flat" w14:cmpd="sng">
            <w14:solidFill>
              <w14:srgbClr w14:val="000000"/>
            </w14:solidFill>
            <w14:prstDash w14:val="solid"/>
            <w14:miter w14:val="10"/>
          </w14:textOutline>
        </w:rPr>
        <w:t>凤探</w:t>
      </w:r>
      <w:r>
        <w:rPr>
          <w:rFonts w:ascii="宋体" w:hAnsi="宋体" w:eastAsia="宋体" w:cs="宋体"/>
          <w:spacing w:val="-73"/>
          <w:sz w:val="43"/>
          <w:szCs w:val="43"/>
        </w:rPr>
        <w:t xml:space="preserve"> </w:t>
      </w:r>
      <w:r>
        <w:rPr>
          <w:rFonts w:ascii="Times New Roman" w:hAnsi="Times New Roman" w:eastAsia="Times New Roman" w:cs="Times New Roman"/>
          <w:b/>
          <w:bCs/>
          <w:spacing w:val="4"/>
          <w:sz w:val="43"/>
          <w:szCs w:val="43"/>
        </w:rPr>
        <w:t xml:space="preserve">1 </w:t>
      </w:r>
      <w:r>
        <w:rPr>
          <w:rFonts w:ascii="宋体" w:hAnsi="宋体" w:eastAsia="宋体" w:cs="宋体"/>
          <w:spacing w:val="4"/>
          <w:sz w:val="43"/>
          <w:szCs w:val="43"/>
          <w14:textOutline w14:w="7968" w14:cap="flat" w14:cmpd="sng">
            <w14:solidFill>
              <w14:srgbClr w14:val="000000"/>
            </w14:solidFill>
            <w14:prstDash w14:val="solid"/>
            <w14:miter w14:val="10"/>
          </w14:textOutline>
        </w:rPr>
        <w:t>井钻井工程</w:t>
      </w:r>
    </w:p>
    <w:p>
      <w:pPr>
        <w:spacing w:before="332" w:line="222" w:lineRule="auto"/>
        <w:ind w:left="2676"/>
        <w:rPr>
          <w:rFonts w:ascii="宋体" w:hAnsi="宋体" w:eastAsia="宋体" w:cs="宋体"/>
          <w:sz w:val="43"/>
          <w:szCs w:val="43"/>
        </w:rPr>
      </w:pPr>
      <w:r>
        <w:rPr>
          <w:rFonts w:ascii="宋体" w:hAnsi="宋体" w:eastAsia="宋体" w:cs="宋体"/>
          <w:spacing w:val="9"/>
          <w:sz w:val="43"/>
          <w:szCs w:val="43"/>
          <w14:textOutline w14:w="7968" w14:cap="flat" w14:cmpd="sng">
            <w14:solidFill>
              <w14:srgbClr w14:val="000000"/>
            </w14:solidFill>
            <w14:prstDash w14:val="solid"/>
            <w14:miter w14:val="10"/>
          </w14:textOutline>
        </w:rPr>
        <w:t>环境风险专题评价</w:t>
      </w: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pStyle w:val="2"/>
        <w:spacing w:line="241" w:lineRule="auto"/>
        <w:rPr>
          <w:sz w:val="21"/>
        </w:rPr>
      </w:pPr>
    </w:p>
    <w:p>
      <w:pPr>
        <w:spacing w:before="140" w:line="857" w:lineRule="exact"/>
        <w:ind w:left="1353"/>
        <w:rPr>
          <w:rFonts w:ascii="宋体" w:hAnsi="宋体" w:eastAsia="宋体" w:cs="宋体"/>
          <w:sz w:val="43"/>
          <w:szCs w:val="43"/>
        </w:rPr>
      </w:pPr>
      <w:r>
        <w:rPr>
          <w:rFonts w:ascii="宋体" w:hAnsi="宋体" w:eastAsia="宋体" w:cs="宋体"/>
          <w:spacing w:val="10"/>
          <w:position w:val="31"/>
          <w:sz w:val="43"/>
          <w:szCs w:val="43"/>
          <w14:textOutline w14:w="7968" w14:cap="flat" w14:cmpd="sng">
            <w14:solidFill>
              <w14:srgbClr w14:val="000000"/>
            </w14:solidFill>
            <w14:prstDash w14:val="solid"/>
            <w14:miter w14:val="10"/>
          </w14:textOutline>
        </w:rPr>
        <w:t>重庆精创联合环保工程有限公司</w:t>
      </w:r>
    </w:p>
    <w:p>
      <w:pPr>
        <w:spacing w:before="1" w:line="223" w:lineRule="auto"/>
        <w:ind w:left="2683"/>
        <w:rPr>
          <w:rFonts w:ascii="宋体" w:hAnsi="宋体" w:eastAsia="宋体" w:cs="宋体"/>
          <w:sz w:val="43"/>
          <w:szCs w:val="43"/>
        </w:rPr>
      </w:pPr>
      <w:r>
        <w:rPr>
          <w:rFonts w:ascii="宋体" w:hAnsi="宋体" w:eastAsia="宋体" w:cs="宋体"/>
          <w:spacing w:val="8"/>
          <w:sz w:val="43"/>
          <w:szCs w:val="43"/>
          <w14:textOutline w14:w="7968" w14:cap="flat" w14:cmpd="sng">
            <w14:solidFill>
              <w14:srgbClr w14:val="000000"/>
            </w14:solidFill>
            <w14:prstDash w14:val="solid"/>
            <w14:miter w14:val="10"/>
          </w14:textOutline>
        </w:rPr>
        <w:t>二○二三年十二月</w:t>
      </w:r>
    </w:p>
    <w:p>
      <w:pPr>
        <w:spacing w:line="223" w:lineRule="auto"/>
        <w:rPr>
          <w:rFonts w:ascii="宋体" w:hAnsi="宋体" w:eastAsia="宋体" w:cs="宋体"/>
          <w:sz w:val="43"/>
          <w:szCs w:val="43"/>
        </w:rPr>
        <w:sectPr>
          <w:headerReference r:id="rId203" w:type="default"/>
          <w:footerReference r:id="rId204" w:type="default"/>
          <w:pgSz w:w="11907" w:h="16839"/>
          <w:pgMar w:top="1123" w:right="1766" w:bottom="400" w:left="1769" w:header="1108" w:footer="0" w:gutter="0"/>
          <w:cols w:space="720" w:num="1"/>
        </w:sectPr>
      </w:pPr>
    </w:p>
    <w:p>
      <w:pPr>
        <w:pStyle w:val="2"/>
        <w:spacing w:line="253" w:lineRule="auto"/>
        <w:rPr>
          <w:sz w:val="21"/>
        </w:rPr>
      </w:pPr>
    </w:p>
    <w:sdt>
      <w:sdtPr>
        <w:rPr>
          <w:rFonts w:ascii="宋体" w:hAnsi="宋体" w:eastAsia="宋体" w:cs="宋体"/>
          <w:sz w:val="36"/>
          <w:szCs w:val="36"/>
        </w:rPr>
        <w:id w:val="2"/>
        <w:docPartObj>
          <w:docPartGallery w:val="Table of Contents"/>
          <w:docPartUnique/>
        </w:docPartObj>
      </w:sdtPr>
      <w:sdtEndPr>
        <w:rPr>
          <w:rFonts w:ascii="Times New Roman" w:hAnsi="Times New Roman" w:eastAsia="Times New Roman" w:cs="Times New Roman"/>
          <w:sz w:val="24"/>
          <w:szCs w:val="24"/>
        </w:rPr>
      </w:sdtEndPr>
      <w:sdtContent>
        <w:p>
          <w:pPr>
            <w:spacing w:before="117" w:line="222" w:lineRule="auto"/>
            <w:ind w:left="3815"/>
            <w:rPr>
              <w:rFonts w:ascii="宋体" w:hAnsi="宋体" w:eastAsia="宋体" w:cs="宋体"/>
              <w:sz w:val="36"/>
              <w:szCs w:val="36"/>
            </w:rPr>
          </w:pPr>
          <w:r>
            <w:rPr>
              <w:rFonts w:ascii="宋体" w:hAnsi="宋体" w:eastAsia="宋体" w:cs="宋体"/>
              <w:spacing w:val="-42"/>
              <w:sz w:val="36"/>
              <w:szCs w:val="36"/>
              <w14:textOutline w14:w="6531" w14:cap="flat" w14:cmpd="sng">
                <w14:solidFill>
                  <w14:srgbClr w14:val="000000"/>
                </w14:solidFill>
                <w14:prstDash w14:val="solid"/>
                <w14:miter w14:val="10"/>
              </w14:textOutline>
            </w:rPr>
            <w:t>目</w:t>
          </w:r>
          <w:r>
            <w:rPr>
              <w:rFonts w:ascii="宋体" w:hAnsi="宋体" w:eastAsia="宋体" w:cs="宋体"/>
              <w:spacing w:val="18"/>
              <w:sz w:val="36"/>
              <w:szCs w:val="36"/>
            </w:rPr>
            <w:t xml:space="preserve"> </w:t>
          </w:r>
          <w:r>
            <w:rPr>
              <w:rFonts w:ascii="宋体" w:hAnsi="宋体" w:eastAsia="宋体" w:cs="宋体"/>
              <w:spacing w:val="-42"/>
              <w:sz w:val="36"/>
              <w:szCs w:val="36"/>
              <w14:textOutline w14:w="6531" w14:cap="flat" w14:cmpd="sng">
                <w14:solidFill>
                  <w14:srgbClr w14:val="000000"/>
                </w14:solidFill>
                <w14:prstDash w14:val="solid"/>
                <w14:miter w14:val="10"/>
              </w14:textOutline>
            </w:rPr>
            <w:t>录</w:t>
          </w:r>
        </w:p>
        <w:p>
          <w:pPr>
            <w:pStyle w:val="2"/>
            <w:spacing w:line="328" w:lineRule="auto"/>
            <w:rPr>
              <w:sz w:val="21"/>
            </w:rPr>
          </w:pPr>
        </w:p>
        <w:p>
          <w:pPr>
            <w:tabs>
              <w:tab w:val="right" w:leader="dot" w:pos="8330"/>
            </w:tabs>
            <w:spacing w:before="78" w:line="198" w:lineRule="auto"/>
            <w:ind w:left="44"/>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b/>
              <w:bCs/>
              <w:spacing w:val="-10"/>
              <w:sz w:val="24"/>
              <w:szCs w:val="24"/>
            </w:rPr>
            <w:t>1</w:t>
          </w:r>
          <w:r>
            <w:rPr>
              <w:rFonts w:ascii="Times New Roman" w:hAnsi="Times New Roman" w:eastAsia="Times New Roman" w:cs="Times New Roman"/>
              <w:b/>
              <w:bCs/>
              <w:spacing w:val="7"/>
              <w:sz w:val="24"/>
              <w:szCs w:val="24"/>
            </w:rPr>
            <w:t xml:space="preserve">  </w:t>
          </w:r>
          <w:r>
            <w:rPr>
              <w:rFonts w:ascii="宋体" w:hAnsi="宋体" w:eastAsia="宋体" w:cs="宋体"/>
              <w:spacing w:val="-10"/>
              <w:sz w:val="24"/>
              <w:szCs w:val="24"/>
              <w14:textOutline w14:w="4354" w14:cap="flat" w14:cmpd="sng">
                <w14:solidFill>
                  <w14:srgbClr w14:val="000000"/>
                </w14:solidFill>
                <w14:prstDash w14:val="solid"/>
                <w14:miter w14:val="10"/>
              </w14:textOutline>
            </w:rPr>
            <w:t>总则</w:t>
          </w:r>
          <w:r>
            <w:rPr>
              <w:rFonts w:ascii="宋体" w:hAnsi="宋体" w:eastAsia="宋体" w:cs="宋体"/>
              <w:sz w:val="24"/>
              <w:szCs w:val="24"/>
            </w:rPr>
            <w:tab/>
          </w:r>
          <w:r>
            <w:rPr>
              <w:rFonts w:ascii="Times New Roman" w:hAnsi="Times New Roman" w:eastAsia="Times New Roman" w:cs="Times New Roman"/>
              <w:b/>
              <w:bCs/>
              <w:spacing w:val="19"/>
              <w:sz w:val="24"/>
              <w:szCs w:val="24"/>
            </w:rPr>
            <w:t>1</w:t>
          </w:r>
          <w:r>
            <w:rPr>
              <w:rFonts w:ascii="Times New Roman" w:hAnsi="Times New Roman" w:eastAsia="Times New Roman" w:cs="Times New Roman"/>
              <w:b/>
              <w:bCs/>
              <w:spacing w:val="19"/>
              <w:sz w:val="24"/>
              <w:szCs w:val="24"/>
            </w:rPr>
            <w:fldChar w:fldCharType="end"/>
          </w:r>
        </w:p>
        <w:p>
          <w:pPr>
            <w:tabs>
              <w:tab w:val="right" w:leader="dot" w:pos="8330"/>
            </w:tabs>
            <w:spacing w:before="240" w:line="185" w:lineRule="auto"/>
            <w:ind w:left="56"/>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环境风险评价的目的与作用</w:t>
          </w:r>
          <w:r>
            <w:rPr>
              <w:rFonts w:ascii="宋体" w:hAnsi="宋体" w:eastAsia="宋体" w:cs="宋体"/>
              <w:sz w:val="24"/>
              <w:szCs w:val="24"/>
            </w:rPr>
            <w:tab/>
          </w:r>
          <w:r>
            <w:rPr>
              <w:rFonts w:ascii="Times New Roman" w:hAnsi="Times New Roman" w:eastAsia="Times New Roman" w:cs="Times New Roman"/>
              <w:spacing w:val="19"/>
              <w:sz w:val="24"/>
              <w:szCs w:val="24"/>
            </w:rPr>
            <w:t>1</w:t>
          </w:r>
          <w:r>
            <w:rPr>
              <w:rFonts w:ascii="Times New Roman" w:hAnsi="Times New Roman" w:eastAsia="Times New Roman" w:cs="Times New Roman"/>
              <w:spacing w:val="19"/>
              <w:sz w:val="24"/>
              <w:szCs w:val="24"/>
            </w:rPr>
            <w:fldChar w:fldCharType="end"/>
          </w:r>
        </w:p>
        <w:p>
          <w:pPr>
            <w:tabs>
              <w:tab w:val="right" w:leader="dot" w:pos="8330"/>
            </w:tabs>
            <w:spacing w:before="258" w:line="185" w:lineRule="auto"/>
            <w:ind w:left="56"/>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风险评价专项任务来源</w:t>
          </w:r>
          <w:r>
            <w:rPr>
              <w:rFonts w:ascii="宋体" w:hAnsi="宋体" w:eastAsia="宋体" w:cs="宋体"/>
              <w:sz w:val="24"/>
              <w:szCs w:val="24"/>
            </w:rPr>
            <w:tab/>
          </w:r>
          <w:r>
            <w:rPr>
              <w:rFonts w:ascii="Times New Roman" w:hAnsi="Times New Roman" w:eastAsia="Times New Roman" w:cs="Times New Roman"/>
              <w:spacing w:val="19"/>
              <w:sz w:val="24"/>
              <w:szCs w:val="24"/>
            </w:rPr>
            <w:t>1</w:t>
          </w:r>
          <w:r>
            <w:rPr>
              <w:rFonts w:ascii="Times New Roman" w:hAnsi="Times New Roman" w:eastAsia="Times New Roman" w:cs="Times New Roman"/>
              <w:spacing w:val="19"/>
              <w:sz w:val="24"/>
              <w:szCs w:val="24"/>
            </w:rPr>
            <w:fldChar w:fldCharType="end"/>
          </w:r>
        </w:p>
        <w:p>
          <w:pPr>
            <w:tabs>
              <w:tab w:val="right" w:leader="dot" w:pos="8330"/>
            </w:tabs>
            <w:spacing w:before="261" w:line="185" w:lineRule="auto"/>
            <w:ind w:left="56"/>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评价标准</w:t>
          </w:r>
          <w:r>
            <w:rPr>
              <w:rFonts w:ascii="宋体" w:hAnsi="宋体" w:eastAsia="宋体" w:cs="宋体"/>
              <w:sz w:val="24"/>
              <w:szCs w:val="24"/>
            </w:rPr>
            <w:tab/>
          </w:r>
          <w:r>
            <w:rPr>
              <w:rFonts w:ascii="Times New Roman" w:hAnsi="Times New Roman" w:eastAsia="Times New Roman" w:cs="Times New Roman"/>
              <w:spacing w:val="19"/>
              <w:sz w:val="24"/>
              <w:szCs w:val="24"/>
            </w:rPr>
            <w:t>1</w:t>
          </w:r>
          <w:r>
            <w:rPr>
              <w:rFonts w:ascii="Times New Roman" w:hAnsi="Times New Roman" w:eastAsia="Times New Roman" w:cs="Times New Roman"/>
              <w:spacing w:val="19"/>
              <w:sz w:val="24"/>
              <w:szCs w:val="24"/>
            </w:rPr>
            <w:fldChar w:fldCharType="end"/>
          </w:r>
        </w:p>
        <w:p>
          <w:pPr>
            <w:tabs>
              <w:tab w:val="right" w:leader="dot" w:pos="8330"/>
            </w:tabs>
            <w:spacing w:before="260" w:line="198" w:lineRule="auto"/>
            <w:ind w:left="34"/>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2"/>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10"/>
              </w14:textOutline>
            </w:rPr>
            <w:t>风险调查</w:t>
          </w:r>
          <w:r>
            <w:rPr>
              <w:rFonts w:ascii="宋体" w:hAnsi="宋体" w:eastAsia="宋体" w:cs="宋体"/>
              <w:spacing w:val="-51"/>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19"/>
              <w:sz w:val="24"/>
              <w:szCs w:val="24"/>
            </w:rPr>
            <w:t>3</w:t>
          </w:r>
          <w:r>
            <w:rPr>
              <w:rFonts w:ascii="Times New Roman" w:hAnsi="Times New Roman" w:eastAsia="Times New Roman" w:cs="Times New Roman"/>
              <w:b/>
              <w:bCs/>
              <w:spacing w:val="19"/>
              <w:sz w:val="24"/>
              <w:szCs w:val="24"/>
            </w:rPr>
            <w:fldChar w:fldCharType="end"/>
          </w:r>
        </w:p>
        <w:p>
          <w:pPr>
            <w:tabs>
              <w:tab w:val="right" w:leader="dot" w:pos="8330"/>
            </w:tabs>
            <w:spacing w:before="240" w:line="185" w:lineRule="auto"/>
            <w:ind w:left="33"/>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 xml:space="preserve">2.1 </w:t>
          </w:r>
          <w:r>
            <w:rPr>
              <w:rFonts w:ascii="宋体" w:hAnsi="宋体" w:eastAsia="宋体" w:cs="宋体"/>
              <w:spacing w:val="-1"/>
              <w:sz w:val="24"/>
              <w:szCs w:val="24"/>
            </w:rPr>
            <w:t>项目风险源调查</w:t>
          </w:r>
          <w:r>
            <w:rPr>
              <w:rFonts w:ascii="宋体" w:hAnsi="宋体" w:eastAsia="宋体" w:cs="宋体"/>
              <w:sz w:val="24"/>
              <w:szCs w:val="24"/>
            </w:rPr>
            <w:tab/>
          </w:r>
          <w:r>
            <w:rPr>
              <w:rFonts w:ascii="Times New Roman" w:hAnsi="Times New Roman" w:eastAsia="Times New Roman" w:cs="Times New Roman"/>
              <w:spacing w:val="19"/>
              <w:sz w:val="24"/>
              <w:szCs w:val="24"/>
            </w:rPr>
            <w:t>3</w:t>
          </w:r>
          <w:r>
            <w:rPr>
              <w:rFonts w:ascii="Times New Roman" w:hAnsi="Times New Roman" w:eastAsia="Times New Roman" w:cs="Times New Roman"/>
              <w:spacing w:val="19"/>
              <w:sz w:val="24"/>
              <w:szCs w:val="24"/>
            </w:rPr>
            <w:fldChar w:fldCharType="end"/>
          </w:r>
        </w:p>
        <w:p>
          <w:pPr>
            <w:tabs>
              <w:tab w:val="right" w:leader="dot" w:pos="8330"/>
            </w:tabs>
            <w:spacing w:before="261" w:line="185" w:lineRule="auto"/>
            <w:ind w:left="33"/>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环境敏感目标调查</w:t>
          </w:r>
          <w:r>
            <w:rPr>
              <w:rFonts w:ascii="宋体" w:hAnsi="宋体" w:eastAsia="宋体" w:cs="宋体"/>
              <w:sz w:val="24"/>
              <w:szCs w:val="24"/>
            </w:rPr>
            <w:tab/>
          </w:r>
          <w:r>
            <w:rPr>
              <w:rFonts w:ascii="Times New Roman" w:hAnsi="Times New Roman" w:eastAsia="Times New Roman" w:cs="Times New Roman"/>
              <w:spacing w:val="19"/>
              <w:sz w:val="24"/>
              <w:szCs w:val="24"/>
            </w:rPr>
            <w:t>6</w:t>
          </w:r>
          <w:r>
            <w:rPr>
              <w:rFonts w:ascii="Times New Roman" w:hAnsi="Times New Roman" w:eastAsia="Times New Roman" w:cs="Times New Roman"/>
              <w:spacing w:val="19"/>
              <w:sz w:val="24"/>
              <w:szCs w:val="24"/>
            </w:rPr>
            <w:fldChar w:fldCharType="end"/>
          </w:r>
        </w:p>
        <w:p>
          <w:pPr>
            <w:tabs>
              <w:tab w:val="right" w:leader="dot" w:pos="8330"/>
            </w:tabs>
            <w:spacing w:before="261" w:line="198" w:lineRule="auto"/>
            <w:ind w:left="32"/>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b/>
              <w:bCs/>
              <w:sz w:val="24"/>
              <w:szCs w:val="24"/>
            </w:rPr>
            <w:t xml:space="preserve">3 </w:t>
          </w:r>
          <w:r>
            <w:rPr>
              <w:rFonts w:ascii="宋体" w:hAnsi="宋体" w:eastAsia="宋体" w:cs="宋体"/>
              <w:sz w:val="24"/>
              <w:szCs w:val="24"/>
              <w14:textOutline w14:w="4354" w14:cap="flat" w14:cmpd="sng">
                <w14:solidFill>
                  <w14:srgbClr w14:val="000000"/>
                </w14:solidFill>
                <w14:prstDash w14:val="solid"/>
                <w14:miter w14:val="10"/>
              </w14:textOutline>
            </w:rPr>
            <w:t>环境风险潜势初判</w:t>
          </w:r>
          <w:r>
            <w:rPr>
              <w:rFonts w:ascii="宋体" w:hAnsi="宋体" w:eastAsia="宋体" w:cs="宋体"/>
              <w:spacing w:val="-52"/>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19"/>
              <w:sz w:val="24"/>
              <w:szCs w:val="24"/>
            </w:rPr>
            <w:t>9</w:t>
          </w:r>
          <w:r>
            <w:rPr>
              <w:rFonts w:ascii="Times New Roman" w:hAnsi="Times New Roman" w:eastAsia="Times New Roman" w:cs="Times New Roman"/>
              <w:b/>
              <w:bCs/>
              <w:spacing w:val="19"/>
              <w:sz w:val="24"/>
              <w:szCs w:val="24"/>
            </w:rPr>
            <w:fldChar w:fldCharType="end"/>
          </w:r>
        </w:p>
        <w:p>
          <w:pPr>
            <w:tabs>
              <w:tab w:val="right" w:leader="dot" w:pos="8330"/>
            </w:tabs>
            <w:spacing w:before="240" w:line="185" w:lineRule="auto"/>
            <w:ind w:left="38"/>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环境敏感程度（</w:t>
          </w:r>
          <w:r>
            <w:rPr>
              <w:rFonts w:ascii="Times New Roman" w:hAnsi="Times New Roman" w:eastAsia="Times New Roman" w:cs="Times New Roman"/>
              <w:spacing w:val="-1"/>
              <w:sz w:val="24"/>
              <w:szCs w:val="24"/>
            </w:rPr>
            <w:t>E</w:t>
          </w:r>
          <w:r>
            <w:rPr>
              <w:rFonts w:ascii="宋体" w:hAnsi="宋体" w:eastAsia="宋体" w:cs="宋体"/>
              <w:spacing w:val="-1"/>
              <w:sz w:val="24"/>
              <w:szCs w:val="24"/>
            </w:rPr>
            <w:t>）</w:t>
          </w:r>
          <w:r>
            <w:rPr>
              <w:rFonts w:ascii="宋体" w:hAnsi="宋体" w:eastAsia="宋体" w:cs="宋体"/>
              <w:spacing w:val="-65"/>
              <w:sz w:val="24"/>
              <w:szCs w:val="24"/>
            </w:rPr>
            <w:t xml:space="preserve"> </w:t>
          </w:r>
          <w:r>
            <w:rPr>
              <w:rFonts w:ascii="宋体" w:hAnsi="宋体" w:eastAsia="宋体" w:cs="宋体"/>
              <w:sz w:val="24"/>
              <w:szCs w:val="24"/>
            </w:rPr>
            <w:tab/>
          </w:r>
          <w:r>
            <w:rPr>
              <w:rFonts w:ascii="Times New Roman" w:hAnsi="Times New Roman" w:eastAsia="Times New Roman" w:cs="Times New Roman"/>
              <w:spacing w:val="9"/>
              <w:sz w:val="24"/>
              <w:szCs w:val="24"/>
            </w:rPr>
            <w:t>10</w:t>
          </w:r>
          <w:r>
            <w:rPr>
              <w:rFonts w:ascii="Times New Roman" w:hAnsi="Times New Roman" w:eastAsia="Times New Roman" w:cs="Times New Roman"/>
              <w:spacing w:val="9"/>
              <w:sz w:val="24"/>
              <w:szCs w:val="24"/>
            </w:rPr>
            <w:fldChar w:fldCharType="end"/>
          </w:r>
        </w:p>
        <w:p>
          <w:pPr>
            <w:tabs>
              <w:tab w:val="right" w:leader="dot" w:pos="8330"/>
            </w:tabs>
            <w:spacing w:before="262" w:line="185" w:lineRule="auto"/>
            <w:ind w:left="38"/>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项目环境风险潜势判断</w:t>
          </w:r>
          <w:r>
            <w:rPr>
              <w:rFonts w:ascii="宋体" w:hAnsi="宋体" w:eastAsia="宋体" w:cs="宋体"/>
              <w:sz w:val="24"/>
              <w:szCs w:val="24"/>
            </w:rPr>
            <w:tab/>
          </w:r>
          <w:r>
            <w:rPr>
              <w:rFonts w:ascii="Times New Roman" w:hAnsi="Times New Roman" w:eastAsia="Times New Roman" w:cs="Times New Roman"/>
              <w:spacing w:val="9"/>
              <w:sz w:val="24"/>
              <w:szCs w:val="24"/>
            </w:rPr>
            <w:t>13</w:t>
          </w:r>
          <w:r>
            <w:rPr>
              <w:rFonts w:ascii="Times New Roman" w:hAnsi="Times New Roman" w:eastAsia="Times New Roman" w:cs="Times New Roman"/>
              <w:spacing w:val="9"/>
              <w:sz w:val="24"/>
              <w:szCs w:val="24"/>
            </w:rPr>
            <w:fldChar w:fldCharType="end"/>
          </w:r>
        </w:p>
        <w:p>
          <w:pPr>
            <w:tabs>
              <w:tab w:val="right" w:leader="dot" w:pos="8330"/>
            </w:tabs>
            <w:spacing w:before="258" w:line="185" w:lineRule="auto"/>
            <w:ind w:left="38"/>
            <w:rPr>
              <w:rFonts w:ascii="Times New Roman" w:hAnsi="Times New Roman" w:eastAsia="Times New Roman" w:cs="Times New Roman"/>
              <w:sz w:val="24"/>
              <w:szCs w:val="24"/>
            </w:rPr>
          </w:pPr>
          <w:r>
            <w:fldChar w:fldCharType="begin"/>
          </w:r>
          <w:r>
            <w:instrText xml:space="preserve"> HYPERLINK \l "bookmark48" </w:instrText>
          </w:r>
          <w:r>
            <w:fldChar w:fldCharType="separate"/>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评价等级确定</w:t>
          </w:r>
          <w:r>
            <w:rPr>
              <w:rFonts w:ascii="宋体" w:hAnsi="宋体" w:eastAsia="宋体" w:cs="宋体"/>
              <w:sz w:val="24"/>
              <w:szCs w:val="24"/>
            </w:rPr>
            <w:tab/>
          </w:r>
          <w:r>
            <w:rPr>
              <w:rFonts w:ascii="Times New Roman" w:hAnsi="Times New Roman" w:eastAsia="Times New Roman" w:cs="Times New Roman"/>
              <w:spacing w:val="9"/>
              <w:sz w:val="24"/>
              <w:szCs w:val="24"/>
            </w:rPr>
            <w:t>14</w:t>
          </w:r>
          <w:r>
            <w:rPr>
              <w:rFonts w:ascii="Times New Roman" w:hAnsi="Times New Roman" w:eastAsia="Times New Roman" w:cs="Times New Roman"/>
              <w:spacing w:val="9"/>
              <w:sz w:val="24"/>
              <w:szCs w:val="24"/>
            </w:rPr>
            <w:fldChar w:fldCharType="end"/>
          </w:r>
        </w:p>
        <w:p>
          <w:pPr>
            <w:tabs>
              <w:tab w:val="right" w:leader="dot" w:pos="8330"/>
            </w:tabs>
            <w:spacing w:before="259" w:line="185" w:lineRule="auto"/>
            <w:ind w:left="38"/>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2"/>
              <w:sz w:val="24"/>
              <w:szCs w:val="24"/>
            </w:rPr>
            <w:t xml:space="preserve">3.5 </w:t>
          </w:r>
          <w:r>
            <w:rPr>
              <w:rFonts w:ascii="宋体" w:hAnsi="宋体" w:eastAsia="宋体" w:cs="宋体"/>
              <w:spacing w:val="-2"/>
              <w:sz w:val="24"/>
              <w:szCs w:val="24"/>
            </w:rPr>
            <w:t>评价范围</w:t>
          </w:r>
          <w:r>
            <w:rPr>
              <w:rFonts w:ascii="宋体" w:hAnsi="宋体" w:eastAsia="宋体" w:cs="宋体"/>
              <w:sz w:val="24"/>
              <w:szCs w:val="24"/>
            </w:rPr>
            <w:tab/>
          </w:r>
          <w:r>
            <w:rPr>
              <w:rFonts w:ascii="Times New Roman" w:hAnsi="Times New Roman" w:eastAsia="Times New Roman" w:cs="Times New Roman"/>
              <w:spacing w:val="9"/>
              <w:sz w:val="24"/>
              <w:szCs w:val="24"/>
            </w:rPr>
            <w:t>14</w:t>
          </w:r>
          <w:r>
            <w:rPr>
              <w:rFonts w:ascii="Times New Roman" w:hAnsi="Times New Roman" w:eastAsia="Times New Roman" w:cs="Times New Roman"/>
              <w:spacing w:val="9"/>
              <w:sz w:val="24"/>
              <w:szCs w:val="24"/>
            </w:rPr>
            <w:fldChar w:fldCharType="end"/>
          </w:r>
        </w:p>
        <w:p>
          <w:pPr>
            <w:tabs>
              <w:tab w:val="right" w:leader="dot" w:pos="8330"/>
            </w:tabs>
            <w:spacing w:before="262" w:line="198" w:lineRule="auto"/>
            <w:ind w:left="34"/>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b/>
              <w:bCs/>
              <w:spacing w:val="-1"/>
              <w:sz w:val="24"/>
              <w:szCs w:val="24"/>
            </w:rPr>
            <w:t xml:space="preserve">4 </w:t>
          </w:r>
          <w:r>
            <w:rPr>
              <w:rFonts w:ascii="宋体" w:hAnsi="宋体" w:eastAsia="宋体" w:cs="宋体"/>
              <w:spacing w:val="-1"/>
              <w:sz w:val="24"/>
              <w:szCs w:val="24"/>
              <w14:textOutline w14:w="4354" w14:cap="flat" w14:cmpd="sng">
                <w14:solidFill>
                  <w14:srgbClr w14:val="000000"/>
                </w14:solidFill>
                <w14:prstDash w14:val="solid"/>
                <w14:miter w14:val="10"/>
              </w14:textOutline>
            </w:rPr>
            <w:t>环境风险识别</w:t>
          </w:r>
          <w:r>
            <w:rPr>
              <w:rFonts w:ascii="宋体" w:hAnsi="宋体" w:eastAsia="宋体" w:cs="宋体"/>
              <w:spacing w:val="-47"/>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9"/>
              <w:sz w:val="24"/>
              <w:szCs w:val="24"/>
            </w:rPr>
            <w:t>15</w:t>
          </w:r>
          <w:r>
            <w:rPr>
              <w:rFonts w:ascii="Times New Roman" w:hAnsi="Times New Roman" w:eastAsia="Times New Roman" w:cs="Times New Roman"/>
              <w:b/>
              <w:bCs/>
              <w:spacing w:val="9"/>
              <w:sz w:val="24"/>
              <w:szCs w:val="24"/>
            </w:rPr>
            <w:fldChar w:fldCharType="end"/>
          </w:r>
        </w:p>
        <w:p>
          <w:pPr>
            <w:tabs>
              <w:tab w:val="right" w:leader="dot" w:pos="8330"/>
            </w:tabs>
            <w:spacing w:before="241" w:line="185" w:lineRule="auto"/>
            <w:ind w:left="32"/>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生产设施危险性识别</w:t>
          </w:r>
          <w:r>
            <w:rPr>
              <w:rFonts w:ascii="宋体" w:hAnsi="宋体" w:eastAsia="宋体" w:cs="宋体"/>
              <w:sz w:val="24"/>
              <w:szCs w:val="24"/>
            </w:rPr>
            <w:tab/>
          </w:r>
          <w:r>
            <w:rPr>
              <w:rFonts w:ascii="Times New Roman" w:hAnsi="Times New Roman" w:eastAsia="Times New Roman" w:cs="Times New Roman"/>
              <w:spacing w:val="9"/>
              <w:sz w:val="24"/>
              <w:szCs w:val="24"/>
            </w:rPr>
            <w:t>23</w:t>
          </w:r>
          <w:r>
            <w:rPr>
              <w:rFonts w:ascii="Times New Roman" w:hAnsi="Times New Roman" w:eastAsia="Times New Roman" w:cs="Times New Roman"/>
              <w:spacing w:val="9"/>
              <w:sz w:val="24"/>
              <w:szCs w:val="24"/>
            </w:rPr>
            <w:fldChar w:fldCharType="end"/>
          </w:r>
        </w:p>
        <w:p>
          <w:pPr>
            <w:tabs>
              <w:tab w:val="right" w:leader="dot" w:pos="8330"/>
            </w:tabs>
            <w:spacing w:before="259" w:line="185" w:lineRule="auto"/>
            <w:ind w:left="32"/>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生产过程危险性识别</w:t>
          </w:r>
          <w:r>
            <w:rPr>
              <w:rFonts w:ascii="宋体" w:hAnsi="宋体" w:eastAsia="宋体" w:cs="宋体"/>
              <w:sz w:val="24"/>
              <w:szCs w:val="24"/>
            </w:rPr>
            <w:tab/>
          </w:r>
          <w:r>
            <w:rPr>
              <w:rFonts w:ascii="Times New Roman" w:hAnsi="Times New Roman" w:eastAsia="Times New Roman" w:cs="Times New Roman"/>
              <w:spacing w:val="9"/>
              <w:sz w:val="24"/>
              <w:szCs w:val="24"/>
            </w:rPr>
            <w:t>24</w:t>
          </w:r>
          <w:r>
            <w:rPr>
              <w:rFonts w:ascii="Times New Roman" w:hAnsi="Times New Roman" w:eastAsia="Times New Roman" w:cs="Times New Roman"/>
              <w:spacing w:val="9"/>
              <w:sz w:val="24"/>
              <w:szCs w:val="24"/>
            </w:rPr>
            <w:fldChar w:fldCharType="end"/>
          </w:r>
        </w:p>
        <w:p>
          <w:pPr>
            <w:tabs>
              <w:tab w:val="right" w:leader="dot" w:pos="8330"/>
            </w:tabs>
            <w:spacing w:before="261" w:line="185" w:lineRule="auto"/>
            <w:ind w:left="32"/>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2"/>
              <w:sz w:val="24"/>
              <w:szCs w:val="24"/>
            </w:rPr>
            <w:t>4.3</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收集、运输过程风险识别</w:t>
          </w:r>
          <w:r>
            <w:rPr>
              <w:rFonts w:ascii="宋体" w:hAnsi="宋体" w:eastAsia="宋体" w:cs="宋体"/>
              <w:sz w:val="24"/>
              <w:szCs w:val="24"/>
            </w:rPr>
            <w:tab/>
          </w:r>
          <w:r>
            <w:rPr>
              <w:rFonts w:ascii="Times New Roman" w:hAnsi="Times New Roman" w:eastAsia="Times New Roman" w:cs="Times New Roman"/>
              <w:spacing w:val="9"/>
              <w:sz w:val="24"/>
              <w:szCs w:val="24"/>
            </w:rPr>
            <w:t>24</w:t>
          </w:r>
          <w:r>
            <w:rPr>
              <w:rFonts w:ascii="Times New Roman" w:hAnsi="Times New Roman" w:eastAsia="Times New Roman" w:cs="Times New Roman"/>
              <w:spacing w:val="9"/>
              <w:sz w:val="24"/>
              <w:szCs w:val="24"/>
            </w:rPr>
            <w:fldChar w:fldCharType="end"/>
          </w:r>
        </w:p>
        <w:p>
          <w:pPr>
            <w:tabs>
              <w:tab w:val="right" w:leader="dot" w:pos="8330"/>
            </w:tabs>
            <w:spacing w:before="259" w:line="185" w:lineRule="auto"/>
            <w:ind w:left="32"/>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储存场所风险识别</w:t>
          </w:r>
          <w:r>
            <w:rPr>
              <w:rFonts w:ascii="宋体" w:hAnsi="宋体" w:eastAsia="宋体" w:cs="宋体"/>
              <w:sz w:val="24"/>
              <w:szCs w:val="24"/>
            </w:rPr>
            <w:tab/>
          </w:r>
          <w:r>
            <w:rPr>
              <w:rFonts w:ascii="Times New Roman" w:hAnsi="Times New Roman" w:eastAsia="Times New Roman" w:cs="Times New Roman"/>
              <w:spacing w:val="9"/>
              <w:sz w:val="24"/>
              <w:szCs w:val="24"/>
            </w:rPr>
            <w:t>25</w:t>
          </w:r>
          <w:r>
            <w:rPr>
              <w:rFonts w:ascii="Times New Roman" w:hAnsi="Times New Roman" w:eastAsia="Times New Roman" w:cs="Times New Roman"/>
              <w:spacing w:val="9"/>
              <w:sz w:val="24"/>
              <w:szCs w:val="24"/>
            </w:rPr>
            <w:fldChar w:fldCharType="end"/>
          </w:r>
        </w:p>
        <w:p>
          <w:pPr>
            <w:tabs>
              <w:tab w:val="right" w:leader="dot" w:pos="8330"/>
            </w:tabs>
            <w:spacing w:before="258" w:line="185" w:lineRule="auto"/>
            <w:ind w:left="32"/>
            <w:rPr>
              <w:rFonts w:ascii="Times New Roman" w:hAnsi="Times New Roman" w:eastAsia="Times New Roman" w:cs="Times New Roman"/>
              <w:sz w:val="24"/>
              <w:szCs w:val="24"/>
            </w:rPr>
          </w:pPr>
          <w:r>
            <w:fldChar w:fldCharType="begin"/>
          </w:r>
          <w:r>
            <w:instrText xml:space="preserve"> HYPERLINK \l "bookmark55"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事故状态风险识别</w:t>
          </w:r>
          <w:r>
            <w:rPr>
              <w:rFonts w:ascii="宋体" w:hAnsi="宋体" w:eastAsia="宋体" w:cs="宋体"/>
              <w:sz w:val="24"/>
              <w:szCs w:val="24"/>
            </w:rPr>
            <w:tab/>
          </w:r>
          <w:r>
            <w:rPr>
              <w:rFonts w:ascii="Times New Roman" w:hAnsi="Times New Roman" w:eastAsia="Times New Roman" w:cs="Times New Roman"/>
              <w:spacing w:val="9"/>
              <w:sz w:val="24"/>
              <w:szCs w:val="24"/>
            </w:rPr>
            <w:t>25</w:t>
          </w:r>
          <w:r>
            <w:rPr>
              <w:rFonts w:ascii="Times New Roman" w:hAnsi="Times New Roman" w:eastAsia="Times New Roman" w:cs="Times New Roman"/>
              <w:spacing w:val="9"/>
              <w:sz w:val="24"/>
              <w:szCs w:val="24"/>
            </w:rPr>
            <w:fldChar w:fldCharType="end"/>
          </w:r>
        </w:p>
        <w:p>
          <w:pPr>
            <w:tabs>
              <w:tab w:val="right" w:leader="dot" w:pos="8330"/>
            </w:tabs>
            <w:spacing w:before="263" w:line="198" w:lineRule="auto"/>
            <w:ind w:left="32"/>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Times New Roman" w:hAnsi="Times New Roman" w:eastAsia="Times New Roman" w:cs="Times New Roman"/>
              <w:spacing w:val="-1"/>
              <w:sz w:val="24"/>
              <w:szCs w:val="24"/>
            </w:rPr>
            <w:t xml:space="preserve">4.6 </w:t>
          </w:r>
          <w:r>
            <w:rPr>
              <w:rFonts w:ascii="宋体" w:hAnsi="宋体" w:eastAsia="宋体" w:cs="宋体"/>
              <w:spacing w:val="-1"/>
              <w:sz w:val="24"/>
              <w:szCs w:val="24"/>
            </w:rPr>
            <w:t>伴生</w:t>
          </w:r>
          <w:r>
            <w:rPr>
              <w:rFonts w:ascii="Times New Roman" w:hAnsi="Times New Roman" w:eastAsia="Times New Roman" w:cs="Times New Roman"/>
              <w:spacing w:val="-1"/>
              <w:sz w:val="24"/>
              <w:szCs w:val="24"/>
            </w:rPr>
            <w:t>\</w:t>
          </w:r>
          <w:r>
            <w:rPr>
              <w:rFonts w:ascii="宋体" w:hAnsi="宋体" w:eastAsia="宋体" w:cs="宋体"/>
              <w:spacing w:val="-1"/>
              <w:sz w:val="24"/>
              <w:szCs w:val="24"/>
            </w:rPr>
            <w:t>次伴生风险识别</w:t>
          </w:r>
          <w:r>
            <w:rPr>
              <w:rFonts w:ascii="宋体" w:hAnsi="宋体" w:eastAsia="宋体" w:cs="宋体"/>
              <w:spacing w:val="-38"/>
              <w:sz w:val="24"/>
              <w:szCs w:val="24"/>
            </w:rPr>
            <w:t xml:space="preserve"> </w:t>
          </w:r>
          <w:r>
            <w:rPr>
              <w:rFonts w:ascii="宋体" w:hAnsi="宋体" w:eastAsia="宋体" w:cs="宋体"/>
              <w:sz w:val="24"/>
              <w:szCs w:val="24"/>
            </w:rPr>
            <w:tab/>
          </w:r>
          <w:r>
            <w:rPr>
              <w:rFonts w:ascii="Times New Roman" w:hAnsi="Times New Roman" w:eastAsia="Times New Roman" w:cs="Times New Roman"/>
              <w:spacing w:val="9"/>
              <w:sz w:val="24"/>
              <w:szCs w:val="24"/>
            </w:rPr>
            <w:t>26</w:t>
          </w:r>
          <w:r>
            <w:rPr>
              <w:rFonts w:ascii="Times New Roman" w:hAnsi="Times New Roman" w:eastAsia="Times New Roman" w:cs="Times New Roman"/>
              <w:spacing w:val="9"/>
              <w:sz w:val="24"/>
              <w:szCs w:val="24"/>
            </w:rPr>
            <w:fldChar w:fldCharType="end"/>
          </w:r>
        </w:p>
        <w:p>
          <w:pPr>
            <w:tabs>
              <w:tab w:val="right" w:leader="dot" w:pos="8330"/>
            </w:tabs>
            <w:spacing w:before="241" w:line="198" w:lineRule="auto"/>
            <w:ind w:left="36"/>
            <w:rPr>
              <w:rFonts w:ascii="Times New Roman" w:hAnsi="Times New Roman" w:eastAsia="Times New Roman" w:cs="Times New Roman"/>
              <w:sz w:val="24"/>
              <w:szCs w:val="24"/>
            </w:rPr>
          </w:pPr>
          <w:r>
            <w:fldChar w:fldCharType="begin"/>
          </w:r>
          <w:r>
            <w:instrText xml:space="preserve"> HYPERLINK \l "bookmark57" </w:instrText>
          </w:r>
          <w:r>
            <w:fldChar w:fldCharType="separate"/>
          </w:r>
          <w:r>
            <w:rPr>
              <w:rFonts w:ascii="Times New Roman" w:hAnsi="Times New Roman" w:eastAsia="Times New Roman" w:cs="Times New Roman"/>
              <w:b/>
              <w:bCs/>
              <w:spacing w:val="-1"/>
              <w:sz w:val="24"/>
              <w:szCs w:val="24"/>
            </w:rPr>
            <w:t xml:space="preserve">5 </w:t>
          </w:r>
          <w:r>
            <w:rPr>
              <w:rFonts w:ascii="宋体" w:hAnsi="宋体" w:eastAsia="宋体" w:cs="宋体"/>
              <w:spacing w:val="-1"/>
              <w:sz w:val="24"/>
              <w:szCs w:val="24"/>
              <w14:textOutline w14:w="4354" w14:cap="flat" w14:cmpd="sng">
                <w14:solidFill>
                  <w14:srgbClr w14:val="000000"/>
                </w14:solidFill>
                <w14:prstDash w14:val="solid"/>
                <w14:miter w14:val="10"/>
              </w14:textOutline>
            </w:rPr>
            <w:t>风险事故情形分析</w:t>
          </w:r>
          <w:r>
            <w:rPr>
              <w:rFonts w:ascii="宋体" w:hAnsi="宋体" w:eastAsia="宋体" w:cs="宋体"/>
              <w:spacing w:val="-47"/>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9"/>
              <w:sz w:val="24"/>
              <w:szCs w:val="24"/>
            </w:rPr>
            <w:t>27</w:t>
          </w:r>
          <w:r>
            <w:rPr>
              <w:rFonts w:ascii="Times New Roman" w:hAnsi="Times New Roman" w:eastAsia="Times New Roman" w:cs="Times New Roman"/>
              <w:b/>
              <w:bCs/>
              <w:spacing w:val="9"/>
              <w:sz w:val="24"/>
              <w:szCs w:val="24"/>
            </w:rPr>
            <w:fldChar w:fldCharType="end"/>
          </w:r>
        </w:p>
        <w:p>
          <w:pPr>
            <w:tabs>
              <w:tab w:val="right" w:leader="dot" w:pos="8330"/>
            </w:tabs>
            <w:spacing w:before="241" w:line="185" w:lineRule="auto"/>
            <w:ind w:left="40"/>
            <w:rPr>
              <w:rFonts w:ascii="Times New Roman" w:hAnsi="Times New Roman" w:eastAsia="Times New Roman" w:cs="Times New Roman"/>
              <w:sz w:val="24"/>
              <w:szCs w:val="24"/>
            </w:rPr>
          </w:pPr>
          <w:r>
            <w:fldChar w:fldCharType="begin"/>
          </w:r>
          <w:r>
            <w:instrText xml:space="preserve"> HYPERLINK \l "bookmark58" </w:instrText>
          </w:r>
          <w:r>
            <w:fldChar w:fldCharType="separate"/>
          </w:r>
          <w:r>
            <w:rPr>
              <w:rFonts w:ascii="Times New Roman" w:hAnsi="Times New Roman" w:eastAsia="Times New Roman" w:cs="Times New Roman"/>
              <w:spacing w:val="-1"/>
              <w:sz w:val="24"/>
              <w:szCs w:val="24"/>
            </w:rPr>
            <w:t xml:space="preserve">5.1 </w:t>
          </w:r>
          <w:r>
            <w:rPr>
              <w:rFonts w:ascii="宋体" w:hAnsi="宋体" w:eastAsia="宋体" w:cs="宋体"/>
              <w:spacing w:val="-1"/>
              <w:sz w:val="24"/>
              <w:szCs w:val="24"/>
            </w:rPr>
            <w:t>风险事故情形设定</w:t>
          </w:r>
          <w:r>
            <w:rPr>
              <w:rFonts w:ascii="宋体" w:hAnsi="宋体" w:eastAsia="宋体" w:cs="宋体"/>
              <w:sz w:val="24"/>
              <w:szCs w:val="24"/>
            </w:rPr>
            <w:tab/>
          </w:r>
          <w:r>
            <w:rPr>
              <w:rFonts w:ascii="Times New Roman" w:hAnsi="Times New Roman" w:eastAsia="Times New Roman" w:cs="Times New Roman"/>
              <w:spacing w:val="9"/>
              <w:sz w:val="24"/>
              <w:szCs w:val="24"/>
            </w:rPr>
            <w:t>27</w:t>
          </w:r>
          <w:r>
            <w:rPr>
              <w:rFonts w:ascii="Times New Roman" w:hAnsi="Times New Roman" w:eastAsia="Times New Roman" w:cs="Times New Roman"/>
              <w:spacing w:val="9"/>
              <w:sz w:val="24"/>
              <w:szCs w:val="24"/>
            </w:rPr>
            <w:fldChar w:fldCharType="end"/>
          </w:r>
        </w:p>
        <w:p>
          <w:pPr>
            <w:tabs>
              <w:tab w:val="right" w:leader="dot" w:pos="8330"/>
            </w:tabs>
            <w:spacing w:before="261" w:line="185" w:lineRule="auto"/>
            <w:ind w:left="40"/>
            <w:rPr>
              <w:rFonts w:ascii="Times New Roman" w:hAnsi="Times New Roman" w:eastAsia="Times New Roman" w:cs="Times New Roman"/>
              <w:sz w:val="24"/>
              <w:szCs w:val="24"/>
            </w:rPr>
          </w:pPr>
          <w:r>
            <w:fldChar w:fldCharType="begin"/>
          </w:r>
          <w:r>
            <w:instrText xml:space="preserve"> HYPERLINK \l "bookmark59" </w:instrText>
          </w:r>
          <w:r>
            <w:fldChar w:fldCharType="separate"/>
          </w:r>
          <w:r>
            <w:rPr>
              <w:rFonts w:ascii="Times New Roman" w:hAnsi="Times New Roman" w:eastAsia="Times New Roman" w:cs="Times New Roman"/>
              <w:spacing w:val="-2"/>
              <w:sz w:val="24"/>
              <w:szCs w:val="24"/>
            </w:rPr>
            <w:t xml:space="preserve">5.2 </w:t>
          </w:r>
          <w:r>
            <w:rPr>
              <w:rFonts w:ascii="宋体" w:hAnsi="宋体" w:eastAsia="宋体" w:cs="宋体"/>
              <w:spacing w:val="-2"/>
              <w:sz w:val="24"/>
              <w:szCs w:val="24"/>
            </w:rPr>
            <w:t>源项分析</w:t>
          </w:r>
          <w:r>
            <w:rPr>
              <w:rFonts w:ascii="宋体" w:hAnsi="宋体" w:eastAsia="宋体" w:cs="宋体"/>
              <w:sz w:val="24"/>
              <w:szCs w:val="24"/>
            </w:rPr>
            <w:tab/>
          </w:r>
          <w:r>
            <w:rPr>
              <w:rFonts w:ascii="Times New Roman" w:hAnsi="Times New Roman" w:eastAsia="Times New Roman" w:cs="Times New Roman"/>
              <w:spacing w:val="9"/>
              <w:sz w:val="24"/>
              <w:szCs w:val="24"/>
            </w:rPr>
            <w:t>28</w:t>
          </w:r>
          <w:r>
            <w:rPr>
              <w:rFonts w:ascii="Times New Roman" w:hAnsi="Times New Roman" w:eastAsia="Times New Roman" w:cs="Times New Roman"/>
              <w:spacing w:val="9"/>
              <w:sz w:val="24"/>
              <w:szCs w:val="24"/>
            </w:rPr>
            <w:fldChar w:fldCharType="end"/>
          </w:r>
        </w:p>
        <w:p>
          <w:pPr>
            <w:tabs>
              <w:tab w:val="right" w:leader="dot" w:pos="8330"/>
            </w:tabs>
            <w:spacing w:before="261" w:line="198" w:lineRule="auto"/>
            <w:ind w:left="37"/>
            <w:rPr>
              <w:rFonts w:ascii="Times New Roman" w:hAnsi="Times New Roman" w:eastAsia="Times New Roman" w:cs="Times New Roman"/>
              <w:sz w:val="24"/>
              <w:szCs w:val="24"/>
            </w:rPr>
          </w:pPr>
          <w:r>
            <w:fldChar w:fldCharType="begin"/>
          </w:r>
          <w:r>
            <w:instrText xml:space="preserve"> HYPERLINK \l "bookmark60" </w:instrText>
          </w:r>
          <w:r>
            <w:fldChar w:fldCharType="separate"/>
          </w:r>
          <w:r>
            <w:rPr>
              <w:rFonts w:ascii="Times New Roman" w:hAnsi="Times New Roman" w:eastAsia="Times New Roman" w:cs="Times New Roman"/>
              <w:b/>
              <w:bCs/>
              <w:sz w:val="24"/>
              <w:szCs w:val="24"/>
            </w:rPr>
            <w:t xml:space="preserve">6 </w:t>
          </w:r>
          <w:r>
            <w:rPr>
              <w:rFonts w:ascii="宋体" w:hAnsi="宋体" w:eastAsia="宋体" w:cs="宋体"/>
              <w:sz w:val="24"/>
              <w:szCs w:val="24"/>
              <w14:textOutline w14:w="4354" w14:cap="flat" w14:cmpd="sng">
                <w14:solidFill>
                  <w14:srgbClr w14:val="000000"/>
                </w14:solidFill>
                <w14:prstDash w14:val="solid"/>
                <w14:miter w14:val="10"/>
              </w14:textOutline>
            </w:rPr>
            <w:t>环境风险防范措施及应急要求</w:t>
          </w:r>
          <w:r>
            <w:rPr>
              <w:rFonts w:ascii="宋体" w:hAnsi="宋体" w:eastAsia="宋体" w:cs="宋体"/>
              <w:spacing w:val="-57"/>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9"/>
              <w:sz w:val="24"/>
              <w:szCs w:val="24"/>
            </w:rPr>
            <w:t>32</w:t>
          </w:r>
          <w:r>
            <w:rPr>
              <w:rFonts w:ascii="Times New Roman" w:hAnsi="Times New Roman" w:eastAsia="Times New Roman" w:cs="Times New Roman"/>
              <w:b/>
              <w:bCs/>
              <w:spacing w:val="9"/>
              <w:sz w:val="24"/>
              <w:szCs w:val="24"/>
            </w:rPr>
            <w:fldChar w:fldCharType="end"/>
          </w:r>
        </w:p>
        <w:p>
          <w:pPr>
            <w:tabs>
              <w:tab w:val="right" w:leader="dot" w:pos="8330"/>
            </w:tabs>
            <w:spacing w:before="240" w:line="185" w:lineRule="auto"/>
            <w:ind w:left="39"/>
            <w:rPr>
              <w:rFonts w:ascii="Times New Roman" w:hAnsi="Times New Roman" w:eastAsia="Times New Roman" w:cs="Times New Roman"/>
              <w:sz w:val="24"/>
              <w:szCs w:val="24"/>
            </w:rPr>
          </w:pPr>
          <w:r>
            <w:fldChar w:fldCharType="begin"/>
          </w:r>
          <w:r>
            <w:instrText xml:space="preserve"> HYPERLINK \l "bookmark61" </w:instrText>
          </w:r>
          <w:r>
            <w:fldChar w:fldCharType="separate"/>
          </w:r>
          <w:r>
            <w:rPr>
              <w:rFonts w:ascii="Times New Roman" w:hAnsi="Times New Roman" w:eastAsia="Times New Roman" w:cs="Times New Roman"/>
              <w:spacing w:val="-1"/>
              <w:sz w:val="24"/>
              <w:szCs w:val="24"/>
            </w:rPr>
            <w:t xml:space="preserve">6.1 </w:t>
          </w:r>
          <w:r>
            <w:rPr>
              <w:rFonts w:ascii="宋体" w:hAnsi="宋体" w:eastAsia="宋体" w:cs="宋体"/>
              <w:spacing w:val="-1"/>
              <w:sz w:val="24"/>
              <w:szCs w:val="24"/>
            </w:rPr>
            <w:t>环境风险管理目标</w:t>
          </w:r>
          <w:r>
            <w:rPr>
              <w:rFonts w:ascii="宋体" w:hAnsi="宋体" w:eastAsia="宋体" w:cs="宋体"/>
              <w:sz w:val="24"/>
              <w:szCs w:val="24"/>
            </w:rPr>
            <w:tab/>
          </w:r>
          <w:r>
            <w:rPr>
              <w:rFonts w:ascii="Times New Roman" w:hAnsi="Times New Roman" w:eastAsia="Times New Roman" w:cs="Times New Roman"/>
              <w:spacing w:val="9"/>
              <w:sz w:val="24"/>
              <w:szCs w:val="24"/>
            </w:rPr>
            <w:t>32</w:t>
          </w:r>
          <w:r>
            <w:rPr>
              <w:rFonts w:ascii="Times New Roman" w:hAnsi="Times New Roman" w:eastAsia="Times New Roman" w:cs="Times New Roman"/>
              <w:spacing w:val="9"/>
              <w:sz w:val="24"/>
              <w:szCs w:val="24"/>
            </w:rPr>
            <w:fldChar w:fldCharType="end"/>
          </w:r>
        </w:p>
        <w:p>
          <w:pPr>
            <w:tabs>
              <w:tab w:val="right" w:leader="dot" w:pos="8330"/>
            </w:tabs>
            <w:spacing w:before="261" w:line="185" w:lineRule="auto"/>
            <w:ind w:left="39"/>
            <w:rPr>
              <w:rFonts w:ascii="Times New Roman" w:hAnsi="Times New Roman" w:eastAsia="Times New Roman" w:cs="Times New Roman"/>
              <w:sz w:val="24"/>
              <w:szCs w:val="24"/>
            </w:rPr>
          </w:pPr>
          <w:r>
            <w:fldChar w:fldCharType="begin"/>
          </w:r>
          <w:r>
            <w:instrText xml:space="preserve"> HYPERLINK \l "bookmark62" </w:instrText>
          </w:r>
          <w:r>
            <w:fldChar w:fldCharType="separate"/>
          </w:r>
          <w:r>
            <w:rPr>
              <w:rFonts w:ascii="Times New Roman" w:hAnsi="Times New Roman" w:eastAsia="Times New Roman" w:cs="Times New Roman"/>
              <w:spacing w:val="-1"/>
              <w:sz w:val="24"/>
              <w:szCs w:val="24"/>
            </w:rPr>
            <w:t xml:space="preserve">6.2 </w:t>
          </w:r>
          <w:r>
            <w:rPr>
              <w:rFonts w:ascii="宋体" w:hAnsi="宋体" w:eastAsia="宋体" w:cs="宋体"/>
              <w:spacing w:val="-1"/>
              <w:sz w:val="24"/>
              <w:szCs w:val="24"/>
            </w:rPr>
            <w:t>环境风险防范措施</w:t>
          </w:r>
          <w:r>
            <w:rPr>
              <w:rFonts w:ascii="宋体" w:hAnsi="宋体" w:eastAsia="宋体" w:cs="宋体"/>
              <w:sz w:val="24"/>
              <w:szCs w:val="24"/>
            </w:rPr>
            <w:tab/>
          </w:r>
          <w:r>
            <w:rPr>
              <w:rFonts w:ascii="Times New Roman" w:hAnsi="Times New Roman" w:eastAsia="Times New Roman" w:cs="Times New Roman"/>
              <w:spacing w:val="9"/>
              <w:sz w:val="24"/>
              <w:szCs w:val="24"/>
            </w:rPr>
            <w:t>32</w:t>
          </w:r>
          <w:r>
            <w:rPr>
              <w:rFonts w:ascii="Times New Roman" w:hAnsi="Times New Roman" w:eastAsia="Times New Roman" w:cs="Times New Roman"/>
              <w:spacing w:val="9"/>
              <w:sz w:val="24"/>
              <w:szCs w:val="24"/>
            </w:rPr>
            <w:fldChar w:fldCharType="end"/>
          </w:r>
        </w:p>
        <w:p>
          <w:pPr>
            <w:tabs>
              <w:tab w:val="right" w:leader="dot" w:pos="8330"/>
            </w:tabs>
            <w:spacing w:before="259" w:line="232" w:lineRule="auto"/>
            <w:ind w:left="36"/>
            <w:rPr>
              <w:rFonts w:ascii="Times New Roman" w:hAnsi="Times New Roman" w:eastAsia="Times New Roman" w:cs="Times New Roman"/>
              <w:sz w:val="24"/>
              <w:szCs w:val="24"/>
            </w:rPr>
          </w:pPr>
          <w:r>
            <w:fldChar w:fldCharType="begin"/>
          </w:r>
          <w:r>
            <w:instrText xml:space="preserve"> HYPERLINK \l "bookmark63" </w:instrText>
          </w:r>
          <w:r>
            <w:fldChar w:fldCharType="separate"/>
          </w:r>
          <w:r>
            <w:rPr>
              <w:rFonts w:ascii="Times New Roman" w:hAnsi="Times New Roman" w:eastAsia="Times New Roman" w:cs="Times New Roman"/>
              <w:b/>
              <w:bCs/>
              <w:sz w:val="24"/>
              <w:szCs w:val="24"/>
            </w:rPr>
            <w:t xml:space="preserve">7 </w:t>
          </w:r>
          <w:r>
            <w:rPr>
              <w:rFonts w:ascii="宋体" w:hAnsi="宋体" w:eastAsia="宋体" w:cs="宋体"/>
              <w:sz w:val="24"/>
              <w:szCs w:val="24"/>
              <w14:textOutline w14:w="4354" w14:cap="flat" w14:cmpd="sng">
                <w14:solidFill>
                  <w14:srgbClr w14:val="000000"/>
                </w14:solidFill>
                <w14:prstDash w14:val="solid"/>
                <w14:miter w14:val="10"/>
              </w14:textOutline>
            </w:rPr>
            <w:t>风险评价结论与建议</w:t>
          </w:r>
          <w:r>
            <w:rPr>
              <w:rFonts w:ascii="宋体" w:hAnsi="宋体" w:eastAsia="宋体" w:cs="宋体"/>
              <w:spacing w:val="-56"/>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9"/>
              <w:sz w:val="24"/>
              <w:szCs w:val="24"/>
            </w:rPr>
            <w:t>48</w:t>
          </w:r>
          <w:r>
            <w:rPr>
              <w:rFonts w:ascii="Times New Roman" w:hAnsi="Times New Roman" w:eastAsia="Times New Roman" w:cs="Times New Roman"/>
              <w:b/>
              <w:bCs/>
              <w:spacing w:val="9"/>
              <w:sz w:val="24"/>
              <w:szCs w:val="24"/>
            </w:rPr>
            <w:fldChar w:fldCharType="end"/>
          </w:r>
        </w:p>
      </w:sdtContent>
    </w:sdt>
    <w:p>
      <w:pPr>
        <w:spacing w:line="232" w:lineRule="auto"/>
        <w:rPr>
          <w:rFonts w:ascii="Times New Roman" w:hAnsi="Times New Roman" w:eastAsia="Times New Roman" w:cs="Times New Roman"/>
          <w:sz w:val="24"/>
          <w:szCs w:val="24"/>
        </w:rPr>
        <w:sectPr>
          <w:footerReference r:id="rId205" w:type="default"/>
          <w:pgSz w:w="11907" w:h="16839"/>
          <w:pgMar w:top="1123" w:right="1766" w:bottom="1146" w:left="1769" w:header="1108" w:footer="988" w:gutter="0"/>
          <w:cols w:space="720" w:num="1"/>
        </w:sectPr>
      </w:pPr>
    </w:p>
    <w:p>
      <w:pPr>
        <w:pStyle w:val="2"/>
        <w:spacing w:line="430" w:lineRule="auto"/>
        <w:rPr>
          <w:sz w:val="21"/>
        </w:rPr>
      </w:pPr>
    </w:p>
    <w:sdt>
      <w:sdtPr>
        <w:rPr>
          <w:rFonts w:ascii="Times New Roman" w:hAnsi="Times New Roman" w:eastAsia="Times New Roman" w:cs="Times New Roman"/>
          <w:sz w:val="24"/>
          <w:szCs w:val="24"/>
        </w:rPr>
        <w:id w:val="3"/>
        <w:docPartObj>
          <w:docPartGallery w:val="Table of Contents"/>
          <w:docPartUnique/>
        </w:docPartObj>
      </w:sdtPr>
      <w:sdtEndPr>
        <w:rPr>
          <w:rFonts w:ascii="Times New Roman" w:hAnsi="Times New Roman" w:eastAsia="Times New Roman" w:cs="Times New Roman"/>
          <w:sz w:val="24"/>
          <w:szCs w:val="24"/>
        </w:rPr>
      </w:sdtEndPr>
      <w:sdtContent>
        <w:p>
          <w:pPr>
            <w:tabs>
              <w:tab w:val="right" w:leader="dot" w:pos="8330"/>
            </w:tabs>
            <w:spacing w:before="78" w:line="185" w:lineRule="auto"/>
            <w:ind w:left="37"/>
            <w:rPr>
              <w:rFonts w:ascii="Times New Roman" w:hAnsi="Times New Roman" w:eastAsia="Times New Roman" w:cs="Times New Roman"/>
              <w:sz w:val="24"/>
              <w:szCs w:val="24"/>
            </w:rPr>
          </w:pPr>
          <w:r>
            <w:fldChar w:fldCharType="begin"/>
          </w:r>
          <w:r>
            <w:instrText xml:space="preserve"> HYPERLINK \l "bookmark64"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项目危险因素</w:t>
          </w:r>
          <w:r>
            <w:rPr>
              <w:rFonts w:ascii="宋体" w:hAnsi="宋体" w:eastAsia="宋体" w:cs="宋体"/>
              <w:sz w:val="24"/>
              <w:szCs w:val="24"/>
            </w:rPr>
            <w:tab/>
          </w:r>
          <w:r>
            <w:rPr>
              <w:rFonts w:ascii="Times New Roman" w:hAnsi="Times New Roman" w:eastAsia="Times New Roman" w:cs="Times New Roman"/>
              <w:spacing w:val="9"/>
              <w:sz w:val="24"/>
              <w:szCs w:val="24"/>
            </w:rPr>
            <w:t>48</w:t>
          </w:r>
          <w:r>
            <w:rPr>
              <w:rFonts w:ascii="Times New Roman" w:hAnsi="Times New Roman" w:eastAsia="Times New Roman" w:cs="Times New Roman"/>
              <w:spacing w:val="9"/>
              <w:sz w:val="24"/>
              <w:szCs w:val="24"/>
            </w:rPr>
            <w:fldChar w:fldCharType="end"/>
          </w:r>
        </w:p>
        <w:p>
          <w:pPr>
            <w:tabs>
              <w:tab w:val="right" w:leader="dot" w:pos="8330"/>
            </w:tabs>
            <w:spacing w:before="259" w:line="185" w:lineRule="auto"/>
            <w:ind w:left="37"/>
            <w:rPr>
              <w:rFonts w:ascii="Times New Roman" w:hAnsi="Times New Roman" w:eastAsia="Times New Roman" w:cs="Times New Roman"/>
              <w:sz w:val="24"/>
              <w:szCs w:val="24"/>
            </w:rPr>
          </w:pPr>
          <w:r>
            <w:fldChar w:fldCharType="begin"/>
          </w:r>
          <w:r>
            <w:instrText xml:space="preserve"> HYPERLINK \l "bookmark65" </w:instrText>
          </w:r>
          <w:r>
            <w:fldChar w:fldCharType="separate"/>
          </w:r>
          <w:r>
            <w:rPr>
              <w:rFonts w:ascii="Times New Roman" w:hAnsi="Times New Roman" w:eastAsia="Times New Roman" w:cs="Times New Roman"/>
              <w:spacing w:val="-1"/>
              <w:sz w:val="24"/>
              <w:szCs w:val="24"/>
            </w:rPr>
            <w:t xml:space="preserve">7.2 </w:t>
          </w:r>
          <w:r>
            <w:rPr>
              <w:rFonts w:ascii="宋体" w:hAnsi="宋体" w:eastAsia="宋体" w:cs="宋体"/>
              <w:spacing w:val="-1"/>
              <w:sz w:val="24"/>
              <w:szCs w:val="24"/>
            </w:rPr>
            <w:t>环境风险防范措施和应急预案</w:t>
          </w:r>
          <w:r>
            <w:rPr>
              <w:rFonts w:ascii="宋体" w:hAnsi="宋体" w:eastAsia="宋体" w:cs="宋体"/>
              <w:sz w:val="24"/>
              <w:szCs w:val="24"/>
            </w:rPr>
            <w:tab/>
          </w:r>
          <w:r>
            <w:rPr>
              <w:rFonts w:ascii="Times New Roman" w:hAnsi="Times New Roman" w:eastAsia="Times New Roman" w:cs="Times New Roman"/>
              <w:spacing w:val="9"/>
              <w:sz w:val="24"/>
              <w:szCs w:val="24"/>
            </w:rPr>
            <w:t>48</w:t>
          </w:r>
          <w:r>
            <w:rPr>
              <w:rFonts w:ascii="Times New Roman" w:hAnsi="Times New Roman" w:eastAsia="Times New Roman" w:cs="Times New Roman"/>
              <w:spacing w:val="9"/>
              <w:sz w:val="24"/>
              <w:szCs w:val="24"/>
            </w:rPr>
            <w:fldChar w:fldCharType="end"/>
          </w:r>
        </w:p>
        <w:p>
          <w:pPr>
            <w:tabs>
              <w:tab w:val="right" w:leader="dot" w:pos="8330"/>
            </w:tabs>
            <w:spacing w:before="261" w:line="218" w:lineRule="auto"/>
            <w:ind w:left="37"/>
            <w:rPr>
              <w:rFonts w:ascii="Times New Roman" w:hAnsi="Times New Roman" w:eastAsia="Times New Roman" w:cs="Times New Roman"/>
              <w:sz w:val="24"/>
              <w:szCs w:val="24"/>
            </w:rPr>
          </w:pPr>
          <w:r>
            <w:fldChar w:fldCharType="begin"/>
          </w:r>
          <w:r>
            <w:instrText xml:space="preserve"> HYPERLINK \l "bookmark66" </w:instrText>
          </w:r>
          <w:r>
            <w:fldChar w:fldCharType="separate"/>
          </w:r>
          <w:r>
            <w:rPr>
              <w:rFonts w:ascii="Times New Roman" w:hAnsi="Times New Roman" w:eastAsia="Times New Roman" w:cs="Times New Roman"/>
              <w:spacing w:val="-1"/>
              <w:sz w:val="24"/>
              <w:szCs w:val="24"/>
            </w:rPr>
            <w:t xml:space="preserve">7.3 </w:t>
          </w:r>
          <w:r>
            <w:rPr>
              <w:rFonts w:ascii="宋体" w:hAnsi="宋体" w:eastAsia="宋体" w:cs="宋体"/>
              <w:spacing w:val="-1"/>
              <w:sz w:val="24"/>
              <w:szCs w:val="24"/>
            </w:rPr>
            <w:t>环境风险评价结论与建议</w:t>
          </w:r>
          <w:r>
            <w:rPr>
              <w:rFonts w:ascii="宋体" w:hAnsi="宋体" w:eastAsia="宋体" w:cs="宋体"/>
              <w:sz w:val="24"/>
              <w:szCs w:val="24"/>
            </w:rPr>
            <w:tab/>
          </w:r>
          <w:r>
            <w:rPr>
              <w:rFonts w:ascii="Times New Roman" w:hAnsi="Times New Roman" w:eastAsia="Times New Roman" w:cs="Times New Roman"/>
              <w:spacing w:val="9"/>
              <w:sz w:val="24"/>
              <w:szCs w:val="24"/>
            </w:rPr>
            <w:t>48</w:t>
          </w:r>
          <w:r>
            <w:rPr>
              <w:rFonts w:ascii="Times New Roman" w:hAnsi="Times New Roman" w:eastAsia="Times New Roman" w:cs="Times New Roman"/>
              <w:spacing w:val="9"/>
              <w:sz w:val="24"/>
              <w:szCs w:val="24"/>
            </w:rPr>
            <w:fldChar w:fldCharType="end"/>
          </w:r>
        </w:p>
      </w:sdtContent>
    </w:sdt>
    <w:p>
      <w:pPr>
        <w:spacing w:line="218" w:lineRule="auto"/>
        <w:rPr>
          <w:rFonts w:ascii="Times New Roman" w:hAnsi="Times New Roman" w:eastAsia="Times New Roman" w:cs="Times New Roman"/>
          <w:sz w:val="24"/>
          <w:szCs w:val="24"/>
        </w:rPr>
        <w:sectPr>
          <w:footerReference r:id="rId206" w:type="default"/>
          <w:pgSz w:w="11907" w:h="16839"/>
          <w:pgMar w:top="1123" w:right="1766" w:bottom="1146" w:left="1769" w:header="1108" w:footer="988" w:gutter="0"/>
          <w:cols w:space="720" w:num="1"/>
        </w:sectPr>
      </w:pPr>
    </w:p>
    <w:p>
      <w:pPr>
        <w:pStyle w:val="2"/>
        <w:spacing w:line="254" w:lineRule="auto"/>
        <w:rPr>
          <w:sz w:val="21"/>
        </w:rPr>
      </w:pPr>
    </w:p>
    <w:p>
      <w:pPr>
        <w:spacing w:before="117" w:line="220" w:lineRule="auto"/>
        <w:ind w:left="3665"/>
        <w:rPr>
          <w:rFonts w:ascii="宋体" w:hAnsi="宋体" w:eastAsia="宋体" w:cs="宋体"/>
          <w:sz w:val="36"/>
          <w:szCs w:val="36"/>
        </w:rPr>
      </w:pPr>
      <w:bookmarkStart w:id="37" w:name="bookmark39"/>
      <w:bookmarkEnd w:id="37"/>
      <w:bookmarkStart w:id="38" w:name="bookmark38"/>
      <w:bookmarkEnd w:id="38"/>
      <w:r>
        <w:rPr>
          <w:rFonts w:ascii="Times New Roman" w:hAnsi="Times New Roman" w:eastAsia="Times New Roman" w:cs="Times New Roman"/>
          <w:b/>
          <w:bCs/>
          <w:spacing w:val="-12"/>
          <w:sz w:val="36"/>
          <w:szCs w:val="36"/>
        </w:rPr>
        <w:t>1</w:t>
      </w:r>
      <w:r>
        <w:rPr>
          <w:rFonts w:ascii="Times New Roman" w:hAnsi="Times New Roman" w:eastAsia="Times New Roman" w:cs="Times New Roman"/>
          <w:b/>
          <w:bCs/>
          <w:spacing w:val="13"/>
          <w:sz w:val="36"/>
          <w:szCs w:val="36"/>
        </w:rPr>
        <w:t xml:space="preserve">  </w:t>
      </w:r>
      <w:r>
        <w:rPr>
          <w:rFonts w:ascii="宋体" w:hAnsi="宋体" w:eastAsia="宋体" w:cs="宋体"/>
          <w:spacing w:val="-12"/>
          <w:sz w:val="36"/>
          <w:szCs w:val="36"/>
          <w14:textOutline w14:w="6531" w14:cap="flat" w14:cmpd="sng">
            <w14:solidFill>
              <w14:srgbClr w14:val="000000"/>
            </w14:solidFill>
            <w14:prstDash w14:val="solid"/>
            <w14:miter w14:val="10"/>
          </w14:textOutline>
        </w:rPr>
        <w:t>总则</w:t>
      </w:r>
    </w:p>
    <w:p>
      <w:pPr>
        <w:pStyle w:val="2"/>
        <w:spacing w:line="314" w:lineRule="auto"/>
        <w:rPr>
          <w:sz w:val="21"/>
        </w:rPr>
      </w:pPr>
    </w:p>
    <w:p>
      <w:pPr>
        <w:spacing w:before="78" w:line="218" w:lineRule="auto"/>
        <w:ind w:left="44"/>
        <w:rPr>
          <w:rFonts w:ascii="宋体" w:hAnsi="宋体" w:eastAsia="宋体" w:cs="宋体"/>
          <w:sz w:val="24"/>
          <w:szCs w:val="24"/>
        </w:rPr>
      </w:pPr>
      <w:r>
        <w:rPr>
          <w:rFonts w:ascii="Times New Roman" w:hAnsi="Times New Roman" w:eastAsia="Times New Roman" w:cs="Times New Roman"/>
          <w:b/>
          <w:bCs/>
          <w:spacing w:val="-1"/>
          <w:sz w:val="24"/>
          <w:szCs w:val="24"/>
        </w:rPr>
        <w:t xml:space="preserve">1.1 </w:t>
      </w:r>
      <w:r>
        <w:rPr>
          <w:rFonts w:ascii="宋体" w:hAnsi="宋体" w:eastAsia="宋体" w:cs="宋体"/>
          <w:spacing w:val="-1"/>
          <w:sz w:val="24"/>
          <w:szCs w:val="24"/>
          <w14:textOutline w14:w="4354" w14:cap="flat" w14:cmpd="sng">
            <w14:solidFill>
              <w14:srgbClr w14:val="000000"/>
            </w14:solidFill>
            <w14:prstDash w14:val="solid"/>
            <w14:miter w14:val="10"/>
          </w14:textOutline>
        </w:rPr>
        <w:t>环境风险评价的目的与作用</w:t>
      </w:r>
    </w:p>
    <w:p>
      <w:pPr>
        <w:spacing w:before="197" w:line="369" w:lineRule="auto"/>
        <w:ind w:left="38" w:right="27" w:firstLine="479"/>
        <w:rPr>
          <w:rFonts w:ascii="宋体" w:hAnsi="宋体" w:eastAsia="宋体" w:cs="宋体"/>
          <w:sz w:val="24"/>
          <w:szCs w:val="24"/>
        </w:rPr>
      </w:pPr>
      <w:r>
        <w:rPr>
          <w:rFonts w:ascii="宋体" w:hAnsi="宋体" w:eastAsia="宋体" w:cs="宋体"/>
          <w:spacing w:val="-3"/>
          <w:sz w:val="24"/>
          <w:szCs w:val="24"/>
        </w:rPr>
        <w:t>环境风险评价将分析项目可能发生的突发性事件或事故（一般不包括人为破</w:t>
      </w:r>
      <w:r>
        <w:rPr>
          <w:rFonts w:ascii="宋体" w:hAnsi="宋体" w:eastAsia="宋体" w:cs="宋体"/>
          <w:sz w:val="24"/>
          <w:szCs w:val="24"/>
        </w:rPr>
        <w:t xml:space="preserve"> </w:t>
      </w:r>
      <w:r>
        <w:rPr>
          <w:rFonts w:ascii="宋体" w:hAnsi="宋体" w:eastAsia="宋体" w:cs="宋体"/>
          <w:spacing w:val="-10"/>
          <w:sz w:val="24"/>
          <w:szCs w:val="24"/>
        </w:rPr>
        <w:t>坏及自然灾害） 引起有毒有害物质发生泄漏，</w:t>
      </w:r>
      <w:r>
        <w:rPr>
          <w:rFonts w:ascii="宋体" w:hAnsi="宋体" w:eastAsia="宋体" w:cs="宋体"/>
          <w:spacing w:val="36"/>
          <w:sz w:val="24"/>
          <w:szCs w:val="24"/>
        </w:rPr>
        <w:t xml:space="preserve"> </w:t>
      </w:r>
      <w:r>
        <w:rPr>
          <w:rFonts w:ascii="宋体" w:hAnsi="宋体" w:eastAsia="宋体" w:cs="宋体"/>
          <w:spacing w:val="-10"/>
          <w:sz w:val="24"/>
          <w:szCs w:val="24"/>
        </w:rPr>
        <w:t>易燃</w:t>
      </w:r>
      <w:r>
        <w:rPr>
          <w:rFonts w:ascii="宋体" w:hAnsi="宋体" w:eastAsia="宋体" w:cs="宋体"/>
          <w:spacing w:val="-11"/>
          <w:sz w:val="24"/>
          <w:szCs w:val="24"/>
        </w:rPr>
        <w:t>易爆物质发生火灾爆炸等事故</w:t>
      </w:r>
      <w:r>
        <w:rPr>
          <w:rFonts w:ascii="宋体" w:hAnsi="宋体" w:eastAsia="宋体" w:cs="宋体"/>
          <w:sz w:val="24"/>
          <w:szCs w:val="24"/>
        </w:rPr>
        <w:t xml:space="preserve"> </w:t>
      </w:r>
      <w:r>
        <w:rPr>
          <w:rFonts w:ascii="宋体" w:hAnsi="宋体" w:eastAsia="宋体" w:cs="宋体"/>
          <w:spacing w:val="-9"/>
          <w:sz w:val="24"/>
          <w:szCs w:val="24"/>
        </w:rPr>
        <w:t>可能性，</w:t>
      </w:r>
      <w:r>
        <w:rPr>
          <w:rFonts w:ascii="宋体" w:hAnsi="宋体" w:eastAsia="宋体" w:cs="宋体"/>
          <w:spacing w:val="-13"/>
          <w:sz w:val="24"/>
          <w:szCs w:val="24"/>
        </w:rPr>
        <w:t xml:space="preserve"> </w:t>
      </w:r>
      <w:r>
        <w:rPr>
          <w:rFonts w:ascii="宋体" w:hAnsi="宋体" w:eastAsia="宋体" w:cs="宋体"/>
          <w:spacing w:val="-9"/>
          <w:sz w:val="24"/>
          <w:szCs w:val="24"/>
        </w:rPr>
        <w:t>在此基础上预测事故造成人身安全与环境影响和损害程度， 提出合理可</w:t>
      </w:r>
      <w:r>
        <w:rPr>
          <w:rFonts w:ascii="宋体" w:hAnsi="宋体" w:eastAsia="宋体" w:cs="宋体"/>
          <w:sz w:val="24"/>
          <w:szCs w:val="24"/>
        </w:rPr>
        <w:t xml:space="preserve"> </w:t>
      </w:r>
      <w:r>
        <w:rPr>
          <w:rFonts w:ascii="宋体" w:hAnsi="宋体" w:eastAsia="宋体" w:cs="宋体"/>
          <w:spacing w:val="-8"/>
          <w:sz w:val="24"/>
          <w:szCs w:val="24"/>
        </w:rPr>
        <w:t>行的防范、应急与减缓措施，</w:t>
      </w:r>
      <w:r>
        <w:rPr>
          <w:rFonts w:ascii="宋体" w:hAnsi="宋体" w:eastAsia="宋体" w:cs="宋体"/>
          <w:spacing w:val="63"/>
          <w:sz w:val="24"/>
          <w:szCs w:val="24"/>
        </w:rPr>
        <w:t xml:space="preserve"> </w:t>
      </w:r>
      <w:r>
        <w:rPr>
          <w:rFonts w:ascii="宋体" w:hAnsi="宋体" w:eastAsia="宋体" w:cs="宋体"/>
          <w:spacing w:val="-8"/>
          <w:sz w:val="24"/>
          <w:szCs w:val="24"/>
        </w:rPr>
        <w:t>以使建设项目事故率、损失和环境影响达到可接受</w:t>
      </w:r>
    </w:p>
    <w:p>
      <w:pPr>
        <w:spacing w:line="219" w:lineRule="auto"/>
        <w:ind w:left="57"/>
        <w:rPr>
          <w:rFonts w:ascii="宋体" w:hAnsi="宋体" w:eastAsia="宋体" w:cs="宋体"/>
          <w:sz w:val="24"/>
          <w:szCs w:val="24"/>
        </w:rPr>
      </w:pPr>
      <w:r>
        <w:rPr>
          <w:rFonts w:ascii="宋体" w:hAnsi="宋体" w:eastAsia="宋体" w:cs="宋体"/>
          <w:spacing w:val="-12"/>
          <w:sz w:val="24"/>
          <w:szCs w:val="24"/>
        </w:rPr>
        <w:t>的水平。</w:t>
      </w:r>
    </w:p>
    <w:p>
      <w:pPr>
        <w:spacing w:before="196" w:line="369" w:lineRule="auto"/>
        <w:ind w:left="39" w:right="27" w:firstLine="479"/>
        <w:rPr>
          <w:rFonts w:ascii="宋体" w:hAnsi="宋体" w:eastAsia="宋体" w:cs="宋体"/>
          <w:sz w:val="24"/>
          <w:szCs w:val="24"/>
        </w:rPr>
      </w:pPr>
      <w:r>
        <w:rPr>
          <w:rFonts w:ascii="宋体" w:hAnsi="宋体" w:eastAsia="宋体" w:cs="宋体"/>
          <w:spacing w:val="-10"/>
          <w:sz w:val="24"/>
          <w:szCs w:val="24"/>
        </w:rPr>
        <w:t>本风险评价将以《建设项目环境风险评价技术导则》（</w:t>
      </w:r>
      <w:r>
        <w:rPr>
          <w:rFonts w:ascii="Times New Roman" w:hAnsi="Times New Roman" w:eastAsia="Times New Roman" w:cs="Times New Roman"/>
          <w:spacing w:val="-10"/>
          <w:sz w:val="24"/>
          <w:szCs w:val="24"/>
        </w:rPr>
        <w:t>HJ169-2018</w:t>
      </w:r>
      <w:r>
        <w:rPr>
          <w:rFonts w:ascii="宋体" w:hAnsi="宋体" w:eastAsia="宋体" w:cs="宋体"/>
          <w:spacing w:val="-10"/>
          <w:sz w:val="24"/>
          <w:szCs w:val="24"/>
        </w:rPr>
        <w:t>）为指导，</w:t>
      </w:r>
      <w:r>
        <w:rPr>
          <w:rFonts w:ascii="宋体" w:hAnsi="宋体" w:eastAsia="宋体" w:cs="宋体"/>
          <w:spacing w:val="10"/>
          <w:sz w:val="24"/>
          <w:szCs w:val="24"/>
        </w:rPr>
        <w:t xml:space="preserve"> </w:t>
      </w:r>
      <w:r>
        <w:rPr>
          <w:rFonts w:ascii="宋体" w:hAnsi="宋体" w:eastAsia="宋体" w:cs="宋体"/>
          <w:spacing w:val="-10"/>
          <w:sz w:val="24"/>
          <w:szCs w:val="24"/>
        </w:rPr>
        <w:t>结合《危险化学品重大危险源辨识》（</w:t>
      </w:r>
      <w:r>
        <w:rPr>
          <w:rFonts w:ascii="Times New Roman" w:hAnsi="Times New Roman" w:eastAsia="Times New Roman" w:cs="Times New Roman"/>
          <w:spacing w:val="-10"/>
          <w:sz w:val="24"/>
          <w:szCs w:val="24"/>
        </w:rPr>
        <w:t>GB18218-2018</w:t>
      </w:r>
      <w:r>
        <w:rPr>
          <w:rFonts w:ascii="宋体" w:hAnsi="宋体" w:eastAsia="宋体" w:cs="宋体"/>
          <w:spacing w:val="-10"/>
          <w:sz w:val="24"/>
          <w:szCs w:val="24"/>
        </w:rPr>
        <w:t>）、《企业突发环境事件风险</w:t>
      </w:r>
      <w:r>
        <w:rPr>
          <w:rFonts w:ascii="宋体" w:hAnsi="宋体" w:eastAsia="宋体" w:cs="宋体"/>
          <w:spacing w:val="17"/>
          <w:sz w:val="24"/>
          <w:szCs w:val="24"/>
        </w:rPr>
        <w:t xml:space="preserve"> </w:t>
      </w:r>
      <w:r>
        <w:rPr>
          <w:rFonts w:ascii="宋体" w:hAnsi="宋体" w:eastAsia="宋体" w:cs="宋体"/>
          <w:spacing w:val="-10"/>
          <w:sz w:val="24"/>
          <w:szCs w:val="24"/>
        </w:rPr>
        <w:t>分级方法》（</w:t>
      </w:r>
      <w:r>
        <w:rPr>
          <w:rFonts w:ascii="Times New Roman" w:hAnsi="Times New Roman" w:eastAsia="Times New Roman" w:cs="Times New Roman"/>
          <w:spacing w:val="-10"/>
          <w:sz w:val="24"/>
          <w:szCs w:val="24"/>
        </w:rPr>
        <w:t>HJ  941-2018</w:t>
      </w:r>
      <w:r>
        <w:rPr>
          <w:rFonts w:ascii="宋体" w:hAnsi="宋体" w:eastAsia="宋体" w:cs="宋体"/>
          <w:spacing w:val="-10"/>
          <w:sz w:val="24"/>
          <w:szCs w:val="24"/>
        </w:rPr>
        <w:t>）、《石油天然气工程设计防火规范》（</w:t>
      </w:r>
      <w:r>
        <w:rPr>
          <w:rFonts w:ascii="Times New Roman" w:hAnsi="Times New Roman" w:eastAsia="Times New Roman" w:cs="Times New Roman"/>
          <w:spacing w:val="-10"/>
          <w:sz w:val="24"/>
          <w:szCs w:val="24"/>
        </w:rPr>
        <w:t>GB50</w:t>
      </w:r>
      <w:r>
        <w:rPr>
          <w:rFonts w:ascii="Times New Roman" w:hAnsi="Times New Roman" w:eastAsia="Times New Roman" w:cs="Times New Roman"/>
          <w:spacing w:val="-11"/>
          <w:sz w:val="24"/>
          <w:szCs w:val="24"/>
        </w:rPr>
        <w:t>183-2015</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9"/>
          <w:sz w:val="24"/>
          <w:szCs w:val="24"/>
        </w:rPr>
        <w:t>等，</w:t>
      </w:r>
      <w:r>
        <w:rPr>
          <w:rFonts w:ascii="宋体" w:hAnsi="宋体" w:eastAsia="宋体" w:cs="宋体"/>
          <w:spacing w:val="-50"/>
          <w:sz w:val="24"/>
          <w:szCs w:val="24"/>
        </w:rPr>
        <w:t xml:space="preserve"> </w:t>
      </w:r>
      <w:r>
        <w:rPr>
          <w:rFonts w:ascii="宋体" w:hAnsi="宋体" w:eastAsia="宋体" w:cs="宋体"/>
          <w:spacing w:val="-9"/>
          <w:sz w:val="24"/>
          <w:szCs w:val="24"/>
        </w:rPr>
        <w:t>通过风险调查、风险识别、风险预测与评</w:t>
      </w:r>
      <w:r>
        <w:rPr>
          <w:rFonts w:ascii="宋体" w:hAnsi="宋体" w:eastAsia="宋体" w:cs="宋体"/>
          <w:spacing w:val="-10"/>
          <w:sz w:val="24"/>
          <w:szCs w:val="24"/>
        </w:rPr>
        <w:t>价，</w:t>
      </w:r>
      <w:r>
        <w:rPr>
          <w:rFonts w:ascii="宋体" w:hAnsi="宋体" w:eastAsia="宋体" w:cs="宋体"/>
          <w:spacing w:val="42"/>
          <w:sz w:val="24"/>
          <w:szCs w:val="24"/>
        </w:rPr>
        <w:t xml:space="preserve"> </w:t>
      </w:r>
      <w:r>
        <w:rPr>
          <w:rFonts w:ascii="宋体" w:hAnsi="宋体" w:eastAsia="宋体" w:cs="宋体"/>
          <w:spacing w:val="-10"/>
          <w:sz w:val="24"/>
          <w:szCs w:val="24"/>
        </w:rPr>
        <w:t>提出拟建项目的风险防范措施</w:t>
      </w:r>
      <w:r>
        <w:rPr>
          <w:rFonts w:ascii="宋体" w:hAnsi="宋体" w:eastAsia="宋体" w:cs="宋体"/>
          <w:sz w:val="24"/>
          <w:szCs w:val="24"/>
        </w:rPr>
        <w:t xml:space="preserve"> </w:t>
      </w:r>
      <w:r>
        <w:rPr>
          <w:rFonts w:ascii="宋体" w:hAnsi="宋体" w:eastAsia="宋体" w:cs="宋体"/>
          <w:spacing w:val="-9"/>
          <w:sz w:val="24"/>
          <w:szCs w:val="24"/>
        </w:rPr>
        <w:t>和应急预案， 为工程建设和环境管理提供技术决策依据， 把环境风险</w:t>
      </w:r>
      <w:r>
        <w:rPr>
          <w:rFonts w:ascii="宋体" w:hAnsi="宋体" w:eastAsia="宋体" w:cs="宋体"/>
          <w:spacing w:val="-10"/>
          <w:sz w:val="24"/>
          <w:szCs w:val="24"/>
        </w:rPr>
        <w:t>尽可能降低</w:t>
      </w:r>
    </w:p>
    <w:p>
      <w:pPr>
        <w:spacing w:before="1" w:line="219" w:lineRule="auto"/>
        <w:ind w:left="40"/>
        <w:rPr>
          <w:rFonts w:ascii="宋体" w:hAnsi="宋体" w:eastAsia="宋体" w:cs="宋体"/>
          <w:sz w:val="24"/>
          <w:szCs w:val="24"/>
        </w:rPr>
      </w:pPr>
      <w:r>
        <w:rPr>
          <w:rFonts w:ascii="宋体" w:hAnsi="宋体" w:eastAsia="宋体" w:cs="宋体"/>
          <w:spacing w:val="-6"/>
          <w:sz w:val="24"/>
          <w:szCs w:val="24"/>
        </w:rPr>
        <w:t>至可接受水平。</w:t>
      </w:r>
    </w:p>
    <w:p>
      <w:pPr>
        <w:spacing w:before="194" w:line="218" w:lineRule="auto"/>
        <w:ind w:left="44"/>
        <w:rPr>
          <w:rFonts w:ascii="宋体" w:hAnsi="宋体" w:eastAsia="宋体" w:cs="宋体"/>
          <w:sz w:val="24"/>
          <w:szCs w:val="24"/>
        </w:rPr>
      </w:pPr>
      <w:bookmarkStart w:id="39" w:name="bookmark40"/>
      <w:bookmarkEnd w:id="39"/>
      <w:r>
        <w:rPr>
          <w:rFonts w:ascii="Times New Roman" w:hAnsi="Times New Roman" w:eastAsia="Times New Roman" w:cs="Times New Roman"/>
          <w:b/>
          <w:bCs/>
          <w:spacing w:val="-1"/>
          <w:sz w:val="24"/>
          <w:szCs w:val="24"/>
        </w:rPr>
        <w:t xml:space="preserve">1.2 </w:t>
      </w:r>
      <w:r>
        <w:rPr>
          <w:rFonts w:ascii="宋体" w:hAnsi="宋体" w:eastAsia="宋体" w:cs="宋体"/>
          <w:spacing w:val="-1"/>
          <w:sz w:val="24"/>
          <w:szCs w:val="24"/>
          <w14:textOutline w14:w="4354" w14:cap="flat" w14:cmpd="sng">
            <w14:solidFill>
              <w14:srgbClr w14:val="000000"/>
            </w14:solidFill>
            <w14:prstDash w14:val="solid"/>
            <w14:miter w14:val="10"/>
          </w14:textOutline>
        </w:rPr>
        <w:t>风险评价专项任务来源</w:t>
      </w:r>
    </w:p>
    <w:p>
      <w:pPr>
        <w:spacing w:before="198" w:line="369" w:lineRule="auto"/>
        <w:ind w:left="56" w:right="26" w:firstLine="462"/>
        <w:rPr>
          <w:rFonts w:ascii="宋体" w:hAnsi="宋体" w:eastAsia="宋体" w:cs="宋体"/>
          <w:sz w:val="24"/>
          <w:szCs w:val="24"/>
        </w:rPr>
      </w:pPr>
      <w:r>
        <w:rPr>
          <w:rFonts w:ascii="宋体" w:hAnsi="宋体" w:eastAsia="宋体" w:cs="宋体"/>
          <w:spacing w:val="-2"/>
          <w:sz w:val="24"/>
          <w:szCs w:val="24"/>
        </w:rPr>
        <w:t xml:space="preserve">凤探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48"/>
          <w:sz w:val="24"/>
          <w:szCs w:val="24"/>
        </w:rPr>
        <w:t xml:space="preserve"> </w:t>
      </w:r>
      <w:r>
        <w:rPr>
          <w:rFonts w:ascii="宋体" w:hAnsi="宋体" w:eastAsia="宋体" w:cs="宋体"/>
          <w:spacing w:val="-2"/>
          <w:sz w:val="24"/>
          <w:szCs w:val="24"/>
        </w:rPr>
        <w:t>井钻井工程位于四川省达州市通川区江陵镇</w:t>
      </w:r>
      <w:r>
        <w:rPr>
          <w:rFonts w:ascii="宋体" w:hAnsi="宋体" w:eastAsia="宋体" w:cs="宋体"/>
          <w:spacing w:val="-3"/>
          <w:sz w:val="24"/>
          <w:szCs w:val="24"/>
        </w:rPr>
        <w:t xml:space="preserve">和平村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组，井场面积</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115m×55m</w:t>
      </w:r>
      <w:r>
        <w:rPr>
          <w:rFonts w:ascii="宋体" w:hAnsi="宋体" w:eastAsia="宋体" w:cs="宋体"/>
          <w:spacing w:val="-1"/>
          <w:sz w:val="24"/>
          <w:szCs w:val="24"/>
        </w:rPr>
        <w:t>，设计井深为</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7230m</w:t>
      </w:r>
      <w:r>
        <w:rPr>
          <w:rFonts w:ascii="宋体" w:hAnsi="宋体" w:eastAsia="宋体" w:cs="宋体"/>
          <w:spacing w:val="-1"/>
          <w:sz w:val="24"/>
          <w:szCs w:val="24"/>
        </w:rPr>
        <w:t>，井</w:t>
      </w:r>
      <w:r>
        <w:rPr>
          <w:rFonts w:ascii="宋体" w:hAnsi="宋体" w:eastAsia="宋体" w:cs="宋体"/>
          <w:spacing w:val="-2"/>
          <w:sz w:val="24"/>
          <w:szCs w:val="24"/>
        </w:rPr>
        <w:t>型为直井，井别为风险探井，目的层为石炭</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系黄龙组。</w:t>
      </w:r>
    </w:p>
    <w:p>
      <w:pPr>
        <w:spacing w:before="196" w:line="369" w:lineRule="auto"/>
        <w:ind w:left="36" w:right="27" w:firstLine="481"/>
        <w:rPr>
          <w:rFonts w:ascii="宋体" w:hAnsi="宋体" w:eastAsia="宋体" w:cs="宋体"/>
          <w:sz w:val="24"/>
          <w:szCs w:val="24"/>
        </w:rPr>
      </w:pPr>
      <w:r>
        <w:rPr>
          <w:rFonts w:ascii="宋体" w:hAnsi="宋体" w:eastAsia="宋体" w:cs="宋体"/>
          <w:spacing w:val="-11"/>
          <w:sz w:val="24"/>
          <w:szCs w:val="24"/>
        </w:rPr>
        <w:t>根据《建设项目环境影响报告表编制技术指</w:t>
      </w:r>
      <w:r>
        <w:rPr>
          <w:rFonts w:ascii="宋体" w:hAnsi="宋体" w:eastAsia="宋体" w:cs="宋体"/>
          <w:spacing w:val="-12"/>
          <w:sz w:val="24"/>
          <w:szCs w:val="24"/>
        </w:rPr>
        <w:t>南》（生态影响类</w:t>
      </w:r>
      <w:r>
        <w:rPr>
          <w:rFonts w:ascii="宋体" w:hAnsi="宋体" w:eastAsia="宋体" w:cs="宋体"/>
          <w:spacing w:val="-26"/>
          <w:sz w:val="24"/>
          <w:szCs w:val="24"/>
        </w:rPr>
        <w:t>）（</w:t>
      </w:r>
      <w:r>
        <w:rPr>
          <w:rFonts w:ascii="宋体" w:hAnsi="宋体" w:eastAsia="宋体" w:cs="宋体"/>
          <w:spacing w:val="-12"/>
          <w:sz w:val="24"/>
          <w:szCs w:val="24"/>
        </w:rPr>
        <w:t>试行） 表</w:t>
      </w:r>
      <w:r>
        <w:rPr>
          <w:rFonts w:ascii="宋体" w:hAnsi="宋体" w:eastAsia="宋体" w:cs="宋体"/>
          <w:spacing w:val="-29"/>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z w:val="24"/>
          <w:szCs w:val="24"/>
        </w:rPr>
        <w:t xml:space="preserve"> </w:t>
      </w:r>
      <w:r>
        <w:rPr>
          <w:rFonts w:ascii="宋体" w:hAnsi="宋体" w:eastAsia="宋体" w:cs="宋体"/>
          <w:spacing w:val="-6"/>
          <w:sz w:val="24"/>
          <w:szCs w:val="24"/>
        </w:rPr>
        <w:t>中专项评价设置原则要求“根据建设项目特点和涉及的环境敏感区类别， 确定专</w:t>
      </w:r>
      <w:r>
        <w:rPr>
          <w:rFonts w:ascii="宋体" w:hAnsi="宋体" w:eastAsia="宋体" w:cs="宋体"/>
          <w:spacing w:val="1"/>
          <w:sz w:val="24"/>
          <w:szCs w:val="24"/>
        </w:rPr>
        <w:t xml:space="preserve"> </w:t>
      </w:r>
      <w:r>
        <w:rPr>
          <w:rFonts w:ascii="宋体" w:hAnsi="宋体" w:eastAsia="宋体" w:cs="宋体"/>
          <w:spacing w:val="-7"/>
          <w:sz w:val="24"/>
          <w:szCs w:val="24"/>
        </w:rPr>
        <w:t>项评价的类别， 设置原则参照表</w:t>
      </w:r>
      <w:r>
        <w:rPr>
          <w:rFonts w:ascii="宋体" w:hAnsi="宋体" w:eastAsia="宋体" w:cs="宋体"/>
          <w:spacing w:val="37"/>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，确有必要的可根据建设项目环境影响程度等</w:t>
      </w:r>
      <w:r>
        <w:rPr>
          <w:rFonts w:ascii="宋体" w:hAnsi="宋体" w:eastAsia="宋体" w:cs="宋体"/>
          <w:sz w:val="24"/>
          <w:szCs w:val="24"/>
        </w:rPr>
        <w:t xml:space="preserve"> </w:t>
      </w:r>
      <w:r>
        <w:rPr>
          <w:rFonts w:ascii="宋体" w:hAnsi="宋体" w:eastAsia="宋体" w:cs="宋体"/>
          <w:spacing w:val="-13"/>
          <w:sz w:val="24"/>
          <w:szCs w:val="24"/>
        </w:rPr>
        <w:t>实际情况适当调整”，拟建项目属于专业技术服务业，</w:t>
      </w:r>
      <w:r>
        <w:rPr>
          <w:rFonts w:ascii="宋体" w:hAnsi="宋体" w:eastAsia="宋体" w:cs="宋体"/>
          <w:spacing w:val="-39"/>
          <w:sz w:val="24"/>
          <w:szCs w:val="24"/>
        </w:rPr>
        <w:t xml:space="preserve"> </w:t>
      </w:r>
      <w:r>
        <w:rPr>
          <w:rFonts w:ascii="宋体" w:hAnsi="宋体" w:eastAsia="宋体" w:cs="宋体"/>
          <w:spacing w:val="-13"/>
          <w:sz w:val="24"/>
          <w:szCs w:val="24"/>
        </w:rPr>
        <w:t>属陆地矿产资源地质勘</w:t>
      </w:r>
      <w:r>
        <w:rPr>
          <w:rFonts w:ascii="宋体" w:hAnsi="宋体" w:eastAsia="宋体" w:cs="宋体"/>
          <w:spacing w:val="-14"/>
          <w:sz w:val="24"/>
          <w:szCs w:val="24"/>
        </w:rPr>
        <w:t>查，</w:t>
      </w:r>
      <w:r>
        <w:rPr>
          <w:rFonts w:ascii="宋体" w:hAnsi="宋体" w:eastAsia="宋体" w:cs="宋体"/>
          <w:sz w:val="24"/>
          <w:szCs w:val="24"/>
        </w:rPr>
        <w:t xml:space="preserve"> </w:t>
      </w:r>
      <w:r>
        <w:rPr>
          <w:rFonts w:ascii="宋体" w:hAnsi="宋体" w:eastAsia="宋体" w:cs="宋体"/>
          <w:spacing w:val="-5"/>
          <w:sz w:val="24"/>
          <w:szCs w:val="24"/>
        </w:rPr>
        <w:t>但由于本项目为含硫化氢天然气井勘探，</w:t>
      </w:r>
      <w:r>
        <w:rPr>
          <w:rFonts w:ascii="宋体" w:hAnsi="宋体" w:eastAsia="宋体" w:cs="宋体"/>
          <w:spacing w:val="-26"/>
          <w:sz w:val="24"/>
          <w:szCs w:val="24"/>
        </w:rPr>
        <w:t xml:space="preserve"> </w:t>
      </w:r>
      <w:r>
        <w:rPr>
          <w:rFonts w:ascii="宋体" w:hAnsi="宋体" w:eastAsia="宋体" w:cs="宋体"/>
          <w:spacing w:val="-5"/>
          <w:sz w:val="24"/>
          <w:szCs w:val="24"/>
        </w:rPr>
        <w:t>环</w:t>
      </w:r>
      <w:r>
        <w:rPr>
          <w:rFonts w:ascii="宋体" w:hAnsi="宋体" w:eastAsia="宋体" w:cs="宋体"/>
          <w:spacing w:val="-6"/>
          <w:sz w:val="24"/>
          <w:szCs w:val="24"/>
        </w:rPr>
        <w:t>境风险影响的特点与陆地石油与天然</w:t>
      </w:r>
    </w:p>
    <w:p>
      <w:pPr>
        <w:spacing w:line="218" w:lineRule="auto"/>
        <w:ind w:left="39"/>
        <w:rPr>
          <w:rFonts w:ascii="宋体" w:hAnsi="宋体" w:eastAsia="宋体" w:cs="宋体"/>
          <w:sz w:val="24"/>
          <w:szCs w:val="24"/>
        </w:rPr>
      </w:pPr>
      <w:r>
        <w:rPr>
          <w:rFonts w:ascii="宋体" w:hAnsi="宋体" w:eastAsia="宋体" w:cs="宋体"/>
          <w:spacing w:val="-1"/>
          <w:sz w:val="24"/>
          <w:szCs w:val="24"/>
        </w:rPr>
        <w:t>气开采类似，因此参照“石油和天然气开采项目</w:t>
      </w:r>
      <w:r>
        <w:rPr>
          <w:rFonts w:ascii="宋体" w:hAnsi="宋体" w:eastAsia="宋体" w:cs="宋体"/>
          <w:spacing w:val="-2"/>
          <w:sz w:val="24"/>
          <w:szCs w:val="24"/>
        </w:rPr>
        <w:t>”开展环境风险专项评价。</w:t>
      </w:r>
    </w:p>
    <w:p>
      <w:pPr>
        <w:spacing w:before="196" w:line="218" w:lineRule="auto"/>
        <w:ind w:left="44"/>
        <w:rPr>
          <w:rFonts w:ascii="宋体" w:hAnsi="宋体" w:eastAsia="宋体" w:cs="宋体"/>
          <w:sz w:val="24"/>
          <w:szCs w:val="24"/>
        </w:rPr>
      </w:pPr>
      <w:bookmarkStart w:id="40" w:name="bookmark41"/>
      <w:bookmarkEnd w:id="40"/>
      <w:r>
        <w:rPr>
          <w:rFonts w:ascii="Times New Roman" w:hAnsi="Times New Roman" w:eastAsia="Times New Roman" w:cs="Times New Roman"/>
          <w:b/>
          <w:bCs/>
          <w:spacing w:val="-2"/>
          <w:sz w:val="24"/>
          <w:szCs w:val="24"/>
        </w:rPr>
        <w:t xml:space="preserve">1.3 </w:t>
      </w:r>
      <w:r>
        <w:rPr>
          <w:rFonts w:ascii="宋体" w:hAnsi="宋体" w:eastAsia="宋体" w:cs="宋体"/>
          <w:spacing w:val="-2"/>
          <w:sz w:val="24"/>
          <w:szCs w:val="24"/>
          <w14:textOutline w14:w="4354" w14:cap="flat" w14:cmpd="sng">
            <w14:solidFill>
              <w14:srgbClr w14:val="000000"/>
            </w14:solidFill>
            <w14:prstDash w14:val="solid"/>
            <w14:miter w14:val="10"/>
          </w14:textOutline>
        </w:rPr>
        <w:t>评价标准</w:t>
      </w:r>
    </w:p>
    <w:p>
      <w:pPr>
        <w:spacing w:before="198" w:line="369" w:lineRule="auto"/>
        <w:ind w:left="40" w:right="27" w:firstLine="478"/>
        <w:jc w:val="both"/>
        <w:rPr>
          <w:rFonts w:ascii="宋体" w:hAnsi="宋体" w:eastAsia="宋体" w:cs="宋体"/>
          <w:sz w:val="24"/>
          <w:szCs w:val="24"/>
        </w:rPr>
      </w:pPr>
      <w:r>
        <w:rPr>
          <w:rFonts w:ascii="宋体" w:hAnsi="宋体" w:eastAsia="宋体" w:cs="宋体"/>
          <w:spacing w:val="-5"/>
          <w:sz w:val="24"/>
          <w:szCs w:val="24"/>
        </w:rPr>
        <w:t>根据《建设项目环境风险评价技术导则》（</w:t>
      </w:r>
      <w:r>
        <w:rPr>
          <w:rFonts w:ascii="Times New Roman" w:hAnsi="Times New Roman" w:eastAsia="Times New Roman" w:cs="Times New Roman"/>
          <w:spacing w:val="-5"/>
          <w:sz w:val="24"/>
          <w:szCs w:val="24"/>
        </w:rPr>
        <w:t>HJ169-2018</w:t>
      </w:r>
      <w:r>
        <w:rPr>
          <w:rFonts w:ascii="宋体" w:hAnsi="宋体" w:eastAsia="宋体" w:cs="宋体"/>
          <w:spacing w:val="-62"/>
          <w:w w:val="98"/>
          <w:sz w:val="24"/>
          <w:szCs w:val="24"/>
        </w:rPr>
        <w:t>），</w:t>
      </w:r>
      <w:r>
        <w:rPr>
          <w:rFonts w:ascii="宋体" w:hAnsi="宋体" w:eastAsia="宋体" w:cs="宋体"/>
          <w:spacing w:val="-6"/>
          <w:sz w:val="24"/>
          <w:szCs w:val="24"/>
        </w:rPr>
        <w:t>项目大气风险评价</w:t>
      </w:r>
      <w:r>
        <w:rPr>
          <w:rFonts w:ascii="宋体" w:hAnsi="宋体" w:eastAsia="宋体" w:cs="宋体"/>
          <w:spacing w:val="3"/>
          <w:sz w:val="24"/>
          <w:szCs w:val="24"/>
        </w:rPr>
        <w:t xml:space="preserve"> </w:t>
      </w:r>
      <w:r>
        <w:rPr>
          <w:rFonts w:ascii="宋体" w:hAnsi="宋体" w:eastAsia="宋体" w:cs="宋体"/>
          <w:spacing w:val="-3"/>
          <w:sz w:val="24"/>
          <w:szCs w:val="24"/>
        </w:rPr>
        <w:t>主要采用附录</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大气毒性终点浓度作为风险预测标准，详见下表</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。地表水</w:t>
      </w:r>
      <w:r>
        <w:rPr>
          <w:rFonts w:ascii="宋体" w:hAnsi="宋体" w:eastAsia="宋体" w:cs="宋体"/>
          <w:sz w:val="24"/>
          <w:szCs w:val="24"/>
        </w:rPr>
        <w:t xml:space="preserve"> </w:t>
      </w:r>
      <w:r>
        <w:rPr>
          <w:rFonts w:ascii="宋体" w:hAnsi="宋体" w:eastAsia="宋体" w:cs="宋体"/>
          <w:spacing w:val="-1"/>
          <w:sz w:val="24"/>
          <w:szCs w:val="24"/>
        </w:rPr>
        <w:t>按照《地表水环境质量标准》（</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类水域标准；地下水按照《地</w:t>
      </w:r>
    </w:p>
    <w:p>
      <w:pPr>
        <w:spacing w:before="1" w:line="219" w:lineRule="auto"/>
        <w:ind w:left="45"/>
        <w:rPr>
          <w:rFonts w:ascii="宋体" w:hAnsi="宋体" w:eastAsia="宋体" w:cs="宋体"/>
          <w:sz w:val="24"/>
          <w:szCs w:val="24"/>
        </w:rPr>
      </w:pPr>
      <w:r>
        <w:rPr>
          <w:rFonts w:ascii="宋体" w:hAnsi="宋体" w:eastAsia="宋体" w:cs="宋体"/>
          <w:spacing w:val="-7"/>
          <w:sz w:val="24"/>
          <w:szCs w:val="24"/>
        </w:rPr>
        <w:t>下水质量标准》（</w:t>
      </w:r>
      <w:r>
        <w:rPr>
          <w:rFonts w:ascii="Times New Roman" w:hAnsi="Times New Roman" w:eastAsia="Times New Roman" w:cs="Times New Roman"/>
          <w:spacing w:val="-7"/>
          <w:sz w:val="24"/>
          <w:szCs w:val="24"/>
        </w:rPr>
        <w:t>GB/T</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7"/>
          <w:sz w:val="24"/>
          <w:szCs w:val="24"/>
        </w:rPr>
        <w:t>14848-2017</w:t>
      </w:r>
      <w:r>
        <w:rPr>
          <w:rFonts w:ascii="宋体" w:hAnsi="宋体" w:eastAsia="宋体" w:cs="宋体"/>
          <w:spacing w:val="-7"/>
          <w:sz w:val="24"/>
          <w:szCs w:val="24"/>
        </w:rPr>
        <w:t>）</w:t>
      </w:r>
      <w:r>
        <w:rPr>
          <w:rFonts w:ascii="Times New Roman" w:hAnsi="Times New Roman" w:eastAsia="Times New Roman" w:cs="Times New Roman"/>
          <w:spacing w:val="-7"/>
          <w:sz w:val="24"/>
          <w:szCs w:val="24"/>
        </w:rPr>
        <w:t>Ⅲ</w:t>
      </w:r>
      <w:r>
        <w:rPr>
          <w:rFonts w:ascii="宋体" w:hAnsi="宋体" w:eastAsia="宋体" w:cs="宋体"/>
          <w:spacing w:val="-7"/>
          <w:sz w:val="24"/>
          <w:szCs w:val="24"/>
        </w:rPr>
        <w:t>类标准。</w:t>
      </w:r>
    </w:p>
    <w:p>
      <w:pPr>
        <w:spacing w:line="219" w:lineRule="auto"/>
        <w:rPr>
          <w:rFonts w:ascii="宋体" w:hAnsi="宋体" w:eastAsia="宋体" w:cs="宋体"/>
          <w:sz w:val="24"/>
          <w:szCs w:val="24"/>
        </w:rPr>
        <w:sectPr>
          <w:footerReference r:id="rId207" w:type="default"/>
          <w:pgSz w:w="11907" w:h="16839"/>
          <w:pgMar w:top="1123" w:right="1766" w:bottom="1149" w:left="1769" w:header="1108" w:footer="988" w:gutter="0"/>
          <w:cols w:space="720" w:num="1"/>
        </w:sectPr>
      </w:pPr>
    </w:p>
    <w:p>
      <w:pPr>
        <w:pStyle w:val="2"/>
        <w:spacing w:line="296" w:lineRule="auto"/>
        <w:rPr>
          <w:sz w:val="21"/>
        </w:rPr>
      </w:pPr>
    </w:p>
    <w:p>
      <w:pPr>
        <w:pStyle w:val="2"/>
        <w:spacing w:line="297" w:lineRule="auto"/>
        <w:rPr>
          <w:sz w:val="21"/>
        </w:rPr>
      </w:pPr>
    </w:p>
    <w:p>
      <w:pPr>
        <w:pStyle w:val="2"/>
        <w:spacing w:line="297" w:lineRule="auto"/>
        <w:rPr>
          <w:sz w:val="21"/>
        </w:rPr>
      </w:pPr>
    </w:p>
    <w:p>
      <w:pPr>
        <w:spacing w:before="78" w:line="220" w:lineRule="auto"/>
        <w:ind w:left="249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1"/>
          <w:sz w:val="24"/>
          <w:szCs w:val="24"/>
        </w:rPr>
        <w:t xml:space="preserve">1.3-1      </w:t>
      </w:r>
      <w:r>
        <w:rPr>
          <w:rFonts w:ascii="宋体" w:hAnsi="宋体" w:eastAsia="宋体" w:cs="宋体"/>
          <w:spacing w:val="-1"/>
          <w:sz w:val="24"/>
          <w:szCs w:val="24"/>
          <w14:textOutline w14:w="4354" w14:cap="flat" w14:cmpd="sng">
            <w14:solidFill>
              <w14:srgbClr w14:val="000000"/>
            </w14:solidFill>
            <w14:prstDash w14:val="solid"/>
            <w14:miter w14:val="10"/>
          </w14:textOutline>
        </w:rPr>
        <w:t>大气毒性终点浓度标准</w:t>
      </w:r>
    </w:p>
    <w:p>
      <w:pPr>
        <w:spacing w:line="1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45"/>
        <w:gridCol w:w="2692"/>
        <w:gridCol w:w="26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145" w:type="dxa"/>
            <w:tcBorders>
              <w:tl2br w:val="single" w:color="000000" w:sz="2" w:space="0"/>
            </w:tcBorders>
            <w:vAlign w:val="top"/>
          </w:tcPr>
          <w:p>
            <w:pPr>
              <w:pStyle w:val="6"/>
              <w:spacing w:before="33" w:line="221" w:lineRule="auto"/>
              <w:ind w:left="2204"/>
              <w:rPr>
                <w:sz w:val="21"/>
                <w:szCs w:val="21"/>
              </w:rPr>
            </w:pPr>
            <w:r>
              <w:rPr>
                <w:spacing w:val="-2"/>
                <w:sz w:val="21"/>
                <w:szCs w:val="21"/>
              </w:rPr>
              <w:t>取值时间</w:t>
            </w:r>
          </w:p>
          <w:p>
            <w:pPr>
              <w:pStyle w:val="6"/>
              <w:spacing w:before="22" w:line="207" w:lineRule="auto"/>
              <w:ind w:left="117"/>
              <w:rPr>
                <w:sz w:val="21"/>
                <w:szCs w:val="21"/>
              </w:rPr>
            </w:pPr>
            <w:r>
              <w:rPr>
                <w:spacing w:val="-2"/>
                <w:sz w:val="21"/>
                <w:szCs w:val="21"/>
              </w:rPr>
              <w:t>污染物</w:t>
            </w:r>
          </w:p>
        </w:tc>
        <w:tc>
          <w:tcPr>
            <w:tcW w:w="2692" w:type="dxa"/>
            <w:vAlign w:val="top"/>
          </w:tcPr>
          <w:p>
            <w:pPr>
              <w:pStyle w:val="6"/>
              <w:spacing w:before="171" w:line="213" w:lineRule="auto"/>
              <w:ind w:left="114"/>
              <w:rPr>
                <w:sz w:val="21"/>
                <w:szCs w:val="21"/>
              </w:rPr>
            </w:pPr>
            <w:r>
              <w:rPr>
                <w:spacing w:val="-2"/>
                <w:sz w:val="21"/>
                <w:szCs w:val="21"/>
              </w:rPr>
              <w:t>毒性终点浓度</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4"/>
                <w:sz w:val="21"/>
                <w:szCs w:val="21"/>
              </w:rPr>
              <w:t xml:space="preserve"> </w:t>
            </w:r>
            <w:r>
              <w:rPr>
                <w:rFonts w:ascii="Times New Roman" w:hAnsi="Times New Roman" w:eastAsia="Times New Roman" w:cs="Times New Roman"/>
                <w:spacing w:val="-2"/>
                <w:sz w:val="21"/>
                <w:szCs w:val="21"/>
              </w:rPr>
              <w:t>1/</w:t>
            </w:r>
            <w:r>
              <w:rPr>
                <w:spacing w:val="-2"/>
                <w:sz w:val="21"/>
                <w:szCs w:val="21"/>
              </w:rPr>
              <w:t>（</w:t>
            </w:r>
            <w:r>
              <w:rPr>
                <w:rFonts w:ascii="Times New Roman" w:hAnsi="Times New Roman" w:eastAsia="Times New Roman" w:cs="Times New Roman"/>
                <w:spacing w:val="-2"/>
                <w:sz w:val="21"/>
                <w:szCs w:val="21"/>
              </w:rPr>
              <w:t>mg/m</w:t>
            </w:r>
            <w:r>
              <w:rPr>
                <w:rFonts w:ascii="Times New Roman" w:hAnsi="Times New Roman" w:eastAsia="Times New Roman" w:cs="Times New Roman"/>
                <w:spacing w:val="-2"/>
                <w:position w:val="6"/>
                <w:sz w:val="13"/>
                <w:szCs w:val="13"/>
              </w:rPr>
              <w:t>3</w:t>
            </w:r>
            <w:r>
              <w:rPr>
                <w:spacing w:val="-2"/>
                <w:sz w:val="21"/>
                <w:szCs w:val="21"/>
              </w:rPr>
              <w:t>）</w:t>
            </w:r>
          </w:p>
        </w:tc>
        <w:tc>
          <w:tcPr>
            <w:tcW w:w="2696" w:type="dxa"/>
            <w:vAlign w:val="top"/>
          </w:tcPr>
          <w:p>
            <w:pPr>
              <w:pStyle w:val="6"/>
              <w:spacing w:before="171" w:line="213" w:lineRule="auto"/>
              <w:ind w:left="116"/>
              <w:rPr>
                <w:sz w:val="21"/>
                <w:szCs w:val="21"/>
              </w:rPr>
            </w:pPr>
            <w:r>
              <w:rPr>
                <w:spacing w:val="-1"/>
                <w:sz w:val="21"/>
                <w:szCs w:val="21"/>
              </w:rPr>
              <w:t>毒性终点浓度</w:t>
            </w:r>
            <w:r>
              <w:rPr>
                <w:rFonts w:ascii="Times New Roman" w:hAnsi="Times New Roman" w:eastAsia="Times New Roman" w:cs="Times New Roman"/>
                <w:spacing w:val="-1"/>
                <w:sz w:val="21"/>
                <w:szCs w:val="21"/>
              </w:rPr>
              <w:t>-2/</w:t>
            </w:r>
            <w:r>
              <w:rPr>
                <w:spacing w:val="-1"/>
                <w:sz w:val="21"/>
                <w:szCs w:val="21"/>
              </w:rPr>
              <w:t>（</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6"/>
                <w:sz w:val="13"/>
                <w:szCs w:val="13"/>
              </w:rPr>
              <w:t>3</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145" w:type="dxa"/>
            <w:vAlign w:val="top"/>
          </w:tcPr>
          <w:p>
            <w:pPr>
              <w:pStyle w:val="6"/>
              <w:spacing w:before="64" w:line="222" w:lineRule="auto"/>
              <w:ind w:left="1262"/>
              <w:rPr>
                <w:sz w:val="21"/>
                <w:szCs w:val="21"/>
              </w:rPr>
            </w:pPr>
            <w:r>
              <w:rPr>
                <w:spacing w:val="-1"/>
                <w:sz w:val="21"/>
                <w:szCs w:val="21"/>
              </w:rPr>
              <w:t>硫化氢</w:t>
            </w:r>
          </w:p>
        </w:tc>
        <w:tc>
          <w:tcPr>
            <w:tcW w:w="2692" w:type="dxa"/>
            <w:vAlign w:val="top"/>
          </w:tcPr>
          <w:p>
            <w:pPr>
              <w:spacing w:before="102" w:line="187" w:lineRule="auto"/>
              <w:ind w:left="1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2696" w:type="dxa"/>
            <w:vAlign w:val="top"/>
          </w:tcPr>
          <w:p>
            <w:pPr>
              <w:spacing w:before="102" w:line="187" w:lineRule="auto"/>
              <w:ind w:left="1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145" w:type="dxa"/>
            <w:vAlign w:val="top"/>
          </w:tcPr>
          <w:p>
            <w:pPr>
              <w:pStyle w:val="6"/>
              <w:spacing w:before="65" w:line="220" w:lineRule="auto"/>
              <w:ind w:left="1160"/>
              <w:rPr>
                <w:sz w:val="21"/>
                <w:szCs w:val="21"/>
              </w:rPr>
            </w:pPr>
            <w:r>
              <w:rPr>
                <w:spacing w:val="-3"/>
                <w:sz w:val="21"/>
                <w:szCs w:val="21"/>
              </w:rPr>
              <w:t>二氧化硫</w:t>
            </w:r>
          </w:p>
        </w:tc>
        <w:tc>
          <w:tcPr>
            <w:tcW w:w="2692" w:type="dxa"/>
            <w:vAlign w:val="top"/>
          </w:tcPr>
          <w:p>
            <w:pPr>
              <w:spacing w:before="104" w:line="187" w:lineRule="auto"/>
              <w:ind w:left="1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2696" w:type="dxa"/>
            <w:vAlign w:val="top"/>
          </w:tcPr>
          <w:p>
            <w:pPr>
              <w:spacing w:before="104" w:line="187" w:lineRule="auto"/>
              <w:ind w:left="129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145" w:type="dxa"/>
            <w:vAlign w:val="top"/>
          </w:tcPr>
          <w:p>
            <w:pPr>
              <w:pStyle w:val="6"/>
              <w:spacing w:before="67" w:line="221" w:lineRule="auto"/>
              <w:ind w:left="1396"/>
              <w:rPr>
                <w:sz w:val="21"/>
                <w:szCs w:val="21"/>
              </w:rPr>
            </w:pPr>
            <w:r>
              <w:rPr>
                <w:spacing w:val="-9"/>
                <w:sz w:val="21"/>
                <w:szCs w:val="21"/>
              </w:rPr>
              <w:t>甲烷</w:t>
            </w:r>
          </w:p>
        </w:tc>
        <w:tc>
          <w:tcPr>
            <w:tcW w:w="2692" w:type="dxa"/>
            <w:vAlign w:val="top"/>
          </w:tcPr>
          <w:p>
            <w:pPr>
              <w:spacing w:before="105" w:line="187" w:lineRule="auto"/>
              <w:ind w:left="10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260000</w:t>
            </w:r>
          </w:p>
        </w:tc>
        <w:tc>
          <w:tcPr>
            <w:tcW w:w="2696" w:type="dxa"/>
            <w:vAlign w:val="top"/>
          </w:tcPr>
          <w:p>
            <w:pPr>
              <w:spacing w:before="105" w:line="187" w:lineRule="auto"/>
              <w:ind w:left="10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150000</w:t>
            </w:r>
          </w:p>
        </w:tc>
      </w:tr>
    </w:tbl>
    <w:p>
      <w:pPr>
        <w:spacing w:before="177" w:line="480" w:lineRule="exact"/>
        <w:jc w:val="right"/>
        <w:rPr>
          <w:rFonts w:ascii="宋体" w:hAnsi="宋体" w:eastAsia="宋体" w:cs="宋体"/>
          <w:sz w:val="24"/>
          <w:szCs w:val="24"/>
        </w:rPr>
      </w:pPr>
      <w:r>
        <w:rPr>
          <w:rFonts w:ascii="宋体" w:hAnsi="宋体" w:eastAsia="宋体" w:cs="宋体"/>
          <w:spacing w:val="-10"/>
          <w:position w:val="18"/>
          <w:sz w:val="24"/>
          <w:szCs w:val="24"/>
        </w:rPr>
        <w:t>其他参考浓度：《含硫化氢天然气井公众危害程</w:t>
      </w:r>
      <w:r>
        <w:rPr>
          <w:rFonts w:ascii="宋体" w:hAnsi="宋体" w:eastAsia="宋体" w:cs="宋体"/>
          <w:spacing w:val="-11"/>
          <w:position w:val="18"/>
          <w:sz w:val="24"/>
          <w:szCs w:val="24"/>
        </w:rPr>
        <w:t>度分级方法》（</w:t>
      </w:r>
      <w:r>
        <w:rPr>
          <w:rFonts w:ascii="Times New Roman" w:hAnsi="Times New Roman" w:eastAsia="Times New Roman" w:cs="Times New Roman"/>
          <w:spacing w:val="-11"/>
          <w:position w:val="18"/>
          <w:sz w:val="24"/>
          <w:szCs w:val="24"/>
        </w:rPr>
        <w:t>AQ2017-2008</w:t>
      </w:r>
      <w:r>
        <w:rPr>
          <w:rFonts w:ascii="宋体" w:hAnsi="宋体" w:eastAsia="宋体" w:cs="宋体"/>
          <w:spacing w:val="-11"/>
          <w:position w:val="18"/>
          <w:sz w:val="24"/>
          <w:szCs w:val="24"/>
        </w:rPr>
        <w:t>）</w:t>
      </w:r>
    </w:p>
    <w:p>
      <w:pPr>
        <w:spacing w:line="212" w:lineRule="auto"/>
        <w:ind w:left="121"/>
        <w:rPr>
          <w:rFonts w:ascii="宋体" w:hAnsi="宋体" w:eastAsia="宋体" w:cs="宋体"/>
          <w:sz w:val="24"/>
          <w:szCs w:val="24"/>
        </w:rPr>
      </w:pPr>
      <w:r>
        <w:rPr>
          <w:rFonts w:ascii="宋体" w:hAnsi="宋体" w:eastAsia="宋体" w:cs="宋体"/>
          <w:spacing w:val="-1"/>
          <w:sz w:val="24"/>
          <w:szCs w:val="24"/>
        </w:rPr>
        <w:t>硫化氢立即危害生命或健康浓度</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432.40mg/m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w:t>
      </w:r>
    </w:p>
    <w:p>
      <w:pPr>
        <w:spacing w:line="212" w:lineRule="auto"/>
        <w:rPr>
          <w:rFonts w:ascii="宋体" w:hAnsi="宋体" w:eastAsia="宋体" w:cs="宋体"/>
          <w:sz w:val="24"/>
          <w:szCs w:val="24"/>
        </w:rPr>
        <w:sectPr>
          <w:headerReference r:id="rId208" w:type="default"/>
          <w:footerReference r:id="rId209" w:type="default"/>
          <w:pgSz w:w="11907" w:h="16839"/>
          <w:pgMar w:top="1123" w:right="1682" w:bottom="1149" w:left="1685" w:header="1108" w:footer="988" w:gutter="0"/>
          <w:cols w:space="720" w:num="1"/>
        </w:sectPr>
      </w:pPr>
    </w:p>
    <w:p>
      <w:pPr>
        <w:pStyle w:val="2"/>
        <w:spacing w:line="254" w:lineRule="auto"/>
        <w:rPr>
          <w:sz w:val="21"/>
        </w:rPr>
      </w:pPr>
    </w:p>
    <w:p>
      <w:pPr>
        <w:spacing w:before="117" w:line="220" w:lineRule="auto"/>
        <w:ind w:left="3419"/>
        <w:rPr>
          <w:rFonts w:ascii="宋体" w:hAnsi="宋体" w:eastAsia="宋体" w:cs="宋体"/>
          <w:sz w:val="36"/>
          <w:szCs w:val="36"/>
        </w:rPr>
      </w:pPr>
      <w:bookmarkStart w:id="41" w:name="bookmark43"/>
      <w:bookmarkEnd w:id="41"/>
      <w:bookmarkStart w:id="42" w:name="bookmark42"/>
      <w:bookmarkEnd w:id="42"/>
      <w:r>
        <w:rPr>
          <w:rFonts w:ascii="Times New Roman" w:hAnsi="Times New Roman" w:eastAsia="Times New Roman" w:cs="Times New Roman"/>
          <w:b/>
          <w:bCs/>
          <w:spacing w:val="-4"/>
          <w:sz w:val="36"/>
          <w:szCs w:val="36"/>
        </w:rPr>
        <w:t>2</w:t>
      </w:r>
      <w:r>
        <w:rPr>
          <w:rFonts w:ascii="Times New Roman" w:hAnsi="Times New Roman" w:eastAsia="Times New Roman" w:cs="Times New Roman"/>
          <w:b/>
          <w:bCs/>
          <w:spacing w:val="16"/>
          <w:sz w:val="36"/>
          <w:szCs w:val="36"/>
        </w:rPr>
        <w:t xml:space="preserve"> </w:t>
      </w:r>
      <w:r>
        <w:rPr>
          <w:rFonts w:ascii="宋体" w:hAnsi="宋体" w:eastAsia="宋体" w:cs="宋体"/>
          <w:spacing w:val="-4"/>
          <w:sz w:val="36"/>
          <w:szCs w:val="36"/>
          <w14:textOutline w14:w="6531" w14:cap="flat" w14:cmpd="sng">
            <w14:solidFill>
              <w14:srgbClr w14:val="000000"/>
            </w14:solidFill>
            <w14:prstDash w14:val="solid"/>
            <w14:miter w14:val="10"/>
          </w14:textOutline>
        </w:rPr>
        <w:t>风险调查</w:t>
      </w:r>
    </w:p>
    <w:p>
      <w:pPr>
        <w:pStyle w:val="2"/>
        <w:spacing w:line="314" w:lineRule="auto"/>
        <w:rPr>
          <w:sz w:val="21"/>
        </w:rPr>
      </w:pPr>
    </w:p>
    <w:p>
      <w:pPr>
        <w:spacing w:before="78" w:line="220" w:lineRule="auto"/>
        <w:ind w:left="118"/>
        <w:rPr>
          <w:rFonts w:ascii="宋体" w:hAnsi="宋体" w:eastAsia="宋体" w:cs="宋体"/>
          <w:sz w:val="24"/>
          <w:szCs w:val="24"/>
        </w:rPr>
      </w:pPr>
      <w:r>
        <w:rPr>
          <w:rFonts w:ascii="Times New Roman" w:hAnsi="Times New Roman" w:eastAsia="Times New Roman" w:cs="Times New Roman"/>
          <w:b/>
          <w:bCs/>
          <w:sz w:val="24"/>
          <w:szCs w:val="24"/>
        </w:rPr>
        <w:t xml:space="preserve">2.1 </w:t>
      </w:r>
      <w:r>
        <w:rPr>
          <w:rFonts w:ascii="宋体" w:hAnsi="宋体" w:eastAsia="宋体" w:cs="宋体"/>
          <w:sz w:val="24"/>
          <w:szCs w:val="24"/>
          <w14:textOutline w14:w="4354" w14:cap="flat" w14:cmpd="sng">
            <w14:solidFill>
              <w14:srgbClr w14:val="000000"/>
            </w14:solidFill>
            <w14:prstDash w14:val="solid"/>
            <w14:miter w14:val="10"/>
          </w14:textOutline>
        </w:rPr>
        <w:t>项目风险源调查</w:t>
      </w:r>
    </w:p>
    <w:p>
      <w:pPr>
        <w:spacing w:before="195" w:line="369" w:lineRule="auto"/>
        <w:ind w:left="122" w:right="111" w:firstLine="480"/>
        <w:rPr>
          <w:rFonts w:ascii="宋体" w:hAnsi="宋体" w:eastAsia="宋体" w:cs="宋体"/>
          <w:sz w:val="24"/>
          <w:szCs w:val="24"/>
        </w:rPr>
      </w:pPr>
      <w:r>
        <w:rPr>
          <w:rFonts w:ascii="宋体" w:hAnsi="宋体" w:eastAsia="宋体" w:cs="宋体"/>
          <w:spacing w:val="-10"/>
          <w:sz w:val="24"/>
          <w:szCs w:val="24"/>
        </w:rPr>
        <w:t>本风险评价将以《建设项目环境风险评价技术导则》（</w:t>
      </w:r>
      <w:r>
        <w:rPr>
          <w:rFonts w:ascii="Times New Roman" w:hAnsi="Times New Roman" w:eastAsia="Times New Roman" w:cs="Times New Roman"/>
          <w:spacing w:val="-10"/>
          <w:sz w:val="24"/>
          <w:szCs w:val="24"/>
        </w:rPr>
        <w:t>HJ169-2018</w:t>
      </w:r>
      <w:r>
        <w:rPr>
          <w:rFonts w:ascii="宋体" w:hAnsi="宋体" w:eastAsia="宋体" w:cs="宋体"/>
          <w:spacing w:val="-10"/>
          <w:sz w:val="24"/>
          <w:szCs w:val="24"/>
        </w:rPr>
        <w:t>）为指导，</w:t>
      </w:r>
      <w:r>
        <w:rPr>
          <w:rFonts w:ascii="宋体" w:hAnsi="宋体" w:eastAsia="宋体" w:cs="宋体"/>
          <w:spacing w:val="10"/>
          <w:sz w:val="24"/>
          <w:szCs w:val="24"/>
        </w:rPr>
        <w:t xml:space="preserve"> </w:t>
      </w:r>
      <w:r>
        <w:rPr>
          <w:rFonts w:ascii="宋体" w:hAnsi="宋体" w:eastAsia="宋体" w:cs="宋体"/>
          <w:spacing w:val="-10"/>
          <w:sz w:val="24"/>
          <w:szCs w:val="24"/>
        </w:rPr>
        <w:t>结合《危险化学品重大危险源辨识》（</w:t>
      </w:r>
      <w:r>
        <w:rPr>
          <w:rFonts w:ascii="Times New Roman" w:hAnsi="Times New Roman" w:eastAsia="Times New Roman" w:cs="Times New Roman"/>
          <w:spacing w:val="-10"/>
          <w:sz w:val="24"/>
          <w:szCs w:val="24"/>
        </w:rPr>
        <w:t>GB18218-2018</w:t>
      </w:r>
      <w:r>
        <w:rPr>
          <w:rFonts w:ascii="宋体" w:hAnsi="宋体" w:eastAsia="宋体" w:cs="宋体"/>
          <w:spacing w:val="-10"/>
          <w:sz w:val="24"/>
          <w:szCs w:val="24"/>
        </w:rPr>
        <w:t>）、《企业突发环境事件风险</w:t>
      </w:r>
      <w:r>
        <w:rPr>
          <w:rFonts w:ascii="宋体" w:hAnsi="宋体" w:eastAsia="宋体" w:cs="宋体"/>
          <w:spacing w:val="18"/>
          <w:sz w:val="24"/>
          <w:szCs w:val="24"/>
        </w:rPr>
        <w:t xml:space="preserve"> </w:t>
      </w:r>
      <w:r>
        <w:rPr>
          <w:rFonts w:ascii="宋体" w:hAnsi="宋体" w:eastAsia="宋体" w:cs="宋体"/>
          <w:spacing w:val="-8"/>
          <w:sz w:val="24"/>
          <w:szCs w:val="24"/>
        </w:rPr>
        <w:t>分级方法》（</w:t>
      </w:r>
      <w:r>
        <w:rPr>
          <w:rFonts w:ascii="Times New Roman" w:hAnsi="Times New Roman" w:eastAsia="Times New Roman" w:cs="Times New Roman"/>
          <w:spacing w:val="-8"/>
          <w:sz w:val="24"/>
          <w:szCs w:val="24"/>
        </w:rPr>
        <w:t>HJ941-2018</w:t>
      </w:r>
      <w:r>
        <w:rPr>
          <w:rFonts w:ascii="宋体" w:hAnsi="宋体" w:eastAsia="宋体" w:cs="宋体"/>
          <w:spacing w:val="-8"/>
          <w:sz w:val="24"/>
          <w:szCs w:val="24"/>
        </w:rPr>
        <w:t>）、《石油天然气工程设计防火规范》（</w:t>
      </w:r>
      <w:r>
        <w:rPr>
          <w:rFonts w:ascii="Times New Roman" w:hAnsi="Times New Roman" w:eastAsia="Times New Roman" w:cs="Times New Roman"/>
          <w:spacing w:val="-8"/>
          <w:sz w:val="24"/>
          <w:szCs w:val="24"/>
        </w:rPr>
        <w:t>GB5018</w:t>
      </w:r>
      <w:r>
        <w:rPr>
          <w:rFonts w:ascii="Times New Roman" w:hAnsi="Times New Roman" w:eastAsia="Times New Roman" w:cs="Times New Roman"/>
          <w:spacing w:val="-9"/>
          <w:sz w:val="24"/>
          <w:szCs w:val="24"/>
        </w:rPr>
        <w:t>3-2015</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9"/>
          <w:sz w:val="24"/>
          <w:szCs w:val="24"/>
        </w:rPr>
        <w:t>等，</w:t>
      </w:r>
      <w:r>
        <w:rPr>
          <w:rFonts w:ascii="宋体" w:hAnsi="宋体" w:eastAsia="宋体" w:cs="宋体"/>
          <w:spacing w:val="-51"/>
          <w:sz w:val="24"/>
          <w:szCs w:val="24"/>
        </w:rPr>
        <w:t xml:space="preserve"> </w:t>
      </w:r>
      <w:r>
        <w:rPr>
          <w:rFonts w:ascii="宋体" w:hAnsi="宋体" w:eastAsia="宋体" w:cs="宋体"/>
          <w:spacing w:val="-9"/>
          <w:sz w:val="24"/>
          <w:szCs w:val="24"/>
        </w:rPr>
        <w:t>通过风险调查、风险识别、风险预测与评价</w:t>
      </w:r>
      <w:r>
        <w:rPr>
          <w:rFonts w:ascii="宋体" w:hAnsi="宋体" w:eastAsia="宋体" w:cs="宋体"/>
          <w:spacing w:val="-10"/>
          <w:sz w:val="24"/>
          <w:szCs w:val="24"/>
        </w:rPr>
        <w:t>，</w:t>
      </w:r>
      <w:r>
        <w:rPr>
          <w:rFonts w:ascii="宋体" w:hAnsi="宋体" w:eastAsia="宋体" w:cs="宋体"/>
          <w:spacing w:val="43"/>
          <w:sz w:val="24"/>
          <w:szCs w:val="24"/>
        </w:rPr>
        <w:t xml:space="preserve"> </w:t>
      </w:r>
      <w:r>
        <w:rPr>
          <w:rFonts w:ascii="宋体" w:hAnsi="宋体" w:eastAsia="宋体" w:cs="宋体"/>
          <w:spacing w:val="-10"/>
          <w:sz w:val="24"/>
          <w:szCs w:val="24"/>
        </w:rPr>
        <w:t>提出本项目的风险防范措施和</w:t>
      </w:r>
      <w:r>
        <w:rPr>
          <w:rFonts w:ascii="宋体" w:hAnsi="宋体" w:eastAsia="宋体" w:cs="宋体"/>
          <w:sz w:val="24"/>
          <w:szCs w:val="24"/>
        </w:rPr>
        <w:t xml:space="preserve"> </w:t>
      </w:r>
      <w:r>
        <w:rPr>
          <w:rFonts w:ascii="宋体" w:hAnsi="宋体" w:eastAsia="宋体" w:cs="宋体"/>
          <w:spacing w:val="-9"/>
          <w:sz w:val="24"/>
          <w:szCs w:val="24"/>
        </w:rPr>
        <w:t>应急预案， 为工程建设和环境管理提供技术决策依据， 把环境风险尽可</w:t>
      </w:r>
      <w:r>
        <w:rPr>
          <w:rFonts w:ascii="宋体" w:hAnsi="宋体" w:eastAsia="宋体" w:cs="宋体"/>
          <w:spacing w:val="-10"/>
          <w:sz w:val="24"/>
          <w:szCs w:val="24"/>
        </w:rPr>
        <w:t>能降低至</w:t>
      </w:r>
    </w:p>
    <w:p>
      <w:pPr>
        <w:spacing w:line="219" w:lineRule="auto"/>
        <w:ind w:left="124"/>
        <w:rPr>
          <w:rFonts w:ascii="宋体" w:hAnsi="宋体" w:eastAsia="宋体" w:cs="宋体"/>
          <w:sz w:val="24"/>
          <w:szCs w:val="24"/>
        </w:rPr>
      </w:pPr>
      <w:r>
        <w:rPr>
          <w:rFonts w:ascii="宋体" w:hAnsi="宋体" w:eastAsia="宋体" w:cs="宋体"/>
          <w:spacing w:val="-7"/>
          <w:sz w:val="24"/>
          <w:szCs w:val="24"/>
        </w:rPr>
        <w:t>可接受水平。</w:t>
      </w:r>
    </w:p>
    <w:p>
      <w:pPr>
        <w:spacing w:before="195" w:line="369" w:lineRule="auto"/>
        <w:ind w:left="124" w:right="149" w:firstLine="478"/>
        <w:rPr>
          <w:rFonts w:ascii="宋体" w:hAnsi="宋体" w:eastAsia="宋体" w:cs="宋体"/>
          <w:sz w:val="24"/>
          <w:szCs w:val="24"/>
        </w:rPr>
      </w:pPr>
      <w:r>
        <w:rPr>
          <w:rFonts w:ascii="宋体" w:hAnsi="宋体" w:eastAsia="宋体" w:cs="宋体"/>
          <w:spacing w:val="-14"/>
          <w:sz w:val="24"/>
          <w:szCs w:val="24"/>
        </w:rPr>
        <w:t>钻井过程中可能涉及的主要危险物质为</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CH</w:t>
      </w:r>
      <w:r>
        <w:rPr>
          <w:rFonts w:ascii="Times New Roman" w:hAnsi="Times New Roman" w:eastAsia="Times New Roman" w:cs="Times New Roman"/>
          <w:spacing w:val="-14"/>
          <w:position w:val="-1"/>
          <w:sz w:val="16"/>
          <w:szCs w:val="16"/>
        </w:rPr>
        <w:t>4</w:t>
      </w:r>
      <w:r>
        <w:rPr>
          <w:rFonts w:ascii="宋体" w:hAnsi="宋体" w:eastAsia="宋体" w:cs="宋体"/>
          <w:spacing w:val="-14"/>
          <w:sz w:val="24"/>
          <w:szCs w:val="24"/>
        </w:rPr>
        <w:t>（易燃易爆）、</w:t>
      </w:r>
      <w:r>
        <w:rPr>
          <w:rFonts w:ascii="Times New Roman" w:hAnsi="Times New Roman" w:eastAsia="Times New Roman" w:cs="Times New Roman"/>
          <w:spacing w:val="-14"/>
          <w:sz w:val="24"/>
          <w:szCs w:val="24"/>
        </w:rPr>
        <w:t>H</w:t>
      </w:r>
      <w:r>
        <w:rPr>
          <w:rFonts w:ascii="Times New Roman" w:hAnsi="Times New Roman" w:eastAsia="Times New Roman" w:cs="Times New Roman"/>
          <w:spacing w:val="-14"/>
          <w:position w:val="-1"/>
          <w:sz w:val="16"/>
          <w:szCs w:val="16"/>
        </w:rPr>
        <w:t>2</w:t>
      </w:r>
      <w:r>
        <w:rPr>
          <w:rFonts w:ascii="Times New Roman" w:hAnsi="Times New Roman" w:eastAsia="Times New Roman" w:cs="Times New Roman"/>
          <w:spacing w:val="-24"/>
          <w:position w:val="-1"/>
          <w:sz w:val="16"/>
          <w:szCs w:val="16"/>
        </w:rPr>
        <w:t xml:space="preserve"> </w:t>
      </w:r>
      <w:r>
        <w:rPr>
          <w:rFonts w:ascii="Times New Roman" w:hAnsi="Times New Roman" w:eastAsia="Times New Roman" w:cs="Times New Roman"/>
          <w:spacing w:val="-14"/>
          <w:sz w:val="24"/>
          <w:szCs w:val="24"/>
        </w:rPr>
        <w:t>S</w:t>
      </w:r>
      <w:r>
        <w:rPr>
          <w:rFonts w:ascii="宋体" w:hAnsi="宋体" w:eastAsia="宋体" w:cs="宋体"/>
          <w:spacing w:val="-14"/>
          <w:sz w:val="24"/>
          <w:szCs w:val="24"/>
        </w:rPr>
        <w:t>（易燃易爆</w:t>
      </w:r>
      <w:r>
        <w:rPr>
          <w:rFonts w:ascii="宋体" w:hAnsi="宋体" w:eastAsia="宋体" w:cs="宋体"/>
          <w:spacing w:val="-25"/>
          <w:sz w:val="24"/>
          <w:szCs w:val="24"/>
        </w:rPr>
        <w:t>），</w:t>
      </w:r>
      <w:r>
        <w:rPr>
          <w:rFonts w:ascii="宋体" w:hAnsi="宋体" w:eastAsia="宋体" w:cs="宋体"/>
          <w:sz w:val="24"/>
          <w:szCs w:val="24"/>
        </w:rPr>
        <w:t xml:space="preserve"> </w:t>
      </w:r>
      <w:r>
        <w:rPr>
          <w:rFonts w:ascii="宋体" w:hAnsi="宋体" w:eastAsia="宋体" w:cs="宋体"/>
          <w:spacing w:val="-10"/>
          <w:sz w:val="24"/>
          <w:szCs w:val="24"/>
        </w:rPr>
        <w:t>涉及的风险物质还包括钻井过程中使用的柴油</w:t>
      </w:r>
      <w:r>
        <w:rPr>
          <w:rFonts w:ascii="宋体" w:hAnsi="宋体" w:eastAsia="宋体" w:cs="宋体"/>
          <w:spacing w:val="-11"/>
          <w:sz w:val="24"/>
          <w:szCs w:val="24"/>
        </w:rPr>
        <w:t>、白油、废油、稀盐酸、油基泥浆、</w:t>
      </w:r>
    </w:p>
    <w:p>
      <w:pPr>
        <w:spacing w:line="220" w:lineRule="auto"/>
        <w:ind w:left="126"/>
        <w:rPr>
          <w:rFonts w:ascii="宋体" w:hAnsi="宋体" w:eastAsia="宋体" w:cs="宋体"/>
          <w:sz w:val="24"/>
          <w:szCs w:val="24"/>
        </w:rPr>
      </w:pPr>
      <w:r>
        <w:rPr>
          <w:rFonts w:ascii="宋体" w:hAnsi="宋体" w:eastAsia="宋体" w:cs="宋体"/>
          <w:spacing w:val="-8"/>
          <w:sz w:val="24"/>
          <w:szCs w:val="24"/>
        </w:rPr>
        <w:t>油基岩屑。</w:t>
      </w:r>
    </w:p>
    <w:p>
      <w:pPr>
        <w:spacing w:before="194" w:line="480" w:lineRule="exact"/>
        <w:ind w:left="118"/>
        <w:rPr>
          <w:rFonts w:ascii="宋体" w:hAnsi="宋体" w:eastAsia="宋体" w:cs="宋体"/>
          <w:sz w:val="24"/>
          <w:szCs w:val="24"/>
        </w:rPr>
      </w:pPr>
      <w:r>
        <w:rPr>
          <w:rFonts w:ascii="Times New Roman" w:hAnsi="Times New Roman" w:eastAsia="Times New Roman" w:cs="Times New Roman"/>
          <w:b/>
          <w:bCs/>
          <w:position w:val="18"/>
          <w:sz w:val="24"/>
          <w:szCs w:val="24"/>
        </w:rPr>
        <w:t xml:space="preserve">2.1.1 </w:t>
      </w:r>
      <w:r>
        <w:rPr>
          <w:rFonts w:ascii="宋体" w:hAnsi="宋体" w:eastAsia="宋体" w:cs="宋体"/>
          <w:position w:val="18"/>
          <w:sz w:val="24"/>
          <w:szCs w:val="24"/>
          <w14:textOutline w14:w="4354" w14:cap="flat" w14:cmpd="sng">
            <w14:solidFill>
              <w14:srgbClr w14:val="000000"/>
            </w14:solidFill>
            <w14:prstDash w14:val="solid"/>
            <w14:miter w14:val="10"/>
          </w14:textOutline>
        </w:rPr>
        <w:t>风险物质</w:t>
      </w:r>
      <w:r>
        <w:rPr>
          <w:rFonts w:hint="eastAsia" w:ascii="宋体" w:hAnsi="宋体" w:eastAsia="宋体" w:cs="宋体"/>
          <w:position w:val="18"/>
          <w:sz w:val="24"/>
          <w:szCs w:val="24"/>
          <w:lang w:val="en-US" w:eastAsia="zh-CN"/>
          <w14:textOutline w14:w="4354" w14:cap="flat" w14:cmpd="sng">
            <w14:solidFill>
              <w14:srgbClr w14:val="000000"/>
            </w14:solidFill>
            <w14:prstDash w14:val="solid"/>
            <w14:miter w14:val="10"/>
          </w14:textOutline>
        </w:rPr>
        <w:t>量</w:t>
      </w:r>
      <w:r>
        <w:rPr>
          <w:rFonts w:ascii="宋体" w:hAnsi="宋体" w:eastAsia="宋体" w:cs="宋体"/>
          <w:position w:val="18"/>
          <w:sz w:val="24"/>
          <w:szCs w:val="24"/>
          <w14:textOutline w14:w="4354" w14:cap="flat" w14:cmpd="sng">
            <w14:solidFill>
              <w14:srgbClr w14:val="000000"/>
            </w14:solidFill>
            <w14:prstDash w14:val="solid"/>
            <w14:miter w14:val="10"/>
          </w14:textOutline>
        </w:rPr>
        <w:t>大在线量</w:t>
      </w:r>
    </w:p>
    <w:p>
      <w:pPr>
        <w:spacing w:line="217" w:lineRule="auto"/>
        <w:ind w:left="603"/>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①</w:t>
      </w:r>
      <w:r>
        <w:rPr>
          <w:rFonts w:ascii="Times New Roman" w:hAnsi="Times New Roman" w:eastAsia="Times New Roman" w:cs="Times New Roman"/>
          <w:b/>
          <w:bCs/>
          <w:spacing w:val="-3"/>
          <w:sz w:val="24"/>
          <w:szCs w:val="24"/>
        </w:rPr>
        <w:t>CH</w:t>
      </w:r>
      <w:r>
        <w:rPr>
          <w:rFonts w:ascii="Times New Roman" w:hAnsi="Times New Roman" w:eastAsia="Times New Roman" w:cs="Times New Roman"/>
          <w:b/>
          <w:bCs/>
          <w:spacing w:val="-3"/>
          <w:sz w:val="16"/>
          <w:szCs w:val="16"/>
        </w:rPr>
        <w:t>4</w:t>
      </w:r>
      <w:r>
        <w:rPr>
          <w:rFonts w:ascii="宋体" w:hAnsi="宋体" w:eastAsia="宋体" w:cs="宋体"/>
          <w:spacing w:val="-3"/>
          <w:sz w:val="24"/>
          <w:szCs w:val="24"/>
          <w14:textOutline w14:w="4354" w14:cap="flat" w14:cmpd="sng">
            <w14:solidFill>
              <w14:srgbClr w14:val="000000"/>
            </w14:solidFill>
            <w14:prstDash w14:val="solid"/>
            <w14:miter w14:val="10"/>
          </w14:textOutline>
        </w:rPr>
        <w:t>、硫化氢</w:t>
      </w:r>
    </w:p>
    <w:p>
      <w:pPr>
        <w:spacing w:before="198" w:line="369" w:lineRule="auto"/>
        <w:ind w:left="126" w:right="28" w:firstLine="476"/>
        <w:rPr>
          <w:rFonts w:ascii="宋体" w:hAnsi="宋体" w:eastAsia="宋体" w:cs="宋体"/>
          <w:sz w:val="24"/>
          <w:szCs w:val="24"/>
        </w:rPr>
      </w:pPr>
      <w:r>
        <w:rPr>
          <w:rFonts w:ascii="宋体" w:hAnsi="宋体" w:eastAsia="宋体" w:cs="宋体"/>
          <w:spacing w:val="-10"/>
          <w:sz w:val="24"/>
          <w:szCs w:val="24"/>
        </w:rPr>
        <w:t>本工程钻井为风险探井，属天然气勘探工程，</w:t>
      </w:r>
      <w:r>
        <w:rPr>
          <w:rFonts w:ascii="宋体" w:hAnsi="宋体" w:eastAsia="宋体" w:cs="宋体"/>
          <w:spacing w:val="-35"/>
          <w:sz w:val="24"/>
          <w:szCs w:val="24"/>
        </w:rPr>
        <w:t xml:space="preserve"> </w:t>
      </w:r>
      <w:r>
        <w:rPr>
          <w:rFonts w:ascii="宋体" w:hAnsi="宋体" w:eastAsia="宋体" w:cs="宋体"/>
          <w:spacing w:val="-10"/>
          <w:sz w:val="24"/>
          <w:szCs w:val="24"/>
        </w:rPr>
        <w:t>本次评价气质组成和无阻流量。</w:t>
      </w:r>
      <w:r>
        <w:rPr>
          <w:rFonts w:ascii="宋体" w:hAnsi="宋体" w:eastAsia="宋体" w:cs="宋体"/>
          <w:sz w:val="24"/>
          <w:szCs w:val="24"/>
        </w:rPr>
        <w:t xml:space="preserve"> </w:t>
      </w:r>
      <w:r>
        <w:rPr>
          <w:rFonts w:ascii="宋体" w:hAnsi="宋体" w:eastAsia="宋体" w:cs="宋体"/>
          <w:spacing w:val="-6"/>
          <w:sz w:val="24"/>
          <w:szCs w:val="24"/>
        </w:rPr>
        <w:t>天然气气质组成和测试流量均属不确定因素，</w:t>
      </w:r>
      <w:r>
        <w:rPr>
          <w:rFonts w:ascii="宋体" w:hAnsi="宋体" w:eastAsia="宋体" w:cs="宋体"/>
          <w:spacing w:val="-14"/>
          <w:sz w:val="24"/>
          <w:szCs w:val="24"/>
        </w:rPr>
        <w:t xml:space="preserve"> </w:t>
      </w:r>
      <w:r>
        <w:rPr>
          <w:rFonts w:ascii="宋体" w:hAnsi="宋体" w:eastAsia="宋体" w:cs="宋体"/>
          <w:spacing w:val="-6"/>
          <w:sz w:val="24"/>
          <w:szCs w:val="24"/>
        </w:rPr>
        <w:t>参考周边井位实测数据进行评价分</w:t>
      </w:r>
    </w:p>
    <w:p>
      <w:pPr>
        <w:spacing w:before="1" w:line="220" w:lineRule="auto"/>
        <w:ind w:left="124"/>
        <w:rPr>
          <w:rFonts w:ascii="宋体" w:hAnsi="宋体" w:eastAsia="宋体" w:cs="宋体"/>
          <w:sz w:val="24"/>
          <w:szCs w:val="24"/>
        </w:rPr>
      </w:pPr>
      <w:r>
        <w:rPr>
          <w:rFonts w:ascii="宋体" w:hAnsi="宋体" w:eastAsia="宋体" w:cs="宋体"/>
          <w:spacing w:val="-12"/>
          <w:sz w:val="24"/>
          <w:szCs w:val="24"/>
        </w:rPr>
        <w:t>析。</w:t>
      </w:r>
    </w:p>
    <w:p>
      <w:pPr>
        <w:spacing w:before="194" w:line="369" w:lineRule="auto"/>
        <w:ind w:left="140" w:right="110" w:firstLine="461"/>
        <w:rPr>
          <w:rFonts w:ascii="宋体" w:hAnsi="宋体" w:eastAsia="宋体" w:cs="宋体"/>
          <w:sz w:val="24"/>
          <w:szCs w:val="24"/>
        </w:rPr>
      </w:pPr>
      <w:r>
        <w:rPr>
          <w:rFonts w:ascii="宋体" w:hAnsi="宋体" w:eastAsia="宋体" w:cs="宋体"/>
          <w:spacing w:val="-7"/>
          <w:sz w:val="24"/>
          <w:szCs w:val="24"/>
        </w:rPr>
        <w:t xml:space="preserve">根据《凤探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井钻井地质设计》，</w:t>
      </w:r>
      <w:r>
        <w:rPr>
          <w:rFonts w:ascii="宋体" w:hAnsi="宋体" w:eastAsia="宋体" w:cs="宋体"/>
          <w:spacing w:val="-72"/>
          <w:sz w:val="24"/>
          <w:szCs w:val="24"/>
        </w:rPr>
        <w:t xml:space="preserve"> </w:t>
      </w:r>
      <w:r>
        <w:rPr>
          <w:rFonts w:ascii="宋体" w:hAnsi="宋体" w:eastAsia="宋体" w:cs="宋体"/>
          <w:spacing w:val="-7"/>
          <w:sz w:val="24"/>
          <w:szCs w:val="24"/>
        </w:rPr>
        <w:t>由于区块内无钻遇石炭系以下地层的井，</w:t>
      </w:r>
      <w:r>
        <w:rPr>
          <w:rFonts w:ascii="宋体" w:hAnsi="宋体" w:eastAsia="宋体" w:cs="宋体"/>
          <w:sz w:val="24"/>
          <w:szCs w:val="24"/>
        </w:rPr>
        <w:t xml:space="preserve"> </w:t>
      </w:r>
      <w:r>
        <w:rPr>
          <w:rFonts w:ascii="宋体" w:hAnsi="宋体" w:eastAsia="宋体" w:cs="宋体"/>
          <w:spacing w:val="-5"/>
          <w:sz w:val="24"/>
          <w:szCs w:val="24"/>
        </w:rPr>
        <w:t>因此本项目气质组分报告同时参考平安</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井、龙岗</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井、龙岗</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18 </w:t>
      </w:r>
      <w:r>
        <w:rPr>
          <w:rFonts w:ascii="宋体" w:hAnsi="宋体" w:eastAsia="宋体" w:cs="宋体"/>
          <w:spacing w:val="-5"/>
          <w:sz w:val="24"/>
          <w:szCs w:val="24"/>
        </w:rPr>
        <w:t>井、龙</w:t>
      </w:r>
      <w:r>
        <w:rPr>
          <w:rFonts w:ascii="宋体" w:hAnsi="宋体" w:eastAsia="宋体" w:cs="宋体"/>
          <w:spacing w:val="-6"/>
          <w:sz w:val="24"/>
          <w:szCs w:val="24"/>
        </w:rPr>
        <w:t>岗</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 xml:space="preserve">26 </w:t>
      </w:r>
      <w:r>
        <w:rPr>
          <w:rFonts w:ascii="宋体" w:hAnsi="宋体" w:eastAsia="宋体" w:cs="宋体"/>
          <w:spacing w:val="-6"/>
          <w:sz w:val="24"/>
          <w:szCs w:val="24"/>
        </w:rPr>
        <w:t>井</w:t>
      </w:r>
    </w:p>
    <w:p>
      <w:pPr>
        <w:spacing w:before="1" w:line="219" w:lineRule="auto"/>
        <w:ind w:left="141"/>
        <w:rPr>
          <w:rFonts w:ascii="宋体" w:hAnsi="宋体" w:eastAsia="宋体" w:cs="宋体"/>
          <w:sz w:val="24"/>
          <w:szCs w:val="24"/>
        </w:rPr>
      </w:pPr>
      <w:r>
        <w:rPr>
          <w:rFonts w:ascii="宋体" w:hAnsi="宋体" w:eastAsia="宋体" w:cs="宋体"/>
          <w:spacing w:val="-5"/>
          <w:sz w:val="24"/>
          <w:szCs w:val="24"/>
        </w:rPr>
        <w:t>的气质测试结果，详见下表。</w:t>
      </w:r>
    </w:p>
    <w:p>
      <w:pPr>
        <w:spacing w:before="194" w:line="220" w:lineRule="auto"/>
        <w:ind w:left="2641"/>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1"/>
          <w:sz w:val="24"/>
          <w:szCs w:val="24"/>
        </w:rPr>
        <w:t xml:space="preserve">2.4-1 </w:t>
      </w:r>
      <w:r>
        <w:rPr>
          <w:rFonts w:ascii="宋体" w:hAnsi="宋体" w:eastAsia="宋体" w:cs="宋体"/>
          <w:spacing w:val="-1"/>
          <w:sz w:val="24"/>
          <w:szCs w:val="24"/>
          <w14:textOutline w14:w="4354" w14:cap="flat" w14:cmpd="sng">
            <w14:solidFill>
              <w14:srgbClr w14:val="000000"/>
            </w14:solidFill>
            <w14:prstDash w14:val="solid"/>
            <w14:miter w14:val="10"/>
          </w14:textOutline>
        </w:rPr>
        <w:t>天然气分析数据统计表</w:t>
      </w:r>
    </w:p>
    <w:p>
      <w:pPr>
        <w:spacing w:line="1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406"/>
        <w:gridCol w:w="1830"/>
        <w:gridCol w:w="1509"/>
        <w:gridCol w:w="1417"/>
        <w:gridCol w:w="1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0" w:hRule="atLeast"/>
        </w:trPr>
        <w:tc>
          <w:tcPr>
            <w:tcW w:w="2368" w:type="dxa"/>
            <w:gridSpan w:val="2"/>
            <w:vAlign w:val="top"/>
          </w:tcPr>
          <w:p>
            <w:pPr>
              <w:pStyle w:val="6"/>
              <w:spacing w:before="68" w:line="221" w:lineRule="auto"/>
              <w:ind w:left="979"/>
              <w:rPr>
                <w:sz w:val="21"/>
                <w:szCs w:val="21"/>
              </w:rPr>
            </w:pPr>
            <w:r>
              <w:rPr>
                <w:spacing w:val="-2"/>
                <w:sz w:val="21"/>
                <w:szCs w:val="21"/>
              </w:rPr>
              <w:t>井位</w:t>
            </w:r>
          </w:p>
        </w:tc>
        <w:tc>
          <w:tcPr>
            <w:tcW w:w="1830" w:type="dxa"/>
            <w:vAlign w:val="top"/>
          </w:tcPr>
          <w:p>
            <w:pPr>
              <w:pStyle w:val="6"/>
              <w:spacing w:before="68" w:line="221" w:lineRule="auto"/>
              <w:ind w:left="498"/>
              <w:rPr>
                <w:sz w:val="21"/>
                <w:szCs w:val="21"/>
              </w:rPr>
            </w:pPr>
            <w:r>
              <w:rPr>
                <w:spacing w:val="-8"/>
                <w:sz w:val="21"/>
                <w:szCs w:val="21"/>
              </w:rPr>
              <w:t>平安</w:t>
            </w:r>
            <w:r>
              <w:rPr>
                <w:spacing w:val="-26"/>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6"/>
                <w:sz w:val="21"/>
                <w:szCs w:val="21"/>
              </w:rPr>
              <w:t xml:space="preserve"> </w:t>
            </w:r>
            <w:r>
              <w:rPr>
                <w:spacing w:val="-8"/>
                <w:sz w:val="21"/>
                <w:szCs w:val="21"/>
              </w:rPr>
              <w:t>井</w:t>
            </w:r>
          </w:p>
        </w:tc>
        <w:tc>
          <w:tcPr>
            <w:tcW w:w="1509" w:type="dxa"/>
            <w:vAlign w:val="top"/>
          </w:tcPr>
          <w:p>
            <w:pPr>
              <w:pStyle w:val="6"/>
              <w:spacing w:before="67" w:line="221" w:lineRule="auto"/>
              <w:ind w:left="341"/>
              <w:rPr>
                <w:sz w:val="21"/>
                <w:szCs w:val="21"/>
              </w:rPr>
            </w:pPr>
            <w:r>
              <w:rPr>
                <w:spacing w:val="-8"/>
                <w:sz w:val="21"/>
                <w:szCs w:val="21"/>
              </w:rPr>
              <w:t>龙岗</w:t>
            </w:r>
            <w:r>
              <w:rPr>
                <w:spacing w:val="-28"/>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6"/>
                <w:sz w:val="21"/>
                <w:szCs w:val="21"/>
              </w:rPr>
              <w:t xml:space="preserve"> </w:t>
            </w:r>
            <w:r>
              <w:rPr>
                <w:spacing w:val="-8"/>
                <w:sz w:val="21"/>
                <w:szCs w:val="21"/>
              </w:rPr>
              <w:t>井</w:t>
            </w:r>
          </w:p>
        </w:tc>
        <w:tc>
          <w:tcPr>
            <w:tcW w:w="1417" w:type="dxa"/>
            <w:vAlign w:val="top"/>
          </w:tcPr>
          <w:p>
            <w:pPr>
              <w:pStyle w:val="6"/>
              <w:spacing w:before="67" w:line="221" w:lineRule="auto"/>
              <w:ind w:left="241"/>
              <w:rPr>
                <w:sz w:val="21"/>
                <w:szCs w:val="21"/>
              </w:rPr>
            </w:pPr>
            <w:r>
              <w:rPr>
                <w:spacing w:val="-7"/>
                <w:sz w:val="21"/>
                <w:szCs w:val="21"/>
              </w:rPr>
              <w:t>龙岗</w:t>
            </w:r>
            <w:r>
              <w:rPr>
                <w:spacing w:val="-27"/>
                <w:sz w:val="21"/>
                <w:szCs w:val="21"/>
              </w:rPr>
              <w:t xml:space="preserve"> </w:t>
            </w:r>
            <w:r>
              <w:rPr>
                <w:rFonts w:ascii="Times New Roman" w:hAnsi="Times New Roman" w:eastAsia="Times New Roman" w:cs="Times New Roman"/>
                <w:spacing w:val="-7"/>
                <w:sz w:val="21"/>
                <w:szCs w:val="21"/>
              </w:rPr>
              <w:t>18</w:t>
            </w:r>
            <w:r>
              <w:rPr>
                <w:rFonts w:ascii="Times New Roman" w:hAnsi="Times New Roman" w:eastAsia="Times New Roman" w:cs="Times New Roman"/>
                <w:spacing w:val="8"/>
                <w:sz w:val="21"/>
                <w:szCs w:val="21"/>
              </w:rPr>
              <w:t xml:space="preserve"> </w:t>
            </w:r>
            <w:r>
              <w:rPr>
                <w:spacing w:val="-7"/>
                <w:sz w:val="21"/>
                <w:szCs w:val="21"/>
              </w:rPr>
              <w:t>井</w:t>
            </w:r>
          </w:p>
        </w:tc>
        <w:tc>
          <w:tcPr>
            <w:tcW w:w="1409" w:type="dxa"/>
            <w:vAlign w:val="top"/>
          </w:tcPr>
          <w:p>
            <w:pPr>
              <w:pStyle w:val="6"/>
              <w:spacing w:before="67" w:line="221" w:lineRule="auto"/>
              <w:ind w:left="237"/>
              <w:rPr>
                <w:sz w:val="21"/>
                <w:szCs w:val="21"/>
              </w:rPr>
            </w:pPr>
            <w:r>
              <w:rPr>
                <w:spacing w:val="-3"/>
                <w:sz w:val="21"/>
                <w:szCs w:val="21"/>
              </w:rPr>
              <w:t>龙岗</w:t>
            </w:r>
            <w:r>
              <w:rPr>
                <w:spacing w:val="-47"/>
                <w:sz w:val="21"/>
                <w:szCs w:val="21"/>
              </w:rPr>
              <w:t xml:space="preserve"> </w:t>
            </w:r>
            <w:r>
              <w:rPr>
                <w:rFonts w:ascii="Times New Roman" w:hAnsi="Times New Roman" w:eastAsia="Times New Roman" w:cs="Times New Roman"/>
                <w:spacing w:val="-3"/>
                <w:sz w:val="21"/>
                <w:szCs w:val="21"/>
              </w:rPr>
              <w:t>26</w:t>
            </w:r>
            <w:r>
              <w:rPr>
                <w:rFonts w:ascii="Times New Roman" w:hAnsi="Times New Roman" w:eastAsia="Times New Roman" w:cs="Times New Roman"/>
                <w:spacing w:val="9"/>
                <w:sz w:val="21"/>
                <w:szCs w:val="21"/>
              </w:rPr>
              <w:t xml:space="preserve"> </w:t>
            </w:r>
            <w:r>
              <w:rPr>
                <w:spacing w:val="-3"/>
                <w:sz w:val="21"/>
                <w:szCs w:val="21"/>
              </w:rPr>
              <w:t>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368" w:type="dxa"/>
            <w:gridSpan w:val="2"/>
            <w:vAlign w:val="top"/>
          </w:tcPr>
          <w:p>
            <w:pPr>
              <w:pStyle w:val="6"/>
              <w:spacing w:before="62" w:line="221" w:lineRule="auto"/>
              <w:ind w:left="979"/>
              <w:rPr>
                <w:sz w:val="21"/>
                <w:szCs w:val="21"/>
              </w:rPr>
            </w:pPr>
            <w:r>
              <w:rPr>
                <w:spacing w:val="-2"/>
                <w:sz w:val="21"/>
                <w:szCs w:val="21"/>
              </w:rPr>
              <w:t>层位</w:t>
            </w:r>
          </w:p>
        </w:tc>
        <w:tc>
          <w:tcPr>
            <w:tcW w:w="1830" w:type="dxa"/>
            <w:vAlign w:val="top"/>
          </w:tcPr>
          <w:p>
            <w:pPr>
              <w:pStyle w:val="6"/>
              <w:spacing w:before="62" w:line="221" w:lineRule="auto"/>
              <w:ind w:left="501"/>
              <w:rPr>
                <w:sz w:val="21"/>
                <w:szCs w:val="21"/>
              </w:rPr>
            </w:pPr>
            <w:r>
              <w:rPr>
                <w:spacing w:val="-2"/>
                <w:sz w:val="21"/>
                <w:szCs w:val="21"/>
              </w:rPr>
              <w:t>凉高山组</w:t>
            </w:r>
          </w:p>
        </w:tc>
        <w:tc>
          <w:tcPr>
            <w:tcW w:w="1509" w:type="dxa"/>
            <w:vAlign w:val="top"/>
          </w:tcPr>
          <w:p>
            <w:pPr>
              <w:pStyle w:val="6"/>
              <w:spacing w:before="63" w:line="222" w:lineRule="auto"/>
              <w:ind w:left="137"/>
              <w:rPr>
                <w:sz w:val="21"/>
                <w:szCs w:val="21"/>
              </w:rPr>
            </w:pPr>
            <w:r>
              <w:rPr>
                <w:spacing w:val="-2"/>
                <w:sz w:val="21"/>
                <w:szCs w:val="21"/>
              </w:rPr>
              <w:t>飞三～飞一段</w:t>
            </w:r>
          </w:p>
        </w:tc>
        <w:tc>
          <w:tcPr>
            <w:tcW w:w="1417" w:type="dxa"/>
            <w:vAlign w:val="top"/>
          </w:tcPr>
          <w:p>
            <w:pPr>
              <w:pStyle w:val="6"/>
              <w:spacing w:before="63" w:line="222" w:lineRule="auto"/>
              <w:ind w:left="399"/>
              <w:rPr>
                <w:sz w:val="21"/>
                <w:szCs w:val="21"/>
              </w:rPr>
            </w:pPr>
            <w:r>
              <w:rPr>
                <w:spacing w:val="-3"/>
                <w:sz w:val="21"/>
                <w:szCs w:val="21"/>
              </w:rPr>
              <w:t>沙一段</w:t>
            </w:r>
          </w:p>
        </w:tc>
        <w:tc>
          <w:tcPr>
            <w:tcW w:w="1409" w:type="dxa"/>
            <w:vAlign w:val="top"/>
          </w:tcPr>
          <w:p>
            <w:pPr>
              <w:pStyle w:val="6"/>
              <w:spacing w:before="62" w:line="221" w:lineRule="auto"/>
              <w:ind w:left="295"/>
              <w:rPr>
                <w:sz w:val="21"/>
                <w:szCs w:val="21"/>
              </w:rPr>
            </w:pPr>
            <w:r>
              <w:rPr>
                <w:spacing w:val="-3"/>
                <w:sz w:val="21"/>
                <w:szCs w:val="21"/>
              </w:rPr>
              <w:t>飞仙关组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8" w:line="239" w:lineRule="auto"/>
              <w:ind w:left="333" w:right="160" w:hanging="160"/>
              <w:rPr>
                <w:rFonts w:ascii="Times New Roman" w:hAnsi="Times New Roman" w:eastAsia="Times New Roman" w:cs="Times New Roman"/>
                <w:sz w:val="21"/>
                <w:szCs w:val="21"/>
              </w:rPr>
            </w:pPr>
            <w:r>
              <w:rPr>
                <w:spacing w:val="-3"/>
                <w:sz w:val="21"/>
                <w:szCs w:val="21"/>
              </w:rPr>
              <w:t>分析项</w:t>
            </w:r>
            <w:r>
              <w:rPr>
                <w:sz w:val="21"/>
                <w:szCs w:val="21"/>
              </w:rPr>
              <w:t xml:space="preserve"> </w:t>
            </w:r>
            <w:r>
              <w:rPr>
                <w:spacing w:val="-24"/>
                <w:sz w:val="21"/>
                <w:szCs w:val="21"/>
              </w:rPr>
              <w:t>目</w:t>
            </w:r>
            <w:r>
              <w:rPr>
                <w:rFonts w:ascii="Times New Roman" w:hAnsi="Times New Roman" w:eastAsia="Times New Roman" w:cs="Times New Roman"/>
                <w:spacing w:val="-24"/>
                <w:sz w:val="21"/>
                <w:szCs w:val="21"/>
              </w:rPr>
              <w:t>%</w:t>
            </w:r>
          </w:p>
        </w:tc>
        <w:tc>
          <w:tcPr>
            <w:tcW w:w="1406" w:type="dxa"/>
            <w:vAlign w:val="top"/>
          </w:tcPr>
          <w:p>
            <w:pPr>
              <w:pStyle w:val="6"/>
              <w:spacing w:before="66" w:line="222" w:lineRule="auto"/>
              <w:ind w:left="598"/>
              <w:rPr>
                <w:sz w:val="21"/>
                <w:szCs w:val="21"/>
              </w:rPr>
            </w:pPr>
            <w:r>
              <w:rPr>
                <w:sz w:val="21"/>
                <w:szCs w:val="21"/>
              </w:rPr>
              <w:t>氢</w:t>
            </w:r>
          </w:p>
        </w:tc>
        <w:tc>
          <w:tcPr>
            <w:tcW w:w="1830" w:type="dxa"/>
            <w:vAlign w:val="top"/>
          </w:tcPr>
          <w:p>
            <w:pPr>
              <w:spacing w:before="105" w:line="187" w:lineRule="auto"/>
              <w:ind w:left="6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0.072</w:t>
            </w:r>
          </w:p>
        </w:tc>
        <w:tc>
          <w:tcPr>
            <w:tcW w:w="1509" w:type="dxa"/>
            <w:vAlign w:val="top"/>
          </w:tcPr>
          <w:p>
            <w:pPr>
              <w:spacing w:before="105"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5"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0.11</w:t>
            </w:r>
          </w:p>
        </w:tc>
        <w:tc>
          <w:tcPr>
            <w:tcW w:w="1409" w:type="dxa"/>
            <w:vAlign w:val="top"/>
          </w:tcPr>
          <w:p>
            <w:pPr>
              <w:spacing w:before="105"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6" w:line="223" w:lineRule="auto"/>
              <w:ind w:left="599"/>
              <w:rPr>
                <w:sz w:val="21"/>
                <w:szCs w:val="21"/>
              </w:rPr>
            </w:pPr>
            <w:r>
              <w:rPr>
                <w:sz w:val="21"/>
                <w:szCs w:val="21"/>
              </w:rPr>
              <w:t>氦</w:t>
            </w:r>
          </w:p>
        </w:tc>
        <w:tc>
          <w:tcPr>
            <w:tcW w:w="1830" w:type="dxa"/>
            <w:vAlign w:val="top"/>
          </w:tcPr>
          <w:p>
            <w:pPr>
              <w:spacing w:before="105"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0.0192</w:t>
            </w:r>
          </w:p>
        </w:tc>
        <w:tc>
          <w:tcPr>
            <w:tcW w:w="1509" w:type="dxa"/>
            <w:vAlign w:val="top"/>
          </w:tcPr>
          <w:p>
            <w:pPr>
              <w:spacing w:before="105"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5"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1409" w:type="dxa"/>
            <w:vAlign w:val="top"/>
          </w:tcPr>
          <w:p>
            <w:pPr>
              <w:spacing w:before="105"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5" w:line="220" w:lineRule="auto"/>
              <w:ind w:left="597"/>
              <w:rPr>
                <w:sz w:val="21"/>
                <w:szCs w:val="21"/>
              </w:rPr>
            </w:pPr>
            <w:r>
              <w:rPr>
                <w:sz w:val="21"/>
                <w:szCs w:val="21"/>
              </w:rPr>
              <w:t>氮</w:t>
            </w:r>
          </w:p>
        </w:tc>
        <w:tc>
          <w:tcPr>
            <w:tcW w:w="1830" w:type="dxa"/>
            <w:vAlign w:val="top"/>
          </w:tcPr>
          <w:p>
            <w:pPr>
              <w:spacing w:before="103" w:line="187" w:lineRule="auto"/>
              <w:ind w:left="7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0.83</w:t>
            </w:r>
          </w:p>
        </w:tc>
        <w:tc>
          <w:tcPr>
            <w:tcW w:w="1509" w:type="dxa"/>
            <w:vAlign w:val="top"/>
          </w:tcPr>
          <w:p>
            <w:pPr>
              <w:spacing w:before="103" w:line="18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0.98</w:t>
            </w:r>
          </w:p>
        </w:tc>
        <w:tc>
          <w:tcPr>
            <w:tcW w:w="1417" w:type="dxa"/>
            <w:vAlign w:val="top"/>
          </w:tcPr>
          <w:p>
            <w:pPr>
              <w:spacing w:before="103" w:line="187" w:lineRule="auto"/>
              <w:ind w:left="4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63.62</w:t>
            </w:r>
          </w:p>
        </w:tc>
        <w:tc>
          <w:tcPr>
            <w:tcW w:w="1409" w:type="dxa"/>
            <w:vAlign w:val="top"/>
          </w:tcPr>
          <w:p>
            <w:pPr>
              <w:spacing w:before="103"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6" w:line="222" w:lineRule="auto"/>
              <w:ind w:left="389"/>
              <w:rPr>
                <w:sz w:val="21"/>
                <w:szCs w:val="21"/>
              </w:rPr>
            </w:pPr>
            <w:r>
              <w:rPr>
                <w:spacing w:val="-1"/>
                <w:sz w:val="21"/>
                <w:szCs w:val="21"/>
              </w:rPr>
              <w:t>硫化氢</w:t>
            </w:r>
          </w:p>
        </w:tc>
        <w:tc>
          <w:tcPr>
            <w:tcW w:w="1830" w:type="dxa"/>
            <w:vAlign w:val="top"/>
          </w:tcPr>
          <w:p>
            <w:pPr>
              <w:pStyle w:val="6"/>
              <w:spacing w:before="66" w:line="236"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4" w:line="187" w:lineRule="auto"/>
              <w:ind w:left="5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1.95</w:t>
            </w:r>
          </w:p>
        </w:tc>
        <w:tc>
          <w:tcPr>
            <w:tcW w:w="1417" w:type="dxa"/>
            <w:vAlign w:val="top"/>
          </w:tcPr>
          <w:p>
            <w:pPr>
              <w:spacing w:before="104"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09" w:type="dxa"/>
            <w:vAlign w:val="top"/>
          </w:tcPr>
          <w:p>
            <w:pPr>
              <w:spacing w:before="104"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6" w:line="220" w:lineRule="auto"/>
              <w:ind w:left="287"/>
              <w:rPr>
                <w:sz w:val="21"/>
                <w:szCs w:val="21"/>
              </w:rPr>
            </w:pPr>
            <w:r>
              <w:rPr>
                <w:spacing w:val="-3"/>
                <w:sz w:val="21"/>
                <w:szCs w:val="21"/>
              </w:rPr>
              <w:t>二氧化碳</w:t>
            </w:r>
          </w:p>
        </w:tc>
        <w:tc>
          <w:tcPr>
            <w:tcW w:w="1830" w:type="dxa"/>
            <w:vAlign w:val="top"/>
          </w:tcPr>
          <w:p>
            <w:pPr>
              <w:spacing w:before="105" w:line="187" w:lineRule="auto"/>
              <w:ind w:left="7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1509" w:type="dxa"/>
            <w:vAlign w:val="top"/>
          </w:tcPr>
          <w:p>
            <w:pPr>
              <w:spacing w:before="105"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2.85</w:t>
            </w:r>
          </w:p>
        </w:tc>
        <w:tc>
          <w:tcPr>
            <w:tcW w:w="1417" w:type="dxa"/>
            <w:vAlign w:val="top"/>
          </w:tcPr>
          <w:p>
            <w:pPr>
              <w:spacing w:before="105"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w:t>
            </w:r>
          </w:p>
        </w:tc>
        <w:tc>
          <w:tcPr>
            <w:tcW w:w="1409" w:type="dxa"/>
            <w:vAlign w:val="top"/>
          </w:tcPr>
          <w:p>
            <w:pPr>
              <w:spacing w:before="105" w:line="187" w:lineRule="auto"/>
              <w:ind w:left="5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7" w:line="221" w:lineRule="auto"/>
              <w:ind w:left="522"/>
              <w:rPr>
                <w:sz w:val="21"/>
                <w:szCs w:val="21"/>
              </w:rPr>
            </w:pPr>
            <w:r>
              <w:rPr>
                <w:spacing w:val="-9"/>
                <w:sz w:val="21"/>
                <w:szCs w:val="21"/>
              </w:rPr>
              <w:t>甲烷</w:t>
            </w:r>
          </w:p>
        </w:tc>
        <w:tc>
          <w:tcPr>
            <w:tcW w:w="1830" w:type="dxa"/>
            <w:vAlign w:val="top"/>
          </w:tcPr>
          <w:p>
            <w:pPr>
              <w:spacing w:before="105"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92.6288</w:t>
            </w:r>
          </w:p>
        </w:tc>
        <w:tc>
          <w:tcPr>
            <w:tcW w:w="1509" w:type="dxa"/>
            <w:vAlign w:val="top"/>
          </w:tcPr>
          <w:p>
            <w:pPr>
              <w:spacing w:before="105" w:line="187" w:lineRule="auto"/>
              <w:ind w:left="5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94.14</w:t>
            </w:r>
          </w:p>
        </w:tc>
        <w:tc>
          <w:tcPr>
            <w:tcW w:w="1417" w:type="dxa"/>
            <w:vAlign w:val="top"/>
          </w:tcPr>
          <w:p>
            <w:pPr>
              <w:spacing w:before="105"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33.78</w:t>
            </w:r>
          </w:p>
        </w:tc>
        <w:tc>
          <w:tcPr>
            <w:tcW w:w="1409" w:type="dxa"/>
            <w:vAlign w:val="top"/>
          </w:tcPr>
          <w:p>
            <w:pPr>
              <w:spacing w:before="105"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70" w:line="221" w:lineRule="auto"/>
              <w:ind w:left="516"/>
              <w:rPr>
                <w:sz w:val="21"/>
                <w:szCs w:val="21"/>
              </w:rPr>
            </w:pPr>
            <w:r>
              <w:rPr>
                <w:spacing w:val="-7"/>
                <w:sz w:val="21"/>
                <w:szCs w:val="21"/>
              </w:rPr>
              <w:t>乙烷</w:t>
            </w:r>
          </w:p>
        </w:tc>
        <w:tc>
          <w:tcPr>
            <w:tcW w:w="1830" w:type="dxa"/>
            <w:vAlign w:val="top"/>
          </w:tcPr>
          <w:p>
            <w:pPr>
              <w:spacing w:before="108" w:line="187" w:lineRule="auto"/>
              <w:ind w:left="7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1.97</w:t>
            </w:r>
          </w:p>
        </w:tc>
        <w:tc>
          <w:tcPr>
            <w:tcW w:w="1509" w:type="dxa"/>
            <w:vAlign w:val="top"/>
          </w:tcPr>
          <w:p>
            <w:pPr>
              <w:spacing w:before="108" w:line="18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w:t>
            </w:r>
          </w:p>
        </w:tc>
        <w:tc>
          <w:tcPr>
            <w:tcW w:w="1417" w:type="dxa"/>
            <w:vAlign w:val="top"/>
          </w:tcPr>
          <w:p>
            <w:pPr>
              <w:spacing w:before="108" w:line="187" w:lineRule="auto"/>
              <w:ind w:left="54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1.08</w:t>
            </w:r>
          </w:p>
        </w:tc>
        <w:tc>
          <w:tcPr>
            <w:tcW w:w="1409" w:type="dxa"/>
            <w:vAlign w:val="top"/>
          </w:tcPr>
          <w:p>
            <w:pPr>
              <w:spacing w:before="108"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71" w:line="221" w:lineRule="auto"/>
              <w:ind w:left="499"/>
              <w:rPr>
                <w:sz w:val="21"/>
                <w:szCs w:val="21"/>
              </w:rPr>
            </w:pPr>
            <w:r>
              <w:rPr>
                <w:spacing w:val="-3"/>
                <w:sz w:val="21"/>
                <w:szCs w:val="21"/>
              </w:rPr>
              <w:t>丙烷</w:t>
            </w:r>
          </w:p>
        </w:tc>
        <w:tc>
          <w:tcPr>
            <w:tcW w:w="1830" w:type="dxa"/>
            <w:vAlign w:val="top"/>
          </w:tcPr>
          <w:p>
            <w:pPr>
              <w:pStyle w:val="6"/>
              <w:spacing w:before="71" w:line="232"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9"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9"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w:t>
            </w:r>
          </w:p>
        </w:tc>
        <w:tc>
          <w:tcPr>
            <w:tcW w:w="1409" w:type="dxa"/>
            <w:vAlign w:val="top"/>
          </w:tcPr>
          <w:p>
            <w:pPr>
              <w:spacing w:before="109"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62" w:type="dxa"/>
            <w:vMerge w:val="continue"/>
            <w:tcBorders>
              <w:top w:val="nil"/>
            </w:tcBorders>
            <w:vAlign w:val="top"/>
          </w:tcPr>
          <w:p>
            <w:pPr>
              <w:rPr>
                <w:rFonts w:ascii="Arial"/>
                <w:sz w:val="21"/>
              </w:rPr>
            </w:pPr>
          </w:p>
        </w:tc>
        <w:tc>
          <w:tcPr>
            <w:tcW w:w="1406" w:type="dxa"/>
            <w:vAlign w:val="top"/>
          </w:tcPr>
          <w:p>
            <w:pPr>
              <w:pStyle w:val="6"/>
              <w:spacing w:before="68" w:line="221" w:lineRule="auto"/>
              <w:ind w:left="392"/>
              <w:rPr>
                <w:sz w:val="21"/>
                <w:szCs w:val="21"/>
              </w:rPr>
            </w:pPr>
            <w:r>
              <w:rPr>
                <w:spacing w:val="-2"/>
                <w:sz w:val="21"/>
                <w:szCs w:val="21"/>
              </w:rPr>
              <w:t>异丁烷</w:t>
            </w:r>
          </w:p>
        </w:tc>
        <w:tc>
          <w:tcPr>
            <w:tcW w:w="1830" w:type="dxa"/>
            <w:vAlign w:val="top"/>
          </w:tcPr>
          <w:p>
            <w:pPr>
              <w:pStyle w:val="6"/>
              <w:spacing w:before="68" w:line="237"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7"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7"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1409" w:type="dxa"/>
            <w:vAlign w:val="top"/>
          </w:tcPr>
          <w:p>
            <w:pPr>
              <w:spacing w:before="107"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pStyle w:val="2"/>
        <w:rPr>
          <w:sz w:val="21"/>
        </w:rPr>
      </w:pPr>
    </w:p>
    <w:p>
      <w:pPr>
        <w:rPr>
          <w:sz w:val="21"/>
          <w:szCs w:val="21"/>
        </w:rPr>
        <w:sectPr>
          <w:footerReference r:id="rId210" w:type="default"/>
          <w:pgSz w:w="11907" w:h="16839"/>
          <w:pgMar w:top="1123" w:right="1682" w:bottom="1149" w:left="1685" w:header="1108" w:footer="988" w:gutter="0"/>
          <w:cols w:space="720" w:num="1"/>
        </w:sectPr>
      </w:pPr>
    </w:p>
    <w:p>
      <w:pPr>
        <w:spacing w:before="75"/>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406"/>
        <w:gridCol w:w="1830"/>
        <w:gridCol w:w="1509"/>
        <w:gridCol w:w="1417"/>
        <w:gridCol w:w="1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62" w:type="dxa"/>
            <w:vMerge w:val="restart"/>
            <w:tcBorders>
              <w:bottom w:val="nil"/>
            </w:tcBorders>
            <w:vAlign w:val="top"/>
          </w:tcPr>
          <w:p>
            <w:pPr>
              <w:rPr>
                <w:rFonts w:ascii="Arial"/>
                <w:sz w:val="21"/>
              </w:rPr>
            </w:pPr>
          </w:p>
        </w:tc>
        <w:tc>
          <w:tcPr>
            <w:tcW w:w="1406" w:type="dxa"/>
            <w:vAlign w:val="top"/>
          </w:tcPr>
          <w:p>
            <w:pPr>
              <w:pStyle w:val="6"/>
              <w:spacing w:before="68" w:line="221" w:lineRule="auto"/>
              <w:ind w:left="394"/>
              <w:rPr>
                <w:sz w:val="21"/>
                <w:szCs w:val="21"/>
              </w:rPr>
            </w:pPr>
            <w:r>
              <w:rPr>
                <w:spacing w:val="-2"/>
                <w:sz w:val="21"/>
                <w:szCs w:val="21"/>
              </w:rPr>
              <w:t>正丁烷</w:t>
            </w:r>
          </w:p>
        </w:tc>
        <w:tc>
          <w:tcPr>
            <w:tcW w:w="1830" w:type="dxa"/>
            <w:vAlign w:val="top"/>
          </w:tcPr>
          <w:p>
            <w:pPr>
              <w:pStyle w:val="6"/>
              <w:spacing w:before="67" w:line="237"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6"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6"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0.11</w:t>
            </w:r>
          </w:p>
        </w:tc>
        <w:tc>
          <w:tcPr>
            <w:tcW w:w="1409" w:type="dxa"/>
            <w:vAlign w:val="top"/>
          </w:tcPr>
          <w:p>
            <w:pPr>
              <w:spacing w:before="106"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4" w:line="221" w:lineRule="auto"/>
              <w:ind w:left="392"/>
              <w:rPr>
                <w:sz w:val="21"/>
                <w:szCs w:val="21"/>
              </w:rPr>
            </w:pPr>
            <w:r>
              <w:rPr>
                <w:spacing w:val="-2"/>
                <w:sz w:val="21"/>
                <w:szCs w:val="21"/>
              </w:rPr>
              <w:t>异戊烷</w:t>
            </w:r>
          </w:p>
        </w:tc>
        <w:tc>
          <w:tcPr>
            <w:tcW w:w="1830" w:type="dxa"/>
            <w:vAlign w:val="top"/>
          </w:tcPr>
          <w:p>
            <w:pPr>
              <w:pStyle w:val="6"/>
              <w:spacing w:before="64" w:line="237"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3"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1409" w:type="dxa"/>
            <w:vAlign w:val="top"/>
          </w:tcPr>
          <w:p>
            <w:pPr>
              <w:spacing w:before="103"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2" w:type="dxa"/>
            <w:vMerge w:val="continue"/>
            <w:tcBorders>
              <w:top w:val="nil"/>
              <w:bottom w:val="nil"/>
            </w:tcBorders>
            <w:vAlign w:val="top"/>
          </w:tcPr>
          <w:p>
            <w:pPr>
              <w:rPr>
                <w:rFonts w:ascii="Arial"/>
                <w:sz w:val="21"/>
              </w:rPr>
            </w:pPr>
          </w:p>
        </w:tc>
        <w:tc>
          <w:tcPr>
            <w:tcW w:w="1406" w:type="dxa"/>
            <w:vAlign w:val="top"/>
          </w:tcPr>
          <w:p>
            <w:pPr>
              <w:pStyle w:val="6"/>
              <w:spacing w:before="65" w:line="221" w:lineRule="auto"/>
              <w:ind w:left="394"/>
              <w:rPr>
                <w:sz w:val="21"/>
                <w:szCs w:val="21"/>
              </w:rPr>
            </w:pPr>
            <w:r>
              <w:rPr>
                <w:spacing w:val="-2"/>
                <w:sz w:val="21"/>
                <w:szCs w:val="21"/>
              </w:rPr>
              <w:t>正戊烷</w:t>
            </w:r>
          </w:p>
        </w:tc>
        <w:tc>
          <w:tcPr>
            <w:tcW w:w="1830" w:type="dxa"/>
            <w:vAlign w:val="top"/>
          </w:tcPr>
          <w:p>
            <w:pPr>
              <w:pStyle w:val="6"/>
              <w:spacing w:before="64" w:line="237"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3"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p>
        </w:tc>
        <w:tc>
          <w:tcPr>
            <w:tcW w:w="1409" w:type="dxa"/>
            <w:vAlign w:val="top"/>
          </w:tcPr>
          <w:p>
            <w:pPr>
              <w:spacing w:before="103"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62" w:type="dxa"/>
            <w:vMerge w:val="continue"/>
            <w:tcBorders>
              <w:top w:val="nil"/>
            </w:tcBorders>
            <w:vAlign w:val="top"/>
          </w:tcPr>
          <w:p>
            <w:pPr>
              <w:rPr>
                <w:rFonts w:ascii="Arial"/>
                <w:sz w:val="21"/>
              </w:rPr>
            </w:pPr>
          </w:p>
        </w:tc>
        <w:tc>
          <w:tcPr>
            <w:tcW w:w="1406" w:type="dxa"/>
            <w:vAlign w:val="top"/>
          </w:tcPr>
          <w:p>
            <w:pPr>
              <w:pStyle w:val="6"/>
              <w:spacing w:before="65" w:line="221" w:lineRule="auto"/>
              <w:ind w:left="412"/>
              <w:rPr>
                <w:sz w:val="21"/>
                <w:szCs w:val="21"/>
              </w:rPr>
            </w:pPr>
            <w:r>
              <w:rPr>
                <w:spacing w:val="-7"/>
                <w:sz w:val="21"/>
                <w:szCs w:val="21"/>
              </w:rPr>
              <w:t>已烷加</w:t>
            </w:r>
          </w:p>
        </w:tc>
        <w:tc>
          <w:tcPr>
            <w:tcW w:w="1830" w:type="dxa"/>
            <w:vAlign w:val="top"/>
          </w:tcPr>
          <w:p>
            <w:pPr>
              <w:pStyle w:val="6"/>
              <w:spacing w:before="65" w:line="234" w:lineRule="auto"/>
              <w:ind w:left="64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0.01</w:t>
            </w:r>
          </w:p>
        </w:tc>
        <w:tc>
          <w:tcPr>
            <w:tcW w:w="1509" w:type="dxa"/>
            <w:vAlign w:val="top"/>
          </w:tcPr>
          <w:p>
            <w:pPr>
              <w:spacing w:before="104" w:line="187"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7" w:type="dxa"/>
            <w:vAlign w:val="top"/>
          </w:tcPr>
          <w:p>
            <w:pPr>
              <w:spacing w:before="104"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409" w:type="dxa"/>
            <w:vAlign w:val="top"/>
          </w:tcPr>
          <w:p>
            <w:pPr>
              <w:spacing w:before="104" w:line="187" w:lineRule="auto"/>
              <w:ind w:left="65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68" w:type="dxa"/>
            <w:gridSpan w:val="2"/>
            <w:vAlign w:val="top"/>
          </w:tcPr>
          <w:p>
            <w:pPr>
              <w:pStyle w:val="6"/>
              <w:spacing w:before="69" w:line="213" w:lineRule="auto"/>
              <w:ind w:left="268"/>
              <w:rPr>
                <w:sz w:val="21"/>
                <w:szCs w:val="21"/>
              </w:rPr>
            </w:pPr>
            <w:r>
              <w:rPr>
                <w:sz w:val="21"/>
                <w:szCs w:val="21"/>
              </w:rPr>
              <w:t>硫化氢</w:t>
            </w:r>
            <w:r>
              <w:rPr>
                <w:spacing w:val="-49"/>
                <w:sz w:val="21"/>
                <w:szCs w:val="21"/>
              </w:rPr>
              <w:t xml:space="preserve"> </w:t>
            </w:r>
            <w:r>
              <w:rPr>
                <w:rFonts w:ascii="Times New Roman" w:hAnsi="Times New Roman" w:eastAsia="Times New Roman" w:cs="Times New Roman"/>
                <w:sz w:val="21"/>
                <w:szCs w:val="21"/>
              </w:rPr>
              <w:t>H</w:t>
            </w:r>
            <w:r>
              <w:rPr>
                <w:rFonts w:ascii="Times New Roman" w:hAnsi="Times New Roman" w:eastAsia="Times New Roman" w:cs="Times New Roman"/>
                <w:position w:val="-2"/>
                <w:sz w:val="13"/>
                <w:szCs w:val="13"/>
              </w:rPr>
              <w:t>2</w:t>
            </w:r>
            <w:r>
              <w:rPr>
                <w:rFonts w:ascii="Times New Roman" w:hAnsi="Times New Roman" w:eastAsia="Times New Roman" w:cs="Times New Roman"/>
                <w:sz w:val="21"/>
                <w:szCs w:val="21"/>
              </w:rPr>
              <w:t>S</w:t>
            </w:r>
            <w:r>
              <w:rPr>
                <w:sz w:val="21"/>
                <w:szCs w:val="21"/>
              </w:rPr>
              <w:t>（</w:t>
            </w:r>
            <w:r>
              <w:rPr>
                <w:rFonts w:ascii="Times New Roman" w:hAnsi="Times New Roman" w:eastAsia="Times New Roman" w:cs="Times New Roman"/>
                <w:sz w:val="21"/>
                <w:szCs w:val="21"/>
              </w:rPr>
              <w:t>g/m</w:t>
            </w:r>
            <w:r>
              <w:rPr>
                <w:rFonts w:ascii="Times New Roman" w:hAnsi="Times New Roman" w:eastAsia="Times New Roman" w:cs="Times New Roman"/>
                <w:position w:val="6"/>
                <w:sz w:val="13"/>
                <w:szCs w:val="13"/>
              </w:rPr>
              <w:t>3</w:t>
            </w:r>
            <w:r>
              <w:rPr>
                <w:sz w:val="21"/>
                <w:szCs w:val="21"/>
              </w:rPr>
              <w:t>）</w:t>
            </w:r>
          </w:p>
        </w:tc>
        <w:tc>
          <w:tcPr>
            <w:tcW w:w="1830" w:type="dxa"/>
            <w:vAlign w:val="top"/>
          </w:tcPr>
          <w:p>
            <w:pPr>
              <w:spacing w:before="107" w:line="187" w:lineRule="auto"/>
              <w:ind w:left="86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09" w:type="dxa"/>
            <w:vAlign w:val="top"/>
          </w:tcPr>
          <w:p>
            <w:pPr>
              <w:spacing w:before="107"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28.1</w:t>
            </w:r>
          </w:p>
        </w:tc>
        <w:tc>
          <w:tcPr>
            <w:tcW w:w="1417" w:type="dxa"/>
            <w:vAlign w:val="top"/>
          </w:tcPr>
          <w:p>
            <w:pPr>
              <w:spacing w:before="107" w:line="187" w:lineRule="auto"/>
              <w:ind w:left="6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09" w:type="dxa"/>
            <w:vAlign w:val="top"/>
          </w:tcPr>
          <w:p>
            <w:pPr>
              <w:spacing w:before="107"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68" w:type="dxa"/>
            <w:gridSpan w:val="2"/>
            <w:vAlign w:val="top"/>
          </w:tcPr>
          <w:p>
            <w:pPr>
              <w:pStyle w:val="6"/>
              <w:spacing w:before="67" w:line="221" w:lineRule="auto"/>
              <w:ind w:left="768"/>
              <w:rPr>
                <w:sz w:val="21"/>
                <w:szCs w:val="21"/>
              </w:rPr>
            </w:pPr>
            <w:r>
              <w:rPr>
                <w:spacing w:val="-2"/>
                <w:sz w:val="21"/>
                <w:szCs w:val="21"/>
              </w:rPr>
              <w:t>相对密度</w:t>
            </w:r>
          </w:p>
        </w:tc>
        <w:tc>
          <w:tcPr>
            <w:tcW w:w="1830" w:type="dxa"/>
            <w:vAlign w:val="top"/>
          </w:tcPr>
          <w:p>
            <w:pPr>
              <w:spacing w:before="105"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0.6049</w:t>
            </w:r>
          </w:p>
        </w:tc>
        <w:tc>
          <w:tcPr>
            <w:tcW w:w="1509" w:type="dxa"/>
            <w:vAlign w:val="top"/>
          </w:tcPr>
          <w:p>
            <w:pPr>
              <w:spacing w:before="105"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0.5991</w:t>
            </w:r>
          </w:p>
        </w:tc>
        <w:tc>
          <w:tcPr>
            <w:tcW w:w="1417" w:type="dxa"/>
            <w:vAlign w:val="top"/>
          </w:tcPr>
          <w:p>
            <w:pPr>
              <w:spacing w:before="105"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0.8452</w:t>
            </w:r>
          </w:p>
        </w:tc>
        <w:tc>
          <w:tcPr>
            <w:tcW w:w="1409" w:type="dxa"/>
            <w:vAlign w:val="top"/>
          </w:tcPr>
          <w:p>
            <w:pPr>
              <w:spacing w:before="105"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68" w:type="dxa"/>
            <w:gridSpan w:val="2"/>
            <w:vAlign w:val="top"/>
          </w:tcPr>
          <w:p>
            <w:pPr>
              <w:pStyle w:val="6"/>
              <w:spacing w:before="66" w:line="221" w:lineRule="auto"/>
              <w:ind w:left="372"/>
              <w:rPr>
                <w:sz w:val="21"/>
                <w:szCs w:val="21"/>
              </w:rPr>
            </w:pPr>
            <w:r>
              <w:rPr>
                <w:spacing w:val="-2"/>
                <w:sz w:val="21"/>
                <w:szCs w:val="21"/>
              </w:rPr>
              <w:t>临界压力（</w:t>
            </w:r>
            <w:r>
              <w:rPr>
                <w:rFonts w:ascii="Times New Roman" w:hAnsi="Times New Roman" w:eastAsia="Times New Roman" w:cs="Times New Roman"/>
                <w:spacing w:val="-2"/>
                <w:sz w:val="21"/>
                <w:szCs w:val="21"/>
              </w:rPr>
              <w:t>MPa</w:t>
            </w:r>
            <w:r>
              <w:rPr>
                <w:spacing w:val="-2"/>
                <w:sz w:val="21"/>
                <w:szCs w:val="21"/>
              </w:rPr>
              <w:t>）</w:t>
            </w:r>
          </w:p>
        </w:tc>
        <w:tc>
          <w:tcPr>
            <w:tcW w:w="1830" w:type="dxa"/>
            <w:vAlign w:val="top"/>
          </w:tcPr>
          <w:p>
            <w:pPr>
              <w:spacing w:before="105"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4.944</w:t>
            </w:r>
          </w:p>
        </w:tc>
        <w:tc>
          <w:tcPr>
            <w:tcW w:w="1509" w:type="dxa"/>
            <w:vAlign w:val="top"/>
          </w:tcPr>
          <w:p>
            <w:pPr>
              <w:spacing w:before="105" w:line="187" w:lineRule="auto"/>
              <w:ind w:left="5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4.754</w:t>
            </w:r>
          </w:p>
        </w:tc>
        <w:tc>
          <w:tcPr>
            <w:tcW w:w="1417" w:type="dxa"/>
            <w:vAlign w:val="top"/>
          </w:tcPr>
          <w:p>
            <w:pPr>
              <w:spacing w:before="105"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3.827</w:t>
            </w:r>
          </w:p>
        </w:tc>
        <w:tc>
          <w:tcPr>
            <w:tcW w:w="1409" w:type="dxa"/>
            <w:vAlign w:val="top"/>
          </w:tcPr>
          <w:p>
            <w:pPr>
              <w:spacing w:before="105" w:line="187"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68" w:type="dxa"/>
            <w:gridSpan w:val="2"/>
            <w:vAlign w:val="top"/>
          </w:tcPr>
          <w:p>
            <w:pPr>
              <w:pStyle w:val="6"/>
              <w:spacing w:before="67" w:line="221" w:lineRule="auto"/>
              <w:ind w:left="494"/>
              <w:rPr>
                <w:sz w:val="21"/>
                <w:szCs w:val="21"/>
              </w:rPr>
            </w:pPr>
            <w:r>
              <w:rPr>
                <w:spacing w:val="-3"/>
                <w:sz w:val="21"/>
                <w:szCs w:val="21"/>
              </w:rPr>
              <w:t>临界温度（</w:t>
            </w:r>
            <w:r>
              <w:rPr>
                <w:rFonts w:ascii="Times New Roman" w:hAnsi="Times New Roman" w:eastAsia="Times New Roman" w:cs="Times New Roman"/>
                <w:spacing w:val="-3"/>
                <w:sz w:val="21"/>
                <w:szCs w:val="21"/>
              </w:rPr>
              <w:t>K</w:t>
            </w:r>
            <w:r>
              <w:rPr>
                <w:spacing w:val="-3"/>
                <w:sz w:val="21"/>
                <w:szCs w:val="21"/>
              </w:rPr>
              <w:t>）</w:t>
            </w:r>
          </w:p>
        </w:tc>
        <w:tc>
          <w:tcPr>
            <w:tcW w:w="1830" w:type="dxa"/>
            <w:vAlign w:val="top"/>
          </w:tcPr>
          <w:p>
            <w:pPr>
              <w:spacing w:before="106" w:line="187" w:lineRule="auto"/>
              <w:ind w:left="6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204.6</w:t>
            </w:r>
          </w:p>
        </w:tc>
        <w:tc>
          <w:tcPr>
            <w:tcW w:w="1509" w:type="dxa"/>
            <w:vAlign w:val="top"/>
          </w:tcPr>
          <w:p>
            <w:pPr>
              <w:spacing w:before="106"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196.7</w:t>
            </w:r>
          </w:p>
        </w:tc>
        <w:tc>
          <w:tcPr>
            <w:tcW w:w="1417" w:type="dxa"/>
            <w:vAlign w:val="top"/>
          </w:tcPr>
          <w:p>
            <w:pPr>
              <w:spacing w:before="106" w:line="187" w:lineRule="auto"/>
              <w:ind w:left="5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154</w:t>
            </w:r>
          </w:p>
        </w:tc>
        <w:tc>
          <w:tcPr>
            <w:tcW w:w="1409" w:type="dxa"/>
            <w:vAlign w:val="top"/>
          </w:tcPr>
          <w:p>
            <w:pPr>
              <w:spacing w:before="106"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368" w:type="dxa"/>
            <w:gridSpan w:val="2"/>
            <w:vAlign w:val="top"/>
          </w:tcPr>
          <w:p>
            <w:pPr>
              <w:pStyle w:val="6"/>
              <w:spacing w:before="68" w:line="235" w:lineRule="auto"/>
              <w:ind w:left="362"/>
              <w:rPr>
                <w:sz w:val="21"/>
                <w:szCs w:val="21"/>
              </w:rPr>
            </w:pPr>
            <w:r>
              <w:rPr>
                <w:spacing w:val="-1"/>
                <w:sz w:val="21"/>
                <w:szCs w:val="21"/>
              </w:rPr>
              <w:t>无阻流量（</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1"/>
                <w:szCs w:val="21"/>
              </w:rPr>
              <w:t>/d</w:t>
            </w:r>
            <w:r>
              <w:rPr>
                <w:spacing w:val="-1"/>
                <w:sz w:val="21"/>
                <w:szCs w:val="21"/>
              </w:rPr>
              <w:t>）</w:t>
            </w:r>
          </w:p>
        </w:tc>
        <w:tc>
          <w:tcPr>
            <w:tcW w:w="1830" w:type="dxa"/>
            <w:vAlign w:val="top"/>
          </w:tcPr>
          <w:p>
            <w:pPr>
              <w:spacing w:before="85" w:line="208" w:lineRule="auto"/>
              <w:ind w:left="498"/>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11.45×10</w:t>
            </w:r>
            <w:r>
              <w:rPr>
                <w:rFonts w:ascii="Times New Roman" w:hAnsi="Times New Roman" w:eastAsia="Times New Roman" w:cs="Times New Roman"/>
                <w:spacing w:val="-2"/>
                <w:position w:val="6"/>
                <w:sz w:val="13"/>
                <w:szCs w:val="13"/>
              </w:rPr>
              <w:t>4</w:t>
            </w:r>
          </w:p>
        </w:tc>
        <w:tc>
          <w:tcPr>
            <w:tcW w:w="1509" w:type="dxa"/>
            <w:vAlign w:val="top"/>
          </w:tcPr>
          <w:p>
            <w:pPr>
              <w:pStyle w:val="6"/>
              <w:spacing w:before="67" w:line="237" w:lineRule="auto"/>
              <w:ind w:left="22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398.95</w:t>
            </w:r>
            <w:r>
              <w:rPr>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
                <w:position w:val="6"/>
                <w:sz w:val="13"/>
                <w:szCs w:val="13"/>
              </w:rPr>
              <w:t>4</w:t>
            </w:r>
          </w:p>
        </w:tc>
        <w:tc>
          <w:tcPr>
            <w:tcW w:w="1417" w:type="dxa"/>
            <w:vAlign w:val="top"/>
          </w:tcPr>
          <w:p>
            <w:pPr>
              <w:spacing w:before="85" w:line="208" w:lineRule="auto"/>
              <w:ind w:left="221"/>
              <w:rPr>
                <w:rFonts w:ascii="Times New Roman" w:hAnsi="Times New Roman" w:eastAsia="Times New Roman" w:cs="Times New Roman"/>
                <w:sz w:val="13"/>
                <w:szCs w:val="13"/>
              </w:rPr>
            </w:pPr>
            <w:r>
              <w:rPr>
                <w:rFonts w:ascii="Times New Roman" w:hAnsi="Times New Roman" w:eastAsia="Times New Roman" w:cs="Times New Roman"/>
                <w:sz w:val="21"/>
                <w:szCs w:val="21"/>
              </w:rPr>
              <w:t>2.2363×10</w:t>
            </w:r>
            <w:r>
              <w:rPr>
                <w:rFonts w:ascii="Times New Roman" w:hAnsi="Times New Roman" w:eastAsia="Times New Roman" w:cs="Times New Roman"/>
                <w:position w:val="6"/>
                <w:sz w:val="13"/>
                <w:szCs w:val="13"/>
              </w:rPr>
              <w:t>4</w:t>
            </w:r>
          </w:p>
        </w:tc>
        <w:tc>
          <w:tcPr>
            <w:tcW w:w="1409" w:type="dxa"/>
            <w:vAlign w:val="top"/>
          </w:tcPr>
          <w:p>
            <w:pPr>
              <w:spacing w:before="85" w:line="208" w:lineRule="auto"/>
              <w:ind w:left="235"/>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146.92×10</w:t>
            </w:r>
            <w:r>
              <w:rPr>
                <w:rFonts w:ascii="Times New Roman" w:hAnsi="Times New Roman" w:eastAsia="Times New Roman" w:cs="Times New Roman"/>
                <w:spacing w:val="-2"/>
                <w:position w:val="6"/>
                <w:sz w:val="13"/>
                <w:szCs w:val="13"/>
              </w:rPr>
              <w:t>4</w:t>
            </w:r>
          </w:p>
        </w:tc>
      </w:tr>
    </w:tbl>
    <w:p>
      <w:pPr>
        <w:spacing w:before="179" w:line="369" w:lineRule="auto"/>
        <w:ind w:left="121" w:right="41" w:firstLine="509"/>
        <w:jc w:val="both"/>
        <w:rPr>
          <w:rFonts w:ascii="Times New Roman" w:hAnsi="Times New Roman" w:eastAsia="Times New Roman" w:cs="Times New Roman"/>
          <w:sz w:val="24"/>
          <w:szCs w:val="24"/>
        </w:rPr>
      </w:pPr>
      <w:r>
        <w:rPr>
          <w:rFonts w:ascii="宋体" w:hAnsi="宋体" w:eastAsia="宋体" w:cs="宋体"/>
          <w:spacing w:val="-4"/>
          <w:sz w:val="24"/>
          <w:szCs w:val="24"/>
        </w:rPr>
        <w:t>由于区块内无钻遇石炭系以下地层的井，因此本项目取上表中甲烷和硫化氢</w:t>
      </w:r>
      <w:r>
        <w:rPr>
          <w:rFonts w:ascii="宋体" w:hAnsi="宋体" w:eastAsia="宋体" w:cs="宋体"/>
          <w:spacing w:val="4"/>
          <w:sz w:val="24"/>
          <w:szCs w:val="24"/>
        </w:rPr>
        <w:t xml:space="preserve"> </w:t>
      </w:r>
      <w:r>
        <w:rPr>
          <w:rFonts w:ascii="宋体" w:hAnsi="宋体" w:eastAsia="宋体" w:cs="宋体"/>
          <w:spacing w:val="-11"/>
          <w:sz w:val="24"/>
          <w:szCs w:val="24"/>
        </w:rPr>
        <w:t>最大值评价，</w:t>
      </w:r>
      <w:r>
        <w:rPr>
          <w:rFonts w:ascii="宋体" w:hAnsi="宋体" w:eastAsia="宋体" w:cs="宋体"/>
          <w:spacing w:val="64"/>
          <w:sz w:val="24"/>
          <w:szCs w:val="24"/>
        </w:rPr>
        <w:t xml:space="preserve"> </w:t>
      </w:r>
      <w:r>
        <w:rPr>
          <w:rFonts w:ascii="宋体" w:hAnsi="宋体" w:eastAsia="宋体" w:cs="宋体"/>
          <w:spacing w:val="-11"/>
          <w:sz w:val="24"/>
          <w:szCs w:val="24"/>
        </w:rPr>
        <w:t xml:space="preserve">本评价参考龙岗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38"/>
          <w:sz w:val="24"/>
          <w:szCs w:val="24"/>
        </w:rPr>
        <w:t xml:space="preserve"> </w:t>
      </w:r>
      <w:r>
        <w:rPr>
          <w:rFonts w:ascii="宋体" w:hAnsi="宋体" w:eastAsia="宋体" w:cs="宋体"/>
          <w:spacing w:val="-11"/>
          <w:sz w:val="24"/>
          <w:szCs w:val="24"/>
        </w:rPr>
        <w:t>井测试结果，</w:t>
      </w:r>
      <w:r>
        <w:rPr>
          <w:rFonts w:ascii="宋体" w:hAnsi="宋体" w:eastAsia="宋体" w:cs="宋体"/>
          <w:spacing w:val="60"/>
          <w:sz w:val="24"/>
          <w:szCs w:val="24"/>
        </w:rPr>
        <w:t xml:space="preserve"> </w:t>
      </w:r>
      <w:r>
        <w:rPr>
          <w:rFonts w:ascii="宋体" w:hAnsi="宋体" w:eastAsia="宋体" w:cs="宋体"/>
          <w:spacing w:val="-11"/>
          <w:sz w:val="24"/>
          <w:szCs w:val="24"/>
        </w:rPr>
        <w:t xml:space="preserve">放喷无阻流量为 </w:t>
      </w:r>
      <w:r>
        <w:rPr>
          <w:rFonts w:ascii="Times New Roman" w:hAnsi="Times New Roman" w:eastAsia="Times New Roman" w:cs="Times New Roman"/>
          <w:spacing w:val="-11"/>
          <w:sz w:val="24"/>
          <w:szCs w:val="24"/>
        </w:rPr>
        <w:t>39</w:t>
      </w:r>
      <w:r>
        <w:rPr>
          <w:rFonts w:ascii="Times New Roman" w:hAnsi="Times New Roman" w:eastAsia="Times New Roman" w:cs="Times New Roman"/>
          <w:spacing w:val="-12"/>
          <w:sz w:val="24"/>
          <w:szCs w:val="24"/>
        </w:rPr>
        <w:t>8.95×10</w:t>
      </w:r>
      <w:r>
        <w:rPr>
          <w:rFonts w:ascii="Times New Roman" w:hAnsi="Times New Roman" w:eastAsia="Times New Roman" w:cs="Times New Roman"/>
          <w:spacing w:val="-12"/>
          <w:position w:val="9"/>
          <w:sz w:val="16"/>
          <w:szCs w:val="16"/>
        </w:rPr>
        <w:t>4</w:t>
      </w:r>
      <w:r>
        <w:rPr>
          <w:rFonts w:ascii="Times New Roman" w:hAnsi="Times New Roman" w:eastAsia="Times New Roman" w:cs="Times New Roman"/>
          <w:spacing w:val="-12"/>
          <w:sz w:val="24"/>
          <w:szCs w:val="24"/>
        </w:rPr>
        <w:t>m</w:t>
      </w:r>
      <w:r>
        <w:rPr>
          <w:rFonts w:ascii="Times New Roman" w:hAnsi="Times New Roman" w:eastAsia="Times New Roman" w:cs="Times New Roman"/>
          <w:spacing w:val="-12"/>
          <w:position w:val="9"/>
          <w:sz w:val="16"/>
          <w:szCs w:val="16"/>
        </w:rPr>
        <w:t>3</w:t>
      </w:r>
      <w:r>
        <w:rPr>
          <w:rFonts w:ascii="Times New Roman" w:hAnsi="Times New Roman" w:eastAsia="Times New Roman" w:cs="Times New Roman"/>
          <w:spacing w:val="-12"/>
          <w:sz w:val="24"/>
          <w:szCs w:val="24"/>
        </w:rPr>
        <w:t>/d</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1"/>
          <w:sz w:val="24"/>
          <w:szCs w:val="24"/>
        </w:rPr>
        <w:t xml:space="preserve">硫化氢含量 </w:t>
      </w:r>
      <w:r>
        <w:rPr>
          <w:rFonts w:ascii="Times New Roman" w:hAnsi="Times New Roman" w:eastAsia="Times New Roman" w:cs="Times New Roman"/>
          <w:spacing w:val="1"/>
          <w:sz w:val="24"/>
          <w:szCs w:val="24"/>
        </w:rPr>
        <w:t>28.1g/m</w:t>
      </w:r>
      <w:r>
        <w:rPr>
          <w:rFonts w:ascii="Times New Roman" w:hAnsi="Times New Roman" w:eastAsia="Times New Roman" w:cs="Times New Roman"/>
          <w:spacing w:val="1"/>
          <w:position w:val="9"/>
          <w:sz w:val="16"/>
          <w:szCs w:val="16"/>
        </w:rPr>
        <w:t xml:space="preserve">3 </w:t>
      </w:r>
      <w:r>
        <w:rPr>
          <w:rFonts w:ascii="宋体" w:hAnsi="宋体" w:eastAsia="宋体" w:cs="宋体"/>
          <w:spacing w:val="1"/>
          <w:sz w:val="24"/>
          <w:szCs w:val="24"/>
        </w:rPr>
        <w:t xml:space="preserve">，甲烷含量约为 </w:t>
      </w:r>
      <w:r>
        <w:rPr>
          <w:rFonts w:ascii="Times New Roman" w:hAnsi="Times New Roman" w:eastAsia="Times New Roman" w:cs="Times New Roman"/>
          <w:spacing w:val="1"/>
          <w:sz w:val="24"/>
          <w:szCs w:val="24"/>
        </w:rPr>
        <w:t>638g/m</w:t>
      </w:r>
      <w:r>
        <w:rPr>
          <w:rFonts w:ascii="Times New Roman" w:hAnsi="Times New Roman" w:eastAsia="Times New Roman" w:cs="Times New Roman"/>
          <w:spacing w:val="1"/>
          <w:position w:val="9"/>
          <w:sz w:val="16"/>
          <w:szCs w:val="16"/>
        </w:rPr>
        <w:t xml:space="preserve">3 </w:t>
      </w:r>
      <w:r>
        <w:rPr>
          <w:rFonts w:ascii="宋体" w:hAnsi="宋体" w:eastAsia="宋体" w:cs="宋体"/>
          <w:spacing w:val="1"/>
          <w:sz w:val="24"/>
          <w:szCs w:val="24"/>
        </w:rPr>
        <w:t>。预计本井井喷失控泄漏时间约</w:t>
      </w:r>
      <w:r>
        <w:rPr>
          <w:rFonts w:ascii="宋体" w:hAnsi="宋体" w:eastAsia="宋体" w:cs="宋体"/>
          <w:spacing w:val="9"/>
          <w:sz w:val="24"/>
          <w:szCs w:val="24"/>
        </w:rPr>
        <w:t xml:space="preserve"> </w:t>
      </w:r>
      <w:r>
        <w:rPr>
          <w:rFonts w:ascii="Times New Roman" w:hAnsi="Times New Roman" w:eastAsia="Times New Roman" w:cs="Times New Roman"/>
          <w:spacing w:val="-3"/>
          <w:sz w:val="24"/>
          <w:szCs w:val="24"/>
        </w:rPr>
        <w:t>15min</w:t>
      </w:r>
      <w:r>
        <w:rPr>
          <w:rFonts w:ascii="宋体" w:hAnsi="宋体" w:eastAsia="宋体" w:cs="宋体"/>
          <w:spacing w:val="-3"/>
          <w:sz w:val="24"/>
          <w:szCs w:val="24"/>
        </w:rPr>
        <w:t xml:space="preserve">，泄漏量按绝对无阻流量 </w:t>
      </w:r>
      <w:r>
        <w:rPr>
          <w:rFonts w:ascii="Times New Roman" w:hAnsi="Times New Roman" w:eastAsia="Times New Roman" w:cs="Times New Roman"/>
          <w:spacing w:val="-3"/>
          <w:sz w:val="24"/>
          <w:szCs w:val="24"/>
        </w:rPr>
        <w:t>398.95×10</w:t>
      </w:r>
      <w:r>
        <w:rPr>
          <w:rFonts w:ascii="Times New Roman" w:hAnsi="Times New Roman" w:eastAsia="Times New Roman" w:cs="Times New Roman"/>
          <w:spacing w:val="-3"/>
          <w:position w:val="9"/>
          <w:sz w:val="16"/>
          <w:szCs w:val="16"/>
        </w:rPr>
        <w:t>4</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53"/>
          <w:sz w:val="24"/>
          <w:szCs w:val="24"/>
        </w:rPr>
        <w:t xml:space="preserve"> </w:t>
      </w:r>
      <w:r>
        <w:rPr>
          <w:rFonts w:ascii="宋体" w:hAnsi="宋体" w:eastAsia="宋体" w:cs="宋体"/>
          <w:spacing w:val="-4"/>
          <w:sz w:val="24"/>
          <w:szCs w:val="24"/>
        </w:rPr>
        <w:t xml:space="preserve">计算， </w:t>
      </w:r>
      <w:r>
        <w:rPr>
          <w:rFonts w:ascii="Times New Roman" w:hAnsi="Times New Roman" w:eastAsia="Times New Roman" w:cs="Times New Roman"/>
          <w:spacing w:val="-4"/>
          <w:sz w:val="24"/>
          <w:szCs w:val="24"/>
        </w:rPr>
        <w:t xml:space="preserve">15min  </w:t>
      </w:r>
      <w:r>
        <w:rPr>
          <w:rFonts w:ascii="宋体" w:hAnsi="宋体" w:eastAsia="宋体" w:cs="宋体"/>
          <w:spacing w:val="-4"/>
          <w:sz w:val="24"/>
          <w:szCs w:val="24"/>
        </w:rPr>
        <w:t xml:space="preserve">泄漏气量为 </w:t>
      </w:r>
      <w:r>
        <w:rPr>
          <w:rFonts w:ascii="Times New Roman" w:hAnsi="Times New Roman" w:eastAsia="Times New Roman" w:cs="Times New Roman"/>
          <w:spacing w:val="-4"/>
          <w:sz w:val="24"/>
          <w:szCs w:val="24"/>
        </w:rPr>
        <w:t>2.049</w:t>
      </w:r>
    </w:p>
    <w:p>
      <w:pPr>
        <w:spacing w:line="233" w:lineRule="auto"/>
        <w:ind w:left="15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8"/>
          <w:sz w:val="16"/>
          <w:szCs w:val="16"/>
        </w:rPr>
        <w:t>4</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1"/>
          <w:position w:val="8"/>
          <w:sz w:val="16"/>
          <w:szCs w:val="16"/>
        </w:rPr>
        <w:t xml:space="preserve"> </w:t>
      </w:r>
      <w:r>
        <w:rPr>
          <w:rFonts w:ascii="宋体" w:hAnsi="宋体" w:eastAsia="宋体" w:cs="宋体"/>
          <w:spacing w:val="-5"/>
          <w:sz w:val="24"/>
          <w:szCs w:val="24"/>
        </w:rPr>
        <w:t>，计算结果甲烷量为</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26.53t</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5"/>
          <w:position w:val="-2"/>
          <w:sz w:val="16"/>
          <w:szCs w:val="16"/>
        </w:rPr>
        <w:t>2</w:t>
      </w:r>
      <w:r>
        <w:rPr>
          <w:rFonts w:ascii="Times New Roman" w:hAnsi="Times New Roman" w:eastAsia="Times New Roman" w:cs="Times New Roman"/>
          <w:spacing w:val="-24"/>
          <w:position w:val="-2"/>
          <w:sz w:val="16"/>
          <w:szCs w:val="16"/>
        </w:rPr>
        <w:t xml:space="preserve"> </w:t>
      </w:r>
      <w:r>
        <w:rPr>
          <w:rFonts w:ascii="Times New Roman" w:hAnsi="Times New Roman" w:eastAsia="Times New Roman" w:cs="Times New Roman"/>
          <w:spacing w:val="-5"/>
          <w:sz w:val="24"/>
          <w:szCs w:val="24"/>
        </w:rPr>
        <w:t xml:space="preserve">S </w:t>
      </w:r>
      <w:r>
        <w:rPr>
          <w:rFonts w:ascii="宋体" w:hAnsi="宋体" w:eastAsia="宋体" w:cs="宋体"/>
          <w:spacing w:val="-5"/>
          <w:sz w:val="24"/>
          <w:szCs w:val="24"/>
        </w:rPr>
        <w:t>量为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1.17t</w:t>
      </w:r>
      <w:r>
        <w:rPr>
          <w:rFonts w:ascii="宋体" w:hAnsi="宋体" w:eastAsia="宋体" w:cs="宋体"/>
          <w:spacing w:val="-5"/>
          <w:sz w:val="24"/>
          <w:szCs w:val="24"/>
        </w:rPr>
        <w:t>。</w:t>
      </w:r>
    </w:p>
    <w:p>
      <w:pPr>
        <w:spacing w:before="177" w:line="369" w:lineRule="auto"/>
        <w:ind w:left="168" w:right="112" w:firstLine="436"/>
        <w:jc w:val="both"/>
        <w:rPr>
          <w:rFonts w:ascii="宋体" w:hAnsi="宋体" w:eastAsia="宋体" w:cs="宋体"/>
          <w:sz w:val="24"/>
          <w:szCs w:val="24"/>
        </w:rPr>
      </w:pPr>
      <w:r>
        <w:rPr>
          <w:rFonts w:ascii="宋体" w:hAnsi="宋体" w:eastAsia="宋体" w:cs="宋体"/>
          <w:spacing w:val="-3"/>
          <w:sz w:val="24"/>
          <w:szCs w:val="24"/>
        </w:rPr>
        <w:t>按照《天然气藏分类》（</w:t>
      </w:r>
      <w:r>
        <w:rPr>
          <w:rFonts w:ascii="Times New Roman" w:hAnsi="Times New Roman" w:eastAsia="Times New Roman" w:cs="Times New Roman"/>
          <w:spacing w:val="-3"/>
          <w:sz w:val="24"/>
          <w:szCs w:val="24"/>
        </w:rPr>
        <w:t>GB/T26979-2011</w:t>
      </w:r>
      <w:r>
        <w:rPr>
          <w:rFonts w:ascii="宋体" w:hAnsi="宋体" w:eastAsia="宋体" w:cs="宋体"/>
          <w:spacing w:val="-3"/>
          <w:sz w:val="24"/>
          <w:szCs w:val="24"/>
        </w:rPr>
        <w:t>）中含硫</w:t>
      </w:r>
      <w:r>
        <w:rPr>
          <w:rFonts w:ascii="宋体" w:hAnsi="宋体" w:eastAsia="宋体" w:cs="宋体"/>
          <w:spacing w:val="-4"/>
          <w:sz w:val="24"/>
          <w:szCs w:val="24"/>
        </w:rPr>
        <w:t>化氢气藏分类，预计本项</w:t>
      </w:r>
      <w:r>
        <w:rPr>
          <w:rFonts w:ascii="宋体" w:hAnsi="宋体" w:eastAsia="宋体" w:cs="宋体"/>
          <w:sz w:val="24"/>
          <w:szCs w:val="24"/>
        </w:rPr>
        <w:t xml:space="preserve"> </w:t>
      </w:r>
      <w:r>
        <w:rPr>
          <w:rFonts w:ascii="宋体" w:hAnsi="宋体" w:eastAsia="宋体" w:cs="宋体"/>
          <w:spacing w:val="-6"/>
          <w:sz w:val="24"/>
          <w:szCs w:val="24"/>
        </w:rPr>
        <w:t>目钻至层位天然气属于中含硫气藏（</w:t>
      </w:r>
      <w:r>
        <w:rPr>
          <w:rFonts w:ascii="Times New Roman" w:hAnsi="Times New Roman" w:eastAsia="Times New Roman" w:cs="Times New Roman"/>
          <w:spacing w:val="-6"/>
          <w:sz w:val="24"/>
          <w:szCs w:val="24"/>
        </w:rPr>
        <w:t>5.0~</w:t>
      </w:r>
      <w:r>
        <w:rPr>
          <w:rFonts w:ascii="宋体" w:hAnsi="宋体" w:eastAsia="宋体" w:cs="宋体"/>
          <w:spacing w:val="-6"/>
          <w:sz w:val="24"/>
          <w:szCs w:val="24"/>
        </w:rPr>
        <w:t>＜</w:t>
      </w:r>
      <w:r>
        <w:rPr>
          <w:rFonts w:ascii="Times New Roman" w:hAnsi="Times New Roman" w:eastAsia="Times New Roman" w:cs="Times New Roman"/>
          <w:spacing w:val="-6"/>
          <w:sz w:val="24"/>
          <w:szCs w:val="24"/>
        </w:rPr>
        <w:t>30.0g</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9"/>
          <w:sz w:val="16"/>
          <w:szCs w:val="16"/>
        </w:rPr>
        <w:t>3</w:t>
      </w:r>
      <w:r>
        <w:rPr>
          <w:rFonts w:ascii="宋体" w:hAnsi="宋体" w:eastAsia="宋体" w:cs="宋体"/>
          <w:spacing w:val="-7"/>
          <w:sz w:val="24"/>
          <w:szCs w:val="24"/>
        </w:rPr>
        <w:t>）。本项目类比龙岗</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井产出</w:t>
      </w:r>
    </w:p>
    <w:p>
      <w:pPr>
        <w:spacing w:line="218" w:lineRule="auto"/>
        <w:ind w:left="123"/>
        <w:rPr>
          <w:rFonts w:ascii="宋体" w:hAnsi="宋体" w:eastAsia="宋体" w:cs="宋体"/>
          <w:sz w:val="24"/>
          <w:szCs w:val="24"/>
        </w:rPr>
      </w:pPr>
      <w:r>
        <w:rPr>
          <w:rFonts w:ascii="宋体" w:hAnsi="宋体" w:eastAsia="宋体" w:cs="宋体"/>
          <w:spacing w:val="-1"/>
          <w:sz w:val="24"/>
          <w:szCs w:val="24"/>
        </w:rPr>
        <w:t>气的测试数据，按含硫化氢天然气井进行环境风险评价。</w:t>
      </w:r>
    </w:p>
    <w:p>
      <w:pPr>
        <w:spacing w:before="196" w:line="217" w:lineRule="auto"/>
        <w:ind w:left="602"/>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②柴油、白油</w:t>
      </w:r>
    </w:p>
    <w:p>
      <w:pPr>
        <w:spacing w:before="199" w:line="369" w:lineRule="auto"/>
        <w:ind w:left="121" w:right="45" w:firstLine="480"/>
        <w:rPr>
          <w:rFonts w:ascii="宋体" w:hAnsi="宋体" w:eastAsia="宋体" w:cs="宋体"/>
          <w:sz w:val="24"/>
          <w:szCs w:val="24"/>
        </w:rPr>
      </w:pPr>
      <w:r>
        <w:rPr>
          <w:rFonts w:ascii="宋体" w:hAnsi="宋体" w:eastAsia="宋体" w:cs="宋体"/>
          <w:spacing w:val="-13"/>
          <w:sz w:val="24"/>
          <w:szCs w:val="24"/>
        </w:rPr>
        <w:t>钻井过程中，</w:t>
      </w:r>
      <w:r>
        <w:rPr>
          <w:rFonts w:ascii="宋体" w:hAnsi="宋体" w:eastAsia="宋体" w:cs="宋体"/>
          <w:spacing w:val="49"/>
          <w:sz w:val="24"/>
          <w:szCs w:val="24"/>
        </w:rPr>
        <w:t xml:space="preserve"> </w:t>
      </w:r>
      <w:r>
        <w:rPr>
          <w:rFonts w:ascii="宋体" w:hAnsi="宋体" w:eastAsia="宋体" w:cs="宋体"/>
          <w:spacing w:val="-13"/>
          <w:sz w:val="24"/>
          <w:szCs w:val="24"/>
        </w:rPr>
        <w:t>主要的能源消耗为柴油、白油，</w:t>
      </w:r>
      <w:r>
        <w:rPr>
          <w:rFonts w:ascii="宋体" w:hAnsi="宋体" w:eastAsia="宋体" w:cs="宋体"/>
          <w:spacing w:val="43"/>
          <w:sz w:val="24"/>
          <w:szCs w:val="24"/>
        </w:rPr>
        <w:t xml:space="preserve"> </w:t>
      </w:r>
      <w:r>
        <w:rPr>
          <w:rFonts w:ascii="宋体" w:hAnsi="宋体" w:eastAsia="宋体" w:cs="宋体"/>
          <w:spacing w:val="-13"/>
          <w:sz w:val="24"/>
          <w:szCs w:val="24"/>
        </w:rPr>
        <w:t>使用柴油并通过柴油机、发电</w:t>
      </w:r>
      <w:r>
        <w:rPr>
          <w:rFonts w:ascii="宋体" w:hAnsi="宋体" w:eastAsia="宋体" w:cs="宋体"/>
          <w:sz w:val="24"/>
          <w:szCs w:val="24"/>
        </w:rPr>
        <w:t xml:space="preserve"> </w:t>
      </w:r>
      <w:r>
        <w:rPr>
          <w:rFonts w:ascii="宋体" w:hAnsi="宋体" w:eastAsia="宋体" w:cs="宋体"/>
          <w:spacing w:val="-10"/>
          <w:sz w:val="24"/>
          <w:szCs w:val="24"/>
        </w:rPr>
        <w:t>机提供动力和电力，</w:t>
      </w:r>
      <w:r>
        <w:rPr>
          <w:rFonts w:ascii="宋体" w:hAnsi="宋体" w:eastAsia="宋体" w:cs="宋体"/>
          <w:spacing w:val="-35"/>
          <w:sz w:val="24"/>
          <w:szCs w:val="24"/>
        </w:rPr>
        <w:t xml:space="preserve"> </w:t>
      </w:r>
      <w:r>
        <w:rPr>
          <w:rFonts w:ascii="宋体" w:hAnsi="宋体" w:eastAsia="宋体" w:cs="宋体"/>
          <w:spacing w:val="-10"/>
          <w:sz w:val="24"/>
          <w:szCs w:val="24"/>
        </w:rPr>
        <w:t>柴油属于闪点在</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28</w:t>
      </w:r>
      <w:r>
        <w:rPr>
          <w:rFonts w:ascii="宋体" w:hAnsi="宋体" w:eastAsia="宋体" w:cs="宋体"/>
          <w:spacing w:val="-10"/>
          <w:sz w:val="24"/>
          <w:szCs w:val="24"/>
        </w:rPr>
        <w:t>℃与</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60</w:t>
      </w:r>
      <w:r>
        <w:rPr>
          <w:rFonts w:ascii="宋体" w:hAnsi="宋体" w:eastAsia="宋体" w:cs="宋体"/>
          <w:spacing w:val="-10"/>
          <w:sz w:val="24"/>
          <w:szCs w:val="24"/>
        </w:rPr>
        <w:t>℃之间的易燃、具爆炸性的液体，</w:t>
      </w:r>
      <w:r>
        <w:rPr>
          <w:rFonts w:ascii="宋体" w:hAnsi="宋体" w:eastAsia="宋体" w:cs="宋体"/>
          <w:sz w:val="24"/>
          <w:szCs w:val="24"/>
        </w:rPr>
        <w:t xml:space="preserve">  </w:t>
      </w:r>
      <w:r>
        <w:rPr>
          <w:rFonts w:ascii="宋体" w:hAnsi="宋体" w:eastAsia="宋体" w:cs="宋体"/>
          <w:spacing w:val="-11"/>
          <w:sz w:val="24"/>
          <w:szCs w:val="24"/>
        </w:rPr>
        <w:t>属于乙类危险品。白油为油基钻井液配置使用， 因油基泥浆开钻前成品拉至现场，</w:t>
      </w:r>
      <w:r>
        <w:rPr>
          <w:rFonts w:ascii="宋体" w:hAnsi="宋体" w:eastAsia="宋体" w:cs="宋体"/>
          <w:spacing w:val="17"/>
          <w:sz w:val="24"/>
          <w:szCs w:val="24"/>
        </w:rPr>
        <w:t xml:space="preserve"> </w:t>
      </w:r>
      <w:r>
        <w:rPr>
          <w:rFonts w:ascii="宋体" w:hAnsi="宋体" w:eastAsia="宋体" w:cs="宋体"/>
          <w:spacing w:val="-1"/>
          <w:sz w:val="24"/>
          <w:szCs w:val="24"/>
        </w:rPr>
        <w:t>故白油不在现场储存；在紧急情况下临时调用时，白油现场最大存在量为</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16t</w:t>
      </w:r>
      <w:r>
        <w:rPr>
          <w:rFonts w:ascii="宋体" w:hAnsi="宋体" w:eastAsia="宋体" w:cs="宋体"/>
          <w:spacing w:val="-2"/>
          <w:sz w:val="24"/>
          <w:szCs w:val="24"/>
        </w:rPr>
        <w:t>，</w:t>
      </w:r>
    </w:p>
    <w:p>
      <w:pPr>
        <w:spacing w:before="1" w:line="219" w:lineRule="auto"/>
        <w:ind w:left="123"/>
        <w:rPr>
          <w:rFonts w:ascii="宋体" w:hAnsi="宋体" w:eastAsia="宋体" w:cs="宋体"/>
          <w:sz w:val="24"/>
          <w:szCs w:val="24"/>
        </w:rPr>
      </w:pPr>
      <w:r>
        <w:rPr>
          <w:rFonts w:ascii="宋体" w:hAnsi="宋体" w:eastAsia="宋体" w:cs="宋体"/>
          <w:spacing w:val="-5"/>
          <w:sz w:val="24"/>
          <w:szCs w:val="24"/>
        </w:rPr>
        <w:t>贮存量远小于临界值。</w:t>
      </w:r>
    </w:p>
    <w:p>
      <w:pPr>
        <w:spacing w:before="195" w:line="480" w:lineRule="exact"/>
        <w:ind w:left="602"/>
        <w:rPr>
          <w:rFonts w:ascii="宋体" w:hAnsi="宋体" w:eastAsia="宋体" w:cs="宋体"/>
          <w:sz w:val="24"/>
          <w:szCs w:val="24"/>
        </w:rPr>
      </w:pPr>
      <w:r>
        <w:rPr>
          <w:rFonts w:ascii="宋体" w:hAnsi="宋体" w:eastAsia="宋体" w:cs="宋体"/>
          <w:spacing w:val="-2"/>
          <w:position w:val="18"/>
          <w:sz w:val="24"/>
          <w:szCs w:val="24"/>
        </w:rPr>
        <w:t>根据《建设项目环境风险评价技术导则》（</w:t>
      </w:r>
      <w:r>
        <w:rPr>
          <w:rFonts w:ascii="Times New Roman" w:hAnsi="Times New Roman" w:eastAsia="Times New Roman" w:cs="Times New Roman"/>
          <w:spacing w:val="-2"/>
          <w:position w:val="18"/>
          <w:sz w:val="24"/>
          <w:szCs w:val="24"/>
        </w:rPr>
        <w:t>HJ169-20</w:t>
      </w:r>
      <w:r>
        <w:rPr>
          <w:rFonts w:ascii="Times New Roman" w:hAnsi="Times New Roman" w:eastAsia="Times New Roman" w:cs="Times New Roman"/>
          <w:spacing w:val="-3"/>
          <w:position w:val="18"/>
          <w:sz w:val="24"/>
          <w:szCs w:val="24"/>
        </w:rPr>
        <w:t>18</w:t>
      </w:r>
      <w:r>
        <w:rPr>
          <w:rFonts w:ascii="宋体" w:hAnsi="宋体" w:eastAsia="宋体" w:cs="宋体"/>
          <w:spacing w:val="-3"/>
          <w:position w:val="18"/>
          <w:sz w:val="24"/>
          <w:szCs w:val="24"/>
        </w:rPr>
        <w:t>）柴油、白油属于附</w:t>
      </w:r>
    </w:p>
    <w:p>
      <w:pPr>
        <w:spacing w:line="219" w:lineRule="auto"/>
        <w:ind w:left="123"/>
        <w:rPr>
          <w:rFonts w:ascii="宋体" w:hAnsi="宋体" w:eastAsia="宋体" w:cs="宋体"/>
          <w:sz w:val="24"/>
          <w:szCs w:val="24"/>
        </w:rPr>
      </w:pPr>
      <w:r>
        <w:rPr>
          <w:rFonts w:ascii="宋体" w:hAnsi="宋体" w:eastAsia="宋体" w:cs="宋体"/>
          <w:spacing w:val="-1"/>
          <w:sz w:val="24"/>
          <w:szCs w:val="24"/>
        </w:rPr>
        <w:t>录</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B.1</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突发环境事件风险物质——油类物质，其临界量为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500t</w:t>
      </w:r>
      <w:r>
        <w:rPr>
          <w:rFonts w:ascii="宋体" w:hAnsi="宋体" w:eastAsia="宋体" w:cs="宋体"/>
          <w:spacing w:val="-2"/>
          <w:sz w:val="24"/>
          <w:szCs w:val="24"/>
        </w:rPr>
        <w:t>。</w:t>
      </w:r>
    </w:p>
    <w:p>
      <w:pPr>
        <w:spacing w:before="195" w:line="480" w:lineRule="exact"/>
        <w:ind w:left="602"/>
        <w:rPr>
          <w:rFonts w:ascii="Times New Roman" w:hAnsi="Times New Roman" w:eastAsia="Times New Roman" w:cs="Times New Roman"/>
          <w:sz w:val="24"/>
          <w:szCs w:val="24"/>
        </w:rPr>
      </w:pPr>
      <w:r>
        <w:rPr>
          <w:rFonts w:ascii="宋体" w:hAnsi="宋体" w:eastAsia="宋体" w:cs="宋体"/>
          <w:spacing w:val="-6"/>
          <w:position w:val="17"/>
          <w:sz w:val="24"/>
          <w:szCs w:val="24"/>
        </w:rPr>
        <w:t>拟建项目柴油存储在井场前场的油罐区内，</w:t>
      </w:r>
      <w:r>
        <w:rPr>
          <w:rFonts w:ascii="宋体" w:hAnsi="宋体" w:eastAsia="宋体" w:cs="宋体"/>
          <w:spacing w:val="48"/>
          <w:position w:val="17"/>
          <w:sz w:val="24"/>
          <w:szCs w:val="24"/>
        </w:rPr>
        <w:t xml:space="preserve"> </w:t>
      </w:r>
      <w:r>
        <w:rPr>
          <w:rFonts w:ascii="宋体" w:hAnsi="宋体" w:eastAsia="宋体" w:cs="宋体"/>
          <w:spacing w:val="-6"/>
          <w:position w:val="17"/>
          <w:sz w:val="24"/>
          <w:szCs w:val="24"/>
        </w:rPr>
        <w:t>现场量大储存量不超过</w:t>
      </w:r>
      <w:r>
        <w:rPr>
          <w:rFonts w:ascii="宋体" w:hAnsi="宋体" w:eastAsia="宋体" w:cs="宋体"/>
          <w:spacing w:val="-49"/>
          <w:position w:val="17"/>
          <w:sz w:val="24"/>
          <w:szCs w:val="24"/>
        </w:rPr>
        <w:t xml:space="preserve"> </w:t>
      </w:r>
      <w:r>
        <w:rPr>
          <w:rFonts w:ascii="Times New Roman" w:hAnsi="Times New Roman" w:eastAsia="Times New Roman" w:cs="Times New Roman"/>
          <w:spacing w:val="-6"/>
          <w:position w:val="17"/>
          <w:sz w:val="24"/>
          <w:szCs w:val="24"/>
        </w:rPr>
        <w:t>33</w:t>
      </w:r>
      <w:r>
        <w:rPr>
          <w:rFonts w:ascii="Times New Roman" w:hAnsi="Times New Roman" w:eastAsia="Times New Roman" w:cs="Times New Roman"/>
          <w:spacing w:val="-7"/>
          <w:position w:val="17"/>
          <w:sz w:val="24"/>
          <w:szCs w:val="24"/>
        </w:rPr>
        <w:t>.6t</w:t>
      </w: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1</w:t>
      </w:r>
    </w:p>
    <w:p>
      <w:pPr>
        <w:spacing w:before="1" w:line="219" w:lineRule="auto"/>
        <w:ind w:left="122"/>
        <w:rPr>
          <w:rFonts w:ascii="宋体" w:hAnsi="宋体" w:eastAsia="宋体" w:cs="宋体"/>
          <w:sz w:val="24"/>
          <w:szCs w:val="24"/>
        </w:rPr>
      </w:pPr>
      <w:r>
        <w:rPr>
          <w:rFonts w:ascii="宋体" w:hAnsi="宋体" w:eastAsia="宋体" w:cs="宋体"/>
          <w:spacing w:val="-3"/>
          <w:sz w:val="24"/>
          <w:szCs w:val="24"/>
        </w:rPr>
        <w:t>个</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40m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31"/>
          <w:position w:val="9"/>
          <w:sz w:val="16"/>
          <w:szCs w:val="16"/>
        </w:rPr>
        <w:t xml:space="preserve"> </w:t>
      </w:r>
      <w:r>
        <w:rPr>
          <w:rFonts w:ascii="宋体" w:hAnsi="宋体" w:eastAsia="宋体" w:cs="宋体"/>
          <w:spacing w:val="-3"/>
          <w:sz w:val="24"/>
          <w:szCs w:val="24"/>
        </w:rPr>
        <w:t>的油罐，充装率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95%</w:t>
      </w:r>
      <w:r>
        <w:rPr>
          <w:rFonts w:ascii="宋体" w:hAnsi="宋体" w:eastAsia="宋体" w:cs="宋体"/>
          <w:spacing w:val="-61"/>
          <w:w w:val="97"/>
          <w:sz w:val="24"/>
          <w:szCs w:val="24"/>
        </w:rPr>
        <w:t>），</w:t>
      </w:r>
      <w:r>
        <w:rPr>
          <w:rFonts w:ascii="宋体" w:hAnsi="宋体" w:eastAsia="宋体" w:cs="宋体"/>
          <w:spacing w:val="-3"/>
          <w:sz w:val="24"/>
          <w:szCs w:val="24"/>
        </w:rPr>
        <w:t>贮存量远小于临界值。</w:t>
      </w:r>
    </w:p>
    <w:p>
      <w:pPr>
        <w:spacing w:before="195" w:line="217" w:lineRule="auto"/>
        <w:ind w:left="60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③酸化用酸（主要成分为</w:t>
      </w:r>
      <w:r>
        <w:rPr>
          <w:rFonts w:ascii="宋体" w:hAnsi="宋体" w:eastAsia="宋体" w:cs="宋体"/>
          <w:spacing w:val="-36"/>
          <w:sz w:val="24"/>
          <w:szCs w:val="24"/>
        </w:rPr>
        <w:t xml:space="preserve"> </w:t>
      </w:r>
      <w:r>
        <w:rPr>
          <w:rFonts w:ascii="Times New Roman" w:hAnsi="Times New Roman" w:eastAsia="Times New Roman" w:cs="Times New Roman"/>
          <w:b/>
          <w:bCs/>
          <w:spacing w:val="-1"/>
          <w:sz w:val="24"/>
          <w:szCs w:val="24"/>
        </w:rPr>
        <w:t>7%</w:t>
      </w:r>
      <w:r>
        <w:rPr>
          <w:rFonts w:ascii="宋体" w:hAnsi="宋体" w:eastAsia="宋体" w:cs="宋体"/>
          <w:spacing w:val="-1"/>
          <w:sz w:val="24"/>
          <w:szCs w:val="24"/>
          <w14:textOutline w14:w="4354" w14:cap="flat" w14:cmpd="sng">
            <w14:solidFill>
              <w14:srgbClr w14:val="000000"/>
            </w14:solidFill>
            <w14:prstDash w14:val="solid"/>
            <w14:miter w14:val="10"/>
          </w14:textOutline>
        </w:rPr>
        <w:t>的稀盐酸）</w:t>
      </w:r>
    </w:p>
    <w:p>
      <w:pPr>
        <w:spacing w:before="198" w:line="369" w:lineRule="auto"/>
        <w:ind w:left="122" w:right="112" w:firstLine="478"/>
        <w:jc w:val="both"/>
        <w:rPr>
          <w:rFonts w:ascii="宋体" w:hAnsi="宋体" w:eastAsia="宋体" w:cs="宋体"/>
          <w:sz w:val="24"/>
          <w:szCs w:val="24"/>
        </w:rPr>
      </w:pPr>
      <w:r>
        <w:rPr>
          <w:rFonts w:ascii="宋体" w:hAnsi="宋体" w:eastAsia="宋体" w:cs="宋体"/>
          <w:spacing w:val="-9"/>
          <w:sz w:val="24"/>
          <w:szCs w:val="24"/>
        </w:rPr>
        <w:t>在钻至洗井层位后（下完套管后</w:t>
      </w:r>
      <w:r>
        <w:rPr>
          <w:rFonts w:ascii="宋体" w:hAnsi="宋体" w:eastAsia="宋体" w:cs="宋体"/>
          <w:spacing w:val="-30"/>
          <w:sz w:val="24"/>
          <w:szCs w:val="24"/>
        </w:rPr>
        <w:t>），</w:t>
      </w:r>
      <w:r>
        <w:rPr>
          <w:rFonts w:ascii="宋体" w:hAnsi="宋体" w:eastAsia="宋体" w:cs="宋体"/>
          <w:spacing w:val="-9"/>
          <w:sz w:val="24"/>
          <w:szCs w:val="24"/>
        </w:rPr>
        <w:t>将成品酸化洗井用胶束酸由玻璃钢罐（每</w:t>
      </w:r>
      <w:r>
        <w:rPr>
          <w:rFonts w:ascii="宋体" w:hAnsi="宋体" w:eastAsia="宋体" w:cs="宋体"/>
          <w:spacing w:val="1"/>
          <w:sz w:val="24"/>
          <w:szCs w:val="24"/>
        </w:rPr>
        <w:t xml:space="preserve"> </w:t>
      </w:r>
      <w:r>
        <w:rPr>
          <w:rFonts w:ascii="宋体" w:hAnsi="宋体" w:eastAsia="宋体" w:cs="宋体"/>
          <w:spacing w:val="-6"/>
          <w:sz w:val="24"/>
          <w:szCs w:val="24"/>
        </w:rPr>
        <w:t xml:space="preserve">个 </w:t>
      </w:r>
      <w:r>
        <w:rPr>
          <w:rFonts w:ascii="Times New Roman" w:hAnsi="Times New Roman" w:eastAsia="Times New Roman" w:cs="Times New Roman"/>
          <w:spacing w:val="-6"/>
          <w:sz w:val="24"/>
          <w:szCs w:val="24"/>
        </w:rPr>
        <w:t>50m</w:t>
      </w:r>
      <w:r>
        <w:rPr>
          <w:rFonts w:ascii="Times New Roman" w:hAnsi="Times New Roman" w:eastAsia="Times New Roman" w:cs="Times New Roman"/>
          <w:spacing w:val="-6"/>
          <w:position w:val="9"/>
          <w:sz w:val="16"/>
          <w:szCs w:val="16"/>
        </w:rPr>
        <w:t xml:space="preserve">3 </w:t>
      </w:r>
      <w:r>
        <w:rPr>
          <w:rFonts w:ascii="宋体" w:hAnsi="宋体" w:eastAsia="宋体" w:cs="宋体"/>
          <w:spacing w:val="-6"/>
          <w:sz w:val="24"/>
          <w:szCs w:val="24"/>
        </w:rPr>
        <w:t>）车专业运输车辆拉运至现场使用，</w:t>
      </w:r>
      <w:r>
        <w:rPr>
          <w:rFonts w:ascii="宋体" w:hAnsi="宋体" w:eastAsia="宋体" w:cs="宋体"/>
          <w:spacing w:val="66"/>
          <w:sz w:val="24"/>
          <w:szCs w:val="24"/>
        </w:rPr>
        <w:t xml:space="preserve"> </w:t>
      </w:r>
      <w:r>
        <w:rPr>
          <w:rFonts w:ascii="宋体" w:hAnsi="宋体" w:eastAsia="宋体" w:cs="宋体"/>
          <w:spacing w:val="-6"/>
          <w:sz w:val="24"/>
          <w:szCs w:val="24"/>
        </w:rPr>
        <w:t>根据预估使用量，分批次运输</w:t>
      </w:r>
      <w:r>
        <w:rPr>
          <w:rFonts w:ascii="宋体" w:hAnsi="宋体" w:eastAsia="宋体" w:cs="宋体"/>
          <w:spacing w:val="-7"/>
          <w:sz w:val="24"/>
          <w:szCs w:val="24"/>
        </w:rPr>
        <w:t>至井</w:t>
      </w:r>
    </w:p>
    <w:p>
      <w:pPr>
        <w:spacing w:before="1" w:line="212" w:lineRule="auto"/>
        <w:ind w:left="121"/>
        <w:rPr>
          <w:rFonts w:ascii="Times New Roman" w:hAnsi="Times New Roman" w:eastAsia="Times New Roman" w:cs="Times New Roman"/>
          <w:sz w:val="16"/>
          <w:szCs w:val="16"/>
        </w:rPr>
      </w:pPr>
      <w:r>
        <w:rPr>
          <w:rFonts w:ascii="宋体" w:hAnsi="宋体" w:eastAsia="宋体" w:cs="宋体"/>
          <w:spacing w:val="-3"/>
          <w:sz w:val="24"/>
          <w:szCs w:val="24"/>
        </w:rPr>
        <w:t>场。每批次约</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100m</w:t>
      </w:r>
      <w:r>
        <w:rPr>
          <w:rFonts w:ascii="Times New Roman" w:hAnsi="Times New Roman" w:eastAsia="Times New Roman" w:cs="Times New Roman"/>
          <w:spacing w:val="-3"/>
          <w:position w:val="8"/>
          <w:sz w:val="16"/>
          <w:szCs w:val="16"/>
        </w:rPr>
        <w:t>3</w:t>
      </w:r>
      <w:r>
        <w:rPr>
          <w:rFonts w:ascii="宋体" w:hAnsi="宋体" w:eastAsia="宋体" w:cs="宋体"/>
          <w:spacing w:val="-3"/>
          <w:sz w:val="24"/>
          <w:szCs w:val="24"/>
        </w:rPr>
        <w:t>，现场最大贮存量不超</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100m</w:t>
      </w:r>
      <w:r>
        <w:rPr>
          <w:rFonts w:ascii="Times New Roman" w:hAnsi="Times New Roman" w:eastAsia="Times New Roman" w:cs="Times New Roman"/>
          <w:spacing w:val="-3"/>
          <w:position w:val="8"/>
          <w:sz w:val="16"/>
          <w:szCs w:val="16"/>
        </w:rPr>
        <w:t>3</w:t>
      </w: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稀盐酸密度以</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1.187g/cm</w:t>
      </w:r>
      <w:r>
        <w:rPr>
          <w:rFonts w:ascii="Times New Roman" w:hAnsi="Times New Roman" w:eastAsia="Times New Roman" w:cs="Times New Roman"/>
          <w:spacing w:val="-4"/>
          <w:position w:val="8"/>
          <w:sz w:val="16"/>
          <w:szCs w:val="16"/>
        </w:rPr>
        <w:t>3</w:t>
      </w:r>
    </w:p>
    <w:p>
      <w:pPr>
        <w:spacing w:line="212" w:lineRule="auto"/>
        <w:rPr>
          <w:rFonts w:ascii="Times New Roman" w:hAnsi="Times New Roman" w:eastAsia="Times New Roman" w:cs="Times New Roman"/>
          <w:sz w:val="16"/>
          <w:szCs w:val="16"/>
        </w:rPr>
        <w:sectPr>
          <w:footerReference r:id="rId211" w:type="default"/>
          <w:pgSz w:w="11907" w:h="16839"/>
          <w:pgMar w:top="1123" w:right="1682" w:bottom="1149" w:left="1685" w:header="1108" w:footer="988" w:gutter="0"/>
          <w:cols w:space="720" w:num="1"/>
        </w:sectPr>
      </w:pPr>
    </w:p>
    <w:p>
      <w:pPr>
        <w:pStyle w:val="2"/>
        <w:spacing w:line="413" w:lineRule="auto"/>
        <w:rPr>
          <w:sz w:val="21"/>
        </w:rPr>
      </w:pPr>
    </w:p>
    <w:p>
      <w:pPr>
        <w:spacing w:before="78" w:line="233" w:lineRule="auto"/>
        <w:ind w:left="38"/>
        <w:rPr>
          <w:rFonts w:ascii="宋体" w:hAnsi="宋体" w:eastAsia="宋体" w:cs="宋体"/>
          <w:sz w:val="24"/>
          <w:szCs w:val="24"/>
        </w:rPr>
      </w:pPr>
      <w:r>
        <w:rPr>
          <w:rFonts w:ascii="宋体" w:hAnsi="宋体" w:eastAsia="宋体" w:cs="宋体"/>
          <w:spacing w:val="-3"/>
          <w:sz w:val="24"/>
          <w:szCs w:val="24"/>
        </w:rPr>
        <w:t>考虑，则现场最大贮存量并不超过</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118.7t</w:t>
      </w:r>
      <w:r>
        <w:rPr>
          <w:rFonts w:ascii="宋体" w:hAnsi="宋体" w:eastAsia="宋体" w:cs="宋体"/>
          <w:spacing w:val="-3"/>
          <w:sz w:val="24"/>
          <w:szCs w:val="24"/>
        </w:rPr>
        <w:t>。</w:t>
      </w:r>
    </w:p>
    <w:p>
      <w:pPr>
        <w:spacing w:before="178" w:line="369" w:lineRule="auto"/>
        <w:ind w:left="40" w:right="69" w:firstLine="478"/>
        <w:jc w:val="both"/>
        <w:rPr>
          <w:rFonts w:ascii="宋体" w:hAnsi="宋体" w:eastAsia="宋体" w:cs="宋体"/>
          <w:sz w:val="24"/>
          <w:szCs w:val="24"/>
        </w:rPr>
      </w:pPr>
      <w:r>
        <w:rPr>
          <w:rFonts w:ascii="宋体" w:hAnsi="宋体" w:eastAsia="宋体" w:cs="宋体"/>
          <w:spacing w:val="-1"/>
          <w:sz w:val="24"/>
          <w:szCs w:val="24"/>
        </w:rPr>
        <w:t>本项目酸化液主要成分为</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7%</w:t>
      </w:r>
      <w:r>
        <w:rPr>
          <w:rFonts w:ascii="宋体" w:hAnsi="宋体" w:eastAsia="宋体" w:cs="宋体"/>
          <w:spacing w:val="-1"/>
          <w:sz w:val="24"/>
          <w:szCs w:val="24"/>
        </w:rPr>
        <w:t>的稀盐酸，根据《建设项目环境风险评价技术</w:t>
      </w:r>
      <w:r>
        <w:rPr>
          <w:rFonts w:ascii="宋体" w:hAnsi="宋体" w:eastAsia="宋体" w:cs="宋体"/>
          <w:sz w:val="24"/>
          <w:szCs w:val="24"/>
        </w:rPr>
        <w:t xml:space="preserve"> </w:t>
      </w:r>
      <w:r>
        <w:rPr>
          <w:rFonts w:ascii="宋体" w:hAnsi="宋体" w:eastAsia="宋体" w:cs="宋体"/>
          <w:spacing w:val="-7"/>
          <w:sz w:val="24"/>
          <w:szCs w:val="24"/>
        </w:rPr>
        <w:t>导则》（</w:t>
      </w:r>
      <w:r>
        <w:rPr>
          <w:rFonts w:ascii="Times New Roman" w:hAnsi="Times New Roman" w:eastAsia="Times New Roman" w:cs="Times New Roman"/>
          <w:spacing w:val="-7"/>
          <w:sz w:val="24"/>
          <w:szCs w:val="24"/>
        </w:rPr>
        <w:t>HJ169-2018</w:t>
      </w:r>
      <w:r>
        <w:rPr>
          <w:rFonts w:ascii="宋体" w:hAnsi="宋体" w:eastAsia="宋体" w:cs="宋体"/>
          <w:spacing w:val="-7"/>
          <w:sz w:val="24"/>
          <w:szCs w:val="24"/>
        </w:rPr>
        <w:t>）附录</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B.2</w:t>
      </w:r>
      <w:r>
        <w:rPr>
          <w:rFonts w:ascii="Times New Roman" w:hAnsi="Times New Roman" w:eastAsia="Times New Roman" w:cs="Times New Roman"/>
          <w:spacing w:val="42"/>
          <w:sz w:val="24"/>
          <w:szCs w:val="24"/>
        </w:rPr>
        <w:t xml:space="preserve"> </w:t>
      </w:r>
      <w:r>
        <w:rPr>
          <w:rFonts w:ascii="宋体" w:hAnsi="宋体" w:eastAsia="宋体" w:cs="宋体"/>
          <w:spacing w:val="-7"/>
          <w:sz w:val="24"/>
          <w:szCs w:val="24"/>
        </w:rPr>
        <w:t>中提出，“对未列入</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B.1</w:t>
      </w:r>
      <w:r>
        <w:rPr>
          <w:rFonts w:ascii="宋体" w:hAnsi="宋体" w:eastAsia="宋体" w:cs="宋体"/>
          <w:spacing w:val="-7"/>
          <w:sz w:val="24"/>
          <w:szCs w:val="24"/>
        </w:rPr>
        <w:t>，但根据风险调查需要分</w:t>
      </w:r>
      <w:r>
        <w:rPr>
          <w:rFonts w:ascii="宋体" w:hAnsi="宋体" w:eastAsia="宋体" w:cs="宋体"/>
          <w:sz w:val="24"/>
          <w:szCs w:val="24"/>
        </w:rPr>
        <w:t xml:space="preserve"> </w:t>
      </w:r>
      <w:r>
        <w:rPr>
          <w:rFonts w:ascii="宋体" w:hAnsi="宋体" w:eastAsia="宋体" w:cs="宋体"/>
          <w:spacing w:val="-5"/>
          <w:sz w:val="24"/>
          <w:szCs w:val="24"/>
        </w:rPr>
        <w:t>析计算的危险物质，其临界量可按表</w:t>
      </w:r>
      <w:r>
        <w:rPr>
          <w:rFonts w:ascii="宋体" w:hAnsi="宋体" w:eastAsia="宋体" w:cs="宋体"/>
          <w:spacing w:val="-12"/>
          <w:sz w:val="24"/>
          <w:szCs w:val="24"/>
        </w:rPr>
        <w:t xml:space="preserve"> </w:t>
      </w:r>
      <w:r>
        <w:rPr>
          <w:rFonts w:ascii="Times New Roman" w:hAnsi="Times New Roman" w:eastAsia="Times New Roman" w:cs="Times New Roman"/>
          <w:spacing w:val="-5"/>
          <w:sz w:val="24"/>
          <w:szCs w:val="24"/>
        </w:rPr>
        <w:t xml:space="preserve">B.2  </w:t>
      </w:r>
      <w:r>
        <w:rPr>
          <w:rFonts w:ascii="宋体" w:hAnsi="宋体" w:eastAsia="宋体" w:cs="宋体"/>
          <w:spacing w:val="-5"/>
          <w:sz w:val="24"/>
          <w:szCs w:val="24"/>
        </w:rPr>
        <w:t>中推荐值选取”；项目所用稀盐酸属于</w:t>
      </w:r>
    </w:p>
    <w:p>
      <w:pPr>
        <w:spacing w:before="1" w:line="218" w:lineRule="auto"/>
        <w:ind w:left="41"/>
        <w:rPr>
          <w:rFonts w:ascii="宋体" w:hAnsi="宋体" w:eastAsia="宋体" w:cs="宋体"/>
          <w:sz w:val="24"/>
          <w:szCs w:val="24"/>
        </w:rPr>
      </w:pPr>
      <w:r>
        <w:rPr>
          <w:rFonts w:ascii="宋体" w:hAnsi="宋体" w:eastAsia="宋体" w:cs="宋体"/>
          <w:spacing w:val="-3"/>
          <w:sz w:val="24"/>
          <w:szCs w:val="24"/>
        </w:rPr>
        <w:t>危害水环境物质，其推荐临界量为</w:t>
      </w:r>
      <w:r>
        <w:rPr>
          <w:rFonts w:ascii="宋体" w:hAnsi="宋体" w:eastAsia="宋体" w:cs="宋体"/>
          <w:spacing w:val="-13"/>
          <w:sz w:val="24"/>
          <w:szCs w:val="24"/>
        </w:rPr>
        <w:t xml:space="preserve"> </w:t>
      </w:r>
      <w:r>
        <w:rPr>
          <w:rFonts w:ascii="Times New Roman" w:hAnsi="Times New Roman" w:eastAsia="Times New Roman" w:cs="Times New Roman"/>
          <w:spacing w:val="-3"/>
          <w:sz w:val="24"/>
          <w:szCs w:val="24"/>
        </w:rPr>
        <w:t>100t</w:t>
      </w:r>
      <w:r>
        <w:rPr>
          <w:rFonts w:ascii="宋体" w:hAnsi="宋体" w:eastAsia="宋体" w:cs="宋体"/>
          <w:spacing w:val="-3"/>
          <w:sz w:val="24"/>
          <w:szCs w:val="24"/>
        </w:rPr>
        <w:t>。</w:t>
      </w:r>
    </w:p>
    <w:p>
      <w:pPr>
        <w:spacing w:before="196" w:line="217" w:lineRule="auto"/>
        <w:ind w:left="518"/>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④油基泥浆</w:t>
      </w:r>
    </w:p>
    <w:p>
      <w:pPr>
        <w:spacing w:before="198" w:line="369" w:lineRule="auto"/>
        <w:ind w:left="37" w:right="68" w:firstLine="484"/>
        <w:rPr>
          <w:rFonts w:ascii="宋体" w:hAnsi="宋体" w:eastAsia="宋体" w:cs="宋体"/>
          <w:sz w:val="24"/>
          <w:szCs w:val="24"/>
        </w:rPr>
      </w:pPr>
      <w:r>
        <w:rPr>
          <w:rFonts w:ascii="宋体" w:hAnsi="宋体" w:eastAsia="宋体" w:cs="宋体"/>
          <w:spacing w:val="-7"/>
          <w:sz w:val="24"/>
          <w:szCs w:val="24"/>
        </w:rPr>
        <w:t>油基泥浆主要成分白油为无色透明油状液体， 参照执行《建设项目环境风险</w:t>
      </w:r>
      <w:r>
        <w:rPr>
          <w:rFonts w:ascii="宋体" w:hAnsi="宋体" w:eastAsia="宋体" w:cs="宋体"/>
          <w:spacing w:val="7"/>
          <w:sz w:val="24"/>
          <w:szCs w:val="24"/>
        </w:rPr>
        <w:t xml:space="preserve"> </w:t>
      </w:r>
      <w:r>
        <w:rPr>
          <w:rFonts w:ascii="宋体" w:hAnsi="宋体" w:eastAsia="宋体" w:cs="宋体"/>
          <w:spacing w:val="-4"/>
          <w:sz w:val="24"/>
          <w:szCs w:val="24"/>
        </w:rPr>
        <w:t>评价技术导则》（</w:t>
      </w:r>
      <w:r>
        <w:rPr>
          <w:rFonts w:ascii="Times New Roman" w:hAnsi="Times New Roman" w:eastAsia="Times New Roman" w:cs="Times New Roman"/>
          <w:spacing w:val="-4"/>
          <w:sz w:val="24"/>
          <w:szCs w:val="24"/>
        </w:rPr>
        <w:t>HJ169-2018</w:t>
      </w:r>
      <w:r>
        <w:rPr>
          <w:rFonts w:ascii="宋体" w:hAnsi="宋体" w:eastAsia="宋体" w:cs="宋体"/>
          <w:spacing w:val="-4"/>
          <w:sz w:val="24"/>
          <w:szCs w:val="24"/>
        </w:rPr>
        <w:t xml:space="preserve">）机油属于附录 </w:t>
      </w:r>
      <w:r>
        <w:rPr>
          <w:rFonts w:ascii="Times New Roman" w:hAnsi="Times New Roman" w:eastAsia="Times New Roman" w:cs="Times New Roman"/>
          <w:spacing w:val="-4"/>
          <w:sz w:val="24"/>
          <w:szCs w:val="24"/>
        </w:rPr>
        <w:t>B.1</w:t>
      </w:r>
      <w:r>
        <w:rPr>
          <w:rFonts w:ascii="Times New Roman" w:hAnsi="Times New Roman" w:eastAsia="Times New Roman" w:cs="Times New Roman"/>
          <w:spacing w:val="52"/>
          <w:w w:val="101"/>
          <w:sz w:val="24"/>
          <w:szCs w:val="24"/>
        </w:rPr>
        <w:t xml:space="preserve"> </w:t>
      </w:r>
      <w:r>
        <w:rPr>
          <w:rFonts w:ascii="宋体" w:hAnsi="宋体" w:eastAsia="宋体" w:cs="宋体"/>
          <w:spacing w:val="-4"/>
          <w:sz w:val="24"/>
          <w:szCs w:val="24"/>
        </w:rPr>
        <w:t>突发环境事</w:t>
      </w:r>
      <w:r>
        <w:rPr>
          <w:rFonts w:ascii="宋体" w:hAnsi="宋体" w:eastAsia="宋体" w:cs="宋体"/>
          <w:spacing w:val="-5"/>
          <w:sz w:val="24"/>
          <w:szCs w:val="24"/>
        </w:rPr>
        <w:t>件风险物质——油</w:t>
      </w:r>
    </w:p>
    <w:p>
      <w:pPr>
        <w:spacing w:line="219" w:lineRule="auto"/>
        <w:ind w:left="38"/>
        <w:rPr>
          <w:rFonts w:ascii="宋体" w:hAnsi="宋体" w:eastAsia="宋体" w:cs="宋体"/>
          <w:sz w:val="24"/>
          <w:szCs w:val="24"/>
        </w:rPr>
      </w:pPr>
      <w:r>
        <w:rPr>
          <w:rFonts w:ascii="宋体" w:hAnsi="宋体" w:eastAsia="宋体" w:cs="宋体"/>
          <w:spacing w:val="-1"/>
          <w:sz w:val="24"/>
          <w:szCs w:val="24"/>
        </w:rPr>
        <w:t>类物质，其临界量为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2500t</w:t>
      </w:r>
      <w:r>
        <w:rPr>
          <w:rFonts w:ascii="宋体" w:hAnsi="宋体" w:eastAsia="宋体" w:cs="宋体"/>
          <w:spacing w:val="-1"/>
          <w:sz w:val="24"/>
          <w:szCs w:val="24"/>
        </w:rPr>
        <w:t>。</w:t>
      </w:r>
    </w:p>
    <w:p>
      <w:pPr>
        <w:spacing w:before="196" w:line="369" w:lineRule="auto"/>
        <w:ind w:left="38" w:right="70" w:firstLine="483"/>
        <w:rPr>
          <w:rFonts w:ascii="宋体" w:hAnsi="宋体" w:eastAsia="宋体" w:cs="宋体"/>
          <w:sz w:val="24"/>
          <w:szCs w:val="24"/>
        </w:rPr>
      </w:pPr>
      <w:r>
        <w:rPr>
          <w:rFonts w:ascii="宋体" w:hAnsi="宋体" w:eastAsia="宋体" w:cs="宋体"/>
          <w:spacing w:val="-6"/>
          <w:sz w:val="24"/>
          <w:szCs w:val="24"/>
        </w:rPr>
        <w:t>油基钻井泥浆采用罐车拉运配制好的油基泥浆至现场进入循环系统，</w:t>
      </w:r>
      <w:r>
        <w:rPr>
          <w:rFonts w:ascii="宋体" w:hAnsi="宋体" w:eastAsia="宋体" w:cs="宋体"/>
          <w:spacing w:val="-25"/>
          <w:sz w:val="24"/>
          <w:szCs w:val="24"/>
        </w:rPr>
        <w:t xml:space="preserve"> </w:t>
      </w:r>
      <w:r>
        <w:rPr>
          <w:rFonts w:ascii="宋体" w:hAnsi="宋体" w:eastAsia="宋体" w:cs="宋体"/>
          <w:spacing w:val="-6"/>
          <w:sz w:val="24"/>
          <w:szCs w:val="24"/>
        </w:rPr>
        <w:t>现场无</w:t>
      </w:r>
      <w:r>
        <w:rPr>
          <w:rFonts w:ascii="宋体" w:hAnsi="宋体" w:eastAsia="宋体" w:cs="宋体"/>
          <w:sz w:val="24"/>
          <w:szCs w:val="24"/>
        </w:rPr>
        <w:t xml:space="preserve"> </w:t>
      </w:r>
      <w:r>
        <w:rPr>
          <w:rFonts w:ascii="宋体" w:hAnsi="宋体" w:eastAsia="宋体" w:cs="宋体"/>
          <w:spacing w:val="-12"/>
          <w:sz w:val="24"/>
          <w:szCs w:val="24"/>
        </w:rPr>
        <w:t>油基泥浆配制，</w:t>
      </w:r>
      <w:r>
        <w:rPr>
          <w:rFonts w:ascii="宋体" w:hAnsi="宋体" w:eastAsia="宋体" w:cs="宋体"/>
          <w:spacing w:val="35"/>
          <w:sz w:val="24"/>
          <w:szCs w:val="24"/>
        </w:rPr>
        <w:t xml:space="preserve"> </w:t>
      </w:r>
      <w:r>
        <w:rPr>
          <w:rFonts w:ascii="宋体" w:hAnsi="宋体" w:eastAsia="宋体" w:cs="宋体"/>
          <w:spacing w:val="-12"/>
          <w:sz w:val="24"/>
          <w:szCs w:val="24"/>
        </w:rPr>
        <w:t>其环境风险主要表现在油基钻</w:t>
      </w:r>
      <w:r>
        <w:rPr>
          <w:rFonts w:ascii="宋体" w:hAnsi="宋体" w:eastAsia="宋体" w:cs="宋体"/>
          <w:spacing w:val="-13"/>
          <w:sz w:val="24"/>
          <w:szCs w:val="24"/>
        </w:rPr>
        <w:t>井液泄漏环境风险，</w:t>
      </w:r>
      <w:r>
        <w:rPr>
          <w:rFonts w:ascii="宋体" w:hAnsi="宋体" w:eastAsia="宋体" w:cs="宋体"/>
          <w:spacing w:val="38"/>
          <w:sz w:val="24"/>
          <w:szCs w:val="24"/>
        </w:rPr>
        <w:t xml:space="preserve"> </w:t>
      </w:r>
      <w:r>
        <w:rPr>
          <w:rFonts w:ascii="宋体" w:hAnsi="宋体" w:eastAsia="宋体" w:cs="宋体"/>
          <w:spacing w:val="-13"/>
          <w:sz w:val="24"/>
          <w:szCs w:val="24"/>
        </w:rPr>
        <w:t>项目用量（即</w:t>
      </w:r>
      <w:r>
        <w:rPr>
          <w:rFonts w:ascii="宋体" w:hAnsi="宋体" w:eastAsia="宋体" w:cs="宋体"/>
          <w:sz w:val="24"/>
          <w:szCs w:val="24"/>
        </w:rPr>
        <w:t xml:space="preserve"> </w:t>
      </w:r>
      <w:r>
        <w:rPr>
          <w:rFonts w:ascii="宋体" w:hAnsi="宋体" w:eastAsia="宋体" w:cs="宋体"/>
          <w:spacing w:val="-6"/>
          <w:sz w:val="24"/>
          <w:szCs w:val="24"/>
        </w:rPr>
        <w:t>循环系统在线量） 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475m</w:t>
      </w:r>
      <w:r>
        <w:rPr>
          <w:rFonts w:ascii="Times New Roman" w:hAnsi="Times New Roman" w:eastAsia="Times New Roman" w:cs="Times New Roman"/>
          <w:spacing w:val="-6"/>
          <w:position w:val="9"/>
          <w:sz w:val="16"/>
          <w:szCs w:val="16"/>
        </w:rPr>
        <w:t>3</w:t>
      </w:r>
      <w:r>
        <w:rPr>
          <w:rFonts w:ascii="宋体" w:hAnsi="宋体" w:eastAsia="宋体" w:cs="宋体"/>
          <w:spacing w:val="-6"/>
          <w:sz w:val="24"/>
          <w:szCs w:val="24"/>
        </w:rPr>
        <w:t>，油基泥浆比重</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0.831</w:t>
      </w:r>
      <w:r>
        <w:rPr>
          <w:rFonts w:ascii="宋体" w:hAnsi="宋体" w:eastAsia="宋体" w:cs="宋体"/>
          <w:spacing w:val="-6"/>
          <w:sz w:val="24"/>
          <w:szCs w:val="24"/>
        </w:rPr>
        <w:t>～</w:t>
      </w:r>
      <w:r>
        <w:rPr>
          <w:rFonts w:ascii="Times New Roman" w:hAnsi="Times New Roman" w:eastAsia="Times New Roman" w:cs="Times New Roman"/>
          <w:spacing w:val="-6"/>
          <w:sz w:val="24"/>
          <w:szCs w:val="24"/>
        </w:rPr>
        <w:t>0.883</w:t>
      </w:r>
      <w:r>
        <w:rPr>
          <w:rFonts w:ascii="宋体" w:hAnsi="宋体" w:eastAsia="宋体" w:cs="宋体"/>
          <w:spacing w:val="-6"/>
          <w:sz w:val="24"/>
          <w:szCs w:val="24"/>
        </w:rPr>
        <w:t>，本次取</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0.883</w:t>
      </w:r>
      <w:r>
        <w:rPr>
          <w:rFonts w:ascii="宋体" w:hAnsi="宋体" w:eastAsia="宋体" w:cs="宋体"/>
          <w:spacing w:val="-6"/>
          <w:sz w:val="24"/>
          <w:szCs w:val="24"/>
        </w:rPr>
        <w:t>，计算得</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油基泥浆重约</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419t</w:t>
      </w:r>
      <w:r>
        <w:rPr>
          <w:rFonts w:ascii="宋体" w:hAnsi="宋体" w:eastAsia="宋体" w:cs="宋体"/>
          <w:spacing w:val="-2"/>
          <w:sz w:val="24"/>
          <w:szCs w:val="24"/>
        </w:rPr>
        <w:t>。</w:t>
      </w:r>
    </w:p>
    <w:p>
      <w:pPr>
        <w:spacing w:before="195" w:line="217" w:lineRule="auto"/>
        <w:ind w:left="516"/>
        <w:rPr>
          <w:rFonts w:ascii="宋体" w:hAnsi="宋体" w:eastAsia="宋体" w:cs="宋体"/>
          <w:sz w:val="24"/>
          <w:szCs w:val="24"/>
        </w:rPr>
      </w:pPr>
      <w:r>
        <w:rPr>
          <w:rFonts w:ascii="宋体" w:hAnsi="宋体" w:eastAsia="宋体" w:cs="宋体"/>
          <w:spacing w:val="-1"/>
          <w:sz w:val="24"/>
          <w:szCs w:val="24"/>
        </w:rPr>
        <w:t>⑤油基岩屑、废油等危险废物</w:t>
      </w:r>
    </w:p>
    <w:p>
      <w:pPr>
        <w:spacing w:before="199" w:line="369" w:lineRule="auto"/>
        <w:ind w:left="38" w:firstLine="480"/>
        <w:rPr>
          <w:rFonts w:ascii="宋体" w:hAnsi="宋体" w:eastAsia="宋体" w:cs="宋体"/>
          <w:sz w:val="24"/>
          <w:szCs w:val="24"/>
        </w:rPr>
      </w:pPr>
      <w:r>
        <w:rPr>
          <w:rFonts w:ascii="宋体" w:hAnsi="宋体" w:eastAsia="宋体" w:cs="宋体"/>
          <w:spacing w:val="2"/>
          <w:sz w:val="24"/>
          <w:szCs w:val="24"/>
        </w:rPr>
        <w:t>本项目生产中可能产的油基岩屑、废油和含油废棉纱</w:t>
      </w:r>
      <w:r>
        <w:rPr>
          <w:rFonts w:ascii="Times New Roman" w:hAnsi="Times New Roman" w:eastAsia="Times New Roman" w:cs="Times New Roman"/>
          <w:spacing w:val="2"/>
          <w:sz w:val="24"/>
          <w:szCs w:val="24"/>
        </w:rPr>
        <w:t>/</w:t>
      </w:r>
      <w:r>
        <w:rPr>
          <w:rFonts w:ascii="宋体" w:hAnsi="宋体" w:eastAsia="宋体" w:cs="宋体"/>
          <w:spacing w:val="2"/>
          <w:sz w:val="24"/>
          <w:szCs w:val="24"/>
        </w:rPr>
        <w:t>手套、废油桶等均为</w:t>
      </w:r>
      <w:r>
        <w:rPr>
          <w:rFonts w:ascii="宋体" w:hAnsi="宋体" w:eastAsia="宋体" w:cs="宋体"/>
          <w:spacing w:val="6"/>
          <w:sz w:val="24"/>
          <w:szCs w:val="24"/>
        </w:rPr>
        <w:t xml:space="preserve"> </w:t>
      </w:r>
      <w:r>
        <w:rPr>
          <w:rFonts w:ascii="宋体" w:hAnsi="宋体" w:eastAsia="宋体" w:cs="宋体"/>
          <w:spacing w:val="2"/>
          <w:sz w:val="24"/>
          <w:szCs w:val="24"/>
        </w:rPr>
        <w:t>含油危险废物，其中含油废棉纱</w:t>
      </w:r>
      <w:r>
        <w:rPr>
          <w:rFonts w:ascii="Times New Roman" w:hAnsi="Times New Roman" w:eastAsia="Times New Roman" w:cs="Times New Roman"/>
          <w:spacing w:val="2"/>
          <w:sz w:val="24"/>
          <w:szCs w:val="24"/>
        </w:rPr>
        <w:t>/</w:t>
      </w:r>
      <w:r>
        <w:rPr>
          <w:rFonts w:ascii="宋体" w:hAnsi="宋体" w:eastAsia="宋体" w:cs="宋体"/>
          <w:spacing w:val="2"/>
          <w:sz w:val="24"/>
          <w:szCs w:val="24"/>
        </w:rPr>
        <w:t>手套、废油桶等产生量小，含油率低，容器收</w:t>
      </w:r>
      <w:r>
        <w:rPr>
          <w:rFonts w:ascii="宋体" w:hAnsi="宋体" w:eastAsia="宋体" w:cs="宋体"/>
          <w:spacing w:val="6"/>
          <w:sz w:val="24"/>
          <w:szCs w:val="24"/>
        </w:rPr>
        <w:t xml:space="preserve"> </w:t>
      </w:r>
      <w:r>
        <w:rPr>
          <w:rFonts w:ascii="宋体" w:hAnsi="宋体" w:eastAsia="宋体" w:cs="宋体"/>
          <w:spacing w:val="-6"/>
          <w:sz w:val="24"/>
          <w:szCs w:val="24"/>
        </w:rPr>
        <w:t>集后及时委托有资质单位处理， 本次评价不作为环境风险物质考虑。油基岩屑产</w:t>
      </w:r>
      <w:r>
        <w:rPr>
          <w:rFonts w:ascii="宋体" w:hAnsi="宋体" w:eastAsia="宋体" w:cs="宋体"/>
          <w:sz w:val="24"/>
          <w:szCs w:val="24"/>
        </w:rPr>
        <w:t xml:space="preserve"> </w:t>
      </w:r>
      <w:r>
        <w:rPr>
          <w:rFonts w:ascii="宋体" w:hAnsi="宋体" w:eastAsia="宋体" w:cs="宋体"/>
          <w:spacing w:val="-3"/>
          <w:sz w:val="24"/>
          <w:szCs w:val="24"/>
        </w:rPr>
        <w:t xml:space="preserve">生量最大约 </w:t>
      </w:r>
      <w:r>
        <w:rPr>
          <w:rFonts w:ascii="Times New Roman" w:hAnsi="Times New Roman" w:eastAsia="Times New Roman" w:cs="Times New Roman"/>
          <w:spacing w:val="-3"/>
          <w:sz w:val="24"/>
          <w:szCs w:val="24"/>
        </w:rPr>
        <w:t>14.25m</w:t>
      </w:r>
      <w:r>
        <w:rPr>
          <w:rFonts w:ascii="Times New Roman" w:hAnsi="Times New Roman" w:eastAsia="Times New Roman" w:cs="Times New Roman"/>
          <w:spacing w:val="-3"/>
          <w:position w:val="9"/>
          <w:sz w:val="16"/>
          <w:szCs w:val="16"/>
        </w:rPr>
        <w:t>3</w:t>
      </w:r>
      <w:r>
        <w:rPr>
          <w:rFonts w:ascii="宋体" w:hAnsi="宋体" w:eastAsia="宋体" w:cs="宋体"/>
          <w:spacing w:val="-3"/>
          <w:sz w:val="24"/>
          <w:szCs w:val="24"/>
        </w:rPr>
        <w:t xml:space="preserve">（密度以 </w:t>
      </w:r>
      <w:r>
        <w:rPr>
          <w:rFonts w:ascii="Times New Roman" w:hAnsi="Times New Roman" w:eastAsia="Times New Roman" w:cs="Times New Roman"/>
          <w:spacing w:val="-3"/>
          <w:sz w:val="24"/>
          <w:szCs w:val="24"/>
        </w:rPr>
        <w:t>1.8g/cm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9"/>
          <w:position w:val="9"/>
          <w:sz w:val="16"/>
          <w:szCs w:val="16"/>
        </w:rPr>
        <w:t xml:space="preserve"> </w:t>
      </w:r>
      <w:r>
        <w:rPr>
          <w:rFonts w:ascii="宋体" w:hAnsi="宋体" w:eastAsia="宋体" w:cs="宋体"/>
          <w:spacing w:val="-3"/>
          <w:sz w:val="24"/>
          <w:szCs w:val="24"/>
        </w:rPr>
        <w:t>计，约</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25.65t</w:t>
      </w:r>
      <w:r>
        <w:rPr>
          <w:rFonts w:ascii="宋体" w:hAnsi="宋体" w:eastAsia="宋体" w:cs="宋体"/>
          <w:spacing w:val="-62"/>
          <w:w w:val="97"/>
          <w:sz w:val="24"/>
          <w:szCs w:val="24"/>
        </w:rPr>
        <w:t>）；</w:t>
      </w:r>
      <w:r>
        <w:rPr>
          <w:rFonts w:ascii="宋体" w:hAnsi="宋体" w:eastAsia="宋体" w:cs="宋体"/>
          <w:spacing w:val="-4"/>
          <w:sz w:val="24"/>
          <w:szCs w:val="24"/>
        </w:rPr>
        <w:t xml:space="preserve">废油单井产生量约 </w:t>
      </w:r>
      <w:r>
        <w:rPr>
          <w:rFonts w:ascii="Times New Roman" w:hAnsi="Times New Roman" w:eastAsia="Times New Roman" w:cs="Times New Roman"/>
          <w:spacing w:val="-4"/>
          <w:sz w:val="24"/>
          <w:szCs w:val="24"/>
        </w:rPr>
        <w:t>0.5t</w:t>
      </w:r>
      <w:r>
        <w:rPr>
          <w:rFonts w:ascii="宋体" w:hAnsi="宋体" w:eastAsia="宋体" w:cs="宋体"/>
          <w:spacing w:val="-4"/>
          <w:sz w:val="24"/>
          <w:szCs w:val="24"/>
        </w:rPr>
        <w:t>，</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现场采取废油收集桶收集，废油最大存在量为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0.5t</w:t>
      </w:r>
      <w:r>
        <w:rPr>
          <w:rFonts w:ascii="宋体" w:hAnsi="宋体" w:eastAsia="宋体" w:cs="宋体"/>
          <w:spacing w:val="-1"/>
          <w:sz w:val="24"/>
          <w:szCs w:val="24"/>
        </w:rPr>
        <w:t>。</w:t>
      </w:r>
    </w:p>
    <w:p>
      <w:pPr>
        <w:spacing w:before="196" w:line="217" w:lineRule="auto"/>
        <w:ind w:left="516"/>
        <w:rPr>
          <w:rFonts w:ascii="宋体" w:hAnsi="宋体" w:eastAsia="宋体" w:cs="宋体"/>
          <w:sz w:val="24"/>
          <w:szCs w:val="24"/>
        </w:rPr>
      </w:pPr>
      <w:r>
        <w:rPr>
          <w:rFonts w:ascii="宋体" w:hAnsi="宋体" w:eastAsia="宋体" w:cs="宋体"/>
          <w:spacing w:val="-2"/>
          <w:sz w:val="24"/>
          <w:szCs w:val="24"/>
        </w:rPr>
        <w:t>⑥其他</w:t>
      </w:r>
    </w:p>
    <w:p>
      <w:pPr>
        <w:spacing w:before="199" w:line="369" w:lineRule="auto"/>
        <w:ind w:left="38" w:right="68" w:firstLine="482"/>
        <w:rPr>
          <w:rFonts w:ascii="宋体" w:hAnsi="宋体" w:eastAsia="宋体" w:cs="宋体"/>
          <w:sz w:val="24"/>
          <w:szCs w:val="24"/>
        </w:rPr>
      </w:pPr>
      <w:r>
        <w:rPr>
          <w:rFonts w:ascii="宋体" w:hAnsi="宋体" w:eastAsia="宋体" w:cs="宋体"/>
          <w:spacing w:val="-3"/>
          <w:sz w:val="24"/>
          <w:szCs w:val="24"/>
        </w:rPr>
        <w:t>水基钻井液以粘土（主要用膨润土）、水作为基础配浆材料，加</w:t>
      </w:r>
      <w:r>
        <w:rPr>
          <w:rFonts w:ascii="宋体" w:hAnsi="宋体" w:eastAsia="宋体" w:cs="宋体"/>
          <w:spacing w:val="-4"/>
          <w:sz w:val="24"/>
          <w:szCs w:val="24"/>
        </w:rPr>
        <w:t>入预水化膨</w:t>
      </w:r>
      <w:r>
        <w:rPr>
          <w:rFonts w:ascii="宋体" w:hAnsi="宋体" w:eastAsia="宋体" w:cs="宋体"/>
          <w:sz w:val="24"/>
          <w:szCs w:val="24"/>
        </w:rPr>
        <w:t xml:space="preserve"> </w:t>
      </w:r>
      <w:r>
        <w:rPr>
          <w:rFonts w:ascii="宋体" w:hAnsi="宋体" w:eastAsia="宋体" w:cs="宋体"/>
          <w:spacing w:val="-6"/>
          <w:sz w:val="24"/>
          <w:szCs w:val="24"/>
        </w:rPr>
        <w:t>润土浆及各种有机和无机材料形成的多种成份和相态共存的悬浮液，</w:t>
      </w:r>
      <w:r>
        <w:rPr>
          <w:rFonts w:ascii="宋体" w:hAnsi="宋体" w:eastAsia="宋体" w:cs="宋体"/>
          <w:spacing w:val="-10"/>
          <w:sz w:val="24"/>
          <w:szCs w:val="24"/>
        </w:rPr>
        <w:t xml:space="preserve"> </w:t>
      </w:r>
      <w:r>
        <w:rPr>
          <w:rFonts w:ascii="宋体" w:hAnsi="宋体" w:eastAsia="宋体" w:cs="宋体"/>
          <w:spacing w:val="-6"/>
          <w:sz w:val="24"/>
          <w:szCs w:val="24"/>
        </w:rPr>
        <w:t>膨润土的主</w:t>
      </w:r>
      <w:r>
        <w:rPr>
          <w:rFonts w:ascii="宋体" w:hAnsi="宋体" w:eastAsia="宋体" w:cs="宋体"/>
          <w:sz w:val="24"/>
          <w:szCs w:val="24"/>
        </w:rPr>
        <w:t xml:space="preserve"> </w:t>
      </w:r>
      <w:r>
        <w:rPr>
          <w:rFonts w:ascii="宋体" w:hAnsi="宋体" w:eastAsia="宋体" w:cs="宋体"/>
          <w:spacing w:val="-3"/>
          <w:sz w:val="24"/>
          <w:szCs w:val="24"/>
        </w:rPr>
        <w:t>要成分是蒙脱石。钻井液中影响环境的主要成分是有机物类、无机盐类、烧碱等</w:t>
      </w:r>
      <w:r>
        <w:rPr>
          <w:rFonts w:ascii="宋体" w:hAnsi="宋体" w:eastAsia="宋体" w:cs="宋体"/>
          <w:spacing w:val="8"/>
          <w:sz w:val="24"/>
          <w:szCs w:val="24"/>
        </w:rPr>
        <w:t xml:space="preserve"> </w:t>
      </w:r>
      <w:r>
        <w:rPr>
          <w:rFonts w:ascii="宋体" w:hAnsi="宋体" w:eastAsia="宋体" w:cs="宋体"/>
          <w:spacing w:val="-11"/>
          <w:sz w:val="24"/>
          <w:szCs w:val="24"/>
        </w:rPr>
        <w:t>配浆和加重材料中的杂质，</w:t>
      </w:r>
      <w:r>
        <w:rPr>
          <w:rFonts w:ascii="宋体" w:hAnsi="宋体" w:eastAsia="宋体" w:cs="宋体"/>
          <w:spacing w:val="66"/>
          <w:sz w:val="24"/>
          <w:szCs w:val="24"/>
        </w:rPr>
        <w:t xml:space="preserve"> </w:t>
      </w:r>
      <w:r>
        <w:rPr>
          <w:rFonts w:ascii="宋体" w:hAnsi="宋体" w:eastAsia="宋体" w:cs="宋体"/>
          <w:spacing w:val="-11"/>
          <w:sz w:val="24"/>
          <w:szCs w:val="24"/>
        </w:rPr>
        <w:t>目前采用的钻井液不含重金属及其他有</w:t>
      </w:r>
      <w:r>
        <w:rPr>
          <w:rFonts w:ascii="宋体" w:hAnsi="宋体" w:eastAsia="宋体" w:cs="宋体"/>
          <w:spacing w:val="-12"/>
          <w:sz w:val="24"/>
          <w:szCs w:val="24"/>
        </w:rPr>
        <w:t>毒物质， 呈碱</w:t>
      </w:r>
    </w:p>
    <w:p>
      <w:pPr>
        <w:spacing w:before="1" w:line="220" w:lineRule="auto"/>
        <w:ind w:left="41"/>
        <w:rPr>
          <w:rFonts w:ascii="宋体" w:hAnsi="宋体" w:eastAsia="宋体" w:cs="宋体"/>
          <w:sz w:val="24"/>
          <w:szCs w:val="24"/>
        </w:rPr>
      </w:pPr>
      <w:r>
        <w:rPr>
          <w:rFonts w:ascii="宋体" w:hAnsi="宋体" w:eastAsia="宋体" w:cs="宋体"/>
          <w:spacing w:val="-12"/>
          <w:sz w:val="24"/>
          <w:szCs w:val="24"/>
        </w:rPr>
        <w:t>性。</w:t>
      </w:r>
    </w:p>
    <w:p>
      <w:pPr>
        <w:spacing w:before="192" w:line="220" w:lineRule="auto"/>
        <w:ind w:left="518"/>
        <w:rPr>
          <w:rFonts w:ascii="宋体" w:hAnsi="宋体" w:eastAsia="宋体" w:cs="宋体"/>
          <w:sz w:val="24"/>
          <w:szCs w:val="24"/>
        </w:rPr>
      </w:pPr>
      <w:r>
        <w:rPr>
          <w:rFonts w:ascii="宋体" w:hAnsi="宋体" w:eastAsia="宋体" w:cs="宋体"/>
          <w:spacing w:val="-2"/>
          <w:sz w:val="24"/>
          <w:szCs w:val="24"/>
        </w:rPr>
        <w:t>钻井废水中主要污染物质为氯离子、石油类</w:t>
      </w:r>
      <w:r>
        <w:rPr>
          <w:rFonts w:ascii="宋体" w:hAnsi="宋体" w:eastAsia="宋体" w:cs="宋体"/>
          <w:spacing w:val="-3"/>
          <w:sz w:val="24"/>
          <w:szCs w:val="24"/>
        </w:rPr>
        <w:t>等。</w:t>
      </w:r>
    </w:p>
    <w:p>
      <w:pPr>
        <w:spacing w:before="196" w:line="369" w:lineRule="auto"/>
        <w:ind w:left="44" w:right="79" w:firstLine="473"/>
        <w:rPr>
          <w:rFonts w:ascii="宋体" w:hAnsi="宋体" w:eastAsia="宋体" w:cs="宋体"/>
          <w:sz w:val="24"/>
          <w:szCs w:val="24"/>
        </w:rPr>
      </w:pPr>
      <w:r>
        <w:rPr>
          <w:rFonts w:ascii="宋体" w:hAnsi="宋体" w:eastAsia="宋体" w:cs="宋体"/>
          <w:spacing w:val="-3"/>
          <w:sz w:val="24"/>
          <w:szCs w:val="24"/>
        </w:rPr>
        <w:t>根据以上分析水基钻井液、钻井废水均不属于《建设</w:t>
      </w:r>
      <w:r>
        <w:rPr>
          <w:rFonts w:ascii="宋体" w:hAnsi="宋体" w:eastAsia="宋体" w:cs="宋体"/>
          <w:spacing w:val="-4"/>
          <w:sz w:val="24"/>
          <w:szCs w:val="24"/>
        </w:rPr>
        <w:t>项目环境风险评价技术</w:t>
      </w:r>
      <w:r>
        <w:rPr>
          <w:rFonts w:ascii="宋体" w:hAnsi="宋体" w:eastAsia="宋体" w:cs="宋体"/>
          <w:sz w:val="24"/>
          <w:szCs w:val="24"/>
        </w:rPr>
        <w:t xml:space="preserve"> </w:t>
      </w:r>
      <w:r>
        <w:rPr>
          <w:rFonts w:ascii="宋体" w:hAnsi="宋体" w:eastAsia="宋体" w:cs="宋体"/>
          <w:spacing w:val="-10"/>
          <w:sz w:val="24"/>
          <w:szCs w:val="24"/>
        </w:rPr>
        <w:t>导则》（</w:t>
      </w:r>
      <w:r>
        <w:rPr>
          <w:rFonts w:ascii="Times New Roman" w:hAnsi="Times New Roman" w:eastAsia="Times New Roman" w:cs="Times New Roman"/>
          <w:spacing w:val="-10"/>
          <w:sz w:val="24"/>
          <w:szCs w:val="24"/>
        </w:rPr>
        <w:t>HJ169-2018</w:t>
      </w:r>
      <w:r>
        <w:rPr>
          <w:rFonts w:ascii="宋体" w:hAnsi="宋体" w:eastAsia="宋体" w:cs="宋体"/>
          <w:spacing w:val="-10"/>
          <w:sz w:val="24"/>
          <w:szCs w:val="24"/>
        </w:rPr>
        <w:t>）附录</w:t>
      </w:r>
      <w:r>
        <w:rPr>
          <w:rFonts w:ascii="宋体" w:hAnsi="宋体" w:eastAsia="宋体" w:cs="宋体"/>
          <w:spacing w:val="-52"/>
          <w:sz w:val="24"/>
          <w:szCs w:val="24"/>
        </w:rPr>
        <w:t xml:space="preserve"> </w:t>
      </w:r>
      <w:r>
        <w:rPr>
          <w:rFonts w:ascii="Times New Roman" w:hAnsi="Times New Roman" w:eastAsia="Times New Roman" w:cs="Times New Roman"/>
          <w:spacing w:val="-10"/>
          <w:sz w:val="24"/>
          <w:szCs w:val="24"/>
        </w:rPr>
        <w:t>B.2</w:t>
      </w:r>
      <w:r>
        <w:rPr>
          <w:rFonts w:ascii="Times New Roman" w:hAnsi="Times New Roman" w:eastAsia="Times New Roman" w:cs="Times New Roman"/>
          <w:spacing w:val="13"/>
          <w:sz w:val="24"/>
          <w:szCs w:val="24"/>
        </w:rPr>
        <w:t xml:space="preserve"> </w:t>
      </w:r>
      <w:r>
        <w:rPr>
          <w:rFonts w:ascii="宋体" w:hAnsi="宋体" w:eastAsia="宋体" w:cs="宋体"/>
          <w:spacing w:val="-10"/>
          <w:sz w:val="24"/>
          <w:szCs w:val="24"/>
        </w:rPr>
        <w:t>危害水环境物质（急性毒性类别</w:t>
      </w:r>
      <w:r>
        <w:rPr>
          <w:rFonts w:ascii="宋体" w:hAnsi="宋体" w:eastAsia="宋体" w:cs="宋体"/>
          <w:spacing w:val="-11"/>
          <w:sz w:val="24"/>
          <w:szCs w:val="24"/>
        </w:rPr>
        <w:t xml:space="preserve"> </w:t>
      </w:r>
      <w:r>
        <w:rPr>
          <w:rFonts w:ascii="Times New Roman" w:hAnsi="Times New Roman" w:eastAsia="Times New Roman" w:cs="Times New Roman"/>
          <w:spacing w:val="-11"/>
          <w:sz w:val="24"/>
          <w:szCs w:val="24"/>
        </w:rPr>
        <w:t>1</w:t>
      </w:r>
      <w:r>
        <w:rPr>
          <w:rFonts w:ascii="宋体" w:hAnsi="宋体" w:eastAsia="宋体" w:cs="宋体"/>
          <w:spacing w:val="-57"/>
          <w:w w:val="91"/>
          <w:sz w:val="24"/>
          <w:szCs w:val="24"/>
        </w:rPr>
        <w:t>），</w:t>
      </w:r>
      <w:r>
        <w:rPr>
          <w:rFonts w:ascii="宋体" w:hAnsi="宋体" w:eastAsia="宋体" w:cs="宋体"/>
          <w:spacing w:val="-11"/>
          <w:sz w:val="24"/>
          <w:szCs w:val="24"/>
        </w:rPr>
        <w:t>也不含有《有</w:t>
      </w:r>
    </w:p>
    <w:p>
      <w:pPr>
        <w:spacing w:line="218" w:lineRule="auto"/>
        <w:ind w:left="40"/>
        <w:rPr>
          <w:rFonts w:ascii="宋体" w:hAnsi="宋体" w:eastAsia="宋体" w:cs="宋体"/>
          <w:sz w:val="24"/>
          <w:szCs w:val="24"/>
        </w:rPr>
      </w:pPr>
      <w:r>
        <w:rPr>
          <w:rFonts w:ascii="宋体" w:hAnsi="宋体" w:eastAsia="宋体" w:cs="宋体"/>
          <w:spacing w:val="-14"/>
          <w:sz w:val="24"/>
          <w:szCs w:val="24"/>
        </w:rPr>
        <w:t>毒有害水污染物名录（第一批）》（公告</w:t>
      </w:r>
      <w:r>
        <w:rPr>
          <w:rFonts w:ascii="宋体" w:hAnsi="宋体" w:eastAsia="宋体" w:cs="宋体"/>
          <w:spacing w:val="22"/>
          <w:sz w:val="24"/>
          <w:szCs w:val="24"/>
        </w:rPr>
        <w:t xml:space="preserve"> </w:t>
      </w:r>
      <w:r>
        <w:rPr>
          <w:rFonts w:ascii="Times New Roman" w:hAnsi="Times New Roman" w:eastAsia="Times New Roman" w:cs="Times New Roman"/>
          <w:spacing w:val="-14"/>
          <w:sz w:val="24"/>
          <w:szCs w:val="24"/>
        </w:rPr>
        <w:t>2019</w:t>
      </w:r>
      <w:r>
        <w:rPr>
          <w:rFonts w:ascii="Times New Roman" w:hAnsi="Times New Roman" w:eastAsia="Times New Roman" w:cs="Times New Roman"/>
          <w:spacing w:val="10"/>
          <w:sz w:val="24"/>
          <w:szCs w:val="24"/>
        </w:rPr>
        <w:t xml:space="preserve"> </w:t>
      </w:r>
      <w:r>
        <w:rPr>
          <w:rFonts w:ascii="宋体" w:hAnsi="宋体" w:eastAsia="宋体" w:cs="宋体"/>
          <w:spacing w:val="-14"/>
          <w:sz w:val="24"/>
          <w:szCs w:val="24"/>
        </w:rPr>
        <w:t>年 第</w:t>
      </w:r>
      <w:r>
        <w:rPr>
          <w:rFonts w:ascii="宋体" w:hAnsi="宋体" w:eastAsia="宋体" w:cs="宋体"/>
          <w:spacing w:val="-55"/>
          <w:sz w:val="24"/>
          <w:szCs w:val="24"/>
        </w:rPr>
        <w:t xml:space="preserve"> </w:t>
      </w:r>
      <w:r>
        <w:rPr>
          <w:rFonts w:ascii="Times New Roman" w:hAnsi="Times New Roman" w:eastAsia="Times New Roman" w:cs="Times New Roman"/>
          <w:spacing w:val="-14"/>
          <w:sz w:val="24"/>
          <w:szCs w:val="24"/>
        </w:rPr>
        <w:t>28</w:t>
      </w:r>
      <w:r>
        <w:rPr>
          <w:rFonts w:ascii="Times New Roman" w:hAnsi="Times New Roman" w:eastAsia="Times New Roman" w:cs="Times New Roman"/>
          <w:spacing w:val="16"/>
          <w:sz w:val="24"/>
          <w:szCs w:val="24"/>
        </w:rPr>
        <w:t xml:space="preserve"> </w:t>
      </w:r>
      <w:r>
        <w:rPr>
          <w:rFonts w:ascii="宋体" w:hAnsi="宋体" w:eastAsia="宋体" w:cs="宋体"/>
          <w:spacing w:val="-14"/>
          <w:sz w:val="24"/>
          <w:szCs w:val="24"/>
        </w:rPr>
        <w:t>号）</w:t>
      </w:r>
      <w:r>
        <w:rPr>
          <w:rFonts w:ascii="宋体" w:hAnsi="宋体" w:eastAsia="宋体" w:cs="宋体"/>
          <w:spacing w:val="-58"/>
          <w:sz w:val="24"/>
          <w:szCs w:val="24"/>
        </w:rPr>
        <w:t xml:space="preserve"> </w:t>
      </w:r>
      <w:r>
        <w:rPr>
          <w:rFonts w:ascii="宋体" w:hAnsi="宋体" w:eastAsia="宋体" w:cs="宋体"/>
          <w:spacing w:val="-14"/>
          <w:sz w:val="24"/>
          <w:szCs w:val="24"/>
        </w:rPr>
        <w:t>所列物质，</w:t>
      </w:r>
      <w:r>
        <w:rPr>
          <w:rFonts w:ascii="宋体" w:hAnsi="宋体" w:eastAsia="宋体" w:cs="宋体"/>
          <w:spacing w:val="21"/>
          <w:sz w:val="24"/>
          <w:szCs w:val="24"/>
        </w:rPr>
        <w:t xml:space="preserve"> </w:t>
      </w:r>
      <w:r>
        <w:rPr>
          <w:rFonts w:ascii="宋体" w:hAnsi="宋体" w:eastAsia="宋体" w:cs="宋体"/>
          <w:spacing w:val="-14"/>
          <w:sz w:val="24"/>
          <w:szCs w:val="24"/>
        </w:rPr>
        <w:t>无临</w:t>
      </w:r>
      <w:r>
        <w:rPr>
          <w:rFonts w:ascii="宋体" w:hAnsi="宋体" w:eastAsia="宋体" w:cs="宋体"/>
          <w:spacing w:val="-15"/>
          <w:sz w:val="24"/>
          <w:szCs w:val="24"/>
        </w:rPr>
        <w:t>界量</w:t>
      </w:r>
    </w:p>
    <w:p>
      <w:pPr>
        <w:spacing w:line="218" w:lineRule="auto"/>
        <w:rPr>
          <w:rFonts w:ascii="宋体" w:hAnsi="宋体" w:eastAsia="宋体" w:cs="宋体"/>
          <w:sz w:val="24"/>
          <w:szCs w:val="24"/>
        </w:rPr>
        <w:sectPr>
          <w:headerReference r:id="rId212" w:type="default"/>
          <w:footerReference r:id="rId213" w:type="default"/>
          <w:pgSz w:w="11907" w:h="16839"/>
          <w:pgMar w:top="1123" w:right="1726" w:bottom="1146" w:left="1769" w:header="1108" w:footer="988" w:gutter="0"/>
          <w:cols w:space="720" w:num="1"/>
        </w:sectPr>
      </w:pPr>
    </w:p>
    <w:p>
      <w:pPr>
        <w:pStyle w:val="2"/>
        <w:spacing w:line="414" w:lineRule="auto"/>
        <w:rPr>
          <w:sz w:val="21"/>
        </w:rPr>
      </w:pPr>
    </w:p>
    <w:p>
      <w:pPr>
        <w:spacing w:before="78" w:line="480" w:lineRule="exact"/>
        <w:ind w:left="123"/>
        <w:rPr>
          <w:rFonts w:ascii="宋体" w:hAnsi="宋体" w:eastAsia="宋体" w:cs="宋体"/>
          <w:sz w:val="24"/>
          <w:szCs w:val="24"/>
        </w:rPr>
      </w:pPr>
      <w:r>
        <w:rPr>
          <w:rFonts w:ascii="宋体" w:hAnsi="宋体" w:eastAsia="宋体" w:cs="宋体"/>
          <w:spacing w:val="-1"/>
          <w:position w:val="18"/>
          <w:sz w:val="24"/>
          <w:szCs w:val="24"/>
        </w:rPr>
        <w:t xml:space="preserve">规定，不需要计算 </w:t>
      </w:r>
      <w:r>
        <w:rPr>
          <w:rFonts w:ascii="Times New Roman" w:hAnsi="Times New Roman" w:eastAsia="Times New Roman" w:cs="Times New Roman"/>
          <w:spacing w:val="-1"/>
          <w:position w:val="18"/>
          <w:sz w:val="24"/>
          <w:szCs w:val="24"/>
        </w:rPr>
        <w:t>Q</w:t>
      </w:r>
      <w:r>
        <w:rPr>
          <w:rFonts w:ascii="Times New Roman" w:hAnsi="Times New Roman" w:eastAsia="Times New Roman" w:cs="Times New Roman"/>
          <w:spacing w:val="62"/>
          <w:position w:val="18"/>
          <w:sz w:val="24"/>
          <w:szCs w:val="24"/>
        </w:rPr>
        <w:t xml:space="preserve"> </w:t>
      </w:r>
      <w:r>
        <w:rPr>
          <w:rFonts w:ascii="宋体" w:hAnsi="宋体" w:eastAsia="宋体" w:cs="宋体"/>
          <w:spacing w:val="-1"/>
          <w:position w:val="18"/>
          <w:sz w:val="24"/>
          <w:szCs w:val="24"/>
        </w:rPr>
        <w:t>值；但为了减小项目建设对环境的影响，本次仍对水基钻</w:t>
      </w:r>
    </w:p>
    <w:p>
      <w:pPr>
        <w:spacing w:line="219" w:lineRule="auto"/>
        <w:ind w:left="122"/>
        <w:rPr>
          <w:rFonts w:ascii="宋体" w:hAnsi="宋体" w:eastAsia="宋体" w:cs="宋体"/>
          <w:sz w:val="24"/>
          <w:szCs w:val="24"/>
        </w:rPr>
      </w:pPr>
      <w:r>
        <w:rPr>
          <w:rFonts w:ascii="宋体" w:hAnsi="宋体" w:eastAsia="宋体" w:cs="宋体"/>
          <w:spacing w:val="-2"/>
          <w:sz w:val="24"/>
          <w:szCs w:val="24"/>
        </w:rPr>
        <w:t>井液、钻井废水进行环境风险定性分析，并提出风险管控措施。</w:t>
      </w:r>
    </w:p>
    <w:p>
      <w:pPr>
        <w:spacing w:before="194" w:line="220" w:lineRule="auto"/>
        <w:ind w:left="118"/>
        <w:rPr>
          <w:rFonts w:ascii="宋体" w:hAnsi="宋体" w:eastAsia="宋体" w:cs="宋体"/>
          <w:sz w:val="24"/>
          <w:szCs w:val="24"/>
        </w:rPr>
      </w:pPr>
      <w:bookmarkStart w:id="43" w:name="bookmark44"/>
      <w:bookmarkEnd w:id="43"/>
      <w:r>
        <w:rPr>
          <w:rFonts w:ascii="Times New Roman" w:hAnsi="Times New Roman" w:eastAsia="Times New Roman" w:cs="Times New Roman"/>
          <w:b/>
          <w:bCs/>
          <w:sz w:val="24"/>
          <w:szCs w:val="24"/>
        </w:rPr>
        <w:t xml:space="preserve">2.2 </w:t>
      </w:r>
      <w:r>
        <w:rPr>
          <w:rFonts w:ascii="宋体" w:hAnsi="宋体" w:eastAsia="宋体" w:cs="宋体"/>
          <w:sz w:val="24"/>
          <w:szCs w:val="24"/>
          <w14:textOutline w14:w="4354" w14:cap="flat" w14:cmpd="sng">
            <w14:solidFill>
              <w14:srgbClr w14:val="000000"/>
            </w14:solidFill>
            <w14:prstDash w14:val="solid"/>
            <w14:miter w14:val="10"/>
          </w14:textOutline>
        </w:rPr>
        <w:t>环境敏感目标调查</w:t>
      </w:r>
    </w:p>
    <w:p>
      <w:pPr>
        <w:spacing w:before="195" w:line="369" w:lineRule="auto"/>
        <w:ind w:left="121" w:right="108" w:firstLine="481"/>
        <w:jc w:val="both"/>
        <w:rPr>
          <w:rFonts w:ascii="宋体" w:hAnsi="宋体" w:eastAsia="宋体" w:cs="宋体"/>
          <w:sz w:val="24"/>
          <w:szCs w:val="24"/>
        </w:rPr>
      </w:pPr>
      <w:r>
        <w:rPr>
          <w:rFonts w:ascii="宋体" w:hAnsi="宋体" w:eastAsia="宋体" w:cs="宋体"/>
          <w:spacing w:val="-9"/>
          <w:sz w:val="24"/>
          <w:szCs w:val="24"/>
        </w:rPr>
        <w:t>本项目位于四川省达州市通川区江陵镇和平村</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2"/>
          <w:sz w:val="24"/>
          <w:szCs w:val="24"/>
        </w:rPr>
        <w:t xml:space="preserve"> </w:t>
      </w:r>
      <w:r>
        <w:rPr>
          <w:rFonts w:ascii="宋体" w:hAnsi="宋体" w:eastAsia="宋体" w:cs="宋体"/>
          <w:spacing w:val="-9"/>
          <w:sz w:val="24"/>
          <w:szCs w:val="24"/>
        </w:rPr>
        <w:t>组，</w:t>
      </w:r>
      <w:r>
        <w:rPr>
          <w:rFonts w:ascii="宋体" w:hAnsi="宋体" w:eastAsia="宋体" w:cs="宋体"/>
          <w:spacing w:val="-72"/>
          <w:sz w:val="24"/>
          <w:szCs w:val="24"/>
        </w:rPr>
        <w:t xml:space="preserve"> </w:t>
      </w:r>
      <w:r>
        <w:rPr>
          <w:rFonts w:ascii="宋体" w:hAnsi="宋体" w:eastAsia="宋体" w:cs="宋体"/>
          <w:spacing w:val="-9"/>
          <w:sz w:val="24"/>
          <w:szCs w:val="24"/>
        </w:rPr>
        <w:t>属于农村地区， 不涉及</w:t>
      </w:r>
      <w:r>
        <w:rPr>
          <w:rFonts w:ascii="宋体" w:hAnsi="宋体" w:eastAsia="宋体" w:cs="宋体"/>
          <w:sz w:val="24"/>
          <w:szCs w:val="24"/>
        </w:rPr>
        <w:t xml:space="preserve"> </w:t>
      </w:r>
      <w:r>
        <w:rPr>
          <w:rFonts w:ascii="宋体" w:hAnsi="宋体" w:eastAsia="宋体" w:cs="宋体"/>
          <w:spacing w:val="-1"/>
          <w:sz w:val="24"/>
          <w:szCs w:val="24"/>
        </w:rPr>
        <w:t>自然保护区、世界自然遗产地、森林公园、生态红线等环境敏感区。</w:t>
      </w:r>
      <w:r>
        <w:rPr>
          <w:rFonts w:ascii="宋体" w:hAnsi="宋体" w:eastAsia="宋体" w:cs="宋体"/>
          <w:spacing w:val="56"/>
          <w:sz w:val="24"/>
          <w:szCs w:val="24"/>
        </w:rPr>
        <w:t xml:space="preserve"> </w:t>
      </w:r>
      <w:r>
        <w:rPr>
          <w:rFonts w:ascii="宋体" w:hAnsi="宋体" w:eastAsia="宋体" w:cs="宋体"/>
          <w:spacing w:val="-1"/>
          <w:sz w:val="24"/>
          <w:szCs w:val="24"/>
        </w:rPr>
        <w:t>井口方圆</w:t>
      </w:r>
      <w:r>
        <w:rPr>
          <w:rFonts w:ascii="宋体" w:hAnsi="宋体" w:eastAsia="宋体" w:cs="宋体"/>
          <w:sz w:val="24"/>
          <w:szCs w:val="24"/>
        </w:rPr>
        <w:t xml:space="preserve"> </w:t>
      </w:r>
      <w:r>
        <w:rPr>
          <w:rFonts w:ascii="Times New Roman" w:hAnsi="Times New Roman" w:eastAsia="Times New Roman" w:cs="Times New Roman"/>
          <w:spacing w:val="-14"/>
          <w:sz w:val="24"/>
          <w:szCs w:val="24"/>
        </w:rPr>
        <w:t>0m~100m</w:t>
      </w:r>
      <w:r>
        <w:rPr>
          <w:rFonts w:ascii="Times New Roman" w:hAnsi="Times New Roman" w:eastAsia="Times New Roman" w:cs="Times New Roman"/>
          <w:spacing w:val="24"/>
          <w:w w:val="101"/>
          <w:sz w:val="24"/>
          <w:szCs w:val="24"/>
        </w:rPr>
        <w:t xml:space="preserve"> </w:t>
      </w:r>
      <w:r>
        <w:rPr>
          <w:rFonts w:ascii="宋体" w:hAnsi="宋体" w:eastAsia="宋体" w:cs="宋体"/>
          <w:spacing w:val="-14"/>
          <w:sz w:val="24"/>
          <w:szCs w:val="24"/>
        </w:rPr>
        <w:t>范围内无人居住， 井口</w:t>
      </w:r>
      <w:r>
        <w:rPr>
          <w:rFonts w:ascii="宋体" w:hAnsi="宋体" w:eastAsia="宋体" w:cs="宋体"/>
          <w:spacing w:val="-32"/>
          <w:sz w:val="24"/>
          <w:szCs w:val="24"/>
        </w:rPr>
        <w:t xml:space="preserve"> </w:t>
      </w:r>
      <w:r>
        <w:rPr>
          <w:rFonts w:ascii="Times New Roman" w:hAnsi="Times New Roman" w:eastAsia="Times New Roman" w:cs="Times New Roman"/>
          <w:spacing w:val="-14"/>
          <w:sz w:val="24"/>
          <w:szCs w:val="24"/>
        </w:rPr>
        <w:t>100~500m</w:t>
      </w:r>
      <w:r>
        <w:rPr>
          <w:rFonts w:ascii="Times New Roman" w:hAnsi="Times New Roman" w:eastAsia="Times New Roman" w:cs="Times New Roman"/>
          <w:spacing w:val="13"/>
          <w:sz w:val="24"/>
          <w:szCs w:val="24"/>
        </w:rPr>
        <w:t xml:space="preserve"> </w:t>
      </w:r>
      <w:r>
        <w:rPr>
          <w:rFonts w:ascii="宋体" w:hAnsi="宋体" w:eastAsia="宋体" w:cs="宋体"/>
          <w:spacing w:val="-14"/>
          <w:sz w:val="24"/>
          <w:szCs w:val="24"/>
        </w:rPr>
        <w:t>分布有零星农户， 经调查，</w:t>
      </w:r>
      <w:r>
        <w:rPr>
          <w:rFonts w:ascii="宋体" w:hAnsi="宋体" w:eastAsia="宋体" w:cs="宋体"/>
          <w:spacing w:val="-68"/>
          <w:sz w:val="24"/>
          <w:szCs w:val="24"/>
        </w:rPr>
        <w:t xml:space="preserve"> </w:t>
      </w:r>
      <w:r>
        <w:rPr>
          <w:rFonts w:ascii="宋体" w:hAnsi="宋体" w:eastAsia="宋体" w:cs="宋体"/>
          <w:spacing w:val="-14"/>
          <w:sz w:val="24"/>
          <w:szCs w:val="24"/>
        </w:rPr>
        <w:t>井口</w:t>
      </w:r>
      <w:r>
        <w:rPr>
          <w:rFonts w:ascii="宋体" w:hAnsi="宋体" w:eastAsia="宋体" w:cs="宋体"/>
          <w:spacing w:val="-47"/>
          <w:sz w:val="24"/>
          <w:szCs w:val="24"/>
        </w:rPr>
        <w:t xml:space="preserve"> </w:t>
      </w:r>
      <w:r>
        <w:rPr>
          <w:rFonts w:ascii="Times New Roman" w:hAnsi="Times New Roman" w:eastAsia="Times New Roman" w:cs="Times New Roman"/>
          <w:spacing w:val="-14"/>
          <w:sz w:val="24"/>
          <w:szCs w:val="24"/>
        </w:rPr>
        <w:t>500m</w:t>
      </w:r>
      <w:r>
        <w:rPr>
          <w:rFonts w:ascii="Times New Roman" w:hAnsi="Times New Roman" w:eastAsia="Times New Roman" w:cs="Times New Roman"/>
          <w:sz w:val="24"/>
          <w:szCs w:val="24"/>
        </w:rPr>
        <w:t xml:space="preserve"> </w:t>
      </w:r>
      <w:r>
        <w:rPr>
          <w:rFonts w:ascii="宋体" w:hAnsi="宋体" w:eastAsia="宋体" w:cs="宋体"/>
          <w:spacing w:val="-5"/>
          <w:sz w:val="24"/>
          <w:szCs w:val="24"/>
        </w:rPr>
        <w:t>范围内合计为</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49</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户，</w:t>
      </w:r>
      <w:r>
        <w:rPr>
          <w:rFonts w:ascii="宋体" w:hAnsi="宋体" w:eastAsia="宋体" w:cs="宋体"/>
          <w:spacing w:val="-33"/>
          <w:sz w:val="24"/>
          <w:szCs w:val="24"/>
        </w:rPr>
        <w:t xml:space="preserve"> </w:t>
      </w:r>
      <w:r>
        <w:rPr>
          <w:rFonts w:ascii="宋体" w:hAnsi="宋体" w:eastAsia="宋体" w:cs="宋体"/>
          <w:spacing w:val="-5"/>
          <w:sz w:val="24"/>
          <w:szCs w:val="24"/>
        </w:rPr>
        <w:t>共计约</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211</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 xml:space="preserve">人。井口 </w:t>
      </w:r>
      <w:r>
        <w:rPr>
          <w:rFonts w:ascii="Times New Roman" w:hAnsi="Times New Roman" w:eastAsia="Times New Roman" w:cs="Times New Roman"/>
          <w:spacing w:val="-5"/>
          <w:sz w:val="24"/>
          <w:szCs w:val="24"/>
        </w:rPr>
        <w:t>500m</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范围内无场镇、建制学校、医</w:t>
      </w:r>
    </w:p>
    <w:p>
      <w:pPr>
        <w:spacing w:line="219" w:lineRule="auto"/>
        <w:ind w:left="138"/>
        <w:rPr>
          <w:rFonts w:ascii="宋体" w:hAnsi="宋体" w:eastAsia="宋体" w:cs="宋体"/>
          <w:sz w:val="24"/>
          <w:szCs w:val="24"/>
        </w:rPr>
      </w:pPr>
      <w:r>
        <w:rPr>
          <w:rFonts w:ascii="宋体" w:hAnsi="宋体" w:eastAsia="宋体" w:cs="宋体"/>
          <w:spacing w:val="-3"/>
          <w:sz w:val="24"/>
          <w:szCs w:val="24"/>
        </w:rPr>
        <w:t>院和大型油库等人口密集型和高危性场所。</w:t>
      </w:r>
    </w:p>
    <w:p>
      <w:pPr>
        <w:spacing w:before="196" w:line="369" w:lineRule="auto"/>
        <w:ind w:left="123" w:right="111" w:firstLine="478"/>
        <w:jc w:val="both"/>
        <w:rPr>
          <w:rFonts w:ascii="宋体" w:hAnsi="宋体" w:eastAsia="宋体" w:cs="宋体"/>
          <w:sz w:val="24"/>
          <w:szCs w:val="24"/>
        </w:rPr>
      </w:pPr>
      <w:r>
        <w:rPr>
          <w:rFonts w:ascii="宋体" w:hAnsi="宋体" w:eastAsia="宋体" w:cs="宋体"/>
          <w:spacing w:val="-7"/>
          <w:sz w:val="24"/>
          <w:szCs w:val="24"/>
        </w:rPr>
        <w:t>井口</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500m</w:t>
      </w:r>
      <w:r>
        <w:rPr>
          <w:rFonts w:ascii="Times New Roman" w:hAnsi="Times New Roman" w:eastAsia="Times New Roman" w:cs="Times New Roman"/>
          <w:spacing w:val="18"/>
          <w:w w:val="101"/>
          <w:sz w:val="24"/>
          <w:szCs w:val="24"/>
        </w:rPr>
        <w:t xml:space="preserve"> </w:t>
      </w:r>
      <w:r>
        <w:rPr>
          <w:rFonts w:ascii="宋体" w:hAnsi="宋体" w:eastAsia="宋体" w:cs="宋体"/>
          <w:spacing w:val="-7"/>
          <w:sz w:val="24"/>
          <w:szCs w:val="24"/>
        </w:rPr>
        <w:t>范围内无其他河流、水库分布；</w:t>
      </w:r>
      <w:r>
        <w:rPr>
          <w:rFonts w:ascii="宋体" w:hAnsi="宋体" w:eastAsia="宋体" w:cs="宋体"/>
          <w:spacing w:val="68"/>
          <w:sz w:val="24"/>
          <w:szCs w:val="24"/>
        </w:rPr>
        <w:t xml:space="preserve"> </w:t>
      </w:r>
      <w:r>
        <w:rPr>
          <w:rFonts w:ascii="Times New Roman" w:hAnsi="Times New Roman" w:eastAsia="Times New Roman" w:cs="Times New Roman"/>
          <w:spacing w:val="-7"/>
          <w:sz w:val="24"/>
          <w:szCs w:val="24"/>
        </w:rPr>
        <w:t>500</w:t>
      </w:r>
      <w:r>
        <w:rPr>
          <w:rFonts w:ascii="Times New Roman" w:hAnsi="Times New Roman" w:eastAsia="Times New Roman" w:cs="Times New Roman"/>
          <w:spacing w:val="-8"/>
          <w:sz w:val="24"/>
          <w:szCs w:val="24"/>
        </w:rPr>
        <w:t>0m</w:t>
      </w:r>
      <w:r>
        <w:rPr>
          <w:rFonts w:ascii="Times New Roman" w:hAnsi="Times New Roman" w:eastAsia="Times New Roman" w:cs="Times New Roman"/>
          <w:spacing w:val="18"/>
          <w:w w:val="101"/>
          <w:sz w:val="24"/>
          <w:szCs w:val="24"/>
        </w:rPr>
        <w:t xml:space="preserve"> </w:t>
      </w:r>
      <w:r>
        <w:rPr>
          <w:rFonts w:ascii="宋体" w:hAnsi="宋体" w:eastAsia="宋体" w:cs="宋体"/>
          <w:spacing w:val="-8"/>
          <w:sz w:val="24"/>
          <w:szCs w:val="24"/>
        </w:rPr>
        <w:t>范围内共有</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座水库和</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z w:val="24"/>
          <w:szCs w:val="24"/>
        </w:rPr>
        <w:t xml:space="preserve"> </w:t>
      </w:r>
      <w:r>
        <w:rPr>
          <w:rFonts w:ascii="宋体" w:hAnsi="宋体" w:eastAsia="宋体" w:cs="宋体"/>
          <w:spacing w:val="-6"/>
          <w:sz w:val="24"/>
          <w:szCs w:val="24"/>
        </w:rPr>
        <w:t>条河流。项目所在地无地下水集中饮用水供水水源， 不属于地下水水源地保</w:t>
      </w:r>
      <w:r>
        <w:rPr>
          <w:rFonts w:ascii="宋体" w:hAnsi="宋体" w:eastAsia="宋体" w:cs="宋体"/>
          <w:spacing w:val="-7"/>
          <w:sz w:val="24"/>
          <w:szCs w:val="24"/>
        </w:rPr>
        <w:t>护区</w:t>
      </w:r>
      <w:r>
        <w:rPr>
          <w:rFonts w:ascii="宋体" w:hAnsi="宋体" w:eastAsia="宋体" w:cs="宋体"/>
          <w:sz w:val="24"/>
          <w:szCs w:val="24"/>
        </w:rPr>
        <w:t xml:space="preserve"> </w:t>
      </w:r>
      <w:r>
        <w:rPr>
          <w:rFonts w:ascii="宋体" w:hAnsi="宋体" w:eastAsia="宋体" w:cs="宋体"/>
          <w:spacing w:val="-11"/>
          <w:sz w:val="24"/>
          <w:szCs w:val="24"/>
        </w:rPr>
        <w:t>和准保护区；</w:t>
      </w:r>
      <w:r>
        <w:rPr>
          <w:rFonts w:ascii="宋体" w:hAnsi="宋体" w:eastAsia="宋体" w:cs="宋体"/>
          <w:spacing w:val="27"/>
          <w:sz w:val="24"/>
          <w:szCs w:val="24"/>
        </w:rPr>
        <w:t xml:space="preserve"> </w:t>
      </w:r>
      <w:r>
        <w:rPr>
          <w:rFonts w:ascii="宋体" w:hAnsi="宋体" w:eastAsia="宋体" w:cs="宋体"/>
          <w:spacing w:val="-11"/>
          <w:sz w:val="24"/>
          <w:szCs w:val="24"/>
        </w:rPr>
        <w:t>不属于地下水水源地的补给径流区；</w:t>
      </w:r>
      <w:r>
        <w:rPr>
          <w:rFonts w:ascii="宋体" w:hAnsi="宋体" w:eastAsia="宋体" w:cs="宋体"/>
          <w:spacing w:val="26"/>
          <w:sz w:val="24"/>
          <w:szCs w:val="24"/>
        </w:rPr>
        <w:t xml:space="preserve"> </w:t>
      </w:r>
      <w:r>
        <w:rPr>
          <w:rFonts w:ascii="宋体" w:hAnsi="宋体" w:eastAsia="宋体" w:cs="宋体"/>
          <w:spacing w:val="-11"/>
          <w:sz w:val="24"/>
          <w:szCs w:val="24"/>
        </w:rPr>
        <w:t>不属于特殊地下</w:t>
      </w:r>
      <w:r>
        <w:rPr>
          <w:rFonts w:ascii="宋体" w:hAnsi="宋体" w:eastAsia="宋体" w:cs="宋体"/>
          <w:spacing w:val="-12"/>
          <w:sz w:val="24"/>
          <w:szCs w:val="24"/>
        </w:rPr>
        <w:t>水资源保护区</w:t>
      </w:r>
    </w:p>
    <w:p>
      <w:pPr>
        <w:spacing w:before="1" w:line="218" w:lineRule="auto"/>
        <w:ind w:left="121"/>
        <w:rPr>
          <w:rFonts w:ascii="宋体" w:hAnsi="宋体" w:eastAsia="宋体" w:cs="宋体"/>
          <w:sz w:val="24"/>
          <w:szCs w:val="24"/>
        </w:rPr>
      </w:pPr>
      <w:r>
        <w:rPr>
          <w:rFonts w:ascii="宋体" w:hAnsi="宋体" w:eastAsia="宋体" w:cs="宋体"/>
          <w:spacing w:val="-3"/>
          <w:sz w:val="24"/>
          <w:szCs w:val="24"/>
        </w:rPr>
        <w:t>及分布区。环境敏感目标详见下表。</w:t>
      </w:r>
    </w:p>
    <w:p>
      <w:pPr>
        <w:spacing w:before="196" w:line="220" w:lineRule="auto"/>
        <w:ind w:left="243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2.2-1    </w:t>
      </w:r>
      <w:r>
        <w:rPr>
          <w:rFonts w:ascii="宋体" w:hAnsi="宋体" w:eastAsia="宋体" w:cs="宋体"/>
          <w:spacing w:val="-1"/>
          <w:sz w:val="24"/>
          <w:szCs w:val="24"/>
          <w14:textOutline w14:w="4354" w14:cap="flat" w14:cmpd="sng">
            <w14:solidFill>
              <w14:srgbClr w14:val="000000"/>
            </w14:solidFill>
            <w14:prstDash w14:val="solid"/>
            <w14:miter w14:val="10"/>
          </w14:textOutline>
        </w:rPr>
        <w:t>项目环境保护目标一览表</w:t>
      </w:r>
    </w:p>
    <w:p>
      <w:pPr>
        <w:spacing w:line="1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624"/>
        <w:gridCol w:w="1435"/>
        <w:gridCol w:w="1024"/>
        <w:gridCol w:w="1274"/>
        <w:gridCol w:w="1823"/>
        <w:gridCol w:w="16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7" w:type="dxa"/>
            <w:vAlign w:val="top"/>
          </w:tcPr>
          <w:p>
            <w:pPr>
              <w:pStyle w:val="6"/>
              <w:spacing w:before="82" w:line="220" w:lineRule="auto"/>
              <w:ind w:left="182"/>
              <w:rPr>
                <w:sz w:val="18"/>
                <w:szCs w:val="18"/>
              </w:rPr>
            </w:pPr>
            <w:r>
              <w:rPr>
                <w:spacing w:val="-2"/>
                <w:sz w:val="18"/>
                <w:szCs w:val="18"/>
              </w:rPr>
              <w:t>类别</w:t>
            </w:r>
          </w:p>
        </w:tc>
        <w:tc>
          <w:tcPr>
            <w:tcW w:w="7816" w:type="dxa"/>
            <w:gridSpan w:val="6"/>
            <w:vAlign w:val="top"/>
          </w:tcPr>
          <w:p>
            <w:pPr>
              <w:pStyle w:val="6"/>
              <w:spacing w:before="82" w:line="220" w:lineRule="auto"/>
              <w:ind w:left="3367"/>
              <w:rPr>
                <w:sz w:val="18"/>
                <w:szCs w:val="18"/>
              </w:rPr>
            </w:pPr>
            <w:r>
              <w:rPr>
                <w:spacing w:val="-1"/>
                <w:sz w:val="18"/>
                <w:szCs w:val="18"/>
              </w:rPr>
              <w:t>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9" w:lineRule="auto"/>
              <w:ind w:left="182"/>
              <w:rPr>
                <w:sz w:val="18"/>
                <w:szCs w:val="18"/>
              </w:rPr>
            </w:pPr>
            <w:r>
              <w:rPr>
                <w:spacing w:val="-2"/>
                <w:sz w:val="18"/>
                <w:szCs w:val="18"/>
              </w:rPr>
              <w:t>环境</w:t>
            </w:r>
          </w:p>
          <w:p>
            <w:pPr>
              <w:pStyle w:val="6"/>
              <w:spacing w:line="220" w:lineRule="auto"/>
              <w:ind w:left="187"/>
              <w:rPr>
                <w:sz w:val="18"/>
                <w:szCs w:val="18"/>
              </w:rPr>
            </w:pPr>
            <w:r>
              <w:rPr>
                <w:spacing w:val="-4"/>
                <w:sz w:val="18"/>
                <w:szCs w:val="18"/>
              </w:rPr>
              <w:t>空气</w:t>
            </w:r>
          </w:p>
        </w:tc>
        <w:tc>
          <w:tcPr>
            <w:tcW w:w="7816" w:type="dxa"/>
            <w:gridSpan w:val="6"/>
            <w:vAlign w:val="top"/>
          </w:tcPr>
          <w:p>
            <w:pPr>
              <w:pStyle w:val="6"/>
              <w:spacing w:before="77" w:line="220" w:lineRule="auto"/>
              <w:ind w:left="3072"/>
              <w:rPr>
                <w:sz w:val="18"/>
                <w:szCs w:val="18"/>
              </w:rPr>
            </w:pPr>
            <w:r>
              <w:rPr>
                <w:spacing w:val="-3"/>
                <w:sz w:val="18"/>
                <w:szCs w:val="18"/>
              </w:rPr>
              <w:t>井口周边</w:t>
            </w:r>
            <w:r>
              <w:rPr>
                <w:spacing w:val="-28"/>
                <w:sz w:val="18"/>
                <w:szCs w:val="18"/>
              </w:rPr>
              <w:t xml:space="preserve"> </w:t>
            </w:r>
            <w:r>
              <w:rPr>
                <w:rFonts w:ascii="Times New Roman" w:hAnsi="Times New Roman" w:eastAsia="Times New Roman" w:cs="Times New Roman"/>
                <w:spacing w:val="-3"/>
                <w:sz w:val="18"/>
                <w:szCs w:val="18"/>
              </w:rPr>
              <w:t>5km</w:t>
            </w:r>
            <w:r>
              <w:rPr>
                <w:rFonts w:ascii="Times New Roman" w:hAnsi="Times New Roman" w:eastAsia="Times New Roman" w:cs="Times New Roman"/>
                <w:spacing w:val="11"/>
                <w:w w:val="101"/>
                <w:sz w:val="18"/>
                <w:szCs w:val="18"/>
              </w:rPr>
              <w:t xml:space="preserve"> </w:t>
            </w:r>
            <w:r>
              <w:rPr>
                <w:spacing w:val="-3"/>
                <w:sz w:val="18"/>
                <w:szCs w:val="18"/>
              </w:rPr>
              <w:t>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pStyle w:val="6"/>
              <w:spacing w:before="78" w:line="221" w:lineRule="auto"/>
              <w:ind w:left="131"/>
              <w:rPr>
                <w:sz w:val="18"/>
                <w:szCs w:val="18"/>
              </w:rPr>
            </w:pPr>
            <w:r>
              <w:rPr>
                <w:spacing w:val="-2"/>
                <w:sz w:val="18"/>
                <w:szCs w:val="18"/>
              </w:rPr>
              <w:t>序号</w:t>
            </w:r>
          </w:p>
        </w:tc>
        <w:tc>
          <w:tcPr>
            <w:tcW w:w="1435" w:type="dxa"/>
            <w:vAlign w:val="top"/>
          </w:tcPr>
          <w:p>
            <w:pPr>
              <w:pStyle w:val="6"/>
              <w:spacing w:before="78" w:line="220" w:lineRule="auto"/>
              <w:ind w:left="178"/>
              <w:rPr>
                <w:sz w:val="18"/>
                <w:szCs w:val="18"/>
              </w:rPr>
            </w:pPr>
            <w:r>
              <w:rPr>
                <w:spacing w:val="-2"/>
                <w:sz w:val="18"/>
                <w:szCs w:val="18"/>
              </w:rPr>
              <w:t>敏感目标名称</w:t>
            </w:r>
          </w:p>
        </w:tc>
        <w:tc>
          <w:tcPr>
            <w:tcW w:w="1024" w:type="dxa"/>
            <w:vAlign w:val="top"/>
          </w:tcPr>
          <w:p>
            <w:pPr>
              <w:pStyle w:val="6"/>
              <w:spacing w:before="78" w:line="221" w:lineRule="auto"/>
              <w:ind w:left="154"/>
              <w:rPr>
                <w:sz w:val="18"/>
                <w:szCs w:val="18"/>
              </w:rPr>
            </w:pPr>
            <w:r>
              <w:rPr>
                <w:spacing w:val="-2"/>
                <w:sz w:val="18"/>
                <w:szCs w:val="18"/>
              </w:rPr>
              <w:t>相对方位</w:t>
            </w:r>
          </w:p>
        </w:tc>
        <w:tc>
          <w:tcPr>
            <w:tcW w:w="1274" w:type="dxa"/>
            <w:vAlign w:val="top"/>
          </w:tcPr>
          <w:p>
            <w:pPr>
              <w:pStyle w:val="6"/>
              <w:spacing w:before="78" w:line="234" w:lineRule="auto"/>
              <w:ind w:left="186"/>
              <w:rPr>
                <w:rFonts w:ascii="Times New Roman" w:hAnsi="Times New Roman" w:eastAsia="Times New Roman" w:cs="Times New Roman"/>
                <w:sz w:val="18"/>
                <w:szCs w:val="18"/>
              </w:rPr>
            </w:pPr>
            <w:r>
              <w:rPr>
                <w:spacing w:val="-2"/>
                <w:sz w:val="18"/>
                <w:szCs w:val="18"/>
              </w:rPr>
              <w:t>井口距离</w:t>
            </w:r>
            <w:r>
              <w:rPr>
                <w:rFonts w:ascii="Times New Roman" w:hAnsi="Times New Roman" w:eastAsia="Times New Roman" w:cs="Times New Roman"/>
                <w:spacing w:val="-2"/>
                <w:sz w:val="18"/>
                <w:szCs w:val="18"/>
              </w:rPr>
              <w:t>/m</w:t>
            </w:r>
          </w:p>
        </w:tc>
        <w:tc>
          <w:tcPr>
            <w:tcW w:w="1823" w:type="dxa"/>
            <w:vAlign w:val="top"/>
          </w:tcPr>
          <w:p>
            <w:pPr>
              <w:pStyle w:val="6"/>
              <w:spacing w:before="78" w:line="221" w:lineRule="auto"/>
              <w:ind w:left="738"/>
              <w:rPr>
                <w:sz w:val="18"/>
                <w:szCs w:val="18"/>
              </w:rPr>
            </w:pPr>
            <w:r>
              <w:rPr>
                <w:spacing w:val="-3"/>
                <w:sz w:val="18"/>
                <w:szCs w:val="18"/>
              </w:rPr>
              <w:t>属性</w:t>
            </w:r>
          </w:p>
        </w:tc>
        <w:tc>
          <w:tcPr>
            <w:tcW w:w="1636" w:type="dxa"/>
            <w:vAlign w:val="top"/>
          </w:tcPr>
          <w:p>
            <w:pPr>
              <w:pStyle w:val="6"/>
              <w:spacing w:before="78" w:line="220" w:lineRule="auto"/>
              <w:ind w:left="190"/>
              <w:rPr>
                <w:sz w:val="18"/>
                <w:szCs w:val="18"/>
              </w:rPr>
            </w:pPr>
            <w:r>
              <w:rPr>
                <w:spacing w:val="-1"/>
                <w:sz w:val="18"/>
                <w:szCs w:val="18"/>
              </w:rPr>
              <w:t>影响规模、功能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292" w:line="186" w:lineRule="auto"/>
              <w:ind w:left="28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35" w:type="dxa"/>
            <w:vAlign w:val="top"/>
          </w:tcPr>
          <w:p>
            <w:pPr>
              <w:spacing w:before="292" w:line="186" w:lineRule="auto"/>
              <w:ind w:left="6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p>
        </w:tc>
        <w:tc>
          <w:tcPr>
            <w:tcW w:w="1024" w:type="dxa"/>
            <w:vAlign w:val="top"/>
          </w:tcPr>
          <w:p>
            <w:pPr>
              <w:pStyle w:val="6"/>
              <w:spacing w:before="259" w:line="223" w:lineRule="auto"/>
              <w:ind w:left="428"/>
              <w:rPr>
                <w:sz w:val="18"/>
                <w:szCs w:val="18"/>
              </w:rPr>
            </w:pPr>
            <w:r>
              <w:rPr>
                <w:sz w:val="18"/>
                <w:szCs w:val="18"/>
              </w:rPr>
              <w:t>北</w:t>
            </w:r>
          </w:p>
        </w:tc>
        <w:tc>
          <w:tcPr>
            <w:tcW w:w="1274" w:type="dxa"/>
            <w:vAlign w:val="top"/>
          </w:tcPr>
          <w:p>
            <w:pPr>
              <w:spacing w:before="291"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w:t>
            </w:r>
          </w:p>
        </w:tc>
        <w:tc>
          <w:tcPr>
            <w:tcW w:w="1823" w:type="dxa"/>
            <w:vAlign w:val="top"/>
          </w:tcPr>
          <w:p>
            <w:pPr>
              <w:pStyle w:val="6"/>
              <w:spacing w:before="258" w:line="219" w:lineRule="auto"/>
              <w:ind w:left="376"/>
              <w:rPr>
                <w:sz w:val="18"/>
                <w:szCs w:val="18"/>
              </w:rPr>
            </w:pPr>
            <w:r>
              <w:rPr>
                <w:spacing w:val="-1"/>
                <w:sz w:val="18"/>
                <w:szCs w:val="18"/>
              </w:rPr>
              <w:t>农村分散居民</w:t>
            </w:r>
          </w:p>
        </w:tc>
        <w:tc>
          <w:tcPr>
            <w:tcW w:w="1636" w:type="dxa"/>
            <w:vAlign w:val="top"/>
          </w:tcPr>
          <w:p>
            <w:pPr>
              <w:pStyle w:val="6"/>
              <w:spacing w:before="26" w:line="228" w:lineRule="auto"/>
              <w:ind w:left="110" w:right="108" w:firstLine="79"/>
              <w:jc w:val="both"/>
              <w:rPr>
                <w:sz w:val="18"/>
                <w:szCs w:val="18"/>
              </w:rPr>
            </w:pPr>
            <w:r>
              <w:rPr>
                <w:spacing w:val="-2"/>
                <w:sz w:val="18"/>
                <w:szCs w:val="18"/>
              </w:rPr>
              <w:t>供销社蔬菜冷藏</w:t>
            </w:r>
            <w:r>
              <w:rPr>
                <w:spacing w:val="2"/>
                <w:sz w:val="18"/>
                <w:szCs w:val="18"/>
              </w:rPr>
              <w:t xml:space="preserve">  </w:t>
            </w:r>
            <w:r>
              <w:rPr>
                <w:spacing w:val="-14"/>
                <w:sz w:val="18"/>
                <w:szCs w:val="18"/>
              </w:rPr>
              <w:t>储存库， 本次不作</w:t>
            </w:r>
            <w:r>
              <w:rPr>
                <w:spacing w:val="7"/>
                <w:sz w:val="18"/>
                <w:szCs w:val="18"/>
              </w:rPr>
              <w:t xml:space="preserve"> </w:t>
            </w:r>
            <w:r>
              <w:rPr>
                <w:spacing w:val="10"/>
                <w:sz w:val="18"/>
                <w:szCs w:val="18"/>
              </w:rPr>
              <w:t>为环境保护目标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4" w:line="186" w:lineRule="auto"/>
              <w:ind w:left="26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35" w:type="dxa"/>
            <w:vAlign w:val="top"/>
          </w:tcPr>
          <w:p>
            <w:pPr>
              <w:pStyle w:val="6"/>
              <w:spacing w:before="82" w:line="220" w:lineRule="auto"/>
              <w:ind w:left="354"/>
              <w:rPr>
                <w:sz w:val="18"/>
                <w:szCs w:val="18"/>
              </w:rPr>
            </w:pPr>
            <w:r>
              <w:rPr>
                <w:rFonts w:ascii="Times New Roman" w:hAnsi="Times New Roman" w:eastAsia="Times New Roman" w:cs="Times New Roman"/>
                <w:spacing w:val="-1"/>
                <w:sz w:val="18"/>
                <w:szCs w:val="18"/>
              </w:rPr>
              <w:t>2#</w:t>
            </w:r>
            <w:r>
              <w:rPr>
                <w:spacing w:val="-1"/>
                <w:sz w:val="18"/>
                <w:szCs w:val="18"/>
              </w:rPr>
              <w:t>居民点</w:t>
            </w:r>
          </w:p>
        </w:tc>
        <w:tc>
          <w:tcPr>
            <w:tcW w:w="1024" w:type="dxa"/>
            <w:vAlign w:val="top"/>
          </w:tcPr>
          <w:p>
            <w:pPr>
              <w:pStyle w:val="6"/>
              <w:spacing w:before="81" w:line="223" w:lineRule="auto"/>
              <w:ind w:left="428"/>
              <w:rPr>
                <w:sz w:val="18"/>
                <w:szCs w:val="18"/>
              </w:rPr>
            </w:pPr>
            <w:r>
              <w:rPr>
                <w:sz w:val="18"/>
                <w:szCs w:val="18"/>
              </w:rPr>
              <w:t>北</w:t>
            </w:r>
          </w:p>
        </w:tc>
        <w:tc>
          <w:tcPr>
            <w:tcW w:w="1274" w:type="dxa"/>
            <w:vAlign w:val="top"/>
          </w:tcPr>
          <w:p>
            <w:pPr>
              <w:spacing w:before="114"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189</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1" w:line="220" w:lineRule="auto"/>
              <w:ind w:left="110"/>
              <w:rPr>
                <w:sz w:val="18"/>
                <w:szCs w:val="18"/>
              </w:rPr>
            </w:pPr>
            <w:r>
              <w:rPr>
                <w:spacing w:val="-4"/>
                <w:sz w:val="18"/>
                <w:szCs w:val="18"/>
              </w:rPr>
              <w:t>散户居民</w:t>
            </w:r>
            <w:r>
              <w:rPr>
                <w:spacing w:val="-29"/>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5" w:line="186"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35" w:type="dxa"/>
            <w:vAlign w:val="top"/>
          </w:tcPr>
          <w:p>
            <w:pPr>
              <w:pStyle w:val="6"/>
              <w:spacing w:before="82" w:line="220" w:lineRule="auto"/>
              <w:ind w:left="358"/>
              <w:rPr>
                <w:sz w:val="18"/>
                <w:szCs w:val="18"/>
              </w:rPr>
            </w:pPr>
            <w:r>
              <w:rPr>
                <w:rFonts w:ascii="Times New Roman" w:hAnsi="Times New Roman" w:eastAsia="Times New Roman" w:cs="Times New Roman"/>
                <w:spacing w:val="-1"/>
                <w:sz w:val="18"/>
                <w:szCs w:val="18"/>
              </w:rPr>
              <w:t>3#</w:t>
            </w:r>
            <w:r>
              <w:rPr>
                <w:spacing w:val="-1"/>
                <w:sz w:val="18"/>
                <w:szCs w:val="18"/>
              </w:rPr>
              <w:t>居民点</w:t>
            </w:r>
          </w:p>
        </w:tc>
        <w:tc>
          <w:tcPr>
            <w:tcW w:w="1024" w:type="dxa"/>
            <w:vAlign w:val="top"/>
          </w:tcPr>
          <w:p>
            <w:pPr>
              <w:pStyle w:val="6"/>
              <w:spacing w:before="82" w:line="223" w:lineRule="auto"/>
              <w:ind w:left="428"/>
              <w:rPr>
                <w:sz w:val="18"/>
                <w:szCs w:val="18"/>
              </w:rPr>
            </w:pPr>
            <w:r>
              <w:rPr>
                <w:sz w:val="18"/>
                <w:szCs w:val="18"/>
              </w:rPr>
              <w:t>北</w:t>
            </w:r>
          </w:p>
        </w:tc>
        <w:tc>
          <w:tcPr>
            <w:tcW w:w="1274" w:type="dxa"/>
            <w:vAlign w:val="top"/>
          </w:tcPr>
          <w:p>
            <w:pPr>
              <w:spacing w:before="115" w:line="186" w:lineRule="auto"/>
              <w:ind w:left="35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166-</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6"/>
                <w:sz w:val="18"/>
                <w:szCs w:val="18"/>
              </w:rPr>
              <w:t>169</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1" w:line="220" w:lineRule="auto"/>
              <w:ind w:left="110"/>
              <w:rPr>
                <w:sz w:val="18"/>
                <w:szCs w:val="18"/>
              </w:rPr>
            </w:pPr>
            <w:r>
              <w:rPr>
                <w:spacing w:val="-3"/>
                <w:sz w:val="18"/>
                <w:szCs w:val="18"/>
              </w:rPr>
              <w:t>散户居民</w:t>
            </w:r>
            <w:r>
              <w:rPr>
                <w:spacing w:val="-42"/>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41"/>
                <w:sz w:val="18"/>
                <w:szCs w:val="18"/>
              </w:rPr>
              <w:t xml:space="preserve"> </w:t>
            </w:r>
            <w:r>
              <w:rPr>
                <w:rFonts w:ascii="Times New Roman" w:hAnsi="Times New Roman" w:eastAsia="Times New Roman" w:cs="Times New Roman"/>
                <w:spacing w:val="-3"/>
                <w:sz w:val="18"/>
                <w:szCs w:val="18"/>
              </w:rPr>
              <w:t xml:space="preserve">8 </w:t>
            </w:r>
            <w:r>
              <w:rPr>
                <w:spacing w:val="-3"/>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5" w:line="186" w:lineRule="auto"/>
              <w:ind w:left="26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435" w:type="dxa"/>
            <w:vAlign w:val="top"/>
          </w:tcPr>
          <w:p>
            <w:pPr>
              <w:pStyle w:val="6"/>
              <w:spacing w:before="80" w:line="220" w:lineRule="auto"/>
              <w:ind w:left="353"/>
              <w:rPr>
                <w:sz w:val="18"/>
                <w:szCs w:val="18"/>
              </w:rPr>
            </w:pPr>
            <w:r>
              <w:rPr>
                <w:rFonts w:ascii="Times New Roman" w:hAnsi="Times New Roman" w:eastAsia="Times New Roman" w:cs="Times New Roman"/>
                <w:spacing w:val="-1"/>
                <w:sz w:val="18"/>
                <w:szCs w:val="18"/>
              </w:rPr>
              <w:t>4#</w:t>
            </w:r>
            <w:r>
              <w:rPr>
                <w:spacing w:val="-1"/>
                <w:sz w:val="18"/>
                <w:szCs w:val="18"/>
              </w:rPr>
              <w:t>居民点</w:t>
            </w:r>
          </w:p>
        </w:tc>
        <w:tc>
          <w:tcPr>
            <w:tcW w:w="1024" w:type="dxa"/>
            <w:vAlign w:val="top"/>
          </w:tcPr>
          <w:p>
            <w:pPr>
              <w:pStyle w:val="6"/>
              <w:spacing w:before="80" w:line="223" w:lineRule="auto"/>
              <w:ind w:left="428"/>
              <w:rPr>
                <w:sz w:val="18"/>
                <w:szCs w:val="18"/>
              </w:rPr>
            </w:pPr>
            <w:r>
              <w:rPr>
                <w:sz w:val="18"/>
                <w:szCs w:val="18"/>
              </w:rPr>
              <w:t>北</w:t>
            </w:r>
          </w:p>
        </w:tc>
        <w:tc>
          <w:tcPr>
            <w:tcW w:w="1274" w:type="dxa"/>
            <w:vAlign w:val="top"/>
          </w:tcPr>
          <w:p>
            <w:pPr>
              <w:spacing w:before="115"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246-253</w:t>
            </w:r>
          </w:p>
        </w:tc>
        <w:tc>
          <w:tcPr>
            <w:tcW w:w="1823" w:type="dxa"/>
            <w:vAlign w:val="top"/>
          </w:tcPr>
          <w:p>
            <w:pPr>
              <w:pStyle w:val="6"/>
              <w:spacing w:before="79" w:line="219" w:lineRule="auto"/>
              <w:ind w:left="376"/>
              <w:rPr>
                <w:sz w:val="18"/>
                <w:szCs w:val="18"/>
              </w:rPr>
            </w:pPr>
            <w:r>
              <w:rPr>
                <w:spacing w:val="-1"/>
                <w:sz w:val="18"/>
                <w:szCs w:val="18"/>
              </w:rPr>
              <w:t>农村分散居民</w:t>
            </w:r>
          </w:p>
        </w:tc>
        <w:tc>
          <w:tcPr>
            <w:tcW w:w="1636" w:type="dxa"/>
            <w:vAlign w:val="top"/>
          </w:tcPr>
          <w:p>
            <w:pPr>
              <w:pStyle w:val="6"/>
              <w:spacing w:before="79" w:line="220" w:lineRule="auto"/>
              <w:ind w:left="110"/>
              <w:rPr>
                <w:sz w:val="18"/>
                <w:szCs w:val="18"/>
              </w:rPr>
            </w:pPr>
            <w:r>
              <w:rPr>
                <w:spacing w:val="-2"/>
                <w:sz w:val="18"/>
                <w:szCs w:val="18"/>
              </w:rPr>
              <w:t>散户居民</w:t>
            </w:r>
            <w:r>
              <w:rPr>
                <w:spacing w:val="-48"/>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45"/>
                <w:sz w:val="18"/>
                <w:szCs w:val="18"/>
              </w:rPr>
              <w:t xml:space="preserve"> </w:t>
            </w:r>
            <w:r>
              <w:rPr>
                <w:rFonts w:ascii="Times New Roman" w:hAnsi="Times New Roman" w:eastAsia="Times New Roman" w:cs="Times New Roman"/>
                <w:spacing w:val="-2"/>
                <w:sz w:val="18"/>
                <w:szCs w:val="18"/>
              </w:rPr>
              <w:t xml:space="preserve">9 </w:t>
            </w:r>
            <w:r>
              <w:rPr>
                <w:spacing w:val="-2"/>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8" w:line="183" w:lineRule="auto"/>
              <w:ind w:left="26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435" w:type="dxa"/>
            <w:vAlign w:val="top"/>
          </w:tcPr>
          <w:p>
            <w:pPr>
              <w:pStyle w:val="6"/>
              <w:spacing w:before="80" w:line="220" w:lineRule="auto"/>
              <w:ind w:left="359"/>
              <w:rPr>
                <w:sz w:val="18"/>
                <w:szCs w:val="18"/>
              </w:rPr>
            </w:pPr>
            <w:r>
              <w:rPr>
                <w:rFonts w:ascii="Times New Roman" w:hAnsi="Times New Roman" w:eastAsia="Times New Roman" w:cs="Times New Roman"/>
                <w:spacing w:val="-2"/>
                <w:sz w:val="18"/>
                <w:szCs w:val="18"/>
              </w:rPr>
              <w:t>5#</w:t>
            </w:r>
            <w:r>
              <w:rPr>
                <w:spacing w:val="-2"/>
                <w:sz w:val="18"/>
                <w:szCs w:val="18"/>
              </w:rPr>
              <w:t>居民点</w:t>
            </w:r>
          </w:p>
        </w:tc>
        <w:tc>
          <w:tcPr>
            <w:tcW w:w="1024" w:type="dxa"/>
            <w:vAlign w:val="top"/>
          </w:tcPr>
          <w:p>
            <w:pPr>
              <w:pStyle w:val="6"/>
              <w:spacing w:before="80" w:line="220" w:lineRule="auto"/>
              <w:ind w:left="340"/>
              <w:rPr>
                <w:sz w:val="18"/>
                <w:szCs w:val="18"/>
              </w:rPr>
            </w:pPr>
            <w:r>
              <w:rPr>
                <w:spacing w:val="-4"/>
                <w:sz w:val="18"/>
                <w:szCs w:val="18"/>
              </w:rPr>
              <w:t>东北</w:t>
            </w:r>
          </w:p>
        </w:tc>
        <w:tc>
          <w:tcPr>
            <w:tcW w:w="1274" w:type="dxa"/>
            <w:vAlign w:val="top"/>
          </w:tcPr>
          <w:p>
            <w:pPr>
              <w:spacing w:before="115" w:line="186" w:lineRule="auto"/>
              <w:ind w:left="5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231</w:t>
            </w:r>
          </w:p>
        </w:tc>
        <w:tc>
          <w:tcPr>
            <w:tcW w:w="1823" w:type="dxa"/>
            <w:vAlign w:val="top"/>
          </w:tcPr>
          <w:p>
            <w:pPr>
              <w:pStyle w:val="6"/>
              <w:spacing w:before="80" w:line="219" w:lineRule="auto"/>
              <w:ind w:left="376"/>
              <w:rPr>
                <w:sz w:val="18"/>
                <w:szCs w:val="18"/>
              </w:rPr>
            </w:pPr>
            <w:r>
              <w:rPr>
                <w:spacing w:val="-1"/>
                <w:sz w:val="18"/>
                <w:szCs w:val="18"/>
              </w:rPr>
              <w:t>农村分散居民</w:t>
            </w:r>
          </w:p>
        </w:tc>
        <w:tc>
          <w:tcPr>
            <w:tcW w:w="1636" w:type="dxa"/>
            <w:vAlign w:val="top"/>
          </w:tcPr>
          <w:p>
            <w:pPr>
              <w:pStyle w:val="6"/>
              <w:spacing w:before="80" w:line="220" w:lineRule="auto"/>
              <w:ind w:left="110"/>
              <w:rPr>
                <w:sz w:val="18"/>
                <w:szCs w:val="18"/>
              </w:rPr>
            </w:pPr>
            <w:r>
              <w:rPr>
                <w:spacing w:val="-4"/>
                <w:sz w:val="18"/>
                <w:szCs w:val="18"/>
              </w:rPr>
              <w:t>散户居民</w:t>
            </w:r>
            <w:r>
              <w:rPr>
                <w:spacing w:val="-24"/>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9"/>
                <w:sz w:val="18"/>
                <w:szCs w:val="18"/>
              </w:rPr>
              <w:t xml:space="preserve"> </w:t>
            </w:r>
            <w:r>
              <w:rPr>
                <w:rFonts w:ascii="Times New Roman" w:hAnsi="Times New Roman" w:eastAsia="Times New Roman" w:cs="Times New Roman"/>
                <w:spacing w:val="-4"/>
                <w:sz w:val="18"/>
                <w:szCs w:val="18"/>
              </w:rPr>
              <w:t xml:space="preserve">4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6" w:line="186"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435" w:type="dxa"/>
            <w:vAlign w:val="top"/>
          </w:tcPr>
          <w:p>
            <w:pPr>
              <w:pStyle w:val="6"/>
              <w:spacing w:before="81" w:line="220" w:lineRule="auto"/>
              <w:ind w:left="358"/>
              <w:rPr>
                <w:sz w:val="18"/>
                <w:szCs w:val="18"/>
              </w:rPr>
            </w:pPr>
            <w:r>
              <w:rPr>
                <w:rFonts w:ascii="Times New Roman" w:hAnsi="Times New Roman" w:eastAsia="Times New Roman" w:cs="Times New Roman"/>
                <w:spacing w:val="-2"/>
                <w:sz w:val="18"/>
                <w:szCs w:val="18"/>
              </w:rPr>
              <w:t>6#</w:t>
            </w:r>
            <w:r>
              <w:rPr>
                <w:spacing w:val="-2"/>
                <w:sz w:val="18"/>
                <w:szCs w:val="18"/>
              </w:rPr>
              <w:t>居民点</w:t>
            </w:r>
          </w:p>
        </w:tc>
        <w:tc>
          <w:tcPr>
            <w:tcW w:w="1024" w:type="dxa"/>
            <w:vAlign w:val="top"/>
          </w:tcPr>
          <w:p>
            <w:pPr>
              <w:pStyle w:val="6"/>
              <w:spacing w:before="80" w:line="220" w:lineRule="auto"/>
              <w:ind w:left="340"/>
              <w:rPr>
                <w:sz w:val="18"/>
                <w:szCs w:val="18"/>
              </w:rPr>
            </w:pPr>
            <w:r>
              <w:rPr>
                <w:spacing w:val="-4"/>
                <w:sz w:val="18"/>
                <w:szCs w:val="18"/>
              </w:rPr>
              <w:t>东北</w:t>
            </w:r>
          </w:p>
        </w:tc>
        <w:tc>
          <w:tcPr>
            <w:tcW w:w="1274" w:type="dxa"/>
            <w:vAlign w:val="top"/>
          </w:tcPr>
          <w:p>
            <w:pPr>
              <w:spacing w:before="116" w:line="186" w:lineRule="auto"/>
              <w:ind w:left="5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265</w:t>
            </w:r>
          </w:p>
        </w:tc>
        <w:tc>
          <w:tcPr>
            <w:tcW w:w="1823" w:type="dxa"/>
            <w:vAlign w:val="top"/>
          </w:tcPr>
          <w:p>
            <w:pPr>
              <w:pStyle w:val="6"/>
              <w:spacing w:before="80" w:line="219" w:lineRule="auto"/>
              <w:ind w:left="376"/>
              <w:rPr>
                <w:sz w:val="18"/>
                <w:szCs w:val="18"/>
              </w:rPr>
            </w:pPr>
            <w:r>
              <w:rPr>
                <w:spacing w:val="-1"/>
                <w:sz w:val="18"/>
                <w:szCs w:val="18"/>
              </w:rPr>
              <w:t>农村分散居民</w:t>
            </w:r>
          </w:p>
        </w:tc>
        <w:tc>
          <w:tcPr>
            <w:tcW w:w="1636" w:type="dxa"/>
            <w:vAlign w:val="top"/>
          </w:tcPr>
          <w:p>
            <w:pPr>
              <w:pStyle w:val="6"/>
              <w:spacing w:before="80" w:line="220" w:lineRule="auto"/>
              <w:ind w:left="110"/>
              <w:rPr>
                <w:sz w:val="18"/>
                <w:szCs w:val="18"/>
              </w:rPr>
            </w:pPr>
            <w:r>
              <w:rPr>
                <w:spacing w:val="-4"/>
                <w:sz w:val="18"/>
                <w:szCs w:val="18"/>
              </w:rPr>
              <w:t>散户居民</w:t>
            </w:r>
            <w:r>
              <w:rPr>
                <w:spacing w:val="-29"/>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4"/>
                <w:sz w:val="18"/>
                <w:szCs w:val="18"/>
              </w:rPr>
              <w:t xml:space="preserve"> </w:t>
            </w:r>
            <w:r>
              <w:rPr>
                <w:rFonts w:ascii="Times New Roman" w:hAnsi="Times New Roman" w:eastAsia="Times New Roman" w:cs="Times New Roman"/>
                <w:spacing w:val="-4"/>
                <w:sz w:val="18"/>
                <w:szCs w:val="18"/>
              </w:rPr>
              <w:t xml:space="preserve">3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83"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35" w:type="dxa"/>
            <w:vAlign w:val="top"/>
          </w:tcPr>
          <w:p>
            <w:pPr>
              <w:pStyle w:val="6"/>
              <w:spacing w:before="144" w:line="220" w:lineRule="auto"/>
              <w:ind w:left="357"/>
              <w:rPr>
                <w:sz w:val="18"/>
                <w:szCs w:val="18"/>
              </w:rPr>
            </w:pPr>
            <w:r>
              <w:rPr>
                <w:rFonts w:ascii="Times New Roman" w:hAnsi="Times New Roman" w:eastAsia="Times New Roman" w:cs="Times New Roman"/>
                <w:spacing w:val="-1"/>
                <w:sz w:val="18"/>
                <w:szCs w:val="18"/>
              </w:rPr>
              <w:t>7#</w:t>
            </w:r>
            <w:r>
              <w:rPr>
                <w:spacing w:val="-1"/>
                <w:sz w:val="18"/>
                <w:szCs w:val="18"/>
              </w:rPr>
              <w:t>居民点</w:t>
            </w:r>
          </w:p>
        </w:tc>
        <w:tc>
          <w:tcPr>
            <w:tcW w:w="1024" w:type="dxa"/>
            <w:vAlign w:val="top"/>
          </w:tcPr>
          <w:p>
            <w:pPr>
              <w:pStyle w:val="6"/>
              <w:spacing w:before="143" w:line="222" w:lineRule="auto"/>
              <w:ind w:left="338"/>
              <w:rPr>
                <w:sz w:val="18"/>
                <w:szCs w:val="18"/>
              </w:rPr>
            </w:pPr>
            <w:r>
              <w:rPr>
                <w:spacing w:val="-3"/>
                <w:sz w:val="18"/>
                <w:szCs w:val="18"/>
              </w:rPr>
              <w:t>西南</w:t>
            </w:r>
          </w:p>
        </w:tc>
        <w:tc>
          <w:tcPr>
            <w:tcW w:w="1274" w:type="dxa"/>
            <w:vAlign w:val="top"/>
          </w:tcPr>
          <w:p>
            <w:pPr>
              <w:spacing w:before="179"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229-280</w:t>
            </w:r>
          </w:p>
        </w:tc>
        <w:tc>
          <w:tcPr>
            <w:tcW w:w="1823" w:type="dxa"/>
            <w:vAlign w:val="top"/>
          </w:tcPr>
          <w:p>
            <w:pPr>
              <w:pStyle w:val="6"/>
              <w:spacing w:before="143" w:line="219" w:lineRule="auto"/>
              <w:ind w:left="376"/>
              <w:rPr>
                <w:sz w:val="18"/>
                <w:szCs w:val="18"/>
              </w:rPr>
            </w:pPr>
            <w:r>
              <w:rPr>
                <w:spacing w:val="-1"/>
                <w:sz w:val="18"/>
                <w:szCs w:val="18"/>
              </w:rPr>
              <w:t>农村分散居民</w:t>
            </w:r>
          </w:p>
        </w:tc>
        <w:tc>
          <w:tcPr>
            <w:tcW w:w="1636" w:type="dxa"/>
            <w:vAlign w:val="top"/>
          </w:tcPr>
          <w:p>
            <w:pPr>
              <w:pStyle w:val="6"/>
              <w:spacing w:before="29" w:line="221" w:lineRule="auto"/>
              <w:ind w:left="732" w:right="163" w:hanging="566"/>
              <w:rPr>
                <w:sz w:val="18"/>
                <w:szCs w:val="18"/>
              </w:rPr>
            </w:pPr>
            <w:r>
              <w:rPr>
                <w:spacing w:val="-6"/>
                <w:sz w:val="18"/>
                <w:szCs w:val="18"/>
              </w:rPr>
              <w:t>散户居民</w:t>
            </w:r>
            <w:r>
              <w:rPr>
                <w:spacing w:val="-31"/>
                <w:sz w:val="18"/>
                <w:szCs w:val="18"/>
              </w:rPr>
              <w:t xml:space="preserve"> </w:t>
            </w:r>
            <w:r>
              <w:rPr>
                <w:rFonts w:ascii="Times New Roman" w:hAnsi="Times New Roman" w:eastAsia="Times New Roman" w:cs="Times New Roman"/>
                <w:spacing w:val="-6"/>
                <w:sz w:val="18"/>
                <w:szCs w:val="18"/>
              </w:rPr>
              <w:t>3</w:t>
            </w:r>
            <w:r>
              <w:rPr>
                <w:rFonts w:ascii="Times New Roman" w:hAnsi="Times New Roman" w:eastAsia="Times New Roman" w:cs="Times New Roman"/>
                <w:spacing w:val="9"/>
                <w:sz w:val="18"/>
                <w:szCs w:val="18"/>
              </w:rPr>
              <w:t xml:space="preserve"> </w:t>
            </w:r>
            <w:r>
              <w:rPr>
                <w:spacing w:val="-6"/>
                <w:sz w:val="18"/>
                <w:szCs w:val="18"/>
              </w:rPr>
              <w:t>户</w:t>
            </w:r>
            <w:r>
              <w:rPr>
                <w:spacing w:val="-25"/>
                <w:sz w:val="18"/>
                <w:szCs w:val="18"/>
              </w:rPr>
              <w:t xml:space="preserve"> </w:t>
            </w:r>
            <w:r>
              <w:rPr>
                <w:rFonts w:ascii="Times New Roman" w:hAnsi="Times New Roman" w:eastAsia="Times New Roman" w:cs="Times New Roman"/>
                <w:spacing w:val="-6"/>
                <w:sz w:val="18"/>
                <w:szCs w:val="18"/>
              </w:rPr>
              <w:t>12</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86" w:lineRule="auto"/>
              <w:ind w:left="27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35" w:type="dxa"/>
            <w:vAlign w:val="top"/>
          </w:tcPr>
          <w:p>
            <w:pPr>
              <w:pStyle w:val="6"/>
              <w:spacing w:before="146" w:line="220" w:lineRule="auto"/>
              <w:ind w:left="361"/>
              <w:rPr>
                <w:sz w:val="18"/>
                <w:szCs w:val="18"/>
              </w:rPr>
            </w:pPr>
            <w:r>
              <w:rPr>
                <w:rFonts w:ascii="Times New Roman" w:hAnsi="Times New Roman" w:eastAsia="Times New Roman" w:cs="Times New Roman"/>
                <w:spacing w:val="-2"/>
                <w:sz w:val="18"/>
                <w:szCs w:val="18"/>
              </w:rPr>
              <w:t>8#</w:t>
            </w:r>
            <w:r>
              <w:rPr>
                <w:spacing w:val="-2"/>
                <w:sz w:val="18"/>
                <w:szCs w:val="18"/>
              </w:rPr>
              <w:t>居民点</w:t>
            </w:r>
          </w:p>
        </w:tc>
        <w:tc>
          <w:tcPr>
            <w:tcW w:w="1024" w:type="dxa"/>
            <w:vAlign w:val="top"/>
          </w:tcPr>
          <w:p>
            <w:pPr>
              <w:pStyle w:val="6"/>
              <w:spacing w:before="146" w:line="222" w:lineRule="auto"/>
              <w:ind w:left="338"/>
              <w:rPr>
                <w:sz w:val="18"/>
                <w:szCs w:val="18"/>
              </w:rPr>
            </w:pPr>
            <w:r>
              <w:rPr>
                <w:spacing w:val="-3"/>
                <w:sz w:val="18"/>
                <w:szCs w:val="18"/>
              </w:rPr>
              <w:t>西南</w:t>
            </w:r>
          </w:p>
        </w:tc>
        <w:tc>
          <w:tcPr>
            <w:tcW w:w="1274" w:type="dxa"/>
            <w:vAlign w:val="top"/>
          </w:tcPr>
          <w:p>
            <w:pPr>
              <w:spacing w:before="181" w:line="186" w:lineRule="auto"/>
              <w:ind w:left="35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169-224</w:t>
            </w:r>
          </w:p>
        </w:tc>
        <w:tc>
          <w:tcPr>
            <w:tcW w:w="1823" w:type="dxa"/>
            <w:vAlign w:val="top"/>
          </w:tcPr>
          <w:p>
            <w:pPr>
              <w:pStyle w:val="6"/>
              <w:spacing w:before="146" w:line="219" w:lineRule="auto"/>
              <w:ind w:left="376"/>
              <w:rPr>
                <w:sz w:val="18"/>
                <w:szCs w:val="18"/>
              </w:rPr>
            </w:pPr>
            <w:r>
              <w:rPr>
                <w:spacing w:val="-1"/>
                <w:sz w:val="18"/>
                <w:szCs w:val="18"/>
              </w:rPr>
              <w:t>农村分散居民</w:t>
            </w:r>
          </w:p>
        </w:tc>
        <w:tc>
          <w:tcPr>
            <w:tcW w:w="1636" w:type="dxa"/>
            <w:vAlign w:val="top"/>
          </w:tcPr>
          <w:p>
            <w:pPr>
              <w:pStyle w:val="6"/>
              <w:spacing w:before="29" w:line="222" w:lineRule="auto"/>
              <w:ind w:left="732" w:right="163" w:hanging="566"/>
              <w:rPr>
                <w:sz w:val="18"/>
                <w:szCs w:val="18"/>
              </w:rPr>
            </w:pPr>
            <w:r>
              <w:rPr>
                <w:spacing w:val="-6"/>
                <w:sz w:val="18"/>
                <w:szCs w:val="18"/>
              </w:rPr>
              <w:t>散户居民</w:t>
            </w:r>
            <w:r>
              <w:rPr>
                <w:spacing w:val="-31"/>
                <w:sz w:val="18"/>
                <w:szCs w:val="18"/>
              </w:rPr>
              <w:t xml:space="preserve"> </w:t>
            </w:r>
            <w:r>
              <w:rPr>
                <w:rFonts w:ascii="Times New Roman" w:hAnsi="Times New Roman" w:eastAsia="Times New Roman" w:cs="Times New Roman"/>
                <w:spacing w:val="-6"/>
                <w:sz w:val="18"/>
                <w:szCs w:val="18"/>
              </w:rPr>
              <w:t>3</w:t>
            </w:r>
            <w:r>
              <w:rPr>
                <w:rFonts w:ascii="Times New Roman" w:hAnsi="Times New Roman" w:eastAsia="Times New Roman" w:cs="Times New Roman"/>
                <w:spacing w:val="9"/>
                <w:sz w:val="18"/>
                <w:szCs w:val="18"/>
              </w:rPr>
              <w:t xml:space="preserve"> </w:t>
            </w:r>
            <w:r>
              <w:rPr>
                <w:spacing w:val="-6"/>
                <w:sz w:val="18"/>
                <w:szCs w:val="18"/>
              </w:rPr>
              <w:t>户</w:t>
            </w:r>
            <w:r>
              <w:rPr>
                <w:spacing w:val="-25"/>
                <w:sz w:val="18"/>
                <w:szCs w:val="18"/>
              </w:rPr>
              <w:t xml:space="preserve"> </w:t>
            </w:r>
            <w:r>
              <w:rPr>
                <w:rFonts w:ascii="Times New Roman" w:hAnsi="Times New Roman" w:eastAsia="Times New Roman" w:cs="Times New Roman"/>
                <w:spacing w:val="-6"/>
                <w:sz w:val="18"/>
                <w:szCs w:val="18"/>
              </w:rPr>
              <w:t>13</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7" w:line="186"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435" w:type="dxa"/>
            <w:vAlign w:val="top"/>
          </w:tcPr>
          <w:p>
            <w:pPr>
              <w:pStyle w:val="6"/>
              <w:spacing w:before="82" w:line="220" w:lineRule="auto"/>
              <w:ind w:left="357"/>
              <w:rPr>
                <w:sz w:val="18"/>
                <w:szCs w:val="18"/>
              </w:rPr>
            </w:pPr>
            <w:r>
              <w:rPr>
                <w:rFonts w:ascii="Times New Roman" w:hAnsi="Times New Roman" w:eastAsia="Times New Roman" w:cs="Times New Roman"/>
                <w:spacing w:val="-1"/>
                <w:sz w:val="18"/>
                <w:szCs w:val="18"/>
              </w:rPr>
              <w:t>9#</w:t>
            </w:r>
            <w:r>
              <w:rPr>
                <w:spacing w:val="-1"/>
                <w:sz w:val="18"/>
                <w:szCs w:val="18"/>
              </w:rPr>
              <w:t>居民点</w:t>
            </w:r>
          </w:p>
        </w:tc>
        <w:tc>
          <w:tcPr>
            <w:tcW w:w="1024" w:type="dxa"/>
            <w:vAlign w:val="top"/>
          </w:tcPr>
          <w:p>
            <w:pPr>
              <w:pStyle w:val="6"/>
              <w:spacing w:before="82" w:line="223" w:lineRule="auto"/>
              <w:ind w:left="430"/>
              <w:rPr>
                <w:sz w:val="18"/>
                <w:szCs w:val="18"/>
              </w:rPr>
            </w:pPr>
            <w:r>
              <w:rPr>
                <w:sz w:val="18"/>
                <w:szCs w:val="18"/>
              </w:rPr>
              <w:t>西</w:t>
            </w:r>
          </w:p>
        </w:tc>
        <w:tc>
          <w:tcPr>
            <w:tcW w:w="1274" w:type="dxa"/>
            <w:vAlign w:val="top"/>
          </w:tcPr>
          <w:p>
            <w:pPr>
              <w:spacing w:before="117" w:line="186" w:lineRule="auto"/>
              <w:ind w:left="5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225</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1" w:line="220" w:lineRule="auto"/>
              <w:ind w:left="110"/>
              <w:rPr>
                <w:sz w:val="18"/>
                <w:szCs w:val="18"/>
              </w:rPr>
            </w:pPr>
            <w:r>
              <w:rPr>
                <w:spacing w:val="-4"/>
                <w:sz w:val="18"/>
                <w:szCs w:val="18"/>
              </w:rPr>
              <w:t>散户居民</w:t>
            </w:r>
            <w:r>
              <w:rPr>
                <w:spacing w:val="-24"/>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9"/>
                <w:sz w:val="18"/>
                <w:szCs w:val="18"/>
              </w:rPr>
              <w:t xml:space="preserve"> </w:t>
            </w:r>
            <w:r>
              <w:rPr>
                <w:rFonts w:ascii="Times New Roman" w:hAnsi="Times New Roman" w:eastAsia="Times New Roman" w:cs="Times New Roman"/>
                <w:spacing w:val="-4"/>
                <w:sz w:val="18"/>
                <w:szCs w:val="18"/>
              </w:rPr>
              <w:t xml:space="preserve">4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7"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435" w:type="dxa"/>
            <w:vAlign w:val="top"/>
          </w:tcPr>
          <w:p>
            <w:pPr>
              <w:pStyle w:val="6"/>
              <w:spacing w:before="82" w:line="220" w:lineRule="auto"/>
              <w:ind w:left="326"/>
              <w:rPr>
                <w:sz w:val="18"/>
                <w:szCs w:val="18"/>
              </w:rPr>
            </w:pPr>
            <w:r>
              <w:rPr>
                <w:rFonts w:ascii="Times New Roman" w:hAnsi="Times New Roman" w:eastAsia="Times New Roman" w:cs="Times New Roman"/>
                <w:spacing w:val="-3"/>
                <w:sz w:val="18"/>
                <w:szCs w:val="18"/>
              </w:rPr>
              <w:t>10#</w:t>
            </w:r>
            <w:r>
              <w:rPr>
                <w:spacing w:val="-3"/>
                <w:sz w:val="18"/>
                <w:szCs w:val="18"/>
              </w:rPr>
              <w:t>居民点</w:t>
            </w:r>
          </w:p>
        </w:tc>
        <w:tc>
          <w:tcPr>
            <w:tcW w:w="1024" w:type="dxa"/>
            <w:vAlign w:val="top"/>
          </w:tcPr>
          <w:p>
            <w:pPr>
              <w:pStyle w:val="6"/>
              <w:spacing w:before="82" w:line="222" w:lineRule="auto"/>
              <w:ind w:left="338"/>
              <w:rPr>
                <w:sz w:val="18"/>
                <w:szCs w:val="18"/>
              </w:rPr>
            </w:pPr>
            <w:r>
              <w:rPr>
                <w:spacing w:val="-3"/>
                <w:sz w:val="18"/>
                <w:szCs w:val="18"/>
              </w:rPr>
              <w:t>西南</w:t>
            </w:r>
          </w:p>
        </w:tc>
        <w:tc>
          <w:tcPr>
            <w:tcW w:w="1274" w:type="dxa"/>
            <w:vAlign w:val="top"/>
          </w:tcPr>
          <w:p>
            <w:pPr>
              <w:spacing w:before="117" w:line="186" w:lineRule="auto"/>
              <w:ind w:left="50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368</w:t>
            </w:r>
          </w:p>
        </w:tc>
        <w:tc>
          <w:tcPr>
            <w:tcW w:w="1823" w:type="dxa"/>
            <w:vAlign w:val="top"/>
          </w:tcPr>
          <w:p>
            <w:pPr>
              <w:pStyle w:val="6"/>
              <w:spacing w:before="82" w:line="219" w:lineRule="auto"/>
              <w:ind w:left="376"/>
              <w:rPr>
                <w:sz w:val="18"/>
                <w:szCs w:val="18"/>
              </w:rPr>
            </w:pPr>
            <w:r>
              <w:rPr>
                <w:spacing w:val="-1"/>
                <w:sz w:val="18"/>
                <w:szCs w:val="18"/>
              </w:rPr>
              <w:t>农村分散居民</w:t>
            </w:r>
          </w:p>
        </w:tc>
        <w:tc>
          <w:tcPr>
            <w:tcW w:w="1636" w:type="dxa"/>
            <w:vAlign w:val="top"/>
          </w:tcPr>
          <w:p>
            <w:pPr>
              <w:pStyle w:val="6"/>
              <w:spacing w:before="82" w:line="220" w:lineRule="auto"/>
              <w:ind w:left="110"/>
              <w:rPr>
                <w:sz w:val="18"/>
                <w:szCs w:val="18"/>
              </w:rPr>
            </w:pPr>
            <w:r>
              <w:rPr>
                <w:spacing w:val="-4"/>
                <w:sz w:val="18"/>
                <w:szCs w:val="18"/>
              </w:rPr>
              <w:t>散户居民</w:t>
            </w:r>
            <w:r>
              <w:rPr>
                <w:spacing w:val="-24"/>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9"/>
                <w:sz w:val="18"/>
                <w:szCs w:val="18"/>
              </w:rPr>
              <w:t xml:space="preserve"> </w:t>
            </w:r>
            <w:r>
              <w:rPr>
                <w:rFonts w:ascii="Times New Roman" w:hAnsi="Times New Roman" w:eastAsia="Times New Roman" w:cs="Times New Roman"/>
                <w:spacing w:val="-4"/>
                <w:sz w:val="18"/>
                <w:szCs w:val="18"/>
              </w:rPr>
              <w:t xml:space="preserve">4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4" w:type="dxa"/>
            <w:tcBorders>
              <w:bottom w:val="single" w:color="000000" w:sz="4" w:space="0"/>
            </w:tcBorders>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w:t>
            </w:r>
          </w:p>
        </w:tc>
        <w:tc>
          <w:tcPr>
            <w:tcW w:w="1435" w:type="dxa"/>
            <w:tcBorders>
              <w:bottom w:val="single" w:color="000000" w:sz="4" w:space="0"/>
            </w:tcBorders>
            <w:vAlign w:val="top"/>
          </w:tcPr>
          <w:p>
            <w:pPr>
              <w:pStyle w:val="6"/>
              <w:spacing w:before="83" w:line="220" w:lineRule="auto"/>
              <w:ind w:left="326"/>
              <w:rPr>
                <w:sz w:val="18"/>
                <w:szCs w:val="18"/>
              </w:rPr>
            </w:pPr>
            <w:r>
              <w:rPr>
                <w:rFonts w:ascii="Times New Roman" w:hAnsi="Times New Roman" w:eastAsia="Times New Roman" w:cs="Times New Roman"/>
                <w:spacing w:val="-3"/>
                <w:sz w:val="18"/>
                <w:szCs w:val="18"/>
              </w:rPr>
              <w:t>11#</w:t>
            </w:r>
            <w:r>
              <w:rPr>
                <w:spacing w:val="-3"/>
                <w:sz w:val="18"/>
                <w:szCs w:val="18"/>
              </w:rPr>
              <w:t>居民点</w:t>
            </w:r>
          </w:p>
        </w:tc>
        <w:tc>
          <w:tcPr>
            <w:tcW w:w="1024" w:type="dxa"/>
            <w:tcBorders>
              <w:bottom w:val="single" w:color="000000" w:sz="4" w:space="0"/>
            </w:tcBorders>
            <w:vAlign w:val="top"/>
          </w:tcPr>
          <w:p>
            <w:pPr>
              <w:pStyle w:val="6"/>
              <w:spacing w:before="83" w:line="223" w:lineRule="auto"/>
              <w:ind w:left="430"/>
              <w:rPr>
                <w:sz w:val="18"/>
                <w:szCs w:val="18"/>
              </w:rPr>
            </w:pPr>
            <w:r>
              <w:rPr>
                <w:sz w:val="18"/>
                <w:szCs w:val="18"/>
              </w:rPr>
              <w:t>西</w:t>
            </w:r>
          </w:p>
        </w:tc>
        <w:tc>
          <w:tcPr>
            <w:tcW w:w="1274" w:type="dxa"/>
            <w:tcBorders>
              <w:bottom w:val="single" w:color="000000" w:sz="4" w:space="0"/>
            </w:tcBorders>
            <w:vAlign w:val="top"/>
          </w:tcPr>
          <w:p>
            <w:pPr>
              <w:spacing w:before="118"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413</w:t>
            </w:r>
          </w:p>
        </w:tc>
        <w:tc>
          <w:tcPr>
            <w:tcW w:w="1823" w:type="dxa"/>
            <w:tcBorders>
              <w:bottom w:val="single" w:color="000000" w:sz="4" w:space="0"/>
            </w:tcBorders>
            <w:vAlign w:val="top"/>
          </w:tcPr>
          <w:p>
            <w:pPr>
              <w:pStyle w:val="6"/>
              <w:spacing w:before="82" w:line="219" w:lineRule="auto"/>
              <w:ind w:left="376"/>
              <w:rPr>
                <w:sz w:val="18"/>
                <w:szCs w:val="18"/>
              </w:rPr>
            </w:pPr>
            <w:r>
              <w:rPr>
                <w:spacing w:val="-1"/>
                <w:sz w:val="18"/>
                <w:szCs w:val="18"/>
              </w:rPr>
              <w:t>农村分散居民</w:t>
            </w:r>
          </w:p>
        </w:tc>
        <w:tc>
          <w:tcPr>
            <w:tcW w:w="1636" w:type="dxa"/>
            <w:tcBorders>
              <w:bottom w:val="single" w:color="000000" w:sz="4" w:space="0"/>
            </w:tcBorders>
            <w:vAlign w:val="top"/>
          </w:tcPr>
          <w:p>
            <w:pPr>
              <w:pStyle w:val="6"/>
              <w:spacing w:before="82" w:line="220" w:lineRule="auto"/>
              <w:ind w:left="110"/>
              <w:rPr>
                <w:sz w:val="18"/>
                <w:szCs w:val="18"/>
              </w:rPr>
            </w:pPr>
            <w:r>
              <w:rPr>
                <w:spacing w:val="-4"/>
                <w:sz w:val="18"/>
                <w:szCs w:val="18"/>
              </w:rPr>
              <w:t>散户居民</w:t>
            </w:r>
            <w:r>
              <w:rPr>
                <w:spacing w:val="-30"/>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3"/>
                <w:sz w:val="18"/>
                <w:szCs w:val="18"/>
              </w:rPr>
              <w:t xml:space="preserve"> </w:t>
            </w:r>
            <w:r>
              <w:rPr>
                <w:rFonts w:ascii="Times New Roman" w:hAnsi="Times New Roman" w:eastAsia="Times New Roman" w:cs="Times New Roman"/>
                <w:spacing w:val="-4"/>
                <w:sz w:val="18"/>
                <w:szCs w:val="18"/>
              </w:rPr>
              <w:t xml:space="preserve">5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17" w:type="dxa"/>
            <w:vMerge w:val="continue"/>
            <w:tcBorders>
              <w:top w:val="nil"/>
              <w:bottom w:val="nil"/>
            </w:tcBorders>
            <w:vAlign w:val="top"/>
          </w:tcPr>
          <w:p>
            <w:pPr>
              <w:rPr>
                <w:rFonts w:ascii="Arial"/>
                <w:sz w:val="21"/>
              </w:rPr>
            </w:pPr>
          </w:p>
        </w:tc>
        <w:tc>
          <w:tcPr>
            <w:tcW w:w="624" w:type="dxa"/>
            <w:tcBorders>
              <w:top w:val="single" w:color="000000" w:sz="4" w:space="0"/>
            </w:tcBorders>
            <w:vAlign w:val="top"/>
          </w:tcPr>
          <w:p>
            <w:pPr>
              <w:spacing w:before="175"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tc>
        <w:tc>
          <w:tcPr>
            <w:tcW w:w="1435" w:type="dxa"/>
            <w:tcBorders>
              <w:top w:val="single" w:color="000000" w:sz="4" w:space="0"/>
            </w:tcBorders>
            <w:vAlign w:val="top"/>
          </w:tcPr>
          <w:p>
            <w:pPr>
              <w:pStyle w:val="6"/>
              <w:spacing w:before="140" w:line="220" w:lineRule="auto"/>
              <w:ind w:left="326"/>
              <w:rPr>
                <w:sz w:val="18"/>
                <w:szCs w:val="18"/>
              </w:rPr>
            </w:pPr>
            <w:r>
              <w:rPr>
                <w:rFonts w:ascii="Times New Roman" w:hAnsi="Times New Roman" w:eastAsia="Times New Roman" w:cs="Times New Roman"/>
                <w:spacing w:val="-3"/>
                <w:sz w:val="18"/>
                <w:szCs w:val="18"/>
              </w:rPr>
              <w:t>12#</w:t>
            </w:r>
            <w:r>
              <w:rPr>
                <w:spacing w:val="-3"/>
                <w:sz w:val="18"/>
                <w:szCs w:val="18"/>
              </w:rPr>
              <w:t>居民点</w:t>
            </w:r>
          </w:p>
        </w:tc>
        <w:tc>
          <w:tcPr>
            <w:tcW w:w="1024" w:type="dxa"/>
            <w:tcBorders>
              <w:top w:val="single" w:color="000000" w:sz="4" w:space="0"/>
            </w:tcBorders>
            <w:vAlign w:val="top"/>
          </w:tcPr>
          <w:p>
            <w:pPr>
              <w:pStyle w:val="6"/>
              <w:spacing w:before="140" w:line="223" w:lineRule="auto"/>
              <w:ind w:left="338"/>
              <w:rPr>
                <w:sz w:val="18"/>
                <w:szCs w:val="18"/>
              </w:rPr>
            </w:pPr>
            <w:r>
              <w:rPr>
                <w:spacing w:val="-3"/>
                <w:sz w:val="18"/>
                <w:szCs w:val="18"/>
              </w:rPr>
              <w:t>西北</w:t>
            </w:r>
          </w:p>
        </w:tc>
        <w:tc>
          <w:tcPr>
            <w:tcW w:w="1274" w:type="dxa"/>
            <w:tcBorders>
              <w:top w:val="single" w:color="000000" w:sz="4" w:space="0"/>
            </w:tcBorders>
            <w:vAlign w:val="top"/>
          </w:tcPr>
          <w:p>
            <w:pPr>
              <w:spacing w:before="175"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405-430</w:t>
            </w:r>
          </w:p>
        </w:tc>
        <w:tc>
          <w:tcPr>
            <w:tcW w:w="1823" w:type="dxa"/>
            <w:tcBorders>
              <w:top w:val="single" w:color="000000" w:sz="4" w:space="0"/>
            </w:tcBorders>
            <w:vAlign w:val="top"/>
          </w:tcPr>
          <w:p>
            <w:pPr>
              <w:pStyle w:val="6"/>
              <w:spacing w:before="140" w:line="219" w:lineRule="auto"/>
              <w:ind w:left="376"/>
              <w:rPr>
                <w:sz w:val="18"/>
                <w:szCs w:val="18"/>
              </w:rPr>
            </w:pPr>
            <w:r>
              <w:rPr>
                <w:spacing w:val="-1"/>
                <w:sz w:val="18"/>
                <w:szCs w:val="18"/>
              </w:rPr>
              <w:t>农村分散居民</w:t>
            </w:r>
          </w:p>
        </w:tc>
        <w:tc>
          <w:tcPr>
            <w:tcW w:w="1636" w:type="dxa"/>
            <w:tcBorders>
              <w:top w:val="single" w:color="000000" w:sz="4" w:space="0"/>
            </w:tcBorders>
            <w:vAlign w:val="top"/>
          </w:tcPr>
          <w:p>
            <w:pPr>
              <w:pStyle w:val="6"/>
              <w:spacing w:before="25" w:line="220" w:lineRule="auto"/>
              <w:ind w:left="732" w:right="163" w:hanging="566"/>
              <w:rPr>
                <w:sz w:val="18"/>
                <w:szCs w:val="18"/>
              </w:rPr>
            </w:pPr>
            <w:r>
              <w:rPr>
                <w:spacing w:val="-6"/>
                <w:sz w:val="18"/>
                <w:szCs w:val="18"/>
              </w:rPr>
              <w:t>散户居民</w:t>
            </w:r>
            <w:r>
              <w:rPr>
                <w:spacing w:val="-31"/>
                <w:sz w:val="18"/>
                <w:szCs w:val="18"/>
              </w:rPr>
              <w:t xml:space="preserve"> </w:t>
            </w:r>
            <w:r>
              <w:rPr>
                <w:rFonts w:ascii="Times New Roman" w:hAnsi="Times New Roman" w:eastAsia="Times New Roman" w:cs="Times New Roman"/>
                <w:spacing w:val="-6"/>
                <w:sz w:val="18"/>
                <w:szCs w:val="18"/>
              </w:rPr>
              <w:t>3</w:t>
            </w:r>
            <w:r>
              <w:rPr>
                <w:rFonts w:ascii="Times New Roman" w:hAnsi="Times New Roman" w:eastAsia="Times New Roman" w:cs="Times New Roman"/>
                <w:spacing w:val="9"/>
                <w:sz w:val="18"/>
                <w:szCs w:val="18"/>
              </w:rPr>
              <w:t xml:space="preserve"> </w:t>
            </w:r>
            <w:r>
              <w:rPr>
                <w:spacing w:val="-6"/>
                <w:sz w:val="18"/>
                <w:szCs w:val="18"/>
              </w:rPr>
              <w:t>户</w:t>
            </w:r>
            <w:r>
              <w:rPr>
                <w:spacing w:val="-25"/>
                <w:sz w:val="18"/>
                <w:szCs w:val="18"/>
              </w:rPr>
              <w:t xml:space="preserve"> </w:t>
            </w:r>
            <w:r>
              <w:rPr>
                <w:rFonts w:ascii="Times New Roman" w:hAnsi="Times New Roman" w:eastAsia="Times New Roman" w:cs="Times New Roman"/>
                <w:spacing w:val="-6"/>
                <w:sz w:val="18"/>
                <w:szCs w:val="18"/>
              </w:rPr>
              <w:t>15</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3"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tc>
        <w:tc>
          <w:tcPr>
            <w:tcW w:w="1435" w:type="dxa"/>
            <w:vAlign w:val="top"/>
          </w:tcPr>
          <w:p>
            <w:pPr>
              <w:pStyle w:val="6"/>
              <w:spacing w:before="148" w:line="220" w:lineRule="auto"/>
              <w:ind w:left="326"/>
              <w:rPr>
                <w:sz w:val="18"/>
                <w:szCs w:val="18"/>
              </w:rPr>
            </w:pPr>
            <w:r>
              <w:rPr>
                <w:rFonts w:ascii="Times New Roman" w:hAnsi="Times New Roman" w:eastAsia="Times New Roman" w:cs="Times New Roman"/>
                <w:spacing w:val="-3"/>
                <w:sz w:val="18"/>
                <w:szCs w:val="18"/>
              </w:rPr>
              <w:t>13#</w:t>
            </w:r>
            <w:r>
              <w:rPr>
                <w:spacing w:val="-3"/>
                <w:sz w:val="18"/>
                <w:szCs w:val="18"/>
              </w:rPr>
              <w:t>居民点</w:t>
            </w:r>
          </w:p>
        </w:tc>
        <w:tc>
          <w:tcPr>
            <w:tcW w:w="1024" w:type="dxa"/>
            <w:vAlign w:val="top"/>
          </w:tcPr>
          <w:p>
            <w:pPr>
              <w:pStyle w:val="6"/>
              <w:spacing w:before="148" w:line="223" w:lineRule="auto"/>
              <w:ind w:left="338"/>
              <w:rPr>
                <w:sz w:val="18"/>
                <w:szCs w:val="18"/>
              </w:rPr>
            </w:pPr>
            <w:r>
              <w:rPr>
                <w:spacing w:val="-3"/>
                <w:sz w:val="18"/>
                <w:szCs w:val="18"/>
              </w:rPr>
              <w:t>西北</w:t>
            </w:r>
          </w:p>
        </w:tc>
        <w:tc>
          <w:tcPr>
            <w:tcW w:w="1274" w:type="dxa"/>
            <w:vAlign w:val="top"/>
          </w:tcPr>
          <w:p>
            <w:pPr>
              <w:spacing w:before="183"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462-</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183</w:t>
            </w:r>
          </w:p>
        </w:tc>
        <w:tc>
          <w:tcPr>
            <w:tcW w:w="1823" w:type="dxa"/>
            <w:vAlign w:val="top"/>
          </w:tcPr>
          <w:p>
            <w:pPr>
              <w:pStyle w:val="6"/>
              <w:spacing w:before="147" w:line="219" w:lineRule="auto"/>
              <w:ind w:left="376"/>
              <w:rPr>
                <w:sz w:val="18"/>
                <w:szCs w:val="18"/>
              </w:rPr>
            </w:pPr>
            <w:r>
              <w:rPr>
                <w:spacing w:val="-1"/>
                <w:sz w:val="18"/>
                <w:szCs w:val="18"/>
              </w:rPr>
              <w:t>农村分散居民</w:t>
            </w:r>
          </w:p>
        </w:tc>
        <w:tc>
          <w:tcPr>
            <w:tcW w:w="1636" w:type="dxa"/>
            <w:vAlign w:val="top"/>
          </w:tcPr>
          <w:p>
            <w:pPr>
              <w:pStyle w:val="6"/>
              <w:spacing w:before="30" w:line="222" w:lineRule="auto"/>
              <w:ind w:left="732" w:right="163" w:hanging="566"/>
              <w:rPr>
                <w:sz w:val="18"/>
                <w:szCs w:val="18"/>
              </w:rPr>
            </w:pPr>
            <w:r>
              <w:rPr>
                <w:spacing w:val="-6"/>
                <w:sz w:val="18"/>
                <w:szCs w:val="18"/>
              </w:rPr>
              <w:t>散户居民</w:t>
            </w:r>
            <w:r>
              <w:rPr>
                <w:spacing w:val="-31"/>
                <w:sz w:val="18"/>
                <w:szCs w:val="18"/>
              </w:rPr>
              <w:t xml:space="preserve"> </w:t>
            </w:r>
            <w:r>
              <w:rPr>
                <w:rFonts w:ascii="Times New Roman" w:hAnsi="Times New Roman" w:eastAsia="Times New Roman" w:cs="Times New Roman"/>
                <w:spacing w:val="-6"/>
                <w:sz w:val="18"/>
                <w:szCs w:val="18"/>
              </w:rPr>
              <w:t>3</w:t>
            </w:r>
            <w:r>
              <w:rPr>
                <w:rFonts w:ascii="Times New Roman" w:hAnsi="Times New Roman" w:eastAsia="Times New Roman" w:cs="Times New Roman"/>
                <w:spacing w:val="9"/>
                <w:sz w:val="18"/>
                <w:szCs w:val="18"/>
              </w:rPr>
              <w:t xml:space="preserve"> </w:t>
            </w:r>
            <w:r>
              <w:rPr>
                <w:spacing w:val="-6"/>
                <w:sz w:val="18"/>
                <w:szCs w:val="18"/>
              </w:rPr>
              <w:t>户</w:t>
            </w:r>
            <w:r>
              <w:rPr>
                <w:spacing w:val="-25"/>
                <w:sz w:val="18"/>
                <w:szCs w:val="18"/>
              </w:rPr>
              <w:t xml:space="preserve"> </w:t>
            </w:r>
            <w:r>
              <w:rPr>
                <w:rFonts w:ascii="Times New Roman" w:hAnsi="Times New Roman" w:eastAsia="Times New Roman" w:cs="Times New Roman"/>
                <w:spacing w:val="-6"/>
                <w:sz w:val="18"/>
                <w:szCs w:val="18"/>
              </w:rPr>
              <w:t>16</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tc>
        <w:tc>
          <w:tcPr>
            <w:tcW w:w="1435" w:type="dxa"/>
            <w:vAlign w:val="top"/>
          </w:tcPr>
          <w:p>
            <w:pPr>
              <w:pStyle w:val="6"/>
              <w:spacing w:before="83" w:line="220" w:lineRule="auto"/>
              <w:ind w:left="326"/>
              <w:rPr>
                <w:sz w:val="18"/>
                <w:szCs w:val="18"/>
              </w:rPr>
            </w:pPr>
            <w:r>
              <w:rPr>
                <w:rFonts w:ascii="Times New Roman" w:hAnsi="Times New Roman" w:eastAsia="Times New Roman" w:cs="Times New Roman"/>
                <w:spacing w:val="-3"/>
                <w:sz w:val="18"/>
                <w:szCs w:val="18"/>
              </w:rPr>
              <w:t>14#</w:t>
            </w:r>
            <w:r>
              <w:rPr>
                <w:spacing w:val="-3"/>
                <w:sz w:val="18"/>
                <w:szCs w:val="18"/>
              </w:rPr>
              <w:t>居民点</w:t>
            </w:r>
          </w:p>
        </w:tc>
        <w:tc>
          <w:tcPr>
            <w:tcW w:w="1024" w:type="dxa"/>
            <w:vAlign w:val="top"/>
          </w:tcPr>
          <w:p>
            <w:pPr>
              <w:pStyle w:val="6"/>
              <w:spacing w:before="82" w:line="223" w:lineRule="auto"/>
              <w:ind w:left="428"/>
              <w:rPr>
                <w:sz w:val="18"/>
                <w:szCs w:val="18"/>
              </w:rPr>
            </w:pPr>
            <w:r>
              <w:rPr>
                <w:sz w:val="18"/>
                <w:szCs w:val="18"/>
              </w:rPr>
              <w:t>北</w:t>
            </w:r>
          </w:p>
        </w:tc>
        <w:tc>
          <w:tcPr>
            <w:tcW w:w="1274" w:type="dxa"/>
            <w:vAlign w:val="top"/>
          </w:tcPr>
          <w:p>
            <w:pPr>
              <w:spacing w:before="118"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367-389</w:t>
            </w:r>
          </w:p>
        </w:tc>
        <w:tc>
          <w:tcPr>
            <w:tcW w:w="1823" w:type="dxa"/>
            <w:vAlign w:val="top"/>
          </w:tcPr>
          <w:p>
            <w:pPr>
              <w:pStyle w:val="6"/>
              <w:spacing w:before="82" w:line="219" w:lineRule="auto"/>
              <w:ind w:left="376"/>
              <w:rPr>
                <w:sz w:val="18"/>
                <w:szCs w:val="18"/>
              </w:rPr>
            </w:pPr>
            <w:r>
              <w:rPr>
                <w:spacing w:val="-1"/>
                <w:sz w:val="18"/>
                <w:szCs w:val="18"/>
              </w:rPr>
              <w:t>农村分散居民</w:t>
            </w:r>
          </w:p>
        </w:tc>
        <w:tc>
          <w:tcPr>
            <w:tcW w:w="1636" w:type="dxa"/>
            <w:vAlign w:val="top"/>
          </w:tcPr>
          <w:p>
            <w:pPr>
              <w:pStyle w:val="6"/>
              <w:spacing w:before="82" w:line="220" w:lineRule="auto"/>
              <w:ind w:left="110"/>
              <w:rPr>
                <w:sz w:val="18"/>
                <w:szCs w:val="18"/>
              </w:rPr>
            </w:pPr>
            <w:r>
              <w:rPr>
                <w:spacing w:val="-2"/>
                <w:sz w:val="18"/>
                <w:szCs w:val="18"/>
              </w:rPr>
              <w:t>散户居民</w:t>
            </w:r>
            <w:r>
              <w:rPr>
                <w:spacing w:val="-48"/>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45"/>
                <w:sz w:val="18"/>
                <w:szCs w:val="18"/>
              </w:rPr>
              <w:t xml:space="preserve"> </w:t>
            </w:r>
            <w:r>
              <w:rPr>
                <w:rFonts w:ascii="Times New Roman" w:hAnsi="Times New Roman" w:eastAsia="Times New Roman" w:cs="Times New Roman"/>
                <w:spacing w:val="-2"/>
                <w:sz w:val="18"/>
                <w:szCs w:val="18"/>
              </w:rPr>
              <w:t xml:space="preserve">9 </w:t>
            </w:r>
            <w:r>
              <w:rPr>
                <w:spacing w:val="-2"/>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1435" w:type="dxa"/>
            <w:vAlign w:val="top"/>
          </w:tcPr>
          <w:p>
            <w:pPr>
              <w:pStyle w:val="6"/>
              <w:spacing w:before="83" w:line="220" w:lineRule="auto"/>
              <w:ind w:left="326"/>
              <w:rPr>
                <w:sz w:val="18"/>
                <w:szCs w:val="18"/>
              </w:rPr>
            </w:pPr>
            <w:r>
              <w:rPr>
                <w:rFonts w:ascii="Times New Roman" w:hAnsi="Times New Roman" w:eastAsia="Times New Roman" w:cs="Times New Roman"/>
                <w:spacing w:val="-3"/>
                <w:sz w:val="18"/>
                <w:szCs w:val="18"/>
              </w:rPr>
              <w:t>15#</w:t>
            </w:r>
            <w:r>
              <w:rPr>
                <w:spacing w:val="-3"/>
                <w:sz w:val="18"/>
                <w:szCs w:val="18"/>
              </w:rPr>
              <w:t>居民点</w:t>
            </w:r>
          </w:p>
        </w:tc>
        <w:tc>
          <w:tcPr>
            <w:tcW w:w="1024" w:type="dxa"/>
            <w:vAlign w:val="top"/>
          </w:tcPr>
          <w:p>
            <w:pPr>
              <w:pStyle w:val="6"/>
              <w:spacing w:before="83" w:line="223" w:lineRule="auto"/>
              <w:ind w:left="428"/>
              <w:rPr>
                <w:sz w:val="18"/>
                <w:szCs w:val="18"/>
              </w:rPr>
            </w:pPr>
            <w:r>
              <w:rPr>
                <w:sz w:val="18"/>
                <w:szCs w:val="18"/>
              </w:rPr>
              <w:t>北</w:t>
            </w:r>
          </w:p>
        </w:tc>
        <w:tc>
          <w:tcPr>
            <w:tcW w:w="1274" w:type="dxa"/>
            <w:vAlign w:val="top"/>
          </w:tcPr>
          <w:p>
            <w:pPr>
              <w:spacing w:before="118" w:line="186" w:lineRule="auto"/>
              <w:ind w:left="5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tc>
        <w:tc>
          <w:tcPr>
            <w:tcW w:w="1823" w:type="dxa"/>
            <w:vAlign w:val="top"/>
          </w:tcPr>
          <w:p>
            <w:pPr>
              <w:pStyle w:val="6"/>
              <w:spacing w:before="82" w:line="219" w:lineRule="auto"/>
              <w:ind w:left="376"/>
              <w:rPr>
                <w:sz w:val="18"/>
                <w:szCs w:val="18"/>
              </w:rPr>
            </w:pPr>
            <w:r>
              <w:rPr>
                <w:spacing w:val="-1"/>
                <w:sz w:val="18"/>
                <w:szCs w:val="18"/>
              </w:rPr>
              <w:t>农村分散居民</w:t>
            </w:r>
          </w:p>
        </w:tc>
        <w:tc>
          <w:tcPr>
            <w:tcW w:w="1636" w:type="dxa"/>
            <w:vAlign w:val="top"/>
          </w:tcPr>
          <w:p>
            <w:pPr>
              <w:pStyle w:val="6"/>
              <w:spacing w:before="82" w:line="220" w:lineRule="auto"/>
              <w:ind w:left="110"/>
              <w:rPr>
                <w:sz w:val="18"/>
                <w:szCs w:val="18"/>
              </w:rPr>
            </w:pPr>
            <w:r>
              <w:rPr>
                <w:spacing w:val="-4"/>
                <w:sz w:val="18"/>
                <w:szCs w:val="18"/>
              </w:rPr>
              <w:t>散户居民</w:t>
            </w:r>
            <w:r>
              <w:rPr>
                <w:spacing w:val="-24"/>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9"/>
                <w:sz w:val="18"/>
                <w:szCs w:val="18"/>
              </w:rPr>
              <w:t xml:space="preserve"> </w:t>
            </w:r>
            <w:r>
              <w:rPr>
                <w:rFonts w:ascii="Times New Roman" w:hAnsi="Times New Roman" w:eastAsia="Times New Roman" w:cs="Times New Roman"/>
                <w:spacing w:val="-4"/>
                <w:sz w:val="18"/>
                <w:szCs w:val="18"/>
              </w:rPr>
              <w:t xml:space="preserve">4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7" w:type="dxa"/>
            <w:vMerge w:val="continue"/>
            <w:tcBorders>
              <w:top w:val="nil"/>
            </w:tcBorders>
            <w:vAlign w:val="top"/>
          </w:tcPr>
          <w:p>
            <w:pPr>
              <w:rPr>
                <w:rFonts w:ascii="Arial"/>
                <w:sz w:val="21"/>
              </w:rPr>
            </w:pPr>
          </w:p>
        </w:tc>
        <w:tc>
          <w:tcPr>
            <w:tcW w:w="624" w:type="dxa"/>
            <w:vAlign w:val="top"/>
          </w:tcPr>
          <w:p>
            <w:pPr>
              <w:spacing w:before="116"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tc>
        <w:tc>
          <w:tcPr>
            <w:tcW w:w="1435" w:type="dxa"/>
            <w:vAlign w:val="top"/>
          </w:tcPr>
          <w:p>
            <w:pPr>
              <w:pStyle w:val="6"/>
              <w:spacing w:before="83" w:line="220" w:lineRule="auto"/>
              <w:ind w:left="326"/>
              <w:rPr>
                <w:sz w:val="18"/>
                <w:szCs w:val="18"/>
              </w:rPr>
            </w:pPr>
            <w:r>
              <w:rPr>
                <w:rFonts w:ascii="Times New Roman" w:hAnsi="Times New Roman" w:eastAsia="Times New Roman" w:cs="Times New Roman"/>
                <w:spacing w:val="-3"/>
                <w:sz w:val="18"/>
                <w:szCs w:val="18"/>
              </w:rPr>
              <w:t>16#</w:t>
            </w:r>
            <w:r>
              <w:rPr>
                <w:spacing w:val="-3"/>
                <w:sz w:val="18"/>
                <w:szCs w:val="18"/>
              </w:rPr>
              <w:t>居民点</w:t>
            </w:r>
          </w:p>
        </w:tc>
        <w:tc>
          <w:tcPr>
            <w:tcW w:w="1024" w:type="dxa"/>
            <w:vAlign w:val="top"/>
          </w:tcPr>
          <w:p>
            <w:pPr>
              <w:pStyle w:val="6"/>
              <w:spacing w:before="83" w:line="220" w:lineRule="auto"/>
              <w:ind w:left="340"/>
              <w:rPr>
                <w:sz w:val="18"/>
                <w:szCs w:val="18"/>
              </w:rPr>
            </w:pPr>
            <w:r>
              <w:rPr>
                <w:spacing w:val="-4"/>
                <w:sz w:val="18"/>
                <w:szCs w:val="18"/>
              </w:rPr>
              <w:t>东北</w:t>
            </w:r>
          </w:p>
        </w:tc>
        <w:tc>
          <w:tcPr>
            <w:tcW w:w="1274" w:type="dxa"/>
            <w:vAlign w:val="top"/>
          </w:tcPr>
          <w:p>
            <w:pPr>
              <w:spacing w:before="116"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362-375</w:t>
            </w:r>
          </w:p>
        </w:tc>
        <w:tc>
          <w:tcPr>
            <w:tcW w:w="1823" w:type="dxa"/>
            <w:vAlign w:val="top"/>
          </w:tcPr>
          <w:p>
            <w:pPr>
              <w:pStyle w:val="6"/>
              <w:spacing w:before="83" w:line="219" w:lineRule="auto"/>
              <w:ind w:left="376"/>
              <w:rPr>
                <w:sz w:val="18"/>
                <w:szCs w:val="18"/>
              </w:rPr>
            </w:pPr>
            <w:r>
              <w:rPr>
                <w:spacing w:val="-1"/>
                <w:sz w:val="18"/>
                <w:szCs w:val="18"/>
              </w:rPr>
              <w:t>农村分散居民</w:t>
            </w:r>
          </w:p>
        </w:tc>
        <w:tc>
          <w:tcPr>
            <w:tcW w:w="1636" w:type="dxa"/>
            <w:vAlign w:val="top"/>
          </w:tcPr>
          <w:p>
            <w:pPr>
              <w:pStyle w:val="6"/>
              <w:spacing w:before="83" w:line="220" w:lineRule="auto"/>
              <w:ind w:left="110"/>
              <w:rPr>
                <w:sz w:val="18"/>
                <w:szCs w:val="18"/>
              </w:rPr>
            </w:pPr>
            <w:r>
              <w:rPr>
                <w:spacing w:val="-3"/>
                <w:sz w:val="18"/>
                <w:szCs w:val="18"/>
              </w:rPr>
              <w:t>散户居民</w:t>
            </w:r>
            <w:r>
              <w:rPr>
                <w:spacing w:val="-42"/>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41"/>
                <w:sz w:val="18"/>
                <w:szCs w:val="18"/>
              </w:rPr>
              <w:t xml:space="preserve"> </w:t>
            </w:r>
            <w:r>
              <w:rPr>
                <w:rFonts w:ascii="Times New Roman" w:hAnsi="Times New Roman" w:eastAsia="Times New Roman" w:cs="Times New Roman"/>
                <w:spacing w:val="-3"/>
                <w:sz w:val="18"/>
                <w:szCs w:val="18"/>
              </w:rPr>
              <w:t xml:space="preserve">8 </w:t>
            </w:r>
            <w:r>
              <w:rPr>
                <w:spacing w:val="-3"/>
                <w:sz w:val="18"/>
                <w:szCs w:val="18"/>
              </w:rPr>
              <w:t>人</w:t>
            </w:r>
          </w:p>
        </w:tc>
      </w:tr>
    </w:tbl>
    <w:p>
      <w:pPr>
        <w:pStyle w:val="2"/>
        <w:rPr>
          <w:sz w:val="21"/>
        </w:rPr>
      </w:pPr>
    </w:p>
    <w:p>
      <w:pPr>
        <w:rPr>
          <w:sz w:val="21"/>
          <w:szCs w:val="21"/>
        </w:rPr>
        <w:sectPr>
          <w:headerReference r:id="rId214" w:type="default"/>
          <w:footerReference r:id="rId215" w:type="default"/>
          <w:pgSz w:w="11907" w:h="16839"/>
          <w:pgMar w:top="1123" w:right="1682" w:bottom="1149" w:left="1685" w:header="1108" w:footer="988" w:gutter="0"/>
          <w:cols w:space="720" w:num="1"/>
        </w:sectPr>
      </w:pPr>
    </w:p>
    <w:p>
      <w:pPr>
        <w:spacing w:before="75"/>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624"/>
        <w:gridCol w:w="1435"/>
        <w:gridCol w:w="1024"/>
        <w:gridCol w:w="1274"/>
        <w:gridCol w:w="1823"/>
        <w:gridCol w:w="16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17" w:type="dxa"/>
            <w:vMerge w:val="restart"/>
            <w:tcBorders>
              <w:bottom w:val="nil"/>
            </w:tcBorders>
            <w:vAlign w:val="top"/>
          </w:tcPr>
          <w:p>
            <w:pPr>
              <w:rPr>
                <w:rFonts w:ascii="Arial"/>
                <w:sz w:val="21"/>
              </w:rPr>
            </w:pPr>
          </w:p>
        </w:tc>
        <w:tc>
          <w:tcPr>
            <w:tcW w:w="624" w:type="dxa"/>
            <w:vAlign w:val="top"/>
          </w:tcPr>
          <w:p>
            <w:pPr>
              <w:spacing w:before="180"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tc>
        <w:tc>
          <w:tcPr>
            <w:tcW w:w="1435" w:type="dxa"/>
            <w:vAlign w:val="top"/>
          </w:tcPr>
          <w:p>
            <w:pPr>
              <w:pStyle w:val="6"/>
              <w:spacing w:before="147" w:line="220" w:lineRule="auto"/>
              <w:ind w:left="326"/>
              <w:rPr>
                <w:sz w:val="18"/>
                <w:szCs w:val="18"/>
              </w:rPr>
            </w:pPr>
            <w:r>
              <w:rPr>
                <w:rFonts w:ascii="Times New Roman" w:hAnsi="Times New Roman" w:eastAsia="Times New Roman" w:cs="Times New Roman"/>
                <w:spacing w:val="-3"/>
                <w:sz w:val="18"/>
                <w:szCs w:val="18"/>
              </w:rPr>
              <w:t>17#</w:t>
            </w:r>
            <w:r>
              <w:rPr>
                <w:spacing w:val="-3"/>
                <w:sz w:val="18"/>
                <w:szCs w:val="18"/>
              </w:rPr>
              <w:t>居民点</w:t>
            </w:r>
          </w:p>
        </w:tc>
        <w:tc>
          <w:tcPr>
            <w:tcW w:w="1024" w:type="dxa"/>
            <w:vAlign w:val="top"/>
          </w:tcPr>
          <w:p>
            <w:pPr>
              <w:pStyle w:val="6"/>
              <w:spacing w:before="147" w:line="220" w:lineRule="auto"/>
              <w:ind w:left="340"/>
              <w:rPr>
                <w:sz w:val="18"/>
                <w:szCs w:val="18"/>
              </w:rPr>
            </w:pPr>
            <w:r>
              <w:rPr>
                <w:spacing w:val="-4"/>
                <w:sz w:val="18"/>
                <w:szCs w:val="18"/>
              </w:rPr>
              <w:t>东北</w:t>
            </w:r>
          </w:p>
        </w:tc>
        <w:tc>
          <w:tcPr>
            <w:tcW w:w="1274" w:type="dxa"/>
            <w:vAlign w:val="top"/>
          </w:tcPr>
          <w:p>
            <w:pPr>
              <w:spacing w:before="180"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408-</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190</w:t>
            </w:r>
          </w:p>
        </w:tc>
        <w:tc>
          <w:tcPr>
            <w:tcW w:w="1823" w:type="dxa"/>
            <w:vAlign w:val="top"/>
          </w:tcPr>
          <w:p>
            <w:pPr>
              <w:pStyle w:val="6"/>
              <w:spacing w:before="147" w:line="219" w:lineRule="auto"/>
              <w:ind w:left="376"/>
              <w:rPr>
                <w:sz w:val="18"/>
                <w:szCs w:val="18"/>
              </w:rPr>
            </w:pPr>
            <w:r>
              <w:rPr>
                <w:spacing w:val="-1"/>
                <w:sz w:val="18"/>
                <w:szCs w:val="18"/>
              </w:rPr>
              <w:t>农村分散居民</w:t>
            </w:r>
          </w:p>
        </w:tc>
        <w:tc>
          <w:tcPr>
            <w:tcW w:w="1636" w:type="dxa"/>
            <w:vAlign w:val="top"/>
          </w:tcPr>
          <w:p>
            <w:pPr>
              <w:pStyle w:val="6"/>
              <w:spacing w:before="29" w:line="225" w:lineRule="auto"/>
              <w:ind w:left="732" w:right="163" w:hanging="566"/>
              <w:rPr>
                <w:sz w:val="18"/>
                <w:szCs w:val="18"/>
              </w:rPr>
            </w:pPr>
            <w:r>
              <w:rPr>
                <w:spacing w:val="-5"/>
                <w:sz w:val="18"/>
                <w:szCs w:val="18"/>
              </w:rPr>
              <w:t>散户居民</w:t>
            </w:r>
            <w:r>
              <w:rPr>
                <w:spacing w:val="-39"/>
                <w:sz w:val="18"/>
                <w:szCs w:val="18"/>
              </w:rPr>
              <w:t xml:space="preserve"> </w:t>
            </w:r>
            <w:r>
              <w:rPr>
                <w:rFonts w:ascii="Times New Roman" w:hAnsi="Times New Roman" w:eastAsia="Times New Roman" w:cs="Times New Roman"/>
                <w:spacing w:val="-5"/>
                <w:sz w:val="18"/>
                <w:szCs w:val="18"/>
              </w:rPr>
              <w:t>4</w:t>
            </w:r>
            <w:r>
              <w:rPr>
                <w:rFonts w:ascii="Times New Roman" w:hAnsi="Times New Roman" w:eastAsia="Times New Roman" w:cs="Times New Roman"/>
                <w:spacing w:val="9"/>
                <w:sz w:val="18"/>
                <w:szCs w:val="18"/>
              </w:rPr>
              <w:t xml:space="preserve"> </w:t>
            </w:r>
            <w:r>
              <w:rPr>
                <w:spacing w:val="-5"/>
                <w:sz w:val="18"/>
                <w:szCs w:val="18"/>
              </w:rPr>
              <w:t>户</w:t>
            </w:r>
            <w:r>
              <w:rPr>
                <w:spacing w:val="-25"/>
                <w:sz w:val="18"/>
                <w:szCs w:val="18"/>
              </w:rPr>
              <w:t xml:space="preserve"> </w:t>
            </w:r>
            <w:r>
              <w:rPr>
                <w:rFonts w:ascii="Times New Roman" w:hAnsi="Times New Roman" w:eastAsia="Times New Roman" w:cs="Times New Roman"/>
                <w:spacing w:val="-5"/>
                <w:sz w:val="18"/>
                <w:szCs w:val="18"/>
              </w:rPr>
              <w:t>18</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3"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tc>
        <w:tc>
          <w:tcPr>
            <w:tcW w:w="1435" w:type="dxa"/>
            <w:vAlign w:val="top"/>
          </w:tcPr>
          <w:p>
            <w:pPr>
              <w:pStyle w:val="6"/>
              <w:spacing w:before="78" w:line="220" w:lineRule="auto"/>
              <w:ind w:left="326"/>
              <w:rPr>
                <w:sz w:val="18"/>
                <w:szCs w:val="18"/>
              </w:rPr>
            </w:pPr>
            <w:r>
              <w:rPr>
                <w:rFonts w:ascii="Times New Roman" w:hAnsi="Times New Roman" w:eastAsia="Times New Roman" w:cs="Times New Roman"/>
                <w:spacing w:val="-3"/>
                <w:sz w:val="18"/>
                <w:szCs w:val="18"/>
              </w:rPr>
              <w:t>18#</w:t>
            </w:r>
            <w:r>
              <w:rPr>
                <w:spacing w:val="-3"/>
                <w:sz w:val="18"/>
                <w:szCs w:val="18"/>
              </w:rPr>
              <w:t>居民点</w:t>
            </w:r>
          </w:p>
        </w:tc>
        <w:tc>
          <w:tcPr>
            <w:tcW w:w="1024" w:type="dxa"/>
            <w:vAlign w:val="top"/>
          </w:tcPr>
          <w:p>
            <w:pPr>
              <w:pStyle w:val="6"/>
              <w:spacing w:before="77" w:line="220" w:lineRule="auto"/>
              <w:ind w:left="340"/>
              <w:rPr>
                <w:sz w:val="18"/>
                <w:szCs w:val="18"/>
              </w:rPr>
            </w:pPr>
            <w:r>
              <w:rPr>
                <w:spacing w:val="-4"/>
                <w:sz w:val="18"/>
                <w:szCs w:val="18"/>
              </w:rPr>
              <w:t>东北</w:t>
            </w:r>
          </w:p>
        </w:tc>
        <w:tc>
          <w:tcPr>
            <w:tcW w:w="1274" w:type="dxa"/>
            <w:vAlign w:val="top"/>
          </w:tcPr>
          <w:p>
            <w:pPr>
              <w:spacing w:before="113" w:line="186" w:lineRule="auto"/>
              <w:ind w:left="5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451</w:t>
            </w:r>
          </w:p>
        </w:tc>
        <w:tc>
          <w:tcPr>
            <w:tcW w:w="1823" w:type="dxa"/>
            <w:vAlign w:val="top"/>
          </w:tcPr>
          <w:p>
            <w:pPr>
              <w:pStyle w:val="6"/>
              <w:spacing w:before="77" w:line="219" w:lineRule="auto"/>
              <w:ind w:left="376"/>
              <w:rPr>
                <w:sz w:val="18"/>
                <w:szCs w:val="18"/>
              </w:rPr>
            </w:pPr>
            <w:r>
              <w:rPr>
                <w:spacing w:val="-1"/>
                <w:sz w:val="18"/>
                <w:szCs w:val="18"/>
              </w:rPr>
              <w:t>农村分散居民</w:t>
            </w:r>
          </w:p>
        </w:tc>
        <w:tc>
          <w:tcPr>
            <w:tcW w:w="1636" w:type="dxa"/>
            <w:vAlign w:val="top"/>
          </w:tcPr>
          <w:p>
            <w:pPr>
              <w:pStyle w:val="6"/>
              <w:spacing w:before="77" w:line="220" w:lineRule="auto"/>
              <w:ind w:left="110"/>
              <w:rPr>
                <w:sz w:val="18"/>
                <w:szCs w:val="18"/>
              </w:rPr>
            </w:pPr>
            <w:r>
              <w:rPr>
                <w:spacing w:val="-4"/>
                <w:sz w:val="18"/>
                <w:szCs w:val="18"/>
              </w:rPr>
              <w:t>散户居民</w:t>
            </w:r>
            <w:r>
              <w:rPr>
                <w:spacing w:val="-24"/>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9"/>
                <w:sz w:val="18"/>
                <w:szCs w:val="18"/>
              </w:rPr>
              <w:t xml:space="preserve"> </w:t>
            </w:r>
            <w:r>
              <w:rPr>
                <w:rFonts w:ascii="Times New Roman" w:hAnsi="Times New Roman" w:eastAsia="Times New Roman" w:cs="Times New Roman"/>
                <w:spacing w:val="-4"/>
                <w:sz w:val="18"/>
                <w:szCs w:val="18"/>
              </w:rPr>
              <w:t xml:space="preserve">4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1"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tc>
        <w:tc>
          <w:tcPr>
            <w:tcW w:w="1435" w:type="dxa"/>
            <w:vAlign w:val="top"/>
          </w:tcPr>
          <w:p>
            <w:pPr>
              <w:pStyle w:val="6"/>
              <w:spacing w:before="78" w:line="220" w:lineRule="auto"/>
              <w:ind w:left="326"/>
              <w:rPr>
                <w:sz w:val="18"/>
                <w:szCs w:val="18"/>
              </w:rPr>
            </w:pPr>
            <w:r>
              <w:rPr>
                <w:rFonts w:ascii="Times New Roman" w:hAnsi="Times New Roman" w:eastAsia="Times New Roman" w:cs="Times New Roman"/>
                <w:spacing w:val="-3"/>
                <w:sz w:val="18"/>
                <w:szCs w:val="18"/>
              </w:rPr>
              <w:t>19#</w:t>
            </w:r>
            <w:r>
              <w:rPr>
                <w:spacing w:val="-3"/>
                <w:sz w:val="18"/>
                <w:szCs w:val="18"/>
              </w:rPr>
              <w:t>居民点</w:t>
            </w:r>
          </w:p>
        </w:tc>
        <w:tc>
          <w:tcPr>
            <w:tcW w:w="1024" w:type="dxa"/>
            <w:vAlign w:val="top"/>
          </w:tcPr>
          <w:p>
            <w:pPr>
              <w:pStyle w:val="6"/>
              <w:spacing w:before="77" w:line="220" w:lineRule="auto"/>
              <w:ind w:left="432"/>
              <w:rPr>
                <w:sz w:val="18"/>
                <w:szCs w:val="18"/>
              </w:rPr>
            </w:pPr>
            <w:r>
              <w:rPr>
                <w:sz w:val="18"/>
                <w:szCs w:val="18"/>
              </w:rPr>
              <w:t>东</w:t>
            </w:r>
          </w:p>
        </w:tc>
        <w:tc>
          <w:tcPr>
            <w:tcW w:w="1274" w:type="dxa"/>
            <w:vAlign w:val="top"/>
          </w:tcPr>
          <w:p>
            <w:pPr>
              <w:spacing w:before="111"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407-431</w:t>
            </w:r>
          </w:p>
        </w:tc>
        <w:tc>
          <w:tcPr>
            <w:tcW w:w="1823" w:type="dxa"/>
            <w:vAlign w:val="top"/>
          </w:tcPr>
          <w:p>
            <w:pPr>
              <w:pStyle w:val="6"/>
              <w:spacing w:before="77" w:line="219" w:lineRule="auto"/>
              <w:ind w:left="376"/>
              <w:rPr>
                <w:sz w:val="18"/>
                <w:szCs w:val="18"/>
              </w:rPr>
            </w:pPr>
            <w:r>
              <w:rPr>
                <w:spacing w:val="-1"/>
                <w:sz w:val="18"/>
                <w:szCs w:val="18"/>
              </w:rPr>
              <w:t>农村分散居民</w:t>
            </w:r>
          </w:p>
        </w:tc>
        <w:tc>
          <w:tcPr>
            <w:tcW w:w="1636" w:type="dxa"/>
            <w:vAlign w:val="top"/>
          </w:tcPr>
          <w:p>
            <w:pPr>
              <w:pStyle w:val="6"/>
              <w:spacing w:before="77" w:line="220" w:lineRule="auto"/>
              <w:ind w:left="110"/>
              <w:rPr>
                <w:sz w:val="18"/>
                <w:szCs w:val="18"/>
              </w:rPr>
            </w:pPr>
            <w:r>
              <w:rPr>
                <w:spacing w:val="-3"/>
                <w:sz w:val="18"/>
                <w:szCs w:val="18"/>
              </w:rPr>
              <w:t>散户居民</w:t>
            </w:r>
            <w:r>
              <w:rPr>
                <w:spacing w:val="-42"/>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41"/>
                <w:sz w:val="18"/>
                <w:szCs w:val="18"/>
              </w:rPr>
              <w:t xml:space="preserve"> </w:t>
            </w:r>
            <w:r>
              <w:rPr>
                <w:rFonts w:ascii="Times New Roman" w:hAnsi="Times New Roman" w:eastAsia="Times New Roman" w:cs="Times New Roman"/>
                <w:spacing w:val="-3"/>
                <w:sz w:val="18"/>
                <w:szCs w:val="18"/>
              </w:rPr>
              <w:t xml:space="preserve">8 </w:t>
            </w:r>
            <w:r>
              <w:rPr>
                <w:spacing w:val="-3"/>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3"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1435" w:type="dxa"/>
            <w:vAlign w:val="top"/>
          </w:tcPr>
          <w:p>
            <w:pPr>
              <w:pStyle w:val="6"/>
              <w:spacing w:before="80" w:line="220" w:lineRule="auto"/>
              <w:ind w:left="308"/>
              <w:rPr>
                <w:sz w:val="18"/>
                <w:szCs w:val="18"/>
              </w:rPr>
            </w:pPr>
            <w:r>
              <w:rPr>
                <w:rFonts w:ascii="Times New Roman" w:hAnsi="Times New Roman" w:eastAsia="Times New Roman" w:cs="Times New Roman"/>
                <w:spacing w:val="-1"/>
                <w:sz w:val="18"/>
                <w:szCs w:val="18"/>
              </w:rPr>
              <w:t>20#</w:t>
            </w:r>
            <w:r>
              <w:rPr>
                <w:spacing w:val="-1"/>
                <w:sz w:val="18"/>
                <w:szCs w:val="18"/>
              </w:rPr>
              <w:t>居民点</w:t>
            </w:r>
          </w:p>
        </w:tc>
        <w:tc>
          <w:tcPr>
            <w:tcW w:w="1024" w:type="dxa"/>
            <w:vAlign w:val="top"/>
          </w:tcPr>
          <w:p>
            <w:pPr>
              <w:pStyle w:val="6"/>
              <w:spacing w:before="80" w:line="220" w:lineRule="auto"/>
              <w:ind w:left="432"/>
              <w:rPr>
                <w:sz w:val="18"/>
                <w:szCs w:val="18"/>
              </w:rPr>
            </w:pPr>
            <w:r>
              <w:rPr>
                <w:sz w:val="18"/>
                <w:szCs w:val="18"/>
              </w:rPr>
              <w:t>东</w:t>
            </w:r>
          </w:p>
        </w:tc>
        <w:tc>
          <w:tcPr>
            <w:tcW w:w="1274" w:type="dxa"/>
            <w:vAlign w:val="top"/>
          </w:tcPr>
          <w:p>
            <w:pPr>
              <w:spacing w:before="113"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315-344</w:t>
            </w:r>
          </w:p>
        </w:tc>
        <w:tc>
          <w:tcPr>
            <w:tcW w:w="1823" w:type="dxa"/>
            <w:vAlign w:val="top"/>
          </w:tcPr>
          <w:p>
            <w:pPr>
              <w:pStyle w:val="6"/>
              <w:spacing w:before="80" w:line="219" w:lineRule="auto"/>
              <w:ind w:left="376"/>
              <w:rPr>
                <w:sz w:val="18"/>
                <w:szCs w:val="18"/>
              </w:rPr>
            </w:pPr>
            <w:r>
              <w:rPr>
                <w:spacing w:val="-1"/>
                <w:sz w:val="18"/>
                <w:szCs w:val="18"/>
              </w:rPr>
              <w:t>农村分散居民</w:t>
            </w:r>
          </w:p>
        </w:tc>
        <w:tc>
          <w:tcPr>
            <w:tcW w:w="1636" w:type="dxa"/>
            <w:vAlign w:val="top"/>
          </w:tcPr>
          <w:p>
            <w:pPr>
              <w:pStyle w:val="6"/>
              <w:spacing w:before="80" w:line="220" w:lineRule="auto"/>
              <w:ind w:left="110"/>
              <w:rPr>
                <w:sz w:val="18"/>
                <w:szCs w:val="18"/>
              </w:rPr>
            </w:pPr>
            <w:r>
              <w:rPr>
                <w:spacing w:val="-3"/>
                <w:sz w:val="18"/>
                <w:szCs w:val="18"/>
              </w:rPr>
              <w:t>散户居民</w:t>
            </w:r>
            <w:r>
              <w:rPr>
                <w:spacing w:val="-42"/>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41"/>
                <w:sz w:val="18"/>
                <w:szCs w:val="18"/>
              </w:rPr>
              <w:t xml:space="preserve"> </w:t>
            </w:r>
            <w:r>
              <w:rPr>
                <w:rFonts w:ascii="Times New Roman" w:hAnsi="Times New Roman" w:eastAsia="Times New Roman" w:cs="Times New Roman"/>
                <w:spacing w:val="-3"/>
                <w:sz w:val="18"/>
                <w:szCs w:val="18"/>
              </w:rPr>
              <w:t xml:space="preserve">8 </w:t>
            </w:r>
            <w:r>
              <w:rPr>
                <w:spacing w:val="-3"/>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78"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tc>
        <w:tc>
          <w:tcPr>
            <w:tcW w:w="1435" w:type="dxa"/>
            <w:vAlign w:val="top"/>
          </w:tcPr>
          <w:p>
            <w:pPr>
              <w:pStyle w:val="6"/>
              <w:spacing w:before="143" w:line="220" w:lineRule="auto"/>
              <w:ind w:left="308"/>
              <w:rPr>
                <w:sz w:val="18"/>
                <w:szCs w:val="18"/>
              </w:rPr>
            </w:pPr>
            <w:r>
              <w:rPr>
                <w:rFonts w:ascii="Times New Roman" w:hAnsi="Times New Roman" w:eastAsia="Times New Roman" w:cs="Times New Roman"/>
                <w:spacing w:val="-1"/>
                <w:sz w:val="18"/>
                <w:szCs w:val="18"/>
              </w:rPr>
              <w:t>21#</w:t>
            </w:r>
            <w:r>
              <w:rPr>
                <w:spacing w:val="-1"/>
                <w:sz w:val="18"/>
                <w:szCs w:val="18"/>
              </w:rPr>
              <w:t>居民点</w:t>
            </w:r>
          </w:p>
        </w:tc>
        <w:tc>
          <w:tcPr>
            <w:tcW w:w="1024" w:type="dxa"/>
            <w:vAlign w:val="top"/>
          </w:tcPr>
          <w:p>
            <w:pPr>
              <w:pStyle w:val="6"/>
              <w:spacing w:before="142" w:line="220" w:lineRule="auto"/>
              <w:ind w:left="432"/>
              <w:rPr>
                <w:sz w:val="18"/>
                <w:szCs w:val="18"/>
              </w:rPr>
            </w:pPr>
            <w:r>
              <w:rPr>
                <w:sz w:val="18"/>
                <w:szCs w:val="18"/>
              </w:rPr>
              <w:t>东</w:t>
            </w:r>
          </w:p>
        </w:tc>
        <w:tc>
          <w:tcPr>
            <w:tcW w:w="1274" w:type="dxa"/>
            <w:vAlign w:val="top"/>
          </w:tcPr>
          <w:p>
            <w:pPr>
              <w:spacing w:before="178" w:line="186" w:lineRule="auto"/>
              <w:ind w:left="3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475-481</w:t>
            </w:r>
          </w:p>
        </w:tc>
        <w:tc>
          <w:tcPr>
            <w:tcW w:w="1823" w:type="dxa"/>
            <w:vAlign w:val="top"/>
          </w:tcPr>
          <w:p>
            <w:pPr>
              <w:pStyle w:val="6"/>
              <w:spacing w:before="143" w:line="219" w:lineRule="auto"/>
              <w:ind w:left="376"/>
              <w:rPr>
                <w:sz w:val="18"/>
                <w:szCs w:val="18"/>
              </w:rPr>
            </w:pPr>
            <w:r>
              <w:rPr>
                <w:spacing w:val="-1"/>
                <w:sz w:val="18"/>
                <w:szCs w:val="18"/>
              </w:rPr>
              <w:t>农村分散居民</w:t>
            </w:r>
          </w:p>
        </w:tc>
        <w:tc>
          <w:tcPr>
            <w:tcW w:w="1636" w:type="dxa"/>
            <w:vAlign w:val="top"/>
          </w:tcPr>
          <w:p>
            <w:pPr>
              <w:pStyle w:val="6"/>
              <w:spacing w:before="26" w:line="224" w:lineRule="auto"/>
              <w:ind w:left="732" w:right="163" w:hanging="566"/>
              <w:rPr>
                <w:sz w:val="18"/>
                <w:szCs w:val="18"/>
              </w:rPr>
            </w:pPr>
            <w:r>
              <w:rPr>
                <w:spacing w:val="-5"/>
                <w:sz w:val="18"/>
                <w:szCs w:val="18"/>
              </w:rPr>
              <w:t>散户居民</w:t>
            </w:r>
            <w:r>
              <w:rPr>
                <w:spacing w:val="-39"/>
                <w:sz w:val="18"/>
                <w:szCs w:val="18"/>
              </w:rPr>
              <w:t xml:space="preserve"> </w:t>
            </w:r>
            <w:r>
              <w:rPr>
                <w:rFonts w:ascii="Times New Roman" w:hAnsi="Times New Roman" w:eastAsia="Times New Roman" w:cs="Times New Roman"/>
                <w:spacing w:val="-5"/>
                <w:sz w:val="18"/>
                <w:szCs w:val="18"/>
              </w:rPr>
              <w:t>4</w:t>
            </w:r>
            <w:r>
              <w:rPr>
                <w:rFonts w:ascii="Times New Roman" w:hAnsi="Times New Roman" w:eastAsia="Times New Roman" w:cs="Times New Roman"/>
                <w:spacing w:val="9"/>
                <w:sz w:val="18"/>
                <w:szCs w:val="18"/>
              </w:rPr>
              <w:t xml:space="preserve"> </w:t>
            </w:r>
            <w:r>
              <w:rPr>
                <w:spacing w:val="-5"/>
                <w:sz w:val="18"/>
                <w:szCs w:val="18"/>
              </w:rPr>
              <w:t>户</w:t>
            </w:r>
            <w:r>
              <w:rPr>
                <w:spacing w:val="-25"/>
                <w:sz w:val="18"/>
                <w:szCs w:val="18"/>
              </w:rPr>
              <w:t xml:space="preserve"> </w:t>
            </w:r>
            <w:r>
              <w:rPr>
                <w:rFonts w:ascii="Times New Roman" w:hAnsi="Times New Roman" w:eastAsia="Times New Roman" w:cs="Times New Roman"/>
                <w:spacing w:val="-5"/>
                <w:sz w:val="18"/>
                <w:szCs w:val="18"/>
              </w:rPr>
              <w:t>19</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3"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tc>
        <w:tc>
          <w:tcPr>
            <w:tcW w:w="1435" w:type="dxa"/>
            <w:vAlign w:val="top"/>
          </w:tcPr>
          <w:p>
            <w:pPr>
              <w:pStyle w:val="6"/>
              <w:spacing w:before="78" w:line="220" w:lineRule="auto"/>
              <w:ind w:left="308"/>
              <w:rPr>
                <w:sz w:val="18"/>
                <w:szCs w:val="18"/>
              </w:rPr>
            </w:pPr>
            <w:r>
              <w:rPr>
                <w:rFonts w:ascii="Times New Roman" w:hAnsi="Times New Roman" w:eastAsia="Times New Roman" w:cs="Times New Roman"/>
                <w:spacing w:val="-1"/>
                <w:sz w:val="18"/>
                <w:szCs w:val="18"/>
              </w:rPr>
              <w:t>22#</w:t>
            </w:r>
            <w:r>
              <w:rPr>
                <w:spacing w:val="-1"/>
                <w:sz w:val="18"/>
                <w:szCs w:val="18"/>
              </w:rPr>
              <w:t>居民点</w:t>
            </w:r>
          </w:p>
        </w:tc>
        <w:tc>
          <w:tcPr>
            <w:tcW w:w="1024" w:type="dxa"/>
            <w:vAlign w:val="top"/>
          </w:tcPr>
          <w:p>
            <w:pPr>
              <w:pStyle w:val="6"/>
              <w:spacing w:before="77" w:line="220" w:lineRule="auto"/>
              <w:ind w:left="432"/>
              <w:rPr>
                <w:sz w:val="18"/>
                <w:szCs w:val="18"/>
              </w:rPr>
            </w:pPr>
            <w:r>
              <w:rPr>
                <w:sz w:val="18"/>
                <w:szCs w:val="18"/>
              </w:rPr>
              <w:t>东</w:t>
            </w:r>
          </w:p>
        </w:tc>
        <w:tc>
          <w:tcPr>
            <w:tcW w:w="1274" w:type="dxa"/>
            <w:vAlign w:val="top"/>
          </w:tcPr>
          <w:p>
            <w:pPr>
              <w:spacing w:before="113"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394-400</w:t>
            </w:r>
          </w:p>
        </w:tc>
        <w:tc>
          <w:tcPr>
            <w:tcW w:w="1823" w:type="dxa"/>
            <w:vAlign w:val="top"/>
          </w:tcPr>
          <w:p>
            <w:pPr>
              <w:pStyle w:val="6"/>
              <w:spacing w:before="77" w:line="219" w:lineRule="auto"/>
              <w:ind w:left="376"/>
              <w:rPr>
                <w:sz w:val="18"/>
                <w:szCs w:val="18"/>
              </w:rPr>
            </w:pPr>
            <w:r>
              <w:rPr>
                <w:spacing w:val="-1"/>
                <w:sz w:val="18"/>
                <w:szCs w:val="18"/>
              </w:rPr>
              <w:t>农村分散居民</w:t>
            </w:r>
          </w:p>
        </w:tc>
        <w:tc>
          <w:tcPr>
            <w:tcW w:w="1636" w:type="dxa"/>
            <w:vAlign w:val="top"/>
          </w:tcPr>
          <w:p>
            <w:pPr>
              <w:pStyle w:val="6"/>
              <w:spacing w:before="77" w:line="220" w:lineRule="auto"/>
              <w:ind w:left="110"/>
              <w:rPr>
                <w:sz w:val="18"/>
                <w:szCs w:val="18"/>
              </w:rPr>
            </w:pPr>
            <w:r>
              <w:rPr>
                <w:spacing w:val="-2"/>
                <w:sz w:val="18"/>
                <w:szCs w:val="18"/>
              </w:rPr>
              <w:t>散户居民</w:t>
            </w:r>
            <w:r>
              <w:rPr>
                <w:spacing w:val="-48"/>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户</w:t>
            </w:r>
            <w:r>
              <w:rPr>
                <w:spacing w:val="-45"/>
                <w:sz w:val="18"/>
                <w:szCs w:val="18"/>
              </w:rPr>
              <w:t xml:space="preserve"> </w:t>
            </w:r>
            <w:r>
              <w:rPr>
                <w:rFonts w:ascii="Times New Roman" w:hAnsi="Times New Roman" w:eastAsia="Times New Roman" w:cs="Times New Roman"/>
                <w:spacing w:val="-2"/>
                <w:sz w:val="18"/>
                <w:szCs w:val="18"/>
              </w:rPr>
              <w:t xml:space="preserve">7 </w:t>
            </w:r>
            <w:r>
              <w:rPr>
                <w:spacing w:val="-2"/>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3"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1435" w:type="dxa"/>
            <w:vAlign w:val="top"/>
          </w:tcPr>
          <w:p>
            <w:pPr>
              <w:pStyle w:val="6"/>
              <w:spacing w:before="78" w:line="220" w:lineRule="auto"/>
              <w:ind w:left="308"/>
              <w:rPr>
                <w:sz w:val="18"/>
                <w:szCs w:val="18"/>
              </w:rPr>
            </w:pPr>
            <w:r>
              <w:rPr>
                <w:rFonts w:ascii="Times New Roman" w:hAnsi="Times New Roman" w:eastAsia="Times New Roman" w:cs="Times New Roman"/>
                <w:spacing w:val="-1"/>
                <w:sz w:val="18"/>
                <w:szCs w:val="18"/>
              </w:rPr>
              <w:t>23#</w:t>
            </w:r>
            <w:r>
              <w:rPr>
                <w:spacing w:val="-1"/>
                <w:sz w:val="18"/>
                <w:szCs w:val="18"/>
              </w:rPr>
              <w:t>居民点</w:t>
            </w:r>
          </w:p>
        </w:tc>
        <w:tc>
          <w:tcPr>
            <w:tcW w:w="1024" w:type="dxa"/>
            <w:vAlign w:val="top"/>
          </w:tcPr>
          <w:p>
            <w:pPr>
              <w:pStyle w:val="6"/>
              <w:spacing w:before="78" w:line="220" w:lineRule="auto"/>
              <w:ind w:left="340"/>
              <w:rPr>
                <w:sz w:val="18"/>
                <w:szCs w:val="18"/>
              </w:rPr>
            </w:pPr>
            <w:r>
              <w:rPr>
                <w:spacing w:val="-4"/>
                <w:sz w:val="18"/>
                <w:szCs w:val="18"/>
              </w:rPr>
              <w:t>东南</w:t>
            </w:r>
          </w:p>
        </w:tc>
        <w:tc>
          <w:tcPr>
            <w:tcW w:w="1274" w:type="dxa"/>
            <w:vAlign w:val="top"/>
          </w:tcPr>
          <w:p>
            <w:pPr>
              <w:spacing w:before="114"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388-396</w:t>
            </w:r>
          </w:p>
        </w:tc>
        <w:tc>
          <w:tcPr>
            <w:tcW w:w="1823" w:type="dxa"/>
            <w:vAlign w:val="top"/>
          </w:tcPr>
          <w:p>
            <w:pPr>
              <w:pStyle w:val="6"/>
              <w:spacing w:before="78" w:line="219" w:lineRule="auto"/>
              <w:ind w:left="376"/>
              <w:rPr>
                <w:sz w:val="18"/>
                <w:szCs w:val="18"/>
              </w:rPr>
            </w:pPr>
            <w:r>
              <w:rPr>
                <w:spacing w:val="-1"/>
                <w:sz w:val="18"/>
                <w:szCs w:val="18"/>
              </w:rPr>
              <w:t>农村分散居民</w:t>
            </w:r>
          </w:p>
        </w:tc>
        <w:tc>
          <w:tcPr>
            <w:tcW w:w="1636" w:type="dxa"/>
            <w:vAlign w:val="top"/>
          </w:tcPr>
          <w:p>
            <w:pPr>
              <w:pStyle w:val="6"/>
              <w:spacing w:before="78" w:line="220" w:lineRule="auto"/>
              <w:ind w:left="110"/>
              <w:rPr>
                <w:sz w:val="18"/>
                <w:szCs w:val="18"/>
              </w:rPr>
            </w:pPr>
            <w:r>
              <w:rPr>
                <w:spacing w:val="-3"/>
                <w:sz w:val="18"/>
                <w:szCs w:val="18"/>
              </w:rPr>
              <w:t>散户居民</w:t>
            </w:r>
            <w:r>
              <w:rPr>
                <w:spacing w:val="-42"/>
                <w:sz w:val="18"/>
                <w:szCs w:val="18"/>
              </w:rPr>
              <w:t xml:space="preserve"> </w:t>
            </w:r>
            <w:r>
              <w:rPr>
                <w:rFonts w:ascii="Times New Roman" w:hAnsi="Times New Roman" w:eastAsia="Times New Roman" w:cs="Times New Roman"/>
                <w:spacing w:val="-3"/>
                <w:sz w:val="18"/>
                <w:szCs w:val="18"/>
              </w:rPr>
              <w:t xml:space="preserve">2 </w:t>
            </w:r>
            <w:r>
              <w:rPr>
                <w:spacing w:val="-3"/>
                <w:sz w:val="18"/>
                <w:szCs w:val="18"/>
              </w:rPr>
              <w:t>户</w:t>
            </w:r>
            <w:r>
              <w:rPr>
                <w:spacing w:val="-41"/>
                <w:sz w:val="18"/>
                <w:szCs w:val="18"/>
              </w:rPr>
              <w:t xml:space="preserve"> </w:t>
            </w:r>
            <w:r>
              <w:rPr>
                <w:rFonts w:ascii="Times New Roman" w:hAnsi="Times New Roman" w:eastAsia="Times New Roman" w:cs="Times New Roman"/>
                <w:spacing w:val="-3"/>
                <w:sz w:val="18"/>
                <w:szCs w:val="18"/>
              </w:rPr>
              <w:t xml:space="preserve">8 </w:t>
            </w:r>
            <w:r>
              <w:rPr>
                <w:spacing w:val="-3"/>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12"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c>
          <w:tcPr>
            <w:tcW w:w="1435" w:type="dxa"/>
            <w:vAlign w:val="top"/>
          </w:tcPr>
          <w:p>
            <w:pPr>
              <w:pStyle w:val="6"/>
              <w:spacing w:before="79" w:line="220" w:lineRule="auto"/>
              <w:ind w:left="308"/>
              <w:rPr>
                <w:sz w:val="18"/>
                <w:szCs w:val="18"/>
              </w:rPr>
            </w:pPr>
            <w:r>
              <w:rPr>
                <w:rFonts w:ascii="Times New Roman" w:hAnsi="Times New Roman" w:eastAsia="Times New Roman" w:cs="Times New Roman"/>
                <w:spacing w:val="-1"/>
                <w:sz w:val="18"/>
                <w:szCs w:val="18"/>
              </w:rPr>
              <w:t>24#</w:t>
            </w:r>
            <w:r>
              <w:rPr>
                <w:spacing w:val="-1"/>
                <w:sz w:val="18"/>
                <w:szCs w:val="18"/>
              </w:rPr>
              <w:t>居民点</w:t>
            </w:r>
          </w:p>
        </w:tc>
        <w:tc>
          <w:tcPr>
            <w:tcW w:w="1024" w:type="dxa"/>
            <w:vAlign w:val="top"/>
          </w:tcPr>
          <w:p>
            <w:pPr>
              <w:pStyle w:val="6"/>
              <w:spacing w:before="78" w:line="220" w:lineRule="auto"/>
              <w:ind w:left="340"/>
              <w:rPr>
                <w:sz w:val="18"/>
                <w:szCs w:val="18"/>
              </w:rPr>
            </w:pPr>
            <w:r>
              <w:rPr>
                <w:spacing w:val="-4"/>
                <w:sz w:val="18"/>
                <w:szCs w:val="18"/>
              </w:rPr>
              <w:t>东南</w:t>
            </w:r>
          </w:p>
        </w:tc>
        <w:tc>
          <w:tcPr>
            <w:tcW w:w="1274" w:type="dxa"/>
            <w:vAlign w:val="top"/>
          </w:tcPr>
          <w:p>
            <w:pPr>
              <w:spacing w:before="112" w:line="186" w:lineRule="auto"/>
              <w:ind w:left="50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367</w:t>
            </w:r>
          </w:p>
        </w:tc>
        <w:tc>
          <w:tcPr>
            <w:tcW w:w="1823" w:type="dxa"/>
            <w:vAlign w:val="top"/>
          </w:tcPr>
          <w:p>
            <w:pPr>
              <w:pStyle w:val="6"/>
              <w:spacing w:before="78" w:line="219" w:lineRule="auto"/>
              <w:ind w:left="376"/>
              <w:rPr>
                <w:sz w:val="18"/>
                <w:szCs w:val="18"/>
              </w:rPr>
            </w:pPr>
            <w:r>
              <w:rPr>
                <w:spacing w:val="-1"/>
                <w:sz w:val="18"/>
                <w:szCs w:val="18"/>
              </w:rPr>
              <w:t>农村分散居民</w:t>
            </w:r>
          </w:p>
        </w:tc>
        <w:tc>
          <w:tcPr>
            <w:tcW w:w="1636" w:type="dxa"/>
            <w:vAlign w:val="top"/>
          </w:tcPr>
          <w:p>
            <w:pPr>
              <w:pStyle w:val="6"/>
              <w:spacing w:before="78" w:line="220" w:lineRule="auto"/>
              <w:ind w:left="110"/>
              <w:rPr>
                <w:sz w:val="18"/>
                <w:szCs w:val="18"/>
              </w:rPr>
            </w:pPr>
            <w:r>
              <w:rPr>
                <w:spacing w:val="-4"/>
                <w:sz w:val="18"/>
                <w:szCs w:val="18"/>
              </w:rPr>
              <w:t>散户居民</w:t>
            </w:r>
            <w:r>
              <w:rPr>
                <w:spacing w:val="-24"/>
                <w:sz w:val="18"/>
                <w:szCs w:val="18"/>
              </w:rPr>
              <w:t xml:space="preserve"> </w:t>
            </w:r>
            <w:r>
              <w:rPr>
                <w:rFonts w:ascii="Times New Roman" w:hAnsi="Times New Roman" w:eastAsia="Times New Roman" w:cs="Times New Roman"/>
                <w:spacing w:val="-4"/>
                <w:sz w:val="18"/>
                <w:szCs w:val="18"/>
              </w:rPr>
              <w:t xml:space="preserve">1 </w:t>
            </w:r>
            <w:r>
              <w:rPr>
                <w:spacing w:val="-4"/>
                <w:sz w:val="18"/>
                <w:szCs w:val="18"/>
              </w:rPr>
              <w:t>户</w:t>
            </w:r>
            <w:r>
              <w:rPr>
                <w:spacing w:val="-49"/>
                <w:sz w:val="18"/>
                <w:szCs w:val="18"/>
              </w:rPr>
              <w:t xml:space="preserve"> </w:t>
            </w:r>
            <w:r>
              <w:rPr>
                <w:rFonts w:ascii="Times New Roman" w:hAnsi="Times New Roman" w:eastAsia="Times New Roman" w:cs="Times New Roman"/>
                <w:spacing w:val="-4"/>
                <w:sz w:val="18"/>
                <w:szCs w:val="18"/>
              </w:rPr>
              <w:t xml:space="preserve">4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79"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435" w:type="dxa"/>
            <w:vAlign w:val="top"/>
          </w:tcPr>
          <w:p>
            <w:pPr>
              <w:pStyle w:val="6"/>
              <w:spacing w:before="144" w:line="220" w:lineRule="auto"/>
              <w:ind w:left="308"/>
              <w:rPr>
                <w:sz w:val="18"/>
                <w:szCs w:val="18"/>
              </w:rPr>
            </w:pPr>
            <w:r>
              <w:rPr>
                <w:rFonts w:ascii="Times New Roman" w:hAnsi="Times New Roman" w:eastAsia="Times New Roman" w:cs="Times New Roman"/>
                <w:spacing w:val="-1"/>
                <w:sz w:val="18"/>
                <w:szCs w:val="18"/>
              </w:rPr>
              <w:t>25#</w:t>
            </w:r>
            <w:r>
              <w:rPr>
                <w:spacing w:val="-1"/>
                <w:sz w:val="18"/>
                <w:szCs w:val="18"/>
              </w:rPr>
              <w:t>居民点</w:t>
            </w:r>
          </w:p>
        </w:tc>
        <w:tc>
          <w:tcPr>
            <w:tcW w:w="1024" w:type="dxa"/>
            <w:vAlign w:val="top"/>
          </w:tcPr>
          <w:p>
            <w:pPr>
              <w:pStyle w:val="6"/>
              <w:spacing w:before="143" w:line="222" w:lineRule="auto"/>
              <w:ind w:left="338"/>
              <w:rPr>
                <w:sz w:val="18"/>
                <w:szCs w:val="18"/>
              </w:rPr>
            </w:pPr>
            <w:r>
              <w:rPr>
                <w:spacing w:val="-3"/>
                <w:sz w:val="18"/>
                <w:szCs w:val="18"/>
              </w:rPr>
              <w:t>西南</w:t>
            </w:r>
          </w:p>
        </w:tc>
        <w:tc>
          <w:tcPr>
            <w:tcW w:w="1274" w:type="dxa"/>
            <w:vAlign w:val="top"/>
          </w:tcPr>
          <w:p>
            <w:pPr>
              <w:spacing w:before="179" w:line="186"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339-426</w:t>
            </w:r>
          </w:p>
        </w:tc>
        <w:tc>
          <w:tcPr>
            <w:tcW w:w="1823" w:type="dxa"/>
            <w:vAlign w:val="top"/>
          </w:tcPr>
          <w:p>
            <w:pPr>
              <w:pStyle w:val="6"/>
              <w:spacing w:before="143" w:line="219" w:lineRule="auto"/>
              <w:ind w:left="376"/>
              <w:rPr>
                <w:sz w:val="18"/>
                <w:szCs w:val="18"/>
              </w:rPr>
            </w:pPr>
            <w:r>
              <w:rPr>
                <w:spacing w:val="-1"/>
                <w:sz w:val="18"/>
                <w:szCs w:val="18"/>
              </w:rPr>
              <w:t>农村分散居民</w:t>
            </w:r>
          </w:p>
        </w:tc>
        <w:tc>
          <w:tcPr>
            <w:tcW w:w="1636" w:type="dxa"/>
            <w:vAlign w:val="top"/>
          </w:tcPr>
          <w:p>
            <w:pPr>
              <w:pStyle w:val="6"/>
              <w:spacing w:before="28" w:line="223" w:lineRule="auto"/>
              <w:ind w:left="732" w:right="163" w:hanging="566"/>
              <w:rPr>
                <w:sz w:val="18"/>
                <w:szCs w:val="18"/>
              </w:rPr>
            </w:pPr>
            <w:r>
              <w:rPr>
                <w:spacing w:val="-5"/>
                <w:sz w:val="18"/>
                <w:szCs w:val="18"/>
              </w:rPr>
              <w:t>散户居民</w:t>
            </w:r>
            <w:r>
              <w:rPr>
                <w:spacing w:val="-39"/>
                <w:sz w:val="18"/>
                <w:szCs w:val="18"/>
              </w:rPr>
              <w:t xml:space="preserve"> </w:t>
            </w:r>
            <w:r>
              <w:rPr>
                <w:rFonts w:ascii="Times New Roman" w:hAnsi="Times New Roman" w:eastAsia="Times New Roman" w:cs="Times New Roman"/>
                <w:spacing w:val="-5"/>
                <w:sz w:val="18"/>
                <w:szCs w:val="18"/>
              </w:rPr>
              <w:t>4</w:t>
            </w:r>
            <w:r>
              <w:rPr>
                <w:rFonts w:ascii="Times New Roman" w:hAnsi="Times New Roman" w:eastAsia="Times New Roman" w:cs="Times New Roman"/>
                <w:spacing w:val="9"/>
                <w:sz w:val="18"/>
                <w:szCs w:val="18"/>
              </w:rPr>
              <w:t xml:space="preserve"> </w:t>
            </w:r>
            <w:r>
              <w:rPr>
                <w:spacing w:val="-5"/>
                <w:sz w:val="18"/>
                <w:szCs w:val="18"/>
              </w:rPr>
              <w:t>户</w:t>
            </w:r>
            <w:r>
              <w:rPr>
                <w:spacing w:val="-25"/>
                <w:sz w:val="18"/>
                <w:szCs w:val="18"/>
              </w:rPr>
              <w:t xml:space="preserve"> </w:t>
            </w:r>
            <w:r>
              <w:rPr>
                <w:rFonts w:ascii="Times New Roman" w:hAnsi="Times New Roman" w:eastAsia="Times New Roman" w:cs="Times New Roman"/>
                <w:spacing w:val="-5"/>
                <w:sz w:val="18"/>
                <w:szCs w:val="18"/>
              </w:rPr>
              <w:t>18</w:t>
            </w:r>
            <w:r>
              <w:rPr>
                <w:rFonts w:ascii="Times New Roman" w:hAnsi="Times New Roman" w:eastAsia="Times New Roman" w:cs="Times New Roman"/>
                <w:sz w:val="18"/>
                <w:szCs w:val="18"/>
              </w:rPr>
              <w:t xml:space="preserve"> </w:t>
            </w:r>
            <w:r>
              <w:rPr>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7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tc>
        <w:tc>
          <w:tcPr>
            <w:tcW w:w="1435" w:type="dxa"/>
            <w:vAlign w:val="top"/>
          </w:tcPr>
          <w:p>
            <w:pPr>
              <w:pStyle w:val="6"/>
              <w:spacing w:before="78" w:line="219" w:lineRule="auto"/>
              <w:ind w:left="447"/>
              <w:rPr>
                <w:sz w:val="18"/>
                <w:szCs w:val="18"/>
              </w:rPr>
            </w:pPr>
            <w:r>
              <w:rPr>
                <w:spacing w:val="-2"/>
                <w:sz w:val="18"/>
                <w:szCs w:val="18"/>
              </w:rPr>
              <w:t>和平村</w:t>
            </w:r>
          </w:p>
        </w:tc>
        <w:tc>
          <w:tcPr>
            <w:tcW w:w="1024" w:type="dxa"/>
            <w:vAlign w:val="top"/>
          </w:tcPr>
          <w:p>
            <w:pPr>
              <w:pStyle w:val="6"/>
              <w:spacing w:before="78" w:line="220" w:lineRule="auto"/>
              <w:ind w:left="340"/>
              <w:rPr>
                <w:sz w:val="18"/>
                <w:szCs w:val="18"/>
              </w:rPr>
            </w:pPr>
            <w:r>
              <w:rPr>
                <w:spacing w:val="-4"/>
                <w:sz w:val="18"/>
                <w:szCs w:val="18"/>
              </w:rPr>
              <w:t>东北</w:t>
            </w:r>
          </w:p>
        </w:tc>
        <w:tc>
          <w:tcPr>
            <w:tcW w:w="1274" w:type="dxa"/>
            <w:vAlign w:val="top"/>
          </w:tcPr>
          <w:p>
            <w:pPr>
              <w:spacing w:before="113" w:line="186" w:lineRule="auto"/>
              <w:ind w:left="5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828</w:t>
            </w:r>
          </w:p>
        </w:tc>
        <w:tc>
          <w:tcPr>
            <w:tcW w:w="1823" w:type="dxa"/>
            <w:vAlign w:val="top"/>
          </w:tcPr>
          <w:p>
            <w:pPr>
              <w:pStyle w:val="6"/>
              <w:spacing w:before="78" w:line="219" w:lineRule="auto"/>
              <w:ind w:left="376"/>
              <w:rPr>
                <w:sz w:val="18"/>
                <w:szCs w:val="18"/>
              </w:rPr>
            </w:pPr>
            <w:r>
              <w:rPr>
                <w:spacing w:val="-1"/>
                <w:sz w:val="18"/>
                <w:szCs w:val="18"/>
              </w:rPr>
              <w:t>农村分散居民</w:t>
            </w:r>
          </w:p>
        </w:tc>
        <w:tc>
          <w:tcPr>
            <w:tcW w:w="1636" w:type="dxa"/>
            <w:vAlign w:val="top"/>
          </w:tcPr>
          <w:p>
            <w:pPr>
              <w:pStyle w:val="6"/>
              <w:spacing w:before="78"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1112</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79"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tc>
        <w:tc>
          <w:tcPr>
            <w:tcW w:w="1435" w:type="dxa"/>
            <w:vAlign w:val="top"/>
          </w:tcPr>
          <w:p>
            <w:pPr>
              <w:pStyle w:val="6"/>
              <w:spacing w:before="78" w:line="220" w:lineRule="auto"/>
              <w:ind w:left="447"/>
              <w:rPr>
                <w:sz w:val="18"/>
                <w:szCs w:val="18"/>
              </w:rPr>
            </w:pPr>
            <w:r>
              <w:rPr>
                <w:spacing w:val="-2"/>
                <w:sz w:val="18"/>
                <w:szCs w:val="18"/>
              </w:rPr>
              <w:t>江陵镇</w:t>
            </w:r>
          </w:p>
        </w:tc>
        <w:tc>
          <w:tcPr>
            <w:tcW w:w="1024" w:type="dxa"/>
            <w:vAlign w:val="top"/>
          </w:tcPr>
          <w:p>
            <w:pPr>
              <w:pStyle w:val="6"/>
              <w:spacing w:before="78" w:line="222" w:lineRule="auto"/>
              <w:ind w:left="427"/>
              <w:rPr>
                <w:sz w:val="18"/>
                <w:szCs w:val="18"/>
              </w:rPr>
            </w:pPr>
            <w:r>
              <w:rPr>
                <w:sz w:val="18"/>
                <w:szCs w:val="18"/>
              </w:rPr>
              <w:t>南</w:t>
            </w:r>
          </w:p>
        </w:tc>
        <w:tc>
          <w:tcPr>
            <w:tcW w:w="1274" w:type="dxa"/>
            <w:vAlign w:val="top"/>
          </w:tcPr>
          <w:p>
            <w:pPr>
              <w:spacing w:before="114"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3615</w:t>
            </w:r>
          </w:p>
        </w:tc>
        <w:tc>
          <w:tcPr>
            <w:tcW w:w="1823" w:type="dxa"/>
            <w:vAlign w:val="top"/>
          </w:tcPr>
          <w:p>
            <w:pPr>
              <w:pStyle w:val="6"/>
              <w:spacing w:before="78" w:line="220" w:lineRule="auto"/>
              <w:ind w:left="736"/>
              <w:rPr>
                <w:sz w:val="18"/>
                <w:szCs w:val="18"/>
              </w:rPr>
            </w:pPr>
            <w:r>
              <w:rPr>
                <w:spacing w:val="-2"/>
                <w:sz w:val="18"/>
                <w:szCs w:val="18"/>
              </w:rPr>
              <w:t>集镇</w:t>
            </w:r>
          </w:p>
        </w:tc>
        <w:tc>
          <w:tcPr>
            <w:tcW w:w="1636" w:type="dxa"/>
            <w:vAlign w:val="top"/>
          </w:tcPr>
          <w:p>
            <w:pPr>
              <w:pStyle w:val="6"/>
              <w:spacing w:before="79"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1650</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78" w:line="181"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1435" w:type="dxa"/>
            <w:vAlign w:val="top"/>
          </w:tcPr>
          <w:p>
            <w:pPr>
              <w:pStyle w:val="6"/>
              <w:spacing w:before="78" w:line="219" w:lineRule="auto"/>
              <w:ind w:left="445"/>
              <w:rPr>
                <w:sz w:val="18"/>
                <w:szCs w:val="18"/>
              </w:rPr>
            </w:pPr>
            <w:r>
              <w:rPr>
                <w:spacing w:val="-2"/>
                <w:sz w:val="18"/>
                <w:szCs w:val="18"/>
              </w:rPr>
              <w:t>黄梅村</w:t>
            </w:r>
          </w:p>
        </w:tc>
        <w:tc>
          <w:tcPr>
            <w:tcW w:w="1024" w:type="dxa"/>
            <w:vAlign w:val="top"/>
          </w:tcPr>
          <w:p>
            <w:pPr>
              <w:pStyle w:val="6"/>
              <w:spacing w:before="78" w:line="222" w:lineRule="auto"/>
              <w:ind w:left="338"/>
              <w:rPr>
                <w:sz w:val="18"/>
                <w:szCs w:val="18"/>
              </w:rPr>
            </w:pPr>
            <w:r>
              <w:rPr>
                <w:spacing w:val="-3"/>
                <w:sz w:val="18"/>
                <w:szCs w:val="18"/>
              </w:rPr>
              <w:t>西南</w:t>
            </w:r>
          </w:p>
        </w:tc>
        <w:tc>
          <w:tcPr>
            <w:tcW w:w="1274" w:type="dxa"/>
            <w:vAlign w:val="top"/>
          </w:tcPr>
          <w:p>
            <w:pPr>
              <w:spacing w:before="114"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2943</w:t>
            </w:r>
          </w:p>
        </w:tc>
        <w:tc>
          <w:tcPr>
            <w:tcW w:w="1823" w:type="dxa"/>
            <w:vAlign w:val="top"/>
          </w:tcPr>
          <w:p>
            <w:pPr>
              <w:pStyle w:val="6"/>
              <w:spacing w:before="78" w:line="219" w:lineRule="auto"/>
              <w:ind w:left="376"/>
              <w:rPr>
                <w:sz w:val="18"/>
                <w:szCs w:val="18"/>
              </w:rPr>
            </w:pPr>
            <w:r>
              <w:rPr>
                <w:spacing w:val="-1"/>
                <w:sz w:val="18"/>
                <w:szCs w:val="18"/>
              </w:rPr>
              <w:t>农村分散居民</w:t>
            </w:r>
          </w:p>
        </w:tc>
        <w:tc>
          <w:tcPr>
            <w:tcW w:w="1636" w:type="dxa"/>
            <w:vAlign w:val="top"/>
          </w:tcPr>
          <w:p>
            <w:pPr>
              <w:pStyle w:val="6"/>
              <w:spacing w:before="79"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1032</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79" w:line="17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w:t>
            </w:r>
          </w:p>
        </w:tc>
        <w:tc>
          <w:tcPr>
            <w:tcW w:w="1435" w:type="dxa"/>
            <w:vAlign w:val="top"/>
          </w:tcPr>
          <w:p>
            <w:pPr>
              <w:pStyle w:val="6"/>
              <w:spacing w:before="79" w:line="219" w:lineRule="auto"/>
              <w:ind w:left="448"/>
              <w:rPr>
                <w:sz w:val="18"/>
                <w:szCs w:val="18"/>
              </w:rPr>
            </w:pPr>
            <w:r>
              <w:rPr>
                <w:spacing w:val="-3"/>
                <w:sz w:val="18"/>
                <w:szCs w:val="18"/>
              </w:rPr>
              <w:t>棋盘村</w:t>
            </w:r>
          </w:p>
        </w:tc>
        <w:tc>
          <w:tcPr>
            <w:tcW w:w="1024" w:type="dxa"/>
            <w:vAlign w:val="top"/>
          </w:tcPr>
          <w:p>
            <w:pPr>
              <w:pStyle w:val="6"/>
              <w:spacing w:before="79" w:line="222" w:lineRule="auto"/>
              <w:ind w:left="338"/>
              <w:rPr>
                <w:sz w:val="18"/>
                <w:szCs w:val="18"/>
              </w:rPr>
            </w:pPr>
            <w:r>
              <w:rPr>
                <w:spacing w:val="-3"/>
                <w:sz w:val="18"/>
                <w:szCs w:val="18"/>
              </w:rPr>
              <w:t>西南</w:t>
            </w:r>
          </w:p>
        </w:tc>
        <w:tc>
          <w:tcPr>
            <w:tcW w:w="1274" w:type="dxa"/>
            <w:vAlign w:val="top"/>
          </w:tcPr>
          <w:p>
            <w:pPr>
              <w:spacing w:before="112"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4601</w:t>
            </w:r>
          </w:p>
        </w:tc>
        <w:tc>
          <w:tcPr>
            <w:tcW w:w="1823" w:type="dxa"/>
            <w:vAlign w:val="top"/>
          </w:tcPr>
          <w:p>
            <w:pPr>
              <w:pStyle w:val="6"/>
              <w:spacing w:before="79" w:line="219" w:lineRule="auto"/>
              <w:ind w:left="376"/>
              <w:rPr>
                <w:sz w:val="18"/>
                <w:szCs w:val="18"/>
              </w:rPr>
            </w:pPr>
            <w:r>
              <w:rPr>
                <w:spacing w:val="-1"/>
                <w:sz w:val="18"/>
                <w:szCs w:val="18"/>
              </w:rPr>
              <w:t>农村分散居民</w:t>
            </w:r>
          </w:p>
        </w:tc>
        <w:tc>
          <w:tcPr>
            <w:tcW w:w="1636" w:type="dxa"/>
            <w:vAlign w:val="top"/>
          </w:tcPr>
          <w:p>
            <w:pPr>
              <w:pStyle w:val="6"/>
              <w:spacing w:before="79" w:line="222" w:lineRule="auto"/>
              <w:ind w:left="463"/>
              <w:rPr>
                <w:sz w:val="18"/>
                <w:szCs w:val="18"/>
              </w:rPr>
            </w:pPr>
            <w:r>
              <w:rPr>
                <w:spacing w:val="-4"/>
                <w:sz w:val="18"/>
                <w:szCs w:val="18"/>
              </w:rPr>
              <w:t>约</w:t>
            </w:r>
            <w:r>
              <w:rPr>
                <w:spacing w:val="-37"/>
                <w:sz w:val="18"/>
                <w:szCs w:val="18"/>
              </w:rPr>
              <w:t xml:space="preserve"> </w:t>
            </w:r>
            <w:r>
              <w:rPr>
                <w:rFonts w:ascii="Times New Roman" w:hAnsi="Times New Roman" w:eastAsia="Times New Roman" w:cs="Times New Roman"/>
                <w:spacing w:val="-4"/>
                <w:sz w:val="18"/>
                <w:szCs w:val="18"/>
              </w:rPr>
              <w:t>945</w:t>
            </w:r>
            <w:r>
              <w:rPr>
                <w:rFonts w:ascii="Times New Roman" w:hAnsi="Times New Roman" w:eastAsia="Times New Roman" w:cs="Times New Roman"/>
                <w:spacing w:val="11"/>
                <w:sz w:val="18"/>
                <w:szCs w:val="18"/>
              </w:rPr>
              <w:t xml:space="preserve">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78"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tc>
        <w:tc>
          <w:tcPr>
            <w:tcW w:w="1435" w:type="dxa"/>
            <w:vAlign w:val="top"/>
          </w:tcPr>
          <w:p>
            <w:pPr>
              <w:pStyle w:val="6"/>
              <w:spacing w:before="81" w:line="219" w:lineRule="auto"/>
              <w:ind w:left="447"/>
              <w:rPr>
                <w:sz w:val="18"/>
                <w:szCs w:val="18"/>
              </w:rPr>
            </w:pPr>
            <w:r>
              <w:rPr>
                <w:spacing w:val="-2"/>
                <w:sz w:val="18"/>
                <w:szCs w:val="18"/>
              </w:rPr>
              <w:t>元盘村</w:t>
            </w:r>
          </w:p>
        </w:tc>
        <w:tc>
          <w:tcPr>
            <w:tcW w:w="1024" w:type="dxa"/>
            <w:vAlign w:val="top"/>
          </w:tcPr>
          <w:p>
            <w:pPr>
              <w:pStyle w:val="6"/>
              <w:spacing w:before="81" w:line="223" w:lineRule="auto"/>
              <w:ind w:left="338"/>
              <w:rPr>
                <w:sz w:val="18"/>
                <w:szCs w:val="18"/>
              </w:rPr>
            </w:pPr>
            <w:r>
              <w:rPr>
                <w:spacing w:val="-3"/>
                <w:sz w:val="18"/>
                <w:szCs w:val="18"/>
              </w:rPr>
              <w:t>西北</w:t>
            </w:r>
          </w:p>
        </w:tc>
        <w:tc>
          <w:tcPr>
            <w:tcW w:w="1274" w:type="dxa"/>
            <w:vAlign w:val="top"/>
          </w:tcPr>
          <w:p>
            <w:pPr>
              <w:spacing w:before="114"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2440</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2"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1058</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2" w:line="177"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tc>
        <w:tc>
          <w:tcPr>
            <w:tcW w:w="1435" w:type="dxa"/>
            <w:vAlign w:val="top"/>
          </w:tcPr>
          <w:p>
            <w:pPr>
              <w:pStyle w:val="6"/>
              <w:spacing w:before="81" w:line="219" w:lineRule="auto"/>
              <w:ind w:left="447"/>
              <w:rPr>
                <w:sz w:val="18"/>
                <w:szCs w:val="18"/>
              </w:rPr>
            </w:pPr>
            <w:r>
              <w:rPr>
                <w:spacing w:val="-2"/>
                <w:sz w:val="18"/>
                <w:szCs w:val="18"/>
              </w:rPr>
              <w:t>香炉村</w:t>
            </w:r>
          </w:p>
        </w:tc>
        <w:tc>
          <w:tcPr>
            <w:tcW w:w="1024" w:type="dxa"/>
            <w:vAlign w:val="top"/>
          </w:tcPr>
          <w:p>
            <w:pPr>
              <w:pStyle w:val="6"/>
              <w:spacing w:before="82" w:line="223" w:lineRule="auto"/>
              <w:ind w:left="338"/>
              <w:rPr>
                <w:sz w:val="18"/>
                <w:szCs w:val="18"/>
              </w:rPr>
            </w:pPr>
            <w:r>
              <w:rPr>
                <w:spacing w:val="-3"/>
                <w:sz w:val="18"/>
                <w:szCs w:val="18"/>
              </w:rPr>
              <w:t>西北</w:t>
            </w:r>
          </w:p>
        </w:tc>
        <w:tc>
          <w:tcPr>
            <w:tcW w:w="1274" w:type="dxa"/>
            <w:vAlign w:val="top"/>
          </w:tcPr>
          <w:p>
            <w:pPr>
              <w:spacing w:before="115"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3865</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2"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1012</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2" w:line="177"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tc>
        <w:tc>
          <w:tcPr>
            <w:tcW w:w="1435" w:type="dxa"/>
            <w:vAlign w:val="top"/>
          </w:tcPr>
          <w:p>
            <w:pPr>
              <w:pStyle w:val="6"/>
              <w:spacing w:before="79" w:line="219" w:lineRule="auto"/>
              <w:ind w:left="447"/>
              <w:rPr>
                <w:sz w:val="18"/>
                <w:szCs w:val="18"/>
              </w:rPr>
            </w:pPr>
            <w:r>
              <w:rPr>
                <w:spacing w:val="-2"/>
                <w:sz w:val="18"/>
                <w:szCs w:val="18"/>
              </w:rPr>
              <w:t>柏桠村</w:t>
            </w:r>
          </w:p>
        </w:tc>
        <w:tc>
          <w:tcPr>
            <w:tcW w:w="1024" w:type="dxa"/>
            <w:vAlign w:val="top"/>
          </w:tcPr>
          <w:p>
            <w:pPr>
              <w:pStyle w:val="6"/>
              <w:spacing w:before="80" w:line="223" w:lineRule="auto"/>
              <w:ind w:left="338"/>
              <w:rPr>
                <w:sz w:val="18"/>
                <w:szCs w:val="18"/>
              </w:rPr>
            </w:pPr>
            <w:r>
              <w:rPr>
                <w:spacing w:val="-3"/>
                <w:sz w:val="18"/>
                <w:szCs w:val="18"/>
              </w:rPr>
              <w:t>西北</w:t>
            </w:r>
          </w:p>
        </w:tc>
        <w:tc>
          <w:tcPr>
            <w:tcW w:w="1274" w:type="dxa"/>
            <w:vAlign w:val="top"/>
          </w:tcPr>
          <w:p>
            <w:pPr>
              <w:spacing w:before="115"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3728</w:t>
            </w:r>
          </w:p>
        </w:tc>
        <w:tc>
          <w:tcPr>
            <w:tcW w:w="1823" w:type="dxa"/>
            <w:vAlign w:val="top"/>
          </w:tcPr>
          <w:p>
            <w:pPr>
              <w:pStyle w:val="6"/>
              <w:spacing w:before="79" w:line="219" w:lineRule="auto"/>
              <w:ind w:left="376"/>
              <w:rPr>
                <w:sz w:val="18"/>
                <w:szCs w:val="18"/>
              </w:rPr>
            </w:pPr>
            <w:r>
              <w:rPr>
                <w:spacing w:val="-1"/>
                <w:sz w:val="18"/>
                <w:szCs w:val="18"/>
              </w:rPr>
              <w:t>农村分散居民</w:t>
            </w:r>
          </w:p>
        </w:tc>
        <w:tc>
          <w:tcPr>
            <w:tcW w:w="1636" w:type="dxa"/>
            <w:vAlign w:val="top"/>
          </w:tcPr>
          <w:p>
            <w:pPr>
              <w:pStyle w:val="6"/>
              <w:spacing w:before="80"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1423</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3" w:line="176"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c>
          <w:tcPr>
            <w:tcW w:w="1435" w:type="dxa"/>
            <w:vAlign w:val="top"/>
          </w:tcPr>
          <w:p>
            <w:pPr>
              <w:pStyle w:val="6"/>
              <w:spacing w:before="80" w:line="219" w:lineRule="auto"/>
              <w:ind w:left="447"/>
              <w:rPr>
                <w:sz w:val="18"/>
                <w:szCs w:val="18"/>
              </w:rPr>
            </w:pPr>
            <w:r>
              <w:rPr>
                <w:spacing w:val="-2"/>
                <w:sz w:val="18"/>
                <w:szCs w:val="18"/>
              </w:rPr>
              <w:t>江北村</w:t>
            </w:r>
          </w:p>
        </w:tc>
        <w:tc>
          <w:tcPr>
            <w:tcW w:w="1024" w:type="dxa"/>
            <w:vAlign w:val="top"/>
          </w:tcPr>
          <w:p>
            <w:pPr>
              <w:pStyle w:val="6"/>
              <w:spacing w:before="80" w:line="220" w:lineRule="auto"/>
              <w:ind w:left="432"/>
              <w:rPr>
                <w:sz w:val="18"/>
                <w:szCs w:val="18"/>
              </w:rPr>
            </w:pPr>
            <w:r>
              <w:rPr>
                <w:sz w:val="18"/>
                <w:szCs w:val="18"/>
              </w:rPr>
              <w:t>东</w:t>
            </w:r>
          </w:p>
        </w:tc>
        <w:tc>
          <w:tcPr>
            <w:tcW w:w="1274" w:type="dxa"/>
            <w:vAlign w:val="top"/>
          </w:tcPr>
          <w:p>
            <w:pPr>
              <w:spacing w:before="115"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2480</w:t>
            </w:r>
          </w:p>
        </w:tc>
        <w:tc>
          <w:tcPr>
            <w:tcW w:w="1823" w:type="dxa"/>
            <w:vAlign w:val="top"/>
          </w:tcPr>
          <w:p>
            <w:pPr>
              <w:pStyle w:val="6"/>
              <w:spacing w:before="80" w:line="219" w:lineRule="auto"/>
              <w:ind w:left="376"/>
              <w:rPr>
                <w:sz w:val="18"/>
                <w:szCs w:val="18"/>
              </w:rPr>
            </w:pPr>
            <w:r>
              <w:rPr>
                <w:spacing w:val="-1"/>
                <w:sz w:val="18"/>
                <w:szCs w:val="18"/>
              </w:rPr>
              <w:t>农村分散居民</w:t>
            </w:r>
          </w:p>
        </w:tc>
        <w:tc>
          <w:tcPr>
            <w:tcW w:w="1636" w:type="dxa"/>
            <w:vAlign w:val="top"/>
          </w:tcPr>
          <w:p>
            <w:pPr>
              <w:pStyle w:val="6"/>
              <w:spacing w:before="80"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1088</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78"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c>
          <w:tcPr>
            <w:tcW w:w="1435" w:type="dxa"/>
            <w:vAlign w:val="top"/>
          </w:tcPr>
          <w:p>
            <w:pPr>
              <w:pStyle w:val="6"/>
              <w:spacing w:before="80" w:line="219" w:lineRule="auto"/>
              <w:ind w:left="447"/>
              <w:rPr>
                <w:sz w:val="18"/>
                <w:szCs w:val="18"/>
              </w:rPr>
            </w:pPr>
            <w:r>
              <w:rPr>
                <w:spacing w:val="-2"/>
                <w:sz w:val="18"/>
                <w:szCs w:val="18"/>
              </w:rPr>
              <w:t>草庙村</w:t>
            </w:r>
          </w:p>
        </w:tc>
        <w:tc>
          <w:tcPr>
            <w:tcW w:w="1024" w:type="dxa"/>
            <w:vAlign w:val="top"/>
          </w:tcPr>
          <w:p>
            <w:pPr>
              <w:pStyle w:val="6"/>
              <w:spacing w:before="80" w:line="222" w:lineRule="auto"/>
              <w:ind w:left="338"/>
              <w:rPr>
                <w:sz w:val="18"/>
                <w:szCs w:val="18"/>
              </w:rPr>
            </w:pPr>
            <w:r>
              <w:rPr>
                <w:spacing w:val="-3"/>
                <w:sz w:val="18"/>
                <w:szCs w:val="18"/>
              </w:rPr>
              <w:t>西南</w:t>
            </w:r>
          </w:p>
        </w:tc>
        <w:tc>
          <w:tcPr>
            <w:tcW w:w="1274" w:type="dxa"/>
            <w:vAlign w:val="top"/>
          </w:tcPr>
          <w:p>
            <w:pPr>
              <w:spacing w:before="11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3744</w:t>
            </w:r>
          </w:p>
        </w:tc>
        <w:tc>
          <w:tcPr>
            <w:tcW w:w="1823" w:type="dxa"/>
            <w:vAlign w:val="top"/>
          </w:tcPr>
          <w:p>
            <w:pPr>
              <w:pStyle w:val="6"/>
              <w:spacing w:before="80" w:line="219" w:lineRule="auto"/>
              <w:ind w:left="376"/>
              <w:rPr>
                <w:sz w:val="18"/>
                <w:szCs w:val="18"/>
              </w:rPr>
            </w:pPr>
            <w:r>
              <w:rPr>
                <w:spacing w:val="-1"/>
                <w:sz w:val="18"/>
                <w:szCs w:val="18"/>
              </w:rPr>
              <w:t>农村分散居民</w:t>
            </w:r>
          </w:p>
        </w:tc>
        <w:tc>
          <w:tcPr>
            <w:tcW w:w="1636" w:type="dxa"/>
            <w:vAlign w:val="top"/>
          </w:tcPr>
          <w:p>
            <w:pPr>
              <w:pStyle w:val="6"/>
              <w:spacing w:before="81" w:line="222" w:lineRule="auto"/>
              <w:ind w:left="463"/>
              <w:rPr>
                <w:sz w:val="18"/>
                <w:szCs w:val="18"/>
              </w:rPr>
            </w:pPr>
            <w:r>
              <w:rPr>
                <w:spacing w:val="-4"/>
                <w:sz w:val="18"/>
                <w:szCs w:val="18"/>
              </w:rPr>
              <w:t>约</w:t>
            </w:r>
            <w:r>
              <w:rPr>
                <w:spacing w:val="-37"/>
                <w:sz w:val="18"/>
                <w:szCs w:val="18"/>
              </w:rPr>
              <w:t xml:space="preserve"> </w:t>
            </w:r>
            <w:r>
              <w:rPr>
                <w:rFonts w:ascii="Times New Roman" w:hAnsi="Times New Roman" w:eastAsia="Times New Roman" w:cs="Times New Roman"/>
                <w:spacing w:val="-4"/>
                <w:sz w:val="18"/>
                <w:szCs w:val="18"/>
              </w:rPr>
              <w:t>963</w:t>
            </w:r>
            <w:r>
              <w:rPr>
                <w:rFonts w:ascii="Times New Roman" w:hAnsi="Times New Roman" w:eastAsia="Times New Roman" w:cs="Times New Roman"/>
                <w:spacing w:val="11"/>
                <w:sz w:val="18"/>
                <w:szCs w:val="18"/>
              </w:rPr>
              <w:t xml:space="preserve">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1" w:line="176"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1435" w:type="dxa"/>
            <w:vAlign w:val="top"/>
          </w:tcPr>
          <w:p>
            <w:pPr>
              <w:pStyle w:val="6"/>
              <w:spacing w:before="81" w:line="219" w:lineRule="auto"/>
              <w:ind w:left="446"/>
              <w:rPr>
                <w:sz w:val="18"/>
                <w:szCs w:val="18"/>
              </w:rPr>
            </w:pPr>
            <w:r>
              <w:rPr>
                <w:spacing w:val="-2"/>
                <w:sz w:val="18"/>
                <w:szCs w:val="18"/>
              </w:rPr>
              <w:t>青龙村</w:t>
            </w:r>
          </w:p>
        </w:tc>
        <w:tc>
          <w:tcPr>
            <w:tcW w:w="1024" w:type="dxa"/>
            <w:vAlign w:val="top"/>
          </w:tcPr>
          <w:p>
            <w:pPr>
              <w:pStyle w:val="6"/>
              <w:spacing w:before="81" w:line="223" w:lineRule="auto"/>
              <w:ind w:left="428"/>
              <w:rPr>
                <w:sz w:val="18"/>
                <w:szCs w:val="18"/>
              </w:rPr>
            </w:pPr>
            <w:r>
              <w:rPr>
                <w:sz w:val="18"/>
                <w:szCs w:val="18"/>
              </w:rPr>
              <w:t>北</w:t>
            </w:r>
          </w:p>
        </w:tc>
        <w:tc>
          <w:tcPr>
            <w:tcW w:w="1274" w:type="dxa"/>
            <w:vAlign w:val="top"/>
          </w:tcPr>
          <w:p>
            <w:pPr>
              <w:spacing w:before="114"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4972</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1" w:line="222" w:lineRule="auto"/>
              <w:ind w:left="463"/>
              <w:rPr>
                <w:sz w:val="18"/>
                <w:szCs w:val="18"/>
              </w:rPr>
            </w:pPr>
            <w:r>
              <w:rPr>
                <w:spacing w:val="-4"/>
                <w:sz w:val="18"/>
                <w:szCs w:val="18"/>
              </w:rPr>
              <w:t>约</w:t>
            </w:r>
            <w:r>
              <w:rPr>
                <w:spacing w:val="-37"/>
                <w:sz w:val="18"/>
                <w:szCs w:val="18"/>
              </w:rPr>
              <w:t xml:space="preserve"> </w:t>
            </w:r>
            <w:r>
              <w:rPr>
                <w:rFonts w:ascii="Times New Roman" w:hAnsi="Times New Roman" w:eastAsia="Times New Roman" w:cs="Times New Roman"/>
                <w:spacing w:val="-4"/>
                <w:sz w:val="18"/>
                <w:szCs w:val="18"/>
              </w:rPr>
              <w:t>982</w:t>
            </w:r>
            <w:r>
              <w:rPr>
                <w:rFonts w:ascii="Times New Roman" w:hAnsi="Times New Roman" w:eastAsia="Times New Roman" w:cs="Times New Roman"/>
                <w:spacing w:val="11"/>
                <w:sz w:val="18"/>
                <w:szCs w:val="18"/>
              </w:rPr>
              <w:t xml:space="preserve">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4" w:line="17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tc>
        <w:tc>
          <w:tcPr>
            <w:tcW w:w="1435" w:type="dxa"/>
            <w:vAlign w:val="top"/>
          </w:tcPr>
          <w:p>
            <w:pPr>
              <w:pStyle w:val="6"/>
              <w:spacing w:before="83" w:line="220" w:lineRule="auto"/>
              <w:ind w:left="363"/>
              <w:rPr>
                <w:sz w:val="18"/>
                <w:szCs w:val="18"/>
              </w:rPr>
            </w:pPr>
            <w:r>
              <w:rPr>
                <w:spacing w:val="-3"/>
                <w:sz w:val="18"/>
                <w:szCs w:val="18"/>
              </w:rPr>
              <w:t>马垭社区</w:t>
            </w:r>
          </w:p>
        </w:tc>
        <w:tc>
          <w:tcPr>
            <w:tcW w:w="1024" w:type="dxa"/>
            <w:vAlign w:val="top"/>
          </w:tcPr>
          <w:p>
            <w:pPr>
              <w:pStyle w:val="6"/>
              <w:spacing w:before="83" w:line="223" w:lineRule="auto"/>
              <w:ind w:left="428"/>
              <w:rPr>
                <w:sz w:val="18"/>
                <w:szCs w:val="18"/>
              </w:rPr>
            </w:pPr>
            <w:r>
              <w:rPr>
                <w:sz w:val="18"/>
                <w:szCs w:val="18"/>
              </w:rPr>
              <w:t>北</w:t>
            </w:r>
          </w:p>
        </w:tc>
        <w:tc>
          <w:tcPr>
            <w:tcW w:w="1274" w:type="dxa"/>
            <w:vAlign w:val="top"/>
          </w:tcPr>
          <w:p>
            <w:pPr>
              <w:spacing w:before="116"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2780</w:t>
            </w:r>
          </w:p>
        </w:tc>
        <w:tc>
          <w:tcPr>
            <w:tcW w:w="1823" w:type="dxa"/>
            <w:vAlign w:val="top"/>
          </w:tcPr>
          <w:p>
            <w:pPr>
              <w:pStyle w:val="6"/>
              <w:spacing w:before="83" w:line="219" w:lineRule="auto"/>
              <w:ind w:left="376"/>
              <w:rPr>
                <w:sz w:val="18"/>
                <w:szCs w:val="18"/>
              </w:rPr>
            </w:pPr>
            <w:r>
              <w:rPr>
                <w:spacing w:val="-1"/>
                <w:sz w:val="18"/>
                <w:szCs w:val="18"/>
              </w:rPr>
              <w:t>农村分散居民</w:t>
            </w:r>
          </w:p>
        </w:tc>
        <w:tc>
          <w:tcPr>
            <w:tcW w:w="1636" w:type="dxa"/>
            <w:vAlign w:val="top"/>
          </w:tcPr>
          <w:p>
            <w:pPr>
              <w:pStyle w:val="6"/>
              <w:spacing w:before="84"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1256</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4" w:line="17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c>
        <w:tc>
          <w:tcPr>
            <w:tcW w:w="1435" w:type="dxa"/>
            <w:vAlign w:val="top"/>
          </w:tcPr>
          <w:p>
            <w:pPr>
              <w:pStyle w:val="6"/>
              <w:spacing w:before="83" w:line="220" w:lineRule="auto"/>
              <w:ind w:left="357"/>
              <w:rPr>
                <w:sz w:val="18"/>
                <w:szCs w:val="18"/>
              </w:rPr>
            </w:pPr>
            <w:r>
              <w:rPr>
                <w:spacing w:val="-2"/>
                <w:sz w:val="18"/>
                <w:szCs w:val="18"/>
              </w:rPr>
              <w:t>千佛社区</w:t>
            </w:r>
          </w:p>
        </w:tc>
        <w:tc>
          <w:tcPr>
            <w:tcW w:w="1024" w:type="dxa"/>
            <w:vAlign w:val="top"/>
          </w:tcPr>
          <w:p>
            <w:pPr>
              <w:pStyle w:val="6"/>
              <w:spacing w:before="83" w:line="220" w:lineRule="auto"/>
              <w:ind w:left="340"/>
              <w:rPr>
                <w:sz w:val="18"/>
                <w:szCs w:val="18"/>
              </w:rPr>
            </w:pPr>
            <w:r>
              <w:rPr>
                <w:spacing w:val="-4"/>
                <w:sz w:val="18"/>
                <w:szCs w:val="18"/>
              </w:rPr>
              <w:t>东北</w:t>
            </w:r>
          </w:p>
        </w:tc>
        <w:tc>
          <w:tcPr>
            <w:tcW w:w="1274" w:type="dxa"/>
            <w:vAlign w:val="top"/>
          </w:tcPr>
          <w:p>
            <w:pPr>
              <w:spacing w:before="117"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3042</w:t>
            </w:r>
          </w:p>
        </w:tc>
        <w:tc>
          <w:tcPr>
            <w:tcW w:w="1823" w:type="dxa"/>
            <w:vAlign w:val="top"/>
          </w:tcPr>
          <w:p>
            <w:pPr>
              <w:pStyle w:val="6"/>
              <w:spacing w:before="83" w:line="219" w:lineRule="auto"/>
              <w:ind w:left="376"/>
              <w:rPr>
                <w:sz w:val="18"/>
                <w:szCs w:val="18"/>
              </w:rPr>
            </w:pPr>
            <w:r>
              <w:rPr>
                <w:spacing w:val="-1"/>
                <w:sz w:val="18"/>
                <w:szCs w:val="18"/>
              </w:rPr>
              <w:t>农村分散居民</w:t>
            </w:r>
          </w:p>
        </w:tc>
        <w:tc>
          <w:tcPr>
            <w:tcW w:w="1636" w:type="dxa"/>
            <w:vAlign w:val="top"/>
          </w:tcPr>
          <w:p>
            <w:pPr>
              <w:pStyle w:val="6"/>
              <w:spacing w:before="84" w:line="222" w:lineRule="auto"/>
              <w:ind w:left="463"/>
              <w:rPr>
                <w:sz w:val="18"/>
                <w:szCs w:val="18"/>
              </w:rPr>
            </w:pPr>
            <w:r>
              <w:rPr>
                <w:spacing w:val="-5"/>
                <w:sz w:val="18"/>
                <w:szCs w:val="18"/>
              </w:rPr>
              <w:t>约</w:t>
            </w:r>
            <w:r>
              <w:rPr>
                <w:spacing w:val="-32"/>
                <w:sz w:val="18"/>
                <w:szCs w:val="18"/>
              </w:rPr>
              <w:t xml:space="preserve"> </w:t>
            </w:r>
            <w:r>
              <w:rPr>
                <w:rFonts w:ascii="Times New Roman" w:hAnsi="Times New Roman" w:eastAsia="Times New Roman" w:cs="Times New Roman"/>
                <w:spacing w:val="-5"/>
                <w:sz w:val="18"/>
                <w:szCs w:val="18"/>
              </w:rPr>
              <w:t>864</w:t>
            </w:r>
            <w:r>
              <w:rPr>
                <w:rFonts w:ascii="Times New Roman" w:hAnsi="Times New Roman" w:eastAsia="Times New Roman" w:cs="Times New Roman"/>
                <w:spacing w:val="11"/>
                <w:sz w:val="18"/>
                <w:szCs w:val="18"/>
              </w:rPr>
              <w:t xml:space="preserve"> </w:t>
            </w:r>
            <w:r>
              <w:rPr>
                <w:spacing w:val="-5"/>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5" w:line="17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tc>
        <w:tc>
          <w:tcPr>
            <w:tcW w:w="1435" w:type="dxa"/>
            <w:vAlign w:val="top"/>
          </w:tcPr>
          <w:p>
            <w:pPr>
              <w:pStyle w:val="6"/>
              <w:spacing w:before="81" w:line="219" w:lineRule="auto"/>
              <w:ind w:left="447"/>
              <w:rPr>
                <w:sz w:val="18"/>
                <w:szCs w:val="18"/>
              </w:rPr>
            </w:pPr>
            <w:r>
              <w:rPr>
                <w:spacing w:val="-2"/>
                <w:sz w:val="18"/>
                <w:szCs w:val="18"/>
              </w:rPr>
              <w:t>沿河村</w:t>
            </w:r>
          </w:p>
        </w:tc>
        <w:tc>
          <w:tcPr>
            <w:tcW w:w="1024" w:type="dxa"/>
            <w:vAlign w:val="top"/>
          </w:tcPr>
          <w:p>
            <w:pPr>
              <w:pStyle w:val="6"/>
              <w:spacing w:before="81" w:line="222" w:lineRule="auto"/>
              <w:ind w:left="338"/>
              <w:rPr>
                <w:sz w:val="18"/>
                <w:szCs w:val="18"/>
              </w:rPr>
            </w:pPr>
            <w:r>
              <w:rPr>
                <w:spacing w:val="-3"/>
                <w:sz w:val="18"/>
                <w:szCs w:val="18"/>
              </w:rPr>
              <w:t>西南</w:t>
            </w:r>
          </w:p>
        </w:tc>
        <w:tc>
          <w:tcPr>
            <w:tcW w:w="1274" w:type="dxa"/>
            <w:vAlign w:val="top"/>
          </w:tcPr>
          <w:p>
            <w:pPr>
              <w:spacing w:before="117"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4388</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2" w:line="222" w:lineRule="auto"/>
              <w:ind w:left="463"/>
              <w:rPr>
                <w:sz w:val="18"/>
                <w:szCs w:val="18"/>
              </w:rPr>
            </w:pPr>
            <w:r>
              <w:rPr>
                <w:spacing w:val="-5"/>
                <w:sz w:val="18"/>
                <w:szCs w:val="18"/>
              </w:rPr>
              <w:t>约</w:t>
            </w:r>
            <w:r>
              <w:rPr>
                <w:spacing w:val="-32"/>
                <w:sz w:val="18"/>
                <w:szCs w:val="18"/>
              </w:rPr>
              <w:t xml:space="preserve"> </w:t>
            </w:r>
            <w:r>
              <w:rPr>
                <w:rFonts w:ascii="Times New Roman" w:hAnsi="Times New Roman" w:eastAsia="Times New Roman" w:cs="Times New Roman"/>
                <w:spacing w:val="-5"/>
                <w:sz w:val="18"/>
                <w:szCs w:val="18"/>
              </w:rPr>
              <w:t>893</w:t>
            </w:r>
            <w:r>
              <w:rPr>
                <w:rFonts w:ascii="Times New Roman" w:hAnsi="Times New Roman" w:eastAsia="Times New Roman" w:cs="Times New Roman"/>
                <w:spacing w:val="11"/>
                <w:sz w:val="18"/>
                <w:szCs w:val="18"/>
              </w:rPr>
              <w:t xml:space="preserve"> </w:t>
            </w:r>
            <w:r>
              <w:rPr>
                <w:spacing w:val="-5"/>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4" w:line="174"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tc>
        <w:tc>
          <w:tcPr>
            <w:tcW w:w="1435" w:type="dxa"/>
            <w:vAlign w:val="top"/>
          </w:tcPr>
          <w:p>
            <w:pPr>
              <w:pStyle w:val="6"/>
              <w:spacing w:before="81" w:line="219" w:lineRule="auto"/>
              <w:ind w:left="447"/>
              <w:rPr>
                <w:sz w:val="18"/>
                <w:szCs w:val="18"/>
              </w:rPr>
            </w:pPr>
            <w:r>
              <w:rPr>
                <w:spacing w:val="-2"/>
                <w:sz w:val="18"/>
                <w:szCs w:val="18"/>
              </w:rPr>
              <w:t>石楼村</w:t>
            </w:r>
          </w:p>
        </w:tc>
        <w:tc>
          <w:tcPr>
            <w:tcW w:w="1024" w:type="dxa"/>
            <w:vAlign w:val="top"/>
          </w:tcPr>
          <w:p>
            <w:pPr>
              <w:pStyle w:val="6"/>
              <w:spacing w:before="81" w:line="220" w:lineRule="auto"/>
              <w:ind w:left="340"/>
              <w:rPr>
                <w:sz w:val="18"/>
                <w:szCs w:val="18"/>
              </w:rPr>
            </w:pPr>
            <w:r>
              <w:rPr>
                <w:spacing w:val="-4"/>
                <w:sz w:val="18"/>
                <w:szCs w:val="18"/>
              </w:rPr>
              <w:t>东南</w:t>
            </w:r>
          </w:p>
        </w:tc>
        <w:tc>
          <w:tcPr>
            <w:tcW w:w="1274" w:type="dxa"/>
            <w:vAlign w:val="top"/>
          </w:tcPr>
          <w:p>
            <w:pPr>
              <w:spacing w:before="117"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3530</w:t>
            </w:r>
          </w:p>
        </w:tc>
        <w:tc>
          <w:tcPr>
            <w:tcW w:w="1823" w:type="dxa"/>
            <w:vAlign w:val="top"/>
          </w:tcPr>
          <w:p>
            <w:pPr>
              <w:pStyle w:val="6"/>
              <w:spacing w:before="81" w:line="219" w:lineRule="auto"/>
              <w:ind w:left="376"/>
              <w:rPr>
                <w:sz w:val="18"/>
                <w:szCs w:val="18"/>
              </w:rPr>
            </w:pPr>
            <w:r>
              <w:rPr>
                <w:spacing w:val="-1"/>
                <w:sz w:val="18"/>
                <w:szCs w:val="18"/>
              </w:rPr>
              <w:t>农村分散居民</w:t>
            </w:r>
          </w:p>
        </w:tc>
        <w:tc>
          <w:tcPr>
            <w:tcW w:w="1636" w:type="dxa"/>
            <w:vAlign w:val="top"/>
          </w:tcPr>
          <w:p>
            <w:pPr>
              <w:pStyle w:val="6"/>
              <w:spacing w:before="82" w:line="222" w:lineRule="auto"/>
              <w:ind w:left="463"/>
              <w:rPr>
                <w:sz w:val="18"/>
                <w:szCs w:val="18"/>
              </w:rPr>
            </w:pPr>
            <w:r>
              <w:rPr>
                <w:spacing w:val="-4"/>
                <w:sz w:val="18"/>
                <w:szCs w:val="18"/>
              </w:rPr>
              <w:t>约</w:t>
            </w:r>
            <w:r>
              <w:rPr>
                <w:spacing w:val="-37"/>
                <w:sz w:val="18"/>
                <w:szCs w:val="18"/>
              </w:rPr>
              <w:t xml:space="preserve"> </w:t>
            </w:r>
            <w:r>
              <w:rPr>
                <w:rFonts w:ascii="Times New Roman" w:hAnsi="Times New Roman" w:eastAsia="Times New Roman" w:cs="Times New Roman"/>
                <w:spacing w:val="-4"/>
                <w:sz w:val="18"/>
                <w:szCs w:val="18"/>
              </w:rPr>
              <w:t>926</w:t>
            </w:r>
            <w:r>
              <w:rPr>
                <w:rFonts w:ascii="Times New Roman" w:hAnsi="Times New Roman" w:eastAsia="Times New Roman" w:cs="Times New Roman"/>
                <w:spacing w:val="11"/>
                <w:sz w:val="18"/>
                <w:szCs w:val="18"/>
              </w:rPr>
              <w:t xml:space="preserve"> </w:t>
            </w:r>
            <w:r>
              <w:rPr>
                <w:spacing w:val="-4"/>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2" w:line="177"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1435" w:type="dxa"/>
            <w:vAlign w:val="top"/>
          </w:tcPr>
          <w:p>
            <w:pPr>
              <w:pStyle w:val="6"/>
              <w:spacing w:before="82" w:line="219" w:lineRule="auto"/>
              <w:ind w:left="449"/>
              <w:rPr>
                <w:sz w:val="18"/>
                <w:szCs w:val="18"/>
              </w:rPr>
            </w:pPr>
            <w:r>
              <w:rPr>
                <w:spacing w:val="-3"/>
                <w:sz w:val="18"/>
                <w:szCs w:val="18"/>
              </w:rPr>
              <w:t>北江村</w:t>
            </w:r>
          </w:p>
        </w:tc>
        <w:tc>
          <w:tcPr>
            <w:tcW w:w="1024" w:type="dxa"/>
            <w:vAlign w:val="top"/>
          </w:tcPr>
          <w:p>
            <w:pPr>
              <w:pStyle w:val="6"/>
              <w:spacing w:before="81" w:line="220" w:lineRule="auto"/>
              <w:ind w:left="432"/>
              <w:rPr>
                <w:sz w:val="18"/>
                <w:szCs w:val="18"/>
              </w:rPr>
            </w:pPr>
            <w:r>
              <w:rPr>
                <w:sz w:val="18"/>
                <w:szCs w:val="18"/>
              </w:rPr>
              <w:t>东</w:t>
            </w:r>
          </w:p>
        </w:tc>
        <w:tc>
          <w:tcPr>
            <w:tcW w:w="1274" w:type="dxa"/>
            <w:vAlign w:val="top"/>
          </w:tcPr>
          <w:p>
            <w:pPr>
              <w:spacing w:before="117"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2931</w:t>
            </w:r>
          </w:p>
        </w:tc>
        <w:tc>
          <w:tcPr>
            <w:tcW w:w="1823" w:type="dxa"/>
            <w:vAlign w:val="top"/>
          </w:tcPr>
          <w:p>
            <w:pPr>
              <w:pStyle w:val="6"/>
              <w:spacing w:before="29" w:line="219" w:lineRule="auto"/>
              <w:ind w:left="376"/>
              <w:rPr>
                <w:sz w:val="18"/>
                <w:szCs w:val="18"/>
              </w:rPr>
            </w:pPr>
            <w:r>
              <w:rPr>
                <w:spacing w:val="-1"/>
                <w:sz w:val="18"/>
                <w:szCs w:val="18"/>
              </w:rPr>
              <w:t>农村分散居民</w:t>
            </w:r>
          </w:p>
        </w:tc>
        <w:tc>
          <w:tcPr>
            <w:tcW w:w="1636" w:type="dxa"/>
            <w:vAlign w:val="top"/>
          </w:tcPr>
          <w:p>
            <w:pPr>
              <w:pStyle w:val="6"/>
              <w:spacing w:before="82"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1210</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2" w:line="174"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tc>
        <w:tc>
          <w:tcPr>
            <w:tcW w:w="1435" w:type="dxa"/>
            <w:vAlign w:val="top"/>
          </w:tcPr>
          <w:p>
            <w:pPr>
              <w:pStyle w:val="6"/>
              <w:spacing w:before="82" w:line="219" w:lineRule="auto"/>
              <w:ind w:left="446"/>
              <w:rPr>
                <w:sz w:val="18"/>
                <w:szCs w:val="18"/>
              </w:rPr>
            </w:pPr>
            <w:r>
              <w:rPr>
                <w:spacing w:val="-2"/>
                <w:sz w:val="18"/>
                <w:szCs w:val="18"/>
              </w:rPr>
              <w:t>青龙村</w:t>
            </w:r>
          </w:p>
        </w:tc>
        <w:tc>
          <w:tcPr>
            <w:tcW w:w="1024" w:type="dxa"/>
            <w:vAlign w:val="top"/>
          </w:tcPr>
          <w:p>
            <w:pPr>
              <w:pStyle w:val="6"/>
              <w:spacing w:before="82" w:line="222" w:lineRule="auto"/>
              <w:ind w:left="427"/>
              <w:rPr>
                <w:sz w:val="18"/>
                <w:szCs w:val="18"/>
              </w:rPr>
            </w:pPr>
            <w:r>
              <w:rPr>
                <w:sz w:val="18"/>
                <w:szCs w:val="18"/>
              </w:rPr>
              <w:t>南</w:t>
            </w:r>
          </w:p>
        </w:tc>
        <w:tc>
          <w:tcPr>
            <w:tcW w:w="1274" w:type="dxa"/>
            <w:vAlign w:val="top"/>
          </w:tcPr>
          <w:p>
            <w:pPr>
              <w:spacing w:before="115"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3163</w:t>
            </w:r>
          </w:p>
        </w:tc>
        <w:tc>
          <w:tcPr>
            <w:tcW w:w="1823" w:type="dxa"/>
            <w:vAlign w:val="top"/>
          </w:tcPr>
          <w:p>
            <w:pPr>
              <w:pStyle w:val="6"/>
              <w:spacing w:before="29" w:line="219" w:lineRule="auto"/>
              <w:ind w:left="376"/>
              <w:rPr>
                <w:sz w:val="18"/>
                <w:szCs w:val="18"/>
              </w:rPr>
            </w:pPr>
            <w:r>
              <w:rPr>
                <w:spacing w:val="-1"/>
                <w:sz w:val="18"/>
                <w:szCs w:val="18"/>
              </w:rPr>
              <w:t>农村分散居民</w:t>
            </w:r>
          </w:p>
        </w:tc>
        <w:tc>
          <w:tcPr>
            <w:tcW w:w="1636" w:type="dxa"/>
            <w:vAlign w:val="top"/>
          </w:tcPr>
          <w:p>
            <w:pPr>
              <w:pStyle w:val="6"/>
              <w:spacing w:before="83"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1187</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4" w:line="174"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c>
          <w:tcPr>
            <w:tcW w:w="1435" w:type="dxa"/>
            <w:vAlign w:val="top"/>
          </w:tcPr>
          <w:p>
            <w:pPr>
              <w:pStyle w:val="6"/>
              <w:spacing w:before="84" w:line="219" w:lineRule="auto"/>
              <w:ind w:left="449"/>
              <w:rPr>
                <w:sz w:val="18"/>
                <w:szCs w:val="18"/>
              </w:rPr>
            </w:pPr>
            <w:r>
              <w:rPr>
                <w:spacing w:val="-3"/>
                <w:sz w:val="18"/>
                <w:szCs w:val="18"/>
              </w:rPr>
              <w:t>五滩村</w:t>
            </w:r>
          </w:p>
        </w:tc>
        <w:tc>
          <w:tcPr>
            <w:tcW w:w="1024" w:type="dxa"/>
            <w:vAlign w:val="top"/>
          </w:tcPr>
          <w:p>
            <w:pPr>
              <w:pStyle w:val="6"/>
              <w:spacing w:before="84" w:line="222" w:lineRule="auto"/>
              <w:ind w:left="338"/>
              <w:rPr>
                <w:sz w:val="18"/>
                <w:szCs w:val="18"/>
              </w:rPr>
            </w:pPr>
            <w:r>
              <w:rPr>
                <w:spacing w:val="-3"/>
                <w:sz w:val="18"/>
                <w:szCs w:val="18"/>
              </w:rPr>
              <w:t>西南</w:t>
            </w:r>
          </w:p>
        </w:tc>
        <w:tc>
          <w:tcPr>
            <w:tcW w:w="1274" w:type="dxa"/>
            <w:vAlign w:val="top"/>
          </w:tcPr>
          <w:p>
            <w:pPr>
              <w:spacing w:before="118"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4940</w:t>
            </w:r>
          </w:p>
        </w:tc>
        <w:tc>
          <w:tcPr>
            <w:tcW w:w="1823" w:type="dxa"/>
            <w:vAlign w:val="top"/>
          </w:tcPr>
          <w:p>
            <w:pPr>
              <w:pStyle w:val="6"/>
              <w:spacing w:before="32" w:line="219" w:lineRule="auto"/>
              <w:ind w:left="376"/>
              <w:rPr>
                <w:sz w:val="18"/>
                <w:szCs w:val="18"/>
              </w:rPr>
            </w:pPr>
            <w:r>
              <w:rPr>
                <w:spacing w:val="-1"/>
                <w:sz w:val="18"/>
                <w:szCs w:val="18"/>
              </w:rPr>
              <w:t>农村分散居民</w:t>
            </w:r>
          </w:p>
        </w:tc>
        <w:tc>
          <w:tcPr>
            <w:tcW w:w="1636" w:type="dxa"/>
            <w:vAlign w:val="top"/>
          </w:tcPr>
          <w:p>
            <w:pPr>
              <w:pStyle w:val="6"/>
              <w:spacing w:before="85" w:line="222" w:lineRule="auto"/>
              <w:ind w:left="418"/>
              <w:rPr>
                <w:sz w:val="18"/>
                <w:szCs w:val="18"/>
              </w:rPr>
            </w:pPr>
            <w:r>
              <w:rPr>
                <w:spacing w:val="-6"/>
                <w:sz w:val="18"/>
                <w:szCs w:val="18"/>
              </w:rPr>
              <w:t>约</w:t>
            </w:r>
            <w:r>
              <w:rPr>
                <w:spacing w:val="-20"/>
                <w:sz w:val="18"/>
                <w:szCs w:val="18"/>
              </w:rPr>
              <w:t xml:space="preserve"> </w:t>
            </w:r>
            <w:r>
              <w:rPr>
                <w:rFonts w:ascii="Times New Roman" w:hAnsi="Times New Roman" w:eastAsia="Times New Roman" w:cs="Times New Roman"/>
                <w:spacing w:val="-6"/>
                <w:sz w:val="18"/>
                <w:szCs w:val="18"/>
              </w:rPr>
              <w:t>1039</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5" w:line="173"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1435" w:type="dxa"/>
            <w:vAlign w:val="top"/>
          </w:tcPr>
          <w:p>
            <w:pPr>
              <w:pStyle w:val="6"/>
              <w:spacing w:before="85" w:line="219" w:lineRule="auto"/>
              <w:ind w:left="450"/>
              <w:rPr>
                <w:sz w:val="18"/>
                <w:szCs w:val="18"/>
              </w:rPr>
            </w:pPr>
            <w:r>
              <w:rPr>
                <w:spacing w:val="-3"/>
                <w:sz w:val="18"/>
                <w:szCs w:val="18"/>
              </w:rPr>
              <w:t>苏坪村</w:t>
            </w:r>
          </w:p>
        </w:tc>
        <w:tc>
          <w:tcPr>
            <w:tcW w:w="1024" w:type="dxa"/>
            <w:vAlign w:val="top"/>
          </w:tcPr>
          <w:p>
            <w:pPr>
              <w:pStyle w:val="6"/>
              <w:spacing w:before="85" w:line="220" w:lineRule="auto"/>
              <w:ind w:left="340"/>
              <w:rPr>
                <w:sz w:val="18"/>
                <w:szCs w:val="18"/>
              </w:rPr>
            </w:pPr>
            <w:r>
              <w:rPr>
                <w:spacing w:val="-4"/>
                <w:sz w:val="18"/>
                <w:szCs w:val="18"/>
              </w:rPr>
              <w:t>东北</w:t>
            </w:r>
          </w:p>
        </w:tc>
        <w:tc>
          <w:tcPr>
            <w:tcW w:w="1274" w:type="dxa"/>
            <w:vAlign w:val="top"/>
          </w:tcPr>
          <w:p>
            <w:pPr>
              <w:spacing w:before="118"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4546</w:t>
            </w:r>
          </w:p>
        </w:tc>
        <w:tc>
          <w:tcPr>
            <w:tcW w:w="1823" w:type="dxa"/>
            <w:vAlign w:val="top"/>
          </w:tcPr>
          <w:p>
            <w:pPr>
              <w:pStyle w:val="6"/>
              <w:spacing w:before="30" w:line="219" w:lineRule="auto"/>
              <w:ind w:left="376"/>
              <w:rPr>
                <w:sz w:val="18"/>
                <w:szCs w:val="18"/>
              </w:rPr>
            </w:pPr>
            <w:r>
              <w:rPr>
                <w:spacing w:val="-1"/>
                <w:sz w:val="18"/>
                <w:szCs w:val="18"/>
              </w:rPr>
              <w:t>农村分散居民</w:t>
            </w:r>
          </w:p>
        </w:tc>
        <w:tc>
          <w:tcPr>
            <w:tcW w:w="1636" w:type="dxa"/>
            <w:vAlign w:val="top"/>
          </w:tcPr>
          <w:p>
            <w:pPr>
              <w:pStyle w:val="6"/>
              <w:spacing w:before="85" w:line="222" w:lineRule="auto"/>
              <w:ind w:left="463"/>
              <w:rPr>
                <w:sz w:val="18"/>
                <w:szCs w:val="18"/>
              </w:rPr>
            </w:pPr>
            <w:r>
              <w:rPr>
                <w:spacing w:val="-5"/>
                <w:sz w:val="18"/>
                <w:szCs w:val="18"/>
              </w:rPr>
              <w:t>约</w:t>
            </w:r>
            <w:r>
              <w:rPr>
                <w:spacing w:val="-32"/>
                <w:sz w:val="18"/>
                <w:szCs w:val="18"/>
              </w:rPr>
              <w:t xml:space="preserve"> </w:t>
            </w:r>
            <w:r>
              <w:rPr>
                <w:rFonts w:ascii="Times New Roman" w:hAnsi="Times New Roman" w:eastAsia="Times New Roman" w:cs="Times New Roman"/>
                <w:spacing w:val="-5"/>
                <w:sz w:val="18"/>
                <w:szCs w:val="18"/>
              </w:rPr>
              <w:t>893</w:t>
            </w:r>
            <w:r>
              <w:rPr>
                <w:rFonts w:ascii="Times New Roman" w:hAnsi="Times New Roman" w:eastAsia="Times New Roman" w:cs="Times New Roman"/>
                <w:spacing w:val="11"/>
                <w:sz w:val="18"/>
                <w:szCs w:val="18"/>
              </w:rPr>
              <w:t xml:space="preserve"> </w:t>
            </w:r>
            <w:r>
              <w:rPr>
                <w:spacing w:val="-5"/>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line="259" w:lineRule="auto"/>
              <w:rPr>
                <w:rFonts w:ascii="Arial"/>
                <w:sz w:val="21"/>
              </w:rPr>
            </w:pPr>
          </w:p>
          <w:p>
            <w:pPr>
              <w:spacing w:before="52" w:line="174"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1435" w:type="dxa"/>
            <w:vAlign w:val="top"/>
          </w:tcPr>
          <w:p>
            <w:pPr>
              <w:pStyle w:val="6"/>
              <w:spacing w:before="30" w:line="222" w:lineRule="auto"/>
              <w:ind w:left="630" w:right="179" w:hanging="453"/>
              <w:rPr>
                <w:sz w:val="18"/>
                <w:szCs w:val="18"/>
              </w:rPr>
            </w:pPr>
            <w:r>
              <w:rPr>
                <w:spacing w:val="-2"/>
                <w:sz w:val="18"/>
                <w:szCs w:val="18"/>
              </w:rPr>
              <w:t>平昌县元石小</w:t>
            </w:r>
            <w:r>
              <w:rPr>
                <w:spacing w:val="4"/>
                <w:sz w:val="18"/>
                <w:szCs w:val="18"/>
              </w:rPr>
              <w:t xml:space="preserve"> </w:t>
            </w:r>
            <w:r>
              <w:rPr>
                <w:sz w:val="18"/>
                <w:szCs w:val="18"/>
              </w:rPr>
              <w:t>学</w:t>
            </w:r>
          </w:p>
        </w:tc>
        <w:tc>
          <w:tcPr>
            <w:tcW w:w="1024" w:type="dxa"/>
            <w:vAlign w:val="top"/>
          </w:tcPr>
          <w:p>
            <w:pPr>
              <w:pStyle w:val="6"/>
              <w:spacing w:before="148" w:line="223" w:lineRule="auto"/>
              <w:ind w:left="338"/>
              <w:rPr>
                <w:sz w:val="18"/>
                <w:szCs w:val="18"/>
              </w:rPr>
            </w:pPr>
            <w:r>
              <w:rPr>
                <w:spacing w:val="-3"/>
                <w:sz w:val="18"/>
                <w:szCs w:val="18"/>
              </w:rPr>
              <w:t>西北</w:t>
            </w:r>
          </w:p>
        </w:tc>
        <w:tc>
          <w:tcPr>
            <w:tcW w:w="1274" w:type="dxa"/>
            <w:vAlign w:val="top"/>
          </w:tcPr>
          <w:p>
            <w:pPr>
              <w:spacing w:before="181"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4719</w:t>
            </w:r>
          </w:p>
        </w:tc>
        <w:tc>
          <w:tcPr>
            <w:tcW w:w="1823" w:type="dxa"/>
            <w:vAlign w:val="top"/>
          </w:tcPr>
          <w:p>
            <w:pPr>
              <w:pStyle w:val="6"/>
              <w:spacing w:before="148" w:line="220" w:lineRule="auto"/>
              <w:ind w:left="740"/>
              <w:rPr>
                <w:sz w:val="18"/>
                <w:szCs w:val="18"/>
              </w:rPr>
            </w:pPr>
            <w:r>
              <w:rPr>
                <w:spacing w:val="-3"/>
                <w:sz w:val="18"/>
                <w:szCs w:val="18"/>
              </w:rPr>
              <w:t>学校</w:t>
            </w:r>
          </w:p>
        </w:tc>
        <w:tc>
          <w:tcPr>
            <w:tcW w:w="1636" w:type="dxa"/>
            <w:vAlign w:val="top"/>
          </w:tcPr>
          <w:p>
            <w:pPr>
              <w:pStyle w:val="6"/>
              <w:spacing w:before="148" w:line="222" w:lineRule="auto"/>
              <w:ind w:left="463"/>
              <w:rPr>
                <w:sz w:val="18"/>
                <w:szCs w:val="18"/>
              </w:rPr>
            </w:pPr>
            <w:r>
              <w:rPr>
                <w:spacing w:val="-5"/>
                <w:sz w:val="18"/>
                <w:szCs w:val="18"/>
              </w:rPr>
              <w:t>约</w:t>
            </w:r>
            <w:r>
              <w:rPr>
                <w:spacing w:val="-32"/>
                <w:sz w:val="18"/>
                <w:szCs w:val="18"/>
              </w:rPr>
              <w:t xml:space="preserve"> </w:t>
            </w:r>
            <w:r>
              <w:rPr>
                <w:rFonts w:ascii="Times New Roman" w:hAnsi="Times New Roman" w:eastAsia="Times New Roman" w:cs="Times New Roman"/>
                <w:spacing w:val="-5"/>
                <w:sz w:val="18"/>
                <w:szCs w:val="18"/>
              </w:rPr>
              <w:t>800</w:t>
            </w:r>
            <w:r>
              <w:rPr>
                <w:rFonts w:ascii="Times New Roman" w:hAnsi="Times New Roman" w:eastAsia="Times New Roman" w:cs="Times New Roman"/>
                <w:spacing w:val="11"/>
                <w:sz w:val="18"/>
                <w:szCs w:val="18"/>
              </w:rPr>
              <w:t xml:space="preserve"> </w:t>
            </w:r>
            <w:r>
              <w:rPr>
                <w:spacing w:val="-5"/>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7" w:type="dxa"/>
            <w:vMerge w:val="continue"/>
            <w:tcBorders>
              <w:top w:val="nil"/>
              <w:bottom w:val="nil"/>
            </w:tcBorders>
            <w:vAlign w:val="top"/>
          </w:tcPr>
          <w:p>
            <w:pPr>
              <w:rPr>
                <w:rFonts w:ascii="Arial"/>
                <w:sz w:val="21"/>
              </w:rPr>
            </w:pPr>
          </w:p>
        </w:tc>
        <w:tc>
          <w:tcPr>
            <w:tcW w:w="624" w:type="dxa"/>
            <w:vAlign w:val="top"/>
          </w:tcPr>
          <w:p>
            <w:pPr>
              <w:spacing w:line="257" w:lineRule="auto"/>
              <w:rPr>
                <w:rFonts w:ascii="Arial"/>
                <w:sz w:val="21"/>
              </w:rPr>
            </w:pPr>
          </w:p>
          <w:p>
            <w:pPr>
              <w:spacing w:before="52" w:line="173"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1435" w:type="dxa"/>
            <w:vAlign w:val="top"/>
          </w:tcPr>
          <w:p>
            <w:pPr>
              <w:pStyle w:val="6"/>
              <w:spacing w:before="30" w:line="220" w:lineRule="auto"/>
              <w:ind w:left="542" w:right="179" w:hanging="364"/>
              <w:rPr>
                <w:sz w:val="18"/>
                <w:szCs w:val="18"/>
              </w:rPr>
            </w:pPr>
            <w:r>
              <w:rPr>
                <w:spacing w:val="-2"/>
                <w:sz w:val="18"/>
                <w:szCs w:val="18"/>
              </w:rPr>
              <w:t>江陵镇草庙村</w:t>
            </w:r>
            <w:r>
              <w:rPr>
                <w:spacing w:val="3"/>
                <w:sz w:val="18"/>
                <w:szCs w:val="18"/>
              </w:rPr>
              <w:t xml:space="preserve"> </w:t>
            </w:r>
            <w:r>
              <w:rPr>
                <w:spacing w:val="-3"/>
                <w:sz w:val="18"/>
                <w:szCs w:val="18"/>
              </w:rPr>
              <w:t>小学</w:t>
            </w:r>
          </w:p>
        </w:tc>
        <w:tc>
          <w:tcPr>
            <w:tcW w:w="1024" w:type="dxa"/>
            <w:vAlign w:val="top"/>
          </w:tcPr>
          <w:p>
            <w:pPr>
              <w:pStyle w:val="6"/>
              <w:spacing w:before="147" w:line="220" w:lineRule="auto"/>
              <w:ind w:left="340"/>
              <w:rPr>
                <w:sz w:val="18"/>
                <w:szCs w:val="18"/>
              </w:rPr>
            </w:pPr>
            <w:r>
              <w:rPr>
                <w:spacing w:val="-4"/>
                <w:sz w:val="18"/>
                <w:szCs w:val="18"/>
              </w:rPr>
              <w:t>东南</w:t>
            </w:r>
          </w:p>
        </w:tc>
        <w:tc>
          <w:tcPr>
            <w:tcW w:w="1274" w:type="dxa"/>
            <w:vAlign w:val="top"/>
          </w:tcPr>
          <w:p>
            <w:pPr>
              <w:spacing w:before="180"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3264</w:t>
            </w:r>
          </w:p>
        </w:tc>
        <w:tc>
          <w:tcPr>
            <w:tcW w:w="1823" w:type="dxa"/>
            <w:vAlign w:val="top"/>
          </w:tcPr>
          <w:p>
            <w:pPr>
              <w:pStyle w:val="6"/>
              <w:spacing w:before="148" w:line="220" w:lineRule="auto"/>
              <w:ind w:left="740"/>
              <w:rPr>
                <w:sz w:val="18"/>
                <w:szCs w:val="18"/>
              </w:rPr>
            </w:pPr>
            <w:r>
              <w:rPr>
                <w:spacing w:val="-3"/>
                <w:sz w:val="18"/>
                <w:szCs w:val="18"/>
              </w:rPr>
              <w:t>学校</w:t>
            </w:r>
          </w:p>
        </w:tc>
        <w:tc>
          <w:tcPr>
            <w:tcW w:w="1636" w:type="dxa"/>
            <w:vAlign w:val="top"/>
          </w:tcPr>
          <w:p>
            <w:pPr>
              <w:pStyle w:val="6"/>
              <w:spacing w:before="148" w:line="222" w:lineRule="auto"/>
              <w:ind w:left="463"/>
              <w:rPr>
                <w:sz w:val="18"/>
                <w:szCs w:val="18"/>
              </w:rPr>
            </w:pPr>
            <w:r>
              <w:rPr>
                <w:spacing w:val="-7"/>
                <w:sz w:val="18"/>
                <w:szCs w:val="18"/>
              </w:rPr>
              <w:t>约</w:t>
            </w:r>
            <w:r>
              <w:rPr>
                <w:spacing w:val="-22"/>
                <w:sz w:val="18"/>
                <w:szCs w:val="18"/>
              </w:rPr>
              <w:t xml:space="preserve"> </w:t>
            </w:r>
            <w:r>
              <w:rPr>
                <w:rFonts w:ascii="Times New Roman" w:hAnsi="Times New Roman" w:eastAsia="Times New Roman" w:cs="Times New Roman"/>
                <w:spacing w:val="-7"/>
                <w:sz w:val="18"/>
                <w:szCs w:val="18"/>
              </w:rPr>
              <w:t>105</w:t>
            </w:r>
            <w:r>
              <w:rPr>
                <w:rFonts w:ascii="Times New Roman" w:hAnsi="Times New Roman" w:eastAsia="Times New Roman" w:cs="Times New Roman"/>
                <w:spacing w:val="11"/>
                <w:sz w:val="18"/>
                <w:szCs w:val="18"/>
              </w:rPr>
              <w:t xml:space="preserve"> </w:t>
            </w:r>
            <w:r>
              <w:rPr>
                <w:spacing w:val="-7"/>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line="259" w:lineRule="auto"/>
              <w:rPr>
                <w:rFonts w:ascii="Arial"/>
                <w:sz w:val="21"/>
              </w:rPr>
            </w:pPr>
          </w:p>
          <w:p>
            <w:pPr>
              <w:spacing w:before="52" w:line="174"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tc>
        <w:tc>
          <w:tcPr>
            <w:tcW w:w="1435" w:type="dxa"/>
            <w:vAlign w:val="top"/>
          </w:tcPr>
          <w:p>
            <w:pPr>
              <w:pStyle w:val="6"/>
              <w:spacing w:before="32" w:line="221" w:lineRule="auto"/>
              <w:ind w:left="265" w:right="179" w:hanging="88"/>
              <w:rPr>
                <w:sz w:val="18"/>
                <w:szCs w:val="18"/>
              </w:rPr>
            </w:pPr>
            <w:r>
              <w:rPr>
                <w:spacing w:val="-2"/>
                <w:sz w:val="18"/>
                <w:szCs w:val="18"/>
              </w:rPr>
              <w:t>通川区江陵镇</w:t>
            </w:r>
            <w:r>
              <w:rPr>
                <w:spacing w:val="3"/>
                <w:sz w:val="18"/>
                <w:szCs w:val="18"/>
              </w:rPr>
              <w:t xml:space="preserve"> </w:t>
            </w:r>
            <w:r>
              <w:rPr>
                <w:spacing w:val="-2"/>
                <w:sz w:val="18"/>
                <w:szCs w:val="18"/>
              </w:rPr>
              <w:t>初级中学校</w:t>
            </w:r>
          </w:p>
        </w:tc>
        <w:tc>
          <w:tcPr>
            <w:tcW w:w="1024" w:type="dxa"/>
            <w:vAlign w:val="top"/>
          </w:tcPr>
          <w:p>
            <w:pPr>
              <w:pStyle w:val="6"/>
              <w:spacing w:before="147" w:line="222" w:lineRule="auto"/>
              <w:ind w:left="427"/>
              <w:rPr>
                <w:sz w:val="18"/>
                <w:szCs w:val="18"/>
              </w:rPr>
            </w:pPr>
            <w:r>
              <w:rPr>
                <w:sz w:val="18"/>
                <w:szCs w:val="18"/>
              </w:rPr>
              <w:t>南</w:t>
            </w:r>
          </w:p>
        </w:tc>
        <w:tc>
          <w:tcPr>
            <w:tcW w:w="1274" w:type="dxa"/>
            <w:vAlign w:val="top"/>
          </w:tcPr>
          <w:p>
            <w:pPr>
              <w:spacing w:before="183"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3240</w:t>
            </w:r>
          </w:p>
        </w:tc>
        <w:tc>
          <w:tcPr>
            <w:tcW w:w="1823" w:type="dxa"/>
            <w:vAlign w:val="top"/>
          </w:tcPr>
          <w:p>
            <w:pPr>
              <w:pStyle w:val="6"/>
              <w:spacing w:before="148" w:line="220" w:lineRule="auto"/>
              <w:ind w:left="740"/>
              <w:rPr>
                <w:sz w:val="18"/>
                <w:szCs w:val="18"/>
              </w:rPr>
            </w:pPr>
            <w:r>
              <w:rPr>
                <w:spacing w:val="-3"/>
                <w:sz w:val="18"/>
                <w:szCs w:val="18"/>
              </w:rPr>
              <w:t>学校</w:t>
            </w:r>
          </w:p>
        </w:tc>
        <w:tc>
          <w:tcPr>
            <w:tcW w:w="1636" w:type="dxa"/>
            <w:vAlign w:val="top"/>
          </w:tcPr>
          <w:p>
            <w:pPr>
              <w:pStyle w:val="6"/>
              <w:spacing w:before="148" w:line="222" w:lineRule="auto"/>
              <w:ind w:left="418"/>
              <w:rPr>
                <w:sz w:val="18"/>
                <w:szCs w:val="18"/>
              </w:rPr>
            </w:pPr>
            <w:r>
              <w:rPr>
                <w:spacing w:val="-3"/>
                <w:sz w:val="18"/>
                <w:szCs w:val="18"/>
              </w:rPr>
              <w:t>约</w:t>
            </w:r>
            <w:r>
              <w:rPr>
                <w:spacing w:val="-38"/>
                <w:sz w:val="18"/>
                <w:szCs w:val="18"/>
              </w:rPr>
              <w:t xml:space="preserve"> </w:t>
            </w:r>
            <w:r>
              <w:rPr>
                <w:rFonts w:ascii="Times New Roman" w:hAnsi="Times New Roman" w:eastAsia="Times New Roman" w:cs="Times New Roman"/>
                <w:spacing w:val="-3"/>
                <w:sz w:val="18"/>
                <w:szCs w:val="18"/>
              </w:rPr>
              <w:t>3000</w:t>
            </w:r>
            <w:r>
              <w:rPr>
                <w:rFonts w:ascii="Times New Roman" w:hAnsi="Times New Roman" w:eastAsia="Times New Roman" w:cs="Times New Roman"/>
                <w:spacing w:val="11"/>
                <w:sz w:val="18"/>
                <w:szCs w:val="18"/>
              </w:rPr>
              <w:t xml:space="preserve"> </w:t>
            </w:r>
            <w:r>
              <w:rPr>
                <w:spacing w:val="-3"/>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line="259" w:lineRule="auto"/>
              <w:rPr>
                <w:rFonts w:ascii="Arial"/>
                <w:sz w:val="21"/>
              </w:rPr>
            </w:pPr>
          </w:p>
          <w:p>
            <w:pPr>
              <w:spacing w:before="52" w:line="174"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tc>
        <w:tc>
          <w:tcPr>
            <w:tcW w:w="1435" w:type="dxa"/>
            <w:vAlign w:val="top"/>
          </w:tcPr>
          <w:p>
            <w:pPr>
              <w:pStyle w:val="6"/>
              <w:spacing w:before="30" w:line="222" w:lineRule="auto"/>
              <w:ind w:left="358" w:right="179" w:hanging="180"/>
              <w:rPr>
                <w:sz w:val="18"/>
                <w:szCs w:val="18"/>
              </w:rPr>
            </w:pPr>
            <w:r>
              <w:rPr>
                <w:spacing w:val="-2"/>
                <w:sz w:val="18"/>
                <w:szCs w:val="18"/>
              </w:rPr>
              <w:t>江陵镇中心学</w:t>
            </w:r>
            <w:r>
              <w:rPr>
                <w:spacing w:val="3"/>
                <w:sz w:val="18"/>
                <w:szCs w:val="18"/>
              </w:rPr>
              <w:t xml:space="preserve"> </w:t>
            </w:r>
            <w:r>
              <w:rPr>
                <w:spacing w:val="-2"/>
                <w:sz w:val="18"/>
                <w:szCs w:val="18"/>
              </w:rPr>
              <w:t>校幼儿园</w:t>
            </w:r>
          </w:p>
        </w:tc>
        <w:tc>
          <w:tcPr>
            <w:tcW w:w="1024" w:type="dxa"/>
            <w:vAlign w:val="top"/>
          </w:tcPr>
          <w:p>
            <w:pPr>
              <w:pStyle w:val="6"/>
              <w:spacing w:before="147" w:line="222" w:lineRule="auto"/>
              <w:ind w:left="427"/>
              <w:rPr>
                <w:sz w:val="18"/>
                <w:szCs w:val="18"/>
              </w:rPr>
            </w:pPr>
            <w:r>
              <w:rPr>
                <w:sz w:val="18"/>
                <w:szCs w:val="18"/>
              </w:rPr>
              <w:t>南</w:t>
            </w:r>
          </w:p>
        </w:tc>
        <w:tc>
          <w:tcPr>
            <w:tcW w:w="1274" w:type="dxa"/>
            <w:vAlign w:val="top"/>
          </w:tcPr>
          <w:p>
            <w:pPr>
              <w:spacing w:before="180"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3208</w:t>
            </w:r>
          </w:p>
        </w:tc>
        <w:tc>
          <w:tcPr>
            <w:tcW w:w="1823" w:type="dxa"/>
            <w:vAlign w:val="top"/>
          </w:tcPr>
          <w:p>
            <w:pPr>
              <w:pStyle w:val="6"/>
              <w:spacing w:before="148" w:line="220" w:lineRule="auto"/>
              <w:ind w:left="740"/>
              <w:rPr>
                <w:sz w:val="18"/>
                <w:szCs w:val="18"/>
              </w:rPr>
            </w:pPr>
            <w:r>
              <w:rPr>
                <w:spacing w:val="-3"/>
                <w:sz w:val="18"/>
                <w:szCs w:val="18"/>
              </w:rPr>
              <w:t>学校</w:t>
            </w:r>
          </w:p>
        </w:tc>
        <w:tc>
          <w:tcPr>
            <w:tcW w:w="1636" w:type="dxa"/>
            <w:vAlign w:val="top"/>
          </w:tcPr>
          <w:p>
            <w:pPr>
              <w:pStyle w:val="6"/>
              <w:spacing w:before="148" w:line="222" w:lineRule="auto"/>
              <w:ind w:left="509"/>
              <w:rPr>
                <w:sz w:val="18"/>
                <w:szCs w:val="18"/>
              </w:rPr>
            </w:pPr>
            <w:r>
              <w:rPr>
                <w:spacing w:val="-6"/>
                <w:sz w:val="18"/>
                <w:szCs w:val="18"/>
              </w:rPr>
              <w:t>约</w:t>
            </w:r>
            <w:r>
              <w:rPr>
                <w:spacing w:val="-32"/>
                <w:sz w:val="18"/>
                <w:szCs w:val="18"/>
              </w:rPr>
              <w:t xml:space="preserve"> </w:t>
            </w:r>
            <w:r>
              <w:rPr>
                <w:rFonts w:ascii="Times New Roman" w:hAnsi="Times New Roman" w:eastAsia="Times New Roman" w:cs="Times New Roman"/>
                <w:spacing w:val="-6"/>
                <w:sz w:val="18"/>
                <w:szCs w:val="18"/>
              </w:rPr>
              <w:t>80</w:t>
            </w:r>
            <w:r>
              <w:rPr>
                <w:rFonts w:ascii="Times New Roman" w:hAnsi="Times New Roman" w:eastAsia="Times New Roman" w:cs="Times New Roman"/>
                <w:spacing w:val="11"/>
                <w:sz w:val="18"/>
                <w:szCs w:val="18"/>
              </w:rPr>
              <w:t xml:space="preserve"> </w:t>
            </w:r>
            <w:r>
              <w:rPr>
                <w:spacing w:val="-6"/>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4" w:type="dxa"/>
            <w:vAlign w:val="top"/>
          </w:tcPr>
          <w:p>
            <w:pPr>
              <w:spacing w:line="257" w:lineRule="auto"/>
              <w:rPr>
                <w:rFonts w:ascii="Arial"/>
                <w:sz w:val="21"/>
              </w:rPr>
            </w:pPr>
          </w:p>
          <w:p>
            <w:pPr>
              <w:spacing w:before="51" w:line="177"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tc>
        <w:tc>
          <w:tcPr>
            <w:tcW w:w="1435" w:type="dxa"/>
            <w:vAlign w:val="top"/>
          </w:tcPr>
          <w:p>
            <w:pPr>
              <w:pStyle w:val="6"/>
              <w:spacing w:before="30" w:line="222" w:lineRule="auto"/>
              <w:ind w:left="541" w:right="179" w:hanging="364"/>
              <w:rPr>
                <w:sz w:val="18"/>
                <w:szCs w:val="18"/>
              </w:rPr>
            </w:pPr>
            <w:r>
              <w:rPr>
                <w:spacing w:val="-2"/>
                <w:sz w:val="18"/>
                <w:szCs w:val="18"/>
              </w:rPr>
              <w:t>青风镇千佛村</w:t>
            </w:r>
            <w:r>
              <w:rPr>
                <w:spacing w:val="3"/>
                <w:sz w:val="18"/>
                <w:szCs w:val="18"/>
              </w:rPr>
              <w:t xml:space="preserve"> </w:t>
            </w:r>
            <w:r>
              <w:rPr>
                <w:spacing w:val="-3"/>
                <w:sz w:val="18"/>
                <w:szCs w:val="18"/>
              </w:rPr>
              <w:t>小学</w:t>
            </w:r>
          </w:p>
        </w:tc>
        <w:tc>
          <w:tcPr>
            <w:tcW w:w="1024" w:type="dxa"/>
            <w:vAlign w:val="top"/>
          </w:tcPr>
          <w:p>
            <w:pPr>
              <w:pStyle w:val="6"/>
              <w:spacing w:before="147" w:line="220" w:lineRule="auto"/>
              <w:ind w:left="340"/>
              <w:rPr>
                <w:sz w:val="18"/>
                <w:szCs w:val="18"/>
              </w:rPr>
            </w:pPr>
            <w:r>
              <w:rPr>
                <w:spacing w:val="-4"/>
                <w:sz w:val="18"/>
                <w:szCs w:val="18"/>
              </w:rPr>
              <w:t>东北</w:t>
            </w:r>
          </w:p>
        </w:tc>
        <w:tc>
          <w:tcPr>
            <w:tcW w:w="1274" w:type="dxa"/>
            <w:vAlign w:val="top"/>
          </w:tcPr>
          <w:p>
            <w:pPr>
              <w:spacing w:before="181" w:line="186"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3092</w:t>
            </w:r>
          </w:p>
        </w:tc>
        <w:tc>
          <w:tcPr>
            <w:tcW w:w="1823" w:type="dxa"/>
            <w:vAlign w:val="top"/>
          </w:tcPr>
          <w:p>
            <w:pPr>
              <w:pStyle w:val="6"/>
              <w:spacing w:before="148" w:line="220" w:lineRule="auto"/>
              <w:ind w:left="740"/>
              <w:rPr>
                <w:sz w:val="18"/>
                <w:szCs w:val="18"/>
              </w:rPr>
            </w:pPr>
            <w:r>
              <w:rPr>
                <w:spacing w:val="-3"/>
                <w:sz w:val="18"/>
                <w:szCs w:val="18"/>
              </w:rPr>
              <w:t>学校</w:t>
            </w:r>
          </w:p>
        </w:tc>
        <w:tc>
          <w:tcPr>
            <w:tcW w:w="1636" w:type="dxa"/>
            <w:vAlign w:val="top"/>
          </w:tcPr>
          <w:p>
            <w:pPr>
              <w:pStyle w:val="6"/>
              <w:spacing w:before="148" w:line="222" w:lineRule="auto"/>
              <w:ind w:left="463"/>
              <w:rPr>
                <w:sz w:val="18"/>
                <w:szCs w:val="18"/>
              </w:rPr>
            </w:pPr>
            <w:r>
              <w:rPr>
                <w:spacing w:val="-7"/>
                <w:sz w:val="18"/>
                <w:szCs w:val="18"/>
              </w:rPr>
              <w:t>约</w:t>
            </w:r>
            <w:r>
              <w:rPr>
                <w:spacing w:val="-22"/>
                <w:sz w:val="18"/>
                <w:szCs w:val="18"/>
              </w:rPr>
              <w:t xml:space="preserve"> </w:t>
            </w:r>
            <w:r>
              <w:rPr>
                <w:rFonts w:ascii="Times New Roman" w:hAnsi="Times New Roman" w:eastAsia="Times New Roman" w:cs="Times New Roman"/>
                <w:spacing w:val="-7"/>
                <w:sz w:val="18"/>
                <w:szCs w:val="18"/>
              </w:rPr>
              <w:t>120</w:t>
            </w:r>
            <w:r>
              <w:rPr>
                <w:rFonts w:ascii="Times New Roman" w:hAnsi="Times New Roman" w:eastAsia="Times New Roman" w:cs="Times New Roman"/>
                <w:spacing w:val="11"/>
                <w:sz w:val="18"/>
                <w:szCs w:val="18"/>
              </w:rPr>
              <w:t xml:space="preserve"> </w:t>
            </w:r>
            <w:r>
              <w:rPr>
                <w:spacing w:val="-7"/>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7" w:type="dxa"/>
            <w:vMerge w:val="continue"/>
            <w:tcBorders>
              <w:top w:val="nil"/>
              <w:bottom w:val="nil"/>
            </w:tcBorders>
            <w:vAlign w:val="top"/>
          </w:tcPr>
          <w:p>
            <w:pPr>
              <w:rPr>
                <w:rFonts w:ascii="Arial"/>
                <w:sz w:val="21"/>
              </w:rPr>
            </w:pPr>
          </w:p>
        </w:tc>
        <w:tc>
          <w:tcPr>
            <w:tcW w:w="624" w:type="dxa"/>
            <w:vAlign w:val="top"/>
          </w:tcPr>
          <w:p>
            <w:pPr>
              <w:spacing w:line="256" w:lineRule="auto"/>
              <w:rPr>
                <w:rFonts w:ascii="Arial"/>
                <w:sz w:val="21"/>
              </w:rPr>
            </w:pPr>
          </w:p>
          <w:p>
            <w:pPr>
              <w:spacing w:before="52" w:line="174"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1435" w:type="dxa"/>
            <w:vAlign w:val="top"/>
          </w:tcPr>
          <w:p>
            <w:pPr>
              <w:pStyle w:val="6"/>
              <w:spacing w:before="29" w:line="221" w:lineRule="auto"/>
              <w:ind w:left="541" w:right="179" w:hanging="361"/>
              <w:rPr>
                <w:sz w:val="18"/>
                <w:szCs w:val="18"/>
              </w:rPr>
            </w:pPr>
            <w:r>
              <w:rPr>
                <w:spacing w:val="-2"/>
                <w:sz w:val="18"/>
                <w:szCs w:val="18"/>
              </w:rPr>
              <w:t>北山镇苏坪村</w:t>
            </w:r>
            <w:r>
              <w:rPr>
                <w:spacing w:val="1"/>
                <w:sz w:val="18"/>
                <w:szCs w:val="18"/>
              </w:rPr>
              <w:t xml:space="preserve"> </w:t>
            </w:r>
            <w:r>
              <w:rPr>
                <w:spacing w:val="-3"/>
                <w:sz w:val="18"/>
                <w:szCs w:val="18"/>
              </w:rPr>
              <w:t>小学</w:t>
            </w:r>
          </w:p>
        </w:tc>
        <w:tc>
          <w:tcPr>
            <w:tcW w:w="1024" w:type="dxa"/>
            <w:vAlign w:val="top"/>
          </w:tcPr>
          <w:p>
            <w:pPr>
              <w:pStyle w:val="6"/>
              <w:spacing w:before="144" w:line="220" w:lineRule="auto"/>
              <w:ind w:left="340"/>
              <w:rPr>
                <w:sz w:val="18"/>
                <w:szCs w:val="18"/>
              </w:rPr>
            </w:pPr>
            <w:r>
              <w:rPr>
                <w:spacing w:val="-4"/>
                <w:sz w:val="18"/>
                <w:szCs w:val="18"/>
              </w:rPr>
              <w:t>东北</w:t>
            </w:r>
          </w:p>
        </w:tc>
        <w:tc>
          <w:tcPr>
            <w:tcW w:w="1274" w:type="dxa"/>
            <w:vAlign w:val="top"/>
          </w:tcPr>
          <w:p>
            <w:pPr>
              <w:spacing w:before="180"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4530</w:t>
            </w:r>
          </w:p>
        </w:tc>
        <w:tc>
          <w:tcPr>
            <w:tcW w:w="1823" w:type="dxa"/>
            <w:vAlign w:val="top"/>
          </w:tcPr>
          <w:p>
            <w:pPr>
              <w:pStyle w:val="6"/>
              <w:spacing w:before="145" w:line="220" w:lineRule="auto"/>
              <w:ind w:left="740"/>
              <w:rPr>
                <w:sz w:val="18"/>
                <w:szCs w:val="18"/>
              </w:rPr>
            </w:pPr>
            <w:r>
              <w:rPr>
                <w:spacing w:val="-3"/>
                <w:sz w:val="18"/>
                <w:szCs w:val="18"/>
              </w:rPr>
              <w:t>学校</w:t>
            </w:r>
          </w:p>
        </w:tc>
        <w:tc>
          <w:tcPr>
            <w:tcW w:w="1636" w:type="dxa"/>
            <w:vAlign w:val="top"/>
          </w:tcPr>
          <w:p>
            <w:pPr>
              <w:pStyle w:val="6"/>
              <w:spacing w:before="145" w:line="222" w:lineRule="auto"/>
              <w:ind w:left="463"/>
              <w:rPr>
                <w:sz w:val="18"/>
                <w:szCs w:val="18"/>
              </w:rPr>
            </w:pPr>
            <w:r>
              <w:rPr>
                <w:spacing w:val="-7"/>
                <w:sz w:val="18"/>
                <w:szCs w:val="18"/>
              </w:rPr>
              <w:t>约</w:t>
            </w:r>
            <w:r>
              <w:rPr>
                <w:spacing w:val="-22"/>
                <w:sz w:val="18"/>
                <w:szCs w:val="18"/>
              </w:rPr>
              <w:t xml:space="preserve"> </w:t>
            </w:r>
            <w:r>
              <w:rPr>
                <w:rFonts w:ascii="Times New Roman" w:hAnsi="Times New Roman" w:eastAsia="Times New Roman" w:cs="Times New Roman"/>
                <w:spacing w:val="-7"/>
                <w:sz w:val="18"/>
                <w:szCs w:val="18"/>
              </w:rPr>
              <w:t>116</w:t>
            </w:r>
            <w:r>
              <w:rPr>
                <w:rFonts w:ascii="Times New Roman" w:hAnsi="Times New Roman" w:eastAsia="Times New Roman" w:cs="Times New Roman"/>
                <w:spacing w:val="11"/>
                <w:sz w:val="18"/>
                <w:szCs w:val="18"/>
              </w:rPr>
              <w:t xml:space="preserve"> </w:t>
            </w:r>
            <w:r>
              <w:rPr>
                <w:spacing w:val="-7"/>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4" w:type="dxa"/>
            <w:vAlign w:val="top"/>
          </w:tcPr>
          <w:p>
            <w:pPr>
              <w:spacing w:before="185" w:line="173"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1435" w:type="dxa"/>
            <w:vAlign w:val="top"/>
          </w:tcPr>
          <w:p>
            <w:pPr>
              <w:pStyle w:val="6"/>
              <w:spacing w:before="85" w:line="220" w:lineRule="auto"/>
              <w:ind w:left="363"/>
              <w:rPr>
                <w:sz w:val="18"/>
                <w:szCs w:val="18"/>
              </w:rPr>
            </w:pPr>
            <w:r>
              <w:rPr>
                <w:spacing w:val="-3"/>
                <w:sz w:val="18"/>
                <w:szCs w:val="18"/>
              </w:rPr>
              <w:t>马垭小学</w:t>
            </w:r>
          </w:p>
        </w:tc>
        <w:tc>
          <w:tcPr>
            <w:tcW w:w="1024" w:type="dxa"/>
            <w:vAlign w:val="top"/>
          </w:tcPr>
          <w:p>
            <w:pPr>
              <w:pStyle w:val="6"/>
              <w:spacing w:before="84" w:line="220" w:lineRule="auto"/>
              <w:ind w:left="340"/>
              <w:rPr>
                <w:sz w:val="18"/>
                <w:szCs w:val="18"/>
              </w:rPr>
            </w:pPr>
            <w:r>
              <w:rPr>
                <w:spacing w:val="-4"/>
                <w:sz w:val="18"/>
                <w:szCs w:val="18"/>
              </w:rPr>
              <w:t>东北</w:t>
            </w:r>
          </w:p>
        </w:tc>
        <w:tc>
          <w:tcPr>
            <w:tcW w:w="1274" w:type="dxa"/>
            <w:vAlign w:val="top"/>
          </w:tcPr>
          <w:p>
            <w:pPr>
              <w:spacing w:before="118"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2815</w:t>
            </w:r>
          </w:p>
        </w:tc>
        <w:tc>
          <w:tcPr>
            <w:tcW w:w="1823" w:type="dxa"/>
            <w:vAlign w:val="top"/>
          </w:tcPr>
          <w:p>
            <w:pPr>
              <w:pStyle w:val="6"/>
              <w:spacing w:before="85" w:line="220" w:lineRule="auto"/>
              <w:ind w:left="740"/>
              <w:rPr>
                <w:sz w:val="18"/>
                <w:szCs w:val="18"/>
              </w:rPr>
            </w:pPr>
            <w:r>
              <w:rPr>
                <w:spacing w:val="-3"/>
                <w:sz w:val="18"/>
                <w:szCs w:val="18"/>
              </w:rPr>
              <w:t>学校</w:t>
            </w:r>
          </w:p>
        </w:tc>
        <w:tc>
          <w:tcPr>
            <w:tcW w:w="1636" w:type="dxa"/>
            <w:vAlign w:val="top"/>
          </w:tcPr>
          <w:p>
            <w:pPr>
              <w:pStyle w:val="6"/>
              <w:spacing w:before="85" w:line="222" w:lineRule="auto"/>
              <w:ind w:left="463"/>
              <w:rPr>
                <w:sz w:val="18"/>
                <w:szCs w:val="18"/>
              </w:rPr>
            </w:pPr>
            <w:r>
              <w:rPr>
                <w:spacing w:val="-7"/>
                <w:sz w:val="18"/>
                <w:szCs w:val="18"/>
              </w:rPr>
              <w:t>约</w:t>
            </w:r>
            <w:r>
              <w:rPr>
                <w:spacing w:val="-22"/>
                <w:sz w:val="18"/>
                <w:szCs w:val="18"/>
              </w:rPr>
              <w:t xml:space="preserve"> </w:t>
            </w:r>
            <w:r>
              <w:rPr>
                <w:rFonts w:ascii="Times New Roman" w:hAnsi="Times New Roman" w:eastAsia="Times New Roman" w:cs="Times New Roman"/>
                <w:spacing w:val="-7"/>
                <w:sz w:val="18"/>
                <w:szCs w:val="18"/>
              </w:rPr>
              <w:t>110</w:t>
            </w:r>
            <w:r>
              <w:rPr>
                <w:rFonts w:ascii="Times New Roman" w:hAnsi="Times New Roman" w:eastAsia="Times New Roman" w:cs="Times New Roman"/>
                <w:spacing w:val="11"/>
                <w:sz w:val="18"/>
                <w:szCs w:val="18"/>
              </w:rPr>
              <w:t xml:space="preserve"> </w:t>
            </w:r>
            <w:r>
              <w:rPr>
                <w:spacing w:val="-7"/>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4357" w:type="dxa"/>
            <w:gridSpan w:val="4"/>
            <w:vAlign w:val="top"/>
          </w:tcPr>
          <w:p>
            <w:pPr>
              <w:pStyle w:val="6"/>
              <w:spacing w:before="82" w:line="220" w:lineRule="auto"/>
              <w:ind w:left="851"/>
              <w:rPr>
                <w:sz w:val="18"/>
                <w:szCs w:val="18"/>
              </w:rPr>
            </w:pPr>
            <w:r>
              <w:rPr>
                <w:spacing w:val="-2"/>
                <w:sz w:val="18"/>
                <w:szCs w:val="18"/>
              </w:rPr>
              <w:t>厂址周边</w:t>
            </w:r>
            <w:r>
              <w:rPr>
                <w:spacing w:val="-34"/>
                <w:sz w:val="18"/>
                <w:szCs w:val="18"/>
              </w:rPr>
              <w:t xml:space="preserve"> </w:t>
            </w:r>
            <w:r>
              <w:rPr>
                <w:rFonts w:ascii="Times New Roman" w:hAnsi="Times New Roman" w:eastAsia="Times New Roman" w:cs="Times New Roman"/>
                <w:spacing w:val="-2"/>
                <w:sz w:val="18"/>
                <w:szCs w:val="18"/>
              </w:rPr>
              <w:t>500m</w:t>
            </w:r>
            <w:r>
              <w:rPr>
                <w:rFonts w:ascii="Times New Roman" w:hAnsi="Times New Roman" w:eastAsia="Times New Roman" w:cs="Times New Roman"/>
                <w:spacing w:val="11"/>
                <w:w w:val="101"/>
                <w:sz w:val="18"/>
                <w:szCs w:val="18"/>
              </w:rPr>
              <w:t xml:space="preserve"> </w:t>
            </w:r>
            <w:r>
              <w:rPr>
                <w:spacing w:val="-2"/>
                <w:sz w:val="18"/>
                <w:szCs w:val="18"/>
              </w:rPr>
              <w:t>范围内人口数小计</w:t>
            </w:r>
          </w:p>
        </w:tc>
        <w:tc>
          <w:tcPr>
            <w:tcW w:w="3459" w:type="dxa"/>
            <w:gridSpan w:val="2"/>
            <w:vAlign w:val="top"/>
          </w:tcPr>
          <w:p>
            <w:pPr>
              <w:pStyle w:val="6"/>
              <w:spacing w:before="83" w:line="222" w:lineRule="auto"/>
              <w:ind w:left="837"/>
              <w:rPr>
                <w:sz w:val="18"/>
                <w:szCs w:val="18"/>
              </w:rPr>
            </w:pPr>
            <w:r>
              <w:rPr>
                <w:spacing w:val="-2"/>
                <w:sz w:val="18"/>
                <w:szCs w:val="18"/>
              </w:rPr>
              <w:t>约</w:t>
            </w:r>
            <w:r>
              <w:rPr>
                <w:spacing w:val="-38"/>
                <w:sz w:val="18"/>
                <w:szCs w:val="18"/>
              </w:rPr>
              <w:t xml:space="preserve"> </w:t>
            </w:r>
            <w:r>
              <w:rPr>
                <w:rFonts w:ascii="Times New Roman" w:hAnsi="Times New Roman" w:eastAsia="Times New Roman" w:cs="Times New Roman"/>
                <w:spacing w:val="-2"/>
                <w:sz w:val="18"/>
                <w:szCs w:val="18"/>
              </w:rPr>
              <w:t xml:space="preserve">211 </w:t>
            </w:r>
            <w:r>
              <w:rPr>
                <w:spacing w:val="-2"/>
                <w:sz w:val="18"/>
                <w:szCs w:val="18"/>
              </w:rPr>
              <w:t>人，小于</w:t>
            </w:r>
            <w:r>
              <w:rPr>
                <w:spacing w:val="-38"/>
                <w:sz w:val="18"/>
                <w:szCs w:val="18"/>
              </w:rPr>
              <w:t xml:space="preserve"> </w:t>
            </w:r>
            <w:r>
              <w:rPr>
                <w:rFonts w:ascii="Times New Roman" w:hAnsi="Times New Roman" w:eastAsia="Times New Roman" w:cs="Times New Roman"/>
                <w:spacing w:val="-2"/>
                <w:sz w:val="18"/>
                <w:szCs w:val="18"/>
              </w:rPr>
              <w:t>500</w:t>
            </w:r>
            <w:r>
              <w:rPr>
                <w:rFonts w:ascii="Times New Roman" w:hAnsi="Times New Roman" w:eastAsia="Times New Roman" w:cs="Times New Roman"/>
                <w:spacing w:val="10"/>
                <w:sz w:val="18"/>
                <w:szCs w:val="18"/>
              </w:rPr>
              <w:t xml:space="preserve"> </w:t>
            </w:r>
            <w:r>
              <w:rPr>
                <w:spacing w:val="-2"/>
                <w:sz w:val="18"/>
                <w:szCs w:val="1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7" w:type="dxa"/>
            <w:vMerge w:val="continue"/>
            <w:tcBorders>
              <w:top w:val="nil"/>
            </w:tcBorders>
            <w:vAlign w:val="top"/>
          </w:tcPr>
          <w:p>
            <w:pPr>
              <w:rPr>
                <w:rFonts w:ascii="Arial"/>
                <w:sz w:val="21"/>
              </w:rPr>
            </w:pPr>
          </w:p>
        </w:tc>
        <w:tc>
          <w:tcPr>
            <w:tcW w:w="4357" w:type="dxa"/>
            <w:gridSpan w:val="4"/>
            <w:vAlign w:val="top"/>
          </w:tcPr>
          <w:p>
            <w:pPr>
              <w:pStyle w:val="6"/>
              <w:spacing w:before="83" w:line="220" w:lineRule="auto"/>
              <w:ind w:left="895"/>
              <w:rPr>
                <w:sz w:val="18"/>
                <w:szCs w:val="18"/>
              </w:rPr>
            </w:pPr>
            <w:r>
              <w:rPr>
                <w:spacing w:val="-2"/>
                <w:sz w:val="18"/>
                <w:szCs w:val="18"/>
              </w:rPr>
              <w:t>厂址周边</w:t>
            </w:r>
            <w:r>
              <w:rPr>
                <w:spacing w:val="-33"/>
                <w:sz w:val="18"/>
                <w:szCs w:val="18"/>
              </w:rPr>
              <w:t xml:space="preserve"> </w:t>
            </w:r>
            <w:r>
              <w:rPr>
                <w:rFonts w:ascii="Times New Roman" w:hAnsi="Times New Roman" w:eastAsia="Times New Roman" w:cs="Times New Roman"/>
                <w:spacing w:val="-2"/>
                <w:sz w:val="18"/>
                <w:szCs w:val="18"/>
              </w:rPr>
              <w:t>5km</w:t>
            </w:r>
            <w:r>
              <w:rPr>
                <w:rFonts w:ascii="Times New Roman" w:hAnsi="Times New Roman" w:eastAsia="Times New Roman" w:cs="Times New Roman"/>
                <w:spacing w:val="11"/>
                <w:sz w:val="18"/>
                <w:szCs w:val="18"/>
              </w:rPr>
              <w:t xml:space="preserve"> </w:t>
            </w:r>
            <w:r>
              <w:rPr>
                <w:spacing w:val="-2"/>
                <w:sz w:val="18"/>
                <w:szCs w:val="18"/>
              </w:rPr>
              <w:t>范围内人口数小计</w:t>
            </w:r>
          </w:p>
        </w:tc>
        <w:tc>
          <w:tcPr>
            <w:tcW w:w="3459" w:type="dxa"/>
            <w:gridSpan w:val="2"/>
            <w:vAlign w:val="top"/>
          </w:tcPr>
          <w:p>
            <w:pPr>
              <w:pStyle w:val="6"/>
              <w:spacing w:before="83" w:line="220" w:lineRule="auto"/>
              <w:ind w:left="746"/>
              <w:rPr>
                <w:sz w:val="18"/>
                <w:szCs w:val="18"/>
              </w:rPr>
            </w:pPr>
            <w:r>
              <w:rPr>
                <w:spacing w:val="-3"/>
                <w:sz w:val="18"/>
                <w:szCs w:val="18"/>
              </w:rPr>
              <w:t>约</w:t>
            </w:r>
            <w:r>
              <w:rPr>
                <w:spacing w:val="-41"/>
                <w:sz w:val="18"/>
                <w:szCs w:val="18"/>
              </w:rPr>
              <w:t xml:space="preserve"> </w:t>
            </w:r>
            <w:r>
              <w:rPr>
                <w:rFonts w:ascii="Times New Roman" w:hAnsi="Times New Roman" w:eastAsia="Times New Roman" w:cs="Times New Roman"/>
                <w:spacing w:val="-3"/>
                <w:sz w:val="18"/>
                <w:szCs w:val="18"/>
              </w:rPr>
              <w:t>23864</w:t>
            </w:r>
            <w:r>
              <w:rPr>
                <w:rFonts w:ascii="Times New Roman" w:hAnsi="Times New Roman" w:eastAsia="Times New Roman" w:cs="Times New Roman"/>
                <w:spacing w:val="10"/>
                <w:sz w:val="18"/>
                <w:szCs w:val="18"/>
              </w:rPr>
              <w:t xml:space="preserve"> </w:t>
            </w:r>
            <w:r>
              <w:rPr>
                <w:spacing w:val="-3"/>
                <w:sz w:val="18"/>
                <w:szCs w:val="18"/>
              </w:rPr>
              <w:t>人，小于</w:t>
            </w:r>
            <w:r>
              <w:rPr>
                <w:spacing w:val="-38"/>
                <w:sz w:val="18"/>
                <w:szCs w:val="18"/>
              </w:rPr>
              <w:t xml:space="preserve"> </w:t>
            </w:r>
            <w:r>
              <w:rPr>
                <w:rFonts w:ascii="Times New Roman" w:hAnsi="Times New Roman" w:eastAsia="Times New Roman" w:cs="Times New Roman"/>
                <w:spacing w:val="-3"/>
                <w:sz w:val="18"/>
                <w:szCs w:val="18"/>
              </w:rPr>
              <w:t>5</w:t>
            </w:r>
            <w:r>
              <w:rPr>
                <w:rFonts w:ascii="Times New Roman" w:hAnsi="Times New Roman" w:eastAsia="Times New Roman" w:cs="Times New Roman"/>
                <w:spacing w:val="13"/>
                <w:w w:val="101"/>
                <w:sz w:val="18"/>
                <w:szCs w:val="18"/>
              </w:rPr>
              <w:t xml:space="preserve"> </w:t>
            </w:r>
            <w:r>
              <w:rPr>
                <w:spacing w:val="-3"/>
                <w:sz w:val="18"/>
                <w:szCs w:val="18"/>
              </w:rPr>
              <w:t>万人</w:t>
            </w:r>
          </w:p>
        </w:tc>
      </w:tr>
    </w:tbl>
    <w:p>
      <w:pPr>
        <w:pStyle w:val="2"/>
        <w:rPr>
          <w:sz w:val="21"/>
        </w:rPr>
      </w:pPr>
    </w:p>
    <w:p>
      <w:pPr>
        <w:rPr>
          <w:sz w:val="21"/>
          <w:szCs w:val="21"/>
        </w:rPr>
        <w:sectPr>
          <w:footerReference r:id="rId216" w:type="default"/>
          <w:pgSz w:w="11907" w:h="16839"/>
          <w:pgMar w:top="1123" w:right="1682" w:bottom="1146" w:left="1685" w:header="1108" w:footer="988" w:gutter="0"/>
          <w:cols w:space="720" w:num="1"/>
        </w:sectPr>
      </w:pPr>
    </w:p>
    <w:p>
      <w:pPr>
        <w:spacing w:before="75"/>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621"/>
        <w:gridCol w:w="1533"/>
        <w:gridCol w:w="458"/>
        <w:gridCol w:w="748"/>
        <w:gridCol w:w="329"/>
        <w:gridCol w:w="671"/>
        <w:gridCol w:w="418"/>
        <w:gridCol w:w="1135"/>
        <w:gridCol w:w="19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7" w:type="dxa"/>
            <w:vAlign w:val="top"/>
          </w:tcPr>
          <w:p>
            <w:pPr>
              <w:rPr>
                <w:rFonts w:ascii="Arial"/>
                <w:sz w:val="21"/>
              </w:rPr>
            </w:pPr>
          </w:p>
        </w:tc>
        <w:tc>
          <w:tcPr>
            <w:tcW w:w="4360" w:type="dxa"/>
            <w:gridSpan w:val="6"/>
            <w:vAlign w:val="top"/>
          </w:tcPr>
          <w:p>
            <w:pPr>
              <w:pStyle w:val="6"/>
              <w:spacing w:before="82" w:line="220" w:lineRule="auto"/>
              <w:ind w:left="1271"/>
              <w:rPr>
                <w:sz w:val="18"/>
                <w:szCs w:val="18"/>
              </w:rPr>
            </w:pPr>
            <w:r>
              <w:rPr>
                <w:spacing w:val="-1"/>
                <w:sz w:val="18"/>
                <w:szCs w:val="18"/>
              </w:rPr>
              <w:t>大气环境敏感程度</w:t>
            </w:r>
            <w:r>
              <w:rPr>
                <w:spacing w:val="-35"/>
                <w:sz w:val="18"/>
                <w:szCs w:val="18"/>
              </w:rPr>
              <w:t xml:space="preserve"> </w:t>
            </w:r>
            <w:r>
              <w:rPr>
                <w:rFonts w:ascii="Times New Roman" w:hAnsi="Times New Roman" w:eastAsia="Times New Roman" w:cs="Times New Roman"/>
                <w:spacing w:val="-1"/>
                <w:sz w:val="18"/>
                <w:szCs w:val="18"/>
              </w:rPr>
              <w:t xml:space="preserve">E </w:t>
            </w:r>
            <w:r>
              <w:rPr>
                <w:spacing w:val="-1"/>
                <w:sz w:val="18"/>
                <w:szCs w:val="18"/>
              </w:rPr>
              <w:t>值</w:t>
            </w:r>
          </w:p>
        </w:tc>
        <w:tc>
          <w:tcPr>
            <w:tcW w:w="3456" w:type="dxa"/>
            <w:gridSpan w:val="3"/>
            <w:vAlign w:val="top"/>
          </w:tcPr>
          <w:p>
            <w:pPr>
              <w:spacing w:before="118" w:line="186" w:lineRule="auto"/>
              <w:ind w:left="16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59" w:line="221" w:lineRule="auto"/>
              <w:ind w:left="182"/>
              <w:rPr>
                <w:sz w:val="18"/>
                <w:szCs w:val="18"/>
              </w:rPr>
            </w:pPr>
            <w:r>
              <w:rPr>
                <w:spacing w:val="-2"/>
                <w:sz w:val="18"/>
                <w:szCs w:val="18"/>
              </w:rPr>
              <w:t>地表</w:t>
            </w:r>
          </w:p>
          <w:p>
            <w:pPr>
              <w:pStyle w:val="6"/>
              <w:spacing w:before="16" w:line="220" w:lineRule="auto"/>
              <w:ind w:left="275"/>
              <w:rPr>
                <w:sz w:val="18"/>
                <w:szCs w:val="18"/>
              </w:rPr>
            </w:pPr>
            <w:r>
              <w:rPr>
                <w:sz w:val="18"/>
                <w:szCs w:val="18"/>
              </w:rPr>
              <w:t>水</w:t>
            </w:r>
          </w:p>
        </w:tc>
        <w:tc>
          <w:tcPr>
            <w:tcW w:w="7816" w:type="dxa"/>
            <w:gridSpan w:val="9"/>
            <w:vAlign w:val="top"/>
          </w:tcPr>
          <w:p>
            <w:pPr>
              <w:pStyle w:val="6"/>
              <w:spacing w:before="78" w:line="220" w:lineRule="auto"/>
              <w:ind w:left="3551"/>
              <w:rPr>
                <w:sz w:val="18"/>
                <w:szCs w:val="18"/>
              </w:rPr>
            </w:pPr>
            <w:r>
              <w:rPr>
                <w:spacing w:val="-2"/>
                <w:sz w:val="18"/>
                <w:szCs w:val="18"/>
              </w:rPr>
              <w:t>受纳水体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pStyle w:val="6"/>
              <w:spacing w:before="77" w:line="221" w:lineRule="auto"/>
              <w:ind w:left="131"/>
              <w:rPr>
                <w:sz w:val="18"/>
                <w:szCs w:val="18"/>
              </w:rPr>
            </w:pPr>
            <w:r>
              <w:rPr>
                <w:spacing w:val="-2"/>
                <w:sz w:val="18"/>
                <w:szCs w:val="18"/>
              </w:rPr>
              <w:t>序号</w:t>
            </w:r>
          </w:p>
        </w:tc>
        <w:tc>
          <w:tcPr>
            <w:tcW w:w="1533" w:type="dxa"/>
            <w:vAlign w:val="top"/>
          </w:tcPr>
          <w:p>
            <w:pPr>
              <w:pStyle w:val="6"/>
              <w:spacing w:before="77" w:line="220" w:lineRule="auto"/>
              <w:ind w:left="234"/>
              <w:rPr>
                <w:sz w:val="18"/>
                <w:szCs w:val="18"/>
              </w:rPr>
            </w:pPr>
            <w:r>
              <w:rPr>
                <w:spacing w:val="-2"/>
                <w:sz w:val="18"/>
                <w:szCs w:val="18"/>
              </w:rPr>
              <w:t>受纳水体名称</w:t>
            </w:r>
          </w:p>
        </w:tc>
        <w:tc>
          <w:tcPr>
            <w:tcW w:w="2206" w:type="dxa"/>
            <w:gridSpan w:val="4"/>
            <w:vAlign w:val="top"/>
          </w:tcPr>
          <w:p>
            <w:pPr>
              <w:pStyle w:val="6"/>
              <w:spacing w:before="77" w:line="220" w:lineRule="auto"/>
              <w:ind w:left="297"/>
              <w:rPr>
                <w:sz w:val="18"/>
                <w:szCs w:val="18"/>
              </w:rPr>
            </w:pPr>
            <w:r>
              <w:rPr>
                <w:spacing w:val="-1"/>
                <w:sz w:val="18"/>
                <w:szCs w:val="18"/>
              </w:rPr>
              <w:t>排放点水域环境功能</w:t>
            </w:r>
          </w:p>
        </w:tc>
        <w:tc>
          <w:tcPr>
            <w:tcW w:w="3456" w:type="dxa"/>
            <w:gridSpan w:val="3"/>
            <w:vAlign w:val="top"/>
          </w:tcPr>
          <w:p>
            <w:pPr>
              <w:pStyle w:val="6"/>
              <w:spacing w:before="78" w:line="233" w:lineRule="auto"/>
              <w:ind w:left="9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24h</w:t>
            </w:r>
            <w:r>
              <w:rPr>
                <w:rFonts w:ascii="Times New Roman" w:hAnsi="Times New Roman" w:eastAsia="Times New Roman" w:cs="Times New Roman"/>
                <w:spacing w:val="31"/>
                <w:w w:val="101"/>
                <w:sz w:val="18"/>
                <w:szCs w:val="18"/>
              </w:rPr>
              <w:t xml:space="preserve"> </w:t>
            </w:r>
            <w:r>
              <w:rPr>
                <w:spacing w:val="-3"/>
                <w:sz w:val="18"/>
                <w:szCs w:val="18"/>
              </w:rPr>
              <w:t>内流经范围</w:t>
            </w:r>
            <w:r>
              <w:rPr>
                <w:rFonts w:ascii="Times New Roman" w:hAnsi="Times New Roman" w:eastAsia="Times New Roman" w:cs="Times New Roman"/>
                <w:spacing w:val="-3"/>
                <w:sz w:val="18"/>
                <w:szCs w:val="18"/>
              </w:rPr>
              <w:t>/km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1" w:line="186" w:lineRule="auto"/>
              <w:ind w:left="28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533" w:type="dxa"/>
            <w:vAlign w:val="top"/>
          </w:tcPr>
          <w:p>
            <w:pPr>
              <w:pStyle w:val="6"/>
              <w:spacing w:before="77" w:line="220" w:lineRule="auto"/>
              <w:ind w:left="411"/>
              <w:rPr>
                <w:sz w:val="18"/>
                <w:szCs w:val="18"/>
              </w:rPr>
            </w:pPr>
            <w:r>
              <w:rPr>
                <w:spacing w:val="-2"/>
                <w:sz w:val="18"/>
                <w:szCs w:val="18"/>
              </w:rPr>
              <w:t>江陵水库</w:t>
            </w:r>
          </w:p>
        </w:tc>
        <w:tc>
          <w:tcPr>
            <w:tcW w:w="2206" w:type="dxa"/>
            <w:gridSpan w:val="4"/>
            <w:vAlign w:val="top"/>
          </w:tcPr>
          <w:p>
            <w:pPr>
              <w:pStyle w:val="6"/>
              <w:spacing w:before="77" w:line="220" w:lineRule="auto"/>
              <w:ind w:left="658"/>
              <w:rPr>
                <w:sz w:val="18"/>
                <w:szCs w:val="18"/>
              </w:rPr>
            </w:pPr>
            <w:r>
              <w:rPr>
                <w:spacing w:val="-2"/>
                <w:sz w:val="18"/>
                <w:szCs w:val="18"/>
              </w:rPr>
              <w:t>无水域功能</w:t>
            </w:r>
          </w:p>
        </w:tc>
        <w:tc>
          <w:tcPr>
            <w:tcW w:w="3456" w:type="dxa"/>
            <w:gridSpan w:val="3"/>
            <w:vAlign w:val="top"/>
          </w:tcPr>
          <w:p>
            <w:pPr>
              <w:spacing w:before="108"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3" w:line="186" w:lineRule="auto"/>
              <w:ind w:left="26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533" w:type="dxa"/>
            <w:vAlign w:val="top"/>
          </w:tcPr>
          <w:p>
            <w:pPr>
              <w:pStyle w:val="6"/>
              <w:spacing w:before="80" w:line="220" w:lineRule="auto"/>
              <w:ind w:left="320"/>
              <w:rPr>
                <w:sz w:val="18"/>
                <w:szCs w:val="18"/>
              </w:rPr>
            </w:pPr>
            <w:r>
              <w:rPr>
                <w:spacing w:val="-2"/>
                <w:sz w:val="18"/>
                <w:szCs w:val="18"/>
              </w:rPr>
              <w:t>杜家湾水库</w:t>
            </w:r>
          </w:p>
        </w:tc>
        <w:tc>
          <w:tcPr>
            <w:tcW w:w="2206" w:type="dxa"/>
            <w:gridSpan w:val="4"/>
            <w:vAlign w:val="top"/>
          </w:tcPr>
          <w:p>
            <w:pPr>
              <w:pStyle w:val="6"/>
              <w:spacing w:before="80" w:line="220" w:lineRule="auto"/>
              <w:ind w:left="658"/>
              <w:rPr>
                <w:sz w:val="18"/>
                <w:szCs w:val="18"/>
              </w:rPr>
            </w:pPr>
            <w:r>
              <w:rPr>
                <w:spacing w:val="-2"/>
                <w:sz w:val="18"/>
                <w:szCs w:val="18"/>
              </w:rPr>
              <w:t>无水域功能</w:t>
            </w:r>
          </w:p>
        </w:tc>
        <w:tc>
          <w:tcPr>
            <w:tcW w:w="3456" w:type="dxa"/>
            <w:gridSpan w:val="3"/>
            <w:vAlign w:val="top"/>
          </w:tcPr>
          <w:p>
            <w:pPr>
              <w:spacing w:before="110"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4" w:line="186"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533" w:type="dxa"/>
            <w:vAlign w:val="top"/>
          </w:tcPr>
          <w:p>
            <w:pPr>
              <w:pStyle w:val="6"/>
              <w:spacing w:before="80" w:line="220" w:lineRule="auto"/>
              <w:ind w:left="411"/>
              <w:rPr>
                <w:sz w:val="18"/>
                <w:szCs w:val="18"/>
              </w:rPr>
            </w:pPr>
            <w:r>
              <w:rPr>
                <w:spacing w:val="-2"/>
                <w:sz w:val="18"/>
                <w:szCs w:val="18"/>
              </w:rPr>
              <w:t>新农水库</w:t>
            </w:r>
          </w:p>
        </w:tc>
        <w:tc>
          <w:tcPr>
            <w:tcW w:w="2206" w:type="dxa"/>
            <w:gridSpan w:val="4"/>
            <w:vAlign w:val="top"/>
          </w:tcPr>
          <w:p>
            <w:pPr>
              <w:pStyle w:val="6"/>
              <w:spacing w:before="80" w:line="220" w:lineRule="auto"/>
              <w:ind w:left="658"/>
              <w:rPr>
                <w:sz w:val="18"/>
                <w:szCs w:val="18"/>
              </w:rPr>
            </w:pPr>
            <w:r>
              <w:rPr>
                <w:spacing w:val="-2"/>
                <w:sz w:val="18"/>
                <w:szCs w:val="18"/>
              </w:rPr>
              <w:t>无水域功能</w:t>
            </w:r>
          </w:p>
        </w:tc>
        <w:tc>
          <w:tcPr>
            <w:tcW w:w="3456" w:type="dxa"/>
            <w:gridSpan w:val="3"/>
            <w:vAlign w:val="top"/>
          </w:tcPr>
          <w:p>
            <w:pPr>
              <w:spacing w:before="111"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4" w:line="186" w:lineRule="auto"/>
              <w:ind w:left="26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533" w:type="dxa"/>
            <w:vAlign w:val="top"/>
          </w:tcPr>
          <w:p>
            <w:pPr>
              <w:pStyle w:val="6"/>
              <w:spacing w:before="78" w:line="220" w:lineRule="auto"/>
              <w:ind w:left="412"/>
              <w:rPr>
                <w:sz w:val="18"/>
                <w:szCs w:val="18"/>
              </w:rPr>
            </w:pPr>
            <w:r>
              <w:rPr>
                <w:spacing w:val="-2"/>
                <w:sz w:val="18"/>
                <w:szCs w:val="18"/>
              </w:rPr>
              <w:t>光明水库</w:t>
            </w:r>
          </w:p>
        </w:tc>
        <w:tc>
          <w:tcPr>
            <w:tcW w:w="2206" w:type="dxa"/>
            <w:gridSpan w:val="4"/>
            <w:vAlign w:val="top"/>
          </w:tcPr>
          <w:p>
            <w:pPr>
              <w:pStyle w:val="6"/>
              <w:spacing w:before="78" w:line="220" w:lineRule="auto"/>
              <w:ind w:left="658"/>
              <w:rPr>
                <w:sz w:val="18"/>
                <w:szCs w:val="18"/>
              </w:rPr>
            </w:pPr>
            <w:r>
              <w:rPr>
                <w:spacing w:val="-2"/>
                <w:sz w:val="18"/>
                <w:szCs w:val="18"/>
              </w:rPr>
              <w:t>无水域功能</w:t>
            </w:r>
          </w:p>
        </w:tc>
        <w:tc>
          <w:tcPr>
            <w:tcW w:w="3456" w:type="dxa"/>
            <w:gridSpan w:val="3"/>
            <w:vAlign w:val="top"/>
          </w:tcPr>
          <w:p>
            <w:pPr>
              <w:spacing w:before="111"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7" w:line="183" w:lineRule="auto"/>
              <w:ind w:left="26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533" w:type="dxa"/>
            <w:vAlign w:val="top"/>
          </w:tcPr>
          <w:p>
            <w:pPr>
              <w:pStyle w:val="6"/>
              <w:spacing w:before="79" w:line="220" w:lineRule="auto"/>
              <w:ind w:left="500"/>
              <w:rPr>
                <w:sz w:val="18"/>
                <w:szCs w:val="18"/>
              </w:rPr>
            </w:pPr>
            <w:r>
              <w:rPr>
                <w:spacing w:val="-2"/>
                <w:sz w:val="18"/>
                <w:szCs w:val="18"/>
              </w:rPr>
              <w:t>洞滩河</w:t>
            </w:r>
          </w:p>
        </w:tc>
        <w:tc>
          <w:tcPr>
            <w:tcW w:w="2206" w:type="dxa"/>
            <w:gridSpan w:val="4"/>
            <w:vAlign w:val="top"/>
          </w:tcPr>
          <w:p>
            <w:pPr>
              <w:pStyle w:val="6"/>
              <w:spacing w:before="79" w:line="220" w:lineRule="auto"/>
              <w:ind w:left="748"/>
              <w:rPr>
                <w:sz w:val="18"/>
                <w:szCs w:val="18"/>
              </w:rPr>
            </w:pPr>
            <w:r>
              <w:rPr>
                <w:rFonts w:ascii="Times New Roman" w:hAnsi="Times New Roman" w:eastAsia="Times New Roman" w:cs="Times New Roman"/>
                <w:spacing w:val="-2"/>
                <w:sz w:val="18"/>
                <w:szCs w:val="18"/>
              </w:rPr>
              <w:t>Ⅲ</w:t>
            </w:r>
            <w:r>
              <w:rPr>
                <w:spacing w:val="-2"/>
                <w:sz w:val="18"/>
                <w:szCs w:val="18"/>
              </w:rPr>
              <w:t>类水域</w:t>
            </w:r>
          </w:p>
        </w:tc>
        <w:tc>
          <w:tcPr>
            <w:tcW w:w="3456" w:type="dxa"/>
            <w:gridSpan w:val="3"/>
            <w:vAlign w:val="top"/>
          </w:tcPr>
          <w:p>
            <w:pPr>
              <w:spacing w:before="111"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5" w:line="186"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533" w:type="dxa"/>
            <w:vAlign w:val="top"/>
          </w:tcPr>
          <w:p>
            <w:pPr>
              <w:pStyle w:val="6"/>
              <w:spacing w:before="79" w:line="222" w:lineRule="auto"/>
              <w:ind w:left="610"/>
              <w:rPr>
                <w:sz w:val="18"/>
                <w:szCs w:val="18"/>
              </w:rPr>
            </w:pPr>
            <w:r>
              <w:rPr>
                <w:spacing w:val="-7"/>
                <w:sz w:val="18"/>
                <w:szCs w:val="18"/>
              </w:rPr>
              <w:t>巴河</w:t>
            </w:r>
          </w:p>
        </w:tc>
        <w:tc>
          <w:tcPr>
            <w:tcW w:w="2206" w:type="dxa"/>
            <w:gridSpan w:val="4"/>
            <w:vAlign w:val="top"/>
          </w:tcPr>
          <w:p>
            <w:pPr>
              <w:pStyle w:val="6"/>
              <w:spacing w:before="79" w:line="220" w:lineRule="auto"/>
              <w:ind w:left="748"/>
              <w:rPr>
                <w:sz w:val="18"/>
                <w:szCs w:val="18"/>
              </w:rPr>
            </w:pPr>
            <w:r>
              <w:rPr>
                <w:rFonts w:ascii="Times New Roman" w:hAnsi="Times New Roman" w:eastAsia="Times New Roman" w:cs="Times New Roman"/>
                <w:spacing w:val="-2"/>
                <w:sz w:val="18"/>
                <w:szCs w:val="18"/>
              </w:rPr>
              <w:t>Ⅲ</w:t>
            </w:r>
            <w:r>
              <w:rPr>
                <w:spacing w:val="-2"/>
                <w:sz w:val="18"/>
                <w:szCs w:val="18"/>
              </w:rPr>
              <w:t>类水域</w:t>
            </w:r>
          </w:p>
        </w:tc>
        <w:tc>
          <w:tcPr>
            <w:tcW w:w="3456" w:type="dxa"/>
            <w:gridSpan w:val="3"/>
            <w:vAlign w:val="top"/>
          </w:tcPr>
          <w:p>
            <w:pPr>
              <w:spacing w:before="112"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5" w:line="183"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533" w:type="dxa"/>
            <w:vAlign w:val="top"/>
          </w:tcPr>
          <w:p>
            <w:pPr>
              <w:pStyle w:val="6"/>
              <w:spacing w:before="80" w:line="220" w:lineRule="auto"/>
              <w:ind w:left="500"/>
              <w:rPr>
                <w:sz w:val="18"/>
                <w:szCs w:val="18"/>
              </w:rPr>
            </w:pPr>
            <w:r>
              <w:rPr>
                <w:spacing w:val="-2"/>
                <w:sz w:val="18"/>
                <w:szCs w:val="18"/>
              </w:rPr>
              <w:t>长滩河</w:t>
            </w:r>
          </w:p>
        </w:tc>
        <w:tc>
          <w:tcPr>
            <w:tcW w:w="2206" w:type="dxa"/>
            <w:gridSpan w:val="4"/>
            <w:vAlign w:val="top"/>
          </w:tcPr>
          <w:p>
            <w:pPr>
              <w:pStyle w:val="6"/>
              <w:spacing w:before="79" w:line="220" w:lineRule="auto"/>
              <w:ind w:left="748"/>
              <w:rPr>
                <w:sz w:val="18"/>
                <w:szCs w:val="18"/>
              </w:rPr>
            </w:pPr>
            <w:r>
              <w:rPr>
                <w:rFonts w:ascii="Times New Roman" w:hAnsi="Times New Roman" w:eastAsia="Times New Roman" w:cs="Times New Roman"/>
                <w:spacing w:val="-2"/>
                <w:sz w:val="18"/>
                <w:szCs w:val="18"/>
              </w:rPr>
              <w:t>Ⅲ</w:t>
            </w:r>
            <w:r>
              <w:rPr>
                <w:spacing w:val="-2"/>
                <w:sz w:val="18"/>
                <w:szCs w:val="18"/>
              </w:rPr>
              <w:t>类水域</w:t>
            </w:r>
          </w:p>
        </w:tc>
        <w:tc>
          <w:tcPr>
            <w:tcW w:w="3456" w:type="dxa"/>
            <w:gridSpan w:val="3"/>
            <w:vAlign w:val="top"/>
          </w:tcPr>
          <w:p>
            <w:pPr>
              <w:spacing w:before="110"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5" w:line="186" w:lineRule="auto"/>
              <w:ind w:left="27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533" w:type="dxa"/>
            <w:vAlign w:val="top"/>
          </w:tcPr>
          <w:p>
            <w:pPr>
              <w:pStyle w:val="6"/>
              <w:spacing w:before="83" w:line="220" w:lineRule="auto"/>
              <w:ind w:left="499"/>
              <w:rPr>
                <w:sz w:val="18"/>
                <w:szCs w:val="18"/>
              </w:rPr>
            </w:pPr>
            <w:r>
              <w:rPr>
                <w:spacing w:val="-2"/>
                <w:sz w:val="18"/>
                <w:szCs w:val="18"/>
              </w:rPr>
              <w:t>黎家河</w:t>
            </w:r>
          </w:p>
        </w:tc>
        <w:tc>
          <w:tcPr>
            <w:tcW w:w="2206" w:type="dxa"/>
            <w:gridSpan w:val="4"/>
            <w:vAlign w:val="top"/>
          </w:tcPr>
          <w:p>
            <w:pPr>
              <w:pStyle w:val="6"/>
              <w:spacing w:before="82" w:line="220" w:lineRule="auto"/>
              <w:ind w:left="658"/>
              <w:rPr>
                <w:sz w:val="18"/>
                <w:szCs w:val="18"/>
              </w:rPr>
            </w:pPr>
            <w:r>
              <w:rPr>
                <w:spacing w:val="-2"/>
                <w:sz w:val="18"/>
                <w:szCs w:val="18"/>
              </w:rPr>
              <w:t>无水域功能</w:t>
            </w:r>
          </w:p>
        </w:tc>
        <w:tc>
          <w:tcPr>
            <w:tcW w:w="3456" w:type="dxa"/>
            <w:gridSpan w:val="3"/>
            <w:vAlign w:val="top"/>
          </w:tcPr>
          <w:p>
            <w:pPr>
              <w:spacing w:before="112"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6" w:line="186"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533" w:type="dxa"/>
            <w:vAlign w:val="top"/>
          </w:tcPr>
          <w:p>
            <w:pPr>
              <w:pStyle w:val="6"/>
              <w:spacing w:before="82" w:line="220" w:lineRule="auto"/>
              <w:ind w:left="499"/>
              <w:rPr>
                <w:sz w:val="18"/>
                <w:szCs w:val="18"/>
              </w:rPr>
            </w:pPr>
            <w:r>
              <w:rPr>
                <w:spacing w:val="-2"/>
                <w:sz w:val="18"/>
                <w:szCs w:val="18"/>
              </w:rPr>
              <w:t>黄梅溪</w:t>
            </w:r>
          </w:p>
        </w:tc>
        <w:tc>
          <w:tcPr>
            <w:tcW w:w="2206" w:type="dxa"/>
            <w:gridSpan w:val="4"/>
            <w:vAlign w:val="top"/>
          </w:tcPr>
          <w:p>
            <w:pPr>
              <w:pStyle w:val="6"/>
              <w:spacing w:before="82" w:line="220" w:lineRule="auto"/>
              <w:ind w:left="658"/>
              <w:rPr>
                <w:sz w:val="18"/>
                <w:szCs w:val="18"/>
              </w:rPr>
            </w:pPr>
            <w:r>
              <w:rPr>
                <w:spacing w:val="-2"/>
                <w:sz w:val="18"/>
                <w:szCs w:val="18"/>
              </w:rPr>
              <w:t>无水域功能</w:t>
            </w:r>
          </w:p>
        </w:tc>
        <w:tc>
          <w:tcPr>
            <w:tcW w:w="3456" w:type="dxa"/>
            <w:gridSpan w:val="3"/>
            <w:vAlign w:val="top"/>
          </w:tcPr>
          <w:p>
            <w:pPr>
              <w:spacing w:before="113"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7816" w:type="dxa"/>
            <w:gridSpan w:val="9"/>
            <w:vAlign w:val="top"/>
          </w:tcPr>
          <w:p>
            <w:pPr>
              <w:pStyle w:val="6"/>
              <w:spacing w:before="81" w:line="220" w:lineRule="auto"/>
              <w:ind w:left="552"/>
              <w:rPr>
                <w:sz w:val="18"/>
                <w:szCs w:val="18"/>
              </w:rPr>
            </w:pPr>
            <w:r>
              <w:rPr>
                <w:spacing w:val="-1"/>
                <w:sz w:val="18"/>
                <w:szCs w:val="18"/>
              </w:rPr>
              <w:t>内陆水体排放点下流</w:t>
            </w:r>
            <w:r>
              <w:rPr>
                <w:spacing w:val="-23"/>
                <w:sz w:val="18"/>
                <w:szCs w:val="18"/>
              </w:rPr>
              <w:t xml:space="preserve"> </w:t>
            </w:r>
            <w:r>
              <w:rPr>
                <w:rFonts w:ascii="Times New Roman" w:hAnsi="Times New Roman" w:eastAsia="Times New Roman" w:cs="Times New Roman"/>
                <w:spacing w:val="-1"/>
                <w:sz w:val="18"/>
                <w:szCs w:val="18"/>
              </w:rPr>
              <w:t>10km</w:t>
            </w:r>
            <w:r>
              <w:rPr>
                <w:spacing w:val="-1"/>
                <w:sz w:val="18"/>
                <w:szCs w:val="18"/>
              </w:rPr>
              <w:t>（近岸海域一个潮周期最大水平</w:t>
            </w:r>
            <w:r>
              <w:rPr>
                <w:spacing w:val="-2"/>
                <w:sz w:val="18"/>
                <w:szCs w:val="18"/>
              </w:rPr>
              <w:t>距离两倍）范围内敏感目标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continue"/>
            <w:tcBorders>
              <w:top w:val="nil"/>
              <w:bottom w:val="nil"/>
            </w:tcBorders>
            <w:vAlign w:val="top"/>
          </w:tcPr>
          <w:p>
            <w:pPr>
              <w:rPr>
                <w:rFonts w:ascii="Arial"/>
                <w:sz w:val="21"/>
              </w:rPr>
            </w:pPr>
          </w:p>
        </w:tc>
        <w:tc>
          <w:tcPr>
            <w:tcW w:w="621" w:type="dxa"/>
            <w:vAlign w:val="top"/>
          </w:tcPr>
          <w:p>
            <w:pPr>
              <w:pStyle w:val="6"/>
              <w:spacing w:before="145" w:line="221" w:lineRule="auto"/>
              <w:ind w:left="109"/>
              <w:rPr>
                <w:sz w:val="18"/>
                <w:szCs w:val="18"/>
              </w:rPr>
            </w:pPr>
            <w:r>
              <w:rPr>
                <w:spacing w:val="-2"/>
                <w:sz w:val="18"/>
                <w:szCs w:val="18"/>
              </w:rPr>
              <w:t>序号</w:t>
            </w:r>
          </w:p>
        </w:tc>
        <w:tc>
          <w:tcPr>
            <w:tcW w:w="1991" w:type="dxa"/>
            <w:gridSpan w:val="2"/>
            <w:vAlign w:val="top"/>
          </w:tcPr>
          <w:p>
            <w:pPr>
              <w:pStyle w:val="6"/>
              <w:spacing w:before="145" w:line="220" w:lineRule="auto"/>
              <w:ind w:left="419"/>
              <w:rPr>
                <w:sz w:val="18"/>
                <w:szCs w:val="18"/>
              </w:rPr>
            </w:pPr>
            <w:r>
              <w:rPr>
                <w:spacing w:val="-2"/>
                <w:sz w:val="18"/>
                <w:szCs w:val="18"/>
              </w:rPr>
              <w:t>敏感目标名称</w:t>
            </w:r>
          </w:p>
        </w:tc>
        <w:tc>
          <w:tcPr>
            <w:tcW w:w="1077" w:type="dxa"/>
            <w:gridSpan w:val="2"/>
            <w:vAlign w:val="top"/>
          </w:tcPr>
          <w:p>
            <w:pPr>
              <w:pStyle w:val="6"/>
              <w:spacing w:before="28" w:line="239" w:lineRule="auto"/>
              <w:ind w:left="141"/>
              <w:rPr>
                <w:sz w:val="18"/>
                <w:szCs w:val="18"/>
              </w:rPr>
            </w:pPr>
            <w:r>
              <w:rPr>
                <w:spacing w:val="-2"/>
                <w:sz w:val="18"/>
                <w:szCs w:val="18"/>
              </w:rPr>
              <w:t>环境敏感</w:t>
            </w:r>
          </w:p>
          <w:p>
            <w:pPr>
              <w:pStyle w:val="6"/>
              <w:spacing w:line="206" w:lineRule="auto"/>
              <w:ind w:left="321"/>
              <w:rPr>
                <w:sz w:val="18"/>
                <w:szCs w:val="18"/>
              </w:rPr>
            </w:pPr>
            <w:r>
              <w:rPr>
                <w:spacing w:val="-2"/>
                <w:sz w:val="18"/>
                <w:szCs w:val="18"/>
              </w:rPr>
              <w:t>特征</w:t>
            </w:r>
          </w:p>
        </w:tc>
        <w:tc>
          <w:tcPr>
            <w:tcW w:w="671" w:type="dxa"/>
            <w:vAlign w:val="top"/>
          </w:tcPr>
          <w:p>
            <w:pPr>
              <w:pStyle w:val="6"/>
              <w:spacing w:before="28" w:line="239" w:lineRule="auto"/>
              <w:ind w:left="141"/>
              <w:rPr>
                <w:sz w:val="18"/>
                <w:szCs w:val="18"/>
              </w:rPr>
            </w:pPr>
            <w:r>
              <w:rPr>
                <w:spacing w:val="-3"/>
                <w:sz w:val="18"/>
                <w:szCs w:val="18"/>
              </w:rPr>
              <w:t>水质</w:t>
            </w:r>
          </w:p>
          <w:p>
            <w:pPr>
              <w:pStyle w:val="6"/>
              <w:spacing w:line="206" w:lineRule="auto"/>
              <w:ind w:left="174"/>
              <w:rPr>
                <w:sz w:val="18"/>
                <w:szCs w:val="18"/>
              </w:rPr>
            </w:pPr>
            <w:r>
              <w:rPr>
                <w:spacing w:val="-11"/>
                <w:sz w:val="18"/>
                <w:szCs w:val="18"/>
              </w:rPr>
              <w:t>目标</w:t>
            </w:r>
          </w:p>
        </w:tc>
        <w:tc>
          <w:tcPr>
            <w:tcW w:w="3456" w:type="dxa"/>
            <w:gridSpan w:val="3"/>
            <w:vAlign w:val="top"/>
          </w:tcPr>
          <w:p>
            <w:pPr>
              <w:pStyle w:val="6"/>
              <w:spacing w:before="146" w:line="234" w:lineRule="auto"/>
              <w:ind w:left="1097"/>
              <w:rPr>
                <w:rFonts w:ascii="Times New Roman" w:hAnsi="Times New Roman" w:eastAsia="Times New Roman" w:cs="Times New Roman"/>
                <w:sz w:val="18"/>
                <w:szCs w:val="18"/>
              </w:rPr>
            </w:pPr>
            <w:r>
              <w:rPr>
                <w:spacing w:val="-2"/>
                <w:sz w:val="18"/>
                <w:szCs w:val="18"/>
              </w:rPr>
              <w:t>与排放点距离</w:t>
            </w:r>
            <w:r>
              <w:rPr>
                <w:rFonts w:ascii="Times New Roman" w:hAnsi="Times New Roman" w:eastAsia="Times New Roman" w:cs="Times New Roman"/>
                <w:spacing w:val="-2"/>
                <w:sz w:val="18"/>
                <w:szCs w:val="18"/>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0" w:line="232" w:lineRule="auto"/>
              <w:ind w:left="25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91" w:type="dxa"/>
            <w:gridSpan w:val="2"/>
            <w:vAlign w:val="top"/>
          </w:tcPr>
          <w:p>
            <w:pPr>
              <w:spacing w:before="110" w:line="232" w:lineRule="auto"/>
              <w:ind w:left="9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7" w:type="dxa"/>
            <w:gridSpan w:val="2"/>
            <w:vAlign w:val="top"/>
          </w:tcPr>
          <w:p>
            <w:pPr>
              <w:spacing w:before="110" w:line="232" w:lineRule="auto"/>
              <w:ind w:left="47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1" w:type="dxa"/>
            <w:vAlign w:val="top"/>
          </w:tcPr>
          <w:p>
            <w:pPr>
              <w:spacing w:before="110" w:line="232"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3456" w:type="dxa"/>
            <w:gridSpan w:val="3"/>
            <w:vAlign w:val="top"/>
          </w:tcPr>
          <w:p>
            <w:pPr>
              <w:spacing w:before="110" w:line="232" w:lineRule="auto"/>
              <w:ind w:left="16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tcBorders>
            <w:vAlign w:val="top"/>
          </w:tcPr>
          <w:p>
            <w:pPr>
              <w:rPr>
                <w:rFonts w:ascii="Arial"/>
                <w:sz w:val="21"/>
              </w:rPr>
            </w:pPr>
          </w:p>
        </w:tc>
        <w:tc>
          <w:tcPr>
            <w:tcW w:w="4360" w:type="dxa"/>
            <w:gridSpan w:val="6"/>
            <w:vAlign w:val="top"/>
          </w:tcPr>
          <w:p>
            <w:pPr>
              <w:pStyle w:val="6"/>
              <w:spacing w:before="82" w:line="220" w:lineRule="auto"/>
              <w:ind w:left="1178"/>
              <w:rPr>
                <w:sz w:val="18"/>
                <w:szCs w:val="18"/>
              </w:rPr>
            </w:pPr>
            <w:r>
              <w:rPr>
                <w:spacing w:val="-1"/>
                <w:sz w:val="18"/>
                <w:szCs w:val="18"/>
              </w:rPr>
              <w:t>地表水环境敏感程度</w:t>
            </w:r>
            <w:r>
              <w:rPr>
                <w:spacing w:val="-32"/>
                <w:sz w:val="18"/>
                <w:szCs w:val="18"/>
              </w:rPr>
              <w:t xml:space="preserve"> </w:t>
            </w:r>
            <w:r>
              <w:rPr>
                <w:rFonts w:ascii="Times New Roman" w:hAnsi="Times New Roman" w:eastAsia="Times New Roman" w:cs="Times New Roman"/>
                <w:spacing w:val="-1"/>
                <w:sz w:val="18"/>
                <w:szCs w:val="18"/>
              </w:rPr>
              <w:t xml:space="preserve">E </w:t>
            </w:r>
            <w:r>
              <w:rPr>
                <w:spacing w:val="-1"/>
                <w:sz w:val="18"/>
                <w:szCs w:val="18"/>
              </w:rPr>
              <w:t>值</w:t>
            </w:r>
          </w:p>
        </w:tc>
        <w:tc>
          <w:tcPr>
            <w:tcW w:w="3456" w:type="dxa"/>
            <w:gridSpan w:val="3"/>
            <w:vAlign w:val="top"/>
          </w:tcPr>
          <w:p>
            <w:pPr>
              <w:spacing w:before="116" w:line="186" w:lineRule="auto"/>
              <w:ind w:left="16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221" w:lineRule="auto"/>
              <w:ind w:left="182"/>
              <w:rPr>
                <w:sz w:val="18"/>
                <w:szCs w:val="18"/>
              </w:rPr>
            </w:pPr>
            <w:r>
              <w:rPr>
                <w:spacing w:val="-2"/>
                <w:sz w:val="18"/>
                <w:szCs w:val="18"/>
              </w:rPr>
              <w:t>地下</w:t>
            </w:r>
          </w:p>
          <w:p>
            <w:pPr>
              <w:pStyle w:val="6"/>
              <w:spacing w:before="16" w:line="220" w:lineRule="auto"/>
              <w:ind w:left="275"/>
              <w:rPr>
                <w:sz w:val="18"/>
                <w:szCs w:val="18"/>
              </w:rPr>
            </w:pPr>
            <w:r>
              <w:rPr>
                <w:sz w:val="18"/>
                <w:szCs w:val="18"/>
              </w:rPr>
              <w:t>水</w:t>
            </w:r>
          </w:p>
        </w:tc>
        <w:tc>
          <w:tcPr>
            <w:tcW w:w="621" w:type="dxa"/>
            <w:vAlign w:val="top"/>
          </w:tcPr>
          <w:p>
            <w:pPr>
              <w:pStyle w:val="6"/>
              <w:spacing w:before="145" w:line="221" w:lineRule="auto"/>
              <w:ind w:left="131"/>
              <w:rPr>
                <w:sz w:val="18"/>
                <w:szCs w:val="18"/>
              </w:rPr>
            </w:pPr>
            <w:r>
              <w:rPr>
                <w:spacing w:val="-2"/>
                <w:sz w:val="18"/>
                <w:szCs w:val="18"/>
              </w:rPr>
              <w:t>序号</w:t>
            </w:r>
          </w:p>
        </w:tc>
        <w:tc>
          <w:tcPr>
            <w:tcW w:w="1533" w:type="dxa"/>
            <w:vAlign w:val="top"/>
          </w:tcPr>
          <w:p>
            <w:pPr>
              <w:pStyle w:val="6"/>
              <w:spacing w:before="145" w:line="220" w:lineRule="auto"/>
              <w:ind w:left="139"/>
              <w:rPr>
                <w:sz w:val="18"/>
                <w:szCs w:val="18"/>
              </w:rPr>
            </w:pPr>
            <w:r>
              <w:rPr>
                <w:spacing w:val="-1"/>
                <w:sz w:val="18"/>
                <w:szCs w:val="18"/>
              </w:rPr>
              <w:t>环境敏感区名称</w:t>
            </w:r>
          </w:p>
        </w:tc>
        <w:tc>
          <w:tcPr>
            <w:tcW w:w="1206" w:type="dxa"/>
            <w:gridSpan w:val="2"/>
            <w:vAlign w:val="top"/>
          </w:tcPr>
          <w:p>
            <w:pPr>
              <w:pStyle w:val="6"/>
              <w:spacing w:before="28" w:line="223" w:lineRule="auto"/>
              <w:ind w:left="522" w:right="147" w:hanging="362"/>
              <w:rPr>
                <w:sz w:val="18"/>
                <w:szCs w:val="18"/>
              </w:rPr>
            </w:pPr>
            <w:r>
              <w:rPr>
                <w:spacing w:val="-2"/>
                <w:sz w:val="18"/>
                <w:szCs w:val="18"/>
              </w:rPr>
              <w:t>环境敏感特</w:t>
            </w:r>
            <w:r>
              <w:rPr>
                <w:spacing w:val="1"/>
                <w:sz w:val="18"/>
                <w:szCs w:val="18"/>
              </w:rPr>
              <w:t xml:space="preserve"> </w:t>
            </w:r>
            <w:r>
              <w:rPr>
                <w:sz w:val="18"/>
                <w:szCs w:val="18"/>
              </w:rPr>
              <w:t>征</w:t>
            </w:r>
          </w:p>
        </w:tc>
        <w:tc>
          <w:tcPr>
            <w:tcW w:w="1418" w:type="dxa"/>
            <w:gridSpan w:val="3"/>
            <w:vAlign w:val="top"/>
          </w:tcPr>
          <w:p>
            <w:pPr>
              <w:pStyle w:val="6"/>
              <w:spacing w:before="145" w:line="220" w:lineRule="auto"/>
              <w:ind w:left="358"/>
              <w:rPr>
                <w:sz w:val="18"/>
                <w:szCs w:val="18"/>
              </w:rPr>
            </w:pPr>
            <w:r>
              <w:rPr>
                <w:spacing w:val="-2"/>
                <w:sz w:val="18"/>
                <w:szCs w:val="18"/>
              </w:rPr>
              <w:t>水质目标</w:t>
            </w:r>
          </w:p>
        </w:tc>
        <w:tc>
          <w:tcPr>
            <w:tcW w:w="1135" w:type="dxa"/>
            <w:vAlign w:val="top"/>
          </w:tcPr>
          <w:p>
            <w:pPr>
              <w:pStyle w:val="6"/>
              <w:spacing w:before="28" w:line="223" w:lineRule="auto"/>
              <w:ind w:left="396" w:right="113" w:hanging="273"/>
              <w:rPr>
                <w:sz w:val="18"/>
                <w:szCs w:val="18"/>
              </w:rPr>
            </w:pPr>
            <w:r>
              <w:rPr>
                <w:spacing w:val="-2"/>
                <w:sz w:val="18"/>
                <w:szCs w:val="18"/>
              </w:rPr>
              <w:t>包气带防污</w:t>
            </w:r>
            <w:r>
              <w:rPr>
                <w:spacing w:val="1"/>
                <w:sz w:val="18"/>
                <w:szCs w:val="18"/>
              </w:rPr>
              <w:t xml:space="preserve"> </w:t>
            </w:r>
            <w:r>
              <w:rPr>
                <w:spacing w:val="-3"/>
                <w:sz w:val="18"/>
                <w:szCs w:val="18"/>
              </w:rPr>
              <w:t>性能</w:t>
            </w:r>
          </w:p>
        </w:tc>
        <w:tc>
          <w:tcPr>
            <w:tcW w:w="1903" w:type="dxa"/>
            <w:vAlign w:val="top"/>
          </w:tcPr>
          <w:p>
            <w:pPr>
              <w:pStyle w:val="6"/>
              <w:spacing w:before="146" w:line="220" w:lineRule="auto"/>
              <w:ind w:left="149"/>
              <w:rPr>
                <w:sz w:val="18"/>
                <w:szCs w:val="18"/>
              </w:rPr>
            </w:pPr>
            <w:r>
              <w:rPr>
                <w:spacing w:val="-2"/>
                <w:sz w:val="18"/>
                <w:szCs w:val="18"/>
              </w:rPr>
              <w:t>与工程相对位置关系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6" w:line="186" w:lineRule="auto"/>
              <w:ind w:left="28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533" w:type="dxa"/>
            <w:vAlign w:val="top"/>
          </w:tcPr>
          <w:p>
            <w:pPr>
              <w:pStyle w:val="6"/>
              <w:spacing w:before="81" w:line="220" w:lineRule="auto"/>
              <w:ind w:left="681"/>
              <w:rPr>
                <w:sz w:val="18"/>
                <w:szCs w:val="18"/>
              </w:rPr>
            </w:pPr>
            <w:r>
              <w:rPr>
                <w:sz w:val="18"/>
                <w:szCs w:val="18"/>
              </w:rPr>
              <w:t>泉</w:t>
            </w:r>
          </w:p>
        </w:tc>
        <w:tc>
          <w:tcPr>
            <w:tcW w:w="1206" w:type="dxa"/>
            <w:gridSpan w:val="2"/>
            <w:vAlign w:val="top"/>
          </w:tcPr>
          <w:p>
            <w:pPr>
              <w:spacing w:before="113"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7"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3"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0" w:line="220" w:lineRule="auto"/>
              <w:ind w:left="186"/>
              <w:rPr>
                <w:rFonts w:ascii="Times New Roman" w:hAnsi="Times New Roman" w:eastAsia="Times New Roman" w:cs="Times New Roman"/>
                <w:sz w:val="18"/>
                <w:szCs w:val="18"/>
              </w:rPr>
            </w:pPr>
            <w:r>
              <w:rPr>
                <w:spacing w:val="-2"/>
                <w:sz w:val="18"/>
                <w:szCs w:val="18"/>
              </w:rPr>
              <w:t>井口东南下游</w:t>
            </w:r>
            <w:r>
              <w:rPr>
                <w:spacing w:val="-31"/>
                <w:sz w:val="18"/>
                <w:szCs w:val="18"/>
              </w:rPr>
              <w:t xml:space="preserve"> </w:t>
            </w:r>
            <w:r>
              <w:rPr>
                <w:rFonts w:ascii="Times New Roman" w:hAnsi="Times New Roman" w:eastAsia="Times New Roman" w:cs="Times New Roman"/>
                <w:spacing w:val="-2"/>
                <w:sz w:val="18"/>
                <w:szCs w:val="18"/>
              </w:rPr>
              <w:t>729m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6" w:line="186" w:lineRule="auto"/>
              <w:ind w:left="26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533" w:type="dxa"/>
            <w:vAlign w:val="top"/>
          </w:tcPr>
          <w:p>
            <w:pPr>
              <w:pStyle w:val="6"/>
              <w:spacing w:before="81" w:line="220" w:lineRule="auto"/>
              <w:ind w:left="681"/>
              <w:rPr>
                <w:sz w:val="18"/>
                <w:szCs w:val="18"/>
              </w:rPr>
            </w:pPr>
            <w:r>
              <w:rPr>
                <w:sz w:val="18"/>
                <w:szCs w:val="18"/>
              </w:rPr>
              <w:t>泉</w:t>
            </w:r>
          </w:p>
        </w:tc>
        <w:tc>
          <w:tcPr>
            <w:tcW w:w="1206" w:type="dxa"/>
            <w:gridSpan w:val="2"/>
            <w:vAlign w:val="top"/>
          </w:tcPr>
          <w:p>
            <w:pPr>
              <w:spacing w:before="113"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7"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3"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0" w:line="220" w:lineRule="auto"/>
              <w:ind w:left="186"/>
              <w:rPr>
                <w:rFonts w:ascii="Times New Roman" w:hAnsi="Times New Roman" w:eastAsia="Times New Roman" w:cs="Times New Roman"/>
                <w:sz w:val="18"/>
                <w:szCs w:val="18"/>
              </w:rPr>
            </w:pPr>
            <w:r>
              <w:rPr>
                <w:spacing w:val="-2"/>
                <w:sz w:val="18"/>
                <w:szCs w:val="18"/>
              </w:rPr>
              <w:t>井口东南下游</w:t>
            </w:r>
            <w:r>
              <w:rPr>
                <w:spacing w:val="-31"/>
                <w:sz w:val="18"/>
                <w:szCs w:val="18"/>
              </w:rPr>
              <w:t xml:space="preserve"> </w:t>
            </w:r>
            <w:r>
              <w:rPr>
                <w:rFonts w:ascii="Times New Roman" w:hAnsi="Times New Roman" w:eastAsia="Times New Roman" w:cs="Times New Roman"/>
                <w:spacing w:val="-2"/>
                <w:sz w:val="18"/>
                <w:szCs w:val="18"/>
              </w:rPr>
              <w:t>314m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4" w:line="186"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533" w:type="dxa"/>
            <w:vAlign w:val="top"/>
          </w:tcPr>
          <w:p>
            <w:pPr>
              <w:pStyle w:val="6"/>
              <w:spacing w:before="81" w:line="220" w:lineRule="auto"/>
              <w:ind w:left="681"/>
              <w:rPr>
                <w:sz w:val="18"/>
                <w:szCs w:val="18"/>
              </w:rPr>
            </w:pPr>
            <w:r>
              <w:rPr>
                <w:sz w:val="18"/>
                <w:szCs w:val="18"/>
              </w:rPr>
              <w:t>泉</w:t>
            </w:r>
          </w:p>
        </w:tc>
        <w:tc>
          <w:tcPr>
            <w:tcW w:w="1206" w:type="dxa"/>
            <w:gridSpan w:val="2"/>
            <w:vAlign w:val="top"/>
          </w:tcPr>
          <w:p>
            <w:pPr>
              <w:spacing w:before="111"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5"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1"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1" w:line="220" w:lineRule="auto"/>
              <w:ind w:left="186"/>
              <w:rPr>
                <w:rFonts w:ascii="Times New Roman" w:hAnsi="Times New Roman" w:eastAsia="Times New Roman" w:cs="Times New Roman"/>
                <w:sz w:val="18"/>
                <w:szCs w:val="18"/>
              </w:rPr>
            </w:pPr>
            <w:r>
              <w:rPr>
                <w:spacing w:val="-1"/>
                <w:sz w:val="18"/>
                <w:szCs w:val="18"/>
              </w:rPr>
              <w:t>井口西南侧向</w:t>
            </w:r>
            <w:r>
              <w:rPr>
                <w:spacing w:val="-41"/>
                <w:sz w:val="18"/>
                <w:szCs w:val="18"/>
              </w:rPr>
              <w:t xml:space="preserve"> </w:t>
            </w:r>
            <w:r>
              <w:rPr>
                <w:rFonts w:ascii="Times New Roman" w:hAnsi="Times New Roman" w:eastAsia="Times New Roman" w:cs="Times New Roman"/>
                <w:spacing w:val="-1"/>
                <w:sz w:val="18"/>
                <w:szCs w:val="18"/>
              </w:rPr>
              <w:t>253m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7" w:line="186" w:lineRule="auto"/>
              <w:ind w:left="26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533" w:type="dxa"/>
            <w:vAlign w:val="top"/>
          </w:tcPr>
          <w:p>
            <w:pPr>
              <w:pStyle w:val="6"/>
              <w:spacing w:before="84" w:line="220" w:lineRule="auto"/>
              <w:ind w:left="681"/>
              <w:rPr>
                <w:sz w:val="18"/>
                <w:szCs w:val="18"/>
              </w:rPr>
            </w:pPr>
            <w:r>
              <w:rPr>
                <w:sz w:val="18"/>
                <w:szCs w:val="18"/>
              </w:rPr>
              <w:t>泉</w:t>
            </w:r>
          </w:p>
        </w:tc>
        <w:tc>
          <w:tcPr>
            <w:tcW w:w="1206" w:type="dxa"/>
            <w:gridSpan w:val="2"/>
            <w:vAlign w:val="top"/>
          </w:tcPr>
          <w:p>
            <w:pPr>
              <w:spacing w:before="113"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7"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3"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4" w:line="220" w:lineRule="auto"/>
              <w:ind w:left="143"/>
              <w:rPr>
                <w:rFonts w:ascii="Times New Roman" w:hAnsi="Times New Roman" w:eastAsia="Times New Roman" w:cs="Times New Roman"/>
                <w:sz w:val="18"/>
                <w:szCs w:val="18"/>
              </w:rPr>
            </w:pPr>
            <w:r>
              <w:rPr>
                <w:spacing w:val="-3"/>
                <w:sz w:val="18"/>
                <w:szCs w:val="18"/>
              </w:rPr>
              <w:t>井口西南下游</w:t>
            </w:r>
            <w:r>
              <w:rPr>
                <w:spacing w:val="-17"/>
                <w:sz w:val="18"/>
                <w:szCs w:val="18"/>
              </w:rPr>
              <w:t xml:space="preserve"> </w:t>
            </w:r>
            <w:r>
              <w:rPr>
                <w:rFonts w:ascii="Times New Roman" w:hAnsi="Times New Roman" w:eastAsia="Times New Roman" w:cs="Times New Roman"/>
                <w:spacing w:val="-3"/>
                <w:sz w:val="18"/>
                <w:szCs w:val="18"/>
              </w:rPr>
              <w:t>1243m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9" w:line="183" w:lineRule="auto"/>
              <w:ind w:left="26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533" w:type="dxa"/>
            <w:vAlign w:val="top"/>
          </w:tcPr>
          <w:p>
            <w:pPr>
              <w:pStyle w:val="6"/>
              <w:spacing w:before="84" w:line="220" w:lineRule="auto"/>
              <w:ind w:left="681"/>
              <w:rPr>
                <w:sz w:val="18"/>
                <w:szCs w:val="18"/>
              </w:rPr>
            </w:pPr>
            <w:r>
              <w:rPr>
                <w:sz w:val="18"/>
                <w:szCs w:val="18"/>
              </w:rPr>
              <w:t>泉</w:t>
            </w:r>
          </w:p>
        </w:tc>
        <w:tc>
          <w:tcPr>
            <w:tcW w:w="1206" w:type="dxa"/>
            <w:gridSpan w:val="2"/>
            <w:vAlign w:val="top"/>
          </w:tcPr>
          <w:p>
            <w:pPr>
              <w:spacing w:before="114"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8"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4"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3" w:line="220" w:lineRule="auto"/>
              <w:ind w:left="186"/>
              <w:rPr>
                <w:rFonts w:ascii="Times New Roman" w:hAnsi="Times New Roman" w:eastAsia="Times New Roman" w:cs="Times New Roman"/>
                <w:sz w:val="18"/>
                <w:szCs w:val="18"/>
              </w:rPr>
            </w:pPr>
            <w:r>
              <w:rPr>
                <w:spacing w:val="-1"/>
                <w:sz w:val="18"/>
                <w:szCs w:val="18"/>
              </w:rPr>
              <w:t>井口东南上游</w:t>
            </w:r>
            <w:r>
              <w:rPr>
                <w:spacing w:val="-41"/>
                <w:sz w:val="18"/>
                <w:szCs w:val="18"/>
              </w:rPr>
              <w:t xml:space="preserve"> </w:t>
            </w:r>
            <w:r>
              <w:rPr>
                <w:rFonts w:ascii="Times New Roman" w:hAnsi="Times New Roman" w:eastAsia="Times New Roman" w:cs="Times New Roman"/>
                <w:spacing w:val="-1"/>
                <w:sz w:val="18"/>
                <w:szCs w:val="18"/>
              </w:rPr>
              <w:t>247m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8" w:line="186"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533" w:type="dxa"/>
            <w:vAlign w:val="top"/>
          </w:tcPr>
          <w:p>
            <w:pPr>
              <w:pStyle w:val="6"/>
              <w:spacing w:before="83" w:line="220" w:lineRule="auto"/>
              <w:ind w:left="681"/>
              <w:rPr>
                <w:sz w:val="18"/>
                <w:szCs w:val="18"/>
              </w:rPr>
            </w:pPr>
            <w:r>
              <w:rPr>
                <w:sz w:val="18"/>
                <w:szCs w:val="18"/>
              </w:rPr>
              <w:t>泉</w:t>
            </w:r>
          </w:p>
        </w:tc>
        <w:tc>
          <w:tcPr>
            <w:tcW w:w="1206" w:type="dxa"/>
            <w:gridSpan w:val="2"/>
            <w:vAlign w:val="top"/>
          </w:tcPr>
          <w:p>
            <w:pPr>
              <w:spacing w:before="115"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2" w:line="220" w:lineRule="auto"/>
              <w:ind w:left="186"/>
              <w:rPr>
                <w:rFonts w:ascii="Times New Roman" w:hAnsi="Times New Roman" w:eastAsia="Times New Roman" w:cs="Times New Roman"/>
                <w:sz w:val="18"/>
                <w:szCs w:val="18"/>
              </w:rPr>
            </w:pPr>
            <w:r>
              <w:rPr>
                <w:spacing w:val="-1"/>
                <w:sz w:val="18"/>
                <w:szCs w:val="18"/>
              </w:rPr>
              <w:t>井口东北上游</w:t>
            </w:r>
            <w:r>
              <w:rPr>
                <w:spacing w:val="-41"/>
                <w:sz w:val="18"/>
                <w:szCs w:val="18"/>
              </w:rPr>
              <w:t xml:space="preserve"> </w:t>
            </w:r>
            <w:r>
              <w:rPr>
                <w:rFonts w:ascii="Times New Roman" w:hAnsi="Times New Roman" w:eastAsia="Times New Roman" w:cs="Times New Roman"/>
                <w:spacing w:val="-1"/>
                <w:sz w:val="18"/>
                <w:szCs w:val="18"/>
              </w:rPr>
              <w:t>473m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20" w:line="183"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533" w:type="dxa"/>
            <w:vAlign w:val="top"/>
          </w:tcPr>
          <w:p>
            <w:pPr>
              <w:pStyle w:val="6"/>
              <w:spacing w:before="82" w:line="220" w:lineRule="auto"/>
              <w:ind w:left="679"/>
              <w:rPr>
                <w:sz w:val="18"/>
                <w:szCs w:val="18"/>
              </w:rPr>
            </w:pPr>
            <w:r>
              <w:rPr>
                <w:sz w:val="18"/>
                <w:szCs w:val="18"/>
              </w:rPr>
              <w:t>井</w:t>
            </w:r>
          </w:p>
        </w:tc>
        <w:tc>
          <w:tcPr>
            <w:tcW w:w="1206" w:type="dxa"/>
            <w:gridSpan w:val="2"/>
            <w:vAlign w:val="top"/>
          </w:tcPr>
          <w:p>
            <w:pPr>
              <w:pStyle w:val="6"/>
              <w:spacing w:before="81" w:line="220" w:lineRule="auto"/>
              <w:ind w:left="249"/>
              <w:rPr>
                <w:sz w:val="18"/>
                <w:szCs w:val="18"/>
              </w:rPr>
            </w:pPr>
            <w:r>
              <w:rPr>
                <w:spacing w:val="-2"/>
                <w:sz w:val="18"/>
                <w:szCs w:val="18"/>
              </w:rPr>
              <w:t>农户水井</w:t>
            </w:r>
          </w:p>
        </w:tc>
        <w:tc>
          <w:tcPr>
            <w:tcW w:w="1418" w:type="dxa"/>
            <w:gridSpan w:val="3"/>
            <w:vAlign w:val="top"/>
          </w:tcPr>
          <w:p>
            <w:pPr>
              <w:spacing w:before="118"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4"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1" w:line="220" w:lineRule="auto"/>
              <w:ind w:left="186"/>
              <w:rPr>
                <w:rFonts w:ascii="Times New Roman" w:hAnsi="Times New Roman" w:eastAsia="Times New Roman" w:cs="Times New Roman"/>
                <w:sz w:val="18"/>
                <w:szCs w:val="18"/>
              </w:rPr>
            </w:pPr>
            <w:r>
              <w:rPr>
                <w:spacing w:val="-2"/>
                <w:sz w:val="18"/>
                <w:szCs w:val="18"/>
              </w:rPr>
              <w:t>井口东南下游</w:t>
            </w:r>
            <w:r>
              <w:rPr>
                <w:spacing w:val="-31"/>
                <w:sz w:val="18"/>
                <w:szCs w:val="18"/>
              </w:rPr>
              <w:t xml:space="preserve"> </w:t>
            </w:r>
            <w:r>
              <w:rPr>
                <w:rFonts w:ascii="Times New Roman" w:hAnsi="Times New Roman" w:eastAsia="Times New Roman" w:cs="Times New Roman"/>
                <w:spacing w:val="-2"/>
                <w:sz w:val="18"/>
                <w:szCs w:val="18"/>
              </w:rPr>
              <w:t>916m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7" w:line="186" w:lineRule="auto"/>
              <w:ind w:left="27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533" w:type="dxa"/>
            <w:vAlign w:val="top"/>
          </w:tcPr>
          <w:p>
            <w:pPr>
              <w:pStyle w:val="6"/>
              <w:spacing w:before="82" w:line="220" w:lineRule="auto"/>
              <w:ind w:left="681"/>
              <w:rPr>
                <w:sz w:val="18"/>
                <w:szCs w:val="18"/>
              </w:rPr>
            </w:pPr>
            <w:r>
              <w:rPr>
                <w:sz w:val="18"/>
                <w:szCs w:val="18"/>
              </w:rPr>
              <w:t>泉</w:t>
            </w:r>
          </w:p>
        </w:tc>
        <w:tc>
          <w:tcPr>
            <w:tcW w:w="1206" w:type="dxa"/>
            <w:gridSpan w:val="2"/>
            <w:vAlign w:val="top"/>
          </w:tcPr>
          <w:p>
            <w:pPr>
              <w:spacing w:before="114"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8"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4"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2" w:line="220" w:lineRule="auto"/>
              <w:ind w:left="186"/>
              <w:rPr>
                <w:rFonts w:ascii="Times New Roman" w:hAnsi="Times New Roman" w:eastAsia="Times New Roman" w:cs="Times New Roman"/>
                <w:sz w:val="18"/>
                <w:szCs w:val="18"/>
              </w:rPr>
            </w:pPr>
            <w:r>
              <w:rPr>
                <w:spacing w:val="-2"/>
                <w:sz w:val="18"/>
                <w:szCs w:val="18"/>
              </w:rPr>
              <w:t>井口西南侧向</w:t>
            </w:r>
            <w:r>
              <w:rPr>
                <w:spacing w:val="-31"/>
                <w:sz w:val="18"/>
                <w:szCs w:val="18"/>
              </w:rPr>
              <w:t xml:space="preserve"> </w:t>
            </w:r>
            <w:r>
              <w:rPr>
                <w:rFonts w:ascii="Times New Roman" w:hAnsi="Times New Roman" w:eastAsia="Times New Roman" w:cs="Times New Roman"/>
                <w:spacing w:val="-2"/>
                <w:sz w:val="18"/>
                <w:szCs w:val="18"/>
              </w:rPr>
              <w:t>631m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6" w:line="186"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533" w:type="dxa"/>
            <w:vAlign w:val="top"/>
          </w:tcPr>
          <w:p>
            <w:pPr>
              <w:pStyle w:val="6"/>
              <w:spacing w:before="83" w:line="220" w:lineRule="auto"/>
              <w:ind w:left="681"/>
              <w:rPr>
                <w:sz w:val="18"/>
                <w:szCs w:val="18"/>
              </w:rPr>
            </w:pPr>
            <w:r>
              <w:rPr>
                <w:sz w:val="18"/>
                <w:szCs w:val="18"/>
              </w:rPr>
              <w:t>泉</w:t>
            </w:r>
          </w:p>
        </w:tc>
        <w:tc>
          <w:tcPr>
            <w:tcW w:w="1206" w:type="dxa"/>
            <w:gridSpan w:val="2"/>
            <w:vAlign w:val="top"/>
          </w:tcPr>
          <w:p>
            <w:pPr>
              <w:spacing w:before="112"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6"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2"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2" w:line="220" w:lineRule="auto"/>
              <w:ind w:left="186"/>
              <w:rPr>
                <w:rFonts w:ascii="Times New Roman" w:hAnsi="Times New Roman" w:eastAsia="Times New Roman" w:cs="Times New Roman"/>
                <w:sz w:val="18"/>
                <w:szCs w:val="18"/>
              </w:rPr>
            </w:pPr>
            <w:r>
              <w:rPr>
                <w:spacing w:val="-1"/>
                <w:sz w:val="18"/>
                <w:szCs w:val="18"/>
              </w:rPr>
              <w:t>井口西北侧向</w:t>
            </w:r>
            <w:r>
              <w:rPr>
                <w:spacing w:val="-41"/>
                <w:sz w:val="18"/>
                <w:szCs w:val="18"/>
              </w:rPr>
              <w:t xml:space="preserve"> </w:t>
            </w:r>
            <w:r>
              <w:rPr>
                <w:rFonts w:ascii="Times New Roman" w:hAnsi="Times New Roman" w:eastAsia="Times New Roman" w:cs="Times New Roman"/>
                <w:spacing w:val="-1"/>
                <w:sz w:val="18"/>
                <w:szCs w:val="18"/>
              </w:rPr>
              <w:t>442m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533" w:type="dxa"/>
            <w:vAlign w:val="top"/>
          </w:tcPr>
          <w:p>
            <w:pPr>
              <w:pStyle w:val="6"/>
              <w:spacing w:before="85" w:line="220" w:lineRule="auto"/>
              <w:ind w:left="681"/>
              <w:rPr>
                <w:sz w:val="18"/>
                <w:szCs w:val="18"/>
              </w:rPr>
            </w:pPr>
            <w:r>
              <w:rPr>
                <w:sz w:val="18"/>
                <w:szCs w:val="18"/>
              </w:rPr>
              <w:t>泉</w:t>
            </w:r>
          </w:p>
        </w:tc>
        <w:tc>
          <w:tcPr>
            <w:tcW w:w="1206" w:type="dxa"/>
            <w:gridSpan w:val="2"/>
            <w:vAlign w:val="top"/>
          </w:tcPr>
          <w:p>
            <w:pPr>
              <w:spacing w:before="115"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4" w:line="220" w:lineRule="auto"/>
              <w:ind w:left="186"/>
              <w:rPr>
                <w:rFonts w:ascii="Times New Roman" w:hAnsi="Times New Roman" w:eastAsia="Times New Roman" w:cs="Times New Roman"/>
                <w:sz w:val="18"/>
                <w:szCs w:val="18"/>
              </w:rPr>
            </w:pPr>
            <w:r>
              <w:rPr>
                <w:spacing w:val="-2"/>
                <w:sz w:val="18"/>
                <w:szCs w:val="18"/>
              </w:rPr>
              <w:t>井口东南下游</w:t>
            </w:r>
            <w:r>
              <w:rPr>
                <w:spacing w:val="-31"/>
                <w:sz w:val="18"/>
                <w:szCs w:val="18"/>
              </w:rPr>
              <w:t xml:space="preserve"> </w:t>
            </w:r>
            <w:r>
              <w:rPr>
                <w:rFonts w:ascii="Times New Roman" w:hAnsi="Times New Roman" w:eastAsia="Times New Roman" w:cs="Times New Roman"/>
                <w:spacing w:val="-2"/>
                <w:sz w:val="18"/>
                <w:szCs w:val="18"/>
              </w:rPr>
              <w:t>967m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w:t>
            </w:r>
          </w:p>
        </w:tc>
        <w:tc>
          <w:tcPr>
            <w:tcW w:w="1533" w:type="dxa"/>
            <w:vAlign w:val="top"/>
          </w:tcPr>
          <w:p>
            <w:pPr>
              <w:pStyle w:val="6"/>
              <w:spacing w:before="86" w:line="220" w:lineRule="auto"/>
              <w:ind w:left="681"/>
              <w:rPr>
                <w:sz w:val="18"/>
                <w:szCs w:val="18"/>
              </w:rPr>
            </w:pPr>
            <w:r>
              <w:rPr>
                <w:sz w:val="18"/>
                <w:szCs w:val="18"/>
              </w:rPr>
              <w:t>泉</w:t>
            </w:r>
          </w:p>
        </w:tc>
        <w:tc>
          <w:tcPr>
            <w:tcW w:w="1206" w:type="dxa"/>
            <w:gridSpan w:val="2"/>
            <w:vAlign w:val="top"/>
          </w:tcPr>
          <w:p>
            <w:pPr>
              <w:spacing w:before="115"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6" w:line="220" w:lineRule="auto"/>
              <w:ind w:left="186"/>
              <w:rPr>
                <w:rFonts w:ascii="Times New Roman" w:hAnsi="Times New Roman" w:eastAsia="Times New Roman" w:cs="Times New Roman"/>
                <w:sz w:val="18"/>
                <w:szCs w:val="18"/>
              </w:rPr>
            </w:pPr>
            <w:r>
              <w:rPr>
                <w:spacing w:val="-2"/>
                <w:sz w:val="18"/>
                <w:szCs w:val="18"/>
              </w:rPr>
              <w:t>井口西北下游</w:t>
            </w:r>
            <w:r>
              <w:rPr>
                <w:spacing w:val="-31"/>
                <w:sz w:val="18"/>
                <w:szCs w:val="18"/>
              </w:rPr>
              <w:t xml:space="preserve"> </w:t>
            </w:r>
            <w:r>
              <w:rPr>
                <w:rFonts w:ascii="Times New Roman" w:hAnsi="Times New Roman" w:eastAsia="Times New Roman" w:cs="Times New Roman"/>
                <w:spacing w:val="-2"/>
                <w:sz w:val="18"/>
                <w:szCs w:val="18"/>
              </w:rPr>
              <w:t>901m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tc>
        <w:tc>
          <w:tcPr>
            <w:tcW w:w="1533" w:type="dxa"/>
            <w:vAlign w:val="top"/>
          </w:tcPr>
          <w:p>
            <w:pPr>
              <w:pStyle w:val="6"/>
              <w:spacing w:before="83" w:line="220" w:lineRule="auto"/>
              <w:ind w:left="681"/>
              <w:rPr>
                <w:sz w:val="18"/>
                <w:szCs w:val="18"/>
              </w:rPr>
            </w:pPr>
            <w:r>
              <w:rPr>
                <w:sz w:val="18"/>
                <w:szCs w:val="18"/>
              </w:rPr>
              <w:t>泉</w:t>
            </w:r>
          </w:p>
        </w:tc>
        <w:tc>
          <w:tcPr>
            <w:tcW w:w="1206" w:type="dxa"/>
            <w:gridSpan w:val="2"/>
            <w:vAlign w:val="top"/>
          </w:tcPr>
          <w:p>
            <w:pPr>
              <w:spacing w:before="115" w:line="232"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3" w:line="220" w:lineRule="auto"/>
              <w:ind w:left="143"/>
              <w:rPr>
                <w:rFonts w:ascii="Times New Roman" w:hAnsi="Times New Roman" w:eastAsia="Times New Roman" w:cs="Times New Roman"/>
                <w:sz w:val="18"/>
                <w:szCs w:val="18"/>
              </w:rPr>
            </w:pPr>
            <w:r>
              <w:rPr>
                <w:spacing w:val="-3"/>
                <w:sz w:val="18"/>
                <w:szCs w:val="18"/>
              </w:rPr>
              <w:t>井口西南下游</w:t>
            </w:r>
            <w:r>
              <w:rPr>
                <w:spacing w:val="-17"/>
                <w:sz w:val="18"/>
                <w:szCs w:val="18"/>
              </w:rPr>
              <w:t xml:space="preserve"> </w:t>
            </w:r>
            <w:r>
              <w:rPr>
                <w:rFonts w:ascii="Times New Roman" w:hAnsi="Times New Roman" w:eastAsia="Times New Roman" w:cs="Times New Roman"/>
                <w:spacing w:val="-3"/>
                <w:sz w:val="18"/>
                <w:szCs w:val="18"/>
              </w:rPr>
              <w:t>1964m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tc>
        <w:tc>
          <w:tcPr>
            <w:tcW w:w="1533" w:type="dxa"/>
            <w:vAlign w:val="top"/>
          </w:tcPr>
          <w:p>
            <w:pPr>
              <w:pStyle w:val="6"/>
              <w:spacing w:before="83" w:line="220" w:lineRule="auto"/>
              <w:ind w:left="679"/>
              <w:rPr>
                <w:sz w:val="18"/>
                <w:szCs w:val="18"/>
              </w:rPr>
            </w:pPr>
            <w:r>
              <w:rPr>
                <w:sz w:val="18"/>
                <w:szCs w:val="18"/>
              </w:rPr>
              <w:t>井</w:t>
            </w:r>
          </w:p>
        </w:tc>
        <w:tc>
          <w:tcPr>
            <w:tcW w:w="1206" w:type="dxa"/>
            <w:gridSpan w:val="2"/>
            <w:vAlign w:val="top"/>
          </w:tcPr>
          <w:p>
            <w:pPr>
              <w:pStyle w:val="6"/>
              <w:spacing w:before="82" w:line="220" w:lineRule="auto"/>
              <w:ind w:left="249"/>
              <w:rPr>
                <w:sz w:val="18"/>
                <w:szCs w:val="18"/>
              </w:rPr>
            </w:pPr>
            <w:r>
              <w:rPr>
                <w:spacing w:val="-2"/>
                <w:sz w:val="18"/>
                <w:szCs w:val="18"/>
              </w:rPr>
              <w:t>农户水井</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3" w:line="220" w:lineRule="auto"/>
              <w:ind w:left="143"/>
              <w:rPr>
                <w:rFonts w:ascii="Times New Roman" w:hAnsi="Times New Roman" w:eastAsia="Times New Roman" w:cs="Times New Roman"/>
                <w:sz w:val="18"/>
                <w:szCs w:val="18"/>
              </w:rPr>
            </w:pPr>
            <w:r>
              <w:rPr>
                <w:spacing w:val="-1"/>
                <w:sz w:val="18"/>
                <w:szCs w:val="18"/>
              </w:rPr>
              <w:t>井口西南下游</w:t>
            </w:r>
            <w:r>
              <w:rPr>
                <w:spacing w:val="-39"/>
                <w:sz w:val="18"/>
                <w:szCs w:val="18"/>
              </w:rPr>
              <w:t xml:space="preserve"> </w:t>
            </w:r>
            <w:r>
              <w:rPr>
                <w:rFonts w:ascii="Times New Roman" w:hAnsi="Times New Roman" w:eastAsia="Times New Roman" w:cs="Times New Roman"/>
                <w:spacing w:val="-1"/>
                <w:sz w:val="18"/>
                <w:szCs w:val="18"/>
              </w:rPr>
              <w:t>2725m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9"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tc>
        <w:tc>
          <w:tcPr>
            <w:tcW w:w="1533" w:type="dxa"/>
            <w:vAlign w:val="top"/>
          </w:tcPr>
          <w:p>
            <w:pPr>
              <w:pStyle w:val="6"/>
              <w:spacing w:before="83" w:line="220" w:lineRule="auto"/>
              <w:ind w:left="679"/>
              <w:rPr>
                <w:sz w:val="18"/>
                <w:szCs w:val="18"/>
              </w:rPr>
            </w:pPr>
            <w:r>
              <w:rPr>
                <w:sz w:val="18"/>
                <w:szCs w:val="18"/>
              </w:rPr>
              <w:t>井</w:t>
            </w:r>
          </w:p>
        </w:tc>
        <w:tc>
          <w:tcPr>
            <w:tcW w:w="1206" w:type="dxa"/>
            <w:gridSpan w:val="2"/>
            <w:vAlign w:val="top"/>
          </w:tcPr>
          <w:p>
            <w:pPr>
              <w:pStyle w:val="6"/>
              <w:spacing w:before="83" w:line="220" w:lineRule="auto"/>
              <w:ind w:left="249"/>
              <w:rPr>
                <w:sz w:val="18"/>
                <w:szCs w:val="18"/>
              </w:rPr>
            </w:pPr>
            <w:r>
              <w:rPr>
                <w:spacing w:val="-2"/>
                <w:sz w:val="18"/>
                <w:szCs w:val="18"/>
              </w:rPr>
              <w:t>农户水井</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3" w:line="220" w:lineRule="auto"/>
              <w:ind w:left="143"/>
              <w:rPr>
                <w:rFonts w:ascii="Times New Roman" w:hAnsi="Times New Roman" w:eastAsia="Times New Roman" w:cs="Times New Roman"/>
                <w:sz w:val="18"/>
                <w:szCs w:val="18"/>
              </w:rPr>
            </w:pPr>
            <w:r>
              <w:rPr>
                <w:spacing w:val="-1"/>
                <w:sz w:val="18"/>
                <w:szCs w:val="18"/>
              </w:rPr>
              <w:t>井口西南下游</w:t>
            </w:r>
            <w:r>
              <w:rPr>
                <w:spacing w:val="-39"/>
                <w:sz w:val="18"/>
                <w:szCs w:val="18"/>
              </w:rPr>
              <w:t xml:space="preserve"> </w:t>
            </w:r>
            <w:r>
              <w:rPr>
                <w:rFonts w:ascii="Times New Roman" w:hAnsi="Times New Roman" w:eastAsia="Times New Roman" w:cs="Times New Roman"/>
                <w:spacing w:val="-1"/>
                <w:sz w:val="18"/>
                <w:szCs w:val="18"/>
              </w:rPr>
              <w:t>2758m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5"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1533" w:type="dxa"/>
            <w:vAlign w:val="top"/>
          </w:tcPr>
          <w:p>
            <w:pPr>
              <w:pStyle w:val="6"/>
              <w:spacing w:before="83" w:line="220" w:lineRule="auto"/>
              <w:ind w:left="679"/>
              <w:rPr>
                <w:sz w:val="18"/>
                <w:szCs w:val="18"/>
              </w:rPr>
            </w:pPr>
            <w:r>
              <w:rPr>
                <w:sz w:val="18"/>
                <w:szCs w:val="18"/>
              </w:rPr>
              <w:t>井</w:t>
            </w:r>
          </w:p>
        </w:tc>
        <w:tc>
          <w:tcPr>
            <w:tcW w:w="1206" w:type="dxa"/>
            <w:gridSpan w:val="2"/>
            <w:vAlign w:val="top"/>
          </w:tcPr>
          <w:p>
            <w:pPr>
              <w:pStyle w:val="6"/>
              <w:spacing w:before="82" w:line="220" w:lineRule="auto"/>
              <w:ind w:left="249"/>
              <w:rPr>
                <w:sz w:val="18"/>
                <w:szCs w:val="18"/>
              </w:rPr>
            </w:pPr>
            <w:r>
              <w:rPr>
                <w:spacing w:val="-2"/>
                <w:sz w:val="18"/>
                <w:szCs w:val="18"/>
              </w:rPr>
              <w:t>农户水井</w:t>
            </w:r>
          </w:p>
        </w:tc>
        <w:tc>
          <w:tcPr>
            <w:tcW w:w="1418" w:type="dxa"/>
            <w:gridSpan w:val="3"/>
            <w:vAlign w:val="top"/>
          </w:tcPr>
          <w:p>
            <w:pPr>
              <w:spacing w:before="116"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2"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2" w:line="220" w:lineRule="auto"/>
              <w:ind w:left="143"/>
              <w:rPr>
                <w:rFonts w:ascii="Times New Roman" w:hAnsi="Times New Roman" w:eastAsia="Times New Roman" w:cs="Times New Roman"/>
                <w:sz w:val="18"/>
                <w:szCs w:val="18"/>
              </w:rPr>
            </w:pPr>
            <w:r>
              <w:rPr>
                <w:spacing w:val="-1"/>
                <w:sz w:val="18"/>
                <w:szCs w:val="18"/>
              </w:rPr>
              <w:t>井口东南下游</w:t>
            </w:r>
            <w:r>
              <w:rPr>
                <w:spacing w:val="-39"/>
                <w:sz w:val="18"/>
                <w:szCs w:val="18"/>
              </w:rPr>
              <w:t xml:space="preserve"> </w:t>
            </w:r>
            <w:r>
              <w:rPr>
                <w:rFonts w:ascii="Times New Roman" w:hAnsi="Times New Roman" w:eastAsia="Times New Roman" w:cs="Times New Roman"/>
                <w:spacing w:val="-1"/>
                <w:sz w:val="18"/>
                <w:szCs w:val="18"/>
              </w:rPr>
              <w:t>2194m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7" w:type="dxa"/>
            <w:vMerge w:val="continue"/>
            <w:tcBorders>
              <w:top w:val="nil"/>
              <w:bottom w:val="nil"/>
            </w:tcBorders>
            <w:vAlign w:val="top"/>
          </w:tcPr>
          <w:p>
            <w:pPr>
              <w:rPr>
                <w:rFonts w:ascii="Arial"/>
                <w:sz w:val="21"/>
              </w:rPr>
            </w:pPr>
          </w:p>
        </w:tc>
        <w:tc>
          <w:tcPr>
            <w:tcW w:w="621" w:type="dxa"/>
            <w:vAlign w:val="top"/>
          </w:tcPr>
          <w:p>
            <w:pPr>
              <w:spacing w:before="118"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tc>
        <w:tc>
          <w:tcPr>
            <w:tcW w:w="1533" w:type="dxa"/>
            <w:vAlign w:val="top"/>
          </w:tcPr>
          <w:p>
            <w:pPr>
              <w:pStyle w:val="6"/>
              <w:spacing w:before="85" w:line="220" w:lineRule="auto"/>
              <w:ind w:left="679"/>
              <w:rPr>
                <w:sz w:val="18"/>
                <w:szCs w:val="18"/>
              </w:rPr>
            </w:pPr>
            <w:r>
              <w:rPr>
                <w:sz w:val="18"/>
                <w:szCs w:val="18"/>
              </w:rPr>
              <w:t>井</w:t>
            </w:r>
          </w:p>
        </w:tc>
        <w:tc>
          <w:tcPr>
            <w:tcW w:w="1206" w:type="dxa"/>
            <w:gridSpan w:val="2"/>
            <w:vAlign w:val="top"/>
          </w:tcPr>
          <w:p>
            <w:pPr>
              <w:pStyle w:val="6"/>
              <w:spacing w:before="84" w:line="220" w:lineRule="auto"/>
              <w:ind w:left="249"/>
              <w:rPr>
                <w:sz w:val="18"/>
                <w:szCs w:val="18"/>
              </w:rPr>
            </w:pPr>
            <w:r>
              <w:rPr>
                <w:spacing w:val="-2"/>
                <w:sz w:val="18"/>
                <w:szCs w:val="18"/>
              </w:rPr>
              <w:t>农户水井</w:t>
            </w:r>
          </w:p>
        </w:tc>
        <w:tc>
          <w:tcPr>
            <w:tcW w:w="1418" w:type="dxa"/>
            <w:gridSpan w:val="3"/>
            <w:vAlign w:val="top"/>
          </w:tcPr>
          <w:p>
            <w:pPr>
              <w:spacing w:before="119" w:line="185" w:lineRule="auto"/>
              <w:ind w:left="627"/>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1135" w:type="dxa"/>
            <w:vAlign w:val="top"/>
          </w:tcPr>
          <w:p>
            <w:pPr>
              <w:spacing w:before="115" w:line="232" w:lineRule="auto"/>
              <w:ind w:left="54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903" w:type="dxa"/>
            <w:vAlign w:val="top"/>
          </w:tcPr>
          <w:p>
            <w:pPr>
              <w:pStyle w:val="6"/>
              <w:spacing w:before="84" w:line="220" w:lineRule="auto"/>
              <w:ind w:left="143"/>
              <w:rPr>
                <w:rFonts w:ascii="Times New Roman" w:hAnsi="Times New Roman" w:eastAsia="Times New Roman" w:cs="Times New Roman"/>
                <w:sz w:val="18"/>
                <w:szCs w:val="18"/>
              </w:rPr>
            </w:pPr>
            <w:r>
              <w:rPr>
                <w:spacing w:val="-3"/>
                <w:sz w:val="18"/>
                <w:szCs w:val="18"/>
              </w:rPr>
              <w:t>井口东南下游</w:t>
            </w:r>
            <w:r>
              <w:rPr>
                <w:spacing w:val="-17"/>
                <w:sz w:val="18"/>
                <w:szCs w:val="18"/>
              </w:rPr>
              <w:t xml:space="preserve"> </w:t>
            </w:r>
            <w:r>
              <w:rPr>
                <w:rFonts w:ascii="Times New Roman" w:hAnsi="Times New Roman" w:eastAsia="Times New Roman" w:cs="Times New Roman"/>
                <w:spacing w:val="-3"/>
                <w:sz w:val="18"/>
                <w:szCs w:val="18"/>
              </w:rPr>
              <w:t>1507m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7" w:type="dxa"/>
            <w:vMerge w:val="continue"/>
            <w:tcBorders>
              <w:top w:val="nil"/>
            </w:tcBorders>
            <w:vAlign w:val="top"/>
          </w:tcPr>
          <w:p>
            <w:pPr>
              <w:rPr>
                <w:rFonts w:ascii="Arial"/>
                <w:sz w:val="21"/>
              </w:rPr>
            </w:pPr>
          </w:p>
        </w:tc>
        <w:tc>
          <w:tcPr>
            <w:tcW w:w="4778" w:type="dxa"/>
            <w:gridSpan w:val="7"/>
            <w:vAlign w:val="top"/>
          </w:tcPr>
          <w:p>
            <w:pPr>
              <w:pStyle w:val="6"/>
              <w:spacing w:before="84" w:line="220" w:lineRule="auto"/>
              <w:ind w:left="1392"/>
              <w:rPr>
                <w:sz w:val="18"/>
                <w:szCs w:val="18"/>
              </w:rPr>
            </w:pPr>
            <w:r>
              <w:rPr>
                <w:spacing w:val="-1"/>
                <w:sz w:val="18"/>
                <w:szCs w:val="18"/>
              </w:rPr>
              <w:t>地下水环境敏感程度</w:t>
            </w:r>
            <w:r>
              <w:rPr>
                <w:spacing w:val="-32"/>
                <w:sz w:val="18"/>
                <w:szCs w:val="18"/>
              </w:rPr>
              <w:t xml:space="preserve"> </w:t>
            </w:r>
            <w:r>
              <w:rPr>
                <w:rFonts w:ascii="Times New Roman" w:hAnsi="Times New Roman" w:eastAsia="Times New Roman" w:cs="Times New Roman"/>
                <w:spacing w:val="-1"/>
                <w:sz w:val="18"/>
                <w:szCs w:val="18"/>
              </w:rPr>
              <w:t xml:space="preserve">E </w:t>
            </w:r>
            <w:r>
              <w:rPr>
                <w:spacing w:val="-1"/>
                <w:sz w:val="18"/>
                <w:szCs w:val="18"/>
              </w:rPr>
              <w:t>值</w:t>
            </w:r>
          </w:p>
        </w:tc>
        <w:tc>
          <w:tcPr>
            <w:tcW w:w="3038" w:type="dxa"/>
            <w:gridSpan w:val="2"/>
            <w:vAlign w:val="top"/>
          </w:tcPr>
          <w:p>
            <w:pPr>
              <w:spacing w:before="118" w:line="186" w:lineRule="auto"/>
              <w:ind w:left="14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E2</w:t>
            </w:r>
          </w:p>
        </w:tc>
      </w:tr>
    </w:tbl>
    <w:p>
      <w:pPr>
        <w:pStyle w:val="2"/>
        <w:rPr>
          <w:sz w:val="21"/>
        </w:rPr>
      </w:pPr>
    </w:p>
    <w:p>
      <w:pPr>
        <w:rPr>
          <w:sz w:val="21"/>
          <w:szCs w:val="21"/>
        </w:rPr>
        <w:sectPr>
          <w:footerReference r:id="rId217" w:type="default"/>
          <w:pgSz w:w="11907" w:h="16839"/>
          <w:pgMar w:top="1123" w:right="1682" w:bottom="1149" w:left="1685" w:header="1108" w:footer="988" w:gutter="0"/>
          <w:cols w:space="720" w:num="1"/>
        </w:sectPr>
      </w:pPr>
    </w:p>
    <w:p>
      <w:pPr>
        <w:pStyle w:val="2"/>
        <w:spacing w:line="252" w:lineRule="auto"/>
        <w:rPr>
          <w:sz w:val="21"/>
        </w:rPr>
      </w:pPr>
    </w:p>
    <w:p>
      <w:pPr>
        <w:spacing w:before="117" w:line="220" w:lineRule="auto"/>
        <w:ind w:left="2691"/>
        <w:rPr>
          <w:rFonts w:ascii="宋体" w:hAnsi="宋体" w:eastAsia="宋体" w:cs="宋体"/>
          <w:sz w:val="36"/>
          <w:szCs w:val="36"/>
        </w:rPr>
      </w:pPr>
      <w:bookmarkStart w:id="44" w:name="bookmark45"/>
      <w:bookmarkEnd w:id="44"/>
      <w:r>
        <w:rPr>
          <w:rFonts w:ascii="Times New Roman" w:hAnsi="Times New Roman" w:eastAsia="Times New Roman" w:cs="Times New Roman"/>
          <w:b/>
          <w:bCs/>
          <w:sz w:val="36"/>
          <w:szCs w:val="36"/>
        </w:rPr>
        <w:t xml:space="preserve">3 </w:t>
      </w:r>
      <w:r>
        <w:rPr>
          <w:rFonts w:ascii="宋体" w:hAnsi="宋体" w:eastAsia="宋体" w:cs="宋体"/>
          <w:sz w:val="36"/>
          <w:szCs w:val="36"/>
          <w14:textOutline w14:w="6531" w14:cap="flat" w14:cmpd="sng">
            <w14:solidFill>
              <w14:srgbClr w14:val="000000"/>
            </w14:solidFill>
            <w14:prstDash w14:val="solid"/>
            <w14:miter w14:val="10"/>
          </w14:textOutline>
        </w:rPr>
        <w:t>环境风险潜势初判</w:t>
      </w:r>
    </w:p>
    <w:p>
      <w:pPr>
        <w:pStyle w:val="2"/>
        <w:spacing w:line="316" w:lineRule="auto"/>
        <w:rPr>
          <w:sz w:val="21"/>
        </w:rPr>
      </w:pPr>
    </w:p>
    <w:p>
      <w:pPr>
        <w:spacing w:before="78" w:line="369" w:lineRule="auto"/>
        <w:ind w:left="119" w:right="50" w:firstLine="481"/>
        <w:rPr>
          <w:rFonts w:ascii="宋体" w:hAnsi="宋体" w:eastAsia="宋体" w:cs="宋体"/>
          <w:sz w:val="24"/>
          <w:szCs w:val="24"/>
        </w:rPr>
      </w:pPr>
      <w:r>
        <w:rPr>
          <w:rFonts w:ascii="宋体" w:hAnsi="宋体" w:eastAsia="宋体" w:cs="宋体"/>
          <w:spacing w:val="-1"/>
          <w:sz w:val="24"/>
          <w:szCs w:val="24"/>
        </w:rPr>
        <w:t>预计地层中单井控制天然气储量很大，根据关键行业规范和</w:t>
      </w:r>
      <w:r>
        <w:rPr>
          <w:rFonts w:ascii="宋体" w:hAnsi="宋体" w:eastAsia="宋体" w:cs="宋体"/>
          <w:spacing w:val="-2"/>
          <w:sz w:val="24"/>
          <w:szCs w:val="24"/>
        </w:rPr>
        <w:t>应急关键措施，</w:t>
      </w:r>
      <w:r>
        <w:rPr>
          <w:rFonts w:ascii="宋体" w:hAnsi="宋体" w:eastAsia="宋体" w:cs="宋体"/>
          <w:sz w:val="24"/>
          <w:szCs w:val="24"/>
        </w:rPr>
        <w:t xml:space="preserve"> </w:t>
      </w:r>
      <w:r>
        <w:rPr>
          <w:rFonts w:ascii="宋体" w:hAnsi="宋体" w:eastAsia="宋体" w:cs="宋体"/>
          <w:spacing w:val="-5"/>
          <w:sz w:val="24"/>
          <w:szCs w:val="24"/>
        </w:rPr>
        <w:t>井喷失控在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15min</w:t>
      </w:r>
      <w:r>
        <w:rPr>
          <w:rFonts w:ascii="Times New Roman" w:hAnsi="Times New Roman" w:eastAsia="Times New Roman" w:cs="Times New Roman"/>
          <w:spacing w:val="39"/>
          <w:sz w:val="24"/>
          <w:szCs w:val="24"/>
        </w:rPr>
        <w:t xml:space="preserve"> </w:t>
      </w:r>
      <w:r>
        <w:rPr>
          <w:rFonts w:ascii="宋体" w:hAnsi="宋体" w:eastAsia="宋体" w:cs="宋体"/>
          <w:spacing w:val="-5"/>
          <w:sz w:val="24"/>
          <w:szCs w:val="24"/>
        </w:rPr>
        <w:t>内点火。危险物质天然气</w:t>
      </w:r>
      <w:r>
        <w:rPr>
          <w:rFonts w:ascii="宋体" w:hAnsi="宋体" w:eastAsia="宋体" w:cs="宋体"/>
          <w:spacing w:val="-6"/>
          <w:sz w:val="24"/>
          <w:szCs w:val="24"/>
        </w:rPr>
        <w:t>中甲烷、硫化氢按照</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15min </w:t>
      </w:r>
      <w:r>
        <w:rPr>
          <w:rFonts w:ascii="宋体" w:hAnsi="宋体" w:eastAsia="宋体" w:cs="宋体"/>
          <w:spacing w:val="-6"/>
          <w:sz w:val="24"/>
          <w:szCs w:val="24"/>
        </w:rPr>
        <w:t>井喷量计</w:t>
      </w:r>
      <w:r>
        <w:rPr>
          <w:rFonts w:ascii="宋体" w:hAnsi="宋体" w:eastAsia="宋体" w:cs="宋体"/>
          <w:sz w:val="24"/>
          <w:szCs w:val="24"/>
        </w:rPr>
        <w:t xml:space="preserve"> </w:t>
      </w:r>
      <w:r>
        <w:rPr>
          <w:rFonts w:ascii="宋体" w:hAnsi="宋体" w:eastAsia="宋体" w:cs="宋体"/>
          <w:spacing w:val="-11"/>
          <w:sz w:val="24"/>
          <w:szCs w:val="24"/>
        </w:rPr>
        <w:t>算，类比龙岗</w:t>
      </w:r>
      <w:r>
        <w:rPr>
          <w:rFonts w:ascii="宋体" w:hAnsi="宋体" w:eastAsia="宋体" w:cs="宋体"/>
          <w:spacing w:val="-4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井测试结果，绝对无阻流量约</w:t>
      </w:r>
      <w:r>
        <w:rPr>
          <w:rFonts w:ascii="宋体" w:hAnsi="宋体" w:eastAsia="宋体" w:cs="宋体"/>
          <w:spacing w:val="-69"/>
          <w:sz w:val="24"/>
          <w:szCs w:val="24"/>
        </w:rPr>
        <w:t xml:space="preserve"> </w:t>
      </w:r>
      <w:r>
        <w:rPr>
          <w:rFonts w:ascii="Times New Roman" w:hAnsi="Times New Roman" w:eastAsia="Times New Roman" w:cs="Times New Roman"/>
          <w:spacing w:val="-11"/>
          <w:sz w:val="24"/>
          <w:szCs w:val="24"/>
        </w:rPr>
        <w:t>398.95×1</w:t>
      </w:r>
      <w:r>
        <w:rPr>
          <w:rFonts w:ascii="Times New Roman" w:hAnsi="Times New Roman" w:eastAsia="Times New Roman" w:cs="Times New Roman"/>
          <w:spacing w:val="-12"/>
          <w:sz w:val="24"/>
          <w:szCs w:val="24"/>
        </w:rPr>
        <w:t>0</w:t>
      </w:r>
      <w:r>
        <w:rPr>
          <w:rFonts w:ascii="Times New Roman" w:hAnsi="Times New Roman" w:eastAsia="Times New Roman" w:cs="Times New Roman"/>
          <w:spacing w:val="-12"/>
          <w:position w:val="8"/>
          <w:sz w:val="16"/>
          <w:szCs w:val="16"/>
        </w:rPr>
        <w:t>4</w:t>
      </w:r>
      <w:r>
        <w:rPr>
          <w:rFonts w:ascii="Times New Roman" w:hAnsi="Times New Roman" w:eastAsia="Times New Roman" w:cs="Times New Roman"/>
          <w:spacing w:val="-12"/>
          <w:sz w:val="24"/>
          <w:szCs w:val="24"/>
        </w:rPr>
        <w:t>m</w:t>
      </w:r>
      <w:r>
        <w:rPr>
          <w:rFonts w:ascii="Times New Roman" w:hAnsi="Times New Roman" w:eastAsia="Times New Roman" w:cs="Times New Roman"/>
          <w:spacing w:val="-12"/>
          <w:position w:val="8"/>
          <w:sz w:val="16"/>
          <w:szCs w:val="16"/>
        </w:rPr>
        <w:t>3</w:t>
      </w:r>
      <w:r>
        <w:rPr>
          <w:rFonts w:ascii="Times New Roman" w:hAnsi="Times New Roman" w:eastAsia="Times New Roman" w:cs="Times New Roman"/>
          <w:spacing w:val="-12"/>
          <w:sz w:val="24"/>
          <w:szCs w:val="24"/>
        </w:rPr>
        <w:t>/d</w:t>
      </w:r>
      <w:r>
        <w:rPr>
          <w:rFonts w:ascii="宋体" w:hAnsi="宋体" w:eastAsia="宋体" w:cs="宋体"/>
          <w:spacing w:val="-12"/>
          <w:sz w:val="24"/>
          <w:szCs w:val="24"/>
        </w:rPr>
        <w:t>。</w:t>
      </w:r>
      <w:r>
        <w:rPr>
          <w:rFonts w:ascii="Times New Roman" w:hAnsi="Times New Roman" w:eastAsia="Times New Roman" w:cs="Times New Roman"/>
          <w:spacing w:val="-12"/>
          <w:sz w:val="24"/>
          <w:szCs w:val="24"/>
        </w:rPr>
        <w:t>H</w:t>
      </w:r>
      <w:r>
        <w:rPr>
          <w:rFonts w:ascii="Times New Roman" w:hAnsi="Times New Roman" w:eastAsia="Times New Roman" w:cs="Times New Roman"/>
          <w:spacing w:val="-12"/>
          <w:position w:val="-2"/>
          <w:sz w:val="16"/>
          <w:szCs w:val="16"/>
        </w:rPr>
        <w:t>2</w:t>
      </w:r>
      <w:r>
        <w:rPr>
          <w:rFonts w:ascii="Times New Roman" w:hAnsi="Times New Roman" w:eastAsia="Times New Roman" w:cs="Times New Roman"/>
          <w:spacing w:val="-23"/>
          <w:position w:val="-2"/>
          <w:sz w:val="16"/>
          <w:szCs w:val="16"/>
        </w:rPr>
        <w:t xml:space="preserve"> </w:t>
      </w:r>
      <w:r>
        <w:rPr>
          <w:rFonts w:ascii="Times New Roman" w:hAnsi="Times New Roman" w:eastAsia="Times New Roman" w:cs="Times New Roman"/>
          <w:spacing w:val="-12"/>
          <w:sz w:val="24"/>
          <w:szCs w:val="24"/>
        </w:rPr>
        <w:t xml:space="preserve">S </w:t>
      </w:r>
      <w:r>
        <w:rPr>
          <w:rFonts w:ascii="宋体" w:hAnsi="宋体" w:eastAsia="宋体" w:cs="宋体"/>
          <w:spacing w:val="2"/>
          <w:sz w:val="24"/>
          <w:szCs w:val="24"/>
        </w:rPr>
        <w:t>含量</w:t>
      </w:r>
      <w:r>
        <w:rPr>
          <w:rFonts w:ascii="Times New Roman" w:hAnsi="Times New Roman" w:eastAsia="Times New Roman" w:cs="Times New Roman"/>
          <w:spacing w:val="2"/>
          <w:sz w:val="24"/>
          <w:szCs w:val="24"/>
        </w:rPr>
        <w:t>28.1g/m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10"/>
          <w:position w:val="8"/>
          <w:sz w:val="16"/>
          <w:szCs w:val="16"/>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甲烷含量约为</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638g/m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8"/>
          <w:position w:val="9"/>
          <w:sz w:val="16"/>
          <w:szCs w:val="16"/>
        </w:rPr>
        <w:t xml:space="preserve"> </w:t>
      </w:r>
      <w:r>
        <w:rPr>
          <w:rFonts w:ascii="宋体" w:hAnsi="宋体" w:eastAsia="宋体" w:cs="宋体"/>
          <w:spacing w:val="-2"/>
          <w:sz w:val="24"/>
          <w:szCs w:val="24"/>
        </w:rPr>
        <w:t xml:space="preserve">。预计本井井喷失控 </w:t>
      </w:r>
      <w:r>
        <w:rPr>
          <w:rFonts w:ascii="Times New Roman" w:hAnsi="Times New Roman" w:eastAsia="Times New Roman" w:cs="Times New Roman"/>
          <w:spacing w:val="-2"/>
          <w:sz w:val="24"/>
          <w:szCs w:val="24"/>
        </w:rPr>
        <w:t>15mi</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40"/>
          <w:w w:val="101"/>
          <w:sz w:val="24"/>
          <w:szCs w:val="24"/>
        </w:rPr>
        <w:t xml:space="preserve"> </w:t>
      </w:r>
      <w:r>
        <w:rPr>
          <w:rFonts w:ascii="宋体" w:hAnsi="宋体" w:eastAsia="宋体" w:cs="宋体"/>
          <w:spacing w:val="-3"/>
          <w:sz w:val="24"/>
          <w:szCs w:val="24"/>
        </w:rPr>
        <w:t>泄漏天然气量估算为</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2.049</w:t>
      </w:r>
      <w:r>
        <w:rPr>
          <w:rFonts w:ascii="宋体" w:hAnsi="宋体" w:eastAsia="宋体" w:cs="宋体"/>
          <w:spacing w:val="-3"/>
          <w:sz w:val="24"/>
          <w:szCs w:val="24"/>
        </w:rPr>
        <w:t>×</w:t>
      </w:r>
    </w:p>
    <w:p>
      <w:pPr>
        <w:spacing w:line="233" w:lineRule="auto"/>
        <w:ind w:left="138"/>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Times New Roman" w:hAnsi="Times New Roman" w:eastAsia="Times New Roman" w:cs="Times New Roman"/>
          <w:spacing w:val="-4"/>
          <w:position w:val="8"/>
          <w:sz w:val="16"/>
          <w:szCs w:val="16"/>
        </w:rPr>
        <w:t>4</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 xml:space="preserve">3 </w:t>
      </w:r>
      <w:r>
        <w:rPr>
          <w:rFonts w:ascii="宋体" w:hAnsi="宋体" w:eastAsia="宋体" w:cs="宋体"/>
          <w:spacing w:val="-4"/>
          <w:sz w:val="24"/>
          <w:szCs w:val="24"/>
        </w:rPr>
        <w:t>，计算出甲烷泄漏量约为</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26.53t</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4"/>
          <w:position w:val="-2"/>
          <w:sz w:val="16"/>
          <w:szCs w:val="16"/>
        </w:rPr>
        <w:t>2</w:t>
      </w:r>
      <w:r>
        <w:rPr>
          <w:rFonts w:ascii="Times New Roman" w:hAnsi="Times New Roman" w:eastAsia="Times New Roman" w:cs="Times New Roman"/>
          <w:spacing w:val="-23"/>
          <w:position w:val="-2"/>
          <w:sz w:val="16"/>
          <w:szCs w:val="16"/>
        </w:rPr>
        <w:t xml:space="preserve"> </w:t>
      </w:r>
      <w:r>
        <w:rPr>
          <w:rFonts w:ascii="Times New Roman" w:hAnsi="Times New Roman" w:eastAsia="Times New Roman" w:cs="Times New Roman"/>
          <w:spacing w:val="-4"/>
          <w:sz w:val="24"/>
          <w:szCs w:val="24"/>
        </w:rPr>
        <w:t xml:space="preserve">S </w:t>
      </w:r>
      <w:r>
        <w:rPr>
          <w:rFonts w:ascii="宋体" w:hAnsi="宋体" w:eastAsia="宋体" w:cs="宋体"/>
          <w:spacing w:val="-4"/>
          <w:sz w:val="24"/>
          <w:szCs w:val="24"/>
        </w:rPr>
        <w:t>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1.17t</w:t>
      </w:r>
      <w:r>
        <w:rPr>
          <w:rFonts w:ascii="宋体" w:hAnsi="宋体" w:eastAsia="宋体" w:cs="宋体"/>
          <w:spacing w:val="-4"/>
          <w:sz w:val="24"/>
          <w:szCs w:val="24"/>
        </w:rPr>
        <w:t>。</w:t>
      </w:r>
    </w:p>
    <w:p>
      <w:pPr>
        <w:spacing w:before="176" w:line="216" w:lineRule="auto"/>
        <w:ind w:left="598"/>
        <w:rPr>
          <w:rFonts w:ascii="宋体" w:hAnsi="宋体" w:eastAsia="宋体" w:cs="宋体"/>
          <w:sz w:val="24"/>
          <w:szCs w:val="24"/>
        </w:rPr>
      </w:pPr>
      <w:r>
        <w:rPr>
          <w:rFonts w:ascii="宋体" w:hAnsi="宋体" w:eastAsia="宋体" w:cs="宋体"/>
          <w:spacing w:val="-1"/>
          <w:sz w:val="24"/>
          <w:szCs w:val="24"/>
        </w:rPr>
        <w:t>①危险物质数量与临界量比值（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p>
    <w:p>
      <w:pPr>
        <w:spacing w:before="199" w:line="481" w:lineRule="exact"/>
        <w:ind w:left="618"/>
        <w:rPr>
          <w:rFonts w:ascii="宋体" w:hAnsi="宋体" w:eastAsia="宋体" w:cs="宋体"/>
          <w:sz w:val="24"/>
          <w:szCs w:val="24"/>
        </w:rPr>
      </w:pPr>
      <w:r>
        <w:rPr>
          <w:rFonts w:ascii="Times New Roman" w:hAnsi="Times New Roman" w:eastAsia="Times New Roman" w:cs="Times New Roman"/>
          <w:position w:val="18"/>
          <w:sz w:val="24"/>
          <w:szCs w:val="24"/>
        </w:rPr>
        <w:t>1</w:t>
      </w:r>
      <w:r>
        <w:rPr>
          <w:rFonts w:ascii="宋体" w:hAnsi="宋体" w:eastAsia="宋体" w:cs="宋体"/>
          <w:position w:val="18"/>
          <w:sz w:val="24"/>
          <w:szCs w:val="24"/>
        </w:rPr>
        <w:t>）当只涉及一种危险物质时，计算该物质的</w:t>
      </w:r>
      <w:r>
        <w:rPr>
          <w:rFonts w:ascii="宋体" w:hAnsi="宋体" w:eastAsia="宋体" w:cs="宋体"/>
          <w:spacing w:val="-1"/>
          <w:position w:val="18"/>
          <w:sz w:val="24"/>
          <w:szCs w:val="24"/>
        </w:rPr>
        <w:t>总量与其临界量的比值，即为</w:t>
      </w:r>
    </w:p>
    <w:p>
      <w:pPr>
        <w:spacing w:before="1" w:line="215" w:lineRule="auto"/>
        <w:ind w:left="118"/>
        <w:rPr>
          <w:rFonts w:ascii="宋体" w:hAnsi="宋体" w:eastAsia="宋体" w:cs="宋体"/>
          <w:sz w:val="24"/>
          <w:szCs w:val="24"/>
        </w:rPr>
      </w:pPr>
      <w:r>
        <w:rPr>
          <w:rFonts w:ascii="Times New Roman" w:hAnsi="Times New Roman" w:eastAsia="Times New Roman" w:cs="Times New Roman"/>
          <w:spacing w:val="-5"/>
          <w:sz w:val="24"/>
          <w:szCs w:val="24"/>
        </w:rPr>
        <w:t>Q</w:t>
      </w:r>
      <w:r>
        <w:rPr>
          <w:rFonts w:ascii="宋体" w:hAnsi="宋体" w:eastAsia="宋体" w:cs="宋体"/>
          <w:spacing w:val="-5"/>
          <w:sz w:val="24"/>
          <w:szCs w:val="24"/>
        </w:rPr>
        <w:t>；</w:t>
      </w:r>
    </w:p>
    <w:p>
      <w:pPr>
        <w:spacing w:before="199" w:line="216" w:lineRule="auto"/>
        <w:ind w:left="595"/>
        <w:rPr>
          <w:rFonts w:ascii="宋体" w:hAnsi="宋体" w:eastAsia="宋体" w:cs="宋体"/>
          <w:sz w:val="24"/>
          <w:szCs w:val="24"/>
        </w:rPr>
      </w:pPr>
      <w:r>
        <w:rPr>
          <w:rFonts w:ascii="Times New Roman" w:hAnsi="Times New Roman" w:eastAsia="Times New Roman" w:cs="Times New Roman"/>
          <w:spacing w:val="-11"/>
          <w:sz w:val="24"/>
          <w:szCs w:val="24"/>
        </w:rPr>
        <w:t>2</w:t>
      </w:r>
      <w:r>
        <w:rPr>
          <w:rFonts w:ascii="宋体" w:hAnsi="宋体" w:eastAsia="宋体" w:cs="宋体"/>
          <w:spacing w:val="-11"/>
          <w:sz w:val="24"/>
          <w:szCs w:val="24"/>
        </w:rPr>
        <w:t>）当存在多种危险物质时， 则按下式计算物质总量</w:t>
      </w:r>
      <w:r>
        <w:rPr>
          <w:rFonts w:ascii="宋体" w:hAnsi="宋体" w:eastAsia="宋体" w:cs="宋体"/>
          <w:spacing w:val="-12"/>
          <w:sz w:val="24"/>
          <w:szCs w:val="24"/>
        </w:rPr>
        <w:t>与其临界量的比值（</w:t>
      </w:r>
      <w:r>
        <w:rPr>
          <w:rFonts w:ascii="Times New Roman" w:hAnsi="Times New Roman" w:eastAsia="Times New Roman" w:cs="Times New Roman"/>
          <w:spacing w:val="-12"/>
          <w:sz w:val="24"/>
          <w:szCs w:val="24"/>
        </w:rPr>
        <w:t>Q</w:t>
      </w:r>
      <w:r>
        <w:rPr>
          <w:rFonts w:ascii="宋体" w:hAnsi="宋体" w:eastAsia="宋体" w:cs="宋体"/>
          <w:spacing w:val="-44"/>
          <w:sz w:val="24"/>
          <w:szCs w:val="24"/>
        </w:rPr>
        <w:t>）：</w:t>
      </w:r>
    </w:p>
    <w:p>
      <w:pPr>
        <w:spacing w:before="84"/>
        <w:ind w:left="3324"/>
        <w:rPr>
          <w:sz w:val="24"/>
          <w:szCs w:val="24"/>
        </w:rPr>
      </w:pPr>
      <w:r>
        <w:rPr>
          <w:rFonts w:ascii="Times New Roman" w:hAnsi="Times New Roman" w:eastAsia="Times New Roman" w:cs="Times New Roman"/>
          <w:i/>
          <w:iCs/>
          <w:position w:val="2"/>
          <w:sz w:val="24"/>
          <w:szCs w:val="24"/>
        </w:rPr>
        <w:t xml:space="preserve">Q </w:t>
      </w:r>
      <w:r>
        <w:rPr>
          <w:rFonts w:ascii="Symbol" w:hAnsi="Symbol" w:eastAsia="Symbol" w:cs="Symbol"/>
          <w:position w:val="2"/>
          <w:sz w:val="24"/>
          <w:szCs w:val="24"/>
        </w:rPr>
        <w:t>=</w:t>
      </w:r>
      <w:r>
        <w:rPr>
          <w:rFonts w:ascii="Symbol" w:hAnsi="Symbol" w:eastAsia="Symbol" w:cs="Symbol"/>
          <w:spacing w:val="-4"/>
          <w:position w:val="2"/>
          <w:sz w:val="24"/>
          <w:szCs w:val="24"/>
        </w:rPr>
        <w:t xml:space="preserve"> </w:t>
      </w:r>
      <w:r>
        <w:rPr>
          <w:position w:val="-22"/>
          <w:sz w:val="24"/>
          <w:szCs w:val="24"/>
        </w:rPr>
        <w:drawing>
          <wp:inline distT="0" distB="0" distL="0" distR="0">
            <wp:extent cx="163195" cy="36004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70"/>
                    <a:stretch>
                      <a:fillRect/>
                    </a:stretch>
                  </pic:blipFill>
                  <pic:spPr>
                    <a:xfrm>
                      <a:off x="0" y="0"/>
                      <a:ext cx="163342" cy="360262"/>
                    </a:xfrm>
                    <a:prstGeom prst="rect">
                      <a:avLst/>
                    </a:prstGeom>
                  </pic:spPr>
                </pic:pic>
              </a:graphicData>
            </a:graphic>
          </wp:inline>
        </w:drawing>
      </w:r>
      <w:r>
        <w:rPr>
          <w:rFonts w:ascii="Symbol" w:hAnsi="Symbol" w:eastAsia="Symbol" w:cs="Symbol"/>
          <w:spacing w:val="-6"/>
          <w:position w:val="2"/>
          <w:sz w:val="24"/>
          <w:szCs w:val="24"/>
        </w:rPr>
        <w:t xml:space="preserve"> </w:t>
      </w:r>
      <w:r>
        <w:rPr>
          <w:rFonts w:ascii="Symbol" w:hAnsi="Symbol" w:eastAsia="Symbol" w:cs="Symbol"/>
          <w:position w:val="2"/>
          <w:sz w:val="24"/>
          <w:szCs w:val="24"/>
        </w:rPr>
        <w:t>+</w:t>
      </w:r>
      <w:r>
        <w:rPr>
          <w:rFonts w:ascii="Symbol" w:hAnsi="Symbol" w:eastAsia="Symbol" w:cs="Symbol"/>
          <w:spacing w:val="-18"/>
          <w:position w:val="2"/>
          <w:sz w:val="24"/>
          <w:szCs w:val="24"/>
        </w:rPr>
        <w:t xml:space="preserve"> </w:t>
      </w:r>
      <w:r>
        <w:rPr>
          <w:position w:val="-22"/>
          <w:sz w:val="24"/>
          <w:szCs w:val="24"/>
        </w:rPr>
        <w:drawing>
          <wp:inline distT="0" distB="0" distL="0" distR="0">
            <wp:extent cx="179705" cy="36004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71"/>
                    <a:stretch>
                      <a:fillRect/>
                    </a:stretch>
                  </pic:blipFill>
                  <pic:spPr>
                    <a:xfrm>
                      <a:off x="0" y="0"/>
                      <a:ext cx="180043" cy="360262"/>
                    </a:xfrm>
                    <a:prstGeom prst="rect">
                      <a:avLst/>
                    </a:prstGeom>
                  </pic:spPr>
                </pic:pic>
              </a:graphicData>
            </a:graphic>
          </wp:inline>
        </w:drawing>
      </w:r>
      <w:r>
        <w:rPr>
          <w:rFonts w:ascii="Symbol" w:hAnsi="Symbol" w:eastAsia="Symbol" w:cs="Symbol"/>
          <w:spacing w:val="-6"/>
          <w:position w:val="2"/>
          <w:sz w:val="24"/>
          <w:szCs w:val="24"/>
        </w:rPr>
        <w:t xml:space="preserve"> </w:t>
      </w:r>
      <w:r>
        <w:rPr>
          <w:rFonts w:ascii="Symbol" w:hAnsi="Symbol" w:eastAsia="Symbol" w:cs="Symbol"/>
          <w:position w:val="2"/>
          <w:sz w:val="24"/>
          <w:szCs w:val="24"/>
        </w:rPr>
        <w:t>+</w:t>
      </w:r>
      <w:r>
        <w:rPr>
          <w:rFonts w:ascii="Symbol" w:hAnsi="Symbol" w:eastAsia="Symbol" w:cs="Symbol"/>
          <w:spacing w:val="-18"/>
          <w:position w:val="2"/>
          <w:sz w:val="24"/>
          <w:szCs w:val="24"/>
        </w:rPr>
        <w:t xml:space="preserve"> </w:t>
      </w:r>
      <w:r>
        <w:rPr>
          <w:rFonts w:ascii="Times New Roman" w:hAnsi="Times New Roman" w:eastAsia="Times New Roman" w:cs="Times New Roman"/>
          <w:position w:val="2"/>
          <w:sz w:val="24"/>
          <w:szCs w:val="24"/>
        </w:rPr>
        <w:t>...</w:t>
      </w:r>
      <w:r>
        <w:rPr>
          <w:position w:val="-25"/>
          <w:sz w:val="24"/>
          <w:szCs w:val="24"/>
        </w:rPr>
        <w:drawing>
          <wp:inline distT="0" distB="0" distL="0" distR="0">
            <wp:extent cx="181610" cy="37973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72"/>
                    <a:stretch>
                      <a:fillRect/>
                    </a:stretch>
                  </pic:blipFill>
                  <pic:spPr>
                    <a:xfrm>
                      <a:off x="0" y="0"/>
                      <a:ext cx="181898" cy="379846"/>
                    </a:xfrm>
                    <a:prstGeom prst="rect">
                      <a:avLst/>
                    </a:prstGeom>
                  </pic:spPr>
                </pic:pic>
              </a:graphicData>
            </a:graphic>
          </wp:inline>
        </w:drawing>
      </w:r>
    </w:p>
    <w:p>
      <w:pPr>
        <w:spacing w:before="192" w:line="480" w:lineRule="exact"/>
        <w:ind w:left="604"/>
        <w:rPr>
          <w:rFonts w:ascii="宋体" w:hAnsi="宋体" w:eastAsia="宋体" w:cs="宋体"/>
          <w:sz w:val="24"/>
          <w:szCs w:val="24"/>
        </w:rPr>
      </w:pPr>
      <w:r>
        <w:rPr>
          <w:rFonts w:ascii="宋体" w:hAnsi="宋体" w:eastAsia="宋体" w:cs="宋体"/>
          <w:spacing w:val="-18"/>
          <w:position w:val="18"/>
          <w:sz w:val="24"/>
          <w:szCs w:val="24"/>
        </w:rPr>
        <w:t xml:space="preserve">式中： </w:t>
      </w:r>
      <w:r>
        <w:rPr>
          <w:rFonts w:ascii="Times New Roman" w:hAnsi="Times New Roman" w:eastAsia="Times New Roman" w:cs="Times New Roman"/>
          <w:spacing w:val="-18"/>
          <w:position w:val="18"/>
          <w:sz w:val="24"/>
          <w:szCs w:val="24"/>
        </w:rPr>
        <w:t>q</w:t>
      </w:r>
      <w:r>
        <w:rPr>
          <w:rFonts w:ascii="Times New Roman" w:hAnsi="Times New Roman" w:eastAsia="Times New Roman" w:cs="Times New Roman"/>
          <w:spacing w:val="-18"/>
          <w:position w:val="17"/>
          <w:sz w:val="16"/>
          <w:szCs w:val="16"/>
        </w:rPr>
        <w:t xml:space="preserve">1 </w:t>
      </w:r>
      <w:r>
        <w:rPr>
          <w:rFonts w:ascii="宋体" w:hAnsi="宋体" w:eastAsia="宋体" w:cs="宋体"/>
          <w:spacing w:val="-18"/>
          <w:position w:val="18"/>
          <w:sz w:val="24"/>
          <w:szCs w:val="24"/>
        </w:rPr>
        <w:t>，</w:t>
      </w:r>
      <w:r>
        <w:rPr>
          <w:rFonts w:ascii="Times New Roman" w:hAnsi="Times New Roman" w:eastAsia="Times New Roman" w:cs="Times New Roman"/>
          <w:spacing w:val="-18"/>
          <w:position w:val="18"/>
          <w:sz w:val="24"/>
          <w:szCs w:val="24"/>
        </w:rPr>
        <w:t>q</w:t>
      </w:r>
      <w:r>
        <w:rPr>
          <w:rFonts w:ascii="Times New Roman" w:hAnsi="Times New Roman" w:eastAsia="Times New Roman" w:cs="Times New Roman"/>
          <w:spacing w:val="-18"/>
          <w:position w:val="17"/>
          <w:sz w:val="16"/>
          <w:szCs w:val="16"/>
        </w:rPr>
        <w:t xml:space="preserve">2 </w:t>
      </w:r>
      <w:r>
        <w:rPr>
          <w:rFonts w:ascii="宋体" w:hAnsi="宋体" w:eastAsia="宋体" w:cs="宋体"/>
          <w:spacing w:val="-18"/>
          <w:position w:val="18"/>
          <w:sz w:val="24"/>
          <w:szCs w:val="24"/>
        </w:rPr>
        <w:t>，</w:t>
      </w:r>
      <w:r>
        <w:rPr>
          <w:rFonts w:ascii="宋体" w:hAnsi="宋体" w:eastAsia="宋体" w:cs="宋体"/>
          <w:spacing w:val="-90"/>
          <w:position w:val="18"/>
          <w:sz w:val="24"/>
          <w:szCs w:val="24"/>
        </w:rPr>
        <w:t xml:space="preserve"> </w:t>
      </w:r>
      <w:r>
        <w:rPr>
          <w:rFonts w:ascii="Times New Roman" w:hAnsi="Times New Roman" w:eastAsia="Times New Roman" w:cs="Times New Roman"/>
          <w:spacing w:val="-8"/>
          <w:position w:val="18"/>
          <w:sz w:val="24"/>
          <w:szCs w:val="24"/>
        </w:rPr>
        <w:t>ⅆ</w:t>
      </w:r>
      <w:r>
        <w:rPr>
          <w:rFonts w:ascii="Times New Roman" w:hAnsi="Times New Roman" w:eastAsia="Times New Roman" w:cs="Times New Roman"/>
          <w:spacing w:val="-30"/>
          <w:position w:val="18"/>
          <w:sz w:val="24"/>
          <w:szCs w:val="24"/>
        </w:rPr>
        <w:t xml:space="preserve"> </w:t>
      </w:r>
      <w:r>
        <w:rPr>
          <w:rFonts w:ascii="宋体" w:hAnsi="宋体" w:eastAsia="宋体" w:cs="宋体"/>
          <w:spacing w:val="-8"/>
          <w:position w:val="18"/>
          <w:sz w:val="24"/>
          <w:szCs w:val="24"/>
        </w:rPr>
        <w:t>,</w:t>
      </w:r>
      <w:r>
        <w:rPr>
          <w:rFonts w:ascii="宋体" w:hAnsi="宋体" w:eastAsia="宋体" w:cs="宋体"/>
          <w:spacing w:val="61"/>
          <w:position w:val="18"/>
          <w:sz w:val="24"/>
          <w:szCs w:val="24"/>
        </w:rPr>
        <w:t xml:space="preserve"> </w:t>
      </w:r>
      <w:r>
        <w:rPr>
          <w:rFonts w:ascii="Times New Roman" w:hAnsi="Times New Roman" w:eastAsia="Times New Roman" w:cs="Times New Roman"/>
          <w:spacing w:val="-8"/>
          <w:position w:val="18"/>
          <w:sz w:val="24"/>
          <w:szCs w:val="24"/>
        </w:rPr>
        <w:t>q</w:t>
      </w:r>
      <w:r>
        <w:rPr>
          <w:rFonts w:ascii="Times New Roman" w:hAnsi="Times New Roman" w:eastAsia="Times New Roman" w:cs="Times New Roman"/>
          <w:spacing w:val="-8"/>
          <w:position w:val="17"/>
          <w:sz w:val="16"/>
          <w:szCs w:val="16"/>
        </w:rPr>
        <w:t>n</w:t>
      </w:r>
      <w:r>
        <w:rPr>
          <w:rFonts w:ascii="Times New Roman" w:hAnsi="Times New Roman" w:eastAsia="Times New Roman" w:cs="Times New Roman"/>
          <w:spacing w:val="-8"/>
          <w:position w:val="18"/>
          <w:sz w:val="24"/>
          <w:szCs w:val="24"/>
        </w:rPr>
        <w:t>——</w:t>
      </w:r>
      <w:r>
        <w:rPr>
          <w:rFonts w:ascii="宋体" w:hAnsi="宋体" w:eastAsia="宋体" w:cs="宋体"/>
          <w:spacing w:val="-8"/>
          <w:position w:val="18"/>
          <w:sz w:val="24"/>
          <w:szCs w:val="24"/>
        </w:rPr>
        <w:t>每种危险物质的最大存在总量，</w:t>
      </w:r>
      <w:r>
        <w:rPr>
          <w:rFonts w:ascii="宋体" w:hAnsi="宋体" w:eastAsia="宋体" w:cs="宋体"/>
          <w:spacing w:val="57"/>
          <w:position w:val="18"/>
          <w:sz w:val="24"/>
          <w:szCs w:val="24"/>
        </w:rPr>
        <w:t xml:space="preserve"> </w:t>
      </w:r>
      <w:r>
        <w:rPr>
          <w:rFonts w:ascii="Times New Roman" w:hAnsi="Times New Roman" w:eastAsia="Times New Roman" w:cs="Times New Roman"/>
          <w:spacing w:val="-8"/>
          <w:position w:val="18"/>
          <w:sz w:val="24"/>
          <w:szCs w:val="24"/>
        </w:rPr>
        <w:t>t</w:t>
      </w:r>
      <w:r>
        <w:rPr>
          <w:rFonts w:ascii="宋体" w:hAnsi="宋体" w:eastAsia="宋体" w:cs="宋体"/>
          <w:spacing w:val="-8"/>
          <w:position w:val="18"/>
          <w:sz w:val="24"/>
          <w:szCs w:val="24"/>
        </w:rPr>
        <w:t>；</w:t>
      </w:r>
    </w:p>
    <w:p>
      <w:pPr>
        <w:spacing w:before="1" w:line="215" w:lineRule="auto"/>
        <w:ind w:left="1318"/>
        <w:rPr>
          <w:rFonts w:ascii="宋体" w:hAnsi="宋体" w:eastAsia="宋体" w:cs="宋体"/>
          <w:sz w:val="24"/>
          <w:szCs w:val="24"/>
        </w:rPr>
      </w:pPr>
      <w:r>
        <w:rPr>
          <w:rFonts w:ascii="Times New Roman" w:hAnsi="Times New Roman" w:eastAsia="Times New Roman" w:cs="Times New Roman"/>
          <w:spacing w:val="-10"/>
          <w:sz w:val="24"/>
          <w:szCs w:val="24"/>
        </w:rPr>
        <w:t>Q</w:t>
      </w:r>
      <w:r>
        <w:rPr>
          <w:rFonts w:ascii="Times New Roman" w:hAnsi="Times New Roman" w:eastAsia="Times New Roman" w:cs="Times New Roman"/>
          <w:spacing w:val="-10"/>
          <w:position w:val="-1"/>
          <w:sz w:val="16"/>
          <w:szCs w:val="16"/>
        </w:rPr>
        <w:t>1</w:t>
      </w:r>
      <w:r>
        <w:rPr>
          <w:rFonts w:ascii="Times New Roman" w:hAnsi="Times New Roman" w:eastAsia="Times New Roman" w:cs="Times New Roman"/>
          <w:spacing w:val="-4"/>
          <w:position w:val="-1"/>
          <w:sz w:val="16"/>
          <w:szCs w:val="16"/>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Q</w:t>
      </w:r>
      <w:r>
        <w:rPr>
          <w:rFonts w:ascii="Times New Roman" w:hAnsi="Times New Roman" w:eastAsia="Times New Roman" w:cs="Times New Roman"/>
          <w:spacing w:val="-10"/>
          <w:position w:val="-1"/>
          <w:sz w:val="16"/>
          <w:szCs w:val="16"/>
        </w:rPr>
        <w:t xml:space="preserve">2 </w:t>
      </w:r>
      <w:r>
        <w:rPr>
          <w:rFonts w:ascii="宋体" w:hAnsi="宋体" w:eastAsia="宋体" w:cs="宋体"/>
          <w:spacing w:val="-10"/>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0"/>
          <w:sz w:val="24"/>
          <w:szCs w:val="24"/>
        </w:rPr>
        <w:t>ⅆ</w:t>
      </w:r>
      <w:r>
        <w:rPr>
          <w:rFonts w:ascii="Times New Roman" w:hAnsi="Times New Roman" w:eastAsia="Times New Roman" w:cs="Times New Roman"/>
          <w:spacing w:val="-31"/>
          <w:sz w:val="24"/>
          <w:szCs w:val="24"/>
        </w:rPr>
        <w:t xml:space="preserve"> </w:t>
      </w:r>
      <w:r>
        <w:rPr>
          <w:rFonts w:ascii="宋体" w:hAnsi="宋体" w:eastAsia="宋体" w:cs="宋体"/>
          <w:spacing w:val="-10"/>
          <w:sz w:val="24"/>
          <w:szCs w:val="24"/>
        </w:rPr>
        <w:t>,</w:t>
      </w:r>
      <w:r>
        <w:rPr>
          <w:rFonts w:ascii="宋体" w:hAnsi="宋体" w:eastAsia="宋体" w:cs="宋体"/>
          <w:spacing w:val="62"/>
          <w:sz w:val="24"/>
          <w:szCs w:val="24"/>
        </w:rPr>
        <w:t xml:space="preserve"> </w:t>
      </w:r>
      <w:r>
        <w:rPr>
          <w:rFonts w:ascii="Times New Roman" w:hAnsi="Times New Roman" w:eastAsia="Times New Roman" w:cs="Times New Roman"/>
          <w:spacing w:val="-10"/>
          <w:sz w:val="24"/>
          <w:szCs w:val="24"/>
        </w:rPr>
        <w:t>Qn——</w:t>
      </w:r>
      <w:r>
        <w:rPr>
          <w:rFonts w:ascii="宋体" w:hAnsi="宋体" w:eastAsia="宋体" w:cs="宋体"/>
          <w:spacing w:val="-10"/>
          <w:sz w:val="24"/>
          <w:szCs w:val="24"/>
        </w:rPr>
        <w:t>每种危险物质的临界量，</w:t>
      </w:r>
      <w:r>
        <w:rPr>
          <w:rFonts w:ascii="宋体" w:hAnsi="宋体" w:eastAsia="宋体" w:cs="宋体"/>
          <w:spacing w:val="57"/>
          <w:sz w:val="24"/>
          <w:szCs w:val="24"/>
        </w:rPr>
        <w:t xml:space="preserve"> </w:t>
      </w:r>
      <w:r>
        <w:rPr>
          <w:rFonts w:ascii="Times New Roman" w:hAnsi="Times New Roman" w:eastAsia="Times New Roman" w:cs="Times New Roman"/>
          <w:spacing w:val="-10"/>
          <w:sz w:val="24"/>
          <w:szCs w:val="24"/>
        </w:rPr>
        <w:t>t</w:t>
      </w:r>
      <w:r>
        <w:rPr>
          <w:rFonts w:ascii="宋体" w:hAnsi="宋体" w:eastAsia="宋体" w:cs="宋体"/>
          <w:spacing w:val="-10"/>
          <w:sz w:val="24"/>
          <w:szCs w:val="24"/>
        </w:rPr>
        <w:t>。</w:t>
      </w:r>
    </w:p>
    <w:p>
      <w:pPr>
        <w:spacing w:before="199" w:line="216" w:lineRule="auto"/>
        <w:ind w:left="1334"/>
        <w:rPr>
          <w:rFonts w:ascii="宋体" w:hAnsi="宋体" w:eastAsia="宋体" w:cs="宋体"/>
          <w:sz w:val="24"/>
          <w:szCs w:val="24"/>
        </w:rPr>
      </w:pPr>
      <w:r>
        <w:rPr>
          <w:rFonts w:ascii="宋体" w:hAnsi="宋体" w:eastAsia="宋体" w:cs="宋体"/>
          <w:spacing w:val="-3"/>
          <w:sz w:val="24"/>
          <w:szCs w:val="24"/>
        </w:rPr>
        <w:t>当</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时，该项目环境风险潜势为</w:t>
      </w:r>
      <w:r>
        <w:rPr>
          <w:rFonts w:ascii="Times New Roman" w:hAnsi="Times New Roman" w:eastAsia="Times New Roman" w:cs="Times New Roman"/>
          <w:spacing w:val="-3"/>
          <w:sz w:val="24"/>
          <w:szCs w:val="24"/>
        </w:rPr>
        <w:t>Ⅰ</w:t>
      </w:r>
      <w:r>
        <w:rPr>
          <w:rFonts w:ascii="宋体" w:hAnsi="宋体" w:eastAsia="宋体" w:cs="宋体"/>
          <w:spacing w:val="-3"/>
          <w:sz w:val="24"/>
          <w:szCs w:val="24"/>
        </w:rPr>
        <w:t>。</w:t>
      </w:r>
    </w:p>
    <w:p>
      <w:pPr>
        <w:spacing w:before="200" w:line="480" w:lineRule="exact"/>
        <w:ind w:left="1334"/>
        <w:rPr>
          <w:rFonts w:ascii="宋体" w:hAnsi="宋体" w:eastAsia="宋体" w:cs="宋体"/>
          <w:sz w:val="24"/>
          <w:szCs w:val="24"/>
        </w:rPr>
      </w:pPr>
      <w:r>
        <w:rPr>
          <w:rFonts w:ascii="宋体" w:hAnsi="宋体" w:eastAsia="宋体" w:cs="宋体"/>
          <w:spacing w:val="-14"/>
          <w:position w:val="18"/>
          <w:sz w:val="24"/>
          <w:szCs w:val="24"/>
        </w:rPr>
        <w:t>当</w:t>
      </w:r>
      <w:r>
        <w:rPr>
          <w:rFonts w:ascii="宋体" w:hAnsi="宋体" w:eastAsia="宋体" w:cs="宋体"/>
          <w:spacing w:val="-40"/>
          <w:position w:val="18"/>
          <w:sz w:val="24"/>
          <w:szCs w:val="24"/>
        </w:rPr>
        <w:t xml:space="preserve"> </w:t>
      </w:r>
      <w:r>
        <w:rPr>
          <w:rFonts w:ascii="Times New Roman" w:hAnsi="Times New Roman" w:eastAsia="Times New Roman" w:cs="Times New Roman"/>
          <w:spacing w:val="-14"/>
          <w:position w:val="18"/>
          <w:sz w:val="24"/>
          <w:szCs w:val="24"/>
        </w:rPr>
        <w:t>Q≤1</w:t>
      </w:r>
      <w:r>
        <w:rPr>
          <w:rFonts w:ascii="Times New Roman" w:hAnsi="Times New Roman" w:eastAsia="Times New Roman" w:cs="Times New Roman"/>
          <w:spacing w:val="20"/>
          <w:w w:val="101"/>
          <w:position w:val="18"/>
          <w:sz w:val="24"/>
          <w:szCs w:val="24"/>
        </w:rPr>
        <w:t xml:space="preserve"> </w:t>
      </w:r>
      <w:r>
        <w:rPr>
          <w:rFonts w:ascii="宋体" w:hAnsi="宋体" w:eastAsia="宋体" w:cs="宋体"/>
          <w:spacing w:val="-14"/>
          <w:position w:val="18"/>
          <w:sz w:val="24"/>
          <w:szCs w:val="24"/>
        </w:rPr>
        <w:t>时，将</w:t>
      </w:r>
      <w:r>
        <w:rPr>
          <w:rFonts w:ascii="宋体" w:hAnsi="宋体" w:eastAsia="宋体" w:cs="宋体"/>
          <w:spacing w:val="-51"/>
          <w:position w:val="18"/>
          <w:sz w:val="24"/>
          <w:szCs w:val="24"/>
        </w:rPr>
        <w:t xml:space="preserve"> </w:t>
      </w:r>
      <w:r>
        <w:rPr>
          <w:rFonts w:ascii="Times New Roman" w:hAnsi="Times New Roman" w:eastAsia="Times New Roman" w:cs="Times New Roman"/>
          <w:spacing w:val="-14"/>
          <w:position w:val="18"/>
          <w:sz w:val="24"/>
          <w:szCs w:val="24"/>
        </w:rPr>
        <w:t xml:space="preserve">Q </w:t>
      </w:r>
      <w:r>
        <w:rPr>
          <w:rFonts w:ascii="宋体" w:hAnsi="宋体" w:eastAsia="宋体" w:cs="宋体"/>
          <w:spacing w:val="-14"/>
          <w:position w:val="18"/>
          <w:sz w:val="24"/>
          <w:szCs w:val="24"/>
        </w:rPr>
        <w:t>值划分为</w:t>
      </w:r>
      <w:r>
        <w:rPr>
          <w:rFonts w:ascii="宋体" w:hAnsi="宋体" w:eastAsia="宋体" w:cs="宋体"/>
          <w:spacing w:val="-48"/>
          <w:w w:val="75"/>
          <w:position w:val="18"/>
          <w:sz w:val="24"/>
          <w:szCs w:val="24"/>
        </w:rPr>
        <w:t>：（</w:t>
      </w:r>
      <w:r>
        <w:rPr>
          <w:rFonts w:ascii="Times New Roman" w:hAnsi="Times New Roman" w:eastAsia="Times New Roman" w:cs="Times New Roman"/>
          <w:spacing w:val="-14"/>
          <w:position w:val="18"/>
          <w:sz w:val="24"/>
          <w:szCs w:val="24"/>
        </w:rPr>
        <w:t>1</w:t>
      </w:r>
      <w:r>
        <w:rPr>
          <w:rFonts w:ascii="宋体" w:hAnsi="宋体" w:eastAsia="宋体" w:cs="宋体"/>
          <w:spacing w:val="-14"/>
          <w:position w:val="18"/>
          <w:sz w:val="24"/>
          <w:szCs w:val="24"/>
        </w:rPr>
        <w:t>）</w:t>
      </w:r>
      <w:r>
        <w:rPr>
          <w:rFonts w:ascii="Times New Roman" w:hAnsi="Times New Roman" w:eastAsia="Times New Roman" w:cs="Times New Roman"/>
          <w:spacing w:val="-14"/>
          <w:position w:val="18"/>
          <w:sz w:val="24"/>
          <w:szCs w:val="24"/>
        </w:rPr>
        <w:t>1≤Q</w:t>
      </w:r>
      <w:r>
        <w:rPr>
          <w:rFonts w:ascii="宋体" w:hAnsi="宋体" w:eastAsia="宋体" w:cs="宋体"/>
          <w:spacing w:val="-14"/>
          <w:position w:val="18"/>
          <w:sz w:val="24"/>
          <w:szCs w:val="24"/>
        </w:rPr>
        <w:t>＜</w:t>
      </w:r>
      <w:r>
        <w:rPr>
          <w:rFonts w:ascii="Times New Roman" w:hAnsi="Times New Roman" w:eastAsia="Times New Roman" w:cs="Times New Roman"/>
          <w:spacing w:val="-14"/>
          <w:position w:val="18"/>
          <w:sz w:val="24"/>
          <w:szCs w:val="24"/>
        </w:rPr>
        <w:t>10</w:t>
      </w:r>
      <w:r>
        <w:rPr>
          <w:rFonts w:ascii="宋体" w:hAnsi="宋体" w:eastAsia="宋体" w:cs="宋体"/>
          <w:spacing w:val="-48"/>
          <w:w w:val="75"/>
          <w:position w:val="18"/>
          <w:sz w:val="24"/>
          <w:szCs w:val="24"/>
        </w:rPr>
        <w:t>；（</w:t>
      </w:r>
      <w:r>
        <w:rPr>
          <w:rFonts w:ascii="Times New Roman" w:hAnsi="Times New Roman" w:eastAsia="Times New Roman" w:cs="Times New Roman"/>
          <w:spacing w:val="-14"/>
          <w:position w:val="18"/>
          <w:sz w:val="24"/>
          <w:szCs w:val="24"/>
        </w:rPr>
        <w:t>2</w:t>
      </w:r>
      <w:r>
        <w:rPr>
          <w:rFonts w:ascii="宋体" w:hAnsi="宋体" w:eastAsia="宋体" w:cs="宋体"/>
          <w:spacing w:val="-14"/>
          <w:position w:val="18"/>
          <w:sz w:val="24"/>
          <w:szCs w:val="24"/>
        </w:rPr>
        <w:t>）</w:t>
      </w:r>
      <w:r>
        <w:rPr>
          <w:rFonts w:ascii="Times New Roman" w:hAnsi="Times New Roman" w:eastAsia="Times New Roman" w:cs="Times New Roman"/>
          <w:spacing w:val="-14"/>
          <w:position w:val="18"/>
          <w:sz w:val="24"/>
          <w:szCs w:val="24"/>
        </w:rPr>
        <w:t>10≤Q</w:t>
      </w:r>
      <w:r>
        <w:rPr>
          <w:rFonts w:ascii="宋体" w:hAnsi="宋体" w:eastAsia="宋体" w:cs="宋体"/>
          <w:spacing w:val="-14"/>
          <w:position w:val="18"/>
          <w:sz w:val="24"/>
          <w:szCs w:val="24"/>
        </w:rPr>
        <w:t>＜</w:t>
      </w:r>
      <w:r>
        <w:rPr>
          <w:rFonts w:ascii="Times New Roman" w:hAnsi="Times New Roman" w:eastAsia="Times New Roman" w:cs="Times New Roman"/>
          <w:spacing w:val="-14"/>
          <w:position w:val="18"/>
          <w:sz w:val="24"/>
          <w:szCs w:val="24"/>
        </w:rPr>
        <w:t>100</w:t>
      </w:r>
      <w:r>
        <w:rPr>
          <w:rFonts w:ascii="宋体" w:hAnsi="宋体" w:eastAsia="宋体" w:cs="宋体"/>
          <w:spacing w:val="-48"/>
          <w:w w:val="75"/>
          <w:position w:val="18"/>
          <w:sz w:val="24"/>
          <w:szCs w:val="24"/>
        </w:rPr>
        <w:t>；（</w:t>
      </w:r>
      <w:r>
        <w:rPr>
          <w:rFonts w:ascii="Times New Roman" w:hAnsi="Times New Roman" w:eastAsia="Times New Roman" w:cs="Times New Roman"/>
          <w:spacing w:val="-14"/>
          <w:position w:val="18"/>
          <w:sz w:val="24"/>
          <w:szCs w:val="24"/>
        </w:rPr>
        <w:t>3</w:t>
      </w:r>
      <w:r>
        <w:rPr>
          <w:rFonts w:ascii="宋体" w:hAnsi="宋体" w:eastAsia="宋体" w:cs="宋体"/>
          <w:spacing w:val="-14"/>
          <w:position w:val="18"/>
          <w:sz w:val="24"/>
          <w:szCs w:val="24"/>
        </w:rPr>
        <w:t>）</w:t>
      </w:r>
      <w:r>
        <w:rPr>
          <w:rFonts w:ascii="Times New Roman" w:hAnsi="Times New Roman" w:eastAsia="Times New Roman" w:cs="Times New Roman"/>
          <w:spacing w:val="-14"/>
          <w:position w:val="18"/>
          <w:sz w:val="24"/>
          <w:szCs w:val="24"/>
        </w:rPr>
        <w:t>Q≥100</w:t>
      </w:r>
      <w:r>
        <w:rPr>
          <w:rFonts w:ascii="宋体" w:hAnsi="宋体" w:eastAsia="宋体" w:cs="宋体"/>
          <w:spacing w:val="-14"/>
          <w:position w:val="18"/>
          <w:sz w:val="24"/>
          <w:szCs w:val="24"/>
        </w:rPr>
        <w:t>。</w:t>
      </w:r>
    </w:p>
    <w:p>
      <w:pPr>
        <w:spacing w:before="1" w:line="219" w:lineRule="auto"/>
        <w:ind w:left="604"/>
        <w:rPr>
          <w:rFonts w:ascii="宋体" w:hAnsi="宋体" w:eastAsia="宋体" w:cs="宋体"/>
          <w:sz w:val="24"/>
          <w:szCs w:val="24"/>
        </w:rPr>
      </w:pPr>
      <w:r>
        <w:rPr>
          <w:rFonts w:ascii="宋体" w:hAnsi="宋体" w:eastAsia="宋体" w:cs="宋体"/>
          <w:spacing w:val="-5"/>
          <w:sz w:val="24"/>
          <w:szCs w:val="24"/>
        </w:rPr>
        <w:t>具体见下表</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3.1-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pPr>
        <w:spacing w:before="194" w:line="220" w:lineRule="auto"/>
        <w:ind w:left="2187"/>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3"/>
          <w:sz w:val="24"/>
          <w:szCs w:val="24"/>
        </w:rPr>
        <w:t xml:space="preserve"> </w:t>
      </w:r>
      <w:r>
        <w:rPr>
          <w:rFonts w:ascii="Times New Roman" w:hAnsi="Times New Roman" w:eastAsia="Times New Roman" w:cs="Times New Roman"/>
          <w:b/>
          <w:bCs/>
          <w:sz w:val="24"/>
          <w:szCs w:val="24"/>
        </w:rPr>
        <w:t xml:space="preserve">3.1-1    </w:t>
      </w:r>
      <w:r>
        <w:rPr>
          <w:rFonts w:ascii="宋体" w:hAnsi="宋体" w:eastAsia="宋体" w:cs="宋体"/>
          <w:sz w:val="24"/>
          <w:szCs w:val="24"/>
          <w14:textOutline w14:w="4354" w14:cap="flat" w14:cmpd="sng">
            <w14:solidFill>
              <w14:srgbClr w14:val="000000"/>
            </w14:solidFill>
            <w14:prstDash w14:val="solid"/>
            <w14:miter w14:val="10"/>
          </w14:textOutline>
        </w:rPr>
        <w:t>危险物质数量与临界</w:t>
      </w:r>
      <w:r>
        <w:rPr>
          <w:rFonts w:ascii="宋体" w:hAnsi="宋体" w:eastAsia="宋体" w:cs="宋体"/>
          <w:spacing w:val="-1"/>
          <w:sz w:val="24"/>
          <w:szCs w:val="24"/>
          <w14:textOutline w14:w="4354" w14:cap="flat" w14:cmpd="sng">
            <w14:solidFill>
              <w14:srgbClr w14:val="000000"/>
            </w14:solidFill>
            <w14:prstDash w14:val="solid"/>
            <w14:miter w14:val="10"/>
          </w14:textOutline>
        </w:rPr>
        <w:t>量比值表</w:t>
      </w:r>
    </w:p>
    <w:p>
      <w:pPr>
        <w:spacing w:line="16"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7"/>
        <w:gridCol w:w="1418"/>
        <w:gridCol w:w="2125"/>
        <w:gridCol w:w="1566"/>
        <w:gridCol w:w="1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377" w:type="dxa"/>
            <w:vAlign w:val="top"/>
          </w:tcPr>
          <w:p>
            <w:pPr>
              <w:pStyle w:val="6"/>
              <w:spacing w:before="171" w:line="221" w:lineRule="auto"/>
              <w:ind w:left="567"/>
              <w:rPr>
                <w:sz w:val="21"/>
                <w:szCs w:val="21"/>
              </w:rPr>
            </w:pPr>
            <w:r>
              <w:rPr>
                <w:spacing w:val="-2"/>
                <w:sz w:val="21"/>
                <w:szCs w:val="21"/>
              </w:rPr>
              <w:t>危险物质名称</w:t>
            </w:r>
          </w:p>
        </w:tc>
        <w:tc>
          <w:tcPr>
            <w:tcW w:w="1418" w:type="dxa"/>
            <w:vAlign w:val="top"/>
          </w:tcPr>
          <w:p>
            <w:pPr>
              <w:pStyle w:val="6"/>
              <w:spacing w:before="171" w:line="222" w:lineRule="auto"/>
              <w:ind w:left="376"/>
              <w:rPr>
                <w:sz w:val="21"/>
                <w:szCs w:val="21"/>
              </w:rPr>
            </w:pPr>
            <w:r>
              <w:rPr>
                <w:rFonts w:ascii="Times New Roman" w:hAnsi="Times New Roman" w:eastAsia="Times New Roman" w:cs="Times New Roman"/>
                <w:spacing w:val="-2"/>
                <w:sz w:val="21"/>
                <w:szCs w:val="21"/>
              </w:rPr>
              <w:t>CAS</w:t>
            </w:r>
            <w:r>
              <w:rPr>
                <w:rFonts w:ascii="Times New Roman" w:hAnsi="Times New Roman" w:eastAsia="Times New Roman" w:cs="Times New Roman"/>
                <w:spacing w:val="14"/>
                <w:w w:val="101"/>
                <w:sz w:val="21"/>
                <w:szCs w:val="21"/>
              </w:rPr>
              <w:t xml:space="preserve"> </w:t>
            </w:r>
            <w:r>
              <w:rPr>
                <w:spacing w:val="-2"/>
                <w:sz w:val="21"/>
                <w:szCs w:val="21"/>
              </w:rPr>
              <w:t>号</w:t>
            </w:r>
          </w:p>
        </w:tc>
        <w:tc>
          <w:tcPr>
            <w:tcW w:w="2125" w:type="dxa"/>
            <w:vAlign w:val="top"/>
          </w:tcPr>
          <w:p>
            <w:pPr>
              <w:pStyle w:val="6"/>
              <w:spacing w:before="33" w:line="224" w:lineRule="auto"/>
              <w:ind w:left="798" w:right="111" w:hanging="672"/>
              <w:rPr>
                <w:rFonts w:ascii="Times New Roman" w:hAnsi="Times New Roman" w:eastAsia="Times New Roman" w:cs="Times New Roman"/>
                <w:sz w:val="21"/>
                <w:szCs w:val="21"/>
              </w:rPr>
            </w:pPr>
            <w:r>
              <w:rPr>
                <w:spacing w:val="-1"/>
                <w:sz w:val="21"/>
                <w:szCs w:val="21"/>
              </w:rPr>
              <w:t>一个贮存周期最大暂</w:t>
            </w:r>
            <w:r>
              <w:rPr>
                <w:sz w:val="21"/>
                <w:szCs w:val="21"/>
              </w:rPr>
              <w:t xml:space="preserve"> </w:t>
            </w:r>
            <w:r>
              <w:rPr>
                <w:spacing w:val="-2"/>
                <w:sz w:val="21"/>
                <w:szCs w:val="21"/>
              </w:rPr>
              <w:t>存量</w:t>
            </w:r>
            <w:r>
              <w:rPr>
                <w:rFonts w:ascii="Times New Roman" w:hAnsi="Times New Roman" w:eastAsia="Times New Roman" w:cs="Times New Roman"/>
                <w:spacing w:val="-2"/>
                <w:sz w:val="21"/>
                <w:szCs w:val="21"/>
              </w:rPr>
              <w:t>/t</w:t>
            </w:r>
          </w:p>
        </w:tc>
        <w:tc>
          <w:tcPr>
            <w:tcW w:w="1566" w:type="dxa"/>
            <w:vAlign w:val="top"/>
          </w:tcPr>
          <w:p>
            <w:pPr>
              <w:pStyle w:val="6"/>
              <w:spacing w:before="33" w:line="241" w:lineRule="auto"/>
              <w:ind w:left="484"/>
              <w:rPr>
                <w:sz w:val="21"/>
                <w:szCs w:val="21"/>
              </w:rPr>
            </w:pPr>
            <w:r>
              <w:rPr>
                <w:spacing w:val="-4"/>
                <w:sz w:val="21"/>
                <w:szCs w:val="21"/>
              </w:rPr>
              <w:t>临界量</w:t>
            </w:r>
          </w:p>
          <w:p>
            <w:pPr>
              <w:pStyle w:val="6"/>
              <w:spacing w:line="206" w:lineRule="auto"/>
              <w:ind w:left="520"/>
              <w:rPr>
                <w:sz w:val="21"/>
                <w:szCs w:val="21"/>
              </w:rPr>
            </w:pPr>
            <w:r>
              <w:rPr>
                <w:spacing w:val="-5"/>
                <w:sz w:val="21"/>
                <w:szCs w:val="21"/>
              </w:rPr>
              <w:t>（</w:t>
            </w:r>
            <w:r>
              <w:rPr>
                <w:rFonts w:ascii="Times New Roman" w:hAnsi="Times New Roman" w:eastAsia="Times New Roman" w:cs="Times New Roman"/>
                <w:spacing w:val="-5"/>
                <w:sz w:val="21"/>
                <w:szCs w:val="21"/>
              </w:rPr>
              <w:t>T</w:t>
            </w:r>
            <w:r>
              <w:rPr>
                <w:spacing w:val="-5"/>
                <w:sz w:val="21"/>
                <w:szCs w:val="21"/>
              </w:rPr>
              <w:t>）</w:t>
            </w:r>
          </w:p>
        </w:tc>
        <w:tc>
          <w:tcPr>
            <w:tcW w:w="1042" w:type="dxa"/>
            <w:vAlign w:val="top"/>
          </w:tcPr>
          <w:p>
            <w:pPr>
              <w:pStyle w:val="6"/>
              <w:spacing w:before="171" w:line="217" w:lineRule="auto"/>
              <w:ind w:left="317"/>
              <w:rPr>
                <w:sz w:val="21"/>
                <w:szCs w:val="21"/>
              </w:rPr>
            </w:pPr>
            <w:r>
              <w:rPr>
                <w:rFonts w:ascii="Times New Roman" w:hAnsi="Times New Roman" w:eastAsia="Times New Roman" w:cs="Times New Roman"/>
                <w:spacing w:val="-4"/>
                <w:sz w:val="21"/>
                <w:szCs w:val="21"/>
              </w:rPr>
              <w:t>Q</w:t>
            </w:r>
            <w:r>
              <w:rPr>
                <w:rFonts w:ascii="Times New Roman" w:hAnsi="Times New Roman" w:eastAsia="Times New Roman" w:cs="Times New Roman"/>
                <w:spacing w:val="10"/>
                <w:sz w:val="21"/>
                <w:szCs w:val="21"/>
              </w:rPr>
              <w:t xml:space="preserve"> </w:t>
            </w:r>
            <w:r>
              <w:rPr>
                <w:spacing w:val="-4"/>
                <w:sz w:val="21"/>
                <w:szCs w:val="21"/>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7" w:type="dxa"/>
            <w:vAlign w:val="top"/>
          </w:tcPr>
          <w:p>
            <w:pPr>
              <w:pStyle w:val="6"/>
              <w:spacing w:before="64" w:line="221" w:lineRule="auto"/>
              <w:ind w:left="1012"/>
              <w:rPr>
                <w:sz w:val="21"/>
                <w:szCs w:val="21"/>
              </w:rPr>
            </w:pPr>
            <w:r>
              <w:rPr>
                <w:spacing w:val="-9"/>
                <w:sz w:val="21"/>
                <w:szCs w:val="21"/>
              </w:rPr>
              <w:t>甲烷</w:t>
            </w:r>
          </w:p>
        </w:tc>
        <w:tc>
          <w:tcPr>
            <w:tcW w:w="1418" w:type="dxa"/>
            <w:vAlign w:val="top"/>
          </w:tcPr>
          <w:p>
            <w:pPr>
              <w:spacing w:before="102"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74-82-8</w:t>
            </w:r>
          </w:p>
        </w:tc>
        <w:tc>
          <w:tcPr>
            <w:tcW w:w="2125" w:type="dxa"/>
            <w:vAlign w:val="top"/>
          </w:tcPr>
          <w:p>
            <w:pPr>
              <w:spacing w:before="102" w:line="187" w:lineRule="auto"/>
              <w:ind w:left="8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26.53</w:t>
            </w:r>
          </w:p>
        </w:tc>
        <w:tc>
          <w:tcPr>
            <w:tcW w:w="1566" w:type="dxa"/>
            <w:vAlign w:val="top"/>
          </w:tcPr>
          <w:p>
            <w:pPr>
              <w:spacing w:before="102" w:line="187" w:lineRule="auto"/>
              <w:ind w:left="6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42" w:type="dxa"/>
            <w:vAlign w:val="top"/>
          </w:tcPr>
          <w:p>
            <w:pPr>
              <w:spacing w:before="102"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7" w:type="dxa"/>
            <w:vAlign w:val="top"/>
          </w:tcPr>
          <w:p>
            <w:pPr>
              <w:pStyle w:val="6"/>
              <w:spacing w:before="64" w:line="222" w:lineRule="auto"/>
              <w:ind w:left="878"/>
              <w:rPr>
                <w:sz w:val="21"/>
                <w:szCs w:val="21"/>
              </w:rPr>
            </w:pPr>
            <w:r>
              <w:rPr>
                <w:spacing w:val="-1"/>
                <w:sz w:val="21"/>
                <w:szCs w:val="21"/>
              </w:rPr>
              <w:t>硫化氢</w:t>
            </w:r>
          </w:p>
        </w:tc>
        <w:tc>
          <w:tcPr>
            <w:tcW w:w="1418" w:type="dxa"/>
            <w:vAlign w:val="top"/>
          </w:tcPr>
          <w:p>
            <w:pPr>
              <w:spacing w:before="10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7783-06-4</w:t>
            </w:r>
          </w:p>
        </w:tc>
        <w:tc>
          <w:tcPr>
            <w:tcW w:w="2125" w:type="dxa"/>
            <w:vAlign w:val="top"/>
          </w:tcPr>
          <w:p>
            <w:pPr>
              <w:spacing w:before="103" w:line="187" w:lineRule="auto"/>
              <w:ind w:left="9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1.17</w:t>
            </w:r>
          </w:p>
        </w:tc>
        <w:tc>
          <w:tcPr>
            <w:tcW w:w="1566" w:type="dxa"/>
            <w:vAlign w:val="top"/>
          </w:tcPr>
          <w:p>
            <w:pPr>
              <w:spacing w:before="103" w:line="187"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042"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7" w:type="dxa"/>
            <w:vAlign w:val="top"/>
          </w:tcPr>
          <w:p>
            <w:pPr>
              <w:pStyle w:val="6"/>
              <w:spacing w:before="64" w:line="221" w:lineRule="auto"/>
              <w:ind w:left="384"/>
              <w:rPr>
                <w:sz w:val="21"/>
                <w:szCs w:val="21"/>
              </w:rPr>
            </w:pPr>
            <w:r>
              <w:rPr>
                <w:spacing w:val="-5"/>
                <w:sz w:val="21"/>
                <w:szCs w:val="21"/>
              </w:rPr>
              <w:t>白油（油类物质）</w:t>
            </w:r>
          </w:p>
        </w:tc>
        <w:tc>
          <w:tcPr>
            <w:tcW w:w="1418" w:type="dxa"/>
            <w:vAlign w:val="top"/>
          </w:tcPr>
          <w:p>
            <w:pPr>
              <w:spacing w:before="100" w:line="233" w:lineRule="auto"/>
              <w:ind w:left="6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25" w:type="dxa"/>
            <w:vAlign w:val="top"/>
          </w:tcPr>
          <w:p>
            <w:pPr>
              <w:spacing w:before="103" w:line="187" w:lineRule="auto"/>
              <w:ind w:left="97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566" w:type="dxa"/>
            <w:vAlign w:val="top"/>
          </w:tcPr>
          <w:p>
            <w:pPr>
              <w:spacing w:before="103"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042" w:type="dxa"/>
            <w:vAlign w:val="top"/>
          </w:tcPr>
          <w:p>
            <w:pPr>
              <w:spacing w:before="103" w:line="187"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377" w:type="dxa"/>
            <w:vAlign w:val="top"/>
          </w:tcPr>
          <w:p>
            <w:pPr>
              <w:pStyle w:val="6"/>
              <w:spacing w:before="65" w:line="221" w:lineRule="auto"/>
              <w:ind w:left="353"/>
              <w:rPr>
                <w:sz w:val="21"/>
                <w:szCs w:val="21"/>
              </w:rPr>
            </w:pPr>
            <w:r>
              <w:rPr>
                <w:spacing w:val="-1"/>
                <w:sz w:val="21"/>
                <w:szCs w:val="21"/>
              </w:rPr>
              <w:t>柴油（油类物质）</w:t>
            </w:r>
          </w:p>
        </w:tc>
        <w:tc>
          <w:tcPr>
            <w:tcW w:w="1418" w:type="dxa"/>
            <w:vAlign w:val="top"/>
          </w:tcPr>
          <w:p>
            <w:pPr>
              <w:spacing w:before="100" w:line="230" w:lineRule="auto"/>
              <w:ind w:left="6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25" w:type="dxa"/>
            <w:vAlign w:val="top"/>
          </w:tcPr>
          <w:p>
            <w:pPr>
              <w:spacing w:before="104" w:line="187" w:lineRule="auto"/>
              <w:ind w:left="8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1566" w:type="dxa"/>
            <w:vAlign w:val="top"/>
          </w:tcPr>
          <w:p>
            <w:pPr>
              <w:spacing w:before="104"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042" w:type="dxa"/>
            <w:vAlign w:val="top"/>
          </w:tcPr>
          <w:p>
            <w:pPr>
              <w:spacing w:before="10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77" w:type="dxa"/>
            <w:vAlign w:val="top"/>
          </w:tcPr>
          <w:p>
            <w:pPr>
              <w:pStyle w:val="6"/>
              <w:spacing w:before="68" w:line="221" w:lineRule="auto"/>
              <w:ind w:left="352"/>
              <w:rPr>
                <w:sz w:val="21"/>
                <w:szCs w:val="21"/>
              </w:rPr>
            </w:pPr>
            <w:r>
              <w:rPr>
                <w:spacing w:val="-1"/>
                <w:sz w:val="21"/>
                <w:szCs w:val="21"/>
              </w:rPr>
              <w:t>废油（油类物质）</w:t>
            </w:r>
          </w:p>
        </w:tc>
        <w:tc>
          <w:tcPr>
            <w:tcW w:w="1418" w:type="dxa"/>
            <w:vAlign w:val="top"/>
          </w:tcPr>
          <w:p>
            <w:pPr>
              <w:spacing w:before="103" w:line="230" w:lineRule="auto"/>
              <w:ind w:left="6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25" w:type="dxa"/>
            <w:vAlign w:val="top"/>
          </w:tcPr>
          <w:p>
            <w:pPr>
              <w:spacing w:before="107" w:line="187" w:lineRule="auto"/>
              <w:ind w:left="9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566" w:type="dxa"/>
            <w:vAlign w:val="top"/>
          </w:tcPr>
          <w:p>
            <w:pPr>
              <w:spacing w:before="107"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042" w:type="dxa"/>
            <w:vAlign w:val="top"/>
          </w:tcPr>
          <w:p>
            <w:pPr>
              <w:spacing w:before="107" w:line="187"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77" w:type="dxa"/>
            <w:vAlign w:val="top"/>
          </w:tcPr>
          <w:p>
            <w:pPr>
              <w:pStyle w:val="6"/>
              <w:spacing w:before="32" w:line="221" w:lineRule="auto"/>
              <w:ind w:left="776"/>
              <w:rPr>
                <w:sz w:val="21"/>
                <w:szCs w:val="21"/>
              </w:rPr>
            </w:pPr>
            <w:r>
              <w:rPr>
                <w:spacing w:val="-3"/>
                <w:sz w:val="21"/>
                <w:szCs w:val="21"/>
              </w:rPr>
              <w:t>油基泥浆</w:t>
            </w:r>
          </w:p>
          <w:p>
            <w:pPr>
              <w:pStyle w:val="6"/>
              <w:spacing w:before="22" w:line="204" w:lineRule="auto"/>
              <w:ind w:left="359"/>
              <w:rPr>
                <w:sz w:val="21"/>
                <w:szCs w:val="21"/>
              </w:rPr>
            </w:pPr>
            <w:r>
              <w:rPr>
                <w:spacing w:val="-2"/>
                <w:sz w:val="21"/>
                <w:szCs w:val="21"/>
              </w:rPr>
              <w:t>（参考油类物质）</w:t>
            </w:r>
          </w:p>
        </w:tc>
        <w:tc>
          <w:tcPr>
            <w:tcW w:w="1418" w:type="dxa"/>
            <w:vAlign w:val="top"/>
          </w:tcPr>
          <w:p>
            <w:pPr>
              <w:spacing w:before="205" w:line="233" w:lineRule="auto"/>
              <w:ind w:left="6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25" w:type="dxa"/>
            <w:vAlign w:val="top"/>
          </w:tcPr>
          <w:p>
            <w:pPr>
              <w:spacing w:before="208" w:line="187" w:lineRule="auto"/>
              <w:ind w:left="9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w:t>
            </w:r>
          </w:p>
        </w:tc>
        <w:tc>
          <w:tcPr>
            <w:tcW w:w="1566" w:type="dxa"/>
            <w:vAlign w:val="top"/>
          </w:tcPr>
          <w:p>
            <w:pPr>
              <w:spacing w:before="208"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042" w:type="dxa"/>
            <w:vAlign w:val="top"/>
          </w:tcPr>
          <w:p>
            <w:pPr>
              <w:spacing w:before="2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377" w:type="dxa"/>
            <w:vAlign w:val="top"/>
          </w:tcPr>
          <w:p>
            <w:pPr>
              <w:pStyle w:val="6"/>
              <w:spacing w:before="36" w:line="221" w:lineRule="auto"/>
              <w:ind w:left="776"/>
              <w:rPr>
                <w:sz w:val="21"/>
                <w:szCs w:val="21"/>
              </w:rPr>
            </w:pPr>
            <w:r>
              <w:rPr>
                <w:spacing w:val="-3"/>
                <w:sz w:val="21"/>
                <w:szCs w:val="21"/>
              </w:rPr>
              <w:t>油基岩屑</w:t>
            </w:r>
          </w:p>
          <w:p>
            <w:pPr>
              <w:pStyle w:val="6"/>
              <w:spacing w:before="19" w:line="206" w:lineRule="auto"/>
              <w:ind w:left="359"/>
              <w:rPr>
                <w:sz w:val="21"/>
                <w:szCs w:val="21"/>
              </w:rPr>
            </w:pPr>
            <w:r>
              <w:rPr>
                <w:spacing w:val="-2"/>
                <w:sz w:val="21"/>
                <w:szCs w:val="21"/>
              </w:rPr>
              <w:t>（参考油类物质）</w:t>
            </w:r>
          </w:p>
        </w:tc>
        <w:tc>
          <w:tcPr>
            <w:tcW w:w="1418" w:type="dxa"/>
            <w:vAlign w:val="top"/>
          </w:tcPr>
          <w:p>
            <w:pPr>
              <w:spacing w:before="206" w:line="233" w:lineRule="auto"/>
              <w:ind w:left="6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25" w:type="dxa"/>
            <w:vAlign w:val="top"/>
          </w:tcPr>
          <w:p>
            <w:pPr>
              <w:spacing w:before="209" w:line="187" w:lineRule="auto"/>
              <w:ind w:left="8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25.65</w:t>
            </w:r>
          </w:p>
        </w:tc>
        <w:tc>
          <w:tcPr>
            <w:tcW w:w="1566" w:type="dxa"/>
            <w:vAlign w:val="top"/>
          </w:tcPr>
          <w:p>
            <w:pPr>
              <w:spacing w:before="209"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042" w:type="dxa"/>
            <w:vAlign w:val="top"/>
          </w:tcPr>
          <w:p>
            <w:pPr>
              <w:spacing w:before="20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377" w:type="dxa"/>
            <w:vAlign w:val="top"/>
          </w:tcPr>
          <w:p>
            <w:pPr>
              <w:pStyle w:val="6"/>
              <w:spacing w:before="67" w:line="222" w:lineRule="auto"/>
              <w:ind w:left="986"/>
              <w:rPr>
                <w:sz w:val="21"/>
                <w:szCs w:val="21"/>
              </w:rPr>
            </w:pPr>
            <w:r>
              <w:rPr>
                <w:spacing w:val="-2"/>
                <w:sz w:val="21"/>
                <w:szCs w:val="21"/>
              </w:rPr>
              <w:t>盐酸</w:t>
            </w:r>
          </w:p>
        </w:tc>
        <w:tc>
          <w:tcPr>
            <w:tcW w:w="1418"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7647-01-0</w:t>
            </w:r>
          </w:p>
        </w:tc>
        <w:tc>
          <w:tcPr>
            <w:tcW w:w="2125" w:type="dxa"/>
            <w:vAlign w:val="top"/>
          </w:tcPr>
          <w:p>
            <w:pPr>
              <w:spacing w:before="106" w:line="187" w:lineRule="auto"/>
              <w:ind w:left="8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118.7</w:t>
            </w:r>
          </w:p>
        </w:tc>
        <w:tc>
          <w:tcPr>
            <w:tcW w:w="1566" w:type="dxa"/>
            <w:vAlign w:val="top"/>
          </w:tcPr>
          <w:p>
            <w:pPr>
              <w:spacing w:before="106" w:line="187" w:lineRule="auto"/>
              <w:ind w:left="64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042" w:type="dxa"/>
            <w:vAlign w:val="top"/>
          </w:tcPr>
          <w:p>
            <w:pPr>
              <w:spacing w:before="106"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486" w:type="dxa"/>
            <w:gridSpan w:val="4"/>
            <w:vAlign w:val="top"/>
          </w:tcPr>
          <w:p>
            <w:pPr>
              <w:pStyle w:val="6"/>
              <w:spacing w:before="71" w:line="222" w:lineRule="auto"/>
              <w:ind w:left="3542"/>
              <w:rPr>
                <w:sz w:val="21"/>
                <w:szCs w:val="21"/>
              </w:rPr>
            </w:pPr>
            <w:r>
              <w:rPr>
                <w:spacing w:val="-2"/>
                <w:sz w:val="21"/>
                <w:szCs w:val="21"/>
              </w:rPr>
              <w:t>合计</w:t>
            </w:r>
          </w:p>
        </w:tc>
        <w:tc>
          <w:tcPr>
            <w:tcW w:w="1042" w:type="dxa"/>
            <w:vAlign w:val="top"/>
          </w:tcPr>
          <w:p>
            <w:pPr>
              <w:spacing w:before="109"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4.4343</w:t>
            </w:r>
          </w:p>
        </w:tc>
      </w:tr>
    </w:tbl>
    <w:p>
      <w:pPr>
        <w:spacing w:before="178" w:line="480" w:lineRule="exact"/>
        <w:ind w:left="599"/>
        <w:rPr>
          <w:rFonts w:ascii="宋体" w:hAnsi="宋体" w:eastAsia="宋体" w:cs="宋体"/>
          <w:sz w:val="24"/>
          <w:szCs w:val="24"/>
        </w:rPr>
      </w:pPr>
      <w:r>
        <w:rPr>
          <w:rFonts w:ascii="宋体" w:hAnsi="宋体" w:eastAsia="宋体" w:cs="宋体"/>
          <w:spacing w:val="-3"/>
          <w:position w:val="18"/>
          <w:sz w:val="24"/>
          <w:szCs w:val="24"/>
        </w:rPr>
        <w:t>根据</w:t>
      </w:r>
      <w:r>
        <w:rPr>
          <w:rFonts w:ascii="宋体" w:hAnsi="宋体" w:eastAsia="宋体" w:cs="宋体"/>
          <w:spacing w:val="-50"/>
          <w:position w:val="18"/>
          <w:sz w:val="24"/>
          <w:szCs w:val="24"/>
        </w:rPr>
        <w:t xml:space="preserve"> </w:t>
      </w:r>
      <w:r>
        <w:rPr>
          <w:rFonts w:ascii="Times New Roman" w:hAnsi="Times New Roman" w:eastAsia="Times New Roman" w:cs="Times New Roman"/>
          <w:spacing w:val="-3"/>
          <w:position w:val="18"/>
          <w:sz w:val="24"/>
          <w:szCs w:val="24"/>
        </w:rPr>
        <w:t>3.1-</w:t>
      </w:r>
      <w:r>
        <w:rPr>
          <w:rFonts w:ascii="Times New Roman" w:hAnsi="Times New Roman" w:eastAsia="Times New Roman" w:cs="Times New Roman"/>
          <w:spacing w:val="-33"/>
          <w:position w:val="18"/>
          <w:sz w:val="24"/>
          <w:szCs w:val="24"/>
        </w:rPr>
        <w:t xml:space="preserve"> </w:t>
      </w:r>
      <w:r>
        <w:rPr>
          <w:rFonts w:ascii="Times New Roman" w:hAnsi="Times New Roman" w:eastAsia="Times New Roman" w:cs="Times New Roman"/>
          <w:spacing w:val="-3"/>
          <w:position w:val="18"/>
          <w:sz w:val="24"/>
          <w:szCs w:val="24"/>
        </w:rPr>
        <w:t>1</w:t>
      </w:r>
      <w:r>
        <w:rPr>
          <w:rFonts w:ascii="宋体" w:hAnsi="宋体" w:eastAsia="宋体" w:cs="宋体"/>
          <w:spacing w:val="-3"/>
          <w:position w:val="18"/>
          <w:sz w:val="24"/>
          <w:szCs w:val="24"/>
        </w:rPr>
        <w:t>，项目危险物质与临界量比值</w:t>
      </w:r>
      <w:r>
        <w:rPr>
          <w:rFonts w:ascii="宋体" w:hAnsi="宋体" w:eastAsia="宋体" w:cs="宋体"/>
          <w:spacing w:val="-41"/>
          <w:position w:val="18"/>
          <w:sz w:val="24"/>
          <w:szCs w:val="24"/>
        </w:rPr>
        <w:t xml:space="preserve"> </w:t>
      </w:r>
      <w:r>
        <w:rPr>
          <w:rFonts w:ascii="Times New Roman" w:hAnsi="Times New Roman" w:eastAsia="Times New Roman" w:cs="Times New Roman"/>
          <w:spacing w:val="-3"/>
          <w:position w:val="18"/>
          <w:sz w:val="24"/>
          <w:szCs w:val="24"/>
        </w:rPr>
        <w:t>Q</w:t>
      </w:r>
      <w:r>
        <w:rPr>
          <w:rFonts w:ascii="Times New Roman" w:hAnsi="Times New Roman" w:eastAsia="Times New Roman" w:cs="Times New Roman"/>
          <w:spacing w:val="15"/>
          <w:position w:val="18"/>
          <w:sz w:val="24"/>
          <w:szCs w:val="24"/>
        </w:rPr>
        <w:t xml:space="preserve"> </w:t>
      </w:r>
      <w:r>
        <w:rPr>
          <w:rFonts w:ascii="宋体" w:hAnsi="宋体" w:eastAsia="宋体" w:cs="宋体"/>
          <w:spacing w:val="-3"/>
          <w:position w:val="18"/>
          <w:sz w:val="24"/>
          <w:szCs w:val="24"/>
        </w:rPr>
        <w:t>约为</w:t>
      </w:r>
      <w:r>
        <w:rPr>
          <w:rFonts w:ascii="宋体" w:hAnsi="宋体" w:eastAsia="宋体" w:cs="宋体"/>
          <w:spacing w:val="-56"/>
          <w:position w:val="18"/>
          <w:sz w:val="24"/>
          <w:szCs w:val="24"/>
        </w:rPr>
        <w:t xml:space="preserve"> </w:t>
      </w:r>
      <w:r>
        <w:rPr>
          <w:rFonts w:ascii="Times New Roman" w:hAnsi="Times New Roman" w:eastAsia="Times New Roman" w:cs="Times New Roman"/>
          <w:spacing w:val="-3"/>
          <w:position w:val="18"/>
          <w:sz w:val="24"/>
          <w:szCs w:val="24"/>
        </w:rPr>
        <w:t>4.4343</w:t>
      </w:r>
      <w:r>
        <w:rPr>
          <w:rFonts w:ascii="Times New Roman" w:hAnsi="Times New Roman" w:eastAsia="Times New Roman" w:cs="Times New Roman"/>
          <w:spacing w:val="-31"/>
          <w:position w:val="18"/>
          <w:sz w:val="24"/>
          <w:szCs w:val="24"/>
        </w:rPr>
        <w:t xml:space="preserve"> </w:t>
      </w:r>
      <w:r>
        <w:rPr>
          <w:rFonts w:ascii="宋体" w:hAnsi="宋体" w:eastAsia="宋体" w:cs="宋体"/>
          <w:spacing w:val="-3"/>
          <w:position w:val="18"/>
          <w:sz w:val="24"/>
          <w:szCs w:val="24"/>
        </w:rPr>
        <w:t>，</w:t>
      </w:r>
      <w:r>
        <w:rPr>
          <w:rFonts w:ascii="Times New Roman" w:hAnsi="Times New Roman" w:eastAsia="Times New Roman" w:cs="Times New Roman"/>
          <w:spacing w:val="-3"/>
          <w:position w:val="18"/>
          <w:sz w:val="24"/>
          <w:szCs w:val="24"/>
        </w:rPr>
        <w:t>1≤Q</w:t>
      </w:r>
      <w:r>
        <w:rPr>
          <w:rFonts w:ascii="宋体" w:hAnsi="宋体" w:eastAsia="宋体" w:cs="宋体"/>
          <w:spacing w:val="-4"/>
          <w:position w:val="18"/>
          <w:sz w:val="24"/>
          <w:szCs w:val="24"/>
        </w:rPr>
        <w:t>＜</w:t>
      </w:r>
      <w:r>
        <w:rPr>
          <w:rFonts w:ascii="Times New Roman" w:hAnsi="Times New Roman" w:eastAsia="Times New Roman" w:cs="Times New Roman"/>
          <w:spacing w:val="-4"/>
          <w:position w:val="18"/>
          <w:sz w:val="24"/>
          <w:szCs w:val="24"/>
        </w:rPr>
        <w:t>10</w:t>
      </w:r>
      <w:r>
        <w:rPr>
          <w:rFonts w:ascii="宋体" w:hAnsi="宋体" w:eastAsia="宋体" w:cs="宋体"/>
          <w:spacing w:val="-4"/>
          <w:position w:val="18"/>
          <w:sz w:val="24"/>
          <w:szCs w:val="24"/>
        </w:rPr>
        <w:t>。</w:t>
      </w:r>
    </w:p>
    <w:p>
      <w:pPr>
        <w:spacing w:before="1" w:line="217" w:lineRule="auto"/>
        <w:ind w:left="597"/>
        <w:rPr>
          <w:rFonts w:ascii="宋体" w:hAnsi="宋体" w:eastAsia="宋体" w:cs="宋体"/>
          <w:sz w:val="24"/>
          <w:szCs w:val="24"/>
        </w:rPr>
      </w:pPr>
      <w:r>
        <w:rPr>
          <w:rFonts w:ascii="宋体" w:hAnsi="宋体" w:eastAsia="宋体" w:cs="宋体"/>
          <w:spacing w:val="-1"/>
          <w:sz w:val="24"/>
          <w:szCs w:val="24"/>
        </w:rPr>
        <w:t>②行业及生产工艺（</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pPr>
        <w:spacing w:line="217" w:lineRule="auto"/>
        <w:rPr>
          <w:rFonts w:ascii="宋体" w:hAnsi="宋体" w:eastAsia="宋体" w:cs="宋体"/>
          <w:sz w:val="24"/>
          <w:szCs w:val="24"/>
        </w:rPr>
        <w:sectPr>
          <w:headerReference r:id="rId218" w:type="default"/>
          <w:footerReference r:id="rId219" w:type="default"/>
          <w:pgSz w:w="11907" w:h="16839"/>
          <w:pgMar w:top="1123" w:right="1685" w:bottom="1149" w:left="1687" w:header="1108" w:footer="988" w:gutter="0"/>
          <w:cols w:space="720" w:num="1"/>
        </w:sectPr>
      </w:pPr>
    </w:p>
    <w:p>
      <w:pPr>
        <w:pStyle w:val="2"/>
        <w:spacing w:line="415" w:lineRule="auto"/>
        <w:rPr>
          <w:sz w:val="21"/>
        </w:rPr>
      </w:pPr>
    </w:p>
    <w:p>
      <w:pPr>
        <w:spacing w:before="78" w:line="369" w:lineRule="auto"/>
        <w:ind w:left="122" w:right="9" w:firstLine="482"/>
        <w:rPr>
          <w:rFonts w:ascii="宋体" w:hAnsi="宋体" w:eastAsia="宋体" w:cs="宋体"/>
          <w:sz w:val="24"/>
          <w:szCs w:val="24"/>
        </w:rPr>
      </w:pPr>
      <w:r>
        <w:rPr>
          <w:rFonts w:ascii="宋体" w:hAnsi="宋体" w:eastAsia="宋体" w:cs="宋体"/>
          <w:sz w:val="24"/>
          <w:szCs w:val="24"/>
        </w:rPr>
        <w:t>分析项目所属行业及生产工艺特点，按《建设项目环境风险评价技术导则》</w:t>
      </w:r>
      <w:r>
        <w:rPr>
          <w:rFonts w:ascii="宋体" w:hAnsi="宋体" w:eastAsia="宋体" w:cs="宋体"/>
          <w:spacing w:val="3"/>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HJ169-2018</w:t>
      </w:r>
      <w:r>
        <w:rPr>
          <w:rFonts w:ascii="宋体" w:hAnsi="宋体" w:eastAsia="宋体" w:cs="宋体"/>
          <w:spacing w:val="-6"/>
          <w:sz w:val="24"/>
          <w:szCs w:val="24"/>
        </w:rPr>
        <w:t>）附录</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C </w:t>
      </w:r>
      <w:r>
        <w:rPr>
          <w:rFonts w:ascii="宋体" w:hAnsi="宋体" w:eastAsia="宋体" w:cs="宋体"/>
          <w:spacing w:val="-6"/>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C.1 </w:t>
      </w:r>
      <w:r>
        <w:rPr>
          <w:rFonts w:ascii="宋体" w:hAnsi="宋体" w:eastAsia="宋体" w:cs="宋体"/>
          <w:spacing w:val="-6"/>
          <w:sz w:val="24"/>
          <w:szCs w:val="24"/>
        </w:rPr>
        <w:t>评估生产工艺情况</w:t>
      </w:r>
      <w:r>
        <w:rPr>
          <w:rFonts w:ascii="宋体" w:hAnsi="宋体" w:eastAsia="宋体" w:cs="宋体"/>
          <w:spacing w:val="-7"/>
          <w:sz w:val="24"/>
          <w:szCs w:val="24"/>
        </w:rPr>
        <w:t>。具有多套工艺单元的项目，</w:t>
      </w:r>
      <w:r>
        <w:rPr>
          <w:rFonts w:ascii="宋体" w:hAnsi="宋体" w:eastAsia="宋体" w:cs="宋体"/>
          <w:spacing w:val="30"/>
          <w:sz w:val="24"/>
          <w:szCs w:val="24"/>
        </w:rPr>
        <w:t xml:space="preserve"> </w:t>
      </w:r>
      <w:r>
        <w:rPr>
          <w:rFonts w:ascii="宋体" w:hAnsi="宋体" w:eastAsia="宋体" w:cs="宋体"/>
          <w:spacing w:val="-7"/>
          <w:sz w:val="24"/>
          <w:szCs w:val="24"/>
        </w:rPr>
        <w:t>对</w:t>
      </w:r>
      <w:r>
        <w:rPr>
          <w:rFonts w:ascii="宋体" w:hAnsi="宋体" w:eastAsia="宋体" w:cs="宋体"/>
          <w:sz w:val="24"/>
          <w:szCs w:val="24"/>
        </w:rPr>
        <w:t xml:space="preserve">  </w:t>
      </w:r>
      <w:r>
        <w:rPr>
          <w:rFonts w:ascii="宋体" w:hAnsi="宋体" w:eastAsia="宋体" w:cs="宋体"/>
          <w:spacing w:val="-1"/>
          <w:sz w:val="24"/>
          <w:szCs w:val="24"/>
        </w:rPr>
        <w:t>每套生产工艺分别评分并求和。将</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M </w:t>
      </w:r>
      <w:r>
        <w:rPr>
          <w:rFonts w:ascii="宋体" w:hAnsi="宋体" w:eastAsia="宋体" w:cs="宋体"/>
          <w:spacing w:val="-1"/>
          <w:sz w:val="24"/>
          <w:szCs w:val="24"/>
        </w:rPr>
        <w:t>划分为（</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55"/>
          <w:w w:val="86"/>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M≤20</w:t>
      </w:r>
      <w:r>
        <w:rPr>
          <w:rFonts w:ascii="宋体" w:hAnsi="宋体" w:eastAsia="宋体" w:cs="宋体"/>
          <w:spacing w:val="-55"/>
          <w:w w:val="86"/>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p>
    <w:p>
      <w:pPr>
        <w:spacing w:line="234" w:lineRule="auto"/>
        <w:ind w:left="124"/>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r>
        <w:rPr>
          <w:rFonts w:ascii="Times New Roman" w:hAnsi="Times New Roman" w:eastAsia="Times New Roman" w:cs="Times New Roman"/>
          <w:spacing w:val="-3"/>
          <w:sz w:val="24"/>
          <w:szCs w:val="24"/>
        </w:rPr>
        <w:t>M≤10</w:t>
      </w:r>
      <w:r>
        <w:rPr>
          <w:rFonts w:ascii="宋体" w:hAnsi="宋体" w:eastAsia="宋体" w:cs="宋体"/>
          <w:spacing w:val="-61"/>
          <w:w w:val="95"/>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r>
        <w:rPr>
          <w:rFonts w:ascii="Times New Roman" w:hAnsi="Times New Roman" w:eastAsia="Times New Roman" w:cs="Times New Roman"/>
          <w:spacing w:val="-3"/>
          <w:sz w:val="24"/>
          <w:szCs w:val="24"/>
        </w:rPr>
        <w:t>M=5</w:t>
      </w:r>
      <w:r>
        <w:rPr>
          <w:rFonts w:ascii="宋体" w:hAnsi="宋体" w:eastAsia="宋体" w:cs="宋体"/>
          <w:spacing w:val="-3"/>
          <w:sz w:val="24"/>
          <w:szCs w:val="24"/>
        </w:rPr>
        <w:t>，分别以</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M1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M2</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M3 </w:t>
      </w:r>
      <w:r>
        <w:rPr>
          <w:rFonts w:ascii="宋体" w:hAnsi="宋体" w:eastAsia="宋体" w:cs="宋体"/>
          <w:spacing w:val="-3"/>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M4 </w:t>
      </w:r>
      <w:r>
        <w:rPr>
          <w:rFonts w:ascii="宋体" w:hAnsi="宋体" w:eastAsia="宋体" w:cs="宋体"/>
          <w:spacing w:val="-3"/>
          <w:sz w:val="24"/>
          <w:szCs w:val="24"/>
        </w:rPr>
        <w:t>表示。</w:t>
      </w:r>
    </w:p>
    <w:p>
      <w:pPr>
        <w:spacing w:before="175" w:line="220" w:lineRule="auto"/>
        <w:ind w:left="605"/>
        <w:rPr>
          <w:rFonts w:ascii="宋体" w:hAnsi="宋体" w:eastAsia="宋体" w:cs="宋体"/>
          <w:sz w:val="24"/>
          <w:szCs w:val="24"/>
        </w:rPr>
      </w:pPr>
      <w:r>
        <w:rPr>
          <w:rFonts w:ascii="宋体" w:hAnsi="宋体" w:eastAsia="宋体" w:cs="宋体"/>
          <w:spacing w:val="-4"/>
          <w:sz w:val="24"/>
          <w:szCs w:val="24"/>
        </w:rPr>
        <w:t>项目行业及生产工艺（</w:t>
      </w:r>
      <w:r>
        <w:rPr>
          <w:rFonts w:ascii="Times New Roman" w:hAnsi="Times New Roman" w:eastAsia="Times New Roman" w:cs="Times New Roman"/>
          <w:spacing w:val="-4"/>
          <w:sz w:val="24"/>
          <w:szCs w:val="24"/>
        </w:rPr>
        <w:t>M</w:t>
      </w:r>
      <w:r>
        <w:rPr>
          <w:rFonts w:ascii="宋体" w:hAnsi="宋体" w:eastAsia="宋体" w:cs="宋体"/>
          <w:spacing w:val="-4"/>
          <w:sz w:val="24"/>
          <w:szCs w:val="24"/>
        </w:rPr>
        <w:t>）如下表：</w:t>
      </w:r>
    </w:p>
    <w:p>
      <w:pPr>
        <w:spacing w:before="194" w:line="220" w:lineRule="auto"/>
        <w:ind w:left="2377"/>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3.2-2      </w:t>
      </w:r>
      <w:r>
        <w:rPr>
          <w:rFonts w:ascii="宋体" w:hAnsi="宋体" w:eastAsia="宋体" w:cs="宋体"/>
          <w:spacing w:val="-1"/>
          <w:sz w:val="24"/>
          <w:szCs w:val="24"/>
          <w14:textOutline w14:w="4354" w14:cap="flat" w14:cmpd="sng">
            <w14:solidFill>
              <w14:srgbClr w14:val="000000"/>
            </w14:solidFill>
            <w14:prstDash w14:val="solid"/>
            <w14:miter w14:val="10"/>
          </w14:textOutline>
        </w:rPr>
        <w:t>行业及生产工艺（</w:t>
      </w:r>
      <w:r>
        <w:rPr>
          <w:rFonts w:ascii="Times New Roman" w:hAnsi="Times New Roman" w:eastAsia="Times New Roman" w:cs="Times New Roman"/>
          <w:b/>
          <w:bCs/>
          <w:spacing w:val="-1"/>
          <w:sz w:val="24"/>
          <w:szCs w:val="24"/>
        </w:rPr>
        <w:t>M</w:t>
      </w:r>
      <w:r>
        <w:rPr>
          <w:rFonts w:ascii="宋体" w:hAnsi="宋体" w:eastAsia="宋体" w:cs="宋体"/>
          <w:spacing w:val="-1"/>
          <w:sz w:val="24"/>
          <w:szCs w:val="24"/>
          <w14:textOutline w14:w="4354" w14:cap="flat" w14:cmpd="sng">
            <w14:solidFill>
              <w14:srgbClr w14:val="000000"/>
            </w14:solidFill>
            <w14:prstDash w14:val="solid"/>
            <w14:miter w14:val="10"/>
          </w14:textOutline>
        </w:rPr>
        <w:t>）表</w:t>
      </w:r>
    </w:p>
    <w:p>
      <w:pPr>
        <w:spacing w:line="1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4436"/>
        <w:gridCol w:w="1000"/>
        <w:gridCol w:w="1253"/>
        <w:gridCol w:w="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41" w:type="dxa"/>
            <w:vAlign w:val="top"/>
          </w:tcPr>
          <w:p>
            <w:pPr>
              <w:pStyle w:val="6"/>
              <w:spacing w:before="171" w:line="221" w:lineRule="auto"/>
              <w:ind w:left="368"/>
              <w:rPr>
                <w:sz w:val="21"/>
                <w:szCs w:val="21"/>
              </w:rPr>
            </w:pPr>
            <w:r>
              <w:rPr>
                <w:spacing w:val="-3"/>
                <w:sz w:val="21"/>
                <w:szCs w:val="21"/>
              </w:rPr>
              <w:t>行业</w:t>
            </w:r>
          </w:p>
        </w:tc>
        <w:tc>
          <w:tcPr>
            <w:tcW w:w="4436" w:type="dxa"/>
            <w:vAlign w:val="top"/>
          </w:tcPr>
          <w:p>
            <w:pPr>
              <w:pStyle w:val="6"/>
              <w:spacing w:before="171" w:line="219" w:lineRule="auto"/>
              <w:ind w:left="1799"/>
              <w:rPr>
                <w:sz w:val="21"/>
                <w:szCs w:val="21"/>
              </w:rPr>
            </w:pPr>
            <w:r>
              <w:rPr>
                <w:spacing w:val="-1"/>
                <w:sz w:val="21"/>
                <w:szCs w:val="21"/>
              </w:rPr>
              <w:t>评估依据</w:t>
            </w:r>
          </w:p>
        </w:tc>
        <w:tc>
          <w:tcPr>
            <w:tcW w:w="1000" w:type="dxa"/>
            <w:vAlign w:val="top"/>
          </w:tcPr>
          <w:p>
            <w:pPr>
              <w:pStyle w:val="6"/>
              <w:spacing w:before="170" w:line="221" w:lineRule="auto"/>
              <w:ind w:left="300"/>
              <w:rPr>
                <w:sz w:val="21"/>
                <w:szCs w:val="21"/>
              </w:rPr>
            </w:pPr>
            <w:r>
              <w:rPr>
                <w:spacing w:val="-3"/>
                <w:sz w:val="21"/>
                <w:szCs w:val="21"/>
              </w:rPr>
              <w:t>分值</w:t>
            </w:r>
          </w:p>
        </w:tc>
        <w:tc>
          <w:tcPr>
            <w:tcW w:w="1253" w:type="dxa"/>
            <w:vAlign w:val="top"/>
          </w:tcPr>
          <w:p>
            <w:pPr>
              <w:pStyle w:val="6"/>
              <w:spacing w:before="171" w:line="221" w:lineRule="auto"/>
              <w:ind w:left="215"/>
              <w:rPr>
                <w:sz w:val="21"/>
                <w:szCs w:val="21"/>
              </w:rPr>
            </w:pPr>
            <w:r>
              <w:rPr>
                <w:spacing w:val="-3"/>
                <w:sz w:val="21"/>
                <w:szCs w:val="21"/>
              </w:rPr>
              <w:t>项目情况</w:t>
            </w:r>
          </w:p>
        </w:tc>
        <w:tc>
          <w:tcPr>
            <w:tcW w:w="703" w:type="dxa"/>
            <w:vAlign w:val="top"/>
          </w:tcPr>
          <w:p>
            <w:pPr>
              <w:pStyle w:val="6"/>
              <w:spacing w:before="34" w:line="224" w:lineRule="auto"/>
              <w:ind w:left="150" w:right="136"/>
              <w:rPr>
                <w:sz w:val="21"/>
                <w:szCs w:val="21"/>
              </w:rPr>
            </w:pPr>
            <w:r>
              <w:rPr>
                <w:spacing w:val="-5"/>
                <w:sz w:val="21"/>
                <w:szCs w:val="21"/>
              </w:rPr>
              <w:t>项目</w:t>
            </w:r>
            <w:r>
              <w:rPr>
                <w:sz w:val="21"/>
                <w:szCs w:val="21"/>
              </w:rPr>
              <w:t xml:space="preserve"> </w:t>
            </w:r>
            <w:r>
              <w:rPr>
                <w:spacing w:val="-5"/>
                <w:sz w:val="21"/>
                <w:szCs w:val="21"/>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41" w:type="dxa"/>
            <w:vMerge w:val="restart"/>
            <w:tcBorders>
              <w:bottom w:val="nil"/>
            </w:tcBorders>
            <w:vAlign w:val="top"/>
          </w:tcPr>
          <w:p>
            <w:pPr>
              <w:spacing w:line="274" w:lineRule="auto"/>
              <w:rPr>
                <w:rFonts w:ascii="Arial"/>
                <w:sz w:val="21"/>
              </w:rPr>
            </w:pPr>
          </w:p>
          <w:p>
            <w:pPr>
              <w:spacing w:line="275" w:lineRule="auto"/>
              <w:rPr>
                <w:rFonts w:ascii="Arial"/>
                <w:sz w:val="21"/>
              </w:rPr>
            </w:pPr>
          </w:p>
          <w:p>
            <w:pPr>
              <w:pStyle w:val="6"/>
              <w:spacing w:before="68" w:line="222" w:lineRule="auto"/>
              <w:ind w:left="157"/>
              <w:rPr>
                <w:sz w:val="21"/>
                <w:szCs w:val="21"/>
              </w:rPr>
            </w:pPr>
            <w:r>
              <w:rPr>
                <w:spacing w:val="-2"/>
                <w:sz w:val="21"/>
                <w:szCs w:val="21"/>
              </w:rPr>
              <w:t>石化、化</w:t>
            </w:r>
          </w:p>
          <w:p>
            <w:pPr>
              <w:pStyle w:val="6"/>
              <w:spacing w:before="18" w:line="221" w:lineRule="auto"/>
              <w:ind w:right="14"/>
              <w:jc w:val="right"/>
              <w:rPr>
                <w:sz w:val="21"/>
                <w:szCs w:val="21"/>
              </w:rPr>
            </w:pPr>
            <w:r>
              <w:rPr>
                <w:spacing w:val="-10"/>
                <w:sz w:val="21"/>
                <w:szCs w:val="21"/>
              </w:rPr>
              <w:t>工、医药、</w:t>
            </w:r>
          </w:p>
          <w:p>
            <w:pPr>
              <w:pStyle w:val="6"/>
              <w:spacing w:before="18" w:line="221" w:lineRule="auto"/>
              <w:ind w:left="157"/>
              <w:rPr>
                <w:sz w:val="21"/>
                <w:szCs w:val="21"/>
              </w:rPr>
            </w:pPr>
            <w:r>
              <w:rPr>
                <w:spacing w:val="-2"/>
                <w:sz w:val="21"/>
                <w:szCs w:val="21"/>
              </w:rPr>
              <w:t>轻工、化</w:t>
            </w:r>
          </w:p>
          <w:p>
            <w:pPr>
              <w:pStyle w:val="6"/>
              <w:spacing w:before="22" w:line="221" w:lineRule="auto"/>
              <w:ind w:left="161"/>
              <w:rPr>
                <w:sz w:val="21"/>
                <w:szCs w:val="21"/>
              </w:rPr>
            </w:pPr>
            <w:r>
              <w:rPr>
                <w:spacing w:val="-3"/>
                <w:sz w:val="21"/>
                <w:szCs w:val="21"/>
              </w:rPr>
              <w:t>纤、有色</w:t>
            </w:r>
          </w:p>
          <w:p>
            <w:pPr>
              <w:pStyle w:val="6"/>
              <w:spacing w:before="20" w:line="221" w:lineRule="auto"/>
              <w:ind w:left="262"/>
              <w:rPr>
                <w:sz w:val="21"/>
                <w:szCs w:val="21"/>
              </w:rPr>
            </w:pPr>
            <w:r>
              <w:rPr>
                <w:spacing w:val="-2"/>
                <w:sz w:val="21"/>
                <w:szCs w:val="21"/>
              </w:rPr>
              <w:t>冶炼等</w:t>
            </w:r>
          </w:p>
        </w:tc>
        <w:tc>
          <w:tcPr>
            <w:tcW w:w="4436" w:type="dxa"/>
            <w:vAlign w:val="top"/>
          </w:tcPr>
          <w:p>
            <w:pPr>
              <w:pStyle w:val="6"/>
              <w:spacing w:before="29" w:line="221" w:lineRule="auto"/>
              <w:jc w:val="right"/>
              <w:rPr>
                <w:sz w:val="21"/>
                <w:szCs w:val="21"/>
              </w:rPr>
            </w:pPr>
            <w:r>
              <w:rPr>
                <w:spacing w:val="-12"/>
                <w:sz w:val="21"/>
                <w:szCs w:val="21"/>
              </w:rPr>
              <w:t>涉及光气，</w:t>
            </w:r>
            <w:r>
              <w:rPr>
                <w:spacing w:val="-39"/>
                <w:sz w:val="21"/>
                <w:szCs w:val="21"/>
              </w:rPr>
              <w:t xml:space="preserve"> </w:t>
            </w:r>
            <w:r>
              <w:rPr>
                <w:spacing w:val="-12"/>
                <w:sz w:val="21"/>
                <w:szCs w:val="21"/>
              </w:rPr>
              <w:t>及光气化工艺、电解工艺（氯碱） 、</w:t>
            </w:r>
          </w:p>
          <w:p>
            <w:pPr>
              <w:pStyle w:val="6"/>
              <w:spacing w:before="23" w:line="221" w:lineRule="auto"/>
              <w:ind w:left="123"/>
              <w:rPr>
                <w:sz w:val="21"/>
                <w:szCs w:val="21"/>
              </w:rPr>
            </w:pPr>
            <w:r>
              <w:rPr>
                <w:spacing w:val="-1"/>
                <w:sz w:val="21"/>
                <w:szCs w:val="21"/>
              </w:rPr>
              <w:t>氯化工艺、硝化工艺、合成氨工艺、裂解（裂</w:t>
            </w:r>
          </w:p>
          <w:p>
            <w:pPr>
              <w:pStyle w:val="6"/>
              <w:spacing w:before="19" w:line="220" w:lineRule="auto"/>
              <w:ind w:right="17"/>
              <w:jc w:val="right"/>
              <w:rPr>
                <w:sz w:val="21"/>
                <w:szCs w:val="21"/>
              </w:rPr>
            </w:pPr>
            <w:r>
              <w:rPr>
                <w:spacing w:val="-8"/>
                <w:sz w:val="21"/>
                <w:szCs w:val="21"/>
              </w:rPr>
              <w:t>化）</w:t>
            </w:r>
            <w:r>
              <w:rPr>
                <w:spacing w:val="-46"/>
                <w:sz w:val="21"/>
                <w:szCs w:val="21"/>
              </w:rPr>
              <w:t xml:space="preserve"> </w:t>
            </w:r>
            <w:r>
              <w:rPr>
                <w:spacing w:val="-8"/>
                <w:sz w:val="21"/>
                <w:szCs w:val="21"/>
              </w:rPr>
              <w:t>工艺、氟化工艺、加氢工艺、重氮化工艺、</w:t>
            </w:r>
          </w:p>
          <w:p>
            <w:pPr>
              <w:pStyle w:val="6"/>
              <w:spacing w:before="23" w:line="220" w:lineRule="auto"/>
              <w:ind w:left="120"/>
              <w:rPr>
                <w:sz w:val="21"/>
                <w:szCs w:val="21"/>
              </w:rPr>
            </w:pPr>
            <w:r>
              <w:rPr>
                <w:spacing w:val="-1"/>
                <w:sz w:val="21"/>
                <w:szCs w:val="21"/>
              </w:rPr>
              <w:t>氧化工艺、过氧化工艺、胺基化工艺、磺化工</w:t>
            </w:r>
          </w:p>
          <w:p>
            <w:pPr>
              <w:pStyle w:val="6"/>
              <w:spacing w:before="21" w:line="221" w:lineRule="auto"/>
              <w:ind w:right="11"/>
              <w:jc w:val="right"/>
              <w:rPr>
                <w:sz w:val="21"/>
                <w:szCs w:val="21"/>
              </w:rPr>
            </w:pPr>
            <w:r>
              <w:rPr>
                <w:spacing w:val="-6"/>
                <w:sz w:val="21"/>
                <w:szCs w:val="21"/>
              </w:rPr>
              <w:t>艺、聚合工艺、烷基化工艺、新型煤化工工艺、</w:t>
            </w:r>
          </w:p>
          <w:p>
            <w:pPr>
              <w:pStyle w:val="6"/>
              <w:spacing w:before="22" w:line="206" w:lineRule="auto"/>
              <w:ind w:left="984"/>
              <w:rPr>
                <w:sz w:val="21"/>
                <w:szCs w:val="21"/>
              </w:rPr>
            </w:pPr>
            <w:r>
              <w:rPr>
                <w:spacing w:val="-3"/>
                <w:sz w:val="21"/>
                <w:szCs w:val="21"/>
              </w:rPr>
              <w:t>电石生产工艺、偶氮化工艺</w:t>
            </w:r>
          </w:p>
        </w:tc>
        <w:tc>
          <w:tcPr>
            <w:tcW w:w="1000" w:type="dxa"/>
            <w:vAlign w:val="top"/>
          </w:tcPr>
          <w:p>
            <w:pPr>
              <w:spacing w:line="320" w:lineRule="auto"/>
              <w:rPr>
                <w:rFonts w:ascii="Arial"/>
                <w:sz w:val="21"/>
              </w:rPr>
            </w:pPr>
          </w:p>
          <w:p>
            <w:pPr>
              <w:spacing w:line="320" w:lineRule="auto"/>
              <w:rPr>
                <w:rFonts w:ascii="Arial"/>
                <w:sz w:val="21"/>
              </w:rPr>
            </w:pPr>
          </w:p>
          <w:p>
            <w:pPr>
              <w:pStyle w:val="6"/>
              <w:spacing w:before="68" w:line="221" w:lineRule="auto"/>
              <w:ind w:left="285"/>
              <w:rPr>
                <w:sz w:val="21"/>
                <w:szCs w:val="21"/>
              </w:rPr>
            </w:pPr>
            <w:r>
              <w:rPr>
                <w:rFonts w:ascii="Times New Roman" w:hAnsi="Times New Roman" w:eastAsia="Times New Roman" w:cs="Times New Roman"/>
                <w:spacing w:val="-6"/>
                <w:sz w:val="21"/>
                <w:szCs w:val="21"/>
              </w:rPr>
              <w:t>10/</w:t>
            </w:r>
            <w:r>
              <w:rPr>
                <w:spacing w:val="-6"/>
                <w:sz w:val="21"/>
                <w:szCs w:val="21"/>
              </w:rPr>
              <w:t>套</w:t>
            </w:r>
          </w:p>
        </w:tc>
        <w:tc>
          <w:tcPr>
            <w:tcW w:w="1253" w:type="dxa"/>
            <w:vAlign w:val="top"/>
          </w:tcPr>
          <w:p>
            <w:pPr>
              <w:spacing w:line="341" w:lineRule="auto"/>
              <w:rPr>
                <w:rFonts w:ascii="Arial"/>
                <w:sz w:val="21"/>
              </w:rPr>
            </w:pPr>
          </w:p>
          <w:p>
            <w:pPr>
              <w:spacing w:line="341" w:lineRule="auto"/>
              <w:rPr>
                <w:rFonts w:ascii="Arial"/>
                <w:sz w:val="21"/>
              </w:rPr>
            </w:pPr>
          </w:p>
          <w:p>
            <w:pPr>
              <w:spacing w:before="60" w:line="233" w:lineRule="auto"/>
              <w:ind w:left="5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Align w:val="top"/>
          </w:tcPr>
          <w:p>
            <w:pPr>
              <w:spacing w:line="341" w:lineRule="auto"/>
              <w:rPr>
                <w:rFonts w:ascii="Arial"/>
                <w:sz w:val="21"/>
              </w:rPr>
            </w:pPr>
          </w:p>
          <w:p>
            <w:pPr>
              <w:spacing w:line="341"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Merge w:val="continue"/>
            <w:tcBorders>
              <w:top w:val="nil"/>
              <w:bottom w:val="nil"/>
            </w:tcBorders>
            <w:vAlign w:val="top"/>
          </w:tcPr>
          <w:p>
            <w:pPr>
              <w:rPr>
                <w:rFonts w:ascii="Arial"/>
                <w:sz w:val="21"/>
              </w:rPr>
            </w:pPr>
          </w:p>
        </w:tc>
        <w:tc>
          <w:tcPr>
            <w:tcW w:w="4436" w:type="dxa"/>
            <w:vAlign w:val="top"/>
          </w:tcPr>
          <w:p>
            <w:pPr>
              <w:pStyle w:val="6"/>
              <w:spacing w:before="64" w:line="220" w:lineRule="auto"/>
              <w:ind w:left="961"/>
              <w:rPr>
                <w:sz w:val="21"/>
                <w:szCs w:val="21"/>
              </w:rPr>
            </w:pPr>
            <w:r>
              <w:rPr>
                <w:spacing w:val="-1"/>
                <w:sz w:val="21"/>
                <w:szCs w:val="21"/>
              </w:rPr>
              <w:t>无机酸制酸工艺、焦化工艺</w:t>
            </w:r>
          </w:p>
        </w:tc>
        <w:tc>
          <w:tcPr>
            <w:tcW w:w="1000" w:type="dxa"/>
            <w:vAlign w:val="top"/>
          </w:tcPr>
          <w:p>
            <w:pPr>
              <w:pStyle w:val="6"/>
              <w:spacing w:before="65" w:line="221" w:lineRule="auto"/>
              <w:ind w:left="321"/>
              <w:rPr>
                <w:sz w:val="21"/>
                <w:szCs w:val="21"/>
              </w:rPr>
            </w:pPr>
            <w:r>
              <w:rPr>
                <w:rFonts w:ascii="Times New Roman" w:hAnsi="Times New Roman" w:eastAsia="Times New Roman" w:cs="Times New Roman"/>
                <w:spacing w:val="-3"/>
                <w:sz w:val="21"/>
                <w:szCs w:val="21"/>
              </w:rPr>
              <w:t>5/</w:t>
            </w:r>
            <w:r>
              <w:rPr>
                <w:spacing w:val="-3"/>
                <w:sz w:val="21"/>
                <w:szCs w:val="21"/>
              </w:rPr>
              <w:t>套</w:t>
            </w:r>
          </w:p>
        </w:tc>
        <w:tc>
          <w:tcPr>
            <w:tcW w:w="1253" w:type="dxa"/>
            <w:vAlign w:val="top"/>
          </w:tcPr>
          <w:p>
            <w:pPr>
              <w:spacing w:before="100" w:line="233" w:lineRule="auto"/>
              <w:ind w:left="5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Align w:val="top"/>
          </w:tcPr>
          <w:p>
            <w:pPr>
              <w:spacing w:before="10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1" w:type="dxa"/>
            <w:vMerge w:val="continue"/>
            <w:tcBorders>
              <w:top w:val="nil"/>
            </w:tcBorders>
            <w:vAlign w:val="top"/>
          </w:tcPr>
          <w:p>
            <w:pPr>
              <w:rPr>
                <w:rFonts w:ascii="Arial"/>
                <w:sz w:val="21"/>
              </w:rPr>
            </w:pPr>
          </w:p>
        </w:tc>
        <w:tc>
          <w:tcPr>
            <w:tcW w:w="4436" w:type="dxa"/>
            <w:vAlign w:val="top"/>
          </w:tcPr>
          <w:p>
            <w:pPr>
              <w:pStyle w:val="6"/>
              <w:spacing w:before="31" w:line="223" w:lineRule="auto"/>
              <w:ind w:left="1382" w:right="30" w:hanging="1271"/>
              <w:rPr>
                <w:sz w:val="21"/>
                <w:szCs w:val="21"/>
              </w:rPr>
            </w:pPr>
            <w:r>
              <w:rPr>
                <w:spacing w:val="-6"/>
                <w:sz w:val="21"/>
                <w:szCs w:val="21"/>
              </w:rPr>
              <w:t>其他高温或高压，且涉及危险物质的工艺过程、</w:t>
            </w:r>
            <w:r>
              <w:rPr>
                <w:spacing w:val="4"/>
                <w:sz w:val="21"/>
                <w:szCs w:val="21"/>
              </w:rPr>
              <w:t xml:space="preserve"> </w:t>
            </w:r>
            <w:r>
              <w:rPr>
                <w:spacing w:val="-1"/>
                <w:sz w:val="21"/>
                <w:szCs w:val="21"/>
              </w:rPr>
              <w:t>危险物质贮存罐区</w:t>
            </w:r>
          </w:p>
        </w:tc>
        <w:tc>
          <w:tcPr>
            <w:tcW w:w="1000" w:type="dxa"/>
            <w:vAlign w:val="top"/>
          </w:tcPr>
          <w:p>
            <w:pPr>
              <w:pStyle w:val="6"/>
              <w:spacing w:before="31" w:line="223" w:lineRule="auto"/>
              <w:ind w:left="121" w:right="60" w:firstLine="199"/>
              <w:rPr>
                <w:sz w:val="21"/>
                <w:szCs w:val="21"/>
              </w:rPr>
            </w:pPr>
            <w:r>
              <w:rPr>
                <w:rFonts w:ascii="Times New Roman" w:hAnsi="Times New Roman" w:eastAsia="Times New Roman" w:cs="Times New Roman"/>
                <w:spacing w:val="-4"/>
                <w:sz w:val="21"/>
                <w:szCs w:val="21"/>
              </w:rPr>
              <w:t>5/</w:t>
            </w:r>
            <w:r>
              <w:rPr>
                <w:spacing w:val="-4"/>
                <w:sz w:val="21"/>
                <w:szCs w:val="21"/>
              </w:rPr>
              <w:t>套</w:t>
            </w:r>
            <w:r>
              <w:rPr>
                <w:sz w:val="21"/>
                <w:szCs w:val="21"/>
              </w:rPr>
              <w:t xml:space="preserve">   </w:t>
            </w:r>
            <w:r>
              <w:rPr>
                <w:spacing w:val="-7"/>
                <w:sz w:val="21"/>
                <w:szCs w:val="21"/>
              </w:rPr>
              <w:t>（罐区）</w:t>
            </w:r>
          </w:p>
        </w:tc>
        <w:tc>
          <w:tcPr>
            <w:tcW w:w="1253" w:type="dxa"/>
            <w:vAlign w:val="top"/>
          </w:tcPr>
          <w:p>
            <w:pPr>
              <w:spacing w:before="203" w:line="233" w:lineRule="auto"/>
              <w:ind w:left="5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Align w:val="top"/>
          </w:tcPr>
          <w:p>
            <w:pPr>
              <w:spacing w:before="203"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1" w:type="dxa"/>
            <w:vAlign w:val="top"/>
          </w:tcPr>
          <w:p>
            <w:pPr>
              <w:pStyle w:val="6"/>
              <w:spacing w:before="31" w:line="223" w:lineRule="auto"/>
              <w:ind w:left="160" w:right="116" w:firstLine="1"/>
              <w:rPr>
                <w:sz w:val="21"/>
                <w:szCs w:val="21"/>
              </w:rPr>
            </w:pPr>
            <w:r>
              <w:rPr>
                <w:spacing w:val="-3"/>
                <w:sz w:val="21"/>
                <w:szCs w:val="21"/>
              </w:rPr>
              <w:t>管道、港</w:t>
            </w:r>
            <w:r>
              <w:rPr>
                <w:sz w:val="21"/>
                <w:szCs w:val="21"/>
              </w:rPr>
              <w:t xml:space="preserve"> </w:t>
            </w:r>
            <w:r>
              <w:rPr>
                <w:spacing w:val="-8"/>
                <w:sz w:val="21"/>
                <w:szCs w:val="21"/>
              </w:rPr>
              <w:t>口</w:t>
            </w:r>
            <w:r>
              <w:rPr>
                <w:rFonts w:ascii="Times New Roman" w:hAnsi="Times New Roman" w:eastAsia="Times New Roman" w:cs="Times New Roman"/>
                <w:spacing w:val="-8"/>
                <w:sz w:val="21"/>
                <w:szCs w:val="21"/>
              </w:rPr>
              <w:t>/</w:t>
            </w:r>
            <w:r>
              <w:rPr>
                <w:spacing w:val="-8"/>
                <w:sz w:val="21"/>
                <w:szCs w:val="21"/>
              </w:rPr>
              <w:t>码头等</w:t>
            </w:r>
          </w:p>
        </w:tc>
        <w:tc>
          <w:tcPr>
            <w:tcW w:w="4436" w:type="dxa"/>
            <w:vAlign w:val="top"/>
          </w:tcPr>
          <w:p>
            <w:pPr>
              <w:pStyle w:val="6"/>
              <w:spacing w:before="169" w:line="234" w:lineRule="auto"/>
              <w:ind w:left="301"/>
              <w:rPr>
                <w:sz w:val="21"/>
                <w:szCs w:val="21"/>
              </w:rPr>
            </w:pPr>
            <w:r>
              <w:rPr>
                <w:spacing w:val="-1"/>
                <w:sz w:val="21"/>
                <w:szCs w:val="21"/>
              </w:rPr>
              <w:t>涉及危险物质管道运输项目、港口</w:t>
            </w:r>
            <w:r>
              <w:rPr>
                <w:rFonts w:ascii="Times New Roman" w:hAnsi="Times New Roman" w:eastAsia="Times New Roman" w:cs="Times New Roman"/>
                <w:spacing w:val="-1"/>
                <w:sz w:val="21"/>
                <w:szCs w:val="21"/>
              </w:rPr>
              <w:t>/</w:t>
            </w:r>
            <w:r>
              <w:rPr>
                <w:spacing w:val="-1"/>
                <w:sz w:val="21"/>
                <w:szCs w:val="21"/>
              </w:rPr>
              <w:t>码头等</w:t>
            </w:r>
          </w:p>
        </w:tc>
        <w:tc>
          <w:tcPr>
            <w:tcW w:w="1000" w:type="dxa"/>
            <w:vAlign w:val="top"/>
          </w:tcPr>
          <w:p>
            <w:pPr>
              <w:spacing w:before="207"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253" w:type="dxa"/>
            <w:vAlign w:val="top"/>
          </w:tcPr>
          <w:p>
            <w:pPr>
              <w:spacing w:before="204" w:line="233" w:lineRule="auto"/>
              <w:ind w:left="5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Align w:val="top"/>
          </w:tcPr>
          <w:p>
            <w:pPr>
              <w:spacing w:before="204"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41" w:type="dxa"/>
            <w:vAlign w:val="top"/>
          </w:tcPr>
          <w:p>
            <w:pPr>
              <w:pStyle w:val="6"/>
              <w:spacing w:before="169" w:line="231" w:lineRule="auto"/>
              <w:ind w:left="471" w:right="145" w:hanging="316"/>
              <w:rPr>
                <w:sz w:val="21"/>
                <w:szCs w:val="21"/>
              </w:rPr>
            </w:pPr>
            <w:r>
              <w:rPr>
                <w:spacing w:val="-2"/>
                <w:sz w:val="21"/>
                <w:szCs w:val="21"/>
                <w14:textOutline w14:w="3831" w14:cap="flat" w14:cmpd="sng">
                  <w14:solidFill>
                    <w14:srgbClr w14:val="000000"/>
                  </w14:solidFill>
                  <w14:prstDash w14:val="solid"/>
                  <w14:miter w14:val="10"/>
                </w14:textOutline>
              </w:rPr>
              <w:t>石油天然</w:t>
            </w:r>
            <w:r>
              <w:rPr>
                <w:spacing w:val="2"/>
                <w:sz w:val="21"/>
                <w:szCs w:val="21"/>
              </w:rPr>
              <w:t xml:space="preserve"> </w:t>
            </w:r>
            <w:r>
              <w:rPr>
                <w:sz w:val="21"/>
                <w:szCs w:val="21"/>
                <w14:textOutline w14:w="3831" w14:cap="flat" w14:cmpd="sng">
                  <w14:solidFill>
                    <w14:srgbClr w14:val="000000"/>
                  </w14:solidFill>
                  <w14:prstDash w14:val="solid"/>
                  <w14:miter w14:val="10"/>
                </w14:textOutline>
              </w:rPr>
              <w:t>气</w:t>
            </w:r>
          </w:p>
        </w:tc>
        <w:tc>
          <w:tcPr>
            <w:tcW w:w="4436" w:type="dxa"/>
            <w:vAlign w:val="top"/>
          </w:tcPr>
          <w:p>
            <w:pPr>
              <w:pStyle w:val="6"/>
              <w:spacing w:before="32" w:line="220" w:lineRule="auto"/>
              <w:ind w:left="113"/>
              <w:rPr>
                <w:sz w:val="21"/>
                <w:szCs w:val="21"/>
              </w:rPr>
            </w:pPr>
            <w:r>
              <w:rPr>
                <w:sz w:val="21"/>
                <w:szCs w:val="21"/>
                <w14:textOutline w14:w="3831" w14:cap="flat" w14:cmpd="sng">
                  <w14:solidFill>
                    <w14:srgbClr w14:val="000000"/>
                  </w14:solidFill>
                  <w14:prstDash w14:val="solid"/>
                  <w14:miter w14:val="10"/>
                </w14:textOutline>
              </w:rPr>
              <w:t>石油、天然气、页岩气开采（含净化</w:t>
            </w:r>
            <w:r>
              <w:rPr>
                <w:spacing w:val="4"/>
                <w:sz w:val="21"/>
                <w:szCs w:val="21"/>
                <w14:textOutline w14:w="3831" w14:cap="flat" w14:cmpd="sng">
                  <w14:solidFill>
                    <w14:srgbClr w14:val="000000"/>
                  </w14:solidFill>
                  <w14:prstDash w14:val="solid"/>
                  <w14:miter w14:val="10"/>
                </w14:textOutline>
              </w:rPr>
              <w:t>），</w:t>
            </w:r>
            <w:r>
              <w:rPr>
                <w:sz w:val="21"/>
                <w:szCs w:val="21"/>
                <w14:textOutline w14:w="3831" w14:cap="flat" w14:cmpd="sng">
                  <w14:solidFill>
                    <w14:srgbClr w14:val="000000"/>
                  </w14:solidFill>
                  <w14:prstDash w14:val="solid"/>
                  <w14:miter w14:val="10"/>
                </w14:textOutline>
              </w:rPr>
              <w:t>气库</w:t>
            </w:r>
          </w:p>
          <w:p>
            <w:pPr>
              <w:pStyle w:val="6"/>
              <w:spacing w:before="24" w:line="222" w:lineRule="auto"/>
              <w:ind w:left="239" w:right="123" w:hanging="121"/>
              <w:rPr>
                <w:sz w:val="21"/>
                <w:szCs w:val="21"/>
              </w:rPr>
            </w:pPr>
            <w:r>
              <w:rPr>
                <w:spacing w:val="-2"/>
                <w:sz w:val="21"/>
                <w:szCs w:val="21"/>
                <w14:textOutline w14:w="3831" w14:cap="flat" w14:cmpd="sng">
                  <w14:solidFill>
                    <w14:srgbClr w14:val="000000"/>
                  </w14:solidFill>
                  <w14:prstDash w14:val="solid"/>
                  <w14:miter w14:val="10"/>
                </w14:textOutline>
              </w:rPr>
              <w:t>（不含加气站的气库</w:t>
            </w:r>
            <w:r>
              <w:rPr>
                <w:spacing w:val="-35"/>
                <w:sz w:val="21"/>
                <w:szCs w:val="21"/>
                <w14:textOutline w14:w="3831" w14:cap="flat" w14:cmpd="sng">
                  <w14:solidFill>
                    <w14:srgbClr w14:val="000000"/>
                  </w14:solidFill>
                  <w14:prstDash w14:val="solid"/>
                  <w14:miter w14:val="10"/>
                </w14:textOutline>
              </w:rPr>
              <w:t>），</w:t>
            </w:r>
            <w:r>
              <w:rPr>
                <w:spacing w:val="-12"/>
                <w:sz w:val="21"/>
                <w:szCs w:val="21"/>
              </w:rPr>
              <w:t xml:space="preserve"> </w:t>
            </w:r>
            <w:r>
              <w:rPr>
                <w:spacing w:val="-2"/>
                <w:sz w:val="21"/>
                <w:szCs w:val="21"/>
                <w14:textOutline w14:w="3831" w14:cap="flat" w14:cmpd="sng">
                  <w14:solidFill>
                    <w14:srgbClr w14:val="000000"/>
                  </w14:solidFill>
                  <w14:prstDash w14:val="solid"/>
                  <w14:miter w14:val="10"/>
                </w14:textOutline>
              </w:rPr>
              <w:t>油库（不含加气站的</w:t>
            </w:r>
            <w:r>
              <w:rPr>
                <w:sz w:val="21"/>
                <w:szCs w:val="21"/>
              </w:rPr>
              <w:t xml:space="preserve"> </w:t>
            </w:r>
            <w:r>
              <w:rPr>
                <w:spacing w:val="-1"/>
                <w:sz w:val="21"/>
                <w:szCs w:val="21"/>
                <w14:textOutline w14:w="3831" w14:cap="flat" w14:cmpd="sng">
                  <w14:solidFill>
                    <w14:srgbClr w14:val="000000"/>
                  </w14:solidFill>
                  <w14:prstDash w14:val="solid"/>
                  <w14:miter w14:val="10"/>
                </w14:textOutline>
              </w:rPr>
              <w:t>油库）、油气管线</w:t>
            </w:r>
            <w:r>
              <w:rPr>
                <w:spacing w:val="-43"/>
                <w:sz w:val="21"/>
                <w:szCs w:val="21"/>
              </w:rPr>
              <w:t xml:space="preserve"> </w:t>
            </w:r>
            <w:r>
              <w:rPr>
                <w:rFonts w:ascii="Times New Roman" w:hAnsi="Times New Roman" w:eastAsia="Times New Roman" w:cs="Times New Roman"/>
                <w:b/>
                <w:bCs/>
                <w:spacing w:val="-1"/>
                <w:sz w:val="21"/>
                <w:szCs w:val="21"/>
              </w:rPr>
              <w:t>b</w:t>
            </w:r>
            <w:r>
              <w:rPr>
                <w:spacing w:val="-1"/>
                <w:sz w:val="21"/>
                <w:szCs w:val="21"/>
                <w14:textOutline w14:w="3831" w14:cap="flat" w14:cmpd="sng">
                  <w14:solidFill>
                    <w14:srgbClr w14:val="000000"/>
                  </w14:solidFill>
                  <w14:prstDash w14:val="solid"/>
                  <w14:miter w14:val="10"/>
                </w14:textOutline>
              </w:rPr>
              <w:t>（不含城镇燃气管线）</w:t>
            </w:r>
          </w:p>
        </w:tc>
        <w:tc>
          <w:tcPr>
            <w:tcW w:w="1000" w:type="dxa"/>
            <w:vAlign w:val="top"/>
          </w:tcPr>
          <w:p>
            <w:pPr>
              <w:spacing w:line="282" w:lineRule="auto"/>
              <w:rPr>
                <w:rFonts w:ascii="Arial"/>
                <w:sz w:val="21"/>
              </w:rPr>
            </w:pPr>
          </w:p>
          <w:p>
            <w:pPr>
              <w:spacing w:before="61" w:line="187" w:lineRule="auto"/>
              <w:ind w:left="406"/>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10</w:t>
            </w:r>
          </w:p>
        </w:tc>
        <w:tc>
          <w:tcPr>
            <w:tcW w:w="1253" w:type="dxa"/>
            <w:vAlign w:val="top"/>
          </w:tcPr>
          <w:p>
            <w:pPr>
              <w:pStyle w:val="6"/>
              <w:spacing w:before="32" w:line="220" w:lineRule="auto"/>
              <w:ind w:left="210"/>
              <w:rPr>
                <w:sz w:val="21"/>
                <w:szCs w:val="21"/>
              </w:rPr>
            </w:pPr>
            <w:r>
              <w:rPr>
                <w:spacing w:val="-1"/>
                <w:sz w:val="21"/>
                <w:szCs w:val="21"/>
                <w14:textOutline w14:w="3831" w14:cap="flat" w14:cmpd="sng">
                  <w14:solidFill>
                    <w14:srgbClr w14:val="000000"/>
                  </w14:solidFill>
                  <w14:prstDash w14:val="solid"/>
                  <w14:miter w14:val="10"/>
                </w14:textOutline>
              </w:rPr>
              <w:t>本项目参</w:t>
            </w:r>
          </w:p>
          <w:p>
            <w:pPr>
              <w:pStyle w:val="6"/>
              <w:spacing w:before="23" w:line="221" w:lineRule="auto"/>
              <w:ind w:left="216"/>
              <w:rPr>
                <w:sz w:val="21"/>
                <w:szCs w:val="21"/>
              </w:rPr>
            </w:pPr>
            <w:r>
              <w:rPr>
                <w:spacing w:val="-2"/>
                <w:sz w:val="21"/>
                <w:szCs w:val="21"/>
                <w14:textOutline w14:w="3831" w14:cap="flat" w14:cmpd="sng">
                  <w14:solidFill>
                    <w14:srgbClr w14:val="000000"/>
                  </w14:solidFill>
                  <w14:prstDash w14:val="solid"/>
                  <w14:miter w14:val="10"/>
                </w14:textOutline>
              </w:rPr>
              <w:t>照天然气</w:t>
            </w:r>
          </w:p>
          <w:p>
            <w:pPr>
              <w:pStyle w:val="6"/>
              <w:spacing w:before="19" w:line="206" w:lineRule="auto"/>
              <w:ind w:left="316"/>
              <w:rPr>
                <w:sz w:val="21"/>
                <w:szCs w:val="21"/>
              </w:rPr>
            </w:pPr>
            <w:r>
              <w:rPr>
                <w:spacing w:val="-2"/>
                <w:sz w:val="21"/>
                <w:szCs w:val="21"/>
                <w14:textOutline w14:w="3831" w14:cap="flat" w14:cmpd="sng">
                  <w14:solidFill>
                    <w14:srgbClr w14:val="000000"/>
                  </w14:solidFill>
                  <w14:prstDash w14:val="solid"/>
                  <w14:miter w14:val="10"/>
                </w14:textOutline>
              </w:rPr>
              <w:t>开采类</w:t>
            </w:r>
          </w:p>
        </w:tc>
        <w:tc>
          <w:tcPr>
            <w:tcW w:w="703" w:type="dxa"/>
            <w:vAlign w:val="top"/>
          </w:tcPr>
          <w:p>
            <w:pPr>
              <w:spacing w:line="282" w:lineRule="auto"/>
              <w:rPr>
                <w:rFonts w:ascii="Arial"/>
                <w:sz w:val="21"/>
              </w:rPr>
            </w:pPr>
          </w:p>
          <w:p>
            <w:pPr>
              <w:spacing w:before="61" w:line="187" w:lineRule="auto"/>
              <w:ind w:left="256"/>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pPr>
              <w:pStyle w:val="6"/>
              <w:spacing w:before="67" w:line="221" w:lineRule="auto"/>
              <w:ind w:left="366"/>
              <w:rPr>
                <w:sz w:val="21"/>
                <w:szCs w:val="21"/>
              </w:rPr>
            </w:pPr>
            <w:r>
              <w:rPr>
                <w:spacing w:val="-2"/>
                <w:sz w:val="21"/>
                <w:szCs w:val="21"/>
              </w:rPr>
              <w:t>其他</w:t>
            </w:r>
          </w:p>
        </w:tc>
        <w:tc>
          <w:tcPr>
            <w:tcW w:w="4436" w:type="dxa"/>
            <w:vAlign w:val="top"/>
          </w:tcPr>
          <w:p>
            <w:pPr>
              <w:pStyle w:val="6"/>
              <w:spacing w:before="66" w:line="221" w:lineRule="auto"/>
              <w:ind w:left="750"/>
              <w:rPr>
                <w:sz w:val="21"/>
                <w:szCs w:val="21"/>
              </w:rPr>
            </w:pPr>
            <w:r>
              <w:rPr>
                <w:spacing w:val="-1"/>
                <w:sz w:val="21"/>
                <w:szCs w:val="21"/>
              </w:rPr>
              <w:t>涉及危险物质使用、贮存的项目</w:t>
            </w:r>
          </w:p>
        </w:tc>
        <w:tc>
          <w:tcPr>
            <w:tcW w:w="1000" w:type="dxa"/>
            <w:vAlign w:val="top"/>
          </w:tcPr>
          <w:p>
            <w:pPr>
              <w:spacing w:before="108" w:line="184" w:lineRule="auto"/>
              <w:ind w:left="45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53" w:type="dxa"/>
            <w:vAlign w:val="top"/>
          </w:tcPr>
          <w:p>
            <w:pPr>
              <w:spacing w:before="102" w:line="231" w:lineRule="auto"/>
              <w:ind w:left="5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Align w:val="top"/>
          </w:tcPr>
          <w:p>
            <w:pPr>
              <w:spacing w:before="102" w:line="231"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33" w:type="dxa"/>
            <w:gridSpan w:val="5"/>
            <w:vAlign w:val="top"/>
          </w:tcPr>
          <w:p>
            <w:pPr>
              <w:pStyle w:val="6"/>
              <w:spacing w:before="33" w:line="239" w:lineRule="auto"/>
              <w:ind w:left="115"/>
              <w:rPr>
                <w:sz w:val="21"/>
                <w:szCs w:val="21"/>
              </w:rPr>
            </w:pPr>
            <w:r>
              <w:rPr>
                <w:rFonts w:ascii="Times New Roman" w:hAnsi="Times New Roman" w:eastAsia="Times New Roman" w:cs="Times New Roman"/>
                <w:spacing w:val="3"/>
                <w:sz w:val="21"/>
                <w:szCs w:val="21"/>
              </w:rPr>
              <w:t xml:space="preserve">a </w:t>
            </w:r>
            <w:r>
              <w:rPr>
                <w:spacing w:val="3"/>
                <w:sz w:val="21"/>
                <w:szCs w:val="21"/>
              </w:rPr>
              <w:t>高温指工艺温度</w:t>
            </w:r>
            <w:r>
              <w:rPr>
                <w:rFonts w:ascii="Times New Roman" w:hAnsi="Times New Roman" w:eastAsia="Times New Roman" w:cs="Times New Roman"/>
                <w:spacing w:val="3"/>
                <w:sz w:val="21"/>
                <w:szCs w:val="21"/>
              </w:rPr>
              <w:t>≥300℃</w:t>
            </w:r>
            <w:r>
              <w:rPr>
                <w:spacing w:val="3"/>
                <w:sz w:val="21"/>
                <w:szCs w:val="21"/>
              </w:rPr>
              <w:t>,高压指压力容器的设计压力（</w:t>
            </w:r>
            <w:r>
              <w:rPr>
                <w:rFonts w:ascii="Times New Roman" w:hAnsi="Times New Roman" w:eastAsia="Times New Roman" w:cs="Times New Roman"/>
                <w:spacing w:val="2"/>
                <w:sz w:val="21"/>
                <w:szCs w:val="21"/>
              </w:rPr>
              <w:t>P</w:t>
            </w:r>
            <w:r>
              <w:rPr>
                <w:spacing w:val="2"/>
                <w:sz w:val="21"/>
                <w:szCs w:val="21"/>
              </w:rPr>
              <w:t>）</w:t>
            </w:r>
            <w:r>
              <w:rPr>
                <w:rFonts w:ascii="Times New Roman" w:hAnsi="Times New Roman" w:eastAsia="Times New Roman" w:cs="Times New Roman"/>
                <w:spacing w:val="2"/>
                <w:sz w:val="21"/>
                <w:szCs w:val="21"/>
              </w:rPr>
              <w:t>≥10.0</w:t>
            </w:r>
            <w:r>
              <w:rPr>
                <w:rFonts w:ascii="Times New Roman" w:hAnsi="Times New Roman" w:eastAsia="Times New Roman" w:cs="Times New Roman"/>
                <w:sz w:val="21"/>
                <w:szCs w:val="21"/>
              </w:rPr>
              <w:t>MPa</w:t>
            </w:r>
            <w:r>
              <w:rPr>
                <w:spacing w:val="2"/>
                <w:sz w:val="21"/>
                <w:szCs w:val="21"/>
              </w:rPr>
              <w:t>；</w:t>
            </w:r>
          </w:p>
          <w:p>
            <w:pPr>
              <w:pStyle w:val="6"/>
              <w:spacing w:line="209" w:lineRule="auto"/>
              <w:ind w:left="107"/>
              <w:rPr>
                <w:sz w:val="21"/>
                <w:szCs w:val="21"/>
              </w:rPr>
            </w:pPr>
            <w:r>
              <w:rPr>
                <w:rFonts w:ascii="Times New Roman" w:hAnsi="Times New Roman" w:eastAsia="Times New Roman" w:cs="Times New Roman"/>
                <w:sz w:val="21"/>
                <w:szCs w:val="21"/>
              </w:rPr>
              <w:t xml:space="preserve">b </w:t>
            </w:r>
            <w:r>
              <w:rPr>
                <w:sz w:val="21"/>
                <w:szCs w:val="21"/>
              </w:rPr>
              <w:t>长输管道运输项目应按站场、管线分段进行评价。</w:t>
            </w:r>
          </w:p>
        </w:tc>
      </w:tr>
    </w:tbl>
    <w:p>
      <w:pPr>
        <w:spacing w:before="177" w:line="480" w:lineRule="exact"/>
        <w:ind w:left="602"/>
        <w:rPr>
          <w:rFonts w:ascii="宋体" w:hAnsi="宋体" w:eastAsia="宋体" w:cs="宋体"/>
          <w:sz w:val="24"/>
          <w:szCs w:val="24"/>
        </w:rPr>
      </w:pPr>
      <w:r>
        <w:rPr>
          <w:rFonts w:ascii="宋体" w:hAnsi="宋体" w:eastAsia="宋体" w:cs="宋体"/>
          <w:spacing w:val="-3"/>
          <w:position w:val="18"/>
          <w:sz w:val="24"/>
          <w:szCs w:val="24"/>
        </w:rPr>
        <w:t>根据上表可知，本项目</w:t>
      </w:r>
      <w:r>
        <w:rPr>
          <w:rFonts w:ascii="宋体" w:hAnsi="宋体" w:eastAsia="宋体" w:cs="宋体"/>
          <w:spacing w:val="-51"/>
          <w:position w:val="18"/>
          <w:sz w:val="24"/>
          <w:szCs w:val="24"/>
        </w:rPr>
        <w:t xml:space="preserve"> </w:t>
      </w:r>
      <w:r>
        <w:rPr>
          <w:rFonts w:ascii="Times New Roman" w:hAnsi="Times New Roman" w:eastAsia="Times New Roman" w:cs="Times New Roman"/>
          <w:spacing w:val="-3"/>
          <w:position w:val="18"/>
          <w:sz w:val="24"/>
          <w:szCs w:val="24"/>
        </w:rPr>
        <w:t>M=10</w:t>
      </w:r>
      <w:r>
        <w:rPr>
          <w:rFonts w:ascii="宋体" w:hAnsi="宋体" w:eastAsia="宋体" w:cs="宋体"/>
          <w:spacing w:val="-3"/>
          <w:position w:val="18"/>
          <w:sz w:val="24"/>
          <w:szCs w:val="24"/>
        </w:rPr>
        <w:t>，以</w:t>
      </w:r>
      <w:r>
        <w:rPr>
          <w:rFonts w:ascii="宋体" w:hAnsi="宋体" w:eastAsia="宋体" w:cs="宋体"/>
          <w:spacing w:val="-34"/>
          <w:position w:val="18"/>
          <w:sz w:val="24"/>
          <w:szCs w:val="24"/>
        </w:rPr>
        <w:t xml:space="preserve"> </w:t>
      </w:r>
      <w:r>
        <w:rPr>
          <w:rFonts w:ascii="Times New Roman" w:hAnsi="Times New Roman" w:eastAsia="Times New Roman" w:cs="Times New Roman"/>
          <w:spacing w:val="-3"/>
          <w:position w:val="18"/>
          <w:sz w:val="24"/>
          <w:szCs w:val="24"/>
        </w:rPr>
        <w:t xml:space="preserve">M3 </w:t>
      </w:r>
      <w:r>
        <w:rPr>
          <w:rFonts w:ascii="宋体" w:hAnsi="宋体" w:eastAsia="宋体" w:cs="宋体"/>
          <w:spacing w:val="-3"/>
          <w:position w:val="18"/>
          <w:sz w:val="24"/>
          <w:szCs w:val="24"/>
        </w:rPr>
        <w:t>表示。</w:t>
      </w:r>
    </w:p>
    <w:p>
      <w:pPr>
        <w:spacing w:line="217" w:lineRule="auto"/>
        <w:ind w:left="600"/>
        <w:rPr>
          <w:rFonts w:ascii="宋体" w:hAnsi="宋体" w:eastAsia="宋体" w:cs="宋体"/>
          <w:sz w:val="24"/>
          <w:szCs w:val="24"/>
        </w:rPr>
      </w:pPr>
      <w:r>
        <w:rPr>
          <w:rFonts w:ascii="宋体" w:hAnsi="宋体" w:eastAsia="宋体" w:cs="宋体"/>
          <w:spacing w:val="-1"/>
          <w:sz w:val="24"/>
          <w:szCs w:val="24"/>
        </w:rPr>
        <w:t>③危险物质及工艺系统危险性（</w:t>
      </w:r>
      <w:r>
        <w:rPr>
          <w:rFonts w:ascii="Times New Roman" w:hAnsi="Times New Roman" w:eastAsia="Times New Roman" w:cs="Times New Roman"/>
          <w:spacing w:val="-1"/>
          <w:sz w:val="24"/>
          <w:szCs w:val="24"/>
        </w:rPr>
        <w:t>P</w:t>
      </w:r>
      <w:r>
        <w:rPr>
          <w:rFonts w:ascii="宋体" w:hAnsi="宋体" w:eastAsia="宋体" w:cs="宋体"/>
          <w:spacing w:val="-1"/>
          <w:sz w:val="24"/>
          <w:szCs w:val="24"/>
        </w:rPr>
        <w:t>）分级</w:t>
      </w:r>
    </w:p>
    <w:p>
      <w:pPr>
        <w:spacing w:before="198" w:line="480" w:lineRule="exact"/>
        <w:ind w:left="602"/>
        <w:rPr>
          <w:rFonts w:ascii="宋体" w:hAnsi="宋体" w:eastAsia="宋体" w:cs="宋体"/>
          <w:sz w:val="24"/>
          <w:szCs w:val="24"/>
        </w:rPr>
      </w:pPr>
      <w:r>
        <w:rPr>
          <w:rFonts w:ascii="宋体" w:hAnsi="宋体" w:eastAsia="宋体" w:cs="宋体"/>
          <w:spacing w:val="-4"/>
          <w:position w:val="18"/>
          <w:sz w:val="24"/>
          <w:szCs w:val="24"/>
        </w:rPr>
        <w:t>根据危险物质数量与临界量比值（</w:t>
      </w:r>
      <w:r>
        <w:rPr>
          <w:rFonts w:ascii="Times New Roman" w:hAnsi="Times New Roman" w:eastAsia="Times New Roman" w:cs="Times New Roman"/>
          <w:spacing w:val="-4"/>
          <w:position w:val="18"/>
          <w:sz w:val="24"/>
          <w:szCs w:val="24"/>
        </w:rPr>
        <w:t>Q</w:t>
      </w:r>
      <w:r>
        <w:rPr>
          <w:rFonts w:ascii="宋体" w:hAnsi="宋体" w:eastAsia="宋体" w:cs="宋体"/>
          <w:spacing w:val="-4"/>
          <w:position w:val="18"/>
          <w:sz w:val="24"/>
          <w:szCs w:val="24"/>
        </w:rPr>
        <w:t>）和行业及生产工艺（</w:t>
      </w:r>
      <w:r>
        <w:rPr>
          <w:rFonts w:ascii="Times New Roman" w:hAnsi="Times New Roman" w:eastAsia="Times New Roman" w:cs="Times New Roman"/>
          <w:spacing w:val="-4"/>
          <w:position w:val="18"/>
          <w:sz w:val="24"/>
          <w:szCs w:val="24"/>
        </w:rPr>
        <w:t>M</w:t>
      </w:r>
      <w:r>
        <w:rPr>
          <w:rFonts w:ascii="宋体" w:hAnsi="宋体" w:eastAsia="宋体" w:cs="宋体"/>
          <w:spacing w:val="-62"/>
          <w:w w:val="98"/>
          <w:position w:val="18"/>
          <w:sz w:val="24"/>
          <w:szCs w:val="24"/>
        </w:rPr>
        <w:t>），</w:t>
      </w:r>
      <w:r>
        <w:rPr>
          <w:rFonts w:ascii="宋体" w:hAnsi="宋体" w:eastAsia="宋体" w:cs="宋体"/>
          <w:spacing w:val="-4"/>
          <w:position w:val="18"/>
          <w:sz w:val="24"/>
          <w:szCs w:val="24"/>
        </w:rPr>
        <w:t>按照下表确</w:t>
      </w:r>
    </w:p>
    <w:p>
      <w:pPr>
        <w:spacing w:line="219" w:lineRule="auto"/>
        <w:ind w:left="127"/>
        <w:rPr>
          <w:rFonts w:ascii="宋体" w:hAnsi="宋体" w:eastAsia="宋体" w:cs="宋体"/>
          <w:sz w:val="24"/>
          <w:szCs w:val="24"/>
        </w:rPr>
      </w:pPr>
      <w:r>
        <w:rPr>
          <w:rFonts w:ascii="宋体" w:hAnsi="宋体" w:eastAsia="宋体" w:cs="宋体"/>
          <w:spacing w:val="-3"/>
          <w:sz w:val="24"/>
          <w:szCs w:val="24"/>
        </w:rPr>
        <w:t>定危险物质及工艺系统危险性等级（</w:t>
      </w:r>
      <w:r>
        <w:rPr>
          <w:rFonts w:ascii="Times New Roman" w:hAnsi="Times New Roman" w:eastAsia="Times New Roman" w:cs="Times New Roman"/>
          <w:spacing w:val="-3"/>
          <w:sz w:val="24"/>
          <w:szCs w:val="24"/>
        </w:rPr>
        <w:t>P</w:t>
      </w:r>
      <w:r>
        <w:rPr>
          <w:rFonts w:ascii="宋体" w:hAnsi="宋体" w:eastAsia="宋体" w:cs="宋体"/>
          <w:spacing w:val="-61"/>
          <w:w w:val="97"/>
          <w:sz w:val="24"/>
          <w:szCs w:val="24"/>
        </w:rPr>
        <w:t>），</w:t>
      </w:r>
      <w:r>
        <w:rPr>
          <w:rFonts w:ascii="宋体" w:hAnsi="宋体" w:eastAsia="宋体" w:cs="宋体"/>
          <w:spacing w:val="-3"/>
          <w:sz w:val="24"/>
          <w:szCs w:val="24"/>
        </w:rPr>
        <w:t>分别以</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P1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P2</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P3</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P4 </w:t>
      </w:r>
      <w:r>
        <w:rPr>
          <w:rFonts w:ascii="宋体" w:hAnsi="宋体" w:eastAsia="宋体" w:cs="宋体"/>
          <w:spacing w:val="-4"/>
          <w:sz w:val="24"/>
          <w:szCs w:val="24"/>
        </w:rPr>
        <w:t>表示。</w:t>
      </w:r>
    </w:p>
    <w:p>
      <w:pPr>
        <w:spacing w:before="194" w:line="220" w:lineRule="auto"/>
        <w:ind w:left="1753"/>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4"/>
          <w:sz w:val="24"/>
          <w:szCs w:val="24"/>
        </w:rPr>
        <w:t xml:space="preserve"> </w:t>
      </w:r>
      <w:r>
        <w:rPr>
          <w:rFonts w:ascii="Times New Roman" w:hAnsi="Times New Roman" w:eastAsia="Times New Roman" w:cs="Times New Roman"/>
          <w:b/>
          <w:bCs/>
          <w:sz w:val="24"/>
          <w:szCs w:val="24"/>
        </w:rPr>
        <w:t xml:space="preserve">3.2-3    </w:t>
      </w:r>
      <w:r>
        <w:rPr>
          <w:rFonts w:ascii="宋体" w:hAnsi="宋体" w:eastAsia="宋体" w:cs="宋体"/>
          <w:sz w:val="24"/>
          <w:szCs w:val="24"/>
          <w14:textOutline w14:w="4354" w14:cap="flat" w14:cmpd="sng">
            <w14:solidFill>
              <w14:srgbClr w14:val="000000"/>
            </w14:solidFill>
            <w14:prstDash w14:val="solid"/>
            <w14:miter w14:val="10"/>
          </w14:textOutline>
        </w:rPr>
        <w:t>危险物质及工艺系统危</w:t>
      </w:r>
      <w:r>
        <w:rPr>
          <w:rFonts w:ascii="宋体" w:hAnsi="宋体" w:eastAsia="宋体" w:cs="宋体"/>
          <w:spacing w:val="-1"/>
          <w:sz w:val="24"/>
          <w:szCs w:val="24"/>
          <w14:textOutline w14:w="4354" w14:cap="flat" w14:cmpd="sng">
            <w14:solidFill>
              <w14:srgbClr w14:val="000000"/>
            </w14:solidFill>
            <w14:prstDash w14:val="solid"/>
            <w14:miter w14:val="10"/>
          </w14:textOutline>
        </w:rPr>
        <w:t>险性（</w:t>
      </w:r>
      <w:r>
        <w:rPr>
          <w:rFonts w:ascii="Times New Roman" w:hAnsi="Times New Roman" w:eastAsia="Times New Roman" w:cs="Times New Roman"/>
          <w:b/>
          <w:bCs/>
          <w:spacing w:val="-1"/>
          <w:sz w:val="24"/>
          <w:szCs w:val="24"/>
        </w:rPr>
        <w:t>P</w:t>
      </w:r>
      <w:r>
        <w:rPr>
          <w:rFonts w:ascii="宋体" w:hAnsi="宋体" w:eastAsia="宋体" w:cs="宋体"/>
          <w:spacing w:val="-1"/>
          <w:sz w:val="24"/>
          <w:szCs w:val="24"/>
          <w14:textOutline w14:w="4354" w14:cap="flat" w14:cmpd="sng">
            <w14:solidFill>
              <w14:srgbClr w14:val="000000"/>
            </w14:solidFill>
            <w14:prstDash w14:val="solid"/>
            <w14:miter w14:val="10"/>
          </w14:textOutline>
        </w:rPr>
        <w:t>）判断</w:t>
      </w:r>
    </w:p>
    <w:p>
      <w:pPr>
        <w:spacing w:line="1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6"/>
        <w:gridCol w:w="1708"/>
        <w:gridCol w:w="1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08" w:type="dxa"/>
            <w:vMerge w:val="restart"/>
            <w:tcBorders>
              <w:bottom w:val="nil"/>
            </w:tcBorders>
            <w:vAlign w:val="top"/>
          </w:tcPr>
          <w:p>
            <w:pPr>
              <w:pStyle w:val="6"/>
              <w:spacing w:before="105" w:line="229" w:lineRule="auto"/>
              <w:ind w:left="126" w:right="13" w:hanging="1"/>
              <w:rPr>
                <w:sz w:val="21"/>
                <w:szCs w:val="21"/>
              </w:rPr>
            </w:pPr>
            <w:r>
              <w:rPr>
                <w:spacing w:val="-2"/>
                <w:sz w:val="21"/>
                <w:szCs w:val="21"/>
              </w:rPr>
              <w:t>危险物质数量与</w:t>
            </w:r>
            <w:r>
              <w:rPr>
                <w:spacing w:val="2"/>
                <w:sz w:val="21"/>
                <w:szCs w:val="21"/>
              </w:rPr>
              <w:t xml:space="preserve">  </w:t>
            </w:r>
            <w:r>
              <w:rPr>
                <w:spacing w:val="-8"/>
                <w:sz w:val="21"/>
                <w:szCs w:val="21"/>
              </w:rPr>
              <w:t>临界量比值（</w:t>
            </w:r>
            <w:r>
              <w:rPr>
                <w:rFonts w:ascii="Times New Roman" w:hAnsi="Times New Roman" w:eastAsia="Times New Roman" w:cs="Times New Roman"/>
                <w:spacing w:val="-8"/>
                <w:sz w:val="21"/>
                <w:szCs w:val="21"/>
              </w:rPr>
              <w:t>Q</w:t>
            </w:r>
            <w:r>
              <w:rPr>
                <w:spacing w:val="-8"/>
                <w:sz w:val="21"/>
                <w:szCs w:val="21"/>
              </w:rPr>
              <w:t>）</w:t>
            </w:r>
          </w:p>
        </w:tc>
        <w:tc>
          <w:tcPr>
            <w:tcW w:w="6825" w:type="dxa"/>
            <w:gridSpan w:val="4"/>
            <w:vAlign w:val="top"/>
          </w:tcPr>
          <w:p>
            <w:pPr>
              <w:pStyle w:val="6"/>
              <w:spacing w:before="67" w:line="221" w:lineRule="auto"/>
              <w:ind w:left="2381"/>
              <w:rPr>
                <w:sz w:val="21"/>
                <w:szCs w:val="21"/>
              </w:rPr>
            </w:pPr>
            <w:r>
              <w:rPr>
                <w:spacing w:val="-1"/>
                <w:sz w:val="21"/>
                <w:szCs w:val="21"/>
              </w:rPr>
              <w:t>行业及生产工艺（</w:t>
            </w:r>
            <w:r>
              <w:rPr>
                <w:rFonts w:ascii="Times New Roman" w:hAnsi="Times New Roman" w:eastAsia="Times New Roman" w:cs="Times New Roman"/>
                <w:spacing w:val="-1"/>
                <w:sz w:val="21"/>
                <w:szCs w:val="21"/>
              </w:rPr>
              <w:t>M</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08" w:type="dxa"/>
            <w:vMerge w:val="continue"/>
            <w:tcBorders>
              <w:top w:val="nil"/>
            </w:tcBorders>
            <w:vAlign w:val="top"/>
          </w:tcPr>
          <w:p>
            <w:pPr>
              <w:rPr>
                <w:rFonts w:ascii="Arial"/>
                <w:sz w:val="21"/>
              </w:rPr>
            </w:pPr>
          </w:p>
        </w:tc>
        <w:tc>
          <w:tcPr>
            <w:tcW w:w="1703" w:type="dxa"/>
            <w:vAlign w:val="top"/>
          </w:tcPr>
          <w:p>
            <w:pPr>
              <w:spacing w:before="103" w:line="187" w:lineRule="auto"/>
              <w:ind w:left="7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M1</w:t>
            </w:r>
          </w:p>
        </w:tc>
        <w:tc>
          <w:tcPr>
            <w:tcW w:w="1706" w:type="dxa"/>
            <w:vAlign w:val="top"/>
          </w:tcPr>
          <w:p>
            <w:pPr>
              <w:spacing w:before="103" w:line="187" w:lineRule="auto"/>
              <w:ind w:left="7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M2</w:t>
            </w:r>
          </w:p>
        </w:tc>
        <w:tc>
          <w:tcPr>
            <w:tcW w:w="1708" w:type="dxa"/>
            <w:vAlign w:val="top"/>
          </w:tcPr>
          <w:p>
            <w:pPr>
              <w:spacing w:before="102" w:line="187" w:lineRule="auto"/>
              <w:ind w:left="7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M3</w:t>
            </w:r>
          </w:p>
        </w:tc>
        <w:tc>
          <w:tcPr>
            <w:tcW w:w="1708" w:type="dxa"/>
            <w:vAlign w:val="top"/>
          </w:tcPr>
          <w:p>
            <w:pPr>
              <w:spacing w:before="103" w:line="187" w:lineRule="auto"/>
              <w:ind w:left="7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08" w:type="dxa"/>
            <w:vAlign w:val="top"/>
          </w:tcPr>
          <w:p>
            <w:pPr>
              <w:spacing w:before="100" w:line="195"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Q≥100</w:t>
            </w:r>
          </w:p>
        </w:tc>
        <w:tc>
          <w:tcPr>
            <w:tcW w:w="1703" w:type="dxa"/>
            <w:vAlign w:val="top"/>
          </w:tcPr>
          <w:p>
            <w:pPr>
              <w:spacing w:before="104"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P1</w:t>
            </w:r>
          </w:p>
        </w:tc>
        <w:tc>
          <w:tcPr>
            <w:tcW w:w="1706" w:type="dxa"/>
            <w:vAlign w:val="top"/>
          </w:tcPr>
          <w:p>
            <w:pPr>
              <w:spacing w:before="104" w:line="187" w:lineRule="auto"/>
              <w:ind w:left="7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P1</w:t>
            </w:r>
          </w:p>
        </w:tc>
        <w:tc>
          <w:tcPr>
            <w:tcW w:w="1708" w:type="dxa"/>
            <w:vAlign w:val="top"/>
          </w:tcPr>
          <w:p>
            <w:pPr>
              <w:spacing w:before="104"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P2</w:t>
            </w:r>
          </w:p>
        </w:tc>
        <w:tc>
          <w:tcPr>
            <w:tcW w:w="1708" w:type="dxa"/>
            <w:vAlign w:val="top"/>
          </w:tcPr>
          <w:p>
            <w:pPr>
              <w:spacing w:before="104"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08" w:type="dxa"/>
            <w:vAlign w:val="top"/>
          </w:tcPr>
          <w:p>
            <w:pPr>
              <w:pStyle w:val="6"/>
              <w:spacing w:before="69" w:line="21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10≤Q</w:t>
            </w:r>
            <w:r>
              <w:rPr>
                <w:spacing w:val="-3"/>
                <w:sz w:val="21"/>
                <w:szCs w:val="21"/>
              </w:rPr>
              <w:t>＜</w:t>
            </w:r>
            <w:r>
              <w:rPr>
                <w:rFonts w:ascii="Times New Roman" w:hAnsi="Times New Roman" w:eastAsia="Times New Roman" w:cs="Times New Roman"/>
                <w:spacing w:val="-3"/>
                <w:sz w:val="21"/>
                <w:szCs w:val="21"/>
              </w:rPr>
              <w:t>100</w:t>
            </w:r>
          </w:p>
        </w:tc>
        <w:tc>
          <w:tcPr>
            <w:tcW w:w="1703" w:type="dxa"/>
            <w:vAlign w:val="top"/>
          </w:tcPr>
          <w:p>
            <w:pPr>
              <w:spacing w:before="108"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P1</w:t>
            </w:r>
          </w:p>
        </w:tc>
        <w:tc>
          <w:tcPr>
            <w:tcW w:w="1706" w:type="dxa"/>
            <w:vAlign w:val="top"/>
          </w:tcPr>
          <w:p>
            <w:pPr>
              <w:spacing w:before="108" w:line="187" w:lineRule="auto"/>
              <w:ind w:left="7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P2</w:t>
            </w:r>
          </w:p>
        </w:tc>
        <w:tc>
          <w:tcPr>
            <w:tcW w:w="1708" w:type="dxa"/>
            <w:vAlign w:val="top"/>
          </w:tcPr>
          <w:p>
            <w:pPr>
              <w:spacing w:before="108"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P3</w:t>
            </w:r>
          </w:p>
        </w:tc>
        <w:tc>
          <w:tcPr>
            <w:tcW w:w="1708" w:type="dxa"/>
            <w:vAlign w:val="top"/>
          </w:tcPr>
          <w:p>
            <w:pPr>
              <w:spacing w:before="108"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08" w:type="dxa"/>
            <w:vAlign w:val="top"/>
          </w:tcPr>
          <w:p>
            <w:pPr>
              <w:pStyle w:val="6"/>
              <w:spacing w:before="70" w:line="21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1≤Q</w:t>
            </w:r>
            <w:r>
              <w:rPr>
                <w:spacing w:val="-4"/>
                <w:sz w:val="21"/>
                <w:szCs w:val="21"/>
              </w:rPr>
              <w:t>＜</w:t>
            </w:r>
            <w:r>
              <w:rPr>
                <w:rFonts w:ascii="Times New Roman" w:hAnsi="Times New Roman" w:eastAsia="Times New Roman" w:cs="Times New Roman"/>
                <w:spacing w:val="-4"/>
                <w:sz w:val="21"/>
                <w:szCs w:val="21"/>
              </w:rPr>
              <w:t>10</w:t>
            </w:r>
          </w:p>
        </w:tc>
        <w:tc>
          <w:tcPr>
            <w:tcW w:w="1703" w:type="dxa"/>
            <w:vAlign w:val="top"/>
          </w:tcPr>
          <w:p>
            <w:pPr>
              <w:spacing w:before="108"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P2</w:t>
            </w:r>
          </w:p>
        </w:tc>
        <w:tc>
          <w:tcPr>
            <w:tcW w:w="1706" w:type="dxa"/>
            <w:vAlign w:val="top"/>
          </w:tcPr>
          <w:p>
            <w:pPr>
              <w:spacing w:before="108" w:line="187" w:lineRule="auto"/>
              <w:ind w:left="7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P3</w:t>
            </w:r>
          </w:p>
        </w:tc>
        <w:tc>
          <w:tcPr>
            <w:tcW w:w="1708" w:type="dxa"/>
            <w:vAlign w:val="top"/>
          </w:tcPr>
          <w:p>
            <w:pPr>
              <w:spacing w:before="108" w:line="187"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P4</w:t>
            </w:r>
          </w:p>
        </w:tc>
        <w:tc>
          <w:tcPr>
            <w:tcW w:w="1708" w:type="dxa"/>
            <w:vAlign w:val="top"/>
          </w:tcPr>
          <w:p>
            <w:pPr>
              <w:spacing w:before="108"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P4</w:t>
            </w:r>
          </w:p>
        </w:tc>
      </w:tr>
    </w:tbl>
    <w:p>
      <w:pPr>
        <w:spacing w:before="178" w:line="219" w:lineRule="auto"/>
        <w:ind w:left="602"/>
        <w:rPr>
          <w:rFonts w:ascii="宋体" w:hAnsi="宋体" w:eastAsia="宋体" w:cs="宋体"/>
          <w:sz w:val="24"/>
          <w:szCs w:val="24"/>
        </w:rPr>
      </w:pPr>
      <w:r>
        <w:rPr>
          <w:rFonts w:ascii="宋体" w:hAnsi="宋体" w:eastAsia="宋体" w:cs="宋体"/>
          <w:spacing w:val="-11"/>
          <w:sz w:val="24"/>
          <w:szCs w:val="24"/>
        </w:rPr>
        <w:t>根据以上分析，</w:t>
      </w:r>
      <w:r>
        <w:rPr>
          <w:rFonts w:ascii="宋体" w:hAnsi="宋体" w:eastAsia="宋体" w:cs="宋体"/>
          <w:spacing w:val="-32"/>
          <w:sz w:val="24"/>
          <w:szCs w:val="24"/>
        </w:rPr>
        <w:t xml:space="preserve"> </w:t>
      </w:r>
      <w:r>
        <w:rPr>
          <w:rFonts w:ascii="宋体" w:hAnsi="宋体" w:eastAsia="宋体" w:cs="宋体"/>
          <w:spacing w:val="-11"/>
          <w:sz w:val="24"/>
          <w:szCs w:val="24"/>
        </w:rPr>
        <w:t>综合确定本项目危险物质及工艺系统危险</w:t>
      </w:r>
      <w:r>
        <w:rPr>
          <w:rFonts w:ascii="宋体" w:hAnsi="宋体" w:eastAsia="宋体" w:cs="宋体"/>
          <w:spacing w:val="-12"/>
          <w:sz w:val="24"/>
          <w:szCs w:val="24"/>
        </w:rPr>
        <w:t>性（</w:t>
      </w:r>
      <w:r>
        <w:rPr>
          <w:rFonts w:ascii="Times New Roman" w:hAnsi="Times New Roman" w:eastAsia="Times New Roman" w:cs="Times New Roman"/>
          <w:spacing w:val="-12"/>
          <w:sz w:val="24"/>
          <w:szCs w:val="24"/>
        </w:rPr>
        <w:t>P</w:t>
      </w:r>
      <w:r>
        <w:rPr>
          <w:rFonts w:ascii="宋体" w:hAnsi="宋体" w:eastAsia="宋体" w:cs="宋体"/>
          <w:spacing w:val="-12"/>
          <w:sz w:val="24"/>
          <w:szCs w:val="24"/>
        </w:rPr>
        <w:t>）分级为</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P4</w:t>
      </w:r>
      <w:r>
        <w:rPr>
          <w:rFonts w:ascii="宋体" w:hAnsi="宋体" w:eastAsia="宋体" w:cs="宋体"/>
          <w:spacing w:val="-12"/>
          <w:sz w:val="24"/>
          <w:szCs w:val="24"/>
        </w:rPr>
        <w:t>。</w:t>
      </w:r>
    </w:p>
    <w:p>
      <w:pPr>
        <w:spacing w:before="195" w:line="220" w:lineRule="auto"/>
        <w:ind w:left="116"/>
        <w:rPr>
          <w:rFonts w:ascii="宋体" w:hAnsi="宋体" w:eastAsia="宋体" w:cs="宋体"/>
          <w:sz w:val="24"/>
          <w:szCs w:val="24"/>
        </w:rPr>
      </w:pPr>
      <w:bookmarkStart w:id="45" w:name="bookmark46"/>
      <w:bookmarkEnd w:id="45"/>
      <w:r>
        <w:rPr>
          <w:rFonts w:ascii="Times New Roman" w:hAnsi="Times New Roman" w:eastAsia="Times New Roman" w:cs="Times New Roman"/>
          <w:b/>
          <w:bCs/>
          <w:sz w:val="24"/>
          <w:szCs w:val="24"/>
        </w:rPr>
        <w:t xml:space="preserve">3.2 </w:t>
      </w:r>
      <w:r>
        <w:rPr>
          <w:rFonts w:ascii="宋体" w:hAnsi="宋体" w:eastAsia="宋体" w:cs="宋体"/>
          <w:sz w:val="24"/>
          <w:szCs w:val="24"/>
          <w14:textOutline w14:w="4354" w14:cap="flat" w14:cmpd="sng">
            <w14:solidFill>
              <w14:srgbClr w14:val="000000"/>
            </w14:solidFill>
            <w14:prstDash w14:val="solid"/>
            <w14:miter w14:val="10"/>
          </w14:textOutline>
        </w:rPr>
        <w:t>环境敏感程度（</w:t>
      </w:r>
      <w:r>
        <w:rPr>
          <w:rFonts w:ascii="Times New Roman" w:hAnsi="Times New Roman" w:eastAsia="Times New Roman" w:cs="Times New Roman"/>
          <w:b/>
          <w:bCs/>
          <w:sz w:val="24"/>
          <w:szCs w:val="24"/>
        </w:rPr>
        <w:t>E</w:t>
      </w:r>
      <w:r>
        <w:rPr>
          <w:rFonts w:ascii="宋体" w:hAnsi="宋体" w:eastAsia="宋体" w:cs="宋体"/>
          <w:sz w:val="24"/>
          <w:szCs w:val="24"/>
          <w14:textOutline w14:w="4354" w14:cap="flat" w14:cmpd="sng">
            <w14:solidFill>
              <w14:srgbClr w14:val="000000"/>
            </w14:solidFill>
            <w14:prstDash w14:val="solid"/>
            <w14:miter w14:val="10"/>
          </w14:textOutline>
        </w:rPr>
        <w:t>）</w:t>
      </w:r>
    </w:p>
    <w:p>
      <w:pPr>
        <w:spacing w:before="193" w:line="220" w:lineRule="auto"/>
        <w:ind w:left="602"/>
        <w:rPr>
          <w:rFonts w:ascii="宋体" w:hAnsi="宋体" w:eastAsia="宋体" w:cs="宋体"/>
          <w:sz w:val="24"/>
          <w:szCs w:val="24"/>
        </w:rPr>
      </w:pPr>
      <w:r>
        <w:rPr>
          <w:rFonts w:ascii="宋体" w:hAnsi="宋体" w:eastAsia="宋体" w:cs="宋体"/>
          <w:spacing w:val="-1"/>
          <w:sz w:val="24"/>
          <w:szCs w:val="24"/>
        </w:rPr>
        <w:t>环境敏感程度（</w:t>
      </w:r>
      <w:r>
        <w:rPr>
          <w:rFonts w:ascii="Times New Roman" w:hAnsi="Times New Roman" w:eastAsia="Times New Roman" w:cs="Times New Roman"/>
          <w:spacing w:val="-1"/>
          <w:sz w:val="24"/>
          <w:szCs w:val="24"/>
        </w:rPr>
        <w:t>E</w:t>
      </w:r>
      <w:r>
        <w:rPr>
          <w:rFonts w:ascii="宋体" w:hAnsi="宋体" w:eastAsia="宋体" w:cs="宋体"/>
          <w:spacing w:val="-1"/>
          <w:sz w:val="24"/>
          <w:szCs w:val="24"/>
        </w:rPr>
        <w:t>）的分级主要包括大气环境、地</w:t>
      </w:r>
      <w:r>
        <w:rPr>
          <w:rFonts w:ascii="宋体" w:hAnsi="宋体" w:eastAsia="宋体" w:cs="宋体"/>
          <w:spacing w:val="-2"/>
          <w:sz w:val="24"/>
          <w:szCs w:val="24"/>
        </w:rPr>
        <w:t>表水环境、地下水环境。</w:t>
      </w:r>
    </w:p>
    <w:p>
      <w:pPr>
        <w:spacing w:line="220" w:lineRule="auto"/>
        <w:rPr>
          <w:rFonts w:ascii="宋体" w:hAnsi="宋体" w:eastAsia="宋体" w:cs="宋体"/>
          <w:sz w:val="24"/>
          <w:szCs w:val="24"/>
        </w:rPr>
        <w:sectPr>
          <w:headerReference r:id="rId220" w:type="default"/>
          <w:footerReference r:id="rId221" w:type="default"/>
          <w:pgSz w:w="11907" w:h="16839"/>
          <w:pgMar w:top="1123" w:right="1682" w:bottom="1149" w:left="1685" w:header="1108" w:footer="988" w:gutter="0"/>
          <w:cols w:space="720" w:num="1"/>
        </w:sectPr>
      </w:pPr>
    </w:p>
    <w:p>
      <w:pPr>
        <w:pStyle w:val="2"/>
        <w:spacing w:line="414" w:lineRule="auto"/>
        <w:rPr>
          <w:sz w:val="21"/>
        </w:rPr>
      </w:pPr>
    </w:p>
    <w:p>
      <w:pPr>
        <w:spacing w:before="78" w:line="217" w:lineRule="auto"/>
        <w:ind w:left="644"/>
        <w:rPr>
          <w:rFonts w:ascii="宋体" w:hAnsi="宋体" w:eastAsia="宋体" w:cs="宋体"/>
          <w:sz w:val="24"/>
          <w:szCs w:val="24"/>
        </w:rPr>
      </w:pPr>
      <w:r>
        <w:rPr>
          <w:rFonts w:ascii="宋体" w:hAnsi="宋体" w:eastAsia="宋体" w:cs="宋体"/>
          <w:spacing w:val="-2"/>
          <w:sz w:val="24"/>
          <w:szCs w:val="24"/>
        </w:rPr>
        <w:t>①大气环境</w:t>
      </w:r>
    </w:p>
    <w:p>
      <w:pPr>
        <w:spacing w:before="198" w:line="369" w:lineRule="auto"/>
        <w:ind w:left="165" w:right="157" w:firstLine="481"/>
        <w:rPr>
          <w:rFonts w:ascii="宋体" w:hAnsi="宋体" w:eastAsia="宋体" w:cs="宋体"/>
          <w:sz w:val="24"/>
          <w:szCs w:val="24"/>
        </w:rPr>
      </w:pPr>
      <w:r>
        <w:rPr>
          <w:rFonts w:ascii="宋体" w:hAnsi="宋体" w:eastAsia="宋体" w:cs="宋体"/>
          <w:spacing w:val="-6"/>
          <w:sz w:val="24"/>
          <w:szCs w:val="24"/>
        </w:rPr>
        <w:t>依据环境敏感目标环境敏感性及人口密度划分环境风险受体的敏感性，</w:t>
      </w:r>
      <w:r>
        <w:rPr>
          <w:rFonts w:ascii="宋体" w:hAnsi="宋体" w:eastAsia="宋体" w:cs="宋体"/>
          <w:spacing w:val="-24"/>
          <w:sz w:val="24"/>
          <w:szCs w:val="24"/>
        </w:rPr>
        <w:t xml:space="preserve"> </w:t>
      </w:r>
      <w:r>
        <w:rPr>
          <w:rFonts w:ascii="宋体" w:hAnsi="宋体" w:eastAsia="宋体" w:cs="宋体"/>
          <w:spacing w:val="-6"/>
          <w:sz w:val="24"/>
          <w:szCs w:val="24"/>
        </w:rPr>
        <w:t>共分</w:t>
      </w:r>
      <w:r>
        <w:rPr>
          <w:rFonts w:ascii="宋体" w:hAnsi="宋体" w:eastAsia="宋体" w:cs="宋体"/>
          <w:sz w:val="24"/>
          <w:szCs w:val="24"/>
        </w:rPr>
        <w:t xml:space="preserve"> </w:t>
      </w:r>
      <w:r>
        <w:rPr>
          <w:rFonts w:ascii="宋体" w:hAnsi="宋体" w:eastAsia="宋体" w:cs="宋体"/>
          <w:spacing w:val="-13"/>
          <w:sz w:val="24"/>
          <w:szCs w:val="24"/>
        </w:rPr>
        <w:t>三种类型，</w:t>
      </w:r>
      <w:r>
        <w:rPr>
          <w:rFonts w:ascii="Times New Roman" w:hAnsi="Times New Roman" w:eastAsia="Times New Roman" w:cs="Times New Roman"/>
          <w:spacing w:val="-13"/>
          <w:sz w:val="24"/>
          <w:szCs w:val="24"/>
        </w:rPr>
        <w:t>E1</w:t>
      </w:r>
      <w:r>
        <w:rPr>
          <w:rFonts w:ascii="Times New Roman" w:hAnsi="Times New Roman" w:eastAsia="Times New Roman" w:cs="Times New Roman"/>
          <w:spacing w:val="12"/>
          <w:sz w:val="24"/>
          <w:szCs w:val="24"/>
        </w:rPr>
        <w:t xml:space="preserve"> </w:t>
      </w:r>
      <w:r>
        <w:rPr>
          <w:rFonts w:ascii="宋体" w:hAnsi="宋体" w:eastAsia="宋体" w:cs="宋体"/>
          <w:spacing w:val="-13"/>
          <w:sz w:val="24"/>
          <w:szCs w:val="24"/>
        </w:rPr>
        <w:t>为环境高度敏感区，</w:t>
      </w:r>
      <w:r>
        <w:rPr>
          <w:rFonts w:ascii="宋体" w:hAnsi="宋体" w:eastAsia="宋体" w:cs="宋体"/>
          <w:spacing w:val="-56"/>
          <w:sz w:val="24"/>
          <w:szCs w:val="24"/>
        </w:rPr>
        <w:t xml:space="preserve"> </w:t>
      </w:r>
      <w:r>
        <w:rPr>
          <w:rFonts w:ascii="Times New Roman" w:hAnsi="Times New Roman" w:eastAsia="Times New Roman" w:cs="Times New Roman"/>
          <w:spacing w:val="-13"/>
          <w:sz w:val="24"/>
          <w:szCs w:val="24"/>
        </w:rPr>
        <w:t>E2</w:t>
      </w:r>
      <w:r>
        <w:rPr>
          <w:rFonts w:ascii="Times New Roman" w:hAnsi="Times New Roman" w:eastAsia="Times New Roman" w:cs="Times New Roman"/>
          <w:spacing w:val="12"/>
          <w:sz w:val="24"/>
          <w:szCs w:val="24"/>
        </w:rPr>
        <w:t xml:space="preserve"> </w:t>
      </w:r>
      <w:r>
        <w:rPr>
          <w:rFonts w:ascii="宋体" w:hAnsi="宋体" w:eastAsia="宋体" w:cs="宋体"/>
          <w:spacing w:val="-13"/>
          <w:sz w:val="24"/>
          <w:szCs w:val="24"/>
        </w:rPr>
        <w:t>为环境中度敏感区，</w:t>
      </w:r>
      <w:r>
        <w:rPr>
          <w:rFonts w:ascii="Times New Roman" w:hAnsi="Times New Roman" w:eastAsia="Times New Roman" w:cs="Times New Roman"/>
          <w:spacing w:val="-13"/>
          <w:sz w:val="24"/>
          <w:szCs w:val="24"/>
        </w:rPr>
        <w:t>E3</w:t>
      </w:r>
      <w:r>
        <w:rPr>
          <w:rFonts w:ascii="Times New Roman" w:hAnsi="Times New Roman" w:eastAsia="Times New Roman" w:cs="Times New Roman"/>
          <w:spacing w:val="13"/>
          <w:sz w:val="24"/>
          <w:szCs w:val="24"/>
        </w:rPr>
        <w:t xml:space="preserve"> </w:t>
      </w:r>
      <w:r>
        <w:rPr>
          <w:rFonts w:ascii="宋体" w:hAnsi="宋体" w:eastAsia="宋体" w:cs="宋体"/>
          <w:spacing w:val="-14"/>
          <w:sz w:val="24"/>
          <w:szCs w:val="24"/>
        </w:rPr>
        <w:t>为环境低度敏感区，</w:t>
      </w:r>
    </w:p>
    <w:p>
      <w:pPr>
        <w:spacing w:line="219" w:lineRule="auto"/>
        <w:ind w:left="168"/>
        <w:rPr>
          <w:rFonts w:ascii="宋体" w:hAnsi="宋体" w:eastAsia="宋体" w:cs="宋体"/>
          <w:sz w:val="24"/>
          <w:szCs w:val="24"/>
        </w:rPr>
      </w:pPr>
      <w:r>
        <w:rPr>
          <w:rFonts w:ascii="宋体" w:hAnsi="宋体" w:eastAsia="宋体" w:cs="宋体"/>
          <w:spacing w:val="-8"/>
          <w:sz w:val="24"/>
          <w:szCs w:val="24"/>
        </w:rPr>
        <w:t>分级原则见下表：</w:t>
      </w:r>
    </w:p>
    <w:p>
      <w:pPr>
        <w:spacing w:before="194" w:line="220" w:lineRule="auto"/>
        <w:ind w:left="253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1"/>
          <w:sz w:val="24"/>
          <w:szCs w:val="24"/>
        </w:rPr>
        <w:t xml:space="preserve">3.2-4      </w:t>
      </w:r>
      <w:r>
        <w:rPr>
          <w:rFonts w:ascii="宋体" w:hAnsi="宋体" w:eastAsia="宋体" w:cs="宋体"/>
          <w:spacing w:val="-1"/>
          <w:sz w:val="24"/>
          <w:szCs w:val="24"/>
          <w14:textOutline w14:w="4354" w14:cap="flat" w14:cmpd="sng">
            <w14:solidFill>
              <w14:srgbClr w14:val="000000"/>
            </w14:solidFill>
            <w14:prstDash w14:val="solid"/>
            <w14:miter w14:val="10"/>
          </w14:textOutline>
        </w:rPr>
        <w:t>大气环境敏感程度分级</w:t>
      </w:r>
    </w:p>
    <w:p>
      <w:pPr>
        <w:spacing w:line="16" w:lineRule="exact"/>
      </w:pPr>
    </w:p>
    <w:tbl>
      <w:tblPr>
        <w:tblStyle w:val="5"/>
        <w:tblW w:w="8533"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7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72" w:type="dxa"/>
            <w:vAlign w:val="top"/>
          </w:tcPr>
          <w:p>
            <w:pPr>
              <w:pStyle w:val="6"/>
              <w:spacing w:before="68" w:line="221" w:lineRule="auto"/>
              <w:ind w:left="183"/>
              <w:rPr>
                <w:sz w:val="21"/>
                <w:szCs w:val="21"/>
              </w:rPr>
            </w:pPr>
            <w:r>
              <w:rPr>
                <w:spacing w:val="-3"/>
                <w:sz w:val="21"/>
                <w:szCs w:val="21"/>
              </w:rPr>
              <w:t>分级</w:t>
            </w:r>
          </w:p>
        </w:tc>
        <w:tc>
          <w:tcPr>
            <w:tcW w:w="7761" w:type="dxa"/>
            <w:vAlign w:val="top"/>
          </w:tcPr>
          <w:p>
            <w:pPr>
              <w:pStyle w:val="6"/>
              <w:spacing w:before="67" w:line="221" w:lineRule="auto"/>
              <w:ind w:left="3151"/>
              <w:rPr>
                <w:sz w:val="21"/>
                <w:szCs w:val="21"/>
              </w:rPr>
            </w:pPr>
            <w:r>
              <w:rPr>
                <w:spacing w:val="-2"/>
                <w:sz w:val="21"/>
                <w:szCs w:val="21"/>
              </w:rPr>
              <w:t>大气环境敏感性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72" w:type="dxa"/>
            <w:vAlign w:val="top"/>
          </w:tcPr>
          <w:p>
            <w:pPr>
              <w:spacing w:line="279" w:lineRule="auto"/>
              <w:rPr>
                <w:rFonts w:ascii="Arial"/>
                <w:sz w:val="21"/>
              </w:rPr>
            </w:pPr>
          </w:p>
          <w:p>
            <w:pPr>
              <w:spacing w:before="6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7761" w:type="dxa"/>
            <w:vAlign w:val="top"/>
          </w:tcPr>
          <w:p>
            <w:pPr>
              <w:pStyle w:val="6"/>
              <w:spacing w:before="29" w:line="220" w:lineRule="auto"/>
              <w:ind w:left="112"/>
              <w:rPr>
                <w:sz w:val="21"/>
                <w:szCs w:val="21"/>
              </w:rPr>
            </w:pPr>
            <w:r>
              <w:rPr>
                <w:spacing w:val="-3"/>
                <w:sz w:val="21"/>
                <w:szCs w:val="21"/>
              </w:rPr>
              <w:t>周边</w:t>
            </w:r>
            <w:r>
              <w:rPr>
                <w:spacing w:val="-34"/>
                <w:sz w:val="21"/>
                <w:szCs w:val="21"/>
              </w:rPr>
              <w:t xml:space="preserve"> </w:t>
            </w:r>
            <w:r>
              <w:rPr>
                <w:rFonts w:ascii="Times New Roman" w:hAnsi="Times New Roman" w:eastAsia="Times New Roman" w:cs="Times New Roman"/>
                <w:spacing w:val="-3"/>
                <w:sz w:val="21"/>
                <w:szCs w:val="21"/>
              </w:rPr>
              <w:t>5km</w:t>
            </w:r>
            <w:r>
              <w:rPr>
                <w:rFonts w:ascii="Times New Roman" w:hAnsi="Times New Roman" w:eastAsia="Times New Roman" w:cs="Times New Roman"/>
                <w:spacing w:val="13"/>
                <w:sz w:val="21"/>
                <w:szCs w:val="21"/>
              </w:rPr>
              <w:t xml:space="preserve"> </w:t>
            </w:r>
            <w:r>
              <w:rPr>
                <w:spacing w:val="-3"/>
                <w:sz w:val="21"/>
                <w:szCs w:val="21"/>
              </w:rPr>
              <w:t>范围内居住区、医疗卫生、文化教育、科研、行政办公等机构人口总数大</w:t>
            </w:r>
          </w:p>
          <w:p>
            <w:pPr>
              <w:pStyle w:val="6"/>
              <w:spacing w:before="20" w:line="221" w:lineRule="auto"/>
              <w:ind w:left="115"/>
              <w:rPr>
                <w:sz w:val="21"/>
                <w:szCs w:val="21"/>
              </w:rPr>
            </w:pPr>
            <w:r>
              <w:rPr>
                <w:spacing w:val="-5"/>
                <w:sz w:val="21"/>
                <w:szCs w:val="21"/>
              </w:rPr>
              <w:t>于</w:t>
            </w:r>
            <w:r>
              <w:rPr>
                <w:spacing w:val="-26"/>
                <w:sz w:val="21"/>
                <w:szCs w:val="21"/>
              </w:rPr>
              <w:t xml:space="preserve"> </w:t>
            </w:r>
            <w:r>
              <w:rPr>
                <w:rFonts w:ascii="Times New Roman" w:hAnsi="Times New Roman" w:eastAsia="Times New Roman" w:cs="Times New Roman"/>
                <w:spacing w:val="-5"/>
                <w:sz w:val="21"/>
                <w:szCs w:val="21"/>
              </w:rPr>
              <w:t>5</w:t>
            </w:r>
            <w:r>
              <w:rPr>
                <w:rFonts w:ascii="Times New Roman" w:hAnsi="Times New Roman" w:eastAsia="Times New Roman" w:cs="Times New Roman"/>
                <w:spacing w:val="13"/>
                <w:w w:val="101"/>
                <w:sz w:val="21"/>
                <w:szCs w:val="21"/>
              </w:rPr>
              <w:t xml:space="preserve"> </w:t>
            </w:r>
            <w:r>
              <w:rPr>
                <w:spacing w:val="-5"/>
                <w:sz w:val="21"/>
                <w:szCs w:val="21"/>
              </w:rPr>
              <w:t>万人，</w:t>
            </w:r>
            <w:r>
              <w:rPr>
                <w:spacing w:val="-20"/>
                <w:sz w:val="21"/>
                <w:szCs w:val="21"/>
              </w:rPr>
              <w:t xml:space="preserve"> </w:t>
            </w:r>
            <w:r>
              <w:rPr>
                <w:spacing w:val="-5"/>
                <w:sz w:val="21"/>
                <w:szCs w:val="21"/>
              </w:rPr>
              <w:t>或其他需要特殊保护区域；或周边</w:t>
            </w:r>
            <w:r>
              <w:rPr>
                <w:spacing w:val="-42"/>
                <w:sz w:val="21"/>
                <w:szCs w:val="21"/>
              </w:rPr>
              <w:t xml:space="preserve"> </w:t>
            </w:r>
            <w:r>
              <w:rPr>
                <w:rFonts w:ascii="Times New Roman" w:hAnsi="Times New Roman" w:eastAsia="Times New Roman" w:cs="Times New Roman"/>
                <w:spacing w:val="-5"/>
                <w:sz w:val="21"/>
                <w:szCs w:val="21"/>
              </w:rPr>
              <w:t>500m</w:t>
            </w:r>
            <w:r>
              <w:rPr>
                <w:rFonts w:ascii="Times New Roman" w:hAnsi="Times New Roman" w:eastAsia="Times New Roman" w:cs="Times New Roman"/>
                <w:spacing w:val="12"/>
                <w:sz w:val="21"/>
                <w:szCs w:val="21"/>
              </w:rPr>
              <w:t xml:space="preserve"> </w:t>
            </w:r>
            <w:r>
              <w:rPr>
                <w:spacing w:val="-5"/>
                <w:sz w:val="21"/>
                <w:szCs w:val="21"/>
              </w:rPr>
              <w:t>范围内人口总数大于</w:t>
            </w:r>
            <w:r>
              <w:rPr>
                <w:spacing w:val="-28"/>
                <w:sz w:val="21"/>
                <w:szCs w:val="21"/>
              </w:rPr>
              <w:t xml:space="preserve"> </w:t>
            </w:r>
            <w:r>
              <w:rPr>
                <w:rFonts w:ascii="Times New Roman" w:hAnsi="Times New Roman" w:eastAsia="Times New Roman" w:cs="Times New Roman"/>
                <w:spacing w:val="-5"/>
                <w:sz w:val="21"/>
                <w:szCs w:val="21"/>
              </w:rPr>
              <w:t xml:space="preserve">1000 </w:t>
            </w:r>
            <w:r>
              <w:rPr>
                <w:spacing w:val="-5"/>
                <w:sz w:val="21"/>
                <w:szCs w:val="21"/>
              </w:rPr>
              <w:t>人；</w:t>
            </w:r>
          </w:p>
          <w:p>
            <w:pPr>
              <w:pStyle w:val="6"/>
              <w:spacing w:before="22" w:line="206" w:lineRule="auto"/>
              <w:ind w:left="338"/>
              <w:rPr>
                <w:sz w:val="21"/>
                <w:szCs w:val="21"/>
              </w:rPr>
            </w:pPr>
            <w:r>
              <w:rPr>
                <w:spacing w:val="-2"/>
                <w:sz w:val="21"/>
                <w:szCs w:val="21"/>
              </w:rPr>
              <w:t>油气、化学品输送管线管段周边</w:t>
            </w:r>
            <w:r>
              <w:rPr>
                <w:spacing w:val="-48"/>
                <w:sz w:val="21"/>
                <w:szCs w:val="21"/>
              </w:rPr>
              <w:t xml:space="preserve"> </w:t>
            </w:r>
            <w:r>
              <w:rPr>
                <w:rFonts w:ascii="Times New Roman" w:hAnsi="Times New Roman" w:eastAsia="Times New Roman" w:cs="Times New Roman"/>
                <w:spacing w:val="-2"/>
                <w:sz w:val="21"/>
                <w:szCs w:val="21"/>
              </w:rPr>
              <w:t xml:space="preserve">200m </w:t>
            </w:r>
            <w:r>
              <w:rPr>
                <w:spacing w:val="-2"/>
                <w:sz w:val="21"/>
                <w:szCs w:val="21"/>
              </w:rPr>
              <w:t>范围内，</w:t>
            </w:r>
            <w:r>
              <w:rPr>
                <w:spacing w:val="-22"/>
                <w:sz w:val="21"/>
                <w:szCs w:val="21"/>
              </w:rPr>
              <w:t xml:space="preserve"> </w:t>
            </w:r>
            <w:r>
              <w:rPr>
                <w:spacing w:val="-3"/>
                <w:sz w:val="21"/>
                <w:szCs w:val="21"/>
              </w:rPr>
              <w:t>每千米管段人口数大于</w:t>
            </w:r>
            <w:r>
              <w:rPr>
                <w:spacing w:val="-48"/>
                <w:sz w:val="21"/>
                <w:szCs w:val="21"/>
              </w:rPr>
              <w:t xml:space="preserve"> </w:t>
            </w:r>
            <w:r>
              <w:rPr>
                <w:rFonts w:ascii="Times New Roman" w:hAnsi="Times New Roman" w:eastAsia="Times New Roman" w:cs="Times New Roman"/>
                <w:spacing w:val="-3"/>
                <w:sz w:val="21"/>
                <w:szCs w:val="21"/>
              </w:rPr>
              <w:t xml:space="preserve">200 </w:t>
            </w:r>
            <w:r>
              <w:rPr>
                <w:spacing w:val="-3"/>
                <w:sz w:val="21"/>
                <w:szCs w:val="21"/>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72" w:type="dxa"/>
            <w:vAlign w:val="top"/>
          </w:tcPr>
          <w:p>
            <w:pPr>
              <w:spacing w:line="417" w:lineRule="auto"/>
              <w:rPr>
                <w:rFonts w:ascii="Arial"/>
                <w:sz w:val="21"/>
              </w:rPr>
            </w:pPr>
          </w:p>
          <w:p>
            <w:pPr>
              <w:spacing w:before="60"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c>
          <w:tcPr>
            <w:tcW w:w="7761" w:type="dxa"/>
            <w:vAlign w:val="top"/>
          </w:tcPr>
          <w:p>
            <w:pPr>
              <w:pStyle w:val="6"/>
              <w:spacing w:before="33" w:line="220" w:lineRule="auto"/>
              <w:ind w:left="112"/>
              <w:rPr>
                <w:sz w:val="21"/>
                <w:szCs w:val="21"/>
              </w:rPr>
            </w:pPr>
            <w:r>
              <w:rPr>
                <w:spacing w:val="-3"/>
                <w:sz w:val="21"/>
                <w:szCs w:val="21"/>
              </w:rPr>
              <w:t>周边</w:t>
            </w:r>
            <w:r>
              <w:rPr>
                <w:spacing w:val="-34"/>
                <w:sz w:val="21"/>
                <w:szCs w:val="21"/>
              </w:rPr>
              <w:t xml:space="preserve"> </w:t>
            </w:r>
            <w:r>
              <w:rPr>
                <w:rFonts w:ascii="Times New Roman" w:hAnsi="Times New Roman" w:eastAsia="Times New Roman" w:cs="Times New Roman"/>
                <w:spacing w:val="-3"/>
                <w:sz w:val="21"/>
                <w:szCs w:val="21"/>
              </w:rPr>
              <w:t>5km</w:t>
            </w:r>
            <w:r>
              <w:rPr>
                <w:rFonts w:ascii="Times New Roman" w:hAnsi="Times New Roman" w:eastAsia="Times New Roman" w:cs="Times New Roman"/>
                <w:spacing w:val="13"/>
                <w:sz w:val="21"/>
                <w:szCs w:val="21"/>
              </w:rPr>
              <w:t xml:space="preserve"> </w:t>
            </w:r>
            <w:r>
              <w:rPr>
                <w:spacing w:val="-3"/>
                <w:sz w:val="21"/>
                <w:szCs w:val="21"/>
              </w:rPr>
              <w:t>范围内居住区、医疗卫生、文化教育、科研、行政办公等机构人口总数大</w:t>
            </w:r>
          </w:p>
          <w:p>
            <w:pPr>
              <w:pStyle w:val="6"/>
              <w:spacing w:before="20" w:line="221" w:lineRule="auto"/>
              <w:ind w:left="115"/>
              <w:rPr>
                <w:sz w:val="21"/>
                <w:szCs w:val="21"/>
              </w:rPr>
            </w:pPr>
            <w:r>
              <w:rPr>
                <w:spacing w:val="-9"/>
                <w:sz w:val="21"/>
                <w:szCs w:val="21"/>
              </w:rPr>
              <w:t>于</w:t>
            </w:r>
            <w:r>
              <w:rPr>
                <w:spacing w:val="-28"/>
                <w:sz w:val="21"/>
                <w:szCs w:val="21"/>
              </w:rPr>
              <w:t xml:space="preserve"> </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13"/>
                <w:w w:val="101"/>
                <w:sz w:val="21"/>
                <w:szCs w:val="21"/>
              </w:rPr>
              <w:t xml:space="preserve"> </w:t>
            </w:r>
            <w:r>
              <w:rPr>
                <w:spacing w:val="-9"/>
                <w:sz w:val="21"/>
                <w:szCs w:val="21"/>
              </w:rPr>
              <w:t>万人， 小于</w:t>
            </w:r>
            <w:r>
              <w:rPr>
                <w:spacing w:val="-42"/>
                <w:sz w:val="21"/>
                <w:szCs w:val="21"/>
              </w:rPr>
              <w:t xml:space="preserve"> </w:t>
            </w:r>
            <w:r>
              <w:rPr>
                <w:rFonts w:ascii="Times New Roman" w:hAnsi="Times New Roman" w:eastAsia="Times New Roman" w:cs="Times New Roman"/>
                <w:spacing w:val="-9"/>
                <w:sz w:val="21"/>
                <w:szCs w:val="21"/>
              </w:rPr>
              <w:t>5</w:t>
            </w:r>
            <w:r>
              <w:rPr>
                <w:rFonts w:ascii="Times New Roman" w:hAnsi="Times New Roman" w:eastAsia="Times New Roman" w:cs="Times New Roman"/>
                <w:spacing w:val="13"/>
                <w:w w:val="101"/>
                <w:sz w:val="21"/>
                <w:szCs w:val="21"/>
              </w:rPr>
              <w:t xml:space="preserve"> </w:t>
            </w:r>
            <w:r>
              <w:rPr>
                <w:spacing w:val="-9"/>
                <w:sz w:val="21"/>
                <w:szCs w:val="21"/>
              </w:rPr>
              <w:t>万人； 或周边</w:t>
            </w:r>
            <w:r>
              <w:rPr>
                <w:spacing w:val="-43"/>
                <w:sz w:val="21"/>
                <w:szCs w:val="21"/>
              </w:rPr>
              <w:t xml:space="preserve"> </w:t>
            </w:r>
            <w:r>
              <w:rPr>
                <w:rFonts w:ascii="Times New Roman" w:hAnsi="Times New Roman" w:eastAsia="Times New Roman" w:cs="Times New Roman"/>
                <w:spacing w:val="-9"/>
                <w:sz w:val="21"/>
                <w:szCs w:val="21"/>
              </w:rPr>
              <w:t>500m</w:t>
            </w:r>
            <w:r>
              <w:rPr>
                <w:rFonts w:ascii="Times New Roman" w:hAnsi="Times New Roman" w:eastAsia="Times New Roman" w:cs="Times New Roman"/>
                <w:spacing w:val="10"/>
                <w:sz w:val="21"/>
                <w:szCs w:val="21"/>
              </w:rPr>
              <w:t xml:space="preserve"> </w:t>
            </w:r>
            <w:r>
              <w:rPr>
                <w:spacing w:val="-9"/>
                <w:sz w:val="21"/>
                <w:szCs w:val="21"/>
              </w:rPr>
              <w:t>范围内人口总数大于</w:t>
            </w:r>
            <w:r>
              <w:rPr>
                <w:spacing w:val="-42"/>
                <w:sz w:val="21"/>
                <w:szCs w:val="21"/>
              </w:rPr>
              <w:t xml:space="preserve"> </w:t>
            </w:r>
            <w:r>
              <w:rPr>
                <w:rFonts w:ascii="Times New Roman" w:hAnsi="Times New Roman" w:eastAsia="Times New Roman" w:cs="Times New Roman"/>
                <w:spacing w:val="-9"/>
                <w:sz w:val="21"/>
                <w:szCs w:val="21"/>
              </w:rPr>
              <w:t>500</w:t>
            </w:r>
            <w:r>
              <w:rPr>
                <w:rFonts w:ascii="Times New Roman" w:hAnsi="Times New Roman" w:eastAsia="Times New Roman" w:cs="Times New Roman"/>
                <w:spacing w:val="11"/>
                <w:sz w:val="21"/>
                <w:szCs w:val="21"/>
              </w:rPr>
              <w:t xml:space="preserve"> </w:t>
            </w:r>
            <w:r>
              <w:rPr>
                <w:spacing w:val="-9"/>
                <w:sz w:val="21"/>
                <w:szCs w:val="21"/>
              </w:rPr>
              <w:t>人，小于</w:t>
            </w:r>
            <w:r>
              <w:rPr>
                <w:spacing w:val="-28"/>
                <w:sz w:val="21"/>
                <w:szCs w:val="21"/>
              </w:rPr>
              <w:t xml:space="preserve"> </w:t>
            </w:r>
            <w:r>
              <w:rPr>
                <w:rFonts w:ascii="Times New Roman" w:hAnsi="Times New Roman" w:eastAsia="Times New Roman" w:cs="Times New Roman"/>
                <w:spacing w:val="-9"/>
                <w:sz w:val="21"/>
                <w:szCs w:val="21"/>
              </w:rPr>
              <w:t>1000</w:t>
            </w:r>
            <w:r>
              <w:rPr>
                <w:rFonts w:ascii="Times New Roman" w:hAnsi="Times New Roman" w:eastAsia="Times New Roman" w:cs="Times New Roman"/>
                <w:spacing w:val="11"/>
                <w:sz w:val="21"/>
                <w:szCs w:val="21"/>
              </w:rPr>
              <w:t xml:space="preserve"> </w:t>
            </w:r>
            <w:r>
              <w:rPr>
                <w:spacing w:val="-9"/>
                <w:sz w:val="21"/>
                <w:szCs w:val="21"/>
              </w:rPr>
              <w:t>人；</w:t>
            </w:r>
          </w:p>
          <w:p>
            <w:pPr>
              <w:pStyle w:val="6"/>
              <w:spacing w:before="22" w:line="221" w:lineRule="auto"/>
              <w:ind w:left="127"/>
              <w:rPr>
                <w:sz w:val="21"/>
                <w:szCs w:val="21"/>
              </w:rPr>
            </w:pPr>
            <w:r>
              <w:rPr>
                <w:spacing w:val="-3"/>
                <w:sz w:val="21"/>
                <w:szCs w:val="21"/>
              </w:rPr>
              <w:t>油气、化学品输送管线管段周边</w:t>
            </w:r>
            <w:r>
              <w:rPr>
                <w:spacing w:val="-43"/>
                <w:sz w:val="21"/>
                <w:szCs w:val="21"/>
              </w:rPr>
              <w:t xml:space="preserve"> </w:t>
            </w:r>
            <w:r>
              <w:rPr>
                <w:rFonts w:ascii="Times New Roman" w:hAnsi="Times New Roman" w:eastAsia="Times New Roman" w:cs="Times New Roman"/>
                <w:spacing w:val="-3"/>
                <w:sz w:val="21"/>
                <w:szCs w:val="21"/>
              </w:rPr>
              <w:t xml:space="preserve">200m </w:t>
            </w:r>
            <w:r>
              <w:rPr>
                <w:spacing w:val="-3"/>
                <w:sz w:val="21"/>
                <w:szCs w:val="21"/>
              </w:rPr>
              <w:t>范围内，</w:t>
            </w:r>
            <w:r>
              <w:rPr>
                <w:spacing w:val="-23"/>
                <w:sz w:val="21"/>
                <w:szCs w:val="21"/>
              </w:rPr>
              <w:t xml:space="preserve"> </w:t>
            </w:r>
            <w:r>
              <w:rPr>
                <w:spacing w:val="-3"/>
                <w:sz w:val="21"/>
                <w:szCs w:val="21"/>
              </w:rPr>
              <w:t>每千米管段人口数大于</w:t>
            </w:r>
            <w:r>
              <w:rPr>
                <w:spacing w:val="-28"/>
                <w:sz w:val="21"/>
                <w:szCs w:val="21"/>
              </w:rPr>
              <w:t xml:space="preserve"> </w:t>
            </w:r>
            <w:r>
              <w:rPr>
                <w:rFonts w:ascii="Times New Roman" w:hAnsi="Times New Roman" w:eastAsia="Times New Roman" w:cs="Times New Roman"/>
                <w:spacing w:val="-3"/>
                <w:sz w:val="21"/>
                <w:szCs w:val="21"/>
              </w:rPr>
              <w:t xml:space="preserve">100 </w:t>
            </w:r>
            <w:r>
              <w:rPr>
                <w:spacing w:val="-3"/>
                <w:sz w:val="21"/>
                <w:szCs w:val="21"/>
              </w:rPr>
              <w:t>人，小</w:t>
            </w:r>
          </w:p>
          <w:p>
            <w:pPr>
              <w:pStyle w:val="6"/>
              <w:spacing w:before="20" w:line="206" w:lineRule="auto"/>
              <w:ind w:left="3466"/>
              <w:rPr>
                <w:sz w:val="21"/>
                <w:szCs w:val="21"/>
              </w:rPr>
            </w:pPr>
            <w:r>
              <w:rPr>
                <w:spacing w:val="-3"/>
                <w:sz w:val="21"/>
                <w:szCs w:val="21"/>
              </w:rPr>
              <w:t>于</w:t>
            </w:r>
            <w:r>
              <w:rPr>
                <w:spacing w:val="-47"/>
                <w:sz w:val="21"/>
                <w:szCs w:val="21"/>
              </w:rPr>
              <w:t xml:space="preserve"> </w:t>
            </w:r>
            <w:r>
              <w:rPr>
                <w:rFonts w:ascii="Times New Roman" w:hAnsi="Times New Roman" w:eastAsia="Times New Roman" w:cs="Times New Roman"/>
                <w:spacing w:val="-3"/>
                <w:sz w:val="21"/>
                <w:szCs w:val="21"/>
              </w:rPr>
              <w:t>200</w:t>
            </w:r>
            <w:r>
              <w:rPr>
                <w:rFonts w:ascii="Times New Roman" w:hAnsi="Times New Roman" w:eastAsia="Times New Roman" w:cs="Times New Roman"/>
                <w:spacing w:val="8"/>
                <w:sz w:val="21"/>
                <w:szCs w:val="21"/>
              </w:rPr>
              <w:t xml:space="preserve"> </w:t>
            </w:r>
            <w:r>
              <w:rPr>
                <w:spacing w:val="-3"/>
                <w:sz w:val="21"/>
                <w:szCs w:val="21"/>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772" w:type="dxa"/>
            <w:vAlign w:val="top"/>
          </w:tcPr>
          <w:p>
            <w:pPr>
              <w:spacing w:line="281" w:lineRule="auto"/>
              <w:rPr>
                <w:rFonts w:ascii="Arial"/>
                <w:sz w:val="21"/>
              </w:rPr>
            </w:pPr>
          </w:p>
          <w:p>
            <w:pPr>
              <w:spacing w:before="60"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p>
        </w:tc>
        <w:tc>
          <w:tcPr>
            <w:tcW w:w="7761" w:type="dxa"/>
            <w:vAlign w:val="top"/>
          </w:tcPr>
          <w:p>
            <w:pPr>
              <w:pStyle w:val="6"/>
              <w:spacing w:before="33" w:line="220" w:lineRule="auto"/>
              <w:ind w:left="112"/>
              <w:rPr>
                <w:sz w:val="21"/>
                <w:szCs w:val="21"/>
              </w:rPr>
            </w:pPr>
            <w:r>
              <w:rPr>
                <w:spacing w:val="-3"/>
                <w:sz w:val="21"/>
                <w:szCs w:val="21"/>
              </w:rPr>
              <w:t>周边</w:t>
            </w:r>
            <w:r>
              <w:rPr>
                <w:spacing w:val="-34"/>
                <w:sz w:val="21"/>
                <w:szCs w:val="21"/>
              </w:rPr>
              <w:t xml:space="preserve"> </w:t>
            </w:r>
            <w:r>
              <w:rPr>
                <w:rFonts w:ascii="Times New Roman" w:hAnsi="Times New Roman" w:eastAsia="Times New Roman" w:cs="Times New Roman"/>
                <w:spacing w:val="-3"/>
                <w:sz w:val="21"/>
                <w:szCs w:val="21"/>
              </w:rPr>
              <w:t>5km</w:t>
            </w:r>
            <w:r>
              <w:rPr>
                <w:rFonts w:ascii="Times New Roman" w:hAnsi="Times New Roman" w:eastAsia="Times New Roman" w:cs="Times New Roman"/>
                <w:spacing w:val="13"/>
                <w:sz w:val="21"/>
                <w:szCs w:val="21"/>
              </w:rPr>
              <w:t xml:space="preserve"> </w:t>
            </w:r>
            <w:r>
              <w:rPr>
                <w:spacing w:val="-3"/>
                <w:sz w:val="21"/>
                <w:szCs w:val="21"/>
              </w:rPr>
              <w:t>范围内居住区、医疗卫生、文化教育、科研、行政办公等机构人口总数小</w:t>
            </w:r>
          </w:p>
          <w:p>
            <w:pPr>
              <w:pStyle w:val="6"/>
              <w:spacing w:before="20" w:line="221" w:lineRule="auto"/>
              <w:ind w:left="127"/>
              <w:rPr>
                <w:sz w:val="21"/>
                <w:szCs w:val="21"/>
              </w:rPr>
            </w:pPr>
            <w:r>
              <w:rPr>
                <w:spacing w:val="-4"/>
                <w:sz w:val="21"/>
                <w:szCs w:val="21"/>
              </w:rPr>
              <w:t>于</w:t>
            </w:r>
            <w:r>
              <w:rPr>
                <w:spacing w:val="-27"/>
                <w:sz w:val="21"/>
                <w:szCs w:val="21"/>
              </w:rPr>
              <w:t xml:space="preserve">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13"/>
                <w:w w:val="101"/>
                <w:sz w:val="21"/>
                <w:szCs w:val="21"/>
              </w:rPr>
              <w:t xml:space="preserve"> </w:t>
            </w:r>
            <w:r>
              <w:rPr>
                <w:spacing w:val="-4"/>
                <w:sz w:val="21"/>
                <w:szCs w:val="21"/>
              </w:rPr>
              <w:t>万人； 或周边</w:t>
            </w:r>
            <w:r>
              <w:rPr>
                <w:spacing w:val="-42"/>
                <w:sz w:val="21"/>
                <w:szCs w:val="21"/>
              </w:rPr>
              <w:t xml:space="preserve"> </w:t>
            </w:r>
            <w:r>
              <w:rPr>
                <w:rFonts w:ascii="Times New Roman" w:hAnsi="Times New Roman" w:eastAsia="Times New Roman" w:cs="Times New Roman"/>
                <w:spacing w:val="-4"/>
                <w:sz w:val="21"/>
                <w:szCs w:val="21"/>
              </w:rPr>
              <w:t xml:space="preserve">500m </w:t>
            </w:r>
            <w:r>
              <w:rPr>
                <w:spacing w:val="-4"/>
                <w:sz w:val="21"/>
                <w:szCs w:val="21"/>
              </w:rPr>
              <w:t>范围内人口总数小于</w:t>
            </w:r>
            <w:r>
              <w:rPr>
                <w:spacing w:val="-42"/>
                <w:sz w:val="21"/>
                <w:szCs w:val="21"/>
              </w:rPr>
              <w:t xml:space="preserve"> </w:t>
            </w:r>
            <w:r>
              <w:rPr>
                <w:rFonts w:ascii="Times New Roman" w:hAnsi="Times New Roman" w:eastAsia="Times New Roman" w:cs="Times New Roman"/>
                <w:spacing w:val="-4"/>
                <w:sz w:val="21"/>
                <w:szCs w:val="21"/>
              </w:rPr>
              <w:t xml:space="preserve">500 </w:t>
            </w:r>
            <w:r>
              <w:rPr>
                <w:spacing w:val="-4"/>
                <w:sz w:val="21"/>
                <w:szCs w:val="21"/>
              </w:rPr>
              <w:t>人；油气、化学</w:t>
            </w:r>
            <w:r>
              <w:rPr>
                <w:spacing w:val="-5"/>
                <w:sz w:val="21"/>
                <w:szCs w:val="21"/>
              </w:rPr>
              <w:t>品输送管线管段</w:t>
            </w:r>
          </w:p>
          <w:p>
            <w:pPr>
              <w:pStyle w:val="6"/>
              <w:spacing w:before="22" w:line="207" w:lineRule="auto"/>
              <w:ind w:left="1596"/>
              <w:rPr>
                <w:sz w:val="21"/>
                <w:szCs w:val="21"/>
              </w:rPr>
            </w:pPr>
            <w:r>
              <w:rPr>
                <w:spacing w:val="-1"/>
                <w:sz w:val="21"/>
                <w:szCs w:val="21"/>
              </w:rPr>
              <w:t>周边</w:t>
            </w:r>
            <w:r>
              <w:rPr>
                <w:spacing w:val="-47"/>
                <w:sz w:val="21"/>
                <w:szCs w:val="21"/>
              </w:rPr>
              <w:t xml:space="preserve"> </w:t>
            </w:r>
            <w:r>
              <w:rPr>
                <w:rFonts w:ascii="Times New Roman" w:hAnsi="Times New Roman" w:eastAsia="Times New Roman" w:cs="Times New Roman"/>
                <w:spacing w:val="-1"/>
                <w:sz w:val="21"/>
                <w:szCs w:val="21"/>
              </w:rPr>
              <w:t xml:space="preserve">200m </w:t>
            </w:r>
            <w:r>
              <w:rPr>
                <w:spacing w:val="-1"/>
                <w:sz w:val="21"/>
                <w:szCs w:val="21"/>
              </w:rPr>
              <w:t>范围内，每千米管段人口数小于</w:t>
            </w:r>
            <w:r>
              <w:rPr>
                <w:spacing w:val="-28"/>
                <w:sz w:val="21"/>
                <w:szCs w:val="21"/>
              </w:rPr>
              <w:t xml:space="preserve"> </w:t>
            </w:r>
            <w:r>
              <w:rPr>
                <w:rFonts w:ascii="Times New Roman" w:hAnsi="Times New Roman" w:eastAsia="Times New Roman" w:cs="Times New Roman"/>
                <w:spacing w:val="-1"/>
                <w:sz w:val="21"/>
                <w:szCs w:val="21"/>
              </w:rPr>
              <w:t>100</w:t>
            </w:r>
            <w:r>
              <w:rPr>
                <w:rFonts w:ascii="Times New Roman" w:hAnsi="Times New Roman" w:eastAsia="Times New Roman" w:cs="Times New Roman"/>
                <w:spacing w:val="-2"/>
                <w:sz w:val="21"/>
                <w:szCs w:val="21"/>
              </w:rPr>
              <w:t xml:space="preserve"> </w:t>
            </w:r>
            <w:r>
              <w:rPr>
                <w:spacing w:val="-2"/>
                <w:sz w:val="21"/>
                <w:szCs w:val="21"/>
              </w:rPr>
              <w:t>人</w:t>
            </w:r>
          </w:p>
        </w:tc>
      </w:tr>
    </w:tbl>
    <w:p>
      <w:pPr>
        <w:spacing w:before="178" w:line="480" w:lineRule="exact"/>
        <w:ind w:left="645"/>
        <w:rPr>
          <w:rFonts w:ascii="宋体" w:hAnsi="宋体" w:eastAsia="宋体" w:cs="宋体"/>
          <w:sz w:val="24"/>
          <w:szCs w:val="24"/>
        </w:rPr>
      </w:pPr>
      <w:r>
        <w:rPr>
          <w:rFonts w:ascii="宋体" w:hAnsi="宋体" w:eastAsia="宋体" w:cs="宋体"/>
          <w:spacing w:val="-2"/>
          <w:position w:val="18"/>
          <w:sz w:val="24"/>
          <w:szCs w:val="24"/>
        </w:rPr>
        <w:t>根据表</w:t>
      </w:r>
      <w:r>
        <w:rPr>
          <w:rFonts w:ascii="宋体" w:hAnsi="宋体" w:eastAsia="宋体" w:cs="宋体"/>
          <w:spacing w:val="-42"/>
          <w:position w:val="18"/>
          <w:sz w:val="24"/>
          <w:szCs w:val="24"/>
        </w:rPr>
        <w:t xml:space="preserve"> </w:t>
      </w:r>
      <w:r>
        <w:rPr>
          <w:rFonts w:ascii="Times New Roman" w:hAnsi="Times New Roman" w:eastAsia="Times New Roman" w:cs="Times New Roman"/>
          <w:spacing w:val="-2"/>
          <w:position w:val="18"/>
          <w:sz w:val="24"/>
          <w:szCs w:val="24"/>
        </w:rPr>
        <w:t>3.2-4</w:t>
      </w:r>
      <w:r>
        <w:rPr>
          <w:rFonts w:ascii="Times New Roman" w:hAnsi="Times New Roman" w:eastAsia="Times New Roman" w:cs="Times New Roman"/>
          <w:spacing w:val="18"/>
          <w:position w:val="18"/>
          <w:sz w:val="24"/>
          <w:szCs w:val="24"/>
        </w:rPr>
        <w:t xml:space="preserve"> </w:t>
      </w:r>
      <w:r>
        <w:rPr>
          <w:rFonts w:ascii="宋体" w:hAnsi="宋体" w:eastAsia="宋体" w:cs="宋体"/>
          <w:spacing w:val="-2"/>
          <w:position w:val="18"/>
          <w:sz w:val="24"/>
          <w:szCs w:val="24"/>
        </w:rPr>
        <w:t>可知，项目周边</w:t>
      </w:r>
      <w:r>
        <w:rPr>
          <w:rFonts w:ascii="宋体" w:hAnsi="宋体" w:eastAsia="宋体" w:cs="宋体"/>
          <w:spacing w:val="-40"/>
          <w:position w:val="18"/>
          <w:sz w:val="24"/>
          <w:szCs w:val="24"/>
        </w:rPr>
        <w:t xml:space="preserve"> </w:t>
      </w:r>
      <w:r>
        <w:rPr>
          <w:rFonts w:ascii="Times New Roman" w:hAnsi="Times New Roman" w:eastAsia="Times New Roman" w:cs="Times New Roman"/>
          <w:spacing w:val="-2"/>
          <w:position w:val="18"/>
          <w:sz w:val="24"/>
          <w:szCs w:val="24"/>
        </w:rPr>
        <w:t>500m</w:t>
      </w:r>
      <w:r>
        <w:rPr>
          <w:rFonts w:ascii="Times New Roman" w:hAnsi="Times New Roman" w:eastAsia="Times New Roman" w:cs="Times New Roman"/>
          <w:spacing w:val="22"/>
          <w:w w:val="101"/>
          <w:position w:val="18"/>
          <w:sz w:val="24"/>
          <w:szCs w:val="24"/>
        </w:rPr>
        <w:t xml:space="preserve"> </w:t>
      </w:r>
      <w:r>
        <w:rPr>
          <w:rFonts w:ascii="宋体" w:hAnsi="宋体" w:eastAsia="宋体" w:cs="宋体"/>
          <w:spacing w:val="-2"/>
          <w:position w:val="18"/>
          <w:sz w:val="24"/>
          <w:szCs w:val="24"/>
        </w:rPr>
        <w:t>范围内人口总数小于</w:t>
      </w:r>
      <w:r>
        <w:rPr>
          <w:rFonts w:ascii="宋体" w:hAnsi="宋体" w:eastAsia="宋体" w:cs="宋体"/>
          <w:spacing w:val="-42"/>
          <w:position w:val="18"/>
          <w:sz w:val="24"/>
          <w:szCs w:val="24"/>
        </w:rPr>
        <w:t xml:space="preserve"> </w:t>
      </w:r>
      <w:r>
        <w:rPr>
          <w:rFonts w:ascii="Times New Roman" w:hAnsi="Times New Roman" w:eastAsia="Times New Roman" w:cs="Times New Roman"/>
          <w:spacing w:val="-2"/>
          <w:position w:val="18"/>
          <w:sz w:val="24"/>
          <w:szCs w:val="24"/>
        </w:rPr>
        <w:t>500</w:t>
      </w:r>
      <w:r>
        <w:rPr>
          <w:rFonts w:ascii="Times New Roman" w:hAnsi="Times New Roman" w:eastAsia="Times New Roman" w:cs="Times New Roman"/>
          <w:spacing w:val="19"/>
          <w:position w:val="18"/>
          <w:sz w:val="24"/>
          <w:szCs w:val="24"/>
        </w:rPr>
        <w:t xml:space="preserve"> </w:t>
      </w:r>
      <w:r>
        <w:rPr>
          <w:rFonts w:ascii="宋体" w:hAnsi="宋体" w:eastAsia="宋体" w:cs="宋体"/>
          <w:spacing w:val="-3"/>
          <w:position w:val="18"/>
          <w:sz w:val="24"/>
          <w:szCs w:val="24"/>
        </w:rPr>
        <w:t>人，</w:t>
      </w:r>
      <w:r>
        <w:rPr>
          <w:rFonts w:ascii="Times New Roman" w:hAnsi="Times New Roman" w:eastAsia="Times New Roman" w:cs="Times New Roman"/>
          <w:spacing w:val="-3"/>
          <w:position w:val="18"/>
          <w:sz w:val="24"/>
          <w:szCs w:val="24"/>
        </w:rPr>
        <w:t>5km</w:t>
      </w:r>
      <w:r>
        <w:rPr>
          <w:rFonts w:ascii="Times New Roman" w:hAnsi="Times New Roman" w:eastAsia="Times New Roman" w:cs="Times New Roman"/>
          <w:spacing w:val="24"/>
          <w:position w:val="18"/>
          <w:sz w:val="24"/>
          <w:szCs w:val="24"/>
        </w:rPr>
        <w:t xml:space="preserve"> </w:t>
      </w:r>
      <w:r>
        <w:rPr>
          <w:rFonts w:ascii="宋体" w:hAnsi="宋体" w:eastAsia="宋体" w:cs="宋体"/>
          <w:spacing w:val="-3"/>
          <w:position w:val="18"/>
          <w:sz w:val="24"/>
          <w:szCs w:val="24"/>
        </w:rPr>
        <w:t>范围</w:t>
      </w:r>
    </w:p>
    <w:p>
      <w:pPr>
        <w:spacing w:before="1" w:line="218" w:lineRule="auto"/>
        <w:ind w:left="194"/>
        <w:rPr>
          <w:rFonts w:ascii="宋体" w:hAnsi="宋体" w:eastAsia="宋体" w:cs="宋体"/>
          <w:sz w:val="24"/>
          <w:szCs w:val="24"/>
        </w:rPr>
      </w:pPr>
      <w:r>
        <w:rPr>
          <w:rFonts w:ascii="宋体" w:hAnsi="宋体" w:eastAsia="宋体" w:cs="宋体"/>
          <w:spacing w:val="-14"/>
          <w:sz w:val="24"/>
          <w:szCs w:val="24"/>
        </w:rPr>
        <w:t>内人口总数大于</w:t>
      </w:r>
      <w:r>
        <w:rPr>
          <w:rFonts w:ascii="宋体" w:hAnsi="宋体" w:eastAsia="宋体" w:cs="宋体"/>
          <w:spacing w:val="-24"/>
          <w:sz w:val="24"/>
          <w:szCs w:val="24"/>
        </w:rPr>
        <w:t xml:space="preserve"> </w:t>
      </w:r>
      <w:r>
        <w:rPr>
          <w:rFonts w:ascii="Times New Roman" w:hAnsi="Times New Roman" w:eastAsia="Times New Roman" w:cs="Times New Roman"/>
          <w:spacing w:val="-1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14"/>
          <w:sz w:val="24"/>
          <w:szCs w:val="24"/>
        </w:rPr>
        <w:t>万人，</w:t>
      </w:r>
      <w:r>
        <w:rPr>
          <w:rFonts w:ascii="宋体" w:hAnsi="宋体" w:eastAsia="宋体" w:cs="宋体"/>
          <w:spacing w:val="-51"/>
          <w:sz w:val="24"/>
          <w:szCs w:val="24"/>
        </w:rPr>
        <w:t xml:space="preserve"> </w:t>
      </w:r>
      <w:r>
        <w:rPr>
          <w:rFonts w:ascii="宋体" w:hAnsi="宋体" w:eastAsia="宋体" w:cs="宋体"/>
          <w:spacing w:val="-14"/>
          <w:sz w:val="24"/>
          <w:szCs w:val="24"/>
        </w:rPr>
        <w:t>小于</w:t>
      </w:r>
      <w:r>
        <w:rPr>
          <w:rFonts w:ascii="宋体" w:hAnsi="宋体" w:eastAsia="宋体" w:cs="宋体"/>
          <w:spacing w:val="-48"/>
          <w:sz w:val="24"/>
          <w:szCs w:val="24"/>
        </w:rPr>
        <w:t xml:space="preserve"> </w:t>
      </w:r>
      <w:r>
        <w:rPr>
          <w:rFonts w:ascii="Times New Roman" w:hAnsi="Times New Roman" w:eastAsia="Times New Roman" w:cs="Times New Roman"/>
          <w:spacing w:val="-14"/>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4"/>
          <w:sz w:val="24"/>
          <w:szCs w:val="24"/>
        </w:rPr>
        <w:t>万人，</w:t>
      </w:r>
      <w:r>
        <w:rPr>
          <w:rFonts w:ascii="宋体" w:hAnsi="宋体" w:eastAsia="宋体" w:cs="宋体"/>
          <w:spacing w:val="-39"/>
          <w:sz w:val="24"/>
          <w:szCs w:val="24"/>
        </w:rPr>
        <w:t xml:space="preserve"> </w:t>
      </w:r>
      <w:r>
        <w:rPr>
          <w:rFonts w:ascii="宋体" w:hAnsi="宋体" w:eastAsia="宋体" w:cs="宋体"/>
          <w:spacing w:val="-14"/>
          <w:sz w:val="24"/>
          <w:szCs w:val="24"/>
        </w:rPr>
        <w:t>因此，</w:t>
      </w:r>
      <w:r>
        <w:rPr>
          <w:rFonts w:ascii="宋体" w:hAnsi="宋体" w:eastAsia="宋体" w:cs="宋体"/>
          <w:spacing w:val="-64"/>
          <w:sz w:val="24"/>
          <w:szCs w:val="24"/>
        </w:rPr>
        <w:t xml:space="preserve"> </w:t>
      </w:r>
      <w:r>
        <w:rPr>
          <w:rFonts w:ascii="宋体" w:hAnsi="宋体" w:eastAsia="宋体" w:cs="宋体"/>
          <w:spacing w:val="-14"/>
          <w:sz w:val="24"/>
          <w:szCs w:val="24"/>
        </w:rPr>
        <w:t>确定本项目大气环境敏感性为</w:t>
      </w:r>
      <w:r>
        <w:rPr>
          <w:rFonts w:ascii="宋体" w:hAnsi="宋体" w:eastAsia="宋体" w:cs="宋体"/>
          <w:spacing w:val="-54"/>
          <w:sz w:val="24"/>
          <w:szCs w:val="24"/>
        </w:rPr>
        <w:t xml:space="preserve"> </w:t>
      </w:r>
      <w:r>
        <w:rPr>
          <w:rFonts w:ascii="Times New Roman" w:hAnsi="Times New Roman" w:eastAsia="Times New Roman" w:cs="Times New Roman"/>
          <w:spacing w:val="-14"/>
          <w:sz w:val="24"/>
          <w:szCs w:val="24"/>
        </w:rPr>
        <w:t>E2</w:t>
      </w:r>
      <w:r>
        <w:rPr>
          <w:rFonts w:ascii="宋体" w:hAnsi="宋体" w:eastAsia="宋体" w:cs="宋体"/>
          <w:spacing w:val="-14"/>
          <w:sz w:val="24"/>
          <w:szCs w:val="24"/>
        </w:rPr>
        <w:t>。</w:t>
      </w:r>
    </w:p>
    <w:p>
      <w:pPr>
        <w:spacing w:before="196" w:line="217" w:lineRule="auto"/>
        <w:ind w:left="643"/>
        <w:rPr>
          <w:rFonts w:ascii="宋体" w:hAnsi="宋体" w:eastAsia="宋体" w:cs="宋体"/>
          <w:sz w:val="24"/>
          <w:szCs w:val="24"/>
        </w:rPr>
      </w:pPr>
      <w:r>
        <w:rPr>
          <w:rFonts w:ascii="宋体" w:hAnsi="宋体" w:eastAsia="宋体" w:cs="宋体"/>
          <w:spacing w:val="-2"/>
          <w:sz w:val="24"/>
          <w:szCs w:val="24"/>
        </w:rPr>
        <w:t>②地表水环境</w:t>
      </w:r>
    </w:p>
    <w:p>
      <w:pPr>
        <w:spacing w:before="199" w:line="369" w:lineRule="auto"/>
        <w:ind w:left="164" w:right="156" w:firstLine="482"/>
        <w:rPr>
          <w:rFonts w:ascii="宋体" w:hAnsi="宋体" w:eastAsia="宋体" w:cs="宋体"/>
          <w:sz w:val="24"/>
          <w:szCs w:val="24"/>
        </w:rPr>
      </w:pPr>
      <w:r>
        <w:rPr>
          <w:rFonts w:ascii="宋体" w:hAnsi="宋体" w:eastAsia="宋体" w:cs="宋体"/>
          <w:spacing w:val="-7"/>
          <w:sz w:val="24"/>
          <w:szCs w:val="24"/>
        </w:rPr>
        <w:t>依据事故情况下危险物质泄漏到水体的排放点受纳地表水体功能敏感性， 与</w:t>
      </w:r>
      <w:r>
        <w:rPr>
          <w:rFonts w:ascii="宋体" w:hAnsi="宋体" w:eastAsia="宋体" w:cs="宋体"/>
          <w:spacing w:val="16"/>
          <w:sz w:val="24"/>
          <w:szCs w:val="24"/>
        </w:rPr>
        <w:t xml:space="preserve"> </w:t>
      </w:r>
      <w:r>
        <w:rPr>
          <w:rFonts w:ascii="宋体" w:hAnsi="宋体" w:eastAsia="宋体" w:cs="宋体"/>
          <w:spacing w:val="-16"/>
          <w:sz w:val="24"/>
          <w:szCs w:val="24"/>
        </w:rPr>
        <w:t>下游环境敏感目标情况，</w:t>
      </w:r>
      <w:r>
        <w:rPr>
          <w:rFonts w:ascii="宋体" w:hAnsi="宋体" w:eastAsia="宋体" w:cs="宋体"/>
          <w:spacing w:val="57"/>
          <w:sz w:val="24"/>
          <w:szCs w:val="24"/>
        </w:rPr>
        <w:t xml:space="preserve"> </w:t>
      </w:r>
      <w:r>
        <w:rPr>
          <w:rFonts w:ascii="宋体" w:hAnsi="宋体" w:eastAsia="宋体" w:cs="宋体"/>
          <w:spacing w:val="-16"/>
          <w:sz w:val="24"/>
          <w:szCs w:val="24"/>
        </w:rPr>
        <w:t>共分为三种类型，</w:t>
      </w:r>
      <w:r>
        <w:rPr>
          <w:rFonts w:ascii="宋体" w:hAnsi="宋体" w:eastAsia="宋体" w:cs="宋体"/>
          <w:spacing w:val="52"/>
          <w:sz w:val="24"/>
          <w:szCs w:val="24"/>
        </w:rPr>
        <w:t xml:space="preserve"> </w:t>
      </w:r>
      <w:r>
        <w:rPr>
          <w:rFonts w:ascii="Times New Roman" w:hAnsi="Times New Roman" w:eastAsia="Times New Roman" w:cs="Times New Roman"/>
          <w:spacing w:val="-16"/>
          <w:sz w:val="24"/>
          <w:szCs w:val="24"/>
        </w:rPr>
        <w:t>E1</w:t>
      </w:r>
      <w:r>
        <w:rPr>
          <w:rFonts w:ascii="Times New Roman" w:hAnsi="Times New Roman" w:eastAsia="Times New Roman" w:cs="Times New Roman"/>
          <w:spacing w:val="12"/>
          <w:sz w:val="24"/>
          <w:szCs w:val="24"/>
        </w:rPr>
        <w:t xml:space="preserve"> </w:t>
      </w:r>
      <w:r>
        <w:rPr>
          <w:rFonts w:ascii="宋体" w:hAnsi="宋体" w:eastAsia="宋体" w:cs="宋体"/>
          <w:spacing w:val="-16"/>
          <w:sz w:val="24"/>
          <w:szCs w:val="24"/>
        </w:rPr>
        <w:t>为环境高度敏感区，</w:t>
      </w:r>
      <w:r>
        <w:rPr>
          <w:rFonts w:ascii="宋体" w:hAnsi="宋体" w:eastAsia="宋体" w:cs="宋体"/>
          <w:spacing w:val="52"/>
          <w:sz w:val="24"/>
          <w:szCs w:val="24"/>
        </w:rPr>
        <w:t xml:space="preserve"> </w:t>
      </w:r>
      <w:r>
        <w:rPr>
          <w:rFonts w:ascii="Times New Roman" w:hAnsi="Times New Roman" w:eastAsia="Times New Roman" w:cs="Times New Roman"/>
          <w:spacing w:val="-16"/>
          <w:sz w:val="24"/>
          <w:szCs w:val="24"/>
        </w:rPr>
        <w:t>E2</w:t>
      </w:r>
      <w:r>
        <w:rPr>
          <w:rFonts w:ascii="Times New Roman" w:hAnsi="Times New Roman" w:eastAsia="Times New Roman" w:cs="Times New Roman"/>
          <w:spacing w:val="12"/>
          <w:sz w:val="24"/>
          <w:szCs w:val="24"/>
        </w:rPr>
        <w:t xml:space="preserve"> </w:t>
      </w:r>
      <w:r>
        <w:rPr>
          <w:rFonts w:ascii="宋体" w:hAnsi="宋体" w:eastAsia="宋体" w:cs="宋体"/>
          <w:spacing w:val="-16"/>
          <w:sz w:val="24"/>
          <w:szCs w:val="24"/>
        </w:rPr>
        <w:t>为环境中</w:t>
      </w:r>
      <w:r>
        <w:rPr>
          <w:rFonts w:ascii="宋体" w:hAnsi="宋体" w:eastAsia="宋体" w:cs="宋体"/>
          <w:sz w:val="24"/>
          <w:szCs w:val="24"/>
        </w:rPr>
        <w:t xml:space="preserve"> </w:t>
      </w:r>
      <w:r>
        <w:rPr>
          <w:rFonts w:ascii="宋体" w:hAnsi="宋体" w:eastAsia="宋体" w:cs="宋体"/>
          <w:spacing w:val="-9"/>
          <w:sz w:val="24"/>
          <w:szCs w:val="24"/>
        </w:rPr>
        <w:t xml:space="preserve">度敏感区， </w:t>
      </w:r>
      <w:r>
        <w:rPr>
          <w:rFonts w:ascii="Times New Roman" w:hAnsi="Times New Roman" w:eastAsia="Times New Roman" w:cs="Times New Roman"/>
          <w:spacing w:val="-9"/>
          <w:sz w:val="24"/>
          <w:szCs w:val="24"/>
        </w:rPr>
        <w:t>E3</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为环境低度敏感区，</w:t>
      </w:r>
      <w:r>
        <w:rPr>
          <w:rFonts w:ascii="宋体" w:hAnsi="宋体" w:eastAsia="宋体" w:cs="宋体"/>
          <w:spacing w:val="61"/>
          <w:sz w:val="24"/>
          <w:szCs w:val="24"/>
        </w:rPr>
        <w:t xml:space="preserve"> </w:t>
      </w:r>
      <w:r>
        <w:rPr>
          <w:rFonts w:ascii="宋体" w:hAnsi="宋体" w:eastAsia="宋体" w:cs="宋体"/>
          <w:spacing w:val="-9"/>
          <w:sz w:val="24"/>
          <w:szCs w:val="24"/>
        </w:rPr>
        <w:t>分级原则见表表</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3.2-5</w:t>
      </w:r>
      <w:r>
        <w:rPr>
          <w:rFonts w:ascii="宋体" w:hAnsi="宋体" w:eastAsia="宋体" w:cs="宋体"/>
          <w:spacing w:val="-9"/>
          <w:sz w:val="24"/>
          <w:szCs w:val="24"/>
        </w:rPr>
        <w:t>。其中地表水功能敏感</w:t>
      </w:r>
    </w:p>
    <w:p>
      <w:pPr>
        <w:spacing w:line="219" w:lineRule="auto"/>
        <w:ind w:left="168"/>
        <w:rPr>
          <w:rFonts w:ascii="宋体" w:hAnsi="宋体" w:eastAsia="宋体" w:cs="宋体"/>
          <w:sz w:val="24"/>
          <w:szCs w:val="24"/>
        </w:rPr>
      </w:pPr>
      <w:r>
        <w:rPr>
          <w:rFonts w:ascii="宋体" w:hAnsi="宋体" w:eastAsia="宋体" w:cs="宋体"/>
          <w:spacing w:val="-1"/>
          <w:sz w:val="24"/>
          <w:szCs w:val="24"/>
        </w:rPr>
        <w:t>性分区和环境敏感目标分级分别见表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3.2-5 </w:t>
      </w:r>
      <w:r>
        <w:rPr>
          <w:rFonts w:ascii="宋体" w:hAnsi="宋体" w:eastAsia="宋体" w:cs="宋体"/>
          <w:spacing w:val="-1"/>
          <w:sz w:val="24"/>
          <w:szCs w:val="24"/>
        </w:rPr>
        <w:t>和表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
          <w:sz w:val="24"/>
          <w:szCs w:val="24"/>
        </w:rPr>
        <w:t>.2-6</w:t>
      </w:r>
      <w:r>
        <w:rPr>
          <w:rFonts w:ascii="宋体" w:hAnsi="宋体" w:eastAsia="宋体" w:cs="宋体"/>
          <w:spacing w:val="-2"/>
          <w:sz w:val="24"/>
          <w:szCs w:val="24"/>
        </w:rPr>
        <w:t>。</w:t>
      </w:r>
    </w:p>
    <w:p>
      <w:pPr>
        <w:spacing w:before="194" w:line="220" w:lineRule="auto"/>
        <w:ind w:left="259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1"/>
          <w:sz w:val="24"/>
          <w:szCs w:val="24"/>
        </w:rPr>
        <w:t xml:space="preserve">3.2-5    </w:t>
      </w:r>
      <w:r>
        <w:rPr>
          <w:rFonts w:ascii="宋体" w:hAnsi="宋体" w:eastAsia="宋体" w:cs="宋体"/>
          <w:spacing w:val="-1"/>
          <w:sz w:val="24"/>
          <w:szCs w:val="24"/>
          <w14:textOutline w14:w="4354" w14:cap="flat" w14:cmpd="sng">
            <w14:solidFill>
              <w14:srgbClr w14:val="000000"/>
            </w14:solidFill>
            <w14:prstDash w14:val="solid"/>
            <w14:miter w14:val="10"/>
          </w14:textOutline>
        </w:rPr>
        <w:t>地表水功能敏感性分区</w:t>
      </w:r>
    </w:p>
    <w:p>
      <w:pPr>
        <w:spacing w:line="17" w:lineRule="exact"/>
      </w:pPr>
    </w:p>
    <w:tbl>
      <w:tblPr>
        <w:tblStyle w:val="5"/>
        <w:tblW w:w="8533"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3"/>
        <w:gridCol w:w="7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73" w:type="dxa"/>
            <w:vAlign w:val="top"/>
          </w:tcPr>
          <w:p>
            <w:pPr>
              <w:pStyle w:val="6"/>
              <w:spacing w:before="70" w:line="221" w:lineRule="auto"/>
              <w:ind w:left="435"/>
              <w:rPr>
                <w:sz w:val="21"/>
                <w:szCs w:val="21"/>
              </w:rPr>
            </w:pPr>
            <w:r>
              <w:rPr>
                <w:spacing w:val="-3"/>
                <w:sz w:val="21"/>
                <w:szCs w:val="21"/>
              </w:rPr>
              <w:t>分级</w:t>
            </w:r>
          </w:p>
        </w:tc>
        <w:tc>
          <w:tcPr>
            <w:tcW w:w="7260" w:type="dxa"/>
            <w:vAlign w:val="top"/>
          </w:tcPr>
          <w:p>
            <w:pPr>
              <w:pStyle w:val="6"/>
              <w:spacing w:before="69" w:line="221" w:lineRule="auto"/>
              <w:ind w:left="3005"/>
              <w:rPr>
                <w:sz w:val="21"/>
                <w:szCs w:val="21"/>
              </w:rPr>
            </w:pPr>
            <w:r>
              <w:rPr>
                <w:spacing w:val="-1"/>
                <w:sz w:val="21"/>
                <w:szCs w:val="21"/>
              </w:rPr>
              <w:t>环境敏感目标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73" w:type="dxa"/>
            <w:vAlign w:val="top"/>
          </w:tcPr>
          <w:p>
            <w:pPr>
              <w:pStyle w:val="6"/>
              <w:spacing w:before="302" w:line="221" w:lineRule="auto"/>
              <w:ind w:left="296"/>
              <w:rPr>
                <w:rFonts w:ascii="Times New Roman" w:hAnsi="Times New Roman" w:eastAsia="Times New Roman" w:cs="Times New Roman"/>
                <w:sz w:val="21"/>
                <w:szCs w:val="21"/>
              </w:rPr>
            </w:pPr>
            <w:r>
              <w:rPr>
                <w:spacing w:val="-3"/>
                <w:sz w:val="21"/>
                <w:szCs w:val="21"/>
              </w:rPr>
              <w:t>敏感</w:t>
            </w:r>
            <w:r>
              <w:rPr>
                <w:spacing w:val="-47"/>
                <w:sz w:val="21"/>
                <w:szCs w:val="21"/>
              </w:rPr>
              <w:t xml:space="preserve"> </w:t>
            </w:r>
            <w:r>
              <w:rPr>
                <w:rFonts w:ascii="Times New Roman" w:hAnsi="Times New Roman" w:eastAsia="Times New Roman" w:cs="Times New Roman"/>
                <w:spacing w:val="-3"/>
                <w:sz w:val="21"/>
                <w:szCs w:val="21"/>
              </w:rPr>
              <w:t>F1</w:t>
            </w:r>
          </w:p>
        </w:tc>
        <w:tc>
          <w:tcPr>
            <w:tcW w:w="7260" w:type="dxa"/>
            <w:vAlign w:val="top"/>
          </w:tcPr>
          <w:p>
            <w:pPr>
              <w:pStyle w:val="6"/>
              <w:spacing w:before="29" w:line="221" w:lineRule="auto"/>
              <w:ind w:left="112"/>
              <w:rPr>
                <w:sz w:val="21"/>
                <w:szCs w:val="21"/>
              </w:rPr>
            </w:pPr>
            <w:r>
              <w:rPr>
                <w:spacing w:val="-3"/>
                <w:sz w:val="21"/>
                <w:szCs w:val="21"/>
              </w:rPr>
              <w:t>排放点进入地表水水域环境功能为</w:t>
            </w:r>
            <w:r>
              <w:rPr>
                <w:rFonts w:ascii="Times New Roman" w:hAnsi="Times New Roman" w:eastAsia="Times New Roman" w:cs="Times New Roman"/>
                <w:spacing w:val="-3"/>
                <w:sz w:val="21"/>
                <w:szCs w:val="21"/>
              </w:rPr>
              <w:t>Ⅱ</w:t>
            </w:r>
            <w:r>
              <w:rPr>
                <w:spacing w:val="-3"/>
                <w:sz w:val="21"/>
                <w:szCs w:val="21"/>
              </w:rPr>
              <w:t>类及以上，或海水水质分类第一类；</w:t>
            </w:r>
            <w:r>
              <w:rPr>
                <w:spacing w:val="-27"/>
                <w:sz w:val="21"/>
                <w:szCs w:val="21"/>
              </w:rPr>
              <w:t xml:space="preserve"> </w:t>
            </w:r>
            <w:r>
              <w:rPr>
                <w:spacing w:val="-3"/>
                <w:sz w:val="21"/>
                <w:szCs w:val="21"/>
              </w:rPr>
              <w:t>或已</w:t>
            </w:r>
          </w:p>
          <w:p>
            <w:pPr>
              <w:pStyle w:val="6"/>
              <w:spacing w:before="22" w:line="221" w:lineRule="auto"/>
              <w:ind w:left="114"/>
              <w:rPr>
                <w:sz w:val="21"/>
                <w:szCs w:val="21"/>
              </w:rPr>
            </w:pPr>
            <w:r>
              <w:rPr>
                <w:spacing w:val="-3"/>
                <w:sz w:val="21"/>
                <w:szCs w:val="21"/>
              </w:rPr>
              <w:t>经发生事故时，危险物质泄漏到水体的排放点算起，排放进入受纳河流</w:t>
            </w:r>
            <w:r>
              <w:rPr>
                <w:spacing w:val="-4"/>
                <w:sz w:val="21"/>
                <w:szCs w:val="21"/>
              </w:rPr>
              <w:t>最大流</w:t>
            </w:r>
          </w:p>
          <w:p>
            <w:pPr>
              <w:pStyle w:val="6"/>
              <w:spacing w:before="20" w:line="208" w:lineRule="auto"/>
              <w:ind w:left="2085"/>
              <w:rPr>
                <w:sz w:val="21"/>
                <w:szCs w:val="21"/>
              </w:rPr>
            </w:pPr>
            <w:r>
              <w:rPr>
                <w:spacing w:val="-6"/>
                <w:sz w:val="21"/>
                <w:szCs w:val="21"/>
              </w:rPr>
              <w:t xml:space="preserve">速时， </w:t>
            </w:r>
            <w:r>
              <w:rPr>
                <w:rFonts w:ascii="Times New Roman" w:hAnsi="Times New Roman" w:eastAsia="Times New Roman" w:cs="Times New Roman"/>
                <w:spacing w:val="-6"/>
                <w:sz w:val="21"/>
                <w:szCs w:val="21"/>
              </w:rPr>
              <w:t xml:space="preserve">24h </w:t>
            </w:r>
            <w:r>
              <w:rPr>
                <w:spacing w:val="-6"/>
                <w:sz w:val="21"/>
                <w:szCs w:val="21"/>
              </w:rPr>
              <w:t>流经范围内涉跨国界的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273" w:type="dxa"/>
            <w:vAlign w:val="top"/>
          </w:tcPr>
          <w:p>
            <w:pPr>
              <w:pStyle w:val="6"/>
              <w:spacing w:before="302" w:line="221" w:lineRule="auto"/>
              <w:ind w:left="190"/>
              <w:rPr>
                <w:rFonts w:ascii="Times New Roman" w:hAnsi="Times New Roman" w:eastAsia="Times New Roman" w:cs="Times New Roman"/>
                <w:sz w:val="21"/>
                <w:szCs w:val="21"/>
              </w:rPr>
            </w:pPr>
            <w:r>
              <w:rPr>
                <w:spacing w:val="-2"/>
                <w:sz w:val="21"/>
                <w:szCs w:val="21"/>
              </w:rPr>
              <w:t>较敏感</w:t>
            </w:r>
            <w:r>
              <w:rPr>
                <w:spacing w:val="-48"/>
                <w:sz w:val="21"/>
                <w:szCs w:val="21"/>
              </w:rPr>
              <w:t xml:space="preserve"> </w:t>
            </w:r>
            <w:r>
              <w:rPr>
                <w:rFonts w:ascii="Times New Roman" w:hAnsi="Times New Roman" w:eastAsia="Times New Roman" w:cs="Times New Roman"/>
                <w:spacing w:val="-2"/>
                <w:sz w:val="21"/>
                <w:szCs w:val="21"/>
              </w:rPr>
              <w:t>F2</w:t>
            </w:r>
          </w:p>
        </w:tc>
        <w:tc>
          <w:tcPr>
            <w:tcW w:w="7260" w:type="dxa"/>
            <w:vAlign w:val="top"/>
          </w:tcPr>
          <w:p>
            <w:pPr>
              <w:pStyle w:val="6"/>
              <w:spacing w:before="31" w:line="221" w:lineRule="auto"/>
              <w:ind w:left="112"/>
              <w:rPr>
                <w:sz w:val="21"/>
                <w:szCs w:val="21"/>
              </w:rPr>
            </w:pPr>
            <w:r>
              <w:rPr>
                <w:spacing w:val="-3"/>
                <w:sz w:val="21"/>
                <w:szCs w:val="21"/>
              </w:rPr>
              <w:t>排放点进入地表水水域环境功能为</w:t>
            </w:r>
            <w:r>
              <w:rPr>
                <w:rFonts w:ascii="Times New Roman" w:hAnsi="Times New Roman" w:eastAsia="Times New Roman" w:cs="Times New Roman"/>
                <w:spacing w:val="-3"/>
                <w:sz w:val="21"/>
                <w:szCs w:val="21"/>
              </w:rPr>
              <w:t>Ⅲ</w:t>
            </w:r>
            <w:r>
              <w:rPr>
                <w:spacing w:val="-3"/>
                <w:sz w:val="21"/>
                <w:szCs w:val="21"/>
              </w:rPr>
              <w:t>类，或海水水质分类第二类；或已经发生</w:t>
            </w:r>
          </w:p>
          <w:p>
            <w:pPr>
              <w:pStyle w:val="6"/>
              <w:spacing w:before="19" w:line="221" w:lineRule="auto"/>
              <w:ind w:right="3"/>
              <w:jc w:val="right"/>
              <w:rPr>
                <w:sz w:val="21"/>
                <w:szCs w:val="21"/>
              </w:rPr>
            </w:pPr>
            <w:r>
              <w:rPr>
                <w:spacing w:val="-3"/>
                <w:sz w:val="21"/>
                <w:szCs w:val="21"/>
              </w:rPr>
              <w:t>事故时，危险物质泄漏到水体的排放点算起，</w:t>
            </w:r>
            <w:r>
              <w:rPr>
                <w:spacing w:val="-6"/>
                <w:sz w:val="21"/>
                <w:szCs w:val="21"/>
              </w:rPr>
              <w:t xml:space="preserve"> </w:t>
            </w:r>
            <w:r>
              <w:rPr>
                <w:spacing w:val="-3"/>
                <w:sz w:val="21"/>
                <w:szCs w:val="21"/>
              </w:rPr>
              <w:t>排放进入受纳河流最大流速时，</w:t>
            </w:r>
          </w:p>
          <w:p>
            <w:pPr>
              <w:pStyle w:val="6"/>
              <w:spacing w:before="23" w:line="204" w:lineRule="auto"/>
              <w:ind w:left="2396"/>
              <w:rPr>
                <w:sz w:val="21"/>
                <w:szCs w:val="21"/>
              </w:rPr>
            </w:pPr>
            <w:r>
              <w:rPr>
                <w:rFonts w:ascii="Times New Roman" w:hAnsi="Times New Roman" w:eastAsia="Times New Roman" w:cs="Times New Roman"/>
                <w:spacing w:val="-1"/>
                <w:sz w:val="21"/>
                <w:szCs w:val="21"/>
              </w:rPr>
              <w:t xml:space="preserve">24h </w:t>
            </w:r>
            <w:r>
              <w:rPr>
                <w:spacing w:val="-1"/>
                <w:sz w:val="21"/>
                <w:szCs w:val="21"/>
              </w:rPr>
              <w:t>流经范围内涉跨省界的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73" w:type="dxa"/>
            <w:vAlign w:val="top"/>
          </w:tcPr>
          <w:p>
            <w:pPr>
              <w:pStyle w:val="6"/>
              <w:spacing w:before="68" w:line="221" w:lineRule="auto"/>
              <w:ind w:left="189"/>
              <w:rPr>
                <w:rFonts w:ascii="Times New Roman" w:hAnsi="Times New Roman" w:eastAsia="Times New Roman" w:cs="Times New Roman"/>
                <w:sz w:val="21"/>
                <w:szCs w:val="21"/>
              </w:rPr>
            </w:pPr>
            <w:r>
              <w:rPr>
                <w:spacing w:val="-2"/>
                <w:sz w:val="21"/>
                <w:szCs w:val="21"/>
              </w:rPr>
              <w:t>低敏感</w:t>
            </w:r>
            <w:r>
              <w:rPr>
                <w:spacing w:val="-48"/>
                <w:sz w:val="21"/>
                <w:szCs w:val="21"/>
              </w:rPr>
              <w:t xml:space="preserve"> </w:t>
            </w:r>
            <w:r>
              <w:rPr>
                <w:rFonts w:ascii="Times New Roman" w:hAnsi="Times New Roman" w:eastAsia="Times New Roman" w:cs="Times New Roman"/>
                <w:spacing w:val="-2"/>
                <w:sz w:val="21"/>
                <w:szCs w:val="21"/>
              </w:rPr>
              <w:t>F3</w:t>
            </w:r>
          </w:p>
        </w:tc>
        <w:tc>
          <w:tcPr>
            <w:tcW w:w="7260" w:type="dxa"/>
            <w:vAlign w:val="top"/>
          </w:tcPr>
          <w:p>
            <w:pPr>
              <w:pStyle w:val="6"/>
              <w:spacing w:before="69" w:line="221" w:lineRule="auto"/>
              <w:ind w:left="2481"/>
              <w:rPr>
                <w:sz w:val="21"/>
                <w:szCs w:val="21"/>
              </w:rPr>
            </w:pPr>
            <w:r>
              <w:rPr>
                <w:spacing w:val="-1"/>
                <w:sz w:val="21"/>
                <w:szCs w:val="21"/>
              </w:rPr>
              <w:t>上述地区之外的其他地区</w:t>
            </w:r>
          </w:p>
        </w:tc>
      </w:tr>
    </w:tbl>
    <w:p>
      <w:pPr>
        <w:spacing w:before="178" w:line="480" w:lineRule="exact"/>
        <w:ind w:left="646"/>
        <w:rPr>
          <w:rFonts w:ascii="宋体" w:hAnsi="宋体" w:eastAsia="宋体" w:cs="宋体"/>
          <w:sz w:val="24"/>
          <w:szCs w:val="24"/>
        </w:rPr>
      </w:pPr>
      <w:r>
        <w:rPr>
          <w:rFonts w:ascii="宋体" w:hAnsi="宋体" w:eastAsia="宋体" w:cs="宋体"/>
          <w:spacing w:val="-11"/>
          <w:position w:val="18"/>
          <w:sz w:val="24"/>
          <w:szCs w:val="24"/>
        </w:rPr>
        <w:t>本项目不外排废水， 评价范围内地表水污水与功能，</w:t>
      </w:r>
      <w:r>
        <w:rPr>
          <w:rFonts w:ascii="宋体" w:hAnsi="宋体" w:eastAsia="宋体" w:cs="宋体"/>
          <w:spacing w:val="39"/>
          <w:position w:val="18"/>
          <w:sz w:val="24"/>
          <w:szCs w:val="24"/>
        </w:rPr>
        <w:t xml:space="preserve"> </w:t>
      </w:r>
      <w:r>
        <w:rPr>
          <w:rFonts w:ascii="宋体" w:hAnsi="宋体" w:eastAsia="宋体" w:cs="宋体"/>
          <w:spacing w:val="-11"/>
          <w:position w:val="18"/>
          <w:sz w:val="24"/>
          <w:szCs w:val="24"/>
        </w:rPr>
        <w:t>因此本项目地表水敏感</w:t>
      </w:r>
    </w:p>
    <w:p>
      <w:pPr>
        <w:spacing w:before="2" w:line="220" w:lineRule="auto"/>
        <w:ind w:left="168"/>
        <w:rPr>
          <w:rFonts w:ascii="宋体" w:hAnsi="宋体" w:eastAsia="宋体" w:cs="宋体"/>
          <w:sz w:val="24"/>
          <w:szCs w:val="24"/>
        </w:rPr>
      </w:pPr>
      <w:r>
        <w:rPr>
          <w:rFonts w:ascii="宋体" w:hAnsi="宋体" w:eastAsia="宋体" w:cs="宋体"/>
          <w:spacing w:val="-3"/>
          <w:sz w:val="24"/>
          <w:szCs w:val="24"/>
        </w:rPr>
        <w:t>性属于</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F3</w:t>
      </w:r>
      <w:r>
        <w:rPr>
          <w:rFonts w:ascii="宋体" w:hAnsi="宋体" w:eastAsia="宋体" w:cs="宋体"/>
          <w:spacing w:val="-3"/>
          <w:sz w:val="24"/>
          <w:szCs w:val="24"/>
        </w:rPr>
        <w:t>。</w:t>
      </w:r>
    </w:p>
    <w:p>
      <w:pPr>
        <w:spacing w:before="192" w:line="220" w:lineRule="auto"/>
        <w:ind w:left="271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3.2-6    </w:t>
      </w:r>
      <w:r>
        <w:rPr>
          <w:rFonts w:ascii="宋体" w:hAnsi="宋体" w:eastAsia="宋体" w:cs="宋体"/>
          <w:spacing w:val="-1"/>
          <w:sz w:val="24"/>
          <w:szCs w:val="24"/>
          <w14:textOutline w14:w="4354" w14:cap="flat" w14:cmpd="sng">
            <w14:solidFill>
              <w14:srgbClr w14:val="000000"/>
            </w14:solidFill>
            <w14:prstDash w14:val="solid"/>
            <w14:miter w14:val="10"/>
          </w14:textOutline>
        </w:rPr>
        <w:t>环境敏感目标分级表</w:t>
      </w:r>
    </w:p>
    <w:p>
      <w:pPr>
        <w:spacing w:line="17" w:lineRule="exact"/>
      </w:pPr>
    </w:p>
    <w:tbl>
      <w:tblPr>
        <w:tblStyle w:val="5"/>
        <w:tblW w:w="86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7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25" w:type="dxa"/>
            <w:vAlign w:val="top"/>
          </w:tcPr>
          <w:p>
            <w:pPr>
              <w:pStyle w:val="6"/>
              <w:spacing w:before="69" w:line="221" w:lineRule="auto"/>
              <w:ind w:left="152"/>
              <w:rPr>
                <w:sz w:val="21"/>
                <w:szCs w:val="21"/>
              </w:rPr>
            </w:pPr>
            <w:r>
              <w:rPr>
                <w:spacing w:val="-2"/>
                <w:sz w:val="21"/>
                <w:szCs w:val="21"/>
              </w:rPr>
              <w:t>敏感性</w:t>
            </w:r>
          </w:p>
        </w:tc>
        <w:tc>
          <w:tcPr>
            <w:tcW w:w="7694" w:type="dxa"/>
            <w:vAlign w:val="top"/>
          </w:tcPr>
          <w:p>
            <w:pPr>
              <w:pStyle w:val="6"/>
              <w:spacing w:before="69" w:line="221" w:lineRule="auto"/>
              <w:ind w:left="2904"/>
              <w:rPr>
                <w:sz w:val="21"/>
                <w:szCs w:val="21"/>
              </w:rPr>
            </w:pPr>
            <w:r>
              <w:rPr>
                <w:spacing w:val="-1"/>
                <w:sz w:val="21"/>
                <w:szCs w:val="21"/>
              </w:rPr>
              <w:t>地表水环境敏感特征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25"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S1</w:t>
            </w:r>
          </w:p>
        </w:tc>
        <w:tc>
          <w:tcPr>
            <w:tcW w:w="7694" w:type="dxa"/>
            <w:vAlign w:val="top"/>
          </w:tcPr>
          <w:p>
            <w:pPr>
              <w:pStyle w:val="6"/>
              <w:spacing w:before="65" w:line="221" w:lineRule="auto"/>
              <w:ind w:left="120"/>
              <w:rPr>
                <w:sz w:val="21"/>
                <w:szCs w:val="21"/>
              </w:rPr>
            </w:pPr>
            <w:r>
              <w:rPr>
                <w:spacing w:val="-3"/>
                <w:sz w:val="21"/>
                <w:szCs w:val="21"/>
              </w:rPr>
              <w:t>发生事故时，危险物质泄漏到内陆水体的排放点下游（顺水流向）</w:t>
            </w:r>
            <w:r>
              <w:rPr>
                <w:spacing w:val="-13"/>
                <w:sz w:val="21"/>
                <w:szCs w:val="21"/>
              </w:rPr>
              <w:t xml:space="preserve"> </w:t>
            </w:r>
            <w:r>
              <w:rPr>
                <w:rFonts w:ascii="Times New Roman" w:hAnsi="Times New Roman" w:eastAsia="Times New Roman" w:cs="Times New Roman"/>
                <w:spacing w:val="-3"/>
                <w:sz w:val="21"/>
                <w:szCs w:val="21"/>
              </w:rPr>
              <w:t xml:space="preserve">10km </w:t>
            </w:r>
            <w:r>
              <w:rPr>
                <w:spacing w:val="-3"/>
                <w:sz w:val="21"/>
                <w:szCs w:val="21"/>
              </w:rPr>
              <w:t>范围内、</w:t>
            </w:r>
          </w:p>
        </w:tc>
      </w:tr>
    </w:tbl>
    <w:p>
      <w:pPr>
        <w:pStyle w:val="2"/>
        <w:rPr>
          <w:sz w:val="21"/>
        </w:rPr>
      </w:pPr>
    </w:p>
    <w:p>
      <w:pPr>
        <w:rPr>
          <w:sz w:val="21"/>
          <w:szCs w:val="21"/>
        </w:rPr>
        <w:sectPr>
          <w:headerReference r:id="rId222" w:type="default"/>
          <w:footerReference r:id="rId223" w:type="default"/>
          <w:pgSz w:w="11907" w:h="16839"/>
          <w:pgMar w:top="1123" w:right="1639" w:bottom="1149" w:left="1642" w:header="1108" w:footer="988" w:gutter="0"/>
          <w:cols w:space="720" w:num="1"/>
        </w:sectPr>
      </w:pPr>
    </w:p>
    <w:p>
      <w:pPr>
        <w:spacing w:before="75"/>
      </w:pPr>
    </w:p>
    <w:tbl>
      <w:tblPr>
        <w:tblStyle w:val="5"/>
        <w:tblW w:w="86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7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5" w:hRule="atLeast"/>
        </w:trPr>
        <w:tc>
          <w:tcPr>
            <w:tcW w:w="925" w:type="dxa"/>
            <w:vAlign w:val="top"/>
          </w:tcPr>
          <w:p>
            <w:pPr>
              <w:rPr>
                <w:rFonts w:ascii="Arial"/>
                <w:sz w:val="21"/>
              </w:rPr>
            </w:pPr>
          </w:p>
        </w:tc>
        <w:tc>
          <w:tcPr>
            <w:tcW w:w="7694" w:type="dxa"/>
            <w:vAlign w:val="top"/>
          </w:tcPr>
          <w:p>
            <w:pPr>
              <w:pStyle w:val="6"/>
              <w:spacing w:before="33" w:line="221" w:lineRule="auto"/>
              <w:ind w:left="111"/>
              <w:rPr>
                <w:sz w:val="21"/>
                <w:szCs w:val="21"/>
              </w:rPr>
            </w:pPr>
            <w:r>
              <w:rPr>
                <w:spacing w:val="-2"/>
                <w:sz w:val="21"/>
                <w:szCs w:val="21"/>
              </w:rPr>
              <w:t>近岸海域一个潮周期水质点可能达到的最大水平</w:t>
            </w:r>
            <w:r>
              <w:rPr>
                <w:spacing w:val="-3"/>
                <w:sz w:val="21"/>
                <w:szCs w:val="21"/>
              </w:rPr>
              <w:t>距离的两倍范围内，有如下一类或</w:t>
            </w:r>
          </w:p>
          <w:p>
            <w:pPr>
              <w:pStyle w:val="6"/>
              <w:spacing w:before="22" w:line="221" w:lineRule="auto"/>
              <w:ind w:left="122"/>
              <w:rPr>
                <w:sz w:val="21"/>
                <w:szCs w:val="21"/>
              </w:rPr>
            </w:pPr>
            <w:r>
              <w:rPr>
                <w:spacing w:val="-4"/>
                <w:sz w:val="21"/>
                <w:szCs w:val="21"/>
              </w:rPr>
              <w:t>多类环境风险受体：</w:t>
            </w:r>
            <w:r>
              <w:rPr>
                <w:spacing w:val="-51"/>
                <w:sz w:val="21"/>
                <w:szCs w:val="21"/>
              </w:rPr>
              <w:t xml:space="preserve"> </w:t>
            </w:r>
            <w:r>
              <w:rPr>
                <w:spacing w:val="-4"/>
                <w:sz w:val="21"/>
                <w:szCs w:val="21"/>
              </w:rPr>
              <w:t>集中式地表水饮用水水源保护区（包括一级</w:t>
            </w:r>
            <w:r>
              <w:rPr>
                <w:spacing w:val="-5"/>
                <w:sz w:val="21"/>
                <w:szCs w:val="21"/>
              </w:rPr>
              <w:t>保护区、二级保护</w:t>
            </w:r>
          </w:p>
          <w:p>
            <w:pPr>
              <w:pStyle w:val="6"/>
              <w:spacing w:before="20" w:line="220" w:lineRule="auto"/>
              <w:ind w:left="128"/>
              <w:rPr>
                <w:sz w:val="21"/>
                <w:szCs w:val="21"/>
              </w:rPr>
            </w:pPr>
            <w:r>
              <w:rPr>
                <w:spacing w:val="-2"/>
                <w:sz w:val="21"/>
                <w:szCs w:val="21"/>
              </w:rPr>
              <w:t>区及准保护区</w:t>
            </w:r>
            <w:r>
              <w:rPr>
                <w:spacing w:val="-14"/>
                <w:sz w:val="21"/>
                <w:szCs w:val="21"/>
              </w:rPr>
              <w:t>）；</w:t>
            </w:r>
            <w:r>
              <w:rPr>
                <w:spacing w:val="-2"/>
                <w:sz w:val="21"/>
                <w:szCs w:val="21"/>
              </w:rPr>
              <w:t>农村及分散式饮用水水源保护区；自</w:t>
            </w:r>
            <w:r>
              <w:rPr>
                <w:spacing w:val="-3"/>
                <w:sz w:val="21"/>
                <w:szCs w:val="21"/>
              </w:rPr>
              <w:t>然保护区；重要湿地；珍稀</w:t>
            </w:r>
          </w:p>
          <w:p>
            <w:pPr>
              <w:pStyle w:val="6"/>
              <w:spacing w:before="23" w:line="220" w:lineRule="auto"/>
              <w:ind w:left="111"/>
              <w:rPr>
                <w:sz w:val="21"/>
                <w:szCs w:val="21"/>
              </w:rPr>
            </w:pPr>
            <w:r>
              <w:rPr>
                <w:spacing w:val="-2"/>
                <w:sz w:val="21"/>
                <w:szCs w:val="21"/>
              </w:rPr>
              <w:t>濒危野生动植物天然集中分布区；重要水生生物</w:t>
            </w:r>
            <w:r>
              <w:rPr>
                <w:spacing w:val="-3"/>
                <w:sz w:val="21"/>
                <w:szCs w:val="21"/>
              </w:rPr>
              <w:t>的自然产卵场及索饵场、越冬场和</w:t>
            </w:r>
          </w:p>
          <w:p>
            <w:pPr>
              <w:pStyle w:val="6"/>
              <w:spacing w:before="20" w:line="221" w:lineRule="auto"/>
              <w:ind w:right="17"/>
              <w:jc w:val="right"/>
              <w:rPr>
                <w:sz w:val="21"/>
                <w:szCs w:val="21"/>
              </w:rPr>
            </w:pPr>
            <w:r>
              <w:rPr>
                <w:spacing w:val="-8"/>
                <w:sz w:val="21"/>
                <w:szCs w:val="21"/>
              </w:rPr>
              <w:t>洄游通道；</w:t>
            </w:r>
            <w:r>
              <w:rPr>
                <w:spacing w:val="-14"/>
                <w:sz w:val="21"/>
                <w:szCs w:val="21"/>
              </w:rPr>
              <w:t xml:space="preserve"> </w:t>
            </w:r>
            <w:r>
              <w:rPr>
                <w:spacing w:val="-8"/>
                <w:sz w:val="21"/>
                <w:szCs w:val="21"/>
              </w:rPr>
              <w:t>世界文化和自然遗产地； 红树林、珊瑚礁等滨海湿地生态系统； 珍稀、</w:t>
            </w:r>
          </w:p>
          <w:p>
            <w:pPr>
              <w:pStyle w:val="6"/>
              <w:spacing w:before="23" w:line="220" w:lineRule="auto"/>
              <w:ind w:left="111"/>
              <w:rPr>
                <w:sz w:val="21"/>
                <w:szCs w:val="21"/>
              </w:rPr>
            </w:pPr>
            <w:r>
              <w:rPr>
                <w:spacing w:val="-6"/>
                <w:sz w:val="21"/>
                <w:szCs w:val="21"/>
              </w:rPr>
              <w:t>濒危海洋生物的天然集中分布区；海洋特别保护区；海上自然保护区；</w:t>
            </w:r>
            <w:r>
              <w:rPr>
                <w:spacing w:val="-7"/>
                <w:sz w:val="21"/>
                <w:szCs w:val="21"/>
              </w:rPr>
              <w:t>盐场保护区；</w:t>
            </w:r>
          </w:p>
          <w:p>
            <w:pPr>
              <w:pStyle w:val="6"/>
              <w:spacing w:before="21" w:line="207" w:lineRule="auto"/>
              <w:ind w:left="591"/>
              <w:rPr>
                <w:sz w:val="21"/>
                <w:szCs w:val="21"/>
              </w:rPr>
            </w:pPr>
            <w:r>
              <w:rPr>
                <w:spacing w:val="-9"/>
                <w:sz w:val="21"/>
                <w:szCs w:val="21"/>
              </w:rPr>
              <w:t>海水浴场；</w:t>
            </w:r>
            <w:r>
              <w:rPr>
                <w:spacing w:val="-20"/>
                <w:sz w:val="21"/>
                <w:szCs w:val="21"/>
              </w:rPr>
              <w:t xml:space="preserve"> </w:t>
            </w:r>
            <w:r>
              <w:rPr>
                <w:spacing w:val="-9"/>
                <w:sz w:val="21"/>
                <w:szCs w:val="21"/>
              </w:rPr>
              <w:t>海洋自然历史遗迹； 风景名胜区； 或其他特殊重要保护区域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25" w:type="dxa"/>
            <w:vAlign w:val="top"/>
          </w:tcPr>
          <w:p>
            <w:pPr>
              <w:spacing w:line="415" w:lineRule="auto"/>
              <w:rPr>
                <w:rFonts w:ascii="Arial"/>
                <w:sz w:val="21"/>
              </w:rPr>
            </w:pPr>
          </w:p>
          <w:p>
            <w:pPr>
              <w:spacing w:before="61"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S2</w:t>
            </w:r>
          </w:p>
        </w:tc>
        <w:tc>
          <w:tcPr>
            <w:tcW w:w="7694" w:type="dxa"/>
            <w:vAlign w:val="top"/>
          </w:tcPr>
          <w:p>
            <w:pPr>
              <w:pStyle w:val="6"/>
              <w:spacing w:before="32" w:line="233" w:lineRule="auto"/>
              <w:ind w:left="111" w:right="102" w:firstLine="9"/>
              <w:rPr>
                <w:sz w:val="21"/>
                <w:szCs w:val="21"/>
              </w:rPr>
            </w:pPr>
            <w:r>
              <w:rPr>
                <w:spacing w:val="-3"/>
                <w:sz w:val="21"/>
                <w:szCs w:val="21"/>
              </w:rPr>
              <w:t>发生事故时，危险物质泄漏到内陆水体的排放点下游（顺水流向）</w:t>
            </w:r>
            <w:r>
              <w:rPr>
                <w:spacing w:val="-23"/>
                <w:sz w:val="21"/>
                <w:szCs w:val="21"/>
              </w:rPr>
              <w:t xml:space="preserve"> </w:t>
            </w:r>
            <w:r>
              <w:rPr>
                <w:rFonts w:ascii="Times New Roman" w:hAnsi="Times New Roman" w:eastAsia="Times New Roman" w:cs="Times New Roman"/>
                <w:spacing w:val="-3"/>
                <w:sz w:val="21"/>
                <w:szCs w:val="21"/>
              </w:rPr>
              <w:t>10k</w:t>
            </w:r>
            <w:r>
              <w:rPr>
                <w:rFonts w:ascii="Times New Roman" w:hAnsi="Times New Roman" w:eastAsia="Times New Roman" w:cs="Times New Roman"/>
                <w:spacing w:val="-4"/>
                <w:sz w:val="21"/>
                <w:szCs w:val="21"/>
              </w:rPr>
              <w:t xml:space="preserve">m </w:t>
            </w:r>
            <w:r>
              <w:rPr>
                <w:spacing w:val="-4"/>
                <w:sz w:val="21"/>
                <w:szCs w:val="21"/>
              </w:rPr>
              <w:t>范围内、</w:t>
            </w:r>
            <w:r>
              <w:rPr>
                <w:sz w:val="21"/>
                <w:szCs w:val="21"/>
              </w:rPr>
              <w:t xml:space="preserve"> </w:t>
            </w:r>
            <w:r>
              <w:rPr>
                <w:spacing w:val="-2"/>
                <w:sz w:val="21"/>
                <w:szCs w:val="21"/>
              </w:rPr>
              <w:t>近岸海域一个潮周期水质点可能达到的最大水平</w:t>
            </w:r>
            <w:r>
              <w:rPr>
                <w:spacing w:val="-3"/>
                <w:sz w:val="21"/>
                <w:szCs w:val="21"/>
              </w:rPr>
              <w:t>距离的两倍范围内，有如下一类或</w:t>
            </w:r>
            <w:r>
              <w:rPr>
                <w:sz w:val="21"/>
                <w:szCs w:val="21"/>
              </w:rPr>
              <w:t xml:space="preserve"> </w:t>
            </w:r>
            <w:r>
              <w:rPr>
                <w:spacing w:val="-4"/>
                <w:sz w:val="21"/>
                <w:szCs w:val="21"/>
              </w:rPr>
              <w:t>多类环境风险受体的：水产养殖区；天然渔场；</w:t>
            </w:r>
            <w:r>
              <w:rPr>
                <w:spacing w:val="-38"/>
                <w:sz w:val="21"/>
                <w:szCs w:val="21"/>
              </w:rPr>
              <w:t xml:space="preserve"> </w:t>
            </w:r>
            <w:r>
              <w:rPr>
                <w:spacing w:val="-5"/>
                <w:sz w:val="21"/>
                <w:szCs w:val="21"/>
              </w:rPr>
              <w:t>森林公园；地质公园；海滨风景游</w:t>
            </w:r>
          </w:p>
          <w:p>
            <w:pPr>
              <w:pStyle w:val="6"/>
              <w:spacing w:before="20" w:line="206" w:lineRule="auto"/>
              <w:ind w:left="1754"/>
              <w:rPr>
                <w:sz w:val="21"/>
                <w:szCs w:val="21"/>
              </w:rPr>
            </w:pPr>
            <w:r>
              <w:rPr>
                <w:spacing w:val="-6"/>
                <w:sz w:val="21"/>
                <w:szCs w:val="21"/>
              </w:rPr>
              <w:t>览区； 具有重要经济价值的海洋生物生存区域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25" w:type="dxa"/>
            <w:vAlign w:val="top"/>
          </w:tcPr>
          <w:p>
            <w:pPr>
              <w:spacing w:before="208"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S3</w:t>
            </w:r>
          </w:p>
        </w:tc>
        <w:tc>
          <w:tcPr>
            <w:tcW w:w="7694" w:type="dxa"/>
            <w:vAlign w:val="top"/>
          </w:tcPr>
          <w:p>
            <w:pPr>
              <w:pStyle w:val="6"/>
              <w:spacing w:before="33" w:line="224" w:lineRule="auto"/>
              <w:ind w:left="805" w:right="112" w:hanging="686"/>
              <w:rPr>
                <w:sz w:val="21"/>
                <w:szCs w:val="21"/>
              </w:rPr>
            </w:pPr>
            <w:r>
              <w:rPr>
                <w:spacing w:val="-3"/>
                <w:sz w:val="21"/>
                <w:szCs w:val="21"/>
              </w:rPr>
              <w:t>排放点下游（顺水流向）</w:t>
            </w:r>
            <w:r>
              <w:rPr>
                <w:spacing w:val="-12"/>
                <w:sz w:val="21"/>
                <w:szCs w:val="21"/>
              </w:rPr>
              <w:t xml:space="preserve"> </w:t>
            </w:r>
            <w:r>
              <w:rPr>
                <w:rFonts w:ascii="Times New Roman" w:hAnsi="Times New Roman" w:eastAsia="Times New Roman" w:cs="Times New Roman"/>
                <w:spacing w:val="-3"/>
                <w:sz w:val="21"/>
                <w:szCs w:val="21"/>
              </w:rPr>
              <w:t>10km</w:t>
            </w:r>
            <w:r>
              <w:rPr>
                <w:rFonts w:ascii="Times New Roman" w:hAnsi="Times New Roman" w:eastAsia="Times New Roman" w:cs="Times New Roman"/>
                <w:spacing w:val="13"/>
                <w:sz w:val="21"/>
                <w:szCs w:val="21"/>
              </w:rPr>
              <w:t xml:space="preserve"> </w:t>
            </w:r>
            <w:r>
              <w:rPr>
                <w:spacing w:val="-3"/>
                <w:sz w:val="21"/>
                <w:szCs w:val="21"/>
              </w:rPr>
              <w:t>范围、近岸海域一个潮周期水质点可能达到的最大</w:t>
            </w:r>
            <w:r>
              <w:rPr>
                <w:sz w:val="21"/>
                <w:szCs w:val="21"/>
              </w:rPr>
              <w:t xml:space="preserve"> </w:t>
            </w:r>
            <w:r>
              <w:rPr>
                <w:spacing w:val="-1"/>
                <w:sz w:val="21"/>
                <w:szCs w:val="21"/>
              </w:rPr>
              <w:t>水平距离的两倍范围内无上述类型</w:t>
            </w:r>
            <w:r>
              <w:rPr>
                <w:spacing w:val="-27"/>
                <w:sz w:val="21"/>
                <w:szCs w:val="21"/>
              </w:rPr>
              <w:t xml:space="preserve"> </w:t>
            </w:r>
            <w:r>
              <w:rPr>
                <w:rFonts w:ascii="Times New Roman" w:hAnsi="Times New Roman" w:eastAsia="Times New Roman" w:cs="Times New Roman"/>
                <w:spacing w:val="-1"/>
                <w:sz w:val="21"/>
                <w:szCs w:val="21"/>
              </w:rPr>
              <w:t xml:space="preserve">1 </w:t>
            </w:r>
            <w:r>
              <w:rPr>
                <w:spacing w:val="-1"/>
                <w:sz w:val="21"/>
                <w:szCs w:val="21"/>
              </w:rPr>
              <w:t>和类型</w:t>
            </w:r>
            <w:r>
              <w:rPr>
                <w:spacing w:val="-48"/>
                <w:sz w:val="21"/>
                <w:szCs w:val="21"/>
              </w:rPr>
              <w:t xml:space="preserve"> </w:t>
            </w:r>
            <w:r>
              <w:rPr>
                <w:rFonts w:ascii="Times New Roman" w:hAnsi="Times New Roman" w:eastAsia="Times New Roman" w:cs="Times New Roman"/>
                <w:spacing w:val="-1"/>
                <w:sz w:val="21"/>
                <w:szCs w:val="21"/>
              </w:rPr>
              <w:t xml:space="preserve">2 </w:t>
            </w:r>
            <w:r>
              <w:rPr>
                <w:spacing w:val="-1"/>
                <w:sz w:val="21"/>
                <w:szCs w:val="21"/>
              </w:rPr>
              <w:t>包括的敏感</w:t>
            </w:r>
            <w:r>
              <w:rPr>
                <w:spacing w:val="-2"/>
                <w:sz w:val="21"/>
                <w:szCs w:val="21"/>
              </w:rPr>
              <w:t>保护目标</w:t>
            </w:r>
          </w:p>
        </w:tc>
      </w:tr>
    </w:tbl>
    <w:p>
      <w:pPr>
        <w:spacing w:before="179" w:line="369" w:lineRule="auto"/>
        <w:ind w:left="186" w:right="153" w:firstLine="462"/>
        <w:jc w:val="both"/>
        <w:rPr>
          <w:rFonts w:ascii="宋体" w:hAnsi="宋体" w:eastAsia="宋体" w:cs="宋体"/>
          <w:sz w:val="24"/>
          <w:szCs w:val="24"/>
        </w:rPr>
      </w:pPr>
      <w:r>
        <w:rPr>
          <w:rFonts w:ascii="宋体" w:hAnsi="宋体" w:eastAsia="宋体" w:cs="宋体"/>
          <w:spacing w:val="-6"/>
          <w:sz w:val="24"/>
          <w:szCs w:val="24"/>
        </w:rPr>
        <w:t>发生事故时，危险物质泄漏到内陆水体的排放点下游（顺水流向）</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10km</w:t>
      </w:r>
      <w:r>
        <w:rPr>
          <w:rFonts w:ascii="Times New Roman" w:hAnsi="Times New Roman" w:eastAsia="Times New Roman" w:cs="Times New Roman"/>
          <w:spacing w:val="43"/>
          <w:sz w:val="24"/>
          <w:szCs w:val="24"/>
        </w:rPr>
        <w:t xml:space="preserve"> </w:t>
      </w:r>
      <w:r>
        <w:rPr>
          <w:rFonts w:ascii="宋体" w:hAnsi="宋体" w:eastAsia="宋体" w:cs="宋体"/>
          <w:spacing w:val="-6"/>
          <w:sz w:val="24"/>
          <w:szCs w:val="24"/>
        </w:rPr>
        <w:t>范</w:t>
      </w:r>
      <w:r>
        <w:rPr>
          <w:rFonts w:ascii="宋体" w:hAnsi="宋体" w:eastAsia="宋体" w:cs="宋体"/>
          <w:sz w:val="24"/>
          <w:szCs w:val="24"/>
        </w:rPr>
        <w:t xml:space="preserve"> </w:t>
      </w:r>
      <w:r>
        <w:rPr>
          <w:rFonts w:ascii="宋体" w:hAnsi="宋体" w:eastAsia="宋体" w:cs="宋体"/>
          <w:spacing w:val="-3"/>
          <w:sz w:val="24"/>
          <w:szCs w:val="24"/>
        </w:rPr>
        <w:t>围内主要为巴河，不涉及</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S1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S2</w:t>
      </w:r>
      <w:r>
        <w:rPr>
          <w:rFonts w:ascii="Times New Roman" w:hAnsi="Times New Roman" w:eastAsia="Times New Roman" w:cs="Times New Roman"/>
          <w:spacing w:val="34"/>
          <w:w w:val="101"/>
          <w:sz w:val="24"/>
          <w:szCs w:val="24"/>
        </w:rPr>
        <w:t xml:space="preserve"> </w:t>
      </w:r>
      <w:r>
        <w:rPr>
          <w:rFonts w:ascii="宋体" w:hAnsi="宋体" w:eastAsia="宋体" w:cs="宋体"/>
          <w:spacing w:val="-3"/>
          <w:sz w:val="24"/>
          <w:szCs w:val="24"/>
        </w:rPr>
        <w:t>中的敏感保护目标，</w:t>
      </w:r>
      <w:r>
        <w:rPr>
          <w:rFonts w:ascii="宋体" w:hAnsi="宋体" w:eastAsia="宋体" w:cs="宋体"/>
          <w:spacing w:val="-4"/>
          <w:sz w:val="24"/>
          <w:szCs w:val="24"/>
        </w:rPr>
        <w:t>因此项目环境敏感目标分</w:t>
      </w:r>
    </w:p>
    <w:p>
      <w:pPr>
        <w:spacing w:before="1" w:line="220" w:lineRule="auto"/>
        <w:ind w:left="169"/>
        <w:rPr>
          <w:rFonts w:ascii="宋体" w:hAnsi="宋体" w:eastAsia="宋体" w:cs="宋体"/>
          <w:sz w:val="24"/>
          <w:szCs w:val="24"/>
        </w:rPr>
      </w:pPr>
      <w:r>
        <w:rPr>
          <w:rFonts w:ascii="宋体" w:hAnsi="宋体" w:eastAsia="宋体" w:cs="宋体"/>
          <w:spacing w:val="-6"/>
          <w:sz w:val="24"/>
          <w:szCs w:val="24"/>
        </w:rPr>
        <w:t>级为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S3</w:t>
      </w:r>
      <w:r>
        <w:rPr>
          <w:rFonts w:ascii="宋体" w:hAnsi="宋体" w:eastAsia="宋体" w:cs="宋体"/>
          <w:spacing w:val="-6"/>
          <w:sz w:val="24"/>
          <w:szCs w:val="24"/>
        </w:rPr>
        <w:t>。</w:t>
      </w:r>
    </w:p>
    <w:p>
      <w:pPr>
        <w:spacing w:before="192" w:line="220" w:lineRule="auto"/>
        <w:ind w:left="247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3.2-7    </w:t>
      </w:r>
      <w:r>
        <w:rPr>
          <w:rFonts w:ascii="宋体" w:hAnsi="宋体" w:eastAsia="宋体" w:cs="宋体"/>
          <w:spacing w:val="-1"/>
          <w:sz w:val="24"/>
          <w:szCs w:val="24"/>
          <w14:textOutline w14:w="4354" w14:cap="flat" w14:cmpd="sng">
            <w14:solidFill>
              <w14:srgbClr w14:val="000000"/>
            </w14:solidFill>
            <w14:prstDash w14:val="solid"/>
            <w14:miter w14:val="10"/>
          </w14:textOutline>
        </w:rPr>
        <w:t>地表水环境敏感程度分级</w:t>
      </w:r>
    </w:p>
    <w:p>
      <w:pPr>
        <w:spacing w:line="16" w:lineRule="exact"/>
      </w:pPr>
    </w:p>
    <w:tbl>
      <w:tblPr>
        <w:tblStyle w:val="5"/>
        <w:tblW w:w="8533"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2272"/>
        <w:gridCol w:w="2272"/>
        <w:gridCol w:w="2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2" w:type="dxa"/>
            <w:vMerge w:val="restart"/>
            <w:tcBorders>
              <w:bottom w:val="nil"/>
            </w:tcBorders>
            <w:vAlign w:val="top"/>
          </w:tcPr>
          <w:p>
            <w:pPr>
              <w:pStyle w:val="6"/>
              <w:spacing w:before="242" w:line="221" w:lineRule="auto"/>
              <w:ind w:left="231"/>
              <w:rPr>
                <w:sz w:val="21"/>
                <w:szCs w:val="21"/>
              </w:rPr>
            </w:pPr>
            <w:r>
              <w:rPr>
                <w:spacing w:val="-1"/>
                <w:sz w:val="21"/>
                <w:szCs w:val="21"/>
              </w:rPr>
              <w:t>环境敏感目标</w:t>
            </w:r>
          </w:p>
        </w:tc>
        <w:tc>
          <w:tcPr>
            <w:tcW w:w="6821" w:type="dxa"/>
            <w:gridSpan w:val="3"/>
            <w:vAlign w:val="top"/>
          </w:tcPr>
          <w:p>
            <w:pPr>
              <w:pStyle w:val="6"/>
              <w:spacing w:before="67" w:line="221" w:lineRule="auto"/>
              <w:ind w:left="2573"/>
              <w:rPr>
                <w:sz w:val="21"/>
                <w:szCs w:val="21"/>
              </w:rPr>
            </w:pPr>
            <w:r>
              <w:rPr>
                <w:spacing w:val="-1"/>
                <w:sz w:val="21"/>
                <w:szCs w:val="21"/>
              </w:rPr>
              <w:t>地表水功能敏感性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2" w:type="dxa"/>
            <w:vMerge w:val="continue"/>
            <w:tcBorders>
              <w:top w:val="nil"/>
            </w:tcBorders>
            <w:vAlign w:val="top"/>
          </w:tcPr>
          <w:p>
            <w:pPr>
              <w:rPr>
                <w:rFonts w:ascii="Arial"/>
                <w:sz w:val="21"/>
              </w:rPr>
            </w:pPr>
          </w:p>
        </w:tc>
        <w:tc>
          <w:tcPr>
            <w:tcW w:w="2272" w:type="dxa"/>
            <w:vAlign w:val="top"/>
          </w:tcPr>
          <w:p>
            <w:pPr>
              <w:spacing w:before="103" w:line="187" w:lineRule="auto"/>
              <w:ind w:left="10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F1</w:t>
            </w:r>
          </w:p>
        </w:tc>
        <w:tc>
          <w:tcPr>
            <w:tcW w:w="2272" w:type="dxa"/>
            <w:vAlign w:val="top"/>
          </w:tcPr>
          <w:p>
            <w:pPr>
              <w:spacing w:before="103" w:line="187" w:lineRule="auto"/>
              <w:ind w:left="10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F2</w:t>
            </w:r>
          </w:p>
        </w:tc>
        <w:tc>
          <w:tcPr>
            <w:tcW w:w="2277" w:type="dxa"/>
            <w:vAlign w:val="top"/>
          </w:tcPr>
          <w:p>
            <w:pPr>
              <w:spacing w:before="102" w:line="187" w:lineRule="auto"/>
              <w:ind w:left="10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12" w:type="dxa"/>
            <w:vAlign w:val="top"/>
          </w:tcPr>
          <w:p>
            <w:pPr>
              <w:spacing w:before="103" w:line="187" w:lineRule="auto"/>
              <w:ind w:left="7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S1</w:t>
            </w:r>
          </w:p>
        </w:tc>
        <w:tc>
          <w:tcPr>
            <w:tcW w:w="2272" w:type="dxa"/>
            <w:vAlign w:val="top"/>
          </w:tcPr>
          <w:p>
            <w:pPr>
              <w:spacing w:before="103"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72" w:type="dxa"/>
            <w:vAlign w:val="top"/>
          </w:tcPr>
          <w:p>
            <w:pPr>
              <w:spacing w:before="103" w:line="187" w:lineRule="auto"/>
              <w:ind w:left="10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77" w:type="dxa"/>
            <w:vAlign w:val="top"/>
          </w:tcPr>
          <w:p>
            <w:pPr>
              <w:spacing w:before="103"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2" w:type="dxa"/>
            <w:vAlign w:val="top"/>
          </w:tcPr>
          <w:p>
            <w:pPr>
              <w:spacing w:before="106" w:line="187" w:lineRule="auto"/>
              <w:ind w:left="7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S2</w:t>
            </w:r>
          </w:p>
        </w:tc>
        <w:tc>
          <w:tcPr>
            <w:tcW w:w="2272" w:type="dxa"/>
            <w:vAlign w:val="top"/>
          </w:tcPr>
          <w:p>
            <w:pPr>
              <w:spacing w:before="106"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72" w:type="dxa"/>
            <w:vAlign w:val="top"/>
          </w:tcPr>
          <w:p>
            <w:pPr>
              <w:spacing w:before="106" w:line="187" w:lineRule="auto"/>
              <w:ind w:left="10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c>
          <w:tcPr>
            <w:tcW w:w="2277" w:type="dxa"/>
            <w:vAlign w:val="top"/>
          </w:tcPr>
          <w:p>
            <w:pPr>
              <w:spacing w:before="106"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2" w:type="dxa"/>
            <w:vAlign w:val="top"/>
          </w:tcPr>
          <w:p>
            <w:pPr>
              <w:spacing w:before="108" w:line="187" w:lineRule="auto"/>
              <w:ind w:left="7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S3</w:t>
            </w:r>
          </w:p>
        </w:tc>
        <w:tc>
          <w:tcPr>
            <w:tcW w:w="2272" w:type="dxa"/>
            <w:vAlign w:val="top"/>
          </w:tcPr>
          <w:p>
            <w:pPr>
              <w:spacing w:before="108"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72" w:type="dxa"/>
            <w:vAlign w:val="top"/>
          </w:tcPr>
          <w:p>
            <w:pPr>
              <w:spacing w:before="108" w:line="187" w:lineRule="auto"/>
              <w:ind w:left="10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c>
          <w:tcPr>
            <w:tcW w:w="2277" w:type="dxa"/>
            <w:vAlign w:val="top"/>
          </w:tcPr>
          <w:p>
            <w:pPr>
              <w:spacing w:before="108"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p>
        </w:tc>
      </w:tr>
    </w:tbl>
    <w:p>
      <w:pPr>
        <w:spacing w:before="177" w:line="481" w:lineRule="exact"/>
        <w:ind w:left="645"/>
        <w:rPr>
          <w:rFonts w:ascii="宋体" w:hAnsi="宋体" w:eastAsia="宋体" w:cs="宋体"/>
          <w:sz w:val="24"/>
          <w:szCs w:val="24"/>
        </w:rPr>
      </w:pPr>
      <w:r>
        <w:rPr>
          <w:rFonts w:ascii="宋体" w:hAnsi="宋体" w:eastAsia="宋体" w:cs="宋体"/>
          <w:spacing w:val="-1"/>
          <w:position w:val="18"/>
          <w:sz w:val="24"/>
          <w:szCs w:val="24"/>
        </w:rPr>
        <w:t>根据表</w:t>
      </w:r>
      <w:r>
        <w:rPr>
          <w:rFonts w:ascii="宋体" w:hAnsi="宋体" w:eastAsia="宋体" w:cs="宋体"/>
          <w:spacing w:val="-48"/>
          <w:position w:val="18"/>
          <w:sz w:val="24"/>
          <w:szCs w:val="24"/>
        </w:rPr>
        <w:t xml:space="preserve"> </w:t>
      </w:r>
      <w:r>
        <w:rPr>
          <w:rFonts w:ascii="Times New Roman" w:hAnsi="Times New Roman" w:eastAsia="Times New Roman" w:cs="Times New Roman"/>
          <w:spacing w:val="-1"/>
          <w:position w:val="18"/>
          <w:sz w:val="24"/>
          <w:szCs w:val="24"/>
        </w:rPr>
        <w:t xml:space="preserve">3.2-7 </w:t>
      </w:r>
      <w:r>
        <w:rPr>
          <w:rFonts w:ascii="宋体" w:hAnsi="宋体" w:eastAsia="宋体" w:cs="宋体"/>
          <w:spacing w:val="-1"/>
          <w:position w:val="18"/>
          <w:sz w:val="24"/>
          <w:szCs w:val="24"/>
        </w:rPr>
        <w:t>可知，本项目地表水环境敏感程度属于</w:t>
      </w:r>
      <w:r>
        <w:rPr>
          <w:rFonts w:ascii="宋体" w:hAnsi="宋体" w:eastAsia="宋体" w:cs="宋体"/>
          <w:spacing w:val="-54"/>
          <w:position w:val="18"/>
          <w:sz w:val="24"/>
          <w:szCs w:val="24"/>
        </w:rPr>
        <w:t xml:space="preserve"> </w:t>
      </w:r>
      <w:r>
        <w:rPr>
          <w:rFonts w:ascii="Times New Roman" w:hAnsi="Times New Roman" w:eastAsia="Times New Roman" w:cs="Times New Roman"/>
          <w:spacing w:val="-1"/>
          <w:position w:val="18"/>
          <w:sz w:val="24"/>
          <w:szCs w:val="24"/>
        </w:rPr>
        <w:t>E3</w:t>
      </w:r>
      <w:r>
        <w:rPr>
          <w:rFonts w:ascii="宋体" w:hAnsi="宋体" w:eastAsia="宋体" w:cs="宋体"/>
          <w:spacing w:val="-1"/>
          <w:position w:val="18"/>
          <w:sz w:val="24"/>
          <w:szCs w:val="24"/>
        </w:rPr>
        <w:t>。</w:t>
      </w:r>
    </w:p>
    <w:p>
      <w:pPr>
        <w:spacing w:line="217" w:lineRule="auto"/>
        <w:ind w:left="643"/>
        <w:rPr>
          <w:rFonts w:ascii="宋体" w:hAnsi="宋体" w:eastAsia="宋体" w:cs="宋体"/>
          <w:sz w:val="24"/>
          <w:szCs w:val="24"/>
        </w:rPr>
      </w:pPr>
      <w:r>
        <w:rPr>
          <w:rFonts w:ascii="宋体" w:hAnsi="宋体" w:eastAsia="宋体" w:cs="宋体"/>
          <w:spacing w:val="-2"/>
          <w:sz w:val="24"/>
          <w:szCs w:val="24"/>
        </w:rPr>
        <w:t>③地下水环境</w:t>
      </w:r>
    </w:p>
    <w:p>
      <w:pPr>
        <w:spacing w:before="198" w:line="369" w:lineRule="auto"/>
        <w:ind w:left="164" w:right="68" w:firstLine="482"/>
        <w:rPr>
          <w:rFonts w:ascii="宋体" w:hAnsi="宋体" w:eastAsia="宋体" w:cs="宋体"/>
          <w:sz w:val="24"/>
          <w:szCs w:val="24"/>
        </w:rPr>
      </w:pPr>
      <w:r>
        <w:rPr>
          <w:rFonts w:ascii="宋体" w:hAnsi="宋体" w:eastAsia="宋体" w:cs="宋体"/>
          <w:spacing w:val="-6"/>
          <w:sz w:val="24"/>
          <w:szCs w:val="24"/>
        </w:rPr>
        <w:t>依据地下水功能敏感性与包气带防污性能，共分为三种类型，</w:t>
      </w:r>
      <w:r>
        <w:rPr>
          <w:rFonts w:ascii="宋体" w:hAnsi="宋体" w:eastAsia="宋体" w:cs="宋体"/>
          <w:spacing w:val="77"/>
          <w:sz w:val="24"/>
          <w:szCs w:val="24"/>
        </w:rPr>
        <w:t xml:space="preserve"> </w:t>
      </w:r>
      <w:r>
        <w:rPr>
          <w:rFonts w:ascii="Times New Roman" w:hAnsi="Times New Roman" w:eastAsia="Times New Roman" w:cs="Times New Roman"/>
          <w:spacing w:val="-6"/>
          <w:sz w:val="24"/>
          <w:szCs w:val="24"/>
        </w:rPr>
        <w:t xml:space="preserve">E1  </w:t>
      </w:r>
      <w:r>
        <w:rPr>
          <w:rFonts w:ascii="宋体" w:hAnsi="宋体" w:eastAsia="宋体" w:cs="宋体"/>
          <w:spacing w:val="-6"/>
          <w:sz w:val="24"/>
          <w:szCs w:val="24"/>
        </w:rPr>
        <w:t xml:space="preserve">为环境高 </w:t>
      </w:r>
      <w:r>
        <w:rPr>
          <w:rFonts w:ascii="宋体" w:hAnsi="宋体" w:eastAsia="宋体" w:cs="宋体"/>
          <w:spacing w:val="-9"/>
          <w:sz w:val="24"/>
          <w:szCs w:val="24"/>
        </w:rPr>
        <w:t xml:space="preserve">度敏感区， </w:t>
      </w:r>
      <w:r>
        <w:rPr>
          <w:rFonts w:ascii="Times New Roman" w:hAnsi="Times New Roman" w:eastAsia="Times New Roman" w:cs="Times New Roman"/>
          <w:spacing w:val="-9"/>
          <w:sz w:val="24"/>
          <w:szCs w:val="24"/>
        </w:rPr>
        <w:t>E2</w:t>
      </w:r>
      <w:r>
        <w:rPr>
          <w:rFonts w:ascii="Times New Roman" w:hAnsi="Times New Roman" w:eastAsia="Times New Roman" w:cs="Times New Roman"/>
          <w:spacing w:val="20"/>
          <w:sz w:val="24"/>
          <w:szCs w:val="24"/>
        </w:rPr>
        <w:t xml:space="preserve"> </w:t>
      </w:r>
      <w:r>
        <w:rPr>
          <w:rFonts w:ascii="宋体" w:hAnsi="宋体" w:eastAsia="宋体" w:cs="宋体"/>
          <w:spacing w:val="-9"/>
          <w:sz w:val="24"/>
          <w:szCs w:val="24"/>
        </w:rPr>
        <w:t>为环境中度敏感区，</w:t>
      </w:r>
      <w:r>
        <w:rPr>
          <w:rFonts w:ascii="宋体" w:hAnsi="宋体" w:eastAsia="宋体" w:cs="宋体"/>
          <w:spacing w:val="59"/>
          <w:sz w:val="24"/>
          <w:szCs w:val="24"/>
        </w:rPr>
        <w:t xml:space="preserve"> </w:t>
      </w:r>
      <w:r>
        <w:rPr>
          <w:rFonts w:ascii="Times New Roman" w:hAnsi="Times New Roman" w:eastAsia="Times New Roman" w:cs="Times New Roman"/>
          <w:spacing w:val="-9"/>
          <w:sz w:val="24"/>
          <w:szCs w:val="24"/>
        </w:rPr>
        <w:t>E3</w:t>
      </w:r>
      <w:r>
        <w:rPr>
          <w:rFonts w:ascii="Times New Roman" w:hAnsi="Times New Roman" w:eastAsia="Times New Roman" w:cs="Times New Roman"/>
          <w:spacing w:val="19"/>
          <w:w w:val="101"/>
          <w:sz w:val="24"/>
          <w:szCs w:val="24"/>
        </w:rPr>
        <w:t xml:space="preserve"> </w:t>
      </w:r>
      <w:r>
        <w:rPr>
          <w:rFonts w:ascii="宋体" w:hAnsi="宋体" w:eastAsia="宋体" w:cs="宋体"/>
          <w:spacing w:val="-9"/>
          <w:sz w:val="24"/>
          <w:szCs w:val="24"/>
        </w:rPr>
        <w:t>为环</w:t>
      </w:r>
      <w:r>
        <w:rPr>
          <w:rFonts w:ascii="宋体" w:hAnsi="宋体" w:eastAsia="宋体" w:cs="宋体"/>
          <w:spacing w:val="-10"/>
          <w:sz w:val="24"/>
          <w:szCs w:val="24"/>
        </w:rPr>
        <w:t>境低度敏感区，分级原则见表</w:t>
      </w:r>
      <w:r>
        <w:rPr>
          <w:rFonts w:ascii="宋体" w:hAnsi="宋体" w:eastAsia="宋体" w:cs="宋体"/>
          <w:spacing w:val="-42"/>
          <w:sz w:val="24"/>
          <w:szCs w:val="24"/>
        </w:rPr>
        <w:t xml:space="preserve"> </w:t>
      </w:r>
      <w:r>
        <w:rPr>
          <w:rFonts w:ascii="Times New Roman" w:hAnsi="Times New Roman" w:eastAsia="Times New Roman" w:cs="Times New Roman"/>
          <w:spacing w:val="-10"/>
          <w:sz w:val="24"/>
          <w:szCs w:val="24"/>
        </w:rPr>
        <w:t>3.2-8</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2"/>
          <w:sz w:val="24"/>
          <w:szCs w:val="24"/>
        </w:rPr>
        <w:t>其中地下水功能敏感性分区和包气带防污性能分级分别见表</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3.2-9</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和表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p>
    <w:p>
      <w:pPr>
        <w:spacing w:before="1" w:line="219" w:lineRule="auto"/>
        <w:ind w:left="180"/>
        <w:rPr>
          <w:rFonts w:ascii="宋体" w:hAnsi="宋体" w:eastAsia="宋体" w:cs="宋体"/>
          <w:sz w:val="24"/>
          <w:szCs w:val="24"/>
        </w:rPr>
      </w:pPr>
      <w:r>
        <w:rPr>
          <w:rFonts w:ascii="宋体" w:hAnsi="宋体" w:eastAsia="宋体" w:cs="宋体"/>
          <w:spacing w:val="-2"/>
          <w:sz w:val="24"/>
          <w:szCs w:val="24"/>
        </w:rPr>
        <w:t>当同一建设项目涉及两个</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G </w:t>
      </w:r>
      <w:r>
        <w:rPr>
          <w:rFonts w:ascii="宋体" w:hAnsi="宋体" w:eastAsia="宋体" w:cs="宋体"/>
          <w:spacing w:val="-2"/>
          <w:sz w:val="24"/>
          <w:szCs w:val="24"/>
        </w:rPr>
        <w:t>分区或</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分级及以上时</w:t>
      </w:r>
      <w:r>
        <w:rPr>
          <w:rFonts w:ascii="宋体" w:hAnsi="宋体" w:eastAsia="宋体" w:cs="宋体"/>
          <w:spacing w:val="-3"/>
          <w:sz w:val="24"/>
          <w:szCs w:val="24"/>
        </w:rPr>
        <w:t>，取相对高值。</w:t>
      </w:r>
    </w:p>
    <w:p>
      <w:pPr>
        <w:spacing w:before="194" w:line="220" w:lineRule="auto"/>
        <w:ind w:left="253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1"/>
          <w:sz w:val="24"/>
          <w:szCs w:val="24"/>
        </w:rPr>
        <w:t xml:space="preserve">3.2-8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地下水功能敏感性分区</w:t>
      </w:r>
    </w:p>
    <w:p>
      <w:pPr>
        <w:spacing w:line="17" w:lineRule="exact"/>
      </w:pPr>
    </w:p>
    <w:tbl>
      <w:tblPr>
        <w:tblStyle w:val="5"/>
        <w:tblW w:w="859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74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34" w:type="dxa"/>
            <w:vAlign w:val="top"/>
          </w:tcPr>
          <w:p>
            <w:pPr>
              <w:pStyle w:val="6"/>
              <w:spacing w:before="67" w:line="221" w:lineRule="auto"/>
              <w:ind w:left="258"/>
              <w:rPr>
                <w:sz w:val="21"/>
                <w:szCs w:val="21"/>
              </w:rPr>
            </w:pPr>
            <w:r>
              <w:rPr>
                <w:spacing w:val="-2"/>
                <w:sz w:val="21"/>
                <w:szCs w:val="21"/>
              </w:rPr>
              <w:t>敏感性</w:t>
            </w:r>
          </w:p>
        </w:tc>
        <w:tc>
          <w:tcPr>
            <w:tcW w:w="7456" w:type="dxa"/>
            <w:vAlign w:val="top"/>
          </w:tcPr>
          <w:p>
            <w:pPr>
              <w:pStyle w:val="6"/>
              <w:spacing w:before="67" w:line="221" w:lineRule="auto"/>
              <w:ind w:left="3100"/>
              <w:rPr>
                <w:sz w:val="21"/>
                <w:szCs w:val="21"/>
              </w:rPr>
            </w:pPr>
            <w:r>
              <w:rPr>
                <w:spacing w:val="-1"/>
                <w:sz w:val="21"/>
                <w:szCs w:val="21"/>
              </w:rPr>
              <w:t>环境敏感目标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34" w:type="dxa"/>
            <w:vAlign w:val="top"/>
          </w:tcPr>
          <w:p>
            <w:pPr>
              <w:pStyle w:val="6"/>
              <w:spacing w:before="302" w:line="221" w:lineRule="auto"/>
              <w:ind w:left="208"/>
              <w:rPr>
                <w:rFonts w:ascii="Times New Roman" w:hAnsi="Times New Roman" w:eastAsia="Times New Roman" w:cs="Times New Roman"/>
                <w:sz w:val="21"/>
                <w:szCs w:val="21"/>
              </w:rPr>
            </w:pPr>
            <w:r>
              <w:rPr>
                <w:spacing w:val="-3"/>
                <w:sz w:val="21"/>
                <w:szCs w:val="21"/>
              </w:rPr>
              <w:t>敏感</w:t>
            </w:r>
            <w:r>
              <w:rPr>
                <w:spacing w:val="-46"/>
                <w:sz w:val="21"/>
                <w:szCs w:val="21"/>
              </w:rPr>
              <w:t xml:space="preserve"> </w:t>
            </w:r>
            <w:r>
              <w:rPr>
                <w:rFonts w:ascii="Times New Roman" w:hAnsi="Times New Roman" w:eastAsia="Times New Roman" w:cs="Times New Roman"/>
                <w:spacing w:val="-3"/>
                <w:sz w:val="21"/>
                <w:szCs w:val="21"/>
              </w:rPr>
              <w:t>G1</w:t>
            </w:r>
          </w:p>
        </w:tc>
        <w:tc>
          <w:tcPr>
            <w:tcW w:w="7456" w:type="dxa"/>
            <w:vAlign w:val="top"/>
          </w:tcPr>
          <w:p>
            <w:pPr>
              <w:pStyle w:val="6"/>
              <w:spacing w:before="29" w:line="221" w:lineRule="auto"/>
              <w:ind w:left="157"/>
              <w:rPr>
                <w:sz w:val="21"/>
                <w:szCs w:val="21"/>
              </w:rPr>
            </w:pPr>
            <w:r>
              <w:rPr>
                <w:sz w:val="21"/>
                <w:szCs w:val="21"/>
              </w:rPr>
              <w:t>集中式饮用水水源（包括已建成的在用、备用、应急水源，在建和规划</w:t>
            </w:r>
            <w:r>
              <w:rPr>
                <w:spacing w:val="-1"/>
                <w:sz w:val="21"/>
                <w:szCs w:val="21"/>
              </w:rPr>
              <w:t>的饮用</w:t>
            </w:r>
          </w:p>
          <w:p>
            <w:pPr>
              <w:pStyle w:val="6"/>
              <w:spacing w:before="22" w:line="220" w:lineRule="auto"/>
              <w:ind w:left="160"/>
              <w:rPr>
                <w:sz w:val="21"/>
                <w:szCs w:val="21"/>
              </w:rPr>
            </w:pPr>
            <w:r>
              <w:rPr>
                <w:spacing w:val="-3"/>
                <w:sz w:val="21"/>
                <w:szCs w:val="21"/>
              </w:rPr>
              <w:t>水水源）准保护区； 除集中式饮用水水源以外的国家或地方政府设</w:t>
            </w:r>
            <w:r>
              <w:rPr>
                <w:spacing w:val="-4"/>
                <w:sz w:val="21"/>
                <w:szCs w:val="21"/>
              </w:rPr>
              <w:t>定的与地下</w:t>
            </w:r>
          </w:p>
          <w:p>
            <w:pPr>
              <w:pStyle w:val="6"/>
              <w:spacing w:before="20" w:line="209" w:lineRule="auto"/>
              <w:ind w:left="266"/>
              <w:rPr>
                <w:sz w:val="21"/>
                <w:szCs w:val="21"/>
              </w:rPr>
            </w:pPr>
            <w:r>
              <w:rPr>
                <w:sz w:val="21"/>
                <w:szCs w:val="21"/>
              </w:rPr>
              <w:t>水环境相关的其他保护区，如热水、矿泉水、温泉等特殊地下水</w:t>
            </w:r>
            <w:r>
              <w:rPr>
                <w:spacing w:val="-1"/>
                <w:sz w:val="21"/>
                <w:szCs w:val="21"/>
              </w:rPr>
              <w:t>资源保护区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134" w:type="dxa"/>
            <w:vAlign w:val="top"/>
          </w:tcPr>
          <w:p>
            <w:pPr>
              <w:spacing w:line="368" w:lineRule="auto"/>
              <w:rPr>
                <w:rFonts w:ascii="Arial"/>
                <w:sz w:val="21"/>
              </w:rPr>
            </w:pPr>
          </w:p>
          <w:p>
            <w:pPr>
              <w:pStyle w:val="6"/>
              <w:spacing w:before="68" w:line="221" w:lineRule="auto"/>
              <w:ind w:left="116"/>
              <w:rPr>
                <w:rFonts w:ascii="Times New Roman" w:hAnsi="Times New Roman" w:eastAsia="Times New Roman" w:cs="Times New Roman"/>
                <w:sz w:val="21"/>
                <w:szCs w:val="21"/>
              </w:rPr>
            </w:pPr>
            <w:r>
              <w:rPr>
                <w:spacing w:val="4"/>
                <w:sz w:val="21"/>
                <w:szCs w:val="21"/>
              </w:rPr>
              <w:t>较敏感</w:t>
            </w:r>
            <w:r>
              <w:rPr>
                <w:rFonts w:ascii="Times New Roman" w:hAnsi="Times New Roman" w:eastAsia="Times New Roman" w:cs="Times New Roman"/>
                <w:spacing w:val="4"/>
                <w:sz w:val="21"/>
                <w:szCs w:val="21"/>
              </w:rPr>
              <w:t>G2</w:t>
            </w:r>
          </w:p>
        </w:tc>
        <w:tc>
          <w:tcPr>
            <w:tcW w:w="7456" w:type="dxa"/>
            <w:vAlign w:val="top"/>
          </w:tcPr>
          <w:p>
            <w:pPr>
              <w:pStyle w:val="6"/>
              <w:spacing w:before="32" w:line="229" w:lineRule="auto"/>
              <w:ind w:left="159" w:right="155" w:hanging="2"/>
              <w:rPr>
                <w:sz w:val="21"/>
                <w:szCs w:val="21"/>
              </w:rPr>
            </w:pPr>
            <w:r>
              <w:rPr>
                <w:sz w:val="21"/>
                <w:szCs w:val="21"/>
              </w:rPr>
              <w:t>集中式饮用水水源（包括已建成的在用、备用、应急水源，在建和规</w:t>
            </w:r>
            <w:r>
              <w:rPr>
                <w:spacing w:val="-1"/>
                <w:sz w:val="21"/>
                <w:szCs w:val="21"/>
              </w:rPr>
              <w:t>划的饮用</w:t>
            </w:r>
            <w:r>
              <w:rPr>
                <w:sz w:val="21"/>
                <w:szCs w:val="21"/>
              </w:rPr>
              <w:t xml:space="preserve"> </w:t>
            </w:r>
            <w:r>
              <w:rPr>
                <w:spacing w:val="-2"/>
                <w:sz w:val="21"/>
                <w:szCs w:val="21"/>
              </w:rPr>
              <w:t>水水源）准保护区以外的补给径流区；未划定准保护区的集中式饮用水水源，</w:t>
            </w:r>
          </w:p>
          <w:p>
            <w:pPr>
              <w:pStyle w:val="6"/>
              <w:spacing w:before="23" w:line="222" w:lineRule="auto"/>
              <w:ind w:left="109" w:right="105" w:firstLine="49"/>
              <w:rPr>
                <w:rFonts w:ascii="Times New Roman" w:hAnsi="Times New Roman" w:eastAsia="Times New Roman" w:cs="Times New Roman"/>
                <w:sz w:val="13"/>
                <w:szCs w:val="13"/>
              </w:rPr>
            </w:pPr>
            <w:r>
              <w:rPr>
                <w:spacing w:val="-3"/>
                <w:sz w:val="21"/>
                <w:szCs w:val="21"/>
              </w:rPr>
              <w:t>其保护区以外的补给径流区；分散式饮用水水地；</w:t>
            </w:r>
            <w:r>
              <w:rPr>
                <w:spacing w:val="-7"/>
                <w:sz w:val="21"/>
                <w:szCs w:val="21"/>
              </w:rPr>
              <w:t xml:space="preserve"> </w:t>
            </w:r>
            <w:r>
              <w:rPr>
                <w:spacing w:val="-3"/>
                <w:sz w:val="21"/>
                <w:szCs w:val="21"/>
              </w:rPr>
              <w:t>特殊地下水资源（如热水、</w:t>
            </w:r>
            <w:r>
              <w:rPr>
                <w:sz w:val="21"/>
                <w:szCs w:val="21"/>
              </w:rPr>
              <w:t xml:space="preserve"> </w:t>
            </w:r>
            <w:r>
              <w:rPr>
                <w:spacing w:val="-2"/>
                <w:sz w:val="21"/>
                <w:szCs w:val="21"/>
              </w:rPr>
              <w:t>矿泉水、温泉等）</w:t>
            </w:r>
            <w:r>
              <w:rPr>
                <w:spacing w:val="-46"/>
                <w:sz w:val="21"/>
                <w:szCs w:val="21"/>
              </w:rPr>
              <w:t xml:space="preserve"> </w:t>
            </w:r>
            <w:r>
              <w:rPr>
                <w:spacing w:val="-2"/>
                <w:sz w:val="21"/>
                <w:szCs w:val="21"/>
              </w:rPr>
              <w:t>保护区以外的分布区等其他未列入上述</w:t>
            </w:r>
            <w:r>
              <w:rPr>
                <w:spacing w:val="-3"/>
                <w:sz w:val="21"/>
                <w:szCs w:val="21"/>
              </w:rPr>
              <w:t>敏感分的环境敏感区</w:t>
            </w:r>
            <w:r>
              <w:rPr>
                <w:spacing w:val="-46"/>
                <w:sz w:val="21"/>
                <w:szCs w:val="21"/>
              </w:rPr>
              <w:t xml:space="preserve"> </w:t>
            </w:r>
            <w:r>
              <w:rPr>
                <w:rFonts w:ascii="Times New Roman" w:hAnsi="Times New Roman" w:eastAsia="Times New Roman" w:cs="Times New Roman"/>
                <w:spacing w:val="-3"/>
                <w:position w:val="6"/>
                <w:sz w:val="13"/>
                <w:szCs w:val="13"/>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4" w:type="dxa"/>
            <w:vAlign w:val="top"/>
          </w:tcPr>
          <w:p>
            <w:pPr>
              <w:pStyle w:val="6"/>
              <w:spacing w:before="66" w:line="221" w:lineRule="auto"/>
              <w:ind w:left="115"/>
              <w:rPr>
                <w:rFonts w:ascii="Times New Roman" w:hAnsi="Times New Roman" w:eastAsia="Times New Roman" w:cs="Times New Roman"/>
                <w:sz w:val="21"/>
                <w:szCs w:val="21"/>
              </w:rPr>
            </w:pPr>
            <w:r>
              <w:rPr>
                <w:spacing w:val="4"/>
                <w:sz w:val="21"/>
                <w:szCs w:val="21"/>
              </w:rPr>
              <w:t>低敏感</w:t>
            </w:r>
            <w:r>
              <w:rPr>
                <w:rFonts w:ascii="Times New Roman" w:hAnsi="Times New Roman" w:eastAsia="Times New Roman" w:cs="Times New Roman"/>
                <w:spacing w:val="4"/>
                <w:sz w:val="21"/>
                <w:szCs w:val="21"/>
              </w:rPr>
              <w:t>G3</w:t>
            </w:r>
          </w:p>
        </w:tc>
        <w:tc>
          <w:tcPr>
            <w:tcW w:w="7456" w:type="dxa"/>
            <w:vAlign w:val="top"/>
          </w:tcPr>
          <w:p>
            <w:pPr>
              <w:pStyle w:val="6"/>
              <w:spacing w:before="67" w:line="221" w:lineRule="auto"/>
              <w:ind w:left="2577"/>
              <w:rPr>
                <w:sz w:val="21"/>
                <w:szCs w:val="21"/>
              </w:rPr>
            </w:pPr>
            <w:r>
              <w:rPr>
                <w:spacing w:val="-1"/>
                <w:sz w:val="21"/>
                <w:szCs w:val="21"/>
              </w:rPr>
              <w:t>上述地区之外的其他地区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590" w:type="dxa"/>
            <w:gridSpan w:val="2"/>
            <w:vAlign w:val="top"/>
          </w:tcPr>
          <w:p>
            <w:pPr>
              <w:pStyle w:val="6"/>
              <w:spacing w:before="33" w:line="224" w:lineRule="auto"/>
              <w:ind w:left="4090" w:right="102" w:hanging="3978"/>
              <w:rPr>
                <w:sz w:val="21"/>
                <w:szCs w:val="21"/>
              </w:rPr>
            </w:pPr>
            <w:r>
              <w:rPr>
                <w:rFonts w:ascii="Times New Roman" w:hAnsi="Times New Roman" w:eastAsia="Times New Roman" w:cs="Times New Roman"/>
                <w:spacing w:val="-2"/>
                <w:position w:val="6"/>
                <w:sz w:val="13"/>
                <w:szCs w:val="13"/>
              </w:rPr>
              <w:t>a</w:t>
            </w:r>
            <w:r>
              <w:rPr>
                <w:rFonts w:ascii="Times New Roman" w:hAnsi="Times New Roman" w:eastAsia="Times New Roman" w:cs="Times New Roman"/>
                <w:spacing w:val="-2"/>
                <w:sz w:val="21"/>
                <w:szCs w:val="21"/>
              </w:rPr>
              <w:t>“</w:t>
            </w:r>
            <w:r>
              <w:rPr>
                <w:spacing w:val="-2"/>
                <w:sz w:val="21"/>
                <w:szCs w:val="21"/>
              </w:rPr>
              <w:t>环境敏感区</w:t>
            </w:r>
            <w:r>
              <w:rPr>
                <w:rFonts w:ascii="Times New Roman" w:hAnsi="Times New Roman" w:eastAsia="Times New Roman" w:cs="Times New Roman"/>
                <w:spacing w:val="-2"/>
                <w:sz w:val="21"/>
                <w:szCs w:val="21"/>
              </w:rPr>
              <w:t>”</w:t>
            </w:r>
            <w:r>
              <w:rPr>
                <w:spacing w:val="-2"/>
                <w:sz w:val="21"/>
                <w:szCs w:val="21"/>
              </w:rPr>
              <w:t>是指《建设项目环境影响评价分类管理名录》中所界定的涉及地下水的环境敏</w:t>
            </w:r>
            <w:r>
              <w:rPr>
                <w:spacing w:val="18"/>
                <w:sz w:val="21"/>
                <w:szCs w:val="21"/>
              </w:rPr>
              <w:t xml:space="preserve"> </w:t>
            </w:r>
            <w:r>
              <w:rPr>
                <w:spacing w:val="-2"/>
                <w:sz w:val="21"/>
                <w:szCs w:val="21"/>
              </w:rPr>
              <w:t>感区</w:t>
            </w:r>
          </w:p>
        </w:tc>
      </w:tr>
    </w:tbl>
    <w:p>
      <w:pPr>
        <w:pStyle w:val="2"/>
        <w:rPr>
          <w:sz w:val="21"/>
        </w:rPr>
      </w:pPr>
    </w:p>
    <w:p>
      <w:pPr>
        <w:rPr>
          <w:sz w:val="21"/>
          <w:szCs w:val="21"/>
        </w:rPr>
        <w:sectPr>
          <w:footerReference r:id="rId224" w:type="default"/>
          <w:pgSz w:w="11907" w:h="16839"/>
          <w:pgMar w:top="1123" w:right="1639" w:bottom="1149" w:left="1642" w:header="1108" w:footer="988" w:gutter="0"/>
          <w:cols w:space="720" w:num="1"/>
        </w:sectPr>
      </w:pPr>
    </w:p>
    <w:p>
      <w:pPr>
        <w:pStyle w:val="2"/>
        <w:spacing w:line="414" w:lineRule="auto"/>
        <w:rPr>
          <w:sz w:val="21"/>
        </w:rPr>
      </w:pPr>
    </w:p>
    <w:p>
      <w:pPr>
        <w:spacing w:before="78" w:line="480" w:lineRule="exact"/>
        <w:ind w:left="603"/>
        <w:rPr>
          <w:rFonts w:ascii="宋体" w:hAnsi="宋体" w:eastAsia="宋体" w:cs="宋体"/>
          <w:sz w:val="24"/>
          <w:szCs w:val="24"/>
        </w:rPr>
      </w:pPr>
      <w:r>
        <w:rPr>
          <w:rFonts w:ascii="宋体" w:hAnsi="宋体" w:eastAsia="宋体" w:cs="宋体"/>
          <w:spacing w:val="-3"/>
          <w:position w:val="18"/>
          <w:sz w:val="24"/>
          <w:szCs w:val="24"/>
        </w:rPr>
        <w:t>本项目不涉及集中式饮用水水源准保护区、集中式饮用水水源准保护区</w:t>
      </w:r>
      <w:r>
        <w:rPr>
          <w:rFonts w:ascii="宋体" w:hAnsi="宋体" w:eastAsia="宋体" w:cs="宋体"/>
          <w:spacing w:val="-4"/>
          <w:position w:val="18"/>
          <w:sz w:val="24"/>
          <w:szCs w:val="24"/>
        </w:rPr>
        <w:t>以外</w:t>
      </w:r>
    </w:p>
    <w:p>
      <w:pPr>
        <w:spacing w:before="1" w:line="218" w:lineRule="auto"/>
        <w:ind w:left="141"/>
        <w:rPr>
          <w:rFonts w:ascii="宋体" w:hAnsi="宋体" w:eastAsia="宋体" w:cs="宋体"/>
          <w:sz w:val="24"/>
          <w:szCs w:val="24"/>
        </w:rPr>
      </w:pPr>
      <w:r>
        <w:rPr>
          <w:rFonts w:ascii="宋体" w:hAnsi="宋体" w:eastAsia="宋体" w:cs="宋体"/>
          <w:spacing w:val="-1"/>
          <w:sz w:val="24"/>
          <w:szCs w:val="24"/>
        </w:rPr>
        <w:t>的补给径流等环境敏感区，根据表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3.2-8</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可知，本项目敏感性属于</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G2</w:t>
      </w:r>
      <w:r>
        <w:rPr>
          <w:rFonts w:ascii="宋体" w:hAnsi="宋体" w:eastAsia="宋体" w:cs="宋体"/>
          <w:spacing w:val="-2"/>
          <w:sz w:val="24"/>
          <w:szCs w:val="24"/>
        </w:rPr>
        <w:t>。</w:t>
      </w:r>
    </w:p>
    <w:p>
      <w:pPr>
        <w:spacing w:before="194" w:line="220" w:lineRule="auto"/>
        <w:ind w:left="261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3.2-9      </w:t>
      </w:r>
      <w:r>
        <w:rPr>
          <w:rFonts w:ascii="宋体" w:hAnsi="宋体" w:eastAsia="宋体" w:cs="宋体"/>
          <w:spacing w:val="-1"/>
          <w:sz w:val="24"/>
          <w:szCs w:val="24"/>
          <w14:textOutline w14:w="4354" w14:cap="flat" w14:cmpd="sng">
            <w14:solidFill>
              <w14:srgbClr w14:val="000000"/>
            </w14:solidFill>
            <w14:prstDash w14:val="solid"/>
            <w14:miter w14:val="10"/>
          </w14:textOutline>
        </w:rPr>
        <w:t>包气带防污性能分级</w:t>
      </w:r>
    </w:p>
    <w:p>
      <w:pPr>
        <w:spacing w:line="1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9"/>
        <w:gridCol w:w="7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49" w:type="dxa"/>
            <w:vAlign w:val="top"/>
          </w:tcPr>
          <w:p>
            <w:pPr>
              <w:pStyle w:val="6"/>
              <w:spacing w:before="67" w:line="221" w:lineRule="auto"/>
              <w:ind w:left="316"/>
              <w:rPr>
                <w:sz w:val="21"/>
                <w:szCs w:val="21"/>
              </w:rPr>
            </w:pPr>
            <w:r>
              <w:rPr>
                <w:spacing w:val="-2"/>
                <w:sz w:val="21"/>
                <w:szCs w:val="21"/>
              </w:rPr>
              <w:t>敏感性</w:t>
            </w:r>
          </w:p>
        </w:tc>
        <w:tc>
          <w:tcPr>
            <w:tcW w:w="7284" w:type="dxa"/>
            <w:vAlign w:val="top"/>
          </w:tcPr>
          <w:p>
            <w:pPr>
              <w:pStyle w:val="6"/>
              <w:spacing w:before="67" w:line="221" w:lineRule="auto"/>
              <w:ind w:left="2594"/>
              <w:rPr>
                <w:sz w:val="21"/>
                <w:szCs w:val="21"/>
              </w:rPr>
            </w:pPr>
            <w:r>
              <w:rPr>
                <w:spacing w:val="-1"/>
                <w:sz w:val="21"/>
                <w:szCs w:val="21"/>
              </w:rPr>
              <w:t>包气带岩土的渗透性能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49" w:type="dxa"/>
            <w:vAlign w:val="top"/>
          </w:tcPr>
          <w:p>
            <w:pPr>
              <w:spacing w:before="102"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D3</w:t>
            </w:r>
          </w:p>
        </w:tc>
        <w:tc>
          <w:tcPr>
            <w:tcW w:w="7284" w:type="dxa"/>
            <w:vAlign w:val="top"/>
          </w:tcPr>
          <w:p>
            <w:pPr>
              <w:pStyle w:val="6"/>
              <w:spacing w:before="64" w:line="234" w:lineRule="auto"/>
              <w:ind w:left="1488"/>
              <w:rPr>
                <w:sz w:val="21"/>
                <w:szCs w:val="21"/>
              </w:rPr>
            </w:pPr>
            <w:r>
              <w:rPr>
                <w:rFonts w:ascii="Times New Roman" w:hAnsi="Times New Roman" w:eastAsia="Times New Roman" w:cs="Times New Roman"/>
                <w:spacing w:val="-1"/>
                <w:sz w:val="21"/>
                <w:szCs w:val="21"/>
              </w:rPr>
              <w:t>Mb≥1.0m</w:t>
            </w:r>
            <w:r>
              <w:rPr>
                <w:rFonts w:ascii="Times New Roman" w:hAnsi="Times New Roman" w:eastAsia="Times New Roman" w:cs="Times New Roman"/>
                <w:spacing w:val="-27"/>
                <w:sz w:val="21"/>
                <w:szCs w:val="21"/>
              </w:rPr>
              <w:t xml:space="preserve"> </w:t>
            </w:r>
            <w:r>
              <w:rPr>
                <w:spacing w:val="-1"/>
                <w:sz w:val="21"/>
                <w:szCs w:val="21"/>
              </w:rPr>
              <w:t>，</w:t>
            </w:r>
            <w:r>
              <w:rPr>
                <w:rFonts w:ascii="Times New Roman" w:hAnsi="Times New Roman" w:eastAsia="Times New Roman" w:cs="Times New Roman"/>
                <w:spacing w:val="-1"/>
                <w:sz w:val="21"/>
                <w:szCs w:val="21"/>
              </w:rPr>
              <w:t>K≤1.0×10</w:t>
            </w:r>
            <w:r>
              <w:rPr>
                <w:rFonts w:ascii="Times New Roman" w:hAnsi="Times New Roman" w:eastAsia="Times New Roman" w:cs="Times New Roman"/>
                <w:spacing w:val="-1"/>
                <w:position w:val="6"/>
                <w:sz w:val="13"/>
                <w:szCs w:val="13"/>
              </w:rPr>
              <w:t>-6</w:t>
            </w:r>
            <w:r>
              <w:rPr>
                <w:rFonts w:ascii="Times New Roman" w:hAnsi="Times New Roman" w:eastAsia="Times New Roman" w:cs="Times New Roman"/>
                <w:spacing w:val="-1"/>
                <w:sz w:val="21"/>
                <w:szCs w:val="21"/>
              </w:rPr>
              <w:t>cm/s</w:t>
            </w:r>
            <w:r>
              <w:rPr>
                <w:spacing w:val="-1"/>
                <w:sz w:val="21"/>
                <w:szCs w:val="21"/>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49" w:type="dxa"/>
            <w:vAlign w:val="top"/>
          </w:tcPr>
          <w:p>
            <w:pPr>
              <w:spacing w:before="207"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D2</w:t>
            </w:r>
          </w:p>
        </w:tc>
        <w:tc>
          <w:tcPr>
            <w:tcW w:w="7284" w:type="dxa"/>
            <w:vAlign w:val="top"/>
          </w:tcPr>
          <w:p>
            <w:pPr>
              <w:pStyle w:val="6"/>
              <w:spacing w:before="32" w:line="222" w:lineRule="auto"/>
              <w:ind w:left="1911" w:right="106" w:hanging="1800"/>
              <w:rPr>
                <w:sz w:val="21"/>
                <w:szCs w:val="21"/>
              </w:rPr>
            </w:pPr>
            <w:r>
              <w:rPr>
                <w:rFonts w:ascii="Times New Roman" w:hAnsi="Times New Roman" w:eastAsia="Times New Roman" w:cs="Times New Roman"/>
                <w:spacing w:val="-1"/>
                <w:sz w:val="21"/>
                <w:szCs w:val="21"/>
              </w:rPr>
              <w:t>0.5m≤Mb&lt;1.0m</w:t>
            </w:r>
            <w:r>
              <w:rPr>
                <w:rFonts w:ascii="Times New Roman" w:hAnsi="Times New Roman" w:eastAsia="Times New Roman" w:cs="Times New Roman"/>
                <w:spacing w:val="-21"/>
                <w:sz w:val="21"/>
                <w:szCs w:val="21"/>
              </w:rPr>
              <w:t xml:space="preserve"> </w:t>
            </w:r>
            <w:r>
              <w:rPr>
                <w:spacing w:val="-1"/>
                <w:sz w:val="21"/>
                <w:szCs w:val="21"/>
              </w:rPr>
              <w:t>，</w:t>
            </w:r>
            <w:r>
              <w:rPr>
                <w:rFonts w:ascii="Times New Roman" w:hAnsi="Times New Roman" w:eastAsia="Times New Roman" w:cs="Times New Roman"/>
                <w:spacing w:val="-1"/>
                <w:sz w:val="21"/>
                <w:szCs w:val="21"/>
              </w:rPr>
              <w:t>K≤1.0×10</w:t>
            </w:r>
            <w:r>
              <w:rPr>
                <w:rFonts w:ascii="Times New Roman" w:hAnsi="Times New Roman" w:eastAsia="Times New Roman" w:cs="Times New Roman"/>
                <w:spacing w:val="-1"/>
                <w:position w:val="6"/>
                <w:sz w:val="13"/>
                <w:szCs w:val="13"/>
              </w:rPr>
              <w:t>-6</w:t>
            </w:r>
            <w:r>
              <w:rPr>
                <w:rFonts w:ascii="Times New Roman" w:hAnsi="Times New Roman" w:eastAsia="Times New Roman" w:cs="Times New Roman"/>
                <w:spacing w:val="-1"/>
                <w:sz w:val="21"/>
                <w:szCs w:val="21"/>
              </w:rPr>
              <w:t>cm/s</w:t>
            </w:r>
            <w:r>
              <w:rPr>
                <w:spacing w:val="-1"/>
                <w:sz w:val="21"/>
                <w:szCs w:val="21"/>
              </w:rPr>
              <w:t>，且分布连续、稳定</w:t>
            </w:r>
            <w:r>
              <w:rPr>
                <w:spacing w:val="-51"/>
                <w:sz w:val="21"/>
                <w:szCs w:val="21"/>
              </w:rPr>
              <w:t xml:space="preserve"> </w:t>
            </w:r>
            <w:r>
              <w:rPr>
                <w:rFonts w:ascii="Times New Roman" w:hAnsi="Times New Roman" w:eastAsia="Times New Roman" w:cs="Times New Roman"/>
                <w:spacing w:val="-1"/>
                <w:sz w:val="21"/>
                <w:szCs w:val="21"/>
              </w:rPr>
              <w:t>Mb≥1.0m</w:t>
            </w:r>
            <w:r>
              <w:rPr>
                <w:rFonts w:ascii="Times New Roman" w:hAnsi="Times New Roman" w:eastAsia="Times New Roman" w:cs="Times New Roman"/>
                <w:spacing w:val="-28"/>
                <w:sz w:val="21"/>
                <w:szCs w:val="21"/>
              </w:rPr>
              <w:t xml:space="preserve"> </w:t>
            </w:r>
            <w:r>
              <w:rPr>
                <w:spacing w:val="-1"/>
                <w:sz w:val="21"/>
                <w:szCs w:val="21"/>
              </w:rPr>
              <w:t>，</w:t>
            </w:r>
            <w:r>
              <w:rPr>
                <w:rFonts w:ascii="Times New Roman" w:hAnsi="Times New Roman" w:eastAsia="Times New Roman" w:cs="Times New Roman"/>
                <w:spacing w:val="-1"/>
                <w:sz w:val="21"/>
                <w:szCs w:val="21"/>
              </w:rPr>
              <w:t>1.0×10-</w:t>
            </w:r>
            <w:r>
              <w:rPr>
                <w:rFonts w:ascii="Times New Roman" w:hAnsi="Times New Roman" w:eastAsia="Times New Roman" w:cs="Times New Roman"/>
                <w:spacing w:val="-1"/>
                <w:position w:val="6"/>
                <w:sz w:val="13"/>
                <w:szCs w:val="13"/>
              </w:rPr>
              <w:t>6</w:t>
            </w:r>
            <w:r>
              <w:rPr>
                <w:rFonts w:ascii="Times New Roman" w:hAnsi="Times New Roman" w:eastAsia="Times New Roman" w:cs="Times New Roman"/>
                <w:spacing w:val="-1"/>
                <w:sz w:val="21"/>
                <w:szCs w:val="21"/>
              </w:rPr>
              <w:t>cm/s</w:t>
            </w:r>
            <w:r>
              <w:rPr>
                <w:rFonts w:ascii="Times New Roman" w:hAnsi="Times New Roman" w:eastAsia="Times New Roman" w:cs="Times New Roman"/>
                <w:sz w:val="21"/>
                <w:szCs w:val="21"/>
              </w:rPr>
              <w:t xml:space="preserve"> </w:t>
            </w:r>
            <w:r>
              <w:rPr>
                <w:spacing w:val="-1"/>
                <w:sz w:val="21"/>
                <w:szCs w:val="21"/>
              </w:rPr>
              <w:t>＜</w:t>
            </w:r>
            <w:r>
              <w:rPr>
                <w:rFonts w:ascii="Times New Roman" w:hAnsi="Times New Roman" w:eastAsia="Times New Roman" w:cs="Times New Roman"/>
                <w:spacing w:val="-1"/>
                <w:sz w:val="21"/>
                <w:szCs w:val="21"/>
              </w:rPr>
              <w:t>K≤1.0×10-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1"/>
                <w:szCs w:val="21"/>
              </w:rPr>
              <w:t>cm/s</w:t>
            </w:r>
            <w:r>
              <w:rPr>
                <w:spacing w:val="-1"/>
                <w:sz w:val="21"/>
                <w:szCs w:val="21"/>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49" w:type="dxa"/>
            <w:vAlign w:val="top"/>
          </w:tcPr>
          <w:p>
            <w:pPr>
              <w:spacing w:before="105"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D1</w:t>
            </w:r>
          </w:p>
        </w:tc>
        <w:tc>
          <w:tcPr>
            <w:tcW w:w="7284" w:type="dxa"/>
            <w:vAlign w:val="top"/>
          </w:tcPr>
          <w:p>
            <w:pPr>
              <w:pStyle w:val="6"/>
              <w:spacing w:before="66" w:line="221" w:lineRule="auto"/>
              <w:ind w:left="1836"/>
              <w:rPr>
                <w:sz w:val="21"/>
                <w:szCs w:val="21"/>
              </w:rPr>
            </w:pPr>
            <w:r>
              <w:rPr>
                <w:spacing w:val="-1"/>
                <w:sz w:val="21"/>
                <w:szCs w:val="21"/>
              </w:rPr>
              <w:t>岩（土）层不满足上述</w:t>
            </w:r>
            <w:r>
              <w:rPr>
                <w:rFonts w:ascii="Times New Roman" w:hAnsi="Times New Roman" w:eastAsia="Times New Roman" w:cs="Times New Roman"/>
                <w:spacing w:val="-1"/>
                <w:sz w:val="21"/>
                <w:szCs w:val="21"/>
              </w:rPr>
              <w:t>“D2”</w:t>
            </w:r>
            <w:r>
              <w:rPr>
                <w:spacing w:val="-1"/>
                <w:sz w:val="21"/>
                <w:szCs w:val="21"/>
              </w:rPr>
              <w:t>和</w:t>
            </w:r>
            <w:r>
              <w:rPr>
                <w:rFonts w:ascii="Times New Roman" w:hAnsi="Times New Roman" w:eastAsia="Times New Roman" w:cs="Times New Roman"/>
                <w:spacing w:val="-1"/>
                <w:sz w:val="21"/>
                <w:szCs w:val="21"/>
              </w:rPr>
              <w:t>“D3”</w:t>
            </w:r>
            <w:r>
              <w:rPr>
                <w:spacing w:val="-1"/>
                <w:sz w:val="21"/>
                <w:szCs w:val="21"/>
              </w:rPr>
              <w:t>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33" w:type="dxa"/>
            <w:gridSpan w:val="2"/>
            <w:vAlign w:val="top"/>
          </w:tcPr>
          <w:p>
            <w:pPr>
              <w:pStyle w:val="6"/>
              <w:spacing w:before="67" w:line="221" w:lineRule="auto"/>
              <w:ind w:left="111"/>
              <w:rPr>
                <w:sz w:val="21"/>
                <w:szCs w:val="21"/>
              </w:rPr>
            </w:pPr>
            <w:r>
              <w:rPr>
                <w:rFonts w:ascii="Times New Roman" w:hAnsi="Times New Roman" w:eastAsia="Times New Roman" w:cs="Times New Roman"/>
                <w:spacing w:val="-1"/>
                <w:sz w:val="21"/>
                <w:szCs w:val="21"/>
              </w:rPr>
              <w:t>Mb</w:t>
            </w:r>
            <w:r>
              <w:rPr>
                <w:spacing w:val="-1"/>
                <w:sz w:val="21"/>
                <w:szCs w:val="21"/>
              </w:rPr>
              <w:t>：岩土层单层厚度。</w:t>
            </w:r>
            <w:r>
              <w:rPr>
                <w:rFonts w:ascii="Times New Roman" w:hAnsi="Times New Roman" w:eastAsia="Times New Roman" w:cs="Times New Roman"/>
                <w:spacing w:val="-1"/>
                <w:sz w:val="21"/>
                <w:szCs w:val="21"/>
              </w:rPr>
              <w:t>K</w:t>
            </w:r>
            <w:r>
              <w:rPr>
                <w:spacing w:val="-1"/>
                <w:sz w:val="21"/>
                <w:szCs w:val="21"/>
              </w:rPr>
              <w:t>：渗透系数</w:t>
            </w:r>
          </w:p>
        </w:tc>
      </w:tr>
    </w:tbl>
    <w:p>
      <w:pPr>
        <w:spacing w:before="178" w:line="480" w:lineRule="exact"/>
        <w:ind w:left="602"/>
        <w:rPr>
          <w:rFonts w:ascii="宋体" w:hAnsi="宋体" w:eastAsia="宋体" w:cs="宋体"/>
          <w:sz w:val="24"/>
          <w:szCs w:val="24"/>
        </w:rPr>
      </w:pPr>
      <w:r>
        <w:rPr>
          <w:rFonts w:ascii="宋体" w:hAnsi="宋体" w:eastAsia="宋体" w:cs="宋体"/>
          <w:spacing w:val="-1"/>
          <w:position w:val="17"/>
          <w:sz w:val="24"/>
          <w:szCs w:val="24"/>
        </w:rPr>
        <w:t>根据地下水专题评价，项目区渗透系数</w:t>
      </w:r>
      <w:r>
        <w:rPr>
          <w:rFonts w:ascii="宋体" w:hAnsi="宋体" w:eastAsia="宋体" w:cs="宋体"/>
          <w:spacing w:val="-42"/>
          <w:position w:val="17"/>
          <w:sz w:val="24"/>
          <w:szCs w:val="24"/>
        </w:rPr>
        <w:t xml:space="preserve"> </w:t>
      </w:r>
      <w:r>
        <w:rPr>
          <w:rFonts w:ascii="Times New Roman" w:hAnsi="Times New Roman" w:eastAsia="Times New Roman" w:cs="Times New Roman"/>
          <w:spacing w:val="-1"/>
          <w:position w:val="17"/>
          <w:sz w:val="24"/>
          <w:szCs w:val="24"/>
        </w:rPr>
        <w:t>K</w:t>
      </w:r>
      <w:r>
        <w:rPr>
          <w:rFonts w:ascii="Times New Roman" w:hAnsi="Times New Roman" w:eastAsia="Times New Roman" w:cs="Times New Roman"/>
          <w:spacing w:val="21"/>
          <w:w w:val="101"/>
          <w:position w:val="17"/>
          <w:sz w:val="24"/>
          <w:szCs w:val="24"/>
        </w:rPr>
        <w:t xml:space="preserve"> </w:t>
      </w:r>
      <w:r>
        <w:rPr>
          <w:rFonts w:ascii="宋体" w:hAnsi="宋体" w:eastAsia="宋体" w:cs="宋体"/>
          <w:spacing w:val="-1"/>
          <w:position w:val="17"/>
          <w:sz w:val="24"/>
          <w:szCs w:val="24"/>
        </w:rPr>
        <w:t>为</w:t>
      </w:r>
      <w:r>
        <w:rPr>
          <w:rFonts w:ascii="宋体" w:hAnsi="宋体" w:eastAsia="宋体" w:cs="宋体"/>
          <w:spacing w:val="-44"/>
          <w:position w:val="17"/>
          <w:sz w:val="24"/>
          <w:szCs w:val="24"/>
        </w:rPr>
        <w:t xml:space="preserve"> </w:t>
      </w:r>
      <w:r>
        <w:rPr>
          <w:rFonts w:ascii="Times New Roman" w:hAnsi="Times New Roman" w:eastAsia="Times New Roman" w:cs="Times New Roman"/>
          <w:spacing w:val="-1"/>
          <w:position w:val="17"/>
          <w:sz w:val="24"/>
          <w:szCs w:val="24"/>
        </w:rPr>
        <w:t>4.36</w:t>
      </w: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10</w:t>
      </w:r>
      <w:r>
        <w:rPr>
          <w:rFonts w:ascii="Times New Roman" w:hAnsi="Times New Roman" w:eastAsia="Times New Roman" w:cs="Times New Roman"/>
          <w:spacing w:val="-1"/>
          <w:position w:val="26"/>
          <w:sz w:val="16"/>
          <w:szCs w:val="16"/>
        </w:rPr>
        <w:t>-5</w:t>
      </w:r>
      <w:r>
        <w:rPr>
          <w:rFonts w:ascii="Times New Roman" w:hAnsi="Times New Roman" w:eastAsia="Times New Roman" w:cs="Times New Roman"/>
          <w:spacing w:val="-1"/>
          <w:position w:val="17"/>
          <w:sz w:val="24"/>
          <w:szCs w:val="24"/>
        </w:rPr>
        <w:t>cm/s</w:t>
      </w: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0.0377m/d</w:t>
      </w:r>
      <w:r>
        <w:rPr>
          <w:rFonts w:ascii="宋体" w:hAnsi="宋体" w:eastAsia="宋体" w:cs="宋体"/>
          <w:spacing w:val="-38"/>
          <w:position w:val="17"/>
          <w:sz w:val="24"/>
          <w:szCs w:val="24"/>
        </w:rPr>
        <w:t>），</w:t>
      </w:r>
    </w:p>
    <w:p>
      <w:pPr>
        <w:spacing w:before="1" w:line="219" w:lineRule="auto"/>
        <w:ind w:left="116"/>
        <w:rPr>
          <w:rFonts w:ascii="宋体" w:hAnsi="宋体" w:eastAsia="宋体" w:cs="宋体"/>
          <w:sz w:val="24"/>
          <w:szCs w:val="24"/>
        </w:rPr>
      </w:pPr>
      <w:r>
        <w:rPr>
          <w:rFonts w:ascii="Times New Roman" w:hAnsi="Times New Roman" w:eastAsia="Times New Roman" w:cs="Times New Roman"/>
          <w:spacing w:val="-1"/>
          <w:sz w:val="24"/>
          <w:szCs w:val="24"/>
        </w:rPr>
        <w:t xml:space="preserve">Mb </w:t>
      </w:r>
      <w:r>
        <w:rPr>
          <w:rFonts w:ascii="宋体" w:hAnsi="宋体" w:eastAsia="宋体" w:cs="宋体"/>
          <w:spacing w:val="-1"/>
          <w:sz w:val="24"/>
          <w:szCs w:val="24"/>
        </w:rPr>
        <w:t>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2.5m</w:t>
      </w:r>
      <w:r>
        <w:rPr>
          <w:rFonts w:ascii="宋体" w:hAnsi="宋体" w:eastAsia="宋体" w:cs="宋体"/>
          <w:spacing w:val="-1"/>
          <w:sz w:val="24"/>
          <w:szCs w:val="24"/>
        </w:rPr>
        <w:t>，因此判断包气带防污性能为</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D2</w:t>
      </w:r>
      <w:r>
        <w:rPr>
          <w:rFonts w:ascii="宋体" w:hAnsi="宋体" w:eastAsia="宋体" w:cs="宋体"/>
          <w:spacing w:val="-2"/>
          <w:sz w:val="24"/>
          <w:szCs w:val="24"/>
        </w:rPr>
        <w:t>。</w:t>
      </w:r>
    </w:p>
    <w:p>
      <w:pPr>
        <w:spacing w:before="194" w:line="220" w:lineRule="auto"/>
        <w:ind w:left="237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1"/>
          <w:sz w:val="24"/>
          <w:szCs w:val="24"/>
        </w:rPr>
        <w:t xml:space="preserve">3.2-10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地下水环境敏感程度分级</w:t>
      </w:r>
    </w:p>
    <w:p>
      <w:pPr>
        <w:spacing w:line="1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3"/>
        <w:gridCol w:w="2272"/>
        <w:gridCol w:w="2269"/>
        <w:gridCol w:w="22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13" w:type="dxa"/>
            <w:vMerge w:val="restart"/>
            <w:tcBorders>
              <w:bottom w:val="nil"/>
            </w:tcBorders>
            <w:vAlign w:val="top"/>
          </w:tcPr>
          <w:p>
            <w:pPr>
              <w:pStyle w:val="6"/>
              <w:spacing w:before="242" w:line="221" w:lineRule="auto"/>
              <w:ind w:left="231"/>
              <w:rPr>
                <w:sz w:val="21"/>
                <w:szCs w:val="21"/>
              </w:rPr>
            </w:pPr>
            <w:r>
              <w:rPr>
                <w:spacing w:val="-1"/>
                <w:sz w:val="21"/>
                <w:szCs w:val="21"/>
              </w:rPr>
              <w:t>环境敏感目标</w:t>
            </w:r>
          </w:p>
        </w:tc>
        <w:tc>
          <w:tcPr>
            <w:tcW w:w="6820" w:type="dxa"/>
            <w:gridSpan w:val="3"/>
            <w:vAlign w:val="top"/>
          </w:tcPr>
          <w:p>
            <w:pPr>
              <w:pStyle w:val="6"/>
              <w:spacing w:before="67" w:line="221" w:lineRule="auto"/>
              <w:ind w:left="2572"/>
              <w:rPr>
                <w:sz w:val="21"/>
                <w:szCs w:val="21"/>
              </w:rPr>
            </w:pPr>
            <w:r>
              <w:rPr>
                <w:spacing w:val="-1"/>
                <w:sz w:val="21"/>
                <w:szCs w:val="21"/>
              </w:rPr>
              <w:t>地下水功能敏感性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3" w:type="dxa"/>
            <w:vMerge w:val="continue"/>
            <w:tcBorders>
              <w:top w:val="nil"/>
            </w:tcBorders>
            <w:vAlign w:val="top"/>
          </w:tcPr>
          <w:p>
            <w:pPr>
              <w:rPr>
                <w:rFonts w:ascii="Arial"/>
                <w:sz w:val="21"/>
              </w:rPr>
            </w:pPr>
          </w:p>
        </w:tc>
        <w:tc>
          <w:tcPr>
            <w:tcW w:w="2272" w:type="dxa"/>
            <w:vAlign w:val="top"/>
          </w:tcPr>
          <w:p>
            <w:pPr>
              <w:spacing w:before="104" w:line="187" w:lineRule="auto"/>
              <w:ind w:left="10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G1</w:t>
            </w:r>
          </w:p>
        </w:tc>
        <w:tc>
          <w:tcPr>
            <w:tcW w:w="2269" w:type="dxa"/>
            <w:vAlign w:val="top"/>
          </w:tcPr>
          <w:p>
            <w:pPr>
              <w:spacing w:before="104" w:line="187" w:lineRule="auto"/>
              <w:ind w:left="10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G2</w:t>
            </w:r>
          </w:p>
        </w:tc>
        <w:tc>
          <w:tcPr>
            <w:tcW w:w="2279" w:type="dxa"/>
            <w:vAlign w:val="top"/>
          </w:tcPr>
          <w:p>
            <w:pPr>
              <w:spacing w:before="104" w:line="187" w:lineRule="auto"/>
              <w:ind w:left="10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G3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3" w:type="dxa"/>
            <w:vAlign w:val="top"/>
          </w:tcPr>
          <w:p>
            <w:pPr>
              <w:spacing w:before="106" w:line="187" w:lineRule="auto"/>
              <w:ind w:left="7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D1</w:t>
            </w:r>
          </w:p>
        </w:tc>
        <w:tc>
          <w:tcPr>
            <w:tcW w:w="2272" w:type="dxa"/>
            <w:vAlign w:val="top"/>
          </w:tcPr>
          <w:p>
            <w:pPr>
              <w:spacing w:before="106" w:line="187" w:lineRule="auto"/>
              <w:ind w:left="10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69" w:type="dxa"/>
            <w:vAlign w:val="top"/>
          </w:tcPr>
          <w:p>
            <w:pPr>
              <w:spacing w:before="106"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79" w:type="dxa"/>
            <w:vAlign w:val="top"/>
          </w:tcPr>
          <w:p>
            <w:pPr>
              <w:spacing w:before="106"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3" w:type="dxa"/>
            <w:vAlign w:val="top"/>
          </w:tcPr>
          <w:p>
            <w:pPr>
              <w:spacing w:before="105" w:line="187" w:lineRule="auto"/>
              <w:ind w:left="7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D2</w:t>
            </w:r>
          </w:p>
        </w:tc>
        <w:tc>
          <w:tcPr>
            <w:tcW w:w="2272" w:type="dxa"/>
            <w:vAlign w:val="top"/>
          </w:tcPr>
          <w:p>
            <w:pPr>
              <w:spacing w:before="105" w:line="187" w:lineRule="auto"/>
              <w:ind w:left="10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69" w:type="dxa"/>
            <w:vAlign w:val="top"/>
          </w:tcPr>
          <w:p>
            <w:pPr>
              <w:spacing w:before="105"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c>
          <w:tcPr>
            <w:tcW w:w="2279" w:type="dxa"/>
            <w:vAlign w:val="top"/>
          </w:tcPr>
          <w:p>
            <w:pPr>
              <w:spacing w:before="105"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3" w:type="dxa"/>
            <w:vAlign w:val="top"/>
          </w:tcPr>
          <w:p>
            <w:pPr>
              <w:spacing w:before="105" w:line="187" w:lineRule="auto"/>
              <w:ind w:left="7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D3</w:t>
            </w:r>
          </w:p>
        </w:tc>
        <w:tc>
          <w:tcPr>
            <w:tcW w:w="2272" w:type="dxa"/>
            <w:vAlign w:val="top"/>
          </w:tcPr>
          <w:p>
            <w:pPr>
              <w:spacing w:before="105" w:line="187" w:lineRule="auto"/>
              <w:ind w:left="10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2269" w:type="dxa"/>
            <w:vAlign w:val="top"/>
          </w:tcPr>
          <w:p>
            <w:pPr>
              <w:spacing w:before="105" w:line="187" w:lineRule="auto"/>
              <w:ind w:left="10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p>
        </w:tc>
        <w:tc>
          <w:tcPr>
            <w:tcW w:w="2279" w:type="dxa"/>
            <w:vAlign w:val="top"/>
          </w:tcPr>
          <w:p>
            <w:pPr>
              <w:spacing w:before="105"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p>
        </w:tc>
      </w:tr>
    </w:tbl>
    <w:p>
      <w:pPr>
        <w:spacing w:before="177" w:line="219" w:lineRule="auto"/>
        <w:ind w:left="602"/>
        <w:rPr>
          <w:rFonts w:ascii="宋体" w:hAnsi="宋体" w:eastAsia="宋体" w:cs="宋体"/>
          <w:sz w:val="24"/>
          <w:szCs w:val="24"/>
        </w:rPr>
      </w:pPr>
      <w:r>
        <w:rPr>
          <w:rFonts w:ascii="宋体" w:hAnsi="宋体" w:eastAsia="宋体" w:cs="宋体"/>
          <w:spacing w:val="-2"/>
          <w:sz w:val="24"/>
          <w:szCs w:val="24"/>
        </w:rPr>
        <w:t>根据表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可知，本项目地下水环境敏感程度属于</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E2</w:t>
      </w:r>
      <w:r>
        <w:rPr>
          <w:rFonts w:ascii="宋体" w:hAnsi="宋体" w:eastAsia="宋体" w:cs="宋体"/>
          <w:spacing w:val="-2"/>
          <w:sz w:val="24"/>
          <w:szCs w:val="24"/>
        </w:rPr>
        <w:t>。</w:t>
      </w:r>
    </w:p>
    <w:p>
      <w:pPr>
        <w:spacing w:before="195" w:line="220" w:lineRule="auto"/>
        <w:ind w:left="116"/>
        <w:rPr>
          <w:rFonts w:ascii="宋体" w:hAnsi="宋体" w:eastAsia="宋体" w:cs="宋体"/>
          <w:sz w:val="24"/>
          <w:szCs w:val="24"/>
        </w:rPr>
      </w:pPr>
      <w:bookmarkStart w:id="46" w:name="bookmark47"/>
      <w:bookmarkEnd w:id="46"/>
      <w:r>
        <w:rPr>
          <w:rFonts w:ascii="Times New Roman" w:hAnsi="Times New Roman" w:eastAsia="Times New Roman" w:cs="Times New Roman"/>
          <w:b/>
          <w:bCs/>
          <w:sz w:val="24"/>
          <w:szCs w:val="24"/>
        </w:rPr>
        <w:t xml:space="preserve">3.3 </w:t>
      </w:r>
      <w:r>
        <w:rPr>
          <w:rFonts w:ascii="宋体" w:hAnsi="宋体" w:eastAsia="宋体" w:cs="宋体"/>
          <w:sz w:val="24"/>
          <w:szCs w:val="24"/>
          <w14:textOutline w14:w="4354" w14:cap="flat" w14:cmpd="sng">
            <w14:solidFill>
              <w14:srgbClr w14:val="000000"/>
            </w14:solidFill>
            <w14:prstDash w14:val="solid"/>
            <w14:miter w14:val="10"/>
          </w14:textOutline>
        </w:rPr>
        <w:t>项目环境风险潜势判断</w:t>
      </w:r>
    </w:p>
    <w:p>
      <w:pPr>
        <w:spacing w:before="196" w:line="369" w:lineRule="auto"/>
        <w:ind w:left="121" w:right="111" w:firstLine="480"/>
        <w:jc w:val="both"/>
        <w:rPr>
          <w:rFonts w:ascii="宋体" w:hAnsi="宋体" w:eastAsia="宋体" w:cs="宋体"/>
          <w:sz w:val="24"/>
          <w:szCs w:val="24"/>
        </w:rPr>
      </w:pPr>
      <w:r>
        <w:rPr>
          <w:rFonts w:ascii="宋体" w:hAnsi="宋体" w:eastAsia="宋体" w:cs="宋体"/>
          <w:spacing w:val="-6"/>
          <w:sz w:val="24"/>
          <w:szCs w:val="24"/>
        </w:rPr>
        <w:t xml:space="preserve">环境风险潜势划分为 </w:t>
      </w:r>
      <w:r>
        <w:rPr>
          <w:rFonts w:ascii="Times New Roman" w:hAnsi="Times New Roman" w:eastAsia="Times New Roman" w:cs="Times New Roman"/>
          <w:spacing w:val="-6"/>
          <w:sz w:val="24"/>
          <w:szCs w:val="24"/>
        </w:rPr>
        <w:t>Ⅰ</w:t>
      </w:r>
      <w:r>
        <w:rPr>
          <w:rFonts w:ascii="宋体" w:hAnsi="宋体" w:eastAsia="宋体" w:cs="宋体"/>
          <w:spacing w:val="-6"/>
          <w:sz w:val="24"/>
          <w:szCs w:val="24"/>
        </w:rPr>
        <w:t>、</w:t>
      </w:r>
      <w:r>
        <w:rPr>
          <w:rFonts w:ascii="Times New Roman" w:hAnsi="Times New Roman" w:eastAsia="Times New Roman" w:cs="Times New Roman"/>
          <w:spacing w:val="-6"/>
          <w:sz w:val="24"/>
          <w:szCs w:val="24"/>
        </w:rPr>
        <w:t>Ⅱ</w:t>
      </w:r>
      <w:r>
        <w:rPr>
          <w:rFonts w:ascii="宋体" w:hAnsi="宋体" w:eastAsia="宋体" w:cs="宋体"/>
          <w:spacing w:val="-6"/>
          <w:sz w:val="24"/>
          <w:szCs w:val="24"/>
        </w:rPr>
        <w:t>、</w:t>
      </w:r>
      <w:r>
        <w:rPr>
          <w:rFonts w:ascii="Times New Roman" w:hAnsi="Times New Roman" w:eastAsia="Times New Roman" w:cs="Times New Roman"/>
          <w:spacing w:val="-6"/>
          <w:sz w:val="24"/>
          <w:szCs w:val="24"/>
        </w:rPr>
        <w:t>Ⅲ</w:t>
      </w:r>
      <w:r>
        <w:rPr>
          <w:rFonts w:ascii="宋体" w:hAnsi="宋体" w:eastAsia="宋体" w:cs="宋体"/>
          <w:spacing w:val="-6"/>
          <w:sz w:val="24"/>
          <w:szCs w:val="24"/>
        </w:rPr>
        <w:t>、</w:t>
      </w:r>
      <w:r>
        <w:rPr>
          <w:rFonts w:ascii="Times New Roman" w:hAnsi="Times New Roman" w:eastAsia="Times New Roman" w:cs="Times New Roman"/>
          <w:spacing w:val="-6"/>
          <w:sz w:val="24"/>
          <w:szCs w:val="24"/>
        </w:rPr>
        <w:t>Ⅳ</w:t>
      </w:r>
      <w:r>
        <w:rPr>
          <w:rFonts w:ascii="宋体" w:hAnsi="宋体" w:eastAsia="宋体" w:cs="宋体"/>
          <w:spacing w:val="-6"/>
          <w:sz w:val="24"/>
          <w:szCs w:val="24"/>
        </w:rPr>
        <w:t>、</w:t>
      </w:r>
      <w:r>
        <w:rPr>
          <w:rFonts w:ascii="Times New Roman" w:hAnsi="Times New Roman" w:eastAsia="Times New Roman" w:cs="Times New Roman"/>
          <w:spacing w:val="-6"/>
          <w:sz w:val="24"/>
          <w:szCs w:val="24"/>
        </w:rPr>
        <w:t>Ⅳ+</w:t>
      </w:r>
      <w:r>
        <w:rPr>
          <w:rFonts w:ascii="宋体" w:hAnsi="宋体" w:eastAsia="宋体" w:cs="宋体"/>
          <w:spacing w:val="-6"/>
          <w:sz w:val="24"/>
          <w:szCs w:val="24"/>
        </w:rPr>
        <w:t>级，</w:t>
      </w:r>
      <w:r>
        <w:rPr>
          <w:rFonts w:ascii="宋体" w:hAnsi="宋体" w:eastAsia="宋体" w:cs="宋体"/>
          <w:spacing w:val="-34"/>
          <w:sz w:val="24"/>
          <w:szCs w:val="24"/>
        </w:rPr>
        <w:t xml:space="preserve"> </w:t>
      </w:r>
      <w:r>
        <w:rPr>
          <w:rFonts w:ascii="宋体" w:hAnsi="宋体" w:eastAsia="宋体" w:cs="宋体"/>
          <w:spacing w:val="-6"/>
          <w:sz w:val="24"/>
          <w:szCs w:val="24"/>
        </w:rPr>
        <w:t>根据项目涉及的物质和工艺系</w:t>
      </w:r>
      <w:r>
        <w:rPr>
          <w:rFonts w:ascii="宋体" w:hAnsi="宋体" w:eastAsia="宋体" w:cs="宋体"/>
          <w:sz w:val="24"/>
          <w:szCs w:val="24"/>
        </w:rPr>
        <w:t xml:space="preserve"> </w:t>
      </w:r>
      <w:r>
        <w:rPr>
          <w:rFonts w:ascii="宋体" w:hAnsi="宋体" w:eastAsia="宋体" w:cs="宋体"/>
          <w:spacing w:val="-10"/>
          <w:sz w:val="24"/>
          <w:szCs w:val="24"/>
        </w:rPr>
        <w:t>统的危险性及其所在地的环境敏感程度，</w:t>
      </w:r>
      <w:r>
        <w:rPr>
          <w:rFonts w:ascii="宋体" w:hAnsi="宋体" w:eastAsia="宋体" w:cs="宋体"/>
          <w:spacing w:val="26"/>
          <w:sz w:val="24"/>
          <w:szCs w:val="24"/>
        </w:rPr>
        <w:t xml:space="preserve"> </w:t>
      </w:r>
      <w:r>
        <w:rPr>
          <w:rFonts w:ascii="宋体" w:hAnsi="宋体" w:eastAsia="宋体" w:cs="宋体"/>
          <w:spacing w:val="-10"/>
          <w:sz w:val="24"/>
          <w:szCs w:val="24"/>
        </w:rPr>
        <w:t>结合事故情形下环境影响途径， 对</w:t>
      </w:r>
      <w:r>
        <w:rPr>
          <w:rFonts w:ascii="宋体" w:hAnsi="宋体" w:eastAsia="宋体" w:cs="宋体"/>
          <w:spacing w:val="-11"/>
          <w:sz w:val="24"/>
          <w:szCs w:val="24"/>
        </w:rPr>
        <w:t>项目</w:t>
      </w:r>
      <w:r>
        <w:rPr>
          <w:rFonts w:ascii="宋体" w:hAnsi="宋体" w:eastAsia="宋体" w:cs="宋体"/>
          <w:sz w:val="24"/>
          <w:szCs w:val="24"/>
        </w:rPr>
        <w:t xml:space="preserve"> </w:t>
      </w:r>
      <w:r>
        <w:rPr>
          <w:rFonts w:ascii="宋体" w:hAnsi="宋体" w:eastAsia="宋体" w:cs="宋体"/>
          <w:spacing w:val="-2"/>
          <w:sz w:val="24"/>
          <w:szCs w:val="24"/>
        </w:rPr>
        <w:t>潜在环境危害程度进行概化分析，</w:t>
      </w:r>
      <w:r>
        <w:rPr>
          <w:rFonts w:ascii="宋体" w:hAnsi="宋体" w:eastAsia="宋体" w:cs="宋体"/>
          <w:spacing w:val="101"/>
          <w:sz w:val="24"/>
          <w:szCs w:val="24"/>
        </w:rPr>
        <w:t xml:space="preserve"> </w:t>
      </w:r>
      <w:r>
        <w:rPr>
          <w:rFonts w:ascii="宋体" w:hAnsi="宋体" w:eastAsia="宋体" w:cs="宋体"/>
          <w:spacing w:val="-2"/>
          <w:sz w:val="24"/>
          <w:szCs w:val="24"/>
        </w:rPr>
        <w:t>确定风险潜势</w:t>
      </w:r>
      <w:r>
        <w:rPr>
          <w:rFonts w:ascii="宋体" w:hAnsi="宋体" w:eastAsia="宋体" w:cs="宋体"/>
          <w:spacing w:val="-3"/>
          <w:sz w:val="24"/>
          <w:szCs w:val="24"/>
        </w:rPr>
        <w:t>。建设项目环境风险潜势划分</w:t>
      </w:r>
    </w:p>
    <w:p>
      <w:pPr>
        <w:spacing w:before="1" w:line="218" w:lineRule="auto"/>
        <w:ind w:left="124"/>
        <w:rPr>
          <w:rFonts w:ascii="宋体" w:hAnsi="宋体" w:eastAsia="宋体" w:cs="宋体"/>
          <w:sz w:val="24"/>
          <w:szCs w:val="24"/>
        </w:rPr>
      </w:pPr>
      <w:r>
        <w:rPr>
          <w:rFonts w:ascii="宋体" w:hAnsi="宋体" w:eastAsia="宋体" w:cs="宋体"/>
          <w:spacing w:val="-11"/>
          <w:sz w:val="24"/>
          <w:szCs w:val="24"/>
        </w:rPr>
        <w:t>依据如下：</w:t>
      </w:r>
    </w:p>
    <w:p>
      <w:pPr>
        <w:spacing w:before="195" w:line="220" w:lineRule="auto"/>
        <w:ind w:left="2309"/>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5"/>
          <w:sz w:val="24"/>
          <w:szCs w:val="24"/>
        </w:rPr>
        <w:t xml:space="preserve"> </w:t>
      </w:r>
      <w:r>
        <w:rPr>
          <w:rFonts w:ascii="Times New Roman" w:hAnsi="Times New Roman" w:eastAsia="Times New Roman" w:cs="Times New Roman"/>
          <w:b/>
          <w:bCs/>
          <w:spacing w:val="-1"/>
          <w:sz w:val="24"/>
          <w:szCs w:val="24"/>
        </w:rPr>
        <w:t xml:space="preserve">3.3-1    </w:t>
      </w:r>
      <w:r>
        <w:rPr>
          <w:rFonts w:ascii="宋体" w:hAnsi="宋体" w:eastAsia="宋体" w:cs="宋体"/>
          <w:spacing w:val="-1"/>
          <w:sz w:val="24"/>
          <w:szCs w:val="24"/>
          <w14:textOutline w14:w="4354" w14:cap="flat" w14:cmpd="sng">
            <w14:solidFill>
              <w14:srgbClr w14:val="000000"/>
            </w14:solidFill>
            <w14:prstDash w14:val="solid"/>
            <w14:miter w14:val="10"/>
          </w14:textOutline>
        </w:rPr>
        <w:t>建设项目环境风险潜势划分</w:t>
      </w:r>
    </w:p>
    <w:p>
      <w:pPr>
        <w:spacing w:line="1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7"/>
        <w:gridCol w:w="1598"/>
        <w:gridCol w:w="1596"/>
        <w:gridCol w:w="1597"/>
        <w:gridCol w:w="16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7" w:type="dxa"/>
            <w:vMerge w:val="restart"/>
            <w:tcBorders>
              <w:bottom w:val="nil"/>
            </w:tcBorders>
            <w:vAlign w:val="top"/>
          </w:tcPr>
          <w:p>
            <w:pPr>
              <w:pStyle w:val="6"/>
              <w:spacing w:before="242" w:line="221" w:lineRule="auto"/>
              <w:ind w:left="168"/>
              <w:rPr>
                <w:sz w:val="21"/>
                <w:szCs w:val="21"/>
              </w:rPr>
            </w:pPr>
            <w:r>
              <w:rPr>
                <w:spacing w:val="-1"/>
                <w:sz w:val="21"/>
                <w:szCs w:val="21"/>
              </w:rPr>
              <w:t>环境敏感程度（</w:t>
            </w:r>
            <w:r>
              <w:rPr>
                <w:rFonts w:ascii="Times New Roman" w:hAnsi="Times New Roman" w:eastAsia="Times New Roman" w:cs="Times New Roman"/>
                <w:spacing w:val="-1"/>
                <w:sz w:val="21"/>
                <w:szCs w:val="21"/>
              </w:rPr>
              <w:t>E</w:t>
            </w:r>
            <w:r>
              <w:rPr>
                <w:spacing w:val="-1"/>
                <w:sz w:val="21"/>
                <w:szCs w:val="21"/>
              </w:rPr>
              <w:t>）</w:t>
            </w:r>
          </w:p>
        </w:tc>
        <w:tc>
          <w:tcPr>
            <w:tcW w:w="6396" w:type="dxa"/>
            <w:gridSpan w:val="4"/>
            <w:vAlign w:val="top"/>
          </w:tcPr>
          <w:p>
            <w:pPr>
              <w:pStyle w:val="6"/>
              <w:spacing w:before="68" w:line="221" w:lineRule="auto"/>
              <w:ind w:left="1675"/>
              <w:rPr>
                <w:sz w:val="21"/>
                <w:szCs w:val="21"/>
              </w:rPr>
            </w:pPr>
            <w:r>
              <w:rPr>
                <w:spacing w:val="-1"/>
                <w:sz w:val="21"/>
                <w:szCs w:val="21"/>
              </w:rPr>
              <w:t>危险物质及工艺系统危险性（</w:t>
            </w:r>
            <w:r>
              <w:rPr>
                <w:rFonts w:ascii="Times New Roman" w:hAnsi="Times New Roman" w:eastAsia="Times New Roman" w:cs="Times New Roman"/>
                <w:spacing w:val="-1"/>
                <w:sz w:val="21"/>
                <w:szCs w:val="21"/>
              </w:rPr>
              <w:t>P</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7" w:type="dxa"/>
            <w:vMerge w:val="continue"/>
            <w:tcBorders>
              <w:top w:val="nil"/>
            </w:tcBorders>
            <w:vAlign w:val="top"/>
          </w:tcPr>
          <w:p>
            <w:pPr>
              <w:rPr>
                <w:rFonts w:ascii="Arial"/>
                <w:sz w:val="21"/>
              </w:rPr>
            </w:pPr>
          </w:p>
        </w:tc>
        <w:tc>
          <w:tcPr>
            <w:tcW w:w="1598" w:type="dxa"/>
            <w:vAlign w:val="top"/>
          </w:tcPr>
          <w:p>
            <w:pPr>
              <w:pStyle w:val="6"/>
              <w:spacing w:before="63" w:line="221" w:lineRule="auto"/>
              <w:ind w:right="3"/>
              <w:jc w:val="right"/>
              <w:rPr>
                <w:sz w:val="21"/>
                <w:szCs w:val="21"/>
              </w:rPr>
            </w:pPr>
            <w:r>
              <w:rPr>
                <w:spacing w:val="-1"/>
                <w:sz w:val="21"/>
                <w:szCs w:val="21"/>
              </w:rPr>
              <w:t>极高危害（</w:t>
            </w:r>
            <w:r>
              <w:rPr>
                <w:rFonts w:ascii="Times New Roman" w:hAnsi="Times New Roman" w:eastAsia="Times New Roman" w:cs="Times New Roman"/>
                <w:spacing w:val="-1"/>
                <w:sz w:val="21"/>
                <w:szCs w:val="21"/>
              </w:rPr>
              <w:t>P1</w:t>
            </w:r>
            <w:r>
              <w:rPr>
                <w:spacing w:val="-1"/>
                <w:sz w:val="21"/>
                <w:szCs w:val="21"/>
              </w:rPr>
              <w:t>）</w:t>
            </w:r>
          </w:p>
        </w:tc>
        <w:tc>
          <w:tcPr>
            <w:tcW w:w="1596" w:type="dxa"/>
            <w:vAlign w:val="top"/>
          </w:tcPr>
          <w:p>
            <w:pPr>
              <w:pStyle w:val="6"/>
              <w:spacing w:before="63" w:line="221" w:lineRule="auto"/>
              <w:ind w:right="3"/>
              <w:jc w:val="right"/>
              <w:rPr>
                <w:sz w:val="21"/>
                <w:szCs w:val="21"/>
              </w:rPr>
            </w:pPr>
            <w:r>
              <w:rPr>
                <w:spacing w:val="-2"/>
                <w:sz w:val="21"/>
                <w:szCs w:val="21"/>
              </w:rPr>
              <w:t>高度危害（</w:t>
            </w:r>
            <w:r>
              <w:rPr>
                <w:rFonts w:ascii="Times New Roman" w:hAnsi="Times New Roman" w:eastAsia="Times New Roman" w:cs="Times New Roman"/>
                <w:spacing w:val="-2"/>
                <w:sz w:val="21"/>
                <w:szCs w:val="21"/>
              </w:rPr>
              <w:t>P2</w:t>
            </w:r>
            <w:r>
              <w:rPr>
                <w:spacing w:val="-2"/>
                <w:sz w:val="21"/>
                <w:szCs w:val="21"/>
              </w:rPr>
              <w:t>）</w:t>
            </w:r>
          </w:p>
        </w:tc>
        <w:tc>
          <w:tcPr>
            <w:tcW w:w="1597" w:type="dxa"/>
            <w:vAlign w:val="top"/>
          </w:tcPr>
          <w:p>
            <w:pPr>
              <w:pStyle w:val="6"/>
              <w:spacing w:before="64" w:line="221" w:lineRule="auto"/>
              <w:ind w:right="1"/>
              <w:jc w:val="right"/>
              <w:rPr>
                <w:sz w:val="21"/>
                <w:szCs w:val="21"/>
              </w:rPr>
            </w:pPr>
            <w:r>
              <w:rPr>
                <w:spacing w:val="-4"/>
                <w:sz w:val="21"/>
                <w:szCs w:val="21"/>
              </w:rPr>
              <w:t>中度危害（</w:t>
            </w:r>
            <w:r>
              <w:rPr>
                <w:rFonts w:ascii="Times New Roman" w:hAnsi="Times New Roman" w:eastAsia="Times New Roman" w:cs="Times New Roman"/>
                <w:spacing w:val="-4"/>
                <w:sz w:val="21"/>
                <w:szCs w:val="21"/>
              </w:rPr>
              <w:t>P3</w:t>
            </w:r>
            <w:r>
              <w:rPr>
                <w:spacing w:val="-4"/>
                <w:sz w:val="21"/>
                <w:szCs w:val="21"/>
              </w:rPr>
              <w:t>）</w:t>
            </w:r>
          </w:p>
        </w:tc>
        <w:tc>
          <w:tcPr>
            <w:tcW w:w="1605" w:type="dxa"/>
            <w:shd w:val="clear" w:color="auto" w:fill="E5E5E5"/>
            <w:vAlign w:val="top"/>
          </w:tcPr>
          <w:p>
            <w:pPr>
              <w:pStyle w:val="6"/>
              <w:spacing w:before="63" w:line="221" w:lineRule="auto"/>
              <w:ind w:right="7"/>
              <w:jc w:val="right"/>
              <w:rPr>
                <w:sz w:val="21"/>
                <w:szCs w:val="21"/>
              </w:rPr>
            </w:pPr>
            <w:r>
              <w:rPr>
                <w:spacing w:val="-1"/>
                <w:sz w:val="21"/>
                <w:szCs w:val="21"/>
              </w:rPr>
              <w:t>轻度危害（</w:t>
            </w:r>
            <w:r>
              <w:rPr>
                <w:rFonts w:ascii="Times New Roman" w:hAnsi="Times New Roman" w:eastAsia="Times New Roman" w:cs="Times New Roman"/>
                <w:spacing w:val="-1"/>
                <w:sz w:val="21"/>
                <w:szCs w:val="21"/>
              </w:rPr>
              <w:t>P4</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7" w:type="dxa"/>
            <w:vAlign w:val="top"/>
          </w:tcPr>
          <w:p>
            <w:pPr>
              <w:pStyle w:val="6"/>
              <w:spacing w:before="65" w:line="221" w:lineRule="auto"/>
              <w:jc w:val="right"/>
              <w:rPr>
                <w:sz w:val="21"/>
                <w:szCs w:val="21"/>
              </w:rPr>
            </w:pPr>
            <w:r>
              <w:rPr>
                <w:spacing w:val="-11"/>
                <w:sz w:val="21"/>
                <w:szCs w:val="21"/>
              </w:rPr>
              <w:t>环境高度敏感区（</w:t>
            </w:r>
            <w:r>
              <w:rPr>
                <w:rFonts w:ascii="Times New Roman" w:hAnsi="Times New Roman" w:eastAsia="Times New Roman" w:cs="Times New Roman"/>
                <w:spacing w:val="-11"/>
                <w:sz w:val="21"/>
                <w:szCs w:val="21"/>
              </w:rPr>
              <w:t>E1</w:t>
            </w:r>
            <w:r>
              <w:rPr>
                <w:spacing w:val="-11"/>
                <w:sz w:val="21"/>
                <w:szCs w:val="21"/>
              </w:rPr>
              <w:t>）</w:t>
            </w:r>
          </w:p>
        </w:tc>
        <w:tc>
          <w:tcPr>
            <w:tcW w:w="1598" w:type="dxa"/>
            <w:vAlign w:val="top"/>
          </w:tcPr>
          <w:p>
            <w:pPr>
              <w:spacing w:before="100" w:line="230" w:lineRule="auto"/>
              <w:ind w:left="6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Ⅳ+</w:t>
            </w:r>
          </w:p>
        </w:tc>
        <w:tc>
          <w:tcPr>
            <w:tcW w:w="1596" w:type="dxa"/>
            <w:vAlign w:val="top"/>
          </w:tcPr>
          <w:p>
            <w:pPr>
              <w:spacing w:before="105" w:line="186" w:lineRule="auto"/>
              <w:ind w:left="689"/>
              <w:rPr>
                <w:rFonts w:ascii="Times New Roman" w:hAnsi="Times New Roman" w:eastAsia="Times New Roman" w:cs="Times New Roman"/>
                <w:sz w:val="21"/>
                <w:szCs w:val="21"/>
              </w:rPr>
            </w:pPr>
            <w:r>
              <w:rPr>
                <w:rFonts w:ascii="Times New Roman" w:hAnsi="Times New Roman" w:eastAsia="Times New Roman" w:cs="Times New Roman"/>
                <w:sz w:val="21"/>
                <w:szCs w:val="21"/>
              </w:rPr>
              <w:t>Ⅳ</w:t>
            </w:r>
          </w:p>
        </w:tc>
        <w:tc>
          <w:tcPr>
            <w:tcW w:w="1597" w:type="dxa"/>
            <w:vAlign w:val="top"/>
          </w:tcPr>
          <w:p>
            <w:pPr>
              <w:spacing w:before="105" w:line="186" w:lineRule="auto"/>
              <w:ind w:left="699"/>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c>
          <w:tcPr>
            <w:tcW w:w="1605" w:type="dxa"/>
            <w:vAlign w:val="top"/>
          </w:tcPr>
          <w:p>
            <w:pPr>
              <w:spacing w:before="105" w:line="186" w:lineRule="auto"/>
              <w:ind w:left="705"/>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7" w:type="dxa"/>
            <w:vAlign w:val="top"/>
          </w:tcPr>
          <w:p>
            <w:pPr>
              <w:pStyle w:val="6"/>
              <w:spacing w:before="68" w:line="221" w:lineRule="auto"/>
              <w:jc w:val="right"/>
              <w:rPr>
                <w:sz w:val="21"/>
                <w:szCs w:val="21"/>
              </w:rPr>
            </w:pPr>
            <w:r>
              <w:rPr>
                <w:spacing w:val="-11"/>
                <w:sz w:val="21"/>
                <w:szCs w:val="21"/>
              </w:rPr>
              <w:t>环境中度敏感区（</w:t>
            </w:r>
            <w:r>
              <w:rPr>
                <w:rFonts w:ascii="Times New Roman" w:hAnsi="Times New Roman" w:eastAsia="Times New Roman" w:cs="Times New Roman"/>
                <w:spacing w:val="-11"/>
                <w:sz w:val="21"/>
                <w:szCs w:val="21"/>
              </w:rPr>
              <w:t>E2</w:t>
            </w:r>
            <w:r>
              <w:rPr>
                <w:spacing w:val="-11"/>
                <w:sz w:val="21"/>
                <w:szCs w:val="21"/>
              </w:rPr>
              <w:t>）</w:t>
            </w:r>
          </w:p>
        </w:tc>
        <w:tc>
          <w:tcPr>
            <w:tcW w:w="1598" w:type="dxa"/>
            <w:vAlign w:val="top"/>
          </w:tcPr>
          <w:p>
            <w:pPr>
              <w:spacing w:before="108" w:line="186" w:lineRule="auto"/>
              <w:ind w:left="688"/>
              <w:rPr>
                <w:rFonts w:ascii="Times New Roman" w:hAnsi="Times New Roman" w:eastAsia="Times New Roman" w:cs="Times New Roman"/>
                <w:sz w:val="21"/>
                <w:szCs w:val="21"/>
              </w:rPr>
            </w:pPr>
            <w:r>
              <w:rPr>
                <w:rFonts w:ascii="Times New Roman" w:hAnsi="Times New Roman" w:eastAsia="Times New Roman" w:cs="Times New Roman"/>
                <w:sz w:val="21"/>
                <w:szCs w:val="21"/>
              </w:rPr>
              <w:t>Ⅳ</w:t>
            </w:r>
          </w:p>
        </w:tc>
        <w:tc>
          <w:tcPr>
            <w:tcW w:w="1596" w:type="dxa"/>
            <w:vAlign w:val="top"/>
          </w:tcPr>
          <w:p>
            <w:pPr>
              <w:spacing w:before="108" w:line="186" w:lineRule="auto"/>
              <w:ind w:left="698"/>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c>
          <w:tcPr>
            <w:tcW w:w="1597" w:type="dxa"/>
            <w:vAlign w:val="top"/>
          </w:tcPr>
          <w:p>
            <w:pPr>
              <w:spacing w:before="108" w:line="186" w:lineRule="auto"/>
              <w:ind w:left="699"/>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c>
          <w:tcPr>
            <w:tcW w:w="1605" w:type="dxa"/>
            <w:vAlign w:val="top"/>
          </w:tcPr>
          <w:p>
            <w:pPr>
              <w:spacing w:before="108" w:line="186" w:lineRule="auto"/>
              <w:ind w:left="736"/>
              <w:rPr>
                <w:rFonts w:ascii="Times New Roman" w:hAnsi="Times New Roman" w:eastAsia="Times New Roman" w:cs="Times New Roman"/>
                <w:sz w:val="21"/>
                <w:szCs w:val="21"/>
              </w:rPr>
            </w:pPr>
            <w:r>
              <w:rPr>
                <w:rFonts w:ascii="Times New Roman" w:hAnsi="Times New Roman" w:eastAsia="Times New Roman" w:cs="Times New Roman"/>
                <w:sz w:val="21"/>
                <w:szCs w:val="21"/>
              </w:rPr>
              <w:t>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7" w:type="dxa"/>
            <w:vAlign w:val="top"/>
          </w:tcPr>
          <w:p>
            <w:pPr>
              <w:pStyle w:val="6"/>
              <w:spacing w:before="69" w:line="221" w:lineRule="auto"/>
              <w:jc w:val="right"/>
              <w:rPr>
                <w:sz w:val="21"/>
                <w:szCs w:val="21"/>
              </w:rPr>
            </w:pPr>
            <w:r>
              <w:rPr>
                <w:spacing w:val="-11"/>
                <w:sz w:val="21"/>
                <w:szCs w:val="21"/>
              </w:rPr>
              <w:t>环境低度敏感区（</w:t>
            </w:r>
            <w:r>
              <w:rPr>
                <w:rFonts w:ascii="Times New Roman" w:hAnsi="Times New Roman" w:eastAsia="Times New Roman" w:cs="Times New Roman"/>
                <w:spacing w:val="-11"/>
                <w:sz w:val="21"/>
                <w:szCs w:val="21"/>
              </w:rPr>
              <w:t>E3</w:t>
            </w:r>
            <w:r>
              <w:rPr>
                <w:spacing w:val="-11"/>
                <w:sz w:val="21"/>
                <w:szCs w:val="21"/>
              </w:rPr>
              <w:t>）</w:t>
            </w:r>
          </w:p>
        </w:tc>
        <w:tc>
          <w:tcPr>
            <w:tcW w:w="1598" w:type="dxa"/>
            <w:vAlign w:val="top"/>
          </w:tcPr>
          <w:p>
            <w:pPr>
              <w:spacing w:before="109" w:line="186" w:lineRule="auto"/>
              <w:ind w:left="698"/>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c>
          <w:tcPr>
            <w:tcW w:w="1596" w:type="dxa"/>
            <w:vAlign w:val="top"/>
          </w:tcPr>
          <w:p>
            <w:pPr>
              <w:spacing w:before="109" w:line="186" w:lineRule="auto"/>
              <w:ind w:left="698"/>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c>
          <w:tcPr>
            <w:tcW w:w="1597" w:type="dxa"/>
            <w:vAlign w:val="top"/>
          </w:tcPr>
          <w:p>
            <w:pPr>
              <w:spacing w:before="109" w:line="186" w:lineRule="auto"/>
              <w:ind w:left="732"/>
              <w:rPr>
                <w:rFonts w:ascii="Times New Roman" w:hAnsi="Times New Roman" w:eastAsia="Times New Roman" w:cs="Times New Roman"/>
                <w:sz w:val="21"/>
                <w:szCs w:val="21"/>
              </w:rPr>
            </w:pPr>
            <w:r>
              <w:rPr>
                <w:rFonts w:ascii="Times New Roman" w:hAnsi="Times New Roman" w:eastAsia="Times New Roman" w:cs="Times New Roman"/>
                <w:sz w:val="21"/>
                <w:szCs w:val="21"/>
              </w:rPr>
              <w:t>Ⅱ</w:t>
            </w:r>
          </w:p>
        </w:tc>
        <w:tc>
          <w:tcPr>
            <w:tcW w:w="1605" w:type="dxa"/>
            <w:vAlign w:val="top"/>
          </w:tcPr>
          <w:p>
            <w:pPr>
              <w:spacing w:before="109" w:line="186" w:lineRule="auto"/>
              <w:ind w:left="770"/>
              <w:rPr>
                <w:rFonts w:ascii="Times New Roman" w:hAnsi="Times New Roman" w:eastAsia="Times New Roman" w:cs="Times New Roman"/>
                <w:sz w:val="21"/>
                <w:szCs w:val="21"/>
              </w:rPr>
            </w:pPr>
            <w:r>
              <w:rPr>
                <w:rFonts w:ascii="Times New Roman" w:hAnsi="Times New Roman" w:eastAsia="Times New Roman" w:cs="Times New Roman"/>
                <w:sz w:val="21"/>
                <w:szCs w:val="21"/>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33" w:type="dxa"/>
            <w:gridSpan w:val="5"/>
            <w:vAlign w:val="top"/>
          </w:tcPr>
          <w:p>
            <w:pPr>
              <w:pStyle w:val="6"/>
              <w:spacing w:before="68" w:line="234" w:lineRule="auto"/>
              <w:ind w:left="116"/>
              <w:rPr>
                <w:sz w:val="21"/>
                <w:szCs w:val="21"/>
              </w:rPr>
            </w:pPr>
            <w:r>
              <w:rPr>
                <w:spacing w:val="-7"/>
                <w:sz w:val="21"/>
                <w:szCs w:val="21"/>
              </w:rPr>
              <w:t>注：</w:t>
            </w:r>
            <w:r>
              <w:rPr>
                <w:spacing w:val="-28"/>
                <w:sz w:val="21"/>
                <w:szCs w:val="21"/>
              </w:rPr>
              <w:t xml:space="preserve"> </w:t>
            </w:r>
            <w:r>
              <w:rPr>
                <w:rFonts w:ascii="Times New Roman" w:hAnsi="Times New Roman" w:eastAsia="Times New Roman" w:cs="Times New Roman"/>
                <w:spacing w:val="-7"/>
                <w:sz w:val="21"/>
                <w:szCs w:val="21"/>
              </w:rPr>
              <w:t>Ⅳ+</w:t>
            </w:r>
            <w:r>
              <w:rPr>
                <w:spacing w:val="-7"/>
                <w:sz w:val="21"/>
                <w:szCs w:val="21"/>
              </w:rPr>
              <w:t>为极高环境风险。</w:t>
            </w:r>
          </w:p>
        </w:tc>
      </w:tr>
    </w:tbl>
    <w:p>
      <w:pPr>
        <w:spacing w:before="178" w:line="480" w:lineRule="exact"/>
        <w:ind w:left="603"/>
        <w:rPr>
          <w:rFonts w:ascii="宋体" w:hAnsi="宋体" w:eastAsia="宋体" w:cs="宋体"/>
          <w:sz w:val="24"/>
          <w:szCs w:val="24"/>
        </w:rPr>
      </w:pPr>
      <w:r>
        <w:rPr>
          <w:rFonts w:ascii="宋体" w:hAnsi="宋体" w:eastAsia="宋体" w:cs="宋体"/>
          <w:spacing w:val="-1"/>
          <w:position w:val="18"/>
          <w:sz w:val="24"/>
          <w:szCs w:val="24"/>
        </w:rPr>
        <w:t>本项目危险物质及工艺系统危险性（</w:t>
      </w:r>
      <w:r>
        <w:rPr>
          <w:rFonts w:ascii="Times New Roman" w:hAnsi="Times New Roman" w:eastAsia="Times New Roman" w:cs="Times New Roman"/>
          <w:spacing w:val="-1"/>
          <w:position w:val="18"/>
          <w:sz w:val="24"/>
          <w:szCs w:val="24"/>
        </w:rPr>
        <w:t>P</w:t>
      </w:r>
      <w:r>
        <w:rPr>
          <w:rFonts w:ascii="宋体" w:hAnsi="宋体" w:eastAsia="宋体" w:cs="宋体"/>
          <w:spacing w:val="-1"/>
          <w:position w:val="18"/>
          <w:sz w:val="24"/>
          <w:szCs w:val="24"/>
        </w:rPr>
        <w:t>）分级为</w:t>
      </w:r>
      <w:r>
        <w:rPr>
          <w:rFonts w:ascii="宋体" w:hAnsi="宋体" w:eastAsia="宋体" w:cs="宋体"/>
          <w:spacing w:val="-43"/>
          <w:position w:val="18"/>
          <w:sz w:val="24"/>
          <w:szCs w:val="24"/>
        </w:rPr>
        <w:t xml:space="preserve"> </w:t>
      </w:r>
      <w:r>
        <w:rPr>
          <w:rFonts w:ascii="Times New Roman" w:hAnsi="Times New Roman" w:eastAsia="Times New Roman" w:cs="Times New Roman"/>
          <w:spacing w:val="-1"/>
          <w:position w:val="18"/>
          <w:sz w:val="24"/>
          <w:szCs w:val="24"/>
        </w:rPr>
        <w:t>P</w:t>
      </w:r>
      <w:r>
        <w:rPr>
          <w:rFonts w:ascii="Times New Roman" w:hAnsi="Times New Roman" w:eastAsia="Times New Roman" w:cs="Times New Roman"/>
          <w:spacing w:val="-2"/>
          <w:position w:val="18"/>
          <w:sz w:val="24"/>
          <w:szCs w:val="24"/>
        </w:rPr>
        <w:t>4</w:t>
      </w:r>
      <w:r>
        <w:rPr>
          <w:rFonts w:ascii="宋体" w:hAnsi="宋体" w:eastAsia="宋体" w:cs="宋体"/>
          <w:spacing w:val="-2"/>
          <w:position w:val="18"/>
          <w:sz w:val="24"/>
          <w:szCs w:val="24"/>
        </w:rPr>
        <w:t>。</w:t>
      </w:r>
    </w:p>
    <w:p>
      <w:pPr>
        <w:spacing w:line="219"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）大气环境风险潜势</w:t>
      </w:r>
    </w:p>
    <w:p>
      <w:pPr>
        <w:spacing w:before="194" w:line="220" w:lineRule="auto"/>
        <w:ind w:left="602"/>
        <w:rPr>
          <w:rFonts w:ascii="宋体" w:hAnsi="宋体" w:eastAsia="宋体" w:cs="宋体"/>
          <w:sz w:val="24"/>
          <w:szCs w:val="24"/>
        </w:rPr>
      </w:pPr>
      <w:r>
        <w:rPr>
          <w:rFonts w:ascii="宋体" w:hAnsi="宋体" w:eastAsia="宋体" w:cs="宋体"/>
          <w:sz w:val="24"/>
          <w:szCs w:val="24"/>
        </w:rPr>
        <w:t xml:space="preserve">根据大气环境敏感程度 </w:t>
      </w:r>
      <w:r>
        <w:rPr>
          <w:rFonts w:ascii="Times New Roman" w:hAnsi="Times New Roman" w:eastAsia="Times New Roman" w:cs="Times New Roman"/>
          <w:sz w:val="24"/>
          <w:szCs w:val="24"/>
        </w:rPr>
        <w:t>E2</w:t>
      </w:r>
      <w:r>
        <w:rPr>
          <w:rFonts w:ascii="宋体" w:hAnsi="宋体" w:eastAsia="宋体" w:cs="宋体"/>
          <w:sz w:val="24"/>
          <w:szCs w:val="24"/>
        </w:rPr>
        <w:t>、项目危险物质及</w:t>
      </w:r>
      <w:r>
        <w:rPr>
          <w:rFonts w:ascii="宋体" w:hAnsi="宋体" w:eastAsia="宋体" w:cs="宋体"/>
          <w:spacing w:val="-1"/>
          <w:sz w:val="24"/>
          <w:szCs w:val="24"/>
        </w:rPr>
        <w:t>工艺系统危险性，项目大气环</w:t>
      </w:r>
    </w:p>
    <w:p>
      <w:pPr>
        <w:spacing w:line="220" w:lineRule="auto"/>
        <w:rPr>
          <w:rFonts w:ascii="宋体" w:hAnsi="宋体" w:eastAsia="宋体" w:cs="宋体"/>
          <w:sz w:val="24"/>
          <w:szCs w:val="24"/>
        </w:rPr>
        <w:sectPr>
          <w:headerReference r:id="rId225" w:type="default"/>
          <w:footerReference r:id="rId226" w:type="default"/>
          <w:pgSz w:w="11907" w:h="16839"/>
          <w:pgMar w:top="1123" w:right="1682" w:bottom="1149" w:left="1685" w:header="1108" w:footer="988" w:gutter="0"/>
          <w:cols w:space="720" w:num="1"/>
        </w:sectPr>
      </w:pPr>
    </w:p>
    <w:p>
      <w:pPr>
        <w:pStyle w:val="2"/>
        <w:spacing w:line="413" w:lineRule="auto"/>
        <w:rPr>
          <w:sz w:val="21"/>
        </w:rPr>
      </w:pPr>
    </w:p>
    <w:p>
      <w:pPr>
        <w:spacing w:before="78" w:line="220" w:lineRule="auto"/>
        <w:ind w:left="123"/>
        <w:rPr>
          <w:rFonts w:ascii="宋体" w:hAnsi="宋体" w:eastAsia="宋体" w:cs="宋体"/>
          <w:sz w:val="24"/>
          <w:szCs w:val="24"/>
        </w:rPr>
      </w:pPr>
      <w:r>
        <w:rPr>
          <w:rFonts w:ascii="宋体" w:hAnsi="宋体" w:eastAsia="宋体" w:cs="宋体"/>
          <w:spacing w:val="-4"/>
          <w:sz w:val="24"/>
          <w:szCs w:val="24"/>
        </w:rPr>
        <w:t>境风险潜势为</w:t>
      </w:r>
      <w:r>
        <w:rPr>
          <w:rFonts w:ascii="Times New Roman" w:hAnsi="Times New Roman" w:eastAsia="Times New Roman" w:cs="Times New Roman"/>
          <w:spacing w:val="-4"/>
          <w:sz w:val="24"/>
          <w:szCs w:val="24"/>
        </w:rPr>
        <w:t>Ⅱ</w:t>
      </w:r>
      <w:r>
        <w:rPr>
          <w:rFonts w:ascii="宋体" w:hAnsi="宋体" w:eastAsia="宋体" w:cs="宋体"/>
          <w:spacing w:val="-4"/>
          <w:sz w:val="24"/>
          <w:szCs w:val="24"/>
        </w:rPr>
        <w:t>类。</w:t>
      </w:r>
    </w:p>
    <w:p>
      <w:pPr>
        <w:spacing w:before="194"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）地表水环境风险潜势</w:t>
      </w:r>
    </w:p>
    <w:p>
      <w:pPr>
        <w:spacing w:before="194" w:line="480" w:lineRule="exact"/>
        <w:ind w:left="602"/>
        <w:rPr>
          <w:rFonts w:ascii="宋体" w:hAnsi="宋体" w:eastAsia="宋体" w:cs="宋体"/>
          <w:sz w:val="24"/>
          <w:szCs w:val="24"/>
        </w:rPr>
      </w:pPr>
      <w:r>
        <w:rPr>
          <w:rFonts w:ascii="宋体" w:hAnsi="宋体" w:eastAsia="宋体" w:cs="宋体"/>
          <w:position w:val="18"/>
          <w:sz w:val="24"/>
          <w:szCs w:val="24"/>
        </w:rPr>
        <w:t xml:space="preserve">根据地表水环境敏感程度 </w:t>
      </w:r>
      <w:r>
        <w:rPr>
          <w:rFonts w:ascii="Times New Roman" w:hAnsi="Times New Roman" w:eastAsia="Times New Roman" w:cs="Times New Roman"/>
          <w:position w:val="18"/>
          <w:sz w:val="24"/>
          <w:szCs w:val="24"/>
        </w:rPr>
        <w:t>E3</w:t>
      </w:r>
      <w:r>
        <w:rPr>
          <w:rFonts w:ascii="宋体" w:hAnsi="宋体" w:eastAsia="宋体" w:cs="宋体"/>
          <w:position w:val="18"/>
          <w:sz w:val="24"/>
          <w:szCs w:val="24"/>
        </w:rPr>
        <w:t>、项目危险物质及</w:t>
      </w:r>
      <w:r>
        <w:rPr>
          <w:rFonts w:ascii="宋体" w:hAnsi="宋体" w:eastAsia="宋体" w:cs="宋体"/>
          <w:spacing w:val="-1"/>
          <w:position w:val="18"/>
          <w:sz w:val="24"/>
          <w:szCs w:val="24"/>
        </w:rPr>
        <w:t>工艺系统危险性，项目地表</w:t>
      </w:r>
    </w:p>
    <w:p>
      <w:pPr>
        <w:spacing w:line="219" w:lineRule="auto"/>
        <w:ind w:left="125"/>
        <w:rPr>
          <w:rFonts w:ascii="宋体" w:hAnsi="宋体" w:eastAsia="宋体" w:cs="宋体"/>
          <w:sz w:val="24"/>
          <w:szCs w:val="24"/>
        </w:rPr>
      </w:pPr>
      <w:r>
        <w:rPr>
          <w:rFonts w:ascii="宋体" w:hAnsi="宋体" w:eastAsia="宋体" w:cs="宋体"/>
          <w:spacing w:val="-3"/>
          <w:sz w:val="24"/>
          <w:szCs w:val="24"/>
        </w:rPr>
        <w:t>水环境风险潜势为</w:t>
      </w:r>
      <w:r>
        <w:rPr>
          <w:rFonts w:ascii="Times New Roman" w:hAnsi="Times New Roman" w:eastAsia="Times New Roman" w:cs="Times New Roman"/>
          <w:spacing w:val="-3"/>
          <w:sz w:val="24"/>
          <w:szCs w:val="24"/>
        </w:rPr>
        <w:t>Ⅰ</w:t>
      </w:r>
      <w:r>
        <w:rPr>
          <w:rFonts w:ascii="宋体" w:hAnsi="宋体" w:eastAsia="宋体" w:cs="宋体"/>
          <w:spacing w:val="-3"/>
          <w:sz w:val="24"/>
          <w:szCs w:val="24"/>
        </w:rPr>
        <w:t>类。</w:t>
      </w:r>
    </w:p>
    <w:p>
      <w:pPr>
        <w:spacing w:before="194"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）地下水环境风险潜势</w:t>
      </w:r>
    </w:p>
    <w:p>
      <w:pPr>
        <w:spacing w:before="194" w:line="480" w:lineRule="exact"/>
        <w:ind w:left="602"/>
        <w:rPr>
          <w:rFonts w:ascii="宋体" w:hAnsi="宋体" w:eastAsia="宋体" w:cs="宋体"/>
          <w:sz w:val="24"/>
          <w:szCs w:val="24"/>
        </w:rPr>
      </w:pPr>
      <w:r>
        <w:rPr>
          <w:rFonts w:ascii="宋体" w:hAnsi="宋体" w:eastAsia="宋体" w:cs="宋体"/>
          <w:position w:val="18"/>
          <w:sz w:val="24"/>
          <w:szCs w:val="24"/>
        </w:rPr>
        <w:t xml:space="preserve">根据地下水环境敏感程度 </w:t>
      </w:r>
      <w:r>
        <w:rPr>
          <w:rFonts w:ascii="Times New Roman" w:hAnsi="Times New Roman" w:eastAsia="Times New Roman" w:cs="Times New Roman"/>
          <w:position w:val="18"/>
          <w:sz w:val="24"/>
          <w:szCs w:val="24"/>
        </w:rPr>
        <w:t>E2</w:t>
      </w:r>
      <w:r>
        <w:rPr>
          <w:rFonts w:ascii="宋体" w:hAnsi="宋体" w:eastAsia="宋体" w:cs="宋体"/>
          <w:position w:val="18"/>
          <w:sz w:val="24"/>
          <w:szCs w:val="24"/>
        </w:rPr>
        <w:t>、项目危险</w:t>
      </w:r>
      <w:r>
        <w:rPr>
          <w:rFonts w:ascii="宋体" w:hAnsi="宋体" w:eastAsia="宋体" w:cs="宋体"/>
          <w:spacing w:val="-1"/>
          <w:position w:val="18"/>
          <w:sz w:val="24"/>
          <w:szCs w:val="24"/>
        </w:rPr>
        <w:t>物质及工艺系统危险性，项目地下</w:t>
      </w:r>
    </w:p>
    <w:p>
      <w:pPr>
        <w:spacing w:before="1" w:line="219" w:lineRule="auto"/>
        <w:ind w:left="125"/>
        <w:rPr>
          <w:rFonts w:ascii="宋体" w:hAnsi="宋体" w:eastAsia="宋体" w:cs="宋体"/>
          <w:sz w:val="24"/>
          <w:szCs w:val="24"/>
        </w:rPr>
      </w:pPr>
      <w:r>
        <w:rPr>
          <w:rFonts w:ascii="宋体" w:hAnsi="宋体" w:eastAsia="宋体" w:cs="宋体"/>
          <w:spacing w:val="-3"/>
          <w:sz w:val="24"/>
          <w:szCs w:val="24"/>
        </w:rPr>
        <w:t>水环境风险潜势为</w:t>
      </w:r>
      <w:r>
        <w:rPr>
          <w:rFonts w:ascii="Times New Roman" w:hAnsi="Times New Roman" w:eastAsia="Times New Roman" w:cs="Times New Roman"/>
          <w:spacing w:val="-3"/>
          <w:sz w:val="24"/>
          <w:szCs w:val="24"/>
        </w:rPr>
        <w:t>Ⅱ</w:t>
      </w:r>
      <w:r>
        <w:rPr>
          <w:rFonts w:ascii="宋体" w:hAnsi="宋体" w:eastAsia="宋体" w:cs="宋体"/>
          <w:spacing w:val="-3"/>
          <w:sz w:val="24"/>
          <w:szCs w:val="24"/>
        </w:rPr>
        <w:t>类。</w:t>
      </w:r>
    </w:p>
    <w:p>
      <w:pPr>
        <w:spacing w:before="195" w:line="218" w:lineRule="auto"/>
        <w:ind w:left="116"/>
        <w:rPr>
          <w:rFonts w:ascii="宋体" w:hAnsi="宋体" w:eastAsia="宋体" w:cs="宋体"/>
          <w:sz w:val="24"/>
          <w:szCs w:val="24"/>
        </w:rPr>
      </w:pPr>
      <w:bookmarkStart w:id="47" w:name="bookmark48"/>
      <w:bookmarkEnd w:id="47"/>
      <w:r>
        <w:rPr>
          <w:rFonts w:ascii="Times New Roman" w:hAnsi="Times New Roman" w:eastAsia="Times New Roman" w:cs="Times New Roman"/>
          <w:b/>
          <w:bCs/>
          <w:sz w:val="24"/>
          <w:szCs w:val="24"/>
        </w:rPr>
        <w:t xml:space="preserve">3.4 </w:t>
      </w:r>
      <w:r>
        <w:rPr>
          <w:rFonts w:ascii="宋体" w:hAnsi="宋体" w:eastAsia="宋体" w:cs="宋体"/>
          <w:sz w:val="24"/>
          <w:szCs w:val="24"/>
          <w14:textOutline w14:w="4354" w14:cap="flat" w14:cmpd="sng">
            <w14:solidFill>
              <w14:srgbClr w14:val="000000"/>
            </w14:solidFill>
            <w14:prstDash w14:val="solid"/>
            <w14:miter w14:val="10"/>
          </w14:textOutline>
        </w:rPr>
        <w:t>评价等级确定</w:t>
      </w:r>
    </w:p>
    <w:p>
      <w:pPr>
        <w:spacing w:before="197" w:line="480" w:lineRule="exact"/>
        <w:ind w:left="602"/>
        <w:rPr>
          <w:rFonts w:ascii="宋体" w:hAnsi="宋体" w:eastAsia="宋体" w:cs="宋体"/>
          <w:sz w:val="24"/>
          <w:szCs w:val="24"/>
        </w:rPr>
      </w:pPr>
      <w:r>
        <w:rPr>
          <w:rFonts w:ascii="宋体" w:hAnsi="宋体" w:eastAsia="宋体" w:cs="宋体"/>
          <w:spacing w:val="4"/>
          <w:position w:val="18"/>
          <w:sz w:val="24"/>
          <w:szCs w:val="24"/>
        </w:rPr>
        <w:t>根据建设项目涉及的物质及工艺系统危险性和所在地的环境敏感性确定环</w:t>
      </w:r>
    </w:p>
    <w:p>
      <w:pPr>
        <w:spacing w:line="218" w:lineRule="auto"/>
        <w:ind w:left="123"/>
        <w:rPr>
          <w:rFonts w:ascii="宋体" w:hAnsi="宋体" w:eastAsia="宋体" w:cs="宋体"/>
          <w:sz w:val="24"/>
          <w:szCs w:val="24"/>
        </w:rPr>
      </w:pPr>
      <w:r>
        <w:rPr>
          <w:rFonts w:ascii="宋体" w:hAnsi="宋体" w:eastAsia="宋体" w:cs="宋体"/>
          <w:spacing w:val="-4"/>
          <w:sz w:val="24"/>
          <w:szCs w:val="24"/>
        </w:rPr>
        <w:t>境风险潜势，按照表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3.4-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确定评价工作等级。</w:t>
      </w:r>
    </w:p>
    <w:p>
      <w:pPr>
        <w:spacing w:before="196" w:line="218" w:lineRule="auto"/>
        <w:ind w:left="279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1"/>
          <w:sz w:val="24"/>
          <w:szCs w:val="24"/>
        </w:rPr>
        <w:t xml:space="preserve">3.4-1    </w:t>
      </w:r>
      <w:r>
        <w:rPr>
          <w:rFonts w:ascii="宋体" w:hAnsi="宋体" w:eastAsia="宋体" w:cs="宋体"/>
          <w:spacing w:val="-1"/>
          <w:sz w:val="24"/>
          <w:szCs w:val="24"/>
          <w14:textOutline w14:w="4354" w14:cap="flat" w14:cmpd="sng">
            <w14:solidFill>
              <w14:srgbClr w14:val="000000"/>
            </w14:solidFill>
            <w14:prstDash w14:val="solid"/>
            <w14:miter w14:val="10"/>
          </w14:textOutline>
        </w:rPr>
        <w:t>评价工作等级划分</w:t>
      </w:r>
    </w:p>
    <w:p>
      <w:pPr>
        <w:spacing w:line="19"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3"/>
        <w:gridCol w:w="1730"/>
        <w:gridCol w:w="1699"/>
        <w:gridCol w:w="1698"/>
        <w:gridCol w:w="1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1703" w:type="dxa"/>
            <w:vAlign w:val="top"/>
          </w:tcPr>
          <w:p>
            <w:pPr>
              <w:pStyle w:val="6"/>
              <w:spacing w:before="67" w:line="221" w:lineRule="auto"/>
              <w:ind w:left="226"/>
              <w:rPr>
                <w:sz w:val="21"/>
                <w:szCs w:val="21"/>
              </w:rPr>
            </w:pPr>
            <w:r>
              <w:rPr>
                <w:spacing w:val="-1"/>
                <w:sz w:val="21"/>
                <w:szCs w:val="21"/>
              </w:rPr>
              <w:t>环境风险潜势</w:t>
            </w:r>
          </w:p>
        </w:tc>
        <w:tc>
          <w:tcPr>
            <w:tcW w:w="1730" w:type="dxa"/>
            <w:vAlign w:val="top"/>
          </w:tcPr>
          <w:p>
            <w:pPr>
              <w:pStyle w:val="6"/>
              <w:spacing w:before="102" w:line="20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Ⅳ</w:t>
            </w:r>
            <w:r>
              <w:rPr>
                <w:rFonts w:ascii="Times New Roman" w:hAnsi="Times New Roman" w:eastAsia="Times New Roman" w:cs="Times New Roman"/>
                <w:spacing w:val="-28"/>
                <w:sz w:val="21"/>
                <w:szCs w:val="21"/>
              </w:rPr>
              <w:t xml:space="preserve"> </w:t>
            </w:r>
            <w:r>
              <w:rPr>
                <w:spacing w:val="-7"/>
                <w:sz w:val="21"/>
                <w:szCs w:val="21"/>
              </w:rPr>
              <w:t>、</w:t>
            </w:r>
            <w:r>
              <w:rPr>
                <w:rFonts w:ascii="Times New Roman" w:hAnsi="Times New Roman" w:eastAsia="Times New Roman" w:cs="Times New Roman"/>
                <w:spacing w:val="-7"/>
                <w:sz w:val="21"/>
                <w:szCs w:val="21"/>
              </w:rPr>
              <w:t>Ⅳ+</w:t>
            </w:r>
          </w:p>
        </w:tc>
        <w:tc>
          <w:tcPr>
            <w:tcW w:w="1699" w:type="dxa"/>
            <w:vAlign w:val="top"/>
          </w:tcPr>
          <w:p>
            <w:pPr>
              <w:spacing w:before="107" w:line="186" w:lineRule="auto"/>
              <w:ind w:left="750"/>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c>
          <w:tcPr>
            <w:tcW w:w="1698" w:type="dxa"/>
            <w:vAlign w:val="top"/>
          </w:tcPr>
          <w:p>
            <w:pPr>
              <w:spacing w:before="107" w:line="186" w:lineRule="auto"/>
              <w:ind w:left="782"/>
              <w:rPr>
                <w:rFonts w:ascii="Times New Roman" w:hAnsi="Times New Roman" w:eastAsia="Times New Roman" w:cs="Times New Roman"/>
                <w:sz w:val="21"/>
                <w:szCs w:val="21"/>
              </w:rPr>
            </w:pPr>
            <w:r>
              <w:rPr>
                <w:rFonts w:ascii="Times New Roman" w:hAnsi="Times New Roman" w:eastAsia="Times New Roman" w:cs="Times New Roman"/>
                <w:sz w:val="21"/>
                <w:szCs w:val="21"/>
              </w:rPr>
              <w:t>Ⅱ</w:t>
            </w:r>
          </w:p>
        </w:tc>
        <w:tc>
          <w:tcPr>
            <w:tcW w:w="1703" w:type="dxa"/>
            <w:vAlign w:val="top"/>
          </w:tcPr>
          <w:p>
            <w:pPr>
              <w:spacing w:before="107" w:line="186" w:lineRule="auto"/>
              <w:ind w:left="817"/>
              <w:rPr>
                <w:rFonts w:ascii="Times New Roman" w:hAnsi="Times New Roman" w:eastAsia="Times New Roman" w:cs="Times New Roman"/>
                <w:sz w:val="21"/>
                <w:szCs w:val="21"/>
              </w:rPr>
            </w:pPr>
            <w:r>
              <w:rPr>
                <w:rFonts w:ascii="Times New Roman" w:hAnsi="Times New Roman" w:eastAsia="Times New Roman" w:cs="Times New Roman"/>
                <w:sz w:val="21"/>
                <w:szCs w:val="21"/>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1703" w:type="dxa"/>
            <w:vAlign w:val="top"/>
          </w:tcPr>
          <w:p>
            <w:pPr>
              <w:pStyle w:val="6"/>
              <w:spacing w:before="65" w:line="219" w:lineRule="auto"/>
              <w:ind w:left="225"/>
              <w:rPr>
                <w:sz w:val="21"/>
                <w:szCs w:val="21"/>
              </w:rPr>
            </w:pPr>
            <w:r>
              <w:rPr>
                <w:spacing w:val="-1"/>
                <w:sz w:val="21"/>
                <w:szCs w:val="21"/>
              </w:rPr>
              <w:t>评价工作等级</w:t>
            </w:r>
          </w:p>
        </w:tc>
        <w:tc>
          <w:tcPr>
            <w:tcW w:w="1730" w:type="dxa"/>
            <w:vAlign w:val="top"/>
          </w:tcPr>
          <w:p>
            <w:pPr>
              <w:pStyle w:val="6"/>
              <w:spacing w:before="144" w:line="163" w:lineRule="exact"/>
              <w:ind w:left="766"/>
              <w:rPr>
                <w:sz w:val="21"/>
                <w:szCs w:val="21"/>
              </w:rPr>
            </w:pPr>
            <w:r>
              <w:rPr>
                <w:position w:val="-4"/>
                <w:sz w:val="21"/>
                <w:szCs w:val="21"/>
              </w:rPr>
              <w:t>一</w:t>
            </w:r>
          </w:p>
        </w:tc>
        <w:tc>
          <w:tcPr>
            <w:tcW w:w="1699" w:type="dxa"/>
            <w:vAlign w:val="top"/>
          </w:tcPr>
          <w:p>
            <w:pPr>
              <w:pStyle w:val="6"/>
              <w:spacing w:before="104" w:line="179" w:lineRule="auto"/>
              <w:ind w:left="752"/>
              <w:rPr>
                <w:sz w:val="21"/>
                <w:szCs w:val="21"/>
              </w:rPr>
            </w:pPr>
            <w:r>
              <w:rPr>
                <w:sz w:val="21"/>
                <w:szCs w:val="21"/>
              </w:rPr>
              <w:t>二</w:t>
            </w:r>
          </w:p>
        </w:tc>
        <w:tc>
          <w:tcPr>
            <w:tcW w:w="1698" w:type="dxa"/>
            <w:vAlign w:val="top"/>
          </w:tcPr>
          <w:p>
            <w:pPr>
              <w:pStyle w:val="6"/>
              <w:spacing w:before="65" w:line="236" w:lineRule="auto"/>
              <w:ind w:left="749"/>
              <w:rPr>
                <w:sz w:val="21"/>
                <w:szCs w:val="21"/>
              </w:rPr>
            </w:pPr>
            <w:r>
              <w:rPr>
                <w:sz w:val="21"/>
                <w:szCs w:val="21"/>
              </w:rPr>
              <w:t>三</w:t>
            </w:r>
          </w:p>
        </w:tc>
        <w:tc>
          <w:tcPr>
            <w:tcW w:w="1703" w:type="dxa"/>
            <w:vAlign w:val="top"/>
          </w:tcPr>
          <w:p>
            <w:pPr>
              <w:pStyle w:val="6"/>
              <w:spacing w:before="65" w:line="234" w:lineRule="auto"/>
              <w:ind w:left="366"/>
              <w:rPr>
                <w:rFonts w:ascii="Times New Roman" w:hAnsi="Times New Roman" w:eastAsia="Times New Roman" w:cs="Times New Roman"/>
                <w:sz w:val="21"/>
                <w:szCs w:val="21"/>
              </w:rPr>
            </w:pPr>
            <w:r>
              <w:rPr>
                <w:spacing w:val="-2"/>
                <w:sz w:val="21"/>
                <w:szCs w:val="21"/>
              </w:rPr>
              <w:t>简单分析</w:t>
            </w:r>
            <w:r>
              <w:rPr>
                <w:spacing w:val="-45"/>
                <w:sz w:val="21"/>
                <w:szCs w:val="21"/>
              </w:rPr>
              <w:t xml:space="preserve"> </w:t>
            </w:r>
            <w:r>
              <w:rPr>
                <w:rFonts w:ascii="Times New Roman" w:hAnsi="Times New Roman" w:eastAsia="Times New Roman" w:cs="Times New Roman"/>
                <w:spacing w:val="-2"/>
                <w:sz w:val="21"/>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8533" w:type="dxa"/>
            <w:gridSpan w:val="5"/>
            <w:vAlign w:val="top"/>
          </w:tcPr>
          <w:p>
            <w:pPr>
              <w:pStyle w:val="6"/>
              <w:spacing w:before="32" w:line="224" w:lineRule="auto"/>
              <w:ind w:left="2707" w:right="115" w:hanging="2592"/>
              <w:rPr>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sz w:val="21"/>
                <w:szCs w:val="21"/>
              </w:rPr>
              <w:t xml:space="preserve">  </w:t>
            </w:r>
            <w:r>
              <w:rPr>
                <w:spacing w:val="-3"/>
                <w:sz w:val="21"/>
                <w:szCs w:val="21"/>
              </w:rPr>
              <w:t>：是相当于详细评价工作内容而言，在描述危险物质、环境影响途径、环境危害后果、风</w:t>
            </w:r>
            <w:r>
              <w:rPr>
                <w:sz w:val="21"/>
                <w:szCs w:val="21"/>
              </w:rPr>
              <w:t xml:space="preserve"> </w:t>
            </w:r>
            <w:r>
              <w:rPr>
                <w:spacing w:val="-1"/>
                <w:sz w:val="21"/>
                <w:szCs w:val="21"/>
              </w:rPr>
              <w:t>险防范措施等方面给出定性说明。</w:t>
            </w:r>
          </w:p>
        </w:tc>
      </w:tr>
    </w:tbl>
    <w:p>
      <w:pPr>
        <w:spacing w:before="178" w:line="480" w:lineRule="exact"/>
        <w:ind w:left="602"/>
        <w:rPr>
          <w:rFonts w:ascii="宋体" w:hAnsi="宋体" w:eastAsia="宋体" w:cs="宋体"/>
          <w:sz w:val="24"/>
          <w:szCs w:val="24"/>
        </w:rPr>
      </w:pPr>
      <w:r>
        <w:rPr>
          <w:rFonts w:ascii="宋体" w:hAnsi="宋体" w:eastAsia="宋体" w:cs="宋体"/>
          <w:spacing w:val="-11"/>
          <w:position w:val="18"/>
          <w:sz w:val="24"/>
          <w:szCs w:val="24"/>
        </w:rPr>
        <w:t>根据项目环境风险潜势划分，</w:t>
      </w:r>
      <w:r>
        <w:rPr>
          <w:rFonts w:ascii="宋体" w:hAnsi="宋体" w:eastAsia="宋体" w:cs="宋体"/>
          <w:spacing w:val="39"/>
          <w:position w:val="18"/>
          <w:sz w:val="24"/>
          <w:szCs w:val="24"/>
        </w:rPr>
        <w:t xml:space="preserve"> </w:t>
      </w:r>
      <w:r>
        <w:rPr>
          <w:rFonts w:ascii="宋体" w:hAnsi="宋体" w:eastAsia="宋体" w:cs="宋体"/>
          <w:spacing w:val="-11"/>
          <w:position w:val="18"/>
          <w:sz w:val="24"/>
          <w:szCs w:val="24"/>
        </w:rPr>
        <w:t>项目大气环境风险评价等级为三级， 地表水环</w:t>
      </w:r>
    </w:p>
    <w:p>
      <w:pPr>
        <w:spacing w:line="218" w:lineRule="auto"/>
        <w:ind w:left="123"/>
        <w:rPr>
          <w:rFonts w:ascii="宋体" w:hAnsi="宋体" w:eastAsia="宋体" w:cs="宋体"/>
          <w:sz w:val="24"/>
          <w:szCs w:val="24"/>
        </w:rPr>
      </w:pPr>
      <w:r>
        <w:rPr>
          <w:rFonts w:ascii="宋体" w:hAnsi="宋体" w:eastAsia="宋体" w:cs="宋体"/>
          <w:spacing w:val="-2"/>
          <w:sz w:val="24"/>
          <w:szCs w:val="24"/>
        </w:rPr>
        <w:t>境风险评价等级为简单分析，地下水环境风险评价等级为三级。</w:t>
      </w:r>
    </w:p>
    <w:p>
      <w:pPr>
        <w:spacing w:before="197" w:line="218" w:lineRule="auto"/>
        <w:ind w:left="116"/>
        <w:rPr>
          <w:rFonts w:ascii="宋体" w:hAnsi="宋体" w:eastAsia="宋体" w:cs="宋体"/>
          <w:sz w:val="24"/>
          <w:szCs w:val="24"/>
        </w:rPr>
      </w:pPr>
      <w:bookmarkStart w:id="48" w:name="bookmark49"/>
      <w:bookmarkEnd w:id="48"/>
      <w:r>
        <w:rPr>
          <w:rFonts w:ascii="Times New Roman" w:hAnsi="Times New Roman" w:eastAsia="Times New Roman" w:cs="Times New Roman"/>
          <w:b/>
          <w:bCs/>
          <w:sz w:val="24"/>
          <w:szCs w:val="24"/>
        </w:rPr>
        <w:t xml:space="preserve">3.5 </w:t>
      </w:r>
      <w:r>
        <w:rPr>
          <w:rFonts w:ascii="宋体" w:hAnsi="宋体" w:eastAsia="宋体" w:cs="宋体"/>
          <w:sz w:val="24"/>
          <w:szCs w:val="24"/>
          <w14:textOutline w14:w="4354" w14:cap="flat" w14:cmpd="sng">
            <w14:solidFill>
              <w14:srgbClr w14:val="000000"/>
            </w14:solidFill>
            <w14:prstDash w14:val="solid"/>
            <w14:miter w14:val="10"/>
          </w14:textOutline>
        </w:rPr>
        <w:t>评价范围</w:t>
      </w:r>
    </w:p>
    <w:p>
      <w:pPr>
        <w:spacing w:before="197" w:line="218" w:lineRule="auto"/>
        <w:ind w:left="604"/>
        <w:rPr>
          <w:rFonts w:ascii="宋体" w:hAnsi="宋体" w:eastAsia="宋体" w:cs="宋体"/>
          <w:sz w:val="24"/>
          <w:szCs w:val="24"/>
        </w:rPr>
      </w:pPr>
      <w:r>
        <w:rPr>
          <w:rFonts w:ascii="宋体" w:hAnsi="宋体" w:eastAsia="宋体" w:cs="宋体"/>
          <w:spacing w:val="-4"/>
          <w:sz w:val="24"/>
          <w:szCs w:val="24"/>
        </w:rPr>
        <w:t>大气环境风险评价范围：井口外</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5km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范围内；</w:t>
      </w:r>
    </w:p>
    <w:p>
      <w:pPr>
        <w:spacing w:before="196" w:line="480" w:lineRule="exact"/>
        <w:ind w:left="602"/>
        <w:rPr>
          <w:rFonts w:ascii="宋体" w:hAnsi="宋体" w:eastAsia="宋体" w:cs="宋体"/>
          <w:sz w:val="24"/>
          <w:szCs w:val="24"/>
        </w:rPr>
      </w:pPr>
      <w:r>
        <w:rPr>
          <w:rFonts w:ascii="宋体" w:hAnsi="宋体" w:eastAsia="宋体" w:cs="宋体"/>
          <w:spacing w:val="-9"/>
          <w:position w:val="18"/>
          <w:sz w:val="24"/>
          <w:szCs w:val="24"/>
        </w:rPr>
        <w:t>地表水评价范围：</w:t>
      </w:r>
      <w:r>
        <w:rPr>
          <w:rFonts w:ascii="宋体" w:hAnsi="宋体" w:eastAsia="宋体" w:cs="宋体"/>
          <w:spacing w:val="54"/>
          <w:position w:val="18"/>
          <w:sz w:val="24"/>
          <w:szCs w:val="24"/>
        </w:rPr>
        <w:t xml:space="preserve"> </w:t>
      </w:r>
      <w:r>
        <w:rPr>
          <w:rFonts w:ascii="宋体" w:hAnsi="宋体" w:eastAsia="宋体" w:cs="宋体"/>
          <w:spacing w:val="-9"/>
          <w:position w:val="18"/>
          <w:sz w:val="24"/>
          <w:szCs w:val="24"/>
        </w:rPr>
        <w:t>井场周边农田、江陵水库、杜家湾水库、新农水库、光明</w:t>
      </w:r>
    </w:p>
    <w:p>
      <w:pPr>
        <w:spacing w:before="1" w:line="219" w:lineRule="auto"/>
        <w:ind w:left="125"/>
        <w:rPr>
          <w:rFonts w:ascii="宋体" w:hAnsi="宋体" w:eastAsia="宋体" w:cs="宋体"/>
          <w:sz w:val="24"/>
          <w:szCs w:val="24"/>
        </w:rPr>
      </w:pPr>
      <w:r>
        <w:rPr>
          <w:rFonts w:ascii="宋体" w:hAnsi="宋体" w:eastAsia="宋体" w:cs="宋体"/>
          <w:spacing w:val="-1"/>
          <w:sz w:val="24"/>
          <w:szCs w:val="24"/>
        </w:rPr>
        <w:t>水库、洞滩河、巴河、长滩河、黎家河、黄梅溪。</w:t>
      </w:r>
    </w:p>
    <w:p>
      <w:pPr>
        <w:spacing w:before="195" w:line="369" w:lineRule="auto"/>
        <w:ind w:left="126" w:right="110" w:firstLine="476"/>
        <w:rPr>
          <w:rFonts w:ascii="宋体" w:hAnsi="宋体" w:eastAsia="宋体" w:cs="宋体"/>
          <w:sz w:val="24"/>
          <w:szCs w:val="24"/>
        </w:rPr>
      </w:pPr>
      <w:r>
        <w:rPr>
          <w:rFonts w:ascii="宋体" w:hAnsi="宋体" w:eastAsia="宋体" w:cs="宋体"/>
          <w:spacing w:val="-13"/>
          <w:sz w:val="24"/>
          <w:szCs w:val="24"/>
        </w:rPr>
        <w:t>地下水评价范围：</w:t>
      </w:r>
      <w:r>
        <w:rPr>
          <w:rFonts w:ascii="宋体" w:hAnsi="宋体" w:eastAsia="宋体" w:cs="宋体"/>
          <w:spacing w:val="54"/>
          <w:sz w:val="24"/>
          <w:szCs w:val="24"/>
        </w:rPr>
        <w:t xml:space="preserve"> </w:t>
      </w:r>
      <w:r>
        <w:rPr>
          <w:rFonts w:ascii="宋体" w:hAnsi="宋体" w:eastAsia="宋体" w:cs="宋体"/>
          <w:spacing w:val="-13"/>
          <w:sz w:val="24"/>
          <w:szCs w:val="24"/>
        </w:rPr>
        <w:t>和地下水专题报告的调查范围一致。结合区域地势，</w:t>
      </w:r>
      <w:r>
        <w:rPr>
          <w:rFonts w:ascii="宋体" w:hAnsi="宋体" w:eastAsia="宋体" w:cs="宋体"/>
          <w:spacing w:val="39"/>
          <w:sz w:val="24"/>
          <w:szCs w:val="24"/>
        </w:rPr>
        <w:t xml:space="preserve"> </w:t>
      </w:r>
      <w:r>
        <w:rPr>
          <w:rFonts w:ascii="宋体" w:hAnsi="宋体" w:eastAsia="宋体" w:cs="宋体"/>
          <w:spacing w:val="-13"/>
          <w:sz w:val="24"/>
          <w:szCs w:val="24"/>
        </w:rPr>
        <w:t>项目</w:t>
      </w:r>
      <w:r>
        <w:rPr>
          <w:rFonts w:ascii="宋体" w:hAnsi="宋体" w:eastAsia="宋体" w:cs="宋体"/>
          <w:sz w:val="24"/>
          <w:szCs w:val="24"/>
        </w:rPr>
        <w:t xml:space="preserve"> </w:t>
      </w:r>
      <w:r>
        <w:rPr>
          <w:rFonts w:ascii="宋体" w:hAnsi="宋体" w:eastAsia="宋体" w:cs="宋体"/>
          <w:spacing w:val="-7"/>
          <w:sz w:val="24"/>
          <w:szCs w:val="24"/>
        </w:rPr>
        <w:t>北侧以山顶分水岭为隔水边界，</w:t>
      </w:r>
      <w:r>
        <w:rPr>
          <w:rFonts w:ascii="宋体" w:hAnsi="宋体" w:eastAsia="宋体" w:cs="宋体"/>
          <w:spacing w:val="37"/>
          <w:sz w:val="24"/>
          <w:szCs w:val="24"/>
        </w:rPr>
        <w:t xml:space="preserve"> </w:t>
      </w:r>
      <w:r>
        <w:rPr>
          <w:rFonts w:ascii="宋体" w:hAnsi="宋体" w:eastAsia="宋体" w:cs="宋体"/>
          <w:spacing w:val="-7"/>
          <w:sz w:val="24"/>
          <w:szCs w:val="24"/>
        </w:rPr>
        <w:t>南侧、西侧和东侧以河流</w:t>
      </w:r>
      <w:r>
        <w:rPr>
          <w:rFonts w:ascii="宋体" w:hAnsi="宋体" w:eastAsia="宋体" w:cs="宋体"/>
          <w:spacing w:val="-8"/>
          <w:sz w:val="24"/>
          <w:szCs w:val="24"/>
        </w:rPr>
        <w:t>为排泄边界，采用自定</w:t>
      </w:r>
    </w:p>
    <w:p>
      <w:pPr>
        <w:spacing w:before="1" w:line="231" w:lineRule="auto"/>
        <w:jc w:val="right"/>
        <w:rPr>
          <w:rFonts w:ascii="宋体" w:hAnsi="宋体" w:eastAsia="宋体" w:cs="宋体"/>
          <w:sz w:val="24"/>
          <w:szCs w:val="24"/>
        </w:rPr>
      </w:pPr>
      <w:r>
        <w:rPr>
          <w:rFonts w:ascii="宋体" w:hAnsi="宋体" w:eastAsia="宋体" w:cs="宋体"/>
          <w:spacing w:val="-11"/>
          <w:sz w:val="24"/>
          <w:szCs w:val="24"/>
        </w:rPr>
        <w:t>义法确定调查范围为：</w:t>
      </w:r>
      <w:r>
        <w:rPr>
          <w:rFonts w:ascii="宋体" w:hAnsi="宋体" w:eastAsia="宋体" w:cs="宋体"/>
          <w:spacing w:val="65"/>
          <w:sz w:val="24"/>
          <w:szCs w:val="24"/>
        </w:rPr>
        <w:t xml:space="preserve"> </w:t>
      </w:r>
      <w:r>
        <w:rPr>
          <w:rFonts w:ascii="宋体" w:hAnsi="宋体" w:eastAsia="宋体" w:cs="宋体"/>
          <w:spacing w:val="-11"/>
          <w:sz w:val="24"/>
          <w:szCs w:val="24"/>
        </w:rPr>
        <w:t>井场所在的水文地质单元，</w:t>
      </w:r>
      <w:r>
        <w:rPr>
          <w:rFonts w:ascii="宋体" w:hAnsi="宋体" w:eastAsia="宋体" w:cs="宋体"/>
          <w:spacing w:val="63"/>
          <w:sz w:val="24"/>
          <w:szCs w:val="24"/>
        </w:rPr>
        <w:t xml:space="preserve"> </w:t>
      </w:r>
      <w:r>
        <w:rPr>
          <w:rFonts w:ascii="宋体" w:hAnsi="宋体" w:eastAsia="宋体" w:cs="宋体"/>
          <w:spacing w:val="-11"/>
          <w:sz w:val="24"/>
          <w:szCs w:val="24"/>
        </w:rPr>
        <w:t>地下水评价范围</w:t>
      </w:r>
      <w:r>
        <w:rPr>
          <w:rFonts w:ascii="宋体" w:hAnsi="宋体" w:eastAsia="宋体" w:cs="宋体"/>
          <w:spacing w:val="-12"/>
          <w:sz w:val="24"/>
          <w:szCs w:val="24"/>
        </w:rPr>
        <w:t>约</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12.87km</w:t>
      </w:r>
      <w:r>
        <w:rPr>
          <w:rFonts w:ascii="Times New Roman" w:hAnsi="Times New Roman" w:eastAsia="Times New Roman" w:cs="Times New Roman"/>
          <w:spacing w:val="-12"/>
          <w:position w:val="9"/>
          <w:sz w:val="16"/>
          <w:szCs w:val="16"/>
        </w:rPr>
        <w:t>2</w:t>
      </w:r>
      <w:r>
        <w:rPr>
          <w:rFonts w:ascii="宋体" w:hAnsi="宋体" w:eastAsia="宋体" w:cs="宋体"/>
          <w:spacing w:val="-12"/>
          <w:sz w:val="24"/>
          <w:szCs w:val="24"/>
        </w:rPr>
        <w:t>。</w:t>
      </w:r>
    </w:p>
    <w:p>
      <w:pPr>
        <w:spacing w:line="231" w:lineRule="auto"/>
        <w:rPr>
          <w:rFonts w:ascii="宋体" w:hAnsi="宋体" w:eastAsia="宋体" w:cs="宋体"/>
          <w:sz w:val="24"/>
          <w:szCs w:val="24"/>
        </w:rPr>
        <w:sectPr>
          <w:footerReference r:id="rId227" w:type="default"/>
          <w:pgSz w:w="11907" w:h="16839"/>
          <w:pgMar w:top="1123" w:right="1682" w:bottom="1149" w:left="1685" w:header="1108" w:footer="988" w:gutter="0"/>
          <w:cols w:space="720" w:num="1"/>
        </w:sectPr>
      </w:pPr>
    </w:p>
    <w:p>
      <w:pPr>
        <w:pStyle w:val="2"/>
        <w:spacing w:line="254" w:lineRule="auto"/>
        <w:rPr>
          <w:sz w:val="21"/>
        </w:rPr>
      </w:pPr>
    </w:p>
    <w:p>
      <w:pPr>
        <w:spacing w:before="117" w:line="220" w:lineRule="auto"/>
        <w:ind w:left="3057"/>
        <w:rPr>
          <w:rFonts w:ascii="宋体" w:hAnsi="宋体" w:eastAsia="宋体" w:cs="宋体"/>
          <w:sz w:val="36"/>
          <w:szCs w:val="36"/>
        </w:rPr>
      </w:pPr>
      <w:bookmarkStart w:id="49" w:name="bookmark50"/>
      <w:bookmarkEnd w:id="49"/>
      <w:r>
        <w:rPr>
          <w:rFonts w:ascii="Times New Roman" w:hAnsi="Times New Roman" w:eastAsia="Times New Roman" w:cs="Times New Roman"/>
          <w:b/>
          <w:bCs/>
          <w:spacing w:val="-1"/>
          <w:sz w:val="36"/>
          <w:szCs w:val="36"/>
        </w:rPr>
        <w:t xml:space="preserve">4 </w:t>
      </w:r>
      <w:r>
        <w:rPr>
          <w:rFonts w:ascii="宋体" w:hAnsi="宋体" w:eastAsia="宋体" w:cs="宋体"/>
          <w:spacing w:val="-1"/>
          <w:sz w:val="36"/>
          <w:szCs w:val="36"/>
          <w14:textOutline w14:w="6531" w14:cap="flat" w14:cmpd="sng">
            <w14:solidFill>
              <w14:srgbClr w14:val="000000"/>
            </w14:solidFill>
            <w14:prstDash w14:val="solid"/>
            <w14:miter w14:val="10"/>
          </w14:textOutline>
        </w:rPr>
        <w:t>环境风险识别</w:t>
      </w:r>
    </w:p>
    <w:p>
      <w:pPr>
        <w:pStyle w:val="2"/>
        <w:spacing w:line="315" w:lineRule="auto"/>
        <w:rPr>
          <w:sz w:val="21"/>
        </w:rPr>
      </w:pPr>
    </w:p>
    <w:p>
      <w:pPr>
        <w:spacing w:before="78" w:line="369" w:lineRule="auto"/>
        <w:ind w:left="121" w:right="111" w:firstLine="484"/>
        <w:rPr>
          <w:rFonts w:ascii="宋体" w:hAnsi="宋体" w:eastAsia="宋体" w:cs="宋体"/>
          <w:sz w:val="24"/>
          <w:szCs w:val="24"/>
        </w:rPr>
      </w:pPr>
      <w:r>
        <w:rPr>
          <w:rFonts w:ascii="宋体" w:hAnsi="宋体" w:eastAsia="宋体" w:cs="宋体"/>
          <w:spacing w:val="-17"/>
          <w:sz w:val="24"/>
          <w:szCs w:val="24"/>
        </w:rPr>
        <w:t>项目原料、燃料、介质和产品中主要为天然气， 属于易燃品， 存在发</w:t>
      </w:r>
      <w:r>
        <w:rPr>
          <w:rFonts w:ascii="宋体" w:hAnsi="宋体" w:eastAsia="宋体" w:cs="宋体"/>
          <w:spacing w:val="-18"/>
          <w:sz w:val="24"/>
          <w:szCs w:val="24"/>
        </w:rPr>
        <w:t>生火灾、</w:t>
      </w:r>
      <w:r>
        <w:rPr>
          <w:rFonts w:ascii="宋体" w:hAnsi="宋体" w:eastAsia="宋体" w:cs="宋体"/>
          <w:sz w:val="24"/>
          <w:szCs w:val="24"/>
        </w:rPr>
        <w:t xml:space="preserve"> </w:t>
      </w:r>
      <w:r>
        <w:rPr>
          <w:rFonts w:ascii="宋体" w:hAnsi="宋体" w:eastAsia="宋体" w:cs="宋体"/>
          <w:spacing w:val="-11"/>
          <w:sz w:val="24"/>
          <w:szCs w:val="24"/>
        </w:rPr>
        <w:t>泄漏、爆炸等突发性风险事故的可能性。目的层天然气含硫化氢，</w:t>
      </w:r>
      <w:r>
        <w:rPr>
          <w:rFonts w:ascii="宋体" w:hAnsi="宋体" w:eastAsia="宋体" w:cs="宋体"/>
          <w:spacing w:val="75"/>
          <w:sz w:val="24"/>
          <w:szCs w:val="24"/>
        </w:rPr>
        <w:t xml:space="preserve"> </w:t>
      </w:r>
      <w:r>
        <w:rPr>
          <w:rFonts w:ascii="宋体" w:hAnsi="宋体" w:eastAsia="宋体" w:cs="宋体"/>
          <w:spacing w:val="-11"/>
          <w:sz w:val="24"/>
          <w:szCs w:val="24"/>
        </w:rPr>
        <w:t>因此，</w:t>
      </w:r>
      <w:r>
        <w:rPr>
          <w:rFonts w:ascii="宋体" w:hAnsi="宋体" w:eastAsia="宋体" w:cs="宋体"/>
          <w:spacing w:val="-26"/>
          <w:sz w:val="24"/>
          <w:szCs w:val="24"/>
        </w:rPr>
        <w:t xml:space="preserve"> </w:t>
      </w:r>
      <w:r>
        <w:rPr>
          <w:rFonts w:ascii="宋体" w:hAnsi="宋体" w:eastAsia="宋体" w:cs="宋体"/>
          <w:spacing w:val="-11"/>
          <w:sz w:val="24"/>
          <w:szCs w:val="24"/>
        </w:rPr>
        <w:t>钻井过</w:t>
      </w:r>
      <w:r>
        <w:rPr>
          <w:rFonts w:ascii="宋体" w:hAnsi="宋体" w:eastAsia="宋体" w:cs="宋体"/>
          <w:sz w:val="24"/>
          <w:szCs w:val="24"/>
        </w:rPr>
        <w:t xml:space="preserve"> </w:t>
      </w:r>
      <w:r>
        <w:rPr>
          <w:rFonts w:ascii="宋体" w:hAnsi="宋体" w:eastAsia="宋体" w:cs="宋体"/>
          <w:spacing w:val="-5"/>
          <w:sz w:val="24"/>
          <w:szCs w:val="24"/>
        </w:rPr>
        <w:t xml:space="preserve">程中可能涉及的主要危险物质为 </w:t>
      </w:r>
      <w:r>
        <w:rPr>
          <w:rFonts w:ascii="Times New Roman" w:hAnsi="Times New Roman" w:eastAsia="Times New Roman" w:cs="Times New Roman"/>
          <w:spacing w:val="-5"/>
          <w:sz w:val="24"/>
          <w:szCs w:val="24"/>
        </w:rPr>
        <w:t>CH</w:t>
      </w:r>
      <w:r>
        <w:rPr>
          <w:rFonts w:ascii="Times New Roman" w:hAnsi="Times New Roman" w:eastAsia="Times New Roman" w:cs="Times New Roman"/>
          <w:spacing w:val="-5"/>
          <w:position w:val="-1"/>
          <w:sz w:val="16"/>
          <w:szCs w:val="16"/>
        </w:rPr>
        <w:t xml:space="preserve">4  </w:t>
      </w:r>
      <w:r>
        <w:rPr>
          <w:rFonts w:ascii="宋体" w:hAnsi="宋体" w:eastAsia="宋体" w:cs="宋体"/>
          <w:spacing w:val="-5"/>
          <w:sz w:val="24"/>
          <w:szCs w:val="24"/>
        </w:rPr>
        <w:t>（易燃易爆</w:t>
      </w:r>
      <w:r>
        <w:rPr>
          <w:rFonts w:ascii="宋体" w:hAnsi="宋体" w:eastAsia="宋体" w:cs="宋体"/>
          <w:spacing w:val="-29"/>
          <w:sz w:val="24"/>
          <w:szCs w:val="24"/>
        </w:rPr>
        <w:t>），</w:t>
      </w:r>
      <w:r>
        <w:rPr>
          <w:rFonts w:ascii="宋体" w:hAnsi="宋体" w:eastAsia="宋体" w:cs="宋体"/>
          <w:spacing w:val="-5"/>
          <w:sz w:val="24"/>
          <w:szCs w:val="24"/>
        </w:rPr>
        <w:t>其次为硫化氢。此外</w:t>
      </w:r>
      <w:r>
        <w:rPr>
          <w:rFonts w:ascii="宋体" w:hAnsi="宋体" w:eastAsia="宋体" w:cs="宋体"/>
          <w:spacing w:val="-6"/>
          <w:sz w:val="24"/>
          <w:szCs w:val="24"/>
        </w:rPr>
        <w:t>，涉及</w:t>
      </w:r>
      <w:r>
        <w:rPr>
          <w:rFonts w:ascii="宋体" w:hAnsi="宋体" w:eastAsia="宋体" w:cs="宋体"/>
          <w:spacing w:val="1"/>
          <w:sz w:val="24"/>
          <w:szCs w:val="24"/>
        </w:rPr>
        <w:t xml:space="preserve"> </w:t>
      </w:r>
      <w:r>
        <w:rPr>
          <w:rFonts w:ascii="宋体" w:hAnsi="宋体" w:eastAsia="宋体" w:cs="宋体"/>
          <w:spacing w:val="-3"/>
          <w:sz w:val="24"/>
          <w:szCs w:val="24"/>
        </w:rPr>
        <w:t>的风险物质还包括钻井过程中使用的易燃物质柴油、废油、目的层酸化用的稀盐</w:t>
      </w:r>
    </w:p>
    <w:p>
      <w:pPr>
        <w:spacing w:line="219" w:lineRule="auto"/>
        <w:ind w:left="123"/>
        <w:rPr>
          <w:rFonts w:ascii="宋体" w:hAnsi="宋体" w:eastAsia="宋体" w:cs="宋体"/>
          <w:sz w:val="24"/>
          <w:szCs w:val="24"/>
        </w:rPr>
      </w:pPr>
      <w:r>
        <w:rPr>
          <w:rFonts w:ascii="宋体" w:hAnsi="宋体" w:eastAsia="宋体" w:cs="宋体"/>
          <w:spacing w:val="-12"/>
          <w:sz w:val="24"/>
          <w:szCs w:val="24"/>
        </w:rPr>
        <w:t>酸、油基岩屑、</w:t>
      </w:r>
      <w:r>
        <w:rPr>
          <w:rFonts w:ascii="宋体" w:hAnsi="宋体" w:eastAsia="宋体" w:cs="宋体"/>
          <w:spacing w:val="45"/>
          <w:sz w:val="24"/>
          <w:szCs w:val="24"/>
        </w:rPr>
        <w:t xml:space="preserve"> </w:t>
      </w:r>
      <w:r>
        <w:rPr>
          <w:rFonts w:ascii="宋体" w:hAnsi="宋体" w:eastAsia="宋体" w:cs="宋体"/>
          <w:spacing w:val="-12"/>
          <w:sz w:val="24"/>
          <w:szCs w:val="24"/>
        </w:rPr>
        <w:t>废油基泥浆、</w:t>
      </w:r>
      <w:r>
        <w:rPr>
          <w:rFonts w:ascii="宋体" w:hAnsi="宋体" w:eastAsia="宋体" w:cs="宋体"/>
          <w:spacing w:val="44"/>
          <w:sz w:val="24"/>
          <w:szCs w:val="24"/>
        </w:rPr>
        <w:t xml:space="preserve"> </w:t>
      </w:r>
      <w:r>
        <w:rPr>
          <w:rFonts w:ascii="宋体" w:hAnsi="宋体" w:eastAsia="宋体" w:cs="宋体"/>
          <w:spacing w:val="-12"/>
          <w:sz w:val="24"/>
          <w:szCs w:val="24"/>
        </w:rPr>
        <w:t>废油等。各风险物质详见表</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4.1-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2"/>
          <w:sz w:val="24"/>
          <w:szCs w:val="24"/>
        </w:rPr>
        <w:t>1</w:t>
      </w:r>
      <w:r>
        <w:rPr>
          <w:rFonts w:ascii="宋体" w:hAnsi="宋体" w:eastAsia="宋体" w:cs="宋体"/>
          <w:spacing w:val="-12"/>
          <w:sz w:val="24"/>
          <w:szCs w:val="24"/>
        </w:rPr>
        <w:t>。</w:t>
      </w:r>
    </w:p>
    <w:p>
      <w:pPr>
        <w:spacing w:before="194" w:line="220" w:lineRule="auto"/>
        <w:ind w:left="1827"/>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2"/>
          <w:sz w:val="24"/>
          <w:szCs w:val="24"/>
        </w:rPr>
        <w:t xml:space="preserve"> </w:t>
      </w:r>
      <w:r>
        <w:rPr>
          <w:rFonts w:ascii="Times New Roman" w:hAnsi="Times New Roman" w:eastAsia="Times New Roman" w:cs="Times New Roman"/>
          <w:b/>
          <w:bCs/>
          <w:sz w:val="24"/>
          <w:szCs w:val="24"/>
        </w:rPr>
        <w:t xml:space="preserve">4.1-1    </w:t>
      </w:r>
      <w:r>
        <w:rPr>
          <w:rFonts w:ascii="宋体" w:hAnsi="宋体" w:eastAsia="宋体" w:cs="宋体"/>
          <w:sz w:val="24"/>
          <w:szCs w:val="24"/>
          <w14:textOutline w14:w="4354" w14:cap="flat" w14:cmpd="sng">
            <w14:solidFill>
              <w14:srgbClr w14:val="000000"/>
            </w14:solidFill>
            <w14:prstDash w14:val="solid"/>
            <w14:miter w14:val="10"/>
          </w14:textOutline>
        </w:rPr>
        <w:t>项目危险废物危险性识别情况</w:t>
      </w:r>
      <w:r>
        <w:rPr>
          <w:rFonts w:ascii="宋体" w:hAnsi="宋体" w:eastAsia="宋体" w:cs="宋体"/>
          <w:spacing w:val="-1"/>
          <w:sz w:val="24"/>
          <w:szCs w:val="24"/>
          <w14:textOutline w14:w="4354" w14:cap="flat" w14:cmpd="sng">
            <w14:solidFill>
              <w14:srgbClr w14:val="000000"/>
            </w14:solidFill>
            <w14:prstDash w14:val="solid"/>
            <w14:miter w14:val="10"/>
          </w14:textOutline>
        </w:rPr>
        <w:t>一览表</w:t>
      </w:r>
    </w:p>
    <w:p>
      <w:pPr>
        <w:spacing w:line="15"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2610"/>
        <w:gridCol w:w="3342"/>
        <w:gridCol w:w="1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1" w:type="dxa"/>
            <w:vAlign w:val="top"/>
          </w:tcPr>
          <w:p>
            <w:pPr>
              <w:pStyle w:val="6"/>
              <w:spacing w:before="67" w:line="222" w:lineRule="auto"/>
              <w:ind w:left="160"/>
              <w:rPr>
                <w:sz w:val="21"/>
                <w:szCs w:val="21"/>
              </w:rPr>
            </w:pPr>
            <w:r>
              <w:rPr>
                <w:spacing w:val="-2"/>
                <w:sz w:val="21"/>
                <w:szCs w:val="21"/>
              </w:rPr>
              <w:t>序号</w:t>
            </w:r>
          </w:p>
        </w:tc>
        <w:tc>
          <w:tcPr>
            <w:tcW w:w="2610" w:type="dxa"/>
            <w:vAlign w:val="top"/>
          </w:tcPr>
          <w:p>
            <w:pPr>
              <w:pStyle w:val="6"/>
              <w:spacing w:before="68" w:line="221" w:lineRule="auto"/>
              <w:ind w:left="681"/>
              <w:rPr>
                <w:sz w:val="21"/>
                <w:szCs w:val="21"/>
              </w:rPr>
            </w:pPr>
            <w:r>
              <w:rPr>
                <w:spacing w:val="-2"/>
                <w:sz w:val="21"/>
                <w:szCs w:val="21"/>
              </w:rPr>
              <w:t>危险物质名称</w:t>
            </w:r>
          </w:p>
        </w:tc>
        <w:tc>
          <w:tcPr>
            <w:tcW w:w="3342" w:type="dxa"/>
            <w:vAlign w:val="top"/>
          </w:tcPr>
          <w:p>
            <w:pPr>
              <w:pStyle w:val="6"/>
              <w:spacing w:before="67" w:line="221" w:lineRule="auto"/>
              <w:ind w:left="1049"/>
              <w:rPr>
                <w:sz w:val="21"/>
                <w:szCs w:val="21"/>
              </w:rPr>
            </w:pPr>
            <w:r>
              <w:rPr>
                <w:spacing w:val="-2"/>
                <w:sz w:val="21"/>
                <w:szCs w:val="21"/>
              </w:rPr>
              <w:t>主要危险特性</w:t>
            </w:r>
          </w:p>
        </w:tc>
        <w:tc>
          <w:tcPr>
            <w:tcW w:w="1850" w:type="dxa"/>
            <w:vAlign w:val="top"/>
          </w:tcPr>
          <w:p>
            <w:pPr>
              <w:pStyle w:val="6"/>
              <w:spacing w:before="67" w:line="221" w:lineRule="auto"/>
              <w:ind w:left="299"/>
              <w:rPr>
                <w:sz w:val="21"/>
                <w:szCs w:val="21"/>
              </w:rPr>
            </w:pPr>
            <w:r>
              <w:rPr>
                <w:spacing w:val="-2"/>
                <w:sz w:val="21"/>
                <w:szCs w:val="21"/>
              </w:rPr>
              <w:t>主要风险类型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31" w:type="dxa"/>
            <w:vAlign w:val="top"/>
          </w:tcPr>
          <w:p>
            <w:pPr>
              <w:spacing w:before="103" w:line="187" w:lineRule="auto"/>
              <w:ind w:left="33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10" w:type="dxa"/>
            <w:vAlign w:val="top"/>
          </w:tcPr>
          <w:p>
            <w:pPr>
              <w:pStyle w:val="6"/>
              <w:spacing w:before="64" w:line="221" w:lineRule="auto"/>
              <w:ind w:left="1125"/>
              <w:rPr>
                <w:sz w:val="21"/>
                <w:szCs w:val="21"/>
              </w:rPr>
            </w:pPr>
            <w:r>
              <w:rPr>
                <w:spacing w:val="-9"/>
                <w:sz w:val="21"/>
                <w:szCs w:val="21"/>
              </w:rPr>
              <w:t>甲烷</w:t>
            </w:r>
          </w:p>
        </w:tc>
        <w:tc>
          <w:tcPr>
            <w:tcW w:w="3342" w:type="dxa"/>
            <w:vAlign w:val="top"/>
          </w:tcPr>
          <w:p>
            <w:pPr>
              <w:pStyle w:val="6"/>
              <w:spacing w:before="63" w:line="221" w:lineRule="auto"/>
              <w:ind w:left="1049"/>
              <w:rPr>
                <w:sz w:val="21"/>
                <w:szCs w:val="21"/>
              </w:rPr>
            </w:pPr>
            <w:r>
              <w:rPr>
                <w:spacing w:val="-1"/>
                <w:sz w:val="21"/>
                <w:szCs w:val="21"/>
              </w:rPr>
              <w:t>毒性、易燃性</w:t>
            </w:r>
          </w:p>
        </w:tc>
        <w:tc>
          <w:tcPr>
            <w:tcW w:w="1850" w:type="dxa"/>
            <w:vAlign w:val="top"/>
          </w:tcPr>
          <w:p>
            <w:pPr>
              <w:pStyle w:val="6"/>
              <w:spacing w:before="63" w:line="221" w:lineRule="auto"/>
              <w:ind w:left="719"/>
              <w:rPr>
                <w:sz w:val="21"/>
                <w:szCs w:val="21"/>
              </w:rPr>
            </w:pPr>
            <w:r>
              <w:rPr>
                <w:spacing w:val="-2"/>
                <w:sz w:val="21"/>
                <w:szCs w:val="21"/>
              </w:rPr>
              <w:t>火灾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1" w:type="dxa"/>
            <w:vAlign w:val="top"/>
          </w:tcPr>
          <w:p>
            <w:pPr>
              <w:spacing w:before="106" w:line="187" w:lineRule="auto"/>
              <w:ind w:left="31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10" w:type="dxa"/>
            <w:vAlign w:val="top"/>
          </w:tcPr>
          <w:p>
            <w:pPr>
              <w:pStyle w:val="6"/>
              <w:spacing w:before="67" w:line="222" w:lineRule="auto"/>
              <w:ind w:left="992"/>
              <w:rPr>
                <w:sz w:val="21"/>
                <w:szCs w:val="21"/>
              </w:rPr>
            </w:pPr>
            <w:r>
              <w:rPr>
                <w:spacing w:val="-1"/>
                <w:sz w:val="21"/>
                <w:szCs w:val="21"/>
              </w:rPr>
              <w:t>硫化氢</w:t>
            </w:r>
          </w:p>
        </w:tc>
        <w:tc>
          <w:tcPr>
            <w:tcW w:w="3342" w:type="dxa"/>
            <w:vAlign w:val="top"/>
          </w:tcPr>
          <w:p>
            <w:pPr>
              <w:pStyle w:val="6"/>
              <w:spacing w:before="66" w:line="221" w:lineRule="auto"/>
              <w:ind w:left="1469"/>
              <w:rPr>
                <w:sz w:val="21"/>
                <w:szCs w:val="21"/>
              </w:rPr>
            </w:pPr>
            <w:r>
              <w:rPr>
                <w:spacing w:val="-2"/>
                <w:sz w:val="21"/>
                <w:szCs w:val="21"/>
              </w:rPr>
              <w:t>毒性</w:t>
            </w:r>
          </w:p>
        </w:tc>
        <w:tc>
          <w:tcPr>
            <w:tcW w:w="1850" w:type="dxa"/>
            <w:vAlign w:val="top"/>
          </w:tcPr>
          <w:p>
            <w:pPr>
              <w:pStyle w:val="6"/>
              <w:spacing w:before="67" w:line="222" w:lineRule="auto"/>
              <w:ind w:left="721"/>
              <w:rPr>
                <w:sz w:val="21"/>
                <w:szCs w:val="21"/>
              </w:rPr>
            </w:pPr>
            <w:r>
              <w:rPr>
                <w:spacing w:val="-3"/>
                <w:sz w:val="21"/>
                <w:szCs w:val="21"/>
              </w:rPr>
              <w:t>泄漏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1"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10" w:type="dxa"/>
            <w:vAlign w:val="top"/>
          </w:tcPr>
          <w:p>
            <w:pPr>
              <w:pStyle w:val="6"/>
              <w:spacing w:before="67" w:line="221" w:lineRule="auto"/>
              <w:ind w:left="152"/>
              <w:rPr>
                <w:sz w:val="21"/>
                <w:szCs w:val="21"/>
              </w:rPr>
            </w:pPr>
            <w:r>
              <w:rPr>
                <w:spacing w:val="-2"/>
                <w:sz w:val="21"/>
                <w:szCs w:val="21"/>
              </w:rPr>
              <w:t>柴油、白油（油类物质）</w:t>
            </w:r>
          </w:p>
        </w:tc>
        <w:tc>
          <w:tcPr>
            <w:tcW w:w="3342" w:type="dxa"/>
            <w:vAlign w:val="top"/>
          </w:tcPr>
          <w:p>
            <w:pPr>
              <w:pStyle w:val="6"/>
              <w:spacing w:before="67" w:line="221" w:lineRule="auto"/>
              <w:ind w:left="1469"/>
              <w:rPr>
                <w:sz w:val="21"/>
                <w:szCs w:val="21"/>
              </w:rPr>
            </w:pPr>
            <w:r>
              <w:rPr>
                <w:spacing w:val="-2"/>
                <w:sz w:val="21"/>
                <w:szCs w:val="21"/>
              </w:rPr>
              <w:t>毒性</w:t>
            </w:r>
          </w:p>
        </w:tc>
        <w:tc>
          <w:tcPr>
            <w:tcW w:w="1850" w:type="dxa"/>
            <w:vAlign w:val="top"/>
          </w:tcPr>
          <w:p>
            <w:pPr>
              <w:pStyle w:val="6"/>
              <w:spacing w:before="67" w:line="219" w:lineRule="auto"/>
              <w:ind w:left="116"/>
              <w:rPr>
                <w:sz w:val="21"/>
                <w:szCs w:val="21"/>
              </w:rPr>
            </w:pPr>
            <w:r>
              <w:rPr>
                <w:spacing w:val="-8"/>
                <w:sz w:val="21"/>
                <w:szCs w:val="21"/>
              </w:rPr>
              <w:t>泄漏、火灾、爆炸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31" w:type="dxa"/>
            <w:vAlign w:val="top"/>
          </w:tcPr>
          <w:p>
            <w:pPr>
              <w:spacing w:before="207" w:line="187" w:lineRule="auto"/>
              <w:ind w:left="31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10" w:type="dxa"/>
            <w:vAlign w:val="top"/>
          </w:tcPr>
          <w:p>
            <w:pPr>
              <w:pStyle w:val="6"/>
              <w:spacing w:before="32" w:line="222" w:lineRule="auto"/>
              <w:ind w:left="576" w:right="157" w:hanging="420"/>
              <w:rPr>
                <w:sz w:val="21"/>
                <w:szCs w:val="21"/>
              </w:rPr>
            </w:pPr>
            <w:r>
              <w:rPr>
                <w:spacing w:val="-2"/>
                <w:sz w:val="21"/>
                <w:szCs w:val="21"/>
              </w:rPr>
              <w:t>油基岩屑、油基泥浆、废</w:t>
            </w:r>
            <w:r>
              <w:rPr>
                <w:spacing w:val="2"/>
                <w:sz w:val="21"/>
                <w:szCs w:val="21"/>
              </w:rPr>
              <w:t xml:space="preserve"> </w:t>
            </w:r>
            <w:r>
              <w:rPr>
                <w:spacing w:val="-3"/>
                <w:sz w:val="21"/>
                <w:szCs w:val="21"/>
              </w:rPr>
              <w:t>油（油类物质）</w:t>
            </w:r>
          </w:p>
        </w:tc>
        <w:tc>
          <w:tcPr>
            <w:tcW w:w="3342" w:type="dxa"/>
            <w:vAlign w:val="top"/>
          </w:tcPr>
          <w:p>
            <w:pPr>
              <w:pStyle w:val="6"/>
              <w:spacing w:before="168" w:line="221" w:lineRule="auto"/>
              <w:ind w:left="1469"/>
              <w:rPr>
                <w:sz w:val="21"/>
                <w:szCs w:val="21"/>
              </w:rPr>
            </w:pPr>
            <w:r>
              <w:rPr>
                <w:spacing w:val="-2"/>
                <w:sz w:val="21"/>
                <w:szCs w:val="21"/>
              </w:rPr>
              <w:t>毒性</w:t>
            </w:r>
          </w:p>
        </w:tc>
        <w:tc>
          <w:tcPr>
            <w:tcW w:w="1850" w:type="dxa"/>
            <w:vAlign w:val="top"/>
          </w:tcPr>
          <w:p>
            <w:pPr>
              <w:pStyle w:val="6"/>
              <w:spacing w:before="168" w:line="221" w:lineRule="auto"/>
              <w:ind w:left="406"/>
              <w:rPr>
                <w:sz w:val="21"/>
                <w:szCs w:val="21"/>
              </w:rPr>
            </w:pPr>
            <w:r>
              <w:rPr>
                <w:spacing w:val="-5"/>
                <w:sz w:val="21"/>
                <w:szCs w:val="21"/>
              </w:rPr>
              <w:t>泄漏、火灾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1" w:type="dxa"/>
            <w:vAlign w:val="top"/>
          </w:tcPr>
          <w:p>
            <w:pPr>
              <w:spacing w:before="111" w:line="184"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10" w:type="dxa"/>
            <w:vAlign w:val="top"/>
          </w:tcPr>
          <w:p>
            <w:pPr>
              <w:pStyle w:val="6"/>
              <w:spacing w:before="69" w:line="236" w:lineRule="auto"/>
              <w:ind w:left="749"/>
              <w:rPr>
                <w:sz w:val="21"/>
                <w:szCs w:val="21"/>
              </w:rPr>
            </w:pPr>
            <w:r>
              <w:rPr>
                <w:spacing w:val="-2"/>
                <w:sz w:val="21"/>
                <w:szCs w:val="21"/>
              </w:rPr>
              <w:t>盐酸（</w:t>
            </w:r>
            <w:r>
              <w:rPr>
                <w:rFonts w:ascii="Times New Roman" w:hAnsi="Times New Roman" w:eastAsia="Times New Roman" w:cs="Times New Roman"/>
                <w:spacing w:val="-2"/>
                <w:sz w:val="21"/>
                <w:szCs w:val="21"/>
              </w:rPr>
              <w:t>7%</w:t>
            </w:r>
            <w:r>
              <w:rPr>
                <w:spacing w:val="-2"/>
                <w:sz w:val="21"/>
                <w:szCs w:val="21"/>
              </w:rPr>
              <w:t>）</w:t>
            </w:r>
          </w:p>
        </w:tc>
        <w:tc>
          <w:tcPr>
            <w:tcW w:w="3342" w:type="dxa"/>
            <w:vAlign w:val="top"/>
          </w:tcPr>
          <w:p>
            <w:pPr>
              <w:pStyle w:val="6"/>
              <w:spacing w:before="69" w:line="221" w:lineRule="auto"/>
              <w:ind w:left="1049"/>
              <w:rPr>
                <w:sz w:val="21"/>
                <w:szCs w:val="21"/>
              </w:rPr>
            </w:pPr>
            <w:r>
              <w:rPr>
                <w:spacing w:val="-2"/>
                <w:sz w:val="21"/>
                <w:szCs w:val="21"/>
              </w:rPr>
              <w:t>毒性、腐蚀性</w:t>
            </w:r>
          </w:p>
        </w:tc>
        <w:tc>
          <w:tcPr>
            <w:tcW w:w="1850" w:type="dxa"/>
            <w:vAlign w:val="top"/>
          </w:tcPr>
          <w:p>
            <w:pPr>
              <w:pStyle w:val="6"/>
              <w:spacing w:before="69" w:line="222" w:lineRule="auto"/>
              <w:ind w:left="721"/>
              <w:rPr>
                <w:sz w:val="21"/>
                <w:szCs w:val="21"/>
              </w:rPr>
            </w:pPr>
            <w:r>
              <w:rPr>
                <w:spacing w:val="-3"/>
                <w:sz w:val="21"/>
                <w:szCs w:val="21"/>
              </w:rPr>
              <w:t>泄漏</w:t>
            </w:r>
          </w:p>
        </w:tc>
      </w:tr>
    </w:tbl>
    <w:p>
      <w:pPr>
        <w:spacing w:before="179"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）天然气危险性分析</w:t>
      </w:r>
    </w:p>
    <w:p>
      <w:pPr>
        <w:spacing w:before="193" w:line="480" w:lineRule="exact"/>
        <w:ind w:left="603"/>
        <w:rPr>
          <w:rFonts w:ascii="宋体" w:hAnsi="宋体" w:eastAsia="宋体" w:cs="宋体"/>
          <w:sz w:val="24"/>
          <w:szCs w:val="24"/>
        </w:rPr>
      </w:pPr>
      <w:r>
        <w:rPr>
          <w:rFonts w:ascii="宋体" w:hAnsi="宋体" w:eastAsia="宋体" w:cs="宋体"/>
          <w:spacing w:val="-10"/>
          <w:position w:val="18"/>
          <w:sz w:val="24"/>
          <w:szCs w:val="24"/>
        </w:rPr>
        <w:t>本项目目的层天然气主要成分为甲烷， 含有硫化氢气体， 硫化氢燃烧后产物</w:t>
      </w:r>
    </w:p>
    <w:p>
      <w:pPr>
        <w:spacing w:before="1" w:line="218" w:lineRule="auto"/>
        <w:ind w:left="125"/>
        <w:rPr>
          <w:rFonts w:ascii="宋体" w:hAnsi="宋体" w:eastAsia="宋体" w:cs="宋体"/>
          <w:sz w:val="24"/>
          <w:szCs w:val="24"/>
        </w:rPr>
      </w:pPr>
      <w:r>
        <w:rPr>
          <w:rFonts w:ascii="宋体" w:hAnsi="宋体" w:eastAsia="宋体" w:cs="宋体"/>
          <w:spacing w:val="-1"/>
          <w:sz w:val="24"/>
          <w:szCs w:val="24"/>
        </w:rPr>
        <w:t>为二氧化硫。甲烷、硫化氢、二氧化硫主要理化特性见表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4.1-2</w:t>
      </w: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4.1-5</w:t>
      </w:r>
      <w:r>
        <w:rPr>
          <w:rFonts w:ascii="宋体" w:hAnsi="宋体" w:eastAsia="宋体" w:cs="宋体"/>
          <w:spacing w:val="-1"/>
          <w:sz w:val="24"/>
          <w:szCs w:val="24"/>
        </w:rPr>
        <w:t>。</w:t>
      </w:r>
    </w:p>
    <w:p>
      <w:pPr>
        <w:spacing w:before="195" w:line="220" w:lineRule="auto"/>
        <w:ind w:left="2550"/>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3"/>
          <w:sz w:val="24"/>
          <w:szCs w:val="24"/>
        </w:rPr>
        <w:t>4.1-2</w:t>
      </w:r>
      <w:r>
        <w:rPr>
          <w:rFonts w:ascii="Times New Roman" w:hAnsi="Times New Roman" w:eastAsia="Times New Roman" w:cs="Times New Roman"/>
          <w:b/>
          <w:bCs/>
          <w:spacing w:val="10"/>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10"/>
          </w14:textOutline>
        </w:rPr>
        <w:t>甲烷危险、有害特性表</w:t>
      </w:r>
    </w:p>
    <w:p>
      <w:pPr>
        <w:spacing w:line="1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8"/>
        <w:gridCol w:w="1698"/>
        <w:gridCol w:w="2126"/>
        <w:gridCol w:w="1914"/>
        <w:gridCol w:w="106"/>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98" w:type="dxa"/>
            <w:vMerge w:val="restart"/>
            <w:tcBorders>
              <w:bottom w:val="nil"/>
            </w:tcBorders>
            <w:textDirection w:val="tbRlV"/>
            <w:vAlign w:val="top"/>
          </w:tcPr>
          <w:p>
            <w:pPr>
              <w:pStyle w:val="6"/>
              <w:spacing w:before="73" w:line="209" w:lineRule="auto"/>
              <w:ind w:left="807"/>
              <w:rPr>
                <w:sz w:val="21"/>
                <w:szCs w:val="21"/>
              </w:rPr>
            </w:pPr>
            <w:r>
              <w:rPr>
                <w:spacing w:val="1"/>
                <w:sz w:val="21"/>
                <w:szCs w:val="21"/>
              </w:rPr>
              <w:t>标</w:t>
            </w:r>
            <w:r>
              <w:rPr>
                <w:spacing w:val="-43"/>
                <w:sz w:val="21"/>
                <w:szCs w:val="21"/>
              </w:rPr>
              <w:t xml:space="preserve"> </w:t>
            </w:r>
            <w:r>
              <w:rPr>
                <w:spacing w:val="1"/>
                <w:sz w:val="21"/>
                <w:szCs w:val="21"/>
              </w:rPr>
              <w:t>识</w:t>
            </w:r>
          </w:p>
        </w:tc>
        <w:tc>
          <w:tcPr>
            <w:tcW w:w="1698" w:type="dxa"/>
            <w:vAlign w:val="top"/>
          </w:tcPr>
          <w:p>
            <w:pPr>
              <w:pStyle w:val="6"/>
              <w:spacing w:before="71" w:line="221" w:lineRule="auto"/>
              <w:ind w:left="556"/>
              <w:rPr>
                <w:sz w:val="21"/>
                <w:szCs w:val="21"/>
              </w:rPr>
            </w:pPr>
            <w:r>
              <w:rPr>
                <w:spacing w:val="-6"/>
                <w:sz w:val="21"/>
                <w:szCs w:val="21"/>
              </w:rPr>
              <w:t>中文名</w:t>
            </w:r>
          </w:p>
        </w:tc>
        <w:tc>
          <w:tcPr>
            <w:tcW w:w="2126" w:type="dxa"/>
            <w:vAlign w:val="top"/>
          </w:tcPr>
          <w:p>
            <w:pPr>
              <w:pStyle w:val="6"/>
              <w:spacing w:before="71" w:line="221" w:lineRule="auto"/>
              <w:ind w:left="884"/>
              <w:rPr>
                <w:sz w:val="21"/>
                <w:szCs w:val="21"/>
              </w:rPr>
            </w:pPr>
            <w:r>
              <w:rPr>
                <w:spacing w:val="-9"/>
                <w:sz w:val="21"/>
                <w:szCs w:val="21"/>
              </w:rPr>
              <w:t>甲烷</w:t>
            </w:r>
          </w:p>
        </w:tc>
        <w:tc>
          <w:tcPr>
            <w:tcW w:w="1914" w:type="dxa"/>
            <w:vAlign w:val="top"/>
          </w:tcPr>
          <w:p>
            <w:pPr>
              <w:pStyle w:val="6"/>
              <w:spacing w:before="71" w:line="221" w:lineRule="auto"/>
              <w:ind w:left="647"/>
              <w:rPr>
                <w:sz w:val="21"/>
                <w:szCs w:val="21"/>
              </w:rPr>
            </w:pPr>
            <w:r>
              <w:rPr>
                <w:spacing w:val="-2"/>
                <w:sz w:val="21"/>
                <w:szCs w:val="21"/>
              </w:rPr>
              <w:t>英文名</w:t>
            </w:r>
          </w:p>
        </w:tc>
        <w:tc>
          <w:tcPr>
            <w:tcW w:w="2397" w:type="dxa"/>
            <w:gridSpan w:val="2"/>
            <w:vAlign w:val="top"/>
          </w:tcPr>
          <w:p>
            <w:pPr>
              <w:spacing w:before="106" w:line="190" w:lineRule="auto"/>
              <w:ind w:left="8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Methane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3" w:line="222" w:lineRule="auto"/>
              <w:ind w:left="537"/>
              <w:rPr>
                <w:sz w:val="21"/>
                <w:szCs w:val="21"/>
              </w:rPr>
            </w:pPr>
            <w:r>
              <w:rPr>
                <w:spacing w:val="-2"/>
                <w:sz w:val="21"/>
                <w:szCs w:val="21"/>
              </w:rPr>
              <w:t>化学式</w:t>
            </w:r>
          </w:p>
        </w:tc>
        <w:tc>
          <w:tcPr>
            <w:tcW w:w="2126" w:type="dxa"/>
            <w:vAlign w:val="top"/>
          </w:tcPr>
          <w:p>
            <w:pPr>
              <w:spacing w:before="102" w:line="196" w:lineRule="auto"/>
              <w:ind w:left="885"/>
              <w:rPr>
                <w:rFonts w:ascii="Times New Roman" w:hAnsi="Times New Roman" w:eastAsia="Times New Roman" w:cs="Times New Roman"/>
                <w:sz w:val="13"/>
                <w:szCs w:val="13"/>
              </w:rPr>
            </w:pPr>
            <w:r>
              <w:rPr>
                <w:rFonts w:ascii="Times New Roman" w:hAnsi="Times New Roman" w:eastAsia="Times New Roman" w:cs="Times New Roman"/>
                <w:sz w:val="21"/>
                <w:szCs w:val="21"/>
              </w:rPr>
              <w:t>CH</w:t>
            </w:r>
            <w:r>
              <w:rPr>
                <w:rFonts w:ascii="Times New Roman" w:hAnsi="Times New Roman" w:eastAsia="Times New Roman" w:cs="Times New Roman"/>
                <w:position w:val="-1"/>
                <w:sz w:val="13"/>
                <w:szCs w:val="13"/>
              </w:rPr>
              <w:t>4</w:t>
            </w:r>
          </w:p>
        </w:tc>
        <w:tc>
          <w:tcPr>
            <w:tcW w:w="1914" w:type="dxa"/>
            <w:vAlign w:val="top"/>
          </w:tcPr>
          <w:p>
            <w:pPr>
              <w:pStyle w:val="6"/>
              <w:spacing w:before="64" w:line="221" w:lineRule="auto"/>
              <w:ind w:left="649"/>
              <w:rPr>
                <w:sz w:val="21"/>
                <w:szCs w:val="21"/>
              </w:rPr>
            </w:pPr>
            <w:r>
              <w:rPr>
                <w:spacing w:val="-2"/>
                <w:sz w:val="21"/>
                <w:szCs w:val="21"/>
              </w:rPr>
              <w:t>分子量</w:t>
            </w:r>
          </w:p>
        </w:tc>
        <w:tc>
          <w:tcPr>
            <w:tcW w:w="2397" w:type="dxa"/>
            <w:gridSpan w:val="2"/>
            <w:vAlign w:val="top"/>
          </w:tcPr>
          <w:p>
            <w:pPr>
              <w:spacing w:before="102" w:line="187" w:lineRule="auto"/>
              <w:ind w:left="9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3" w:line="221" w:lineRule="auto"/>
              <w:ind w:left="379"/>
              <w:rPr>
                <w:sz w:val="21"/>
                <w:szCs w:val="21"/>
              </w:rPr>
            </w:pPr>
            <w:r>
              <w:rPr>
                <w:rFonts w:ascii="Times New Roman" w:hAnsi="Times New Roman" w:eastAsia="Times New Roman" w:cs="Times New Roman"/>
                <w:spacing w:val="-2"/>
                <w:sz w:val="21"/>
                <w:szCs w:val="21"/>
              </w:rPr>
              <w:t>ICSC</w:t>
            </w:r>
            <w:r>
              <w:rPr>
                <w:rFonts w:ascii="Times New Roman" w:hAnsi="Times New Roman" w:eastAsia="Times New Roman" w:cs="Times New Roman"/>
                <w:spacing w:val="12"/>
                <w:sz w:val="21"/>
                <w:szCs w:val="21"/>
              </w:rPr>
              <w:t xml:space="preserve"> </w:t>
            </w:r>
            <w:r>
              <w:rPr>
                <w:spacing w:val="-2"/>
                <w:sz w:val="21"/>
                <w:szCs w:val="21"/>
              </w:rPr>
              <w:t>编号</w:t>
            </w:r>
          </w:p>
        </w:tc>
        <w:tc>
          <w:tcPr>
            <w:tcW w:w="2126" w:type="dxa"/>
            <w:vAlign w:val="top"/>
          </w:tcPr>
          <w:p>
            <w:pPr>
              <w:spacing w:before="102" w:line="187" w:lineRule="auto"/>
              <w:ind w:left="8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0291</w:t>
            </w:r>
          </w:p>
        </w:tc>
        <w:tc>
          <w:tcPr>
            <w:tcW w:w="1914" w:type="dxa"/>
            <w:vAlign w:val="top"/>
          </w:tcPr>
          <w:p>
            <w:pPr>
              <w:pStyle w:val="6"/>
              <w:spacing w:before="64" w:line="221" w:lineRule="auto"/>
              <w:ind w:left="233"/>
              <w:rPr>
                <w:sz w:val="21"/>
                <w:szCs w:val="21"/>
              </w:rPr>
            </w:pPr>
            <w:r>
              <w:rPr>
                <w:rFonts w:ascii="Times New Roman" w:hAnsi="Times New Roman" w:eastAsia="Times New Roman" w:cs="Times New Roman"/>
                <w:spacing w:val="-1"/>
                <w:sz w:val="21"/>
                <w:szCs w:val="21"/>
              </w:rPr>
              <w:t xml:space="preserve">IMDG </w:t>
            </w:r>
            <w:r>
              <w:rPr>
                <w:spacing w:val="-1"/>
                <w:sz w:val="21"/>
                <w:szCs w:val="21"/>
              </w:rPr>
              <w:t>规则页码</w:t>
            </w:r>
          </w:p>
        </w:tc>
        <w:tc>
          <w:tcPr>
            <w:tcW w:w="2397" w:type="dxa"/>
            <w:gridSpan w:val="2"/>
            <w:vAlign w:val="top"/>
          </w:tcPr>
          <w:p>
            <w:pPr>
              <w:spacing w:before="102" w:line="187" w:lineRule="auto"/>
              <w:ind w:left="9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4" w:line="222" w:lineRule="auto"/>
              <w:ind w:left="516"/>
              <w:rPr>
                <w:sz w:val="21"/>
                <w:szCs w:val="21"/>
              </w:rPr>
            </w:pPr>
            <w:r>
              <w:rPr>
                <w:rFonts w:ascii="Times New Roman" w:hAnsi="Times New Roman" w:eastAsia="Times New Roman" w:cs="Times New Roman"/>
                <w:spacing w:val="-2"/>
                <w:sz w:val="21"/>
                <w:szCs w:val="21"/>
              </w:rPr>
              <w:t>CAS</w:t>
            </w:r>
            <w:r>
              <w:rPr>
                <w:rFonts w:ascii="Times New Roman" w:hAnsi="Times New Roman" w:eastAsia="Times New Roman" w:cs="Times New Roman"/>
                <w:spacing w:val="14"/>
                <w:w w:val="101"/>
                <w:sz w:val="21"/>
                <w:szCs w:val="21"/>
              </w:rPr>
              <w:t xml:space="preserve"> </w:t>
            </w:r>
            <w:r>
              <w:rPr>
                <w:spacing w:val="-2"/>
                <w:sz w:val="21"/>
                <w:szCs w:val="21"/>
              </w:rPr>
              <w:t>号</w:t>
            </w:r>
          </w:p>
        </w:tc>
        <w:tc>
          <w:tcPr>
            <w:tcW w:w="2126" w:type="dxa"/>
            <w:vAlign w:val="top"/>
          </w:tcPr>
          <w:p>
            <w:pPr>
              <w:spacing w:before="103" w:line="187" w:lineRule="auto"/>
              <w:ind w:left="7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74-82-8</w:t>
            </w:r>
          </w:p>
        </w:tc>
        <w:tc>
          <w:tcPr>
            <w:tcW w:w="1914" w:type="dxa"/>
            <w:vAlign w:val="top"/>
          </w:tcPr>
          <w:p>
            <w:pPr>
              <w:pStyle w:val="6"/>
              <w:spacing w:before="64" w:line="222" w:lineRule="auto"/>
              <w:ind w:left="497"/>
              <w:rPr>
                <w:sz w:val="21"/>
                <w:szCs w:val="21"/>
              </w:rPr>
            </w:pPr>
            <w:r>
              <w:rPr>
                <w:rFonts w:ascii="Times New Roman" w:hAnsi="Times New Roman" w:eastAsia="Times New Roman" w:cs="Times New Roman"/>
                <w:spacing w:val="-1"/>
                <w:sz w:val="21"/>
                <w:szCs w:val="21"/>
              </w:rPr>
              <w:t>RTECS</w:t>
            </w:r>
            <w:r>
              <w:rPr>
                <w:rFonts w:ascii="Times New Roman" w:hAnsi="Times New Roman" w:eastAsia="Times New Roman" w:cs="Times New Roman"/>
                <w:spacing w:val="17"/>
                <w:sz w:val="21"/>
                <w:szCs w:val="21"/>
              </w:rPr>
              <w:t xml:space="preserve"> </w:t>
            </w:r>
            <w:r>
              <w:rPr>
                <w:spacing w:val="-1"/>
                <w:sz w:val="21"/>
                <w:szCs w:val="21"/>
              </w:rPr>
              <w:t>号</w:t>
            </w:r>
          </w:p>
        </w:tc>
        <w:tc>
          <w:tcPr>
            <w:tcW w:w="2397" w:type="dxa"/>
            <w:gridSpan w:val="2"/>
            <w:vAlign w:val="top"/>
          </w:tcPr>
          <w:p>
            <w:pPr>
              <w:spacing w:before="103"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PA1490000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4" w:line="221" w:lineRule="auto"/>
              <w:ind w:left="457"/>
              <w:rPr>
                <w:sz w:val="21"/>
                <w:szCs w:val="21"/>
              </w:rPr>
            </w:pPr>
            <w:r>
              <w:rPr>
                <w:rFonts w:ascii="Times New Roman" w:hAnsi="Times New Roman" w:eastAsia="Times New Roman" w:cs="Times New Roman"/>
                <w:spacing w:val="-2"/>
                <w:sz w:val="21"/>
                <w:szCs w:val="21"/>
              </w:rPr>
              <w:t>UN</w:t>
            </w:r>
            <w:r>
              <w:rPr>
                <w:rFonts w:ascii="Times New Roman" w:hAnsi="Times New Roman" w:eastAsia="Times New Roman" w:cs="Times New Roman"/>
                <w:spacing w:val="12"/>
                <w:sz w:val="21"/>
                <w:szCs w:val="21"/>
              </w:rPr>
              <w:t xml:space="preserve"> </w:t>
            </w:r>
            <w:r>
              <w:rPr>
                <w:spacing w:val="-2"/>
                <w:sz w:val="21"/>
                <w:szCs w:val="21"/>
              </w:rPr>
              <w:t>编号</w:t>
            </w:r>
          </w:p>
        </w:tc>
        <w:tc>
          <w:tcPr>
            <w:tcW w:w="2126" w:type="dxa"/>
            <w:vAlign w:val="top"/>
          </w:tcPr>
          <w:p>
            <w:pPr>
              <w:spacing w:before="103" w:line="187" w:lineRule="auto"/>
              <w:ind w:left="87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1971</w:t>
            </w:r>
          </w:p>
        </w:tc>
        <w:tc>
          <w:tcPr>
            <w:tcW w:w="1914" w:type="dxa"/>
            <w:vAlign w:val="top"/>
          </w:tcPr>
          <w:p>
            <w:pPr>
              <w:pStyle w:val="6"/>
              <w:spacing w:before="64" w:line="220" w:lineRule="auto"/>
              <w:ind w:left="334"/>
              <w:rPr>
                <w:sz w:val="21"/>
                <w:szCs w:val="21"/>
              </w:rPr>
            </w:pPr>
            <w:r>
              <w:rPr>
                <w:spacing w:val="-2"/>
                <w:sz w:val="21"/>
                <w:szCs w:val="21"/>
              </w:rPr>
              <w:t>危险货物编号</w:t>
            </w:r>
          </w:p>
        </w:tc>
        <w:tc>
          <w:tcPr>
            <w:tcW w:w="2397" w:type="dxa"/>
            <w:gridSpan w:val="2"/>
            <w:vAlign w:val="top"/>
          </w:tcPr>
          <w:p>
            <w:pPr>
              <w:spacing w:before="103" w:line="187" w:lineRule="auto"/>
              <w:ind w:left="9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66" w:line="221" w:lineRule="auto"/>
              <w:ind w:left="477"/>
              <w:rPr>
                <w:sz w:val="21"/>
                <w:szCs w:val="21"/>
              </w:rPr>
            </w:pPr>
            <w:r>
              <w:rPr>
                <w:rFonts w:ascii="Times New Roman" w:hAnsi="Times New Roman" w:eastAsia="Times New Roman" w:cs="Times New Roman"/>
                <w:spacing w:val="-2"/>
                <w:sz w:val="21"/>
                <w:szCs w:val="21"/>
              </w:rPr>
              <w:t>EC</w:t>
            </w:r>
            <w:r>
              <w:rPr>
                <w:rFonts w:ascii="Times New Roman" w:hAnsi="Times New Roman" w:eastAsia="Times New Roman" w:cs="Times New Roman"/>
                <w:spacing w:val="9"/>
                <w:sz w:val="21"/>
                <w:szCs w:val="21"/>
              </w:rPr>
              <w:t xml:space="preserve"> </w:t>
            </w:r>
            <w:r>
              <w:rPr>
                <w:spacing w:val="-2"/>
                <w:sz w:val="21"/>
                <w:szCs w:val="21"/>
              </w:rPr>
              <w:t>编号</w:t>
            </w:r>
          </w:p>
        </w:tc>
        <w:tc>
          <w:tcPr>
            <w:tcW w:w="2126" w:type="dxa"/>
            <w:vAlign w:val="top"/>
          </w:tcPr>
          <w:p>
            <w:pPr>
              <w:spacing w:before="105" w:line="187" w:lineRule="auto"/>
              <w:ind w:left="4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601-001-00-4</w:t>
            </w:r>
          </w:p>
        </w:tc>
        <w:tc>
          <w:tcPr>
            <w:tcW w:w="1914" w:type="dxa"/>
            <w:vAlign w:val="top"/>
          </w:tcPr>
          <w:p>
            <w:pPr>
              <w:rPr>
                <w:rFonts w:ascii="Arial"/>
                <w:sz w:val="21"/>
              </w:rPr>
            </w:pPr>
          </w:p>
        </w:tc>
        <w:tc>
          <w:tcPr>
            <w:tcW w:w="2397"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398" w:type="dxa"/>
            <w:vMerge w:val="restart"/>
            <w:tcBorders>
              <w:bottom w:val="nil"/>
            </w:tcBorders>
            <w:textDirection w:val="tbRlV"/>
            <w:vAlign w:val="top"/>
          </w:tcPr>
          <w:p>
            <w:pPr>
              <w:pStyle w:val="6"/>
              <w:spacing w:before="73" w:line="209" w:lineRule="auto"/>
              <w:ind w:left="970"/>
              <w:rPr>
                <w:sz w:val="21"/>
                <w:szCs w:val="21"/>
              </w:rPr>
            </w:pPr>
            <w:r>
              <w:rPr>
                <w:spacing w:val="46"/>
                <w:sz w:val="21"/>
                <w:szCs w:val="21"/>
              </w:rPr>
              <w:t>理化性质</w:t>
            </w:r>
          </w:p>
        </w:tc>
        <w:tc>
          <w:tcPr>
            <w:tcW w:w="1698" w:type="dxa"/>
            <w:vAlign w:val="top"/>
          </w:tcPr>
          <w:p>
            <w:pPr>
              <w:pStyle w:val="6"/>
              <w:spacing w:before="67" w:line="221" w:lineRule="auto"/>
              <w:ind w:left="331"/>
              <w:rPr>
                <w:sz w:val="21"/>
                <w:szCs w:val="21"/>
              </w:rPr>
            </w:pPr>
            <w:r>
              <w:rPr>
                <w:spacing w:val="-2"/>
                <w:sz w:val="21"/>
                <w:szCs w:val="21"/>
              </w:rPr>
              <w:t>外观与性状</w:t>
            </w:r>
          </w:p>
        </w:tc>
        <w:tc>
          <w:tcPr>
            <w:tcW w:w="6437" w:type="dxa"/>
            <w:gridSpan w:val="4"/>
            <w:vAlign w:val="top"/>
          </w:tcPr>
          <w:p>
            <w:pPr>
              <w:pStyle w:val="6"/>
              <w:spacing w:before="67" w:line="221" w:lineRule="auto"/>
              <w:ind w:left="2488"/>
              <w:rPr>
                <w:sz w:val="21"/>
                <w:szCs w:val="21"/>
              </w:rPr>
            </w:pPr>
            <w:r>
              <w:rPr>
                <w:spacing w:val="-4"/>
                <w:sz w:val="21"/>
                <w:szCs w:val="21"/>
              </w:rPr>
              <w:t>无色无臭气体。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6" w:line="221" w:lineRule="auto"/>
              <w:ind w:left="538"/>
              <w:rPr>
                <w:sz w:val="21"/>
                <w:szCs w:val="21"/>
              </w:rPr>
            </w:pPr>
            <w:r>
              <w:rPr>
                <w:spacing w:val="-2"/>
                <w:sz w:val="21"/>
                <w:szCs w:val="21"/>
              </w:rPr>
              <w:t>溶解性</w:t>
            </w:r>
          </w:p>
        </w:tc>
        <w:tc>
          <w:tcPr>
            <w:tcW w:w="6437" w:type="dxa"/>
            <w:gridSpan w:val="4"/>
            <w:vAlign w:val="top"/>
          </w:tcPr>
          <w:p>
            <w:pPr>
              <w:pStyle w:val="6"/>
              <w:spacing w:before="65" w:line="221" w:lineRule="auto"/>
              <w:ind w:left="1934"/>
              <w:rPr>
                <w:rFonts w:ascii="Times New Roman" w:hAnsi="Times New Roman" w:eastAsia="Times New Roman" w:cs="Times New Roman"/>
                <w:sz w:val="21"/>
                <w:szCs w:val="21"/>
              </w:rPr>
            </w:pPr>
            <w:r>
              <w:rPr>
                <w:spacing w:val="-7"/>
                <w:sz w:val="21"/>
                <w:szCs w:val="21"/>
              </w:rPr>
              <w:t>微溶于水， 溶于乙醇、乙醚</w:t>
            </w:r>
            <w:r>
              <w:rPr>
                <w:rFonts w:ascii="Times New Roman" w:hAnsi="Times New Roman" w:eastAsia="Times New Roman" w:cs="Times New Roman"/>
                <w:spacing w:val="-7"/>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6" w:line="222" w:lineRule="auto"/>
              <w:ind w:left="434"/>
              <w:rPr>
                <w:sz w:val="21"/>
                <w:szCs w:val="21"/>
              </w:rPr>
            </w:pPr>
            <w:r>
              <w:rPr>
                <w:spacing w:val="-2"/>
                <w:sz w:val="21"/>
                <w:szCs w:val="21"/>
              </w:rPr>
              <w:t>主要用途</w:t>
            </w:r>
          </w:p>
        </w:tc>
        <w:tc>
          <w:tcPr>
            <w:tcW w:w="6437" w:type="dxa"/>
            <w:gridSpan w:val="4"/>
            <w:vAlign w:val="top"/>
          </w:tcPr>
          <w:p>
            <w:pPr>
              <w:pStyle w:val="6"/>
              <w:spacing w:before="65" w:line="221" w:lineRule="auto"/>
              <w:ind w:left="911"/>
              <w:rPr>
                <w:sz w:val="21"/>
                <w:szCs w:val="21"/>
              </w:rPr>
            </w:pPr>
            <w:r>
              <w:rPr>
                <w:spacing w:val="-1"/>
                <w:sz w:val="21"/>
                <w:szCs w:val="21"/>
              </w:rPr>
              <w:t>用作燃料和用于炭黑、氢、乙炔、甲醛等的制造。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6" w:line="213" w:lineRule="auto"/>
              <w:ind w:left="465"/>
              <w:rPr>
                <w:rFonts w:ascii="Times New Roman" w:hAnsi="Times New Roman" w:eastAsia="Times New Roman" w:cs="Times New Roman"/>
                <w:sz w:val="21"/>
                <w:szCs w:val="21"/>
              </w:rPr>
            </w:pPr>
            <w:r>
              <w:rPr>
                <w:spacing w:val="-2"/>
                <w:sz w:val="21"/>
                <w:szCs w:val="21"/>
              </w:rPr>
              <w:t>熔点</w:t>
            </w:r>
            <w:r>
              <w:rPr>
                <w:rFonts w:ascii="Times New Roman" w:hAnsi="Times New Roman" w:eastAsia="Times New Roman" w:cs="Times New Roman"/>
                <w:spacing w:val="-2"/>
                <w:sz w:val="21"/>
                <w:szCs w:val="21"/>
              </w:rPr>
              <w:t>(℃)</w:t>
            </w:r>
          </w:p>
        </w:tc>
        <w:tc>
          <w:tcPr>
            <w:tcW w:w="2126" w:type="dxa"/>
            <w:vAlign w:val="top"/>
          </w:tcPr>
          <w:p>
            <w:pPr>
              <w:spacing w:before="105" w:line="187" w:lineRule="auto"/>
              <w:ind w:left="79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5"/>
                <w:sz w:val="21"/>
                <w:szCs w:val="21"/>
              </w:rPr>
              <w:t>182.5</w:t>
            </w:r>
          </w:p>
        </w:tc>
        <w:tc>
          <w:tcPr>
            <w:tcW w:w="2020" w:type="dxa"/>
            <w:gridSpan w:val="2"/>
            <w:vAlign w:val="top"/>
          </w:tcPr>
          <w:p>
            <w:pPr>
              <w:pStyle w:val="6"/>
              <w:spacing w:before="66" w:line="214" w:lineRule="auto"/>
              <w:ind w:left="305"/>
              <w:rPr>
                <w:rFonts w:ascii="Times New Roman" w:hAnsi="Times New Roman" w:eastAsia="Times New Roman" w:cs="Times New Roman"/>
                <w:sz w:val="21"/>
                <w:szCs w:val="21"/>
              </w:rPr>
            </w:pPr>
            <w:r>
              <w:rPr>
                <w:spacing w:val="-1"/>
                <w:sz w:val="21"/>
                <w:szCs w:val="21"/>
              </w:rPr>
              <w:t>相对密度</w:t>
            </w:r>
            <w:r>
              <w:rPr>
                <w:rFonts w:ascii="Times New Roman" w:hAnsi="Times New Roman" w:eastAsia="Times New Roman" w:cs="Times New Roman"/>
                <w:spacing w:val="-1"/>
                <w:sz w:val="21"/>
                <w:szCs w:val="21"/>
              </w:rPr>
              <w:t>(</w:t>
            </w:r>
            <w:r>
              <w:rPr>
                <w:spacing w:val="-1"/>
                <w:sz w:val="21"/>
                <w:szCs w:val="21"/>
              </w:rPr>
              <w:t>水</w:t>
            </w:r>
            <w:r>
              <w:rPr>
                <w:rFonts w:ascii="Times New Roman" w:hAnsi="Times New Roman" w:eastAsia="Times New Roman" w:cs="Times New Roman"/>
                <w:spacing w:val="-1"/>
                <w:sz w:val="21"/>
                <w:szCs w:val="21"/>
              </w:rPr>
              <w:t>=1)</w:t>
            </w:r>
          </w:p>
        </w:tc>
        <w:tc>
          <w:tcPr>
            <w:tcW w:w="2291" w:type="dxa"/>
            <w:vAlign w:val="top"/>
          </w:tcPr>
          <w:p>
            <w:pPr>
              <w:spacing w:before="101" w:line="191" w:lineRule="auto"/>
              <w:ind w:left="6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0.42/-</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3"/>
                <w:sz w:val="21"/>
                <w:szCs w:val="21"/>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7" w:line="213" w:lineRule="auto"/>
              <w:ind w:left="465"/>
              <w:rPr>
                <w:rFonts w:ascii="Times New Roman" w:hAnsi="Times New Roman" w:eastAsia="Times New Roman" w:cs="Times New Roman"/>
                <w:sz w:val="21"/>
                <w:szCs w:val="21"/>
              </w:rPr>
            </w:pPr>
            <w:r>
              <w:rPr>
                <w:spacing w:val="-2"/>
                <w:sz w:val="21"/>
                <w:szCs w:val="21"/>
              </w:rPr>
              <w:t>沸点</w:t>
            </w:r>
            <w:r>
              <w:rPr>
                <w:rFonts w:ascii="Times New Roman" w:hAnsi="Times New Roman" w:eastAsia="Times New Roman" w:cs="Times New Roman"/>
                <w:spacing w:val="-2"/>
                <w:sz w:val="21"/>
                <w:szCs w:val="21"/>
              </w:rPr>
              <w:t>(℃)</w:t>
            </w:r>
          </w:p>
        </w:tc>
        <w:tc>
          <w:tcPr>
            <w:tcW w:w="2126" w:type="dxa"/>
            <w:vAlign w:val="top"/>
          </w:tcPr>
          <w:p>
            <w:pPr>
              <w:spacing w:before="105" w:line="187" w:lineRule="auto"/>
              <w:ind w:left="79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5"/>
                <w:sz w:val="21"/>
                <w:szCs w:val="21"/>
              </w:rPr>
              <w:t>161.5</w:t>
            </w:r>
          </w:p>
        </w:tc>
        <w:tc>
          <w:tcPr>
            <w:tcW w:w="2020" w:type="dxa"/>
            <w:gridSpan w:val="2"/>
            <w:vAlign w:val="top"/>
          </w:tcPr>
          <w:p>
            <w:pPr>
              <w:pStyle w:val="6"/>
              <w:spacing w:before="66" w:line="214" w:lineRule="auto"/>
              <w:ind w:left="202"/>
              <w:rPr>
                <w:rFonts w:ascii="Times New Roman" w:hAnsi="Times New Roman" w:eastAsia="Times New Roman" w:cs="Times New Roman"/>
                <w:sz w:val="21"/>
                <w:szCs w:val="21"/>
              </w:rPr>
            </w:pPr>
            <w:r>
              <w:rPr>
                <w:spacing w:val="-1"/>
                <w:sz w:val="21"/>
                <w:szCs w:val="21"/>
              </w:rPr>
              <w:t>相对密度</w:t>
            </w:r>
            <w:r>
              <w:rPr>
                <w:rFonts w:ascii="Times New Roman" w:hAnsi="Times New Roman" w:eastAsia="Times New Roman" w:cs="Times New Roman"/>
                <w:spacing w:val="-1"/>
                <w:sz w:val="21"/>
                <w:szCs w:val="21"/>
              </w:rPr>
              <w:t>(</w:t>
            </w:r>
            <w:r>
              <w:rPr>
                <w:spacing w:val="-1"/>
                <w:sz w:val="21"/>
                <w:szCs w:val="21"/>
              </w:rPr>
              <w:t>空气</w:t>
            </w:r>
            <w:r>
              <w:rPr>
                <w:rFonts w:ascii="Times New Roman" w:hAnsi="Times New Roman" w:eastAsia="Times New Roman" w:cs="Times New Roman"/>
                <w:spacing w:val="-1"/>
                <w:sz w:val="21"/>
                <w:szCs w:val="21"/>
              </w:rPr>
              <w:t>=1)</w:t>
            </w:r>
          </w:p>
        </w:tc>
        <w:tc>
          <w:tcPr>
            <w:tcW w:w="2291" w:type="dxa"/>
            <w:vAlign w:val="top"/>
          </w:tcPr>
          <w:p>
            <w:pPr>
              <w:spacing w:before="105" w:line="187" w:lineRule="auto"/>
              <w:ind w:left="9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36" w:line="223" w:lineRule="auto"/>
              <w:ind w:left="326"/>
              <w:rPr>
                <w:sz w:val="21"/>
                <w:szCs w:val="21"/>
              </w:rPr>
            </w:pPr>
            <w:r>
              <w:rPr>
                <w:spacing w:val="-1"/>
                <w:sz w:val="21"/>
                <w:szCs w:val="21"/>
              </w:rPr>
              <w:t>饱和蒸汽压</w:t>
            </w:r>
          </w:p>
          <w:p>
            <w:pPr>
              <w:spacing w:before="38" w:line="182" w:lineRule="auto"/>
              <w:ind w:left="6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(kpa)</w:t>
            </w:r>
          </w:p>
        </w:tc>
        <w:tc>
          <w:tcPr>
            <w:tcW w:w="6437" w:type="dxa"/>
            <w:gridSpan w:val="4"/>
            <w:vAlign w:val="top"/>
          </w:tcPr>
          <w:p>
            <w:pPr>
              <w:spacing w:before="188" w:line="194" w:lineRule="auto"/>
              <w:ind w:left="253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53.32(-</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spacing w:val="-3"/>
                <w:sz w:val="21"/>
                <w:szCs w:val="21"/>
              </w:rPr>
              <w:t>168.8℃)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7" w:line="213" w:lineRule="auto"/>
              <w:ind w:left="267"/>
              <w:rPr>
                <w:rFonts w:ascii="Times New Roman" w:hAnsi="Times New Roman" w:eastAsia="Times New Roman" w:cs="Times New Roman"/>
                <w:sz w:val="21"/>
                <w:szCs w:val="21"/>
              </w:rPr>
            </w:pPr>
            <w:r>
              <w:rPr>
                <w:spacing w:val="-3"/>
                <w:sz w:val="21"/>
                <w:szCs w:val="21"/>
              </w:rPr>
              <w:t>临界温度</w:t>
            </w:r>
            <w:r>
              <w:rPr>
                <w:rFonts w:ascii="Times New Roman" w:hAnsi="Times New Roman" w:eastAsia="Times New Roman" w:cs="Times New Roman"/>
                <w:spacing w:val="-3"/>
                <w:sz w:val="21"/>
                <w:szCs w:val="21"/>
              </w:rPr>
              <w:t>(℃)</w:t>
            </w:r>
          </w:p>
        </w:tc>
        <w:tc>
          <w:tcPr>
            <w:tcW w:w="2126" w:type="dxa"/>
            <w:vAlign w:val="top"/>
          </w:tcPr>
          <w:p>
            <w:pPr>
              <w:spacing w:before="105" w:line="187" w:lineRule="auto"/>
              <w:ind w:left="8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-82.6</w:t>
            </w:r>
          </w:p>
        </w:tc>
        <w:tc>
          <w:tcPr>
            <w:tcW w:w="2020" w:type="dxa"/>
            <w:gridSpan w:val="2"/>
            <w:vAlign w:val="top"/>
          </w:tcPr>
          <w:p>
            <w:pPr>
              <w:pStyle w:val="6"/>
              <w:spacing w:before="66" w:line="214" w:lineRule="auto"/>
              <w:ind w:left="341"/>
              <w:rPr>
                <w:rFonts w:ascii="Times New Roman" w:hAnsi="Times New Roman" w:eastAsia="Times New Roman" w:cs="Times New Roman"/>
                <w:sz w:val="21"/>
                <w:szCs w:val="21"/>
              </w:rPr>
            </w:pPr>
            <w:r>
              <w:rPr>
                <w:spacing w:val="-2"/>
                <w:sz w:val="21"/>
                <w:szCs w:val="21"/>
              </w:rPr>
              <w:t>临界压力</w:t>
            </w:r>
            <w:r>
              <w:rPr>
                <w:rFonts w:ascii="Times New Roman" w:hAnsi="Times New Roman" w:eastAsia="Times New Roman" w:cs="Times New Roman"/>
                <w:spacing w:val="-2"/>
                <w:sz w:val="21"/>
                <w:szCs w:val="21"/>
              </w:rPr>
              <w:t>(Mpa)</w:t>
            </w:r>
          </w:p>
        </w:tc>
        <w:tc>
          <w:tcPr>
            <w:tcW w:w="2291" w:type="dxa"/>
            <w:vAlign w:val="top"/>
          </w:tcPr>
          <w:p>
            <w:pPr>
              <w:spacing w:before="105" w:line="187" w:lineRule="auto"/>
              <w:ind w:left="9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67" w:line="214" w:lineRule="auto"/>
              <w:ind w:left="160"/>
              <w:rPr>
                <w:rFonts w:ascii="Times New Roman" w:hAnsi="Times New Roman" w:eastAsia="Times New Roman" w:cs="Times New Roman"/>
                <w:sz w:val="21"/>
                <w:szCs w:val="21"/>
              </w:rPr>
            </w:pPr>
            <w:r>
              <w:rPr>
                <w:spacing w:val="-1"/>
                <w:sz w:val="21"/>
                <w:szCs w:val="21"/>
              </w:rPr>
              <w:t>燃烧热</w:t>
            </w:r>
            <w:r>
              <w:rPr>
                <w:rFonts w:ascii="Times New Roman" w:hAnsi="Times New Roman" w:eastAsia="Times New Roman" w:cs="Times New Roman"/>
                <w:spacing w:val="-1"/>
                <w:sz w:val="21"/>
                <w:szCs w:val="21"/>
              </w:rPr>
              <w:t>(KJ/mol)</w:t>
            </w:r>
          </w:p>
        </w:tc>
        <w:tc>
          <w:tcPr>
            <w:tcW w:w="2126" w:type="dxa"/>
            <w:vAlign w:val="top"/>
          </w:tcPr>
          <w:p>
            <w:pPr>
              <w:spacing w:before="106" w:line="187" w:lineRule="auto"/>
              <w:ind w:left="8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889.5</w:t>
            </w:r>
          </w:p>
        </w:tc>
        <w:tc>
          <w:tcPr>
            <w:tcW w:w="2020" w:type="dxa"/>
            <w:gridSpan w:val="2"/>
            <w:vAlign w:val="top"/>
          </w:tcPr>
          <w:p>
            <w:pPr>
              <w:pStyle w:val="6"/>
              <w:spacing w:before="67" w:line="214" w:lineRule="auto"/>
              <w:ind w:left="193"/>
              <w:rPr>
                <w:rFonts w:ascii="Times New Roman" w:hAnsi="Times New Roman" w:eastAsia="Times New Roman" w:cs="Times New Roman"/>
                <w:sz w:val="21"/>
                <w:szCs w:val="21"/>
              </w:rPr>
            </w:pPr>
            <w:r>
              <w:rPr>
                <w:spacing w:val="-1"/>
                <w:sz w:val="21"/>
                <w:szCs w:val="21"/>
              </w:rPr>
              <w:t>最小引燃能量</w:t>
            </w:r>
            <w:r>
              <w:rPr>
                <w:rFonts w:ascii="Times New Roman" w:hAnsi="Times New Roman" w:eastAsia="Times New Roman" w:cs="Times New Roman"/>
                <w:spacing w:val="-1"/>
                <w:sz w:val="21"/>
                <w:szCs w:val="21"/>
              </w:rPr>
              <w:t>(mJ)</w:t>
            </w:r>
          </w:p>
        </w:tc>
        <w:tc>
          <w:tcPr>
            <w:tcW w:w="2291" w:type="dxa"/>
            <w:vAlign w:val="top"/>
          </w:tcPr>
          <w:p>
            <w:pPr>
              <w:spacing w:before="106" w:line="187" w:lineRule="auto"/>
              <w:ind w:left="9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restart"/>
            <w:tcBorders>
              <w:bottom w:val="nil"/>
            </w:tcBorders>
            <w:textDirection w:val="tbRlV"/>
            <w:vAlign w:val="top"/>
          </w:tcPr>
          <w:p>
            <w:pPr>
              <w:pStyle w:val="6"/>
              <w:spacing w:before="73" w:line="210" w:lineRule="auto"/>
              <w:ind w:left="146"/>
              <w:rPr>
                <w:sz w:val="21"/>
                <w:szCs w:val="21"/>
              </w:rPr>
            </w:pPr>
            <w:r>
              <w:rPr>
                <w:spacing w:val="41"/>
                <w:sz w:val="21"/>
                <w:szCs w:val="21"/>
              </w:rPr>
              <w:t>毒性及</w:t>
            </w:r>
          </w:p>
        </w:tc>
        <w:tc>
          <w:tcPr>
            <w:tcW w:w="1698" w:type="dxa"/>
            <w:vMerge w:val="restart"/>
            <w:tcBorders>
              <w:bottom w:val="nil"/>
            </w:tcBorders>
            <w:vAlign w:val="top"/>
          </w:tcPr>
          <w:p>
            <w:pPr>
              <w:spacing w:line="347" w:lineRule="auto"/>
              <w:rPr>
                <w:rFonts w:ascii="Arial"/>
                <w:sz w:val="21"/>
              </w:rPr>
            </w:pPr>
          </w:p>
          <w:p>
            <w:pPr>
              <w:pStyle w:val="6"/>
              <w:spacing w:before="68" w:line="221" w:lineRule="auto"/>
              <w:ind w:left="432"/>
              <w:rPr>
                <w:sz w:val="21"/>
                <w:szCs w:val="21"/>
              </w:rPr>
            </w:pPr>
            <w:r>
              <w:rPr>
                <w:spacing w:val="-1"/>
                <w:sz w:val="21"/>
                <w:szCs w:val="21"/>
              </w:rPr>
              <w:t>接触限值</w:t>
            </w:r>
          </w:p>
        </w:tc>
        <w:tc>
          <w:tcPr>
            <w:tcW w:w="2126" w:type="dxa"/>
            <w:vAlign w:val="top"/>
          </w:tcPr>
          <w:p>
            <w:pPr>
              <w:pStyle w:val="6"/>
              <w:spacing w:before="70" w:line="221" w:lineRule="auto"/>
              <w:ind w:left="610"/>
              <w:rPr>
                <w:rFonts w:ascii="Times New Roman" w:hAnsi="Times New Roman" w:eastAsia="Times New Roman" w:cs="Times New Roman"/>
                <w:sz w:val="21"/>
                <w:szCs w:val="21"/>
              </w:rPr>
            </w:pPr>
            <w:r>
              <w:rPr>
                <w:spacing w:val="-7"/>
                <w:sz w:val="21"/>
                <w:szCs w:val="21"/>
              </w:rPr>
              <w:t>中国</w:t>
            </w:r>
            <w:r>
              <w:rPr>
                <w:spacing w:val="-45"/>
                <w:sz w:val="21"/>
                <w:szCs w:val="21"/>
              </w:rPr>
              <w:t xml:space="preserve"> </w:t>
            </w:r>
            <w:r>
              <w:rPr>
                <w:rFonts w:ascii="Times New Roman" w:hAnsi="Times New Roman" w:eastAsia="Times New Roman" w:cs="Times New Roman"/>
                <w:spacing w:val="-7"/>
                <w:sz w:val="21"/>
                <w:szCs w:val="21"/>
              </w:rPr>
              <w:t>MAC</w:t>
            </w:r>
          </w:p>
        </w:tc>
        <w:tc>
          <w:tcPr>
            <w:tcW w:w="4311" w:type="dxa"/>
            <w:gridSpan w:val="3"/>
            <w:vAlign w:val="top"/>
          </w:tcPr>
          <w:p>
            <w:pPr>
              <w:pStyle w:val="6"/>
              <w:spacing w:before="70" w:line="221" w:lineRule="auto"/>
              <w:ind w:left="1636"/>
              <w:rPr>
                <w:sz w:val="21"/>
                <w:szCs w:val="21"/>
              </w:rPr>
            </w:pPr>
            <w:r>
              <w:rPr>
                <w:spacing w:val="-2"/>
                <w:sz w:val="21"/>
                <w:szCs w:val="21"/>
              </w:rPr>
              <w:t>未制定标准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Merge w:val="continue"/>
            <w:tcBorders>
              <w:top w:val="nil"/>
              <w:bottom w:val="nil"/>
            </w:tcBorders>
            <w:vAlign w:val="top"/>
          </w:tcPr>
          <w:p>
            <w:pPr>
              <w:rPr>
                <w:rFonts w:ascii="Arial"/>
                <w:sz w:val="21"/>
              </w:rPr>
            </w:pPr>
          </w:p>
        </w:tc>
        <w:tc>
          <w:tcPr>
            <w:tcW w:w="2126" w:type="dxa"/>
            <w:vAlign w:val="top"/>
          </w:tcPr>
          <w:p>
            <w:pPr>
              <w:pStyle w:val="6"/>
              <w:spacing w:before="68" w:line="221" w:lineRule="auto"/>
              <w:ind w:left="488"/>
              <w:rPr>
                <w:rFonts w:ascii="Times New Roman" w:hAnsi="Times New Roman" w:eastAsia="Times New Roman" w:cs="Times New Roman"/>
                <w:sz w:val="21"/>
                <w:szCs w:val="21"/>
              </w:rPr>
            </w:pPr>
            <w:r>
              <w:rPr>
                <w:spacing w:val="-3"/>
                <w:sz w:val="21"/>
                <w:szCs w:val="21"/>
              </w:rPr>
              <w:t>前苏联</w:t>
            </w:r>
            <w:r>
              <w:rPr>
                <w:spacing w:val="-46"/>
                <w:sz w:val="21"/>
                <w:szCs w:val="21"/>
              </w:rPr>
              <w:t xml:space="preserve"> </w:t>
            </w:r>
            <w:r>
              <w:rPr>
                <w:rFonts w:ascii="Times New Roman" w:hAnsi="Times New Roman" w:eastAsia="Times New Roman" w:cs="Times New Roman"/>
                <w:spacing w:val="-3"/>
                <w:sz w:val="21"/>
                <w:szCs w:val="21"/>
              </w:rPr>
              <w:t>MAC</w:t>
            </w:r>
          </w:p>
        </w:tc>
        <w:tc>
          <w:tcPr>
            <w:tcW w:w="4311" w:type="dxa"/>
            <w:gridSpan w:val="3"/>
            <w:vAlign w:val="top"/>
          </w:tcPr>
          <w:p>
            <w:pPr>
              <w:spacing w:before="85" w:line="208" w:lineRule="auto"/>
              <w:ind w:left="172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300mg/m</w:t>
            </w:r>
            <w:r>
              <w:rPr>
                <w:rFonts w:ascii="Times New Roman" w:hAnsi="Times New Roman" w:eastAsia="Times New Roman" w:cs="Times New Roman"/>
                <w:spacing w:val="-1"/>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98" w:type="dxa"/>
            <w:vMerge w:val="continue"/>
            <w:tcBorders>
              <w:top w:val="nil"/>
            </w:tcBorders>
            <w:textDirection w:val="tbRlV"/>
            <w:vAlign w:val="top"/>
          </w:tcPr>
          <w:p>
            <w:pPr>
              <w:rPr>
                <w:rFonts w:ascii="Arial"/>
                <w:sz w:val="21"/>
              </w:rPr>
            </w:pPr>
          </w:p>
        </w:tc>
        <w:tc>
          <w:tcPr>
            <w:tcW w:w="1698" w:type="dxa"/>
            <w:vMerge w:val="continue"/>
            <w:tcBorders>
              <w:top w:val="nil"/>
            </w:tcBorders>
            <w:vAlign w:val="top"/>
          </w:tcPr>
          <w:p>
            <w:pPr>
              <w:rPr>
                <w:rFonts w:ascii="Arial"/>
                <w:sz w:val="21"/>
              </w:rPr>
            </w:pPr>
          </w:p>
        </w:tc>
        <w:tc>
          <w:tcPr>
            <w:tcW w:w="2126" w:type="dxa"/>
            <w:vAlign w:val="top"/>
          </w:tcPr>
          <w:p>
            <w:pPr>
              <w:pStyle w:val="6"/>
              <w:spacing w:before="68" w:line="221" w:lineRule="auto"/>
              <w:ind w:left="592"/>
              <w:rPr>
                <w:rFonts w:ascii="Times New Roman" w:hAnsi="Times New Roman" w:eastAsia="Times New Roman" w:cs="Times New Roman"/>
                <w:sz w:val="21"/>
                <w:szCs w:val="21"/>
              </w:rPr>
            </w:pPr>
            <w:r>
              <w:rPr>
                <w:spacing w:val="-3"/>
                <w:sz w:val="21"/>
                <w:szCs w:val="21"/>
              </w:rPr>
              <w:t>美国</w:t>
            </w:r>
            <w:r>
              <w:rPr>
                <w:spacing w:val="-47"/>
                <w:sz w:val="21"/>
                <w:szCs w:val="21"/>
              </w:rPr>
              <w:t xml:space="preserve"> </w:t>
            </w:r>
            <w:r>
              <w:rPr>
                <w:rFonts w:ascii="Times New Roman" w:hAnsi="Times New Roman" w:eastAsia="Times New Roman" w:cs="Times New Roman"/>
                <w:spacing w:val="-3"/>
                <w:sz w:val="21"/>
                <w:szCs w:val="21"/>
              </w:rPr>
              <w:t>TWA</w:t>
            </w:r>
          </w:p>
        </w:tc>
        <w:tc>
          <w:tcPr>
            <w:tcW w:w="4311" w:type="dxa"/>
            <w:gridSpan w:val="3"/>
            <w:vAlign w:val="top"/>
          </w:tcPr>
          <w:p>
            <w:pPr>
              <w:pStyle w:val="6"/>
              <w:spacing w:before="68" w:line="222" w:lineRule="auto"/>
              <w:ind w:left="1266"/>
              <w:rPr>
                <w:sz w:val="21"/>
                <w:szCs w:val="21"/>
              </w:rPr>
            </w:pPr>
            <w:r>
              <w:rPr>
                <w:rFonts w:ascii="Times New Roman" w:hAnsi="Times New Roman" w:eastAsia="Times New Roman" w:cs="Times New Roman"/>
                <w:spacing w:val="-2"/>
                <w:sz w:val="21"/>
                <w:szCs w:val="21"/>
              </w:rPr>
              <w:t>ACGIH</w:t>
            </w:r>
            <w:r>
              <w:rPr>
                <w:rFonts w:ascii="Times New Roman" w:hAnsi="Times New Roman" w:eastAsia="Times New Roman" w:cs="Times New Roman"/>
                <w:spacing w:val="21"/>
                <w:sz w:val="21"/>
                <w:szCs w:val="21"/>
              </w:rPr>
              <w:t xml:space="preserve"> </w:t>
            </w:r>
            <w:r>
              <w:rPr>
                <w:spacing w:val="-2"/>
                <w:sz w:val="21"/>
                <w:szCs w:val="21"/>
              </w:rPr>
              <w:t>窒息性气体</w:t>
            </w:r>
          </w:p>
        </w:tc>
      </w:tr>
    </w:tbl>
    <w:p>
      <w:pPr>
        <w:pStyle w:val="2"/>
        <w:rPr>
          <w:sz w:val="21"/>
        </w:rPr>
      </w:pPr>
    </w:p>
    <w:p>
      <w:pPr>
        <w:rPr>
          <w:sz w:val="21"/>
          <w:szCs w:val="21"/>
        </w:rPr>
        <w:sectPr>
          <w:footerReference r:id="rId228" w:type="default"/>
          <w:pgSz w:w="11907" w:h="16839"/>
          <w:pgMar w:top="1123" w:right="1682" w:bottom="1149" w:left="1685" w:header="1108" w:footer="988" w:gutter="0"/>
          <w:cols w:space="720" w:num="1"/>
        </w:sectPr>
      </w:pPr>
    </w:p>
    <w:p>
      <w:pPr>
        <w:spacing w:before="75"/>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8"/>
        <w:gridCol w:w="1698"/>
        <w:gridCol w:w="2126"/>
        <w:gridCol w:w="2020"/>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98" w:type="dxa"/>
            <w:vMerge w:val="restart"/>
            <w:tcBorders>
              <w:bottom w:val="nil"/>
            </w:tcBorders>
            <w:textDirection w:val="tbRlV"/>
            <w:vAlign w:val="top"/>
          </w:tcPr>
          <w:p>
            <w:pPr>
              <w:pStyle w:val="6"/>
              <w:spacing w:before="73" w:line="210" w:lineRule="auto"/>
              <w:ind w:left="34"/>
              <w:rPr>
                <w:sz w:val="21"/>
                <w:szCs w:val="21"/>
              </w:rPr>
            </w:pPr>
            <w:r>
              <w:rPr>
                <w:spacing w:val="1"/>
                <w:sz w:val="21"/>
                <w:szCs w:val="21"/>
              </w:rPr>
              <w:t>健</w:t>
            </w:r>
            <w:r>
              <w:rPr>
                <w:spacing w:val="-43"/>
                <w:sz w:val="21"/>
                <w:szCs w:val="21"/>
              </w:rPr>
              <w:t xml:space="preserve"> </w:t>
            </w:r>
            <w:r>
              <w:rPr>
                <w:spacing w:val="1"/>
                <w:sz w:val="21"/>
                <w:szCs w:val="21"/>
              </w:rPr>
              <w:t>康</w:t>
            </w:r>
            <w:r>
              <w:rPr>
                <w:spacing w:val="-45"/>
                <w:sz w:val="21"/>
                <w:szCs w:val="21"/>
              </w:rPr>
              <w:t xml:space="preserve"> </w:t>
            </w:r>
            <w:r>
              <w:rPr>
                <w:spacing w:val="1"/>
                <w:sz w:val="21"/>
                <w:szCs w:val="21"/>
              </w:rPr>
              <w:t>危</w:t>
            </w:r>
            <w:r>
              <w:rPr>
                <w:spacing w:val="-43"/>
                <w:sz w:val="21"/>
                <w:szCs w:val="21"/>
              </w:rPr>
              <w:t xml:space="preserve"> </w:t>
            </w:r>
            <w:r>
              <w:rPr>
                <w:spacing w:val="1"/>
                <w:sz w:val="21"/>
                <w:szCs w:val="21"/>
              </w:rPr>
              <w:t>害</w:t>
            </w:r>
          </w:p>
        </w:tc>
        <w:tc>
          <w:tcPr>
            <w:tcW w:w="1698" w:type="dxa"/>
            <w:vAlign w:val="top"/>
          </w:tcPr>
          <w:p>
            <w:pPr>
              <w:rPr>
                <w:rFonts w:ascii="Arial"/>
                <w:sz w:val="21"/>
              </w:rPr>
            </w:pPr>
          </w:p>
        </w:tc>
        <w:tc>
          <w:tcPr>
            <w:tcW w:w="2126" w:type="dxa"/>
            <w:vAlign w:val="top"/>
          </w:tcPr>
          <w:p>
            <w:pPr>
              <w:pStyle w:val="6"/>
              <w:spacing w:before="68" w:line="221" w:lineRule="auto"/>
              <w:ind w:left="580"/>
              <w:rPr>
                <w:rFonts w:ascii="Times New Roman" w:hAnsi="Times New Roman" w:eastAsia="Times New Roman" w:cs="Times New Roman"/>
                <w:sz w:val="21"/>
                <w:szCs w:val="21"/>
              </w:rPr>
            </w:pPr>
            <w:r>
              <w:rPr>
                <w:spacing w:val="-4"/>
                <w:sz w:val="21"/>
                <w:szCs w:val="21"/>
              </w:rPr>
              <w:t>美国</w:t>
            </w:r>
            <w:r>
              <w:rPr>
                <w:spacing w:val="-38"/>
                <w:sz w:val="21"/>
                <w:szCs w:val="21"/>
              </w:rPr>
              <w:t xml:space="preserve"> </w:t>
            </w:r>
            <w:r>
              <w:rPr>
                <w:rFonts w:ascii="Times New Roman" w:hAnsi="Times New Roman" w:eastAsia="Times New Roman" w:cs="Times New Roman"/>
                <w:spacing w:val="-4"/>
                <w:sz w:val="21"/>
                <w:szCs w:val="21"/>
              </w:rPr>
              <w:t>STEL</w:t>
            </w:r>
          </w:p>
        </w:tc>
        <w:tc>
          <w:tcPr>
            <w:tcW w:w="4311" w:type="dxa"/>
            <w:gridSpan w:val="2"/>
            <w:vAlign w:val="top"/>
          </w:tcPr>
          <w:p>
            <w:pPr>
              <w:pStyle w:val="6"/>
              <w:spacing w:before="68" w:line="221" w:lineRule="auto"/>
              <w:ind w:left="1636"/>
              <w:rPr>
                <w:sz w:val="21"/>
                <w:szCs w:val="21"/>
              </w:rPr>
            </w:pPr>
            <w:r>
              <w:rPr>
                <w:spacing w:val="-2"/>
                <w:sz w:val="21"/>
                <w:szCs w:val="21"/>
              </w:rPr>
              <w:t>未制定标准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3" w:line="221" w:lineRule="auto"/>
              <w:ind w:left="434"/>
              <w:rPr>
                <w:sz w:val="21"/>
                <w:szCs w:val="21"/>
              </w:rPr>
            </w:pPr>
            <w:r>
              <w:rPr>
                <w:spacing w:val="-2"/>
                <w:sz w:val="21"/>
                <w:szCs w:val="21"/>
              </w:rPr>
              <w:t>侵入途径</w:t>
            </w:r>
          </w:p>
        </w:tc>
        <w:tc>
          <w:tcPr>
            <w:tcW w:w="6437" w:type="dxa"/>
            <w:gridSpan w:val="3"/>
            <w:vAlign w:val="top"/>
          </w:tcPr>
          <w:p>
            <w:pPr>
              <w:pStyle w:val="6"/>
              <w:spacing w:before="64" w:line="221" w:lineRule="auto"/>
              <w:ind w:left="3021"/>
              <w:rPr>
                <w:sz w:val="21"/>
                <w:szCs w:val="21"/>
              </w:rPr>
            </w:pPr>
            <w:r>
              <w:rPr>
                <w:spacing w:val="-4"/>
                <w:sz w:val="21"/>
                <w:szCs w:val="21"/>
              </w:rPr>
              <w:t>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300" w:line="221" w:lineRule="auto"/>
              <w:ind w:left="433"/>
              <w:rPr>
                <w:sz w:val="21"/>
                <w:szCs w:val="21"/>
              </w:rPr>
            </w:pPr>
            <w:r>
              <w:rPr>
                <w:spacing w:val="-2"/>
                <w:sz w:val="21"/>
                <w:szCs w:val="21"/>
              </w:rPr>
              <w:t>健康危害</w:t>
            </w:r>
          </w:p>
        </w:tc>
        <w:tc>
          <w:tcPr>
            <w:tcW w:w="6437" w:type="dxa"/>
            <w:gridSpan w:val="3"/>
            <w:vAlign w:val="top"/>
          </w:tcPr>
          <w:p>
            <w:pPr>
              <w:pStyle w:val="6"/>
              <w:spacing w:before="29" w:line="221" w:lineRule="auto"/>
              <w:ind w:left="148"/>
              <w:rPr>
                <w:sz w:val="21"/>
                <w:szCs w:val="21"/>
              </w:rPr>
            </w:pPr>
            <w:r>
              <w:rPr>
                <w:rFonts w:ascii="Times New Roman" w:hAnsi="Times New Roman" w:eastAsia="Times New Roman" w:cs="Times New Roman"/>
                <w:spacing w:val="-4"/>
                <w:sz w:val="21"/>
                <w:szCs w:val="21"/>
              </w:rPr>
              <w:t>1</w:t>
            </w:r>
            <w:r>
              <w:rPr>
                <w:spacing w:val="-4"/>
                <w:sz w:val="21"/>
                <w:szCs w:val="21"/>
              </w:rPr>
              <w:t>、当空气中甲烷浓度达</w:t>
            </w:r>
            <w:r>
              <w:rPr>
                <w:spacing w:val="-51"/>
                <w:sz w:val="21"/>
                <w:szCs w:val="21"/>
              </w:rPr>
              <w:t xml:space="preserve"> </w:t>
            </w:r>
            <w:r>
              <w:rPr>
                <w:rFonts w:ascii="Times New Roman" w:hAnsi="Times New Roman" w:eastAsia="Times New Roman" w:cs="Times New Roman"/>
                <w:spacing w:val="-4"/>
                <w:sz w:val="21"/>
                <w:szCs w:val="21"/>
              </w:rPr>
              <w:t>25%</w:t>
            </w:r>
            <w:r>
              <w:rPr>
                <w:spacing w:val="-4"/>
                <w:sz w:val="21"/>
                <w:szCs w:val="21"/>
              </w:rPr>
              <w:t>—</w:t>
            </w:r>
            <w:r>
              <w:rPr>
                <w:rFonts w:ascii="Times New Roman" w:hAnsi="Times New Roman" w:eastAsia="Times New Roman" w:cs="Times New Roman"/>
                <w:spacing w:val="-4"/>
                <w:sz w:val="21"/>
                <w:szCs w:val="21"/>
              </w:rPr>
              <w:t>30%</w:t>
            </w:r>
            <w:r>
              <w:rPr>
                <w:spacing w:val="-4"/>
                <w:sz w:val="21"/>
                <w:szCs w:val="21"/>
              </w:rPr>
              <w:t>时，</w:t>
            </w:r>
            <w:r>
              <w:rPr>
                <w:spacing w:val="-21"/>
                <w:sz w:val="21"/>
                <w:szCs w:val="21"/>
              </w:rPr>
              <w:t xml:space="preserve"> </w:t>
            </w:r>
            <w:r>
              <w:rPr>
                <w:spacing w:val="-4"/>
                <w:sz w:val="21"/>
                <w:szCs w:val="21"/>
              </w:rPr>
              <w:t>可引起头痛、头晕、乏力、</w:t>
            </w:r>
          </w:p>
          <w:p>
            <w:pPr>
              <w:pStyle w:val="6"/>
              <w:spacing w:before="20" w:line="220" w:lineRule="auto"/>
              <w:ind w:left="804"/>
              <w:rPr>
                <w:sz w:val="21"/>
                <w:szCs w:val="21"/>
              </w:rPr>
            </w:pPr>
            <w:r>
              <w:rPr>
                <w:sz w:val="21"/>
                <w:szCs w:val="21"/>
              </w:rPr>
              <w:t>注意力不集中、呼吸和心跳加速、精细动作</w:t>
            </w:r>
            <w:r>
              <w:rPr>
                <w:spacing w:val="-1"/>
                <w:sz w:val="21"/>
                <w:szCs w:val="21"/>
              </w:rPr>
              <w:t>障碍等；</w:t>
            </w:r>
          </w:p>
          <w:p>
            <w:pPr>
              <w:pStyle w:val="6"/>
              <w:spacing w:before="23" w:line="208" w:lineRule="auto"/>
              <w:ind w:left="435"/>
              <w:rPr>
                <w:sz w:val="21"/>
                <w:szCs w:val="21"/>
              </w:rPr>
            </w:pPr>
            <w:r>
              <w:rPr>
                <w:rFonts w:ascii="Times New Roman" w:hAnsi="Times New Roman" w:eastAsia="Times New Roman" w:cs="Times New Roman"/>
                <w:sz w:val="21"/>
                <w:szCs w:val="21"/>
              </w:rPr>
              <w:t>2</w:t>
            </w:r>
            <w:r>
              <w:rPr>
                <w:sz w:val="21"/>
                <w:szCs w:val="21"/>
              </w:rPr>
              <w:t>、当空气中甲烷浓度更高时，可能使人出现窒息、昏迷等。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restart"/>
            <w:tcBorders>
              <w:bottom w:val="nil"/>
            </w:tcBorders>
            <w:textDirection w:val="tbRlV"/>
            <w:vAlign w:val="top"/>
          </w:tcPr>
          <w:p>
            <w:pPr>
              <w:pStyle w:val="6"/>
              <w:spacing w:before="74" w:line="208" w:lineRule="auto"/>
              <w:ind w:left="948"/>
              <w:rPr>
                <w:sz w:val="21"/>
                <w:szCs w:val="21"/>
              </w:rPr>
            </w:pPr>
            <w:r>
              <w:rPr>
                <w:spacing w:val="18"/>
                <w:w w:val="117"/>
                <w:sz w:val="21"/>
                <w:szCs w:val="21"/>
              </w:rPr>
              <w:t>燃烧爆炸危险性</w:t>
            </w:r>
          </w:p>
        </w:tc>
        <w:tc>
          <w:tcPr>
            <w:tcW w:w="1698" w:type="dxa"/>
            <w:vAlign w:val="top"/>
          </w:tcPr>
          <w:p>
            <w:pPr>
              <w:pStyle w:val="6"/>
              <w:spacing w:before="65" w:line="220" w:lineRule="auto"/>
              <w:ind w:left="537"/>
              <w:rPr>
                <w:sz w:val="21"/>
                <w:szCs w:val="21"/>
              </w:rPr>
            </w:pPr>
            <w:r>
              <w:rPr>
                <w:spacing w:val="-2"/>
                <w:sz w:val="21"/>
                <w:szCs w:val="21"/>
              </w:rPr>
              <w:t>燃烧性</w:t>
            </w:r>
          </w:p>
        </w:tc>
        <w:tc>
          <w:tcPr>
            <w:tcW w:w="2126" w:type="dxa"/>
            <w:vAlign w:val="top"/>
          </w:tcPr>
          <w:p>
            <w:pPr>
              <w:pStyle w:val="6"/>
              <w:spacing w:before="65" w:line="222" w:lineRule="auto"/>
              <w:ind w:left="871"/>
              <w:rPr>
                <w:sz w:val="21"/>
                <w:szCs w:val="21"/>
              </w:rPr>
            </w:pPr>
            <w:r>
              <w:rPr>
                <w:spacing w:val="-5"/>
                <w:sz w:val="21"/>
                <w:szCs w:val="21"/>
              </w:rPr>
              <w:t>易燃</w:t>
            </w:r>
          </w:p>
        </w:tc>
        <w:tc>
          <w:tcPr>
            <w:tcW w:w="2020" w:type="dxa"/>
            <w:vAlign w:val="top"/>
          </w:tcPr>
          <w:p>
            <w:pPr>
              <w:pStyle w:val="6"/>
              <w:spacing w:before="64" w:line="221" w:lineRule="auto"/>
              <w:ind w:left="385"/>
              <w:rPr>
                <w:sz w:val="21"/>
                <w:szCs w:val="21"/>
              </w:rPr>
            </w:pPr>
            <w:r>
              <w:rPr>
                <w:spacing w:val="-2"/>
                <w:sz w:val="21"/>
                <w:szCs w:val="21"/>
              </w:rPr>
              <w:t>建规火险等级</w:t>
            </w:r>
          </w:p>
        </w:tc>
        <w:tc>
          <w:tcPr>
            <w:tcW w:w="2291" w:type="dxa"/>
            <w:vAlign w:val="top"/>
          </w:tcPr>
          <w:p>
            <w:pPr>
              <w:pStyle w:val="6"/>
              <w:spacing w:before="65" w:line="223" w:lineRule="auto"/>
              <w:ind w:left="1071"/>
              <w:rPr>
                <w:sz w:val="21"/>
                <w:szCs w:val="21"/>
              </w:rPr>
            </w:pPr>
            <w:r>
              <w:rPr>
                <w:sz w:val="21"/>
                <w:szCs w:val="21"/>
              </w:rPr>
              <w:t>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3" w:line="213" w:lineRule="auto"/>
              <w:ind w:left="483"/>
              <w:rPr>
                <w:rFonts w:ascii="Times New Roman" w:hAnsi="Times New Roman" w:eastAsia="Times New Roman" w:cs="Times New Roman"/>
                <w:sz w:val="21"/>
                <w:szCs w:val="21"/>
              </w:rPr>
            </w:pPr>
            <w:r>
              <w:rPr>
                <w:spacing w:val="-5"/>
                <w:sz w:val="21"/>
                <w:szCs w:val="21"/>
              </w:rPr>
              <w:t>闪点</w:t>
            </w:r>
            <w:r>
              <w:rPr>
                <w:rFonts w:ascii="Times New Roman" w:hAnsi="Times New Roman" w:eastAsia="Times New Roman" w:cs="Times New Roman"/>
                <w:spacing w:val="-5"/>
                <w:sz w:val="21"/>
                <w:szCs w:val="21"/>
              </w:rPr>
              <w:t>(℃)</w:t>
            </w:r>
          </w:p>
        </w:tc>
        <w:tc>
          <w:tcPr>
            <w:tcW w:w="2126" w:type="dxa"/>
            <w:vAlign w:val="top"/>
          </w:tcPr>
          <w:p>
            <w:pPr>
              <w:spacing w:before="101" w:line="187" w:lineRule="auto"/>
              <w:ind w:left="87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6"/>
                <w:sz w:val="21"/>
                <w:szCs w:val="21"/>
              </w:rPr>
              <w:t>188</w:t>
            </w:r>
          </w:p>
        </w:tc>
        <w:tc>
          <w:tcPr>
            <w:tcW w:w="2020" w:type="dxa"/>
            <w:vAlign w:val="top"/>
          </w:tcPr>
          <w:p>
            <w:pPr>
              <w:pStyle w:val="6"/>
              <w:spacing w:before="62" w:line="214" w:lineRule="auto"/>
              <w:ind w:left="382"/>
              <w:rPr>
                <w:rFonts w:ascii="Times New Roman" w:hAnsi="Times New Roman" w:eastAsia="Times New Roman" w:cs="Times New Roman"/>
                <w:sz w:val="21"/>
                <w:szCs w:val="21"/>
              </w:rPr>
            </w:pPr>
            <w:r>
              <w:rPr>
                <w:spacing w:val="-1"/>
                <w:sz w:val="21"/>
                <w:szCs w:val="21"/>
              </w:rPr>
              <w:t>爆炸下限</w:t>
            </w:r>
            <w:r>
              <w:rPr>
                <w:rFonts w:ascii="Times New Roman" w:hAnsi="Times New Roman" w:eastAsia="Times New Roman" w:cs="Times New Roman"/>
                <w:spacing w:val="-1"/>
                <w:sz w:val="21"/>
                <w:szCs w:val="21"/>
              </w:rPr>
              <w:t>(v%)</w:t>
            </w:r>
          </w:p>
        </w:tc>
        <w:tc>
          <w:tcPr>
            <w:tcW w:w="2291" w:type="dxa"/>
            <w:vAlign w:val="top"/>
          </w:tcPr>
          <w:p>
            <w:pPr>
              <w:spacing w:before="104" w:line="184" w:lineRule="auto"/>
              <w:ind w:left="109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3" w:line="213" w:lineRule="auto"/>
              <w:ind w:left="290"/>
              <w:rPr>
                <w:rFonts w:ascii="Times New Roman" w:hAnsi="Times New Roman" w:eastAsia="Times New Roman" w:cs="Times New Roman"/>
                <w:sz w:val="21"/>
                <w:szCs w:val="21"/>
              </w:rPr>
            </w:pPr>
            <w:r>
              <w:rPr>
                <w:spacing w:val="-6"/>
                <w:sz w:val="21"/>
                <w:szCs w:val="21"/>
              </w:rPr>
              <w:t>自然温度</w:t>
            </w:r>
            <w:r>
              <w:rPr>
                <w:rFonts w:ascii="Times New Roman" w:hAnsi="Times New Roman" w:eastAsia="Times New Roman" w:cs="Times New Roman"/>
                <w:spacing w:val="-6"/>
                <w:sz w:val="21"/>
                <w:szCs w:val="21"/>
              </w:rPr>
              <w:t>(℃)</w:t>
            </w:r>
          </w:p>
        </w:tc>
        <w:tc>
          <w:tcPr>
            <w:tcW w:w="2126" w:type="dxa"/>
            <w:vAlign w:val="top"/>
          </w:tcPr>
          <w:p>
            <w:pPr>
              <w:spacing w:before="102" w:line="187" w:lineRule="auto"/>
              <w:ind w:left="9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2020" w:type="dxa"/>
            <w:vAlign w:val="top"/>
          </w:tcPr>
          <w:p>
            <w:pPr>
              <w:pStyle w:val="6"/>
              <w:spacing w:before="63" w:line="214" w:lineRule="auto"/>
              <w:ind w:left="382"/>
              <w:rPr>
                <w:rFonts w:ascii="Times New Roman" w:hAnsi="Times New Roman" w:eastAsia="Times New Roman" w:cs="Times New Roman"/>
                <w:sz w:val="21"/>
                <w:szCs w:val="21"/>
              </w:rPr>
            </w:pPr>
            <w:r>
              <w:rPr>
                <w:spacing w:val="-1"/>
                <w:sz w:val="21"/>
                <w:szCs w:val="21"/>
              </w:rPr>
              <w:t>爆炸上限</w:t>
            </w:r>
            <w:r>
              <w:rPr>
                <w:rFonts w:ascii="Times New Roman" w:hAnsi="Times New Roman" w:eastAsia="Times New Roman" w:cs="Times New Roman"/>
                <w:spacing w:val="-1"/>
                <w:sz w:val="21"/>
                <w:szCs w:val="21"/>
              </w:rPr>
              <w:t>(v%)</w:t>
            </w:r>
          </w:p>
        </w:tc>
        <w:tc>
          <w:tcPr>
            <w:tcW w:w="2291" w:type="dxa"/>
            <w:vAlign w:val="top"/>
          </w:tcPr>
          <w:p>
            <w:pPr>
              <w:spacing w:before="102" w:line="187" w:lineRule="auto"/>
              <w:ind w:left="10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301" w:line="221" w:lineRule="auto"/>
              <w:ind w:left="435"/>
              <w:rPr>
                <w:sz w:val="21"/>
                <w:szCs w:val="21"/>
              </w:rPr>
            </w:pPr>
            <w:r>
              <w:rPr>
                <w:spacing w:val="-2"/>
                <w:sz w:val="21"/>
                <w:szCs w:val="21"/>
              </w:rPr>
              <w:t>危险特性</w:t>
            </w:r>
          </w:p>
        </w:tc>
        <w:tc>
          <w:tcPr>
            <w:tcW w:w="6437" w:type="dxa"/>
            <w:gridSpan w:val="3"/>
            <w:vAlign w:val="top"/>
          </w:tcPr>
          <w:p>
            <w:pPr>
              <w:pStyle w:val="6"/>
              <w:spacing w:before="31" w:line="228" w:lineRule="auto"/>
              <w:ind w:left="124" w:right="128" w:firstLine="14"/>
              <w:jc w:val="both"/>
              <w:rPr>
                <w:sz w:val="21"/>
                <w:szCs w:val="21"/>
              </w:rPr>
            </w:pPr>
            <w:r>
              <w:rPr>
                <w:rFonts w:ascii="Times New Roman" w:hAnsi="Times New Roman" w:eastAsia="Times New Roman" w:cs="Times New Roman"/>
                <w:spacing w:val="-5"/>
                <w:sz w:val="21"/>
                <w:szCs w:val="21"/>
              </w:rPr>
              <w:t>1</w:t>
            </w:r>
            <w:r>
              <w:rPr>
                <w:spacing w:val="-5"/>
                <w:sz w:val="21"/>
                <w:szCs w:val="21"/>
              </w:rPr>
              <w:t>、甲烷与空气混合能形成爆炸性混合物， 当在爆炸极限范围内遇明</w:t>
            </w:r>
            <w:r>
              <w:rPr>
                <w:spacing w:val="18"/>
                <w:sz w:val="21"/>
                <w:szCs w:val="21"/>
              </w:rPr>
              <w:t xml:space="preserve"> </w:t>
            </w:r>
            <w:r>
              <w:rPr>
                <w:spacing w:val="-3"/>
                <w:sz w:val="21"/>
                <w:szCs w:val="21"/>
              </w:rPr>
              <w:t>火、高热能时引起燃烧爆炸。</w:t>
            </w:r>
            <w:r>
              <w:rPr>
                <w:spacing w:val="-32"/>
                <w:sz w:val="21"/>
                <w:szCs w:val="21"/>
              </w:rPr>
              <w:t xml:space="preserve"> </w:t>
            </w:r>
            <w:r>
              <w:rPr>
                <w:rFonts w:ascii="Times New Roman" w:hAnsi="Times New Roman" w:eastAsia="Times New Roman" w:cs="Times New Roman"/>
                <w:spacing w:val="-3"/>
                <w:sz w:val="21"/>
                <w:szCs w:val="21"/>
              </w:rPr>
              <w:t>2</w:t>
            </w:r>
            <w:r>
              <w:rPr>
                <w:spacing w:val="-3"/>
                <w:sz w:val="21"/>
                <w:szCs w:val="21"/>
              </w:rPr>
              <w:t>、甲烷与氟、氯等能发生剧烈的化学</w:t>
            </w:r>
            <w:r>
              <w:rPr>
                <w:sz w:val="21"/>
                <w:szCs w:val="21"/>
              </w:rPr>
              <w:t xml:space="preserve"> </w:t>
            </w:r>
            <w:r>
              <w:rPr>
                <w:spacing w:val="-4"/>
                <w:sz w:val="21"/>
                <w:szCs w:val="21"/>
              </w:rPr>
              <w:t>反应。</w:t>
            </w:r>
            <w:r>
              <w:rPr>
                <w:spacing w:val="38"/>
                <w:sz w:val="21"/>
                <w:szCs w:val="21"/>
              </w:rPr>
              <w:t xml:space="preserve"> </w:t>
            </w:r>
            <w:r>
              <w:rPr>
                <w:rFonts w:ascii="Times New Roman" w:hAnsi="Times New Roman" w:eastAsia="Times New Roman" w:cs="Times New Roman"/>
                <w:spacing w:val="-4"/>
                <w:sz w:val="21"/>
                <w:szCs w:val="21"/>
              </w:rPr>
              <w:t>3</w:t>
            </w:r>
            <w:r>
              <w:rPr>
                <w:spacing w:val="-4"/>
                <w:sz w:val="21"/>
                <w:szCs w:val="21"/>
              </w:rPr>
              <w:t>、甲烷若遇高热，容器内压增大，</w:t>
            </w:r>
            <w:r>
              <w:rPr>
                <w:spacing w:val="-22"/>
                <w:sz w:val="21"/>
                <w:szCs w:val="21"/>
              </w:rPr>
              <w:t xml:space="preserve"> </w:t>
            </w:r>
            <w:r>
              <w:rPr>
                <w:spacing w:val="-5"/>
                <w:sz w:val="21"/>
                <w:szCs w:val="21"/>
              </w:rPr>
              <w:t>有开裂和爆炸的危险。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6" w:line="221" w:lineRule="auto"/>
              <w:ind w:left="537"/>
              <w:rPr>
                <w:sz w:val="21"/>
                <w:szCs w:val="21"/>
              </w:rPr>
            </w:pPr>
            <w:r>
              <w:rPr>
                <w:spacing w:val="-2"/>
                <w:sz w:val="21"/>
                <w:szCs w:val="21"/>
              </w:rPr>
              <w:t>稳定性</w:t>
            </w:r>
          </w:p>
        </w:tc>
        <w:tc>
          <w:tcPr>
            <w:tcW w:w="6437" w:type="dxa"/>
            <w:gridSpan w:val="3"/>
            <w:vAlign w:val="top"/>
          </w:tcPr>
          <w:p>
            <w:pPr>
              <w:pStyle w:val="6"/>
              <w:spacing w:before="66" w:line="221" w:lineRule="auto"/>
              <w:ind w:left="3013"/>
              <w:rPr>
                <w:sz w:val="21"/>
                <w:szCs w:val="21"/>
              </w:rPr>
            </w:pPr>
            <w:r>
              <w:rPr>
                <w:spacing w:val="-2"/>
                <w:sz w:val="21"/>
                <w:szCs w:val="21"/>
              </w:rPr>
              <w:t>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5" w:line="221" w:lineRule="auto"/>
              <w:ind w:left="441"/>
              <w:rPr>
                <w:sz w:val="21"/>
                <w:szCs w:val="21"/>
              </w:rPr>
            </w:pPr>
            <w:r>
              <w:rPr>
                <w:spacing w:val="-4"/>
                <w:sz w:val="21"/>
                <w:szCs w:val="21"/>
              </w:rPr>
              <w:t>聚合危害</w:t>
            </w:r>
          </w:p>
        </w:tc>
        <w:tc>
          <w:tcPr>
            <w:tcW w:w="6437" w:type="dxa"/>
            <w:gridSpan w:val="3"/>
            <w:vAlign w:val="top"/>
          </w:tcPr>
          <w:p>
            <w:pPr>
              <w:pStyle w:val="6"/>
              <w:spacing w:before="64" w:line="220" w:lineRule="auto"/>
              <w:ind w:left="2384"/>
              <w:rPr>
                <w:sz w:val="21"/>
                <w:szCs w:val="21"/>
              </w:rPr>
            </w:pPr>
            <w:r>
              <w:rPr>
                <w:spacing w:val="-1"/>
                <w:sz w:val="21"/>
                <w:szCs w:val="21"/>
              </w:rPr>
              <w:t>不会出现聚合危害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5" w:line="221" w:lineRule="auto"/>
              <w:ind w:left="536"/>
              <w:rPr>
                <w:sz w:val="21"/>
                <w:szCs w:val="21"/>
              </w:rPr>
            </w:pPr>
            <w:r>
              <w:rPr>
                <w:spacing w:val="-2"/>
                <w:sz w:val="21"/>
                <w:szCs w:val="21"/>
              </w:rPr>
              <w:t>禁忌物</w:t>
            </w:r>
          </w:p>
        </w:tc>
        <w:tc>
          <w:tcPr>
            <w:tcW w:w="6437" w:type="dxa"/>
            <w:gridSpan w:val="3"/>
            <w:vAlign w:val="top"/>
          </w:tcPr>
          <w:p>
            <w:pPr>
              <w:pStyle w:val="6"/>
              <w:spacing w:before="65" w:line="220" w:lineRule="auto"/>
              <w:ind w:left="2177"/>
              <w:rPr>
                <w:sz w:val="21"/>
                <w:szCs w:val="21"/>
              </w:rPr>
            </w:pPr>
            <w:r>
              <w:rPr>
                <w:spacing w:val="-10"/>
                <w:sz w:val="21"/>
                <w:szCs w:val="21"/>
              </w:rPr>
              <w:t>强氧化剂，</w:t>
            </w:r>
            <w:r>
              <w:rPr>
                <w:spacing w:val="-17"/>
                <w:sz w:val="21"/>
                <w:szCs w:val="21"/>
              </w:rPr>
              <w:t xml:space="preserve"> </w:t>
            </w:r>
            <w:r>
              <w:rPr>
                <w:spacing w:val="-10"/>
                <w:sz w:val="21"/>
                <w:szCs w:val="21"/>
              </w:rPr>
              <w:t>如氟、氯等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304" w:line="221" w:lineRule="auto"/>
              <w:ind w:left="436"/>
              <w:rPr>
                <w:sz w:val="21"/>
                <w:szCs w:val="21"/>
              </w:rPr>
            </w:pPr>
            <w:r>
              <w:rPr>
                <w:spacing w:val="-3"/>
                <w:sz w:val="21"/>
                <w:szCs w:val="21"/>
              </w:rPr>
              <w:t>灭火方法</w:t>
            </w:r>
          </w:p>
        </w:tc>
        <w:tc>
          <w:tcPr>
            <w:tcW w:w="6437" w:type="dxa"/>
            <w:gridSpan w:val="3"/>
            <w:vAlign w:val="top"/>
          </w:tcPr>
          <w:p>
            <w:pPr>
              <w:pStyle w:val="6"/>
              <w:spacing w:before="31" w:line="220" w:lineRule="auto"/>
              <w:ind w:left="129"/>
              <w:rPr>
                <w:sz w:val="21"/>
                <w:szCs w:val="21"/>
              </w:rPr>
            </w:pPr>
            <w:r>
              <w:rPr>
                <w:rFonts w:ascii="Times New Roman" w:hAnsi="Times New Roman" w:eastAsia="Times New Roman" w:cs="Times New Roman"/>
                <w:spacing w:val="-3"/>
                <w:sz w:val="21"/>
                <w:szCs w:val="21"/>
              </w:rPr>
              <w:t>1</w:t>
            </w:r>
            <w:r>
              <w:rPr>
                <w:spacing w:val="-3"/>
                <w:sz w:val="21"/>
                <w:szCs w:val="21"/>
              </w:rPr>
              <w:t>、立即切断气源。</w:t>
            </w:r>
            <w:r>
              <w:rPr>
                <w:rFonts w:ascii="Times New Roman" w:hAnsi="Times New Roman" w:eastAsia="Times New Roman" w:cs="Times New Roman"/>
                <w:spacing w:val="-3"/>
                <w:sz w:val="21"/>
                <w:szCs w:val="21"/>
              </w:rPr>
              <w:t>2</w:t>
            </w:r>
            <w:r>
              <w:rPr>
                <w:spacing w:val="-3"/>
                <w:sz w:val="21"/>
                <w:szCs w:val="21"/>
              </w:rPr>
              <w:t>、若不能立即切断气源，</w:t>
            </w:r>
            <w:r>
              <w:rPr>
                <w:spacing w:val="-4"/>
                <w:sz w:val="21"/>
                <w:szCs w:val="21"/>
              </w:rPr>
              <w:t>则不允许熄灭正在燃烧</w:t>
            </w:r>
          </w:p>
          <w:p>
            <w:pPr>
              <w:pStyle w:val="6"/>
              <w:spacing w:before="24" w:line="222" w:lineRule="auto"/>
              <w:ind w:left="1014" w:right="28" w:hanging="884"/>
              <w:rPr>
                <w:sz w:val="21"/>
                <w:szCs w:val="21"/>
              </w:rPr>
            </w:pPr>
            <w:r>
              <w:rPr>
                <w:spacing w:val="-8"/>
                <w:sz w:val="21"/>
                <w:szCs w:val="21"/>
              </w:rPr>
              <w:t>的气体。</w:t>
            </w:r>
            <w:r>
              <w:rPr>
                <w:rFonts w:ascii="Times New Roman" w:hAnsi="Times New Roman" w:eastAsia="Times New Roman" w:cs="Times New Roman"/>
                <w:spacing w:val="-8"/>
                <w:sz w:val="21"/>
                <w:szCs w:val="21"/>
              </w:rPr>
              <w:t>3</w:t>
            </w:r>
            <w:r>
              <w:rPr>
                <w:spacing w:val="-8"/>
                <w:sz w:val="21"/>
                <w:szCs w:val="21"/>
              </w:rPr>
              <w:t>、喷水冷却容器，如果可能应将容器从火场移至空旷处。</w:t>
            </w:r>
            <w:r>
              <w:rPr>
                <w:rFonts w:ascii="Times New Roman" w:hAnsi="Times New Roman" w:eastAsia="Times New Roman" w:cs="Times New Roman"/>
                <w:spacing w:val="-8"/>
                <w:sz w:val="21"/>
                <w:szCs w:val="21"/>
              </w:rPr>
              <w:t>4</w:t>
            </w:r>
            <w:r>
              <w:rPr>
                <w:spacing w:val="-8"/>
                <w:sz w:val="21"/>
                <w:szCs w:val="21"/>
              </w:rPr>
              <w:t>、</w:t>
            </w:r>
            <w:r>
              <w:rPr>
                <w:spacing w:val="18"/>
                <w:sz w:val="21"/>
                <w:szCs w:val="21"/>
              </w:rPr>
              <w:t xml:space="preserve"> </w:t>
            </w:r>
            <w:r>
              <w:rPr>
                <w:spacing w:val="-1"/>
                <w:sz w:val="21"/>
                <w:szCs w:val="21"/>
              </w:rPr>
              <w:t>采用雾状水、泡沫灭火器和二氧化碳灭火器等。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restart"/>
            <w:tcBorders>
              <w:bottom w:val="nil"/>
            </w:tcBorders>
            <w:textDirection w:val="tbRlV"/>
            <w:vAlign w:val="top"/>
          </w:tcPr>
          <w:p>
            <w:pPr>
              <w:pStyle w:val="6"/>
              <w:spacing w:before="74" w:line="210" w:lineRule="auto"/>
              <w:ind w:left="33"/>
              <w:rPr>
                <w:sz w:val="21"/>
                <w:szCs w:val="21"/>
              </w:rPr>
            </w:pPr>
            <w:r>
              <w:rPr>
                <w:spacing w:val="46"/>
                <w:sz w:val="21"/>
                <w:szCs w:val="21"/>
              </w:rPr>
              <w:t>包装储运</w:t>
            </w:r>
          </w:p>
        </w:tc>
        <w:tc>
          <w:tcPr>
            <w:tcW w:w="1698" w:type="dxa"/>
            <w:vAlign w:val="top"/>
          </w:tcPr>
          <w:p>
            <w:pPr>
              <w:pStyle w:val="6"/>
              <w:spacing w:before="66" w:line="221" w:lineRule="auto"/>
              <w:ind w:left="330"/>
              <w:rPr>
                <w:sz w:val="21"/>
                <w:szCs w:val="21"/>
              </w:rPr>
            </w:pPr>
            <w:r>
              <w:rPr>
                <w:spacing w:val="-2"/>
                <w:sz w:val="21"/>
                <w:szCs w:val="21"/>
              </w:rPr>
              <w:t>危险性类别</w:t>
            </w:r>
          </w:p>
        </w:tc>
        <w:tc>
          <w:tcPr>
            <w:tcW w:w="6437" w:type="dxa"/>
            <w:gridSpan w:val="3"/>
            <w:vAlign w:val="top"/>
          </w:tcPr>
          <w:p>
            <w:pPr>
              <w:pStyle w:val="6"/>
              <w:spacing w:before="67" w:line="214" w:lineRule="auto"/>
              <w:ind w:left="1879"/>
              <w:rPr>
                <w:sz w:val="21"/>
                <w:szCs w:val="21"/>
              </w:rPr>
            </w:pPr>
            <w:r>
              <w:rPr>
                <w:spacing w:val="-1"/>
                <w:sz w:val="21"/>
                <w:szCs w:val="21"/>
              </w:rPr>
              <w:t>第</w:t>
            </w:r>
            <w:r>
              <w:rPr>
                <w:spacing w:val="-42"/>
                <w:sz w:val="21"/>
                <w:szCs w:val="21"/>
              </w:rPr>
              <w:t xml:space="preserve"> </w:t>
            </w:r>
            <w:r>
              <w:rPr>
                <w:rFonts w:ascii="Times New Roman" w:hAnsi="Times New Roman" w:eastAsia="Times New Roman" w:cs="Times New Roman"/>
                <w:spacing w:val="-1"/>
                <w:sz w:val="21"/>
                <w:szCs w:val="21"/>
              </w:rPr>
              <w:t xml:space="preserve">2.1 </w:t>
            </w:r>
            <w:r>
              <w:rPr>
                <w:spacing w:val="-1"/>
                <w:sz w:val="21"/>
                <w:szCs w:val="21"/>
              </w:rPr>
              <w:t>类</w:t>
            </w:r>
            <w:r>
              <w:rPr>
                <w:rFonts w:ascii="Times New Roman" w:hAnsi="Times New Roman" w:eastAsia="Times New Roman" w:cs="Times New Roman"/>
                <w:spacing w:val="-1"/>
                <w:sz w:val="21"/>
                <w:szCs w:val="21"/>
              </w:rPr>
              <w:t xml:space="preserve">(UN </w:t>
            </w:r>
            <w:r>
              <w:rPr>
                <w:spacing w:val="-1"/>
                <w:sz w:val="21"/>
                <w:szCs w:val="21"/>
              </w:rPr>
              <w:t>类别）易燃气体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129" w:line="235" w:lineRule="auto"/>
              <w:ind w:left="753" w:right="111" w:hanging="635"/>
              <w:rPr>
                <w:sz w:val="21"/>
                <w:szCs w:val="21"/>
              </w:rPr>
            </w:pPr>
            <w:r>
              <w:rPr>
                <w:spacing w:val="-2"/>
                <w:sz w:val="21"/>
                <w:szCs w:val="21"/>
              </w:rPr>
              <w:t>危险货物包装标</w:t>
            </w:r>
            <w:r>
              <w:rPr>
                <w:spacing w:val="5"/>
                <w:sz w:val="21"/>
                <w:szCs w:val="21"/>
              </w:rPr>
              <w:t xml:space="preserve"> </w:t>
            </w:r>
            <w:r>
              <w:rPr>
                <w:sz w:val="21"/>
                <w:szCs w:val="21"/>
              </w:rPr>
              <w:t>志</w:t>
            </w:r>
          </w:p>
        </w:tc>
        <w:tc>
          <w:tcPr>
            <w:tcW w:w="6437" w:type="dxa"/>
            <w:gridSpan w:val="3"/>
            <w:vAlign w:val="top"/>
          </w:tcPr>
          <w:p>
            <w:pPr>
              <w:spacing w:line="243" w:lineRule="auto"/>
              <w:rPr>
                <w:rFonts w:ascii="Arial"/>
                <w:sz w:val="21"/>
              </w:rPr>
            </w:pPr>
          </w:p>
          <w:p>
            <w:pPr>
              <w:spacing w:before="61" w:line="187" w:lineRule="auto"/>
              <w:ind w:left="316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398" w:type="dxa"/>
            <w:textDirection w:val="tbRlV"/>
            <w:vAlign w:val="top"/>
          </w:tcPr>
          <w:p>
            <w:pPr>
              <w:pStyle w:val="6"/>
              <w:spacing w:before="74" w:line="210" w:lineRule="auto"/>
              <w:ind w:left="576"/>
              <w:rPr>
                <w:sz w:val="21"/>
                <w:szCs w:val="21"/>
              </w:rPr>
            </w:pPr>
            <w:r>
              <w:rPr>
                <w:spacing w:val="46"/>
                <w:sz w:val="21"/>
                <w:szCs w:val="21"/>
              </w:rPr>
              <w:t>包装储运</w:t>
            </w:r>
          </w:p>
        </w:tc>
        <w:tc>
          <w:tcPr>
            <w:tcW w:w="1698"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21" w:lineRule="auto"/>
              <w:ind w:left="221"/>
              <w:rPr>
                <w:sz w:val="21"/>
                <w:szCs w:val="21"/>
              </w:rPr>
            </w:pPr>
            <w:r>
              <w:rPr>
                <w:spacing w:val="-1"/>
                <w:sz w:val="21"/>
                <w:szCs w:val="21"/>
              </w:rPr>
              <w:t>储运注意事项</w:t>
            </w:r>
          </w:p>
        </w:tc>
        <w:tc>
          <w:tcPr>
            <w:tcW w:w="6437" w:type="dxa"/>
            <w:gridSpan w:val="3"/>
            <w:vAlign w:val="top"/>
          </w:tcPr>
          <w:p>
            <w:pPr>
              <w:pStyle w:val="6"/>
              <w:spacing w:before="32" w:line="235" w:lineRule="auto"/>
              <w:ind w:left="111" w:right="28" w:firstLine="17"/>
              <w:rPr>
                <w:sz w:val="21"/>
                <w:szCs w:val="21"/>
              </w:rPr>
            </w:pPr>
            <w:r>
              <w:rPr>
                <w:rFonts w:ascii="Times New Roman" w:hAnsi="Times New Roman" w:eastAsia="Times New Roman" w:cs="Times New Roman"/>
                <w:spacing w:val="-3"/>
                <w:sz w:val="21"/>
                <w:szCs w:val="21"/>
              </w:rPr>
              <w:t>1</w:t>
            </w:r>
            <w:r>
              <w:rPr>
                <w:spacing w:val="-3"/>
                <w:sz w:val="21"/>
                <w:szCs w:val="21"/>
              </w:rPr>
              <w:t>、储存于阴凉、通风的储存间内，且储存间内</w:t>
            </w:r>
            <w:r>
              <w:rPr>
                <w:spacing w:val="-4"/>
                <w:sz w:val="21"/>
                <w:szCs w:val="21"/>
              </w:rPr>
              <w:t>温度不宜超过</w:t>
            </w:r>
            <w:r>
              <w:rPr>
                <w:spacing w:val="-43"/>
                <w:sz w:val="21"/>
                <w:szCs w:val="21"/>
              </w:rPr>
              <w:t xml:space="preserve"> </w:t>
            </w:r>
            <w:r>
              <w:rPr>
                <w:rFonts w:ascii="Times New Roman" w:hAnsi="Times New Roman" w:eastAsia="Times New Roman" w:cs="Times New Roman"/>
                <w:spacing w:val="-4"/>
                <w:sz w:val="21"/>
                <w:szCs w:val="21"/>
              </w:rPr>
              <w:t>30℃</w:t>
            </w:r>
            <w:r>
              <w:rPr>
                <w:rFonts w:ascii="Times New Roman" w:hAnsi="Times New Roman" w:eastAsia="Times New Roman" w:cs="Times New Roman"/>
                <w:spacing w:val="-27"/>
                <w:sz w:val="21"/>
                <w:szCs w:val="21"/>
              </w:rPr>
              <w:t xml:space="preserve"> </w:t>
            </w:r>
            <w:r>
              <w:rPr>
                <w:spacing w:val="-4"/>
                <w:sz w:val="21"/>
                <w:szCs w:val="21"/>
              </w:rPr>
              <w:t>,</w:t>
            </w:r>
            <w:r>
              <w:rPr>
                <w:sz w:val="21"/>
                <w:szCs w:val="21"/>
              </w:rPr>
              <w:t xml:space="preserve">   </w:t>
            </w:r>
            <w:r>
              <w:rPr>
                <w:spacing w:val="-4"/>
                <w:sz w:val="21"/>
                <w:szCs w:val="21"/>
              </w:rPr>
              <w:t>储存间内的照明、通风设施应采用防爆型，开关设置于储存间外。</w:t>
            </w:r>
            <w:r>
              <w:rPr>
                <w:rFonts w:ascii="Times New Roman" w:hAnsi="Times New Roman" w:eastAsia="Times New Roman" w:cs="Times New Roman"/>
                <w:spacing w:val="-4"/>
                <w:sz w:val="21"/>
                <w:szCs w:val="21"/>
              </w:rPr>
              <w:t>2</w:t>
            </w:r>
            <w:r>
              <w:rPr>
                <w:spacing w:val="-4"/>
                <w:sz w:val="21"/>
                <w:szCs w:val="21"/>
              </w:rPr>
              <w:t>、</w:t>
            </w:r>
            <w:r>
              <w:rPr>
                <w:spacing w:val="9"/>
                <w:sz w:val="21"/>
                <w:szCs w:val="21"/>
              </w:rPr>
              <w:t xml:space="preserve"> </w:t>
            </w:r>
            <w:r>
              <w:rPr>
                <w:spacing w:val="1"/>
                <w:sz w:val="21"/>
                <w:szCs w:val="21"/>
              </w:rPr>
              <w:t>罐储时，要有防火防爆措施，若为露天储罐夏季应有降温措施。</w:t>
            </w:r>
            <w:r>
              <w:rPr>
                <w:rFonts w:ascii="Times New Roman" w:hAnsi="Times New Roman" w:eastAsia="Times New Roman" w:cs="Times New Roman"/>
                <w:sz w:val="21"/>
                <w:szCs w:val="21"/>
              </w:rPr>
              <w:t>3</w:t>
            </w:r>
            <w:r>
              <w:rPr>
                <w:sz w:val="21"/>
                <w:szCs w:val="21"/>
              </w:rPr>
              <w:t xml:space="preserve">、 </w:t>
            </w:r>
            <w:r>
              <w:rPr>
                <w:spacing w:val="-4"/>
                <w:sz w:val="21"/>
                <w:szCs w:val="21"/>
              </w:rPr>
              <w:t>储存间和储罐附近应配备相应品种和数量的消防器材。</w:t>
            </w:r>
            <w:r>
              <w:rPr>
                <w:rFonts w:ascii="Times New Roman" w:hAnsi="Times New Roman" w:eastAsia="Times New Roman" w:cs="Times New Roman"/>
                <w:spacing w:val="-4"/>
                <w:sz w:val="21"/>
                <w:szCs w:val="21"/>
              </w:rPr>
              <w:t>4</w:t>
            </w:r>
            <w:r>
              <w:rPr>
                <w:spacing w:val="-4"/>
                <w:sz w:val="21"/>
                <w:szCs w:val="21"/>
              </w:rPr>
              <w:t>、远离火种、</w:t>
            </w:r>
            <w:r>
              <w:rPr>
                <w:spacing w:val="9"/>
                <w:sz w:val="21"/>
                <w:szCs w:val="21"/>
              </w:rPr>
              <w:t xml:space="preserve"> </w:t>
            </w:r>
            <w:r>
              <w:rPr>
                <w:spacing w:val="-7"/>
                <w:sz w:val="21"/>
                <w:szCs w:val="21"/>
              </w:rPr>
              <w:t>热源，禁止使用易产生火花的机械设备和工具。</w:t>
            </w:r>
            <w:r>
              <w:rPr>
                <w:rFonts w:ascii="Times New Roman" w:hAnsi="Times New Roman" w:eastAsia="Times New Roman" w:cs="Times New Roman"/>
                <w:spacing w:val="-7"/>
                <w:sz w:val="21"/>
                <w:szCs w:val="21"/>
              </w:rPr>
              <w:t>5</w:t>
            </w:r>
            <w:r>
              <w:rPr>
                <w:spacing w:val="-7"/>
                <w:sz w:val="21"/>
                <w:szCs w:val="21"/>
              </w:rPr>
              <w:t>、防止阳光直射。</w:t>
            </w:r>
            <w:r>
              <w:rPr>
                <w:rFonts w:ascii="Times New Roman" w:hAnsi="Times New Roman" w:eastAsia="Times New Roman" w:cs="Times New Roman"/>
                <w:spacing w:val="-7"/>
                <w:sz w:val="21"/>
                <w:szCs w:val="21"/>
              </w:rPr>
              <w:t>6</w:t>
            </w:r>
            <w:r>
              <w:rPr>
                <w:spacing w:val="-7"/>
                <w:sz w:val="21"/>
                <w:szCs w:val="21"/>
              </w:rPr>
              <w:t>、</w:t>
            </w:r>
            <w:r>
              <w:rPr>
                <w:spacing w:val="4"/>
                <w:sz w:val="21"/>
                <w:szCs w:val="21"/>
              </w:rPr>
              <w:t xml:space="preserve"> </w:t>
            </w:r>
            <w:r>
              <w:rPr>
                <w:spacing w:val="-3"/>
                <w:sz w:val="21"/>
                <w:szCs w:val="21"/>
              </w:rPr>
              <w:t>与氧气、压缩空气、卤素</w:t>
            </w:r>
            <w:r>
              <w:rPr>
                <w:rFonts w:ascii="Times New Roman" w:hAnsi="Times New Roman" w:eastAsia="Times New Roman" w:cs="Times New Roman"/>
                <w:spacing w:val="-3"/>
                <w:sz w:val="21"/>
                <w:szCs w:val="21"/>
              </w:rPr>
              <w:t>(</w:t>
            </w:r>
            <w:r>
              <w:rPr>
                <w:spacing w:val="-3"/>
                <w:sz w:val="21"/>
                <w:szCs w:val="21"/>
              </w:rPr>
              <w:t>氟、氯、溴）等分开存放，切忌混储混运。</w:t>
            </w:r>
          </w:p>
          <w:p>
            <w:pPr>
              <w:pStyle w:val="6"/>
              <w:spacing w:before="30" w:line="223" w:lineRule="auto"/>
              <w:ind w:left="1550" w:right="110" w:hanging="1438"/>
              <w:rPr>
                <w:sz w:val="21"/>
                <w:szCs w:val="21"/>
              </w:rPr>
            </w:pPr>
            <w:r>
              <w:rPr>
                <w:rFonts w:ascii="Times New Roman" w:hAnsi="Times New Roman" w:eastAsia="Times New Roman" w:cs="Times New Roman"/>
                <w:spacing w:val="-3"/>
                <w:sz w:val="21"/>
                <w:szCs w:val="21"/>
              </w:rPr>
              <w:t>7</w:t>
            </w:r>
            <w:r>
              <w:rPr>
                <w:spacing w:val="-3"/>
                <w:sz w:val="21"/>
                <w:szCs w:val="21"/>
              </w:rPr>
              <w:t>、验收时应注意品名，注意验瓶日期，先进储存的先发用。</w:t>
            </w:r>
            <w:r>
              <w:rPr>
                <w:rFonts w:ascii="Times New Roman" w:hAnsi="Times New Roman" w:eastAsia="Times New Roman" w:cs="Times New Roman"/>
                <w:spacing w:val="-3"/>
                <w:sz w:val="21"/>
                <w:szCs w:val="21"/>
              </w:rPr>
              <w:t>8</w:t>
            </w:r>
            <w:r>
              <w:rPr>
                <w:spacing w:val="-3"/>
                <w:sz w:val="21"/>
                <w:szCs w:val="21"/>
              </w:rPr>
              <w:t>、搬运</w:t>
            </w:r>
            <w:r>
              <w:rPr>
                <w:sz w:val="21"/>
                <w:szCs w:val="21"/>
              </w:rPr>
              <w:t xml:space="preserve"> </w:t>
            </w:r>
            <w:r>
              <w:rPr>
                <w:spacing w:val="-2"/>
                <w:sz w:val="21"/>
                <w:szCs w:val="21"/>
              </w:rPr>
              <w:t>时轻装轻卸，防止钢瓶及附件破损。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98" w:type="dxa"/>
            <w:vMerge w:val="restart"/>
            <w:tcBorders>
              <w:bottom w:val="nil"/>
            </w:tcBorders>
            <w:textDirection w:val="tbRlV"/>
            <w:vAlign w:val="top"/>
          </w:tcPr>
          <w:p>
            <w:pPr>
              <w:pStyle w:val="6"/>
              <w:spacing w:before="74" w:line="207" w:lineRule="auto"/>
              <w:ind w:left="207"/>
              <w:rPr>
                <w:sz w:val="21"/>
                <w:szCs w:val="21"/>
              </w:rPr>
            </w:pPr>
            <w:r>
              <w:rPr>
                <w:spacing w:val="31"/>
                <w:sz w:val="21"/>
                <w:szCs w:val="21"/>
              </w:rPr>
              <w:t>急救</w:t>
            </w:r>
          </w:p>
        </w:tc>
        <w:tc>
          <w:tcPr>
            <w:tcW w:w="1698" w:type="dxa"/>
            <w:vAlign w:val="top"/>
          </w:tcPr>
          <w:p>
            <w:pPr>
              <w:pStyle w:val="6"/>
              <w:spacing w:before="66" w:line="221" w:lineRule="auto"/>
              <w:ind w:left="436"/>
              <w:rPr>
                <w:sz w:val="21"/>
                <w:szCs w:val="21"/>
              </w:rPr>
            </w:pPr>
            <w:r>
              <w:rPr>
                <w:spacing w:val="-3"/>
                <w:sz w:val="21"/>
                <w:szCs w:val="21"/>
              </w:rPr>
              <w:t>皮肤接触</w:t>
            </w:r>
          </w:p>
        </w:tc>
        <w:tc>
          <w:tcPr>
            <w:tcW w:w="6437" w:type="dxa"/>
            <w:gridSpan w:val="3"/>
            <w:vAlign w:val="top"/>
          </w:tcPr>
          <w:p>
            <w:pPr>
              <w:pStyle w:val="6"/>
              <w:spacing w:before="65" w:line="221" w:lineRule="auto"/>
              <w:ind w:left="2173"/>
              <w:rPr>
                <w:sz w:val="21"/>
                <w:szCs w:val="21"/>
              </w:rPr>
            </w:pPr>
            <w:r>
              <w:rPr>
                <w:spacing w:val="-9"/>
                <w:sz w:val="21"/>
                <w:szCs w:val="21"/>
              </w:rPr>
              <w:t>若有冻伤，</w:t>
            </w:r>
            <w:r>
              <w:rPr>
                <w:spacing w:val="-22"/>
                <w:sz w:val="21"/>
                <w:szCs w:val="21"/>
              </w:rPr>
              <w:t xml:space="preserve"> </w:t>
            </w:r>
            <w:r>
              <w:rPr>
                <w:spacing w:val="-9"/>
                <w:sz w:val="21"/>
                <w:szCs w:val="21"/>
              </w:rPr>
              <w:t>就医治疗。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169" w:line="221" w:lineRule="auto"/>
              <w:ind w:left="650"/>
              <w:rPr>
                <w:sz w:val="21"/>
                <w:szCs w:val="21"/>
              </w:rPr>
            </w:pPr>
            <w:r>
              <w:rPr>
                <w:spacing w:val="-4"/>
                <w:sz w:val="21"/>
                <w:szCs w:val="21"/>
              </w:rPr>
              <w:t>吸入</w:t>
            </w:r>
          </w:p>
        </w:tc>
        <w:tc>
          <w:tcPr>
            <w:tcW w:w="6437" w:type="dxa"/>
            <w:gridSpan w:val="3"/>
            <w:vAlign w:val="top"/>
          </w:tcPr>
          <w:p>
            <w:pPr>
              <w:pStyle w:val="6"/>
              <w:spacing w:before="33" w:line="222" w:lineRule="auto"/>
              <w:ind w:left="113" w:right="31" w:firstLine="16"/>
              <w:rPr>
                <w:sz w:val="21"/>
                <w:szCs w:val="21"/>
              </w:rPr>
            </w:pPr>
            <w:r>
              <w:rPr>
                <w:rFonts w:ascii="Times New Roman" w:hAnsi="Times New Roman" w:eastAsia="Times New Roman" w:cs="Times New Roman"/>
                <w:spacing w:val="-6"/>
                <w:sz w:val="21"/>
                <w:szCs w:val="21"/>
              </w:rPr>
              <w:t>1</w:t>
            </w:r>
            <w:r>
              <w:rPr>
                <w:rFonts w:ascii="Times New Roman" w:hAnsi="Times New Roman" w:eastAsia="Times New Roman" w:cs="Times New Roman"/>
                <w:spacing w:val="-19"/>
                <w:sz w:val="21"/>
                <w:szCs w:val="21"/>
              </w:rPr>
              <w:t xml:space="preserve"> </w:t>
            </w:r>
            <w:r>
              <w:rPr>
                <w:spacing w:val="-6"/>
                <w:sz w:val="21"/>
                <w:szCs w:val="21"/>
              </w:rPr>
              <w:t xml:space="preserve">、迅速脱离现场至空气新鲜处。 </w:t>
            </w:r>
            <w:r>
              <w:rPr>
                <w:rFonts w:ascii="Times New Roman" w:hAnsi="Times New Roman" w:eastAsia="Times New Roman" w:cs="Times New Roman"/>
                <w:spacing w:val="-6"/>
                <w:sz w:val="21"/>
                <w:szCs w:val="21"/>
              </w:rPr>
              <w:t>2</w:t>
            </w:r>
            <w:r>
              <w:rPr>
                <w:spacing w:val="-6"/>
                <w:sz w:val="21"/>
                <w:szCs w:val="21"/>
              </w:rPr>
              <w:t>、注意保暖，呼吸困难时给输氧。</w:t>
            </w:r>
            <w:r>
              <w:rPr>
                <w:sz w:val="21"/>
                <w:szCs w:val="21"/>
              </w:rPr>
              <w:t xml:space="preserve"> </w:t>
            </w:r>
            <w:r>
              <w:rPr>
                <w:rFonts w:ascii="Times New Roman" w:hAnsi="Times New Roman" w:eastAsia="Times New Roman" w:cs="Times New Roman"/>
                <w:spacing w:val="-6"/>
                <w:sz w:val="21"/>
                <w:szCs w:val="21"/>
              </w:rPr>
              <w:t>3</w:t>
            </w:r>
            <w:r>
              <w:rPr>
                <w:spacing w:val="-6"/>
                <w:sz w:val="21"/>
                <w:szCs w:val="21"/>
              </w:rPr>
              <w:t>、呼吸及心跳停止者立即进行人工呼吸和心脏按压术，</w:t>
            </w:r>
            <w:r>
              <w:rPr>
                <w:spacing w:val="-38"/>
                <w:sz w:val="21"/>
                <w:szCs w:val="21"/>
              </w:rPr>
              <w:t xml:space="preserve"> </w:t>
            </w:r>
            <w:r>
              <w:rPr>
                <w:spacing w:val="-6"/>
                <w:sz w:val="21"/>
                <w:szCs w:val="21"/>
              </w:rPr>
              <w:t>并就医治疗。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restart"/>
            <w:tcBorders>
              <w:bottom w:val="nil"/>
            </w:tcBorders>
            <w:textDirection w:val="tbRlV"/>
            <w:vAlign w:val="top"/>
          </w:tcPr>
          <w:p>
            <w:pPr>
              <w:pStyle w:val="6"/>
              <w:spacing w:before="74" w:line="210" w:lineRule="auto"/>
              <w:ind w:left="462"/>
              <w:rPr>
                <w:sz w:val="21"/>
                <w:szCs w:val="21"/>
              </w:rPr>
            </w:pPr>
            <w:r>
              <w:rPr>
                <w:spacing w:val="46"/>
                <w:sz w:val="21"/>
                <w:szCs w:val="21"/>
              </w:rPr>
              <w:t>防护措施</w:t>
            </w:r>
          </w:p>
        </w:tc>
        <w:tc>
          <w:tcPr>
            <w:tcW w:w="1698" w:type="dxa"/>
            <w:vAlign w:val="top"/>
          </w:tcPr>
          <w:p>
            <w:pPr>
              <w:pStyle w:val="6"/>
              <w:spacing w:before="68" w:line="221" w:lineRule="auto"/>
              <w:ind w:left="435"/>
              <w:rPr>
                <w:sz w:val="21"/>
                <w:szCs w:val="21"/>
              </w:rPr>
            </w:pPr>
            <w:r>
              <w:rPr>
                <w:spacing w:val="-2"/>
                <w:sz w:val="21"/>
                <w:szCs w:val="21"/>
              </w:rPr>
              <w:t>工程控制</w:t>
            </w:r>
          </w:p>
        </w:tc>
        <w:tc>
          <w:tcPr>
            <w:tcW w:w="6437" w:type="dxa"/>
            <w:gridSpan w:val="3"/>
            <w:vAlign w:val="top"/>
          </w:tcPr>
          <w:p>
            <w:pPr>
              <w:pStyle w:val="6"/>
              <w:spacing w:before="68" w:line="221" w:lineRule="auto"/>
              <w:ind w:left="2695"/>
              <w:rPr>
                <w:sz w:val="21"/>
                <w:szCs w:val="21"/>
              </w:rPr>
            </w:pPr>
            <w:r>
              <w:rPr>
                <w:spacing w:val="-5"/>
                <w:sz w:val="21"/>
                <w:szCs w:val="21"/>
              </w:rPr>
              <w:t>全面通风。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9" w:line="221" w:lineRule="auto"/>
              <w:ind w:left="233"/>
              <w:rPr>
                <w:sz w:val="21"/>
                <w:szCs w:val="21"/>
              </w:rPr>
            </w:pPr>
            <w:r>
              <w:rPr>
                <w:spacing w:val="-3"/>
                <w:sz w:val="21"/>
                <w:szCs w:val="21"/>
              </w:rPr>
              <w:t>呼吸系统防护</w:t>
            </w:r>
          </w:p>
        </w:tc>
        <w:tc>
          <w:tcPr>
            <w:tcW w:w="6437" w:type="dxa"/>
            <w:gridSpan w:val="3"/>
            <w:vAlign w:val="top"/>
          </w:tcPr>
          <w:p>
            <w:pPr>
              <w:pStyle w:val="6"/>
              <w:spacing w:before="68" w:line="220" w:lineRule="auto"/>
              <w:ind w:left="387"/>
              <w:rPr>
                <w:sz w:val="21"/>
                <w:szCs w:val="21"/>
              </w:rPr>
            </w:pPr>
            <w:r>
              <w:rPr>
                <w:spacing w:val="-1"/>
                <w:sz w:val="21"/>
                <w:szCs w:val="21"/>
              </w:rPr>
              <w:t>一般不需要特殊防护，高浓度环境中，可佩戴供气式呼吸器。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6" w:line="220" w:lineRule="auto"/>
              <w:ind w:left="446"/>
              <w:rPr>
                <w:sz w:val="21"/>
                <w:szCs w:val="21"/>
              </w:rPr>
            </w:pPr>
            <w:r>
              <w:rPr>
                <w:spacing w:val="-5"/>
                <w:sz w:val="21"/>
                <w:szCs w:val="21"/>
              </w:rPr>
              <w:t>眼睛防护</w:t>
            </w:r>
          </w:p>
        </w:tc>
        <w:tc>
          <w:tcPr>
            <w:tcW w:w="6437" w:type="dxa"/>
            <w:gridSpan w:val="3"/>
            <w:vAlign w:val="top"/>
          </w:tcPr>
          <w:p>
            <w:pPr>
              <w:pStyle w:val="6"/>
              <w:spacing w:before="66" w:line="221" w:lineRule="auto"/>
              <w:ind w:left="599"/>
              <w:rPr>
                <w:sz w:val="21"/>
                <w:szCs w:val="21"/>
              </w:rPr>
            </w:pPr>
            <w:r>
              <w:rPr>
                <w:spacing w:val="-1"/>
                <w:sz w:val="21"/>
                <w:szCs w:val="21"/>
              </w:rPr>
              <w:t>一般不需要特殊防护，高浓度接触时可戴安全防护</w:t>
            </w:r>
            <w:r>
              <w:rPr>
                <w:spacing w:val="-2"/>
                <w:sz w:val="21"/>
                <w:szCs w:val="21"/>
              </w:rPr>
              <w:t>眼镜。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98" w:type="dxa"/>
            <w:vMerge w:val="continue"/>
            <w:tcBorders>
              <w:top w:val="nil"/>
              <w:bottom w:val="nil"/>
            </w:tcBorders>
            <w:textDirection w:val="tbRlV"/>
            <w:vAlign w:val="top"/>
          </w:tcPr>
          <w:p>
            <w:pPr>
              <w:rPr>
                <w:rFonts w:ascii="Arial"/>
                <w:sz w:val="21"/>
              </w:rPr>
            </w:pPr>
          </w:p>
        </w:tc>
        <w:tc>
          <w:tcPr>
            <w:tcW w:w="1698" w:type="dxa"/>
            <w:vAlign w:val="top"/>
          </w:tcPr>
          <w:p>
            <w:pPr>
              <w:pStyle w:val="6"/>
              <w:spacing w:before="67" w:line="221" w:lineRule="auto"/>
              <w:ind w:left="536"/>
              <w:rPr>
                <w:sz w:val="21"/>
                <w:szCs w:val="21"/>
              </w:rPr>
            </w:pPr>
            <w:r>
              <w:rPr>
                <w:spacing w:val="-2"/>
                <w:sz w:val="21"/>
                <w:szCs w:val="21"/>
              </w:rPr>
              <w:t>手防护</w:t>
            </w:r>
          </w:p>
        </w:tc>
        <w:tc>
          <w:tcPr>
            <w:tcW w:w="6437" w:type="dxa"/>
            <w:gridSpan w:val="3"/>
            <w:vAlign w:val="top"/>
          </w:tcPr>
          <w:p>
            <w:pPr>
              <w:pStyle w:val="6"/>
              <w:spacing w:before="66" w:line="221" w:lineRule="auto"/>
              <w:ind w:left="913"/>
              <w:rPr>
                <w:sz w:val="21"/>
                <w:szCs w:val="21"/>
              </w:rPr>
            </w:pPr>
            <w:r>
              <w:rPr>
                <w:spacing w:val="-1"/>
                <w:sz w:val="21"/>
                <w:szCs w:val="21"/>
              </w:rPr>
              <w:t>一般不需要特殊防护，高浓度接触可戴防护手套。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8" w:type="dxa"/>
            <w:vMerge w:val="continue"/>
            <w:tcBorders>
              <w:top w:val="nil"/>
            </w:tcBorders>
            <w:textDirection w:val="tbRlV"/>
            <w:vAlign w:val="top"/>
          </w:tcPr>
          <w:p>
            <w:pPr>
              <w:rPr>
                <w:rFonts w:ascii="Arial"/>
                <w:sz w:val="21"/>
              </w:rPr>
            </w:pPr>
          </w:p>
        </w:tc>
        <w:tc>
          <w:tcPr>
            <w:tcW w:w="1698" w:type="dxa"/>
            <w:vAlign w:val="top"/>
          </w:tcPr>
          <w:p>
            <w:pPr>
              <w:pStyle w:val="6"/>
              <w:spacing w:before="171" w:line="221" w:lineRule="auto"/>
              <w:ind w:left="642"/>
              <w:rPr>
                <w:sz w:val="21"/>
                <w:szCs w:val="21"/>
              </w:rPr>
            </w:pPr>
            <w:r>
              <w:rPr>
                <w:spacing w:val="-2"/>
                <w:sz w:val="21"/>
                <w:szCs w:val="21"/>
              </w:rPr>
              <w:t>其他</w:t>
            </w:r>
          </w:p>
        </w:tc>
        <w:tc>
          <w:tcPr>
            <w:tcW w:w="6437" w:type="dxa"/>
            <w:gridSpan w:val="3"/>
            <w:vAlign w:val="top"/>
          </w:tcPr>
          <w:p>
            <w:pPr>
              <w:pStyle w:val="6"/>
              <w:spacing w:before="33" w:line="222" w:lineRule="auto"/>
              <w:ind w:left="965" w:right="988" w:firstLine="66"/>
              <w:rPr>
                <w:sz w:val="21"/>
                <w:szCs w:val="21"/>
              </w:rPr>
            </w:pPr>
            <w:r>
              <w:rPr>
                <w:rFonts w:ascii="Times New Roman" w:hAnsi="Times New Roman" w:eastAsia="Times New Roman" w:cs="Times New Roman"/>
                <w:spacing w:val="-5"/>
                <w:sz w:val="21"/>
                <w:szCs w:val="21"/>
              </w:rPr>
              <w:t>1</w:t>
            </w:r>
            <w:r>
              <w:rPr>
                <w:spacing w:val="-5"/>
                <w:sz w:val="21"/>
                <w:szCs w:val="21"/>
              </w:rPr>
              <w:t>、工作现场严禁吸烟；</w:t>
            </w:r>
            <w:r>
              <w:rPr>
                <w:spacing w:val="-16"/>
                <w:sz w:val="21"/>
                <w:szCs w:val="21"/>
              </w:rPr>
              <w:t xml:space="preserve"> </w:t>
            </w:r>
            <w:r>
              <w:rPr>
                <w:rFonts w:ascii="Times New Roman" w:hAnsi="Times New Roman" w:eastAsia="Times New Roman" w:cs="Times New Roman"/>
                <w:spacing w:val="-5"/>
                <w:sz w:val="21"/>
                <w:szCs w:val="21"/>
              </w:rPr>
              <w:t>2</w:t>
            </w:r>
            <w:r>
              <w:rPr>
                <w:spacing w:val="-5"/>
                <w:sz w:val="21"/>
                <w:szCs w:val="21"/>
              </w:rPr>
              <w:t>、避免长期反复接触；</w:t>
            </w:r>
            <w:r>
              <w:rPr>
                <w:sz w:val="21"/>
                <w:szCs w:val="21"/>
              </w:rPr>
              <w:t xml:space="preserve"> </w:t>
            </w:r>
            <w:r>
              <w:rPr>
                <w:rFonts w:ascii="Times New Roman" w:hAnsi="Times New Roman" w:eastAsia="Times New Roman" w:cs="Times New Roman"/>
                <w:spacing w:val="-2"/>
                <w:sz w:val="21"/>
                <w:szCs w:val="21"/>
              </w:rPr>
              <w:t>3</w:t>
            </w:r>
            <w:r>
              <w:rPr>
                <w:spacing w:val="-2"/>
                <w:sz w:val="21"/>
                <w:szCs w:val="21"/>
              </w:rPr>
              <w:t>、进入罐区或其他高浓度区作业时须有人监护。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398" w:type="dxa"/>
            <w:textDirection w:val="tbRlV"/>
            <w:vAlign w:val="top"/>
          </w:tcPr>
          <w:p>
            <w:pPr>
              <w:pStyle w:val="6"/>
              <w:spacing w:before="74" w:line="210" w:lineRule="auto"/>
              <w:ind w:left="171"/>
              <w:rPr>
                <w:sz w:val="21"/>
                <w:szCs w:val="21"/>
              </w:rPr>
            </w:pPr>
            <w:r>
              <w:rPr>
                <w:spacing w:val="46"/>
                <w:sz w:val="21"/>
                <w:szCs w:val="21"/>
              </w:rPr>
              <w:t>泄漏处理</w:t>
            </w:r>
          </w:p>
        </w:tc>
        <w:tc>
          <w:tcPr>
            <w:tcW w:w="8135" w:type="dxa"/>
            <w:gridSpan w:val="4"/>
            <w:vAlign w:val="top"/>
          </w:tcPr>
          <w:p>
            <w:pPr>
              <w:pStyle w:val="6"/>
              <w:spacing w:before="34" w:line="233" w:lineRule="auto"/>
              <w:ind w:left="132" w:right="132"/>
              <w:rPr>
                <w:sz w:val="21"/>
                <w:szCs w:val="21"/>
              </w:rPr>
            </w:pPr>
            <w:r>
              <w:rPr>
                <w:rFonts w:ascii="Times New Roman" w:hAnsi="Times New Roman" w:eastAsia="Times New Roman" w:cs="Times New Roman"/>
                <w:spacing w:val="-6"/>
                <w:sz w:val="21"/>
                <w:szCs w:val="21"/>
              </w:rPr>
              <w:t>1</w:t>
            </w:r>
            <w:r>
              <w:rPr>
                <w:spacing w:val="-6"/>
                <w:sz w:val="21"/>
                <w:szCs w:val="21"/>
              </w:rPr>
              <w:t>、切断气源， 喷雾状水稀释、降温，</w:t>
            </w:r>
            <w:r>
              <w:rPr>
                <w:spacing w:val="-11"/>
                <w:sz w:val="21"/>
                <w:szCs w:val="21"/>
              </w:rPr>
              <w:t xml:space="preserve"> </w:t>
            </w:r>
            <w:r>
              <w:rPr>
                <w:spacing w:val="-6"/>
                <w:sz w:val="21"/>
                <w:szCs w:val="21"/>
              </w:rPr>
              <w:t>抽排</w:t>
            </w:r>
            <w:r>
              <w:rPr>
                <w:rFonts w:ascii="Times New Roman" w:hAnsi="Times New Roman" w:eastAsia="Times New Roman" w:cs="Times New Roman"/>
                <w:spacing w:val="-6"/>
                <w:sz w:val="21"/>
                <w:szCs w:val="21"/>
              </w:rPr>
              <w:t>(</w:t>
            </w:r>
            <w:r>
              <w:rPr>
                <w:spacing w:val="-6"/>
                <w:sz w:val="21"/>
                <w:szCs w:val="21"/>
              </w:rPr>
              <w:t>室内）或强力通风</w:t>
            </w:r>
            <w:r>
              <w:rPr>
                <w:rFonts w:ascii="Times New Roman" w:hAnsi="Times New Roman" w:eastAsia="Times New Roman" w:cs="Times New Roman"/>
                <w:spacing w:val="-6"/>
                <w:sz w:val="21"/>
                <w:szCs w:val="21"/>
              </w:rPr>
              <w:t>(</w:t>
            </w:r>
            <w:r>
              <w:rPr>
                <w:spacing w:val="-6"/>
                <w:sz w:val="21"/>
                <w:szCs w:val="21"/>
              </w:rPr>
              <w:t>室外）。</w:t>
            </w:r>
            <w:r>
              <w:rPr>
                <w:rFonts w:ascii="Times New Roman" w:hAnsi="Times New Roman" w:eastAsia="Times New Roman" w:cs="Times New Roman"/>
                <w:spacing w:val="-6"/>
                <w:sz w:val="21"/>
                <w:szCs w:val="21"/>
              </w:rPr>
              <w:t>2</w:t>
            </w:r>
            <w:r>
              <w:rPr>
                <w:spacing w:val="-6"/>
                <w:sz w:val="21"/>
                <w:szCs w:val="21"/>
              </w:rPr>
              <w:t>、切断火源，</w:t>
            </w:r>
            <w:r>
              <w:rPr>
                <w:sz w:val="21"/>
                <w:szCs w:val="21"/>
              </w:rPr>
              <w:t xml:space="preserve"> </w:t>
            </w:r>
            <w:r>
              <w:rPr>
                <w:spacing w:val="-3"/>
                <w:sz w:val="21"/>
                <w:szCs w:val="21"/>
              </w:rPr>
              <w:t>迅速撤离泄漏污染区人员至上风处， 并隔离直至气体散尽。</w:t>
            </w:r>
            <w:r>
              <w:rPr>
                <w:rFonts w:ascii="Times New Roman" w:hAnsi="Times New Roman" w:eastAsia="Times New Roman" w:cs="Times New Roman"/>
                <w:spacing w:val="-3"/>
                <w:sz w:val="21"/>
                <w:szCs w:val="21"/>
              </w:rPr>
              <w:t>3</w:t>
            </w:r>
            <w:r>
              <w:rPr>
                <w:spacing w:val="-3"/>
                <w:sz w:val="21"/>
                <w:szCs w:val="21"/>
              </w:rPr>
              <w:t>、应急处理人员应戴自给</w:t>
            </w:r>
            <w:r>
              <w:rPr>
                <w:sz w:val="21"/>
                <w:szCs w:val="21"/>
              </w:rPr>
              <w:t xml:space="preserve"> </w:t>
            </w:r>
            <w:r>
              <w:rPr>
                <w:spacing w:val="-6"/>
                <w:sz w:val="21"/>
                <w:szCs w:val="21"/>
              </w:rPr>
              <w:t xml:space="preserve">式呼吸器， 穿一般消防防护服。 </w:t>
            </w:r>
            <w:r>
              <w:rPr>
                <w:rFonts w:ascii="Times New Roman" w:hAnsi="Times New Roman" w:eastAsia="Times New Roman" w:cs="Times New Roman"/>
                <w:spacing w:val="-6"/>
                <w:sz w:val="21"/>
                <w:szCs w:val="21"/>
              </w:rPr>
              <w:t>4</w:t>
            </w:r>
            <w:r>
              <w:rPr>
                <w:spacing w:val="-6"/>
                <w:sz w:val="21"/>
                <w:szCs w:val="21"/>
              </w:rPr>
              <w:t>、如有可能，应将漏出气用排风机送至空旷地方或装</w:t>
            </w:r>
          </w:p>
          <w:p>
            <w:pPr>
              <w:pStyle w:val="6"/>
              <w:spacing w:before="23" w:line="220" w:lineRule="auto"/>
              <w:ind w:left="114"/>
              <w:rPr>
                <w:sz w:val="21"/>
                <w:szCs w:val="21"/>
              </w:rPr>
            </w:pPr>
            <w:r>
              <w:rPr>
                <w:spacing w:val="-2"/>
                <w:sz w:val="21"/>
                <w:szCs w:val="21"/>
              </w:rPr>
              <w:t>设适当喷头烧掉；也可以将漏气的容器移至空旷处，注</w:t>
            </w:r>
            <w:r>
              <w:rPr>
                <w:spacing w:val="-3"/>
                <w:sz w:val="21"/>
                <w:szCs w:val="21"/>
              </w:rPr>
              <w:t>意通风。</w:t>
            </w:r>
            <w:r>
              <w:rPr>
                <w:rFonts w:ascii="Times New Roman" w:hAnsi="Times New Roman" w:eastAsia="Times New Roman" w:cs="Times New Roman"/>
                <w:spacing w:val="-3"/>
                <w:sz w:val="21"/>
                <w:szCs w:val="21"/>
              </w:rPr>
              <w:t>5</w:t>
            </w:r>
            <w:r>
              <w:rPr>
                <w:spacing w:val="-3"/>
                <w:sz w:val="21"/>
                <w:szCs w:val="21"/>
              </w:rPr>
              <w:t>、漏气容器不能再用，</w:t>
            </w:r>
          </w:p>
          <w:p>
            <w:pPr>
              <w:pStyle w:val="6"/>
              <w:spacing w:before="21" w:line="209" w:lineRule="auto"/>
              <w:ind w:left="2075"/>
              <w:rPr>
                <w:sz w:val="21"/>
                <w:szCs w:val="21"/>
              </w:rPr>
            </w:pPr>
            <w:r>
              <w:rPr>
                <w:spacing w:val="-1"/>
                <w:sz w:val="21"/>
                <w:szCs w:val="21"/>
              </w:rPr>
              <w:t>且要经过技术处理以清除可能剩下的气体。</w:t>
            </w:r>
          </w:p>
        </w:tc>
      </w:tr>
    </w:tbl>
    <w:p>
      <w:pPr>
        <w:spacing w:before="177" w:line="480" w:lineRule="exact"/>
        <w:ind w:left="601"/>
        <w:rPr>
          <w:rFonts w:ascii="宋体" w:hAnsi="宋体" w:eastAsia="宋体" w:cs="宋体"/>
          <w:sz w:val="24"/>
          <w:szCs w:val="24"/>
        </w:rPr>
      </w:pPr>
      <w:r>
        <w:rPr>
          <w:rFonts w:ascii="宋体" w:hAnsi="宋体" w:eastAsia="宋体" w:cs="宋体"/>
          <w:spacing w:val="-12"/>
          <w:position w:val="18"/>
          <w:sz w:val="24"/>
          <w:szCs w:val="24"/>
        </w:rPr>
        <w:t>硫化氢为无色、有臭鸡蛋气味的有毒气体，</w:t>
      </w:r>
      <w:r>
        <w:rPr>
          <w:rFonts w:ascii="宋体" w:hAnsi="宋体" w:eastAsia="宋体" w:cs="宋体"/>
          <w:spacing w:val="38"/>
          <w:position w:val="18"/>
          <w:sz w:val="24"/>
          <w:szCs w:val="24"/>
        </w:rPr>
        <w:t xml:space="preserve"> </w:t>
      </w:r>
      <w:r>
        <w:rPr>
          <w:rFonts w:ascii="宋体" w:hAnsi="宋体" w:eastAsia="宋体" w:cs="宋体"/>
          <w:spacing w:val="-12"/>
          <w:position w:val="18"/>
          <w:sz w:val="24"/>
          <w:szCs w:val="24"/>
        </w:rPr>
        <w:t>是强烈</w:t>
      </w:r>
      <w:r>
        <w:rPr>
          <w:rFonts w:ascii="宋体" w:hAnsi="宋体" w:eastAsia="宋体" w:cs="宋体"/>
          <w:spacing w:val="-13"/>
          <w:position w:val="18"/>
          <w:sz w:val="24"/>
          <w:szCs w:val="24"/>
        </w:rPr>
        <w:t>的神经性毒物，</w:t>
      </w:r>
      <w:r>
        <w:rPr>
          <w:rFonts w:ascii="宋体" w:hAnsi="宋体" w:eastAsia="宋体" w:cs="宋体"/>
          <w:spacing w:val="36"/>
          <w:position w:val="18"/>
          <w:sz w:val="24"/>
          <w:szCs w:val="24"/>
        </w:rPr>
        <w:t xml:space="preserve"> </w:t>
      </w:r>
      <w:r>
        <w:rPr>
          <w:rFonts w:ascii="宋体" w:hAnsi="宋体" w:eastAsia="宋体" w:cs="宋体"/>
          <w:spacing w:val="-13"/>
          <w:position w:val="18"/>
          <w:sz w:val="24"/>
          <w:szCs w:val="24"/>
        </w:rPr>
        <w:t>经人体黏</w:t>
      </w:r>
    </w:p>
    <w:p>
      <w:pPr>
        <w:spacing w:line="219" w:lineRule="auto"/>
        <w:ind w:left="121"/>
        <w:rPr>
          <w:rFonts w:ascii="宋体" w:hAnsi="宋体" w:eastAsia="宋体" w:cs="宋体"/>
          <w:sz w:val="24"/>
          <w:szCs w:val="24"/>
        </w:rPr>
      </w:pPr>
      <w:r>
        <w:rPr>
          <w:rFonts w:ascii="宋体" w:hAnsi="宋体" w:eastAsia="宋体" w:cs="宋体"/>
          <w:spacing w:val="-6"/>
          <w:sz w:val="24"/>
          <w:szCs w:val="24"/>
        </w:rPr>
        <w:t>膜吸收比皮肤吸收造成的中毒更为迅速。根据硫化氢的毒理学特性可知， 硫化氢</w:t>
      </w:r>
    </w:p>
    <w:p>
      <w:pPr>
        <w:spacing w:line="219" w:lineRule="auto"/>
        <w:rPr>
          <w:rFonts w:ascii="宋体" w:hAnsi="宋体" w:eastAsia="宋体" w:cs="宋体"/>
          <w:sz w:val="24"/>
          <w:szCs w:val="24"/>
        </w:rPr>
        <w:sectPr>
          <w:footerReference r:id="rId229" w:type="default"/>
          <w:pgSz w:w="11907" w:h="16839"/>
          <w:pgMar w:top="1123" w:right="1682" w:bottom="1149" w:left="1685" w:header="1108" w:footer="988" w:gutter="0"/>
          <w:cols w:space="720" w:num="1"/>
        </w:sectPr>
      </w:pPr>
    </w:p>
    <w:p>
      <w:pPr>
        <w:pStyle w:val="2"/>
        <w:spacing w:line="413" w:lineRule="auto"/>
        <w:rPr>
          <w:sz w:val="21"/>
        </w:rPr>
      </w:pPr>
    </w:p>
    <w:p>
      <w:pPr>
        <w:spacing w:before="78" w:line="220" w:lineRule="auto"/>
        <w:ind w:left="43"/>
        <w:rPr>
          <w:rFonts w:ascii="宋体" w:hAnsi="宋体" w:eastAsia="宋体" w:cs="宋体"/>
          <w:sz w:val="24"/>
          <w:szCs w:val="24"/>
        </w:rPr>
      </w:pPr>
      <w:r>
        <w:rPr>
          <w:rFonts w:ascii="宋体" w:hAnsi="宋体" w:eastAsia="宋体" w:cs="宋体"/>
          <w:spacing w:val="-2"/>
          <w:sz w:val="24"/>
          <w:szCs w:val="24"/>
        </w:rPr>
        <w:t>并不是所有浓度都是瞬间致人死亡，其每个浓度致死时间是不同的。</w:t>
      </w:r>
    </w:p>
    <w:p>
      <w:pPr>
        <w:spacing w:before="194" w:line="220" w:lineRule="auto"/>
        <w:ind w:left="208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4.1-3    </w:t>
      </w:r>
      <w:r>
        <w:rPr>
          <w:rFonts w:ascii="宋体" w:hAnsi="宋体" w:eastAsia="宋体" w:cs="宋体"/>
          <w:spacing w:val="-1"/>
          <w:sz w:val="24"/>
          <w:szCs w:val="24"/>
          <w14:textOutline w14:w="4354" w14:cap="flat" w14:cmpd="sng">
            <w14:solidFill>
              <w14:srgbClr w14:val="000000"/>
            </w14:solidFill>
            <w14:prstDash w14:val="solid"/>
            <w14:miter w14:val="10"/>
          </w14:textOutline>
        </w:rPr>
        <w:t>天然气的</w:t>
      </w:r>
      <w:r>
        <w:rPr>
          <w:rFonts w:ascii="宋体" w:hAnsi="宋体" w:eastAsia="宋体" w:cs="宋体"/>
          <w:spacing w:val="-52"/>
          <w:sz w:val="24"/>
          <w:szCs w:val="24"/>
        </w:rPr>
        <w:t xml:space="preserve"> </w:t>
      </w:r>
      <w:r>
        <w:rPr>
          <w:rFonts w:ascii="Times New Roman" w:hAnsi="Times New Roman" w:eastAsia="Times New Roman" w:cs="Times New Roman"/>
          <w:b/>
          <w:bCs/>
          <w:spacing w:val="-1"/>
          <w:sz w:val="24"/>
          <w:szCs w:val="24"/>
        </w:rPr>
        <w:t>H</w:t>
      </w:r>
      <w:r>
        <w:rPr>
          <w:rFonts w:ascii="Times New Roman" w:hAnsi="Times New Roman" w:eastAsia="Times New Roman" w:cs="Times New Roman"/>
          <w:b/>
          <w:bCs/>
          <w:spacing w:val="-1"/>
          <w:sz w:val="16"/>
          <w:szCs w:val="16"/>
        </w:rPr>
        <w:t>2</w:t>
      </w:r>
      <w:r>
        <w:rPr>
          <w:rFonts w:ascii="Times New Roman" w:hAnsi="Times New Roman" w:eastAsia="Times New Roman" w:cs="Times New Roman"/>
          <w:b/>
          <w:bCs/>
          <w:spacing w:val="-1"/>
          <w:sz w:val="24"/>
          <w:szCs w:val="24"/>
        </w:rPr>
        <w:t xml:space="preserve">S </w:t>
      </w:r>
      <w:r>
        <w:rPr>
          <w:rFonts w:ascii="宋体" w:hAnsi="宋体" w:eastAsia="宋体" w:cs="宋体"/>
          <w:spacing w:val="-1"/>
          <w:sz w:val="24"/>
          <w:szCs w:val="24"/>
          <w14:textOutline w14:w="4354" w14:cap="flat" w14:cmpd="sng">
            <w14:solidFill>
              <w14:srgbClr w14:val="000000"/>
            </w14:solidFill>
            <w14:prstDash w14:val="solid"/>
            <w14:miter w14:val="10"/>
          </w14:textOutline>
        </w:rPr>
        <w:t>物理化学特性表</w:t>
      </w:r>
    </w:p>
    <w:p>
      <w:pPr>
        <w:spacing w:line="16" w:lineRule="exact"/>
      </w:pPr>
    </w:p>
    <w:tbl>
      <w:tblPr>
        <w:tblStyle w:val="5"/>
        <w:tblW w:w="834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2483"/>
        <w:gridCol w:w="1166"/>
        <w:gridCol w:w="36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9" w:hRule="atLeast"/>
        </w:trPr>
        <w:tc>
          <w:tcPr>
            <w:tcW w:w="1012" w:type="dxa"/>
            <w:vAlign w:val="top"/>
          </w:tcPr>
          <w:p>
            <w:pPr>
              <w:pStyle w:val="6"/>
              <w:spacing w:before="85" w:line="221" w:lineRule="auto"/>
              <w:ind w:left="42"/>
              <w:rPr>
                <w:sz w:val="21"/>
                <w:szCs w:val="21"/>
              </w:rPr>
            </w:pPr>
            <w:r>
              <w:rPr>
                <w:spacing w:val="-7"/>
                <w:sz w:val="21"/>
                <w:szCs w:val="21"/>
              </w:rPr>
              <w:t>中文名称</w:t>
            </w:r>
          </w:p>
        </w:tc>
        <w:tc>
          <w:tcPr>
            <w:tcW w:w="2483" w:type="dxa"/>
            <w:vAlign w:val="top"/>
          </w:tcPr>
          <w:p>
            <w:pPr>
              <w:pStyle w:val="6"/>
              <w:spacing w:before="84" w:line="222" w:lineRule="auto"/>
              <w:ind w:left="17"/>
              <w:rPr>
                <w:sz w:val="21"/>
                <w:szCs w:val="21"/>
              </w:rPr>
            </w:pPr>
            <w:r>
              <w:rPr>
                <w:spacing w:val="-1"/>
                <w:sz w:val="21"/>
                <w:szCs w:val="21"/>
              </w:rPr>
              <w:t>硫化氢</w:t>
            </w:r>
          </w:p>
        </w:tc>
        <w:tc>
          <w:tcPr>
            <w:tcW w:w="1166" w:type="dxa"/>
            <w:vAlign w:val="top"/>
          </w:tcPr>
          <w:p>
            <w:pPr>
              <w:pStyle w:val="6"/>
              <w:spacing w:before="84" w:line="221" w:lineRule="auto"/>
              <w:ind w:left="40"/>
              <w:rPr>
                <w:sz w:val="21"/>
                <w:szCs w:val="21"/>
              </w:rPr>
            </w:pPr>
            <w:r>
              <w:rPr>
                <w:spacing w:val="-7"/>
                <w:sz w:val="21"/>
                <w:szCs w:val="21"/>
              </w:rPr>
              <w:t>国标编号</w:t>
            </w:r>
          </w:p>
        </w:tc>
        <w:tc>
          <w:tcPr>
            <w:tcW w:w="3687" w:type="dxa"/>
            <w:vAlign w:val="top"/>
          </w:tcPr>
          <w:p>
            <w:pPr>
              <w:spacing w:before="121" w:line="189" w:lineRule="auto"/>
              <w:ind w:left="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012" w:type="dxa"/>
            <w:vAlign w:val="top"/>
          </w:tcPr>
          <w:p>
            <w:pPr>
              <w:pStyle w:val="6"/>
              <w:spacing w:before="80" w:line="221" w:lineRule="auto"/>
              <w:ind w:left="23"/>
              <w:rPr>
                <w:sz w:val="21"/>
                <w:szCs w:val="21"/>
              </w:rPr>
            </w:pPr>
            <w:r>
              <w:rPr>
                <w:spacing w:val="-2"/>
                <w:sz w:val="21"/>
                <w:szCs w:val="21"/>
              </w:rPr>
              <w:t>英文名称</w:t>
            </w:r>
          </w:p>
        </w:tc>
        <w:tc>
          <w:tcPr>
            <w:tcW w:w="2483" w:type="dxa"/>
            <w:vAlign w:val="top"/>
          </w:tcPr>
          <w:p>
            <w:pPr>
              <w:spacing w:before="112" w:line="193" w:lineRule="auto"/>
              <w:ind w:left="11"/>
              <w:rPr>
                <w:rFonts w:ascii="Times New Roman" w:hAnsi="Times New Roman" w:eastAsia="Times New Roman" w:cs="Times New Roman"/>
                <w:sz w:val="21"/>
                <w:szCs w:val="21"/>
              </w:rPr>
            </w:pPr>
            <w:r>
              <w:rPr>
                <w:rFonts w:ascii="Times New Roman" w:hAnsi="Times New Roman" w:eastAsia="Times New Roman" w:cs="Times New Roman"/>
                <w:sz w:val="21"/>
                <w:szCs w:val="21"/>
              </w:rPr>
              <w:t>hydrogen   sulfide</w:t>
            </w:r>
          </w:p>
        </w:tc>
        <w:tc>
          <w:tcPr>
            <w:tcW w:w="1166" w:type="dxa"/>
            <w:vAlign w:val="top"/>
          </w:tcPr>
          <w:p>
            <w:pPr>
              <w:pStyle w:val="6"/>
              <w:spacing w:before="79" w:line="222" w:lineRule="auto"/>
              <w:ind w:left="19"/>
              <w:rPr>
                <w:sz w:val="21"/>
                <w:szCs w:val="21"/>
              </w:rPr>
            </w:pPr>
            <w:r>
              <w:rPr>
                <w:rFonts w:ascii="Times New Roman" w:hAnsi="Times New Roman" w:eastAsia="Times New Roman" w:cs="Times New Roman"/>
                <w:spacing w:val="-2"/>
                <w:sz w:val="21"/>
                <w:szCs w:val="21"/>
              </w:rPr>
              <w:t>CAS</w:t>
            </w:r>
            <w:r>
              <w:rPr>
                <w:rFonts w:ascii="Times New Roman" w:hAnsi="Times New Roman" w:eastAsia="Times New Roman" w:cs="Times New Roman"/>
                <w:spacing w:val="14"/>
                <w:w w:val="101"/>
                <w:sz w:val="21"/>
                <w:szCs w:val="21"/>
              </w:rPr>
              <w:t xml:space="preserve"> </w:t>
            </w:r>
            <w:r>
              <w:rPr>
                <w:spacing w:val="-2"/>
                <w:sz w:val="21"/>
                <w:szCs w:val="21"/>
              </w:rPr>
              <w:t>号</w:t>
            </w:r>
          </w:p>
        </w:tc>
        <w:tc>
          <w:tcPr>
            <w:tcW w:w="3687" w:type="dxa"/>
            <w:vAlign w:val="top"/>
          </w:tcPr>
          <w:p>
            <w:pPr>
              <w:spacing w:before="116" w:line="189" w:lineRule="auto"/>
              <w:ind w:left="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7783-06-4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12" w:type="dxa"/>
            <w:vAlign w:val="top"/>
          </w:tcPr>
          <w:p>
            <w:pPr>
              <w:pStyle w:val="6"/>
              <w:spacing w:before="78" w:line="221" w:lineRule="auto"/>
              <w:ind w:left="24"/>
              <w:rPr>
                <w:sz w:val="21"/>
                <w:szCs w:val="21"/>
              </w:rPr>
            </w:pPr>
            <w:r>
              <w:rPr>
                <w:spacing w:val="-2"/>
                <w:sz w:val="21"/>
                <w:szCs w:val="21"/>
              </w:rPr>
              <w:t>分子式</w:t>
            </w:r>
          </w:p>
        </w:tc>
        <w:tc>
          <w:tcPr>
            <w:tcW w:w="2483" w:type="dxa"/>
            <w:vAlign w:val="top"/>
          </w:tcPr>
          <w:p>
            <w:pPr>
              <w:spacing w:before="115" w:line="198" w:lineRule="auto"/>
              <w:ind w:left="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S</w:t>
            </w:r>
          </w:p>
        </w:tc>
        <w:tc>
          <w:tcPr>
            <w:tcW w:w="1166" w:type="dxa"/>
            <w:vAlign w:val="top"/>
          </w:tcPr>
          <w:p>
            <w:pPr>
              <w:pStyle w:val="6"/>
              <w:spacing w:before="77" w:line="221" w:lineRule="auto"/>
              <w:ind w:left="24"/>
              <w:rPr>
                <w:sz w:val="21"/>
                <w:szCs w:val="21"/>
              </w:rPr>
            </w:pPr>
            <w:r>
              <w:rPr>
                <w:spacing w:val="-2"/>
                <w:sz w:val="21"/>
                <w:szCs w:val="21"/>
              </w:rPr>
              <w:t>外观与性状</w:t>
            </w:r>
          </w:p>
        </w:tc>
        <w:tc>
          <w:tcPr>
            <w:tcW w:w="3687" w:type="dxa"/>
            <w:vAlign w:val="top"/>
          </w:tcPr>
          <w:p>
            <w:pPr>
              <w:pStyle w:val="6"/>
              <w:spacing w:before="77" w:line="221" w:lineRule="auto"/>
              <w:ind w:left="22"/>
              <w:rPr>
                <w:sz w:val="21"/>
                <w:szCs w:val="21"/>
              </w:rPr>
            </w:pPr>
            <w:r>
              <w:rPr>
                <w:spacing w:val="-1"/>
                <w:sz w:val="21"/>
                <w:szCs w:val="21"/>
              </w:rPr>
              <w:t>无色有恶臭气体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12" w:type="dxa"/>
            <w:vAlign w:val="top"/>
          </w:tcPr>
          <w:p>
            <w:pPr>
              <w:pStyle w:val="6"/>
              <w:spacing w:before="81" w:line="221" w:lineRule="auto"/>
              <w:ind w:left="24"/>
              <w:rPr>
                <w:sz w:val="21"/>
                <w:szCs w:val="21"/>
              </w:rPr>
            </w:pPr>
            <w:r>
              <w:rPr>
                <w:spacing w:val="-2"/>
                <w:sz w:val="21"/>
                <w:szCs w:val="21"/>
              </w:rPr>
              <w:t>分子量</w:t>
            </w:r>
          </w:p>
        </w:tc>
        <w:tc>
          <w:tcPr>
            <w:tcW w:w="2483" w:type="dxa"/>
            <w:vAlign w:val="top"/>
          </w:tcPr>
          <w:p>
            <w:pPr>
              <w:spacing w:before="117" w:line="189" w:lineRule="auto"/>
              <w:ind w:left="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34.08</w:t>
            </w:r>
          </w:p>
        </w:tc>
        <w:tc>
          <w:tcPr>
            <w:tcW w:w="1166" w:type="dxa"/>
            <w:vAlign w:val="top"/>
          </w:tcPr>
          <w:p>
            <w:pPr>
              <w:pStyle w:val="6"/>
              <w:spacing w:before="80" w:line="223" w:lineRule="auto"/>
              <w:ind w:left="22"/>
              <w:rPr>
                <w:sz w:val="21"/>
                <w:szCs w:val="21"/>
              </w:rPr>
            </w:pPr>
            <w:r>
              <w:rPr>
                <w:spacing w:val="-2"/>
                <w:sz w:val="21"/>
                <w:szCs w:val="21"/>
              </w:rPr>
              <w:t>蒸汽压</w:t>
            </w:r>
          </w:p>
        </w:tc>
        <w:tc>
          <w:tcPr>
            <w:tcW w:w="3687" w:type="dxa"/>
            <w:vAlign w:val="top"/>
          </w:tcPr>
          <w:p>
            <w:pPr>
              <w:pStyle w:val="6"/>
              <w:spacing w:before="81" w:line="235" w:lineRule="auto"/>
              <w:ind w:left="16"/>
              <w:rPr>
                <w:rFonts w:ascii="Times New Roman" w:hAnsi="Times New Roman" w:eastAsia="Times New Roman" w:cs="Times New Roman"/>
                <w:sz w:val="21"/>
                <w:szCs w:val="21"/>
              </w:rPr>
            </w:pPr>
            <w:r>
              <w:rPr>
                <w:rFonts w:ascii="Times New Roman" w:hAnsi="Times New Roman" w:eastAsia="Times New Roman" w:cs="Times New Roman"/>
                <w:sz w:val="21"/>
                <w:szCs w:val="21"/>
              </w:rPr>
              <w:t>2026.5kPa/25.5℃</w:t>
            </w:r>
            <w:r>
              <w:rPr>
                <w:sz w:val="21"/>
                <w:szCs w:val="21"/>
              </w:rPr>
              <w:t>闪点：</w:t>
            </w:r>
            <w:r>
              <w:rPr>
                <w:rFonts w:ascii="Times New Roman" w:hAnsi="Times New Roman" w:eastAsia="Times New Roman" w:cs="Times New Roman"/>
                <w:sz w:val="21"/>
                <w:szCs w:val="21"/>
              </w:rPr>
              <w:t>&lt;-50℃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012" w:type="dxa"/>
            <w:vAlign w:val="top"/>
          </w:tcPr>
          <w:p>
            <w:pPr>
              <w:pStyle w:val="6"/>
              <w:spacing w:before="81" w:line="221" w:lineRule="auto"/>
              <w:ind w:left="23"/>
              <w:rPr>
                <w:sz w:val="21"/>
                <w:szCs w:val="21"/>
              </w:rPr>
            </w:pPr>
            <w:r>
              <w:rPr>
                <w:spacing w:val="-4"/>
                <w:sz w:val="21"/>
                <w:szCs w:val="21"/>
              </w:rPr>
              <w:t>熔</w:t>
            </w:r>
            <w:r>
              <w:rPr>
                <w:spacing w:val="35"/>
                <w:sz w:val="21"/>
                <w:szCs w:val="21"/>
              </w:rPr>
              <w:t xml:space="preserve">  </w:t>
            </w:r>
            <w:r>
              <w:rPr>
                <w:spacing w:val="-4"/>
                <w:sz w:val="21"/>
                <w:szCs w:val="21"/>
              </w:rPr>
              <w:t>点</w:t>
            </w:r>
          </w:p>
        </w:tc>
        <w:tc>
          <w:tcPr>
            <w:tcW w:w="2483" w:type="dxa"/>
            <w:vAlign w:val="top"/>
          </w:tcPr>
          <w:p>
            <w:pPr>
              <w:pStyle w:val="6"/>
              <w:spacing w:before="80" w:line="222" w:lineRule="auto"/>
              <w:ind w:left="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-85.5℃</w:t>
            </w:r>
            <w:r>
              <w:rPr>
                <w:spacing w:val="-1"/>
                <w:sz w:val="21"/>
                <w:szCs w:val="21"/>
              </w:rPr>
              <w:t>沸点：</w:t>
            </w:r>
            <w:r>
              <w:rPr>
                <w:rFonts w:ascii="Times New Roman" w:hAnsi="Times New Roman" w:eastAsia="Times New Roman" w:cs="Times New Roman"/>
                <w:spacing w:val="-1"/>
                <w:sz w:val="21"/>
                <w:szCs w:val="21"/>
              </w:rPr>
              <w:t>-60.4℃</w:t>
            </w:r>
          </w:p>
        </w:tc>
        <w:tc>
          <w:tcPr>
            <w:tcW w:w="1166" w:type="dxa"/>
            <w:vAlign w:val="top"/>
          </w:tcPr>
          <w:p>
            <w:pPr>
              <w:pStyle w:val="6"/>
              <w:spacing w:before="81" w:line="221" w:lineRule="auto"/>
              <w:ind w:left="22"/>
              <w:rPr>
                <w:sz w:val="21"/>
                <w:szCs w:val="21"/>
              </w:rPr>
            </w:pPr>
            <w:r>
              <w:rPr>
                <w:spacing w:val="-2"/>
                <w:sz w:val="21"/>
                <w:szCs w:val="21"/>
              </w:rPr>
              <w:t>溶解性</w:t>
            </w:r>
          </w:p>
        </w:tc>
        <w:tc>
          <w:tcPr>
            <w:tcW w:w="3687" w:type="dxa"/>
            <w:vAlign w:val="top"/>
          </w:tcPr>
          <w:p>
            <w:pPr>
              <w:pStyle w:val="6"/>
              <w:spacing w:before="80" w:line="221" w:lineRule="auto"/>
              <w:ind w:left="22"/>
              <w:rPr>
                <w:sz w:val="21"/>
                <w:szCs w:val="21"/>
              </w:rPr>
            </w:pPr>
            <w:r>
              <w:rPr>
                <w:spacing w:val="-2"/>
                <w:sz w:val="21"/>
                <w:szCs w:val="21"/>
              </w:rPr>
              <w:t>溶于水、乙醇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12" w:type="dxa"/>
            <w:vAlign w:val="top"/>
          </w:tcPr>
          <w:p>
            <w:pPr>
              <w:pStyle w:val="6"/>
              <w:spacing w:before="79" w:line="221" w:lineRule="auto"/>
              <w:ind w:left="23"/>
              <w:rPr>
                <w:sz w:val="21"/>
                <w:szCs w:val="21"/>
              </w:rPr>
            </w:pPr>
            <w:r>
              <w:rPr>
                <w:spacing w:val="-4"/>
                <w:sz w:val="21"/>
                <w:szCs w:val="21"/>
              </w:rPr>
              <w:t>密</w:t>
            </w:r>
            <w:r>
              <w:rPr>
                <w:spacing w:val="29"/>
                <w:sz w:val="21"/>
                <w:szCs w:val="21"/>
              </w:rPr>
              <w:t xml:space="preserve">  </w:t>
            </w:r>
            <w:r>
              <w:rPr>
                <w:spacing w:val="-4"/>
                <w:sz w:val="21"/>
                <w:szCs w:val="21"/>
              </w:rPr>
              <w:t>度</w:t>
            </w:r>
          </w:p>
        </w:tc>
        <w:tc>
          <w:tcPr>
            <w:tcW w:w="2483" w:type="dxa"/>
            <w:vAlign w:val="top"/>
          </w:tcPr>
          <w:p>
            <w:pPr>
              <w:pStyle w:val="6"/>
              <w:spacing w:before="79" w:line="221" w:lineRule="auto"/>
              <w:ind w:left="18"/>
              <w:rPr>
                <w:rFonts w:ascii="Times New Roman" w:hAnsi="Times New Roman" w:eastAsia="Times New Roman" w:cs="Times New Roman"/>
                <w:sz w:val="21"/>
                <w:szCs w:val="21"/>
              </w:rPr>
            </w:pPr>
            <w:r>
              <w:rPr>
                <w:spacing w:val="-1"/>
                <w:sz w:val="21"/>
                <w:szCs w:val="21"/>
              </w:rPr>
              <w:t>相对密度（空气</w:t>
            </w:r>
            <w:r>
              <w:rPr>
                <w:rFonts w:ascii="Times New Roman" w:hAnsi="Times New Roman" w:eastAsia="Times New Roman" w:cs="Times New Roman"/>
                <w:spacing w:val="-1"/>
                <w:sz w:val="21"/>
                <w:szCs w:val="21"/>
              </w:rPr>
              <w:t>=1</w:t>
            </w:r>
            <w:r>
              <w:rPr>
                <w:spacing w:val="-1"/>
                <w:sz w:val="21"/>
                <w:szCs w:val="21"/>
              </w:rPr>
              <w:t>）</w:t>
            </w:r>
            <w:r>
              <w:rPr>
                <w:rFonts w:ascii="Times New Roman" w:hAnsi="Times New Roman" w:eastAsia="Times New Roman" w:cs="Times New Roman"/>
                <w:spacing w:val="-1"/>
                <w:sz w:val="21"/>
                <w:szCs w:val="21"/>
              </w:rPr>
              <w:t>1.19</w:t>
            </w:r>
          </w:p>
        </w:tc>
        <w:tc>
          <w:tcPr>
            <w:tcW w:w="1166" w:type="dxa"/>
            <w:vAlign w:val="top"/>
          </w:tcPr>
          <w:p>
            <w:pPr>
              <w:pStyle w:val="6"/>
              <w:spacing w:before="78" w:line="221" w:lineRule="auto"/>
              <w:ind w:left="20"/>
              <w:rPr>
                <w:sz w:val="21"/>
                <w:szCs w:val="21"/>
              </w:rPr>
            </w:pPr>
            <w:r>
              <w:rPr>
                <w:spacing w:val="-2"/>
                <w:sz w:val="21"/>
                <w:szCs w:val="21"/>
              </w:rPr>
              <w:t>稳定性</w:t>
            </w:r>
          </w:p>
        </w:tc>
        <w:tc>
          <w:tcPr>
            <w:tcW w:w="3687" w:type="dxa"/>
            <w:vAlign w:val="top"/>
          </w:tcPr>
          <w:p>
            <w:pPr>
              <w:pStyle w:val="6"/>
              <w:spacing w:before="78" w:line="221" w:lineRule="auto"/>
              <w:ind w:left="21"/>
              <w:rPr>
                <w:sz w:val="21"/>
                <w:szCs w:val="21"/>
              </w:rPr>
            </w:pPr>
            <w:r>
              <w:rPr>
                <w:spacing w:val="-2"/>
                <w:sz w:val="21"/>
                <w:szCs w:val="21"/>
              </w:rPr>
              <w:t>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12" w:type="dxa"/>
            <w:vAlign w:val="top"/>
          </w:tcPr>
          <w:p>
            <w:pPr>
              <w:pStyle w:val="6"/>
              <w:spacing w:before="82" w:line="221" w:lineRule="auto"/>
              <w:ind w:left="24"/>
              <w:rPr>
                <w:sz w:val="21"/>
                <w:szCs w:val="21"/>
              </w:rPr>
            </w:pPr>
            <w:r>
              <w:rPr>
                <w:spacing w:val="-2"/>
                <w:sz w:val="21"/>
                <w:szCs w:val="21"/>
              </w:rPr>
              <w:t>危险标记</w:t>
            </w:r>
          </w:p>
        </w:tc>
        <w:tc>
          <w:tcPr>
            <w:tcW w:w="2483" w:type="dxa"/>
            <w:vAlign w:val="top"/>
          </w:tcPr>
          <w:p>
            <w:pPr>
              <w:pStyle w:val="6"/>
              <w:spacing w:before="81" w:line="222" w:lineRule="auto"/>
              <w:ind w:left="13"/>
              <w:rPr>
                <w:sz w:val="21"/>
                <w:szCs w:val="21"/>
              </w:rPr>
            </w:pPr>
            <w:r>
              <w:rPr>
                <w:rFonts w:ascii="Times New Roman" w:hAnsi="Times New Roman" w:eastAsia="Times New Roman" w:cs="Times New Roman"/>
                <w:spacing w:val="-1"/>
                <w:sz w:val="21"/>
                <w:szCs w:val="21"/>
              </w:rPr>
              <w:t>4</w:t>
            </w:r>
            <w:r>
              <w:rPr>
                <w:spacing w:val="-1"/>
                <w:sz w:val="21"/>
                <w:szCs w:val="21"/>
              </w:rPr>
              <w:t>（易燃气体）</w:t>
            </w:r>
          </w:p>
        </w:tc>
        <w:tc>
          <w:tcPr>
            <w:tcW w:w="1166" w:type="dxa"/>
            <w:vAlign w:val="top"/>
          </w:tcPr>
          <w:p>
            <w:pPr>
              <w:pStyle w:val="6"/>
              <w:spacing w:before="81" w:line="222" w:lineRule="auto"/>
              <w:ind w:left="21"/>
              <w:rPr>
                <w:sz w:val="21"/>
                <w:szCs w:val="21"/>
              </w:rPr>
            </w:pPr>
            <w:r>
              <w:rPr>
                <w:spacing w:val="-2"/>
                <w:sz w:val="21"/>
                <w:szCs w:val="21"/>
              </w:rPr>
              <w:t>主要用途</w:t>
            </w:r>
          </w:p>
        </w:tc>
        <w:tc>
          <w:tcPr>
            <w:tcW w:w="3687" w:type="dxa"/>
            <w:vAlign w:val="top"/>
          </w:tcPr>
          <w:p>
            <w:pPr>
              <w:pStyle w:val="6"/>
              <w:spacing w:before="82" w:line="221" w:lineRule="auto"/>
              <w:ind w:left="22"/>
              <w:rPr>
                <w:sz w:val="21"/>
                <w:szCs w:val="21"/>
              </w:rPr>
            </w:pPr>
            <w:r>
              <w:rPr>
                <w:spacing w:val="-1"/>
                <w:sz w:val="21"/>
                <w:szCs w:val="21"/>
              </w:rPr>
              <w:t>用于化学分析如鉴定金属离子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6" w:hRule="atLeast"/>
        </w:trPr>
        <w:tc>
          <w:tcPr>
            <w:tcW w:w="8348" w:type="dxa"/>
            <w:gridSpan w:val="4"/>
            <w:vAlign w:val="top"/>
          </w:tcPr>
          <w:p>
            <w:pPr>
              <w:pStyle w:val="6"/>
              <w:spacing w:before="48" w:line="221" w:lineRule="auto"/>
              <w:ind w:left="28"/>
              <w:rPr>
                <w:sz w:val="21"/>
                <w:szCs w:val="21"/>
              </w:rPr>
            </w:pPr>
            <w:r>
              <w:rPr>
                <w:rFonts w:ascii="Times New Roman" w:hAnsi="Times New Roman" w:eastAsia="Times New Roman" w:cs="Times New Roman"/>
                <w:b/>
                <w:bCs/>
                <w:spacing w:val="-6"/>
                <w:sz w:val="21"/>
                <w:szCs w:val="21"/>
              </w:rPr>
              <w:t>1.</w:t>
            </w:r>
            <w:r>
              <w:rPr>
                <w:spacing w:val="-6"/>
                <w:sz w:val="21"/>
                <w:szCs w:val="21"/>
                <w14:textOutline w14:w="3831" w14:cap="flat" w14:cmpd="sng">
                  <w14:solidFill>
                    <w14:srgbClr w14:val="000000"/>
                  </w14:solidFill>
                  <w14:prstDash w14:val="solid"/>
                  <w14:miter w14:val="10"/>
                </w14:textOutline>
              </w:rPr>
              <w:t>对环境的影响：</w:t>
            </w:r>
          </w:p>
          <w:p>
            <w:pPr>
              <w:pStyle w:val="6"/>
              <w:spacing w:before="18" w:line="221" w:lineRule="auto"/>
              <w:ind w:left="25"/>
              <w:rPr>
                <w:sz w:val="21"/>
                <w:szCs w:val="21"/>
              </w:rPr>
            </w:pPr>
            <w:r>
              <w:rPr>
                <w:spacing w:val="-2"/>
                <w:sz w:val="21"/>
                <w:szCs w:val="21"/>
              </w:rPr>
              <w:t>一、健康危害</w:t>
            </w:r>
          </w:p>
          <w:p>
            <w:pPr>
              <w:pStyle w:val="6"/>
              <w:spacing w:before="22" w:line="221" w:lineRule="auto"/>
              <w:ind w:left="24"/>
              <w:rPr>
                <w:sz w:val="21"/>
                <w:szCs w:val="21"/>
              </w:rPr>
            </w:pPr>
            <w:r>
              <w:rPr>
                <w:spacing w:val="-13"/>
                <w:sz w:val="21"/>
                <w:szCs w:val="21"/>
              </w:rPr>
              <w:t>侵入途径： 吸入。</w:t>
            </w:r>
          </w:p>
          <w:p>
            <w:pPr>
              <w:pStyle w:val="6"/>
              <w:spacing w:before="20" w:line="241" w:lineRule="auto"/>
              <w:ind w:left="22"/>
              <w:rPr>
                <w:sz w:val="21"/>
                <w:szCs w:val="21"/>
              </w:rPr>
            </w:pPr>
            <w:r>
              <w:rPr>
                <w:spacing w:val="-7"/>
                <w:sz w:val="21"/>
                <w:szCs w:val="21"/>
              </w:rPr>
              <w:t>健康危害：</w:t>
            </w:r>
            <w:r>
              <w:rPr>
                <w:spacing w:val="-16"/>
                <w:sz w:val="21"/>
                <w:szCs w:val="21"/>
              </w:rPr>
              <w:t xml:space="preserve"> </w:t>
            </w:r>
            <w:r>
              <w:rPr>
                <w:spacing w:val="-7"/>
                <w:sz w:val="21"/>
                <w:szCs w:val="21"/>
              </w:rPr>
              <w:t>本品是强烈的神经毒物，</w:t>
            </w:r>
            <w:r>
              <w:rPr>
                <w:spacing w:val="-24"/>
                <w:sz w:val="21"/>
                <w:szCs w:val="21"/>
              </w:rPr>
              <w:t xml:space="preserve"> </w:t>
            </w:r>
            <w:r>
              <w:rPr>
                <w:spacing w:val="-7"/>
                <w:sz w:val="21"/>
                <w:szCs w:val="21"/>
              </w:rPr>
              <w:t>对黏膜有强烈刺激作用。</w:t>
            </w:r>
          </w:p>
          <w:p>
            <w:pPr>
              <w:pStyle w:val="6"/>
              <w:spacing w:line="220" w:lineRule="auto"/>
              <w:ind w:left="25"/>
              <w:rPr>
                <w:sz w:val="21"/>
                <w:szCs w:val="21"/>
              </w:rPr>
            </w:pPr>
            <w:r>
              <w:rPr>
                <w:spacing w:val="-1"/>
                <w:sz w:val="21"/>
                <w:szCs w:val="21"/>
              </w:rPr>
              <w:t>二、毒理学资料及环境行为</w:t>
            </w:r>
          </w:p>
          <w:p>
            <w:pPr>
              <w:pStyle w:val="6"/>
              <w:spacing w:before="21" w:line="213" w:lineRule="auto"/>
              <w:ind w:left="28"/>
              <w:rPr>
                <w:sz w:val="21"/>
                <w:szCs w:val="21"/>
              </w:rPr>
            </w:pPr>
            <w:r>
              <w:rPr>
                <w:spacing w:val="-14"/>
                <w:sz w:val="21"/>
                <w:szCs w:val="21"/>
              </w:rPr>
              <w:t>急性毒性：</w:t>
            </w:r>
            <w:r>
              <w:rPr>
                <w:spacing w:val="-26"/>
                <w:sz w:val="21"/>
                <w:szCs w:val="21"/>
              </w:rPr>
              <w:t xml:space="preserve"> </w:t>
            </w:r>
            <w:r>
              <w:rPr>
                <w:rFonts w:ascii="Times New Roman" w:hAnsi="Times New Roman" w:eastAsia="Times New Roman" w:cs="Times New Roman"/>
                <w:spacing w:val="-14"/>
                <w:sz w:val="21"/>
                <w:szCs w:val="21"/>
              </w:rPr>
              <w:t>LC</w:t>
            </w:r>
            <w:r>
              <w:rPr>
                <w:rFonts w:ascii="Times New Roman" w:hAnsi="Times New Roman" w:eastAsia="Times New Roman" w:cs="Times New Roman"/>
                <w:spacing w:val="-2"/>
                <w:position w:val="-1"/>
                <w:sz w:val="13"/>
                <w:szCs w:val="13"/>
              </w:rPr>
              <w:t>50</w:t>
            </w:r>
            <w:r>
              <w:rPr>
                <w:rFonts w:ascii="Times New Roman" w:hAnsi="Times New Roman" w:eastAsia="Times New Roman" w:cs="Times New Roman"/>
                <w:spacing w:val="-8"/>
                <w:position w:val="-1"/>
                <w:sz w:val="13"/>
                <w:szCs w:val="13"/>
              </w:rPr>
              <w:t xml:space="preserve"> </w:t>
            </w:r>
            <w:r>
              <w:rPr>
                <w:rFonts w:ascii="Times New Roman" w:hAnsi="Times New Roman" w:eastAsia="Times New Roman" w:cs="Times New Roman"/>
                <w:spacing w:val="-2"/>
                <w:sz w:val="21"/>
                <w:szCs w:val="21"/>
              </w:rPr>
              <w:t>168mg/m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1"/>
                <w:szCs w:val="21"/>
              </w:rPr>
              <w:t>(</w:t>
            </w:r>
            <w:r>
              <w:rPr>
                <w:spacing w:val="-2"/>
                <w:sz w:val="21"/>
                <w:szCs w:val="21"/>
              </w:rPr>
              <w:t>大鼠吸入</w:t>
            </w:r>
            <w:r>
              <w:rPr>
                <w:spacing w:val="-8"/>
                <w:sz w:val="21"/>
                <w:szCs w:val="21"/>
              </w:rPr>
              <w:t>）</w:t>
            </w:r>
            <w:r>
              <w:rPr>
                <w:spacing w:val="25"/>
                <w:sz w:val="21"/>
                <w:szCs w:val="21"/>
              </w:rPr>
              <w:t xml:space="preserve"> </w:t>
            </w:r>
            <w:r>
              <w:rPr>
                <w:spacing w:val="-8"/>
                <w:sz w:val="21"/>
                <w:szCs w:val="21"/>
              </w:rPr>
              <w:t>，</w:t>
            </w:r>
            <w:r>
              <w:rPr>
                <w:spacing w:val="-2"/>
                <w:sz w:val="21"/>
                <w:szCs w:val="21"/>
              </w:rPr>
              <w:t>人吸入：</w:t>
            </w:r>
            <w:r>
              <w:rPr>
                <w:spacing w:val="-26"/>
                <w:sz w:val="21"/>
                <w:szCs w:val="21"/>
              </w:rPr>
              <w:t xml:space="preserve"> </w:t>
            </w:r>
            <w:r>
              <w:rPr>
                <w:rFonts w:ascii="Times New Roman" w:hAnsi="Times New Roman" w:eastAsia="Times New Roman" w:cs="Times New Roman"/>
                <w:spacing w:val="-2"/>
                <w:sz w:val="21"/>
                <w:szCs w:val="21"/>
              </w:rPr>
              <w:t>LCL</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29"/>
                <w:w w:val="101"/>
                <w:position w:val="-1"/>
                <w:sz w:val="13"/>
                <w:szCs w:val="13"/>
              </w:rPr>
              <w:t xml:space="preserve"> </w:t>
            </w:r>
            <w:r>
              <w:rPr>
                <w:rFonts w:ascii="Times New Roman" w:hAnsi="Times New Roman" w:eastAsia="Times New Roman" w:cs="Times New Roman"/>
                <w:spacing w:val="-3"/>
                <w:sz w:val="21"/>
                <w:szCs w:val="21"/>
              </w:rPr>
              <w:t>600ppm/30min</w:t>
            </w:r>
            <w:r>
              <w:rPr>
                <w:rFonts w:ascii="Times New Roman" w:hAnsi="Times New Roman" w:eastAsia="Times New Roman" w:cs="Times New Roman"/>
                <w:spacing w:val="-30"/>
                <w:sz w:val="21"/>
                <w:szCs w:val="21"/>
              </w:rPr>
              <w:t xml:space="preserve"> </w:t>
            </w:r>
            <w:r>
              <w:rPr>
                <w:spacing w:val="-3"/>
                <w:sz w:val="21"/>
                <w:szCs w:val="21"/>
              </w:rPr>
              <w:t>，</w:t>
            </w:r>
            <w:r>
              <w:rPr>
                <w:rFonts w:ascii="Times New Roman" w:hAnsi="Times New Roman" w:eastAsia="Times New Roman" w:cs="Times New Roman"/>
                <w:spacing w:val="-3"/>
                <w:sz w:val="21"/>
                <w:szCs w:val="21"/>
              </w:rPr>
              <w:t>800ppm/5min</w:t>
            </w:r>
            <w:r>
              <w:rPr>
                <w:spacing w:val="-3"/>
                <w:sz w:val="21"/>
                <w:szCs w:val="21"/>
              </w:rPr>
              <w:t>。</w:t>
            </w:r>
          </w:p>
          <w:p>
            <w:pPr>
              <w:pStyle w:val="6"/>
              <w:spacing w:before="31" w:line="236" w:lineRule="auto"/>
              <w:ind w:left="21" w:firstLine="2"/>
              <w:rPr>
                <w:sz w:val="21"/>
                <w:szCs w:val="21"/>
              </w:rPr>
            </w:pPr>
            <w:r>
              <w:rPr>
                <w:spacing w:val="-3"/>
                <w:sz w:val="21"/>
                <w:szCs w:val="21"/>
              </w:rPr>
              <w:t>污染来源：一般作为某些化学反应和蛋白质</w:t>
            </w:r>
            <w:r>
              <w:rPr>
                <w:spacing w:val="-4"/>
                <w:sz w:val="21"/>
                <w:szCs w:val="21"/>
              </w:rPr>
              <w:t>自然分解过程的产物以及某些天然物的成分和杂</w:t>
            </w:r>
            <w:r>
              <w:rPr>
                <w:sz w:val="21"/>
                <w:szCs w:val="21"/>
              </w:rPr>
              <w:t xml:space="preserve"> </w:t>
            </w:r>
            <w:r>
              <w:rPr>
                <w:spacing w:val="-2"/>
                <w:sz w:val="21"/>
                <w:szCs w:val="21"/>
              </w:rPr>
              <w:t>质，而经常存在于多种生产过程中以及自然界中。如采矿和有色金属冶炼。煤的低温焦化，</w:t>
            </w:r>
            <w:r>
              <w:rPr>
                <w:sz w:val="21"/>
                <w:szCs w:val="21"/>
              </w:rPr>
              <w:t xml:space="preserve"> </w:t>
            </w:r>
            <w:r>
              <w:rPr>
                <w:spacing w:val="-7"/>
                <w:sz w:val="21"/>
                <w:szCs w:val="21"/>
              </w:rPr>
              <w:t>含硫石油开采、提炼，橡胶、制革、染料、制糖等工业中都有硫化氢产生。危险特性：</w:t>
            </w:r>
            <w:r>
              <w:rPr>
                <w:spacing w:val="-8"/>
                <w:sz w:val="21"/>
                <w:szCs w:val="21"/>
              </w:rPr>
              <w:t>易燃，</w:t>
            </w:r>
            <w:r>
              <w:rPr>
                <w:sz w:val="21"/>
                <w:szCs w:val="21"/>
              </w:rPr>
              <w:t xml:space="preserve"> </w:t>
            </w:r>
            <w:r>
              <w:rPr>
                <w:spacing w:val="-3"/>
                <w:sz w:val="21"/>
                <w:szCs w:val="21"/>
              </w:rPr>
              <w:t>与空气混合能形成爆炸性混合物，遇明火、高</w:t>
            </w:r>
            <w:r>
              <w:rPr>
                <w:spacing w:val="-4"/>
                <w:sz w:val="21"/>
                <w:szCs w:val="21"/>
              </w:rPr>
              <w:t>热能引起燃烧爆炸。与浓硝酸、发烟硫酸或其</w:t>
            </w:r>
            <w:r>
              <w:rPr>
                <w:sz w:val="21"/>
                <w:szCs w:val="21"/>
              </w:rPr>
              <w:t xml:space="preserve"> </w:t>
            </w:r>
            <w:r>
              <w:rPr>
                <w:spacing w:val="-3"/>
                <w:sz w:val="21"/>
                <w:szCs w:val="21"/>
              </w:rPr>
              <w:t>他强氧化剂剧烈反应，发生爆炸。气体比空</w:t>
            </w:r>
            <w:r>
              <w:rPr>
                <w:spacing w:val="-4"/>
                <w:sz w:val="21"/>
                <w:szCs w:val="21"/>
              </w:rPr>
              <w:t>气重，能在较低处扩散到相当远的地方，遇明火</w:t>
            </w:r>
            <w:r>
              <w:rPr>
                <w:sz w:val="21"/>
                <w:szCs w:val="21"/>
              </w:rPr>
              <w:t xml:space="preserve"> </w:t>
            </w:r>
            <w:r>
              <w:rPr>
                <w:spacing w:val="-2"/>
                <w:sz w:val="21"/>
                <w:szCs w:val="21"/>
              </w:rPr>
              <w:t>会引起回燃。</w:t>
            </w:r>
          </w:p>
          <w:p>
            <w:pPr>
              <w:pStyle w:val="6"/>
              <w:spacing w:before="21" w:line="241" w:lineRule="auto"/>
              <w:ind w:left="23"/>
              <w:rPr>
                <w:sz w:val="21"/>
                <w:szCs w:val="21"/>
              </w:rPr>
            </w:pPr>
            <w:r>
              <w:rPr>
                <w:spacing w:val="-1"/>
                <w:sz w:val="21"/>
                <w:szCs w:val="21"/>
              </w:rPr>
              <w:t>燃烧</w:t>
            </w:r>
            <w:r>
              <w:rPr>
                <w:rFonts w:ascii="Times New Roman" w:hAnsi="Times New Roman" w:eastAsia="Times New Roman" w:cs="Times New Roman"/>
                <w:spacing w:val="-1"/>
                <w:sz w:val="21"/>
                <w:szCs w:val="21"/>
              </w:rPr>
              <w:t>(</w:t>
            </w:r>
            <w:r>
              <w:rPr>
                <w:spacing w:val="-1"/>
                <w:sz w:val="21"/>
                <w:szCs w:val="21"/>
              </w:rPr>
              <w:t>分解）产物：氧化硫。</w:t>
            </w:r>
          </w:p>
          <w:p>
            <w:pPr>
              <w:pStyle w:val="6"/>
              <w:spacing w:line="221" w:lineRule="auto"/>
              <w:ind w:left="19"/>
              <w:rPr>
                <w:sz w:val="21"/>
                <w:szCs w:val="21"/>
              </w:rPr>
            </w:pPr>
            <w:r>
              <w:rPr>
                <w:rFonts w:ascii="Times New Roman" w:hAnsi="Times New Roman" w:eastAsia="Times New Roman" w:cs="Times New Roman"/>
                <w:b/>
                <w:bCs/>
                <w:sz w:val="21"/>
                <w:szCs w:val="21"/>
              </w:rPr>
              <w:t>2.</w:t>
            </w:r>
            <w:r>
              <w:rPr>
                <w:sz w:val="21"/>
                <w:szCs w:val="21"/>
                <w14:textOutline w14:w="3831" w14:cap="flat" w14:cmpd="sng">
                  <w14:solidFill>
                    <w14:srgbClr w14:val="000000"/>
                  </w14:solidFill>
                  <w14:prstDash w14:val="solid"/>
                  <w14:miter w14:val="10"/>
                </w14:textOutline>
              </w:rPr>
              <w:t>现场应急监测方法</w:t>
            </w:r>
            <w:r>
              <w:rPr>
                <w:sz w:val="21"/>
                <w:szCs w:val="21"/>
              </w:rPr>
              <w:t>：</w:t>
            </w:r>
          </w:p>
          <w:p>
            <w:pPr>
              <w:pStyle w:val="6"/>
              <w:spacing w:before="19" w:line="241" w:lineRule="auto"/>
              <w:ind w:left="21"/>
              <w:rPr>
                <w:sz w:val="21"/>
                <w:szCs w:val="21"/>
              </w:rPr>
            </w:pPr>
            <w:r>
              <w:rPr>
                <w:spacing w:val="-4"/>
                <w:sz w:val="21"/>
                <w:szCs w:val="21"/>
              </w:rPr>
              <w:t>①便携式气体检测仪器：</w:t>
            </w:r>
            <w:r>
              <w:rPr>
                <w:spacing w:val="-8"/>
                <w:sz w:val="21"/>
                <w:szCs w:val="21"/>
              </w:rPr>
              <w:t xml:space="preserve"> </w:t>
            </w:r>
            <w:r>
              <w:rPr>
                <w:spacing w:val="-4"/>
                <w:sz w:val="21"/>
                <w:szCs w:val="21"/>
              </w:rPr>
              <w:t>硫化氢库仑检测仪、硫化氢气敏电极检测仪；</w:t>
            </w:r>
          </w:p>
          <w:p>
            <w:pPr>
              <w:pStyle w:val="6"/>
              <w:spacing w:before="1" w:line="218" w:lineRule="auto"/>
              <w:ind w:left="20"/>
              <w:rPr>
                <w:sz w:val="21"/>
                <w:szCs w:val="21"/>
              </w:rPr>
            </w:pPr>
            <w:r>
              <w:rPr>
                <w:sz w:val="21"/>
                <w:szCs w:val="21"/>
              </w:rPr>
              <w:t>②常用快速化学分析方法：醋酸铅检测管法、醋酸铅指示纸法</w:t>
            </w:r>
          </w:p>
          <w:p>
            <w:pPr>
              <w:pStyle w:val="6"/>
              <w:spacing w:before="22" w:line="241" w:lineRule="auto"/>
              <w:ind w:left="17"/>
              <w:rPr>
                <w:sz w:val="21"/>
                <w:szCs w:val="21"/>
              </w:rPr>
            </w:pPr>
            <w:r>
              <w:rPr>
                <w:rFonts w:ascii="Times New Roman" w:hAnsi="Times New Roman" w:eastAsia="Times New Roman" w:cs="Times New Roman"/>
                <w:b/>
                <w:bCs/>
                <w:sz w:val="21"/>
                <w:szCs w:val="21"/>
              </w:rPr>
              <w:t>3.</w:t>
            </w:r>
            <w:r>
              <w:rPr>
                <w:sz w:val="21"/>
                <w:szCs w:val="21"/>
                <w14:textOutline w14:w="3831" w14:cap="flat" w14:cmpd="sng">
                  <w14:solidFill>
                    <w14:srgbClr w14:val="000000"/>
                  </w14:solidFill>
                  <w14:prstDash w14:val="solid"/>
                  <w14:miter w14:val="10"/>
                </w14:textOutline>
              </w:rPr>
              <w:t>应急处理处置方法</w:t>
            </w:r>
            <w:r>
              <w:rPr>
                <w:sz w:val="21"/>
                <w:szCs w:val="21"/>
              </w:rPr>
              <w:t>：</w:t>
            </w:r>
          </w:p>
          <w:p>
            <w:pPr>
              <w:pStyle w:val="6"/>
              <w:spacing w:line="222" w:lineRule="auto"/>
              <w:ind w:left="25"/>
              <w:rPr>
                <w:sz w:val="21"/>
                <w:szCs w:val="21"/>
              </w:rPr>
            </w:pPr>
            <w:r>
              <w:rPr>
                <w:spacing w:val="-1"/>
                <w:sz w:val="21"/>
                <w:szCs w:val="21"/>
              </w:rPr>
              <w:t>一、泄漏应急处理</w:t>
            </w:r>
          </w:p>
          <w:p>
            <w:pPr>
              <w:pStyle w:val="6"/>
              <w:spacing w:before="17" w:line="236" w:lineRule="auto"/>
              <w:ind w:left="22" w:right="11" w:firstLine="52"/>
              <w:jc w:val="both"/>
              <w:rPr>
                <w:sz w:val="21"/>
                <w:szCs w:val="21"/>
              </w:rPr>
            </w:pPr>
            <w:r>
              <w:rPr>
                <w:spacing w:val="-5"/>
                <w:sz w:val="21"/>
                <w:szCs w:val="21"/>
              </w:rPr>
              <w:t>迅速撤离泄漏污染区人员至上风处，</w:t>
            </w:r>
            <w:r>
              <w:rPr>
                <w:spacing w:val="-32"/>
                <w:sz w:val="21"/>
                <w:szCs w:val="21"/>
              </w:rPr>
              <w:t xml:space="preserve"> </w:t>
            </w:r>
            <w:r>
              <w:rPr>
                <w:spacing w:val="-5"/>
                <w:sz w:val="21"/>
                <w:szCs w:val="21"/>
              </w:rPr>
              <w:t>并立即进行隔离</w:t>
            </w:r>
            <w:r>
              <w:rPr>
                <w:spacing w:val="-6"/>
                <w:sz w:val="21"/>
                <w:szCs w:val="21"/>
              </w:rPr>
              <w:t>，</w:t>
            </w:r>
            <w:r>
              <w:rPr>
                <w:spacing w:val="-29"/>
                <w:sz w:val="21"/>
                <w:szCs w:val="21"/>
              </w:rPr>
              <w:t xml:space="preserve"> </w:t>
            </w:r>
            <w:r>
              <w:rPr>
                <w:spacing w:val="-6"/>
                <w:sz w:val="21"/>
                <w:szCs w:val="21"/>
              </w:rPr>
              <w:t>小泄漏时隔离</w:t>
            </w:r>
            <w:r>
              <w:rPr>
                <w:spacing w:val="-27"/>
                <w:sz w:val="21"/>
                <w:szCs w:val="21"/>
              </w:rPr>
              <w:t xml:space="preserve"> </w:t>
            </w:r>
            <w:r>
              <w:rPr>
                <w:rFonts w:ascii="Times New Roman" w:hAnsi="Times New Roman" w:eastAsia="Times New Roman" w:cs="Times New Roman"/>
                <w:spacing w:val="-6"/>
                <w:sz w:val="21"/>
                <w:szCs w:val="21"/>
              </w:rPr>
              <w:t>150m</w:t>
            </w:r>
            <w:r>
              <w:rPr>
                <w:spacing w:val="-6"/>
                <w:sz w:val="21"/>
                <w:szCs w:val="21"/>
              </w:rPr>
              <w:t>，大泄漏时隔离</w:t>
            </w:r>
            <w:r>
              <w:rPr>
                <w:sz w:val="21"/>
                <w:szCs w:val="21"/>
              </w:rPr>
              <w:t xml:space="preserve"> </w:t>
            </w:r>
            <w:r>
              <w:rPr>
                <w:rFonts w:ascii="Times New Roman" w:hAnsi="Times New Roman" w:eastAsia="Times New Roman" w:cs="Times New Roman"/>
                <w:spacing w:val="-3"/>
                <w:sz w:val="21"/>
                <w:szCs w:val="21"/>
              </w:rPr>
              <w:t>300m</w:t>
            </w:r>
            <w:r>
              <w:rPr>
                <w:spacing w:val="-3"/>
                <w:sz w:val="21"/>
                <w:szCs w:val="21"/>
              </w:rPr>
              <w:t>，严格限制出入。切断火源。建议应急处理人员戴自给正压式呼吸器， 穿防毒服。从</w:t>
            </w:r>
            <w:r>
              <w:rPr>
                <w:spacing w:val="18"/>
                <w:sz w:val="21"/>
                <w:szCs w:val="21"/>
              </w:rPr>
              <w:t xml:space="preserve"> </w:t>
            </w:r>
            <w:r>
              <w:rPr>
                <w:spacing w:val="-2"/>
                <w:sz w:val="21"/>
                <w:szCs w:val="21"/>
              </w:rPr>
              <w:t>上风处进入现场。尽可能切断泄漏源。合理通风，</w:t>
            </w:r>
            <w:r>
              <w:rPr>
                <w:spacing w:val="-3"/>
                <w:sz w:val="21"/>
                <w:szCs w:val="21"/>
              </w:rPr>
              <w:t>加速扩散。喷雾状水稀释、溶解。构筑围</w:t>
            </w:r>
            <w:r>
              <w:rPr>
                <w:sz w:val="21"/>
                <w:szCs w:val="21"/>
              </w:rPr>
              <w:t xml:space="preserve"> </w:t>
            </w:r>
            <w:r>
              <w:rPr>
                <w:spacing w:val="-2"/>
                <w:sz w:val="21"/>
                <w:szCs w:val="21"/>
              </w:rPr>
              <w:t>堤或挖坑收容产生的大量废水。如有可能，将残余气或漏出气用</w:t>
            </w:r>
            <w:r>
              <w:rPr>
                <w:spacing w:val="-3"/>
                <w:sz w:val="21"/>
                <w:szCs w:val="21"/>
              </w:rPr>
              <w:t>排风机送至水洗塔或与塔相</w:t>
            </w:r>
            <w:r>
              <w:rPr>
                <w:sz w:val="21"/>
                <w:szCs w:val="21"/>
              </w:rPr>
              <w:t xml:space="preserve"> </w:t>
            </w:r>
            <w:r>
              <w:rPr>
                <w:spacing w:val="-3"/>
                <w:sz w:val="21"/>
                <w:szCs w:val="21"/>
              </w:rPr>
              <w:t>连的通风橱内。或使其通过三氯化铁水溶液， 管路装止回装置以防溶液</w:t>
            </w:r>
            <w:r>
              <w:rPr>
                <w:spacing w:val="-4"/>
                <w:sz w:val="21"/>
                <w:szCs w:val="21"/>
              </w:rPr>
              <w:t>吸回。</w:t>
            </w:r>
          </w:p>
          <w:p>
            <w:pPr>
              <w:pStyle w:val="6"/>
              <w:spacing w:before="23" w:line="221" w:lineRule="auto"/>
              <w:ind w:left="25"/>
              <w:rPr>
                <w:sz w:val="21"/>
                <w:szCs w:val="21"/>
              </w:rPr>
            </w:pPr>
            <w:r>
              <w:rPr>
                <w:spacing w:val="-2"/>
                <w:sz w:val="21"/>
                <w:szCs w:val="21"/>
              </w:rPr>
              <w:t>二、防护措施</w:t>
            </w:r>
          </w:p>
          <w:p>
            <w:pPr>
              <w:pStyle w:val="6"/>
              <w:spacing w:before="20" w:line="230" w:lineRule="auto"/>
              <w:ind w:left="24" w:firstLine="9"/>
              <w:rPr>
                <w:sz w:val="21"/>
                <w:szCs w:val="21"/>
              </w:rPr>
            </w:pPr>
            <w:r>
              <w:rPr>
                <w:spacing w:val="-9"/>
                <w:sz w:val="21"/>
                <w:szCs w:val="21"/>
              </w:rPr>
              <w:t>呼吸系统防护：空气中浓度超标时，佩戴过渡式防毒面具</w:t>
            </w:r>
            <w:r>
              <w:rPr>
                <w:rFonts w:ascii="Times New Roman" w:hAnsi="Times New Roman" w:eastAsia="Times New Roman" w:cs="Times New Roman"/>
                <w:spacing w:val="-9"/>
                <w:sz w:val="21"/>
                <w:szCs w:val="21"/>
              </w:rPr>
              <w:t>(</w:t>
            </w:r>
            <w:r>
              <w:rPr>
                <w:spacing w:val="-9"/>
                <w:sz w:val="21"/>
                <w:szCs w:val="21"/>
              </w:rPr>
              <w:t>半面罩）。紧急事态抢救或撤离时，</w:t>
            </w:r>
            <w:r>
              <w:rPr>
                <w:spacing w:val="6"/>
                <w:sz w:val="21"/>
                <w:szCs w:val="21"/>
              </w:rPr>
              <w:t xml:space="preserve"> </w:t>
            </w:r>
            <w:r>
              <w:rPr>
                <w:spacing w:val="-3"/>
                <w:sz w:val="21"/>
                <w:szCs w:val="21"/>
              </w:rPr>
              <w:t>建议佩戴氧气呼吸器或空气呼吸器。</w:t>
            </w:r>
          </w:p>
          <w:p>
            <w:pPr>
              <w:pStyle w:val="6"/>
              <w:spacing w:before="21" w:line="233" w:lineRule="auto"/>
              <w:ind w:left="23" w:firstLine="12"/>
              <w:jc w:val="both"/>
              <w:rPr>
                <w:sz w:val="21"/>
                <w:szCs w:val="21"/>
              </w:rPr>
            </w:pPr>
            <w:r>
              <w:rPr>
                <w:spacing w:val="-7"/>
                <w:sz w:val="21"/>
                <w:szCs w:val="21"/>
              </w:rPr>
              <w:t>眼睛防护： 戴化学安全防护眼镜。身体防护： 穿防静电工作服。手防</w:t>
            </w:r>
            <w:r>
              <w:rPr>
                <w:spacing w:val="-8"/>
                <w:sz w:val="21"/>
                <w:szCs w:val="21"/>
              </w:rPr>
              <w:t>护：戴防化学品手套。</w:t>
            </w:r>
            <w:r>
              <w:rPr>
                <w:sz w:val="21"/>
                <w:szCs w:val="21"/>
              </w:rPr>
              <w:t xml:space="preserve"> </w:t>
            </w:r>
            <w:r>
              <w:rPr>
                <w:spacing w:val="-4"/>
                <w:sz w:val="21"/>
                <w:szCs w:val="21"/>
              </w:rPr>
              <w:t>其它：工作现场严禁吸烟、进食和饮水。工作毕，淋浴更衣。及时换洗工作服。作业人员应</w:t>
            </w:r>
            <w:r>
              <w:rPr>
                <w:spacing w:val="16"/>
                <w:sz w:val="21"/>
                <w:szCs w:val="21"/>
              </w:rPr>
              <w:t xml:space="preserve"> </w:t>
            </w:r>
            <w:r>
              <w:rPr>
                <w:spacing w:val="-1"/>
                <w:sz w:val="21"/>
                <w:szCs w:val="21"/>
              </w:rPr>
              <w:t>学会自救互救。进入罐、限制性空间或其他高浓度区作业</w:t>
            </w:r>
            <w:r>
              <w:rPr>
                <w:spacing w:val="-2"/>
                <w:sz w:val="21"/>
                <w:szCs w:val="21"/>
              </w:rPr>
              <w:t>，须有人监护。</w:t>
            </w:r>
          </w:p>
          <w:p>
            <w:pPr>
              <w:pStyle w:val="6"/>
              <w:spacing w:before="23" w:line="221" w:lineRule="auto"/>
              <w:ind w:left="22"/>
              <w:rPr>
                <w:sz w:val="21"/>
                <w:szCs w:val="21"/>
              </w:rPr>
            </w:pPr>
            <w:r>
              <w:rPr>
                <w:spacing w:val="-1"/>
                <w:sz w:val="21"/>
                <w:szCs w:val="21"/>
              </w:rPr>
              <w:t>三、急救措施</w:t>
            </w:r>
          </w:p>
          <w:p>
            <w:pPr>
              <w:pStyle w:val="6"/>
              <w:spacing w:before="20" w:line="221" w:lineRule="auto"/>
              <w:ind w:left="25"/>
              <w:rPr>
                <w:sz w:val="21"/>
                <w:szCs w:val="21"/>
              </w:rPr>
            </w:pPr>
            <w:r>
              <w:rPr>
                <w:spacing w:val="-5"/>
                <w:sz w:val="21"/>
                <w:szCs w:val="21"/>
              </w:rPr>
              <w:t>皮肤接触：</w:t>
            </w:r>
            <w:r>
              <w:rPr>
                <w:spacing w:val="-13"/>
                <w:sz w:val="21"/>
                <w:szCs w:val="21"/>
              </w:rPr>
              <w:t xml:space="preserve"> </w:t>
            </w:r>
            <w:r>
              <w:rPr>
                <w:spacing w:val="-5"/>
                <w:sz w:val="21"/>
                <w:szCs w:val="21"/>
              </w:rPr>
              <w:t>脱去污染的衣着，用流动清水清洗。就医。</w:t>
            </w:r>
          </w:p>
          <w:p>
            <w:pPr>
              <w:pStyle w:val="6"/>
              <w:spacing w:before="23" w:line="220" w:lineRule="auto"/>
              <w:ind w:left="35"/>
              <w:rPr>
                <w:sz w:val="21"/>
                <w:szCs w:val="21"/>
              </w:rPr>
            </w:pPr>
            <w:r>
              <w:rPr>
                <w:spacing w:val="-4"/>
                <w:sz w:val="21"/>
                <w:szCs w:val="21"/>
              </w:rPr>
              <w:t>眼睛接触：</w:t>
            </w:r>
            <w:r>
              <w:rPr>
                <w:spacing w:val="-11"/>
                <w:sz w:val="21"/>
                <w:szCs w:val="21"/>
              </w:rPr>
              <w:t xml:space="preserve"> </w:t>
            </w:r>
            <w:r>
              <w:rPr>
                <w:spacing w:val="-4"/>
                <w:sz w:val="21"/>
                <w:szCs w:val="21"/>
              </w:rPr>
              <w:t>立即提起眼睑，用大量流动清水或生理盐水彻底清洗至少</w:t>
            </w:r>
            <w:r>
              <w:rPr>
                <w:spacing w:val="-42"/>
                <w:sz w:val="21"/>
                <w:szCs w:val="21"/>
              </w:rPr>
              <w:t xml:space="preserve"> </w:t>
            </w:r>
            <w:r>
              <w:rPr>
                <w:rFonts w:ascii="Times New Roman" w:hAnsi="Times New Roman" w:eastAsia="Times New Roman" w:cs="Times New Roman"/>
                <w:spacing w:val="-4"/>
                <w:sz w:val="21"/>
                <w:szCs w:val="21"/>
              </w:rPr>
              <w:t>5min</w:t>
            </w:r>
            <w:r>
              <w:rPr>
                <w:spacing w:val="-4"/>
                <w:sz w:val="21"/>
                <w:szCs w:val="21"/>
              </w:rPr>
              <w:t>。就医。</w:t>
            </w:r>
          </w:p>
          <w:p>
            <w:pPr>
              <w:pStyle w:val="6"/>
              <w:spacing w:before="21" w:line="230" w:lineRule="auto"/>
              <w:ind w:left="37" w:hanging="7"/>
              <w:rPr>
                <w:sz w:val="21"/>
                <w:szCs w:val="21"/>
              </w:rPr>
            </w:pPr>
            <w:r>
              <w:rPr>
                <w:spacing w:val="-5"/>
                <w:sz w:val="21"/>
                <w:szCs w:val="21"/>
              </w:rPr>
              <w:t>吸入： 迅速脱离现场至空气新鲜处。保持呼吸道通畅。如呼吸困难，给输氧。如呼吸停止，</w:t>
            </w:r>
            <w:r>
              <w:rPr>
                <w:spacing w:val="11"/>
                <w:sz w:val="21"/>
                <w:szCs w:val="21"/>
              </w:rPr>
              <w:t xml:space="preserve"> </w:t>
            </w:r>
            <w:r>
              <w:rPr>
                <w:spacing w:val="-5"/>
                <w:sz w:val="21"/>
                <w:szCs w:val="21"/>
              </w:rPr>
              <w:t>即进行人工呼吸。就医。</w:t>
            </w:r>
          </w:p>
          <w:p>
            <w:pPr>
              <w:pStyle w:val="6"/>
              <w:spacing w:before="21" w:line="233" w:lineRule="auto"/>
              <w:ind w:left="22" w:firstLine="3"/>
              <w:jc w:val="both"/>
              <w:rPr>
                <w:sz w:val="21"/>
                <w:szCs w:val="21"/>
              </w:rPr>
            </w:pPr>
            <w:r>
              <w:rPr>
                <w:spacing w:val="-4"/>
                <w:sz w:val="21"/>
                <w:szCs w:val="21"/>
              </w:rPr>
              <w:t>灭火方法：消防人员必须穿戴全身防火防毒服。切断气源。若不能立即切断气源，</w:t>
            </w:r>
            <w:r>
              <w:rPr>
                <w:spacing w:val="-5"/>
                <w:sz w:val="21"/>
                <w:szCs w:val="21"/>
              </w:rPr>
              <w:t xml:space="preserve">则不允许 </w:t>
            </w:r>
            <w:r>
              <w:rPr>
                <w:spacing w:val="-7"/>
                <w:sz w:val="21"/>
                <w:szCs w:val="21"/>
              </w:rPr>
              <w:t>熄灭正在燃烧的气体。喷水冷却容器，可能的话将容器从火场移至空旷处。灭火剂：</w:t>
            </w:r>
            <w:r>
              <w:rPr>
                <w:spacing w:val="-8"/>
                <w:sz w:val="21"/>
                <w:szCs w:val="21"/>
              </w:rPr>
              <w:t>雾状水、</w:t>
            </w:r>
            <w:r>
              <w:rPr>
                <w:sz w:val="21"/>
                <w:szCs w:val="21"/>
              </w:rPr>
              <w:t xml:space="preserve"> </w:t>
            </w:r>
            <w:r>
              <w:rPr>
                <w:spacing w:val="-4"/>
                <w:sz w:val="21"/>
                <w:szCs w:val="21"/>
              </w:rPr>
              <w:t>泡沫、二氧化碳、干粉。</w:t>
            </w:r>
          </w:p>
        </w:tc>
      </w:tr>
    </w:tbl>
    <w:p>
      <w:pPr>
        <w:pStyle w:val="2"/>
        <w:rPr>
          <w:sz w:val="21"/>
        </w:rPr>
      </w:pPr>
    </w:p>
    <w:p>
      <w:pPr>
        <w:rPr>
          <w:sz w:val="21"/>
          <w:szCs w:val="21"/>
        </w:rPr>
        <w:sectPr>
          <w:headerReference r:id="rId230" w:type="default"/>
          <w:footerReference r:id="rId231" w:type="default"/>
          <w:pgSz w:w="11907" w:h="16839"/>
          <w:pgMar w:top="1123" w:right="1766" w:bottom="1149" w:left="1769" w:header="1108" w:footer="988" w:gutter="0"/>
          <w:cols w:space="720" w:num="1"/>
        </w:sectPr>
      </w:pPr>
    </w:p>
    <w:p>
      <w:pPr>
        <w:pStyle w:val="2"/>
        <w:spacing w:line="414" w:lineRule="auto"/>
        <w:rPr>
          <w:sz w:val="21"/>
        </w:rPr>
      </w:pPr>
    </w:p>
    <w:p>
      <w:pPr>
        <w:spacing w:before="78" w:line="220" w:lineRule="auto"/>
        <w:ind w:left="2189"/>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4"/>
          <w:sz w:val="24"/>
          <w:szCs w:val="24"/>
        </w:rPr>
        <w:t xml:space="preserve"> </w:t>
      </w:r>
      <w:r>
        <w:rPr>
          <w:rFonts w:ascii="Times New Roman" w:hAnsi="Times New Roman" w:eastAsia="Times New Roman" w:cs="Times New Roman"/>
          <w:b/>
          <w:bCs/>
          <w:spacing w:val="-1"/>
          <w:sz w:val="24"/>
          <w:szCs w:val="24"/>
        </w:rPr>
        <w:t xml:space="preserve">4.1-4    </w:t>
      </w:r>
      <w:r>
        <w:rPr>
          <w:rFonts w:ascii="宋体" w:hAnsi="宋体" w:eastAsia="宋体" w:cs="宋体"/>
          <w:spacing w:val="-1"/>
          <w:sz w:val="24"/>
          <w:szCs w:val="24"/>
          <w14:textOutline w14:w="4354" w14:cap="flat" w14:cmpd="sng">
            <w14:solidFill>
              <w14:srgbClr w14:val="000000"/>
            </w14:solidFill>
            <w14:prstDash w14:val="solid"/>
            <w14:miter w14:val="10"/>
          </w14:textOutline>
        </w:rPr>
        <w:t>硫化氢对人的生理影响及危害</w:t>
      </w:r>
    </w:p>
    <w:p>
      <w:pPr>
        <w:spacing w:line="1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849"/>
        <w:gridCol w:w="1133"/>
        <w:gridCol w:w="54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087" w:type="dxa"/>
            <w:gridSpan w:val="3"/>
            <w:vAlign w:val="top"/>
          </w:tcPr>
          <w:p>
            <w:pPr>
              <w:pStyle w:val="6"/>
              <w:spacing w:before="68" w:line="221" w:lineRule="auto"/>
              <w:ind w:left="813"/>
              <w:rPr>
                <w:sz w:val="21"/>
                <w:szCs w:val="21"/>
              </w:rPr>
            </w:pPr>
            <w:r>
              <w:rPr>
                <w:spacing w:val="-1"/>
                <w:sz w:val="21"/>
                <w:szCs w:val="21"/>
              </w:rPr>
              <w:t>在空气中的浓度</w:t>
            </w:r>
          </w:p>
        </w:tc>
        <w:tc>
          <w:tcPr>
            <w:tcW w:w="5446" w:type="dxa"/>
            <w:vMerge w:val="restart"/>
            <w:tcBorders>
              <w:bottom w:val="nil"/>
            </w:tcBorders>
            <w:vAlign w:val="top"/>
          </w:tcPr>
          <w:p>
            <w:pPr>
              <w:pStyle w:val="6"/>
              <w:spacing w:before="243" w:line="220" w:lineRule="auto"/>
              <w:ind w:left="1570"/>
              <w:rPr>
                <w:sz w:val="21"/>
                <w:szCs w:val="21"/>
              </w:rPr>
            </w:pPr>
            <w:r>
              <w:rPr>
                <w:spacing w:val="-1"/>
                <w:sz w:val="21"/>
                <w:szCs w:val="21"/>
              </w:rPr>
              <w:t>暴露于硫化氢的典型特性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05" w:type="dxa"/>
            <w:vAlign w:val="top"/>
          </w:tcPr>
          <w:p>
            <w:pPr>
              <w:pStyle w:val="6"/>
              <w:spacing w:before="63" w:line="235" w:lineRule="auto"/>
              <w:ind w:left="260"/>
              <w:rPr>
                <w:rFonts w:ascii="Times New Roman" w:hAnsi="Times New Roman" w:eastAsia="Times New Roman" w:cs="Times New Roman"/>
                <w:sz w:val="21"/>
                <w:szCs w:val="21"/>
              </w:rPr>
            </w:pPr>
            <w:r>
              <w:rPr>
                <w:spacing w:val="-2"/>
                <w:sz w:val="21"/>
                <w:szCs w:val="21"/>
              </w:rPr>
              <w:t>体积</w:t>
            </w:r>
            <w:r>
              <w:rPr>
                <w:rFonts w:ascii="Times New Roman" w:hAnsi="Times New Roman" w:eastAsia="Times New Roman" w:cs="Times New Roman"/>
                <w:spacing w:val="-2"/>
                <w:sz w:val="21"/>
                <w:szCs w:val="21"/>
              </w:rPr>
              <w:t>%</w:t>
            </w:r>
          </w:p>
        </w:tc>
        <w:tc>
          <w:tcPr>
            <w:tcW w:w="849" w:type="dxa"/>
            <w:vAlign w:val="top"/>
          </w:tcPr>
          <w:p>
            <w:pPr>
              <w:spacing w:before="98" w:line="191" w:lineRule="auto"/>
              <w:ind w:left="231"/>
              <w:rPr>
                <w:rFonts w:ascii="Times New Roman" w:hAnsi="Times New Roman" w:eastAsia="Times New Roman" w:cs="Times New Roman"/>
                <w:sz w:val="21"/>
                <w:szCs w:val="21"/>
              </w:rPr>
            </w:pPr>
            <w:r>
              <w:rPr>
                <w:rFonts w:ascii="Times New Roman" w:hAnsi="Times New Roman" w:eastAsia="Times New Roman" w:cs="Times New Roman"/>
                <w:sz w:val="21"/>
                <w:szCs w:val="21"/>
              </w:rPr>
              <w:t>ppm</w:t>
            </w:r>
          </w:p>
        </w:tc>
        <w:tc>
          <w:tcPr>
            <w:tcW w:w="1133" w:type="dxa"/>
            <w:vAlign w:val="top"/>
          </w:tcPr>
          <w:p>
            <w:pPr>
              <w:spacing w:before="81" w:line="208" w:lineRule="auto"/>
              <w:ind w:left="284"/>
              <w:rPr>
                <w:rFonts w:ascii="Times New Roman" w:hAnsi="Times New Roman" w:eastAsia="Times New Roman" w:cs="Times New Roman"/>
                <w:sz w:val="13"/>
                <w:szCs w:val="13"/>
              </w:rPr>
            </w:pPr>
            <w:r>
              <w:rPr>
                <w:rFonts w:ascii="Times New Roman" w:hAnsi="Times New Roman" w:eastAsia="Times New Roman" w:cs="Times New Roman"/>
                <w:sz w:val="21"/>
                <w:szCs w:val="21"/>
              </w:rPr>
              <w:t>mg</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544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1105" w:type="dxa"/>
            <w:vAlign w:val="top"/>
          </w:tcPr>
          <w:p>
            <w:pPr>
              <w:spacing w:line="413" w:lineRule="auto"/>
              <w:rPr>
                <w:rFonts w:ascii="Arial"/>
                <w:sz w:val="21"/>
              </w:rPr>
            </w:pPr>
          </w:p>
          <w:p>
            <w:pPr>
              <w:spacing w:before="61"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0.000013</w:t>
            </w:r>
          </w:p>
        </w:tc>
        <w:tc>
          <w:tcPr>
            <w:tcW w:w="849" w:type="dxa"/>
            <w:vAlign w:val="top"/>
          </w:tcPr>
          <w:p>
            <w:pPr>
              <w:spacing w:line="413" w:lineRule="auto"/>
              <w:rPr>
                <w:rFonts w:ascii="Arial"/>
                <w:sz w:val="21"/>
              </w:rPr>
            </w:pPr>
          </w:p>
          <w:p>
            <w:pPr>
              <w:spacing w:before="61"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w:t>
            </w:r>
          </w:p>
        </w:tc>
        <w:tc>
          <w:tcPr>
            <w:tcW w:w="1133" w:type="dxa"/>
            <w:vAlign w:val="top"/>
          </w:tcPr>
          <w:p>
            <w:pPr>
              <w:spacing w:line="413" w:lineRule="auto"/>
              <w:rPr>
                <w:rFonts w:ascii="Arial"/>
                <w:sz w:val="21"/>
              </w:rPr>
            </w:pPr>
          </w:p>
          <w:p>
            <w:pPr>
              <w:spacing w:before="61"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w:t>
            </w:r>
          </w:p>
        </w:tc>
        <w:tc>
          <w:tcPr>
            <w:tcW w:w="5446" w:type="dxa"/>
            <w:vAlign w:val="top"/>
          </w:tcPr>
          <w:p>
            <w:pPr>
              <w:pStyle w:val="6"/>
              <w:spacing w:before="30" w:line="213" w:lineRule="auto"/>
              <w:ind w:left="132"/>
              <w:rPr>
                <w:sz w:val="21"/>
                <w:szCs w:val="21"/>
              </w:rPr>
            </w:pPr>
            <w:r>
              <w:rPr>
                <w:spacing w:val="-6"/>
                <w:sz w:val="21"/>
                <w:szCs w:val="21"/>
              </w:rPr>
              <w:t>通常， 在大气中含量为</w:t>
            </w:r>
            <w:r>
              <w:rPr>
                <w:spacing w:val="-38"/>
                <w:sz w:val="21"/>
                <w:szCs w:val="21"/>
              </w:rPr>
              <w:t xml:space="preserve"> </w:t>
            </w:r>
            <w:r>
              <w:rPr>
                <w:rFonts w:ascii="Times New Roman" w:hAnsi="Times New Roman" w:eastAsia="Times New Roman" w:cs="Times New Roman"/>
                <w:spacing w:val="-6"/>
                <w:sz w:val="21"/>
                <w:szCs w:val="21"/>
              </w:rPr>
              <w:t>0.195mg/m</w:t>
            </w:r>
            <w:r>
              <w:rPr>
                <w:rFonts w:ascii="Times New Roman" w:hAnsi="Times New Roman" w:eastAsia="Times New Roman" w:cs="Times New Roman"/>
                <w:spacing w:val="-6"/>
                <w:position w:val="6"/>
                <w:sz w:val="13"/>
                <w:szCs w:val="13"/>
              </w:rPr>
              <w:t>3</w:t>
            </w:r>
            <w:r>
              <w:rPr>
                <w:spacing w:val="-6"/>
                <w:sz w:val="21"/>
                <w:szCs w:val="21"/>
              </w:rPr>
              <w:t>（</w:t>
            </w:r>
            <w:r>
              <w:rPr>
                <w:rFonts w:ascii="Times New Roman" w:hAnsi="Times New Roman" w:eastAsia="Times New Roman" w:cs="Times New Roman"/>
                <w:spacing w:val="-6"/>
                <w:sz w:val="21"/>
                <w:szCs w:val="21"/>
              </w:rPr>
              <w:t>0.13ppm</w:t>
            </w:r>
            <w:r>
              <w:rPr>
                <w:spacing w:val="-6"/>
                <w:sz w:val="21"/>
                <w:szCs w:val="21"/>
              </w:rPr>
              <w:t>）时，</w:t>
            </w:r>
            <w:r>
              <w:rPr>
                <w:spacing w:val="-30"/>
                <w:sz w:val="21"/>
                <w:szCs w:val="21"/>
              </w:rPr>
              <w:t xml:space="preserve"> </w:t>
            </w:r>
            <w:r>
              <w:rPr>
                <w:spacing w:val="-6"/>
                <w:sz w:val="21"/>
                <w:szCs w:val="21"/>
              </w:rPr>
              <w:t>有明</w:t>
            </w:r>
          </w:p>
          <w:p>
            <w:pPr>
              <w:pStyle w:val="6"/>
              <w:spacing w:before="28" w:line="213" w:lineRule="auto"/>
              <w:jc w:val="right"/>
              <w:rPr>
                <w:sz w:val="21"/>
                <w:szCs w:val="21"/>
              </w:rPr>
            </w:pPr>
            <w:r>
              <w:rPr>
                <w:spacing w:val="-6"/>
                <w:sz w:val="21"/>
                <w:szCs w:val="21"/>
              </w:rPr>
              <w:t>显和令人讨厌的气味，在大气中含量为</w:t>
            </w:r>
            <w:r>
              <w:rPr>
                <w:spacing w:val="-44"/>
                <w:sz w:val="21"/>
                <w:szCs w:val="21"/>
              </w:rPr>
              <w:t xml:space="preserve"> </w:t>
            </w:r>
            <w:r>
              <w:rPr>
                <w:rFonts w:ascii="Times New Roman" w:hAnsi="Times New Roman" w:eastAsia="Times New Roman" w:cs="Times New Roman"/>
                <w:spacing w:val="-6"/>
                <w:sz w:val="21"/>
                <w:szCs w:val="21"/>
              </w:rPr>
              <w:t>6.9mg/m</w:t>
            </w:r>
            <w:r>
              <w:rPr>
                <w:rFonts w:ascii="Times New Roman" w:hAnsi="Times New Roman" w:eastAsia="Times New Roman" w:cs="Times New Roman"/>
                <w:spacing w:val="-6"/>
                <w:position w:val="6"/>
                <w:sz w:val="13"/>
                <w:szCs w:val="13"/>
              </w:rPr>
              <w:t>3</w:t>
            </w:r>
            <w:r>
              <w:rPr>
                <w:spacing w:val="-6"/>
                <w:sz w:val="21"/>
                <w:szCs w:val="21"/>
              </w:rPr>
              <w:t>（</w:t>
            </w:r>
            <w:r>
              <w:rPr>
                <w:rFonts w:ascii="Times New Roman" w:hAnsi="Times New Roman" w:eastAsia="Times New Roman" w:cs="Times New Roman"/>
                <w:spacing w:val="-6"/>
                <w:sz w:val="21"/>
                <w:szCs w:val="21"/>
              </w:rPr>
              <w:t>4.6ppm</w:t>
            </w:r>
            <w:r>
              <w:rPr>
                <w:spacing w:val="-6"/>
                <w:sz w:val="21"/>
                <w:szCs w:val="21"/>
              </w:rPr>
              <w:t>）</w:t>
            </w:r>
          </w:p>
          <w:p>
            <w:pPr>
              <w:pStyle w:val="6"/>
              <w:spacing w:before="30" w:line="220" w:lineRule="auto"/>
              <w:ind w:left="123"/>
              <w:rPr>
                <w:sz w:val="21"/>
                <w:szCs w:val="21"/>
              </w:rPr>
            </w:pPr>
            <w:r>
              <w:rPr>
                <w:spacing w:val="-5"/>
                <w:sz w:val="21"/>
                <w:szCs w:val="21"/>
              </w:rPr>
              <w:t>时就相当显而易见。随着浓度的增加，嗅觉就会疲劳，</w:t>
            </w:r>
            <w:r>
              <w:rPr>
                <w:spacing w:val="-14"/>
                <w:sz w:val="21"/>
                <w:szCs w:val="21"/>
              </w:rPr>
              <w:t xml:space="preserve"> </w:t>
            </w:r>
            <w:r>
              <w:rPr>
                <w:spacing w:val="-5"/>
                <w:sz w:val="21"/>
                <w:szCs w:val="21"/>
              </w:rPr>
              <w:t>气</w:t>
            </w:r>
          </w:p>
          <w:p>
            <w:pPr>
              <w:pStyle w:val="6"/>
              <w:spacing w:before="21" w:line="209" w:lineRule="auto"/>
              <w:ind w:left="1570"/>
              <w:rPr>
                <w:sz w:val="21"/>
                <w:szCs w:val="21"/>
              </w:rPr>
            </w:pPr>
            <w:r>
              <w:rPr>
                <w:spacing w:val="-1"/>
                <w:sz w:val="21"/>
                <w:szCs w:val="21"/>
              </w:rPr>
              <w:t>体不再能通过气味来辨别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Align w:val="top"/>
          </w:tcPr>
          <w:p>
            <w:pPr>
              <w:spacing w:before="205"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849" w:type="dxa"/>
            <w:vAlign w:val="top"/>
          </w:tcPr>
          <w:p>
            <w:pPr>
              <w:spacing w:before="205"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33" w:type="dxa"/>
            <w:vAlign w:val="top"/>
          </w:tcPr>
          <w:p>
            <w:pPr>
              <w:spacing w:before="205"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14.41</w:t>
            </w:r>
          </w:p>
        </w:tc>
        <w:tc>
          <w:tcPr>
            <w:tcW w:w="5446" w:type="dxa"/>
            <w:vAlign w:val="top"/>
          </w:tcPr>
          <w:p>
            <w:pPr>
              <w:pStyle w:val="6"/>
              <w:spacing w:before="29" w:line="224" w:lineRule="auto"/>
              <w:ind w:left="809" w:right="102" w:hanging="695"/>
              <w:rPr>
                <w:sz w:val="21"/>
                <w:szCs w:val="21"/>
              </w:rPr>
            </w:pPr>
            <w:r>
              <w:rPr>
                <w:spacing w:val="-1"/>
                <w:sz w:val="21"/>
                <w:szCs w:val="21"/>
              </w:rPr>
              <w:t>有令人讨厌的气味。眼睛可能受刺激。美国政府工</w:t>
            </w:r>
            <w:r>
              <w:rPr>
                <w:spacing w:val="-2"/>
                <w:sz w:val="21"/>
                <w:szCs w:val="21"/>
              </w:rPr>
              <w:t>业卫生</w:t>
            </w:r>
            <w:r>
              <w:rPr>
                <w:sz w:val="21"/>
                <w:szCs w:val="21"/>
              </w:rPr>
              <w:t xml:space="preserve"> </w:t>
            </w:r>
            <w:r>
              <w:rPr>
                <w:spacing w:val="-1"/>
                <w:sz w:val="21"/>
                <w:szCs w:val="21"/>
              </w:rPr>
              <w:t>专家公会推荐的阈限值（</w:t>
            </w:r>
            <w:r>
              <w:rPr>
                <w:rFonts w:ascii="Times New Roman" w:hAnsi="Times New Roman" w:eastAsia="Times New Roman" w:cs="Times New Roman"/>
                <w:spacing w:val="-1"/>
                <w:sz w:val="21"/>
                <w:szCs w:val="21"/>
              </w:rPr>
              <w:t xml:space="preserve">8h </w:t>
            </w:r>
            <w:r>
              <w:rPr>
                <w:spacing w:val="-1"/>
                <w:sz w:val="21"/>
                <w:szCs w:val="21"/>
              </w:rPr>
              <w:t>加权平均值）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Align w:val="top"/>
          </w:tcPr>
          <w:p>
            <w:pPr>
              <w:spacing w:before="2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0.0015</w:t>
            </w:r>
          </w:p>
        </w:tc>
        <w:tc>
          <w:tcPr>
            <w:tcW w:w="849" w:type="dxa"/>
            <w:vAlign w:val="top"/>
          </w:tcPr>
          <w:p>
            <w:pPr>
              <w:spacing w:before="206"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33" w:type="dxa"/>
            <w:vAlign w:val="top"/>
          </w:tcPr>
          <w:p>
            <w:pPr>
              <w:spacing w:before="20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21.61</w:t>
            </w:r>
          </w:p>
        </w:tc>
        <w:tc>
          <w:tcPr>
            <w:tcW w:w="5446" w:type="dxa"/>
            <w:vAlign w:val="top"/>
          </w:tcPr>
          <w:p>
            <w:pPr>
              <w:pStyle w:val="6"/>
              <w:spacing w:before="31" w:line="223" w:lineRule="auto"/>
              <w:ind w:left="2516" w:right="103" w:hanging="2401"/>
              <w:rPr>
                <w:sz w:val="21"/>
                <w:szCs w:val="21"/>
              </w:rPr>
            </w:pPr>
            <w:r>
              <w:rPr>
                <w:spacing w:val="-2"/>
                <w:sz w:val="21"/>
                <w:szCs w:val="21"/>
              </w:rPr>
              <w:t>美国政府工业卫生专家公会推荐的</w:t>
            </w:r>
            <w:r>
              <w:rPr>
                <w:spacing w:val="-37"/>
                <w:sz w:val="21"/>
                <w:szCs w:val="21"/>
              </w:rPr>
              <w:t xml:space="preserve"> </w:t>
            </w:r>
            <w:r>
              <w:rPr>
                <w:rFonts w:ascii="Times New Roman" w:hAnsi="Times New Roman" w:eastAsia="Times New Roman" w:cs="Times New Roman"/>
                <w:spacing w:val="-2"/>
                <w:sz w:val="21"/>
                <w:szCs w:val="21"/>
              </w:rPr>
              <w:t xml:space="preserve">15min </w:t>
            </w:r>
            <w:r>
              <w:rPr>
                <w:spacing w:val="-2"/>
                <w:sz w:val="21"/>
                <w:szCs w:val="21"/>
              </w:rPr>
              <w:t>短期暴露范围平</w:t>
            </w:r>
            <w:r>
              <w:rPr>
                <w:sz w:val="21"/>
                <w:szCs w:val="21"/>
              </w:rPr>
              <w:t xml:space="preserve"> </w:t>
            </w:r>
            <w:r>
              <w:rPr>
                <w:spacing w:val="-2"/>
                <w:sz w:val="21"/>
                <w:szCs w:val="21"/>
              </w:rPr>
              <w:t>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Align w:val="top"/>
          </w:tcPr>
          <w:p>
            <w:pPr>
              <w:spacing w:before="206"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c>
          <w:tcPr>
            <w:tcW w:w="849" w:type="dxa"/>
            <w:vAlign w:val="top"/>
          </w:tcPr>
          <w:p>
            <w:pPr>
              <w:spacing w:before="206"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33" w:type="dxa"/>
            <w:vAlign w:val="top"/>
          </w:tcPr>
          <w:p>
            <w:pPr>
              <w:spacing w:before="20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28.83</w:t>
            </w:r>
          </w:p>
        </w:tc>
        <w:tc>
          <w:tcPr>
            <w:tcW w:w="5446" w:type="dxa"/>
            <w:vAlign w:val="top"/>
          </w:tcPr>
          <w:p>
            <w:pPr>
              <w:pStyle w:val="6"/>
              <w:spacing w:before="31" w:line="223" w:lineRule="auto"/>
              <w:ind w:left="728" w:right="146" w:hanging="575"/>
              <w:rPr>
                <w:sz w:val="21"/>
                <w:szCs w:val="21"/>
              </w:rPr>
            </w:pPr>
            <w:r>
              <w:rPr>
                <w:spacing w:val="-5"/>
                <w:sz w:val="21"/>
                <w:szCs w:val="21"/>
              </w:rPr>
              <w:t>在暴露</w:t>
            </w:r>
            <w:r>
              <w:rPr>
                <w:spacing w:val="-28"/>
                <w:sz w:val="21"/>
                <w:szCs w:val="21"/>
              </w:rPr>
              <w:t xml:space="preserve"> </w:t>
            </w:r>
            <w:r>
              <w:rPr>
                <w:rFonts w:ascii="Times New Roman" w:hAnsi="Times New Roman" w:eastAsia="Times New Roman" w:cs="Times New Roman"/>
                <w:spacing w:val="-5"/>
                <w:sz w:val="21"/>
                <w:szCs w:val="21"/>
              </w:rPr>
              <w:t xml:space="preserve">1h </w:t>
            </w:r>
            <w:r>
              <w:rPr>
                <w:spacing w:val="-5"/>
                <w:sz w:val="21"/>
                <w:szCs w:val="21"/>
              </w:rPr>
              <w:t>或更长时间后，眼睛有烧灼感， 呼吸道受到刺</w:t>
            </w:r>
            <w:r>
              <w:rPr>
                <w:sz w:val="21"/>
                <w:szCs w:val="21"/>
              </w:rPr>
              <w:t xml:space="preserve"> </w:t>
            </w:r>
            <w:r>
              <w:rPr>
                <w:spacing w:val="-1"/>
                <w:sz w:val="21"/>
                <w:szCs w:val="21"/>
              </w:rPr>
              <w:t>激，美国职业安全和健康局的可接受上限值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05" w:type="dxa"/>
            <w:vAlign w:val="top"/>
          </w:tcPr>
          <w:p>
            <w:pPr>
              <w:spacing w:line="418" w:lineRule="auto"/>
              <w:rPr>
                <w:rFonts w:ascii="Arial"/>
                <w:sz w:val="21"/>
              </w:rPr>
            </w:pPr>
          </w:p>
          <w:p>
            <w:pPr>
              <w:spacing w:before="6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c>
          <w:tcPr>
            <w:tcW w:w="849" w:type="dxa"/>
            <w:vAlign w:val="top"/>
          </w:tcPr>
          <w:p>
            <w:pPr>
              <w:spacing w:line="418" w:lineRule="auto"/>
              <w:rPr>
                <w:rFonts w:ascii="Arial"/>
                <w:sz w:val="21"/>
              </w:rPr>
            </w:pPr>
          </w:p>
          <w:p>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133" w:type="dxa"/>
            <w:vAlign w:val="top"/>
          </w:tcPr>
          <w:p>
            <w:pPr>
              <w:spacing w:line="418" w:lineRule="auto"/>
              <w:rPr>
                <w:rFonts w:ascii="Arial"/>
                <w:sz w:val="21"/>
              </w:rPr>
            </w:pPr>
          </w:p>
          <w:p>
            <w:pPr>
              <w:spacing w:before="60" w:line="187"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72.07</w:t>
            </w:r>
          </w:p>
        </w:tc>
        <w:tc>
          <w:tcPr>
            <w:tcW w:w="5446" w:type="dxa"/>
            <w:vAlign w:val="top"/>
          </w:tcPr>
          <w:p>
            <w:pPr>
              <w:pStyle w:val="6"/>
              <w:spacing w:before="31" w:line="220" w:lineRule="auto"/>
              <w:ind w:left="113"/>
              <w:rPr>
                <w:sz w:val="21"/>
                <w:szCs w:val="21"/>
              </w:rPr>
            </w:pPr>
            <w:r>
              <w:rPr>
                <w:spacing w:val="-5"/>
                <w:sz w:val="21"/>
                <w:szCs w:val="21"/>
              </w:rPr>
              <w:t>暴露</w:t>
            </w:r>
            <w:r>
              <w:rPr>
                <w:spacing w:val="-10"/>
                <w:sz w:val="21"/>
                <w:szCs w:val="21"/>
              </w:rPr>
              <w:t xml:space="preserve"> </w:t>
            </w:r>
            <w:r>
              <w:rPr>
                <w:rFonts w:ascii="Times New Roman" w:hAnsi="Times New Roman" w:eastAsia="Times New Roman" w:cs="Times New Roman"/>
                <w:spacing w:val="-5"/>
                <w:sz w:val="21"/>
                <w:szCs w:val="21"/>
              </w:rPr>
              <w:t xml:space="preserve">15min </w:t>
            </w:r>
            <w:r>
              <w:rPr>
                <w:spacing w:val="-5"/>
                <w:sz w:val="21"/>
                <w:szCs w:val="21"/>
              </w:rPr>
              <w:t>或</w:t>
            </w:r>
            <w:r>
              <w:rPr>
                <w:spacing w:val="-27"/>
                <w:sz w:val="21"/>
                <w:szCs w:val="21"/>
              </w:rPr>
              <w:t xml:space="preserve"> </w:t>
            </w:r>
            <w:r>
              <w:rPr>
                <w:rFonts w:ascii="Times New Roman" w:hAnsi="Times New Roman" w:eastAsia="Times New Roman" w:cs="Times New Roman"/>
                <w:spacing w:val="-5"/>
                <w:sz w:val="21"/>
                <w:szCs w:val="21"/>
              </w:rPr>
              <w:t>15min</w:t>
            </w:r>
            <w:r>
              <w:rPr>
                <w:rFonts w:ascii="Times New Roman" w:hAnsi="Times New Roman" w:eastAsia="Times New Roman" w:cs="Times New Roman"/>
                <w:spacing w:val="32"/>
                <w:w w:val="101"/>
                <w:sz w:val="21"/>
                <w:szCs w:val="21"/>
              </w:rPr>
              <w:t xml:space="preserve"> </w:t>
            </w:r>
            <w:r>
              <w:rPr>
                <w:spacing w:val="-5"/>
                <w:sz w:val="21"/>
                <w:szCs w:val="21"/>
              </w:rPr>
              <w:t>以上的时间后嗅觉就会丧失，如果时</w:t>
            </w:r>
          </w:p>
          <w:p>
            <w:pPr>
              <w:pStyle w:val="6"/>
              <w:spacing w:before="24" w:line="213" w:lineRule="auto"/>
              <w:ind w:left="130"/>
              <w:rPr>
                <w:rFonts w:ascii="Times New Roman" w:hAnsi="Times New Roman" w:eastAsia="Times New Roman" w:cs="Times New Roman"/>
                <w:sz w:val="13"/>
                <w:szCs w:val="13"/>
              </w:rPr>
            </w:pPr>
            <w:r>
              <w:rPr>
                <w:spacing w:val="-6"/>
                <w:sz w:val="21"/>
                <w:szCs w:val="21"/>
              </w:rPr>
              <w:t>间超过</w:t>
            </w:r>
            <w:r>
              <w:rPr>
                <w:spacing w:val="-19"/>
                <w:sz w:val="21"/>
                <w:szCs w:val="21"/>
              </w:rPr>
              <w:t xml:space="preserve"> </w:t>
            </w:r>
            <w:r>
              <w:rPr>
                <w:rFonts w:ascii="Times New Roman" w:hAnsi="Times New Roman" w:eastAsia="Times New Roman" w:cs="Times New Roman"/>
                <w:spacing w:val="-6"/>
                <w:sz w:val="21"/>
                <w:szCs w:val="21"/>
              </w:rPr>
              <w:t>1h</w:t>
            </w:r>
            <w:r>
              <w:rPr>
                <w:spacing w:val="-6"/>
                <w:sz w:val="21"/>
                <w:szCs w:val="21"/>
              </w:rPr>
              <w:t>，可能导致头痛、头晕和</w:t>
            </w:r>
            <w:r>
              <w:rPr>
                <w:rFonts w:ascii="Times New Roman" w:hAnsi="Times New Roman" w:eastAsia="Times New Roman" w:cs="Times New Roman"/>
                <w:spacing w:val="-6"/>
                <w:sz w:val="21"/>
                <w:szCs w:val="21"/>
              </w:rPr>
              <w:t>/</w:t>
            </w:r>
            <w:r>
              <w:rPr>
                <w:spacing w:val="-6"/>
                <w:sz w:val="21"/>
                <w:szCs w:val="21"/>
              </w:rPr>
              <w:t>或摇晃。超过</w:t>
            </w:r>
            <w:r>
              <w:rPr>
                <w:spacing w:val="-45"/>
                <w:sz w:val="21"/>
                <w:szCs w:val="21"/>
              </w:rPr>
              <w:t xml:space="preserve"> </w:t>
            </w:r>
            <w:r>
              <w:rPr>
                <w:rFonts w:ascii="Times New Roman" w:hAnsi="Times New Roman" w:eastAsia="Times New Roman" w:cs="Times New Roman"/>
                <w:spacing w:val="-6"/>
                <w:sz w:val="21"/>
                <w:szCs w:val="21"/>
              </w:rPr>
              <w:t>75mg/m</w:t>
            </w:r>
            <w:r>
              <w:rPr>
                <w:rFonts w:ascii="Times New Roman" w:hAnsi="Times New Roman" w:eastAsia="Times New Roman" w:cs="Times New Roman"/>
                <w:spacing w:val="-6"/>
                <w:position w:val="6"/>
                <w:sz w:val="13"/>
                <w:szCs w:val="13"/>
              </w:rPr>
              <w:t>3</w:t>
            </w:r>
          </w:p>
          <w:p>
            <w:pPr>
              <w:pStyle w:val="6"/>
              <w:spacing w:before="28" w:line="214" w:lineRule="auto"/>
              <w:ind w:left="129"/>
              <w:rPr>
                <w:sz w:val="21"/>
                <w:szCs w:val="21"/>
              </w:rPr>
            </w:pPr>
            <w:r>
              <w:rPr>
                <w:spacing w:val="-1"/>
                <w:sz w:val="21"/>
                <w:szCs w:val="21"/>
              </w:rPr>
              <w:t>（</w:t>
            </w:r>
            <w:r>
              <w:rPr>
                <w:rFonts w:ascii="Times New Roman" w:hAnsi="Times New Roman" w:eastAsia="Times New Roman" w:cs="Times New Roman"/>
                <w:spacing w:val="-1"/>
                <w:sz w:val="21"/>
                <w:szCs w:val="21"/>
              </w:rPr>
              <w:t>50ppm</w:t>
            </w:r>
            <w:r>
              <w:rPr>
                <w:spacing w:val="-1"/>
                <w:sz w:val="21"/>
                <w:szCs w:val="21"/>
              </w:rPr>
              <w:t>）将会出现肺浮肿，也会对人员的眼睛产生严重</w:t>
            </w:r>
          </w:p>
          <w:p>
            <w:pPr>
              <w:pStyle w:val="6"/>
              <w:spacing w:before="30" w:line="205" w:lineRule="auto"/>
              <w:ind w:left="2201"/>
              <w:rPr>
                <w:sz w:val="21"/>
                <w:szCs w:val="21"/>
              </w:rPr>
            </w:pPr>
            <w:r>
              <w:rPr>
                <w:spacing w:val="-1"/>
                <w:sz w:val="21"/>
                <w:szCs w:val="21"/>
              </w:rPr>
              <w:t>刺激或伤害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05" w:type="dxa"/>
            <w:vAlign w:val="top"/>
          </w:tcPr>
          <w:p>
            <w:pPr>
              <w:spacing w:line="418" w:lineRule="auto"/>
              <w:rPr>
                <w:rFonts w:ascii="Arial"/>
                <w:sz w:val="21"/>
              </w:rPr>
            </w:pPr>
          </w:p>
          <w:p>
            <w:pPr>
              <w:spacing w:before="60"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p>
        </w:tc>
        <w:tc>
          <w:tcPr>
            <w:tcW w:w="849" w:type="dxa"/>
            <w:vAlign w:val="top"/>
          </w:tcPr>
          <w:p>
            <w:pPr>
              <w:spacing w:line="418" w:lineRule="auto"/>
              <w:rPr>
                <w:rFonts w:ascii="Arial"/>
                <w:sz w:val="21"/>
              </w:rPr>
            </w:pPr>
          </w:p>
          <w:p>
            <w:pPr>
              <w:spacing w:before="60"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33" w:type="dxa"/>
            <w:vAlign w:val="top"/>
          </w:tcPr>
          <w:p>
            <w:pPr>
              <w:spacing w:line="418" w:lineRule="auto"/>
              <w:rPr>
                <w:rFonts w:ascii="Arial"/>
                <w:sz w:val="21"/>
              </w:rPr>
            </w:pPr>
          </w:p>
          <w:p>
            <w:pPr>
              <w:spacing w:before="60"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144.14</w:t>
            </w:r>
          </w:p>
        </w:tc>
        <w:tc>
          <w:tcPr>
            <w:tcW w:w="5446" w:type="dxa"/>
            <w:vAlign w:val="top"/>
          </w:tcPr>
          <w:p>
            <w:pPr>
              <w:pStyle w:val="6"/>
              <w:spacing w:before="32" w:line="220" w:lineRule="auto"/>
              <w:ind w:left="116"/>
              <w:rPr>
                <w:sz w:val="21"/>
                <w:szCs w:val="21"/>
              </w:rPr>
            </w:pPr>
            <w:r>
              <w:rPr>
                <w:rFonts w:ascii="Times New Roman" w:hAnsi="Times New Roman" w:eastAsia="Times New Roman" w:cs="Times New Roman"/>
                <w:sz w:val="21"/>
                <w:szCs w:val="21"/>
              </w:rPr>
              <w:t>3min</w:t>
            </w:r>
            <w:r>
              <w:rPr>
                <w:sz w:val="21"/>
                <w:szCs w:val="21"/>
              </w:rPr>
              <w:t>～</w:t>
            </w:r>
            <w:r>
              <w:rPr>
                <w:rFonts w:ascii="Times New Roman" w:hAnsi="Times New Roman" w:eastAsia="Times New Roman" w:cs="Times New Roman"/>
                <w:sz w:val="21"/>
                <w:szCs w:val="21"/>
              </w:rPr>
              <w:t xml:space="preserve">15min </w:t>
            </w:r>
            <w:r>
              <w:rPr>
                <w:sz w:val="21"/>
                <w:szCs w:val="21"/>
              </w:rPr>
              <w:t>就会出现咳嗽、眼睛受刺激和</w:t>
            </w:r>
            <w:r>
              <w:rPr>
                <w:spacing w:val="-1"/>
                <w:sz w:val="21"/>
                <w:szCs w:val="21"/>
              </w:rPr>
              <w:t>失去嗅觉。在</w:t>
            </w:r>
          </w:p>
          <w:p>
            <w:pPr>
              <w:pStyle w:val="6"/>
              <w:spacing w:before="23" w:line="220" w:lineRule="auto"/>
              <w:ind w:left="117"/>
              <w:rPr>
                <w:sz w:val="21"/>
                <w:szCs w:val="21"/>
              </w:rPr>
            </w:pPr>
            <w:r>
              <w:rPr>
                <w:rFonts w:ascii="Times New Roman" w:hAnsi="Times New Roman" w:eastAsia="Times New Roman" w:cs="Times New Roman"/>
                <w:sz w:val="21"/>
                <w:szCs w:val="21"/>
              </w:rPr>
              <w:t>5min</w:t>
            </w:r>
            <w:r>
              <w:rPr>
                <w:sz w:val="21"/>
                <w:szCs w:val="21"/>
              </w:rPr>
              <w:t>～</w:t>
            </w:r>
            <w:r>
              <w:rPr>
                <w:rFonts w:ascii="Times New Roman" w:hAnsi="Times New Roman" w:eastAsia="Times New Roman" w:cs="Times New Roman"/>
                <w:sz w:val="21"/>
                <w:szCs w:val="21"/>
              </w:rPr>
              <w:t xml:space="preserve">20min </w:t>
            </w:r>
            <w:r>
              <w:rPr>
                <w:sz w:val="21"/>
                <w:szCs w:val="21"/>
              </w:rPr>
              <w:t>过后，呼吸就会变样、眼睛</w:t>
            </w:r>
            <w:r>
              <w:rPr>
                <w:spacing w:val="-1"/>
                <w:sz w:val="21"/>
                <w:szCs w:val="21"/>
              </w:rPr>
              <w:t>就会疼痛并昏昏</w:t>
            </w:r>
          </w:p>
          <w:p>
            <w:pPr>
              <w:pStyle w:val="6"/>
              <w:spacing w:before="20" w:line="220" w:lineRule="auto"/>
              <w:ind w:left="153"/>
              <w:rPr>
                <w:sz w:val="21"/>
                <w:szCs w:val="21"/>
              </w:rPr>
            </w:pPr>
            <w:r>
              <w:rPr>
                <w:spacing w:val="-5"/>
                <w:sz w:val="21"/>
                <w:szCs w:val="21"/>
              </w:rPr>
              <w:t>欲睡， 在</w:t>
            </w:r>
            <w:r>
              <w:rPr>
                <w:spacing w:val="-28"/>
                <w:sz w:val="21"/>
                <w:szCs w:val="21"/>
              </w:rPr>
              <w:t xml:space="preserve"> </w:t>
            </w:r>
            <w:r>
              <w:rPr>
                <w:rFonts w:ascii="Times New Roman" w:hAnsi="Times New Roman" w:eastAsia="Times New Roman" w:cs="Times New Roman"/>
                <w:spacing w:val="-5"/>
                <w:sz w:val="21"/>
                <w:szCs w:val="21"/>
              </w:rPr>
              <w:t xml:space="preserve">1h </w:t>
            </w:r>
            <w:r>
              <w:rPr>
                <w:spacing w:val="-5"/>
                <w:sz w:val="21"/>
                <w:szCs w:val="21"/>
              </w:rPr>
              <w:t>后就会刺激喉道。延长暴露时间将逐渐加重</w:t>
            </w:r>
          </w:p>
          <w:p>
            <w:pPr>
              <w:pStyle w:val="6"/>
              <w:spacing w:before="23" w:line="205" w:lineRule="auto"/>
              <w:ind w:left="2308"/>
              <w:rPr>
                <w:sz w:val="21"/>
                <w:szCs w:val="21"/>
              </w:rPr>
            </w:pPr>
            <w:r>
              <w:rPr>
                <w:spacing w:val="-2"/>
                <w:sz w:val="21"/>
                <w:szCs w:val="21"/>
              </w:rPr>
              <w:t>这些症状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05" w:type="dxa"/>
            <w:vAlign w:val="top"/>
          </w:tcPr>
          <w:p>
            <w:pPr>
              <w:spacing w:line="282" w:lineRule="auto"/>
              <w:rPr>
                <w:rFonts w:ascii="Arial"/>
                <w:sz w:val="21"/>
              </w:rPr>
            </w:pPr>
          </w:p>
          <w:p>
            <w:pPr>
              <w:spacing w:before="61"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w:t>
            </w:r>
          </w:p>
        </w:tc>
        <w:tc>
          <w:tcPr>
            <w:tcW w:w="849" w:type="dxa"/>
            <w:vAlign w:val="top"/>
          </w:tcPr>
          <w:p>
            <w:pPr>
              <w:spacing w:line="282" w:lineRule="auto"/>
              <w:rPr>
                <w:rFonts w:ascii="Arial"/>
                <w:sz w:val="21"/>
              </w:rPr>
            </w:pPr>
          </w:p>
          <w:p>
            <w:pPr>
              <w:spacing w:before="6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133" w:type="dxa"/>
            <w:vAlign w:val="top"/>
          </w:tcPr>
          <w:p>
            <w:pPr>
              <w:spacing w:line="282" w:lineRule="auto"/>
              <w:rPr>
                <w:rFonts w:ascii="Arial"/>
                <w:sz w:val="21"/>
              </w:rPr>
            </w:pPr>
          </w:p>
          <w:p>
            <w:pPr>
              <w:spacing w:before="6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432.40</w:t>
            </w:r>
          </w:p>
        </w:tc>
        <w:tc>
          <w:tcPr>
            <w:tcW w:w="5446" w:type="dxa"/>
            <w:vAlign w:val="top"/>
          </w:tcPr>
          <w:p>
            <w:pPr>
              <w:pStyle w:val="6"/>
              <w:spacing w:before="33" w:line="230" w:lineRule="auto"/>
              <w:ind w:left="115" w:right="102" w:firstLine="18"/>
              <w:rPr>
                <w:sz w:val="21"/>
                <w:szCs w:val="21"/>
              </w:rPr>
            </w:pPr>
            <w:r>
              <w:rPr>
                <w:spacing w:val="-2"/>
                <w:sz w:val="21"/>
                <w:szCs w:val="21"/>
              </w:rPr>
              <w:t>明显的结膜炎和呼吸道刺激。注：考虑此浓度为立即危害</w:t>
            </w:r>
            <w:r>
              <w:rPr>
                <w:spacing w:val="3"/>
                <w:sz w:val="21"/>
                <w:szCs w:val="21"/>
              </w:rPr>
              <w:t xml:space="preserve"> </w:t>
            </w:r>
            <w:r>
              <w:rPr>
                <w:spacing w:val="-2"/>
                <w:sz w:val="21"/>
                <w:szCs w:val="21"/>
              </w:rPr>
              <w:t>生命或健康（</w:t>
            </w:r>
            <w:r>
              <w:rPr>
                <w:rFonts w:ascii="Times New Roman" w:hAnsi="Times New Roman" w:eastAsia="Times New Roman" w:cs="Times New Roman"/>
                <w:spacing w:val="-2"/>
                <w:sz w:val="21"/>
                <w:szCs w:val="21"/>
              </w:rPr>
              <w:t>IDLH</w:t>
            </w:r>
            <w:r>
              <w:rPr>
                <w:spacing w:val="-30"/>
                <w:sz w:val="21"/>
                <w:szCs w:val="21"/>
              </w:rPr>
              <w:t>），</w:t>
            </w:r>
            <w:r>
              <w:rPr>
                <w:spacing w:val="-2"/>
                <w:sz w:val="21"/>
                <w:szCs w:val="21"/>
              </w:rPr>
              <w:t>参见美国国家职业安全和健康学会</w:t>
            </w:r>
          </w:p>
          <w:p>
            <w:pPr>
              <w:pStyle w:val="6"/>
              <w:spacing w:before="21" w:line="206" w:lineRule="auto"/>
              <w:ind w:left="908"/>
              <w:rPr>
                <w:sz w:val="21"/>
                <w:szCs w:val="21"/>
              </w:rPr>
            </w:pPr>
            <w:r>
              <w:rPr>
                <w:rFonts w:ascii="Times New Roman" w:hAnsi="Times New Roman" w:eastAsia="Times New Roman" w:cs="Times New Roman"/>
                <w:spacing w:val="-2"/>
                <w:sz w:val="21"/>
                <w:szCs w:val="21"/>
              </w:rPr>
              <w:t>DHHS No</w:t>
            </w:r>
            <w:r>
              <w:rPr>
                <w:rFonts w:ascii="Times New Roman" w:hAnsi="Times New Roman" w:eastAsia="Times New Roman" w:cs="Times New Roman"/>
                <w:spacing w:val="22"/>
                <w:sz w:val="21"/>
                <w:szCs w:val="21"/>
              </w:rPr>
              <w:t xml:space="preserve"> </w:t>
            </w:r>
            <w:r>
              <w:rPr>
                <w:rFonts w:ascii="Times New Roman" w:hAnsi="Times New Roman" w:eastAsia="Times New Roman" w:cs="Times New Roman"/>
                <w:spacing w:val="-2"/>
                <w:sz w:val="21"/>
                <w:szCs w:val="21"/>
              </w:rPr>
              <w:t>85-</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2"/>
                <w:sz w:val="21"/>
                <w:szCs w:val="21"/>
              </w:rPr>
              <w:t>114</w:t>
            </w:r>
            <w:r>
              <w:rPr>
                <w:spacing w:val="-2"/>
                <w:sz w:val="21"/>
                <w:szCs w:val="21"/>
              </w:rPr>
              <w:t>《化学危险袖珍指南》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05" w:type="dxa"/>
            <w:vAlign w:val="top"/>
          </w:tcPr>
          <w:p>
            <w:pPr>
              <w:spacing w:line="283" w:lineRule="auto"/>
              <w:rPr>
                <w:rFonts w:ascii="Arial"/>
                <w:sz w:val="21"/>
              </w:rPr>
            </w:pPr>
          </w:p>
          <w:p>
            <w:pPr>
              <w:spacing w:before="61"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849" w:type="dxa"/>
            <w:vAlign w:val="top"/>
          </w:tcPr>
          <w:p>
            <w:pPr>
              <w:spacing w:line="283" w:lineRule="auto"/>
              <w:rPr>
                <w:rFonts w:ascii="Arial"/>
                <w:sz w:val="21"/>
              </w:rPr>
            </w:pPr>
          </w:p>
          <w:p>
            <w:pPr>
              <w:spacing w:before="60"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133" w:type="dxa"/>
            <w:vAlign w:val="top"/>
          </w:tcPr>
          <w:p>
            <w:pPr>
              <w:spacing w:line="283" w:lineRule="auto"/>
              <w:rPr>
                <w:rFonts w:ascii="Arial"/>
                <w:sz w:val="21"/>
              </w:rPr>
            </w:pPr>
          </w:p>
          <w:p>
            <w:pPr>
              <w:spacing w:before="61" w:line="187"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720.49</w:t>
            </w:r>
          </w:p>
        </w:tc>
        <w:tc>
          <w:tcPr>
            <w:tcW w:w="5446" w:type="dxa"/>
            <w:vAlign w:val="top"/>
          </w:tcPr>
          <w:p>
            <w:pPr>
              <w:pStyle w:val="6"/>
              <w:spacing w:before="33" w:line="220" w:lineRule="auto"/>
              <w:ind w:left="116"/>
              <w:rPr>
                <w:sz w:val="21"/>
                <w:szCs w:val="21"/>
              </w:rPr>
            </w:pPr>
            <w:r>
              <w:rPr>
                <w:spacing w:val="-1"/>
                <w:sz w:val="21"/>
                <w:szCs w:val="21"/>
              </w:rPr>
              <w:t>短期暴露后就会不省人事，如不迅速处理就会停止呼</w:t>
            </w:r>
            <w:r>
              <w:rPr>
                <w:spacing w:val="-2"/>
                <w:sz w:val="21"/>
                <w:szCs w:val="21"/>
              </w:rPr>
              <w:t>吸。</w:t>
            </w:r>
          </w:p>
          <w:p>
            <w:pPr>
              <w:pStyle w:val="6"/>
              <w:spacing w:before="21" w:line="222" w:lineRule="auto"/>
              <w:ind w:left="1952" w:right="102" w:hanging="1836"/>
              <w:rPr>
                <w:sz w:val="21"/>
                <w:szCs w:val="21"/>
              </w:rPr>
            </w:pPr>
            <w:r>
              <w:rPr>
                <w:spacing w:val="-1"/>
                <w:sz w:val="21"/>
                <w:szCs w:val="21"/>
              </w:rPr>
              <w:t>头晕、失去理智和平衡感。患者需要迅速进行</w:t>
            </w:r>
            <w:r>
              <w:rPr>
                <w:spacing w:val="-2"/>
                <w:sz w:val="21"/>
                <w:szCs w:val="21"/>
              </w:rPr>
              <w:t>人工呼吸和</w:t>
            </w:r>
            <w:r>
              <w:rPr>
                <w:sz w:val="21"/>
                <w:szCs w:val="21"/>
              </w:rPr>
              <w:t xml:space="preserve"> </w:t>
            </w:r>
            <w:r>
              <w:rPr>
                <w:rFonts w:ascii="Times New Roman" w:hAnsi="Times New Roman" w:eastAsia="Times New Roman" w:cs="Times New Roman"/>
                <w:sz w:val="21"/>
                <w:szCs w:val="21"/>
              </w:rPr>
              <w:t>/</w:t>
            </w:r>
            <w:r>
              <w:rPr>
                <w:sz w:val="21"/>
                <w:szCs w:val="21"/>
              </w:rPr>
              <w:t>或心肺复苏技术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105" w:type="dxa"/>
            <w:vAlign w:val="top"/>
          </w:tcPr>
          <w:p>
            <w:pPr>
              <w:spacing w:before="209"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w:t>
            </w:r>
          </w:p>
        </w:tc>
        <w:tc>
          <w:tcPr>
            <w:tcW w:w="849" w:type="dxa"/>
            <w:vAlign w:val="top"/>
          </w:tcPr>
          <w:p>
            <w:pPr>
              <w:spacing w:before="209"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700</w:t>
            </w:r>
          </w:p>
        </w:tc>
        <w:tc>
          <w:tcPr>
            <w:tcW w:w="1133" w:type="dxa"/>
            <w:vAlign w:val="top"/>
          </w:tcPr>
          <w:p>
            <w:pPr>
              <w:spacing w:before="209"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1008.55</w:t>
            </w:r>
          </w:p>
        </w:tc>
        <w:tc>
          <w:tcPr>
            <w:tcW w:w="5446" w:type="dxa"/>
            <w:vAlign w:val="top"/>
          </w:tcPr>
          <w:p>
            <w:pPr>
              <w:pStyle w:val="6"/>
              <w:spacing w:before="36" w:line="222" w:lineRule="auto"/>
              <w:ind w:left="597" w:right="102" w:hanging="478"/>
              <w:rPr>
                <w:sz w:val="21"/>
                <w:szCs w:val="21"/>
              </w:rPr>
            </w:pPr>
            <w:r>
              <w:rPr>
                <w:spacing w:val="-4"/>
                <w:sz w:val="21"/>
                <w:szCs w:val="21"/>
              </w:rPr>
              <w:t>意识快速丧失，</w:t>
            </w:r>
            <w:r>
              <w:rPr>
                <w:spacing w:val="-32"/>
                <w:sz w:val="21"/>
                <w:szCs w:val="21"/>
              </w:rPr>
              <w:t xml:space="preserve"> </w:t>
            </w:r>
            <w:r>
              <w:rPr>
                <w:spacing w:val="-4"/>
                <w:sz w:val="21"/>
                <w:szCs w:val="21"/>
              </w:rPr>
              <w:t>如果不迅速营救，呼吸就会</w:t>
            </w:r>
            <w:r>
              <w:rPr>
                <w:spacing w:val="-5"/>
                <w:sz w:val="21"/>
                <w:szCs w:val="21"/>
              </w:rPr>
              <w:t>停止并导致死</w:t>
            </w:r>
            <w:r>
              <w:rPr>
                <w:sz w:val="21"/>
                <w:szCs w:val="21"/>
              </w:rPr>
              <w:t xml:space="preserve"> </w:t>
            </w:r>
            <w:r>
              <w:rPr>
                <w:spacing w:val="-1"/>
                <w:sz w:val="21"/>
                <w:szCs w:val="21"/>
              </w:rPr>
              <w:t>亡。必须立即采取人工呼吸和</w:t>
            </w:r>
            <w:r>
              <w:rPr>
                <w:rFonts w:ascii="Times New Roman" w:hAnsi="Times New Roman" w:eastAsia="Times New Roman" w:cs="Times New Roman"/>
                <w:spacing w:val="-1"/>
                <w:sz w:val="21"/>
                <w:szCs w:val="21"/>
              </w:rPr>
              <w:t>/</w:t>
            </w:r>
            <w:r>
              <w:rPr>
                <w:spacing w:val="-1"/>
                <w:sz w:val="21"/>
                <w:szCs w:val="21"/>
              </w:rPr>
              <w:t>或心肺复苏技术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Align w:val="top"/>
          </w:tcPr>
          <w:p>
            <w:pPr>
              <w:pStyle w:val="6"/>
              <w:spacing w:before="168" w:line="237" w:lineRule="auto"/>
              <w:ind w:left="269"/>
              <w:rPr>
                <w:sz w:val="21"/>
                <w:szCs w:val="21"/>
              </w:rPr>
            </w:pPr>
            <w:r>
              <w:rPr>
                <w:rFonts w:ascii="Times New Roman" w:hAnsi="Times New Roman" w:eastAsia="Times New Roman" w:cs="Times New Roman"/>
                <w:spacing w:val="14"/>
                <w:sz w:val="21"/>
                <w:szCs w:val="21"/>
              </w:rPr>
              <w:t>0.10</w:t>
            </w:r>
            <w:r>
              <w:rPr>
                <w:spacing w:val="14"/>
                <w:sz w:val="21"/>
                <w:szCs w:val="21"/>
              </w:rPr>
              <w:t>+</w:t>
            </w:r>
          </w:p>
        </w:tc>
        <w:tc>
          <w:tcPr>
            <w:tcW w:w="849" w:type="dxa"/>
            <w:vAlign w:val="top"/>
          </w:tcPr>
          <w:p>
            <w:pPr>
              <w:pStyle w:val="6"/>
              <w:spacing w:before="168" w:line="237" w:lineRule="auto"/>
              <w:ind w:left="126"/>
              <w:rPr>
                <w:sz w:val="21"/>
                <w:szCs w:val="21"/>
              </w:rPr>
            </w:pPr>
            <w:r>
              <w:rPr>
                <w:rFonts w:ascii="Times New Roman" w:hAnsi="Times New Roman" w:eastAsia="Times New Roman" w:cs="Times New Roman"/>
                <w:spacing w:val="11"/>
                <w:sz w:val="21"/>
                <w:szCs w:val="21"/>
              </w:rPr>
              <w:t>1000</w:t>
            </w:r>
            <w:r>
              <w:rPr>
                <w:spacing w:val="11"/>
                <w:sz w:val="21"/>
                <w:szCs w:val="21"/>
              </w:rPr>
              <w:t>+</w:t>
            </w:r>
          </w:p>
        </w:tc>
        <w:tc>
          <w:tcPr>
            <w:tcW w:w="1133" w:type="dxa"/>
            <w:vAlign w:val="top"/>
          </w:tcPr>
          <w:p>
            <w:pPr>
              <w:pStyle w:val="6"/>
              <w:spacing w:before="168" w:line="237" w:lineRule="auto"/>
              <w:ind w:left="141"/>
              <w:rPr>
                <w:sz w:val="21"/>
                <w:szCs w:val="21"/>
              </w:rPr>
            </w:pPr>
            <w:r>
              <w:rPr>
                <w:rFonts w:ascii="Times New Roman" w:hAnsi="Times New Roman" w:eastAsia="Times New Roman" w:cs="Times New Roman"/>
                <w:spacing w:val="7"/>
                <w:sz w:val="21"/>
                <w:szCs w:val="21"/>
              </w:rPr>
              <w:t>1440.98</w:t>
            </w:r>
            <w:r>
              <w:rPr>
                <w:spacing w:val="7"/>
                <w:sz w:val="21"/>
                <w:szCs w:val="21"/>
              </w:rPr>
              <w:t>+</w:t>
            </w:r>
          </w:p>
        </w:tc>
        <w:tc>
          <w:tcPr>
            <w:tcW w:w="5446" w:type="dxa"/>
            <w:vAlign w:val="top"/>
          </w:tcPr>
          <w:p>
            <w:pPr>
              <w:pStyle w:val="6"/>
              <w:spacing w:before="33" w:line="222" w:lineRule="auto"/>
              <w:ind w:left="495" w:right="110" w:hanging="382"/>
              <w:rPr>
                <w:sz w:val="21"/>
                <w:szCs w:val="21"/>
              </w:rPr>
            </w:pPr>
            <w:r>
              <w:rPr>
                <w:spacing w:val="-6"/>
                <w:sz w:val="21"/>
                <w:szCs w:val="21"/>
              </w:rPr>
              <w:t>立即丧失知觉， 结果将会产生永久性的脑伤害或脑死亡。</w:t>
            </w:r>
            <w:r>
              <w:rPr>
                <w:spacing w:val="17"/>
                <w:sz w:val="21"/>
                <w:szCs w:val="21"/>
              </w:rPr>
              <w:t xml:space="preserve"> </w:t>
            </w:r>
            <w:r>
              <w:rPr>
                <w:spacing w:val="-4"/>
                <w:sz w:val="21"/>
                <w:szCs w:val="21"/>
              </w:rPr>
              <w:t>必须迅速进行营救，</w:t>
            </w:r>
            <w:r>
              <w:rPr>
                <w:spacing w:val="-23"/>
                <w:sz w:val="21"/>
                <w:szCs w:val="21"/>
              </w:rPr>
              <w:t xml:space="preserve"> </w:t>
            </w:r>
            <w:r>
              <w:rPr>
                <w:spacing w:val="-4"/>
                <w:sz w:val="21"/>
                <w:szCs w:val="21"/>
              </w:rPr>
              <w:t>应用人工呼吸和</w:t>
            </w:r>
            <w:r>
              <w:rPr>
                <w:rFonts w:ascii="Times New Roman" w:hAnsi="Times New Roman" w:eastAsia="Times New Roman" w:cs="Times New Roman"/>
                <w:spacing w:val="-4"/>
                <w:sz w:val="21"/>
                <w:szCs w:val="21"/>
              </w:rPr>
              <w:t>/</w:t>
            </w:r>
            <w:r>
              <w:rPr>
                <w:spacing w:val="-4"/>
                <w:sz w:val="21"/>
                <w:szCs w:val="21"/>
              </w:rPr>
              <w:t>或心</w:t>
            </w:r>
            <w:r>
              <w:rPr>
                <w:spacing w:val="-5"/>
                <w:sz w:val="21"/>
                <w:szCs w:val="21"/>
              </w:rPr>
              <w:t>肺复苏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33" w:type="dxa"/>
            <w:gridSpan w:val="4"/>
            <w:vAlign w:val="top"/>
          </w:tcPr>
          <w:p>
            <w:pPr>
              <w:pStyle w:val="6"/>
              <w:spacing w:before="67" w:line="221" w:lineRule="auto"/>
              <w:ind w:left="622"/>
              <w:rPr>
                <w:sz w:val="21"/>
                <w:szCs w:val="21"/>
              </w:rPr>
            </w:pPr>
            <w:r>
              <w:rPr>
                <w:sz w:val="21"/>
                <w:szCs w:val="21"/>
              </w:rPr>
              <w:t>注：表中数据来源于《硫化氢环境钻井场所作业安全规范》（</w:t>
            </w:r>
            <w:r>
              <w:rPr>
                <w:rFonts w:ascii="Times New Roman" w:hAnsi="Times New Roman" w:eastAsia="Times New Roman" w:cs="Times New Roman"/>
                <w:sz w:val="21"/>
                <w:szCs w:val="21"/>
              </w:rPr>
              <w:t>SY/T 5087</w:t>
            </w:r>
            <w:r>
              <w:rPr>
                <w:rFonts w:ascii="Times New Roman" w:hAnsi="Times New Roman" w:eastAsia="Times New Roman" w:cs="Times New Roman"/>
                <w:spacing w:val="-1"/>
                <w:sz w:val="21"/>
                <w:szCs w:val="21"/>
              </w:rPr>
              <w:t>-2017</w:t>
            </w:r>
            <w:r>
              <w:rPr>
                <w:spacing w:val="-1"/>
                <w:sz w:val="21"/>
                <w:szCs w:val="21"/>
              </w:rPr>
              <w:t>）</w:t>
            </w:r>
          </w:p>
        </w:tc>
      </w:tr>
    </w:tbl>
    <w:p>
      <w:pPr>
        <w:spacing w:before="177" w:line="219" w:lineRule="auto"/>
        <w:ind w:left="249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1"/>
          <w:sz w:val="24"/>
          <w:szCs w:val="24"/>
        </w:rPr>
        <w:t xml:space="preserve"> </w:t>
      </w:r>
      <w:r>
        <w:rPr>
          <w:rFonts w:ascii="Times New Roman" w:hAnsi="Times New Roman" w:eastAsia="Times New Roman" w:cs="Times New Roman"/>
          <w:b/>
          <w:bCs/>
          <w:spacing w:val="-1"/>
          <w:sz w:val="24"/>
          <w:szCs w:val="24"/>
        </w:rPr>
        <w:t xml:space="preserve">4.1-5  </w:t>
      </w:r>
      <w:r>
        <w:rPr>
          <w:rFonts w:ascii="宋体" w:hAnsi="宋体" w:eastAsia="宋体" w:cs="宋体"/>
          <w:spacing w:val="-1"/>
          <w:sz w:val="24"/>
          <w:szCs w:val="24"/>
          <w14:textOutline w14:w="4354" w14:cap="flat" w14:cmpd="sng">
            <w14:solidFill>
              <w14:srgbClr w14:val="000000"/>
            </w14:solidFill>
            <w14:prstDash w14:val="solid"/>
            <w14:miter w14:val="10"/>
          </w14:textOutline>
        </w:rPr>
        <w:t>二氧化硫物理化学特性表</w:t>
      </w:r>
    </w:p>
    <w:p>
      <w:pPr>
        <w:spacing w:line="17" w:lineRule="exact"/>
      </w:pPr>
    </w:p>
    <w:tbl>
      <w:tblPr>
        <w:tblStyle w:val="5"/>
        <w:tblW w:w="8334"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8"/>
        <w:gridCol w:w="65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334" w:type="dxa"/>
            <w:gridSpan w:val="2"/>
            <w:vAlign w:val="top"/>
          </w:tcPr>
          <w:p>
            <w:pPr>
              <w:pStyle w:val="6"/>
              <w:spacing w:before="68" w:line="221" w:lineRule="auto"/>
              <w:ind w:left="16"/>
              <w:rPr>
                <w:sz w:val="21"/>
                <w:szCs w:val="21"/>
              </w:rPr>
            </w:pPr>
            <w:r>
              <w:rPr>
                <w:spacing w:val="-3"/>
                <w:sz w:val="21"/>
                <w:szCs w:val="21"/>
                <w14:textOutline w14:w="3831" w14:cap="flat" w14:cmpd="sng">
                  <w14:solidFill>
                    <w14:srgbClr w14:val="000000"/>
                  </w14:solidFill>
                  <w14:prstDash w14:val="solid"/>
                  <w14:miter w14:val="10"/>
                </w14:textOutline>
              </w:rPr>
              <w:t>一、化学品标识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68" w:type="dxa"/>
            <w:vAlign w:val="top"/>
          </w:tcPr>
          <w:p>
            <w:pPr>
              <w:pStyle w:val="6"/>
              <w:spacing w:before="63" w:line="221" w:lineRule="auto"/>
              <w:ind w:left="13"/>
              <w:rPr>
                <w:sz w:val="21"/>
                <w:szCs w:val="21"/>
              </w:rPr>
            </w:pPr>
            <w:r>
              <w:rPr>
                <w:spacing w:val="-1"/>
                <w:sz w:val="21"/>
                <w:szCs w:val="21"/>
              </w:rPr>
              <w:t>化学品中文名称</w:t>
            </w:r>
          </w:p>
        </w:tc>
        <w:tc>
          <w:tcPr>
            <w:tcW w:w="6566" w:type="dxa"/>
            <w:vAlign w:val="top"/>
          </w:tcPr>
          <w:p>
            <w:pPr>
              <w:pStyle w:val="6"/>
              <w:spacing w:before="63" w:line="220" w:lineRule="auto"/>
              <w:ind w:left="9"/>
              <w:rPr>
                <w:sz w:val="21"/>
                <w:szCs w:val="21"/>
              </w:rPr>
            </w:pPr>
            <w:r>
              <w:rPr>
                <w:spacing w:val="-3"/>
                <w:sz w:val="21"/>
                <w:szCs w:val="21"/>
              </w:rPr>
              <w:t>二氧化硫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6" w:line="221" w:lineRule="auto"/>
              <w:ind w:left="13"/>
              <w:rPr>
                <w:sz w:val="21"/>
                <w:szCs w:val="21"/>
              </w:rPr>
            </w:pPr>
            <w:r>
              <w:rPr>
                <w:spacing w:val="-1"/>
                <w:sz w:val="21"/>
                <w:szCs w:val="21"/>
              </w:rPr>
              <w:t>化学品英文名称</w:t>
            </w:r>
          </w:p>
        </w:tc>
        <w:tc>
          <w:tcPr>
            <w:tcW w:w="6566" w:type="dxa"/>
            <w:vAlign w:val="top"/>
          </w:tcPr>
          <w:p>
            <w:pPr>
              <w:spacing w:before="100" w:line="233" w:lineRule="auto"/>
              <w:ind w:left="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sulfur dioxide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4" w:line="221" w:lineRule="auto"/>
              <w:ind w:left="15"/>
              <w:rPr>
                <w:sz w:val="21"/>
                <w:szCs w:val="21"/>
              </w:rPr>
            </w:pPr>
            <w:r>
              <w:rPr>
                <w:spacing w:val="-2"/>
                <w:sz w:val="21"/>
                <w:szCs w:val="21"/>
              </w:rPr>
              <w:t>分子式</w:t>
            </w:r>
          </w:p>
        </w:tc>
        <w:tc>
          <w:tcPr>
            <w:tcW w:w="6566" w:type="dxa"/>
            <w:vAlign w:val="top"/>
          </w:tcPr>
          <w:p>
            <w:pPr>
              <w:spacing w:before="99" w:line="196" w:lineRule="auto"/>
              <w:ind w:left="11"/>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4" w:line="221" w:lineRule="auto"/>
              <w:ind w:left="15"/>
              <w:rPr>
                <w:sz w:val="21"/>
                <w:szCs w:val="21"/>
              </w:rPr>
            </w:pPr>
            <w:r>
              <w:rPr>
                <w:spacing w:val="-2"/>
                <w:sz w:val="21"/>
                <w:szCs w:val="21"/>
              </w:rPr>
              <w:t>分子量</w:t>
            </w:r>
          </w:p>
        </w:tc>
        <w:tc>
          <w:tcPr>
            <w:tcW w:w="6566" w:type="dxa"/>
            <w:vAlign w:val="top"/>
          </w:tcPr>
          <w:p>
            <w:pPr>
              <w:spacing w:before="102" w:line="187" w:lineRule="auto"/>
              <w:ind w:left="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4" w:type="dxa"/>
            <w:gridSpan w:val="2"/>
            <w:vAlign w:val="top"/>
          </w:tcPr>
          <w:p>
            <w:pPr>
              <w:pStyle w:val="6"/>
              <w:spacing w:before="65" w:line="234" w:lineRule="auto"/>
              <w:ind w:left="16"/>
              <w:rPr>
                <w:sz w:val="21"/>
                <w:szCs w:val="21"/>
              </w:rPr>
            </w:pPr>
            <w:r>
              <w:rPr>
                <w:spacing w:val="-1"/>
                <w:sz w:val="21"/>
                <w:szCs w:val="21"/>
                <w14:textOutline w14:w="3831" w14:cap="flat" w14:cmpd="sng">
                  <w14:solidFill>
                    <w14:srgbClr w14:val="000000"/>
                  </w14:solidFill>
                  <w14:prstDash w14:val="solid"/>
                  <w14:miter w14:val="10"/>
                </w14:textOutline>
              </w:rPr>
              <w:t>二、成分</w:t>
            </w:r>
            <w:r>
              <w:rPr>
                <w:rFonts w:ascii="Times New Roman" w:hAnsi="Times New Roman" w:eastAsia="Times New Roman" w:cs="Times New Roman"/>
                <w:b/>
                <w:bCs/>
                <w:spacing w:val="-1"/>
                <w:sz w:val="21"/>
                <w:szCs w:val="21"/>
              </w:rPr>
              <w:t>/</w:t>
            </w:r>
            <w:r>
              <w:rPr>
                <w:spacing w:val="-1"/>
                <w:sz w:val="21"/>
                <w:szCs w:val="21"/>
                <w14:textOutline w14:w="3831" w14:cap="flat" w14:cmpd="sng">
                  <w14:solidFill>
                    <w14:srgbClr w14:val="000000"/>
                  </w14:solidFill>
                  <w14:prstDash w14:val="solid"/>
                  <w14:miter w14:val="10"/>
                </w14:textOutline>
              </w:rPr>
              <w:t>组成信息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5" w:line="221" w:lineRule="auto"/>
              <w:ind w:left="13"/>
              <w:rPr>
                <w:sz w:val="21"/>
                <w:szCs w:val="21"/>
              </w:rPr>
            </w:pPr>
            <w:r>
              <w:rPr>
                <w:spacing w:val="-2"/>
                <w:sz w:val="21"/>
                <w:szCs w:val="21"/>
              </w:rPr>
              <w:t>有害物成分</w:t>
            </w:r>
          </w:p>
        </w:tc>
        <w:tc>
          <w:tcPr>
            <w:tcW w:w="6566" w:type="dxa"/>
            <w:vAlign w:val="top"/>
          </w:tcPr>
          <w:p>
            <w:pPr>
              <w:pStyle w:val="6"/>
              <w:spacing w:before="65" w:line="221" w:lineRule="auto"/>
              <w:ind w:left="6"/>
              <w:rPr>
                <w:sz w:val="21"/>
                <w:szCs w:val="21"/>
              </w:rPr>
            </w:pPr>
            <w:r>
              <w:rPr>
                <w:spacing w:val="-2"/>
                <w:sz w:val="21"/>
                <w:szCs w:val="21"/>
              </w:rPr>
              <w:t>含量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68" w:type="dxa"/>
            <w:vAlign w:val="top"/>
          </w:tcPr>
          <w:p>
            <w:pPr>
              <w:pStyle w:val="6"/>
              <w:spacing w:before="65" w:line="220" w:lineRule="auto"/>
              <w:ind w:left="16"/>
              <w:rPr>
                <w:sz w:val="21"/>
                <w:szCs w:val="21"/>
              </w:rPr>
            </w:pPr>
            <w:r>
              <w:rPr>
                <w:spacing w:val="-3"/>
                <w:sz w:val="21"/>
                <w:szCs w:val="21"/>
              </w:rPr>
              <w:t>二氧化硫</w:t>
            </w:r>
          </w:p>
        </w:tc>
        <w:tc>
          <w:tcPr>
            <w:tcW w:w="6566" w:type="dxa"/>
            <w:vAlign w:val="top"/>
          </w:tcPr>
          <w:p>
            <w:pPr>
              <w:pStyle w:val="6"/>
              <w:spacing w:before="65" w:line="234" w:lineRule="auto"/>
              <w:ind w:left="6"/>
              <w:rPr>
                <w:sz w:val="21"/>
                <w:szCs w:val="21"/>
              </w:rPr>
            </w:pPr>
            <w:r>
              <w:rPr>
                <w:rFonts w:ascii="Times New Roman" w:hAnsi="Times New Roman" w:eastAsia="Times New Roman" w:cs="Times New Roman"/>
                <w:spacing w:val="14"/>
                <w:sz w:val="21"/>
                <w:szCs w:val="21"/>
              </w:rPr>
              <w:t>99.9</w:t>
            </w:r>
            <w:r>
              <w:rPr>
                <w:spacing w:val="14"/>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4" w:type="dxa"/>
            <w:gridSpan w:val="2"/>
            <w:vAlign w:val="top"/>
          </w:tcPr>
          <w:p>
            <w:pPr>
              <w:pStyle w:val="6"/>
              <w:spacing w:before="68" w:line="221" w:lineRule="auto"/>
              <w:ind w:left="12"/>
              <w:rPr>
                <w:sz w:val="21"/>
                <w:szCs w:val="21"/>
              </w:rPr>
            </w:pPr>
            <w:r>
              <w:rPr>
                <w:sz w:val="21"/>
                <w:szCs w:val="21"/>
                <w14:textOutline w14:w="3831" w14:cap="flat" w14:cmpd="sng">
                  <w14:solidFill>
                    <w14:srgbClr w14:val="000000"/>
                  </w14:solidFill>
                  <w14:prstDash w14:val="solid"/>
                  <w14:miter w14:val="10"/>
                </w14:textOutline>
              </w:rPr>
              <w:t>三、危险性概述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6" w:line="221" w:lineRule="auto"/>
              <w:ind w:left="15"/>
              <w:rPr>
                <w:sz w:val="21"/>
                <w:szCs w:val="21"/>
              </w:rPr>
            </w:pPr>
            <w:r>
              <w:rPr>
                <w:spacing w:val="-2"/>
                <w:sz w:val="21"/>
                <w:szCs w:val="21"/>
              </w:rPr>
              <w:t>危险性类别</w:t>
            </w:r>
          </w:p>
        </w:tc>
        <w:tc>
          <w:tcPr>
            <w:tcW w:w="6566" w:type="dxa"/>
            <w:vAlign w:val="top"/>
          </w:tcPr>
          <w:p>
            <w:pPr>
              <w:pStyle w:val="6"/>
              <w:spacing w:before="66" w:line="221" w:lineRule="auto"/>
              <w:ind w:left="6"/>
              <w:rPr>
                <w:sz w:val="21"/>
                <w:szCs w:val="21"/>
              </w:rPr>
            </w:pPr>
            <w:r>
              <w:rPr>
                <w:spacing w:val="-1"/>
                <w:sz w:val="21"/>
                <w:szCs w:val="21"/>
              </w:rPr>
              <w:t xml:space="preserve">第 </w:t>
            </w:r>
            <w:r>
              <w:rPr>
                <w:rFonts w:ascii="Times New Roman" w:hAnsi="Times New Roman" w:eastAsia="Times New Roman" w:cs="Times New Roman"/>
                <w:spacing w:val="-1"/>
                <w:sz w:val="21"/>
                <w:szCs w:val="21"/>
              </w:rPr>
              <w:t xml:space="preserve">2.3  </w:t>
            </w:r>
            <w:r>
              <w:rPr>
                <w:spacing w:val="-1"/>
                <w:sz w:val="21"/>
                <w:szCs w:val="21"/>
              </w:rPr>
              <w:t>类</w:t>
            </w:r>
            <w:r>
              <w:rPr>
                <w:spacing w:val="7"/>
                <w:sz w:val="21"/>
                <w:szCs w:val="21"/>
              </w:rPr>
              <w:t xml:space="preserve"> </w:t>
            </w:r>
            <w:r>
              <w:rPr>
                <w:spacing w:val="-1"/>
                <w:sz w:val="21"/>
                <w:szCs w:val="21"/>
              </w:rPr>
              <w:t>有毒气体。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7" w:line="221" w:lineRule="auto"/>
              <w:ind w:left="14"/>
              <w:rPr>
                <w:sz w:val="21"/>
                <w:szCs w:val="21"/>
              </w:rPr>
            </w:pPr>
            <w:r>
              <w:rPr>
                <w:spacing w:val="-2"/>
                <w:sz w:val="21"/>
                <w:szCs w:val="21"/>
              </w:rPr>
              <w:t>侵入途径</w:t>
            </w:r>
          </w:p>
        </w:tc>
        <w:tc>
          <w:tcPr>
            <w:tcW w:w="6566" w:type="dxa"/>
            <w:vAlign w:val="top"/>
          </w:tcPr>
          <w:p>
            <w:pPr>
              <w:pStyle w:val="6"/>
              <w:spacing w:before="67" w:line="220" w:lineRule="auto"/>
              <w:ind w:left="9"/>
              <w:rPr>
                <w:sz w:val="21"/>
                <w:szCs w:val="21"/>
              </w:rPr>
            </w:pPr>
            <w:r>
              <w:rPr>
                <w:spacing w:val="-3"/>
                <w:sz w:val="21"/>
                <w:szCs w:val="21"/>
              </w:rPr>
              <w:t>皮肤接触、眼睛接触、吸入。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8" w:type="dxa"/>
            <w:vAlign w:val="top"/>
          </w:tcPr>
          <w:p>
            <w:pPr>
              <w:pStyle w:val="6"/>
              <w:spacing w:before="67" w:line="221" w:lineRule="auto"/>
              <w:ind w:left="12"/>
              <w:rPr>
                <w:sz w:val="21"/>
                <w:szCs w:val="21"/>
              </w:rPr>
            </w:pPr>
            <w:r>
              <w:rPr>
                <w:spacing w:val="-2"/>
                <w:sz w:val="21"/>
                <w:szCs w:val="21"/>
              </w:rPr>
              <w:t>健康危害</w:t>
            </w:r>
          </w:p>
        </w:tc>
        <w:tc>
          <w:tcPr>
            <w:tcW w:w="6566" w:type="dxa"/>
            <w:vAlign w:val="top"/>
          </w:tcPr>
          <w:p>
            <w:pPr>
              <w:pStyle w:val="6"/>
              <w:spacing w:before="67" w:line="221" w:lineRule="auto"/>
              <w:jc w:val="right"/>
              <w:rPr>
                <w:sz w:val="21"/>
                <w:szCs w:val="21"/>
              </w:rPr>
            </w:pPr>
            <w:r>
              <w:rPr>
                <w:spacing w:val="1"/>
                <w:sz w:val="21"/>
                <w:szCs w:val="21"/>
              </w:rPr>
              <w:t>易被湿润的黏膜表面吸收生成亚硫酸、硫酸。对眼及呼吸道黏膜有</w:t>
            </w:r>
            <w:r>
              <w:rPr>
                <w:sz w:val="21"/>
                <w:szCs w:val="21"/>
              </w:rPr>
              <w:t>强烈</w:t>
            </w:r>
          </w:p>
        </w:tc>
      </w:tr>
    </w:tbl>
    <w:p>
      <w:pPr>
        <w:pStyle w:val="2"/>
        <w:rPr>
          <w:sz w:val="21"/>
        </w:rPr>
      </w:pPr>
    </w:p>
    <w:p>
      <w:pPr>
        <w:rPr>
          <w:sz w:val="21"/>
          <w:szCs w:val="21"/>
        </w:rPr>
        <w:sectPr>
          <w:headerReference r:id="rId232" w:type="default"/>
          <w:footerReference r:id="rId233" w:type="default"/>
          <w:pgSz w:w="11907" w:h="16839"/>
          <w:pgMar w:top="1123" w:right="1682" w:bottom="1149" w:left="1685" w:header="1108" w:footer="988" w:gutter="0"/>
          <w:cols w:space="720" w:num="1"/>
        </w:sectPr>
      </w:pPr>
    </w:p>
    <w:p>
      <w:pPr>
        <w:spacing w:before="75"/>
      </w:pPr>
    </w:p>
    <w:tbl>
      <w:tblPr>
        <w:tblStyle w:val="5"/>
        <w:tblW w:w="83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8"/>
        <w:gridCol w:w="6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1768" w:type="dxa"/>
            <w:vAlign w:val="top"/>
          </w:tcPr>
          <w:p>
            <w:pPr>
              <w:rPr>
                <w:rFonts w:ascii="Arial"/>
                <w:sz w:val="21"/>
              </w:rPr>
            </w:pPr>
          </w:p>
        </w:tc>
        <w:tc>
          <w:tcPr>
            <w:tcW w:w="6567" w:type="dxa"/>
            <w:vAlign w:val="top"/>
          </w:tcPr>
          <w:p>
            <w:pPr>
              <w:pStyle w:val="6"/>
              <w:spacing w:before="36" w:line="234" w:lineRule="auto"/>
              <w:ind w:left="5" w:firstLine="18"/>
              <w:jc w:val="both"/>
              <w:rPr>
                <w:sz w:val="21"/>
                <w:szCs w:val="21"/>
              </w:rPr>
            </w:pPr>
            <w:r>
              <w:rPr>
                <w:spacing w:val="-12"/>
                <w:sz w:val="21"/>
                <w:szCs w:val="21"/>
              </w:rPr>
              <w:t>的刺激作用。大量吸入可引起肺水肿、喉水肿、声带痉挛而致窒息。急性中</w:t>
            </w:r>
            <w:r>
              <w:rPr>
                <w:sz w:val="21"/>
                <w:szCs w:val="21"/>
              </w:rPr>
              <w:t xml:space="preserve"> </w:t>
            </w:r>
            <w:r>
              <w:rPr>
                <w:spacing w:val="-12"/>
                <w:sz w:val="21"/>
                <w:szCs w:val="21"/>
              </w:rPr>
              <w:t>毒：轻度中毒时，发生流泪、畏光、咳嗽，咽、喉灼痛等；严重中毒可在数</w:t>
            </w:r>
            <w:r>
              <w:rPr>
                <w:spacing w:val="18"/>
                <w:sz w:val="21"/>
                <w:szCs w:val="21"/>
              </w:rPr>
              <w:t xml:space="preserve"> </w:t>
            </w:r>
            <w:r>
              <w:rPr>
                <w:spacing w:val="-18"/>
                <w:sz w:val="21"/>
                <w:szCs w:val="21"/>
              </w:rPr>
              <w:t>小时内发生肺水</w:t>
            </w:r>
            <w:r>
              <w:rPr>
                <w:spacing w:val="-17"/>
                <w:sz w:val="21"/>
                <w:szCs w:val="21"/>
              </w:rPr>
              <w:t>肿；极高浓度吸入可引起反射性声门痉挛而致</w:t>
            </w:r>
            <w:r>
              <w:rPr>
                <w:spacing w:val="-18"/>
                <w:sz w:val="21"/>
                <w:szCs w:val="21"/>
              </w:rPr>
              <w:t>窒息。皮肤或</w:t>
            </w:r>
            <w:r>
              <w:rPr>
                <w:spacing w:val="-11"/>
                <w:sz w:val="21"/>
                <w:szCs w:val="21"/>
              </w:rPr>
              <w:t>眼</w:t>
            </w:r>
            <w:r>
              <w:rPr>
                <w:sz w:val="21"/>
                <w:szCs w:val="21"/>
              </w:rPr>
              <w:t xml:space="preserve"> </w:t>
            </w:r>
            <w:r>
              <w:rPr>
                <w:spacing w:val="-14"/>
                <w:sz w:val="21"/>
                <w:szCs w:val="21"/>
              </w:rPr>
              <w:t>接触发生炎症或灼伤。 慢性影响：长期低浓度接触，可有头痛、头</w:t>
            </w:r>
            <w:r>
              <w:rPr>
                <w:spacing w:val="-15"/>
                <w:sz w:val="21"/>
                <w:szCs w:val="21"/>
              </w:rPr>
              <w:t>昏、乏力</w:t>
            </w:r>
            <w:r>
              <w:rPr>
                <w:sz w:val="21"/>
                <w:szCs w:val="21"/>
              </w:rPr>
              <w:t xml:space="preserve"> </w:t>
            </w:r>
            <w:r>
              <w:rPr>
                <w:spacing w:val="-6"/>
                <w:sz w:val="21"/>
                <w:szCs w:val="21"/>
              </w:rPr>
              <w:t>等全身症状以及慢性鼻炎、咽喉炎、支气管炎、嗅觉及味觉减退等。少数</w:t>
            </w:r>
            <w:r>
              <w:rPr>
                <w:spacing w:val="9"/>
                <w:sz w:val="21"/>
                <w:szCs w:val="21"/>
              </w:rPr>
              <w:t xml:space="preserve"> </w:t>
            </w:r>
            <w:r>
              <w:rPr>
                <w:spacing w:val="-3"/>
                <w:sz w:val="21"/>
                <w:szCs w:val="21"/>
              </w:rPr>
              <w:t>工人有牙齿酸蚀症。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3" w:line="221" w:lineRule="auto"/>
              <w:ind w:left="12"/>
              <w:rPr>
                <w:sz w:val="21"/>
                <w:szCs w:val="21"/>
              </w:rPr>
            </w:pPr>
            <w:r>
              <w:rPr>
                <w:spacing w:val="-2"/>
                <w:sz w:val="21"/>
                <w:szCs w:val="21"/>
              </w:rPr>
              <w:t>环境危害</w:t>
            </w:r>
          </w:p>
        </w:tc>
        <w:tc>
          <w:tcPr>
            <w:tcW w:w="6567" w:type="dxa"/>
            <w:vAlign w:val="top"/>
          </w:tcPr>
          <w:p>
            <w:pPr>
              <w:pStyle w:val="6"/>
              <w:spacing w:before="63" w:line="221" w:lineRule="auto"/>
              <w:ind w:left="5"/>
              <w:rPr>
                <w:sz w:val="21"/>
                <w:szCs w:val="21"/>
              </w:rPr>
            </w:pPr>
            <w:r>
              <w:rPr>
                <w:spacing w:val="-2"/>
                <w:sz w:val="21"/>
                <w:szCs w:val="21"/>
              </w:rPr>
              <w:t>对大气可造成严重污染。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3" w:line="219" w:lineRule="auto"/>
              <w:ind w:left="13"/>
              <w:rPr>
                <w:sz w:val="21"/>
                <w:szCs w:val="21"/>
              </w:rPr>
            </w:pPr>
            <w:r>
              <w:rPr>
                <w:spacing w:val="-2"/>
                <w:sz w:val="21"/>
                <w:szCs w:val="21"/>
              </w:rPr>
              <w:t>燃爆危险</w:t>
            </w:r>
          </w:p>
        </w:tc>
        <w:tc>
          <w:tcPr>
            <w:tcW w:w="6567" w:type="dxa"/>
            <w:vAlign w:val="top"/>
          </w:tcPr>
          <w:p>
            <w:pPr>
              <w:pStyle w:val="6"/>
              <w:spacing w:before="63" w:line="220" w:lineRule="auto"/>
              <w:ind w:left="7"/>
              <w:rPr>
                <w:sz w:val="21"/>
                <w:szCs w:val="21"/>
              </w:rPr>
            </w:pPr>
            <w:r>
              <w:rPr>
                <w:spacing w:val="-8"/>
                <w:sz w:val="21"/>
                <w:szCs w:val="21"/>
              </w:rPr>
              <w:t>本品不燃，</w:t>
            </w:r>
            <w:r>
              <w:rPr>
                <w:spacing w:val="-20"/>
                <w:sz w:val="21"/>
                <w:szCs w:val="21"/>
              </w:rPr>
              <w:t xml:space="preserve"> </w:t>
            </w:r>
            <w:r>
              <w:rPr>
                <w:spacing w:val="-8"/>
                <w:sz w:val="21"/>
                <w:szCs w:val="21"/>
              </w:rPr>
              <w:t>有毒，具强刺激性。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5" w:type="dxa"/>
            <w:gridSpan w:val="2"/>
            <w:vAlign w:val="top"/>
          </w:tcPr>
          <w:p>
            <w:pPr>
              <w:pStyle w:val="6"/>
              <w:spacing w:before="63" w:line="221" w:lineRule="auto"/>
              <w:ind w:left="32"/>
              <w:rPr>
                <w:sz w:val="21"/>
                <w:szCs w:val="21"/>
              </w:rPr>
            </w:pPr>
            <w:r>
              <w:rPr>
                <w:spacing w:val="-3"/>
                <w:sz w:val="21"/>
                <w:szCs w:val="21"/>
                <w14:textOutline w14:w="3831" w14:cap="flat" w14:cmpd="sng">
                  <w14:solidFill>
                    <w14:srgbClr w14:val="000000"/>
                  </w14:solidFill>
                  <w14:prstDash w14:val="solid"/>
                  <w14:miter w14:val="10"/>
                </w14:textOutline>
              </w:rPr>
              <w:t>四、急救措施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68" w:type="dxa"/>
            <w:vAlign w:val="top"/>
          </w:tcPr>
          <w:p>
            <w:pPr>
              <w:pStyle w:val="6"/>
              <w:spacing w:before="64" w:line="221" w:lineRule="auto"/>
              <w:ind w:left="16"/>
              <w:rPr>
                <w:sz w:val="21"/>
                <w:szCs w:val="21"/>
              </w:rPr>
            </w:pPr>
            <w:r>
              <w:rPr>
                <w:spacing w:val="-3"/>
                <w:sz w:val="21"/>
                <w:szCs w:val="21"/>
              </w:rPr>
              <w:t>皮肤接触</w:t>
            </w:r>
          </w:p>
        </w:tc>
        <w:tc>
          <w:tcPr>
            <w:tcW w:w="6567" w:type="dxa"/>
            <w:vAlign w:val="top"/>
          </w:tcPr>
          <w:p>
            <w:pPr>
              <w:pStyle w:val="6"/>
              <w:spacing w:before="64" w:line="221" w:lineRule="auto"/>
              <w:ind w:left="7"/>
              <w:rPr>
                <w:sz w:val="21"/>
                <w:szCs w:val="21"/>
              </w:rPr>
            </w:pPr>
            <w:r>
              <w:rPr>
                <w:spacing w:val="-6"/>
                <w:sz w:val="21"/>
                <w:szCs w:val="21"/>
              </w:rPr>
              <w:t>脱去被污染的衣着，</w:t>
            </w:r>
            <w:r>
              <w:rPr>
                <w:spacing w:val="-18"/>
                <w:sz w:val="21"/>
                <w:szCs w:val="21"/>
              </w:rPr>
              <w:t xml:space="preserve"> </w:t>
            </w:r>
            <w:r>
              <w:rPr>
                <w:spacing w:val="-6"/>
                <w:sz w:val="21"/>
                <w:szCs w:val="21"/>
              </w:rPr>
              <w:t>用流动的清水冲洗。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6" w:line="220" w:lineRule="auto"/>
              <w:ind w:left="26"/>
              <w:rPr>
                <w:sz w:val="21"/>
                <w:szCs w:val="21"/>
              </w:rPr>
            </w:pPr>
            <w:r>
              <w:rPr>
                <w:spacing w:val="-5"/>
                <w:sz w:val="21"/>
                <w:szCs w:val="21"/>
              </w:rPr>
              <w:t>眼睛接触</w:t>
            </w:r>
          </w:p>
        </w:tc>
        <w:tc>
          <w:tcPr>
            <w:tcW w:w="6567" w:type="dxa"/>
            <w:vAlign w:val="top"/>
          </w:tcPr>
          <w:p>
            <w:pPr>
              <w:pStyle w:val="6"/>
              <w:spacing w:before="66" w:line="221" w:lineRule="auto"/>
              <w:ind w:left="7"/>
              <w:rPr>
                <w:sz w:val="21"/>
                <w:szCs w:val="21"/>
              </w:rPr>
            </w:pPr>
            <w:r>
              <w:rPr>
                <w:spacing w:val="-5"/>
                <w:sz w:val="21"/>
                <w:szCs w:val="21"/>
              </w:rPr>
              <w:t>提起眼睑，</w:t>
            </w:r>
            <w:r>
              <w:rPr>
                <w:spacing w:val="-21"/>
                <w:sz w:val="21"/>
                <w:szCs w:val="21"/>
              </w:rPr>
              <w:t xml:space="preserve"> </w:t>
            </w:r>
            <w:r>
              <w:rPr>
                <w:spacing w:val="-5"/>
                <w:sz w:val="21"/>
                <w:szCs w:val="21"/>
              </w:rPr>
              <w:t>用流动清水或生理盐水冲洗至少</w:t>
            </w:r>
            <w:r>
              <w:rPr>
                <w:spacing w:val="26"/>
                <w:sz w:val="21"/>
                <w:szCs w:val="21"/>
              </w:rPr>
              <w:t xml:space="preserve"> </w:t>
            </w:r>
            <w:r>
              <w:rPr>
                <w:rFonts w:ascii="Times New Roman" w:hAnsi="Times New Roman" w:eastAsia="Times New Roman" w:cs="Times New Roman"/>
                <w:spacing w:val="-5"/>
                <w:sz w:val="21"/>
                <w:szCs w:val="21"/>
              </w:rPr>
              <w:t xml:space="preserve">15  </w:t>
            </w:r>
            <w:r>
              <w:rPr>
                <w:spacing w:val="-5"/>
                <w:sz w:val="21"/>
                <w:szCs w:val="21"/>
              </w:rPr>
              <w:t>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5" w:line="221" w:lineRule="auto"/>
              <w:ind w:left="21"/>
              <w:rPr>
                <w:sz w:val="21"/>
                <w:szCs w:val="21"/>
              </w:rPr>
            </w:pPr>
            <w:r>
              <w:rPr>
                <w:spacing w:val="-4"/>
                <w:sz w:val="21"/>
                <w:szCs w:val="21"/>
              </w:rPr>
              <w:t>吸入</w:t>
            </w:r>
          </w:p>
        </w:tc>
        <w:tc>
          <w:tcPr>
            <w:tcW w:w="6567" w:type="dxa"/>
            <w:vAlign w:val="top"/>
          </w:tcPr>
          <w:p>
            <w:pPr>
              <w:pStyle w:val="6"/>
              <w:spacing w:before="64" w:line="221" w:lineRule="auto"/>
              <w:ind w:left="6"/>
              <w:rPr>
                <w:sz w:val="21"/>
                <w:szCs w:val="21"/>
              </w:rPr>
            </w:pPr>
            <w:r>
              <w:rPr>
                <w:spacing w:val="-1"/>
                <w:sz w:val="21"/>
                <w:szCs w:val="21"/>
              </w:rPr>
              <w:t>迅速脱离现场至空气新鲜处，必要时到公司医务室做进一步处理。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5" w:type="dxa"/>
            <w:gridSpan w:val="2"/>
            <w:vAlign w:val="top"/>
          </w:tcPr>
          <w:p>
            <w:pPr>
              <w:pStyle w:val="6"/>
              <w:spacing w:before="65" w:line="219" w:lineRule="auto"/>
              <w:ind w:left="16"/>
              <w:rPr>
                <w:sz w:val="21"/>
                <w:szCs w:val="21"/>
              </w:rPr>
            </w:pPr>
            <w:r>
              <w:rPr>
                <w:spacing w:val="-1"/>
                <w:sz w:val="21"/>
                <w:szCs w:val="21"/>
                <w14:textOutline w14:w="3831" w14:cap="flat" w14:cmpd="sng">
                  <w14:solidFill>
                    <w14:srgbClr w14:val="000000"/>
                  </w14:solidFill>
                  <w14:prstDash w14:val="solid"/>
                  <w14:miter w14:val="10"/>
                </w14:textOutline>
              </w:rPr>
              <w:t>五、燃爆特性与消防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68" w:type="dxa"/>
            <w:vAlign w:val="top"/>
          </w:tcPr>
          <w:p>
            <w:pPr>
              <w:pStyle w:val="6"/>
              <w:spacing w:before="66" w:line="220" w:lineRule="auto"/>
              <w:ind w:left="13"/>
              <w:rPr>
                <w:sz w:val="21"/>
                <w:szCs w:val="21"/>
              </w:rPr>
            </w:pPr>
            <w:r>
              <w:rPr>
                <w:spacing w:val="-2"/>
                <w:sz w:val="21"/>
                <w:szCs w:val="21"/>
              </w:rPr>
              <w:t>燃烧性</w:t>
            </w:r>
          </w:p>
        </w:tc>
        <w:tc>
          <w:tcPr>
            <w:tcW w:w="6567" w:type="dxa"/>
            <w:vAlign w:val="top"/>
          </w:tcPr>
          <w:p>
            <w:pPr>
              <w:pStyle w:val="6"/>
              <w:spacing w:before="66" w:line="223" w:lineRule="auto"/>
              <w:ind w:left="9"/>
              <w:rPr>
                <w:sz w:val="21"/>
                <w:szCs w:val="21"/>
              </w:rPr>
            </w:pPr>
            <w:r>
              <w:rPr>
                <w:spacing w:val="-9"/>
                <w:sz w:val="21"/>
                <w:szCs w:val="21"/>
              </w:rPr>
              <w:t>不燃。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5" w:line="220" w:lineRule="auto"/>
              <w:ind w:left="13"/>
              <w:rPr>
                <w:sz w:val="21"/>
                <w:szCs w:val="21"/>
              </w:rPr>
            </w:pPr>
            <w:r>
              <w:rPr>
                <w:spacing w:val="-1"/>
                <w:sz w:val="21"/>
                <w:szCs w:val="21"/>
              </w:rPr>
              <w:t>有害燃烧产物</w:t>
            </w:r>
          </w:p>
        </w:tc>
        <w:tc>
          <w:tcPr>
            <w:tcW w:w="6567" w:type="dxa"/>
            <w:vAlign w:val="top"/>
          </w:tcPr>
          <w:p>
            <w:pPr>
              <w:pStyle w:val="6"/>
              <w:spacing w:before="65" w:line="220" w:lineRule="auto"/>
              <w:ind w:left="7"/>
              <w:rPr>
                <w:sz w:val="21"/>
                <w:szCs w:val="21"/>
              </w:rPr>
            </w:pPr>
            <w:r>
              <w:rPr>
                <w:spacing w:val="-2"/>
                <w:sz w:val="21"/>
                <w:szCs w:val="21"/>
              </w:rPr>
              <w:t>氧化硫。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68" w:type="dxa"/>
            <w:vAlign w:val="top"/>
          </w:tcPr>
          <w:p>
            <w:pPr>
              <w:pStyle w:val="6"/>
              <w:spacing w:before="303" w:line="221" w:lineRule="auto"/>
              <w:ind w:left="16"/>
              <w:rPr>
                <w:sz w:val="21"/>
                <w:szCs w:val="21"/>
              </w:rPr>
            </w:pPr>
            <w:r>
              <w:rPr>
                <w:spacing w:val="-3"/>
                <w:sz w:val="21"/>
                <w:szCs w:val="21"/>
              </w:rPr>
              <w:t>灭火方法</w:t>
            </w:r>
          </w:p>
        </w:tc>
        <w:tc>
          <w:tcPr>
            <w:tcW w:w="6567" w:type="dxa"/>
            <w:vAlign w:val="top"/>
          </w:tcPr>
          <w:p>
            <w:pPr>
              <w:pStyle w:val="6"/>
              <w:spacing w:before="32" w:line="228" w:lineRule="auto"/>
              <w:ind w:left="6"/>
              <w:jc w:val="both"/>
              <w:rPr>
                <w:sz w:val="21"/>
                <w:szCs w:val="21"/>
              </w:rPr>
            </w:pPr>
            <w:r>
              <w:rPr>
                <w:spacing w:val="-7"/>
                <w:sz w:val="21"/>
                <w:szCs w:val="21"/>
              </w:rPr>
              <w:t>本品不燃。消防人员必须佩戴过滤式防毒面具</w:t>
            </w:r>
            <w:r>
              <w:rPr>
                <w:rFonts w:ascii="Times New Roman" w:hAnsi="Times New Roman" w:eastAsia="Times New Roman" w:cs="Times New Roman"/>
                <w:spacing w:val="-7"/>
                <w:sz w:val="21"/>
                <w:szCs w:val="21"/>
              </w:rPr>
              <w:t>(</w:t>
            </w:r>
            <w:r>
              <w:rPr>
                <w:spacing w:val="-7"/>
                <w:sz w:val="21"/>
                <w:szCs w:val="21"/>
              </w:rPr>
              <w:t>全面罩）或隔</w:t>
            </w:r>
            <w:r>
              <w:rPr>
                <w:spacing w:val="-8"/>
                <w:sz w:val="21"/>
                <w:szCs w:val="21"/>
              </w:rPr>
              <w:t>离式呼吸器、</w:t>
            </w:r>
            <w:r>
              <w:rPr>
                <w:sz w:val="21"/>
                <w:szCs w:val="21"/>
              </w:rPr>
              <w:t xml:space="preserve"> </w:t>
            </w:r>
            <w:r>
              <w:rPr>
                <w:spacing w:val="-1"/>
                <w:sz w:val="21"/>
                <w:szCs w:val="21"/>
              </w:rPr>
              <w:t>穿全身防火防毒服，在上风向灭火。切断气源。喷水</w:t>
            </w:r>
            <w:r>
              <w:rPr>
                <w:spacing w:val="-2"/>
                <w:sz w:val="21"/>
                <w:szCs w:val="21"/>
              </w:rPr>
              <w:t xml:space="preserve">冷却容器，可能的 </w:t>
            </w:r>
            <w:r>
              <w:rPr>
                <w:spacing w:val="-4"/>
                <w:sz w:val="21"/>
                <w:szCs w:val="21"/>
              </w:rPr>
              <w:t>话将容器从火场移至空旷处。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5" w:line="220" w:lineRule="auto"/>
              <w:ind w:left="16"/>
              <w:rPr>
                <w:sz w:val="21"/>
                <w:szCs w:val="21"/>
              </w:rPr>
            </w:pPr>
            <w:r>
              <w:rPr>
                <w:spacing w:val="-2"/>
                <w:sz w:val="21"/>
                <w:szCs w:val="21"/>
              </w:rPr>
              <w:t>灭火剂</w:t>
            </w:r>
          </w:p>
        </w:tc>
        <w:tc>
          <w:tcPr>
            <w:tcW w:w="6567" w:type="dxa"/>
            <w:vAlign w:val="top"/>
          </w:tcPr>
          <w:p>
            <w:pPr>
              <w:pStyle w:val="6"/>
              <w:spacing w:before="65" w:line="220" w:lineRule="auto"/>
              <w:ind w:left="8"/>
              <w:rPr>
                <w:sz w:val="21"/>
                <w:szCs w:val="21"/>
              </w:rPr>
            </w:pPr>
            <w:r>
              <w:rPr>
                <w:spacing w:val="-1"/>
                <w:sz w:val="21"/>
                <w:szCs w:val="21"/>
              </w:rPr>
              <w:t>雾状水、泡沫、二氧化碳。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5" w:type="dxa"/>
            <w:gridSpan w:val="2"/>
            <w:vAlign w:val="top"/>
          </w:tcPr>
          <w:p>
            <w:pPr>
              <w:pStyle w:val="6"/>
              <w:spacing w:before="66" w:line="222" w:lineRule="auto"/>
              <w:ind w:left="14"/>
              <w:rPr>
                <w:sz w:val="21"/>
                <w:szCs w:val="21"/>
              </w:rPr>
            </w:pPr>
            <w:r>
              <w:rPr>
                <w:spacing w:val="-1"/>
                <w:sz w:val="21"/>
                <w:szCs w:val="21"/>
                <w14:textOutline w14:w="3831" w14:cap="flat" w14:cmpd="sng">
                  <w14:solidFill>
                    <w14:srgbClr w14:val="000000"/>
                  </w14:solidFill>
                  <w14:prstDash w14:val="solid"/>
                  <w14:miter w14:val="10"/>
                </w14:textOutline>
              </w:rPr>
              <w:t>六、泄漏应急处理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768" w:type="dxa"/>
            <w:vAlign w:val="top"/>
          </w:tcPr>
          <w:p>
            <w:pPr>
              <w:spacing w:line="253" w:lineRule="auto"/>
              <w:rPr>
                <w:rFonts w:ascii="Arial"/>
                <w:sz w:val="21"/>
              </w:rPr>
            </w:pPr>
          </w:p>
          <w:p>
            <w:pPr>
              <w:spacing w:line="253" w:lineRule="auto"/>
              <w:rPr>
                <w:rFonts w:ascii="Arial"/>
                <w:sz w:val="21"/>
              </w:rPr>
            </w:pPr>
          </w:p>
          <w:p>
            <w:pPr>
              <w:pStyle w:val="6"/>
              <w:spacing w:before="68" w:line="223" w:lineRule="auto"/>
              <w:ind w:left="12"/>
              <w:rPr>
                <w:sz w:val="21"/>
                <w:szCs w:val="21"/>
              </w:rPr>
            </w:pPr>
            <w:r>
              <w:rPr>
                <w:spacing w:val="-2"/>
                <w:sz w:val="21"/>
                <w:szCs w:val="21"/>
              </w:rPr>
              <w:t>应急处理</w:t>
            </w:r>
          </w:p>
        </w:tc>
        <w:tc>
          <w:tcPr>
            <w:tcW w:w="6567" w:type="dxa"/>
            <w:vAlign w:val="top"/>
          </w:tcPr>
          <w:p>
            <w:pPr>
              <w:pStyle w:val="6"/>
              <w:spacing w:before="35" w:line="232" w:lineRule="auto"/>
              <w:ind w:left="8" w:right="14" w:hanging="2"/>
              <w:jc w:val="both"/>
              <w:rPr>
                <w:sz w:val="21"/>
                <w:szCs w:val="21"/>
              </w:rPr>
            </w:pPr>
            <w:r>
              <w:rPr>
                <w:spacing w:val="8"/>
                <w:sz w:val="21"/>
                <w:szCs w:val="21"/>
              </w:rPr>
              <w:t>迅速撤离泄漏污染区人员至上风处，并立即进行隔离，小</w:t>
            </w:r>
            <w:r>
              <w:rPr>
                <w:spacing w:val="7"/>
                <w:sz w:val="21"/>
                <w:szCs w:val="21"/>
              </w:rPr>
              <w:t>泄漏时隔离</w:t>
            </w:r>
            <w:r>
              <w:rPr>
                <w:sz w:val="21"/>
                <w:szCs w:val="21"/>
              </w:rPr>
              <w:t xml:space="preserve"> </w:t>
            </w:r>
            <w:r>
              <w:rPr>
                <w:rFonts w:ascii="Times New Roman" w:hAnsi="Times New Roman" w:eastAsia="Times New Roman" w:cs="Times New Roman"/>
                <w:sz w:val="21"/>
                <w:szCs w:val="21"/>
              </w:rPr>
              <w:t>150m</w:t>
            </w:r>
            <w:r>
              <w:rPr>
                <w:sz w:val="21"/>
                <w:szCs w:val="21"/>
              </w:rPr>
              <w:t xml:space="preserve">，大泄漏时隔离 </w:t>
            </w:r>
            <w:r>
              <w:rPr>
                <w:rFonts w:ascii="Times New Roman" w:hAnsi="Times New Roman" w:eastAsia="Times New Roman" w:cs="Times New Roman"/>
                <w:sz w:val="21"/>
                <w:szCs w:val="21"/>
              </w:rPr>
              <w:t>450m</w:t>
            </w:r>
            <w:r>
              <w:rPr>
                <w:sz w:val="21"/>
                <w:szCs w:val="21"/>
              </w:rPr>
              <w:t>，严格限制出入。建议应急处理人员戴自给</w:t>
            </w:r>
            <w:r>
              <w:rPr>
                <w:spacing w:val="15"/>
                <w:sz w:val="21"/>
                <w:szCs w:val="21"/>
              </w:rPr>
              <w:t xml:space="preserve"> </w:t>
            </w:r>
            <w:r>
              <w:rPr>
                <w:spacing w:val="1"/>
                <w:sz w:val="21"/>
                <w:szCs w:val="21"/>
              </w:rPr>
              <w:t>正压式呼吸器，穿防毒服。从上风处进入现场。尽可能切断泄</w:t>
            </w:r>
            <w:r>
              <w:rPr>
                <w:sz w:val="21"/>
                <w:szCs w:val="21"/>
              </w:rPr>
              <w:t xml:space="preserve">漏源。合 </w:t>
            </w:r>
            <w:r>
              <w:rPr>
                <w:spacing w:val="1"/>
                <w:sz w:val="21"/>
                <w:szCs w:val="21"/>
              </w:rPr>
              <w:t>理通风，加速扩散。喷雾状水稀释、溶解，产生的大量废水放</w:t>
            </w:r>
            <w:r>
              <w:rPr>
                <w:sz w:val="21"/>
                <w:szCs w:val="21"/>
              </w:rPr>
              <w:t xml:space="preserve">入废水系 </w:t>
            </w:r>
            <w:r>
              <w:rPr>
                <w:spacing w:val="-10"/>
                <w:sz w:val="21"/>
                <w:szCs w:val="21"/>
              </w:rPr>
              <w:t>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335" w:type="dxa"/>
            <w:gridSpan w:val="2"/>
            <w:vAlign w:val="top"/>
          </w:tcPr>
          <w:p>
            <w:pPr>
              <w:pStyle w:val="6"/>
              <w:spacing w:before="68" w:line="221" w:lineRule="auto"/>
              <w:ind w:left="11"/>
              <w:rPr>
                <w:sz w:val="21"/>
                <w:szCs w:val="21"/>
              </w:rPr>
            </w:pPr>
            <w:r>
              <w:rPr>
                <w:sz w:val="21"/>
                <w:szCs w:val="21"/>
                <w14:textOutline w14:w="3831" w14:cap="flat" w14:cmpd="sng">
                  <w14:solidFill>
                    <w14:srgbClr w14:val="000000"/>
                  </w14:solidFill>
                  <w14:prstDash w14:val="solid"/>
                  <w14:miter w14:val="10"/>
                </w14:textOutline>
              </w:rPr>
              <w:t>七、操作处置与储存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768" w:type="dxa"/>
            <w:vAlign w:val="top"/>
          </w:tcPr>
          <w:p>
            <w:pPr>
              <w:pStyle w:val="6"/>
              <w:spacing w:before="306" w:line="221" w:lineRule="auto"/>
              <w:ind w:left="11"/>
              <w:rPr>
                <w:sz w:val="21"/>
                <w:szCs w:val="21"/>
              </w:rPr>
            </w:pPr>
            <w:r>
              <w:rPr>
                <w:spacing w:val="-1"/>
                <w:sz w:val="21"/>
                <w:szCs w:val="21"/>
              </w:rPr>
              <w:t>操作注意事项</w:t>
            </w:r>
          </w:p>
        </w:tc>
        <w:tc>
          <w:tcPr>
            <w:tcW w:w="6567" w:type="dxa"/>
            <w:vAlign w:val="top"/>
          </w:tcPr>
          <w:p>
            <w:pPr>
              <w:pStyle w:val="6"/>
              <w:spacing w:before="31" w:line="229" w:lineRule="auto"/>
              <w:ind w:left="5" w:firstLine="1"/>
              <w:jc w:val="both"/>
              <w:rPr>
                <w:sz w:val="21"/>
                <w:szCs w:val="21"/>
              </w:rPr>
            </w:pPr>
            <w:r>
              <w:rPr>
                <w:spacing w:val="-5"/>
                <w:sz w:val="21"/>
                <w:szCs w:val="21"/>
              </w:rPr>
              <w:t>提供充分的局部排风和全面通风，操作人员必须经过专</w:t>
            </w:r>
            <w:r>
              <w:rPr>
                <w:spacing w:val="-6"/>
                <w:sz w:val="21"/>
                <w:szCs w:val="21"/>
              </w:rPr>
              <w:t>门培训，严格遵守</w:t>
            </w:r>
            <w:r>
              <w:rPr>
                <w:sz w:val="21"/>
                <w:szCs w:val="21"/>
              </w:rPr>
              <w:t xml:space="preserve"> </w:t>
            </w:r>
            <w:r>
              <w:rPr>
                <w:spacing w:val="-12"/>
                <w:sz w:val="21"/>
                <w:szCs w:val="21"/>
              </w:rPr>
              <w:t>操作</w:t>
            </w:r>
            <w:r>
              <w:rPr>
                <w:spacing w:val="-11"/>
                <w:sz w:val="21"/>
                <w:szCs w:val="21"/>
              </w:rPr>
              <w:t>规程。建议操作人员佩戴自吸过滤式防毒面具（全</w:t>
            </w:r>
            <w:r>
              <w:rPr>
                <w:spacing w:val="-12"/>
                <w:sz w:val="21"/>
                <w:szCs w:val="21"/>
              </w:rPr>
              <w:t>面罩</w:t>
            </w:r>
            <w:r>
              <w:rPr>
                <w:spacing w:val="-34"/>
                <w:w w:val="62"/>
                <w:sz w:val="21"/>
                <w:szCs w:val="21"/>
              </w:rPr>
              <w:t>，）</w:t>
            </w:r>
            <w:r>
              <w:rPr>
                <w:spacing w:val="-12"/>
                <w:sz w:val="21"/>
                <w:szCs w:val="21"/>
              </w:rPr>
              <w:t>远离易燃、</w:t>
            </w:r>
            <w:r>
              <w:rPr>
                <w:spacing w:val="-10"/>
                <w:sz w:val="21"/>
                <w:szCs w:val="21"/>
              </w:rPr>
              <w:t>可</w:t>
            </w:r>
            <w:r>
              <w:rPr>
                <w:spacing w:val="3"/>
                <w:sz w:val="21"/>
                <w:szCs w:val="21"/>
              </w:rPr>
              <w:t xml:space="preserve"> </w:t>
            </w:r>
            <w:r>
              <w:rPr>
                <w:spacing w:val="-15"/>
                <w:sz w:val="21"/>
                <w:szCs w:val="21"/>
              </w:rPr>
              <w:t>燃物。防止气体泄漏到工作场所空气中。避免与氧化剂、还原剂接触。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5" w:type="dxa"/>
            <w:gridSpan w:val="2"/>
            <w:vAlign w:val="top"/>
          </w:tcPr>
          <w:p>
            <w:pPr>
              <w:pStyle w:val="6"/>
              <w:spacing w:before="67" w:line="234" w:lineRule="auto"/>
              <w:ind w:left="16"/>
              <w:rPr>
                <w:sz w:val="21"/>
                <w:szCs w:val="21"/>
              </w:rPr>
            </w:pPr>
            <w:r>
              <w:rPr>
                <w:spacing w:val="-1"/>
                <w:sz w:val="21"/>
                <w:szCs w:val="21"/>
                <w14:textOutline w14:w="3831" w14:cap="flat" w14:cmpd="sng">
                  <w14:solidFill>
                    <w14:srgbClr w14:val="000000"/>
                  </w14:solidFill>
                  <w14:prstDash w14:val="solid"/>
                  <w14:miter w14:val="10"/>
                </w14:textOutline>
              </w:rPr>
              <w:t>八、接触控制</w:t>
            </w:r>
            <w:r>
              <w:rPr>
                <w:rFonts w:ascii="Times New Roman" w:hAnsi="Times New Roman" w:eastAsia="Times New Roman" w:cs="Times New Roman"/>
                <w:b/>
                <w:bCs/>
                <w:spacing w:val="-1"/>
                <w:sz w:val="21"/>
                <w:szCs w:val="21"/>
              </w:rPr>
              <w:t>/</w:t>
            </w:r>
            <w:r>
              <w:rPr>
                <w:spacing w:val="-1"/>
                <w:sz w:val="21"/>
                <w:szCs w:val="21"/>
                <w14:textOutline w14:w="3831" w14:cap="flat" w14:cmpd="sng">
                  <w14:solidFill>
                    <w14:srgbClr w14:val="000000"/>
                  </w14:solidFill>
                  <w14:prstDash w14:val="solid"/>
                  <w14:miter w14:val="10"/>
                </w14:textOutline>
              </w:rPr>
              <w:t>个体防护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68" w:type="dxa"/>
            <w:vAlign w:val="top"/>
          </w:tcPr>
          <w:p>
            <w:pPr>
              <w:pStyle w:val="6"/>
              <w:spacing w:before="67" w:line="221" w:lineRule="auto"/>
              <w:ind w:left="24"/>
              <w:rPr>
                <w:sz w:val="21"/>
                <w:szCs w:val="21"/>
              </w:rPr>
            </w:pPr>
            <w:r>
              <w:rPr>
                <w:spacing w:val="-3"/>
                <w:sz w:val="21"/>
                <w:szCs w:val="21"/>
              </w:rPr>
              <w:t>呼吸系统防护</w:t>
            </w:r>
          </w:p>
        </w:tc>
        <w:tc>
          <w:tcPr>
            <w:tcW w:w="6567" w:type="dxa"/>
            <w:vAlign w:val="top"/>
          </w:tcPr>
          <w:p>
            <w:pPr>
              <w:pStyle w:val="6"/>
              <w:spacing w:before="67" w:line="221" w:lineRule="auto"/>
              <w:ind w:left="12"/>
              <w:rPr>
                <w:sz w:val="21"/>
                <w:szCs w:val="21"/>
              </w:rPr>
            </w:pPr>
            <w:r>
              <w:rPr>
                <w:spacing w:val="-1"/>
                <w:sz w:val="21"/>
                <w:szCs w:val="21"/>
              </w:rPr>
              <w:t>空气中浓度超标时建议佩戴正压自给式呼吸器。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9" w:line="220" w:lineRule="auto"/>
              <w:ind w:left="26"/>
              <w:rPr>
                <w:sz w:val="21"/>
                <w:szCs w:val="21"/>
              </w:rPr>
            </w:pPr>
            <w:r>
              <w:rPr>
                <w:spacing w:val="-5"/>
                <w:sz w:val="21"/>
                <w:szCs w:val="21"/>
              </w:rPr>
              <w:t>眼睛防护</w:t>
            </w:r>
          </w:p>
        </w:tc>
        <w:tc>
          <w:tcPr>
            <w:tcW w:w="6567" w:type="dxa"/>
            <w:vAlign w:val="top"/>
          </w:tcPr>
          <w:p>
            <w:pPr>
              <w:pStyle w:val="6"/>
              <w:spacing w:before="69" w:line="221" w:lineRule="auto"/>
              <w:ind w:left="17"/>
              <w:rPr>
                <w:sz w:val="21"/>
                <w:szCs w:val="21"/>
              </w:rPr>
            </w:pPr>
            <w:r>
              <w:rPr>
                <w:spacing w:val="-2"/>
                <w:sz w:val="21"/>
                <w:szCs w:val="21"/>
              </w:rPr>
              <w:t>呼吸系统防护中已作防护。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68" w:type="dxa"/>
            <w:vAlign w:val="top"/>
          </w:tcPr>
          <w:p>
            <w:pPr>
              <w:pStyle w:val="6"/>
              <w:spacing w:before="69" w:line="221" w:lineRule="auto"/>
              <w:ind w:left="18"/>
              <w:rPr>
                <w:sz w:val="21"/>
                <w:szCs w:val="21"/>
              </w:rPr>
            </w:pPr>
            <w:r>
              <w:rPr>
                <w:spacing w:val="-3"/>
                <w:sz w:val="21"/>
                <w:szCs w:val="21"/>
              </w:rPr>
              <w:t>身体防护</w:t>
            </w:r>
          </w:p>
        </w:tc>
        <w:tc>
          <w:tcPr>
            <w:tcW w:w="6567" w:type="dxa"/>
            <w:vAlign w:val="top"/>
          </w:tcPr>
          <w:p>
            <w:pPr>
              <w:pStyle w:val="6"/>
              <w:spacing w:before="70" w:line="221" w:lineRule="auto"/>
              <w:ind w:left="17"/>
              <w:rPr>
                <w:sz w:val="21"/>
                <w:szCs w:val="21"/>
              </w:rPr>
            </w:pPr>
            <w:r>
              <w:rPr>
                <w:spacing w:val="-2"/>
                <w:sz w:val="21"/>
                <w:szCs w:val="21"/>
              </w:rPr>
              <w:t>穿防酸碱工作服。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7" w:line="221" w:lineRule="auto"/>
              <w:ind w:left="12"/>
              <w:rPr>
                <w:sz w:val="21"/>
                <w:szCs w:val="21"/>
              </w:rPr>
            </w:pPr>
            <w:r>
              <w:rPr>
                <w:spacing w:val="-2"/>
                <w:sz w:val="21"/>
                <w:szCs w:val="21"/>
              </w:rPr>
              <w:t>手防护</w:t>
            </w:r>
          </w:p>
        </w:tc>
        <w:tc>
          <w:tcPr>
            <w:tcW w:w="6567" w:type="dxa"/>
            <w:vAlign w:val="top"/>
          </w:tcPr>
          <w:p>
            <w:pPr>
              <w:pStyle w:val="6"/>
              <w:spacing w:before="66" w:line="221" w:lineRule="auto"/>
              <w:ind w:left="10"/>
              <w:rPr>
                <w:sz w:val="21"/>
                <w:szCs w:val="21"/>
              </w:rPr>
            </w:pPr>
            <w:r>
              <w:rPr>
                <w:spacing w:val="-2"/>
                <w:sz w:val="21"/>
                <w:szCs w:val="21"/>
              </w:rPr>
              <w:t>戴橡胶手套。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5" w:type="dxa"/>
            <w:gridSpan w:val="2"/>
            <w:vAlign w:val="top"/>
          </w:tcPr>
          <w:p>
            <w:pPr>
              <w:pStyle w:val="6"/>
              <w:spacing w:before="66" w:line="221" w:lineRule="auto"/>
              <w:ind w:left="17"/>
              <w:rPr>
                <w:sz w:val="21"/>
                <w:szCs w:val="21"/>
              </w:rPr>
            </w:pPr>
            <w:r>
              <w:rPr>
                <w:spacing w:val="-1"/>
                <w:sz w:val="21"/>
                <w:szCs w:val="21"/>
                <w14:textOutline w14:w="3831" w14:cap="flat" w14:cmpd="sng">
                  <w14:solidFill>
                    <w14:srgbClr w14:val="000000"/>
                  </w14:solidFill>
                  <w14:prstDash w14:val="solid"/>
                  <w14:miter w14:val="10"/>
                </w14:textOutline>
              </w:rPr>
              <w:t>九、理化特性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7" w:line="221" w:lineRule="auto"/>
              <w:ind w:left="17"/>
              <w:rPr>
                <w:sz w:val="21"/>
                <w:szCs w:val="21"/>
              </w:rPr>
            </w:pPr>
            <w:r>
              <w:rPr>
                <w:spacing w:val="-2"/>
                <w:sz w:val="21"/>
                <w:szCs w:val="21"/>
              </w:rPr>
              <w:t>外观与性状</w:t>
            </w:r>
          </w:p>
        </w:tc>
        <w:tc>
          <w:tcPr>
            <w:tcW w:w="6567" w:type="dxa"/>
            <w:vAlign w:val="top"/>
          </w:tcPr>
          <w:p>
            <w:pPr>
              <w:pStyle w:val="6"/>
              <w:spacing w:before="67" w:line="221" w:lineRule="auto"/>
              <w:ind w:left="8"/>
              <w:rPr>
                <w:sz w:val="21"/>
                <w:szCs w:val="21"/>
              </w:rPr>
            </w:pPr>
            <w:r>
              <w:rPr>
                <w:spacing w:val="-12"/>
                <w:sz w:val="21"/>
                <w:szCs w:val="21"/>
              </w:rPr>
              <w:t>无色气体，</w:t>
            </w:r>
            <w:r>
              <w:rPr>
                <w:spacing w:val="-17"/>
                <w:sz w:val="21"/>
                <w:szCs w:val="21"/>
              </w:rPr>
              <w:t xml:space="preserve"> </w:t>
            </w:r>
            <w:r>
              <w:rPr>
                <w:spacing w:val="-12"/>
                <w:sz w:val="21"/>
                <w:szCs w:val="21"/>
              </w:rPr>
              <w:t>特臭。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68" w:type="dxa"/>
            <w:vAlign w:val="top"/>
          </w:tcPr>
          <w:p>
            <w:pPr>
              <w:pStyle w:val="6"/>
              <w:spacing w:before="67" w:line="233" w:lineRule="auto"/>
              <w:ind w:left="13"/>
              <w:rPr>
                <w:sz w:val="21"/>
                <w:szCs w:val="21"/>
              </w:rPr>
            </w:pPr>
            <w:r>
              <w:rPr>
                <w:spacing w:val="19"/>
                <w:sz w:val="21"/>
                <w:szCs w:val="21"/>
              </w:rPr>
              <w:t>熔点(</w:t>
            </w:r>
            <w:r>
              <w:rPr>
                <w:rFonts w:ascii="Times New Roman" w:hAnsi="Times New Roman" w:eastAsia="Times New Roman" w:cs="Times New Roman"/>
                <w:spacing w:val="19"/>
                <w:sz w:val="21"/>
                <w:szCs w:val="21"/>
              </w:rPr>
              <w:t>℃</w:t>
            </w:r>
            <w:r>
              <w:rPr>
                <w:spacing w:val="19"/>
                <w:sz w:val="21"/>
                <w:szCs w:val="21"/>
              </w:rPr>
              <w:t>)</w:t>
            </w:r>
          </w:p>
        </w:tc>
        <w:tc>
          <w:tcPr>
            <w:tcW w:w="6567" w:type="dxa"/>
            <w:vAlign w:val="top"/>
          </w:tcPr>
          <w:p>
            <w:pPr>
              <w:pStyle w:val="6"/>
              <w:spacing w:before="67" w:line="214" w:lineRule="auto"/>
              <w:ind w:left="6"/>
              <w:rPr>
                <w:sz w:val="21"/>
                <w:szCs w:val="21"/>
              </w:rPr>
            </w:pPr>
            <w:r>
              <w:rPr>
                <w:rFonts w:ascii="Times New Roman" w:hAnsi="Times New Roman" w:eastAsia="Times New Roman" w:cs="Times New Roman"/>
                <w:spacing w:val="-1"/>
                <w:sz w:val="21"/>
                <w:szCs w:val="21"/>
              </w:rPr>
              <w:t>-75.5(</w:t>
            </w:r>
            <w:r>
              <w:rPr>
                <w:spacing w:val="-1"/>
                <w:sz w:val="21"/>
                <w:szCs w:val="21"/>
              </w:rPr>
              <w:t>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68" w:type="dxa"/>
            <w:vAlign w:val="top"/>
          </w:tcPr>
          <w:p>
            <w:pPr>
              <w:pStyle w:val="6"/>
              <w:spacing w:before="70" w:line="233" w:lineRule="auto"/>
              <w:ind w:left="13"/>
              <w:rPr>
                <w:sz w:val="21"/>
                <w:szCs w:val="21"/>
              </w:rPr>
            </w:pPr>
            <w:r>
              <w:rPr>
                <w:spacing w:val="19"/>
                <w:sz w:val="21"/>
                <w:szCs w:val="21"/>
              </w:rPr>
              <w:t>沸点(</w:t>
            </w:r>
            <w:r>
              <w:rPr>
                <w:rFonts w:ascii="Times New Roman" w:hAnsi="Times New Roman" w:eastAsia="Times New Roman" w:cs="Times New Roman"/>
                <w:spacing w:val="19"/>
                <w:sz w:val="21"/>
                <w:szCs w:val="21"/>
              </w:rPr>
              <w:t>℃</w:t>
            </w:r>
            <w:r>
              <w:rPr>
                <w:spacing w:val="19"/>
                <w:sz w:val="21"/>
                <w:szCs w:val="21"/>
              </w:rPr>
              <w:t>)</w:t>
            </w:r>
          </w:p>
        </w:tc>
        <w:tc>
          <w:tcPr>
            <w:tcW w:w="6567" w:type="dxa"/>
            <w:vAlign w:val="top"/>
          </w:tcPr>
          <w:p>
            <w:pPr>
              <w:spacing w:before="109" w:line="187" w:lineRule="auto"/>
              <w:ind w:left="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70" w:line="214" w:lineRule="auto"/>
              <w:ind w:left="12"/>
              <w:rPr>
                <w:rFonts w:ascii="Times New Roman" w:hAnsi="Times New Roman" w:eastAsia="Times New Roman" w:cs="Times New Roman"/>
                <w:sz w:val="21"/>
                <w:szCs w:val="21"/>
              </w:rPr>
            </w:pPr>
            <w:r>
              <w:rPr>
                <w:spacing w:val="-1"/>
                <w:sz w:val="21"/>
                <w:szCs w:val="21"/>
              </w:rPr>
              <w:t>相对密度</w:t>
            </w:r>
            <w:r>
              <w:rPr>
                <w:rFonts w:ascii="Times New Roman" w:hAnsi="Times New Roman" w:eastAsia="Times New Roman" w:cs="Times New Roman"/>
                <w:spacing w:val="-1"/>
                <w:sz w:val="21"/>
                <w:szCs w:val="21"/>
              </w:rPr>
              <w:t>(</w:t>
            </w:r>
            <w:r>
              <w:rPr>
                <w:spacing w:val="-1"/>
                <w:sz w:val="21"/>
                <w:szCs w:val="21"/>
              </w:rPr>
              <w:t>水</w:t>
            </w:r>
            <w:r>
              <w:rPr>
                <w:rFonts w:ascii="Times New Roman" w:hAnsi="Times New Roman" w:eastAsia="Times New Roman" w:cs="Times New Roman"/>
                <w:spacing w:val="-1"/>
                <w:sz w:val="21"/>
                <w:szCs w:val="21"/>
              </w:rPr>
              <w:t>=1)</w:t>
            </w:r>
          </w:p>
        </w:tc>
        <w:tc>
          <w:tcPr>
            <w:tcW w:w="6567" w:type="dxa"/>
            <w:vAlign w:val="top"/>
          </w:tcPr>
          <w:p>
            <w:pPr>
              <w:spacing w:before="109" w:line="187" w:lineRule="auto"/>
              <w:ind w:left="2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68" w:type="dxa"/>
            <w:vAlign w:val="top"/>
          </w:tcPr>
          <w:p>
            <w:pPr>
              <w:pStyle w:val="6"/>
              <w:spacing w:before="68" w:line="214" w:lineRule="auto"/>
              <w:ind w:left="12"/>
              <w:rPr>
                <w:rFonts w:ascii="Times New Roman" w:hAnsi="Times New Roman" w:eastAsia="Times New Roman" w:cs="Times New Roman"/>
                <w:sz w:val="21"/>
                <w:szCs w:val="21"/>
              </w:rPr>
            </w:pPr>
            <w:r>
              <w:rPr>
                <w:spacing w:val="-1"/>
                <w:sz w:val="21"/>
                <w:szCs w:val="21"/>
              </w:rPr>
              <w:t>相对密度</w:t>
            </w:r>
            <w:r>
              <w:rPr>
                <w:rFonts w:ascii="Times New Roman" w:hAnsi="Times New Roman" w:eastAsia="Times New Roman" w:cs="Times New Roman"/>
                <w:spacing w:val="-1"/>
                <w:sz w:val="21"/>
                <w:szCs w:val="21"/>
              </w:rPr>
              <w:t>(</w:t>
            </w:r>
            <w:r>
              <w:rPr>
                <w:spacing w:val="-1"/>
                <w:sz w:val="21"/>
                <w:szCs w:val="21"/>
              </w:rPr>
              <w:t>空气</w:t>
            </w:r>
            <w:r>
              <w:rPr>
                <w:rFonts w:ascii="Times New Roman" w:hAnsi="Times New Roman" w:eastAsia="Times New Roman" w:cs="Times New Roman"/>
                <w:spacing w:val="-1"/>
                <w:sz w:val="21"/>
                <w:szCs w:val="21"/>
              </w:rPr>
              <w:t>=1)</w:t>
            </w:r>
          </w:p>
        </w:tc>
        <w:tc>
          <w:tcPr>
            <w:tcW w:w="6567" w:type="dxa"/>
            <w:vAlign w:val="top"/>
          </w:tcPr>
          <w:p>
            <w:pPr>
              <w:pStyle w:val="6"/>
              <w:spacing w:before="68" w:line="235" w:lineRule="auto"/>
              <w:ind w:left="2"/>
              <w:rPr>
                <w:sz w:val="21"/>
                <w:szCs w:val="21"/>
              </w:rPr>
            </w:pPr>
            <w:r>
              <w:rPr>
                <w:rFonts w:ascii="Times New Roman" w:hAnsi="Times New Roman" w:eastAsia="Times New Roman" w:cs="Times New Roman"/>
                <w:spacing w:val="-1"/>
                <w:sz w:val="21"/>
                <w:szCs w:val="21"/>
              </w:rPr>
              <w:t>2.26</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8" w:line="213" w:lineRule="auto"/>
              <w:ind w:left="24"/>
              <w:rPr>
                <w:rFonts w:ascii="Times New Roman" w:hAnsi="Times New Roman" w:eastAsia="Times New Roman" w:cs="Times New Roman"/>
                <w:sz w:val="21"/>
                <w:szCs w:val="21"/>
              </w:rPr>
            </w:pPr>
            <w:r>
              <w:rPr>
                <w:spacing w:val="-3"/>
                <w:sz w:val="21"/>
                <w:szCs w:val="21"/>
              </w:rPr>
              <w:t>临界温度</w:t>
            </w:r>
            <w:r>
              <w:rPr>
                <w:rFonts w:ascii="Times New Roman" w:hAnsi="Times New Roman" w:eastAsia="Times New Roman" w:cs="Times New Roman"/>
                <w:spacing w:val="-3"/>
                <w:sz w:val="21"/>
                <w:szCs w:val="21"/>
              </w:rPr>
              <w:t>(℃)</w:t>
            </w:r>
          </w:p>
        </w:tc>
        <w:tc>
          <w:tcPr>
            <w:tcW w:w="6567" w:type="dxa"/>
            <w:vAlign w:val="top"/>
          </w:tcPr>
          <w:p>
            <w:pPr>
              <w:spacing w:before="106" w:line="187" w:lineRule="auto"/>
              <w:ind w:left="2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8" w:type="dxa"/>
            <w:vAlign w:val="top"/>
          </w:tcPr>
          <w:p>
            <w:pPr>
              <w:pStyle w:val="6"/>
              <w:spacing w:before="68" w:line="214" w:lineRule="auto"/>
              <w:ind w:left="24"/>
              <w:rPr>
                <w:rFonts w:ascii="Times New Roman" w:hAnsi="Times New Roman" w:eastAsia="Times New Roman" w:cs="Times New Roman"/>
                <w:sz w:val="21"/>
                <w:szCs w:val="21"/>
              </w:rPr>
            </w:pPr>
            <w:r>
              <w:rPr>
                <w:spacing w:val="-2"/>
                <w:sz w:val="21"/>
                <w:szCs w:val="21"/>
              </w:rPr>
              <w:t>临界压力</w:t>
            </w:r>
            <w:r>
              <w:rPr>
                <w:rFonts w:ascii="Times New Roman" w:hAnsi="Times New Roman" w:eastAsia="Times New Roman" w:cs="Times New Roman"/>
                <w:spacing w:val="-2"/>
                <w:sz w:val="21"/>
                <w:szCs w:val="21"/>
              </w:rPr>
              <w:t>(MPa)</w:t>
            </w:r>
          </w:p>
        </w:tc>
        <w:tc>
          <w:tcPr>
            <w:tcW w:w="6567" w:type="dxa"/>
            <w:vAlign w:val="top"/>
          </w:tcPr>
          <w:p>
            <w:pPr>
              <w:spacing w:before="106" w:line="187" w:lineRule="auto"/>
              <w:ind w:left="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8" w:type="dxa"/>
            <w:vAlign w:val="top"/>
          </w:tcPr>
          <w:p>
            <w:pPr>
              <w:pStyle w:val="6"/>
              <w:spacing w:before="69" w:line="221" w:lineRule="auto"/>
              <w:ind w:left="15"/>
              <w:rPr>
                <w:sz w:val="21"/>
                <w:szCs w:val="21"/>
              </w:rPr>
            </w:pPr>
            <w:r>
              <w:rPr>
                <w:spacing w:val="-2"/>
                <w:sz w:val="21"/>
                <w:szCs w:val="21"/>
              </w:rPr>
              <w:t>溶解性</w:t>
            </w:r>
          </w:p>
        </w:tc>
        <w:tc>
          <w:tcPr>
            <w:tcW w:w="6567" w:type="dxa"/>
            <w:vAlign w:val="top"/>
          </w:tcPr>
          <w:p>
            <w:pPr>
              <w:pStyle w:val="6"/>
              <w:spacing w:before="68" w:line="221" w:lineRule="auto"/>
              <w:ind w:left="8"/>
              <w:rPr>
                <w:sz w:val="21"/>
                <w:szCs w:val="21"/>
              </w:rPr>
            </w:pPr>
            <w:r>
              <w:rPr>
                <w:spacing w:val="-5"/>
                <w:sz w:val="21"/>
                <w:szCs w:val="21"/>
              </w:rPr>
              <w:t>溶于水、乙醇。</w:t>
            </w:r>
          </w:p>
        </w:tc>
      </w:tr>
    </w:tbl>
    <w:p>
      <w:pPr>
        <w:pStyle w:val="2"/>
        <w:rPr>
          <w:sz w:val="21"/>
        </w:rPr>
      </w:pPr>
    </w:p>
    <w:p>
      <w:pPr>
        <w:rPr>
          <w:sz w:val="21"/>
          <w:szCs w:val="21"/>
        </w:rPr>
        <w:sectPr>
          <w:headerReference r:id="rId234" w:type="default"/>
          <w:footerReference r:id="rId235" w:type="default"/>
          <w:pgSz w:w="11907" w:h="16839"/>
          <w:pgMar w:top="1123" w:right="1766" w:bottom="1149" w:left="1769" w:header="1108" w:footer="988" w:gutter="0"/>
          <w:cols w:space="720" w:num="1"/>
        </w:sectPr>
      </w:pPr>
    </w:p>
    <w:p>
      <w:pPr>
        <w:spacing w:before="75"/>
      </w:pPr>
    </w:p>
    <w:tbl>
      <w:tblPr>
        <w:tblStyle w:val="5"/>
        <w:tblW w:w="8326"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6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67" w:type="dxa"/>
            <w:vAlign w:val="top"/>
          </w:tcPr>
          <w:p>
            <w:pPr>
              <w:pStyle w:val="6"/>
              <w:spacing w:before="67" w:line="221" w:lineRule="auto"/>
              <w:ind w:left="14"/>
              <w:rPr>
                <w:sz w:val="21"/>
                <w:szCs w:val="21"/>
              </w:rPr>
            </w:pPr>
            <w:r>
              <w:rPr>
                <w:spacing w:val="-2"/>
                <w:sz w:val="21"/>
                <w:szCs w:val="21"/>
              </w:rPr>
              <w:t>主要来源</w:t>
            </w:r>
          </w:p>
        </w:tc>
        <w:tc>
          <w:tcPr>
            <w:tcW w:w="6559" w:type="dxa"/>
            <w:vAlign w:val="top"/>
          </w:tcPr>
          <w:p>
            <w:pPr>
              <w:pStyle w:val="6"/>
              <w:spacing w:before="67" w:line="220" w:lineRule="auto"/>
              <w:ind w:left="7"/>
              <w:rPr>
                <w:sz w:val="21"/>
                <w:szCs w:val="21"/>
              </w:rPr>
            </w:pPr>
            <w:r>
              <w:rPr>
                <w:spacing w:val="-3"/>
                <w:sz w:val="21"/>
                <w:szCs w:val="21"/>
              </w:rPr>
              <w:t>锅炉燃烧产生。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6" w:type="dxa"/>
            <w:gridSpan w:val="2"/>
            <w:vAlign w:val="top"/>
          </w:tcPr>
          <w:p>
            <w:pPr>
              <w:pStyle w:val="6"/>
              <w:spacing w:before="64" w:line="221" w:lineRule="auto"/>
              <w:ind w:left="13"/>
              <w:rPr>
                <w:sz w:val="21"/>
                <w:szCs w:val="21"/>
              </w:rPr>
            </w:pPr>
            <w:r>
              <w:rPr>
                <w:sz w:val="21"/>
                <w:szCs w:val="21"/>
                <w14:textOutline w14:w="3831" w14:cap="flat" w14:cmpd="sng">
                  <w14:solidFill>
                    <w14:srgbClr w14:val="000000"/>
                  </w14:solidFill>
                  <w14:prstDash w14:val="solid"/>
                  <w14:miter w14:val="10"/>
                </w14:textOutline>
              </w:rPr>
              <w:t>十、稳定性和反应性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7" w:type="dxa"/>
            <w:vAlign w:val="top"/>
          </w:tcPr>
          <w:p>
            <w:pPr>
              <w:pStyle w:val="6"/>
              <w:spacing w:before="64" w:line="221" w:lineRule="auto"/>
              <w:ind w:left="12"/>
              <w:rPr>
                <w:sz w:val="21"/>
                <w:szCs w:val="21"/>
              </w:rPr>
            </w:pPr>
            <w:r>
              <w:rPr>
                <w:spacing w:val="-2"/>
                <w:sz w:val="21"/>
                <w:szCs w:val="21"/>
              </w:rPr>
              <w:t>禁忌物</w:t>
            </w:r>
          </w:p>
        </w:tc>
        <w:tc>
          <w:tcPr>
            <w:tcW w:w="6559" w:type="dxa"/>
            <w:vAlign w:val="top"/>
          </w:tcPr>
          <w:p>
            <w:pPr>
              <w:pStyle w:val="6"/>
              <w:spacing w:before="65" w:line="220" w:lineRule="auto"/>
              <w:ind w:left="12"/>
              <w:rPr>
                <w:sz w:val="21"/>
                <w:szCs w:val="21"/>
              </w:rPr>
            </w:pPr>
            <w:r>
              <w:rPr>
                <w:spacing w:val="-1"/>
                <w:sz w:val="21"/>
                <w:szCs w:val="21"/>
              </w:rPr>
              <w:t>强还原剂、强氧化剂、易燃或可燃物。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326" w:type="dxa"/>
            <w:gridSpan w:val="2"/>
            <w:vAlign w:val="top"/>
          </w:tcPr>
          <w:p>
            <w:pPr>
              <w:pStyle w:val="6"/>
              <w:spacing w:before="65" w:line="221" w:lineRule="auto"/>
              <w:ind w:left="13"/>
              <w:rPr>
                <w:sz w:val="21"/>
                <w:szCs w:val="21"/>
              </w:rPr>
            </w:pPr>
            <w:r>
              <w:rPr>
                <w:spacing w:val="-1"/>
                <w:sz w:val="21"/>
                <w:szCs w:val="21"/>
                <w14:textOutline w14:w="3831" w14:cap="flat" w14:cmpd="sng">
                  <w14:solidFill>
                    <w14:srgbClr w14:val="000000"/>
                  </w14:solidFill>
                  <w14:prstDash w14:val="solid"/>
                  <w14:miter w14:val="10"/>
                </w14:textOutline>
              </w:rPr>
              <w:t>十一、毒理学资料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767" w:type="dxa"/>
            <w:vAlign w:val="top"/>
          </w:tcPr>
          <w:p>
            <w:pPr>
              <w:pStyle w:val="6"/>
              <w:spacing w:before="80" w:line="221" w:lineRule="auto"/>
              <w:ind w:left="19"/>
              <w:rPr>
                <w:sz w:val="21"/>
                <w:szCs w:val="21"/>
              </w:rPr>
            </w:pPr>
            <w:r>
              <w:rPr>
                <w:spacing w:val="-3"/>
                <w:sz w:val="21"/>
                <w:szCs w:val="21"/>
              </w:rPr>
              <w:t>急性毒性</w:t>
            </w:r>
          </w:p>
        </w:tc>
        <w:tc>
          <w:tcPr>
            <w:tcW w:w="6559" w:type="dxa"/>
            <w:vAlign w:val="top"/>
          </w:tcPr>
          <w:p>
            <w:pPr>
              <w:pStyle w:val="6"/>
              <w:spacing w:before="57" w:line="193" w:lineRule="auto"/>
              <w:ind w:left="3"/>
              <w:rPr>
                <w:sz w:val="21"/>
                <w:szCs w:val="21"/>
              </w:rPr>
            </w:pPr>
            <w:r>
              <w:rPr>
                <w:rFonts w:ascii="Times New Roman" w:hAnsi="Times New Roman" w:eastAsia="Times New Roman" w:cs="Times New Roman"/>
                <w:spacing w:val="-3"/>
                <w:sz w:val="21"/>
                <w:szCs w:val="21"/>
              </w:rPr>
              <w:t>LD50</w:t>
            </w:r>
            <w:r>
              <w:rPr>
                <w:spacing w:val="-3"/>
                <w:sz w:val="21"/>
                <w:szCs w:val="21"/>
              </w:rPr>
              <w:t>：无资料，</w:t>
            </w:r>
            <w:r>
              <w:rPr>
                <w:spacing w:val="-27"/>
                <w:sz w:val="21"/>
                <w:szCs w:val="21"/>
              </w:rPr>
              <w:t xml:space="preserve"> </w:t>
            </w:r>
            <w:r>
              <w:rPr>
                <w:rFonts w:ascii="Times New Roman" w:hAnsi="Times New Roman" w:eastAsia="Times New Roman" w:cs="Times New Roman"/>
                <w:spacing w:val="-3"/>
                <w:sz w:val="21"/>
                <w:szCs w:val="21"/>
              </w:rPr>
              <w:t>LC50</w:t>
            </w:r>
            <w:r>
              <w:rPr>
                <w:spacing w:val="-3"/>
                <w:sz w:val="21"/>
                <w:szCs w:val="21"/>
              </w:rPr>
              <w:t>：</w:t>
            </w:r>
            <w:r>
              <w:rPr>
                <w:rFonts w:ascii="Times New Roman" w:hAnsi="Times New Roman" w:eastAsia="Times New Roman" w:cs="Times New Roman"/>
                <w:spacing w:val="-3"/>
                <w:sz w:val="21"/>
                <w:szCs w:val="21"/>
              </w:rPr>
              <w:t>6600mg/m</w:t>
            </w:r>
            <w:r>
              <w:rPr>
                <w:rFonts w:ascii="Times New Roman" w:hAnsi="Times New Roman" w:eastAsia="Times New Roman" w:cs="Times New Roman"/>
                <w:spacing w:val="-3"/>
                <w:position w:val="10"/>
                <w:sz w:val="21"/>
                <w:szCs w:val="21"/>
              </w:rPr>
              <w:t>3</w:t>
            </w:r>
            <w:r>
              <w:rPr>
                <w:rFonts w:ascii="Times New Roman" w:hAnsi="Times New Roman" w:eastAsia="Times New Roman" w:cs="Times New Roman"/>
                <w:spacing w:val="-27"/>
                <w:position w:val="10"/>
                <w:sz w:val="21"/>
                <w:szCs w:val="21"/>
              </w:rPr>
              <w:t xml:space="preserve"> </w:t>
            </w:r>
            <w:r>
              <w:rPr>
                <w:spacing w:val="-3"/>
                <w:sz w:val="21"/>
                <w:szCs w:val="21"/>
              </w:rPr>
              <w:t>，</w:t>
            </w:r>
            <w:r>
              <w:rPr>
                <w:rFonts w:ascii="Times New Roman" w:hAnsi="Times New Roman" w:eastAsia="Times New Roman" w:cs="Times New Roman"/>
                <w:spacing w:val="-3"/>
                <w:sz w:val="21"/>
                <w:szCs w:val="21"/>
              </w:rPr>
              <w:t xml:space="preserve">1  </w:t>
            </w:r>
            <w:r>
              <w:rPr>
                <w:spacing w:val="-3"/>
                <w:sz w:val="21"/>
                <w:szCs w:val="21"/>
              </w:rPr>
              <w:t>小时</w:t>
            </w:r>
            <w:r>
              <w:rPr>
                <w:rFonts w:ascii="Times New Roman" w:hAnsi="Times New Roman" w:eastAsia="Times New Roman" w:cs="Times New Roman"/>
                <w:spacing w:val="-3"/>
                <w:sz w:val="21"/>
                <w:szCs w:val="21"/>
              </w:rPr>
              <w:t>(</w:t>
            </w:r>
            <w:r>
              <w:rPr>
                <w:spacing w:val="-3"/>
                <w:sz w:val="21"/>
                <w:szCs w:val="21"/>
              </w:rPr>
              <w:t>大鼠吸</w:t>
            </w:r>
            <w:r>
              <w:rPr>
                <w:spacing w:val="-4"/>
                <w:sz w:val="21"/>
                <w:szCs w:val="21"/>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67" w:type="dxa"/>
            <w:vAlign w:val="top"/>
          </w:tcPr>
          <w:p>
            <w:pPr>
              <w:pStyle w:val="6"/>
              <w:spacing w:before="69" w:line="221" w:lineRule="auto"/>
              <w:ind w:left="11"/>
              <w:rPr>
                <w:sz w:val="21"/>
                <w:szCs w:val="21"/>
              </w:rPr>
            </w:pPr>
            <w:r>
              <w:rPr>
                <w:spacing w:val="-1"/>
                <w:sz w:val="21"/>
                <w:szCs w:val="21"/>
              </w:rPr>
              <w:t>刺激性</w:t>
            </w:r>
          </w:p>
        </w:tc>
        <w:tc>
          <w:tcPr>
            <w:tcW w:w="6559" w:type="dxa"/>
            <w:vAlign w:val="top"/>
          </w:tcPr>
          <w:p>
            <w:pPr>
              <w:pStyle w:val="6"/>
              <w:spacing w:before="69" w:line="214" w:lineRule="auto"/>
              <w:ind w:left="9"/>
              <w:rPr>
                <w:sz w:val="21"/>
                <w:szCs w:val="21"/>
              </w:rPr>
            </w:pPr>
            <w:r>
              <w:rPr>
                <w:spacing w:val="-7"/>
                <w:sz w:val="21"/>
                <w:szCs w:val="21"/>
              </w:rPr>
              <w:t xml:space="preserve">家兔经眼： </w:t>
            </w:r>
            <w:r>
              <w:rPr>
                <w:rFonts w:ascii="Times New Roman" w:hAnsi="Times New Roman" w:eastAsia="Times New Roman" w:cs="Times New Roman"/>
                <w:spacing w:val="-7"/>
                <w:sz w:val="21"/>
                <w:szCs w:val="21"/>
              </w:rPr>
              <w:t xml:space="preserve">6ppm/4  </w:t>
            </w:r>
            <w:r>
              <w:rPr>
                <w:spacing w:val="-7"/>
                <w:sz w:val="21"/>
                <w:szCs w:val="21"/>
              </w:rPr>
              <w:t>小时</w:t>
            </w:r>
            <w:r>
              <w:rPr>
                <w:rFonts w:ascii="Times New Roman" w:hAnsi="Times New Roman" w:eastAsia="Times New Roman" w:cs="Times New Roman"/>
                <w:spacing w:val="-7"/>
                <w:sz w:val="21"/>
                <w:szCs w:val="21"/>
              </w:rPr>
              <w:t xml:space="preserve">/32  </w:t>
            </w:r>
            <w:r>
              <w:rPr>
                <w:spacing w:val="-7"/>
                <w:sz w:val="21"/>
                <w:szCs w:val="21"/>
              </w:rPr>
              <w:t>天，</w:t>
            </w:r>
            <w:r>
              <w:rPr>
                <w:spacing w:val="-20"/>
                <w:sz w:val="21"/>
                <w:szCs w:val="21"/>
              </w:rPr>
              <w:t xml:space="preserve"> </w:t>
            </w:r>
            <w:r>
              <w:rPr>
                <w:spacing w:val="-7"/>
                <w:sz w:val="21"/>
                <w:szCs w:val="21"/>
              </w:rPr>
              <w:t>轻度刺激。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6" w:type="dxa"/>
            <w:gridSpan w:val="2"/>
            <w:vAlign w:val="top"/>
          </w:tcPr>
          <w:p>
            <w:pPr>
              <w:pStyle w:val="6"/>
              <w:spacing w:before="68" w:line="221" w:lineRule="auto"/>
              <w:ind w:left="13"/>
              <w:rPr>
                <w:sz w:val="21"/>
                <w:szCs w:val="21"/>
              </w:rPr>
            </w:pPr>
            <w:r>
              <w:rPr>
                <w:sz w:val="21"/>
                <w:szCs w:val="21"/>
                <w14:textOutline w14:w="3831" w14:cap="flat" w14:cmpd="sng">
                  <w14:solidFill>
                    <w14:srgbClr w14:val="000000"/>
                  </w14:solidFill>
                  <w14:prstDash w14:val="solid"/>
                  <w14:miter w14:val="10"/>
                </w14:textOutline>
              </w:rPr>
              <w:t>十二、生态学资料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vAlign w:val="top"/>
          </w:tcPr>
          <w:p>
            <w:pPr>
              <w:pStyle w:val="6"/>
              <w:spacing w:before="68" w:line="221" w:lineRule="auto"/>
              <w:ind w:left="13"/>
              <w:rPr>
                <w:sz w:val="21"/>
                <w:szCs w:val="21"/>
              </w:rPr>
            </w:pPr>
            <w:r>
              <w:rPr>
                <w:spacing w:val="-1"/>
                <w:sz w:val="21"/>
                <w:szCs w:val="21"/>
              </w:rPr>
              <w:t>其他有害作用</w:t>
            </w:r>
          </w:p>
        </w:tc>
        <w:tc>
          <w:tcPr>
            <w:tcW w:w="6559" w:type="dxa"/>
            <w:vAlign w:val="top"/>
          </w:tcPr>
          <w:p>
            <w:pPr>
              <w:pStyle w:val="6"/>
              <w:spacing w:before="68" w:line="221" w:lineRule="auto"/>
              <w:ind w:left="10"/>
              <w:rPr>
                <w:sz w:val="21"/>
                <w:szCs w:val="21"/>
              </w:rPr>
            </w:pPr>
            <w:r>
              <w:rPr>
                <w:spacing w:val="-3"/>
                <w:sz w:val="21"/>
                <w:szCs w:val="21"/>
              </w:rPr>
              <w:t>该物质对大气造成污染。</w:t>
            </w:r>
          </w:p>
        </w:tc>
      </w:tr>
    </w:tbl>
    <w:p>
      <w:pPr>
        <w:spacing w:before="178"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）柴油危险性分析</w:t>
      </w:r>
    </w:p>
    <w:p>
      <w:pPr>
        <w:spacing w:before="193" w:line="480" w:lineRule="exact"/>
        <w:ind w:left="602"/>
        <w:rPr>
          <w:rFonts w:ascii="宋体" w:hAnsi="宋体" w:eastAsia="宋体" w:cs="宋体"/>
          <w:sz w:val="24"/>
          <w:szCs w:val="24"/>
        </w:rPr>
      </w:pPr>
      <w:r>
        <w:rPr>
          <w:rFonts w:ascii="宋体" w:hAnsi="宋体" w:eastAsia="宋体" w:cs="宋体"/>
          <w:spacing w:val="-10"/>
          <w:position w:val="18"/>
          <w:sz w:val="24"/>
          <w:szCs w:val="24"/>
        </w:rPr>
        <w:t>钻井及井下作业过程中备用柴油发电机使用柴油， 柴油具有可燃性， 其特性</w:t>
      </w:r>
    </w:p>
    <w:p>
      <w:pPr>
        <w:spacing w:line="219" w:lineRule="auto"/>
        <w:ind w:left="126"/>
        <w:rPr>
          <w:rFonts w:ascii="宋体" w:hAnsi="宋体" w:eastAsia="宋体" w:cs="宋体"/>
          <w:sz w:val="24"/>
          <w:szCs w:val="24"/>
        </w:rPr>
      </w:pPr>
      <w:r>
        <w:rPr>
          <w:rFonts w:ascii="宋体" w:hAnsi="宋体" w:eastAsia="宋体" w:cs="宋体"/>
          <w:spacing w:val="-2"/>
          <w:sz w:val="24"/>
          <w:szCs w:val="24"/>
        </w:rPr>
        <w:t>见下表</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4.1-6</w:t>
      </w:r>
      <w:r>
        <w:rPr>
          <w:rFonts w:ascii="宋体" w:hAnsi="宋体" w:eastAsia="宋体" w:cs="宋体"/>
          <w:spacing w:val="-2"/>
          <w:sz w:val="24"/>
          <w:szCs w:val="24"/>
        </w:rPr>
        <w:t>。</w:t>
      </w:r>
    </w:p>
    <w:p>
      <w:pPr>
        <w:spacing w:before="194" w:line="220" w:lineRule="auto"/>
        <w:ind w:left="2189"/>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4"/>
          <w:sz w:val="24"/>
          <w:szCs w:val="24"/>
        </w:rPr>
        <w:t xml:space="preserve"> </w:t>
      </w:r>
      <w:r>
        <w:rPr>
          <w:rFonts w:ascii="Times New Roman" w:hAnsi="Times New Roman" w:eastAsia="Times New Roman" w:cs="Times New Roman"/>
          <w:b/>
          <w:bCs/>
          <w:spacing w:val="-1"/>
          <w:sz w:val="24"/>
          <w:szCs w:val="24"/>
        </w:rPr>
        <w:t xml:space="preserve">4.1-6    </w:t>
      </w:r>
      <w:r>
        <w:rPr>
          <w:rFonts w:ascii="宋体" w:hAnsi="宋体" w:eastAsia="宋体" w:cs="宋体"/>
          <w:spacing w:val="-1"/>
          <w:sz w:val="24"/>
          <w:szCs w:val="24"/>
          <w14:textOutline w14:w="4354" w14:cap="flat" w14:cmpd="sng">
            <w14:solidFill>
              <w14:srgbClr w14:val="000000"/>
            </w14:solidFill>
            <w14:prstDash w14:val="solid"/>
            <w14:miter w14:val="10"/>
          </w14:textOutline>
        </w:rPr>
        <w:t>柴油的理化性质及危险特性表</w:t>
      </w:r>
    </w:p>
    <w:p>
      <w:pPr>
        <w:spacing w:line="1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87"/>
        <w:gridCol w:w="1752"/>
        <w:gridCol w:w="998"/>
        <w:gridCol w:w="456"/>
        <w:gridCol w:w="1233"/>
        <w:gridCol w:w="1492"/>
        <w:gridCol w:w="9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647" w:type="dxa"/>
            <w:gridSpan w:val="2"/>
            <w:vAlign w:val="top"/>
          </w:tcPr>
          <w:p>
            <w:pPr>
              <w:pStyle w:val="6"/>
              <w:spacing w:before="68" w:line="221" w:lineRule="auto"/>
              <w:ind w:left="534"/>
              <w:rPr>
                <w:sz w:val="21"/>
                <w:szCs w:val="21"/>
              </w:rPr>
            </w:pPr>
            <w:r>
              <w:rPr>
                <w:spacing w:val="-6"/>
                <w:sz w:val="21"/>
                <w:szCs w:val="21"/>
              </w:rPr>
              <w:t>中文名</w:t>
            </w:r>
          </w:p>
        </w:tc>
        <w:tc>
          <w:tcPr>
            <w:tcW w:w="3206" w:type="dxa"/>
            <w:gridSpan w:val="3"/>
            <w:vAlign w:val="top"/>
          </w:tcPr>
          <w:p>
            <w:pPr>
              <w:pStyle w:val="6"/>
              <w:spacing w:before="68" w:line="221" w:lineRule="auto"/>
              <w:ind w:left="1397"/>
              <w:rPr>
                <w:sz w:val="21"/>
                <w:szCs w:val="21"/>
              </w:rPr>
            </w:pPr>
            <w:r>
              <w:rPr>
                <w:spacing w:val="-2"/>
                <w:sz w:val="21"/>
                <w:szCs w:val="21"/>
              </w:rPr>
              <w:t>柴油</w:t>
            </w:r>
          </w:p>
        </w:tc>
        <w:tc>
          <w:tcPr>
            <w:tcW w:w="1233" w:type="dxa"/>
            <w:vAlign w:val="top"/>
          </w:tcPr>
          <w:p>
            <w:pPr>
              <w:pStyle w:val="6"/>
              <w:spacing w:before="68" w:line="221" w:lineRule="auto"/>
              <w:ind w:left="307"/>
              <w:rPr>
                <w:sz w:val="21"/>
                <w:szCs w:val="21"/>
              </w:rPr>
            </w:pPr>
            <w:r>
              <w:rPr>
                <w:spacing w:val="-2"/>
                <w:sz w:val="21"/>
                <w:szCs w:val="21"/>
              </w:rPr>
              <w:t>英文名</w:t>
            </w:r>
          </w:p>
        </w:tc>
        <w:tc>
          <w:tcPr>
            <w:tcW w:w="2447" w:type="dxa"/>
            <w:gridSpan w:val="2"/>
            <w:vAlign w:val="top"/>
          </w:tcPr>
          <w:p>
            <w:pPr>
              <w:spacing w:before="103" w:line="233" w:lineRule="auto"/>
              <w:ind w:left="8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Diesel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restart"/>
            <w:tcBorders>
              <w:bottom w:val="nil"/>
            </w:tcBorders>
            <w:textDirection w:val="tbRlV"/>
            <w:vAlign w:val="top"/>
          </w:tcPr>
          <w:p>
            <w:pPr>
              <w:pStyle w:val="6"/>
              <w:spacing w:before="121" w:line="209" w:lineRule="auto"/>
              <w:ind w:left="209"/>
              <w:rPr>
                <w:sz w:val="21"/>
                <w:szCs w:val="21"/>
              </w:rPr>
            </w:pPr>
            <w:r>
              <w:rPr>
                <w:spacing w:val="46"/>
                <w:sz w:val="21"/>
                <w:szCs w:val="21"/>
              </w:rPr>
              <w:t>理化性质</w:t>
            </w:r>
          </w:p>
        </w:tc>
        <w:tc>
          <w:tcPr>
            <w:tcW w:w="1187" w:type="dxa"/>
            <w:vAlign w:val="top"/>
          </w:tcPr>
          <w:p>
            <w:pPr>
              <w:pStyle w:val="6"/>
              <w:spacing w:before="63" w:line="221" w:lineRule="auto"/>
              <w:ind w:left="284"/>
              <w:rPr>
                <w:sz w:val="21"/>
                <w:szCs w:val="21"/>
              </w:rPr>
            </w:pPr>
            <w:r>
              <w:rPr>
                <w:spacing w:val="-2"/>
                <w:sz w:val="21"/>
                <w:szCs w:val="21"/>
              </w:rPr>
              <w:t>溶解性</w:t>
            </w:r>
          </w:p>
        </w:tc>
        <w:tc>
          <w:tcPr>
            <w:tcW w:w="3206" w:type="dxa"/>
            <w:gridSpan w:val="3"/>
            <w:vAlign w:val="top"/>
          </w:tcPr>
          <w:p>
            <w:pPr>
              <w:pStyle w:val="6"/>
              <w:spacing w:before="62" w:line="221" w:lineRule="auto"/>
              <w:ind w:left="455"/>
              <w:rPr>
                <w:sz w:val="21"/>
                <w:szCs w:val="21"/>
              </w:rPr>
            </w:pPr>
            <w:r>
              <w:rPr>
                <w:spacing w:val="-9"/>
                <w:sz w:val="21"/>
                <w:szCs w:val="21"/>
              </w:rPr>
              <w:t>与水混溶，</w:t>
            </w:r>
            <w:r>
              <w:rPr>
                <w:spacing w:val="-16"/>
                <w:sz w:val="21"/>
                <w:szCs w:val="21"/>
              </w:rPr>
              <w:t xml:space="preserve"> </w:t>
            </w:r>
            <w:r>
              <w:rPr>
                <w:spacing w:val="-9"/>
                <w:sz w:val="21"/>
                <w:szCs w:val="21"/>
              </w:rPr>
              <w:t>可混溶于乙醇</w:t>
            </w:r>
          </w:p>
        </w:tc>
        <w:tc>
          <w:tcPr>
            <w:tcW w:w="1233" w:type="dxa"/>
            <w:vAlign w:val="top"/>
          </w:tcPr>
          <w:p>
            <w:pPr>
              <w:pStyle w:val="6"/>
              <w:spacing w:before="63" w:line="221" w:lineRule="auto"/>
              <w:ind w:left="416"/>
              <w:rPr>
                <w:sz w:val="21"/>
                <w:szCs w:val="21"/>
              </w:rPr>
            </w:pPr>
            <w:r>
              <w:rPr>
                <w:spacing w:val="-3"/>
                <w:sz w:val="21"/>
                <w:szCs w:val="21"/>
              </w:rPr>
              <w:t>外观</w:t>
            </w:r>
          </w:p>
        </w:tc>
        <w:tc>
          <w:tcPr>
            <w:tcW w:w="2447" w:type="dxa"/>
            <w:gridSpan w:val="2"/>
            <w:vAlign w:val="top"/>
          </w:tcPr>
          <w:p>
            <w:pPr>
              <w:pStyle w:val="6"/>
              <w:spacing w:before="62" w:line="221" w:lineRule="auto"/>
              <w:ind w:left="178"/>
              <w:rPr>
                <w:sz w:val="21"/>
                <w:szCs w:val="21"/>
              </w:rPr>
            </w:pPr>
            <w:r>
              <w:rPr>
                <w:spacing w:val="-1"/>
                <w:sz w:val="21"/>
                <w:szCs w:val="21"/>
              </w:rPr>
              <w:t>稍有黏性的棕色液体。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textDirection w:val="tbRlV"/>
            <w:vAlign w:val="top"/>
          </w:tcPr>
          <w:p>
            <w:pPr>
              <w:rPr>
                <w:rFonts w:ascii="Arial"/>
                <w:sz w:val="21"/>
              </w:rPr>
            </w:pPr>
          </w:p>
        </w:tc>
        <w:tc>
          <w:tcPr>
            <w:tcW w:w="1187" w:type="dxa"/>
            <w:vMerge w:val="restart"/>
            <w:tcBorders>
              <w:bottom w:val="nil"/>
            </w:tcBorders>
            <w:vAlign w:val="top"/>
          </w:tcPr>
          <w:p>
            <w:pPr>
              <w:pStyle w:val="6"/>
              <w:spacing w:before="305" w:line="241" w:lineRule="auto"/>
              <w:ind w:left="390"/>
              <w:rPr>
                <w:sz w:val="21"/>
                <w:szCs w:val="21"/>
              </w:rPr>
            </w:pPr>
            <w:r>
              <w:rPr>
                <w:spacing w:val="-3"/>
                <w:sz w:val="21"/>
                <w:szCs w:val="21"/>
              </w:rPr>
              <w:t>性能</w:t>
            </w:r>
          </w:p>
          <w:p>
            <w:pPr>
              <w:pStyle w:val="6"/>
              <w:spacing w:line="220" w:lineRule="auto"/>
              <w:ind w:left="389"/>
              <w:rPr>
                <w:sz w:val="21"/>
                <w:szCs w:val="21"/>
              </w:rPr>
            </w:pPr>
            <w:r>
              <w:rPr>
                <w:spacing w:val="-2"/>
                <w:sz w:val="21"/>
                <w:szCs w:val="21"/>
              </w:rPr>
              <w:t>参数</w:t>
            </w:r>
          </w:p>
        </w:tc>
        <w:tc>
          <w:tcPr>
            <w:tcW w:w="1752" w:type="dxa"/>
            <w:vAlign w:val="top"/>
          </w:tcPr>
          <w:p>
            <w:pPr>
              <w:pStyle w:val="6"/>
              <w:spacing w:before="167" w:line="213" w:lineRule="auto"/>
              <w:ind w:left="493"/>
              <w:rPr>
                <w:rFonts w:ascii="Times New Roman" w:hAnsi="Times New Roman" w:eastAsia="Times New Roman" w:cs="Times New Roman"/>
                <w:sz w:val="21"/>
                <w:szCs w:val="21"/>
              </w:rPr>
            </w:pPr>
            <w:r>
              <w:rPr>
                <w:spacing w:val="-1"/>
                <w:sz w:val="21"/>
                <w:szCs w:val="21"/>
              </w:rPr>
              <w:t>沸点</w:t>
            </w:r>
            <w:r>
              <w:rPr>
                <w:rFonts w:ascii="Times New Roman" w:hAnsi="Times New Roman" w:eastAsia="Times New Roman" w:cs="Times New Roman"/>
                <w:spacing w:val="-1"/>
                <w:sz w:val="21"/>
                <w:szCs w:val="21"/>
              </w:rPr>
              <w:t>(℃)</w:t>
            </w:r>
          </w:p>
        </w:tc>
        <w:tc>
          <w:tcPr>
            <w:tcW w:w="1454" w:type="dxa"/>
            <w:gridSpan w:val="2"/>
            <w:vAlign w:val="top"/>
          </w:tcPr>
          <w:p>
            <w:pPr>
              <w:spacing w:before="205" w:line="187" w:lineRule="auto"/>
              <w:ind w:left="5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7"/>
                <w:sz w:val="21"/>
                <w:szCs w:val="21"/>
              </w:rPr>
              <w:t>18</w:t>
            </w:r>
          </w:p>
        </w:tc>
        <w:tc>
          <w:tcPr>
            <w:tcW w:w="1233" w:type="dxa"/>
            <w:vAlign w:val="top"/>
          </w:tcPr>
          <w:p>
            <w:pPr>
              <w:pStyle w:val="6"/>
              <w:spacing w:before="29" w:line="224" w:lineRule="auto"/>
              <w:ind w:left="518" w:right="190" w:hanging="316"/>
              <w:rPr>
                <w:sz w:val="21"/>
                <w:szCs w:val="21"/>
              </w:rPr>
            </w:pPr>
            <w:r>
              <w:rPr>
                <w:spacing w:val="-2"/>
                <w:sz w:val="21"/>
                <w:szCs w:val="21"/>
              </w:rPr>
              <w:t>饱和蒸汽</w:t>
            </w:r>
            <w:r>
              <w:rPr>
                <w:spacing w:val="2"/>
                <w:sz w:val="21"/>
                <w:szCs w:val="21"/>
              </w:rPr>
              <w:t xml:space="preserve"> </w:t>
            </w:r>
            <w:r>
              <w:rPr>
                <w:sz w:val="21"/>
                <w:szCs w:val="21"/>
              </w:rPr>
              <w:t>压</w:t>
            </w:r>
          </w:p>
        </w:tc>
        <w:tc>
          <w:tcPr>
            <w:tcW w:w="2447" w:type="dxa"/>
            <w:gridSpan w:val="2"/>
            <w:vAlign w:val="top"/>
          </w:tcPr>
          <w:p>
            <w:pPr>
              <w:spacing w:before="201" w:line="191" w:lineRule="auto"/>
              <w:ind w:left="8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0.67kPa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tcBorders>
            <w:textDirection w:val="tbRlV"/>
            <w:vAlign w:val="top"/>
          </w:tcPr>
          <w:p>
            <w:pPr>
              <w:rPr>
                <w:rFonts w:ascii="Arial"/>
                <w:sz w:val="21"/>
              </w:rPr>
            </w:pPr>
          </w:p>
        </w:tc>
        <w:tc>
          <w:tcPr>
            <w:tcW w:w="1187" w:type="dxa"/>
            <w:vMerge w:val="continue"/>
            <w:tcBorders>
              <w:top w:val="nil"/>
            </w:tcBorders>
            <w:vAlign w:val="top"/>
          </w:tcPr>
          <w:p>
            <w:pPr>
              <w:rPr>
                <w:rFonts w:ascii="Arial"/>
                <w:sz w:val="21"/>
              </w:rPr>
            </w:pPr>
          </w:p>
        </w:tc>
        <w:tc>
          <w:tcPr>
            <w:tcW w:w="1752" w:type="dxa"/>
            <w:vAlign w:val="top"/>
          </w:tcPr>
          <w:p>
            <w:pPr>
              <w:pStyle w:val="6"/>
              <w:spacing w:before="167" w:line="214" w:lineRule="auto"/>
              <w:ind w:left="172"/>
              <w:rPr>
                <w:rFonts w:ascii="Times New Roman" w:hAnsi="Times New Roman" w:eastAsia="Times New Roman" w:cs="Times New Roman"/>
                <w:sz w:val="21"/>
                <w:szCs w:val="21"/>
              </w:rPr>
            </w:pPr>
            <w:r>
              <w:rPr>
                <w:spacing w:val="-1"/>
                <w:sz w:val="21"/>
                <w:szCs w:val="21"/>
              </w:rPr>
              <w:t>相对密度</w:t>
            </w:r>
            <w:r>
              <w:rPr>
                <w:rFonts w:ascii="Times New Roman" w:hAnsi="Times New Roman" w:eastAsia="Times New Roman" w:cs="Times New Roman"/>
                <w:spacing w:val="-1"/>
                <w:sz w:val="21"/>
                <w:szCs w:val="21"/>
              </w:rPr>
              <w:t>(</w:t>
            </w:r>
            <w:r>
              <w:rPr>
                <w:spacing w:val="-1"/>
                <w:sz w:val="21"/>
                <w:szCs w:val="21"/>
              </w:rPr>
              <w:t>水</w:t>
            </w:r>
            <w:r>
              <w:rPr>
                <w:rFonts w:ascii="Times New Roman" w:hAnsi="Times New Roman" w:eastAsia="Times New Roman" w:cs="Times New Roman"/>
                <w:spacing w:val="-1"/>
                <w:sz w:val="21"/>
                <w:szCs w:val="21"/>
              </w:rPr>
              <w:t>=1)</w:t>
            </w:r>
          </w:p>
        </w:tc>
        <w:tc>
          <w:tcPr>
            <w:tcW w:w="1454" w:type="dxa"/>
            <w:gridSpan w:val="2"/>
            <w:vAlign w:val="top"/>
          </w:tcPr>
          <w:p>
            <w:pPr>
              <w:spacing w:before="20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0.87-0.90</w:t>
            </w:r>
          </w:p>
        </w:tc>
        <w:tc>
          <w:tcPr>
            <w:tcW w:w="1233" w:type="dxa"/>
            <w:vAlign w:val="top"/>
          </w:tcPr>
          <w:p>
            <w:pPr>
              <w:pStyle w:val="6"/>
              <w:spacing w:before="31" w:line="223" w:lineRule="auto"/>
              <w:ind w:left="232" w:right="190" w:hanging="29"/>
              <w:rPr>
                <w:rFonts w:ascii="Times New Roman" w:hAnsi="Times New Roman" w:eastAsia="Times New Roman" w:cs="Times New Roman"/>
                <w:sz w:val="21"/>
                <w:szCs w:val="21"/>
              </w:rPr>
            </w:pPr>
            <w:r>
              <w:rPr>
                <w:spacing w:val="-2"/>
                <w:sz w:val="21"/>
                <w:szCs w:val="21"/>
              </w:rPr>
              <w:t>相对密度</w:t>
            </w:r>
            <w:r>
              <w:rPr>
                <w:spacing w:val="1"/>
                <w:sz w:val="21"/>
                <w:szCs w:val="21"/>
              </w:rPr>
              <w:t xml:space="preserve"> </w:t>
            </w:r>
            <w:r>
              <w:rPr>
                <w:rFonts w:ascii="Times New Roman" w:hAnsi="Times New Roman" w:eastAsia="Times New Roman" w:cs="Times New Roman"/>
                <w:spacing w:val="-2"/>
                <w:sz w:val="21"/>
                <w:szCs w:val="21"/>
              </w:rPr>
              <w:t>(</w:t>
            </w:r>
            <w:r>
              <w:rPr>
                <w:spacing w:val="-2"/>
                <w:sz w:val="21"/>
                <w:szCs w:val="21"/>
              </w:rPr>
              <w:t>空气</w:t>
            </w:r>
            <w:r>
              <w:rPr>
                <w:rFonts w:ascii="Times New Roman" w:hAnsi="Times New Roman" w:eastAsia="Times New Roman" w:cs="Times New Roman"/>
                <w:spacing w:val="-2"/>
                <w:sz w:val="21"/>
                <w:szCs w:val="21"/>
              </w:rPr>
              <w:t>=1)</w:t>
            </w:r>
          </w:p>
        </w:tc>
        <w:tc>
          <w:tcPr>
            <w:tcW w:w="2447" w:type="dxa"/>
            <w:gridSpan w:val="2"/>
            <w:vAlign w:val="top"/>
          </w:tcPr>
          <w:p>
            <w:pPr>
              <w:spacing w:before="205" w:line="187" w:lineRule="auto"/>
              <w:ind w:left="10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restart"/>
            <w:tcBorders>
              <w:bottom w:val="nil"/>
            </w:tcBorders>
            <w:textDirection w:val="tbRlV"/>
            <w:vAlign w:val="top"/>
          </w:tcPr>
          <w:p>
            <w:pPr>
              <w:pStyle w:val="6"/>
              <w:spacing w:before="121" w:line="208" w:lineRule="auto"/>
              <w:ind w:left="657"/>
              <w:rPr>
                <w:sz w:val="21"/>
                <w:szCs w:val="21"/>
              </w:rPr>
            </w:pPr>
            <w:r>
              <w:rPr>
                <w:spacing w:val="18"/>
                <w:w w:val="117"/>
                <w:sz w:val="21"/>
                <w:szCs w:val="21"/>
              </w:rPr>
              <w:t>燃烧爆炸危险性</w:t>
            </w:r>
          </w:p>
        </w:tc>
        <w:tc>
          <w:tcPr>
            <w:tcW w:w="1187" w:type="dxa"/>
            <w:vAlign w:val="top"/>
          </w:tcPr>
          <w:p>
            <w:pPr>
              <w:pStyle w:val="6"/>
              <w:spacing w:before="64" w:line="220" w:lineRule="auto"/>
              <w:ind w:left="283"/>
              <w:rPr>
                <w:sz w:val="21"/>
                <w:szCs w:val="21"/>
              </w:rPr>
            </w:pPr>
            <w:r>
              <w:rPr>
                <w:spacing w:val="-2"/>
                <w:sz w:val="21"/>
                <w:szCs w:val="21"/>
              </w:rPr>
              <w:t>燃烧性</w:t>
            </w:r>
          </w:p>
        </w:tc>
        <w:tc>
          <w:tcPr>
            <w:tcW w:w="1752" w:type="dxa"/>
            <w:vAlign w:val="top"/>
          </w:tcPr>
          <w:p>
            <w:pPr>
              <w:pStyle w:val="6"/>
              <w:spacing w:before="65" w:line="223" w:lineRule="auto"/>
              <w:ind w:left="673"/>
              <w:rPr>
                <w:sz w:val="21"/>
                <w:szCs w:val="21"/>
              </w:rPr>
            </w:pPr>
            <w:r>
              <w:rPr>
                <w:spacing w:val="-3"/>
                <w:sz w:val="21"/>
                <w:szCs w:val="21"/>
              </w:rPr>
              <w:t>不燃</w:t>
            </w:r>
          </w:p>
        </w:tc>
        <w:tc>
          <w:tcPr>
            <w:tcW w:w="998" w:type="dxa"/>
            <w:vAlign w:val="top"/>
          </w:tcPr>
          <w:p>
            <w:pPr>
              <w:pStyle w:val="6"/>
              <w:spacing w:before="64" w:line="213" w:lineRule="auto"/>
              <w:ind w:left="132"/>
              <w:rPr>
                <w:rFonts w:ascii="Times New Roman" w:hAnsi="Times New Roman" w:eastAsia="Times New Roman" w:cs="Times New Roman"/>
                <w:sz w:val="21"/>
                <w:szCs w:val="21"/>
              </w:rPr>
            </w:pPr>
            <w:r>
              <w:rPr>
                <w:spacing w:val="-5"/>
                <w:sz w:val="21"/>
                <w:szCs w:val="21"/>
              </w:rPr>
              <w:t>闪点</w:t>
            </w:r>
            <w:r>
              <w:rPr>
                <w:rFonts w:ascii="Times New Roman" w:hAnsi="Times New Roman" w:eastAsia="Times New Roman" w:cs="Times New Roman"/>
                <w:spacing w:val="-5"/>
                <w:sz w:val="21"/>
                <w:szCs w:val="21"/>
              </w:rPr>
              <w:t>(℃)</w:t>
            </w:r>
          </w:p>
        </w:tc>
        <w:tc>
          <w:tcPr>
            <w:tcW w:w="1689" w:type="dxa"/>
            <w:gridSpan w:val="2"/>
            <w:vAlign w:val="top"/>
          </w:tcPr>
          <w:p>
            <w:pPr>
              <w:spacing w:before="106" w:line="184" w:lineRule="auto"/>
              <w:ind w:left="7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492" w:type="dxa"/>
            <w:vAlign w:val="top"/>
          </w:tcPr>
          <w:p>
            <w:pPr>
              <w:pStyle w:val="6"/>
              <w:spacing w:before="64" w:line="213" w:lineRule="auto"/>
              <w:ind w:left="171"/>
              <w:rPr>
                <w:rFonts w:ascii="Times New Roman" w:hAnsi="Times New Roman" w:eastAsia="Times New Roman" w:cs="Times New Roman"/>
                <w:sz w:val="21"/>
                <w:szCs w:val="21"/>
              </w:rPr>
            </w:pPr>
            <w:r>
              <w:rPr>
                <w:spacing w:val="-3"/>
                <w:sz w:val="21"/>
                <w:szCs w:val="21"/>
              </w:rPr>
              <w:t>引燃温度</w:t>
            </w:r>
            <w:r>
              <w:rPr>
                <w:rFonts w:ascii="Times New Roman" w:hAnsi="Times New Roman" w:eastAsia="Times New Roman" w:cs="Times New Roman"/>
                <w:spacing w:val="-3"/>
                <w:sz w:val="21"/>
                <w:szCs w:val="21"/>
              </w:rPr>
              <w:t>(℃)</w:t>
            </w:r>
          </w:p>
        </w:tc>
        <w:tc>
          <w:tcPr>
            <w:tcW w:w="955" w:type="dxa"/>
            <w:vAlign w:val="top"/>
          </w:tcPr>
          <w:p>
            <w:pPr>
              <w:spacing w:before="103"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bottom w:val="nil"/>
            </w:tcBorders>
            <w:textDirection w:val="tbRlV"/>
            <w:vAlign w:val="top"/>
          </w:tcPr>
          <w:p>
            <w:pPr>
              <w:rPr>
                <w:rFonts w:ascii="Arial"/>
                <w:sz w:val="21"/>
              </w:rPr>
            </w:pPr>
          </w:p>
        </w:tc>
        <w:tc>
          <w:tcPr>
            <w:tcW w:w="1187" w:type="dxa"/>
            <w:vAlign w:val="top"/>
          </w:tcPr>
          <w:p>
            <w:pPr>
              <w:pStyle w:val="6"/>
              <w:spacing w:before="65" w:line="221" w:lineRule="auto"/>
              <w:ind w:left="184"/>
              <w:rPr>
                <w:sz w:val="21"/>
                <w:szCs w:val="21"/>
              </w:rPr>
            </w:pPr>
            <w:r>
              <w:rPr>
                <w:spacing w:val="-4"/>
                <w:sz w:val="21"/>
                <w:szCs w:val="21"/>
              </w:rPr>
              <w:t>聚合危害</w:t>
            </w:r>
          </w:p>
        </w:tc>
        <w:tc>
          <w:tcPr>
            <w:tcW w:w="1752" w:type="dxa"/>
            <w:vAlign w:val="top"/>
          </w:tcPr>
          <w:p>
            <w:pPr>
              <w:pStyle w:val="6"/>
              <w:spacing w:before="65" w:line="221" w:lineRule="auto"/>
              <w:ind w:left="567"/>
              <w:rPr>
                <w:sz w:val="21"/>
                <w:szCs w:val="21"/>
              </w:rPr>
            </w:pPr>
            <w:r>
              <w:rPr>
                <w:spacing w:val="-2"/>
                <w:sz w:val="21"/>
                <w:szCs w:val="21"/>
              </w:rPr>
              <w:t>不聚合</w:t>
            </w:r>
          </w:p>
        </w:tc>
        <w:tc>
          <w:tcPr>
            <w:tcW w:w="2687" w:type="dxa"/>
            <w:gridSpan w:val="3"/>
            <w:vAlign w:val="top"/>
          </w:tcPr>
          <w:p>
            <w:pPr>
              <w:pStyle w:val="6"/>
              <w:spacing w:before="64" w:line="221" w:lineRule="auto"/>
              <w:ind w:left="717"/>
              <w:rPr>
                <w:sz w:val="21"/>
                <w:szCs w:val="21"/>
              </w:rPr>
            </w:pPr>
            <w:r>
              <w:rPr>
                <w:spacing w:val="-2"/>
                <w:sz w:val="21"/>
                <w:szCs w:val="21"/>
              </w:rPr>
              <w:t>火灾危险级别</w:t>
            </w:r>
          </w:p>
        </w:tc>
        <w:tc>
          <w:tcPr>
            <w:tcW w:w="2447" w:type="dxa"/>
            <w:gridSpan w:val="2"/>
            <w:vAlign w:val="top"/>
          </w:tcPr>
          <w:p>
            <w:pPr>
              <w:pStyle w:val="6"/>
              <w:spacing w:before="65" w:line="223" w:lineRule="auto"/>
              <w:ind w:left="1150"/>
              <w:rPr>
                <w:sz w:val="21"/>
                <w:szCs w:val="21"/>
              </w:rPr>
            </w:pPr>
            <w:r>
              <w:rPr>
                <w:sz w:val="21"/>
                <w:szCs w:val="21"/>
              </w:rPr>
              <w:t>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0" w:type="dxa"/>
            <w:vMerge w:val="continue"/>
            <w:tcBorders>
              <w:top w:val="nil"/>
              <w:bottom w:val="nil"/>
            </w:tcBorders>
            <w:textDirection w:val="tbRlV"/>
            <w:vAlign w:val="top"/>
          </w:tcPr>
          <w:p>
            <w:pPr>
              <w:rPr>
                <w:rFonts w:ascii="Arial"/>
                <w:sz w:val="21"/>
              </w:rPr>
            </w:pPr>
          </w:p>
        </w:tc>
        <w:tc>
          <w:tcPr>
            <w:tcW w:w="11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8" w:line="221" w:lineRule="auto"/>
              <w:ind w:left="179"/>
              <w:rPr>
                <w:sz w:val="21"/>
                <w:szCs w:val="21"/>
              </w:rPr>
            </w:pPr>
            <w:r>
              <w:rPr>
                <w:spacing w:val="-2"/>
                <w:sz w:val="21"/>
                <w:szCs w:val="21"/>
              </w:rPr>
              <w:t>危险特性</w:t>
            </w:r>
          </w:p>
        </w:tc>
        <w:tc>
          <w:tcPr>
            <w:tcW w:w="6886" w:type="dxa"/>
            <w:gridSpan w:val="6"/>
            <w:vAlign w:val="top"/>
          </w:tcPr>
          <w:p>
            <w:pPr>
              <w:pStyle w:val="6"/>
              <w:spacing w:before="31" w:line="229" w:lineRule="auto"/>
              <w:ind w:left="118" w:right="103" w:hanging="3"/>
              <w:rPr>
                <w:sz w:val="21"/>
                <w:szCs w:val="21"/>
              </w:rPr>
            </w:pPr>
            <w:r>
              <w:rPr>
                <w:spacing w:val="-2"/>
                <w:sz w:val="21"/>
                <w:szCs w:val="21"/>
              </w:rPr>
              <w:t>危险特性：遇明火、高热或与氧化剂接触，有引起燃烧爆炸的危险。若遇</w:t>
            </w:r>
            <w:r>
              <w:rPr>
                <w:spacing w:val="5"/>
                <w:sz w:val="21"/>
                <w:szCs w:val="21"/>
              </w:rPr>
              <w:t xml:space="preserve"> </w:t>
            </w:r>
            <w:r>
              <w:rPr>
                <w:spacing w:val="-7"/>
                <w:sz w:val="21"/>
                <w:szCs w:val="21"/>
              </w:rPr>
              <w:t>高热， 容器内压增大，有开裂和爆炸的危险。</w:t>
            </w:r>
          </w:p>
          <w:p>
            <w:pPr>
              <w:pStyle w:val="6"/>
              <w:spacing w:before="23" w:line="235" w:lineRule="auto"/>
              <w:ind w:left="113" w:right="28" w:firstLine="2"/>
              <w:rPr>
                <w:sz w:val="21"/>
                <w:szCs w:val="21"/>
              </w:rPr>
            </w:pPr>
            <w:r>
              <w:rPr>
                <w:spacing w:val="-6"/>
                <w:sz w:val="21"/>
                <w:szCs w:val="21"/>
              </w:rPr>
              <w:t>灭火方法： 消防人员必须佩戴防毒面具、穿全身</w:t>
            </w:r>
            <w:r>
              <w:rPr>
                <w:spacing w:val="-7"/>
                <w:sz w:val="21"/>
                <w:szCs w:val="21"/>
              </w:rPr>
              <w:t>消防服， 在上风向灭火。</w:t>
            </w:r>
            <w:r>
              <w:rPr>
                <w:sz w:val="21"/>
                <w:szCs w:val="21"/>
              </w:rPr>
              <w:t xml:space="preserve"> </w:t>
            </w:r>
            <w:r>
              <w:rPr>
                <w:spacing w:val="-6"/>
                <w:sz w:val="21"/>
                <w:szCs w:val="21"/>
              </w:rPr>
              <w:t>尽可能将容器从火场移至空旷处。喷水保持火场容器冷却，直至灭火结束。</w:t>
            </w:r>
            <w:r>
              <w:rPr>
                <w:spacing w:val="5"/>
                <w:sz w:val="21"/>
                <w:szCs w:val="21"/>
              </w:rPr>
              <w:t xml:space="preserve"> </w:t>
            </w:r>
            <w:r>
              <w:rPr>
                <w:sz w:val="21"/>
                <w:szCs w:val="21"/>
              </w:rPr>
              <w:t>自在火场中的容器若已变色或从安全泄压装置中产生声音，必</w:t>
            </w:r>
            <w:r>
              <w:rPr>
                <w:spacing w:val="-1"/>
                <w:sz w:val="21"/>
                <w:szCs w:val="21"/>
              </w:rPr>
              <w:t>须马上撤</w:t>
            </w:r>
            <w:r>
              <w:rPr>
                <w:sz w:val="21"/>
                <w:szCs w:val="21"/>
              </w:rPr>
              <w:t xml:space="preserve">   </w:t>
            </w:r>
            <w:r>
              <w:rPr>
                <w:spacing w:val="-10"/>
                <w:sz w:val="21"/>
                <w:szCs w:val="21"/>
              </w:rPr>
              <w:t>离。</w:t>
            </w:r>
          </w:p>
          <w:p>
            <w:pPr>
              <w:pStyle w:val="6"/>
              <w:spacing w:before="22" w:line="205" w:lineRule="auto"/>
              <w:ind w:left="116"/>
              <w:rPr>
                <w:sz w:val="21"/>
                <w:szCs w:val="21"/>
              </w:rPr>
            </w:pPr>
            <w:r>
              <w:rPr>
                <w:spacing w:val="-2"/>
                <w:sz w:val="21"/>
                <w:szCs w:val="21"/>
              </w:rPr>
              <w:t>灭火剂：雾状水、泡沫、干粉、二氧化碳、砂土。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tcBorders>
            <w:textDirection w:val="tbRlV"/>
            <w:vAlign w:val="top"/>
          </w:tcPr>
          <w:p>
            <w:pPr>
              <w:rPr>
                <w:rFonts w:ascii="Arial"/>
                <w:sz w:val="21"/>
              </w:rPr>
            </w:pPr>
          </w:p>
        </w:tc>
        <w:tc>
          <w:tcPr>
            <w:tcW w:w="1187" w:type="dxa"/>
            <w:vAlign w:val="top"/>
          </w:tcPr>
          <w:p>
            <w:pPr>
              <w:pStyle w:val="6"/>
              <w:spacing w:before="169" w:line="220" w:lineRule="auto"/>
              <w:ind w:left="177"/>
              <w:rPr>
                <w:sz w:val="21"/>
                <w:szCs w:val="21"/>
              </w:rPr>
            </w:pPr>
            <w:r>
              <w:rPr>
                <w:spacing w:val="-2"/>
                <w:sz w:val="21"/>
                <w:szCs w:val="21"/>
              </w:rPr>
              <w:t>燃烧产物</w:t>
            </w:r>
          </w:p>
        </w:tc>
        <w:tc>
          <w:tcPr>
            <w:tcW w:w="1752" w:type="dxa"/>
            <w:vAlign w:val="top"/>
          </w:tcPr>
          <w:p>
            <w:pPr>
              <w:pStyle w:val="6"/>
              <w:spacing w:before="31" w:line="223" w:lineRule="auto"/>
              <w:ind w:left="670" w:right="137" w:hanging="523"/>
              <w:rPr>
                <w:sz w:val="21"/>
                <w:szCs w:val="21"/>
              </w:rPr>
            </w:pPr>
            <w:r>
              <w:rPr>
                <w:spacing w:val="-2"/>
                <w:sz w:val="21"/>
                <w:szCs w:val="21"/>
              </w:rPr>
              <w:t>一氧化碳、二氧</w:t>
            </w:r>
            <w:r>
              <w:rPr>
                <w:spacing w:val="5"/>
                <w:sz w:val="21"/>
                <w:szCs w:val="21"/>
              </w:rPr>
              <w:t xml:space="preserve"> </w:t>
            </w:r>
            <w:r>
              <w:rPr>
                <w:spacing w:val="-2"/>
                <w:sz w:val="21"/>
                <w:szCs w:val="21"/>
              </w:rPr>
              <w:t>化碳</w:t>
            </w:r>
          </w:p>
        </w:tc>
        <w:tc>
          <w:tcPr>
            <w:tcW w:w="1454" w:type="dxa"/>
            <w:gridSpan w:val="2"/>
            <w:vAlign w:val="top"/>
          </w:tcPr>
          <w:p>
            <w:pPr>
              <w:pStyle w:val="6"/>
              <w:spacing w:before="168" w:line="221" w:lineRule="auto"/>
              <w:ind w:left="415"/>
              <w:rPr>
                <w:sz w:val="21"/>
                <w:szCs w:val="21"/>
              </w:rPr>
            </w:pPr>
            <w:r>
              <w:rPr>
                <w:spacing w:val="-2"/>
                <w:sz w:val="21"/>
                <w:szCs w:val="21"/>
              </w:rPr>
              <w:t>禁忌物</w:t>
            </w:r>
          </w:p>
        </w:tc>
        <w:tc>
          <w:tcPr>
            <w:tcW w:w="3680" w:type="dxa"/>
            <w:gridSpan w:val="3"/>
            <w:vAlign w:val="top"/>
          </w:tcPr>
          <w:p>
            <w:pPr>
              <w:pStyle w:val="6"/>
              <w:spacing w:before="169" w:line="220" w:lineRule="auto"/>
              <w:ind w:left="167"/>
              <w:rPr>
                <w:sz w:val="21"/>
                <w:szCs w:val="21"/>
              </w:rPr>
            </w:pPr>
            <w:r>
              <w:rPr>
                <w:spacing w:val="-1"/>
                <w:sz w:val="21"/>
                <w:szCs w:val="21"/>
              </w:rPr>
              <w:t>强还原剂、强氧化剂、易燃或可燃物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restart"/>
            <w:tcBorders>
              <w:bottom w:val="nil"/>
            </w:tcBorders>
            <w:textDirection w:val="tbRlV"/>
            <w:vAlign w:val="top"/>
          </w:tcPr>
          <w:p>
            <w:pPr>
              <w:pStyle w:val="6"/>
              <w:spacing w:before="121" w:line="210" w:lineRule="auto"/>
              <w:ind w:left="1031"/>
              <w:rPr>
                <w:sz w:val="21"/>
                <w:szCs w:val="21"/>
              </w:rPr>
            </w:pPr>
            <w:r>
              <w:rPr>
                <w:spacing w:val="18"/>
                <w:w w:val="117"/>
                <w:sz w:val="21"/>
                <w:szCs w:val="21"/>
              </w:rPr>
              <w:t>毒性及健康危害</w:t>
            </w:r>
          </w:p>
        </w:tc>
        <w:tc>
          <w:tcPr>
            <w:tcW w:w="1187" w:type="dxa"/>
            <w:vAlign w:val="top"/>
          </w:tcPr>
          <w:p>
            <w:pPr>
              <w:pStyle w:val="6"/>
              <w:spacing w:before="65" w:line="221" w:lineRule="auto"/>
              <w:ind w:left="389"/>
              <w:rPr>
                <w:sz w:val="21"/>
                <w:szCs w:val="21"/>
              </w:rPr>
            </w:pPr>
            <w:r>
              <w:rPr>
                <w:spacing w:val="-2"/>
                <w:sz w:val="21"/>
                <w:szCs w:val="21"/>
              </w:rPr>
              <w:t>毒性</w:t>
            </w:r>
          </w:p>
        </w:tc>
        <w:tc>
          <w:tcPr>
            <w:tcW w:w="1752" w:type="dxa"/>
            <w:vAlign w:val="top"/>
          </w:tcPr>
          <w:p>
            <w:pPr>
              <w:pStyle w:val="6"/>
              <w:spacing w:before="65" w:line="221" w:lineRule="auto"/>
              <w:ind w:left="357"/>
              <w:rPr>
                <w:sz w:val="21"/>
                <w:szCs w:val="21"/>
              </w:rPr>
            </w:pPr>
            <w:r>
              <w:rPr>
                <w:spacing w:val="-2"/>
                <w:sz w:val="21"/>
                <w:szCs w:val="21"/>
              </w:rPr>
              <w:t>属中等毒类</w:t>
            </w:r>
          </w:p>
        </w:tc>
        <w:tc>
          <w:tcPr>
            <w:tcW w:w="1454" w:type="dxa"/>
            <w:gridSpan w:val="2"/>
            <w:vAlign w:val="top"/>
          </w:tcPr>
          <w:p>
            <w:pPr>
              <w:pStyle w:val="6"/>
              <w:spacing w:before="65" w:line="221" w:lineRule="auto"/>
              <w:ind w:left="312"/>
              <w:rPr>
                <w:sz w:val="21"/>
                <w:szCs w:val="21"/>
              </w:rPr>
            </w:pPr>
            <w:r>
              <w:rPr>
                <w:spacing w:val="-2"/>
                <w:sz w:val="21"/>
                <w:szCs w:val="21"/>
              </w:rPr>
              <w:t>侵入途径</w:t>
            </w:r>
          </w:p>
        </w:tc>
        <w:tc>
          <w:tcPr>
            <w:tcW w:w="3680" w:type="dxa"/>
            <w:gridSpan w:val="3"/>
            <w:vAlign w:val="top"/>
          </w:tcPr>
          <w:p>
            <w:pPr>
              <w:pStyle w:val="6"/>
              <w:spacing w:before="65" w:line="221" w:lineRule="auto"/>
              <w:ind w:left="696"/>
              <w:rPr>
                <w:sz w:val="21"/>
                <w:szCs w:val="21"/>
              </w:rPr>
            </w:pPr>
            <w:r>
              <w:rPr>
                <w:spacing w:val="-2"/>
                <w:sz w:val="21"/>
                <w:szCs w:val="21"/>
              </w:rPr>
              <w:t>吸入、食入、经皮肤吸收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60" w:type="dxa"/>
            <w:vMerge w:val="continue"/>
            <w:tcBorders>
              <w:top w:val="nil"/>
              <w:bottom w:val="nil"/>
            </w:tcBorders>
            <w:textDirection w:val="tbRlV"/>
            <w:vAlign w:val="top"/>
          </w:tcPr>
          <w:p>
            <w:pPr>
              <w:rPr>
                <w:rFonts w:ascii="Arial"/>
                <w:sz w:val="21"/>
              </w:rPr>
            </w:pPr>
          </w:p>
        </w:tc>
        <w:tc>
          <w:tcPr>
            <w:tcW w:w="1187" w:type="dxa"/>
            <w:vAlign w:val="top"/>
          </w:tcPr>
          <w:p>
            <w:pPr>
              <w:pStyle w:val="6"/>
              <w:spacing w:before="306" w:line="221" w:lineRule="auto"/>
              <w:ind w:left="176"/>
              <w:rPr>
                <w:sz w:val="21"/>
                <w:szCs w:val="21"/>
              </w:rPr>
            </w:pPr>
            <w:r>
              <w:rPr>
                <w:spacing w:val="-2"/>
                <w:sz w:val="21"/>
                <w:szCs w:val="21"/>
              </w:rPr>
              <w:t>健康危害</w:t>
            </w:r>
          </w:p>
        </w:tc>
        <w:tc>
          <w:tcPr>
            <w:tcW w:w="6886" w:type="dxa"/>
            <w:gridSpan w:val="6"/>
            <w:vAlign w:val="top"/>
          </w:tcPr>
          <w:p>
            <w:pPr>
              <w:pStyle w:val="6"/>
              <w:spacing w:before="32" w:line="221" w:lineRule="auto"/>
              <w:jc w:val="right"/>
              <w:rPr>
                <w:sz w:val="21"/>
                <w:szCs w:val="21"/>
              </w:rPr>
            </w:pPr>
            <w:r>
              <w:rPr>
                <w:spacing w:val="-6"/>
                <w:sz w:val="21"/>
                <w:szCs w:val="21"/>
              </w:rPr>
              <w:t>皮肤接触可为主要吸收途径，可致急性肾脏损害。柴油可引起接触性皮炎、</w:t>
            </w:r>
          </w:p>
          <w:p>
            <w:pPr>
              <w:pStyle w:val="6"/>
              <w:spacing w:before="21" w:line="223" w:lineRule="auto"/>
              <w:ind w:left="926" w:right="103" w:hanging="810"/>
              <w:rPr>
                <w:sz w:val="21"/>
                <w:szCs w:val="21"/>
              </w:rPr>
            </w:pPr>
            <w:r>
              <w:rPr>
                <w:spacing w:val="-2"/>
                <w:sz w:val="21"/>
                <w:szCs w:val="21"/>
              </w:rPr>
              <w:t>油性痤疮。吸入其雾滴或液体呛入可引起吸入性肺炎。能经胎盘进入胎儿</w:t>
            </w:r>
            <w:r>
              <w:rPr>
                <w:spacing w:val="4"/>
                <w:sz w:val="21"/>
                <w:szCs w:val="21"/>
              </w:rPr>
              <w:t xml:space="preserve"> </w:t>
            </w:r>
            <w:r>
              <w:rPr>
                <w:spacing w:val="-5"/>
                <w:sz w:val="21"/>
                <w:szCs w:val="21"/>
              </w:rPr>
              <w:t>血中。柴油废气可引起眼、鼻刺激症状， 头晕及头</w:t>
            </w:r>
            <w:r>
              <w:rPr>
                <w:spacing w:val="-6"/>
                <w:sz w:val="21"/>
                <w:szCs w:val="21"/>
              </w:rPr>
              <w:t>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2" w:hRule="atLeast"/>
        </w:trPr>
        <w:tc>
          <w:tcPr>
            <w:tcW w:w="460" w:type="dxa"/>
            <w:vMerge w:val="continue"/>
            <w:tcBorders>
              <w:top w:val="nil"/>
            </w:tcBorders>
            <w:textDirection w:val="tbRlV"/>
            <w:vAlign w:val="top"/>
          </w:tcPr>
          <w:p>
            <w:pPr>
              <w:rPr>
                <w:rFonts w:ascii="Arial"/>
                <w:sz w:val="21"/>
              </w:rPr>
            </w:pPr>
          </w:p>
        </w:tc>
        <w:tc>
          <w:tcPr>
            <w:tcW w:w="1187"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8" w:line="221" w:lineRule="auto"/>
              <w:ind w:left="401"/>
              <w:rPr>
                <w:sz w:val="21"/>
                <w:szCs w:val="21"/>
              </w:rPr>
            </w:pPr>
            <w:r>
              <w:rPr>
                <w:spacing w:val="-5"/>
                <w:sz w:val="21"/>
                <w:szCs w:val="21"/>
              </w:rPr>
              <w:t>防护</w:t>
            </w:r>
          </w:p>
        </w:tc>
        <w:tc>
          <w:tcPr>
            <w:tcW w:w="6886" w:type="dxa"/>
            <w:gridSpan w:val="6"/>
            <w:vAlign w:val="top"/>
          </w:tcPr>
          <w:p>
            <w:pPr>
              <w:pStyle w:val="6"/>
              <w:spacing w:before="33" w:line="220" w:lineRule="auto"/>
              <w:ind w:left="116"/>
              <w:rPr>
                <w:sz w:val="21"/>
                <w:szCs w:val="21"/>
              </w:rPr>
            </w:pPr>
            <w:r>
              <w:rPr>
                <w:spacing w:val="-3"/>
                <w:sz w:val="21"/>
                <w:szCs w:val="21"/>
              </w:rPr>
              <w:t>皮肤接触：</w:t>
            </w:r>
            <w:r>
              <w:rPr>
                <w:spacing w:val="-15"/>
                <w:sz w:val="21"/>
                <w:szCs w:val="21"/>
              </w:rPr>
              <w:t xml:space="preserve"> </w:t>
            </w:r>
            <w:r>
              <w:rPr>
                <w:spacing w:val="-3"/>
                <w:sz w:val="21"/>
                <w:szCs w:val="21"/>
              </w:rPr>
              <w:t>立即脱去污染的衣着，用肥皂水和清水彻底冲洗皮肤。就医。</w:t>
            </w:r>
          </w:p>
          <w:p>
            <w:pPr>
              <w:pStyle w:val="6"/>
              <w:spacing w:before="20" w:line="220" w:lineRule="auto"/>
              <w:ind w:left="126"/>
              <w:rPr>
                <w:sz w:val="21"/>
                <w:szCs w:val="21"/>
              </w:rPr>
            </w:pPr>
            <w:r>
              <w:rPr>
                <w:spacing w:val="-3"/>
                <w:sz w:val="21"/>
                <w:szCs w:val="21"/>
              </w:rPr>
              <w:t>眼睛接触：</w:t>
            </w:r>
            <w:r>
              <w:rPr>
                <w:spacing w:val="-22"/>
                <w:sz w:val="21"/>
                <w:szCs w:val="21"/>
              </w:rPr>
              <w:t xml:space="preserve"> </w:t>
            </w:r>
            <w:r>
              <w:rPr>
                <w:spacing w:val="-3"/>
                <w:sz w:val="21"/>
                <w:szCs w:val="21"/>
              </w:rPr>
              <w:t>立即提起眼睑，用大量流动清水或生理盐水彻底冲洗。</w:t>
            </w:r>
            <w:r>
              <w:rPr>
                <w:spacing w:val="-4"/>
                <w:sz w:val="21"/>
                <w:szCs w:val="21"/>
              </w:rPr>
              <w:t>就医。</w:t>
            </w:r>
          </w:p>
          <w:p>
            <w:pPr>
              <w:pStyle w:val="6"/>
              <w:spacing w:before="24" w:line="229" w:lineRule="auto"/>
              <w:ind w:left="113" w:right="105" w:firstLine="7"/>
              <w:rPr>
                <w:sz w:val="21"/>
                <w:szCs w:val="21"/>
              </w:rPr>
            </w:pPr>
            <w:r>
              <w:rPr>
                <w:spacing w:val="-2"/>
                <w:sz w:val="21"/>
                <w:szCs w:val="21"/>
              </w:rPr>
              <w:t>吸入：迅速脱离现场至空气新鲜处，保持呼吸道通畅。如呼吸困难</w:t>
            </w:r>
            <w:r>
              <w:rPr>
                <w:spacing w:val="-3"/>
                <w:sz w:val="21"/>
                <w:szCs w:val="21"/>
              </w:rPr>
              <w:t>，给输</w:t>
            </w:r>
            <w:r>
              <w:rPr>
                <w:sz w:val="21"/>
                <w:szCs w:val="21"/>
              </w:rPr>
              <w:t xml:space="preserve"> </w:t>
            </w:r>
            <w:r>
              <w:rPr>
                <w:spacing w:val="-2"/>
                <w:sz w:val="21"/>
                <w:szCs w:val="21"/>
              </w:rPr>
              <w:t>氧。如呼吸停止，立即进行人工呼吸。就医。</w:t>
            </w:r>
          </w:p>
          <w:p>
            <w:pPr>
              <w:pStyle w:val="6"/>
              <w:spacing w:before="23" w:line="220" w:lineRule="auto"/>
              <w:ind w:left="112"/>
              <w:rPr>
                <w:sz w:val="21"/>
                <w:szCs w:val="21"/>
              </w:rPr>
            </w:pPr>
            <w:r>
              <w:rPr>
                <w:spacing w:val="-10"/>
                <w:sz w:val="21"/>
                <w:szCs w:val="21"/>
              </w:rPr>
              <w:t>食入： 尽快彻底洗胃。就医。</w:t>
            </w:r>
          </w:p>
          <w:p>
            <w:pPr>
              <w:pStyle w:val="6"/>
              <w:spacing w:before="20" w:line="221" w:lineRule="auto"/>
              <w:ind w:left="115"/>
              <w:rPr>
                <w:sz w:val="21"/>
                <w:szCs w:val="21"/>
              </w:rPr>
            </w:pPr>
            <w:r>
              <w:rPr>
                <w:spacing w:val="-6"/>
                <w:sz w:val="21"/>
                <w:szCs w:val="21"/>
              </w:rPr>
              <w:t>工程防护：</w:t>
            </w:r>
            <w:r>
              <w:rPr>
                <w:spacing w:val="-22"/>
                <w:sz w:val="21"/>
                <w:szCs w:val="21"/>
              </w:rPr>
              <w:t xml:space="preserve"> </w:t>
            </w:r>
            <w:r>
              <w:rPr>
                <w:spacing w:val="-6"/>
                <w:sz w:val="21"/>
                <w:szCs w:val="21"/>
              </w:rPr>
              <w:t>密闭操作，注意通风。</w:t>
            </w:r>
          </w:p>
          <w:p>
            <w:pPr>
              <w:pStyle w:val="6"/>
              <w:spacing w:before="21" w:line="232" w:lineRule="auto"/>
              <w:ind w:left="112" w:right="31"/>
              <w:rPr>
                <w:sz w:val="21"/>
                <w:szCs w:val="21"/>
              </w:rPr>
            </w:pPr>
            <w:r>
              <w:rPr>
                <w:spacing w:val="-6"/>
                <w:sz w:val="21"/>
                <w:szCs w:val="21"/>
              </w:rPr>
              <w:t>个人防护：空气中浓度超标时，建议佩戴自吸过滤式防毒面具（半面罩）。</w:t>
            </w:r>
            <w:r>
              <w:rPr>
                <w:spacing w:val="3"/>
                <w:sz w:val="21"/>
                <w:szCs w:val="21"/>
              </w:rPr>
              <w:t xml:space="preserve"> </w:t>
            </w:r>
            <w:r>
              <w:rPr>
                <w:spacing w:val="-2"/>
                <w:sz w:val="21"/>
                <w:szCs w:val="21"/>
              </w:rPr>
              <w:t>紧急事态抢救或撤离时，必须佩戴空气呼吸器。戴化学安全防护眼</w:t>
            </w:r>
            <w:r>
              <w:rPr>
                <w:spacing w:val="-3"/>
                <w:sz w:val="21"/>
                <w:szCs w:val="21"/>
              </w:rPr>
              <w:t xml:space="preserve">镜。穿 </w:t>
            </w:r>
            <w:r>
              <w:rPr>
                <w:spacing w:val="-2"/>
                <w:sz w:val="21"/>
                <w:szCs w:val="21"/>
              </w:rPr>
              <w:t>一般作业防护服。戴橡胶耐油手套。工作现场禁止吸烟。避免长期</w:t>
            </w:r>
            <w:r>
              <w:rPr>
                <w:spacing w:val="-3"/>
                <w:sz w:val="21"/>
                <w:szCs w:val="21"/>
              </w:rPr>
              <w:t xml:space="preserve">反复接 </w:t>
            </w:r>
            <w:r>
              <w:rPr>
                <w:spacing w:val="-10"/>
                <w:sz w:val="21"/>
                <w:szCs w:val="21"/>
              </w:rPr>
              <w:t>触。</w:t>
            </w:r>
          </w:p>
        </w:tc>
      </w:tr>
    </w:tbl>
    <w:p>
      <w:pPr>
        <w:pStyle w:val="2"/>
        <w:rPr>
          <w:sz w:val="21"/>
        </w:rPr>
      </w:pPr>
    </w:p>
    <w:p>
      <w:pPr>
        <w:rPr>
          <w:sz w:val="21"/>
          <w:szCs w:val="21"/>
        </w:rPr>
        <w:sectPr>
          <w:headerReference r:id="rId236" w:type="default"/>
          <w:footerReference r:id="rId237" w:type="default"/>
          <w:pgSz w:w="11907" w:h="16839"/>
          <w:pgMar w:top="1123" w:right="1682" w:bottom="1149" w:left="1685" w:header="1108" w:footer="988" w:gutter="0"/>
          <w:cols w:space="720" w:num="1"/>
        </w:sectPr>
      </w:pPr>
    </w:p>
    <w:p>
      <w:pPr>
        <w:spacing w:before="75"/>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87"/>
        <w:gridCol w:w="6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460" w:type="dxa"/>
            <w:textDirection w:val="tbRlV"/>
            <w:vAlign w:val="top"/>
          </w:tcPr>
          <w:p>
            <w:pPr>
              <w:pStyle w:val="6"/>
              <w:spacing w:before="121" w:line="210" w:lineRule="auto"/>
              <w:ind w:left="171"/>
              <w:rPr>
                <w:sz w:val="21"/>
                <w:szCs w:val="21"/>
              </w:rPr>
            </w:pPr>
            <w:r>
              <w:rPr>
                <w:spacing w:val="50"/>
                <w:sz w:val="21"/>
                <w:szCs w:val="21"/>
              </w:rPr>
              <w:t>包装与储运</w:t>
            </w:r>
          </w:p>
        </w:tc>
        <w:tc>
          <w:tcPr>
            <w:tcW w:w="1187" w:type="dxa"/>
            <w:vAlign w:val="top"/>
          </w:tcPr>
          <w:p>
            <w:pPr>
              <w:spacing w:line="253" w:lineRule="auto"/>
              <w:rPr>
                <w:rFonts w:ascii="Arial"/>
                <w:sz w:val="21"/>
              </w:rPr>
            </w:pPr>
          </w:p>
          <w:p>
            <w:pPr>
              <w:spacing w:line="254" w:lineRule="auto"/>
              <w:rPr>
                <w:rFonts w:ascii="Arial"/>
                <w:sz w:val="21"/>
              </w:rPr>
            </w:pPr>
          </w:p>
          <w:p>
            <w:pPr>
              <w:pStyle w:val="6"/>
              <w:spacing w:before="68" w:line="241" w:lineRule="auto"/>
              <w:ind w:left="281"/>
              <w:rPr>
                <w:sz w:val="21"/>
                <w:szCs w:val="21"/>
              </w:rPr>
            </w:pPr>
            <w:r>
              <w:rPr>
                <w:spacing w:val="-1"/>
                <w:sz w:val="21"/>
                <w:szCs w:val="21"/>
              </w:rPr>
              <w:t>储运注</w:t>
            </w:r>
          </w:p>
          <w:p>
            <w:pPr>
              <w:pStyle w:val="6"/>
              <w:spacing w:line="221" w:lineRule="auto"/>
              <w:ind w:left="288"/>
              <w:rPr>
                <w:sz w:val="21"/>
                <w:szCs w:val="21"/>
              </w:rPr>
            </w:pPr>
            <w:r>
              <w:rPr>
                <w:spacing w:val="-3"/>
                <w:sz w:val="21"/>
                <w:szCs w:val="21"/>
              </w:rPr>
              <w:t>意事项</w:t>
            </w:r>
          </w:p>
        </w:tc>
        <w:tc>
          <w:tcPr>
            <w:tcW w:w="6886" w:type="dxa"/>
            <w:vAlign w:val="top"/>
          </w:tcPr>
          <w:p>
            <w:pPr>
              <w:pStyle w:val="6"/>
              <w:spacing w:before="35" w:line="234" w:lineRule="auto"/>
              <w:ind w:left="112" w:right="81" w:firstLine="4"/>
              <w:jc w:val="both"/>
              <w:rPr>
                <w:sz w:val="21"/>
                <w:szCs w:val="21"/>
              </w:rPr>
            </w:pPr>
            <w:r>
              <w:rPr>
                <w:spacing w:val="-2"/>
                <w:sz w:val="21"/>
                <w:szCs w:val="21"/>
              </w:rPr>
              <w:t>不储存于阴凉、通风的库房内。远离火种、热源。应与氧化剂、卤素分开</w:t>
            </w:r>
            <w:r>
              <w:rPr>
                <w:spacing w:val="4"/>
                <w:sz w:val="21"/>
                <w:szCs w:val="21"/>
              </w:rPr>
              <w:t xml:space="preserve"> </w:t>
            </w:r>
            <w:r>
              <w:rPr>
                <w:spacing w:val="-2"/>
                <w:sz w:val="21"/>
                <w:szCs w:val="21"/>
              </w:rPr>
              <w:t>存放，切忌混储。采用防爆型照明、通风设施。禁止使用易产生火花的机</w:t>
            </w:r>
            <w:r>
              <w:rPr>
                <w:spacing w:val="8"/>
                <w:sz w:val="21"/>
                <w:szCs w:val="21"/>
              </w:rPr>
              <w:t xml:space="preserve"> </w:t>
            </w:r>
            <w:r>
              <w:rPr>
                <w:spacing w:val="-2"/>
                <w:sz w:val="21"/>
                <w:szCs w:val="21"/>
              </w:rPr>
              <w:t>械设备和工具。储区应备有泄漏应急处理设备工具和合适的收容材料。运</w:t>
            </w:r>
            <w:r>
              <w:rPr>
                <w:spacing w:val="8"/>
                <w:sz w:val="21"/>
                <w:szCs w:val="21"/>
              </w:rPr>
              <w:t xml:space="preserve"> </w:t>
            </w:r>
            <w:r>
              <w:rPr>
                <w:spacing w:val="-4"/>
                <w:sz w:val="21"/>
                <w:szCs w:val="21"/>
              </w:rPr>
              <w:t>输前应先检查包装容器是否完整、密封， 运输过程中要确</w:t>
            </w:r>
            <w:r>
              <w:rPr>
                <w:spacing w:val="-5"/>
                <w:sz w:val="21"/>
                <w:szCs w:val="21"/>
              </w:rPr>
              <w:t>保容器不泄漏、</w:t>
            </w:r>
            <w:r>
              <w:rPr>
                <w:sz w:val="21"/>
                <w:szCs w:val="21"/>
              </w:rPr>
              <w:t xml:space="preserve"> </w:t>
            </w:r>
            <w:r>
              <w:rPr>
                <w:spacing w:val="-2"/>
                <w:sz w:val="21"/>
                <w:szCs w:val="21"/>
              </w:rPr>
              <w:t>不倒塌、不坠落、不损坏。运输时运输车辆配备相应的品种和数量的消防</w:t>
            </w:r>
            <w:r>
              <w:rPr>
                <w:spacing w:val="6"/>
                <w:sz w:val="21"/>
                <w:szCs w:val="21"/>
              </w:rPr>
              <w:t xml:space="preserve"> </w:t>
            </w:r>
            <w:r>
              <w:rPr>
                <w:spacing w:val="-1"/>
                <w:sz w:val="21"/>
                <w:szCs w:val="21"/>
              </w:rPr>
              <w:t>器材及泄漏应急处理设备。</w:t>
            </w:r>
          </w:p>
        </w:tc>
      </w:tr>
    </w:tbl>
    <w:p>
      <w:pPr>
        <w:spacing w:before="178"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）白油危险性分析</w:t>
      </w:r>
    </w:p>
    <w:p>
      <w:pPr>
        <w:spacing w:before="193" w:line="480" w:lineRule="exact"/>
        <w:ind w:left="636"/>
        <w:rPr>
          <w:rFonts w:ascii="宋体" w:hAnsi="宋体" w:eastAsia="宋体" w:cs="宋体"/>
          <w:sz w:val="24"/>
          <w:szCs w:val="24"/>
        </w:rPr>
      </w:pPr>
      <w:r>
        <w:rPr>
          <w:rFonts w:ascii="宋体" w:hAnsi="宋体" w:eastAsia="宋体" w:cs="宋体"/>
          <w:spacing w:val="-18"/>
          <w:position w:val="18"/>
          <w:sz w:val="24"/>
          <w:szCs w:val="24"/>
        </w:rPr>
        <w:t>白油为石油分馏的高沸馏分，</w:t>
      </w:r>
      <w:r>
        <w:rPr>
          <w:rFonts w:ascii="宋体" w:hAnsi="宋体" w:eastAsia="宋体" w:cs="宋体"/>
          <w:spacing w:val="45"/>
          <w:position w:val="18"/>
          <w:sz w:val="24"/>
          <w:szCs w:val="24"/>
        </w:rPr>
        <w:t xml:space="preserve"> </w:t>
      </w:r>
      <w:r>
        <w:rPr>
          <w:rFonts w:ascii="宋体" w:hAnsi="宋体" w:eastAsia="宋体" w:cs="宋体"/>
          <w:spacing w:val="-18"/>
          <w:position w:val="18"/>
          <w:sz w:val="24"/>
          <w:szCs w:val="24"/>
        </w:rPr>
        <w:t>不在现场储存，</w:t>
      </w:r>
      <w:r>
        <w:rPr>
          <w:rFonts w:ascii="宋体" w:hAnsi="宋体" w:eastAsia="宋体" w:cs="宋体"/>
          <w:spacing w:val="32"/>
          <w:position w:val="18"/>
          <w:sz w:val="24"/>
          <w:szCs w:val="24"/>
        </w:rPr>
        <w:t xml:space="preserve"> </w:t>
      </w:r>
      <w:r>
        <w:rPr>
          <w:rFonts w:ascii="宋体" w:hAnsi="宋体" w:eastAsia="宋体" w:cs="宋体"/>
          <w:spacing w:val="-18"/>
          <w:position w:val="18"/>
          <w:sz w:val="24"/>
          <w:szCs w:val="24"/>
        </w:rPr>
        <w:t>仅在紧急情况下临时调用，</w:t>
      </w:r>
      <w:r>
        <w:rPr>
          <w:rFonts w:ascii="宋体" w:hAnsi="宋体" w:eastAsia="宋体" w:cs="宋体"/>
          <w:spacing w:val="35"/>
          <w:position w:val="18"/>
          <w:sz w:val="24"/>
          <w:szCs w:val="24"/>
        </w:rPr>
        <w:t xml:space="preserve"> </w:t>
      </w:r>
      <w:r>
        <w:rPr>
          <w:rFonts w:ascii="宋体" w:hAnsi="宋体" w:eastAsia="宋体" w:cs="宋体"/>
          <w:spacing w:val="-18"/>
          <w:position w:val="18"/>
          <w:sz w:val="24"/>
          <w:szCs w:val="24"/>
        </w:rPr>
        <w:t>其</w:t>
      </w:r>
    </w:p>
    <w:p>
      <w:pPr>
        <w:spacing w:line="219" w:lineRule="auto"/>
        <w:ind w:left="122"/>
        <w:rPr>
          <w:rFonts w:ascii="宋体" w:hAnsi="宋体" w:eastAsia="宋体" w:cs="宋体"/>
          <w:sz w:val="24"/>
          <w:szCs w:val="24"/>
        </w:rPr>
      </w:pPr>
      <w:r>
        <w:rPr>
          <w:rFonts w:ascii="宋体" w:hAnsi="宋体" w:eastAsia="宋体" w:cs="宋体"/>
          <w:spacing w:val="-1"/>
          <w:sz w:val="24"/>
          <w:szCs w:val="24"/>
        </w:rPr>
        <w:t>物理化学特性见表</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4.1-7</w:t>
      </w:r>
      <w:r>
        <w:rPr>
          <w:rFonts w:ascii="宋体" w:hAnsi="宋体" w:eastAsia="宋体" w:cs="宋体"/>
          <w:spacing w:val="-1"/>
          <w:sz w:val="24"/>
          <w:szCs w:val="24"/>
        </w:rPr>
        <w:t>。</w:t>
      </w:r>
    </w:p>
    <w:p>
      <w:pPr>
        <w:spacing w:before="194" w:line="220" w:lineRule="auto"/>
        <w:ind w:left="3152"/>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10"/>
          </w14:textOutline>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5"/>
          <w:sz w:val="24"/>
          <w:szCs w:val="24"/>
        </w:rPr>
        <w:t>4.1-7</w:t>
      </w:r>
      <w:r>
        <w:rPr>
          <w:rFonts w:ascii="Times New Roman" w:hAnsi="Times New Roman" w:eastAsia="Times New Roman" w:cs="Times New Roman"/>
          <w:b/>
          <w:bCs/>
          <w:spacing w:val="11"/>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10"/>
          </w14:textOutline>
        </w:rPr>
        <w:t>白油特性表</w:t>
      </w:r>
    </w:p>
    <w:p>
      <w:pPr>
        <w:spacing w:line="16" w:lineRule="exact"/>
      </w:pPr>
    </w:p>
    <w:tbl>
      <w:tblPr>
        <w:tblStyle w:val="5"/>
        <w:tblW w:w="8326"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923"/>
        <w:gridCol w:w="427"/>
        <w:gridCol w:w="1749"/>
        <w:gridCol w:w="659"/>
        <w:gridCol w:w="852"/>
        <w:gridCol w:w="139"/>
        <w:gridCol w:w="96"/>
        <w:gridCol w:w="2027"/>
        <w:gridCol w:w="430"/>
        <w:gridCol w:w="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11" w:type="dxa"/>
            <w:vMerge w:val="restart"/>
            <w:tcBorders>
              <w:bottom w:val="nil"/>
            </w:tcBorders>
            <w:vAlign w:val="top"/>
          </w:tcPr>
          <w:p>
            <w:pPr>
              <w:pStyle w:val="6"/>
              <w:spacing w:before="243" w:line="221" w:lineRule="auto"/>
              <w:ind w:left="52"/>
              <w:rPr>
                <w:sz w:val="21"/>
                <w:szCs w:val="21"/>
              </w:rPr>
            </w:pPr>
            <w:r>
              <w:rPr>
                <w:spacing w:val="-2"/>
                <w:sz w:val="21"/>
                <w:szCs w:val="21"/>
              </w:rPr>
              <w:t>标识</w:t>
            </w:r>
          </w:p>
        </w:tc>
        <w:tc>
          <w:tcPr>
            <w:tcW w:w="1350" w:type="dxa"/>
            <w:gridSpan w:val="2"/>
            <w:vAlign w:val="top"/>
          </w:tcPr>
          <w:p>
            <w:pPr>
              <w:pStyle w:val="6"/>
              <w:spacing w:before="68" w:line="221" w:lineRule="auto"/>
              <w:ind w:left="383"/>
              <w:rPr>
                <w:sz w:val="21"/>
                <w:szCs w:val="21"/>
              </w:rPr>
            </w:pPr>
            <w:r>
              <w:rPr>
                <w:spacing w:val="-6"/>
                <w:sz w:val="21"/>
                <w:szCs w:val="21"/>
              </w:rPr>
              <w:t>中文名</w:t>
            </w:r>
          </w:p>
        </w:tc>
        <w:tc>
          <w:tcPr>
            <w:tcW w:w="3399" w:type="dxa"/>
            <w:gridSpan w:val="4"/>
            <w:vAlign w:val="top"/>
          </w:tcPr>
          <w:p>
            <w:pPr>
              <w:pStyle w:val="6"/>
              <w:spacing w:before="68" w:line="223" w:lineRule="auto"/>
              <w:ind w:left="1526"/>
              <w:rPr>
                <w:sz w:val="21"/>
                <w:szCs w:val="21"/>
              </w:rPr>
            </w:pPr>
            <w:r>
              <w:rPr>
                <w:spacing w:val="-10"/>
                <w:sz w:val="21"/>
                <w:szCs w:val="21"/>
              </w:rPr>
              <w:t>白油</w:t>
            </w:r>
          </w:p>
        </w:tc>
        <w:tc>
          <w:tcPr>
            <w:tcW w:w="2123" w:type="dxa"/>
            <w:gridSpan w:val="2"/>
            <w:vAlign w:val="top"/>
          </w:tcPr>
          <w:p>
            <w:pPr>
              <w:pStyle w:val="6"/>
              <w:spacing w:before="67" w:line="220" w:lineRule="auto"/>
              <w:ind w:left="341"/>
              <w:rPr>
                <w:sz w:val="21"/>
                <w:szCs w:val="21"/>
              </w:rPr>
            </w:pPr>
            <w:r>
              <w:rPr>
                <w:spacing w:val="-1"/>
                <w:sz w:val="21"/>
                <w:szCs w:val="21"/>
              </w:rPr>
              <w:t>危货及</w:t>
            </w:r>
            <w:r>
              <w:rPr>
                <w:spacing w:val="-50"/>
                <w:sz w:val="21"/>
                <w:szCs w:val="21"/>
              </w:rPr>
              <w:t xml:space="preserve"> </w:t>
            </w:r>
            <w:r>
              <w:rPr>
                <w:rFonts w:ascii="Times New Roman" w:hAnsi="Times New Roman" w:eastAsia="Times New Roman" w:cs="Times New Roman"/>
                <w:spacing w:val="-1"/>
                <w:sz w:val="21"/>
                <w:szCs w:val="21"/>
              </w:rPr>
              <w:t xml:space="preserve">UN </w:t>
            </w:r>
            <w:r>
              <w:rPr>
                <w:spacing w:val="-1"/>
                <w:sz w:val="21"/>
                <w:szCs w:val="21"/>
              </w:rPr>
              <w:t>编号</w:t>
            </w:r>
          </w:p>
        </w:tc>
        <w:tc>
          <w:tcPr>
            <w:tcW w:w="94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11" w:type="dxa"/>
            <w:vMerge w:val="continue"/>
            <w:tcBorders>
              <w:top w:val="nil"/>
            </w:tcBorders>
            <w:vAlign w:val="top"/>
          </w:tcPr>
          <w:p>
            <w:pPr>
              <w:rPr>
                <w:rFonts w:ascii="Arial"/>
                <w:sz w:val="21"/>
              </w:rPr>
            </w:pPr>
          </w:p>
        </w:tc>
        <w:tc>
          <w:tcPr>
            <w:tcW w:w="1350" w:type="dxa"/>
            <w:gridSpan w:val="2"/>
            <w:vAlign w:val="top"/>
          </w:tcPr>
          <w:p>
            <w:pPr>
              <w:pStyle w:val="6"/>
              <w:spacing w:before="63" w:line="221" w:lineRule="auto"/>
              <w:ind w:left="259"/>
              <w:rPr>
                <w:sz w:val="21"/>
                <w:szCs w:val="21"/>
              </w:rPr>
            </w:pPr>
            <w:r>
              <w:rPr>
                <w:spacing w:val="-2"/>
                <w:sz w:val="21"/>
                <w:szCs w:val="21"/>
              </w:rPr>
              <w:t>主要成分</w:t>
            </w:r>
          </w:p>
        </w:tc>
        <w:tc>
          <w:tcPr>
            <w:tcW w:w="3399" w:type="dxa"/>
            <w:gridSpan w:val="4"/>
            <w:vAlign w:val="top"/>
          </w:tcPr>
          <w:p>
            <w:pPr>
              <w:pStyle w:val="6"/>
              <w:spacing w:before="62" w:line="221" w:lineRule="auto"/>
              <w:ind w:left="251"/>
              <w:rPr>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16</w:t>
            </w:r>
            <w:r>
              <w:rPr>
                <w:spacing w:val="-1"/>
                <w:sz w:val="21"/>
                <w:szCs w:val="21"/>
              </w:rPr>
              <w:t>～</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
                <w:position w:val="-1"/>
                <w:sz w:val="13"/>
                <w:szCs w:val="13"/>
              </w:rPr>
              <w:t>31</w:t>
            </w:r>
            <w:r>
              <w:rPr>
                <w:rFonts w:ascii="Times New Roman" w:hAnsi="Times New Roman" w:eastAsia="Times New Roman" w:cs="Times New Roman"/>
                <w:spacing w:val="35"/>
                <w:w w:val="101"/>
                <w:position w:val="-1"/>
                <w:sz w:val="13"/>
                <w:szCs w:val="13"/>
              </w:rPr>
              <w:t xml:space="preserve"> </w:t>
            </w:r>
            <w:r>
              <w:rPr>
                <w:spacing w:val="-1"/>
                <w:sz w:val="21"/>
                <w:szCs w:val="21"/>
              </w:rPr>
              <w:t>的正异构烷烃的混合物</w:t>
            </w:r>
          </w:p>
        </w:tc>
        <w:tc>
          <w:tcPr>
            <w:tcW w:w="2123" w:type="dxa"/>
            <w:gridSpan w:val="2"/>
            <w:vAlign w:val="top"/>
          </w:tcPr>
          <w:p>
            <w:pPr>
              <w:pStyle w:val="6"/>
              <w:spacing w:before="63" w:line="221" w:lineRule="auto"/>
              <w:ind w:left="756"/>
              <w:rPr>
                <w:sz w:val="21"/>
                <w:szCs w:val="21"/>
              </w:rPr>
            </w:pPr>
            <w:r>
              <w:rPr>
                <w:spacing w:val="-2"/>
                <w:sz w:val="21"/>
                <w:szCs w:val="21"/>
              </w:rPr>
              <w:t>分子量</w:t>
            </w:r>
          </w:p>
        </w:tc>
        <w:tc>
          <w:tcPr>
            <w:tcW w:w="943" w:type="dxa"/>
            <w:gridSpan w:val="2"/>
            <w:vAlign w:val="top"/>
          </w:tcPr>
          <w:p>
            <w:pPr>
              <w:pStyle w:val="6"/>
              <w:spacing w:before="63" w:line="237" w:lineRule="auto"/>
              <w:ind w:left="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r>
              <w:rPr>
                <w:spacing w:val="-1"/>
                <w:sz w:val="21"/>
                <w:szCs w:val="21"/>
              </w:rPr>
              <w:t>～</w:t>
            </w:r>
            <w:r>
              <w:rPr>
                <w:rFonts w:ascii="Times New Roman" w:hAnsi="Times New Roman" w:eastAsia="Times New Roman" w:cs="Times New Roman"/>
                <w:spacing w:val="-1"/>
                <w:sz w:val="21"/>
                <w:szCs w:val="21"/>
              </w:rPr>
              <w:t>450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1"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6"/>
              <w:spacing w:before="68" w:line="229" w:lineRule="auto"/>
              <w:ind w:left="51" w:right="40" w:firstLine="2"/>
              <w:rPr>
                <w:sz w:val="21"/>
                <w:szCs w:val="21"/>
              </w:rPr>
            </w:pPr>
            <w:r>
              <w:rPr>
                <w:spacing w:val="-5"/>
                <w:sz w:val="21"/>
                <w:szCs w:val="21"/>
              </w:rPr>
              <w:t>理化</w:t>
            </w:r>
            <w:r>
              <w:rPr>
                <w:sz w:val="21"/>
                <w:szCs w:val="21"/>
              </w:rPr>
              <w:t xml:space="preserve"> </w:t>
            </w:r>
            <w:r>
              <w:rPr>
                <w:spacing w:val="-3"/>
                <w:sz w:val="21"/>
                <w:szCs w:val="21"/>
              </w:rPr>
              <w:t>特性</w:t>
            </w:r>
          </w:p>
        </w:tc>
        <w:tc>
          <w:tcPr>
            <w:tcW w:w="1350" w:type="dxa"/>
            <w:gridSpan w:val="2"/>
            <w:vAlign w:val="top"/>
          </w:tcPr>
          <w:p>
            <w:pPr>
              <w:pStyle w:val="6"/>
              <w:spacing w:before="29" w:line="224" w:lineRule="auto"/>
              <w:ind w:left="456" w:right="41" w:hanging="408"/>
              <w:rPr>
                <w:sz w:val="21"/>
                <w:szCs w:val="21"/>
              </w:rPr>
            </w:pPr>
            <w:r>
              <w:rPr>
                <w:spacing w:val="-1"/>
                <w:sz w:val="21"/>
                <w:szCs w:val="21"/>
              </w:rPr>
              <w:t>相对密度（水</w:t>
            </w:r>
            <w:r>
              <w:rPr>
                <w:sz w:val="21"/>
                <w:szCs w:val="21"/>
              </w:rPr>
              <w:t xml:space="preserve"> </w:t>
            </w:r>
            <w:r>
              <w:rPr>
                <w:rFonts w:ascii="Times New Roman" w:hAnsi="Times New Roman" w:eastAsia="Times New Roman" w:cs="Times New Roman"/>
                <w:spacing w:val="-1"/>
                <w:sz w:val="21"/>
                <w:szCs w:val="21"/>
              </w:rPr>
              <w:t>=1</w:t>
            </w:r>
            <w:r>
              <w:rPr>
                <w:spacing w:val="-1"/>
                <w:sz w:val="21"/>
                <w:szCs w:val="21"/>
              </w:rPr>
              <w:t>）</w:t>
            </w:r>
          </w:p>
        </w:tc>
        <w:tc>
          <w:tcPr>
            <w:tcW w:w="3399" w:type="dxa"/>
            <w:gridSpan w:val="4"/>
            <w:vAlign w:val="top"/>
          </w:tcPr>
          <w:p>
            <w:pPr>
              <w:pStyle w:val="6"/>
              <w:spacing w:before="166" w:line="237" w:lineRule="auto"/>
              <w:ind w:left="11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0.831</w:t>
            </w:r>
            <w:r>
              <w:rPr>
                <w:spacing w:val="-1"/>
                <w:sz w:val="21"/>
                <w:szCs w:val="21"/>
              </w:rPr>
              <w:t>～</w:t>
            </w:r>
            <w:r>
              <w:rPr>
                <w:rFonts w:ascii="Times New Roman" w:hAnsi="Times New Roman" w:eastAsia="Times New Roman" w:cs="Times New Roman"/>
                <w:spacing w:val="-1"/>
                <w:sz w:val="21"/>
                <w:szCs w:val="21"/>
              </w:rPr>
              <w:t>0.883</w:t>
            </w:r>
          </w:p>
        </w:tc>
        <w:tc>
          <w:tcPr>
            <w:tcW w:w="2123" w:type="dxa"/>
            <w:gridSpan w:val="2"/>
            <w:vAlign w:val="top"/>
          </w:tcPr>
          <w:p>
            <w:pPr>
              <w:pStyle w:val="6"/>
              <w:spacing w:before="166" w:line="235" w:lineRule="auto"/>
              <w:ind w:left="117"/>
              <w:rPr>
                <w:sz w:val="21"/>
                <w:szCs w:val="21"/>
              </w:rPr>
            </w:pPr>
            <w:r>
              <w:rPr>
                <w:spacing w:val="-1"/>
                <w:sz w:val="21"/>
                <w:szCs w:val="21"/>
              </w:rPr>
              <w:t>相对密度（空气</w:t>
            </w:r>
            <w:r>
              <w:rPr>
                <w:rFonts w:ascii="Times New Roman" w:hAnsi="Times New Roman" w:eastAsia="Times New Roman" w:cs="Times New Roman"/>
                <w:spacing w:val="-1"/>
                <w:sz w:val="21"/>
                <w:szCs w:val="21"/>
              </w:rPr>
              <w:t>=1</w:t>
            </w:r>
            <w:r>
              <w:rPr>
                <w:spacing w:val="-1"/>
                <w:sz w:val="21"/>
                <w:szCs w:val="21"/>
              </w:rPr>
              <w:t>）</w:t>
            </w:r>
          </w:p>
        </w:tc>
        <w:tc>
          <w:tcPr>
            <w:tcW w:w="94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continue"/>
            <w:tcBorders>
              <w:top w:val="nil"/>
              <w:bottom w:val="nil"/>
            </w:tcBorders>
            <w:vAlign w:val="top"/>
          </w:tcPr>
          <w:p>
            <w:pPr>
              <w:rPr>
                <w:rFonts w:ascii="Arial"/>
                <w:sz w:val="21"/>
              </w:rPr>
            </w:pPr>
          </w:p>
        </w:tc>
        <w:tc>
          <w:tcPr>
            <w:tcW w:w="1350" w:type="dxa"/>
            <w:gridSpan w:val="2"/>
            <w:vAlign w:val="top"/>
          </w:tcPr>
          <w:p>
            <w:pPr>
              <w:pStyle w:val="6"/>
              <w:spacing w:before="63" w:line="221" w:lineRule="auto"/>
              <w:ind w:left="156"/>
              <w:rPr>
                <w:sz w:val="21"/>
                <w:szCs w:val="21"/>
              </w:rPr>
            </w:pPr>
            <w:r>
              <w:rPr>
                <w:spacing w:val="-2"/>
                <w:sz w:val="21"/>
                <w:szCs w:val="21"/>
              </w:rPr>
              <w:t>外观与性状</w:t>
            </w:r>
          </w:p>
        </w:tc>
        <w:tc>
          <w:tcPr>
            <w:tcW w:w="6465" w:type="dxa"/>
            <w:gridSpan w:val="8"/>
            <w:vAlign w:val="top"/>
          </w:tcPr>
          <w:p>
            <w:pPr>
              <w:pStyle w:val="6"/>
              <w:spacing w:before="63" w:line="221" w:lineRule="auto"/>
              <w:ind w:left="1242"/>
              <w:rPr>
                <w:sz w:val="21"/>
                <w:szCs w:val="21"/>
              </w:rPr>
            </w:pPr>
            <w:r>
              <w:rPr>
                <w:spacing w:val="-5"/>
                <w:sz w:val="21"/>
                <w:szCs w:val="21"/>
              </w:rPr>
              <w:t>无色透明油状液体，</w:t>
            </w:r>
            <w:r>
              <w:rPr>
                <w:spacing w:val="-16"/>
                <w:sz w:val="21"/>
                <w:szCs w:val="21"/>
              </w:rPr>
              <w:t xml:space="preserve"> </w:t>
            </w:r>
            <w:r>
              <w:rPr>
                <w:spacing w:val="-5"/>
                <w:sz w:val="21"/>
                <w:szCs w:val="21"/>
              </w:rPr>
              <w:t>无臭味，具有润滑性。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continue"/>
            <w:tcBorders>
              <w:top w:val="nil"/>
              <w:bottom w:val="nil"/>
            </w:tcBorders>
            <w:vAlign w:val="top"/>
          </w:tcPr>
          <w:p>
            <w:pPr>
              <w:rPr>
                <w:rFonts w:ascii="Arial"/>
                <w:sz w:val="21"/>
              </w:rPr>
            </w:pPr>
          </w:p>
        </w:tc>
        <w:tc>
          <w:tcPr>
            <w:tcW w:w="1350" w:type="dxa"/>
            <w:gridSpan w:val="2"/>
            <w:vAlign w:val="top"/>
          </w:tcPr>
          <w:p>
            <w:pPr>
              <w:pStyle w:val="6"/>
              <w:spacing w:before="64" w:line="221" w:lineRule="auto"/>
              <w:ind w:left="365"/>
              <w:rPr>
                <w:sz w:val="21"/>
                <w:szCs w:val="21"/>
              </w:rPr>
            </w:pPr>
            <w:r>
              <w:rPr>
                <w:spacing w:val="-2"/>
                <w:sz w:val="21"/>
                <w:szCs w:val="21"/>
              </w:rPr>
              <w:t>溶解性</w:t>
            </w:r>
          </w:p>
        </w:tc>
        <w:tc>
          <w:tcPr>
            <w:tcW w:w="6465" w:type="dxa"/>
            <w:gridSpan w:val="8"/>
            <w:vAlign w:val="top"/>
          </w:tcPr>
          <w:p>
            <w:pPr>
              <w:pStyle w:val="6"/>
              <w:spacing w:before="63" w:line="221" w:lineRule="auto"/>
              <w:ind w:left="2398"/>
              <w:rPr>
                <w:sz w:val="21"/>
                <w:szCs w:val="21"/>
              </w:rPr>
            </w:pPr>
            <w:r>
              <w:rPr>
                <w:spacing w:val="-1"/>
                <w:sz w:val="21"/>
                <w:szCs w:val="21"/>
              </w:rPr>
              <w:t>不溶于水和乙醇。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11" w:type="dxa"/>
            <w:vMerge w:val="continue"/>
            <w:tcBorders>
              <w:top w:val="nil"/>
            </w:tcBorders>
            <w:vAlign w:val="top"/>
          </w:tcPr>
          <w:p>
            <w:pPr>
              <w:rPr>
                <w:rFonts w:ascii="Arial"/>
                <w:sz w:val="21"/>
              </w:rPr>
            </w:pPr>
          </w:p>
        </w:tc>
        <w:tc>
          <w:tcPr>
            <w:tcW w:w="1350" w:type="dxa"/>
            <w:gridSpan w:val="2"/>
            <w:vAlign w:val="top"/>
          </w:tcPr>
          <w:p>
            <w:pPr>
              <w:pStyle w:val="6"/>
              <w:spacing w:before="64" w:line="236" w:lineRule="auto"/>
              <w:ind w:left="256"/>
              <w:rPr>
                <w:rFonts w:ascii="Times New Roman" w:hAnsi="Times New Roman" w:eastAsia="Times New Roman" w:cs="Times New Roman"/>
                <w:sz w:val="21"/>
                <w:szCs w:val="21"/>
              </w:rPr>
            </w:pPr>
            <w:r>
              <w:rPr>
                <w:spacing w:val="-27"/>
                <w:sz w:val="21"/>
                <w:szCs w:val="21"/>
              </w:rPr>
              <w:t>沸点，</w:t>
            </w:r>
            <w:r>
              <w:rPr>
                <w:spacing w:val="4"/>
                <w:sz w:val="21"/>
                <w:szCs w:val="21"/>
              </w:rPr>
              <w:t xml:space="preserve"> </w:t>
            </w:r>
            <w:r>
              <w:rPr>
                <w:rFonts w:ascii="Times New Roman" w:hAnsi="Times New Roman" w:eastAsia="Times New Roman" w:cs="Times New Roman"/>
                <w:spacing w:val="-27"/>
                <w:sz w:val="21"/>
                <w:szCs w:val="21"/>
              </w:rPr>
              <w:t>℃</w:t>
            </w:r>
          </w:p>
        </w:tc>
        <w:tc>
          <w:tcPr>
            <w:tcW w:w="1749" w:type="dxa"/>
            <w:vAlign w:val="top"/>
          </w:tcPr>
          <w:p>
            <w:pPr>
              <w:rPr>
                <w:rFonts w:ascii="Arial"/>
                <w:sz w:val="21"/>
              </w:rPr>
            </w:pPr>
          </w:p>
        </w:tc>
        <w:tc>
          <w:tcPr>
            <w:tcW w:w="1746" w:type="dxa"/>
            <w:gridSpan w:val="4"/>
            <w:vAlign w:val="top"/>
          </w:tcPr>
          <w:p>
            <w:pPr>
              <w:pStyle w:val="6"/>
              <w:spacing w:before="64" w:line="235" w:lineRule="auto"/>
              <w:ind w:left="457"/>
              <w:rPr>
                <w:rFonts w:ascii="Times New Roman" w:hAnsi="Times New Roman" w:eastAsia="Times New Roman" w:cs="Times New Roman"/>
                <w:sz w:val="21"/>
                <w:szCs w:val="21"/>
              </w:rPr>
            </w:pPr>
            <w:r>
              <w:rPr>
                <w:spacing w:val="-27"/>
                <w:sz w:val="21"/>
                <w:szCs w:val="21"/>
              </w:rPr>
              <w:t>熔点，</w:t>
            </w:r>
            <w:r>
              <w:rPr>
                <w:spacing w:val="4"/>
                <w:sz w:val="21"/>
                <w:szCs w:val="21"/>
              </w:rPr>
              <w:t xml:space="preserve"> </w:t>
            </w:r>
            <w:r>
              <w:rPr>
                <w:rFonts w:ascii="Times New Roman" w:hAnsi="Times New Roman" w:eastAsia="Times New Roman" w:cs="Times New Roman"/>
                <w:spacing w:val="-27"/>
                <w:sz w:val="21"/>
                <w:szCs w:val="21"/>
              </w:rPr>
              <w:t>℃</w:t>
            </w:r>
          </w:p>
        </w:tc>
        <w:tc>
          <w:tcPr>
            <w:tcW w:w="297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8" w:line="229" w:lineRule="auto"/>
              <w:ind w:left="51" w:right="40"/>
              <w:rPr>
                <w:sz w:val="21"/>
                <w:szCs w:val="21"/>
              </w:rPr>
            </w:pPr>
            <w:r>
              <w:rPr>
                <w:spacing w:val="-4"/>
                <w:sz w:val="21"/>
                <w:szCs w:val="21"/>
              </w:rPr>
              <w:t>燃爆</w:t>
            </w:r>
            <w:r>
              <w:rPr>
                <w:sz w:val="21"/>
                <w:szCs w:val="21"/>
              </w:rPr>
              <w:t xml:space="preserve"> </w:t>
            </w:r>
            <w:r>
              <w:rPr>
                <w:spacing w:val="-3"/>
                <w:sz w:val="21"/>
                <w:szCs w:val="21"/>
              </w:rPr>
              <w:t>特性</w:t>
            </w:r>
          </w:p>
        </w:tc>
        <w:tc>
          <w:tcPr>
            <w:tcW w:w="1350" w:type="dxa"/>
            <w:gridSpan w:val="2"/>
            <w:vAlign w:val="top"/>
          </w:tcPr>
          <w:p>
            <w:pPr>
              <w:pStyle w:val="6"/>
              <w:spacing w:before="67" w:line="235" w:lineRule="auto"/>
              <w:ind w:left="274"/>
              <w:rPr>
                <w:rFonts w:ascii="Times New Roman" w:hAnsi="Times New Roman" w:eastAsia="Times New Roman" w:cs="Times New Roman"/>
                <w:sz w:val="21"/>
                <w:szCs w:val="21"/>
              </w:rPr>
            </w:pPr>
            <w:r>
              <w:rPr>
                <w:spacing w:val="-30"/>
                <w:sz w:val="21"/>
                <w:szCs w:val="21"/>
              </w:rPr>
              <w:t>闪点，</w:t>
            </w:r>
            <w:r>
              <w:rPr>
                <w:spacing w:val="-2"/>
                <w:sz w:val="21"/>
                <w:szCs w:val="21"/>
              </w:rPr>
              <w:t xml:space="preserve"> </w:t>
            </w:r>
            <w:r>
              <w:rPr>
                <w:rFonts w:ascii="Times New Roman" w:hAnsi="Times New Roman" w:eastAsia="Times New Roman" w:cs="Times New Roman"/>
                <w:spacing w:val="-30"/>
                <w:sz w:val="21"/>
                <w:szCs w:val="21"/>
              </w:rPr>
              <w:t>℃</w:t>
            </w:r>
          </w:p>
        </w:tc>
        <w:tc>
          <w:tcPr>
            <w:tcW w:w="1749" w:type="dxa"/>
            <w:vAlign w:val="top"/>
          </w:tcPr>
          <w:p>
            <w:pPr>
              <w:spacing w:before="102" w:line="219" w:lineRule="auto"/>
              <w:ind w:left="551"/>
              <w:rPr>
                <w:rFonts w:ascii="Times New Roman" w:hAnsi="Times New Roman" w:eastAsia="Times New Roman" w:cs="Times New Roman"/>
                <w:sz w:val="21"/>
                <w:szCs w:val="21"/>
              </w:rPr>
            </w:pPr>
            <w:r>
              <w:rPr>
                <w:rFonts w:ascii="Times New Roman" w:hAnsi="Times New Roman" w:eastAsia="Times New Roman" w:cs="Times New Roman"/>
                <w:sz w:val="21"/>
                <w:szCs w:val="21"/>
              </w:rPr>
              <w:t>≥130℃</w:t>
            </w:r>
          </w:p>
        </w:tc>
        <w:tc>
          <w:tcPr>
            <w:tcW w:w="3773" w:type="dxa"/>
            <w:gridSpan w:val="5"/>
            <w:vAlign w:val="top"/>
          </w:tcPr>
          <w:p>
            <w:pPr>
              <w:pStyle w:val="6"/>
              <w:spacing w:before="66" w:line="214" w:lineRule="auto"/>
              <w:ind w:left="1030"/>
              <w:rPr>
                <w:rFonts w:ascii="Times New Roman" w:hAnsi="Times New Roman" w:eastAsia="Times New Roman" w:cs="Times New Roman"/>
                <w:sz w:val="21"/>
                <w:szCs w:val="21"/>
              </w:rPr>
            </w:pPr>
            <w:r>
              <w:rPr>
                <w:spacing w:val="-8"/>
                <w:sz w:val="21"/>
                <w:szCs w:val="21"/>
              </w:rPr>
              <w:t>爆炸极限，</w:t>
            </w:r>
            <w:r>
              <w:rPr>
                <w:spacing w:val="-24"/>
                <w:sz w:val="21"/>
                <w:szCs w:val="21"/>
              </w:rPr>
              <w:t xml:space="preserve"> </w:t>
            </w:r>
            <w:r>
              <w:rPr>
                <w:rFonts w:ascii="Times New Roman" w:hAnsi="Times New Roman" w:eastAsia="Times New Roman" w:cs="Times New Roman"/>
                <w:spacing w:val="-8"/>
                <w:sz w:val="21"/>
                <w:szCs w:val="21"/>
              </w:rPr>
              <w:t>%(V/V)</w:t>
            </w:r>
          </w:p>
        </w:tc>
        <w:tc>
          <w:tcPr>
            <w:tcW w:w="94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continue"/>
            <w:tcBorders>
              <w:top w:val="nil"/>
              <w:bottom w:val="nil"/>
            </w:tcBorders>
            <w:vAlign w:val="top"/>
          </w:tcPr>
          <w:p>
            <w:pPr>
              <w:rPr>
                <w:rFonts w:ascii="Arial"/>
                <w:sz w:val="21"/>
              </w:rPr>
            </w:pPr>
          </w:p>
        </w:tc>
        <w:tc>
          <w:tcPr>
            <w:tcW w:w="1350" w:type="dxa"/>
            <w:gridSpan w:val="2"/>
            <w:vAlign w:val="top"/>
          </w:tcPr>
          <w:p>
            <w:pPr>
              <w:pStyle w:val="6"/>
              <w:spacing w:before="67" w:line="235" w:lineRule="auto"/>
              <w:ind w:left="62"/>
              <w:rPr>
                <w:rFonts w:ascii="Times New Roman" w:hAnsi="Times New Roman" w:eastAsia="Times New Roman" w:cs="Times New Roman"/>
                <w:sz w:val="21"/>
                <w:szCs w:val="21"/>
              </w:rPr>
            </w:pPr>
            <w:r>
              <w:rPr>
                <w:spacing w:val="-17"/>
                <w:sz w:val="21"/>
                <w:szCs w:val="21"/>
              </w:rPr>
              <w:t xml:space="preserve">引燃温度， </w:t>
            </w:r>
            <w:r>
              <w:rPr>
                <w:rFonts w:ascii="Times New Roman" w:hAnsi="Times New Roman" w:eastAsia="Times New Roman" w:cs="Times New Roman"/>
                <w:spacing w:val="-17"/>
                <w:sz w:val="21"/>
                <w:szCs w:val="21"/>
              </w:rPr>
              <w:t>℃</w:t>
            </w:r>
          </w:p>
        </w:tc>
        <w:tc>
          <w:tcPr>
            <w:tcW w:w="1749" w:type="dxa"/>
            <w:vAlign w:val="top"/>
          </w:tcPr>
          <w:p>
            <w:pPr>
              <w:rPr>
                <w:rFonts w:ascii="Arial"/>
                <w:sz w:val="21"/>
              </w:rPr>
            </w:pPr>
          </w:p>
        </w:tc>
        <w:tc>
          <w:tcPr>
            <w:tcW w:w="3773" w:type="dxa"/>
            <w:gridSpan w:val="5"/>
            <w:vAlign w:val="top"/>
          </w:tcPr>
          <w:p>
            <w:pPr>
              <w:pStyle w:val="6"/>
              <w:spacing w:before="66" w:line="221" w:lineRule="auto"/>
              <w:ind w:left="1181"/>
              <w:rPr>
                <w:rFonts w:ascii="Times New Roman" w:hAnsi="Times New Roman" w:eastAsia="Times New Roman" w:cs="Times New Roman"/>
                <w:sz w:val="21"/>
                <w:szCs w:val="21"/>
              </w:rPr>
            </w:pPr>
            <w:r>
              <w:rPr>
                <w:spacing w:val="-12"/>
                <w:sz w:val="21"/>
                <w:szCs w:val="21"/>
              </w:rPr>
              <w:t>临界压力，</w:t>
            </w:r>
            <w:r>
              <w:rPr>
                <w:spacing w:val="-26"/>
                <w:sz w:val="21"/>
                <w:szCs w:val="21"/>
              </w:rPr>
              <w:t xml:space="preserve"> </w:t>
            </w:r>
            <w:r>
              <w:rPr>
                <w:rFonts w:ascii="Times New Roman" w:hAnsi="Times New Roman" w:eastAsia="Times New Roman" w:cs="Times New Roman"/>
                <w:spacing w:val="-12"/>
                <w:sz w:val="21"/>
                <w:szCs w:val="21"/>
              </w:rPr>
              <w:t>MPa</w:t>
            </w:r>
          </w:p>
        </w:tc>
        <w:tc>
          <w:tcPr>
            <w:tcW w:w="94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continue"/>
            <w:tcBorders>
              <w:top w:val="nil"/>
              <w:bottom w:val="nil"/>
            </w:tcBorders>
            <w:vAlign w:val="top"/>
          </w:tcPr>
          <w:p>
            <w:pPr>
              <w:rPr>
                <w:rFonts w:ascii="Arial"/>
                <w:sz w:val="21"/>
              </w:rPr>
            </w:pPr>
          </w:p>
        </w:tc>
        <w:tc>
          <w:tcPr>
            <w:tcW w:w="1350" w:type="dxa"/>
            <w:gridSpan w:val="2"/>
            <w:vAlign w:val="top"/>
          </w:tcPr>
          <w:p>
            <w:pPr>
              <w:pStyle w:val="6"/>
              <w:spacing w:before="64" w:line="221" w:lineRule="auto"/>
              <w:ind w:left="50"/>
              <w:rPr>
                <w:sz w:val="21"/>
                <w:szCs w:val="21"/>
              </w:rPr>
            </w:pPr>
            <w:r>
              <w:rPr>
                <w:spacing w:val="-2"/>
                <w:sz w:val="21"/>
                <w:szCs w:val="21"/>
              </w:rPr>
              <w:t>火灾危险类别</w:t>
            </w:r>
          </w:p>
        </w:tc>
        <w:tc>
          <w:tcPr>
            <w:tcW w:w="1749" w:type="dxa"/>
            <w:vAlign w:val="top"/>
          </w:tcPr>
          <w:p>
            <w:pPr>
              <w:rPr>
                <w:rFonts w:ascii="Arial"/>
                <w:sz w:val="21"/>
              </w:rPr>
            </w:pPr>
          </w:p>
        </w:tc>
        <w:tc>
          <w:tcPr>
            <w:tcW w:w="3773" w:type="dxa"/>
            <w:gridSpan w:val="5"/>
            <w:vAlign w:val="top"/>
          </w:tcPr>
          <w:p>
            <w:pPr>
              <w:pStyle w:val="6"/>
              <w:spacing w:before="65" w:line="233" w:lineRule="auto"/>
              <w:ind w:left="1023"/>
              <w:rPr>
                <w:sz w:val="21"/>
                <w:szCs w:val="21"/>
              </w:rPr>
            </w:pPr>
            <w:r>
              <w:rPr>
                <w:spacing w:val="-1"/>
                <w:sz w:val="21"/>
                <w:szCs w:val="21"/>
              </w:rPr>
              <w:t>爆炸危险组别</w:t>
            </w:r>
            <w:r>
              <w:rPr>
                <w:rFonts w:ascii="Times New Roman" w:hAnsi="Times New Roman" w:eastAsia="Times New Roman" w:cs="Times New Roman"/>
                <w:spacing w:val="-1"/>
                <w:sz w:val="21"/>
                <w:szCs w:val="21"/>
              </w:rPr>
              <w:t>/</w:t>
            </w:r>
            <w:r>
              <w:rPr>
                <w:spacing w:val="-1"/>
                <w:sz w:val="21"/>
                <w:szCs w:val="21"/>
              </w:rPr>
              <w:t>类别</w:t>
            </w:r>
          </w:p>
        </w:tc>
        <w:tc>
          <w:tcPr>
            <w:tcW w:w="94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1" w:type="dxa"/>
            <w:vMerge w:val="continue"/>
            <w:tcBorders>
              <w:top w:val="nil"/>
              <w:bottom w:val="nil"/>
            </w:tcBorders>
            <w:vAlign w:val="top"/>
          </w:tcPr>
          <w:p>
            <w:pPr>
              <w:rPr>
                <w:rFonts w:ascii="Arial"/>
                <w:sz w:val="21"/>
              </w:rPr>
            </w:pPr>
          </w:p>
        </w:tc>
        <w:tc>
          <w:tcPr>
            <w:tcW w:w="1350" w:type="dxa"/>
            <w:gridSpan w:val="2"/>
            <w:vAlign w:val="top"/>
          </w:tcPr>
          <w:p>
            <w:pPr>
              <w:pStyle w:val="6"/>
              <w:spacing w:before="168" w:line="221" w:lineRule="auto"/>
              <w:ind w:left="260"/>
              <w:rPr>
                <w:sz w:val="21"/>
                <w:szCs w:val="21"/>
              </w:rPr>
            </w:pPr>
            <w:r>
              <w:rPr>
                <w:spacing w:val="-2"/>
                <w:sz w:val="21"/>
                <w:szCs w:val="21"/>
              </w:rPr>
              <w:t>危险特性</w:t>
            </w:r>
          </w:p>
        </w:tc>
        <w:tc>
          <w:tcPr>
            <w:tcW w:w="6465" w:type="dxa"/>
            <w:gridSpan w:val="8"/>
            <w:vAlign w:val="top"/>
          </w:tcPr>
          <w:p>
            <w:pPr>
              <w:pStyle w:val="6"/>
              <w:spacing w:before="31" w:line="223" w:lineRule="auto"/>
              <w:ind w:left="2501" w:right="1" w:hanging="2490"/>
              <w:rPr>
                <w:sz w:val="21"/>
                <w:szCs w:val="21"/>
              </w:rPr>
            </w:pPr>
            <w:r>
              <w:rPr>
                <w:spacing w:val="-5"/>
                <w:sz w:val="21"/>
                <w:szCs w:val="21"/>
              </w:rPr>
              <w:t>温度过高热、明火或与氧化剂接触，均有引燃危险。</w:t>
            </w:r>
            <w:r>
              <w:rPr>
                <w:spacing w:val="-6"/>
                <w:sz w:val="21"/>
                <w:szCs w:val="21"/>
              </w:rPr>
              <w:t>容器内压增大有 开</w:t>
            </w:r>
            <w:r>
              <w:rPr>
                <w:sz w:val="21"/>
                <w:szCs w:val="21"/>
              </w:rPr>
              <w:t xml:space="preserve"> </w:t>
            </w:r>
            <w:r>
              <w:rPr>
                <w:spacing w:val="-3"/>
                <w:sz w:val="21"/>
                <w:szCs w:val="21"/>
              </w:rPr>
              <w:t>裂或爆炸危险。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11" w:type="dxa"/>
            <w:vMerge w:val="continue"/>
            <w:tcBorders>
              <w:top w:val="nil"/>
            </w:tcBorders>
            <w:vAlign w:val="top"/>
          </w:tcPr>
          <w:p>
            <w:pPr>
              <w:rPr>
                <w:rFonts w:ascii="Arial"/>
                <w:sz w:val="21"/>
              </w:rPr>
            </w:pPr>
          </w:p>
        </w:tc>
        <w:tc>
          <w:tcPr>
            <w:tcW w:w="1350" w:type="dxa"/>
            <w:gridSpan w:val="2"/>
            <w:vAlign w:val="top"/>
          </w:tcPr>
          <w:p>
            <w:pPr>
              <w:pStyle w:val="6"/>
              <w:spacing w:before="168" w:line="221" w:lineRule="auto"/>
              <w:ind w:left="261"/>
              <w:rPr>
                <w:sz w:val="21"/>
                <w:szCs w:val="21"/>
              </w:rPr>
            </w:pPr>
            <w:r>
              <w:rPr>
                <w:spacing w:val="-3"/>
                <w:sz w:val="21"/>
                <w:szCs w:val="21"/>
              </w:rPr>
              <w:t>灭火方法</w:t>
            </w:r>
          </w:p>
        </w:tc>
        <w:tc>
          <w:tcPr>
            <w:tcW w:w="6465" w:type="dxa"/>
            <w:gridSpan w:val="8"/>
            <w:vAlign w:val="top"/>
          </w:tcPr>
          <w:p>
            <w:pPr>
              <w:pStyle w:val="6"/>
              <w:spacing w:before="32" w:line="223" w:lineRule="auto"/>
              <w:ind w:left="2990" w:right="1" w:hanging="2978"/>
              <w:rPr>
                <w:sz w:val="21"/>
                <w:szCs w:val="21"/>
              </w:rPr>
            </w:pPr>
            <w:r>
              <w:rPr>
                <w:spacing w:val="-1"/>
                <w:sz w:val="21"/>
                <w:szCs w:val="21"/>
              </w:rPr>
              <w:t>灭火剂：二氧化碳﹑干化学粉末、泡沫、砂、泥土或水雾</w:t>
            </w:r>
            <w:r>
              <w:rPr>
                <w:rFonts w:ascii="Times New Roman" w:hAnsi="Times New Roman" w:eastAsia="Times New Roman" w:cs="Times New Roman"/>
                <w:spacing w:val="-1"/>
                <w:sz w:val="21"/>
                <w:szCs w:val="21"/>
              </w:rPr>
              <w:t>(</w:t>
            </w:r>
            <w:r>
              <w:rPr>
                <w:spacing w:val="-1"/>
                <w:sz w:val="21"/>
                <w:szCs w:val="21"/>
              </w:rPr>
              <w:t>不可用水 喷</w:t>
            </w:r>
            <w:r>
              <w:rPr>
                <w:spacing w:val="2"/>
                <w:sz w:val="21"/>
                <w:szCs w:val="21"/>
              </w:rPr>
              <w:t xml:space="preserve"> </w:t>
            </w:r>
            <w:r>
              <w:rPr>
                <w:spacing w:val="-3"/>
                <w:sz w:val="21"/>
                <w:szCs w:val="21"/>
              </w:rPr>
              <w:t>射</w:t>
            </w:r>
            <w:r>
              <w:rPr>
                <w:rFonts w:ascii="Times New Roman" w:hAnsi="Times New Roman" w:eastAsia="Times New Roman" w:cs="Times New Roman"/>
                <w:spacing w:val="-3"/>
                <w:sz w:val="21"/>
                <w:szCs w:val="21"/>
              </w:rPr>
              <w:t>)</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8" w:line="221" w:lineRule="auto"/>
              <w:ind w:left="52"/>
              <w:rPr>
                <w:sz w:val="21"/>
                <w:szCs w:val="21"/>
              </w:rPr>
            </w:pPr>
            <w:r>
              <w:rPr>
                <w:spacing w:val="-2"/>
                <w:sz w:val="21"/>
                <w:szCs w:val="21"/>
              </w:rPr>
              <w:t>毒性</w:t>
            </w:r>
          </w:p>
          <w:p>
            <w:pPr>
              <w:pStyle w:val="6"/>
              <w:spacing w:before="22" w:line="222" w:lineRule="auto"/>
              <w:ind w:left="50"/>
              <w:rPr>
                <w:sz w:val="21"/>
                <w:szCs w:val="21"/>
              </w:rPr>
            </w:pPr>
            <w:r>
              <w:rPr>
                <w:spacing w:val="-2"/>
                <w:sz w:val="21"/>
                <w:szCs w:val="21"/>
              </w:rPr>
              <w:t>及健</w:t>
            </w:r>
          </w:p>
          <w:p>
            <w:pPr>
              <w:pStyle w:val="6"/>
              <w:spacing w:before="18" w:line="221" w:lineRule="auto"/>
              <w:ind w:left="50"/>
              <w:rPr>
                <w:sz w:val="21"/>
                <w:szCs w:val="21"/>
              </w:rPr>
            </w:pPr>
            <w:r>
              <w:rPr>
                <w:spacing w:val="-2"/>
                <w:sz w:val="21"/>
                <w:szCs w:val="21"/>
              </w:rPr>
              <w:t>康危</w:t>
            </w:r>
          </w:p>
          <w:p>
            <w:pPr>
              <w:pStyle w:val="6"/>
              <w:spacing w:before="23" w:line="221" w:lineRule="auto"/>
              <w:ind w:left="158"/>
              <w:rPr>
                <w:sz w:val="21"/>
                <w:szCs w:val="21"/>
              </w:rPr>
            </w:pPr>
            <w:r>
              <w:rPr>
                <w:sz w:val="21"/>
                <w:szCs w:val="21"/>
              </w:rPr>
              <w:t>害</w:t>
            </w:r>
          </w:p>
        </w:tc>
        <w:tc>
          <w:tcPr>
            <w:tcW w:w="923" w:type="dxa"/>
            <w:vAlign w:val="top"/>
          </w:tcPr>
          <w:p>
            <w:pPr>
              <w:pStyle w:val="6"/>
              <w:spacing w:before="65" w:line="221" w:lineRule="auto"/>
              <w:ind w:left="50"/>
              <w:rPr>
                <w:sz w:val="21"/>
                <w:szCs w:val="21"/>
              </w:rPr>
            </w:pPr>
            <w:r>
              <w:rPr>
                <w:spacing w:val="-3"/>
                <w:sz w:val="21"/>
                <w:szCs w:val="21"/>
              </w:rPr>
              <w:t>急性毒性</w:t>
            </w:r>
          </w:p>
        </w:tc>
        <w:tc>
          <w:tcPr>
            <w:tcW w:w="2835" w:type="dxa"/>
            <w:gridSpan w:val="3"/>
            <w:vAlign w:val="top"/>
          </w:tcPr>
          <w:p>
            <w:pPr>
              <w:pStyle w:val="6"/>
              <w:spacing w:before="66" w:line="213"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LD50(mg/kg,</w:t>
            </w:r>
            <w:r>
              <w:rPr>
                <w:spacing w:val="-1"/>
                <w:sz w:val="21"/>
                <w:szCs w:val="21"/>
              </w:rPr>
              <w:t>大鼠经口</w:t>
            </w:r>
            <w:r>
              <w:rPr>
                <w:rFonts w:ascii="Times New Roman" w:hAnsi="Times New Roman" w:eastAsia="Times New Roman" w:cs="Times New Roman"/>
                <w:spacing w:val="-1"/>
                <w:sz w:val="21"/>
                <w:szCs w:val="21"/>
              </w:rPr>
              <w:t>)</w:t>
            </w:r>
          </w:p>
        </w:tc>
        <w:tc>
          <w:tcPr>
            <w:tcW w:w="852" w:type="dxa"/>
            <w:vAlign w:val="top"/>
          </w:tcPr>
          <w:p>
            <w:pPr>
              <w:spacing w:before="186" w:line="108" w:lineRule="exact"/>
              <w:ind w:left="22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692" w:type="dxa"/>
            <w:gridSpan w:val="4"/>
            <w:vAlign w:val="top"/>
          </w:tcPr>
          <w:p>
            <w:pPr>
              <w:pStyle w:val="6"/>
              <w:spacing w:before="66" w:line="213" w:lineRule="auto"/>
              <w:ind w:left="94"/>
              <w:rPr>
                <w:sz w:val="21"/>
                <w:szCs w:val="21"/>
              </w:rPr>
            </w:pPr>
            <w:r>
              <w:rPr>
                <w:rFonts w:ascii="Times New Roman" w:hAnsi="Times New Roman" w:eastAsia="Times New Roman" w:cs="Times New Roman"/>
                <w:spacing w:val="-2"/>
                <w:sz w:val="21"/>
                <w:szCs w:val="21"/>
              </w:rPr>
              <w:t>LC50</w:t>
            </w:r>
            <w:r>
              <w:rPr>
                <w:spacing w:val="-2"/>
                <w:sz w:val="21"/>
                <w:szCs w:val="21"/>
              </w:rPr>
              <w:t>（</w:t>
            </w:r>
            <w:r>
              <w:rPr>
                <w:rFonts w:ascii="Times New Roman" w:hAnsi="Times New Roman" w:eastAsia="Times New Roman" w:cs="Times New Roman"/>
                <w:spacing w:val="-2"/>
                <w:sz w:val="21"/>
                <w:szCs w:val="21"/>
              </w:rPr>
              <w:t>mg/m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position w:val="6"/>
                <w:sz w:val="13"/>
                <w:szCs w:val="13"/>
              </w:rPr>
              <w:t xml:space="preserve"> </w:t>
            </w:r>
            <w:r>
              <w:rPr>
                <w:spacing w:val="-2"/>
                <w:sz w:val="21"/>
                <w:szCs w:val="21"/>
              </w:rPr>
              <w:t>，大鼠吸入）</w:t>
            </w:r>
          </w:p>
        </w:tc>
        <w:tc>
          <w:tcPr>
            <w:tcW w:w="513" w:type="dxa"/>
            <w:vAlign w:val="top"/>
          </w:tcPr>
          <w:p>
            <w:pPr>
              <w:spacing w:before="186" w:line="108" w:lineRule="exact"/>
              <w:ind w:left="5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Merge w:val="continue"/>
            <w:tcBorders>
              <w:top w:val="nil"/>
              <w:bottom w:val="nil"/>
            </w:tcBorders>
            <w:vAlign w:val="top"/>
          </w:tcPr>
          <w:p>
            <w:pPr>
              <w:rPr>
                <w:rFonts w:ascii="Arial"/>
                <w:sz w:val="21"/>
              </w:rPr>
            </w:pPr>
          </w:p>
        </w:tc>
        <w:tc>
          <w:tcPr>
            <w:tcW w:w="923" w:type="dxa"/>
            <w:vAlign w:val="top"/>
          </w:tcPr>
          <w:p>
            <w:pPr>
              <w:pStyle w:val="6"/>
              <w:spacing w:before="65" w:line="221" w:lineRule="auto"/>
              <w:ind w:left="44"/>
              <w:rPr>
                <w:sz w:val="21"/>
                <w:szCs w:val="21"/>
              </w:rPr>
            </w:pPr>
            <w:r>
              <w:rPr>
                <w:spacing w:val="-2"/>
                <w:sz w:val="21"/>
                <w:szCs w:val="21"/>
              </w:rPr>
              <w:t>健康危害</w:t>
            </w:r>
          </w:p>
        </w:tc>
        <w:tc>
          <w:tcPr>
            <w:tcW w:w="6892" w:type="dxa"/>
            <w:gridSpan w:val="9"/>
            <w:vAlign w:val="top"/>
          </w:tcPr>
          <w:p>
            <w:pPr>
              <w:pStyle w:val="6"/>
              <w:spacing w:before="66" w:line="220" w:lineRule="auto"/>
              <w:ind w:left="96"/>
              <w:rPr>
                <w:sz w:val="21"/>
                <w:szCs w:val="21"/>
              </w:rPr>
            </w:pPr>
            <w:r>
              <w:rPr>
                <w:spacing w:val="-7"/>
                <w:sz w:val="21"/>
                <w:szCs w:val="21"/>
              </w:rPr>
              <w:t>吸入： 吸入大量挥发气体会感觉眩晕。  眼接触：有刺激感，</w:t>
            </w:r>
            <w:r>
              <w:rPr>
                <w:spacing w:val="-5"/>
                <w:sz w:val="21"/>
                <w:szCs w:val="21"/>
              </w:rPr>
              <w:t xml:space="preserve"> </w:t>
            </w:r>
            <w:r>
              <w:rPr>
                <w:spacing w:val="-7"/>
                <w:sz w:val="21"/>
                <w:szCs w:val="21"/>
              </w:rPr>
              <w:t>损伤视力。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511" w:type="dxa"/>
            <w:vMerge w:val="continue"/>
            <w:tcBorders>
              <w:top w:val="nil"/>
              <w:bottom w:val="nil"/>
            </w:tcBorders>
            <w:vAlign w:val="top"/>
          </w:tcPr>
          <w:p>
            <w:pPr>
              <w:rPr>
                <w:rFonts w:ascii="Arial"/>
                <w:sz w:val="21"/>
              </w:rPr>
            </w:pPr>
          </w:p>
        </w:tc>
        <w:tc>
          <w:tcPr>
            <w:tcW w:w="923" w:type="dxa"/>
            <w:vAlign w:val="top"/>
          </w:tcPr>
          <w:p>
            <w:pPr>
              <w:spacing w:line="370" w:lineRule="auto"/>
              <w:rPr>
                <w:rFonts w:ascii="Arial"/>
                <w:sz w:val="21"/>
              </w:rPr>
            </w:pPr>
          </w:p>
          <w:p>
            <w:pPr>
              <w:pStyle w:val="6"/>
              <w:spacing w:before="68" w:line="231" w:lineRule="auto"/>
              <w:ind w:left="255" w:right="39" w:hanging="212"/>
              <w:rPr>
                <w:sz w:val="21"/>
                <w:szCs w:val="21"/>
              </w:rPr>
            </w:pPr>
            <w:r>
              <w:rPr>
                <w:spacing w:val="-2"/>
                <w:sz w:val="21"/>
                <w:szCs w:val="21"/>
              </w:rPr>
              <w:t>操作注意</w:t>
            </w:r>
            <w:r>
              <w:rPr>
                <w:spacing w:val="2"/>
                <w:sz w:val="21"/>
                <w:szCs w:val="21"/>
              </w:rPr>
              <w:t xml:space="preserve"> </w:t>
            </w:r>
            <w:r>
              <w:rPr>
                <w:spacing w:val="-2"/>
                <w:sz w:val="21"/>
                <w:szCs w:val="21"/>
              </w:rPr>
              <w:t>事项</w:t>
            </w:r>
          </w:p>
        </w:tc>
        <w:tc>
          <w:tcPr>
            <w:tcW w:w="6892" w:type="dxa"/>
            <w:gridSpan w:val="9"/>
            <w:vAlign w:val="top"/>
          </w:tcPr>
          <w:p>
            <w:pPr>
              <w:pStyle w:val="6"/>
              <w:spacing w:before="34" w:line="234" w:lineRule="auto"/>
              <w:ind w:left="9"/>
              <w:jc w:val="both"/>
              <w:rPr>
                <w:sz w:val="21"/>
                <w:szCs w:val="21"/>
              </w:rPr>
            </w:pPr>
            <w:r>
              <w:rPr>
                <w:spacing w:val="-2"/>
                <w:sz w:val="21"/>
                <w:szCs w:val="21"/>
              </w:rPr>
              <w:t>密闭操作，全面通风。操作人员必须经过专门培训，严格遵守操作规程。远</w:t>
            </w:r>
            <w:r>
              <w:rPr>
                <w:spacing w:val="9"/>
                <w:sz w:val="21"/>
                <w:szCs w:val="21"/>
              </w:rPr>
              <w:t xml:space="preserve"> </w:t>
            </w:r>
            <w:r>
              <w:rPr>
                <w:spacing w:val="-2"/>
                <w:sz w:val="21"/>
                <w:szCs w:val="21"/>
              </w:rPr>
              <w:t>离火种、热源，工作场所严禁吸烟。使用防爆型的通风系统和设备。防止气</w:t>
            </w:r>
            <w:r>
              <w:rPr>
                <w:spacing w:val="8"/>
                <w:sz w:val="21"/>
                <w:szCs w:val="21"/>
              </w:rPr>
              <w:t xml:space="preserve"> </w:t>
            </w:r>
            <w:r>
              <w:rPr>
                <w:spacing w:val="-2"/>
                <w:sz w:val="21"/>
                <w:szCs w:val="21"/>
              </w:rPr>
              <w:t>体泄漏到工作场所空气中。避免与氧化剂接触。在传送过程中，容器必须接</w:t>
            </w:r>
            <w:r>
              <w:rPr>
                <w:spacing w:val="12"/>
                <w:sz w:val="21"/>
                <w:szCs w:val="21"/>
              </w:rPr>
              <w:t xml:space="preserve"> </w:t>
            </w:r>
            <w:r>
              <w:rPr>
                <w:spacing w:val="-2"/>
                <w:sz w:val="21"/>
                <w:szCs w:val="21"/>
              </w:rPr>
              <w:t>地和跨接，防止产生静电。搬运时轻装轻卸，防止容器及附件破损。配备相</w:t>
            </w:r>
          </w:p>
          <w:p>
            <w:pPr>
              <w:pStyle w:val="6"/>
              <w:spacing w:before="23" w:line="204" w:lineRule="auto"/>
              <w:ind w:left="1243"/>
              <w:rPr>
                <w:sz w:val="21"/>
                <w:szCs w:val="21"/>
              </w:rPr>
            </w:pPr>
            <w:r>
              <w:rPr>
                <w:spacing w:val="-1"/>
                <w:sz w:val="21"/>
                <w:szCs w:val="21"/>
              </w:rPr>
              <w:t>应品种和数量的消防器材及泄漏应急处理设备。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11" w:type="dxa"/>
            <w:vMerge w:val="continue"/>
            <w:tcBorders>
              <w:top w:val="nil"/>
            </w:tcBorders>
            <w:vAlign w:val="top"/>
          </w:tcPr>
          <w:p>
            <w:pPr>
              <w:rPr>
                <w:rFonts w:ascii="Arial"/>
                <w:sz w:val="21"/>
              </w:rPr>
            </w:pPr>
          </w:p>
        </w:tc>
        <w:tc>
          <w:tcPr>
            <w:tcW w:w="923" w:type="dxa"/>
            <w:vAlign w:val="top"/>
          </w:tcPr>
          <w:p>
            <w:pPr>
              <w:pStyle w:val="6"/>
              <w:spacing w:before="306" w:line="221" w:lineRule="auto"/>
              <w:ind w:left="50"/>
              <w:rPr>
                <w:sz w:val="21"/>
                <w:szCs w:val="21"/>
              </w:rPr>
            </w:pPr>
            <w:r>
              <w:rPr>
                <w:spacing w:val="-3"/>
                <w:sz w:val="21"/>
                <w:szCs w:val="21"/>
              </w:rPr>
              <w:t>急救措施</w:t>
            </w:r>
          </w:p>
        </w:tc>
        <w:tc>
          <w:tcPr>
            <w:tcW w:w="6892" w:type="dxa"/>
            <w:gridSpan w:val="9"/>
            <w:vAlign w:val="top"/>
          </w:tcPr>
          <w:p>
            <w:pPr>
              <w:pStyle w:val="6"/>
              <w:spacing w:before="35" w:line="221" w:lineRule="auto"/>
              <w:ind w:left="12"/>
              <w:rPr>
                <w:sz w:val="21"/>
                <w:szCs w:val="21"/>
              </w:rPr>
            </w:pPr>
            <w:r>
              <w:rPr>
                <w:spacing w:val="-2"/>
                <w:sz w:val="21"/>
                <w:szCs w:val="21"/>
              </w:rPr>
              <w:t>皮肤接触：建议使用脂枪加脂，如意外注射使皮肤受伤，应送医治疗。眼接</w:t>
            </w:r>
          </w:p>
          <w:p>
            <w:pPr>
              <w:pStyle w:val="6"/>
              <w:spacing w:before="21" w:line="222" w:lineRule="auto"/>
              <w:ind w:left="507" w:hanging="498"/>
              <w:rPr>
                <w:sz w:val="21"/>
                <w:szCs w:val="21"/>
              </w:rPr>
            </w:pPr>
            <w:r>
              <w:rPr>
                <w:spacing w:val="-4"/>
                <w:sz w:val="21"/>
                <w:szCs w:val="21"/>
              </w:rPr>
              <w:t>触：</w:t>
            </w:r>
            <w:r>
              <w:rPr>
                <w:spacing w:val="-27"/>
                <w:sz w:val="21"/>
                <w:szCs w:val="21"/>
              </w:rPr>
              <w:t xml:space="preserve"> </w:t>
            </w:r>
            <w:r>
              <w:rPr>
                <w:spacing w:val="-4"/>
                <w:sz w:val="21"/>
                <w:szCs w:val="21"/>
              </w:rPr>
              <w:t>张开眼皮，以洁净清水冲洗，如刺激持续，建议看医生。食入：用清水</w:t>
            </w:r>
            <w:r>
              <w:rPr>
                <w:sz w:val="21"/>
                <w:szCs w:val="21"/>
              </w:rPr>
              <w:t xml:space="preserve"> </w:t>
            </w:r>
            <w:r>
              <w:rPr>
                <w:spacing w:val="-7"/>
                <w:sz w:val="21"/>
                <w:szCs w:val="21"/>
              </w:rPr>
              <w:t>洗胃稀释， 毋须诱发呕吐，如大量入肚确感不适， 需立即</w:t>
            </w:r>
            <w:r>
              <w:rPr>
                <w:spacing w:val="-8"/>
                <w:sz w:val="21"/>
                <w:szCs w:val="21"/>
              </w:rPr>
              <w:t>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511" w:type="dxa"/>
            <w:vAlign w:val="top"/>
          </w:tcPr>
          <w:p>
            <w:pPr>
              <w:spacing w:line="370" w:lineRule="auto"/>
              <w:rPr>
                <w:rFonts w:ascii="Arial"/>
                <w:sz w:val="21"/>
              </w:rPr>
            </w:pPr>
          </w:p>
          <w:p>
            <w:pPr>
              <w:pStyle w:val="6"/>
              <w:spacing w:before="68" w:line="235" w:lineRule="auto"/>
              <w:ind w:left="51" w:right="40" w:firstLine="3"/>
              <w:jc w:val="both"/>
              <w:rPr>
                <w:sz w:val="21"/>
                <w:szCs w:val="21"/>
              </w:rPr>
            </w:pPr>
            <w:r>
              <w:rPr>
                <w:spacing w:val="-5"/>
                <w:sz w:val="21"/>
                <w:szCs w:val="21"/>
              </w:rPr>
              <w:t>泄漏</w:t>
            </w:r>
            <w:r>
              <w:rPr>
                <w:sz w:val="21"/>
                <w:szCs w:val="21"/>
              </w:rPr>
              <w:t xml:space="preserve"> </w:t>
            </w:r>
            <w:r>
              <w:rPr>
                <w:spacing w:val="-3"/>
                <w:sz w:val="21"/>
                <w:szCs w:val="21"/>
              </w:rPr>
              <w:t>应急</w:t>
            </w:r>
            <w:r>
              <w:rPr>
                <w:sz w:val="21"/>
                <w:szCs w:val="21"/>
              </w:rPr>
              <w:t xml:space="preserve"> </w:t>
            </w:r>
            <w:r>
              <w:rPr>
                <w:spacing w:val="-3"/>
                <w:sz w:val="21"/>
                <w:szCs w:val="21"/>
              </w:rPr>
              <w:t>处理</w:t>
            </w:r>
          </w:p>
        </w:tc>
        <w:tc>
          <w:tcPr>
            <w:tcW w:w="7815" w:type="dxa"/>
            <w:gridSpan w:val="10"/>
            <w:vAlign w:val="top"/>
          </w:tcPr>
          <w:p>
            <w:pPr>
              <w:pStyle w:val="6"/>
              <w:spacing w:before="32" w:line="236" w:lineRule="auto"/>
              <w:ind w:left="9" w:firstLine="12"/>
              <w:jc w:val="both"/>
              <w:rPr>
                <w:sz w:val="21"/>
                <w:szCs w:val="21"/>
              </w:rPr>
            </w:pPr>
            <w:r>
              <w:rPr>
                <w:spacing w:val="-7"/>
                <w:sz w:val="21"/>
                <w:szCs w:val="21"/>
              </w:rPr>
              <w:t>迅速撤离泄漏污染区人员至上风处，</w:t>
            </w:r>
            <w:r>
              <w:rPr>
                <w:spacing w:val="-3"/>
                <w:sz w:val="21"/>
                <w:szCs w:val="21"/>
              </w:rPr>
              <w:t xml:space="preserve"> </w:t>
            </w:r>
            <w:r>
              <w:rPr>
                <w:spacing w:val="-7"/>
                <w:sz w:val="21"/>
                <w:szCs w:val="21"/>
              </w:rPr>
              <w:t>并进行隔离，</w:t>
            </w:r>
            <w:r>
              <w:rPr>
                <w:spacing w:val="-24"/>
                <w:sz w:val="21"/>
                <w:szCs w:val="21"/>
              </w:rPr>
              <w:t xml:space="preserve"> </w:t>
            </w:r>
            <w:r>
              <w:rPr>
                <w:spacing w:val="-7"/>
                <w:sz w:val="21"/>
                <w:szCs w:val="21"/>
              </w:rPr>
              <w:t>严格限制出入。切断火源，防止火</w:t>
            </w:r>
            <w:r>
              <w:rPr>
                <w:sz w:val="21"/>
                <w:szCs w:val="21"/>
              </w:rPr>
              <w:t xml:space="preserve">  </w:t>
            </w:r>
            <w:r>
              <w:rPr>
                <w:spacing w:val="-6"/>
                <w:sz w:val="21"/>
                <w:szCs w:val="21"/>
              </w:rPr>
              <w:t>花产生，除处理备油人员外，从速撤离现场</w:t>
            </w:r>
            <w:r>
              <w:rPr>
                <w:spacing w:val="-7"/>
                <w:sz w:val="21"/>
                <w:szCs w:val="21"/>
              </w:rPr>
              <w:t>，</w:t>
            </w:r>
            <w:r>
              <w:rPr>
                <w:spacing w:val="-27"/>
                <w:sz w:val="21"/>
                <w:szCs w:val="21"/>
              </w:rPr>
              <w:t xml:space="preserve"> </w:t>
            </w:r>
            <w:r>
              <w:rPr>
                <w:spacing w:val="-7"/>
                <w:sz w:val="21"/>
                <w:szCs w:val="21"/>
              </w:rPr>
              <w:t>避免吸入油雾； 小量泄漏：用砂泥土或</w:t>
            </w:r>
            <w:r>
              <w:rPr>
                <w:sz w:val="21"/>
                <w:szCs w:val="21"/>
              </w:rPr>
              <w:t xml:space="preserve">  </w:t>
            </w:r>
            <w:r>
              <w:rPr>
                <w:spacing w:val="-4"/>
                <w:sz w:val="21"/>
                <w:szCs w:val="21"/>
              </w:rPr>
              <w:t>木屑， 吸收溢出的油，然后移至安全地点。根</w:t>
            </w:r>
            <w:r>
              <w:rPr>
                <w:spacing w:val="-5"/>
                <w:sz w:val="21"/>
                <w:szCs w:val="21"/>
              </w:rPr>
              <w:t>据有关法例处理，后以大量水冲洗被沾</w:t>
            </w:r>
            <w:r>
              <w:rPr>
                <w:sz w:val="21"/>
                <w:szCs w:val="21"/>
              </w:rPr>
              <w:t xml:space="preserve">  </w:t>
            </w:r>
            <w:r>
              <w:rPr>
                <w:spacing w:val="-7"/>
                <w:sz w:val="21"/>
                <w:szCs w:val="21"/>
              </w:rPr>
              <w:t>污的地方；</w:t>
            </w:r>
            <w:r>
              <w:rPr>
                <w:spacing w:val="-8"/>
                <w:sz w:val="21"/>
                <w:szCs w:val="21"/>
              </w:rPr>
              <w:t xml:space="preserve"> </w:t>
            </w:r>
            <w:r>
              <w:rPr>
                <w:spacing w:val="-7"/>
                <w:sz w:val="21"/>
                <w:szCs w:val="21"/>
              </w:rPr>
              <w:t>大量泄漏：以砂或泥土截溢油蔓延，防止溢油流入下水道。如有可能， 将</w:t>
            </w:r>
            <w:r>
              <w:rPr>
                <w:sz w:val="21"/>
                <w:szCs w:val="21"/>
              </w:rPr>
              <w:t xml:space="preserve">  </w:t>
            </w:r>
            <w:r>
              <w:rPr>
                <w:spacing w:val="-8"/>
                <w:sz w:val="21"/>
                <w:szCs w:val="21"/>
              </w:rPr>
              <w:t>溢油以槽罐截起，随后处理，</w:t>
            </w:r>
            <w:r>
              <w:rPr>
                <w:spacing w:val="-21"/>
                <w:sz w:val="21"/>
                <w:szCs w:val="21"/>
              </w:rPr>
              <w:t xml:space="preserve"> </w:t>
            </w:r>
            <w:r>
              <w:rPr>
                <w:spacing w:val="-8"/>
                <w:sz w:val="21"/>
                <w:szCs w:val="21"/>
              </w:rPr>
              <w:t>或按</w:t>
            </w:r>
            <w:r>
              <w:rPr>
                <w:rFonts w:ascii="Times New Roman" w:hAnsi="Times New Roman" w:eastAsia="Times New Roman" w:cs="Times New Roman"/>
                <w:spacing w:val="-8"/>
                <w:sz w:val="21"/>
                <w:szCs w:val="21"/>
              </w:rPr>
              <w:t>“</w:t>
            </w:r>
            <w:r>
              <w:rPr>
                <w:spacing w:val="-8"/>
                <w:sz w:val="21"/>
                <w:szCs w:val="21"/>
              </w:rPr>
              <w:t>小量泄漏</w:t>
            </w:r>
            <w:r>
              <w:rPr>
                <w:rFonts w:ascii="Times New Roman" w:hAnsi="Times New Roman" w:eastAsia="Times New Roman" w:cs="Times New Roman"/>
                <w:spacing w:val="-8"/>
                <w:sz w:val="21"/>
                <w:szCs w:val="21"/>
              </w:rPr>
              <w:t>”</w:t>
            </w:r>
            <w:r>
              <w:rPr>
                <w:spacing w:val="-8"/>
                <w:sz w:val="21"/>
                <w:szCs w:val="21"/>
              </w:rPr>
              <w:t>方法处理。漏气容器要妥善处理，</w:t>
            </w:r>
            <w:r>
              <w:rPr>
                <w:spacing w:val="-35"/>
                <w:sz w:val="21"/>
                <w:szCs w:val="21"/>
              </w:rPr>
              <w:t xml:space="preserve"> </w:t>
            </w:r>
            <w:r>
              <w:rPr>
                <w:spacing w:val="-8"/>
                <w:sz w:val="21"/>
                <w:szCs w:val="21"/>
              </w:rPr>
              <w:t>修复、</w:t>
            </w:r>
          </w:p>
          <w:p>
            <w:pPr>
              <w:pStyle w:val="6"/>
              <w:spacing w:before="22" w:line="204" w:lineRule="auto"/>
              <w:ind w:left="3279"/>
              <w:rPr>
                <w:sz w:val="21"/>
                <w:szCs w:val="21"/>
              </w:rPr>
            </w:pPr>
            <w:r>
              <w:rPr>
                <w:spacing w:val="-1"/>
                <w:sz w:val="21"/>
                <w:szCs w:val="21"/>
              </w:rPr>
              <w:t>检验后再用。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1" w:type="dxa"/>
            <w:vAlign w:val="top"/>
          </w:tcPr>
          <w:p>
            <w:pPr>
              <w:pStyle w:val="6"/>
              <w:spacing w:before="68" w:line="221" w:lineRule="auto"/>
              <w:ind w:left="50"/>
              <w:rPr>
                <w:sz w:val="21"/>
                <w:szCs w:val="21"/>
              </w:rPr>
            </w:pPr>
            <w:r>
              <w:rPr>
                <w:spacing w:val="-2"/>
                <w:sz w:val="21"/>
                <w:szCs w:val="21"/>
              </w:rPr>
              <w:t>储运</w:t>
            </w:r>
          </w:p>
        </w:tc>
        <w:tc>
          <w:tcPr>
            <w:tcW w:w="7815" w:type="dxa"/>
            <w:gridSpan w:val="10"/>
            <w:vAlign w:val="top"/>
          </w:tcPr>
          <w:p>
            <w:pPr>
              <w:pStyle w:val="6"/>
              <w:spacing w:before="67" w:line="220" w:lineRule="auto"/>
              <w:jc w:val="right"/>
              <w:rPr>
                <w:sz w:val="21"/>
                <w:szCs w:val="21"/>
              </w:rPr>
            </w:pPr>
            <w:r>
              <w:rPr>
                <w:spacing w:val="-1"/>
                <w:sz w:val="21"/>
                <w:szCs w:val="21"/>
              </w:rPr>
              <w:t>储存于阴凉、通风的库房。远离火种、热源。库温不宜超过</w:t>
            </w:r>
            <w:r>
              <w:rPr>
                <w:spacing w:val="-43"/>
                <w:sz w:val="21"/>
                <w:szCs w:val="21"/>
              </w:rPr>
              <w:t xml:space="preserve"> </w:t>
            </w:r>
            <w:r>
              <w:rPr>
                <w:rFonts w:ascii="Times New Roman" w:hAnsi="Times New Roman" w:eastAsia="Times New Roman" w:cs="Times New Roman"/>
                <w:spacing w:val="-1"/>
                <w:sz w:val="21"/>
                <w:szCs w:val="21"/>
              </w:rPr>
              <w:t>30℃</w:t>
            </w:r>
            <w:r>
              <w:rPr>
                <w:spacing w:val="-1"/>
                <w:sz w:val="21"/>
                <w:szCs w:val="21"/>
              </w:rPr>
              <w:t>。应与</w:t>
            </w:r>
            <w:r>
              <w:rPr>
                <w:spacing w:val="-2"/>
                <w:sz w:val="21"/>
                <w:szCs w:val="21"/>
              </w:rPr>
              <w:t>氧化剂等分开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11" w:type="dxa"/>
            <w:vAlign w:val="top"/>
          </w:tcPr>
          <w:p>
            <w:pPr>
              <w:pStyle w:val="6"/>
              <w:spacing w:before="170" w:line="230" w:lineRule="auto"/>
              <w:ind w:left="51" w:right="40"/>
              <w:rPr>
                <w:sz w:val="21"/>
                <w:szCs w:val="21"/>
              </w:rPr>
            </w:pPr>
            <w:r>
              <w:rPr>
                <w:spacing w:val="-3"/>
                <w:sz w:val="21"/>
                <w:szCs w:val="21"/>
              </w:rPr>
              <w:t>注意</w:t>
            </w:r>
            <w:r>
              <w:rPr>
                <w:sz w:val="21"/>
                <w:szCs w:val="21"/>
              </w:rPr>
              <w:t xml:space="preserve"> </w:t>
            </w:r>
            <w:r>
              <w:rPr>
                <w:spacing w:val="-3"/>
                <w:sz w:val="21"/>
                <w:szCs w:val="21"/>
              </w:rPr>
              <w:t>事项</w:t>
            </w:r>
          </w:p>
        </w:tc>
        <w:tc>
          <w:tcPr>
            <w:tcW w:w="7815" w:type="dxa"/>
            <w:gridSpan w:val="10"/>
            <w:vAlign w:val="top"/>
          </w:tcPr>
          <w:p>
            <w:pPr>
              <w:pStyle w:val="6"/>
              <w:spacing w:before="35" w:line="229" w:lineRule="auto"/>
              <w:ind w:left="26" w:right="18" w:hanging="5"/>
              <w:jc w:val="both"/>
              <w:rPr>
                <w:sz w:val="21"/>
                <w:szCs w:val="21"/>
              </w:rPr>
            </w:pPr>
            <w:r>
              <w:rPr>
                <w:spacing w:val="-3"/>
                <w:sz w:val="21"/>
                <w:szCs w:val="21"/>
              </w:rPr>
              <w:t>存放， 切忌混储。采用防爆型照明、通风设施。禁止使用易产生火花的机械设备和工</w:t>
            </w:r>
            <w:r>
              <w:rPr>
                <w:spacing w:val="7"/>
                <w:sz w:val="21"/>
                <w:szCs w:val="21"/>
              </w:rPr>
              <w:t xml:space="preserve"> </w:t>
            </w:r>
            <w:r>
              <w:rPr>
                <w:spacing w:val="-5"/>
                <w:sz w:val="21"/>
                <w:szCs w:val="21"/>
              </w:rPr>
              <w:t>具。储区应备有泄漏应急处理设备。储存容器必须加盖密封，</w:t>
            </w:r>
            <w:r>
              <w:rPr>
                <w:spacing w:val="-9"/>
                <w:sz w:val="21"/>
                <w:szCs w:val="21"/>
              </w:rPr>
              <w:t xml:space="preserve"> </w:t>
            </w:r>
            <w:r>
              <w:rPr>
                <w:spacing w:val="-5"/>
                <w:sz w:val="21"/>
                <w:szCs w:val="21"/>
              </w:rPr>
              <w:t>减少挥发量；</w:t>
            </w:r>
            <w:r>
              <w:rPr>
                <w:spacing w:val="-23"/>
                <w:sz w:val="21"/>
                <w:szCs w:val="21"/>
              </w:rPr>
              <w:t xml:space="preserve"> </w:t>
            </w:r>
            <w:r>
              <w:rPr>
                <w:spacing w:val="-5"/>
                <w:sz w:val="21"/>
                <w:szCs w:val="21"/>
              </w:rPr>
              <w:t>避免日光</w:t>
            </w:r>
            <w:r>
              <w:rPr>
                <w:sz w:val="21"/>
                <w:szCs w:val="21"/>
              </w:rPr>
              <w:t xml:space="preserve"> </w:t>
            </w:r>
            <w:r>
              <w:rPr>
                <w:spacing w:val="-5"/>
                <w:sz w:val="21"/>
                <w:szCs w:val="21"/>
              </w:rPr>
              <w:t>照射， 置于低处放置；使用：轻拿轻放，</w:t>
            </w:r>
            <w:r>
              <w:rPr>
                <w:spacing w:val="-22"/>
                <w:sz w:val="21"/>
                <w:szCs w:val="21"/>
              </w:rPr>
              <w:t xml:space="preserve"> </w:t>
            </w:r>
            <w:r>
              <w:rPr>
                <w:spacing w:val="-5"/>
                <w:sz w:val="21"/>
                <w:szCs w:val="21"/>
              </w:rPr>
              <w:t>使用者戴手套。特殊注意事项：</w:t>
            </w:r>
            <w:r>
              <w:rPr>
                <w:spacing w:val="-6"/>
                <w:sz w:val="21"/>
                <w:szCs w:val="21"/>
              </w:rPr>
              <w:t>避免过多接</w:t>
            </w:r>
          </w:p>
        </w:tc>
      </w:tr>
    </w:tbl>
    <w:p>
      <w:pPr>
        <w:pStyle w:val="2"/>
        <w:rPr>
          <w:sz w:val="21"/>
        </w:rPr>
      </w:pPr>
    </w:p>
    <w:p>
      <w:pPr>
        <w:rPr>
          <w:sz w:val="21"/>
          <w:szCs w:val="21"/>
        </w:rPr>
        <w:sectPr>
          <w:footerReference r:id="rId238" w:type="default"/>
          <w:pgSz w:w="11907" w:h="16839"/>
          <w:pgMar w:top="1123" w:right="1682" w:bottom="1149" w:left="1685" w:header="1108" w:footer="988" w:gutter="0"/>
          <w:cols w:space="720" w:num="1"/>
        </w:sectPr>
      </w:pPr>
    </w:p>
    <w:p>
      <w:pPr>
        <w:spacing w:before="75"/>
      </w:pPr>
    </w:p>
    <w:tbl>
      <w:tblPr>
        <w:tblStyle w:val="5"/>
        <w:tblW w:w="8326"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78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510" w:type="dxa"/>
            <w:vAlign w:val="top"/>
          </w:tcPr>
          <w:p>
            <w:pPr>
              <w:rPr>
                <w:rFonts w:ascii="Arial"/>
                <w:sz w:val="21"/>
              </w:rPr>
            </w:pPr>
          </w:p>
        </w:tc>
        <w:tc>
          <w:tcPr>
            <w:tcW w:w="7816" w:type="dxa"/>
            <w:vAlign w:val="top"/>
          </w:tcPr>
          <w:p>
            <w:pPr>
              <w:pStyle w:val="6"/>
              <w:spacing w:before="35" w:line="230" w:lineRule="auto"/>
              <w:ind w:left="12" w:firstLine="10"/>
              <w:rPr>
                <w:sz w:val="21"/>
                <w:szCs w:val="21"/>
              </w:rPr>
            </w:pPr>
            <w:r>
              <w:rPr>
                <w:spacing w:val="-2"/>
                <w:sz w:val="21"/>
                <w:szCs w:val="21"/>
              </w:rPr>
              <w:t>触，工作完毕后沐浴更衣。运输时运输车辆应配备相应品种和数量的消防器材</w:t>
            </w:r>
            <w:r>
              <w:rPr>
                <w:spacing w:val="-3"/>
                <w:sz w:val="21"/>
                <w:szCs w:val="21"/>
              </w:rPr>
              <w:t>。装运</w:t>
            </w:r>
            <w:r>
              <w:rPr>
                <w:sz w:val="21"/>
                <w:szCs w:val="21"/>
              </w:rPr>
              <w:t xml:space="preserve">  </w:t>
            </w:r>
            <w:r>
              <w:rPr>
                <w:spacing w:val="-5"/>
                <w:sz w:val="21"/>
                <w:szCs w:val="21"/>
              </w:rPr>
              <w:t>该物品的车辆排气管必须配备阻火装置，禁止使用易产生火花的机械设备和工具装卸。</w:t>
            </w:r>
          </w:p>
          <w:p>
            <w:pPr>
              <w:pStyle w:val="6"/>
              <w:spacing w:before="20" w:line="224" w:lineRule="auto"/>
              <w:ind w:left="3565" w:hanging="3555"/>
              <w:rPr>
                <w:sz w:val="21"/>
                <w:szCs w:val="21"/>
              </w:rPr>
            </w:pPr>
            <w:r>
              <w:rPr>
                <w:spacing w:val="-7"/>
                <w:sz w:val="21"/>
                <w:szCs w:val="21"/>
              </w:rPr>
              <w:t>严禁与氧化剂等混装混运。夏季应早晚运输，</w:t>
            </w:r>
            <w:r>
              <w:rPr>
                <w:spacing w:val="-20"/>
                <w:sz w:val="21"/>
                <w:szCs w:val="21"/>
              </w:rPr>
              <w:t xml:space="preserve"> </w:t>
            </w:r>
            <w:r>
              <w:rPr>
                <w:spacing w:val="-7"/>
                <w:sz w:val="21"/>
                <w:szCs w:val="21"/>
              </w:rPr>
              <w:t>防止日光曝晒。中途停留时应远离火种、</w:t>
            </w:r>
            <w:r>
              <w:rPr>
                <w:sz w:val="21"/>
                <w:szCs w:val="21"/>
              </w:rPr>
              <w:t xml:space="preserve"> </w:t>
            </w:r>
            <w:r>
              <w:rPr>
                <w:spacing w:val="-10"/>
                <w:sz w:val="21"/>
                <w:szCs w:val="21"/>
              </w:rPr>
              <w:t>热源。</w:t>
            </w:r>
          </w:p>
        </w:tc>
      </w:tr>
    </w:tbl>
    <w:p>
      <w:pPr>
        <w:spacing w:before="178"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 xml:space="preserve">）酸化用酸（主要成分为 </w:t>
      </w:r>
      <w:r>
        <w:rPr>
          <w:rFonts w:ascii="Times New Roman" w:hAnsi="Times New Roman" w:eastAsia="Times New Roman" w:cs="Times New Roman"/>
          <w:spacing w:val="-2"/>
          <w:sz w:val="24"/>
          <w:szCs w:val="24"/>
        </w:rPr>
        <w:t>7%</w:t>
      </w:r>
      <w:r>
        <w:rPr>
          <w:rFonts w:ascii="宋体" w:hAnsi="宋体" w:eastAsia="宋体" w:cs="宋体"/>
          <w:spacing w:val="-2"/>
          <w:sz w:val="24"/>
          <w:szCs w:val="24"/>
        </w:rPr>
        <w:t>的稀盐酸）</w:t>
      </w:r>
    </w:p>
    <w:p>
      <w:pPr>
        <w:spacing w:before="194" w:line="369" w:lineRule="auto"/>
        <w:ind w:left="36" w:right="27" w:firstLine="483"/>
        <w:rPr>
          <w:rFonts w:ascii="宋体" w:hAnsi="宋体" w:eastAsia="宋体" w:cs="宋体"/>
          <w:sz w:val="24"/>
          <w:szCs w:val="24"/>
        </w:rPr>
      </w:pPr>
      <w:r>
        <w:rPr>
          <w:rFonts w:ascii="宋体" w:hAnsi="宋体" w:eastAsia="宋体" w:cs="宋体"/>
          <w:spacing w:val="-7"/>
          <w:sz w:val="24"/>
          <w:szCs w:val="24"/>
        </w:rPr>
        <w:t>盐酸，化学式为</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HCl</w:t>
      </w:r>
      <w:r>
        <w:rPr>
          <w:rFonts w:ascii="宋体" w:hAnsi="宋体" w:eastAsia="宋体" w:cs="宋体"/>
          <w:spacing w:val="-7"/>
          <w:sz w:val="24"/>
          <w:szCs w:val="24"/>
        </w:rPr>
        <w:t xml:space="preserve">，是氯化氢水溶液，相对密度 </w:t>
      </w:r>
      <w:r>
        <w:rPr>
          <w:rFonts w:ascii="Times New Roman" w:hAnsi="Times New Roman" w:eastAsia="Times New Roman" w:cs="Times New Roman"/>
          <w:spacing w:val="-7"/>
          <w:sz w:val="24"/>
          <w:szCs w:val="24"/>
        </w:rPr>
        <w:t>1.187</w:t>
      </w:r>
      <w:r>
        <w:rPr>
          <w:rFonts w:ascii="宋体" w:hAnsi="宋体" w:eastAsia="宋体" w:cs="宋体"/>
          <w:spacing w:val="-7"/>
          <w:sz w:val="24"/>
          <w:szCs w:val="24"/>
        </w:rPr>
        <w:t>。熔点：</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114.8</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6"/>
          <w:sz w:val="24"/>
          <w:szCs w:val="24"/>
        </w:rPr>
        <w:t xml:space="preserve">沸点： </w:t>
      </w:r>
      <w:r>
        <w:rPr>
          <w:rFonts w:ascii="Times New Roman" w:hAnsi="Times New Roman" w:eastAsia="Times New Roman" w:cs="Times New Roman"/>
          <w:spacing w:val="-16"/>
          <w:sz w:val="24"/>
          <w:szCs w:val="24"/>
        </w:rPr>
        <w:t>84.9</w:t>
      </w:r>
      <w:r>
        <w:rPr>
          <w:rFonts w:ascii="宋体" w:hAnsi="宋体" w:eastAsia="宋体" w:cs="宋体"/>
          <w:spacing w:val="-16"/>
          <w:sz w:val="24"/>
          <w:szCs w:val="24"/>
        </w:rPr>
        <w:t>℃。易溶于水，</w:t>
      </w:r>
      <w:r>
        <w:rPr>
          <w:rFonts w:ascii="宋体" w:hAnsi="宋体" w:eastAsia="宋体" w:cs="宋体"/>
          <w:spacing w:val="-29"/>
          <w:sz w:val="24"/>
          <w:szCs w:val="24"/>
        </w:rPr>
        <w:t xml:space="preserve"> </w:t>
      </w:r>
      <w:r>
        <w:rPr>
          <w:rFonts w:ascii="宋体" w:hAnsi="宋体" w:eastAsia="宋体" w:cs="宋体"/>
          <w:spacing w:val="-16"/>
          <w:sz w:val="24"/>
          <w:szCs w:val="24"/>
        </w:rPr>
        <w:t>有强烈的腐蚀性，</w:t>
      </w:r>
      <w:r>
        <w:rPr>
          <w:rFonts w:ascii="宋体" w:hAnsi="宋体" w:eastAsia="宋体" w:cs="宋体"/>
          <w:spacing w:val="65"/>
          <w:sz w:val="24"/>
          <w:szCs w:val="24"/>
        </w:rPr>
        <w:t xml:space="preserve"> </w:t>
      </w:r>
      <w:r>
        <w:rPr>
          <w:rFonts w:ascii="宋体" w:hAnsi="宋体" w:eastAsia="宋体" w:cs="宋体"/>
          <w:spacing w:val="-16"/>
          <w:sz w:val="24"/>
          <w:szCs w:val="24"/>
        </w:rPr>
        <w:t>能腐蚀金属，</w:t>
      </w:r>
      <w:r>
        <w:rPr>
          <w:rFonts w:ascii="宋体" w:hAnsi="宋体" w:eastAsia="宋体" w:cs="宋体"/>
          <w:spacing w:val="57"/>
          <w:sz w:val="24"/>
          <w:szCs w:val="24"/>
        </w:rPr>
        <w:t xml:space="preserve"> </w:t>
      </w:r>
      <w:r>
        <w:rPr>
          <w:rFonts w:ascii="宋体" w:hAnsi="宋体" w:eastAsia="宋体" w:cs="宋体"/>
          <w:spacing w:val="-16"/>
          <w:sz w:val="24"/>
          <w:szCs w:val="24"/>
        </w:rPr>
        <w:t>对动植物纤维</w:t>
      </w:r>
      <w:r>
        <w:rPr>
          <w:rFonts w:ascii="宋体" w:hAnsi="宋体" w:eastAsia="宋体" w:cs="宋体"/>
          <w:spacing w:val="-17"/>
          <w:sz w:val="24"/>
          <w:szCs w:val="24"/>
        </w:rPr>
        <w:t>和人体</w:t>
      </w:r>
      <w:r>
        <w:rPr>
          <w:rFonts w:ascii="宋体" w:hAnsi="宋体" w:eastAsia="宋体" w:cs="宋体"/>
          <w:sz w:val="24"/>
          <w:szCs w:val="24"/>
        </w:rPr>
        <w:t xml:space="preserve"> </w:t>
      </w:r>
      <w:r>
        <w:rPr>
          <w:rFonts w:ascii="宋体" w:hAnsi="宋体" w:eastAsia="宋体" w:cs="宋体"/>
          <w:spacing w:val="-7"/>
          <w:sz w:val="24"/>
          <w:szCs w:val="24"/>
        </w:rPr>
        <w:t>肌肤均有腐蚀作用。浓盐酸在空气中发烟，</w:t>
      </w:r>
      <w:r>
        <w:rPr>
          <w:rFonts w:ascii="宋体" w:hAnsi="宋体" w:eastAsia="宋体" w:cs="宋体"/>
          <w:spacing w:val="34"/>
          <w:sz w:val="24"/>
          <w:szCs w:val="24"/>
        </w:rPr>
        <w:t xml:space="preserve"> </w:t>
      </w:r>
      <w:r>
        <w:rPr>
          <w:rFonts w:ascii="宋体" w:hAnsi="宋体" w:eastAsia="宋体" w:cs="宋体"/>
          <w:spacing w:val="-7"/>
          <w:sz w:val="24"/>
          <w:szCs w:val="24"/>
        </w:rPr>
        <w:t>触及氨蒸气会生成白色云雾</w:t>
      </w:r>
      <w:r>
        <w:rPr>
          <w:rFonts w:ascii="宋体" w:hAnsi="宋体" w:eastAsia="宋体" w:cs="宋体"/>
          <w:spacing w:val="-8"/>
          <w:sz w:val="24"/>
          <w:szCs w:val="24"/>
        </w:rPr>
        <w:t>。氯化氢</w:t>
      </w:r>
      <w:r>
        <w:rPr>
          <w:rFonts w:ascii="宋体" w:hAnsi="宋体" w:eastAsia="宋体" w:cs="宋体"/>
          <w:sz w:val="24"/>
          <w:szCs w:val="24"/>
        </w:rPr>
        <w:t xml:space="preserve"> </w:t>
      </w:r>
      <w:r>
        <w:rPr>
          <w:rFonts w:ascii="宋体" w:hAnsi="宋体" w:eastAsia="宋体" w:cs="宋体"/>
          <w:spacing w:val="-12"/>
          <w:sz w:val="24"/>
          <w:szCs w:val="24"/>
        </w:rPr>
        <w:t>气体对动植物有害。盐酸是极强的无机酸，</w:t>
      </w:r>
      <w:r>
        <w:rPr>
          <w:rFonts w:ascii="宋体" w:hAnsi="宋体" w:eastAsia="宋体" w:cs="宋体"/>
          <w:spacing w:val="46"/>
          <w:sz w:val="24"/>
          <w:szCs w:val="24"/>
        </w:rPr>
        <w:t xml:space="preserve"> </w:t>
      </w:r>
      <w:r>
        <w:rPr>
          <w:rFonts w:ascii="宋体" w:hAnsi="宋体" w:eastAsia="宋体" w:cs="宋体"/>
          <w:spacing w:val="-12"/>
          <w:sz w:val="24"/>
          <w:szCs w:val="24"/>
        </w:rPr>
        <w:t>高浓度对人体有极度伤害，</w:t>
      </w:r>
      <w:r>
        <w:rPr>
          <w:rFonts w:ascii="宋体" w:hAnsi="宋体" w:eastAsia="宋体" w:cs="宋体"/>
          <w:spacing w:val="39"/>
          <w:sz w:val="24"/>
          <w:szCs w:val="24"/>
        </w:rPr>
        <w:t xml:space="preserve"> </w:t>
      </w:r>
      <w:r>
        <w:rPr>
          <w:rFonts w:ascii="宋体" w:hAnsi="宋体" w:eastAsia="宋体" w:cs="宋体"/>
          <w:spacing w:val="-12"/>
          <w:sz w:val="24"/>
          <w:szCs w:val="24"/>
        </w:rPr>
        <w:t>具有刺激</w:t>
      </w:r>
    </w:p>
    <w:p>
      <w:pPr>
        <w:spacing w:line="220" w:lineRule="auto"/>
        <w:ind w:left="41"/>
        <w:rPr>
          <w:rFonts w:ascii="宋体" w:hAnsi="宋体" w:eastAsia="宋体" w:cs="宋体"/>
          <w:sz w:val="24"/>
          <w:szCs w:val="24"/>
        </w:rPr>
      </w:pPr>
      <w:r>
        <w:rPr>
          <w:rFonts w:ascii="宋体" w:hAnsi="宋体" w:eastAsia="宋体" w:cs="宋体"/>
          <w:spacing w:val="-3"/>
          <w:sz w:val="24"/>
          <w:szCs w:val="24"/>
        </w:rPr>
        <w:t>性气味，能和很多金属发生反应。</w:t>
      </w:r>
    </w:p>
    <w:p>
      <w:pPr>
        <w:spacing w:before="194" w:line="369" w:lineRule="auto"/>
        <w:ind w:left="38" w:right="27" w:firstLine="479"/>
        <w:rPr>
          <w:rFonts w:ascii="宋体" w:hAnsi="宋体" w:eastAsia="宋体" w:cs="宋体"/>
          <w:sz w:val="24"/>
          <w:szCs w:val="24"/>
        </w:rPr>
      </w:pPr>
      <w:r>
        <w:rPr>
          <w:rFonts w:ascii="宋体" w:hAnsi="宋体" w:eastAsia="宋体" w:cs="宋体"/>
          <w:spacing w:val="-21"/>
          <w:sz w:val="24"/>
          <w:szCs w:val="24"/>
        </w:rPr>
        <w:t>健康危害： 接触其蒸气或烟雾，</w:t>
      </w:r>
      <w:r>
        <w:rPr>
          <w:rFonts w:ascii="宋体" w:hAnsi="宋体" w:eastAsia="宋体" w:cs="宋体"/>
          <w:spacing w:val="43"/>
          <w:sz w:val="24"/>
          <w:szCs w:val="24"/>
        </w:rPr>
        <w:t xml:space="preserve"> </w:t>
      </w:r>
      <w:r>
        <w:rPr>
          <w:rFonts w:ascii="宋体" w:hAnsi="宋体" w:eastAsia="宋体" w:cs="宋体"/>
          <w:spacing w:val="-21"/>
          <w:sz w:val="24"/>
          <w:szCs w:val="24"/>
        </w:rPr>
        <w:t>可引起急性</w:t>
      </w:r>
      <w:r>
        <w:rPr>
          <w:rFonts w:ascii="宋体" w:hAnsi="宋体" w:eastAsia="宋体" w:cs="宋体"/>
          <w:spacing w:val="-22"/>
          <w:sz w:val="24"/>
          <w:szCs w:val="24"/>
        </w:rPr>
        <w:t>中毒：</w:t>
      </w:r>
      <w:r>
        <w:rPr>
          <w:rFonts w:ascii="宋体" w:hAnsi="宋体" w:eastAsia="宋体" w:cs="宋体"/>
          <w:spacing w:val="64"/>
          <w:sz w:val="24"/>
          <w:szCs w:val="24"/>
        </w:rPr>
        <w:t xml:space="preserve"> </w:t>
      </w:r>
      <w:r>
        <w:rPr>
          <w:rFonts w:ascii="宋体" w:hAnsi="宋体" w:eastAsia="宋体" w:cs="宋体"/>
          <w:spacing w:val="-22"/>
          <w:sz w:val="24"/>
          <w:szCs w:val="24"/>
        </w:rPr>
        <w:t>出现眼结膜炎，</w:t>
      </w:r>
      <w:r>
        <w:rPr>
          <w:rFonts w:ascii="宋体" w:hAnsi="宋体" w:eastAsia="宋体" w:cs="宋体"/>
          <w:spacing w:val="44"/>
          <w:sz w:val="24"/>
          <w:szCs w:val="24"/>
        </w:rPr>
        <w:t xml:space="preserve"> </w:t>
      </w:r>
      <w:r>
        <w:rPr>
          <w:rFonts w:ascii="宋体" w:hAnsi="宋体" w:eastAsia="宋体" w:cs="宋体"/>
          <w:spacing w:val="-22"/>
          <w:sz w:val="24"/>
          <w:szCs w:val="24"/>
        </w:rPr>
        <w:t>鼻及口腔</w:t>
      </w:r>
      <w:r>
        <w:rPr>
          <w:rFonts w:ascii="宋体" w:hAnsi="宋体" w:eastAsia="宋体" w:cs="宋体"/>
          <w:sz w:val="24"/>
          <w:szCs w:val="24"/>
        </w:rPr>
        <w:t xml:space="preserve"> </w:t>
      </w:r>
      <w:r>
        <w:rPr>
          <w:rFonts w:ascii="宋体" w:hAnsi="宋体" w:eastAsia="宋体" w:cs="宋体"/>
          <w:spacing w:val="-12"/>
          <w:sz w:val="24"/>
          <w:szCs w:val="24"/>
        </w:rPr>
        <w:t>粘膜有烧灼感，</w:t>
      </w:r>
      <w:r>
        <w:rPr>
          <w:rFonts w:ascii="宋体" w:hAnsi="宋体" w:eastAsia="宋体" w:cs="宋体"/>
          <w:spacing w:val="49"/>
          <w:sz w:val="24"/>
          <w:szCs w:val="24"/>
        </w:rPr>
        <w:t xml:space="preserve"> </w:t>
      </w:r>
      <w:r>
        <w:rPr>
          <w:rFonts w:ascii="宋体" w:hAnsi="宋体" w:eastAsia="宋体" w:cs="宋体"/>
          <w:spacing w:val="-12"/>
          <w:sz w:val="24"/>
          <w:szCs w:val="24"/>
        </w:rPr>
        <w:t>鼻出血、齿龈出血，</w:t>
      </w:r>
      <w:r>
        <w:rPr>
          <w:rFonts w:ascii="宋体" w:hAnsi="宋体" w:eastAsia="宋体" w:cs="宋体"/>
          <w:spacing w:val="47"/>
          <w:sz w:val="24"/>
          <w:szCs w:val="24"/>
        </w:rPr>
        <w:t xml:space="preserve"> </w:t>
      </w:r>
      <w:r>
        <w:rPr>
          <w:rFonts w:ascii="宋体" w:hAnsi="宋体" w:eastAsia="宋体" w:cs="宋体"/>
          <w:spacing w:val="-12"/>
          <w:sz w:val="24"/>
          <w:szCs w:val="24"/>
        </w:rPr>
        <w:t>气管炎等。误</w:t>
      </w:r>
      <w:r>
        <w:rPr>
          <w:rFonts w:ascii="宋体" w:hAnsi="宋体" w:eastAsia="宋体" w:cs="宋体"/>
          <w:spacing w:val="-13"/>
          <w:sz w:val="24"/>
          <w:szCs w:val="24"/>
        </w:rPr>
        <w:t>服可引起消化道灼伤、溃疡形</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成，有可能引起胃穿孔、腹膜炎等。眼和皮肤接触可致灼伤。</w:t>
      </w:r>
    </w:p>
    <w:p>
      <w:pPr>
        <w:spacing w:before="196" w:line="480" w:lineRule="exact"/>
        <w:ind w:right="28"/>
        <w:jc w:val="right"/>
        <w:rPr>
          <w:rFonts w:ascii="宋体" w:hAnsi="宋体" w:eastAsia="宋体" w:cs="宋体"/>
          <w:sz w:val="24"/>
          <w:szCs w:val="24"/>
        </w:rPr>
      </w:pPr>
      <w:r>
        <w:rPr>
          <w:rFonts w:ascii="宋体" w:hAnsi="宋体" w:eastAsia="宋体" w:cs="宋体"/>
          <w:spacing w:val="-16"/>
          <w:position w:val="18"/>
          <w:sz w:val="24"/>
          <w:szCs w:val="24"/>
        </w:rPr>
        <w:t>危险特性：</w:t>
      </w:r>
      <w:r>
        <w:rPr>
          <w:rFonts w:ascii="宋体" w:hAnsi="宋体" w:eastAsia="宋体" w:cs="宋体"/>
          <w:spacing w:val="36"/>
          <w:position w:val="18"/>
          <w:sz w:val="24"/>
          <w:szCs w:val="24"/>
        </w:rPr>
        <w:t xml:space="preserve"> </w:t>
      </w:r>
      <w:r>
        <w:rPr>
          <w:rFonts w:ascii="宋体" w:hAnsi="宋体" w:eastAsia="宋体" w:cs="宋体"/>
          <w:spacing w:val="-16"/>
          <w:position w:val="18"/>
          <w:sz w:val="24"/>
          <w:szCs w:val="24"/>
        </w:rPr>
        <w:t>易燃， 具刺激性。遇明火、高热源或与氧化剂接触，</w:t>
      </w:r>
      <w:r>
        <w:rPr>
          <w:rFonts w:ascii="宋体" w:hAnsi="宋体" w:eastAsia="宋体" w:cs="宋体"/>
          <w:spacing w:val="48"/>
          <w:position w:val="18"/>
          <w:sz w:val="24"/>
          <w:szCs w:val="24"/>
        </w:rPr>
        <w:t xml:space="preserve"> </w:t>
      </w:r>
      <w:r>
        <w:rPr>
          <w:rFonts w:ascii="宋体" w:hAnsi="宋体" w:eastAsia="宋体" w:cs="宋体"/>
          <w:spacing w:val="-16"/>
          <w:position w:val="18"/>
          <w:sz w:val="24"/>
          <w:szCs w:val="24"/>
        </w:rPr>
        <w:t>有引起燃烧</w:t>
      </w:r>
    </w:p>
    <w:p>
      <w:pPr>
        <w:spacing w:line="218" w:lineRule="auto"/>
        <w:ind w:left="38"/>
        <w:rPr>
          <w:rFonts w:ascii="宋体" w:hAnsi="宋体" w:eastAsia="宋体" w:cs="宋体"/>
          <w:sz w:val="24"/>
          <w:szCs w:val="24"/>
        </w:rPr>
      </w:pPr>
      <w:r>
        <w:rPr>
          <w:rFonts w:ascii="宋体" w:hAnsi="宋体" w:eastAsia="宋体" w:cs="宋体"/>
          <w:spacing w:val="-2"/>
          <w:sz w:val="24"/>
          <w:szCs w:val="24"/>
        </w:rPr>
        <w:t>爆炸的危险。若遇高热，容器内压增大，有开裂和爆炸的危险。</w:t>
      </w:r>
    </w:p>
    <w:p>
      <w:pPr>
        <w:spacing w:before="196" w:line="480" w:lineRule="exact"/>
        <w:ind w:right="27"/>
        <w:jc w:val="right"/>
        <w:rPr>
          <w:rFonts w:ascii="宋体" w:hAnsi="宋体" w:eastAsia="宋体" w:cs="宋体"/>
          <w:sz w:val="24"/>
          <w:szCs w:val="24"/>
        </w:rPr>
      </w:pPr>
      <w:r>
        <w:rPr>
          <w:rFonts w:ascii="宋体" w:hAnsi="宋体" w:eastAsia="宋体" w:cs="宋体"/>
          <w:spacing w:val="-10"/>
          <w:position w:val="18"/>
          <w:sz w:val="24"/>
          <w:szCs w:val="24"/>
        </w:rPr>
        <w:t>慢性影响： 长期接触， 引起慢性鼻炎、慢性支气管炎、牙齿酸蚀症及皮肤损</w:t>
      </w:r>
    </w:p>
    <w:p>
      <w:pPr>
        <w:spacing w:before="1" w:line="220" w:lineRule="auto"/>
        <w:ind w:left="42"/>
        <w:rPr>
          <w:rFonts w:ascii="宋体" w:hAnsi="宋体" w:eastAsia="宋体" w:cs="宋体"/>
          <w:sz w:val="24"/>
          <w:szCs w:val="24"/>
        </w:rPr>
      </w:pPr>
      <w:r>
        <w:rPr>
          <w:rFonts w:ascii="宋体" w:hAnsi="宋体" w:eastAsia="宋体" w:cs="宋体"/>
          <w:spacing w:val="-13"/>
          <w:sz w:val="24"/>
          <w:szCs w:val="24"/>
        </w:rPr>
        <w:t>害。</w:t>
      </w:r>
    </w:p>
    <w:p>
      <w:pPr>
        <w:spacing w:before="193" w:line="220" w:lineRule="auto"/>
        <w:ind w:left="518"/>
        <w:rPr>
          <w:rFonts w:ascii="宋体" w:hAnsi="宋体" w:eastAsia="宋体" w:cs="宋体"/>
          <w:sz w:val="24"/>
          <w:szCs w:val="24"/>
        </w:rPr>
      </w:pPr>
      <w:r>
        <w:rPr>
          <w:rFonts w:ascii="宋体" w:hAnsi="宋体" w:eastAsia="宋体" w:cs="宋体"/>
          <w:spacing w:val="-2"/>
          <w:sz w:val="24"/>
          <w:szCs w:val="24"/>
        </w:rPr>
        <w:t>环境危害：对环境有危害，对水体和土壤可造成污染。</w:t>
      </w:r>
    </w:p>
    <w:p>
      <w:pPr>
        <w:spacing w:before="195" w:line="218" w:lineRule="auto"/>
        <w:ind w:left="519"/>
        <w:rPr>
          <w:rFonts w:ascii="宋体" w:hAnsi="宋体" w:eastAsia="宋体" w:cs="宋体"/>
          <w:sz w:val="24"/>
          <w:szCs w:val="24"/>
        </w:rPr>
      </w:pPr>
      <w:r>
        <w:rPr>
          <w:rFonts w:ascii="宋体" w:hAnsi="宋体" w:eastAsia="宋体" w:cs="宋体"/>
          <w:spacing w:val="-2"/>
          <w:sz w:val="24"/>
          <w:szCs w:val="24"/>
        </w:rPr>
        <w:t>燃爆危险：该品不燃。具强腐蚀性、强刺激性，可致人体灼伤。</w:t>
      </w:r>
    </w:p>
    <w:p>
      <w:pPr>
        <w:spacing w:before="197" w:line="369" w:lineRule="auto"/>
        <w:ind w:left="40" w:right="26" w:firstLine="478"/>
        <w:rPr>
          <w:rFonts w:ascii="宋体" w:hAnsi="宋体" w:eastAsia="宋体" w:cs="宋体"/>
          <w:sz w:val="24"/>
          <w:szCs w:val="24"/>
        </w:rPr>
      </w:pPr>
      <w:r>
        <w:rPr>
          <w:rFonts w:ascii="宋体" w:hAnsi="宋体" w:eastAsia="宋体" w:cs="宋体"/>
          <w:spacing w:val="-12"/>
          <w:sz w:val="24"/>
          <w:szCs w:val="24"/>
        </w:rPr>
        <w:t>本项目洗井用胶束酸在钻至洗井层位后，</w:t>
      </w:r>
      <w:r>
        <w:rPr>
          <w:rFonts w:ascii="宋体" w:hAnsi="宋体" w:eastAsia="宋体" w:cs="宋体"/>
          <w:spacing w:val="71"/>
          <w:sz w:val="24"/>
          <w:szCs w:val="24"/>
        </w:rPr>
        <w:t xml:space="preserve"> </w:t>
      </w:r>
      <w:r>
        <w:rPr>
          <w:rFonts w:ascii="宋体" w:hAnsi="宋体" w:eastAsia="宋体" w:cs="宋体"/>
          <w:spacing w:val="-12"/>
          <w:sz w:val="24"/>
          <w:szCs w:val="24"/>
        </w:rPr>
        <w:t>由专业运输车辆（玻璃钢罐车） 将</w:t>
      </w:r>
      <w:r>
        <w:rPr>
          <w:rFonts w:ascii="宋体" w:hAnsi="宋体" w:eastAsia="宋体" w:cs="宋体"/>
          <w:sz w:val="24"/>
          <w:szCs w:val="24"/>
        </w:rPr>
        <w:t xml:space="preserve"> </w:t>
      </w:r>
      <w:r>
        <w:rPr>
          <w:rFonts w:ascii="宋体" w:hAnsi="宋体" w:eastAsia="宋体" w:cs="宋体"/>
          <w:spacing w:val="-3"/>
          <w:sz w:val="24"/>
          <w:szCs w:val="24"/>
        </w:rPr>
        <w:t>成品拉运至现场使用。井场内设置</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座玻璃钢酸罐（单座有效容积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50m</w:t>
      </w:r>
      <w:r>
        <w:rPr>
          <w:rFonts w:ascii="Times New Roman" w:hAnsi="Times New Roman" w:eastAsia="Times New Roman" w:cs="Times New Roman"/>
          <w:spacing w:val="-3"/>
          <w:position w:val="9"/>
          <w:sz w:val="16"/>
          <w:szCs w:val="16"/>
        </w:rPr>
        <w:t>3</w:t>
      </w:r>
      <w:r>
        <w:rPr>
          <w:rFonts w:ascii="宋体" w:hAnsi="宋体" w:eastAsia="宋体" w:cs="宋体"/>
          <w:spacing w:val="-49"/>
          <w:sz w:val="24"/>
          <w:szCs w:val="24"/>
        </w:rPr>
        <w:t>），</w:t>
      </w:r>
      <w:r>
        <w:rPr>
          <w:rFonts w:ascii="宋体" w:hAnsi="宋体" w:eastAsia="宋体" w:cs="宋体"/>
          <w:spacing w:val="-3"/>
          <w:sz w:val="24"/>
          <w:szCs w:val="24"/>
        </w:rPr>
        <w:t>四周</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采</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C20 </w:t>
      </w:r>
      <w:r>
        <w:rPr>
          <w:rFonts w:ascii="宋体" w:hAnsi="宋体" w:eastAsia="宋体" w:cs="宋体"/>
          <w:spacing w:val="-2"/>
          <w:sz w:val="24"/>
          <w:szCs w:val="24"/>
        </w:rPr>
        <w:t>混凝土设置围堰，现场最大贮存量不超</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100m</w:t>
      </w:r>
      <w:r>
        <w:rPr>
          <w:rFonts w:ascii="Times New Roman" w:hAnsi="Times New Roman" w:eastAsia="Times New Roman" w:cs="Times New Roman"/>
          <w:spacing w:val="-2"/>
          <w:position w:val="9"/>
          <w:sz w:val="16"/>
          <w:szCs w:val="16"/>
        </w:rPr>
        <w:t>3</w:t>
      </w:r>
      <w:r>
        <w:rPr>
          <w:rFonts w:ascii="宋体" w:hAnsi="宋体" w:eastAsia="宋体" w:cs="宋体"/>
          <w:spacing w:val="-2"/>
          <w:sz w:val="24"/>
          <w:szCs w:val="24"/>
        </w:rPr>
        <w:t>。</w:t>
      </w:r>
    </w:p>
    <w:p>
      <w:pPr>
        <w:spacing w:before="195"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）油基泥浆及油基岩屑</w:t>
      </w:r>
    </w:p>
    <w:p>
      <w:pPr>
        <w:spacing w:before="197" w:line="369" w:lineRule="auto"/>
        <w:ind w:left="37" w:right="27" w:firstLine="481"/>
        <w:rPr>
          <w:rFonts w:ascii="宋体" w:hAnsi="宋体" w:eastAsia="宋体" w:cs="宋体"/>
          <w:sz w:val="24"/>
          <w:szCs w:val="24"/>
        </w:rPr>
      </w:pPr>
      <w:r>
        <w:rPr>
          <w:rFonts w:ascii="宋体" w:hAnsi="宋体" w:eastAsia="宋体" w:cs="宋体"/>
          <w:spacing w:val="-7"/>
          <w:sz w:val="24"/>
          <w:szCs w:val="24"/>
        </w:rPr>
        <w:t>本项目六开段采用油基钻井液钻井， 油基钻井液是以油为分散介质组成的泥</w:t>
      </w:r>
      <w:r>
        <w:rPr>
          <w:rFonts w:ascii="宋体" w:hAnsi="宋体" w:eastAsia="宋体" w:cs="宋体"/>
          <w:spacing w:val="17"/>
          <w:sz w:val="24"/>
          <w:szCs w:val="24"/>
        </w:rPr>
        <w:t xml:space="preserve"> </w:t>
      </w:r>
      <w:r>
        <w:rPr>
          <w:rFonts w:ascii="宋体" w:hAnsi="宋体" w:eastAsia="宋体" w:cs="宋体"/>
          <w:spacing w:val="-4"/>
          <w:sz w:val="24"/>
          <w:szCs w:val="24"/>
        </w:rPr>
        <w:t>浆，</w:t>
      </w:r>
      <w:r>
        <w:rPr>
          <w:rFonts w:ascii="宋体" w:hAnsi="宋体" w:eastAsia="宋体" w:cs="宋体"/>
          <w:spacing w:val="-46"/>
          <w:sz w:val="24"/>
          <w:szCs w:val="24"/>
        </w:rPr>
        <w:t xml:space="preserve"> </w:t>
      </w:r>
      <w:r>
        <w:rPr>
          <w:rFonts w:ascii="宋体" w:hAnsi="宋体" w:eastAsia="宋体" w:cs="宋体"/>
          <w:spacing w:val="-4"/>
          <w:sz w:val="24"/>
          <w:szCs w:val="24"/>
        </w:rPr>
        <w:t>油基泥浆的成分主要为白油、</w:t>
      </w:r>
      <w:r>
        <w:rPr>
          <w:rFonts w:ascii="Times New Roman" w:hAnsi="Times New Roman" w:eastAsia="Times New Roman" w:cs="Times New Roman"/>
          <w:spacing w:val="-4"/>
          <w:sz w:val="24"/>
          <w:szCs w:val="24"/>
        </w:rPr>
        <w:t>2%</w:t>
      </w: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有机土、</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主乳化剂、</w:t>
      </w:r>
      <w:r>
        <w:rPr>
          <w:rFonts w:ascii="Times New Roman" w:hAnsi="Times New Roman" w:eastAsia="Times New Roman" w:cs="Times New Roman"/>
          <w:spacing w:val="-5"/>
          <w:sz w:val="24"/>
          <w:szCs w:val="24"/>
        </w:rPr>
        <w:t>3%</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辅乳化剂、</w:t>
      </w:r>
      <w:r>
        <w:rPr>
          <w:rFonts w:ascii="Times New Roman" w:hAnsi="Times New Roman" w:eastAsia="Times New Roman" w:cs="Times New Roman"/>
          <w:spacing w:val="-4"/>
          <w:sz w:val="24"/>
          <w:szCs w:val="24"/>
        </w:rPr>
        <w:t>2%</w:t>
      </w: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润湿剂、</w:t>
      </w:r>
      <w:r>
        <w:rPr>
          <w:rFonts w:ascii="Times New Roman" w:hAnsi="Times New Roman" w:eastAsia="Times New Roman" w:cs="Times New Roman"/>
          <w:spacing w:val="-4"/>
          <w:sz w:val="24"/>
          <w:szCs w:val="24"/>
        </w:rPr>
        <w:t>2%</w:t>
      </w: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生石灰、氯化钙溶液</w:t>
      </w:r>
      <w:r>
        <w:rPr>
          <w:rFonts w:ascii="Times New Roman" w:hAnsi="Times New Roman" w:eastAsia="Times New Roman" w:cs="Times New Roman"/>
          <w:spacing w:val="-4"/>
          <w:sz w:val="24"/>
          <w:szCs w:val="24"/>
        </w:rPr>
        <w:t>(25%</w:t>
      </w:r>
      <w:r>
        <w:rPr>
          <w:rFonts w:ascii="宋体" w:hAnsi="宋体" w:eastAsia="宋体" w:cs="宋体"/>
          <w:spacing w:val="-4"/>
          <w:sz w:val="24"/>
          <w:szCs w:val="24"/>
        </w:rPr>
        <w:t>～</w:t>
      </w:r>
      <w:r>
        <w:rPr>
          <w:rFonts w:ascii="Times New Roman" w:hAnsi="Times New Roman" w:eastAsia="Times New Roman" w:cs="Times New Roman"/>
          <w:spacing w:val="-4"/>
          <w:sz w:val="24"/>
          <w:szCs w:val="24"/>
        </w:rPr>
        <w:t>30%)</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Times New Roman" w:hAnsi="Times New Roman" w:eastAsia="Times New Roman" w:cs="Times New Roman"/>
          <w:sz w:val="24"/>
          <w:szCs w:val="24"/>
        </w:rPr>
        <w:t xml:space="preserve"> </w:t>
      </w:r>
      <w:r>
        <w:rPr>
          <w:rFonts w:ascii="宋体" w:hAnsi="宋体" w:eastAsia="宋体" w:cs="宋体"/>
          <w:spacing w:val="3"/>
          <w:sz w:val="24"/>
          <w:szCs w:val="24"/>
        </w:rPr>
        <w:t>降滤失剂、</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封堵剂、</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流型调节剂、</w:t>
      </w:r>
      <w:r>
        <w:rPr>
          <w:rFonts w:ascii="Times New Roman" w:hAnsi="Times New Roman" w:eastAsia="Times New Roman" w:cs="Times New Roman"/>
          <w:spacing w:val="3"/>
          <w:sz w:val="24"/>
          <w:szCs w:val="24"/>
        </w:rPr>
        <w:t>1</w:t>
      </w:r>
      <w:r>
        <w:rPr>
          <w:rFonts w:ascii="宋体" w:hAnsi="宋体" w:eastAsia="宋体" w:cs="宋体"/>
          <w:spacing w:val="-4"/>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除硫剂、适量的加</w:t>
      </w:r>
      <w:r>
        <w:rPr>
          <w:rFonts w:ascii="宋体" w:hAnsi="宋体" w:eastAsia="宋体" w:cs="宋体"/>
          <w:spacing w:val="1"/>
          <w:sz w:val="24"/>
          <w:szCs w:val="24"/>
        </w:rPr>
        <w:t xml:space="preserve"> </w:t>
      </w:r>
      <w:r>
        <w:rPr>
          <w:rFonts w:ascii="宋体" w:hAnsi="宋体" w:eastAsia="宋体" w:cs="宋体"/>
          <w:spacing w:val="-6"/>
          <w:sz w:val="24"/>
          <w:szCs w:val="24"/>
        </w:rPr>
        <w:t>重剂（按密度需要） 等。危险性主要表现在油性物质的可燃性。油基泥浆现场不</w:t>
      </w:r>
      <w:r>
        <w:rPr>
          <w:rFonts w:ascii="宋体" w:hAnsi="宋体" w:eastAsia="宋体" w:cs="宋体"/>
          <w:sz w:val="24"/>
          <w:szCs w:val="24"/>
        </w:rPr>
        <w:t xml:space="preserve"> </w:t>
      </w:r>
      <w:r>
        <w:rPr>
          <w:rFonts w:ascii="宋体" w:hAnsi="宋体" w:eastAsia="宋体" w:cs="宋体"/>
          <w:spacing w:val="-8"/>
          <w:sz w:val="24"/>
          <w:szCs w:val="24"/>
        </w:rPr>
        <w:t>储存，</w:t>
      </w:r>
      <w:r>
        <w:rPr>
          <w:rFonts w:ascii="宋体" w:hAnsi="宋体" w:eastAsia="宋体" w:cs="宋体"/>
          <w:spacing w:val="-37"/>
          <w:sz w:val="24"/>
          <w:szCs w:val="24"/>
        </w:rPr>
        <w:t xml:space="preserve"> </w:t>
      </w:r>
      <w:r>
        <w:rPr>
          <w:rFonts w:ascii="宋体" w:hAnsi="宋体" w:eastAsia="宋体" w:cs="宋体"/>
          <w:spacing w:val="-8"/>
          <w:sz w:val="24"/>
          <w:szCs w:val="24"/>
        </w:rPr>
        <w:t>油基泥浆和油基岩屑主要危险成分白油为无色透明</w:t>
      </w:r>
      <w:r>
        <w:rPr>
          <w:rFonts w:ascii="宋体" w:hAnsi="宋体" w:eastAsia="宋体" w:cs="宋体"/>
          <w:spacing w:val="-9"/>
          <w:sz w:val="24"/>
          <w:szCs w:val="24"/>
        </w:rPr>
        <w:t>油状液体， 两者的危险</w:t>
      </w:r>
    </w:p>
    <w:p>
      <w:pPr>
        <w:spacing w:line="219" w:lineRule="auto"/>
        <w:ind w:left="41"/>
        <w:rPr>
          <w:rFonts w:ascii="宋体" w:hAnsi="宋体" w:eastAsia="宋体" w:cs="宋体"/>
          <w:sz w:val="24"/>
          <w:szCs w:val="24"/>
        </w:rPr>
      </w:pPr>
      <w:r>
        <w:rPr>
          <w:rFonts w:ascii="宋体" w:hAnsi="宋体" w:eastAsia="宋体" w:cs="宋体"/>
          <w:spacing w:val="-6"/>
          <w:sz w:val="24"/>
          <w:szCs w:val="24"/>
        </w:rPr>
        <w:t>性均远低于油类物质， 其中油基岩屑相比于油基泥浆其含油率更低。通</w:t>
      </w:r>
      <w:r>
        <w:rPr>
          <w:rFonts w:ascii="宋体" w:hAnsi="宋体" w:eastAsia="宋体" w:cs="宋体"/>
          <w:spacing w:val="-7"/>
          <w:sz w:val="24"/>
          <w:szCs w:val="24"/>
        </w:rPr>
        <w:t>过加强管</w:t>
      </w:r>
    </w:p>
    <w:p>
      <w:pPr>
        <w:spacing w:line="219" w:lineRule="auto"/>
        <w:rPr>
          <w:rFonts w:ascii="宋体" w:hAnsi="宋体" w:eastAsia="宋体" w:cs="宋体"/>
          <w:sz w:val="24"/>
          <w:szCs w:val="24"/>
        </w:rPr>
        <w:sectPr>
          <w:headerReference r:id="rId239" w:type="default"/>
          <w:footerReference r:id="rId240" w:type="default"/>
          <w:pgSz w:w="11907" w:h="16839"/>
          <w:pgMar w:top="1123" w:right="1766" w:bottom="1149" w:left="1769" w:header="1108" w:footer="988" w:gutter="0"/>
          <w:cols w:space="720" w:num="1"/>
        </w:sectPr>
      </w:pPr>
    </w:p>
    <w:p>
      <w:pPr>
        <w:pStyle w:val="2"/>
        <w:spacing w:line="414" w:lineRule="auto"/>
        <w:rPr>
          <w:sz w:val="21"/>
        </w:rPr>
      </w:pPr>
    </w:p>
    <w:p>
      <w:pPr>
        <w:spacing w:before="78" w:line="480" w:lineRule="exact"/>
        <w:ind w:left="125"/>
        <w:rPr>
          <w:rFonts w:ascii="宋体" w:hAnsi="宋体" w:eastAsia="宋体" w:cs="宋体"/>
          <w:sz w:val="24"/>
          <w:szCs w:val="24"/>
        </w:rPr>
      </w:pPr>
      <w:r>
        <w:rPr>
          <w:rFonts w:ascii="宋体" w:hAnsi="宋体" w:eastAsia="宋体" w:cs="宋体"/>
          <w:spacing w:val="-3"/>
          <w:position w:val="18"/>
          <w:sz w:val="24"/>
          <w:szCs w:val="24"/>
        </w:rPr>
        <w:t>理，及时转运处置后其环境风险事故影响很小。</w:t>
      </w:r>
    </w:p>
    <w:p>
      <w:pPr>
        <w:spacing w:line="220" w:lineRule="auto"/>
        <w:ind w:left="608"/>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）废油</w:t>
      </w:r>
    </w:p>
    <w:p>
      <w:pPr>
        <w:spacing w:before="196" w:line="369" w:lineRule="auto"/>
        <w:ind w:left="122" w:right="32" w:firstLine="483"/>
        <w:rPr>
          <w:rFonts w:ascii="宋体" w:hAnsi="宋体" w:eastAsia="宋体" w:cs="宋体"/>
          <w:sz w:val="24"/>
          <w:szCs w:val="24"/>
        </w:rPr>
      </w:pPr>
      <w:r>
        <w:rPr>
          <w:rFonts w:ascii="宋体" w:hAnsi="宋体" w:eastAsia="宋体" w:cs="宋体"/>
          <w:spacing w:val="-10"/>
          <w:sz w:val="24"/>
          <w:szCs w:val="24"/>
        </w:rPr>
        <w:t xml:space="preserve">项目钻井和采气使用设备过程中， 或多或少会产生一些废油， 主要是设备润 </w:t>
      </w:r>
      <w:r>
        <w:rPr>
          <w:rFonts w:ascii="宋体" w:hAnsi="宋体" w:eastAsia="宋体" w:cs="宋体"/>
          <w:spacing w:val="-8"/>
          <w:sz w:val="24"/>
          <w:szCs w:val="24"/>
        </w:rPr>
        <w:t>滑、保养产生的废机油。废油主要分布于油桶里面，</w:t>
      </w:r>
      <w:r>
        <w:rPr>
          <w:rFonts w:ascii="宋体" w:hAnsi="宋体" w:eastAsia="宋体" w:cs="宋体"/>
          <w:spacing w:val="50"/>
          <w:sz w:val="24"/>
          <w:szCs w:val="24"/>
        </w:rPr>
        <w:t xml:space="preserve"> </w:t>
      </w:r>
      <w:r>
        <w:rPr>
          <w:rFonts w:ascii="宋体" w:hAnsi="宋体" w:eastAsia="宋体" w:cs="宋体"/>
          <w:spacing w:val="-8"/>
          <w:sz w:val="24"/>
          <w:szCs w:val="24"/>
        </w:rPr>
        <w:t>其特性和润滑油差不多。废 油对眼睛、皮肤、粘膜和上呼吸道具有刺激作用。吸入后，</w:t>
      </w:r>
      <w:r>
        <w:rPr>
          <w:rFonts w:ascii="宋体" w:hAnsi="宋体" w:eastAsia="宋体" w:cs="宋体"/>
          <w:spacing w:val="50"/>
          <w:sz w:val="24"/>
          <w:szCs w:val="24"/>
        </w:rPr>
        <w:t xml:space="preserve"> </w:t>
      </w:r>
      <w:r>
        <w:rPr>
          <w:rFonts w:ascii="宋体" w:hAnsi="宋体" w:eastAsia="宋体" w:cs="宋体"/>
          <w:spacing w:val="-8"/>
          <w:sz w:val="24"/>
          <w:szCs w:val="24"/>
        </w:rPr>
        <w:t xml:space="preserve">可引起喉、支气管的 </w:t>
      </w:r>
      <w:r>
        <w:rPr>
          <w:rFonts w:ascii="宋体" w:hAnsi="宋体" w:eastAsia="宋体" w:cs="宋体"/>
          <w:spacing w:val="-1"/>
          <w:sz w:val="24"/>
          <w:szCs w:val="24"/>
        </w:rPr>
        <w:t>火症、水肿、痉挛、化学性肺炎或肺水肿。接触后可引起燃灼感、咳嗽、喘息、</w:t>
      </w:r>
      <w:r>
        <w:rPr>
          <w:rFonts w:ascii="宋体" w:hAnsi="宋体" w:eastAsia="宋体" w:cs="宋体"/>
          <w:spacing w:val="17"/>
          <w:sz w:val="24"/>
          <w:szCs w:val="24"/>
        </w:rPr>
        <w:t xml:space="preserve"> </w:t>
      </w:r>
      <w:r>
        <w:rPr>
          <w:rFonts w:ascii="宋体" w:hAnsi="宋体" w:eastAsia="宋体" w:cs="宋体"/>
          <w:spacing w:val="-8"/>
          <w:sz w:val="24"/>
          <w:szCs w:val="24"/>
        </w:rPr>
        <w:t>气短、头痛、恶心和呕吐等。皮肤接触可发生接触性皮炎及油疹，</w:t>
      </w:r>
      <w:r>
        <w:rPr>
          <w:rFonts w:ascii="宋体" w:hAnsi="宋体" w:eastAsia="宋体" w:cs="宋体"/>
          <w:spacing w:val="50"/>
          <w:sz w:val="24"/>
          <w:szCs w:val="24"/>
        </w:rPr>
        <w:t xml:space="preserve"> </w:t>
      </w:r>
      <w:r>
        <w:rPr>
          <w:rFonts w:ascii="宋体" w:hAnsi="宋体" w:eastAsia="宋体" w:cs="宋体"/>
          <w:spacing w:val="-8"/>
          <w:sz w:val="24"/>
          <w:szCs w:val="24"/>
        </w:rPr>
        <w:t xml:space="preserve">可致急性肾脏 </w:t>
      </w:r>
      <w:r>
        <w:rPr>
          <w:rFonts w:ascii="宋体" w:hAnsi="宋体" w:eastAsia="宋体" w:cs="宋体"/>
          <w:spacing w:val="-10"/>
          <w:sz w:val="24"/>
          <w:szCs w:val="24"/>
        </w:rPr>
        <w:t>损害， 吸入其雾滴或液体呛入可引起吸入性肺炎。结合工程项目的实际情况</w:t>
      </w:r>
      <w:r>
        <w:rPr>
          <w:rFonts w:ascii="宋体" w:hAnsi="宋体" w:eastAsia="宋体" w:cs="宋体"/>
          <w:spacing w:val="-11"/>
          <w:sz w:val="24"/>
          <w:szCs w:val="24"/>
        </w:rPr>
        <w:t>，</w:t>
      </w:r>
      <w:r>
        <w:rPr>
          <w:rFonts w:ascii="宋体" w:hAnsi="宋体" w:eastAsia="宋体" w:cs="宋体"/>
          <w:spacing w:val="36"/>
          <w:sz w:val="24"/>
          <w:szCs w:val="24"/>
        </w:rPr>
        <w:t xml:space="preserve"> </w:t>
      </w:r>
      <w:r>
        <w:rPr>
          <w:rFonts w:ascii="宋体" w:hAnsi="宋体" w:eastAsia="宋体" w:cs="宋体"/>
          <w:spacing w:val="-11"/>
          <w:sz w:val="24"/>
          <w:szCs w:val="24"/>
        </w:rPr>
        <w:t>主</w:t>
      </w:r>
    </w:p>
    <w:p>
      <w:pPr>
        <w:spacing w:line="219" w:lineRule="auto"/>
        <w:ind w:left="123"/>
        <w:rPr>
          <w:rFonts w:ascii="宋体" w:hAnsi="宋体" w:eastAsia="宋体" w:cs="宋体"/>
          <w:sz w:val="24"/>
          <w:szCs w:val="24"/>
        </w:rPr>
      </w:pPr>
      <w:r>
        <w:rPr>
          <w:rFonts w:ascii="宋体" w:hAnsi="宋体" w:eastAsia="宋体" w:cs="宋体"/>
          <w:spacing w:val="-2"/>
          <w:sz w:val="24"/>
          <w:szCs w:val="24"/>
        </w:rPr>
        <w:t>要危害为废油泄露后地表水、地下水和土壤的影响。</w:t>
      </w:r>
    </w:p>
    <w:p>
      <w:pPr>
        <w:spacing w:before="194"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）水基钻井液及作业废水</w:t>
      </w:r>
    </w:p>
    <w:p>
      <w:pPr>
        <w:spacing w:before="195" w:line="217" w:lineRule="auto"/>
        <w:ind w:left="601"/>
        <w:rPr>
          <w:rFonts w:ascii="宋体" w:hAnsi="宋体" w:eastAsia="宋体" w:cs="宋体"/>
          <w:sz w:val="24"/>
          <w:szCs w:val="24"/>
        </w:rPr>
      </w:pPr>
      <w:r>
        <w:rPr>
          <w:rFonts w:ascii="宋体" w:hAnsi="宋体" w:eastAsia="宋体" w:cs="宋体"/>
          <w:spacing w:val="-2"/>
          <w:sz w:val="24"/>
          <w:szCs w:val="24"/>
        </w:rPr>
        <w:t>①水基钻井液</w:t>
      </w:r>
    </w:p>
    <w:p>
      <w:pPr>
        <w:spacing w:before="198" w:line="369" w:lineRule="auto"/>
        <w:ind w:left="121" w:right="111" w:firstLine="480"/>
        <w:rPr>
          <w:rFonts w:ascii="宋体" w:hAnsi="宋体" w:eastAsia="宋体" w:cs="宋体"/>
          <w:sz w:val="24"/>
          <w:szCs w:val="24"/>
        </w:rPr>
      </w:pPr>
      <w:r>
        <w:rPr>
          <w:rFonts w:ascii="宋体" w:hAnsi="宋体" w:eastAsia="宋体" w:cs="宋体"/>
          <w:spacing w:val="-7"/>
          <w:sz w:val="24"/>
          <w:szCs w:val="24"/>
        </w:rPr>
        <w:t>钻井液为水基钻井液， 以粘土（主要用膨润土）、水作为基础配浆材料，加</w:t>
      </w:r>
      <w:r>
        <w:rPr>
          <w:rFonts w:ascii="宋体" w:hAnsi="宋体" w:eastAsia="宋体" w:cs="宋体"/>
          <w:spacing w:val="13"/>
          <w:sz w:val="24"/>
          <w:szCs w:val="24"/>
        </w:rPr>
        <w:t xml:space="preserve"> </w:t>
      </w:r>
      <w:r>
        <w:rPr>
          <w:rFonts w:ascii="宋体" w:hAnsi="宋体" w:eastAsia="宋体" w:cs="宋体"/>
          <w:spacing w:val="-3"/>
          <w:sz w:val="24"/>
          <w:szCs w:val="24"/>
        </w:rPr>
        <w:t>入各种有机和无机材料形成的多种成分和相态共存的悬浮液。膨润土的主要成分</w:t>
      </w:r>
      <w:r>
        <w:rPr>
          <w:rFonts w:ascii="宋体" w:hAnsi="宋体" w:eastAsia="宋体" w:cs="宋体"/>
          <w:spacing w:val="6"/>
          <w:sz w:val="24"/>
          <w:szCs w:val="24"/>
        </w:rPr>
        <w:t xml:space="preserve"> </w:t>
      </w:r>
      <w:r>
        <w:rPr>
          <w:rFonts w:ascii="宋体" w:hAnsi="宋体" w:eastAsia="宋体" w:cs="宋体"/>
          <w:spacing w:val="-3"/>
          <w:sz w:val="24"/>
          <w:szCs w:val="24"/>
        </w:rPr>
        <w:t>是蒙脱石。钻井液中影响环境的主要成分是有机物类、无机盐类、烧碱等配浆和</w:t>
      </w:r>
    </w:p>
    <w:p>
      <w:pPr>
        <w:spacing w:before="1" w:line="218" w:lineRule="auto"/>
        <w:ind w:left="122"/>
        <w:rPr>
          <w:rFonts w:ascii="宋体" w:hAnsi="宋体" w:eastAsia="宋体" w:cs="宋体"/>
          <w:sz w:val="24"/>
          <w:szCs w:val="24"/>
        </w:rPr>
      </w:pPr>
      <w:r>
        <w:rPr>
          <w:rFonts w:ascii="宋体" w:hAnsi="宋体" w:eastAsia="宋体" w:cs="宋体"/>
          <w:spacing w:val="-1"/>
          <w:sz w:val="24"/>
          <w:szCs w:val="24"/>
        </w:rPr>
        <w:t>加重材料中的杂质，目前采用的钻井液不含重金属及其</w:t>
      </w:r>
      <w:r>
        <w:rPr>
          <w:rFonts w:ascii="宋体" w:hAnsi="宋体" w:eastAsia="宋体" w:cs="宋体"/>
          <w:spacing w:val="-2"/>
          <w:sz w:val="24"/>
          <w:szCs w:val="24"/>
        </w:rPr>
        <w:t>他有毒物质，呈碱性。</w:t>
      </w:r>
    </w:p>
    <w:p>
      <w:pPr>
        <w:spacing w:before="196" w:line="217" w:lineRule="auto"/>
        <w:ind w:left="600"/>
        <w:rPr>
          <w:rFonts w:ascii="宋体" w:hAnsi="宋体" w:eastAsia="宋体" w:cs="宋体"/>
          <w:sz w:val="24"/>
          <w:szCs w:val="24"/>
        </w:rPr>
      </w:pPr>
      <w:r>
        <w:rPr>
          <w:rFonts w:ascii="宋体" w:hAnsi="宋体" w:eastAsia="宋体" w:cs="宋体"/>
          <w:spacing w:val="-2"/>
          <w:sz w:val="24"/>
          <w:szCs w:val="24"/>
        </w:rPr>
        <w:t>②钻井废水</w:t>
      </w:r>
    </w:p>
    <w:p>
      <w:pPr>
        <w:spacing w:before="197" w:line="480" w:lineRule="exact"/>
        <w:ind w:left="603"/>
        <w:rPr>
          <w:rFonts w:ascii="宋体" w:hAnsi="宋体" w:eastAsia="宋体" w:cs="宋体"/>
          <w:sz w:val="24"/>
          <w:szCs w:val="24"/>
        </w:rPr>
      </w:pPr>
      <w:r>
        <w:rPr>
          <w:rFonts w:ascii="宋体" w:hAnsi="宋体" w:eastAsia="宋体" w:cs="宋体"/>
          <w:spacing w:val="-1"/>
          <w:position w:val="18"/>
          <w:sz w:val="24"/>
          <w:szCs w:val="24"/>
        </w:rPr>
        <w:t>作业废水含较高浓度的</w:t>
      </w:r>
      <w:r>
        <w:rPr>
          <w:rFonts w:ascii="宋体" w:hAnsi="宋体" w:eastAsia="宋体" w:cs="宋体"/>
          <w:spacing w:val="-32"/>
          <w:position w:val="18"/>
          <w:sz w:val="24"/>
          <w:szCs w:val="24"/>
        </w:rPr>
        <w:t xml:space="preserve"> </w:t>
      </w:r>
      <w:r>
        <w:rPr>
          <w:rFonts w:ascii="Times New Roman" w:hAnsi="Times New Roman" w:eastAsia="Times New Roman" w:cs="Times New Roman"/>
          <w:spacing w:val="-1"/>
          <w:position w:val="18"/>
          <w:sz w:val="24"/>
          <w:szCs w:val="24"/>
        </w:rPr>
        <w:t xml:space="preserve">COD </w:t>
      </w:r>
      <w:r>
        <w:rPr>
          <w:rFonts w:ascii="宋体" w:hAnsi="宋体" w:eastAsia="宋体" w:cs="宋体"/>
          <w:spacing w:val="-1"/>
          <w:position w:val="18"/>
          <w:sz w:val="24"/>
          <w:szCs w:val="24"/>
        </w:rPr>
        <w:t>和氯离子，类比同类钻井平台各类作业废水主</w:t>
      </w:r>
    </w:p>
    <w:p>
      <w:pPr>
        <w:spacing w:before="1" w:line="219" w:lineRule="auto"/>
        <w:ind w:left="123"/>
        <w:rPr>
          <w:rFonts w:ascii="宋体" w:hAnsi="宋体" w:eastAsia="宋体" w:cs="宋体"/>
          <w:sz w:val="24"/>
          <w:szCs w:val="24"/>
        </w:rPr>
      </w:pPr>
      <w:r>
        <w:rPr>
          <w:rFonts w:ascii="宋体" w:hAnsi="宋体" w:eastAsia="宋体" w:cs="宋体"/>
          <w:spacing w:val="-2"/>
          <w:sz w:val="24"/>
          <w:szCs w:val="24"/>
        </w:rPr>
        <w:t>要指标见表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4.1-8</w:t>
      </w:r>
      <w:r>
        <w:rPr>
          <w:rFonts w:ascii="宋体" w:hAnsi="宋体" w:eastAsia="宋体" w:cs="宋体"/>
          <w:spacing w:val="-2"/>
          <w:sz w:val="24"/>
          <w:szCs w:val="24"/>
        </w:rPr>
        <w:t>。</w:t>
      </w:r>
    </w:p>
    <w:p>
      <w:pPr>
        <w:spacing w:before="195" w:line="212" w:lineRule="auto"/>
        <w:ind w:left="1796"/>
        <w:rPr>
          <w:rFonts w:ascii="Times New Roman" w:hAnsi="Times New Roman" w:eastAsia="Times New Roman" w:cs="Times New Roman"/>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4"/>
          <w:sz w:val="24"/>
          <w:szCs w:val="24"/>
        </w:rPr>
        <w:t xml:space="preserve">4.1-8      </w:t>
      </w:r>
      <w:r>
        <w:rPr>
          <w:rFonts w:ascii="宋体" w:hAnsi="宋体" w:eastAsia="宋体" w:cs="宋体"/>
          <w:spacing w:val="-4"/>
          <w:sz w:val="24"/>
          <w:szCs w:val="24"/>
          <w14:textOutline w14:w="4354" w14:cap="flat" w14:cmpd="sng">
            <w14:solidFill>
              <w14:srgbClr w14:val="000000"/>
            </w14:solidFill>
            <w14:prstDash w14:val="solid"/>
            <w14:miter w14:val="10"/>
          </w14:textOutline>
        </w:rPr>
        <w:t>各类作业废水水质情况</w:t>
      </w:r>
      <w:r>
        <w:rPr>
          <w:rFonts w:ascii="宋体" w:hAnsi="宋体" w:eastAsia="宋体" w:cs="宋体"/>
          <w:spacing w:val="-4"/>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10"/>
          </w14:textOutline>
        </w:rPr>
        <w:t>单</w:t>
      </w:r>
      <w:r>
        <w:rPr>
          <w:rFonts w:ascii="宋体" w:hAnsi="宋体" w:eastAsia="宋体" w:cs="宋体"/>
          <w:spacing w:val="-5"/>
          <w:sz w:val="24"/>
          <w:szCs w:val="24"/>
          <w14:textOutline w14:w="4354" w14:cap="flat" w14:cmpd="sng">
            <w14:solidFill>
              <w14:srgbClr w14:val="000000"/>
            </w14:solidFill>
            <w14:prstDash w14:val="solid"/>
            <w14:miter w14:val="10"/>
          </w14:textOutline>
        </w:rPr>
        <w:t>位：</w:t>
      </w:r>
      <w:r>
        <w:rPr>
          <w:rFonts w:ascii="宋体" w:hAnsi="宋体" w:eastAsia="宋体" w:cs="宋体"/>
          <w:spacing w:val="4"/>
          <w:sz w:val="24"/>
          <w:szCs w:val="24"/>
        </w:rPr>
        <w:t xml:space="preserve"> </w:t>
      </w:r>
      <w:r>
        <w:rPr>
          <w:rFonts w:ascii="Times New Roman" w:hAnsi="Times New Roman" w:eastAsia="Times New Roman" w:cs="Times New Roman"/>
          <w:b/>
          <w:bCs/>
          <w:spacing w:val="-5"/>
          <w:sz w:val="24"/>
          <w:szCs w:val="24"/>
        </w:rPr>
        <w:t>mg/L</w:t>
      </w:r>
    </w:p>
    <w:p>
      <w:pPr>
        <w:spacing w:line="2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2"/>
        <w:gridCol w:w="1480"/>
        <w:gridCol w:w="1698"/>
        <w:gridCol w:w="1135"/>
        <w:gridCol w:w="1274"/>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12" w:type="dxa"/>
            <w:vAlign w:val="top"/>
          </w:tcPr>
          <w:p>
            <w:pPr>
              <w:pStyle w:val="6"/>
              <w:spacing w:before="67" w:line="221" w:lineRule="auto"/>
              <w:ind w:left="288"/>
              <w:rPr>
                <w:sz w:val="21"/>
                <w:szCs w:val="21"/>
              </w:rPr>
            </w:pPr>
            <w:r>
              <w:rPr>
                <w:spacing w:val="-2"/>
                <w:sz w:val="21"/>
                <w:szCs w:val="21"/>
              </w:rPr>
              <w:t>污染物种类</w:t>
            </w:r>
          </w:p>
        </w:tc>
        <w:tc>
          <w:tcPr>
            <w:tcW w:w="1480" w:type="dxa"/>
            <w:vAlign w:val="top"/>
          </w:tcPr>
          <w:p>
            <w:pPr>
              <w:pStyle w:val="6"/>
              <w:spacing w:before="68" w:line="221" w:lineRule="auto"/>
              <w:ind w:left="107"/>
              <w:rPr>
                <w:sz w:val="21"/>
                <w:szCs w:val="21"/>
              </w:rPr>
            </w:pPr>
            <w:r>
              <w:rPr>
                <w:rFonts w:ascii="Times New Roman" w:hAnsi="Times New Roman" w:eastAsia="Times New Roman" w:cs="Times New Roman"/>
                <w:spacing w:val="-2"/>
                <w:sz w:val="21"/>
                <w:szCs w:val="21"/>
              </w:rPr>
              <w:t>PH</w:t>
            </w:r>
            <w:r>
              <w:rPr>
                <w:spacing w:val="-2"/>
                <w:sz w:val="21"/>
                <w:szCs w:val="21"/>
              </w:rPr>
              <w:t>（无量纲）</w:t>
            </w:r>
          </w:p>
        </w:tc>
        <w:tc>
          <w:tcPr>
            <w:tcW w:w="1698" w:type="dxa"/>
            <w:vAlign w:val="top"/>
          </w:tcPr>
          <w:p>
            <w:pPr>
              <w:spacing w:before="106" w:line="187" w:lineRule="auto"/>
              <w:ind w:left="7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135" w:type="dxa"/>
            <w:vAlign w:val="top"/>
          </w:tcPr>
          <w:p>
            <w:pPr>
              <w:pStyle w:val="6"/>
              <w:spacing w:before="67" w:line="221" w:lineRule="auto"/>
              <w:ind w:left="257"/>
              <w:rPr>
                <w:sz w:val="21"/>
                <w:szCs w:val="21"/>
              </w:rPr>
            </w:pPr>
            <w:r>
              <w:rPr>
                <w:spacing w:val="-2"/>
                <w:sz w:val="21"/>
                <w:szCs w:val="21"/>
              </w:rPr>
              <w:t>石油类</w:t>
            </w:r>
          </w:p>
        </w:tc>
        <w:tc>
          <w:tcPr>
            <w:tcW w:w="1274" w:type="dxa"/>
            <w:vAlign w:val="top"/>
          </w:tcPr>
          <w:p>
            <w:pPr>
              <w:spacing w:before="106"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334" w:type="dxa"/>
            <w:vAlign w:val="top"/>
          </w:tcPr>
          <w:p>
            <w:pPr>
              <w:spacing w:before="102" w:line="191" w:lineRule="auto"/>
              <w:ind w:left="549"/>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Cl</w:t>
            </w:r>
            <w:r>
              <w:rPr>
                <w:rFonts w:ascii="Times New Roman" w:hAnsi="Times New Roman" w:eastAsia="Times New Roman" w:cs="Times New Roman"/>
                <w:spacing w:val="-2"/>
                <w:position w:val="6"/>
                <w:sz w:val="13"/>
                <w:szCs w:val="1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12" w:type="dxa"/>
            <w:vAlign w:val="top"/>
          </w:tcPr>
          <w:p>
            <w:pPr>
              <w:pStyle w:val="6"/>
              <w:spacing w:before="63" w:line="221" w:lineRule="auto"/>
              <w:ind w:left="391"/>
              <w:rPr>
                <w:sz w:val="21"/>
                <w:szCs w:val="21"/>
              </w:rPr>
            </w:pPr>
            <w:r>
              <w:rPr>
                <w:spacing w:val="-2"/>
                <w:sz w:val="21"/>
                <w:szCs w:val="21"/>
              </w:rPr>
              <w:t>钻井废水</w:t>
            </w:r>
          </w:p>
        </w:tc>
        <w:tc>
          <w:tcPr>
            <w:tcW w:w="1480" w:type="dxa"/>
            <w:vAlign w:val="top"/>
          </w:tcPr>
          <w:p>
            <w:pPr>
              <w:spacing w:before="102" w:line="187" w:lineRule="auto"/>
              <w:ind w:left="583"/>
              <w:rPr>
                <w:rFonts w:ascii="Times New Roman" w:hAnsi="Times New Roman" w:eastAsia="Times New Roman" w:cs="Times New Roman"/>
                <w:sz w:val="21"/>
                <w:szCs w:val="21"/>
              </w:rPr>
            </w:pPr>
            <w:r>
              <w:rPr>
                <w:rFonts w:ascii="Times New Roman" w:hAnsi="Times New Roman" w:eastAsia="Times New Roman" w:cs="Times New Roman"/>
                <w:sz w:val="21"/>
                <w:szCs w:val="21"/>
              </w:rPr>
              <w:t>6~9</w:t>
            </w:r>
          </w:p>
        </w:tc>
        <w:tc>
          <w:tcPr>
            <w:tcW w:w="1698" w:type="dxa"/>
            <w:vAlign w:val="top"/>
          </w:tcPr>
          <w:p>
            <w:pPr>
              <w:spacing w:before="102" w:line="187" w:lineRule="auto"/>
              <w:ind w:left="6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135" w:type="dxa"/>
            <w:vAlign w:val="top"/>
          </w:tcPr>
          <w:p>
            <w:pPr>
              <w:spacing w:before="102"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274" w:type="dxa"/>
            <w:vAlign w:val="top"/>
          </w:tcPr>
          <w:p>
            <w:pPr>
              <w:spacing w:before="102" w:line="187"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4576</w:t>
            </w:r>
          </w:p>
        </w:tc>
        <w:tc>
          <w:tcPr>
            <w:tcW w:w="1334" w:type="dxa"/>
            <w:vAlign w:val="top"/>
          </w:tcPr>
          <w:p>
            <w:pPr>
              <w:spacing w:before="102"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612" w:type="dxa"/>
            <w:vAlign w:val="top"/>
          </w:tcPr>
          <w:p>
            <w:pPr>
              <w:pStyle w:val="6"/>
              <w:spacing w:before="64" w:line="221" w:lineRule="auto"/>
              <w:ind w:left="391"/>
              <w:rPr>
                <w:sz w:val="21"/>
                <w:szCs w:val="21"/>
              </w:rPr>
            </w:pPr>
            <w:r>
              <w:rPr>
                <w:spacing w:val="-1"/>
                <w:sz w:val="21"/>
                <w:szCs w:val="21"/>
              </w:rPr>
              <w:t>洗井废水</w:t>
            </w:r>
          </w:p>
        </w:tc>
        <w:tc>
          <w:tcPr>
            <w:tcW w:w="1480" w:type="dxa"/>
            <w:vAlign w:val="top"/>
          </w:tcPr>
          <w:p>
            <w:pPr>
              <w:spacing w:before="103" w:line="187" w:lineRule="auto"/>
              <w:ind w:left="583"/>
              <w:rPr>
                <w:rFonts w:ascii="Times New Roman" w:hAnsi="Times New Roman" w:eastAsia="Times New Roman" w:cs="Times New Roman"/>
                <w:sz w:val="21"/>
                <w:szCs w:val="21"/>
              </w:rPr>
            </w:pPr>
            <w:r>
              <w:rPr>
                <w:rFonts w:ascii="Times New Roman" w:hAnsi="Times New Roman" w:eastAsia="Times New Roman" w:cs="Times New Roman"/>
                <w:sz w:val="21"/>
                <w:szCs w:val="21"/>
              </w:rPr>
              <w:t>6~9</w:t>
            </w:r>
          </w:p>
        </w:tc>
        <w:tc>
          <w:tcPr>
            <w:tcW w:w="1698" w:type="dxa"/>
            <w:vAlign w:val="top"/>
          </w:tcPr>
          <w:p>
            <w:pPr>
              <w:spacing w:before="103" w:line="187" w:lineRule="auto"/>
              <w:ind w:left="6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1135" w:type="dxa"/>
            <w:vAlign w:val="top"/>
          </w:tcPr>
          <w:p>
            <w:pPr>
              <w:spacing w:before="103"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274" w:type="dxa"/>
            <w:vAlign w:val="top"/>
          </w:tcPr>
          <w:p>
            <w:pPr>
              <w:spacing w:before="103" w:line="187"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334" w:type="dxa"/>
            <w:vAlign w:val="top"/>
          </w:tcPr>
          <w:p>
            <w:pPr>
              <w:spacing w:before="103"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612" w:type="dxa"/>
            <w:vAlign w:val="top"/>
          </w:tcPr>
          <w:p>
            <w:pPr>
              <w:pStyle w:val="6"/>
              <w:spacing w:before="65" w:line="221" w:lineRule="auto"/>
              <w:ind w:left="392"/>
              <w:rPr>
                <w:sz w:val="21"/>
                <w:szCs w:val="21"/>
              </w:rPr>
            </w:pPr>
            <w:r>
              <w:rPr>
                <w:spacing w:val="-2"/>
                <w:sz w:val="21"/>
                <w:szCs w:val="21"/>
              </w:rPr>
              <w:t>酸化废水</w:t>
            </w:r>
          </w:p>
        </w:tc>
        <w:tc>
          <w:tcPr>
            <w:tcW w:w="1480" w:type="dxa"/>
            <w:vAlign w:val="top"/>
          </w:tcPr>
          <w:p>
            <w:pPr>
              <w:spacing w:before="104" w:line="18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698" w:type="dxa"/>
            <w:vAlign w:val="top"/>
          </w:tcPr>
          <w:p>
            <w:pPr>
              <w:spacing w:before="104" w:line="187" w:lineRule="auto"/>
              <w:ind w:left="6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135" w:type="dxa"/>
            <w:vAlign w:val="top"/>
          </w:tcPr>
          <w:p>
            <w:pPr>
              <w:spacing w:before="104" w:line="187" w:lineRule="auto"/>
              <w:ind w:left="4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274" w:type="dxa"/>
            <w:vAlign w:val="top"/>
          </w:tcPr>
          <w:p>
            <w:pPr>
              <w:spacing w:before="104"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c>
          <w:tcPr>
            <w:tcW w:w="1334" w:type="dxa"/>
            <w:vAlign w:val="top"/>
          </w:tcPr>
          <w:p>
            <w:pPr>
              <w:spacing w:before="104"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12" w:type="dxa"/>
            <w:vAlign w:val="top"/>
          </w:tcPr>
          <w:p>
            <w:pPr>
              <w:pStyle w:val="6"/>
              <w:spacing w:before="69" w:line="221" w:lineRule="auto"/>
              <w:ind w:left="392"/>
              <w:rPr>
                <w:sz w:val="21"/>
                <w:szCs w:val="21"/>
              </w:rPr>
            </w:pPr>
            <w:r>
              <w:rPr>
                <w:spacing w:val="-2"/>
                <w:sz w:val="21"/>
                <w:szCs w:val="21"/>
              </w:rPr>
              <w:t>方井雨水</w:t>
            </w:r>
          </w:p>
        </w:tc>
        <w:tc>
          <w:tcPr>
            <w:tcW w:w="1480" w:type="dxa"/>
            <w:vAlign w:val="top"/>
          </w:tcPr>
          <w:p>
            <w:pPr>
              <w:spacing w:before="108"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1698" w:type="dxa"/>
            <w:vAlign w:val="top"/>
          </w:tcPr>
          <w:p>
            <w:pPr>
              <w:spacing w:before="108" w:line="187" w:lineRule="auto"/>
              <w:ind w:left="6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c>
          <w:tcPr>
            <w:tcW w:w="1135" w:type="dxa"/>
            <w:vAlign w:val="top"/>
          </w:tcPr>
          <w:p>
            <w:pPr>
              <w:spacing w:before="108"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274" w:type="dxa"/>
            <w:vAlign w:val="top"/>
          </w:tcPr>
          <w:p>
            <w:pPr>
              <w:spacing w:before="108" w:line="187"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334" w:type="dxa"/>
            <w:vAlign w:val="top"/>
          </w:tcPr>
          <w:p>
            <w:pPr>
              <w:spacing w:before="104" w:line="233" w:lineRule="auto"/>
              <w:ind w:left="63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before="177" w:line="220" w:lineRule="auto"/>
        <w:ind w:left="118"/>
        <w:rPr>
          <w:rFonts w:ascii="宋体" w:hAnsi="宋体" w:eastAsia="宋体" w:cs="宋体"/>
          <w:sz w:val="24"/>
          <w:szCs w:val="24"/>
        </w:rPr>
      </w:pPr>
      <w:bookmarkStart w:id="50" w:name="bookmark51"/>
      <w:bookmarkEnd w:id="50"/>
      <w:r>
        <w:rPr>
          <w:rFonts w:ascii="Times New Roman" w:hAnsi="Times New Roman" w:eastAsia="Times New Roman" w:cs="Times New Roman"/>
          <w:b/>
          <w:bCs/>
          <w:sz w:val="24"/>
          <w:szCs w:val="24"/>
        </w:rPr>
        <w:t xml:space="preserve">4.2 </w:t>
      </w:r>
      <w:r>
        <w:rPr>
          <w:rFonts w:ascii="宋体" w:hAnsi="宋体" w:eastAsia="宋体" w:cs="宋体"/>
          <w:sz w:val="24"/>
          <w:szCs w:val="24"/>
          <w14:textOutline w14:w="4354" w14:cap="flat" w14:cmpd="sng">
            <w14:solidFill>
              <w14:srgbClr w14:val="000000"/>
            </w14:solidFill>
            <w14:prstDash w14:val="solid"/>
            <w14:miter w14:val="10"/>
          </w14:textOutline>
        </w:rPr>
        <w:t>生产设施危险性识别</w:t>
      </w:r>
    </w:p>
    <w:p>
      <w:pPr>
        <w:spacing w:before="195" w:line="481" w:lineRule="exact"/>
        <w:ind w:left="602"/>
        <w:rPr>
          <w:rFonts w:ascii="宋体" w:hAnsi="宋体" w:eastAsia="宋体" w:cs="宋体"/>
          <w:sz w:val="24"/>
          <w:szCs w:val="24"/>
        </w:rPr>
      </w:pPr>
      <w:r>
        <w:rPr>
          <w:rFonts w:ascii="宋体" w:hAnsi="宋体" w:eastAsia="宋体" w:cs="宋体"/>
          <w:spacing w:val="-3"/>
          <w:position w:val="18"/>
          <w:sz w:val="24"/>
          <w:szCs w:val="24"/>
        </w:rPr>
        <w:t>根据《建设项目风险评价技术导则》（</w:t>
      </w:r>
      <w:r>
        <w:rPr>
          <w:rFonts w:ascii="Times New Roman" w:hAnsi="Times New Roman" w:eastAsia="Times New Roman" w:cs="Times New Roman"/>
          <w:spacing w:val="-3"/>
          <w:position w:val="18"/>
          <w:sz w:val="24"/>
          <w:szCs w:val="24"/>
        </w:rPr>
        <w:t>HJ  169-2018</w:t>
      </w:r>
      <w:r>
        <w:rPr>
          <w:rFonts w:ascii="宋体" w:hAnsi="宋体" w:eastAsia="宋体" w:cs="宋体"/>
          <w:spacing w:val="-45"/>
          <w:position w:val="18"/>
          <w:sz w:val="24"/>
          <w:szCs w:val="24"/>
        </w:rPr>
        <w:t>），</w:t>
      </w:r>
      <w:r>
        <w:rPr>
          <w:rFonts w:ascii="宋体" w:hAnsi="宋体" w:eastAsia="宋体" w:cs="宋体"/>
          <w:spacing w:val="-3"/>
          <w:position w:val="18"/>
          <w:sz w:val="24"/>
          <w:szCs w:val="24"/>
        </w:rPr>
        <w:t>结合物质危险性识别</w:t>
      </w:r>
    </w:p>
    <w:p>
      <w:pPr>
        <w:spacing w:line="219" w:lineRule="auto"/>
        <w:ind w:left="127"/>
        <w:rPr>
          <w:rFonts w:ascii="宋体" w:hAnsi="宋体" w:eastAsia="宋体" w:cs="宋体"/>
          <w:sz w:val="24"/>
          <w:szCs w:val="24"/>
        </w:rPr>
      </w:pPr>
      <w:r>
        <w:rPr>
          <w:rFonts w:ascii="宋体" w:hAnsi="宋体" w:eastAsia="宋体" w:cs="宋体"/>
          <w:spacing w:val="-5"/>
          <w:sz w:val="24"/>
          <w:szCs w:val="24"/>
        </w:rPr>
        <w:t>结果，项目生产设施危险性如下：</w:t>
      </w:r>
    </w:p>
    <w:p>
      <w:pPr>
        <w:spacing w:before="195" w:line="217" w:lineRule="auto"/>
        <w:ind w:left="601"/>
        <w:rPr>
          <w:rFonts w:ascii="宋体" w:hAnsi="宋体" w:eastAsia="宋体" w:cs="宋体"/>
          <w:sz w:val="24"/>
          <w:szCs w:val="24"/>
        </w:rPr>
      </w:pPr>
      <w:r>
        <w:rPr>
          <w:rFonts w:ascii="宋体" w:hAnsi="宋体" w:eastAsia="宋体" w:cs="宋体"/>
          <w:spacing w:val="-2"/>
          <w:sz w:val="24"/>
          <w:szCs w:val="24"/>
        </w:rPr>
        <w:t>①应急池垮塌或遇暴雨溢流将引起地表水、地下水、土壤污染。</w:t>
      </w:r>
    </w:p>
    <w:p>
      <w:pPr>
        <w:spacing w:before="198" w:line="480" w:lineRule="exact"/>
        <w:ind w:right="1"/>
        <w:jc w:val="right"/>
        <w:rPr>
          <w:rFonts w:ascii="宋体" w:hAnsi="宋体" w:eastAsia="宋体" w:cs="宋体"/>
          <w:sz w:val="24"/>
          <w:szCs w:val="24"/>
        </w:rPr>
      </w:pPr>
      <w:r>
        <w:rPr>
          <w:rFonts w:ascii="宋体" w:hAnsi="宋体" w:eastAsia="宋体" w:cs="宋体"/>
          <w:position w:val="18"/>
          <w:sz w:val="24"/>
          <w:szCs w:val="24"/>
        </w:rPr>
        <w:t>②油罐、储酸罐破损或操作不当引起泄漏风险污染地表水、地下水、土壤。</w:t>
      </w:r>
    </w:p>
    <w:p>
      <w:pPr>
        <w:spacing w:line="217" w:lineRule="auto"/>
        <w:ind w:left="600"/>
        <w:rPr>
          <w:rFonts w:ascii="宋体" w:hAnsi="宋体" w:eastAsia="宋体" w:cs="宋体"/>
          <w:sz w:val="24"/>
          <w:szCs w:val="24"/>
        </w:rPr>
      </w:pPr>
      <w:r>
        <w:rPr>
          <w:rFonts w:ascii="宋体" w:hAnsi="宋体" w:eastAsia="宋体" w:cs="宋体"/>
          <w:spacing w:val="-2"/>
          <w:sz w:val="24"/>
          <w:szCs w:val="24"/>
        </w:rPr>
        <w:t>③污水罐车外运处理过程中出现交通事故可能引起水体、土壤污染。</w:t>
      </w:r>
    </w:p>
    <w:p>
      <w:pPr>
        <w:spacing w:line="217" w:lineRule="auto"/>
        <w:rPr>
          <w:rFonts w:ascii="宋体" w:hAnsi="宋体" w:eastAsia="宋体" w:cs="宋体"/>
          <w:sz w:val="24"/>
          <w:szCs w:val="24"/>
        </w:rPr>
        <w:sectPr>
          <w:headerReference r:id="rId241" w:type="default"/>
          <w:footerReference r:id="rId242" w:type="default"/>
          <w:pgSz w:w="11907" w:h="16839"/>
          <w:pgMar w:top="1123" w:right="1682" w:bottom="1149" w:left="1685" w:header="1108" w:footer="988" w:gutter="0"/>
          <w:cols w:space="720" w:num="1"/>
        </w:sectPr>
      </w:pPr>
    </w:p>
    <w:p>
      <w:pPr>
        <w:pStyle w:val="2"/>
        <w:spacing w:line="413" w:lineRule="auto"/>
        <w:rPr>
          <w:sz w:val="21"/>
        </w:rPr>
      </w:pPr>
    </w:p>
    <w:p>
      <w:pPr>
        <w:spacing w:before="78" w:line="220" w:lineRule="auto"/>
        <w:ind w:left="123"/>
        <w:rPr>
          <w:rFonts w:ascii="宋体" w:hAnsi="宋体" w:eastAsia="宋体" w:cs="宋体"/>
          <w:sz w:val="24"/>
          <w:szCs w:val="24"/>
        </w:rPr>
      </w:pPr>
      <w:bookmarkStart w:id="51" w:name="bookmark52"/>
      <w:bookmarkEnd w:id="51"/>
      <w:r>
        <w:rPr>
          <w:rFonts w:ascii="Times New Roman" w:hAnsi="Times New Roman" w:eastAsia="Times New Roman" w:cs="Times New Roman"/>
          <w:b/>
          <w:bCs/>
          <w:sz w:val="24"/>
          <w:szCs w:val="24"/>
        </w:rPr>
        <w:t xml:space="preserve">4.3 </w:t>
      </w:r>
      <w:r>
        <w:rPr>
          <w:rFonts w:ascii="宋体" w:hAnsi="宋体" w:eastAsia="宋体" w:cs="宋体"/>
          <w:sz w:val="24"/>
          <w:szCs w:val="24"/>
          <w14:textOutline w14:w="4354" w14:cap="flat" w14:cmpd="sng">
            <w14:solidFill>
              <w14:srgbClr w14:val="000000"/>
            </w14:solidFill>
            <w14:prstDash w14:val="solid"/>
            <w14:miter w14:val="10"/>
          </w14:textOutline>
        </w:rPr>
        <w:t>生产过程危险性识别</w:t>
      </w:r>
    </w:p>
    <w:p>
      <w:pPr>
        <w:spacing w:before="196" w:line="369" w:lineRule="auto"/>
        <w:ind w:left="126" w:right="116" w:firstLine="486"/>
        <w:jc w:val="both"/>
        <w:rPr>
          <w:rFonts w:ascii="宋体" w:hAnsi="宋体" w:eastAsia="宋体" w:cs="宋体"/>
          <w:sz w:val="24"/>
          <w:szCs w:val="24"/>
        </w:rPr>
      </w:pPr>
      <w:r>
        <w:rPr>
          <w:rFonts w:ascii="宋体" w:hAnsi="宋体" w:eastAsia="宋体" w:cs="宋体"/>
          <w:spacing w:val="-6"/>
          <w:sz w:val="24"/>
          <w:szCs w:val="24"/>
        </w:rPr>
        <w:t>结合物质危险性识别结果和典型事故案例，</w:t>
      </w:r>
      <w:r>
        <w:rPr>
          <w:rFonts w:ascii="宋体" w:hAnsi="宋体" w:eastAsia="宋体" w:cs="宋体"/>
          <w:spacing w:val="-25"/>
          <w:sz w:val="24"/>
          <w:szCs w:val="24"/>
        </w:rPr>
        <w:t xml:space="preserve"> </w:t>
      </w:r>
      <w:r>
        <w:rPr>
          <w:rFonts w:ascii="宋体" w:hAnsi="宋体" w:eastAsia="宋体" w:cs="宋体"/>
          <w:spacing w:val="-6"/>
          <w:sz w:val="24"/>
          <w:szCs w:val="24"/>
        </w:rPr>
        <w:t>钻井作业是多专业工种的野</w:t>
      </w:r>
      <w:r>
        <w:rPr>
          <w:rFonts w:ascii="宋体" w:hAnsi="宋体" w:eastAsia="宋体" w:cs="宋体"/>
          <w:spacing w:val="-7"/>
          <w:sz w:val="24"/>
          <w:szCs w:val="24"/>
        </w:rPr>
        <w:t>外作</w:t>
      </w:r>
      <w:r>
        <w:rPr>
          <w:rFonts w:ascii="宋体" w:hAnsi="宋体" w:eastAsia="宋体" w:cs="宋体"/>
          <w:sz w:val="24"/>
          <w:szCs w:val="24"/>
        </w:rPr>
        <w:t xml:space="preserve"> </w:t>
      </w:r>
      <w:r>
        <w:rPr>
          <w:rFonts w:ascii="宋体" w:hAnsi="宋体" w:eastAsia="宋体" w:cs="宋体"/>
          <w:spacing w:val="-9"/>
          <w:sz w:val="24"/>
          <w:szCs w:val="24"/>
        </w:rPr>
        <w:t>业，</w:t>
      </w:r>
      <w:r>
        <w:rPr>
          <w:rFonts w:ascii="宋体" w:hAnsi="宋体" w:eastAsia="宋体" w:cs="宋体"/>
          <w:spacing w:val="-55"/>
          <w:sz w:val="24"/>
          <w:szCs w:val="24"/>
        </w:rPr>
        <w:t xml:space="preserve"> </w:t>
      </w:r>
      <w:r>
        <w:rPr>
          <w:rFonts w:ascii="宋体" w:hAnsi="宋体" w:eastAsia="宋体" w:cs="宋体"/>
          <w:spacing w:val="-9"/>
          <w:sz w:val="24"/>
          <w:szCs w:val="24"/>
        </w:rPr>
        <w:t>且地下情况复杂，</w:t>
      </w:r>
      <w:r>
        <w:rPr>
          <w:rFonts w:ascii="宋体" w:hAnsi="宋体" w:eastAsia="宋体" w:cs="宋体"/>
          <w:spacing w:val="34"/>
          <w:sz w:val="24"/>
          <w:szCs w:val="24"/>
        </w:rPr>
        <w:t xml:space="preserve"> </w:t>
      </w:r>
      <w:r>
        <w:rPr>
          <w:rFonts w:ascii="宋体" w:hAnsi="宋体" w:eastAsia="宋体" w:cs="宋体"/>
          <w:spacing w:val="-9"/>
          <w:sz w:val="24"/>
          <w:szCs w:val="24"/>
        </w:rPr>
        <w:t>钻井作业隐藏着对环境的多种不安全因素。钻井过程中危</w:t>
      </w:r>
      <w:r>
        <w:rPr>
          <w:rFonts w:ascii="宋体" w:hAnsi="宋体" w:eastAsia="宋体" w:cs="宋体"/>
          <w:sz w:val="24"/>
          <w:szCs w:val="24"/>
        </w:rPr>
        <w:t xml:space="preserve"> </w:t>
      </w:r>
      <w:r>
        <w:rPr>
          <w:rFonts w:ascii="宋体" w:hAnsi="宋体" w:eastAsia="宋体" w:cs="宋体"/>
          <w:spacing w:val="-1"/>
          <w:sz w:val="24"/>
          <w:szCs w:val="24"/>
        </w:rPr>
        <w:t xml:space="preserve">险因素及可能产生的事故见表 </w:t>
      </w:r>
      <w:r>
        <w:rPr>
          <w:rFonts w:ascii="Times New Roman" w:hAnsi="Times New Roman" w:eastAsia="Times New Roman" w:cs="Times New Roman"/>
          <w:spacing w:val="-1"/>
          <w:sz w:val="24"/>
          <w:szCs w:val="24"/>
        </w:rPr>
        <w:t>4.3-</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，其主要环境事故可能为：应急池废水事故</w:t>
      </w:r>
      <w:r>
        <w:rPr>
          <w:rFonts w:ascii="宋体" w:hAnsi="宋体" w:eastAsia="宋体" w:cs="宋体"/>
          <w:sz w:val="24"/>
          <w:szCs w:val="24"/>
        </w:rPr>
        <w:t xml:space="preserve"> </w:t>
      </w:r>
      <w:r>
        <w:rPr>
          <w:rFonts w:ascii="宋体" w:hAnsi="宋体" w:eastAsia="宋体" w:cs="宋体"/>
          <w:spacing w:val="-3"/>
          <w:sz w:val="24"/>
          <w:szCs w:val="24"/>
        </w:rPr>
        <w:t>泄漏、废水及油类物质转运过程中事故泄漏、井喷等。应急池废水事故泄漏会污</w:t>
      </w:r>
      <w:r>
        <w:rPr>
          <w:rFonts w:ascii="宋体" w:hAnsi="宋体" w:eastAsia="宋体" w:cs="宋体"/>
          <w:spacing w:val="9"/>
          <w:sz w:val="24"/>
          <w:szCs w:val="24"/>
        </w:rPr>
        <w:t xml:space="preserve"> </w:t>
      </w:r>
      <w:r>
        <w:rPr>
          <w:rFonts w:ascii="宋体" w:hAnsi="宋体" w:eastAsia="宋体" w:cs="宋体"/>
          <w:spacing w:val="-11"/>
          <w:sz w:val="24"/>
          <w:szCs w:val="24"/>
        </w:rPr>
        <w:t>染地表水、地下水和土壤环境；</w:t>
      </w:r>
      <w:r>
        <w:rPr>
          <w:rFonts w:ascii="宋体" w:hAnsi="宋体" w:eastAsia="宋体" w:cs="宋体"/>
          <w:spacing w:val="34"/>
          <w:sz w:val="24"/>
          <w:szCs w:val="24"/>
        </w:rPr>
        <w:t xml:space="preserve"> </w:t>
      </w:r>
      <w:r>
        <w:rPr>
          <w:rFonts w:ascii="宋体" w:hAnsi="宋体" w:eastAsia="宋体" w:cs="宋体"/>
          <w:spacing w:val="-11"/>
          <w:sz w:val="24"/>
          <w:szCs w:val="24"/>
        </w:rPr>
        <w:t>井喷失控会导致</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H</w:t>
      </w:r>
      <w:r>
        <w:rPr>
          <w:rFonts w:ascii="Times New Roman" w:hAnsi="Times New Roman" w:eastAsia="Times New Roman" w:cs="Times New Roman"/>
          <w:spacing w:val="-11"/>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11"/>
          <w:sz w:val="24"/>
          <w:szCs w:val="24"/>
        </w:rPr>
        <w:t>S</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泄漏，</w:t>
      </w:r>
      <w:r>
        <w:rPr>
          <w:rFonts w:ascii="宋体" w:hAnsi="宋体" w:eastAsia="宋体" w:cs="宋体"/>
          <w:spacing w:val="-38"/>
          <w:sz w:val="24"/>
          <w:szCs w:val="24"/>
        </w:rPr>
        <w:t xml:space="preserve"> </w:t>
      </w:r>
      <w:r>
        <w:rPr>
          <w:rFonts w:ascii="宋体" w:hAnsi="宋体" w:eastAsia="宋体" w:cs="宋体"/>
          <w:spacing w:val="-11"/>
          <w:sz w:val="24"/>
          <w:szCs w:val="24"/>
        </w:rPr>
        <w:t>井喷事故点火产生热</w:t>
      </w:r>
    </w:p>
    <w:p>
      <w:pPr>
        <w:spacing w:line="218" w:lineRule="auto"/>
        <w:ind w:left="125"/>
        <w:rPr>
          <w:rFonts w:ascii="宋体" w:hAnsi="宋体" w:eastAsia="宋体" w:cs="宋体"/>
          <w:sz w:val="24"/>
          <w:szCs w:val="24"/>
        </w:rPr>
      </w:pPr>
      <w:r>
        <w:rPr>
          <w:rFonts w:ascii="宋体" w:hAnsi="宋体" w:eastAsia="宋体" w:cs="宋体"/>
          <w:spacing w:val="-3"/>
          <w:sz w:val="24"/>
          <w:szCs w:val="24"/>
        </w:rPr>
        <w:t>辐射、爆炸冲击波、套管破裂天然气泄漏。</w:t>
      </w:r>
    </w:p>
    <w:p>
      <w:pPr>
        <w:spacing w:before="195" w:line="220" w:lineRule="auto"/>
        <w:ind w:left="1952"/>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表</w:t>
      </w:r>
      <w:r>
        <w:rPr>
          <w:rFonts w:ascii="宋体" w:hAnsi="宋体" w:eastAsia="宋体" w:cs="宋体"/>
          <w:spacing w:val="-52"/>
          <w:sz w:val="24"/>
          <w:szCs w:val="24"/>
        </w:rPr>
        <w:t xml:space="preserve"> </w:t>
      </w:r>
      <w:r>
        <w:rPr>
          <w:rFonts w:ascii="Times New Roman" w:hAnsi="Times New Roman" w:eastAsia="Times New Roman" w:cs="Times New Roman"/>
          <w:b/>
          <w:bCs/>
          <w:sz w:val="24"/>
          <w:szCs w:val="24"/>
        </w:rPr>
        <w:t xml:space="preserve">4.3-1    </w:t>
      </w:r>
      <w:r>
        <w:rPr>
          <w:rFonts w:ascii="宋体" w:hAnsi="宋体" w:eastAsia="宋体" w:cs="宋体"/>
          <w:sz w:val="24"/>
          <w:szCs w:val="24"/>
          <w14:textOutline w14:w="4354" w14:cap="flat" w14:cmpd="sng">
            <w14:solidFill>
              <w14:srgbClr w14:val="000000"/>
            </w14:solidFill>
            <w14:prstDash w14:val="solid"/>
            <w14:miter w14:val="10"/>
          </w14:textOutline>
        </w:rPr>
        <w:t>钻井工程主要危险及有害因</w:t>
      </w:r>
      <w:r>
        <w:rPr>
          <w:rFonts w:ascii="宋体" w:hAnsi="宋体" w:eastAsia="宋体" w:cs="宋体"/>
          <w:spacing w:val="-1"/>
          <w:sz w:val="24"/>
          <w:szCs w:val="24"/>
          <w14:textOutline w14:w="4354" w14:cap="flat" w14:cmpd="sng">
            <w14:solidFill>
              <w14:srgbClr w14:val="000000"/>
            </w14:solidFill>
            <w14:prstDash w14:val="solid"/>
            <w14:miter w14:val="10"/>
          </w14:textOutline>
        </w:rPr>
        <w:t>素分析</w:t>
      </w:r>
    </w:p>
    <w:p>
      <w:pPr>
        <w:spacing w:line="16" w:lineRule="exact"/>
      </w:pPr>
    </w:p>
    <w:tbl>
      <w:tblPr>
        <w:tblStyle w:val="5"/>
        <w:tblW w:w="8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2"/>
        <w:gridCol w:w="4560"/>
        <w:gridCol w:w="32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82" w:type="dxa"/>
            <w:vAlign w:val="top"/>
          </w:tcPr>
          <w:p>
            <w:pPr>
              <w:pStyle w:val="6"/>
              <w:spacing w:before="67" w:line="222" w:lineRule="auto"/>
              <w:ind w:left="109"/>
              <w:rPr>
                <w:sz w:val="21"/>
                <w:szCs w:val="21"/>
              </w:rPr>
            </w:pPr>
            <w:r>
              <w:rPr>
                <w:spacing w:val="-2"/>
                <w:sz w:val="21"/>
                <w:szCs w:val="21"/>
              </w:rPr>
              <w:t>序号</w:t>
            </w:r>
          </w:p>
        </w:tc>
        <w:tc>
          <w:tcPr>
            <w:tcW w:w="4560" w:type="dxa"/>
            <w:vAlign w:val="top"/>
          </w:tcPr>
          <w:p>
            <w:pPr>
              <w:pStyle w:val="6"/>
              <w:spacing w:before="67" w:line="221" w:lineRule="auto"/>
              <w:ind w:left="104"/>
              <w:rPr>
                <w:sz w:val="21"/>
                <w:szCs w:val="21"/>
              </w:rPr>
            </w:pPr>
            <w:r>
              <w:rPr>
                <w:spacing w:val="-1"/>
                <w:sz w:val="21"/>
                <w:szCs w:val="21"/>
              </w:rPr>
              <w:t>主要危险及有害因素</w:t>
            </w:r>
          </w:p>
        </w:tc>
        <w:tc>
          <w:tcPr>
            <w:tcW w:w="3290" w:type="dxa"/>
            <w:vAlign w:val="top"/>
          </w:tcPr>
          <w:p>
            <w:pPr>
              <w:pStyle w:val="6"/>
              <w:spacing w:before="67" w:line="221" w:lineRule="auto"/>
              <w:ind w:left="110"/>
              <w:rPr>
                <w:sz w:val="21"/>
                <w:szCs w:val="21"/>
              </w:rPr>
            </w:pPr>
            <w:r>
              <w:rPr>
                <w:spacing w:val="-1"/>
                <w:sz w:val="21"/>
                <w:szCs w:val="21"/>
              </w:rPr>
              <w:t>可能导致的事故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682" w:type="dxa"/>
            <w:vAlign w:val="top"/>
          </w:tcPr>
          <w:p>
            <w:pPr>
              <w:spacing w:before="201" w:line="187"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560" w:type="dxa"/>
            <w:vAlign w:val="top"/>
          </w:tcPr>
          <w:p>
            <w:pPr>
              <w:pStyle w:val="6"/>
              <w:spacing w:before="26" w:line="225" w:lineRule="auto"/>
              <w:ind w:left="103" w:right="95"/>
              <w:rPr>
                <w:sz w:val="21"/>
                <w:szCs w:val="21"/>
              </w:rPr>
            </w:pPr>
            <w:r>
              <w:rPr>
                <w:spacing w:val="-10"/>
                <w:sz w:val="21"/>
                <w:szCs w:val="21"/>
              </w:rPr>
              <w:t>地层压力不准；</w:t>
            </w:r>
            <w:r>
              <w:rPr>
                <w:spacing w:val="-40"/>
                <w:sz w:val="21"/>
                <w:szCs w:val="21"/>
              </w:rPr>
              <w:t xml:space="preserve"> </w:t>
            </w:r>
            <w:r>
              <w:rPr>
                <w:spacing w:val="-10"/>
                <w:sz w:val="21"/>
                <w:szCs w:val="21"/>
              </w:rPr>
              <w:t>致设计不准确，</w:t>
            </w:r>
            <w:r>
              <w:rPr>
                <w:spacing w:val="-26"/>
                <w:sz w:val="21"/>
                <w:szCs w:val="21"/>
              </w:rPr>
              <w:t xml:space="preserve"> </w:t>
            </w:r>
            <w:r>
              <w:rPr>
                <w:spacing w:val="-10"/>
                <w:sz w:val="21"/>
                <w:szCs w:val="21"/>
              </w:rPr>
              <w:t>钻井液密度低于</w:t>
            </w:r>
            <w:r>
              <w:rPr>
                <w:sz w:val="21"/>
                <w:szCs w:val="21"/>
              </w:rPr>
              <w:t xml:space="preserve"> </w:t>
            </w:r>
            <w:r>
              <w:rPr>
                <w:spacing w:val="-8"/>
                <w:sz w:val="21"/>
                <w:szCs w:val="21"/>
              </w:rPr>
              <w:t>地层空隙压力梯度，</w:t>
            </w:r>
            <w:r>
              <w:rPr>
                <w:spacing w:val="-19"/>
                <w:sz w:val="21"/>
                <w:szCs w:val="21"/>
              </w:rPr>
              <w:t xml:space="preserve"> </w:t>
            </w:r>
            <w:r>
              <w:rPr>
                <w:spacing w:val="-8"/>
                <w:sz w:val="21"/>
                <w:szCs w:val="21"/>
              </w:rPr>
              <w:t>井喷事故。</w:t>
            </w:r>
          </w:p>
        </w:tc>
        <w:tc>
          <w:tcPr>
            <w:tcW w:w="3290" w:type="dxa"/>
            <w:vAlign w:val="top"/>
          </w:tcPr>
          <w:p>
            <w:pPr>
              <w:pStyle w:val="6"/>
              <w:spacing w:before="162" w:line="219" w:lineRule="auto"/>
              <w:ind w:left="108"/>
              <w:rPr>
                <w:sz w:val="21"/>
                <w:szCs w:val="21"/>
              </w:rPr>
            </w:pPr>
            <w:r>
              <w:rPr>
                <w:spacing w:val="-1"/>
                <w:sz w:val="21"/>
                <w:szCs w:val="21"/>
              </w:rPr>
              <w:t>井喷失控、天然气烧爆炸。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682" w:type="dxa"/>
            <w:vAlign w:val="top"/>
          </w:tcPr>
          <w:p>
            <w:pPr>
              <w:spacing w:before="202"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560" w:type="dxa"/>
            <w:vAlign w:val="top"/>
          </w:tcPr>
          <w:p>
            <w:pPr>
              <w:pStyle w:val="6"/>
              <w:spacing w:before="29" w:line="225" w:lineRule="auto"/>
              <w:ind w:left="106" w:right="95" w:hanging="3"/>
              <w:rPr>
                <w:sz w:val="21"/>
                <w:szCs w:val="21"/>
              </w:rPr>
            </w:pPr>
            <w:r>
              <w:rPr>
                <w:spacing w:val="-3"/>
                <w:sz w:val="21"/>
                <w:szCs w:val="21"/>
              </w:rPr>
              <w:t>井控设备及管材在安装、使用前未按有关规</w:t>
            </w:r>
            <w:r>
              <w:rPr>
                <w:spacing w:val="-4"/>
                <w:sz w:val="21"/>
                <w:szCs w:val="21"/>
              </w:rPr>
              <w:t>定进</w:t>
            </w:r>
            <w:r>
              <w:rPr>
                <w:sz w:val="21"/>
                <w:szCs w:val="21"/>
              </w:rPr>
              <w:t xml:space="preserve"> </w:t>
            </w:r>
            <w:r>
              <w:rPr>
                <w:spacing w:val="-3"/>
                <w:sz w:val="21"/>
                <w:szCs w:val="21"/>
              </w:rPr>
              <w:t>行检验合格后使用。</w:t>
            </w:r>
          </w:p>
        </w:tc>
        <w:tc>
          <w:tcPr>
            <w:tcW w:w="3290" w:type="dxa"/>
            <w:vAlign w:val="top"/>
          </w:tcPr>
          <w:p>
            <w:pPr>
              <w:pStyle w:val="6"/>
              <w:spacing w:before="162" w:line="221" w:lineRule="auto"/>
              <w:ind w:left="114"/>
              <w:rPr>
                <w:sz w:val="21"/>
                <w:szCs w:val="21"/>
              </w:rPr>
            </w:pPr>
            <w:r>
              <w:rPr>
                <w:spacing w:val="-1"/>
                <w:sz w:val="21"/>
                <w:szCs w:val="21"/>
              </w:rPr>
              <w:t>管线、设备失效导致井喷。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682" w:type="dxa"/>
            <w:vAlign w:val="top"/>
          </w:tcPr>
          <w:p>
            <w:pPr>
              <w:spacing w:before="202"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560" w:type="dxa"/>
            <w:vAlign w:val="top"/>
          </w:tcPr>
          <w:p>
            <w:pPr>
              <w:pStyle w:val="6"/>
              <w:spacing w:before="26" w:line="225" w:lineRule="auto"/>
              <w:ind w:left="106" w:right="85" w:hanging="3"/>
              <w:rPr>
                <w:sz w:val="21"/>
                <w:szCs w:val="21"/>
              </w:rPr>
            </w:pPr>
            <w:r>
              <w:rPr>
                <w:spacing w:val="-7"/>
                <w:sz w:val="21"/>
                <w:szCs w:val="21"/>
              </w:rPr>
              <w:t>放喷器件、管线有刺漏，</w:t>
            </w:r>
            <w:r>
              <w:rPr>
                <w:spacing w:val="-13"/>
                <w:sz w:val="21"/>
                <w:szCs w:val="21"/>
              </w:rPr>
              <w:t xml:space="preserve"> </w:t>
            </w:r>
            <w:r>
              <w:rPr>
                <w:spacing w:val="-7"/>
                <w:sz w:val="21"/>
                <w:szCs w:val="21"/>
              </w:rPr>
              <w:t>压力等级不符合要求；</w:t>
            </w:r>
            <w:r>
              <w:rPr>
                <w:sz w:val="21"/>
                <w:szCs w:val="21"/>
              </w:rPr>
              <w:t xml:space="preserve"> </w:t>
            </w:r>
            <w:r>
              <w:rPr>
                <w:spacing w:val="-7"/>
                <w:sz w:val="21"/>
                <w:szCs w:val="21"/>
              </w:rPr>
              <w:t>非金属材料不符合要求，</w:t>
            </w:r>
            <w:r>
              <w:rPr>
                <w:spacing w:val="-17"/>
                <w:sz w:val="21"/>
                <w:szCs w:val="21"/>
              </w:rPr>
              <w:t xml:space="preserve"> </w:t>
            </w:r>
            <w:r>
              <w:rPr>
                <w:spacing w:val="-7"/>
                <w:sz w:val="21"/>
                <w:szCs w:val="21"/>
              </w:rPr>
              <w:t>密封失效。</w:t>
            </w:r>
          </w:p>
        </w:tc>
        <w:tc>
          <w:tcPr>
            <w:tcW w:w="3290" w:type="dxa"/>
            <w:vAlign w:val="top"/>
          </w:tcPr>
          <w:p>
            <w:pPr>
              <w:pStyle w:val="6"/>
              <w:spacing w:before="163" w:line="221" w:lineRule="auto"/>
              <w:ind w:left="114"/>
              <w:rPr>
                <w:sz w:val="21"/>
                <w:szCs w:val="21"/>
              </w:rPr>
            </w:pPr>
            <w:r>
              <w:rPr>
                <w:spacing w:val="-1"/>
                <w:sz w:val="21"/>
                <w:szCs w:val="21"/>
              </w:rPr>
              <w:t>管线、设备失效导致井喷。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82" w:type="dxa"/>
            <w:vAlign w:val="top"/>
          </w:tcPr>
          <w:p>
            <w:pPr>
              <w:spacing w:before="100"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560" w:type="dxa"/>
            <w:vAlign w:val="top"/>
          </w:tcPr>
          <w:p>
            <w:pPr>
              <w:pStyle w:val="6"/>
              <w:spacing w:before="61" w:line="221" w:lineRule="auto"/>
              <w:ind w:left="111"/>
              <w:rPr>
                <w:sz w:val="21"/>
                <w:szCs w:val="21"/>
              </w:rPr>
            </w:pPr>
            <w:r>
              <w:rPr>
                <w:spacing w:val="-1"/>
                <w:sz w:val="21"/>
                <w:szCs w:val="21"/>
              </w:rPr>
              <w:t>司钻控制下放速度不当或操作不平稳。</w:t>
            </w:r>
          </w:p>
        </w:tc>
        <w:tc>
          <w:tcPr>
            <w:tcW w:w="3290" w:type="dxa"/>
            <w:vAlign w:val="top"/>
          </w:tcPr>
          <w:p>
            <w:pPr>
              <w:pStyle w:val="6"/>
              <w:spacing w:before="61" w:line="221" w:lineRule="auto"/>
              <w:ind w:left="112"/>
              <w:rPr>
                <w:sz w:val="21"/>
                <w:szCs w:val="21"/>
              </w:rPr>
            </w:pPr>
            <w:r>
              <w:rPr>
                <w:spacing w:val="-4"/>
                <w:sz w:val="21"/>
                <w:szCs w:val="21"/>
              </w:rPr>
              <w:t>发生井漏事故。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682" w:type="dxa"/>
            <w:vAlign w:val="top"/>
          </w:tcPr>
          <w:p>
            <w:pPr>
              <w:spacing w:before="207" w:line="184" w:lineRule="auto"/>
              <w:ind w:left="28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560" w:type="dxa"/>
            <w:vAlign w:val="top"/>
          </w:tcPr>
          <w:p>
            <w:pPr>
              <w:pStyle w:val="6"/>
              <w:spacing w:before="28" w:line="224" w:lineRule="auto"/>
              <w:ind w:left="104" w:right="95" w:firstLine="4"/>
              <w:rPr>
                <w:sz w:val="21"/>
                <w:szCs w:val="21"/>
              </w:rPr>
            </w:pPr>
            <w:r>
              <w:rPr>
                <w:spacing w:val="-11"/>
                <w:sz w:val="21"/>
                <w:szCs w:val="21"/>
              </w:rPr>
              <w:t>下完套管，</w:t>
            </w:r>
            <w:r>
              <w:rPr>
                <w:spacing w:val="-24"/>
                <w:sz w:val="21"/>
                <w:szCs w:val="21"/>
              </w:rPr>
              <w:t xml:space="preserve"> </w:t>
            </w:r>
            <w:r>
              <w:rPr>
                <w:spacing w:val="-11"/>
                <w:sz w:val="21"/>
                <w:szCs w:val="21"/>
              </w:rPr>
              <w:t>当套管内钻井液未灌满时，</w:t>
            </w:r>
            <w:r>
              <w:rPr>
                <w:spacing w:val="-27"/>
                <w:sz w:val="21"/>
                <w:szCs w:val="21"/>
              </w:rPr>
              <w:t xml:space="preserve"> </w:t>
            </w:r>
            <w:r>
              <w:rPr>
                <w:spacing w:val="-11"/>
                <w:sz w:val="21"/>
                <w:szCs w:val="21"/>
              </w:rPr>
              <w:t>若直接水</w:t>
            </w:r>
            <w:r>
              <w:rPr>
                <w:sz w:val="21"/>
                <w:szCs w:val="21"/>
              </w:rPr>
              <w:t xml:space="preserve"> </w:t>
            </w:r>
            <w:r>
              <w:rPr>
                <w:spacing w:val="-1"/>
                <w:sz w:val="21"/>
                <w:szCs w:val="21"/>
              </w:rPr>
              <w:t>龙头带开泵洗井。</w:t>
            </w:r>
          </w:p>
        </w:tc>
        <w:tc>
          <w:tcPr>
            <w:tcW w:w="3290" w:type="dxa"/>
            <w:vAlign w:val="top"/>
          </w:tcPr>
          <w:p>
            <w:pPr>
              <w:pStyle w:val="6"/>
              <w:spacing w:before="165" w:line="219" w:lineRule="auto"/>
              <w:ind w:left="108"/>
              <w:rPr>
                <w:sz w:val="21"/>
                <w:szCs w:val="21"/>
              </w:rPr>
            </w:pPr>
            <w:r>
              <w:rPr>
                <w:spacing w:val="-1"/>
                <w:sz w:val="21"/>
                <w:szCs w:val="21"/>
              </w:rPr>
              <w:t>井喷失控、天然气烧爆炸。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682" w:type="dxa"/>
            <w:vAlign w:val="top"/>
          </w:tcPr>
          <w:p>
            <w:pPr>
              <w:spacing w:line="280" w:lineRule="auto"/>
              <w:rPr>
                <w:rFonts w:ascii="Arial"/>
                <w:sz w:val="21"/>
              </w:rPr>
            </w:pPr>
          </w:p>
          <w:p>
            <w:pPr>
              <w:spacing w:before="60"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560" w:type="dxa"/>
            <w:vAlign w:val="top"/>
          </w:tcPr>
          <w:p>
            <w:pPr>
              <w:pStyle w:val="6"/>
              <w:spacing w:before="29" w:line="229" w:lineRule="auto"/>
              <w:ind w:left="103" w:right="95"/>
              <w:jc w:val="both"/>
              <w:rPr>
                <w:sz w:val="21"/>
                <w:szCs w:val="21"/>
              </w:rPr>
            </w:pPr>
            <w:r>
              <w:rPr>
                <w:spacing w:val="-6"/>
                <w:sz w:val="21"/>
                <w:szCs w:val="21"/>
              </w:rPr>
              <w:t>节流管汇与井喷器连接不平直，</w:t>
            </w:r>
            <w:r>
              <w:rPr>
                <w:spacing w:val="-44"/>
                <w:sz w:val="21"/>
                <w:szCs w:val="21"/>
              </w:rPr>
              <w:t xml:space="preserve"> </w:t>
            </w:r>
            <w:r>
              <w:rPr>
                <w:spacing w:val="-6"/>
                <w:sz w:val="21"/>
                <w:szCs w:val="21"/>
              </w:rPr>
              <w:t>容易使节流管汇</w:t>
            </w:r>
            <w:r>
              <w:rPr>
                <w:sz w:val="21"/>
                <w:szCs w:val="21"/>
              </w:rPr>
              <w:t xml:space="preserve"> </w:t>
            </w:r>
            <w:r>
              <w:rPr>
                <w:spacing w:val="-4"/>
                <w:sz w:val="21"/>
                <w:szCs w:val="21"/>
              </w:rPr>
              <w:t>作用发挥不完全；节流管汇试压未到额定工作压</w:t>
            </w:r>
            <w:r>
              <w:rPr>
                <w:spacing w:val="18"/>
                <w:sz w:val="21"/>
                <w:szCs w:val="21"/>
              </w:rPr>
              <w:t xml:space="preserve"> </w:t>
            </w:r>
            <w:r>
              <w:rPr>
                <w:spacing w:val="-7"/>
                <w:sz w:val="21"/>
                <w:szCs w:val="21"/>
              </w:rPr>
              <w:t>力或稳定时间不够， 导致开控管失效。</w:t>
            </w:r>
          </w:p>
        </w:tc>
        <w:tc>
          <w:tcPr>
            <w:tcW w:w="3290" w:type="dxa"/>
            <w:vAlign w:val="top"/>
          </w:tcPr>
          <w:p>
            <w:pPr>
              <w:pStyle w:val="6"/>
              <w:spacing w:before="303" w:line="221" w:lineRule="auto"/>
              <w:ind w:left="108"/>
              <w:rPr>
                <w:sz w:val="21"/>
                <w:szCs w:val="21"/>
              </w:rPr>
            </w:pPr>
            <w:r>
              <w:rPr>
                <w:spacing w:val="-5"/>
                <w:sz w:val="21"/>
                <w:szCs w:val="21"/>
              </w:rPr>
              <w:t>井喷失控。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2" w:hRule="atLeast"/>
        </w:trPr>
        <w:tc>
          <w:tcPr>
            <w:tcW w:w="682" w:type="dxa"/>
            <w:vAlign w:val="top"/>
          </w:tcPr>
          <w:p>
            <w:pPr>
              <w:spacing w:line="420" w:lineRule="auto"/>
              <w:rPr>
                <w:rFonts w:ascii="Arial"/>
                <w:sz w:val="21"/>
              </w:rPr>
            </w:pPr>
          </w:p>
          <w:p>
            <w:pPr>
              <w:spacing w:before="61" w:line="184"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560" w:type="dxa"/>
            <w:vAlign w:val="top"/>
          </w:tcPr>
          <w:p>
            <w:pPr>
              <w:pStyle w:val="6"/>
              <w:spacing w:before="30" w:line="231" w:lineRule="auto"/>
              <w:ind w:left="103" w:right="95" w:firstLine="19"/>
              <w:jc w:val="both"/>
              <w:rPr>
                <w:sz w:val="21"/>
                <w:szCs w:val="21"/>
              </w:rPr>
            </w:pPr>
            <w:r>
              <w:rPr>
                <w:spacing w:val="6"/>
                <w:sz w:val="21"/>
                <w:szCs w:val="21"/>
              </w:rPr>
              <w:t>阀板与阀座之间密封不好或是井控装置部件表</w:t>
            </w:r>
            <w:r>
              <w:rPr>
                <w:sz w:val="21"/>
                <w:szCs w:val="21"/>
              </w:rPr>
              <w:t xml:space="preserve"> </w:t>
            </w:r>
            <w:r>
              <w:rPr>
                <w:spacing w:val="-6"/>
                <w:sz w:val="21"/>
                <w:szCs w:val="21"/>
              </w:rPr>
              <w:t>面生锈腐蚀使节流压井管失效，</w:t>
            </w:r>
            <w:r>
              <w:rPr>
                <w:spacing w:val="-44"/>
                <w:sz w:val="21"/>
                <w:szCs w:val="21"/>
              </w:rPr>
              <w:t xml:space="preserve"> </w:t>
            </w:r>
            <w:r>
              <w:rPr>
                <w:spacing w:val="-6"/>
                <w:sz w:val="21"/>
                <w:szCs w:val="21"/>
              </w:rPr>
              <w:t>方钻杆上下旋转</w:t>
            </w:r>
            <w:r>
              <w:rPr>
                <w:sz w:val="21"/>
                <w:szCs w:val="21"/>
              </w:rPr>
              <w:t xml:space="preserve"> </w:t>
            </w:r>
            <w:r>
              <w:rPr>
                <w:spacing w:val="-3"/>
                <w:sz w:val="21"/>
                <w:szCs w:val="21"/>
              </w:rPr>
              <w:t>开关不灵活，有可能因不能正常开关而发生</w:t>
            </w:r>
            <w:r>
              <w:rPr>
                <w:spacing w:val="-4"/>
                <w:sz w:val="21"/>
                <w:szCs w:val="21"/>
              </w:rPr>
              <w:t>井喷</w:t>
            </w:r>
            <w:r>
              <w:rPr>
                <w:sz w:val="21"/>
                <w:szCs w:val="21"/>
              </w:rPr>
              <w:t xml:space="preserve"> </w:t>
            </w:r>
            <w:r>
              <w:rPr>
                <w:spacing w:val="-8"/>
                <w:sz w:val="21"/>
                <w:szCs w:val="21"/>
              </w:rPr>
              <w:t>事故。</w:t>
            </w:r>
          </w:p>
        </w:tc>
        <w:tc>
          <w:tcPr>
            <w:tcW w:w="3290" w:type="dxa"/>
            <w:vAlign w:val="top"/>
          </w:tcPr>
          <w:p>
            <w:pPr>
              <w:spacing w:line="369" w:lineRule="auto"/>
              <w:rPr>
                <w:rFonts w:ascii="Arial"/>
                <w:sz w:val="21"/>
              </w:rPr>
            </w:pPr>
          </w:p>
          <w:p>
            <w:pPr>
              <w:pStyle w:val="6"/>
              <w:spacing w:before="68" w:line="219" w:lineRule="auto"/>
              <w:ind w:left="113"/>
              <w:rPr>
                <w:sz w:val="21"/>
                <w:szCs w:val="21"/>
              </w:rPr>
            </w:pPr>
            <w:r>
              <w:rPr>
                <w:spacing w:val="-2"/>
                <w:sz w:val="21"/>
                <w:szCs w:val="21"/>
              </w:rPr>
              <w:t>天然气燃烧爆炸。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682" w:type="dxa"/>
            <w:vAlign w:val="top"/>
          </w:tcPr>
          <w:p>
            <w:pPr>
              <w:spacing w:before="209" w:line="187" w:lineRule="auto"/>
              <w:ind w:left="290"/>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4560" w:type="dxa"/>
            <w:vAlign w:val="top"/>
          </w:tcPr>
          <w:p>
            <w:pPr>
              <w:pStyle w:val="6"/>
              <w:spacing w:before="170" w:line="221" w:lineRule="auto"/>
              <w:ind w:left="106"/>
              <w:rPr>
                <w:sz w:val="21"/>
                <w:szCs w:val="21"/>
              </w:rPr>
            </w:pPr>
            <w:r>
              <w:rPr>
                <w:spacing w:val="-1"/>
                <w:sz w:val="21"/>
                <w:szCs w:val="21"/>
              </w:rPr>
              <w:t>未及时发现溢流显示或发现后处理不当等。</w:t>
            </w:r>
          </w:p>
        </w:tc>
        <w:tc>
          <w:tcPr>
            <w:tcW w:w="3290" w:type="dxa"/>
            <w:vAlign w:val="top"/>
          </w:tcPr>
          <w:p>
            <w:pPr>
              <w:pStyle w:val="6"/>
              <w:spacing w:before="32" w:line="222" w:lineRule="auto"/>
              <w:ind w:left="108" w:right="99" w:firstLine="5"/>
              <w:rPr>
                <w:sz w:val="21"/>
                <w:szCs w:val="21"/>
              </w:rPr>
            </w:pPr>
            <w:r>
              <w:rPr>
                <w:spacing w:val="-6"/>
                <w:sz w:val="21"/>
                <w:szCs w:val="21"/>
              </w:rPr>
              <w:t>导致天然气溢出，发生天然气燃烧</w:t>
            </w:r>
            <w:r>
              <w:rPr>
                <w:sz w:val="21"/>
                <w:szCs w:val="21"/>
              </w:rPr>
              <w:t xml:space="preserve"> </w:t>
            </w:r>
            <w:r>
              <w:rPr>
                <w:spacing w:val="-8"/>
                <w:sz w:val="21"/>
                <w:szCs w:val="21"/>
              </w:rPr>
              <w:t>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682" w:type="dxa"/>
            <w:vAlign w:val="top"/>
          </w:tcPr>
          <w:p>
            <w:pPr>
              <w:spacing w:line="284" w:lineRule="auto"/>
              <w:rPr>
                <w:rFonts w:ascii="Arial"/>
                <w:sz w:val="21"/>
              </w:rPr>
            </w:pPr>
          </w:p>
          <w:p>
            <w:pPr>
              <w:spacing w:before="61"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4560" w:type="dxa"/>
            <w:vAlign w:val="top"/>
          </w:tcPr>
          <w:p>
            <w:pPr>
              <w:pStyle w:val="6"/>
              <w:spacing w:before="36" w:line="227" w:lineRule="auto"/>
              <w:ind w:left="104" w:right="95"/>
              <w:jc w:val="both"/>
              <w:rPr>
                <w:sz w:val="21"/>
                <w:szCs w:val="21"/>
              </w:rPr>
            </w:pPr>
            <w:r>
              <w:rPr>
                <w:spacing w:val="-6"/>
                <w:sz w:val="21"/>
                <w:szCs w:val="21"/>
              </w:rPr>
              <w:t>换装井口、起下管柱作业和循环施工作业中，</w:t>
            </w:r>
            <w:r>
              <w:rPr>
                <w:spacing w:val="-46"/>
                <w:sz w:val="21"/>
                <w:szCs w:val="21"/>
              </w:rPr>
              <w:t xml:space="preserve"> </w:t>
            </w:r>
            <w:r>
              <w:rPr>
                <w:spacing w:val="-6"/>
                <w:sz w:val="21"/>
                <w:szCs w:val="21"/>
              </w:rPr>
              <w:t>对</w:t>
            </w:r>
            <w:r>
              <w:rPr>
                <w:sz w:val="21"/>
                <w:szCs w:val="21"/>
              </w:rPr>
              <w:t xml:space="preserve"> </w:t>
            </w:r>
            <w:r>
              <w:rPr>
                <w:spacing w:val="-11"/>
                <w:sz w:val="21"/>
                <w:szCs w:val="21"/>
              </w:rPr>
              <w:t>作业时间估计不足，</w:t>
            </w:r>
            <w:r>
              <w:rPr>
                <w:spacing w:val="-34"/>
                <w:sz w:val="21"/>
                <w:szCs w:val="21"/>
              </w:rPr>
              <w:t xml:space="preserve"> </w:t>
            </w:r>
            <w:r>
              <w:rPr>
                <w:spacing w:val="-11"/>
                <w:sz w:val="21"/>
                <w:szCs w:val="21"/>
              </w:rPr>
              <w:t>压开时间短， 井内压力失衡</w:t>
            </w:r>
            <w:r>
              <w:rPr>
                <w:sz w:val="21"/>
                <w:szCs w:val="21"/>
              </w:rPr>
              <w:t xml:space="preserve"> </w:t>
            </w:r>
            <w:r>
              <w:rPr>
                <w:spacing w:val="-1"/>
                <w:sz w:val="21"/>
                <w:szCs w:val="21"/>
              </w:rPr>
              <w:t>导致井喷或井喷失控。</w:t>
            </w:r>
          </w:p>
        </w:tc>
        <w:tc>
          <w:tcPr>
            <w:tcW w:w="3290" w:type="dxa"/>
            <w:vAlign w:val="top"/>
          </w:tcPr>
          <w:p>
            <w:pPr>
              <w:pStyle w:val="6"/>
              <w:spacing w:before="308" w:line="219" w:lineRule="auto"/>
              <w:ind w:left="113"/>
              <w:rPr>
                <w:sz w:val="21"/>
                <w:szCs w:val="21"/>
              </w:rPr>
            </w:pPr>
            <w:r>
              <w:rPr>
                <w:spacing w:val="-2"/>
                <w:sz w:val="21"/>
                <w:szCs w:val="21"/>
              </w:rPr>
              <w:t>天然气燃烧爆炸。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682" w:type="dxa"/>
            <w:vAlign w:val="top"/>
          </w:tcPr>
          <w:p>
            <w:pPr>
              <w:spacing w:before="211"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4560" w:type="dxa"/>
            <w:vAlign w:val="top"/>
          </w:tcPr>
          <w:p>
            <w:pPr>
              <w:pStyle w:val="6"/>
              <w:spacing w:before="39" w:line="219" w:lineRule="auto"/>
              <w:ind w:left="112" w:right="96" w:hanging="5"/>
              <w:rPr>
                <w:sz w:val="21"/>
                <w:szCs w:val="21"/>
              </w:rPr>
            </w:pPr>
            <w:r>
              <w:rPr>
                <w:spacing w:val="-11"/>
                <w:sz w:val="21"/>
                <w:szCs w:val="21"/>
              </w:rPr>
              <w:t>安装井下安全阀， 因作业所需时间较长，</w:t>
            </w:r>
            <w:r>
              <w:rPr>
                <w:spacing w:val="-38"/>
                <w:sz w:val="21"/>
                <w:szCs w:val="21"/>
              </w:rPr>
              <w:t xml:space="preserve"> </w:t>
            </w:r>
            <w:r>
              <w:rPr>
                <w:spacing w:val="-11"/>
                <w:sz w:val="21"/>
                <w:szCs w:val="21"/>
              </w:rPr>
              <w:t>若压井</w:t>
            </w:r>
            <w:r>
              <w:rPr>
                <w:sz w:val="21"/>
                <w:szCs w:val="21"/>
              </w:rPr>
              <w:t xml:space="preserve"> </w:t>
            </w:r>
            <w:r>
              <w:rPr>
                <w:spacing w:val="-2"/>
                <w:sz w:val="21"/>
                <w:szCs w:val="21"/>
              </w:rPr>
              <w:t>时间不足井内压万失衡导致井喷或井喷失控。</w:t>
            </w:r>
          </w:p>
        </w:tc>
        <w:tc>
          <w:tcPr>
            <w:tcW w:w="3290" w:type="dxa"/>
            <w:vAlign w:val="top"/>
          </w:tcPr>
          <w:p>
            <w:pPr>
              <w:pStyle w:val="6"/>
              <w:spacing w:before="173" w:line="219" w:lineRule="auto"/>
              <w:ind w:left="113"/>
              <w:rPr>
                <w:sz w:val="21"/>
                <w:szCs w:val="21"/>
              </w:rPr>
            </w:pPr>
            <w:r>
              <w:rPr>
                <w:spacing w:val="-2"/>
                <w:sz w:val="21"/>
                <w:szCs w:val="21"/>
              </w:rPr>
              <w:t>天然气燃烧爆炸。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682" w:type="dxa"/>
            <w:vAlign w:val="top"/>
          </w:tcPr>
          <w:p>
            <w:pPr>
              <w:spacing w:before="215"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4560" w:type="dxa"/>
            <w:vAlign w:val="top"/>
          </w:tcPr>
          <w:p>
            <w:pPr>
              <w:pStyle w:val="6"/>
              <w:spacing w:before="176" w:line="221" w:lineRule="auto"/>
              <w:ind w:left="103"/>
              <w:rPr>
                <w:sz w:val="21"/>
                <w:szCs w:val="21"/>
              </w:rPr>
            </w:pPr>
            <w:r>
              <w:rPr>
                <w:spacing w:val="-5"/>
                <w:sz w:val="21"/>
                <w:szCs w:val="21"/>
              </w:rPr>
              <w:t>井喷失控。</w:t>
            </w:r>
          </w:p>
        </w:tc>
        <w:tc>
          <w:tcPr>
            <w:tcW w:w="3290" w:type="dxa"/>
            <w:vAlign w:val="top"/>
          </w:tcPr>
          <w:p>
            <w:pPr>
              <w:pStyle w:val="6"/>
              <w:spacing w:before="40" w:line="220" w:lineRule="auto"/>
              <w:ind w:left="104" w:right="67" w:firstLine="8"/>
              <w:rPr>
                <w:sz w:val="21"/>
                <w:szCs w:val="21"/>
              </w:rPr>
            </w:pPr>
            <w:r>
              <w:rPr>
                <w:spacing w:val="-4"/>
                <w:sz w:val="21"/>
                <w:szCs w:val="21"/>
              </w:rPr>
              <w:t>天然气燃烧爆炸天然气未能燃烧，</w:t>
            </w:r>
            <w:r>
              <w:rPr>
                <w:spacing w:val="2"/>
                <w:sz w:val="21"/>
                <w:szCs w:val="21"/>
              </w:rPr>
              <w:t xml:space="preserve"> </w:t>
            </w:r>
            <w:r>
              <w:rPr>
                <w:rFonts w:ascii="Times New Roman" w:hAnsi="Times New Roman" w:eastAsia="Times New Roman" w:cs="Times New Roman"/>
                <w:spacing w:val="-2"/>
                <w:sz w:val="21"/>
                <w:szCs w:val="21"/>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 xml:space="preserve">S </w:t>
            </w:r>
            <w:r>
              <w:rPr>
                <w:spacing w:val="-2"/>
                <w:sz w:val="21"/>
                <w:szCs w:val="21"/>
              </w:rPr>
              <w:t>造成人员、动物中毒、死亡。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82" w:type="dxa"/>
            <w:vAlign w:val="top"/>
          </w:tcPr>
          <w:p>
            <w:pPr>
              <w:spacing w:before="110"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4560" w:type="dxa"/>
            <w:vAlign w:val="top"/>
          </w:tcPr>
          <w:p>
            <w:pPr>
              <w:pStyle w:val="6"/>
              <w:spacing w:before="70" w:line="221" w:lineRule="auto"/>
              <w:ind w:left="103"/>
              <w:rPr>
                <w:sz w:val="21"/>
                <w:szCs w:val="21"/>
              </w:rPr>
            </w:pPr>
            <w:r>
              <w:rPr>
                <w:spacing w:val="-2"/>
                <w:sz w:val="21"/>
                <w:szCs w:val="21"/>
              </w:rPr>
              <w:t>应急池废水在储存过程中事故泄漏。</w:t>
            </w:r>
          </w:p>
        </w:tc>
        <w:tc>
          <w:tcPr>
            <w:tcW w:w="3290" w:type="dxa"/>
            <w:vAlign w:val="top"/>
          </w:tcPr>
          <w:p>
            <w:pPr>
              <w:pStyle w:val="6"/>
              <w:spacing w:before="70" w:line="221" w:lineRule="auto"/>
              <w:ind w:left="108"/>
              <w:rPr>
                <w:sz w:val="21"/>
                <w:szCs w:val="21"/>
              </w:rPr>
            </w:pPr>
            <w:r>
              <w:rPr>
                <w:spacing w:val="-2"/>
                <w:sz w:val="21"/>
                <w:szCs w:val="21"/>
              </w:rPr>
              <w:t>废水污染土壤及地下水环境。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682" w:type="dxa"/>
            <w:vAlign w:val="top"/>
          </w:tcPr>
          <w:p>
            <w:pPr>
              <w:spacing w:before="214"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4560" w:type="dxa"/>
            <w:vAlign w:val="top"/>
          </w:tcPr>
          <w:p>
            <w:pPr>
              <w:pStyle w:val="6"/>
              <w:spacing w:before="175" w:line="221" w:lineRule="auto"/>
              <w:ind w:left="102"/>
              <w:rPr>
                <w:sz w:val="21"/>
                <w:szCs w:val="21"/>
              </w:rPr>
            </w:pPr>
            <w:r>
              <w:rPr>
                <w:spacing w:val="-2"/>
                <w:sz w:val="21"/>
                <w:szCs w:val="21"/>
              </w:rPr>
              <w:t>废水、废油转运过程中的泄漏。</w:t>
            </w:r>
          </w:p>
        </w:tc>
        <w:tc>
          <w:tcPr>
            <w:tcW w:w="3290" w:type="dxa"/>
            <w:vAlign w:val="top"/>
          </w:tcPr>
          <w:p>
            <w:pPr>
              <w:pStyle w:val="6"/>
              <w:spacing w:before="38" w:line="224" w:lineRule="auto"/>
              <w:ind w:left="111" w:right="99" w:hanging="3"/>
              <w:rPr>
                <w:sz w:val="21"/>
                <w:szCs w:val="21"/>
              </w:rPr>
            </w:pPr>
            <w:r>
              <w:rPr>
                <w:spacing w:val="-6"/>
                <w:sz w:val="21"/>
                <w:szCs w:val="21"/>
              </w:rPr>
              <w:t>废水、废油外溢，污染土壤及地下</w:t>
            </w:r>
            <w:r>
              <w:rPr>
                <w:spacing w:val="6"/>
                <w:sz w:val="21"/>
                <w:szCs w:val="21"/>
              </w:rPr>
              <w:t xml:space="preserve"> </w:t>
            </w:r>
            <w:r>
              <w:rPr>
                <w:spacing w:val="-2"/>
                <w:sz w:val="21"/>
                <w:szCs w:val="21"/>
              </w:rPr>
              <w:t>水环境。</w:t>
            </w:r>
          </w:p>
        </w:tc>
      </w:tr>
    </w:tbl>
    <w:p>
      <w:pPr>
        <w:spacing w:before="177" w:line="220" w:lineRule="auto"/>
        <w:ind w:left="123"/>
        <w:rPr>
          <w:rFonts w:ascii="宋体" w:hAnsi="宋体" w:eastAsia="宋体" w:cs="宋体"/>
          <w:sz w:val="24"/>
          <w:szCs w:val="24"/>
        </w:rPr>
      </w:pPr>
      <w:bookmarkStart w:id="52" w:name="bookmark53"/>
      <w:bookmarkEnd w:id="52"/>
      <w:r>
        <w:rPr>
          <w:rFonts w:ascii="Times New Roman" w:hAnsi="Times New Roman" w:eastAsia="Times New Roman" w:cs="Times New Roman"/>
          <w:b/>
          <w:bCs/>
          <w:spacing w:val="-2"/>
          <w:sz w:val="24"/>
          <w:szCs w:val="24"/>
        </w:rPr>
        <w:t>4.3</w:t>
      </w:r>
      <w:r>
        <w:rPr>
          <w:rFonts w:ascii="Times New Roman" w:hAnsi="Times New Roman" w:eastAsia="Times New Roman" w:cs="Times New Roman"/>
          <w:b/>
          <w:bCs/>
          <w:spacing w:val="29"/>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收集、运输过程风险识别</w:t>
      </w:r>
    </w:p>
    <w:p>
      <w:pPr>
        <w:spacing w:before="195" w:line="480" w:lineRule="exact"/>
        <w:ind w:left="607"/>
        <w:rPr>
          <w:rFonts w:ascii="宋体" w:hAnsi="宋体" w:eastAsia="宋体" w:cs="宋体"/>
          <w:sz w:val="24"/>
          <w:szCs w:val="24"/>
        </w:rPr>
      </w:pPr>
      <w:r>
        <w:rPr>
          <w:rFonts w:ascii="宋体" w:hAnsi="宋体" w:eastAsia="宋体" w:cs="宋体"/>
          <w:spacing w:val="-3"/>
          <w:position w:val="18"/>
          <w:sz w:val="24"/>
          <w:szCs w:val="24"/>
        </w:rPr>
        <w:t>本项目各类危险物质均委托有相应运输资质单位进行运输。运输过程产</w:t>
      </w:r>
      <w:r>
        <w:rPr>
          <w:rFonts w:ascii="宋体" w:hAnsi="宋体" w:eastAsia="宋体" w:cs="宋体"/>
          <w:spacing w:val="-4"/>
          <w:position w:val="18"/>
          <w:sz w:val="24"/>
          <w:szCs w:val="24"/>
        </w:rPr>
        <w:t>生的</w:t>
      </w:r>
    </w:p>
    <w:p>
      <w:pPr>
        <w:spacing w:line="218" w:lineRule="auto"/>
        <w:ind w:left="126"/>
        <w:rPr>
          <w:rFonts w:ascii="宋体" w:hAnsi="宋体" w:eastAsia="宋体" w:cs="宋体"/>
          <w:sz w:val="24"/>
          <w:szCs w:val="24"/>
        </w:rPr>
      </w:pPr>
      <w:r>
        <w:rPr>
          <w:rFonts w:ascii="宋体" w:hAnsi="宋体" w:eastAsia="宋体" w:cs="宋体"/>
          <w:spacing w:val="-2"/>
          <w:sz w:val="24"/>
          <w:szCs w:val="24"/>
        </w:rPr>
        <w:t>环境风险由承运单位承担，本次评价不再进行评价。</w:t>
      </w:r>
    </w:p>
    <w:p>
      <w:pPr>
        <w:spacing w:line="218" w:lineRule="auto"/>
        <w:rPr>
          <w:rFonts w:ascii="宋体" w:hAnsi="宋体" w:eastAsia="宋体" w:cs="宋体"/>
          <w:sz w:val="24"/>
          <w:szCs w:val="24"/>
        </w:rPr>
        <w:sectPr>
          <w:headerReference r:id="rId243" w:type="default"/>
          <w:footerReference r:id="rId244" w:type="default"/>
          <w:pgSz w:w="11907" w:h="16839"/>
          <w:pgMar w:top="1123" w:right="1677" w:bottom="1149" w:left="1680" w:header="1108" w:footer="988" w:gutter="0"/>
          <w:cols w:space="720" w:num="1"/>
        </w:sectPr>
      </w:pPr>
    </w:p>
    <w:p>
      <w:pPr>
        <w:pStyle w:val="2"/>
        <w:spacing w:line="413" w:lineRule="auto"/>
        <w:rPr>
          <w:sz w:val="21"/>
        </w:rPr>
      </w:pPr>
    </w:p>
    <w:p>
      <w:pPr>
        <w:spacing w:before="78" w:line="220" w:lineRule="auto"/>
        <w:ind w:left="128"/>
        <w:rPr>
          <w:rFonts w:ascii="宋体" w:hAnsi="宋体" w:eastAsia="宋体" w:cs="宋体"/>
          <w:sz w:val="24"/>
          <w:szCs w:val="24"/>
        </w:rPr>
      </w:pPr>
      <w:bookmarkStart w:id="53" w:name="bookmark54"/>
      <w:bookmarkEnd w:id="53"/>
      <w:r>
        <w:rPr>
          <w:rFonts w:ascii="Times New Roman" w:hAnsi="Times New Roman" w:eastAsia="Times New Roman" w:cs="Times New Roman"/>
          <w:b/>
          <w:bCs/>
          <w:sz w:val="24"/>
          <w:szCs w:val="24"/>
        </w:rPr>
        <w:t xml:space="preserve">4.4 </w:t>
      </w:r>
      <w:r>
        <w:rPr>
          <w:rFonts w:ascii="宋体" w:hAnsi="宋体" w:eastAsia="宋体" w:cs="宋体"/>
          <w:sz w:val="24"/>
          <w:szCs w:val="24"/>
          <w14:textOutline w14:w="4354" w14:cap="flat" w14:cmpd="sng">
            <w14:solidFill>
              <w14:srgbClr w14:val="000000"/>
            </w14:solidFill>
            <w14:prstDash w14:val="solid"/>
            <w14:miter w14:val="10"/>
          </w14:textOutline>
        </w:rPr>
        <w:t>储存场所风险识别</w:t>
      </w:r>
    </w:p>
    <w:p>
      <w:pPr>
        <w:spacing w:before="196" w:line="369" w:lineRule="auto"/>
        <w:ind w:left="130" w:right="121" w:firstLine="484"/>
        <w:jc w:val="both"/>
        <w:rPr>
          <w:rFonts w:ascii="宋体" w:hAnsi="宋体" w:eastAsia="宋体" w:cs="宋体"/>
          <w:sz w:val="24"/>
          <w:szCs w:val="24"/>
        </w:rPr>
      </w:pPr>
      <w:r>
        <w:rPr>
          <w:rFonts w:ascii="宋体" w:hAnsi="宋体" w:eastAsia="宋体" w:cs="宋体"/>
          <w:spacing w:val="-3"/>
          <w:sz w:val="24"/>
          <w:szCs w:val="24"/>
        </w:rPr>
        <w:t>项目贮存过程的潜在风险主要在各危废贮存区域。清洁化生产区</w:t>
      </w:r>
      <w:r>
        <w:rPr>
          <w:rFonts w:ascii="宋体" w:hAnsi="宋体" w:eastAsia="宋体" w:cs="宋体"/>
          <w:spacing w:val="-4"/>
          <w:sz w:val="24"/>
          <w:szCs w:val="24"/>
        </w:rPr>
        <w:t>域主要储存</w:t>
      </w:r>
      <w:r>
        <w:rPr>
          <w:rFonts w:ascii="宋体" w:hAnsi="宋体" w:eastAsia="宋体" w:cs="宋体"/>
          <w:sz w:val="24"/>
          <w:szCs w:val="24"/>
        </w:rPr>
        <w:t xml:space="preserve"> </w:t>
      </w:r>
      <w:r>
        <w:rPr>
          <w:rFonts w:ascii="Times New Roman" w:hAnsi="Times New Roman" w:eastAsia="Times New Roman" w:cs="Times New Roman"/>
          <w:spacing w:val="2"/>
          <w:sz w:val="24"/>
          <w:szCs w:val="24"/>
        </w:rPr>
        <w:t>7%</w:t>
      </w:r>
      <w:r>
        <w:rPr>
          <w:rFonts w:ascii="宋体" w:hAnsi="宋体" w:eastAsia="宋体" w:cs="宋体"/>
          <w:spacing w:val="2"/>
          <w:sz w:val="24"/>
          <w:szCs w:val="24"/>
        </w:rPr>
        <w:t>的稀盐酸，油水罐区存放有柴油罐，危废间暂存有危险废物废</w:t>
      </w:r>
      <w:r>
        <w:rPr>
          <w:rFonts w:ascii="宋体" w:hAnsi="宋体" w:eastAsia="宋体" w:cs="宋体"/>
          <w:spacing w:val="1"/>
          <w:sz w:val="24"/>
          <w:szCs w:val="24"/>
        </w:rPr>
        <w:t>油类；油基岩</w:t>
      </w:r>
      <w:r>
        <w:rPr>
          <w:rFonts w:ascii="宋体" w:hAnsi="宋体" w:eastAsia="宋体" w:cs="宋体"/>
          <w:sz w:val="24"/>
          <w:szCs w:val="24"/>
        </w:rPr>
        <w:t xml:space="preserve"> </w:t>
      </w:r>
      <w:r>
        <w:rPr>
          <w:rFonts w:ascii="宋体" w:hAnsi="宋体" w:eastAsia="宋体" w:cs="宋体"/>
          <w:spacing w:val="-17"/>
          <w:sz w:val="24"/>
          <w:szCs w:val="24"/>
        </w:rPr>
        <w:t>屑暂存于岩屑堆放区；</w:t>
      </w:r>
      <w:r>
        <w:rPr>
          <w:rFonts w:ascii="宋体" w:hAnsi="宋体" w:eastAsia="宋体" w:cs="宋体"/>
          <w:spacing w:val="40"/>
          <w:sz w:val="24"/>
          <w:szCs w:val="24"/>
        </w:rPr>
        <w:t xml:space="preserve"> </w:t>
      </w:r>
      <w:r>
        <w:rPr>
          <w:rFonts w:ascii="宋体" w:hAnsi="宋体" w:eastAsia="宋体" w:cs="宋体"/>
          <w:spacing w:val="-17"/>
          <w:sz w:val="24"/>
          <w:szCs w:val="24"/>
        </w:rPr>
        <w:t>油基泥浆在泥浆储备罐内循环；</w:t>
      </w:r>
      <w:r>
        <w:rPr>
          <w:rFonts w:ascii="宋体" w:hAnsi="宋体" w:eastAsia="宋体" w:cs="宋体"/>
          <w:spacing w:val="72"/>
          <w:sz w:val="24"/>
          <w:szCs w:val="24"/>
        </w:rPr>
        <w:t xml:space="preserve"> </w:t>
      </w:r>
      <w:r>
        <w:rPr>
          <w:rFonts w:ascii="宋体" w:hAnsi="宋体" w:eastAsia="宋体" w:cs="宋体"/>
          <w:spacing w:val="-17"/>
          <w:sz w:val="24"/>
          <w:szCs w:val="24"/>
        </w:rPr>
        <w:t>白油一般</w:t>
      </w:r>
      <w:r>
        <w:rPr>
          <w:rFonts w:ascii="宋体" w:hAnsi="宋体" w:eastAsia="宋体" w:cs="宋体"/>
          <w:spacing w:val="-18"/>
          <w:sz w:val="24"/>
          <w:szCs w:val="24"/>
        </w:rPr>
        <w:t>不暂存，</w:t>
      </w:r>
      <w:r>
        <w:rPr>
          <w:rFonts w:ascii="宋体" w:hAnsi="宋体" w:eastAsia="宋体" w:cs="宋体"/>
          <w:spacing w:val="34"/>
          <w:sz w:val="24"/>
          <w:szCs w:val="24"/>
        </w:rPr>
        <w:t xml:space="preserve"> </w:t>
      </w:r>
      <w:r>
        <w:rPr>
          <w:rFonts w:ascii="宋体" w:hAnsi="宋体" w:eastAsia="宋体" w:cs="宋体"/>
          <w:spacing w:val="-18"/>
          <w:sz w:val="24"/>
          <w:szCs w:val="24"/>
        </w:rPr>
        <w:t>应急状</w:t>
      </w:r>
      <w:r>
        <w:rPr>
          <w:rFonts w:ascii="宋体" w:hAnsi="宋体" w:eastAsia="宋体" w:cs="宋体"/>
          <w:sz w:val="24"/>
          <w:szCs w:val="24"/>
        </w:rPr>
        <w:t xml:space="preserve"> </w:t>
      </w:r>
      <w:r>
        <w:rPr>
          <w:rFonts w:ascii="宋体" w:hAnsi="宋体" w:eastAsia="宋体" w:cs="宋体"/>
          <w:spacing w:val="-12"/>
          <w:sz w:val="24"/>
          <w:szCs w:val="24"/>
        </w:rPr>
        <w:t>态暂存于材料区。这些危险废物在厂内存贮过程中，</w:t>
      </w:r>
      <w:r>
        <w:rPr>
          <w:rFonts w:ascii="宋体" w:hAnsi="宋体" w:eastAsia="宋体" w:cs="宋体"/>
          <w:spacing w:val="35"/>
          <w:sz w:val="24"/>
          <w:szCs w:val="24"/>
        </w:rPr>
        <w:t xml:space="preserve"> </w:t>
      </w:r>
      <w:r>
        <w:rPr>
          <w:rFonts w:ascii="宋体" w:hAnsi="宋体" w:eastAsia="宋体" w:cs="宋体"/>
          <w:spacing w:val="-12"/>
          <w:sz w:val="24"/>
          <w:szCs w:val="24"/>
        </w:rPr>
        <w:t>若管理不善或操作失误，</w:t>
      </w:r>
      <w:r>
        <w:rPr>
          <w:rFonts w:ascii="宋体" w:hAnsi="宋体" w:eastAsia="宋体" w:cs="宋体"/>
          <w:spacing w:val="49"/>
          <w:sz w:val="24"/>
          <w:szCs w:val="24"/>
        </w:rPr>
        <w:t xml:space="preserve"> </w:t>
      </w:r>
      <w:r>
        <w:rPr>
          <w:rFonts w:ascii="宋体" w:hAnsi="宋体" w:eastAsia="宋体" w:cs="宋体"/>
          <w:spacing w:val="-12"/>
          <w:sz w:val="24"/>
          <w:szCs w:val="24"/>
        </w:rPr>
        <w:t>易</w:t>
      </w:r>
      <w:r>
        <w:rPr>
          <w:rFonts w:ascii="宋体" w:hAnsi="宋体" w:eastAsia="宋体" w:cs="宋体"/>
          <w:sz w:val="24"/>
          <w:szCs w:val="24"/>
        </w:rPr>
        <w:t xml:space="preserve"> </w:t>
      </w:r>
      <w:r>
        <w:rPr>
          <w:rFonts w:ascii="宋体" w:hAnsi="宋体" w:eastAsia="宋体" w:cs="宋体"/>
          <w:spacing w:val="-7"/>
          <w:sz w:val="24"/>
          <w:szCs w:val="24"/>
        </w:rPr>
        <w:t>造成泄漏、火灾、爆炸事故。事故可能对周边人类和</w:t>
      </w:r>
      <w:r>
        <w:rPr>
          <w:rFonts w:ascii="宋体" w:hAnsi="宋体" w:eastAsia="宋体" w:cs="宋体"/>
          <w:spacing w:val="-8"/>
          <w:sz w:val="24"/>
          <w:szCs w:val="24"/>
        </w:rPr>
        <w:t>动植物的不利影响，</w:t>
      </w:r>
      <w:r>
        <w:rPr>
          <w:rFonts w:ascii="宋体" w:hAnsi="宋体" w:eastAsia="宋体" w:cs="宋体"/>
          <w:spacing w:val="41"/>
          <w:sz w:val="24"/>
          <w:szCs w:val="24"/>
        </w:rPr>
        <w:t xml:space="preserve"> </w:t>
      </w:r>
      <w:r>
        <w:rPr>
          <w:rFonts w:ascii="宋体" w:hAnsi="宋体" w:eastAsia="宋体" w:cs="宋体"/>
          <w:spacing w:val="-8"/>
          <w:sz w:val="24"/>
          <w:szCs w:val="24"/>
        </w:rPr>
        <w:t>造成的</w:t>
      </w:r>
    </w:p>
    <w:p>
      <w:pPr>
        <w:spacing w:line="220" w:lineRule="auto"/>
        <w:ind w:left="131"/>
        <w:rPr>
          <w:rFonts w:ascii="宋体" w:hAnsi="宋体" w:eastAsia="宋体" w:cs="宋体"/>
          <w:sz w:val="24"/>
          <w:szCs w:val="24"/>
        </w:rPr>
      </w:pPr>
      <w:r>
        <w:rPr>
          <w:rFonts w:ascii="宋体" w:hAnsi="宋体" w:eastAsia="宋体" w:cs="宋体"/>
          <w:spacing w:val="-8"/>
          <w:sz w:val="24"/>
          <w:szCs w:val="24"/>
        </w:rPr>
        <w:t>环境污染。</w:t>
      </w:r>
    </w:p>
    <w:p>
      <w:pPr>
        <w:spacing w:before="193" w:line="220" w:lineRule="auto"/>
        <w:ind w:left="128"/>
        <w:rPr>
          <w:rFonts w:ascii="宋体" w:hAnsi="宋体" w:eastAsia="宋体" w:cs="宋体"/>
          <w:sz w:val="24"/>
          <w:szCs w:val="24"/>
        </w:rPr>
      </w:pPr>
      <w:bookmarkStart w:id="54" w:name="bookmark55"/>
      <w:bookmarkEnd w:id="54"/>
      <w:r>
        <w:rPr>
          <w:rFonts w:ascii="Times New Roman" w:hAnsi="Times New Roman" w:eastAsia="Times New Roman" w:cs="Times New Roman"/>
          <w:b/>
          <w:bCs/>
          <w:sz w:val="24"/>
          <w:szCs w:val="24"/>
        </w:rPr>
        <w:t xml:space="preserve">4.5 </w:t>
      </w:r>
      <w:r>
        <w:rPr>
          <w:rFonts w:ascii="宋体" w:hAnsi="宋体" w:eastAsia="宋体" w:cs="宋体"/>
          <w:sz w:val="24"/>
          <w:szCs w:val="24"/>
          <w14:textOutline w14:w="4354" w14:cap="flat" w14:cmpd="sng">
            <w14:solidFill>
              <w14:srgbClr w14:val="000000"/>
            </w14:solidFill>
            <w14:prstDash w14:val="solid"/>
            <w14:miter w14:val="10"/>
          </w14:textOutline>
        </w:rPr>
        <w:t>事故状态风险识别</w:t>
      </w:r>
    </w:p>
    <w:p>
      <w:pPr>
        <w:spacing w:before="194" w:line="220" w:lineRule="auto"/>
        <w:ind w:left="615"/>
        <w:rPr>
          <w:rFonts w:ascii="宋体" w:hAnsi="宋体" w:eastAsia="宋体" w:cs="宋体"/>
          <w:sz w:val="24"/>
          <w:szCs w:val="24"/>
        </w:rPr>
      </w:pPr>
      <w:r>
        <w:rPr>
          <w:rFonts w:ascii="宋体" w:hAnsi="宋体" w:eastAsia="宋体" w:cs="宋体"/>
          <w:spacing w:val="-2"/>
          <w:sz w:val="24"/>
          <w:szCs w:val="24"/>
        </w:rPr>
        <w:t>项目钻井过程中风险事故类型、原因及影响见表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194" w:line="220" w:lineRule="auto"/>
        <w:ind w:left="244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4.5-1    </w:t>
      </w:r>
      <w:r>
        <w:rPr>
          <w:rFonts w:ascii="宋体" w:hAnsi="宋体" w:eastAsia="宋体" w:cs="宋体"/>
          <w:spacing w:val="-1"/>
          <w:sz w:val="24"/>
          <w:szCs w:val="24"/>
          <w14:textOutline w14:w="4354" w14:cap="flat" w14:cmpd="sng">
            <w14:solidFill>
              <w14:srgbClr w14:val="000000"/>
            </w14:solidFill>
            <w14:prstDash w14:val="solid"/>
            <w14:miter w14:val="10"/>
          </w14:textOutline>
        </w:rPr>
        <w:t>企业主要风险类型及特征</w:t>
      </w:r>
    </w:p>
    <w:p>
      <w:pPr>
        <w:spacing w:line="16" w:lineRule="exact"/>
      </w:pPr>
    </w:p>
    <w:tbl>
      <w:tblPr>
        <w:tblStyle w:val="5"/>
        <w:tblW w:w="8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990"/>
        <w:gridCol w:w="991"/>
        <w:gridCol w:w="1841"/>
        <w:gridCol w:w="3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114" w:type="dxa"/>
            <w:vAlign w:val="top"/>
          </w:tcPr>
          <w:p>
            <w:pPr>
              <w:pStyle w:val="6"/>
              <w:spacing w:before="255" w:line="221" w:lineRule="auto"/>
              <w:ind w:left="139"/>
              <w:rPr>
                <w:sz w:val="21"/>
                <w:szCs w:val="21"/>
              </w:rPr>
            </w:pPr>
            <w:r>
              <w:rPr>
                <w:spacing w:val="-2"/>
                <w:sz w:val="21"/>
                <w:szCs w:val="21"/>
              </w:rPr>
              <w:t>危险单元</w:t>
            </w:r>
          </w:p>
        </w:tc>
        <w:tc>
          <w:tcPr>
            <w:tcW w:w="990" w:type="dxa"/>
            <w:vAlign w:val="top"/>
          </w:tcPr>
          <w:p>
            <w:pPr>
              <w:pStyle w:val="6"/>
              <w:spacing w:before="255" w:line="221" w:lineRule="auto"/>
              <w:ind w:left="181"/>
              <w:rPr>
                <w:sz w:val="21"/>
                <w:szCs w:val="21"/>
              </w:rPr>
            </w:pPr>
            <w:r>
              <w:rPr>
                <w:spacing w:val="-2"/>
                <w:sz w:val="21"/>
                <w:szCs w:val="21"/>
              </w:rPr>
              <w:t>风险源</w:t>
            </w:r>
          </w:p>
        </w:tc>
        <w:tc>
          <w:tcPr>
            <w:tcW w:w="991" w:type="dxa"/>
            <w:vAlign w:val="top"/>
          </w:tcPr>
          <w:p>
            <w:pPr>
              <w:pStyle w:val="6"/>
              <w:spacing w:before="121" w:line="233" w:lineRule="auto"/>
              <w:ind w:left="397" w:right="174" w:hanging="215"/>
              <w:rPr>
                <w:sz w:val="21"/>
                <w:szCs w:val="21"/>
              </w:rPr>
            </w:pPr>
            <w:r>
              <w:rPr>
                <w:spacing w:val="-2"/>
                <w:sz w:val="21"/>
                <w:szCs w:val="21"/>
              </w:rPr>
              <w:t>风险类</w:t>
            </w:r>
            <w:r>
              <w:rPr>
                <w:sz w:val="21"/>
                <w:szCs w:val="21"/>
              </w:rPr>
              <w:t xml:space="preserve"> 型</w:t>
            </w:r>
          </w:p>
        </w:tc>
        <w:tc>
          <w:tcPr>
            <w:tcW w:w="1841" w:type="dxa"/>
            <w:vAlign w:val="top"/>
          </w:tcPr>
          <w:p>
            <w:pPr>
              <w:pStyle w:val="6"/>
              <w:spacing w:before="255" w:line="221" w:lineRule="auto"/>
              <w:ind w:left="503"/>
              <w:rPr>
                <w:sz w:val="21"/>
                <w:szCs w:val="21"/>
              </w:rPr>
            </w:pPr>
            <w:r>
              <w:rPr>
                <w:spacing w:val="-2"/>
                <w:sz w:val="21"/>
                <w:szCs w:val="21"/>
              </w:rPr>
              <w:t>事故危害</w:t>
            </w:r>
          </w:p>
        </w:tc>
        <w:tc>
          <w:tcPr>
            <w:tcW w:w="3611" w:type="dxa"/>
            <w:vAlign w:val="top"/>
          </w:tcPr>
          <w:p>
            <w:pPr>
              <w:pStyle w:val="6"/>
              <w:spacing w:before="254" w:line="220" w:lineRule="auto"/>
              <w:ind w:left="1392"/>
              <w:rPr>
                <w:sz w:val="21"/>
                <w:szCs w:val="21"/>
              </w:rPr>
            </w:pPr>
            <w:r>
              <w:rPr>
                <w:spacing w:val="-3"/>
                <w:sz w:val="21"/>
                <w:szCs w:val="21"/>
              </w:rPr>
              <w:t>原因简析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114" w:type="dxa"/>
            <w:vAlign w:val="top"/>
          </w:tcPr>
          <w:p>
            <w:pPr>
              <w:pStyle w:val="6"/>
              <w:spacing w:before="248" w:line="221" w:lineRule="auto"/>
              <w:ind w:left="243"/>
              <w:rPr>
                <w:sz w:val="21"/>
                <w:szCs w:val="21"/>
              </w:rPr>
            </w:pPr>
            <w:r>
              <w:rPr>
                <w:spacing w:val="-2"/>
                <w:sz w:val="21"/>
                <w:szCs w:val="21"/>
              </w:rPr>
              <w:t>酸液罐</w:t>
            </w:r>
          </w:p>
        </w:tc>
        <w:tc>
          <w:tcPr>
            <w:tcW w:w="990" w:type="dxa"/>
            <w:vAlign w:val="top"/>
          </w:tcPr>
          <w:p>
            <w:pPr>
              <w:pStyle w:val="6"/>
              <w:spacing w:before="115" w:line="229" w:lineRule="auto"/>
              <w:ind w:left="284" w:right="140" w:hanging="141"/>
              <w:rPr>
                <w:sz w:val="21"/>
                <w:szCs w:val="21"/>
              </w:rPr>
            </w:pPr>
            <w:r>
              <w:rPr>
                <w:rFonts w:ascii="Times New Roman" w:hAnsi="Times New Roman" w:eastAsia="Times New Roman" w:cs="Times New Roman"/>
                <w:spacing w:val="-2"/>
                <w:sz w:val="21"/>
                <w:szCs w:val="21"/>
              </w:rPr>
              <w:t>7%</w:t>
            </w:r>
            <w:r>
              <w:rPr>
                <w:spacing w:val="-2"/>
                <w:sz w:val="21"/>
                <w:szCs w:val="21"/>
              </w:rPr>
              <w:t>盐酸</w:t>
            </w:r>
            <w:r>
              <w:rPr>
                <w:spacing w:val="2"/>
                <w:sz w:val="21"/>
                <w:szCs w:val="21"/>
              </w:rPr>
              <w:t xml:space="preserve"> </w:t>
            </w:r>
            <w:r>
              <w:rPr>
                <w:spacing w:val="-2"/>
                <w:sz w:val="21"/>
                <w:szCs w:val="21"/>
              </w:rPr>
              <w:t>储罐</w:t>
            </w:r>
          </w:p>
        </w:tc>
        <w:tc>
          <w:tcPr>
            <w:tcW w:w="991" w:type="dxa"/>
            <w:vAlign w:val="top"/>
          </w:tcPr>
          <w:p>
            <w:pPr>
              <w:pStyle w:val="6"/>
              <w:spacing w:before="248" w:line="222" w:lineRule="auto"/>
              <w:ind w:left="290"/>
              <w:rPr>
                <w:sz w:val="21"/>
                <w:szCs w:val="21"/>
              </w:rPr>
            </w:pPr>
            <w:r>
              <w:rPr>
                <w:spacing w:val="-3"/>
                <w:sz w:val="21"/>
                <w:szCs w:val="21"/>
              </w:rPr>
              <w:t>泄漏</w:t>
            </w:r>
          </w:p>
        </w:tc>
        <w:tc>
          <w:tcPr>
            <w:tcW w:w="1841" w:type="dxa"/>
            <w:vAlign w:val="top"/>
          </w:tcPr>
          <w:p>
            <w:pPr>
              <w:pStyle w:val="6"/>
              <w:spacing w:before="115" w:line="229" w:lineRule="auto"/>
              <w:ind w:left="298" w:right="99" w:hanging="187"/>
              <w:rPr>
                <w:sz w:val="21"/>
                <w:szCs w:val="21"/>
              </w:rPr>
            </w:pPr>
            <w:r>
              <w:rPr>
                <w:spacing w:val="-8"/>
                <w:sz w:val="21"/>
                <w:szCs w:val="21"/>
              </w:rPr>
              <w:t>污染土壤、污染地</w:t>
            </w:r>
            <w:r>
              <w:rPr>
                <w:spacing w:val="2"/>
                <w:sz w:val="21"/>
                <w:szCs w:val="21"/>
              </w:rPr>
              <w:t xml:space="preserve"> </w:t>
            </w:r>
            <w:r>
              <w:rPr>
                <w:spacing w:val="-2"/>
                <w:sz w:val="21"/>
                <w:szCs w:val="21"/>
              </w:rPr>
              <w:t>下水、地表水</w:t>
            </w:r>
          </w:p>
        </w:tc>
        <w:tc>
          <w:tcPr>
            <w:tcW w:w="3611" w:type="dxa"/>
            <w:vAlign w:val="top"/>
          </w:tcPr>
          <w:p>
            <w:pPr>
              <w:pStyle w:val="6"/>
              <w:spacing w:before="114" w:line="238" w:lineRule="auto"/>
              <w:ind w:left="111"/>
              <w:rPr>
                <w:sz w:val="21"/>
                <w:szCs w:val="21"/>
              </w:rPr>
            </w:pPr>
            <w:r>
              <w:rPr>
                <w:spacing w:val="-1"/>
                <w:sz w:val="21"/>
                <w:szCs w:val="21"/>
              </w:rPr>
              <w:t>①防渗层破裂</w:t>
            </w:r>
          </w:p>
          <w:p>
            <w:pPr>
              <w:pStyle w:val="6"/>
              <w:spacing w:line="218" w:lineRule="auto"/>
              <w:ind w:left="111"/>
              <w:rPr>
                <w:sz w:val="21"/>
                <w:szCs w:val="21"/>
              </w:rPr>
            </w:pPr>
            <w:r>
              <w:rPr>
                <w:spacing w:val="-1"/>
                <w:sz w:val="21"/>
                <w:szCs w:val="21"/>
              </w:rPr>
              <w:t>②管理不当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114" w:type="dxa"/>
            <w:vAlign w:val="top"/>
          </w:tcPr>
          <w:p>
            <w:pPr>
              <w:pStyle w:val="6"/>
              <w:spacing w:before="248" w:line="221" w:lineRule="auto"/>
              <w:ind w:left="243"/>
              <w:rPr>
                <w:sz w:val="21"/>
                <w:szCs w:val="21"/>
              </w:rPr>
            </w:pPr>
            <w:r>
              <w:rPr>
                <w:spacing w:val="-2"/>
                <w:sz w:val="21"/>
                <w:szCs w:val="21"/>
              </w:rPr>
              <w:t>柴油罐</w:t>
            </w:r>
          </w:p>
        </w:tc>
        <w:tc>
          <w:tcPr>
            <w:tcW w:w="990" w:type="dxa"/>
            <w:vAlign w:val="top"/>
          </w:tcPr>
          <w:p>
            <w:pPr>
              <w:pStyle w:val="6"/>
              <w:spacing w:before="248" w:line="221" w:lineRule="auto"/>
              <w:ind w:left="180"/>
              <w:rPr>
                <w:sz w:val="21"/>
                <w:szCs w:val="21"/>
              </w:rPr>
            </w:pPr>
            <w:r>
              <w:rPr>
                <w:spacing w:val="-2"/>
                <w:sz w:val="21"/>
                <w:szCs w:val="21"/>
              </w:rPr>
              <w:t>柴油罐</w:t>
            </w:r>
          </w:p>
        </w:tc>
        <w:tc>
          <w:tcPr>
            <w:tcW w:w="991" w:type="dxa"/>
            <w:vAlign w:val="top"/>
          </w:tcPr>
          <w:p>
            <w:pPr>
              <w:pStyle w:val="6"/>
              <w:spacing w:before="115" w:line="238" w:lineRule="auto"/>
              <w:ind w:left="289"/>
              <w:rPr>
                <w:sz w:val="21"/>
                <w:szCs w:val="21"/>
              </w:rPr>
            </w:pPr>
            <w:r>
              <w:rPr>
                <w:spacing w:val="-2"/>
                <w:sz w:val="21"/>
                <w:szCs w:val="21"/>
              </w:rPr>
              <w:t>火灾</w:t>
            </w:r>
          </w:p>
          <w:p>
            <w:pPr>
              <w:pStyle w:val="6"/>
              <w:spacing w:line="219" w:lineRule="auto"/>
              <w:ind w:left="287"/>
              <w:rPr>
                <w:sz w:val="21"/>
                <w:szCs w:val="21"/>
              </w:rPr>
            </w:pPr>
            <w:r>
              <w:rPr>
                <w:spacing w:val="-2"/>
                <w:sz w:val="21"/>
                <w:szCs w:val="21"/>
              </w:rPr>
              <w:t>爆炸</w:t>
            </w:r>
          </w:p>
        </w:tc>
        <w:tc>
          <w:tcPr>
            <w:tcW w:w="1841" w:type="dxa"/>
            <w:vAlign w:val="top"/>
          </w:tcPr>
          <w:p>
            <w:pPr>
              <w:pStyle w:val="6"/>
              <w:spacing w:before="115" w:line="229" w:lineRule="auto"/>
              <w:ind w:left="816" w:right="99" w:hanging="705"/>
              <w:rPr>
                <w:sz w:val="21"/>
                <w:szCs w:val="21"/>
              </w:rPr>
            </w:pPr>
            <w:r>
              <w:rPr>
                <w:spacing w:val="-8"/>
                <w:sz w:val="21"/>
                <w:szCs w:val="21"/>
              </w:rPr>
              <w:t>污染空气、人体健</w:t>
            </w:r>
            <w:r>
              <w:rPr>
                <w:spacing w:val="2"/>
                <w:sz w:val="21"/>
                <w:szCs w:val="21"/>
              </w:rPr>
              <w:t xml:space="preserve"> </w:t>
            </w:r>
            <w:r>
              <w:rPr>
                <w:sz w:val="21"/>
                <w:szCs w:val="21"/>
              </w:rPr>
              <w:t>康</w:t>
            </w:r>
          </w:p>
        </w:tc>
        <w:tc>
          <w:tcPr>
            <w:tcW w:w="3611" w:type="dxa"/>
            <w:vAlign w:val="top"/>
          </w:tcPr>
          <w:p>
            <w:pPr>
              <w:pStyle w:val="6"/>
              <w:spacing w:before="115" w:line="238" w:lineRule="auto"/>
              <w:ind w:left="111"/>
              <w:rPr>
                <w:sz w:val="21"/>
                <w:szCs w:val="21"/>
              </w:rPr>
            </w:pPr>
            <w:r>
              <w:rPr>
                <w:spacing w:val="-1"/>
                <w:sz w:val="21"/>
                <w:szCs w:val="21"/>
              </w:rPr>
              <w:t>①高温明火引燃，着火爆炸</w:t>
            </w:r>
          </w:p>
          <w:p>
            <w:pPr>
              <w:pStyle w:val="6"/>
              <w:spacing w:line="218" w:lineRule="auto"/>
              <w:ind w:left="111"/>
              <w:rPr>
                <w:sz w:val="21"/>
                <w:szCs w:val="21"/>
              </w:rPr>
            </w:pPr>
            <w:r>
              <w:rPr>
                <w:spacing w:val="-1"/>
                <w:sz w:val="21"/>
                <w:szCs w:val="21"/>
              </w:rPr>
              <w:t>②电气短路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114" w:type="dxa"/>
            <w:vAlign w:val="top"/>
          </w:tcPr>
          <w:p>
            <w:pPr>
              <w:pStyle w:val="6"/>
              <w:spacing w:before="253" w:line="221" w:lineRule="auto"/>
              <w:ind w:left="140"/>
              <w:rPr>
                <w:sz w:val="21"/>
                <w:szCs w:val="21"/>
              </w:rPr>
            </w:pPr>
            <w:r>
              <w:rPr>
                <w:spacing w:val="-3"/>
                <w:sz w:val="21"/>
                <w:szCs w:val="21"/>
              </w:rPr>
              <w:t>油基岩屑</w:t>
            </w:r>
          </w:p>
        </w:tc>
        <w:tc>
          <w:tcPr>
            <w:tcW w:w="990" w:type="dxa"/>
            <w:vAlign w:val="top"/>
          </w:tcPr>
          <w:p>
            <w:pPr>
              <w:pStyle w:val="6"/>
              <w:spacing w:before="116" w:line="230" w:lineRule="auto"/>
              <w:ind w:left="285" w:right="174" w:hanging="105"/>
              <w:rPr>
                <w:sz w:val="21"/>
                <w:szCs w:val="21"/>
              </w:rPr>
            </w:pPr>
            <w:r>
              <w:rPr>
                <w:spacing w:val="-2"/>
                <w:sz w:val="21"/>
                <w:szCs w:val="21"/>
              </w:rPr>
              <w:t>岩屑堆</w:t>
            </w:r>
            <w:r>
              <w:rPr>
                <w:sz w:val="21"/>
                <w:szCs w:val="21"/>
              </w:rPr>
              <w:t xml:space="preserve"> </w:t>
            </w:r>
            <w:r>
              <w:rPr>
                <w:spacing w:val="-2"/>
                <w:sz w:val="21"/>
                <w:szCs w:val="21"/>
              </w:rPr>
              <w:t>放区</w:t>
            </w:r>
          </w:p>
        </w:tc>
        <w:tc>
          <w:tcPr>
            <w:tcW w:w="991" w:type="dxa"/>
            <w:vAlign w:val="top"/>
          </w:tcPr>
          <w:p>
            <w:pPr>
              <w:pStyle w:val="6"/>
              <w:spacing w:before="253" w:line="222" w:lineRule="auto"/>
              <w:ind w:left="290"/>
              <w:rPr>
                <w:sz w:val="21"/>
                <w:szCs w:val="21"/>
              </w:rPr>
            </w:pPr>
            <w:r>
              <w:rPr>
                <w:spacing w:val="-3"/>
                <w:sz w:val="21"/>
                <w:szCs w:val="21"/>
              </w:rPr>
              <w:t>泄漏</w:t>
            </w:r>
          </w:p>
        </w:tc>
        <w:tc>
          <w:tcPr>
            <w:tcW w:w="1841" w:type="dxa"/>
            <w:vAlign w:val="top"/>
          </w:tcPr>
          <w:p>
            <w:pPr>
              <w:pStyle w:val="6"/>
              <w:spacing w:before="117" w:line="229" w:lineRule="auto"/>
              <w:ind w:left="298" w:right="99" w:hanging="187"/>
              <w:rPr>
                <w:sz w:val="21"/>
                <w:szCs w:val="21"/>
              </w:rPr>
            </w:pPr>
            <w:r>
              <w:rPr>
                <w:spacing w:val="-8"/>
                <w:sz w:val="21"/>
                <w:szCs w:val="21"/>
              </w:rPr>
              <w:t>污染土壤、污染地</w:t>
            </w:r>
            <w:r>
              <w:rPr>
                <w:spacing w:val="2"/>
                <w:sz w:val="21"/>
                <w:szCs w:val="21"/>
              </w:rPr>
              <w:t xml:space="preserve"> </w:t>
            </w:r>
            <w:r>
              <w:rPr>
                <w:spacing w:val="-2"/>
                <w:sz w:val="21"/>
                <w:szCs w:val="21"/>
              </w:rPr>
              <w:t>下水、地表水</w:t>
            </w:r>
          </w:p>
        </w:tc>
        <w:tc>
          <w:tcPr>
            <w:tcW w:w="3611" w:type="dxa"/>
            <w:vAlign w:val="top"/>
          </w:tcPr>
          <w:p>
            <w:pPr>
              <w:pStyle w:val="6"/>
              <w:spacing w:before="116" w:line="238" w:lineRule="auto"/>
              <w:ind w:left="111"/>
              <w:rPr>
                <w:sz w:val="21"/>
                <w:szCs w:val="21"/>
              </w:rPr>
            </w:pPr>
            <w:r>
              <w:rPr>
                <w:spacing w:val="-1"/>
                <w:sz w:val="21"/>
                <w:szCs w:val="21"/>
              </w:rPr>
              <w:t>①防渗层破裂</w:t>
            </w:r>
          </w:p>
          <w:p>
            <w:pPr>
              <w:pStyle w:val="6"/>
              <w:spacing w:line="218" w:lineRule="auto"/>
              <w:ind w:left="111"/>
              <w:rPr>
                <w:sz w:val="21"/>
                <w:szCs w:val="21"/>
              </w:rPr>
            </w:pPr>
            <w:r>
              <w:rPr>
                <w:spacing w:val="-1"/>
                <w:sz w:val="21"/>
                <w:szCs w:val="21"/>
              </w:rPr>
              <w:t>②管理不当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114" w:type="dxa"/>
            <w:vAlign w:val="top"/>
          </w:tcPr>
          <w:p>
            <w:pPr>
              <w:pStyle w:val="6"/>
              <w:spacing w:before="253" w:line="221" w:lineRule="auto"/>
              <w:ind w:left="140"/>
              <w:rPr>
                <w:sz w:val="21"/>
                <w:szCs w:val="21"/>
              </w:rPr>
            </w:pPr>
            <w:r>
              <w:rPr>
                <w:spacing w:val="-3"/>
                <w:sz w:val="21"/>
                <w:szCs w:val="21"/>
              </w:rPr>
              <w:t>油基泥浆</w:t>
            </w:r>
          </w:p>
        </w:tc>
        <w:tc>
          <w:tcPr>
            <w:tcW w:w="990" w:type="dxa"/>
            <w:vAlign w:val="top"/>
          </w:tcPr>
          <w:p>
            <w:pPr>
              <w:pStyle w:val="6"/>
              <w:spacing w:before="116" w:line="221" w:lineRule="auto"/>
              <w:ind w:left="181"/>
              <w:rPr>
                <w:sz w:val="21"/>
                <w:szCs w:val="21"/>
              </w:rPr>
            </w:pPr>
            <w:r>
              <w:rPr>
                <w:spacing w:val="-2"/>
                <w:sz w:val="21"/>
                <w:szCs w:val="21"/>
              </w:rPr>
              <w:t>泥浆储</w:t>
            </w:r>
          </w:p>
          <w:p>
            <w:pPr>
              <w:pStyle w:val="6"/>
              <w:spacing w:before="19" w:line="221" w:lineRule="auto"/>
              <w:ind w:left="288"/>
              <w:rPr>
                <w:sz w:val="21"/>
                <w:szCs w:val="21"/>
              </w:rPr>
            </w:pPr>
            <w:r>
              <w:rPr>
                <w:spacing w:val="-3"/>
                <w:sz w:val="21"/>
                <w:szCs w:val="21"/>
              </w:rPr>
              <w:t>备罐</w:t>
            </w:r>
          </w:p>
        </w:tc>
        <w:tc>
          <w:tcPr>
            <w:tcW w:w="991" w:type="dxa"/>
            <w:vAlign w:val="top"/>
          </w:tcPr>
          <w:p>
            <w:pPr>
              <w:pStyle w:val="6"/>
              <w:spacing w:before="254" w:line="222" w:lineRule="auto"/>
              <w:ind w:left="290"/>
              <w:rPr>
                <w:sz w:val="21"/>
                <w:szCs w:val="21"/>
              </w:rPr>
            </w:pPr>
            <w:r>
              <w:rPr>
                <w:spacing w:val="-3"/>
                <w:sz w:val="21"/>
                <w:szCs w:val="21"/>
              </w:rPr>
              <w:t>泄漏</w:t>
            </w:r>
          </w:p>
        </w:tc>
        <w:tc>
          <w:tcPr>
            <w:tcW w:w="1841" w:type="dxa"/>
            <w:vAlign w:val="top"/>
          </w:tcPr>
          <w:p>
            <w:pPr>
              <w:pStyle w:val="6"/>
              <w:spacing w:before="118" w:line="229" w:lineRule="auto"/>
              <w:ind w:left="298" w:right="99" w:hanging="187"/>
              <w:rPr>
                <w:sz w:val="21"/>
                <w:szCs w:val="21"/>
              </w:rPr>
            </w:pPr>
            <w:r>
              <w:rPr>
                <w:spacing w:val="-8"/>
                <w:sz w:val="21"/>
                <w:szCs w:val="21"/>
              </w:rPr>
              <w:t>污染土壤、污染地</w:t>
            </w:r>
            <w:r>
              <w:rPr>
                <w:spacing w:val="2"/>
                <w:sz w:val="21"/>
                <w:szCs w:val="21"/>
              </w:rPr>
              <w:t xml:space="preserve"> </w:t>
            </w:r>
            <w:r>
              <w:rPr>
                <w:spacing w:val="-2"/>
                <w:sz w:val="21"/>
                <w:szCs w:val="21"/>
              </w:rPr>
              <w:t>下水、地表水</w:t>
            </w:r>
          </w:p>
        </w:tc>
        <w:tc>
          <w:tcPr>
            <w:tcW w:w="3611" w:type="dxa"/>
            <w:vAlign w:val="top"/>
          </w:tcPr>
          <w:p>
            <w:pPr>
              <w:pStyle w:val="6"/>
              <w:spacing w:before="117" w:line="238" w:lineRule="auto"/>
              <w:ind w:left="111"/>
              <w:rPr>
                <w:sz w:val="21"/>
                <w:szCs w:val="21"/>
              </w:rPr>
            </w:pPr>
            <w:r>
              <w:rPr>
                <w:spacing w:val="-1"/>
                <w:sz w:val="21"/>
                <w:szCs w:val="21"/>
              </w:rPr>
              <w:t>①防渗层破裂</w:t>
            </w:r>
          </w:p>
          <w:p>
            <w:pPr>
              <w:pStyle w:val="6"/>
              <w:spacing w:line="218" w:lineRule="auto"/>
              <w:ind w:left="111"/>
              <w:rPr>
                <w:sz w:val="21"/>
                <w:szCs w:val="21"/>
              </w:rPr>
            </w:pPr>
            <w:r>
              <w:rPr>
                <w:spacing w:val="-1"/>
                <w:sz w:val="21"/>
                <w:szCs w:val="21"/>
              </w:rPr>
              <w:t>②管理不当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114" w:type="dxa"/>
            <w:vAlign w:val="top"/>
          </w:tcPr>
          <w:p>
            <w:pPr>
              <w:spacing w:line="319" w:lineRule="auto"/>
              <w:rPr>
                <w:rFonts w:ascii="Arial"/>
                <w:sz w:val="21"/>
              </w:rPr>
            </w:pPr>
          </w:p>
          <w:p>
            <w:pPr>
              <w:pStyle w:val="6"/>
              <w:spacing w:before="68" w:line="223" w:lineRule="auto"/>
              <w:ind w:left="379"/>
              <w:rPr>
                <w:sz w:val="21"/>
                <w:szCs w:val="21"/>
              </w:rPr>
            </w:pPr>
            <w:r>
              <w:rPr>
                <w:spacing w:val="-10"/>
                <w:sz w:val="21"/>
                <w:szCs w:val="21"/>
              </w:rPr>
              <w:t>白油</w:t>
            </w:r>
          </w:p>
        </w:tc>
        <w:tc>
          <w:tcPr>
            <w:tcW w:w="990" w:type="dxa"/>
            <w:vAlign w:val="top"/>
          </w:tcPr>
          <w:p>
            <w:pPr>
              <w:pStyle w:val="6"/>
              <w:spacing w:before="118" w:line="233" w:lineRule="auto"/>
              <w:ind w:left="180" w:right="174"/>
              <w:jc w:val="both"/>
              <w:rPr>
                <w:sz w:val="21"/>
                <w:szCs w:val="21"/>
              </w:rPr>
            </w:pPr>
            <w:r>
              <w:rPr>
                <w:spacing w:val="-2"/>
                <w:sz w:val="21"/>
                <w:szCs w:val="21"/>
              </w:rPr>
              <w:t>材料区</w:t>
            </w:r>
            <w:r>
              <w:rPr>
                <w:sz w:val="21"/>
                <w:szCs w:val="21"/>
              </w:rPr>
              <w:t xml:space="preserve"> </w:t>
            </w:r>
            <w:r>
              <w:rPr>
                <w:spacing w:val="-7"/>
                <w:sz w:val="21"/>
                <w:szCs w:val="21"/>
              </w:rPr>
              <w:t>（应急</w:t>
            </w:r>
            <w:r>
              <w:rPr>
                <w:sz w:val="21"/>
                <w:szCs w:val="21"/>
              </w:rPr>
              <w:t xml:space="preserve"> </w:t>
            </w:r>
            <w:r>
              <w:rPr>
                <w:spacing w:val="-5"/>
                <w:sz w:val="21"/>
                <w:szCs w:val="21"/>
              </w:rPr>
              <w:t>状态）</w:t>
            </w:r>
          </w:p>
        </w:tc>
        <w:tc>
          <w:tcPr>
            <w:tcW w:w="991" w:type="dxa"/>
            <w:vAlign w:val="top"/>
          </w:tcPr>
          <w:p>
            <w:pPr>
              <w:pStyle w:val="6"/>
              <w:spacing w:before="255" w:line="238" w:lineRule="auto"/>
              <w:ind w:left="290"/>
              <w:rPr>
                <w:sz w:val="21"/>
                <w:szCs w:val="21"/>
              </w:rPr>
            </w:pPr>
            <w:r>
              <w:rPr>
                <w:spacing w:val="-3"/>
                <w:sz w:val="21"/>
                <w:szCs w:val="21"/>
              </w:rPr>
              <w:t>泄漏</w:t>
            </w:r>
          </w:p>
          <w:p>
            <w:pPr>
              <w:pStyle w:val="6"/>
              <w:spacing w:line="220" w:lineRule="auto"/>
              <w:ind w:left="289"/>
              <w:rPr>
                <w:sz w:val="21"/>
                <w:szCs w:val="21"/>
              </w:rPr>
            </w:pPr>
            <w:r>
              <w:rPr>
                <w:spacing w:val="-2"/>
                <w:sz w:val="21"/>
                <w:szCs w:val="21"/>
              </w:rPr>
              <w:t>火灾</w:t>
            </w:r>
          </w:p>
        </w:tc>
        <w:tc>
          <w:tcPr>
            <w:tcW w:w="1841" w:type="dxa"/>
            <w:vAlign w:val="top"/>
          </w:tcPr>
          <w:p>
            <w:pPr>
              <w:pStyle w:val="6"/>
              <w:spacing w:before="255" w:line="229" w:lineRule="auto"/>
              <w:ind w:left="816" w:right="99" w:hanging="705"/>
              <w:rPr>
                <w:sz w:val="21"/>
                <w:szCs w:val="21"/>
              </w:rPr>
            </w:pPr>
            <w:r>
              <w:rPr>
                <w:spacing w:val="-8"/>
                <w:sz w:val="21"/>
                <w:szCs w:val="21"/>
              </w:rPr>
              <w:t>污染空气、人体健</w:t>
            </w:r>
            <w:r>
              <w:rPr>
                <w:spacing w:val="2"/>
                <w:sz w:val="21"/>
                <w:szCs w:val="21"/>
              </w:rPr>
              <w:t xml:space="preserve"> </w:t>
            </w:r>
            <w:r>
              <w:rPr>
                <w:sz w:val="21"/>
                <w:szCs w:val="21"/>
              </w:rPr>
              <w:t>康</w:t>
            </w:r>
          </w:p>
        </w:tc>
        <w:tc>
          <w:tcPr>
            <w:tcW w:w="3611" w:type="dxa"/>
            <w:vAlign w:val="top"/>
          </w:tcPr>
          <w:p>
            <w:pPr>
              <w:pStyle w:val="6"/>
              <w:spacing w:before="255" w:line="238" w:lineRule="auto"/>
              <w:ind w:left="111"/>
              <w:rPr>
                <w:sz w:val="21"/>
                <w:szCs w:val="21"/>
              </w:rPr>
            </w:pPr>
            <w:r>
              <w:rPr>
                <w:spacing w:val="-1"/>
                <w:sz w:val="21"/>
                <w:szCs w:val="21"/>
              </w:rPr>
              <w:t>①高温明火引燃，着火爆炸</w:t>
            </w:r>
          </w:p>
          <w:p>
            <w:pPr>
              <w:pStyle w:val="6"/>
              <w:spacing w:line="218" w:lineRule="auto"/>
              <w:ind w:left="111"/>
              <w:rPr>
                <w:sz w:val="21"/>
                <w:szCs w:val="21"/>
              </w:rPr>
            </w:pPr>
            <w:r>
              <w:rPr>
                <w:spacing w:val="-1"/>
                <w:sz w:val="21"/>
                <w:szCs w:val="21"/>
              </w:rPr>
              <w:t>②防渗层破裂、管理不当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1114" w:type="dxa"/>
            <w:vAlign w:val="top"/>
          </w:tcPr>
          <w:p>
            <w:pPr>
              <w:pStyle w:val="6"/>
              <w:spacing w:before="116" w:line="231" w:lineRule="auto"/>
              <w:ind w:left="137" w:right="132" w:firstLine="2"/>
              <w:rPr>
                <w:sz w:val="21"/>
                <w:szCs w:val="21"/>
              </w:rPr>
            </w:pPr>
            <w:r>
              <w:rPr>
                <w:spacing w:val="-3"/>
                <w:sz w:val="21"/>
                <w:szCs w:val="21"/>
              </w:rPr>
              <w:t>危废间、</w:t>
            </w:r>
            <w:r>
              <w:rPr>
                <w:spacing w:val="2"/>
                <w:sz w:val="21"/>
                <w:szCs w:val="21"/>
              </w:rPr>
              <w:t xml:space="preserve"> </w:t>
            </w:r>
            <w:r>
              <w:rPr>
                <w:spacing w:val="-2"/>
                <w:sz w:val="21"/>
                <w:szCs w:val="21"/>
              </w:rPr>
              <w:t>岩屑堆放</w:t>
            </w:r>
          </w:p>
          <w:p>
            <w:pPr>
              <w:pStyle w:val="6"/>
              <w:spacing w:before="19" w:line="226" w:lineRule="auto"/>
              <w:ind w:left="467"/>
              <w:rPr>
                <w:sz w:val="21"/>
                <w:szCs w:val="21"/>
              </w:rPr>
            </w:pPr>
            <w:r>
              <w:rPr>
                <w:sz w:val="21"/>
                <w:szCs w:val="21"/>
              </w:rPr>
              <w:t>区</w:t>
            </w:r>
          </w:p>
        </w:tc>
        <w:tc>
          <w:tcPr>
            <w:tcW w:w="990" w:type="dxa"/>
            <w:vAlign w:val="top"/>
          </w:tcPr>
          <w:p>
            <w:pPr>
              <w:pStyle w:val="6"/>
              <w:spacing w:before="253" w:line="231" w:lineRule="auto"/>
              <w:ind w:left="179" w:right="102" w:hanging="72"/>
              <w:rPr>
                <w:sz w:val="21"/>
                <w:szCs w:val="21"/>
              </w:rPr>
            </w:pPr>
            <w:r>
              <w:rPr>
                <w:spacing w:val="-18"/>
                <w:sz w:val="21"/>
                <w:szCs w:val="21"/>
              </w:rPr>
              <w:t>废油、油</w:t>
            </w:r>
            <w:r>
              <w:rPr>
                <w:spacing w:val="1"/>
                <w:sz w:val="21"/>
                <w:szCs w:val="21"/>
              </w:rPr>
              <w:t xml:space="preserve"> </w:t>
            </w:r>
            <w:r>
              <w:rPr>
                <w:spacing w:val="-2"/>
                <w:sz w:val="21"/>
                <w:szCs w:val="21"/>
              </w:rPr>
              <w:t>基岩屑</w:t>
            </w:r>
          </w:p>
        </w:tc>
        <w:tc>
          <w:tcPr>
            <w:tcW w:w="991" w:type="dxa"/>
            <w:vAlign w:val="top"/>
          </w:tcPr>
          <w:p>
            <w:pPr>
              <w:pStyle w:val="6"/>
              <w:spacing w:before="253" w:line="241" w:lineRule="auto"/>
              <w:ind w:left="290"/>
              <w:rPr>
                <w:sz w:val="21"/>
                <w:szCs w:val="21"/>
              </w:rPr>
            </w:pPr>
            <w:r>
              <w:rPr>
                <w:spacing w:val="-3"/>
                <w:sz w:val="21"/>
                <w:szCs w:val="21"/>
              </w:rPr>
              <w:t>泄漏</w:t>
            </w:r>
          </w:p>
          <w:p>
            <w:pPr>
              <w:pStyle w:val="6"/>
              <w:spacing w:line="220" w:lineRule="auto"/>
              <w:ind w:left="289"/>
              <w:rPr>
                <w:sz w:val="21"/>
                <w:szCs w:val="21"/>
              </w:rPr>
            </w:pPr>
            <w:r>
              <w:rPr>
                <w:spacing w:val="-2"/>
                <w:sz w:val="21"/>
                <w:szCs w:val="21"/>
              </w:rPr>
              <w:t>火灾</w:t>
            </w:r>
          </w:p>
        </w:tc>
        <w:tc>
          <w:tcPr>
            <w:tcW w:w="1841" w:type="dxa"/>
            <w:vAlign w:val="top"/>
          </w:tcPr>
          <w:p>
            <w:pPr>
              <w:pStyle w:val="6"/>
              <w:spacing w:before="252" w:line="231" w:lineRule="auto"/>
              <w:ind w:left="816" w:right="99" w:hanging="705"/>
              <w:rPr>
                <w:sz w:val="21"/>
                <w:szCs w:val="21"/>
              </w:rPr>
            </w:pPr>
            <w:r>
              <w:rPr>
                <w:spacing w:val="-8"/>
                <w:sz w:val="21"/>
                <w:szCs w:val="21"/>
              </w:rPr>
              <w:t>污染空气、人体健</w:t>
            </w:r>
            <w:r>
              <w:rPr>
                <w:spacing w:val="2"/>
                <w:sz w:val="21"/>
                <w:szCs w:val="21"/>
              </w:rPr>
              <w:t xml:space="preserve"> </w:t>
            </w:r>
            <w:r>
              <w:rPr>
                <w:sz w:val="21"/>
                <w:szCs w:val="21"/>
              </w:rPr>
              <w:t>康</w:t>
            </w:r>
          </w:p>
        </w:tc>
        <w:tc>
          <w:tcPr>
            <w:tcW w:w="3611" w:type="dxa"/>
            <w:vAlign w:val="top"/>
          </w:tcPr>
          <w:p>
            <w:pPr>
              <w:pStyle w:val="6"/>
              <w:spacing w:before="253" w:line="241" w:lineRule="auto"/>
              <w:ind w:left="111"/>
              <w:rPr>
                <w:sz w:val="21"/>
                <w:szCs w:val="21"/>
              </w:rPr>
            </w:pPr>
            <w:r>
              <w:rPr>
                <w:spacing w:val="-1"/>
                <w:sz w:val="21"/>
                <w:szCs w:val="21"/>
              </w:rPr>
              <w:t>①高温明火引燃，着火爆炸</w:t>
            </w:r>
          </w:p>
          <w:p>
            <w:pPr>
              <w:pStyle w:val="6"/>
              <w:spacing w:line="218" w:lineRule="auto"/>
              <w:ind w:left="111"/>
              <w:rPr>
                <w:sz w:val="21"/>
                <w:szCs w:val="21"/>
              </w:rPr>
            </w:pPr>
            <w:r>
              <w:rPr>
                <w:spacing w:val="-1"/>
                <w:sz w:val="21"/>
                <w:szCs w:val="21"/>
              </w:rPr>
              <w:t>②防渗层破裂、管理不当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1114" w:type="dxa"/>
            <w:vAlign w:val="top"/>
          </w:tcPr>
          <w:p>
            <w:pPr>
              <w:spacing w:line="321" w:lineRule="auto"/>
              <w:rPr>
                <w:rFonts w:ascii="Arial"/>
                <w:sz w:val="21"/>
              </w:rPr>
            </w:pPr>
          </w:p>
          <w:p>
            <w:pPr>
              <w:pStyle w:val="6"/>
              <w:spacing w:before="68" w:line="241" w:lineRule="auto"/>
              <w:ind w:left="348"/>
              <w:rPr>
                <w:sz w:val="21"/>
                <w:szCs w:val="21"/>
              </w:rPr>
            </w:pPr>
            <w:r>
              <w:rPr>
                <w:spacing w:val="-2"/>
                <w:sz w:val="21"/>
                <w:szCs w:val="21"/>
              </w:rPr>
              <w:t>井口</w:t>
            </w:r>
          </w:p>
          <w:p>
            <w:pPr>
              <w:pStyle w:val="6"/>
              <w:spacing w:line="221" w:lineRule="auto"/>
              <w:ind w:left="243"/>
              <w:rPr>
                <w:sz w:val="21"/>
                <w:szCs w:val="21"/>
              </w:rPr>
            </w:pPr>
            <w:r>
              <w:rPr>
                <w:spacing w:val="-2"/>
                <w:sz w:val="21"/>
                <w:szCs w:val="21"/>
              </w:rPr>
              <w:t>放喷口</w:t>
            </w:r>
          </w:p>
        </w:tc>
        <w:tc>
          <w:tcPr>
            <w:tcW w:w="990" w:type="dxa"/>
            <w:vAlign w:val="top"/>
          </w:tcPr>
          <w:p>
            <w:pPr>
              <w:spacing w:line="338" w:lineRule="auto"/>
              <w:rPr>
                <w:rFonts w:ascii="Arial"/>
                <w:sz w:val="21"/>
              </w:rPr>
            </w:pPr>
          </w:p>
          <w:p>
            <w:pPr>
              <w:pStyle w:val="6"/>
              <w:spacing w:before="68" w:line="296" w:lineRule="exact"/>
              <w:ind w:left="313"/>
              <w:rPr>
                <w:sz w:val="21"/>
                <w:szCs w:val="21"/>
              </w:rPr>
            </w:pPr>
            <w:r>
              <w:rPr>
                <w:spacing w:val="-9"/>
                <w:position w:val="6"/>
                <w:sz w:val="21"/>
                <w:szCs w:val="21"/>
              </w:rPr>
              <w:t>甲烷</w:t>
            </w:r>
          </w:p>
          <w:p>
            <w:pPr>
              <w:spacing w:line="196"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S</w:t>
            </w:r>
          </w:p>
        </w:tc>
        <w:tc>
          <w:tcPr>
            <w:tcW w:w="991" w:type="dxa"/>
            <w:vAlign w:val="top"/>
          </w:tcPr>
          <w:p>
            <w:pPr>
              <w:spacing w:line="321" w:lineRule="auto"/>
              <w:rPr>
                <w:rFonts w:ascii="Arial"/>
                <w:sz w:val="21"/>
              </w:rPr>
            </w:pPr>
          </w:p>
          <w:p>
            <w:pPr>
              <w:pStyle w:val="6"/>
              <w:spacing w:before="68" w:line="241" w:lineRule="auto"/>
              <w:ind w:left="288"/>
              <w:rPr>
                <w:sz w:val="21"/>
                <w:szCs w:val="21"/>
              </w:rPr>
            </w:pPr>
            <w:r>
              <w:rPr>
                <w:spacing w:val="-2"/>
                <w:sz w:val="21"/>
                <w:szCs w:val="21"/>
              </w:rPr>
              <w:t>燃烧</w:t>
            </w:r>
          </w:p>
          <w:p>
            <w:pPr>
              <w:pStyle w:val="6"/>
              <w:spacing w:line="219" w:lineRule="auto"/>
              <w:ind w:left="287"/>
              <w:rPr>
                <w:sz w:val="21"/>
                <w:szCs w:val="21"/>
              </w:rPr>
            </w:pPr>
            <w:r>
              <w:rPr>
                <w:spacing w:val="-2"/>
                <w:sz w:val="21"/>
                <w:szCs w:val="21"/>
              </w:rPr>
              <w:t>爆炸</w:t>
            </w:r>
          </w:p>
        </w:tc>
        <w:tc>
          <w:tcPr>
            <w:tcW w:w="1841" w:type="dxa"/>
            <w:vAlign w:val="top"/>
          </w:tcPr>
          <w:p>
            <w:pPr>
              <w:spacing w:line="320" w:lineRule="auto"/>
              <w:rPr>
                <w:rFonts w:ascii="Arial"/>
                <w:sz w:val="21"/>
              </w:rPr>
            </w:pPr>
          </w:p>
          <w:p>
            <w:pPr>
              <w:pStyle w:val="6"/>
              <w:spacing w:before="69" w:line="231" w:lineRule="auto"/>
              <w:ind w:left="290" w:right="99" w:hanging="179"/>
              <w:rPr>
                <w:sz w:val="21"/>
                <w:szCs w:val="21"/>
              </w:rPr>
            </w:pPr>
            <w:r>
              <w:rPr>
                <w:spacing w:val="-8"/>
                <w:sz w:val="21"/>
                <w:szCs w:val="21"/>
              </w:rPr>
              <w:t>污染空气、人体健</w:t>
            </w:r>
            <w:r>
              <w:rPr>
                <w:spacing w:val="2"/>
                <w:sz w:val="21"/>
                <w:szCs w:val="21"/>
              </w:rPr>
              <w:t xml:space="preserve"> </w:t>
            </w:r>
            <w:r>
              <w:rPr>
                <w:spacing w:val="-1"/>
                <w:sz w:val="21"/>
                <w:szCs w:val="21"/>
              </w:rPr>
              <w:t>康、动物中毒</w:t>
            </w:r>
          </w:p>
        </w:tc>
        <w:tc>
          <w:tcPr>
            <w:tcW w:w="3611" w:type="dxa"/>
            <w:vAlign w:val="top"/>
          </w:tcPr>
          <w:p>
            <w:pPr>
              <w:pStyle w:val="6"/>
              <w:spacing w:before="119" w:line="235" w:lineRule="auto"/>
              <w:ind w:left="111" w:right="104"/>
              <w:jc w:val="both"/>
              <w:rPr>
                <w:sz w:val="21"/>
                <w:szCs w:val="21"/>
              </w:rPr>
            </w:pPr>
            <w:r>
              <w:rPr>
                <w:spacing w:val="-1"/>
                <w:sz w:val="21"/>
                <w:szCs w:val="21"/>
              </w:rPr>
              <w:t>①井内压力失衡导致井喷或井喷失控</w:t>
            </w:r>
            <w:r>
              <w:rPr>
                <w:spacing w:val="12"/>
                <w:sz w:val="21"/>
                <w:szCs w:val="21"/>
              </w:rPr>
              <w:t xml:space="preserve"> </w:t>
            </w:r>
            <w:r>
              <w:rPr>
                <w:spacing w:val="-5"/>
                <w:sz w:val="21"/>
                <w:szCs w:val="21"/>
              </w:rPr>
              <w:t>②地层压力不准；致设计不准确， 钻</w:t>
            </w:r>
            <w:r>
              <w:rPr>
                <w:spacing w:val="4"/>
                <w:sz w:val="21"/>
                <w:szCs w:val="21"/>
              </w:rPr>
              <w:t xml:space="preserve"> </w:t>
            </w:r>
            <w:r>
              <w:rPr>
                <w:spacing w:val="-5"/>
                <w:sz w:val="21"/>
                <w:szCs w:val="21"/>
              </w:rPr>
              <w:t>井液密度低于地层空隙压力梯度， 井</w:t>
            </w:r>
            <w:r>
              <w:rPr>
                <w:spacing w:val="4"/>
                <w:sz w:val="21"/>
                <w:szCs w:val="21"/>
              </w:rPr>
              <w:t xml:space="preserve"> </w:t>
            </w:r>
            <w:r>
              <w:rPr>
                <w:spacing w:val="-1"/>
                <w:sz w:val="21"/>
                <w:szCs w:val="21"/>
              </w:rPr>
              <w:t>喷事故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114" w:type="dxa"/>
            <w:vAlign w:val="top"/>
          </w:tcPr>
          <w:p>
            <w:pPr>
              <w:pStyle w:val="6"/>
              <w:spacing w:before="259" w:line="223" w:lineRule="auto"/>
              <w:ind w:left="243"/>
              <w:rPr>
                <w:sz w:val="21"/>
                <w:szCs w:val="21"/>
              </w:rPr>
            </w:pPr>
            <w:r>
              <w:rPr>
                <w:spacing w:val="-2"/>
                <w:sz w:val="21"/>
                <w:szCs w:val="21"/>
              </w:rPr>
              <w:t>应急池</w:t>
            </w:r>
          </w:p>
        </w:tc>
        <w:tc>
          <w:tcPr>
            <w:tcW w:w="990" w:type="dxa"/>
            <w:vAlign w:val="top"/>
          </w:tcPr>
          <w:p>
            <w:pPr>
              <w:pStyle w:val="6"/>
              <w:spacing w:before="124" w:line="229" w:lineRule="auto"/>
              <w:ind w:left="391" w:right="174" w:hanging="211"/>
              <w:rPr>
                <w:sz w:val="21"/>
                <w:szCs w:val="21"/>
              </w:rPr>
            </w:pPr>
            <w:r>
              <w:rPr>
                <w:spacing w:val="-2"/>
                <w:sz w:val="21"/>
                <w:szCs w:val="21"/>
              </w:rPr>
              <w:t>钻井废</w:t>
            </w:r>
            <w:r>
              <w:rPr>
                <w:sz w:val="21"/>
                <w:szCs w:val="21"/>
              </w:rPr>
              <w:t xml:space="preserve"> 水</w:t>
            </w:r>
          </w:p>
        </w:tc>
        <w:tc>
          <w:tcPr>
            <w:tcW w:w="991" w:type="dxa"/>
            <w:vAlign w:val="top"/>
          </w:tcPr>
          <w:p>
            <w:pPr>
              <w:pStyle w:val="6"/>
              <w:spacing w:before="259" w:line="222" w:lineRule="auto"/>
              <w:ind w:left="290"/>
              <w:rPr>
                <w:sz w:val="21"/>
                <w:szCs w:val="21"/>
              </w:rPr>
            </w:pPr>
            <w:r>
              <w:rPr>
                <w:spacing w:val="-3"/>
                <w:sz w:val="21"/>
                <w:szCs w:val="21"/>
              </w:rPr>
              <w:t>泄漏</w:t>
            </w:r>
          </w:p>
        </w:tc>
        <w:tc>
          <w:tcPr>
            <w:tcW w:w="1841" w:type="dxa"/>
            <w:vAlign w:val="top"/>
          </w:tcPr>
          <w:p>
            <w:pPr>
              <w:pStyle w:val="6"/>
              <w:spacing w:before="123" w:line="230" w:lineRule="auto"/>
              <w:ind w:left="713" w:right="77" w:hanging="603"/>
              <w:rPr>
                <w:sz w:val="21"/>
                <w:szCs w:val="21"/>
              </w:rPr>
            </w:pPr>
            <w:r>
              <w:rPr>
                <w:spacing w:val="-5"/>
                <w:sz w:val="21"/>
                <w:szCs w:val="21"/>
              </w:rPr>
              <w:t>地表水、地下水、</w:t>
            </w:r>
            <w:r>
              <w:rPr>
                <w:spacing w:val="2"/>
                <w:sz w:val="21"/>
                <w:szCs w:val="21"/>
              </w:rPr>
              <w:t xml:space="preserve"> </w:t>
            </w:r>
            <w:r>
              <w:rPr>
                <w:spacing w:val="-2"/>
                <w:sz w:val="21"/>
                <w:szCs w:val="21"/>
              </w:rPr>
              <w:t>土壤</w:t>
            </w:r>
          </w:p>
        </w:tc>
        <w:tc>
          <w:tcPr>
            <w:tcW w:w="3611" w:type="dxa"/>
            <w:vAlign w:val="top"/>
          </w:tcPr>
          <w:p>
            <w:pPr>
              <w:pStyle w:val="6"/>
              <w:spacing w:before="124" w:line="229" w:lineRule="auto"/>
              <w:ind w:left="114" w:right="104" w:hanging="1"/>
              <w:rPr>
                <w:sz w:val="21"/>
                <w:szCs w:val="21"/>
              </w:rPr>
            </w:pPr>
            <w:r>
              <w:rPr>
                <w:spacing w:val="1"/>
                <w:sz w:val="21"/>
                <w:szCs w:val="21"/>
              </w:rPr>
              <w:t>周边的基本农田、堰塘、分散式居民</w:t>
            </w:r>
            <w:r>
              <w:rPr>
                <w:spacing w:val="5"/>
                <w:sz w:val="21"/>
                <w:szCs w:val="21"/>
              </w:rPr>
              <w:t xml:space="preserve"> </w:t>
            </w:r>
            <w:r>
              <w:rPr>
                <w:spacing w:val="-3"/>
                <w:sz w:val="21"/>
                <w:szCs w:val="21"/>
              </w:rPr>
              <w:t>水井</w:t>
            </w:r>
          </w:p>
        </w:tc>
      </w:tr>
    </w:tbl>
    <w:p>
      <w:pPr>
        <w:spacing w:before="178" w:line="220" w:lineRule="auto"/>
        <w:ind w:left="256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7"/>
          <w:sz w:val="24"/>
          <w:szCs w:val="24"/>
        </w:rPr>
        <w:t xml:space="preserve"> </w:t>
      </w:r>
      <w:r>
        <w:rPr>
          <w:rFonts w:ascii="Times New Roman" w:hAnsi="Times New Roman" w:eastAsia="Times New Roman" w:cs="Times New Roman"/>
          <w:b/>
          <w:bCs/>
          <w:spacing w:val="-1"/>
          <w:sz w:val="24"/>
          <w:szCs w:val="24"/>
        </w:rPr>
        <w:t xml:space="preserve">4.5-2        </w:t>
      </w:r>
      <w:r>
        <w:rPr>
          <w:rFonts w:ascii="宋体" w:hAnsi="宋体" w:eastAsia="宋体" w:cs="宋体"/>
          <w:spacing w:val="-1"/>
          <w:sz w:val="24"/>
          <w:szCs w:val="24"/>
          <w14:textOutline w14:w="4354" w14:cap="flat" w14:cmpd="sng">
            <w14:solidFill>
              <w14:srgbClr w14:val="000000"/>
            </w14:solidFill>
            <w14:prstDash w14:val="solid"/>
            <w14:miter w14:val="10"/>
          </w14:textOutline>
        </w:rPr>
        <w:t>项目环境风险识别表</w:t>
      </w:r>
    </w:p>
    <w:p>
      <w:pPr>
        <w:spacing w:line="16" w:lineRule="exact"/>
      </w:pPr>
    </w:p>
    <w:tbl>
      <w:tblPr>
        <w:tblStyle w:val="5"/>
        <w:tblW w:w="8532"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3"/>
        <w:gridCol w:w="69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1533" w:type="dxa"/>
            <w:vAlign w:val="top"/>
          </w:tcPr>
          <w:p>
            <w:pPr>
              <w:pStyle w:val="6"/>
              <w:spacing w:before="69" w:line="221" w:lineRule="auto"/>
              <w:ind w:left="554"/>
              <w:rPr>
                <w:sz w:val="21"/>
                <w:szCs w:val="21"/>
              </w:rPr>
            </w:pPr>
            <w:r>
              <w:rPr>
                <w:spacing w:val="-2"/>
                <w:sz w:val="21"/>
                <w:szCs w:val="21"/>
              </w:rPr>
              <w:t>类型</w:t>
            </w:r>
          </w:p>
        </w:tc>
        <w:tc>
          <w:tcPr>
            <w:tcW w:w="6999" w:type="dxa"/>
            <w:vAlign w:val="top"/>
          </w:tcPr>
          <w:p>
            <w:pPr>
              <w:pStyle w:val="6"/>
              <w:spacing w:before="70" w:line="221" w:lineRule="auto"/>
              <w:ind w:left="3290"/>
              <w:rPr>
                <w:sz w:val="21"/>
                <w:szCs w:val="21"/>
              </w:rPr>
            </w:pPr>
            <w:r>
              <w:rPr>
                <w:spacing w:val="-3"/>
                <w:sz w:val="21"/>
                <w:szCs w:val="21"/>
              </w:rPr>
              <w:t>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533" w:type="dxa"/>
            <w:vAlign w:val="top"/>
          </w:tcPr>
          <w:p>
            <w:pPr>
              <w:pStyle w:val="6"/>
              <w:spacing w:before="32" w:line="224" w:lineRule="auto"/>
              <w:ind w:left="555" w:right="128" w:hanging="421"/>
              <w:rPr>
                <w:sz w:val="21"/>
                <w:szCs w:val="21"/>
              </w:rPr>
            </w:pPr>
            <w:r>
              <w:rPr>
                <w:spacing w:val="-1"/>
                <w:sz w:val="21"/>
                <w:szCs w:val="21"/>
              </w:rPr>
              <w:t>环境风险物质</w:t>
            </w:r>
            <w:r>
              <w:rPr>
                <w:sz w:val="21"/>
                <w:szCs w:val="21"/>
              </w:rPr>
              <w:t xml:space="preserve"> </w:t>
            </w:r>
            <w:r>
              <w:rPr>
                <w:spacing w:val="-2"/>
                <w:sz w:val="21"/>
                <w:szCs w:val="21"/>
              </w:rPr>
              <w:t>识别</w:t>
            </w:r>
          </w:p>
        </w:tc>
        <w:tc>
          <w:tcPr>
            <w:tcW w:w="6999" w:type="dxa"/>
            <w:vAlign w:val="top"/>
          </w:tcPr>
          <w:p>
            <w:pPr>
              <w:pStyle w:val="6"/>
              <w:spacing w:before="169" w:line="221" w:lineRule="auto"/>
              <w:ind w:left="131"/>
              <w:rPr>
                <w:sz w:val="21"/>
                <w:szCs w:val="21"/>
              </w:rPr>
            </w:pPr>
            <w:r>
              <w:rPr>
                <w:spacing w:val="-1"/>
                <w:sz w:val="21"/>
                <w:szCs w:val="21"/>
              </w:rPr>
              <w:t>甲烷、硫化氢、稀盐酸、柴油、白油、废油、废油基岩屑、钻井废水等</w:t>
            </w:r>
          </w:p>
        </w:tc>
      </w:tr>
    </w:tbl>
    <w:p>
      <w:pPr>
        <w:pStyle w:val="2"/>
        <w:rPr>
          <w:sz w:val="21"/>
        </w:rPr>
      </w:pPr>
    </w:p>
    <w:p>
      <w:pPr>
        <w:rPr>
          <w:sz w:val="21"/>
          <w:szCs w:val="21"/>
        </w:rPr>
        <w:sectPr>
          <w:headerReference r:id="rId245" w:type="default"/>
          <w:footerReference r:id="rId246" w:type="default"/>
          <w:pgSz w:w="11907" w:h="16839"/>
          <w:pgMar w:top="1123" w:right="1673" w:bottom="1149" w:left="1675" w:header="1108" w:footer="988" w:gutter="0"/>
          <w:cols w:space="720" w:num="1"/>
        </w:sectPr>
      </w:pPr>
    </w:p>
    <w:p>
      <w:pPr>
        <w:spacing w:before="75"/>
      </w:pPr>
    </w:p>
    <w:tbl>
      <w:tblPr>
        <w:tblStyle w:val="5"/>
        <w:tblW w:w="8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3"/>
        <w:gridCol w:w="69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7" w:hRule="atLeast"/>
        </w:trPr>
        <w:tc>
          <w:tcPr>
            <w:tcW w:w="15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8" w:line="229" w:lineRule="auto"/>
              <w:ind w:left="345" w:right="128" w:hanging="211"/>
              <w:rPr>
                <w:sz w:val="21"/>
                <w:szCs w:val="21"/>
              </w:rPr>
            </w:pPr>
            <w:r>
              <w:rPr>
                <w:spacing w:val="-1"/>
                <w:sz w:val="21"/>
                <w:szCs w:val="21"/>
              </w:rPr>
              <w:t>环境风险影响</w:t>
            </w:r>
            <w:r>
              <w:rPr>
                <w:sz w:val="21"/>
                <w:szCs w:val="21"/>
              </w:rPr>
              <w:t xml:space="preserve"> </w:t>
            </w:r>
            <w:r>
              <w:rPr>
                <w:spacing w:val="-2"/>
                <w:sz w:val="21"/>
                <w:szCs w:val="21"/>
              </w:rPr>
              <w:t>途径识别</w:t>
            </w:r>
          </w:p>
        </w:tc>
        <w:tc>
          <w:tcPr>
            <w:tcW w:w="6999" w:type="dxa"/>
            <w:vAlign w:val="top"/>
          </w:tcPr>
          <w:p>
            <w:pPr>
              <w:pStyle w:val="6"/>
              <w:spacing w:before="33" w:line="241" w:lineRule="auto"/>
              <w:ind w:left="103"/>
              <w:rPr>
                <w:sz w:val="21"/>
                <w:szCs w:val="21"/>
              </w:rPr>
            </w:pPr>
            <w:r>
              <w:rPr>
                <w:sz w:val="21"/>
                <w:szCs w:val="21"/>
              </w:rPr>
              <w:t>①钻井井喷失控泄漏天然气导致的火灾爆炸环境风险事</w:t>
            </w:r>
            <w:r>
              <w:rPr>
                <w:spacing w:val="-1"/>
                <w:sz w:val="21"/>
                <w:szCs w:val="21"/>
              </w:rPr>
              <w:t>故；</w:t>
            </w:r>
          </w:p>
          <w:p>
            <w:pPr>
              <w:pStyle w:val="6"/>
              <w:spacing w:line="218" w:lineRule="auto"/>
              <w:ind w:left="102"/>
              <w:rPr>
                <w:sz w:val="21"/>
                <w:szCs w:val="21"/>
              </w:rPr>
            </w:pPr>
            <w:r>
              <w:rPr>
                <w:spacing w:val="-1"/>
                <w:sz w:val="21"/>
                <w:szCs w:val="21"/>
              </w:rPr>
              <w:t>②钻井过程中钻井泥浆漏失环境风险；</w:t>
            </w:r>
          </w:p>
          <w:p>
            <w:pPr>
              <w:pStyle w:val="6"/>
              <w:spacing w:before="22" w:line="241" w:lineRule="auto"/>
              <w:ind w:left="102"/>
              <w:rPr>
                <w:sz w:val="21"/>
                <w:szCs w:val="21"/>
              </w:rPr>
            </w:pPr>
            <w:r>
              <w:rPr>
                <w:spacing w:val="-2"/>
                <w:sz w:val="21"/>
                <w:szCs w:val="21"/>
              </w:rPr>
              <w:t>③井场内事故废水泄漏或外溢引起的地表及地下水污染；</w:t>
            </w:r>
          </w:p>
          <w:p>
            <w:pPr>
              <w:pStyle w:val="6"/>
              <w:spacing w:line="218" w:lineRule="auto"/>
              <w:ind w:left="102"/>
              <w:rPr>
                <w:sz w:val="21"/>
                <w:szCs w:val="21"/>
              </w:rPr>
            </w:pPr>
            <w:r>
              <w:rPr>
                <w:spacing w:val="-2"/>
                <w:sz w:val="21"/>
                <w:szCs w:val="21"/>
              </w:rPr>
              <w:t>④柴油使用及储存的泄漏环境风险；</w:t>
            </w:r>
          </w:p>
          <w:p>
            <w:pPr>
              <w:pStyle w:val="6"/>
              <w:spacing w:before="22" w:line="241" w:lineRule="auto"/>
              <w:ind w:left="102"/>
              <w:rPr>
                <w:sz w:val="21"/>
                <w:szCs w:val="21"/>
              </w:rPr>
            </w:pPr>
            <w:r>
              <w:rPr>
                <w:spacing w:val="-1"/>
                <w:sz w:val="21"/>
                <w:szCs w:val="21"/>
              </w:rPr>
              <w:t>⑤盐酸使用及储存的泄漏环境风险</w:t>
            </w:r>
          </w:p>
          <w:p>
            <w:pPr>
              <w:pStyle w:val="6"/>
              <w:spacing w:line="218" w:lineRule="auto"/>
              <w:ind w:left="102"/>
              <w:rPr>
                <w:sz w:val="21"/>
                <w:szCs w:val="21"/>
              </w:rPr>
            </w:pPr>
            <w:r>
              <w:rPr>
                <w:spacing w:val="-3"/>
                <w:sz w:val="21"/>
                <w:szCs w:val="21"/>
              </w:rPr>
              <w:t>⑥测试放喷热辐射的环境风险；</w:t>
            </w:r>
          </w:p>
          <w:p>
            <w:pPr>
              <w:pStyle w:val="6"/>
              <w:spacing w:before="22" w:line="241" w:lineRule="auto"/>
              <w:ind w:left="102"/>
              <w:rPr>
                <w:sz w:val="21"/>
                <w:szCs w:val="21"/>
              </w:rPr>
            </w:pPr>
            <w:r>
              <w:rPr>
                <w:spacing w:val="-1"/>
                <w:sz w:val="21"/>
                <w:szCs w:val="21"/>
              </w:rPr>
              <w:t>⑦硫化氢扩散对周边居民健康的风险；</w:t>
            </w:r>
          </w:p>
          <w:p>
            <w:pPr>
              <w:pStyle w:val="6"/>
              <w:spacing w:before="1" w:line="218" w:lineRule="auto"/>
              <w:ind w:left="102"/>
              <w:rPr>
                <w:sz w:val="21"/>
                <w:szCs w:val="21"/>
              </w:rPr>
            </w:pPr>
            <w:r>
              <w:rPr>
                <w:spacing w:val="-2"/>
                <w:sz w:val="21"/>
                <w:szCs w:val="21"/>
              </w:rPr>
              <w:t>⑧废水委外运输过程中的环境风险；</w:t>
            </w:r>
          </w:p>
          <w:p>
            <w:pPr>
              <w:pStyle w:val="6"/>
              <w:spacing w:before="22" w:line="241" w:lineRule="auto"/>
              <w:ind w:left="102"/>
              <w:rPr>
                <w:sz w:val="21"/>
                <w:szCs w:val="21"/>
              </w:rPr>
            </w:pPr>
            <w:r>
              <w:rPr>
                <w:spacing w:val="-1"/>
                <w:sz w:val="21"/>
                <w:szCs w:val="21"/>
              </w:rPr>
              <w:t>⑨应急状态下暂存的白油使用及储存的泄漏环</w:t>
            </w:r>
            <w:r>
              <w:rPr>
                <w:spacing w:val="-2"/>
                <w:sz w:val="21"/>
                <w:szCs w:val="21"/>
              </w:rPr>
              <w:t>境风险；</w:t>
            </w:r>
          </w:p>
          <w:p>
            <w:pPr>
              <w:pStyle w:val="6"/>
              <w:spacing w:before="1" w:line="218" w:lineRule="auto"/>
              <w:ind w:left="102"/>
              <w:rPr>
                <w:sz w:val="21"/>
                <w:szCs w:val="21"/>
              </w:rPr>
            </w:pPr>
            <w:r>
              <w:rPr>
                <w:spacing w:val="-1"/>
                <w:sz w:val="21"/>
                <w:szCs w:val="21"/>
              </w:rPr>
              <w:t>⑩油基泥浆循环使用过程中泄漏环境风险；</w:t>
            </w:r>
          </w:p>
          <w:p>
            <w:pPr>
              <w:pStyle w:val="6"/>
              <w:spacing w:before="14" w:line="199" w:lineRule="auto"/>
              <w:ind w:left="106"/>
              <w:rPr>
                <w:sz w:val="21"/>
                <w:szCs w:val="21"/>
              </w:rPr>
            </w:pPr>
            <w:r>
              <w:rPr>
                <w:rFonts w:ascii="Cambria Math" w:hAnsi="Cambria Math" w:eastAsia="Cambria Math" w:cs="Cambria Math"/>
                <w:spacing w:val="-1"/>
                <w:sz w:val="21"/>
                <w:szCs w:val="21"/>
              </w:rPr>
              <w:t>⑪</w:t>
            </w:r>
            <w:r>
              <w:rPr>
                <w:spacing w:val="-1"/>
                <w:sz w:val="21"/>
                <w:szCs w:val="21"/>
              </w:rPr>
              <w:t>油基岩屑储存的泄漏环境风险；</w:t>
            </w:r>
          </w:p>
          <w:p>
            <w:pPr>
              <w:pStyle w:val="6"/>
              <w:spacing w:before="1" w:line="171" w:lineRule="auto"/>
              <w:ind w:left="106"/>
              <w:rPr>
                <w:sz w:val="21"/>
                <w:szCs w:val="21"/>
              </w:rPr>
            </w:pPr>
            <w:r>
              <w:rPr>
                <w:rFonts w:ascii="Cambria Math" w:hAnsi="Cambria Math" w:eastAsia="Cambria Math" w:cs="Cambria Math"/>
                <w:spacing w:val="-2"/>
                <w:sz w:val="21"/>
                <w:szCs w:val="21"/>
              </w:rPr>
              <w:t>⑫</w:t>
            </w:r>
            <w:r>
              <w:rPr>
                <w:spacing w:val="-2"/>
                <w:sz w:val="21"/>
                <w:szCs w:val="21"/>
              </w:rPr>
              <w:t>废油储存的泄漏环境风险。</w:t>
            </w:r>
          </w:p>
        </w:tc>
      </w:tr>
    </w:tbl>
    <w:p>
      <w:pPr>
        <w:spacing w:before="178" w:line="233" w:lineRule="auto"/>
        <w:ind w:left="123"/>
        <w:rPr>
          <w:rFonts w:ascii="宋体" w:hAnsi="宋体" w:eastAsia="宋体" w:cs="宋体"/>
          <w:sz w:val="24"/>
          <w:szCs w:val="24"/>
        </w:rPr>
      </w:pPr>
      <w:bookmarkStart w:id="55" w:name="bookmark56"/>
      <w:bookmarkEnd w:id="55"/>
      <w:r>
        <w:rPr>
          <w:rFonts w:ascii="Times New Roman" w:hAnsi="Times New Roman" w:eastAsia="Times New Roman" w:cs="Times New Roman"/>
          <w:b/>
          <w:bCs/>
          <w:sz w:val="24"/>
          <w:szCs w:val="24"/>
        </w:rPr>
        <w:t xml:space="preserve">4.6 </w:t>
      </w:r>
      <w:r>
        <w:rPr>
          <w:rFonts w:ascii="宋体" w:hAnsi="宋体" w:eastAsia="宋体" w:cs="宋体"/>
          <w:sz w:val="24"/>
          <w:szCs w:val="24"/>
          <w14:textOutline w14:w="4354" w14:cap="flat" w14:cmpd="sng">
            <w14:solidFill>
              <w14:srgbClr w14:val="000000"/>
            </w14:solidFill>
            <w14:prstDash w14:val="solid"/>
            <w14:miter w14:val="10"/>
          </w14:textOutline>
        </w:rPr>
        <w:t>伴生</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10"/>
          </w14:textOutline>
        </w:rPr>
        <w:t>次伴生风险识别</w:t>
      </w:r>
    </w:p>
    <w:p>
      <w:pPr>
        <w:spacing w:before="177" w:line="233" w:lineRule="auto"/>
        <w:ind w:left="61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）泄漏事故的伴生</w:t>
      </w:r>
      <w:r>
        <w:rPr>
          <w:rFonts w:ascii="Times New Roman" w:hAnsi="Times New Roman" w:eastAsia="Times New Roman" w:cs="Times New Roman"/>
          <w:spacing w:val="-1"/>
          <w:sz w:val="24"/>
          <w:szCs w:val="24"/>
        </w:rPr>
        <w:t>\</w:t>
      </w:r>
      <w:r>
        <w:rPr>
          <w:rFonts w:ascii="宋体" w:hAnsi="宋体" w:eastAsia="宋体" w:cs="宋体"/>
          <w:spacing w:val="-1"/>
          <w:sz w:val="24"/>
          <w:szCs w:val="24"/>
        </w:rPr>
        <w:t>次伴生风险</w:t>
      </w:r>
    </w:p>
    <w:p>
      <w:pPr>
        <w:spacing w:before="177" w:line="480" w:lineRule="exact"/>
        <w:ind w:left="610"/>
        <w:rPr>
          <w:rFonts w:ascii="宋体" w:hAnsi="宋体" w:eastAsia="宋体" w:cs="宋体"/>
          <w:sz w:val="24"/>
          <w:szCs w:val="24"/>
        </w:rPr>
      </w:pPr>
      <w:r>
        <w:rPr>
          <w:rFonts w:ascii="宋体" w:hAnsi="宋体" w:eastAsia="宋体" w:cs="宋体"/>
          <w:spacing w:val="-11"/>
          <w:position w:val="18"/>
          <w:sz w:val="24"/>
          <w:szCs w:val="24"/>
        </w:rPr>
        <w:t>泄漏应急救援过程中，</w:t>
      </w:r>
      <w:r>
        <w:rPr>
          <w:rFonts w:ascii="宋体" w:hAnsi="宋体" w:eastAsia="宋体" w:cs="宋体"/>
          <w:spacing w:val="41"/>
          <w:position w:val="18"/>
          <w:sz w:val="24"/>
          <w:szCs w:val="24"/>
        </w:rPr>
        <w:t xml:space="preserve"> </w:t>
      </w:r>
      <w:r>
        <w:rPr>
          <w:rFonts w:ascii="宋体" w:hAnsi="宋体" w:eastAsia="宋体" w:cs="宋体"/>
          <w:spacing w:val="-11"/>
          <w:position w:val="18"/>
          <w:sz w:val="24"/>
          <w:szCs w:val="24"/>
        </w:rPr>
        <w:t>围堵泄漏液可能产生一定量的沙土等固体废物，</w:t>
      </w:r>
      <w:r>
        <w:rPr>
          <w:rFonts w:ascii="宋体" w:hAnsi="宋体" w:eastAsia="宋体" w:cs="宋体"/>
          <w:spacing w:val="-12"/>
          <w:position w:val="18"/>
          <w:sz w:val="24"/>
          <w:szCs w:val="24"/>
        </w:rPr>
        <w:t xml:space="preserve"> 若事</w:t>
      </w:r>
    </w:p>
    <w:p>
      <w:pPr>
        <w:spacing w:line="219" w:lineRule="auto"/>
        <w:ind w:left="130"/>
        <w:rPr>
          <w:rFonts w:ascii="宋体" w:hAnsi="宋体" w:eastAsia="宋体" w:cs="宋体"/>
          <w:sz w:val="24"/>
          <w:szCs w:val="24"/>
        </w:rPr>
      </w:pPr>
      <w:r>
        <w:rPr>
          <w:rFonts w:ascii="宋体" w:hAnsi="宋体" w:eastAsia="宋体" w:cs="宋体"/>
          <w:spacing w:val="-2"/>
          <w:sz w:val="24"/>
          <w:szCs w:val="24"/>
        </w:rPr>
        <w:t>故排放后随意丢弃、排放，将对环境产生二次污染。</w:t>
      </w:r>
    </w:p>
    <w:p>
      <w:pPr>
        <w:spacing w:before="195" w:line="233" w:lineRule="auto"/>
        <w:ind w:left="61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）火灾事故的伴生</w:t>
      </w:r>
      <w:r>
        <w:rPr>
          <w:rFonts w:ascii="Times New Roman" w:hAnsi="Times New Roman" w:eastAsia="Times New Roman" w:cs="Times New Roman"/>
          <w:spacing w:val="-1"/>
          <w:sz w:val="24"/>
          <w:szCs w:val="24"/>
        </w:rPr>
        <w:t>\</w:t>
      </w:r>
      <w:r>
        <w:rPr>
          <w:rFonts w:ascii="宋体" w:hAnsi="宋体" w:eastAsia="宋体" w:cs="宋体"/>
          <w:spacing w:val="-1"/>
          <w:sz w:val="24"/>
          <w:szCs w:val="24"/>
        </w:rPr>
        <w:t>次伴生风险</w:t>
      </w:r>
    </w:p>
    <w:p>
      <w:pPr>
        <w:spacing w:before="178" w:line="369" w:lineRule="auto"/>
        <w:ind w:left="128" w:right="37" w:firstLine="478"/>
        <w:rPr>
          <w:rFonts w:ascii="宋体" w:hAnsi="宋体" w:eastAsia="宋体" w:cs="宋体"/>
          <w:sz w:val="24"/>
          <w:szCs w:val="24"/>
        </w:rPr>
      </w:pPr>
      <w:r>
        <w:rPr>
          <w:rFonts w:ascii="宋体" w:hAnsi="宋体" w:eastAsia="宋体" w:cs="宋体"/>
          <w:spacing w:val="-9"/>
          <w:sz w:val="24"/>
          <w:szCs w:val="24"/>
        </w:rPr>
        <w:t>本项目涉及柴油、白油、废油、稀盐酸、油基泥浆、油基岩屑等，</w:t>
      </w:r>
      <w:r>
        <w:rPr>
          <w:rFonts w:ascii="宋体" w:hAnsi="宋体" w:eastAsia="宋体" w:cs="宋体"/>
          <w:spacing w:val="68"/>
          <w:sz w:val="24"/>
          <w:szCs w:val="24"/>
        </w:rPr>
        <w:t xml:space="preserve"> </w:t>
      </w:r>
      <w:r>
        <w:rPr>
          <w:rFonts w:ascii="宋体" w:hAnsi="宋体" w:eastAsia="宋体" w:cs="宋体"/>
          <w:spacing w:val="-9"/>
          <w:sz w:val="24"/>
          <w:szCs w:val="24"/>
        </w:rPr>
        <w:t xml:space="preserve">具有腐蚀 </w:t>
      </w:r>
      <w:r>
        <w:rPr>
          <w:rFonts w:ascii="宋体" w:hAnsi="宋体" w:eastAsia="宋体" w:cs="宋体"/>
          <w:spacing w:val="-11"/>
          <w:sz w:val="24"/>
          <w:szCs w:val="24"/>
        </w:rPr>
        <w:t>性、毒性、反应性、挥发性等， 一旦包装发生泄漏，</w:t>
      </w:r>
      <w:r>
        <w:rPr>
          <w:rFonts w:ascii="宋体" w:hAnsi="宋体" w:eastAsia="宋体" w:cs="宋体"/>
          <w:spacing w:val="47"/>
          <w:sz w:val="24"/>
          <w:szCs w:val="24"/>
        </w:rPr>
        <w:t xml:space="preserve"> </w:t>
      </w:r>
      <w:r>
        <w:rPr>
          <w:rFonts w:ascii="宋体" w:hAnsi="宋体" w:eastAsia="宋体" w:cs="宋体"/>
          <w:spacing w:val="-11"/>
          <w:sz w:val="24"/>
          <w:szCs w:val="24"/>
        </w:rPr>
        <w:t xml:space="preserve">将对周围环境空气造成一定 </w:t>
      </w:r>
      <w:r>
        <w:rPr>
          <w:rFonts w:ascii="宋体" w:hAnsi="宋体" w:eastAsia="宋体" w:cs="宋体"/>
          <w:spacing w:val="-1"/>
          <w:sz w:val="24"/>
          <w:szCs w:val="24"/>
        </w:rPr>
        <w:t>污染影响；若泄漏至井区收集管网外，将对地表水体、地下水等产</w:t>
      </w:r>
      <w:r>
        <w:rPr>
          <w:rFonts w:ascii="宋体" w:hAnsi="宋体" w:eastAsia="宋体" w:cs="宋体"/>
          <w:spacing w:val="-2"/>
          <w:sz w:val="24"/>
          <w:szCs w:val="24"/>
        </w:rPr>
        <w:t>生严重污染；</w:t>
      </w:r>
      <w:r>
        <w:rPr>
          <w:rFonts w:ascii="宋体" w:hAnsi="宋体" w:eastAsia="宋体" w:cs="宋体"/>
          <w:sz w:val="24"/>
          <w:szCs w:val="24"/>
        </w:rPr>
        <w:t xml:space="preserve"> </w:t>
      </w:r>
      <w:r>
        <w:rPr>
          <w:rFonts w:ascii="宋体" w:hAnsi="宋体" w:eastAsia="宋体" w:cs="宋体"/>
          <w:spacing w:val="-1"/>
          <w:sz w:val="24"/>
          <w:szCs w:val="24"/>
        </w:rPr>
        <w:t>围堵泄漏液过程中可能产生废棉纱、沙土等固体废物，若事故排放后随意丢弃、</w:t>
      </w:r>
    </w:p>
    <w:p>
      <w:pPr>
        <w:spacing w:line="219" w:lineRule="auto"/>
        <w:ind w:left="126"/>
        <w:rPr>
          <w:rFonts w:ascii="宋体" w:hAnsi="宋体" w:eastAsia="宋体" w:cs="宋体"/>
          <w:sz w:val="24"/>
          <w:szCs w:val="24"/>
        </w:rPr>
      </w:pPr>
      <w:r>
        <w:rPr>
          <w:rFonts w:ascii="宋体" w:hAnsi="宋体" w:eastAsia="宋体" w:cs="宋体"/>
          <w:spacing w:val="-3"/>
          <w:sz w:val="24"/>
          <w:szCs w:val="24"/>
        </w:rPr>
        <w:t>排放，将对环境产生二次污染。</w:t>
      </w:r>
    </w:p>
    <w:p>
      <w:pPr>
        <w:spacing w:line="219" w:lineRule="auto"/>
        <w:rPr>
          <w:rFonts w:ascii="宋体" w:hAnsi="宋体" w:eastAsia="宋体" w:cs="宋体"/>
          <w:sz w:val="24"/>
          <w:szCs w:val="24"/>
        </w:rPr>
        <w:sectPr>
          <w:headerReference r:id="rId247" w:type="default"/>
          <w:footerReference r:id="rId248" w:type="default"/>
          <w:pgSz w:w="11907" w:h="16839"/>
          <w:pgMar w:top="1123" w:right="1677" w:bottom="1149" w:left="1680" w:header="1108" w:footer="988" w:gutter="0"/>
          <w:cols w:space="720" w:num="1"/>
        </w:sectPr>
      </w:pPr>
    </w:p>
    <w:p>
      <w:pPr>
        <w:pStyle w:val="2"/>
        <w:spacing w:line="254" w:lineRule="auto"/>
        <w:rPr>
          <w:sz w:val="21"/>
        </w:rPr>
      </w:pPr>
    </w:p>
    <w:p>
      <w:pPr>
        <w:spacing w:before="117" w:line="220" w:lineRule="auto"/>
        <w:ind w:left="2616"/>
        <w:rPr>
          <w:rFonts w:ascii="宋体" w:hAnsi="宋体" w:eastAsia="宋体" w:cs="宋体"/>
          <w:sz w:val="36"/>
          <w:szCs w:val="36"/>
        </w:rPr>
      </w:pPr>
      <w:bookmarkStart w:id="56" w:name="bookmark57"/>
      <w:bookmarkEnd w:id="56"/>
      <w:bookmarkStart w:id="57" w:name="bookmark58"/>
      <w:bookmarkEnd w:id="57"/>
      <w:r>
        <w:rPr>
          <w:rFonts w:ascii="Times New Roman" w:hAnsi="Times New Roman" w:eastAsia="Times New Roman" w:cs="Times New Roman"/>
          <w:b/>
          <w:bCs/>
          <w:spacing w:val="-1"/>
          <w:sz w:val="36"/>
          <w:szCs w:val="36"/>
        </w:rPr>
        <w:t xml:space="preserve">5 </w:t>
      </w:r>
      <w:r>
        <w:rPr>
          <w:rFonts w:ascii="宋体" w:hAnsi="宋体" w:eastAsia="宋体" w:cs="宋体"/>
          <w:spacing w:val="-1"/>
          <w:sz w:val="36"/>
          <w:szCs w:val="36"/>
          <w14:textOutline w14:w="6531" w14:cap="flat" w14:cmpd="sng">
            <w14:solidFill>
              <w14:srgbClr w14:val="000000"/>
            </w14:solidFill>
            <w14:prstDash w14:val="solid"/>
            <w14:miter w14:val="10"/>
          </w14:textOutline>
        </w:rPr>
        <w:t>风险事故情形分析</w:t>
      </w:r>
    </w:p>
    <w:p>
      <w:pPr>
        <w:pStyle w:val="2"/>
        <w:spacing w:line="314" w:lineRule="auto"/>
        <w:rPr>
          <w:sz w:val="21"/>
        </w:rPr>
      </w:pPr>
    </w:p>
    <w:p>
      <w:pPr>
        <w:spacing w:before="78" w:line="220" w:lineRule="auto"/>
        <w:ind w:left="36"/>
        <w:rPr>
          <w:rFonts w:ascii="宋体" w:hAnsi="宋体" w:eastAsia="宋体" w:cs="宋体"/>
          <w:sz w:val="24"/>
          <w:szCs w:val="24"/>
        </w:rPr>
      </w:pPr>
      <w:r>
        <w:rPr>
          <w:rFonts w:ascii="Times New Roman" w:hAnsi="Times New Roman" w:eastAsia="Times New Roman" w:cs="Times New Roman"/>
          <w:b/>
          <w:bCs/>
          <w:spacing w:val="-1"/>
          <w:sz w:val="24"/>
          <w:szCs w:val="24"/>
        </w:rPr>
        <w:t xml:space="preserve">5.1 </w:t>
      </w:r>
      <w:r>
        <w:rPr>
          <w:rFonts w:ascii="宋体" w:hAnsi="宋体" w:eastAsia="宋体" w:cs="宋体"/>
          <w:spacing w:val="-1"/>
          <w:sz w:val="24"/>
          <w:szCs w:val="24"/>
          <w14:textOutline w14:w="4354" w14:cap="flat" w14:cmpd="sng">
            <w14:solidFill>
              <w14:srgbClr w14:val="000000"/>
            </w14:solidFill>
            <w14:prstDash w14:val="solid"/>
            <w14:miter w14:val="10"/>
          </w14:textOutline>
        </w:rPr>
        <w:t>风险事故情形设定</w:t>
      </w:r>
    </w:p>
    <w:p>
      <w:pPr>
        <w:spacing w:before="193"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rFonts w:ascii="宋体" w:hAnsi="宋体" w:eastAsia="宋体" w:cs="宋体"/>
          <w:spacing w:val="-2"/>
          <w:sz w:val="24"/>
          <w:szCs w:val="24"/>
          <w14:textOutline w14:w="4354" w14:cap="flat" w14:cmpd="sng">
            <w14:solidFill>
              <w14:srgbClr w14:val="000000"/>
            </w14:solidFill>
            <w14:prstDash w14:val="solid"/>
            <w14:miter w14:val="10"/>
          </w14:textOutline>
        </w:rPr>
        <w:t>）环境影响途径</w:t>
      </w:r>
    </w:p>
    <w:p>
      <w:pPr>
        <w:spacing w:before="195" w:line="369" w:lineRule="auto"/>
        <w:ind w:left="37" w:right="85" w:firstLine="484"/>
        <w:jc w:val="both"/>
        <w:rPr>
          <w:rFonts w:ascii="宋体" w:hAnsi="宋体" w:eastAsia="宋体" w:cs="宋体"/>
          <w:sz w:val="24"/>
          <w:szCs w:val="24"/>
        </w:rPr>
      </w:pPr>
      <w:r>
        <w:rPr>
          <w:rFonts w:ascii="宋体" w:hAnsi="宋体" w:eastAsia="宋体" w:cs="宋体"/>
          <w:spacing w:val="-7"/>
          <w:sz w:val="24"/>
          <w:szCs w:val="24"/>
        </w:rPr>
        <w:t>项目所涉及的危险物质， 主要影响途径为液态危险废物泄漏后污染大气、地</w:t>
      </w:r>
      <w:r>
        <w:rPr>
          <w:rFonts w:ascii="宋体" w:hAnsi="宋体" w:eastAsia="宋体" w:cs="宋体"/>
          <w:spacing w:val="17"/>
          <w:sz w:val="24"/>
          <w:szCs w:val="24"/>
        </w:rPr>
        <w:t xml:space="preserve"> </w:t>
      </w:r>
      <w:r>
        <w:rPr>
          <w:rFonts w:ascii="宋体" w:hAnsi="宋体" w:eastAsia="宋体" w:cs="宋体"/>
          <w:spacing w:val="-6"/>
          <w:sz w:val="24"/>
          <w:szCs w:val="24"/>
        </w:rPr>
        <w:t>表水、土壤、地下水，井喷失控、 火灾事故状态下产生的次生污染物通过空气进</w:t>
      </w:r>
    </w:p>
    <w:p>
      <w:pPr>
        <w:spacing w:line="220" w:lineRule="auto"/>
        <w:ind w:left="37"/>
        <w:rPr>
          <w:rFonts w:ascii="宋体" w:hAnsi="宋体" w:eastAsia="宋体" w:cs="宋体"/>
          <w:sz w:val="24"/>
          <w:szCs w:val="24"/>
        </w:rPr>
      </w:pPr>
      <w:r>
        <w:rPr>
          <w:rFonts w:ascii="宋体" w:hAnsi="宋体" w:eastAsia="宋体" w:cs="宋体"/>
          <w:spacing w:val="-6"/>
          <w:sz w:val="24"/>
          <w:szCs w:val="24"/>
        </w:rPr>
        <w:t>入大气环境。</w:t>
      </w:r>
    </w:p>
    <w:p>
      <w:pPr>
        <w:spacing w:before="193"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rFonts w:ascii="宋体" w:hAnsi="宋体" w:eastAsia="宋体" w:cs="宋体"/>
          <w:spacing w:val="-1"/>
          <w:sz w:val="24"/>
          <w:szCs w:val="24"/>
          <w14:textOutline w14:w="4354" w14:cap="flat" w14:cmpd="sng">
            <w14:solidFill>
              <w14:srgbClr w14:val="000000"/>
            </w14:solidFill>
            <w14:prstDash w14:val="solid"/>
            <w14:miter w14:val="10"/>
          </w14:textOutline>
        </w:rPr>
        <w:t>）最大可信事故的确定</w:t>
      </w:r>
    </w:p>
    <w:p>
      <w:pPr>
        <w:spacing w:before="196" w:line="369" w:lineRule="auto"/>
        <w:ind w:left="39" w:right="86" w:firstLine="478"/>
        <w:rPr>
          <w:rFonts w:ascii="宋体" w:hAnsi="宋体" w:eastAsia="宋体" w:cs="宋体"/>
          <w:sz w:val="24"/>
          <w:szCs w:val="24"/>
        </w:rPr>
      </w:pPr>
      <w:r>
        <w:rPr>
          <w:rFonts w:ascii="宋体" w:hAnsi="宋体" w:eastAsia="宋体" w:cs="宋体"/>
          <w:spacing w:val="-8"/>
          <w:sz w:val="24"/>
          <w:szCs w:val="24"/>
        </w:rPr>
        <w:t>施工作业过程中主要环境风险事故为各类作业废水外溢、下渗，</w:t>
      </w:r>
      <w:r>
        <w:rPr>
          <w:rFonts w:ascii="宋体" w:hAnsi="宋体" w:eastAsia="宋体" w:cs="宋体"/>
          <w:spacing w:val="48"/>
          <w:sz w:val="24"/>
          <w:szCs w:val="24"/>
        </w:rPr>
        <w:t xml:space="preserve"> </w:t>
      </w:r>
      <w:r>
        <w:rPr>
          <w:rFonts w:ascii="宋体" w:hAnsi="宋体" w:eastAsia="宋体" w:cs="宋体"/>
          <w:spacing w:val="-8"/>
          <w:sz w:val="24"/>
          <w:szCs w:val="24"/>
        </w:rPr>
        <w:t>废水、油类</w:t>
      </w:r>
      <w:r>
        <w:rPr>
          <w:rFonts w:ascii="宋体" w:hAnsi="宋体" w:eastAsia="宋体" w:cs="宋体"/>
          <w:sz w:val="24"/>
          <w:szCs w:val="24"/>
        </w:rPr>
        <w:t xml:space="preserve"> </w:t>
      </w:r>
      <w:r>
        <w:rPr>
          <w:rFonts w:ascii="宋体" w:hAnsi="宋体" w:eastAsia="宋体" w:cs="宋体"/>
          <w:spacing w:val="-13"/>
          <w:sz w:val="24"/>
          <w:szCs w:val="24"/>
        </w:rPr>
        <w:t>转运过程泄漏，</w:t>
      </w:r>
      <w:r>
        <w:rPr>
          <w:rFonts w:ascii="宋体" w:hAnsi="宋体" w:eastAsia="宋体" w:cs="宋体"/>
          <w:spacing w:val="59"/>
          <w:sz w:val="24"/>
          <w:szCs w:val="24"/>
        </w:rPr>
        <w:t xml:space="preserve"> </w:t>
      </w:r>
      <w:r>
        <w:rPr>
          <w:rFonts w:ascii="宋体" w:hAnsi="宋体" w:eastAsia="宋体" w:cs="宋体"/>
          <w:spacing w:val="-13"/>
          <w:sz w:val="24"/>
          <w:szCs w:val="24"/>
        </w:rPr>
        <w:t>从而影响周边土壤、植被、地表水和地下水环境。此外，</w:t>
      </w:r>
      <w:r>
        <w:rPr>
          <w:rFonts w:ascii="宋体" w:hAnsi="宋体" w:eastAsia="宋体" w:cs="宋体"/>
          <w:spacing w:val="58"/>
          <w:sz w:val="24"/>
          <w:szCs w:val="24"/>
        </w:rPr>
        <w:t xml:space="preserve"> </w:t>
      </w:r>
      <w:r>
        <w:rPr>
          <w:rFonts w:ascii="宋体" w:hAnsi="宋体" w:eastAsia="宋体" w:cs="宋体"/>
          <w:spacing w:val="-13"/>
          <w:sz w:val="24"/>
          <w:szCs w:val="24"/>
        </w:rPr>
        <w:t>虽然天</w:t>
      </w:r>
      <w:r>
        <w:rPr>
          <w:rFonts w:ascii="宋体" w:hAnsi="宋体" w:eastAsia="宋体" w:cs="宋体"/>
          <w:sz w:val="24"/>
          <w:szCs w:val="24"/>
        </w:rPr>
        <w:t xml:space="preserve"> </w:t>
      </w:r>
      <w:r>
        <w:rPr>
          <w:rFonts w:ascii="宋体" w:hAnsi="宋体" w:eastAsia="宋体" w:cs="宋体"/>
          <w:spacing w:val="-15"/>
          <w:sz w:val="24"/>
          <w:szCs w:val="24"/>
        </w:rPr>
        <w:t>然气井喷事故发生概率极低，</w:t>
      </w:r>
      <w:r>
        <w:rPr>
          <w:rFonts w:ascii="宋体" w:hAnsi="宋体" w:eastAsia="宋体" w:cs="宋体"/>
          <w:spacing w:val="46"/>
          <w:sz w:val="24"/>
          <w:szCs w:val="24"/>
        </w:rPr>
        <w:t xml:space="preserve"> </w:t>
      </w:r>
      <w:r>
        <w:rPr>
          <w:rFonts w:ascii="宋体" w:hAnsi="宋体" w:eastAsia="宋体" w:cs="宋体"/>
          <w:spacing w:val="-15"/>
          <w:sz w:val="24"/>
          <w:szCs w:val="24"/>
        </w:rPr>
        <w:t>但考虑到发生事故后危害较大，</w:t>
      </w:r>
      <w:r>
        <w:rPr>
          <w:rFonts w:ascii="宋体" w:hAnsi="宋体" w:eastAsia="宋体" w:cs="宋体"/>
          <w:spacing w:val="53"/>
          <w:sz w:val="24"/>
          <w:szCs w:val="24"/>
        </w:rPr>
        <w:t xml:space="preserve"> </w:t>
      </w:r>
      <w:r>
        <w:rPr>
          <w:rFonts w:ascii="宋体" w:hAnsi="宋体" w:eastAsia="宋体" w:cs="宋体"/>
          <w:spacing w:val="-15"/>
          <w:sz w:val="24"/>
          <w:szCs w:val="24"/>
        </w:rPr>
        <w:t>因此，</w:t>
      </w:r>
      <w:r>
        <w:rPr>
          <w:rFonts w:ascii="宋体" w:hAnsi="宋体" w:eastAsia="宋体" w:cs="宋体"/>
          <w:spacing w:val="-32"/>
          <w:sz w:val="24"/>
          <w:szCs w:val="24"/>
        </w:rPr>
        <w:t xml:space="preserve"> </w:t>
      </w:r>
      <w:r>
        <w:rPr>
          <w:rFonts w:ascii="宋体" w:hAnsi="宋体" w:eastAsia="宋体" w:cs="宋体"/>
          <w:spacing w:val="-15"/>
          <w:sz w:val="24"/>
          <w:szCs w:val="24"/>
        </w:rPr>
        <w:t>本次评价也</w:t>
      </w:r>
    </w:p>
    <w:p>
      <w:pPr>
        <w:spacing w:before="1" w:line="218" w:lineRule="auto"/>
        <w:ind w:left="36"/>
        <w:rPr>
          <w:rFonts w:ascii="宋体" w:hAnsi="宋体" w:eastAsia="宋体" w:cs="宋体"/>
          <w:sz w:val="24"/>
          <w:szCs w:val="24"/>
        </w:rPr>
      </w:pPr>
      <w:r>
        <w:rPr>
          <w:rFonts w:ascii="宋体" w:hAnsi="宋体" w:eastAsia="宋体" w:cs="宋体"/>
          <w:spacing w:val="-3"/>
          <w:sz w:val="24"/>
          <w:szCs w:val="24"/>
        </w:rPr>
        <w:t>将井喷事故列入其中进行简要分析。</w:t>
      </w:r>
    </w:p>
    <w:p>
      <w:pPr>
        <w:spacing w:before="197" w:line="369" w:lineRule="auto"/>
        <w:ind w:left="38" w:right="85" w:firstLine="478"/>
        <w:rPr>
          <w:rFonts w:ascii="宋体" w:hAnsi="宋体" w:eastAsia="宋体" w:cs="宋体"/>
          <w:sz w:val="24"/>
          <w:szCs w:val="24"/>
        </w:rPr>
      </w:pPr>
      <w:r>
        <w:rPr>
          <w:rFonts w:ascii="宋体" w:hAnsi="宋体" w:eastAsia="宋体" w:cs="宋体"/>
          <w:spacing w:val="-11"/>
          <w:sz w:val="24"/>
          <w:szCs w:val="24"/>
        </w:rPr>
        <w:t>①废水外溢主要是水池防渗不当或失效，</w:t>
      </w:r>
      <w:r>
        <w:rPr>
          <w:rFonts w:ascii="宋体" w:hAnsi="宋体" w:eastAsia="宋体" w:cs="宋体"/>
          <w:spacing w:val="38"/>
          <w:sz w:val="24"/>
          <w:szCs w:val="24"/>
        </w:rPr>
        <w:t xml:space="preserve"> </w:t>
      </w:r>
      <w:r>
        <w:rPr>
          <w:rFonts w:ascii="宋体" w:hAnsi="宋体" w:eastAsia="宋体" w:cs="宋体"/>
          <w:spacing w:val="-11"/>
          <w:sz w:val="24"/>
          <w:szCs w:val="24"/>
        </w:rPr>
        <w:t>导致池体渗漏垮塌， 废水外渗污染</w:t>
      </w:r>
      <w:r>
        <w:rPr>
          <w:rFonts w:ascii="宋体" w:hAnsi="宋体" w:eastAsia="宋体" w:cs="宋体"/>
          <w:sz w:val="24"/>
          <w:szCs w:val="24"/>
        </w:rPr>
        <w:t xml:space="preserve"> </w:t>
      </w:r>
      <w:r>
        <w:rPr>
          <w:rFonts w:ascii="宋体" w:hAnsi="宋体" w:eastAsia="宋体" w:cs="宋体"/>
          <w:spacing w:val="-7"/>
          <w:sz w:val="24"/>
          <w:szCs w:val="24"/>
        </w:rPr>
        <w:t>土壤、地下水和地表水体；</w:t>
      </w:r>
      <w:r>
        <w:rPr>
          <w:rFonts w:ascii="宋体" w:hAnsi="宋体" w:eastAsia="宋体" w:cs="宋体"/>
          <w:spacing w:val="37"/>
          <w:sz w:val="24"/>
          <w:szCs w:val="24"/>
        </w:rPr>
        <w:t xml:space="preserve"> </w:t>
      </w:r>
      <w:r>
        <w:rPr>
          <w:rFonts w:ascii="宋体" w:hAnsi="宋体" w:eastAsia="宋体" w:cs="宋体"/>
          <w:spacing w:val="-7"/>
          <w:sz w:val="24"/>
          <w:szCs w:val="24"/>
        </w:rPr>
        <w:t>暴雨造成钻井废水大量外溢造成</w:t>
      </w:r>
      <w:r>
        <w:rPr>
          <w:rFonts w:ascii="宋体" w:hAnsi="宋体" w:eastAsia="宋体" w:cs="宋体"/>
          <w:spacing w:val="-8"/>
          <w:sz w:val="24"/>
          <w:szCs w:val="24"/>
        </w:rPr>
        <w:t>环境污染。如废水外</w:t>
      </w:r>
      <w:r>
        <w:rPr>
          <w:rFonts w:ascii="宋体" w:hAnsi="宋体" w:eastAsia="宋体" w:cs="宋体"/>
          <w:sz w:val="24"/>
          <w:szCs w:val="24"/>
        </w:rPr>
        <w:t xml:space="preserve"> </w:t>
      </w:r>
      <w:r>
        <w:rPr>
          <w:rFonts w:ascii="宋体" w:hAnsi="宋体" w:eastAsia="宋体" w:cs="宋体"/>
          <w:spacing w:val="-11"/>
          <w:sz w:val="24"/>
          <w:szCs w:val="24"/>
        </w:rPr>
        <w:t>渗污染土壤，</w:t>
      </w:r>
      <w:r>
        <w:rPr>
          <w:rFonts w:ascii="宋体" w:hAnsi="宋体" w:eastAsia="宋体" w:cs="宋体"/>
          <w:spacing w:val="68"/>
          <w:sz w:val="24"/>
          <w:szCs w:val="24"/>
        </w:rPr>
        <w:t xml:space="preserve"> </w:t>
      </w:r>
      <w:r>
        <w:rPr>
          <w:rFonts w:ascii="宋体" w:hAnsi="宋体" w:eastAsia="宋体" w:cs="宋体"/>
          <w:spacing w:val="-11"/>
          <w:sz w:val="24"/>
          <w:szCs w:val="24"/>
        </w:rPr>
        <w:t>将造成土壤中</w:t>
      </w:r>
      <w:r>
        <w:rPr>
          <w:rFonts w:ascii="宋体" w:hAnsi="宋体" w:eastAsia="宋体" w:cs="宋体"/>
          <w:spacing w:val="-60"/>
          <w:sz w:val="24"/>
          <w:szCs w:val="24"/>
        </w:rPr>
        <w:t xml:space="preserve"> </w:t>
      </w:r>
      <w:r>
        <w:rPr>
          <w:rFonts w:ascii="Times New Roman" w:hAnsi="Times New Roman" w:eastAsia="Times New Roman" w:cs="Times New Roman"/>
          <w:spacing w:val="-11"/>
          <w:sz w:val="24"/>
          <w:szCs w:val="24"/>
        </w:rPr>
        <w:t xml:space="preserve">pH </w:t>
      </w:r>
      <w:r>
        <w:rPr>
          <w:rFonts w:ascii="宋体" w:hAnsi="宋体" w:eastAsia="宋体" w:cs="宋体"/>
          <w:spacing w:val="-11"/>
          <w:sz w:val="24"/>
          <w:szCs w:val="24"/>
        </w:rPr>
        <w:t>值过高或过低、可溶性盐含量高，</w:t>
      </w:r>
      <w:r>
        <w:rPr>
          <w:rFonts w:ascii="宋体" w:hAnsi="宋体" w:eastAsia="宋体" w:cs="宋体"/>
          <w:spacing w:val="56"/>
          <w:sz w:val="24"/>
          <w:szCs w:val="24"/>
        </w:rPr>
        <w:t xml:space="preserve"> </w:t>
      </w:r>
      <w:r>
        <w:rPr>
          <w:rFonts w:ascii="宋体" w:hAnsi="宋体" w:eastAsia="宋体" w:cs="宋体"/>
          <w:spacing w:val="-11"/>
          <w:sz w:val="24"/>
          <w:szCs w:val="24"/>
        </w:rPr>
        <w:t>含石油类浓度</w:t>
      </w:r>
      <w:r>
        <w:rPr>
          <w:rFonts w:ascii="宋体" w:hAnsi="宋体" w:eastAsia="宋体" w:cs="宋体"/>
          <w:sz w:val="24"/>
          <w:szCs w:val="24"/>
        </w:rPr>
        <w:t xml:space="preserve"> </w:t>
      </w:r>
      <w:r>
        <w:rPr>
          <w:rFonts w:ascii="宋体" w:hAnsi="宋体" w:eastAsia="宋体" w:cs="宋体"/>
          <w:spacing w:val="-16"/>
          <w:sz w:val="24"/>
          <w:szCs w:val="24"/>
        </w:rPr>
        <w:t>增加， 使土壤的结构发生，</w:t>
      </w:r>
      <w:r>
        <w:rPr>
          <w:rFonts w:ascii="宋体" w:hAnsi="宋体" w:eastAsia="宋体" w:cs="宋体"/>
          <w:spacing w:val="66"/>
          <w:sz w:val="24"/>
          <w:szCs w:val="24"/>
        </w:rPr>
        <w:t xml:space="preserve"> </w:t>
      </w:r>
      <w:r>
        <w:rPr>
          <w:rFonts w:ascii="宋体" w:hAnsi="宋体" w:eastAsia="宋体" w:cs="宋体"/>
          <w:spacing w:val="-16"/>
          <w:sz w:val="24"/>
          <w:szCs w:val="24"/>
        </w:rPr>
        <w:t>危害植物生长；</w:t>
      </w:r>
      <w:r>
        <w:rPr>
          <w:rFonts w:ascii="宋体" w:hAnsi="宋体" w:eastAsia="宋体" w:cs="宋体"/>
          <w:spacing w:val="53"/>
          <w:sz w:val="24"/>
          <w:szCs w:val="24"/>
        </w:rPr>
        <w:t xml:space="preserve"> </w:t>
      </w:r>
      <w:r>
        <w:rPr>
          <w:rFonts w:ascii="宋体" w:hAnsi="宋体" w:eastAsia="宋体" w:cs="宋体"/>
          <w:spacing w:val="-16"/>
          <w:sz w:val="24"/>
          <w:szCs w:val="24"/>
        </w:rPr>
        <w:t>如废水流入地表水体（如河流、沟渠</w:t>
      </w:r>
      <w:r>
        <w:rPr>
          <w:rFonts w:ascii="宋体" w:hAnsi="宋体" w:eastAsia="宋体" w:cs="宋体"/>
          <w:sz w:val="24"/>
          <w:szCs w:val="24"/>
        </w:rPr>
        <w:t xml:space="preserve"> </w:t>
      </w:r>
      <w:r>
        <w:rPr>
          <w:rFonts w:ascii="宋体" w:hAnsi="宋体" w:eastAsia="宋体" w:cs="宋体"/>
          <w:spacing w:val="-3"/>
          <w:sz w:val="24"/>
          <w:szCs w:val="24"/>
        </w:rPr>
        <w:t>等）</w:t>
      </w:r>
      <w:r>
        <w:rPr>
          <w:rFonts w:ascii="宋体" w:hAnsi="宋体" w:eastAsia="宋体" w:cs="宋体"/>
          <w:spacing w:val="-42"/>
          <w:sz w:val="24"/>
          <w:szCs w:val="24"/>
        </w:rPr>
        <w:t xml:space="preserve"> </w:t>
      </w:r>
      <w:r>
        <w:rPr>
          <w:rFonts w:ascii="宋体" w:hAnsi="宋体" w:eastAsia="宋体" w:cs="宋体"/>
          <w:spacing w:val="-3"/>
          <w:sz w:val="24"/>
          <w:szCs w:val="24"/>
        </w:rPr>
        <w:t>或渗入浅层地下水将造成水体</w:t>
      </w:r>
      <w:r>
        <w:rPr>
          <w:rFonts w:ascii="宋体" w:hAnsi="宋体" w:eastAsia="宋体" w:cs="宋体"/>
          <w:spacing w:val="-60"/>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值过高或过低、可溶性盐含量高和含石油</w:t>
      </w:r>
      <w:r>
        <w:rPr>
          <w:rFonts w:ascii="宋体" w:hAnsi="宋体" w:eastAsia="宋体" w:cs="宋体"/>
          <w:sz w:val="24"/>
          <w:szCs w:val="24"/>
        </w:rPr>
        <w:t xml:space="preserve"> </w:t>
      </w:r>
      <w:r>
        <w:rPr>
          <w:rFonts w:ascii="宋体" w:hAnsi="宋体" w:eastAsia="宋体" w:cs="宋体"/>
          <w:spacing w:val="-7"/>
          <w:sz w:val="24"/>
          <w:szCs w:val="24"/>
        </w:rPr>
        <w:t>类浓度增加，</w:t>
      </w:r>
      <w:r>
        <w:rPr>
          <w:rFonts w:ascii="宋体" w:hAnsi="宋体" w:eastAsia="宋体" w:cs="宋体"/>
          <w:spacing w:val="38"/>
          <w:sz w:val="24"/>
          <w:szCs w:val="24"/>
        </w:rPr>
        <w:t xml:space="preserve"> </w:t>
      </w:r>
      <w:r>
        <w:rPr>
          <w:rFonts w:ascii="宋体" w:hAnsi="宋体" w:eastAsia="宋体" w:cs="宋体"/>
          <w:spacing w:val="-7"/>
          <w:sz w:val="24"/>
          <w:szCs w:val="24"/>
        </w:rPr>
        <w:t>污水所含的其他有机处理剂使水体的</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COD</w:t>
      </w:r>
      <w:r>
        <w:rPr>
          <w:rFonts w:ascii="宋体" w:hAnsi="宋体" w:eastAsia="宋体" w:cs="宋体"/>
          <w:spacing w:val="-7"/>
          <w:sz w:val="24"/>
          <w:szCs w:val="24"/>
        </w:rPr>
        <w:t>、</w:t>
      </w:r>
      <w:r>
        <w:rPr>
          <w:rFonts w:ascii="Times New Roman" w:hAnsi="Times New Roman" w:eastAsia="Times New Roman" w:cs="Times New Roman"/>
          <w:spacing w:val="-8"/>
          <w:sz w:val="24"/>
          <w:szCs w:val="24"/>
        </w:rPr>
        <w:t>BOD</w:t>
      </w:r>
      <w:r>
        <w:rPr>
          <w:rFonts w:ascii="Times New Roman" w:hAnsi="Times New Roman" w:eastAsia="Times New Roman" w:cs="Times New Roman"/>
          <w:spacing w:val="-8"/>
          <w:position w:val="-1"/>
          <w:sz w:val="16"/>
          <w:szCs w:val="16"/>
        </w:rPr>
        <w:t>5</w:t>
      </w:r>
      <w:r>
        <w:rPr>
          <w:rFonts w:ascii="Times New Roman" w:hAnsi="Times New Roman" w:eastAsia="Times New Roman" w:cs="Times New Roman"/>
          <w:spacing w:val="12"/>
          <w:w w:val="101"/>
          <w:position w:val="-1"/>
          <w:sz w:val="16"/>
          <w:szCs w:val="16"/>
        </w:rPr>
        <w:t xml:space="preserve"> </w:t>
      </w:r>
      <w:r>
        <w:rPr>
          <w:rFonts w:ascii="宋体" w:hAnsi="宋体" w:eastAsia="宋体" w:cs="宋体"/>
          <w:spacing w:val="-8"/>
          <w:sz w:val="24"/>
          <w:szCs w:val="24"/>
        </w:rPr>
        <w:t>增高，影响水生</w:t>
      </w:r>
    </w:p>
    <w:p>
      <w:pPr>
        <w:spacing w:before="1" w:line="220" w:lineRule="auto"/>
        <w:ind w:left="40"/>
        <w:rPr>
          <w:rFonts w:ascii="宋体" w:hAnsi="宋体" w:eastAsia="宋体" w:cs="宋体"/>
          <w:sz w:val="24"/>
          <w:szCs w:val="24"/>
        </w:rPr>
      </w:pPr>
      <w:r>
        <w:rPr>
          <w:rFonts w:ascii="宋体" w:hAnsi="宋体" w:eastAsia="宋体" w:cs="宋体"/>
          <w:spacing w:val="-7"/>
          <w:sz w:val="24"/>
          <w:szCs w:val="24"/>
        </w:rPr>
        <w:t>生物的生长。</w:t>
      </w:r>
    </w:p>
    <w:p>
      <w:pPr>
        <w:spacing w:before="195" w:line="369" w:lineRule="auto"/>
        <w:ind w:left="37" w:firstLine="478"/>
        <w:rPr>
          <w:rFonts w:ascii="宋体" w:hAnsi="宋体" w:eastAsia="宋体" w:cs="宋体"/>
          <w:sz w:val="24"/>
          <w:szCs w:val="24"/>
        </w:rPr>
      </w:pPr>
      <w:r>
        <w:rPr>
          <w:rFonts w:ascii="宋体" w:hAnsi="宋体" w:eastAsia="宋体" w:cs="宋体"/>
          <w:spacing w:val="-9"/>
          <w:sz w:val="24"/>
          <w:szCs w:val="24"/>
        </w:rPr>
        <w:t>②发生井喷的过程主要是由泥浆溢流→井涌→井喷，</w:t>
      </w:r>
      <w:r>
        <w:rPr>
          <w:rFonts w:ascii="宋体" w:hAnsi="宋体" w:eastAsia="宋体" w:cs="宋体"/>
          <w:spacing w:val="-34"/>
          <w:sz w:val="24"/>
          <w:szCs w:val="24"/>
        </w:rPr>
        <w:t xml:space="preserve"> </w:t>
      </w:r>
      <w:r>
        <w:rPr>
          <w:rFonts w:ascii="宋体" w:hAnsi="宋体" w:eastAsia="宋体" w:cs="宋体"/>
          <w:spacing w:val="-9"/>
          <w:sz w:val="24"/>
          <w:szCs w:val="24"/>
        </w:rPr>
        <w:t xml:space="preserve">在钻井过程中， 井下监 </w:t>
      </w:r>
      <w:r>
        <w:rPr>
          <w:rFonts w:ascii="宋体" w:hAnsi="宋体" w:eastAsia="宋体" w:cs="宋体"/>
          <w:spacing w:val="-4"/>
          <w:sz w:val="24"/>
          <w:szCs w:val="24"/>
        </w:rPr>
        <w:t xml:space="preserve">控措施监控发现井内泥浆溢流量达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22"/>
          <w:w w:val="101"/>
          <w:position w:val="9"/>
          <w:sz w:val="16"/>
          <w:szCs w:val="16"/>
        </w:rPr>
        <w:t xml:space="preserve"> </w:t>
      </w:r>
      <w:r>
        <w:rPr>
          <w:rFonts w:ascii="宋体" w:hAnsi="宋体" w:eastAsia="宋体" w:cs="宋体"/>
          <w:spacing w:val="-4"/>
          <w:sz w:val="24"/>
          <w:szCs w:val="24"/>
        </w:rPr>
        <w:t>时报警，达到</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2m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23"/>
          <w:w w:val="101"/>
          <w:position w:val="9"/>
          <w:sz w:val="16"/>
          <w:szCs w:val="16"/>
        </w:rPr>
        <w:t xml:space="preserve"> </w:t>
      </w:r>
      <w:r>
        <w:rPr>
          <w:rFonts w:ascii="宋体" w:hAnsi="宋体" w:eastAsia="宋体" w:cs="宋体"/>
          <w:spacing w:val="-5"/>
          <w:sz w:val="24"/>
          <w:szCs w:val="24"/>
        </w:rPr>
        <w:t>时马上采取关井措施。</w:t>
      </w:r>
      <w:r>
        <w:rPr>
          <w:rFonts w:ascii="宋体" w:hAnsi="宋体" w:eastAsia="宋体" w:cs="宋体"/>
          <w:sz w:val="24"/>
          <w:szCs w:val="24"/>
        </w:rPr>
        <w:t xml:space="preserve"> </w:t>
      </w:r>
      <w:r>
        <w:rPr>
          <w:rFonts w:ascii="宋体" w:hAnsi="宋体" w:eastAsia="宋体" w:cs="宋体"/>
          <w:spacing w:val="-17"/>
          <w:sz w:val="24"/>
          <w:szCs w:val="24"/>
        </w:rPr>
        <w:t>当所有关断措施全部失效，</w:t>
      </w:r>
      <w:r>
        <w:rPr>
          <w:rFonts w:ascii="宋体" w:hAnsi="宋体" w:eastAsia="宋体" w:cs="宋体"/>
          <w:spacing w:val="41"/>
          <w:sz w:val="24"/>
          <w:szCs w:val="24"/>
        </w:rPr>
        <w:t xml:space="preserve"> </w:t>
      </w:r>
      <w:r>
        <w:rPr>
          <w:rFonts w:ascii="宋体" w:hAnsi="宋体" w:eastAsia="宋体" w:cs="宋体"/>
          <w:spacing w:val="-17"/>
          <w:sz w:val="24"/>
          <w:szCs w:val="24"/>
        </w:rPr>
        <w:t>井口失控后，</w:t>
      </w:r>
      <w:r>
        <w:rPr>
          <w:rFonts w:ascii="宋体" w:hAnsi="宋体" w:eastAsia="宋体" w:cs="宋体"/>
          <w:spacing w:val="59"/>
          <w:sz w:val="24"/>
          <w:szCs w:val="24"/>
        </w:rPr>
        <w:t xml:space="preserve"> </w:t>
      </w:r>
      <w:r>
        <w:rPr>
          <w:rFonts w:ascii="宋体" w:hAnsi="宋体" w:eastAsia="宋体" w:cs="宋体"/>
          <w:spacing w:val="-17"/>
          <w:sz w:val="24"/>
          <w:szCs w:val="24"/>
        </w:rPr>
        <w:t>即发生井喷事故。在钻井过程中，</w:t>
      </w:r>
      <w:r>
        <w:rPr>
          <w:rFonts w:ascii="宋体" w:hAnsi="宋体" w:eastAsia="宋体" w:cs="宋体"/>
          <w:spacing w:val="42"/>
          <w:sz w:val="24"/>
          <w:szCs w:val="24"/>
        </w:rPr>
        <w:t xml:space="preserve"> </w:t>
      </w:r>
      <w:r>
        <w:rPr>
          <w:rFonts w:ascii="宋体" w:hAnsi="宋体" w:eastAsia="宋体" w:cs="宋体"/>
          <w:spacing w:val="-17"/>
          <w:sz w:val="24"/>
          <w:szCs w:val="24"/>
        </w:rPr>
        <w:t xml:space="preserve">若出 </w:t>
      </w:r>
      <w:r>
        <w:rPr>
          <w:rFonts w:ascii="宋体" w:hAnsi="宋体" w:eastAsia="宋体" w:cs="宋体"/>
          <w:spacing w:val="-9"/>
          <w:sz w:val="24"/>
          <w:szCs w:val="24"/>
        </w:rPr>
        <w:t>现井喷失控， 气藏内的天然气在地层压力作用下， 将以极高的动</w:t>
      </w:r>
      <w:r>
        <w:rPr>
          <w:rFonts w:ascii="宋体" w:hAnsi="宋体" w:eastAsia="宋体" w:cs="宋体"/>
          <w:spacing w:val="-10"/>
          <w:sz w:val="24"/>
          <w:szCs w:val="24"/>
        </w:rPr>
        <w:t xml:space="preserve">能速度从井口喷 </w:t>
      </w:r>
      <w:r>
        <w:rPr>
          <w:rFonts w:ascii="宋体" w:hAnsi="宋体" w:eastAsia="宋体" w:cs="宋体"/>
          <w:spacing w:val="-14"/>
          <w:sz w:val="24"/>
          <w:szCs w:val="24"/>
        </w:rPr>
        <w:t>出，</w:t>
      </w:r>
      <w:r>
        <w:rPr>
          <w:rFonts w:ascii="宋体" w:hAnsi="宋体" w:eastAsia="宋体" w:cs="宋体"/>
          <w:spacing w:val="-42"/>
          <w:sz w:val="24"/>
          <w:szCs w:val="24"/>
        </w:rPr>
        <w:t xml:space="preserve"> </w:t>
      </w:r>
      <w:r>
        <w:rPr>
          <w:rFonts w:ascii="宋体" w:hAnsi="宋体" w:eastAsia="宋体" w:cs="宋体"/>
          <w:spacing w:val="-14"/>
          <w:sz w:val="24"/>
          <w:szCs w:val="24"/>
        </w:rPr>
        <w:t>若自始至终未遇火源，</w:t>
      </w:r>
      <w:r>
        <w:rPr>
          <w:rFonts w:ascii="宋体" w:hAnsi="宋体" w:eastAsia="宋体" w:cs="宋体"/>
          <w:spacing w:val="32"/>
          <w:sz w:val="24"/>
          <w:szCs w:val="24"/>
        </w:rPr>
        <w:t xml:space="preserve"> </w:t>
      </w:r>
      <w:r>
        <w:rPr>
          <w:rFonts w:ascii="宋体" w:hAnsi="宋体" w:eastAsia="宋体" w:cs="宋体"/>
          <w:spacing w:val="-14"/>
          <w:sz w:val="24"/>
          <w:szCs w:val="24"/>
        </w:rPr>
        <w:t>将在其自身动量与气象条件控制下，</w:t>
      </w:r>
      <w:r>
        <w:rPr>
          <w:rFonts w:ascii="宋体" w:hAnsi="宋体" w:eastAsia="宋体" w:cs="宋体"/>
          <w:spacing w:val="44"/>
          <w:sz w:val="24"/>
          <w:szCs w:val="24"/>
        </w:rPr>
        <w:t xml:space="preserve"> </w:t>
      </w:r>
      <w:r>
        <w:rPr>
          <w:rFonts w:ascii="宋体" w:hAnsi="宋体" w:eastAsia="宋体" w:cs="宋体"/>
          <w:spacing w:val="-14"/>
          <w:sz w:val="24"/>
          <w:szCs w:val="24"/>
        </w:rPr>
        <w:t xml:space="preserve">喷涌后与空气混 </w:t>
      </w:r>
      <w:r>
        <w:rPr>
          <w:rFonts w:ascii="宋体" w:hAnsi="宋体" w:eastAsia="宋体" w:cs="宋体"/>
          <w:spacing w:val="-13"/>
          <w:sz w:val="24"/>
          <w:szCs w:val="24"/>
        </w:rPr>
        <w:t>合、扩散形成天然气云团。天然气喷射速率，</w:t>
      </w:r>
      <w:r>
        <w:rPr>
          <w:rFonts w:ascii="宋体" w:hAnsi="宋体" w:eastAsia="宋体" w:cs="宋体"/>
          <w:spacing w:val="-39"/>
          <w:sz w:val="24"/>
          <w:szCs w:val="24"/>
        </w:rPr>
        <w:t xml:space="preserve"> </w:t>
      </w:r>
      <w:r>
        <w:rPr>
          <w:rFonts w:ascii="宋体" w:hAnsi="宋体" w:eastAsia="宋体" w:cs="宋体"/>
          <w:spacing w:val="-13"/>
          <w:sz w:val="24"/>
          <w:szCs w:val="24"/>
        </w:rPr>
        <w:t>将随着井内泥浆液柱的减小而增大，</w:t>
      </w:r>
    </w:p>
    <w:p>
      <w:pPr>
        <w:spacing w:before="1" w:line="219" w:lineRule="auto"/>
        <w:jc w:val="right"/>
        <w:rPr>
          <w:rFonts w:ascii="宋体" w:hAnsi="宋体" w:eastAsia="宋体" w:cs="宋体"/>
          <w:sz w:val="24"/>
          <w:szCs w:val="24"/>
        </w:rPr>
      </w:pPr>
      <w:r>
        <w:rPr>
          <w:rFonts w:ascii="宋体" w:hAnsi="宋体" w:eastAsia="宋体" w:cs="宋体"/>
          <w:spacing w:val="-12"/>
          <w:sz w:val="24"/>
          <w:szCs w:val="24"/>
        </w:rPr>
        <w:t>当井内的泥浆喷完后，</w:t>
      </w:r>
      <w:r>
        <w:rPr>
          <w:rFonts w:ascii="宋体" w:hAnsi="宋体" w:eastAsia="宋体" w:cs="宋体"/>
          <w:spacing w:val="-36"/>
          <w:sz w:val="24"/>
          <w:szCs w:val="24"/>
        </w:rPr>
        <w:t xml:space="preserve"> </w:t>
      </w:r>
      <w:r>
        <w:rPr>
          <w:rFonts w:ascii="宋体" w:hAnsi="宋体" w:eastAsia="宋体" w:cs="宋体"/>
          <w:spacing w:val="-12"/>
          <w:sz w:val="24"/>
          <w:szCs w:val="24"/>
        </w:rPr>
        <w:t>达到最大喷射释放速率，</w:t>
      </w:r>
      <w:r>
        <w:rPr>
          <w:rFonts w:ascii="宋体" w:hAnsi="宋体" w:eastAsia="宋体" w:cs="宋体"/>
          <w:spacing w:val="-39"/>
          <w:sz w:val="24"/>
          <w:szCs w:val="24"/>
        </w:rPr>
        <w:t xml:space="preserve"> </w:t>
      </w:r>
      <w:r>
        <w:rPr>
          <w:rFonts w:ascii="宋体" w:hAnsi="宋体" w:eastAsia="宋体" w:cs="宋体"/>
          <w:spacing w:val="-12"/>
          <w:sz w:val="24"/>
          <w:szCs w:val="24"/>
        </w:rPr>
        <w:t>其值取决于气井的最大无阻流量。</w:t>
      </w:r>
    </w:p>
    <w:p>
      <w:pPr>
        <w:spacing w:before="194" w:line="220" w:lineRule="auto"/>
        <w:ind w:left="526"/>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sz w:val="24"/>
          <w:szCs w:val="24"/>
        </w:rPr>
        <w:t>3</w:t>
      </w:r>
      <w:r>
        <w:rPr>
          <w:rFonts w:ascii="宋体" w:hAnsi="宋体" w:eastAsia="宋体" w:cs="宋体"/>
          <w:spacing w:val="-4"/>
          <w:sz w:val="24"/>
          <w:szCs w:val="24"/>
          <w14:textOutline w14:w="4354" w14:cap="flat" w14:cmpd="sng">
            <w14:solidFill>
              <w14:srgbClr w14:val="000000"/>
            </w14:solidFill>
            <w14:prstDash w14:val="solid"/>
            <w14:miter w14:val="10"/>
          </w14:textOutline>
        </w:rPr>
        <w:t>）事故概率</w:t>
      </w:r>
    </w:p>
    <w:p>
      <w:pPr>
        <w:spacing w:before="194" w:line="480" w:lineRule="exact"/>
        <w:ind w:left="518"/>
        <w:rPr>
          <w:rFonts w:ascii="宋体" w:hAnsi="宋体" w:eastAsia="宋体" w:cs="宋体"/>
          <w:sz w:val="24"/>
          <w:szCs w:val="24"/>
        </w:rPr>
      </w:pPr>
      <w:r>
        <w:rPr>
          <w:rFonts w:ascii="宋体" w:hAnsi="宋体" w:eastAsia="宋体" w:cs="宋体"/>
          <w:spacing w:val="-6"/>
          <w:position w:val="18"/>
          <w:sz w:val="24"/>
          <w:szCs w:val="24"/>
        </w:rPr>
        <w:t>根据建设单位其他已完钻和正在钻井作业的井场来看，</w:t>
      </w:r>
      <w:r>
        <w:rPr>
          <w:rFonts w:ascii="宋体" w:hAnsi="宋体" w:eastAsia="宋体" w:cs="宋体"/>
          <w:spacing w:val="-7"/>
          <w:position w:val="18"/>
          <w:sz w:val="24"/>
          <w:szCs w:val="24"/>
        </w:rPr>
        <w:t xml:space="preserve"> 目前未发现废水外溢</w:t>
      </w:r>
    </w:p>
    <w:p>
      <w:pPr>
        <w:spacing w:before="1" w:line="219" w:lineRule="auto"/>
        <w:ind w:left="38"/>
        <w:rPr>
          <w:rFonts w:ascii="宋体" w:hAnsi="宋体" w:eastAsia="宋体" w:cs="宋体"/>
          <w:sz w:val="24"/>
          <w:szCs w:val="24"/>
        </w:rPr>
      </w:pPr>
      <w:r>
        <w:rPr>
          <w:rFonts w:ascii="宋体" w:hAnsi="宋体" w:eastAsia="宋体" w:cs="宋体"/>
          <w:spacing w:val="-6"/>
          <w:sz w:val="24"/>
          <w:szCs w:val="24"/>
        </w:rPr>
        <w:t>事故发生， 因此项目钻井期间废水外溢的概率较小。根据川渝地区各气藏已钻井</w:t>
      </w:r>
    </w:p>
    <w:p>
      <w:pPr>
        <w:spacing w:line="219" w:lineRule="auto"/>
        <w:rPr>
          <w:rFonts w:ascii="宋体" w:hAnsi="宋体" w:eastAsia="宋体" w:cs="宋体"/>
          <w:sz w:val="24"/>
          <w:szCs w:val="24"/>
        </w:rPr>
        <w:sectPr>
          <w:headerReference r:id="rId249" w:type="default"/>
          <w:footerReference r:id="rId250" w:type="default"/>
          <w:pgSz w:w="11907" w:h="16839"/>
          <w:pgMar w:top="1123" w:right="1708" w:bottom="1149" w:left="1769" w:header="1108" w:footer="988" w:gutter="0"/>
          <w:cols w:space="720" w:num="1"/>
        </w:sectPr>
      </w:pPr>
    </w:p>
    <w:p>
      <w:pPr>
        <w:pStyle w:val="2"/>
        <w:spacing w:line="415" w:lineRule="auto"/>
        <w:rPr>
          <w:sz w:val="21"/>
        </w:rPr>
      </w:pPr>
    </w:p>
    <w:p>
      <w:pPr>
        <w:spacing w:before="78" w:line="369" w:lineRule="auto"/>
        <w:ind w:left="37" w:right="65" w:firstLine="21"/>
        <w:jc w:val="both"/>
        <w:rPr>
          <w:rFonts w:ascii="宋体" w:hAnsi="宋体" w:eastAsia="宋体" w:cs="宋体"/>
          <w:sz w:val="24"/>
          <w:szCs w:val="24"/>
        </w:rPr>
      </w:pPr>
      <w:r>
        <w:rPr>
          <w:rFonts w:ascii="宋体" w:hAnsi="宋体" w:eastAsia="宋体" w:cs="宋体"/>
          <w:spacing w:val="-12"/>
          <w:sz w:val="24"/>
          <w:szCs w:val="24"/>
        </w:rPr>
        <w:t>出现井喷及井喷失控事故的概率极小，</w:t>
      </w:r>
      <w:r>
        <w:rPr>
          <w:rFonts w:ascii="宋体" w:hAnsi="宋体" w:eastAsia="宋体" w:cs="宋体"/>
          <w:spacing w:val="36"/>
          <w:sz w:val="24"/>
          <w:szCs w:val="24"/>
        </w:rPr>
        <w:t xml:space="preserve"> </w:t>
      </w:r>
      <w:r>
        <w:rPr>
          <w:rFonts w:ascii="宋体" w:hAnsi="宋体" w:eastAsia="宋体" w:cs="宋体"/>
          <w:spacing w:val="-12"/>
          <w:sz w:val="24"/>
          <w:szCs w:val="24"/>
        </w:rPr>
        <w:t>主要不良显示为水侵和</w:t>
      </w:r>
      <w:r>
        <w:rPr>
          <w:rFonts w:ascii="宋体" w:hAnsi="宋体" w:eastAsia="宋体" w:cs="宋体"/>
          <w:spacing w:val="-13"/>
          <w:sz w:val="24"/>
          <w:szCs w:val="24"/>
        </w:rPr>
        <w:t>气侵、井涌，</w:t>
      </w:r>
      <w:r>
        <w:rPr>
          <w:rFonts w:ascii="宋体" w:hAnsi="宋体" w:eastAsia="宋体" w:cs="宋体"/>
          <w:spacing w:val="34"/>
          <w:sz w:val="24"/>
          <w:szCs w:val="24"/>
        </w:rPr>
        <w:t xml:space="preserve"> </w:t>
      </w:r>
      <w:r>
        <w:rPr>
          <w:rFonts w:ascii="宋体" w:hAnsi="宋体" w:eastAsia="宋体" w:cs="宋体"/>
          <w:spacing w:val="-13"/>
          <w:sz w:val="24"/>
          <w:szCs w:val="24"/>
        </w:rPr>
        <w:t>类比</w:t>
      </w:r>
      <w:r>
        <w:rPr>
          <w:rFonts w:ascii="宋体" w:hAnsi="宋体" w:eastAsia="宋体" w:cs="宋体"/>
          <w:sz w:val="24"/>
          <w:szCs w:val="24"/>
        </w:rPr>
        <w:t xml:space="preserve"> </w:t>
      </w:r>
      <w:r>
        <w:rPr>
          <w:rFonts w:ascii="宋体" w:hAnsi="宋体" w:eastAsia="宋体" w:cs="宋体"/>
          <w:spacing w:val="-3"/>
          <w:sz w:val="24"/>
          <w:szCs w:val="24"/>
        </w:rPr>
        <w:t>分析本项目出现井喷失控的概率很小。近年来川渝地区的钻井工程每年钻井数量</w:t>
      </w:r>
      <w:r>
        <w:rPr>
          <w:rFonts w:ascii="宋体" w:hAnsi="宋体" w:eastAsia="宋体" w:cs="宋体"/>
          <w:spacing w:val="6"/>
          <w:sz w:val="24"/>
          <w:szCs w:val="24"/>
        </w:rPr>
        <w:t xml:space="preserve"> </w:t>
      </w:r>
      <w:r>
        <w:rPr>
          <w:rFonts w:ascii="宋体" w:hAnsi="宋体" w:eastAsia="宋体" w:cs="宋体"/>
          <w:spacing w:val="-3"/>
          <w:sz w:val="24"/>
          <w:szCs w:val="24"/>
        </w:rPr>
        <w:t>在</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250</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眼以上，近</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年来发生井喷失控事故的气井共计</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50"/>
          <w:w w:val="101"/>
          <w:sz w:val="24"/>
          <w:szCs w:val="24"/>
        </w:rPr>
        <w:t xml:space="preserve"> </w:t>
      </w:r>
      <w:r>
        <w:rPr>
          <w:rFonts w:ascii="宋体" w:hAnsi="宋体" w:eastAsia="宋体" w:cs="宋体"/>
          <w:spacing w:val="-3"/>
          <w:sz w:val="24"/>
          <w:szCs w:val="24"/>
        </w:rPr>
        <w:t>口，钻井工程出现井</w:t>
      </w:r>
      <w:r>
        <w:rPr>
          <w:rFonts w:ascii="宋体" w:hAnsi="宋体" w:eastAsia="宋体" w:cs="宋体"/>
          <w:sz w:val="24"/>
          <w:szCs w:val="24"/>
        </w:rPr>
        <w:t xml:space="preserve"> </w:t>
      </w:r>
      <w:r>
        <w:rPr>
          <w:rFonts w:ascii="宋体" w:hAnsi="宋体" w:eastAsia="宋体" w:cs="宋体"/>
          <w:spacing w:val="-6"/>
          <w:sz w:val="24"/>
          <w:szCs w:val="24"/>
        </w:rPr>
        <w:t>喷失控的概率约</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0.75</w:t>
      </w:r>
      <w:r>
        <w:rPr>
          <w:rFonts w:ascii="宋体" w:hAnsi="宋体" w:eastAsia="宋体" w:cs="宋体"/>
          <w:spacing w:val="-6"/>
          <w:sz w:val="24"/>
          <w:szCs w:val="24"/>
        </w:rPr>
        <w:t>‰。根据事故树分析， 井喷失控诱发爆炸冲击波伤害的概率</w:t>
      </w:r>
      <w:r>
        <w:rPr>
          <w:rFonts w:ascii="宋体" w:hAnsi="宋体" w:eastAsia="宋体" w:cs="宋体"/>
          <w:sz w:val="24"/>
          <w:szCs w:val="24"/>
        </w:rPr>
        <w:t xml:space="preserve"> </w:t>
      </w:r>
      <w:r>
        <w:rPr>
          <w:rFonts w:ascii="宋体" w:hAnsi="宋体" w:eastAsia="宋体" w:cs="宋体"/>
          <w:spacing w:val="-2"/>
          <w:sz w:val="24"/>
          <w:szCs w:val="24"/>
        </w:rPr>
        <w:t xml:space="preserve">按 </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34"/>
          <w:w w:val="101"/>
          <w:sz w:val="24"/>
          <w:szCs w:val="24"/>
        </w:rPr>
        <w:t xml:space="preserve"> </w:t>
      </w:r>
      <w:r>
        <w:rPr>
          <w:rFonts w:ascii="宋体" w:hAnsi="宋体" w:eastAsia="宋体" w:cs="宋体"/>
          <w:spacing w:val="-2"/>
          <w:sz w:val="24"/>
          <w:szCs w:val="24"/>
        </w:rPr>
        <w:t>计算，本项目最大可信事故的概率为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0.94</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9"/>
          <w:sz w:val="16"/>
          <w:szCs w:val="16"/>
        </w:rPr>
        <w:t>-4</w:t>
      </w:r>
      <w:r>
        <w:rPr>
          <w:rFonts w:ascii="Times New Roman" w:hAnsi="Times New Roman" w:eastAsia="Times New Roman" w:cs="Times New Roman"/>
          <w:spacing w:val="-10"/>
          <w:position w:val="9"/>
          <w:sz w:val="16"/>
          <w:szCs w:val="16"/>
        </w:rPr>
        <w:t xml:space="preserve"> </w:t>
      </w:r>
      <w:r>
        <w:rPr>
          <w:rFonts w:ascii="宋体" w:hAnsi="宋体" w:eastAsia="宋体" w:cs="宋体"/>
          <w:spacing w:val="-3"/>
          <w:sz w:val="24"/>
          <w:szCs w:val="24"/>
        </w:rPr>
        <w:t>，处于“极少发生”的发</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生频率范畴，需采取“重视和防范”双重的应对措施。</w:t>
      </w:r>
    </w:p>
    <w:p>
      <w:pPr>
        <w:spacing w:before="195" w:line="220" w:lineRule="auto"/>
        <w:ind w:left="36"/>
        <w:rPr>
          <w:rFonts w:ascii="宋体" w:hAnsi="宋体" w:eastAsia="宋体" w:cs="宋体"/>
          <w:sz w:val="24"/>
          <w:szCs w:val="24"/>
        </w:rPr>
      </w:pPr>
      <w:bookmarkStart w:id="58" w:name="bookmark59"/>
      <w:bookmarkEnd w:id="58"/>
      <w:r>
        <w:rPr>
          <w:rFonts w:ascii="Times New Roman" w:hAnsi="Times New Roman" w:eastAsia="Times New Roman" w:cs="Times New Roman"/>
          <w:b/>
          <w:bCs/>
          <w:spacing w:val="-1"/>
          <w:sz w:val="24"/>
          <w:szCs w:val="24"/>
        </w:rPr>
        <w:t xml:space="preserve">5.2 </w:t>
      </w:r>
      <w:r>
        <w:rPr>
          <w:rFonts w:ascii="宋体" w:hAnsi="宋体" w:eastAsia="宋体" w:cs="宋体"/>
          <w:spacing w:val="-1"/>
          <w:sz w:val="24"/>
          <w:szCs w:val="24"/>
          <w14:textOutline w14:w="4354" w14:cap="flat" w14:cmpd="sng">
            <w14:solidFill>
              <w14:srgbClr w14:val="000000"/>
            </w14:solidFill>
            <w14:prstDash w14:val="solid"/>
            <w14:miter w14:val="10"/>
          </w14:textOutline>
        </w:rPr>
        <w:t>源项分析</w:t>
      </w:r>
    </w:p>
    <w:p>
      <w:pPr>
        <w:spacing w:before="194"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rFonts w:ascii="宋体" w:hAnsi="宋体" w:eastAsia="宋体" w:cs="宋体"/>
          <w:spacing w:val="-2"/>
          <w:sz w:val="24"/>
          <w:szCs w:val="24"/>
          <w14:textOutline w14:w="4354" w14:cap="flat" w14:cmpd="sng">
            <w14:solidFill>
              <w14:srgbClr w14:val="000000"/>
            </w14:solidFill>
            <w14:prstDash w14:val="solid"/>
            <w14:miter w14:val="10"/>
          </w14:textOutline>
        </w:rPr>
        <w:t>）井喷失控环境风险</w:t>
      </w:r>
    </w:p>
    <w:p>
      <w:pPr>
        <w:spacing w:before="196" w:line="369" w:lineRule="auto"/>
        <w:ind w:left="37" w:right="63" w:firstLine="480"/>
        <w:rPr>
          <w:rFonts w:ascii="Times New Roman" w:hAnsi="Times New Roman" w:eastAsia="Times New Roman" w:cs="Times New Roman"/>
          <w:sz w:val="24"/>
          <w:szCs w:val="24"/>
        </w:rPr>
      </w:pPr>
      <w:r>
        <w:rPr>
          <w:rFonts w:ascii="宋体" w:hAnsi="宋体" w:eastAsia="宋体" w:cs="宋体"/>
          <w:spacing w:val="-12"/>
          <w:sz w:val="24"/>
          <w:szCs w:val="24"/>
        </w:rPr>
        <w:t>钻井过程中遇到地下气、水层时，</w:t>
      </w:r>
      <w:r>
        <w:rPr>
          <w:rFonts w:ascii="宋体" w:hAnsi="宋体" w:eastAsia="宋体" w:cs="宋体"/>
          <w:spacing w:val="35"/>
          <w:sz w:val="24"/>
          <w:szCs w:val="24"/>
        </w:rPr>
        <w:t xml:space="preserve"> </w:t>
      </w:r>
      <w:r>
        <w:rPr>
          <w:rFonts w:ascii="宋体" w:hAnsi="宋体" w:eastAsia="宋体" w:cs="宋体"/>
          <w:spacing w:val="-12"/>
          <w:sz w:val="24"/>
          <w:szCs w:val="24"/>
        </w:rPr>
        <w:t>气或水窜进井内的</w:t>
      </w:r>
      <w:r>
        <w:rPr>
          <w:rFonts w:ascii="宋体" w:hAnsi="宋体" w:eastAsia="宋体" w:cs="宋体"/>
          <w:spacing w:val="-13"/>
          <w:sz w:val="24"/>
          <w:szCs w:val="24"/>
        </w:rPr>
        <w:t>泥浆里，</w:t>
      </w:r>
      <w:r>
        <w:rPr>
          <w:rFonts w:ascii="宋体" w:hAnsi="宋体" w:eastAsia="宋体" w:cs="宋体"/>
          <w:spacing w:val="34"/>
          <w:sz w:val="24"/>
          <w:szCs w:val="24"/>
        </w:rPr>
        <w:t xml:space="preserve"> </w:t>
      </w:r>
      <w:r>
        <w:rPr>
          <w:rFonts w:ascii="宋体" w:hAnsi="宋体" w:eastAsia="宋体" w:cs="宋体"/>
          <w:spacing w:val="-13"/>
          <w:sz w:val="24"/>
          <w:szCs w:val="24"/>
        </w:rPr>
        <w:t>加快了泥浆流</w:t>
      </w:r>
      <w:r>
        <w:rPr>
          <w:rFonts w:ascii="宋体" w:hAnsi="宋体" w:eastAsia="宋体" w:cs="宋体"/>
          <w:sz w:val="24"/>
          <w:szCs w:val="24"/>
        </w:rPr>
        <w:t xml:space="preserve"> </w:t>
      </w:r>
      <w:r>
        <w:rPr>
          <w:rFonts w:ascii="宋体" w:hAnsi="宋体" w:eastAsia="宋体" w:cs="宋体"/>
          <w:spacing w:val="-9"/>
          <w:sz w:val="24"/>
          <w:szCs w:val="24"/>
        </w:rPr>
        <w:t>动和循环的速度， 如果井底压力小于地层压力， 地层流体将进入井筒并推</w:t>
      </w:r>
      <w:r>
        <w:rPr>
          <w:rFonts w:ascii="宋体" w:hAnsi="宋体" w:eastAsia="宋体" w:cs="宋体"/>
          <w:spacing w:val="-10"/>
          <w:sz w:val="24"/>
          <w:szCs w:val="24"/>
        </w:rPr>
        <w:t>动泥浆</w:t>
      </w:r>
      <w:r>
        <w:rPr>
          <w:rFonts w:ascii="宋体" w:hAnsi="宋体" w:eastAsia="宋体" w:cs="宋体"/>
          <w:sz w:val="24"/>
          <w:szCs w:val="24"/>
        </w:rPr>
        <w:t xml:space="preserve"> </w:t>
      </w:r>
      <w:r>
        <w:rPr>
          <w:rFonts w:ascii="宋体" w:hAnsi="宋体" w:eastAsia="宋体" w:cs="宋体"/>
          <w:spacing w:val="-15"/>
          <w:sz w:val="24"/>
          <w:szCs w:val="24"/>
        </w:rPr>
        <w:t>外溢， 即发生溢流。此时如果对地下气压平衡控制不当，</w:t>
      </w:r>
      <w:r>
        <w:rPr>
          <w:rFonts w:ascii="宋体" w:hAnsi="宋体" w:eastAsia="宋体" w:cs="宋体"/>
          <w:spacing w:val="45"/>
          <w:sz w:val="24"/>
          <w:szCs w:val="24"/>
        </w:rPr>
        <w:t xml:space="preserve"> </w:t>
      </w:r>
      <w:r>
        <w:rPr>
          <w:rFonts w:ascii="宋体" w:hAnsi="宋体" w:eastAsia="宋体" w:cs="宋体"/>
          <w:spacing w:val="-15"/>
          <w:sz w:val="24"/>
          <w:szCs w:val="24"/>
        </w:rPr>
        <w:t>不能及时控制溢流</w:t>
      </w:r>
      <w:r>
        <w:rPr>
          <w:rFonts w:ascii="宋体" w:hAnsi="宋体" w:eastAsia="宋体" w:cs="宋体"/>
          <w:spacing w:val="-16"/>
          <w:sz w:val="24"/>
          <w:szCs w:val="24"/>
        </w:rPr>
        <w:t>，</w:t>
      </w:r>
      <w:r>
        <w:rPr>
          <w:rFonts w:ascii="宋体" w:hAnsi="宋体" w:eastAsia="宋体" w:cs="宋体"/>
          <w:spacing w:val="41"/>
          <w:sz w:val="24"/>
          <w:szCs w:val="24"/>
        </w:rPr>
        <w:t xml:space="preserve"> </w:t>
      </w:r>
      <w:r>
        <w:rPr>
          <w:rFonts w:ascii="宋体" w:hAnsi="宋体" w:eastAsia="宋体" w:cs="宋体"/>
          <w:spacing w:val="-16"/>
          <w:sz w:val="24"/>
          <w:szCs w:val="24"/>
        </w:rPr>
        <w:t>会</w:t>
      </w:r>
      <w:r>
        <w:rPr>
          <w:rFonts w:ascii="宋体" w:hAnsi="宋体" w:eastAsia="宋体" w:cs="宋体"/>
          <w:sz w:val="24"/>
          <w:szCs w:val="24"/>
        </w:rPr>
        <w:t xml:space="preserve"> </w:t>
      </w:r>
      <w:r>
        <w:rPr>
          <w:rFonts w:ascii="宋体" w:hAnsi="宋体" w:eastAsia="宋体" w:cs="宋体"/>
          <w:spacing w:val="-8"/>
          <w:sz w:val="24"/>
          <w:szCs w:val="24"/>
        </w:rPr>
        <w:t>造成气、水或其混合物沿着环形空间迅速喷到地面，</w:t>
      </w:r>
      <w:r>
        <w:rPr>
          <w:rFonts w:ascii="宋体" w:hAnsi="宋体" w:eastAsia="宋体" w:cs="宋体"/>
          <w:spacing w:val="64"/>
          <w:sz w:val="24"/>
          <w:szCs w:val="24"/>
        </w:rPr>
        <w:t xml:space="preserve"> </w:t>
      </w:r>
      <w:r>
        <w:rPr>
          <w:rFonts w:ascii="宋体" w:hAnsi="宋体" w:eastAsia="宋体" w:cs="宋体"/>
          <w:spacing w:val="-8"/>
          <w:sz w:val="24"/>
          <w:szCs w:val="24"/>
        </w:rPr>
        <w:t>即发生井喷。井喷后会有大</w:t>
      </w:r>
      <w:r>
        <w:rPr>
          <w:rFonts w:ascii="宋体" w:hAnsi="宋体" w:eastAsia="宋体" w:cs="宋体"/>
          <w:sz w:val="24"/>
          <w:szCs w:val="24"/>
        </w:rPr>
        <w:t xml:space="preserve"> </w:t>
      </w:r>
      <w:r>
        <w:rPr>
          <w:rFonts w:ascii="宋体" w:hAnsi="宋体" w:eastAsia="宋体" w:cs="宋体"/>
          <w:spacing w:val="-6"/>
          <w:sz w:val="24"/>
          <w:szCs w:val="24"/>
        </w:rPr>
        <w:t>量的天然气逸散到空气中， 对周围的环境空气造成一定的影响。项目地层类比同</w:t>
      </w:r>
      <w:r>
        <w:rPr>
          <w:rFonts w:ascii="宋体" w:hAnsi="宋体" w:eastAsia="宋体" w:cs="宋体"/>
          <w:sz w:val="24"/>
          <w:szCs w:val="24"/>
        </w:rPr>
        <w:t xml:space="preserve"> </w:t>
      </w:r>
      <w:r>
        <w:rPr>
          <w:rFonts w:ascii="宋体" w:hAnsi="宋体" w:eastAsia="宋体" w:cs="宋体"/>
          <w:spacing w:val="-1"/>
          <w:sz w:val="24"/>
          <w:szCs w:val="24"/>
        </w:rPr>
        <w:t xml:space="preserve">层位邻井，可能为含硫气井。井喷将产生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2"/>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2"/>
          <w:sz w:val="24"/>
          <w:szCs w:val="24"/>
        </w:rPr>
        <w:t xml:space="preserve">S  </w:t>
      </w:r>
      <w:r>
        <w:rPr>
          <w:rFonts w:ascii="宋体" w:hAnsi="宋体" w:eastAsia="宋体" w:cs="宋体"/>
          <w:spacing w:val="-2"/>
          <w:sz w:val="24"/>
          <w:szCs w:val="24"/>
        </w:rPr>
        <w:t xml:space="preserve">气体泄漏，通过点燃装置将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6"/>
          <w:szCs w:val="16"/>
        </w:rPr>
        <w:t>2</w:t>
      </w:r>
      <w:r>
        <w:rPr>
          <w:rFonts w:ascii="Times New Roman" w:hAnsi="Times New Roman" w:eastAsia="Times New Roman" w:cs="Times New Roman"/>
          <w:spacing w:val="-24"/>
          <w:position w:val="-1"/>
          <w:sz w:val="16"/>
          <w:szCs w:val="16"/>
        </w:rPr>
        <w:t xml:space="preserve"> </w:t>
      </w:r>
      <w:r>
        <w:rPr>
          <w:rFonts w:ascii="Times New Roman" w:hAnsi="Times New Roman" w:eastAsia="Times New Roman" w:cs="Times New Roman"/>
          <w:spacing w:val="-2"/>
          <w:sz w:val="24"/>
          <w:szCs w:val="24"/>
        </w:rPr>
        <w:t>S</w:t>
      </w:r>
    </w:p>
    <w:p>
      <w:pPr>
        <w:spacing w:line="219" w:lineRule="auto"/>
        <w:ind w:left="50"/>
        <w:rPr>
          <w:rFonts w:ascii="宋体" w:hAnsi="宋体" w:eastAsia="宋体" w:cs="宋体"/>
          <w:sz w:val="24"/>
          <w:szCs w:val="24"/>
        </w:rPr>
      </w:pPr>
      <w:r>
        <w:rPr>
          <w:rFonts w:ascii="宋体" w:hAnsi="宋体" w:eastAsia="宋体" w:cs="宋体"/>
          <w:spacing w:val="-5"/>
          <w:sz w:val="24"/>
          <w:szCs w:val="24"/>
        </w:rPr>
        <w:t>点燃生产危害性较小的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1"/>
          <w:sz w:val="16"/>
          <w:szCs w:val="16"/>
        </w:rPr>
        <w:t>2</w:t>
      </w:r>
      <w:r>
        <w:rPr>
          <w:rFonts w:ascii="Times New Roman" w:hAnsi="Times New Roman" w:eastAsia="Times New Roman" w:cs="Times New Roman"/>
          <w:spacing w:val="12"/>
          <w:w w:val="102"/>
          <w:position w:val="-1"/>
          <w:sz w:val="16"/>
          <w:szCs w:val="16"/>
        </w:rPr>
        <w:t xml:space="preserve"> </w:t>
      </w:r>
      <w:r>
        <w:rPr>
          <w:rFonts w:ascii="宋体" w:hAnsi="宋体" w:eastAsia="宋体" w:cs="宋体"/>
          <w:spacing w:val="-5"/>
          <w:sz w:val="24"/>
          <w:szCs w:val="24"/>
        </w:rPr>
        <w:t>气体。</w:t>
      </w:r>
    </w:p>
    <w:p>
      <w:pPr>
        <w:spacing w:before="195" w:line="219" w:lineRule="auto"/>
        <w:ind w:left="524"/>
        <w:rPr>
          <w:rFonts w:ascii="宋体" w:hAnsi="宋体" w:eastAsia="宋体" w:cs="宋体"/>
          <w:sz w:val="24"/>
          <w:szCs w:val="24"/>
        </w:rPr>
      </w:pPr>
      <w:r>
        <w:rPr>
          <w:rFonts w:ascii="宋体" w:hAnsi="宋体" w:eastAsia="宋体" w:cs="宋体"/>
          <w:spacing w:val="-4"/>
          <w:sz w:val="24"/>
          <w:szCs w:val="24"/>
        </w:rPr>
        <w:t>导致井喷失控的主要因素涉及以下几个方面：</w:t>
      </w:r>
    </w:p>
    <w:p>
      <w:pPr>
        <w:spacing w:before="196" w:line="369" w:lineRule="auto"/>
        <w:ind w:left="41" w:right="66" w:firstLine="469"/>
        <w:rPr>
          <w:rFonts w:ascii="宋体" w:hAnsi="宋体" w:eastAsia="宋体" w:cs="宋体"/>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地层压力：当钻井钻至高压气层期间，由于对地层压力预测不准，出现</w:t>
      </w:r>
      <w:r>
        <w:rPr>
          <w:rFonts w:ascii="宋体" w:hAnsi="宋体" w:eastAsia="宋体" w:cs="宋体"/>
          <w:sz w:val="24"/>
          <w:szCs w:val="24"/>
        </w:rPr>
        <w:t xml:space="preserve"> </w:t>
      </w:r>
      <w:r>
        <w:rPr>
          <w:rFonts w:ascii="宋体" w:hAnsi="宋体" w:eastAsia="宋体" w:cs="宋体"/>
          <w:spacing w:val="-9"/>
          <w:sz w:val="24"/>
          <w:szCs w:val="24"/>
        </w:rPr>
        <w:t>异常超压情况， 如果操作处置失当， 将导致井口装置和井控汇管</w:t>
      </w:r>
      <w:r>
        <w:rPr>
          <w:rFonts w:ascii="宋体" w:hAnsi="宋体" w:eastAsia="宋体" w:cs="宋体"/>
          <w:spacing w:val="-10"/>
          <w:sz w:val="24"/>
          <w:szCs w:val="24"/>
        </w:rPr>
        <w:t>失控发生井喷失</w:t>
      </w:r>
    </w:p>
    <w:p>
      <w:pPr>
        <w:spacing w:line="220" w:lineRule="auto"/>
        <w:ind w:left="37"/>
        <w:rPr>
          <w:rFonts w:ascii="宋体" w:hAnsi="宋体" w:eastAsia="宋体" w:cs="宋体"/>
          <w:sz w:val="24"/>
          <w:szCs w:val="24"/>
        </w:rPr>
      </w:pPr>
      <w:r>
        <w:rPr>
          <w:rFonts w:ascii="宋体" w:hAnsi="宋体" w:eastAsia="宋体" w:cs="宋体"/>
          <w:spacing w:val="-9"/>
          <w:sz w:val="24"/>
          <w:szCs w:val="24"/>
        </w:rPr>
        <w:t>控事故。</w:t>
      </w:r>
    </w:p>
    <w:p>
      <w:pPr>
        <w:spacing w:before="194" w:line="480" w:lineRule="exact"/>
        <w:ind w:left="512"/>
        <w:rPr>
          <w:rFonts w:ascii="宋体" w:hAnsi="宋体" w:eastAsia="宋体" w:cs="宋体"/>
          <w:sz w:val="24"/>
          <w:szCs w:val="24"/>
        </w:rPr>
      </w:pPr>
      <w:r>
        <w:rPr>
          <w:rFonts w:ascii="Times New Roman" w:hAnsi="Times New Roman" w:eastAsia="Times New Roman" w:cs="Times New Roman"/>
          <w:spacing w:val="3"/>
          <w:position w:val="18"/>
          <w:sz w:val="24"/>
          <w:szCs w:val="24"/>
        </w:rPr>
        <w:t xml:space="preserve">B. </w:t>
      </w:r>
      <w:r>
        <w:rPr>
          <w:rFonts w:ascii="宋体" w:hAnsi="宋体" w:eastAsia="宋体" w:cs="宋体"/>
          <w:spacing w:val="3"/>
          <w:position w:val="18"/>
          <w:sz w:val="24"/>
          <w:szCs w:val="24"/>
        </w:rPr>
        <w:t>遇山洪、地震、滑坡等自然灾害，导致井口所在地地层位移甚至塌陷损</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坏井控装置，导致井喷失控事故。这类事故目前还未见报道。</w:t>
      </w:r>
    </w:p>
    <w:p>
      <w:pPr>
        <w:spacing w:before="194" w:line="220" w:lineRule="auto"/>
        <w:ind w:left="517"/>
        <w:rPr>
          <w:rFonts w:ascii="宋体" w:hAnsi="宋体" w:eastAsia="宋体" w:cs="宋体"/>
          <w:sz w:val="24"/>
          <w:szCs w:val="24"/>
        </w:rPr>
      </w:pP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井泥浆密度偏低，不能满足压井要求。</w:t>
      </w:r>
    </w:p>
    <w:p>
      <w:pPr>
        <w:spacing w:before="194" w:line="480" w:lineRule="exact"/>
        <w:ind w:left="512"/>
        <w:rPr>
          <w:rFonts w:ascii="宋体" w:hAnsi="宋体" w:eastAsia="宋体" w:cs="宋体"/>
          <w:sz w:val="24"/>
          <w:szCs w:val="24"/>
        </w:rPr>
      </w:pPr>
      <w:r>
        <w:rPr>
          <w:rFonts w:ascii="Times New Roman" w:hAnsi="Times New Roman" w:eastAsia="Times New Roman" w:cs="Times New Roman"/>
          <w:spacing w:val="3"/>
          <w:position w:val="18"/>
          <w:sz w:val="24"/>
          <w:szCs w:val="24"/>
        </w:rPr>
        <w:t xml:space="preserve">D. </w:t>
      </w:r>
      <w:r>
        <w:rPr>
          <w:rFonts w:ascii="宋体" w:hAnsi="宋体" w:eastAsia="宋体" w:cs="宋体"/>
          <w:spacing w:val="3"/>
          <w:position w:val="18"/>
          <w:sz w:val="24"/>
          <w:szCs w:val="24"/>
        </w:rPr>
        <w:t>操作因素：当出现井喷前兆，如泥浆</w:t>
      </w:r>
      <w:r>
        <w:rPr>
          <w:rFonts w:ascii="宋体" w:hAnsi="宋体" w:eastAsia="宋体" w:cs="宋体"/>
          <w:spacing w:val="2"/>
          <w:position w:val="18"/>
          <w:sz w:val="24"/>
          <w:szCs w:val="24"/>
        </w:rPr>
        <w:t>溢流、泥浆井涌等现象，作业人员</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未及时发现或采取有效的控制措施，从而可能导致井喷。</w:t>
      </w:r>
    </w:p>
    <w:p>
      <w:pPr>
        <w:spacing w:before="197"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rFonts w:ascii="宋体" w:hAnsi="宋体" w:eastAsia="宋体" w:cs="宋体"/>
          <w:spacing w:val="-2"/>
          <w:sz w:val="24"/>
          <w:szCs w:val="24"/>
          <w14:textOutline w14:w="4354" w14:cap="flat" w14:cmpd="sng">
            <w14:solidFill>
              <w14:srgbClr w14:val="000000"/>
            </w14:solidFill>
            <w14:prstDash w14:val="solid"/>
            <w14:miter w14:val="10"/>
          </w14:textOutline>
        </w:rPr>
        <w:t>）井漏环境风险</w:t>
      </w:r>
    </w:p>
    <w:p>
      <w:pPr>
        <w:spacing w:before="194" w:line="369" w:lineRule="auto"/>
        <w:ind w:left="38" w:firstLine="479"/>
        <w:jc w:val="both"/>
        <w:rPr>
          <w:rFonts w:ascii="宋体" w:hAnsi="宋体" w:eastAsia="宋体" w:cs="宋体"/>
          <w:sz w:val="24"/>
          <w:szCs w:val="24"/>
        </w:rPr>
      </w:pPr>
      <w:r>
        <w:rPr>
          <w:rFonts w:ascii="宋体" w:hAnsi="宋体" w:eastAsia="宋体" w:cs="宋体"/>
          <w:spacing w:val="-11"/>
          <w:sz w:val="24"/>
          <w:szCs w:val="24"/>
        </w:rPr>
        <w:t>井漏是钻井过程中遇到复杂地层，</w:t>
      </w:r>
      <w:r>
        <w:rPr>
          <w:rFonts w:ascii="宋体" w:hAnsi="宋体" w:eastAsia="宋体" w:cs="宋体"/>
          <w:spacing w:val="37"/>
          <w:sz w:val="24"/>
          <w:szCs w:val="24"/>
        </w:rPr>
        <w:t xml:space="preserve"> </w:t>
      </w:r>
      <w:r>
        <w:rPr>
          <w:rFonts w:ascii="宋体" w:hAnsi="宋体" w:eastAsia="宋体" w:cs="宋体"/>
          <w:spacing w:val="-11"/>
          <w:sz w:val="24"/>
          <w:szCs w:val="24"/>
        </w:rPr>
        <w:t>钻井液或其他介质（固井水泥浆等） 漏入</w:t>
      </w:r>
      <w:r>
        <w:rPr>
          <w:rFonts w:ascii="宋体" w:hAnsi="宋体" w:eastAsia="宋体" w:cs="宋体"/>
          <w:sz w:val="24"/>
          <w:szCs w:val="24"/>
        </w:rPr>
        <w:t xml:space="preserve"> </w:t>
      </w:r>
      <w:r>
        <w:rPr>
          <w:rFonts w:ascii="宋体" w:hAnsi="宋体" w:eastAsia="宋体" w:cs="宋体"/>
          <w:spacing w:val="-8"/>
          <w:sz w:val="24"/>
          <w:szCs w:val="24"/>
        </w:rPr>
        <w:t>地层孔隙、裂缝等空间的现象。若漏失地层与含水层之间存在较多的断裂或裂隙，</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漏失的钻井液就有可能顺着岩层断裂、裂隙进入地</w:t>
      </w:r>
      <w:r>
        <w:rPr>
          <w:rFonts w:ascii="宋体" w:hAnsi="宋体" w:eastAsia="宋体" w:cs="宋体"/>
          <w:spacing w:val="-2"/>
          <w:sz w:val="24"/>
          <w:szCs w:val="24"/>
        </w:rPr>
        <w:t>下水，造成地下水污染。</w:t>
      </w:r>
    </w:p>
    <w:p>
      <w:pPr>
        <w:spacing w:before="194" w:line="220" w:lineRule="auto"/>
        <w:ind w:left="523"/>
        <w:rPr>
          <w:rFonts w:ascii="宋体" w:hAnsi="宋体" w:eastAsia="宋体" w:cs="宋体"/>
          <w:sz w:val="24"/>
          <w:szCs w:val="24"/>
        </w:rPr>
      </w:pPr>
      <w:r>
        <w:rPr>
          <w:rFonts w:ascii="宋体" w:hAnsi="宋体" w:eastAsia="宋体" w:cs="宋体"/>
          <w:spacing w:val="-15"/>
          <w:sz w:val="24"/>
          <w:szCs w:val="24"/>
        </w:rPr>
        <w:t>另外，</w:t>
      </w:r>
      <w:r>
        <w:rPr>
          <w:rFonts w:ascii="宋体" w:hAnsi="宋体" w:eastAsia="宋体" w:cs="宋体"/>
          <w:spacing w:val="-29"/>
          <w:sz w:val="24"/>
          <w:szCs w:val="24"/>
        </w:rPr>
        <w:t xml:space="preserve"> </w:t>
      </w:r>
      <w:r>
        <w:rPr>
          <w:rFonts w:ascii="宋体" w:hAnsi="宋体" w:eastAsia="宋体" w:cs="宋体"/>
          <w:spacing w:val="-15"/>
          <w:sz w:val="24"/>
          <w:szCs w:val="24"/>
        </w:rPr>
        <w:t>钻井过程可能破坏含水层结构，</w:t>
      </w:r>
      <w:r>
        <w:rPr>
          <w:rFonts w:ascii="宋体" w:hAnsi="宋体" w:eastAsia="宋体" w:cs="宋体"/>
          <w:spacing w:val="34"/>
          <w:sz w:val="24"/>
          <w:szCs w:val="24"/>
        </w:rPr>
        <w:t xml:space="preserve"> </w:t>
      </w:r>
      <w:r>
        <w:rPr>
          <w:rFonts w:ascii="宋体" w:hAnsi="宋体" w:eastAsia="宋体" w:cs="宋体"/>
          <w:spacing w:val="-15"/>
          <w:sz w:val="24"/>
          <w:szCs w:val="24"/>
        </w:rPr>
        <w:t>影响地下水流场，</w:t>
      </w:r>
      <w:r>
        <w:rPr>
          <w:rFonts w:ascii="宋体" w:hAnsi="宋体" w:eastAsia="宋体" w:cs="宋体"/>
          <w:spacing w:val="33"/>
          <w:sz w:val="24"/>
          <w:szCs w:val="24"/>
        </w:rPr>
        <w:t xml:space="preserve"> </w:t>
      </w:r>
      <w:r>
        <w:rPr>
          <w:rFonts w:ascii="宋体" w:hAnsi="宋体" w:eastAsia="宋体" w:cs="宋体"/>
          <w:spacing w:val="-15"/>
          <w:sz w:val="24"/>
          <w:szCs w:val="24"/>
        </w:rPr>
        <w:t>造成井</w:t>
      </w:r>
      <w:r>
        <w:rPr>
          <w:rFonts w:ascii="宋体" w:hAnsi="宋体" w:eastAsia="宋体" w:cs="宋体"/>
          <w:spacing w:val="-16"/>
          <w:sz w:val="24"/>
          <w:szCs w:val="24"/>
        </w:rPr>
        <w:t>场周边的水</w:t>
      </w:r>
    </w:p>
    <w:p>
      <w:pPr>
        <w:spacing w:line="220" w:lineRule="auto"/>
        <w:rPr>
          <w:rFonts w:ascii="宋体" w:hAnsi="宋体" w:eastAsia="宋体" w:cs="宋体"/>
          <w:sz w:val="24"/>
          <w:szCs w:val="24"/>
        </w:rPr>
        <w:sectPr>
          <w:headerReference r:id="rId251" w:type="default"/>
          <w:footerReference r:id="rId252" w:type="default"/>
          <w:pgSz w:w="11907" w:h="16839"/>
          <w:pgMar w:top="1123" w:right="1728" w:bottom="1149" w:left="1769" w:header="1108" w:footer="988" w:gutter="0"/>
          <w:cols w:space="720" w:num="1"/>
        </w:sectPr>
      </w:pPr>
    </w:p>
    <w:p>
      <w:pPr>
        <w:pStyle w:val="2"/>
        <w:spacing w:line="413" w:lineRule="auto"/>
        <w:rPr>
          <w:sz w:val="21"/>
        </w:rPr>
      </w:pPr>
    </w:p>
    <w:p>
      <w:pPr>
        <w:spacing w:before="78" w:line="219" w:lineRule="auto"/>
        <w:ind w:left="38"/>
        <w:rPr>
          <w:rFonts w:ascii="宋体" w:hAnsi="宋体" w:eastAsia="宋体" w:cs="宋体"/>
          <w:sz w:val="24"/>
          <w:szCs w:val="24"/>
        </w:rPr>
      </w:pPr>
      <w:r>
        <w:rPr>
          <w:rFonts w:ascii="宋体" w:hAnsi="宋体" w:eastAsia="宋体" w:cs="宋体"/>
          <w:spacing w:val="-2"/>
          <w:sz w:val="24"/>
          <w:szCs w:val="24"/>
        </w:rPr>
        <w:t>井出现水量减少，严重情况下可导致水井干</w:t>
      </w:r>
      <w:r>
        <w:rPr>
          <w:rFonts w:ascii="宋体" w:hAnsi="宋体" w:eastAsia="宋体" w:cs="宋体"/>
          <w:spacing w:val="-3"/>
          <w:sz w:val="24"/>
          <w:szCs w:val="24"/>
        </w:rPr>
        <w:t>涸。</w:t>
      </w:r>
    </w:p>
    <w:p>
      <w:pPr>
        <w:spacing w:before="195"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rFonts w:ascii="宋体" w:hAnsi="宋体" w:eastAsia="宋体" w:cs="宋体"/>
          <w:spacing w:val="-1"/>
          <w:sz w:val="24"/>
          <w:szCs w:val="24"/>
          <w14:textOutline w14:w="4354" w14:cap="flat" w14:cmpd="sng">
            <w14:solidFill>
              <w14:srgbClr w14:val="000000"/>
            </w14:solidFill>
            <w14:prstDash w14:val="solid"/>
            <w14:miter w14:val="10"/>
          </w14:textOutline>
        </w:rPr>
        <w:t>）废水泄漏或外溢</w:t>
      </w:r>
    </w:p>
    <w:p>
      <w:pPr>
        <w:spacing w:before="195" w:line="369" w:lineRule="auto"/>
        <w:ind w:left="37" w:right="27" w:firstLine="479"/>
        <w:jc w:val="both"/>
        <w:rPr>
          <w:rFonts w:ascii="宋体" w:hAnsi="宋体" w:eastAsia="宋体" w:cs="宋体"/>
          <w:sz w:val="24"/>
          <w:szCs w:val="24"/>
        </w:rPr>
      </w:pPr>
      <w:r>
        <w:rPr>
          <w:rFonts w:ascii="宋体" w:hAnsi="宋体" w:eastAsia="宋体" w:cs="宋体"/>
          <w:spacing w:val="-8"/>
          <w:sz w:val="24"/>
          <w:szCs w:val="24"/>
        </w:rPr>
        <w:t>废水罐、应急池、收集罐等泄漏对地表的影响一般有两种途径：</w:t>
      </w:r>
      <w:r>
        <w:rPr>
          <w:rFonts w:ascii="宋体" w:hAnsi="宋体" w:eastAsia="宋体" w:cs="宋体"/>
          <w:spacing w:val="48"/>
          <w:sz w:val="24"/>
          <w:szCs w:val="24"/>
        </w:rPr>
        <w:t xml:space="preserve"> </w:t>
      </w:r>
      <w:r>
        <w:rPr>
          <w:rFonts w:ascii="宋体" w:hAnsi="宋体" w:eastAsia="宋体" w:cs="宋体"/>
          <w:spacing w:val="-8"/>
          <w:sz w:val="24"/>
          <w:szCs w:val="24"/>
        </w:rPr>
        <w:t>一种是泄漏</w:t>
      </w:r>
      <w:r>
        <w:rPr>
          <w:rFonts w:ascii="宋体" w:hAnsi="宋体" w:eastAsia="宋体" w:cs="宋体"/>
          <w:sz w:val="24"/>
          <w:szCs w:val="24"/>
        </w:rPr>
        <w:t xml:space="preserve"> </w:t>
      </w:r>
      <w:r>
        <w:rPr>
          <w:rFonts w:ascii="宋体" w:hAnsi="宋体" w:eastAsia="宋体" w:cs="宋体"/>
          <w:spacing w:val="-12"/>
          <w:sz w:val="24"/>
          <w:szCs w:val="24"/>
        </w:rPr>
        <w:t>后废水直接进入地表；</w:t>
      </w:r>
      <w:r>
        <w:rPr>
          <w:rFonts w:ascii="宋体" w:hAnsi="宋体" w:eastAsia="宋体" w:cs="宋体"/>
          <w:spacing w:val="35"/>
          <w:sz w:val="24"/>
          <w:szCs w:val="24"/>
        </w:rPr>
        <w:t xml:space="preserve"> </w:t>
      </w:r>
      <w:r>
        <w:rPr>
          <w:rFonts w:ascii="宋体" w:hAnsi="宋体" w:eastAsia="宋体" w:cs="宋体"/>
          <w:spacing w:val="-12"/>
          <w:sz w:val="24"/>
          <w:szCs w:val="24"/>
        </w:rPr>
        <w:t>另一种是废水泄漏于地表，</w:t>
      </w:r>
      <w:r>
        <w:rPr>
          <w:rFonts w:ascii="宋体" w:hAnsi="宋体" w:eastAsia="宋体" w:cs="宋体"/>
          <w:spacing w:val="49"/>
          <w:sz w:val="24"/>
          <w:szCs w:val="24"/>
        </w:rPr>
        <w:t xml:space="preserve"> </w:t>
      </w:r>
      <w:r>
        <w:rPr>
          <w:rFonts w:ascii="宋体" w:hAnsi="宋体" w:eastAsia="宋体" w:cs="宋体"/>
          <w:spacing w:val="-12"/>
          <w:sz w:val="24"/>
          <w:szCs w:val="24"/>
        </w:rPr>
        <w:t>由降雨形成的地表径流污染地</w:t>
      </w:r>
      <w:r>
        <w:rPr>
          <w:rFonts w:ascii="宋体" w:hAnsi="宋体" w:eastAsia="宋体" w:cs="宋体"/>
          <w:sz w:val="24"/>
          <w:szCs w:val="24"/>
        </w:rPr>
        <w:t xml:space="preserve"> </w:t>
      </w:r>
      <w:r>
        <w:rPr>
          <w:rFonts w:ascii="宋体" w:hAnsi="宋体" w:eastAsia="宋体" w:cs="宋体"/>
          <w:spacing w:val="-6"/>
          <w:sz w:val="24"/>
          <w:szCs w:val="24"/>
        </w:rPr>
        <w:t>表水和浅层地下水。各类废水的主要危害表现在：</w:t>
      </w:r>
      <w:r>
        <w:rPr>
          <w:rFonts w:ascii="宋体" w:hAnsi="宋体" w:eastAsia="宋体" w:cs="宋体"/>
          <w:spacing w:val="72"/>
          <w:sz w:val="24"/>
          <w:szCs w:val="24"/>
        </w:rPr>
        <w:t xml:space="preserve"> </w:t>
      </w:r>
      <w:r>
        <w:rPr>
          <w:rFonts w:ascii="Times New Roman" w:hAnsi="Times New Roman" w:eastAsia="Times New Roman" w:cs="Times New Roman"/>
          <w:spacing w:val="-6"/>
          <w:sz w:val="24"/>
          <w:szCs w:val="24"/>
        </w:rPr>
        <w:t>pH</w:t>
      </w:r>
      <w:r>
        <w:rPr>
          <w:rFonts w:ascii="Times New Roman" w:hAnsi="Times New Roman" w:eastAsia="Times New Roman" w:cs="Times New Roman"/>
          <w:spacing w:val="47"/>
          <w:sz w:val="24"/>
          <w:szCs w:val="24"/>
        </w:rPr>
        <w:t xml:space="preserve"> </w:t>
      </w:r>
      <w:r>
        <w:rPr>
          <w:rFonts w:ascii="宋体" w:hAnsi="宋体" w:eastAsia="宋体" w:cs="宋体"/>
          <w:spacing w:val="-6"/>
          <w:sz w:val="24"/>
          <w:szCs w:val="24"/>
        </w:rPr>
        <w:t>值过高或过低、可溶性盐</w:t>
      </w:r>
      <w:r>
        <w:rPr>
          <w:rFonts w:ascii="宋体" w:hAnsi="宋体" w:eastAsia="宋体" w:cs="宋体"/>
          <w:sz w:val="24"/>
          <w:szCs w:val="24"/>
        </w:rPr>
        <w:t xml:space="preserve"> </w:t>
      </w:r>
      <w:r>
        <w:rPr>
          <w:rFonts w:ascii="宋体" w:hAnsi="宋体" w:eastAsia="宋体" w:cs="宋体"/>
          <w:spacing w:val="-15"/>
          <w:sz w:val="24"/>
          <w:szCs w:val="24"/>
        </w:rPr>
        <w:t>含量高， 含石油类的钻井污水影响土壤的结构，</w:t>
      </w:r>
      <w:r>
        <w:rPr>
          <w:rFonts w:ascii="宋体" w:hAnsi="宋体" w:eastAsia="宋体" w:cs="宋体"/>
          <w:spacing w:val="45"/>
          <w:sz w:val="24"/>
          <w:szCs w:val="24"/>
        </w:rPr>
        <w:t xml:space="preserve"> </w:t>
      </w:r>
      <w:r>
        <w:rPr>
          <w:rFonts w:ascii="宋体" w:hAnsi="宋体" w:eastAsia="宋体" w:cs="宋体"/>
          <w:spacing w:val="-15"/>
          <w:sz w:val="24"/>
          <w:szCs w:val="24"/>
        </w:rPr>
        <w:t>危害植物生长；</w:t>
      </w:r>
      <w:r>
        <w:rPr>
          <w:rFonts w:ascii="宋体" w:hAnsi="宋体" w:eastAsia="宋体" w:cs="宋体"/>
          <w:spacing w:val="39"/>
          <w:sz w:val="24"/>
          <w:szCs w:val="24"/>
        </w:rPr>
        <w:t xml:space="preserve"> </w:t>
      </w:r>
      <w:r>
        <w:rPr>
          <w:rFonts w:ascii="宋体" w:hAnsi="宋体" w:eastAsia="宋体" w:cs="宋体"/>
          <w:spacing w:val="-15"/>
          <w:sz w:val="24"/>
          <w:szCs w:val="24"/>
        </w:rPr>
        <w:t>污水所含的其他</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有机处理剂使水体的</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BOD </w:t>
      </w:r>
      <w:r>
        <w:rPr>
          <w:rFonts w:ascii="宋体" w:hAnsi="宋体" w:eastAsia="宋体" w:cs="宋体"/>
          <w:spacing w:val="-3"/>
          <w:sz w:val="24"/>
          <w:szCs w:val="24"/>
        </w:rPr>
        <w:t>增高，影响水生生物的生长。</w:t>
      </w:r>
    </w:p>
    <w:p>
      <w:pPr>
        <w:spacing w:before="197" w:line="369" w:lineRule="auto"/>
        <w:ind w:left="39" w:right="27" w:firstLine="497"/>
        <w:jc w:val="both"/>
        <w:rPr>
          <w:rFonts w:ascii="宋体" w:hAnsi="宋体" w:eastAsia="宋体" w:cs="宋体"/>
          <w:sz w:val="24"/>
          <w:szCs w:val="24"/>
        </w:rPr>
      </w:pPr>
      <w:r>
        <w:rPr>
          <w:rFonts w:ascii="宋体" w:hAnsi="宋体" w:eastAsia="宋体" w:cs="宋体"/>
          <w:spacing w:val="-11"/>
          <w:sz w:val="24"/>
          <w:szCs w:val="24"/>
        </w:rPr>
        <w:t>因此，</w:t>
      </w:r>
      <w:r>
        <w:rPr>
          <w:rFonts w:ascii="宋体" w:hAnsi="宋体" w:eastAsia="宋体" w:cs="宋体"/>
          <w:spacing w:val="-27"/>
          <w:sz w:val="24"/>
          <w:szCs w:val="24"/>
        </w:rPr>
        <w:t xml:space="preserve"> </w:t>
      </w:r>
      <w:r>
        <w:rPr>
          <w:rFonts w:ascii="宋体" w:hAnsi="宋体" w:eastAsia="宋体" w:cs="宋体"/>
          <w:spacing w:val="-11"/>
          <w:sz w:val="24"/>
          <w:szCs w:val="24"/>
        </w:rPr>
        <w:t>对于水罐所处的平台选址、施工质量、承压强度应予</w:t>
      </w:r>
      <w:r>
        <w:rPr>
          <w:rFonts w:ascii="宋体" w:hAnsi="宋体" w:eastAsia="宋体" w:cs="宋体"/>
          <w:spacing w:val="-12"/>
          <w:sz w:val="24"/>
          <w:szCs w:val="24"/>
        </w:rPr>
        <w:t>以重视，</w:t>
      </w:r>
      <w:r>
        <w:rPr>
          <w:rFonts w:ascii="宋体" w:hAnsi="宋体" w:eastAsia="宋体" w:cs="宋体"/>
          <w:spacing w:val="41"/>
          <w:sz w:val="24"/>
          <w:szCs w:val="24"/>
        </w:rPr>
        <w:t xml:space="preserve"> </w:t>
      </w:r>
      <w:r>
        <w:rPr>
          <w:rFonts w:ascii="宋体" w:hAnsi="宋体" w:eastAsia="宋体" w:cs="宋体"/>
          <w:spacing w:val="-12"/>
          <w:sz w:val="24"/>
          <w:szCs w:val="24"/>
        </w:rPr>
        <w:t>应避开</w:t>
      </w:r>
      <w:r>
        <w:rPr>
          <w:rFonts w:ascii="宋体" w:hAnsi="宋体" w:eastAsia="宋体" w:cs="宋体"/>
          <w:sz w:val="24"/>
          <w:szCs w:val="24"/>
        </w:rPr>
        <w:t xml:space="preserve"> </w:t>
      </w:r>
      <w:r>
        <w:rPr>
          <w:rFonts w:ascii="宋体" w:hAnsi="宋体" w:eastAsia="宋体" w:cs="宋体"/>
          <w:spacing w:val="-7"/>
          <w:sz w:val="24"/>
          <w:szCs w:val="24"/>
        </w:rPr>
        <w:t>不良地质或岩土松散的地段以及河谷滩地等，</w:t>
      </w:r>
      <w:r>
        <w:rPr>
          <w:rFonts w:ascii="宋体" w:hAnsi="宋体" w:eastAsia="宋体" w:cs="宋体"/>
          <w:spacing w:val="35"/>
          <w:sz w:val="24"/>
          <w:szCs w:val="24"/>
        </w:rPr>
        <w:t xml:space="preserve"> </w:t>
      </w:r>
      <w:r>
        <w:rPr>
          <w:rFonts w:ascii="宋体" w:hAnsi="宋体" w:eastAsia="宋体" w:cs="宋体"/>
          <w:spacing w:val="-7"/>
          <w:sz w:val="24"/>
          <w:szCs w:val="24"/>
        </w:rPr>
        <w:t>防止施工过程中</w:t>
      </w:r>
      <w:r>
        <w:rPr>
          <w:rFonts w:ascii="宋体" w:hAnsi="宋体" w:eastAsia="宋体" w:cs="宋体"/>
          <w:spacing w:val="-8"/>
          <w:sz w:val="24"/>
          <w:szCs w:val="24"/>
        </w:rPr>
        <w:t>因滑坡、暴雨等自</w:t>
      </w:r>
      <w:r>
        <w:rPr>
          <w:rFonts w:ascii="宋体" w:hAnsi="宋体" w:eastAsia="宋体" w:cs="宋体"/>
          <w:sz w:val="24"/>
          <w:szCs w:val="24"/>
        </w:rPr>
        <w:t xml:space="preserve"> </w:t>
      </w:r>
      <w:r>
        <w:rPr>
          <w:rFonts w:ascii="宋体" w:hAnsi="宋体" w:eastAsia="宋体" w:cs="宋体"/>
          <w:spacing w:val="-3"/>
          <w:sz w:val="24"/>
          <w:szCs w:val="24"/>
        </w:rPr>
        <w:t>然灾害导致钻井废水、返排液渗漏或溢出污染附近农田土壤、作物、地表水以及</w:t>
      </w:r>
    </w:p>
    <w:p>
      <w:pPr>
        <w:spacing w:line="219" w:lineRule="auto"/>
        <w:ind w:left="38"/>
        <w:rPr>
          <w:rFonts w:ascii="宋体" w:hAnsi="宋体" w:eastAsia="宋体" w:cs="宋体"/>
          <w:sz w:val="24"/>
          <w:szCs w:val="24"/>
        </w:rPr>
      </w:pPr>
      <w:r>
        <w:rPr>
          <w:rFonts w:ascii="宋体" w:hAnsi="宋体" w:eastAsia="宋体" w:cs="宋体"/>
          <w:spacing w:val="-8"/>
          <w:sz w:val="24"/>
          <w:szCs w:val="24"/>
        </w:rPr>
        <w:t>地下水等。</w:t>
      </w:r>
    </w:p>
    <w:p>
      <w:pPr>
        <w:spacing w:before="195"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rFonts w:ascii="宋体" w:hAnsi="宋体" w:eastAsia="宋体" w:cs="宋体"/>
          <w:spacing w:val="-1"/>
          <w:sz w:val="24"/>
          <w:szCs w:val="24"/>
          <w14:textOutline w14:w="4354" w14:cap="flat" w14:cmpd="sng">
            <w14:solidFill>
              <w14:srgbClr w14:val="000000"/>
            </w14:solidFill>
            <w14:prstDash w14:val="solid"/>
            <w14:miter w14:val="10"/>
          </w14:textOutline>
        </w:rPr>
        <w:t>）柴油、白油泄漏的环境风险</w:t>
      </w:r>
    </w:p>
    <w:p>
      <w:pPr>
        <w:spacing w:before="194" w:line="369" w:lineRule="auto"/>
        <w:ind w:left="44" w:right="27" w:firstLine="473"/>
        <w:jc w:val="both"/>
        <w:rPr>
          <w:rFonts w:ascii="宋体" w:hAnsi="宋体" w:eastAsia="宋体" w:cs="宋体"/>
          <w:sz w:val="24"/>
          <w:szCs w:val="24"/>
        </w:rPr>
      </w:pPr>
      <w:r>
        <w:rPr>
          <w:rFonts w:ascii="宋体" w:hAnsi="宋体" w:eastAsia="宋体" w:cs="宋体"/>
          <w:spacing w:val="-3"/>
          <w:sz w:val="24"/>
          <w:szCs w:val="24"/>
        </w:rPr>
        <w:t>柴油、白油在使用、储运过程中的环境风险主要来自柴油罐及白油原料桶自</w:t>
      </w:r>
      <w:r>
        <w:rPr>
          <w:rFonts w:ascii="宋体" w:hAnsi="宋体" w:eastAsia="宋体" w:cs="宋体"/>
          <w:sz w:val="24"/>
          <w:szCs w:val="24"/>
        </w:rPr>
        <w:t xml:space="preserve"> </w:t>
      </w:r>
      <w:r>
        <w:rPr>
          <w:rFonts w:ascii="宋体" w:hAnsi="宋体" w:eastAsia="宋体" w:cs="宋体"/>
          <w:spacing w:val="-7"/>
          <w:sz w:val="24"/>
          <w:szCs w:val="24"/>
        </w:rPr>
        <w:t>身缺陷、人员误操作、老化等造成的泄漏以及外部</w:t>
      </w:r>
      <w:r>
        <w:rPr>
          <w:rFonts w:ascii="宋体" w:hAnsi="宋体" w:eastAsia="宋体" w:cs="宋体"/>
          <w:spacing w:val="-8"/>
          <w:sz w:val="24"/>
          <w:szCs w:val="24"/>
        </w:rPr>
        <w:t>破坏产生的事故，</w:t>
      </w:r>
      <w:r>
        <w:rPr>
          <w:rFonts w:ascii="宋体" w:hAnsi="宋体" w:eastAsia="宋体" w:cs="宋体"/>
          <w:spacing w:val="34"/>
          <w:sz w:val="24"/>
          <w:szCs w:val="24"/>
        </w:rPr>
        <w:t xml:space="preserve"> </w:t>
      </w:r>
      <w:r>
        <w:rPr>
          <w:rFonts w:ascii="宋体" w:hAnsi="宋体" w:eastAsia="宋体" w:cs="宋体"/>
          <w:spacing w:val="-8"/>
          <w:sz w:val="24"/>
          <w:szCs w:val="24"/>
        </w:rPr>
        <w:t>包括人为破</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坏及洪水、地震等不可抗拒因素。</w:t>
      </w:r>
    </w:p>
    <w:p>
      <w:pPr>
        <w:spacing w:before="197" w:line="369" w:lineRule="auto"/>
        <w:ind w:left="36" w:right="27" w:firstLine="481"/>
        <w:jc w:val="both"/>
        <w:rPr>
          <w:rFonts w:ascii="宋体" w:hAnsi="宋体" w:eastAsia="宋体" w:cs="宋体"/>
          <w:sz w:val="24"/>
          <w:szCs w:val="24"/>
        </w:rPr>
      </w:pPr>
      <w:r>
        <w:rPr>
          <w:rFonts w:ascii="宋体" w:hAnsi="宋体" w:eastAsia="宋体" w:cs="宋体"/>
          <w:spacing w:val="-12"/>
          <w:sz w:val="24"/>
          <w:szCs w:val="24"/>
        </w:rPr>
        <w:t>柴油罐设置在防渗的水泥基础上，</w:t>
      </w:r>
      <w:r>
        <w:rPr>
          <w:rFonts w:ascii="宋体" w:hAnsi="宋体" w:eastAsia="宋体" w:cs="宋体"/>
          <w:spacing w:val="34"/>
          <w:sz w:val="24"/>
          <w:szCs w:val="24"/>
        </w:rPr>
        <w:t xml:space="preserve"> </w:t>
      </w:r>
      <w:r>
        <w:rPr>
          <w:rFonts w:ascii="宋体" w:hAnsi="宋体" w:eastAsia="宋体" w:cs="宋体"/>
          <w:spacing w:val="-12"/>
          <w:sz w:val="24"/>
          <w:szCs w:val="24"/>
        </w:rPr>
        <w:t>基础周边设</w:t>
      </w:r>
      <w:r>
        <w:rPr>
          <w:rFonts w:ascii="宋体" w:hAnsi="宋体" w:eastAsia="宋体" w:cs="宋体"/>
          <w:spacing w:val="-13"/>
          <w:sz w:val="24"/>
          <w:szCs w:val="24"/>
        </w:rPr>
        <w:t>置收油围堰。油罐密闭，</w:t>
      </w:r>
      <w:r>
        <w:rPr>
          <w:rFonts w:ascii="宋体" w:hAnsi="宋体" w:eastAsia="宋体" w:cs="宋体"/>
          <w:spacing w:val="38"/>
          <w:sz w:val="24"/>
          <w:szCs w:val="24"/>
        </w:rPr>
        <w:t xml:space="preserve"> </w:t>
      </w:r>
      <w:r>
        <w:rPr>
          <w:rFonts w:ascii="宋体" w:hAnsi="宋体" w:eastAsia="宋体" w:cs="宋体"/>
          <w:spacing w:val="-13"/>
          <w:sz w:val="24"/>
          <w:szCs w:val="24"/>
        </w:rPr>
        <w:t>发生</w:t>
      </w:r>
      <w:r>
        <w:rPr>
          <w:rFonts w:ascii="宋体" w:hAnsi="宋体" w:eastAsia="宋体" w:cs="宋体"/>
          <w:sz w:val="24"/>
          <w:szCs w:val="24"/>
        </w:rPr>
        <w:t xml:space="preserve"> </w:t>
      </w:r>
      <w:r>
        <w:rPr>
          <w:rFonts w:ascii="宋体" w:hAnsi="宋体" w:eastAsia="宋体" w:cs="宋体"/>
          <w:spacing w:val="-16"/>
          <w:sz w:val="24"/>
          <w:szCs w:val="24"/>
        </w:rPr>
        <w:t>大量泄漏的概率小，</w:t>
      </w:r>
      <w:r>
        <w:rPr>
          <w:rFonts w:ascii="宋体" w:hAnsi="宋体" w:eastAsia="宋体" w:cs="宋体"/>
          <w:spacing w:val="38"/>
          <w:sz w:val="24"/>
          <w:szCs w:val="24"/>
        </w:rPr>
        <w:t xml:space="preserve"> </w:t>
      </w:r>
      <w:r>
        <w:rPr>
          <w:rFonts w:ascii="宋体" w:hAnsi="宋体" w:eastAsia="宋体" w:cs="宋体"/>
          <w:spacing w:val="-16"/>
          <w:sz w:val="24"/>
          <w:szCs w:val="24"/>
        </w:rPr>
        <w:t>一般情况阀门泄漏，</w:t>
      </w:r>
      <w:r>
        <w:rPr>
          <w:rFonts w:ascii="宋体" w:hAnsi="宋体" w:eastAsia="宋体" w:cs="宋体"/>
          <w:spacing w:val="35"/>
          <w:sz w:val="24"/>
          <w:szCs w:val="24"/>
        </w:rPr>
        <w:t xml:space="preserve"> </w:t>
      </w:r>
      <w:r>
        <w:rPr>
          <w:rFonts w:ascii="宋体" w:hAnsi="宋体" w:eastAsia="宋体" w:cs="宋体"/>
          <w:spacing w:val="-16"/>
          <w:sz w:val="24"/>
          <w:szCs w:val="24"/>
        </w:rPr>
        <w:t>少量跑冒漏滴均收集在收油围</w:t>
      </w:r>
      <w:r>
        <w:rPr>
          <w:rFonts w:ascii="宋体" w:hAnsi="宋体" w:eastAsia="宋体" w:cs="宋体"/>
          <w:spacing w:val="-17"/>
          <w:sz w:val="24"/>
          <w:szCs w:val="24"/>
        </w:rPr>
        <w:t>堰内，</w:t>
      </w:r>
      <w:r>
        <w:rPr>
          <w:rFonts w:ascii="宋体" w:hAnsi="宋体" w:eastAsia="宋体" w:cs="宋体"/>
          <w:spacing w:val="36"/>
          <w:sz w:val="24"/>
          <w:szCs w:val="24"/>
        </w:rPr>
        <w:t xml:space="preserve"> </w:t>
      </w:r>
      <w:r>
        <w:rPr>
          <w:rFonts w:ascii="宋体" w:hAnsi="宋体" w:eastAsia="宋体" w:cs="宋体"/>
          <w:spacing w:val="-17"/>
          <w:sz w:val="24"/>
          <w:szCs w:val="24"/>
        </w:rPr>
        <w:t>可</w:t>
      </w:r>
      <w:r>
        <w:rPr>
          <w:rFonts w:ascii="宋体" w:hAnsi="宋体" w:eastAsia="宋体" w:cs="宋体"/>
          <w:sz w:val="24"/>
          <w:szCs w:val="24"/>
        </w:rPr>
        <w:t xml:space="preserve"> </w:t>
      </w:r>
      <w:r>
        <w:rPr>
          <w:rFonts w:ascii="宋体" w:hAnsi="宋体" w:eastAsia="宋体" w:cs="宋体"/>
          <w:spacing w:val="-12"/>
          <w:sz w:val="24"/>
          <w:szCs w:val="24"/>
        </w:rPr>
        <w:t>有效进行防止污染。白油一般情况不暂存，</w:t>
      </w:r>
      <w:r>
        <w:rPr>
          <w:rFonts w:ascii="宋体" w:hAnsi="宋体" w:eastAsia="宋体" w:cs="宋体"/>
          <w:spacing w:val="48"/>
          <w:sz w:val="24"/>
          <w:szCs w:val="24"/>
        </w:rPr>
        <w:t xml:space="preserve"> </w:t>
      </w:r>
      <w:r>
        <w:rPr>
          <w:rFonts w:ascii="宋体" w:hAnsi="宋体" w:eastAsia="宋体" w:cs="宋体"/>
          <w:spacing w:val="-12"/>
          <w:sz w:val="24"/>
          <w:szCs w:val="24"/>
        </w:rPr>
        <w:t>仅应急状态暂存于材料区；</w:t>
      </w:r>
      <w:r>
        <w:rPr>
          <w:rFonts w:ascii="宋体" w:hAnsi="宋体" w:eastAsia="宋体" w:cs="宋体"/>
          <w:spacing w:val="37"/>
          <w:sz w:val="24"/>
          <w:szCs w:val="24"/>
        </w:rPr>
        <w:t xml:space="preserve"> </w:t>
      </w:r>
      <w:r>
        <w:rPr>
          <w:rFonts w:ascii="宋体" w:hAnsi="宋体" w:eastAsia="宋体" w:cs="宋体"/>
          <w:spacing w:val="-12"/>
          <w:sz w:val="24"/>
          <w:szCs w:val="24"/>
        </w:rPr>
        <w:t>材料区设</w:t>
      </w:r>
      <w:r>
        <w:rPr>
          <w:rFonts w:ascii="宋体" w:hAnsi="宋体" w:eastAsia="宋体" w:cs="宋体"/>
          <w:sz w:val="24"/>
          <w:szCs w:val="24"/>
        </w:rPr>
        <w:t xml:space="preserve"> </w:t>
      </w:r>
      <w:r>
        <w:rPr>
          <w:rFonts w:ascii="宋体" w:hAnsi="宋体" w:eastAsia="宋体" w:cs="宋体"/>
          <w:spacing w:val="-15"/>
          <w:sz w:val="24"/>
          <w:szCs w:val="24"/>
        </w:rPr>
        <w:t>置托盘， 发生大量泄漏的概率小，</w:t>
      </w:r>
      <w:r>
        <w:rPr>
          <w:rFonts w:ascii="宋体" w:hAnsi="宋体" w:eastAsia="宋体" w:cs="宋体"/>
          <w:spacing w:val="50"/>
          <w:sz w:val="24"/>
          <w:szCs w:val="24"/>
        </w:rPr>
        <w:t xml:space="preserve"> </w:t>
      </w:r>
      <w:r>
        <w:rPr>
          <w:rFonts w:ascii="宋体" w:hAnsi="宋体" w:eastAsia="宋体" w:cs="宋体"/>
          <w:spacing w:val="-15"/>
          <w:sz w:val="24"/>
          <w:szCs w:val="24"/>
        </w:rPr>
        <w:t>一般情况原料桶破损泄漏，</w:t>
      </w:r>
      <w:r>
        <w:rPr>
          <w:rFonts w:ascii="宋体" w:hAnsi="宋体" w:eastAsia="宋体" w:cs="宋体"/>
          <w:spacing w:val="35"/>
          <w:sz w:val="24"/>
          <w:szCs w:val="24"/>
        </w:rPr>
        <w:t xml:space="preserve"> </w:t>
      </w:r>
      <w:r>
        <w:rPr>
          <w:rFonts w:ascii="宋体" w:hAnsi="宋体" w:eastAsia="宋体" w:cs="宋体"/>
          <w:spacing w:val="-15"/>
          <w:sz w:val="24"/>
          <w:szCs w:val="24"/>
        </w:rPr>
        <w:t>少量跑冒漏滴均收</w:t>
      </w:r>
      <w:r>
        <w:rPr>
          <w:rFonts w:ascii="宋体" w:hAnsi="宋体" w:eastAsia="宋体" w:cs="宋体"/>
          <w:sz w:val="24"/>
          <w:szCs w:val="24"/>
        </w:rPr>
        <w:t xml:space="preserve"> </w:t>
      </w:r>
      <w:r>
        <w:rPr>
          <w:rFonts w:ascii="宋体" w:hAnsi="宋体" w:eastAsia="宋体" w:cs="宋体"/>
          <w:spacing w:val="-6"/>
          <w:sz w:val="24"/>
          <w:szCs w:val="24"/>
        </w:rPr>
        <w:t>集在收油托盘内， 可有效进行防止污染罐体、原料桶破裂导致油类物质大量泄漏</w:t>
      </w:r>
      <w:r>
        <w:rPr>
          <w:rFonts w:ascii="宋体" w:hAnsi="宋体" w:eastAsia="宋体" w:cs="宋体"/>
          <w:spacing w:val="1"/>
          <w:sz w:val="24"/>
          <w:szCs w:val="24"/>
        </w:rPr>
        <w:t xml:space="preserve"> </w:t>
      </w:r>
      <w:r>
        <w:rPr>
          <w:rFonts w:ascii="宋体" w:hAnsi="宋体" w:eastAsia="宋体" w:cs="宋体"/>
          <w:spacing w:val="-15"/>
          <w:sz w:val="24"/>
          <w:szCs w:val="24"/>
        </w:rPr>
        <w:t>的概率小， 一旦发生大量泄漏，</w:t>
      </w:r>
      <w:r>
        <w:rPr>
          <w:rFonts w:ascii="宋体" w:hAnsi="宋体" w:eastAsia="宋体" w:cs="宋体"/>
          <w:spacing w:val="45"/>
          <w:sz w:val="24"/>
          <w:szCs w:val="24"/>
        </w:rPr>
        <w:t xml:space="preserve"> </w:t>
      </w:r>
      <w:r>
        <w:rPr>
          <w:rFonts w:ascii="宋体" w:hAnsi="宋体" w:eastAsia="宋体" w:cs="宋体"/>
          <w:spacing w:val="-15"/>
          <w:sz w:val="24"/>
          <w:szCs w:val="24"/>
        </w:rPr>
        <w:t>首先会污染罐体、原料桶周边土壤，</w:t>
      </w:r>
      <w:r>
        <w:rPr>
          <w:rFonts w:ascii="宋体" w:hAnsi="宋体" w:eastAsia="宋体" w:cs="宋体"/>
          <w:spacing w:val="40"/>
          <w:sz w:val="24"/>
          <w:szCs w:val="24"/>
        </w:rPr>
        <w:t xml:space="preserve"> </w:t>
      </w:r>
      <w:r>
        <w:rPr>
          <w:rFonts w:ascii="宋体" w:hAnsi="宋体" w:eastAsia="宋体" w:cs="宋体"/>
          <w:spacing w:val="-15"/>
          <w:sz w:val="24"/>
          <w:szCs w:val="24"/>
        </w:rPr>
        <w:t>控制不当的</w:t>
      </w:r>
      <w:r>
        <w:rPr>
          <w:rFonts w:ascii="宋体" w:hAnsi="宋体" w:eastAsia="宋体" w:cs="宋体"/>
          <w:sz w:val="24"/>
          <w:szCs w:val="24"/>
        </w:rPr>
        <w:t xml:space="preserve"> </w:t>
      </w:r>
      <w:r>
        <w:rPr>
          <w:rFonts w:ascii="宋体" w:hAnsi="宋体" w:eastAsia="宋体" w:cs="宋体"/>
          <w:spacing w:val="-11"/>
          <w:sz w:val="24"/>
          <w:szCs w:val="24"/>
        </w:rPr>
        <w:t>情况下， 根据周边地势情况，</w:t>
      </w:r>
      <w:r>
        <w:rPr>
          <w:rFonts w:ascii="宋体" w:hAnsi="宋体" w:eastAsia="宋体" w:cs="宋体"/>
          <w:spacing w:val="61"/>
          <w:sz w:val="24"/>
          <w:szCs w:val="24"/>
        </w:rPr>
        <w:t xml:space="preserve"> </w:t>
      </w:r>
      <w:r>
        <w:rPr>
          <w:rFonts w:ascii="宋体" w:hAnsi="宋体" w:eastAsia="宋体" w:cs="宋体"/>
          <w:spacing w:val="-11"/>
          <w:sz w:val="24"/>
          <w:szCs w:val="24"/>
        </w:rPr>
        <w:t>可能会流出井场对井场附近的土壤、地下水、地表</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水、大气环境造成污染。</w:t>
      </w:r>
    </w:p>
    <w:p>
      <w:pPr>
        <w:spacing w:before="196" w:line="369" w:lineRule="auto"/>
        <w:ind w:left="38" w:right="27" w:firstLine="479"/>
        <w:jc w:val="both"/>
        <w:rPr>
          <w:rFonts w:ascii="宋体" w:hAnsi="宋体" w:eastAsia="宋体" w:cs="宋体"/>
          <w:sz w:val="24"/>
          <w:szCs w:val="24"/>
        </w:rPr>
      </w:pPr>
      <w:r>
        <w:rPr>
          <w:rFonts w:ascii="宋体" w:hAnsi="宋体" w:eastAsia="宋体" w:cs="宋体"/>
          <w:spacing w:val="-3"/>
          <w:sz w:val="24"/>
          <w:szCs w:val="24"/>
        </w:rPr>
        <w:t>柴油、白油拉运至井场过程中出现交通事故可能引起柴油、白油泄漏污染水</w:t>
      </w:r>
      <w:r>
        <w:rPr>
          <w:rFonts w:ascii="宋体" w:hAnsi="宋体" w:eastAsia="宋体" w:cs="宋体"/>
          <w:spacing w:val="2"/>
          <w:sz w:val="24"/>
          <w:szCs w:val="24"/>
        </w:rPr>
        <w:t xml:space="preserve"> </w:t>
      </w:r>
      <w:r>
        <w:rPr>
          <w:rFonts w:ascii="宋体" w:hAnsi="宋体" w:eastAsia="宋体" w:cs="宋体"/>
          <w:spacing w:val="-17"/>
          <w:sz w:val="24"/>
          <w:szCs w:val="24"/>
        </w:rPr>
        <w:t>体、土壤，</w:t>
      </w:r>
      <w:r>
        <w:rPr>
          <w:rFonts w:ascii="宋体" w:hAnsi="宋体" w:eastAsia="宋体" w:cs="宋体"/>
          <w:spacing w:val="51"/>
          <w:sz w:val="24"/>
          <w:szCs w:val="24"/>
        </w:rPr>
        <w:t xml:space="preserve"> </w:t>
      </w:r>
      <w:r>
        <w:rPr>
          <w:rFonts w:ascii="宋体" w:hAnsi="宋体" w:eastAsia="宋体" w:cs="宋体"/>
          <w:spacing w:val="-17"/>
          <w:sz w:val="24"/>
          <w:szCs w:val="24"/>
        </w:rPr>
        <w:t>对生态环境和社会影响很大，</w:t>
      </w:r>
      <w:r>
        <w:rPr>
          <w:rFonts w:ascii="宋体" w:hAnsi="宋体" w:eastAsia="宋体" w:cs="宋体"/>
          <w:spacing w:val="46"/>
          <w:sz w:val="24"/>
          <w:szCs w:val="24"/>
        </w:rPr>
        <w:t xml:space="preserve"> </w:t>
      </w:r>
      <w:r>
        <w:rPr>
          <w:rFonts w:ascii="宋体" w:hAnsi="宋体" w:eastAsia="宋体" w:cs="宋体"/>
          <w:spacing w:val="-17"/>
          <w:sz w:val="24"/>
          <w:szCs w:val="24"/>
        </w:rPr>
        <w:t>也可能引起火灾爆炸，</w:t>
      </w:r>
      <w:r>
        <w:rPr>
          <w:rFonts w:ascii="宋体" w:hAnsi="宋体" w:eastAsia="宋体" w:cs="宋体"/>
          <w:spacing w:val="41"/>
          <w:sz w:val="24"/>
          <w:szCs w:val="24"/>
        </w:rPr>
        <w:t xml:space="preserve"> </w:t>
      </w:r>
      <w:r>
        <w:rPr>
          <w:rFonts w:ascii="宋体" w:hAnsi="宋体" w:eastAsia="宋体" w:cs="宋体"/>
          <w:spacing w:val="-17"/>
          <w:sz w:val="24"/>
          <w:szCs w:val="24"/>
        </w:rPr>
        <w:t>造成人员伤亡及</w:t>
      </w:r>
    </w:p>
    <w:p>
      <w:pPr>
        <w:spacing w:line="219" w:lineRule="auto"/>
        <w:ind w:left="39"/>
        <w:rPr>
          <w:rFonts w:ascii="宋体" w:hAnsi="宋体" w:eastAsia="宋体" w:cs="宋体"/>
          <w:sz w:val="24"/>
          <w:szCs w:val="24"/>
        </w:rPr>
      </w:pPr>
      <w:r>
        <w:rPr>
          <w:rFonts w:ascii="宋体" w:hAnsi="宋体" w:eastAsia="宋体" w:cs="宋体"/>
          <w:spacing w:val="-8"/>
          <w:sz w:val="24"/>
          <w:szCs w:val="24"/>
        </w:rPr>
        <w:t>财产损失。</w:t>
      </w:r>
    </w:p>
    <w:p>
      <w:pPr>
        <w:spacing w:before="195"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rFonts w:ascii="宋体" w:hAnsi="宋体" w:eastAsia="宋体" w:cs="宋体"/>
          <w:spacing w:val="-1"/>
          <w:sz w:val="24"/>
          <w:szCs w:val="24"/>
          <w14:textOutline w14:w="4354" w14:cap="flat" w14:cmpd="sng">
            <w14:solidFill>
              <w14:srgbClr w14:val="000000"/>
            </w14:solidFill>
            <w14:prstDash w14:val="solid"/>
            <w14:miter w14:val="10"/>
          </w14:textOutline>
        </w:rPr>
        <w:t>）盐酸泄漏的环境风险</w:t>
      </w:r>
    </w:p>
    <w:p>
      <w:pPr>
        <w:spacing w:before="194" w:line="480" w:lineRule="exact"/>
        <w:jc w:val="right"/>
        <w:rPr>
          <w:rFonts w:ascii="宋体" w:hAnsi="宋体" w:eastAsia="宋体" w:cs="宋体"/>
          <w:sz w:val="24"/>
          <w:szCs w:val="24"/>
        </w:rPr>
      </w:pPr>
      <w:r>
        <w:rPr>
          <w:rFonts w:ascii="宋体" w:hAnsi="宋体" w:eastAsia="宋体" w:cs="宋体"/>
          <w:spacing w:val="-14"/>
          <w:position w:val="18"/>
          <w:sz w:val="24"/>
          <w:szCs w:val="24"/>
        </w:rPr>
        <w:t>本项</w:t>
      </w:r>
      <w:r>
        <w:rPr>
          <w:rFonts w:ascii="宋体" w:hAnsi="宋体" w:eastAsia="宋体" w:cs="宋体"/>
          <w:spacing w:val="-13"/>
          <w:position w:val="18"/>
          <w:sz w:val="24"/>
          <w:szCs w:val="24"/>
        </w:rPr>
        <w:t>目目的层酸化采用</w:t>
      </w:r>
      <w:r>
        <w:rPr>
          <w:rFonts w:ascii="宋体" w:hAnsi="宋体" w:eastAsia="宋体" w:cs="宋体"/>
          <w:spacing w:val="-37"/>
          <w:position w:val="18"/>
          <w:sz w:val="24"/>
          <w:szCs w:val="24"/>
        </w:rPr>
        <w:t xml:space="preserve"> </w:t>
      </w:r>
      <w:r>
        <w:rPr>
          <w:rFonts w:ascii="Times New Roman" w:hAnsi="Times New Roman" w:eastAsia="Times New Roman" w:cs="Times New Roman"/>
          <w:spacing w:val="-13"/>
          <w:position w:val="18"/>
          <w:sz w:val="24"/>
          <w:szCs w:val="24"/>
        </w:rPr>
        <w:t>7%</w:t>
      </w:r>
      <w:r>
        <w:rPr>
          <w:rFonts w:ascii="宋体" w:hAnsi="宋体" w:eastAsia="宋体" w:cs="宋体"/>
          <w:spacing w:val="-13"/>
          <w:position w:val="18"/>
          <w:sz w:val="24"/>
          <w:szCs w:val="24"/>
        </w:rPr>
        <w:t>稀盐酸，</w:t>
      </w:r>
      <w:r>
        <w:rPr>
          <w:rFonts w:ascii="宋体" w:hAnsi="宋体" w:eastAsia="宋体" w:cs="宋体"/>
          <w:spacing w:val="-59"/>
          <w:position w:val="18"/>
          <w:sz w:val="24"/>
          <w:szCs w:val="24"/>
        </w:rPr>
        <w:t xml:space="preserve"> </w:t>
      </w:r>
      <w:r>
        <w:rPr>
          <w:rFonts w:ascii="宋体" w:hAnsi="宋体" w:eastAsia="宋体" w:cs="宋体"/>
          <w:spacing w:val="-13"/>
          <w:position w:val="18"/>
          <w:sz w:val="24"/>
          <w:szCs w:val="24"/>
        </w:rPr>
        <w:t>在钻至洗井层位后， 由专业运输车辆（</w:t>
      </w:r>
      <w:r>
        <w:rPr>
          <w:rFonts w:ascii="宋体" w:hAnsi="宋体" w:eastAsia="宋体" w:cs="宋体"/>
          <w:spacing w:val="-11"/>
          <w:position w:val="18"/>
          <w:sz w:val="24"/>
          <w:szCs w:val="24"/>
        </w:rPr>
        <w:t>玻</w:t>
      </w:r>
    </w:p>
    <w:p>
      <w:pPr>
        <w:spacing w:before="1" w:line="219" w:lineRule="auto"/>
        <w:ind w:left="38"/>
        <w:rPr>
          <w:rFonts w:ascii="宋体" w:hAnsi="宋体" w:eastAsia="宋体" w:cs="宋体"/>
          <w:sz w:val="24"/>
          <w:szCs w:val="24"/>
        </w:rPr>
      </w:pPr>
      <w:r>
        <w:rPr>
          <w:rFonts w:ascii="宋体" w:hAnsi="宋体" w:eastAsia="宋体" w:cs="宋体"/>
          <w:spacing w:val="-10"/>
          <w:sz w:val="24"/>
          <w:szCs w:val="24"/>
        </w:rPr>
        <w:t>璃钢罐车） 将成品稀盐酸拉运至现场使用。在钻至目的层并</w:t>
      </w:r>
      <w:r>
        <w:rPr>
          <w:rFonts w:ascii="宋体" w:hAnsi="宋体" w:eastAsia="宋体" w:cs="宋体"/>
          <w:spacing w:val="-11"/>
          <w:sz w:val="24"/>
          <w:szCs w:val="24"/>
        </w:rPr>
        <w:t>下完套管后，</w:t>
      </w:r>
      <w:r>
        <w:rPr>
          <w:rFonts w:ascii="宋体" w:hAnsi="宋体" w:eastAsia="宋体" w:cs="宋体"/>
          <w:spacing w:val="35"/>
          <w:sz w:val="24"/>
          <w:szCs w:val="24"/>
        </w:rPr>
        <w:t xml:space="preserve"> </w:t>
      </w:r>
      <w:r>
        <w:rPr>
          <w:rFonts w:ascii="宋体" w:hAnsi="宋体" w:eastAsia="宋体" w:cs="宋体"/>
          <w:spacing w:val="-11"/>
          <w:sz w:val="24"/>
          <w:szCs w:val="24"/>
        </w:rPr>
        <w:t>测试放</w:t>
      </w:r>
    </w:p>
    <w:p>
      <w:pPr>
        <w:spacing w:line="219" w:lineRule="auto"/>
        <w:rPr>
          <w:rFonts w:ascii="宋体" w:hAnsi="宋体" w:eastAsia="宋体" w:cs="宋体"/>
          <w:sz w:val="24"/>
          <w:szCs w:val="24"/>
        </w:rPr>
        <w:sectPr>
          <w:headerReference r:id="rId253" w:type="default"/>
          <w:footerReference r:id="rId254" w:type="default"/>
          <w:pgSz w:w="11907" w:h="16839"/>
          <w:pgMar w:top="1123" w:right="1766" w:bottom="1149" w:left="1769" w:header="1108" w:footer="988" w:gutter="0"/>
          <w:cols w:space="720" w:num="1"/>
        </w:sectPr>
      </w:pPr>
    </w:p>
    <w:p>
      <w:pPr>
        <w:pStyle w:val="2"/>
        <w:spacing w:line="415" w:lineRule="auto"/>
        <w:rPr>
          <w:sz w:val="21"/>
        </w:rPr>
      </w:pPr>
    </w:p>
    <w:p>
      <w:pPr>
        <w:spacing w:before="78" w:line="369" w:lineRule="auto"/>
        <w:ind w:left="39" w:right="85" w:firstLine="8"/>
        <w:jc w:val="both"/>
        <w:rPr>
          <w:rFonts w:ascii="宋体" w:hAnsi="宋体" w:eastAsia="宋体" w:cs="宋体"/>
          <w:sz w:val="24"/>
          <w:szCs w:val="24"/>
        </w:rPr>
      </w:pPr>
      <w:r>
        <w:rPr>
          <w:rFonts w:ascii="宋体" w:hAnsi="宋体" w:eastAsia="宋体" w:cs="宋体"/>
          <w:spacing w:val="-9"/>
          <w:sz w:val="24"/>
          <w:szCs w:val="24"/>
        </w:rPr>
        <w:t>喷之前，</w:t>
      </w:r>
      <w:r>
        <w:rPr>
          <w:rFonts w:ascii="宋体" w:hAnsi="宋体" w:eastAsia="宋体" w:cs="宋体"/>
          <w:spacing w:val="-23"/>
          <w:sz w:val="24"/>
          <w:szCs w:val="24"/>
        </w:rPr>
        <w:t xml:space="preserve"> </w:t>
      </w:r>
      <w:r>
        <w:rPr>
          <w:rFonts w:ascii="宋体" w:hAnsi="宋体" w:eastAsia="宋体" w:cs="宋体"/>
          <w:spacing w:val="-9"/>
          <w:sz w:val="24"/>
          <w:szCs w:val="24"/>
        </w:rPr>
        <w:t>会根据目的层情况确定是否采用酸洗来提高产气量， 采用成品盐酸拉运</w:t>
      </w:r>
      <w:r>
        <w:rPr>
          <w:rFonts w:ascii="宋体" w:hAnsi="宋体" w:eastAsia="宋体" w:cs="宋体"/>
          <w:sz w:val="24"/>
          <w:szCs w:val="24"/>
        </w:rPr>
        <w:t xml:space="preserve"> </w:t>
      </w:r>
      <w:r>
        <w:rPr>
          <w:rFonts w:ascii="宋体" w:hAnsi="宋体" w:eastAsia="宋体" w:cs="宋体"/>
          <w:spacing w:val="-15"/>
          <w:sz w:val="24"/>
          <w:szCs w:val="24"/>
        </w:rPr>
        <w:t>现场使用， 现场无调配作业，</w:t>
      </w:r>
      <w:r>
        <w:rPr>
          <w:rFonts w:ascii="宋体" w:hAnsi="宋体" w:eastAsia="宋体" w:cs="宋体"/>
          <w:spacing w:val="44"/>
          <w:sz w:val="24"/>
          <w:szCs w:val="24"/>
        </w:rPr>
        <w:t xml:space="preserve"> </w:t>
      </w:r>
      <w:r>
        <w:rPr>
          <w:rFonts w:ascii="宋体" w:hAnsi="宋体" w:eastAsia="宋体" w:cs="宋体"/>
          <w:spacing w:val="-15"/>
          <w:sz w:val="24"/>
          <w:szCs w:val="24"/>
        </w:rPr>
        <w:t>但盐酸在拉运过程和现场存储一旦发生泄漏后，</w:t>
      </w:r>
      <w:r>
        <w:rPr>
          <w:rFonts w:ascii="宋体" w:hAnsi="宋体" w:eastAsia="宋体" w:cs="宋体"/>
          <w:spacing w:val="38"/>
          <w:sz w:val="24"/>
          <w:szCs w:val="24"/>
        </w:rPr>
        <w:t xml:space="preserve"> </w:t>
      </w:r>
      <w:r>
        <w:rPr>
          <w:rFonts w:ascii="宋体" w:hAnsi="宋体" w:eastAsia="宋体" w:cs="宋体"/>
          <w:spacing w:val="-15"/>
          <w:sz w:val="24"/>
          <w:szCs w:val="24"/>
        </w:rPr>
        <w:t>一</w:t>
      </w:r>
      <w:r>
        <w:rPr>
          <w:rFonts w:ascii="宋体" w:hAnsi="宋体" w:eastAsia="宋体" w:cs="宋体"/>
          <w:sz w:val="24"/>
          <w:szCs w:val="24"/>
        </w:rPr>
        <w:t xml:space="preserve"> </w:t>
      </w:r>
      <w:r>
        <w:rPr>
          <w:rFonts w:ascii="宋体" w:hAnsi="宋体" w:eastAsia="宋体" w:cs="宋体"/>
          <w:spacing w:val="-13"/>
          <w:sz w:val="24"/>
          <w:szCs w:val="24"/>
        </w:rPr>
        <w:t>方面，</w:t>
      </w:r>
      <w:r>
        <w:rPr>
          <w:rFonts w:ascii="宋体" w:hAnsi="宋体" w:eastAsia="宋体" w:cs="宋体"/>
          <w:spacing w:val="-28"/>
          <w:sz w:val="24"/>
          <w:szCs w:val="24"/>
        </w:rPr>
        <w:t xml:space="preserve"> </w:t>
      </w:r>
      <w:r>
        <w:rPr>
          <w:rFonts w:ascii="宋体" w:hAnsi="宋体" w:eastAsia="宋体" w:cs="宋体"/>
          <w:spacing w:val="-13"/>
          <w:sz w:val="24"/>
          <w:szCs w:val="24"/>
        </w:rPr>
        <w:t>挥发的酸雾会造成一定范围内的环境空气污染；</w:t>
      </w:r>
      <w:r>
        <w:rPr>
          <w:rFonts w:ascii="宋体" w:hAnsi="宋体" w:eastAsia="宋体" w:cs="宋体"/>
          <w:spacing w:val="43"/>
          <w:sz w:val="24"/>
          <w:szCs w:val="24"/>
        </w:rPr>
        <w:t xml:space="preserve"> </w:t>
      </w:r>
      <w:r>
        <w:rPr>
          <w:rFonts w:ascii="宋体" w:hAnsi="宋体" w:eastAsia="宋体" w:cs="宋体"/>
          <w:spacing w:val="-13"/>
          <w:sz w:val="24"/>
          <w:szCs w:val="24"/>
        </w:rPr>
        <w:t>另一方面， 泄</w:t>
      </w:r>
      <w:r>
        <w:rPr>
          <w:rFonts w:ascii="宋体" w:hAnsi="宋体" w:eastAsia="宋体" w:cs="宋体"/>
          <w:spacing w:val="-14"/>
          <w:sz w:val="24"/>
          <w:szCs w:val="24"/>
        </w:rPr>
        <w:t>漏的盐酸将</w:t>
      </w:r>
      <w:r>
        <w:rPr>
          <w:rFonts w:ascii="宋体" w:hAnsi="宋体" w:eastAsia="宋体" w:cs="宋体"/>
          <w:sz w:val="24"/>
          <w:szCs w:val="24"/>
        </w:rPr>
        <w:t xml:space="preserve"> </w:t>
      </w:r>
      <w:r>
        <w:rPr>
          <w:rFonts w:ascii="宋体" w:hAnsi="宋体" w:eastAsia="宋体" w:cs="宋体"/>
          <w:spacing w:val="-16"/>
          <w:sz w:val="24"/>
          <w:szCs w:val="24"/>
        </w:rPr>
        <w:t>引起土壤酸化，</w:t>
      </w:r>
      <w:r>
        <w:rPr>
          <w:rFonts w:ascii="宋体" w:hAnsi="宋体" w:eastAsia="宋体" w:cs="宋体"/>
          <w:spacing w:val="33"/>
          <w:sz w:val="24"/>
          <w:szCs w:val="24"/>
        </w:rPr>
        <w:t xml:space="preserve"> </w:t>
      </w:r>
      <w:r>
        <w:rPr>
          <w:rFonts w:ascii="宋体" w:hAnsi="宋体" w:eastAsia="宋体" w:cs="宋体"/>
          <w:spacing w:val="-16"/>
          <w:sz w:val="24"/>
          <w:szCs w:val="24"/>
        </w:rPr>
        <w:t>破坏土壤的结构，</w:t>
      </w:r>
      <w:r>
        <w:rPr>
          <w:rFonts w:ascii="宋体" w:hAnsi="宋体" w:eastAsia="宋体" w:cs="宋体"/>
          <w:spacing w:val="37"/>
          <w:sz w:val="24"/>
          <w:szCs w:val="24"/>
        </w:rPr>
        <w:t xml:space="preserve"> </w:t>
      </w:r>
      <w:r>
        <w:rPr>
          <w:rFonts w:ascii="宋体" w:hAnsi="宋体" w:eastAsia="宋体" w:cs="宋体"/>
          <w:spacing w:val="-16"/>
          <w:sz w:val="24"/>
          <w:szCs w:val="24"/>
        </w:rPr>
        <w:t>危害植物生长，</w:t>
      </w:r>
      <w:r>
        <w:rPr>
          <w:rFonts w:ascii="宋体" w:hAnsi="宋体" w:eastAsia="宋体" w:cs="宋体"/>
          <w:spacing w:val="35"/>
          <w:sz w:val="24"/>
          <w:szCs w:val="24"/>
        </w:rPr>
        <w:t xml:space="preserve"> </w:t>
      </w:r>
      <w:r>
        <w:rPr>
          <w:rFonts w:ascii="宋体" w:hAnsi="宋体" w:eastAsia="宋体" w:cs="宋体"/>
          <w:spacing w:val="-16"/>
          <w:sz w:val="24"/>
          <w:szCs w:val="24"/>
        </w:rPr>
        <w:t>若控制不当流入井场周</w:t>
      </w:r>
      <w:r>
        <w:rPr>
          <w:rFonts w:ascii="宋体" w:hAnsi="宋体" w:eastAsia="宋体" w:cs="宋体"/>
          <w:spacing w:val="-17"/>
          <w:sz w:val="24"/>
          <w:szCs w:val="24"/>
        </w:rPr>
        <w:t>围的水</w:t>
      </w:r>
    </w:p>
    <w:p>
      <w:pPr>
        <w:spacing w:before="1" w:line="218" w:lineRule="auto"/>
        <w:ind w:left="38"/>
        <w:rPr>
          <w:rFonts w:ascii="宋体" w:hAnsi="宋体" w:eastAsia="宋体" w:cs="宋体"/>
          <w:sz w:val="24"/>
          <w:szCs w:val="24"/>
        </w:rPr>
      </w:pPr>
      <w:r>
        <w:rPr>
          <w:rFonts w:ascii="宋体" w:hAnsi="宋体" w:eastAsia="宋体" w:cs="宋体"/>
          <w:spacing w:val="-5"/>
          <w:sz w:val="24"/>
          <w:szCs w:val="24"/>
        </w:rPr>
        <w:t>体将会污染水体。</w:t>
      </w:r>
    </w:p>
    <w:p>
      <w:pPr>
        <w:spacing w:before="194"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6</w:t>
      </w:r>
      <w:r>
        <w:rPr>
          <w:rFonts w:ascii="宋体" w:hAnsi="宋体" w:eastAsia="宋体" w:cs="宋体"/>
          <w:spacing w:val="-2"/>
          <w:sz w:val="24"/>
          <w:szCs w:val="24"/>
          <w14:textOutline w14:w="4354" w14:cap="flat" w14:cmpd="sng">
            <w14:solidFill>
              <w14:srgbClr w14:val="000000"/>
            </w14:solidFill>
            <w14:prstDash w14:val="solid"/>
            <w14:miter w14:val="10"/>
          </w14:textOutline>
        </w:rPr>
        <w:t>）废水转运过程中的泄漏</w:t>
      </w:r>
    </w:p>
    <w:p>
      <w:pPr>
        <w:spacing w:before="195" w:line="369" w:lineRule="auto"/>
        <w:ind w:left="42" w:right="85" w:firstLine="475"/>
        <w:jc w:val="both"/>
        <w:rPr>
          <w:rFonts w:ascii="宋体" w:hAnsi="宋体" w:eastAsia="宋体" w:cs="宋体"/>
          <w:sz w:val="24"/>
          <w:szCs w:val="24"/>
        </w:rPr>
      </w:pPr>
      <w:r>
        <w:rPr>
          <w:rFonts w:ascii="宋体" w:hAnsi="宋体" w:eastAsia="宋体" w:cs="宋体"/>
          <w:spacing w:val="-6"/>
          <w:sz w:val="24"/>
          <w:szCs w:val="24"/>
        </w:rPr>
        <w:t>钻井废水拟通过罐车转运至四川瑞利生物科技有限公司处理，</w:t>
      </w:r>
      <w:r>
        <w:rPr>
          <w:rFonts w:ascii="宋体" w:hAnsi="宋体" w:eastAsia="宋体" w:cs="宋体"/>
          <w:spacing w:val="-22"/>
          <w:sz w:val="24"/>
          <w:szCs w:val="24"/>
        </w:rPr>
        <w:t xml:space="preserve"> </w:t>
      </w:r>
      <w:r>
        <w:rPr>
          <w:rFonts w:ascii="宋体" w:hAnsi="宋体" w:eastAsia="宋体" w:cs="宋体"/>
          <w:spacing w:val="-6"/>
          <w:sz w:val="24"/>
          <w:szCs w:val="24"/>
        </w:rPr>
        <w:t>运前检查罐车</w:t>
      </w:r>
      <w:r>
        <w:rPr>
          <w:rFonts w:ascii="宋体" w:hAnsi="宋体" w:eastAsia="宋体" w:cs="宋体"/>
          <w:sz w:val="24"/>
          <w:szCs w:val="24"/>
        </w:rPr>
        <w:t xml:space="preserve"> </w:t>
      </w:r>
      <w:r>
        <w:rPr>
          <w:rFonts w:ascii="宋体" w:hAnsi="宋体" w:eastAsia="宋体" w:cs="宋体"/>
          <w:spacing w:val="-16"/>
          <w:sz w:val="24"/>
          <w:szCs w:val="24"/>
        </w:rPr>
        <w:t>安全排查隐患，</w:t>
      </w:r>
      <w:r>
        <w:rPr>
          <w:rFonts w:ascii="宋体" w:hAnsi="宋体" w:eastAsia="宋体" w:cs="宋体"/>
          <w:spacing w:val="34"/>
          <w:sz w:val="24"/>
          <w:szCs w:val="24"/>
        </w:rPr>
        <w:t xml:space="preserve"> </w:t>
      </w:r>
      <w:r>
        <w:rPr>
          <w:rFonts w:ascii="宋体" w:hAnsi="宋体" w:eastAsia="宋体" w:cs="宋体"/>
          <w:spacing w:val="-16"/>
          <w:sz w:val="24"/>
          <w:szCs w:val="24"/>
        </w:rPr>
        <w:t>检查罐车储水罐是否漏水，</w:t>
      </w:r>
      <w:r>
        <w:rPr>
          <w:rFonts w:ascii="宋体" w:hAnsi="宋体" w:eastAsia="宋体" w:cs="宋体"/>
          <w:spacing w:val="33"/>
          <w:sz w:val="24"/>
          <w:szCs w:val="24"/>
        </w:rPr>
        <w:t xml:space="preserve"> </w:t>
      </w:r>
      <w:r>
        <w:rPr>
          <w:rFonts w:ascii="宋体" w:hAnsi="宋体" w:eastAsia="宋体" w:cs="宋体"/>
          <w:spacing w:val="-16"/>
          <w:sz w:val="24"/>
          <w:szCs w:val="24"/>
        </w:rPr>
        <w:t>采用专门的罐车</w:t>
      </w:r>
      <w:r>
        <w:rPr>
          <w:rFonts w:ascii="宋体" w:hAnsi="宋体" w:eastAsia="宋体" w:cs="宋体"/>
          <w:spacing w:val="-17"/>
          <w:sz w:val="24"/>
          <w:szCs w:val="24"/>
        </w:rPr>
        <w:t>密闭运输，</w:t>
      </w:r>
      <w:r>
        <w:rPr>
          <w:rFonts w:ascii="宋体" w:hAnsi="宋体" w:eastAsia="宋体" w:cs="宋体"/>
          <w:spacing w:val="40"/>
          <w:sz w:val="24"/>
          <w:szCs w:val="24"/>
        </w:rPr>
        <w:t xml:space="preserve"> </w:t>
      </w:r>
      <w:r>
        <w:rPr>
          <w:rFonts w:ascii="宋体" w:hAnsi="宋体" w:eastAsia="宋体" w:cs="宋体"/>
          <w:spacing w:val="-17"/>
          <w:sz w:val="24"/>
          <w:szCs w:val="24"/>
        </w:rPr>
        <w:t>并采用联</w:t>
      </w:r>
    </w:p>
    <w:p>
      <w:pPr>
        <w:spacing w:before="1" w:line="219" w:lineRule="auto"/>
        <w:ind w:left="40"/>
        <w:rPr>
          <w:rFonts w:ascii="宋体" w:hAnsi="宋体" w:eastAsia="宋体" w:cs="宋体"/>
          <w:sz w:val="24"/>
          <w:szCs w:val="24"/>
        </w:rPr>
      </w:pPr>
      <w:r>
        <w:rPr>
          <w:rFonts w:ascii="宋体" w:hAnsi="宋体" w:eastAsia="宋体" w:cs="宋体"/>
          <w:spacing w:val="-8"/>
          <w:sz w:val="24"/>
          <w:szCs w:val="24"/>
        </w:rPr>
        <w:t>单制运输。</w:t>
      </w:r>
    </w:p>
    <w:p>
      <w:pPr>
        <w:spacing w:before="195" w:line="369" w:lineRule="auto"/>
        <w:ind w:left="37" w:right="85" w:firstLine="483"/>
        <w:jc w:val="both"/>
        <w:rPr>
          <w:rFonts w:ascii="宋体" w:hAnsi="宋体" w:eastAsia="宋体" w:cs="宋体"/>
          <w:sz w:val="24"/>
          <w:szCs w:val="24"/>
        </w:rPr>
      </w:pPr>
      <w:r>
        <w:rPr>
          <w:rFonts w:ascii="宋体" w:hAnsi="宋体" w:eastAsia="宋体" w:cs="宋体"/>
          <w:spacing w:val="-14"/>
          <w:sz w:val="24"/>
          <w:szCs w:val="24"/>
        </w:rPr>
        <w:t>工程废水（完钻后剩余废水） 外运处置， 其转运采</w:t>
      </w:r>
      <w:r>
        <w:rPr>
          <w:rFonts w:ascii="宋体" w:hAnsi="宋体" w:eastAsia="宋体" w:cs="宋体"/>
          <w:spacing w:val="-15"/>
          <w:sz w:val="24"/>
          <w:szCs w:val="24"/>
        </w:rPr>
        <w:t>用罐车密闭输送，</w:t>
      </w:r>
      <w:r>
        <w:rPr>
          <w:rFonts w:ascii="宋体" w:hAnsi="宋体" w:eastAsia="宋体" w:cs="宋体"/>
          <w:spacing w:val="41"/>
          <w:sz w:val="24"/>
          <w:szCs w:val="24"/>
        </w:rPr>
        <w:t xml:space="preserve"> </w:t>
      </w:r>
      <w:r>
        <w:rPr>
          <w:rFonts w:ascii="宋体" w:hAnsi="宋体" w:eastAsia="宋体" w:cs="宋体"/>
          <w:spacing w:val="-15"/>
          <w:sz w:val="24"/>
          <w:szCs w:val="24"/>
        </w:rPr>
        <w:t>运输过</w:t>
      </w:r>
      <w:r>
        <w:rPr>
          <w:rFonts w:ascii="宋体" w:hAnsi="宋体" w:eastAsia="宋体" w:cs="宋体"/>
          <w:sz w:val="24"/>
          <w:szCs w:val="24"/>
        </w:rPr>
        <w:t xml:space="preserve"> </w:t>
      </w:r>
      <w:r>
        <w:rPr>
          <w:rFonts w:ascii="宋体" w:hAnsi="宋体" w:eastAsia="宋体" w:cs="宋体"/>
          <w:spacing w:val="-5"/>
          <w:sz w:val="24"/>
          <w:szCs w:val="24"/>
        </w:rPr>
        <w:t>程中，</w:t>
      </w:r>
      <w:r>
        <w:rPr>
          <w:rFonts w:ascii="宋体" w:hAnsi="宋体" w:eastAsia="宋体" w:cs="宋体"/>
          <w:spacing w:val="-41"/>
          <w:sz w:val="24"/>
          <w:szCs w:val="24"/>
        </w:rPr>
        <w:t xml:space="preserve"> </w:t>
      </w:r>
      <w:r>
        <w:rPr>
          <w:rFonts w:ascii="宋体" w:hAnsi="宋体" w:eastAsia="宋体" w:cs="宋体"/>
          <w:spacing w:val="-5"/>
          <w:sz w:val="24"/>
          <w:szCs w:val="24"/>
        </w:rPr>
        <w:t>存在发生事故所引发的次生环境污染。一旦发生交通事故或其他原因导致</w:t>
      </w:r>
      <w:r>
        <w:rPr>
          <w:rFonts w:ascii="宋体" w:hAnsi="宋体" w:eastAsia="宋体" w:cs="宋体"/>
          <w:sz w:val="24"/>
          <w:szCs w:val="24"/>
        </w:rPr>
        <w:t xml:space="preserve"> </w:t>
      </w:r>
      <w:r>
        <w:rPr>
          <w:rFonts w:ascii="宋体" w:hAnsi="宋体" w:eastAsia="宋体" w:cs="宋体"/>
          <w:spacing w:val="-14"/>
          <w:sz w:val="24"/>
          <w:szCs w:val="24"/>
        </w:rPr>
        <w:t>废水外溢， 一方面可能会将造成土壤、地表水体和地下水体污染，</w:t>
      </w:r>
      <w:r>
        <w:rPr>
          <w:rFonts w:ascii="宋体" w:hAnsi="宋体" w:eastAsia="宋体" w:cs="宋体"/>
          <w:spacing w:val="62"/>
          <w:sz w:val="24"/>
          <w:szCs w:val="24"/>
        </w:rPr>
        <w:t xml:space="preserve"> </w:t>
      </w:r>
      <w:r>
        <w:rPr>
          <w:rFonts w:ascii="宋体" w:hAnsi="宋体" w:eastAsia="宋体" w:cs="宋体"/>
          <w:spacing w:val="-14"/>
          <w:sz w:val="24"/>
          <w:szCs w:val="24"/>
        </w:rPr>
        <w:t>另一方面， 若</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事故发生在跨河桥梁段，泄漏的废水会直接污染地表水体。</w:t>
      </w:r>
    </w:p>
    <w:p>
      <w:pPr>
        <w:spacing w:before="197" w:line="369" w:lineRule="auto"/>
        <w:ind w:left="37" w:right="18" w:firstLine="481"/>
        <w:jc w:val="both"/>
        <w:rPr>
          <w:rFonts w:ascii="宋体" w:hAnsi="宋体" w:eastAsia="宋体" w:cs="宋体"/>
          <w:sz w:val="24"/>
          <w:szCs w:val="24"/>
        </w:rPr>
      </w:pPr>
      <w:r>
        <w:rPr>
          <w:rFonts w:ascii="宋体" w:hAnsi="宋体" w:eastAsia="宋体" w:cs="宋体"/>
          <w:spacing w:val="-1"/>
          <w:sz w:val="24"/>
          <w:szCs w:val="24"/>
        </w:rPr>
        <w:t>本项目产生的钻井废水拟通过罐车转运至四川瑞利生物科技有</w:t>
      </w:r>
      <w:r>
        <w:rPr>
          <w:rFonts w:ascii="宋体" w:hAnsi="宋体" w:eastAsia="宋体" w:cs="宋体"/>
          <w:spacing w:val="-2"/>
          <w:sz w:val="24"/>
          <w:szCs w:val="24"/>
        </w:rPr>
        <w:t>限公司处理，</w:t>
      </w:r>
      <w:r>
        <w:rPr>
          <w:rFonts w:ascii="宋体" w:hAnsi="宋体" w:eastAsia="宋体" w:cs="宋体"/>
          <w:sz w:val="24"/>
          <w:szCs w:val="24"/>
        </w:rPr>
        <w:t xml:space="preserve"> </w:t>
      </w:r>
      <w:r>
        <w:rPr>
          <w:rFonts w:ascii="宋体" w:hAnsi="宋体" w:eastAsia="宋体" w:cs="宋体"/>
          <w:spacing w:val="-12"/>
          <w:sz w:val="24"/>
          <w:szCs w:val="24"/>
        </w:rPr>
        <w:t>运输和处置均外委，</w:t>
      </w:r>
      <w:r>
        <w:rPr>
          <w:rFonts w:ascii="宋体" w:hAnsi="宋体" w:eastAsia="宋体" w:cs="宋体"/>
          <w:spacing w:val="63"/>
          <w:sz w:val="24"/>
          <w:szCs w:val="24"/>
        </w:rPr>
        <w:t xml:space="preserve"> </w:t>
      </w:r>
      <w:r>
        <w:rPr>
          <w:rFonts w:ascii="宋体" w:hAnsi="宋体" w:eastAsia="宋体" w:cs="宋体"/>
          <w:spacing w:val="-12"/>
          <w:sz w:val="24"/>
          <w:szCs w:val="24"/>
        </w:rPr>
        <w:t>由接收单位负责。运输沿</w:t>
      </w:r>
      <w:r>
        <w:rPr>
          <w:rFonts w:ascii="宋体" w:hAnsi="宋体" w:eastAsia="宋体" w:cs="宋体"/>
          <w:spacing w:val="-13"/>
          <w:sz w:val="24"/>
          <w:szCs w:val="24"/>
        </w:rPr>
        <w:t>途穿越地表水体，</w:t>
      </w:r>
      <w:r>
        <w:rPr>
          <w:rFonts w:ascii="宋体" w:hAnsi="宋体" w:eastAsia="宋体" w:cs="宋体"/>
          <w:spacing w:val="37"/>
          <w:sz w:val="24"/>
          <w:szCs w:val="24"/>
        </w:rPr>
        <w:t xml:space="preserve"> </w:t>
      </w:r>
      <w:r>
        <w:rPr>
          <w:rFonts w:ascii="宋体" w:hAnsi="宋体" w:eastAsia="宋体" w:cs="宋体"/>
          <w:spacing w:val="-13"/>
          <w:sz w:val="24"/>
          <w:szCs w:val="24"/>
        </w:rPr>
        <w:t>为降低废水转运</w:t>
      </w:r>
      <w:r>
        <w:rPr>
          <w:rFonts w:ascii="宋体" w:hAnsi="宋体" w:eastAsia="宋体" w:cs="宋体"/>
          <w:sz w:val="24"/>
          <w:szCs w:val="24"/>
        </w:rPr>
        <w:t xml:space="preserve"> </w:t>
      </w:r>
      <w:r>
        <w:rPr>
          <w:rFonts w:ascii="宋体" w:hAnsi="宋体" w:eastAsia="宋体" w:cs="宋体"/>
          <w:spacing w:val="-12"/>
          <w:sz w:val="24"/>
          <w:szCs w:val="24"/>
        </w:rPr>
        <w:t>对地表水的污染风险，</w:t>
      </w:r>
      <w:r>
        <w:rPr>
          <w:rFonts w:ascii="宋体" w:hAnsi="宋体" w:eastAsia="宋体" w:cs="宋体"/>
          <w:spacing w:val="-38"/>
          <w:sz w:val="24"/>
          <w:szCs w:val="24"/>
        </w:rPr>
        <w:t xml:space="preserve"> </w:t>
      </w:r>
      <w:r>
        <w:rPr>
          <w:rFonts w:ascii="宋体" w:hAnsi="宋体" w:eastAsia="宋体" w:cs="宋体"/>
          <w:spacing w:val="-12"/>
          <w:sz w:val="24"/>
          <w:szCs w:val="24"/>
        </w:rPr>
        <w:t>确保本项目废水得到妥善处理，</w:t>
      </w:r>
      <w:r>
        <w:rPr>
          <w:rFonts w:ascii="宋体" w:hAnsi="宋体" w:eastAsia="宋体" w:cs="宋体"/>
          <w:spacing w:val="-40"/>
          <w:sz w:val="24"/>
          <w:szCs w:val="24"/>
        </w:rPr>
        <w:t xml:space="preserve"> </w:t>
      </w:r>
      <w:r>
        <w:rPr>
          <w:rFonts w:ascii="宋体" w:hAnsi="宋体" w:eastAsia="宋体" w:cs="宋体"/>
          <w:spacing w:val="-12"/>
          <w:sz w:val="24"/>
          <w:szCs w:val="24"/>
        </w:rPr>
        <w:t>本着切实保护环境的原则，</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本项目废水转运过程中，应采取相应防范措</w:t>
      </w:r>
      <w:r>
        <w:rPr>
          <w:rFonts w:ascii="宋体" w:hAnsi="宋体" w:eastAsia="宋体" w:cs="宋体"/>
          <w:spacing w:val="-3"/>
          <w:sz w:val="24"/>
          <w:szCs w:val="24"/>
        </w:rPr>
        <w:t>施。</w:t>
      </w:r>
    </w:p>
    <w:p>
      <w:pPr>
        <w:spacing w:before="196"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7</w:t>
      </w:r>
      <w:r>
        <w:rPr>
          <w:rFonts w:ascii="宋体" w:hAnsi="宋体" w:eastAsia="宋体" w:cs="宋体"/>
          <w:spacing w:val="-1"/>
          <w:sz w:val="24"/>
          <w:szCs w:val="24"/>
          <w14:textOutline w14:w="4354" w14:cap="flat" w14:cmpd="sng">
            <w14:solidFill>
              <w14:srgbClr w14:val="000000"/>
            </w14:solidFill>
            <w14:prstDash w14:val="solid"/>
            <w14:miter w14:val="10"/>
          </w14:textOutline>
        </w:rPr>
        <w:t>）测试放喷对生态环境的风险</w:t>
      </w:r>
    </w:p>
    <w:p>
      <w:pPr>
        <w:spacing w:before="194" w:line="480" w:lineRule="exact"/>
        <w:ind w:left="518"/>
        <w:rPr>
          <w:rFonts w:ascii="宋体" w:hAnsi="宋体" w:eastAsia="宋体" w:cs="宋体"/>
          <w:sz w:val="24"/>
          <w:szCs w:val="24"/>
        </w:rPr>
      </w:pPr>
      <w:r>
        <w:rPr>
          <w:rFonts w:ascii="宋体" w:hAnsi="宋体" w:eastAsia="宋体" w:cs="宋体"/>
          <w:spacing w:val="1"/>
          <w:position w:val="18"/>
          <w:sz w:val="24"/>
          <w:szCs w:val="24"/>
        </w:rPr>
        <w:t xml:space="preserve">钻井测试放喷对生态环境的影响主要是放喷产生的热辐射和 </w:t>
      </w:r>
      <w:r>
        <w:rPr>
          <w:rFonts w:ascii="Times New Roman" w:hAnsi="Times New Roman" w:eastAsia="Times New Roman" w:cs="Times New Roman"/>
          <w:position w:val="18"/>
          <w:sz w:val="24"/>
          <w:szCs w:val="24"/>
        </w:rPr>
        <w:t>SO</w:t>
      </w:r>
      <w:r>
        <w:rPr>
          <w:rFonts w:ascii="Times New Roman" w:hAnsi="Times New Roman" w:eastAsia="Times New Roman" w:cs="Times New Roman"/>
          <w:spacing w:val="1"/>
          <w:position w:val="17"/>
          <w:sz w:val="16"/>
          <w:szCs w:val="16"/>
        </w:rPr>
        <w:t xml:space="preserve">2  </w:t>
      </w:r>
      <w:r>
        <w:rPr>
          <w:rFonts w:ascii="宋体" w:hAnsi="宋体" w:eastAsia="宋体" w:cs="宋体"/>
          <w:spacing w:val="1"/>
          <w:position w:val="18"/>
          <w:sz w:val="24"/>
          <w:szCs w:val="24"/>
        </w:rPr>
        <w:t>对生态的</w:t>
      </w:r>
    </w:p>
    <w:p>
      <w:pPr>
        <w:spacing w:before="1" w:line="221" w:lineRule="auto"/>
        <w:ind w:left="38"/>
        <w:rPr>
          <w:rFonts w:ascii="宋体" w:hAnsi="宋体" w:eastAsia="宋体" w:cs="宋体"/>
          <w:sz w:val="24"/>
          <w:szCs w:val="24"/>
        </w:rPr>
      </w:pPr>
      <w:r>
        <w:rPr>
          <w:rFonts w:ascii="宋体" w:hAnsi="宋体" w:eastAsia="宋体" w:cs="宋体"/>
          <w:spacing w:val="-10"/>
          <w:sz w:val="24"/>
          <w:szCs w:val="24"/>
        </w:rPr>
        <w:t>影响。</w:t>
      </w:r>
    </w:p>
    <w:p>
      <w:pPr>
        <w:spacing w:before="194" w:line="369" w:lineRule="auto"/>
        <w:ind w:left="37" w:firstLine="485"/>
        <w:rPr>
          <w:rFonts w:ascii="宋体" w:hAnsi="宋体" w:eastAsia="宋体" w:cs="宋体"/>
          <w:sz w:val="24"/>
          <w:szCs w:val="24"/>
        </w:rPr>
      </w:pPr>
      <w:r>
        <w:rPr>
          <w:rFonts w:ascii="宋体" w:hAnsi="宋体" w:eastAsia="宋体" w:cs="宋体"/>
          <w:spacing w:val="-4"/>
          <w:sz w:val="24"/>
          <w:szCs w:val="24"/>
        </w:rPr>
        <w:t>天然气燃烧产生的热辐射影响，可能灼伤放喷点周围</w:t>
      </w:r>
      <w:r>
        <w:rPr>
          <w:rFonts w:ascii="Times New Roman" w:hAnsi="Times New Roman" w:eastAsia="Times New Roman" w:cs="Times New Roman"/>
          <w:spacing w:val="-4"/>
          <w:sz w:val="24"/>
          <w:szCs w:val="24"/>
        </w:rPr>
        <w:t xml:space="preserve">20~50m </w:t>
      </w:r>
      <w:r>
        <w:rPr>
          <w:rFonts w:ascii="宋体" w:hAnsi="宋体" w:eastAsia="宋体" w:cs="宋体"/>
          <w:spacing w:val="-5"/>
          <w:sz w:val="24"/>
          <w:szCs w:val="24"/>
        </w:rPr>
        <w:t>范围的农作物。</w:t>
      </w:r>
      <w:r>
        <w:rPr>
          <w:rFonts w:ascii="宋体" w:hAnsi="宋体" w:eastAsia="宋体" w:cs="宋体"/>
          <w:sz w:val="24"/>
          <w:szCs w:val="24"/>
        </w:rPr>
        <w:t xml:space="preserve"> </w:t>
      </w:r>
      <w:r>
        <w:rPr>
          <w:rFonts w:ascii="宋体" w:hAnsi="宋体" w:eastAsia="宋体" w:cs="宋体"/>
          <w:spacing w:val="-6"/>
          <w:sz w:val="24"/>
          <w:szCs w:val="24"/>
        </w:rPr>
        <w:t>含硫天然气点火燃烧产生</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SO</w:t>
      </w:r>
      <w:r>
        <w:rPr>
          <w:rFonts w:ascii="Times New Roman" w:hAnsi="Times New Roman" w:eastAsia="Times New Roman" w:cs="Times New Roman"/>
          <w:spacing w:val="-6"/>
          <w:position w:val="-1"/>
          <w:sz w:val="16"/>
          <w:szCs w:val="16"/>
        </w:rPr>
        <w:t>2</w:t>
      </w:r>
      <w:r>
        <w:rPr>
          <w:rFonts w:ascii="Times New Roman" w:hAnsi="Times New Roman" w:eastAsia="Times New Roman" w:cs="Times New Roman"/>
          <w:spacing w:val="10"/>
          <w:w w:val="102"/>
          <w:position w:val="-1"/>
          <w:sz w:val="16"/>
          <w:szCs w:val="16"/>
        </w:rPr>
        <w:t xml:space="preserve"> </w:t>
      </w:r>
      <w:r>
        <w:rPr>
          <w:rFonts w:ascii="宋体" w:hAnsi="宋体" w:eastAsia="宋体" w:cs="宋体"/>
          <w:spacing w:val="-6"/>
          <w:sz w:val="24"/>
          <w:szCs w:val="24"/>
        </w:rPr>
        <w:t>会一定程度上影响植被生长</w:t>
      </w:r>
      <w:r>
        <w:rPr>
          <w:rFonts w:ascii="宋体" w:hAnsi="宋体" w:eastAsia="宋体" w:cs="宋体"/>
          <w:spacing w:val="-7"/>
          <w:sz w:val="24"/>
          <w:szCs w:val="24"/>
        </w:rPr>
        <w:t>，</w:t>
      </w:r>
      <w:r>
        <w:rPr>
          <w:rFonts w:ascii="宋体" w:hAnsi="宋体" w:eastAsia="宋体" w:cs="宋体"/>
          <w:spacing w:val="-32"/>
          <w:sz w:val="24"/>
          <w:szCs w:val="24"/>
        </w:rPr>
        <w:t xml:space="preserve"> </w:t>
      </w:r>
      <w:r>
        <w:rPr>
          <w:rFonts w:ascii="宋体" w:hAnsi="宋体" w:eastAsia="宋体" w:cs="宋体"/>
          <w:spacing w:val="-7"/>
          <w:sz w:val="24"/>
          <w:szCs w:val="24"/>
        </w:rPr>
        <w:t xml:space="preserve">尤其是对农作物影响 </w:t>
      </w:r>
      <w:r>
        <w:rPr>
          <w:rFonts w:ascii="宋体" w:hAnsi="宋体" w:eastAsia="宋体" w:cs="宋体"/>
          <w:spacing w:val="-6"/>
          <w:sz w:val="24"/>
          <w:szCs w:val="24"/>
        </w:rPr>
        <w:t>明显，</w:t>
      </w:r>
      <w:r>
        <w:rPr>
          <w:rFonts w:ascii="宋体" w:hAnsi="宋体" w:eastAsia="宋体" w:cs="宋体"/>
          <w:spacing w:val="-30"/>
          <w:sz w:val="24"/>
          <w:szCs w:val="24"/>
        </w:rPr>
        <w:t xml:space="preserve"> </w:t>
      </w:r>
      <w:r>
        <w:rPr>
          <w:rFonts w:ascii="宋体" w:hAnsi="宋体" w:eastAsia="宋体" w:cs="宋体"/>
          <w:spacing w:val="-6"/>
          <w:sz w:val="24"/>
          <w:szCs w:val="24"/>
        </w:rPr>
        <w:t>会影响一季度农作物。若</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SO</w:t>
      </w:r>
      <w:r>
        <w:rPr>
          <w:rFonts w:ascii="Times New Roman" w:hAnsi="Times New Roman" w:eastAsia="Times New Roman" w:cs="Times New Roman"/>
          <w:spacing w:val="-6"/>
          <w:position w:val="-1"/>
          <w:sz w:val="16"/>
          <w:szCs w:val="16"/>
        </w:rPr>
        <w:t>2</w:t>
      </w:r>
      <w:r>
        <w:rPr>
          <w:rFonts w:ascii="Times New Roman" w:hAnsi="Times New Roman" w:eastAsia="Times New Roman" w:cs="Times New Roman"/>
          <w:spacing w:val="11"/>
          <w:w w:val="101"/>
          <w:position w:val="-1"/>
          <w:sz w:val="16"/>
          <w:szCs w:val="16"/>
        </w:rPr>
        <w:t xml:space="preserve"> </w:t>
      </w:r>
      <w:r>
        <w:rPr>
          <w:rFonts w:ascii="宋体" w:hAnsi="宋体" w:eastAsia="宋体" w:cs="宋体"/>
          <w:spacing w:val="-6"/>
          <w:sz w:val="24"/>
          <w:szCs w:val="24"/>
        </w:rPr>
        <w:t>浓度过高，与水</w:t>
      </w:r>
      <w:r>
        <w:rPr>
          <w:rFonts w:ascii="宋体" w:hAnsi="宋体" w:eastAsia="宋体" w:cs="宋体"/>
          <w:spacing w:val="-7"/>
          <w:sz w:val="24"/>
          <w:szCs w:val="24"/>
        </w:rPr>
        <w:t xml:space="preserve">反应生成亚硫酸盐的速度超 </w:t>
      </w:r>
      <w:r>
        <w:rPr>
          <w:rFonts w:ascii="宋体" w:hAnsi="宋体" w:eastAsia="宋体" w:cs="宋体"/>
          <w:spacing w:val="-11"/>
          <w:sz w:val="24"/>
          <w:szCs w:val="24"/>
        </w:rPr>
        <w:t>过植物细胞将其氧化成硫酸盐的速度，</w:t>
      </w:r>
      <w:r>
        <w:rPr>
          <w:rFonts w:ascii="宋体" w:hAnsi="宋体" w:eastAsia="宋体" w:cs="宋体"/>
          <w:spacing w:val="-39"/>
          <w:sz w:val="24"/>
          <w:szCs w:val="24"/>
        </w:rPr>
        <w:t xml:space="preserve"> </w:t>
      </w:r>
      <w:r>
        <w:rPr>
          <w:rFonts w:ascii="宋体" w:hAnsi="宋体" w:eastAsia="宋体" w:cs="宋体"/>
          <w:spacing w:val="-11"/>
          <w:sz w:val="24"/>
          <w:szCs w:val="24"/>
        </w:rPr>
        <w:t>就会引起</w:t>
      </w:r>
      <w:r>
        <w:rPr>
          <w:rFonts w:ascii="宋体" w:hAnsi="宋体" w:eastAsia="宋体" w:cs="宋体"/>
          <w:spacing w:val="-12"/>
          <w:sz w:val="24"/>
          <w:szCs w:val="24"/>
        </w:rPr>
        <w:t>植物的急性伤害，</w:t>
      </w:r>
      <w:r>
        <w:rPr>
          <w:rFonts w:ascii="宋体" w:hAnsi="宋体" w:eastAsia="宋体" w:cs="宋体"/>
          <w:spacing w:val="-41"/>
          <w:sz w:val="24"/>
          <w:szCs w:val="24"/>
        </w:rPr>
        <w:t xml:space="preserve"> </w:t>
      </w:r>
      <w:r>
        <w:rPr>
          <w:rFonts w:ascii="宋体" w:hAnsi="宋体" w:eastAsia="宋体" w:cs="宋体"/>
          <w:spacing w:val="-12"/>
          <w:sz w:val="24"/>
          <w:szCs w:val="24"/>
        </w:rPr>
        <w:t>造成植物枯死。</w:t>
      </w:r>
      <w:r>
        <w:rPr>
          <w:rFonts w:ascii="宋体" w:hAnsi="宋体" w:eastAsia="宋体" w:cs="宋体"/>
          <w:sz w:val="24"/>
          <w:szCs w:val="24"/>
        </w:rPr>
        <w:t xml:space="preserve"> </w:t>
      </w:r>
      <w:r>
        <w:rPr>
          <w:rFonts w:ascii="宋体" w:hAnsi="宋体" w:eastAsia="宋体" w:cs="宋体"/>
          <w:spacing w:val="-7"/>
          <w:sz w:val="24"/>
          <w:szCs w:val="24"/>
        </w:rPr>
        <w:t>在雨天高浓度的</w:t>
      </w:r>
      <w:r>
        <w:rPr>
          <w:rFonts w:ascii="宋体" w:hAnsi="宋体" w:eastAsia="宋体" w:cs="宋体"/>
          <w:spacing w:val="-42"/>
          <w:sz w:val="24"/>
          <w:szCs w:val="24"/>
        </w:rPr>
        <w:t xml:space="preserve"> </w:t>
      </w:r>
      <w:r>
        <w:rPr>
          <w:rFonts w:ascii="Times New Roman" w:hAnsi="Times New Roman" w:eastAsia="Times New Roman" w:cs="Times New Roman"/>
          <w:spacing w:val="-7"/>
          <w:sz w:val="24"/>
          <w:szCs w:val="24"/>
        </w:rPr>
        <w:t>SO</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7"/>
          <w:sz w:val="24"/>
          <w:szCs w:val="24"/>
        </w:rPr>
        <w:t xml:space="preserve">还可能形成酸雨， 对植物造成更大的危害。但这种影响是可 </w:t>
      </w:r>
      <w:r>
        <w:rPr>
          <w:rFonts w:ascii="宋体" w:hAnsi="宋体" w:eastAsia="宋体" w:cs="宋体"/>
          <w:spacing w:val="-5"/>
          <w:sz w:val="24"/>
          <w:szCs w:val="24"/>
        </w:rPr>
        <w:t>逆的，</w:t>
      </w:r>
      <w:r>
        <w:rPr>
          <w:rFonts w:ascii="宋体" w:hAnsi="宋体" w:eastAsia="宋体" w:cs="宋体"/>
          <w:spacing w:val="-26"/>
          <w:sz w:val="24"/>
          <w:szCs w:val="24"/>
        </w:rPr>
        <w:t xml:space="preserve"> </w:t>
      </w:r>
      <w:r>
        <w:rPr>
          <w:rFonts w:ascii="宋体" w:hAnsi="宋体" w:eastAsia="宋体" w:cs="宋体"/>
          <w:spacing w:val="-5"/>
          <w:sz w:val="24"/>
          <w:szCs w:val="24"/>
        </w:rPr>
        <w:t>事故得到控制后能够恢复。项目区域无</w:t>
      </w:r>
      <w:r>
        <w:rPr>
          <w:rFonts w:ascii="宋体" w:hAnsi="宋体" w:eastAsia="宋体" w:cs="宋体"/>
          <w:spacing w:val="-6"/>
          <w:sz w:val="24"/>
          <w:szCs w:val="24"/>
        </w:rPr>
        <w:t>自然保护区、风景区等敏感生态区</w:t>
      </w:r>
    </w:p>
    <w:p>
      <w:pPr>
        <w:spacing w:line="220" w:lineRule="auto"/>
        <w:ind w:left="39"/>
        <w:rPr>
          <w:rFonts w:ascii="宋体" w:hAnsi="宋体" w:eastAsia="宋体" w:cs="宋体"/>
          <w:sz w:val="24"/>
          <w:szCs w:val="24"/>
        </w:rPr>
      </w:pPr>
      <w:r>
        <w:rPr>
          <w:rFonts w:ascii="宋体" w:hAnsi="宋体" w:eastAsia="宋体" w:cs="宋体"/>
          <w:spacing w:val="-2"/>
          <w:sz w:val="24"/>
          <w:szCs w:val="24"/>
        </w:rPr>
        <w:t>域，为农业生态环境，事故对生态环境的影响是可恢复的。</w:t>
      </w:r>
    </w:p>
    <w:p>
      <w:pPr>
        <w:spacing w:before="194" w:line="480" w:lineRule="exact"/>
        <w:ind w:left="520"/>
        <w:rPr>
          <w:rFonts w:ascii="宋体" w:hAnsi="宋体" w:eastAsia="宋体" w:cs="宋体"/>
          <w:sz w:val="24"/>
          <w:szCs w:val="24"/>
        </w:rPr>
      </w:pPr>
      <w:r>
        <w:rPr>
          <w:rFonts w:ascii="宋体" w:hAnsi="宋体" w:eastAsia="宋体" w:cs="宋体"/>
          <w:spacing w:val="-6"/>
          <w:position w:val="18"/>
          <w:sz w:val="24"/>
          <w:szCs w:val="24"/>
        </w:rPr>
        <w:t>就农业生态环境而言， 事故发生后对生态</w:t>
      </w:r>
      <w:r>
        <w:rPr>
          <w:rFonts w:ascii="宋体" w:hAnsi="宋体" w:eastAsia="宋体" w:cs="宋体"/>
          <w:spacing w:val="-7"/>
          <w:position w:val="18"/>
          <w:sz w:val="24"/>
          <w:szCs w:val="24"/>
        </w:rPr>
        <w:t>环境的影响是可恢复的。事故发生</w:t>
      </w:r>
    </w:p>
    <w:p>
      <w:pPr>
        <w:spacing w:before="1" w:line="218" w:lineRule="auto"/>
        <w:ind w:left="40"/>
        <w:rPr>
          <w:rFonts w:ascii="宋体" w:hAnsi="宋体" w:eastAsia="宋体" w:cs="宋体"/>
          <w:sz w:val="24"/>
          <w:szCs w:val="24"/>
        </w:rPr>
      </w:pPr>
      <w:r>
        <w:rPr>
          <w:rFonts w:ascii="宋体" w:hAnsi="宋体" w:eastAsia="宋体" w:cs="宋体"/>
          <w:spacing w:val="-6"/>
          <w:sz w:val="24"/>
          <w:szCs w:val="24"/>
        </w:rPr>
        <w:t>后的区域农作物及植被不会出现大范围的影响，</w:t>
      </w:r>
      <w:r>
        <w:rPr>
          <w:rFonts w:ascii="宋体" w:hAnsi="宋体" w:eastAsia="宋体" w:cs="宋体"/>
          <w:spacing w:val="-11"/>
          <w:sz w:val="24"/>
          <w:szCs w:val="24"/>
        </w:rPr>
        <w:t xml:space="preserve"> </w:t>
      </w:r>
      <w:r>
        <w:rPr>
          <w:rFonts w:ascii="宋体" w:hAnsi="宋体" w:eastAsia="宋体" w:cs="宋体"/>
          <w:spacing w:val="-6"/>
          <w:sz w:val="24"/>
          <w:szCs w:val="24"/>
        </w:rPr>
        <w:t>主要在井口附近区域出现植被受</w:t>
      </w:r>
    </w:p>
    <w:p>
      <w:pPr>
        <w:spacing w:line="218" w:lineRule="auto"/>
        <w:rPr>
          <w:rFonts w:ascii="宋体" w:hAnsi="宋体" w:eastAsia="宋体" w:cs="宋体"/>
          <w:sz w:val="24"/>
          <w:szCs w:val="24"/>
        </w:rPr>
        <w:sectPr>
          <w:headerReference r:id="rId255" w:type="default"/>
          <w:footerReference r:id="rId256" w:type="default"/>
          <w:pgSz w:w="11907" w:h="16839"/>
          <w:pgMar w:top="1123" w:right="1709" w:bottom="1149" w:left="1769" w:header="1108" w:footer="988" w:gutter="0"/>
          <w:cols w:space="720" w:num="1"/>
        </w:sectPr>
      </w:pPr>
    </w:p>
    <w:p>
      <w:pPr>
        <w:pStyle w:val="2"/>
        <w:spacing w:line="413" w:lineRule="auto"/>
        <w:rPr>
          <w:sz w:val="21"/>
        </w:rPr>
      </w:pPr>
    </w:p>
    <w:p>
      <w:pPr>
        <w:spacing w:before="78" w:line="219" w:lineRule="auto"/>
        <w:ind w:left="38"/>
        <w:rPr>
          <w:rFonts w:ascii="宋体" w:hAnsi="宋体" w:eastAsia="宋体" w:cs="宋体"/>
          <w:sz w:val="24"/>
          <w:szCs w:val="24"/>
        </w:rPr>
      </w:pPr>
      <w:r>
        <w:rPr>
          <w:rFonts w:ascii="宋体" w:hAnsi="宋体" w:eastAsia="宋体" w:cs="宋体"/>
          <w:spacing w:val="-2"/>
          <w:sz w:val="24"/>
          <w:szCs w:val="24"/>
        </w:rPr>
        <w:t>损：井喷后生态环境基本能恢复到原来的状</w:t>
      </w:r>
      <w:r>
        <w:rPr>
          <w:rFonts w:ascii="宋体" w:hAnsi="宋体" w:eastAsia="宋体" w:cs="宋体"/>
          <w:spacing w:val="-3"/>
          <w:sz w:val="24"/>
          <w:szCs w:val="24"/>
        </w:rPr>
        <w:t>态。</w:t>
      </w:r>
    </w:p>
    <w:p>
      <w:pPr>
        <w:spacing w:before="195"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8</w:t>
      </w: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H</w:t>
      </w:r>
      <w:r>
        <w:rPr>
          <w:rFonts w:ascii="Times New Roman" w:hAnsi="Times New Roman" w:eastAsia="Times New Roman" w:cs="Times New Roman"/>
          <w:b/>
          <w:bCs/>
          <w:spacing w:val="-1"/>
          <w:sz w:val="16"/>
          <w:szCs w:val="16"/>
        </w:rPr>
        <w:t>2</w:t>
      </w:r>
      <w:r>
        <w:rPr>
          <w:rFonts w:ascii="Times New Roman" w:hAnsi="Times New Roman" w:eastAsia="Times New Roman" w:cs="Times New Roman"/>
          <w:b/>
          <w:bCs/>
          <w:spacing w:val="-1"/>
          <w:sz w:val="24"/>
          <w:szCs w:val="24"/>
        </w:rPr>
        <w:t xml:space="preserve">S </w:t>
      </w:r>
      <w:r>
        <w:rPr>
          <w:rFonts w:ascii="宋体" w:hAnsi="宋体" w:eastAsia="宋体" w:cs="宋体"/>
          <w:spacing w:val="-1"/>
          <w:sz w:val="24"/>
          <w:szCs w:val="24"/>
          <w14:textOutline w14:w="4354" w14:cap="flat" w14:cmpd="sng">
            <w14:solidFill>
              <w14:srgbClr w14:val="000000"/>
            </w14:solidFill>
            <w14:prstDash w14:val="solid"/>
            <w14:miter w14:val="10"/>
          </w14:textOutline>
        </w:rPr>
        <w:t>扩散对人体健康的影响分析</w:t>
      </w:r>
    </w:p>
    <w:p>
      <w:pPr>
        <w:spacing w:before="197" w:line="369" w:lineRule="auto"/>
        <w:ind w:left="40" w:right="27" w:firstLine="478"/>
        <w:jc w:val="both"/>
        <w:rPr>
          <w:rFonts w:ascii="宋体" w:hAnsi="宋体" w:eastAsia="宋体" w:cs="宋体"/>
          <w:sz w:val="24"/>
          <w:szCs w:val="24"/>
        </w:rPr>
      </w:pPr>
      <w:r>
        <w:rPr>
          <w:rFonts w:ascii="宋体" w:hAnsi="宋体" w:eastAsia="宋体" w:cs="宋体"/>
          <w:spacing w:val="4"/>
          <w:sz w:val="24"/>
          <w:szCs w:val="24"/>
        </w:rPr>
        <w:t>根据项目设计资料，工程目的层天然气主要成分为甲烷，含有少量硫化氢</w:t>
      </w:r>
      <w:r>
        <w:rPr>
          <w:rFonts w:ascii="宋体" w:hAnsi="宋体" w:eastAsia="宋体" w:cs="宋体"/>
          <w:spacing w:val="14"/>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22"/>
          <w:position w:val="-1"/>
          <w:sz w:val="16"/>
          <w:szCs w:val="16"/>
        </w:rPr>
        <w:t xml:space="preserve"> </w:t>
      </w:r>
      <w:r>
        <w:rPr>
          <w:rFonts w:ascii="Times New Roman" w:hAnsi="Times New Roman" w:eastAsia="Times New Roman" w:cs="Times New Roman"/>
          <w:spacing w:val="-7"/>
          <w:sz w:val="24"/>
          <w:szCs w:val="24"/>
        </w:rPr>
        <w:t>S</w:t>
      </w:r>
      <w:r>
        <w:rPr>
          <w:rFonts w:ascii="宋体" w:hAnsi="宋体" w:eastAsia="宋体" w:cs="宋体"/>
          <w:spacing w:val="-46"/>
          <w:w w:val="98"/>
          <w:sz w:val="24"/>
          <w:szCs w:val="24"/>
        </w:rPr>
        <w:t>）。</w:t>
      </w:r>
      <w:r>
        <w:rPr>
          <w:rFonts w:ascii="Times New Roman" w:hAnsi="Times New Roman" w:eastAsia="Times New Roman" w:cs="Times New Roman"/>
          <w:spacing w:val="-46"/>
          <w:w w:val="98"/>
          <w:sz w:val="24"/>
          <w:szCs w:val="24"/>
        </w:rPr>
        <w:t>H</w:t>
      </w:r>
      <w:r>
        <w:rPr>
          <w:rFonts w:ascii="Times New Roman" w:hAnsi="Times New Roman" w:eastAsia="Times New Roman" w:cs="Times New Roman"/>
          <w:spacing w:val="-6"/>
          <w:position w:val="-1"/>
          <w:sz w:val="16"/>
          <w:szCs w:val="16"/>
        </w:rPr>
        <w:t>2</w:t>
      </w:r>
      <w:r>
        <w:rPr>
          <w:rFonts w:ascii="Times New Roman" w:hAnsi="Times New Roman" w:eastAsia="Times New Roman" w:cs="Times New Roman"/>
          <w:spacing w:val="-24"/>
          <w:position w:val="-1"/>
          <w:sz w:val="16"/>
          <w:szCs w:val="16"/>
        </w:rPr>
        <w:t xml:space="preserve"> </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是一种神经毒剂， 亦为窒息性和刺激性气体</w:t>
      </w:r>
      <w:r>
        <w:rPr>
          <w:rFonts w:ascii="宋体" w:hAnsi="宋体" w:eastAsia="宋体" w:cs="宋体"/>
          <w:spacing w:val="-7"/>
          <w:sz w:val="24"/>
          <w:szCs w:val="24"/>
        </w:rPr>
        <w:t>。其毒作用的主要靶器</w:t>
      </w:r>
      <w:r>
        <w:rPr>
          <w:rFonts w:ascii="宋体" w:hAnsi="宋体" w:eastAsia="宋体" w:cs="宋体"/>
          <w:sz w:val="24"/>
          <w:szCs w:val="24"/>
        </w:rPr>
        <w:t xml:space="preserve"> </w:t>
      </w:r>
      <w:r>
        <w:rPr>
          <w:rFonts w:ascii="宋体" w:hAnsi="宋体" w:eastAsia="宋体" w:cs="宋体"/>
          <w:spacing w:val="-10"/>
          <w:sz w:val="24"/>
          <w:szCs w:val="24"/>
        </w:rPr>
        <w:t>是中枢神经系统和呼吸系统，</w:t>
      </w:r>
      <w:r>
        <w:rPr>
          <w:rFonts w:ascii="宋体" w:hAnsi="宋体" w:eastAsia="宋体" w:cs="宋体"/>
          <w:spacing w:val="26"/>
          <w:sz w:val="24"/>
          <w:szCs w:val="24"/>
        </w:rPr>
        <w:t xml:space="preserve"> </w:t>
      </w:r>
      <w:r>
        <w:rPr>
          <w:rFonts w:ascii="宋体" w:hAnsi="宋体" w:eastAsia="宋体" w:cs="宋体"/>
          <w:spacing w:val="-10"/>
          <w:sz w:val="24"/>
          <w:szCs w:val="24"/>
        </w:rPr>
        <w:t>亦可伴有心脏等多器官损害， 对毒作用</w:t>
      </w:r>
      <w:r>
        <w:rPr>
          <w:rFonts w:ascii="宋体" w:hAnsi="宋体" w:eastAsia="宋体" w:cs="宋体"/>
          <w:spacing w:val="-11"/>
          <w:sz w:val="24"/>
          <w:szCs w:val="24"/>
        </w:rPr>
        <w:t>最敏感的组</w:t>
      </w:r>
      <w:r>
        <w:rPr>
          <w:rFonts w:ascii="宋体" w:hAnsi="宋体" w:eastAsia="宋体" w:cs="宋体"/>
          <w:sz w:val="24"/>
          <w:szCs w:val="24"/>
        </w:rPr>
        <w:t xml:space="preserve"> </w:t>
      </w:r>
      <w:r>
        <w:rPr>
          <w:rFonts w:ascii="宋体" w:hAnsi="宋体" w:eastAsia="宋体" w:cs="宋体"/>
          <w:spacing w:val="-3"/>
          <w:sz w:val="24"/>
          <w:szCs w:val="24"/>
        </w:rPr>
        <w:t>织是脑和黏膜接触部位。硫化氢在体内大部分经氧化代谢形成硫代硫酸盐和硫酸</w:t>
      </w:r>
      <w:r>
        <w:rPr>
          <w:rFonts w:ascii="宋体" w:hAnsi="宋体" w:eastAsia="宋体" w:cs="宋体"/>
          <w:spacing w:val="3"/>
          <w:sz w:val="24"/>
          <w:szCs w:val="24"/>
        </w:rPr>
        <w:t xml:space="preserve"> </w:t>
      </w:r>
      <w:r>
        <w:rPr>
          <w:rFonts w:ascii="宋体" w:hAnsi="宋体" w:eastAsia="宋体" w:cs="宋体"/>
          <w:spacing w:val="-9"/>
          <w:sz w:val="24"/>
          <w:szCs w:val="24"/>
        </w:rPr>
        <w:t>盐而解毒， 在代谢过程中谷胱甘肽可能起激发作用： 少部分可经甲</w:t>
      </w:r>
      <w:r>
        <w:rPr>
          <w:rFonts w:ascii="宋体" w:hAnsi="宋体" w:eastAsia="宋体" w:cs="宋体"/>
          <w:spacing w:val="-10"/>
          <w:sz w:val="24"/>
          <w:szCs w:val="24"/>
        </w:rPr>
        <w:t>基化代谢而形</w:t>
      </w:r>
      <w:r>
        <w:rPr>
          <w:rFonts w:ascii="宋体" w:hAnsi="宋体" w:eastAsia="宋体" w:cs="宋体"/>
          <w:sz w:val="24"/>
          <w:szCs w:val="24"/>
        </w:rPr>
        <w:t xml:space="preserve"> </w:t>
      </w:r>
      <w:r>
        <w:rPr>
          <w:rFonts w:ascii="宋体" w:hAnsi="宋体" w:eastAsia="宋体" w:cs="宋体"/>
          <w:spacing w:val="-6"/>
          <w:sz w:val="24"/>
          <w:szCs w:val="24"/>
        </w:rPr>
        <w:t>成毒性较低的甲硫醇和甲硫醚， 但高浓度甲硫醇对中枢神经系统有麻醉作</w:t>
      </w:r>
      <w:r>
        <w:rPr>
          <w:rFonts w:ascii="宋体" w:hAnsi="宋体" w:eastAsia="宋体" w:cs="宋体"/>
          <w:spacing w:val="-7"/>
          <w:sz w:val="24"/>
          <w:szCs w:val="24"/>
        </w:rPr>
        <w:t>用。体</w:t>
      </w:r>
      <w:r>
        <w:rPr>
          <w:rFonts w:ascii="宋体" w:hAnsi="宋体" w:eastAsia="宋体" w:cs="宋体"/>
          <w:sz w:val="24"/>
          <w:szCs w:val="24"/>
        </w:rPr>
        <w:t xml:space="preserve"> </w:t>
      </w:r>
      <w:r>
        <w:rPr>
          <w:rFonts w:ascii="宋体" w:hAnsi="宋体" w:eastAsia="宋体" w:cs="宋体"/>
          <w:spacing w:val="-17"/>
          <w:sz w:val="24"/>
          <w:szCs w:val="24"/>
        </w:rPr>
        <w:t>内代谢产物可在</w:t>
      </w:r>
      <w:r>
        <w:rPr>
          <w:rFonts w:ascii="宋体" w:hAnsi="宋体" w:eastAsia="宋体" w:cs="宋体"/>
          <w:spacing w:val="-51"/>
          <w:sz w:val="24"/>
          <w:szCs w:val="24"/>
        </w:rPr>
        <w:t xml:space="preserve"> </w:t>
      </w:r>
      <w:r>
        <w:rPr>
          <w:rFonts w:ascii="Times New Roman" w:hAnsi="Times New Roman" w:eastAsia="Times New Roman" w:cs="Times New Roman"/>
          <w:spacing w:val="-17"/>
          <w:sz w:val="24"/>
          <w:szCs w:val="24"/>
        </w:rPr>
        <w:t>24h</w:t>
      </w:r>
      <w:r>
        <w:rPr>
          <w:rFonts w:ascii="Times New Roman" w:hAnsi="Times New Roman" w:eastAsia="Times New Roman" w:cs="Times New Roman"/>
          <w:spacing w:val="39"/>
          <w:sz w:val="24"/>
          <w:szCs w:val="24"/>
        </w:rPr>
        <w:t xml:space="preserve"> </w:t>
      </w:r>
      <w:r>
        <w:rPr>
          <w:rFonts w:ascii="宋体" w:hAnsi="宋体" w:eastAsia="宋体" w:cs="宋体"/>
          <w:spacing w:val="-17"/>
          <w:sz w:val="24"/>
          <w:szCs w:val="24"/>
        </w:rPr>
        <w:t>内随尿排出，</w:t>
      </w:r>
      <w:r>
        <w:rPr>
          <w:rFonts w:ascii="宋体" w:hAnsi="宋体" w:eastAsia="宋体" w:cs="宋体"/>
          <w:spacing w:val="37"/>
          <w:sz w:val="24"/>
          <w:szCs w:val="24"/>
        </w:rPr>
        <w:t xml:space="preserve"> </w:t>
      </w:r>
      <w:r>
        <w:rPr>
          <w:rFonts w:ascii="宋体" w:hAnsi="宋体" w:eastAsia="宋体" w:cs="宋体"/>
          <w:spacing w:val="-17"/>
          <w:sz w:val="24"/>
          <w:szCs w:val="24"/>
        </w:rPr>
        <w:t>部分随粪排出，</w:t>
      </w:r>
      <w:r>
        <w:rPr>
          <w:rFonts w:ascii="宋体" w:hAnsi="宋体" w:eastAsia="宋体" w:cs="宋体"/>
          <w:spacing w:val="35"/>
          <w:sz w:val="24"/>
          <w:szCs w:val="24"/>
        </w:rPr>
        <w:t xml:space="preserve"> </w:t>
      </w:r>
      <w:r>
        <w:rPr>
          <w:rFonts w:ascii="宋体" w:hAnsi="宋体" w:eastAsia="宋体" w:cs="宋体"/>
          <w:spacing w:val="-17"/>
          <w:sz w:val="24"/>
          <w:szCs w:val="24"/>
        </w:rPr>
        <w:t>少部分以原形经肺呼出，</w:t>
      </w:r>
      <w:r>
        <w:rPr>
          <w:rFonts w:ascii="宋体" w:hAnsi="宋体" w:eastAsia="宋体" w:cs="宋体"/>
          <w:spacing w:val="33"/>
          <w:sz w:val="24"/>
          <w:szCs w:val="24"/>
        </w:rPr>
        <w:t xml:space="preserve"> </w:t>
      </w:r>
      <w:r>
        <w:rPr>
          <w:rFonts w:ascii="宋体" w:hAnsi="宋体" w:eastAsia="宋体" w:cs="宋体"/>
          <w:spacing w:val="-17"/>
          <w:sz w:val="24"/>
          <w:szCs w:val="24"/>
        </w:rPr>
        <w:t>在体</w:t>
      </w:r>
      <w:r>
        <w:rPr>
          <w:rFonts w:ascii="宋体" w:hAnsi="宋体" w:eastAsia="宋体" w:cs="宋体"/>
          <w:sz w:val="24"/>
          <w:szCs w:val="24"/>
        </w:rPr>
        <w:t xml:space="preserve"> </w:t>
      </w:r>
      <w:r>
        <w:rPr>
          <w:rFonts w:ascii="宋体" w:hAnsi="宋体" w:eastAsia="宋体" w:cs="宋体"/>
          <w:spacing w:val="-3"/>
          <w:sz w:val="24"/>
          <w:szCs w:val="24"/>
        </w:rPr>
        <w:t>内无蓄积。</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的急性毒作用靶器官和中毒机制可因其不同的浓</w:t>
      </w:r>
      <w:r>
        <w:rPr>
          <w:rFonts w:ascii="宋体" w:hAnsi="宋体" w:eastAsia="宋体" w:cs="宋体"/>
          <w:spacing w:val="-4"/>
          <w:sz w:val="24"/>
          <w:szCs w:val="24"/>
        </w:rPr>
        <w:t>度和接触时间而</w:t>
      </w:r>
      <w:r>
        <w:rPr>
          <w:rFonts w:ascii="宋体" w:hAnsi="宋体" w:eastAsia="宋体" w:cs="宋体"/>
          <w:sz w:val="24"/>
          <w:szCs w:val="24"/>
        </w:rPr>
        <w:t xml:space="preserve"> </w:t>
      </w:r>
      <w:r>
        <w:rPr>
          <w:rFonts w:ascii="宋体" w:hAnsi="宋体" w:eastAsia="宋体" w:cs="宋体"/>
          <w:spacing w:val="-7"/>
          <w:sz w:val="24"/>
          <w:szCs w:val="24"/>
        </w:rPr>
        <w:t>异。浓度越高则枢神经抑制作用越明显，</w:t>
      </w:r>
      <w:r>
        <w:rPr>
          <w:rFonts w:ascii="宋体" w:hAnsi="宋体" w:eastAsia="宋体" w:cs="宋体"/>
          <w:spacing w:val="34"/>
          <w:sz w:val="24"/>
          <w:szCs w:val="24"/>
        </w:rPr>
        <w:t xml:space="preserve"> </w:t>
      </w:r>
      <w:r>
        <w:rPr>
          <w:rFonts w:ascii="宋体" w:hAnsi="宋体" w:eastAsia="宋体" w:cs="宋体"/>
          <w:spacing w:val="-7"/>
          <w:sz w:val="24"/>
          <w:szCs w:val="24"/>
        </w:rPr>
        <w:t>浓度相对较低时黏膜</w:t>
      </w:r>
      <w:r>
        <w:rPr>
          <w:rFonts w:ascii="宋体" w:hAnsi="宋体" w:eastAsia="宋体" w:cs="宋体"/>
          <w:spacing w:val="-8"/>
          <w:sz w:val="24"/>
          <w:szCs w:val="24"/>
        </w:rPr>
        <w:t>刺激作用明显。硫</w:t>
      </w:r>
    </w:p>
    <w:p>
      <w:pPr>
        <w:spacing w:line="219" w:lineRule="auto"/>
        <w:ind w:left="39"/>
        <w:rPr>
          <w:rFonts w:ascii="宋体" w:hAnsi="宋体" w:eastAsia="宋体" w:cs="宋体"/>
          <w:sz w:val="24"/>
          <w:szCs w:val="24"/>
        </w:rPr>
      </w:pPr>
      <w:r>
        <w:rPr>
          <w:rFonts w:ascii="宋体" w:hAnsi="宋体" w:eastAsia="宋体" w:cs="宋体"/>
          <w:spacing w:val="-3"/>
          <w:sz w:val="24"/>
          <w:szCs w:val="24"/>
        </w:rPr>
        <w:t>化氢扩散容易对周边居民身体产生影响。</w:t>
      </w:r>
    </w:p>
    <w:p>
      <w:pPr>
        <w:spacing w:before="194" w:line="220" w:lineRule="auto"/>
        <w:ind w:left="526"/>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z w:val="24"/>
          <w:szCs w:val="24"/>
        </w:rPr>
        <w:t>9</w:t>
      </w:r>
      <w:r>
        <w:rPr>
          <w:rFonts w:ascii="宋体" w:hAnsi="宋体" w:eastAsia="宋体" w:cs="宋体"/>
          <w:sz w:val="24"/>
          <w:szCs w:val="24"/>
          <w14:textOutline w14:w="4354" w14:cap="flat" w14:cmpd="sng">
            <w14:solidFill>
              <w14:srgbClr w14:val="000000"/>
            </w14:solidFill>
            <w14:prstDash w14:val="solid"/>
            <w14:miter w14:val="10"/>
          </w14:textOutline>
        </w:rPr>
        <w:t>）废油、油基岩屑及油基泥浆收集和运</w:t>
      </w:r>
      <w:r>
        <w:rPr>
          <w:rFonts w:ascii="宋体" w:hAnsi="宋体" w:eastAsia="宋体" w:cs="宋体"/>
          <w:spacing w:val="-1"/>
          <w:sz w:val="24"/>
          <w:szCs w:val="24"/>
          <w14:textOutline w14:w="4354" w14:cap="flat" w14:cmpd="sng">
            <w14:solidFill>
              <w14:srgbClr w14:val="000000"/>
            </w14:solidFill>
            <w14:prstDash w14:val="solid"/>
            <w14:miter w14:val="10"/>
          </w14:textOutline>
        </w:rPr>
        <w:t>输的风险</w:t>
      </w:r>
    </w:p>
    <w:p>
      <w:pPr>
        <w:spacing w:before="195" w:line="480" w:lineRule="exact"/>
        <w:ind w:right="27"/>
        <w:jc w:val="right"/>
        <w:rPr>
          <w:rFonts w:ascii="宋体" w:hAnsi="宋体" w:eastAsia="宋体" w:cs="宋体"/>
          <w:sz w:val="24"/>
          <w:szCs w:val="24"/>
        </w:rPr>
      </w:pPr>
      <w:r>
        <w:rPr>
          <w:rFonts w:ascii="宋体" w:hAnsi="宋体" w:eastAsia="宋体" w:cs="宋体"/>
          <w:spacing w:val="-3"/>
          <w:position w:val="18"/>
          <w:sz w:val="24"/>
          <w:szCs w:val="24"/>
        </w:rPr>
        <w:t>项目产生的废油、废油基泥浆及油基岩屑若处置不当会污染周边的环境</w:t>
      </w:r>
      <w:r>
        <w:rPr>
          <w:rFonts w:ascii="宋体" w:hAnsi="宋体" w:eastAsia="宋体" w:cs="宋体"/>
          <w:spacing w:val="-4"/>
          <w:position w:val="18"/>
          <w:sz w:val="24"/>
          <w:szCs w:val="24"/>
        </w:rPr>
        <w:t>。此</w:t>
      </w:r>
    </w:p>
    <w:p>
      <w:pPr>
        <w:spacing w:before="1" w:line="218" w:lineRule="auto"/>
        <w:ind w:left="42"/>
        <w:rPr>
          <w:rFonts w:ascii="宋体" w:hAnsi="宋体" w:eastAsia="宋体" w:cs="宋体"/>
          <w:sz w:val="24"/>
          <w:szCs w:val="24"/>
        </w:rPr>
      </w:pPr>
      <w:r>
        <w:rPr>
          <w:rFonts w:ascii="宋体" w:hAnsi="宋体" w:eastAsia="宋体" w:cs="宋体"/>
          <w:spacing w:val="-1"/>
          <w:sz w:val="24"/>
          <w:szCs w:val="24"/>
        </w:rPr>
        <w:t>外，转运过程中若出现交通事故，导致污染</w:t>
      </w:r>
      <w:r>
        <w:rPr>
          <w:rFonts w:ascii="宋体" w:hAnsi="宋体" w:eastAsia="宋体" w:cs="宋体"/>
          <w:spacing w:val="-2"/>
          <w:sz w:val="24"/>
          <w:szCs w:val="24"/>
        </w:rPr>
        <w:t>物泄漏，会造成水体和土壤污染。</w:t>
      </w:r>
    </w:p>
    <w:p>
      <w:pPr>
        <w:spacing w:line="218" w:lineRule="auto"/>
        <w:rPr>
          <w:rFonts w:ascii="宋体" w:hAnsi="宋体" w:eastAsia="宋体" w:cs="宋体"/>
          <w:sz w:val="24"/>
          <w:szCs w:val="24"/>
        </w:rPr>
        <w:sectPr>
          <w:headerReference r:id="rId257" w:type="default"/>
          <w:footerReference r:id="rId258" w:type="default"/>
          <w:pgSz w:w="11907" w:h="16839"/>
          <w:pgMar w:top="1123" w:right="1766" w:bottom="1149" w:left="1769" w:header="1108" w:footer="988" w:gutter="0"/>
          <w:cols w:space="720" w:num="1"/>
        </w:sectPr>
      </w:pPr>
    </w:p>
    <w:p>
      <w:pPr>
        <w:pStyle w:val="2"/>
        <w:spacing w:line="253" w:lineRule="auto"/>
        <w:rPr>
          <w:sz w:val="21"/>
        </w:rPr>
      </w:pPr>
    </w:p>
    <w:p>
      <w:pPr>
        <w:spacing w:before="117" w:line="234" w:lineRule="auto"/>
        <w:ind w:left="1652"/>
        <w:rPr>
          <w:rFonts w:ascii="宋体" w:hAnsi="宋体" w:eastAsia="宋体" w:cs="宋体"/>
          <w:sz w:val="36"/>
          <w:szCs w:val="36"/>
        </w:rPr>
      </w:pPr>
      <w:bookmarkStart w:id="59" w:name="bookmark60"/>
      <w:bookmarkEnd w:id="59"/>
      <w:bookmarkStart w:id="60" w:name="bookmark62"/>
      <w:bookmarkEnd w:id="60"/>
      <w:bookmarkStart w:id="61" w:name="bookmark61"/>
      <w:bookmarkEnd w:id="61"/>
      <w:r>
        <w:rPr>
          <w:rFonts w:ascii="Times New Roman" w:hAnsi="Times New Roman" w:eastAsia="Times New Roman" w:cs="Times New Roman"/>
          <w:b/>
          <w:bCs/>
          <w:spacing w:val="8"/>
          <w:sz w:val="36"/>
          <w:szCs w:val="36"/>
        </w:rPr>
        <w:t xml:space="preserve">‘ </w:t>
      </w:r>
      <w:r>
        <w:rPr>
          <w:rFonts w:ascii="宋体" w:hAnsi="宋体" w:eastAsia="宋体" w:cs="宋体"/>
          <w:spacing w:val="8"/>
          <w:sz w:val="36"/>
          <w:szCs w:val="36"/>
          <w14:textOutline w14:w="6531" w14:cap="flat" w14:cmpd="sng">
            <w14:solidFill>
              <w14:srgbClr w14:val="000000"/>
            </w14:solidFill>
            <w14:prstDash w14:val="solid"/>
            <w14:miter w14:val="10"/>
          </w14:textOutline>
        </w:rPr>
        <w:t>环境风险防范措施及应急要求</w:t>
      </w:r>
    </w:p>
    <w:p>
      <w:pPr>
        <w:pStyle w:val="2"/>
        <w:spacing w:line="286" w:lineRule="auto"/>
        <w:rPr>
          <w:sz w:val="21"/>
        </w:rPr>
      </w:pPr>
    </w:p>
    <w:p>
      <w:pPr>
        <w:spacing w:before="78" w:line="220" w:lineRule="auto"/>
        <w:ind w:left="37"/>
        <w:rPr>
          <w:rFonts w:ascii="宋体" w:hAnsi="宋体" w:eastAsia="宋体" w:cs="宋体"/>
          <w:sz w:val="24"/>
          <w:szCs w:val="24"/>
        </w:rPr>
      </w:pPr>
      <w:r>
        <w:rPr>
          <w:rFonts w:ascii="Times New Roman" w:hAnsi="Times New Roman" w:eastAsia="Times New Roman" w:cs="Times New Roman"/>
          <w:b/>
          <w:bCs/>
          <w:spacing w:val="-1"/>
          <w:sz w:val="24"/>
          <w:szCs w:val="24"/>
        </w:rPr>
        <w:t xml:space="preserve">6.1 </w:t>
      </w:r>
      <w:r>
        <w:rPr>
          <w:rFonts w:ascii="宋体" w:hAnsi="宋体" w:eastAsia="宋体" w:cs="宋体"/>
          <w:spacing w:val="-1"/>
          <w:sz w:val="24"/>
          <w:szCs w:val="24"/>
          <w14:textOutline w14:w="4354" w14:cap="flat" w14:cmpd="sng">
            <w14:solidFill>
              <w14:srgbClr w14:val="000000"/>
            </w14:solidFill>
            <w14:prstDash w14:val="solid"/>
            <w14:miter w14:val="10"/>
          </w14:textOutline>
        </w:rPr>
        <w:t>环境风险管理目标</w:t>
      </w:r>
    </w:p>
    <w:p>
      <w:pPr>
        <w:spacing w:before="195" w:line="369" w:lineRule="auto"/>
        <w:ind w:left="53" w:right="42" w:firstLine="464"/>
        <w:jc w:val="both"/>
        <w:rPr>
          <w:rFonts w:ascii="宋体" w:hAnsi="宋体" w:eastAsia="宋体" w:cs="宋体"/>
          <w:sz w:val="24"/>
          <w:szCs w:val="24"/>
        </w:rPr>
      </w:pPr>
      <w:r>
        <w:rPr>
          <w:rFonts w:ascii="宋体" w:hAnsi="宋体" w:eastAsia="宋体" w:cs="宋体"/>
          <w:spacing w:val="-3"/>
          <w:sz w:val="24"/>
          <w:szCs w:val="24"/>
        </w:rPr>
        <w:t>环境风险管理目标是采用最低合理可行原则管控环境风险。采取的环境风险</w:t>
      </w:r>
      <w:r>
        <w:rPr>
          <w:rFonts w:ascii="宋体" w:hAnsi="宋体" w:eastAsia="宋体" w:cs="宋体"/>
          <w:sz w:val="24"/>
          <w:szCs w:val="24"/>
        </w:rPr>
        <w:t xml:space="preserve"> </w:t>
      </w:r>
      <w:r>
        <w:rPr>
          <w:rFonts w:ascii="宋体" w:hAnsi="宋体" w:eastAsia="宋体" w:cs="宋体"/>
          <w:spacing w:val="-5"/>
          <w:sz w:val="24"/>
          <w:szCs w:val="24"/>
        </w:rPr>
        <w:t>防范措施应与社会经济技术发展水平相适应， 运用科学的技术手段和管理方法，</w:t>
      </w:r>
    </w:p>
    <w:p>
      <w:pPr>
        <w:spacing w:line="220" w:lineRule="auto"/>
        <w:ind w:left="37"/>
        <w:rPr>
          <w:rFonts w:ascii="宋体" w:hAnsi="宋体" w:eastAsia="宋体" w:cs="宋体"/>
          <w:sz w:val="24"/>
          <w:szCs w:val="24"/>
        </w:rPr>
      </w:pPr>
      <w:r>
        <w:rPr>
          <w:rFonts w:ascii="宋体" w:hAnsi="宋体" w:eastAsia="宋体" w:cs="宋体"/>
          <w:spacing w:val="-3"/>
          <w:sz w:val="24"/>
          <w:szCs w:val="24"/>
        </w:rPr>
        <w:t>对环境风险进行有效的预防、监控、响应。</w:t>
      </w:r>
    </w:p>
    <w:p>
      <w:pPr>
        <w:spacing w:before="194" w:line="220" w:lineRule="auto"/>
        <w:ind w:left="37"/>
        <w:rPr>
          <w:rFonts w:ascii="宋体" w:hAnsi="宋体" w:eastAsia="宋体" w:cs="宋体"/>
          <w:sz w:val="24"/>
          <w:szCs w:val="24"/>
        </w:rPr>
      </w:pPr>
      <w:r>
        <w:rPr>
          <w:rFonts w:ascii="Times New Roman" w:hAnsi="Times New Roman" w:eastAsia="Times New Roman" w:cs="Times New Roman"/>
          <w:b/>
          <w:bCs/>
          <w:spacing w:val="-1"/>
          <w:sz w:val="24"/>
          <w:szCs w:val="24"/>
        </w:rPr>
        <w:t xml:space="preserve">6.2 </w:t>
      </w:r>
      <w:r>
        <w:rPr>
          <w:rFonts w:ascii="宋体" w:hAnsi="宋体" w:eastAsia="宋体" w:cs="宋体"/>
          <w:spacing w:val="-1"/>
          <w:sz w:val="24"/>
          <w:szCs w:val="24"/>
          <w14:textOutline w14:w="4354" w14:cap="flat" w14:cmpd="sng">
            <w14:solidFill>
              <w14:srgbClr w14:val="000000"/>
            </w14:solidFill>
            <w14:prstDash w14:val="solid"/>
            <w14:miter w14:val="10"/>
          </w14:textOutline>
        </w:rPr>
        <w:t>环境风险防范措施</w:t>
      </w:r>
    </w:p>
    <w:p>
      <w:pPr>
        <w:spacing w:before="194" w:line="220" w:lineRule="auto"/>
        <w:ind w:left="37"/>
        <w:rPr>
          <w:rFonts w:ascii="宋体" w:hAnsi="宋体" w:eastAsia="宋体" w:cs="宋体"/>
          <w:sz w:val="24"/>
          <w:szCs w:val="24"/>
        </w:rPr>
      </w:pPr>
      <w:r>
        <w:rPr>
          <w:rFonts w:ascii="Times New Roman" w:hAnsi="Times New Roman" w:eastAsia="Times New Roman" w:cs="Times New Roman"/>
          <w:b/>
          <w:bCs/>
          <w:spacing w:val="-1"/>
          <w:sz w:val="24"/>
          <w:szCs w:val="24"/>
        </w:rPr>
        <w:t xml:space="preserve">6.2.1 </w:t>
      </w:r>
      <w:r>
        <w:rPr>
          <w:rFonts w:ascii="宋体" w:hAnsi="宋体" w:eastAsia="宋体" w:cs="宋体"/>
          <w:spacing w:val="-1"/>
          <w:sz w:val="24"/>
          <w:szCs w:val="24"/>
          <w14:textOutline w14:w="4354" w14:cap="flat" w14:cmpd="sng">
            <w14:solidFill>
              <w14:srgbClr w14:val="000000"/>
            </w14:solidFill>
            <w14:prstDash w14:val="solid"/>
            <w14:miter w14:val="10"/>
          </w14:textOutline>
        </w:rPr>
        <w:t>井喷风险防范措施</w:t>
      </w:r>
    </w:p>
    <w:p>
      <w:pPr>
        <w:spacing w:before="194"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）钻井工程井控措施</w:t>
      </w:r>
    </w:p>
    <w:p>
      <w:pPr>
        <w:spacing w:before="196" w:line="369" w:lineRule="auto"/>
        <w:ind w:left="39" w:right="103" w:firstLine="479"/>
        <w:rPr>
          <w:rFonts w:ascii="宋体" w:hAnsi="宋体" w:eastAsia="宋体" w:cs="宋体"/>
          <w:sz w:val="24"/>
          <w:szCs w:val="24"/>
        </w:rPr>
      </w:pPr>
      <w:r>
        <w:rPr>
          <w:rFonts w:ascii="宋体" w:hAnsi="宋体" w:eastAsia="宋体" w:cs="宋体"/>
          <w:spacing w:val="-8"/>
          <w:sz w:val="24"/>
          <w:szCs w:val="24"/>
        </w:rPr>
        <w:t>凤探</w:t>
      </w:r>
      <w:r>
        <w:rPr>
          <w:rFonts w:ascii="宋体" w:hAnsi="宋体" w:eastAsia="宋体" w:cs="宋体"/>
          <w:spacing w:val="-14"/>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井钻遇地层中有中高含硫气层， 钻井施工中应严格按照《石油天然气</w:t>
      </w:r>
      <w:r>
        <w:rPr>
          <w:rFonts w:ascii="宋体" w:hAnsi="宋体" w:eastAsia="宋体" w:cs="宋体"/>
          <w:sz w:val="24"/>
          <w:szCs w:val="24"/>
        </w:rPr>
        <w:t xml:space="preserve"> </w:t>
      </w:r>
      <w:r>
        <w:rPr>
          <w:rFonts w:ascii="宋体" w:hAnsi="宋体" w:eastAsia="宋体" w:cs="宋体"/>
          <w:spacing w:val="-9"/>
          <w:sz w:val="24"/>
          <w:szCs w:val="24"/>
        </w:rPr>
        <w:t>工业健康、安全与环境管理体系》《石油天然气</w:t>
      </w:r>
      <w:r>
        <w:rPr>
          <w:rFonts w:ascii="宋体" w:hAnsi="宋体" w:eastAsia="宋体" w:cs="宋体"/>
          <w:spacing w:val="-10"/>
          <w:sz w:val="24"/>
          <w:szCs w:val="24"/>
        </w:rPr>
        <w:t>钻井作业健康、安全与环境管理</w:t>
      </w:r>
      <w:r>
        <w:rPr>
          <w:rFonts w:ascii="宋体" w:hAnsi="宋体" w:eastAsia="宋体" w:cs="宋体"/>
          <w:sz w:val="24"/>
          <w:szCs w:val="24"/>
        </w:rPr>
        <w:t xml:space="preserve"> </w:t>
      </w:r>
      <w:r>
        <w:rPr>
          <w:rFonts w:ascii="宋体" w:hAnsi="宋体" w:eastAsia="宋体" w:cs="宋体"/>
          <w:spacing w:val="-14"/>
          <w:sz w:val="24"/>
          <w:szCs w:val="24"/>
        </w:rPr>
        <w:t>导则》《石油天然气钻井井控技术规范》（</w:t>
      </w:r>
      <w:r>
        <w:rPr>
          <w:rFonts w:ascii="Times New Roman" w:hAnsi="Times New Roman" w:eastAsia="Times New Roman" w:cs="Times New Roman"/>
          <w:spacing w:val="-14"/>
          <w:sz w:val="24"/>
          <w:szCs w:val="24"/>
        </w:rPr>
        <w:t>GB/T31033-2014</w:t>
      </w:r>
      <w:r>
        <w:rPr>
          <w:rFonts w:ascii="宋体" w:hAnsi="宋体" w:eastAsia="宋体" w:cs="宋体"/>
          <w:spacing w:val="-14"/>
          <w:sz w:val="24"/>
          <w:szCs w:val="24"/>
        </w:rPr>
        <w:t>）、《钻井井控技术规</w:t>
      </w:r>
      <w:r>
        <w:rPr>
          <w:rFonts w:ascii="宋体" w:hAnsi="宋体" w:eastAsia="宋体" w:cs="宋体"/>
          <w:spacing w:val="9"/>
          <w:sz w:val="24"/>
          <w:szCs w:val="24"/>
        </w:rPr>
        <w:t xml:space="preserve"> </w:t>
      </w:r>
      <w:r>
        <w:rPr>
          <w:rFonts w:ascii="宋体" w:hAnsi="宋体" w:eastAsia="宋体" w:cs="宋体"/>
          <w:spacing w:val="-3"/>
          <w:sz w:val="24"/>
          <w:szCs w:val="24"/>
        </w:rPr>
        <w:t>范》（</w:t>
      </w:r>
      <w:r>
        <w:rPr>
          <w:rFonts w:ascii="Times New Roman" w:hAnsi="Times New Roman" w:eastAsia="Times New Roman" w:cs="Times New Roman"/>
          <w:spacing w:val="-3"/>
          <w:sz w:val="24"/>
          <w:szCs w:val="24"/>
        </w:rPr>
        <w:t>Q/SY1552-2012</w:t>
      </w:r>
      <w:r>
        <w:rPr>
          <w:rFonts w:ascii="宋体" w:hAnsi="宋体" w:eastAsia="宋体" w:cs="宋体"/>
          <w:spacing w:val="-3"/>
          <w:sz w:val="24"/>
          <w:szCs w:val="24"/>
        </w:rPr>
        <w:t xml:space="preserve">）执行。防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 xml:space="preserve">S </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的安全措施应符合《硫化氢环境钻井场所</w:t>
      </w:r>
      <w:r>
        <w:rPr>
          <w:rFonts w:ascii="宋体" w:hAnsi="宋体" w:eastAsia="宋体" w:cs="宋体"/>
          <w:sz w:val="24"/>
          <w:szCs w:val="24"/>
        </w:rPr>
        <w:t xml:space="preserve"> </w:t>
      </w:r>
      <w:r>
        <w:rPr>
          <w:rFonts w:ascii="宋体" w:hAnsi="宋体" w:eastAsia="宋体" w:cs="宋体"/>
          <w:spacing w:val="-8"/>
          <w:sz w:val="24"/>
          <w:szCs w:val="24"/>
        </w:rPr>
        <w:t>作业安全规范》（</w:t>
      </w:r>
      <w:r>
        <w:rPr>
          <w:rFonts w:ascii="Times New Roman" w:hAnsi="Times New Roman" w:eastAsia="Times New Roman" w:cs="Times New Roman"/>
          <w:spacing w:val="-8"/>
          <w:sz w:val="24"/>
          <w:szCs w:val="24"/>
        </w:rPr>
        <w:t>SY/T  5087-2017</w:t>
      </w:r>
      <w:r>
        <w:rPr>
          <w:rFonts w:ascii="宋体" w:hAnsi="宋体" w:eastAsia="宋体" w:cs="宋体"/>
          <w:spacing w:val="-8"/>
          <w:sz w:val="24"/>
          <w:szCs w:val="24"/>
        </w:rPr>
        <w:t>）、《含硫化氢油气井钻井井控装置配套、安装</w:t>
      </w:r>
      <w:r>
        <w:rPr>
          <w:rFonts w:ascii="宋体" w:hAnsi="宋体" w:eastAsia="宋体" w:cs="宋体"/>
          <w:spacing w:val="14"/>
          <w:sz w:val="24"/>
          <w:szCs w:val="24"/>
        </w:rPr>
        <w:t xml:space="preserve"> </w:t>
      </w:r>
      <w:r>
        <w:rPr>
          <w:rFonts w:ascii="宋体" w:hAnsi="宋体" w:eastAsia="宋体" w:cs="宋体"/>
          <w:spacing w:val="-12"/>
          <w:sz w:val="24"/>
          <w:szCs w:val="24"/>
        </w:rPr>
        <w:t>和使用规范》（</w:t>
      </w:r>
      <w:r>
        <w:rPr>
          <w:rFonts w:ascii="Times New Roman" w:hAnsi="Times New Roman" w:eastAsia="Times New Roman" w:cs="Times New Roman"/>
          <w:spacing w:val="-12"/>
          <w:sz w:val="24"/>
          <w:szCs w:val="24"/>
        </w:rPr>
        <w:t>SY/T6616-2005</w:t>
      </w:r>
      <w:r>
        <w:rPr>
          <w:rFonts w:ascii="宋体" w:hAnsi="宋体" w:eastAsia="宋体" w:cs="宋体"/>
          <w:spacing w:val="-12"/>
          <w:sz w:val="24"/>
          <w:szCs w:val="24"/>
        </w:rPr>
        <w:t>）、《硫</w:t>
      </w:r>
      <w:r>
        <w:rPr>
          <w:rFonts w:ascii="宋体" w:hAnsi="宋体" w:eastAsia="宋体" w:cs="宋体"/>
          <w:spacing w:val="-13"/>
          <w:sz w:val="24"/>
          <w:szCs w:val="24"/>
        </w:rPr>
        <w:t>化氢环境人身防护规范》（</w:t>
      </w:r>
      <w:r>
        <w:rPr>
          <w:rFonts w:ascii="Times New Roman" w:hAnsi="Times New Roman" w:eastAsia="Times New Roman" w:cs="Times New Roman"/>
          <w:spacing w:val="-13"/>
          <w:sz w:val="24"/>
          <w:szCs w:val="24"/>
        </w:rPr>
        <w:t>SY/T 6277-2017</w:t>
      </w:r>
      <w:r>
        <w:rPr>
          <w:rFonts w:ascii="宋体" w:hAnsi="宋体" w:eastAsia="宋体" w:cs="宋体"/>
          <w:spacing w:val="-13"/>
          <w:sz w:val="24"/>
          <w:szCs w:val="24"/>
        </w:rPr>
        <w:t>）</w:t>
      </w:r>
    </w:p>
    <w:p>
      <w:pPr>
        <w:spacing w:before="1" w:line="215" w:lineRule="auto"/>
        <w:ind w:left="37"/>
        <w:rPr>
          <w:rFonts w:ascii="宋体" w:hAnsi="宋体" w:eastAsia="宋体" w:cs="宋体"/>
          <w:sz w:val="24"/>
          <w:szCs w:val="24"/>
        </w:rPr>
      </w:pPr>
      <w:r>
        <w:rPr>
          <w:rFonts w:ascii="宋体" w:hAnsi="宋体" w:eastAsia="宋体" w:cs="宋体"/>
          <w:spacing w:val="-6"/>
          <w:sz w:val="24"/>
          <w:szCs w:val="24"/>
        </w:rPr>
        <w:t>及《含硫油气井钻井作业规范》（</w:t>
      </w:r>
      <w:r>
        <w:rPr>
          <w:rFonts w:ascii="Times New Roman" w:hAnsi="Times New Roman" w:eastAsia="Times New Roman" w:cs="Times New Roman"/>
          <w:spacing w:val="-6"/>
          <w:sz w:val="24"/>
          <w:szCs w:val="24"/>
        </w:rPr>
        <w:t>Q/SY</w:t>
      </w:r>
      <w:r>
        <w:rPr>
          <w:rFonts w:ascii="Times New Roman" w:hAnsi="Times New Roman" w:eastAsia="Times New Roman" w:cs="Times New Roman"/>
          <w:spacing w:val="23"/>
          <w:w w:val="101"/>
          <w:sz w:val="24"/>
          <w:szCs w:val="24"/>
        </w:rPr>
        <w:t xml:space="preserve"> </w:t>
      </w:r>
      <w:r>
        <w:rPr>
          <w:rFonts w:ascii="Times New Roman" w:hAnsi="Times New Roman" w:eastAsia="Times New Roman" w:cs="Times New Roman"/>
          <w:spacing w:val="-6"/>
          <w:sz w:val="24"/>
          <w:szCs w:val="24"/>
        </w:rPr>
        <w:t>1115-2014</w:t>
      </w:r>
      <w:r>
        <w:rPr>
          <w:rFonts w:ascii="宋体" w:hAnsi="宋体" w:eastAsia="宋体" w:cs="宋体"/>
          <w:spacing w:val="-6"/>
          <w:sz w:val="24"/>
          <w:szCs w:val="24"/>
        </w:rPr>
        <w:t>）的要求。</w:t>
      </w:r>
    </w:p>
    <w:p>
      <w:pPr>
        <w:spacing w:before="200"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）施工设计中的防井喷措施</w:t>
      </w:r>
    </w:p>
    <w:p>
      <w:pPr>
        <w:spacing w:before="194" w:line="369" w:lineRule="auto"/>
        <w:ind w:left="38" w:right="103" w:firstLine="478"/>
        <w:rPr>
          <w:rFonts w:ascii="宋体" w:hAnsi="宋体" w:eastAsia="宋体" w:cs="宋体"/>
          <w:sz w:val="24"/>
          <w:szCs w:val="24"/>
        </w:rPr>
      </w:pPr>
      <w:r>
        <w:rPr>
          <w:rFonts w:ascii="宋体" w:hAnsi="宋体" w:eastAsia="宋体" w:cs="宋体"/>
          <w:spacing w:val="-3"/>
          <w:sz w:val="24"/>
          <w:szCs w:val="24"/>
        </w:rPr>
        <w:t>①选择合理的压井液。新井投产和试油、试气施工应参照钻穿油、气层时钻</w:t>
      </w:r>
      <w:r>
        <w:rPr>
          <w:rFonts w:ascii="宋体" w:hAnsi="宋体" w:eastAsia="宋体" w:cs="宋体"/>
          <w:spacing w:val="3"/>
          <w:sz w:val="24"/>
          <w:szCs w:val="24"/>
        </w:rPr>
        <w:t xml:space="preserve"> </w:t>
      </w:r>
      <w:r>
        <w:rPr>
          <w:rFonts w:ascii="宋体" w:hAnsi="宋体" w:eastAsia="宋体" w:cs="宋体"/>
          <w:spacing w:val="-9"/>
          <w:sz w:val="24"/>
          <w:szCs w:val="24"/>
        </w:rPr>
        <w:t>井泥浆性能， 认真选择合理的压井液， 避免因压井液性能达不到施工要</w:t>
      </w:r>
      <w:r>
        <w:rPr>
          <w:rFonts w:ascii="宋体" w:hAnsi="宋体" w:eastAsia="宋体" w:cs="宋体"/>
          <w:spacing w:val="-10"/>
          <w:sz w:val="24"/>
          <w:szCs w:val="24"/>
        </w:rPr>
        <w:t>求而造成</w:t>
      </w:r>
    </w:p>
    <w:p>
      <w:pPr>
        <w:spacing w:before="1" w:line="220" w:lineRule="auto"/>
        <w:ind w:left="38"/>
        <w:rPr>
          <w:rFonts w:ascii="宋体" w:hAnsi="宋体" w:eastAsia="宋体" w:cs="宋体"/>
          <w:sz w:val="24"/>
          <w:szCs w:val="24"/>
        </w:rPr>
      </w:pPr>
      <w:r>
        <w:rPr>
          <w:rFonts w:ascii="宋体" w:hAnsi="宋体" w:eastAsia="宋体" w:cs="宋体"/>
          <w:spacing w:val="-8"/>
          <w:sz w:val="24"/>
          <w:szCs w:val="24"/>
        </w:rPr>
        <w:t>井喷污染。</w:t>
      </w:r>
    </w:p>
    <w:p>
      <w:pPr>
        <w:spacing w:before="194" w:line="217" w:lineRule="auto"/>
        <w:ind w:left="516"/>
        <w:rPr>
          <w:rFonts w:ascii="宋体" w:hAnsi="宋体" w:eastAsia="宋体" w:cs="宋体"/>
          <w:sz w:val="24"/>
          <w:szCs w:val="24"/>
        </w:rPr>
      </w:pPr>
      <w:r>
        <w:rPr>
          <w:rFonts w:ascii="宋体" w:hAnsi="宋体" w:eastAsia="宋体" w:cs="宋体"/>
          <w:spacing w:val="-4"/>
          <w:sz w:val="24"/>
          <w:szCs w:val="24"/>
        </w:rPr>
        <w:t>②选择合理的射孔方式。</w:t>
      </w:r>
    </w:p>
    <w:p>
      <w:pPr>
        <w:spacing w:before="197" w:line="480" w:lineRule="exact"/>
        <w:ind w:left="516"/>
        <w:rPr>
          <w:rFonts w:ascii="宋体" w:hAnsi="宋体" w:eastAsia="宋体" w:cs="宋体"/>
          <w:sz w:val="24"/>
          <w:szCs w:val="24"/>
        </w:rPr>
      </w:pPr>
      <w:r>
        <w:rPr>
          <w:rFonts w:ascii="宋体" w:hAnsi="宋体" w:eastAsia="宋体" w:cs="宋体"/>
          <w:spacing w:val="-3"/>
          <w:position w:val="18"/>
          <w:sz w:val="24"/>
          <w:szCs w:val="24"/>
        </w:rPr>
        <w:t>③规定出上提钻具速度。井内下有大直径工具（工具外径超过油层</w:t>
      </w:r>
      <w:r>
        <w:rPr>
          <w:rFonts w:ascii="宋体" w:hAnsi="宋体" w:eastAsia="宋体" w:cs="宋体"/>
          <w:spacing w:val="-4"/>
          <w:position w:val="18"/>
          <w:sz w:val="24"/>
          <w:szCs w:val="24"/>
        </w:rPr>
        <w:t>套管内径</w:t>
      </w:r>
    </w:p>
    <w:p>
      <w:pPr>
        <w:spacing w:before="1" w:line="219" w:lineRule="auto"/>
        <w:jc w:val="right"/>
        <w:rPr>
          <w:rFonts w:ascii="宋体" w:hAnsi="宋体" w:eastAsia="宋体" w:cs="宋体"/>
          <w:sz w:val="24"/>
          <w:szCs w:val="24"/>
        </w:rPr>
      </w:pPr>
      <w:r>
        <w:rPr>
          <w:rFonts w:ascii="Times New Roman" w:hAnsi="Times New Roman" w:eastAsia="Times New Roman" w:cs="Times New Roman"/>
          <w:sz w:val="24"/>
          <w:szCs w:val="24"/>
        </w:rPr>
        <w:t>80%</w:t>
      </w:r>
      <w:r>
        <w:rPr>
          <w:rFonts w:ascii="宋体" w:hAnsi="宋体" w:eastAsia="宋体" w:cs="宋体"/>
          <w:sz w:val="24"/>
          <w:szCs w:val="24"/>
        </w:rPr>
        <w:t>以上）的井，严禁高速起钻，防止因高速起钻引起抽汲作用造成井喷污染。</w:t>
      </w:r>
    </w:p>
    <w:p>
      <w:pPr>
        <w:spacing w:before="195" w:line="217" w:lineRule="auto"/>
        <w:ind w:left="516"/>
        <w:rPr>
          <w:rFonts w:ascii="宋体" w:hAnsi="宋体" w:eastAsia="宋体" w:cs="宋体"/>
          <w:sz w:val="24"/>
          <w:szCs w:val="24"/>
        </w:rPr>
      </w:pPr>
      <w:r>
        <w:rPr>
          <w:rFonts w:ascii="宋体" w:hAnsi="宋体" w:eastAsia="宋体" w:cs="宋体"/>
          <w:spacing w:val="-3"/>
          <w:sz w:val="24"/>
          <w:szCs w:val="24"/>
        </w:rPr>
        <w:t>④对防喷装置的配备要有明确要求。</w:t>
      </w:r>
    </w:p>
    <w:p>
      <w:pPr>
        <w:spacing w:before="197" w:line="481" w:lineRule="exact"/>
        <w:ind w:left="516"/>
        <w:rPr>
          <w:rFonts w:ascii="宋体" w:hAnsi="宋体" w:eastAsia="宋体" w:cs="宋体"/>
          <w:sz w:val="24"/>
          <w:szCs w:val="24"/>
        </w:rPr>
      </w:pPr>
      <w:r>
        <w:rPr>
          <w:rFonts w:ascii="宋体" w:hAnsi="宋体" w:eastAsia="宋体" w:cs="宋体"/>
          <w:spacing w:val="-6"/>
          <w:position w:val="18"/>
          <w:sz w:val="24"/>
          <w:szCs w:val="24"/>
        </w:rPr>
        <w:t>⑤选择使用有利于防止和控制井喷的井下管柱和工具，</w:t>
      </w:r>
      <w:r>
        <w:rPr>
          <w:rFonts w:ascii="宋体" w:hAnsi="宋体" w:eastAsia="宋体" w:cs="宋体"/>
          <w:spacing w:val="-7"/>
          <w:position w:val="18"/>
          <w:sz w:val="24"/>
          <w:szCs w:val="24"/>
        </w:rPr>
        <w:t xml:space="preserve"> 以适应突发事故的处</w:t>
      </w:r>
    </w:p>
    <w:p>
      <w:pPr>
        <w:spacing w:before="1" w:line="219" w:lineRule="auto"/>
        <w:ind w:left="41"/>
        <w:rPr>
          <w:rFonts w:ascii="宋体" w:hAnsi="宋体" w:eastAsia="宋体" w:cs="宋体"/>
          <w:sz w:val="24"/>
          <w:szCs w:val="24"/>
        </w:rPr>
      </w:pPr>
      <w:r>
        <w:rPr>
          <w:rFonts w:ascii="宋体" w:hAnsi="宋体" w:eastAsia="宋体" w:cs="宋体"/>
          <w:spacing w:val="-5"/>
          <w:sz w:val="24"/>
          <w:szCs w:val="24"/>
        </w:rPr>
        <w:t>理和补救措施的需要。</w:t>
      </w:r>
    </w:p>
    <w:p>
      <w:pPr>
        <w:spacing w:before="195"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）钻井作业中的井喷防范措施</w:t>
      </w:r>
    </w:p>
    <w:p>
      <w:pPr>
        <w:spacing w:before="193" w:line="480" w:lineRule="exact"/>
        <w:jc w:val="right"/>
        <w:rPr>
          <w:rFonts w:ascii="宋体" w:hAnsi="宋体" w:eastAsia="宋体" w:cs="宋体"/>
          <w:sz w:val="24"/>
          <w:szCs w:val="24"/>
        </w:rPr>
      </w:pPr>
      <w:r>
        <w:rPr>
          <w:rFonts w:ascii="宋体" w:hAnsi="宋体" w:eastAsia="宋体" w:cs="宋体"/>
          <w:spacing w:val="25"/>
          <w:position w:val="18"/>
          <w:sz w:val="24"/>
          <w:szCs w:val="24"/>
        </w:rPr>
        <w:t>施工单位应按《</w:t>
      </w:r>
      <w:r>
        <w:rPr>
          <w:rFonts w:ascii="宋体" w:hAnsi="宋体" w:eastAsia="宋体" w:cs="宋体"/>
          <w:spacing w:val="-45"/>
          <w:position w:val="18"/>
          <w:sz w:val="24"/>
          <w:szCs w:val="24"/>
        </w:rPr>
        <w:t xml:space="preserve"> </w:t>
      </w:r>
      <w:r>
        <w:rPr>
          <w:rFonts w:ascii="宋体" w:hAnsi="宋体" w:eastAsia="宋体" w:cs="宋体"/>
          <w:spacing w:val="25"/>
          <w:position w:val="18"/>
          <w:sz w:val="24"/>
          <w:szCs w:val="24"/>
        </w:rPr>
        <w:t>石油天然气钻井健康</w:t>
      </w:r>
      <w:r>
        <w:rPr>
          <w:rFonts w:ascii="宋体" w:hAnsi="宋体" w:eastAsia="宋体" w:cs="宋体"/>
          <w:spacing w:val="-61"/>
          <w:position w:val="18"/>
          <w:sz w:val="24"/>
          <w:szCs w:val="24"/>
        </w:rPr>
        <w:t xml:space="preserve"> </w:t>
      </w:r>
      <w:r>
        <w:rPr>
          <w:rFonts w:ascii="宋体" w:hAnsi="宋体" w:eastAsia="宋体" w:cs="宋体"/>
          <w:spacing w:val="25"/>
          <w:position w:val="18"/>
          <w:sz w:val="24"/>
          <w:szCs w:val="24"/>
        </w:rPr>
        <w:t>、</w:t>
      </w:r>
      <w:r>
        <w:rPr>
          <w:rFonts w:ascii="宋体" w:hAnsi="宋体" w:eastAsia="宋体" w:cs="宋体"/>
          <w:spacing w:val="-70"/>
          <w:position w:val="18"/>
          <w:sz w:val="24"/>
          <w:szCs w:val="24"/>
        </w:rPr>
        <w:t xml:space="preserve"> </w:t>
      </w:r>
      <w:r>
        <w:rPr>
          <w:rFonts w:ascii="宋体" w:hAnsi="宋体" w:eastAsia="宋体" w:cs="宋体"/>
          <w:spacing w:val="25"/>
          <w:position w:val="18"/>
          <w:sz w:val="24"/>
          <w:szCs w:val="24"/>
        </w:rPr>
        <w:t>安全与环境管理体系指南</w:t>
      </w:r>
      <w:r>
        <w:rPr>
          <w:rFonts w:ascii="宋体" w:hAnsi="宋体" w:eastAsia="宋体" w:cs="宋体"/>
          <w:spacing w:val="-61"/>
          <w:position w:val="18"/>
          <w:sz w:val="24"/>
          <w:szCs w:val="24"/>
        </w:rPr>
        <w:t xml:space="preserve"> </w:t>
      </w:r>
      <w:r>
        <w:rPr>
          <w:rFonts w:ascii="宋体" w:hAnsi="宋体" w:eastAsia="宋体" w:cs="宋体"/>
          <w:spacing w:val="25"/>
          <w:position w:val="18"/>
          <w:sz w:val="24"/>
          <w:szCs w:val="24"/>
        </w:rPr>
        <w:t>》</w:t>
      </w:r>
    </w:p>
    <w:p>
      <w:pPr>
        <w:spacing w:before="1" w:line="219" w:lineRule="auto"/>
        <w:ind w:left="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SY/T6283-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1997</w:t>
      </w:r>
      <w:r>
        <w:rPr>
          <w:rFonts w:ascii="宋体" w:hAnsi="宋体" w:eastAsia="宋体" w:cs="宋体"/>
          <w:spacing w:val="-6"/>
          <w:sz w:val="24"/>
          <w:szCs w:val="24"/>
        </w:rPr>
        <w:t>）、中国石油天然气集团公司《石油天然</w:t>
      </w:r>
      <w:r>
        <w:rPr>
          <w:rFonts w:ascii="宋体" w:hAnsi="宋体" w:eastAsia="宋体" w:cs="宋体"/>
          <w:spacing w:val="-7"/>
          <w:sz w:val="24"/>
          <w:szCs w:val="24"/>
        </w:rPr>
        <w:t>气钻井作业健康、安全</w:t>
      </w:r>
    </w:p>
    <w:p>
      <w:pPr>
        <w:spacing w:line="219" w:lineRule="auto"/>
        <w:rPr>
          <w:rFonts w:ascii="宋体" w:hAnsi="宋体" w:eastAsia="宋体" w:cs="宋体"/>
          <w:sz w:val="24"/>
          <w:szCs w:val="24"/>
        </w:rPr>
        <w:sectPr>
          <w:headerReference r:id="rId259" w:type="default"/>
          <w:footerReference r:id="rId260" w:type="default"/>
          <w:pgSz w:w="11907" w:h="16839"/>
          <w:pgMar w:top="1123" w:right="1690" w:bottom="1149" w:left="1769" w:header="1108" w:footer="988" w:gutter="0"/>
          <w:cols w:space="720" w:num="1"/>
        </w:sectPr>
      </w:pPr>
    </w:p>
    <w:p>
      <w:pPr>
        <w:pStyle w:val="2"/>
        <w:spacing w:line="415" w:lineRule="auto"/>
        <w:rPr>
          <w:sz w:val="21"/>
        </w:rPr>
      </w:pPr>
    </w:p>
    <w:p>
      <w:pPr>
        <w:spacing w:before="78" w:line="369" w:lineRule="auto"/>
        <w:ind w:left="38" w:right="86" w:firstLine="4"/>
        <w:jc w:val="both"/>
        <w:rPr>
          <w:rFonts w:ascii="宋体" w:hAnsi="宋体" w:eastAsia="宋体" w:cs="宋体"/>
          <w:sz w:val="24"/>
          <w:szCs w:val="24"/>
        </w:rPr>
      </w:pPr>
      <w:r>
        <w:rPr>
          <w:rFonts w:ascii="宋体" w:hAnsi="宋体" w:eastAsia="宋体" w:cs="宋体"/>
          <w:spacing w:val="-16"/>
          <w:sz w:val="24"/>
          <w:szCs w:val="24"/>
        </w:rPr>
        <w:t>与环境管理导则》《井下作业井控实施细则》（</w:t>
      </w:r>
      <w:r>
        <w:rPr>
          <w:rFonts w:ascii="Times New Roman" w:hAnsi="Times New Roman" w:eastAsia="Times New Roman" w:cs="Times New Roman"/>
          <w:spacing w:val="-16"/>
          <w:sz w:val="24"/>
          <w:szCs w:val="24"/>
        </w:rPr>
        <w:t>2018</w:t>
      </w:r>
      <w:r>
        <w:rPr>
          <w:rFonts w:ascii="Times New Roman" w:hAnsi="Times New Roman" w:eastAsia="Times New Roman" w:cs="Times New Roman"/>
          <w:spacing w:val="11"/>
          <w:sz w:val="24"/>
          <w:szCs w:val="24"/>
        </w:rPr>
        <w:t xml:space="preserve"> </w:t>
      </w:r>
      <w:r>
        <w:rPr>
          <w:rFonts w:ascii="宋体" w:hAnsi="宋体" w:eastAsia="宋体" w:cs="宋体"/>
          <w:spacing w:val="-16"/>
          <w:sz w:val="24"/>
          <w:szCs w:val="24"/>
        </w:rPr>
        <w:t>年，</w:t>
      </w:r>
      <w:r>
        <w:rPr>
          <w:rFonts w:ascii="宋体" w:hAnsi="宋体" w:eastAsia="宋体" w:cs="宋体"/>
          <w:spacing w:val="-31"/>
          <w:sz w:val="24"/>
          <w:szCs w:val="24"/>
        </w:rPr>
        <w:t xml:space="preserve"> </w:t>
      </w:r>
      <w:r>
        <w:rPr>
          <w:rFonts w:ascii="宋体" w:hAnsi="宋体" w:eastAsia="宋体" w:cs="宋体"/>
          <w:spacing w:val="-16"/>
          <w:sz w:val="24"/>
          <w:szCs w:val="24"/>
        </w:rPr>
        <w:t>西南油气田分公司） 及</w:t>
      </w:r>
      <w:r>
        <w:rPr>
          <w:rFonts w:ascii="宋体" w:hAnsi="宋体" w:eastAsia="宋体" w:cs="宋体"/>
          <w:sz w:val="24"/>
          <w:szCs w:val="24"/>
        </w:rPr>
        <w:t xml:space="preserve"> </w:t>
      </w:r>
      <w:r>
        <w:rPr>
          <w:rFonts w:ascii="宋体" w:hAnsi="宋体" w:eastAsia="宋体" w:cs="宋体"/>
          <w:spacing w:val="-6"/>
          <w:sz w:val="24"/>
          <w:szCs w:val="24"/>
        </w:rPr>
        <w:t>相关的井控技术标准和规范中的有关规定执行， 并针对本井情况制定具</w:t>
      </w:r>
      <w:r>
        <w:rPr>
          <w:rFonts w:ascii="宋体" w:hAnsi="宋体" w:eastAsia="宋体" w:cs="宋体"/>
          <w:spacing w:val="-7"/>
          <w:sz w:val="24"/>
          <w:szCs w:val="24"/>
        </w:rPr>
        <w:t>体的可操</w:t>
      </w:r>
    </w:p>
    <w:p>
      <w:pPr>
        <w:spacing w:line="220" w:lineRule="auto"/>
        <w:ind w:left="39"/>
        <w:rPr>
          <w:rFonts w:ascii="宋体" w:hAnsi="宋体" w:eastAsia="宋体" w:cs="宋体"/>
          <w:sz w:val="24"/>
          <w:szCs w:val="24"/>
        </w:rPr>
      </w:pPr>
      <w:r>
        <w:rPr>
          <w:rFonts w:ascii="宋体" w:hAnsi="宋体" w:eastAsia="宋体" w:cs="宋体"/>
          <w:spacing w:val="-6"/>
          <w:sz w:val="24"/>
          <w:szCs w:val="24"/>
        </w:rPr>
        <w:t>作的实施方案，主要包括：</w:t>
      </w:r>
    </w:p>
    <w:p>
      <w:pPr>
        <w:spacing w:before="193" w:line="480" w:lineRule="exact"/>
        <w:ind w:left="517"/>
        <w:rPr>
          <w:rFonts w:ascii="宋体" w:hAnsi="宋体" w:eastAsia="宋体" w:cs="宋体"/>
          <w:sz w:val="24"/>
          <w:szCs w:val="24"/>
        </w:rPr>
      </w:pPr>
      <w:r>
        <w:rPr>
          <w:rFonts w:ascii="宋体" w:hAnsi="宋体" w:eastAsia="宋体" w:cs="宋体"/>
          <w:spacing w:val="-3"/>
          <w:position w:val="18"/>
          <w:sz w:val="24"/>
          <w:szCs w:val="24"/>
        </w:rPr>
        <w:t>①开钻前向全队职工、钻井现场的所有工作人员进行地质、工程、钻井液和</w:t>
      </w:r>
    </w:p>
    <w:p>
      <w:pPr>
        <w:spacing w:line="219" w:lineRule="auto"/>
        <w:ind w:left="38"/>
        <w:rPr>
          <w:rFonts w:ascii="宋体" w:hAnsi="宋体" w:eastAsia="宋体" w:cs="宋体"/>
          <w:sz w:val="24"/>
          <w:szCs w:val="24"/>
        </w:rPr>
      </w:pPr>
      <w:r>
        <w:rPr>
          <w:rFonts w:ascii="宋体" w:hAnsi="宋体" w:eastAsia="宋体" w:cs="宋体"/>
          <w:spacing w:val="-2"/>
          <w:sz w:val="24"/>
          <w:szCs w:val="24"/>
        </w:rPr>
        <w:t>井控装备等方面的技术交底，并提出具体要</w:t>
      </w:r>
      <w:r>
        <w:rPr>
          <w:rFonts w:ascii="宋体" w:hAnsi="宋体" w:eastAsia="宋体" w:cs="宋体"/>
          <w:spacing w:val="-3"/>
          <w:sz w:val="24"/>
          <w:szCs w:val="24"/>
        </w:rPr>
        <w:t>求。</w:t>
      </w:r>
    </w:p>
    <w:p>
      <w:pPr>
        <w:spacing w:before="195" w:line="369" w:lineRule="auto"/>
        <w:ind w:left="38" w:right="85" w:firstLine="478"/>
        <w:rPr>
          <w:rFonts w:ascii="宋体" w:hAnsi="宋体" w:eastAsia="宋体" w:cs="宋体"/>
          <w:sz w:val="24"/>
          <w:szCs w:val="24"/>
        </w:rPr>
      </w:pPr>
      <w:r>
        <w:rPr>
          <w:rFonts w:ascii="宋体" w:hAnsi="宋体" w:eastAsia="宋体" w:cs="宋体"/>
          <w:spacing w:val="-6"/>
          <w:sz w:val="24"/>
          <w:szCs w:val="24"/>
        </w:rPr>
        <w:t>②严格执行井控工作九项管理制度， 落实溢流监测</w:t>
      </w:r>
      <w:r>
        <w:rPr>
          <w:rFonts w:ascii="宋体" w:hAnsi="宋体" w:eastAsia="宋体" w:cs="宋体"/>
          <w:spacing w:val="-7"/>
          <w:sz w:val="24"/>
          <w:szCs w:val="24"/>
        </w:rPr>
        <w:t>岗位、关井操作岗位和钻</w:t>
      </w:r>
      <w:r>
        <w:rPr>
          <w:rFonts w:ascii="宋体" w:hAnsi="宋体" w:eastAsia="宋体" w:cs="宋体"/>
          <w:sz w:val="24"/>
          <w:szCs w:val="24"/>
        </w:rPr>
        <w:t xml:space="preserve"> </w:t>
      </w:r>
      <w:r>
        <w:rPr>
          <w:rFonts w:ascii="宋体" w:hAnsi="宋体" w:eastAsia="宋体" w:cs="宋体"/>
          <w:spacing w:val="-9"/>
          <w:sz w:val="24"/>
          <w:szCs w:val="24"/>
        </w:rPr>
        <w:t>井队干部</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 xml:space="preserve">24h </w:t>
      </w:r>
      <w:r>
        <w:rPr>
          <w:rFonts w:ascii="宋体" w:hAnsi="宋体" w:eastAsia="宋体" w:cs="宋体"/>
          <w:spacing w:val="-9"/>
          <w:sz w:val="24"/>
          <w:szCs w:val="24"/>
        </w:rPr>
        <w:t>值班制度， 井控准备工作及应急预案必须经验收合格后， 方可钻开</w:t>
      </w:r>
    </w:p>
    <w:p>
      <w:pPr>
        <w:spacing w:line="219" w:lineRule="auto"/>
        <w:ind w:left="42"/>
        <w:rPr>
          <w:rFonts w:ascii="宋体" w:hAnsi="宋体" w:eastAsia="宋体" w:cs="宋体"/>
          <w:sz w:val="24"/>
          <w:szCs w:val="24"/>
        </w:rPr>
      </w:pPr>
      <w:r>
        <w:rPr>
          <w:rFonts w:ascii="宋体" w:hAnsi="宋体" w:eastAsia="宋体" w:cs="宋体"/>
          <w:spacing w:val="-10"/>
          <w:sz w:val="24"/>
          <w:szCs w:val="24"/>
        </w:rPr>
        <w:t>油气层。</w:t>
      </w:r>
    </w:p>
    <w:p>
      <w:pPr>
        <w:spacing w:before="195" w:line="480" w:lineRule="exact"/>
        <w:ind w:left="516"/>
        <w:rPr>
          <w:rFonts w:ascii="宋体" w:hAnsi="宋体" w:eastAsia="宋体" w:cs="宋体"/>
          <w:sz w:val="24"/>
          <w:szCs w:val="24"/>
        </w:rPr>
      </w:pPr>
      <w:r>
        <w:rPr>
          <w:rFonts w:ascii="宋体" w:hAnsi="宋体" w:eastAsia="宋体" w:cs="宋体"/>
          <w:spacing w:val="-3"/>
          <w:position w:val="18"/>
          <w:sz w:val="24"/>
          <w:szCs w:val="24"/>
        </w:rPr>
        <w:t>③各种井控装备及其他专用工具、消防器材、防爆电路系统配备齐全、运转</w:t>
      </w:r>
    </w:p>
    <w:p>
      <w:pPr>
        <w:spacing w:before="1" w:line="220" w:lineRule="auto"/>
        <w:ind w:left="42"/>
        <w:rPr>
          <w:rFonts w:ascii="宋体" w:hAnsi="宋体" w:eastAsia="宋体" w:cs="宋体"/>
          <w:sz w:val="24"/>
          <w:szCs w:val="24"/>
        </w:rPr>
      </w:pPr>
      <w:r>
        <w:rPr>
          <w:rFonts w:ascii="宋体" w:hAnsi="宋体" w:eastAsia="宋体" w:cs="宋体"/>
          <w:spacing w:val="-11"/>
          <w:sz w:val="24"/>
          <w:szCs w:val="24"/>
        </w:rPr>
        <w:t>正常。</w:t>
      </w:r>
    </w:p>
    <w:p>
      <w:pPr>
        <w:spacing w:before="194" w:line="369" w:lineRule="auto"/>
        <w:ind w:left="39" w:right="84" w:firstLine="477"/>
        <w:rPr>
          <w:rFonts w:ascii="宋体" w:hAnsi="宋体" w:eastAsia="宋体" w:cs="宋体"/>
          <w:sz w:val="24"/>
          <w:szCs w:val="24"/>
        </w:rPr>
      </w:pPr>
      <w:r>
        <w:rPr>
          <w:rFonts w:ascii="宋体" w:hAnsi="宋体" w:eastAsia="宋体" w:cs="宋体"/>
          <w:spacing w:val="-1"/>
          <w:sz w:val="24"/>
          <w:szCs w:val="24"/>
        </w:rPr>
        <w:t>④进入油气层前</w:t>
      </w:r>
      <w:r>
        <w:rPr>
          <w:rFonts w:ascii="宋体" w:hAnsi="宋体" w:eastAsia="宋体" w:cs="宋体"/>
          <w:spacing w:val="-65"/>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100m </w:t>
      </w:r>
      <w:r>
        <w:rPr>
          <w:rFonts w:ascii="宋体" w:hAnsi="宋体" w:eastAsia="宋体" w:cs="宋体"/>
          <w:spacing w:val="-1"/>
          <w:sz w:val="24"/>
          <w:szCs w:val="24"/>
        </w:rPr>
        <w:t>对上部裸眼段进行承压试验无井漏后并将钻井液</w:t>
      </w:r>
      <w:r>
        <w:rPr>
          <w:rFonts w:ascii="宋体" w:hAnsi="宋体" w:eastAsia="宋体" w:cs="宋体"/>
          <w:sz w:val="24"/>
          <w:szCs w:val="24"/>
        </w:rPr>
        <w:t xml:space="preserve"> </w:t>
      </w:r>
      <w:r>
        <w:rPr>
          <w:rFonts w:ascii="宋体" w:hAnsi="宋体" w:eastAsia="宋体" w:cs="宋体"/>
          <w:spacing w:val="-8"/>
          <w:sz w:val="24"/>
          <w:szCs w:val="24"/>
        </w:rPr>
        <w:t>密度逐步调整值设计要求值； 每次起钻前必须活动方钻杆旋塞一次，</w:t>
      </w:r>
      <w:r>
        <w:rPr>
          <w:rFonts w:ascii="宋体" w:hAnsi="宋体" w:eastAsia="宋体" w:cs="宋体"/>
          <w:spacing w:val="-50"/>
          <w:sz w:val="24"/>
          <w:szCs w:val="24"/>
        </w:rPr>
        <w:t xml:space="preserve"> </w:t>
      </w:r>
      <w:r>
        <w:rPr>
          <w:rFonts w:ascii="宋体" w:hAnsi="宋体" w:eastAsia="宋体" w:cs="宋体"/>
          <w:spacing w:val="-8"/>
          <w:sz w:val="24"/>
          <w:szCs w:val="24"/>
        </w:rPr>
        <w:t>每次起钻完</w:t>
      </w:r>
    </w:p>
    <w:p>
      <w:pPr>
        <w:spacing w:before="1" w:line="218" w:lineRule="auto"/>
        <w:jc w:val="right"/>
        <w:rPr>
          <w:rFonts w:ascii="宋体" w:hAnsi="宋体" w:eastAsia="宋体" w:cs="宋体"/>
          <w:sz w:val="24"/>
          <w:szCs w:val="24"/>
        </w:rPr>
      </w:pPr>
      <w:r>
        <w:rPr>
          <w:rFonts w:ascii="宋体" w:hAnsi="宋体" w:eastAsia="宋体" w:cs="宋体"/>
          <w:spacing w:val="-1"/>
          <w:sz w:val="24"/>
          <w:szCs w:val="24"/>
        </w:rPr>
        <w:t>检查活动闸板封井器一次，半月活动检查环型封井器一次，以保证其正常可靠。</w:t>
      </w:r>
    </w:p>
    <w:p>
      <w:pPr>
        <w:spacing w:before="196" w:line="369" w:lineRule="auto"/>
        <w:ind w:left="38" w:right="85" w:firstLine="478"/>
        <w:rPr>
          <w:rFonts w:ascii="宋体" w:hAnsi="宋体" w:eastAsia="宋体" w:cs="宋体"/>
          <w:sz w:val="24"/>
          <w:szCs w:val="24"/>
        </w:rPr>
      </w:pPr>
      <w:r>
        <w:rPr>
          <w:rFonts w:ascii="宋体" w:hAnsi="宋体" w:eastAsia="宋体" w:cs="宋体"/>
          <w:spacing w:val="-12"/>
          <w:sz w:val="24"/>
          <w:szCs w:val="24"/>
        </w:rPr>
        <w:t>⑤气层钻进中，</w:t>
      </w:r>
      <w:r>
        <w:rPr>
          <w:rFonts w:ascii="宋体" w:hAnsi="宋体" w:eastAsia="宋体" w:cs="宋体"/>
          <w:spacing w:val="23"/>
          <w:sz w:val="24"/>
          <w:szCs w:val="24"/>
        </w:rPr>
        <w:t xml:space="preserve"> </w:t>
      </w:r>
      <w:r>
        <w:rPr>
          <w:rFonts w:ascii="宋体" w:hAnsi="宋体" w:eastAsia="宋体" w:cs="宋体"/>
          <w:spacing w:val="-12"/>
          <w:sz w:val="24"/>
          <w:szCs w:val="24"/>
        </w:rPr>
        <w:t>必须在近钻头位置安装钻具回压阀，</w:t>
      </w:r>
      <w:r>
        <w:rPr>
          <w:rFonts w:ascii="宋体" w:hAnsi="宋体" w:eastAsia="宋体" w:cs="宋体"/>
          <w:spacing w:val="44"/>
          <w:sz w:val="24"/>
          <w:szCs w:val="24"/>
        </w:rPr>
        <w:t xml:space="preserve"> </w:t>
      </w:r>
      <w:r>
        <w:rPr>
          <w:rFonts w:ascii="宋体" w:hAnsi="宋体" w:eastAsia="宋体" w:cs="宋体"/>
          <w:spacing w:val="-12"/>
          <w:sz w:val="24"/>
          <w:szCs w:val="24"/>
        </w:rPr>
        <w:t>同时钻台</w:t>
      </w:r>
      <w:r>
        <w:rPr>
          <w:rFonts w:ascii="宋体" w:hAnsi="宋体" w:eastAsia="宋体" w:cs="宋体"/>
          <w:spacing w:val="-13"/>
          <w:sz w:val="24"/>
          <w:szCs w:val="24"/>
        </w:rPr>
        <w:t>上配备一只与</w:t>
      </w:r>
      <w:r>
        <w:rPr>
          <w:rFonts w:ascii="宋体" w:hAnsi="宋体" w:eastAsia="宋体" w:cs="宋体"/>
          <w:sz w:val="24"/>
          <w:szCs w:val="24"/>
        </w:rPr>
        <w:t xml:space="preserve"> </w:t>
      </w:r>
      <w:r>
        <w:rPr>
          <w:rFonts w:ascii="宋体" w:hAnsi="宋体" w:eastAsia="宋体" w:cs="宋体"/>
          <w:spacing w:val="-9"/>
          <w:sz w:val="24"/>
          <w:szCs w:val="24"/>
        </w:rPr>
        <w:t>钻具尺寸相符的回压阀， 且备有相应的抢接工具， 在大门坡道上准备一</w:t>
      </w:r>
      <w:r>
        <w:rPr>
          <w:rFonts w:ascii="宋体" w:hAnsi="宋体" w:eastAsia="宋体" w:cs="宋体"/>
          <w:spacing w:val="-10"/>
          <w:sz w:val="24"/>
          <w:szCs w:val="24"/>
        </w:rPr>
        <w:t>根防喷单</w:t>
      </w:r>
    </w:p>
    <w:p>
      <w:pPr>
        <w:spacing w:before="1" w:line="219" w:lineRule="auto"/>
        <w:ind w:left="38"/>
        <w:rPr>
          <w:rFonts w:ascii="宋体" w:hAnsi="宋体" w:eastAsia="宋体" w:cs="宋体"/>
          <w:sz w:val="24"/>
          <w:szCs w:val="24"/>
        </w:rPr>
      </w:pPr>
      <w:r>
        <w:rPr>
          <w:rFonts w:ascii="宋体" w:hAnsi="宋体" w:eastAsia="宋体" w:cs="宋体"/>
          <w:spacing w:val="-8"/>
          <w:sz w:val="24"/>
          <w:szCs w:val="24"/>
        </w:rPr>
        <w:t>根（钻杆下部有与钻铤扣相符的配合接头）。</w:t>
      </w:r>
    </w:p>
    <w:p>
      <w:pPr>
        <w:spacing w:before="195" w:line="369" w:lineRule="auto"/>
        <w:ind w:left="39" w:right="84" w:firstLine="477"/>
        <w:rPr>
          <w:rFonts w:ascii="宋体" w:hAnsi="宋体" w:eastAsia="宋体" w:cs="宋体"/>
          <w:sz w:val="24"/>
          <w:szCs w:val="24"/>
        </w:rPr>
      </w:pPr>
      <w:r>
        <w:rPr>
          <w:rFonts w:ascii="宋体" w:hAnsi="宋体" w:eastAsia="宋体" w:cs="宋体"/>
          <w:spacing w:val="-6"/>
          <w:sz w:val="24"/>
          <w:szCs w:val="24"/>
        </w:rPr>
        <w:t>⑥按班组进行防喷演习， 并达到规定要求。</w:t>
      </w:r>
      <w:r>
        <w:rPr>
          <w:rFonts w:ascii="宋体" w:hAnsi="宋体" w:eastAsia="宋体" w:cs="宋体"/>
          <w:spacing w:val="-7"/>
          <w:sz w:val="24"/>
          <w:szCs w:val="24"/>
        </w:rPr>
        <w:t>关井压力不得超过井口装置的工</w:t>
      </w:r>
      <w:r>
        <w:rPr>
          <w:rFonts w:ascii="宋体" w:hAnsi="宋体" w:eastAsia="宋体" w:cs="宋体"/>
          <w:sz w:val="24"/>
          <w:szCs w:val="24"/>
        </w:rPr>
        <w:t xml:space="preserve"> </w:t>
      </w:r>
      <w:r>
        <w:rPr>
          <w:rFonts w:ascii="宋体" w:hAnsi="宋体" w:eastAsia="宋体" w:cs="宋体"/>
          <w:spacing w:val="-4"/>
          <w:sz w:val="24"/>
          <w:szCs w:val="24"/>
        </w:rPr>
        <w:t>作压力、套管抗内压强度的</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80%</w:t>
      </w:r>
      <w:r>
        <w:rPr>
          <w:rFonts w:ascii="宋体" w:hAnsi="宋体" w:eastAsia="宋体" w:cs="宋体"/>
          <w:spacing w:val="-4"/>
          <w:sz w:val="24"/>
          <w:szCs w:val="24"/>
        </w:rPr>
        <w:t>地层破裂压力三者中的最小值。根据当地地形环</w:t>
      </w:r>
    </w:p>
    <w:p>
      <w:pPr>
        <w:spacing w:before="1" w:line="219" w:lineRule="auto"/>
        <w:ind w:left="39"/>
        <w:rPr>
          <w:rFonts w:ascii="宋体" w:hAnsi="宋体" w:eastAsia="宋体" w:cs="宋体"/>
          <w:sz w:val="24"/>
          <w:szCs w:val="24"/>
        </w:rPr>
      </w:pPr>
      <w:r>
        <w:rPr>
          <w:rFonts w:ascii="宋体" w:hAnsi="宋体" w:eastAsia="宋体" w:cs="宋体"/>
          <w:spacing w:val="-3"/>
          <w:sz w:val="24"/>
          <w:szCs w:val="24"/>
        </w:rPr>
        <w:t>境，确定逃生路线及撤离方案。</w:t>
      </w:r>
    </w:p>
    <w:p>
      <w:pPr>
        <w:spacing w:before="196" w:line="369" w:lineRule="auto"/>
        <w:ind w:left="39" w:right="85" w:firstLine="477"/>
        <w:rPr>
          <w:rFonts w:ascii="宋体" w:hAnsi="宋体" w:eastAsia="宋体" w:cs="宋体"/>
          <w:sz w:val="24"/>
          <w:szCs w:val="24"/>
        </w:rPr>
      </w:pPr>
      <w:r>
        <w:rPr>
          <w:rFonts w:ascii="宋体" w:hAnsi="宋体" w:eastAsia="宋体" w:cs="宋体"/>
          <w:spacing w:val="-17"/>
          <w:sz w:val="24"/>
          <w:szCs w:val="24"/>
        </w:rPr>
        <w:t>⑦严格落实坐岗制度，</w:t>
      </w:r>
      <w:r>
        <w:rPr>
          <w:rFonts w:ascii="宋体" w:hAnsi="宋体" w:eastAsia="宋体" w:cs="宋体"/>
          <w:spacing w:val="36"/>
          <w:sz w:val="24"/>
          <w:szCs w:val="24"/>
        </w:rPr>
        <w:t xml:space="preserve"> </w:t>
      </w:r>
      <w:r>
        <w:rPr>
          <w:rFonts w:ascii="宋体" w:hAnsi="宋体" w:eastAsia="宋体" w:cs="宋体"/>
          <w:spacing w:val="-17"/>
          <w:sz w:val="24"/>
          <w:szCs w:val="24"/>
        </w:rPr>
        <w:t>无论钻进还是起下钻，</w:t>
      </w:r>
      <w:r>
        <w:rPr>
          <w:rFonts w:ascii="宋体" w:hAnsi="宋体" w:eastAsia="宋体" w:cs="宋体"/>
          <w:spacing w:val="36"/>
          <w:sz w:val="24"/>
          <w:szCs w:val="24"/>
        </w:rPr>
        <w:t xml:space="preserve"> </w:t>
      </w:r>
      <w:r>
        <w:rPr>
          <w:rFonts w:ascii="宋体" w:hAnsi="宋体" w:eastAsia="宋体" w:cs="宋体"/>
          <w:spacing w:val="-17"/>
          <w:sz w:val="24"/>
          <w:szCs w:val="24"/>
        </w:rPr>
        <w:t>或其他辅助作业，</w:t>
      </w:r>
      <w:r>
        <w:rPr>
          <w:rFonts w:ascii="宋体" w:hAnsi="宋体" w:eastAsia="宋体" w:cs="宋体"/>
          <w:spacing w:val="34"/>
          <w:sz w:val="24"/>
          <w:szCs w:val="24"/>
        </w:rPr>
        <w:t xml:space="preserve"> </w:t>
      </w:r>
      <w:r>
        <w:rPr>
          <w:rFonts w:ascii="宋体" w:hAnsi="宋体" w:eastAsia="宋体" w:cs="宋体"/>
          <w:spacing w:val="-17"/>
          <w:sz w:val="24"/>
          <w:szCs w:val="24"/>
        </w:rPr>
        <w:t>钻井班落实</w:t>
      </w:r>
      <w:r>
        <w:rPr>
          <w:rFonts w:ascii="宋体" w:hAnsi="宋体" w:eastAsia="宋体" w:cs="宋体"/>
          <w:sz w:val="24"/>
          <w:szCs w:val="24"/>
        </w:rPr>
        <w:t xml:space="preserve"> </w:t>
      </w:r>
      <w:r>
        <w:rPr>
          <w:rFonts w:ascii="宋体" w:hAnsi="宋体" w:eastAsia="宋体" w:cs="宋体"/>
          <w:spacing w:val="-6"/>
          <w:sz w:val="24"/>
          <w:szCs w:val="24"/>
        </w:rPr>
        <w:t>专人坐岗观察钻井液池液面变化和钻井液出口情况，</w:t>
      </w:r>
      <w:r>
        <w:rPr>
          <w:rFonts w:ascii="宋体" w:hAnsi="宋体" w:eastAsia="宋体" w:cs="宋体"/>
          <w:spacing w:val="-11"/>
          <w:sz w:val="24"/>
          <w:szCs w:val="24"/>
        </w:rPr>
        <w:t xml:space="preserve"> </w:t>
      </w:r>
      <w:r>
        <w:rPr>
          <w:rFonts w:ascii="宋体" w:hAnsi="宋体" w:eastAsia="宋体" w:cs="宋体"/>
          <w:spacing w:val="-6"/>
          <w:sz w:val="24"/>
          <w:szCs w:val="24"/>
        </w:rPr>
        <w:t>录井人员除了在仪表上观察</w:t>
      </w:r>
      <w:r>
        <w:rPr>
          <w:rFonts w:ascii="宋体" w:hAnsi="宋体" w:eastAsia="宋体" w:cs="宋体"/>
          <w:sz w:val="24"/>
          <w:szCs w:val="24"/>
        </w:rPr>
        <w:t xml:space="preserve"> </w:t>
      </w:r>
      <w:r>
        <w:rPr>
          <w:rFonts w:ascii="宋体" w:hAnsi="宋体" w:eastAsia="宋体" w:cs="宋体"/>
          <w:spacing w:val="-6"/>
          <w:sz w:val="24"/>
          <w:szCs w:val="24"/>
        </w:rPr>
        <w:t>外，还对钻井液池液面变化和钻井液出口进行定时观察， 定时测量进出口钻</w:t>
      </w:r>
      <w:r>
        <w:rPr>
          <w:rFonts w:ascii="宋体" w:hAnsi="宋体" w:eastAsia="宋体" w:cs="宋体"/>
          <w:spacing w:val="-7"/>
          <w:sz w:val="24"/>
          <w:szCs w:val="24"/>
        </w:rPr>
        <w:t>井液</w:t>
      </w:r>
      <w:r>
        <w:rPr>
          <w:rFonts w:ascii="宋体" w:hAnsi="宋体" w:eastAsia="宋体" w:cs="宋体"/>
          <w:sz w:val="24"/>
          <w:szCs w:val="24"/>
        </w:rPr>
        <w:t xml:space="preserve"> </w:t>
      </w:r>
      <w:r>
        <w:rPr>
          <w:rFonts w:ascii="宋体" w:hAnsi="宋体" w:eastAsia="宋体" w:cs="宋体"/>
          <w:spacing w:val="-8"/>
          <w:sz w:val="24"/>
          <w:szCs w:val="24"/>
        </w:rPr>
        <w:t>性能，</w:t>
      </w:r>
      <w:r>
        <w:rPr>
          <w:rFonts w:ascii="宋体" w:hAnsi="宋体" w:eastAsia="宋体" w:cs="宋体"/>
          <w:spacing w:val="-40"/>
          <w:sz w:val="24"/>
          <w:szCs w:val="24"/>
        </w:rPr>
        <w:t xml:space="preserve"> </w:t>
      </w:r>
      <w:r>
        <w:rPr>
          <w:rFonts w:ascii="宋体" w:hAnsi="宋体" w:eastAsia="宋体" w:cs="宋体"/>
          <w:spacing w:val="-8"/>
          <w:sz w:val="24"/>
          <w:szCs w:val="24"/>
        </w:rPr>
        <w:t>两个岗都必须做好真实准确记录， 值班干部必须对</w:t>
      </w:r>
      <w:r>
        <w:rPr>
          <w:rFonts w:ascii="宋体" w:hAnsi="宋体" w:eastAsia="宋体" w:cs="宋体"/>
          <w:spacing w:val="-9"/>
          <w:sz w:val="24"/>
          <w:szCs w:val="24"/>
        </w:rPr>
        <w:t>上述两个岗位工作情况</w:t>
      </w:r>
    </w:p>
    <w:p>
      <w:pPr>
        <w:spacing w:before="1" w:line="219" w:lineRule="auto"/>
        <w:ind w:left="36"/>
        <w:rPr>
          <w:rFonts w:ascii="宋体" w:hAnsi="宋体" w:eastAsia="宋体" w:cs="宋体"/>
          <w:sz w:val="24"/>
          <w:szCs w:val="24"/>
        </w:rPr>
      </w:pPr>
      <w:r>
        <w:rPr>
          <w:rFonts w:ascii="宋体" w:hAnsi="宋体" w:eastAsia="宋体" w:cs="宋体"/>
          <w:spacing w:val="-3"/>
          <w:sz w:val="24"/>
          <w:szCs w:val="24"/>
        </w:rPr>
        <w:t>进行定时和不定时检查，并当班签认。</w:t>
      </w:r>
    </w:p>
    <w:p>
      <w:pPr>
        <w:spacing w:before="195" w:line="480" w:lineRule="exact"/>
        <w:ind w:left="516"/>
        <w:rPr>
          <w:rFonts w:ascii="宋体" w:hAnsi="宋体" w:eastAsia="宋体" w:cs="宋体"/>
          <w:sz w:val="24"/>
          <w:szCs w:val="24"/>
        </w:rPr>
      </w:pPr>
      <w:r>
        <w:rPr>
          <w:rFonts w:ascii="宋体" w:hAnsi="宋体" w:eastAsia="宋体" w:cs="宋体"/>
          <w:spacing w:val="-8"/>
          <w:position w:val="18"/>
          <w:sz w:val="24"/>
          <w:szCs w:val="24"/>
        </w:rPr>
        <w:t>⑧认真搞好随钻地层压力的监测工作中，</w:t>
      </w:r>
      <w:r>
        <w:rPr>
          <w:rFonts w:ascii="宋体" w:hAnsi="宋体" w:eastAsia="宋体" w:cs="宋体"/>
          <w:spacing w:val="49"/>
          <w:position w:val="18"/>
          <w:sz w:val="24"/>
          <w:szCs w:val="24"/>
        </w:rPr>
        <w:t xml:space="preserve"> </w:t>
      </w:r>
      <w:r>
        <w:rPr>
          <w:rFonts w:ascii="宋体" w:hAnsi="宋体" w:eastAsia="宋体" w:cs="宋体"/>
          <w:spacing w:val="-8"/>
          <w:position w:val="18"/>
          <w:sz w:val="24"/>
          <w:szCs w:val="24"/>
        </w:rPr>
        <w:t>发现地层压力异常、溢流、井涌等</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情况，应及时关井并调整钻井液密度，同时上报有关部门。</w:t>
      </w:r>
    </w:p>
    <w:p>
      <w:pPr>
        <w:spacing w:before="194" w:line="480" w:lineRule="exact"/>
        <w:jc w:val="right"/>
        <w:rPr>
          <w:rFonts w:ascii="宋体" w:hAnsi="宋体" w:eastAsia="宋体" w:cs="宋体"/>
          <w:sz w:val="24"/>
          <w:szCs w:val="24"/>
        </w:rPr>
      </w:pPr>
      <w:r>
        <w:rPr>
          <w:rFonts w:ascii="宋体" w:hAnsi="宋体" w:eastAsia="宋体" w:cs="宋体"/>
          <w:spacing w:val="-12"/>
          <w:position w:val="18"/>
          <w:sz w:val="24"/>
          <w:szCs w:val="24"/>
        </w:rPr>
        <w:t>⑨严格控制起下钻速度，</w:t>
      </w:r>
      <w:r>
        <w:rPr>
          <w:rFonts w:ascii="宋体" w:hAnsi="宋体" w:eastAsia="宋体" w:cs="宋体"/>
          <w:spacing w:val="-39"/>
          <w:position w:val="18"/>
          <w:sz w:val="24"/>
          <w:szCs w:val="24"/>
        </w:rPr>
        <w:t xml:space="preserve"> </w:t>
      </w:r>
      <w:r>
        <w:rPr>
          <w:rFonts w:ascii="宋体" w:hAnsi="宋体" w:eastAsia="宋体" w:cs="宋体"/>
          <w:spacing w:val="-12"/>
          <w:position w:val="18"/>
          <w:sz w:val="24"/>
          <w:szCs w:val="24"/>
        </w:rPr>
        <w:t>起钻必须按规定灌满钻井液；</w:t>
      </w:r>
      <w:r>
        <w:rPr>
          <w:rFonts w:ascii="宋体" w:hAnsi="宋体" w:eastAsia="宋体" w:cs="宋体"/>
          <w:spacing w:val="-38"/>
          <w:position w:val="18"/>
          <w:sz w:val="24"/>
          <w:szCs w:val="24"/>
        </w:rPr>
        <w:t xml:space="preserve"> </w:t>
      </w:r>
      <w:r>
        <w:rPr>
          <w:rFonts w:ascii="宋体" w:hAnsi="宋体" w:eastAsia="宋体" w:cs="宋体"/>
          <w:spacing w:val="-12"/>
          <w:position w:val="18"/>
          <w:sz w:val="24"/>
          <w:szCs w:val="24"/>
        </w:rPr>
        <w:t>加强井场设</w:t>
      </w:r>
      <w:r>
        <w:rPr>
          <w:rFonts w:ascii="宋体" w:hAnsi="宋体" w:eastAsia="宋体" w:cs="宋体"/>
          <w:spacing w:val="-13"/>
          <w:position w:val="18"/>
          <w:sz w:val="24"/>
          <w:szCs w:val="24"/>
        </w:rPr>
        <w:t>备的运行、</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保养和检查，保证设备的正常运行，设备检修必须按有关规定执行。</w:t>
      </w:r>
    </w:p>
    <w:p>
      <w:pPr>
        <w:spacing w:before="195" w:line="217" w:lineRule="auto"/>
        <w:ind w:right="9"/>
        <w:jc w:val="right"/>
        <w:rPr>
          <w:rFonts w:ascii="宋体" w:hAnsi="宋体" w:eastAsia="宋体" w:cs="宋体"/>
          <w:sz w:val="24"/>
          <w:szCs w:val="24"/>
        </w:rPr>
      </w:pPr>
      <w:r>
        <w:rPr>
          <w:rFonts w:ascii="宋体" w:hAnsi="宋体" w:eastAsia="宋体" w:cs="宋体"/>
          <w:spacing w:val="-1"/>
          <w:sz w:val="24"/>
          <w:szCs w:val="24"/>
        </w:rPr>
        <w:t>⑩钻进中遇到钻速突然加快、放空、井漏、气测及油气水显示异常等情况，</w:t>
      </w:r>
    </w:p>
    <w:p>
      <w:pPr>
        <w:spacing w:line="217" w:lineRule="auto"/>
        <w:rPr>
          <w:rFonts w:ascii="宋体" w:hAnsi="宋体" w:eastAsia="宋体" w:cs="宋体"/>
          <w:sz w:val="24"/>
          <w:szCs w:val="24"/>
        </w:rPr>
        <w:sectPr>
          <w:headerReference r:id="rId261" w:type="default"/>
          <w:footerReference r:id="rId262" w:type="default"/>
          <w:pgSz w:w="11907" w:h="16839"/>
          <w:pgMar w:top="1123" w:right="1709" w:bottom="1152" w:left="1769" w:header="1108" w:footer="979" w:gutter="0"/>
          <w:cols w:space="720" w:num="1"/>
        </w:sectPr>
      </w:pPr>
    </w:p>
    <w:p>
      <w:pPr>
        <w:pStyle w:val="2"/>
        <w:spacing w:line="415" w:lineRule="auto"/>
        <w:rPr>
          <w:sz w:val="21"/>
        </w:rPr>
      </w:pPr>
    </w:p>
    <w:p>
      <w:pPr>
        <w:spacing w:before="78" w:line="369" w:lineRule="auto"/>
        <w:ind w:left="37" w:right="77"/>
        <w:jc w:val="both"/>
        <w:rPr>
          <w:rFonts w:ascii="宋体" w:hAnsi="宋体" w:eastAsia="宋体" w:cs="宋体"/>
          <w:sz w:val="24"/>
          <w:szCs w:val="24"/>
        </w:rPr>
      </w:pPr>
      <w:r>
        <w:rPr>
          <w:rFonts w:ascii="宋体" w:hAnsi="宋体" w:eastAsia="宋体" w:cs="宋体"/>
          <w:spacing w:val="-10"/>
          <w:sz w:val="24"/>
          <w:szCs w:val="24"/>
        </w:rPr>
        <w:t>应立即停钻观察， 如发生溢流要按规定及时发出报警信号，</w:t>
      </w:r>
      <w:r>
        <w:rPr>
          <w:rFonts w:ascii="宋体" w:hAnsi="宋体" w:eastAsia="宋体" w:cs="宋体"/>
          <w:spacing w:val="26"/>
          <w:sz w:val="24"/>
          <w:szCs w:val="24"/>
        </w:rPr>
        <w:t xml:space="preserve"> </w:t>
      </w:r>
      <w:r>
        <w:rPr>
          <w:rFonts w:ascii="宋体" w:hAnsi="宋体" w:eastAsia="宋体" w:cs="宋体"/>
          <w:spacing w:val="-10"/>
          <w:sz w:val="24"/>
          <w:szCs w:val="24"/>
        </w:rPr>
        <w:t>并按正确的关</w:t>
      </w:r>
      <w:r>
        <w:rPr>
          <w:rFonts w:ascii="宋体" w:hAnsi="宋体" w:eastAsia="宋体" w:cs="宋体"/>
          <w:spacing w:val="-11"/>
          <w:sz w:val="24"/>
          <w:szCs w:val="24"/>
        </w:rPr>
        <w:t>井程序</w:t>
      </w:r>
      <w:r>
        <w:rPr>
          <w:rFonts w:ascii="宋体" w:hAnsi="宋体" w:eastAsia="宋体" w:cs="宋体"/>
          <w:sz w:val="24"/>
          <w:szCs w:val="24"/>
        </w:rPr>
        <w:t xml:space="preserve"> </w:t>
      </w:r>
      <w:r>
        <w:rPr>
          <w:rFonts w:ascii="宋体" w:hAnsi="宋体" w:eastAsia="宋体" w:cs="宋体"/>
          <w:spacing w:val="-15"/>
          <w:sz w:val="24"/>
          <w:szCs w:val="24"/>
        </w:rPr>
        <w:t>及时关井， 关井求压后迅速实施压井作业。发生溢流后，</w:t>
      </w:r>
      <w:r>
        <w:rPr>
          <w:rFonts w:ascii="宋体" w:hAnsi="宋体" w:eastAsia="宋体" w:cs="宋体"/>
          <w:spacing w:val="41"/>
          <w:sz w:val="24"/>
          <w:szCs w:val="24"/>
        </w:rPr>
        <w:t xml:space="preserve"> </w:t>
      </w:r>
      <w:r>
        <w:rPr>
          <w:rFonts w:ascii="宋体" w:hAnsi="宋体" w:eastAsia="宋体" w:cs="宋体"/>
          <w:spacing w:val="-15"/>
          <w:sz w:val="24"/>
          <w:szCs w:val="24"/>
        </w:rPr>
        <w:t>根据关井压力，</w:t>
      </w:r>
      <w:r>
        <w:rPr>
          <w:rFonts w:ascii="宋体" w:hAnsi="宋体" w:eastAsia="宋体" w:cs="宋体"/>
          <w:spacing w:val="43"/>
          <w:sz w:val="24"/>
          <w:szCs w:val="24"/>
        </w:rPr>
        <w:t xml:space="preserve"> </w:t>
      </w:r>
      <w:r>
        <w:rPr>
          <w:rFonts w:ascii="宋体" w:hAnsi="宋体" w:eastAsia="宋体" w:cs="宋体"/>
          <w:spacing w:val="-15"/>
          <w:sz w:val="24"/>
          <w:szCs w:val="24"/>
        </w:rPr>
        <w:t>尽快在</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井口、地层和套管安全条件下压井，待井内平稳后才恢复钻进。</w:t>
      </w:r>
    </w:p>
    <w:p>
      <w:pPr>
        <w:spacing w:before="195"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）防井喷装置</w:t>
      </w:r>
    </w:p>
    <w:p>
      <w:pPr>
        <w:spacing w:before="193" w:line="480" w:lineRule="exact"/>
        <w:ind w:left="517"/>
        <w:rPr>
          <w:rFonts w:ascii="宋体" w:hAnsi="宋体" w:eastAsia="宋体" w:cs="宋体"/>
          <w:sz w:val="24"/>
          <w:szCs w:val="24"/>
        </w:rPr>
      </w:pPr>
      <w:r>
        <w:rPr>
          <w:rFonts w:ascii="宋体" w:hAnsi="宋体" w:eastAsia="宋体" w:cs="宋体"/>
          <w:spacing w:val="-8"/>
          <w:position w:val="18"/>
          <w:sz w:val="24"/>
          <w:szCs w:val="24"/>
        </w:rPr>
        <w:t>①以半封和全封防喷器为主体的防喷装置，</w:t>
      </w:r>
      <w:r>
        <w:rPr>
          <w:rFonts w:ascii="宋体" w:hAnsi="宋体" w:eastAsia="宋体" w:cs="宋体"/>
          <w:spacing w:val="48"/>
          <w:position w:val="18"/>
          <w:sz w:val="24"/>
          <w:szCs w:val="24"/>
        </w:rPr>
        <w:t xml:space="preserve"> </w:t>
      </w:r>
      <w:r>
        <w:rPr>
          <w:rFonts w:ascii="宋体" w:hAnsi="宋体" w:eastAsia="宋体" w:cs="宋体"/>
          <w:spacing w:val="-8"/>
          <w:position w:val="18"/>
          <w:sz w:val="24"/>
          <w:szCs w:val="24"/>
        </w:rPr>
        <w:t>包括高压闸门、自封、四通、套</w:t>
      </w:r>
    </w:p>
    <w:p>
      <w:pPr>
        <w:spacing w:line="219" w:lineRule="auto"/>
        <w:ind w:left="43"/>
        <w:rPr>
          <w:rFonts w:ascii="宋体" w:hAnsi="宋体" w:eastAsia="宋体" w:cs="宋体"/>
          <w:sz w:val="24"/>
          <w:szCs w:val="24"/>
        </w:rPr>
      </w:pPr>
      <w:r>
        <w:rPr>
          <w:rFonts w:ascii="宋体" w:hAnsi="宋体" w:eastAsia="宋体" w:cs="宋体"/>
          <w:spacing w:val="-5"/>
          <w:sz w:val="24"/>
          <w:szCs w:val="24"/>
        </w:rPr>
        <w:t>管头、过渡法兰等。</w:t>
      </w:r>
    </w:p>
    <w:p>
      <w:pPr>
        <w:spacing w:before="195" w:line="217" w:lineRule="auto"/>
        <w:ind w:left="516"/>
        <w:rPr>
          <w:rFonts w:ascii="宋体" w:hAnsi="宋体" w:eastAsia="宋体" w:cs="宋体"/>
          <w:sz w:val="24"/>
          <w:szCs w:val="24"/>
        </w:rPr>
      </w:pPr>
      <w:r>
        <w:rPr>
          <w:rFonts w:ascii="宋体" w:hAnsi="宋体" w:eastAsia="宋体" w:cs="宋体"/>
          <w:spacing w:val="-2"/>
          <w:sz w:val="24"/>
          <w:szCs w:val="24"/>
        </w:rPr>
        <w:t>②以节流管汇为主体的井控管汇，包括放喷管线、压井管线等。</w:t>
      </w:r>
    </w:p>
    <w:p>
      <w:pPr>
        <w:spacing w:before="198" w:line="217" w:lineRule="auto"/>
        <w:ind w:left="516"/>
        <w:rPr>
          <w:rFonts w:ascii="宋体" w:hAnsi="宋体" w:eastAsia="宋体" w:cs="宋体"/>
          <w:sz w:val="24"/>
          <w:szCs w:val="24"/>
        </w:rPr>
      </w:pPr>
      <w:r>
        <w:rPr>
          <w:rFonts w:ascii="宋体" w:hAnsi="宋体" w:eastAsia="宋体" w:cs="宋体"/>
          <w:spacing w:val="-2"/>
          <w:sz w:val="24"/>
          <w:szCs w:val="24"/>
        </w:rPr>
        <w:t>③井下管柱防喷工具，包括钻具、防喷单流阀等。</w:t>
      </w:r>
    </w:p>
    <w:p>
      <w:pPr>
        <w:spacing w:before="198" w:line="480" w:lineRule="exact"/>
        <w:ind w:left="516"/>
        <w:rPr>
          <w:rFonts w:ascii="宋体" w:hAnsi="宋体" w:eastAsia="宋体" w:cs="宋体"/>
          <w:sz w:val="24"/>
          <w:szCs w:val="24"/>
        </w:rPr>
      </w:pPr>
      <w:r>
        <w:rPr>
          <w:rFonts w:ascii="宋体" w:hAnsi="宋体" w:eastAsia="宋体" w:cs="宋体"/>
          <w:spacing w:val="-3"/>
          <w:position w:val="18"/>
          <w:sz w:val="24"/>
          <w:szCs w:val="24"/>
        </w:rPr>
        <w:t>④具有净化、加大密度、原料储备及自动调配、自动灌装等功能的压井液储</w:t>
      </w:r>
    </w:p>
    <w:p>
      <w:pPr>
        <w:spacing w:before="1" w:line="220" w:lineRule="auto"/>
        <w:ind w:left="41"/>
        <w:rPr>
          <w:rFonts w:ascii="宋体" w:hAnsi="宋体" w:eastAsia="宋体" w:cs="宋体"/>
          <w:sz w:val="24"/>
          <w:szCs w:val="24"/>
        </w:rPr>
      </w:pPr>
      <w:r>
        <w:rPr>
          <w:rFonts w:ascii="宋体" w:hAnsi="宋体" w:eastAsia="宋体" w:cs="宋体"/>
          <w:spacing w:val="-9"/>
          <w:sz w:val="24"/>
          <w:szCs w:val="24"/>
        </w:rPr>
        <w:t>备系统。</w:t>
      </w:r>
    </w:p>
    <w:p>
      <w:pPr>
        <w:spacing w:before="193" w:line="217" w:lineRule="auto"/>
        <w:jc w:val="right"/>
        <w:rPr>
          <w:rFonts w:ascii="宋体" w:hAnsi="宋体" w:eastAsia="宋体" w:cs="宋体"/>
          <w:sz w:val="24"/>
          <w:szCs w:val="24"/>
        </w:rPr>
      </w:pPr>
      <w:r>
        <w:rPr>
          <w:rFonts w:ascii="宋体" w:hAnsi="宋体" w:eastAsia="宋体" w:cs="宋体"/>
          <w:spacing w:val="-1"/>
          <w:sz w:val="24"/>
          <w:szCs w:val="24"/>
        </w:rPr>
        <w:t>⑤防止井喷失控专用设备、设施，包括高压自封、不压井起下管柱装置等。</w:t>
      </w:r>
    </w:p>
    <w:p>
      <w:pPr>
        <w:spacing w:before="197"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）钻开气层前验收</w:t>
      </w:r>
    </w:p>
    <w:p>
      <w:pPr>
        <w:spacing w:before="195" w:line="369" w:lineRule="auto"/>
        <w:ind w:left="38" w:right="79" w:firstLine="479"/>
        <w:rPr>
          <w:rFonts w:ascii="宋体" w:hAnsi="宋体" w:eastAsia="宋体" w:cs="宋体"/>
          <w:sz w:val="24"/>
          <w:szCs w:val="24"/>
        </w:rPr>
      </w:pPr>
      <w:r>
        <w:rPr>
          <w:rFonts w:ascii="宋体" w:hAnsi="宋体" w:eastAsia="宋体" w:cs="宋体"/>
          <w:spacing w:val="-3"/>
          <w:sz w:val="24"/>
          <w:szCs w:val="24"/>
        </w:rPr>
        <w:t>钻开气层时极容易发生井下和环境污染事故。钻开气层前验收就是在钻开气</w:t>
      </w:r>
      <w:r>
        <w:rPr>
          <w:rFonts w:ascii="宋体" w:hAnsi="宋体" w:eastAsia="宋体" w:cs="宋体"/>
          <w:sz w:val="24"/>
          <w:szCs w:val="24"/>
        </w:rPr>
        <w:t xml:space="preserve"> </w:t>
      </w:r>
      <w:r>
        <w:rPr>
          <w:rFonts w:ascii="宋体" w:hAnsi="宋体" w:eastAsia="宋体" w:cs="宋体"/>
          <w:spacing w:val="-12"/>
          <w:sz w:val="24"/>
          <w:szCs w:val="24"/>
        </w:rPr>
        <w:t>层前对井队的安全和井控工作进行全面大检查，</w:t>
      </w:r>
      <w:r>
        <w:rPr>
          <w:rFonts w:ascii="宋体" w:hAnsi="宋体" w:eastAsia="宋体" w:cs="宋体"/>
          <w:spacing w:val="55"/>
          <w:sz w:val="24"/>
          <w:szCs w:val="24"/>
        </w:rPr>
        <w:t xml:space="preserve"> </w:t>
      </w:r>
      <w:r>
        <w:rPr>
          <w:rFonts w:ascii="宋体" w:hAnsi="宋体" w:eastAsia="宋体" w:cs="宋体"/>
          <w:spacing w:val="-12"/>
          <w:sz w:val="24"/>
          <w:szCs w:val="24"/>
        </w:rPr>
        <w:t>以消除事故隐患，</w:t>
      </w:r>
      <w:r>
        <w:rPr>
          <w:rFonts w:ascii="宋体" w:hAnsi="宋体" w:eastAsia="宋体" w:cs="宋体"/>
          <w:spacing w:val="25"/>
          <w:sz w:val="24"/>
          <w:szCs w:val="24"/>
        </w:rPr>
        <w:t xml:space="preserve"> </w:t>
      </w:r>
      <w:r>
        <w:rPr>
          <w:rFonts w:ascii="宋体" w:hAnsi="宋体" w:eastAsia="宋体" w:cs="宋体"/>
          <w:spacing w:val="-12"/>
          <w:sz w:val="24"/>
          <w:szCs w:val="24"/>
        </w:rPr>
        <w:t>实现安全生产</w:t>
      </w:r>
    </w:p>
    <w:p>
      <w:pPr>
        <w:spacing w:before="1" w:line="219" w:lineRule="auto"/>
        <w:ind w:left="39"/>
        <w:rPr>
          <w:rFonts w:ascii="宋体" w:hAnsi="宋体" w:eastAsia="宋体" w:cs="宋体"/>
          <w:sz w:val="24"/>
          <w:szCs w:val="24"/>
        </w:rPr>
      </w:pPr>
      <w:r>
        <w:rPr>
          <w:rFonts w:ascii="宋体" w:hAnsi="宋体" w:eastAsia="宋体" w:cs="宋体"/>
          <w:spacing w:val="-7"/>
          <w:sz w:val="24"/>
          <w:szCs w:val="24"/>
        </w:rPr>
        <w:t>和清洁生产。</w:t>
      </w:r>
    </w:p>
    <w:p>
      <w:pPr>
        <w:spacing w:before="195"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）井喷应急措施</w:t>
      </w:r>
    </w:p>
    <w:p>
      <w:pPr>
        <w:spacing w:before="195" w:line="369" w:lineRule="auto"/>
        <w:ind w:left="38" w:right="76" w:firstLine="479"/>
        <w:rPr>
          <w:rFonts w:ascii="宋体" w:hAnsi="宋体" w:eastAsia="宋体" w:cs="宋体"/>
          <w:sz w:val="24"/>
          <w:szCs w:val="24"/>
        </w:rPr>
      </w:pPr>
      <w:r>
        <w:rPr>
          <w:rFonts w:ascii="宋体" w:hAnsi="宋体" w:eastAsia="宋体" w:cs="宋体"/>
          <w:spacing w:val="-7"/>
          <w:sz w:val="24"/>
          <w:szCs w:val="24"/>
        </w:rPr>
        <w:t>井喷失控造成天然气急速释放， 发生井喷的过程主要是由泥浆溢流→井涌→</w:t>
      </w:r>
      <w:r>
        <w:rPr>
          <w:rFonts w:ascii="宋体" w:hAnsi="宋体" w:eastAsia="宋体" w:cs="宋体"/>
          <w:spacing w:val="18"/>
          <w:sz w:val="24"/>
          <w:szCs w:val="24"/>
        </w:rPr>
        <w:t xml:space="preserve"> </w:t>
      </w:r>
      <w:r>
        <w:rPr>
          <w:rFonts w:ascii="宋体" w:hAnsi="宋体" w:eastAsia="宋体" w:cs="宋体"/>
          <w:sz w:val="24"/>
          <w:szCs w:val="24"/>
        </w:rPr>
        <w:t xml:space="preserve">井喷。天然气从井口喷出，这段时间大约在 </w:t>
      </w:r>
      <w:r>
        <w:rPr>
          <w:rFonts w:ascii="Times New Roman" w:hAnsi="Times New Roman" w:eastAsia="Times New Roman" w:cs="Times New Roman"/>
          <w:sz w:val="24"/>
          <w:szCs w:val="24"/>
        </w:rPr>
        <w:t>20~60min</w:t>
      </w:r>
      <w:r>
        <w:rPr>
          <w:rFonts w:ascii="宋体" w:hAnsi="宋体" w:eastAsia="宋体" w:cs="宋体"/>
          <w:spacing w:val="-1"/>
          <w:sz w:val="24"/>
          <w:szCs w:val="24"/>
        </w:rPr>
        <w:t>。泥浆溢流后，应立即组</w:t>
      </w:r>
      <w:r>
        <w:rPr>
          <w:rFonts w:ascii="宋体" w:hAnsi="宋体" w:eastAsia="宋体" w:cs="宋体"/>
          <w:sz w:val="24"/>
          <w:szCs w:val="24"/>
        </w:rPr>
        <w:t xml:space="preserve"> </w:t>
      </w:r>
      <w:r>
        <w:rPr>
          <w:rFonts w:ascii="宋体" w:hAnsi="宋体" w:eastAsia="宋体" w:cs="宋体"/>
          <w:spacing w:val="-11"/>
          <w:sz w:val="24"/>
          <w:szCs w:val="24"/>
        </w:rPr>
        <w:t>织首先撤离井口周边</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500m</w:t>
      </w:r>
      <w:r>
        <w:rPr>
          <w:rFonts w:ascii="Times New Roman" w:hAnsi="Times New Roman" w:eastAsia="Times New Roman" w:cs="Times New Roman"/>
          <w:spacing w:val="39"/>
          <w:sz w:val="24"/>
          <w:szCs w:val="24"/>
        </w:rPr>
        <w:t xml:space="preserve"> </w:t>
      </w:r>
      <w:r>
        <w:rPr>
          <w:rFonts w:ascii="宋体" w:hAnsi="宋体" w:eastAsia="宋体" w:cs="宋体"/>
          <w:spacing w:val="-11"/>
          <w:sz w:val="24"/>
          <w:szCs w:val="24"/>
        </w:rPr>
        <w:t>内的居民， 并告知井口周围</w:t>
      </w:r>
      <w:r>
        <w:rPr>
          <w:rFonts w:ascii="宋体" w:hAnsi="宋体" w:eastAsia="宋体" w:cs="宋体"/>
          <w:spacing w:val="-48"/>
          <w:sz w:val="24"/>
          <w:szCs w:val="24"/>
        </w:rPr>
        <w:t xml:space="preserve"> </w:t>
      </w:r>
      <w:r>
        <w:rPr>
          <w:rFonts w:ascii="Times New Roman" w:hAnsi="Times New Roman" w:eastAsia="Times New Roman" w:cs="Times New Roman"/>
          <w:spacing w:val="-11"/>
          <w:sz w:val="24"/>
          <w:szCs w:val="24"/>
        </w:rPr>
        <w:t>5km</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范围内的敏感点， 尤</w:t>
      </w:r>
      <w:r>
        <w:rPr>
          <w:rFonts w:ascii="宋体" w:hAnsi="宋体" w:eastAsia="宋体" w:cs="宋体"/>
          <w:sz w:val="24"/>
          <w:szCs w:val="24"/>
        </w:rPr>
        <w:t xml:space="preserve"> </w:t>
      </w:r>
      <w:r>
        <w:rPr>
          <w:rFonts w:ascii="宋体" w:hAnsi="宋体" w:eastAsia="宋体" w:cs="宋体"/>
          <w:spacing w:val="-13"/>
          <w:sz w:val="24"/>
          <w:szCs w:val="24"/>
        </w:rPr>
        <w:t>其是学校、集镇等。井喷失控后，</w:t>
      </w:r>
      <w:r>
        <w:rPr>
          <w:rFonts w:ascii="宋体" w:hAnsi="宋体" w:eastAsia="宋体" w:cs="宋体"/>
          <w:spacing w:val="35"/>
          <w:sz w:val="24"/>
          <w:szCs w:val="24"/>
        </w:rPr>
        <w:t xml:space="preserve"> </w:t>
      </w:r>
      <w:r>
        <w:rPr>
          <w:rFonts w:ascii="宋体" w:hAnsi="宋体" w:eastAsia="宋体" w:cs="宋体"/>
          <w:spacing w:val="-13"/>
          <w:sz w:val="24"/>
          <w:szCs w:val="24"/>
        </w:rPr>
        <w:t>在</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15min</w:t>
      </w:r>
      <w:r>
        <w:rPr>
          <w:rFonts w:ascii="Times New Roman" w:hAnsi="Times New Roman" w:eastAsia="Times New Roman" w:cs="Times New Roman"/>
          <w:spacing w:val="39"/>
          <w:sz w:val="24"/>
          <w:szCs w:val="24"/>
        </w:rPr>
        <w:t xml:space="preserve"> </w:t>
      </w:r>
      <w:r>
        <w:rPr>
          <w:rFonts w:ascii="宋体" w:hAnsi="宋体" w:eastAsia="宋体" w:cs="宋体"/>
          <w:spacing w:val="-13"/>
          <w:sz w:val="24"/>
          <w:szCs w:val="24"/>
        </w:rPr>
        <w:t>内完成井口点火</w:t>
      </w:r>
      <w:r>
        <w:rPr>
          <w:rFonts w:ascii="宋体" w:hAnsi="宋体" w:eastAsia="宋体" w:cs="宋体"/>
          <w:spacing w:val="-14"/>
          <w:sz w:val="24"/>
          <w:szCs w:val="24"/>
        </w:rPr>
        <w:t>燃烧泄漏天然气，</w:t>
      </w:r>
      <w:r>
        <w:rPr>
          <w:rFonts w:ascii="宋体" w:hAnsi="宋体" w:eastAsia="宋体" w:cs="宋体"/>
          <w:spacing w:val="35"/>
          <w:sz w:val="24"/>
          <w:szCs w:val="24"/>
        </w:rPr>
        <w:t xml:space="preserve"> </w:t>
      </w:r>
      <w:r>
        <w:rPr>
          <w:rFonts w:ascii="宋体" w:hAnsi="宋体" w:eastAsia="宋体" w:cs="宋体"/>
          <w:spacing w:val="-14"/>
          <w:sz w:val="24"/>
          <w:szCs w:val="24"/>
        </w:rPr>
        <w:t>将</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天然气燃烧转化为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15"/>
          <w:position w:val="-1"/>
          <w:sz w:val="16"/>
          <w:szCs w:val="16"/>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 xml:space="preserve">O </w:t>
      </w:r>
      <w:r>
        <w:rPr>
          <w:rFonts w:ascii="宋体" w:hAnsi="宋体" w:eastAsia="宋体" w:cs="宋体"/>
          <w:spacing w:val="-3"/>
          <w:sz w:val="24"/>
          <w:szCs w:val="24"/>
        </w:rPr>
        <w:t>和少量</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6"/>
          <w:szCs w:val="16"/>
        </w:rPr>
        <w:t>2</w:t>
      </w:r>
      <w:r>
        <w:rPr>
          <w:rFonts w:ascii="宋体" w:hAnsi="宋体" w:eastAsia="宋体" w:cs="宋体"/>
          <w:spacing w:val="-3"/>
          <w:sz w:val="24"/>
          <w:szCs w:val="24"/>
        </w:rPr>
        <w:t>。</w:t>
      </w:r>
    </w:p>
    <w:p>
      <w:pPr>
        <w:spacing w:before="197" w:line="369" w:lineRule="auto"/>
        <w:ind w:left="33" w:right="77" w:firstLine="484"/>
        <w:rPr>
          <w:rFonts w:ascii="宋体" w:hAnsi="宋体" w:eastAsia="宋体" w:cs="宋体"/>
          <w:sz w:val="24"/>
          <w:szCs w:val="24"/>
        </w:rPr>
      </w:pPr>
      <w:r>
        <w:rPr>
          <w:rFonts w:ascii="宋体" w:hAnsi="宋体" w:eastAsia="宋体" w:cs="宋体"/>
          <w:spacing w:val="-4"/>
          <w:sz w:val="24"/>
          <w:szCs w:val="24"/>
        </w:rPr>
        <w:t>钻井过程中，井下监控措施监控发现井内泥浆溢流量达</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10"/>
          <w:w w:val="102"/>
          <w:position w:val="9"/>
          <w:sz w:val="16"/>
          <w:szCs w:val="16"/>
        </w:rPr>
        <w:t xml:space="preserve">  </w:t>
      </w:r>
      <w:r>
        <w:rPr>
          <w:rFonts w:ascii="宋体" w:hAnsi="宋体" w:eastAsia="宋体" w:cs="宋体"/>
          <w:spacing w:val="-4"/>
          <w:sz w:val="24"/>
          <w:szCs w:val="24"/>
        </w:rPr>
        <w:t>时报警</w:t>
      </w:r>
      <w:r>
        <w:rPr>
          <w:rFonts w:ascii="宋体" w:hAnsi="宋体" w:eastAsia="宋体" w:cs="宋体"/>
          <w:spacing w:val="-5"/>
          <w:sz w:val="24"/>
          <w:szCs w:val="24"/>
        </w:rPr>
        <w:t>， 达到</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2m</w:t>
      </w:r>
      <w:r>
        <w:rPr>
          <w:rFonts w:ascii="Times New Roman" w:hAnsi="Times New Roman" w:eastAsia="Times New Roman" w:cs="Times New Roman"/>
          <w:spacing w:val="-12"/>
          <w:position w:val="9"/>
          <w:sz w:val="16"/>
          <w:szCs w:val="16"/>
        </w:rPr>
        <w:t>3</w:t>
      </w:r>
      <w:r>
        <w:rPr>
          <w:rFonts w:ascii="Times New Roman" w:hAnsi="Times New Roman" w:eastAsia="Times New Roman" w:cs="Times New Roman"/>
          <w:spacing w:val="30"/>
          <w:w w:val="102"/>
          <w:position w:val="9"/>
          <w:sz w:val="16"/>
          <w:szCs w:val="16"/>
        </w:rPr>
        <w:t xml:space="preserve"> </w:t>
      </w:r>
      <w:r>
        <w:rPr>
          <w:rFonts w:ascii="宋体" w:hAnsi="宋体" w:eastAsia="宋体" w:cs="宋体"/>
          <w:spacing w:val="-12"/>
          <w:sz w:val="24"/>
          <w:szCs w:val="24"/>
        </w:rPr>
        <w:t>时马上采取关井措施。当所有关断措施全部失效，</w:t>
      </w:r>
      <w:r>
        <w:rPr>
          <w:rFonts w:ascii="宋体" w:hAnsi="宋体" w:eastAsia="宋体" w:cs="宋体"/>
          <w:spacing w:val="50"/>
          <w:sz w:val="24"/>
          <w:szCs w:val="24"/>
        </w:rPr>
        <w:t xml:space="preserve"> </w:t>
      </w:r>
      <w:r>
        <w:rPr>
          <w:rFonts w:ascii="宋体" w:hAnsi="宋体" w:eastAsia="宋体" w:cs="宋体"/>
          <w:spacing w:val="-12"/>
          <w:sz w:val="24"/>
          <w:szCs w:val="24"/>
        </w:rPr>
        <w:t>井口失控后，</w:t>
      </w:r>
      <w:r>
        <w:rPr>
          <w:rFonts w:ascii="宋体" w:hAnsi="宋体" w:eastAsia="宋体" w:cs="宋体"/>
          <w:spacing w:val="69"/>
          <w:sz w:val="24"/>
          <w:szCs w:val="24"/>
        </w:rPr>
        <w:t xml:space="preserve"> </w:t>
      </w:r>
      <w:r>
        <w:rPr>
          <w:rFonts w:ascii="宋体" w:hAnsi="宋体" w:eastAsia="宋体" w:cs="宋体"/>
          <w:spacing w:val="-12"/>
          <w:sz w:val="24"/>
          <w:szCs w:val="24"/>
        </w:rPr>
        <w:t>即发生井喷</w:t>
      </w:r>
      <w:r>
        <w:rPr>
          <w:rFonts w:ascii="宋体" w:hAnsi="宋体" w:eastAsia="宋体" w:cs="宋体"/>
          <w:sz w:val="24"/>
          <w:szCs w:val="24"/>
        </w:rPr>
        <w:t xml:space="preserve"> </w:t>
      </w:r>
      <w:r>
        <w:rPr>
          <w:rFonts w:ascii="宋体" w:hAnsi="宋体" w:eastAsia="宋体" w:cs="宋体"/>
          <w:spacing w:val="-15"/>
          <w:sz w:val="24"/>
          <w:szCs w:val="24"/>
        </w:rPr>
        <w:t>事故。若采取关井措施能防止井喷，</w:t>
      </w:r>
      <w:r>
        <w:rPr>
          <w:rFonts w:ascii="宋体" w:hAnsi="宋体" w:eastAsia="宋体" w:cs="宋体"/>
          <w:spacing w:val="-43"/>
          <w:sz w:val="24"/>
          <w:szCs w:val="24"/>
        </w:rPr>
        <w:t xml:space="preserve"> </w:t>
      </w:r>
      <w:r>
        <w:rPr>
          <w:rFonts w:ascii="宋体" w:hAnsi="宋体" w:eastAsia="宋体" w:cs="宋体"/>
          <w:spacing w:val="-15"/>
          <w:sz w:val="24"/>
          <w:szCs w:val="24"/>
        </w:rPr>
        <w:t>将疏散的居民撤回；</w:t>
      </w:r>
      <w:r>
        <w:rPr>
          <w:rFonts w:ascii="宋体" w:hAnsi="宋体" w:eastAsia="宋体" w:cs="宋体"/>
          <w:spacing w:val="-44"/>
          <w:sz w:val="24"/>
          <w:szCs w:val="24"/>
        </w:rPr>
        <w:t xml:space="preserve"> </w:t>
      </w:r>
      <w:r>
        <w:rPr>
          <w:rFonts w:ascii="宋体" w:hAnsi="宋体" w:eastAsia="宋体" w:cs="宋体"/>
          <w:spacing w:val="-15"/>
          <w:sz w:val="24"/>
          <w:szCs w:val="24"/>
        </w:rPr>
        <w:t>若井口失控后发生井喷，</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则井喷结束后，将疏散的居民撤回。</w:t>
      </w:r>
    </w:p>
    <w:p>
      <w:pPr>
        <w:spacing w:before="194"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）井喷事故撤离范围及路线</w:t>
      </w:r>
    </w:p>
    <w:p>
      <w:pPr>
        <w:spacing w:before="195" w:line="217" w:lineRule="auto"/>
        <w:ind w:left="517"/>
        <w:rPr>
          <w:rFonts w:ascii="宋体" w:hAnsi="宋体" w:eastAsia="宋体" w:cs="宋体"/>
          <w:sz w:val="24"/>
          <w:szCs w:val="24"/>
        </w:rPr>
      </w:pPr>
      <w:r>
        <w:rPr>
          <w:rFonts w:ascii="宋体" w:hAnsi="宋体" w:eastAsia="宋体" w:cs="宋体"/>
          <w:spacing w:val="-2"/>
          <w:sz w:val="24"/>
          <w:szCs w:val="24"/>
        </w:rPr>
        <w:t>①紧急撤离区</w:t>
      </w:r>
    </w:p>
    <w:p>
      <w:pPr>
        <w:spacing w:before="198" w:line="480" w:lineRule="exact"/>
        <w:ind w:right="64"/>
        <w:jc w:val="right"/>
        <w:rPr>
          <w:rFonts w:ascii="宋体" w:hAnsi="宋体" w:eastAsia="宋体" w:cs="宋体"/>
          <w:sz w:val="24"/>
          <w:szCs w:val="24"/>
        </w:rPr>
      </w:pPr>
      <w:r>
        <w:rPr>
          <w:rFonts w:ascii="宋体" w:hAnsi="宋体" w:eastAsia="宋体" w:cs="宋体"/>
          <w:spacing w:val="-1"/>
          <w:position w:val="18"/>
          <w:sz w:val="24"/>
          <w:szCs w:val="24"/>
        </w:rPr>
        <w:t>本项目井口</w:t>
      </w:r>
      <w:r>
        <w:rPr>
          <w:rFonts w:ascii="宋体" w:hAnsi="宋体" w:eastAsia="宋体" w:cs="宋体"/>
          <w:spacing w:val="-32"/>
          <w:position w:val="18"/>
          <w:sz w:val="24"/>
          <w:szCs w:val="24"/>
        </w:rPr>
        <w:t xml:space="preserve"> </w:t>
      </w:r>
      <w:r>
        <w:rPr>
          <w:rFonts w:ascii="Times New Roman" w:hAnsi="Times New Roman" w:eastAsia="Times New Roman" w:cs="Times New Roman"/>
          <w:spacing w:val="-1"/>
          <w:position w:val="18"/>
          <w:sz w:val="24"/>
          <w:szCs w:val="24"/>
        </w:rPr>
        <w:t>500m</w:t>
      </w:r>
      <w:r>
        <w:rPr>
          <w:rFonts w:ascii="Times New Roman" w:hAnsi="Times New Roman" w:eastAsia="Times New Roman" w:cs="Times New Roman"/>
          <w:spacing w:val="33"/>
          <w:w w:val="101"/>
          <w:position w:val="18"/>
          <w:sz w:val="24"/>
          <w:szCs w:val="24"/>
        </w:rPr>
        <w:t xml:space="preserve"> </w:t>
      </w:r>
      <w:r>
        <w:rPr>
          <w:rFonts w:ascii="宋体" w:hAnsi="宋体" w:eastAsia="宋体" w:cs="宋体"/>
          <w:spacing w:val="-1"/>
          <w:position w:val="18"/>
          <w:sz w:val="24"/>
          <w:szCs w:val="24"/>
        </w:rPr>
        <w:t>范围内为紧急撤离区。虽然在严格按</w:t>
      </w:r>
      <w:r>
        <w:rPr>
          <w:rFonts w:ascii="宋体" w:hAnsi="宋体" w:eastAsia="宋体" w:cs="宋体"/>
          <w:spacing w:val="-2"/>
          <w:position w:val="18"/>
          <w:sz w:val="24"/>
          <w:szCs w:val="24"/>
        </w:rPr>
        <w:t>照井喷失控</w:t>
      </w:r>
      <w:r>
        <w:rPr>
          <w:rFonts w:ascii="宋体" w:hAnsi="宋体" w:eastAsia="宋体" w:cs="宋体"/>
          <w:spacing w:val="-31"/>
          <w:position w:val="18"/>
          <w:sz w:val="24"/>
          <w:szCs w:val="24"/>
        </w:rPr>
        <w:t xml:space="preserve"> </w:t>
      </w:r>
      <w:r>
        <w:rPr>
          <w:rFonts w:ascii="Times New Roman" w:hAnsi="Times New Roman" w:eastAsia="Times New Roman" w:cs="Times New Roman"/>
          <w:spacing w:val="-2"/>
          <w:position w:val="18"/>
          <w:sz w:val="24"/>
          <w:szCs w:val="24"/>
        </w:rPr>
        <w:t>5min</w:t>
      </w:r>
      <w:r>
        <w:rPr>
          <w:rFonts w:ascii="Times New Roman" w:hAnsi="Times New Roman" w:eastAsia="Times New Roman" w:cs="Times New Roman"/>
          <w:spacing w:val="29"/>
          <w:position w:val="18"/>
          <w:sz w:val="24"/>
          <w:szCs w:val="24"/>
        </w:rPr>
        <w:t xml:space="preserve"> </w:t>
      </w:r>
      <w:r>
        <w:rPr>
          <w:rFonts w:ascii="宋体" w:hAnsi="宋体" w:eastAsia="宋体" w:cs="宋体"/>
          <w:spacing w:val="-2"/>
          <w:position w:val="18"/>
          <w:sz w:val="24"/>
          <w:szCs w:val="24"/>
        </w:rPr>
        <w:t>后</w:t>
      </w:r>
    </w:p>
    <w:p>
      <w:pPr>
        <w:spacing w:before="1" w:line="218" w:lineRule="auto"/>
        <w:ind w:left="37"/>
        <w:rPr>
          <w:rFonts w:ascii="宋体" w:hAnsi="宋体" w:eastAsia="宋体" w:cs="宋体"/>
          <w:sz w:val="24"/>
          <w:szCs w:val="24"/>
        </w:rPr>
      </w:pPr>
      <w:r>
        <w:rPr>
          <w:rFonts w:ascii="宋体" w:hAnsi="宋体" w:eastAsia="宋体" w:cs="宋体"/>
          <w:spacing w:val="-4"/>
          <w:sz w:val="24"/>
          <w:szCs w:val="24"/>
        </w:rPr>
        <w:t xml:space="preserve">及时点火的原则， </w:t>
      </w:r>
      <w:r>
        <w:rPr>
          <w:rFonts w:ascii="Times New Roman" w:hAnsi="Times New Roman" w:eastAsia="Times New Roman" w:cs="Times New Roman"/>
          <w:spacing w:val="-4"/>
          <w:sz w:val="24"/>
          <w:szCs w:val="24"/>
        </w:rPr>
        <w:t>5min</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内泄漏的天然气浓度不会危及井场周边农民的</w:t>
      </w:r>
      <w:r>
        <w:rPr>
          <w:rFonts w:ascii="宋体" w:hAnsi="宋体" w:eastAsia="宋体" w:cs="宋体"/>
          <w:spacing w:val="-5"/>
          <w:sz w:val="24"/>
          <w:szCs w:val="24"/>
        </w:rPr>
        <w:t>生命和健</w:t>
      </w:r>
    </w:p>
    <w:p>
      <w:pPr>
        <w:spacing w:line="218" w:lineRule="auto"/>
        <w:rPr>
          <w:rFonts w:ascii="宋体" w:hAnsi="宋体" w:eastAsia="宋体" w:cs="宋体"/>
          <w:sz w:val="24"/>
          <w:szCs w:val="24"/>
        </w:rPr>
        <w:sectPr>
          <w:headerReference r:id="rId263" w:type="default"/>
          <w:footerReference r:id="rId264" w:type="default"/>
          <w:pgSz w:w="11907" w:h="16839"/>
          <w:pgMar w:top="1123" w:right="1717" w:bottom="1149" w:left="1769" w:header="1108" w:footer="988" w:gutter="0"/>
          <w:cols w:space="720" w:num="1"/>
        </w:sectPr>
      </w:pPr>
    </w:p>
    <w:p>
      <w:pPr>
        <w:pStyle w:val="2"/>
        <w:spacing w:line="414" w:lineRule="auto"/>
        <w:rPr>
          <w:sz w:val="21"/>
        </w:rPr>
      </w:pPr>
    </w:p>
    <w:p>
      <w:pPr>
        <w:spacing w:before="78" w:line="480" w:lineRule="exact"/>
        <w:ind w:left="37"/>
        <w:rPr>
          <w:rFonts w:ascii="宋体" w:hAnsi="宋体" w:eastAsia="宋体" w:cs="宋体"/>
          <w:sz w:val="24"/>
          <w:szCs w:val="24"/>
        </w:rPr>
      </w:pPr>
      <w:r>
        <w:rPr>
          <w:rFonts w:ascii="宋体" w:hAnsi="宋体" w:eastAsia="宋体" w:cs="宋体"/>
          <w:spacing w:val="-11"/>
          <w:position w:val="18"/>
          <w:sz w:val="24"/>
          <w:szCs w:val="24"/>
        </w:rPr>
        <w:t>康。但为了确保周围居民的健康，</w:t>
      </w:r>
      <w:r>
        <w:rPr>
          <w:rFonts w:ascii="宋体" w:hAnsi="宋体" w:eastAsia="宋体" w:cs="宋体"/>
          <w:spacing w:val="51"/>
          <w:position w:val="18"/>
          <w:sz w:val="24"/>
          <w:szCs w:val="24"/>
        </w:rPr>
        <w:t xml:space="preserve"> </w:t>
      </w:r>
      <w:r>
        <w:rPr>
          <w:rFonts w:ascii="宋体" w:hAnsi="宋体" w:eastAsia="宋体" w:cs="宋体"/>
          <w:spacing w:val="-11"/>
          <w:position w:val="18"/>
          <w:sz w:val="24"/>
          <w:szCs w:val="24"/>
        </w:rPr>
        <w:t>应立即撤离周</w:t>
      </w:r>
      <w:r>
        <w:rPr>
          <w:rFonts w:ascii="宋体" w:hAnsi="宋体" w:eastAsia="宋体" w:cs="宋体"/>
          <w:spacing w:val="-12"/>
          <w:position w:val="18"/>
          <w:sz w:val="24"/>
          <w:szCs w:val="24"/>
        </w:rPr>
        <w:t>边井口</w:t>
      </w:r>
      <w:r>
        <w:rPr>
          <w:rFonts w:ascii="宋体" w:hAnsi="宋体" w:eastAsia="宋体" w:cs="宋体"/>
          <w:spacing w:val="-47"/>
          <w:position w:val="18"/>
          <w:sz w:val="24"/>
          <w:szCs w:val="24"/>
        </w:rPr>
        <w:t xml:space="preserve"> </w:t>
      </w:r>
      <w:r>
        <w:rPr>
          <w:rFonts w:ascii="Times New Roman" w:hAnsi="Times New Roman" w:eastAsia="Times New Roman" w:cs="Times New Roman"/>
          <w:spacing w:val="-12"/>
          <w:position w:val="18"/>
          <w:sz w:val="24"/>
          <w:szCs w:val="24"/>
        </w:rPr>
        <w:t>500m</w:t>
      </w:r>
      <w:r>
        <w:rPr>
          <w:rFonts w:ascii="Times New Roman" w:hAnsi="Times New Roman" w:eastAsia="Times New Roman" w:cs="Times New Roman"/>
          <w:spacing w:val="15"/>
          <w:w w:val="101"/>
          <w:position w:val="18"/>
          <w:sz w:val="24"/>
          <w:szCs w:val="24"/>
        </w:rPr>
        <w:t xml:space="preserve"> </w:t>
      </w:r>
      <w:r>
        <w:rPr>
          <w:rFonts w:ascii="宋体" w:hAnsi="宋体" w:eastAsia="宋体" w:cs="宋体"/>
          <w:spacing w:val="-12"/>
          <w:position w:val="18"/>
          <w:sz w:val="24"/>
          <w:szCs w:val="24"/>
        </w:rPr>
        <w:t>范围内居民，</w:t>
      </w:r>
      <w:r>
        <w:rPr>
          <w:rFonts w:ascii="宋体" w:hAnsi="宋体" w:eastAsia="宋体" w:cs="宋体"/>
          <w:spacing w:val="53"/>
          <w:position w:val="18"/>
          <w:sz w:val="24"/>
          <w:szCs w:val="24"/>
        </w:rPr>
        <w:t xml:space="preserve"> </w:t>
      </w:r>
      <w:r>
        <w:rPr>
          <w:rFonts w:ascii="宋体" w:hAnsi="宋体" w:eastAsia="宋体" w:cs="宋体"/>
          <w:spacing w:val="-12"/>
          <w:position w:val="18"/>
          <w:sz w:val="24"/>
          <w:szCs w:val="24"/>
        </w:rPr>
        <w:t>至固</w:t>
      </w:r>
    </w:p>
    <w:p>
      <w:pPr>
        <w:spacing w:line="219" w:lineRule="auto"/>
        <w:ind w:left="38"/>
        <w:rPr>
          <w:rFonts w:ascii="宋体" w:hAnsi="宋体" w:eastAsia="宋体" w:cs="宋体"/>
          <w:sz w:val="24"/>
          <w:szCs w:val="24"/>
        </w:rPr>
      </w:pPr>
      <w:r>
        <w:rPr>
          <w:rFonts w:ascii="宋体" w:hAnsi="宋体" w:eastAsia="宋体" w:cs="宋体"/>
          <w:spacing w:val="-7"/>
          <w:sz w:val="24"/>
          <w:szCs w:val="24"/>
        </w:rPr>
        <w:t>井作业完成。</w:t>
      </w:r>
    </w:p>
    <w:p>
      <w:pPr>
        <w:spacing w:before="196" w:line="369" w:lineRule="auto"/>
        <w:ind w:left="39" w:firstLine="478"/>
        <w:jc w:val="both"/>
        <w:rPr>
          <w:rFonts w:ascii="宋体" w:hAnsi="宋体" w:eastAsia="宋体" w:cs="宋体"/>
          <w:sz w:val="24"/>
          <w:szCs w:val="24"/>
        </w:rPr>
      </w:pPr>
      <w:r>
        <w:rPr>
          <w:rFonts w:ascii="宋体" w:hAnsi="宋体" w:eastAsia="宋体" w:cs="宋体"/>
          <w:spacing w:val="-7"/>
          <w:sz w:val="24"/>
          <w:szCs w:val="24"/>
        </w:rPr>
        <w:t xml:space="preserve">撤离路线应根据钻井井场风向标， 沿发生事故时的上风向方向进行撤离。通 </w:t>
      </w:r>
      <w:r>
        <w:rPr>
          <w:rFonts w:ascii="宋体" w:hAnsi="宋体" w:eastAsia="宋体" w:cs="宋体"/>
          <w:spacing w:val="-8"/>
          <w:sz w:val="24"/>
          <w:szCs w:val="24"/>
        </w:rPr>
        <w:t>过高音喇叭、广播、电话及时通知周边各户居民，</w:t>
      </w:r>
      <w:r>
        <w:rPr>
          <w:rFonts w:ascii="宋体" w:hAnsi="宋体" w:eastAsia="宋体" w:cs="宋体"/>
          <w:spacing w:val="55"/>
          <w:sz w:val="24"/>
          <w:szCs w:val="24"/>
        </w:rPr>
        <w:t xml:space="preserve"> </w:t>
      </w:r>
      <w:r>
        <w:rPr>
          <w:rFonts w:ascii="宋体" w:hAnsi="宋体" w:eastAsia="宋体" w:cs="宋体"/>
          <w:spacing w:val="-8"/>
          <w:sz w:val="24"/>
          <w:szCs w:val="24"/>
        </w:rPr>
        <w:t xml:space="preserve">保证全部及时通知撤离。由于 </w:t>
      </w:r>
      <w:r>
        <w:rPr>
          <w:rFonts w:ascii="宋体" w:hAnsi="宋体" w:eastAsia="宋体" w:cs="宋体"/>
          <w:spacing w:val="-11"/>
          <w:sz w:val="24"/>
          <w:szCs w:val="24"/>
        </w:rPr>
        <w:t>涉及人员多，</w:t>
      </w:r>
      <w:r>
        <w:rPr>
          <w:rFonts w:ascii="宋体" w:hAnsi="宋体" w:eastAsia="宋体" w:cs="宋体"/>
          <w:spacing w:val="-41"/>
          <w:sz w:val="24"/>
          <w:szCs w:val="24"/>
        </w:rPr>
        <w:t xml:space="preserve"> </w:t>
      </w:r>
      <w:r>
        <w:rPr>
          <w:rFonts w:ascii="宋体" w:hAnsi="宋体" w:eastAsia="宋体" w:cs="宋体"/>
          <w:spacing w:val="-11"/>
          <w:sz w:val="24"/>
          <w:szCs w:val="24"/>
        </w:rPr>
        <w:t>应通过应急组织机构负责组织撤</w:t>
      </w:r>
      <w:r>
        <w:rPr>
          <w:rFonts w:ascii="宋体" w:hAnsi="宋体" w:eastAsia="宋体" w:cs="宋体"/>
          <w:spacing w:val="-12"/>
          <w:sz w:val="24"/>
          <w:szCs w:val="24"/>
        </w:rPr>
        <w:t>离，</w:t>
      </w:r>
      <w:r>
        <w:rPr>
          <w:rFonts w:ascii="宋体" w:hAnsi="宋体" w:eastAsia="宋体" w:cs="宋体"/>
          <w:spacing w:val="-40"/>
          <w:sz w:val="24"/>
          <w:szCs w:val="24"/>
        </w:rPr>
        <w:t xml:space="preserve"> </w:t>
      </w:r>
      <w:r>
        <w:rPr>
          <w:rFonts w:ascii="宋体" w:hAnsi="宋体" w:eastAsia="宋体" w:cs="宋体"/>
          <w:spacing w:val="-12"/>
          <w:sz w:val="24"/>
          <w:szCs w:val="24"/>
        </w:rPr>
        <w:t>通过广播系统和电话系统通知。</w:t>
      </w:r>
      <w:r>
        <w:rPr>
          <w:rFonts w:ascii="宋体" w:hAnsi="宋体" w:eastAsia="宋体" w:cs="宋体"/>
          <w:sz w:val="24"/>
          <w:szCs w:val="24"/>
        </w:rPr>
        <w:t xml:space="preserve"> </w:t>
      </w:r>
      <w:r>
        <w:rPr>
          <w:rFonts w:ascii="宋体" w:hAnsi="宋体" w:eastAsia="宋体" w:cs="宋体"/>
          <w:spacing w:val="-6"/>
          <w:sz w:val="24"/>
          <w:szCs w:val="24"/>
        </w:rPr>
        <w:t>由于远处居民不能看到风向标，</w:t>
      </w:r>
      <w:r>
        <w:rPr>
          <w:rFonts w:ascii="宋体" w:hAnsi="宋体" w:eastAsia="宋体" w:cs="宋体"/>
          <w:spacing w:val="-17"/>
          <w:sz w:val="24"/>
          <w:szCs w:val="24"/>
        </w:rPr>
        <w:t xml:space="preserve"> </w:t>
      </w:r>
      <w:r>
        <w:rPr>
          <w:rFonts w:ascii="宋体" w:hAnsi="宋体" w:eastAsia="宋体" w:cs="宋体"/>
          <w:spacing w:val="-6"/>
          <w:sz w:val="24"/>
          <w:szCs w:val="24"/>
        </w:rPr>
        <w:t xml:space="preserve">在通知撤离时要由专业人员根据风向标说明撤离 </w:t>
      </w:r>
      <w:r>
        <w:rPr>
          <w:rFonts w:ascii="宋体" w:hAnsi="宋体" w:eastAsia="宋体" w:cs="宋体"/>
          <w:spacing w:val="-12"/>
          <w:sz w:val="24"/>
          <w:szCs w:val="24"/>
        </w:rPr>
        <w:t>方向。可通过广播系统和电话系统通知，</w:t>
      </w:r>
      <w:r>
        <w:rPr>
          <w:rFonts w:ascii="宋体" w:hAnsi="宋体" w:eastAsia="宋体" w:cs="宋体"/>
          <w:spacing w:val="50"/>
          <w:sz w:val="24"/>
          <w:szCs w:val="24"/>
        </w:rPr>
        <w:t xml:space="preserve"> </w:t>
      </w:r>
      <w:r>
        <w:rPr>
          <w:rFonts w:ascii="宋体" w:hAnsi="宋体" w:eastAsia="宋体" w:cs="宋体"/>
          <w:spacing w:val="-12"/>
          <w:sz w:val="24"/>
          <w:szCs w:val="24"/>
        </w:rPr>
        <w:t>应通过协调村委会通过电话通知，</w:t>
      </w:r>
      <w:r>
        <w:rPr>
          <w:rFonts w:ascii="宋体" w:hAnsi="宋体" w:eastAsia="宋体" w:cs="宋体"/>
          <w:spacing w:val="38"/>
          <w:sz w:val="24"/>
          <w:szCs w:val="24"/>
        </w:rPr>
        <w:t xml:space="preserve"> </w:t>
      </w:r>
      <w:r>
        <w:rPr>
          <w:rFonts w:ascii="宋体" w:hAnsi="宋体" w:eastAsia="宋体" w:cs="宋体"/>
          <w:spacing w:val="-12"/>
          <w:sz w:val="24"/>
          <w:szCs w:val="24"/>
        </w:rPr>
        <w:t>设立</w:t>
      </w:r>
    </w:p>
    <w:p>
      <w:pPr>
        <w:spacing w:line="219" w:lineRule="auto"/>
        <w:ind w:left="56"/>
        <w:rPr>
          <w:rFonts w:ascii="宋体" w:hAnsi="宋体" w:eastAsia="宋体" w:cs="宋体"/>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个联络点。指定</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人负责通知周边居民。</w:t>
      </w:r>
    </w:p>
    <w:p>
      <w:pPr>
        <w:pStyle w:val="2"/>
        <w:spacing w:before="4" w:line="6998" w:lineRule="exact"/>
        <w:ind w:firstLine="42"/>
      </w:pPr>
      <w:r>
        <w:rPr>
          <w:position w:val="-139"/>
        </w:rPr>
        <w:pict>
          <v:group id="_x0000_s1568" o:spid="_x0000_s1568" o:spt="203" style="height:349.9pt;width:417.35pt;" coordsize="8347,6997">
            <o:lock v:ext="edit"/>
            <v:shape id="_x0000_s1569" o:spid="_x0000_s1569" o:spt="75" type="#_x0000_t75" style="position:absolute;left:15;top:41;height:6940;width:8312;" filled="f" stroked="f" coordsize="21600,21600">
              <v:path/>
              <v:fill on="f" focussize="0,0"/>
              <v:stroke on="f"/>
              <v:imagedata r:id="rId373" o:title=""/>
              <o:lock v:ext="edit" aspectratio="t"/>
            </v:shape>
            <v:group id="_x0000_s1570" o:spid="_x0000_s1570" o:spt="203" style="position:absolute;left:3115;top:5090;height:918;width:1703;" coordsize="1703,918">
              <o:lock v:ext="edit"/>
              <v:shape id="_x0000_s1571" o:spid="_x0000_s1571" style="position:absolute;left:7;top:7;height:903;width:1688;" fillcolor="#FFFFFF" filled="t" stroked="f" coordsize="1688,903" path="m235,453c235,403,275,363,325,363l477,363,0,0,840,363,1598,363c1648,363,1688,403,1688,453l1688,453,1688,453,1688,588,1688,812c1688,862,1648,902,1598,902l840,902,477,902,477,902,325,902c275,902,235,862,235,812l235,588,235,453,235,453xe">
                <v:fill on="t" focussize="0,0"/>
                <v:stroke on="f"/>
                <v:imagedata o:title=""/>
                <o:lock v:ext="edit"/>
              </v:shape>
              <v:shape id="_x0000_s1572" o:spid="_x0000_s1572" style="position:absolute;left:0;top:0;height:918;width:1703;" filled="f" stroked="t" coordsize="1703,918" path="m243,460c243,411,283,371,332,371l485,371,7,7,848,371,1606,371c1655,371,1696,411,1696,460l1696,460,1696,460,1696,595,1696,820c1696,869,1655,910,1606,910l848,910,485,910,485,910,332,910c283,910,243,869,243,820l243,595,243,460,243,460xe">
                <v:fill on="f" focussize="0,0"/>
                <v:stroke color="#000000" joinstyle="miter"/>
                <v:imagedata o:title=""/>
                <o:lock v:ext="edit"/>
              </v:shape>
            </v:group>
            <v:group id="_x0000_s1573" o:spid="_x0000_s1573" o:spt="203" style="position:absolute;left:3941;top:3425;height:918;width:1703;" coordsize="1703,918">
              <o:lock v:ext="edit"/>
              <v:shape id="_x0000_s1574" o:spid="_x0000_s1574" style="position:absolute;left:7;top:7;height:903;width:1688;" fillcolor="#FFFFFF" filled="t" stroked="f" coordsize="1688,903" path="m235,453c235,403,275,363,325,363l477,363,0,0,840,363,1598,363c1648,363,1688,403,1688,453l1688,453,1688,453,1688,588,1688,812c1688,862,1648,902,1598,902l840,902,477,902,477,902,325,902c275,902,235,862,235,812l235,588,235,453,235,453xe">
                <v:fill on="t" focussize="0,0"/>
                <v:stroke on="f"/>
                <v:imagedata o:title=""/>
                <o:lock v:ext="edit"/>
              </v:shape>
              <v:shape id="_x0000_s1575" o:spid="_x0000_s1575" style="position:absolute;left:0;top:0;height:918;width:1703;" filled="f" stroked="t" coordsize="1703,918" path="m243,460c243,411,283,371,332,371l485,371,7,7,848,371,1606,371c1655,371,1696,411,1696,460l1696,460,1696,460,1696,595,1696,820c1696,869,1655,910,1606,910l848,910,485,910,485,910,332,910c283,910,243,869,243,820l243,595,243,460,243,460xe">
                <v:fill on="f" focussize="0,0"/>
                <v:stroke color="#000000" joinstyle="miter"/>
                <v:imagedata o:title=""/>
                <o:lock v:ext="edit"/>
              </v:shape>
            </v:group>
            <v:shape id="_x0000_s1576" o:spid="_x0000_s1576" o:spt="202" type="#_x0000_t202" style="position:absolute;left:-20;top:-20;height:7037;width:8387;" filled="f" stroked="f" coordsize="21600,21600">
              <v:path/>
              <v:fill on="f" focussize="0,0"/>
              <v:stroke on="f"/>
              <v:imagedata o:title=""/>
              <o:lock v:ext="edit" aspectratio="f"/>
              <v:textbox inset="0mm,0mm,0mm,0mm">
                <w:txbxContent>
                  <w:p>
                    <w:pPr>
                      <w:spacing w:line="20" w:lineRule="exact"/>
                    </w:pPr>
                  </w:p>
                  <w:tbl>
                    <w:tblPr>
                      <w:tblStyle w:val="5"/>
                      <w:tblW w:w="8331"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3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967" w:hRule="atLeast"/>
                      </w:trPr>
                      <w:tc>
                        <w:tcPr>
                          <w:tcW w:w="8331" w:type="dxa"/>
                          <w:vAlign w:val="top"/>
                        </w:tcPr>
                        <w:p>
                          <w:pPr>
                            <w:spacing w:line="998" w:lineRule="exact"/>
                            <w:ind w:firstLine="7417"/>
                          </w:pPr>
                          <w:r>
                            <w:rPr>
                              <w:position w:val="-19"/>
                            </w:rPr>
                            <w:drawing>
                              <wp:inline distT="0" distB="0" distL="0" distR="0">
                                <wp:extent cx="570230" cy="63373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74"/>
                                        <a:stretch>
                                          <a:fillRect/>
                                        </a:stretch>
                                      </pic:blipFill>
                                      <pic:spPr>
                                        <a:xfrm>
                                          <a:off x="0" y="0"/>
                                          <a:ext cx="570864" cy="634186"/>
                                        </a:xfrm>
                                        <a:prstGeom prst="rect">
                                          <a:avLst/>
                                        </a:prstGeom>
                                      </pic:spPr>
                                    </pic:pic>
                                  </a:graphicData>
                                </a:graphic>
                              </wp:inline>
                            </w:drawing>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8" w:line="220" w:lineRule="auto"/>
                            <w:ind w:left="4355"/>
                            <w:rPr>
                              <w:rFonts w:ascii="宋体" w:hAnsi="宋体" w:eastAsia="宋体" w:cs="宋体"/>
                              <w:sz w:val="24"/>
                              <w:szCs w:val="24"/>
                            </w:rPr>
                          </w:pPr>
                          <w:r>
                            <w:rPr>
                              <w:rFonts w:ascii="宋体" w:hAnsi="宋体" w:eastAsia="宋体" w:cs="宋体"/>
                              <w:spacing w:val="-2"/>
                              <w:sz w:val="24"/>
                              <w:szCs w:val="24"/>
                            </w:rPr>
                            <w:t>撤离路线</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78" w:line="220" w:lineRule="auto"/>
                            <w:ind w:left="4359"/>
                            <w:rPr>
                              <w:rFonts w:ascii="宋体" w:hAnsi="宋体" w:eastAsia="宋体" w:cs="宋体"/>
                              <w:sz w:val="24"/>
                              <w:szCs w:val="24"/>
                            </w:rPr>
                          </w:pPr>
                          <w:r>
                            <w:rPr>
                              <w:rFonts w:ascii="宋体" w:hAnsi="宋体" w:eastAsia="宋体" w:cs="宋体"/>
                              <w:spacing w:val="-10"/>
                              <w:sz w:val="24"/>
                              <w:szCs w:val="24"/>
                            </w:rPr>
                            <w:t>凤探</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9"/>
                              <w:sz w:val="24"/>
                              <w:szCs w:val="24"/>
                            </w:rPr>
                            <w:t xml:space="preserve"> </w:t>
                          </w:r>
                          <w:r>
                            <w:rPr>
                              <w:rFonts w:ascii="宋体" w:hAnsi="宋体" w:eastAsia="宋体" w:cs="宋体"/>
                              <w:spacing w:val="-10"/>
                              <w:sz w:val="24"/>
                              <w:szCs w:val="24"/>
                            </w:rPr>
                            <w:t>井</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8" w:line="220" w:lineRule="auto"/>
                            <w:ind w:left="3532"/>
                            <w:rPr>
                              <w:rFonts w:ascii="宋体" w:hAnsi="宋体" w:eastAsia="宋体" w:cs="宋体"/>
                              <w:sz w:val="24"/>
                              <w:szCs w:val="24"/>
                            </w:rPr>
                          </w:pPr>
                          <w:r>
                            <w:rPr>
                              <w:rFonts w:ascii="宋体" w:hAnsi="宋体" w:eastAsia="宋体" w:cs="宋体"/>
                              <w:spacing w:val="-3"/>
                              <w:sz w:val="24"/>
                              <w:szCs w:val="24"/>
                            </w:rPr>
                            <w:t>撤离路线</w:t>
                          </w:r>
                        </w:p>
                      </w:tc>
                    </w:tr>
                  </w:tbl>
                  <w:p>
                    <w:pPr>
                      <w:rPr>
                        <w:rFonts w:ascii="Arial"/>
                        <w:sz w:val="21"/>
                      </w:rPr>
                    </w:pPr>
                  </w:p>
                </w:txbxContent>
              </v:textbox>
            </v:shape>
            <v:shape id="_x0000_s1577" o:spid="_x0000_s1577" style="position:absolute;left:7417;top:7;height:1021;width:921;" filled="f" stroked="t" coordsize="921,1021" path="m7,1013l921,1013m7,0l7,1013e">
              <v:fill on="f" focussize="0,0"/>
              <v:stroke color="#000000"/>
              <v:imagedata o:title=""/>
              <o:lock v:ext="edit"/>
            </v:shape>
            <w10:wrap type="none"/>
            <w10:anchorlock/>
          </v:group>
        </w:pict>
      </w:r>
    </w:p>
    <w:p>
      <w:pPr>
        <w:spacing w:before="184" w:line="220" w:lineRule="auto"/>
        <w:ind w:left="3153"/>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图</w:t>
      </w:r>
      <w:r>
        <w:rPr>
          <w:rFonts w:ascii="宋体" w:hAnsi="宋体" w:eastAsia="宋体" w:cs="宋体"/>
          <w:spacing w:val="-49"/>
          <w:sz w:val="24"/>
          <w:szCs w:val="24"/>
        </w:rPr>
        <w:t xml:space="preserve"> </w:t>
      </w:r>
      <w:r>
        <w:rPr>
          <w:rFonts w:ascii="Times New Roman" w:hAnsi="Times New Roman" w:eastAsia="Times New Roman" w:cs="Times New Roman"/>
          <w:b/>
          <w:bCs/>
          <w:spacing w:val="-3"/>
          <w:sz w:val="24"/>
          <w:szCs w:val="24"/>
        </w:rPr>
        <w:t xml:space="preserve">6.2-1  </w:t>
      </w:r>
      <w:r>
        <w:rPr>
          <w:rFonts w:ascii="宋体" w:hAnsi="宋体" w:eastAsia="宋体" w:cs="宋体"/>
          <w:spacing w:val="-3"/>
          <w:sz w:val="24"/>
          <w:szCs w:val="24"/>
          <w14:textOutline w14:w="4354" w14:cap="flat" w14:cmpd="sng">
            <w14:solidFill>
              <w14:srgbClr w14:val="000000"/>
            </w14:solidFill>
            <w14:prstDash w14:val="solid"/>
            <w14:miter w14:val="10"/>
          </w14:textOutline>
        </w:rPr>
        <w:t>撤离路线图</w:t>
      </w:r>
    </w:p>
    <w:p>
      <w:pPr>
        <w:spacing w:before="195" w:line="217" w:lineRule="auto"/>
        <w:ind w:left="516"/>
        <w:rPr>
          <w:rFonts w:ascii="宋体" w:hAnsi="宋体" w:eastAsia="宋体" w:cs="宋体"/>
          <w:sz w:val="24"/>
          <w:szCs w:val="24"/>
        </w:rPr>
      </w:pPr>
      <w:r>
        <w:rPr>
          <w:rFonts w:ascii="宋体" w:hAnsi="宋体" w:eastAsia="宋体" w:cs="宋体"/>
          <w:spacing w:val="-2"/>
          <w:sz w:val="24"/>
          <w:szCs w:val="24"/>
        </w:rPr>
        <w:t>②一般撤离区</w:t>
      </w:r>
    </w:p>
    <w:p>
      <w:pPr>
        <w:spacing w:before="199" w:line="369" w:lineRule="auto"/>
        <w:ind w:left="39" w:right="84" w:firstLine="479"/>
        <w:rPr>
          <w:rFonts w:ascii="宋体" w:hAnsi="宋体" w:eastAsia="宋体" w:cs="宋体"/>
          <w:sz w:val="24"/>
          <w:szCs w:val="24"/>
        </w:rPr>
      </w:pPr>
      <w:r>
        <w:rPr>
          <w:rFonts w:ascii="宋体" w:hAnsi="宋体" w:eastAsia="宋体" w:cs="宋体"/>
          <w:spacing w:val="-6"/>
          <w:sz w:val="24"/>
          <w:szCs w:val="24"/>
        </w:rPr>
        <w:t>本项目井口</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500m~5km</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范围内为一般撤离区，</w:t>
      </w:r>
      <w:r>
        <w:rPr>
          <w:rFonts w:ascii="宋体" w:hAnsi="宋体" w:eastAsia="宋体" w:cs="宋体"/>
          <w:spacing w:val="-48"/>
          <w:sz w:val="24"/>
          <w:szCs w:val="24"/>
        </w:rPr>
        <w:t xml:space="preserve"> </w:t>
      </w:r>
      <w:r>
        <w:rPr>
          <w:rFonts w:ascii="宋体" w:hAnsi="宋体" w:eastAsia="宋体" w:cs="宋体"/>
          <w:spacing w:val="-6"/>
          <w:sz w:val="24"/>
          <w:szCs w:val="24"/>
        </w:rPr>
        <w:t>根据布置的实时监</w:t>
      </w:r>
      <w:r>
        <w:rPr>
          <w:rFonts w:ascii="宋体" w:hAnsi="宋体" w:eastAsia="宋体" w:cs="宋体"/>
          <w:spacing w:val="-7"/>
          <w:sz w:val="24"/>
          <w:szCs w:val="24"/>
        </w:rPr>
        <w:t>测点环境空</w:t>
      </w:r>
      <w:r>
        <w:rPr>
          <w:rFonts w:ascii="宋体" w:hAnsi="宋体" w:eastAsia="宋体" w:cs="宋体"/>
          <w:sz w:val="24"/>
          <w:szCs w:val="24"/>
        </w:rPr>
        <w:t xml:space="preserve"> </w:t>
      </w:r>
      <w:r>
        <w:rPr>
          <w:rFonts w:ascii="宋体" w:hAnsi="宋体" w:eastAsia="宋体" w:cs="宋体"/>
          <w:spacing w:val="-9"/>
          <w:sz w:val="24"/>
          <w:szCs w:val="24"/>
        </w:rPr>
        <w:t>气质量情况， 判断受环境风险影响程度和指导下步环境风险应急措施开</w:t>
      </w:r>
      <w:r>
        <w:rPr>
          <w:rFonts w:ascii="宋体" w:hAnsi="宋体" w:eastAsia="宋体" w:cs="宋体"/>
          <w:spacing w:val="-10"/>
          <w:sz w:val="24"/>
          <w:szCs w:val="24"/>
        </w:rPr>
        <w:t>展； 若监</w:t>
      </w:r>
      <w:r>
        <w:rPr>
          <w:rFonts w:ascii="宋体" w:hAnsi="宋体" w:eastAsia="宋体" w:cs="宋体"/>
          <w:sz w:val="24"/>
          <w:szCs w:val="24"/>
        </w:rPr>
        <w:t xml:space="preserve"> </w:t>
      </w:r>
      <w:r>
        <w:rPr>
          <w:rFonts w:ascii="宋体" w:hAnsi="宋体" w:eastAsia="宋体" w:cs="宋体"/>
          <w:spacing w:val="-7"/>
          <w:sz w:val="24"/>
          <w:szCs w:val="24"/>
        </w:rPr>
        <w:t>测数值指示需撤离时，</w:t>
      </w:r>
      <w:r>
        <w:rPr>
          <w:rFonts w:ascii="宋体" w:hAnsi="宋体" w:eastAsia="宋体" w:cs="宋体"/>
          <w:spacing w:val="33"/>
          <w:sz w:val="24"/>
          <w:szCs w:val="24"/>
        </w:rPr>
        <w:t xml:space="preserve"> </w:t>
      </w:r>
      <w:r>
        <w:rPr>
          <w:rFonts w:ascii="宋体" w:hAnsi="宋体" w:eastAsia="宋体" w:cs="宋体"/>
          <w:spacing w:val="-7"/>
          <w:sz w:val="24"/>
          <w:szCs w:val="24"/>
        </w:rPr>
        <w:t>采取镇、县两级联动组织受影响的居民及时</w:t>
      </w:r>
      <w:r>
        <w:rPr>
          <w:rFonts w:ascii="宋体" w:hAnsi="宋体" w:eastAsia="宋体" w:cs="宋体"/>
          <w:spacing w:val="-8"/>
          <w:sz w:val="24"/>
          <w:szCs w:val="24"/>
        </w:rPr>
        <w:t>撤离。撤离路</w:t>
      </w:r>
    </w:p>
    <w:p>
      <w:pPr>
        <w:spacing w:line="219" w:lineRule="auto"/>
        <w:ind w:left="41"/>
        <w:rPr>
          <w:rFonts w:ascii="宋体" w:hAnsi="宋体" w:eastAsia="宋体" w:cs="宋体"/>
          <w:sz w:val="24"/>
          <w:szCs w:val="24"/>
        </w:rPr>
      </w:pPr>
      <w:r>
        <w:rPr>
          <w:rFonts w:ascii="宋体" w:hAnsi="宋体" w:eastAsia="宋体" w:cs="宋体"/>
          <w:spacing w:val="-1"/>
          <w:sz w:val="24"/>
          <w:szCs w:val="24"/>
        </w:rPr>
        <w:t>线应根据钻井井场实时风向情况，沿发生事故时</w:t>
      </w:r>
      <w:r>
        <w:rPr>
          <w:rFonts w:ascii="宋体" w:hAnsi="宋体" w:eastAsia="宋体" w:cs="宋体"/>
          <w:spacing w:val="-2"/>
          <w:sz w:val="24"/>
          <w:szCs w:val="24"/>
        </w:rPr>
        <w:t>的上风向方向进行疏散撤离。</w:t>
      </w:r>
    </w:p>
    <w:p>
      <w:pPr>
        <w:spacing w:line="219" w:lineRule="auto"/>
        <w:rPr>
          <w:rFonts w:ascii="宋体" w:hAnsi="宋体" w:eastAsia="宋体" w:cs="宋体"/>
          <w:sz w:val="24"/>
          <w:szCs w:val="24"/>
        </w:rPr>
        <w:sectPr>
          <w:headerReference r:id="rId265" w:type="default"/>
          <w:footerReference r:id="rId266" w:type="default"/>
          <w:pgSz w:w="11907" w:h="16839"/>
          <w:pgMar w:top="1123" w:right="1709" w:bottom="1149" w:left="1769" w:header="1108" w:footer="988" w:gutter="0"/>
          <w:cols w:space="720" w:num="1"/>
        </w:sectPr>
      </w:pPr>
    </w:p>
    <w:p>
      <w:pPr>
        <w:pStyle w:val="2"/>
        <w:spacing w:line="414" w:lineRule="auto"/>
        <w:rPr>
          <w:sz w:val="21"/>
        </w:rPr>
      </w:pPr>
    </w:p>
    <w:p>
      <w:pPr>
        <w:spacing w:before="78" w:line="220" w:lineRule="auto"/>
        <w:ind w:left="37"/>
        <w:rPr>
          <w:rFonts w:ascii="宋体" w:hAnsi="宋体" w:eastAsia="宋体" w:cs="宋体"/>
          <w:sz w:val="24"/>
          <w:szCs w:val="24"/>
        </w:rPr>
      </w:pPr>
      <w:r>
        <w:rPr>
          <w:rFonts w:ascii="Times New Roman" w:hAnsi="Times New Roman" w:eastAsia="Times New Roman" w:cs="Times New Roman"/>
          <w:b/>
          <w:bCs/>
          <w:spacing w:val="-1"/>
          <w:sz w:val="24"/>
          <w:szCs w:val="24"/>
        </w:rPr>
        <w:t xml:space="preserve">6.2.2 </w:t>
      </w:r>
      <w:r>
        <w:rPr>
          <w:rFonts w:ascii="宋体" w:hAnsi="宋体" w:eastAsia="宋体" w:cs="宋体"/>
          <w:spacing w:val="-1"/>
          <w:sz w:val="24"/>
          <w:szCs w:val="24"/>
          <w14:textOutline w14:w="4354" w14:cap="flat" w14:cmpd="sng">
            <w14:solidFill>
              <w14:srgbClr w14:val="000000"/>
            </w14:solidFill>
            <w14:prstDash w14:val="solid"/>
            <w14:miter w14:val="10"/>
          </w14:textOutline>
        </w:rPr>
        <w:t>井漏环境风险防范措施</w:t>
      </w:r>
    </w:p>
    <w:p>
      <w:pPr>
        <w:spacing w:before="194" w:line="480" w:lineRule="exact"/>
        <w:jc w:val="right"/>
        <w:rPr>
          <w:rFonts w:ascii="宋体" w:hAnsi="宋体" w:eastAsia="宋体" w:cs="宋体"/>
          <w:sz w:val="24"/>
          <w:szCs w:val="24"/>
        </w:rPr>
      </w:pPr>
      <w:r>
        <w:rPr>
          <w:rFonts w:ascii="宋体" w:hAnsi="宋体" w:eastAsia="宋体" w:cs="宋体"/>
          <w:spacing w:val="-4"/>
          <w:position w:val="18"/>
          <w:sz w:val="24"/>
          <w:szCs w:val="24"/>
        </w:rPr>
        <w:t>在钻井过程中对井漏应坚持预防为主的原则， 主要包括避开复杂地质</w:t>
      </w:r>
      <w:r>
        <w:rPr>
          <w:rFonts w:ascii="宋体" w:hAnsi="宋体" w:eastAsia="宋体" w:cs="宋体"/>
          <w:spacing w:val="-5"/>
          <w:position w:val="18"/>
          <w:sz w:val="24"/>
          <w:szCs w:val="24"/>
        </w:rPr>
        <w:t>环境、</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选用和维持较低的井筒内钻井介质压力、提高地层承压能力等防范措施：</w:t>
      </w:r>
    </w:p>
    <w:p>
      <w:pPr>
        <w:spacing w:before="194"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）降低井下环空压耗</w:t>
      </w:r>
    </w:p>
    <w:p>
      <w:pPr>
        <w:spacing w:before="194" w:line="480" w:lineRule="exact"/>
        <w:ind w:left="517"/>
        <w:rPr>
          <w:rFonts w:ascii="宋体" w:hAnsi="宋体" w:eastAsia="宋体" w:cs="宋体"/>
          <w:sz w:val="24"/>
          <w:szCs w:val="24"/>
        </w:rPr>
      </w:pPr>
      <w:r>
        <w:rPr>
          <w:rFonts w:ascii="宋体" w:hAnsi="宋体" w:eastAsia="宋体" w:cs="宋体"/>
          <w:spacing w:val="-11"/>
          <w:position w:val="18"/>
          <w:sz w:val="24"/>
          <w:szCs w:val="24"/>
        </w:rPr>
        <w:t>在保证钻井介质（水基泥浆） 能携带钻屑的前提下，</w:t>
      </w:r>
      <w:r>
        <w:rPr>
          <w:rFonts w:ascii="宋体" w:hAnsi="宋体" w:eastAsia="宋体" w:cs="宋体"/>
          <w:spacing w:val="39"/>
          <w:position w:val="18"/>
          <w:sz w:val="24"/>
          <w:szCs w:val="24"/>
        </w:rPr>
        <w:t xml:space="preserve"> </w:t>
      </w:r>
      <w:r>
        <w:rPr>
          <w:rFonts w:ascii="宋体" w:hAnsi="宋体" w:eastAsia="宋体" w:cs="宋体"/>
          <w:spacing w:val="-11"/>
          <w:position w:val="18"/>
          <w:sz w:val="24"/>
          <w:szCs w:val="24"/>
        </w:rPr>
        <w:t>尽可能降低钻井介质粘</w:t>
      </w:r>
    </w:p>
    <w:p>
      <w:pPr>
        <w:spacing w:line="219" w:lineRule="auto"/>
        <w:jc w:val="right"/>
        <w:rPr>
          <w:rFonts w:ascii="宋体" w:hAnsi="宋体" w:eastAsia="宋体" w:cs="宋体"/>
          <w:sz w:val="24"/>
          <w:szCs w:val="24"/>
        </w:rPr>
      </w:pPr>
      <w:r>
        <w:rPr>
          <w:rFonts w:ascii="宋体" w:hAnsi="宋体" w:eastAsia="宋体" w:cs="宋体"/>
          <w:spacing w:val="-1"/>
          <w:sz w:val="24"/>
          <w:szCs w:val="24"/>
        </w:rPr>
        <w:t>度，提高泥饼质量，防止因井壁泥饼较厚起环空间隙较小，导致环空压耗增大。</w:t>
      </w:r>
    </w:p>
    <w:p>
      <w:pPr>
        <w:spacing w:before="194"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）提高地层承压能力</w:t>
      </w:r>
    </w:p>
    <w:p>
      <w:pPr>
        <w:spacing w:before="196" w:line="369" w:lineRule="auto"/>
        <w:ind w:left="38" w:right="77" w:firstLine="480"/>
        <w:rPr>
          <w:rFonts w:ascii="宋体" w:hAnsi="宋体" w:eastAsia="宋体" w:cs="宋体"/>
          <w:sz w:val="24"/>
          <w:szCs w:val="24"/>
        </w:rPr>
      </w:pPr>
      <w:r>
        <w:rPr>
          <w:rFonts w:ascii="宋体" w:hAnsi="宋体" w:eastAsia="宋体" w:cs="宋体"/>
          <w:spacing w:val="-6"/>
          <w:sz w:val="24"/>
          <w:szCs w:val="24"/>
        </w:rPr>
        <w:t>提高地层承压能力地层的漏失主要取决于地层的特性，</w:t>
      </w:r>
      <w:r>
        <w:rPr>
          <w:rFonts w:ascii="宋体" w:hAnsi="宋体" w:eastAsia="宋体" w:cs="宋体"/>
          <w:spacing w:val="-23"/>
          <w:sz w:val="24"/>
          <w:szCs w:val="24"/>
        </w:rPr>
        <w:t xml:space="preserve"> </w:t>
      </w:r>
      <w:r>
        <w:rPr>
          <w:rFonts w:ascii="宋体" w:hAnsi="宋体" w:eastAsia="宋体" w:cs="宋体"/>
          <w:spacing w:val="-6"/>
          <w:sz w:val="24"/>
          <w:szCs w:val="24"/>
        </w:rPr>
        <w:t>通过人为的方法提高</w:t>
      </w:r>
      <w:r>
        <w:rPr>
          <w:rFonts w:ascii="宋体" w:hAnsi="宋体" w:eastAsia="宋体" w:cs="宋体"/>
          <w:sz w:val="24"/>
          <w:szCs w:val="24"/>
        </w:rPr>
        <w:t xml:space="preserve"> </w:t>
      </w:r>
      <w:r>
        <w:rPr>
          <w:rFonts w:ascii="宋体" w:hAnsi="宋体" w:eastAsia="宋体" w:cs="宋体"/>
          <w:spacing w:val="-16"/>
          <w:sz w:val="24"/>
          <w:szCs w:val="24"/>
        </w:rPr>
        <w:t>地层的承压能力，</w:t>
      </w:r>
      <w:r>
        <w:rPr>
          <w:rFonts w:ascii="宋体" w:hAnsi="宋体" w:eastAsia="宋体" w:cs="宋体"/>
          <w:spacing w:val="33"/>
          <w:sz w:val="24"/>
          <w:szCs w:val="24"/>
        </w:rPr>
        <w:t xml:space="preserve"> </w:t>
      </w:r>
      <w:r>
        <w:rPr>
          <w:rFonts w:ascii="宋体" w:hAnsi="宋体" w:eastAsia="宋体" w:cs="宋体"/>
          <w:spacing w:val="-16"/>
          <w:sz w:val="24"/>
          <w:szCs w:val="24"/>
        </w:rPr>
        <w:t>封堵漏失孔道，</w:t>
      </w:r>
      <w:r>
        <w:rPr>
          <w:rFonts w:ascii="宋体" w:hAnsi="宋体" w:eastAsia="宋体" w:cs="宋体"/>
          <w:spacing w:val="36"/>
          <w:sz w:val="24"/>
          <w:szCs w:val="24"/>
        </w:rPr>
        <w:t xml:space="preserve"> </w:t>
      </w:r>
      <w:r>
        <w:rPr>
          <w:rFonts w:ascii="宋体" w:hAnsi="宋体" w:eastAsia="宋体" w:cs="宋体"/>
          <w:spacing w:val="-16"/>
          <w:sz w:val="24"/>
          <w:szCs w:val="24"/>
        </w:rPr>
        <w:t>从而达到防漏的目的，</w:t>
      </w:r>
      <w:r>
        <w:rPr>
          <w:rFonts w:ascii="宋体" w:hAnsi="宋体" w:eastAsia="宋体" w:cs="宋体"/>
          <w:spacing w:val="34"/>
          <w:sz w:val="24"/>
          <w:szCs w:val="24"/>
        </w:rPr>
        <w:t xml:space="preserve"> </w:t>
      </w:r>
      <w:r>
        <w:rPr>
          <w:rFonts w:ascii="宋体" w:hAnsi="宋体" w:eastAsia="宋体" w:cs="宋体"/>
          <w:spacing w:val="-16"/>
          <w:sz w:val="24"/>
          <w:szCs w:val="24"/>
        </w:rPr>
        <w:t>通常采用以下三种方法</w:t>
      </w:r>
    </w:p>
    <w:p>
      <w:pPr>
        <w:spacing w:before="1" w:line="219" w:lineRule="auto"/>
        <w:ind w:left="39"/>
        <w:rPr>
          <w:rFonts w:ascii="宋体" w:hAnsi="宋体" w:eastAsia="宋体" w:cs="宋体"/>
          <w:sz w:val="24"/>
          <w:szCs w:val="24"/>
        </w:rPr>
      </w:pPr>
      <w:r>
        <w:rPr>
          <w:rFonts w:ascii="宋体" w:hAnsi="宋体" w:eastAsia="宋体" w:cs="宋体"/>
          <w:spacing w:val="-5"/>
          <w:sz w:val="24"/>
          <w:szCs w:val="24"/>
        </w:rPr>
        <w:t>来提高地层承压能力。</w:t>
      </w:r>
    </w:p>
    <w:p>
      <w:pPr>
        <w:spacing w:before="194" w:line="480" w:lineRule="exact"/>
        <w:ind w:left="517"/>
        <w:rPr>
          <w:rFonts w:ascii="宋体" w:hAnsi="宋体" w:eastAsia="宋体" w:cs="宋体"/>
          <w:sz w:val="24"/>
          <w:szCs w:val="24"/>
        </w:rPr>
      </w:pPr>
      <w:r>
        <w:rPr>
          <w:rFonts w:ascii="宋体" w:hAnsi="宋体" w:eastAsia="宋体" w:cs="宋体"/>
          <w:spacing w:val="-17"/>
          <w:position w:val="18"/>
          <w:sz w:val="24"/>
          <w:szCs w:val="24"/>
        </w:rPr>
        <w:t>①调整钻井泥浆性能：</w:t>
      </w:r>
      <w:r>
        <w:rPr>
          <w:rFonts w:ascii="宋体" w:hAnsi="宋体" w:eastAsia="宋体" w:cs="宋体"/>
          <w:spacing w:val="40"/>
          <w:position w:val="18"/>
          <w:sz w:val="24"/>
          <w:szCs w:val="24"/>
        </w:rPr>
        <w:t xml:space="preserve"> </w:t>
      </w:r>
      <w:r>
        <w:rPr>
          <w:rFonts w:ascii="宋体" w:hAnsi="宋体" w:eastAsia="宋体" w:cs="宋体"/>
          <w:spacing w:val="-17"/>
          <w:position w:val="18"/>
          <w:sz w:val="24"/>
          <w:szCs w:val="24"/>
        </w:rPr>
        <w:t>对于轻微渗透性漏失，</w:t>
      </w:r>
      <w:r>
        <w:rPr>
          <w:rFonts w:ascii="宋体" w:hAnsi="宋体" w:eastAsia="宋体" w:cs="宋体"/>
          <w:spacing w:val="32"/>
          <w:position w:val="18"/>
          <w:sz w:val="24"/>
          <w:szCs w:val="24"/>
        </w:rPr>
        <w:t xml:space="preserve"> </w:t>
      </w:r>
      <w:r>
        <w:rPr>
          <w:rFonts w:ascii="宋体" w:hAnsi="宋体" w:eastAsia="宋体" w:cs="宋体"/>
          <w:spacing w:val="-17"/>
          <w:position w:val="18"/>
          <w:sz w:val="24"/>
          <w:szCs w:val="24"/>
        </w:rPr>
        <w:t>进入漏层前，</w:t>
      </w:r>
      <w:r>
        <w:rPr>
          <w:rFonts w:ascii="宋体" w:hAnsi="宋体" w:eastAsia="宋体" w:cs="宋体"/>
          <w:spacing w:val="34"/>
          <w:position w:val="18"/>
          <w:sz w:val="24"/>
          <w:szCs w:val="24"/>
        </w:rPr>
        <w:t xml:space="preserve"> </w:t>
      </w:r>
      <w:r>
        <w:rPr>
          <w:rFonts w:ascii="宋体" w:hAnsi="宋体" w:eastAsia="宋体" w:cs="宋体"/>
          <w:spacing w:val="-17"/>
          <w:position w:val="18"/>
          <w:sz w:val="24"/>
          <w:szCs w:val="24"/>
        </w:rPr>
        <w:t>适当提高钻井泥</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浆黏度、增加泥浆切力以防漏。</w:t>
      </w:r>
    </w:p>
    <w:p>
      <w:pPr>
        <w:spacing w:before="196" w:line="369" w:lineRule="auto"/>
        <w:ind w:left="36" w:right="15" w:firstLine="479"/>
        <w:rPr>
          <w:rFonts w:ascii="宋体" w:hAnsi="宋体" w:eastAsia="宋体" w:cs="宋体"/>
          <w:sz w:val="24"/>
          <w:szCs w:val="24"/>
        </w:rPr>
      </w:pPr>
      <w:r>
        <w:rPr>
          <w:rFonts w:ascii="宋体" w:hAnsi="宋体" w:eastAsia="宋体" w:cs="宋体"/>
          <w:spacing w:val="-5"/>
          <w:sz w:val="24"/>
          <w:szCs w:val="24"/>
        </w:rPr>
        <w:t>②在钻井泥浆中加入堵漏材料随钻堵漏： 对于孔隙型或孔隙—裂缝性漏失，</w:t>
      </w:r>
      <w:r>
        <w:rPr>
          <w:rFonts w:ascii="宋体" w:hAnsi="宋体" w:eastAsia="宋体" w:cs="宋体"/>
          <w:spacing w:val="17"/>
          <w:sz w:val="24"/>
          <w:szCs w:val="24"/>
        </w:rPr>
        <w:t xml:space="preserve"> </w:t>
      </w:r>
      <w:r>
        <w:rPr>
          <w:rFonts w:ascii="宋体" w:hAnsi="宋体" w:eastAsia="宋体" w:cs="宋体"/>
          <w:spacing w:val="-12"/>
          <w:sz w:val="24"/>
          <w:szCs w:val="24"/>
        </w:rPr>
        <w:t>进入漏层前，</w:t>
      </w:r>
      <w:r>
        <w:rPr>
          <w:rFonts w:ascii="宋体" w:hAnsi="宋体" w:eastAsia="宋体" w:cs="宋体"/>
          <w:spacing w:val="44"/>
          <w:sz w:val="24"/>
          <w:szCs w:val="24"/>
        </w:rPr>
        <w:t xml:space="preserve"> </w:t>
      </w:r>
      <w:r>
        <w:rPr>
          <w:rFonts w:ascii="宋体" w:hAnsi="宋体" w:eastAsia="宋体" w:cs="宋体"/>
          <w:spacing w:val="-12"/>
          <w:sz w:val="24"/>
          <w:szCs w:val="24"/>
        </w:rPr>
        <w:t>在钻井泥浆中加入堵漏材料（主要由植物硬质果壳，</w:t>
      </w:r>
      <w:r>
        <w:rPr>
          <w:rFonts w:ascii="宋体" w:hAnsi="宋体" w:eastAsia="宋体" w:cs="宋体"/>
          <w:spacing w:val="41"/>
          <w:sz w:val="24"/>
          <w:szCs w:val="24"/>
        </w:rPr>
        <w:t xml:space="preserve"> </w:t>
      </w:r>
      <w:r>
        <w:rPr>
          <w:rFonts w:ascii="宋体" w:hAnsi="宋体" w:eastAsia="宋体" w:cs="宋体"/>
          <w:spacing w:val="-12"/>
          <w:sz w:val="24"/>
          <w:szCs w:val="24"/>
        </w:rPr>
        <w:t>云母和其他植</w:t>
      </w:r>
      <w:r>
        <w:rPr>
          <w:rFonts w:ascii="宋体" w:hAnsi="宋体" w:eastAsia="宋体" w:cs="宋体"/>
          <w:sz w:val="24"/>
          <w:szCs w:val="24"/>
        </w:rPr>
        <w:t xml:space="preserve"> </w:t>
      </w:r>
      <w:r>
        <w:rPr>
          <w:rFonts w:ascii="宋体" w:hAnsi="宋体" w:eastAsia="宋体" w:cs="宋体"/>
          <w:spacing w:val="-1"/>
          <w:sz w:val="24"/>
          <w:szCs w:val="24"/>
        </w:rPr>
        <w:t>物纤维组成等</w:t>
      </w:r>
      <w:r>
        <w:rPr>
          <w:rFonts w:ascii="宋体" w:hAnsi="宋体" w:eastAsia="宋体" w:cs="宋体"/>
          <w:spacing w:val="-48"/>
          <w:sz w:val="24"/>
          <w:szCs w:val="24"/>
        </w:rPr>
        <w:t>），</w:t>
      </w:r>
      <w:r>
        <w:rPr>
          <w:rFonts w:ascii="宋体" w:hAnsi="宋体" w:eastAsia="宋体" w:cs="宋体"/>
          <w:spacing w:val="-1"/>
          <w:sz w:val="24"/>
          <w:szCs w:val="24"/>
        </w:rPr>
        <w:t>在压差作用下，堵漏剂进入漏失通道，提高地层的承压能力，</w:t>
      </w:r>
    </w:p>
    <w:p>
      <w:pPr>
        <w:spacing w:line="220" w:lineRule="auto"/>
        <w:ind w:left="37"/>
        <w:rPr>
          <w:rFonts w:ascii="宋体" w:hAnsi="宋体" w:eastAsia="宋体" w:cs="宋体"/>
          <w:sz w:val="24"/>
          <w:szCs w:val="24"/>
        </w:rPr>
      </w:pPr>
      <w:r>
        <w:rPr>
          <w:rFonts w:ascii="宋体" w:hAnsi="宋体" w:eastAsia="宋体" w:cs="宋体"/>
          <w:spacing w:val="-5"/>
          <w:sz w:val="24"/>
          <w:szCs w:val="24"/>
        </w:rPr>
        <w:t>达到防漏的目的。</w:t>
      </w:r>
    </w:p>
    <w:p>
      <w:pPr>
        <w:spacing w:before="195" w:line="369" w:lineRule="auto"/>
        <w:ind w:left="42" w:right="11" w:firstLine="474"/>
        <w:rPr>
          <w:rFonts w:ascii="宋体" w:hAnsi="宋体" w:eastAsia="宋体" w:cs="宋体"/>
          <w:sz w:val="24"/>
          <w:szCs w:val="24"/>
        </w:rPr>
      </w:pPr>
      <w:r>
        <w:rPr>
          <w:rFonts w:ascii="宋体" w:hAnsi="宋体" w:eastAsia="宋体" w:cs="宋体"/>
          <w:spacing w:val="-13"/>
          <w:sz w:val="24"/>
          <w:szCs w:val="24"/>
        </w:rPr>
        <w:t>③先期堵漏： 当下部地层孔隙压力超过上部地层破</w:t>
      </w:r>
      <w:r>
        <w:rPr>
          <w:rFonts w:ascii="宋体" w:hAnsi="宋体" w:eastAsia="宋体" w:cs="宋体"/>
          <w:spacing w:val="-14"/>
          <w:sz w:val="24"/>
          <w:szCs w:val="24"/>
        </w:rPr>
        <w:t>裂压力时，</w:t>
      </w:r>
      <w:r>
        <w:rPr>
          <w:rFonts w:ascii="宋体" w:hAnsi="宋体" w:eastAsia="宋体" w:cs="宋体"/>
          <w:spacing w:val="-42"/>
          <w:sz w:val="24"/>
          <w:szCs w:val="24"/>
        </w:rPr>
        <w:t xml:space="preserve"> </w:t>
      </w:r>
      <w:r>
        <w:rPr>
          <w:rFonts w:ascii="宋体" w:hAnsi="宋体" w:eastAsia="宋体" w:cs="宋体"/>
          <w:spacing w:val="-14"/>
          <w:sz w:val="24"/>
          <w:szCs w:val="24"/>
        </w:rPr>
        <w:t>进入高压层前，</w:t>
      </w:r>
      <w:r>
        <w:rPr>
          <w:rFonts w:ascii="宋体" w:hAnsi="宋体" w:eastAsia="宋体" w:cs="宋体"/>
          <w:sz w:val="24"/>
          <w:szCs w:val="24"/>
        </w:rPr>
        <w:t xml:space="preserve"> </w:t>
      </w:r>
      <w:r>
        <w:rPr>
          <w:rFonts w:ascii="宋体" w:hAnsi="宋体" w:eastAsia="宋体" w:cs="宋体"/>
          <w:spacing w:val="-9"/>
          <w:sz w:val="24"/>
          <w:szCs w:val="24"/>
        </w:rPr>
        <w:t>须按下部高压层的孔隙压力确定钻井泥浆密度， 这样容易导致上</w:t>
      </w:r>
      <w:r>
        <w:rPr>
          <w:rFonts w:ascii="宋体" w:hAnsi="宋体" w:eastAsia="宋体" w:cs="宋体"/>
          <w:spacing w:val="-10"/>
          <w:sz w:val="24"/>
          <w:szCs w:val="24"/>
        </w:rPr>
        <w:t>部地层漏失， 为</w:t>
      </w:r>
      <w:r>
        <w:rPr>
          <w:rFonts w:ascii="宋体" w:hAnsi="宋体" w:eastAsia="宋体" w:cs="宋体"/>
          <w:sz w:val="24"/>
          <w:szCs w:val="24"/>
        </w:rPr>
        <w:t xml:space="preserve"> </w:t>
      </w:r>
      <w:r>
        <w:rPr>
          <w:rFonts w:ascii="宋体" w:hAnsi="宋体" w:eastAsia="宋体" w:cs="宋体"/>
          <w:spacing w:val="-4"/>
          <w:sz w:val="24"/>
          <w:szCs w:val="24"/>
        </w:rPr>
        <w:t>了防止上部地层漏失而引起的井涌、井喷等复</w:t>
      </w:r>
      <w:r>
        <w:rPr>
          <w:rFonts w:ascii="宋体" w:hAnsi="宋体" w:eastAsia="宋体" w:cs="宋体"/>
          <w:spacing w:val="-5"/>
          <w:sz w:val="24"/>
          <w:szCs w:val="24"/>
        </w:rPr>
        <w:t>杂情况发生， 在进入高压层之前，</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应进行先期堵漏，提高上部地层承压能力。</w:t>
      </w:r>
    </w:p>
    <w:p>
      <w:pPr>
        <w:spacing w:before="196" w:line="369" w:lineRule="auto"/>
        <w:ind w:left="37" w:right="16" w:firstLine="480"/>
        <w:rPr>
          <w:rFonts w:ascii="宋体" w:hAnsi="宋体" w:eastAsia="宋体" w:cs="宋体"/>
          <w:sz w:val="24"/>
          <w:szCs w:val="24"/>
        </w:rPr>
      </w:pPr>
      <w:r>
        <w:rPr>
          <w:rFonts w:ascii="宋体" w:hAnsi="宋体" w:eastAsia="宋体" w:cs="宋体"/>
          <w:spacing w:val="-7"/>
          <w:sz w:val="24"/>
          <w:szCs w:val="24"/>
        </w:rPr>
        <w:t>拟建项目在施工建设前应充分研究地质设计资料和钻井资料， 并在此基础上</w:t>
      </w:r>
      <w:r>
        <w:rPr>
          <w:rFonts w:ascii="宋体" w:hAnsi="宋体" w:eastAsia="宋体" w:cs="宋体"/>
          <w:spacing w:val="18"/>
          <w:sz w:val="24"/>
          <w:szCs w:val="24"/>
        </w:rPr>
        <w:t xml:space="preserve"> </w:t>
      </w:r>
      <w:r>
        <w:rPr>
          <w:rFonts w:ascii="宋体" w:hAnsi="宋体" w:eastAsia="宋体" w:cs="宋体"/>
          <w:spacing w:val="-7"/>
          <w:sz w:val="24"/>
          <w:szCs w:val="24"/>
        </w:rPr>
        <w:t>优化钻井施工工艺、泥浆体系等。钻井过程对泥浆进行</w:t>
      </w:r>
      <w:r>
        <w:rPr>
          <w:rFonts w:ascii="宋体" w:hAnsi="宋体" w:eastAsia="宋体" w:cs="宋体"/>
          <w:spacing w:val="-8"/>
          <w:sz w:val="24"/>
          <w:szCs w:val="24"/>
        </w:rPr>
        <w:t>实时监控，</w:t>
      </w:r>
      <w:r>
        <w:rPr>
          <w:rFonts w:ascii="宋体" w:hAnsi="宋体" w:eastAsia="宋体" w:cs="宋体"/>
          <w:spacing w:val="40"/>
          <w:sz w:val="24"/>
          <w:szCs w:val="24"/>
        </w:rPr>
        <w:t xml:space="preserve"> </w:t>
      </w:r>
      <w:r>
        <w:rPr>
          <w:rFonts w:ascii="宋体" w:hAnsi="宋体" w:eastAsia="宋体" w:cs="宋体"/>
          <w:spacing w:val="-8"/>
          <w:sz w:val="24"/>
          <w:szCs w:val="24"/>
        </w:rPr>
        <w:t>并配备足够的</w:t>
      </w:r>
      <w:r>
        <w:rPr>
          <w:rFonts w:ascii="宋体" w:hAnsi="宋体" w:eastAsia="宋体" w:cs="宋体"/>
          <w:sz w:val="24"/>
          <w:szCs w:val="24"/>
        </w:rPr>
        <w:t xml:space="preserve"> </w:t>
      </w:r>
      <w:r>
        <w:rPr>
          <w:rFonts w:ascii="宋体" w:hAnsi="宋体" w:eastAsia="宋体" w:cs="宋体"/>
          <w:spacing w:val="-4"/>
          <w:sz w:val="24"/>
          <w:szCs w:val="24"/>
        </w:rPr>
        <w:t>堵漏材料， 一旦发现井漏，立即采取堵漏措施。同时启</w:t>
      </w:r>
      <w:r>
        <w:rPr>
          <w:rFonts w:ascii="宋体" w:hAnsi="宋体" w:eastAsia="宋体" w:cs="宋体"/>
          <w:spacing w:val="-5"/>
          <w:sz w:val="24"/>
          <w:szCs w:val="24"/>
        </w:rPr>
        <w:t>动地下水应急监测方案，</w:t>
      </w:r>
      <w:r>
        <w:rPr>
          <w:rFonts w:ascii="宋体" w:hAnsi="宋体" w:eastAsia="宋体" w:cs="宋体"/>
          <w:sz w:val="24"/>
          <w:szCs w:val="24"/>
        </w:rPr>
        <w:t xml:space="preserve"> </w:t>
      </w:r>
      <w:r>
        <w:rPr>
          <w:rFonts w:ascii="宋体" w:hAnsi="宋体" w:eastAsia="宋体" w:cs="宋体"/>
          <w:spacing w:val="-16"/>
          <w:sz w:val="24"/>
          <w:szCs w:val="24"/>
        </w:rPr>
        <w:t>若发现地下水受到污染，</w:t>
      </w:r>
      <w:r>
        <w:rPr>
          <w:rFonts w:ascii="宋体" w:hAnsi="宋体" w:eastAsia="宋体" w:cs="宋体"/>
          <w:spacing w:val="34"/>
          <w:sz w:val="24"/>
          <w:szCs w:val="24"/>
        </w:rPr>
        <w:t xml:space="preserve"> </w:t>
      </w:r>
      <w:r>
        <w:rPr>
          <w:rFonts w:ascii="宋体" w:hAnsi="宋体" w:eastAsia="宋体" w:cs="宋体"/>
          <w:spacing w:val="-16"/>
          <w:sz w:val="24"/>
          <w:szCs w:val="24"/>
        </w:rPr>
        <w:t>立即告知村民，</w:t>
      </w:r>
      <w:r>
        <w:rPr>
          <w:rFonts w:ascii="宋体" w:hAnsi="宋体" w:eastAsia="宋体" w:cs="宋体"/>
          <w:spacing w:val="35"/>
          <w:sz w:val="24"/>
          <w:szCs w:val="24"/>
        </w:rPr>
        <w:t xml:space="preserve"> </w:t>
      </w:r>
      <w:r>
        <w:rPr>
          <w:rFonts w:ascii="宋体" w:hAnsi="宋体" w:eastAsia="宋体" w:cs="宋体"/>
          <w:spacing w:val="-16"/>
          <w:sz w:val="24"/>
          <w:szCs w:val="24"/>
        </w:rPr>
        <w:t>停止饮用地下水源，</w:t>
      </w:r>
      <w:r>
        <w:rPr>
          <w:rFonts w:ascii="宋体" w:hAnsi="宋体" w:eastAsia="宋体" w:cs="宋体"/>
          <w:spacing w:val="40"/>
          <w:sz w:val="24"/>
          <w:szCs w:val="24"/>
        </w:rPr>
        <w:t xml:space="preserve"> </w:t>
      </w:r>
      <w:r>
        <w:rPr>
          <w:rFonts w:ascii="宋体" w:hAnsi="宋体" w:eastAsia="宋体" w:cs="宋体"/>
          <w:spacing w:val="-16"/>
          <w:sz w:val="24"/>
          <w:szCs w:val="24"/>
        </w:rPr>
        <w:t>并采取</w:t>
      </w:r>
      <w:r>
        <w:rPr>
          <w:rFonts w:ascii="宋体" w:hAnsi="宋体" w:eastAsia="宋体" w:cs="宋体"/>
          <w:spacing w:val="-17"/>
          <w:sz w:val="24"/>
          <w:szCs w:val="24"/>
        </w:rPr>
        <w:t>临时供水措</w:t>
      </w:r>
      <w:r>
        <w:rPr>
          <w:rFonts w:ascii="宋体" w:hAnsi="宋体" w:eastAsia="宋体" w:cs="宋体"/>
          <w:sz w:val="24"/>
          <w:szCs w:val="24"/>
        </w:rPr>
        <w:t xml:space="preserve"> </w:t>
      </w:r>
      <w:r>
        <w:rPr>
          <w:rFonts w:ascii="宋体" w:hAnsi="宋体" w:eastAsia="宋体" w:cs="宋体"/>
          <w:spacing w:val="-1"/>
          <w:sz w:val="24"/>
          <w:szCs w:val="24"/>
        </w:rPr>
        <w:t>施（配送桶装水等</w:t>
      </w:r>
      <w:r>
        <w:rPr>
          <w:rFonts w:ascii="宋体" w:hAnsi="宋体" w:eastAsia="宋体" w:cs="宋体"/>
          <w:spacing w:val="-62"/>
          <w:w w:val="99"/>
          <w:sz w:val="24"/>
          <w:szCs w:val="24"/>
        </w:rPr>
        <w:t>），</w:t>
      </w:r>
      <w:r>
        <w:rPr>
          <w:rFonts w:ascii="宋体" w:hAnsi="宋体" w:eastAsia="宋体" w:cs="宋体"/>
          <w:spacing w:val="-65"/>
          <w:sz w:val="24"/>
          <w:szCs w:val="24"/>
        </w:rPr>
        <w:t xml:space="preserve"> </w:t>
      </w:r>
      <w:r>
        <w:rPr>
          <w:rFonts w:ascii="宋体" w:hAnsi="宋体" w:eastAsia="宋体" w:cs="宋体"/>
          <w:spacing w:val="-1"/>
          <w:sz w:val="24"/>
          <w:szCs w:val="24"/>
        </w:rPr>
        <w:t>以保障居民的饮水安全，并给受影响的农户另觅水源，保</w:t>
      </w:r>
    </w:p>
    <w:p>
      <w:pPr>
        <w:spacing w:before="1" w:line="220" w:lineRule="auto"/>
        <w:ind w:left="38"/>
        <w:rPr>
          <w:rFonts w:ascii="宋体" w:hAnsi="宋体" w:eastAsia="宋体" w:cs="宋体"/>
          <w:sz w:val="24"/>
          <w:szCs w:val="24"/>
        </w:rPr>
      </w:pPr>
      <w:r>
        <w:rPr>
          <w:rFonts w:ascii="宋体" w:hAnsi="宋体" w:eastAsia="宋体" w:cs="宋体"/>
          <w:spacing w:val="-5"/>
          <w:sz w:val="24"/>
          <w:szCs w:val="24"/>
        </w:rPr>
        <w:t>证居民的正常生活。</w:t>
      </w:r>
    </w:p>
    <w:p>
      <w:pPr>
        <w:spacing w:before="193" w:line="480" w:lineRule="exact"/>
        <w:ind w:left="37"/>
        <w:rPr>
          <w:rFonts w:ascii="宋体" w:hAnsi="宋体" w:eastAsia="宋体" w:cs="宋体"/>
          <w:sz w:val="24"/>
          <w:szCs w:val="24"/>
        </w:rPr>
      </w:pPr>
      <w:r>
        <w:rPr>
          <w:rFonts w:ascii="Times New Roman" w:hAnsi="Times New Roman" w:eastAsia="Times New Roman" w:cs="Times New Roman"/>
          <w:b/>
          <w:bCs/>
          <w:position w:val="18"/>
          <w:sz w:val="24"/>
          <w:szCs w:val="24"/>
        </w:rPr>
        <w:t xml:space="preserve">6.2.3 </w:t>
      </w:r>
      <w:r>
        <w:rPr>
          <w:rFonts w:ascii="宋体" w:hAnsi="宋体" w:eastAsia="宋体" w:cs="宋体"/>
          <w:position w:val="18"/>
          <w:sz w:val="24"/>
          <w:szCs w:val="24"/>
          <w14:textOutline w14:w="4354" w14:cap="flat" w14:cmpd="sng">
            <w14:solidFill>
              <w14:srgbClr w14:val="000000"/>
            </w14:solidFill>
            <w14:prstDash w14:val="solid"/>
            <w14:miter w14:val="10"/>
          </w14:textOutline>
        </w:rPr>
        <w:t>废水泄漏或外溢环境风险防范措施</w:t>
      </w:r>
    </w:p>
    <w:p>
      <w:pPr>
        <w:spacing w:before="1" w:line="219"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1</w:t>
      </w:r>
      <w:r>
        <w:rPr>
          <w:rFonts w:ascii="宋体" w:hAnsi="宋体" w:eastAsia="宋体" w:cs="宋体"/>
          <w:spacing w:val="-2"/>
          <w:sz w:val="24"/>
          <w:szCs w:val="24"/>
          <w14:textOutline w14:w="4354" w14:cap="flat" w14:cmpd="sng">
            <w14:solidFill>
              <w14:srgbClr w14:val="000000"/>
            </w14:solidFill>
            <w14:prstDash w14:val="solid"/>
            <w14:miter w14:val="10"/>
          </w14:textOutline>
        </w:rPr>
        <w:t>）废水泄漏防范措施</w:t>
      </w:r>
    </w:p>
    <w:p>
      <w:pPr>
        <w:spacing w:before="195" w:line="217" w:lineRule="auto"/>
        <w:ind w:left="517"/>
        <w:rPr>
          <w:rFonts w:ascii="宋体" w:hAnsi="宋体" w:eastAsia="宋体" w:cs="宋体"/>
          <w:sz w:val="24"/>
          <w:szCs w:val="24"/>
        </w:rPr>
      </w:pPr>
      <w:r>
        <w:rPr>
          <w:rFonts w:ascii="宋体" w:hAnsi="宋体" w:eastAsia="宋体" w:cs="宋体"/>
          <w:spacing w:val="4"/>
          <w:sz w:val="24"/>
          <w:szCs w:val="24"/>
        </w:rPr>
        <w:t>①废水收集罐所在平台选址应避开不良地质或岩土松散的地段等地质结构</w:t>
      </w:r>
    </w:p>
    <w:p>
      <w:pPr>
        <w:spacing w:line="217" w:lineRule="auto"/>
        <w:rPr>
          <w:rFonts w:ascii="宋体" w:hAnsi="宋体" w:eastAsia="宋体" w:cs="宋体"/>
          <w:sz w:val="24"/>
          <w:szCs w:val="24"/>
        </w:rPr>
        <w:sectPr>
          <w:headerReference r:id="rId267" w:type="default"/>
          <w:footerReference r:id="rId268" w:type="default"/>
          <w:pgSz w:w="11907" w:h="16839"/>
          <w:pgMar w:top="1123" w:right="1717" w:bottom="1149" w:left="1769" w:header="1108" w:footer="988" w:gutter="0"/>
          <w:cols w:space="720" w:num="1"/>
        </w:sectPr>
      </w:pPr>
    </w:p>
    <w:p>
      <w:pPr>
        <w:pStyle w:val="2"/>
        <w:spacing w:line="413" w:lineRule="auto"/>
        <w:rPr>
          <w:sz w:val="21"/>
        </w:rPr>
      </w:pPr>
    </w:p>
    <w:p>
      <w:pPr>
        <w:spacing w:before="78" w:line="220" w:lineRule="auto"/>
        <w:ind w:left="42"/>
        <w:rPr>
          <w:rFonts w:ascii="宋体" w:hAnsi="宋体" w:eastAsia="宋体" w:cs="宋体"/>
          <w:sz w:val="24"/>
          <w:szCs w:val="24"/>
        </w:rPr>
      </w:pPr>
      <w:r>
        <w:rPr>
          <w:rFonts w:ascii="宋体" w:hAnsi="宋体" w:eastAsia="宋体" w:cs="宋体"/>
          <w:spacing w:val="-3"/>
          <w:sz w:val="24"/>
          <w:szCs w:val="24"/>
        </w:rPr>
        <w:t>不稳定的地方并做好地面防渗工作。</w:t>
      </w:r>
    </w:p>
    <w:p>
      <w:pPr>
        <w:spacing w:before="195" w:line="217" w:lineRule="auto"/>
        <w:ind w:left="516"/>
        <w:rPr>
          <w:rFonts w:ascii="宋体" w:hAnsi="宋体" w:eastAsia="宋体" w:cs="宋体"/>
          <w:sz w:val="24"/>
          <w:szCs w:val="24"/>
        </w:rPr>
      </w:pPr>
      <w:r>
        <w:rPr>
          <w:rFonts w:ascii="宋体" w:hAnsi="宋体" w:eastAsia="宋体" w:cs="宋体"/>
          <w:spacing w:val="-3"/>
          <w:sz w:val="24"/>
          <w:szCs w:val="24"/>
        </w:rPr>
        <w:t>②按相关要求规定对应急池进行防渗处理。</w:t>
      </w:r>
    </w:p>
    <w:p>
      <w:pPr>
        <w:spacing w:before="198" w:line="369" w:lineRule="auto"/>
        <w:ind w:left="38" w:right="58" w:firstLine="478"/>
        <w:jc w:val="both"/>
        <w:rPr>
          <w:rFonts w:ascii="宋体" w:hAnsi="宋体" w:eastAsia="宋体" w:cs="宋体"/>
          <w:sz w:val="24"/>
          <w:szCs w:val="24"/>
        </w:rPr>
      </w:pPr>
      <w:r>
        <w:rPr>
          <w:rFonts w:ascii="宋体" w:hAnsi="宋体" w:eastAsia="宋体" w:cs="宋体"/>
          <w:spacing w:val="-6"/>
          <w:sz w:val="24"/>
          <w:szCs w:val="24"/>
        </w:rPr>
        <w:t>③加强员工操作规范管理， 尽量避免废水装车失误</w:t>
      </w:r>
      <w:r>
        <w:rPr>
          <w:rFonts w:ascii="宋体" w:hAnsi="宋体" w:eastAsia="宋体" w:cs="宋体"/>
          <w:spacing w:val="-7"/>
          <w:sz w:val="24"/>
          <w:szCs w:val="24"/>
        </w:rPr>
        <w:t>。装车过程若遇到废水泄</w:t>
      </w:r>
      <w:r>
        <w:rPr>
          <w:rFonts w:ascii="宋体" w:hAnsi="宋体" w:eastAsia="宋体" w:cs="宋体"/>
          <w:sz w:val="24"/>
          <w:szCs w:val="24"/>
        </w:rPr>
        <w:t xml:space="preserve"> </w:t>
      </w:r>
      <w:r>
        <w:rPr>
          <w:rFonts w:ascii="宋体" w:hAnsi="宋体" w:eastAsia="宋体" w:cs="宋体"/>
          <w:spacing w:val="-14"/>
          <w:sz w:val="24"/>
          <w:szCs w:val="24"/>
        </w:rPr>
        <w:t>漏，</w:t>
      </w:r>
      <w:r>
        <w:rPr>
          <w:rFonts w:ascii="宋体" w:hAnsi="宋体" w:eastAsia="宋体" w:cs="宋体"/>
          <w:spacing w:val="-41"/>
          <w:sz w:val="24"/>
          <w:szCs w:val="24"/>
        </w:rPr>
        <w:t xml:space="preserve"> </w:t>
      </w:r>
      <w:r>
        <w:rPr>
          <w:rFonts w:ascii="宋体" w:hAnsi="宋体" w:eastAsia="宋体" w:cs="宋体"/>
          <w:spacing w:val="-14"/>
          <w:sz w:val="24"/>
          <w:szCs w:val="24"/>
        </w:rPr>
        <w:t>立即停止装车作业，</w:t>
      </w:r>
      <w:r>
        <w:rPr>
          <w:rFonts w:ascii="宋体" w:hAnsi="宋体" w:eastAsia="宋体" w:cs="宋体"/>
          <w:spacing w:val="34"/>
          <w:sz w:val="24"/>
          <w:szCs w:val="24"/>
        </w:rPr>
        <w:t xml:space="preserve"> </w:t>
      </w:r>
      <w:r>
        <w:rPr>
          <w:rFonts w:ascii="宋体" w:hAnsi="宋体" w:eastAsia="宋体" w:cs="宋体"/>
          <w:spacing w:val="-14"/>
          <w:sz w:val="24"/>
          <w:szCs w:val="24"/>
        </w:rPr>
        <w:t>减少废水泄漏量，</w:t>
      </w:r>
      <w:r>
        <w:rPr>
          <w:rFonts w:ascii="宋体" w:hAnsi="宋体" w:eastAsia="宋体" w:cs="宋体"/>
          <w:spacing w:val="40"/>
          <w:sz w:val="24"/>
          <w:szCs w:val="24"/>
        </w:rPr>
        <w:t xml:space="preserve"> </w:t>
      </w:r>
      <w:r>
        <w:rPr>
          <w:rFonts w:ascii="宋体" w:hAnsi="宋体" w:eastAsia="宋体" w:cs="宋体"/>
          <w:spacing w:val="-14"/>
          <w:sz w:val="24"/>
          <w:szCs w:val="24"/>
        </w:rPr>
        <w:t>并利用井场内的污水沟将泄漏废水收</w:t>
      </w:r>
    </w:p>
    <w:p>
      <w:pPr>
        <w:spacing w:line="219" w:lineRule="auto"/>
        <w:ind w:left="38"/>
        <w:rPr>
          <w:rFonts w:ascii="宋体" w:hAnsi="宋体" w:eastAsia="宋体" w:cs="宋体"/>
          <w:sz w:val="24"/>
          <w:szCs w:val="24"/>
        </w:rPr>
      </w:pPr>
      <w:r>
        <w:rPr>
          <w:rFonts w:ascii="宋体" w:hAnsi="宋体" w:eastAsia="宋体" w:cs="宋体"/>
          <w:spacing w:val="-4"/>
          <w:sz w:val="24"/>
          <w:szCs w:val="24"/>
        </w:rPr>
        <w:t>集至应急池内，不外流。</w:t>
      </w:r>
    </w:p>
    <w:p>
      <w:pPr>
        <w:spacing w:before="194"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2</w:t>
      </w:r>
      <w:r>
        <w:rPr>
          <w:rFonts w:ascii="宋体" w:hAnsi="宋体" w:eastAsia="宋体" w:cs="宋体"/>
          <w:spacing w:val="-2"/>
          <w:sz w:val="24"/>
          <w:szCs w:val="24"/>
          <w14:textOutline w14:w="4354" w14:cap="flat" w14:cmpd="sng">
            <w14:solidFill>
              <w14:srgbClr w14:val="000000"/>
            </w14:solidFill>
            <w14:prstDash w14:val="solid"/>
            <w14:miter w14:val="10"/>
          </w14:textOutline>
        </w:rPr>
        <w:t>）废水外溢防范措施</w:t>
      </w:r>
    </w:p>
    <w:p>
      <w:pPr>
        <w:spacing w:before="194" w:line="480" w:lineRule="exact"/>
        <w:ind w:right="54"/>
        <w:jc w:val="right"/>
        <w:rPr>
          <w:rFonts w:ascii="宋体" w:hAnsi="宋体" w:eastAsia="宋体" w:cs="宋体"/>
          <w:sz w:val="24"/>
          <w:szCs w:val="24"/>
        </w:rPr>
      </w:pPr>
      <w:r>
        <w:rPr>
          <w:rFonts w:ascii="宋体" w:hAnsi="宋体" w:eastAsia="宋体" w:cs="宋体"/>
          <w:spacing w:val="-11"/>
          <w:position w:val="18"/>
          <w:sz w:val="24"/>
          <w:szCs w:val="24"/>
        </w:rPr>
        <w:t>①对井场临时储存的废水进行及时转运， 减少废水储存周期，</w:t>
      </w:r>
      <w:r>
        <w:rPr>
          <w:rFonts w:ascii="宋体" w:hAnsi="宋体" w:eastAsia="宋体" w:cs="宋体"/>
          <w:spacing w:val="42"/>
          <w:position w:val="18"/>
          <w:sz w:val="24"/>
          <w:szCs w:val="24"/>
        </w:rPr>
        <w:t xml:space="preserve"> </w:t>
      </w:r>
      <w:r>
        <w:rPr>
          <w:rFonts w:ascii="宋体" w:hAnsi="宋体" w:eastAsia="宋体" w:cs="宋体"/>
          <w:spacing w:val="-11"/>
          <w:position w:val="18"/>
          <w:sz w:val="24"/>
          <w:szCs w:val="24"/>
        </w:rPr>
        <w:t>降低废水外溢</w:t>
      </w:r>
    </w:p>
    <w:p>
      <w:pPr>
        <w:spacing w:line="219" w:lineRule="auto"/>
        <w:ind w:left="39"/>
        <w:rPr>
          <w:rFonts w:ascii="宋体" w:hAnsi="宋体" w:eastAsia="宋体" w:cs="宋体"/>
          <w:sz w:val="24"/>
          <w:szCs w:val="24"/>
        </w:rPr>
      </w:pPr>
      <w:r>
        <w:rPr>
          <w:rFonts w:ascii="宋体" w:hAnsi="宋体" w:eastAsia="宋体" w:cs="宋体"/>
          <w:spacing w:val="-2"/>
          <w:sz w:val="24"/>
          <w:szCs w:val="24"/>
        </w:rPr>
        <w:t>风险，特别在汛期来临之前要尽量腾空废水收集罐。</w:t>
      </w:r>
    </w:p>
    <w:p>
      <w:pPr>
        <w:spacing w:before="196" w:line="480" w:lineRule="exact"/>
        <w:ind w:right="56"/>
        <w:jc w:val="right"/>
        <w:rPr>
          <w:rFonts w:ascii="宋体" w:hAnsi="宋体" w:eastAsia="宋体" w:cs="宋体"/>
          <w:sz w:val="24"/>
          <w:szCs w:val="24"/>
        </w:rPr>
      </w:pPr>
      <w:r>
        <w:rPr>
          <w:rFonts w:ascii="宋体" w:hAnsi="宋体" w:eastAsia="宋体" w:cs="宋体"/>
          <w:spacing w:val="-10"/>
          <w:position w:val="18"/>
          <w:sz w:val="24"/>
          <w:szCs w:val="24"/>
        </w:rPr>
        <w:t>②为避免突降大雨引起雨水进入废水收集罐， 从而引发废水外溢， 应及时转</w:t>
      </w:r>
    </w:p>
    <w:p>
      <w:pPr>
        <w:spacing w:line="219" w:lineRule="auto"/>
        <w:ind w:left="38"/>
        <w:rPr>
          <w:rFonts w:ascii="宋体" w:hAnsi="宋体" w:eastAsia="宋体" w:cs="宋体"/>
          <w:sz w:val="24"/>
          <w:szCs w:val="24"/>
        </w:rPr>
      </w:pPr>
      <w:r>
        <w:rPr>
          <w:rFonts w:ascii="宋体" w:hAnsi="宋体" w:eastAsia="宋体" w:cs="宋体"/>
          <w:spacing w:val="-5"/>
          <w:sz w:val="24"/>
          <w:szCs w:val="24"/>
        </w:rPr>
        <w:t>运废水罐中的废水。</w:t>
      </w:r>
    </w:p>
    <w:p>
      <w:pPr>
        <w:spacing w:before="195" w:line="480" w:lineRule="exact"/>
        <w:ind w:right="60"/>
        <w:jc w:val="right"/>
        <w:rPr>
          <w:rFonts w:ascii="宋体" w:hAnsi="宋体" w:eastAsia="宋体" w:cs="宋体"/>
          <w:sz w:val="24"/>
          <w:szCs w:val="24"/>
        </w:rPr>
      </w:pPr>
      <w:r>
        <w:rPr>
          <w:rFonts w:ascii="宋体" w:hAnsi="宋体" w:eastAsia="宋体" w:cs="宋体"/>
          <w:spacing w:val="-11"/>
          <w:position w:val="18"/>
          <w:sz w:val="24"/>
          <w:szCs w:val="24"/>
        </w:rPr>
        <w:t>③井场采用清污分流系统，</w:t>
      </w:r>
      <w:r>
        <w:rPr>
          <w:rFonts w:ascii="宋体" w:hAnsi="宋体" w:eastAsia="宋体" w:cs="宋体"/>
          <w:spacing w:val="37"/>
          <w:position w:val="18"/>
          <w:sz w:val="24"/>
          <w:szCs w:val="24"/>
        </w:rPr>
        <w:t xml:space="preserve"> </w:t>
      </w:r>
      <w:r>
        <w:rPr>
          <w:rFonts w:ascii="宋体" w:hAnsi="宋体" w:eastAsia="宋体" w:cs="宋体"/>
          <w:spacing w:val="-11"/>
          <w:position w:val="18"/>
          <w:sz w:val="24"/>
          <w:szCs w:val="24"/>
        </w:rPr>
        <w:t>并定期进行维护， 从而有效控制因暴雨而导致废</w:t>
      </w:r>
    </w:p>
    <w:p>
      <w:pPr>
        <w:spacing w:before="1" w:line="219" w:lineRule="auto"/>
        <w:ind w:left="41"/>
        <w:rPr>
          <w:rFonts w:ascii="宋体" w:hAnsi="宋体" w:eastAsia="宋体" w:cs="宋体"/>
          <w:sz w:val="24"/>
          <w:szCs w:val="24"/>
        </w:rPr>
      </w:pPr>
      <w:r>
        <w:rPr>
          <w:rFonts w:ascii="宋体" w:hAnsi="宋体" w:eastAsia="宋体" w:cs="宋体"/>
          <w:spacing w:val="-9"/>
          <w:sz w:val="24"/>
          <w:szCs w:val="24"/>
        </w:rPr>
        <w:t>水外溢。</w:t>
      </w:r>
    </w:p>
    <w:p>
      <w:pPr>
        <w:spacing w:before="195" w:line="369" w:lineRule="auto"/>
        <w:ind w:left="49" w:right="58" w:firstLine="466"/>
        <w:rPr>
          <w:rFonts w:ascii="宋体" w:hAnsi="宋体" w:eastAsia="宋体" w:cs="宋体"/>
          <w:sz w:val="24"/>
          <w:szCs w:val="24"/>
        </w:rPr>
      </w:pPr>
      <w:r>
        <w:rPr>
          <w:rFonts w:ascii="宋体" w:hAnsi="宋体" w:eastAsia="宋体" w:cs="宋体"/>
          <w:spacing w:val="-6"/>
          <w:sz w:val="24"/>
          <w:szCs w:val="24"/>
        </w:rPr>
        <w:t>④为了防止废水渗漏或外溢污染地表水及浅层地下水，</w:t>
      </w:r>
      <w:r>
        <w:rPr>
          <w:rFonts w:ascii="宋体" w:hAnsi="宋体" w:eastAsia="宋体" w:cs="宋体"/>
          <w:spacing w:val="-20"/>
          <w:sz w:val="24"/>
          <w:szCs w:val="24"/>
        </w:rPr>
        <w:t xml:space="preserve"> </w:t>
      </w:r>
      <w:r>
        <w:rPr>
          <w:rFonts w:ascii="宋体" w:hAnsi="宋体" w:eastAsia="宋体" w:cs="宋体"/>
          <w:spacing w:val="-6"/>
          <w:sz w:val="24"/>
          <w:szCs w:val="24"/>
        </w:rPr>
        <w:t>要求建设方对废水及</w:t>
      </w:r>
      <w:r>
        <w:rPr>
          <w:rFonts w:ascii="宋体" w:hAnsi="宋体" w:eastAsia="宋体" w:cs="宋体"/>
          <w:sz w:val="24"/>
          <w:szCs w:val="24"/>
        </w:rPr>
        <w:t xml:space="preserve"> </w:t>
      </w:r>
      <w:r>
        <w:rPr>
          <w:rFonts w:ascii="宋体" w:hAnsi="宋体" w:eastAsia="宋体" w:cs="宋体"/>
          <w:spacing w:val="-16"/>
          <w:sz w:val="24"/>
          <w:szCs w:val="24"/>
        </w:rPr>
        <w:t>时清运， 并保持废水收集罐留有一定的富余容量，</w:t>
      </w:r>
      <w:r>
        <w:rPr>
          <w:rFonts w:ascii="宋体" w:hAnsi="宋体" w:eastAsia="宋体" w:cs="宋体"/>
          <w:spacing w:val="61"/>
          <w:sz w:val="24"/>
          <w:szCs w:val="24"/>
        </w:rPr>
        <w:t xml:space="preserve"> </w:t>
      </w:r>
      <w:r>
        <w:rPr>
          <w:rFonts w:ascii="宋体" w:hAnsi="宋体" w:eastAsia="宋体" w:cs="宋体"/>
          <w:spacing w:val="-16"/>
          <w:sz w:val="24"/>
          <w:szCs w:val="24"/>
        </w:rPr>
        <w:t>以容纳暴雨增加的水量</w:t>
      </w:r>
      <w:r>
        <w:rPr>
          <w:rFonts w:ascii="宋体" w:hAnsi="宋体" w:eastAsia="宋体" w:cs="宋体"/>
          <w:spacing w:val="-17"/>
          <w:sz w:val="24"/>
          <w:szCs w:val="24"/>
        </w:rPr>
        <w:t>，</w:t>
      </w:r>
      <w:r>
        <w:rPr>
          <w:rFonts w:ascii="宋体" w:hAnsi="宋体" w:eastAsia="宋体" w:cs="宋体"/>
          <w:spacing w:val="49"/>
          <w:sz w:val="24"/>
          <w:szCs w:val="24"/>
        </w:rPr>
        <w:t xml:space="preserve"> </w:t>
      </w:r>
      <w:r>
        <w:rPr>
          <w:rFonts w:ascii="宋体" w:hAnsi="宋体" w:eastAsia="宋体" w:cs="宋体"/>
          <w:spacing w:val="-17"/>
          <w:sz w:val="24"/>
          <w:szCs w:val="24"/>
        </w:rPr>
        <w:t>防止</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外溢；在暴雨季节，加强巡查，降低废水外溢的环境风险。</w:t>
      </w:r>
    </w:p>
    <w:p>
      <w:pPr>
        <w:spacing w:before="195"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sz w:val="24"/>
          <w:szCs w:val="24"/>
        </w:rPr>
        <w:t>3</w:t>
      </w:r>
      <w:r>
        <w:rPr>
          <w:rFonts w:ascii="宋体" w:hAnsi="宋体" w:eastAsia="宋体" w:cs="宋体"/>
          <w:spacing w:val="-2"/>
          <w:sz w:val="24"/>
          <w:szCs w:val="24"/>
          <w14:textOutline w14:w="4354" w14:cap="flat" w14:cmpd="sng">
            <w14:solidFill>
              <w14:srgbClr w14:val="000000"/>
            </w14:solidFill>
            <w14:prstDash w14:val="solid"/>
            <w14:miter w14:val="10"/>
          </w14:textOutline>
        </w:rPr>
        <w:t>）废水外溢应急措施</w:t>
      </w:r>
    </w:p>
    <w:p>
      <w:pPr>
        <w:spacing w:before="195" w:line="480" w:lineRule="exact"/>
        <w:ind w:right="57"/>
        <w:jc w:val="right"/>
        <w:rPr>
          <w:rFonts w:ascii="宋体" w:hAnsi="宋体" w:eastAsia="宋体" w:cs="宋体"/>
          <w:sz w:val="24"/>
          <w:szCs w:val="24"/>
        </w:rPr>
      </w:pPr>
      <w:r>
        <w:rPr>
          <w:rFonts w:ascii="宋体" w:hAnsi="宋体" w:eastAsia="宋体" w:cs="宋体"/>
          <w:spacing w:val="-10"/>
          <w:position w:val="18"/>
          <w:sz w:val="24"/>
          <w:szCs w:val="24"/>
        </w:rPr>
        <w:t>一旦发生废水外溢， 要立即启动废水外溢应急预案， 建议设置地表水三级防</w:t>
      </w:r>
    </w:p>
    <w:p>
      <w:pPr>
        <w:spacing w:before="1" w:line="218" w:lineRule="auto"/>
        <w:ind w:left="37"/>
        <w:rPr>
          <w:rFonts w:ascii="宋体" w:hAnsi="宋体" w:eastAsia="宋体" w:cs="宋体"/>
          <w:sz w:val="24"/>
          <w:szCs w:val="24"/>
        </w:rPr>
      </w:pPr>
      <w:r>
        <w:rPr>
          <w:rFonts w:ascii="宋体" w:hAnsi="宋体" w:eastAsia="宋体" w:cs="宋体"/>
          <w:spacing w:val="-4"/>
          <w:sz w:val="24"/>
          <w:szCs w:val="24"/>
        </w:rPr>
        <w:t>控机制，地表水三级防控措施布置如下：</w:t>
      </w:r>
    </w:p>
    <w:p>
      <w:pPr>
        <w:spacing w:before="195" w:line="480" w:lineRule="exact"/>
        <w:ind w:right="60"/>
        <w:jc w:val="right"/>
        <w:rPr>
          <w:rFonts w:ascii="宋体" w:hAnsi="宋体" w:eastAsia="宋体" w:cs="宋体"/>
          <w:sz w:val="24"/>
          <w:szCs w:val="24"/>
        </w:rPr>
      </w:pPr>
      <w:r>
        <w:rPr>
          <w:rFonts w:ascii="宋体" w:hAnsi="宋体" w:eastAsia="宋体" w:cs="宋体"/>
          <w:spacing w:val="-6"/>
          <w:position w:val="18"/>
          <w:sz w:val="24"/>
          <w:szCs w:val="24"/>
        </w:rPr>
        <w:t>①第一级防控措施是通过修建拦水沟和及时转运等措施，</w:t>
      </w:r>
      <w:r>
        <w:rPr>
          <w:rFonts w:ascii="宋体" w:hAnsi="宋体" w:eastAsia="宋体" w:cs="宋体"/>
          <w:spacing w:val="-20"/>
          <w:position w:val="18"/>
          <w:sz w:val="24"/>
          <w:szCs w:val="24"/>
        </w:rPr>
        <w:t xml:space="preserve"> </w:t>
      </w:r>
      <w:r>
        <w:rPr>
          <w:rFonts w:ascii="宋体" w:hAnsi="宋体" w:eastAsia="宋体" w:cs="宋体"/>
          <w:spacing w:val="-6"/>
          <w:position w:val="18"/>
          <w:sz w:val="24"/>
          <w:szCs w:val="24"/>
        </w:rPr>
        <w:t>将废水罐所在平台</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沿地表加高</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20~50cm</w:t>
      </w:r>
      <w:r>
        <w:rPr>
          <w:rFonts w:ascii="宋体" w:hAnsi="宋体" w:eastAsia="宋体" w:cs="宋体"/>
          <w:spacing w:val="-2"/>
          <w:sz w:val="24"/>
          <w:szCs w:val="24"/>
        </w:rPr>
        <w:t>，并保持废水罐空高为</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20~50</w:t>
      </w:r>
      <w:r>
        <w:rPr>
          <w:rFonts w:ascii="Times New Roman" w:hAnsi="Times New Roman" w:eastAsia="Times New Roman" w:cs="Times New Roman"/>
          <w:spacing w:val="-3"/>
          <w:sz w:val="24"/>
          <w:szCs w:val="24"/>
        </w:rPr>
        <w:t>cm</w:t>
      </w:r>
      <w:r>
        <w:rPr>
          <w:rFonts w:ascii="宋体" w:hAnsi="宋体" w:eastAsia="宋体" w:cs="宋体"/>
          <w:spacing w:val="-3"/>
          <w:sz w:val="24"/>
          <w:szCs w:val="24"/>
        </w:rPr>
        <w:t>，防止废水外溢；</w:t>
      </w:r>
    </w:p>
    <w:p>
      <w:pPr>
        <w:spacing w:before="195" w:line="480" w:lineRule="exact"/>
        <w:ind w:right="58"/>
        <w:jc w:val="right"/>
        <w:rPr>
          <w:rFonts w:ascii="宋体" w:hAnsi="宋体" w:eastAsia="宋体" w:cs="宋体"/>
          <w:sz w:val="24"/>
          <w:szCs w:val="24"/>
        </w:rPr>
      </w:pPr>
      <w:r>
        <w:rPr>
          <w:rFonts w:ascii="宋体" w:hAnsi="宋体" w:eastAsia="宋体" w:cs="宋体"/>
          <w:spacing w:val="-8"/>
          <w:position w:val="18"/>
          <w:sz w:val="24"/>
          <w:szCs w:val="24"/>
        </w:rPr>
        <w:t>②第二级防控措施是在井场周围、废水罐周围设截水沟，</w:t>
      </w:r>
      <w:r>
        <w:rPr>
          <w:rFonts w:ascii="宋体" w:hAnsi="宋体" w:eastAsia="宋体" w:cs="宋体"/>
          <w:spacing w:val="49"/>
          <w:position w:val="18"/>
          <w:sz w:val="24"/>
          <w:szCs w:val="24"/>
        </w:rPr>
        <w:t xml:space="preserve"> </w:t>
      </w:r>
      <w:r>
        <w:rPr>
          <w:rFonts w:ascii="宋体" w:hAnsi="宋体" w:eastAsia="宋体" w:cs="宋体"/>
          <w:spacing w:val="-8"/>
          <w:position w:val="18"/>
          <w:sz w:val="24"/>
          <w:szCs w:val="24"/>
        </w:rPr>
        <w:t>将从井场、废水罐</w:t>
      </w:r>
    </w:p>
    <w:p>
      <w:pPr>
        <w:spacing w:line="219" w:lineRule="auto"/>
        <w:ind w:left="40"/>
        <w:rPr>
          <w:rFonts w:ascii="宋体" w:hAnsi="宋体" w:eastAsia="宋体" w:cs="宋体"/>
          <w:sz w:val="24"/>
          <w:szCs w:val="24"/>
        </w:rPr>
      </w:pPr>
      <w:r>
        <w:rPr>
          <w:rFonts w:ascii="宋体" w:hAnsi="宋体" w:eastAsia="宋体" w:cs="宋体"/>
          <w:spacing w:val="-3"/>
          <w:sz w:val="24"/>
          <w:szCs w:val="24"/>
        </w:rPr>
        <w:t>溢出的污水截留下来，截留的废水收集至废水罐中；</w:t>
      </w:r>
    </w:p>
    <w:p>
      <w:pPr>
        <w:spacing w:before="196" w:line="369" w:lineRule="auto"/>
        <w:ind w:left="41" w:right="58" w:firstLine="475"/>
        <w:rPr>
          <w:rFonts w:ascii="宋体" w:hAnsi="宋体" w:eastAsia="宋体" w:cs="宋体"/>
          <w:sz w:val="24"/>
          <w:szCs w:val="24"/>
        </w:rPr>
      </w:pPr>
      <w:r>
        <w:rPr>
          <w:rFonts w:ascii="宋体" w:hAnsi="宋体" w:eastAsia="宋体" w:cs="宋体"/>
          <w:spacing w:val="-6"/>
          <w:sz w:val="24"/>
          <w:szCs w:val="24"/>
        </w:rPr>
        <w:t>③第三级防控措施是在发生废水外溢事故时，</w:t>
      </w:r>
      <w:r>
        <w:rPr>
          <w:rFonts w:ascii="宋体" w:hAnsi="宋体" w:eastAsia="宋体" w:cs="宋体"/>
          <w:spacing w:val="-20"/>
          <w:sz w:val="24"/>
          <w:szCs w:val="24"/>
        </w:rPr>
        <w:t xml:space="preserve"> </w:t>
      </w:r>
      <w:r>
        <w:rPr>
          <w:rFonts w:ascii="宋体" w:hAnsi="宋体" w:eastAsia="宋体" w:cs="宋体"/>
          <w:spacing w:val="-6"/>
          <w:sz w:val="24"/>
          <w:szCs w:val="24"/>
        </w:rPr>
        <w:t>在废水罐周围的低洼区域和废</w:t>
      </w:r>
      <w:r>
        <w:rPr>
          <w:rFonts w:ascii="宋体" w:hAnsi="宋体" w:eastAsia="宋体" w:cs="宋体"/>
          <w:sz w:val="24"/>
          <w:szCs w:val="24"/>
        </w:rPr>
        <w:t xml:space="preserve"> </w:t>
      </w:r>
      <w:r>
        <w:rPr>
          <w:rFonts w:ascii="宋体" w:hAnsi="宋体" w:eastAsia="宋体" w:cs="宋体"/>
          <w:spacing w:val="-6"/>
          <w:sz w:val="24"/>
          <w:szCs w:val="24"/>
        </w:rPr>
        <w:t>水罐外溢口处采用沙包、装土编织袋等拦截措施阻拦外溢废水， 避免废</w:t>
      </w:r>
      <w:r>
        <w:rPr>
          <w:rFonts w:ascii="宋体" w:hAnsi="宋体" w:eastAsia="宋体" w:cs="宋体"/>
          <w:spacing w:val="-7"/>
          <w:sz w:val="24"/>
          <w:szCs w:val="24"/>
        </w:rPr>
        <w:t>水流入外</w:t>
      </w:r>
    </w:p>
    <w:p>
      <w:pPr>
        <w:spacing w:before="1" w:line="220" w:lineRule="auto"/>
        <w:ind w:left="38"/>
        <w:rPr>
          <w:rFonts w:ascii="宋体" w:hAnsi="宋体" w:eastAsia="宋体" w:cs="宋体"/>
          <w:sz w:val="24"/>
          <w:szCs w:val="24"/>
        </w:rPr>
      </w:pPr>
      <w:r>
        <w:rPr>
          <w:rFonts w:ascii="宋体" w:hAnsi="宋体" w:eastAsia="宋体" w:cs="宋体"/>
          <w:spacing w:val="-8"/>
          <w:sz w:val="24"/>
          <w:szCs w:val="24"/>
        </w:rPr>
        <w:t>环境之中。</w:t>
      </w:r>
    </w:p>
    <w:p>
      <w:pPr>
        <w:spacing w:before="193" w:line="480" w:lineRule="exact"/>
        <w:ind w:left="37"/>
        <w:rPr>
          <w:rFonts w:ascii="宋体" w:hAnsi="宋体" w:eastAsia="宋体" w:cs="宋体"/>
          <w:sz w:val="24"/>
          <w:szCs w:val="24"/>
        </w:rPr>
      </w:pPr>
      <w:r>
        <w:rPr>
          <w:rFonts w:ascii="Times New Roman" w:hAnsi="Times New Roman" w:eastAsia="Times New Roman" w:cs="Times New Roman"/>
          <w:b/>
          <w:bCs/>
          <w:spacing w:val="1"/>
          <w:position w:val="18"/>
          <w:sz w:val="24"/>
          <w:szCs w:val="24"/>
        </w:rPr>
        <w:t xml:space="preserve">6.2.4 </w:t>
      </w:r>
      <w:r>
        <w:rPr>
          <w:rFonts w:ascii="宋体" w:hAnsi="宋体" w:eastAsia="宋体" w:cs="宋体"/>
          <w:spacing w:val="1"/>
          <w:position w:val="18"/>
          <w:sz w:val="24"/>
          <w:szCs w:val="24"/>
          <w14:textOutline w14:w="4354" w14:cap="flat" w14:cmpd="sng">
            <w14:solidFill>
              <w14:srgbClr w14:val="000000"/>
            </w14:solidFill>
            <w14:prstDash w14:val="solid"/>
            <w14:miter w14:val="10"/>
          </w14:textOutline>
        </w:rPr>
        <w:t>油类物质（废油、柴油、白油、油</w:t>
      </w:r>
      <w:r>
        <w:rPr>
          <w:rFonts w:ascii="宋体" w:hAnsi="宋体" w:eastAsia="宋体" w:cs="宋体"/>
          <w:position w:val="18"/>
          <w:sz w:val="24"/>
          <w:szCs w:val="24"/>
          <w14:textOutline w14:w="4354" w14:cap="flat" w14:cmpd="sng">
            <w14:solidFill>
              <w14:srgbClr w14:val="000000"/>
            </w14:solidFill>
            <w14:prstDash w14:val="solid"/>
            <w14:miter w14:val="10"/>
          </w14:textOutline>
        </w:rPr>
        <w:t>基泥浆、油基岩屑）泄漏或外溢环境风</w:t>
      </w:r>
    </w:p>
    <w:p>
      <w:pPr>
        <w:spacing w:before="1" w:line="220" w:lineRule="auto"/>
        <w:ind w:left="51"/>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险防范措施</w:t>
      </w:r>
    </w:p>
    <w:p>
      <w:pPr>
        <w:spacing w:before="193" w:line="480" w:lineRule="exact"/>
        <w:jc w:val="right"/>
        <w:rPr>
          <w:rFonts w:ascii="宋体" w:hAnsi="宋体" w:eastAsia="宋体" w:cs="宋体"/>
          <w:sz w:val="24"/>
          <w:szCs w:val="24"/>
        </w:rPr>
      </w:pPr>
      <w:r>
        <w:rPr>
          <w:rFonts w:ascii="宋体" w:hAnsi="宋体" w:eastAsia="宋体" w:cs="宋体"/>
          <w:spacing w:val="-1"/>
          <w:position w:val="18"/>
          <w:sz w:val="24"/>
          <w:szCs w:val="24"/>
        </w:rPr>
        <w:t>①加强柴油罐、材料区白油原料桶、危废暂存间内废油收集桶的维</w:t>
      </w:r>
      <w:r>
        <w:rPr>
          <w:rFonts w:ascii="宋体" w:hAnsi="宋体" w:eastAsia="宋体" w:cs="宋体"/>
          <w:spacing w:val="-2"/>
          <w:position w:val="18"/>
          <w:sz w:val="24"/>
          <w:szCs w:val="24"/>
        </w:rPr>
        <w:t>护保养，</w:t>
      </w:r>
    </w:p>
    <w:p>
      <w:pPr>
        <w:spacing w:before="1" w:line="219" w:lineRule="auto"/>
        <w:ind w:left="36"/>
        <w:rPr>
          <w:rFonts w:ascii="宋体" w:hAnsi="宋体" w:eastAsia="宋体" w:cs="宋体"/>
          <w:sz w:val="24"/>
          <w:szCs w:val="24"/>
        </w:rPr>
      </w:pPr>
      <w:r>
        <w:rPr>
          <w:rFonts w:ascii="宋体" w:hAnsi="宋体" w:eastAsia="宋体" w:cs="宋体"/>
          <w:spacing w:val="-3"/>
          <w:sz w:val="24"/>
          <w:szCs w:val="24"/>
        </w:rPr>
        <w:t>避免柴油、白油等油类泄漏事件的发生。</w:t>
      </w:r>
    </w:p>
    <w:p>
      <w:pPr>
        <w:spacing w:line="219" w:lineRule="auto"/>
        <w:rPr>
          <w:rFonts w:ascii="宋体" w:hAnsi="宋体" w:eastAsia="宋体" w:cs="宋体"/>
          <w:sz w:val="24"/>
          <w:szCs w:val="24"/>
        </w:rPr>
        <w:sectPr>
          <w:headerReference r:id="rId269" w:type="default"/>
          <w:footerReference r:id="rId270" w:type="default"/>
          <w:pgSz w:w="11907" w:h="16839"/>
          <w:pgMar w:top="1123" w:right="1735" w:bottom="1149" w:left="1769" w:header="1108" w:footer="988" w:gutter="0"/>
          <w:cols w:space="720" w:num="1"/>
        </w:sectPr>
      </w:pPr>
    </w:p>
    <w:p>
      <w:pPr>
        <w:pStyle w:val="2"/>
        <w:spacing w:line="414" w:lineRule="auto"/>
        <w:rPr>
          <w:sz w:val="21"/>
        </w:rPr>
      </w:pPr>
    </w:p>
    <w:p>
      <w:pPr>
        <w:spacing w:before="78" w:line="480" w:lineRule="exact"/>
        <w:ind w:right="27"/>
        <w:jc w:val="right"/>
        <w:rPr>
          <w:rFonts w:ascii="宋体" w:hAnsi="宋体" w:eastAsia="宋体" w:cs="宋体"/>
          <w:sz w:val="24"/>
          <w:szCs w:val="24"/>
        </w:rPr>
      </w:pPr>
      <w:r>
        <w:rPr>
          <w:rFonts w:ascii="宋体" w:hAnsi="宋体" w:eastAsia="宋体" w:cs="宋体"/>
          <w:spacing w:val="-8"/>
          <w:position w:val="18"/>
          <w:sz w:val="24"/>
          <w:szCs w:val="24"/>
        </w:rPr>
        <w:t>②加强柴油、白油、废油等油类运输车辆的维护，</w:t>
      </w:r>
      <w:r>
        <w:rPr>
          <w:rFonts w:ascii="宋体" w:hAnsi="宋体" w:eastAsia="宋体" w:cs="宋体"/>
          <w:spacing w:val="50"/>
          <w:position w:val="18"/>
          <w:sz w:val="24"/>
          <w:szCs w:val="24"/>
        </w:rPr>
        <w:t xml:space="preserve"> </w:t>
      </w:r>
      <w:r>
        <w:rPr>
          <w:rFonts w:ascii="宋体" w:hAnsi="宋体" w:eastAsia="宋体" w:cs="宋体"/>
          <w:spacing w:val="-8"/>
          <w:position w:val="18"/>
          <w:sz w:val="24"/>
          <w:szCs w:val="24"/>
        </w:rPr>
        <w:t>确保车辆和连接管道处于</w:t>
      </w:r>
    </w:p>
    <w:p>
      <w:pPr>
        <w:spacing w:line="219" w:lineRule="auto"/>
        <w:ind w:left="76"/>
        <w:rPr>
          <w:rFonts w:ascii="宋体" w:hAnsi="宋体" w:eastAsia="宋体" w:cs="宋体"/>
          <w:sz w:val="24"/>
          <w:szCs w:val="24"/>
        </w:rPr>
      </w:pPr>
      <w:r>
        <w:rPr>
          <w:rFonts w:ascii="宋体" w:hAnsi="宋体" w:eastAsia="宋体" w:cs="宋体"/>
          <w:spacing w:val="-14"/>
          <w:sz w:val="24"/>
          <w:szCs w:val="24"/>
        </w:rPr>
        <w:t>良好状态。</w:t>
      </w:r>
    </w:p>
    <w:p>
      <w:pPr>
        <w:spacing w:before="195" w:line="369" w:lineRule="auto"/>
        <w:ind w:left="39" w:right="27" w:firstLine="477"/>
        <w:rPr>
          <w:rFonts w:ascii="宋体" w:hAnsi="宋体" w:eastAsia="宋体" w:cs="宋体"/>
          <w:sz w:val="24"/>
          <w:szCs w:val="24"/>
        </w:rPr>
      </w:pPr>
      <w:r>
        <w:rPr>
          <w:rFonts w:ascii="宋体" w:hAnsi="宋体" w:eastAsia="宋体" w:cs="宋体"/>
          <w:spacing w:val="-8"/>
          <w:sz w:val="24"/>
          <w:szCs w:val="24"/>
        </w:rPr>
        <w:t>③加强员工风险防范意识教育，</w:t>
      </w:r>
      <w:r>
        <w:rPr>
          <w:rFonts w:ascii="宋体" w:hAnsi="宋体" w:eastAsia="宋体" w:cs="宋体"/>
          <w:spacing w:val="49"/>
          <w:sz w:val="24"/>
          <w:szCs w:val="24"/>
        </w:rPr>
        <w:t xml:space="preserve"> </w:t>
      </w:r>
      <w:r>
        <w:rPr>
          <w:rFonts w:ascii="宋体" w:hAnsi="宋体" w:eastAsia="宋体" w:cs="宋体"/>
          <w:spacing w:val="-8"/>
          <w:sz w:val="24"/>
          <w:szCs w:val="24"/>
        </w:rPr>
        <w:t>严格按操作规程操作。在柴油、白油、油类</w:t>
      </w:r>
      <w:r>
        <w:rPr>
          <w:rFonts w:ascii="宋体" w:hAnsi="宋体" w:eastAsia="宋体" w:cs="宋体"/>
          <w:sz w:val="24"/>
          <w:szCs w:val="24"/>
        </w:rPr>
        <w:t xml:space="preserve"> </w:t>
      </w:r>
      <w:r>
        <w:rPr>
          <w:rFonts w:ascii="宋体" w:hAnsi="宋体" w:eastAsia="宋体" w:cs="宋体"/>
          <w:spacing w:val="-11"/>
          <w:sz w:val="24"/>
          <w:szCs w:val="24"/>
        </w:rPr>
        <w:t>转运时， 应对油罐、原料桶、连接管道等进行严格检查，</w:t>
      </w:r>
      <w:r>
        <w:rPr>
          <w:rFonts w:ascii="宋体" w:hAnsi="宋体" w:eastAsia="宋体" w:cs="宋体"/>
          <w:spacing w:val="58"/>
          <w:sz w:val="24"/>
          <w:szCs w:val="24"/>
        </w:rPr>
        <w:t xml:space="preserve"> </w:t>
      </w:r>
      <w:r>
        <w:rPr>
          <w:rFonts w:ascii="宋体" w:hAnsi="宋体" w:eastAsia="宋体" w:cs="宋体"/>
          <w:spacing w:val="-11"/>
          <w:sz w:val="24"/>
          <w:szCs w:val="24"/>
        </w:rPr>
        <w:t>确保在不存在隐患的情</w:t>
      </w:r>
    </w:p>
    <w:p>
      <w:pPr>
        <w:spacing w:line="220" w:lineRule="auto"/>
        <w:ind w:left="40"/>
        <w:rPr>
          <w:rFonts w:ascii="宋体" w:hAnsi="宋体" w:eastAsia="宋体" w:cs="宋体"/>
          <w:sz w:val="24"/>
          <w:szCs w:val="24"/>
        </w:rPr>
      </w:pPr>
      <w:r>
        <w:rPr>
          <w:rFonts w:ascii="宋体" w:hAnsi="宋体" w:eastAsia="宋体" w:cs="宋体"/>
          <w:spacing w:val="-6"/>
          <w:sz w:val="24"/>
          <w:szCs w:val="24"/>
        </w:rPr>
        <w:t>况下进行转运。</w:t>
      </w:r>
    </w:p>
    <w:p>
      <w:pPr>
        <w:spacing w:before="193" w:line="480" w:lineRule="exact"/>
        <w:ind w:right="39"/>
        <w:jc w:val="right"/>
        <w:rPr>
          <w:rFonts w:ascii="宋体" w:hAnsi="宋体" w:eastAsia="宋体" w:cs="宋体"/>
          <w:sz w:val="24"/>
          <w:szCs w:val="24"/>
        </w:rPr>
      </w:pPr>
      <w:r>
        <w:rPr>
          <w:rFonts w:ascii="宋体" w:hAnsi="宋体" w:eastAsia="宋体" w:cs="宋体"/>
          <w:spacing w:val="-6"/>
          <w:position w:val="18"/>
          <w:sz w:val="24"/>
          <w:szCs w:val="24"/>
        </w:rPr>
        <w:t>④在柴油罐周围设</w:t>
      </w:r>
      <w:r>
        <w:rPr>
          <w:rFonts w:ascii="宋体" w:hAnsi="宋体" w:eastAsia="宋体" w:cs="宋体"/>
          <w:spacing w:val="-51"/>
          <w:position w:val="18"/>
          <w:sz w:val="24"/>
          <w:szCs w:val="24"/>
        </w:rPr>
        <w:t xml:space="preserve"> </w:t>
      </w:r>
      <w:r>
        <w:rPr>
          <w:rFonts w:ascii="Times New Roman" w:hAnsi="Times New Roman" w:eastAsia="Times New Roman" w:cs="Times New Roman"/>
          <w:spacing w:val="-6"/>
          <w:position w:val="18"/>
          <w:sz w:val="24"/>
          <w:szCs w:val="24"/>
        </w:rPr>
        <w:t>0.3m</w:t>
      </w:r>
      <w:r>
        <w:rPr>
          <w:rFonts w:ascii="Times New Roman" w:hAnsi="Times New Roman" w:eastAsia="Times New Roman" w:cs="Times New Roman"/>
          <w:spacing w:val="17"/>
          <w:position w:val="18"/>
          <w:sz w:val="24"/>
          <w:szCs w:val="24"/>
        </w:rPr>
        <w:t xml:space="preserve"> </w:t>
      </w:r>
      <w:r>
        <w:rPr>
          <w:rFonts w:ascii="宋体" w:hAnsi="宋体" w:eastAsia="宋体" w:cs="宋体"/>
          <w:spacing w:val="-6"/>
          <w:position w:val="18"/>
          <w:sz w:val="24"/>
          <w:szCs w:val="24"/>
        </w:rPr>
        <w:t>高围堰， 应满足收集容积不低于</w:t>
      </w:r>
      <w:r>
        <w:rPr>
          <w:rFonts w:ascii="宋体" w:hAnsi="宋体" w:eastAsia="宋体" w:cs="宋体"/>
          <w:spacing w:val="-55"/>
          <w:position w:val="18"/>
          <w:sz w:val="24"/>
          <w:szCs w:val="24"/>
        </w:rPr>
        <w:t xml:space="preserve"> </w:t>
      </w:r>
      <w:r>
        <w:rPr>
          <w:rFonts w:ascii="Times New Roman" w:hAnsi="Times New Roman" w:eastAsia="Times New Roman" w:cs="Times New Roman"/>
          <w:spacing w:val="-6"/>
          <w:position w:val="18"/>
          <w:sz w:val="24"/>
          <w:szCs w:val="24"/>
        </w:rPr>
        <w:t>2</w:t>
      </w:r>
      <w:r>
        <w:rPr>
          <w:rFonts w:ascii="Times New Roman" w:hAnsi="Times New Roman" w:eastAsia="Times New Roman" w:cs="Times New Roman"/>
          <w:spacing w:val="-7"/>
          <w:position w:val="18"/>
          <w:sz w:val="24"/>
          <w:szCs w:val="24"/>
        </w:rPr>
        <w:t>0m</w:t>
      </w:r>
      <w:r>
        <w:rPr>
          <w:rFonts w:ascii="Times New Roman" w:hAnsi="Times New Roman" w:eastAsia="Times New Roman" w:cs="Times New Roman"/>
          <w:spacing w:val="-7"/>
          <w:position w:val="27"/>
          <w:sz w:val="16"/>
          <w:szCs w:val="16"/>
        </w:rPr>
        <w:t>3</w:t>
      </w:r>
      <w:r>
        <w:rPr>
          <w:rFonts w:ascii="宋体" w:hAnsi="宋体" w:eastAsia="宋体" w:cs="宋体"/>
          <w:spacing w:val="-7"/>
          <w:position w:val="18"/>
          <w:sz w:val="24"/>
          <w:szCs w:val="24"/>
        </w:rPr>
        <w:t>，正常情况下</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应保证应急池有足够的容积，确保事故时能将</w:t>
      </w:r>
      <w:r>
        <w:rPr>
          <w:rFonts w:ascii="宋体" w:hAnsi="宋体" w:eastAsia="宋体" w:cs="宋体"/>
          <w:spacing w:val="-2"/>
          <w:sz w:val="24"/>
          <w:szCs w:val="24"/>
        </w:rPr>
        <w:t>泄漏的柴油导流至应急池。</w:t>
      </w:r>
    </w:p>
    <w:p>
      <w:pPr>
        <w:spacing w:before="194" w:line="481" w:lineRule="exact"/>
        <w:ind w:right="33"/>
        <w:jc w:val="right"/>
        <w:rPr>
          <w:rFonts w:ascii="宋体" w:hAnsi="宋体" w:eastAsia="宋体" w:cs="宋体"/>
          <w:sz w:val="24"/>
          <w:szCs w:val="24"/>
        </w:rPr>
      </w:pPr>
      <w:r>
        <w:rPr>
          <w:rFonts w:ascii="宋体" w:hAnsi="宋体" w:eastAsia="宋体" w:cs="宋体"/>
          <w:position w:val="18"/>
          <w:sz w:val="24"/>
          <w:szCs w:val="24"/>
        </w:rPr>
        <w:t xml:space="preserve">⑤在油基泥浆循环暂存的泥浆储备罐区域周围设置围堰，围堰高 </w:t>
      </w:r>
      <w:r>
        <w:rPr>
          <w:rFonts w:ascii="Times New Roman" w:hAnsi="Times New Roman" w:eastAsia="Times New Roman" w:cs="Times New Roman"/>
          <w:position w:val="18"/>
          <w:sz w:val="24"/>
          <w:szCs w:val="24"/>
        </w:rPr>
        <w:t>0.3m</w:t>
      </w:r>
      <w:r>
        <w:rPr>
          <w:rFonts w:ascii="宋体" w:hAnsi="宋体" w:eastAsia="宋体" w:cs="宋体"/>
          <w:position w:val="18"/>
          <w:sz w:val="24"/>
          <w:szCs w:val="24"/>
        </w:rPr>
        <w:t>，应</w:t>
      </w:r>
    </w:p>
    <w:p>
      <w:pPr>
        <w:spacing w:line="219" w:lineRule="auto"/>
        <w:ind w:left="38"/>
        <w:rPr>
          <w:rFonts w:ascii="宋体" w:hAnsi="宋体" w:eastAsia="宋体" w:cs="宋体"/>
          <w:sz w:val="24"/>
          <w:szCs w:val="24"/>
        </w:rPr>
      </w:pPr>
      <w:r>
        <w:rPr>
          <w:rFonts w:ascii="宋体" w:hAnsi="宋体" w:eastAsia="宋体" w:cs="宋体"/>
          <w:spacing w:val="-1"/>
          <w:sz w:val="24"/>
          <w:szCs w:val="24"/>
        </w:rPr>
        <w:t>满足收集容积不低于</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20m</w:t>
      </w:r>
      <w:r>
        <w:rPr>
          <w:rFonts w:ascii="Times New Roman" w:hAnsi="Times New Roman" w:eastAsia="Times New Roman" w:cs="Times New Roman"/>
          <w:spacing w:val="-1"/>
          <w:position w:val="8"/>
          <w:sz w:val="16"/>
          <w:szCs w:val="16"/>
        </w:rPr>
        <w:t>3</w:t>
      </w:r>
      <w:r>
        <w:rPr>
          <w:rFonts w:ascii="宋体" w:hAnsi="宋体" w:eastAsia="宋体" w:cs="宋体"/>
          <w:spacing w:val="-1"/>
          <w:sz w:val="24"/>
          <w:szCs w:val="24"/>
        </w:rPr>
        <w:t>。</w:t>
      </w:r>
    </w:p>
    <w:p>
      <w:pPr>
        <w:spacing w:before="195" w:line="480" w:lineRule="exact"/>
        <w:ind w:right="29"/>
        <w:jc w:val="right"/>
        <w:rPr>
          <w:rFonts w:ascii="宋体" w:hAnsi="宋体" w:eastAsia="宋体" w:cs="宋体"/>
          <w:sz w:val="24"/>
          <w:szCs w:val="24"/>
        </w:rPr>
      </w:pPr>
      <w:r>
        <w:rPr>
          <w:rFonts w:ascii="宋体" w:hAnsi="宋体" w:eastAsia="宋体" w:cs="宋体"/>
          <w:spacing w:val="-6"/>
          <w:position w:val="18"/>
          <w:sz w:val="24"/>
          <w:szCs w:val="24"/>
        </w:rPr>
        <w:t>⑥在危废暂存间内废油收集桶四周设置围堰或托盘，</w:t>
      </w:r>
      <w:r>
        <w:rPr>
          <w:rFonts w:ascii="宋体" w:hAnsi="宋体" w:eastAsia="宋体" w:cs="宋体"/>
          <w:spacing w:val="-19"/>
          <w:position w:val="18"/>
          <w:sz w:val="24"/>
          <w:szCs w:val="24"/>
        </w:rPr>
        <w:t xml:space="preserve"> </w:t>
      </w:r>
      <w:r>
        <w:rPr>
          <w:rFonts w:ascii="宋体" w:hAnsi="宋体" w:eastAsia="宋体" w:cs="宋体"/>
          <w:spacing w:val="-6"/>
          <w:position w:val="18"/>
          <w:sz w:val="24"/>
          <w:szCs w:val="24"/>
        </w:rPr>
        <w:t>废液有效收集容积不低</w:t>
      </w:r>
    </w:p>
    <w:p>
      <w:pPr>
        <w:spacing w:line="223" w:lineRule="auto"/>
        <w:ind w:left="42"/>
        <w:rPr>
          <w:rFonts w:ascii="宋体" w:hAnsi="宋体" w:eastAsia="宋体" w:cs="宋体"/>
          <w:sz w:val="24"/>
          <w:szCs w:val="24"/>
        </w:rPr>
      </w:pPr>
      <w:r>
        <w:rPr>
          <w:rFonts w:ascii="宋体" w:hAnsi="宋体" w:eastAsia="宋体" w:cs="宋体"/>
          <w:spacing w:val="-9"/>
          <w:sz w:val="24"/>
          <w:szCs w:val="24"/>
        </w:rPr>
        <w:t>于</w:t>
      </w:r>
      <w:r>
        <w:rPr>
          <w:rFonts w:ascii="宋体" w:hAnsi="宋体" w:eastAsia="宋体" w:cs="宋体"/>
          <w:spacing w:val="-29"/>
          <w:sz w:val="24"/>
          <w:szCs w:val="24"/>
        </w:rPr>
        <w:t xml:space="preserve"> </w:t>
      </w:r>
      <w:r>
        <w:rPr>
          <w:rFonts w:ascii="Times New Roman" w:hAnsi="Times New Roman" w:eastAsia="Times New Roman" w:cs="Times New Roman"/>
          <w:spacing w:val="-9"/>
          <w:sz w:val="24"/>
          <w:szCs w:val="24"/>
        </w:rPr>
        <w:t>1m</w:t>
      </w:r>
      <w:r>
        <w:rPr>
          <w:rFonts w:ascii="Times New Roman" w:hAnsi="Times New Roman" w:eastAsia="Times New Roman" w:cs="Times New Roman"/>
          <w:spacing w:val="-9"/>
          <w:position w:val="8"/>
          <w:sz w:val="16"/>
          <w:szCs w:val="16"/>
        </w:rPr>
        <w:t>3</w:t>
      </w:r>
      <w:r>
        <w:rPr>
          <w:rFonts w:ascii="宋体" w:hAnsi="宋体" w:eastAsia="宋体" w:cs="宋体"/>
          <w:spacing w:val="-9"/>
          <w:sz w:val="24"/>
          <w:szCs w:val="24"/>
        </w:rPr>
        <w:t>。</w:t>
      </w:r>
    </w:p>
    <w:p>
      <w:pPr>
        <w:spacing w:before="190" w:line="480" w:lineRule="exact"/>
        <w:ind w:right="27"/>
        <w:jc w:val="right"/>
        <w:rPr>
          <w:rFonts w:ascii="宋体" w:hAnsi="宋体" w:eastAsia="宋体" w:cs="宋体"/>
          <w:sz w:val="24"/>
          <w:szCs w:val="24"/>
        </w:rPr>
      </w:pPr>
      <w:r>
        <w:rPr>
          <w:rFonts w:ascii="宋体" w:hAnsi="宋体" w:eastAsia="宋体" w:cs="宋体"/>
          <w:spacing w:val="-3"/>
          <w:position w:val="18"/>
          <w:sz w:val="24"/>
          <w:szCs w:val="24"/>
        </w:rPr>
        <w:t>⑦柴油罐区围堰内地坪、泥浆储备罐区、材料区、岩屑堆放区、危废间等地</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面采用混凝土地坪，并进行重点防渗处理。</w:t>
      </w:r>
    </w:p>
    <w:p>
      <w:pPr>
        <w:spacing w:before="196" w:line="484" w:lineRule="exact"/>
        <w:ind w:right="40"/>
        <w:jc w:val="right"/>
        <w:rPr>
          <w:rFonts w:ascii="宋体" w:hAnsi="宋体" w:eastAsia="宋体" w:cs="宋体"/>
          <w:sz w:val="24"/>
          <w:szCs w:val="24"/>
        </w:rPr>
      </w:pPr>
      <w:r>
        <w:rPr>
          <w:rFonts w:ascii="宋体" w:hAnsi="宋体" w:eastAsia="宋体" w:cs="宋体"/>
          <w:spacing w:val="-3"/>
          <w:position w:val="18"/>
          <w:sz w:val="24"/>
          <w:szCs w:val="24"/>
        </w:rPr>
        <w:t xml:space="preserve">⑧岩屑堆放区岩屑罐周围设置围堰， 围堰高 </w:t>
      </w:r>
      <w:r>
        <w:rPr>
          <w:rFonts w:ascii="Times New Roman" w:hAnsi="Times New Roman" w:eastAsia="Times New Roman" w:cs="Times New Roman"/>
          <w:spacing w:val="-3"/>
          <w:position w:val="18"/>
          <w:sz w:val="24"/>
          <w:szCs w:val="24"/>
        </w:rPr>
        <w:t>0.3m</w:t>
      </w:r>
      <w:r>
        <w:rPr>
          <w:rFonts w:ascii="宋体" w:hAnsi="宋体" w:eastAsia="宋体" w:cs="宋体"/>
          <w:spacing w:val="-3"/>
          <w:position w:val="18"/>
          <w:sz w:val="24"/>
          <w:szCs w:val="24"/>
        </w:rPr>
        <w:t>，应满足收</w:t>
      </w:r>
      <w:r>
        <w:rPr>
          <w:rFonts w:ascii="宋体" w:hAnsi="宋体" w:eastAsia="宋体" w:cs="宋体"/>
          <w:spacing w:val="-4"/>
          <w:position w:val="18"/>
          <w:sz w:val="24"/>
          <w:szCs w:val="24"/>
        </w:rPr>
        <w:t>集容积不低于</w:t>
      </w:r>
    </w:p>
    <w:p>
      <w:pPr>
        <w:spacing w:before="1" w:line="208" w:lineRule="auto"/>
        <w:ind w:left="33"/>
        <w:rPr>
          <w:rFonts w:ascii="宋体" w:hAnsi="宋体" w:eastAsia="宋体" w:cs="宋体"/>
          <w:sz w:val="24"/>
          <w:szCs w:val="24"/>
        </w:rPr>
      </w:pPr>
      <w:r>
        <w:rPr>
          <w:rFonts w:ascii="Times New Roman" w:hAnsi="Times New Roman" w:eastAsia="Times New Roman" w:cs="Times New Roman"/>
          <w:spacing w:val="-1"/>
          <w:position w:val="-1"/>
          <w:sz w:val="24"/>
          <w:szCs w:val="24"/>
        </w:rPr>
        <w:t>20m</w:t>
      </w:r>
      <w:r>
        <w:rPr>
          <w:rFonts w:ascii="Times New Roman" w:hAnsi="Times New Roman" w:eastAsia="Times New Roman" w:cs="Times New Roman"/>
          <w:spacing w:val="-1"/>
          <w:position w:val="7"/>
          <w:sz w:val="16"/>
          <w:szCs w:val="16"/>
        </w:rPr>
        <w:t>3</w:t>
      </w:r>
      <w:r>
        <w:rPr>
          <w:rFonts w:ascii="宋体" w:hAnsi="宋体" w:eastAsia="宋体" w:cs="宋体"/>
          <w:spacing w:val="-1"/>
          <w:position w:val="-1"/>
          <w:sz w:val="24"/>
          <w:szCs w:val="24"/>
        </w:rPr>
        <w:t>。</w:t>
      </w:r>
    </w:p>
    <w:p>
      <w:pPr>
        <w:spacing w:before="205" w:line="217" w:lineRule="auto"/>
        <w:ind w:left="516"/>
        <w:rPr>
          <w:rFonts w:ascii="宋体" w:hAnsi="宋体" w:eastAsia="宋体" w:cs="宋体"/>
          <w:sz w:val="24"/>
          <w:szCs w:val="24"/>
        </w:rPr>
      </w:pPr>
      <w:r>
        <w:rPr>
          <w:rFonts w:ascii="宋体" w:hAnsi="宋体" w:eastAsia="宋体" w:cs="宋体"/>
          <w:spacing w:val="-1"/>
          <w:sz w:val="24"/>
          <w:szCs w:val="24"/>
        </w:rPr>
        <w:t>⑨在材料区白油原料桶置于托盘内，单个托盘有效收集容积不低于</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2"/>
          <w:position w:val="9"/>
          <w:sz w:val="16"/>
          <w:szCs w:val="16"/>
        </w:rPr>
        <w:t>3</w:t>
      </w:r>
      <w:r>
        <w:rPr>
          <w:rFonts w:ascii="宋体" w:hAnsi="宋体" w:eastAsia="宋体" w:cs="宋体"/>
          <w:spacing w:val="-2"/>
          <w:sz w:val="24"/>
          <w:szCs w:val="24"/>
        </w:rPr>
        <w:t>。</w:t>
      </w:r>
    </w:p>
    <w:p>
      <w:pPr>
        <w:spacing w:before="198" w:line="480" w:lineRule="exact"/>
        <w:ind w:left="37"/>
        <w:rPr>
          <w:rFonts w:ascii="宋体" w:hAnsi="宋体" w:eastAsia="宋体" w:cs="宋体"/>
          <w:sz w:val="24"/>
          <w:szCs w:val="24"/>
        </w:rPr>
      </w:pPr>
      <w:r>
        <w:rPr>
          <w:rFonts w:ascii="Times New Roman" w:hAnsi="Times New Roman" w:eastAsia="Times New Roman" w:cs="Times New Roman"/>
          <w:b/>
          <w:bCs/>
          <w:position w:val="18"/>
          <w:sz w:val="24"/>
          <w:szCs w:val="24"/>
        </w:rPr>
        <w:t xml:space="preserve">6.2.5 </w:t>
      </w:r>
      <w:r>
        <w:rPr>
          <w:rFonts w:ascii="宋体" w:hAnsi="宋体" w:eastAsia="宋体" w:cs="宋体"/>
          <w:position w:val="18"/>
          <w:sz w:val="24"/>
          <w:szCs w:val="24"/>
          <w14:textOutline w14:w="4354" w14:cap="flat" w14:cmpd="sng">
            <w14:solidFill>
              <w14:srgbClr w14:val="000000"/>
            </w14:solidFill>
            <w14:prstDash w14:val="solid"/>
            <w14:miter w14:val="10"/>
          </w14:textOutline>
        </w:rPr>
        <w:t>盐酸使用和储运过程环境风险防范措施</w:t>
      </w:r>
    </w:p>
    <w:p>
      <w:pPr>
        <w:spacing w:line="219"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rFonts w:ascii="宋体" w:hAnsi="宋体" w:eastAsia="宋体" w:cs="宋体"/>
          <w:spacing w:val="-1"/>
          <w:sz w:val="24"/>
          <w:szCs w:val="24"/>
          <w14:textOutline w14:w="4354" w14:cap="flat" w14:cmpd="sng">
            <w14:solidFill>
              <w14:srgbClr w14:val="000000"/>
            </w14:solidFill>
            <w14:prstDash w14:val="solid"/>
            <w14:miter w14:val="10"/>
          </w14:textOutline>
        </w:rPr>
        <w:t>）使用及储存过程</w:t>
      </w:r>
    </w:p>
    <w:p>
      <w:pPr>
        <w:spacing w:before="195" w:line="480" w:lineRule="exact"/>
        <w:ind w:right="29"/>
        <w:jc w:val="right"/>
        <w:rPr>
          <w:rFonts w:ascii="宋体" w:hAnsi="宋体" w:eastAsia="宋体" w:cs="宋体"/>
          <w:sz w:val="24"/>
          <w:szCs w:val="24"/>
        </w:rPr>
      </w:pPr>
      <w:r>
        <w:rPr>
          <w:rFonts w:ascii="宋体" w:hAnsi="宋体" w:eastAsia="宋体" w:cs="宋体"/>
          <w:spacing w:val="-8"/>
          <w:position w:val="17"/>
          <w:sz w:val="24"/>
          <w:szCs w:val="24"/>
        </w:rPr>
        <w:t>①本项目酸化用酸主要成分为盐酸（</w:t>
      </w:r>
      <w:r>
        <w:rPr>
          <w:rFonts w:ascii="Times New Roman" w:hAnsi="Times New Roman" w:eastAsia="Times New Roman" w:cs="Times New Roman"/>
          <w:spacing w:val="-8"/>
          <w:position w:val="17"/>
          <w:sz w:val="24"/>
          <w:szCs w:val="24"/>
        </w:rPr>
        <w:t>7%</w:t>
      </w:r>
      <w:r>
        <w:rPr>
          <w:rFonts w:ascii="宋体" w:hAnsi="宋体" w:eastAsia="宋体" w:cs="宋体"/>
          <w:spacing w:val="-59"/>
          <w:position w:val="17"/>
          <w:sz w:val="24"/>
          <w:szCs w:val="24"/>
        </w:rPr>
        <w:t>），</w:t>
      </w:r>
      <w:r>
        <w:rPr>
          <w:rFonts w:ascii="宋体" w:hAnsi="宋体" w:eastAsia="宋体" w:cs="宋体"/>
          <w:spacing w:val="-8"/>
          <w:position w:val="17"/>
          <w:sz w:val="24"/>
          <w:szCs w:val="24"/>
        </w:rPr>
        <w:t>在钻至目的层位后，</w:t>
      </w:r>
      <w:r>
        <w:rPr>
          <w:rFonts w:ascii="宋体" w:hAnsi="宋体" w:eastAsia="宋体" w:cs="宋体"/>
          <w:spacing w:val="76"/>
          <w:position w:val="17"/>
          <w:sz w:val="24"/>
          <w:szCs w:val="24"/>
        </w:rPr>
        <w:t xml:space="preserve"> </w:t>
      </w:r>
      <w:r>
        <w:rPr>
          <w:rFonts w:ascii="宋体" w:hAnsi="宋体" w:eastAsia="宋体" w:cs="宋体"/>
          <w:spacing w:val="-8"/>
          <w:position w:val="17"/>
          <w:sz w:val="24"/>
          <w:szCs w:val="24"/>
        </w:rPr>
        <w:t>由专业运输</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车辆（玻璃钢罐车）将成品酸化用酸拉运至现场使用，不在现场配置。</w:t>
      </w:r>
    </w:p>
    <w:p>
      <w:pPr>
        <w:spacing w:before="194" w:line="480" w:lineRule="exact"/>
        <w:ind w:right="33"/>
        <w:jc w:val="right"/>
        <w:rPr>
          <w:rFonts w:ascii="宋体" w:hAnsi="宋体" w:eastAsia="宋体" w:cs="宋体"/>
          <w:sz w:val="24"/>
          <w:szCs w:val="24"/>
        </w:rPr>
      </w:pPr>
      <w:r>
        <w:rPr>
          <w:rFonts w:ascii="宋体" w:hAnsi="宋体" w:eastAsia="宋体" w:cs="宋体"/>
          <w:spacing w:val="-3"/>
          <w:position w:val="18"/>
          <w:sz w:val="24"/>
          <w:szCs w:val="24"/>
        </w:rPr>
        <w:t>②完钻洗井前井场内设置</w:t>
      </w:r>
      <w:r>
        <w:rPr>
          <w:rFonts w:ascii="宋体" w:hAnsi="宋体" w:eastAsia="宋体" w:cs="宋体"/>
          <w:spacing w:val="-53"/>
          <w:position w:val="18"/>
          <w:sz w:val="24"/>
          <w:szCs w:val="24"/>
        </w:rPr>
        <w:t xml:space="preserve"> </w:t>
      </w:r>
      <w:r>
        <w:rPr>
          <w:rFonts w:ascii="Times New Roman" w:hAnsi="Times New Roman" w:eastAsia="Times New Roman" w:cs="Times New Roman"/>
          <w:spacing w:val="-3"/>
          <w:position w:val="18"/>
          <w:sz w:val="24"/>
          <w:szCs w:val="24"/>
        </w:rPr>
        <w:t xml:space="preserve">2 </w:t>
      </w:r>
      <w:r>
        <w:rPr>
          <w:rFonts w:ascii="宋体" w:hAnsi="宋体" w:eastAsia="宋体" w:cs="宋体"/>
          <w:spacing w:val="-3"/>
          <w:position w:val="18"/>
          <w:sz w:val="24"/>
          <w:szCs w:val="24"/>
        </w:rPr>
        <w:t>座玻璃钢酸罐（单座有效容积</w:t>
      </w:r>
      <w:r>
        <w:rPr>
          <w:rFonts w:ascii="宋体" w:hAnsi="宋体" w:eastAsia="宋体" w:cs="宋体"/>
          <w:spacing w:val="-33"/>
          <w:position w:val="18"/>
          <w:sz w:val="24"/>
          <w:szCs w:val="24"/>
        </w:rPr>
        <w:t xml:space="preserve"> </w:t>
      </w:r>
      <w:r>
        <w:rPr>
          <w:rFonts w:ascii="Times New Roman" w:hAnsi="Times New Roman" w:eastAsia="Times New Roman" w:cs="Times New Roman"/>
          <w:spacing w:val="-3"/>
          <w:position w:val="18"/>
          <w:sz w:val="24"/>
          <w:szCs w:val="24"/>
        </w:rPr>
        <w:t>50m</w:t>
      </w:r>
      <w:r>
        <w:rPr>
          <w:rFonts w:ascii="Times New Roman" w:hAnsi="Times New Roman" w:eastAsia="Times New Roman" w:cs="Times New Roman"/>
          <w:spacing w:val="-3"/>
          <w:position w:val="27"/>
          <w:sz w:val="16"/>
          <w:szCs w:val="16"/>
        </w:rPr>
        <w:t>3</w:t>
      </w:r>
      <w:r>
        <w:rPr>
          <w:rFonts w:ascii="宋体" w:hAnsi="宋体" w:eastAsia="宋体" w:cs="宋体"/>
          <w:spacing w:val="-60"/>
          <w:position w:val="18"/>
          <w:sz w:val="24"/>
          <w:szCs w:val="24"/>
        </w:rPr>
        <w:t>），</w:t>
      </w:r>
      <w:r>
        <w:rPr>
          <w:rFonts w:ascii="宋体" w:hAnsi="宋体" w:eastAsia="宋体" w:cs="宋体"/>
          <w:spacing w:val="-3"/>
          <w:position w:val="18"/>
          <w:sz w:val="24"/>
          <w:szCs w:val="24"/>
        </w:rPr>
        <w:t>现场最大</w:t>
      </w:r>
    </w:p>
    <w:p>
      <w:pPr>
        <w:spacing w:before="1" w:line="218" w:lineRule="auto"/>
        <w:ind w:left="39"/>
        <w:rPr>
          <w:rFonts w:ascii="宋体" w:hAnsi="宋体" w:eastAsia="宋体" w:cs="宋体"/>
          <w:sz w:val="24"/>
          <w:szCs w:val="24"/>
        </w:rPr>
      </w:pPr>
      <w:r>
        <w:rPr>
          <w:rFonts w:ascii="宋体" w:hAnsi="宋体" w:eastAsia="宋体" w:cs="宋体"/>
          <w:spacing w:val="-7"/>
          <w:sz w:val="24"/>
          <w:szCs w:val="24"/>
        </w:rPr>
        <w:t>贮存量不超</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100m</w:t>
      </w:r>
      <w:r>
        <w:rPr>
          <w:rFonts w:ascii="Times New Roman" w:hAnsi="Times New Roman" w:eastAsia="Times New Roman" w:cs="Times New Roman"/>
          <w:spacing w:val="-7"/>
          <w:position w:val="9"/>
          <w:sz w:val="16"/>
          <w:szCs w:val="16"/>
        </w:rPr>
        <w:t>3</w:t>
      </w:r>
      <w:r>
        <w:rPr>
          <w:rFonts w:ascii="宋体" w:hAnsi="宋体" w:eastAsia="宋体" w:cs="宋体"/>
          <w:spacing w:val="-7"/>
          <w:sz w:val="24"/>
          <w:szCs w:val="24"/>
        </w:rPr>
        <w:t>。罐区四周采</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C20</w:t>
      </w:r>
      <w:r>
        <w:rPr>
          <w:rFonts w:ascii="Times New Roman" w:hAnsi="Times New Roman" w:eastAsia="Times New Roman" w:cs="Times New Roman"/>
          <w:spacing w:val="12"/>
          <w:sz w:val="24"/>
          <w:szCs w:val="24"/>
        </w:rPr>
        <w:t xml:space="preserve"> </w:t>
      </w:r>
      <w:r>
        <w:rPr>
          <w:rFonts w:ascii="宋体" w:hAnsi="宋体" w:eastAsia="宋体" w:cs="宋体"/>
          <w:spacing w:val="-7"/>
          <w:sz w:val="24"/>
          <w:szCs w:val="24"/>
        </w:rPr>
        <w:t>混凝土设置围堰， 正常情况下应保证应</w:t>
      </w:r>
      <w:r>
        <w:rPr>
          <w:rFonts w:ascii="宋体" w:hAnsi="宋体" w:eastAsia="宋体" w:cs="宋体"/>
          <w:spacing w:val="-8"/>
          <w:sz w:val="24"/>
          <w:szCs w:val="24"/>
        </w:rPr>
        <w:t>急池</w:t>
      </w:r>
    </w:p>
    <w:p>
      <w:pPr>
        <w:spacing w:before="195" w:line="220" w:lineRule="auto"/>
        <w:ind w:left="39"/>
        <w:rPr>
          <w:rFonts w:ascii="宋体" w:hAnsi="宋体" w:eastAsia="宋体" w:cs="宋体"/>
          <w:sz w:val="24"/>
          <w:szCs w:val="24"/>
        </w:rPr>
      </w:pPr>
      <w:r>
        <w:rPr>
          <w:rFonts w:ascii="宋体" w:hAnsi="宋体" w:eastAsia="宋体" w:cs="宋体"/>
          <w:spacing w:val="-2"/>
          <w:sz w:val="24"/>
          <w:szCs w:val="24"/>
        </w:rPr>
        <w:t>有足够的容积，确保事故时能将泄漏的盐酸导流至应急池。</w:t>
      </w:r>
    </w:p>
    <w:p>
      <w:pPr>
        <w:spacing w:before="195" w:line="217" w:lineRule="auto"/>
        <w:ind w:left="516"/>
        <w:rPr>
          <w:rFonts w:ascii="宋体" w:hAnsi="宋体" w:eastAsia="宋体" w:cs="宋体"/>
          <w:sz w:val="24"/>
          <w:szCs w:val="24"/>
        </w:rPr>
      </w:pPr>
      <w:r>
        <w:rPr>
          <w:rFonts w:ascii="宋体" w:hAnsi="宋体" w:eastAsia="宋体" w:cs="宋体"/>
          <w:spacing w:val="-2"/>
          <w:sz w:val="24"/>
          <w:szCs w:val="24"/>
        </w:rPr>
        <w:t>③盐酸罐区围堰内地坪采用混凝土地坪，并进行防渗漏处理。</w:t>
      </w:r>
    </w:p>
    <w:p>
      <w:pPr>
        <w:spacing w:before="198" w:line="480" w:lineRule="exact"/>
        <w:ind w:left="516"/>
        <w:rPr>
          <w:rFonts w:ascii="宋体" w:hAnsi="宋体" w:eastAsia="宋体" w:cs="宋体"/>
          <w:sz w:val="24"/>
          <w:szCs w:val="24"/>
        </w:rPr>
      </w:pPr>
      <w:r>
        <w:rPr>
          <w:rFonts w:ascii="宋体" w:hAnsi="宋体" w:eastAsia="宋体" w:cs="宋体"/>
          <w:spacing w:val="-1"/>
          <w:position w:val="18"/>
          <w:sz w:val="24"/>
          <w:szCs w:val="24"/>
        </w:rPr>
        <w:t>④加强盐酸罐及管道连接处的维护保养，避免</w:t>
      </w:r>
      <w:r>
        <w:rPr>
          <w:rFonts w:ascii="宋体" w:hAnsi="宋体" w:eastAsia="宋体" w:cs="宋体"/>
          <w:spacing w:val="-2"/>
          <w:position w:val="18"/>
          <w:sz w:val="24"/>
          <w:szCs w:val="24"/>
        </w:rPr>
        <w:t>盐酸罐泄漏事件的发生。</w:t>
      </w:r>
    </w:p>
    <w:p>
      <w:pPr>
        <w:spacing w:before="1" w:line="217" w:lineRule="auto"/>
        <w:ind w:left="516"/>
        <w:rPr>
          <w:rFonts w:ascii="宋体" w:hAnsi="宋体" w:eastAsia="宋体" w:cs="宋体"/>
          <w:sz w:val="24"/>
          <w:szCs w:val="24"/>
        </w:rPr>
      </w:pPr>
      <w:r>
        <w:rPr>
          <w:rFonts w:ascii="宋体" w:hAnsi="宋体" w:eastAsia="宋体" w:cs="宋体"/>
          <w:spacing w:val="-2"/>
          <w:sz w:val="24"/>
          <w:szCs w:val="24"/>
        </w:rPr>
        <w:t>⑤加强员工风险防范意识教育，严格按操作规程操作。</w:t>
      </w:r>
    </w:p>
    <w:p>
      <w:pPr>
        <w:spacing w:before="197" w:line="220" w:lineRule="auto"/>
        <w:ind w:left="526"/>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3"/>
          <w:sz w:val="24"/>
          <w:szCs w:val="24"/>
        </w:rPr>
        <w:t>2</w:t>
      </w:r>
      <w:r>
        <w:rPr>
          <w:rFonts w:ascii="宋体" w:hAnsi="宋体" w:eastAsia="宋体" w:cs="宋体"/>
          <w:spacing w:val="-3"/>
          <w:sz w:val="24"/>
          <w:szCs w:val="24"/>
          <w14:textOutline w14:w="4354" w14:cap="flat" w14:cmpd="sng">
            <w14:solidFill>
              <w14:srgbClr w14:val="000000"/>
            </w14:solidFill>
            <w14:prstDash w14:val="solid"/>
            <w14:miter w14:val="10"/>
          </w14:textOutline>
        </w:rPr>
        <w:t>）运输过程</w:t>
      </w:r>
    </w:p>
    <w:p>
      <w:pPr>
        <w:spacing w:before="194" w:line="480" w:lineRule="exact"/>
        <w:ind w:right="38"/>
        <w:jc w:val="right"/>
        <w:rPr>
          <w:rFonts w:ascii="宋体" w:hAnsi="宋体" w:eastAsia="宋体" w:cs="宋体"/>
          <w:sz w:val="24"/>
          <w:szCs w:val="24"/>
        </w:rPr>
      </w:pPr>
      <w:r>
        <w:rPr>
          <w:rFonts w:ascii="宋体" w:hAnsi="宋体" w:eastAsia="宋体" w:cs="宋体"/>
          <w:spacing w:val="-17"/>
          <w:position w:val="18"/>
          <w:sz w:val="24"/>
          <w:szCs w:val="24"/>
        </w:rPr>
        <w:t>①运输按照《道路危险货物运输管理规定》《汽车运输危险货物规则》《汽</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 xml:space="preserve">车运输装卸危险货物作业流程》执行，采用具有 </w:t>
      </w:r>
      <w:r>
        <w:rPr>
          <w:rFonts w:ascii="Times New Roman" w:hAnsi="Times New Roman" w:eastAsia="Times New Roman" w:cs="Times New Roman"/>
          <w:spacing w:val="-2"/>
          <w:sz w:val="24"/>
          <w:szCs w:val="24"/>
        </w:rPr>
        <w:t xml:space="preserve">GPS  </w:t>
      </w:r>
      <w:r>
        <w:rPr>
          <w:rFonts w:ascii="宋体" w:hAnsi="宋体" w:eastAsia="宋体" w:cs="宋体"/>
          <w:spacing w:val="-2"/>
          <w:sz w:val="24"/>
          <w:szCs w:val="24"/>
        </w:rPr>
        <w:t>的车辆，并按照规定的路</w:t>
      </w:r>
    </w:p>
    <w:p>
      <w:pPr>
        <w:spacing w:line="218" w:lineRule="auto"/>
        <w:rPr>
          <w:rFonts w:ascii="宋体" w:hAnsi="宋体" w:eastAsia="宋体" w:cs="宋体"/>
          <w:sz w:val="24"/>
          <w:szCs w:val="24"/>
        </w:rPr>
        <w:sectPr>
          <w:headerReference r:id="rId271" w:type="default"/>
          <w:footerReference r:id="rId272" w:type="default"/>
          <w:pgSz w:w="11907" w:h="16839"/>
          <w:pgMar w:top="1123" w:right="1766" w:bottom="1149" w:left="1769" w:header="1108" w:footer="988" w:gutter="0"/>
          <w:cols w:space="720" w:num="1"/>
        </w:sectPr>
      </w:pPr>
    </w:p>
    <w:p>
      <w:pPr>
        <w:pStyle w:val="2"/>
        <w:spacing w:line="414" w:lineRule="auto"/>
        <w:rPr>
          <w:sz w:val="21"/>
        </w:rPr>
      </w:pPr>
    </w:p>
    <w:p>
      <w:pPr>
        <w:spacing w:before="78" w:line="480" w:lineRule="exact"/>
        <w:ind w:left="41"/>
        <w:rPr>
          <w:rFonts w:ascii="宋体" w:hAnsi="宋体" w:eastAsia="宋体" w:cs="宋体"/>
          <w:sz w:val="24"/>
          <w:szCs w:val="24"/>
        </w:rPr>
      </w:pPr>
      <w:r>
        <w:rPr>
          <w:rFonts w:ascii="宋体" w:hAnsi="宋体" w:eastAsia="宋体" w:cs="宋体"/>
          <w:spacing w:val="-11"/>
          <w:position w:val="18"/>
          <w:sz w:val="24"/>
          <w:szCs w:val="24"/>
        </w:rPr>
        <w:t>线行驶； 运输车辆按照《道路运输危险货物车辆标志》设置车辆标志，</w:t>
      </w:r>
      <w:r>
        <w:rPr>
          <w:rFonts w:ascii="宋体" w:hAnsi="宋体" w:eastAsia="宋体" w:cs="宋体"/>
          <w:spacing w:val="59"/>
          <w:position w:val="18"/>
          <w:sz w:val="24"/>
          <w:szCs w:val="24"/>
        </w:rPr>
        <w:t xml:space="preserve"> </w:t>
      </w:r>
      <w:r>
        <w:rPr>
          <w:rFonts w:ascii="宋体" w:hAnsi="宋体" w:eastAsia="宋体" w:cs="宋体"/>
          <w:spacing w:val="-11"/>
          <w:position w:val="18"/>
          <w:sz w:val="24"/>
          <w:szCs w:val="24"/>
        </w:rPr>
        <w:t>危险货物</w:t>
      </w:r>
    </w:p>
    <w:p>
      <w:pPr>
        <w:spacing w:line="220" w:lineRule="auto"/>
        <w:ind w:left="38"/>
        <w:rPr>
          <w:rFonts w:ascii="宋体" w:hAnsi="宋体" w:eastAsia="宋体" w:cs="宋体"/>
          <w:sz w:val="24"/>
          <w:szCs w:val="24"/>
        </w:rPr>
      </w:pPr>
      <w:r>
        <w:rPr>
          <w:rFonts w:ascii="宋体" w:hAnsi="宋体" w:eastAsia="宋体" w:cs="宋体"/>
          <w:spacing w:val="-5"/>
          <w:sz w:val="24"/>
          <w:szCs w:val="24"/>
        </w:rPr>
        <w:t>包装上设置标志。</w:t>
      </w:r>
    </w:p>
    <w:p>
      <w:pPr>
        <w:spacing w:before="194" w:line="217" w:lineRule="auto"/>
        <w:ind w:left="516"/>
        <w:rPr>
          <w:rFonts w:ascii="宋体" w:hAnsi="宋体" w:eastAsia="宋体" w:cs="宋体"/>
          <w:sz w:val="24"/>
          <w:szCs w:val="24"/>
        </w:rPr>
      </w:pPr>
      <w:r>
        <w:rPr>
          <w:rFonts w:ascii="宋体" w:hAnsi="宋体" w:eastAsia="宋体" w:cs="宋体"/>
          <w:spacing w:val="-2"/>
          <w:sz w:val="24"/>
          <w:szCs w:val="24"/>
        </w:rPr>
        <w:t>②转运过程做好转运台账，严格实施转运联单制。</w:t>
      </w:r>
    </w:p>
    <w:p>
      <w:pPr>
        <w:spacing w:before="197" w:line="480" w:lineRule="exact"/>
        <w:ind w:right="64"/>
        <w:jc w:val="right"/>
        <w:rPr>
          <w:rFonts w:ascii="宋体" w:hAnsi="宋体" w:eastAsia="宋体" w:cs="宋体"/>
          <w:sz w:val="24"/>
          <w:szCs w:val="24"/>
        </w:rPr>
      </w:pPr>
      <w:r>
        <w:rPr>
          <w:rFonts w:ascii="宋体" w:hAnsi="宋体" w:eastAsia="宋体" w:cs="宋体"/>
          <w:spacing w:val="-15"/>
          <w:position w:val="18"/>
          <w:sz w:val="24"/>
          <w:szCs w:val="24"/>
        </w:rPr>
        <w:t>③加强盐酸罐车装载量管理，</w:t>
      </w:r>
      <w:r>
        <w:rPr>
          <w:rFonts w:ascii="宋体" w:hAnsi="宋体" w:eastAsia="宋体" w:cs="宋体"/>
          <w:spacing w:val="-35"/>
          <w:position w:val="18"/>
          <w:sz w:val="24"/>
          <w:szCs w:val="24"/>
        </w:rPr>
        <w:t xml:space="preserve"> </w:t>
      </w:r>
      <w:r>
        <w:rPr>
          <w:rFonts w:ascii="宋体" w:hAnsi="宋体" w:eastAsia="宋体" w:cs="宋体"/>
          <w:spacing w:val="-15"/>
          <w:position w:val="18"/>
          <w:sz w:val="24"/>
          <w:szCs w:val="24"/>
        </w:rPr>
        <w:t>严禁超载，采取防渗措施，</w:t>
      </w:r>
      <w:r>
        <w:rPr>
          <w:rFonts w:ascii="宋体" w:hAnsi="宋体" w:eastAsia="宋体" w:cs="宋体"/>
          <w:spacing w:val="-67"/>
          <w:position w:val="18"/>
          <w:sz w:val="24"/>
          <w:szCs w:val="24"/>
        </w:rPr>
        <w:t xml:space="preserve"> </w:t>
      </w:r>
      <w:r>
        <w:rPr>
          <w:rFonts w:ascii="宋体" w:hAnsi="宋体" w:eastAsia="宋体" w:cs="宋体"/>
          <w:spacing w:val="-15"/>
          <w:position w:val="18"/>
          <w:sz w:val="24"/>
          <w:szCs w:val="24"/>
        </w:rPr>
        <w:t>同时覆盖防雨篷布，</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应采用货箱完好的车辆，保证运输过程中无抛洒。</w:t>
      </w:r>
    </w:p>
    <w:p>
      <w:pPr>
        <w:spacing w:before="196" w:line="369" w:lineRule="auto"/>
        <w:ind w:left="38" w:right="27" w:firstLine="478"/>
        <w:rPr>
          <w:rFonts w:ascii="宋体" w:hAnsi="宋体" w:eastAsia="宋体" w:cs="宋体"/>
          <w:sz w:val="24"/>
          <w:szCs w:val="24"/>
        </w:rPr>
      </w:pPr>
      <w:r>
        <w:rPr>
          <w:rFonts w:ascii="宋体" w:hAnsi="宋体" w:eastAsia="宋体" w:cs="宋体"/>
          <w:spacing w:val="-11"/>
          <w:sz w:val="24"/>
          <w:szCs w:val="24"/>
        </w:rPr>
        <w:t>④加强对盐酸罐车司机的安全教育，</w:t>
      </w:r>
      <w:r>
        <w:rPr>
          <w:rFonts w:ascii="宋体" w:hAnsi="宋体" w:eastAsia="宋体" w:cs="宋体"/>
          <w:spacing w:val="39"/>
          <w:sz w:val="24"/>
          <w:szCs w:val="24"/>
        </w:rPr>
        <w:t xml:space="preserve"> </w:t>
      </w:r>
      <w:r>
        <w:rPr>
          <w:rFonts w:ascii="宋体" w:hAnsi="宋体" w:eastAsia="宋体" w:cs="宋体"/>
          <w:spacing w:val="-11"/>
          <w:sz w:val="24"/>
          <w:szCs w:val="24"/>
        </w:rPr>
        <w:t>定期对罐车进行安全检查， 严格遵守交</w:t>
      </w:r>
      <w:r>
        <w:rPr>
          <w:rFonts w:ascii="宋体" w:hAnsi="宋体" w:eastAsia="宋体" w:cs="宋体"/>
          <w:sz w:val="24"/>
          <w:szCs w:val="24"/>
        </w:rPr>
        <w:t xml:space="preserve"> </w:t>
      </w:r>
      <w:r>
        <w:rPr>
          <w:rFonts w:ascii="宋体" w:hAnsi="宋体" w:eastAsia="宋体" w:cs="宋体"/>
          <w:spacing w:val="-10"/>
          <w:sz w:val="24"/>
          <w:szCs w:val="24"/>
        </w:rPr>
        <w:t>通规则， 避免交通事故发生。加强对除驾驶员外的其</w:t>
      </w:r>
      <w:r>
        <w:rPr>
          <w:rFonts w:ascii="宋体" w:hAnsi="宋体" w:eastAsia="宋体" w:cs="宋体"/>
          <w:spacing w:val="-11"/>
          <w:sz w:val="24"/>
          <w:szCs w:val="24"/>
        </w:rPr>
        <w:t>他拉运工作人员管理，</w:t>
      </w:r>
      <w:r>
        <w:rPr>
          <w:rFonts w:ascii="宋体" w:hAnsi="宋体" w:eastAsia="宋体" w:cs="宋体"/>
          <w:spacing w:val="35"/>
          <w:sz w:val="24"/>
          <w:szCs w:val="24"/>
        </w:rPr>
        <w:t xml:space="preserve"> </w:t>
      </w:r>
      <w:r>
        <w:rPr>
          <w:rFonts w:ascii="宋体" w:hAnsi="宋体" w:eastAsia="宋体" w:cs="宋体"/>
          <w:spacing w:val="-11"/>
          <w:sz w:val="24"/>
          <w:szCs w:val="24"/>
        </w:rPr>
        <w:t>要求</w:t>
      </w:r>
    </w:p>
    <w:p>
      <w:pPr>
        <w:spacing w:line="219" w:lineRule="auto"/>
        <w:ind w:left="38"/>
        <w:rPr>
          <w:rFonts w:ascii="宋体" w:hAnsi="宋体" w:eastAsia="宋体" w:cs="宋体"/>
          <w:sz w:val="24"/>
          <w:szCs w:val="24"/>
        </w:rPr>
      </w:pPr>
      <w:r>
        <w:rPr>
          <w:rFonts w:ascii="宋体" w:hAnsi="宋体" w:eastAsia="宋体" w:cs="宋体"/>
          <w:spacing w:val="-2"/>
          <w:sz w:val="24"/>
          <w:szCs w:val="24"/>
        </w:rPr>
        <w:t>运输人员技术过硬、经验丰富、工作认真负</w:t>
      </w:r>
      <w:r>
        <w:rPr>
          <w:rFonts w:ascii="宋体" w:hAnsi="宋体" w:eastAsia="宋体" w:cs="宋体"/>
          <w:spacing w:val="-3"/>
          <w:sz w:val="24"/>
          <w:szCs w:val="24"/>
        </w:rPr>
        <w:t>责。</w:t>
      </w:r>
    </w:p>
    <w:p>
      <w:pPr>
        <w:spacing w:before="195" w:line="220" w:lineRule="auto"/>
        <w:ind w:left="37"/>
        <w:rPr>
          <w:rFonts w:ascii="宋体" w:hAnsi="宋体" w:eastAsia="宋体" w:cs="宋体"/>
          <w:sz w:val="24"/>
          <w:szCs w:val="24"/>
        </w:rPr>
      </w:pPr>
      <w:r>
        <w:rPr>
          <w:rFonts w:ascii="Times New Roman" w:hAnsi="Times New Roman" w:eastAsia="Times New Roman" w:cs="Times New Roman"/>
          <w:b/>
          <w:bCs/>
          <w:sz w:val="24"/>
          <w:szCs w:val="24"/>
        </w:rPr>
        <w:t xml:space="preserve">6.2.6 </w:t>
      </w:r>
      <w:r>
        <w:rPr>
          <w:rFonts w:ascii="宋体" w:hAnsi="宋体" w:eastAsia="宋体" w:cs="宋体"/>
          <w:sz w:val="24"/>
          <w:szCs w:val="24"/>
          <w14:textOutline w14:w="4354" w14:cap="flat" w14:cmpd="sng">
            <w14:solidFill>
              <w14:srgbClr w14:val="000000"/>
            </w14:solidFill>
            <w14:prstDash w14:val="solid"/>
            <w14:miter w14:val="10"/>
          </w14:textOutline>
        </w:rPr>
        <w:t>测试放喷环境风险防范措施</w:t>
      </w:r>
    </w:p>
    <w:p>
      <w:pPr>
        <w:spacing w:before="195" w:line="369" w:lineRule="auto"/>
        <w:ind w:left="36" w:right="27" w:firstLine="486"/>
        <w:jc w:val="both"/>
        <w:rPr>
          <w:rFonts w:ascii="宋体" w:hAnsi="宋体" w:eastAsia="宋体" w:cs="宋体"/>
          <w:sz w:val="24"/>
          <w:szCs w:val="24"/>
        </w:rPr>
      </w:pPr>
      <w:r>
        <w:rPr>
          <w:rFonts w:ascii="宋体" w:hAnsi="宋体" w:eastAsia="宋体" w:cs="宋体"/>
          <w:spacing w:val="-10"/>
          <w:sz w:val="24"/>
          <w:szCs w:val="24"/>
        </w:rPr>
        <w:t>天然气测试放喷在专门的燃烧池中点火放喷， 燃烧池是由三面砖墙组成， 且</w:t>
      </w:r>
      <w:r>
        <w:rPr>
          <w:rFonts w:ascii="宋体" w:hAnsi="宋体" w:eastAsia="宋体" w:cs="宋体"/>
          <w:spacing w:val="8"/>
          <w:sz w:val="24"/>
          <w:szCs w:val="24"/>
        </w:rPr>
        <w:t xml:space="preserve"> </w:t>
      </w:r>
      <w:r>
        <w:rPr>
          <w:rFonts w:ascii="宋体" w:hAnsi="宋体" w:eastAsia="宋体" w:cs="宋体"/>
          <w:spacing w:val="-16"/>
          <w:sz w:val="24"/>
          <w:szCs w:val="24"/>
        </w:rPr>
        <w:t>燃烧池周围设置实体砖围墙，</w:t>
      </w:r>
      <w:r>
        <w:rPr>
          <w:rFonts w:ascii="宋体" w:hAnsi="宋体" w:eastAsia="宋体" w:cs="宋体"/>
          <w:spacing w:val="40"/>
          <w:sz w:val="24"/>
          <w:szCs w:val="24"/>
        </w:rPr>
        <w:t xml:space="preserve"> </w:t>
      </w:r>
      <w:r>
        <w:rPr>
          <w:rFonts w:ascii="宋体" w:hAnsi="宋体" w:eastAsia="宋体" w:cs="宋体"/>
          <w:spacing w:val="-16"/>
          <w:sz w:val="24"/>
          <w:szCs w:val="24"/>
        </w:rPr>
        <w:t>并周边设置有警戒线，</w:t>
      </w:r>
      <w:r>
        <w:rPr>
          <w:rFonts w:ascii="宋体" w:hAnsi="宋体" w:eastAsia="宋体" w:cs="宋体"/>
          <w:spacing w:val="35"/>
          <w:sz w:val="24"/>
          <w:szCs w:val="24"/>
        </w:rPr>
        <w:t xml:space="preserve"> </w:t>
      </w:r>
      <w:r>
        <w:rPr>
          <w:rFonts w:ascii="宋体" w:hAnsi="宋体" w:eastAsia="宋体" w:cs="宋体"/>
          <w:spacing w:val="-16"/>
          <w:sz w:val="24"/>
          <w:szCs w:val="24"/>
        </w:rPr>
        <w:t>严防不相</w:t>
      </w:r>
      <w:r>
        <w:rPr>
          <w:rFonts w:ascii="宋体" w:hAnsi="宋体" w:eastAsia="宋体" w:cs="宋体"/>
          <w:spacing w:val="-17"/>
          <w:sz w:val="24"/>
          <w:szCs w:val="24"/>
        </w:rPr>
        <w:t>关人员靠近，</w:t>
      </w:r>
      <w:r>
        <w:rPr>
          <w:rFonts w:ascii="宋体" w:hAnsi="宋体" w:eastAsia="宋体" w:cs="宋体"/>
          <w:spacing w:val="38"/>
          <w:sz w:val="24"/>
          <w:szCs w:val="24"/>
        </w:rPr>
        <w:t xml:space="preserve"> </w:t>
      </w:r>
      <w:r>
        <w:rPr>
          <w:rFonts w:ascii="宋体" w:hAnsi="宋体" w:eastAsia="宋体" w:cs="宋体"/>
          <w:spacing w:val="-17"/>
          <w:sz w:val="24"/>
          <w:szCs w:val="24"/>
        </w:rPr>
        <w:t>故热</w:t>
      </w:r>
      <w:r>
        <w:rPr>
          <w:rFonts w:ascii="宋体" w:hAnsi="宋体" w:eastAsia="宋体" w:cs="宋体"/>
          <w:sz w:val="24"/>
          <w:szCs w:val="24"/>
        </w:rPr>
        <w:t xml:space="preserve"> </w:t>
      </w:r>
      <w:r>
        <w:rPr>
          <w:rFonts w:ascii="宋体" w:hAnsi="宋体" w:eastAsia="宋体" w:cs="宋体"/>
          <w:spacing w:val="-6"/>
          <w:sz w:val="24"/>
          <w:szCs w:val="24"/>
        </w:rPr>
        <w:t>辐射对周边居民影响轻微，</w:t>
      </w:r>
      <w:r>
        <w:rPr>
          <w:rFonts w:ascii="宋体" w:hAnsi="宋体" w:eastAsia="宋体" w:cs="宋体"/>
          <w:spacing w:val="-8"/>
          <w:sz w:val="24"/>
          <w:szCs w:val="24"/>
        </w:rPr>
        <w:t xml:space="preserve"> </w:t>
      </w:r>
      <w:r>
        <w:rPr>
          <w:rFonts w:ascii="宋体" w:hAnsi="宋体" w:eastAsia="宋体" w:cs="宋体"/>
          <w:spacing w:val="-6"/>
          <w:sz w:val="24"/>
          <w:szCs w:val="24"/>
        </w:rPr>
        <w:t>事故状态下的放喷燃烧热辐射不会对周边居民产生健</w:t>
      </w:r>
      <w:r>
        <w:rPr>
          <w:rFonts w:ascii="宋体" w:hAnsi="宋体" w:eastAsia="宋体" w:cs="宋体"/>
          <w:sz w:val="24"/>
          <w:szCs w:val="24"/>
        </w:rPr>
        <w:t xml:space="preserve"> </w:t>
      </w:r>
      <w:r>
        <w:rPr>
          <w:rFonts w:ascii="宋体" w:hAnsi="宋体" w:eastAsia="宋体" w:cs="宋体"/>
          <w:spacing w:val="-6"/>
          <w:sz w:val="24"/>
          <w:szCs w:val="24"/>
        </w:rPr>
        <w:t>康危害影响。采用燃烧池放喷， 可以有效减小放喷天然气燃烧产生的热辐射对测</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试区周围的土壤和植被的灼伤。</w:t>
      </w:r>
    </w:p>
    <w:p>
      <w:pPr>
        <w:spacing w:before="194" w:line="220" w:lineRule="auto"/>
        <w:ind w:left="37"/>
        <w:rPr>
          <w:rFonts w:ascii="宋体" w:hAnsi="宋体" w:eastAsia="宋体" w:cs="宋体"/>
          <w:sz w:val="24"/>
          <w:szCs w:val="24"/>
        </w:rPr>
      </w:pPr>
      <w:r>
        <w:rPr>
          <w:rFonts w:ascii="Times New Roman" w:hAnsi="Times New Roman" w:eastAsia="Times New Roman" w:cs="Times New Roman"/>
          <w:b/>
          <w:bCs/>
          <w:sz w:val="24"/>
          <w:szCs w:val="24"/>
        </w:rPr>
        <w:t>6.2.7H</w:t>
      </w:r>
      <w:r>
        <w:rPr>
          <w:rFonts w:ascii="Times New Roman" w:hAnsi="Times New Roman" w:eastAsia="Times New Roman" w:cs="Times New Roman"/>
          <w:b/>
          <w:bCs/>
          <w:sz w:val="16"/>
          <w:szCs w:val="16"/>
        </w:rPr>
        <w:t>2</w:t>
      </w:r>
      <w:r>
        <w:rPr>
          <w:rFonts w:ascii="Times New Roman" w:hAnsi="Times New Roman" w:eastAsia="Times New Roman" w:cs="Times New Roman"/>
          <w:b/>
          <w:bCs/>
          <w:sz w:val="24"/>
          <w:szCs w:val="24"/>
        </w:rPr>
        <w:t xml:space="preserve">S </w:t>
      </w:r>
      <w:r>
        <w:rPr>
          <w:rFonts w:ascii="宋体" w:hAnsi="宋体" w:eastAsia="宋体" w:cs="宋体"/>
          <w:sz w:val="24"/>
          <w:szCs w:val="24"/>
          <w14:textOutline w14:w="4354" w14:cap="flat" w14:cmpd="sng">
            <w14:solidFill>
              <w14:srgbClr w14:val="000000"/>
            </w14:solidFill>
            <w14:prstDash w14:val="solid"/>
            <w14:miter w14:val="10"/>
          </w14:textOutline>
        </w:rPr>
        <w:t>扩散环境风险防范措施</w:t>
      </w:r>
    </w:p>
    <w:p>
      <w:pPr>
        <w:spacing w:before="196" w:line="369" w:lineRule="auto"/>
        <w:ind w:left="40" w:right="26" w:firstLine="478"/>
        <w:jc w:val="both"/>
        <w:rPr>
          <w:rFonts w:ascii="宋体" w:hAnsi="宋体" w:eastAsia="宋体" w:cs="宋体"/>
          <w:sz w:val="24"/>
          <w:szCs w:val="24"/>
        </w:rPr>
      </w:pPr>
      <w:r>
        <w:rPr>
          <w:rFonts w:ascii="宋体" w:hAnsi="宋体" w:eastAsia="宋体" w:cs="宋体"/>
          <w:spacing w:val="-6"/>
          <w:sz w:val="24"/>
          <w:szCs w:val="24"/>
        </w:rPr>
        <w:t>根据《含硫化氢天然气井公众安全防护距离》（</w:t>
      </w:r>
      <w:r>
        <w:rPr>
          <w:rFonts w:ascii="Times New Roman" w:hAnsi="Times New Roman" w:eastAsia="Times New Roman" w:cs="Times New Roman"/>
          <w:spacing w:val="-6"/>
          <w:sz w:val="24"/>
          <w:szCs w:val="24"/>
        </w:rPr>
        <w:t>AQ2018-2008</w:t>
      </w:r>
      <w:r>
        <w:rPr>
          <w:rFonts w:ascii="宋体" w:hAnsi="宋体" w:eastAsia="宋体" w:cs="宋体"/>
          <w:spacing w:val="-6"/>
          <w:sz w:val="24"/>
          <w:szCs w:val="24"/>
        </w:rPr>
        <w:t>）中第</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4.1 </w:t>
      </w:r>
      <w:r>
        <w:rPr>
          <w:rFonts w:ascii="宋体" w:hAnsi="宋体" w:eastAsia="宋体" w:cs="宋体"/>
          <w:spacing w:val="-6"/>
          <w:sz w:val="24"/>
          <w:szCs w:val="24"/>
        </w:rPr>
        <w:t>条规</w:t>
      </w:r>
      <w:r>
        <w:rPr>
          <w:rFonts w:ascii="宋体" w:hAnsi="宋体" w:eastAsia="宋体" w:cs="宋体"/>
          <w:sz w:val="24"/>
          <w:szCs w:val="24"/>
        </w:rPr>
        <w:t xml:space="preserve"> </w:t>
      </w:r>
      <w:r>
        <w:rPr>
          <w:rFonts w:ascii="宋体" w:hAnsi="宋体" w:eastAsia="宋体" w:cs="宋体"/>
          <w:spacing w:val="-8"/>
          <w:sz w:val="24"/>
          <w:szCs w:val="24"/>
        </w:rPr>
        <w:t>定，</w:t>
      </w:r>
      <w:r>
        <w:rPr>
          <w:rFonts w:ascii="宋体" w:hAnsi="宋体" w:eastAsia="宋体" w:cs="宋体"/>
          <w:spacing w:val="-60"/>
          <w:sz w:val="24"/>
          <w:szCs w:val="24"/>
        </w:rPr>
        <w:t xml:space="preserve"> </w:t>
      </w:r>
      <w:r>
        <w:rPr>
          <w:rFonts w:ascii="宋体" w:hAnsi="宋体" w:eastAsia="宋体" w:cs="宋体"/>
          <w:spacing w:val="-8"/>
          <w:sz w:val="24"/>
          <w:szCs w:val="24"/>
        </w:rPr>
        <w:t>本项目公众防护距离要求为：“井口距</w:t>
      </w:r>
      <w:r>
        <w:rPr>
          <w:rFonts w:ascii="宋体" w:hAnsi="宋体" w:eastAsia="宋体" w:cs="宋体"/>
          <w:spacing w:val="-9"/>
          <w:sz w:val="24"/>
          <w:szCs w:val="24"/>
        </w:rPr>
        <w:t>民宅不小于</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100m</w:t>
      </w:r>
      <w:r>
        <w:rPr>
          <w:rFonts w:ascii="宋体" w:hAnsi="宋体" w:eastAsia="宋体" w:cs="宋体"/>
          <w:spacing w:val="-9"/>
          <w:sz w:val="24"/>
          <w:szCs w:val="24"/>
        </w:rPr>
        <w:t>：距离铁路及高速公</w:t>
      </w:r>
      <w:r>
        <w:rPr>
          <w:rFonts w:ascii="宋体" w:hAnsi="宋体" w:eastAsia="宋体" w:cs="宋体"/>
          <w:sz w:val="24"/>
          <w:szCs w:val="24"/>
        </w:rPr>
        <w:t xml:space="preserve"> </w:t>
      </w:r>
      <w:r>
        <w:rPr>
          <w:rFonts w:ascii="宋体" w:hAnsi="宋体" w:eastAsia="宋体" w:cs="宋体"/>
          <w:spacing w:val="-5"/>
          <w:sz w:val="24"/>
          <w:szCs w:val="24"/>
        </w:rPr>
        <w:t>路应不小于</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200m</w:t>
      </w:r>
      <w:r>
        <w:rPr>
          <w:rFonts w:ascii="宋体" w:hAnsi="宋体" w:eastAsia="宋体" w:cs="宋体"/>
          <w:spacing w:val="-5"/>
          <w:sz w:val="24"/>
          <w:szCs w:val="24"/>
        </w:rPr>
        <w:t>；距离公共设施应及城镇中心不小于</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500m</w:t>
      </w:r>
      <w:r>
        <w:rPr>
          <w:rFonts w:ascii="宋体" w:hAnsi="宋体" w:eastAsia="宋体" w:cs="宋体"/>
          <w:spacing w:val="-5"/>
          <w:sz w:val="24"/>
          <w:szCs w:val="24"/>
        </w:rPr>
        <w:t>”，结合工程外环境</w:t>
      </w:r>
      <w:r>
        <w:rPr>
          <w:rFonts w:ascii="宋体" w:hAnsi="宋体" w:eastAsia="宋体" w:cs="宋体"/>
          <w:sz w:val="24"/>
          <w:szCs w:val="24"/>
        </w:rPr>
        <w:t xml:space="preserve"> </w:t>
      </w:r>
      <w:r>
        <w:rPr>
          <w:rFonts w:ascii="宋体" w:hAnsi="宋体" w:eastAsia="宋体" w:cs="宋体"/>
          <w:spacing w:val="-11"/>
          <w:sz w:val="24"/>
          <w:szCs w:val="24"/>
        </w:rPr>
        <w:t>调查可知，井口</w:t>
      </w:r>
      <w:r>
        <w:rPr>
          <w:rFonts w:ascii="宋体" w:hAnsi="宋体" w:eastAsia="宋体" w:cs="宋体"/>
          <w:spacing w:val="-27"/>
          <w:sz w:val="24"/>
          <w:szCs w:val="24"/>
        </w:rPr>
        <w:t xml:space="preserve"> </w:t>
      </w:r>
      <w:r>
        <w:rPr>
          <w:rFonts w:ascii="Times New Roman" w:hAnsi="Times New Roman" w:eastAsia="Times New Roman" w:cs="Times New Roman"/>
          <w:spacing w:val="-11"/>
          <w:sz w:val="24"/>
          <w:szCs w:val="24"/>
        </w:rPr>
        <w:t>100m</w:t>
      </w:r>
      <w:r>
        <w:rPr>
          <w:rFonts w:ascii="Times New Roman" w:hAnsi="Times New Roman" w:eastAsia="Times New Roman" w:cs="Times New Roman"/>
          <w:spacing w:val="19"/>
          <w:sz w:val="24"/>
          <w:szCs w:val="24"/>
        </w:rPr>
        <w:t xml:space="preserve"> </w:t>
      </w:r>
      <w:r>
        <w:rPr>
          <w:rFonts w:ascii="宋体" w:hAnsi="宋体" w:eastAsia="宋体" w:cs="宋体"/>
          <w:spacing w:val="-11"/>
          <w:sz w:val="24"/>
          <w:szCs w:val="24"/>
        </w:rPr>
        <w:t>范围内无居民，</w:t>
      </w:r>
      <w:r>
        <w:rPr>
          <w:rFonts w:ascii="宋体" w:hAnsi="宋体" w:eastAsia="宋体" w:cs="宋体"/>
          <w:spacing w:val="58"/>
          <w:sz w:val="24"/>
          <w:szCs w:val="24"/>
        </w:rPr>
        <w:t xml:space="preserve"> </w:t>
      </w:r>
      <w:r>
        <w:rPr>
          <w:rFonts w:ascii="Times New Roman" w:hAnsi="Times New Roman" w:eastAsia="Times New Roman" w:cs="Times New Roman"/>
          <w:spacing w:val="-11"/>
          <w:sz w:val="24"/>
          <w:szCs w:val="24"/>
        </w:rPr>
        <w:t>200m</w:t>
      </w:r>
      <w:r>
        <w:rPr>
          <w:rFonts w:ascii="Times New Roman" w:hAnsi="Times New Roman" w:eastAsia="Times New Roman" w:cs="Times New Roman"/>
          <w:spacing w:val="21"/>
          <w:sz w:val="24"/>
          <w:szCs w:val="24"/>
        </w:rPr>
        <w:t xml:space="preserve"> </w:t>
      </w:r>
      <w:r>
        <w:rPr>
          <w:rFonts w:ascii="宋体" w:hAnsi="宋体" w:eastAsia="宋体" w:cs="宋体"/>
          <w:spacing w:val="-11"/>
          <w:sz w:val="24"/>
          <w:szCs w:val="24"/>
        </w:rPr>
        <w:t>范围内均无铁路及高速公</w:t>
      </w:r>
      <w:r>
        <w:rPr>
          <w:rFonts w:ascii="宋体" w:hAnsi="宋体" w:eastAsia="宋体" w:cs="宋体"/>
          <w:spacing w:val="-12"/>
          <w:sz w:val="24"/>
          <w:szCs w:val="24"/>
        </w:rPr>
        <w:t>路，</w:t>
      </w:r>
      <w:r>
        <w:rPr>
          <w:rFonts w:ascii="宋体" w:hAnsi="宋体" w:eastAsia="宋体" w:cs="宋体"/>
          <w:spacing w:val="66"/>
          <w:sz w:val="24"/>
          <w:szCs w:val="24"/>
        </w:rPr>
        <w:t xml:space="preserve"> </w:t>
      </w:r>
      <w:r>
        <w:rPr>
          <w:rFonts w:ascii="Times New Roman" w:hAnsi="Times New Roman" w:eastAsia="Times New Roman" w:cs="Times New Roman"/>
          <w:spacing w:val="-12"/>
          <w:sz w:val="24"/>
          <w:szCs w:val="24"/>
        </w:rPr>
        <w:t>500m</w:t>
      </w:r>
      <w:r>
        <w:rPr>
          <w:rFonts w:ascii="Times New Roman" w:hAnsi="Times New Roman" w:eastAsia="Times New Roman" w:cs="Times New Roman"/>
          <w:sz w:val="24"/>
          <w:szCs w:val="24"/>
        </w:rPr>
        <w:t xml:space="preserve"> </w:t>
      </w:r>
      <w:r>
        <w:rPr>
          <w:rFonts w:ascii="宋体" w:hAnsi="宋体" w:eastAsia="宋体" w:cs="宋体"/>
          <w:spacing w:val="-11"/>
          <w:sz w:val="24"/>
          <w:szCs w:val="24"/>
        </w:rPr>
        <w:t>范围内均无公共设施，</w:t>
      </w:r>
      <w:r>
        <w:rPr>
          <w:rFonts w:ascii="宋体" w:hAnsi="宋体" w:eastAsia="宋体" w:cs="宋体"/>
          <w:spacing w:val="63"/>
          <w:sz w:val="24"/>
          <w:szCs w:val="24"/>
        </w:rPr>
        <w:t xml:space="preserve"> </w:t>
      </w:r>
      <w:r>
        <w:rPr>
          <w:rFonts w:ascii="宋体" w:hAnsi="宋体" w:eastAsia="宋体" w:cs="宋体"/>
          <w:spacing w:val="-11"/>
          <w:sz w:val="24"/>
          <w:szCs w:val="24"/>
        </w:rPr>
        <w:t>由此可见， 拟建工</w:t>
      </w:r>
      <w:r>
        <w:rPr>
          <w:rFonts w:ascii="宋体" w:hAnsi="宋体" w:eastAsia="宋体" w:cs="宋体"/>
          <w:spacing w:val="-12"/>
          <w:sz w:val="24"/>
          <w:szCs w:val="24"/>
        </w:rPr>
        <w:t>程选址满足《含硫化氢天然气井公众安</w:t>
      </w:r>
    </w:p>
    <w:p>
      <w:pPr>
        <w:spacing w:before="1" w:line="220" w:lineRule="auto"/>
        <w:ind w:left="38"/>
        <w:rPr>
          <w:rFonts w:ascii="宋体" w:hAnsi="宋体" w:eastAsia="宋体" w:cs="宋体"/>
          <w:sz w:val="24"/>
          <w:szCs w:val="24"/>
        </w:rPr>
      </w:pPr>
      <w:r>
        <w:rPr>
          <w:rFonts w:ascii="宋体" w:hAnsi="宋体" w:eastAsia="宋体" w:cs="宋体"/>
          <w:spacing w:val="-4"/>
          <w:sz w:val="24"/>
          <w:szCs w:val="24"/>
        </w:rPr>
        <w:t>全防护距离》相关规定。</w:t>
      </w:r>
    </w:p>
    <w:p>
      <w:pPr>
        <w:spacing w:before="195" w:line="369" w:lineRule="auto"/>
        <w:ind w:left="38" w:right="27" w:firstLine="479"/>
        <w:jc w:val="both"/>
        <w:rPr>
          <w:rFonts w:ascii="宋体" w:hAnsi="宋体" w:eastAsia="宋体" w:cs="宋体"/>
          <w:sz w:val="24"/>
          <w:szCs w:val="24"/>
        </w:rPr>
      </w:pPr>
      <w:r>
        <w:rPr>
          <w:rFonts w:ascii="宋体" w:hAnsi="宋体" w:eastAsia="宋体" w:cs="宋体"/>
          <w:spacing w:val="-1"/>
          <w:sz w:val="24"/>
          <w:szCs w:val="24"/>
        </w:rPr>
        <w:t>根据公众防护距离要求，确定拟建项目紧急撤离距离为</w:t>
      </w:r>
      <w:r>
        <w:rPr>
          <w:rFonts w:ascii="宋体" w:hAnsi="宋体" w:eastAsia="宋体" w:cs="宋体"/>
          <w:spacing w:val="-2"/>
          <w:sz w:val="24"/>
          <w:szCs w:val="24"/>
        </w:rPr>
        <w:t>井口周边</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500m</w:t>
      </w:r>
      <w:r>
        <w:rPr>
          <w:rFonts w:ascii="宋体" w:hAnsi="宋体" w:eastAsia="宋体" w:cs="宋体"/>
          <w:spacing w:val="-2"/>
          <w:sz w:val="24"/>
          <w:szCs w:val="24"/>
        </w:rPr>
        <w:t>，当</w:t>
      </w:r>
      <w:r>
        <w:rPr>
          <w:rFonts w:ascii="宋体" w:hAnsi="宋体" w:eastAsia="宋体" w:cs="宋体"/>
          <w:sz w:val="24"/>
          <w:szCs w:val="24"/>
        </w:rPr>
        <w:t xml:space="preserve"> </w:t>
      </w:r>
      <w:r>
        <w:rPr>
          <w:rFonts w:ascii="宋体" w:hAnsi="宋体" w:eastAsia="宋体" w:cs="宋体"/>
          <w:spacing w:val="-11"/>
          <w:sz w:val="24"/>
          <w:szCs w:val="24"/>
        </w:rPr>
        <w:t>井喷失控时，</w:t>
      </w:r>
      <w:r>
        <w:rPr>
          <w:rFonts w:ascii="宋体" w:hAnsi="宋体" w:eastAsia="宋体" w:cs="宋体"/>
          <w:spacing w:val="59"/>
          <w:sz w:val="24"/>
          <w:szCs w:val="24"/>
        </w:rPr>
        <w:t xml:space="preserve"> </w:t>
      </w:r>
      <w:r>
        <w:rPr>
          <w:rFonts w:ascii="宋体" w:hAnsi="宋体" w:eastAsia="宋体" w:cs="宋体"/>
          <w:spacing w:val="-11"/>
          <w:sz w:val="24"/>
          <w:szCs w:val="24"/>
        </w:rPr>
        <w:t>由现场总负责人或其指定人员向当地政府报告， 协助当地政府做好</w:t>
      </w:r>
      <w:r>
        <w:rPr>
          <w:rFonts w:ascii="宋体" w:hAnsi="宋体" w:eastAsia="宋体" w:cs="宋体"/>
          <w:sz w:val="24"/>
          <w:szCs w:val="24"/>
        </w:rPr>
        <w:t xml:space="preserve"> </w:t>
      </w:r>
      <w:r>
        <w:rPr>
          <w:rFonts w:ascii="宋体" w:hAnsi="宋体" w:eastAsia="宋体" w:cs="宋体"/>
          <w:spacing w:val="-3"/>
          <w:sz w:val="24"/>
          <w:szCs w:val="24"/>
        </w:rPr>
        <w:t>居民紧急疏散工作。建设单位可通过安装广播、建立通讯录电话告知等方式告知</w:t>
      </w:r>
      <w:r>
        <w:rPr>
          <w:rFonts w:ascii="宋体" w:hAnsi="宋体" w:eastAsia="宋体" w:cs="宋体"/>
          <w:spacing w:val="8"/>
          <w:sz w:val="24"/>
          <w:szCs w:val="24"/>
        </w:rPr>
        <w:t xml:space="preserve"> </w:t>
      </w:r>
      <w:r>
        <w:rPr>
          <w:rFonts w:ascii="宋体" w:hAnsi="宋体" w:eastAsia="宋体" w:cs="宋体"/>
          <w:spacing w:val="-15"/>
          <w:sz w:val="24"/>
          <w:szCs w:val="24"/>
        </w:rPr>
        <w:t>农户，</w:t>
      </w:r>
      <w:r>
        <w:rPr>
          <w:rFonts w:ascii="宋体" w:hAnsi="宋体" w:eastAsia="宋体" w:cs="宋体"/>
          <w:spacing w:val="-12"/>
          <w:sz w:val="24"/>
          <w:szCs w:val="24"/>
        </w:rPr>
        <w:t xml:space="preserve"> </w:t>
      </w:r>
      <w:r>
        <w:rPr>
          <w:rFonts w:ascii="宋体" w:hAnsi="宋体" w:eastAsia="宋体" w:cs="宋体"/>
          <w:spacing w:val="-15"/>
          <w:sz w:val="24"/>
          <w:szCs w:val="24"/>
        </w:rPr>
        <w:t>划定出逃生路线并确定临时聚居点，</w:t>
      </w:r>
      <w:r>
        <w:rPr>
          <w:rFonts w:ascii="宋体" w:hAnsi="宋体" w:eastAsia="宋体" w:cs="宋体"/>
          <w:spacing w:val="40"/>
          <w:sz w:val="24"/>
          <w:szCs w:val="24"/>
        </w:rPr>
        <w:t xml:space="preserve"> </w:t>
      </w:r>
      <w:r>
        <w:rPr>
          <w:rFonts w:ascii="宋体" w:hAnsi="宋体" w:eastAsia="宋体" w:cs="宋体"/>
          <w:spacing w:val="-15"/>
          <w:sz w:val="24"/>
          <w:szCs w:val="24"/>
        </w:rPr>
        <w:t>并加强宣传和演练，</w:t>
      </w:r>
      <w:r>
        <w:rPr>
          <w:rFonts w:ascii="宋体" w:hAnsi="宋体" w:eastAsia="宋体" w:cs="宋体"/>
          <w:spacing w:val="40"/>
          <w:sz w:val="24"/>
          <w:szCs w:val="24"/>
        </w:rPr>
        <w:t xml:space="preserve"> </w:t>
      </w:r>
      <w:r>
        <w:rPr>
          <w:rFonts w:ascii="宋体" w:hAnsi="宋体" w:eastAsia="宋体" w:cs="宋体"/>
          <w:spacing w:val="-15"/>
          <w:sz w:val="24"/>
          <w:szCs w:val="24"/>
        </w:rPr>
        <w:t>结合现场地形和</w:t>
      </w:r>
      <w:r>
        <w:rPr>
          <w:rFonts w:ascii="宋体" w:hAnsi="宋体" w:eastAsia="宋体" w:cs="宋体"/>
          <w:sz w:val="24"/>
          <w:szCs w:val="24"/>
        </w:rPr>
        <w:t xml:space="preserve"> </w:t>
      </w:r>
      <w:r>
        <w:rPr>
          <w:rFonts w:ascii="宋体" w:hAnsi="宋体" w:eastAsia="宋体" w:cs="宋体"/>
          <w:spacing w:val="-1"/>
          <w:sz w:val="24"/>
          <w:szCs w:val="24"/>
        </w:rPr>
        <w:t xml:space="preserve">交通情况。井场 </w:t>
      </w:r>
      <w:r>
        <w:rPr>
          <w:rFonts w:ascii="Times New Roman" w:hAnsi="Times New Roman" w:eastAsia="Times New Roman" w:cs="Times New Roman"/>
          <w:spacing w:val="-1"/>
          <w:sz w:val="24"/>
          <w:szCs w:val="24"/>
        </w:rPr>
        <w:t>5km</w:t>
      </w:r>
      <w:r>
        <w:rPr>
          <w:rFonts w:ascii="Times New Roman" w:hAnsi="Times New Roman" w:eastAsia="Times New Roman" w:cs="Times New Roman"/>
          <w:spacing w:val="57"/>
          <w:sz w:val="24"/>
          <w:szCs w:val="24"/>
        </w:rPr>
        <w:t xml:space="preserve"> </w:t>
      </w:r>
      <w:r>
        <w:rPr>
          <w:rFonts w:ascii="宋体" w:hAnsi="宋体" w:eastAsia="宋体" w:cs="宋体"/>
          <w:spacing w:val="-1"/>
          <w:sz w:val="24"/>
          <w:szCs w:val="24"/>
        </w:rPr>
        <w:t>范围内的其他社会敏感点虽然不在紧急撤离</w:t>
      </w:r>
      <w:r>
        <w:rPr>
          <w:rFonts w:ascii="宋体" w:hAnsi="宋体" w:eastAsia="宋体" w:cs="宋体"/>
          <w:spacing w:val="-2"/>
          <w:sz w:val="24"/>
          <w:szCs w:val="24"/>
        </w:rPr>
        <w:t>范围内，但应</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根据监测情况决定是否撤离。经此措施后，该</w:t>
      </w:r>
      <w:r>
        <w:rPr>
          <w:rFonts w:ascii="宋体" w:hAnsi="宋体" w:eastAsia="宋体" w:cs="宋体"/>
          <w:spacing w:val="-2"/>
          <w:sz w:val="24"/>
          <w:szCs w:val="24"/>
        </w:rPr>
        <w:t>风险可控制在可接受范围。</w:t>
      </w:r>
    </w:p>
    <w:p>
      <w:pPr>
        <w:spacing w:before="194" w:line="220" w:lineRule="auto"/>
        <w:ind w:left="37"/>
        <w:rPr>
          <w:rFonts w:ascii="宋体" w:hAnsi="宋体" w:eastAsia="宋体" w:cs="宋体"/>
          <w:sz w:val="24"/>
          <w:szCs w:val="24"/>
        </w:rPr>
      </w:pPr>
      <w:r>
        <w:rPr>
          <w:rFonts w:ascii="Times New Roman" w:hAnsi="Times New Roman" w:eastAsia="Times New Roman" w:cs="Times New Roman"/>
          <w:b/>
          <w:bCs/>
          <w:spacing w:val="-1"/>
          <w:sz w:val="24"/>
          <w:szCs w:val="24"/>
        </w:rPr>
        <w:t xml:space="preserve">6.2.8 </w:t>
      </w:r>
      <w:r>
        <w:rPr>
          <w:rFonts w:ascii="宋体" w:hAnsi="宋体" w:eastAsia="宋体" w:cs="宋体"/>
          <w:spacing w:val="-1"/>
          <w:sz w:val="24"/>
          <w:szCs w:val="24"/>
          <w14:textOutline w14:w="4354" w14:cap="flat" w14:cmpd="sng">
            <w14:solidFill>
              <w14:srgbClr w14:val="000000"/>
            </w14:solidFill>
            <w14:prstDash w14:val="solid"/>
            <w14:miter w14:val="10"/>
          </w14:textOutline>
        </w:rPr>
        <w:t>废水外运风险防范措施</w:t>
      </w:r>
    </w:p>
    <w:p>
      <w:pPr>
        <w:spacing w:before="194" w:line="219" w:lineRule="auto"/>
        <w:ind w:right="17"/>
        <w:jc w:val="right"/>
        <w:rPr>
          <w:rFonts w:ascii="宋体" w:hAnsi="宋体" w:eastAsia="宋体" w:cs="宋体"/>
          <w:sz w:val="24"/>
          <w:szCs w:val="24"/>
        </w:rPr>
      </w:pPr>
      <w:r>
        <w:rPr>
          <w:rFonts w:ascii="宋体" w:hAnsi="宋体" w:eastAsia="宋体" w:cs="宋体"/>
          <w:spacing w:val="-9"/>
          <w:sz w:val="24"/>
          <w:szCs w:val="24"/>
        </w:rPr>
        <w:t>为降低废水转运对地表水的污染风险， 确保</w:t>
      </w:r>
      <w:r>
        <w:rPr>
          <w:rFonts w:ascii="宋体" w:hAnsi="宋体" w:eastAsia="宋体" w:cs="宋体"/>
          <w:spacing w:val="-10"/>
          <w:sz w:val="24"/>
          <w:szCs w:val="24"/>
        </w:rPr>
        <w:t>拟建工程废水得到妥善处理， 本</w:t>
      </w:r>
    </w:p>
    <w:p>
      <w:pPr>
        <w:spacing w:line="219" w:lineRule="auto"/>
        <w:rPr>
          <w:rFonts w:ascii="宋体" w:hAnsi="宋体" w:eastAsia="宋体" w:cs="宋体"/>
          <w:sz w:val="24"/>
          <w:szCs w:val="24"/>
        </w:rPr>
        <w:sectPr>
          <w:footerReference r:id="rId273" w:type="default"/>
          <w:pgSz w:w="11907" w:h="16839"/>
          <w:pgMar w:top="1123" w:right="1766" w:bottom="1149" w:left="1769" w:header="1108" w:footer="988" w:gutter="0"/>
          <w:cols w:space="720" w:num="1"/>
        </w:sectPr>
      </w:pPr>
    </w:p>
    <w:p>
      <w:pPr>
        <w:pStyle w:val="2"/>
        <w:spacing w:line="413" w:lineRule="auto"/>
        <w:rPr>
          <w:sz w:val="21"/>
        </w:rPr>
      </w:pPr>
    </w:p>
    <w:p>
      <w:pPr>
        <w:spacing w:before="78" w:line="219" w:lineRule="auto"/>
        <w:ind w:left="38"/>
        <w:rPr>
          <w:rFonts w:ascii="宋体" w:hAnsi="宋体" w:eastAsia="宋体" w:cs="宋体"/>
          <w:sz w:val="24"/>
          <w:szCs w:val="24"/>
        </w:rPr>
      </w:pPr>
      <w:r>
        <w:rPr>
          <w:rFonts w:ascii="宋体" w:hAnsi="宋体" w:eastAsia="宋体" w:cs="宋体"/>
          <w:spacing w:val="-2"/>
          <w:sz w:val="24"/>
          <w:szCs w:val="24"/>
        </w:rPr>
        <w:t>着切实保护环境的原则，拟建工程废水转运过程中，采取如</w:t>
      </w:r>
      <w:r>
        <w:rPr>
          <w:rFonts w:ascii="宋体" w:hAnsi="宋体" w:eastAsia="宋体" w:cs="宋体"/>
          <w:spacing w:val="-3"/>
          <w:sz w:val="24"/>
          <w:szCs w:val="24"/>
        </w:rPr>
        <w:t>下措施：</w:t>
      </w:r>
    </w:p>
    <w:p>
      <w:pPr>
        <w:spacing w:before="195" w:line="480" w:lineRule="exact"/>
        <w:ind w:left="524"/>
        <w:rPr>
          <w:rFonts w:ascii="宋体" w:hAnsi="宋体" w:eastAsia="宋体" w:cs="宋体"/>
          <w:sz w:val="24"/>
          <w:szCs w:val="24"/>
        </w:rPr>
      </w:pPr>
      <w:r>
        <w:rPr>
          <w:rFonts w:ascii="宋体" w:hAnsi="宋体" w:eastAsia="宋体" w:cs="宋体"/>
          <w:position w:val="18"/>
          <w:sz w:val="24"/>
          <w:szCs w:val="24"/>
        </w:rPr>
        <w:t>（</w:t>
      </w:r>
      <w:r>
        <w:rPr>
          <w:rFonts w:ascii="Times New Roman" w:hAnsi="Times New Roman" w:eastAsia="Times New Roman" w:cs="Times New Roman"/>
          <w:position w:val="18"/>
          <w:sz w:val="24"/>
          <w:szCs w:val="24"/>
        </w:rPr>
        <w:t>1</w:t>
      </w:r>
      <w:r>
        <w:rPr>
          <w:rFonts w:ascii="宋体" w:hAnsi="宋体" w:eastAsia="宋体" w:cs="宋体"/>
          <w:position w:val="18"/>
          <w:sz w:val="24"/>
          <w:szCs w:val="24"/>
        </w:rPr>
        <w:t>）建立建设单位与当地政府、环保局等相关部门的联络机制，若确</w:t>
      </w:r>
      <w:r>
        <w:rPr>
          <w:rFonts w:ascii="宋体" w:hAnsi="宋体" w:eastAsia="宋体" w:cs="宋体"/>
          <w:spacing w:val="-1"/>
          <w:position w:val="18"/>
          <w:sz w:val="24"/>
          <w:szCs w:val="24"/>
        </w:rPr>
        <w:t>认发</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生废水外溢事故，应及时上报当地政府、环保局等相关部门。</w:t>
      </w:r>
    </w:p>
    <w:p>
      <w:pPr>
        <w:spacing w:before="195" w:line="480" w:lineRule="exact"/>
        <w:ind w:left="524"/>
        <w:rPr>
          <w:rFonts w:ascii="宋体" w:hAnsi="宋体" w:eastAsia="宋体" w:cs="宋体"/>
          <w:sz w:val="24"/>
          <w:szCs w:val="24"/>
        </w:rPr>
      </w:pPr>
      <w:r>
        <w:rPr>
          <w:rFonts w:ascii="宋体" w:hAnsi="宋体" w:eastAsia="宋体" w:cs="宋体"/>
          <w:spacing w:val="-1"/>
          <w:position w:val="18"/>
          <w:sz w:val="24"/>
          <w:szCs w:val="24"/>
        </w:rPr>
        <w:t>（</w:t>
      </w:r>
      <w:r>
        <w:rPr>
          <w:rFonts w:ascii="Times New Roman" w:hAnsi="Times New Roman" w:eastAsia="Times New Roman" w:cs="Times New Roman"/>
          <w:spacing w:val="-1"/>
          <w:position w:val="18"/>
          <w:sz w:val="24"/>
          <w:szCs w:val="24"/>
        </w:rPr>
        <w:t>2</w:t>
      </w:r>
      <w:r>
        <w:rPr>
          <w:rFonts w:ascii="宋体" w:hAnsi="宋体" w:eastAsia="宋体" w:cs="宋体"/>
          <w:spacing w:val="-1"/>
          <w:position w:val="18"/>
          <w:sz w:val="24"/>
          <w:szCs w:val="24"/>
        </w:rPr>
        <w:t>）对承包废水转运的承包商实施车辆登记制度，为每台车</w:t>
      </w:r>
      <w:r>
        <w:rPr>
          <w:rFonts w:ascii="宋体" w:hAnsi="宋体" w:eastAsia="宋体" w:cs="宋体"/>
          <w:spacing w:val="-2"/>
          <w:position w:val="18"/>
          <w:sz w:val="24"/>
          <w:szCs w:val="24"/>
        </w:rPr>
        <w:t>安装</w:t>
      </w:r>
      <w:r>
        <w:rPr>
          <w:rFonts w:ascii="宋体" w:hAnsi="宋体" w:eastAsia="宋体" w:cs="宋体"/>
          <w:spacing w:val="-28"/>
          <w:position w:val="18"/>
          <w:sz w:val="24"/>
          <w:szCs w:val="24"/>
        </w:rPr>
        <w:t xml:space="preserve"> </w:t>
      </w:r>
      <w:r>
        <w:rPr>
          <w:rFonts w:ascii="Times New Roman" w:hAnsi="Times New Roman" w:eastAsia="Times New Roman" w:cs="Times New Roman"/>
          <w:spacing w:val="-2"/>
          <w:position w:val="18"/>
          <w:sz w:val="24"/>
          <w:szCs w:val="24"/>
        </w:rPr>
        <w:t>GPS</w:t>
      </w:r>
      <w:r>
        <w:rPr>
          <w:rFonts w:ascii="宋体" w:hAnsi="宋体" w:eastAsia="宋体" w:cs="宋体"/>
          <w:spacing w:val="-2"/>
          <w:position w:val="18"/>
          <w:sz w:val="24"/>
          <w:szCs w:val="24"/>
        </w:rPr>
        <w:t>，并</w:t>
      </w:r>
    </w:p>
    <w:p>
      <w:pPr>
        <w:spacing w:line="220" w:lineRule="auto"/>
        <w:ind w:left="40"/>
        <w:rPr>
          <w:rFonts w:ascii="宋体" w:hAnsi="宋体" w:eastAsia="宋体" w:cs="宋体"/>
          <w:sz w:val="24"/>
          <w:szCs w:val="24"/>
        </w:rPr>
      </w:pPr>
      <w:r>
        <w:rPr>
          <w:rFonts w:ascii="宋体" w:hAnsi="宋体" w:eastAsia="宋体" w:cs="宋体"/>
          <w:spacing w:val="-3"/>
          <w:sz w:val="24"/>
          <w:szCs w:val="24"/>
        </w:rPr>
        <w:t>纳入建设方的</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GPS </w:t>
      </w:r>
      <w:r>
        <w:rPr>
          <w:rFonts w:ascii="宋体" w:hAnsi="宋体" w:eastAsia="宋体" w:cs="宋体"/>
          <w:spacing w:val="-3"/>
          <w:sz w:val="24"/>
          <w:szCs w:val="24"/>
        </w:rPr>
        <w:t>监控系统平台。</w:t>
      </w:r>
    </w:p>
    <w:p>
      <w:pPr>
        <w:spacing w:before="194" w:line="480" w:lineRule="exact"/>
        <w:ind w:left="524"/>
        <w:rPr>
          <w:rFonts w:ascii="宋体" w:hAnsi="宋体" w:eastAsia="宋体" w:cs="宋体"/>
          <w:sz w:val="24"/>
          <w:szCs w:val="24"/>
        </w:rPr>
      </w:pPr>
      <w:r>
        <w:rPr>
          <w:rFonts w:ascii="宋体" w:hAnsi="宋体" w:eastAsia="宋体" w:cs="宋体"/>
          <w:spacing w:val="-4"/>
          <w:position w:val="18"/>
          <w:sz w:val="24"/>
          <w:szCs w:val="24"/>
        </w:rPr>
        <w:t>（</w:t>
      </w:r>
      <w:r>
        <w:rPr>
          <w:rFonts w:ascii="Times New Roman" w:hAnsi="Times New Roman" w:eastAsia="Times New Roman" w:cs="Times New Roman"/>
          <w:spacing w:val="-4"/>
          <w:position w:val="18"/>
          <w:sz w:val="24"/>
          <w:szCs w:val="24"/>
        </w:rPr>
        <w:t>3</w:t>
      </w:r>
      <w:r>
        <w:rPr>
          <w:rFonts w:ascii="宋体" w:hAnsi="宋体" w:eastAsia="宋体" w:cs="宋体"/>
          <w:spacing w:val="-4"/>
          <w:position w:val="18"/>
          <w:sz w:val="24"/>
          <w:szCs w:val="24"/>
        </w:rPr>
        <w:t>）转运过程做好转运台账，严格实施交接清单制度， 建立废水转运五联</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单制度；加强罐车装载量管理，严禁超载。</w:t>
      </w:r>
    </w:p>
    <w:p>
      <w:pPr>
        <w:spacing w:before="196" w:line="369" w:lineRule="auto"/>
        <w:ind w:left="39" w:right="18" w:firstLine="48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）加强对废水罐车司机的安全教育， 定期对罐车进行安全检查， 严格遵</w:t>
      </w:r>
      <w:r>
        <w:rPr>
          <w:rFonts w:ascii="宋体" w:hAnsi="宋体" w:eastAsia="宋体" w:cs="宋体"/>
          <w:spacing w:val="14"/>
          <w:sz w:val="24"/>
          <w:szCs w:val="24"/>
        </w:rPr>
        <w:t xml:space="preserve"> </w:t>
      </w:r>
      <w:r>
        <w:rPr>
          <w:rFonts w:ascii="宋体" w:hAnsi="宋体" w:eastAsia="宋体" w:cs="宋体"/>
          <w:spacing w:val="-4"/>
          <w:sz w:val="24"/>
          <w:szCs w:val="24"/>
        </w:rPr>
        <w:t>守交通规则， 避免交通事故发生。加强对除驾驶员</w:t>
      </w:r>
      <w:r>
        <w:rPr>
          <w:rFonts w:ascii="宋体" w:hAnsi="宋体" w:eastAsia="宋体" w:cs="宋体"/>
          <w:spacing w:val="-5"/>
          <w:sz w:val="24"/>
          <w:szCs w:val="24"/>
        </w:rPr>
        <w:t>外的其他拉运工作人员管理，</w:t>
      </w:r>
      <w:r>
        <w:rPr>
          <w:rFonts w:ascii="宋体" w:hAnsi="宋体" w:eastAsia="宋体" w:cs="宋体"/>
          <w:sz w:val="24"/>
          <w:szCs w:val="24"/>
        </w:rPr>
        <w:t xml:space="preserve"> </w:t>
      </w:r>
      <w:r>
        <w:rPr>
          <w:rFonts w:ascii="宋体" w:hAnsi="宋体" w:eastAsia="宋体" w:cs="宋体"/>
          <w:spacing w:val="-7"/>
          <w:sz w:val="24"/>
          <w:szCs w:val="24"/>
        </w:rPr>
        <w:t>要求运输人员技术过硬、经验丰富、工作认真负责。加强对废水罐车</w:t>
      </w:r>
      <w:r>
        <w:rPr>
          <w:rFonts w:ascii="宋体" w:hAnsi="宋体" w:eastAsia="宋体" w:cs="宋体"/>
          <w:spacing w:val="-8"/>
          <w:sz w:val="24"/>
          <w:szCs w:val="24"/>
        </w:rPr>
        <w:t>的管理，</w:t>
      </w:r>
      <w:r>
        <w:rPr>
          <w:rFonts w:ascii="宋体" w:hAnsi="宋体" w:eastAsia="宋体" w:cs="宋体"/>
          <w:spacing w:val="56"/>
          <w:sz w:val="24"/>
          <w:szCs w:val="24"/>
        </w:rPr>
        <w:t xml:space="preserve"> </w:t>
      </w:r>
      <w:r>
        <w:rPr>
          <w:rFonts w:ascii="宋体" w:hAnsi="宋体" w:eastAsia="宋体" w:cs="宋体"/>
          <w:spacing w:val="-8"/>
          <w:sz w:val="24"/>
          <w:szCs w:val="24"/>
        </w:rPr>
        <w:t>防</w:t>
      </w:r>
    </w:p>
    <w:p>
      <w:pPr>
        <w:spacing w:line="219" w:lineRule="auto"/>
        <w:ind w:left="39"/>
        <w:rPr>
          <w:rFonts w:ascii="宋体" w:hAnsi="宋体" w:eastAsia="宋体" w:cs="宋体"/>
          <w:sz w:val="24"/>
          <w:szCs w:val="24"/>
        </w:rPr>
      </w:pPr>
      <w:r>
        <w:rPr>
          <w:rFonts w:ascii="宋体" w:hAnsi="宋体" w:eastAsia="宋体" w:cs="宋体"/>
          <w:spacing w:val="-4"/>
          <w:sz w:val="24"/>
          <w:szCs w:val="24"/>
        </w:rPr>
        <w:t>止人为原因造成的废水外溢。</w:t>
      </w:r>
    </w:p>
    <w:p>
      <w:pPr>
        <w:spacing w:before="195" w:line="480" w:lineRule="exact"/>
        <w:ind w:left="524"/>
        <w:rPr>
          <w:rFonts w:ascii="宋体" w:hAnsi="宋体" w:eastAsia="宋体" w:cs="宋体"/>
          <w:sz w:val="24"/>
          <w:szCs w:val="24"/>
        </w:rPr>
      </w:pPr>
      <w:r>
        <w:rPr>
          <w:rFonts w:ascii="宋体" w:hAnsi="宋体" w:eastAsia="宋体" w:cs="宋体"/>
          <w:position w:val="18"/>
          <w:sz w:val="24"/>
          <w:szCs w:val="24"/>
        </w:rPr>
        <w:t>（</w:t>
      </w:r>
      <w:r>
        <w:rPr>
          <w:rFonts w:ascii="Times New Roman" w:hAnsi="Times New Roman" w:eastAsia="Times New Roman" w:cs="Times New Roman"/>
          <w:position w:val="18"/>
          <w:sz w:val="24"/>
          <w:szCs w:val="24"/>
        </w:rPr>
        <w:t>5</w:t>
      </w:r>
      <w:r>
        <w:rPr>
          <w:rFonts w:ascii="宋体" w:hAnsi="宋体" w:eastAsia="宋体" w:cs="宋体"/>
          <w:position w:val="18"/>
          <w:sz w:val="24"/>
          <w:szCs w:val="24"/>
        </w:rPr>
        <w:t>）转运罐车行驶至河流（含河沟、塘堰等）较近位置或者穿越河流（含</w:t>
      </w:r>
    </w:p>
    <w:p>
      <w:pPr>
        <w:spacing w:before="1" w:line="219" w:lineRule="auto"/>
        <w:ind w:left="37"/>
        <w:rPr>
          <w:rFonts w:ascii="宋体" w:hAnsi="宋体" w:eastAsia="宋体" w:cs="宋体"/>
          <w:sz w:val="24"/>
          <w:szCs w:val="24"/>
        </w:rPr>
      </w:pPr>
      <w:r>
        <w:rPr>
          <w:rFonts w:ascii="宋体" w:hAnsi="宋体" w:eastAsia="宋体" w:cs="宋体"/>
          <w:spacing w:val="-3"/>
          <w:sz w:val="24"/>
          <w:szCs w:val="24"/>
        </w:rPr>
        <w:t>河沟等）的道路时，应放慢行驶速度。</w:t>
      </w:r>
    </w:p>
    <w:p>
      <w:pPr>
        <w:spacing w:before="194" w:line="219"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）废水转运尽量避开暴雨时节。</w:t>
      </w:r>
    </w:p>
    <w:p>
      <w:pPr>
        <w:spacing w:before="195" w:line="220" w:lineRule="auto"/>
        <w:ind w:left="37"/>
        <w:rPr>
          <w:rFonts w:ascii="宋体" w:hAnsi="宋体" w:eastAsia="宋体" w:cs="宋体"/>
          <w:sz w:val="24"/>
          <w:szCs w:val="24"/>
        </w:rPr>
      </w:pPr>
      <w:r>
        <w:rPr>
          <w:rFonts w:ascii="Times New Roman" w:hAnsi="Times New Roman" w:eastAsia="Times New Roman" w:cs="Times New Roman"/>
          <w:b/>
          <w:bCs/>
          <w:sz w:val="24"/>
          <w:szCs w:val="24"/>
        </w:rPr>
        <w:t xml:space="preserve">6.2.9 </w:t>
      </w:r>
      <w:r>
        <w:rPr>
          <w:rFonts w:ascii="宋体" w:hAnsi="宋体" w:eastAsia="宋体" w:cs="宋体"/>
          <w:sz w:val="24"/>
          <w:szCs w:val="24"/>
          <w14:textOutline w14:w="4354" w14:cap="flat" w14:cmpd="sng">
            <w14:solidFill>
              <w14:srgbClr w14:val="000000"/>
            </w14:solidFill>
            <w14:prstDash w14:val="solid"/>
            <w14:miter w14:val="10"/>
          </w14:textOutline>
        </w:rPr>
        <w:t>地下水环境风险防范措施</w:t>
      </w:r>
    </w:p>
    <w:p>
      <w:pPr>
        <w:spacing w:before="195" w:line="480" w:lineRule="exact"/>
        <w:ind w:left="524"/>
        <w:rPr>
          <w:rFonts w:ascii="宋体" w:hAnsi="宋体" w:eastAsia="宋体" w:cs="宋体"/>
          <w:sz w:val="24"/>
          <w:szCs w:val="24"/>
        </w:rPr>
      </w:pPr>
      <w:r>
        <w:rPr>
          <w:rFonts w:ascii="宋体" w:hAnsi="宋体" w:eastAsia="宋体" w:cs="宋体"/>
          <w:position w:val="18"/>
          <w:sz w:val="24"/>
          <w:szCs w:val="24"/>
        </w:rPr>
        <w:t>（</w:t>
      </w:r>
      <w:r>
        <w:rPr>
          <w:rFonts w:ascii="Times New Roman" w:hAnsi="Times New Roman" w:eastAsia="Times New Roman" w:cs="Times New Roman"/>
          <w:position w:val="18"/>
          <w:sz w:val="24"/>
          <w:szCs w:val="24"/>
        </w:rPr>
        <w:t>1</w:t>
      </w:r>
      <w:r>
        <w:rPr>
          <w:rFonts w:ascii="宋体" w:hAnsi="宋体" w:eastAsia="宋体" w:cs="宋体"/>
          <w:position w:val="18"/>
          <w:sz w:val="24"/>
          <w:szCs w:val="24"/>
        </w:rPr>
        <w:t>）收集沟采用可视化原则做到污染物</w:t>
      </w:r>
      <w:r>
        <w:rPr>
          <w:rFonts w:ascii="Times New Roman" w:hAnsi="Times New Roman" w:eastAsia="Times New Roman" w:cs="Times New Roman"/>
          <w:position w:val="18"/>
          <w:sz w:val="24"/>
          <w:szCs w:val="24"/>
        </w:rPr>
        <w:t>“</w:t>
      </w:r>
      <w:r>
        <w:rPr>
          <w:rFonts w:ascii="宋体" w:hAnsi="宋体" w:eastAsia="宋体" w:cs="宋体"/>
          <w:position w:val="18"/>
          <w:sz w:val="24"/>
          <w:szCs w:val="24"/>
        </w:rPr>
        <w:t>早发现、早处理</w:t>
      </w:r>
      <w:r>
        <w:rPr>
          <w:rFonts w:ascii="Times New Roman" w:hAnsi="Times New Roman" w:eastAsia="Times New Roman" w:cs="Times New Roman"/>
          <w:position w:val="18"/>
          <w:sz w:val="24"/>
          <w:szCs w:val="24"/>
        </w:rPr>
        <w:t>”</w:t>
      </w:r>
      <w:r>
        <w:rPr>
          <w:rFonts w:ascii="Times New Roman" w:hAnsi="Times New Roman" w:eastAsia="Times New Roman" w:cs="Times New Roman"/>
          <w:spacing w:val="-17"/>
          <w:position w:val="18"/>
          <w:sz w:val="24"/>
          <w:szCs w:val="24"/>
        </w:rPr>
        <w:t xml:space="preserve"> </w:t>
      </w:r>
      <w:r>
        <w:rPr>
          <w:rFonts w:ascii="宋体" w:hAnsi="宋体" w:eastAsia="宋体" w:cs="宋体"/>
          <w:position w:val="18"/>
          <w:sz w:val="24"/>
          <w:szCs w:val="24"/>
        </w:rPr>
        <w:t>，以减少由于埋</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地管道和池体泄漏而可能造成的地下水污染。</w:t>
      </w:r>
    </w:p>
    <w:p>
      <w:pPr>
        <w:spacing w:before="194" w:line="480" w:lineRule="exact"/>
        <w:ind w:left="524"/>
        <w:rPr>
          <w:rFonts w:ascii="宋体" w:hAnsi="宋体" w:eastAsia="宋体" w:cs="宋体"/>
          <w:sz w:val="24"/>
          <w:szCs w:val="24"/>
        </w:rPr>
      </w:pPr>
      <w:r>
        <w:rPr>
          <w:rFonts w:ascii="宋体" w:hAnsi="宋体" w:eastAsia="宋体" w:cs="宋体"/>
          <w:spacing w:val="-2"/>
          <w:position w:val="18"/>
          <w:sz w:val="24"/>
          <w:szCs w:val="24"/>
        </w:rPr>
        <w:t>（</w:t>
      </w:r>
      <w:r>
        <w:rPr>
          <w:rFonts w:ascii="Times New Roman" w:hAnsi="Times New Roman" w:eastAsia="Times New Roman" w:cs="Times New Roman"/>
          <w:spacing w:val="-2"/>
          <w:position w:val="18"/>
          <w:sz w:val="24"/>
          <w:szCs w:val="24"/>
        </w:rPr>
        <w:t>2</w:t>
      </w:r>
      <w:r>
        <w:rPr>
          <w:rFonts w:ascii="宋体" w:hAnsi="宋体" w:eastAsia="宋体" w:cs="宋体"/>
          <w:spacing w:val="-2"/>
          <w:position w:val="18"/>
          <w:sz w:val="24"/>
          <w:szCs w:val="24"/>
        </w:rPr>
        <w:t>）项目采取分区防渗措施，并进行地下水跟踪监测。</w:t>
      </w:r>
    </w:p>
    <w:p>
      <w:pPr>
        <w:spacing w:before="1" w:line="220" w:lineRule="auto"/>
        <w:ind w:left="536"/>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）分区防渗</w:t>
      </w:r>
    </w:p>
    <w:p>
      <w:pPr>
        <w:spacing w:before="196" w:line="369" w:lineRule="auto"/>
        <w:ind w:left="38" w:firstLine="479"/>
        <w:rPr>
          <w:rFonts w:ascii="宋体" w:hAnsi="宋体" w:eastAsia="宋体" w:cs="宋体"/>
          <w:sz w:val="24"/>
          <w:szCs w:val="24"/>
        </w:rPr>
      </w:pPr>
      <w:r>
        <w:rPr>
          <w:rFonts w:ascii="宋体" w:hAnsi="宋体" w:eastAsia="宋体" w:cs="宋体"/>
          <w:spacing w:val="-6"/>
          <w:sz w:val="24"/>
          <w:szCs w:val="24"/>
        </w:rPr>
        <w:t>根据《石油化工工程防渗技术规范》（</w:t>
      </w:r>
      <w:r>
        <w:rPr>
          <w:rFonts w:ascii="Times New Roman" w:hAnsi="Times New Roman" w:eastAsia="Times New Roman" w:cs="Times New Roman"/>
          <w:spacing w:val="-6"/>
          <w:sz w:val="24"/>
          <w:szCs w:val="24"/>
        </w:rPr>
        <w:t>GB/T50934-2013</w:t>
      </w:r>
      <w:r>
        <w:rPr>
          <w:rFonts w:ascii="宋体" w:hAnsi="宋体" w:eastAsia="宋体" w:cs="宋体"/>
          <w:spacing w:val="-59"/>
          <w:w w:val="94"/>
          <w:sz w:val="24"/>
          <w:szCs w:val="24"/>
        </w:rPr>
        <w:t>），</w:t>
      </w:r>
      <w:r>
        <w:rPr>
          <w:rFonts w:ascii="宋体" w:hAnsi="宋体" w:eastAsia="宋体" w:cs="宋体"/>
          <w:spacing w:val="-6"/>
          <w:sz w:val="24"/>
          <w:szCs w:val="24"/>
        </w:rPr>
        <w:t xml:space="preserve">本项目通过采取分 </w:t>
      </w:r>
      <w:r>
        <w:rPr>
          <w:rFonts w:ascii="宋体" w:hAnsi="宋体" w:eastAsia="宋体" w:cs="宋体"/>
          <w:spacing w:val="-4"/>
          <w:sz w:val="24"/>
          <w:szCs w:val="24"/>
        </w:rPr>
        <w:t>区防渗措施， 加强井场防渗等级，避免钻井过程污染物入渗土壤及地下水环境。</w:t>
      </w:r>
      <w:r>
        <w:rPr>
          <w:rFonts w:ascii="宋体" w:hAnsi="宋体" w:eastAsia="宋体" w:cs="宋体"/>
          <w:spacing w:val="6"/>
          <w:sz w:val="24"/>
          <w:szCs w:val="24"/>
        </w:rPr>
        <w:t xml:space="preserve"> </w:t>
      </w:r>
      <w:r>
        <w:rPr>
          <w:rFonts w:ascii="宋体" w:hAnsi="宋体" w:eastAsia="宋体" w:cs="宋体"/>
          <w:spacing w:val="-3"/>
          <w:sz w:val="24"/>
          <w:szCs w:val="24"/>
        </w:rPr>
        <w:t>按照《石油化工工程防渗技术规范》（</w:t>
      </w:r>
      <w:r>
        <w:rPr>
          <w:rFonts w:ascii="Times New Roman" w:hAnsi="Times New Roman" w:eastAsia="Times New Roman" w:cs="Times New Roman"/>
          <w:spacing w:val="-3"/>
          <w:sz w:val="24"/>
          <w:szCs w:val="24"/>
        </w:rPr>
        <w:t>GB/T50934-2</w:t>
      </w:r>
      <w:r>
        <w:rPr>
          <w:rFonts w:ascii="Times New Roman" w:hAnsi="Times New Roman" w:eastAsia="Times New Roman" w:cs="Times New Roman"/>
          <w:spacing w:val="-4"/>
          <w:sz w:val="24"/>
          <w:szCs w:val="24"/>
        </w:rPr>
        <w:t>013</w:t>
      </w:r>
      <w:r>
        <w:rPr>
          <w:rFonts w:ascii="宋体" w:hAnsi="宋体" w:eastAsia="宋体" w:cs="宋体"/>
          <w:spacing w:val="-4"/>
          <w:sz w:val="24"/>
          <w:szCs w:val="24"/>
        </w:rPr>
        <w:t>）标准中典型污染防治分 区表， 项目分为重点防渗区（含井场内井口、井架及设备基础区域、循环系统、</w:t>
      </w:r>
      <w:r>
        <w:rPr>
          <w:rFonts w:ascii="宋体" w:hAnsi="宋体" w:eastAsia="宋体" w:cs="宋体"/>
          <w:spacing w:val="6"/>
          <w:sz w:val="24"/>
          <w:szCs w:val="24"/>
        </w:rPr>
        <w:t xml:space="preserve"> </w:t>
      </w:r>
      <w:r>
        <w:rPr>
          <w:rFonts w:ascii="宋体" w:hAnsi="宋体" w:eastAsia="宋体" w:cs="宋体"/>
          <w:spacing w:val="-10"/>
          <w:sz w:val="24"/>
          <w:szCs w:val="24"/>
        </w:rPr>
        <w:t>泥浆材料堆存区、油罐及水罐区、应急池、燃烧池及集</w:t>
      </w:r>
      <w:r>
        <w:rPr>
          <w:rFonts w:ascii="宋体" w:hAnsi="宋体" w:eastAsia="宋体" w:cs="宋体"/>
          <w:spacing w:val="-11"/>
          <w:sz w:val="24"/>
          <w:szCs w:val="24"/>
        </w:rPr>
        <w:t>酸坑、清洁生产操作平台、</w:t>
      </w:r>
      <w:r>
        <w:rPr>
          <w:rFonts w:ascii="宋体" w:hAnsi="宋体" w:eastAsia="宋体" w:cs="宋体"/>
          <w:sz w:val="24"/>
          <w:szCs w:val="24"/>
        </w:rPr>
        <w:t xml:space="preserve">  </w:t>
      </w:r>
      <w:r>
        <w:rPr>
          <w:rFonts w:ascii="宋体" w:hAnsi="宋体" w:eastAsia="宋体" w:cs="宋体"/>
          <w:spacing w:val="-3"/>
          <w:sz w:val="24"/>
          <w:szCs w:val="24"/>
        </w:rPr>
        <w:t>泥浆储备罐区、隔油池、集液池等）、一般防渗区（场部分</w:t>
      </w:r>
      <w:r>
        <w:rPr>
          <w:rFonts w:ascii="宋体" w:hAnsi="宋体" w:eastAsia="宋体" w:cs="宋体"/>
          <w:spacing w:val="-4"/>
          <w:sz w:val="24"/>
          <w:szCs w:val="24"/>
        </w:rPr>
        <w:t xml:space="preserve">非设备基础区（包括 </w:t>
      </w:r>
      <w:r>
        <w:rPr>
          <w:rFonts w:ascii="宋体" w:hAnsi="宋体" w:eastAsia="宋体" w:cs="宋体"/>
          <w:spacing w:val="-3"/>
          <w:sz w:val="24"/>
          <w:szCs w:val="24"/>
        </w:rPr>
        <w:t>清污分流排水沟）、环保厕所）和简单防渗区（除重点防渗区和一般防渗区外的</w:t>
      </w:r>
    </w:p>
    <w:p>
      <w:pPr>
        <w:spacing w:before="1" w:line="219" w:lineRule="auto"/>
        <w:ind w:left="55"/>
        <w:rPr>
          <w:rFonts w:ascii="宋体" w:hAnsi="宋体" w:eastAsia="宋体" w:cs="宋体"/>
          <w:sz w:val="24"/>
          <w:szCs w:val="24"/>
        </w:rPr>
      </w:pPr>
      <w:r>
        <w:rPr>
          <w:rFonts w:ascii="宋体" w:hAnsi="宋体" w:eastAsia="宋体" w:cs="宋体"/>
          <w:spacing w:val="-12"/>
          <w:sz w:val="24"/>
          <w:szCs w:val="24"/>
        </w:rPr>
        <w:t>区域</w:t>
      </w:r>
      <w:r>
        <w:rPr>
          <w:rFonts w:ascii="宋体" w:hAnsi="宋体" w:eastAsia="宋体" w:cs="宋体"/>
          <w:spacing w:val="-28"/>
          <w:sz w:val="24"/>
          <w:szCs w:val="24"/>
        </w:rPr>
        <w:t>），</w:t>
      </w:r>
      <w:r>
        <w:rPr>
          <w:rFonts w:ascii="宋体" w:hAnsi="宋体" w:eastAsia="宋体" w:cs="宋体"/>
          <w:spacing w:val="-12"/>
          <w:sz w:val="24"/>
          <w:szCs w:val="24"/>
        </w:rPr>
        <w:t>见防渗具体要求如下：</w:t>
      </w:r>
    </w:p>
    <w:p>
      <w:pPr>
        <w:spacing w:before="195" w:line="217" w:lineRule="auto"/>
        <w:ind w:left="517"/>
        <w:rPr>
          <w:rFonts w:ascii="宋体" w:hAnsi="宋体" w:eastAsia="宋体" w:cs="宋体"/>
          <w:sz w:val="24"/>
          <w:szCs w:val="24"/>
        </w:rPr>
      </w:pPr>
      <w:r>
        <w:rPr>
          <w:rFonts w:ascii="宋体" w:hAnsi="宋体" w:eastAsia="宋体" w:cs="宋体"/>
          <w:spacing w:val="-1"/>
          <w:sz w:val="24"/>
          <w:szCs w:val="24"/>
        </w:rPr>
        <w:t>①重点</w:t>
      </w:r>
      <w:r>
        <w:rPr>
          <w:rFonts w:hint="eastAsia" w:ascii="宋体" w:hAnsi="宋体" w:eastAsia="宋体" w:cs="宋体"/>
          <w:spacing w:val="-4"/>
          <w:sz w:val="24"/>
          <w:szCs w:val="24"/>
        </w:rPr>
        <w:t>污染防治</w:t>
      </w:r>
      <w:r>
        <w:rPr>
          <w:rFonts w:ascii="宋体" w:hAnsi="宋体" w:eastAsia="宋体" w:cs="宋体"/>
          <w:spacing w:val="-1"/>
          <w:sz w:val="24"/>
          <w:szCs w:val="24"/>
        </w:rPr>
        <w:t>区</w:t>
      </w:r>
    </w:p>
    <w:p>
      <w:pPr>
        <w:spacing w:before="196" w:line="220" w:lineRule="auto"/>
        <w:ind w:left="518"/>
        <w:rPr>
          <w:rFonts w:ascii="宋体" w:hAnsi="宋体" w:eastAsia="宋体" w:cs="宋体"/>
          <w:sz w:val="24"/>
          <w:szCs w:val="24"/>
        </w:rPr>
      </w:pPr>
      <w:r>
        <w:rPr>
          <w:rFonts w:ascii="宋体" w:hAnsi="宋体" w:eastAsia="宋体" w:cs="宋体"/>
          <w:spacing w:val="-6"/>
          <w:sz w:val="24"/>
          <w:szCs w:val="24"/>
        </w:rPr>
        <w:t>根据《石油化工工程防渗技术规范》（</w:t>
      </w:r>
      <w:r>
        <w:rPr>
          <w:rFonts w:ascii="Times New Roman" w:hAnsi="Times New Roman" w:eastAsia="Times New Roman" w:cs="Times New Roman"/>
          <w:spacing w:val="-6"/>
          <w:sz w:val="24"/>
          <w:szCs w:val="24"/>
        </w:rPr>
        <w:t>GB/T50934-2013</w:t>
      </w:r>
      <w:r>
        <w:rPr>
          <w:rFonts w:ascii="宋体" w:hAnsi="宋体" w:eastAsia="宋体" w:cs="宋体"/>
          <w:spacing w:val="-60"/>
          <w:w w:val="95"/>
          <w:sz w:val="24"/>
          <w:szCs w:val="24"/>
        </w:rPr>
        <w:t>），</w:t>
      </w:r>
      <w:r>
        <w:rPr>
          <w:rFonts w:ascii="宋体" w:hAnsi="宋体" w:eastAsia="宋体" w:cs="宋体"/>
          <w:spacing w:val="-6"/>
          <w:sz w:val="24"/>
          <w:szCs w:val="24"/>
        </w:rPr>
        <w:t>重点污染防治区防</w:t>
      </w:r>
    </w:p>
    <w:p>
      <w:pPr>
        <w:spacing w:line="220" w:lineRule="auto"/>
        <w:rPr>
          <w:rFonts w:ascii="宋体" w:hAnsi="宋体" w:eastAsia="宋体" w:cs="宋体"/>
          <w:sz w:val="24"/>
          <w:szCs w:val="24"/>
        </w:rPr>
        <w:sectPr>
          <w:headerReference r:id="rId274" w:type="default"/>
          <w:footerReference r:id="rId275" w:type="default"/>
          <w:pgSz w:w="11907" w:h="16839"/>
          <w:pgMar w:top="1123" w:right="1715" w:bottom="1149" w:left="1769" w:header="1108" w:footer="988" w:gutter="0"/>
          <w:cols w:space="720" w:num="1"/>
        </w:sectPr>
      </w:pPr>
    </w:p>
    <w:p>
      <w:pPr>
        <w:pStyle w:val="2"/>
        <w:spacing w:line="414" w:lineRule="auto"/>
        <w:rPr>
          <w:sz w:val="21"/>
        </w:rPr>
      </w:pPr>
    </w:p>
    <w:p>
      <w:pPr>
        <w:spacing w:before="78" w:line="480" w:lineRule="exact"/>
        <w:ind w:left="130"/>
        <w:rPr>
          <w:rFonts w:ascii="宋体" w:hAnsi="宋体" w:eastAsia="宋体" w:cs="宋体"/>
          <w:sz w:val="24"/>
          <w:szCs w:val="24"/>
        </w:rPr>
      </w:pPr>
      <w:r>
        <w:rPr>
          <w:rFonts w:ascii="宋体" w:hAnsi="宋体" w:eastAsia="宋体" w:cs="宋体"/>
          <w:spacing w:val="-2"/>
          <w:position w:val="17"/>
          <w:sz w:val="24"/>
          <w:szCs w:val="24"/>
        </w:rPr>
        <w:t>渗层要求不应低于</w:t>
      </w:r>
      <w:r>
        <w:rPr>
          <w:rFonts w:ascii="宋体" w:hAnsi="宋体" w:eastAsia="宋体" w:cs="宋体"/>
          <w:spacing w:val="-28"/>
          <w:position w:val="17"/>
          <w:sz w:val="24"/>
          <w:szCs w:val="24"/>
        </w:rPr>
        <w:t xml:space="preserve"> </w:t>
      </w:r>
      <w:r>
        <w:rPr>
          <w:rFonts w:ascii="Times New Roman" w:hAnsi="Times New Roman" w:eastAsia="Times New Roman" w:cs="Times New Roman"/>
          <w:spacing w:val="-2"/>
          <w:position w:val="17"/>
          <w:sz w:val="24"/>
          <w:szCs w:val="24"/>
        </w:rPr>
        <w:t>6.0m</w:t>
      </w:r>
      <w:r>
        <w:rPr>
          <w:rFonts w:ascii="Times New Roman" w:hAnsi="Times New Roman" w:eastAsia="Times New Roman" w:cs="Times New Roman"/>
          <w:spacing w:val="38"/>
          <w:position w:val="17"/>
          <w:sz w:val="24"/>
          <w:szCs w:val="24"/>
        </w:rPr>
        <w:t xml:space="preserve"> </w:t>
      </w:r>
      <w:r>
        <w:rPr>
          <w:rFonts w:ascii="宋体" w:hAnsi="宋体" w:eastAsia="宋体" w:cs="宋体"/>
          <w:spacing w:val="-2"/>
          <w:position w:val="17"/>
          <w:sz w:val="24"/>
          <w:szCs w:val="24"/>
        </w:rPr>
        <w:t xml:space="preserve">厚、渗透系数为 </w:t>
      </w:r>
      <w:r>
        <w:rPr>
          <w:rFonts w:ascii="Times New Roman" w:hAnsi="Times New Roman" w:eastAsia="Times New Roman" w:cs="Times New Roman"/>
          <w:spacing w:val="-2"/>
          <w:position w:val="17"/>
          <w:sz w:val="24"/>
          <w:szCs w:val="24"/>
        </w:rPr>
        <w:t>1.0×1</w:t>
      </w:r>
      <w:r>
        <w:rPr>
          <w:rFonts w:ascii="Times New Roman" w:hAnsi="Times New Roman" w:eastAsia="Times New Roman" w:cs="Times New Roman"/>
          <w:spacing w:val="-3"/>
          <w:position w:val="17"/>
          <w:sz w:val="24"/>
          <w:szCs w:val="24"/>
        </w:rPr>
        <w:t>0</w:t>
      </w:r>
      <w:r>
        <w:rPr>
          <w:rFonts w:ascii="Times New Roman" w:hAnsi="Times New Roman" w:eastAsia="Times New Roman" w:cs="Times New Roman"/>
          <w:spacing w:val="-3"/>
          <w:position w:val="26"/>
          <w:sz w:val="16"/>
          <w:szCs w:val="16"/>
        </w:rPr>
        <w:t>-7</w:t>
      </w:r>
      <w:r>
        <w:rPr>
          <w:rFonts w:ascii="Times New Roman" w:hAnsi="Times New Roman" w:eastAsia="Times New Roman" w:cs="Times New Roman"/>
          <w:spacing w:val="-3"/>
          <w:position w:val="17"/>
          <w:sz w:val="24"/>
          <w:szCs w:val="24"/>
        </w:rPr>
        <w:t>cm/s</w:t>
      </w:r>
      <w:r>
        <w:rPr>
          <w:rFonts w:ascii="Times New Roman" w:hAnsi="Times New Roman" w:eastAsia="Times New Roman" w:cs="Times New Roman"/>
          <w:spacing w:val="51"/>
          <w:position w:val="17"/>
          <w:sz w:val="24"/>
          <w:szCs w:val="24"/>
        </w:rPr>
        <w:t xml:space="preserve"> </w:t>
      </w:r>
      <w:r>
        <w:rPr>
          <w:rFonts w:ascii="宋体" w:hAnsi="宋体" w:eastAsia="宋体" w:cs="宋体"/>
          <w:spacing w:val="-3"/>
          <w:position w:val="17"/>
          <w:sz w:val="24"/>
          <w:szCs w:val="24"/>
        </w:rPr>
        <w:t>的黏土层的防渗性能。根</w:t>
      </w:r>
    </w:p>
    <w:p>
      <w:pPr>
        <w:spacing w:before="1" w:line="218" w:lineRule="auto"/>
        <w:ind w:left="128"/>
        <w:rPr>
          <w:rFonts w:ascii="宋体" w:hAnsi="宋体" w:eastAsia="宋体" w:cs="宋体"/>
          <w:sz w:val="24"/>
          <w:szCs w:val="24"/>
        </w:rPr>
      </w:pPr>
      <w:r>
        <w:rPr>
          <w:rFonts w:ascii="宋体" w:hAnsi="宋体" w:eastAsia="宋体" w:cs="宋体"/>
          <w:spacing w:val="-2"/>
          <w:sz w:val="24"/>
          <w:szCs w:val="24"/>
        </w:rPr>
        <w:t>据上述要求，本项目钻前工程设计针对重点污染防治区拟采取如下防渗措施：</w:t>
      </w:r>
    </w:p>
    <w:p>
      <w:pPr>
        <w:spacing w:before="195" w:line="480" w:lineRule="exact"/>
        <w:ind w:left="608"/>
        <w:rPr>
          <w:rFonts w:ascii="宋体" w:hAnsi="宋体" w:eastAsia="宋体" w:cs="宋体"/>
          <w:sz w:val="24"/>
          <w:szCs w:val="24"/>
        </w:rPr>
      </w:pPr>
      <w:r>
        <w:rPr>
          <w:rFonts w:ascii="Times New Roman" w:hAnsi="Times New Roman" w:eastAsia="Times New Roman" w:cs="Times New Roman"/>
          <w:spacing w:val="-1"/>
          <w:position w:val="17"/>
          <w:sz w:val="24"/>
          <w:szCs w:val="24"/>
        </w:rPr>
        <w:t>a.</w:t>
      </w:r>
      <w:r>
        <w:rPr>
          <w:rFonts w:ascii="Times New Roman" w:hAnsi="Times New Roman" w:eastAsia="Times New Roman" w:cs="Times New Roman"/>
          <w:spacing w:val="16"/>
          <w:position w:val="17"/>
          <w:sz w:val="24"/>
          <w:szCs w:val="24"/>
        </w:rPr>
        <w:t xml:space="preserve"> </w:t>
      </w:r>
      <w:r>
        <w:rPr>
          <w:rFonts w:ascii="宋体" w:hAnsi="宋体" w:eastAsia="宋体" w:cs="宋体"/>
          <w:spacing w:val="-1"/>
          <w:position w:val="17"/>
          <w:sz w:val="24"/>
          <w:szCs w:val="24"/>
        </w:rPr>
        <w:t>场地采用</w:t>
      </w:r>
      <w:r>
        <w:rPr>
          <w:rFonts w:ascii="宋体" w:hAnsi="宋体" w:eastAsia="宋体" w:cs="宋体"/>
          <w:spacing w:val="-52"/>
          <w:position w:val="17"/>
          <w:sz w:val="24"/>
          <w:szCs w:val="24"/>
        </w:rPr>
        <w:t xml:space="preserve"> </w:t>
      </w:r>
      <w:r>
        <w:rPr>
          <w:rFonts w:ascii="Times New Roman" w:hAnsi="Times New Roman" w:eastAsia="Times New Roman" w:cs="Times New Roman"/>
          <w:spacing w:val="-1"/>
          <w:position w:val="17"/>
          <w:sz w:val="24"/>
          <w:szCs w:val="24"/>
        </w:rPr>
        <w:t>0.5m</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1"/>
          <w:position w:val="17"/>
          <w:sz w:val="24"/>
          <w:szCs w:val="24"/>
        </w:rPr>
        <w:t>厚夯实粘土（</w:t>
      </w:r>
      <w:r>
        <w:rPr>
          <w:rFonts w:ascii="Times New Roman" w:hAnsi="Times New Roman" w:eastAsia="Times New Roman" w:cs="Times New Roman"/>
          <w:spacing w:val="-1"/>
          <w:position w:val="17"/>
          <w:sz w:val="24"/>
          <w:szCs w:val="24"/>
        </w:rPr>
        <w:t>K&lt;1.0×10</w:t>
      </w:r>
      <w:r>
        <w:rPr>
          <w:rFonts w:ascii="Times New Roman" w:hAnsi="Times New Roman" w:eastAsia="Times New Roman" w:cs="Times New Roman"/>
          <w:spacing w:val="-1"/>
          <w:position w:val="26"/>
          <w:sz w:val="16"/>
          <w:szCs w:val="16"/>
        </w:rPr>
        <w:t>-7</w:t>
      </w:r>
      <w:r>
        <w:rPr>
          <w:rFonts w:ascii="Times New Roman" w:hAnsi="Times New Roman" w:eastAsia="Times New Roman" w:cs="Times New Roman"/>
          <w:spacing w:val="-1"/>
          <w:position w:val="17"/>
          <w:sz w:val="24"/>
          <w:szCs w:val="24"/>
        </w:rPr>
        <w:t>cm/s</w:t>
      </w: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2"/>
          <w:position w:val="17"/>
          <w:sz w:val="24"/>
          <w:szCs w:val="24"/>
        </w:rPr>
        <w:t xml:space="preserve">10cm </w:t>
      </w:r>
      <w:r>
        <w:rPr>
          <w:rFonts w:ascii="宋体" w:hAnsi="宋体" w:eastAsia="宋体" w:cs="宋体"/>
          <w:spacing w:val="-2"/>
          <w:position w:val="17"/>
          <w:sz w:val="24"/>
          <w:szCs w:val="24"/>
        </w:rPr>
        <w:t>砂砾层</w:t>
      </w:r>
      <w:r>
        <w:rPr>
          <w:rFonts w:ascii="Times New Roman" w:hAnsi="Times New Roman" w:eastAsia="Times New Roman" w:cs="Times New Roman"/>
          <w:spacing w:val="-2"/>
          <w:position w:val="17"/>
          <w:sz w:val="24"/>
          <w:szCs w:val="24"/>
        </w:rPr>
        <w:t xml:space="preserve">+10cmC30 </w:t>
      </w:r>
      <w:r>
        <w:rPr>
          <w:rFonts w:ascii="宋体" w:hAnsi="宋体" w:eastAsia="宋体" w:cs="宋体"/>
          <w:spacing w:val="-2"/>
          <w:position w:val="17"/>
          <w:sz w:val="24"/>
          <w:szCs w:val="24"/>
        </w:rPr>
        <w:t>砼</w:t>
      </w:r>
    </w:p>
    <w:p>
      <w:pPr>
        <w:spacing w:line="233" w:lineRule="auto"/>
        <w:ind w:left="132"/>
        <w:rPr>
          <w:rFonts w:ascii="宋体" w:hAnsi="宋体" w:eastAsia="宋体" w:cs="宋体"/>
          <w:sz w:val="24"/>
          <w:szCs w:val="24"/>
        </w:rPr>
      </w:pPr>
      <w:r>
        <w:rPr>
          <w:rFonts w:ascii="宋体" w:hAnsi="宋体" w:eastAsia="宋体" w:cs="宋体"/>
          <w:spacing w:val="-1"/>
          <w:sz w:val="24"/>
          <w:szCs w:val="24"/>
        </w:rPr>
        <w:t>混凝土面层（</w:t>
      </w:r>
      <w:r>
        <w:rPr>
          <w:rFonts w:ascii="Times New Roman" w:hAnsi="Times New Roman" w:eastAsia="Times New Roman" w:cs="Times New Roman"/>
          <w:spacing w:val="-1"/>
          <w:sz w:val="24"/>
          <w:szCs w:val="24"/>
        </w:rPr>
        <w:t>K&lt;1.0×10</w:t>
      </w:r>
      <w:r>
        <w:rPr>
          <w:rFonts w:ascii="Times New Roman" w:hAnsi="Times New Roman" w:eastAsia="Times New Roman" w:cs="Times New Roman"/>
          <w:spacing w:val="-1"/>
          <w:position w:val="8"/>
          <w:sz w:val="16"/>
          <w:szCs w:val="16"/>
        </w:rPr>
        <w:t>-8</w:t>
      </w:r>
      <w:r>
        <w:rPr>
          <w:rFonts w:ascii="Times New Roman" w:hAnsi="Times New Roman" w:eastAsia="Times New Roman" w:cs="Times New Roman"/>
          <w:spacing w:val="-1"/>
          <w:sz w:val="24"/>
          <w:szCs w:val="24"/>
        </w:rPr>
        <w:t>~1.0×10</w:t>
      </w:r>
      <w:r>
        <w:rPr>
          <w:rFonts w:ascii="Times New Roman" w:hAnsi="Times New Roman" w:eastAsia="Times New Roman" w:cs="Times New Roman"/>
          <w:spacing w:val="-1"/>
          <w:position w:val="8"/>
          <w:sz w:val="16"/>
          <w:szCs w:val="16"/>
        </w:rPr>
        <w:t>-9</w:t>
      </w:r>
      <w:r>
        <w:rPr>
          <w:rFonts w:ascii="Times New Roman" w:hAnsi="Times New Roman" w:eastAsia="Times New Roman" w:cs="Times New Roman"/>
          <w:spacing w:val="-1"/>
          <w:sz w:val="24"/>
          <w:szCs w:val="24"/>
        </w:rPr>
        <w:t>cm/s</w:t>
      </w:r>
      <w:r>
        <w:rPr>
          <w:rFonts w:ascii="宋体" w:hAnsi="宋体" w:eastAsia="宋体" w:cs="宋体"/>
          <w:spacing w:val="-1"/>
          <w:sz w:val="24"/>
          <w:szCs w:val="24"/>
        </w:rPr>
        <w:t>）敷设重点污染防治区基础地面。</w:t>
      </w:r>
    </w:p>
    <w:p>
      <w:pPr>
        <w:spacing w:before="176" w:line="233" w:lineRule="auto"/>
        <w:ind w:left="599"/>
        <w:rPr>
          <w:rFonts w:ascii="宋体" w:hAnsi="宋体" w:eastAsia="宋体" w:cs="宋体"/>
          <w:sz w:val="24"/>
          <w:szCs w:val="24"/>
        </w:rPr>
      </w:pPr>
      <w:r>
        <w:rPr>
          <w:rFonts w:ascii="Times New Roman" w:hAnsi="Times New Roman" w:eastAsia="Times New Roman" w:cs="Times New Roman"/>
          <w:spacing w:val="-2"/>
          <w:sz w:val="24"/>
          <w:szCs w:val="24"/>
        </w:rPr>
        <w:t>b.</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地面采用水泥基渗透结晶型防水剂防渗处理。</w:t>
      </w:r>
    </w:p>
    <w:p>
      <w:pPr>
        <w:spacing w:before="178" w:line="369" w:lineRule="auto"/>
        <w:ind w:left="74" w:firstLine="533"/>
        <w:rPr>
          <w:rFonts w:ascii="宋体" w:hAnsi="宋体" w:eastAsia="宋体" w:cs="宋体"/>
          <w:sz w:val="24"/>
          <w:szCs w:val="24"/>
        </w:rPr>
      </w:pPr>
      <w:r>
        <w:rPr>
          <w:rFonts w:ascii="Times New Roman" w:hAnsi="Times New Roman" w:eastAsia="Times New Roman" w:cs="Times New Roman"/>
          <w:spacing w:val="-10"/>
          <w:sz w:val="24"/>
          <w:szCs w:val="24"/>
        </w:rPr>
        <w:t>c.</w:t>
      </w:r>
      <w:r>
        <w:rPr>
          <w:rFonts w:ascii="宋体" w:hAnsi="宋体" w:eastAsia="宋体" w:cs="宋体"/>
          <w:spacing w:val="-10"/>
          <w:sz w:val="24"/>
          <w:szCs w:val="24"/>
        </w:rPr>
        <w:t>另外，危废暂存间依据执行《危险废物贮存污染控制</w:t>
      </w:r>
      <w:r>
        <w:rPr>
          <w:rFonts w:ascii="宋体" w:hAnsi="宋体" w:eastAsia="宋体" w:cs="宋体"/>
          <w:spacing w:val="-11"/>
          <w:sz w:val="24"/>
          <w:szCs w:val="24"/>
        </w:rPr>
        <w:t>标准》（</w:t>
      </w:r>
      <w:r>
        <w:rPr>
          <w:rFonts w:ascii="Times New Roman" w:hAnsi="Times New Roman" w:eastAsia="Times New Roman" w:cs="Times New Roman"/>
          <w:spacing w:val="-11"/>
          <w:sz w:val="24"/>
          <w:szCs w:val="24"/>
        </w:rPr>
        <w:t>GB18597-2023</w:t>
      </w:r>
      <w:r>
        <w:rPr>
          <w:rFonts w:ascii="宋体" w:hAnsi="宋体" w:eastAsia="宋体" w:cs="宋体"/>
          <w:spacing w:val="-11"/>
          <w:sz w:val="24"/>
          <w:szCs w:val="24"/>
        </w:rPr>
        <w:t>）</w:t>
      </w:r>
      <w:r>
        <w:rPr>
          <w:rFonts w:ascii="宋体" w:hAnsi="宋体" w:eastAsia="宋体" w:cs="宋体"/>
          <w:sz w:val="24"/>
          <w:szCs w:val="24"/>
        </w:rPr>
        <w:t xml:space="preserve"> </w:t>
      </w:r>
      <w:r>
        <w:rPr>
          <w:rFonts w:ascii="Times New Roman" w:hAnsi="Times New Roman" w:eastAsia="Times New Roman" w:cs="Times New Roman"/>
          <w:spacing w:val="-5"/>
          <w:sz w:val="24"/>
          <w:szCs w:val="24"/>
        </w:rPr>
        <w:t>“</w:t>
      </w:r>
      <w:r>
        <w:rPr>
          <w:rFonts w:ascii="宋体" w:hAnsi="宋体" w:eastAsia="宋体" w:cs="宋体"/>
          <w:spacing w:val="-5"/>
          <w:sz w:val="24"/>
          <w:szCs w:val="24"/>
        </w:rPr>
        <w:t>危险废物的堆放基础必须防渗，防渗层为至</w:t>
      </w:r>
      <w:r>
        <w:rPr>
          <w:rFonts w:ascii="宋体" w:hAnsi="宋体" w:eastAsia="宋体" w:cs="宋体"/>
          <w:spacing w:val="-6"/>
          <w:sz w:val="24"/>
          <w:szCs w:val="24"/>
        </w:rPr>
        <w:t>少</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1m </w:t>
      </w:r>
      <w:r>
        <w:rPr>
          <w:rFonts w:ascii="宋体" w:hAnsi="宋体" w:eastAsia="宋体" w:cs="宋体"/>
          <w:spacing w:val="-6"/>
          <w:sz w:val="24"/>
          <w:szCs w:val="24"/>
        </w:rPr>
        <w:t>厚粘土层（渗透系数</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6"/>
          <w:position w:val="9"/>
          <w:sz w:val="16"/>
          <w:szCs w:val="16"/>
        </w:rPr>
        <w:t>-7</w:t>
      </w:r>
      <w:r>
        <w:rPr>
          <w:rFonts w:ascii="Times New Roman" w:hAnsi="Times New Roman" w:eastAsia="Times New Roman" w:cs="Times New Roman"/>
          <w:spacing w:val="-6"/>
          <w:sz w:val="24"/>
          <w:szCs w:val="24"/>
        </w:rPr>
        <w:t>cm/s</w:t>
      </w:r>
      <w:r>
        <w:rPr>
          <w:rFonts w:ascii="宋体" w:hAnsi="宋体" w:eastAsia="宋体" w:cs="宋体"/>
          <w:spacing w:val="-54"/>
          <w:w w:val="86"/>
          <w:sz w:val="24"/>
          <w:szCs w:val="24"/>
        </w:rPr>
        <w:t>），</w:t>
      </w:r>
    </w:p>
    <w:p>
      <w:pPr>
        <w:spacing w:line="232" w:lineRule="auto"/>
        <w:ind w:left="132"/>
        <w:rPr>
          <w:rFonts w:ascii="宋体" w:hAnsi="宋体" w:eastAsia="宋体" w:cs="宋体"/>
          <w:sz w:val="24"/>
          <w:szCs w:val="24"/>
        </w:rPr>
      </w:pPr>
      <w:r>
        <w:rPr>
          <w:rFonts w:ascii="宋体" w:hAnsi="宋体" w:eastAsia="宋体" w:cs="宋体"/>
          <w:spacing w:val="-7"/>
          <w:sz w:val="24"/>
          <w:szCs w:val="24"/>
        </w:rPr>
        <w:t>或</w:t>
      </w:r>
      <w:r>
        <w:rPr>
          <w:rFonts w:ascii="宋体" w:hAnsi="宋体" w:eastAsia="宋体" w:cs="宋体"/>
          <w:spacing w:val="-65"/>
          <w:sz w:val="24"/>
          <w:szCs w:val="24"/>
        </w:rPr>
        <w:t xml:space="preserve"> </w:t>
      </w:r>
      <w:r>
        <w:rPr>
          <w:rFonts w:ascii="Times New Roman" w:hAnsi="Times New Roman" w:eastAsia="Times New Roman" w:cs="Times New Roman"/>
          <w:spacing w:val="-7"/>
          <w:sz w:val="24"/>
          <w:szCs w:val="24"/>
        </w:rPr>
        <w:t xml:space="preserve">2mm </w:t>
      </w:r>
      <w:r>
        <w:rPr>
          <w:rFonts w:ascii="宋体" w:hAnsi="宋体" w:eastAsia="宋体" w:cs="宋体"/>
          <w:spacing w:val="-7"/>
          <w:sz w:val="24"/>
          <w:szCs w:val="24"/>
        </w:rPr>
        <w:t>厚高密度聚乙烯，或至少</w:t>
      </w:r>
      <w:r>
        <w:rPr>
          <w:rFonts w:ascii="宋体" w:hAnsi="宋体" w:eastAsia="宋体" w:cs="宋体"/>
          <w:spacing w:val="-68"/>
          <w:sz w:val="24"/>
          <w:szCs w:val="24"/>
        </w:rPr>
        <w:t xml:space="preserve"> </w:t>
      </w:r>
      <w:r>
        <w:rPr>
          <w:rFonts w:ascii="Times New Roman" w:hAnsi="Times New Roman" w:eastAsia="Times New Roman" w:cs="Times New Roman"/>
          <w:spacing w:val="-7"/>
          <w:sz w:val="24"/>
          <w:szCs w:val="24"/>
        </w:rPr>
        <w:t xml:space="preserve">2mm </w:t>
      </w:r>
      <w:r>
        <w:rPr>
          <w:rFonts w:ascii="宋体" w:hAnsi="宋体" w:eastAsia="宋体" w:cs="宋体"/>
          <w:spacing w:val="-7"/>
          <w:sz w:val="24"/>
          <w:szCs w:val="24"/>
        </w:rPr>
        <w:t>厚的其它人工材料，渗透系数</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position w:val="9"/>
          <w:sz w:val="16"/>
          <w:szCs w:val="16"/>
        </w:rPr>
        <w:t>-</w:t>
      </w:r>
      <w:r>
        <w:rPr>
          <w:rFonts w:ascii="Times New Roman" w:hAnsi="Times New Roman" w:eastAsia="Times New Roman" w:cs="Times New Roman"/>
          <w:spacing w:val="-22"/>
          <w:position w:val="9"/>
          <w:sz w:val="16"/>
          <w:szCs w:val="16"/>
        </w:rPr>
        <w:t xml:space="preserve"> </w:t>
      </w:r>
      <w:r>
        <w:rPr>
          <w:rFonts w:ascii="Times New Roman" w:hAnsi="Times New Roman" w:eastAsia="Times New Roman" w:cs="Times New Roman"/>
          <w:spacing w:val="-7"/>
          <w:position w:val="9"/>
          <w:sz w:val="16"/>
          <w:szCs w:val="16"/>
        </w:rPr>
        <w:t>10</w:t>
      </w:r>
      <w:r>
        <w:rPr>
          <w:rFonts w:ascii="Times New Roman" w:hAnsi="Times New Roman" w:eastAsia="Times New Roman" w:cs="Times New Roman"/>
          <w:spacing w:val="-7"/>
          <w:sz w:val="24"/>
          <w:szCs w:val="24"/>
        </w:rPr>
        <w:t>cm/s”</w:t>
      </w:r>
      <w:r>
        <w:rPr>
          <w:rFonts w:ascii="宋体" w:hAnsi="宋体" w:eastAsia="宋体" w:cs="宋体"/>
          <w:spacing w:val="-7"/>
          <w:sz w:val="24"/>
          <w:szCs w:val="24"/>
        </w:rPr>
        <w:t>，</w:t>
      </w:r>
    </w:p>
    <w:p>
      <w:pPr>
        <w:spacing w:before="179" w:line="369" w:lineRule="auto"/>
        <w:ind w:left="148" w:right="188" w:hanging="18"/>
        <w:rPr>
          <w:rFonts w:ascii="宋体" w:hAnsi="宋体" w:eastAsia="宋体" w:cs="宋体"/>
          <w:sz w:val="24"/>
          <w:szCs w:val="24"/>
        </w:rPr>
      </w:pPr>
      <w:r>
        <w:rPr>
          <w:rFonts w:ascii="宋体" w:hAnsi="宋体" w:eastAsia="宋体" w:cs="宋体"/>
          <w:spacing w:val="-10"/>
          <w:sz w:val="24"/>
          <w:szCs w:val="24"/>
        </w:rPr>
        <w:t>本工程应在危险废物（废油）</w:t>
      </w:r>
      <w:r>
        <w:rPr>
          <w:rFonts w:ascii="宋体" w:hAnsi="宋体" w:eastAsia="宋体" w:cs="宋体"/>
          <w:spacing w:val="-36"/>
          <w:sz w:val="24"/>
          <w:szCs w:val="24"/>
        </w:rPr>
        <w:t xml:space="preserve"> </w:t>
      </w:r>
      <w:r>
        <w:rPr>
          <w:rFonts w:ascii="宋体" w:hAnsi="宋体" w:eastAsia="宋体" w:cs="宋体"/>
          <w:spacing w:val="-10"/>
          <w:sz w:val="24"/>
          <w:szCs w:val="24"/>
        </w:rPr>
        <w:t>产生、装卸及存储区域加</w:t>
      </w:r>
      <w:r>
        <w:rPr>
          <w:rFonts w:ascii="宋体" w:hAnsi="宋体" w:eastAsia="宋体" w:cs="宋体"/>
          <w:spacing w:val="-11"/>
          <w:sz w:val="24"/>
          <w:szCs w:val="24"/>
        </w:rPr>
        <w:t>强防渗措施，</w:t>
      </w:r>
      <w:r>
        <w:rPr>
          <w:rFonts w:ascii="宋体" w:hAnsi="宋体" w:eastAsia="宋体" w:cs="宋体"/>
          <w:spacing w:val="59"/>
          <w:sz w:val="24"/>
          <w:szCs w:val="24"/>
        </w:rPr>
        <w:t xml:space="preserve"> </w:t>
      </w:r>
      <w:r>
        <w:rPr>
          <w:rFonts w:ascii="宋体" w:hAnsi="宋体" w:eastAsia="宋体" w:cs="宋体"/>
          <w:spacing w:val="-11"/>
          <w:sz w:val="24"/>
          <w:szCs w:val="24"/>
        </w:rPr>
        <w:t>即在已设计</w:t>
      </w:r>
      <w:r>
        <w:rPr>
          <w:rFonts w:ascii="宋体" w:hAnsi="宋体" w:eastAsia="宋体" w:cs="宋体"/>
          <w:sz w:val="24"/>
          <w:szCs w:val="24"/>
        </w:rPr>
        <w:t xml:space="preserve"> </w:t>
      </w:r>
      <w:r>
        <w:rPr>
          <w:rFonts w:ascii="宋体" w:hAnsi="宋体" w:eastAsia="宋体" w:cs="宋体"/>
          <w:spacing w:val="-2"/>
          <w:sz w:val="24"/>
          <w:szCs w:val="24"/>
        </w:rPr>
        <w:t>的重点防渗要求之上均增加</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2mm</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高密度聚乙烯膜，再用水泥砂浆抹面，渗透系</w:t>
      </w:r>
    </w:p>
    <w:p>
      <w:pPr>
        <w:spacing w:line="233" w:lineRule="auto"/>
        <w:ind w:left="131"/>
        <w:rPr>
          <w:rFonts w:ascii="宋体" w:hAnsi="宋体" w:eastAsia="宋体" w:cs="宋体"/>
          <w:sz w:val="24"/>
          <w:szCs w:val="24"/>
        </w:rPr>
      </w:pPr>
      <w:r>
        <w:rPr>
          <w:rFonts w:ascii="宋体" w:hAnsi="宋体" w:eastAsia="宋体" w:cs="宋体"/>
          <w:spacing w:val="-3"/>
          <w:sz w:val="24"/>
          <w:szCs w:val="24"/>
        </w:rPr>
        <w:t>数</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8"/>
          <w:sz w:val="16"/>
          <w:szCs w:val="16"/>
        </w:rPr>
        <w:t>-</w:t>
      </w:r>
      <w:r>
        <w:rPr>
          <w:rFonts w:ascii="Times New Roman" w:hAnsi="Times New Roman" w:eastAsia="Times New Roman" w:cs="Times New Roman"/>
          <w:spacing w:val="-14"/>
          <w:position w:val="8"/>
          <w:sz w:val="16"/>
          <w:szCs w:val="16"/>
        </w:rPr>
        <w:t xml:space="preserve"> </w:t>
      </w:r>
      <w:r>
        <w:rPr>
          <w:rFonts w:ascii="Times New Roman" w:hAnsi="Times New Roman" w:eastAsia="Times New Roman" w:cs="Times New Roman"/>
          <w:spacing w:val="-3"/>
          <w:position w:val="8"/>
          <w:sz w:val="16"/>
          <w:szCs w:val="16"/>
        </w:rPr>
        <w:t>10</w:t>
      </w:r>
      <w:r>
        <w:rPr>
          <w:rFonts w:ascii="Times New Roman" w:hAnsi="Times New Roman" w:eastAsia="Times New Roman" w:cs="Times New Roman"/>
          <w:spacing w:val="-3"/>
          <w:sz w:val="24"/>
          <w:szCs w:val="24"/>
        </w:rPr>
        <w:t>cm/s</w:t>
      </w:r>
      <w:r>
        <w:rPr>
          <w:rFonts w:ascii="宋体" w:hAnsi="宋体" w:eastAsia="宋体" w:cs="宋体"/>
          <w:spacing w:val="-3"/>
          <w:sz w:val="24"/>
          <w:szCs w:val="24"/>
        </w:rPr>
        <w:t>，可有效防止污染物入渗。</w:t>
      </w:r>
    </w:p>
    <w:p>
      <w:pPr>
        <w:spacing w:before="178" w:line="217" w:lineRule="auto"/>
        <w:ind w:left="607"/>
        <w:rPr>
          <w:rFonts w:ascii="宋体" w:hAnsi="宋体" w:eastAsia="宋体" w:cs="宋体"/>
          <w:sz w:val="24"/>
          <w:szCs w:val="24"/>
        </w:rPr>
      </w:pPr>
      <w:r>
        <w:rPr>
          <w:rFonts w:ascii="宋体" w:hAnsi="宋体" w:eastAsia="宋体" w:cs="宋体"/>
          <w:spacing w:val="-1"/>
          <w:sz w:val="24"/>
          <w:szCs w:val="24"/>
        </w:rPr>
        <w:t>②一般</w:t>
      </w:r>
      <w:r>
        <w:rPr>
          <w:rFonts w:hint="eastAsia" w:ascii="宋体" w:hAnsi="宋体" w:eastAsia="宋体" w:cs="宋体"/>
          <w:spacing w:val="-4"/>
          <w:sz w:val="24"/>
          <w:szCs w:val="24"/>
        </w:rPr>
        <w:t>污染防治</w:t>
      </w:r>
      <w:r>
        <w:rPr>
          <w:rFonts w:ascii="宋体" w:hAnsi="宋体" w:eastAsia="宋体" w:cs="宋体"/>
          <w:spacing w:val="-1"/>
          <w:sz w:val="24"/>
          <w:szCs w:val="24"/>
        </w:rPr>
        <w:t>区</w:t>
      </w:r>
    </w:p>
    <w:p>
      <w:pPr>
        <w:spacing w:before="199" w:line="369" w:lineRule="auto"/>
        <w:ind w:left="129" w:right="188" w:firstLine="483"/>
        <w:rPr>
          <w:rFonts w:ascii="宋体" w:hAnsi="宋体" w:eastAsia="宋体" w:cs="宋体"/>
          <w:sz w:val="24"/>
          <w:szCs w:val="24"/>
        </w:rPr>
      </w:pPr>
      <w:r>
        <w:rPr>
          <w:rFonts w:ascii="宋体" w:hAnsi="宋体" w:eastAsia="宋体" w:cs="宋体"/>
          <w:spacing w:val="-6"/>
          <w:sz w:val="24"/>
          <w:szCs w:val="24"/>
        </w:rPr>
        <w:t>一般防渗区根据《石油化工工程防渗技术规范》（</w:t>
      </w:r>
      <w:r>
        <w:rPr>
          <w:rFonts w:ascii="Times New Roman" w:hAnsi="Times New Roman" w:eastAsia="Times New Roman" w:cs="Times New Roman"/>
          <w:spacing w:val="-6"/>
          <w:sz w:val="24"/>
          <w:szCs w:val="24"/>
        </w:rPr>
        <w:t>GB/T50934-2013</w:t>
      </w:r>
      <w:r>
        <w:rPr>
          <w:rFonts w:ascii="宋体" w:hAnsi="宋体" w:eastAsia="宋体" w:cs="宋体"/>
          <w:spacing w:val="-61"/>
          <w:w w:val="97"/>
          <w:sz w:val="24"/>
          <w:szCs w:val="24"/>
        </w:rPr>
        <w:t>），</w:t>
      </w:r>
      <w:r>
        <w:rPr>
          <w:rFonts w:ascii="宋体" w:hAnsi="宋体" w:eastAsia="宋体" w:cs="宋体"/>
          <w:spacing w:val="-6"/>
          <w:sz w:val="24"/>
          <w:szCs w:val="24"/>
        </w:rPr>
        <w:t>一般污</w:t>
      </w:r>
      <w:r>
        <w:rPr>
          <w:rFonts w:ascii="宋体" w:hAnsi="宋体" w:eastAsia="宋体" w:cs="宋体"/>
          <w:spacing w:val="1"/>
          <w:sz w:val="24"/>
          <w:szCs w:val="24"/>
        </w:rPr>
        <w:t xml:space="preserve"> </w:t>
      </w:r>
      <w:r>
        <w:rPr>
          <w:rFonts w:ascii="宋体" w:hAnsi="宋体" w:eastAsia="宋体" w:cs="宋体"/>
          <w:spacing w:val="-3"/>
          <w:sz w:val="24"/>
          <w:szCs w:val="24"/>
        </w:rPr>
        <w:t>染防治区防渗层要求不应低于</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厚、渗透系数</w:t>
      </w:r>
      <w:r>
        <w:rPr>
          <w:rFonts w:ascii="宋体" w:hAnsi="宋体" w:eastAsia="宋体" w:cs="宋体"/>
          <w:spacing w:val="-4"/>
          <w:sz w:val="24"/>
          <w:szCs w:val="24"/>
        </w:rPr>
        <w:t>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宋体" w:hAnsi="宋体" w:eastAsia="宋体" w:cs="宋体"/>
          <w:spacing w:val="-4"/>
          <w:sz w:val="24"/>
          <w:szCs w:val="24"/>
        </w:rPr>
        <w:t>×</w:t>
      </w:r>
      <w:r>
        <w:rPr>
          <w:rFonts w:ascii="Times New Roman" w:hAnsi="Times New Roman" w:eastAsia="Times New Roman" w:cs="Times New Roman"/>
          <w:spacing w:val="-4"/>
          <w:sz w:val="24"/>
          <w:szCs w:val="24"/>
        </w:rPr>
        <w:t>10-7cm/s</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。一般防渗区</w:t>
      </w:r>
      <w:r>
        <w:rPr>
          <w:rFonts w:ascii="宋体" w:hAnsi="宋体" w:eastAsia="宋体" w:cs="宋体"/>
          <w:sz w:val="24"/>
          <w:szCs w:val="24"/>
        </w:rPr>
        <w:t xml:space="preserve"> </w:t>
      </w:r>
      <w:r>
        <w:rPr>
          <w:rFonts w:ascii="宋体" w:hAnsi="宋体" w:eastAsia="宋体" w:cs="宋体"/>
          <w:spacing w:val="-15"/>
          <w:sz w:val="24"/>
          <w:szCs w:val="24"/>
        </w:rPr>
        <w:t>地坪： 通过在混凝土面层中掺水泥基渗透结晶型防水剂，</w:t>
      </w:r>
      <w:r>
        <w:rPr>
          <w:rFonts w:ascii="宋体" w:hAnsi="宋体" w:eastAsia="宋体" w:cs="宋体"/>
          <w:spacing w:val="43"/>
          <w:sz w:val="24"/>
          <w:szCs w:val="24"/>
        </w:rPr>
        <w:t xml:space="preserve"> </w:t>
      </w:r>
      <w:r>
        <w:rPr>
          <w:rFonts w:ascii="宋体" w:hAnsi="宋体" w:eastAsia="宋体" w:cs="宋体"/>
          <w:spacing w:val="-15"/>
          <w:sz w:val="24"/>
          <w:szCs w:val="24"/>
        </w:rPr>
        <w:t>其下铺砌砂石基层，</w:t>
      </w:r>
      <w:r>
        <w:rPr>
          <w:rFonts w:ascii="宋体" w:hAnsi="宋体" w:eastAsia="宋体" w:cs="宋体"/>
          <w:spacing w:val="40"/>
          <w:sz w:val="24"/>
          <w:szCs w:val="24"/>
        </w:rPr>
        <w:t xml:space="preserve"> </w:t>
      </w:r>
      <w:r>
        <w:rPr>
          <w:rFonts w:ascii="宋体" w:hAnsi="宋体" w:eastAsia="宋体" w:cs="宋体"/>
          <w:spacing w:val="-15"/>
          <w:sz w:val="24"/>
          <w:szCs w:val="24"/>
        </w:rPr>
        <w:t>原</w:t>
      </w:r>
      <w:r>
        <w:rPr>
          <w:rFonts w:ascii="宋体" w:hAnsi="宋体" w:eastAsia="宋体" w:cs="宋体"/>
          <w:sz w:val="24"/>
          <w:szCs w:val="24"/>
        </w:rPr>
        <w:t xml:space="preserve"> </w:t>
      </w:r>
      <w:r>
        <w:rPr>
          <w:rFonts w:ascii="宋体" w:hAnsi="宋体" w:eastAsia="宋体" w:cs="宋体"/>
          <w:spacing w:val="-6"/>
          <w:sz w:val="24"/>
          <w:szCs w:val="24"/>
        </w:rPr>
        <w:t>土夯实达到防渗的目的。对于混凝土中间的伸缩缝和实体基础的缝隙， 通过填充</w:t>
      </w:r>
    </w:p>
    <w:p>
      <w:pPr>
        <w:spacing w:before="1" w:line="218" w:lineRule="auto"/>
        <w:ind w:left="130"/>
        <w:rPr>
          <w:rFonts w:ascii="宋体" w:hAnsi="宋体" w:eastAsia="宋体" w:cs="宋体"/>
          <w:sz w:val="24"/>
          <w:szCs w:val="24"/>
        </w:rPr>
      </w:pPr>
      <w:r>
        <w:rPr>
          <w:rFonts w:ascii="宋体" w:hAnsi="宋体" w:eastAsia="宋体" w:cs="宋体"/>
          <w:spacing w:val="-4"/>
          <w:sz w:val="24"/>
          <w:szCs w:val="24"/>
        </w:rPr>
        <w:t>柔性材料达到防渗目的。</w:t>
      </w:r>
    </w:p>
    <w:p>
      <w:pPr>
        <w:spacing w:before="196" w:line="217" w:lineRule="auto"/>
        <w:ind w:left="607"/>
        <w:rPr>
          <w:rFonts w:ascii="宋体" w:hAnsi="宋体" w:eastAsia="宋体" w:cs="宋体"/>
          <w:sz w:val="24"/>
          <w:szCs w:val="24"/>
        </w:rPr>
      </w:pPr>
      <w:r>
        <w:rPr>
          <w:rFonts w:ascii="宋体" w:hAnsi="宋体" w:eastAsia="宋体" w:cs="宋体"/>
          <w:spacing w:val="-2"/>
          <w:sz w:val="24"/>
          <w:szCs w:val="24"/>
        </w:rPr>
        <w:t>③简单防渗区</w:t>
      </w:r>
    </w:p>
    <w:p>
      <w:pPr>
        <w:spacing w:before="197" w:line="219" w:lineRule="auto"/>
        <w:ind w:left="614"/>
        <w:rPr>
          <w:rFonts w:ascii="宋体" w:hAnsi="宋体" w:eastAsia="宋体" w:cs="宋体"/>
          <w:sz w:val="24"/>
          <w:szCs w:val="24"/>
        </w:rPr>
      </w:pPr>
      <w:r>
        <w:rPr>
          <w:rFonts w:ascii="宋体" w:hAnsi="宋体" w:eastAsia="宋体" w:cs="宋体"/>
          <w:spacing w:val="-3"/>
          <w:sz w:val="24"/>
          <w:szCs w:val="24"/>
        </w:rPr>
        <w:t>简单防渗区满足一般地面硬化防渗技术要求。</w:t>
      </w:r>
    </w:p>
    <w:p>
      <w:pPr>
        <w:spacing w:before="195" w:line="219" w:lineRule="auto"/>
        <w:ind w:left="2137"/>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2"/>
          <w:sz w:val="24"/>
          <w:szCs w:val="24"/>
        </w:rPr>
        <w:t xml:space="preserve"> </w:t>
      </w:r>
      <w:r>
        <w:rPr>
          <w:rFonts w:ascii="Times New Roman" w:hAnsi="Times New Roman" w:eastAsia="Times New Roman" w:cs="Times New Roman"/>
          <w:b/>
          <w:bCs/>
          <w:spacing w:val="-1"/>
          <w:sz w:val="24"/>
          <w:szCs w:val="24"/>
        </w:rPr>
        <w:t xml:space="preserve">6.2-1      </w:t>
      </w:r>
      <w:r>
        <w:rPr>
          <w:rFonts w:ascii="宋体" w:hAnsi="宋体" w:eastAsia="宋体" w:cs="宋体"/>
          <w:spacing w:val="-1"/>
          <w:sz w:val="24"/>
          <w:szCs w:val="24"/>
          <w14:textOutline w14:w="4354" w14:cap="flat" w14:cmpd="sng">
            <w14:solidFill>
              <w14:srgbClr w14:val="000000"/>
            </w14:solidFill>
            <w14:prstDash w14:val="solid"/>
            <w14:miter w14:val="10"/>
          </w14:textOutline>
        </w:rPr>
        <w:t>拟建工程分区防渗方案一览表</w:t>
      </w:r>
    </w:p>
    <w:p>
      <w:pPr>
        <w:spacing w:line="18" w:lineRule="exact"/>
      </w:pPr>
    </w:p>
    <w:tbl>
      <w:tblPr>
        <w:tblStyle w:val="5"/>
        <w:tblW w:w="85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2409"/>
        <w:gridCol w:w="2511"/>
        <w:gridCol w:w="25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13" w:type="dxa"/>
            <w:vAlign w:val="top"/>
          </w:tcPr>
          <w:p>
            <w:pPr>
              <w:pStyle w:val="6"/>
              <w:spacing w:before="34" w:line="221" w:lineRule="auto"/>
              <w:ind w:left="141"/>
              <w:rPr>
                <w:sz w:val="21"/>
                <w:szCs w:val="21"/>
              </w:rPr>
            </w:pPr>
            <w:r>
              <w:rPr>
                <w:rFonts w:hint="eastAsia"/>
                <w:sz w:val="21"/>
                <w:szCs w:val="21"/>
              </w:rPr>
              <w:t>污染防治</w:t>
            </w:r>
          </w:p>
          <w:p>
            <w:pPr>
              <w:pStyle w:val="6"/>
              <w:spacing w:before="21" w:line="207" w:lineRule="auto"/>
              <w:ind w:left="261"/>
              <w:rPr>
                <w:sz w:val="21"/>
                <w:szCs w:val="21"/>
              </w:rPr>
            </w:pPr>
            <w:r>
              <w:rPr>
                <w:spacing w:val="-5"/>
                <w:sz w:val="21"/>
                <w:szCs w:val="21"/>
              </w:rPr>
              <w:t>区类别</w:t>
            </w:r>
          </w:p>
        </w:tc>
        <w:tc>
          <w:tcPr>
            <w:tcW w:w="2409" w:type="dxa"/>
            <w:vAlign w:val="top"/>
          </w:tcPr>
          <w:p>
            <w:pPr>
              <w:pStyle w:val="6"/>
              <w:spacing w:before="171" w:line="221" w:lineRule="auto"/>
              <w:ind w:left="588"/>
              <w:rPr>
                <w:sz w:val="21"/>
                <w:szCs w:val="21"/>
              </w:rPr>
            </w:pPr>
            <w:r>
              <w:rPr>
                <w:spacing w:val="-3"/>
                <w:sz w:val="21"/>
                <w:szCs w:val="21"/>
              </w:rPr>
              <w:t>防渗性能要求</w:t>
            </w:r>
          </w:p>
        </w:tc>
        <w:tc>
          <w:tcPr>
            <w:tcW w:w="2511" w:type="dxa"/>
            <w:vAlign w:val="top"/>
          </w:tcPr>
          <w:p>
            <w:pPr>
              <w:pStyle w:val="6"/>
              <w:spacing w:before="171" w:line="221" w:lineRule="auto"/>
              <w:ind w:left="841"/>
              <w:rPr>
                <w:sz w:val="21"/>
                <w:szCs w:val="21"/>
              </w:rPr>
            </w:pPr>
            <w:r>
              <w:rPr>
                <w:spacing w:val="-2"/>
                <w:sz w:val="21"/>
                <w:szCs w:val="21"/>
              </w:rPr>
              <w:t>单元名称</w:t>
            </w:r>
          </w:p>
        </w:tc>
        <w:tc>
          <w:tcPr>
            <w:tcW w:w="2514" w:type="dxa"/>
            <w:vAlign w:val="top"/>
          </w:tcPr>
          <w:p>
            <w:pPr>
              <w:pStyle w:val="6"/>
              <w:spacing w:before="170" w:line="221" w:lineRule="auto"/>
              <w:ind w:left="316"/>
              <w:rPr>
                <w:sz w:val="21"/>
                <w:szCs w:val="21"/>
              </w:rPr>
            </w:pPr>
            <w:r>
              <w:rPr>
                <w:rFonts w:hint="eastAsia"/>
                <w:spacing w:val="-1"/>
                <w:sz w:val="21"/>
                <w:szCs w:val="21"/>
              </w:rPr>
              <w:t>污染防治</w:t>
            </w:r>
            <w:r>
              <w:rPr>
                <w:spacing w:val="-1"/>
                <w:sz w:val="21"/>
                <w:szCs w:val="21"/>
              </w:rPr>
              <w:t>区域或部位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13"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9" w:line="232" w:lineRule="auto"/>
              <w:ind w:left="469" w:right="133" w:hanging="329"/>
              <w:rPr>
                <w:sz w:val="21"/>
                <w:szCs w:val="21"/>
              </w:rPr>
            </w:pPr>
            <w:r>
              <w:rPr>
                <w:spacing w:val="-2"/>
                <w:sz w:val="21"/>
                <w:szCs w:val="21"/>
              </w:rPr>
              <w:t>重点防渗</w:t>
            </w:r>
            <w:r>
              <w:rPr>
                <w:sz w:val="21"/>
                <w:szCs w:val="21"/>
              </w:rPr>
              <w:t xml:space="preserve"> 区</w:t>
            </w:r>
          </w:p>
        </w:tc>
        <w:tc>
          <w:tcPr>
            <w:tcW w:w="2409"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9" w:line="221" w:lineRule="auto"/>
              <w:ind w:left="109"/>
              <w:rPr>
                <w:sz w:val="21"/>
                <w:szCs w:val="21"/>
              </w:rPr>
            </w:pPr>
            <w:r>
              <w:rPr>
                <w:spacing w:val="-4"/>
                <w:sz w:val="21"/>
                <w:szCs w:val="21"/>
              </w:rPr>
              <w:t>满足不应低于</w:t>
            </w:r>
            <w:r>
              <w:rPr>
                <w:spacing w:val="-33"/>
                <w:sz w:val="21"/>
                <w:szCs w:val="21"/>
              </w:rPr>
              <w:t xml:space="preserve"> </w:t>
            </w:r>
            <w:r>
              <w:rPr>
                <w:rFonts w:ascii="Times New Roman" w:hAnsi="Times New Roman" w:eastAsia="Times New Roman" w:cs="Times New Roman"/>
                <w:spacing w:val="-4"/>
                <w:sz w:val="21"/>
                <w:szCs w:val="21"/>
              </w:rPr>
              <w:t>6.0m</w:t>
            </w:r>
            <w:r>
              <w:rPr>
                <w:rFonts w:ascii="Times New Roman" w:hAnsi="Times New Roman" w:eastAsia="Times New Roman" w:cs="Times New Roman"/>
                <w:spacing w:val="12"/>
                <w:sz w:val="21"/>
                <w:szCs w:val="21"/>
              </w:rPr>
              <w:t xml:space="preserve"> </w:t>
            </w:r>
            <w:r>
              <w:rPr>
                <w:spacing w:val="-4"/>
                <w:sz w:val="21"/>
                <w:szCs w:val="21"/>
              </w:rPr>
              <w:t>厚、</w:t>
            </w:r>
          </w:p>
          <w:p>
            <w:pPr>
              <w:pStyle w:val="6"/>
              <w:spacing w:before="23" w:line="234" w:lineRule="auto"/>
              <w:ind w:left="110"/>
              <w:rPr>
                <w:rFonts w:ascii="Times New Roman" w:hAnsi="Times New Roman" w:eastAsia="Times New Roman" w:cs="Times New Roman"/>
                <w:sz w:val="21"/>
                <w:szCs w:val="21"/>
              </w:rPr>
            </w:pPr>
            <w:r>
              <w:rPr>
                <w:spacing w:val="-2"/>
                <w:sz w:val="21"/>
                <w:szCs w:val="21"/>
              </w:rPr>
              <w:t>渗透系数为</w:t>
            </w:r>
            <w:r>
              <w:rPr>
                <w:spacing w:val="-32"/>
                <w:sz w:val="21"/>
                <w:szCs w:val="21"/>
              </w:rPr>
              <w:t xml:space="preserve"> </w:t>
            </w:r>
            <w:r>
              <w:rPr>
                <w:rFonts w:ascii="Times New Roman" w:hAnsi="Times New Roman" w:eastAsia="Times New Roman" w:cs="Times New Roman"/>
                <w:spacing w:val="-2"/>
                <w:sz w:val="21"/>
                <w:szCs w:val="21"/>
              </w:rPr>
              <w:t>1.0×10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spacing w:val="-2"/>
                <w:sz w:val="21"/>
                <w:szCs w:val="21"/>
              </w:rPr>
              <w:t>cm/s</w:t>
            </w:r>
          </w:p>
          <w:p>
            <w:pPr>
              <w:pStyle w:val="6"/>
              <w:spacing w:before="5" w:line="231" w:lineRule="auto"/>
              <w:ind w:left="1108" w:right="154" w:hanging="936"/>
              <w:rPr>
                <w:sz w:val="21"/>
                <w:szCs w:val="21"/>
              </w:rPr>
            </w:pPr>
            <w:r>
              <w:rPr>
                <w:spacing w:val="-3"/>
                <w:sz w:val="21"/>
                <w:szCs w:val="21"/>
              </w:rPr>
              <w:t>的等效黏土层的防渗性</w:t>
            </w:r>
            <w:r>
              <w:rPr>
                <w:spacing w:val="6"/>
                <w:sz w:val="21"/>
                <w:szCs w:val="21"/>
              </w:rPr>
              <w:t xml:space="preserve"> </w:t>
            </w:r>
            <w:r>
              <w:rPr>
                <w:sz w:val="21"/>
                <w:szCs w:val="21"/>
              </w:rPr>
              <w:t>能</w:t>
            </w:r>
          </w:p>
        </w:tc>
        <w:tc>
          <w:tcPr>
            <w:tcW w:w="2511" w:type="dxa"/>
            <w:vAlign w:val="top"/>
          </w:tcPr>
          <w:p>
            <w:pPr>
              <w:pStyle w:val="6"/>
              <w:spacing w:before="30" w:line="221" w:lineRule="auto"/>
              <w:ind w:left="112"/>
              <w:rPr>
                <w:sz w:val="21"/>
                <w:szCs w:val="21"/>
              </w:rPr>
            </w:pPr>
            <w:r>
              <w:rPr>
                <w:spacing w:val="-2"/>
                <w:sz w:val="21"/>
                <w:szCs w:val="21"/>
              </w:rPr>
              <w:t>井场内井口、井架及设备</w:t>
            </w:r>
          </w:p>
          <w:p>
            <w:pPr>
              <w:pStyle w:val="6"/>
              <w:spacing w:before="22" w:line="220" w:lineRule="auto"/>
              <w:ind w:left="112"/>
              <w:rPr>
                <w:sz w:val="21"/>
                <w:szCs w:val="21"/>
              </w:rPr>
            </w:pPr>
            <w:r>
              <w:rPr>
                <w:spacing w:val="-2"/>
                <w:sz w:val="21"/>
                <w:szCs w:val="21"/>
              </w:rPr>
              <w:t>基础区域、泥浆材料堆存</w:t>
            </w:r>
          </w:p>
          <w:p>
            <w:pPr>
              <w:pStyle w:val="6"/>
              <w:spacing w:before="20" w:line="208" w:lineRule="auto"/>
              <w:ind w:left="541"/>
              <w:rPr>
                <w:sz w:val="21"/>
                <w:szCs w:val="21"/>
              </w:rPr>
            </w:pPr>
            <w:r>
              <w:rPr>
                <w:spacing w:val="-3"/>
                <w:sz w:val="21"/>
                <w:szCs w:val="21"/>
              </w:rPr>
              <w:t>区、循环系统区</w:t>
            </w:r>
          </w:p>
        </w:tc>
        <w:tc>
          <w:tcPr>
            <w:tcW w:w="2514" w:type="dxa"/>
            <w:vAlign w:val="top"/>
          </w:tcPr>
          <w:p>
            <w:pPr>
              <w:pStyle w:val="6"/>
              <w:spacing w:before="304" w:line="222" w:lineRule="auto"/>
              <w:ind w:left="1051"/>
              <w:rPr>
                <w:sz w:val="21"/>
                <w:szCs w:val="21"/>
              </w:rPr>
            </w:pPr>
            <w:r>
              <w:rPr>
                <w:spacing w:val="-2"/>
                <w:sz w:val="21"/>
                <w:szCs w:val="21"/>
              </w:rPr>
              <w:t>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3" w:type="dxa"/>
            <w:vMerge w:val="continue"/>
            <w:tcBorders>
              <w:top w:val="nil"/>
              <w:bottom w:val="nil"/>
            </w:tcBorders>
            <w:vAlign w:val="top"/>
          </w:tcPr>
          <w:p>
            <w:pPr>
              <w:rPr>
                <w:rFonts w:ascii="Arial"/>
                <w:sz w:val="21"/>
              </w:rPr>
            </w:pPr>
          </w:p>
        </w:tc>
        <w:tc>
          <w:tcPr>
            <w:tcW w:w="2409" w:type="dxa"/>
            <w:vMerge w:val="continue"/>
            <w:tcBorders>
              <w:top w:val="nil"/>
              <w:bottom w:val="nil"/>
            </w:tcBorders>
            <w:vAlign w:val="top"/>
          </w:tcPr>
          <w:p>
            <w:pPr>
              <w:rPr>
                <w:rFonts w:ascii="Arial"/>
                <w:sz w:val="21"/>
              </w:rPr>
            </w:pPr>
          </w:p>
        </w:tc>
        <w:tc>
          <w:tcPr>
            <w:tcW w:w="2511" w:type="dxa"/>
            <w:vAlign w:val="top"/>
          </w:tcPr>
          <w:p>
            <w:pPr>
              <w:pStyle w:val="6"/>
              <w:spacing w:before="168" w:line="221" w:lineRule="auto"/>
              <w:ind w:left="634"/>
              <w:rPr>
                <w:sz w:val="21"/>
                <w:szCs w:val="21"/>
              </w:rPr>
            </w:pPr>
            <w:r>
              <w:rPr>
                <w:spacing w:val="-2"/>
                <w:sz w:val="21"/>
                <w:szCs w:val="21"/>
              </w:rPr>
              <w:t>油罐、水罐区</w:t>
            </w:r>
          </w:p>
        </w:tc>
        <w:tc>
          <w:tcPr>
            <w:tcW w:w="2514" w:type="dxa"/>
            <w:vAlign w:val="top"/>
          </w:tcPr>
          <w:p>
            <w:pPr>
              <w:pStyle w:val="6"/>
              <w:spacing w:before="31" w:line="223" w:lineRule="auto"/>
              <w:ind w:left="853" w:right="32" w:hanging="738"/>
              <w:rPr>
                <w:sz w:val="21"/>
                <w:szCs w:val="21"/>
              </w:rPr>
            </w:pPr>
            <w:r>
              <w:rPr>
                <w:spacing w:val="-14"/>
                <w:sz w:val="21"/>
                <w:szCs w:val="21"/>
              </w:rPr>
              <w:t>地面、围堰、四周及底部、</w:t>
            </w:r>
            <w:r>
              <w:rPr>
                <w:spacing w:val="8"/>
                <w:sz w:val="21"/>
                <w:szCs w:val="21"/>
              </w:rPr>
              <w:t xml:space="preserve"> </w:t>
            </w:r>
            <w:r>
              <w:rPr>
                <w:spacing w:val="-5"/>
                <w:sz w:val="21"/>
                <w:szCs w:val="21"/>
              </w:rPr>
              <w:t>防渗罐体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3" w:type="dxa"/>
            <w:vMerge w:val="continue"/>
            <w:tcBorders>
              <w:top w:val="nil"/>
              <w:bottom w:val="nil"/>
            </w:tcBorders>
            <w:vAlign w:val="top"/>
          </w:tcPr>
          <w:p>
            <w:pPr>
              <w:rPr>
                <w:rFonts w:ascii="Arial"/>
                <w:sz w:val="21"/>
              </w:rPr>
            </w:pPr>
          </w:p>
        </w:tc>
        <w:tc>
          <w:tcPr>
            <w:tcW w:w="2409" w:type="dxa"/>
            <w:vMerge w:val="continue"/>
            <w:tcBorders>
              <w:top w:val="nil"/>
              <w:bottom w:val="nil"/>
            </w:tcBorders>
            <w:vAlign w:val="top"/>
          </w:tcPr>
          <w:p>
            <w:pPr>
              <w:rPr>
                <w:rFonts w:ascii="Arial"/>
                <w:sz w:val="21"/>
              </w:rPr>
            </w:pPr>
          </w:p>
        </w:tc>
        <w:tc>
          <w:tcPr>
            <w:tcW w:w="2511" w:type="dxa"/>
            <w:vAlign w:val="top"/>
          </w:tcPr>
          <w:p>
            <w:pPr>
              <w:pStyle w:val="6"/>
              <w:spacing w:before="66" w:line="223" w:lineRule="auto"/>
              <w:ind w:left="945"/>
              <w:rPr>
                <w:sz w:val="21"/>
                <w:szCs w:val="21"/>
              </w:rPr>
            </w:pPr>
            <w:r>
              <w:rPr>
                <w:spacing w:val="-2"/>
                <w:sz w:val="21"/>
                <w:szCs w:val="21"/>
              </w:rPr>
              <w:t>应急池</w:t>
            </w:r>
          </w:p>
        </w:tc>
        <w:tc>
          <w:tcPr>
            <w:tcW w:w="2514" w:type="dxa"/>
            <w:vAlign w:val="top"/>
          </w:tcPr>
          <w:p>
            <w:pPr>
              <w:pStyle w:val="6"/>
              <w:spacing w:before="66" w:line="222" w:lineRule="auto"/>
              <w:ind w:left="734"/>
              <w:rPr>
                <w:sz w:val="21"/>
                <w:szCs w:val="21"/>
              </w:rPr>
            </w:pPr>
            <w:r>
              <w:rPr>
                <w:spacing w:val="-1"/>
                <w:sz w:val="21"/>
                <w:szCs w:val="21"/>
              </w:rPr>
              <w:t>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3" w:type="dxa"/>
            <w:vMerge w:val="continue"/>
            <w:tcBorders>
              <w:top w:val="nil"/>
              <w:bottom w:val="nil"/>
            </w:tcBorders>
            <w:vAlign w:val="top"/>
          </w:tcPr>
          <w:p>
            <w:pPr>
              <w:rPr>
                <w:rFonts w:ascii="Arial"/>
                <w:sz w:val="21"/>
              </w:rPr>
            </w:pPr>
          </w:p>
        </w:tc>
        <w:tc>
          <w:tcPr>
            <w:tcW w:w="2409" w:type="dxa"/>
            <w:vMerge w:val="continue"/>
            <w:tcBorders>
              <w:top w:val="nil"/>
              <w:bottom w:val="nil"/>
            </w:tcBorders>
            <w:vAlign w:val="top"/>
          </w:tcPr>
          <w:p>
            <w:pPr>
              <w:rPr>
                <w:rFonts w:ascii="Arial"/>
                <w:sz w:val="21"/>
              </w:rPr>
            </w:pPr>
          </w:p>
        </w:tc>
        <w:tc>
          <w:tcPr>
            <w:tcW w:w="2511" w:type="dxa"/>
            <w:vAlign w:val="top"/>
          </w:tcPr>
          <w:p>
            <w:pPr>
              <w:pStyle w:val="6"/>
              <w:spacing w:before="66" w:line="220" w:lineRule="auto"/>
              <w:ind w:left="526"/>
              <w:rPr>
                <w:sz w:val="21"/>
                <w:szCs w:val="21"/>
              </w:rPr>
            </w:pPr>
            <w:r>
              <w:rPr>
                <w:spacing w:val="-1"/>
                <w:sz w:val="21"/>
                <w:szCs w:val="21"/>
              </w:rPr>
              <w:t>燃烧池、集酸坑</w:t>
            </w:r>
          </w:p>
        </w:tc>
        <w:tc>
          <w:tcPr>
            <w:tcW w:w="2514" w:type="dxa"/>
            <w:vAlign w:val="top"/>
          </w:tcPr>
          <w:p>
            <w:pPr>
              <w:pStyle w:val="6"/>
              <w:spacing w:before="66" w:line="222" w:lineRule="auto"/>
              <w:ind w:left="734"/>
              <w:rPr>
                <w:sz w:val="21"/>
                <w:szCs w:val="21"/>
              </w:rPr>
            </w:pPr>
            <w:r>
              <w:rPr>
                <w:spacing w:val="-1"/>
                <w:sz w:val="21"/>
                <w:szCs w:val="21"/>
              </w:rPr>
              <w:t>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13" w:type="dxa"/>
            <w:vMerge w:val="continue"/>
            <w:tcBorders>
              <w:top w:val="nil"/>
              <w:bottom w:val="nil"/>
            </w:tcBorders>
            <w:vAlign w:val="top"/>
          </w:tcPr>
          <w:p>
            <w:pPr>
              <w:rPr>
                <w:rFonts w:ascii="Arial"/>
                <w:sz w:val="21"/>
              </w:rPr>
            </w:pPr>
          </w:p>
        </w:tc>
        <w:tc>
          <w:tcPr>
            <w:tcW w:w="2409" w:type="dxa"/>
            <w:vMerge w:val="continue"/>
            <w:tcBorders>
              <w:top w:val="nil"/>
              <w:bottom w:val="nil"/>
            </w:tcBorders>
            <w:vAlign w:val="top"/>
          </w:tcPr>
          <w:p>
            <w:pPr>
              <w:rPr>
                <w:rFonts w:ascii="Arial"/>
                <w:sz w:val="21"/>
              </w:rPr>
            </w:pPr>
          </w:p>
        </w:tc>
        <w:tc>
          <w:tcPr>
            <w:tcW w:w="2511" w:type="dxa"/>
            <w:vAlign w:val="top"/>
          </w:tcPr>
          <w:p>
            <w:pPr>
              <w:pStyle w:val="6"/>
              <w:spacing w:before="66" w:line="221" w:lineRule="auto"/>
              <w:ind w:left="420"/>
              <w:rPr>
                <w:sz w:val="21"/>
                <w:szCs w:val="21"/>
              </w:rPr>
            </w:pPr>
            <w:r>
              <w:rPr>
                <w:spacing w:val="-1"/>
                <w:sz w:val="21"/>
                <w:szCs w:val="21"/>
              </w:rPr>
              <w:t>清洁生产操作平台</w:t>
            </w:r>
          </w:p>
        </w:tc>
        <w:tc>
          <w:tcPr>
            <w:tcW w:w="2514" w:type="dxa"/>
            <w:vAlign w:val="top"/>
          </w:tcPr>
          <w:p>
            <w:pPr>
              <w:pStyle w:val="6"/>
              <w:spacing w:before="66" w:line="221" w:lineRule="auto"/>
              <w:ind w:left="115"/>
              <w:rPr>
                <w:sz w:val="21"/>
                <w:szCs w:val="21"/>
              </w:rPr>
            </w:pPr>
            <w:r>
              <w:rPr>
                <w:spacing w:val="-3"/>
                <w:sz w:val="21"/>
                <w:szCs w:val="21"/>
              </w:rPr>
              <w:t>地面、围堰、四周及底部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3" w:type="dxa"/>
            <w:vMerge w:val="continue"/>
            <w:tcBorders>
              <w:top w:val="nil"/>
              <w:bottom w:val="nil"/>
            </w:tcBorders>
            <w:vAlign w:val="top"/>
          </w:tcPr>
          <w:p>
            <w:pPr>
              <w:rPr>
                <w:rFonts w:ascii="Arial"/>
                <w:sz w:val="21"/>
              </w:rPr>
            </w:pPr>
          </w:p>
        </w:tc>
        <w:tc>
          <w:tcPr>
            <w:tcW w:w="2409" w:type="dxa"/>
            <w:vMerge w:val="continue"/>
            <w:tcBorders>
              <w:top w:val="nil"/>
              <w:bottom w:val="nil"/>
            </w:tcBorders>
            <w:vAlign w:val="top"/>
          </w:tcPr>
          <w:p>
            <w:pPr>
              <w:rPr>
                <w:rFonts w:ascii="Arial"/>
                <w:sz w:val="21"/>
              </w:rPr>
            </w:pPr>
          </w:p>
        </w:tc>
        <w:tc>
          <w:tcPr>
            <w:tcW w:w="2511" w:type="dxa"/>
            <w:vAlign w:val="top"/>
          </w:tcPr>
          <w:p>
            <w:pPr>
              <w:pStyle w:val="6"/>
              <w:spacing w:before="170" w:line="221" w:lineRule="auto"/>
              <w:ind w:left="633"/>
              <w:rPr>
                <w:sz w:val="21"/>
                <w:szCs w:val="21"/>
              </w:rPr>
            </w:pPr>
            <w:r>
              <w:rPr>
                <w:spacing w:val="-2"/>
                <w:sz w:val="21"/>
                <w:szCs w:val="21"/>
              </w:rPr>
              <w:t>泥浆储备罐区</w:t>
            </w:r>
          </w:p>
        </w:tc>
        <w:tc>
          <w:tcPr>
            <w:tcW w:w="2514" w:type="dxa"/>
            <w:vAlign w:val="top"/>
          </w:tcPr>
          <w:p>
            <w:pPr>
              <w:pStyle w:val="6"/>
              <w:spacing w:before="36" w:line="221" w:lineRule="auto"/>
              <w:ind w:left="853" w:right="32" w:hanging="738"/>
              <w:rPr>
                <w:sz w:val="21"/>
                <w:szCs w:val="21"/>
              </w:rPr>
            </w:pPr>
            <w:r>
              <w:rPr>
                <w:spacing w:val="-14"/>
                <w:sz w:val="21"/>
                <w:szCs w:val="21"/>
              </w:rPr>
              <w:t>地面、围堰、四周及底部、</w:t>
            </w:r>
            <w:r>
              <w:rPr>
                <w:spacing w:val="8"/>
                <w:sz w:val="21"/>
                <w:szCs w:val="21"/>
              </w:rPr>
              <w:t xml:space="preserve"> </w:t>
            </w:r>
            <w:r>
              <w:rPr>
                <w:spacing w:val="-5"/>
                <w:sz w:val="21"/>
                <w:szCs w:val="21"/>
              </w:rPr>
              <w:t>防渗罐体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3" w:type="dxa"/>
            <w:vMerge w:val="continue"/>
            <w:tcBorders>
              <w:top w:val="nil"/>
            </w:tcBorders>
            <w:vAlign w:val="top"/>
          </w:tcPr>
          <w:p>
            <w:pPr>
              <w:rPr>
                <w:rFonts w:ascii="Arial"/>
                <w:sz w:val="21"/>
              </w:rPr>
            </w:pPr>
          </w:p>
        </w:tc>
        <w:tc>
          <w:tcPr>
            <w:tcW w:w="2409" w:type="dxa"/>
            <w:vMerge w:val="continue"/>
            <w:tcBorders>
              <w:top w:val="nil"/>
            </w:tcBorders>
            <w:vAlign w:val="top"/>
          </w:tcPr>
          <w:p>
            <w:pPr>
              <w:rPr>
                <w:rFonts w:ascii="Arial"/>
                <w:sz w:val="21"/>
              </w:rPr>
            </w:pPr>
          </w:p>
        </w:tc>
        <w:tc>
          <w:tcPr>
            <w:tcW w:w="2511" w:type="dxa"/>
            <w:vAlign w:val="top"/>
          </w:tcPr>
          <w:p>
            <w:pPr>
              <w:pStyle w:val="6"/>
              <w:spacing w:before="70" w:line="221" w:lineRule="auto"/>
              <w:ind w:left="538"/>
              <w:rPr>
                <w:sz w:val="21"/>
                <w:szCs w:val="21"/>
              </w:rPr>
            </w:pPr>
            <w:r>
              <w:rPr>
                <w:spacing w:val="-3"/>
                <w:sz w:val="21"/>
                <w:szCs w:val="21"/>
              </w:rPr>
              <w:t>隔油池、集液池</w:t>
            </w:r>
          </w:p>
        </w:tc>
        <w:tc>
          <w:tcPr>
            <w:tcW w:w="2514" w:type="dxa"/>
            <w:vAlign w:val="top"/>
          </w:tcPr>
          <w:p>
            <w:pPr>
              <w:pStyle w:val="6"/>
              <w:spacing w:before="70" w:line="222" w:lineRule="auto"/>
              <w:ind w:left="734"/>
              <w:rPr>
                <w:sz w:val="21"/>
                <w:szCs w:val="21"/>
              </w:rPr>
            </w:pPr>
            <w:r>
              <w:rPr>
                <w:spacing w:val="-1"/>
                <w:sz w:val="21"/>
                <w:szCs w:val="21"/>
              </w:rPr>
              <w:t>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13" w:type="dxa"/>
            <w:vAlign w:val="top"/>
          </w:tcPr>
          <w:p>
            <w:pPr>
              <w:pStyle w:val="6"/>
              <w:spacing w:before="71" w:line="221" w:lineRule="auto"/>
              <w:ind w:left="143"/>
              <w:rPr>
                <w:sz w:val="21"/>
                <w:szCs w:val="21"/>
              </w:rPr>
            </w:pPr>
            <w:r>
              <w:rPr>
                <w:spacing w:val="-3"/>
                <w:sz w:val="21"/>
                <w:szCs w:val="21"/>
              </w:rPr>
              <w:t>一般防渗</w:t>
            </w:r>
          </w:p>
        </w:tc>
        <w:tc>
          <w:tcPr>
            <w:tcW w:w="2409" w:type="dxa"/>
            <w:vAlign w:val="top"/>
          </w:tcPr>
          <w:p>
            <w:pPr>
              <w:pStyle w:val="6"/>
              <w:spacing w:before="70" w:line="221" w:lineRule="auto"/>
              <w:ind w:left="109"/>
              <w:rPr>
                <w:sz w:val="21"/>
                <w:szCs w:val="21"/>
              </w:rPr>
            </w:pPr>
            <w:r>
              <w:rPr>
                <w:spacing w:val="-5"/>
                <w:sz w:val="21"/>
                <w:szCs w:val="21"/>
              </w:rPr>
              <w:t>满足不应低于</w:t>
            </w:r>
            <w:r>
              <w:rPr>
                <w:spacing w:val="-21"/>
                <w:sz w:val="21"/>
                <w:szCs w:val="21"/>
              </w:rPr>
              <w:t xml:space="preserve"> </w:t>
            </w:r>
            <w:r>
              <w:rPr>
                <w:rFonts w:ascii="Times New Roman" w:hAnsi="Times New Roman" w:eastAsia="Times New Roman" w:cs="Times New Roman"/>
                <w:spacing w:val="-5"/>
                <w:sz w:val="21"/>
                <w:szCs w:val="21"/>
              </w:rPr>
              <w:t>1.5m</w:t>
            </w:r>
            <w:r>
              <w:rPr>
                <w:rFonts w:ascii="Times New Roman" w:hAnsi="Times New Roman" w:eastAsia="Times New Roman" w:cs="Times New Roman"/>
                <w:spacing w:val="12"/>
                <w:sz w:val="21"/>
                <w:szCs w:val="21"/>
              </w:rPr>
              <w:t xml:space="preserve"> </w:t>
            </w:r>
            <w:r>
              <w:rPr>
                <w:spacing w:val="-5"/>
                <w:sz w:val="21"/>
                <w:szCs w:val="21"/>
              </w:rPr>
              <w:t>厚、</w:t>
            </w:r>
          </w:p>
        </w:tc>
        <w:tc>
          <w:tcPr>
            <w:tcW w:w="2511" w:type="dxa"/>
            <w:vAlign w:val="top"/>
          </w:tcPr>
          <w:p>
            <w:pPr>
              <w:pStyle w:val="6"/>
              <w:spacing w:before="70" w:line="221" w:lineRule="auto"/>
              <w:ind w:left="211"/>
              <w:rPr>
                <w:sz w:val="21"/>
                <w:szCs w:val="21"/>
              </w:rPr>
            </w:pPr>
            <w:r>
              <w:rPr>
                <w:spacing w:val="-1"/>
                <w:sz w:val="21"/>
                <w:szCs w:val="21"/>
              </w:rPr>
              <w:t>井场部分非设备基础区</w:t>
            </w:r>
          </w:p>
        </w:tc>
        <w:tc>
          <w:tcPr>
            <w:tcW w:w="2514" w:type="dxa"/>
            <w:vAlign w:val="top"/>
          </w:tcPr>
          <w:p>
            <w:pPr>
              <w:pStyle w:val="6"/>
              <w:spacing w:before="70" w:line="221" w:lineRule="auto"/>
              <w:ind w:left="631"/>
              <w:rPr>
                <w:sz w:val="21"/>
                <w:szCs w:val="21"/>
              </w:rPr>
            </w:pPr>
            <w:r>
              <w:rPr>
                <w:spacing w:val="-1"/>
                <w:sz w:val="21"/>
                <w:szCs w:val="21"/>
              </w:rPr>
              <w:t>地面和排水沟</w:t>
            </w:r>
          </w:p>
        </w:tc>
      </w:tr>
    </w:tbl>
    <w:p>
      <w:pPr>
        <w:pStyle w:val="2"/>
        <w:rPr>
          <w:sz w:val="21"/>
        </w:rPr>
      </w:pPr>
    </w:p>
    <w:p>
      <w:pPr>
        <w:rPr>
          <w:sz w:val="21"/>
          <w:szCs w:val="21"/>
        </w:rPr>
        <w:sectPr>
          <w:headerReference r:id="rId276" w:type="default"/>
          <w:footerReference r:id="rId277" w:type="default"/>
          <w:pgSz w:w="11907" w:h="16839"/>
          <w:pgMar w:top="1123" w:right="1606" w:bottom="1149" w:left="1678" w:header="1108" w:footer="988" w:gutter="0"/>
          <w:cols w:space="720" w:num="1"/>
        </w:sectPr>
      </w:pPr>
    </w:p>
    <w:p>
      <w:pPr>
        <w:spacing w:before="75"/>
      </w:pPr>
    </w:p>
    <w:tbl>
      <w:tblPr>
        <w:tblStyle w:val="5"/>
        <w:tblW w:w="85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2409"/>
        <w:gridCol w:w="2511"/>
        <w:gridCol w:w="25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3" w:type="dxa"/>
            <w:vMerge w:val="restart"/>
            <w:tcBorders>
              <w:bottom w:val="nil"/>
            </w:tcBorders>
            <w:vAlign w:val="top"/>
          </w:tcPr>
          <w:p>
            <w:pPr>
              <w:pStyle w:val="6"/>
              <w:spacing w:before="33" w:line="226" w:lineRule="auto"/>
              <w:ind w:left="469"/>
              <w:rPr>
                <w:sz w:val="21"/>
                <w:szCs w:val="21"/>
              </w:rPr>
            </w:pPr>
            <w:r>
              <w:rPr>
                <w:sz w:val="21"/>
                <w:szCs w:val="21"/>
              </w:rPr>
              <w:t>区</w:t>
            </w:r>
          </w:p>
        </w:tc>
        <w:tc>
          <w:tcPr>
            <w:tcW w:w="2409" w:type="dxa"/>
            <w:vMerge w:val="restart"/>
            <w:tcBorders>
              <w:bottom w:val="nil"/>
            </w:tcBorders>
            <w:vAlign w:val="top"/>
          </w:tcPr>
          <w:p>
            <w:pPr>
              <w:pStyle w:val="6"/>
              <w:spacing w:before="34" w:line="234" w:lineRule="auto"/>
              <w:ind w:left="110"/>
              <w:rPr>
                <w:rFonts w:ascii="Times New Roman" w:hAnsi="Times New Roman" w:eastAsia="Times New Roman" w:cs="Times New Roman"/>
                <w:sz w:val="21"/>
                <w:szCs w:val="21"/>
              </w:rPr>
            </w:pPr>
            <w:r>
              <w:rPr>
                <w:spacing w:val="-2"/>
                <w:sz w:val="21"/>
                <w:szCs w:val="21"/>
              </w:rPr>
              <w:t>渗透系数为</w:t>
            </w:r>
            <w:r>
              <w:rPr>
                <w:spacing w:val="-32"/>
                <w:sz w:val="21"/>
                <w:szCs w:val="21"/>
              </w:rPr>
              <w:t xml:space="preserve"> </w:t>
            </w:r>
            <w:r>
              <w:rPr>
                <w:rFonts w:ascii="Times New Roman" w:hAnsi="Times New Roman" w:eastAsia="Times New Roman" w:cs="Times New Roman"/>
                <w:spacing w:val="-2"/>
                <w:sz w:val="21"/>
                <w:szCs w:val="21"/>
              </w:rPr>
              <w:t>1.0×10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spacing w:val="-2"/>
                <w:sz w:val="21"/>
                <w:szCs w:val="21"/>
              </w:rPr>
              <w:t>cm/s</w:t>
            </w:r>
          </w:p>
          <w:p>
            <w:pPr>
              <w:pStyle w:val="6"/>
              <w:spacing w:before="6" w:line="221" w:lineRule="auto"/>
              <w:ind w:left="172"/>
              <w:rPr>
                <w:sz w:val="21"/>
                <w:szCs w:val="21"/>
              </w:rPr>
            </w:pPr>
            <w:r>
              <w:rPr>
                <w:spacing w:val="-3"/>
                <w:sz w:val="21"/>
                <w:szCs w:val="21"/>
              </w:rPr>
              <w:t>的等效黏土层的防渗性</w:t>
            </w:r>
          </w:p>
          <w:p>
            <w:pPr>
              <w:pStyle w:val="6"/>
              <w:spacing w:before="20" w:line="207" w:lineRule="auto"/>
              <w:ind w:left="1108"/>
              <w:rPr>
                <w:sz w:val="21"/>
                <w:szCs w:val="21"/>
              </w:rPr>
            </w:pPr>
            <w:r>
              <w:rPr>
                <w:sz w:val="21"/>
                <w:szCs w:val="21"/>
              </w:rPr>
              <w:t>能</w:t>
            </w:r>
          </w:p>
        </w:tc>
        <w:tc>
          <w:tcPr>
            <w:tcW w:w="2511" w:type="dxa"/>
            <w:vAlign w:val="top"/>
          </w:tcPr>
          <w:p>
            <w:pPr>
              <w:pStyle w:val="6"/>
              <w:spacing w:before="33" w:line="221" w:lineRule="auto"/>
              <w:ind w:left="119"/>
              <w:rPr>
                <w:sz w:val="21"/>
                <w:szCs w:val="21"/>
              </w:rPr>
            </w:pPr>
            <w:r>
              <w:rPr>
                <w:spacing w:val="-2"/>
                <w:sz w:val="21"/>
                <w:szCs w:val="21"/>
              </w:rPr>
              <w:t>（包括清污分流排水沟）</w:t>
            </w:r>
          </w:p>
        </w:tc>
        <w:tc>
          <w:tcPr>
            <w:tcW w:w="25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13" w:type="dxa"/>
            <w:vMerge w:val="continue"/>
            <w:tcBorders>
              <w:top w:val="nil"/>
            </w:tcBorders>
            <w:vAlign w:val="top"/>
          </w:tcPr>
          <w:p>
            <w:pPr>
              <w:rPr>
                <w:rFonts w:ascii="Arial"/>
                <w:sz w:val="21"/>
              </w:rPr>
            </w:pPr>
          </w:p>
        </w:tc>
        <w:tc>
          <w:tcPr>
            <w:tcW w:w="2409" w:type="dxa"/>
            <w:vMerge w:val="continue"/>
            <w:tcBorders>
              <w:top w:val="nil"/>
            </w:tcBorders>
            <w:vAlign w:val="top"/>
          </w:tcPr>
          <w:p>
            <w:pPr>
              <w:rPr>
                <w:rFonts w:ascii="Arial"/>
                <w:sz w:val="21"/>
              </w:rPr>
            </w:pPr>
          </w:p>
        </w:tc>
        <w:tc>
          <w:tcPr>
            <w:tcW w:w="2511" w:type="dxa"/>
            <w:vAlign w:val="top"/>
          </w:tcPr>
          <w:p>
            <w:pPr>
              <w:pStyle w:val="6"/>
              <w:spacing w:before="129" w:line="221" w:lineRule="auto"/>
              <w:ind w:left="840"/>
              <w:rPr>
                <w:sz w:val="21"/>
                <w:szCs w:val="21"/>
              </w:rPr>
            </w:pPr>
            <w:r>
              <w:rPr>
                <w:spacing w:val="-2"/>
                <w:sz w:val="21"/>
                <w:szCs w:val="21"/>
              </w:rPr>
              <w:t>环保厕所</w:t>
            </w:r>
          </w:p>
        </w:tc>
        <w:tc>
          <w:tcPr>
            <w:tcW w:w="2514" w:type="dxa"/>
            <w:vAlign w:val="top"/>
          </w:tcPr>
          <w:p>
            <w:pPr>
              <w:pStyle w:val="6"/>
              <w:spacing w:before="129" w:line="221" w:lineRule="auto"/>
              <w:ind w:left="314"/>
              <w:rPr>
                <w:sz w:val="21"/>
                <w:szCs w:val="21"/>
              </w:rPr>
            </w:pPr>
            <w:r>
              <w:rPr>
                <w:spacing w:val="-1"/>
                <w:sz w:val="21"/>
                <w:szCs w:val="21"/>
              </w:rPr>
              <w:t>环保厕所池底及池壁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113" w:type="dxa"/>
            <w:vAlign w:val="top"/>
          </w:tcPr>
          <w:p>
            <w:pPr>
              <w:pStyle w:val="6"/>
              <w:spacing w:before="32" w:line="224" w:lineRule="auto"/>
              <w:ind w:left="469" w:right="133" w:hanging="325"/>
              <w:rPr>
                <w:sz w:val="21"/>
                <w:szCs w:val="21"/>
              </w:rPr>
            </w:pPr>
            <w:r>
              <w:rPr>
                <w:spacing w:val="-3"/>
                <w:sz w:val="21"/>
                <w:szCs w:val="21"/>
              </w:rPr>
              <w:t>简单防渗</w:t>
            </w:r>
            <w:r>
              <w:rPr>
                <w:spacing w:val="1"/>
                <w:sz w:val="21"/>
                <w:szCs w:val="21"/>
              </w:rPr>
              <w:t xml:space="preserve"> </w:t>
            </w:r>
            <w:r>
              <w:rPr>
                <w:sz w:val="21"/>
                <w:szCs w:val="21"/>
              </w:rPr>
              <w:t>区</w:t>
            </w:r>
          </w:p>
        </w:tc>
        <w:tc>
          <w:tcPr>
            <w:tcW w:w="2409" w:type="dxa"/>
            <w:vAlign w:val="top"/>
          </w:tcPr>
          <w:p>
            <w:pPr>
              <w:pStyle w:val="6"/>
              <w:spacing w:before="169" w:line="222" w:lineRule="auto"/>
              <w:ind w:left="578"/>
              <w:rPr>
                <w:sz w:val="21"/>
                <w:szCs w:val="21"/>
              </w:rPr>
            </w:pPr>
            <w:r>
              <w:rPr>
                <w:spacing w:val="-2"/>
                <w:sz w:val="21"/>
                <w:szCs w:val="21"/>
              </w:rPr>
              <w:t>一般地面硬化</w:t>
            </w:r>
          </w:p>
        </w:tc>
        <w:tc>
          <w:tcPr>
            <w:tcW w:w="2511" w:type="dxa"/>
            <w:vAlign w:val="top"/>
          </w:tcPr>
          <w:p>
            <w:pPr>
              <w:pStyle w:val="6"/>
              <w:spacing w:before="32" w:line="224" w:lineRule="auto"/>
              <w:ind w:left="631" w:right="200" w:hanging="408"/>
              <w:rPr>
                <w:sz w:val="21"/>
                <w:szCs w:val="21"/>
              </w:rPr>
            </w:pPr>
            <w:r>
              <w:rPr>
                <w:spacing w:val="-2"/>
                <w:sz w:val="21"/>
                <w:szCs w:val="21"/>
              </w:rPr>
              <w:t>除重点防渗区和一般防</w:t>
            </w:r>
            <w:r>
              <w:rPr>
                <w:spacing w:val="1"/>
                <w:sz w:val="21"/>
                <w:szCs w:val="21"/>
              </w:rPr>
              <w:t xml:space="preserve"> </w:t>
            </w:r>
            <w:r>
              <w:rPr>
                <w:spacing w:val="-1"/>
                <w:sz w:val="21"/>
                <w:szCs w:val="21"/>
              </w:rPr>
              <w:t>渗区外的区域</w:t>
            </w:r>
          </w:p>
        </w:tc>
        <w:tc>
          <w:tcPr>
            <w:tcW w:w="2514" w:type="dxa"/>
            <w:vAlign w:val="top"/>
          </w:tcPr>
          <w:p>
            <w:pPr>
              <w:pStyle w:val="6"/>
              <w:spacing w:before="169" w:line="222" w:lineRule="auto"/>
              <w:ind w:left="1051"/>
              <w:rPr>
                <w:sz w:val="21"/>
                <w:szCs w:val="21"/>
              </w:rPr>
            </w:pPr>
            <w:r>
              <w:rPr>
                <w:spacing w:val="-2"/>
                <w:sz w:val="21"/>
                <w:szCs w:val="21"/>
              </w:rPr>
              <w:t>地面</w:t>
            </w:r>
          </w:p>
        </w:tc>
      </w:tr>
    </w:tbl>
    <w:p>
      <w:pPr>
        <w:spacing w:before="178" w:line="220" w:lineRule="auto"/>
        <w:ind w:left="604"/>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）跟踪监测</w:t>
      </w:r>
    </w:p>
    <w:p>
      <w:pPr>
        <w:spacing w:before="193" w:line="220" w:lineRule="auto"/>
        <w:ind w:left="2257"/>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30"/>
          <w:sz w:val="24"/>
          <w:szCs w:val="24"/>
        </w:rPr>
        <w:t xml:space="preserve"> </w:t>
      </w:r>
      <w:r>
        <w:rPr>
          <w:rFonts w:ascii="Times New Roman" w:hAnsi="Times New Roman" w:eastAsia="Times New Roman" w:cs="Times New Roman"/>
          <w:b/>
          <w:bCs/>
          <w:spacing w:val="-1"/>
          <w:sz w:val="24"/>
          <w:szCs w:val="24"/>
        </w:rPr>
        <w:t xml:space="preserve">6.2-2          </w:t>
      </w:r>
      <w:r>
        <w:rPr>
          <w:rFonts w:ascii="宋体" w:hAnsi="宋体" w:eastAsia="宋体" w:cs="宋体"/>
          <w:spacing w:val="-1"/>
          <w:sz w:val="24"/>
          <w:szCs w:val="24"/>
          <w14:textOutline w14:w="4354" w14:cap="flat" w14:cmpd="sng">
            <w14:solidFill>
              <w14:srgbClr w14:val="000000"/>
            </w14:solidFill>
            <w14:prstDash w14:val="solid"/>
            <w14:miter w14:val="10"/>
          </w14:textOutline>
        </w:rPr>
        <w:t>地下水环境跟踪监测点位</w:t>
      </w:r>
    </w:p>
    <w:p>
      <w:pPr>
        <w:spacing w:line="16" w:lineRule="exact"/>
      </w:pPr>
    </w:p>
    <w:tbl>
      <w:tblPr>
        <w:tblStyle w:val="5"/>
        <w:tblW w:w="8533"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2550"/>
        <w:gridCol w:w="1984"/>
        <w:gridCol w:w="1739"/>
        <w:gridCol w:w="14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0" w:type="dxa"/>
            <w:vAlign w:val="top"/>
          </w:tcPr>
          <w:p>
            <w:pPr>
              <w:pStyle w:val="6"/>
              <w:spacing w:before="67" w:line="221" w:lineRule="auto"/>
              <w:ind w:left="206"/>
              <w:rPr>
                <w:sz w:val="21"/>
                <w:szCs w:val="21"/>
              </w:rPr>
            </w:pPr>
            <w:r>
              <w:rPr>
                <w:spacing w:val="-2"/>
                <w:sz w:val="21"/>
                <w:szCs w:val="21"/>
              </w:rPr>
              <w:t>编号</w:t>
            </w:r>
          </w:p>
        </w:tc>
        <w:tc>
          <w:tcPr>
            <w:tcW w:w="2550" w:type="dxa"/>
            <w:vAlign w:val="top"/>
          </w:tcPr>
          <w:p>
            <w:pPr>
              <w:pStyle w:val="6"/>
              <w:spacing w:before="68" w:line="221" w:lineRule="auto"/>
              <w:ind w:left="651"/>
              <w:rPr>
                <w:sz w:val="21"/>
                <w:szCs w:val="21"/>
              </w:rPr>
            </w:pPr>
            <w:r>
              <w:rPr>
                <w:spacing w:val="-2"/>
                <w:sz w:val="21"/>
                <w:szCs w:val="21"/>
              </w:rPr>
              <w:t>与项目的方位</w:t>
            </w:r>
          </w:p>
        </w:tc>
        <w:tc>
          <w:tcPr>
            <w:tcW w:w="1984" w:type="dxa"/>
            <w:vAlign w:val="top"/>
          </w:tcPr>
          <w:p>
            <w:pPr>
              <w:pStyle w:val="6"/>
              <w:spacing w:before="68" w:line="221" w:lineRule="auto"/>
              <w:ind w:left="789"/>
              <w:rPr>
                <w:sz w:val="21"/>
                <w:szCs w:val="21"/>
              </w:rPr>
            </w:pPr>
            <w:r>
              <w:rPr>
                <w:spacing w:val="-2"/>
                <w:sz w:val="21"/>
                <w:szCs w:val="21"/>
              </w:rPr>
              <w:t>坐标</w:t>
            </w:r>
          </w:p>
        </w:tc>
        <w:tc>
          <w:tcPr>
            <w:tcW w:w="1739" w:type="dxa"/>
            <w:vAlign w:val="top"/>
          </w:tcPr>
          <w:p>
            <w:pPr>
              <w:pStyle w:val="6"/>
              <w:spacing w:before="67" w:line="222" w:lineRule="auto"/>
              <w:ind w:left="351"/>
              <w:rPr>
                <w:sz w:val="21"/>
                <w:szCs w:val="21"/>
              </w:rPr>
            </w:pPr>
            <w:r>
              <w:rPr>
                <w:spacing w:val="-2"/>
                <w:sz w:val="21"/>
                <w:szCs w:val="21"/>
              </w:rPr>
              <w:t>监测点功能</w:t>
            </w:r>
          </w:p>
        </w:tc>
        <w:tc>
          <w:tcPr>
            <w:tcW w:w="1440" w:type="dxa"/>
            <w:vAlign w:val="top"/>
          </w:tcPr>
          <w:p>
            <w:pPr>
              <w:pStyle w:val="6"/>
              <w:spacing w:before="67" w:line="222" w:lineRule="auto"/>
              <w:ind w:left="516"/>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20" w:type="dxa"/>
            <w:vAlign w:val="top"/>
          </w:tcPr>
          <w:p>
            <w:pPr>
              <w:spacing w:before="202" w:line="195"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Q5</w:t>
            </w:r>
          </w:p>
        </w:tc>
        <w:tc>
          <w:tcPr>
            <w:tcW w:w="2550" w:type="dxa"/>
            <w:vAlign w:val="top"/>
          </w:tcPr>
          <w:p>
            <w:pPr>
              <w:pStyle w:val="6"/>
              <w:spacing w:before="167" w:line="221" w:lineRule="auto"/>
              <w:ind w:left="145"/>
              <w:rPr>
                <w:sz w:val="21"/>
                <w:szCs w:val="21"/>
              </w:rPr>
            </w:pPr>
            <w:r>
              <w:rPr>
                <w:spacing w:val="-1"/>
                <w:sz w:val="21"/>
                <w:szCs w:val="21"/>
              </w:rPr>
              <w:t>井口东南侧</w:t>
            </w:r>
            <w:r>
              <w:rPr>
                <w:spacing w:val="-45"/>
                <w:sz w:val="21"/>
                <w:szCs w:val="21"/>
              </w:rPr>
              <w:t xml:space="preserve"> </w:t>
            </w:r>
            <w:r>
              <w:rPr>
                <w:rFonts w:ascii="Times New Roman" w:hAnsi="Times New Roman" w:eastAsia="Times New Roman" w:cs="Times New Roman"/>
                <w:spacing w:val="-1"/>
                <w:sz w:val="21"/>
                <w:szCs w:val="21"/>
              </w:rPr>
              <w:t xml:space="preserve">247m </w:t>
            </w:r>
            <w:r>
              <w:rPr>
                <w:spacing w:val="-1"/>
                <w:sz w:val="21"/>
                <w:szCs w:val="21"/>
              </w:rPr>
              <w:t>处泉水</w:t>
            </w:r>
          </w:p>
        </w:tc>
        <w:tc>
          <w:tcPr>
            <w:tcW w:w="1984" w:type="dxa"/>
            <w:vAlign w:val="top"/>
          </w:tcPr>
          <w:p>
            <w:pPr>
              <w:pStyle w:val="6"/>
              <w:spacing w:before="30" w:line="296" w:lineRule="exact"/>
              <w:ind w:left="305"/>
              <w:rPr>
                <w:sz w:val="21"/>
                <w:szCs w:val="21"/>
              </w:rPr>
            </w:pPr>
            <w:r>
              <w:rPr>
                <w:rFonts w:ascii="Times New Roman" w:hAnsi="Times New Roman" w:eastAsia="Times New Roman" w:cs="Times New Roman"/>
                <w:spacing w:val="-5"/>
                <w:position w:val="7"/>
                <w:sz w:val="21"/>
                <w:szCs w:val="21"/>
              </w:rPr>
              <w:t>107.238582</w:t>
            </w:r>
            <w:r>
              <w:rPr>
                <w:spacing w:val="-5"/>
                <w:position w:val="7"/>
                <w:sz w:val="21"/>
                <w:szCs w:val="21"/>
              </w:rPr>
              <w:t>°,</w:t>
            </w:r>
          </w:p>
          <w:p>
            <w:pPr>
              <w:pStyle w:val="6"/>
              <w:spacing w:line="186" w:lineRule="auto"/>
              <w:ind w:left="447"/>
              <w:rPr>
                <w:sz w:val="21"/>
                <w:szCs w:val="21"/>
              </w:rPr>
            </w:pPr>
            <w:r>
              <w:rPr>
                <w:rFonts w:ascii="Times New Roman" w:hAnsi="Times New Roman" w:eastAsia="Times New Roman" w:cs="Times New Roman"/>
                <w:spacing w:val="-1"/>
                <w:sz w:val="21"/>
                <w:szCs w:val="21"/>
              </w:rPr>
              <w:t>31.446642</w:t>
            </w:r>
            <w:r>
              <w:rPr>
                <w:rFonts w:ascii="Times New Roman" w:hAnsi="Times New Roman" w:eastAsia="Times New Roman" w:cs="Times New Roman"/>
                <w:spacing w:val="-25"/>
                <w:sz w:val="21"/>
                <w:szCs w:val="21"/>
              </w:rPr>
              <w:t xml:space="preserve"> </w:t>
            </w:r>
            <w:r>
              <w:rPr>
                <w:spacing w:val="-1"/>
                <w:sz w:val="21"/>
                <w:szCs w:val="21"/>
              </w:rPr>
              <w:t>°</w:t>
            </w:r>
          </w:p>
        </w:tc>
        <w:tc>
          <w:tcPr>
            <w:tcW w:w="1739" w:type="dxa"/>
            <w:vAlign w:val="top"/>
          </w:tcPr>
          <w:p>
            <w:pPr>
              <w:pStyle w:val="6"/>
              <w:spacing w:before="167" w:line="221" w:lineRule="auto"/>
              <w:ind w:left="250"/>
              <w:rPr>
                <w:sz w:val="21"/>
                <w:szCs w:val="21"/>
              </w:rPr>
            </w:pPr>
            <w:r>
              <w:rPr>
                <w:spacing w:val="-2"/>
                <w:sz w:val="21"/>
                <w:szCs w:val="21"/>
              </w:rPr>
              <w:t>背景值监测点</w:t>
            </w:r>
          </w:p>
        </w:tc>
        <w:tc>
          <w:tcPr>
            <w:tcW w:w="1440" w:type="dxa"/>
            <w:vAlign w:val="top"/>
          </w:tcPr>
          <w:p>
            <w:pPr>
              <w:pStyle w:val="6"/>
              <w:spacing w:before="30" w:line="223" w:lineRule="auto"/>
              <w:ind w:left="514" w:right="189" w:hanging="315"/>
              <w:rPr>
                <w:sz w:val="21"/>
                <w:szCs w:val="21"/>
              </w:rPr>
            </w:pPr>
            <w:r>
              <w:rPr>
                <w:spacing w:val="-1"/>
                <w:sz w:val="21"/>
                <w:szCs w:val="21"/>
              </w:rPr>
              <w:t>地下水上游</w:t>
            </w:r>
            <w:r>
              <w:rPr>
                <w:sz w:val="21"/>
                <w:szCs w:val="21"/>
              </w:rPr>
              <w:t xml:space="preserve"> </w:t>
            </w:r>
            <w:r>
              <w:rPr>
                <w:spacing w:val="-2"/>
                <w:sz w:val="21"/>
                <w:szCs w:val="21"/>
              </w:rPr>
              <w:t>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20" w:type="dxa"/>
            <w:vAlign w:val="top"/>
          </w:tcPr>
          <w:p>
            <w:pPr>
              <w:spacing w:before="204" w:line="195"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Q3</w:t>
            </w:r>
          </w:p>
        </w:tc>
        <w:tc>
          <w:tcPr>
            <w:tcW w:w="2550" w:type="dxa"/>
            <w:vAlign w:val="top"/>
          </w:tcPr>
          <w:p>
            <w:pPr>
              <w:pStyle w:val="6"/>
              <w:spacing w:before="168" w:line="221" w:lineRule="auto"/>
              <w:ind w:left="145"/>
              <w:rPr>
                <w:sz w:val="21"/>
                <w:szCs w:val="21"/>
              </w:rPr>
            </w:pPr>
            <w:r>
              <w:rPr>
                <w:spacing w:val="-1"/>
                <w:sz w:val="21"/>
                <w:szCs w:val="21"/>
              </w:rPr>
              <w:t>井口西南侧</w:t>
            </w:r>
            <w:r>
              <w:rPr>
                <w:spacing w:val="-45"/>
                <w:sz w:val="21"/>
                <w:szCs w:val="21"/>
              </w:rPr>
              <w:t xml:space="preserve"> </w:t>
            </w:r>
            <w:r>
              <w:rPr>
                <w:rFonts w:ascii="Times New Roman" w:hAnsi="Times New Roman" w:eastAsia="Times New Roman" w:cs="Times New Roman"/>
                <w:spacing w:val="-1"/>
                <w:sz w:val="21"/>
                <w:szCs w:val="21"/>
              </w:rPr>
              <w:t xml:space="preserve">253m </w:t>
            </w:r>
            <w:r>
              <w:rPr>
                <w:spacing w:val="-1"/>
                <w:sz w:val="21"/>
                <w:szCs w:val="21"/>
              </w:rPr>
              <w:t>处泉水</w:t>
            </w:r>
          </w:p>
        </w:tc>
        <w:tc>
          <w:tcPr>
            <w:tcW w:w="1984" w:type="dxa"/>
            <w:vAlign w:val="top"/>
          </w:tcPr>
          <w:p>
            <w:pPr>
              <w:pStyle w:val="6"/>
              <w:spacing w:before="32" w:line="295" w:lineRule="exact"/>
              <w:ind w:left="305"/>
              <w:rPr>
                <w:sz w:val="21"/>
                <w:szCs w:val="21"/>
              </w:rPr>
            </w:pPr>
            <w:r>
              <w:rPr>
                <w:rFonts w:ascii="Times New Roman" w:hAnsi="Times New Roman" w:eastAsia="Times New Roman" w:cs="Times New Roman"/>
                <w:spacing w:val="-5"/>
                <w:position w:val="7"/>
                <w:sz w:val="21"/>
                <w:szCs w:val="21"/>
              </w:rPr>
              <w:t>107.236720</w:t>
            </w:r>
            <w:r>
              <w:rPr>
                <w:spacing w:val="-5"/>
                <w:position w:val="7"/>
                <w:sz w:val="21"/>
                <w:szCs w:val="21"/>
              </w:rPr>
              <w:t>°,</w:t>
            </w:r>
          </w:p>
          <w:p>
            <w:pPr>
              <w:pStyle w:val="6"/>
              <w:spacing w:line="185" w:lineRule="auto"/>
              <w:ind w:left="447"/>
              <w:rPr>
                <w:sz w:val="21"/>
                <w:szCs w:val="21"/>
              </w:rPr>
            </w:pPr>
            <w:r>
              <w:rPr>
                <w:rFonts w:ascii="Times New Roman" w:hAnsi="Times New Roman" w:eastAsia="Times New Roman" w:cs="Times New Roman"/>
                <w:spacing w:val="-1"/>
                <w:sz w:val="21"/>
                <w:szCs w:val="21"/>
              </w:rPr>
              <w:t>31.442464</w:t>
            </w:r>
            <w:r>
              <w:rPr>
                <w:rFonts w:ascii="Times New Roman" w:hAnsi="Times New Roman" w:eastAsia="Times New Roman" w:cs="Times New Roman"/>
                <w:spacing w:val="-25"/>
                <w:sz w:val="21"/>
                <w:szCs w:val="21"/>
              </w:rPr>
              <w:t xml:space="preserve"> </w:t>
            </w:r>
            <w:r>
              <w:rPr>
                <w:spacing w:val="-1"/>
                <w:sz w:val="21"/>
                <w:szCs w:val="21"/>
              </w:rPr>
              <w:t>°</w:t>
            </w:r>
          </w:p>
        </w:tc>
        <w:tc>
          <w:tcPr>
            <w:tcW w:w="1739" w:type="dxa"/>
            <w:vAlign w:val="top"/>
          </w:tcPr>
          <w:p>
            <w:pPr>
              <w:pStyle w:val="6"/>
              <w:spacing w:before="168" w:line="221" w:lineRule="auto"/>
              <w:ind w:left="143"/>
              <w:rPr>
                <w:sz w:val="21"/>
                <w:szCs w:val="21"/>
              </w:rPr>
            </w:pPr>
            <w:r>
              <w:rPr>
                <w:spacing w:val="-1"/>
                <w:sz w:val="21"/>
                <w:szCs w:val="21"/>
              </w:rPr>
              <w:t>污染扩散监测点</w:t>
            </w:r>
          </w:p>
        </w:tc>
        <w:tc>
          <w:tcPr>
            <w:tcW w:w="1440" w:type="dxa"/>
            <w:vAlign w:val="top"/>
          </w:tcPr>
          <w:p>
            <w:pPr>
              <w:pStyle w:val="6"/>
              <w:spacing w:before="32" w:line="222" w:lineRule="auto"/>
              <w:ind w:left="514" w:right="189" w:hanging="315"/>
              <w:rPr>
                <w:sz w:val="21"/>
                <w:szCs w:val="21"/>
              </w:rPr>
            </w:pPr>
            <w:r>
              <w:rPr>
                <w:spacing w:val="-1"/>
                <w:sz w:val="21"/>
                <w:szCs w:val="21"/>
              </w:rPr>
              <w:t>地下水侧向</w:t>
            </w:r>
            <w:r>
              <w:rPr>
                <w:sz w:val="21"/>
                <w:szCs w:val="21"/>
              </w:rPr>
              <w:t xml:space="preserve"> </w:t>
            </w:r>
            <w:r>
              <w:rPr>
                <w:spacing w:val="-2"/>
                <w:sz w:val="21"/>
                <w:szCs w:val="21"/>
              </w:rPr>
              <w:t>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20" w:type="dxa"/>
            <w:vAlign w:val="top"/>
          </w:tcPr>
          <w:p>
            <w:pPr>
              <w:spacing w:before="205" w:line="195"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Q2</w:t>
            </w:r>
          </w:p>
        </w:tc>
        <w:tc>
          <w:tcPr>
            <w:tcW w:w="2550" w:type="dxa"/>
            <w:vAlign w:val="top"/>
          </w:tcPr>
          <w:p>
            <w:pPr>
              <w:pStyle w:val="6"/>
              <w:spacing w:before="169" w:line="221" w:lineRule="auto"/>
              <w:ind w:left="248"/>
              <w:rPr>
                <w:sz w:val="21"/>
                <w:szCs w:val="21"/>
              </w:rPr>
            </w:pPr>
            <w:r>
              <w:rPr>
                <w:spacing w:val="-2"/>
                <w:sz w:val="21"/>
                <w:szCs w:val="21"/>
              </w:rPr>
              <w:t>井口东南</w:t>
            </w:r>
            <w:r>
              <w:rPr>
                <w:spacing w:val="-34"/>
                <w:sz w:val="21"/>
                <w:szCs w:val="21"/>
              </w:rPr>
              <w:t xml:space="preserve"> </w:t>
            </w:r>
            <w:r>
              <w:rPr>
                <w:rFonts w:ascii="Times New Roman" w:hAnsi="Times New Roman" w:eastAsia="Times New Roman" w:cs="Times New Roman"/>
                <w:spacing w:val="-2"/>
                <w:sz w:val="21"/>
                <w:szCs w:val="21"/>
              </w:rPr>
              <w:t xml:space="preserve">314m </w:t>
            </w:r>
            <w:r>
              <w:rPr>
                <w:spacing w:val="-2"/>
                <w:sz w:val="21"/>
                <w:szCs w:val="21"/>
              </w:rPr>
              <w:t>处泉水</w:t>
            </w:r>
          </w:p>
        </w:tc>
        <w:tc>
          <w:tcPr>
            <w:tcW w:w="1984" w:type="dxa"/>
            <w:vAlign w:val="top"/>
          </w:tcPr>
          <w:p>
            <w:pPr>
              <w:pStyle w:val="6"/>
              <w:spacing w:before="33" w:line="298" w:lineRule="exact"/>
              <w:ind w:left="305"/>
              <w:rPr>
                <w:sz w:val="21"/>
                <w:szCs w:val="21"/>
              </w:rPr>
            </w:pPr>
            <w:r>
              <w:rPr>
                <w:rFonts w:ascii="Times New Roman" w:hAnsi="Times New Roman" w:eastAsia="Times New Roman" w:cs="Times New Roman"/>
                <w:spacing w:val="-5"/>
                <w:position w:val="7"/>
                <w:sz w:val="21"/>
                <w:szCs w:val="21"/>
              </w:rPr>
              <w:t>107.239892</w:t>
            </w:r>
            <w:r>
              <w:rPr>
                <w:spacing w:val="-5"/>
                <w:position w:val="7"/>
                <w:sz w:val="21"/>
                <w:szCs w:val="21"/>
              </w:rPr>
              <w:t>°,</w:t>
            </w:r>
          </w:p>
          <w:p>
            <w:pPr>
              <w:pStyle w:val="6"/>
              <w:spacing w:line="185" w:lineRule="auto"/>
              <w:ind w:left="447"/>
              <w:rPr>
                <w:sz w:val="21"/>
                <w:szCs w:val="21"/>
              </w:rPr>
            </w:pPr>
            <w:r>
              <w:rPr>
                <w:rFonts w:ascii="Times New Roman" w:hAnsi="Times New Roman" w:eastAsia="Times New Roman" w:cs="Times New Roman"/>
                <w:spacing w:val="-1"/>
                <w:sz w:val="21"/>
                <w:szCs w:val="21"/>
              </w:rPr>
              <w:t>31.442131</w:t>
            </w:r>
            <w:r>
              <w:rPr>
                <w:rFonts w:ascii="Times New Roman" w:hAnsi="Times New Roman" w:eastAsia="Times New Roman" w:cs="Times New Roman"/>
                <w:spacing w:val="-25"/>
                <w:sz w:val="21"/>
                <w:szCs w:val="21"/>
              </w:rPr>
              <w:t xml:space="preserve"> </w:t>
            </w:r>
            <w:r>
              <w:rPr>
                <w:spacing w:val="-1"/>
                <w:sz w:val="21"/>
                <w:szCs w:val="21"/>
              </w:rPr>
              <w:t>°</w:t>
            </w:r>
          </w:p>
        </w:tc>
        <w:tc>
          <w:tcPr>
            <w:tcW w:w="1739" w:type="dxa"/>
            <w:vAlign w:val="top"/>
          </w:tcPr>
          <w:p>
            <w:pPr>
              <w:pStyle w:val="6"/>
              <w:spacing w:before="33" w:line="224" w:lineRule="auto"/>
              <w:ind w:left="667" w:right="127" w:hanging="526"/>
              <w:rPr>
                <w:sz w:val="21"/>
                <w:szCs w:val="21"/>
              </w:rPr>
            </w:pPr>
            <w:r>
              <w:rPr>
                <w:spacing w:val="-1"/>
                <w:sz w:val="21"/>
                <w:szCs w:val="21"/>
              </w:rPr>
              <w:t>环境影响跟踪监</w:t>
            </w:r>
            <w:r>
              <w:rPr>
                <w:spacing w:val="1"/>
                <w:sz w:val="21"/>
                <w:szCs w:val="21"/>
              </w:rPr>
              <w:t xml:space="preserve"> </w:t>
            </w:r>
            <w:r>
              <w:rPr>
                <w:spacing w:val="-2"/>
                <w:sz w:val="21"/>
                <w:szCs w:val="21"/>
              </w:rPr>
              <w:t>测点</w:t>
            </w:r>
          </w:p>
        </w:tc>
        <w:tc>
          <w:tcPr>
            <w:tcW w:w="1440" w:type="dxa"/>
            <w:vAlign w:val="top"/>
          </w:tcPr>
          <w:p>
            <w:pPr>
              <w:pStyle w:val="6"/>
              <w:spacing w:before="33" w:line="224" w:lineRule="auto"/>
              <w:ind w:left="514" w:right="189" w:hanging="315"/>
              <w:rPr>
                <w:sz w:val="21"/>
                <w:szCs w:val="21"/>
              </w:rPr>
            </w:pPr>
            <w:r>
              <w:rPr>
                <w:spacing w:val="-1"/>
                <w:sz w:val="21"/>
                <w:szCs w:val="21"/>
              </w:rPr>
              <w:t>地下水下游</w:t>
            </w:r>
            <w:r>
              <w:rPr>
                <w:sz w:val="21"/>
                <w:szCs w:val="21"/>
              </w:rPr>
              <w:t xml:space="preserve"> </w:t>
            </w:r>
            <w:r>
              <w:rPr>
                <w:spacing w:val="-2"/>
                <w:sz w:val="21"/>
                <w:szCs w:val="21"/>
              </w:rPr>
              <w:t>方向</w:t>
            </w:r>
          </w:p>
        </w:tc>
      </w:tr>
    </w:tbl>
    <w:p>
      <w:pPr>
        <w:spacing w:before="178" w:line="220" w:lineRule="auto"/>
        <w:ind w:left="128"/>
        <w:rPr>
          <w:rFonts w:ascii="宋体" w:hAnsi="宋体" w:eastAsia="宋体" w:cs="宋体"/>
          <w:sz w:val="24"/>
          <w:szCs w:val="24"/>
        </w:rPr>
      </w:pPr>
      <w:r>
        <w:rPr>
          <w:rFonts w:ascii="Times New Roman" w:hAnsi="Times New Roman" w:eastAsia="Times New Roman" w:cs="Times New Roman"/>
          <w:b/>
          <w:bCs/>
          <w:sz w:val="24"/>
          <w:szCs w:val="24"/>
        </w:rPr>
        <w:t xml:space="preserve">6.2.10 </w:t>
      </w:r>
      <w:r>
        <w:rPr>
          <w:rFonts w:ascii="宋体" w:hAnsi="宋体" w:eastAsia="宋体" w:cs="宋体"/>
          <w:sz w:val="24"/>
          <w:szCs w:val="24"/>
          <w14:textOutline w14:w="4354" w14:cap="flat" w14:cmpd="sng">
            <w14:solidFill>
              <w14:srgbClr w14:val="000000"/>
            </w14:solidFill>
            <w14:prstDash w14:val="solid"/>
            <w14:miter w14:val="10"/>
          </w14:textOutline>
        </w:rPr>
        <w:t>环境风险应急要求及应急措施</w:t>
      </w:r>
    </w:p>
    <w:p>
      <w:pPr>
        <w:spacing w:before="193" w:line="219" w:lineRule="auto"/>
        <w:ind w:left="61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）环境风险应急基本要求</w:t>
      </w:r>
    </w:p>
    <w:p>
      <w:pPr>
        <w:spacing w:before="196" w:line="369" w:lineRule="auto"/>
        <w:ind w:left="130" w:right="39" w:firstLine="478"/>
        <w:rPr>
          <w:rFonts w:ascii="宋体" w:hAnsi="宋体" w:eastAsia="宋体" w:cs="宋体"/>
          <w:sz w:val="24"/>
          <w:szCs w:val="24"/>
        </w:rPr>
      </w:pPr>
      <w:r>
        <w:rPr>
          <w:rFonts w:ascii="宋体" w:hAnsi="宋体" w:eastAsia="宋体" w:cs="宋体"/>
          <w:spacing w:val="-7"/>
          <w:sz w:val="24"/>
          <w:szCs w:val="24"/>
        </w:rPr>
        <w:t xml:space="preserve">应把防止井喷失控、天然气外溢中毒等作为事故应急的重点， 避免造成人员 </w:t>
      </w:r>
      <w:r>
        <w:rPr>
          <w:rFonts w:ascii="宋体" w:hAnsi="宋体" w:eastAsia="宋体" w:cs="宋体"/>
          <w:spacing w:val="-4"/>
          <w:sz w:val="24"/>
          <w:szCs w:val="24"/>
        </w:rPr>
        <w:t>中毒危害和财产损失， 施工单位应本着“人员的安全优先、防止事故扩展优先、</w:t>
      </w:r>
      <w:r>
        <w:rPr>
          <w:rFonts w:ascii="宋体" w:hAnsi="宋体" w:eastAsia="宋体" w:cs="宋体"/>
          <w:spacing w:val="5"/>
          <w:sz w:val="24"/>
          <w:szCs w:val="24"/>
        </w:rPr>
        <w:t xml:space="preserve"> </w:t>
      </w:r>
      <w:r>
        <w:rPr>
          <w:rFonts w:ascii="宋体" w:hAnsi="宋体" w:eastAsia="宋体" w:cs="宋体"/>
          <w:spacing w:val="-5"/>
          <w:sz w:val="24"/>
          <w:szCs w:val="24"/>
        </w:rPr>
        <w:t>保护环境优先”的原则，</w:t>
      </w:r>
      <w:r>
        <w:rPr>
          <w:rFonts w:ascii="宋体" w:hAnsi="宋体" w:eastAsia="宋体" w:cs="宋体"/>
          <w:spacing w:val="-33"/>
          <w:sz w:val="24"/>
          <w:szCs w:val="24"/>
        </w:rPr>
        <w:t xml:space="preserve"> </w:t>
      </w:r>
      <w:r>
        <w:rPr>
          <w:rFonts w:ascii="宋体" w:hAnsi="宋体" w:eastAsia="宋体" w:cs="宋体"/>
          <w:spacing w:val="-5"/>
          <w:sz w:val="24"/>
          <w:szCs w:val="24"/>
        </w:rPr>
        <w:t>按照相关规范要求制定和当地政</w:t>
      </w:r>
      <w:r>
        <w:rPr>
          <w:rFonts w:ascii="宋体" w:hAnsi="宋体" w:eastAsia="宋体" w:cs="宋体"/>
          <w:spacing w:val="-6"/>
          <w:sz w:val="24"/>
          <w:szCs w:val="24"/>
        </w:rPr>
        <w:t>府有关部门相衔的应急</w:t>
      </w:r>
    </w:p>
    <w:p>
      <w:pPr>
        <w:spacing w:line="220" w:lineRule="auto"/>
        <w:ind w:left="131"/>
        <w:rPr>
          <w:rFonts w:ascii="宋体" w:hAnsi="宋体" w:eastAsia="宋体" w:cs="宋体"/>
          <w:sz w:val="24"/>
          <w:szCs w:val="24"/>
        </w:rPr>
      </w:pPr>
      <w:r>
        <w:rPr>
          <w:rFonts w:ascii="宋体" w:hAnsi="宋体" w:eastAsia="宋体" w:cs="宋体"/>
          <w:spacing w:val="-11"/>
          <w:sz w:val="24"/>
          <w:szCs w:val="24"/>
        </w:rPr>
        <w:t>预案。</w:t>
      </w:r>
    </w:p>
    <w:p>
      <w:pPr>
        <w:spacing w:before="193" w:line="220" w:lineRule="auto"/>
        <w:ind w:left="61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）废水外溢过程应急措施</w:t>
      </w:r>
    </w:p>
    <w:p>
      <w:pPr>
        <w:spacing w:before="196" w:line="369" w:lineRule="auto"/>
        <w:ind w:left="136" w:right="52" w:firstLine="474"/>
        <w:rPr>
          <w:rFonts w:ascii="宋体" w:hAnsi="宋体" w:eastAsia="宋体" w:cs="宋体"/>
          <w:sz w:val="24"/>
          <w:szCs w:val="24"/>
        </w:rPr>
      </w:pPr>
      <w:r>
        <w:rPr>
          <w:rFonts w:ascii="宋体" w:hAnsi="宋体" w:eastAsia="宋体" w:cs="宋体"/>
          <w:spacing w:val="-12"/>
          <w:sz w:val="24"/>
          <w:szCs w:val="24"/>
        </w:rPr>
        <w:t>罐车运输废水过程中，</w:t>
      </w:r>
      <w:r>
        <w:rPr>
          <w:rFonts w:ascii="宋体" w:hAnsi="宋体" w:eastAsia="宋体" w:cs="宋体"/>
          <w:spacing w:val="38"/>
          <w:sz w:val="24"/>
          <w:szCs w:val="24"/>
        </w:rPr>
        <w:t xml:space="preserve"> </w:t>
      </w:r>
      <w:r>
        <w:rPr>
          <w:rFonts w:ascii="宋体" w:hAnsi="宋体" w:eastAsia="宋体" w:cs="宋体"/>
          <w:spacing w:val="-12"/>
          <w:sz w:val="24"/>
          <w:szCs w:val="24"/>
        </w:rPr>
        <w:t>如发生车祸等，</w:t>
      </w:r>
      <w:r>
        <w:rPr>
          <w:rFonts w:ascii="宋体" w:hAnsi="宋体" w:eastAsia="宋体" w:cs="宋体"/>
          <w:spacing w:val="33"/>
          <w:sz w:val="24"/>
          <w:szCs w:val="24"/>
        </w:rPr>
        <w:t xml:space="preserve"> </w:t>
      </w:r>
      <w:r>
        <w:rPr>
          <w:rFonts w:ascii="宋体" w:hAnsi="宋体" w:eastAsia="宋体" w:cs="宋体"/>
          <w:spacing w:val="-12"/>
          <w:sz w:val="24"/>
          <w:szCs w:val="24"/>
        </w:rPr>
        <w:t>废水</w:t>
      </w:r>
      <w:r>
        <w:rPr>
          <w:rFonts w:ascii="宋体" w:hAnsi="宋体" w:eastAsia="宋体" w:cs="宋体"/>
          <w:spacing w:val="-13"/>
          <w:sz w:val="24"/>
          <w:szCs w:val="24"/>
        </w:rPr>
        <w:t>将泄漏进入农田。发生该类风险</w:t>
      </w:r>
      <w:r>
        <w:rPr>
          <w:rFonts w:ascii="宋体" w:hAnsi="宋体" w:eastAsia="宋体" w:cs="宋体"/>
          <w:sz w:val="24"/>
          <w:szCs w:val="24"/>
        </w:rPr>
        <w:t xml:space="preserve"> </w:t>
      </w:r>
      <w:r>
        <w:rPr>
          <w:rFonts w:ascii="宋体" w:hAnsi="宋体" w:eastAsia="宋体" w:cs="宋体"/>
          <w:spacing w:val="-18"/>
          <w:sz w:val="24"/>
          <w:szCs w:val="24"/>
        </w:rPr>
        <w:t>时堵住农田缺口，</w:t>
      </w:r>
      <w:r>
        <w:rPr>
          <w:rFonts w:ascii="宋体" w:hAnsi="宋体" w:eastAsia="宋体" w:cs="宋体"/>
          <w:spacing w:val="59"/>
          <w:sz w:val="24"/>
          <w:szCs w:val="24"/>
        </w:rPr>
        <w:t xml:space="preserve"> </w:t>
      </w:r>
      <w:r>
        <w:rPr>
          <w:rFonts w:ascii="宋体" w:hAnsi="宋体" w:eastAsia="宋体" w:cs="宋体"/>
          <w:spacing w:val="-18"/>
          <w:sz w:val="24"/>
          <w:szCs w:val="24"/>
        </w:rPr>
        <w:t>防止进入冲沟影响河流水体，</w:t>
      </w:r>
      <w:r>
        <w:rPr>
          <w:rFonts w:ascii="宋体" w:hAnsi="宋体" w:eastAsia="宋体" w:cs="宋体"/>
          <w:spacing w:val="57"/>
          <w:sz w:val="24"/>
          <w:szCs w:val="24"/>
        </w:rPr>
        <w:t xml:space="preserve"> </w:t>
      </w:r>
      <w:r>
        <w:rPr>
          <w:rFonts w:ascii="宋体" w:hAnsi="宋体" w:eastAsia="宋体" w:cs="宋体"/>
          <w:spacing w:val="-18"/>
          <w:sz w:val="24"/>
          <w:szCs w:val="24"/>
        </w:rPr>
        <w:t>同时在冲沟筑坝截流，</w:t>
      </w:r>
      <w:r>
        <w:rPr>
          <w:rFonts w:ascii="宋体" w:hAnsi="宋体" w:eastAsia="宋体" w:cs="宋体"/>
          <w:spacing w:val="49"/>
          <w:sz w:val="24"/>
          <w:szCs w:val="24"/>
        </w:rPr>
        <w:t xml:space="preserve"> </w:t>
      </w:r>
      <w:r>
        <w:rPr>
          <w:rFonts w:ascii="宋体" w:hAnsi="宋体" w:eastAsia="宋体" w:cs="宋体"/>
          <w:spacing w:val="-18"/>
          <w:sz w:val="24"/>
          <w:szCs w:val="24"/>
        </w:rPr>
        <w:t>防止进入</w:t>
      </w:r>
      <w:r>
        <w:rPr>
          <w:rFonts w:ascii="宋体" w:hAnsi="宋体" w:eastAsia="宋体" w:cs="宋体"/>
          <w:sz w:val="24"/>
          <w:szCs w:val="24"/>
        </w:rPr>
        <w:t xml:space="preserve"> </w:t>
      </w:r>
      <w:r>
        <w:rPr>
          <w:rFonts w:ascii="宋体" w:hAnsi="宋体" w:eastAsia="宋体" w:cs="宋体"/>
          <w:spacing w:val="-12"/>
          <w:sz w:val="24"/>
          <w:szCs w:val="24"/>
        </w:rPr>
        <w:t>下游河沟影响水质，</w:t>
      </w:r>
      <w:r>
        <w:rPr>
          <w:rFonts w:ascii="宋体" w:hAnsi="宋体" w:eastAsia="宋体" w:cs="宋体"/>
          <w:spacing w:val="42"/>
          <w:sz w:val="24"/>
          <w:szCs w:val="24"/>
        </w:rPr>
        <w:t xml:space="preserve"> </w:t>
      </w:r>
      <w:r>
        <w:rPr>
          <w:rFonts w:ascii="宋体" w:hAnsi="宋体" w:eastAsia="宋体" w:cs="宋体"/>
          <w:spacing w:val="-12"/>
          <w:sz w:val="24"/>
          <w:szCs w:val="24"/>
        </w:rPr>
        <w:t>监测水质数据，</w:t>
      </w:r>
      <w:r>
        <w:rPr>
          <w:rFonts w:ascii="宋体" w:hAnsi="宋体" w:eastAsia="宋体" w:cs="宋体"/>
          <w:spacing w:val="33"/>
          <w:sz w:val="24"/>
          <w:szCs w:val="24"/>
        </w:rPr>
        <w:t xml:space="preserve"> </w:t>
      </w:r>
      <w:r>
        <w:rPr>
          <w:rFonts w:ascii="宋体" w:hAnsi="宋体" w:eastAsia="宋体" w:cs="宋体"/>
          <w:spacing w:val="-12"/>
          <w:sz w:val="24"/>
          <w:szCs w:val="24"/>
        </w:rPr>
        <w:t>对河沟沿线用水进行管理。发生事故后应及</w:t>
      </w:r>
      <w:r>
        <w:rPr>
          <w:rFonts w:ascii="宋体" w:hAnsi="宋体" w:eastAsia="宋体" w:cs="宋体"/>
          <w:sz w:val="24"/>
          <w:szCs w:val="24"/>
        </w:rPr>
        <w:t xml:space="preserve"> </w:t>
      </w:r>
      <w:r>
        <w:rPr>
          <w:rFonts w:ascii="宋体" w:hAnsi="宋体" w:eastAsia="宋体" w:cs="宋体"/>
          <w:spacing w:val="-10"/>
          <w:sz w:val="24"/>
          <w:szCs w:val="24"/>
        </w:rPr>
        <w:t>时通报当地环保部门，</w:t>
      </w:r>
      <w:r>
        <w:rPr>
          <w:rFonts w:ascii="宋体" w:hAnsi="宋体" w:eastAsia="宋体" w:cs="宋体"/>
          <w:spacing w:val="-34"/>
          <w:sz w:val="24"/>
          <w:szCs w:val="24"/>
        </w:rPr>
        <w:t xml:space="preserve"> </w:t>
      </w:r>
      <w:r>
        <w:rPr>
          <w:rFonts w:ascii="宋体" w:hAnsi="宋体" w:eastAsia="宋体" w:cs="宋体"/>
          <w:spacing w:val="-10"/>
          <w:sz w:val="24"/>
          <w:szCs w:val="24"/>
        </w:rPr>
        <w:t>并积极配合环保部门抢险。应急抢险应以尽量减少</w:t>
      </w:r>
      <w:r>
        <w:rPr>
          <w:rFonts w:ascii="宋体" w:hAnsi="宋体" w:eastAsia="宋体" w:cs="宋体"/>
          <w:spacing w:val="-11"/>
          <w:sz w:val="24"/>
          <w:szCs w:val="24"/>
        </w:rPr>
        <w:t>泄漏量，</w:t>
      </w:r>
    </w:p>
    <w:p>
      <w:pPr>
        <w:spacing w:before="1" w:line="218" w:lineRule="auto"/>
        <w:ind w:left="128"/>
        <w:rPr>
          <w:rFonts w:ascii="宋体" w:hAnsi="宋体" w:eastAsia="宋体" w:cs="宋体"/>
          <w:sz w:val="24"/>
          <w:szCs w:val="24"/>
        </w:rPr>
      </w:pPr>
      <w:r>
        <w:rPr>
          <w:rFonts w:ascii="宋体" w:hAnsi="宋体" w:eastAsia="宋体" w:cs="宋体"/>
          <w:spacing w:val="-3"/>
          <w:sz w:val="24"/>
          <w:szCs w:val="24"/>
        </w:rPr>
        <w:t>控制废水扩散范围为基本原则。</w:t>
      </w:r>
    </w:p>
    <w:p>
      <w:pPr>
        <w:spacing w:before="195" w:line="220" w:lineRule="auto"/>
        <w:ind w:left="61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）地下水污染应急措施</w:t>
      </w:r>
    </w:p>
    <w:p>
      <w:pPr>
        <w:spacing w:before="197" w:line="369" w:lineRule="auto"/>
        <w:ind w:left="129" w:right="58" w:firstLine="479"/>
        <w:rPr>
          <w:rFonts w:ascii="宋体" w:hAnsi="宋体" w:eastAsia="宋体" w:cs="宋体"/>
          <w:sz w:val="24"/>
          <w:szCs w:val="24"/>
        </w:rPr>
      </w:pPr>
      <w:r>
        <w:rPr>
          <w:rFonts w:ascii="宋体" w:hAnsi="宋体" w:eastAsia="宋体" w:cs="宋体"/>
          <w:spacing w:val="-3"/>
          <w:sz w:val="24"/>
          <w:szCs w:val="24"/>
        </w:rPr>
        <w:t>拟建项目最大地下水风险事故为应急池破裂废水泄漏。建议设置地表水三级</w:t>
      </w:r>
      <w:r>
        <w:rPr>
          <w:rFonts w:ascii="宋体" w:hAnsi="宋体" w:eastAsia="宋体" w:cs="宋体"/>
          <w:sz w:val="24"/>
          <w:szCs w:val="24"/>
        </w:rPr>
        <w:t xml:space="preserve"> </w:t>
      </w:r>
      <w:r>
        <w:rPr>
          <w:rFonts w:ascii="宋体" w:hAnsi="宋体" w:eastAsia="宋体" w:cs="宋体"/>
          <w:spacing w:val="-15"/>
          <w:sz w:val="24"/>
          <w:szCs w:val="24"/>
        </w:rPr>
        <w:t>防控机制， 一旦发生废水外溢，</w:t>
      </w:r>
      <w:r>
        <w:rPr>
          <w:rFonts w:ascii="宋体" w:hAnsi="宋体" w:eastAsia="宋体" w:cs="宋体"/>
          <w:spacing w:val="50"/>
          <w:sz w:val="24"/>
          <w:szCs w:val="24"/>
        </w:rPr>
        <w:t xml:space="preserve"> </w:t>
      </w:r>
      <w:r>
        <w:rPr>
          <w:rFonts w:ascii="宋体" w:hAnsi="宋体" w:eastAsia="宋体" w:cs="宋体"/>
          <w:spacing w:val="-15"/>
          <w:sz w:val="24"/>
          <w:szCs w:val="24"/>
        </w:rPr>
        <w:t>要立即启动废水外溢应急预案，</w:t>
      </w:r>
      <w:r>
        <w:rPr>
          <w:rFonts w:ascii="宋体" w:hAnsi="宋体" w:eastAsia="宋体" w:cs="宋体"/>
          <w:spacing w:val="33"/>
          <w:sz w:val="24"/>
          <w:szCs w:val="24"/>
        </w:rPr>
        <w:t xml:space="preserve"> </w:t>
      </w:r>
      <w:r>
        <w:rPr>
          <w:rFonts w:ascii="宋体" w:hAnsi="宋体" w:eastAsia="宋体" w:cs="宋体"/>
          <w:spacing w:val="-15"/>
          <w:sz w:val="24"/>
          <w:szCs w:val="24"/>
        </w:rPr>
        <w:t>对井场周边地表</w:t>
      </w:r>
      <w:r>
        <w:rPr>
          <w:rFonts w:ascii="宋体" w:hAnsi="宋体" w:eastAsia="宋体" w:cs="宋体"/>
          <w:sz w:val="24"/>
          <w:szCs w:val="24"/>
        </w:rPr>
        <w:t xml:space="preserve"> </w:t>
      </w:r>
      <w:r>
        <w:rPr>
          <w:rFonts w:ascii="宋体" w:hAnsi="宋体" w:eastAsia="宋体" w:cs="宋体"/>
          <w:spacing w:val="-11"/>
          <w:sz w:val="24"/>
          <w:szCs w:val="24"/>
        </w:rPr>
        <w:t>水进行应急监测，</w:t>
      </w:r>
      <w:r>
        <w:rPr>
          <w:rFonts w:ascii="宋体" w:hAnsi="宋体" w:eastAsia="宋体" w:cs="宋体"/>
          <w:spacing w:val="59"/>
          <w:sz w:val="24"/>
          <w:szCs w:val="24"/>
        </w:rPr>
        <w:t xml:space="preserve"> </w:t>
      </w:r>
      <w:r>
        <w:rPr>
          <w:rFonts w:ascii="宋体" w:hAnsi="宋体" w:eastAsia="宋体" w:cs="宋体"/>
          <w:spacing w:val="-11"/>
          <w:sz w:val="24"/>
          <w:szCs w:val="24"/>
        </w:rPr>
        <w:t>同时与当地政府和居民进行及时沟通， 对废水外溢造成的农业</w:t>
      </w:r>
      <w:r>
        <w:rPr>
          <w:rFonts w:ascii="宋体" w:hAnsi="宋体" w:eastAsia="宋体" w:cs="宋体"/>
          <w:sz w:val="24"/>
          <w:szCs w:val="24"/>
        </w:rPr>
        <w:t xml:space="preserve"> </w:t>
      </w:r>
      <w:r>
        <w:rPr>
          <w:rFonts w:ascii="宋体" w:hAnsi="宋体" w:eastAsia="宋体" w:cs="宋体"/>
          <w:spacing w:val="-4"/>
          <w:sz w:val="24"/>
          <w:szCs w:val="24"/>
        </w:rPr>
        <w:t>损失进行赔偿，避免居民投诉事件发生。如发生污染事</w:t>
      </w:r>
      <w:r>
        <w:rPr>
          <w:rFonts w:ascii="宋体" w:hAnsi="宋体" w:eastAsia="宋体" w:cs="宋体"/>
          <w:spacing w:val="-5"/>
          <w:sz w:val="24"/>
          <w:szCs w:val="24"/>
        </w:rPr>
        <w:t>故， 应立即将污水转移，</w:t>
      </w:r>
      <w:r>
        <w:rPr>
          <w:rFonts w:ascii="宋体" w:hAnsi="宋体" w:eastAsia="宋体" w:cs="宋体"/>
          <w:sz w:val="24"/>
          <w:szCs w:val="24"/>
        </w:rPr>
        <w:t xml:space="preserve"> </w:t>
      </w:r>
      <w:r>
        <w:rPr>
          <w:rFonts w:ascii="宋体" w:hAnsi="宋体" w:eastAsia="宋体" w:cs="宋体"/>
          <w:spacing w:val="-17"/>
          <w:sz w:val="24"/>
          <w:szCs w:val="24"/>
        </w:rPr>
        <w:t>修复事故区，</w:t>
      </w:r>
      <w:r>
        <w:rPr>
          <w:rFonts w:ascii="宋体" w:hAnsi="宋体" w:eastAsia="宋体" w:cs="宋体"/>
          <w:spacing w:val="51"/>
          <w:sz w:val="24"/>
          <w:szCs w:val="24"/>
        </w:rPr>
        <w:t xml:space="preserve"> </w:t>
      </w:r>
      <w:r>
        <w:rPr>
          <w:rFonts w:ascii="宋体" w:hAnsi="宋体" w:eastAsia="宋体" w:cs="宋体"/>
          <w:spacing w:val="-17"/>
          <w:sz w:val="24"/>
          <w:szCs w:val="24"/>
        </w:rPr>
        <w:t>并在场地下游进行抽水，</w:t>
      </w:r>
      <w:r>
        <w:rPr>
          <w:rFonts w:ascii="宋体" w:hAnsi="宋体" w:eastAsia="宋体" w:cs="宋体"/>
          <w:spacing w:val="32"/>
          <w:sz w:val="24"/>
          <w:szCs w:val="24"/>
        </w:rPr>
        <w:t xml:space="preserve"> </w:t>
      </w:r>
      <w:r>
        <w:rPr>
          <w:rFonts w:ascii="宋体" w:hAnsi="宋体" w:eastAsia="宋体" w:cs="宋体"/>
          <w:spacing w:val="-17"/>
          <w:sz w:val="24"/>
          <w:szCs w:val="24"/>
        </w:rPr>
        <w:t>将污水抽出处置，</w:t>
      </w:r>
      <w:r>
        <w:rPr>
          <w:rFonts w:ascii="宋体" w:hAnsi="宋体" w:eastAsia="宋体" w:cs="宋体"/>
          <w:spacing w:val="58"/>
          <w:sz w:val="24"/>
          <w:szCs w:val="24"/>
        </w:rPr>
        <w:t xml:space="preserve"> </w:t>
      </w:r>
      <w:r>
        <w:rPr>
          <w:rFonts w:ascii="宋体" w:hAnsi="宋体" w:eastAsia="宋体" w:cs="宋体"/>
          <w:spacing w:val="-17"/>
          <w:sz w:val="24"/>
          <w:szCs w:val="24"/>
        </w:rPr>
        <w:t>同时为下游受影响居民</w:t>
      </w:r>
    </w:p>
    <w:p>
      <w:pPr>
        <w:spacing w:before="1" w:line="218" w:lineRule="auto"/>
        <w:ind w:left="130"/>
        <w:rPr>
          <w:rFonts w:ascii="宋体" w:hAnsi="宋体" w:eastAsia="宋体" w:cs="宋体"/>
          <w:sz w:val="24"/>
          <w:szCs w:val="24"/>
        </w:rPr>
      </w:pPr>
      <w:r>
        <w:rPr>
          <w:rFonts w:ascii="宋体" w:hAnsi="宋体" w:eastAsia="宋体" w:cs="宋体"/>
          <w:spacing w:val="-1"/>
          <w:sz w:val="24"/>
          <w:szCs w:val="24"/>
        </w:rPr>
        <w:t>提供桶装饮用水、另找水源等保证居民正常用水的措施。</w:t>
      </w:r>
    </w:p>
    <w:p>
      <w:pPr>
        <w:spacing w:line="218" w:lineRule="auto"/>
        <w:rPr>
          <w:rFonts w:ascii="宋体" w:hAnsi="宋体" w:eastAsia="宋体" w:cs="宋体"/>
          <w:sz w:val="24"/>
          <w:szCs w:val="24"/>
        </w:rPr>
        <w:sectPr>
          <w:headerReference r:id="rId278" w:type="default"/>
          <w:footerReference r:id="rId279" w:type="default"/>
          <w:pgSz w:w="11907" w:h="16839"/>
          <w:pgMar w:top="1123" w:right="1675" w:bottom="1149" w:left="1678" w:header="1108" w:footer="988" w:gutter="0"/>
          <w:cols w:space="720" w:num="1"/>
        </w:sectPr>
      </w:pPr>
    </w:p>
    <w:p>
      <w:pPr>
        <w:pStyle w:val="2"/>
        <w:spacing w:line="414" w:lineRule="auto"/>
        <w:rPr>
          <w:sz w:val="21"/>
        </w:rPr>
      </w:pPr>
    </w:p>
    <w:p>
      <w:pPr>
        <w:spacing w:before="78" w:line="480" w:lineRule="exact"/>
        <w:ind w:left="524"/>
        <w:rPr>
          <w:rFonts w:ascii="宋体" w:hAnsi="宋体" w:eastAsia="宋体" w:cs="宋体"/>
          <w:sz w:val="24"/>
          <w:szCs w:val="24"/>
        </w:rPr>
      </w:pPr>
      <w:r>
        <w:rPr>
          <w:rFonts w:ascii="宋体" w:hAnsi="宋体" w:eastAsia="宋体" w:cs="宋体"/>
          <w:position w:val="18"/>
          <w:sz w:val="24"/>
          <w:szCs w:val="24"/>
        </w:rPr>
        <w:t>（</w:t>
      </w:r>
      <w:r>
        <w:rPr>
          <w:rFonts w:ascii="Times New Roman" w:hAnsi="Times New Roman" w:eastAsia="Times New Roman" w:cs="Times New Roman"/>
          <w:position w:val="18"/>
          <w:sz w:val="24"/>
          <w:szCs w:val="24"/>
        </w:rPr>
        <w:t>4</w:t>
      </w:r>
      <w:r>
        <w:rPr>
          <w:rFonts w:ascii="宋体" w:hAnsi="宋体" w:eastAsia="宋体" w:cs="宋体"/>
          <w:position w:val="18"/>
          <w:sz w:val="24"/>
          <w:szCs w:val="24"/>
        </w:rPr>
        <w:t>）油类物质（油基岩屑、油基泥浆、柴油、白油、废油）泄漏的应急措</w:t>
      </w:r>
    </w:p>
    <w:p>
      <w:pPr>
        <w:spacing w:line="222" w:lineRule="auto"/>
        <w:ind w:left="37"/>
        <w:rPr>
          <w:rFonts w:ascii="宋体" w:hAnsi="宋体" w:eastAsia="宋体" w:cs="宋体"/>
          <w:sz w:val="24"/>
          <w:szCs w:val="24"/>
        </w:rPr>
      </w:pPr>
      <w:r>
        <w:rPr>
          <w:rFonts w:ascii="宋体" w:hAnsi="宋体" w:eastAsia="宋体" w:cs="宋体"/>
          <w:sz w:val="24"/>
          <w:szCs w:val="24"/>
        </w:rPr>
        <w:t>施</w:t>
      </w:r>
    </w:p>
    <w:p>
      <w:pPr>
        <w:spacing w:before="191" w:line="369" w:lineRule="auto"/>
        <w:ind w:left="36" w:right="82" w:firstLine="485"/>
        <w:rPr>
          <w:rFonts w:ascii="宋体" w:hAnsi="宋体" w:eastAsia="宋体" w:cs="宋体"/>
          <w:sz w:val="24"/>
          <w:szCs w:val="24"/>
        </w:rPr>
      </w:pPr>
      <w:r>
        <w:rPr>
          <w:rFonts w:ascii="宋体" w:hAnsi="宋体" w:eastAsia="宋体" w:cs="宋体"/>
          <w:spacing w:val="-11"/>
          <w:sz w:val="24"/>
          <w:szCs w:val="24"/>
        </w:rPr>
        <w:t>一旦发生泄漏事故，</w:t>
      </w:r>
      <w:r>
        <w:rPr>
          <w:rFonts w:ascii="宋体" w:hAnsi="宋体" w:eastAsia="宋体" w:cs="宋体"/>
          <w:spacing w:val="33"/>
          <w:sz w:val="24"/>
          <w:szCs w:val="24"/>
        </w:rPr>
        <w:t xml:space="preserve"> </w:t>
      </w:r>
      <w:r>
        <w:rPr>
          <w:rFonts w:ascii="宋体" w:hAnsi="宋体" w:eastAsia="宋体" w:cs="宋体"/>
          <w:spacing w:val="-11"/>
          <w:sz w:val="24"/>
          <w:szCs w:val="24"/>
        </w:rPr>
        <w:t>设置的围堰容量应该满足最大泄流量， 再进入导油沟后</w:t>
      </w:r>
      <w:r>
        <w:rPr>
          <w:rFonts w:ascii="宋体" w:hAnsi="宋体" w:eastAsia="宋体" w:cs="宋体"/>
          <w:sz w:val="24"/>
          <w:szCs w:val="24"/>
        </w:rPr>
        <w:t xml:space="preserve"> </w:t>
      </w:r>
      <w:r>
        <w:rPr>
          <w:rFonts w:ascii="宋体" w:hAnsi="宋体" w:eastAsia="宋体" w:cs="宋体"/>
          <w:spacing w:val="-12"/>
          <w:sz w:val="24"/>
          <w:szCs w:val="24"/>
        </w:rPr>
        <w:t>进入集油坑进行收集处置。若进入农田，</w:t>
      </w:r>
      <w:r>
        <w:rPr>
          <w:rFonts w:ascii="宋体" w:hAnsi="宋体" w:eastAsia="宋体" w:cs="宋体"/>
          <w:spacing w:val="51"/>
          <w:sz w:val="24"/>
          <w:szCs w:val="24"/>
        </w:rPr>
        <w:t xml:space="preserve"> </w:t>
      </w:r>
      <w:r>
        <w:rPr>
          <w:rFonts w:ascii="宋体" w:hAnsi="宋体" w:eastAsia="宋体" w:cs="宋体"/>
          <w:spacing w:val="-12"/>
          <w:sz w:val="24"/>
          <w:szCs w:val="24"/>
        </w:rPr>
        <w:t>应引导油类进入固定旱地，</w:t>
      </w:r>
      <w:r>
        <w:rPr>
          <w:rFonts w:ascii="宋体" w:hAnsi="宋体" w:eastAsia="宋体" w:cs="宋体"/>
          <w:spacing w:val="34"/>
          <w:sz w:val="24"/>
          <w:szCs w:val="24"/>
        </w:rPr>
        <w:t xml:space="preserve"> </w:t>
      </w:r>
      <w:r>
        <w:rPr>
          <w:rFonts w:ascii="宋体" w:hAnsi="宋体" w:eastAsia="宋体" w:cs="宋体"/>
          <w:spacing w:val="-12"/>
          <w:sz w:val="24"/>
          <w:szCs w:val="24"/>
        </w:rPr>
        <w:t>减少影响范</w:t>
      </w:r>
      <w:r>
        <w:rPr>
          <w:rFonts w:ascii="宋体" w:hAnsi="宋体" w:eastAsia="宋体" w:cs="宋体"/>
          <w:sz w:val="24"/>
          <w:szCs w:val="24"/>
        </w:rPr>
        <w:t xml:space="preserve"> </w:t>
      </w:r>
      <w:r>
        <w:rPr>
          <w:rFonts w:ascii="宋体" w:hAnsi="宋体" w:eastAsia="宋体" w:cs="宋体"/>
          <w:spacing w:val="-9"/>
          <w:sz w:val="24"/>
          <w:szCs w:val="24"/>
        </w:rPr>
        <w:t>围，</w:t>
      </w:r>
      <w:r>
        <w:rPr>
          <w:rFonts w:ascii="宋体" w:hAnsi="宋体" w:eastAsia="宋体" w:cs="宋体"/>
          <w:spacing w:val="-53"/>
          <w:sz w:val="24"/>
          <w:szCs w:val="24"/>
        </w:rPr>
        <w:t xml:space="preserve"> </w:t>
      </w:r>
      <w:r>
        <w:rPr>
          <w:rFonts w:ascii="宋体" w:hAnsi="宋体" w:eastAsia="宋体" w:cs="宋体"/>
          <w:spacing w:val="-9"/>
          <w:sz w:val="24"/>
          <w:szCs w:val="24"/>
        </w:rPr>
        <w:t>尽量避免和减少进入水田。对收集的油类进行处置，</w:t>
      </w:r>
      <w:r>
        <w:rPr>
          <w:rFonts w:ascii="宋体" w:hAnsi="宋体" w:eastAsia="宋体" w:cs="宋体"/>
          <w:spacing w:val="33"/>
          <w:sz w:val="24"/>
          <w:szCs w:val="24"/>
        </w:rPr>
        <w:t xml:space="preserve"> </w:t>
      </w:r>
      <w:r>
        <w:rPr>
          <w:rFonts w:ascii="宋体" w:hAnsi="宋体" w:eastAsia="宋体" w:cs="宋体"/>
          <w:spacing w:val="-9"/>
          <w:sz w:val="24"/>
          <w:szCs w:val="24"/>
        </w:rPr>
        <w:t>对受污染的土壤收集后</w:t>
      </w:r>
    </w:p>
    <w:p>
      <w:pPr>
        <w:spacing w:before="1" w:line="220" w:lineRule="auto"/>
        <w:ind w:left="42"/>
        <w:rPr>
          <w:rFonts w:ascii="宋体" w:hAnsi="宋体" w:eastAsia="宋体" w:cs="宋体"/>
          <w:sz w:val="24"/>
          <w:szCs w:val="24"/>
        </w:rPr>
      </w:pPr>
      <w:r>
        <w:rPr>
          <w:rFonts w:ascii="宋体" w:hAnsi="宋体" w:eastAsia="宋体" w:cs="宋体"/>
          <w:spacing w:val="-8"/>
          <w:sz w:val="24"/>
          <w:szCs w:val="24"/>
        </w:rPr>
        <w:t>安全处置。</w:t>
      </w:r>
    </w:p>
    <w:p>
      <w:pPr>
        <w:spacing w:before="193" w:line="369" w:lineRule="auto"/>
        <w:ind w:left="37" w:right="82" w:firstLine="481"/>
        <w:rPr>
          <w:rFonts w:ascii="宋体" w:hAnsi="宋体" w:eastAsia="宋体" w:cs="宋体"/>
          <w:sz w:val="24"/>
          <w:szCs w:val="24"/>
        </w:rPr>
      </w:pPr>
      <w:r>
        <w:rPr>
          <w:rFonts w:ascii="宋体" w:hAnsi="宋体" w:eastAsia="宋体" w:cs="宋体"/>
          <w:spacing w:val="-10"/>
          <w:sz w:val="24"/>
          <w:szCs w:val="24"/>
        </w:rPr>
        <w:t>本项目所在地生态环境监测站设备较为完善， 监测人员业务能力强， 基本能</w:t>
      </w:r>
      <w:r>
        <w:rPr>
          <w:rFonts w:ascii="宋体" w:hAnsi="宋体" w:eastAsia="宋体" w:cs="宋体"/>
          <w:spacing w:val="12"/>
          <w:sz w:val="24"/>
          <w:szCs w:val="24"/>
        </w:rPr>
        <w:t xml:space="preserve"> </w:t>
      </w:r>
      <w:r>
        <w:rPr>
          <w:rFonts w:ascii="宋体" w:hAnsi="宋体" w:eastAsia="宋体" w:cs="宋体"/>
          <w:spacing w:val="-6"/>
          <w:sz w:val="24"/>
          <w:szCs w:val="24"/>
        </w:rPr>
        <w:t>够完成应急监测任务， 不能完成的项目可申请周边其他环境监测站或第三方</w:t>
      </w:r>
      <w:r>
        <w:rPr>
          <w:rFonts w:ascii="宋体" w:hAnsi="宋体" w:eastAsia="宋体" w:cs="宋体"/>
          <w:spacing w:val="-7"/>
          <w:sz w:val="24"/>
          <w:szCs w:val="24"/>
        </w:rPr>
        <w:t>监测</w:t>
      </w:r>
    </w:p>
    <w:p>
      <w:pPr>
        <w:spacing w:before="2" w:line="218" w:lineRule="auto"/>
        <w:ind w:left="37"/>
        <w:rPr>
          <w:rFonts w:ascii="宋体" w:hAnsi="宋体" w:eastAsia="宋体" w:cs="宋体"/>
          <w:sz w:val="24"/>
          <w:szCs w:val="24"/>
        </w:rPr>
      </w:pPr>
      <w:r>
        <w:rPr>
          <w:rFonts w:ascii="宋体" w:hAnsi="宋体" w:eastAsia="宋体" w:cs="宋体"/>
          <w:spacing w:val="-7"/>
          <w:sz w:val="24"/>
          <w:szCs w:val="24"/>
        </w:rPr>
        <w:t>机构协助。</w:t>
      </w:r>
    </w:p>
    <w:p>
      <w:pPr>
        <w:spacing w:before="195"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）环境风险应急关键措施</w:t>
      </w:r>
    </w:p>
    <w:p>
      <w:pPr>
        <w:spacing w:before="195" w:line="369" w:lineRule="auto"/>
        <w:ind w:left="38" w:right="81" w:firstLine="479"/>
        <w:rPr>
          <w:rFonts w:ascii="宋体" w:hAnsi="宋体" w:eastAsia="宋体" w:cs="宋体"/>
          <w:sz w:val="24"/>
          <w:szCs w:val="24"/>
        </w:rPr>
      </w:pPr>
      <w:r>
        <w:rPr>
          <w:rFonts w:ascii="宋体" w:hAnsi="宋体" w:eastAsia="宋体" w:cs="宋体"/>
          <w:spacing w:val="-7"/>
          <w:sz w:val="24"/>
          <w:szCs w:val="24"/>
        </w:rPr>
        <w:t>井喷失控造成天然气急速释放， 发生井喷的过程主要是由泥浆溢流→井涌→</w:t>
      </w:r>
      <w:r>
        <w:rPr>
          <w:rFonts w:ascii="宋体" w:hAnsi="宋体" w:eastAsia="宋体" w:cs="宋体"/>
          <w:spacing w:val="18"/>
          <w:sz w:val="24"/>
          <w:szCs w:val="24"/>
        </w:rPr>
        <w:t xml:space="preserve"> </w:t>
      </w:r>
      <w:r>
        <w:rPr>
          <w:rFonts w:ascii="宋体" w:hAnsi="宋体" w:eastAsia="宋体" w:cs="宋体"/>
          <w:sz w:val="24"/>
          <w:szCs w:val="24"/>
        </w:rPr>
        <w:t xml:space="preserve">井喷。天然气从井口喷出，这段时间大约在 </w:t>
      </w:r>
      <w:r>
        <w:rPr>
          <w:rFonts w:ascii="Times New Roman" w:hAnsi="Times New Roman" w:eastAsia="Times New Roman" w:cs="Times New Roman"/>
          <w:sz w:val="24"/>
          <w:szCs w:val="24"/>
        </w:rPr>
        <w:t>20~60min</w:t>
      </w:r>
      <w:r>
        <w:rPr>
          <w:rFonts w:ascii="宋体" w:hAnsi="宋体" w:eastAsia="宋体" w:cs="宋体"/>
          <w:spacing w:val="-1"/>
          <w:sz w:val="24"/>
          <w:szCs w:val="24"/>
        </w:rPr>
        <w:t>。泥浆溢流后，应立即组</w:t>
      </w:r>
      <w:r>
        <w:rPr>
          <w:rFonts w:ascii="宋体" w:hAnsi="宋体" w:eastAsia="宋体" w:cs="宋体"/>
          <w:sz w:val="24"/>
          <w:szCs w:val="24"/>
        </w:rPr>
        <w:t xml:space="preserve"> </w:t>
      </w:r>
      <w:r>
        <w:rPr>
          <w:rFonts w:ascii="宋体" w:hAnsi="宋体" w:eastAsia="宋体" w:cs="宋体"/>
          <w:spacing w:val="-11"/>
          <w:sz w:val="24"/>
          <w:szCs w:val="24"/>
        </w:rPr>
        <w:t>织首先撤离井口周边</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500m</w:t>
      </w:r>
      <w:r>
        <w:rPr>
          <w:rFonts w:ascii="Times New Roman" w:hAnsi="Times New Roman" w:eastAsia="Times New Roman" w:cs="Times New Roman"/>
          <w:spacing w:val="39"/>
          <w:sz w:val="24"/>
          <w:szCs w:val="24"/>
        </w:rPr>
        <w:t xml:space="preserve"> </w:t>
      </w:r>
      <w:r>
        <w:rPr>
          <w:rFonts w:ascii="宋体" w:hAnsi="宋体" w:eastAsia="宋体" w:cs="宋体"/>
          <w:spacing w:val="-11"/>
          <w:sz w:val="24"/>
          <w:szCs w:val="24"/>
        </w:rPr>
        <w:t>内的居民， 并告知井口周围</w:t>
      </w:r>
      <w:r>
        <w:rPr>
          <w:rFonts w:ascii="宋体" w:hAnsi="宋体" w:eastAsia="宋体" w:cs="宋体"/>
          <w:spacing w:val="-48"/>
          <w:sz w:val="24"/>
          <w:szCs w:val="24"/>
        </w:rPr>
        <w:t xml:space="preserve"> </w:t>
      </w:r>
      <w:r>
        <w:rPr>
          <w:rFonts w:ascii="Times New Roman" w:hAnsi="Times New Roman" w:eastAsia="Times New Roman" w:cs="Times New Roman"/>
          <w:spacing w:val="-11"/>
          <w:sz w:val="24"/>
          <w:szCs w:val="24"/>
        </w:rPr>
        <w:t>5km</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范围内的敏感点， 尤</w:t>
      </w:r>
      <w:r>
        <w:rPr>
          <w:rFonts w:ascii="宋体" w:hAnsi="宋体" w:eastAsia="宋体" w:cs="宋体"/>
          <w:sz w:val="24"/>
          <w:szCs w:val="24"/>
        </w:rPr>
        <w:t xml:space="preserve"> </w:t>
      </w:r>
      <w:r>
        <w:rPr>
          <w:rFonts w:ascii="宋体" w:hAnsi="宋体" w:eastAsia="宋体" w:cs="宋体"/>
          <w:spacing w:val="-13"/>
          <w:sz w:val="24"/>
          <w:szCs w:val="24"/>
        </w:rPr>
        <w:t>其是学校、集镇等。井喷失控后，</w:t>
      </w:r>
      <w:r>
        <w:rPr>
          <w:rFonts w:ascii="宋体" w:hAnsi="宋体" w:eastAsia="宋体" w:cs="宋体"/>
          <w:spacing w:val="35"/>
          <w:sz w:val="24"/>
          <w:szCs w:val="24"/>
        </w:rPr>
        <w:t xml:space="preserve"> </w:t>
      </w:r>
      <w:r>
        <w:rPr>
          <w:rFonts w:ascii="宋体" w:hAnsi="宋体" w:eastAsia="宋体" w:cs="宋体"/>
          <w:spacing w:val="-13"/>
          <w:sz w:val="24"/>
          <w:szCs w:val="24"/>
        </w:rPr>
        <w:t>在</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15min</w:t>
      </w:r>
      <w:r>
        <w:rPr>
          <w:rFonts w:ascii="Times New Roman" w:hAnsi="Times New Roman" w:eastAsia="Times New Roman" w:cs="Times New Roman"/>
          <w:spacing w:val="39"/>
          <w:sz w:val="24"/>
          <w:szCs w:val="24"/>
        </w:rPr>
        <w:t xml:space="preserve"> </w:t>
      </w:r>
      <w:r>
        <w:rPr>
          <w:rFonts w:ascii="宋体" w:hAnsi="宋体" w:eastAsia="宋体" w:cs="宋体"/>
          <w:spacing w:val="-13"/>
          <w:sz w:val="24"/>
          <w:szCs w:val="24"/>
        </w:rPr>
        <w:t>内完成井口点火</w:t>
      </w:r>
      <w:r>
        <w:rPr>
          <w:rFonts w:ascii="宋体" w:hAnsi="宋体" w:eastAsia="宋体" w:cs="宋体"/>
          <w:spacing w:val="-14"/>
          <w:sz w:val="24"/>
          <w:szCs w:val="24"/>
        </w:rPr>
        <w:t>燃烧泄漏天然气，</w:t>
      </w:r>
      <w:r>
        <w:rPr>
          <w:rFonts w:ascii="宋体" w:hAnsi="宋体" w:eastAsia="宋体" w:cs="宋体"/>
          <w:spacing w:val="35"/>
          <w:sz w:val="24"/>
          <w:szCs w:val="24"/>
        </w:rPr>
        <w:t xml:space="preserve"> </w:t>
      </w:r>
      <w:r>
        <w:rPr>
          <w:rFonts w:ascii="宋体" w:hAnsi="宋体" w:eastAsia="宋体" w:cs="宋体"/>
          <w:spacing w:val="-14"/>
          <w:sz w:val="24"/>
          <w:szCs w:val="24"/>
        </w:rPr>
        <w:t>将</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天然气燃烧转化为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15"/>
          <w:position w:val="-1"/>
          <w:sz w:val="16"/>
          <w:szCs w:val="16"/>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 xml:space="preserve">O </w:t>
      </w:r>
      <w:r>
        <w:rPr>
          <w:rFonts w:ascii="宋体" w:hAnsi="宋体" w:eastAsia="宋体" w:cs="宋体"/>
          <w:spacing w:val="-3"/>
          <w:sz w:val="24"/>
          <w:szCs w:val="24"/>
        </w:rPr>
        <w:t>和少量</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6"/>
          <w:szCs w:val="16"/>
        </w:rPr>
        <w:t>2</w:t>
      </w:r>
      <w:r>
        <w:rPr>
          <w:rFonts w:ascii="宋体" w:hAnsi="宋体" w:eastAsia="宋体" w:cs="宋体"/>
          <w:spacing w:val="-3"/>
          <w:sz w:val="24"/>
          <w:szCs w:val="24"/>
        </w:rPr>
        <w:t>。</w:t>
      </w:r>
    </w:p>
    <w:p>
      <w:pPr>
        <w:spacing w:before="197" w:line="369" w:lineRule="auto"/>
        <w:ind w:left="33" w:right="82" w:firstLine="484"/>
        <w:rPr>
          <w:rFonts w:ascii="宋体" w:hAnsi="宋体" w:eastAsia="宋体" w:cs="宋体"/>
          <w:sz w:val="24"/>
          <w:szCs w:val="24"/>
        </w:rPr>
      </w:pPr>
      <w:r>
        <w:rPr>
          <w:rFonts w:ascii="宋体" w:hAnsi="宋体" w:eastAsia="宋体" w:cs="宋体"/>
          <w:spacing w:val="-4"/>
          <w:sz w:val="24"/>
          <w:szCs w:val="24"/>
        </w:rPr>
        <w:t>钻井过程中，井下监控措施监控发现井内泥浆溢流量达</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10"/>
          <w:w w:val="102"/>
          <w:position w:val="9"/>
          <w:sz w:val="16"/>
          <w:szCs w:val="16"/>
        </w:rPr>
        <w:t xml:space="preserve">  </w:t>
      </w:r>
      <w:r>
        <w:rPr>
          <w:rFonts w:ascii="宋体" w:hAnsi="宋体" w:eastAsia="宋体" w:cs="宋体"/>
          <w:spacing w:val="-4"/>
          <w:sz w:val="24"/>
          <w:szCs w:val="24"/>
        </w:rPr>
        <w:t>时报警</w:t>
      </w:r>
      <w:r>
        <w:rPr>
          <w:rFonts w:ascii="宋体" w:hAnsi="宋体" w:eastAsia="宋体" w:cs="宋体"/>
          <w:spacing w:val="-5"/>
          <w:sz w:val="24"/>
          <w:szCs w:val="24"/>
        </w:rPr>
        <w:t>， 达到</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2m</w:t>
      </w:r>
      <w:r>
        <w:rPr>
          <w:rFonts w:ascii="Times New Roman" w:hAnsi="Times New Roman" w:eastAsia="Times New Roman" w:cs="Times New Roman"/>
          <w:spacing w:val="-12"/>
          <w:position w:val="9"/>
          <w:sz w:val="16"/>
          <w:szCs w:val="16"/>
        </w:rPr>
        <w:t>3</w:t>
      </w:r>
      <w:r>
        <w:rPr>
          <w:rFonts w:ascii="Times New Roman" w:hAnsi="Times New Roman" w:eastAsia="Times New Roman" w:cs="Times New Roman"/>
          <w:spacing w:val="30"/>
          <w:w w:val="102"/>
          <w:position w:val="9"/>
          <w:sz w:val="16"/>
          <w:szCs w:val="16"/>
        </w:rPr>
        <w:t xml:space="preserve"> </w:t>
      </w:r>
      <w:r>
        <w:rPr>
          <w:rFonts w:ascii="宋体" w:hAnsi="宋体" w:eastAsia="宋体" w:cs="宋体"/>
          <w:spacing w:val="-12"/>
          <w:sz w:val="24"/>
          <w:szCs w:val="24"/>
        </w:rPr>
        <w:t>时马上采取关井措施。当所有关断措施全部失效，</w:t>
      </w:r>
      <w:r>
        <w:rPr>
          <w:rFonts w:ascii="宋体" w:hAnsi="宋体" w:eastAsia="宋体" w:cs="宋体"/>
          <w:spacing w:val="50"/>
          <w:sz w:val="24"/>
          <w:szCs w:val="24"/>
        </w:rPr>
        <w:t xml:space="preserve"> </w:t>
      </w:r>
      <w:r>
        <w:rPr>
          <w:rFonts w:ascii="宋体" w:hAnsi="宋体" w:eastAsia="宋体" w:cs="宋体"/>
          <w:spacing w:val="-12"/>
          <w:sz w:val="24"/>
          <w:szCs w:val="24"/>
        </w:rPr>
        <w:t>井口失控后，</w:t>
      </w:r>
      <w:r>
        <w:rPr>
          <w:rFonts w:ascii="宋体" w:hAnsi="宋体" w:eastAsia="宋体" w:cs="宋体"/>
          <w:spacing w:val="69"/>
          <w:sz w:val="24"/>
          <w:szCs w:val="24"/>
        </w:rPr>
        <w:t xml:space="preserve"> </w:t>
      </w:r>
      <w:r>
        <w:rPr>
          <w:rFonts w:ascii="宋体" w:hAnsi="宋体" w:eastAsia="宋体" w:cs="宋体"/>
          <w:spacing w:val="-12"/>
          <w:sz w:val="24"/>
          <w:szCs w:val="24"/>
        </w:rPr>
        <w:t>即发生井喷</w:t>
      </w:r>
      <w:r>
        <w:rPr>
          <w:rFonts w:ascii="宋体" w:hAnsi="宋体" w:eastAsia="宋体" w:cs="宋体"/>
          <w:sz w:val="24"/>
          <w:szCs w:val="24"/>
        </w:rPr>
        <w:t xml:space="preserve"> </w:t>
      </w:r>
      <w:r>
        <w:rPr>
          <w:rFonts w:ascii="宋体" w:hAnsi="宋体" w:eastAsia="宋体" w:cs="宋体"/>
          <w:spacing w:val="-15"/>
          <w:sz w:val="24"/>
          <w:szCs w:val="24"/>
        </w:rPr>
        <w:t>事故。若采取关井措施能防止井喷，</w:t>
      </w:r>
      <w:r>
        <w:rPr>
          <w:rFonts w:ascii="宋体" w:hAnsi="宋体" w:eastAsia="宋体" w:cs="宋体"/>
          <w:spacing w:val="-43"/>
          <w:sz w:val="24"/>
          <w:szCs w:val="24"/>
        </w:rPr>
        <w:t xml:space="preserve"> </w:t>
      </w:r>
      <w:r>
        <w:rPr>
          <w:rFonts w:ascii="宋体" w:hAnsi="宋体" w:eastAsia="宋体" w:cs="宋体"/>
          <w:spacing w:val="-15"/>
          <w:sz w:val="24"/>
          <w:szCs w:val="24"/>
        </w:rPr>
        <w:t>将疏散的居民撤回；</w:t>
      </w:r>
      <w:r>
        <w:rPr>
          <w:rFonts w:ascii="宋体" w:hAnsi="宋体" w:eastAsia="宋体" w:cs="宋体"/>
          <w:spacing w:val="-44"/>
          <w:sz w:val="24"/>
          <w:szCs w:val="24"/>
        </w:rPr>
        <w:t xml:space="preserve"> </w:t>
      </w:r>
      <w:r>
        <w:rPr>
          <w:rFonts w:ascii="宋体" w:hAnsi="宋体" w:eastAsia="宋体" w:cs="宋体"/>
          <w:spacing w:val="-15"/>
          <w:sz w:val="24"/>
          <w:szCs w:val="24"/>
        </w:rPr>
        <w:t>若井口失控后发生井喷，</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则井喷结束后，将疏散的居民撤回。</w:t>
      </w:r>
    </w:p>
    <w:p>
      <w:pPr>
        <w:spacing w:before="195" w:line="220" w:lineRule="auto"/>
        <w:ind w:left="37"/>
        <w:rPr>
          <w:rFonts w:ascii="宋体" w:hAnsi="宋体" w:eastAsia="宋体" w:cs="宋体"/>
          <w:sz w:val="24"/>
          <w:szCs w:val="24"/>
        </w:rPr>
      </w:pPr>
      <w:r>
        <w:rPr>
          <w:rFonts w:ascii="Times New Roman" w:hAnsi="Times New Roman" w:eastAsia="Times New Roman" w:cs="Times New Roman"/>
          <w:b/>
          <w:bCs/>
          <w:spacing w:val="-1"/>
          <w:sz w:val="24"/>
          <w:szCs w:val="24"/>
        </w:rPr>
        <w:t xml:space="preserve">6.2.11 </w:t>
      </w:r>
      <w:r>
        <w:rPr>
          <w:rFonts w:ascii="宋体" w:hAnsi="宋体" w:eastAsia="宋体" w:cs="宋体"/>
          <w:spacing w:val="-1"/>
          <w:sz w:val="24"/>
          <w:szCs w:val="24"/>
          <w14:textOutline w14:w="4354" w14:cap="flat" w14:cmpd="sng">
            <w14:solidFill>
              <w14:srgbClr w14:val="000000"/>
            </w14:solidFill>
            <w14:prstDash w14:val="solid"/>
            <w14:miter w14:val="10"/>
          </w14:textOutline>
        </w:rPr>
        <w:t>其他环境风险防范措施</w:t>
      </w:r>
    </w:p>
    <w:p>
      <w:pPr>
        <w:spacing w:before="193"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1</w:t>
      </w:r>
      <w:r>
        <w:rPr>
          <w:rFonts w:ascii="宋体" w:hAnsi="宋体" w:eastAsia="宋体" w:cs="宋体"/>
          <w:spacing w:val="-1"/>
          <w:sz w:val="24"/>
          <w:szCs w:val="24"/>
          <w14:textOutline w14:w="4354" w14:cap="flat" w14:cmpd="sng">
            <w14:solidFill>
              <w14:srgbClr w14:val="000000"/>
            </w14:solidFill>
            <w14:prstDash w14:val="solid"/>
            <w14:miter w14:val="10"/>
          </w14:textOutline>
        </w:rPr>
        <w:t>）运输过程的风险防范措施</w:t>
      </w:r>
    </w:p>
    <w:p>
      <w:pPr>
        <w:spacing w:before="197" w:line="369" w:lineRule="auto"/>
        <w:ind w:left="38" w:right="2" w:firstLine="479"/>
        <w:jc w:val="both"/>
        <w:rPr>
          <w:rFonts w:ascii="宋体" w:hAnsi="宋体" w:eastAsia="宋体" w:cs="宋体"/>
          <w:sz w:val="24"/>
          <w:szCs w:val="24"/>
        </w:rPr>
      </w:pPr>
      <w:r>
        <w:rPr>
          <w:rFonts w:ascii="宋体" w:hAnsi="宋体" w:eastAsia="宋体" w:cs="宋体"/>
          <w:spacing w:val="-1"/>
          <w:sz w:val="24"/>
          <w:szCs w:val="24"/>
        </w:rPr>
        <w:t>柴油、白油、盐酸等物料的运输委托具有相应化学品运输资质的</w:t>
      </w:r>
      <w:r>
        <w:rPr>
          <w:rFonts w:ascii="宋体" w:hAnsi="宋体" w:eastAsia="宋体" w:cs="宋体"/>
          <w:spacing w:val="-2"/>
          <w:sz w:val="24"/>
          <w:szCs w:val="24"/>
        </w:rPr>
        <w:t>单位进行，</w:t>
      </w:r>
      <w:r>
        <w:rPr>
          <w:rFonts w:ascii="宋体" w:hAnsi="宋体" w:eastAsia="宋体" w:cs="宋体"/>
          <w:sz w:val="24"/>
          <w:szCs w:val="24"/>
        </w:rPr>
        <w:t xml:space="preserve"> </w:t>
      </w:r>
      <w:r>
        <w:rPr>
          <w:rFonts w:ascii="宋体" w:hAnsi="宋体" w:eastAsia="宋体" w:cs="宋体"/>
          <w:spacing w:val="-8"/>
          <w:sz w:val="24"/>
          <w:szCs w:val="24"/>
        </w:rPr>
        <w:t>项目不承担运输风险，</w:t>
      </w:r>
      <w:r>
        <w:rPr>
          <w:rFonts w:ascii="宋体" w:hAnsi="宋体" w:eastAsia="宋体" w:cs="宋体"/>
          <w:spacing w:val="50"/>
          <w:sz w:val="24"/>
          <w:szCs w:val="24"/>
        </w:rPr>
        <w:t xml:space="preserve"> </w:t>
      </w:r>
      <w:r>
        <w:rPr>
          <w:rFonts w:ascii="宋体" w:hAnsi="宋体" w:eastAsia="宋体" w:cs="宋体"/>
          <w:spacing w:val="-8"/>
          <w:sz w:val="24"/>
          <w:szCs w:val="24"/>
        </w:rPr>
        <w:t xml:space="preserve">为防止在收运过程中发生柴油、白油、盐酸泄漏、洒落等 </w:t>
      </w:r>
      <w:r>
        <w:rPr>
          <w:rFonts w:ascii="宋体" w:hAnsi="宋体" w:eastAsia="宋体" w:cs="宋体"/>
          <w:spacing w:val="-11"/>
          <w:sz w:val="24"/>
          <w:szCs w:val="24"/>
        </w:rPr>
        <w:t>事故污染周围环境，</w:t>
      </w:r>
      <w:r>
        <w:rPr>
          <w:rFonts w:ascii="宋体" w:hAnsi="宋体" w:eastAsia="宋体" w:cs="宋体"/>
          <w:spacing w:val="49"/>
          <w:sz w:val="24"/>
          <w:szCs w:val="24"/>
        </w:rPr>
        <w:t xml:space="preserve"> </w:t>
      </w:r>
      <w:r>
        <w:rPr>
          <w:rFonts w:ascii="宋体" w:hAnsi="宋体" w:eastAsia="宋体" w:cs="宋体"/>
          <w:spacing w:val="-11"/>
          <w:sz w:val="24"/>
          <w:szCs w:val="24"/>
        </w:rPr>
        <w:t xml:space="preserve">引发污染事故， 委托有资质运输单位需对托运的危险货物种 </w:t>
      </w:r>
      <w:r>
        <w:rPr>
          <w:rFonts w:ascii="宋体" w:hAnsi="宋体" w:eastAsia="宋体" w:cs="宋体"/>
          <w:spacing w:val="-8"/>
          <w:sz w:val="24"/>
          <w:szCs w:val="24"/>
        </w:rPr>
        <w:t>类、数量和承运人等相关信息予以记录，</w:t>
      </w:r>
      <w:r>
        <w:rPr>
          <w:rFonts w:ascii="宋体" w:hAnsi="宋体" w:eastAsia="宋体" w:cs="宋体"/>
          <w:spacing w:val="33"/>
          <w:sz w:val="24"/>
          <w:szCs w:val="24"/>
        </w:rPr>
        <w:t xml:space="preserve"> </w:t>
      </w:r>
      <w:r>
        <w:rPr>
          <w:rFonts w:ascii="宋体" w:hAnsi="宋体" w:eastAsia="宋体" w:cs="宋体"/>
          <w:spacing w:val="-8"/>
          <w:sz w:val="24"/>
          <w:szCs w:val="24"/>
        </w:rPr>
        <w:t>记录的保存期限不得少于</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年。</w:t>
      </w:r>
      <w:r>
        <w:rPr>
          <w:rFonts w:ascii="宋体" w:hAnsi="宋体" w:eastAsia="宋体" w:cs="宋体"/>
          <w:spacing w:val="-9"/>
          <w:sz w:val="24"/>
          <w:szCs w:val="24"/>
        </w:rPr>
        <w:t xml:space="preserve">并严格 </w:t>
      </w:r>
      <w:r>
        <w:rPr>
          <w:rFonts w:ascii="宋体" w:hAnsi="宋体" w:eastAsia="宋体" w:cs="宋体"/>
          <w:spacing w:val="-1"/>
          <w:sz w:val="24"/>
          <w:szCs w:val="24"/>
        </w:rPr>
        <w:t>按照国家有关规定妥善包装并在外包装设置标志，说明危险货物的品名、数量、</w:t>
      </w:r>
    </w:p>
    <w:p>
      <w:pPr>
        <w:spacing w:line="219" w:lineRule="auto"/>
        <w:ind w:left="41"/>
        <w:rPr>
          <w:rFonts w:ascii="宋体" w:hAnsi="宋体" w:eastAsia="宋体" w:cs="宋体"/>
          <w:sz w:val="24"/>
          <w:szCs w:val="24"/>
        </w:rPr>
      </w:pPr>
      <w:r>
        <w:rPr>
          <w:rFonts w:ascii="宋体" w:hAnsi="宋体" w:eastAsia="宋体" w:cs="宋体"/>
          <w:spacing w:val="-4"/>
          <w:sz w:val="24"/>
          <w:szCs w:val="24"/>
        </w:rPr>
        <w:t>危害、应急措施等情况。</w:t>
      </w:r>
    </w:p>
    <w:p>
      <w:pPr>
        <w:spacing w:before="195" w:line="480" w:lineRule="exact"/>
        <w:jc w:val="right"/>
        <w:rPr>
          <w:rFonts w:ascii="宋体" w:hAnsi="宋体" w:eastAsia="宋体" w:cs="宋体"/>
          <w:sz w:val="24"/>
          <w:szCs w:val="24"/>
        </w:rPr>
      </w:pPr>
      <w:r>
        <w:rPr>
          <w:rFonts w:ascii="宋体" w:hAnsi="宋体" w:eastAsia="宋体" w:cs="宋体"/>
          <w:spacing w:val="-13"/>
          <w:position w:val="18"/>
          <w:sz w:val="24"/>
          <w:szCs w:val="24"/>
        </w:rPr>
        <w:t>化学品公路运输应按照《道路危险货物运输管理规</w:t>
      </w:r>
      <w:r>
        <w:rPr>
          <w:rFonts w:ascii="宋体" w:hAnsi="宋体" w:eastAsia="宋体" w:cs="宋体"/>
          <w:spacing w:val="-14"/>
          <w:position w:val="18"/>
          <w:sz w:val="24"/>
          <w:szCs w:val="24"/>
        </w:rPr>
        <w:t>定》（交通运输部令〔</w:t>
      </w:r>
      <w:r>
        <w:rPr>
          <w:rFonts w:ascii="Times New Roman" w:hAnsi="Times New Roman" w:eastAsia="Times New Roman" w:cs="Times New Roman"/>
          <w:spacing w:val="-14"/>
          <w:position w:val="18"/>
          <w:sz w:val="24"/>
          <w:szCs w:val="24"/>
        </w:rPr>
        <w:t>2005</w:t>
      </w:r>
      <w:r>
        <w:rPr>
          <w:rFonts w:ascii="宋体" w:hAnsi="宋体" w:eastAsia="宋体" w:cs="宋体"/>
          <w:spacing w:val="-14"/>
          <w:position w:val="18"/>
          <w:sz w:val="24"/>
          <w:szCs w:val="24"/>
        </w:rPr>
        <w:t>〕</w:t>
      </w:r>
    </w:p>
    <w:p>
      <w:pPr>
        <w:spacing w:before="1" w:line="218" w:lineRule="auto"/>
        <w:ind w:left="39"/>
        <w:rPr>
          <w:rFonts w:ascii="宋体" w:hAnsi="宋体" w:eastAsia="宋体" w:cs="宋体"/>
          <w:sz w:val="24"/>
          <w:szCs w:val="24"/>
        </w:rPr>
      </w:pPr>
      <w:r>
        <w:rPr>
          <w:rFonts w:ascii="宋体" w:hAnsi="宋体" w:eastAsia="宋体" w:cs="宋体"/>
          <w:spacing w:val="-11"/>
          <w:sz w:val="24"/>
          <w:szCs w:val="24"/>
        </w:rPr>
        <w:t>年第</w:t>
      </w:r>
      <w:r>
        <w:rPr>
          <w:rFonts w:ascii="宋体" w:hAnsi="宋体" w:eastAsia="宋体" w:cs="宋体"/>
          <w:spacing w:val="-37"/>
          <w:sz w:val="24"/>
          <w:szCs w:val="24"/>
        </w:rPr>
        <w:t xml:space="preserve"> </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号）、《危险货物道路运输规则》（</w:t>
      </w:r>
      <w:r>
        <w:rPr>
          <w:rFonts w:ascii="Times New Roman" w:hAnsi="Times New Roman" w:eastAsia="Times New Roman" w:cs="Times New Roman"/>
          <w:spacing w:val="-11"/>
          <w:sz w:val="24"/>
          <w:szCs w:val="24"/>
        </w:rPr>
        <w:t>JT/T617-2018</w:t>
      </w:r>
      <w:r>
        <w:rPr>
          <w:rFonts w:ascii="宋体" w:hAnsi="宋体" w:eastAsia="宋体" w:cs="宋体"/>
          <w:spacing w:val="-11"/>
          <w:sz w:val="24"/>
          <w:szCs w:val="24"/>
        </w:rPr>
        <w:t>）等相关要求进行。</w:t>
      </w:r>
    </w:p>
    <w:p>
      <w:pPr>
        <w:spacing w:line="218" w:lineRule="auto"/>
        <w:rPr>
          <w:rFonts w:ascii="宋体" w:hAnsi="宋体" w:eastAsia="宋体" w:cs="宋体"/>
          <w:sz w:val="24"/>
          <w:szCs w:val="24"/>
        </w:rPr>
        <w:sectPr>
          <w:headerReference r:id="rId280" w:type="default"/>
          <w:footerReference r:id="rId281" w:type="default"/>
          <w:pgSz w:w="11907" w:h="16839"/>
          <w:pgMar w:top="1123" w:right="1712" w:bottom="1149" w:left="1769" w:header="1108" w:footer="988" w:gutter="0"/>
          <w:cols w:space="720" w:num="1"/>
        </w:sectPr>
      </w:pPr>
    </w:p>
    <w:p>
      <w:pPr>
        <w:pStyle w:val="2"/>
        <w:spacing w:line="414" w:lineRule="auto"/>
        <w:rPr>
          <w:sz w:val="21"/>
        </w:rPr>
      </w:pPr>
    </w:p>
    <w:p>
      <w:pPr>
        <w:spacing w:before="78"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2</w:t>
      </w:r>
      <w:r>
        <w:rPr>
          <w:rFonts w:ascii="宋体" w:hAnsi="宋体" w:eastAsia="宋体" w:cs="宋体"/>
          <w:spacing w:val="-1"/>
          <w:sz w:val="24"/>
          <w:szCs w:val="24"/>
          <w14:textOutline w14:w="4354" w14:cap="flat" w14:cmpd="sng">
            <w14:solidFill>
              <w14:srgbClr w14:val="000000"/>
            </w14:solidFill>
            <w14:prstDash w14:val="solid"/>
            <w14:miter w14:val="10"/>
          </w14:textOutline>
        </w:rPr>
        <w:t>）装卸过程的风险防范措施</w:t>
      </w:r>
    </w:p>
    <w:p>
      <w:pPr>
        <w:spacing w:before="194" w:line="480" w:lineRule="exact"/>
        <w:ind w:left="517"/>
        <w:rPr>
          <w:rFonts w:ascii="宋体" w:hAnsi="宋体" w:eastAsia="宋体" w:cs="宋体"/>
          <w:sz w:val="24"/>
          <w:szCs w:val="24"/>
        </w:rPr>
      </w:pPr>
      <w:r>
        <w:rPr>
          <w:rFonts w:ascii="宋体" w:hAnsi="宋体" w:eastAsia="宋体" w:cs="宋体"/>
          <w:spacing w:val="-6"/>
          <w:position w:val="18"/>
          <w:sz w:val="24"/>
          <w:szCs w:val="24"/>
        </w:rPr>
        <w:t>①装卸区的工作人员应熟悉危险化学品的种类和</w:t>
      </w:r>
      <w:r>
        <w:rPr>
          <w:rFonts w:ascii="宋体" w:hAnsi="宋体" w:eastAsia="宋体" w:cs="宋体"/>
          <w:spacing w:val="-7"/>
          <w:position w:val="18"/>
          <w:sz w:val="24"/>
          <w:szCs w:val="24"/>
        </w:rPr>
        <w:t>危险特性， 并配备适当的个</w:t>
      </w:r>
    </w:p>
    <w:p>
      <w:pPr>
        <w:spacing w:line="220" w:lineRule="auto"/>
        <w:ind w:left="40"/>
        <w:rPr>
          <w:rFonts w:ascii="宋体" w:hAnsi="宋体" w:eastAsia="宋体" w:cs="宋体"/>
          <w:sz w:val="24"/>
          <w:szCs w:val="24"/>
        </w:rPr>
      </w:pPr>
      <w:r>
        <w:rPr>
          <w:rFonts w:ascii="宋体" w:hAnsi="宋体" w:eastAsia="宋体" w:cs="宋体"/>
          <w:spacing w:val="-7"/>
          <w:sz w:val="24"/>
          <w:szCs w:val="24"/>
        </w:rPr>
        <w:t>人防护装备。</w:t>
      </w:r>
    </w:p>
    <w:p>
      <w:pPr>
        <w:spacing w:before="193" w:line="480" w:lineRule="exact"/>
        <w:ind w:right="70"/>
        <w:jc w:val="right"/>
        <w:rPr>
          <w:rFonts w:ascii="宋体" w:hAnsi="宋体" w:eastAsia="宋体" w:cs="宋体"/>
          <w:sz w:val="24"/>
          <w:szCs w:val="24"/>
        </w:rPr>
      </w:pPr>
      <w:r>
        <w:rPr>
          <w:rFonts w:ascii="宋体" w:hAnsi="宋体" w:eastAsia="宋体" w:cs="宋体"/>
          <w:spacing w:val="-13"/>
          <w:position w:val="18"/>
          <w:sz w:val="24"/>
          <w:szCs w:val="24"/>
        </w:rPr>
        <w:t>②装卸区应配备必要的消防设备和设施，</w:t>
      </w:r>
      <w:r>
        <w:rPr>
          <w:rFonts w:ascii="宋体" w:hAnsi="宋体" w:eastAsia="宋体" w:cs="宋体"/>
          <w:spacing w:val="62"/>
          <w:position w:val="18"/>
          <w:sz w:val="24"/>
          <w:szCs w:val="24"/>
        </w:rPr>
        <w:t xml:space="preserve"> </w:t>
      </w:r>
      <w:r>
        <w:rPr>
          <w:rFonts w:ascii="宋体" w:hAnsi="宋体" w:eastAsia="宋体" w:cs="宋体"/>
          <w:spacing w:val="-13"/>
          <w:position w:val="18"/>
          <w:sz w:val="24"/>
          <w:szCs w:val="24"/>
        </w:rPr>
        <w:t>如消防栓、灭火器、灭火毯等，</w:t>
      </w:r>
      <w:r>
        <w:rPr>
          <w:rFonts w:ascii="宋体" w:hAnsi="宋体" w:eastAsia="宋体" w:cs="宋体"/>
          <w:spacing w:val="47"/>
          <w:position w:val="18"/>
          <w:sz w:val="24"/>
          <w:szCs w:val="24"/>
        </w:rPr>
        <w:t xml:space="preserve"> </w:t>
      </w:r>
      <w:r>
        <w:rPr>
          <w:rFonts w:ascii="宋体" w:hAnsi="宋体" w:eastAsia="宋体" w:cs="宋体"/>
          <w:spacing w:val="-13"/>
          <w:position w:val="18"/>
          <w:sz w:val="24"/>
          <w:szCs w:val="24"/>
        </w:rPr>
        <w:t>并</w:t>
      </w:r>
    </w:p>
    <w:p>
      <w:pPr>
        <w:spacing w:line="219" w:lineRule="auto"/>
        <w:ind w:left="42"/>
        <w:rPr>
          <w:rFonts w:ascii="宋体" w:hAnsi="宋体" w:eastAsia="宋体" w:cs="宋体"/>
          <w:sz w:val="24"/>
          <w:szCs w:val="24"/>
        </w:rPr>
      </w:pPr>
      <w:r>
        <w:rPr>
          <w:rFonts w:ascii="宋体" w:hAnsi="宋体" w:eastAsia="宋体" w:cs="宋体"/>
          <w:spacing w:val="-5"/>
          <w:sz w:val="24"/>
          <w:szCs w:val="24"/>
        </w:rPr>
        <w:t>设置明显的指示标志。</w:t>
      </w:r>
    </w:p>
    <w:p>
      <w:pPr>
        <w:spacing w:before="194" w:line="480" w:lineRule="exact"/>
        <w:ind w:right="67"/>
        <w:jc w:val="right"/>
        <w:rPr>
          <w:rFonts w:ascii="宋体" w:hAnsi="宋体" w:eastAsia="宋体" w:cs="宋体"/>
          <w:sz w:val="24"/>
          <w:szCs w:val="24"/>
        </w:rPr>
      </w:pPr>
      <w:r>
        <w:rPr>
          <w:rFonts w:ascii="宋体" w:hAnsi="宋体" w:eastAsia="宋体" w:cs="宋体"/>
          <w:spacing w:val="-10"/>
          <w:position w:val="18"/>
          <w:sz w:val="24"/>
          <w:szCs w:val="24"/>
        </w:rPr>
        <w:t>③装卸区地面除做防渗防腐处理外， 其四周应设置收集沟防止</w:t>
      </w:r>
      <w:r>
        <w:rPr>
          <w:rFonts w:ascii="宋体" w:hAnsi="宋体" w:eastAsia="宋体" w:cs="宋体"/>
          <w:spacing w:val="-11"/>
          <w:position w:val="18"/>
          <w:sz w:val="24"/>
          <w:szCs w:val="24"/>
        </w:rPr>
        <w:t>危废泄漏，</w:t>
      </w:r>
      <w:r>
        <w:rPr>
          <w:rFonts w:ascii="宋体" w:hAnsi="宋体" w:eastAsia="宋体" w:cs="宋体"/>
          <w:spacing w:val="28"/>
          <w:position w:val="18"/>
          <w:sz w:val="24"/>
          <w:szCs w:val="24"/>
        </w:rPr>
        <w:t xml:space="preserve"> </w:t>
      </w:r>
      <w:r>
        <w:rPr>
          <w:rFonts w:ascii="宋体" w:hAnsi="宋体" w:eastAsia="宋体" w:cs="宋体"/>
          <w:spacing w:val="-11"/>
          <w:position w:val="18"/>
          <w:sz w:val="24"/>
          <w:szCs w:val="24"/>
        </w:rPr>
        <w:t>收</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集沟接通事故池，及时收集意外泄漏的危险废物。</w:t>
      </w:r>
    </w:p>
    <w:p>
      <w:pPr>
        <w:spacing w:before="195" w:line="217" w:lineRule="auto"/>
        <w:ind w:left="516"/>
        <w:rPr>
          <w:rFonts w:ascii="宋体" w:hAnsi="宋体" w:eastAsia="宋体" w:cs="宋体"/>
          <w:sz w:val="24"/>
          <w:szCs w:val="24"/>
        </w:rPr>
      </w:pPr>
      <w:r>
        <w:rPr>
          <w:rFonts w:ascii="宋体" w:hAnsi="宋体" w:eastAsia="宋体" w:cs="宋体"/>
          <w:spacing w:val="-3"/>
          <w:sz w:val="24"/>
          <w:szCs w:val="24"/>
        </w:rPr>
        <w:t>④进入装卸作业区，不准携带火种。</w:t>
      </w:r>
    </w:p>
    <w:p>
      <w:pPr>
        <w:spacing w:before="198" w:line="480" w:lineRule="exact"/>
        <w:ind w:left="516"/>
        <w:rPr>
          <w:rFonts w:ascii="宋体" w:hAnsi="宋体" w:eastAsia="宋体" w:cs="宋体"/>
          <w:sz w:val="24"/>
          <w:szCs w:val="24"/>
        </w:rPr>
      </w:pPr>
      <w:r>
        <w:rPr>
          <w:rFonts w:ascii="宋体" w:hAnsi="宋体" w:eastAsia="宋体" w:cs="宋体"/>
          <w:spacing w:val="-2"/>
          <w:position w:val="18"/>
          <w:sz w:val="24"/>
          <w:szCs w:val="24"/>
        </w:rPr>
        <w:t>⑤装卸过程发生泄漏时及时采用棉纱和抹布处理。</w:t>
      </w:r>
    </w:p>
    <w:p>
      <w:pPr>
        <w:spacing w:before="1" w:line="217" w:lineRule="auto"/>
        <w:ind w:left="516"/>
        <w:rPr>
          <w:rFonts w:ascii="宋体" w:hAnsi="宋体" w:eastAsia="宋体" w:cs="宋体"/>
          <w:sz w:val="24"/>
          <w:szCs w:val="24"/>
        </w:rPr>
      </w:pPr>
      <w:r>
        <w:rPr>
          <w:rFonts w:ascii="宋体" w:hAnsi="宋体" w:eastAsia="宋体" w:cs="宋体"/>
          <w:spacing w:val="-2"/>
          <w:sz w:val="24"/>
          <w:szCs w:val="24"/>
        </w:rPr>
        <w:t>⑥装卸区按照重点防渗区标准要求进行防渗设计。</w:t>
      </w:r>
    </w:p>
    <w:p>
      <w:pPr>
        <w:spacing w:before="196"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3</w:t>
      </w:r>
      <w:r>
        <w:rPr>
          <w:rFonts w:ascii="宋体" w:hAnsi="宋体" w:eastAsia="宋体" w:cs="宋体"/>
          <w:spacing w:val="-1"/>
          <w:sz w:val="24"/>
          <w:szCs w:val="24"/>
          <w14:textOutline w14:w="4354" w14:cap="flat" w14:cmpd="sng">
            <w14:solidFill>
              <w14:srgbClr w14:val="000000"/>
            </w14:solidFill>
            <w14:prstDash w14:val="solid"/>
            <w14:miter w14:val="10"/>
          </w14:textOutline>
        </w:rPr>
        <w:t>）贮存过程中的风险防范措施</w:t>
      </w:r>
    </w:p>
    <w:p>
      <w:pPr>
        <w:spacing w:before="195" w:line="480" w:lineRule="exact"/>
        <w:ind w:right="7"/>
        <w:jc w:val="right"/>
        <w:rPr>
          <w:rFonts w:ascii="宋体" w:hAnsi="宋体" w:eastAsia="宋体" w:cs="宋体"/>
          <w:sz w:val="24"/>
          <w:szCs w:val="24"/>
        </w:rPr>
      </w:pPr>
      <w:r>
        <w:rPr>
          <w:rFonts w:ascii="宋体" w:hAnsi="宋体" w:eastAsia="宋体" w:cs="宋体"/>
          <w:spacing w:val="-4"/>
          <w:position w:val="18"/>
          <w:sz w:val="24"/>
          <w:szCs w:val="24"/>
        </w:rPr>
        <w:t>①贮存区分区设置，贮存区域之间宜设置挡墙间隔， 并应设置防雨、</w:t>
      </w:r>
      <w:r>
        <w:rPr>
          <w:rFonts w:ascii="宋体" w:hAnsi="宋体" w:eastAsia="宋体" w:cs="宋体"/>
          <w:spacing w:val="-5"/>
          <w:position w:val="18"/>
          <w:sz w:val="24"/>
          <w:szCs w:val="24"/>
        </w:rPr>
        <w:t>防火、</w:t>
      </w:r>
    </w:p>
    <w:p>
      <w:pPr>
        <w:spacing w:line="220" w:lineRule="auto"/>
        <w:ind w:left="53"/>
        <w:rPr>
          <w:rFonts w:ascii="宋体" w:hAnsi="宋体" w:eastAsia="宋体" w:cs="宋体"/>
          <w:sz w:val="24"/>
          <w:szCs w:val="24"/>
        </w:rPr>
      </w:pPr>
      <w:r>
        <w:rPr>
          <w:rFonts w:ascii="宋体" w:hAnsi="宋体" w:eastAsia="宋体" w:cs="宋体"/>
          <w:spacing w:val="-6"/>
          <w:sz w:val="24"/>
          <w:szCs w:val="24"/>
        </w:rPr>
        <w:t>防雷、防扬尘装置。</w:t>
      </w:r>
    </w:p>
    <w:p>
      <w:pPr>
        <w:spacing w:before="194" w:line="480" w:lineRule="exact"/>
        <w:ind w:left="516"/>
        <w:rPr>
          <w:rFonts w:ascii="宋体" w:hAnsi="宋体" w:eastAsia="宋体" w:cs="宋体"/>
          <w:sz w:val="24"/>
          <w:szCs w:val="24"/>
        </w:rPr>
      </w:pPr>
      <w:r>
        <w:rPr>
          <w:rFonts w:ascii="宋体" w:hAnsi="宋体" w:eastAsia="宋体" w:cs="宋体"/>
          <w:spacing w:val="-3"/>
          <w:position w:val="18"/>
          <w:sz w:val="24"/>
          <w:szCs w:val="24"/>
        </w:rPr>
        <w:t>②贮存易燃易爆化学品应配置有机气体报警、火灾报警装置和导出静电的接</w:t>
      </w:r>
    </w:p>
    <w:p>
      <w:pPr>
        <w:spacing w:line="220" w:lineRule="auto"/>
        <w:ind w:left="38"/>
        <w:rPr>
          <w:rFonts w:ascii="宋体" w:hAnsi="宋体" w:eastAsia="宋体" w:cs="宋体"/>
          <w:sz w:val="24"/>
          <w:szCs w:val="24"/>
        </w:rPr>
      </w:pPr>
      <w:r>
        <w:rPr>
          <w:rFonts w:ascii="宋体" w:hAnsi="宋体" w:eastAsia="宋体" w:cs="宋体"/>
          <w:spacing w:val="-9"/>
          <w:sz w:val="24"/>
          <w:szCs w:val="24"/>
        </w:rPr>
        <w:t>地装置。</w:t>
      </w:r>
    </w:p>
    <w:p>
      <w:pPr>
        <w:spacing w:before="194" w:line="217" w:lineRule="auto"/>
        <w:ind w:left="516"/>
        <w:rPr>
          <w:rFonts w:ascii="宋体" w:hAnsi="宋体" w:eastAsia="宋体" w:cs="宋体"/>
          <w:sz w:val="24"/>
          <w:szCs w:val="24"/>
        </w:rPr>
      </w:pPr>
      <w:r>
        <w:rPr>
          <w:rFonts w:ascii="宋体" w:hAnsi="宋体" w:eastAsia="宋体" w:cs="宋体"/>
          <w:spacing w:val="-2"/>
          <w:sz w:val="24"/>
          <w:szCs w:val="24"/>
        </w:rPr>
        <w:t>③贮存设施各个贮存区地面均做重点防渗处理。</w:t>
      </w:r>
    </w:p>
    <w:p>
      <w:pPr>
        <w:spacing w:before="199" w:line="369" w:lineRule="auto"/>
        <w:ind w:left="39" w:right="85" w:firstLine="477"/>
        <w:rPr>
          <w:rFonts w:ascii="宋体" w:hAnsi="宋体" w:eastAsia="宋体" w:cs="宋体"/>
          <w:sz w:val="24"/>
          <w:szCs w:val="24"/>
        </w:rPr>
      </w:pPr>
      <w:r>
        <w:rPr>
          <w:rFonts w:ascii="宋体" w:hAnsi="宋体" w:eastAsia="宋体" w:cs="宋体"/>
          <w:spacing w:val="-6"/>
          <w:sz w:val="24"/>
          <w:szCs w:val="24"/>
        </w:rPr>
        <w:t>④安排专职人员做好日常巡查工作，</w:t>
      </w:r>
      <w:r>
        <w:rPr>
          <w:rFonts w:ascii="宋体" w:hAnsi="宋体" w:eastAsia="宋体" w:cs="宋体"/>
          <w:spacing w:val="-20"/>
          <w:sz w:val="24"/>
          <w:szCs w:val="24"/>
        </w:rPr>
        <w:t xml:space="preserve"> </w:t>
      </w:r>
      <w:r>
        <w:rPr>
          <w:rFonts w:ascii="宋体" w:hAnsi="宋体" w:eastAsia="宋体" w:cs="宋体"/>
          <w:spacing w:val="-6"/>
          <w:sz w:val="24"/>
          <w:szCs w:val="24"/>
        </w:rPr>
        <w:t>确保贮存区域一旦发生包装容器破损的</w:t>
      </w:r>
      <w:r>
        <w:rPr>
          <w:rFonts w:ascii="宋体" w:hAnsi="宋体" w:eastAsia="宋体" w:cs="宋体"/>
          <w:sz w:val="24"/>
          <w:szCs w:val="24"/>
        </w:rPr>
        <w:t xml:space="preserve"> </w:t>
      </w:r>
      <w:r>
        <w:rPr>
          <w:rFonts w:ascii="宋体" w:hAnsi="宋体" w:eastAsia="宋体" w:cs="宋体"/>
          <w:spacing w:val="-15"/>
          <w:sz w:val="24"/>
          <w:szCs w:val="24"/>
        </w:rPr>
        <w:t>情况，</w:t>
      </w:r>
      <w:r>
        <w:rPr>
          <w:rFonts w:ascii="宋体" w:hAnsi="宋体" w:eastAsia="宋体" w:cs="宋体"/>
          <w:spacing w:val="-9"/>
          <w:sz w:val="24"/>
          <w:szCs w:val="24"/>
        </w:rPr>
        <w:t xml:space="preserve"> </w:t>
      </w:r>
      <w:r>
        <w:rPr>
          <w:rFonts w:ascii="宋体" w:hAnsi="宋体" w:eastAsia="宋体" w:cs="宋体"/>
          <w:spacing w:val="-15"/>
          <w:sz w:val="24"/>
          <w:szCs w:val="24"/>
        </w:rPr>
        <w:t>应及时收集泄漏物，</w:t>
      </w:r>
      <w:r>
        <w:rPr>
          <w:rFonts w:ascii="宋体" w:hAnsi="宋体" w:eastAsia="宋体" w:cs="宋体"/>
          <w:spacing w:val="40"/>
          <w:sz w:val="24"/>
          <w:szCs w:val="24"/>
        </w:rPr>
        <w:t xml:space="preserve"> </w:t>
      </w:r>
      <w:r>
        <w:rPr>
          <w:rFonts w:ascii="宋体" w:hAnsi="宋体" w:eastAsia="宋体" w:cs="宋体"/>
          <w:spacing w:val="-15"/>
          <w:sz w:val="24"/>
          <w:szCs w:val="24"/>
        </w:rPr>
        <w:t>并请尽快清理集水池内收集的废液，</w:t>
      </w:r>
      <w:r>
        <w:rPr>
          <w:rFonts w:ascii="宋体" w:hAnsi="宋体" w:eastAsia="宋体" w:cs="宋体"/>
          <w:spacing w:val="36"/>
          <w:sz w:val="24"/>
          <w:szCs w:val="24"/>
        </w:rPr>
        <w:t xml:space="preserve"> </w:t>
      </w:r>
      <w:r>
        <w:rPr>
          <w:rFonts w:ascii="宋体" w:hAnsi="宋体" w:eastAsia="宋体" w:cs="宋体"/>
          <w:spacing w:val="-15"/>
          <w:sz w:val="24"/>
          <w:szCs w:val="24"/>
        </w:rPr>
        <w:t>桶装后置于液态</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类危险废物堆放区后交危废资质单位处置。</w:t>
      </w:r>
    </w:p>
    <w:p>
      <w:pPr>
        <w:spacing w:before="194" w:line="220"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4</w:t>
      </w:r>
      <w:r>
        <w:rPr>
          <w:rFonts w:ascii="宋体" w:hAnsi="宋体" w:eastAsia="宋体" w:cs="宋体"/>
          <w:spacing w:val="-1"/>
          <w:sz w:val="24"/>
          <w:szCs w:val="24"/>
          <w14:textOutline w14:w="4354" w14:cap="flat" w14:cmpd="sng">
            <w14:solidFill>
              <w14:srgbClr w14:val="000000"/>
            </w14:solidFill>
            <w14:prstDash w14:val="solid"/>
            <w14:miter w14:val="10"/>
          </w14:textOutline>
        </w:rPr>
        <w:t>）风险防范的管理措施</w:t>
      </w:r>
    </w:p>
    <w:p>
      <w:pPr>
        <w:spacing w:before="195" w:line="369" w:lineRule="auto"/>
        <w:ind w:left="41" w:right="85" w:firstLine="479"/>
        <w:rPr>
          <w:rFonts w:ascii="宋体" w:hAnsi="宋体" w:eastAsia="宋体" w:cs="宋体"/>
          <w:sz w:val="24"/>
          <w:szCs w:val="24"/>
        </w:rPr>
      </w:pPr>
      <w:r>
        <w:rPr>
          <w:rFonts w:ascii="宋体" w:hAnsi="宋体" w:eastAsia="宋体" w:cs="宋体"/>
          <w:spacing w:val="-3"/>
          <w:sz w:val="24"/>
          <w:szCs w:val="24"/>
        </w:rPr>
        <w:t>建设单位成立专门的为应对油气勘探、开发等生产经营过程中可能</w:t>
      </w:r>
      <w:r>
        <w:rPr>
          <w:rFonts w:ascii="宋体" w:hAnsi="宋体" w:eastAsia="宋体" w:cs="宋体"/>
          <w:spacing w:val="-4"/>
          <w:sz w:val="24"/>
          <w:szCs w:val="24"/>
        </w:rPr>
        <w:t>发生的重</w:t>
      </w:r>
      <w:r>
        <w:rPr>
          <w:rFonts w:ascii="宋体" w:hAnsi="宋体" w:eastAsia="宋体" w:cs="宋体"/>
          <w:sz w:val="24"/>
          <w:szCs w:val="24"/>
        </w:rPr>
        <w:t xml:space="preserve"> </w:t>
      </w:r>
      <w:r>
        <w:rPr>
          <w:rFonts w:ascii="宋体" w:hAnsi="宋体" w:eastAsia="宋体" w:cs="宋体"/>
          <w:spacing w:val="-16"/>
          <w:sz w:val="24"/>
          <w:szCs w:val="24"/>
        </w:rPr>
        <w:t>大突发事故，</w:t>
      </w:r>
      <w:r>
        <w:rPr>
          <w:rFonts w:ascii="宋体" w:hAnsi="宋体" w:eastAsia="宋体" w:cs="宋体"/>
          <w:spacing w:val="37"/>
          <w:sz w:val="24"/>
          <w:szCs w:val="24"/>
        </w:rPr>
        <w:t xml:space="preserve"> </w:t>
      </w:r>
      <w:r>
        <w:rPr>
          <w:rFonts w:ascii="宋体" w:hAnsi="宋体" w:eastAsia="宋体" w:cs="宋体"/>
          <w:spacing w:val="-16"/>
          <w:sz w:val="24"/>
          <w:szCs w:val="24"/>
        </w:rPr>
        <w:t>最大限度地保障人民群众生命财产安全，</w:t>
      </w:r>
      <w:r>
        <w:rPr>
          <w:rFonts w:ascii="宋体" w:hAnsi="宋体" w:eastAsia="宋体" w:cs="宋体"/>
          <w:spacing w:val="34"/>
          <w:sz w:val="24"/>
          <w:szCs w:val="24"/>
        </w:rPr>
        <w:t xml:space="preserve"> </w:t>
      </w:r>
      <w:r>
        <w:rPr>
          <w:rFonts w:ascii="宋体" w:hAnsi="宋体" w:eastAsia="宋体" w:cs="宋体"/>
          <w:spacing w:val="-16"/>
          <w:sz w:val="24"/>
          <w:szCs w:val="24"/>
        </w:rPr>
        <w:t>减轻</w:t>
      </w:r>
      <w:r>
        <w:rPr>
          <w:rFonts w:ascii="宋体" w:hAnsi="宋体" w:eastAsia="宋体" w:cs="宋体"/>
          <w:spacing w:val="-17"/>
          <w:sz w:val="24"/>
          <w:szCs w:val="24"/>
        </w:rPr>
        <w:t>事故灾害，</w:t>
      </w:r>
      <w:r>
        <w:rPr>
          <w:rFonts w:ascii="宋体" w:hAnsi="宋体" w:eastAsia="宋体" w:cs="宋体"/>
          <w:spacing w:val="38"/>
          <w:sz w:val="24"/>
          <w:szCs w:val="24"/>
        </w:rPr>
        <w:t xml:space="preserve"> </w:t>
      </w:r>
      <w:r>
        <w:rPr>
          <w:rFonts w:ascii="宋体" w:hAnsi="宋体" w:eastAsia="宋体" w:cs="宋体"/>
          <w:spacing w:val="-17"/>
          <w:sz w:val="24"/>
          <w:szCs w:val="24"/>
        </w:rPr>
        <w:t>该公司建</w:t>
      </w:r>
    </w:p>
    <w:p>
      <w:pPr>
        <w:spacing w:line="219" w:lineRule="auto"/>
        <w:ind w:left="38"/>
        <w:rPr>
          <w:rFonts w:ascii="宋体" w:hAnsi="宋体" w:eastAsia="宋体" w:cs="宋体"/>
          <w:sz w:val="24"/>
          <w:szCs w:val="24"/>
        </w:rPr>
      </w:pPr>
      <w:r>
        <w:rPr>
          <w:rFonts w:ascii="宋体" w:hAnsi="宋体" w:eastAsia="宋体" w:cs="宋体"/>
          <w:spacing w:val="-2"/>
          <w:sz w:val="24"/>
          <w:szCs w:val="24"/>
        </w:rPr>
        <w:t>立了详细周密的应急救援体系，设立了各级应急救援网络。</w:t>
      </w:r>
    </w:p>
    <w:p>
      <w:pPr>
        <w:spacing w:before="195" w:line="481" w:lineRule="exact"/>
        <w:jc w:val="right"/>
        <w:rPr>
          <w:rFonts w:ascii="宋体" w:hAnsi="宋体" w:eastAsia="宋体" w:cs="宋体"/>
          <w:sz w:val="24"/>
          <w:szCs w:val="24"/>
        </w:rPr>
      </w:pPr>
      <w:r>
        <w:rPr>
          <w:rFonts w:ascii="宋体" w:hAnsi="宋体" w:eastAsia="宋体" w:cs="宋体"/>
          <w:spacing w:val="-8"/>
          <w:position w:val="18"/>
          <w:sz w:val="24"/>
          <w:szCs w:val="24"/>
        </w:rPr>
        <w:t>公司应急领导小组负责公司范围内所有重、特大事故的应急管理。定期组织、</w:t>
      </w:r>
    </w:p>
    <w:p>
      <w:pPr>
        <w:spacing w:line="219" w:lineRule="auto"/>
        <w:ind w:left="38"/>
        <w:rPr>
          <w:rFonts w:ascii="宋体" w:hAnsi="宋体" w:eastAsia="宋体" w:cs="宋体"/>
          <w:sz w:val="24"/>
          <w:szCs w:val="24"/>
        </w:rPr>
      </w:pPr>
      <w:r>
        <w:rPr>
          <w:rFonts w:ascii="宋体" w:hAnsi="宋体" w:eastAsia="宋体" w:cs="宋体"/>
          <w:spacing w:val="-2"/>
          <w:sz w:val="24"/>
          <w:szCs w:val="24"/>
        </w:rPr>
        <w:t>检查、审核公司五个专业事故应急小组职责履行情况。</w:t>
      </w:r>
    </w:p>
    <w:p>
      <w:pPr>
        <w:spacing w:before="195" w:line="480" w:lineRule="exact"/>
        <w:ind w:left="521"/>
        <w:rPr>
          <w:rFonts w:ascii="宋体" w:hAnsi="宋体" w:eastAsia="宋体" w:cs="宋体"/>
          <w:sz w:val="24"/>
          <w:szCs w:val="24"/>
        </w:rPr>
      </w:pPr>
      <w:r>
        <w:rPr>
          <w:rFonts w:ascii="宋体" w:hAnsi="宋体" w:eastAsia="宋体" w:cs="宋体"/>
          <w:spacing w:val="-8"/>
          <w:position w:val="18"/>
          <w:sz w:val="24"/>
          <w:szCs w:val="24"/>
        </w:rPr>
        <w:t>发生重大事故，</w:t>
      </w:r>
      <w:r>
        <w:rPr>
          <w:rFonts w:ascii="宋体" w:hAnsi="宋体" w:eastAsia="宋体" w:cs="宋体"/>
          <w:spacing w:val="49"/>
          <w:position w:val="18"/>
          <w:sz w:val="24"/>
          <w:szCs w:val="24"/>
        </w:rPr>
        <w:t xml:space="preserve"> </w:t>
      </w:r>
      <w:r>
        <w:rPr>
          <w:rFonts w:ascii="宋体" w:hAnsi="宋体" w:eastAsia="宋体" w:cs="宋体"/>
          <w:spacing w:val="-8"/>
          <w:position w:val="18"/>
          <w:sz w:val="24"/>
          <w:szCs w:val="24"/>
        </w:rPr>
        <w:t>各专业应急小组进行应急指挥、调度、抢险、</w:t>
      </w:r>
      <w:r>
        <w:rPr>
          <w:rFonts w:ascii="宋体" w:hAnsi="宋体" w:eastAsia="宋体" w:cs="宋体"/>
          <w:spacing w:val="-9"/>
          <w:position w:val="18"/>
          <w:sz w:val="24"/>
          <w:szCs w:val="24"/>
        </w:rPr>
        <w:t>施救、现场调</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查、恢复生产等工作，公司勘探事业部应急领导小组协调有关工作。</w:t>
      </w:r>
    </w:p>
    <w:p>
      <w:pPr>
        <w:spacing w:before="194" w:line="480" w:lineRule="exact"/>
        <w:ind w:left="517"/>
        <w:rPr>
          <w:rFonts w:ascii="宋体" w:hAnsi="宋体" w:eastAsia="宋体" w:cs="宋体"/>
          <w:sz w:val="24"/>
          <w:szCs w:val="24"/>
        </w:rPr>
      </w:pPr>
      <w:r>
        <w:rPr>
          <w:rFonts w:ascii="宋体" w:hAnsi="宋体" w:eastAsia="宋体" w:cs="宋体"/>
          <w:spacing w:val="-8"/>
          <w:position w:val="18"/>
          <w:sz w:val="24"/>
          <w:szCs w:val="24"/>
        </w:rPr>
        <w:t>对特大事故，</w:t>
      </w:r>
      <w:r>
        <w:rPr>
          <w:rFonts w:ascii="宋体" w:hAnsi="宋体" w:eastAsia="宋体" w:cs="宋体"/>
          <w:spacing w:val="48"/>
          <w:position w:val="18"/>
          <w:sz w:val="24"/>
          <w:szCs w:val="24"/>
        </w:rPr>
        <w:t xml:space="preserve"> </w:t>
      </w:r>
      <w:r>
        <w:rPr>
          <w:rFonts w:ascii="宋体" w:hAnsi="宋体" w:eastAsia="宋体" w:cs="宋体"/>
          <w:spacing w:val="-8"/>
          <w:position w:val="18"/>
          <w:sz w:val="24"/>
          <w:szCs w:val="24"/>
        </w:rPr>
        <w:t>公司应急领导小组直接负责事故现场指挥、调度、抢险、施救</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恢复生产，并会同地方政府开展事故调查等工作。</w:t>
      </w:r>
    </w:p>
    <w:p>
      <w:pPr>
        <w:spacing w:line="218" w:lineRule="auto"/>
        <w:rPr>
          <w:rFonts w:ascii="宋体" w:hAnsi="宋体" w:eastAsia="宋体" w:cs="宋体"/>
          <w:sz w:val="24"/>
          <w:szCs w:val="24"/>
        </w:rPr>
        <w:sectPr>
          <w:headerReference r:id="rId282" w:type="default"/>
          <w:footerReference r:id="rId283" w:type="default"/>
          <w:pgSz w:w="11907" w:h="16839"/>
          <w:pgMar w:top="1123" w:right="1709" w:bottom="1149" w:left="1769" w:header="1108" w:footer="988" w:gutter="0"/>
          <w:cols w:space="720" w:num="1"/>
        </w:sectPr>
      </w:pPr>
    </w:p>
    <w:p>
      <w:pPr>
        <w:pStyle w:val="2"/>
        <w:spacing w:line="415" w:lineRule="auto"/>
        <w:rPr>
          <w:sz w:val="21"/>
        </w:rPr>
      </w:pPr>
    </w:p>
    <w:p>
      <w:pPr>
        <w:spacing w:before="78" w:line="369" w:lineRule="auto"/>
        <w:ind w:left="37" w:right="60" w:firstLine="483"/>
        <w:jc w:val="both"/>
        <w:rPr>
          <w:rFonts w:ascii="宋体" w:hAnsi="宋体" w:eastAsia="宋体" w:cs="宋体"/>
          <w:sz w:val="24"/>
          <w:szCs w:val="24"/>
        </w:rPr>
      </w:pPr>
      <w:r>
        <w:rPr>
          <w:rFonts w:ascii="宋体" w:hAnsi="宋体" w:eastAsia="宋体" w:cs="宋体"/>
          <w:spacing w:val="-6"/>
          <w:sz w:val="24"/>
          <w:szCs w:val="24"/>
        </w:rPr>
        <w:t>为确保工程各项环境风险防范措施合理有效的实施，</w:t>
      </w:r>
      <w:r>
        <w:rPr>
          <w:rFonts w:ascii="宋体" w:hAnsi="宋体" w:eastAsia="宋体" w:cs="宋体"/>
          <w:spacing w:val="-25"/>
          <w:sz w:val="24"/>
          <w:szCs w:val="24"/>
        </w:rPr>
        <w:t xml:space="preserve"> </w:t>
      </w:r>
      <w:r>
        <w:rPr>
          <w:rFonts w:ascii="宋体" w:hAnsi="宋体" w:eastAsia="宋体" w:cs="宋体"/>
          <w:spacing w:val="-6"/>
          <w:sz w:val="24"/>
          <w:szCs w:val="24"/>
        </w:rPr>
        <w:t>可在钻井过程中引入工</w:t>
      </w:r>
      <w:r>
        <w:rPr>
          <w:rFonts w:ascii="宋体" w:hAnsi="宋体" w:eastAsia="宋体" w:cs="宋体"/>
          <w:sz w:val="24"/>
          <w:szCs w:val="24"/>
        </w:rPr>
        <w:t xml:space="preserve"> </w:t>
      </w:r>
      <w:r>
        <w:rPr>
          <w:rFonts w:ascii="宋体" w:hAnsi="宋体" w:eastAsia="宋体" w:cs="宋体"/>
          <w:spacing w:val="-11"/>
          <w:sz w:val="24"/>
          <w:szCs w:val="24"/>
        </w:rPr>
        <w:t>程监理制度，</w:t>
      </w:r>
      <w:r>
        <w:rPr>
          <w:rFonts w:ascii="宋体" w:hAnsi="宋体" w:eastAsia="宋体" w:cs="宋体"/>
          <w:spacing w:val="60"/>
          <w:sz w:val="24"/>
          <w:szCs w:val="24"/>
        </w:rPr>
        <w:t xml:space="preserve"> </w:t>
      </w:r>
      <w:r>
        <w:rPr>
          <w:rFonts w:ascii="宋体" w:hAnsi="宋体" w:eastAsia="宋体" w:cs="宋体"/>
          <w:spacing w:val="-11"/>
          <w:sz w:val="24"/>
          <w:szCs w:val="24"/>
        </w:rPr>
        <w:t>由监理单位负责环境风险防范措施的监理工作， 确保各项措施得到</w:t>
      </w:r>
    </w:p>
    <w:p>
      <w:pPr>
        <w:spacing w:line="220" w:lineRule="auto"/>
        <w:ind w:left="39"/>
        <w:rPr>
          <w:rFonts w:ascii="宋体" w:hAnsi="宋体" w:eastAsia="宋体" w:cs="宋体"/>
          <w:sz w:val="24"/>
          <w:szCs w:val="24"/>
        </w:rPr>
      </w:pPr>
      <w:r>
        <w:rPr>
          <w:rFonts w:ascii="宋体" w:hAnsi="宋体" w:eastAsia="宋体" w:cs="宋体"/>
          <w:spacing w:val="-5"/>
          <w:sz w:val="24"/>
          <w:szCs w:val="24"/>
        </w:rPr>
        <w:t>合理有效的落实。</w:t>
      </w:r>
    </w:p>
    <w:p>
      <w:pPr>
        <w:spacing w:before="194" w:line="233" w:lineRule="auto"/>
        <w:ind w:left="526"/>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sz w:val="24"/>
          <w:szCs w:val="24"/>
        </w:rPr>
        <w:t>5</w:t>
      </w:r>
      <w:r>
        <w:rPr>
          <w:rFonts w:ascii="宋体" w:hAnsi="宋体" w:eastAsia="宋体" w:cs="宋体"/>
          <w:spacing w:val="-1"/>
          <w:sz w:val="24"/>
          <w:szCs w:val="24"/>
          <w14:textOutline w14:w="4354" w14:cap="flat" w14:cmpd="sng">
            <w14:solidFill>
              <w14:srgbClr w14:val="000000"/>
            </w14:solidFill>
            <w14:prstDash w14:val="solid"/>
            <w14:miter w14:val="10"/>
          </w14:textOutline>
        </w:rPr>
        <w:t>）次</w:t>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10"/>
          </w14:textOutline>
        </w:rPr>
        <w:t>伴生</w:t>
      </w:r>
      <w:r>
        <w:rPr>
          <w:rFonts w:hint="eastAsia" w:ascii="宋体" w:hAnsi="宋体" w:eastAsia="宋体" w:cs="宋体"/>
          <w:spacing w:val="-1"/>
          <w:sz w:val="24"/>
          <w:szCs w:val="24"/>
          <w14:textOutline w14:w="4354" w14:cap="flat" w14:cmpd="sng">
            <w14:solidFill>
              <w14:srgbClr w14:val="000000"/>
            </w14:solidFill>
            <w14:prstDash w14:val="solid"/>
            <w14:miter w14:val="10"/>
          </w14:textOutline>
        </w:rPr>
        <w:t>污染防治</w:t>
      </w:r>
      <w:r>
        <w:rPr>
          <w:rFonts w:ascii="宋体" w:hAnsi="宋体" w:eastAsia="宋体" w:cs="宋体"/>
          <w:spacing w:val="-1"/>
          <w:sz w:val="24"/>
          <w:szCs w:val="24"/>
          <w14:textOutline w14:w="4354" w14:cap="flat" w14:cmpd="sng">
            <w14:solidFill>
              <w14:srgbClr w14:val="000000"/>
            </w14:solidFill>
            <w14:prstDash w14:val="solid"/>
            <w14:miter w14:val="10"/>
          </w14:textOutline>
        </w:rPr>
        <w:t>措施</w:t>
      </w:r>
    </w:p>
    <w:p>
      <w:pPr>
        <w:spacing w:before="177" w:line="369" w:lineRule="auto"/>
        <w:ind w:left="37" w:firstLine="483"/>
        <w:rPr>
          <w:rFonts w:ascii="宋体" w:hAnsi="宋体" w:eastAsia="宋体" w:cs="宋体"/>
          <w:sz w:val="24"/>
          <w:szCs w:val="24"/>
        </w:rPr>
      </w:pPr>
      <w:r>
        <w:rPr>
          <w:rFonts w:ascii="宋体" w:hAnsi="宋体" w:eastAsia="宋体" w:cs="宋体"/>
          <w:spacing w:val="-23"/>
          <w:sz w:val="24"/>
          <w:szCs w:val="24"/>
        </w:rPr>
        <w:t>厂区内设置风向标，</w:t>
      </w:r>
      <w:r>
        <w:rPr>
          <w:rFonts w:ascii="宋体" w:hAnsi="宋体" w:eastAsia="宋体" w:cs="宋体"/>
          <w:spacing w:val="45"/>
          <w:sz w:val="24"/>
          <w:szCs w:val="24"/>
        </w:rPr>
        <w:t xml:space="preserve"> </w:t>
      </w:r>
      <w:r>
        <w:rPr>
          <w:rFonts w:ascii="宋体" w:hAnsi="宋体" w:eastAsia="宋体" w:cs="宋体"/>
          <w:spacing w:val="-23"/>
          <w:sz w:val="24"/>
          <w:szCs w:val="24"/>
        </w:rPr>
        <w:t>发生火灾后，</w:t>
      </w:r>
      <w:r>
        <w:rPr>
          <w:rFonts w:ascii="宋体" w:hAnsi="宋体" w:eastAsia="宋体" w:cs="宋体"/>
          <w:spacing w:val="46"/>
          <w:sz w:val="24"/>
          <w:szCs w:val="24"/>
        </w:rPr>
        <w:t xml:space="preserve"> </w:t>
      </w:r>
      <w:r>
        <w:rPr>
          <w:rFonts w:ascii="宋体" w:hAnsi="宋体" w:eastAsia="宋体" w:cs="宋体"/>
          <w:spacing w:val="-23"/>
          <w:sz w:val="24"/>
          <w:szCs w:val="24"/>
        </w:rPr>
        <w:t>首先要进行</w:t>
      </w:r>
      <w:r>
        <w:rPr>
          <w:rFonts w:ascii="宋体" w:hAnsi="宋体" w:eastAsia="宋体" w:cs="宋体"/>
          <w:spacing w:val="-24"/>
          <w:sz w:val="24"/>
          <w:szCs w:val="24"/>
        </w:rPr>
        <w:t>灭火，</w:t>
      </w:r>
      <w:r>
        <w:rPr>
          <w:rFonts w:ascii="宋体" w:hAnsi="宋体" w:eastAsia="宋体" w:cs="宋体"/>
          <w:spacing w:val="60"/>
          <w:sz w:val="24"/>
          <w:szCs w:val="24"/>
        </w:rPr>
        <w:t xml:space="preserve"> </w:t>
      </w:r>
      <w:r>
        <w:rPr>
          <w:rFonts w:ascii="宋体" w:hAnsi="宋体" w:eastAsia="宋体" w:cs="宋体"/>
          <w:spacing w:val="-24"/>
          <w:sz w:val="24"/>
          <w:szCs w:val="24"/>
        </w:rPr>
        <w:t>降低着火时间，</w:t>
      </w:r>
      <w:r>
        <w:rPr>
          <w:rFonts w:ascii="宋体" w:hAnsi="宋体" w:eastAsia="宋体" w:cs="宋体"/>
          <w:spacing w:val="41"/>
          <w:sz w:val="24"/>
          <w:szCs w:val="24"/>
        </w:rPr>
        <w:t xml:space="preserve"> </w:t>
      </w:r>
      <w:r>
        <w:rPr>
          <w:rFonts w:ascii="宋体" w:hAnsi="宋体" w:eastAsia="宋体" w:cs="宋体"/>
          <w:spacing w:val="-24"/>
          <w:sz w:val="24"/>
          <w:szCs w:val="24"/>
        </w:rPr>
        <w:t>减少燃</w:t>
      </w:r>
      <w:r>
        <w:rPr>
          <w:rFonts w:ascii="宋体" w:hAnsi="宋体" w:eastAsia="宋体" w:cs="宋体"/>
          <w:sz w:val="24"/>
          <w:szCs w:val="24"/>
        </w:rPr>
        <w:t xml:space="preserve"> </w:t>
      </w:r>
      <w:r>
        <w:rPr>
          <w:rFonts w:ascii="宋体" w:hAnsi="宋体" w:eastAsia="宋体" w:cs="宋体"/>
          <w:spacing w:val="-9"/>
          <w:sz w:val="24"/>
          <w:szCs w:val="24"/>
        </w:rPr>
        <w:t>烧产物对环境空气造成的影响； 对周边居民进行撤离， 根据风向标向上风</w:t>
      </w:r>
      <w:r>
        <w:rPr>
          <w:rFonts w:ascii="宋体" w:hAnsi="宋体" w:eastAsia="宋体" w:cs="宋体"/>
          <w:spacing w:val="-10"/>
          <w:sz w:val="24"/>
          <w:szCs w:val="24"/>
        </w:rPr>
        <w:t>向及侧</w:t>
      </w:r>
      <w:r>
        <w:rPr>
          <w:rFonts w:ascii="宋体" w:hAnsi="宋体" w:eastAsia="宋体" w:cs="宋体"/>
          <w:sz w:val="24"/>
          <w:szCs w:val="24"/>
        </w:rPr>
        <w:t xml:space="preserve"> </w:t>
      </w:r>
      <w:r>
        <w:rPr>
          <w:rFonts w:ascii="宋体" w:hAnsi="宋体" w:eastAsia="宋体" w:cs="宋体"/>
          <w:spacing w:val="-1"/>
          <w:sz w:val="24"/>
          <w:szCs w:val="24"/>
        </w:rPr>
        <w:t>方向撤离；事故救援过程中产生的喷淋废水和消防废水应引入应急池暂时收集，</w:t>
      </w:r>
    </w:p>
    <w:p>
      <w:pPr>
        <w:spacing w:before="1" w:line="218" w:lineRule="auto"/>
        <w:ind w:left="46"/>
        <w:rPr>
          <w:rFonts w:ascii="宋体" w:hAnsi="宋体" w:eastAsia="宋体" w:cs="宋体"/>
          <w:sz w:val="24"/>
          <w:szCs w:val="24"/>
        </w:rPr>
      </w:pPr>
      <w:r>
        <w:rPr>
          <w:rFonts w:ascii="宋体" w:hAnsi="宋体" w:eastAsia="宋体" w:cs="宋体"/>
          <w:spacing w:val="-2"/>
          <w:sz w:val="24"/>
          <w:szCs w:val="24"/>
        </w:rPr>
        <w:t>收集的事故废水泵车运输至四川瑞利生物科技有限公司处理达标后排放。</w:t>
      </w:r>
    </w:p>
    <w:p>
      <w:pPr>
        <w:spacing w:before="196" w:line="480" w:lineRule="exact"/>
        <w:ind w:right="63"/>
        <w:jc w:val="right"/>
        <w:rPr>
          <w:rFonts w:ascii="宋体" w:hAnsi="宋体" w:eastAsia="宋体" w:cs="宋体"/>
          <w:sz w:val="24"/>
          <w:szCs w:val="24"/>
        </w:rPr>
      </w:pPr>
      <w:r>
        <w:rPr>
          <w:rFonts w:ascii="宋体" w:hAnsi="宋体" w:eastAsia="宋体" w:cs="宋体"/>
          <w:spacing w:val="-3"/>
          <w:position w:val="18"/>
          <w:sz w:val="24"/>
          <w:szCs w:val="24"/>
        </w:rPr>
        <w:t>其它废灭火剂、拦截、堵漏材料等在事故排放后统一收集送有资质单位</w:t>
      </w:r>
      <w:r>
        <w:rPr>
          <w:rFonts w:ascii="宋体" w:hAnsi="宋体" w:eastAsia="宋体" w:cs="宋体"/>
          <w:spacing w:val="-4"/>
          <w:position w:val="18"/>
          <w:sz w:val="24"/>
          <w:szCs w:val="24"/>
        </w:rPr>
        <w:t>进行</w:t>
      </w:r>
    </w:p>
    <w:p>
      <w:pPr>
        <w:spacing w:before="1" w:line="223" w:lineRule="auto"/>
        <w:ind w:left="42"/>
        <w:rPr>
          <w:rFonts w:ascii="宋体" w:hAnsi="宋体" w:eastAsia="宋体" w:cs="宋体"/>
          <w:sz w:val="24"/>
          <w:szCs w:val="24"/>
        </w:rPr>
      </w:pPr>
      <w:r>
        <w:rPr>
          <w:rFonts w:ascii="宋体" w:hAnsi="宋体" w:eastAsia="宋体" w:cs="宋体"/>
          <w:spacing w:val="-11"/>
          <w:sz w:val="24"/>
          <w:szCs w:val="24"/>
        </w:rPr>
        <w:t>处理。</w:t>
      </w:r>
    </w:p>
    <w:p>
      <w:pPr>
        <w:spacing w:before="188" w:line="220" w:lineRule="auto"/>
        <w:ind w:left="519"/>
        <w:rPr>
          <w:rFonts w:ascii="宋体" w:hAnsi="宋体" w:eastAsia="宋体" w:cs="宋体"/>
          <w:sz w:val="24"/>
          <w:szCs w:val="24"/>
        </w:rPr>
      </w:pPr>
      <w:r>
        <w:rPr>
          <w:rFonts w:ascii="Times New Roman" w:hAnsi="Times New Roman" w:eastAsia="Times New Roman" w:cs="Times New Roman"/>
          <w:spacing w:val="-3"/>
          <w:sz w:val="24"/>
          <w:szCs w:val="24"/>
        </w:rPr>
        <w:t>6.3</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突发环境事件应急预案</w:t>
      </w:r>
    </w:p>
    <w:p>
      <w:pPr>
        <w:spacing w:before="194" w:line="480" w:lineRule="exact"/>
        <w:ind w:right="63"/>
        <w:jc w:val="right"/>
        <w:rPr>
          <w:rFonts w:ascii="宋体" w:hAnsi="宋体" w:eastAsia="宋体" w:cs="宋体"/>
          <w:sz w:val="24"/>
          <w:szCs w:val="24"/>
        </w:rPr>
      </w:pPr>
      <w:r>
        <w:rPr>
          <w:rFonts w:ascii="宋体" w:hAnsi="宋体" w:eastAsia="宋体" w:cs="宋体"/>
          <w:spacing w:val="-3"/>
          <w:position w:val="18"/>
          <w:sz w:val="24"/>
          <w:szCs w:val="24"/>
        </w:rPr>
        <w:t>大庆油田有限责任公司应制定井喷事故应急预案专项应急预案。应</w:t>
      </w:r>
      <w:r>
        <w:rPr>
          <w:rFonts w:ascii="宋体" w:hAnsi="宋体" w:eastAsia="宋体" w:cs="宋体"/>
          <w:spacing w:val="-4"/>
          <w:position w:val="18"/>
          <w:sz w:val="24"/>
          <w:szCs w:val="24"/>
        </w:rPr>
        <w:t>急预案的</w:t>
      </w:r>
    </w:p>
    <w:p>
      <w:pPr>
        <w:spacing w:before="1" w:line="219" w:lineRule="auto"/>
        <w:ind w:left="40"/>
        <w:rPr>
          <w:rFonts w:ascii="宋体" w:hAnsi="宋体" w:eastAsia="宋体" w:cs="宋体"/>
          <w:sz w:val="24"/>
          <w:szCs w:val="24"/>
        </w:rPr>
      </w:pPr>
      <w:r>
        <w:rPr>
          <w:rFonts w:ascii="宋体" w:hAnsi="宋体" w:eastAsia="宋体" w:cs="宋体"/>
          <w:spacing w:val="-5"/>
          <w:sz w:val="24"/>
          <w:szCs w:val="24"/>
        </w:rPr>
        <w:t>编制、演练等内容建议如下：</w:t>
      </w:r>
    </w:p>
    <w:p>
      <w:pPr>
        <w:spacing w:before="194"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）应急处置方案</w:t>
      </w:r>
    </w:p>
    <w:p>
      <w:pPr>
        <w:spacing w:before="195" w:line="369" w:lineRule="auto"/>
        <w:ind w:left="36" w:right="60" w:firstLine="481"/>
        <w:rPr>
          <w:rFonts w:ascii="宋体" w:hAnsi="宋体" w:eastAsia="宋体" w:cs="宋体"/>
          <w:sz w:val="24"/>
          <w:szCs w:val="24"/>
        </w:rPr>
      </w:pPr>
      <w:r>
        <w:rPr>
          <w:rFonts w:ascii="宋体" w:hAnsi="宋体" w:eastAsia="宋体" w:cs="宋体"/>
          <w:spacing w:val="-8"/>
          <w:sz w:val="24"/>
          <w:szCs w:val="24"/>
        </w:rPr>
        <w:t>钻井作业前，</w:t>
      </w:r>
      <w:r>
        <w:rPr>
          <w:rFonts w:ascii="宋体" w:hAnsi="宋体" w:eastAsia="宋体" w:cs="宋体"/>
          <w:spacing w:val="47"/>
          <w:sz w:val="24"/>
          <w:szCs w:val="24"/>
        </w:rPr>
        <w:t xml:space="preserve"> </w:t>
      </w:r>
      <w:r>
        <w:rPr>
          <w:rFonts w:ascii="宋体" w:hAnsi="宋体" w:eastAsia="宋体" w:cs="宋体"/>
          <w:spacing w:val="-8"/>
          <w:sz w:val="24"/>
          <w:szCs w:val="24"/>
        </w:rPr>
        <w:t>与钻井相关各级单位应制定硫化氢泄漏、火灾、爆炸等应急处</w:t>
      </w:r>
      <w:r>
        <w:rPr>
          <w:rFonts w:ascii="宋体" w:hAnsi="宋体" w:eastAsia="宋体" w:cs="宋体"/>
          <w:sz w:val="24"/>
          <w:szCs w:val="24"/>
        </w:rPr>
        <w:t xml:space="preserve"> </w:t>
      </w:r>
      <w:r>
        <w:rPr>
          <w:rFonts w:ascii="宋体" w:hAnsi="宋体" w:eastAsia="宋体" w:cs="宋体"/>
          <w:spacing w:val="-6"/>
          <w:sz w:val="24"/>
          <w:szCs w:val="24"/>
        </w:rPr>
        <w:t>置方案。应急处置方案中应包括钻井各相关方的组织结构和负责人， 并明确应急</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现场总负责人及各方人员在应急中的职责。</w:t>
      </w:r>
    </w:p>
    <w:p>
      <w:pPr>
        <w:spacing w:before="195" w:line="220" w:lineRule="auto"/>
        <w:ind w:left="519"/>
        <w:rPr>
          <w:rFonts w:ascii="宋体" w:hAnsi="宋体" w:eastAsia="宋体" w:cs="宋体"/>
          <w:sz w:val="24"/>
          <w:szCs w:val="24"/>
        </w:rPr>
      </w:pPr>
      <w:r>
        <w:rPr>
          <w:rFonts w:ascii="宋体" w:hAnsi="宋体" w:eastAsia="宋体" w:cs="宋体"/>
          <w:spacing w:val="-4"/>
          <w:sz w:val="24"/>
          <w:szCs w:val="24"/>
        </w:rPr>
        <w:t>制定应急处置方案时需要注意下列问题：</w:t>
      </w:r>
    </w:p>
    <w:p>
      <w:pPr>
        <w:spacing w:before="193" w:line="480" w:lineRule="exact"/>
        <w:ind w:right="61"/>
        <w:jc w:val="right"/>
        <w:rPr>
          <w:rFonts w:ascii="宋体" w:hAnsi="宋体" w:eastAsia="宋体" w:cs="宋体"/>
          <w:sz w:val="24"/>
          <w:szCs w:val="24"/>
        </w:rPr>
      </w:pPr>
      <w:r>
        <w:rPr>
          <w:rFonts w:ascii="宋体" w:hAnsi="宋体" w:eastAsia="宋体" w:cs="宋体"/>
          <w:spacing w:val="-3"/>
          <w:position w:val="18"/>
          <w:sz w:val="24"/>
          <w:szCs w:val="24"/>
        </w:rPr>
        <w:t>①周边环境调查包括地形、交通、建筑、人员分布、附近的医院和消防部门</w:t>
      </w:r>
    </w:p>
    <w:p>
      <w:pPr>
        <w:spacing w:before="1" w:line="219" w:lineRule="auto"/>
        <w:ind w:left="38"/>
        <w:rPr>
          <w:rFonts w:ascii="宋体" w:hAnsi="宋体" w:eastAsia="宋体" w:cs="宋体"/>
          <w:sz w:val="24"/>
          <w:szCs w:val="24"/>
        </w:rPr>
      </w:pPr>
      <w:r>
        <w:rPr>
          <w:rFonts w:ascii="宋体" w:hAnsi="宋体" w:eastAsia="宋体" w:cs="宋体"/>
          <w:spacing w:val="-6"/>
          <w:sz w:val="24"/>
          <w:szCs w:val="24"/>
        </w:rPr>
        <w:t>所在地等情况。</w:t>
      </w:r>
    </w:p>
    <w:p>
      <w:pPr>
        <w:spacing w:before="195" w:line="369" w:lineRule="auto"/>
        <w:ind w:left="39" w:right="60" w:firstLine="477"/>
        <w:rPr>
          <w:rFonts w:ascii="宋体" w:hAnsi="宋体" w:eastAsia="宋体" w:cs="宋体"/>
          <w:sz w:val="24"/>
          <w:szCs w:val="24"/>
        </w:rPr>
      </w:pPr>
      <w:r>
        <w:rPr>
          <w:rFonts w:ascii="宋体" w:hAnsi="宋体" w:eastAsia="宋体" w:cs="宋体"/>
          <w:spacing w:val="4"/>
          <w:sz w:val="24"/>
          <w:szCs w:val="24"/>
        </w:rPr>
        <w:t>②建立不同半径危险区域范围内的撤离单位和人员的通知清单及通信联络</w:t>
      </w:r>
      <w:r>
        <w:rPr>
          <w:rFonts w:ascii="宋体" w:hAnsi="宋体" w:eastAsia="宋体" w:cs="宋体"/>
          <w:spacing w:val="16"/>
          <w:sz w:val="24"/>
          <w:szCs w:val="24"/>
        </w:rPr>
        <w:t xml:space="preserve"> </w:t>
      </w:r>
      <w:r>
        <w:rPr>
          <w:rFonts w:ascii="宋体" w:hAnsi="宋体" w:eastAsia="宋体" w:cs="宋体"/>
          <w:spacing w:val="-8"/>
          <w:sz w:val="24"/>
          <w:szCs w:val="24"/>
        </w:rPr>
        <w:t>方式设立路障、联络、井控等人员岗位，</w:t>
      </w:r>
      <w:r>
        <w:rPr>
          <w:rFonts w:ascii="宋体" w:hAnsi="宋体" w:eastAsia="宋体" w:cs="宋体"/>
          <w:spacing w:val="64"/>
          <w:sz w:val="24"/>
          <w:szCs w:val="24"/>
        </w:rPr>
        <w:t xml:space="preserve"> </w:t>
      </w:r>
      <w:r>
        <w:rPr>
          <w:rFonts w:ascii="宋体" w:hAnsi="宋体" w:eastAsia="宋体" w:cs="宋体"/>
          <w:spacing w:val="-8"/>
          <w:sz w:val="24"/>
          <w:szCs w:val="24"/>
        </w:rPr>
        <w:t>明确各岗位的职责、授权及相关联</w:t>
      </w:r>
      <w:r>
        <w:rPr>
          <w:rFonts w:ascii="宋体" w:hAnsi="宋体" w:eastAsia="宋体" w:cs="宋体"/>
          <w:spacing w:val="-9"/>
          <w:sz w:val="24"/>
          <w:szCs w:val="24"/>
        </w:rPr>
        <w:t>系人</w:t>
      </w:r>
    </w:p>
    <w:p>
      <w:pPr>
        <w:spacing w:before="1" w:line="219" w:lineRule="auto"/>
        <w:ind w:left="57"/>
        <w:rPr>
          <w:rFonts w:ascii="宋体" w:hAnsi="宋体" w:eastAsia="宋体" w:cs="宋体"/>
          <w:sz w:val="24"/>
          <w:szCs w:val="24"/>
        </w:rPr>
      </w:pPr>
      <w:r>
        <w:rPr>
          <w:rFonts w:ascii="宋体" w:hAnsi="宋体" w:eastAsia="宋体" w:cs="宋体"/>
          <w:spacing w:val="-9"/>
          <w:sz w:val="24"/>
          <w:szCs w:val="24"/>
        </w:rPr>
        <w:t>的通信电话。</w:t>
      </w:r>
    </w:p>
    <w:p>
      <w:pPr>
        <w:spacing w:before="195" w:line="480" w:lineRule="exact"/>
        <w:ind w:right="62"/>
        <w:jc w:val="right"/>
        <w:rPr>
          <w:rFonts w:ascii="宋体" w:hAnsi="宋体" w:eastAsia="宋体" w:cs="宋体"/>
          <w:sz w:val="24"/>
          <w:szCs w:val="24"/>
        </w:rPr>
      </w:pPr>
      <w:r>
        <w:rPr>
          <w:rFonts w:ascii="宋体" w:hAnsi="宋体" w:eastAsia="宋体" w:cs="宋体"/>
          <w:spacing w:val="-6"/>
          <w:position w:val="18"/>
          <w:sz w:val="24"/>
          <w:szCs w:val="24"/>
        </w:rPr>
        <w:t>③对井场周围一定范围内的居民进行防硫化氢知识宣传，</w:t>
      </w:r>
      <w:r>
        <w:rPr>
          <w:rFonts w:ascii="宋体" w:hAnsi="宋体" w:eastAsia="宋体" w:cs="宋体"/>
          <w:spacing w:val="-18"/>
          <w:position w:val="18"/>
          <w:sz w:val="24"/>
          <w:szCs w:val="24"/>
        </w:rPr>
        <w:t xml:space="preserve"> </w:t>
      </w:r>
      <w:r>
        <w:rPr>
          <w:rFonts w:ascii="宋体" w:hAnsi="宋体" w:eastAsia="宋体" w:cs="宋体"/>
          <w:spacing w:val="-6"/>
          <w:position w:val="18"/>
          <w:sz w:val="24"/>
          <w:szCs w:val="24"/>
        </w:rPr>
        <w:t>使他们了解硫化氢</w:t>
      </w:r>
    </w:p>
    <w:p>
      <w:pPr>
        <w:spacing w:before="1" w:line="218" w:lineRule="auto"/>
        <w:ind w:left="53"/>
        <w:rPr>
          <w:rFonts w:ascii="宋体" w:hAnsi="宋体" w:eastAsia="宋体" w:cs="宋体"/>
          <w:sz w:val="24"/>
          <w:szCs w:val="24"/>
        </w:rPr>
      </w:pPr>
      <w:r>
        <w:rPr>
          <w:rFonts w:ascii="宋体" w:hAnsi="宋体" w:eastAsia="宋体" w:cs="宋体"/>
          <w:spacing w:val="-3"/>
          <w:sz w:val="24"/>
          <w:szCs w:val="24"/>
        </w:rPr>
        <w:t>防护基本知识，及简单的逃生、自救互救方法。</w:t>
      </w:r>
    </w:p>
    <w:p>
      <w:pPr>
        <w:spacing w:before="196" w:line="480" w:lineRule="exact"/>
        <w:ind w:right="42"/>
        <w:jc w:val="right"/>
        <w:rPr>
          <w:rFonts w:ascii="宋体" w:hAnsi="宋体" w:eastAsia="宋体" w:cs="宋体"/>
          <w:sz w:val="24"/>
          <w:szCs w:val="24"/>
        </w:rPr>
      </w:pPr>
      <w:r>
        <w:rPr>
          <w:rFonts w:ascii="宋体" w:hAnsi="宋体" w:eastAsia="宋体" w:cs="宋体"/>
          <w:spacing w:val="-12"/>
          <w:position w:val="18"/>
          <w:sz w:val="24"/>
          <w:szCs w:val="24"/>
        </w:rPr>
        <w:t>④编制的应急处置方案应征求当地政府部门意见，</w:t>
      </w:r>
      <w:r>
        <w:rPr>
          <w:rFonts w:ascii="宋体" w:hAnsi="宋体" w:eastAsia="宋体" w:cs="宋体"/>
          <w:spacing w:val="32"/>
          <w:position w:val="18"/>
          <w:sz w:val="24"/>
          <w:szCs w:val="24"/>
        </w:rPr>
        <w:t xml:space="preserve"> </w:t>
      </w:r>
      <w:r>
        <w:rPr>
          <w:rFonts w:ascii="宋体" w:hAnsi="宋体" w:eastAsia="宋体" w:cs="宋体"/>
          <w:spacing w:val="-12"/>
          <w:position w:val="18"/>
          <w:sz w:val="24"/>
          <w:szCs w:val="24"/>
        </w:rPr>
        <w:t>并得到认可和支持，</w:t>
      </w:r>
      <w:r>
        <w:rPr>
          <w:rFonts w:ascii="宋体" w:hAnsi="宋体" w:eastAsia="宋体" w:cs="宋体"/>
          <w:spacing w:val="47"/>
          <w:position w:val="18"/>
          <w:sz w:val="24"/>
          <w:szCs w:val="24"/>
        </w:rPr>
        <w:t xml:space="preserve"> </w:t>
      </w:r>
      <w:r>
        <w:rPr>
          <w:rFonts w:ascii="宋体" w:hAnsi="宋体" w:eastAsia="宋体" w:cs="宋体"/>
          <w:spacing w:val="-12"/>
          <w:position w:val="18"/>
          <w:sz w:val="24"/>
          <w:szCs w:val="24"/>
        </w:rPr>
        <w:t>以确</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保该方案的科学性和适用性。</w:t>
      </w:r>
    </w:p>
    <w:p>
      <w:pPr>
        <w:spacing w:before="195"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）应急信号</w:t>
      </w:r>
    </w:p>
    <w:p>
      <w:pPr>
        <w:spacing w:before="195" w:line="218" w:lineRule="auto"/>
        <w:ind w:left="517"/>
        <w:rPr>
          <w:rFonts w:ascii="宋体" w:hAnsi="宋体" w:eastAsia="宋体" w:cs="宋体"/>
          <w:sz w:val="24"/>
          <w:szCs w:val="24"/>
        </w:rPr>
      </w:pPr>
      <w:r>
        <w:rPr>
          <w:rFonts w:ascii="宋体" w:hAnsi="宋体" w:eastAsia="宋体" w:cs="宋体"/>
          <w:spacing w:val="-2"/>
          <w:sz w:val="24"/>
          <w:szCs w:val="24"/>
        </w:rPr>
        <w:t>在钻井作业场所明确应急报警信号并告知现场所有人员。</w:t>
      </w:r>
    </w:p>
    <w:p>
      <w:pPr>
        <w:spacing w:line="218" w:lineRule="auto"/>
        <w:rPr>
          <w:rFonts w:ascii="宋体" w:hAnsi="宋体" w:eastAsia="宋体" w:cs="宋体"/>
          <w:sz w:val="24"/>
          <w:szCs w:val="24"/>
        </w:rPr>
        <w:sectPr>
          <w:headerReference r:id="rId284" w:type="default"/>
          <w:footerReference r:id="rId285" w:type="default"/>
          <w:pgSz w:w="11907" w:h="16839"/>
          <w:pgMar w:top="1123" w:right="1733" w:bottom="1149" w:left="1769" w:header="1108" w:footer="988" w:gutter="0"/>
          <w:cols w:space="720" w:num="1"/>
        </w:sectPr>
      </w:pPr>
    </w:p>
    <w:p>
      <w:pPr>
        <w:pStyle w:val="2"/>
        <w:spacing w:line="414" w:lineRule="auto"/>
        <w:rPr>
          <w:sz w:val="21"/>
        </w:rPr>
      </w:pPr>
    </w:p>
    <w:p>
      <w:pPr>
        <w:spacing w:before="78" w:line="220" w:lineRule="auto"/>
        <w:ind w:left="52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）应急行动</w:t>
      </w:r>
    </w:p>
    <w:p>
      <w:pPr>
        <w:spacing w:before="194" w:line="480" w:lineRule="exact"/>
        <w:ind w:left="518"/>
        <w:rPr>
          <w:rFonts w:ascii="宋体" w:hAnsi="宋体" w:eastAsia="宋体" w:cs="宋体"/>
          <w:sz w:val="24"/>
          <w:szCs w:val="24"/>
        </w:rPr>
      </w:pPr>
      <w:r>
        <w:rPr>
          <w:rFonts w:ascii="宋体" w:hAnsi="宋体" w:eastAsia="宋体" w:cs="宋体"/>
          <w:spacing w:val="-6"/>
          <w:position w:val="18"/>
          <w:sz w:val="24"/>
          <w:szCs w:val="24"/>
        </w:rPr>
        <w:t>应急行动应具体落实到各岗位、明确应急工作职责</w:t>
      </w:r>
      <w:r>
        <w:rPr>
          <w:rFonts w:ascii="宋体" w:hAnsi="宋体" w:eastAsia="宋体" w:cs="宋体"/>
          <w:spacing w:val="-7"/>
          <w:position w:val="18"/>
          <w:sz w:val="24"/>
          <w:szCs w:val="24"/>
        </w:rPr>
        <w:t>， 按照应急处置程序在最</w:t>
      </w:r>
    </w:p>
    <w:p>
      <w:pPr>
        <w:spacing w:line="219" w:lineRule="auto"/>
        <w:ind w:left="41"/>
        <w:rPr>
          <w:rFonts w:ascii="宋体" w:hAnsi="宋体" w:eastAsia="宋体" w:cs="宋体"/>
          <w:sz w:val="24"/>
          <w:szCs w:val="24"/>
        </w:rPr>
      </w:pPr>
      <w:r>
        <w:rPr>
          <w:rFonts w:ascii="宋体" w:hAnsi="宋体" w:eastAsia="宋体" w:cs="宋体"/>
          <w:spacing w:val="-4"/>
          <w:sz w:val="24"/>
          <w:szCs w:val="24"/>
        </w:rPr>
        <w:t>短时间内实现应急处置。</w:t>
      </w:r>
    </w:p>
    <w:p>
      <w:pPr>
        <w:spacing w:before="194" w:line="221"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）应急演练</w:t>
      </w:r>
    </w:p>
    <w:p>
      <w:pPr>
        <w:spacing w:before="192" w:line="480" w:lineRule="exact"/>
        <w:ind w:left="517"/>
        <w:rPr>
          <w:rFonts w:ascii="宋体" w:hAnsi="宋体" w:eastAsia="宋体" w:cs="宋体"/>
          <w:sz w:val="24"/>
          <w:szCs w:val="24"/>
        </w:rPr>
      </w:pPr>
      <w:r>
        <w:rPr>
          <w:rFonts w:ascii="宋体" w:hAnsi="宋体" w:eastAsia="宋体" w:cs="宋体"/>
          <w:spacing w:val="-1"/>
          <w:position w:val="18"/>
          <w:sz w:val="24"/>
          <w:szCs w:val="24"/>
        </w:rPr>
        <w:t>①在钻开硫化氢油气层前，钻井队作业班组应组织一次防硫化氢应急演练，</w:t>
      </w:r>
    </w:p>
    <w:p>
      <w:pPr>
        <w:spacing w:before="1" w:line="219" w:lineRule="auto"/>
        <w:ind w:left="38"/>
        <w:rPr>
          <w:rFonts w:ascii="宋体" w:hAnsi="宋体" w:eastAsia="宋体" w:cs="宋体"/>
          <w:sz w:val="24"/>
          <w:szCs w:val="24"/>
        </w:rPr>
      </w:pPr>
      <w:r>
        <w:rPr>
          <w:rFonts w:ascii="宋体" w:hAnsi="宋体" w:eastAsia="宋体" w:cs="宋体"/>
          <w:sz w:val="24"/>
          <w:szCs w:val="24"/>
        </w:rPr>
        <w:t>钻井队统一组织至少一次所有人员及相关方参加的</w:t>
      </w:r>
      <w:r>
        <w:rPr>
          <w:rFonts w:ascii="宋体" w:hAnsi="宋体" w:eastAsia="宋体" w:cs="宋体"/>
          <w:spacing w:val="-1"/>
          <w:sz w:val="24"/>
          <w:szCs w:val="24"/>
        </w:rPr>
        <w:t>防硫化氢联合应急演练。</w:t>
      </w:r>
    </w:p>
    <w:p>
      <w:pPr>
        <w:spacing w:before="195" w:line="369" w:lineRule="auto"/>
        <w:ind w:left="39" w:right="184" w:firstLine="477"/>
        <w:rPr>
          <w:rFonts w:ascii="宋体" w:hAnsi="宋体" w:eastAsia="宋体" w:cs="宋体"/>
          <w:sz w:val="24"/>
          <w:szCs w:val="24"/>
        </w:rPr>
      </w:pPr>
      <w:r>
        <w:rPr>
          <w:rFonts w:ascii="宋体" w:hAnsi="宋体" w:eastAsia="宋体" w:cs="宋体"/>
          <w:spacing w:val="-10"/>
          <w:sz w:val="24"/>
          <w:szCs w:val="24"/>
        </w:rPr>
        <w:t>②在钻开硫化氢油气层前， 钻井队作业班组应进行井控演练， 演练不合格不</w:t>
      </w:r>
      <w:r>
        <w:rPr>
          <w:rFonts w:ascii="宋体" w:hAnsi="宋体" w:eastAsia="宋体" w:cs="宋体"/>
          <w:spacing w:val="15"/>
          <w:sz w:val="24"/>
          <w:szCs w:val="24"/>
        </w:rPr>
        <w:t xml:space="preserve"> </w:t>
      </w:r>
      <w:r>
        <w:rPr>
          <w:rFonts w:ascii="宋体" w:hAnsi="宋体" w:eastAsia="宋体" w:cs="宋体"/>
          <w:spacing w:val="-9"/>
          <w:sz w:val="24"/>
          <w:szCs w:val="24"/>
        </w:rPr>
        <w:t>得钻开油气层， 钻开含硫化氢油气层后， 钻井队作业班每月应开展不</w:t>
      </w:r>
      <w:r>
        <w:rPr>
          <w:rFonts w:ascii="宋体" w:hAnsi="宋体" w:eastAsia="宋体" w:cs="宋体"/>
          <w:spacing w:val="-10"/>
          <w:sz w:val="24"/>
          <w:szCs w:val="24"/>
        </w:rPr>
        <w:t>少于一次不</w:t>
      </w:r>
    </w:p>
    <w:p>
      <w:pPr>
        <w:spacing w:before="1" w:line="220" w:lineRule="auto"/>
        <w:ind w:left="61"/>
        <w:rPr>
          <w:rFonts w:ascii="宋体" w:hAnsi="宋体" w:eastAsia="宋体" w:cs="宋体"/>
          <w:sz w:val="24"/>
          <w:szCs w:val="24"/>
        </w:rPr>
      </w:pPr>
      <w:r>
        <w:rPr>
          <w:rFonts w:ascii="宋体" w:hAnsi="宋体" w:eastAsia="宋体" w:cs="宋体"/>
          <w:spacing w:val="-4"/>
          <w:sz w:val="24"/>
          <w:szCs w:val="24"/>
        </w:rPr>
        <w:t>同工况的井控演练。</w:t>
      </w:r>
    </w:p>
    <w:p>
      <w:pPr>
        <w:spacing w:before="193" w:line="480" w:lineRule="exact"/>
        <w:ind w:left="516"/>
        <w:rPr>
          <w:rFonts w:ascii="宋体" w:hAnsi="宋体" w:eastAsia="宋体" w:cs="宋体"/>
          <w:sz w:val="24"/>
          <w:szCs w:val="24"/>
        </w:rPr>
      </w:pPr>
      <w:r>
        <w:rPr>
          <w:rFonts w:ascii="宋体" w:hAnsi="宋体" w:eastAsia="宋体" w:cs="宋体"/>
          <w:spacing w:val="-10"/>
          <w:position w:val="18"/>
          <w:sz w:val="24"/>
          <w:szCs w:val="24"/>
        </w:rPr>
        <w:t>③每次演练应进行总结讲评， 各方提出演习中存在的问题以及</w:t>
      </w:r>
      <w:r>
        <w:rPr>
          <w:rFonts w:ascii="宋体" w:hAnsi="宋体" w:eastAsia="宋体" w:cs="宋体"/>
          <w:spacing w:val="-11"/>
          <w:position w:val="18"/>
          <w:sz w:val="24"/>
          <w:szCs w:val="24"/>
        </w:rPr>
        <w:t>改进措施，</w:t>
      </w:r>
      <w:r>
        <w:rPr>
          <w:rFonts w:ascii="宋体" w:hAnsi="宋体" w:eastAsia="宋体" w:cs="宋体"/>
          <w:spacing w:val="26"/>
          <w:position w:val="18"/>
          <w:sz w:val="24"/>
          <w:szCs w:val="24"/>
        </w:rPr>
        <w:t xml:space="preserve"> </w:t>
      </w:r>
      <w:r>
        <w:rPr>
          <w:rFonts w:ascii="宋体" w:hAnsi="宋体" w:eastAsia="宋体" w:cs="宋体"/>
          <w:spacing w:val="-11"/>
          <w:position w:val="18"/>
          <w:sz w:val="24"/>
          <w:szCs w:val="24"/>
        </w:rPr>
        <w:t>并</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完善应急处置方案，应急演习的记录文件应保存至</w:t>
      </w:r>
      <w:r>
        <w:rPr>
          <w:rFonts w:ascii="宋体" w:hAnsi="宋体" w:eastAsia="宋体" w:cs="宋体"/>
          <w:spacing w:val="-2"/>
          <w:sz w:val="24"/>
          <w:szCs w:val="24"/>
        </w:rPr>
        <w:t>少一年。</w:t>
      </w:r>
    </w:p>
    <w:p>
      <w:pPr>
        <w:spacing w:before="195"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）应急撤离</w:t>
      </w:r>
    </w:p>
    <w:p>
      <w:pPr>
        <w:spacing w:before="194" w:line="480" w:lineRule="exact"/>
        <w:ind w:left="517"/>
        <w:rPr>
          <w:rFonts w:ascii="宋体" w:hAnsi="宋体" w:eastAsia="宋体" w:cs="宋体"/>
          <w:sz w:val="24"/>
          <w:szCs w:val="24"/>
        </w:rPr>
      </w:pPr>
      <w:r>
        <w:rPr>
          <w:rFonts w:ascii="宋体" w:hAnsi="宋体" w:eastAsia="宋体" w:cs="宋体"/>
          <w:spacing w:val="-10"/>
          <w:position w:val="18"/>
          <w:sz w:val="24"/>
          <w:szCs w:val="24"/>
        </w:rPr>
        <w:t>①撤离条件包括：</w:t>
      </w:r>
      <w:r>
        <w:rPr>
          <w:rFonts w:ascii="Times New Roman" w:hAnsi="Times New Roman" w:eastAsia="Times New Roman" w:cs="Times New Roman"/>
          <w:spacing w:val="-10"/>
          <w:position w:val="18"/>
          <w:sz w:val="24"/>
          <w:szCs w:val="24"/>
        </w:rPr>
        <w:t xml:space="preserve">a </w:t>
      </w:r>
      <w:r>
        <w:rPr>
          <w:rFonts w:ascii="宋体" w:hAnsi="宋体" w:eastAsia="宋体" w:cs="宋体"/>
          <w:spacing w:val="-10"/>
          <w:position w:val="18"/>
          <w:sz w:val="24"/>
          <w:szCs w:val="24"/>
        </w:rPr>
        <w:t>井喷失控；</w:t>
      </w:r>
      <w:r>
        <w:rPr>
          <w:rFonts w:ascii="Times New Roman" w:hAnsi="Times New Roman" w:eastAsia="Times New Roman" w:cs="Times New Roman"/>
          <w:spacing w:val="-10"/>
          <w:position w:val="18"/>
          <w:sz w:val="24"/>
          <w:szCs w:val="24"/>
        </w:rPr>
        <w:t xml:space="preserve">b </w:t>
      </w:r>
      <w:r>
        <w:rPr>
          <w:rFonts w:ascii="宋体" w:hAnsi="宋体" w:eastAsia="宋体" w:cs="宋体"/>
          <w:spacing w:val="-10"/>
          <w:position w:val="18"/>
          <w:sz w:val="24"/>
          <w:szCs w:val="24"/>
        </w:rPr>
        <w:t>空气中硫化氢浓度达到</w:t>
      </w:r>
      <w:r>
        <w:rPr>
          <w:rFonts w:ascii="宋体" w:hAnsi="宋体" w:eastAsia="宋体" w:cs="宋体"/>
          <w:spacing w:val="-39"/>
          <w:position w:val="18"/>
          <w:sz w:val="24"/>
          <w:szCs w:val="24"/>
        </w:rPr>
        <w:t xml:space="preserve"> </w:t>
      </w:r>
      <w:r>
        <w:rPr>
          <w:rFonts w:ascii="Times New Roman" w:hAnsi="Times New Roman" w:eastAsia="Times New Roman" w:cs="Times New Roman"/>
          <w:spacing w:val="-10"/>
          <w:position w:val="18"/>
          <w:sz w:val="24"/>
          <w:szCs w:val="24"/>
        </w:rPr>
        <w:t>150mg/m</w:t>
      </w:r>
      <w:r>
        <w:rPr>
          <w:rFonts w:ascii="宋体" w:hAnsi="宋体" w:eastAsia="宋体" w:cs="宋体"/>
          <w:spacing w:val="-10"/>
          <w:position w:val="18"/>
          <w:sz w:val="24"/>
          <w:szCs w:val="24"/>
        </w:rPr>
        <w:t>³（</w:t>
      </w:r>
      <w:r>
        <w:rPr>
          <w:rFonts w:ascii="Times New Roman" w:hAnsi="Times New Roman" w:eastAsia="Times New Roman" w:cs="Times New Roman"/>
          <w:spacing w:val="-10"/>
          <w:position w:val="18"/>
          <w:sz w:val="24"/>
          <w:szCs w:val="24"/>
        </w:rPr>
        <w:t>100ppm</w:t>
      </w:r>
      <w:r>
        <w:rPr>
          <w:rFonts w:ascii="宋体" w:hAnsi="宋体" w:eastAsia="宋体" w:cs="宋体"/>
          <w:spacing w:val="-10"/>
          <w:position w:val="18"/>
          <w:sz w:val="24"/>
          <w:szCs w:val="24"/>
        </w:rPr>
        <w:t>）</w:t>
      </w:r>
    </w:p>
    <w:p>
      <w:pPr>
        <w:spacing w:line="219" w:lineRule="auto"/>
        <w:ind w:left="57"/>
        <w:rPr>
          <w:rFonts w:ascii="宋体" w:hAnsi="宋体" w:eastAsia="宋体" w:cs="宋体"/>
          <w:sz w:val="24"/>
          <w:szCs w:val="24"/>
        </w:rPr>
      </w:pPr>
      <w:r>
        <w:rPr>
          <w:rFonts w:ascii="宋体" w:hAnsi="宋体" w:eastAsia="宋体" w:cs="宋体"/>
          <w:spacing w:val="-7"/>
          <w:sz w:val="24"/>
          <w:szCs w:val="24"/>
        </w:rPr>
        <w:t>的危险临界浓度。</w:t>
      </w:r>
    </w:p>
    <w:p>
      <w:pPr>
        <w:spacing w:before="195" w:line="480" w:lineRule="exact"/>
        <w:ind w:left="516"/>
        <w:rPr>
          <w:rFonts w:ascii="宋体" w:hAnsi="宋体" w:eastAsia="宋体" w:cs="宋体"/>
          <w:sz w:val="24"/>
          <w:szCs w:val="24"/>
        </w:rPr>
      </w:pPr>
      <w:r>
        <w:rPr>
          <w:rFonts w:ascii="宋体" w:hAnsi="宋体" w:eastAsia="宋体" w:cs="宋体"/>
          <w:spacing w:val="-9"/>
          <w:position w:val="18"/>
          <w:sz w:val="24"/>
          <w:szCs w:val="24"/>
        </w:rPr>
        <w:t>②撤离命令发布： 生产经营单位代表或其授权的现</w:t>
      </w:r>
      <w:r>
        <w:rPr>
          <w:rFonts w:ascii="宋体" w:hAnsi="宋体" w:eastAsia="宋体" w:cs="宋体"/>
          <w:spacing w:val="-10"/>
          <w:position w:val="18"/>
          <w:sz w:val="24"/>
          <w:szCs w:val="24"/>
        </w:rPr>
        <w:t>场总负责人决策撤离， 采</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用有线应急广播或声光报警等通知方式。</w:t>
      </w:r>
    </w:p>
    <w:p>
      <w:pPr>
        <w:spacing w:before="196" w:line="369" w:lineRule="auto"/>
        <w:ind w:left="39" w:firstLine="477"/>
        <w:rPr>
          <w:rFonts w:ascii="宋体" w:hAnsi="宋体" w:eastAsia="宋体" w:cs="宋体"/>
          <w:sz w:val="24"/>
          <w:szCs w:val="24"/>
        </w:rPr>
      </w:pPr>
      <w:r>
        <w:rPr>
          <w:rFonts w:ascii="宋体" w:hAnsi="宋体" w:eastAsia="宋体" w:cs="宋体"/>
          <w:spacing w:val="-11"/>
          <w:sz w:val="24"/>
          <w:szCs w:val="24"/>
        </w:rPr>
        <w:t>③撤离组织包括：</w:t>
      </w:r>
      <w:r>
        <w:rPr>
          <w:rFonts w:ascii="宋体" w:hAnsi="宋体" w:eastAsia="宋体" w:cs="宋体"/>
          <w:spacing w:val="25"/>
          <w:sz w:val="24"/>
          <w:szCs w:val="24"/>
        </w:rPr>
        <w:t xml:space="preserve"> </w:t>
      </w:r>
      <w:r>
        <w:rPr>
          <w:rFonts w:ascii="宋体" w:hAnsi="宋体" w:eastAsia="宋体" w:cs="宋体"/>
          <w:spacing w:val="-11"/>
          <w:sz w:val="24"/>
          <w:szCs w:val="24"/>
        </w:rPr>
        <w:t xml:space="preserve">指派专人引导向当地政府报告， 协助当地政府做好居民的  </w:t>
      </w:r>
      <w:r>
        <w:rPr>
          <w:rFonts w:ascii="宋体" w:hAnsi="宋体" w:eastAsia="宋体" w:cs="宋体"/>
          <w:spacing w:val="-4"/>
          <w:sz w:val="24"/>
          <w:szCs w:val="24"/>
        </w:rPr>
        <w:t>疏散、撤离工作—有专人引导现场人员撤离向上风向、高处撤离时佩戴硫化氢防  护器具或使用湿毛巾、衣物捂住口鼻呼吸等措施撤离时携带</w:t>
      </w:r>
      <w:r>
        <w:rPr>
          <w:rFonts w:ascii="宋体" w:hAnsi="宋体" w:eastAsia="宋体" w:cs="宋体"/>
          <w:spacing w:val="-5"/>
          <w:sz w:val="24"/>
          <w:szCs w:val="24"/>
        </w:rPr>
        <w:t>便携式硫化氢检测仪，</w:t>
      </w:r>
    </w:p>
    <w:p>
      <w:pPr>
        <w:spacing w:line="219" w:lineRule="auto"/>
        <w:ind w:left="37"/>
        <w:rPr>
          <w:rFonts w:ascii="宋体" w:hAnsi="宋体" w:eastAsia="宋体" w:cs="宋体"/>
          <w:sz w:val="24"/>
          <w:szCs w:val="24"/>
        </w:rPr>
      </w:pPr>
      <w:r>
        <w:rPr>
          <w:rFonts w:ascii="宋体" w:hAnsi="宋体" w:eastAsia="宋体" w:cs="宋体"/>
          <w:spacing w:val="-3"/>
          <w:sz w:val="24"/>
          <w:szCs w:val="24"/>
        </w:rPr>
        <w:t>对空气中的硫化氢浓度进行检测。</w:t>
      </w:r>
    </w:p>
    <w:p>
      <w:pPr>
        <w:spacing w:before="194"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）点火处理</w:t>
      </w:r>
    </w:p>
    <w:p>
      <w:pPr>
        <w:spacing w:before="195" w:line="480" w:lineRule="exact"/>
        <w:ind w:left="517"/>
        <w:rPr>
          <w:rFonts w:ascii="宋体" w:hAnsi="宋体" w:eastAsia="宋体" w:cs="宋体"/>
          <w:sz w:val="24"/>
          <w:szCs w:val="24"/>
        </w:rPr>
      </w:pPr>
      <w:r>
        <w:rPr>
          <w:rFonts w:ascii="宋体" w:hAnsi="宋体" w:eastAsia="宋体" w:cs="宋体"/>
          <w:spacing w:val="12"/>
          <w:position w:val="18"/>
          <w:sz w:val="24"/>
          <w:szCs w:val="24"/>
        </w:rPr>
        <w:t>①含硫化氢油气井井喷或井喷失控事故发生后，应防止着火和爆炸，按</w:t>
      </w:r>
    </w:p>
    <w:p>
      <w:pPr>
        <w:spacing w:before="1" w:line="219" w:lineRule="auto"/>
        <w:ind w:left="43"/>
        <w:rPr>
          <w:rFonts w:ascii="宋体" w:hAnsi="宋体" w:eastAsia="宋体" w:cs="宋体"/>
          <w:sz w:val="24"/>
          <w:szCs w:val="24"/>
        </w:rPr>
      </w:pPr>
      <w:r>
        <w:rPr>
          <w:rFonts w:ascii="Times New Roman" w:hAnsi="Times New Roman" w:eastAsia="Times New Roman" w:cs="Times New Roman"/>
          <w:spacing w:val="-5"/>
          <w:sz w:val="24"/>
          <w:szCs w:val="24"/>
        </w:rPr>
        <w:t>SY/T6426</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的规定执行。</w:t>
      </w:r>
    </w:p>
    <w:p>
      <w:pPr>
        <w:spacing w:before="194" w:line="481" w:lineRule="exact"/>
        <w:ind w:left="516"/>
        <w:rPr>
          <w:rFonts w:ascii="宋体" w:hAnsi="宋体" w:eastAsia="宋体" w:cs="宋体"/>
          <w:sz w:val="24"/>
          <w:szCs w:val="24"/>
        </w:rPr>
      </w:pPr>
      <w:r>
        <w:rPr>
          <w:rFonts w:ascii="宋体" w:hAnsi="宋体" w:eastAsia="宋体" w:cs="宋体"/>
          <w:spacing w:val="-6"/>
          <w:position w:val="18"/>
          <w:sz w:val="24"/>
          <w:szCs w:val="24"/>
        </w:rPr>
        <w:t>②发生井喷后应采取措施控制井喷，</w:t>
      </w:r>
      <w:r>
        <w:rPr>
          <w:rFonts w:ascii="宋体" w:hAnsi="宋体" w:eastAsia="宋体" w:cs="宋体"/>
          <w:spacing w:val="-19"/>
          <w:position w:val="18"/>
          <w:sz w:val="24"/>
          <w:szCs w:val="24"/>
        </w:rPr>
        <w:t xml:space="preserve"> </w:t>
      </w:r>
      <w:r>
        <w:rPr>
          <w:rFonts w:ascii="宋体" w:hAnsi="宋体" w:eastAsia="宋体" w:cs="宋体"/>
          <w:spacing w:val="-6"/>
          <w:position w:val="18"/>
          <w:sz w:val="24"/>
          <w:szCs w:val="24"/>
        </w:rPr>
        <w:t>若井口压力有可能超过有可能朝贡允许</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关井压力，需点火放喷时，井场应先点火后</w:t>
      </w:r>
      <w:r>
        <w:rPr>
          <w:rFonts w:ascii="宋体" w:hAnsi="宋体" w:eastAsia="宋体" w:cs="宋体"/>
          <w:spacing w:val="-3"/>
          <w:sz w:val="24"/>
          <w:szCs w:val="24"/>
        </w:rPr>
        <w:t>放喷。</w:t>
      </w:r>
    </w:p>
    <w:p>
      <w:pPr>
        <w:spacing w:before="195" w:line="217" w:lineRule="auto"/>
        <w:ind w:left="516"/>
        <w:rPr>
          <w:rFonts w:ascii="宋体" w:hAnsi="宋体" w:eastAsia="宋体" w:cs="宋体"/>
          <w:sz w:val="24"/>
          <w:szCs w:val="24"/>
        </w:rPr>
      </w:pPr>
      <w:r>
        <w:rPr>
          <w:rFonts w:ascii="宋体" w:hAnsi="宋体" w:eastAsia="宋体" w:cs="宋体"/>
          <w:sz w:val="24"/>
          <w:szCs w:val="24"/>
        </w:rPr>
        <w:t>③井喷失控后，在人员生命受到巨大威胁、人员</w:t>
      </w:r>
      <w:r>
        <w:rPr>
          <w:rFonts w:ascii="宋体" w:hAnsi="宋体" w:eastAsia="宋体" w:cs="宋体"/>
          <w:spacing w:val="-1"/>
          <w:sz w:val="24"/>
          <w:szCs w:val="24"/>
        </w:rPr>
        <w:t>撤离无望、失控井无</w:t>
      </w:r>
    </w:p>
    <w:p>
      <w:pPr>
        <w:spacing w:before="197" w:line="480" w:lineRule="exact"/>
        <w:ind w:left="518"/>
        <w:rPr>
          <w:rFonts w:ascii="宋体" w:hAnsi="宋体" w:eastAsia="宋体" w:cs="宋体"/>
          <w:sz w:val="24"/>
          <w:szCs w:val="24"/>
        </w:rPr>
      </w:pPr>
      <w:r>
        <w:rPr>
          <w:rFonts w:ascii="宋体" w:hAnsi="宋体" w:eastAsia="宋体" w:cs="宋体"/>
          <w:spacing w:val="-6"/>
          <w:position w:val="18"/>
          <w:sz w:val="24"/>
          <w:szCs w:val="24"/>
        </w:rPr>
        <w:t>希望得到控制的情况下，</w:t>
      </w:r>
      <w:r>
        <w:rPr>
          <w:rFonts w:ascii="宋体" w:hAnsi="宋体" w:eastAsia="宋体" w:cs="宋体"/>
          <w:spacing w:val="-21"/>
          <w:position w:val="18"/>
          <w:sz w:val="24"/>
          <w:szCs w:val="24"/>
        </w:rPr>
        <w:t xml:space="preserve"> </w:t>
      </w:r>
      <w:r>
        <w:rPr>
          <w:rFonts w:ascii="宋体" w:hAnsi="宋体" w:eastAsia="宋体" w:cs="宋体"/>
          <w:spacing w:val="-6"/>
          <w:position w:val="18"/>
          <w:sz w:val="24"/>
          <w:szCs w:val="24"/>
        </w:rPr>
        <w:t>作为最后手段应按抢险作业程序对油气井井口实施</w:t>
      </w:r>
    </w:p>
    <w:p>
      <w:pPr>
        <w:spacing w:before="1" w:line="219" w:lineRule="auto"/>
        <w:ind w:left="50"/>
        <w:rPr>
          <w:rFonts w:ascii="宋体" w:hAnsi="宋体" w:eastAsia="宋体" w:cs="宋体"/>
          <w:sz w:val="24"/>
          <w:szCs w:val="24"/>
        </w:rPr>
      </w:pPr>
      <w:r>
        <w:rPr>
          <w:rFonts w:ascii="宋体" w:hAnsi="宋体" w:eastAsia="宋体" w:cs="宋体"/>
          <w:spacing w:val="-13"/>
          <w:sz w:val="24"/>
          <w:szCs w:val="24"/>
        </w:rPr>
        <w:t>点火。</w:t>
      </w:r>
    </w:p>
    <w:p>
      <w:pPr>
        <w:spacing w:before="195" w:line="217" w:lineRule="auto"/>
        <w:ind w:left="516"/>
        <w:rPr>
          <w:rFonts w:ascii="宋体" w:hAnsi="宋体" w:eastAsia="宋体" w:cs="宋体"/>
          <w:sz w:val="24"/>
          <w:szCs w:val="24"/>
        </w:rPr>
      </w:pPr>
      <w:r>
        <w:rPr>
          <w:rFonts w:ascii="宋体" w:hAnsi="宋体" w:eastAsia="宋体" w:cs="宋体"/>
          <w:spacing w:val="-6"/>
          <w:sz w:val="24"/>
          <w:szCs w:val="24"/>
        </w:rPr>
        <w:t>④点火程序的相关内容应在应急预案中明确； 点</w:t>
      </w:r>
      <w:r>
        <w:rPr>
          <w:rFonts w:ascii="宋体" w:hAnsi="宋体" w:eastAsia="宋体" w:cs="宋体"/>
          <w:spacing w:val="-7"/>
          <w:sz w:val="24"/>
          <w:szCs w:val="24"/>
        </w:rPr>
        <w:t>火决策人宜由建设单位代表</w:t>
      </w:r>
    </w:p>
    <w:p>
      <w:pPr>
        <w:spacing w:line="217" w:lineRule="auto"/>
        <w:rPr>
          <w:rFonts w:ascii="宋体" w:hAnsi="宋体" w:eastAsia="宋体" w:cs="宋体"/>
          <w:sz w:val="24"/>
          <w:szCs w:val="24"/>
        </w:rPr>
        <w:sectPr>
          <w:headerReference r:id="rId286" w:type="default"/>
          <w:footerReference r:id="rId287" w:type="default"/>
          <w:pgSz w:w="11907" w:h="16839"/>
          <w:pgMar w:top="1123" w:right="1610" w:bottom="1149" w:left="1769" w:header="1108" w:footer="988" w:gutter="0"/>
          <w:cols w:space="720" w:num="1"/>
        </w:sectPr>
      </w:pPr>
    </w:p>
    <w:p>
      <w:pPr>
        <w:pStyle w:val="2"/>
        <w:spacing w:line="413" w:lineRule="auto"/>
        <w:rPr>
          <w:sz w:val="21"/>
        </w:rPr>
      </w:pPr>
    </w:p>
    <w:p>
      <w:pPr>
        <w:spacing w:before="78" w:line="220" w:lineRule="auto"/>
        <w:ind w:left="125"/>
        <w:rPr>
          <w:rFonts w:ascii="宋体" w:hAnsi="宋体" w:eastAsia="宋体" w:cs="宋体"/>
          <w:sz w:val="24"/>
          <w:szCs w:val="24"/>
        </w:rPr>
      </w:pPr>
      <w:r>
        <w:rPr>
          <w:rFonts w:ascii="宋体" w:hAnsi="宋体" w:eastAsia="宋体" w:cs="宋体"/>
          <w:spacing w:val="-2"/>
          <w:sz w:val="24"/>
          <w:szCs w:val="24"/>
        </w:rPr>
        <w:t>或其授权的现场负责人来担任，并列入应急预案中。</w:t>
      </w:r>
    </w:p>
    <w:p>
      <w:pPr>
        <w:spacing w:before="195" w:line="480" w:lineRule="exact"/>
        <w:ind w:left="600"/>
        <w:rPr>
          <w:rFonts w:ascii="宋体" w:hAnsi="宋体" w:eastAsia="宋体" w:cs="宋体"/>
          <w:sz w:val="24"/>
          <w:szCs w:val="24"/>
        </w:rPr>
      </w:pPr>
      <w:r>
        <w:rPr>
          <w:rFonts w:ascii="宋体" w:hAnsi="宋体" w:eastAsia="宋体" w:cs="宋体"/>
          <w:spacing w:val="-8"/>
          <w:position w:val="18"/>
          <w:sz w:val="24"/>
          <w:szCs w:val="24"/>
        </w:rPr>
        <w:t>⑤含硫化氢天然气井发生井喷， 符合下述条件之一时，应在</w:t>
      </w:r>
      <w:r>
        <w:rPr>
          <w:rFonts w:ascii="宋体" w:hAnsi="宋体" w:eastAsia="宋体" w:cs="宋体"/>
          <w:spacing w:val="-31"/>
          <w:position w:val="18"/>
          <w:sz w:val="24"/>
          <w:szCs w:val="24"/>
        </w:rPr>
        <w:t xml:space="preserve"> </w:t>
      </w:r>
      <w:r>
        <w:rPr>
          <w:rFonts w:ascii="Times New Roman" w:hAnsi="Times New Roman" w:eastAsia="Times New Roman" w:cs="Times New Roman"/>
          <w:spacing w:val="-8"/>
          <w:position w:val="18"/>
          <w:sz w:val="24"/>
          <w:szCs w:val="24"/>
        </w:rPr>
        <w:t xml:space="preserve">15min  </w:t>
      </w:r>
      <w:r>
        <w:rPr>
          <w:rFonts w:ascii="宋体" w:hAnsi="宋体" w:eastAsia="宋体" w:cs="宋体"/>
          <w:spacing w:val="-8"/>
          <w:position w:val="18"/>
          <w:sz w:val="24"/>
          <w:szCs w:val="24"/>
        </w:rPr>
        <w:t>内</w:t>
      </w:r>
      <w:r>
        <w:rPr>
          <w:rFonts w:ascii="宋体" w:hAnsi="宋体" w:eastAsia="宋体" w:cs="宋体"/>
          <w:spacing w:val="-9"/>
          <w:position w:val="18"/>
          <w:sz w:val="24"/>
          <w:szCs w:val="24"/>
        </w:rPr>
        <w:t>实施井</w:t>
      </w:r>
    </w:p>
    <w:p>
      <w:pPr>
        <w:spacing w:line="220" w:lineRule="auto"/>
        <w:ind w:left="158"/>
        <w:rPr>
          <w:rFonts w:ascii="宋体" w:hAnsi="宋体" w:eastAsia="宋体" w:cs="宋体"/>
          <w:sz w:val="24"/>
          <w:szCs w:val="24"/>
        </w:rPr>
      </w:pPr>
      <w:r>
        <w:rPr>
          <w:rFonts w:ascii="宋体" w:hAnsi="宋体" w:eastAsia="宋体" w:cs="宋体"/>
          <w:spacing w:val="-19"/>
          <w:sz w:val="24"/>
          <w:szCs w:val="24"/>
        </w:rPr>
        <w:t>口点后：</w:t>
      </w:r>
    </w:p>
    <w:p>
      <w:pPr>
        <w:spacing w:before="193" w:line="220" w:lineRule="auto"/>
        <w:ind w:left="594"/>
        <w:rPr>
          <w:rFonts w:ascii="宋体" w:hAnsi="宋体" w:eastAsia="宋体" w:cs="宋体"/>
          <w:sz w:val="24"/>
          <w:szCs w:val="24"/>
        </w:rPr>
      </w:pP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气井发生井喷失控，且距井口</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500m</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范围内存在未撤离的公众。</w:t>
      </w:r>
    </w:p>
    <w:p>
      <w:pPr>
        <w:spacing w:before="194" w:line="480" w:lineRule="exact"/>
        <w:ind w:left="596"/>
        <w:rPr>
          <w:rFonts w:ascii="宋体" w:hAnsi="宋体" w:eastAsia="宋体" w:cs="宋体"/>
          <w:sz w:val="24"/>
          <w:szCs w:val="24"/>
        </w:rPr>
      </w:pPr>
      <w:r>
        <w:rPr>
          <w:rFonts w:ascii="Times New Roman" w:hAnsi="Times New Roman" w:eastAsia="Times New Roman" w:cs="Times New Roman"/>
          <w:spacing w:val="-2"/>
          <w:position w:val="18"/>
          <w:sz w:val="24"/>
          <w:szCs w:val="24"/>
        </w:rPr>
        <w:t xml:space="preserve">B.  </w:t>
      </w:r>
      <w:r>
        <w:rPr>
          <w:rFonts w:ascii="宋体" w:hAnsi="宋体" w:eastAsia="宋体" w:cs="宋体"/>
          <w:spacing w:val="-2"/>
          <w:position w:val="18"/>
          <w:sz w:val="24"/>
          <w:szCs w:val="24"/>
        </w:rPr>
        <w:t>距井口</w:t>
      </w:r>
      <w:r>
        <w:rPr>
          <w:rFonts w:ascii="宋体" w:hAnsi="宋体" w:eastAsia="宋体" w:cs="宋体"/>
          <w:spacing w:val="-34"/>
          <w:position w:val="18"/>
          <w:sz w:val="24"/>
          <w:szCs w:val="24"/>
        </w:rPr>
        <w:t xml:space="preserve"> </w:t>
      </w:r>
      <w:r>
        <w:rPr>
          <w:rFonts w:ascii="Times New Roman" w:hAnsi="Times New Roman" w:eastAsia="Times New Roman" w:cs="Times New Roman"/>
          <w:spacing w:val="-2"/>
          <w:position w:val="18"/>
          <w:sz w:val="24"/>
          <w:szCs w:val="24"/>
        </w:rPr>
        <w:t>500m</w:t>
      </w:r>
      <w:r>
        <w:rPr>
          <w:rFonts w:ascii="Times New Roman" w:hAnsi="Times New Roman" w:eastAsia="Times New Roman" w:cs="Times New Roman"/>
          <w:spacing w:val="30"/>
          <w:w w:val="101"/>
          <w:position w:val="18"/>
          <w:sz w:val="24"/>
          <w:szCs w:val="24"/>
        </w:rPr>
        <w:t xml:space="preserve"> </w:t>
      </w:r>
      <w:r>
        <w:rPr>
          <w:rFonts w:ascii="宋体" w:hAnsi="宋体" w:eastAsia="宋体" w:cs="宋体"/>
          <w:spacing w:val="-2"/>
          <w:position w:val="18"/>
          <w:sz w:val="24"/>
          <w:szCs w:val="24"/>
        </w:rPr>
        <w:t>范围内居民点的硫化氢</w:t>
      </w:r>
      <w:r>
        <w:rPr>
          <w:rFonts w:ascii="宋体" w:hAnsi="宋体" w:eastAsia="宋体" w:cs="宋体"/>
          <w:spacing w:val="-36"/>
          <w:position w:val="18"/>
          <w:sz w:val="24"/>
          <w:szCs w:val="24"/>
        </w:rPr>
        <w:t xml:space="preserve"> </w:t>
      </w:r>
      <w:r>
        <w:rPr>
          <w:rFonts w:ascii="Times New Roman" w:hAnsi="Times New Roman" w:eastAsia="Times New Roman" w:cs="Times New Roman"/>
          <w:spacing w:val="-2"/>
          <w:position w:val="18"/>
          <w:sz w:val="24"/>
          <w:szCs w:val="24"/>
        </w:rPr>
        <w:t>3min</w:t>
      </w:r>
      <w:r>
        <w:rPr>
          <w:rFonts w:ascii="Times New Roman" w:hAnsi="Times New Roman" w:eastAsia="Times New Roman" w:cs="Times New Roman"/>
          <w:spacing w:val="23"/>
          <w:w w:val="101"/>
          <w:position w:val="18"/>
          <w:sz w:val="24"/>
          <w:szCs w:val="24"/>
        </w:rPr>
        <w:t xml:space="preserve"> </w:t>
      </w:r>
      <w:r>
        <w:rPr>
          <w:rFonts w:ascii="宋体" w:hAnsi="宋体" w:eastAsia="宋体" w:cs="宋体"/>
          <w:spacing w:val="-2"/>
          <w:position w:val="18"/>
          <w:sz w:val="24"/>
          <w:szCs w:val="24"/>
        </w:rPr>
        <w:t xml:space="preserve">平均监测浓度达到 </w:t>
      </w:r>
      <w:r>
        <w:rPr>
          <w:rFonts w:ascii="Times New Roman" w:hAnsi="Times New Roman" w:eastAsia="Times New Roman" w:cs="Times New Roman"/>
          <w:spacing w:val="-3"/>
          <w:position w:val="18"/>
          <w:sz w:val="24"/>
          <w:szCs w:val="24"/>
        </w:rPr>
        <w:t>150mg/m</w:t>
      </w:r>
      <w:r>
        <w:rPr>
          <w:rFonts w:ascii="宋体" w:hAnsi="宋体" w:eastAsia="宋体" w:cs="宋体"/>
          <w:spacing w:val="-3"/>
          <w:position w:val="18"/>
          <w:sz w:val="24"/>
          <w:szCs w:val="24"/>
        </w:rPr>
        <w:t>³</w:t>
      </w:r>
    </w:p>
    <w:p>
      <w:pPr>
        <w:spacing w:line="212" w:lineRule="auto"/>
        <w:ind w:left="12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100ppm</w:t>
      </w:r>
      <w:r>
        <w:rPr>
          <w:rFonts w:ascii="宋体" w:hAnsi="宋体" w:eastAsia="宋体" w:cs="宋体"/>
          <w:spacing w:val="-61"/>
          <w:w w:val="97"/>
          <w:sz w:val="24"/>
          <w:szCs w:val="24"/>
        </w:rPr>
        <w:t>），</w:t>
      </w:r>
      <w:r>
        <w:rPr>
          <w:rFonts w:ascii="宋体" w:hAnsi="宋体" w:eastAsia="宋体" w:cs="宋体"/>
          <w:spacing w:val="-2"/>
          <w:sz w:val="24"/>
          <w:szCs w:val="24"/>
        </w:rPr>
        <w:t>且存在无房户措施的公众。</w:t>
      </w:r>
    </w:p>
    <w:p>
      <w:pPr>
        <w:spacing w:before="203" w:line="220" w:lineRule="auto"/>
        <w:ind w:left="601"/>
        <w:rPr>
          <w:rFonts w:ascii="宋体" w:hAnsi="宋体" w:eastAsia="宋体" w:cs="宋体"/>
          <w:sz w:val="24"/>
          <w:szCs w:val="24"/>
        </w:rPr>
      </w:pP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井场周围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1000m</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范围内无有效的硫化氢检测手段。</w:t>
      </w:r>
    </w:p>
    <w:p>
      <w:pPr>
        <w:spacing w:before="194" w:line="220" w:lineRule="auto"/>
        <w:ind w:left="596"/>
        <w:rPr>
          <w:rFonts w:ascii="宋体" w:hAnsi="宋体" w:eastAsia="宋体" w:cs="宋体"/>
          <w:sz w:val="24"/>
          <w:szCs w:val="24"/>
        </w:rPr>
      </w:pPr>
      <w:r>
        <w:rPr>
          <w:rFonts w:ascii="Times New Roman" w:hAnsi="Times New Roman" w:eastAsia="Times New Roman" w:cs="Times New Roman"/>
          <w:spacing w:val="-3"/>
          <w:sz w:val="24"/>
          <w:szCs w:val="24"/>
        </w:rPr>
        <w:t xml:space="preserve">D.  </w:t>
      </w:r>
      <w:r>
        <w:rPr>
          <w:rFonts w:ascii="宋体" w:hAnsi="宋体" w:eastAsia="宋体" w:cs="宋体"/>
          <w:spacing w:val="-3"/>
          <w:sz w:val="24"/>
          <w:szCs w:val="24"/>
        </w:rPr>
        <w:t>若井场周边</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1.5km</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范围内无常住居民，可适当延长点火时间。</w:t>
      </w:r>
    </w:p>
    <w:p>
      <w:pPr>
        <w:spacing w:before="195" w:line="480" w:lineRule="exact"/>
        <w:ind w:left="597"/>
        <w:rPr>
          <w:rFonts w:ascii="宋体" w:hAnsi="宋体" w:eastAsia="宋体" w:cs="宋体"/>
          <w:sz w:val="24"/>
          <w:szCs w:val="24"/>
        </w:rPr>
      </w:pPr>
      <w:r>
        <w:rPr>
          <w:rFonts w:ascii="Times New Roman" w:hAnsi="Times New Roman" w:eastAsia="Times New Roman" w:cs="Times New Roman"/>
          <w:spacing w:val="2"/>
          <w:position w:val="18"/>
          <w:sz w:val="24"/>
          <w:szCs w:val="24"/>
        </w:rPr>
        <w:t xml:space="preserve">E.  </w:t>
      </w:r>
      <w:r>
        <w:rPr>
          <w:rFonts w:ascii="宋体" w:hAnsi="宋体" w:eastAsia="宋体" w:cs="宋体"/>
          <w:spacing w:val="2"/>
          <w:position w:val="18"/>
          <w:sz w:val="24"/>
          <w:szCs w:val="24"/>
        </w:rPr>
        <w:t>点火人员佩戴防护器具，在上风方向，尽量远离</w:t>
      </w:r>
      <w:r>
        <w:rPr>
          <w:rFonts w:ascii="宋体" w:hAnsi="宋体" w:eastAsia="宋体" w:cs="宋体"/>
          <w:spacing w:val="1"/>
          <w:position w:val="18"/>
          <w:sz w:val="24"/>
          <w:szCs w:val="24"/>
        </w:rPr>
        <w:t>点火口使用移动点火器</w:t>
      </w:r>
    </w:p>
    <w:p>
      <w:pPr>
        <w:spacing w:before="1" w:line="219" w:lineRule="auto"/>
        <w:ind w:left="126"/>
        <w:rPr>
          <w:rFonts w:ascii="宋体" w:hAnsi="宋体" w:eastAsia="宋体" w:cs="宋体"/>
          <w:sz w:val="24"/>
          <w:szCs w:val="24"/>
        </w:rPr>
      </w:pPr>
      <w:r>
        <w:rPr>
          <w:rFonts w:ascii="宋体" w:hAnsi="宋体" w:eastAsia="宋体" w:cs="宋体"/>
          <w:spacing w:val="-3"/>
          <w:sz w:val="24"/>
          <w:szCs w:val="24"/>
        </w:rPr>
        <w:t>具带你或；其他人员集中到上风方向的安全区。</w:t>
      </w:r>
    </w:p>
    <w:p>
      <w:pPr>
        <w:spacing w:before="194" w:line="480" w:lineRule="exact"/>
        <w:ind w:left="596"/>
        <w:rPr>
          <w:rFonts w:ascii="宋体" w:hAnsi="宋体" w:eastAsia="宋体" w:cs="宋体"/>
          <w:sz w:val="24"/>
          <w:szCs w:val="24"/>
        </w:rPr>
      </w:pPr>
      <w:r>
        <w:rPr>
          <w:rFonts w:ascii="Times New Roman" w:hAnsi="Times New Roman" w:eastAsia="Times New Roman" w:cs="Times New Roman"/>
          <w:spacing w:val="2"/>
          <w:position w:val="18"/>
          <w:sz w:val="24"/>
          <w:szCs w:val="24"/>
        </w:rPr>
        <w:t xml:space="preserve">F.  </w:t>
      </w:r>
      <w:r>
        <w:rPr>
          <w:rFonts w:ascii="宋体" w:hAnsi="宋体" w:eastAsia="宋体" w:cs="宋体"/>
          <w:spacing w:val="2"/>
          <w:position w:val="18"/>
          <w:sz w:val="24"/>
          <w:szCs w:val="24"/>
        </w:rPr>
        <w:t>井场应配置自动点火装置，并备用手动点火器具。点火人员</w:t>
      </w:r>
      <w:r>
        <w:rPr>
          <w:rFonts w:ascii="宋体" w:hAnsi="宋体" w:eastAsia="宋体" w:cs="宋体"/>
          <w:spacing w:val="1"/>
          <w:position w:val="18"/>
          <w:sz w:val="24"/>
          <w:szCs w:val="24"/>
        </w:rPr>
        <w:t>应佩戴防护</w:t>
      </w:r>
    </w:p>
    <w:p>
      <w:pPr>
        <w:spacing w:before="1" w:line="219" w:lineRule="auto"/>
        <w:ind w:left="122"/>
        <w:rPr>
          <w:rFonts w:ascii="宋体" w:hAnsi="宋体" w:eastAsia="宋体" w:cs="宋体"/>
          <w:sz w:val="24"/>
          <w:szCs w:val="24"/>
        </w:rPr>
      </w:pPr>
      <w:r>
        <w:rPr>
          <w:rFonts w:ascii="宋体" w:hAnsi="宋体" w:eastAsia="宋体" w:cs="宋体"/>
          <w:spacing w:val="-2"/>
          <w:sz w:val="24"/>
          <w:szCs w:val="24"/>
        </w:rPr>
        <w:t>器具，离火口距离不少于</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30m</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处点火，禁止在下风方向进行点火</w:t>
      </w:r>
      <w:r>
        <w:rPr>
          <w:rFonts w:ascii="宋体" w:hAnsi="宋体" w:eastAsia="宋体" w:cs="宋体"/>
          <w:spacing w:val="-3"/>
          <w:sz w:val="24"/>
          <w:szCs w:val="24"/>
        </w:rPr>
        <w:t>操作。</w:t>
      </w:r>
    </w:p>
    <w:p>
      <w:pPr>
        <w:spacing w:before="195" w:line="369" w:lineRule="auto"/>
        <w:ind w:left="124" w:right="111" w:firstLine="477"/>
        <w:rPr>
          <w:rFonts w:ascii="宋体" w:hAnsi="宋体" w:eastAsia="宋体" w:cs="宋体"/>
          <w:sz w:val="24"/>
          <w:szCs w:val="24"/>
        </w:rPr>
      </w:pPr>
      <w:r>
        <w:rPr>
          <w:rFonts w:ascii="Times New Roman" w:hAnsi="Times New Roman" w:eastAsia="Times New Roman" w:cs="Times New Roman"/>
          <w:spacing w:val="-3"/>
          <w:sz w:val="24"/>
          <w:szCs w:val="24"/>
        </w:rPr>
        <w:t xml:space="preserve">G.  </w:t>
      </w:r>
      <w:r>
        <w:rPr>
          <w:rFonts w:ascii="宋体" w:hAnsi="宋体" w:eastAsia="宋体" w:cs="宋体"/>
          <w:spacing w:val="-3"/>
          <w:sz w:val="24"/>
          <w:szCs w:val="24"/>
        </w:rPr>
        <w:t>硫化氢燃烧会产生有毒性的二氧化硫，仍需注意人员的安全防护， 点火</w:t>
      </w:r>
      <w:r>
        <w:rPr>
          <w:rFonts w:ascii="宋体" w:hAnsi="宋体" w:eastAsia="宋体" w:cs="宋体"/>
          <w:spacing w:val="15"/>
          <w:sz w:val="24"/>
          <w:szCs w:val="24"/>
        </w:rPr>
        <w:t xml:space="preserve"> </w:t>
      </w:r>
      <w:r>
        <w:rPr>
          <w:rFonts w:ascii="宋体" w:hAnsi="宋体" w:eastAsia="宋体" w:cs="宋体"/>
          <w:spacing w:val="-3"/>
          <w:sz w:val="24"/>
          <w:szCs w:val="24"/>
        </w:rPr>
        <w:t>后应对下风方向尤其是井场生活区、周围居民区、医院、学校等人员聚集场所的</w:t>
      </w:r>
    </w:p>
    <w:p>
      <w:pPr>
        <w:spacing w:before="1" w:line="218" w:lineRule="auto"/>
        <w:ind w:left="126"/>
        <w:rPr>
          <w:rFonts w:ascii="宋体" w:hAnsi="宋体" w:eastAsia="宋体" w:cs="宋体"/>
          <w:sz w:val="24"/>
          <w:szCs w:val="24"/>
        </w:rPr>
      </w:pPr>
      <w:r>
        <w:rPr>
          <w:rFonts w:ascii="宋体" w:hAnsi="宋体" w:eastAsia="宋体" w:cs="宋体"/>
          <w:spacing w:val="-4"/>
          <w:sz w:val="24"/>
          <w:szCs w:val="24"/>
        </w:rPr>
        <w:t>二氧化硫浓度进行监测。</w:t>
      </w:r>
    </w:p>
    <w:p>
      <w:pPr>
        <w:spacing w:before="196" w:line="221" w:lineRule="auto"/>
        <w:ind w:left="60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）应急监测</w:t>
      </w:r>
    </w:p>
    <w:p>
      <w:pPr>
        <w:spacing w:before="194" w:line="369" w:lineRule="auto"/>
        <w:ind w:left="126" w:right="111" w:firstLine="478"/>
        <w:rPr>
          <w:rFonts w:ascii="宋体" w:hAnsi="宋体" w:eastAsia="宋体" w:cs="宋体"/>
          <w:sz w:val="24"/>
          <w:szCs w:val="24"/>
        </w:rPr>
      </w:pPr>
      <w:r>
        <w:rPr>
          <w:rFonts w:ascii="宋体" w:hAnsi="宋体" w:eastAsia="宋体" w:cs="宋体"/>
          <w:spacing w:val="-10"/>
          <w:sz w:val="24"/>
          <w:szCs w:val="24"/>
        </w:rPr>
        <w:t>建设单位应委托三方专业机构进行监测， 风险事故发生后， 根据发生污染事</w:t>
      </w:r>
      <w:r>
        <w:rPr>
          <w:rFonts w:ascii="宋体" w:hAnsi="宋体" w:eastAsia="宋体" w:cs="宋体"/>
          <w:spacing w:val="10"/>
          <w:sz w:val="24"/>
          <w:szCs w:val="24"/>
        </w:rPr>
        <w:t xml:space="preserve"> </w:t>
      </w:r>
      <w:r>
        <w:rPr>
          <w:rFonts w:ascii="宋体" w:hAnsi="宋体" w:eastAsia="宋体" w:cs="宋体"/>
          <w:spacing w:val="-6"/>
          <w:sz w:val="24"/>
          <w:szCs w:val="24"/>
        </w:rPr>
        <w:t>故性的排放情况对污染源和周围环境质量进行布点采样监测， 并</w:t>
      </w:r>
      <w:r>
        <w:rPr>
          <w:rFonts w:ascii="宋体" w:hAnsi="宋体" w:eastAsia="宋体" w:cs="宋体"/>
          <w:spacing w:val="-7"/>
          <w:sz w:val="24"/>
          <w:szCs w:val="24"/>
        </w:rPr>
        <w:t>根据监测结果和</w:t>
      </w:r>
      <w:r>
        <w:rPr>
          <w:rFonts w:ascii="宋体" w:hAnsi="宋体" w:eastAsia="宋体" w:cs="宋体"/>
          <w:sz w:val="24"/>
          <w:szCs w:val="24"/>
        </w:rPr>
        <w:t xml:space="preserve"> </w:t>
      </w:r>
      <w:r>
        <w:rPr>
          <w:rFonts w:ascii="宋体" w:hAnsi="宋体" w:eastAsia="宋体" w:cs="宋体"/>
          <w:spacing w:val="-8"/>
          <w:sz w:val="24"/>
          <w:szCs w:val="24"/>
        </w:rPr>
        <w:t>结合现场调查情况、气象、水文、地形情况的综合分析结果，</w:t>
      </w:r>
      <w:r>
        <w:rPr>
          <w:rFonts w:ascii="宋体" w:hAnsi="宋体" w:eastAsia="宋体" w:cs="宋体"/>
          <w:spacing w:val="59"/>
          <w:sz w:val="24"/>
          <w:szCs w:val="24"/>
        </w:rPr>
        <w:t xml:space="preserve"> </w:t>
      </w:r>
      <w:r>
        <w:rPr>
          <w:rFonts w:ascii="宋体" w:hAnsi="宋体" w:eastAsia="宋体" w:cs="宋体"/>
          <w:spacing w:val="-8"/>
          <w:sz w:val="24"/>
          <w:szCs w:val="24"/>
        </w:rPr>
        <w:t>确定污染种类、污</w:t>
      </w:r>
      <w:r>
        <w:rPr>
          <w:rFonts w:ascii="宋体" w:hAnsi="宋体" w:eastAsia="宋体" w:cs="宋体"/>
          <w:sz w:val="24"/>
          <w:szCs w:val="24"/>
        </w:rPr>
        <w:t xml:space="preserve"> </w:t>
      </w:r>
      <w:r>
        <w:rPr>
          <w:rFonts w:ascii="宋体" w:hAnsi="宋体" w:eastAsia="宋体" w:cs="宋体"/>
          <w:spacing w:val="-8"/>
          <w:sz w:val="24"/>
          <w:szCs w:val="24"/>
        </w:rPr>
        <w:t>染范围、污染程度、发展趋势及可能造成的影响等。本评价仅提出原则要求，</w:t>
      </w:r>
      <w:r>
        <w:rPr>
          <w:rFonts w:ascii="宋体" w:hAnsi="宋体" w:eastAsia="宋体" w:cs="宋体"/>
          <w:spacing w:val="59"/>
          <w:sz w:val="24"/>
          <w:szCs w:val="24"/>
        </w:rPr>
        <w:t xml:space="preserve"> </w:t>
      </w:r>
      <w:r>
        <w:rPr>
          <w:rFonts w:ascii="宋体" w:hAnsi="宋体" w:eastAsia="宋体" w:cs="宋体"/>
          <w:spacing w:val="-8"/>
          <w:sz w:val="24"/>
          <w:szCs w:val="24"/>
        </w:rPr>
        <w:t>见</w:t>
      </w:r>
    </w:p>
    <w:p>
      <w:pPr>
        <w:spacing w:before="1" w:line="220" w:lineRule="auto"/>
        <w:ind w:left="121"/>
        <w:rPr>
          <w:rFonts w:ascii="宋体" w:hAnsi="宋体" w:eastAsia="宋体" w:cs="宋体"/>
          <w:sz w:val="24"/>
          <w:szCs w:val="24"/>
        </w:rPr>
      </w:pPr>
      <w:r>
        <w:rPr>
          <w:rFonts w:ascii="宋体" w:hAnsi="宋体" w:eastAsia="宋体" w:cs="宋体"/>
          <w:spacing w:val="-7"/>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6.3-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p>
    <w:p>
      <w:pPr>
        <w:spacing w:before="193" w:line="220" w:lineRule="auto"/>
        <w:ind w:left="309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1"/>
          <w:sz w:val="24"/>
          <w:szCs w:val="24"/>
        </w:rPr>
        <w:t xml:space="preserve">6.3-1  </w:t>
      </w:r>
      <w:r>
        <w:rPr>
          <w:rFonts w:ascii="宋体" w:hAnsi="宋体" w:eastAsia="宋体" w:cs="宋体"/>
          <w:spacing w:val="-1"/>
          <w:sz w:val="24"/>
          <w:szCs w:val="24"/>
          <w14:textOutline w14:w="4354" w14:cap="flat" w14:cmpd="sng">
            <w14:solidFill>
              <w14:srgbClr w14:val="000000"/>
            </w14:solidFill>
            <w14:prstDash w14:val="solid"/>
            <w14:miter w14:val="10"/>
          </w14:textOutline>
        </w:rPr>
        <w:t>应急监测方案</w:t>
      </w:r>
    </w:p>
    <w:p>
      <w:pPr>
        <w:spacing w:line="16"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986"/>
        <w:gridCol w:w="1418"/>
        <w:gridCol w:w="3401"/>
        <w:gridCol w:w="19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5" w:type="dxa"/>
            <w:vAlign w:val="top"/>
          </w:tcPr>
          <w:p>
            <w:pPr>
              <w:pStyle w:val="6"/>
              <w:spacing w:before="67" w:line="221" w:lineRule="auto"/>
              <w:ind w:left="207"/>
              <w:rPr>
                <w:sz w:val="21"/>
                <w:szCs w:val="21"/>
              </w:rPr>
            </w:pPr>
            <w:r>
              <w:rPr>
                <w:spacing w:val="-2"/>
                <w:sz w:val="21"/>
                <w:szCs w:val="21"/>
              </w:rPr>
              <w:t>类别</w:t>
            </w:r>
          </w:p>
        </w:tc>
        <w:tc>
          <w:tcPr>
            <w:tcW w:w="986" w:type="dxa"/>
            <w:vAlign w:val="top"/>
          </w:tcPr>
          <w:p>
            <w:pPr>
              <w:pStyle w:val="6"/>
              <w:spacing w:before="68" w:line="221" w:lineRule="auto"/>
              <w:ind w:left="178"/>
              <w:rPr>
                <w:sz w:val="21"/>
                <w:szCs w:val="21"/>
              </w:rPr>
            </w:pPr>
            <w:r>
              <w:rPr>
                <w:spacing w:val="-2"/>
                <w:sz w:val="21"/>
                <w:szCs w:val="21"/>
              </w:rPr>
              <w:t>事故点</w:t>
            </w:r>
          </w:p>
        </w:tc>
        <w:tc>
          <w:tcPr>
            <w:tcW w:w="1418" w:type="dxa"/>
            <w:vAlign w:val="top"/>
          </w:tcPr>
          <w:p>
            <w:pPr>
              <w:pStyle w:val="6"/>
              <w:spacing w:before="67" w:line="222" w:lineRule="auto"/>
              <w:ind w:left="396"/>
              <w:rPr>
                <w:sz w:val="21"/>
                <w:szCs w:val="21"/>
              </w:rPr>
            </w:pPr>
            <w:r>
              <w:rPr>
                <w:spacing w:val="-2"/>
                <w:sz w:val="21"/>
                <w:szCs w:val="21"/>
              </w:rPr>
              <w:t>监测点</w:t>
            </w:r>
          </w:p>
        </w:tc>
        <w:tc>
          <w:tcPr>
            <w:tcW w:w="3401" w:type="dxa"/>
            <w:vAlign w:val="top"/>
          </w:tcPr>
          <w:p>
            <w:pPr>
              <w:pStyle w:val="6"/>
              <w:spacing w:before="67" w:line="221" w:lineRule="auto"/>
              <w:ind w:left="1287"/>
              <w:rPr>
                <w:sz w:val="21"/>
                <w:szCs w:val="21"/>
              </w:rPr>
            </w:pPr>
            <w:r>
              <w:rPr>
                <w:spacing w:val="-2"/>
                <w:sz w:val="21"/>
                <w:szCs w:val="21"/>
              </w:rPr>
              <w:t>监测频率</w:t>
            </w:r>
          </w:p>
        </w:tc>
        <w:tc>
          <w:tcPr>
            <w:tcW w:w="1903" w:type="dxa"/>
            <w:vAlign w:val="top"/>
          </w:tcPr>
          <w:p>
            <w:pPr>
              <w:pStyle w:val="6"/>
              <w:spacing w:before="68" w:line="221" w:lineRule="auto"/>
              <w:ind w:left="536"/>
              <w:rPr>
                <w:sz w:val="21"/>
                <w:szCs w:val="21"/>
              </w:rPr>
            </w:pPr>
            <w:r>
              <w:rPr>
                <w:spacing w:val="-2"/>
                <w:sz w:val="21"/>
                <w:szCs w:val="21"/>
              </w:rPr>
              <w:t>监测项目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25" w:type="dxa"/>
            <w:vAlign w:val="top"/>
          </w:tcPr>
          <w:p>
            <w:pPr>
              <w:pStyle w:val="6"/>
              <w:spacing w:before="168" w:line="238" w:lineRule="auto"/>
              <w:ind w:left="207"/>
              <w:rPr>
                <w:sz w:val="21"/>
                <w:szCs w:val="21"/>
              </w:rPr>
            </w:pPr>
            <w:r>
              <w:rPr>
                <w:spacing w:val="-2"/>
                <w:sz w:val="21"/>
                <w:szCs w:val="21"/>
              </w:rPr>
              <w:t>环境</w:t>
            </w:r>
          </w:p>
          <w:p>
            <w:pPr>
              <w:pStyle w:val="6"/>
              <w:spacing w:line="222" w:lineRule="auto"/>
              <w:ind w:left="213"/>
              <w:rPr>
                <w:sz w:val="21"/>
                <w:szCs w:val="21"/>
              </w:rPr>
            </w:pPr>
            <w:r>
              <w:rPr>
                <w:spacing w:val="-4"/>
                <w:sz w:val="21"/>
                <w:szCs w:val="21"/>
              </w:rPr>
              <w:t>空气</w:t>
            </w:r>
          </w:p>
        </w:tc>
        <w:tc>
          <w:tcPr>
            <w:tcW w:w="986" w:type="dxa"/>
            <w:vAlign w:val="top"/>
          </w:tcPr>
          <w:p>
            <w:pPr>
              <w:pStyle w:val="6"/>
              <w:spacing w:before="166" w:line="231" w:lineRule="auto"/>
              <w:ind w:left="392" w:right="176" w:hanging="214"/>
              <w:rPr>
                <w:sz w:val="21"/>
                <w:szCs w:val="21"/>
              </w:rPr>
            </w:pPr>
            <w:r>
              <w:rPr>
                <w:spacing w:val="-2"/>
                <w:sz w:val="21"/>
                <w:szCs w:val="21"/>
              </w:rPr>
              <w:t>井喷事</w:t>
            </w:r>
            <w:r>
              <w:rPr>
                <w:sz w:val="21"/>
                <w:szCs w:val="21"/>
              </w:rPr>
              <w:t xml:space="preserve"> 故</w:t>
            </w:r>
          </w:p>
        </w:tc>
        <w:tc>
          <w:tcPr>
            <w:tcW w:w="1418" w:type="dxa"/>
            <w:vAlign w:val="top"/>
          </w:tcPr>
          <w:p>
            <w:pPr>
              <w:pStyle w:val="6"/>
              <w:spacing w:before="167" w:line="229" w:lineRule="auto"/>
              <w:ind w:left="186" w:right="181"/>
              <w:rPr>
                <w:sz w:val="21"/>
                <w:szCs w:val="21"/>
              </w:rPr>
            </w:pPr>
            <w:r>
              <w:rPr>
                <w:spacing w:val="-1"/>
                <w:sz w:val="21"/>
                <w:szCs w:val="21"/>
              </w:rPr>
              <w:t>井口下风向</w:t>
            </w:r>
            <w:r>
              <w:rPr>
                <w:sz w:val="21"/>
                <w:szCs w:val="21"/>
              </w:rPr>
              <w:t xml:space="preserve"> </w:t>
            </w:r>
            <w:r>
              <w:rPr>
                <w:spacing w:val="-2"/>
                <w:sz w:val="21"/>
                <w:szCs w:val="21"/>
              </w:rPr>
              <w:t>敏感点布设</w:t>
            </w:r>
          </w:p>
        </w:tc>
        <w:tc>
          <w:tcPr>
            <w:tcW w:w="3401" w:type="dxa"/>
            <w:vAlign w:val="top"/>
          </w:tcPr>
          <w:p>
            <w:pPr>
              <w:pStyle w:val="6"/>
              <w:spacing w:before="30" w:line="220" w:lineRule="auto"/>
              <w:ind w:left="149"/>
              <w:rPr>
                <w:sz w:val="21"/>
                <w:szCs w:val="21"/>
              </w:rPr>
            </w:pPr>
            <w:r>
              <w:rPr>
                <w:spacing w:val="-8"/>
                <w:sz w:val="21"/>
                <w:szCs w:val="21"/>
              </w:rPr>
              <w:t>事故初期，</w:t>
            </w:r>
            <w:r>
              <w:rPr>
                <w:spacing w:val="-18"/>
                <w:sz w:val="21"/>
                <w:szCs w:val="21"/>
              </w:rPr>
              <w:t xml:space="preserve"> </w:t>
            </w:r>
            <w:r>
              <w:rPr>
                <w:spacing w:val="-8"/>
                <w:sz w:val="21"/>
                <w:szCs w:val="21"/>
              </w:rPr>
              <w:t>采样</w:t>
            </w:r>
            <w:r>
              <w:rPr>
                <w:spacing w:val="-27"/>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14"/>
                <w:w w:val="101"/>
                <w:sz w:val="21"/>
                <w:szCs w:val="21"/>
              </w:rPr>
              <w:t xml:space="preserve"> </w:t>
            </w:r>
            <w:r>
              <w:rPr>
                <w:spacing w:val="-8"/>
                <w:sz w:val="21"/>
                <w:szCs w:val="21"/>
              </w:rPr>
              <w:t>次</w:t>
            </w:r>
            <w:r>
              <w:rPr>
                <w:rFonts w:ascii="Times New Roman" w:hAnsi="Times New Roman" w:eastAsia="Times New Roman" w:cs="Times New Roman"/>
                <w:spacing w:val="-8"/>
                <w:sz w:val="21"/>
                <w:szCs w:val="21"/>
              </w:rPr>
              <w:t>/30min</w:t>
            </w:r>
            <w:r>
              <w:rPr>
                <w:spacing w:val="-8"/>
                <w:sz w:val="21"/>
                <w:szCs w:val="21"/>
              </w:rPr>
              <w:t>；随后</w:t>
            </w:r>
          </w:p>
          <w:p>
            <w:pPr>
              <w:pStyle w:val="6"/>
              <w:spacing w:before="20" w:line="221" w:lineRule="auto"/>
              <w:ind w:left="129"/>
              <w:rPr>
                <w:sz w:val="21"/>
                <w:szCs w:val="21"/>
              </w:rPr>
            </w:pPr>
            <w:r>
              <w:rPr>
                <w:spacing w:val="-1"/>
                <w:sz w:val="21"/>
                <w:szCs w:val="21"/>
              </w:rPr>
              <w:t>根据空气中有害物浓度降低监测频</w:t>
            </w:r>
          </w:p>
          <w:p>
            <w:pPr>
              <w:pStyle w:val="6"/>
              <w:spacing w:before="22" w:line="205" w:lineRule="auto"/>
              <w:ind w:left="710"/>
              <w:rPr>
                <w:sz w:val="21"/>
                <w:szCs w:val="21"/>
              </w:rPr>
            </w:pPr>
            <w:r>
              <w:rPr>
                <w:spacing w:val="-10"/>
                <w:sz w:val="21"/>
                <w:szCs w:val="21"/>
              </w:rPr>
              <w:t>率，</w:t>
            </w:r>
            <w:r>
              <w:rPr>
                <w:spacing w:val="-18"/>
                <w:sz w:val="21"/>
                <w:szCs w:val="21"/>
              </w:rPr>
              <w:t xml:space="preserve"> </w:t>
            </w:r>
            <w:r>
              <w:rPr>
                <w:spacing w:val="-10"/>
                <w:sz w:val="21"/>
                <w:szCs w:val="21"/>
              </w:rPr>
              <w:t>按</w:t>
            </w:r>
            <w:r>
              <w:rPr>
                <w:spacing w:val="-28"/>
                <w:sz w:val="21"/>
                <w:szCs w:val="21"/>
              </w:rPr>
              <w:t xml:space="preserve"> </w:t>
            </w:r>
            <w:r>
              <w:rPr>
                <w:rFonts w:ascii="Times New Roman" w:hAnsi="Times New Roman" w:eastAsia="Times New Roman" w:cs="Times New Roman"/>
                <w:spacing w:val="-10"/>
                <w:sz w:val="21"/>
                <w:szCs w:val="21"/>
              </w:rPr>
              <w:t>1h</w:t>
            </w:r>
            <w:r>
              <w:rPr>
                <w:spacing w:val="-10"/>
                <w:sz w:val="21"/>
                <w:szCs w:val="21"/>
              </w:rPr>
              <w:t>、</w:t>
            </w:r>
            <w:r>
              <w:rPr>
                <w:rFonts w:ascii="Times New Roman" w:hAnsi="Times New Roman" w:eastAsia="Times New Roman" w:cs="Times New Roman"/>
                <w:spacing w:val="-10"/>
                <w:sz w:val="21"/>
                <w:szCs w:val="21"/>
              </w:rPr>
              <w:t xml:space="preserve">2h </w:t>
            </w:r>
            <w:r>
              <w:rPr>
                <w:spacing w:val="-10"/>
                <w:sz w:val="21"/>
                <w:szCs w:val="21"/>
              </w:rPr>
              <w:t>等采样</w:t>
            </w:r>
          </w:p>
        </w:tc>
        <w:tc>
          <w:tcPr>
            <w:tcW w:w="1903" w:type="dxa"/>
            <w:vAlign w:val="top"/>
          </w:tcPr>
          <w:p>
            <w:pPr>
              <w:pStyle w:val="6"/>
              <w:spacing w:before="302" w:line="221" w:lineRule="auto"/>
              <w:ind w:left="466"/>
              <w:rPr>
                <w:sz w:val="21"/>
                <w:szCs w:val="21"/>
              </w:rPr>
            </w:pP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S</w:t>
            </w:r>
            <w:r>
              <w:rPr>
                <w:spacing w:val="-1"/>
                <w:sz w:val="21"/>
                <w:szCs w:val="21"/>
              </w:rPr>
              <w:t>、甲烷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25" w:type="dxa"/>
            <w:vAlign w:val="top"/>
          </w:tcPr>
          <w:p>
            <w:pPr>
              <w:pStyle w:val="6"/>
              <w:spacing w:before="33" w:line="228" w:lineRule="auto"/>
              <w:ind w:left="118" w:right="104" w:firstLine="88"/>
              <w:jc w:val="both"/>
              <w:rPr>
                <w:sz w:val="21"/>
                <w:szCs w:val="21"/>
              </w:rPr>
            </w:pPr>
            <w:r>
              <w:rPr>
                <w:spacing w:val="-3"/>
                <w:sz w:val="21"/>
                <w:szCs w:val="21"/>
              </w:rPr>
              <w:t>地表</w:t>
            </w:r>
            <w:r>
              <w:rPr>
                <w:sz w:val="21"/>
                <w:szCs w:val="21"/>
              </w:rPr>
              <w:t xml:space="preserve">  </w:t>
            </w:r>
            <w:r>
              <w:rPr>
                <w:spacing w:val="-12"/>
                <w:sz w:val="21"/>
                <w:szCs w:val="21"/>
              </w:rPr>
              <w:t>水、地</w:t>
            </w:r>
            <w:r>
              <w:rPr>
                <w:spacing w:val="1"/>
                <w:sz w:val="21"/>
                <w:szCs w:val="21"/>
              </w:rPr>
              <w:t xml:space="preserve"> </w:t>
            </w:r>
            <w:r>
              <w:rPr>
                <w:spacing w:val="41"/>
                <w:sz w:val="21"/>
                <w:szCs w:val="21"/>
              </w:rPr>
              <w:t>下水</w:t>
            </w:r>
          </w:p>
        </w:tc>
        <w:tc>
          <w:tcPr>
            <w:tcW w:w="986" w:type="dxa"/>
            <w:vAlign w:val="top"/>
          </w:tcPr>
          <w:p>
            <w:pPr>
              <w:pStyle w:val="6"/>
              <w:spacing w:before="35" w:line="221" w:lineRule="auto"/>
              <w:ind w:left="178"/>
              <w:rPr>
                <w:sz w:val="21"/>
                <w:szCs w:val="21"/>
              </w:rPr>
            </w:pPr>
            <w:r>
              <w:rPr>
                <w:spacing w:val="-2"/>
                <w:sz w:val="21"/>
                <w:szCs w:val="21"/>
              </w:rPr>
              <w:t>事故废</w:t>
            </w:r>
          </w:p>
          <w:p>
            <w:pPr>
              <w:pStyle w:val="6"/>
              <w:spacing w:before="18" w:line="221" w:lineRule="auto"/>
              <w:ind w:left="181"/>
              <w:rPr>
                <w:sz w:val="21"/>
                <w:szCs w:val="21"/>
              </w:rPr>
            </w:pPr>
            <w:r>
              <w:rPr>
                <w:spacing w:val="-2"/>
                <w:sz w:val="21"/>
                <w:szCs w:val="21"/>
              </w:rPr>
              <w:t>水进入</w:t>
            </w:r>
          </w:p>
          <w:p>
            <w:pPr>
              <w:pStyle w:val="6"/>
              <w:spacing w:before="22" w:line="204" w:lineRule="auto"/>
              <w:ind w:left="287"/>
              <w:rPr>
                <w:sz w:val="21"/>
                <w:szCs w:val="21"/>
              </w:rPr>
            </w:pPr>
            <w:r>
              <w:rPr>
                <w:spacing w:val="-3"/>
                <w:sz w:val="21"/>
                <w:szCs w:val="21"/>
              </w:rPr>
              <w:t>水体</w:t>
            </w:r>
          </w:p>
        </w:tc>
        <w:tc>
          <w:tcPr>
            <w:tcW w:w="1418" w:type="dxa"/>
            <w:vAlign w:val="top"/>
          </w:tcPr>
          <w:p>
            <w:pPr>
              <w:pStyle w:val="6"/>
              <w:spacing w:before="168" w:line="231" w:lineRule="auto"/>
              <w:ind w:left="290" w:right="181" w:hanging="101"/>
              <w:rPr>
                <w:sz w:val="21"/>
                <w:szCs w:val="21"/>
              </w:rPr>
            </w:pPr>
            <w:r>
              <w:rPr>
                <w:spacing w:val="-2"/>
                <w:sz w:val="21"/>
                <w:szCs w:val="21"/>
              </w:rPr>
              <w:t>泄漏物质进</w:t>
            </w:r>
            <w:r>
              <w:rPr>
                <w:spacing w:val="1"/>
                <w:sz w:val="21"/>
                <w:szCs w:val="21"/>
              </w:rPr>
              <w:t xml:space="preserve"> </w:t>
            </w:r>
            <w:r>
              <w:rPr>
                <w:spacing w:val="-1"/>
                <w:sz w:val="21"/>
                <w:szCs w:val="21"/>
              </w:rPr>
              <w:t>入水体处</w:t>
            </w:r>
          </w:p>
        </w:tc>
        <w:tc>
          <w:tcPr>
            <w:tcW w:w="3401" w:type="dxa"/>
            <w:vAlign w:val="top"/>
          </w:tcPr>
          <w:p>
            <w:pPr>
              <w:pStyle w:val="6"/>
              <w:spacing w:before="35" w:line="220" w:lineRule="auto"/>
              <w:ind w:left="149"/>
              <w:rPr>
                <w:sz w:val="21"/>
                <w:szCs w:val="21"/>
              </w:rPr>
            </w:pPr>
            <w:r>
              <w:rPr>
                <w:spacing w:val="-8"/>
                <w:sz w:val="21"/>
                <w:szCs w:val="21"/>
              </w:rPr>
              <w:t>事故初期，</w:t>
            </w:r>
            <w:r>
              <w:rPr>
                <w:spacing w:val="-18"/>
                <w:sz w:val="21"/>
                <w:szCs w:val="21"/>
              </w:rPr>
              <w:t xml:space="preserve"> </w:t>
            </w:r>
            <w:r>
              <w:rPr>
                <w:spacing w:val="-8"/>
                <w:sz w:val="21"/>
                <w:szCs w:val="21"/>
              </w:rPr>
              <w:t>采样</w:t>
            </w:r>
            <w:r>
              <w:rPr>
                <w:spacing w:val="-27"/>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14"/>
                <w:w w:val="101"/>
                <w:sz w:val="21"/>
                <w:szCs w:val="21"/>
              </w:rPr>
              <w:t xml:space="preserve"> </w:t>
            </w:r>
            <w:r>
              <w:rPr>
                <w:spacing w:val="-8"/>
                <w:sz w:val="21"/>
                <w:szCs w:val="21"/>
              </w:rPr>
              <w:t>次</w:t>
            </w:r>
            <w:r>
              <w:rPr>
                <w:rFonts w:ascii="Times New Roman" w:hAnsi="Times New Roman" w:eastAsia="Times New Roman" w:cs="Times New Roman"/>
                <w:spacing w:val="-8"/>
                <w:sz w:val="21"/>
                <w:szCs w:val="21"/>
              </w:rPr>
              <w:t>/30min</w:t>
            </w:r>
            <w:r>
              <w:rPr>
                <w:spacing w:val="-8"/>
                <w:sz w:val="21"/>
                <w:szCs w:val="21"/>
              </w:rPr>
              <w:t>；随后</w:t>
            </w:r>
          </w:p>
          <w:p>
            <w:pPr>
              <w:pStyle w:val="6"/>
              <w:spacing w:before="21" w:line="222" w:lineRule="auto"/>
              <w:ind w:left="603" w:right="223" w:hanging="368"/>
              <w:rPr>
                <w:sz w:val="21"/>
                <w:szCs w:val="21"/>
              </w:rPr>
            </w:pPr>
            <w:r>
              <w:rPr>
                <w:spacing w:val="-1"/>
                <w:sz w:val="21"/>
                <w:szCs w:val="21"/>
              </w:rPr>
              <w:t>根据水体中有害物浓度低监测频</w:t>
            </w:r>
            <w:r>
              <w:rPr>
                <w:spacing w:val="9"/>
                <w:sz w:val="21"/>
                <w:szCs w:val="21"/>
              </w:rPr>
              <w:t xml:space="preserve"> </w:t>
            </w:r>
            <w:r>
              <w:rPr>
                <w:spacing w:val="-10"/>
                <w:sz w:val="21"/>
                <w:szCs w:val="21"/>
              </w:rPr>
              <w:t>率，</w:t>
            </w:r>
            <w:r>
              <w:rPr>
                <w:spacing w:val="-24"/>
                <w:sz w:val="21"/>
                <w:szCs w:val="21"/>
              </w:rPr>
              <w:t xml:space="preserve"> </w:t>
            </w:r>
            <w:r>
              <w:rPr>
                <w:spacing w:val="-10"/>
                <w:sz w:val="21"/>
                <w:szCs w:val="21"/>
              </w:rPr>
              <w:t>按</w:t>
            </w:r>
            <w:r>
              <w:rPr>
                <w:spacing w:val="-27"/>
                <w:sz w:val="21"/>
                <w:szCs w:val="21"/>
              </w:rPr>
              <w:t xml:space="preserve"> </w:t>
            </w:r>
            <w:r>
              <w:rPr>
                <w:rFonts w:ascii="Times New Roman" w:hAnsi="Times New Roman" w:eastAsia="Times New Roman" w:cs="Times New Roman"/>
                <w:spacing w:val="-10"/>
                <w:sz w:val="21"/>
                <w:szCs w:val="21"/>
              </w:rPr>
              <w:t>1h</w:t>
            </w:r>
            <w:r>
              <w:rPr>
                <w:spacing w:val="-10"/>
                <w:sz w:val="21"/>
                <w:szCs w:val="21"/>
              </w:rPr>
              <w:t>、</w:t>
            </w:r>
            <w:r>
              <w:rPr>
                <w:rFonts w:ascii="Times New Roman" w:hAnsi="Times New Roman" w:eastAsia="Times New Roman" w:cs="Times New Roman"/>
                <w:spacing w:val="-10"/>
                <w:sz w:val="21"/>
                <w:szCs w:val="21"/>
              </w:rPr>
              <w:t xml:space="preserve">2h </w:t>
            </w:r>
            <w:r>
              <w:rPr>
                <w:spacing w:val="-10"/>
                <w:sz w:val="21"/>
                <w:szCs w:val="21"/>
              </w:rPr>
              <w:t>等采样。</w:t>
            </w:r>
          </w:p>
        </w:tc>
        <w:tc>
          <w:tcPr>
            <w:tcW w:w="1903" w:type="dxa"/>
            <w:vAlign w:val="top"/>
          </w:tcPr>
          <w:p>
            <w:pPr>
              <w:pStyle w:val="6"/>
              <w:spacing w:before="33" w:line="228" w:lineRule="auto"/>
              <w:ind w:left="115" w:right="30" w:firstLine="26"/>
              <w:rPr>
                <w:sz w:val="21"/>
                <w:szCs w:val="21"/>
              </w:rPr>
            </w:pPr>
            <w:r>
              <w:rPr>
                <w:spacing w:val="-5"/>
                <w:sz w:val="21"/>
                <w:szCs w:val="21"/>
              </w:rPr>
              <w:t xml:space="preserve">由泄漏物质决定， </w:t>
            </w:r>
            <w:r>
              <w:rPr>
                <w:spacing w:val="-8"/>
                <w:sz w:val="21"/>
                <w:szCs w:val="21"/>
              </w:rPr>
              <w:t>主要为</w:t>
            </w:r>
            <w:r>
              <w:rPr>
                <w:spacing w:val="-49"/>
                <w:sz w:val="21"/>
                <w:szCs w:val="21"/>
              </w:rPr>
              <w:t xml:space="preserve"> </w:t>
            </w:r>
            <w:r>
              <w:rPr>
                <w:rFonts w:ascii="Times New Roman" w:hAnsi="Times New Roman" w:eastAsia="Times New Roman" w:cs="Times New Roman"/>
                <w:spacing w:val="-8"/>
                <w:sz w:val="21"/>
                <w:szCs w:val="21"/>
              </w:rPr>
              <w:t>pH</w:t>
            </w:r>
            <w:r>
              <w:rPr>
                <w:rFonts w:ascii="Times New Roman" w:hAnsi="Times New Roman" w:eastAsia="Times New Roman" w:cs="Times New Roman"/>
                <w:spacing w:val="-28"/>
                <w:sz w:val="21"/>
                <w:szCs w:val="21"/>
              </w:rPr>
              <w:t xml:space="preserve"> </w:t>
            </w:r>
            <w:r>
              <w:rPr>
                <w:spacing w:val="-8"/>
                <w:sz w:val="21"/>
                <w:szCs w:val="21"/>
              </w:rPr>
              <w:t>、</w:t>
            </w:r>
            <w:r>
              <w:rPr>
                <w:rFonts w:ascii="Times New Roman" w:hAnsi="Times New Roman" w:eastAsia="Times New Roman" w:cs="Times New Roman"/>
                <w:spacing w:val="-8"/>
                <w:sz w:val="21"/>
                <w:szCs w:val="21"/>
              </w:rPr>
              <w:t>COD</w:t>
            </w:r>
            <w:r>
              <w:rPr>
                <w:spacing w:val="-8"/>
                <w:sz w:val="21"/>
                <w:szCs w:val="21"/>
              </w:rPr>
              <w:t>、</w:t>
            </w:r>
            <w:r>
              <w:rPr>
                <w:sz w:val="21"/>
                <w:szCs w:val="21"/>
              </w:rPr>
              <w:t xml:space="preserve"> </w:t>
            </w:r>
            <w:r>
              <w:rPr>
                <w:spacing w:val="-1"/>
                <w:sz w:val="21"/>
                <w:szCs w:val="21"/>
              </w:rPr>
              <w:t>石油类、氯化物等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5" w:type="dxa"/>
            <w:vAlign w:val="top"/>
          </w:tcPr>
          <w:p>
            <w:pPr>
              <w:pStyle w:val="6"/>
              <w:spacing w:before="67" w:line="222" w:lineRule="auto"/>
              <w:ind w:left="208"/>
              <w:rPr>
                <w:sz w:val="21"/>
                <w:szCs w:val="21"/>
              </w:rPr>
            </w:pPr>
            <w:r>
              <w:rPr>
                <w:spacing w:val="-2"/>
                <w:sz w:val="21"/>
                <w:szCs w:val="21"/>
              </w:rPr>
              <w:t>土壤</w:t>
            </w:r>
          </w:p>
        </w:tc>
        <w:tc>
          <w:tcPr>
            <w:tcW w:w="7708" w:type="dxa"/>
            <w:gridSpan w:val="4"/>
            <w:vAlign w:val="top"/>
          </w:tcPr>
          <w:p>
            <w:pPr>
              <w:pStyle w:val="6"/>
              <w:spacing w:before="67" w:line="219" w:lineRule="auto"/>
              <w:ind w:left="1859"/>
              <w:rPr>
                <w:sz w:val="21"/>
                <w:szCs w:val="21"/>
              </w:rPr>
            </w:pPr>
            <w:r>
              <w:rPr>
                <w:spacing w:val="-1"/>
                <w:sz w:val="21"/>
                <w:szCs w:val="21"/>
              </w:rPr>
              <w:t>事故后期应对污染的土壤进行环境影响评估</w:t>
            </w:r>
          </w:p>
        </w:tc>
      </w:tr>
    </w:tbl>
    <w:p>
      <w:pPr>
        <w:pStyle w:val="2"/>
        <w:rPr>
          <w:sz w:val="21"/>
        </w:rPr>
      </w:pPr>
    </w:p>
    <w:p>
      <w:pPr>
        <w:rPr>
          <w:sz w:val="21"/>
          <w:szCs w:val="21"/>
        </w:rPr>
        <w:sectPr>
          <w:headerReference r:id="rId288" w:type="default"/>
          <w:footerReference r:id="rId289" w:type="default"/>
          <w:pgSz w:w="11907" w:h="16839"/>
          <w:pgMar w:top="1123" w:right="1682" w:bottom="1149" w:left="1685" w:header="1108" w:footer="988" w:gutter="0"/>
          <w:cols w:space="720" w:num="1"/>
        </w:sectPr>
      </w:pPr>
    </w:p>
    <w:p>
      <w:pPr>
        <w:pStyle w:val="2"/>
        <w:spacing w:line="253" w:lineRule="auto"/>
        <w:rPr>
          <w:sz w:val="21"/>
        </w:rPr>
      </w:pPr>
    </w:p>
    <w:p>
      <w:pPr>
        <w:spacing w:before="117" w:line="218" w:lineRule="auto"/>
        <w:ind w:left="2434"/>
        <w:rPr>
          <w:rFonts w:ascii="宋体" w:hAnsi="宋体" w:eastAsia="宋体" w:cs="宋体"/>
          <w:sz w:val="36"/>
          <w:szCs w:val="36"/>
        </w:rPr>
      </w:pPr>
      <w:bookmarkStart w:id="62" w:name="bookmark63"/>
      <w:bookmarkEnd w:id="62"/>
      <w:bookmarkStart w:id="63" w:name="bookmark65"/>
      <w:bookmarkEnd w:id="63"/>
      <w:bookmarkStart w:id="64" w:name="bookmark64"/>
      <w:bookmarkEnd w:id="64"/>
      <w:r>
        <w:rPr>
          <w:rFonts w:ascii="Times New Roman" w:hAnsi="Times New Roman" w:eastAsia="Times New Roman" w:cs="Times New Roman"/>
          <w:b/>
          <w:bCs/>
          <w:spacing w:val="-1"/>
          <w:sz w:val="36"/>
          <w:szCs w:val="36"/>
        </w:rPr>
        <w:t xml:space="preserve">7 </w:t>
      </w:r>
      <w:r>
        <w:rPr>
          <w:rFonts w:ascii="宋体" w:hAnsi="宋体" w:eastAsia="宋体" w:cs="宋体"/>
          <w:spacing w:val="-1"/>
          <w:sz w:val="36"/>
          <w:szCs w:val="36"/>
          <w14:textOutline w14:w="6531" w14:cap="flat" w14:cmpd="sng">
            <w14:solidFill>
              <w14:srgbClr w14:val="000000"/>
            </w14:solidFill>
            <w14:prstDash w14:val="solid"/>
            <w14:miter w14:val="10"/>
          </w14:textOutline>
        </w:rPr>
        <w:t>风险评价结论与建议</w:t>
      </w:r>
    </w:p>
    <w:p>
      <w:pPr>
        <w:pStyle w:val="2"/>
        <w:spacing w:line="317" w:lineRule="auto"/>
        <w:rPr>
          <w:sz w:val="21"/>
        </w:rPr>
      </w:pPr>
    </w:p>
    <w:p>
      <w:pPr>
        <w:spacing w:before="78" w:line="220" w:lineRule="auto"/>
        <w:ind w:left="36"/>
        <w:rPr>
          <w:rFonts w:ascii="宋体" w:hAnsi="宋体" w:eastAsia="宋体" w:cs="宋体"/>
          <w:sz w:val="24"/>
          <w:szCs w:val="24"/>
        </w:rPr>
      </w:pPr>
      <w:r>
        <w:rPr>
          <w:rFonts w:ascii="Times New Roman" w:hAnsi="Times New Roman" w:eastAsia="Times New Roman" w:cs="Times New Roman"/>
          <w:b/>
          <w:bCs/>
          <w:spacing w:val="-1"/>
          <w:sz w:val="24"/>
          <w:szCs w:val="24"/>
        </w:rPr>
        <w:t xml:space="preserve">7.1 </w:t>
      </w:r>
      <w:r>
        <w:rPr>
          <w:rFonts w:ascii="宋体" w:hAnsi="宋体" w:eastAsia="宋体" w:cs="宋体"/>
          <w:spacing w:val="-1"/>
          <w:sz w:val="24"/>
          <w:szCs w:val="24"/>
          <w14:textOutline w14:w="4354" w14:cap="flat" w14:cmpd="sng">
            <w14:solidFill>
              <w14:srgbClr w14:val="000000"/>
            </w14:solidFill>
            <w14:prstDash w14:val="solid"/>
            <w14:miter w14:val="10"/>
          </w14:textOutline>
        </w:rPr>
        <w:t>项目危险因素</w:t>
      </w:r>
    </w:p>
    <w:p>
      <w:pPr>
        <w:spacing w:before="195" w:line="369" w:lineRule="auto"/>
        <w:ind w:left="38" w:right="83" w:firstLine="480"/>
        <w:jc w:val="both"/>
        <w:rPr>
          <w:rFonts w:ascii="宋体" w:hAnsi="宋体" w:eastAsia="宋体" w:cs="宋体"/>
          <w:sz w:val="24"/>
          <w:szCs w:val="24"/>
        </w:rPr>
      </w:pPr>
      <w:r>
        <w:rPr>
          <w:rFonts w:ascii="宋体" w:hAnsi="宋体" w:eastAsia="宋体" w:cs="宋体"/>
          <w:spacing w:val="-10"/>
          <w:sz w:val="24"/>
          <w:szCs w:val="24"/>
        </w:rPr>
        <w:t>本工程钻井为勘探井， 属天然气勘探工程， 钻井过程中可能涉及的主要危险</w:t>
      </w:r>
      <w:r>
        <w:rPr>
          <w:rFonts w:ascii="宋体" w:hAnsi="宋体" w:eastAsia="宋体" w:cs="宋体"/>
          <w:spacing w:val="13"/>
          <w:sz w:val="24"/>
          <w:szCs w:val="24"/>
        </w:rPr>
        <w:t xml:space="preserve"> </w:t>
      </w:r>
      <w:r>
        <w:rPr>
          <w:rFonts w:ascii="宋体" w:hAnsi="宋体" w:eastAsia="宋体" w:cs="宋体"/>
          <w:spacing w:val="-10"/>
          <w:sz w:val="24"/>
          <w:szCs w:val="24"/>
        </w:rPr>
        <w:t>物质为</w:t>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CH</w:t>
      </w:r>
      <w:r>
        <w:rPr>
          <w:rFonts w:ascii="Times New Roman" w:hAnsi="Times New Roman" w:eastAsia="Times New Roman" w:cs="Times New Roman"/>
          <w:spacing w:val="-10"/>
          <w:position w:val="-1"/>
          <w:sz w:val="16"/>
          <w:szCs w:val="16"/>
        </w:rPr>
        <w:t xml:space="preserve">4   </w:t>
      </w:r>
      <w:r>
        <w:rPr>
          <w:rFonts w:ascii="宋体" w:hAnsi="宋体" w:eastAsia="宋体" w:cs="宋体"/>
          <w:spacing w:val="-10"/>
          <w:sz w:val="24"/>
          <w:szCs w:val="24"/>
        </w:rPr>
        <w:t>（易燃易爆）、</w:t>
      </w:r>
      <w:r>
        <w:rPr>
          <w:rFonts w:ascii="Times New Roman" w:hAnsi="Times New Roman" w:eastAsia="Times New Roman" w:cs="Times New Roman"/>
          <w:spacing w:val="-10"/>
          <w:sz w:val="24"/>
          <w:szCs w:val="24"/>
        </w:rPr>
        <w:t>H</w:t>
      </w:r>
      <w:r>
        <w:rPr>
          <w:rFonts w:ascii="Times New Roman" w:hAnsi="Times New Roman" w:eastAsia="Times New Roman" w:cs="Times New Roman"/>
          <w:spacing w:val="-10"/>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10"/>
          <w:sz w:val="24"/>
          <w:szCs w:val="24"/>
        </w:rPr>
        <w:t>S</w:t>
      </w:r>
      <w:r>
        <w:rPr>
          <w:rFonts w:ascii="宋体" w:hAnsi="宋体" w:eastAsia="宋体" w:cs="宋体"/>
          <w:spacing w:val="-10"/>
          <w:sz w:val="24"/>
          <w:szCs w:val="24"/>
        </w:rPr>
        <w:t>（易燃易爆</w:t>
      </w:r>
      <w:r>
        <w:rPr>
          <w:rFonts w:ascii="宋体" w:hAnsi="宋体" w:eastAsia="宋体" w:cs="宋体"/>
          <w:spacing w:val="1"/>
          <w:sz w:val="24"/>
          <w:szCs w:val="24"/>
        </w:rPr>
        <w:t>），</w:t>
      </w:r>
      <w:r>
        <w:rPr>
          <w:rFonts w:ascii="宋体" w:hAnsi="宋体" w:eastAsia="宋体" w:cs="宋体"/>
          <w:spacing w:val="-10"/>
          <w:sz w:val="24"/>
          <w:szCs w:val="24"/>
        </w:rPr>
        <w:t>涉及的风险物质</w:t>
      </w:r>
      <w:r>
        <w:rPr>
          <w:rFonts w:ascii="宋体" w:hAnsi="宋体" w:eastAsia="宋体" w:cs="宋体"/>
          <w:spacing w:val="-11"/>
          <w:sz w:val="24"/>
          <w:szCs w:val="24"/>
        </w:rPr>
        <w:t>还包括钻井过程中</w:t>
      </w:r>
      <w:r>
        <w:rPr>
          <w:rFonts w:ascii="宋体" w:hAnsi="宋体" w:eastAsia="宋体" w:cs="宋体"/>
          <w:sz w:val="24"/>
          <w:szCs w:val="24"/>
        </w:rPr>
        <w:t xml:space="preserve"> </w:t>
      </w:r>
      <w:r>
        <w:rPr>
          <w:rFonts w:ascii="宋体" w:hAnsi="宋体" w:eastAsia="宋体" w:cs="宋体"/>
          <w:spacing w:val="-7"/>
          <w:sz w:val="24"/>
          <w:szCs w:val="24"/>
        </w:rPr>
        <w:t>使用的易燃物质柴油、白油、稀盐酸、</w:t>
      </w:r>
      <w:r>
        <w:rPr>
          <w:rFonts w:ascii="宋体" w:hAnsi="宋体" w:eastAsia="宋体" w:cs="宋体"/>
          <w:spacing w:val="29"/>
          <w:sz w:val="24"/>
          <w:szCs w:val="24"/>
        </w:rPr>
        <w:t xml:space="preserve"> </w:t>
      </w:r>
      <w:r>
        <w:rPr>
          <w:rFonts w:ascii="宋体" w:hAnsi="宋体" w:eastAsia="宋体" w:cs="宋体"/>
          <w:spacing w:val="-7"/>
          <w:sz w:val="24"/>
          <w:szCs w:val="24"/>
        </w:rPr>
        <w:t>废油、油基泥浆及油基岩屑等。危险因素</w:t>
      </w:r>
      <w:r>
        <w:rPr>
          <w:rFonts w:ascii="宋体" w:hAnsi="宋体" w:eastAsia="宋体" w:cs="宋体"/>
          <w:sz w:val="24"/>
          <w:szCs w:val="24"/>
        </w:rPr>
        <w:t xml:space="preserve"> </w:t>
      </w:r>
      <w:r>
        <w:rPr>
          <w:rFonts w:ascii="宋体" w:hAnsi="宋体" w:eastAsia="宋体" w:cs="宋体"/>
          <w:spacing w:val="-7"/>
          <w:sz w:val="24"/>
          <w:szCs w:val="24"/>
        </w:rPr>
        <w:t>主要为泄漏、火灾、爆炸以及随之带来的次生风险</w:t>
      </w:r>
      <w:r>
        <w:rPr>
          <w:rFonts w:ascii="宋体" w:hAnsi="宋体" w:eastAsia="宋体" w:cs="宋体"/>
          <w:spacing w:val="-8"/>
          <w:sz w:val="24"/>
          <w:szCs w:val="24"/>
        </w:rPr>
        <w:t>等。建设单位应严格管理，</w:t>
      </w:r>
      <w:r>
        <w:rPr>
          <w:rFonts w:ascii="宋体" w:hAnsi="宋体" w:eastAsia="宋体" w:cs="宋体"/>
          <w:spacing w:val="42"/>
          <w:sz w:val="24"/>
          <w:szCs w:val="24"/>
        </w:rPr>
        <w:t xml:space="preserve"> </w:t>
      </w:r>
      <w:r>
        <w:rPr>
          <w:rFonts w:ascii="宋体" w:hAnsi="宋体" w:eastAsia="宋体" w:cs="宋体"/>
          <w:spacing w:val="-8"/>
          <w:sz w:val="24"/>
          <w:szCs w:val="24"/>
        </w:rPr>
        <w:t>对</w:t>
      </w:r>
    </w:p>
    <w:p>
      <w:pPr>
        <w:spacing w:line="220" w:lineRule="auto"/>
        <w:ind w:left="38"/>
        <w:rPr>
          <w:rFonts w:ascii="宋体" w:hAnsi="宋体" w:eastAsia="宋体" w:cs="宋体"/>
          <w:sz w:val="24"/>
          <w:szCs w:val="24"/>
        </w:rPr>
      </w:pPr>
      <w:r>
        <w:rPr>
          <w:rFonts w:ascii="宋体" w:hAnsi="宋体" w:eastAsia="宋体" w:cs="宋体"/>
          <w:spacing w:val="-3"/>
          <w:sz w:val="24"/>
          <w:szCs w:val="24"/>
        </w:rPr>
        <w:t>井场环境风险进行有效的预防、监控、响应。</w:t>
      </w:r>
    </w:p>
    <w:p>
      <w:pPr>
        <w:spacing w:before="194" w:line="220" w:lineRule="auto"/>
        <w:ind w:left="36"/>
        <w:rPr>
          <w:rFonts w:ascii="宋体" w:hAnsi="宋体" w:eastAsia="宋体" w:cs="宋体"/>
          <w:sz w:val="24"/>
          <w:szCs w:val="24"/>
        </w:rPr>
      </w:pPr>
      <w:r>
        <w:rPr>
          <w:rFonts w:ascii="Times New Roman" w:hAnsi="Times New Roman" w:eastAsia="Times New Roman" w:cs="Times New Roman"/>
          <w:b/>
          <w:bCs/>
          <w:sz w:val="24"/>
          <w:szCs w:val="24"/>
        </w:rPr>
        <w:t xml:space="preserve">7.2 </w:t>
      </w:r>
      <w:r>
        <w:rPr>
          <w:rFonts w:ascii="宋体" w:hAnsi="宋体" w:eastAsia="宋体" w:cs="宋体"/>
          <w:sz w:val="24"/>
          <w:szCs w:val="24"/>
          <w14:textOutline w14:w="4354" w14:cap="flat" w14:cmpd="sng">
            <w14:solidFill>
              <w14:srgbClr w14:val="000000"/>
            </w14:solidFill>
            <w14:prstDash w14:val="solid"/>
            <w14:miter w14:val="10"/>
          </w14:textOutline>
        </w:rPr>
        <w:t>环境风险防范措施和应急预案</w:t>
      </w:r>
    </w:p>
    <w:p>
      <w:pPr>
        <w:spacing w:before="195" w:line="480" w:lineRule="exact"/>
        <w:ind w:left="517"/>
        <w:rPr>
          <w:rFonts w:ascii="宋体" w:hAnsi="宋体" w:eastAsia="宋体" w:cs="宋体"/>
          <w:sz w:val="24"/>
          <w:szCs w:val="24"/>
        </w:rPr>
      </w:pPr>
      <w:r>
        <w:rPr>
          <w:rFonts w:ascii="宋体" w:hAnsi="宋体" w:eastAsia="宋体" w:cs="宋体"/>
          <w:spacing w:val="-2"/>
          <w:position w:val="18"/>
          <w:sz w:val="24"/>
          <w:szCs w:val="24"/>
        </w:rPr>
        <w:t>废水泄漏及外溢防范措施：优化选址，及时转运，减少废水储存周</w:t>
      </w:r>
      <w:r>
        <w:rPr>
          <w:rFonts w:ascii="宋体" w:hAnsi="宋体" w:eastAsia="宋体" w:cs="宋体"/>
          <w:spacing w:val="-3"/>
          <w:position w:val="18"/>
          <w:sz w:val="24"/>
          <w:szCs w:val="24"/>
        </w:rPr>
        <w:t>期；</w:t>
      </w:r>
    </w:p>
    <w:p>
      <w:pPr>
        <w:spacing w:line="219" w:lineRule="auto"/>
        <w:ind w:left="518"/>
        <w:rPr>
          <w:rFonts w:ascii="宋体" w:hAnsi="宋体" w:eastAsia="宋体" w:cs="宋体"/>
          <w:sz w:val="24"/>
          <w:szCs w:val="24"/>
        </w:rPr>
      </w:pPr>
      <w:r>
        <w:rPr>
          <w:rFonts w:ascii="宋体" w:hAnsi="宋体" w:eastAsia="宋体" w:cs="宋体"/>
          <w:spacing w:val="-3"/>
          <w:sz w:val="24"/>
          <w:szCs w:val="24"/>
        </w:rPr>
        <w:t>井漏：配备泥浆监控系统及堵漏应急物资。</w:t>
      </w:r>
    </w:p>
    <w:p>
      <w:pPr>
        <w:spacing w:before="195" w:line="480" w:lineRule="exact"/>
        <w:ind w:left="518"/>
        <w:rPr>
          <w:rFonts w:ascii="宋体" w:hAnsi="宋体" w:eastAsia="宋体" w:cs="宋体"/>
          <w:sz w:val="24"/>
          <w:szCs w:val="24"/>
        </w:rPr>
      </w:pPr>
      <w:r>
        <w:rPr>
          <w:rFonts w:ascii="宋体" w:hAnsi="宋体" w:eastAsia="宋体" w:cs="宋体"/>
          <w:spacing w:val="-17"/>
          <w:position w:val="18"/>
          <w:sz w:val="24"/>
          <w:szCs w:val="24"/>
        </w:rPr>
        <w:t>运输管理要求：</w:t>
      </w:r>
      <w:r>
        <w:rPr>
          <w:rFonts w:ascii="宋体" w:hAnsi="宋体" w:eastAsia="宋体" w:cs="宋体"/>
          <w:spacing w:val="36"/>
          <w:position w:val="18"/>
          <w:sz w:val="24"/>
          <w:szCs w:val="24"/>
        </w:rPr>
        <w:t xml:space="preserve"> </w:t>
      </w:r>
      <w:r>
        <w:rPr>
          <w:rFonts w:ascii="宋体" w:hAnsi="宋体" w:eastAsia="宋体" w:cs="宋体"/>
          <w:spacing w:val="-17"/>
          <w:position w:val="18"/>
          <w:sz w:val="24"/>
          <w:szCs w:val="24"/>
        </w:rPr>
        <w:t>加强污染物储运过程管理，</w:t>
      </w:r>
      <w:r>
        <w:rPr>
          <w:rFonts w:ascii="宋体" w:hAnsi="宋体" w:eastAsia="宋体" w:cs="宋体"/>
          <w:spacing w:val="36"/>
          <w:position w:val="18"/>
          <w:sz w:val="24"/>
          <w:szCs w:val="24"/>
        </w:rPr>
        <w:t xml:space="preserve"> </w:t>
      </w:r>
      <w:r>
        <w:rPr>
          <w:rFonts w:ascii="宋体" w:hAnsi="宋体" w:eastAsia="宋体" w:cs="宋体"/>
          <w:spacing w:val="-17"/>
          <w:position w:val="18"/>
          <w:sz w:val="24"/>
          <w:szCs w:val="24"/>
        </w:rPr>
        <w:t>落实废物转移联单制度，</w:t>
      </w:r>
      <w:r>
        <w:rPr>
          <w:rFonts w:ascii="宋体" w:hAnsi="宋体" w:eastAsia="宋体" w:cs="宋体"/>
          <w:spacing w:val="35"/>
          <w:position w:val="18"/>
          <w:sz w:val="24"/>
          <w:szCs w:val="24"/>
        </w:rPr>
        <w:t xml:space="preserve"> </w:t>
      </w:r>
      <w:r>
        <w:rPr>
          <w:rFonts w:ascii="宋体" w:hAnsi="宋体" w:eastAsia="宋体" w:cs="宋体"/>
          <w:spacing w:val="-17"/>
          <w:position w:val="18"/>
          <w:sz w:val="24"/>
          <w:szCs w:val="24"/>
        </w:rPr>
        <w:t>制定废</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物转运泄漏事故应急预案、为转运车辆装</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GPS </w:t>
      </w:r>
      <w:r>
        <w:rPr>
          <w:rFonts w:ascii="宋体" w:hAnsi="宋体" w:eastAsia="宋体" w:cs="宋体"/>
          <w:spacing w:val="-2"/>
          <w:sz w:val="24"/>
          <w:szCs w:val="24"/>
        </w:rPr>
        <w:t>等。</w:t>
      </w:r>
    </w:p>
    <w:p>
      <w:pPr>
        <w:spacing w:before="194" w:line="480" w:lineRule="exact"/>
        <w:ind w:right="71"/>
        <w:jc w:val="right"/>
        <w:rPr>
          <w:rFonts w:ascii="宋体" w:hAnsi="宋体" w:eastAsia="宋体" w:cs="宋体"/>
          <w:sz w:val="24"/>
          <w:szCs w:val="24"/>
        </w:rPr>
      </w:pPr>
      <w:r>
        <w:rPr>
          <w:rFonts w:ascii="宋体" w:hAnsi="宋体" w:eastAsia="宋体" w:cs="宋体"/>
          <w:spacing w:val="-13"/>
          <w:position w:val="18"/>
          <w:sz w:val="24"/>
          <w:szCs w:val="24"/>
        </w:rPr>
        <w:t>防油基泥浆及油基岩屑、柴油、油类物质外溢措施：</w:t>
      </w:r>
      <w:r>
        <w:rPr>
          <w:rFonts w:ascii="宋体" w:hAnsi="宋体" w:eastAsia="宋体" w:cs="宋体"/>
          <w:spacing w:val="45"/>
          <w:position w:val="18"/>
          <w:sz w:val="24"/>
          <w:szCs w:val="24"/>
        </w:rPr>
        <w:t xml:space="preserve"> </w:t>
      </w:r>
      <w:r>
        <w:rPr>
          <w:rFonts w:ascii="宋体" w:hAnsi="宋体" w:eastAsia="宋体" w:cs="宋体"/>
          <w:spacing w:val="-13"/>
          <w:position w:val="18"/>
          <w:sz w:val="24"/>
          <w:szCs w:val="24"/>
        </w:rPr>
        <w:t>加强罐体维护保养，</w:t>
      </w:r>
      <w:r>
        <w:rPr>
          <w:rFonts w:ascii="宋体" w:hAnsi="宋体" w:eastAsia="宋体" w:cs="宋体"/>
          <w:spacing w:val="45"/>
          <w:position w:val="18"/>
          <w:sz w:val="24"/>
          <w:szCs w:val="24"/>
        </w:rPr>
        <w:t xml:space="preserve"> </w:t>
      </w:r>
      <w:r>
        <w:rPr>
          <w:rFonts w:ascii="宋体" w:hAnsi="宋体" w:eastAsia="宋体" w:cs="宋体"/>
          <w:spacing w:val="-13"/>
          <w:position w:val="18"/>
          <w:sz w:val="24"/>
          <w:szCs w:val="24"/>
        </w:rPr>
        <w:t>设</w:t>
      </w:r>
    </w:p>
    <w:p>
      <w:pPr>
        <w:spacing w:before="1" w:line="219" w:lineRule="auto"/>
        <w:ind w:left="36"/>
        <w:rPr>
          <w:rFonts w:ascii="宋体" w:hAnsi="宋体" w:eastAsia="宋体" w:cs="宋体"/>
          <w:sz w:val="24"/>
          <w:szCs w:val="24"/>
        </w:rPr>
      </w:pPr>
      <w:r>
        <w:rPr>
          <w:rFonts w:ascii="宋体" w:hAnsi="宋体" w:eastAsia="宋体" w:cs="宋体"/>
          <w:spacing w:val="-7"/>
          <w:sz w:val="24"/>
          <w:szCs w:val="24"/>
        </w:rPr>
        <w:t>置围堰等。</w:t>
      </w:r>
    </w:p>
    <w:p>
      <w:pPr>
        <w:spacing w:before="194" w:line="220" w:lineRule="auto"/>
        <w:jc w:val="right"/>
        <w:rPr>
          <w:rFonts w:ascii="宋体" w:hAnsi="宋体" w:eastAsia="宋体" w:cs="宋体"/>
          <w:sz w:val="24"/>
          <w:szCs w:val="24"/>
        </w:rPr>
      </w:pPr>
      <w:r>
        <w:rPr>
          <w:rFonts w:ascii="宋体" w:hAnsi="宋体" w:eastAsia="宋体" w:cs="宋体"/>
          <w:spacing w:val="-1"/>
          <w:sz w:val="24"/>
          <w:szCs w:val="24"/>
        </w:rPr>
        <w:t>井喷：安装防井喷装置等，严格执行井控技术标准和规范，编制应急预案。</w:t>
      </w:r>
    </w:p>
    <w:p>
      <w:pPr>
        <w:spacing w:before="196" w:line="369" w:lineRule="auto"/>
        <w:ind w:left="39" w:right="84" w:firstLine="478"/>
        <w:rPr>
          <w:rFonts w:ascii="宋体" w:hAnsi="宋体" w:eastAsia="宋体" w:cs="宋体"/>
          <w:sz w:val="24"/>
          <w:szCs w:val="24"/>
        </w:rPr>
      </w:pPr>
      <w:r>
        <w:rPr>
          <w:rFonts w:ascii="宋体" w:hAnsi="宋体" w:eastAsia="宋体" w:cs="宋体"/>
          <w:spacing w:val="-6"/>
          <w:sz w:val="24"/>
          <w:szCs w:val="24"/>
        </w:rPr>
        <w:t>采取分区防渗处理： 重点防渗区主要包括含井场</w:t>
      </w:r>
      <w:r>
        <w:rPr>
          <w:rFonts w:ascii="宋体" w:hAnsi="宋体" w:eastAsia="宋体" w:cs="宋体"/>
          <w:spacing w:val="-7"/>
          <w:sz w:val="24"/>
          <w:szCs w:val="24"/>
        </w:rPr>
        <w:t>内井口、井架及设备基础区</w:t>
      </w:r>
      <w:r>
        <w:rPr>
          <w:rFonts w:ascii="宋体" w:hAnsi="宋体" w:eastAsia="宋体" w:cs="宋体"/>
          <w:sz w:val="24"/>
          <w:szCs w:val="24"/>
        </w:rPr>
        <w:t xml:space="preserve"> </w:t>
      </w:r>
      <w:r>
        <w:rPr>
          <w:rFonts w:ascii="宋体" w:hAnsi="宋体" w:eastAsia="宋体" w:cs="宋体"/>
          <w:spacing w:val="-3"/>
          <w:sz w:val="24"/>
          <w:szCs w:val="24"/>
        </w:rPr>
        <w:t>域、循环系统、泥浆材料堆存区、油罐及水罐区、应急池、燃烧池及集酸坑、清</w:t>
      </w:r>
      <w:r>
        <w:rPr>
          <w:rFonts w:ascii="宋体" w:hAnsi="宋体" w:eastAsia="宋体" w:cs="宋体"/>
          <w:spacing w:val="7"/>
          <w:sz w:val="24"/>
          <w:szCs w:val="24"/>
        </w:rPr>
        <w:t xml:space="preserve"> </w:t>
      </w:r>
      <w:r>
        <w:rPr>
          <w:rFonts w:ascii="宋体" w:hAnsi="宋体" w:eastAsia="宋体" w:cs="宋体"/>
          <w:spacing w:val="-8"/>
          <w:sz w:val="24"/>
          <w:szCs w:val="24"/>
        </w:rPr>
        <w:t>洁生产操作平台、泥浆储备罐区、隔油池、集液池等；</w:t>
      </w:r>
      <w:r>
        <w:rPr>
          <w:rFonts w:ascii="宋体" w:hAnsi="宋体" w:eastAsia="宋体" w:cs="宋体"/>
          <w:spacing w:val="63"/>
          <w:sz w:val="24"/>
          <w:szCs w:val="24"/>
        </w:rPr>
        <w:t xml:space="preserve"> </w:t>
      </w:r>
      <w:r>
        <w:rPr>
          <w:rFonts w:ascii="宋体" w:hAnsi="宋体" w:eastAsia="宋体" w:cs="宋体"/>
          <w:spacing w:val="-8"/>
          <w:sz w:val="24"/>
          <w:szCs w:val="24"/>
        </w:rPr>
        <w:t>一般防渗区为井场部分非</w:t>
      </w:r>
      <w:r>
        <w:rPr>
          <w:rFonts w:ascii="宋体" w:hAnsi="宋体" w:eastAsia="宋体" w:cs="宋体"/>
          <w:sz w:val="24"/>
          <w:szCs w:val="24"/>
        </w:rPr>
        <w:t xml:space="preserve"> </w:t>
      </w:r>
      <w:r>
        <w:rPr>
          <w:rFonts w:ascii="宋体" w:hAnsi="宋体" w:eastAsia="宋体" w:cs="宋体"/>
          <w:spacing w:val="-3"/>
          <w:sz w:val="24"/>
          <w:szCs w:val="24"/>
        </w:rPr>
        <w:t>设备基础区（包括清污分流排水沟）、环保厕所；除重点防渗区和一般防渗区外</w:t>
      </w:r>
    </w:p>
    <w:p>
      <w:pPr>
        <w:spacing w:before="1" w:line="218" w:lineRule="auto"/>
        <w:ind w:left="57"/>
        <w:rPr>
          <w:rFonts w:ascii="宋体" w:hAnsi="宋体" w:eastAsia="宋体" w:cs="宋体"/>
          <w:sz w:val="24"/>
          <w:szCs w:val="24"/>
        </w:rPr>
      </w:pPr>
      <w:r>
        <w:rPr>
          <w:rFonts w:ascii="宋体" w:hAnsi="宋体" w:eastAsia="宋体" w:cs="宋体"/>
          <w:spacing w:val="-6"/>
          <w:sz w:val="24"/>
          <w:szCs w:val="24"/>
        </w:rPr>
        <w:t>的区域为简单防渗区。</w:t>
      </w:r>
    </w:p>
    <w:p>
      <w:pPr>
        <w:spacing w:before="195" w:line="220" w:lineRule="auto"/>
        <w:ind w:left="520"/>
        <w:rPr>
          <w:rFonts w:ascii="宋体" w:hAnsi="宋体" w:eastAsia="宋体" w:cs="宋体"/>
          <w:sz w:val="24"/>
          <w:szCs w:val="24"/>
        </w:rPr>
      </w:pPr>
      <w:r>
        <w:rPr>
          <w:rFonts w:ascii="宋体" w:hAnsi="宋体" w:eastAsia="宋体" w:cs="宋体"/>
          <w:spacing w:val="-2"/>
          <w:sz w:val="24"/>
          <w:szCs w:val="24"/>
        </w:rPr>
        <w:t>大庆油田有限责任公司应制定井喷事故应急预案专项应急预案。</w:t>
      </w:r>
    </w:p>
    <w:p>
      <w:pPr>
        <w:spacing w:before="195" w:line="218" w:lineRule="auto"/>
        <w:ind w:left="36"/>
        <w:rPr>
          <w:rFonts w:ascii="宋体" w:hAnsi="宋体" w:eastAsia="宋体" w:cs="宋体"/>
          <w:sz w:val="24"/>
          <w:szCs w:val="24"/>
        </w:rPr>
      </w:pPr>
      <w:bookmarkStart w:id="65" w:name="bookmark66"/>
      <w:bookmarkEnd w:id="65"/>
      <w:r>
        <w:rPr>
          <w:rFonts w:ascii="Times New Roman" w:hAnsi="Times New Roman" w:eastAsia="Times New Roman" w:cs="Times New Roman"/>
          <w:b/>
          <w:bCs/>
          <w:sz w:val="24"/>
          <w:szCs w:val="24"/>
        </w:rPr>
        <w:t xml:space="preserve">7.3 </w:t>
      </w:r>
      <w:r>
        <w:rPr>
          <w:rFonts w:ascii="宋体" w:hAnsi="宋体" w:eastAsia="宋体" w:cs="宋体"/>
          <w:sz w:val="24"/>
          <w:szCs w:val="24"/>
          <w14:textOutline w14:w="4354" w14:cap="flat" w14:cmpd="sng">
            <w14:solidFill>
              <w14:srgbClr w14:val="000000"/>
            </w14:solidFill>
            <w14:prstDash w14:val="solid"/>
            <w14:miter w14:val="10"/>
          </w14:textOutline>
        </w:rPr>
        <w:t>环境风险评价结论与建议</w:t>
      </w:r>
    </w:p>
    <w:p>
      <w:pPr>
        <w:spacing w:before="198" w:line="369" w:lineRule="auto"/>
        <w:ind w:left="38" w:firstLine="480"/>
        <w:rPr>
          <w:rFonts w:ascii="宋体" w:hAnsi="宋体" w:eastAsia="宋体" w:cs="宋体"/>
          <w:sz w:val="24"/>
          <w:szCs w:val="24"/>
        </w:rPr>
      </w:pPr>
      <w:r>
        <w:rPr>
          <w:rFonts w:ascii="宋体" w:hAnsi="宋体" w:eastAsia="宋体" w:cs="宋体"/>
          <w:spacing w:val="-12"/>
          <w:sz w:val="24"/>
          <w:szCs w:val="24"/>
        </w:rPr>
        <w:t>本项目环境风险主要存在于钻井工程阶段，</w:t>
      </w:r>
      <w:r>
        <w:rPr>
          <w:rFonts w:ascii="宋体" w:hAnsi="宋体" w:eastAsia="宋体" w:cs="宋体"/>
          <w:spacing w:val="34"/>
          <w:sz w:val="24"/>
          <w:szCs w:val="24"/>
        </w:rPr>
        <w:t xml:space="preserve"> </w:t>
      </w:r>
      <w:r>
        <w:rPr>
          <w:rFonts w:ascii="宋体" w:hAnsi="宋体" w:eastAsia="宋体" w:cs="宋体"/>
          <w:spacing w:val="-12"/>
          <w:sz w:val="24"/>
          <w:szCs w:val="24"/>
        </w:rPr>
        <w:t>环境</w:t>
      </w:r>
      <w:r>
        <w:rPr>
          <w:rFonts w:ascii="宋体" w:hAnsi="宋体" w:eastAsia="宋体" w:cs="宋体"/>
          <w:spacing w:val="-13"/>
          <w:sz w:val="24"/>
          <w:szCs w:val="24"/>
        </w:rPr>
        <w:t>风险表现为井漏、井涌，</w:t>
      </w:r>
      <w:r>
        <w:rPr>
          <w:rFonts w:ascii="宋体" w:hAnsi="宋体" w:eastAsia="宋体" w:cs="宋体"/>
          <w:spacing w:val="34"/>
          <w:sz w:val="24"/>
          <w:szCs w:val="24"/>
        </w:rPr>
        <w:t xml:space="preserve"> </w:t>
      </w:r>
      <w:r>
        <w:rPr>
          <w:rFonts w:ascii="宋体" w:hAnsi="宋体" w:eastAsia="宋体" w:cs="宋体"/>
          <w:spacing w:val="-13"/>
          <w:sz w:val="24"/>
          <w:szCs w:val="24"/>
        </w:rPr>
        <w:t xml:space="preserve">甚 </w:t>
      </w:r>
      <w:r>
        <w:rPr>
          <w:rFonts w:ascii="宋体" w:hAnsi="宋体" w:eastAsia="宋体" w:cs="宋体"/>
          <w:spacing w:val="-7"/>
          <w:sz w:val="24"/>
          <w:szCs w:val="24"/>
        </w:rPr>
        <w:t>至井喷环境风险事故。从工程分析本项目发生井喷失控事故时对人身安全、健康、</w:t>
      </w:r>
      <w:r>
        <w:rPr>
          <w:rFonts w:ascii="宋体" w:hAnsi="宋体" w:eastAsia="宋体" w:cs="宋体"/>
          <w:sz w:val="24"/>
          <w:szCs w:val="24"/>
        </w:rPr>
        <w:t xml:space="preserve"> </w:t>
      </w:r>
      <w:r>
        <w:rPr>
          <w:rFonts w:ascii="宋体" w:hAnsi="宋体" w:eastAsia="宋体" w:cs="宋体"/>
          <w:spacing w:val="-9"/>
          <w:sz w:val="24"/>
          <w:szCs w:val="24"/>
        </w:rPr>
        <w:t>环境的后果影响重大， 鉴于本次项目为陆地矿产资源地质勘查</w:t>
      </w:r>
      <w:r>
        <w:rPr>
          <w:rFonts w:ascii="宋体" w:hAnsi="宋体" w:eastAsia="宋体" w:cs="宋体"/>
          <w:spacing w:val="-10"/>
          <w:sz w:val="24"/>
          <w:szCs w:val="24"/>
        </w:rPr>
        <w:t xml:space="preserve">预探井， 对井下地 </w:t>
      </w:r>
      <w:r>
        <w:rPr>
          <w:rFonts w:ascii="宋体" w:hAnsi="宋体" w:eastAsia="宋体" w:cs="宋体"/>
          <w:spacing w:val="-9"/>
          <w:sz w:val="24"/>
          <w:szCs w:val="24"/>
        </w:rPr>
        <w:t>质环境情况的掌握有限， 存在一定程度的不确定性和难预见性</w:t>
      </w:r>
      <w:r>
        <w:rPr>
          <w:rFonts w:ascii="宋体" w:hAnsi="宋体" w:eastAsia="宋体" w:cs="宋体"/>
          <w:spacing w:val="-10"/>
          <w:sz w:val="24"/>
          <w:szCs w:val="24"/>
        </w:rPr>
        <w:t xml:space="preserve">， 故本项目必须严 </w:t>
      </w:r>
      <w:r>
        <w:rPr>
          <w:rFonts w:ascii="宋体" w:hAnsi="宋体" w:eastAsia="宋体" w:cs="宋体"/>
          <w:spacing w:val="-16"/>
          <w:sz w:val="24"/>
          <w:szCs w:val="24"/>
        </w:rPr>
        <w:t>格落实《钻井井控技术规程》（</w:t>
      </w:r>
      <w:r>
        <w:rPr>
          <w:rFonts w:ascii="Times New Roman" w:hAnsi="Times New Roman" w:eastAsia="Times New Roman" w:cs="Times New Roman"/>
          <w:spacing w:val="-16"/>
          <w:sz w:val="24"/>
          <w:szCs w:val="24"/>
        </w:rPr>
        <w:t>SY/T6426-2005</w:t>
      </w:r>
      <w:r>
        <w:rPr>
          <w:rFonts w:ascii="宋体" w:hAnsi="宋体" w:eastAsia="宋体" w:cs="宋体"/>
          <w:spacing w:val="-16"/>
          <w:sz w:val="24"/>
          <w:szCs w:val="24"/>
        </w:rPr>
        <w:t>）、《含硫油气井安全钻井推荐作法》</w:t>
      </w:r>
    </w:p>
    <w:p>
      <w:pPr>
        <w:spacing w:before="1" w:line="212" w:lineRule="auto"/>
        <w:ind w:left="38"/>
        <w:rPr>
          <w:rFonts w:ascii="宋体" w:hAnsi="宋体" w:eastAsia="宋体" w:cs="宋体"/>
          <w:sz w:val="24"/>
          <w:szCs w:val="24"/>
        </w:rPr>
      </w:pPr>
      <w:r>
        <w:rPr>
          <w:rFonts w:ascii="Times New Roman" w:hAnsi="Times New Roman" w:eastAsia="Times New Roman" w:cs="Times New Roman"/>
          <w:spacing w:val="-11"/>
          <w:sz w:val="24"/>
          <w:szCs w:val="24"/>
        </w:rPr>
        <w:t>(SY/T5087-2017)</w:t>
      </w:r>
      <w:r>
        <w:rPr>
          <w:rFonts w:ascii="宋体" w:hAnsi="宋体" w:eastAsia="宋体" w:cs="宋体"/>
          <w:spacing w:val="-11"/>
          <w:sz w:val="24"/>
          <w:szCs w:val="24"/>
        </w:rPr>
        <w:t>、《石油天然气安全规</w:t>
      </w:r>
      <w:r>
        <w:rPr>
          <w:rFonts w:ascii="宋体" w:hAnsi="宋体" w:eastAsia="宋体" w:cs="宋体"/>
          <w:spacing w:val="-12"/>
          <w:sz w:val="24"/>
          <w:szCs w:val="24"/>
        </w:rPr>
        <w:t>程》（</w:t>
      </w:r>
      <w:r>
        <w:rPr>
          <w:rFonts w:ascii="Times New Roman" w:hAnsi="Times New Roman" w:eastAsia="Times New Roman" w:cs="Times New Roman"/>
          <w:spacing w:val="-12"/>
          <w:sz w:val="24"/>
          <w:szCs w:val="24"/>
        </w:rPr>
        <w:t>AQ2012-2007</w:t>
      </w:r>
      <w:r>
        <w:rPr>
          <w:rFonts w:ascii="宋体" w:hAnsi="宋体" w:eastAsia="宋体" w:cs="宋体"/>
          <w:spacing w:val="-12"/>
          <w:sz w:val="24"/>
          <w:szCs w:val="24"/>
        </w:rPr>
        <w:t>）、《石油天然气钻井健</w:t>
      </w:r>
    </w:p>
    <w:p>
      <w:pPr>
        <w:spacing w:line="212" w:lineRule="auto"/>
        <w:rPr>
          <w:rFonts w:ascii="宋体" w:hAnsi="宋体" w:eastAsia="宋体" w:cs="宋体"/>
          <w:sz w:val="24"/>
          <w:szCs w:val="24"/>
        </w:rPr>
        <w:sectPr>
          <w:headerReference r:id="rId290" w:type="default"/>
          <w:footerReference r:id="rId291" w:type="default"/>
          <w:pgSz w:w="11907" w:h="16839"/>
          <w:pgMar w:top="1123" w:right="1709" w:bottom="1149" w:left="1769" w:header="1108" w:footer="988" w:gutter="0"/>
          <w:cols w:space="720" w:num="1"/>
        </w:sectPr>
      </w:pPr>
    </w:p>
    <w:p>
      <w:pPr>
        <w:pStyle w:val="2"/>
        <w:spacing w:line="415" w:lineRule="auto"/>
        <w:rPr>
          <w:sz w:val="21"/>
        </w:rPr>
      </w:pPr>
    </w:p>
    <w:p>
      <w:pPr>
        <w:spacing w:before="78" w:line="369" w:lineRule="auto"/>
        <w:ind w:left="37"/>
        <w:rPr>
          <w:rFonts w:ascii="宋体" w:hAnsi="宋体" w:eastAsia="宋体" w:cs="宋体"/>
          <w:sz w:val="24"/>
          <w:szCs w:val="24"/>
        </w:rPr>
      </w:pPr>
      <w:r>
        <w:rPr>
          <w:rFonts w:ascii="宋体" w:hAnsi="宋体" w:eastAsia="宋体" w:cs="宋体"/>
          <w:spacing w:val="-6"/>
          <w:sz w:val="24"/>
          <w:szCs w:val="24"/>
        </w:rPr>
        <w:t>康、安全与环境管理体系指南》（</w:t>
      </w:r>
      <w:r>
        <w:rPr>
          <w:rFonts w:ascii="Times New Roman" w:hAnsi="Times New Roman" w:eastAsia="Times New Roman" w:cs="Times New Roman"/>
          <w:spacing w:val="-6"/>
          <w:sz w:val="24"/>
          <w:szCs w:val="24"/>
        </w:rPr>
        <w:t>SY/T6283-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1997</w:t>
      </w:r>
      <w:r>
        <w:rPr>
          <w:rFonts w:ascii="宋体" w:hAnsi="宋体" w:eastAsia="宋体" w:cs="宋体"/>
          <w:spacing w:val="-6"/>
          <w:sz w:val="24"/>
          <w:szCs w:val="24"/>
        </w:rPr>
        <w:t>）和《石油天然气钻</w:t>
      </w:r>
      <w:r>
        <w:rPr>
          <w:rFonts w:ascii="宋体" w:hAnsi="宋体" w:eastAsia="宋体" w:cs="宋体"/>
          <w:spacing w:val="-7"/>
          <w:sz w:val="24"/>
          <w:szCs w:val="24"/>
        </w:rPr>
        <w:t xml:space="preserve">井健康、安 </w:t>
      </w:r>
      <w:r>
        <w:rPr>
          <w:rFonts w:ascii="宋体" w:hAnsi="宋体" w:eastAsia="宋体" w:cs="宋体"/>
          <w:spacing w:val="-4"/>
          <w:sz w:val="24"/>
          <w:szCs w:val="24"/>
        </w:rPr>
        <w:t>全与环境管理导则》（</w:t>
      </w:r>
      <w:r>
        <w:rPr>
          <w:rFonts w:ascii="Times New Roman" w:hAnsi="Times New Roman" w:eastAsia="Times New Roman" w:cs="Times New Roman"/>
          <w:spacing w:val="-4"/>
          <w:sz w:val="24"/>
          <w:szCs w:val="24"/>
        </w:rPr>
        <w:t>Q-CNPC53-2001</w:t>
      </w:r>
      <w:r>
        <w:rPr>
          <w:rFonts w:ascii="宋体" w:hAnsi="宋体" w:eastAsia="宋体" w:cs="宋体"/>
          <w:spacing w:val="-4"/>
          <w:sz w:val="24"/>
          <w:szCs w:val="24"/>
        </w:rPr>
        <w:t>）等相关钻井和井控规范要求的前提下，</w:t>
      </w:r>
      <w:r>
        <w:rPr>
          <w:rFonts w:ascii="宋体" w:hAnsi="宋体" w:eastAsia="宋体" w:cs="宋体"/>
          <w:spacing w:val="4"/>
          <w:sz w:val="24"/>
          <w:szCs w:val="24"/>
        </w:rPr>
        <w:t xml:space="preserve">  </w:t>
      </w:r>
      <w:r>
        <w:rPr>
          <w:rFonts w:ascii="宋体" w:hAnsi="宋体" w:eastAsia="宋体" w:cs="宋体"/>
          <w:spacing w:val="-1"/>
          <w:sz w:val="24"/>
          <w:szCs w:val="24"/>
        </w:rPr>
        <w:t>积极采取风险防范措施、放喷点火保障措施以及周边居民人员临时撤离措施等，</w:t>
      </w:r>
      <w:r>
        <w:rPr>
          <w:rFonts w:ascii="宋体" w:hAnsi="宋体" w:eastAsia="宋体" w:cs="宋体"/>
          <w:sz w:val="24"/>
          <w:szCs w:val="24"/>
        </w:rPr>
        <w:t xml:space="preserve"> </w:t>
      </w:r>
      <w:r>
        <w:rPr>
          <w:rFonts w:ascii="宋体" w:hAnsi="宋体" w:eastAsia="宋体" w:cs="宋体"/>
          <w:spacing w:val="-1"/>
          <w:sz w:val="24"/>
          <w:szCs w:val="24"/>
        </w:rPr>
        <w:t>尽量避免环境风险事故的发生，同时完善环境风险应急措施，组织编制、学习、</w:t>
      </w:r>
      <w:r>
        <w:rPr>
          <w:rFonts w:ascii="宋体" w:hAnsi="宋体" w:eastAsia="宋体" w:cs="宋体"/>
          <w:spacing w:val="17"/>
          <w:sz w:val="24"/>
          <w:szCs w:val="24"/>
        </w:rPr>
        <w:t xml:space="preserve"> </w:t>
      </w:r>
      <w:r>
        <w:rPr>
          <w:rFonts w:ascii="宋体" w:hAnsi="宋体" w:eastAsia="宋体" w:cs="宋体"/>
          <w:spacing w:val="-6"/>
          <w:sz w:val="24"/>
          <w:szCs w:val="24"/>
        </w:rPr>
        <w:t>演练应急预案以便在事故发生后将影响降低到最低程度，</w:t>
      </w:r>
      <w:r>
        <w:rPr>
          <w:rFonts w:ascii="宋体" w:hAnsi="宋体" w:eastAsia="宋体" w:cs="宋体"/>
          <w:spacing w:val="-9"/>
          <w:sz w:val="24"/>
          <w:szCs w:val="24"/>
        </w:rPr>
        <w:t xml:space="preserve"> </w:t>
      </w:r>
      <w:r>
        <w:rPr>
          <w:rFonts w:ascii="宋体" w:hAnsi="宋体" w:eastAsia="宋体" w:cs="宋体"/>
          <w:spacing w:val="-6"/>
          <w:sz w:val="24"/>
          <w:szCs w:val="24"/>
        </w:rPr>
        <w:t>确保本次钻井工程环境</w:t>
      </w:r>
    </w:p>
    <w:p>
      <w:pPr>
        <w:spacing w:line="220" w:lineRule="auto"/>
        <w:ind w:left="39"/>
        <w:rPr>
          <w:rFonts w:ascii="宋体" w:hAnsi="宋体" w:eastAsia="宋体" w:cs="宋体"/>
          <w:sz w:val="24"/>
          <w:szCs w:val="24"/>
        </w:rPr>
      </w:pPr>
      <w:r>
        <w:rPr>
          <w:rFonts w:ascii="宋体" w:hAnsi="宋体" w:eastAsia="宋体" w:cs="宋体"/>
          <w:spacing w:val="-4"/>
          <w:sz w:val="24"/>
          <w:szCs w:val="24"/>
        </w:rPr>
        <w:t>风险防范措施有效可行。</w:t>
      </w:r>
    </w:p>
    <w:p>
      <w:pPr>
        <w:spacing w:before="193" w:line="218" w:lineRule="auto"/>
        <w:ind w:left="2675"/>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附表</w:t>
      </w:r>
      <w:r>
        <w:rPr>
          <w:rFonts w:ascii="宋体" w:hAnsi="宋体" w:eastAsia="宋体" w:cs="宋体"/>
          <w:spacing w:val="-30"/>
          <w:sz w:val="24"/>
          <w:szCs w:val="24"/>
        </w:rPr>
        <w:t xml:space="preserve"> </w:t>
      </w:r>
      <w:r>
        <w:rPr>
          <w:rFonts w:ascii="Times New Roman" w:hAnsi="Times New Roman" w:eastAsia="Times New Roman" w:cs="Times New Roman"/>
          <w:b/>
          <w:bCs/>
          <w:spacing w:val="-3"/>
          <w:sz w:val="24"/>
          <w:szCs w:val="24"/>
        </w:rPr>
        <w:t xml:space="preserve">1    </w:t>
      </w:r>
      <w:r>
        <w:rPr>
          <w:rFonts w:ascii="宋体" w:hAnsi="宋体" w:eastAsia="宋体" w:cs="宋体"/>
          <w:spacing w:val="-3"/>
          <w:sz w:val="24"/>
          <w:szCs w:val="24"/>
          <w14:textOutline w14:w="4354" w14:cap="flat" w14:cmpd="sng">
            <w14:solidFill>
              <w14:srgbClr w14:val="000000"/>
            </w14:solidFill>
            <w14:prstDash w14:val="solid"/>
            <w14:miter w14:val="10"/>
          </w14:textOutline>
        </w:rPr>
        <w:t>环境风险评价自查表</w:t>
      </w:r>
    </w:p>
    <w:p>
      <w:pPr>
        <w:spacing w:line="18" w:lineRule="exact"/>
      </w:pPr>
    </w:p>
    <w:tbl>
      <w:tblPr>
        <w:tblStyle w:val="5"/>
        <w:tblW w:w="8333" w:type="dxa"/>
        <w:tblInd w:w="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
        <w:gridCol w:w="1139"/>
        <w:gridCol w:w="856"/>
        <w:gridCol w:w="475"/>
        <w:gridCol w:w="645"/>
        <w:gridCol w:w="127"/>
        <w:gridCol w:w="467"/>
        <w:gridCol w:w="676"/>
        <w:gridCol w:w="566"/>
        <w:gridCol w:w="314"/>
        <w:gridCol w:w="944"/>
        <w:gridCol w:w="36"/>
        <w:gridCol w:w="1235"/>
      </w:tblGrid>
      <w:tr>
        <w:tblPrEx>
          <w:tblCellMar>
            <w:top w:w="0" w:type="dxa"/>
            <w:left w:w="0" w:type="dxa"/>
            <w:bottom w:w="0" w:type="dxa"/>
            <w:right w:w="0" w:type="dxa"/>
          </w:tblCellMar>
        </w:tblPrEx>
        <w:trPr>
          <w:trHeight w:val="352" w:hRule="atLeast"/>
        </w:trPr>
        <w:tc>
          <w:tcPr>
            <w:tcW w:w="1992" w:type="dxa"/>
            <w:gridSpan w:val="2"/>
            <w:vAlign w:val="top"/>
          </w:tcPr>
          <w:p>
            <w:pPr>
              <w:pStyle w:val="6"/>
              <w:spacing w:before="67" w:line="221" w:lineRule="auto"/>
              <w:ind w:left="581"/>
              <w:rPr>
                <w:sz w:val="21"/>
                <w:szCs w:val="21"/>
              </w:rPr>
            </w:pPr>
            <w:r>
              <w:rPr>
                <w:spacing w:val="-2"/>
                <w:sz w:val="21"/>
                <w:szCs w:val="21"/>
              </w:rPr>
              <w:t>工作内容</w:t>
            </w:r>
          </w:p>
        </w:tc>
        <w:tc>
          <w:tcPr>
            <w:tcW w:w="6341" w:type="dxa"/>
            <w:gridSpan w:val="11"/>
            <w:vAlign w:val="top"/>
          </w:tcPr>
          <w:p>
            <w:pPr>
              <w:pStyle w:val="6"/>
              <w:spacing w:before="67" w:line="221" w:lineRule="auto"/>
              <w:ind w:left="2753"/>
              <w:rPr>
                <w:sz w:val="21"/>
                <w:szCs w:val="21"/>
              </w:rPr>
            </w:pPr>
            <w:r>
              <w:rPr>
                <w:spacing w:val="-2"/>
                <w:sz w:val="21"/>
                <w:szCs w:val="21"/>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8" w:line="234" w:lineRule="auto"/>
              <w:ind w:left="323" w:right="106" w:hanging="212"/>
              <w:rPr>
                <w:sz w:val="21"/>
                <w:szCs w:val="21"/>
              </w:rPr>
            </w:pPr>
            <w:r>
              <w:rPr>
                <w:spacing w:val="-2"/>
                <w:sz w:val="21"/>
                <w:szCs w:val="21"/>
              </w:rPr>
              <w:t>风险调</w:t>
            </w:r>
            <w:r>
              <w:rPr>
                <w:sz w:val="21"/>
                <w:szCs w:val="21"/>
              </w:rPr>
              <w:t xml:space="preserve"> 查</w:t>
            </w:r>
          </w:p>
        </w:tc>
        <w:tc>
          <w:tcPr>
            <w:tcW w:w="1139" w:type="dxa"/>
            <w:vMerge w:val="restart"/>
            <w:tcBorders>
              <w:bottom w:val="nil"/>
            </w:tcBorders>
            <w:vAlign w:val="top"/>
          </w:tcPr>
          <w:p>
            <w:pPr>
              <w:spacing w:line="348" w:lineRule="auto"/>
              <w:rPr>
                <w:rFonts w:ascii="Arial"/>
                <w:sz w:val="21"/>
              </w:rPr>
            </w:pPr>
          </w:p>
          <w:p>
            <w:pPr>
              <w:spacing w:line="349" w:lineRule="auto"/>
              <w:rPr>
                <w:rFonts w:ascii="Arial"/>
                <w:sz w:val="21"/>
              </w:rPr>
            </w:pPr>
          </w:p>
          <w:p>
            <w:pPr>
              <w:pStyle w:val="6"/>
              <w:spacing w:before="68" w:line="221" w:lineRule="auto"/>
              <w:ind w:left="148"/>
              <w:rPr>
                <w:sz w:val="21"/>
                <w:szCs w:val="21"/>
              </w:rPr>
            </w:pPr>
            <w:r>
              <w:rPr>
                <w:spacing w:val="-2"/>
                <w:sz w:val="21"/>
                <w:szCs w:val="21"/>
              </w:rPr>
              <w:t>危险物质</w:t>
            </w:r>
          </w:p>
        </w:tc>
        <w:tc>
          <w:tcPr>
            <w:tcW w:w="856" w:type="dxa"/>
            <w:vAlign w:val="top"/>
          </w:tcPr>
          <w:p>
            <w:pPr>
              <w:pStyle w:val="6"/>
              <w:spacing w:before="60" w:line="223" w:lineRule="auto"/>
              <w:ind w:left="221"/>
              <w:rPr>
                <w:sz w:val="21"/>
                <w:szCs w:val="21"/>
              </w:rPr>
            </w:pPr>
            <w:r>
              <w:rPr>
                <w:spacing w:val="-3"/>
                <w:sz w:val="21"/>
                <w:szCs w:val="21"/>
              </w:rPr>
              <w:t>名称</w:t>
            </w:r>
          </w:p>
        </w:tc>
        <w:tc>
          <w:tcPr>
            <w:tcW w:w="1247" w:type="dxa"/>
            <w:gridSpan w:val="3"/>
            <w:vAlign w:val="top"/>
          </w:tcPr>
          <w:p>
            <w:pPr>
              <w:pStyle w:val="6"/>
              <w:spacing w:before="61" w:line="221" w:lineRule="auto"/>
              <w:ind w:left="442"/>
              <w:rPr>
                <w:sz w:val="21"/>
                <w:szCs w:val="21"/>
              </w:rPr>
            </w:pPr>
            <w:r>
              <w:rPr>
                <w:spacing w:val="-9"/>
                <w:sz w:val="21"/>
                <w:szCs w:val="21"/>
              </w:rPr>
              <w:t>甲烷</w:t>
            </w:r>
          </w:p>
        </w:tc>
        <w:tc>
          <w:tcPr>
            <w:tcW w:w="1709" w:type="dxa"/>
            <w:gridSpan w:val="3"/>
            <w:vAlign w:val="top"/>
          </w:tcPr>
          <w:p>
            <w:pPr>
              <w:pStyle w:val="6"/>
              <w:spacing w:before="60" w:line="222" w:lineRule="auto"/>
              <w:ind w:left="539"/>
              <w:rPr>
                <w:sz w:val="21"/>
                <w:szCs w:val="21"/>
              </w:rPr>
            </w:pPr>
            <w:r>
              <w:rPr>
                <w:spacing w:val="-1"/>
                <w:sz w:val="21"/>
                <w:szCs w:val="21"/>
              </w:rPr>
              <w:t>硫化氢</w:t>
            </w:r>
          </w:p>
        </w:tc>
        <w:tc>
          <w:tcPr>
            <w:tcW w:w="1258" w:type="dxa"/>
            <w:gridSpan w:val="2"/>
            <w:vAlign w:val="top"/>
          </w:tcPr>
          <w:p>
            <w:pPr>
              <w:pStyle w:val="6"/>
              <w:spacing w:before="61" w:line="221" w:lineRule="auto"/>
              <w:ind w:left="423"/>
              <w:rPr>
                <w:sz w:val="21"/>
                <w:szCs w:val="21"/>
              </w:rPr>
            </w:pPr>
            <w:r>
              <w:rPr>
                <w:spacing w:val="-2"/>
                <w:sz w:val="21"/>
                <w:szCs w:val="21"/>
              </w:rPr>
              <w:t>柴油</w:t>
            </w:r>
          </w:p>
        </w:tc>
        <w:tc>
          <w:tcPr>
            <w:tcW w:w="1271" w:type="dxa"/>
            <w:gridSpan w:val="2"/>
            <w:vAlign w:val="top"/>
          </w:tcPr>
          <w:p>
            <w:pPr>
              <w:pStyle w:val="6"/>
              <w:spacing w:before="61" w:line="223" w:lineRule="auto"/>
              <w:ind w:left="460"/>
              <w:rPr>
                <w:sz w:val="21"/>
                <w:szCs w:val="21"/>
              </w:rPr>
            </w:pPr>
            <w:r>
              <w:rPr>
                <w:spacing w:val="-10"/>
                <w:sz w:val="21"/>
                <w:szCs w:val="21"/>
              </w:rPr>
              <w:t>白油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856" w:type="dxa"/>
            <w:vAlign w:val="top"/>
          </w:tcPr>
          <w:p>
            <w:pPr>
              <w:pStyle w:val="6"/>
              <w:spacing w:before="27" w:line="224" w:lineRule="auto"/>
              <w:ind w:left="361" w:right="4" w:hanging="355"/>
              <w:rPr>
                <w:rFonts w:ascii="Times New Roman" w:hAnsi="Times New Roman" w:eastAsia="Times New Roman" w:cs="Times New Roman"/>
                <w:sz w:val="21"/>
                <w:szCs w:val="21"/>
              </w:rPr>
            </w:pPr>
            <w:r>
              <w:rPr>
                <w:spacing w:val="-2"/>
                <w:sz w:val="21"/>
                <w:szCs w:val="21"/>
              </w:rPr>
              <w:t>存在总量</w:t>
            </w:r>
            <w:r>
              <w:rPr>
                <w:spacing w:val="2"/>
                <w:sz w:val="21"/>
                <w:szCs w:val="21"/>
              </w:rPr>
              <w:t xml:space="preserve"> </w:t>
            </w:r>
            <w:r>
              <w:rPr>
                <w:rFonts w:ascii="Times New Roman" w:hAnsi="Times New Roman" w:eastAsia="Times New Roman" w:cs="Times New Roman"/>
                <w:spacing w:val="-1"/>
                <w:sz w:val="21"/>
                <w:szCs w:val="21"/>
              </w:rPr>
              <w:t>/t</w:t>
            </w:r>
          </w:p>
        </w:tc>
        <w:tc>
          <w:tcPr>
            <w:tcW w:w="1247" w:type="dxa"/>
            <w:gridSpan w:val="3"/>
            <w:vAlign w:val="top"/>
          </w:tcPr>
          <w:p>
            <w:pPr>
              <w:spacing w:before="186"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26.53</w:t>
            </w:r>
          </w:p>
        </w:tc>
        <w:tc>
          <w:tcPr>
            <w:tcW w:w="1709" w:type="dxa"/>
            <w:gridSpan w:val="3"/>
            <w:vAlign w:val="top"/>
          </w:tcPr>
          <w:p>
            <w:pPr>
              <w:spacing w:before="186" w:line="187" w:lineRule="auto"/>
              <w:ind w:left="68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1.17</w:t>
            </w:r>
          </w:p>
        </w:tc>
        <w:tc>
          <w:tcPr>
            <w:tcW w:w="1258" w:type="dxa"/>
            <w:gridSpan w:val="2"/>
            <w:vAlign w:val="top"/>
          </w:tcPr>
          <w:p>
            <w:pPr>
              <w:spacing w:before="186"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1271" w:type="dxa"/>
            <w:gridSpan w:val="2"/>
            <w:vAlign w:val="top"/>
          </w:tcPr>
          <w:p>
            <w:pPr>
              <w:spacing w:before="186"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856" w:type="dxa"/>
            <w:vAlign w:val="top"/>
          </w:tcPr>
          <w:p>
            <w:pPr>
              <w:pStyle w:val="6"/>
              <w:spacing w:before="63" w:line="223" w:lineRule="auto"/>
              <w:ind w:left="221"/>
              <w:rPr>
                <w:sz w:val="21"/>
                <w:szCs w:val="21"/>
              </w:rPr>
            </w:pPr>
            <w:r>
              <w:rPr>
                <w:spacing w:val="-3"/>
                <w:sz w:val="21"/>
                <w:szCs w:val="21"/>
              </w:rPr>
              <w:t>名称</w:t>
            </w:r>
          </w:p>
        </w:tc>
        <w:tc>
          <w:tcPr>
            <w:tcW w:w="1247" w:type="dxa"/>
            <w:gridSpan w:val="3"/>
            <w:vAlign w:val="top"/>
          </w:tcPr>
          <w:p>
            <w:pPr>
              <w:pStyle w:val="6"/>
              <w:spacing w:before="64" w:line="221" w:lineRule="auto"/>
              <w:ind w:left="413"/>
              <w:rPr>
                <w:sz w:val="21"/>
                <w:szCs w:val="21"/>
              </w:rPr>
            </w:pPr>
            <w:r>
              <w:rPr>
                <w:spacing w:val="-2"/>
                <w:sz w:val="21"/>
                <w:szCs w:val="21"/>
              </w:rPr>
              <w:t>废油</w:t>
            </w:r>
          </w:p>
        </w:tc>
        <w:tc>
          <w:tcPr>
            <w:tcW w:w="1709" w:type="dxa"/>
            <w:gridSpan w:val="3"/>
            <w:vAlign w:val="top"/>
          </w:tcPr>
          <w:p>
            <w:pPr>
              <w:pStyle w:val="6"/>
              <w:spacing w:before="64" w:line="221" w:lineRule="auto"/>
              <w:ind w:left="539"/>
              <w:rPr>
                <w:sz w:val="21"/>
                <w:szCs w:val="21"/>
              </w:rPr>
            </w:pPr>
            <w:r>
              <w:rPr>
                <w:spacing w:val="-2"/>
                <w:sz w:val="21"/>
                <w:szCs w:val="21"/>
              </w:rPr>
              <w:t>稀盐酸</w:t>
            </w:r>
          </w:p>
        </w:tc>
        <w:tc>
          <w:tcPr>
            <w:tcW w:w="1258" w:type="dxa"/>
            <w:gridSpan w:val="2"/>
            <w:vAlign w:val="top"/>
          </w:tcPr>
          <w:p>
            <w:pPr>
              <w:pStyle w:val="6"/>
              <w:spacing w:before="64" w:line="221" w:lineRule="auto"/>
              <w:ind w:left="215"/>
              <w:rPr>
                <w:sz w:val="21"/>
                <w:szCs w:val="21"/>
              </w:rPr>
            </w:pPr>
            <w:r>
              <w:rPr>
                <w:spacing w:val="-3"/>
                <w:sz w:val="21"/>
                <w:szCs w:val="21"/>
              </w:rPr>
              <w:t>油基岩屑</w:t>
            </w:r>
          </w:p>
        </w:tc>
        <w:tc>
          <w:tcPr>
            <w:tcW w:w="1271" w:type="dxa"/>
            <w:gridSpan w:val="2"/>
            <w:vAlign w:val="top"/>
          </w:tcPr>
          <w:p>
            <w:pPr>
              <w:pStyle w:val="6"/>
              <w:spacing w:before="63" w:line="221" w:lineRule="auto"/>
              <w:ind w:left="222"/>
              <w:rPr>
                <w:sz w:val="21"/>
                <w:szCs w:val="21"/>
              </w:rPr>
            </w:pPr>
            <w:r>
              <w:rPr>
                <w:spacing w:val="-3"/>
                <w:sz w:val="21"/>
                <w:szCs w:val="21"/>
              </w:rPr>
              <w:t>油基泥浆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tcBorders>
            <w:vAlign w:val="top"/>
          </w:tcPr>
          <w:p>
            <w:pPr>
              <w:rPr>
                <w:rFonts w:ascii="Arial"/>
                <w:sz w:val="21"/>
              </w:rPr>
            </w:pPr>
          </w:p>
        </w:tc>
        <w:tc>
          <w:tcPr>
            <w:tcW w:w="856" w:type="dxa"/>
            <w:vAlign w:val="top"/>
          </w:tcPr>
          <w:p>
            <w:pPr>
              <w:pStyle w:val="6"/>
              <w:spacing w:before="28" w:line="223" w:lineRule="auto"/>
              <w:ind w:left="361" w:right="4" w:hanging="355"/>
              <w:rPr>
                <w:rFonts w:ascii="Times New Roman" w:hAnsi="Times New Roman" w:eastAsia="Times New Roman" w:cs="Times New Roman"/>
                <w:sz w:val="21"/>
                <w:szCs w:val="21"/>
              </w:rPr>
            </w:pPr>
            <w:r>
              <w:rPr>
                <w:spacing w:val="-2"/>
                <w:sz w:val="21"/>
                <w:szCs w:val="21"/>
              </w:rPr>
              <w:t>存在总量</w:t>
            </w:r>
            <w:r>
              <w:rPr>
                <w:spacing w:val="2"/>
                <w:sz w:val="21"/>
                <w:szCs w:val="21"/>
              </w:rPr>
              <w:t xml:space="preserve"> </w:t>
            </w:r>
            <w:r>
              <w:rPr>
                <w:rFonts w:ascii="Times New Roman" w:hAnsi="Times New Roman" w:eastAsia="Times New Roman" w:cs="Times New Roman"/>
                <w:spacing w:val="-1"/>
                <w:sz w:val="21"/>
                <w:szCs w:val="21"/>
              </w:rPr>
              <w:t>/t</w:t>
            </w:r>
          </w:p>
        </w:tc>
        <w:tc>
          <w:tcPr>
            <w:tcW w:w="1247" w:type="dxa"/>
            <w:gridSpan w:val="3"/>
            <w:vAlign w:val="top"/>
          </w:tcPr>
          <w:p>
            <w:pPr>
              <w:spacing w:before="189" w:line="187" w:lineRule="auto"/>
              <w:ind w:left="4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709" w:type="dxa"/>
            <w:gridSpan w:val="3"/>
            <w:vAlign w:val="top"/>
          </w:tcPr>
          <w:p>
            <w:pPr>
              <w:spacing w:before="189" w:line="187" w:lineRule="auto"/>
              <w:ind w:left="6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118.7</w:t>
            </w:r>
          </w:p>
        </w:tc>
        <w:tc>
          <w:tcPr>
            <w:tcW w:w="1258" w:type="dxa"/>
            <w:gridSpan w:val="2"/>
            <w:vAlign w:val="top"/>
          </w:tcPr>
          <w:p>
            <w:pPr>
              <w:spacing w:before="189"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25.65</w:t>
            </w:r>
          </w:p>
        </w:tc>
        <w:tc>
          <w:tcPr>
            <w:tcW w:w="1271" w:type="dxa"/>
            <w:gridSpan w:val="2"/>
            <w:vAlign w:val="top"/>
          </w:tcPr>
          <w:p>
            <w:pPr>
              <w:spacing w:before="189" w:line="187" w:lineRule="auto"/>
              <w:ind w:left="4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3" w:type="dxa"/>
            <w:vMerge w:val="continue"/>
            <w:tcBorders>
              <w:top w:val="nil"/>
              <w:bottom w:val="nil"/>
            </w:tcBorders>
            <w:vAlign w:val="top"/>
          </w:tcPr>
          <w:p>
            <w:pPr>
              <w:rPr>
                <w:rFonts w:ascii="Arial"/>
                <w:sz w:val="21"/>
              </w:rPr>
            </w:pPr>
          </w:p>
        </w:tc>
        <w:tc>
          <w:tcPr>
            <w:tcW w:w="1139"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40"/>
              <w:rPr>
                <w:sz w:val="21"/>
                <w:szCs w:val="21"/>
              </w:rPr>
            </w:pPr>
            <w:r>
              <w:rPr>
                <w:spacing w:val="-1"/>
                <w:sz w:val="21"/>
                <w:szCs w:val="21"/>
              </w:rPr>
              <w:t>环境敏感性</w:t>
            </w:r>
          </w:p>
        </w:tc>
        <w:tc>
          <w:tcPr>
            <w:tcW w:w="856" w:type="dxa"/>
            <w:vMerge w:val="restart"/>
            <w:tcBorders>
              <w:bottom w:val="nil"/>
            </w:tcBorders>
            <w:vAlign w:val="top"/>
          </w:tcPr>
          <w:p>
            <w:pPr>
              <w:spacing w:line="274" w:lineRule="auto"/>
              <w:rPr>
                <w:rFonts w:ascii="Arial"/>
                <w:sz w:val="21"/>
              </w:rPr>
            </w:pPr>
          </w:p>
          <w:p>
            <w:pPr>
              <w:pStyle w:val="6"/>
              <w:spacing w:before="68" w:line="221" w:lineRule="auto"/>
              <w:ind w:left="221"/>
              <w:rPr>
                <w:sz w:val="21"/>
                <w:szCs w:val="21"/>
              </w:rPr>
            </w:pPr>
            <w:r>
              <w:rPr>
                <w:spacing w:val="-3"/>
                <w:sz w:val="21"/>
                <w:szCs w:val="21"/>
              </w:rPr>
              <w:t>大气</w:t>
            </w:r>
          </w:p>
        </w:tc>
        <w:tc>
          <w:tcPr>
            <w:tcW w:w="2956" w:type="dxa"/>
            <w:gridSpan w:val="6"/>
            <w:vAlign w:val="top"/>
          </w:tcPr>
          <w:p>
            <w:pPr>
              <w:pStyle w:val="6"/>
              <w:spacing w:before="165" w:line="221" w:lineRule="auto"/>
              <w:ind w:left="61"/>
              <w:rPr>
                <w:sz w:val="21"/>
                <w:szCs w:val="21"/>
              </w:rPr>
            </w:pPr>
            <w:r>
              <w:rPr>
                <w:rFonts w:ascii="Times New Roman" w:hAnsi="Times New Roman" w:eastAsia="Times New Roman" w:cs="Times New Roman"/>
                <w:spacing w:val="2"/>
                <w:sz w:val="21"/>
                <w:szCs w:val="21"/>
              </w:rPr>
              <w:t xml:space="preserve">500m </w:t>
            </w:r>
            <w:r>
              <w:rPr>
                <w:spacing w:val="2"/>
                <w:sz w:val="21"/>
                <w:szCs w:val="21"/>
              </w:rPr>
              <w:t>范围内人口数</w:t>
            </w:r>
            <w:r>
              <w:rPr>
                <w:spacing w:val="2"/>
                <w:sz w:val="21"/>
                <w:szCs w:val="21"/>
                <w:u w:val="single" w:color="auto"/>
              </w:rPr>
              <w:t>小于</w:t>
            </w:r>
            <w:r>
              <w:rPr>
                <w:spacing w:val="-42"/>
                <w:sz w:val="21"/>
                <w:szCs w:val="21"/>
                <w:u w:val="single" w:color="auto"/>
              </w:rPr>
              <w:t xml:space="preserve"> </w:t>
            </w:r>
            <w:r>
              <w:rPr>
                <w:rFonts w:ascii="Times New Roman" w:hAnsi="Times New Roman" w:eastAsia="Times New Roman" w:cs="Times New Roman"/>
                <w:spacing w:val="2"/>
                <w:sz w:val="21"/>
                <w:szCs w:val="21"/>
                <w:u w:val="single" w:color="auto"/>
              </w:rPr>
              <w:t>500</w:t>
            </w:r>
            <w:r>
              <w:rPr>
                <w:spacing w:val="2"/>
                <w:sz w:val="21"/>
                <w:szCs w:val="21"/>
              </w:rPr>
              <w:t>人</w:t>
            </w:r>
          </w:p>
        </w:tc>
        <w:tc>
          <w:tcPr>
            <w:tcW w:w="2529" w:type="dxa"/>
            <w:gridSpan w:val="4"/>
            <w:vAlign w:val="top"/>
          </w:tcPr>
          <w:p>
            <w:pPr>
              <w:pStyle w:val="6"/>
              <w:spacing w:before="31" w:line="224" w:lineRule="auto"/>
              <w:ind w:left="1161" w:right="3" w:hanging="1149"/>
              <w:rPr>
                <w:sz w:val="21"/>
                <w:szCs w:val="21"/>
              </w:rPr>
            </w:pPr>
            <w:r>
              <w:rPr>
                <w:rFonts w:ascii="Times New Roman" w:hAnsi="Times New Roman" w:eastAsia="Times New Roman" w:cs="Times New Roman"/>
                <w:spacing w:val="-3"/>
                <w:sz w:val="21"/>
                <w:szCs w:val="21"/>
              </w:rPr>
              <w:t xml:space="preserve">5km </w:t>
            </w:r>
            <w:r>
              <w:rPr>
                <w:spacing w:val="-3"/>
                <w:sz w:val="21"/>
                <w:szCs w:val="21"/>
              </w:rPr>
              <w:t>范围内人口数</w:t>
            </w:r>
            <w:r>
              <w:rPr>
                <w:spacing w:val="-3"/>
                <w:sz w:val="21"/>
                <w:szCs w:val="21"/>
                <w:u w:val="single" w:color="auto"/>
              </w:rPr>
              <w:t>大于</w:t>
            </w:r>
            <w:r>
              <w:rPr>
                <w:spacing w:val="-32"/>
                <w:sz w:val="21"/>
                <w:szCs w:val="21"/>
                <w:u w:val="single" w:color="auto"/>
              </w:rPr>
              <w:t xml:space="preserve"> </w:t>
            </w:r>
            <w:r>
              <w:rPr>
                <w:rFonts w:ascii="Times New Roman" w:hAnsi="Times New Roman" w:eastAsia="Times New Roman" w:cs="Times New Roman"/>
                <w:spacing w:val="-3"/>
                <w:sz w:val="21"/>
                <w:szCs w:val="21"/>
                <w:u w:val="single" w:color="auto"/>
              </w:rPr>
              <w:t xml:space="preserve">1 </w:t>
            </w:r>
            <w:r>
              <w:rPr>
                <w:spacing w:val="-3"/>
                <w:sz w:val="21"/>
                <w:szCs w:val="21"/>
                <w:u w:val="single" w:color="auto"/>
              </w:rPr>
              <w:t>万</w:t>
            </w:r>
            <w:r>
              <w:rPr>
                <w:sz w:val="21"/>
                <w:szCs w:val="21"/>
              </w:rPr>
              <w:t xml:space="preserve"> </w:t>
            </w:r>
            <w:r>
              <w:rPr>
                <w:sz w:val="21"/>
                <w:szCs w:val="21"/>
                <w:u w:val="single" w:color="auto"/>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856" w:type="dxa"/>
            <w:vMerge w:val="continue"/>
            <w:tcBorders>
              <w:top w:val="nil"/>
            </w:tcBorders>
            <w:vAlign w:val="top"/>
          </w:tcPr>
          <w:p>
            <w:pPr>
              <w:rPr>
                <w:rFonts w:ascii="Arial"/>
                <w:sz w:val="21"/>
              </w:rPr>
            </w:pPr>
          </w:p>
        </w:tc>
        <w:tc>
          <w:tcPr>
            <w:tcW w:w="4250" w:type="dxa"/>
            <w:gridSpan w:val="9"/>
            <w:vAlign w:val="top"/>
          </w:tcPr>
          <w:p>
            <w:pPr>
              <w:pStyle w:val="6"/>
              <w:spacing w:before="63" w:line="221" w:lineRule="auto"/>
              <w:ind w:left="52"/>
              <w:rPr>
                <w:sz w:val="21"/>
                <w:szCs w:val="21"/>
              </w:rPr>
            </w:pPr>
            <w:r>
              <w:rPr>
                <w:spacing w:val="-1"/>
                <w:sz w:val="21"/>
                <w:szCs w:val="21"/>
              </w:rPr>
              <w:t>每公里管段周边</w:t>
            </w:r>
            <w:r>
              <w:rPr>
                <w:spacing w:val="-48"/>
                <w:sz w:val="21"/>
                <w:szCs w:val="21"/>
              </w:rPr>
              <w:t xml:space="preserve"> </w:t>
            </w:r>
            <w:r>
              <w:rPr>
                <w:rFonts w:ascii="Times New Roman" w:hAnsi="Times New Roman" w:eastAsia="Times New Roman" w:cs="Times New Roman"/>
                <w:spacing w:val="-1"/>
                <w:sz w:val="21"/>
                <w:szCs w:val="21"/>
              </w:rPr>
              <w:t xml:space="preserve">200m </w:t>
            </w:r>
            <w:r>
              <w:rPr>
                <w:spacing w:val="-1"/>
                <w:sz w:val="21"/>
                <w:szCs w:val="21"/>
              </w:rPr>
              <w:t>范围内人口数（最大）</w:t>
            </w:r>
          </w:p>
        </w:tc>
        <w:tc>
          <w:tcPr>
            <w:tcW w:w="1235" w:type="dxa"/>
            <w:vAlign w:val="top"/>
          </w:tcPr>
          <w:p>
            <w:pPr>
              <w:pStyle w:val="6"/>
              <w:spacing w:before="64" w:line="237" w:lineRule="auto"/>
              <w:ind w:left="480"/>
              <w:rPr>
                <w:sz w:val="21"/>
                <w:szCs w:val="21"/>
              </w:rPr>
            </w:pPr>
            <w:r>
              <w:rPr>
                <w:rFonts w:ascii="Times New Roman" w:hAnsi="Times New Roman" w:eastAsia="Times New Roman" w:cs="Times New Roman"/>
                <w:sz w:val="21"/>
                <w:szCs w:val="21"/>
              </w:rPr>
              <w:t>/</w:t>
            </w:r>
            <w:r>
              <w:rPr>
                <w:rFonts w:ascii="Times New Roman" w:hAnsi="Times New Roman" w:eastAsia="Times New Roman" w:cs="Times New Roman"/>
                <w:spacing w:val="1"/>
                <w:sz w:val="21"/>
                <w:szCs w:val="21"/>
              </w:rPr>
              <w:t xml:space="preserve">      </w:t>
            </w:r>
            <w:r>
              <w:rPr>
                <w:sz w:val="21"/>
                <w:szCs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856" w:type="dxa"/>
            <w:vMerge w:val="restart"/>
            <w:tcBorders>
              <w:bottom w:val="nil"/>
            </w:tcBorders>
            <w:vAlign w:val="top"/>
          </w:tcPr>
          <w:p>
            <w:pPr>
              <w:pStyle w:val="6"/>
              <w:spacing w:before="240" w:line="221" w:lineRule="auto"/>
              <w:ind w:left="113"/>
              <w:rPr>
                <w:sz w:val="21"/>
                <w:szCs w:val="21"/>
              </w:rPr>
            </w:pPr>
            <w:r>
              <w:rPr>
                <w:spacing w:val="-2"/>
                <w:sz w:val="21"/>
                <w:szCs w:val="21"/>
              </w:rPr>
              <w:t>地表水</w:t>
            </w:r>
          </w:p>
        </w:tc>
        <w:tc>
          <w:tcPr>
            <w:tcW w:w="1714" w:type="dxa"/>
            <w:gridSpan w:val="4"/>
            <w:vAlign w:val="top"/>
          </w:tcPr>
          <w:p>
            <w:pPr>
              <w:pStyle w:val="6"/>
              <w:spacing w:before="63" w:line="221" w:lineRule="auto"/>
              <w:ind w:left="18"/>
              <w:rPr>
                <w:sz w:val="21"/>
                <w:szCs w:val="21"/>
              </w:rPr>
            </w:pPr>
            <w:r>
              <w:rPr>
                <w:spacing w:val="-1"/>
                <w:sz w:val="21"/>
                <w:szCs w:val="21"/>
              </w:rPr>
              <w:t>地表水功能敏感性</w:t>
            </w:r>
          </w:p>
        </w:tc>
        <w:tc>
          <w:tcPr>
            <w:tcW w:w="1242" w:type="dxa"/>
            <w:gridSpan w:val="2"/>
            <w:vAlign w:val="top"/>
          </w:tcPr>
          <w:p>
            <w:pPr>
              <w:spacing w:before="98" w:line="232"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94" w:type="dxa"/>
            <w:gridSpan w:val="3"/>
            <w:vAlign w:val="top"/>
          </w:tcPr>
          <w:p>
            <w:pPr>
              <w:spacing w:before="98" w:line="232"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F2</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1"/>
                <w:sz w:val="21"/>
                <w:szCs w:val="21"/>
              </w:rPr>
              <w:t>□</w:t>
            </w:r>
          </w:p>
        </w:tc>
        <w:tc>
          <w:tcPr>
            <w:tcW w:w="1235" w:type="dxa"/>
            <w:vAlign w:val="top"/>
          </w:tcPr>
          <w:p>
            <w:pPr>
              <w:spacing w:before="81" w:line="208" w:lineRule="auto"/>
              <w:ind w:left="384"/>
              <w:rPr>
                <w:sz w:val="21"/>
                <w:szCs w:val="21"/>
              </w:rPr>
            </w:pPr>
            <w:r>
              <w:rPr>
                <w:rFonts w:ascii="Times New Roman" w:hAnsi="Times New Roman" w:eastAsia="Times New Roman" w:cs="Times New Roman"/>
                <w:spacing w:val="-1"/>
                <w:sz w:val="21"/>
                <w:szCs w:val="21"/>
              </w:rPr>
              <w:t>F3</w:t>
            </w:r>
            <w:r>
              <w:rPr>
                <w:rFonts w:ascii="Times New Roman" w:hAnsi="Times New Roman" w:eastAsia="Times New Roman" w:cs="Times New Roman"/>
                <w:spacing w:val="16"/>
                <w:sz w:val="21"/>
                <w:szCs w:val="21"/>
              </w:rPr>
              <w:t xml:space="preserve"> </w:t>
            </w:r>
            <w:r>
              <w:rPr>
                <w:sz w:val="21"/>
                <w:szCs w:val="21"/>
              </w:rPr>
              <w:drawing>
                <wp:inline distT="0" distB="0" distL="0" distR="0">
                  <wp:extent cx="104140" cy="10414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75"/>
                          <a:stretch>
                            <a:fillRect/>
                          </a:stretch>
                        </pic:blipFill>
                        <pic:spPr>
                          <a:xfrm>
                            <a:off x="0" y="0"/>
                            <a:ext cx="104473" cy="10420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856" w:type="dxa"/>
            <w:vMerge w:val="continue"/>
            <w:tcBorders>
              <w:top w:val="nil"/>
            </w:tcBorders>
            <w:vAlign w:val="top"/>
          </w:tcPr>
          <w:p>
            <w:pPr>
              <w:rPr>
                <w:rFonts w:ascii="Arial"/>
                <w:sz w:val="21"/>
              </w:rPr>
            </w:pPr>
          </w:p>
        </w:tc>
        <w:tc>
          <w:tcPr>
            <w:tcW w:w="1714" w:type="dxa"/>
            <w:gridSpan w:val="4"/>
            <w:vAlign w:val="top"/>
          </w:tcPr>
          <w:p>
            <w:pPr>
              <w:pStyle w:val="6"/>
              <w:spacing w:before="66" w:line="221" w:lineRule="auto"/>
              <w:ind w:left="18"/>
              <w:rPr>
                <w:sz w:val="21"/>
                <w:szCs w:val="21"/>
              </w:rPr>
            </w:pPr>
            <w:r>
              <w:rPr>
                <w:spacing w:val="-1"/>
                <w:sz w:val="21"/>
                <w:szCs w:val="21"/>
              </w:rPr>
              <w:t>环境敏感目标分级</w:t>
            </w:r>
          </w:p>
        </w:tc>
        <w:tc>
          <w:tcPr>
            <w:tcW w:w="1242" w:type="dxa"/>
            <w:gridSpan w:val="2"/>
            <w:vAlign w:val="top"/>
          </w:tcPr>
          <w:p>
            <w:pPr>
              <w:spacing w:before="101" w:line="232" w:lineRule="auto"/>
              <w:ind w:left="4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4"/>
                <w:sz w:val="21"/>
                <w:szCs w:val="21"/>
              </w:rPr>
              <w:t>□</w:t>
            </w:r>
          </w:p>
        </w:tc>
        <w:tc>
          <w:tcPr>
            <w:tcW w:w="1294" w:type="dxa"/>
            <w:gridSpan w:val="3"/>
            <w:vAlign w:val="top"/>
          </w:tcPr>
          <w:p>
            <w:pPr>
              <w:spacing w:before="101" w:line="232"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S2</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4"/>
                <w:sz w:val="21"/>
                <w:szCs w:val="21"/>
              </w:rPr>
              <w:t>□</w:t>
            </w:r>
          </w:p>
        </w:tc>
        <w:tc>
          <w:tcPr>
            <w:tcW w:w="1235" w:type="dxa"/>
            <w:vAlign w:val="top"/>
          </w:tcPr>
          <w:p>
            <w:pPr>
              <w:spacing w:before="84" w:line="208" w:lineRule="auto"/>
              <w:ind w:left="367"/>
              <w:rPr>
                <w:sz w:val="21"/>
                <w:szCs w:val="21"/>
              </w:rPr>
            </w:pPr>
            <w:r>
              <w:rPr>
                <w:rFonts w:ascii="Times New Roman" w:hAnsi="Times New Roman" w:eastAsia="Times New Roman" w:cs="Times New Roman"/>
                <w:spacing w:val="-6"/>
                <w:sz w:val="21"/>
                <w:szCs w:val="21"/>
              </w:rPr>
              <w:t>S3</w:t>
            </w:r>
            <w:r>
              <w:rPr>
                <w:rFonts w:ascii="Times New Roman" w:hAnsi="Times New Roman" w:eastAsia="Times New Roman" w:cs="Times New Roman"/>
                <w:spacing w:val="8"/>
                <w:sz w:val="21"/>
                <w:szCs w:val="21"/>
              </w:rPr>
              <w:t xml:space="preserve">  </w:t>
            </w:r>
            <w:r>
              <w:rPr>
                <w:sz w:val="21"/>
                <w:szCs w:val="21"/>
              </w:rPr>
              <w:drawing>
                <wp:inline distT="0" distB="0" distL="0" distR="0">
                  <wp:extent cx="104140" cy="10414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76"/>
                          <a:stretch>
                            <a:fillRect/>
                          </a:stretch>
                        </pic:blipFill>
                        <pic:spPr>
                          <a:xfrm>
                            <a:off x="0" y="0"/>
                            <a:ext cx="104473" cy="10420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856" w:type="dxa"/>
            <w:vMerge w:val="restart"/>
            <w:tcBorders>
              <w:bottom w:val="nil"/>
            </w:tcBorders>
            <w:vAlign w:val="top"/>
          </w:tcPr>
          <w:p>
            <w:pPr>
              <w:pStyle w:val="6"/>
              <w:spacing w:before="244" w:line="221" w:lineRule="auto"/>
              <w:ind w:left="113"/>
              <w:rPr>
                <w:sz w:val="21"/>
                <w:szCs w:val="21"/>
              </w:rPr>
            </w:pPr>
            <w:r>
              <w:rPr>
                <w:spacing w:val="-2"/>
                <w:sz w:val="21"/>
                <w:szCs w:val="21"/>
              </w:rPr>
              <w:t>地下水</w:t>
            </w:r>
          </w:p>
        </w:tc>
        <w:tc>
          <w:tcPr>
            <w:tcW w:w="1714" w:type="dxa"/>
            <w:gridSpan w:val="4"/>
            <w:vAlign w:val="top"/>
          </w:tcPr>
          <w:p>
            <w:pPr>
              <w:pStyle w:val="6"/>
              <w:spacing w:before="66" w:line="221" w:lineRule="auto"/>
              <w:ind w:left="18"/>
              <w:rPr>
                <w:sz w:val="21"/>
                <w:szCs w:val="21"/>
              </w:rPr>
            </w:pPr>
            <w:r>
              <w:rPr>
                <w:spacing w:val="-1"/>
                <w:sz w:val="21"/>
                <w:szCs w:val="21"/>
              </w:rPr>
              <w:t>地下水功能敏感性</w:t>
            </w:r>
          </w:p>
        </w:tc>
        <w:tc>
          <w:tcPr>
            <w:tcW w:w="1242" w:type="dxa"/>
            <w:gridSpan w:val="2"/>
            <w:vAlign w:val="top"/>
          </w:tcPr>
          <w:p>
            <w:pPr>
              <w:spacing w:before="102" w:line="231"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2"/>
                <w:sz w:val="21"/>
                <w:szCs w:val="21"/>
              </w:rPr>
              <w:t>□</w:t>
            </w:r>
          </w:p>
        </w:tc>
        <w:tc>
          <w:tcPr>
            <w:tcW w:w="1294" w:type="dxa"/>
            <w:gridSpan w:val="3"/>
            <w:vAlign w:val="top"/>
          </w:tcPr>
          <w:p>
            <w:pPr>
              <w:spacing w:before="84" w:line="208" w:lineRule="auto"/>
              <w:ind w:left="403"/>
              <w:rPr>
                <w:sz w:val="21"/>
                <w:szCs w:val="21"/>
              </w:rPr>
            </w:pPr>
            <w:r>
              <w:rPr>
                <w:rFonts w:ascii="Times New Roman" w:hAnsi="Times New Roman" w:eastAsia="Times New Roman" w:cs="Times New Roman"/>
                <w:spacing w:val="-3"/>
                <w:sz w:val="21"/>
                <w:szCs w:val="21"/>
              </w:rPr>
              <w:t>G2</w:t>
            </w:r>
            <w:r>
              <w:rPr>
                <w:rFonts w:ascii="Times New Roman" w:hAnsi="Times New Roman" w:eastAsia="Times New Roman" w:cs="Times New Roman"/>
                <w:spacing w:val="15"/>
                <w:w w:val="101"/>
                <w:sz w:val="21"/>
                <w:szCs w:val="21"/>
              </w:rPr>
              <w:t xml:space="preserve"> </w:t>
            </w:r>
            <w:r>
              <w:rPr>
                <w:sz w:val="21"/>
                <w:szCs w:val="21"/>
              </w:rPr>
              <w:drawing>
                <wp:inline distT="0" distB="0" distL="0" distR="0">
                  <wp:extent cx="104140" cy="10414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77"/>
                          <a:stretch>
                            <a:fillRect/>
                          </a:stretch>
                        </pic:blipFill>
                        <pic:spPr>
                          <a:xfrm>
                            <a:off x="0" y="0"/>
                            <a:ext cx="104473" cy="104204"/>
                          </a:xfrm>
                          <a:prstGeom prst="rect">
                            <a:avLst/>
                          </a:prstGeom>
                        </pic:spPr>
                      </pic:pic>
                    </a:graphicData>
                  </a:graphic>
                </wp:inline>
              </w:drawing>
            </w:r>
          </w:p>
        </w:tc>
        <w:tc>
          <w:tcPr>
            <w:tcW w:w="1235" w:type="dxa"/>
            <w:vAlign w:val="top"/>
          </w:tcPr>
          <w:p>
            <w:pPr>
              <w:spacing w:before="102" w:line="231"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G3</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tcBorders>
            <w:vAlign w:val="top"/>
          </w:tcPr>
          <w:p>
            <w:pPr>
              <w:rPr>
                <w:rFonts w:ascii="Arial"/>
                <w:sz w:val="21"/>
              </w:rPr>
            </w:pPr>
          </w:p>
        </w:tc>
        <w:tc>
          <w:tcPr>
            <w:tcW w:w="1139" w:type="dxa"/>
            <w:vMerge w:val="continue"/>
            <w:tcBorders>
              <w:top w:val="nil"/>
            </w:tcBorders>
            <w:vAlign w:val="top"/>
          </w:tcPr>
          <w:p>
            <w:pPr>
              <w:rPr>
                <w:rFonts w:ascii="Arial"/>
                <w:sz w:val="21"/>
              </w:rPr>
            </w:pPr>
          </w:p>
        </w:tc>
        <w:tc>
          <w:tcPr>
            <w:tcW w:w="856" w:type="dxa"/>
            <w:vMerge w:val="continue"/>
            <w:tcBorders>
              <w:top w:val="nil"/>
            </w:tcBorders>
            <w:vAlign w:val="top"/>
          </w:tcPr>
          <w:p>
            <w:pPr>
              <w:rPr>
                <w:rFonts w:ascii="Arial"/>
                <w:sz w:val="21"/>
              </w:rPr>
            </w:pPr>
          </w:p>
        </w:tc>
        <w:tc>
          <w:tcPr>
            <w:tcW w:w="1714" w:type="dxa"/>
            <w:gridSpan w:val="4"/>
            <w:vAlign w:val="top"/>
          </w:tcPr>
          <w:p>
            <w:pPr>
              <w:pStyle w:val="6"/>
              <w:spacing w:before="66" w:line="221" w:lineRule="auto"/>
              <w:ind w:left="121"/>
              <w:rPr>
                <w:sz w:val="21"/>
                <w:szCs w:val="21"/>
              </w:rPr>
            </w:pPr>
            <w:r>
              <w:rPr>
                <w:spacing w:val="-1"/>
                <w:sz w:val="21"/>
                <w:szCs w:val="21"/>
              </w:rPr>
              <w:t>包气带防污性能</w:t>
            </w:r>
          </w:p>
        </w:tc>
        <w:tc>
          <w:tcPr>
            <w:tcW w:w="1242" w:type="dxa"/>
            <w:gridSpan w:val="2"/>
            <w:vAlign w:val="top"/>
          </w:tcPr>
          <w:p>
            <w:pPr>
              <w:spacing w:before="102" w:line="231"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D1</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1"/>
                <w:sz w:val="21"/>
                <w:szCs w:val="21"/>
              </w:rPr>
              <w:t>□</w:t>
            </w:r>
          </w:p>
        </w:tc>
        <w:tc>
          <w:tcPr>
            <w:tcW w:w="1294" w:type="dxa"/>
            <w:gridSpan w:val="3"/>
            <w:vAlign w:val="top"/>
          </w:tcPr>
          <w:p>
            <w:pPr>
              <w:spacing w:before="84" w:line="208" w:lineRule="auto"/>
              <w:ind w:left="399"/>
              <w:rPr>
                <w:sz w:val="21"/>
                <w:szCs w:val="21"/>
              </w:rPr>
            </w:pPr>
            <w:r>
              <w:rPr>
                <w:rFonts w:ascii="Times New Roman" w:hAnsi="Times New Roman" w:eastAsia="Times New Roman" w:cs="Times New Roman"/>
                <w:spacing w:val="-1"/>
                <w:sz w:val="21"/>
                <w:szCs w:val="21"/>
              </w:rPr>
              <w:t>D2</w:t>
            </w:r>
            <w:r>
              <w:rPr>
                <w:rFonts w:ascii="Times New Roman" w:hAnsi="Times New Roman" w:eastAsia="Times New Roman" w:cs="Times New Roman"/>
                <w:spacing w:val="15"/>
                <w:w w:val="101"/>
                <w:sz w:val="21"/>
                <w:szCs w:val="21"/>
              </w:rPr>
              <w:t xml:space="preserve"> </w:t>
            </w:r>
            <w:r>
              <w:rPr>
                <w:sz w:val="21"/>
                <w:szCs w:val="21"/>
              </w:rPr>
              <w:drawing>
                <wp:inline distT="0" distB="0" distL="0" distR="0">
                  <wp:extent cx="104140" cy="10414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76"/>
                          <a:stretch>
                            <a:fillRect/>
                          </a:stretch>
                        </pic:blipFill>
                        <pic:spPr>
                          <a:xfrm>
                            <a:off x="0" y="0"/>
                            <a:ext cx="104473" cy="104204"/>
                          </a:xfrm>
                          <a:prstGeom prst="rect">
                            <a:avLst/>
                          </a:prstGeom>
                        </pic:spPr>
                      </pic:pic>
                    </a:graphicData>
                  </a:graphic>
                </wp:inline>
              </w:drawing>
            </w:r>
          </w:p>
        </w:tc>
        <w:tc>
          <w:tcPr>
            <w:tcW w:w="1235" w:type="dxa"/>
            <w:vAlign w:val="top"/>
          </w:tcPr>
          <w:p>
            <w:pPr>
              <w:spacing w:before="102" w:line="231"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D3</w:t>
            </w:r>
            <w:r>
              <w:rPr>
                <w:rFonts w:ascii="Times New Roman" w:hAnsi="Times New Roman" w:eastAsia="Times New Roman" w:cs="Times New Roman"/>
                <w:spacing w:val="16"/>
                <w:w w:val="101"/>
                <w:sz w:val="21"/>
                <w:szCs w:val="21"/>
              </w:rPr>
              <w:t xml:space="preserve"> </w:t>
            </w:r>
            <w:r>
              <w:rPr>
                <w:rFonts w:ascii="Times New Roman" w:hAnsi="Times New Roman" w:eastAsia="Times New Roman" w:cs="Times New Roman"/>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Merge w:val="restart"/>
            <w:tcBorders>
              <w:bottom w:val="nil"/>
            </w:tcBorders>
            <w:vAlign w:val="top"/>
          </w:tcPr>
          <w:p>
            <w:pPr>
              <w:pStyle w:val="6"/>
              <w:spacing w:before="286" w:line="230" w:lineRule="auto"/>
              <w:ind w:left="895" w:right="42" w:hanging="842"/>
              <w:rPr>
                <w:sz w:val="21"/>
                <w:szCs w:val="21"/>
              </w:rPr>
            </w:pPr>
            <w:r>
              <w:rPr>
                <w:spacing w:val="-1"/>
                <w:sz w:val="21"/>
                <w:szCs w:val="21"/>
              </w:rPr>
              <w:t>物质及工艺系统危险</w:t>
            </w:r>
            <w:r>
              <w:rPr>
                <w:spacing w:val="3"/>
                <w:sz w:val="21"/>
                <w:szCs w:val="21"/>
              </w:rPr>
              <w:t xml:space="preserve"> </w:t>
            </w:r>
            <w:r>
              <w:rPr>
                <w:sz w:val="21"/>
                <w:szCs w:val="21"/>
              </w:rPr>
              <w:t>性</w:t>
            </w:r>
          </w:p>
        </w:tc>
        <w:tc>
          <w:tcPr>
            <w:tcW w:w="856" w:type="dxa"/>
            <w:vAlign w:val="top"/>
          </w:tcPr>
          <w:p>
            <w:pPr>
              <w:pStyle w:val="6"/>
              <w:spacing w:before="68" w:line="217" w:lineRule="auto"/>
              <w:ind w:left="220"/>
              <w:rPr>
                <w:sz w:val="21"/>
                <w:szCs w:val="21"/>
              </w:rPr>
            </w:pPr>
            <w:r>
              <w:rPr>
                <w:rFonts w:ascii="Times New Roman" w:hAnsi="Times New Roman" w:eastAsia="Times New Roman" w:cs="Times New Roman"/>
                <w:spacing w:val="-4"/>
                <w:sz w:val="21"/>
                <w:szCs w:val="21"/>
              </w:rPr>
              <w:t>Q</w:t>
            </w:r>
            <w:r>
              <w:rPr>
                <w:rFonts w:ascii="Times New Roman" w:hAnsi="Times New Roman" w:eastAsia="Times New Roman" w:cs="Times New Roman"/>
                <w:spacing w:val="10"/>
                <w:sz w:val="21"/>
                <w:szCs w:val="21"/>
              </w:rPr>
              <w:t xml:space="preserve"> </w:t>
            </w:r>
            <w:r>
              <w:rPr>
                <w:spacing w:val="-4"/>
                <w:sz w:val="21"/>
                <w:szCs w:val="21"/>
              </w:rPr>
              <w:t>值</w:t>
            </w:r>
          </w:p>
        </w:tc>
        <w:tc>
          <w:tcPr>
            <w:tcW w:w="1714" w:type="dxa"/>
            <w:gridSpan w:val="4"/>
            <w:vAlign w:val="top"/>
          </w:tcPr>
          <w:p>
            <w:pPr>
              <w:pStyle w:val="6"/>
              <w:spacing w:before="68" w:line="21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w:t>
            </w:r>
            <w:r>
              <w:rPr>
                <w:spacing w:val="-2"/>
                <w:sz w:val="21"/>
                <w:szCs w:val="21"/>
              </w:rPr>
              <w:t>＜</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2"/>
                <w:sz w:val="21"/>
                <w:szCs w:val="21"/>
              </w:rPr>
              <w:t>□</w:t>
            </w:r>
          </w:p>
        </w:tc>
        <w:tc>
          <w:tcPr>
            <w:tcW w:w="1242" w:type="dxa"/>
            <w:gridSpan w:val="2"/>
            <w:vAlign w:val="top"/>
          </w:tcPr>
          <w:p>
            <w:pPr>
              <w:pStyle w:val="6"/>
              <w:spacing w:before="68" w:line="217" w:lineRule="auto"/>
              <w:ind w:left="123"/>
              <w:rPr>
                <w:sz w:val="21"/>
                <w:szCs w:val="21"/>
              </w:rPr>
            </w:pPr>
            <w:r>
              <w:rPr>
                <w:rFonts w:ascii="Times New Roman" w:hAnsi="Times New Roman" w:eastAsia="Times New Roman" w:cs="Times New Roman"/>
                <w:spacing w:val="-4"/>
                <w:sz w:val="21"/>
                <w:szCs w:val="21"/>
              </w:rPr>
              <w:t>1≤Q</w:t>
            </w:r>
            <w:r>
              <w:rPr>
                <w:spacing w:val="-4"/>
                <w:sz w:val="21"/>
                <w:szCs w:val="21"/>
              </w:rPr>
              <w:t>＜</w:t>
            </w:r>
            <w:r>
              <w:rPr>
                <w:rFonts w:ascii="Times New Roman" w:hAnsi="Times New Roman" w:eastAsia="Times New Roman" w:cs="Times New Roman"/>
                <w:spacing w:val="-4"/>
                <w:sz w:val="21"/>
                <w:szCs w:val="21"/>
              </w:rPr>
              <w:t>10</w:t>
            </w:r>
            <w:r>
              <w:rPr>
                <w:rFonts w:ascii="Times New Roman" w:hAnsi="Times New Roman" w:eastAsia="Times New Roman" w:cs="Times New Roman"/>
                <w:spacing w:val="16"/>
                <w:w w:val="101"/>
                <w:sz w:val="21"/>
                <w:szCs w:val="21"/>
              </w:rPr>
              <w:t xml:space="preserve"> </w:t>
            </w:r>
            <w:r>
              <w:rPr>
                <w:sz w:val="21"/>
                <w:szCs w:val="21"/>
              </w:rPr>
              <w:drawing>
                <wp:inline distT="0" distB="0" distL="0" distR="0">
                  <wp:extent cx="104140" cy="1041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76"/>
                          <a:stretch>
                            <a:fillRect/>
                          </a:stretch>
                        </pic:blipFill>
                        <pic:spPr>
                          <a:xfrm>
                            <a:off x="0" y="0"/>
                            <a:ext cx="104473" cy="104204"/>
                          </a:xfrm>
                          <a:prstGeom prst="rect">
                            <a:avLst/>
                          </a:prstGeom>
                        </pic:spPr>
                      </pic:pic>
                    </a:graphicData>
                  </a:graphic>
                </wp:inline>
              </w:drawing>
            </w:r>
          </w:p>
        </w:tc>
        <w:tc>
          <w:tcPr>
            <w:tcW w:w="1294" w:type="dxa"/>
            <w:gridSpan w:val="3"/>
            <w:vAlign w:val="top"/>
          </w:tcPr>
          <w:p>
            <w:pPr>
              <w:pStyle w:val="6"/>
              <w:spacing w:before="68" w:line="217" w:lineRule="auto"/>
              <w:ind w:right="7"/>
              <w:jc w:val="right"/>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10≤Q</w:t>
            </w:r>
            <w:r>
              <w:rPr>
                <w:spacing w:val="-3"/>
                <w:sz w:val="21"/>
                <w:szCs w:val="21"/>
              </w:rPr>
              <w:t>＜</w:t>
            </w:r>
            <w:r>
              <w:rPr>
                <w:rFonts w:ascii="Times New Roman" w:hAnsi="Times New Roman" w:eastAsia="Times New Roman" w:cs="Times New Roman"/>
                <w:spacing w:val="-3"/>
                <w:sz w:val="21"/>
                <w:szCs w:val="21"/>
              </w:rPr>
              <w:t>100</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3"/>
                <w:sz w:val="21"/>
                <w:szCs w:val="21"/>
              </w:rPr>
              <w:t>□</w:t>
            </w:r>
          </w:p>
        </w:tc>
        <w:tc>
          <w:tcPr>
            <w:tcW w:w="1235" w:type="dxa"/>
            <w:vAlign w:val="top"/>
          </w:tcPr>
          <w:p>
            <w:pPr>
              <w:pStyle w:val="6"/>
              <w:spacing w:before="68" w:line="21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Q</w:t>
            </w:r>
            <w:r>
              <w:rPr>
                <w:spacing w:val="-1"/>
                <w:sz w:val="21"/>
                <w:szCs w:val="21"/>
              </w:rPr>
              <w:t>＞</w:t>
            </w:r>
            <w:r>
              <w:rPr>
                <w:rFonts w:ascii="Times New Roman" w:hAnsi="Times New Roman" w:eastAsia="Times New Roman" w:cs="Times New Roman"/>
                <w:spacing w:val="-1"/>
                <w:sz w:val="21"/>
                <w:szCs w:val="21"/>
              </w:rPr>
              <w:t>100</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Merge w:val="continue"/>
            <w:tcBorders>
              <w:top w:val="nil"/>
              <w:bottom w:val="nil"/>
            </w:tcBorders>
            <w:vAlign w:val="top"/>
          </w:tcPr>
          <w:p>
            <w:pPr>
              <w:rPr>
                <w:rFonts w:ascii="Arial"/>
                <w:sz w:val="21"/>
              </w:rPr>
            </w:pPr>
          </w:p>
        </w:tc>
        <w:tc>
          <w:tcPr>
            <w:tcW w:w="856" w:type="dxa"/>
            <w:vAlign w:val="top"/>
          </w:tcPr>
          <w:p>
            <w:pPr>
              <w:pStyle w:val="6"/>
              <w:spacing w:before="65" w:line="221" w:lineRule="auto"/>
              <w:ind w:left="199"/>
              <w:rPr>
                <w:sz w:val="21"/>
                <w:szCs w:val="21"/>
              </w:rPr>
            </w:pPr>
            <w:r>
              <w:rPr>
                <w:rFonts w:ascii="Times New Roman" w:hAnsi="Times New Roman" w:eastAsia="Times New Roman" w:cs="Times New Roman"/>
                <w:spacing w:val="-2"/>
                <w:sz w:val="21"/>
                <w:szCs w:val="21"/>
              </w:rPr>
              <w:t>M</w:t>
            </w:r>
            <w:r>
              <w:rPr>
                <w:rFonts w:ascii="Times New Roman" w:hAnsi="Times New Roman" w:eastAsia="Times New Roman" w:cs="Times New Roman"/>
                <w:spacing w:val="9"/>
                <w:sz w:val="21"/>
                <w:szCs w:val="21"/>
              </w:rPr>
              <w:t xml:space="preserve"> </w:t>
            </w:r>
            <w:r>
              <w:rPr>
                <w:spacing w:val="-2"/>
                <w:sz w:val="21"/>
                <w:szCs w:val="21"/>
              </w:rPr>
              <w:t>值</w:t>
            </w:r>
          </w:p>
        </w:tc>
        <w:tc>
          <w:tcPr>
            <w:tcW w:w="1714" w:type="dxa"/>
            <w:gridSpan w:val="4"/>
            <w:vAlign w:val="top"/>
          </w:tcPr>
          <w:p>
            <w:pPr>
              <w:spacing w:before="103" w:line="230" w:lineRule="auto"/>
              <w:ind w:left="6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42" w:type="dxa"/>
            <w:gridSpan w:val="2"/>
            <w:vAlign w:val="top"/>
          </w:tcPr>
          <w:p>
            <w:pPr>
              <w:spacing w:before="103" w:line="230"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M2</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94" w:type="dxa"/>
            <w:gridSpan w:val="3"/>
            <w:vAlign w:val="top"/>
          </w:tcPr>
          <w:p>
            <w:pPr>
              <w:spacing w:before="103" w:line="230"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M3</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35" w:type="dxa"/>
            <w:vAlign w:val="top"/>
          </w:tcPr>
          <w:p>
            <w:pPr>
              <w:spacing w:before="85" w:line="208" w:lineRule="auto"/>
              <w:ind w:left="324"/>
              <w:rPr>
                <w:sz w:val="21"/>
                <w:szCs w:val="21"/>
              </w:rPr>
            </w:pPr>
            <w:r>
              <w:rPr>
                <w:rFonts w:ascii="Times New Roman" w:hAnsi="Times New Roman" w:eastAsia="Times New Roman" w:cs="Times New Roman"/>
                <w:spacing w:val="-2"/>
                <w:sz w:val="21"/>
                <w:szCs w:val="21"/>
              </w:rPr>
              <w:t>M4</w:t>
            </w:r>
            <w:r>
              <w:rPr>
                <w:rFonts w:ascii="Times New Roman" w:hAnsi="Times New Roman" w:eastAsia="Times New Roman" w:cs="Times New Roman"/>
                <w:spacing w:val="8"/>
                <w:sz w:val="21"/>
                <w:szCs w:val="21"/>
              </w:rPr>
              <w:t xml:space="preserve">  </w:t>
            </w:r>
            <w:r>
              <w:rPr>
                <w:sz w:val="21"/>
                <w:szCs w:val="21"/>
              </w:rPr>
              <w:drawing>
                <wp:inline distT="0" distB="0" distL="0" distR="0">
                  <wp:extent cx="104140" cy="10414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77"/>
                          <a:stretch>
                            <a:fillRect/>
                          </a:stretch>
                        </pic:blipFill>
                        <pic:spPr>
                          <a:xfrm>
                            <a:off x="0" y="0"/>
                            <a:ext cx="104473" cy="10420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Merge w:val="continue"/>
            <w:tcBorders>
              <w:top w:val="nil"/>
            </w:tcBorders>
            <w:vAlign w:val="top"/>
          </w:tcPr>
          <w:p>
            <w:pPr>
              <w:rPr>
                <w:rFonts w:ascii="Arial"/>
                <w:sz w:val="21"/>
              </w:rPr>
            </w:pPr>
          </w:p>
        </w:tc>
        <w:tc>
          <w:tcPr>
            <w:tcW w:w="856" w:type="dxa"/>
            <w:vAlign w:val="top"/>
          </w:tcPr>
          <w:p>
            <w:pPr>
              <w:pStyle w:val="6"/>
              <w:spacing w:before="65" w:line="221" w:lineRule="auto"/>
              <w:ind w:left="234"/>
              <w:rPr>
                <w:sz w:val="21"/>
                <w:szCs w:val="21"/>
              </w:rPr>
            </w:pPr>
            <w:r>
              <w:rPr>
                <w:rFonts w:ascii="Times New Roman" w:hAnsi="Times New Roman" w:eastAsia="Times New Roman" w:cs="Times New Roman"/>
                <w:spacing w:val="-2"/>
                <w:sz w:val="21"/>
                <w:szCs w:val="21"/>
              </w:rPr>
              <w:t>P</w:t>
            </w:r>
            <w:r>
              <w:rPr>
                <w:rFonts w:ascii="Times New Roman" w:hAnsi="Times New Roman" w:eastAsia="Times New Roman" w:cs="Times New Roman"/>
                <w:spacing w:val="8"/>
                <w:sz w:val="21"/>
                <w:szCs w:val="21"/>
              </w:rPr>
              <w:t xml:space="preserve"> </w:t>
            </w:r>
            <w:r>
              <w:rPr>
                <w:spacing w:val="-2"/>
                <w:sz w:val="21"/>
                <w:szCs w:val="21"/>
              </w:rPr>
              <w:t>值</w:t>
            </w:r>
          </w:p>
        </w:tc>
        <w:tc>
          <w:tcPr>
            <w:tcW w:w="1714" w:type="dxa"/>
            <w:gridSpan w:val="4"/>
            <w:vAlign w:val="top"/>
          </w:tcPr>
          <w:p>
            <w:pPr>
              <w:spacing w:before="100" w:line="233"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42" w:type="dxa"/>
            <w:gridSpan w:val="2"/>
            <w:vAlign w:val="top"/>
          </w:tcPr>
          <w:p>
            <w:pPr>
              <w:spacing w:before="100" w:line="233"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P2</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94" w:type="dxa"/>
            <w:gridSpan w:val="3"/>
            <w:vAlign w:val="top"/>
          </w:tcPr>
          <w:p>
            <w:pPr>
              <w:spacing w:before="100" w:line="233"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P3</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235" w:type="dxa"/>
            <w:vAlign w:val="top"/>
          </w:tcPr>
          <w:p>
            <w:pPr>
              <w:spacing w:before="83" w:line="208" w:lineRule="auto"/>
              <w:ind w:left="358"/>
              <w:rPr>
                <w:sz w:val="21"/>
                <w:szCs w:val="21"/>
              </w:rPr>
            </w:pPr>
            <w:r>
              <w:rPr>
                <w:rFonts w:ascii="Times New Roman" w:hAnsi="Times New Roman" w:eastAsia="Times New Roman" w:cs="Times New Roman"/>
                <w:spacing w:val="-2"/>
                <w:sz w:val="21"/>
                <w:szCs w:val="21"/>
              </w:rPr>
              <w:t>P4</w:t>
            </w:r>
            <w:r>
              <w:rPr>
                <w:rFonts w:ascii="Times New Roman" w:hAnsi="Times New Roman" w:eastAsia="Times New Roman" w:cs="Times New Roman"/>
                <w:spacing w:val="8"/>
                <w:sz w:val="21"/>
                <w:szCs w:val="21"/>
              </w:rPr>
              <w:t xml:space="preserve">  </w:t>
            </w:r>
            <w:r>
              <w:rPr>
                <w:sz w:val="21"/>
                <w:szCs w:val="21"/>
              </w:rPr>
              <w:drawing>
                <wp:inline distT="0" distB="0" distL="0" distR="0">
                  <wp:extent cx="104140" cy="10414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76"/>
                          <a:stretch>
                            <a:fillRect/>
                          </a:stretch>
                        </pic:blipFill>
                        <pic:spPr>
                          <a:xfrm>
                            <a:off x="0" y="0"/>
                            <a:ext cx="104473" cy="10420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Merge w:val="restart"/>
            <w:tcBorders>
              <w:bottom w:val="nil"/>
            </w:tcBorders>
            <w:vAlign w:val="top"/>
          </w:tcPr>
          <w:p>
            <w:pPr>
              <w:spacing w:line="350" w:lineRule="auto"/>
              <w:rPr>
                <w:rFonts w:ascii="Arial"/>
                <w:sz w:val="21"/>
              </w:rPr>
            </w:pPr>
          </w:p>
          <w:p>
            <w:pPr>
              <w:pStyle w:val="6"/>
              <w:spacing w:before="68" w:line="221" w:lineRule="auto"/>
              <w:ind w:left="367"/>
              <w:rPr>
                <w:sz w:val="21"/>
                <w:szCs w:val="21"/>
              </w:rPr>
            </w:pPr>
            <w:r>
              <w:rPr>
                <w:spacing w:val="-1"/>
                <w:sz w:val="21"/>
                <w:szCs w:val="21"/>
              </w:rPr>
              <w:t>环境敏感程度</w:t>
            </w:r>
          </w:p>
        </w:tc>
        <w:tc>
          <w:tcPr>
            <w:tcW w:w="1331" w:type="dxa"/>
            <w:gridSpan w:val="2"/>
            <w:vAlign w:val="top"/>
          </w:tcPr>
          <w:p>
            <w:pPr>
              <w:pStyle w:val="6"/>
              <w:spacing w:before="66" w:line="221" w:lineRule="auto"/>
              <w:ind w:left="457"/>
              <w:rPr>
                <w:sz w:val="21"/>
                <w:szCs w:val="21"/>
              </w:rPr>
            </w:pPr>
            <w:r>
              <w:rPr>
                <w:spacing w:val="-3"/>
                <w:sz w:val="21"/>
                <w:szCs w:val="21"/>
              </w:rPr>
              <w:t>大气</w:t>
            </w:r>
          </w:p>
        </w:tc>
        <w:tc>
          <w:tcPr>
            <w:tcW w:w="1239" w:type="dxa"/>
            <w:gridSpan w:val="3"/>
            <w:vAlign w:val="top"/>
          </w:tcPr>
          <w:p>
            <w:pPr>
              <w:spacing w:before="101" w:line="232"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1"/>
                <w:sz w:val="21"/>
                <w:szCs w:val="21"/>
              </w:rPr>
              <w:t>□</w:t>
            </w:r>
          </w:p>
        </w:tc>
        <w:tc>
          <w:tcPr>
            <w:tcW w:w="1556" w:type="dxa"/>
            <w:gridSpan w:val="3"/>
            <w:vAlign w:val="top"/>
          </w:tcPr>
          <w:p>
            <w:pPr>
              <w:spacing w:before="83" w:line="208" w:lineRule="auto"/>
              <w:ind w:left="542"/>
              <w:rPr>
                <w:sz w:val="21"/>
                <w:szCs w:val="21"/>
              </w:rPr>
            </w:pPr>
            <w:r>
              <w:rPr>
                <w:rFonts w:ascii="Times New Roman" w:hAnsi="Times New Roman" w:eastAsia="Times New Roman" w:cs="Times New Roman"/>
                <w:spacing w:val="-2"/>
                <w:sz w:val="21"/>
                <w:szCs w:val="21"/>
              </w:rPr>
              <w:t>E2</w:t>
            </w:r>
            <w:r>
              <w:rPr>
                <w:rFonts w:ascii="Times New Roman" w:hAnsi="Times New Roman" w:eastAsia="Times New Roman" w:cs="Times New Roman"/>
                <w:spacing w:val="16"/>
                <w:sz w:val="21"/>
                <w:szCs w:val="21"/>
              </w:rPr>
              <w:t xml:space="preserve"> </w:t>
            </w:r>
            <w:r>
              <w:rPr>
                <w:sz w:val="21"/>
                <w:szCs w:val="21"/>
              </w:rPr>
              <w:drawing>
                <wp:inline distT="0" distB="0" distL="0" distR="0">
                  <wp:extent cx="104140" cy="10414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78"/>
                          <a:stretch>
                            <a:fillRect/>
                          </a:stretch>
                        </pic:blipFill>
                        <pic:spPr>
                          <a:xfrm>
                            <a:off x="0" y="0"/>
                            <a:ext cx="104473" cy="104204"/>
                          </a:xfrm>
                          <a:prstGeom prst="rect">
                            <a:avLst/>
                          </a:prstGeom>
                        </pic:spPr>
                      </pic:pic>
                    </a:graphicData>
                  </a:graphic>
                </wp:inline>
              </w:drawing>
            </w:r>
          </w:p>
        </w:tc>
        <w:tc>
          <w:tcPr>
            <w:tcW w:w="2215" w:type="dxa"/>
            <w:gridSpan w:val="3"/>
            <w:vAlign w:val="top"/>
          </w:tcPr>
          <w:p>
            <w:pPr>
              <w:spacing w:before="101" w:line="232" w:lineRule="auto"/>
              <w:ind w:left="8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Merge w:val="continue"/>
            <w:tcBorders>
              <w:top w:val="nil"/>
              <w:bottom w:val="nil"/>
            </w:tcBorders>
            <w:vAlign w:val="top"/>
          </w:tcPr>
          <w:p>
            <w:pPr>
              <w:rPr>
                <w:rFonts w:ascii="Arial"/>
                <w:sz w:val="21"/>
              </w:rPr>
            </w:pPr>
          </w:p>
        </w:tc>
        <w:tc>
          <w:tcPr>
            <w:tcW w:w="1331" w:type="dxa"/>
            <w:gridSpan w:val="2"/>
            <w:vAlign w:val="top"/>
          </w:tcPr>
          <w:p>
            <w:pPr>
              <w:pStyle w:val="6"/>
              <w:spacing w:before="65" w:line="221" w:lineRule="auto"/>
              <w:ind w:left="349"/>
              <w:rPr>
                <w:sz w:val="21"/>
                <w:szCs w:val="21"/>
              </w:rPr>
            </w:pPr>
            <w:r>
              <w:rPr>
                <w:spacing w:val="-2"/>
                <w:sz w:val="21"/>
                <w:szCs w:val="21"/>
              </w:rPr>
              <w:t>地表水</w:t>
            </w:r>
          </w:p>
        </w:tc>
        <w:tc>
          <w:tcPr>
            <w:tcW w:w="1239" w:type="dxa"/>
            <w:gridSpan w:val="3"/>
            <w:vAlign w:val="top"/>
          </w:tcPr>
          <w:p>
            <w:pPr>
              <w:spacing w:before="101" w:line="232"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556" w:type="dxa"/>
            <w:gridSpan w:val="3"/>
            <w:vAlign w:val="top"/>
          </w:tcPr>
          <w:p>
            <w:pPr>
              <w:spacing w:before="101" w:line="232" w:lineRule="auto"/>
              <w:ind w:left="5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E2</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2215" w:type="dxa"/>
            <w:gridSpan w:val="3"/>
            <w:vAlign w:val="top"/>
          </w:tcPr>
          <w:p>
            <w:pPr>
              <w:spacing w:before="83" w:line="208" w:lineRule="auto"/>
              <w:ind w:left="868"/>
              <w:rPr>
                <w:sz w:val="21"/>
                <w:szCs w:val="21"/>
              </w:rPr>
            </w:pPr>
            <w:r>
              <w:rPr>
                <w:rFonts w:ascii="Times New Roman" w:hAnsi="Times New Roman" w:eastAsia="Times New Roman" w:cs="Times New Roman"/>
                <w:spacing w:val="-2"/>
                <w:sz w:val="21"/>
                <w:szCs w:val="21"/>
              </w:rPr>
              <w:t>E3</w:t>
            </w:r>
            <w:r>
              <w:rPr>
                <w:rFonts w:ascii="Times New Roman" w:hAnsi="Times New Roman" w:eastAsia="Times New Roman" w:cs="Times New Roman"/>
                <w:spacing w:val="16"/>
                <w:sz w:val="21"/>
                <w:szCs w:val="21"/>
              </w:rPr>
              <w:t xml:space="preserve"> </w:t>
            </w:r>
            <w:r>
              <w:rPr>
                <w:sz w:val="21"/>
                <w:szCs w:val="21"/>
              </w:rPr>
              <w:drawing>
                <wp:inline distT="0" distB="0" distL="0" distR="0">
                  <wp:extent cx="104140" cy="10414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377"/>
                          <a:stretch>
                            <a:fillRect/>
                          </a:stretch>
                        </pic:blipFill>
                        <pic:spPr>
                          <a:xfrm>
                            <a:off x="0" y="0"/>
                            <a:ext cx="104473" cy="10420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Merge w:val="continue"/>
            <w:tcBorders>
              <w:top w:val="nil"/>
            </w:tcBorders>
            <w:vAlign w:val="top"/>
          </w:tcPr>
          <w:p>
            <w:pPr>
              <w:rPr>
                <w:rFonts w:ascii="Arial"/>
                <w:sz w:val="21"/>
              </w:rPr>
            </w:pPr>
          </w:p>
        </w:tc>
        <w:tc>
          <w:tcPr>
            <w:tcW w:w="1331" w:type="dxa"/>
            <w:gridSpan w:val="2"/>
            <w:vAlign w:val="top"/>
          </w:tcPr>
          <w:p>
            <w:pPr>
              <w:pStyle w:val="6"/>
              <w:spacing w:before="66" w:line="221" w:lineRule="auto"/>
              <w:ind w:left="349"/>
              <w:rPr>
                <w:sz w:val="21"/>
                <w:szCs w:val="21"/>
              </w:rPr>
            </w:pPr>
            <w:r>
              <w:rPr>
                <w:spacing w:val="-2"/>
                <w:sz w:val="21"/>
                <w:szCs w:val="21"/>
              </w:rPr>
              <w:t>地下水</w:t>
            </w:r>
          </w:p>
        </w:tc>
        <w:tc>
          <w:tcPr>
            <w:tcW w:w="1239" w:type="dxa"/>
            <w:gridSpan w:val="3"/>
            <w:vAlign w:val="top"/>
          </w:tcPr>
          <w:p>
            <w:pPr>
              <w:spacing w:before="101" w:line="232"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c>
          <w:tcPr>
            <w:tcW w:w="1556" w:type="dxa"/>
            <w:gridSpan w:val="3"/>
            <w:vAlign w:val="top"/>
          </w:tcPr>
          <w:p>
            <w:pPr>
              <w:spacing w:before="84" w:line="208" w:lineRule="auto"/>
              <w:ind w:left="542"/>
              <w:rPr>
                <w:sz w:val="21"/>
                <w:szCs w:val="21"/>
              </w:rPr>
            </w:pPr>
            <w:r>
              <w:rPr>
                <w:rFonts w:ascii="Times New Roman" w:hAnsi="Times New Roman" w:eastAsia="Times New Roman" w:cs="Times New Roman"/>
                <w:spacing w:val="-2"/>
                <w:sz w:val="21"/>
                <w:szCs w:val="21"/>
              </w:rPr>
              <w:t>E2</w:t>
            </w:r>
            <w:r>
              <w:rPr>
                <w:rFonts w:ascii="Times New Roman" w:hAnsi="Times New Roman" w:eastAsia="Times New Roman" w:cs="Times New Roman"/>
                <w:spacing w:val="16"/>
                <w:sz w:val="21"/>
                <w:szCs w:val="21"/>
              </w:rPr>
              <w:t xml:space="preserve"> </w:t>
            </w:r>
            <w:r>
              <w:rPr>
                <w:sz w:val="21"/>
                <w:szCs w:val="21"/>
              </w:rPr>
              <w:drawing>
                <wp:inline distT="0" distB="0" distL="0" distR="0">
                  <wp:extent cx="104140" cy="10414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76"/>
                          <a:stretch>
                            <a:fillRect/>
                          </a:stretch>
                        </pic:blipFill>
                        <pic:spPr>
                          <a:xfrm>
                            <a:off x="0" y="0"/>
                            <a:ext cx="104473" cy="104204"/>
                          </a:xfrm>
                          <a:prstGeom prst="rect">
                            <a:avLst/>
                          </a:prstGeom>
                        </pic:spPr>
                      </pic:pic>
                    </a:graphicData>
                  </a:graphic>
                </wp:inline>
              </w:drawing>
            </w:r>
          </w:p>
        </w:tc>
        <w:tc>
          <w:tcPr>
            <w:tcW w:w="2215" w:type="dxa"/>
            <w:gridSpan w:val="3"/>
            <w:vAlign w:val="top"/>
          </w:tcPr>
          <w:p>
            <w:pPr>
              <w:spacing w:before="101" w:line="232" w:lineRule="auto"/>
              <w:ind w:left="8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E3</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Align w:val="top"/>
          </w:tcPr>
          <w:p>
            <w:pPr>
              <w:pStyle w:val="6"/>
              <w:spacing w:before="66" w:line="221" w:lineRule="auto"/>
              <w:ind w:left="367"/>
              <w:rPr>
                <w:sz w:val="21"/>
                <w:szCs w:val="21"/>
              </w:rPr>
            </w:pPr>
            <w:r>
              <w:rPr>
                <w:spacing w:val="-1"/>
                <w:sz w:val="21"/>
                <w:szCs w:val="21"/>
              </w:rPr>
              <w:t>环境风险潜势</w:t>
            </w:r>
          </w:p>
        </w:tc>
        <w:tc>
          <w:tcPr>
            <w:tcW w:w="1331" w:type="dxa"/>
            <w:gridSpan w:val="2"/>
            <w:vAlign w:val="top"/>
          </w:tcPr>
          <w:p>
            <w:pPr>
              <w:spacing w:before="101" w:line="232"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IV+</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1"/>
                <w:sz w:val="21"/>
                <w:szCs w:val="21"/>
              </w:rPr>
              <w:t>□</w:t>
            </w:r>
          </w:p>
        </w:tc>
        <w:tc>
          <w:tcPr>
            <w:tcW w:w="1239" w:type="dxa"/>
            <w:gridSpan w:val="3"/>
            <w:vAlign w:val="top"/>
          </w:tcPr>
          <w:p>
            <w:pPr>
              <w:spacing w:before="101" w:line="232"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r>
              <w:rPr>
                <w:rFonts w:ascii="Times New Roman" w:hAnsi="Times New Roman" w:eastAsia="Times New Roman" w:cs="Times New Roman"/>
                <w:spacing w:val="16"/>
                <w:w w:val="101"/>
                <w:sz w:val="21"/>
                <w:szCs w:val="21"/>
              </w:rPr>
              <w:t xml:space="preserve"> </w:t>
            </w:r>
            <w:r>
              <w:rPr>
                <w:rFonts w:ascii="Times New Roman" w:hAnsi="Times New Roman" w:eastAsia="Times New Roman" w:cs="Times New Roman"/>
                <w:spacing w:val="-2"/>
                <w:sz w:val="21"/>
                <w:szCs w:val="21"/>
              </w:rPr>
              <w:t>□</w:t>
            </w:r>
          </w:p>
        </w:tc>
        <w:tc>
          <w:tcPr>
            <w:tcW w:w="676" w:type="dxa"/>
            <w:vAlign w:val="top"/>
          </w:tcPr>
          <w:p>
            <w:pPr>
              <w:spacing w:before="101" w:line="232" w:lineRule="auto"/>
              <w:ind w:left="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2"/>
                <w:sz w:val="21"/>
                <w:szCs w:val="21"/>
              </w:rPr>
              <w:t>□</w:t>
            </w:r>
          </w:p>
        </w:tc>
        <w:tc>
          <w:tcPr>
            <w:tcW w:w="1860" w:type="dxa"/>
            <w:gridSpan w:val="4"/>
            <w:vAlign w:val="top"/>
          </w:tcPr>
          <w:p>
            <w:pPr>
              <w:spacing w:before="84" w:line="208" w:lineRule="auto"/>
              <w:ind w:left="688"/>
              <w:rPr>
                <w:sz w:val="21"/>
                <w:szCs w:val="21"/>
              </w:rPr>
            </w:pPr>
            <w:r>
              <w:rPr>
                <w:rFonts w:ascii="Times New Roman" w:hAnsi="Times New Roman" w:eastAsia="Times New Roman" w:cs="Times New Roman"/>
                <w:spacing w:val="-3"/>
                <w:sz w:val="21"/>
                <w:szCs w:val="21"/>
              </w:rPr>
              <w:t>II</w:t>
            </w:r>
            <w:r>
              <w:rPr>
                <w:rFonts w:ascii="Times New Roman" w:hAnsi="Times New Roman" w:eastAsia="Times New Roman" w:cs="Times New Roman"/>
                <w:spacing w:val="5"/>
                <w:sz w:val="21"/>
                <w:szCs w:val="21"/>
              </w:rPr>
              <w:t xml:space="preserve">   </w:t>
            </w:r>
            <w:r>
              <w:rPr>
                <w:sz w:val="21"/>
                <w:szCs w:val="21"/>
              </w:rPr>
              <w:drawing>
                <wp:inline distT="0" distB="0" distL="0" distR="0">
                  <wp:extent cx="104140" cy="10414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76"/>
                          <a:stretch>
                            <a:fillRect/>
                          </a:stretch>
                        </pic:blipFill>
                        <pic:spPr>
                          <a:xfrm>
                            <a:off x="0" y="0"/>
                            <a:ext cx="104473" cy="104204"/>
                          </a:xfrm>
                          <a:prstGeom prst="rect">
                            <a:avLst/>
                          </a:prstGeom>
                        </pic:spPr>
                      </pic:pic>
                    </a:graphicData>
                  </a:graphic>
                </wp:inline>
              </w:drawing>
            </w:r>
          </w:p>
        </w:tc>
        <w:tc>
          <w:tcPr>
            <w:tcW w:w="1235" w:type="dxa"/>
            <w:vAlign w:val="top"/>
          </w:tcPr>
          <w:p>
            <w:pPr>
              <w:spacing w:before="101" w:line="232"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I</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3"/>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Align w:val="top"/>
          </w:tcPr>
          <w:p>
            <w:pPr>
              <w:pStyle w:val="6"/>
              <w:spacing w:before="67" w:line="219" w:lineRule="auto"/>
              <w:ind w:left="578"/>
              <w:rPr>
                <w:sz w:val="21"/>
                <w:szCs w:val="21"/>
              </w:rPr>
            </w:pPr>
            <w:r>
              <w:rPr>
                <w:spacing w:val="-1"/>
                <w:sz w:val="21"/>
                <w:szCs w:val="21"/>
              </w:rPr>
              <w:t>评价等级</w:t>
            </w:r>
          </w:p>
        </w:tc>
        <w:tc>
          <w:tcPr>
            <w:tcW w:w="1331" w:type="dxa"/>
            <w:gridSpan w:val="2"/>
            <w:vAlign w:val="top"/>
          </w:tcPr>
          <w:p>
            <w:pPr>
              <w:pStyle w:val="6"/>
              <w:spacing w:before="66" w:line="236" w:lineRule="auto"/>
              <w:ind w:left="369"/>
              <w:rPr>
                <w:rFonts w:ascii="Times New Roman" w:hAnsi="Times New Roman" w:eastAsia="Times New Roman" w:cs="Times New Roman"/>
                <w:sz w:val="21"/>
                <w:szCs w:val="21"/>
              </w:rPr>
            </w:pPr>
            <w:r>
              <w:rPr>
                <w:spacing w:val="-4"/>
                <w:sz w:val="21"/>
                <w:szCs w:val="21"/>
              </w:rPr>
              <w:t>一级</w:t>
            </w:r>
            <w:r>
              <w:rPr>
                <w:spacing w:val="-36"/>
                <w:sz w:val="21"/>
                <w:szCs w:val="21"/>
              </w:rPr>
              <w:t xml:space="preserve"> </w:t>
            </w:r>
            <w:r>
              <w:rPr>
                <w:rFonts w:ascii="Times New Roman" w:hAnsi="Times New Roman" w:eastAsia="Times New Roman" w:cs="Times New Roman"/>
                <w:spacing w:val="-4"/>
                <w:sz w:val="21"/>
                <w:szCs w:val="21"/>
              </w:rPr>
              <w:t>□</w:t>
            </w:r>
          </w:p>
        </w:tc>
        <w:tc>
          <w:tcPr>
            <w:tcW w:w="1239" w:type="dxa"/>
            <w:gridSpan w:val="3"/>
            <w:vAlign w:val="top"/>
          </w:tcPr>
          <w:p>
            <w:pPr>
              <w:pStyle w:val="6"/>
              <w:spacing w:before="66" w:line="236" w:lineRule="auto"/>
              <w:ind w:left="322"/>
              <w:rPr>
                <w:rFonts w:ascii="Times New Roman" w:hAnsi="Times New Roman" w:eastAsia="Times New Roman" w:cs="Times New Roman"/>
                <w:sz w:val="21"/>
                <w:szCs w:val="21"/>
              </w:rPr>
            </w:pPr>
            <w:r>
              <w:rPr>
                <w:spacing w:val="-4"/>
                <w:sz w:val="21"/>
                <w:szCs w:val="21"/>
              </w:rPr>
              <w:t>二级</w:t>
            </w:r>
            <w:r>
              <w:rPr>
                <w:spacing w:val="-36"/>
                <w:sz w:val="21"/>
                <w:szCs w:val="21"/>
              </w:rPr>
              <w:t xml:space="preserve"> </w:t>
            </w:r>
            <w:r>
              <w:rPr>
                <w:rFonts w:ascii="Times New Roman" w:hAnsi="Times New Roman" w:eastAsia="Times New Roman" w:cs="Times New Roman"/>
                <w:spacing w:val="-4"/>
                <w:sz w:val="21"/>
                <w:szCs w:val="21"/>
              </w:rPr>
              <w:t>□</w:t>
            </w:r>
          </w:p>
        </w:tc>
        <w:tc>
          <w:tcPr>
            <w:tcW w:w="1556" w:type="dxa"/>
            <w:gridSpan w:val="3"/>
            <w:vAlign w:val="top"/>
          </w:tcPr>
          <w:p>
            <w:pPr>
              <w:pStyle w:val="6"/>
              <w:spacing w:before="66" w:line="223" w:lineRule="auto"/>
              <w:ind w:left="453"/>
              <w:rPr>
                <w:sz w:val="21"/>
                <w:szCs w:val="21"/>
              </w:rPr>
            </w:pPr>
            <w:r>
              <w:rPr>
                <w:spacing w:val="-3"/>
                <w:sz w:val="21"/>
                <w:szCs w:val="21"/>
              </w:rPr>
              <w:t>三级</w:t>
            </w:r>
            <w:r>
              <w:rPr>
                <w:spacing w:val="-37"/>
                <w:sz w:val="21"/>
                <w:szCs w:val="21"/>
              </w:rPr>
              <w:t xml:space="preserve"> </w:t>
            </w:r>
            <w:r>
              <w:rPr>
                <w:sz w:val="21"/>
                <w:szCs w:val="21"/>
              </w:rPr>
              <w:drawing>
                <wp:inline distT="0" distB="0" distL="0" distR="0">
                  <wp:extent cx="104140" cy="10414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77"/>
                          <a:stretch>
                            <a:fillRect/>
                          </a:stretch>
                        </pic:blipFill>
                        <pic:spPr>
                          <a:xfrm>
                            <a:off x="0" y="0"/>
                            <a:ext cx="104473" cy="104205"/>
                          </a:xfrm>
                          <a:prstGeom prst="rect">
                            <a:avLst/>
                          </a:prstGeom>
                        </pic:spPr>
                      </pic:pic>
                    </a:graphicData>
                  </a:graphic>
                </wp:inline>
              </w:drawing>
            </w:r>
          </w:p>
        </w:tc>
        <w:tc>
          <w:tcPr>
            <w:tcW w:w="2215" w:type="dxa"/>
            <w:gridSpan w:val="3"/>
            <w:vAlign w:val="top"/>
          </w:tcPr>
          <w:p>
            <w:pPr>
              <w:pStyle w:val="6"/>
              <w:spacing w:before="66" w:line="220" w:lineRule="auto"/>
              <w:ind w:left="571"/>
              <w:rPr>
                <w:sz w:val="21"/>
                <w:szCs w:val="21"/>
              </w:rPr>
            </w:pPr>
            <w:r>
              <w:rPr>
                <w:spacing w:val="-3"/>
                <w:sz w:val="21"/>
                <w:szCs w:val="21"/>
              </w:rPr>
              <w:t>简单分析</w:t>
            </w:r>
            <w:r>
              <w:rPr>
                <w:spacing w:val="-36"/>
                <w:sz w:val="21"/>
                <w:szCs w:val="21"/>
              </w:rPr>
              <w:t xml:space="preserve"> </w:t>
            </w:r>
            <w:r>
              <w:rPr>
                <w:sz w:val="21"/>
                <w:szCs w:val="21"/>
              </w:rPr>
              <w:drawing>
                <wp:inline distT="0" distB="0" distL="0" distR="0">
                  <wp:extent cx="104140" cy="10414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377"/>
                          <a:stretch>
                            <a:fillRect/>
                          </a:stretch>
                        </pic:blipFill>
                        <pic:spPr>
                          <a:xfrm>
                            <a:off x="0" y="0"/>
                            <a:ext cx="104473" cy="10420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53" w:type="dxa"/>
            <w:vMerge w:val="restart"/>
            <w:tcBorders>
              <w:bottom w:val="nil"/>
            </w:tcBorders>
            <w:vAlign w:val="top"/>
          </w:tcPr>
          <w:p>
            <w:pPr>
              <w:spacing w:line="318" w:lineRule="auto"/>
              <w:rPr>
                <w:rFonts w:ascii="Arial"/>
                <w:sz w:val="21"/>
              </w:rPr>
            </w:pPr>
          </w:p>
          <w:p>
            <w:pPr>
              <w:pStyle w:val="6"/>
              <w:spacing w:before="68" w:line="230" w:lineRule="auto"/>
              <w:ind w:left="323" w:right="106" w:hanging="212"/>
              <w:rPr>
                <w:sz w:val="21"/>
                <w:szCs w:val="21"/>
              </w:rPr>
            </w:pPr>
            <w:r>
              <w:rPr>
                <w:spacing w:val="-2"/>
                <w:sz w:val="21"/>
                <w:szCs w:val="21"/>
              </w:rPr>
              <w:t>风险识</w:t>
            </w:r>
            <w:r>
              <w:rPr>
                <w:sz w:val="21"/>
                <w:szCs w:val="21"/>
              </w:rPr>
              <w:t xml:space="preserve"> 别</w:t>
            </w:r>
          </w:p>
        </w:tc>
        <w:tc>
          <w:tcPr>
            <w:tcW w:w="1139" w:type="dxa"/>
            <w:vAlign w:val="top"/>
          </w:tcPr>
          <w:p>
            <w:pPr>
              <w:pStyle w:val="6"/>
              <w:spacing w:before="67" w:line="221" w:lineRule="auto"/>
              <w:ind w:left="40"/>
              <w:rPr>
                <w:sz w:val="21"/>
                <w:szCs w:val="21"/>
              </w:rPr>
            </w:pPr>
            <w:r>
              <w:rPr>
                <w:spacing w:val="-1"/>
                <w:sz w:val="21"/>
                <w:szCs w:val="21"/>
              </w:rPr>
              <w:t>物质危险性</w:t>
            </w:r>
          </w:p>
        </w:tc>
        <w:tc>
          <w:tcPr>
            <w:tcW w:w="2570" w:type="dxa"/>
            <w:gridSpan w:val="5"/>
            <w:vAlign w:val="top"/>
          </w:tcPr>
          <w:p>
            <w:pPr>
              <w:pStyle w:val="6"/>
              <w:spacing w:before="66" w:line="221" w:lineRule="auto"/>
              <w:ind w:left="748"/>
              <w:rPr>
                <w:sz w:val="21"/>
                <w:szCs w:val="21"/>
              </w:rPr>
            </w:pPr>
            <w:r>
              <w:rPr>
                <w:spacing w:val="-2"/>
                <w:sz w:val="21"/>
                <w:szCs w:val="21"/>
              </w:rPr>
              <w:t>有毒有害</w:t>
            </w:r>
            <w:r>
              <w:rPr>
                <w:spacing w:val="-37"/>
                <w:sz w:val="21"/>
                <w:szCs w:val="21"/>
              </w:rPr>
              <w:t xml:space="preserve"> </w:t>
            </w:r>
            <w:r>
              <w:rPr>
                <w:sz w:val="21"/>
                <w:szCs w:val="21"/>
              </w:rPr>
              <w:drawing>
                <wp:inline distT="0" distB="0" distL="0" distR="0">
                  <wp:extent cx="104140" cy="10414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76"/>
                          <a:stretch>
                            <a:fillRect/>
                          </a:stretch>
                        </pic:blipFill>
                        <pic:spPr>
                          <a:xfrm>
                            <a:off x="0" y="0"/>
                            <a:ext cx="104473" cy="104205"/>
                          </a:xfrm>
                          <a:prstGeom prst="rect">
                            <a:avLst/>
                          </a:prstGeom>
                        </pic:spPr>
                      </pic:pic>
                    </a:graphicData>
                  </a:graphic>
                </wp:inline>
              </w:drawing>
            </w:r>
          </w:p>
        </w:tc>
        <w:tc>
          <w:tcPr>
            <w:tcW w:w="3771" w:type="dxa"/>
            <w:gridSpan w:val="6"/>
            <w:vAlign w:val="top"/>
          </w:tcPr>
          <w:p>
            <w:pPr>
              <w:pStyle w:val="6"/>
              <w:spacing w:before="66" w:line="233" w:lineRule="auto"/>
              <w:ind w:left="1391"/>
              <w:rPr>
                <w:rFonts w:ascii="Times New Roman" w:hAnsi="Times New Roman" w:eastAsia="Times New Roman" w:cs="Times New Roman"/>
                <w:sz w:val="21"/>
                <w:szCs w:val="21"/>
              </w:rPr>
            </w:pPr>
            <w:r>
              <w:rPr>
                <w:spacing w:val="-4"/>
                <w:sz w:val="21"/>
                <w:szCs w:val="21"/>
              </w:rPr>
              <w:t>易燃易爆</w:t>
            </w:r>
            <w:r>
              <w:rPr>
                <w:spacing w:val="-38"/>
                <w:sz w:val="21"/>
                <w:szCs w:val="21"/>
              </w:rPr>
              <w:t xml:space="preserve"> </w:t>
            </w:r>
            <w:r>
              <w:rPr>
                <w:rFonts w:ascii="Times New Roman" w:hAnsi="Times New Roman" w:eastAsia="Times New Roman" w:cs="Times New Roman"/>
                <w:spacing w:val="-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3" w:type="dxa"/>
            <w:vMerge w:val="continue"/>
            <w:tcBorders>
              <w:top w:val="nil"/>
              <w:bottom w:val="nil"/>
            </w:tcBorders>
            <w:vAlign w:val="top"/>
          </w:tcPr>
          <w:p>
            <w:pPr>
              <w:rPr>
                <w:rFonts w:ascii="Arial"/>
                <w:sz w:val="21"/>
              </w:rPr>
            </w:pPr>
          </w:p>
        </w:tc>
        <w:tc>
          <w:tcPr>
            <w:tcW w:w="1139" w:type="dxa"/>
            <w:vAlign w:val="top"/>
          </w:tcPr>
          <w:p>
            <w:pPr>
              <w:pStyle w:val="6"/>
              <w:spacing w:before="35" w:line="222" w:lineRule="auto"/>
              <w:ind w:left="466" w:right="43" w:hanging="426"/>
              <w:rPr>
                <w:sz w:val="21"/>
                <w:szCs w:val="21"/>
              </w:rPr>
            </w:pPr>
            <w:r>
              <w:rPr>
                <w:spacing w:val="-1"/>
                <w:sz w:val="21"/>
                <w:szCs w:val="21"/>
              </w:rPr>
              <w:t>环境风险类</w:t>
            </w:r>
            <w:r>
              <w:rPr>
                <w:sz w:val="21"/>
                <w:szCs w:val="21"/>
              </w:rPr>
              <w:t xml:space="preserve"> 型</w:t>
            </w:r>
          </w:p>
        </w:tc>
        <w:tc>
          <w:tcPr>
            <w:tcW w:w="2570" w:type="dxa"/>
            <w:gridSpan w:val="5"/>
            <w:vAlign w:val="top"/>
          </w:tcPr>
          <w:p>
            <w:pPr>
              <w:pStyle w:val="6"/>
              <w:spacing w:before="171" w:line="222" w:lineRule="auto"/>
              <w:ind w:left="933"/>
              <w:rPr>
                <w:sz w:val="21"/>
                <w:szCs w:val="21"/>
              </w:rPr>
            </w:pPr>
            <w:r>
              <w:rPr>
                <w:spacing w:val="-5"/>
                <w:sz w:val="21"/>
                <w:szCs w:val="21"/>
              </w:rPr>
              <w:t>泄漏</w:t>
            </w:r>
            <w:r>
              <w:rPr>
                <w:spacing w:val="15"/>
                <w:sz w:val="21"/>
                <w:szCs w:val="21"/>
              </w:rPr>
              <w:t xml:space="preserve"> </w:t>
            </w:r>
            <w:r>
              <w:rPr>
                <w:sz w:val="21"/>
                <w:szCs w:val="21"/>
              </w:rPr>
              <w:drawing>
                <wp:inline distT="0" distB="0" distL="0" distR="0">
                  <wp:extent cx="104140" cy="10414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77"/>
                          <a:stretch>
                            <a:fillRect/>
                          </a:stretch>
                        </pic:blipFill>
                        <pic:spPr>
                          <a:xfrm>
                            <a:off x="0" y="0"/>
                            <a:ext cx="104473" cy="104205"/>
                          </a:xfrm>
                          <a:prstGeom prst="rect">
                            <a:avLst/>
                          </a:prstGeom>
                        </pic:spPr>
                      </pic:pic>
                    </a:graphicData>
                  </a:graphic>
                </wp:inline>
              </w:drawing>
            </w:r>
          </w:p>
        </w:tc>
        <w:tc>
          <w:tcPr>
            <w:tcW w:w="3771" w:type="dxa"/>
            <w:gridSpan w:val="6"/>
            <w:vAlign w:val="top"/>
          </w:tcPr>
          <w:p>
            <w:pPr>
              <w:pStyle w:val="6"/>
              <w:spacing w:before="171" w:line="233" w:lineRule="auto"/>
              <w:ind w:left="89"/>
              <w:rPr>
                <w:rFonts w:ascii="Times New Roman" w:hAnsi="Times New Roman" w:eastAsia="Times New Roman" w:cs="Times New Roman"/>
                <w:sz w:val="21"/>
                <w:szCs w:val="21"/>
              </w:rPr>
            </w:pPr>
            <w:r>
              <w:rPr>
                <w:spacing w:val="-1"/>
                <w:sz w:val="21"/>
                <w:szCs w:val="21"/>
              </w:rPr>
              <w:t>火灾、爆炸引发伴生</w:t>
            </w:r>
            <w:r>
              <w:rPr>
                <w:rFonts w:ascii="Times New Roman" w:hAnsi="Times New Roman" w:eastAsia="Times New Roman" w:cs="Times New Roman"/>
                <w:spacing w:val="-1"/>
                <w:sz w:val="21"/>
                <w:szCs w:val="21"/>
              </w:rPr>
              <w:t>/</w:t>
            </w:r>
            <w:r>
              <w:rPr>
                <w:spacing w:val="-1"/>
                <w:sz w:val="21"/>
                <w:szCs w:val="21"/>
              </w:rPr>
              <w:t>次生污染物排放</w:t>
            </w:r>
            <w:r>
              <w:rPr>
                <w:spacing w:val="-28"/>
                <w:sz w:val="21"/>
                <w:szCs w:val="21"/>
              </w:rPr>
              <w:t xml:space="preserve"> </w:t>
            </w:r>
            <w:r>
              <w:rPr>
                <w:rFonts w:ascii="Times New Roman" w:hAnsi="Times New Roman" w:eastAsia="Times New Roman" w:cs="Times New Roman"/>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tcBorders>
            <w:vAlign w:val="top"/>
          </w:tcPr>
          <w:p>
            <w:pPr>
              <w:rPr>
                <w:rFonts w:ascii="Arial"/>
                <w:sz w:val="21"/>
              </w:rPr>
            </w:pPr>
          </w:p>
        </w:tc>
        <w:tc>
          <w:tcPr>
            <w:tcW w:w="1139" w:type="dxa"/>
            <w:vAlign w:val="top"/>
          </w:tcPr>
          <w:p>
            <w:pPr>
              <w:pStyle w:val="6"/>
              <w:spacing w:before="68" w:line="221" w:lineRule="auto"/>
              <w:ind w:left="145"/>
              <w:rPr>
                <w:sz w:val="21"/>
                <w:szCs w:val="21"/>
              </w:rPr>
            </w:pPr>
            <w:r>
              <w:rPr>
                <w:spacing w:val="-2"/>
                <w:sz w:val="21"/>
                <w:szCs w:val="21"/>
              </w:rPr>
              <w:t>影响途径</w:t>
            </w:r>
          </w:p>
        </w:tc>
        <w:tc>
          <w:tcPr>
            <w:tcW w:w="1976" w:type="dxa"/>
            <w:gridSpan w:val="3"/>
            <w:vAlign w:val="top"/>
          </w:tcPr>
          <w:p>
            <w:pPr>
              <w:pStyle w:val="6"/>
              <w:spacing w:before="69" w:line="221" w:lineRule="auto"/>
              <w:ind w:left="634"/>
              <w:rPr>
                <w:sz w:val="21"/>
                <w:szCs w:val="21"/>
              </w:rPr>
            </w:pPr>
            <w:r>
              <w:rPr>
                <w:spacing w:val="-5"/>
                <w:sz w:val="21"/>
                <w:szCs w:val="21"/>
              </w:rPr>
              <w:t>大气</w:t>
            </w:r>
            <w:r>
              <w:rPr>
                <w:spacing w:val="16"/>
                <w:sz w:val="21"/>
                <w:szCs w:val="21"/>
              </w:rPr>
              <w:t xml:space="preserve"> </w:t>
            </w:r>
            <w:r>
              <w:rPr>
                <w:sz w:val="21"/>
                <w:szCs w:val="21"/>
              </w:rPr>
              <w:drawing>
                <wp:inline distT="0" distB="0" distL="0" distR="0">
                  <wp:extent cx="104140" cy="10414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76"/>
                          <a:stretch>
                            <a:fillRect/>
                          </a:stretch>
                        </pic:blipFill>
                        <pic:spPr>
                          <a:xfrm>
                            <a:off x="0" y="0"/>
                            <a:ext cx="104473" cy="104205"/>
                          </a:xfrm>
                          <a:prstGeom prst="rect">
                            <a:avLst/>
                          </a:prstGeom>
                        </pic:spPr>
                      </pic:pic>
                    </a:graphicData>
                  </a:graphic>
                </wp:inline>
              </w:drawing>
            </w:r>
          </w:p>
        </w:tc>
        <w:tc>
          <w:tcPr>
            <w:tcW w:w="2150" w:type="dxa"/>
            <w:gridSpan w:val="5"/>
            <w:vAlign w:val="top"/>
          </w:tcPr>
          <w:p>
            <w:pPr>
              <w:pStyle w:val="6"/>
              <w:spacing w:before="68" w:line="221" w:lineRule="auto"/>
              <w:ind w:left="614"/>
              <w:rPr>
                <w:sz w:val="21"/>
                <w:szCs w:val="21"/>
              </w:rPr>
            </w:pPr>
            <w:r>
              <w:rPr>
                <w:spacing w:val="-2"/>
                <w:sz w:val="21"/>
                <w:szCs w:val="21"/>
              </w:rPr>
              <w:t>地表水</w:t>
            </w:r>
            <w:r>
              <w:rPr>
                <w:spacing w:val="14"/>
                <w:sz w:val="21"/>
                <w:szCs w:val="21"/>
              </w:rPr>
              <w:t xml:space="preserve"> </w:t>
            </w:r>
            <w:r>
              <w:rPr>
                <w:sz w:val="21"/>
                <w:szCs w:val="21"/>
              </w:rPr>
              <w:drawing>
                <wp:inline distT="0" distB="0" distL="0" distR="0">
                  <wp:extent cx="104140" cy="10414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376"/>
                          <a:stretch>
                            <a:fillRect/>
                          </a:stretch>
                        </pic:blipFill>
                        <pic:spPr>
                          <a:xfrm>
                            <a:off x="0" y="0"/>
                            <a:ext cx="104473" cy="104205"/>
                          </a:xfrm>
                          <a:prstGeom prst="rect">
                            <a:avLst/>
                          </a:prstGeom>
                        </pic:spPr>
                      </pic:pic>
                    </a:graphicData>
                  </a:graphic>
                </wp:inline>
              </w:drawing>
            </w:r>
          </w:p>
        </w:tc>
        <w:tc>
          <w:tcPr>
            <w:tcW w:w="2215" w:type="dxa"/>
            <w:gridSpan w:val="3"/>
            <w:vAlign w:val="top"/>
          </w:tcPr>
          <w:p>
            <w:pPr>
              <w:pStyle w:val="6"/>
              <w:spacing w:before="68" w:line="221" w:lineRule="auto"/>
              <w:ind w:left="673"/>
              <w:rPr>
                <w:sz w:val="21"/>
                <w:szCs w:val="21"/>
              </w:rPr>
            </w:pPr>
            <w:r>
              <w:rPr>
                <w:spacing w:val="-2"/>
                <w:sz w:val="21"/>
                <w:szCs w:val="21"/>
              </w:rPr>
              <w:t>地下水</w:t>
            </w:r>
            <w:r>
              <w:rPr>
                <w:spacing w:val="-39"/>
                <w:sz w:val="21"/>
                <w:szCs w:val="21"/>
              </w:rPr>
              <w:t xml:space="preserve"> </w:t>
            </w:r>
            <w:r>
              <w:rPr>
                <w:sz w:val="21"/>
                <w:szCs w:val="21"/>
              </w:rPr>
              <w:drawing>
                <wp:inline distT="0" distB="0" distL="0" distR="0">
                  <wp:extent cx="104140" cy="10414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76"/>
                          <a:stretch>
                            <a:fillRect/>
                          </a:stretch>
                        </pic:blipFill>
                        <pic:spPr>
                          <a:xfrm>
                            <a:off x="0" y="0"/>
                            <a:ext cx="104473" cy="10420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92" w:type="dxa"/>
            <w:gridSpan w:val="2"/>
            <w:vAlign w:val="top"/>
          </w:tcPr>
          <w:p>
            <w:pPr>
              <w:pStyle w:val="6"/>
              <w:spacing w:before="69" w:line="221" w:lineRule="auto"/>
              <w:ind w:left="367"/>
              <w:rPr>
                <w:sz w:val="21"/>
                <w:szCs w:val="21"/>
              </w:rPr>
            </w:pPr>
            <w:r>
              <w:rPr>
                <w:spacing w:val="-1"/>
                <w:sz w:val="21"/>
                <w:szCs w:val="21"/>
              </w:rPr>
              <w:t>事故情形分析</w:t>
            </w:r>
          </w:p>
        </w:tc>
        <w:tc>
          <w:tcPr>
            <w:tcW w:w="1331" w:type="dxa"/>
            <w:gridSpan w:val="2"/>
            <w:vAlign w:val="top"/>
          </w:tcPr>
          <w:p>
            <w:pPr>
              <w:pStyle w:val="6"/>
              <w:spacing w:before="69" w:line="221" w:lineRule="auto"/>
              <w:ind w:left="33"/>
              <w:rPr>
                <w:sz w:val="21"/>
                <w:szCs w:val="21"/>
              </w:rPr>
            </w:pPr>
            <w:r>
              <w:rPr>
                <w:spacing w:val="-1"/>
                <w:sz w:val="21"/>
                <w:szCs w:val="21"/>
              </w:rPr>
              <w:t>源强设定方法</w:t>
            </w:r>
          </w:p>
        </w:tc>
        <w:tc>
          <w:tcPr>
            <w:tcW w:w="1239" w:type="dxa"/>
            <w:gridSpan w:val="3"/>
            <w:vAlign w:val="top"/>
          </w:tcPr>
          <w:p>
            <w:pPr>
              <w:pStyle w:val="6"/>
              <w:spacing w:before="68" w:line="234" w:lineRule="auto"/>
              <w:ind w:left="215"/>
              <w:rPr>
                <w:rFonts w:ascii="Times New Roman" w:hAnsi="Times New Roman" w:eastAsia="Times New Roman" w:cs="Times New Roman"/>
                <w:sz w:val="21"/>
                <w:szCs w:val="21"/>
              </w:rPr>
            </w:pPr>
            <w:r>
              <w:rPr>
                <w:spacing w:val="-2"/>
                <w:sz w:val="21"/>
                <w:szCs w:val="21"/>
              </w:rPr>
              <w:t>计算法</w:t>
            </w:r>
            <w:r>
              <w:rPr>
                <w:spacing w:val="-38"/>
                <w:sz w:val="21"/>
                <w:szCs w:val="21"/>
              </w:rPr>
              <w:t xml:space="preserve"> </w:t>
            </w:r>
            <w:r>
              <w:rPr>
                <w:rFonts w:ascii="Times New Roman" w:hAnsi="Times New Roman" w:eastAsia="Times New Roman" w:cs="Times New Roman"/>
                <w:spacing w:val="-2"/>
                <w:sz w:val="21"/>
                <w:szCs w:val="21"/>
              </w:rPr>
              <w:t>□</w:t>
            </w:r>
          </w:p>
        </w:tc>
        <w:tc>
          <w:tcPr>
            <w:tcW w:w="1556" w:type="dxa"/>
            <w:gridSpan w:val="3"/>
            <w:vAlign w:val="top"/>
          </w:tcPr>
          <w:p>
            <w:pPr>
              <w:pStyle w:val="6"/>
              <w:spacing w:before="69" w:line="219" w:lineRule="auto"/>
              <w:ind w:left="140"/>
              <w:rPr>
                <w:sz w:val="21"/>
                <w:szCs w:val="21"/>
              </w:rPr>
            </w:pPr>
            <w:r>
              <w:rPr>
                <w:spacing w:val="-2"/>
                <w:sz w:val="21"/>
                <w:szCs w:val="21"/>
              </w:rPr>
              <w:t>经验估算法</w:t>
            </w:r>
            <w:r>
              <w:rPr>
                <w:spacing w:val="-37"/>
                <w:sz w:val="21"/>
                <w:szCs w:val="21"/>
              </w:rPr>
              <w:t xml:space="preserve"> </w:t>
            </w:r>
            <w:r>
              <w:rPr>
                <w:sz w:val="21"/>
                <w:szCs w:val="21"/>
              </w:rPr>
              <w:drawing>
                <wp:inline distT="0" distB="0" distL="0" distR="0">
                  <wp:extent cx="104140" cy="10414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376"/>
                          <a:stretch>
                            <a:fillRect/>
                          </a:stretch>
                        </pic:blipFill>
                        <pic:spPr>
                          <a:xfrm>
                            <a:off x="0" y="0"/>
                            <a:ext cx="104473" cy="104205"/>
                          </a:xfrm>
                          <a:prstGeom prst="rect">
                            <a:avLst/>
                          </a:prstGeom>
                        </pic:spPr>
                      </pic:pic>
                    </a:graphicData>
                  </a:graphic>
                </wp:inline>
              </w:drawing>
            </w:r>
          </w:p>
        </w:tc>
        <w:tc>
          <w:tcPr>
            <w:tcW w:w="2215" w:type="dxa"/>
            <w:gridSpan w:val="3"/>
            <w:vAlign w:val="top"/>
          </w:tcPr>
          <w:p>
            <w:pPr>
              <w:pStyle w:val="6"/>
              <w:spacing w:before="69" w:line="233" w:lineRule="auto"/>
              <w:ind w:left="494"/>
              <w:rPr>
                <w:rFonts w:ascii="Times New Roman" w:hAnsi="Times New Roman" w:eastAsia="Times New Roman" w:cs="Times New Roman"/>
                <w:sz w:val="21"/>
                <w:szCs w:val="21"/>
              </w:rPr>
            </w:pPr>
            <w:r>
              <w:rPr>
                <w:spacing w:val="-1"/>
                <w:sz w:val="21"/>
                <w:szCs w:val="21"/>
              </w:rPr>
              <w:t>其他估算法</w:t>
            </w:r>
            <w:r>
              <w:rPr>
                <w:spacing w:val="-40"/>
                <w:sz w:val="21"/>
                <w:szCs w:val="21"/>
              </w:rPr>
              <w:t xml:space="preserve"> </w:t>
            </w:r>
            <w:r>
              <w:rPr>
                <w:rFonts w:ascii="Times New Roman" w:hAnsi="Times New Roman" w:eastAsia="Times New Roman" w:cs="Times New Roman"/>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53" w:type="dxa"/>
            <w:vMerge w:val="restart"/>
            <w:tcBorders>
              <w:bottom w:val="nil"/>
            </w:tcBorders>
            <w:vAlign w:val="top"/>
          </w:tcPr>
          <w:p>
            <w:pPr>
              <w:spacing w:line="259" w:lineRule="auto"/>
              <w:rPr>
                <w:rFonts w:ascii="Arial"/>
                <w:sz w:val="21"/>
              </w:rPr>
            </w:pPr>
          </w:p>
          <w:p>
            <w:pPr>
              <w:pStyle w:val="6"/>
              <w:spacing w:before="68" w:line="221" w:lineRule="auto"/>
              <w:ind w:left="111"/>
              <w:rPr>
                <w:sz w:val="21"/>
                <w:szCs w:val="21"/>
              </w:rPr>
            </w:pPr>
            <w:r>
              <w:rPr>
                <w:spacing w:val="-2"/>
                <w:sz w:val="21"/>
                <w:szCs w:val="21"/>
              </w:rPr>
              <w:t>风险预</w:t>
            </w:r>
          </w:p>
          <w:p>
            <w:pPr>
              <w:pStyle w:val="6"/>
              <w:spacing w:before="22" w:line="221" w:lineRule="auto"/>
              <w:ind w:left="111"/>
              <w:rPr>
                <w:sz w:val="21"/>
                <w:szCs w:val="21"/>
              </w:rPr>
            </w:pPr>
            <w:r>
              <w:rPr>
                <w:spacing w:val="-2"/>
                <w:sz w:val="21"/>
                <w:szCs w:val="21"/>
              </w:rPr>
              <w:t>测与评</w:t>
            </w:r>
          </w:p>
          <w:p>
            <w:pPr>
              <w:pStyle w:val="6"/>
              <w:spacing w:before="19" w:line="219" w:lineRule="auto"/>
              <w:ind w:left="323"/>
              <w:rPr>
                <w:sz w:val="21"/>
                <w:szCs w:val="21"/>
              </w:rPr>
            </w:pPr>
            <w:r>
              <w:rPr>
                <w:sz w:val="21"/>
                <w:szCs w:val="21"/>
              </w:rPr>
              <w:t>价</w:t>
            </w:r>
          </w:p>
        </w:tc>
        <w:tc>
          <w:tcPr>
            <w:tcW w:w="1139" w:type="dxa"/>
            <w:vMerge w:val="restart"/>
            <w:tcBorders>
              <w:bottom w:val="nil"/>
            </w:tcBorders>
            <w:vAlign w:val="top"/>
          </w:tcPr>
          <w:p>
            <w:pPr>
              <w:spacing w:line="354" w:lineRule="auto"/>
              <w:rPr>
                <w:rFonts w:ascii="Arial"/>
                <w:sz w:val="21"/>
              </w:rPr>
            </w:pPr>
          </w:p>
          <w:p>
            <w:pPr>
              <w:pStyle w:val="6"/>
              <w:spacing w:before="68" w:line="221" w:lineRule="auto"/>
              <w:ind w:left="359"/>
              <w:rPr>
                <w:sz w:val="21"/>
                <w:szCs w:val="21"/>
              </w:rPr>
            </w:pPr>
            <w:r>
              <w:rPr>
                <w:spacing w:val="-3"/>
                <w:sz w:val="21"/>
                <w:szCs w:val="21"/>
              </w:rPr>
              <w:t>大气</w:t>
            </w:r>
          </w:p>
        </w:tc>
        <w:tc>
          <w:tcPr>
            <w:tcW w:w="1331" w:type="dxa"/>
            <w:gridSpan w:val="2"/>
            <w:vAlign w:val="top"/>
          </w:tcPr>
          <w:p>
            <w:pPr>
              <w:pStyle w:val="6"/>
              <w:spacing w:before="69" w:line="221" w:lineRule="auto"/>
              <w:ind w:left="247"/>
              <w:rPr>
                <w:sz w:val="21"/>
                <w:szCs w:val="21"/>
              </w:rPr>
            </w:pPr>
            <w:r>
              <w:rPr>
                <w:spacing w:val="-2"/>
                <w:sz w:val="21"/>
                <w:szCs w:val="21"/>
              </w:rPr>
              <w:t>预测模型</w:t>
            </w:r>
          </w:p>
        </w:tc>
        <w:tc>
          <w:tcPr>
            <w:tcW w:w="1239" w:type="dxa"/>
            <w:gridSpan w:val="3"/>
            <w:vAlign w:val="top"/>
          </w:tcPr>
          <w:p>
            <w:pPr>
              <w:spacing w:before="104" w:line="226"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SLAB</w:t>
            </w:r>
            <w:r>
              <w:rPr>
                <w:rFonts w:ascii="Times New Roman" w:hAnsi="Times New Roman" w:eastAsia="Times New Roman" w:cs="Times New Roman"/>
                <w:spacing w:val="16"/>
                <w:w w:val="101"/>
                <w:sz w:val="21"/>
                <w:szCs w:val="21"/>
              </w:rPr>
              <w:t xml:space="preserve"> </w:t>
            </w:r>
            <w:r>
              <w:rPr>
                <w:rFonts w:ascii="Times New Roman" w:hAnsi="Times New Roman" w:eastAsia="Times New Roman" w:cs="Times New Roman"/>
                <w:spacing w:val="-3"/>
                <w:sz w:val="21"/>
                <w:szCs w:val="21"/>
              </w:rPr>
              <w:t>□</w:t>
            </w:r>
          </w:p>
        </w:tc>
        <w:tc>
          <w:tcPr>
            <w:tcW w:w="1556" w:type="dxa"/>
            <w:gridSpan w:val="3"/>
            <w:vAlign w:val="top"/>
          </w:tcPr>
          <w:p>
            <w:pPr>
              <w:spacing w:before="104" w:line="226" w:lineRule="auto"/>
              <w:ind w:left="336"/>
              <w:rPr>
                <w:rFonts w:ascii="Times New Roman" w:hAnsi="Times New Roman" w:eastAsia="Times New Roman" w:cs="Times New Roman"/>
                <w:sz w:val="21"/>
                <w:szCs w:val="21"/>
              </w:rPr>
            </w:pPr>
            <w:r>
              <w:rPr>
                <w:rFonts w:ascii="Times New Roman" w:hAnsi="Times New Roman" w:eastAsia="Times New Roman" w:cs="Times New Roman"/>
                <w:sz w:val="21"/>
                <w:szCs w:val="21"/>
              </w:rPr>
              <w:t>AFTOX</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z w:val="21"/>
                <w:szCs w:val="21"/>
              </w:rPr>
              <w:t>□</w:t>
            </w:r>
          </w:p>
        </w:tc>
        <w:tc>
          <w:tcPr>
            <w:tcW w:w="2215" w:type="dxa"/>
            <w:gridSpan w:val="3"/>
            <w:vAlign w:val="top"/>
          </w:tcPr>
          <w:p>
            <w:pPr>
              <w:pStyle w:val="6"/>
              <w:spacing w:before="69" w:line="231" w:lineRule="auto"/>
              <w:ind w:left="808"/>
              <w:rPr>
                <w:rFonts w:ascii="Times New Roman" w:hAnsi="Times New Roman" w:eastAsia="Times New Roman" w:cs="Times New Roman"/>
                <w:sz w:val="21"/>
                <w:szCs w:val="21"/>
              </w:rPr>
            </w:pPr>
            <w:r>
              <w:rPr>
                <w:spacing w:val="-3"/>
                <w:sz w:val="21"/>
                <w:szCs w:val="21"/>
              </w:rPr>
              <w:t>其他</w:t>
            </w:r>
            <w:r>
              <w:rPr>
                <w:spacing w:val="-36"/>
                <w:sz w:val="21"/>
                <w:szCs w:val="21"/>
              </w:rPr>
              <w:t xml:space="preserve"> </w:t>
            </w:r>
            <w:r>
              <w:rPr>
                <w:rFonts w:ascii="Times New Roman" w:hAnsi="Times New Roman" w:eastAsia="Times New Roman" w:cs="Times New Roman"/>
                <w:spacing w:val="-3"/>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331" w:type="dxa"/>
            <w:gridSpan w:val="2"/>
            <w:vMerge w:val="restart"/>
            <w:tcBorders>
              <w:bottom w:val="nil"/>
            </w:tcBorders>
            <w:vAlign w:val="top"/>
          </w:tcPr>
          <w:p>
            <w:pPr>
              <w:pStyle w:val="6"/>
              <w:spacing w:before="250" w:line="221" w:lineRule="auto"/>
              <w:ind w:left="247"/>
              <w:rPr>
                <w:sz w:val="21"/>
                <w:szCs w:val="21"/>
              </w:rPr>
            </w:pPr>
            <w:r>
              <w:rPr>
                <w:spacing w:val="-2"/>
                <w:sz w:val="21"/>
                <w:szCs w:val="21"/>
              </w:rPr>
              <w:t>预测结果</w:t>
            </w:r>
          </w:p>
        </w:tc>
        <w:tc>
          <w:tcPr>
            <w:tcW w:w="5010" w:type="dxa"/>
            <w:gridSpan w:val="9"/>
            <w:vAlign w:val="top"/>
          </w:tcPr>
          <w:p>
            <w:pPr>
              <w:pStyle w:val="6"/>
              <w:spacing w:before="72" w:line="231" w:lineRule="auto"/>
              <w:ind w:left="679"/>
              <w:rPr>
                <w:rFonts w:ascii="Times New Roman" w:hAnsi="Times New Roman" w:eastAsia="Times New Roman" w:cs="Times New Roman"/>
                <w:sz w:val="21"/>
                <w:szCs w:val="21"/>
              </w:rPr>
            </w:pPr>
            <w:r>
              <w:rPr>
                <w:spacing w:val="-2"/>
                <w:sz w:val="21"/>
                <w:szCs w:val="21"/>
              </w:rPr>
              <w:t>大气毒性终点浓度</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 xml:space="preserve">最大影响范围 </w:t>
            </w:r>
            <w:r>
              <w:rPr>
                <w:rFonts w:ascii="Times New Roman" w:hAnsi="Times New Roman" w:eastAsia="Times New Roman" w:cs="Times New Roman"/>
                <w:spacing w:val="-2"/>
                <w:sz w:val="21"/>
                <w:szCs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3" w:type="dxa"/>
            <w:vMerge w:val="continue"/>
            <w:tcBorders>
              <w:top w:val="nil"/>
              <w:bottom w:val="nil"/>
            </w:tcBorders>
            <w:vAlign w:val="top"/>
          </w:tcPr>
          <w:p>
            <w:pPr>
              <w:rPr>
                <w:rFonts w:ascii="Arial"/>
                <w:sz w:val="21"/>
              </w:rPr>
            </w:pPr>
          </w:p>
        </w:tc>
        <w:tc>
          <w:tcPr>
            <w:tcW w:w="1139" w:type="dxa"/>
            <w:vMerge w:val="continue"/>
            <w:tcBorders>
              <w:top w:val="nil"/>
            </w:tcBorders>
            <w:vAlign w:val="top"/>
          </w:tcPr>
          <w:p>
            <w:pPr>
              <w:rPr>
                <w:rFonts w:ascii="Arial"/>
                <w:sz w:val="21"/>
              </w:rPr>
            </w:pPr>
          </w:p>
        </w:tc>
        <w:tc>
          <w:tcPr>
            <w:tcW w:w="1331" w:type="dxa"/>
            <w:gridSpan w:val="2"/>
            <w:vMerge w:val="continue"/>
            <w:tcBorders>
              <w:top w:val="nil"/>
            </w:tcBorders>
            <w:vAlign w:val="top"/>
          </w:tcPr>
          <w:p>
            <w:pPr>
              <w:rPr>
                <w:rFonts w:ascii="Arial"/>
                <w:sz w:val="21"/>
              </w:rPr>
            </w:pPr>
          </w:p>
        </w:tc>
        <w:tc>
          <w:tcPr>
            <w:tcW w:w="5010" w:type="dxa"/>
            <w:gridSpan w:val="9"/>
            <w:vAlign w:val="top"/>
          </w:tcPr>
          <w:p>
            <w:pPr>
              <w:pStyle w:val="6"/>
              <w:spacing w:before="73" w:line="230" w:lineRule="auto"/>
              <w:ind w:left="652"/>
              <w:rPr>
                <w:rFonts w:ascii="Times New Roman" w:hAnsi="Times New Roman" w:eastAsia="Times New Roman" w:cs="Times New Roman"/>
                <w:sz w:val="21"/>
                <w:szCs w:val="21"/>
              </w:rPr>
            </w:pPr>
            <w:r>
              <w:rPr>
                <w:spacing w:val="-1"/>
                <w:sz w:val="21"/>
                <w:szCs w:val="21"/>
              </w:rPr>
              <w:t>大气毒性终点浓度</w:t>
            </w:r>
            <w:r>
              <w:rPr>
                <w:rFonts w:ascii="Times New Roman" w:hAnsi="Times New Roman" w:eastAsia="Times New Roman" w:cs="Times New Roman"/>
                <w:spacing w:val="-1"/>
                <w:sz w:val="21"/>
                <w:szCs w:val="21"/>
              </w:rPr>
              <w:t xml:space="preserve">-2    </w:t>
            </w:r>
            <w:r>
              <w:rPr>
                <w:spacing w:val="-1"/>
                <w:sz w:val="21"/>
                <w:szCs w:val="21"/>
              </w:rPr>
              <w:t xml:space="preserve">最大影响范围 </w:t>
            </w:r>
            <w:r>
              <w:rPr>
                <w:rFonts w:ascii="Times New Roman" w:hAnsi="Times New Roman" w:eastAsia="Times New Roman" w:cs="Times New Roman"/>
                <w:spacing w:val="-1"/>
                <w:sz w:val="21"/>
                <w:szCs w:val="21"/>
              </w:rPr>
              <w:t>/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3" w:type="dxa"/>
            <w:vMerge w:val="continue"/>
            <w:tcBorders>
              <w:top w:val="nil"/>
            </w:tcBorders>
            <w:vAlign w:val="top"/>
          </w:tcPr>
          <w:p>
            <w:pPr>
              <w:rPr>
                <w:rFonts w:ascii="Arial"/>
                <w:sz w:val="21"/>
              </w:rPr>
            </w:pPr>
          </w:p>
        </w:tc>
        <w:tc>
          <w:tcPr>
            <w:tcW w:w="1139" w:type="dxa"/>
            <w:vAlign w:val="top"/>
          </w:tcPr>
          <w:p>
            <w:pPr>
              <w:pStyle w:val="6"/>
              <w:spacing w:before="72" w:line="221" w:lineRule="auto"/>
              <w:ind w:left="251"/>
              <w:rPr>
                <w:sz w:val="21"/>
                <w:szCs w:val="21"/>
              </w:rPr>
            </w:pPr>
            <w:r>
              <w:rPr>
                <w:spacing w:val="-2"/>
                <w:sz w:val="21"/>
                <w:szCs w:val="21"/>
              </w:rPr>
              <w:t>地表水</w:t>
            </w:r>
          </w:p>
        </w:tc>
        <w:tc>
          <w:tcPr>
            <w:tcW w:w="6341" w:type="dxa"/>
            <w:gridSpan w:val="11"/>
            <w:vAlign w:val="top"/>
          </w:tcPr>
          <w:p>
            <w:pPr>
              <w:pStyle w:val="6"/>
              <w:spacing w:before="73" w:line="234" w:lineRule="auto"/>
              <w:ind w:left="1539"/>
              <w:rPr>
                <w:rFonts w:ascii="Times New Roman" w:hAnsi="Times New Roman" w:eastAsia="Times New Roman" w:cs="Times New Roman"/>
                <w:sz w:val="21"/>
                <w:szCs w:val="21"/>
              </w:rPr>
            </w:pPr>
            <w:r>
              <w:rPr>
                <w:spacing w:val="-1"/>
                <w:sz w:val="21"/>
                <w:szCs w:val="21"/>
              </w:rPr>
              <w:t xml:space="preserve">最近环境敏感目标 </w:t>
            </w:r>
            <w:r>
              <w:rPr>
                <w:rFonts w:ascii="Times New Roman" w:hAnsi="Times New Roman" w:eastAsia="Times New Roman" w:cs="Times New Roman"/>
                <w:spacing w:val="-1"/>
                <w:sz w:val="21"/>
                <w:szCs w:val="21"/>
              </w:rPr>
              <w:t xml:space="preserve">/  </w:t>
            </w:r>
            <w:r>
              <w:rPr>
                <w:spacing w:val="-1"/>
                <w:sz w:val="21"/>
                <w:szCs w:val="21"/>
              </w:rPr>
              <w:t xml:space="preserve">，到达时间 </w:t>
            </w:r>
            <w:r>
              <w:rPr>
                <w:rFonts w:ascii="Times New Roman" w:hAnsi="Times New Roman" w:eastAsia="Times New Roman" w:cs="Times New Roman"/>
                <w:spacing w:val="-1"/>
                <w:sz w:val="21"/>
                <w:szCs w:val="21"/>
              </w:rPr>
              <w:t>/h</w:t>
            </w:r>
          </w:p>
        </w:tc>
      </w:tr>
    </w:tbl>
    <w:p>
      <w:pPr>
        <w:pStyle w:val="2"/>
        <w:rPr>
          <w:sz w:val="21"/>
        </w:rPr>
      </w:pPr>
    </w:p>
    <w:p>
      <w:pPr>
        <w:rPr>
          <w:sz w:val="21"/>
          <w:szCs w:val="21"/>
        </w:rPr>
        <w:sectPr>
          <w:headerReference r:id="rId292" w:type="default"/>
          <w:footerReference r:id="rId293" w:type="default"/>
          <w:pgSz w:w="11907" w:h="16839"/>
          <w:pgMar w:top="1123" w:right="1715" w:bottom="1149" w:left="1769" w:header="1108" w:footer="988" w:gutter="0"/>
          <w:cols w:space="720" w:num="1"/>
        </w:sectPr>
      </w:pPr>
    </w:p>
    <w:p>
      <w:pPr>
        <w:spacing w:before="57" w:line="222" w:lineRule="auto"/>
        <w:ind w:left="7055"/>
        <w:rPr>
          <w:rFonts w:ascii="宋体" w:hAnsi="宋体" w:eastAsia="宋体" w:cs="宋体"/>
          <w:sz w:val="26"/>
          <w:szCs w:val="26"/>
        </w:rPr>
      </w:pPr>
    </w:p>
    <w:sectPr>
      <w:headerReference r:id="rId294" w:type="default"/>
      <w:footerReference r:id="rId295" w:type="default"/>
      <w:pgSz w:w="12240" w:h="15840"/>
      <w:pgMar w:top="1" w:right="0" w:bottom="211" w:left="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jc w:val="right"/>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73"/>
        <w:sz w:val="28"/>
        <w:szCs w:val="28"/>
      </w:rPr>
      <w:t xml:space="preserve"> </w:t>
    </w:r>
    <w:r>
      <w:rPr>
        <w:rFonts w:ascii="宋体" w:hAnsi="宋体" w:eastAsia="宋体" w:cs="宋体"/>
        <w:spacing w:val="-8"/>
        <w:sz w:val="25"/>
        <w:szCs w:val="25"/>
      </w:rPr>
      <w:t>9</w:t>
    </w:r>
    <w:r>
      <w:rPr>
        <w:rFonts w:ascii="宋体" w:hAnsi="宋体" w:eastAsia="宋体" w:cs="宋体"/>
        <w:spacing w:val="83"/>
        <w:sz w:val="25"/>
        <w:szCs w:val="25"/>
      </w:rPr>
      <w:t xml:space="preserve"> </w:t>
    </w:r>
    <w:r>
      <w:rPr>
        <w:rFonts w:ascii="宋体" w:hAnsi="宋体" w:eastAsia="宋体" w:cs="宋体"/>
        <w:spacing w:val="-8"/>
        <w:sz w:val="28"/>
        <w:szCs w:val="2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99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100</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101</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102</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103</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104</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105</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106</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107</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108</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0"/>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10</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109</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110</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111</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112</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12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113</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40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114</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115</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116</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117</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118</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jc w:val="right"/>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90"/>
        <w:sz w:val="28"/>
        <w:szCs w:val="28"/>
      </w:rPr>
      <w:t xml:space="preserve"> </w:t>
    </w:r>
    <w:r>
      <w:rPr>
        <w:rFonts w:ascii="宋体" w:hAnsi="宋体" w:eastAsia="宋体" w:cs="宋体"/>
        <w:spacing w:val="-9"/>
        <w:sz w:val="25"/>
        <w:szCs w:val="25"/>
      </w:rPr>
      <w:t>11</w:t>
    </w:r>
    <w:r>
      <w:rPr>
        <w:rFonts w:ascii="宋体" w:hAnsi="宋体" w:eastAsia="宋体" w:cs="宋体"/>
        <w:spacing w:val="82"/>
        <w:sz w:val="25"/>
        <w:szCs w:val="25"/>
      </w:rPr>
      <w:t xml:space="preserve"> </w:t>
    </w:r>
    <w:r>
      <w:rPr>
        <w:rFonts w:ascii="宋体" w:hAnsi="宋体" w:eastAsia="宋体" w:cs="宋体"/>
        <w:spacing w:val="-8"/>
        <w:sz w:val="28"/>
        <w:szCs w:val="2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119</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120</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121</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122</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123</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124</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125</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126</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127</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128</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0"/>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12</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129</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130</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131</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132</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133</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134</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135</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136</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137</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138</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1"/>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13</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139</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140</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141</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142</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143</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144</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145</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146</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07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147</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5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148</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0"/>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14</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71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149</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6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150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71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151</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6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1"/>
        <w:sz w:val="28"/>
        <w:szCs w:val="28"/>
      </w:rPr>
      <w:t xml:space="preserve"> </w:t>
    </w:r>
    <w:r>
      <w:rPr>
        <w:rFonts w:ascii="宋体" w:hAnsi="宋体" w:eastAsia="宋体" w:cs="宋体"/>
        <w:spacing w:val="-5"/>
        <w:sz w:val="25"/>
        <w:szCs w:val="25"/>
      </w:rPr>
      <w:t>152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84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92"/>
        <w:sz w:val="28"/>
        <w:szCs w:val="28"/>
      </w:rPr>
      <w:t xml:space="preserve"> </w:t>
    </w:r>
    <w:r>
      <w:rPr>
        <w:rFonts w:ascii="宋体" w:hAnsi="宋体" w:eastAsia="宋体" w:cs="宋体"/>
        <w:spacing w:val="-5"/>
        <w:sz w:val="25"/>
        <w:szCs w:val="25"/>
      </w:rPr>
      <w:t>153</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2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1"/>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15</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3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0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6"/>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6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7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7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0"/>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16</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1"/>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17</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30"/>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18</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39"/>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4"/>
      <w:jc w:val="right"/>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90"/>
        <w:sz w:val="28"/>
        <w:szCs w:val="28"/>
      </w:rPr>
      <w:t xml:space="preserve"> </w:t>
    </w:r>
    <w:r>
      <w:rPr>
        <w:rFonts w:ascii="宋体" w:hAnsi="宋体" w:eastAsia="宋体" w:cs="宋体"/>
        <w:spacing w:val="-11"/>
        <w:sz w:val="25"/>
        <w:szCs w:val="25"/>
      </w:rPr>
      <w:t>1</w:t>
    </w:r>
    <w:r>
      <w:rPr>
        <w:rFonts w:ascii="宋体" w:hAnsi="宋体" w:eastAsia="宋体" w:cs="宋体"/>
        <w:spacing w:val="83"/>
        <w:sz w:val="25"/>
        <w:szCs w:val="25"/>
      </w:rPr>
      <w:t xml:space="preserve"> </w:t>
    </w:r>
    <w:r>
      <w:rPr>
        <w:rFonts w:ascii="宋体" w:hAnsi="宋体" w:eastAsia="宋体" w:cs="宋体"/>
        <w:spacing w:val="-11"/>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1"/>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19</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3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2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3"/>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3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20</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2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1"/>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5"/>
        <w:sz w:val="28"/>
        <w:szCs w:val="28"/>
      </w:rPr>
      <w:t xml:space="preserve"> </w:t>
    </w:r>
    <w:r>
      <w:rPr>
        <w:rFonts w:ascii="宋体" w:hAnsi="宋体" w:eastAsia="宋体" w:cs="宋体"/>
        <w:spacing w:val="-3"/>
        <w:sz w:val="25"/>
        <w:szCs w:val="25"/>
      </w:rPr>
      <w:t>21</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3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22</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2"/>
        <w:w w:val="114"/>
        <w:sz w:val="18"/>
        <w:szCs w:val="18"/>
      </w:rPr>
      <w:t>;;</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right="1"/>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5"/>
        <w:sz w:val="28"/>
        <w:szCs w:val="28"/>
      </w:rPr>
      <w:t xml:space="preserve"> </w:t>
    </w:r>
    <w:r>
      <w:rPr>
        <w:rFonts w:ascii="宋体" w:hAnsi="宋体" w:eastAsia="宋体" w:cs="宋体"/>
        <w:spacing w:val="-3"/>
        <w:sz w:val="25"/>
        <w:szCs w:val="25"/>
      </w:rPr>
      <w:t>23</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3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24</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宋体" w:hAnsi="宋体" w:eastAsia="宋体" w:cs="宋体"/>
        <w:sz w:val="20"/>
        <w:szCs w:val="20"/>
      </w:rPr>
    </w:pPr>
    <w:r>
      <w:rPr>
        <w:rFonts w:ascii="宋体" w:hAnsi="宋体" w:eastAsia="宋体" w:cs="宋体"/>
        <w:spacing w:val="-1"/>
        <w:sz w:val="20"/>
        <w:szCs w:val="20"/>
      </w:rPr>
      <w:t xml:space="preserve">第9页 共9页                                                                </w:t>
    </w:r>
    <w:r>
      <w:rPr>
        <w:rFonts w:ascii="宋体" w:hAnsi="宋体" w:eastAsia="宋体" w:cs="宋体"/>
        <w:spacing w:val="-2"/>
        <w:sz w:val="20"/>
        <w:szCs w:val="20"/>
      </w:rPr>
      <w:t xml:space="preserve">                                 2023/12/27 14:20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right="1"/>
      <w:jc w:val="right"/>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5"/>
        <w:sz w:val="28"/>
        <w:szCs w:val="28"/>
      </w:rPr>
      <w:t xml:space="preserve"> </w:t>
    </w:r>
    <w:r>
      <w:rPr>
        <w:rFonts w:ascii="宋体" w:hAnsi="宋体" w:eastAsia="宋体" w:cs="宋体"/>
        <w:spacing w:val="-3"/>
        <w:sz w:val="25"/>
        <w:szCs w:val="25"/>
      </w:rPr>
      <w:t>25</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26</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5"/>
        <w:sz w:val="28"/>
        <w:szCs w:val="28"/>
      </w:rPr>
      <w:t xml:space="preserve"> </w:t>
    </w:r>
    <w:r>
      <w:rPr>
        <w:rFonts w:ascii="宋体" w:hAnsi="宋体" w:eastAsia="宋体" w:cs="宋体"/>
        <w:spacing w:val="-3"/>
        <w:sz w:val="25"/>
        <w:szCs w:val="25"/>
      </w:rPr>
      <w:t>27</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28</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25"/>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5"/>
        <w:sz w:val="28"/>
        <w:szCs w:val="28"/>
      </w:rPr>
      <w:t xml:space="preserve"> </w:t>
    </w:r>
    <w:r>
      <w:rPr>
        <w:rFonts w:ascii="宋体" w:hAnsi="宋体" w:eastAsia="宋体" w:cs="宋体"/>
        <w:spacing w:val="-6"/>
        <w:sz w:val="25"/>
        <w:szCs w:val="25"/>
      </w:rPr>
      <w:t>2</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5"/>
        <w:sz w:val="28"/>
        <w:szCs w:val="28"/>
      </w:rPr>
      <w:t xml:space="preserve"> </w:t>
    </w:r>
    <w:r>
      <w:rPr>
        <w:rFonts w:ascii="宋体" w:hAnsi="宋体" w:eastAsia="宋体" w:cs="宋体"/>
        <w:spacing w:val="-3"/>
        <w:sz w:val="25"/>
        <w:szCs w:val="25"/>
      </w:rPr>
      <w:t>29</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31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33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34</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35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36</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37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38</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right="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8"/>
        <w:sz w:val="28"/>
        <w:szCs w:val="28"/>
      </w:rPr>
      <w:t xml:space="preserve"> </w:t>
    </w:r>
    <w:r>
      <w:rPr>
        <w:rFonts w:ascii="宋体" w:hAnsi="宋体" w:eastAsia="宋体" w:cs="宋体"/>
        <w:spacing w:val="-7"/>
        <w:sz w:val="25"/>
        <w:szCs w:val="25"/>
      </w:rPr>
      <w:t>3</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39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40</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97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1"/>
        <w:sz w:val="28"/>
        <w:szCs w:val="28"/>
      </w:rPr>
      <w:t xml:space="preserve"> </w:t>
    </w:r>
    <w:r>
      <w:rPr>
        <w:rFonts w:ascii="宋体" w:hAnsi="宋体" w:eastAsia="宋体" w:cs="宋体"/>
        <w:spacing w:val="-2"/>
        <w:sz w:val="25"/>
        <w:szCs w:val="25"/>
      </w:rPr>
      <w:t>41</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42</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1"/>
        <w:sz w:val="28"/>
        <w:szCs w:val="28"/>
      </w:rPr>
      <w:t xml:space="preserve"> </w:t>
    </w:r>
    <w:r>
      <w:rPr>
        <w:rFonts w:ascii="宋体" w:hAnsi="宋体" w:eastAsia="宋体" w:cs="宋体"/>
        <w:spacing w:val="-2"/>
        <w:sz w:val="25"/>
        <w:szCs w:val="25"/>
      </w:rPr>
      <w:t>43</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44</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1"/>
        <w:sz w:val="28"/>
        <w:szCs w:val="28"/>
      </w:rPr>
      <w:t xml:space="preserve"> </w:t>
    </w:r>
    <w:r>
      <w:rPr>
        <w:rFonts w:ascii="宋体" w:hAnsi="宋体" w:eastAsia="宋体" w:cs="宋体"/>
        <w:spacing w:val="-2"/>
        <w:sz w:val="25"/>
        <w:szCs w:val="25"/>
      </w:rPr>
      <w:t>45</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46</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1"/>
        <w:sz w:val="28"/>
        <w:szCs w:val="28"/>
      </w:rPr>
      <w:t xml:space="preserve"> </w:t>
    </w:r>
    <w:r>
      <w:rPr>
        <w:rFonts w:ascii="宋体" w:hAnsi="宋体" w:eastAsia="宋体" w:cs="宋体"/>
        <w:spacing w:val="-2"/>
        <w:sz w:val="25"/>
        <w:szCs w:val="25"/>
      </w:rPr>
      <w:t>47</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48</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25"/>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2"/>
        <w:sz w:val="28"/>
        <w:szCs w:val="28"/>
      </w:rPr>
      <w:t xml:space="preserve"> </w:t>
    </w:r>
    <w:r>
      <w:rPr>
        <w:rFonts w:ascii="宋体" w:hAnsi="宋体" w:eastAsia="宋体" w:cs="宋体"/>
        <w:spacing w:val="-5"/>
        <w:sz w:val="25"/>
        <w:szCs w:val="25"/>
      </w:rPr>
      <w:t>4</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1"/>
        <w:sz w:val="28"/>
        <w:szCs w:val="28"/>
      </w:rPr>
      <w:t xml:space="preserve"> </w:t>
    </w:r>
    <w:r>
      <w:rPr>
        <w:rFonts w:ascii="宋体" w:hAnsi="宋体" w:eastAsia="宋体" w:cs="宋体"/>
        <w:spacing w:val="-2"/>
        <w:sz w:val="25"/>
        <w:szCs w:val="25"/>
      </w:rPr>
      <w:t>49</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51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53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54</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55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56</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57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58</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right="4"/>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8"/>
        <w:sz w:val="28"/>
        <w:szCs w:val="28"/>
      </w:rPr>
      <w:t xml:space="preserve"> </w:t>
    </w:r>
    <w:r>
      <w:rPr>
        <w:rFonts w:ascii="宋体" w:hAnsi="宋体" w:eastAsia="宋体" w:cs="宋体"/>
        <w:spacing w:val="-7"/>
        <w:sz w:val="25"/>
        <w:szCs w:val="25"/>
      </w:rPr>
      <w:t>5</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59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60</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61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62</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63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64</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908"/>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66</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67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68</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30"/>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5"/>
        <w:sz w:val="28"/>
        <w:szCs w:val="28"/>
      </w:rPr>
      <w:t xml:space="preserve"> </w:t>
    </w:r>
    <w:r>
      <w:rPr>
        <w:rFonts w:ascii="宋体" w:hAnsi="宋体" w:eastAsia="宋体" w:cs="宋体"/>
        <w:spacing w:val="-6"/>
        <w:sz w:val="25"/>
        <w:szCs w:val="25"/>
      </w:rPr>
      <w:t>6</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69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71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73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74</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75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76</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77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78</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jc w:val="right"/>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79"/>
        <w:sz w:val="28"/>
        <w:szCs w:val="28"/>
      </w:rPr>
      <w:t xml:space="preserve"> </w:t>
    </w:r>
    <w:r>
      <w:rPr>
        <w:rFonts w:ascii="宋体" w:hAnsi="宋体" w:eastAsia="宋体" w:cs="宋体"/>
        <w:spacing w:val="-11"/>
        <w:sz w:val="25"/>
        <w:szCs w:val="25"/>
      </w:rPr>
      <w:t>7</w:t>
    </w:r>
    <w:r>
      <w:rPr>
        <w:rFonts w:ascii="宋体" w:hAnsi="宋体" w:eastAsia="宋体" w:cs="宋体"/>
        <w:spacing w:val="83"/>
        <w:sz w:val="25"/>
        <w:szCs w:val="25"/>
      </w:rPr>
      <w:t xml:space="preserve"> </w:t>
    </w:r>
    <w:r>
      <w:rPr>
        <w:rFonts w:ascii="宋体" w:hAnsi="宋体" w:eastAsia="宋体" w:cs="宋体"/>
        <w:spacing w:val="-8"/>
        <w:sz w:val="28"/>
        <w:szCs w:val="2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8"/>
        <w:sz w:val="28"/>
        <w:szCs w:val="28"/>
      </w:rPr>
      <w:t xml:space="preserve"> </w:t>
    </w:r>
    <w:r>
      <w:rPr>
        <w:rFonts w:ascii="宋体" w:hAnsi="宋体" w:eastAsia="宋体" w:cs="宋体"/>
        <w:spacing w:val="-4"/>
        <w:sz w:val="25"/>
        <w:szCs w:val="25"/>
      </w:rPr>
      <w:t>79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80</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81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82</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9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83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84</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85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86</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87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88</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30"/>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3"/>
        <w:sz w:val="28"/>
        <w:szCs w:val="28"/>
      </w:rPr>
      <w:t xml:space="preserve"> </w:t>
    </w:r>
    <w:r>
      <w:rPr>
        <w:rFonts w:ascii="宋体" w:hAnsi="宋体" w:eastAsia="宋体" w:cs="宋体"/>
        <w:spacing w:val="-5"/>
        <w:sz w:val="25"/>
        <w:szCs w:val="25"/>
      </w:rPr>
      <w:t>8</w:t>
    </w:r>
    <w:r>
      <w:rPr>
        <w:rFonts w:ascii="宋体" w:hAnsi="宋体" w:eastAsia="宋体" w:cs="宋体"/>
        <w:spacing w:val="82"/>
        <w:sz w:val="25"/>
        <w:szCs w:val="25"/>
      </w:rPr>
      <w:t xml:space="preserve"> </w:t>
    </w:r>
    <w:r>
      <w:rPr>
        <w:rFonts w:ascii="宋体" w:hAnsi="宋体" w:eastAsia="宋体" w:cs="宋体"/>
        <w:spacing w:val="-5"/>
        <w:sz w:val="28"/>
        <w:szCs w:val="2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89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90</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91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92</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93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94</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95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96</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25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97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98</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7" o:spid="_x0000_s2057"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8" o:spid="_x0000_s2058"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9" o:spid="_x0000_s2059"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0" o:spid="_x0000_s2060"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1" o:spid="_x0000_s2061"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2" o:spid="_x0000_s2062"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3" o:spid="_x0000_s2063" o:spt="1" style="position:absolute;left:0pt;margin-left:88.45pt;margin-top:55.4pt;height:0.75pt;width:418.5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4" o:spid="_x0000_s2064" o:spt="1" style="position:absolute;left:0pt;margin-left:88.45pt;margin-top:55.4pt;height:0.75pt;width:418.5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5" o:spid="_x0000_s2065" o:spt="1" style="position:absolute;left:0pt;margin-left:88.45pt;margin-top:55.4pt;height:0.75pt;width:418.5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6" o:spid="_x0000_s2066" o:spt="1" style="position:absolute;left:0pt;margin-left:88.45pt;margin-top:55.4pt;height:0.75pt;width:418.5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49" o:spid="_x0000_s2049"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7" o:spid="_x0000_s2067" o:spt="1" style="position:absolute;left:0pt;margin-left:88.45pt;margin-top:55.4pt;height:0.75pt;width:418.55pt;mso-position-horizontal-relative:page;mso-position-vertical-relative:page;z-index:251671552;mso-width-relative:page;mso-height-relative:page;" fillcolor="#000000" filled="t" stroked="f" coordsize="21600,21600" o:allowincell="f">
          <v:path/>
          <v:fill on="t" focussize="0,0"/>
          <v:stroke on="f"/>
          <v:imagedata o:title=""/>
          <o:lock v:ext="edit"/>
        </v:rect>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8" o:spid="_x0000_s2068"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69" o:spid="_x0000_s2069" o:spt="1" style="position:absolute;left:0pt;margin-left:88.45pt;margin-top:55.4pt;height:0.75pt;width:418.5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0" o:spid="_x0000_s2070"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1" o:spid="_x0000_s2071" o:spt="1" style="position:absolute;left:0pt;margin-left:88.45pt;margin-top:55.4pt;height:0.75pt;width:418.5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2" o:spid="_x0000_s2072" o:spt="1" style="position:absolute;left:0pt;margin-left:88.45pt;margin-top:55.4pt;height:0.75pt;width:418.55pt;mso-position-horizontal-relative:page;mso-position-vertical-relative:page;z-index:251674624;mso-width-relative:page;mso-height-relative:page;" fillcolor="#000000" filled="t" stroked="f" coordsize="21600,21600" o:allowincell="f">
          <v:path/>
          <v:fill on="t" focussize="0,0"/>
          <v:stroke on="f"/>
          <v:imagedata o:title=""/>
          <o:lock v:ext="edit"/>
        </v:rect>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3" o:spid="_x0000_s2073" o:spt="1" style="position:absolute;left:0pt;margin-left:88.45pt;margin-top:55.4pt;height:0.75pt;width:418.55pt;mso-position-horizontal-relative:page;mso-position-vertical-relative:page;z-index:251675648;mso-width-relative:page;mso-height-relative:page;" fillcolor="#000000" filled="t" stroked="f" coordsize="21600,21600" o:allowincell="f">
          <v:path/>
          <v:fill on="t" focussize="0,0"/>
          <v:stroke on="f"/>
          <v:imagedata o:title=""/>
          <o:lock v:ext="edit"/>
        </v:rect>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4" o:spid="_x0000_s2074" o:spt="1" style="position:absolute;left:0pt;margin-left:88.45pt;margin-top:55.4pt;height:0.75pt;width:418.5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5" o:spid="_x0000_s2075" o:spt="1" style="position:absolute;left:0pt;margin-left:88.45pt;margin-top:55.4pt;height:0.75pt;width:418.55pt;mso-position-horizontal-relative:page;mso-position-vertical-relative:page;z-index:251676672;mso-width-relative:page;mso-height-relative:page;" fillcolor="#000000" filled="t" stroked="f" coordsize="21600,21600" o:allowincell="f">
          <v:path/>
          <v:fill on="t" focussize="0,0"/>
          <v:stroke on="f"/>
          <v:imagedata o:title=""/>
          <o:lock v:ext="edit"/>
        </v:rect>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6" o:spid="_x0000_s2076" o:spt="1" style="position:absolute;left:0pt;margin-left:88.45pt;margin-top:55.4pt;height:0.75pt;width:418.55pt;mso-position-horizontal-relative:page;mso-position-vertical-relative:page;z-index:251677696;mso-width-relative:page;mso-height-relative:page;" fillcolor="#000000" filled="t" stroked="f" coordsize="21600,21600" o:allowincell="f">
          <v:path/>
          <v:fill on="t" focussize="0,0"/>
          <v:stroke on="f"/>
          <v:imagedata o:title=""/>
          <o:lock v:ext="edi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0" o:spid="_x0000_s2050"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7" o:spid="_x0000_s2077" o:spt="1" style="position:absolute;left:0pt;margin-left:88.45pt;margin-top:55.4pt;height:0.75pt;width:418.5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8" o:spid="_x0000_s2078" o:spt="1" style="position:absolute;left:0pt;margin-left:88.45pt;margin-top:55.4pt;height:0.75pt;width:418.55pt;mso-position-horizontal-relative:page;mso-position-vertical-relative:page;z-index:251678720;mso-width-relative:page;mso-height-relative:page;" fillcolor="#000000" filled="t" stroked="f" coordsize="21600,21600" o:allowincell="f">
          <v:path/>
          <v:fill on="t" focussize="0,0"/>
          <v:stroke on="f"/>
          <v:imagedata o:title=""/>
          <o:lock v:ext="edit"/>
        </v:rect>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79" o:spid="_x0000_s2079" o:spt="1" style="position:absolute;left:0pt;margin-left:88.45pt;margin-top:55.4pt;height:0.75pt;width:418.55pt;mso-position-horizontal-relative:page;mso-position-vertical-relative:page;z-index:251679744;mso-width-relative:page;mso-height-relative:page;" fillcolor="#000000" filled="t" stroked="f" coordsize="21600,21600" o:allowincell="f">
          <v:path/>
          <v:fill on="t" focussize="0,0"/>
          <v:stroke on="f"/>
          <v:imagedata o:title=""/>
          <o:lock v:ext="edit"/>
        </v:rect>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0" o:spid="_x0000_s2080" o:spt="1" style="position:absolute;left:0pt;margin-left:88.45pt;margin-top:55.4pt;height:0.75pt;width:418.55pt;mso-position-horizontal-relative:page;mso-position-vertical-relative:page;z-index:251680768;mso-width-relative:page;mso-height-relative:page;" fillcolor="#000000" filled="t" stroked="f" coordsize="21600,21600" o:allowincell="f">
          <v:path/>
          <v:fill on="t" focussize="0,0"/>
          <v:stroke on="f"/>
          <v:imagedata o:title=""/>
          <o:lock v:ext="edit"/>
        </v:rect>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1" o:spid="_x0000_s2081" o:spt="1" style="position:absolute;left:0pt;margin-left:88.45pt;margin-top:55.4pt;height:0.75pt;width:418.55pt;mso-position-horizontal-relative:page;mso-position-vertical-relative:page;z-index:251681792;mso-width-relative:page;mso-height-relative:page;" fillcolor="#000000" filled="t" stroked="f" coordsize="21600,21600" o:allowincell="f">
          <v:path/>
          <v:fill on="t" focussize="0,0"/>
          <v:stroke on="f"/>
          <v:imagedata o:title=""/>
          <o:lock v:ext="edit"/>
        </v:rect>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2" o:spid="_x0000_s2082" o:spt="1" style="position:absolute;left:0pt;margin-left:88.45pt;margin-top:55.4pt;height:0.75pt;width:418.55pt;mso-position-horizontal-relative:page;mso-position-vertical-relative:page;z-index:251674624;mso-width-relative:page;mso-height-relative:page;" fillcolor="#000000" filled="t" stroked="f" coordsize="21600,21600" o:allowincell="f">
          <v:path/>
          <v:fill on="t" focussize="0,0"/>
          <v:stroke on="f"/>
          <v:imagedata o:title=""/>
          <o:lock v:ext="edit"/>
        </v:rect>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3" o:spid="_x0000_s2083" o:spt="1" style="position:absolute;left:0pt;margin-left:88.45pt;margin-top:55.4pt;height:0.75pt;width:418.55pt;mso-position-horizontal-relative:page;mso-position-vertical-relative:page;z-index:251682816;mso-width-relative:page;mso-height-relative:page;" fillcolor="#000000" filled="t" stroked="f" coordsize="21600,21600" o:allowincell="f">
          <v:path/>
          <v:fill on="t" focussize="0,0"/>
          <v:stroke on="f"/>
          <v:imagedata o:title=""/>
          <o:lock v:ext="edit"/>
        </v:rect>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4" o:spid="_x0000_s2084" o:spt="1" style="position:absolute;left:0pt;margin-left:88.45pt;margin-top:55.4pt;height:0.75pt;width:418.5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5" o:spid="_x0000_s2085"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6" o:spid="_x0000_s2086" o:spt="1" style="position:absolute;left:0pt;margin-left:88.45pt;margin-top:55.4pt;height:0.75pt;width:418.5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1" o:spid="_x0000_s2051" o:spt="1" style="position:absolute;left:0pt;margin-left:88.45pt;margin-top:55.4pt;height:0.75pt;width:418.5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87" o:spid="_x0000_s2087" o:spt="1" style="position:absolute;left:0pt;margin-left:88.45pt;margin-top:55.4pt;height:0.75pt;width:418.55pt;mso-position-horizontal-relative:page;mso-position-vertical-relative:page;z-index:251678720;mso-width-relative:page;mso-height-relative:page;" fillcolor="#000000" filled="t" stroked="f" coordsize="21600,21600" o:allowincell="f">
          <v:path/>
          <v:fill on="t" focussize="0,0"/>
          <v:stroke on="f"/>
          <v:imagedata o:title=""/>
          <o:lock v:ext="edit"/>
        </v:rect>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2" o:spid="_x0000_s2052"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3" o:spid="_x0000_s2053" o:spt="1" style="position:absolute;left:0pt;margin-left:88.45pt;margin-top:55.4pt;height:0.75pt;width:418.55pt;mso-position-horizontal-relative:page;mso-position-vertical-relative:page;z-index:251666432;mso-width-relative:page;mso-height-relative:page;" fillcolor="#000000" filled="t" stroked="f" coordsize="21600,21600" o:allowincell="f">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4" o:spid="_x0000_s2054"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5" o:spid="_x0000_s2055" o:spt="1" style="position:absolute;left:0pt;margin-left:88.45pt;margin-top:55.4pt;height:0.75pt;width:418.55pt;mso-position-horizontal-relative:page;mso-position-vertical-relative:page;z-index:251667456;mso-width-relative:page;mso-height-relative:page;" fillcolor="#000000" filled="t" stroked="f" coordsize="21600,21600" o:allowincell="f">
          <v:path/>
          <v:fill on="t" focussize="0,0"/>
          <v:stroke on="f"/>
          <v:imagedata o:title=""/>
          <o:lock v:ext="edit"/>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6" w:lineRule="auto"/>
    </w:pPr>
    <w:r>
      <w:pict>
        <v:rect id="_x0000_s2056" o:spid="_x0000_s2056" o:spt="1" style="position:absolute;left:0pt;margin-left:88.45pt;margin-top:55.4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UzY2E4Mzg5YmZjMzcxNGU1NzY5YmQ2NDA1YTE1MzIifQ=="/>
  </w:docVars>
  <w:rsids>
    <w:rsidRoot w:val="00000000"/>
    <w:rsid w:val="0B4D2501"/>
    <w:rsid w:val="3B09553E"/>
    <w:rsid w:val="738A1B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4"/>
      <w:szCs w:val="1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0" Type="http://schemas.openxmlformats.org/officeDocument/2006/relationships/fontTable" Target="fontTable.xml"/><Relationship Id="rId38" Type="http://schemas.openxmlformats.org/officeDocument/2006/relationships/footer" Target="footer33.xml"/><Relationship Id="rId379" Type="http://schemas.openxmlformats.org/officeDocument/2006/relationships/customXml" Target="../customXml/item1.xml"/><Relationship Id="rId378" Type="http://schemas.openxmlformats.org/officeDocument/2006/relationships/image" Target="media/image82.png"/><Relationship Id="rId377" Type="http://schemas.openxmlformats.org/officeDocument/2006/relationships/image" Target="media/image81.png"/><Relationship Id="rId376" Type="http://schemas.openxmlformats.org/officeDocument/2006/relationships/image" Target="media/image80.png"/><Relationship Id="rId375" Type="http://schemas.openxmlformats.org/officeDocument/2006/relationships/image" Target="media/image79.png"/><Relationship Id="rId374" Type="http://schemas.openxmlformats.org/officeDocument/2006/relationships/image" Target="media/image78.jpeg"/><Relationship Id="rId373" Type="http://schemas.openxmlformats.org/officeDocument/2006/relationships/image" Target="media/image77.png"/><Relationship Id="rId372" Type="http://schemas.openxmlformats.org/officeDocument/2006/relationships/image" Target="media/image76.png"/><Relationship Id="rId371" Type="http://schemas.openxmlformats.org/officeDocument/2006/relationships/image" Target="media/image75.png"/><Relationship Id="rId370" Type="http://schemas.openxmlformats.org/officeDocument/2006/relationships/image" Target="media/image74.png"/><Relationship Id="rId37" Type="http://schemas.openxmlformats.org/officeDocument/2006/relationships/footer" Target="footer32.xml"/><Relationship Id="rId369" Type="http://schemas.openxmlformats.org/officeDocument/2006/relationships/image" Target="media/image73.jpeg"/><Relationship Id="rId368" Type="http://schemas.openxmlformats.org/officeDocument/2006/relationships/image" Target="media/image72.jpeg"/><Relationship Id="rId367" Type="http://schemas.openxmlformats.org/officeDocument/2006/relationships/image" Target="media/image71.png"/><Relationship Id="rId366" Type="http://schemas.openxmlformats.org/officeDocument/2006/relationships/image" Target="media/image70.png"/><Relationship Id="rId365" Type="http://schemas.openxmlformats.org/officeDocument/2006/relationships/image" Target="media/image69.jpeg"/><Relationship Id="rId364" Type="http://schemas.openxmlformats.org/officeDocument/2006/relationships/image" Target="media/image68.jpeg"/><Relationship Id="rId363" Type="http://schemas.openxmlformats.org/officeDocument/2006/relationships/image" Target="media/image67.png"/><Relationship Id="rId362" Type="http://schemas.openxmlformats.org/officeDocument/2006/relationships/image" Target="media/image66.png"/><Relationship Id="rId361" Type="http://schemas.openxmlformats.org/officeDocument/2006/relationships/image" Target="media/image65.jpeg"/><Relationship Id="rId360" Type="http://schemas.openxmlformats.org/officeDocument/2006/relationships/image" Target="media/image64.jpeg"/><Relationship Id="rId36" Type="http://schemas.openxmlformats.org/officeDocument/2006/relationships/footer" Target="footer31.xml"/><Relationship Id="rId359" Type="http://schemas.openxmlformats.org/officeDocument/2006/relationships/image" Target="media/image63.png"/><Relationship Id="rId358" Type="http://schemas.openxmlformats.org/officeDocument/2006/relationships/image" Target="media/image62.jpeg"/><Relationship Id="rId357" Type="http://schemas.openxmlformats.org/officeDocument/2006/relationships/image" Target="media/image61.png"/><Relationship Id="rId356" Type="http://schemas.openxmlformats.org/officeDocument/2006/relationships/image" Target="media/image60.png"/><Relationship Id="rId355" Type="http://schemas.openxmlformats.org/officeDocument/2006/relationships/image" Target="media/image59.jpeg"/><Relationship Id="rId354" Type="http://schemas.openxmlformats.org/officeDocument/2006/relationships/image" Target="media/image58.jpeg"/><Relationship Id="rId353" Type="http://schemas.openxmlformats.org/officeDocument/2006/relationships/image" Target="media/image57.jpeg"/><Relationship Id="rId352" Type="http://schemas.openxmlformats.org/officeDocument/2006/relationships/image" Target="media/image56.png"/><Relationship Id="rId351" Type="http://schemas.openxmlformats.org/officeDocument/2006/relationships/image" Target="media/image55.jpeg"/><Relationship Id="rId350" Type="http://schemas.openxmlformats.org/officeDocument/2006/relationships/image" Target="media/image54.jpeg"/><Relationship Id="rId35" Type="http://schemas.openxmlformats.org/officeDocument/2006/relationships/footer" Target="footer30.xml"/><Relationship Id="rId349" Type="http://schemas.openxmlformats.org/officeDocument/2006/relationships/image" Target="media/image53.jpeg"/><Relationship Id="rId348" Type="http://schemas.openxmlformats.org/officeDocument/2006/relationships/image" Target="media/image52.jpeg"/><Relationship Id="rId347" Type="http://schemas.openxmlformats.org/officeDocument/2006/relationships/image" Target="media/image51.jpeg"/><Relationship Id="rId346" Type="http://schemas.openxmlformats.org/officeDocument/2006/relationships/image" Target="media/image50.jpeg"/><Relationship Id="rId345" Type="http://schemas.openxmlformats.org/officeDocument/2006/relationships/image" Target="media/image49.jpeg"/><Relationship Id="rId344" Type="http://schemas.openxmlformats.org/officeDocument/2006/relationships/image" Target="media/image48.png"/><Relationship Id="rId343" Type="http://schemas.openxmlformats.org/officeDocument/2006/relationships/image" Target="media/image47.png"/><Relationship Id="rId342" Type="http://schemas.openxmlformats.org/officeDocument/2006/relationships/image" Target="media/image46.png"/><Relationship Id="rId341" Type="http://schemas.openxmlformats.org/officeDocument/2006/relationships/image" Target="media/image45.jpeg"/><Relationship Id="rId340" Type="http://schemas.openxmlformats.org/officeDocument/2006/relationships/image" Target="media/image44.jpeg"/><Relationship Id="rId34" Type="http://schemas.openxmlformats.org/officeDocument/2006/relationships/footer" Target="footer29.xml"/><Relationship Id="rId339" Type="http://schemas.openxmlformats.org/officeDocument/2006/relationships/image" Target="media/image43.jpeg"/><Relationship Id="rId338" Type="http://schemas.openxmlformats.org/officeDocument/2006/relationships/image" Target="media/image42.png"/><Relationship Id="rId337" Type="http://schemas.openxmlformats.org/officeDocument/2006/relationships/image" Target="media/image41.png"/><Relationship Id="rId336" Type="http://schemas.openxmlformats.org/officeDocument/2006/relationships/image" Target="media/image40.png"/><Relationship Id="rId335" Type="http://schemas.openxmlformats.org/officeDocument/2006/relationships/image" Target="media/image39.png"/><Relationship Id="rId334" Type="http://schemas.openxmlformats.org/officeDocument/2006/relationships/image" Target="media/image38.png"/><Relationship Id="rId333" Type="http://schemas.openxmlformats.org/officeDocument/2006/relationships/image" Target="media/image37.png"/><Relationship Id="rId332" Type="http://schemas.openxmlformats.org/officeDocument/2006/relationships/image" Target="media/image36.png"/><Relationship Id="rId331" Type="http://schemas.openxmlformats.org/officeDocument/2006/relationships/image" Target="media/image35.png"/><Relationship Id="rId330" Type="http://schemas.openxmlformats.org/officeDocument/2006/relationships/image" Target="media/image34.png"/><Relationship Id="rId33" Type="http://schemas.openxmlformats.org/officeDocument/2006/relationships/footer" Target="footer28.xml"/><Relationship Id="rId329" Type="http://schemas.openxmlformats.org/officeDocument/2006/relationships/image" Target="media/image33.png"/><Relationship Id="rId328" Type="http://schemas.openxmlformats.org/officeDocument/2006/relationships/image" Target="media/image32.png"/><Relationship Id="rId327" Type="http://schemas.openxmlformats.org/officeDocument/2006/relationships/image" Target="media/image31.jpeg"/><Relationship Id="rId326" Type="http://schemas.openxmlformats.org/officeDocument/2006/relationships/image" Target="media/image30.jpeg"/><Relationship Id="rId325" Type="http://schemas.openxmlformats.org/officeDocument/2006/relationships/image" Target="media/image29.jpeg"/><Relationship Id="rId324" Type="http://schemas.openxmlformats.org/officeDocument/2006/relationships/image" Target="media/image28.jpeg"/><Relationship Id="rId323" Type="http://schemas.openxmlformats.org/officeDocument/2006/relationships/image" Target="media/image27.jpeg"/><Relationship Id="rId322" Type="http://schemas.openxmlformats.org/officeDocument/2006/relationships/image" Target="media/image26.jpeg"/><Relationship Id="rId321" Type="http://schemas.openxmlformats.org/officeDocument/2006/relationships/image" Target="media/image25.jpeg"/><Relationship Id="rId320" Type="http://schemas.openxmlformats.org/officeDocument/2006/relationships/image" Target="media/image24.jpeg"/><Relationship Id="rId32" Type="http://schemas.openxmlformats.org/officeDocument/2006/relationships/footer" Target="footer27.xml"/><Relationship Id="rId319" Type="http://schemas.openxmlformats.org/officeDocument/2006/relationships/image" Target="media/image23.jpeg"/><Relationship Id="rId318" Type="http://schemas.openxmlformats.org/officeDocument/2006/relationships/image" Target="media/image22.png"/><Relationship Id="rId317" Type="http://schemas.openxmlformats.org/officeDocument/2006/relationships/image" Target="media/image21.png"/><Relationship Id="rId316" Type="http://schemas.openxmlformats.org/officeDocument/2006/relationships/image" Target="media/image20.png"/><Relationship Id="rId315" Type="http://schemas.openxmlformats.org/officeDocument/2006/relationships/image" Target="media/image19.png"/><Relationship Id="rId314" Type="http://schemas.openxmlformats.org/officeDocument/2006/relationships/image" Target="media/image18.png"/><Relationship Id="rId313" Type="http://schemas.openxmlformats.org/officeDocument/2006/relationships/image" Target="media/image17.png"/><Relationship Id="rId312" Type="http://schemas.openxmlformats.org/officeDocument/2006/relationships/image" Target="media/image16.png"/><Relationship Id="rId311" Type="http://schemas.openxmlformats.org/officeDocument/2006/relationships/image" Target="media/image15.png"/><Relationship Id="rId310" Type="http://schemas.openxmlformats.org/officeDocument/2006/relationships/image" Target="media/image14.png"/><Relationship Id="rId31" Type="http://schemas.openxmlformats.org/officeDocument/2006/relationships/footer" Target="footer26.xml"/><Relationship Id="rId309" Type="http://schemas.openxmlformats.org/officeDocument/2006/relationships/image" Target="media/image13.jpeg"/><Relationship Id="rId308" Type="http://schemas.openxmlformats.org/officeDocument/2006/relationships/image" Target="media/image12.jpeg"/><Relationship Id="rId307" Type="http://schemas.openxmlformats.org/officeDocument/2006/relationships/image" Target="media/image11.jpeg"/><Relationship Id="rId306" Type="http://schemas.openxmlformats.org/officeDocument/2006/relationships/image" Target="media/image10.jpeg"/><Relationship Id="rId305" Type="http://schemas.openxmlformats.org/officeDocument/2006/relationships/image" Target="media/image9.jpeg"/><Relationship Id="rId304" Type="http://schemas.openxmlformats.org/officeDocument/2006/relationships/image" Target="media/image8.png"/><Relationship Id="rId303" Type="http://schemas.openxmlformats.org/officeDocument/2006/relationships/image" Target="media/image7.png"/><Relationship Id="rId302" Type="http://schemas.openxmlformats.org/officeDocument/2006/relationships/image" Target="media/image6.jpeg"/><Relationship Id="rId301" Type="http://schemas.openxmlformats.org/officeDocument/2006/relationships/image" Target="media/image5.png"/><Relationship Id="rId300" Type="http://schemas.openxmlformats.org/officeDocument/2006/relationships/image" Target="media/image4.png"/><Relationship Id="rId30" Type="http://schemas.openxmlformats.org/officeDocument/2006/relationships/footer" Target="footer25.xml"/><Relationship Id="rId3" Type="http://schemas.openxmlformats.org/officeDocument/2006/relationships/footnotes" Target="footnotes.xml"/><Relationship Id="rId299" Type="http://schemas.openxmlformats.org/officeDocument/2006/relationships/image" Target="media/image3.png"/><Relationship Id="rId298" Type="http://schemas.openxmlformats.org/officeDocument/2006/relationships/image" Target="media/image2.jpeg"/><Relationship Id="rId297" Type="http://schemas.openxmlformats.org/officeDocument/2006/relationships/image" Target="media/image1.jpeg"/><Relationship Id="rId296" Type="http://schemas.openxmlformats.org/officeDocument/2006/relationships/theme" Target="theme/theme1.xml"/><Relationship Id="rId295" Type="http://schemas.openxmlformats.org/officeDocument/2006/relationships/footer" Target="footer250.xml"/><Relationship Id="rId294" Type="http://schemas.openxmlformats.org/officeDocument/2006/relationships/header" Target="header41.xml"/><Relationship Id="rId293" Type="http://schemas.openxmlformats.org/officeDocument/2006/relationships/footer" Target="footer249.xml"/><Relationship Id="rId292" Type="http://schemas.openxmlformats.org/officeDocument/2006/relationships/header" Target="header40.xml"/><Relationship Id="rId291" Type="http://schemas.openxmlformats.org/officeDocument/2006/relationships/footer" Target="footer248.xml"/><Relationship Id="rId290" Type="http://schemas.openxmlformats.org/officeDocument/2006/relationships/header" Target="header39.xml"/><Relationship Id="rId29" Type="http://schemas.openxmlformats.org/officeDocument/2006/relationships/footer" Target="footer24.xml"/><Relationship Id="rId289" Type="http://schemas.openxmlformats.org/officeDocument/2006/relationships/footer" Target="footer247.xml"/><Relationship Id="rId288" Type="http://schemas.openxmlformats.org/officeDocument/2006/relationships/header" Target="header38.xml"/><Relationship Id="rId287" Type="http://schemas.openxmlformats.org/officeDocument/2006/relationships/footer" Target="footer246.xml"/><Relationship Id="rId286" Type="http://schemas.openxmlformats.org/officeDocument/2006/relationships/header" Target="header37.xml"/><Relationship Id="rId285" Type="http://schemas.openxmlformats.org/officeDocument/2006/relationships/footer" Target="footer245.xml"/><Relationship Id="rId284" Type="http://schemas.openxmlformats.org/officeDocument/2006/relationships/header" Target="header36.xml"/><Relationship Id="rId283" Type="http://schemas.openxmlformats.org/officeDocument/2006/relationships/footer" Target="footer244.xml"/><Relationship Id="rId282" Type="http://schemas.openxmlformats.org/officeDocument/2006/relationships/header" Target="header35.xml"/><Relationship Id="rId281" Type="http://schemas.openxmlformats.org/officeDocument/2006/relationships/footer" Target="footer243.xml"/><Relationship Id="rId280" Type="http://schemas.openxmlformats.org/officeDocument/2006/relationships/header" Target="header34.xml"/><Relationship Id="rId28" Type="http://schemas.openxmlformats.org/officeDocument/2006/relationships/footer" Target="footer23.xml"/><Relationship Id="rId279" Type="http://schemas.openxmlformats.org/officeDocument/2006/relationships/footer" Target="footer242.xml"/><Relationship Id="rId278" Type="http://schemas.openxmlformats.org/officeDocument/2006/relationships/header" Target="header33.xml"/><Relationship Id="rId277" Type="http://schemas.openxmlformats.org/officeDocument/2006/relationships/footer" Target="footer241.xml"/><Relationship Id="rId276" Type="http://schemas.openxmlformats.org/officeDocument/2006/relationships/header" Target="header32.xml"/><Relationship Id="rId275" Type="http://schemas.openxmlformats.org/officeDocument/2006/relationships/footer" Target="footer240.xml"/><Relationship Id="rId274" Type="http://schemas.openxmlformats.org/officeDocument/2006/relationships/header" Target="header31.xml"/><Relationship Id="rId273" Type="http://schemas.openxmlformats.org/officeDocument/2006/relationships/footer" Target="footer239.xml"/><Relationship Id="rId272" Type="http://schemas.openxmlformats.org/officeDocument/2006/relationships/footer" Target="footer238.xml"/><Relationship Id="rId271" Type="http://schemas.openxmlformats.org/officeDocument/2006/relationships/header" Target="header30.xml"/><Relationship Id="rId270" Type="http://schemas.openxmlformats.org/officeDocument/2006/relationships/footer" Target="footer237.xml"/><Relationship Id="rId27" Type="http://schemas.openxmlformats.org/officeDocument/2006/relationships/footer" Target="footer22.xml"/><Relationship Id="rId269" Type="http://schemas.openxmlformats.org/officeDocument/2006/relationships/header" Target="header29.xml"/><Relationship Id="rId268" Type="http://schemas.openxmlformats.org/officeDocument/2006/relationships/footer" Target="footer236.xml"/><Relationship Id="rId267" Type="http://schemas.openxmlformats.org/officeDocument/2006/relationships/header" Target="header28.xml"/><Relationship Id="rId266" Type="http://schemas.openxmlformats.org/officeDocument/2006/relationships/footer" Target="footer235.xml"/><Relationship Id="rId265" Type="http://schemas.openxmlformats.org/officeDocument/2006/relationships/header" Target="header27.xml"/><Relationship Id="rId264" Type="http://schemas.openxmlformats.org/officeDocument/2006/relationships/footer" Target="footer234.xml"/><Relationship Id="rId263" Type="http://schemas.openxmlformats.org/officeDocument/2006/relationships/header" Target="header26.xml"/><Relationship Id="rId262" Type="http://schemas.openxmlformats.org/officeDocument/2006/relationships/footer" Target="footer233.xml"/><Relationship Id="rId261" Type="http://schemas.openxmlformats.org/officeDocument/2006/relationships/header" Target="header25.xml"/><Relationship Id="rId260" Type="http://schemas.openxmlformats.org/officeDocument/2006/relationships/footer" Target="footer232.xml"/><Relationship Id="rId26" Type="http://schemas.openxmlformats.org/officeDocument/2006/relationships/footer" Target="footer21.xml"/><Relationship Id="rId259" Type="http://schemas.openxmlformats.org/officeDocument/2006/relationships/header" Target="header24.xml"/><Relationship Id="rId258" Type="http://schemas.openxmlformats.org/officeDocument/2006/relationships/footer" Target="footer231.xml"/><Relationship Id="rId257" Type="http://schemas.openxmlformats.org/officeDocument/2006/relationships/header" Target="header23.xml"/><Relationship Id="rId256" Type="http://schemas.openxmlformats.org/officeDocument/2006/relationships/footer" Target="footer230.xml"/><Relationship Id="rId255" Type="http://schemas.openxmlformats.org/officeDocument/2006/relationships/header" Target="header22.xml"/><Relationship Id="rId254" Type="http://schemas.openxmlformats.org/officeDocument/2006/relationships/footer" Target="footer229.xml"/><Relationship Id="rId253" Type="http://schemas.openxmlformats.org/officeDocument/2006/relationships/header" Target="header21.xml"/><Relationship Id="rId252" Type="http://schemas.openxmlformats.org/officeDocument/2006/relationships/footer" Target="footer228.xml"/><Relationship Id="rId251" Type="http://schemas.openxmlformats.org/officeDocument/2006/relationships/header" Target="header20.xml"/><Relationship Id="rId250" Type="http://schemas.openxmlformats.org/officeDocument/2006/relationships/footer" Target="footer227.xml"/><Relationship Id="rId25" Type="http://schemas.openxmlformats.org/officeDocument/2006/relationships/footer" Target="footer20.xml"/><Relationship Id="rId249" Type="http://schemas.openxmlformats.org/officeDocument/2006/relationships/header" Target="header19.xml"/><Relationship Id="rId248" Type="http://schemas.openxmlformats.org/officeDocument/2006/relationships/footer" Target="footer226.xml"/><Relationship Id="rId247" Type="http://schemas.openxmlformats.org/officeDocument/2006/relationships/header" Target="header18.xml"/><Relationship Id="rId246" Type="http://schemas.openxmlformats.org/officeDocument/2006/relationships/footer" Target="footer225.xml"/><Relationship Id="rId245" Type="http://schemas.openxmlformats.org/officeDocument/2006/relationships/header" Target="header17.xml"/><Relationship Id="rId244" Type="http://schemas.openxmlformats.org/officeDocument/2006/relationships/footer" Target="footer224.xml"/><Relationship Id="rId243" Type="http://schemas.openxmlformats.org/officeDocument/2006/relationships/header" Target="header16.xml"/><Relationship Id="rId242" Type="http://schemas.openxmlformats.org/officeDocument/2006/relationships/footer" Target="footer223.xml"/><Relationship Id="rId241" Type="http://schemas.openxmlformats.org/officeDocument/2006/relationships/header" Target="header15.xml"/><Relationship Id="rId240" Type="http://schemas.openxmlformats.org/officeDocument/2006/relationships/footer" Target="footer222.xml"/><Relationship Id="rId24" Type="http://schemas.openxmlformats.org/officeDocument/2006/relationships/footer" Target="footer19.xml"/><Relationship Id="rId239" Type="http://schemas.openxmlformats.org/officeDocument/2006/relationships/header" Target="header14.xml"/><Relationship Id="rId238" Type="http://schemas.openxmlformats.org/officeDocument/2006/relationships/footer" Target="footer221.xml"/><Relationship Id="rId237" Type="http://schemas.openxmlformats.org/officeDocument/2006/relationships/footer" Target="footer220.xml"/><Relationship Id="rId236" Type="http://schemas.openxmlformats.org/officeDocument/2006/relationships/header" Target="header13.xml"/><Relationship Id="rId235" Type="http://schemas.openxmlformats.org/officeDocument/2006/relationships/footer" Target="footer219.xml"/><Relationship Id="rId234" Type="http://schemas.openxmlformats.org/officeDocument/2006/relationships/header" Target="header12.xml"/><Relationship Id="rId233" Type="http://schemas.openxmlformats.org/officeDocument/2006/relationships/footer" Target="footer218.xml"/><Relationship Id="rId232" Type="http://schemas.openxmlformats.org/officeDocument/2006/relationships/header" Target="header11.xml"/><Relationship Id="rId231" Type="http://schemas.openxmlformats.org/officeDocument/2006/relationships/footer" Target="footer217.xml"/><Relationship Id="rId230" Type="http://schemas.openxmlformats.org/officeDocument/2006/relationships/header" Target="header10.xml"/><Relationship Id="rId23" Type="http://schemas.openxmlformats.org/officeDocument/2006/relationships/footer" Target="footer18.xml"/><Relationship Id="rId229" Type="http://schemas.openxmlformats.org/officeDocument/2006/relationships/footer" Target="footer216.xml"/><Relationship Id="rId228" Type="http://schemas.openxmlformats.org/officeDocument/2006/relationships/footer" Target="footer215.xml"/><Relationship Id="rId227" Type="http://schemas.openxmlformats.org/officeDocument/2006/relationships/footer" Target="footer214.xml"/><Relationship Id="rId226" Type="http://schemas.openxmlformats.org/officeDocument/2006/relationships/footer" Target="footer213.xml"/><Relationship Id="rId225" Type="http://schemas.openxmlformats.org/officeDocument/2006/relationships/header" Target="header9.xml"/><Relationship Id="rId224" Type="http://schemas.openxmlformats.org/officeDocument/2006/relationships/footer" Target="footer212.xml"/><Relationship Id="rId223" Type="http://schemas.openxmlformats.org/officeDocument/2006/relationships/footer" Target="footer211.xml"/><Relationship Id="rId222" Type="http://schemas.openxmlformats.org/officeDocument/2006/relationships/header" Target="header8.xml"/><Relationship Id="rId221" Type="http://schemas.openxmlformats.org/officeDocument/2006/relationships/footer" Target="footer210.xml"/><Relationship Id="rId220" Type="http://schemas.openxmlformats.org/officeDocument/2006/relationships/header" Target="header7.xml"/><Relationship Id="rId22" Type="http://schemas.openxmlformats.org/officeDocument/2006/relationships/footer" Target="footer17.xml"/><Relationship Id="rId219" Type="http://schemas.openxmlformats.org/officeDocument/2006/relationships/footer" Target="footer209.xml"/><Relationship Id="rId218" Type="http://schemas.openxmlformats.org/officeDocument/2006/relationships/header" Target="header6.xml"/><Relationship Id="rId217" Type="http://schemas.openxmlformats.org/officeDocument/2006/relationships/footer" Target="footer208.xml"/><Relationship Id="rId216" Type="http://schemas.openxmlformats.org/officeDocument/2006/relationships/footer" Target="footer207.xml"/><Relationship Id="rId215" Type="http://schemas.openxmlformats.org/officeDocument/2006/relationships/footer" Target="footer206.xml"/><Relationship Id="rId214" Type="http://schemas.openxmlformats.org/officeDocument/2006/relationships/header" Target="header5.xml"/><Relationship Id="rId213" Type="http://schemas.openxmlformats.org/officeDocument/2006/relationships/footer" Target="footer205.xml"/><Relationship Id="rId212" Type="http://schemas.openxmlformats.org/officeDocument/2006/relationships/header" Target="header4.xml"/><Relationship Id="rId211" Type="http://schemas.openxmlformats.org/officeDocument/2006/relationships/footer" Target="footer204.xml"/><Relationship Id="rId210" Type="http://schemas.openxmlformats.org/officeDocument/2006/relationships/footer" Target="footer203.xml"/><Relationship Id="rId21" Type="http://schemas.openxmlformats.org/officeDocument/2006/relationships/footer" Target="footer16.xml"/><Relationship Id="rId209" Type="http://schemas.openxmlformats.org/officeDocument/2006/relationships/footer" Target="footer202.xml"/><Relationship Id="rId208" Type="http://schemas.openxmlformats.org/officeDocument/2006/relationships/header" Target="header3.xml"/><Relationship Id="rId207" Type="http://schemas.openxmlformats.org/officeDocument/2006/relationships/footer" Target="footer201.xml"/><Relationship Id="rId206" Type="http://schemas.openxmlformats.org/officeDocument/2006/relationships/footer" Target="footer200.xml"/><Relationship Id="rId205" Type="http://schemas.openxmlformats.org/officeDocument/2006/relationships/footer" Target="footer199.xml"/><Relationship Id="rId204" Type="http://schemas.openxmlformats.org/officeDocument/2006/relationships/footer" Target="footer198.xml"/><Relationship Id="rId203" Type="http://schemas.openxmlformats.org/officeDocument/2006/relationships/header" Target="header2.xml"/><Relationship Id="rId202" Type="http://schemas.openxmlformats.org/officeDocument/2006/relationships/footer" Target="footer197.xml"/><Relationship Id="rId201" Type="http://schemas.openxmlformats.org/officeDocument/2006/relationships/footer" Target="footer196.xml"/><Relationship Id="rId200" Type="http://schemas.openxmlformats.org/officeDocument/2006/relationships/footer" Target="footer195.xml"/><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footer" Target="footer194.xml"/><Relationship Id="rId198" Type="http://schemas.openxmlformats.org/officeDocument/2006/relationships/footer" Target="footer193.xml"/><Relationship Id="rId197" Type="http://schemas.openxmlformats.org/officeDocument/2006/relationships/footer" Target="footer192.xml"/><Relationship Id="rId196" Type="http://schemas.openxmlformats.org/officeDocument/2006/relationships/footer" Target="footer191.xml"/><Relationship Id="rId195" Type="http://schemas.openxmlformats.org/officeDocument/2006/relationships/footer" Target="footer190.xml"/><Relationship Id="rId194" Type="http://schemas.openxmlformats.org/officeDocument/2006/relationships/footer" Target="footer189.xml"/><Relationship Id="rId193" Type="http://schemas.openxmlformats.org/officeDocument/2006/relationships/footer" Target="footer188.xml"/><Relationship Id="rId192" Type="http://schemas.openxmlformats.org/officeDocument/2006/relationships/footer" Target="footer187.xml"/><Relationship Id="rId191" Type="http://schemas.openxmlformats.org/officeDocument/2006/relationships/footer" Target="footer186.xml"/><Relationship Id="rId190" Type="http://schemas.openxmlformats.org/officeDocument/2006/relationships/footer" Target="footer185.xml"/><Relationship Id="rId19" Type="http://schemas.openxmlformats.org/officeDocument/2006/relationships/footer" Target="footer14.xml"/><Relationship Id="rId189" Type="http://schemas.openxmlformats.org/officeDocument/2006/relationships/footer" Target="footer184.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3.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2.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1.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0.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9.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8.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3"/>
    <customShpInfo spid="_x0000_s1054"/>
    <customShpInfo spid="_x0000_s1052"/>
    <customShpInfo spid="_x0000_s1055"/>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5"/>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5"/>
    <customShpInfo spid="_x0000_s1076"/>
    <customShpInfo spid="_x0000_s1077"/>
    <customShpInfo spid="_x0000_s1078"/>
    <customShpInfo spid="_x0000_s1079"/>
    <customShpInfo spid="_x0000_s1080"/>
    <customShpInfo spid="_x0000_s1082"/>
    <customShpInfo spid="_x0000_s1083"/>
    <customShpInfo spid="_x0000_s1081"/>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5"/>
    <customShpInfo spid="_x0000_s1106"/>
    <customShpInfo spid="_x0000_s1104"/>
    <customShpInfo spid="_x0000_s1108"/>
    <customShpInfo spid="_x0000_s1109"/>
    <customShpInfo spid="_x0000_s1107"/>
    <customShpInfo spid="_x0000_s1111"/>
    <customShpInfo spid="_x0000_s1112"/>
    <customShpInfo spid="_x0000_s1110"/>
    <customShpInfo spid="_x0000_s1114"/>
    <customShpInfo spid="_x0000_s1115"/>
    <customShpInfo spid="_x0000_s1113"/>
    <customShpInfo spid="_x0000_s1117"/>
    <customShpInfo spid="_x0000_s1118"/>
    <customShpInfo spid="_x0000_s1116"/>
    <customShpInfo spid="_x0000_s1120"/>
    <customShpInfo spid="_x0000_s1121"/>
    <customShpInfo spid="_x0000_s1119"/>
    <customShpInfo spid="_x0000_s1123"/>
    <customShpInfo spid="_x0000_s1124"/>
    <customShpInfo spid="_x0000_s1122"/>
    <customShpInfo spid="_x0000_s1126"/>
    <customShpInfo spid="_x0000_s1127"/>
    <customShpInfo spid="_x0000_s1125"/>
    <customShpInfo spid="_x0000_s1128"/>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30"/>
    <customShpInfo spid="_x0000_s1179"/>
    <customShpInfo spid="_x0000_s112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6"/>
    <customShpInfo spid="_x0000_s1207"/>
    <customShpInfo spid="_x0000_s1205"/>
    <customShpInfo spid="_x0000_s1209"/>
    <customShpInfo spid="_x0000_s1210"/>
    <customShpInfo spid="_x0000_s1208"/>
    <customShpInfo spid="_x0000_s1212"/>
    <customShpInfo spid="_x0000_s1213"/>
    <customShpInfo spid="_x0000_s1211"/>
    <customShpInfo spid="_x0000_s1215"/>
    <customShpInfo spid="_x0000_s1216"/>
    <customShpInfo spid="_x0000_s1214"/>
    <customShpInfo spid="_x0000_s1217"/>
    <customShpInfo spid="_x0000_s1218"/>
    <customShpInfo spid="_x0000_s1220"/>
    <customShpInfo spid="_x0000_s1221"/>
    <customShpInfo spid="_x0000_s1219"/>
    <customShpInfo spid="_x0000_s1223"/>
    <customShpInfo spid="_x0000_s1224"/>
    <customShpInfo spid="_x0000_s1222"/>
    <customShpInfo spid="_x0000_s1226"/>
    <customShpInfo spid="_x0000_s1227"/>
    <customShpInfo spid="_x0000_s1225"/>
    <customShpInfo spid="_x0000_s1229"/>
    <customShpInfo spid="_x0000_s1230"/>
    <customShpInfo spid="_x0000_s1228"/>
    <customShpInfo spid="_x0000_s1232"/>
    <customShpInfo spid="_x0000_s1233"/>
    <customShpInfo spid="_x0000_s1231"/>
    <customShpInfo spid="_x0000_s1234"/>
    <customShpInfo spid="_x0000_s1235"/>
    <customShpInfo spid="_x0000_s1236"/>
    <customShpInfo spid="_x0000_s1237"/>
    <customShpInfo spid="_x0000_s1238"/>
    <customShpInfo spid="_x0000_s1240"/>
    <customShpInfo spid="_x0000_s1241"/>
    <customShpInfo spid="_x0000_s1239"/>
    <customShpInfo spid="_x0000_s1243"/>
    <customShpInfo spid="_x0000_s1244"/>
    <customShpInfo spid="_x0000_s1242"/>
    <customShpInfo spid="_x0000_s1246"/>
    <customShpInfo spid="_x0000_s1247"/>
    <customShpInfo spid="_x0000_s1245"/>
    <customShpInfo spid="_x0000_s1248"/>
    <customShpInfo spid="_x0000_s1250"/>
    <customShpInfo spid="_x0000_s1251"/>
    <customShpInfo spid="_x0000_s1249"/>
    <customShpInfo spid="_x0000_s1253"/>
    <customShpInfo spid="_x0000_s1254"/>
    <customShpInfo spid="_x0000_s1252"/>
    <customShpInfo spid="_x0000_s1256"/>
    <customShpInfo spid="_x0000_s1257"/>
    <customShpInfo spid="_x0000_s1255"/>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6"/>
    <customShpInfo spid="_x0000_s1307"/>
    <customShpInfo spid="_x0000_s1305"/>
    <customShpInfo spid="_x0000_s1308"/>
    <customShpInfo spid="_x0000_s1309"/>
    <customShpInfo spid="_x0000_s1310"/>
    <customShpInfo spid="_x0000_s1311"/>
    <customShpInfo spid="_x0000_s1312"/>
    <customShpInfo spid="_x0000_s1313"/>
    <customShpInfo spid="_x0000_s1315"/>
    <customShpInfo spid="_x0000_s1316"/>
    <customShpInfo spid="_x0000_s1314"/>
    <customShpInfo spid="_x0000_s1318"/>
    <customShpInfo spid="_x0000_s1319"/>
    <customShpInfo spid="_x0000_s1317"/>
    <customShpInfo spid="_x0000_s1320"/>
    <customShpInfo spid="_x0000_s1321"/>
    <customShpInfo spid="_x0000_s1322"/>
    <customShpInfo spid="_x0000_s1324"/>
    <customShpInfo spid="_x0000_s1325"/>
    <customShpInfo spid="_x0000_s1323"/>
    <customShpInfo spid="_x0000_s1326"/>
    <customShpInfo spid="_x0000_s1327"/>
    <customShpInfo spid="_x0000_s1328"/>
    <customShpInfo spid="_x0000_s1329"/>
    <customShpInfo spid="_x0000_s1330"/>
    <customShpInfo spid="_x0000_s1332"/>
    <customShpInfo spid="_x0000_s1333"/>
    <customShpInfo spid="_x0000_s1331"/>
    <customShpInfo spid="_x0000_s1335"/>
    <customShpInfo spid="_x0000_s1336"/>
    <customShpInfo spid="_x0000_s1334"/>
    <customShpInfo spid="_x0000_s1338"/>
    <customShpInfo spid="_x0000_s1339"/>
    <customShpInfo spid="_x0000_s1337"/>
    <customShpInfo spid="_x0000_s1341"/>
    <customShpInfo spid="_x0000_s1342"/>
    <customShpInfo spid="_x0000_s1340"/>
    <customShpInfo spid="_x0000_s1344"/>
    <customShpInfo spid="_x0000_s1345"/>
    <customShpInfo spid="_x0000_s1343"/>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9"/>
    <customShpInfo spid="_x0000_s1360"/>
    <customShpInfo spid="_x0000_s1358"/>
    <customShpInfo spid="_x0000_s1361"/>
    <customShpInfo spid="_x0000_s1362"/>
    <customShpInfo spid="_x0000_s1364"/>
    <customShpInfo spid="_x0000_s1365"/>
    <customShpInfo spid="_x0000_s1363"/>
    <customShpInfo spid="_x0000_s1367"/>
    <customShpInfo spid="_x0000_s1368"/>
    <customShpInfo spid="_x0000_s1366"/>
    <customShpInfo spid="_x0000_s1370"/>
    <customShpInfo spid="_x0000_s1371"/>
    <customShpInfo spid="_x0000_s1372"/>
    <customShpInfo spid="_x0000_s1373"/>
    <customShpInfo spid="_x0000_s1369"/>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9"/>
    <customShpInfo spid="_x0000_s1400"/>
    <customShpInfo spid="_x0000_s1398"/>
    <customShpInfo spid="_x0000_s1401"/>
    <customShpInfo spid="_x0000_s1403"/>
    <customShpInfo spid="_x0000_s1404"/>
    <customShpInfo spid="_x0000_s1402"/>
    <customShpInfo spid="_x0000_s1406"/>
    <customShpInfo spid="_x0000_s1405"/>
    <customShpInfo spid="_x0000_s1407"/>
    <customShpInfo spid="_x0000_s1408"/>
    <customShpInfo spid="_x0000_s1409"/>
    <customShpInfo spid="_x0000_s1411"/>
    <customShpInfo spid="_x0000_s1412"/>
    <customShpInfo spid="_x0000_s1410"/>
    <customShpInfo spid="_x0000_s1414"/>
    <customShpInfo spid="_x0000_s1415"/>
    <customShpInfo spid="_x0000_s1413"/>
    <customShpInfo spid="_x0000_s1417"/>
    <customShpInfo spid="_x0000_s1416"/>
    <customShpInfo spid="_x0000_s1418"/>
    <customShpInfo spid="_x0000_s1419"/>
    <customShpInfo spid="_x0000_s1420"/>
    <customShpInfo spid="_x0000_s1422"/>
    <customShpInfo spid="_x0000_s1423"/>
    <customShpInfo spid="_x0000_s1421"/>
    <customShpInfo spid="_x0000_s1424"/>
    <customShpInfo spid="_x0000_s1425"/>
    <customShpInfo spid="_x0000_s1427"/>
    <customShpInfo spid="_x0000_s1428"/>
    <customShpInfo spid="_x0000_s1426"/>
    <customShpInfo spid="_x0000_s1430"/>
    <customShpInfo spid="_x0000_s1431"/>
    <customShpInfo spid="_x0000_s1429"/>
    <customShpInfo spid="_x0000_s1433"/>
    <customShpInfo spid="_x0000_s1432"/>
    <customShpInfo spid="_x0000_s1434"/>
    <customShpInfo spid="_x0000_s1435"/>
    <customShpInfo spid="_x0000_s1437"/>
    <customShpInfo spid="_x0000_s1438"/>
    <customShpInfo spid="_x0000_s1436"/>
    <customShpInfo spid="_x0000_s1440"/>
    <customShpInfo spid="_x0000_s1441"/>
    <customShpInfo spid="_x0000_s1439"/>
    <customShpInfo spid="_x0000_s1442"/>
    <customShpInfo spid="_x0000_s1443"/>
    <customShpInfo spid="_x0000_s1445"/>
    <customShpInfo spid="_x0000_s1446"/>
    <customShpInfo spid="_x0000_s1444"/>
    <customShpInfo spid="_x0000_s1448"/>
    <customShpInfo spid="_x0000_s1449"/>
    <customShpInfo spid="_x0000_s1447"/>
    <customShpInfo spid="_x0000_s1450"/>
    <customShpInfo spid="_x0000_s1452"/>
    <customShpInfo spid="_x0000_s1453"/>
    <customShpInfo spid="_x0000_s1451"/>
    <customShpInfo spid="_x0000_s1455"/>
    <customShpInfo spid="_x0000_s1456"/>
    <customShpInfo spid="_x0000_s1454"/>
    <customShpInfo spid="_x0000_s1458"/>
    <customShpInfo spid="_x0000_s1459"/>
    <customShpInfo spid="_x0000_s1457"/>
    <customShpInfo spid="_x0000_s1461"/>
    <customShpInfo spid="_x0000_s1462"/>
    <customShpInfo spid="_x0000_s1460"/>
    <customShpInfo spid="_x0000_s1463"/>
    <customShpInfo spid="_x0000_s1464"/>
    <customShpInfo spid="_x0000_s1465"/>
    <customShpInfo spid="_x0000_s1466"/>
    <customShpInfo spid="_x0000_s1468"/>
    <customShpInfo spid="_x0000_s1469"/>
    <customShpInfo spid="_x0000_s1470"/>
    <customShpInfo spid="_x0000_s1471"/>
    <customShpInfo spid="_x0000_s1467"/>
    <customShpInfo spid="_x0000_s1473"/>
    <customShpInfo spid="_x0000_s1474"/>
    <customShpInfo spid="_x0000_s1472"/>
    <customShpInfo spid="_x0000_s1475"/>
    <customShpInfo spid="_x0000_s1476"/>
    <customShpInfo spid="_x0000_s1477"/>
    <customShpInfo spid="_x0000_s1478"/>
    <customShpInfo spid="_x0000_s1479"/>
    <customShpInfo spid="_x0000_s1480"/>
    <customShpInfo spid="_x0000_s1481"/>
    <customShpInfo spid="_x0000_s1484"/>
    <customShpInfo spid="_x0000_s1485"/>
    <customShpInfo spid="_x0000_s1486"/>
    <customShpInfo spid="_x0000_s1483"/>
    <customShpInfo spid="_x0000_s1487"/>
    <customShpInfo spid="_x0000_s1482"/>
    <customShpInfo spid="_x0000_s1488"/>
    <customShpInfo spid="_x0000_s1489"/>
    <customShpInfo spid="_x0000_s1490"/>
    <customShpInfo spid="_x0000_s1493"/>
    <customShpInfo spid="_x0000_s1494"/>
    <customShpInfo spid="_x0000_s1495"/>
    <customShpInfo spid="_x0000_s1492"/>
    <customShpInfo spid="_x0000_s1496"/>
    <customShpInfo spid="_x0000_s1491"/>
    <customShpInfo spid="_x0000_s1497"/>
    <customShpInfo spid="_x0000_s1500"/>
    <customShpInfo spid="_x0000_s1501"/>
    <customShpInfo spid="_x0000_s1502"/>
    <customShpInfo spid="_x0000_s1499"/>
    <customShpInfo spid="_x0000_s1503"/>
    <customShpInfo spid="_x0000_s1498"/>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5"/>
    <customShpInfo spid="_x0000_s1516"/>
    <customShpInfo spid="_x0000_s1514"/>
    <customShpInfo spid="_x0000_s1518"/>
    <customShpInfo spid="_x0000_s1519"/>
    <customShpInfo spid="_x0000_s1517"/>
    <customShpInfo spid="_x0000_s1520"/>
    <customShpInfo spid="_x0000_s1521"/>
    <customShpInfo spid="_x0000_s1522"/>
    <customShpInfo spid="_x0000_s1523"/>
    <customShpInfo spid="_x0000_s1524"/>
    <customShpInfo spid="_x0000_s1526"/>
    <customShpInfo spid="_x0000_s1527"/>
    <customShpInfo spid="_x0000_s1528"/>
    <customShpInfo spid="_x0000_s1529"/>
    <customShpInfo spid="_x0000_s1525"/>
    <customShpInfo spid="_x0000_s1531"/>
    <customShpInfo spid="_x0000_s1532"/>
    <customShpInfo spid="_x0000_s1530"/>
    <customShpInfo spid="_x0000_s1533"/>
    <customShpInfo spid="_x0000_s1534"/>
    <customShpInfo spid="_x0000_s1024"/>
    <customShpInfo spid="_x0000_s1536"/>
    <customShpInfo spid="_x0000_s1537"/>
    <customShpInfo spid="_x0000_s1535"/>
    <customShpInfo spid="_x0000_s1538"/>
    <customShpInfo spid="_x0000_s1539"/>
    <customShpInfo spid="_x0000_s1540"/>
    <customShpInfo spid="_x0000_s1541"/>
    <customShpInfo spid="_x0000_s1543"/>
    <customShpInfo spid="_x0000_s1544"/>
    <customShpInfo spid="_x0000_s1542"/>
    <customShpInfo spid="_x0000_s1546"/>
    <customShpInfo spid="_x0000_s1547"/>
    <customShpInfo spid="_x0000_s1548"/>
    <customShpInfo spid="_x0000_s1549"/>
    <customShpInfo spid="_x0000_s1550"/>
    <customShpInfo spid="_x0000_s1545"/>
    <customShpInfo spid="_x0000_s1552"/>
    <customShpInfo spid="_x0000_s1553"/>
    <customShpInfo spid="_x0000_s1554"/>
    <customShpInfo spid="_x0000_s1551"/>
    <customShpInfo spid="_x0000_s1556"/>
    <customShpInfo spid="_x0000_s1557"/>
    <customShpInfo spid="_x0000_s1555"/>
    <customShpInfo spid="_x0000_s1558"/>
    <customShpInfo spid="_x0000_s1559"/>
    <customShpInfo spid="_x0000_s1560"/>
    <customShpInfo spid="_x0000_s1561"/>
    <customShpInfo spid="_x0000_s1562"/>
    <customShpInfo spid="_x0000_s1563"/>
    <customShpInfo spid="_x0000_s1564"/>
    <customShpInfo spid="_x0000_s1566"/>
    <customShpInfo spid="_x0000_s1567"/>
    <customShpInfo spid="_x0000_s1565"/>
    <customShpInfo spid="_x0000_s1569"/>
    <customShpInfo spid="_x0000_s1571"/>
    <customShpInfo spid="_x0000_s1572"/>
    <customShpInfo spid="_x0000_s1570"/>
    <customShpInfo spid="_x0000_s1574"/>
    <customShpInfo spid="_x0000_s1575"/>
    <customShpInfo spid="_x0000_s1573"/>
    <customShpInfo spid="_x0000_s1576"/>
    <customShpInfo spid="_x0000_s1577"/>
    <customShpInfo spid="_x0000_s15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12</TotalTime>
  <ScaleCrop>false</ScaleCrop>
  <LinksUpToDate>false</LinksUpToDate>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2023-12-27T14:40:00Z</dcterms:created>
  <dc:creator>Administrator</dc:creator>
  <cp:lastModifiedBy>idiot</cp:lastModifiedBy>
  <dcterms:modified xsi:type="dcterms:W3CDTF">2023-12-27T07:09:24Z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2023-12-27T14:51:25Z</vt:filetime>
  </property>
  <property fmtid="{D5CDD505-2E9C-101B-9397-08002B2CF9AE}" pid="4" name="KSOProductBuildVer">
    <vt:lpwstr>2052-12.1.0.15990</vt:lpwstr>
  </property>
  <property fmtid="{D5CDD505-2E9C-101B-9397-08002B2CF9AE}" pid="5" name="ICV">
    <vt:lpwstr>D3C1A4AD298B46118CE4116FC9D4873B_12</vt:lpwstr>
  </property>
</Properties>
</file>